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header165.xml" ContentType="application/vnd.openxmlformats-officedocument.wordprocessingml.header+xml"/>
  <Override PartName="/word/footer164.xml" ContentType="application/vnd.openxmlformats-officedocument.wordprocessingml.foot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header168.xml" ContentType="application/vnd.openxmlformats-officedocument.wordprocessingml.header+xml"/>
  <Override PartName="/word/footer167.xml" ContentType="application/vnd.openxmlformats-officedocument.wordprocessingml.foot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header171.xml" ContentType="application/vnd.openxmlformats-officedocument.wordprocessingml.header+xml"/>
  <Override PartName="/word/footer170.xml" ContentType="application/vnd.openxmlformats-officedocument.wordprocessingml.foot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header174.xml" ContentType="application/vnd.openxmlformats-officedocument.wordprocessingml.header+xml"/>
  <Override PartName="/word/footer173.xml" ContentType="application/vnd.openxmlformats-officedocument.wordprocessingml.foot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header177.xml" ContentType="application/vnd.openxmlformats-officedocument.wordprocessingml.header+xml"/>
  <Override PartName="/word/footer176.xml" ContentType="application/vnd.openxmlformats-officedocument.wordprocessingml.foot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header180.xml" ContentType="application/vnd.openxmlformats-officedocument.wordprocessingml.header+xml"/>
  <Override PartName="/word/footer179.xml" ContentType="application/vnd.openxmlformats-officedocument.wordprocessingml.foot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header183.xml" ContentType="application/vnd.openxmlformats-officedocument.wordprocessingml.header+xml"/>
  <Override PartName="/word/footer182.xml" ContentType="application/vnd.openxmlformats-officedocument.wordprocessingml.foot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8CA883" w14:textId="5E63BF88" w:rsidR="002D49B0" w:rsidRPr="00083739" w:rsidRDefault="00BF4125" w:rsidP="00BF4125">
      <w:pPr>
        <w:pStyle w:val="Pagedecouverture"/>
        <w:rPr>
          <w:noProof/>
          <w:lang w:val="sk-SK"/>
        </w:rPr>
      </w:pPr>
      <w:bookmarkStart w:id="0" w:name="LW_BM_COVERPAGE"/>
      <w:r>
        <w:rPr>
          <w:noProof/>
          <w:lang w:val="sk-SK"/>
        </w:rPr>
        <w:pict w14:anchorId="5EAC23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3432CA98-E6F3-48B5-BEA3-65EC4CF35E8A" style="width:455.25pt;height:396.75pt">
            <v:imagedata r:id="rId12" o:title=""/>
          </v:shape>
        </w:pict>
      </w:r>
    </w:p>
    <w:bookmarkEnd w:id="0"/>
    <w:p w14:paraId="77D7706F" w14:textId="77777777" w:rsidR="002D49B0" w:rsidRPr="00083739" w:rsidRDefault="002D49B0">
      <w:pPr>
        <w:rPr>
          <w:rFonts w:ascii="Times New Roman" w:hAnsi="Times New Roman" w:cs="Times New Roman"/>
          <w:noProof/>
          <w:lang w:val="sk-SK"/>
        </w:rPr>
        <w:sectPr w:rsidR="002D49B0" w:rsidRPr="00083739" w:rsidSect="00BF4125">
          <w:headerReference w:type="even" r:id="rId13"/>
          <w:headerReference w:type="default" r:id="rId14"/>
          <w:footerReference w:type="even" r:id="rId15"/>
          <w:footerReference w:type="default" r:id="rId16"/>
          <w:headerReference w:type="first" r:id="rId17"/>
          <w:footerReference w:type="first" r:id="rId18"/>
          <w:pgSz w:w="11907" w:h="16839"/>
          <w:pgMar w:top="1134" w:right="1417" w:bottom="1134" w:left="1417" w:header="709" w:footer="709" w:gutter="0"/>
          <w:pgNumType w:start="0"/>
          <w:cols w:space="720"/>
          <w:docGrid w:linePitch="360"/>
        </w:sectPr>
      </w:pPr>
    </w:p>
    <w:p w14:paraId="745C6217" w14:textId="02BC9429" w:rsidR="002D49B0" w:rsidRPr="00083739" w:rsidRDefault="00BF4125">
      <w:pPr>
        <w:pStyle w:val="P68B1DB1-Normal1"/>
        <w:spacing w:before="120" w:after="120" w:line="240" w:lineRule="auto"/>
        <w:jc w:val="center"/>
        <w:rPr>
          <w:bCs/>
          <w:noProof/>
          <w:lang w:val="sk-SK"/>
        </w:rPr>
      </w:pPr>
      <w:bookmarkStart w:id="1" w:name="_GoBack"/>
      <w:bookmarkEnd w:id="1"/>
      <w:r w:rsidRPr="00083739">
        <w:rPr>
          <w:noProof/>
          <w:lang w:val="sk-SK"/>
        </w:rPr>
        <w:lastRenderedPageBreak/>
        <w:t>PRÍLOHA</w:t>
      </w:r>
    </w:p>
    <w:p w14:paraId="172BFAA7" w14:textId="77777777" w:rsidR="002D49B0" w:rsidRPr="00083739" w:rsidRDefault="002D49B0">
      <w:pPr>
        <w:spacing w:before="120" w:after="120" w:line="240" w:lineRule="auto"/>
        <w:jc w:val="center"/>
        <w:rPr>
          <w:rFonts w:ascii="Times New Roman" w:hAnsi="Times New Roman" w:cs="Times New Roman"/>
          <w:b/>
          <w:bCs/>
          <w:noProof/>
          <w:lang w:val="sk-SK"/>
        </w:rPr>
      </w:pPr>
    </w:p>
    <w:p w14:paraId="0D3B9A89" w14:textId="4DB50039" w:rsidR="002D49B0" w:rsidRPr="00083739" w:rsidRDefault="00BF4125">
      <w:pPr>
        <w:pStyle w:val="Heading4"/>
        <w:ind w:left="0" w:firstLine="0"/>
        <w:rPr>
          <w:noProof/>
          <w:lang w:val="sk-SK"/>
        </w:rPr>
      </w:pPr>
      <w:r w:rsidRPr="00083739">
        <w:rPr>
          <w:noProof/>
          <w:lang w:val="sk-SK"/>
        </w:rPr>
        <w:t>ODDIEL 1: REFORMY A INVESTÍCIE</w:t>
      </w:r>
      <w:r w:rsidR="00083739" w:rsidRPr="00083739">
        <w:rPr>
          <w:noProof/>
          <w:lang w:val="sk-SK"/>
        </w:rPr>
        <w:t xml:space="preserve"> V </w:t>
      </w:r>
      <w:r w:rsidRPr="00083739">
        <w:rPr>
          <w:noProof/>
          <w:lang w:val="sk-SK"/>
        </w:rPr>
        <w:t>RÁMCI PLÁNU OBNOVY A ODOLNOSTI</w:t>
      </w:r>
    </w:p>
    <w:p w14:paraId="42A42048" w14:textId="77777777" w:rsidR="002D49B0" w:rsidRPr="00083739" w:rsidRDefault="002D49B0">
      <w:pPr>
        <w:spacing w:before="120" w:after="120" w:line="240" w:lineRule="auto"/>
        <w:jc w:val="both"/>
        <w:rPr>
          <w:rFonts w:ascii="Times New Roman" w:hAnsi="Times New Roman" w:cs="Times New Roman"/>
          <w:noProof/>
          <w:sz w:val="24"/>
          <w:lang w:val="sk-SK"/>
        </w:rPr>
      </w:pPr>
    </w:p>
    <w:p w14:paraId="0DE5F9B4" w14:textId="77777777" w:rsidR="00083739" w:rsidRPr="00083739" w:rsidRDefault="00BF4125">
      <w:pPr>
        <w:pStyle w:val="P68B1DB1-Normal2"/>
        <w:numPr>
          <w:ilvl w:val="6"/>
          <w:numId w:val="9"/>
        </w:numPr>
        <w:spacing w:before="120" w:after="120" w:line="240" w:lineRule="auto"/>
        <w:ind w:left="0" w:firstLine="0"/>
        <w:jc w:val="both"/>
        <w:rPr>
          <w:rFonts w:cs="Times New Roman"/>
          <w:noProof/>
          <w:lang w:val="sk-SK"/>
        </w:rPr>
      </w:pPr>
      <w:r w:rsidRPr="00083739">
        <w:rPr>
          <w:rFonts w:cs="Times New Roman"/>
          <w:noProof/>
          <w:lang w:val="sk-SK"/>
        </w:rPr>
        <w:t>Opis reforiem</w:t>
      </w:r>
      <w:r w:rsidR="00083739" w:rsidRPr="00083739">
        <w:rPr>
          <w:rFonts w:cs="Times New Roman"/>
          <w:noProof/>
          <w:lang w:val="sk-SK"/>
        </w:rPr>
        <w:t xml:space="preserve"> a </w:t>
      </w:r>
      <w:r w:rsidRPr="00083739">
        <w:rPr>
          <w:rFonts w:cs="Times New Roman"/>
          <w:noProof/>
          <w:lang w:val="sk-SK"/>
        </w:rPr>
        <w:t>investícií</w:t>
      </w:r>
    </w:p>
    <w:p w14:paraId="558F0741" w14:textId="50775ADF" w:rsidR="002D49B0" w:rsidRPr="00083739" w:rsidRDefault="002D49B0">
      <w:pPr>
        <w:spacing w:before="120" w:after="120" w:line="240" w:lineRule="auto"/>
        <w:jc w:val="both"/>
        <w:rPr>
          <w:rFonts w:ascii="Times New Roman" w:hAnsi="Times New Roman" w:cs="Times New Roman"/>
          <w:b/>
          <w:noProof/>
          <w:sz w:val="24"/>
          <w:lang w:val="sk-SK"/>
        </w:rPr>
      </w:pPr>
    </w:p>
    <w:p w14:paraId="6B1622C0" w14:textId="77777777" w:rsidR="002D49B0" w:rsidRPr="00083739" w:rsidRDefault="00BF4125">
      <w:pPr>
        <w:pStyle w:val="P68B1DB1-ListParagraph3"/>
        <w:numPr>
          <w:ilvl w:val="0"/>
          <w:numId w:val="90"/>
        </w:numPr>
        <w:spacing w:before="120" w:after="120" w:line="240" w:lineRule="auto"/>
        <w:jc w:val="both"/>
        <w:outlineLvl w:val="3"/>
        <w:rPr>
          <w:rFonts w:cs="Times New Roman"/>
          <w:bCs/>
          <w:noProof/>
          <w:lang w:val="sk-SK"/>
        </w:rPr>
      </w:pPr>
      <w:r w:rsidRPr="00083739">
        <w:rPr>
          <w:rFonts w:cs="Times New Roman"/>
          <w:noProof/>
          <w:lang w:val="sk-SK"/>
        </w:rPr>
        <w:t>ZLOŽKA 1.1: NAPÁJANIE</w:t>
      </w:r>
    </w:p>
    <w:p w14:paraId="4B400D4B" w14:textId="247F4BE5" w:rsidR="002D49B0" w:rsidRPr="00083739" w:rsidRDefault="00BF4125">
      <w:pPr>
        <w:pStyle w:val="P68B1DB1-Normal4"/>
        <w:jc w:val="both"/>
        <w:rPr>
          <w:rFonts w:cs="Times New Roman"/>
          <w:b/>
          <w:bCs/>
          <w:noProof/>
          <w:lang w:val="sk-SK"/>
        </w:rPr>
      </w:pPr>
      <w:r w:rsidRPr="00083739">
        <w:rPr>
          <w:rFonts w:cs="Times New Roman"/>
          <w:noProof/>
          <w:lang w:val="sk-SK"/>
        </w:rPr>
        <w:t xml:space="preserve">Tento komponent gréckeho plánu </w:t>
      </w:r>
      <w:r w:rsidRPr="00083739">
        <w:rPr>
          <w:rFonts w:cs="Times New Roman"/>
          <w:noProof/>
          <w:lang w:val="sk-SK"/>
        </w:rPr>
        <w:t>obnovy</w:t>
      </w:r>
      <w:r w:rsidR="00083739" w:rsidRPr="00083739">
        <w:rPr>
          <w:rFonts w:cs="Times New Roman"/>
          <w:noProof/>
          <w:lang w:val="sk-SK"/>
        </w:rPr>
        <w:t xml:space="preserve"> a </w:t>
      </w:r>
      <w:r w:rsidRPr="00083739">
        <w:rPr>
          <w:rFonts w:cs="Times New Roman"/>
          <w:noProof/>
          <w:lang w:val="sk-SK"/>
        </w:rPr>
        <w:t>odolnosti sa zameriava na reformy</w:t>
      </w:r>
      <w:r w:rsidR="00083739" w:rsidRPr="00083739">
        <w:rPr>
          <w:rFonts w:cs="Times New Roman"/>
          <w:noProof/>
          <w:lang w:val="sk-SK"/>
        </w:rPr>
        <w:t xml:space="preserve"> a </w:t>
      </w:r>
      <w:r w:rsidRPr="00083739">
        <w:rPr>
          <w:rFonts w:cs="Times New Roman"/>
          <w:noProof/>
          <w:lang w:val="sk-SK"/>
        </w:rPr>
        <w:t>investície</w:t>
      </w:r>
      <w:r w:rsidR="00083739" w:rsidRPr="00083739">
        <w:rPr>
          <w:rFonts w:cs="Times New Roman"/>
          <w:noProof/>
          <w:lang w:val="sk-SK"/>
        </w:rPr>
        <w:t xml:space="preserve"> s </w:t>
      </w:r>
      <w:r w:rsidRPr="00083739">
        <w:rPr>
          <w:rFonts w:cs="Times New Roman"/>
          <w:noProof/>
          <w:lang w:val="sk-SK"/>
        </w:rPr>
        <w:t>cieľom zvýšiť váhu obnoviteľných zdrojov energie</w:t>
      </w:r>
      <w:r w:rsidR="00083739" w:rsidRPr="00083739">
        <w:rPr>
          <w:rFonts w:cs="Times New Roman"/>
          <w:noProof/>
          <w:lang w:val="sk-SK"/>
        </w:rPr>
        <w:t xml:space="preserve"> v </w:t>
      </w:r>
      <w:r w:rsidRPr="00083739">
        <w:rPr>
          <w:rFonts w:cs="Times New Roman"/>
          <w:noProof/>
          <w:lang w:val="sk-SK"/>
        </w:rPr>
        <w:t>elektrizačnej sústave</w:t>
      </w:r>
      <w:r w:rsidR="00083739" w:rsidRPr="00083739">
        <w:rPr>
          <w:rFonts w:cs="Times New Roman"/>
          <w:noProof/>
          <w:lang w:val="sk-SK"/>
        </w:rPr>
        <w:t xml:space="preserve"> a </w:t>
      </w:r>
      <w:r w:rsidRPr="00083739">
        <w:rPr>
          <w:rFonts w:cs="Times New Roman"/>
          <w:noProof/>
          <w:lang w:val="sk-SK"/>
        </w:rPr>
        <w:t>uľahčiť proces dekarbonizácie Grécka. Reformy zjednodušia pravidlá udeľovania licencií na investície do energie</w:t>
      </w:r>
      <w:r w:rsidR="00083739" w:rsidRPr="00083739">
        <w:rPr>
          <w:rFonts w:cs="Times New Roman"/>
          <w:noProof/>
          <w:lang w:val="sk-SK"/>
        </w:rPr>
        <w:t xml:space="preserve"> z </w:t>
      </w:r>
      <w:r w:rsidRPr="00083739">
        <w:rPr>
          <w:rFonts w:cs="Times New Roman"/>
          <w:noProof/>
          <w:lang w:val="sk-SK"/>
        </w:rPr>
        <w:t>obnoviteľ</w:t>
      </w:r>
      <w:r w:rsidRPr="00083739">
        <w:rPr>
          <w:rFonts w:cs="Times New Roman"/>
          <w:noProof/>
          <w:lang w:val="sk-SK"/>
        </w:rPr>
        <w:t>ných zdrojov, zefektívnia trh</w:t>
      </w:r>
      <w:r w:rsidR="00083739" w:rsidRPr="00083739">
        <w:rPr>
          <w:rFonts w:cs="Times New Roman"/>
          <w:noProof/>
          <w:lang w:val="sk-SK"/>
        </w:rPr>
        <w:t xml:space="preserve"> s </w:t>
      </w:r>
      <w:r w:rsidRPr="00083739">
        <w:rPr>
          <w:rFonts w:cs="Times New Roman"/>
          <w:noProof/>
          <w:lang w:val="sk-SK"/>
        </w:rPr>
        <w:t>elektrinou</w:t>
      </w:r>
      <w:r w:rsidR="00083739" w:rsidRPr="00083739">
        <w:rPr>
          <w:rFonts w:cs="Times New Roman"/>
          <w:noProof/>
          <w:lang w:val="sk-SK"/>
        </w:rPr>
        <w:t xml:space="preserve"> a </w:t>
      </w:r>
      <w:r w:rsidRPr="00083739">
        <w:rPr>
          <w:rFonts w:cs="Times New Roman"/>
          <w:noProof/>
          <w:lang w:val="sk-SK"/>
        </w:rPr>
        <w:t>zabezpečia finančnú udržateľnosť systémov podpory. Komponent zahŕňa aj kľúčové investície do sietí</w:t>
      </w:r>
      <w:r w:rsidR="00083739" w:rsidRPr="00083739">
        <w:rPr>
          <w:rFonts w:cs="Times New Roman"/>
          <w:noProof/>
          <w:lang w:val="sk-SK"/>
        </w:rPr>
        <w:t xml:space="preserve"> s </w:t>
      </w:r>
      <w:r w:rsidRPr="00083739">
        <w:rPr>
          <w:rFonts w:cs="Times New Roman"/>
          <w:noProof/>
          <w:lang w:val="sk-SK"/>
        </w:rPr>
        <w:t>cieľom dokončiť prepojenie</w:t>
      </w:r>
      <w:r w:rsidR="00083739" w:rsidRPr="00083739">
        <w:rPr>
          <w:rFonts w:cs="Times New Roman"/>
          <w:noProof/>
          <w:lang w:val="sk-SK"/>
        </w:rPr>
        <w:t xml:space="preserve"> s </w:t>
      </w:r>
      <w:r w:rsidRPr="00083739">
        <w:rPr>
          <w:rFonts w:cs="Times New Roman"/>
          <w:noProof/>
          <w:lang w:val="sk-SK"/>
        </w:rPr>
        <w:t>Kykládskymi ostrovmi</w:t>
      </w:r>
      <w:r w:rsidR="00083739" w:rsidRPr="00083739">
        <w:rPr>
          <w:rFonts w:cs="Times New Roman"/>
          <w:noProof/>
          <w:lang w:val="sk-SK"/>
        </w:rPr>
        <w:t xml:space="preserve"> a </w:t>
      </w:r>
      <w:r w:rsidRPr="00083739">
        <w:rPr>
          <w:rFonts w:cs="Times New Roman"/>
          <w:noProof/>
          <w:lang w:val="sk-SK"/>
        </w:rPr>
        <w:t>zabezpečiť, aby distribúcia elektrickej energie bola šetrn</w:t>
      </w:r>
      <w:r w:rsidRPr="00083739">
        <w:rPr>
          <w:rFonts w:cs="Times New Roman"/>
          <w:noProof/>
          <w:lang w:val="sk-SK"/>
        </w:rPr>
        <w:t>ejšia</w:t>
      </w:r>
      <w:r w:rsidR="00083739" w:rsidRPr="00083739">
        <w:rPr>
          <w:rFonts w:cs="Times New Roman"/>
          <w:noProof/>
          <w:lang w:val="sk-SK"/>
        </w:rPr>
        <w:t xml:space="preserve"> k </w:t>
      </w:r>
      <w:r w:rsidRPr="00083739">
        <w:rPr>
          <w:rFonts w:cs="Times New Roman"/>
          <w:noProof/>
          <w:lang w:val="sk-SK"/>
        </w:rPr>
        <w:t>životnému prostrediu</w:t>
      </w:r>
      <w:r w:rsidR="00083739" w:rsidRPr="00083739">
        <w:rPr>
          <w:rFonts w:cs="Times New Roman"/>
          <w:noProof/>
          <w:lang w:val="sk-SK"/>
        </w:rPr>
        <w:t xml:space="preserve"> a </w:t>
      </w:r>
      <w:r w:rsidRPr="00083739">
        <w:rPr>
          <w:rFonts w:cs="Times New Roman"/>
          <w:noProof/>
          <w:lang w:val="sk-SK"/>
        </w:rPr>
        <w:t>schopná absorbovať väčší podiel energie</w:t>
      </w:r>
      <w:r w:rsidR="00083739" w:rsidRPr="00083739">
        <w:rPr>
          <w:rFonts w:cs="Times New Roman"/>
          <w:noProof/>
          <w:lang w:val="sk-SK"/>
        </w:rPr>
        <w:t xml:space="preserve"> z </w:t>
      </w:r>
      <w:r w:rsidRPr="00083739">
        <w:rPr>
          <w:rFonts w:cs="Times New Roman"/>
          <w:noProof/>
          <w:lang w:val="sk-SK"/>
        </w:rPr>
        <w:t>obnoviteľných zdrojov. Systémy uskladňovania podporujú aj dekarbonizáciu hospodárstva prostredníctvom akumulácie prebytku elektriny</w:t>
      </w:r>
      <w:r w:rsidR="00083739" w:rsidRPr="00083739">
        <w:rPr>
          <w:rFonts w:cs="Times New Roman"/>
          <w:noProof/>
          <w:lang w:val="sk-SK"/>
        </w:rPr>
        <w:t xml:space="preserve"> z </w:t>
      </w:r>
      <w:r w:rsidRPr="00083739">
        <w:rPr>
          <w:rFonts w:cs="Times New Roman"/>
          <w:noProof/>
          <w:lang w:val="sk-SK"/>
        </w:rPr>
        <w:t>obnoviteľných zdrojov. Obnova pôdy sa podporuje a</w:t>
      </w:r>
      <w:r w:rsidRPr="00083739">
        <w:rPr>
          <w:rFonts w:cs="Times New Roman"/>
          <w:noProof/>
          <w:lang w:val="sk-SK"/>
        </w:rPr>
        <w:t>j</w:t>
      </w:r>
      <w:r w:rsidR="00083739" w:rsidRPr="00083739">
        <w:rPr>
          <w:rFonts w:cs="Times New Roman"/>
          <w:noProof/>
          <w:lang w:val="sk-SK"/>
        </w:rPr>
        <w:t xml:space="preserve"> v </w:t>
      </w:r>
      <w:r w:rsidRPr="00083739">
        <w:rPr>
          <w:rFonts w:cs="Times New Roman"/>
          <w:noProof/>
          <w:lang w:val="sk-SK"/>
        </w:rPr>
        <w:t>oblastiach, ktoré sa</w:t>
      </w:r>
      <w:r w:rsidR="00083739" w:rsidRPr="00083739">
        <w:rPr>
          <w:rFonts w:cs="Times New Roman"/>
          <w:noProof/>
          <w:lang w:val="sk-SK"/>
        </w:rPr>
        <w:t xml:space="preserve"> v </w:t>
      </w:r>
      <w:r w:rsidRPr="00083739">
        <w:rPr>
          <w:rFonts w:cs="Times New Roman"/>
          <w:noProof/>
          <w:lang w:val="sk-SK"/>
        </w:rPr>
        <w:t>súčasnosti využívajú ako hnedouhoľné bane, ako krok procesu spravodlivej transformácie na územiach najviac postihnutých postupným vyraďovaním hnedého uhlia. Zložka je</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národným energetickým</w:t>
      </w:r>
      <w:r w:rsidR="00083739" w:rsidRPr="00083739">
        <w:rPr>
          <w:rFonts w:cs="Times New Roman"/>
          <w:noProof/>
          <w:lang w:val="sk-SK"/>
        </w:rPr>
        <w:t xml:space="preserve"> a </w:t>
      </w:r>
      <w:r w:rsidRPr="00083739">
        <w:rPr>
          <w:rFonts w:cs="Times New Roman"/>
          <w:noProof/>
          <w:lang w:val="sk-SK"/>
        </w:rPr>
        <w:t>klimatickým plánom (NEKP)</w:t>
      </w:r>
      <w:r w:rsidR="00083739" w:rsidRPr="00083739">
        <w:rPr>
          <w:rFonts w:cs="Times New Roman"/>
          <w:noProof/>
          <w:lang w:val="sk-SK"/>
        </w:rPr>
        <w:t xml:space="preserve"> a </w:t>
      </w:r>
      <w:r w:rsidRPr="00083739">
        <w:rPr>
          <w:rFonts w:cs="Times New Roman"/>
          <w:noProof/>
          <w:lang w:val="sk-SK"/>
        </w:rPr>
        <w:t>podporuje riešenie odporúčaní pre jednotlivé krajiny týkajúcich sa verejných</w:t>
      </w:r>
      <w:r w:rsidR="00083739" w:rsidRPr="00083739">
        <w:rPr>
          <w:rFonts w:cs="Times New Roman"/>
          <w:noProof/>
          <w:lang w:val="sk-SK"/>
        </w:rPr>
        <w:t xml:space="preserve"> a </w:t>
      </w:r>
      <w:r w:rsidRPr="00083739">
        <w:rPr>
          <w:rFonts w:cs="Times New Roman"/>
          <w:noProof/>
          <w:lang w:val="sk-SK"/>
        </w:rPr>
        <w:t>súkromných investícií (odporúčanie pre jednotlivé krajiny č. 3</w:t>
      </w:r>
      <w:r w:rsidR="00083739" w:rsidRPr="00083739">
        <w:rPr>
          <w:rFonts w:cs="Times New Roman"/>
          <w:noProof/>
          <w:lang w:val="sk-SK"/>
        </w:rPr>
        <w:t xml:space="preserve"> z </w:t>
      </w:r>
      <w:r w:rsidRPr="00083739">
        <w:rPr>
          <w:rFonts w:cs="Times New Roman"/>
          <w:noProof/>
          <w:lang w:val="sk-SK"/>
        </w:rPr>
        <w:t>roku 2020</w:t>
      </w:r>
      <w:r w:rsidR="00083739" w:rsidRPr="00083739">
        <w:rPr>
          <w:rFonts w:cs="Times New Roman"/>
          <w:noProof/>
          <w:lang w:val="sk-SK"/>
        </w:rPr>
        <w:t xml:space="preserve"> a </w:t>
      </w:r>
      <w:r w:rsidRPr="00083739">
        <w:rPr>
          <w:rFonts w:cs="Times New Roman"/>
          <w:noProof/>
          <w:lang w:val="sk-SK"/>
        </w:rPr>
        <w:t>odporúčanie pre danú krajinu č. 2</w:t>
      </w:r>
      <w:r w:rsidR="00083739" w:rsidRPr="00083739">
        <w:rPr>
          <w:rFonts w:cs="Times New Roman"/>
          <w:noProof/>
          <w:lang w:val="sk-SK"/>
        </w:rPr>
        <w:t xml:space="preserve"> z </w:t>
      </w:r>
      <w:r w:rsidRPr="00083739">
        <w:rPr>
          <w:rFonts w:cs="Times New Roman"/>
          <w:noProof/>
          <w:lang w:val="sk-SK"/>
        </w:rPr>
        <w:t>roku 2019). Očakáva sa, že žiadne opatrenie</w:t>
      </w:r>
      <w:r w:rsidR="00083739" w:rsidRPr="00083739">
        <w:rPr>
          <w:rFonts w:cs="Times New Roman"/>
          <w:noProof/>
          <w:lang w:val="sk-SK"/>
        </w:rPr>
        <w:t xml:space="preserve"> v </w:t>
      </w:r>
      <w:r w:rsidRPr="00083739">
        <w:rPr>
          <w:rFonts w:cs="Times New Roman"/>
          <w:noProof/>
          <w:lang w:val="sk-SK"/>
        </w:rPr>
        <w:t xml:space="preserve">tomto komponente </w:t>
      </w:r>
      <w:r w:rsidRPr="00083739">
        <w:rPr>
          <w:rFonts w:cs="Times New Roman"/>
          <w:noProof/>
          <w:lang w:val="sk-SK"/>
        </w:rPr>
        <w:t>výrazne nenaruší environmentálne ciele</w:t>
      </w:r>
      <w:r w:rsidR="00083739" w:rsidRPr="00083739">
        <w:rPr>
          <w:rFonts w:cs="Times New Roman"/>
          <w:noProof/>
          <w:lang w:val="sk-SK"/>
        </w:rPr>
        <w:t xml:space="preserve"> v </w:t>
      </w:r>
      <w:r w:rsidRPr="00083739">
        <w:rPr>
          <w:rFonts w:cs="Times New Roman"/>
          <w:noProof/>
          <w:lang w:val="sk-SK"/>
        </w:rPr>
        <w:t>zmysle článku 17 nariadenia (EÚ) 2020/852, pričom sa zohľadní opis opatrení</w:t>
      </w:r>
      <w:r w:rsidR="00083739" w:rsidRPr="00083739">
        <w:rPr>
          <w:rFonts w:cs="Times New Roman"/>
          <w:noProof/>
          <w:lang w:val="sk-SK"/>
        </w:rPr>
        <w:t xml:space="preserve"> a </w:t>
      </w:r>
      <w:r w:rsidRPr="00083739">
        <w:rPr>
          <w:rFonts w:cs="Times New Roman"/>
          <w:noProof/>
          <w:lang w:val="sk-SK"/>
        </w:rPr>
        <w:t>zmierňujúcich krokov stanovených</w:t>
      </w:r>
      <w:r w:rsidR="00083739" w:rsidRPr="00083739">
        <w:rPr>
          <w:rFonts w:cs="Times New Roman"/>
          <w:noProof/>
          <w:lang w:val="sk-SK"/>
        </w:rPr>
        <w:t xml:space="preserve"> v </w:t>
      </w:r>
      <w:r w:rsidRPr="00083739">
        <w:rPr>
          <w:rFonts w:cs="Times New Roman"/>
          <w:noProof/>
          <w:lang w:val="sk-SK"/>
        </w:rPr>
        <w:t>pláne podpory obnovy</w:t>
      </w:r>
      <w:r w:rsidR="00083739" w:rsidRPr="00083739">
        <w:rPr>
          <w:rFonts w:cs="Times New Roman"/>
          <w:noProof/>
          <w:lang w:val="sk-SK"/>
        </w:rPr>
        <w:t xml:space="preserve"> a </w:t>
      </w:r>
      <w:r w:rsidRPr="00083739">
        <w:rPr>
          <w:rFonts w:cs="Times New Roman"/>
          <w:noProof/>
          <w:lang w:val="sk-SK"/>
        </w:rPr>
        <w:t>odolnosti</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technickým usmernením „výrazne nenarušiť“ (2021/C58/01).</w:t>
      </w:r>
    </w:p>
    <w:p w14:paraId="734AE5A9" w14:textId="0E011ED7" w:rsidR="002D49B0" w:rsidRPr="00083739" w:rsidRDefault="00BF4125">
      <w:pPr>
        <w:spacing w:before="120" w:after="120" w:line="240" w:lineRule="auto"/>
        <w:jc w:val="both"/>
        <w:rPr>
          <w:rFonts w:ascii="Times New Roman" w:hAnsi="Times New Roman" w:cs="Times New Roman"/>
          <w:noProof/>
          <w:sz w:val="24"/>
          <w:lang w:val="sk-SK"/>
        </w:rPr>
      </w:pPr>
      <w:r w:rsidRPr="00083739">
        <w:rPr>
          <w:rFonts w:ascii="Times New Roman" w:hAnsi="Times New Roman" w:cs="Times New Roman"/>
          <w:b/>
          <w:noProof/>
          <w:sz w:val="24"/>
          <w:u w:val="single"/>
          <w:lang w:val="sk-SK"/>
        </w:rPr>
        <w:t xml:space="preserve">A.1. </w:t>
      </w:r>
      <w:r w:rsidRPr="00083739">
        <w:rPr>
          <w:rFonts w:ascii="Times New Roman" w:hAnsi="Times New Roman" w:cs="Times New Roman"/>
          <w:noProof/>
          <w:lang w:val="sk-SK"/>
        </w:rPr>
        <w:t xml:space="preserve"> </w:t>
      </w:r>
      <w:r w:rsidRPr="00083739">
        <w:rPr>
          <w:rFonts w:ascii="Times New Roman" w:hAnsi="Times New Roman" w:cs="Times New Roman"/>
          <w:b/>
          <w:noProof/>
          <w:sz w:val="24"/>
          <w:u w:val="single"/>
          <w:lang w:val="sk-SK"/>
        </w:rPr>
        <w:t>Opis reforiem</w:t>
      </w:r>
      <w:r w:rsidR="00083739" w:rsidRPr="00083739">
        <w:rPr>
          <w:rFonts w:ascii="Times New Roman" w:hAnsi="Times New Roman" w:cs="Times New Roman"/>
          <w:b/>
          <w:noProof/>
          <w:sz w:val="24"/>
          <w:u w:val="single"/>
          <w:lang w:val="sk-SK"/>
        </w:rPr>
        <w:t xml:space="preserve"> a </w:t>
      </w:r>
      <w:r w:rsidRPr="00083739">
        <w:rPr>
          <w:rFonts w:ascii="Times New Roman" w:hAnsi="Times New Roman" w:cs="Times New Roman"/>
          <w:b/>
          <w:noProof/>
          <w:sz w:val="24"/>
          <w:u w:val="single"/>
          <w:lang w:val="sk-SK"/>
        </w:rPr>
        <w:t>investícií</w:t>
      </w:r>
      <w:r w:rsidR="00083739" w:rsidRPr="00083739">
        <w:rPr>
          <w:rFonts w:ascii="Times New Roman" w:hAnsi="Times New Roman" w:cs="Times New Roman"/>
          <w:b/>
          <w:noProof/>
          <w:sz w:val="24"/>
          <w:u w:val="single"/>
          <w:lang w:val="sk-SK"/>
        </w:rPr>
        <w:t xml:space="preserve"> v </w:t>
      </w:r>
      <w:r w:rsidRPr="00083739">
        <w:rPr>
          <w:rFonts w:ascii="Times New Roman" w:hAnsi="Times New Roman" w:cs="Times New Roman"/>
          <w:b/>
          <w:noProof/>
          <w:sz w:val="24"/>
          <w:u w:val="single"/>
          <w:lang w:val="sk-SK"/>
        </w:rPr>
        <w:t>rámci nenávratnej finančnej podpory</w:t>
      </w:r>
    </w:p>
    <w:p w14:paraId="1B59886C" w14:textId="0A7931ED"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 xml:space="preserve">Investície: </w:t>
      </w:r>
      <w:r w:rsidRPr="00083739">
        <w:rPr>
          <w:rFonts w:cs="Times New Roman"/>
          <w:noProof/>
          <w:lang w:val="sk-SK"/>
        </w:rPr>
        <w:t>Podpora inštalácie skladovacích systémov na zlepšenie prieniku energie</w:t>
      </w:r>
      <w:r w:rsidR="00083739" w:rsidRPr="00083739">
        <w:rPr>
          <w:rFonts w:cs="Times New Roman"/>
          <w:noProof/>
          <w:lang w:val="sk-SK"/>
        </w:rPr>
        <w:t xml:space="preserve"> z </w:t>
      </w:r>
      <w:r w:rsidRPr="00083739">
        <w:rPr>
          <w:rFonts w:cs="Times New Roman"/>
          <w:noProof/>
          <w:lang w:val="sk-SK"/>
        </w:rPr>
        <w:t>obnoviteľných zdrojov (identifikačné číslo opatrenia: 16926)</w:t>
      </w:r>
    </w:p>
    <w:p w14:paraId="54D34CCF" w14:textId="43B8652B" w:rsidR="002D49B0" w:rsidRPr="00083739" w:rsidRDefault="00BF4125">
      <w:pPr>
        <w:pStyle w:val="P68B1DB1-Normal5"/>
        <w:spacing w:before="120" w:after="120" w:line="240" w:lineRule="auto"/>
        <w:jc w:val="both"/>
        <w:rPr>
          <w:rFonts w:cs="Times New Roman"/>
          <w:noProof/>
          <w:lang w:val="sk-SK"/>
        </w:rPr>
      </w:pPr>
      <w:r w:rsidRPr="00083739">
        <w:rPr>
          <w:rFonts w:cs="Times New Roman"/>
          <w:noProof/>
          <w:lang w:val="sk-SK"/>
        </w:rPr>
        <w:t xml:space="preserve">Investícia poskytuje verejné granty na </w:t>
      </w:r>
      <w:r w:rsidRPr="00083739">
        <w:rPr>
          <w:rFonts w:cs="Times New Roman"/>
          <w:noProof/>
          <w:lang w:val="sk-SK"/>
        </w:rPr>
        <w:t>inštaláciu kapacity uskladňovania energie do 1 380 MW</w:t>
      </w:r>
      <w:r w:rsidR="00083739" w:rsidRPr="00083739">
        <w:rPr>
          <w:rFonts w:cs="Times New Roman"/>
          <w:noProof/>
          <w:lang w:val="sk-SK"/>
        </w:rPr>
        <w:t xml:space="preserve"> v </w:t>
      </w:r>
      <w:r w:rsidRPr="00083739">
        <w:rPr>
          <w:rFonts w:cs="Times New Roman"/>
          <w:noProof/>
          <w:lang w:val="sk-SK"/>
        </w:rPr>
        <w:t>elektrizačnej sústave. Cieľom týchto investícií je umožniť systémovú integráciu novej kapacity OZE, ktorá je potrebná na dosiahnutie cieľov NEKP. Cieľom tohto opatrenia je okrem toho zmierniť aj preťa</w:t>
      </w:r>
      <w:r w:rsidRPr="00083739">
        <w:rPr>
          <w:rFonts w:cs="Times New Roman"/>
          <w:noProof/>
          <w:lang w:val="sk-SK"/>
        </w:rPr>
        <w:t>ženie sústavy, zvýšiť flexibilitu elektrizačnej sústavy</w:t>
      </w:r>
      <w:r w:rsidR="00083739" w:rsidRPr="00083739">
        <w:rPr>
          <w:rFonts w:cs="Times New Roman"/>
          <w:noProof/>
          <w:lang w:val="sk-SK"/>
        </w:rPr>
        <w:t xml:space="preserve"> a </w:t>
      </w:r>
      <w:r w:rsidRPr="00083739">
        <w:rPr>
          <w:rFonts w:cs="Times New Roman"/>
          <w:noProof/>
          <w:lang w:val="sk-SK"/>
        </w:rPr>
        <w:t>likviditu vyrovnávacieho trhu, zvýšiť primeranosť sústavy, umožniť energetickú efektívnosť, podporiť transparentnosť pri tvorbe cien elektriny</w:t>
      </w:r>
      <w:r w:rsidR="00083739" w:rsidRPr="00083739">
        <w:rPr>
          <w:rFonts w:cs="Times New Roman"/>
          <w:noProof/>
          <w:lang w:val="sk-SK"/>
        </w:rPr>
        <w:t xml:space="preserve"> a </w:t>
      </w:r>
      <w:r w:rsidRPr="00083739">
        <w:rPr>
          <w:rFonts w:cs="Times New Roman"/>
          <w:noProof/>
          <w:lang w:val="sk-SK"/>
        </w:rPr>
        <w:t>znížiť náklady na energiu. Realizácia investície sa u</w:t>
      </w:r>
      <w:r w:rsidRPr="00083739">
        <w:rPr>
          <w:rFonts w:cs="Times New Roman"/>
          <w:noProof/>
          <w:lang w:val="sk-SK"/>
        </w:rPr>
        <w:t>končí do 31</w:t>
      </w:r>
      <w:r w:rsidR="00083739" w:rsidRPr="00083739">
        <w:rPr>
          <w:rFonts w:cs="Times New Roman"/>
          <w:noProof/>
          <w:lang w:val="sk-SK"/>
        </w:rPr>
        <w:t>. decembra</w:t>
      </w:r>
      <w:r w:rsidRPr="00083739">
        <w:rPr>
          <w:rFonts w:cs="Times New Roman"/>
          <w:noProof/>
          <w:lang w:val="sk-SK"/>
        </w:rPr>
        <w:t xml:space="preserve"> 2025.</w:t>
      </w:r>
    </w:p>
    <w:p w14:paraId="4936762B" w14:textId="7777777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 xml:space="preserve">Investície: </w:t>
      </w:r>
      <w:r w:rsidRPr="00083739">
        <w:rPr>
          <w:rFonts w:cs="Times New Roman"/>
          <w:noProof/>
          <w:lang w:val="sk-SK"/>
        </w:rPr>
        <w:t>Revitalizačné opatrenia najviac postihnutých území (územia spravodlivej transformácie) (ID opatrenia: 16871)</w:t>
      </w:r>
    </w:p>
    <w:p w14:paraId="496028B6" w14:textId="77AF2BA1" w:rsidR="002D49B0" w:rsidRPr="00083739" w:rsidRDefault="00BF4125">
      <w:pPr>
        <w:pStyle w:val="P68B1DB1-Normal4"/>
        <w:spacing w:before="120" w:after="120" w:line="240" w:lineRule="auto"/>
        <w:jc w:val="both"/>
        <w:rPr>
          <w:rFonts w:cs="Times New Roman"/>
          <w:noProof/>
          <w:szCs w:val="24"/>
          <w:lang w:val="sk-SK"/>
        </w:rPr>
      </w:pPr>
      <w:r w:rsidRPr="00083739">
        <w:rPr>
          <w:rFonts w:cs="Times New Roman"/>
          <w:noProof/>
          <w:lang w:val="sk-SK"/>
        </w:rPr>
        <w:t>Investícia pozostáva</w:t>
      </w:r>
      <w:r w:rsidR="00083739" w:rsidRPr="00083739">
        <w:rPr>
          <w:rFonts w:cs="Times New Roman"/>
          <w:noProof/>
          <w:lang w:val="sk-SK"/>
        </w:rPr>
        <w:t xml:space="preserve"> z </w:t>
      </w:r>
      <w:r w:rsidRPr="00083739">
        <w:rPr>
          <w:rFonts w:cs="Times New Roman"/>
          <w:noProof/>
          <w:lang w:val="sk-SK"/>
        </w:rPr>
        <w:t>grantov na financovanie obnovy pôdy</w:t>
      </w:r>
      <w:r w:rsidR="00083739" w:rsidRPr="00083739">
        <w:rPr>
          <w:rFonts w:cs="Times New Roman"/>
          <w:noProof/>
          <w:lang w:val="sk-SK"/>
        </w:rPr>
        <w:t xml:space="preserve"> v </w:t>
      </w:r>
      <w:r w:rsidRPr="00083739">
        <w:rPr>
          <w:rFonts w:cs="Times New Roman"/>
          <w:noProof/>
          <w:lang w:val="sk-SK"/>
        </w:rPr>
        <w:t>oblastiach bývalých hnedouhoľných baní</w:t>
      </w:r>
      <w:r w:rsidR="00083739" w:rsidRPr="00083739">
        <w:rPr>
          <w:rFonts w:cs="Times New Roman"/>
          <w:noProof/>
          <w:lang w:val="sk-SK"/>
        </w:rPr>
        <w:t xml:space="preserve"> v </w:t>
      </w:r>
      <w:r w:rsidRPr="00083739">
        <w:rPr>
          <w:rFonts w:cs="Times New Roman"/>
          <w:noProof/>
          <w:lang w:val="sk-SK"/>
        </w:rPr>
        <w:t>Západ</w:t>
      </w:r>
      <w:r w:rsidRPr="00083739">
        <w:rPr>
          <w:rFonts w:cs="Times New Roman"/>
          <w:noProof/>
          <w:lang w:val="sk-SK"/>
        </w:rPr>
        <w:t>nom Macedónsku</w:t>
      </w:r>
      <w:r w:rsidR="00083739" w:rsidRPr="00083739">
        <w:rPr>
          <w:rFonts w:cs="Times New Roman"/>
          <w:noProof/>
          <w:lang w:val="sk-SK"/>
        </w:rPr>
        <w:t xml:space="preserve"> a </w:t>
      </w:r>
      <w:r w:rsidRPr="00083739">
        <w:rPr>
          <w:rFonts w:cs="Times New Roman"/>
          <w:noProof/>
          <w:lang w:val="sk-SK"/>
        </w:rPr>
        <w:t>Megalopolise. Opatrenie sa zameriava na oblasti spravodlivej transformácie</w:t>
      </w:r>
      <w:r w:rsidR="00083739" w:rsidRPr="00083739">
        <w:rPr>
          <w:rFonts w:cs="Times New Roman"/>
          <w:noProof/>
          <w:lang w:val="sk-SK"/>
        </w:rPr>
        <w:t xml:space="preserve"> s </w:t>
      </w:r>
      <w:r w:rsidRPr="00083739">
        <w:rPr>
          <w:rFonts w:cs="Times New Roman"/>
          <w:noProof/>
          <w:lang w:val="sk-SK"/>
        </w:rPr>
        <w:t>environmentálnymi</w:t>
      </w:r>
      <w:r w:rsidR="00083739" w:rsidRPr="00083739">
        <w:rPr>
          <w:rFonts w:cs="Times New Roman"/>
          <w:noProof/>
          <w:lang w:val="sk-SK"/>
        </w:rPr>
        <w:t xml:space="preserve"> a </w:t>
      </w:r>
      <w:r w:rsidRPr="00083739">
        <w:rPr>
          <w:rFonts w:cs="Times New Roman"/>
          <w:noProof/>
          <w:lang w:val="sk-SK"/>
        </w:rPr>
        <w:t>hospodárskymi intervenciami, ako je sanácia pôdy, obnova</w:t>
      </w:r>
      <w:r w:rsidR="00083739" w:rsidRPr="00083739">
        <w:rPr>
          <w:rFonts w:cs="Times New Roman"/>
          <w:noProof/>
          <w:lang w:val="sk-SK"/>
        </w:rPr>
        <w:t xml:space="preserve"> a </w:t>
      </w:r>
      <w:r w:rsidRPr="00083739">
        <w:rPr>
          <w:rFonts w:cs="Times New Roman"/>
          <w:noProof/>
          <w:lang w:val="sk-SK"/>
        </w:rPr>
        <w:t>vykonávanie intervencií týkajúcich sa obnovy krajiny</w:t>
      </w:r>
      <w:r w:rsidR="00083739" w:rsidRPr="00083739">
        <w:rPr>
          <w:rFonts w:cs="Times New Roman"/>
          <w:noProof/>
          <w:lang w:val="sk-SK"/>
        </w:rPr>
        <w:t xml:space="preserve"> a </w:t>
      </w:r>
      <w:r w:rsidRPr="00083739">
        <w:rPr>
          <w:rFonts w:cs="Times New Roman"/>
          <w:noProof/>
          <w:lang w:val="sk-SK"/>
        </w:rPr>
        <w:t>životného prostredia, úpravy</w:t>
      </w:r>
      <w:r w:rsidRPr="00083739">
        <w:rPr>
          <w:rFonts w:cs="Times New Roman"/>
          <w:noProof/>
          <w:lang w:val="sk-SK"/>
        </w:rPr>
        <w:t xml:space="preserve"> využívania pôdy</w:t>
      </w:r>
      <w:r w:rsidR="00083739" w:rsidRPr="00083739">
        <w:rPr>
          <w:rFonts w:cs="Times New Roman"/>
          <w:noProof/>
          <w:lang w:val="sk-SK"/>
        </w:rPr>
        <w:t xml:space="preserve"> a </w:t>
      </w:r>
      <w:r w:rsidRPr="00083739">
        <w:rPr>
          <w:rFonts w:cs="Times New Roman"/>
          <w:noProof/>
          <w:lang w:val="sk-SK"/>
        </w:rPr>
        <w:t xml:space="preserve">vytváranie organizovaných receptorov činností. Realizáciu tejto investície riadi účelovo vytvorený subjekt, ktorý Grécko zriadi nadobudnutím účinnosti príslušného legislatívneho rámca. Tento rámec zahŕňa ustanovenie, </w:t>
      </w:r>
      <w:r w:rsidRPr="00083739">
        <w:rPr>
          <w:rFonts w:cs="Times New Roman"/>
          <w:noProof/>
          <w:szCs w:val="24"/>
          <w:lang w:val="sk-SK"/>
        </w:rPr>
        <w:t>že účelovo vytvorený</w:t>
      </w:r>
      <w:r w:rsidRPr="00083739">
        <w:rPr>
          <w:rFonts w:cs="Times New Roman"/>
          <w:noProof/>
          <w:szCs w:val="24"/>
          <w:lang w:val="sk-SK"/>
        </w:rPr>
        <w:t xml:space="preserve"> subjekt sa stane novým oprávneným vlastníkom</w:t>
      </w:r>
      <w:r w:rsidR="00083739" w:rsidRPr="00083739">
        <w:rPr>
          <w:rFonts w:cs="Times New Roman"/>
          <w:noProof/>
          <w:szCs w:val="24"/>
          <w:lang w:val="sk-SK"/>
        </w:rPr>
        <w:t xml:space="preserve"> a </w:t>
      </w:r>
      <w:r w:rsidRPr="00083739">
        <w:rPr>
          <w:rFonts w:cs="Times New Roman"/>
          <w:noProof/>
          <w:szCs w:val="24"/>
          <w:lang w:val="sk-SK"/>
        </w:rPr>
        <w:t>developerom prevedených zemepisných oblastí. Osobitný projektový subjekt je zodpovedný za financovanie</w:t>
      </w:r>
      <w:r w:rsidR="00083739" w:rsidRPr="00083739">
        <w:rPr>
          <w:rFonts w:cs="Times New Roman"/>
          <w:noProof/>
          <w:szCs w:val="24"/>
          <w:lang w:val="sk-SK"/>
        </w:rPr>
        <w:t xml:space="preserve"> a </w:t>
      </w:r>
      <w:r w:rsidRPr="00083739">
        <w:rPr>
          <w:rFonts w:cs="Times New Roman"/>
          <w:noProof/>
          <w:szCs w:val="24"/>
          <w:lang w:val="sk-SK"/>
        </w:rPr>
        <w:t>vykonávanie sanitačných, reštauračných, rekultivačných</w:t>
      </w:r>
      <w:r w:rsidR="00083739" w:rsidRPr="00083739">
        <w:rPr>
          <w:rFonts w:cs="Times New Roman"/>
          <w:noProof/>
          <w:szCs w:val="24"/>
          <w:lang w:val="sk-SK"/>
        </w:rPr>
        <w:t xml:space="preserve"> a </w:t>
      </w:r>
      <w:r w:rsidRPr="00083739">
        <w:rPr>
          <w:rFonts w:cs="Times New Roman"/>
          <w:noProof/>
          <w:szCs w:val="24"/>
          <w:lang w:val="sk-SK"/>
        </w:rPr>
        <w:t xml:space="preserve">modernizačných prác. Realizácia investície sa </w:t>
      </w:r>
      <w:r w:rsidRPr="00083739">
        <w:rPr>
          <w:rFonts w:cs="Times New Roman"/>
          <w:noProof/>
          <w:szCs w:val="24"/>
          <w:lang w:val="sk-SK"/>
        </w:rPr>
        <w:t>ukončí do 31</w:t>
      </w:r>
      <w:r w:rsidR="00083739" w:rsidRPr="00083739">
        <w:rPr>
          <w:rFonts w:cs="Times New Roman"/>
          <w:noProof/>
          <w:szCs w:val="24"/>
          <w:lang w:val="sk-SK"/>
        </w:rPr>
        <w:t>. decembra</w:t>
      </w:r>
      <w:r w:rsidRPr="00083739">
        <w:rPr>
          <w:rFonts w:cs="Times New Roman"/>
          <w:noProof/>
          <w:szCs w:val="24"/>
          <w:lang w:val="sk-SK"/>
        </w:rPr>
        <w:t xml:space="preserve"> 2025.</w:t>
      </w:r>
    </w:p>
    <w:p w14:paraId="0906A6D6" w14:textId="4D8607BA"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Intervencie</w:t>
      </w:r>
      <w:r w:rsidR="00083739" w:rsidRPr="00083739">
        <w:rPr>
          <w:rFonts w:cs="Times New Roman"/>
          <w:noProof/>
          <w:lang w:val="sk-SK"/>
        </w:rPr>
        <w:t xml:space="preserve"> v </w:t>
      </w:r>
      <w:r w:rsidRPr="00083739">
        <w:rPr>
          <w:rFonts w:cs="Times New Roman"/>
          <w:noProof/>
          <w:lang w:val="sk-SK"/>
        </w:rPr>
        <w:t>oblasti prepojenia elektrických sietí ostrovov</w:t>
      </w:r>
      <w:r w:rsidR="00083739" w:rsidRPr="00083739">
        <w:rPr>
          <w:rFonts w:cs="Times New Roman"/>
          <w:noProof/>
          <w:lang w:val="sk-SK"/>
        </w:rPr>
        <w:t xml:space="preserve"> a </w:t>
      </w:r>
      <w:r w:rsidRPr="00083739">
        <w:rPr>
          <w:rFonts w:cs="Times New Roman"/>
          <w:noProof/>
          <w:lang w:val="sk-SK"/>
        </w:rPr>
        <w:t>modernizácie elektrickej siete (ID opatrenia: 16870)</w:t>
      </w:r>
    </w:p>
    <w:p w14:paraId="5F3B159D" w14:textId="5C078B53" w:rsidR="002D49B0" w:rsidRPr="00083739" w:rsidRDefault="00BF4125">
      <w:pPr>
        <w:pStyle w:val="P68B1DB1-Normal5"/>
        <w:spacing w:before="120" w:after="120" w:line="240" w:lineRule="auto"/>
        <w:jc w:val="both"/>
        <w:rPr>
          <w:rFonts w:cs="Times New Roman"/>
          <w:noProof/>
          <w:lang w:val="sk-SK"/>
        </w:rPr>
      </w:pPr>
      <w:r w:rsidRPr="00083739">
        <w:rPr>
          <w:rFonts w:cs="Times New Roman"/>
          <w:noProof/>
          <w:lang w:val="sk-SK"/>
        </w:rPr>
        <w:t>Investícia zahŕňa elektrické prepojenie Cykládových ostrovov (fáza D), nadzemné vedenie spájajúce k</w:t>
      </w:r>
      <w:r w:rsidRPr="00083739">
        <w:rPr>
          <w:rFonts w:cs="Times New Roman"/>
          <w:noProof/>
          <w:lang w:val="sk-SK"/>
        </w:rPr>
        <w:t>orintské centrum veľmi vysokého napätia (EHVC)</w:t>
      </w:r>
      <w:r w:rsidR="00083739" w:rsidRPr="00083739">
        <w:rPr>
          <w:rFonts w:cs="Times New Roman"/>
          <w:noProof/>
          <w:lang w:val="sk-SK"/>
        </w:rPr>
        <w:t xml:space="preserve"> a </w:t>
      </w:r>
      <w:r w:rsidRPr="00083739">
        <w:rPr>
          <w:rFonts w:cs="Times New Roman"/>
          <w:noProof/>
          <w:lang w:val="sk-SK"/>
        </w:rPr>
        <w:t>EHVC Koumoundouros</w:t>
      </w:r>
      <w:r w:rsidR="00083739" w:rsidRPr="00083739">
        <w:rPr>
          <w:rFonts w:cs="Times New Roman"/>
          <w:noProof/>
          <w:lang w:val="sk-SK"/>
        </w:rPr>
        <w:t xml:space="preserve"> a </w:t>
      </w:r>
      <w:r w:rsidRPr="00083739">
        <w:rPr>
          <w:rFonts w:cs="Times New Roman"/>
          <w:noProof/>
          <w:lang w:val="sk-SK"/>
        </w:rPr>
        <w:t>sprievodné projekty. Cieľom projektov je zvýšiť bezpečnosť energetického systému</w:t>
      </w:r>
      <w:r w:rsidR="00083739" w:rsidRPr="00083739">
        <w:rPr>
          <w:rFonts w:cs="Times New Roman"/>
          <w:noProof/>
          <w:lang w:val="sk-SK"/>
        </w:rPr>
        <w:t xml:space="preserve"> a </w:t>
      </w:r>
      <w:r w:rsidRPr="00083739">
        <w:rPr>
          <w:rFonts w:cs="Times New Roman"/>
          <w:noProof/>
          <w:lang w:val="sk-SK"/>
        </w:rPr>
        <w:t>zároveň zvýšiť potenciál výroby elektrickej energie</w:t>
      </w:r>
      <w:r w:rsidR="00083739" w:rsidRPr="00083739">
        <w:rPr>
          <w:rFonts w:cs="Times New Roman"/>
          <w:noProof/>
          <w:lang w:val="sk-SK"/>
        </w:rPr>
        <w:t xml:space="preserve"> z </w:t>
      </w:r>
      <w:r w:rsidRPr="00083739">
        <w:rPr>
          <w:rFonts w:cs="Times New Roman"/>
          <w:noProof/>
          <w:lang w:val="sk-SK"/>
        </w:rPr>
        <w:t>obnoviteľných zdrojov na ostrovoch</w:t>
      </w:r>
      <w:r w:rsidR="00083739" w:rsidRPr="00083739">
        <w:rPr>
          <w:rFonts w:cs="Times New Roman"/>
          <w:noProof/>
          <w:lang w:val="sk-SK"/>
        </w:rPr>
        <w:t xml:space="preserve"> a v </w:t>
      </w:r>
      <w:r w:rsidRPr="00083739">
        <w:rPr>
          <w:rFonts w:cs="Times New Roman"/>
          <w:noProof/>
          <w:lang w:val="sk-SK"/>
        </w:rPr>
        <w:t>Peloponéze</w:t>
      </w:r>
      <w:r w:rsidRPr="00083739">
        <w:rPr>
          <w:rFonts w:cs="Times New Roman"/>
          <w:noProof/>
          <w:lang w:val="sk-SK"/>
        </w:rPr>
        <w:t>. Cieľom investície je znížiť náklady na energiu, čo povedie</w:t>
      </w:r>
      <w:r w:rsidR="00083739" w:rsidRPr="00083739">
        <w:rPr>
          <w:rFonts w:cs="Times New Roman"/>
          <w:noProof/>
          <w:lang w:val="sk-SK"/>
        </w:rPr>
        <w:t xml:space="preserve"> k </w:t>
      </w:r>
      <w:r w:rsidRPr="00083739">
        <w:rPr>
          <w:rFonts w:cs="Times New Roman"/>
          <w:noProof/>
          <w:lang w:val="sk-SK"/>
        </w:rPr>
        <w:t>novým investíciám</w:t>
      </w:r>
      <w:r w:rsidR="00083739" w:rsidRPr="00083739">
        <w:rPr>
          <w:rFonts w:cs="Times New Roman"/>
          <w:noProof/>
          <w:lang w:val="sk-SK"/>
        </w:rPr>
        <w:t xml:space="preserve"> a </w:t>
      </w:r>
      <w:r w:rsidRPr="00083739">
        <w:rPr>
          <w:rFonts w:cs="Times New Roman"/>
          <w:noProof/>
          <w:lang w:val="sk-SK"/>
        </w:rPr>
        <w:t>pracovným miestam</w:t>
      </w:r>
      <w:r w:rsidR="00083739" w:rsidRPr="00083739">
        <w:rPr>
          <w:rFonts w:cs="Times New Roman"/>
          <w:noProof/>
          <w:lang w:val="sk-SK"/>
        </w:rPr>
        <w:t xml:space="preserve"> v </w:t>
      </w:r>
      <w:r w:rsidRPr="00083739">
        <w:rPr>
          <w:rFonts w:cs="Times New Roman"/>
          <w:noProof/>
          <w:lang w:val="sk-SK"/>
        </w:rPr>
        <w:t>energeticky náročných odvetviach hospodárstva. Realizácia investície sa ukončí do 31</w:t>
      </w:r>
      <w:r w:rsidR="00083739" w:rsidRPr="00083739">
        <w:rPr>
          <w:rFonts w:cs="Times New Roman"/>
          <w:noProof/>
          <w:lang w:val="sk-SK"/>
        </w:rPr>
        <w:t>. decembra</w:t>
      </w:r>
      <w:r w:rsidRPr="00083739">
        <w:rPr>
          <w:rFonts w:cs="Times New Roman"/>
          <w:noProof/>
          <w:lang w:val="sk-SK"/>
        </w:rPr>
        <w:t xml:space="preserve"> 2025.</w:t>
      </w:r>
    </w:p>
    <w:p w14:paraId="78B918E0" w14:textId="6BA9286F"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 xml:space="preserve">Investície: </w:t>
      </w:r>
      <w:r w:rsidRPr="00083739">
        <w:rPr>
          <w:rFonts w:cs="Times New Roman"/>
          <w:noProof/>
          <w:lang w:val="sk-SK"/>
        </w:rPr>
        <w:t>Modernizácia siete gréckeho prevádzkovat</w:t>
      </w:r>
      <w:r w:rsidRPr="00083739">
        <w:rPr>
          <w:rFonts w:cs="Times New Roman"/>
          <w:noProof/>
          <w:lang w:val="sk-SK"/>
        </w:rPr>
        <w:t>eľa distribučnej siete (HEDNO) zameraná na zvýšenie odolnosti</w:t>
      </w:r>
      <w:r w:rsidR="00083739" w:rsidRPr="00083739">
        <w:rPr>
          <w:rFonts w:cs="Times New Roman"/>
          <w:noProof/>
          <w:lang w:val="sk-SK"/>
        </w:rPr>
        <w:t xml:space="preserve"> a </w:t>
      </w:r>
      <w:r w:rsidRPr="00083739">
        <w:rPr>
          <w:rFonts w:cs="Times New Roman"/>
          <w:noProof/>
          <w:lang w:val="sk-SK"/>
        </w:rPr>
        <w:t>ochranu životného prostredia (ID opatrenia: 16901)</w:t>
      </w:r>
    </w:p>
    <w:p w14:paraId="6FFC3857" w14:textId="3CB52A98" w:rsidR="002D49B0" w:rsidRPr="00083739" w:rsidRDefault="00BF4125">
      <w:pPr>
        <w:pStyle w:val="P68B1DB1-Normal5"/>
        <w:spacing w:before="120" w:after="120" w:line="240" w:lineRule="auto"/>
        <w:jc w:val="both"/>
        <w:rPr>
          <w:rFonts w:cs="Times New Roman"/>
          <w:noProof/>
          <w:lang w:val="sk-SK"/>
        </w:rPr>
      </w:pPr>
      <w:r w:rsidRPr="00083739">
        <w:rPr>
          <w:rFonts w:cs="Times New Roman"/>
          <w:noProof/>
          <w:lang w:val="sk-SK"/>
        </w:rPr>
        <w:t>Investícia pozostáva</w:t>
      </w:r>
      <w:r w:rsidR="00083739" w:rsidRPr="00083739">
        <w:rPr>
          <w:rFonts w:cs="Times New Roman"/>
          <w:noProof/>
          <w:lang w:val="sk-SK"/>
        </w:rPr>
        <w:t xml:space="preserve"> z </w:t>
      </w:r>
      <w:r w:rsidRPr="00083739">
        <w:rPr>
          <w:rFonts w:cs="Times New Roman"/>
          <w:noProof/>
          <w:lang w:val="sk-SK"/>
        </w:rPr>
        <w:t>podložia</w:t>
      </w:r>
      <w:r w:rsidR="00083739" w:rsidRPr="00083739">
        <w:rPr>
          <w:rFonts w:cs="Times New Roman"/>
          <w:noProof/>
          <w:lang w:val="sk-SK"/>
        </w:rPr>
        <w:t xml:space="preserve"> a </w:t>
      </w:r>
      <w:r w:rsidRPr="00083739">
        <w:rPr>
          <w:rFonts w:cs="Times New Roman"/>
          <w:noProof/>
          <w:lang w:val="sk-SK"/>
        </w:rPr>
        <w:t>presmerovania elektrickej distribučnej siete</w:t>
      </w:r>
      <w:r w:rsidR="00083739" w:rsidRPr="00083739">
        <w:rPr>
          <w:rFonts w:cs="Times New Roman"/>
          <w:noProof/>
          <w:lang w:val="sk-SK"/>
        </w:rPr>
        <w:t xml:space="preserve"> v </w:t>
      </w:r>
      <w:r w:rsidRPr="00083739">
        <w:rPr>
          <w:rFonts w:cs="Times New Roman"/>
          <w:noProof/>
          <w:lang w:val="sk-SK"/>
        </w:rPr>
        <w:t>osadách osobitného významu</w:t>
      </w:r>
      <w:r w:rsidR="00083739" w:rsidRPr="00083739">
        <w:rPr>
          <w:rFonts w:cs="Times New Roman"/>
          <w:noProof/>
          <w:lang w:val="sk-SK"/>
        </w:rPr>
        <w:t xml:space="preserve"> z </w:t>
      </w:r>
      <w:r w:rsidRPr="00083739">
        <w:rPr>
          <w:rFonts w:cs="Times New Roman"/>
          <w:noProof/>
          <w:lang w:val="sk-SK"/>
        </w:rPr>
        <w:t>hľadiska kultúry alebo cestovné</w:t>
      </w:r>
      <w:r w:rsidRPr="00083739">
        <w:rPr>
          <w:rFonts w:cs="Times New Roman"/>
          <w:noProof/>
          <w:lang w:val="sk-SK"/>
        </w:rPr>
        <w:t>ho ruchu, ako aj</w:t>
      </w:r>
      <w:r w:rsidR="00083739" w:rsidRPr="00083739">
        <w:rPr>
          <w:rFonts w:cs="Times New Roman"/>
          <w:noProof/>
          <w:lang w:val="sk-SK"/>
        </w:rPr>
        <w:t xml:space="preserve"> v </w:t>
      </w:r>
      <w:r w:rsidRPr="00083739">
        <w:rPr>
          <w:rFonts w:cs="Times New Roman"/>
          <w:noProof/>
          <w:lang w:val="sk-SK"/>
        </w:rPr>
        <w:t>mestských oblastiach, pričom prioritou sú oblasti,</w:t>
      </w:r>
      <w:r w:rsidR="00083739" w:rsidRPr="00083739">
        <w:rPr>
          <w:rFonts w:cs="Times New Roman"/>
          <w:noProof/>
          <w:lang w:val="sk-SK"/>
        </w:rPr>
        <w:t xml:space="preserve"> v </w:t>
      </w:r>
      <w:r w:rsidRPr="00083739">
        <w:rPr>
          <w:rFonts w:cs="Times New Roman"/>
          <w:noProof/>
          <w:lang w:val="sk-SK"/>
        </w:rPr>
        <w:t>ktorých je infraštruktúra citlivá na extrémne počasie. Jeho cieľom je zlepšiť odolnosť distribučnej siete</w:t>
      </w:r>
      <w:r w:rsidR="00083739" w:rsidRPr="00083739">
        <w:rPr>
          <w:rFonts w:cs="Times New Roman"/>
          <w:noProof/>
          <w:lang w:val="sk-SK"/>
        </w:rPr>
        <w:t xml:space="preserve"> a </w:t>
      </w:r>
      <w:r w:rsidRPr="00083739">
        <w:rPr>
          <w:rFonts w:cs="Times New Roman"/>
          <w:noProof/>
          <w:lang w:val="sk-SK"/>
        </w:rPr>
        <w:t>prispieť</w:t>
      </w:r>
      <w:r w:rsidR="00083739" w:rsidRPr="00083739">
        <w:rPr>
          <w:rFonts w:cs="Times New Roman"/>
          <w:noProof/>
          <w:lang w:val="sk-SK"/>
        </w:rPr>
        <w:t xml:space="preserve"> k </w:t>
      </w:r>
      <w:r w:rsidRPr="00083739">
        <w:rPr>
          <w:rFonts w:cs="Times New Roman"/>
          <w:noProof/>
          <w:lang w:val="sk-SK"/>
        </w:rPr>
        <w:t xml:space="preserve">ochrane životného prostredia. Realizácia investície sa ukončí do </w:t>
      </w:r>
      <w:r w:rsidRPr="00083739">
        <w:rPr>
          <w:rFonts w:cs="Times New Roman"/>
          <w:noProof/>
          <w:lang w:val="sk-SK"/>
        </w:rPr>
        <w:t>31</w:t>
      </w:r>
      <w:r w:rsidR="00083739" w:rsidRPr="00083739">
        <w:rPr>
          <w:rFonts w:cs="Times New Roman"/>
          <w:noProof/>
          <w:lang w:val="sk-SK"/>
        </w:rPr>
        <w:t>. decembra</w:t>
      </w:r>
      <w:r w:rsidRPr="00083739">
        <w:rPr>
          <w:rFonts w:cs="Times New Roman"/>
          <w:noProof/>
          <w:lang w:val="sk-SK"/>
        </w:rPr>
        <w:t xml:space="preserve"> 2025.</w:t>
      </w:r>
    </w:p>
    <w:p w14:paraId="3A0A6242" w14:textId="7E42708A"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Modernizácia nadzemnej siete gréckeho prevádzkovateľa distribučnej siete (HEDNO)</w:t>
      </w:r>
      <w:r w:rsidR="00083739" w:rsidRPr="00083739">
        <w:rPr>
          <w:rFonts w:cs="Times New Roman"/>
          <w:noProof/>
          <w:lang w:val="sk-SK"/>
        </w:rPr>
        <w:t xml:space="preserve"> v </w:t>
      </w:r>
      <w:r w:rsidRPr="00083739">
        <w:rPr>
          <w:rFonts w:cs="Times New Roman"/>
          <w:noProof/>
          <w:lang w:val="sk-SK"/>
        </w:rPr>
        <w:t>lesných oblastiach (ID opatrenia: 16900)</w:t>
      </w:r>
    </w:p>
    <w:p w14:paraId="3B68532C" w14:textId="7E6C078B" w:rsidR="002D49B0" w:rsidRPr="00083739" w:rsidRDefault="00BF4125">
      <w:pPr>
        <w:pStyle w:val="P68B1DB1-Normal5"/>
        <w:spacing w:before="120" w:after="120" w:line="240" w:lineRule="auto"/>
        <w:jc w:val="both"/>
        <w:rPr>
          <w:rFonts w:cs="Times New Roman"/>
          <w:noProof/>
          <w:lang w:val="sk-SK"/>
        </w:rPr>
      </w:pPr>
      <w:r w:rsidRPr="00083739">
        <w:rPr>
          <w:rFonts w:cs="Times New Roman"/>
          <w:noProof/>
          <w:lang w:val="sk-SK"/>
        </w:rPr>
        <w:t>Investícia pozostáva</w:t>
      </w:r>
      <w:r w:rsidR="00083739" w:rsidRPr="00083739">
        <w:rPr>
          <w:rFonts w:cs="Times New Roman"/>
          <w:noProof/>
          <w:lang w:val="sk-SK"/>
        </w:rPr>
        <w:t xml:space="preserve"> z </w:t>
      </w:r>
      <w:r w:rsidRPr="00083739">
        <w:rPr>
          <w:rFonts w:cs="Times New Roman"/>
          <w:noProof/>
          <w:lang w:val="sk-SK"/>
        </w:rPr>
        <w:t>nahradenia vodičov bez posádky</w:t>
      </w:r>
      <w:r w:rsidR="00083739" w:rsidRPr="00083739">
        <w:rPr>
          <w:rFonts w:cs="Times New Roman"/>
          <w:noProof/>
          <w:lang w:val="sk-SK"/>
        </w:rPr>
        <w:t xml:space="preserve"> v </w:t>
      </w:r>
      <w:r w:rsidRPr="00083739">
        <w:rPr>
          <w:rFonts w:cs="Times New Roman"/>
          <w:noProof/>
          <w:lang w:val="sk-SK"/>
        </w:rPr>
        <w:t xml:space="preserve">distribučnej sieti nadzemnej elektrickej </w:t>
      </w:r>
      <w:r w:rsidRPr="00083739">
        <w:rPr>
          <w:rFonts w:cs="Times New Roman"/>
          <w:noProof/>
          <w:lang w:val="sk-SK"/>
        </w:rPr>
        <w:t>energie (zahrnutými vodičmi alebo krúteným káblom), inštalácie izolačných krytov</w:t>
      </w:r>
      <w:r w:rsidR="00083739" w:rsidRPr="00083739">
        <w:rPr>
          <w:rFonts w:cs="Times New Roman"/>
          <w:noProof/>
          <w:lang w:val="sk-SK"/>
        </w:rPr>
        <w:t xml:space="preserve"> a </w:t>
      </w:r>
      <w:r w:rsidRPr="00083739">
        <w:rPr>
          <w:rFonts w:cs="Times New Roman"/>
          <w:noProof/>
          <w:lang w:val="sk-SK"/>
        </w:rPr>
        <w:t>podzemia alebo premiestnenia elektrickej distribučnej siete cez lesné oblasti. Cieľom projektu je zlepšiť odolnosť</w:t>
      </w:r>
      <w:r w:rsidR="00083739" w:rsidRPr="00083739">
        <w:rPr>
          <w:rFonts w:cs="Times New Roman"/>
          <w:noProof/>
          <w:lang w:val="sk-SK"/>
        </w:rPr>
        <w:t xml:space="preserve"> a </w:t>
      </w:r>
      <w:r w:rsidRPr="00083739">
        <w:rPr>
          <w:rFonts w:cs="Times New Roman"/>
          <w:noProof/>
          <w:lang w:val="sk-SK"/>
        </w:rPr>
        <w:t>spoľahlivosť siete (ukazovatele kvality energie SAIDI, S</w:t>
      </w:r>
      <w:r w:rsidRPr="00083739">
        <w:rPr>
          <w:rFonts w:cs="Times New Roman"/>
          <w:noProof/>
          <w:lang w:val="sk-SK"/>
        </w:rPr>
        <w:t>AIFI)</w:t>
      </w:r>
      <w:r w:rsidR="00083739" w:rsidRPr="00083739">
        <w:rPr>
          <w:rFonts w:cs="Times New Roman"/>
          <w:noProof/>
          <w:lang w:val="sk-SK"/>
        </w:rPr>
        <w:t xml:space="preserve"> a </w:t>
      </w:r>
      <w:r w:rsidRPr="00083739">
        <w:rPr>
          <w:rFonts w:cs="Times New Roman"/>
          <w:noProof/>
          <w:lang w:val="sk-SK"/>
        </w:rPr>
        <w:t>lepšie chrániť životné prostredie (lesy, voľne žijúce živočíchy</w:t>
      </w:r>
      <w:r w:rsidR="00083739" w:rsidRPr="00083739">
        <w:rPr>
          <w:rFonts w:cs="Times New Roman"/>
          <w:noProof/>
          <w:lang w:val="sk-SK"/>
        </w:rPr>
        <w:t xml:space="preserve"> a </w:t>
      </w:r>
      <w:r w:rsidRPr="00083739">
        <w:rPr>
          <w:rFonts w:cs="Times New Roman"/>
          <w:noProof/>
          <w:lang w:val="sk-SK"/>
        </w:rPr>
        <w:t>rastliny). Realizácia investície sa ukončí do 31</w:t>
      </w:r>
      <w:r w:rsidR="00083739" w:rsidRPr="00083739">
        <w:rPr>
          <w:rFonts w:cs="Times New Roman"/>
          <w:noProof/>
          <w:lang w:val="sk-SK"/>
        </w:rPr>
        <w:t>. decembra</w:t>
      </w:r>
      <w:r w:rsidRPr="00083739">
        <w:rPr>
          <w:rFonts w:cs="Times New Roman"/>
          <w:noProof/>
          <w:lang w:val="sk-SK"/>
        </w:rPr>
        <w:t xml:space="preserve"> 2025.</w:t>
      </w:r>
    </w:p>
    <w:p w14:paraId="2C4B869E" w14:textId="62B3A1C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Zvýšenie inštalovaného výkonu</w:t>
      </w:r>
      <w:r w:rsidR="00083739" w:rsidRPr="00083739">
        <w:rPr>
          <w:rFonts w:cs="Times New Roman"/>
          <w:noProof/>
          <w:lang w:val="sk-SK"/>
        </w:rPr>
        <w:t xml:space="preserve"> v </w:t>
      </w:r>
      <w:r w:rsidRPr="00083739">
        <w:rPr>
          <w:rFonts w:cs="Times New Roman"/>
          <w:noProof/>
          <w:lang w:val="sk-SK"/>
        </w:rPr>
        <w:t xml:space="preserve">elektrárňach vysokého napätia/stredného napätia gréckeho prevádzkovateľa </w:t>
      </w:r>
      <w:r w:rsidRPr="00083739">
        <w:rPr>
          <w:rFonts w:cs="Times New Roman"/>
          <w:noProof/>
          <w:lang w:val="sk-SK"/>
        </w:rPr>
        <w:t>distribučnej siete (HEDNO) pre nové pripojenie OZE (ID opatrenia: 16899)</w:t>
      </w:r>
    </w:p>
    <w:p w14:paraId="687827C0" w14:textId="396D41C5" w:rsidR="002D49B0" w:rsidRPr="00083739" w:rsidRDefault="00BF4125">
      <w:pPr>
        <w:pStyle w:val="P68B1DB1-Normal5"/>
        <w:spacing w:before="120" w:after="120" w:line="240" w:lineRule="auto"/>
        <w:jc w:val="both"/>
        <w:rPr>
          <w:rFonts w:cs="Times New Roman"/>
          <w:noProof/>
          <w:lang w:val="sk-SK"/>
        </w:rPr>
      </w:pPr>
      <w:r w:rsidRPr="00083739">
        <w:rPr>
          <w:rFonts w:cs="Times New Roman"/>
          <w:noProof/>
          <w:lang w:val="sk-SK"/>
        </w:rPr>
        <w:t>Investícia zvýši kapacitu existujúcich rozvodní siete</w:t>
      </w:r>
      <w:r w:rsidR="00083739" w:rsidRPr="00083739">
        <w:rPr>
          <w:rFonts w:cs="Times New Roman"/>
          <w:noProof/>
          <w:lang w:val="sk-SK"/>
        </w:rPr>
        <w:t xml:space="preserve"> s </w:t>
      </w:r>
      <w:r w:rsidRPr="00083739">
        <w:rPr>
          <w:rFonts w:cs="Times New Roman"/>
          <w:noProof/>
          <w:lang w:val="sk-SK"/>
        </w:rPr>
        <w:t>cieľom riešiť preťaženie distribučnej sústavy, ktoré</w:t>
      </w:r>
      <w:r w:rsidR="00083739" w:rsidRPr="00083739">
        <w:rPr>
          <w:rFonts w:cs="Times New Roman"/>
          <w:noProof/>
          <w:lang w:val="sk-SK"/>
        </w:rPr>
        <w:t xml:space="preserve"> v </w:t>
      </w:r>
      <w:r w:rsidRPr="00083739">
        <w:rPr>
          <w:rFonts w:cs="Times New Roman"/>
          <w:noProof/>
          <w:lang w:val="sk-SK"/>
        </w:rPr>
        <w:t>súčasnosti bránia ďalším investíciám do energie</w:t>
      </w:r>
      <w:r w:rsidR="00083739" w:rsidRPr="00083739">
        <w:rPr>
          <w:rFonts w:cs="Times New Roman"/>
          <w:noProof/>
          <w:lang w:val="sk-SK"/>
        </w:rPr>
        <w:t xml:space="preserve"> z </w:t>
      </w:r>
      <w:r w:rsidRPr="00083739">
        <w:rPr>
          <w:rFonts w:cs="Times New Roman"/>
          <w:noProof/>
          <w:lang w:val="sk-SK"/>
        </w:rPr>
        <w:t>obnoviteľných zdrojov.</w:t>
      </w:r>
      <w:r w:rsidRPr="00083739">
        <w:rPr>
          <w:rFonts w:cs="Times New Roman"/>
          <w:noProof/>
          <w:lang w:val="sk-SK"/>
        </w:rPr>
        <w:t xml:space="preserve"> Realizácia investície sa ukončí do 31</w:t>
      </w:r>
      <w:r w:rsidR="00083739" w:rsidRPr="00083739">
        <w:rPr>
          <w:rFonts w:cs="Times New Roman"/>
          <w:noProof/>
          <w:lang w:val="sk-SK"/>
        </w:rPr>
        <w:t>. decembra</w:t>
      </w:r>
      <w:r w:rsidRPr="00083739">
        <w:rPr>
          <w:rFonts w:cs="Times New Roman"/>
          <w:noProof/>
          <w:lang w:val="sk-SK"/>
        </w:rPr>
        <w:t xml:space="preserve"> 2025.</w:t>
      </w:r>
    </w:p>
    <w:p w14:paraId="6499CE1C" w14:textId="50437B75"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Reforma:</w:t>
      </w:r>
      <w:r w:rsidRPr="00083739">
        <w:rPr>
          <w:rFonts w:cs="Times New Roman"/>
          <w:noProof/>
          <w:lang w:val="sk-SK"/>
        </w:rPr>
        <w:t xml:space="preserve"> Reštrukturalizácia</w:t>
      </w:r>
      <w:r w:rsidR="00083739" w:rsidRPr="00083739">
        <w:rPr>
          <w:rFonts w:cs="Times New Roman"/>
          <w:noProof/>
          <w:lang w:val="sk-SK"/>
        </w:rPr>
        <w:t xml:space="preserve"> a </w:t>
      </w:r>
      <w:r w:rsidRPr="00083739">
        <w:rPr>
          <w:rFonts w:cs="Times New Roman"/>
          <w:noProof/>
          <w:lang w:val="sk-SK"/>
        </w:rPr>
        <w:t>posilnenie príjmov</w:t>
      </w:r>
      <w:r w:rsidR="00083739" w:rsidRPr="00083739">
        <w:rPr>
          <w:rFonts w:cs="Times New Roman"/>
          <w:noProof/>
          <w:lang w:val="sk-SK"/>
        </w:rPr>
        <w:t xml:space="preserve"> z </w:t>
      </w:r>
      <w:r w:rsidRPr="00083739">
        <w:rPr>
          <w:rFonts w:cs="Times New Roman"/>
          <w:noProof/>
          <w:lang w:val="sk-SK"/>
        </w:rPr>
        <w:t>účtu obnoviteľných zdrojov energie – kombinovaného tepla</w:t>
      </w:r>
      <w:r w:rsidR="00083739" w:rsidRPr="00083739">
        <w:rPr>
          <w:rFonts w:cs="Times New Roman"/>
          <w:noProof/>
          <w:lang w:val="sk-SK"/>
        </w:rPr>
        <w:t xml:space="preserve"> a </w:t>
      </w:r>
      <w:r w:rsidRPr="00083739">
        <w:rPr>
          <w:rFonts w:cs="Times New Roman"/>
          <w:noProof/>
          <w:lang w:val="sk-SK"/>
        </w:rPr>
        <w:t>elektriny (RES-CHP) (ID opatrenia: 16865)</w:t>
      </w:r>
    </w:p>
    <w:p w14:paraId="28F09C56" w14:textId="37EEB4EA" w:rsidR="00083739"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Reforma pozostáva z: a) reštrukturalizáciu existu</w:t>
      </w:r>
      <w:r w:rsidRPr="00083739">
        <w:rPr>
          <w:rFonts w:cs="Times New Roman"/>
          <w:noProof/>
          <w:lang w:val="sk-SK"/>
        </w:rPr>
        <w:t>júcej štruktúry odmeňovania výrobcov OZE prostredníctvom zriadenia nových jednotiek OZE (zavedených do prevádzky po 1. januári 2021) nového účtu RES-KVET, ktorý nahradí súčasný účet doplnený novými mechanizmami, ktoré zaručia finančnú životaschopnosť exist</w:t>
      </w:r>
      <w:r w:rsidRPr="00083739">
        <w:rPr>
          <w:rFonts w:cs="Times New Roman"/>
          <w:noProof/>
          <w:lang w:val="sk-SK"/>
        </w:rPr>
        <w:t>ujúcich aj nových účtov KVET</w:t>
      </w:r>
      <w:r w:rsidR="00083739" w:rsidRPr="00083739">
        <w:rPr>
          <w:rFonts w:cs="Times New Roman"/>
          <w:noProof/>
          <w:lang w:val="sk-SK"/>
        </w:rPr>
        <w:t xml:space="preserve"> v </w:t>
      </w:r>
      <w:r w:rsidRPr="00083739">
        <w:rPr>
          <w:rFonts w:cs="Times New Roman"/>
          <w:noProof/>
          <w:lang w:val="sk-SK"/>
        </w:rPr>
        <w:t>oblasti obnoviteľných zdrojov energie;</w:t>
      </w:r>
      <w:r w:rsidR="00083739" w:rsidRPr="00083739">
        <w:rPr>
          <w:rFonts w:cs="Times New Roman"/>
          <w:noProof/>
          <w:lang w:val="sk-SK"/>
        </w:rPr>
        <w:t xml:space="preserve"> a </w:t>
      </w:r>
      <w:r w:rsidRPr="00083739">
        <w:rPr>
          <w:rFonts w:cs="Times New Roman"/>
          <w:noProof/>
          <w:lang w:val="sk-SK"/>
        </w:rPr>
        <w:t>b) zavedenie systému obchodovania so zárukami</w:t>
      </w:r>
      <w:r w:rsidR="00083739" w:rsidRPr="00083739">
        <w:rPr>
          <w:rFonts w:cs="Times New Roman"/>
          <w:noProof/>
          <w:lang w:val="sk-SK"/>
        </w:rPr>
        <w:t xml:space="preserve"> o </w:t>
      </w:r>
      <w:r w:rsidRPr="00083739">
        <w:rPr>
          <w:rFonts w:cs="Times New Roman"/>
          <w:noProof/>
          <w:lang w:val="sk-SK"/>
        </w:rPr>
        <w:t>pôvode, mimoriadneho cla</w:t>
      </w:r>
      <w:r w:rsidR="00083739" w:rsidRPr="00083739">
        <w:rPr>
          <w:rFonts w:cs="Times New Roman"/>
          <w:noProof/>
          <w:lang w:val="sk-SK"/>
        </w:rPr>
        <w:t xml:space="preserve"> v </w:t>
      </w:r>
      <w:r w:rsidRPr="00083739">
        <w:rPr>
          <w:rFonts w:cs="Times New Roman"/>
          <w:noProof/>
          <w:lang w:val="sk-SK"/>
        </w:rPr>
        <w:t>súvislosti</w:t>
      </w:r>
      <w:r w:rsidR="00083739" w:rsidRPr="00083739">
        <w:rPr>
          <w:rFonts w:cs="Times New Roman"/>
          <w:noProof/>
          <w:lang w:val="sk-SK"/>
        </w:rPr>
        <w:t xml:space="preserve"> s </w:t>
      </w:r>
      <w:r w:rsidRPr="00083739">
        <w:rPr>
          <w:rFonts w:cs="Times New Roman"/>
          <w:noProof/>
          <w:lang w:val="sk-SK"/>
        </w:rPr>
        <w:t>pandémiou COVID-19 pre výrobcov</w:t>
      </w:r>
      <w:r w:rsidR="00083739" w:rsidRPr="00083739">
        <w:rPr>
          <w:rFonts w:cs="Times New Roman"/>
          <w:noProof/>
          <w:lang w:val="sk-SK"/>
        </w:rPr>
        <w:t xml:space="preserve"> a </w:t>
      </w:r>
      <w:r w:rsidRPr="00083739">
        <w:rPr>
          <w:rFonts w:cs="Times New Roman"/>
          <w:noProof/>
          <w:lang w:val="sk-SK"/>
        </w:rPr>
        <w:t>dodávateľov OZE</w:t>
      </w:r>
      <w:r w:rsidR="00083739" w:rsidRPr="00083739">
        <w:rPr>
          <w:rFonts w:cs="Times New Roman"/>
          <w:noProof/>
          <w:lang w:val="sk-SK"/>
        </w:rPr>
        <w:t xml:space="preserve"> a </w:t>
      </w:r>
      <w:r w:rsidRPr="00083739">
        <w:rPr>
          <w:rFonts w:cs="Times New Roman"/>
          <w:noProof/>
          <w:lang w:val="sk-SK"/>
        </w:rPr>
        <w:t xml:space="preserve">trvalej „uhlíkovej dane“ na motorovú naftu. </w:t>
      </w:r>
      <w:r w:rsidRPr="00083739">
        <w:rPr>
          <w:rFonts w:cs="Times New Roman"/>
          <w:noProof/>
          <w:lang w:val="sk-SK"/>
        </w:rPr>
        <w:t>Opatreniami sa zabezpečí životaschopnosť existujúcej inštalovanej kapacity OZE</w:t>
      </w:r>
      <w:r w:rsidR="00083739" w:rsidRPr="00083739">
        <w:rPr>
          <w:rFonts w:cs="Times New Roman"/>
          <w:noProof/>
          <w:lang w:val="sk-SK"/>
        </w:rPr>
        <w:t xml:space="preserve"> a </w:t>
      </w:r>
      <w:r w:rsidRPr="00083739">
        <w:rPr>
          <w:rFonts w:cs="Times New Roman"/>
          <w:noProof/>
          <w:lang w:val="sk-SK"/>
        </w:rPr>
        <w:t>uľahčí sa financovanie nových projektov</w:t>
      </w:r>
      <w:r w:rsidR="00083739" w:rsidRPr="00083739">
        <w:rPr>
          <w:rFonts w:cs="Times New Roman"/>
          <w:noProof/>
          <w:lang w:val="sk-SK"/>
        </w:rPr>
        <w:t xml:space="preserve"> v </w:t>
      </w:r>
      <w:r w:rsidRPr="00083739">
        <w:rPr>
          <w:rFonts w:cs="Times New Roman"/>
          <w:noProof/>
          <w:lang w:val="sk-SK"/>
        </w:rPr>
        <w:t>oblasti obnoviteľných zdrojov energie, keďže každý neočakávaný prílev/odlev, ktorý vedie</w:t>
      </w:r>
      <w:r w:rsidR="00083739" w:rsidRPr="00083739">
        <w:rPr>
          <w:rFonts w:cs="Times New Roman"/>
          <w:noProof/>
          <w:lang w:val="sk-SK"/>
        </w:rPr>
        <w:t xml:space="preserve"> k </w:t>
      </w:r>
      <w:r w:rsidRPr="00083739">
        <w:rPr>
          <w:rFonts w:cs="Times New Roman"/>
          <w:noProof/>
          <w:lang w:val="sk-SK"/>
        </w:rPr>
        <w:t>negatívnemu vplyvu na účet(-y) OZE, sa rie</w:t>
      </w:r>
      <w:r w:rsidRPr="00083739">
        <w:rPr>
          <w:rFonts w:cs="Times New Roman"/>
          <w:noProof/>
          <w:lang w:val="sk-SK"/>
        </w:rPr>
        <w:t>ši prostredníctvom regulačných poplatkov, ktoré sa prenesú na zákazníkov</w:t>
      </w:r>
      <w:r w:rsidR="00083739" w:rsidRPr="00083739">
        <w:rPr>
          <w:rFonts w:cs="Times New Roman"/>
          <w:noProof/>
          <w:lang w:val="sk-SK"/>
        </w:rPr>
        <w:t>.</w:t>
      </w:r>
    </w:p>
    <w:p w14:paraId="7B84EE72" w14:textId="03F065EF"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Implementácia reformy vrátane zvýšenia kapacity výroby elektriny</w:t>
      </w:r>
      <w:r w:rsidR="00083739" w:rsidRPr="00083739">
        <w:rPr>
          <w:rFonts w:cs="Times New Roman"/>
          <w:noProof/>
          <w:lang w:val="sk-SK"/>
        </w:rPr>
        <w:t xml:space="preserve"> z </w:t>
      </w:r>
      <w:r w:rsidRPr="00083739">
        <w:rPr>
          <w:rFonts w:cs="Times New Roman"/>
          <w:noProof/>
          <w:lang w:val="sk-SK"/>
        </w:rPr>
        <w:t>obnoviteľných zdrojov</w:t>
      </w:r>
      <w:r w:rsidR="00083739" w:rsidRPr="00083739">
        <w:rPr>
          <w:rFonts w:cs="Times New Roman"/>
          <w:noProof/>
          <w:lang w:val="sk-SK"/>
        </w:rPr>
        <w:t xml:space="preserve"> o </w:t>
      </w:r>
      <w:r w:rsidRPr="00083739">
        <w:rPr>
          <w:rFonts w:cs="Times New Roman"/>
          <w:noProof/>
          <w:lang w:val="sk-SK"/>
        </w:rPr>
        <w:t>3 gigawatty sa dokončí do 30</w:t>
      </w:r>
      <w:r w:rsidR="00083739" w:rsidRPr="00083739">
        <w:rPr>
          <w:rFonts w:cs="Times New Roman"/>
          <w:noProof/>
          <w:lang w:val="sk-SK"/>
        </w:rPr>
        <w:t>. júna</w:t>
      </w:r>
      <w:r w:rsidRPr="00083739">
        <w:rPr>
          <w:rFonts w:cs="Times New Roman"/>
          <w:noProof/>
          <w:lang w:val="sk-SK"/>
        </w:rPr>
        <w:t xml:space="preserve"> 2025.</w:t>
      </w:r>
    </w:p>
    <w:p w14:paraId="35BC894B" w14:textId="399155EA"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Reforma:</w:t>
      </w:r>
      <w:r w:rsidRPr="00083739">
        <w:rPr>
          <w:rFonts w:cs="Times New Roman"/>
          <w:noProof/>
          <w:lang w:val="sk-SK"/>
        </w:rPr>
        <w:t xml:space="preserve"> Zefektívniť efektívne fungovanie nového modelu trhu</w:t>
      </w:r>
      <w:r w:rsidR="00083739" w:rsidRPr="00083739">
        <w:rPr>
          <w:rFonts w:cs="Times New Roman"/>
          <w:noProof/>
          <w:lang w:val="sk-SK"/>
        </w:rPr>
        <w:t xml:space="preserve"> s </w:t>
      </w:r>
      <w:r w:rsidRPr="00083739">
        <w:rPr>
          <w:rFonts w:cs="Times New Roman"/>
          <w:noProof/>
          <w:lang w:val="sk-SK"/>
        </w:rPr>
        <w:t>elektrinou</w:t>
      </w:r>
      <w:r w:rsidR="00083739" w:rsidRPr="00083739">
        <w:rPr>
          <w:rFonts w:cs="Times New Roman"/>
          <w:noProof/>
          <w:lang w:val="sk-SK"/>
        </w:rPr>
        <w:t xml:space="preserve"> a </w:t>
      </w:r>
      <w:r w:rsidRPr="00083739">
        <w:rPr>
          <w:rFonts w:cs="Times New Roman"/>
          <w:noProof/>
          <w:lang w:val="sk-SK"/>
        </w:rPr>
        <w:t>rozvoj nových zariadení na výrobu energie</w:t>
      </w:r>
      <w:r w:rsidR="00083739" w:rsidRPr="00083739">
        <w:rPr>
          <w:rFonts w:cs="Times New Roman"/>
          <w:noProof/>
          <w:lang w:val="sk-SK"/>
        </w:rPr>
        <w:t xml:space="preserve"> z </w:t>
      </w:r>
      <w:r w:rsidRPr="00083739">
        <w:rPr>
          <w:rFonts w:cs="Times New Roman"/>
          <w:noProof/>
          <w:lang w:val="sk-SK"/>
        </w:rPr>
        <w:t>obnoviteľných zdrojov na dosiahnutie cieľov NEKP prostredníctvom zavedenia monitorovacieho mechanizmu, účasti reakcie na strane spotreby</w:t>
      </w:r>
      <w:r w:rsidR="00083739" w:rsidRPr="00083739">
        <w:rPr>
          <w:rFonts w:cs="Times New Roman"/>
          <w:noProof/>
          <w:lang w:val="sk-SK"/>
        </w:rPr>
        <w:t xml:space="preserve"> a </w:t>
      </w:r>
      <w:r w:rsidRPr="00083739">
        <w:rPr>
          <w:rFonts w:cs="Times New Roman"/>
          <w:noProof/>
          <w:lang w:val="sk-SK"/>
        </w:rPr>
        <w:t>rozsi</w:t>
      </w:r>
      <w:r w:rsidRPr="00083739">
        <w:rPr>
          <w:rFonts w:cs="Times New Roman"/>
          <w:noProof/>
          <w:lang w:val="sk-SK"/>
        </w:rPr>
        <w:t>ahlej reformy postupu udeľovania licencií pre nové obnoviteľné zdroje energie (ID opatrenia: 16860)</w:t>
      </w:r>
    </w:p>
    <w:p w14:paraId="1CEBE215" w14:textId="1CD27F85"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Reforma pozostáva zo zefektívnenia licenčného rámca pre obnoviteľné zdroje energie vrátane zjednodušenia</w:t>
      </w:r>
      <w:r w:rsidR="00083739" w:rsidRPr="00083739">
        <w:rPr>
          <w:rFonts w:cs="Times New Roman"/>
          <w:noProof/>
          <w:lang w:val="sk-SK"/>
        </w:rPr>
        <w:t xml:space="preserve"> a </w:t>
      </w:r>
      <w:r w:rsidRPr="00083739">
        <w:rPr>
          <w:rFonts w:cs="Times New Roman"/>
          <w:noProof/>
          <w:lang w:val="sk-SK"/>
        </w:rPr>
        <w:t>digitalizácie postupov, krátkych</w:t>
      </w:r>
      <w:r w:rsidR="00083739" w:rsidRPr="00083739">
        <w:rPr>
          <w:rFonts w:cs="Times New Roman"/>
          <w:noProof/>
          <w:lang w:val="sk-SK"/>
        </w:rPr>
        <w:t xml:space="preserve"> a </w:t>
      </w:r>
      <w:r w:rsidRPr="00083739">
        <w:rPr>
          <w:rFonts w:cs="Times New Roman"/>
          <w:noProof/>
          <w:lang w:val="sk-SK"/>
        </w:rPr>
        <w:t>záväzných admi</w:t>
      </w:r>
      <w:r w:rsidRPr="00083739">
        <w:rPr>
          <w:rFonts w:cs="Times New Roman"/>
          <w:noProof/>
          <w:lang w:val="sk-SK"/>
        </w:rPr>
        <w:t>nistratívnych reakčných lehôt</w:t>
      </w:r>
      <w:r w:rsidR="00083739" w:rsidRPr="00083739">
        <w:rPr>
          <w:rFonts w:cs="Times New Roman"/>
          <w:noProof/>
          <w:lang w:val="sk-SK"/>
        </w:rPr>
        <w:t xml:space="preserve"> a </w:t>
      </w:r>
      <w:r w:rsidRPr="00083739">
        <w:rPr>
          <w:rFonts w:cs="Times New Roman"/>
          <w:noProof/>
          <w:lang w:val="sk-SK"/>
        </w:rPr>
        <w:t>postupov zodpovednosti za zbytočné oneskorenia, zníženia potrebnej dokumentácie</w:t>
      </w:r>
      <w:r w:rsidR="00083739" w:rsidRPr="00083739">
        <w:rPr>
          <w:rFonts w:cs="Times New Roman"/>
          <w:noProof/>
          <w:lang w:val="sk-SK"/>
        </w:rPr>
        <w:t xml:space="preserve"> a </w:t>
      </w:r>
      <w:r w:rsidRPr="00083739">
        <w:rPr>
          <w:rFonts w:cs="Times New Roman"/>
          <w:noProof/>
          <w:lang w:val="sk-SK"/>
        </w:rPr>
        <w:t>postupov, ako aj nového špecializovaného rámca pre zariadenia na výrobu energie</w:t>
      </w:r>
      <w:r w:rsidR="00083739" w:rsidRPr="00083739">
        <w:rPr>
          <w:rFonts w:cs="Times New Roman"/>
          <w:noProof/>
          <w:lang w:val="sk-SK"/>
        </w:rPr>
        <w:t xml:space="preserve"> z </w:t>
      </w:r>
      <w:r w:rsidRPr="00083739">
        <w:rPr>
          <w:rFonts w:cs="Times New Roman"/>
          <w:noProof/>
          <w:lang w:val="sk-SK"/>
        </w:rPr>
        <w:t>obnoviteľných zdrojov na mori. Cieľom je urýchliť zdvojnásob</w:t>
      </w:r>
      <w:r w:rsidRPr="00083739">
        <w:rPr>
          <w:rFonts w:cs="Times New Roman"/>
          <w:noProof/>
          <w:lang w:val="sk-SK"/>
        </w:rPr>
        <w:t>enie inštalovanej kapacity OZE vzhľadom na postupné zatváranie hnedouhoľných elektrární</w:t>
      </w:r>
      <w:r w:rsidR="00083739" w:rsidRPr="00083739">
        <w:rPr>
          <w:rFonts w:cs="Times New Roman"/>
          <w:noProof/>
          <w:lang w:val="sk-SK"/>
        </w:rPr>
        <w:t xml:space="preserve"> v </w:t>
      </w:r>
      <w:r w:rsidRPr="00083739">
        <w:rPr>
          <w:rFonts w:cs="Times New Roman"/>
          <w:noProof/>
          <w:lang w:val="sk-SK"/>
        </w:rPr>
        <w:t>Grécku.</w:t>
      </w:r>
    </w:p>
    <w:p w14:paraId="711561BB" w14:textId="1872EBBB" w:rsidR="00083739"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Reformou sa napokon zavedie aj systém monitorovania trhu pre národný regulačný orgán (RAE)</w:t>
      </w:r>
      <w:r w:rsidR="00083739" w:rsidRPr="00083739">
        <w:rPr>
          <w:rFonts w:cs="Times New Roman"/>
          <w:noProof/>
          <w:lang w:val="sk-SK"/>
        </w:rPr>
        <w:t xml:space="preserve"> a </w:t>
      </w:r>
      <w:r w:rsidRPr="00083739">
        <w:rPr>
          <w:rFonts w:cs="Times New Roman"/>
          <w:noProof/>
          <w:lang w:val="sk-SK"/>
        </w:rPr>
        <w:t>účasť riadenia odberu (DSR) na vyrovnávacom trhu</w:t>
      </w:r>
      <w:r w:rsidR="00083739" w:rsidRPr="00083739">
        <w:rPr>
          <w:rFonts w:cs="Times New Roman"/>
          <w:noProof/>
          <w:lang w:val="sk-SK"/>
        </w:rPr>
        <w:t>.</w:t>
      </w:r>
    </w:p>
    <w:p w14:paraId="44EBAF66" w14:textId="1D27B692"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Implementácia r</w:t>
      </w:r>
      <w:r w:rsidRPr="00083739">
        <w:rPr>
          <w:rFonts w:cs="Times New Roman"/>
          <w:noProof/>
          <w:lang w:val="sk-SK"/>
        </w:rPr>
        <w:t>eformy sa dokončí do 30</w:t>
      </w:r>
      <w:r w:rsidR="00083739" w:rsidRPr="00083739">
        <w:rPr>
          <w:rFonts w:cs="Times New Roman"/>
          <w:noProof/>
          <w:lang w:val="sk-SK"/>
        </w:rPr>
        <w:t>. júna</w:t>
      </w:r>
      <w:r w:rsidRPr="00083739">
        <w:rPr>
          <w:rFonts w:cs="Times New Roman"/>
          <w:noProof/>
          <w:lang w:val="sk-SK"/>
        </w:rPr>
        <w:t xml:space="preserve"> 2022.</w:t>
      </w:r>
    </w:p>
    <w:p w14:paraId="20B4C841" w14:textId="77777777" w:rsidR="002D49B0" w:rsidRPr="00083739" w:rsidRDefault="002D49B0">
      <w:pPr>
        <w:spacing w:before="120" w:after="120" w:line="240" w:lineRule="auto"/>
        <w:ind w:left="709"/>
        <w:jc w:val="both"/>
        <w:rPr>
          <w:rFonts w:ascii="Times New Roman" w:hAnsi="Times New Roman" w:cs="Times New Roman"/>
          <w:noProof/>
          <w:sz w:val="24"/>
          <w:lang w:val="sk-SK"/>
        </w:rPr>
      </w:pPr>
    </w:p>
    <w:p w14:paraId="3D17B1D6" w14:textId="77777777" w:rsidR="002D49B0" w:rsidRPr="00083739" w:rsidRDefault="002D49B0">
      <w:pPr>
        <w:spacing w:before="120" w:after="120" w:line="240" w:lineRule="auto"/>
        <w:ind w:left="709"/>
        <w:jc w:val="both"/>
        <w:rPr>
          <w:rFonts w:ascii="Times New Roman" w:hAnsi="Times New Roman" w:cs="Times New Roman"/>
          <w:noProof/>
          <w:sz w:val="24"/>
          <w:lang w:val="sk-SK"/>
        </w:rPr>
        <w:sectPr w:rsidR="002D49B0" w:rsidRPr="00083739" w:rsidSect="00F72C9B">
          <w:headerReference w:type="even" r:id="rId19"/>
          <w:headerReference w:type="default" r:id="rId20"/>
          <w:footerReference w:type="even" r:id="rId21"/>
          <w:footerReference w:type="default" r:id="rId22"/>
          <w:headerReference w:type="first" r:id="rId23"/>
          <w:footerReference w:type="first" r:id="rId24"/>
          <w:pgSz w:w="11907" w:h="16839"/>
          <w:pgMar w:top="1134" w:right="1134" w:bottom="1134" w:left="1134" w:header="567" w:footer="567" w:gutter="0"/>
          <w:cols w:space="720"/>
          <w:docGrid w:linePitch="360"/>
        </w:sectPr>
      </w:pPr>
    </w:p>
    <w:p w14:paraId="510E3BCD" w14:textId="5746AFAC" w:rsidR="002D49B0" w:rsidRPr="00083739" w:rsidRDefault="00BF4125">
      <w:pPr>
        <w:keepNext/>
        <w:keepLines/>
        <w:spacing w:before="240" w:after="0" w:line="240" w:lineRule="auto"/>
        <w:jc w:val="both"/>
        <w:outlineLvl w:val="4"/>
        <w:rPr>
          <w:rFonts w:ascii="Times New Roman" w:eastAsia="Times New Roman" w:hAnsi="Times New Roman" w:cs="Times New Roman"/>
          <w:noProof/>
          <w:color w:val="365F91"/>
          <w:sz w:val="24"/>
          <w:lang w:val="sk-SK"/>
        </w:rPr>
      </w:pPr>
      <w:r w:rsidRPr="00083739">
        <w:rPr>
          <w:rFonts w:ascii="Times New Roman" w:hAnsi="Times New Roman" w:cs="Times New Roman"/>
          <w:b/>
          <w:noProof/>
          <w:sz w:val="24"/>
          <w:u w:val="single"/>
          <w:lang w:val="sk-SK"/>
        </w:rPr>
        <w:t xml:space="preserve">A.2. </w:t>
      </w:r>
      <w:r w:rsidRPr="00083739">
        <w:rPr>
          <w:rFonts w:ascii="Times New Roman" w:hAnsi="Times New Roman" w:cs="Times New Roman"/>
          <w:noProof/>
          <w:lang w:val="sk-SK"/>
        </w:rPr>
        <w:t xml:space="preserve"> </w:t>
      </w:r>
      <w:r w:rsidRPr="00083739">
        <w:rPr>
          <w:rFonts w:ascii="Times New Roman" w:hAnsi="Times New Roman" w:cs="Times New Roman"/>
          <w:b/>
          <w:noProof/>
          <w:sz w:val="24"/>
          <w:u w:val="single"/>
          <w:lang w:val="sk-SK"/>
        </w:rPr>
        <w:t>Míľniky, ciele, ukazovatele</w:t>
      </w:r>
      <w:r w:rsidR="00083739" w:rsidRPr="00083739">
        <w:rPr>
          <w:rFonts w:ascii="Times New Roman" w:hAnsi="Times New Roman" w:cs="Times New Roman"/>
          <w:b/>
          <w:noProof/>
          <w:sz w:val="24"/>
          <w:u w:val="single"/>
          <w:lang w:val="sk-SK"/>
        </w:rPr>
        <w:t xml:space="preserve"> a </w:t>
      </w:r>
      <w:r w:rsidRPr="00083739">
        <w:rPr>
          <w:rFonts w:ascii="Times New Roman" w:hAnsi="Times New Roman" w:cs="Times New Roman"/>
          <w:b/>
          <w:noProof/>
          <w:sz w:val="24"/>
          <w:u w:val="single"/>
          <w:lang w:val="sk-SK"/>
        </w:rPr>
        <w:t>harmonogram monitorovania</w:t>
      </w:r>
      <w:r w:rsidR="00083739" w:rsidRPr="00083739">
        <w:rPr>
          <w:rFonts w:ascii="Times New Roman" w:hAnsi="Times New Roman" w:cs="Times New Roman"/>
          <w:b/>
          <w:noProof/>
          <w:sz w:val="24"/>
          <w:u w:val="single"/>
          <w:lang w:val="sk-SK"/>
        </w:rPr>
        <w:t xml:space="preserve"> a </w:t>
      </w:r>
      <w:r w:rsidRPr="00083739">
        <w:rPr>
          <w:rFonts w:ascii="Times New Roman" w:hAnsi="Times New Roman" w:cs="Times New Roman"/>
          <w:b/>
          <w:noProof/>
          <w:sz w:val="24"/>
          <w:u w:val="single"/>
          <w:lang w:val="sk-SK"/>
        </w:rPr>
        <w:t>realizácie pre nenávratnú finančnú podporu</w:t>
      </w:r>
    </w:p>
    <w:p w14:paraId="2A19183E" w14:textId="7EC118B6" w:rsidR="002D49B0" w:rsidRPr="00083739" w:rsidRDefault="00BF4125">
      <w:pPr>
        <w:pStyle w:val="P68B1DB1-Normal6"/>
        <w:keepNext/>
        <w:keepLines/>
        <w:spacing w:before="240" w:after="0" w:line="240" w:lineRule="auto"/>
        <w:jc w:val="both"/>
        <w:outlineLvl w:val="4"/>
        <w:rPr>
          <w:rFonts w:ascii="Times New Roman" w:eastAsia="Times New Roman" w:hAnsi="Times New Roman" w:cs="Times New Roman"/>
          <w:noProof/>
          <w:lang w:val="sk-SK"/>
        </w:rPr>
      </w:pPr>
      <w:r w:rsidRPr="00083739">
        <w:rPr>
          <w:rFonts w:ascii="Times New Roman" w:hAnsi="Times New Roman" w:cs="Times New Roman"/>
          <w:noProof/>
          <w:lang w:val="sk-SK"/>
        </w:rPr>
        <w:t>Najvyššia investícia 1: Intervencie</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 xml:space="preserve">oblasti </w:t>
      </w:r>
      <w:r w:rsidRPr="00083739">
        <w:rPr>
          <w:rFonts w:ascii="Times New Roman" w:hAnsi="Times New Roman" w:cs="Times New Roman"/>
          <w:noProof/>
          <w:lang w:val="sk-SK"/>
        </w:rPr>
        <w:t>prepojenia elektrických sietí ostrovov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modernizácie elektrizačnej sústavy</w:t>
      </w:r>
    </w:p>
    <w:p w14:paraId="1FC3C42A" w14:textId="77777777" w:rsidR="002D49B0" w:rsidRPr="00083739" w:rsidRDefault="002D49B0">
      <w:pPr>
        <w:jc w:val="right"/>
        <w:rPr>
          <w:rFonts w:ascii="Times New Roman" w:eastAsia="Times New Roman" w:hAnsi="Times New Roman" w:cs="Times New Roman"/>
          <w:noProof/>
          <w:sz w:val="24"/>
          <w:lang w:val="sk-SK"/>
        </w:rPr>
      </w:pPr>
    </w:p>
    <w:tbl>
      <w:tblPr>
        <w:tblW w:w="14737" w:type="dxa"/>
        <w:tblLayout w:type="fixed"/>
        <w:tblLook w:val="04A0" w:firstRow="1" w:lastRow="0" w:firstColumn="1" w:lastColumn="0" w:noHBand="0" w:noVBand="1"/>
      </w:tblPr>
      <w:tblGrid>
        <w:gridCol w:w="562"/>
        <w:gridCol w:w="2127"/>
        <w:gridCol w:w="992"/>
        <w:gridCol w:w="1513"/>
        <w:gridCol w:w="1690"/>
        <w:gridCol w:w="951"/>
        <w:gridCol w:w="1047"/>
        <w:gridCol w:w="651"/>
        <w:gridCol w:w="896"/>
        <w:gridCol w:w="10"/>
        <w:gridCol w:w="887"/>
        <w:gridCol w:w="3411"/>
      </w:tblGrid>
      <w:tr w:rsidR="002D49B0" w:rsidRPr="00083739" w14:paraId="488A1750" w14:textId="77777777">
        <w:trPr>
          <w:trHeight w:val="1125"/>
          <w:tblHeader/>
        </w:trPr>
        <w:tc>
          <w:tcPr>
            <w:tcW w:w="562" w:type="dxa"/>
            <w:vMerge w:val="restart"/>
            <w:tcBorders>
              <w:top w:val="single" w:sz="4" w:space="0" w:color="auto"/>
              <w:left w:val="single" w:sz="4" w:space="0" w:color="auto"/>
              <w:right w:val="single" w:sz="4" w:space="0" w:color="auto"/>
            </w:tcBorders>
            <w:shd w:val="clear" w:color="auto" w:fill="BDD7EE"/>
            <w:vAlign w:val="center"/>
            <w:hideMark/>
          </w:tcPr>
          <w:p w14:paraId="3449373B" w14:textId="3A516D62" w:rsidR="002D49B0" w:rsidRPr="00083739" w:rsidRDefault="00BF4125">
            <w:pPr>
              <w:pStyle w:val="P68B1DB1-Normal7"/>
              <w:spacing w:before="120" w:after="120" w:line="240" w:lineRule="auto"/>
              <w:jc w:val="center"/>
              <w:rPr>
                <w:rFonts w:cs="Times New Roman"/>
                <w:noProof/>
                <w:sz w:val="24"/>
                <w:lang w:val="sk-SK"/>
              </w:rPr>
            </w:pPr>
            <w:r w:rsidRPr="00083739">
              <w:rPr>
                <w:rFonts w:cs="Times New Roman"/>
                <w:noProof/>
                <w:lang w:val="sk-SK"/>
              </w:rPr>
              <w:t>Č.</w:t>
            </w:r>
          </w:p>
          <w:p w14:paraId="77D8A035" w14:textId="77777777" w:rsidR="002D49B0" w:rsidRPr="00083739" w:rsidRDefault="002D49B0">
            <w:pPr>
              <w:spacing w:before="120" w:after="120" w:line="240" w:lineRule="auto"/>
              <w:jc w:val="center"/>
              <w:rPr>
                <w:rFonts w:ascii="Times New Roman" w:hAnsi="Times New Roman" w:cs="Times New Roman"/>
                <w:noProof/>
                <w:sz w:val="24"/>
                <w:lang w:val="sk-SK"/>
              </w:rPr>
            </w:pPr>
          </w:p>
        </w:tc>
        <w:tc>
          <w:tcPr>
            <w:tcW w:w="2127" w:type="dxa"/>
            <w:vMerge w:val="restart"/>
            <w:tcBorders>
              <w:top w:val="single" w:sz="4" w:space="0" w:color="auto"/>
              <w:left w:val="single" w:sz="4" w:space="0" w:color="auto"/>
              <w:right w:val="single" w:sz="4" w:space="0" w:color="auto"/>
            </w:tcBorders>
            <w:shd w:val="clear" w:color="auto" w:fill="BDD7EE"/>
            <w:vAlign w:val="center"/>
            <w:hideMark/>
          </w:tcPr>
          <w:p w14:paraId="4C86FFEC" w14:textId="77777777" w:rsidR="002D49B0" w:rsidRPr="00083739" w:rsidRDefault="00BF4125">
            <w:pPr>
              <w:pStyle w:val="P68B1DB1-Normal7"/>
              <w:spacing w:before="120" w:after="120" w:line="240" w:lineRule="auto"/>
              <w:jc w:val="center"/>
              <w:rPr>
                <w:rFonts w:cs="Times New Roman"/>
                <w:noProof/>
                <w:sz w:val="24"/>
                <w:lang w:val="sk-SK"/>
              </w:rPr>
            </w:pPr>
            <w:r w:rsidRPr="00083739">
              <w:rPr>
                <w:rFonts w:cs="Times New Roman"/>
                <w:noProof/>
                <w:lang w:val="sk-SK"/>
              </w:rPr>
              <w:t>Súvisiace opatrenie (reforma alebo investícia)</w:t>
            </w:r>
          </w:p>
        </w:tc>
        <w:tc>
          <w:tcPr>
            <w:tcW w:w="992" w:type="dxa"/>
            <w:vMerge w:val="restart"/>
            <w:tcBorders>
              <w:top w:val="single" w:sz="4" w:space="0" w:color="auto"/>
              <w:left w:val="single" w:sz="4" w:space="0" w:color="auto"/>
              <w:right w:val="single" w:sz="4" w:space="0" w:color="auto"/>
            </w:tcBorders>
            <w:shd w:val="clear" w:color="auto" w:fill="BDD7EE"/>
            <w:vAlign w:val="center"/>
            <w:hideMark/>
          </w:tcPr>
          <w:p w14:paraId="7214E583" w14:textId="77777777" w:rsidR="002D49B0" w:rsidRPr="00083739" w:rsidRDefault="00BF4125">
            <w:pPr>
              <w:pStyle w:val="P68B1DB1-Normal7"/>
              <w:spacing w:before="120" w:after="120" w:line="240" w:lineRule="auto"/>
              <w:jc w:val="center"/>
              <w:rPr>
                <w:rFonts w:cs="Times New Roman"/>
                <w:noProof/>
                <w:sz w:val="24"/>
                <w:lang w:val="sk-SK"/>
              </w:rPr>
            </w:pPr>
            <w:r w:rsidRPr="00083739">
              <w:rPr>
                <w:rFonts w:cs="Times New Roman"/>
                <w:noProof/>
                <w:lang w:val="sk-SK"/>
              </w:rPr>
              <w:t>Míľnik/cieľ</w:t>
            </w:r>
          </w:p>
        </w:tc>
        <w:tc>
          <w:tcPr>
            <w:tcW w:w="1513" w:type="dxa"/>
            <w:vMerge w:val="restart"/>
            <w:tcBorders>
              <w:top w:val="single" w:sz="4" w:space="0" w:color="auto"/>
              <w:left w:val="nil"/>
              <w:right w:val="single" w:sz="4" w:space="0" w:color="auto"/>
            </w:tcBorders>
            <w:shd w:val="clear" w:color="auto" w:fill="BDD7EE"/>
            <w:vAlign w:val="center"/>
            <w:hideMark/>
          </w:tcPr>
          <w:p w14:paraId="26B5B832" w14:textId="77777777" w:rsidR="002D49B0" w:rsidRPr="00083739" w:rsidRDefault="00BF4125">
            <w:pPr>
              <w:pStyle w:val="P68B1DB1-Normal7"/>
              <w:spacing w:before="120" w:after="120" w:line="240" w:lineRule="auto"/>
              <w:jc w:val="center"/>
              <w:rPr>
                <w:rFonts w:cs="Times New Roman"/>
                <w:noProof/>
                <w:sz w:val="24"/>
                <w:lang w:val="sk-SK"/>
              </w:rPr>
            </w:pPr>
            <w:r w:rsidRPr="00083739">
              <w:rPr>
                <w:rFonts w:cs="Times New Roman"/>
                <w:noProof/>
                <w:lang w:val="sk-SK"/>
              </w:rPr>
              <w:t>Názov</w:t>
            </w:r>
          </w:p>
        </w:tc>
        <w:tc>
          <w:tcPr>
            <w:tcW w:w="1690" w:type="dxa"/>
            <w:vMerge w:val="restart"/>
            <w:tcBorders>
              <w:top w:val="single" w:sz="4" w:space="0" w:color="auto"/>
              <w:left w:val="single" w:sz="4" w:space="0" w:color="auto"/>
              <w:right w:val="single" w:sz="4" w:space="0" w:color="auto"/>
            </w:tcBorders>
            <w:shd w:val="clear" w:color="auto" w:fill="BDD7EE"/>
            <w:vAlign w:val="center"/>
            <w:hideMark/>
          </w:tcPr>
          <w:p w14:paraId="24681555" w14:textId="77777777" w:rsidR="002D49B0" w:rsidRPr="00083739" w:rsidRDefault="00BF4125">
            <w:pPr>
              <w:pStyle w:val="P68B1DB1-Normal7"/>
              <w:spacing w:before="120" w:after="120" w:line="240" w:lineRule="auto"/>
              <w:jc w:val="center"/>
              <w:rPr>
                <w:rFonts w:cs="Times New Roman"/>
                <w:noProof/>
                <w:sz w:val="24"/>
                <w:lang w:val="sk-SK"/>
              </w:rPr>
            </w:pPr>
            <w:r w:rsidRPr="00083739">
              <w:rPr>
                <w:rFonts w:cs="Times New Roman"/>
                <w:noProof/>
                <w:lang w:val="sk-SK"/>
              </w:rPr>
              <w:t>Kvalitatívne ukazovatele (pre míľniky)</w:t>
            </w:r>
          </w:p>
        </w:tc>
        <w:tc>
          <w:tcPr>
            <w:tcW w:w="2649" w:type="dxa"/>
            <w:gridSpan w:val="3"/>
            <w:tcBorders>
              <w:top w:val="single" w:sz="4" w:space="0" w:color="auto"/>
              <w:left w:val="nil"/>
              <w:bottom w:val="single" w:sz="4" w:space="0" w:color="auto"/>
              <w:right w:val="single" w:sz="4" w:space="0" w:color="auto"/>
            </w:tcBorders>
            <w:shd w:val="clear" w:color="auto" w:fill="BDD7EE"/>
            <w:vAlign w:val="center"/>
            <w:hideMark/>
          </w:tcPr>
          <w:p w14:paraId="48071613" w14:textId="77777777" w:rsidR="002D49B0" w:rsidRPr="00083739" w:rsidRDefault="00BF4125">
            <w:pPr>
              <w:pStyle w:val="P68B1DB1-Normal7"/>
              <w:spacing w:before="120" w:after="120" w:line="240" w:lineRule="auto"/>
              <w:jc w:val="center"/>
              <w:rPr>
                <w:rFonts w:cs="Times New Roman"/>
                <w:noProof/>
                <w:sz w:val="24"/>
                <w:lang w:val="sk-SK"/>
              </w:rPr>
            </w:pPr>
            <w:r w:rsidRPr="00083739">
              <w:rPr>
                <w:rFonts w:cs="Times New Roman"/>
                <w:noProof/>
                <w:lang w:val="sk-SK"/>
              </w:rPr>
              <w:t>Kvantitatívne ukazovatele (pre ciele)</w:t>
            </w:r>
          </w:p>
        </w:tc>
        <w:tc>
          <w:tcPr>
            <w:tcW w:w="1793" w:type="dxa"/>
            <w:gridSpan w:val="3"/>
            <w:tcBorders>
              <w:top w:val="single" w:sz="4" w:space="0" w:color="auto"/>
              <w:left w:val="nil"/>
              <w:bottom w:val="single" w:sz="4" w:space="0" w:color="auto"/>
              <w:right w:val="single" w:sz="4" w:space="0" w:color="auto"/>
            </w:tcBorders>
            <w:shd w:val="clear" w:color="auto" w:fill="BDD7EE"/>
            <w:vAlign w:val="center"/>
            <w:hideMark/>
          </w:tcPr>
          <w:p w14:paraId="52E6B995" w14:textId="77777777" w:rsidR="002D49B0" w:rsidRPr="00083739" w:rsidRDefault="00BF4125">
            <w:pPr>
              <w:pStyle w:val="P68B1DB1-Normal7"/>
              <w:spacing w:before="120" w:after="120" w:line="240" w:lineRule="auto"/>
              <w:jc w:val="center"/>
              <w:rPr>
                <w:rFonts w:cs="Times New Roman"/>
                <w:noProof/>
                <w:sz w:val="24"/>
                <w:lang w:val="sk-SK"/>
              </w:rPr>
            </w:pPr>
            <w:r w:rsidRPr="00083739">
              <w:rPr>
                <w:rFonts w:cs="Times New Roman"/>
                <w:noProof/>
                <w:lang w:val="sk-SK"/>
              </w:rPr>
              <w:t>Orientačný harmonogram dokončenia</w:t>
            </w:r>
          </w:p>
        </w:tc>
        <w:tc>
          <w:tcPr>
            <w:tcW w:w="341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86A6B6F" w14:textId="6F9A9FB9" w:rsidR="002D49B0" w:rsidRPr="00083739" w:rsidRDefault="00BF4125">
            <w:pPr>
              <w:pStyle w:val="P68B1DB1-Normal7"/>
              <w:spacing w:before="120" w:after="120" w:line="240" w:lineRule="auto"/>
              <w:jc w:val="center"/>
              <w:rPr>
                <w:rFonts w:cs="Times New Roman"/>
                <w:noProof/>
                <w:sz w:val="24"/>
                <w:lang w:val="sk-SK"/>
              </w:rPr>
            </w:pPr>
            <w:r w:rsidRPr="00083739">
              <w:rPr>
                <w:rFonts w:cs="Times New Roman"/>
                <w:noProof/>
                <w:lang w:val="sk-SK"/>
              </w:rPr>
              <w:t>Opis každého míľnika</w:t>
            </w:r>
            <w:r w:rsidR="00083739" w:rsidRPr="00083739">
              <w:rPr>
                <w:rFonts w:cs="Times New Roman"/>
                <w:noProof/>
                <w:lang w:val="sk-SK"/>
              </w:rPr>
              <w:t xml:space="preserve"> a </w:t>
            </w:r>
            <w:r w:rsidRPr="00083739">
              <w:rPr>
                <w:rFonts w:cs="Times New Roman"/>
                <w:noProof/>
                <w:lang w:val="sk-SK"/>
              </w:rPr>
              <w:t>cieľa</w:t>
            </w:r>
          </w:p>
          <w:p w14:paraId="25A86727" w14:textId="77777777" w:rsidR="002D49B0" w:rsidRPr="00083739" w:rsidRDefault="002D49B0">
            <w:pPr>
              <w:spacing w:before="120" w:after="120" w:line="240" w:lineRule="auto"/>
              <w:jc w:val="center"/>
              <w:rPr>
                <w:rFonts w:ascii="Times New Roman" w:hAnsi="Times New Roman" w:cs="Times New Roman"/>
                <w:noProof/>
                <w:sz w:val="24"/>
                <w:lang w:val="sk-SK"/>
              </w:rPr>
            </w:pPr>
          </w:p>
        </w:tc>
      </w:tr>
      <w:tr w:rsidR="002D49B0" w:rsidRPr="00083739" w14:paraId="6F0ED93F" w14:textId="77777777">
        <w:trPr>
          <w:trHeight w:val="848"/>
          <w:tblHeader/>
        </w:trPr>
        <w:tc>
          <w:tcPr>
            <w:tcW w:w="562" w:type="dxa"/>
            <w:vMerge/>
            <w:tcBorders>
              <w:left w:val="single" w:sz="4" w:space="0" w:color="auto"/>
              <w:bottom w:val="single" w:sz="4" w:space="0" w:color="000000"/>
              <w:right w:val="single" w:sz="4" w:space="0" w:color="auto"/>
            </w:tcBorders>
            <w:shd w:val="clear" w:color="auto" w:fill="BDD7EE"/>
            <w:vAlign w:val="center"/>
          </w:tcPr>
          <w:p w14:paraId="74AD3139" w14:textId="77777777" w:rsidR="002D49B0" w:rsidRPr="00083739" w:rsidRDefault="002D49B0">
            <w:pPr>
              <w:spacing w:before="120" w:after="120" w:line="240" w:lineRule="auto"/>
              <w:jc w:val="center"/>
              <w:rPr>
                <w:rFonts w:ascii="Times New Roman" w:eastAsia="Times New Roman" w:hAnsi="Times New Roman" w:cs="Times New Roman"/>
                <w:b/>
                <w:bCs/>
                <w:noProof/>
                <w:sz w:val="18"/>
                <w:szCs w:val="18"/>
                <w:lang w:val="sk-SK"/>
              </w:rPr>
            </w:pPr>
          </w:p>
        </w:tc>
        <w:tc>
          <w:tcPr>
            <w:tcW w:w="2127" w:type="dxa"/>
            <w:vMerge/>
            <w:tcBorders>
              <w:left w:val="single" w:sz="4" w:space="0" w:color="auto"/>
              <w:bottom w:val="single" w:sz="4" w:space="0" w:color="auto"/>
              <w:right w:val="single" w:sz="4" w:space="0" w:color="auto"/>
            </w:tcBorders>
            <w:shd w:val="clear" w:color="auto" w:fill="BDD7EE"/>
            <w:vAlign w:val="center"/>
          </w:tcPr>
          <w:p w14:paraId="33465DC1" w14:textId="77777777" w:rsidR="002D49B0" w:rsidRPr="00083739" w:rsidRDefault="002D49B0">
            <w:pPr>
              <w:spacing w:before="120" w:after="120" w:line="240" w:lineRule="auto"/>
              <w:jc w:val="center"/>
              <w:rPr>
                <w:rFonts w:ascii="Times New Roman" w:eastAsia="Times New Roman" w:hAnsi="Times New Roman" w:cs="Times New Roman"/>
                <w:b/>
                <w:bCs/>
                <w:noProof/>
                <w:sz w:val="18"/>
                <w:szCs w:val="18"/>
                <w:lang w:val="sk-SK"/>
              </w:rPr>
            </w:pPr>
          </w:p>
        </w:tc>
        <w:tc>
          <w:tcPr>
            <w:tcW w:w="992" w:type="dxa"/>
            <w:vMerge/>
            <w:tcBorders>
              <w:left w:val="single" w:sz="4" w:space="0" w:color="auto"/>
              <w:bottom w:val="single" w:sz="4" w:space="0" w:color="auto"/>
              <w:right w:val="single" w:sz="4" w:space="0" w:color="auto"/>
            </w:tcBorders>
            <w:shd w:val="clear" w:color="auto" w:fill="BDD7EE"/>
            <w:vAlign w:val="center"/>
          </w:tcPr>
          <w:p w14:paraId="2D878D4E" w14:textId="77777777" w:rsidR="002D49B0" w:rsidRPr="00083739" w:rsidRDefault="002D49B0">
            <w:pPr>
              <w:spacing w:before="120" w:after="120" w:line="240" w:lineRule="auto"/>
              <w:jc w:val="center"/>
              <w:rPr>
                <w:rFonts w:ascii="Times New Roman" w:eastAsia="Times New Roman" w:hAnsi="Times New Roman" w:cs="Times New Roman"/>
                <w:b/>
                <w:bCs/>
                <w:noProof/>
                <w:sz w:val="18"/>
                <w:szCs w:val="18"/>
                <w:lang w:val="sk-SK"/>
              </w:rPr>
            </w:pPr>
          </w:p>
        </w:tc>
        <w:tc>
          <w:tcPr>
            <w:tcW w:w="1513" w:type="dxa"/>
            <w:vMerge/>
            <w:tcBorders>
              <w:left w:val="nil"/>
              <w:bottom w:val="single" w:sz="4" w:space="0" w:color="auto"/>
              <w:right w:val="single" w:sz="4" w:space="0" w:color="auto"/>
            </w:tcBorders>
            <w:shd w:val="clear" w:color="auto" w:fill="BDD7EE"/>
            <w:vAlign w:val="center"/>
          </w:tcPr>
          <w:p w14:paraId="4444BB28" w14:textId="77777777" w:rsidR="002D49B0" w:rsidRPr="00083739" w:rsidRDefault="002D49B0">
            <w:pPr>
              <w:spacing w:before="120" w:after="120" w:line="240" w:lineRule="auto"/>
              <w:jc w:val="center"/>
              <w:rPr>
                <w:rFonts w:ascii="Times New Roman" w:eastAsia="Times New Roman" w:hAnsi="Times New Roman" w:cs="Times New Roman"/>
                <w:b/>
                <w:bCs/>
                <w:noProof/>
                <w:sz w:val="18"/>
                <w:szCs w:val="18"/>
                <w:lang w:val="sk-SK"/>
              </w:rPr>
            </w:pPr>
          </w:p>
        </w:tc>
        <w:tc>
          <w:tcPr>
            <w:tcW w:w="1690" w:type="dxa"/>
            <w:vMerge/>
            <w:tcBorders>
              <w:left w:val="single" w:sz="4" w:space="0" w:color="auto"/>
              <w:bottom w:val="single" w:sz="4" w:space="0" w:color="auto"/>
              <w:right w:val="single" w:sz="4" w:space="0" w:color="auto"/>
            </w:tcBorders>
            <w:shd w:val="clear" w:color="auto" w:fill="BDD7EE"/>
            <w:vAlign w:val="center"/>
          </w:tcPr>
          <w:p w14:paraId="1BCCD4DC" w14:textId="77777777" w:rsidR="002D49B0" w:rsidRPr="00083739" w:rsidRDefault="002D49B0">
            <w:pPr>
              <w:spacing w:before="120" w:after="120" w:line="240" w:lineRule="auto"/>
              <w:jc w:val="center"/>
              <w:rPr>
                <w:rFonts w:ascii="Times New Roman" w:eastAsia="Times New Roman" w:hAnsi="Times New Roman" w:cs="Times New Roman"/>
                <w:b/>
                <w:bCs/>
                <w:noProof/>
                <w:sz w:val="18"/>
                <w:szCs w:val="18"/>
                <w:lang w:val="sk-SK"/>
              </w:rPr>
            </w:pPr>
          </w:p>
        </w:tc>
        <w:tc>
          <w:tcPr>
            <w:tcW w:w="951" w:type="dxa"/>
            <w:tcBorders>
              <w:top w:val="single" w:sz="4" w:space="0" w:color="auto"/>
              <w:left w:val="nil"/>
              <w:bottom w:val="single" w:sz="4" w:space="0" w:color="auto"/>
              <w:right w:val="single" w:sz="4" w:space="0" w:color="auto"/>
            </w:tcBorders>
            <w:shd w:val="clear" w:color="auto" w:fill="BDD7EE"/>
            <w:vAlign w:val="center"/>
          </w:tcPr>
          <w:p w14:paraId="1C0EC1E8" w14:textId="77777777" w:rsidR="002D49B0" w:rsidRPr="00083739" w:rsidRDefault="00BF4125">
            <w:pPr>
              <w:pStyle w:val="P68B1DB1-Normal7"/>
              <w:spacing w:before="120" w:after="120" w:line="240" w:lineRule="auto"/>
              <w:jc w:val="center"/>
              <w:rPr>
                <w:rFonts w:eastAsia="Times New Roman" w:cs="Times New Roman"/>
                <w:bCs/>
                <w:noProof/>
                <w:szCs w:val="18"/>
                <w:lang w:val="sk-SK"/>
              </w:rPr>
            </w:pPr>
            <w:r w:rsidRPr="00083739">
              <w:rPr>
                <w:rFonts w:cs="Times New Roman"/>
                <w:noProof/>
                <w:lang w:val="sk-SK"/>
              </w:rPr>
              <w:t>Merná jednotka</w:t>
            </w:r>
          </w:p>
        </w:tc>
        <w:tc>
          <w:tcPr>
            <w:tcW w:w="1047" w:type="dxa"/>
            <w:tcBorders>
              <w:top w:val="single" w:sz="4" w:space="0" w:color="auto"/>
              <w:left w:val="nil"/>
              <w:bottom w:val="single" w:sz="4" w:space="0" w:color="auto"/>
              <w:right w:val="single" w:sz="4" w:space="0" w:color="auto"/>
            </w:tcBorders>
            <w:shd w:val="clear" w:color="auto" w:fill="BDD7EE"/>
            <w:vAlign w:val="center"/>
          </w:tcPr>
          <w:p w14:paraId="7D31ADC8" w14:textId="77777777" w:rsidR="002D49B0" w:rsidRPr="00083739" w:rsidRDefault="00BF4125">
            <w:pPr>
              <w:pStyle w:val="P68B1DB1-Normal7"/>
              <w:spacing w:before="120" w:after="120" w:line="240" w:lineRule="auto"/>
              <w:jc w:val="center"/>
              <w:rPr>
                <w:rFonts w:eastAsia="Times New Roman" w:cs="Times New Roman"/>
                <w:bCs/>
                <w:noProof/>
                <w:szCs w:val="18"/>
                <w:lang w:val="sk-SK"/>
              </w:rPr>
            </w:pPr>
            <w:r w:rsidRPr="00083739">
              <w:rPr>
                <w:rFonts w:cs="Times New Roman"/>
                <w:noProof/>
                <w:lang w:val="sk-SK"/>
              </w:rPr>
              <w:t>Základná</w:t>
            </w:r>
          </w:p>
        </w:tc>
        <w:tc>
          <w:tcPr>
            <w:tcW w:w="651" w:type="dxa"/>
            <w:tcBorders>
              <w:top w:val="single" w:sz="4" w:space="0" w:color="auto"/>
              <w:left w:val="nil"/>
              <w:bottom w:val="single" w:sz="4" w:space="0" w:color="auto"/>
              <w:right w:val="single" w:sz="4" w:space="0" w:color="auto"/>
            </w:tcBorders>
            <w:shd w:val="clear" w:color="auto" w:fill="BDD7EE"/>
            <w:vAlign w:val="center"/>
          </w:tcPr>
          <w:p w14:paraId="75E4BCF3" w14:textId="77777777" w:rsidR="002D49B0" w:rsidRPr="00083739" w:rsidRDefault="00BF4125">
            <w:pPr>
              <w:pStyle w:val="P68B1DB1-Normal7"/>
              <w:spacing w:before="120" w:after="120" w:line="240" w:lineRule="auto"/>
              <w:jc w:val="center"/>
              <w:rPr>
                <w:rFonts w:eastAsia="Times New Roman" w:cs="Times New Roman"/>
                <w:bCs/>
                <w:noProof/>
                <w:szCs w:val="18"/>
                <w:lang w:val="sk-SK"/>
              </w:rPr>
            </w:pPr>
            <w:r w:rsidRPr="00083739">
              <w:rPr>
                <w:rFonts w:cs="Times New Roman"/>
                <w:noProof/>
                <w:lang w:val="sk-SK"/>
              </w:rPr>
              <w:t>Cieľ</w:t>
            </w:r>
          </w:p>
        </w:tc>
        <w:tc>
          <w:tcPr>
            <w:tcW w:w="896" w:type="dxa"/>
            <w:tcBorders>
              <w:top w:val="single" w:sz="4" w:space="0" w:color="auto"/>
              <w:left w:val="nil"/>
              <w:bottom w:val="single" w:sz="4" w:space="0" w:color="auto"/>
              <w:right w:val="single" w:sz="4" w:space="0" w:color="auto"/>
            </w:tcBorders>
            <w:shd w:val="clear" w:color="auto" w:fill="BDD7EE"/>
            <w:vAlign w:val="center"/>
          </w:tcPr>
          <w:p w14:paraId="6331BAAC" w14:textId="77777777" w:rsidR="002D49B0" w:rsidRPr="00083739" w:rsidRDefault="00BF4125">
            <w:pPr>
              <w:pStyle w:val="P68B1DB1-Normal7"/>
              <w:spacing w:before="120" w:after="120" w:line="240" w:lineRule="auto"/>
              <w:jc w:val="center"/>
              <w:rPr>
                <w:rFonts w:eastAsia="Times New Roman" w:cs="Times New Roman"/>
                <w:bCs/>
                <w:noProof/>
                <w:szCs w:val="18"/>
                <w:lang w:val="sk-SK"/>
              </w:rPr>
            </w:pPr>
            <w:r w:rsidRPr="00083739">
              <w:rPr>
                <w:rFonts w:cs="Times New Roman"/>
                <w:noProof/>
                <w:lang w:val="sk-SK"/>
              </w:rPr>
              <w:t>Štvrtina</w:t>
            </w:r>
          </w:p>
        </w:tc>
        <w:tc>
          <w:tcPr>
            <w:tcW w:w="897" w:type="dxa"/>
            <w:gridSpan w:val="2"/>
            <w:tcBorders>
              <w:top w:val="single" w:sz="4" w:space="0" w:color="auto"/>
              <w:left w:val="nil"/>
              <w:bottom w:val="single" w:sz="4" w:space="0" w:color="auto"/>
              <w:right w:val="single" w:sz="4" w:space="0" w:color="auto"/>
            </w:tcBorders>
            <w:shd w:val="clear" w:color="auto" w:fill="BDD7EE"/>
            <w:vAlign w:val="center"/>
          </w:tcPr>
          <w:p w14:paraId="05D35731" w14:textId="77777777" w:rsidR="002D49B0" w:rsidRPr="00083739" w:rsidRDefault="00BF4125">
            <w:pPr>
              <w:pStyle w:val="P68B1DB1-Normal7"/>
              <w:spacing w:before="120" w:after="120" w:line="240" w:lineRule="auto"/>
              <w:jc w:val="center"/>
              <w:rPr>
                <w:rFonts w:eastAsia="Times New Roman" w:cs="Times New Roman"/>
                <w:bCs/>
                <w:noProof/>
                <w:szCs w:val="18"/>
                <w:lang w:val="sk-SK"/>
              </w:rPr>
            </w:pPr>
            <w:r w:rsidRPr="00083739">
              <w:rPr>
                <w:rFonts w:cs="Times New Roman"/>
                <w:noProof/>
                <w:lang w:val="sk-SK"/>
              </w:rPr>
              <w:t>Rok</w:t>
            </w:r>
          </w:p>
        </w:tc>
        <w:tc>
          <w:tcPr>
            <w:tcW w:w="3411" w:type="dxa"/>
            <w:vMerge/>
            <w:tcBorders>
              <w:left w:val="single" w:sz="4" w:space="0" w:color="auto"/>
              <w:bottom w:val="single" w:sz="4" w:space="0" w:color="auto"/>
              <w:right w:val="single" w:sz="4" w:space="0" w:color="auto"/>
            </w:tcBorders>
            <w:shd w:val="clear" w:color="auto" w:fill="BDD7EE"/>
            <w:vAlign w:val="center"/>
          </w:tcPr>
          <w:p w14:paraId="17C4AC33" w14:textId="77777777" w:rsidR="002D49B0" w:rsidRPr="00083739" w:rsidRDefault="002D49B0">
            <w:pPr>
              <w:spacing w:before="120" w:after="120" w:line="240" w:lineRule="auto"/>
              <w:jc w:val="center"/>
              <w:rPr>
                <w:rFonts w:ascii="Times New Roman" w:eastAsia="Times New Roman" w:hAnsi="Times New Roman" w:cs="Times New Roman"/>
                <w:b/>
                <w:bCs/>
                <w:noProof/>
                <w:sz w:val="18"/>
                <w:szCs w:val="18"/>
                <w:lang w:val="sk-SK"/>
              </w:rPr>
            </w:pPr>
          </w:p>
        </w:tc>
      </w:tr>
      <w:tr w:rsidR="002D49B0" w:rsidRPr="00083739" w14:paraId="6696AAC2" w14:textId="77777777">
        <w:tc>
          <w:tcPr>
            <w:tcW w:w="562" w:type="dxa"/>
            <w:tcBorders>
              <w:top w:val="nil"/>
              <w:left w:val="single" w:sz="4" w:space="0" w:color="auto"/>
              <w:bottom w:val="single" w:sz="4" w:space="0" w:color="auto"/>
              <w:right w:val="single" w:sz="4" w:space="0" w:color="auto"/>
            </w:tcBorders>
            <w:shd w:val="clear" w:color="auto" w:fill="C6EFCE"/>
            <w:noWrap/>
          </w:tcPr>
          <w:p w14:paraId="27B132FC" w14:textId="77777777" w:rsidR="002D49B0" w:rsidRPr="00083739" w:rsidRDefault="00BF4125">
            <w:pPr>
              <w:pStyle w:val="P68B1DB1-Normal8"/>
              <w:spacing w:after="0" w:line="240" w:lineRule="auto"/>
              <w:rPr>
                <w:rFonts w:eastAsia="Times New Roman" w:cs="Times New Roman"/>
                <w:noProof/>
                <w:szCs w:val="18"/>
                <w:lang w:val="sk-SK"/>
              </w:rPr>
            </w:pPr>
            <w:r w:rsidRPr="00083739">
              <w:rPr>
                <w:rFonts w:cs="Times New Roman"/>
                <w:noProof/>
                <w:lang w:val="sk-SK"/>
              </w:rPr>
              <w:t>1</w:t>
            </w:r>
          </w:p>
        </w:tc>
        <w:tc>
          <w:tcPr>
            <w:tcW w:w="2127" w:type="dxa"/>
            <w:tcBorders>
              <w:top w:val="single" w:sz="4" w:space="0" w:color="auto"/>
              <w:left w:val="nil"/>
              <w:bottom w:val="single" w:sz="4" w:space="0" w:color="auto"/>
              <w:right w:val="single" w:sz="4" w:space="0" w:color="auto"/>
            </w:tcBorders>
            <w:shd w:val="clear" w:color="auto" w:fill="C6EFCE"/>
            <w:noWrap/>
          </w:tcPr>
          <w:p w14:paraId="53FDB301" w14:textId="6B3C0FEE"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 – 1.1. Power up – 16870_Intervencie týkajúce sa prepojenia elektrických sietí ostrovov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modernizácie elektrizačnej sústavy</w:t>
            </w:r>
          </w:p>
        </w:tc>
        <w:tc>
          <w:tcPr>
            <w:tcW w:w="992" w:type="dxa"/>
            <w:tcBorders>
              <w:top w:val="single" w:sz="4" w:space="0" w:color="auto"/>
              <w:left w:val="nil"/>
              <w:bottom w:val="single" w:sz="4" w:space="0" w:color="auto"/>
              <w:right w:val="single" w:sz="4" w:space="0" w:color="auto"/>
            </w:tcBorders>
            <w:shd w:val="clear" w:color="auto" w:fill="C6EFCE"/>
            <w:noWrap/>
          </w:tcPr>
          <w:p w14:paraId="46C915D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513" w:type="dxa"/>
            <w:tcBorders>
              <w:top w:val="single" w:sz="4" w:space="0" w:color="auto"/>
              <w:left w:val="nil"/>
              <w:bottom w:val="single" w:sz="4" w:space="0" w:color="auto"/>
              <w:right w:val="single" w:sz="4" w:space="0" w:color="auto"/>
            </w:tcBorders>
            <w:shd w:val="clear" w:color="auto" w:fill="C6EFCE"/>
            <w:noWrap/>
          </w:tcPr>
          <w:p w14:paraId="2B56AE5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Prepojenie ostrovov – zadávanie zákaziek</w:t>
            </w:r>
          </w:p>
        </w:tc>
        <w:tc>
          <w:tcPr>
            <w:tcW w:w="1690" w:type="dxa"/>
            <w:tcBorders>
              <w:top w:val="single" w:sz="4" w:space="0" w:color="auto"/>
              <w:left w:val="nil"/>
              <w:bottom w:val="single" w:sz="4" w:space="0" w:color="auto"/>
              <w:right w:val="single" w:sz="4" w:space="0" w:color="auto"/>
            </w:tcBorders>
            <w:shd w:val="clear" w:color="auto" w:fill="C6EFCE"/>
            <w:noWrap/>
          </w:tcPr>
          <w:p w14:paraId="376B4162" w14:textId="60D1B4D6" w:rsidR="002D49B0" w:rsidRPr="00083739" w:rsidRDefault="00BF4125">
            <w:pPr>
              <w:pStyle w:val="P68B1DB1-Normal9"/>
              <w:spacing w:after="12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Oznámenie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zadaní všetkých zákaziek</w:t>
            </w:r>
          </w:p>
        </w:tc>
        <w:tc>
          <w:tcPr>
            <w:tcW w:w="951" w:type="dxa"/>
            <w:tcBorders>
              <w:top w:val="nil"/>
              <w:left w:val="nil"/>
              <w:bottom w:val="single" w:sz="4" w:space="0" w:color="auto"/>
              <w:right w:val="single" w:sz="4" w:space="0" w:color="auto"/>
            </w:tcBorders>
            <w:shd w:val="clear" w:color="auto" w:fill="C6EFCE"/>
            <w:noWrap/>
          </w:tcPr>
          <w:p w14:paraId="28B81728" w14:textId="77777777" w:rsidR="002D49B0" w:rsidRPr="00083739" w:rsidRDefault="002D49B0">
            <w:pPr>
              <w:spacing w:after="0" w:line="240" w:lineRule="auto"/>
              <w:rPr>
                <w:rFonts w:ascii="Times New Roman" w:eastAsia="Times New Roman" w:hAnsi="Times New Roman" w:cs="Times New Roman"/>
                <w:noProof/>
                <w:sz w:val="18"/>
                <w:szCs w:val="18"/>
                <w:lang w:val="sk-SK"/>
              </w:rPr>
            </w:pPr>
          </w:p>
        </w:tc>
        <w:tc>
          <w:tcPr>
            <w:tcW w:w="1047" w:type="dxa"/>
            <w:tcBorders>
              <w:top w:val="nil"/>
              <w:left w:val="nil"/>
              <w:bottom w:val="single" w:sz="4" w:space="0" w:color="auto"/>
              <w:right w:val="single" w:sz="4" w:space="0" w:color="auto"/>
            </w:tcBorders>
            <w:shd w:val="clear" w:color="auto" w:fill="C6EFCE"/>
            <w:noWrap/>
          </w:tcPr>
          <w:p w14:paraId="395D291B" w14:textId="77777777" w:rsidR="002D49B0" w:rsidRPr="00083739" w:rsidRDefault="002D49B0">
            <w:pPr>
              <w:spacing w:after="0" w:line="240" w:lineRule="auto"/>
              <w:rPr>
                <w:rFonts w:ascii="Times New Roman" w:eastAsia="Times New Roman" w:hAnsi="Times New Roman" w:cs="Times New Roman"/>
                <w:noProof/>
                <w:sz w:val="18"/>
                <w:szCs w:val="18"/>
                <w:lang w:val="sk-SK"/>
              </w:rPr>
            </w:pPr>
          </w:p>
        </w:tc>
        <w:tc>
          <w:tcPr>
            <w:tcW w:w="651" w:type="dxa"/>
            <w:tcBorders>
              <w:top w:val="nil"/>
              <w:left w:val="nil"/>
              <w:bottom w:val="single" w:sz="4" w:space="0" w:color="auto"/>
              <w:right w:val="single" w:sz="4" w:space="0" w:color="auto"/>
            </w:tcBorders>
            <w:shd w:val="clear" w:color="auto" w:fill="C6EFCE"/>
            <w:noWrap/>
          </w:tcPr>
          <w:p w14:paraId="45FEC6E7" w14:textId="77777777" w:rsidR="002D49B0" w:rsidRPr="00083739" w:rsidRDefault="002D49B0">
            <w:pPr>
              <w:spacing w:after="0" w:line="240" w:lineRule="auto"/>
              <w:rPr>
                <w:rFonts w:ascii="Times New Roman" w:eastAsia="Times New Roman" w:hAnsi="Times New Roman" w:cs="Times New Roman"/>
                <w:noProof/>
                <w:sz w:val="18"/>
                <w:szCs w:val="18"/>
                <w:lang w:val="sk-SK"/>
              </w:rPr>
            </w:pPr>
          </w:p>
        </w:tc>
        <w:tc>
          <w:tcPr>
            <w:tcW w:w="906" w:type="dxa"/>
            <w:gridSpan w:val="2"/>
            <w:tcBorders>
              <w:top w:val="nil"/>
              <w:left w:val="nil"/>
              <w:bottom w:val="single" w:sz="4" w:space="0" w:color="auto"/>
              <w:right w:val="single" w:sz="4" w:space="0" w:color="auto"/>
            </w:tcBorders>
            <w:shd w:val="clear" w:color="auto" w:fill="C6EFCE"/>
            <w:noWrap/>
          </w:tcPr>
          <w:p w14:paraId="5A215A71" w14:textId="77777777" w:rsidR="002D49B0" w:rsidRPr="00083739" w:rsidRDefault="00BF4125">
            <w:pPr>
              <w:pStyle w:val="P68B1DB1-Normal9"/>
              <w:spacing w:after="12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887" w:type="dxa"/>
            <w:tcBorders>
              <w:top w:val="nil"/>
              <w:left w:val="nil"/>
              <w:bottom w:val="single" w:sz="4" w:space="0" w:color="auto"/>
              <w:right w:val="single" w:sz="4" w:space="0" w:color="auto"/>
            </w:tcBorders>
            <w:shd w:val="clear" w:color="auto" w:fill="C6EFCE"/>
            <w:noWrap/>
          </w:tcPr>
          <w:p w14:paraId="4C9788AD" w14:textId="77777777" w:rsidR="002D49B0" w:rsidRPr="00083739" w:rsidRDefault="00BF4125">
            <w:pPr>
              <w:pStyle w:val="P68B1DB1-Normal9"/>
              <w:spacing w:after="12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2023</w:t>
            </w:r>
          </w:p>
        </w:tc>
        <w:tc>
          <w:tcPr>
            <w:tcW w:w="3411" w:type="dxa"/>
            <w:tcBorders>
              <w:top w:val="single" w:sz="4" w:space="0" w:color="auto"/>
              <w:left w:val="nil"/>
              <w:bottom w:val="single" w:sz="4" w:space="0" w:color="auto"/>
              <w:right w:val="single" w:sz="4" w:space="0" w:color="auto"/>
            </w:tcBorders>
            <w:shd w:val="clear" w:color="auto" w:fill="C6EFCE"/>
            <w:noWrap/>
          </w:tcPr>
          <w:p w14:paraId="6C6336B4" w14:textId="4BA3CD7A"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Oznámenie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 xml:space="preserve">zadaní </w:t>
            </w:r>
            <w:r w:rsidRPr="00083739">
              <w:rPr>
                <w:rFonts w:ascii="Times New Roman" w:hAnsi="Times New Roman" w:cs="Times New Roman"/>
                <w:noProof/>
                <w:lang w:val="sk-SK"/>
              </w:rPr>
              <w:t>všetkých zákaziek nezávislým prevádzkovateľom prenosu elektrickej energie (IPTO) na úplnú inštaláciu:</w:t>
            </w:r>
          </w:p>
          <w:p w14:paraId="353679C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 Naxos – káblové pripojenie Thira;</w:t>
            </w:r>
          </w:p>
          <w:p w14:paraId="05EA6771" w14:textId="3B2140F0"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Vysokonapäťový kábel (EHVC) Koumoundoros – Korinthos (časti 1</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2);</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zároveň</w:t>
            </w:r>
          </w:p>
          <w:p w14:paraId="0C8F0A9C" w14:textId="73C38FDE"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 rozvodne Milos, Folegandros, Serifos</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káblové spojenia Lavrio-Serifos, Serifos-Milos, Milos-Folegandros, Folegandros-Thira.</w:t>
            </w:r>
          </w:p>
        </w:tc>
      </w:tr>
      <w:tr w:rsidR="002D49B0" w:rsidRPr="00083739" w14:paraId="15A94FCC" w14:textId="77777777">
        <w:tc>
          <w:tcPr>
            <w:tcW w:w="562" w:type="dxa"/>
            <w:tcBorders>
              <w:top w:val="single" w:sz="4" w:space="0" w:color="auto"/>
              <w:left w:val="single" w:sz="4" w:space="0" w:color="auto"/>
              <w:bottom w:val="single" w:sz="4" w:space="0" w:color="auto"/>
              <w:right w:val="single" w:sz="4" w:space="0" w:color="auto"/>
            </w:tcBorders>
            <w:shd w:val="clear" w:color="auto" w:fill="C6EFCE"/>
            <w:noWrap/>
            <w:hideMark/>
          </w:tcPr>
          <w:p w14:paraId="6EB6377E" w14:textId="77777777" w:rsidR="002D49B0" w:rsidRPr="00083739" w:rsidRDefault="00BF4125">
            <w:pPr>
              <w:pStyle w:val="P68B1DB1-Normal9"/>
              <w:spacing w:before="120" w:after="120" w:line="240" w:lineRule="auto"/>
              <w:rPr>
                <w:rFonts w:ascii="Times New Roman" w:hAnsi="Times New Roman" w:cs="Times New Roman"/>
                <w:noProof/>
                <w:sz w:val="24"/>
                <w:lang w:val="sk-SK"/>
              </w:rPr>
            </w:pPr>
            <w:r w:rsidRPr="00083739">
              <w:rPr>
                <w:rFonts w:ascii="Times New Roman" w:hAnsi="Times New Roman" w:cs="Times New Roman"/>
                <w:noProof/>
                <w:lang w:val="sk-SK"/>
              </w:rPr>
              <w:t>3</w:t>
            </w:r>
          </w:p>
        </w:tc>
        <w:tc>
          <w:tcPr>
            <w:tcW w:w="2127" w:type="dxa"/>
            <w:tcBorders>
              <w:top w:val="single" w:sz="4" w:space="0" w:color="auto"/>
              <w:left w:val="nil"/>
              <w:bottom w:val="single" w:sz="4" w:space="0" w:color="auto"/>
              <w:right w:val="single" w:sz="4" w:space="0" w:color="auto"/>
            </w:tcBorders>
            <w:shd w:val="clear" w:color="auto" w:fill="C6EFCE"/>
            <w:noWrap/>
            <w:hideMark/>
          </w:tcPr>
          <w:p w14:paraId="5F7BE0CC" w14:textId="4E5DC183" w:rsidR="002D49B0" w:rsidRPr="00083739" w:rsidRDefault="00BF4125">
            <w:pPr>
              <w:pStyle w:val="P68B1DB1-Normal9"/>
              <w:spacing w:after="120" w:line="240" w:lineRule="auto"/>
              <w:rPr>
                <w:rFonts w:ascii="Times New Roman" w:hAnsi="Times New Roman" w:cs="Times New Roman"/>
                <w:noProof/>
                <w:sz w:val="24"/>
                <w:lang w:val="sk-SK"/>
              </w:rPr>
            </w:pPr>
            <w:r w:rsidRPr="00083739">
              <w:rPr>
                <w:rFonts w:ascii="Times New Roman" w:hAnsi="Times New Roman" w:cs="Times New Roman"/>
                <w:noProof/>
                <w:lang w:val="sk-SK"/>
              </w:rPr>
              <w:t>1 – 1.1. Power up – 16870_Intervencie týkajúce sa prepojenia elektrických sietí ostrovov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modernizácie elektrizačnej sústavy</w:t>
            </w:r>
          </w:p>
        </w:tc>
        <w:tc>
          <w:tcPr>
            <w:tcW w:w="992" w:type="dxa"/>
            <w:tcBorders>
              <w:top w:val="single" w:sz="4" w:space="0" w:color="auto"/>
              <w:left w:val="nil"/>
              <w:bottom w:val="single" w:sz="4" w:space="0" w:color="auto"/>
              <w:right w:val="single" w:sz="4" w:space="0" w:color="auto"/>
            </w:tcBorders>
            <w:shd w:val="clear" w:color="auto" w:fill="C6EFCE"/>
            <w:noWrap/>
            <w:hideMark/>
          </w:tcPr>
          <w:p w14:paraId="2E6BCE0C" w14:textId="30E666BB" w:rsidR="002D49B0" w:rsidRPr="00083739" w:rsidRDefault="00BF4125">
            <w:pPr>
              <w:pStyle w:val="P68B1DB1-Normal9"/>
              <w:spacing w:after="120" w:line="240" w:lineRule="auto"/>
              <w:rPr>
                <w:rFonts w:ascii="Times New Roman" w:hAnsi="Times New Roman" w:cs="Times New Roman"/>
                <w:noProof/>
                <w:sz w:val="24"/>
                <w:lang w:val="sk-SK"/>
              </w:rPr>
            </w:pPr>
            <w:r w:rsidRPr="00083739">
              <w:rPr>
                <w:rFonts w:ascii="Times New Roman" w:hAnsi="Times New Roman" w:cs="Times New Roman"/>
                <w:noProof/>
                <w:lang w:val="sk-SK"/>
              </w:rPr>
              <w:t>Míľnik</w:t>
            </w:r>
          </w:p>
        </w:tc>
        <w:tc>
          <w:tcPr>
            <w:tcW w:w="1513" w:type="dxa"/>
            <w:tcBorders>
              <w:top w:val="single" w:sz="4" w:space="0" w:color="auto"/>
              <w:left w:val="nil"/>
              <w:bottom w:val="single" w:sz="4" w:space="0" w:color="auto"/>
              <w:right w:val="single" w:sz="4" w:space="0" w:color="auto"/>
            </w:tcBorders>
            <w:shd w:val="clear" w:color="auto" w:fill="C6EFCE"/>
            <w:noWrap/>
            <w:hideMark/>
          </w:tcPr>
          <w:p w14:paraId="78CC7753" w14:textId="77777777" w:rsidR="002D49B0" w:rsidRPr="00083739" w:rsidRDefault="00BF4125">
            <w:pPr>
              <w:pStyle w:val="P68B1DB1-Normal9"/>
              <w:spacing w:after="120" w:line="240" w:lineRule="auto"/>
              <w:rPr>
                <w:rFonts w:ascii="Times New Roman" w:hAnsi="Times New Roman" w:cs="Times New Roman"/>
                <w:noProof/>
                <w:sz w:val="24"/>
                <w:lang w:val="sk-SK"/>
              </w:rPr>
            </w:pPr>
            <w:r w:rsidRPr="00083739">
              <w:rPr>
                <w:rFonts w:ascii="Times New Roman" w:hAnsi="Times New Roman" w:cs="Times New Roman"/>
                <w:noProof/>
                <w:lang w:val="sk-SK"/>
              </w:rPr>
              <w:t xml:space="preserve">Prepojenie ostrovov – </w:t>
            </w:r>
            <w:r w:rsidRPr="00083739">
              <w:rPr>
                <w:rFonts w:ascii="Times New Roman" w:hAnsi="Times New Roman" w:cs="Times New Roman"/>
                <w:noProof/>
                <w:lang w:val="sk-SK"/>
              </w:rPr>
              <w:t>dokončenie</w:t>
            </w:r>
          </w:p>
        </w:tc>
        <w:tc>
          <w:tcPr>
            <w:tcW w:w="1690" w:type="dxa"/>
            <w:tcBorders>
              <w:top w:val="single" w:sz="4" w:space="0" w:color="auto"/>
              <w:left w:val="nil"/>
              <w:bottom w:val="single" w:sz="4" w:space="0" w:color="auto"/>
              <w:right w:val="single" w:sz="4" w:space="0" w:color="auto"/>
            </w:tcBorders>
            <w:shd w:val="clear" w:color="auto" w:fill="C6EFCE"/>
            <w:noWrap/>
            <w:hideMark/>
          </w:tcPr>
          <w:p w14:paraId="570AAA9B" w14:textId="59662570" w:rsidR="002D49B0" w:rsidRPr="00083739" w:rsidRDefault="00BF4125">
            <w:pPr>
              <w:pStyle w:val="P68B1DB1-Normal9"/>
              <w:spacing w:after="120" w:line="240" w:lineRule="auto"/>
              <w:rPr>
                <w:rFonts w:ascii="Times New Roman" w:hAnsi="Times New Roman" w:cs="Times New Roman"/>
                <w:noProof/>
                <w:sz w:val="24"/>
                <w:lang w:val="sk-SK"/>
              </w:rPr>
            </w:pPr>
            <w:r w:rsidRPr="00083739">
              <w:rPr>
                <w:rFonts w:ascii="Times New Roman" w:hAnsi="Times New Roman" w:cs="Times New Roman"/>
                <w:noProof/>
                <w:lang w:val="sk-SK"/>
              </w:rPr>
              <w:t>Úspešný začiatok prevádzky/elektrifikácie osvedčený organizáciou IPTO; vydávanie osvedčení</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úspešnej skúšobnej prevádzke</w:t>
            </w:r>
          </w:p>
        </w:tc>
        <w:tc>
          <w:tcPr>
            <w:tcW w:w="951" w:type="dxa"/>
            <w:tcBorders>
              <w:top w:val="single" w:sz="4" w:space="0" w:color="auto"/>
              <w:left w:val="nil"/>
              <w:bottom w:val="single" w:sz="4" w:space="0" w:color="auto"/>
              <w:right w:val="single" w:sz="4" w:space="0" w:color="auto"/>
            </w:tcBorders>
            <w:shd w:val="clear" w:color="auto" w:fill="C6EFCE"/>
            <w:noWrap/>
            <w:hideMark/>
          </w:tcPr>
          <w:p w14:paraId="4F3FD519" w14:textId="77777777" w:rsidR="002D49B0" w:rsidRPr="00083739" w:rsidRDefault="00BF4125">
            <w:pPr>
              <w:pStyle w:val="P68B1DB1-Normal9"/>
              <w:spacing w:after="120" w:line="240" w:lineRule="auto"/>
              <w:rPr>
                <w:rFonts w:ascii="Times New Roman" w:hAnsi="Times New Roman" w:cs="Times New Roman"/>
                <w:noProof/>
                <w:sz w:val="24"/>
                <w:lang w:val="sk-SK"/>
              </w:rPr>
            </w:pPr>
            <w:r w:rsidRPr="00083739">
              <w:rPr>
                <w:rFonts w:ascii="Times New Roman" w:hAnsi="Times New Roman" w:cs="Times New Roman"/>
                <w:noProof/>
                <w:lang w:val="sk-SK"/>
              </w:rPr>
              <w:t xml:space="preserve"> </w:t>
            </w:r>
          </w:p>
        </w:tc>
        <w:tc>
          <w:tcPr>
            <w:tcW w:w="1047" w:type="dxa"/>
            <w:tcBorders>
              <w:top w:val="single" w:sz="4" w:space="0" w:color="auto"/>
              <w:left w:val="nil"/>
              <w:bottom w:val="single" w:sz="4" w:space="0" w:color="auto"/>
              <w:right w:val="single" w:sz="4" w:space="0" w:color="auto"/>
            </w:tcBorders>
            <w:shd w:val="clear" w:color="auto" w:fill="C6EFCE"/>
            <w:noWrap/>
            <w:hideMark/>
          </w:tcPr>
          <w:p w14:paraId="5EDF0349" w14:textId="77777777" w:rsidR="002D49B0" w:rsidRPr="00083739" w:rsidRDefault="00BF4125">
            <w:pPr>
              <w:pStyle w:val="P68B1DB1-Normal9"/>
              <w:spacing w:after="120" w:line="240" w:lineRule="auto"/>
              <w:rPr>
                <w:rFonts w:ascii="Times New Roman" w:hAnsi="Times New Roman" w:cs="Times New Roman"/>
                <w:noProof/>
                <w:sz w:val="24"/>
                <w:lang w:val="sk-SK"/>
              </w:rPr>
            </w:pPr>
            <w:r w:rsidRPr="00083739">
              <w:rPr>
                <w:rFonts w:ascii="Times New Roman" w:hAnsi="Times New Roman" w:cs="Times New Roman"/>
                <w:noProof/>
                <w:lang w:val="sk-SK"/>
              </w:rPr>
              <w:t xml:space="preserve"> </w:t>
            </w:r>
          </w:p>
        </w:tc>
        <w:tc>
          <w:tcPr>
            <w:tcW w:w="651" w:type="dxa"/>
            <w:tcBorders>
              <w:top w:val="single" w:sz="4" w:space="0" w:color="auto"/>
              <w:left w:val="nil"/>
              <w:bottom w:val="single" w:sz="4" w:space="0" w:color="auto"/>
              <w:right w:val="single" w:sz="4" w:space="0" w:color="auto"/>
            </w:tcBorders>
            <w:shd w:val="clear" w:color="auto" w:fill="C6EFCE"/>
            <w:noWrap/>
            <w:hideMark/>
          </w:tcPr>
          <w:p w14:paraId="2C8DF43E" w14:textId="77777777" w:rsidR="002D49B0" w:rsidRPr="00083739" w:rsidRDefault="00BF4125">
            <w:pPr>
              <w:pStyle w:val="P68B1DB1-Normal9"/>
              <w:spacing w:after="120" w:line="240" w:lineRule="auto"/>
              <w:rPr>
                <w:rFonts w:ascii="Times New Roman" w:hAnsi="Times New Roman" w:cs="Times New Roman"/>
                <w:noProof/>
                <w:sz w:val="24"/>
                <w:lang w:val="sk-SK"/>
              </w:rPr>
            </w:pPr>
            <w:r w:rsidRPr="00083739">
              <w:rPr>
                <w:rFonts w:ascii="Times New Roman" w:hAnsi="Times New Roman" w:cs="Times New Roman"/>
                <w:noProof/>
                <w:lang w:val="sk-SK"/>
              </w:rPr>
              <w:t xml:space="preserve"> </w:t>
            </w:r>
          </w:p>
        </w:tc>
        <w:tc>
          <w:tcPr>
            <w:tcW w:w="906" w:type="dxa"/>
            <w:gridSpan w:val="2"/>
            <w:tcBorders>
              <w:top w:val="single" w:sz="4" w:space="0" w:color="auto"/>
              <w:left w:val="nil"/>
              <w:bottom w:val="single" w:sz="4" w:space="0" w:color="auto"/>
              <w:right w:val="single" w:sz="4" w:space="0" w:color="auto"/>
            </w:tcBorders>
            <w:shd w:val="clear" w:color="auto" w:fill="C6EFCE"/>
            <w:noWrap/>
            <w:hideMark/>
          </w:tcPr>
          <w:p w14:paraId="5CDFB781" w14:textId="77777777" w:rsidR="002D49B0" w:rsidRPr="00083739" w:rsidRDefault="00BF4125">
            <w:pPr>
              <w:pStyle w:val="P68B1DB1-Normal9"/>
              <w:spacing w:after="120" w:line="240" w:lineRule="auto"/>
              <w:rPr>
                <w:rFonts w:ascii="Times New Roman" w:hAnsi="Times New Roman" w:cs="Times New Roman"/>
                <w:noProof/>
                <w:sz w:val="24"/>
                <w:lang w:val="sk-SK"/>
              </w:rPr>
            </w:pPr>
            <w:r w:rsidRPr="00083739">
              <w:rPr>
                <w:rFonts w:ascii="Times New Roman" w:hAnsi="Times New Roman" w:cs="Times New Roman"/>
                <w:noProof/>
                <w:lang w:val="sk-SK"/>
              </w:rPr>
              <w:t>ŠTVRTÝ ŠTVRŤROK</w:t>
            </w:r>
          </w:p>
        </w:tc>
        <w:tc>
          <w:tcPr>
            <w:tcW w:w="887" w:type="dxa"/>
            <w:tcBorders>
              <w:top w:val="single" w:sz="4" w:space="0" w:color="auto"/>
              <w:left w:val="nil"/>
              <w:bottom w:val="single" w:sz="4" w:space="0" w:color="auto"/>
              <w:right w:val="single" w:sz="4" w:space="0" w:color="auto"/>
            </w:tcBorders>
            <w:shd w:val="clear" w:color="auto" w:fill="C6EFCE"/>
            <w:noWrap/>
            <w:hideMark/>
          </w:tcPr>
          <w:p w14:paraId="0D8FA68F" w14:textId="77777777" w:rsidR="002D49B0" w:rsidRPr="00083739" w:rsidRDefault="00BF4125">
            <w:pPr>
              <w:pStyle w:val="P68B1DB1-Normal9"/>
              <w:spacing w:after="120" w:line="240" w:lineRule="auto"/>
              <w:rPr>
                <w:rFonts w:ascii="Times New Roman" w:hAnsi="Times New Roman" w:cs="Times New Roman"/>
                <w:noProof/>
                <w:sz w:val="24"/>
                <w:lang w:val="sk-SK"/>
              </w:rPr>
            </w:pPr>
            <w:r w:rsidRPr="00083739">
              <w:rPr>
                <w:rFonts w:ascii="Times New Roman" w:hAnsi="Times New Roman" w:cs="Times New Roman"/>
                <w:noProof/>
                <w:lang w:val="sk-SK"/>
              </w:rPr>
              <w:t>2025 </w:t>
            </w:r>
          </w:p>
        </w:tc>
        <w:tc>
          <w:tcPr>
            <w:tcW w:w="3411" w:type="dxa"/>
            <w:tcBorders>
              <w:top w:val="single" w:sz="4" w:space="0" w:color="auto"/>
              <w:left w:val="nil"/>
              <w:bottom w:val="single" w:sz="4" w:space="0" w:color="auto"/>
              <w:right w:val="single" w:sz="4" w:space="0" w:color="auto"/>
            </w:tcBorders>
            <w:shd w:val="clear" w:color="auto" w:fill="C6EFCE"/>
            <w:noWrap/>
            <w:hideMark/>
          </w:tcPr>
          <w:p w14:paraId="5AF5757E" w14:textId="3E4B21FD" w:rsidR="002D49B0" w:rsidRPr="00083739" w:rsidRDefault="00BF4125">
            <w:pPr>
              <w:pStyle w:val="P68B1DB1-Normal9"/>
              <w:spacing w:after="120" w:line="240" w:lineRule="auto"/>
              <w:rPr>
                <w:rFonts w:ascii="Times New Roman" w:hAnsi="Times New Roman" w:cs="Times New Roman"/>
                <w:noProof/>
                <w:szCs w:val="18"/>
                <w:lang w:val="sk-SK"/>
              </w:rPr>
            </w:pPr>
            <w:r w:rsidRPr="00083739">
              <w:rPr>
                <w:rFonts w:ascii="Times New Roman" w:hAnsi="Times New Roman" w:cs="Times New Roman"/>
                <w:noProof/>
                <w:lang w:val="sk-SK"/>
              </w:rPr>
              <w:t>Dokončenie všetkých troch čiastkových projektov (pripojenie Naxos-Thira, EHVC Koumoundoros-Kori</w:t>
            </w:r>
            <w:r w:rsidRPr="00083739">
              <w:rPr>
                <w:rFonts w:ascii="Times New Roman" w:hAnsi="Times New Roman" w:cs="Times New Roman"/>
                <w:noProof/>
                <w:lang w:val="sk-SK"/>
              </w:rPr>
              <w:t>nthos, rozvodne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iné spojenia) úspešné začlenenie do gréckej elektrizačnej prenosovej sústavy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začiatok prevádzky.</w:t>
            </w:r>
          </w:p>
        </w:tc>
      </w:tr>
    </w:tbl>
    <w:p w14:paraId="1B67039A" w14:textId="3660FE20" w:rsidR="002D49B0" w:rsidRPr="00083739" w:rsidRDefault="00BF4125">
      <w:pPr>
        <w:pStyle w:val="P68B1DB1-Normal6"/>
        <w:keepNext/>
        <w:keepLines/>
        <w:spacing w:before="240" w:after="240" w:line="240" w:lineRule="auto"/>
        <w:jc w:val="both"/>
        <w:outlineLvl w:val="4"/>
        <w:rPr>
          <w:rFonts w:ascii="Times New Roman" w:eastAsia="Times New Roman" w:hAnsi="Times New Roman" w:cs="Times New Roman"/>
          <w:noProof/>
          <w:lang w:val="sk-SK"/>
        </w:rPr>
      </w:pPr>
      <w:r w:rsidRPr="00083739">
        <w:rPr>
          <w:rFonts w:ascii="Times New Roman" w:hAnsi="Times New Roman" w:cs="Times New Roman"/>
          <w:noProof/>
          <w:lang w:val="sk-SK"/>
        </w:rPr>
        <w:t>Kľúčová reforma 1: Reštrukturalizácia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posilnenie príjmov</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účtu RES-KVET – Zjednodušenie efektívnej prevádzky nového modelu trhu</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elektrinou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rozvoj nových zariadení na výrobu energie</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obnoviteľných zdrojov na dosiahnutie cieľov NEKP prostredníctvom zavedenia monitorovacieho mechanizmu, účasti reakcie na strane spotreby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rozsiahlej reformy postupu udeľovania licencií pre nové OZE</w:t>
      </w:r>
    </w:p>
    <w:tbl>
      <w:tblPr>
        <w:tblpPr w:leftFromText="180" w:rightFromText="180" w:vertAnchor="text" w:tblpX="113" w:tblpY="1"/>
        <w:tblOverlap w:val="never"/>
        <w:tblW w:w="14737" w:type="dxa"/>
        <w:tblLook w:val="04A0" w:firstRow="1" w:lastRow="0" w:firstColumn="1" w:lastColumn="0" w:noHBand="0" w:noVBand="1"/>
      </w:tblPr>
      <w:tblGrid>
        <w:gridCol w:w="1043"/>
        <w:gridCol w:w="2066"/>
        <w:gridCol w:w="1142"/>
        <w:gridCol w:w="1371"/>
        <w:gridCol w:w="1286"/>
        <w:gridCol w:w="1269"/>
        <w:gridCol w:w="994"/>
        <w:gridCol w:w="648"/>
        <w:gridCol w:w="1167"/>
        <w:gridCol w:w="956"/>
        <w:gridCol w:w="3278"/>
      </w:tblGrid>
      <w:tr w:rsidR="002D49B0" w:rsidRPr="00083739" w14:paraId="4F272FCD" w14:textId="77777777">
        <w:trPr>
          <w:trHeight w:val="558"/>
          <w:tblHeader/>
        </w:trPr>
        <w:tc>
          <w:tcPr>
            <w:tcW w:w="1043" w:type="dxa"/>
            <w:vMerge w:val="restart"/>
            <w:tcBorders>
              <w:top w:val="single" w:sz="4" w:space="0" w:color="auto"/>
              <w:left w:val="single" w:sz="4" w:space="0" w:color="auto"/>
              <w:bottom w:val="single" w:sz="4" w:space="0" w:color="auto"/>
              <w:right w:val="single" w:sz="4" w:space="0" w:color="auto"/>
            </w:tcBorders>
            <w:shd w:val="clear" w:color="auto" w:fill="B8CCE4"/>
            <w:noWrap/>
            <w:vAlign w:val="center"/>
          </w:tcPr>
          <w:p w14:paraId="5A01F127" w14:textId="77777777" w:rsidR="002D49B0" w:rsidRPr="00083739" w:rsidRDefault="00BF4125">
            <w:pPr>
              <w:pStyle w:val="P68B1DB1-Normal7"/>
              <w:spacing w:after="0" w:line="240" w:lineRule="auto"/>
              <w:jc w:val="center"/>
              <w:rPr>
                <w:rFonts w:eastAsia="Times New Roman" w:cs="Times New Roman"/>
                <w:noProof/>
                <w:color w:val="006100"/>
                <w:szCs w:val="18"/>
                <w:lang w:val="sk-SK"/>
              </w:rPr>
            </w:pPr>
            <w:r w:rsidRPr="00083739">
              <w:rPr>
                <w:rFonts w:cs="Times New Roman"/>
                <w:noProof/>
                <w:lang w:val="sk-SK"/>
              </w:rPr>
              <w:t>Poradové číslo</w:t>
            </w:r>
          </w:p>
        </w:tc>
        <w:tc>
          <w:tcPr>
            <w:tcW w:w="1952" w:type="dxa"/>
            <w:vMerge w:val="restart"/>
            <w:tcBorders>
              <w:top w:val="single" w:sz="4" w:space="0" w:color="auto"/>
              <w:left w:val="single" w:sz="4" w:space="0" w:color="auto"/>
              <w:bottom w:val="single" w:sz="4" w:space="0" w:color="auto"/>
              <w:right w:val="single" w:sz="4" w:space="0" w:color="auto"/>
            </w:tcBorders>
            <w:shd w:val="clear" w:color="auto" w:fill="B8CCE4"/>
            <w:noWrap/>
            <w:vAlign w:val="center"/>
          </w:tcPr>
          <w:p w14:paraId="178D4694" w14:textId="77777777" w:rsidR="002D49B0" w:rsidRPr="00083739" w:rsidRDefault="00BF4125">
            <w:pPr>
              <w:pStyle w:val="P68B1DB1-Normal7"/>
              <w:spacing w:after="0" w:line="240" w:lineRule="auto"/>
              <w:jc w:val="center"/>
              <w:rPr>
                <w:rFonts w:eastAsia="Times New Roman" w:cs="Times New Roman"/>
                <w:noProof/>
                <w:color w:val="006100"/>
                <w:szCs w:val="18"/>
                <w:lang w:val="sk-SK"/>
              </w:rPr>
            </w:pPr>
            <w:r w:rsidRPr="00083739">
              <w:rPr>
                <w:rFonts w:cs="Times New Roman"/>
                <w:noProof/>
                <w:lang w:val="sk-SK"/>
              </w:rPr>
              <w:t>Súvisiace opatrenie (reforma alebo investícia)</w:t>
            </w:r>
          </w:p>
        </w:tc>
        <w:tc>
          <w:tcPr>
            <w:tcW w:w="1142" w:type="dxa"/>
            <w:vMerge w:val="restart"/>
            <w:tcBorders>
              <w:top w:val="single" w:sz="4" w:space="0" w:color="auto"/>
              <w:left w:val="single" w:sz="4" w:space="0" w:color="auto"/>
              <w:bottom w:val="single" w:sz="4" w:space="0" w:color="auto"/>
              <w:right w:val="single" w:sz="4" w:space="0" w:color="auto"/>
            </w:tcBorders>
            <w:shd w:val="clear" w:color="auto" w:fill="B8CCE4"/>
            <w:noWrap/>
            <w:vAlign w:val="center"/>
          </w:tcPr>
          <w:p w14:paraId="21D95457" w14:textId="77777777" w:rsidR="002D49B0" w:rsidRPr="00083739" w:rsidRDefault="00BF4125">
            <w:pPr>
              <w:pStyle w:val="P68B1DB1-Normal7"/>
              <w:spacing w:after="0" w:line="240" w:lineRule="auto"/>
              <w:jc w:val="center"/>
              <w:rPr>
                <w:rFonts w:eastAsia="Times New Roman" w:cs="Times New Roman"/>
                <w:noProof/>
                <w:color w:val="006100"/>
                <w:szCs w:val="18"/>
                <w:lang w:val="sk-SK"/>
              </w:rPr>
            </w:pPr>
            <w:r w:rsidRPr="00083739">
              <w:rPr>
                <w:rFonts w:cs="Times New Roman"/>
                <w:noProof/>
                <w:lang w:val="sk-SK"/>
              </w:rPr>
              <w:t>Míľnik/cieľ</w:t>
            </w:r>
          </w:p>
        </w:tc>
        <w:tc>
          <w:tcPr>
            <w:tcW w:w="1234" w:type="dxa"/>
            <w:vMerge w:val="restart"/>
            <w:tcBorders>
              <w:top w:val="single" w:sz="4" w:space="0" w:color="auto"/>
              <w:left w:val="nil"/>
              <w:bottom w:val="single" w:sz="4" w:space="0" w:color="auto"/>
              <w:right w:val="single" w:sz="4" w:space="0" w:color="auto"/>
            </w:tcBorders>
            <w:shd w:val="clear" w:color="auto" w:fill="B8CCE4"/>
            <w:noWrap/>
            <w:vAlign w:val="center"/>
          </w:tcPr>
          <w:p w14:paraId="29854667" w14:textId="77777777" w:rsidR="002D49B0" w:rsidRPr="00083739" w:rsidRDefault="00BF4125">
            <w:pPr>
              <w:pStyle w:val="P68B1DB1-Normal7"/>
              <w:spacing w:after="0" w:line="240" w:lineRule="auto"/>
              <w:jc w:val="center"/>
              <w:rPr>
                <w:rFonts w:eastAsia="Times New Roman" w:cs="Times New Roman"/>
                <w:noProof/>
                <w:color w:val="006100"/>
                <w:szCs w:val="18"/>
                <w:lang w:val="sk-SK"/>
              </w:rPr>
            </w:pPr>
            <w:r w:rsidRPr="00083739">
              <w:rPr>
                <w:rFonts w:cs="Times New Roman"/>
                <w:noProof/>
                <w:lang w:val="sk-SK"/>
              </w:rPr>
              <w:t>Názov</w:t>
            </w:r>
          </w:p>
        </w:tc>
        <w:tc>
          <w:tcPr>
            <w:tcW w:w="1286" w:type="dxa"/>
            <w:vMerge w:val="restart"/>
            <w:tcBorders>
              <w:top w:val="single" w:sz="4" w:space="0" w:color="auto"/>
              <w:left w:val="single" w:sz="4" w:space="0" w:color="auto"/>
              <w:bottom w:val="single" w:sz="4" w:space="0" w:color="auto"/>
              <w:right w:val="single" w:sz="4" w:space="0" w:color="auto"/>
            </w:tcBorders>
            <w:shd w:val="clear" w:color="auto" w:fill="B8CCE4"/>
            <w:noWrap/>
            <w:vAlign w:val="center"/>
          </w:tcPr>
          <w:p w14:paraId="78EAAB1E" w14:textId="77777777" w:rsidR="002D49B0" w:rsidRPr="00083739" w:rsidRDefault="00BF4125">
            <w:pPr>
              <w:pStyle w:val="P68B1DB1-Normal7"/>
              <w:spacing w:after="0" w:line="240" w:lineRule="auto"/>
              <w:jc w:val="center"/>
              <w:rPr>
                <w:rFonts w:eastAsia="Times New Roman" w:cs="Times New Roman"/>
                <w:noProof/>
                <w:color w:val="006100"/>
                <w:szCs w:val="18"/>
                <w:lang w:val="sk-SK"/>
              </w:rPr>
            </w:pPr>
            <w:r w:rsidRPr="00083739">
              <w:rPr>
                <w:rFonts w:cs="Times New Roman"/>
                <w:noProof/>
                <w:lang w:val="sk-SK"/>
              </w:rPr>
              <w:t>Kvalitatívne ukazovatele (pre míľniky)</w:t>
            </w:r>
          </w:p>
        </w:tc>
        <w:tc>
          <w:tcPr>
            <w:tcW w:w="2890" w:type="dxa"/>
            <w:gridSpan w:val="3"/>
            <w:tcBorders>
              <w:top w:val="single" w:sz="4" w:space="0" w:color="auto"/>
              <w:left w:val="nil"/>
              <w:bottom w:val="single" w:sz="4" w:space="0" w:color="auto"/>
              <w:right w:val="single" w:sz="4" w:space="0" w:color="auto"/>
            </w:tcBorders>
            <w:shd w:val="clear" w:color="auto" w:fill="B8CCE4"/>
            <w:noWrap/>
            <w:vAlign w:val="center"/>
          </w:tcPr>
          <w:p w14:paraId="5DB38599" w14:textId="77777777" w:rsidR="002D49B0" w:rsidRPr="00083739" w:rsidRDefault="00BF4125">
            <w:pPr>
              <w:pStyle w:val="P68B1DB1-Normal7"/>
              <w:spacing w:after="0" w:line="240" w:lineRule="auto"/>
              <w:jc w:val="center"/>
              <w:rPr>
                <w:rFonts w:eastAsia="Times New Roman" w:cs="Times New Roman"/>
                <w:noProof/>
                <w:color w:val="006100"/>
                <w:szCs w:val="18"/>
                <w:lang w:val="sk-SK"/>
              </w:rPr>
            </w:pPr>
            <w:r w:rsidRPr="00083739">
              <w:rPr>
                <w:rFonts w:cs="Times New Roman"/>
                <w:noProof/>
                <w:lang w:val="sk-SK"/>
              </w:rPr>
              <w:t>Kvantitatívne ukazovatele (pre ciele)</w:t>
            </w:r>
          </w:p>
        </w:tc>
        <w:tc>
          <w:tcPr>
            <w:tcW w:w="1912" w:type="dxa"/>
            <w:gridSpan w:val="2"/>
            <w:tcBorders>
              <w:top w:val="single" w:sz="4" w:space="0" w:color="auto"/>
              <w:left w:val="nil"/>
              <w:bottom w:val="single" w:sz="4" w:space="0" w:color="auto"/>
              <w:right w:val="single" w:sz="4" w:space="0" w:color="auto"/>
            </w:tcBorders>
            <w:shd w:val="clear" w:color="auto" w:fill="B8CCE4"/>
            <w:noWrap/>
            <w:vAlign w:val="center"/>
          </w:tcPr>
          <w:p w14:paraId="4B192768" w14:textId="77777777" w:rsidR="002D49B0" w:rsidRPr="00083739" w:rsidRDefault="00BF4125">
            <w:pPr>
              <w:pStyle w:val="P68B1DB1-Normal7"/>
              <w:spacing w:after="0" w:line="240" w:lineRule="auto"/>
              <w:jc w:val="center"/>
              <w:rPr>
                <w:rFonts w:eastAsia="Times New Roman" w:cs="Times New Roman"/>
                <w:noProof/>
                <w:color w:val="006100"/>
                <w:szCs w:val="18"/>
                <w:lang w:val="sk-SK"/>
              </w:rPr>
            </w:pPr>
            <w:r w:rsidRPr="00083739">
              <w:rPr>
                <w:rFonts w:cs="Times New Roman"/>
                <w:noProof/>
                <w:lang w:val="sk-SK"/>
              </w:rPr>
              <w:t>Orientačný harmonogram dokončenia</w:t>
            </w:r>
          </w:p>
        </w:tc>
        <w:tc>
          <w:tcPr>
            <w:tcW w:w="3278" w:type="dxa"/>
            <w:vMerge w:val="restart"/>
            <w:tcBorders>
              <w:top w:val="single" w:sz="4" w:space="0" w:color="auto"/>
              <w:left w:val="nil"/>
              <w:bottom w:val="single" w:sz="4" w:space="0" w:color="auto"/>
              <w:right w:val="single" w:sz="4" w:space="0" w:color="auto"/>
            </w:tcBorders>
            <w:shd w:val="clear" w:color="auto" w:fill="B8CCE4"/>
            <w:noWrap/>
            <w:vAlign w:val="center"/>
          </w:tcPr>
          <w:p w14:paraId="1F099F0B" w14:textId="5B6BABAA" w:rsidR="002D49B0" w:rsidRPr="00083739" w:rsidRDefault="00BF4125">
            <w:pPr>
              <w:pStyle w:val="P68B1DB1-Normal7"/>
              <w:spacing w:after="0" w:line="240" w:lineRule="auto"/>
              <w:rPr>
                <w:rFonts w:eastAsia="Times New Roman" w:cs="Times New Roman"/>
                <w:noProof/>
                <w:color w:val="006100"/>
                <w:szCs w:val="18"/>
                <w:lang w:val="sk-SK"/>
              </w:rPr>
            </w:pPr>
            <w:r w:rsidRPr="00083739">
              <w:rPr>
                <w:rFonts w:cs="Times New Roman"/>
                <w:noProof/>
                <w:lang w:val="sk-SK"/>
              </w:rPr>
              <w:t>Opis každého míľnika</w:t>
            </w:r>
            <w:r w:rsidR="00083739" w:rsidRPr="00083739">
              <w:rPr>
                <w:rFonts w:cs="Times New Roman"/>
                <w:noProof/>
                <w:lang w:val="sk-SK"/>
              </w:rPr>
              <w:t xml:space="preserve"> a </w:t>
            </w:r>
            <w:r w:rsidRPr="00083739">
              <w:rPr>
                <w:rFonts w:cs="Times New Roman"/>
                <w:noProof/>
                <w:lang w:val="sk-SK"/>
              </w:rPr>
              <w:t>cieľa</w:t>
            </w:r>
          </w:p>
        </w:tc>
      </w:tr>
      <w:tr w:rsidR="002D49B0" w:rsidRPr="00083739" w14:paraId="5E9F5D4D" w14:textId="77777777">
        <w:trPr>
          <w:trHeight w:val="557"/>
        </w:trPr>
        <w:tc>
          <w:tcPr>
            <w:tcW w:w="1043" w:type="dxa"/>
            <w:vMerge/>
            <w:tcBorders>
              <w:top w:val="single" w:sz="4" w:space="0" w:color="auto"/>
              <w:left w:val="single" w:sz="4" w:space="0" w:color="auto"/>
              <w:bottom w:val="single" w:sz="4" w:space="0" w:color="auto"/>
              <w:right w:val="single" w:sz="4" w:space="0" w:color="auto"/>
            </w:tcBorders>
            <w:shd w:val="clear" w:color="auto" w:fill="B8CCE4"/>
            <w:noWrap/>
            <w:vAlign w:val="center"/>
          </w:tcPr>
          <w:p w14:paraId="2D61BE44"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952" w:type="dxa"/>
            <w:vMerge/>
            <w:tcBorders>
              <w:top w:val="single" w:sz="4" w:space="0" w:color="auto"/>
              <w:left w:val="single" w:sz="4" w:space="0" w:color="auto"/>
              <w:bottom w:val="single" w:sz="4" w:space="0" w:color="auto"/>
              <w:right w:val="single" w:sz="4" w:space="0" w:color="auto"/>
            </w:tcBorders>
            <w:shd w:val="clear" w:color="auto" w:fill="B8CCE4"/>
            <w:noWrap/>
            <w:vAlign w:val="center"/>
          </w:tcPr>
          <w:p w14:paraId="19CCF4AC"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142" w:type="dxa"/>
            <w:vMerge/>
            <w:tcBorders>
              <w:top w:val="single" w:sz="4" w:space="0" w:color="auto"/>
              <w:left w:val="single" w:sz="4" w:space="0" w:color="auto"/>
              <w:bottom w:val="single" w:sz="4" w:space="0" w:color="auto"/>
              <w:right w:val="single" w:sz="4" w:space="0" w:color="auto"/>
            </w:tcBorders>
            <w:shd w:val="clear" w:color="auto" w:fill="B8CCE4"/>
            <w:noWrap/>
            <w:vAlign w:val="center"/>
          </w:tcPr>
          <w:p w14:paraId="66D32646"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234" w:type="dxa"/>
            <w:vMerge/>
            <w:tcBorders>
              <w:top w:val="single" w:sz="4" w:space="0" w:color="auto"/>
              <w:left w:val="nil"/>
              <w:bottom w:val="single" w:sz="4" w:space="0" w:color="auto"/>
              <w:right w:val="single" w:sz="4" w:space="0" w:color="auto"/>
            </w:tcBorders>
            <w:shd w:val="clear" w:color="auto" w:fill="B8CCE4"/>
            <w:noWrap/>
            <w:vAlign w:val="center"/>
          </w:tcPr>
          <w:p w14:paraId="4D7049AF"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286" w:type="dxa"/>
            <w:vMerge/>
            <w:tcBorders>
              <w:top w:val="single" w:sz="4" w:space="0" w:color="auto"/>
              <w:left w:val="single" w:sz="4" w:space="0" w:color="auto"/>
              <w:bottom w:val="single" w:sz="4" w:space="0" w:color="auto"/>
              <w:right w:val="single" w:sz="4" w:space="0" w:color="auto"/>
            </w:tcBorders>
            <w:shd w:val="clear" w:color="auto" w:fill="B8CCE4"/>
            <w:noWrap/>
            <w:vAlign w:val="center"/>
          </w:tcPr>
          <w:p w14:paraId="67C79AE2"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248" w:type="dxa"/>
            <w:tcBorders>
              <w:top w:val="single" w:sz="4" w:space="0" w:color="auto"/>
              <w:left w:val="nil"/>
              <w:bottom w:val="single" w:sz="4" w:space="0" w:color="auto"/>
              <w:right w:val="single" w:sz="4" w:space="0" w:color="auto"/>
            </w:tcBorders>
            <w:shd w:val="clear" w:color="auto" w:fill="B8CCE4"/>
            <w:noWrap/>
            <w:vAlign w:val="center"/>
          </w:tcPr>
          <w:p w14:paraId="6F8DC7E9"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Merná jednotka</w:t>
            </w:r>
          </w:p>
        </w:tc>
        <w:tc>
          <w:tcPr>
            <w:tcW w:w="994" w:type="dxa"/>
            <w:tcBorders>
              <w:top w:val="single" w:sz="4" w:space="0" w:color="auto"/>
              <w:left w:val="nil"/>
              <w:bottom w:val="single" w:sz="4" w:space="0" w:color="auto"/>
              <w:right w:val="single" w:sz="4" w:space="0" w:color="auto"/>
            </w:tcBorders>
            <w:shd w:val="clear" w:color="auto" w:fill="B8CCE4"/>
            <w:vAlign w:val="center"/>
          </w:tcPr>
          <w:p w14:paraId="2D3B207E"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Základná</w:t>
            </w:r>
          </w:p>
        </w:tc>
        <w:tc>
          <w:tcPr>
            <w:tcW w:w="648" w:type="dxa"/>
            <w:tcBorders>
              <w:top w:val="single" w:sz="4" w:space="0" w:color="auto"/>
              <w:left w:val="nil"/>
              <w:bottom w:val="single" w:sz="4" w:space="0" w:color="auto"/>
              <w:right w:val="single" w:sz="4" w:space="0" w:color="auto"/>
            </w:tcBorders>
            <w:shd w:val="clear" w:color="auto" w:fill="B8CCE4"/>
            <w:vAlign w:val="center"/>
          </w:tcPr>
          <w:p w14:paraId="505A5C83"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Cieľ</w:t>
            </w:r>
          </w:p>
        </w:tc>
        <w:tc>
          <w:tcPr>
            <w:tcW w:w="956" w:type="dxa"/>
            <w:tcBorders>
              <w:top w:val="single" w:sz="4" w:space="0" w:color="auto"/>
              <w:left w:val="nil"/>
              <w:bottom w:val="single" w:sz="4" w:space="0" w:color="auto"/>
              <w:right w:val="single" w:sz="4" w:space="0" w:color="auto"/>
            </w:tcBorders>
            <w:shd w:val="clear" w:color="auto" w:fill="B8CCE4"/>
            <w:noWrap/>
            <w:vAlign w:val="center"/>
          </w:tcPr>
          <w:p w14:paraId="359BE628"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Štvrtina</w:t>
            </w:r>
          </w:p>
        </w:tc>
        <w:tc>
          <w:tcPr>
            <w:tcW w:w="956" w:type="dxa"/>
            <w:tcBorders>
              <w:top w:val="single" w:sz="4" w:space="0" w:color="auto"/>
              <w:left w:val="nil"/>
              <w:bottom w:val="single" w:sz="4" w:space="0" w:color="auto"/>
              <w:right w:val="single" w:sz="4" w:space="0" w:color="auto"/>
            </w:tcBorders>
            <w:shd w:val="clear" w:color="auto" w:fill="B8CCE4"/>
            <w:vAlign w:val="center"/>
          </w:tcPr>
          <w:p w14:paraId="38D95AD5"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Rok</w:t>
            </w:r>
          </w:p>
        </w:tc>
        <w:tc>
          <w:tcPr>
            <w:tcW w:w="3278" w:type="dxa"/>
            <w:vMerge/>
            <w:tcBorders>
              <w:top w:val="single" w:sz="4" w:space="0" w:color="auto"/>
              <w:left w:val="nil"/>
              <w:bottom w:val="single" w:sz="4" w:space="0" w:color="auto"/>
              <w:right w:val="single" w:sz="4" w:space="0" w:color="auto"/>
            </w:tcBorders>
            <w:shd w:val="clear" w:color="auto" w:fill="B8CCE4"/>
            <w:noWrap/>
          </w:tcPr>
          <w:p w14:paraId="057E701B"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r>
      <w:tr w:rsidR="002D49B0" w:rsidRPr="00083739" w14:paraId="1FB5E2FA" w14:textId="77777777">
        <w:tc>
          <w:tcPr>
            <w:tcW w:w="1043" w:type="dxa"/>
            <w:tcBorders>
              <w:top w:val="single" w:sz="4" w:space="0" w:color="auto"/>
              <w:left w:val="single" w:sz="4" w:space="0" w:color="auto"/>
              <w:bottom w:val="single" w:sz="4" w:space="0" w:color="auto"/>
              <w:right w:val="single" w:sz="4" w:space="0" w:color="auto"/>
            </w:tcBorders>
            <w:shd w:val="clear" w:color="auto" w:fill="C6EFCE"/>
            <w:noWrap/>
          </w:tcPr>
          <w:p w14:paraId="22CB343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4</w:t>
            </w:r>
          </w:p>
        </w:tc>
        <w:tc>
          <w:tcPr>
            <w:tcW w:w="1952" w:type="dxa"/>
            <w:tcBorders>
              <w:top w:val="single" w:sz="4" w:space="0" w:color="auto"/>
              <w:left w:val="nil"/>
              <w:bottom w:val="single" w:sz="4" w:space="0" w:color="auto"/>
              <w:right w:val="single" w:sz="4" w:space="0" w:color="auto"/>
            </w:tcBorders>
            <w:shd w:val="clear" w:color="auto" w:fill="C6EFCE"/>
            <w:noWrap/>
          </w:tcPr>
          <w:p w14:paraId="689F8C6E" w14:textId="043551B8"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 – 1.1. Power up – 16865_Reštrukturalizácia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zlepšenie príjmov</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účtu KVET OZE</w:t>
            </w:r>
          </w:p>
        </w:tc>
        <w:tc>
          <w:tcPr>
            <w:tcW w:w="1142" w:type="dxa"/>
            <w:tcBorders>
              <w:top w:val="single" w:sz="4" w:space="0" w:color="auto"/>
              <w:left w:val="nil"/>
              <w:bottom w:val="single" w:sz="4" w:space="0" w:color="auto"/>
              <w:right w:val="single" w:sz="4" w:space="0" w:color="auto"/>
            </w:tcBorders>
            <w:shd w:val="clear" w:color="auto" w:fill="C6EFCE"/>
            <w:noWrap/>
          </w:tcPr>
          <w:p w14:paraId="4BDB3F5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234" w:type="dxa"/>
            <w:tcBorders>
              <w:top w:val="single" w:sz="4" w:space="0" w:color="auto"/>
              <w:left w:val="nil"/>
              <w:bottom w:val="single" w:sz="4" w:space="0" w:color="auto"/>
              <w:right w:val="single" w:sz="4" w:space="0" w:color="auto"/>
            </w:tcBorders>
            <w:shd w:val="clear" w:color="auto" w:fill="C6EFCE"/>
            <w:noWrap/>
          </w:tcPr>
          <w:p w14:paraId="351A9FBD" w14:textId="0860F9A0"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Účet OZE – právne predpisy na zmenu L. 4001/2011; nadobudnutie účinnosti všetkých príslušných rozhodnutí vrátane kódexov ministerstvami, národným regulačným </w:t>
            </w:r>
            <w:r w:rsidRPr="00083739">
              <w:rPr>
                <w:rFonts w:ascii="Times New Roman" w:hAnsi="Times New Roman" w:cs="Times New Roman"/>
                <w:noProof/>
                <w:lang w:val="sk-SK"/>
              </w:rPr>
              <w:t>orgánom (RAE)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správcom obnoviteľných zdrojov energie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záruk pôvodu (DAPEEP).</w:t>
            </w:r>
          </w:p>
        </w:tc>
        <w:tc>
          <w:tcPr>
            <w:tcW w:w="1286" w:type="dxa"/>
            <w:tcBorders>
              <w:top w:val="single" w:sz="4" w:space="0" w:color="auto"/>
              <w:left w:val="nil"/>
              <w:bottom w:val="single" w:sz="4" w:space="0" w:color="auto"/>
              <w:right w:val="single" w:sz="4" w:space="0" w:color="auto"/>
            </w:tcBorders>
            <w:shd w:val="clear" w:color="auto" w:fill="C6EFCE"/>
            <w:noWrap/>
          </w:tcPr>
          <w:p w14:paraId="596EDE0A" w14:textId="5C84BAF6"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právnych predpisov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príslušných vykonávacích rozhodnutí.</w:t>
            </w:r>
          </w:p>
        </w:tc>
        <w:tc>
          <w:tcPr>
            <w:tcW w:w="1248" w:type="dxa"/>
            <w:tcBorders>
              <w:top w:val="single" w:sz="4" w:space="0" w:color="auto"/>
              <w:left w:val="nil"/>
              <w:bottom w:val="single" w:sz="4" w:space="0" w:color="auto"/>
              <w:right w:val="single" w:sz="4" w:space="0" w:color="auto"/>
            </w:tcBorders>
            <w:shd w:val="clear" w:color="auto" w:fill="C6EFCE"/>
            <w:noWrap/>
          </w:tcPr>
          <w:p w14:paraId="0D49114F"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4" w:type="dxa"/>
            <w:tcBorders>
              <w:top w:val="single" w:sz="4" w:space="0" w:color="auto"/>
              <w:left w:val="nil"/>
              <w:bottom w:val="single" w:sz="4" w:space="0" w:color="auto"/>
              <w:right w:val="single" w:sz="4" w:space="0" w:color="auto"/>
            </w:tcBorders>
            <w:shd w:val="clear" w:color="auto" w:fill="C6EFCE"/>
            <w:noWrap/>
          </w:tcPr>
          <w:p w14:paraId="4729B7D9"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648" w:type="dxa"/>
            <w:tcBorders>
              <w:top w:val="single" w:sz="4" w:space="0" w:color="auto"/>
              <w:left w:val="nil"/>
              <w:bottom w:val="single" w:sz="4" w:space="0" w:color="auto"/>
              <w:right w:val="single" w:sz="4" w:space="0" w:color="auto"/>
            </w:tcBorders>
            <w:shd w:val="clear" w:color="auto" w:fill="C6EFCE"/>
            <w:noWrap/>
          </w:tcPr>
          <w:p w14:paraId="267EE9DC"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56" w:type="dxa"/>
            <w:tcBorders>
              <w:top w:val="single" w:sz="4" w:space="0" w:color="auto"/>
              <w:left w:val="nil"/>
              <w:bottom w:val="single" w:sz="4" w:space="0" w:color="auto"/>
              <w:right w:val="single" w:sz="4" w:space="0" w:color="auto"/>
            </w:tcBorders>
            <w:shd w:val="clear" w:color="auto" w:fill="C6EFCE"/>
            <w:noWrap/>
          </w:tcPr>
          <w:p w14:paraId="6DDE513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956" w:type="dxa"/>
            <w:tcBorders>
              <w:top w:val="single" w:sz="4" w:space="0" w:color="auto"/>
              <w:left w:val="nil"/>
              <w:bottom w:val="single" w:sz="4" w:space="0" w:color="auto"/>
              <w:right w:val="single" w:sz="4" w:space="0" w:color="auto"/>
            </w:tcBorders>
            <w:shd w:val="clear" w:color="auto" w:fill="C6EFCE"/>
            <w:noWrap/>
          </w:tcPr>
          <w:p w14:paraId="04DEC94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2022</w:t>
            </w:r>
          </w:p>
        </w:tc>
        <w:tc>
          <w:tcPr>
            <w:tcW w:w="3278" w:type="dxa"/>
            <w:tcBorders>
              <w:top w:val="single" w:sz="4" w:space="0" w:color="auto"/>
              <w:left w:val="nil"/>
              <w:bottom w:val="single" w:sz="4" w:space="0" w:color="auto"/>
              <w:right w:val="single" w:sz="4" w:space="0" w:color="auto"/>
            </w:tcBorders>
            <w:shd w:val="clear" w:color="auto" w:fill="C6EFCE"/>
            <w:noWrap/>
          </w:tcPr>
          <w:p w14:paraId="71DD87D4" w14:textId="42C99C8E"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Zriadenie nového účtu obnoviteľných zdrojov energie (RES) pre jednotky </w:t>
            </w:r>
            <w:r w:rsidRPr="00083739">
              <w:rPr>
                <w:rFonts w:ascii="Times New Roman" w:hAnsi="Times New Roman" w:cs="Times New Roman"/>
                <w:noProof/>
                <w:lang w:val="sk-SK"/>
              </w:rPr>
              <w:t>uvedené do prevádzky od 1</w:t>
            </w:r>
            <w:r w:rsidR="00083739" w:rsidRPr="00083739">
              <w:rPr>
                <w:rFonts w:ascii="Times New Roman" w:hAnsi="Times New Roman" w:cs="Times New Roman"/>
                <w:noProof/>
                <w:lang w:val="sk-SK"/>
              </w:rPr>
              <w:t>. januára</w:t>
            </w:r>
            <w:r w:rsidRPr="00083739">
              <w:rPr>
                <w:rFonts w:ascii="Times New Roman" w:hAnsi="Times New Roman" w:cs="Times New Roman"/>
                <w:noProof/>
                <w:lang w:val="sk-SK"/>
              </w:rPr>
              <w:t xml:space="preserve"> 2021 vrátane pozmeňujúcich právnych predpisov, ministerského rozhodnutia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regulačných rozhodnutí (kódexov). Nový účet OZE bude zahŕňať mechanizmy na zabezpečenie jeho finančnej životaschopnosti,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to aj</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prípade nepredv</w:t>
            </w:r>
            <w:r w:rsidRPr="00083739">
              <w:rPr>
                <w:rFonts w:ascii="Times New Roman" w:hAnsi="Times New Roman" w:cs="Times New Roman"/>
                <w:noProof/>
                <w:lang w:val="sk-SK"/>
              </w:rPr>
              <w:t>ídaných nerovnováh.</w:t>
            </w:r>
          </w:p>
          <w:p w14:paraId="5AB0CFB1"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p w14:paraId="4C1CA6EC" w14:textId="021A3786"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 Nadobudnutie účinnosti systému obchodovania so zárukami pôvodu, ktorý spotrebiteľom umožní dobrovoľne podporovať elektrinu</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obnoviteľných zdrojov energie.</w:t>
            </w:r>
          </w:p>
          <w:p w14:paraId="531D26A4" w14:textId="77777777"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Systém záruk pôvodu (GO) zahŕňa</w:t>
            </w:r>
            <w:r w:rsidR="00083739" w:rsidRPr="00083739">
              <w:rPr>
                <w:rFonts w:ascii="Times New Roman" w:hAnsi="Times New Roman" w:cs="Times New Roman"/>
                <w:noProof/>
                <w:lang w:val="sk-SK"/>
              </w:rPr>
              <w:t>:</w:t>
            </w:r>
          </w:p>
          <w:p w14:paraId="655EDB46" w14:textId="5943B9FA" w:rsidR="002D49B0" w:rsidRPr="00083739" w:rsidRDefault="00BF4125">
            <w:pPr>
              <w:pStyle w:val="P68B1DB1-Normal9"/>
              <w:numPr>
                <w:ilvl w:val="0"/>
                <w:numId w:val="29"/>
              </w:numPr>
              <w:spacing w:before="120" w:after="0" w:line="259" w:lineRule="auto"/>
              <w:contextualSpacing/>
              <w:jc w:val="both"/>
              <w:rPr>
                <w:rFonts w:ascii="Times New Roman" w:eastAsia="Times New Roman" w:hAnsi="Times New Roman" w:cs="Times New Roman"/>
                <w:noProof/>
                <w:szCs w:val="18"/>
                <w:lang w:val="sk-SK"/>
              </w:rPr>
            </w:pPr>
            <w:r w:rsidRPr="00083739">
              <w:rPr>
                <w:rFonts w:ascii="Times New Roman" w:hAnsi="Times New Roman" w:cs="Times New Roman"/>
                <w:noProof/>
                <w:lang w:val="sk-SK"/>
              </w:rPr>
              <w:t>Prijatie systému vydávania/aukčného predaja</w:t>
            </w:r>
            <w:r w:rsidRPr="00083739">
              <w:rPr>
                <w:rFonts w:ascii="Times New Roman" w:hAnsi="Times New Roman" w:cs="Times New Roman"/>
                <w:noProof/>
                <w:lang w:val="sk-SK"/>
              </w:rPr>
              <w:t xml:space="preserve"> OZE</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súvislosti</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výkupnými tarifami</w:t>
            </w:r>
          </w:p>
          <w:p w14:paraId="030EF0D7" w14:textId="77777777" w:rsidR="002D49B0" w:rsidRPr="00083739" w:rsidRDefault="00BF4125">
            <w:pPr>
              <w:pStyle w:val="P68B1DB1-Normal9"/>
              <w:numPr>
                <w:ilvl w:val="0"/>
                <w:numId w:val="29"/>
              </w:numPr>
              <w:spacing w:before="120" w:after="0" w:line="259" w:lineRule="auto"/>
              <w:contextualSpacing/>
              <w:jc w:val="both"/>
              <w:rPr>
                <w:rFonts w:ascii="Times New Roman" w:eastAsia="Times New Roman" w:hAnsi="Times New Roman" w:cs="Times New Roman"/>
                <w:noProof/>
                <w:szCs w:val="18"/>
                <w:lang w:val="sk-SK"/>
              </w:rPr>
            </w:pPr>
            <w:r w:rsidRPr="00083739">
              <w:rPr>
                <w:rFonts w:ascii="Times New Roman" w:hAnsi="Times New Roman" w:cs="Times New Roman"/>
                <w:noProof/>
                <w:lang w:val="sk-SK"/>
              </w:rPr>
              <w:t>Akreditácia ekologických maloobchodných výrobkov</w:t>
            </w:r>
          </w:p>
          <w:p w14:paraId="6F3A1B81" w14:textId="77777777" w:rsidR="002D49B0" w:rsidRPr="00083739" w:rsidRDefault="00BF4125">
            <w:pPr>
              <w:pStyle w:val="P68B1DB1-Normal9"/>
              <w:numPr>
                <w:ilvl w:val="0"/>
                <w:numId w:val="29"/>
              </w:numPr>
              <w:spacing w:before="120" w:after="0" w:line="259" w:lineRule="auto"/>
              <w:contextualSpacing/>
              <w:jc w:val="both"/>
              <w:rPr>
                <w:rFonts w:ascii="Times New Roman" w:eastAsia="Times New Roman" w:hAnsi="Times New Roman" w:cs="Times New Roman"/>
                <w:noProof/>
                <w:szCs w:val="18"/>
                <w:lang w:val="sk-SK"/>
              </w:rPr>
            </w:pPr>
            <w:r w:rsidRPr="00083739">
              <w:rPr>
                <w:rFonts w:ascii="Times New Roman" w:hAnsi="Times New Roman" w:cs="Times New Roman"/>
                <w:noProof/>
                <w:lang w:val="sk-SK"/>
              </w:rPr>
              <w:t>Akreditácia noriem „zeleného podnikania“.</w:t>
            </w:r>
          </w:p>
          <w:p w14:paraId="233E14E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 </w:t>
            </w:r>
          </w:p>
        </w:tc>
      </w:tr>
      <w:tr w:rsidR="002D49B0" w:rsidRPr="00083739" w14:paraId="114D527E" w14:textId="77777777">
        <w:tc>
          <w:tcPr>
            <w:tcW w:w="1043" w:type="dxa"/>
            <w:tcBorders>
              <w:top w:val="nil"/>
              <w:left w:val="single" w:sz="4" w:space="0" w:color="auto"/>
              <w:bottom w:val="single" w:sz="4" w:space="0" w:color="auto"/>
              <w:right w:val="single" w:sz="4" w:space="0" w:color="auto"/>
            </w:tcBorders>
            <w:shd w:val="clear" w:color="auto" w:fill="C6EFCE"/>
            <w:noWrap/>
          </w:tcPr>
          <w:p w14:paraId="1FD1559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5</w:t>
            </w:r>
          </w:p>
        </w:tc>
        <w:tc>
          <w:tcPr>
            <w:tcW w:w="1952" w:type="dxa"/>
            <w:tcBorders>
              <w:top w:val="nil"/>
              <w:left w:val="nil"/>
              <w:bottom w:val="single" w:sz="4" w:space="0" w:color="auto"/>
              <w:right w:val="single" w:sz="4" w:space="0" w:color="auto"/>
            </w:tcBorders>
            <w:shd w:val="clear" w:color="auto" w:fill="C6EFCE"/>
            <w:noWrap/>
          </w:tcPr>
          <w:p w14:paraId="3CCDEB68" w14:textId="08426AFD"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 – 1.1. Power up – 16860_Zjednoduší efektívne fungovanie nového modelu trhu</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elektrinou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rozvoj nových zariadení na </w:t>
            </w:r>
            <w:r w:rsidRPr="00083739">
              <w:rPr>
                <w:rFonts w:ascii="Times New Roman" w:hAnsi="Times New Roman" w:cs="Times New Roman"/>
                <w:noProof/>
                <w:lang w:val="sk-SK"/>
              </w:rPr>
              <w:t>výrobu energie</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obnoviteľných zdrojov na dosiahnutie cieľov NEKP prostredníctvom zavedenia monitorovacieho mechanizmu, účasti reakcie na strane spotreby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rozsiahlej reformy postupu udeľovania licencií pre nové obnoviteľné zdroje energie</w:t>
            </w:r>
          </w:p>
        </w:tc>
        <w:tc>
          <w:tcPr>
            <w:tcW w:w="1142" w:type="dxa"/>
            <w:tcBorders>
              <w:top w:val="nil"/>
              <w:left w:val="nil"/>
              <w:bottom w:val="single" w:sz="4" w:space="0" w:color="auto"/>
              <w:right w:val="single" w:sz="4" w:space="0" w:color="auto"/>
            </w:tcBorders>
            <w:shd w:val="clear" w:color="auto" w:fill="C6EFCE"/>
            <w:noWrap/>
          </w:tcPr>
          <w:p w14:paraId="42CCD54A" w14:textId="77777777" w:rsidR="002D49B0" w:rsidRPr="00083739" w:rsidRDefault="00BF4125">
            <w:pPr>
              <w:pStyle w:val="P68B1DB1-Normal9"/>
              <w:spacing w:after="0" w:line="240" w:lineRule="auto"/>
              <w:rPr>
                <w:rFonts w:ascii="Times New Roman" w:eastAsia="Times New Roman" w:hAnsi="Times New Roman" w:cs="Times New Roman"/>
                <w:noProof/>
                <w:szCs w:val="18"/>
                <w:highlight w:val="yellow"/>
                <w:lang w:val="sk-SK"/>
              </w:rPr>
            </w:pPr>
            <w:r w:rsidRPr="00083739">
              <w:rPr>
                <w:rFonts w:ascii="Times New Roman" w:hAnsi="Times New Roman" w:cs="Times New Roman"/>
                <w:noProof/>
                <w:lang w:val="sk-SK"/>
              </w:rPr>
              <w:t>Míľnik</w:t>
            </w:r>
          </w:p>
        </w:tc>
        <w:tc>
          <w:tcPr>
            <w:tcW w:w="1234" w:type="dxa"/>
            <w:tcBorders>
              <w:top w:val="nil"/>
              <w:left w:val="nil"/>
              <w:bottom w:val="single" w:sz="4" w:space="0" w:color="auto"/>
              <w:right w:val="single" w:sz="4" w:space="0" w:color="auto"/>
            </w:tcBorders>
            <w:shd w:val="clear" w:color="auto" w:fill="C6EFCE"/>
            <w:noWrap/>
          </w:tcPr>
          <w:p w14:paraId="471F4FEC" w14:textId="1C72D0C6"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Účet OZE –</w:t>
            </w:r>
            <w:r w:rsidRPr="00083739">
              <w:rPr>
                <w:rFonts w:ascii="Times New Roman" w:hAnsi="Times New Roman" w:cs="Times New Roman"/>
                <w:noProof/>
                <w:lang w:val="sk-SK"/>
              </w:rPr>
              <w:t xml:space="preserve"> trhové reformy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zjednodušenie udeľovania licencií</w:t>
            </w:r>
          </w:p>
        </w:tc>
        <w:tc>
          <w:tcPr>
            <w:tcW w:w="1286" w:type="dxa"/>
            <w:tcBorders>
              <w:top w:val="nil"/>
              <w:left w:val="nil"/>
              <w:bottom w:val="single" w:sz="4" w:space="0" w:color="auto"/>
              <w:right w:val="single" w:sz="4" w:space="0" w:color="auto"/>
            </w:tcBorders>
            <w:shd w:val="clear" w:color="auto" w:fill="C6EFCE"/>
            <w:noWrap/>
          </w:tcPr>
          <w:p w14:paraId="1749FAFC" w14:textId="40355D18"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všetkých príslušných právnych predpisov vrátane ministerských rozhodnutí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regulačného rámca zo strany RAE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DAPEEP</w:t>
            </w:r>
          </w:p>
        </w:tc>
        <w:tc>
          <w:tcPr>
            <w:tcW w:w="1248" w:type="dxa"/>
            <w:tcBorders>
              <w:top w:val="nil"/>
              <w:left w:val="nil"/>
              <w:bottom w:val="single" w:sz="4" w:space="0" w:color="auto"/>
              <w:right w:val="single" w:sz="4" w:space="0" w:color="auto"/>
            </w:tcBorders>
            <w:shd w:val="clear" w:color="auto" w:fill="C6EFCE"/>
            <w:noWrap/>
          </w:tcPr>
          <w:p w14:paraId="0C2E5EC1"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4" w:type="dxa"/>
            <w:tcBorders>
              <w:top w:val="nil"/>
              <w:left w:val="nil"/>
              <w:bottom w:val="single" w:sz="4" w:space="0" w:color="auto"/>
              <w:right w:val="single" w:sz="4" w:space="0" w:color="auto"/>
            </w:tcBorders>
            <w:shd w:val="clear" w:color="auto" w:fill="C6EFCE"/>
            <w:noWrap/>
          </w:tcPr>
          <w:p w14:paraId="69F5D758"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648" w:type="dxa"/>
            <w:tcBorders>
              <w:top w:val="nil"/>
              <w:left w:val="nil"/>
              <w:bottom w:val="single" w:sz="4" w:space="0" w:color="auto"/>
              <w:right w:val="single" w:sz="4" w:space="0" w:color="auto"/>
            </w:tcBorders>
            <w:shd w:val="clear" w:color="auto" w:fill="C6EFCE"/>
            <w:noWrap/>
          </w:tcPr>
          <w:p w14:paraId="175344E1"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56" w:type="dxa"/>
            <w:tcBorders>
              <w:top w:val="nil"/>
              <w:left w:val="nil"/>
              <w:bottom w:val="single" w:sz="4" w:space="0" w:color="auto"/>
              <w:right w:val="single" w:sz="4" w:space="0" w:color="auto"/>
            </w:tcBorders>
            <w:shd w:val="clear" w:color="auto" w:fill="C6EFCE"/>
            <w:noWrap/>
          </w:tcPr>
          <w:p w14:paraId="7086338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956" w:type="dxa"/>
            <w:tcBorders>
              <w:top w:val="nil"/>
              <w:left w:val="nil"/>
              <w:bottom w:val="single" w:sz="4" w:space="0" w:color="auto"/>
              <w:right w:val="single" w:sz="4" w:space="0" w:color="auto"/>
            </w:tcBorders>
            <w:shd w:val="clear" w:color="auto" w:fill="C6EFCE"/>
            <w:noWrap/>
          </w:tcPr>
          <w:p w14:paraId="67734F9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2022</w:t>
            </w:r>
          </w:p>
        </w:tc>
        <w:tc>
          <w:tcPr>
            <w:tcW w:w="3278" w:type="dxa"/>
            <w:tcBorders>
              <w:top w:val="nil"/>
              <w:left w:val="nil"/>
              <w:bottom w:val="single" w:sz="4" w:space="0" w:color="auto"/>
              <w:right w:val="single" w:sz="4" w:space="0" w:color="auto"/>
            </w:tcBorders>
            <w:shd w:val="clear" w:color="auto" w:fill="C6EFCE"/>
            <w:noWrap/>
          </w:tcPr>
          <w:p w14:paraId="4DC1C280" w14:textId="64480EC1"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Zriadenie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plné fungovanie mechanizmu </w:t>
            </w:r>
            <w:r w:rsidRPr="00083739">
              <w:rPr>
                <w:rFonts w:ascii="Times New Roman" w:hAnsi="Times New Roman" w:cs="Times New Roman"/>
                <w:noProof/>
                <w:lang w:val="sk-SK"/>
              </w:rPr>
              <w:t>monitorovania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dohľadu nad trhom, ako aj plná účasť reakcie na strane dopytu na vyrovnávacom trhu.</w:t>
            </w:r>
          </w:p>
          <w:p w14:paraId="1D4F967F" w14:textId="42F88D0C" w:rsidR="002D49B0" w:rsidRPr="00083739" w:rsidRDefault="00BF4125">
            <w:pPr>
              <w:pStyle w:val="P68B1DB1-Normal9"/>
              <w:spacing w:after="0" w:line="240" w:lineRule="auto"/>
              <w:rPr>
                <w:rFonts w:ascii="Times New Roman" w:eastAsia="Times New Roman" w:hAnsi="Times New Roman" w:cs="Times New Roman"/>
                <w:noProof/>
                <w:szCs w:val="18"/>
                <w:highlight w:val="yellow"/>
                <w:lang w:val="sk-SK"/>
              </w:rPr>
            </w:pPr>
            <w:r w:rsidRPr="00083739">
              <w:rPr>
                <w:rFonts w:ascii="Times New Roman" w:hAnsi="Times New Roman" w:cs="Times New Roman"/>
                <w:noProof/>
                <w:lang w:val="sk-SK"/>
              </w:rPr>
              <w:t>2. dokončenie reformy týkajúcej sa zjednodušenia udeľovania licencií na obnoviteľné zdroje energie vrátane zjednodušenia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digitalizácie postupov, krátkych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záväzných administratívnych reakčných lehôt</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postupov zodpovednosti</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prípade zbytočných oneskorení, zníženia potrebnej dokumentácie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postupov, ako aj nového osobitného rámca pre zariadenia na výrobu energie</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obnoviteľných zdrojov na mori.</w:t>
            </w:r>
          </w:p>
        </w:tc>
      </w:tr>
      <w:tr w:rsidR="002D49B0" w:rsidRPr="00083739" w14:paraId="04E04BCC" w14:textId="77777777">
        <w:tc>
          <w:tcPr>
            <w:tcW w:w="1043" w:type="dxa"/>
            <w:tcBorders>
              <w:top w:val="nil"/>
              <w:left w:val="single" w:sz="4" w:space="0" w:color="auto"/>
              <w:bottom w:val="single" w:sz="4" w:space="0" w:color="auto"/>
              <w:right w:val="single" w:sz="4" w:space="0" w:color="auto"/>
            </w:tcBorders>
            <w:shd w:val="clear" w:color="auto" w:fill="C6EFCE"/>
            <w:noWrap/>
          </w:tcPr>
          <w:p w14:paraId="5E6262C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6</w:t>
            </w:r>
          </w:p>
        </w:tc>
        <w:tc>
          <w:tcPr>
            <w:tcW w:w="1952" w:type="dxa"/>
            <w:tcBorders>
              <w:top w:val="nil"/>
              <w:left w:val="nil"/>
              <w:bottom w:val="single" w:sz="4" w:space="0" w:color="auto"/>
              <w:right w:val="single" w:sz="4" w:space="0" w:color="auto"/>
            </w:tcBorders>
            <w:shd w:val="clear" w:color="auto" w:fill="C6EFCE"/>
            <w:noWrap/>
          </w:tcPr>
          <w:p w14:paraId="7F7405D7" w14:textId="645BB86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 – 1.1.</w:t>
            </w:r>
            <w:r w:rsidRPr="00083739">
              <w:rPr>
                <w:rFonts w:ascii="Times New Roman" w:hAnsi="Times New Roman" w:cs="Times New Roman"/>
                <w:noProof/>
                <w:lang w:val="sk-SK"/>
              </w:rPr>
              <w:t xml:space="preserve"> Power up – 16865_Reštrukturalizácia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zlepšenie príjmov</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účtu KVET OZE</w:t>
            </w:r>
          </w:p>
        </w:tc>
        <w:tc>
          <w:tcPr>
            <w:tcW w:w="1142" w:type="dxa"/>
            <w:tcBorders>
              <w:top w:val="nil"/>
              <w:left w:val="nil"/>
              <w:bottom w:val="single" w:sz="4" w:space="0" w:color="auto"/>
              <w:right w:val="single" w:sz="4" w:space="0" w:color="auto"/>
            </w:tcBorders>
            <w:shd w:val="clear" w:color="auto" w:fill="C6EFCE"/>
            <w:noWrap/>
          </w:tcPr>
          <w:p w14:paraId="211106F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Cieľ</w:t>
            </w:r>
          </w:p>
        </w:tc>
        <w:tc>
          <w:tcPr>
            <w:tcW w:w="1234" w:type="dxa"/>
            <w:tcBorders>
              <w:top w:val="nil"/>
              <w:left w:val="nil"/>
              <w:bottom w:val="single" w:sz="4" w:space="0" w:color="auto"/>
              <w:right w:val="single" w:sz="4" w:space="0" w:color="auto"/>
            </w:tcBorders>
            <w:shd w:val="clear" w:color="auto" w:fill="C6EFCE"/>
            <w:noWrap/>
          </w:tcPr>
          <w:p w14:paraId="2545D16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Účet OZE – cieľ zvýšenia kapacity 1</w:t>
            </w:r>
          </w:p>
        </w:tc>
        <w:tc>
          <w:tcPr>
            <w:tcW w:w="1286" w:type="dxa"/>
            <w:tcBorders>
              <w:top w:val="nil"/>
              <w:left w:val="nil"/>
              <w:bottom w:val="single" w:sz="4" w:space="0" w:color="auto"/>
              <w:right w:val="single" w:sz="4" w:space="0" w:color="auto"/>
            </w:tcBorders>
            <w:shd w:val="clear" w:color="auto" w:fill="C6EFCE"/>
            <w:noWrap/>
          </w:tcPr>
          <w:p w14:paraId="027E5C4B"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248" w:type="dxa"/>
            <w:tcBorders>
              <w:top w:val="nil"/>
              <w:left w:val="nil"/>
              <w:bottom w:val="single" w:sz="4" w:space="0" w:color="auto"/>
              <w:right w:val="single" w:sz="4" w:space="0" w:color="auto"/>
            </w:tcBorders>
            <w:shd w:val="clear" w:color="auto" w:fill="C6EFCE"/>
            <w:noWrap/>
          </w:tcPr>
          <w:p w14:paraId="44A76BD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Uvedenie novej kapacity (GW) obnoviteľných zdrojov energie do prevádzky</w:t>
            </w:r>
          </w:p>
        </w:tc>
        <w:tc>
          <w:tcPr>
            <w:tcW w:w="994" w:type="dxa"/>
            <w:tcBorders>
              <w:top w:val="nil"/>
              <w:left w:val="nil"/>
              <w:bottom w:val="single" w:sz="4" w:space="0" w:color="auto"/>
              <w:right w:val="single" w:sz="4" w:space="0" w:color="auto"/>
            </w:tcBorders>
            <w:shd w:val="clear" w:color="auto" w:fill="C6EFCE"/>
            <w:noWrap/>
          </w:tcPr>
          <w:p w14:paraId="65E19CC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0</w:t>
            </w:r>
          </w:p>
        </w:tc>
        <w:tc>
          <w:tcPr>
            <w:tcW w:w="648" w:type="dxa"/>
            <w:tcBorders>
              <w:top w:val="nil"/>
              <w:left w:val="nil"/>
              <w:bottom w:val="single" w:sz="4" w:space="0" w:color="auto"/>
              <w:right w:val="single" w:sz="4" w:space="0" w:color="auto"/>
            </w:tcBorders>
            <w:shd w:val="clear" w:color="auto" w:fill="C6EFCE"/>
            <w:noWrap/>
          </w:tcPr>
          <w:p w14:paraId="1B47940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w:t>
            </w:r>
          </w:p>
        </w:tc>
        <w:tc>
          <w:tcPr>
            <w:tcW w:w="956" w:type="dxa"/>
            <w:tcBorders>
              <w:top w:val="nil"/>
              <w:left w:val="nil"/>
              <w:bottom w:val="single" w:sz="4" w:space="0" w:color="auto"/>
              <w:right w:val="single" w:sz="4" w:space="0" w:color="auto"/>
            </w:tcBorders>
            <w:shd w:val="clear" w:color="auto" w:fill="C6EFCE"/>
            <w:noWrap/>
          </w:tcPr>
          <w:p w14:paraId="2407547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956" w:type="dxa"/>
            <w:tcBorders>
              <w:top w:val="nil"/>
              <w:left w:val="nil"/>
              <w:bottom w:val="single" w:sz="4" w:space="0" w:color="auto"/>
              <w:right w:val="single" w:sz="4" w:space="0" w:color="auto"/>
            </w:tcBorders>
            <w:shd w:val="clear" w:color="auto" w:fill="C6EFCE"/>
            <w:noWrap/>
          </w:tcPr>
          <w:p w14:paraId="48405DB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2023</w:t>
            </w:r>
          </w:p>
        </w:tc>
        <w:tc>
          <w:tcPr>
            <w:tcW w:w="3278" w:type="dxa"/>
            <w:tcBorders>
              <w:top w:val="nil"/>
              <w:left w:val="nil"/>
              <w:bottom w:val="single" w:sz="4" w:space="0" w:color="auto"/>
              <w:right w:val="single" w:sz="4" w:space="0" w:color="auto"/>
            </w:tcBorders>
            <w:shd w:val="clear" w:color="auto" w:fill="C6EFCE"/>
            <w:noWrap/>
          </w:tcPr>
          <w:p w14:paraId="6857A19F" w14:textId="10C750D1"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Nová inštalovaná</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prevádzková kapacita OZE</w:t>
            </w:r>
          </w:p>
        </w:tc>
      </w:tr>
      <w:tr w:rsidR="002D49B0" w:rsidRPr="00083739" w14:paraId="49D38A46" w14:textId="77777777">
        <w:tc>
          <w:tcPr>
            <w:tcW w:w="1043" w:type="dxa"/>
            <w:tcBorders>
              <w:top w:val="nil"/>
              <w:left w:val="single" w:sz="4" w:space="0" w:color="auto"/>
              <w:bottom w:val="single" w:sz="4" w:space="0" w:color="auto"/>
              <w:right w:val="single" w:sz="4" w:space="0" w:color="auto"/>
            </w:tcBorders>
            <w:shd w:val="clear" w:color="auto" w:fill="C6EFCE"/>
            <w:noWrap/>
            <w:hideMark/>
          </w:tcPr>
          <w:p w14:paraId="2BC88E5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7</w:t>
            </w:r>
          </w:p>
        </w:tc>
        <w:tc>
          <w:tcPr>
            <w:tcW w:w="1952" w:type="dxa"/>
            <w:tcBorders>
              <w:top w:val="nil"/>
              <w:left w:val="nil"/>
              <w:bottom w:val="single" w:sz="4" w:space="0" w:color="auto"/>
              <w:right w:val="single" w:sz="4" w:space="0" w:color="auto"/>
            </w:tcBorders>
            <w:shd w:val="clear" w:color="auto" w:fill="C6EFCE"/>
            <w:noWrap/>
          </w:tcPr>
          <w:p w14:paraId="4808EF5A" w14:textId="05DE9CA9"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 – 1.1. Power up – 16865_Reštrukturalizácia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zlepšenie príjmov</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účtu KVET OZE</w:t>
            </w:r>
          </w:p>
        </w:tc>
        <w:tc>
          <w:tcPr>
            <w:tcW w:w="1142" w:type="dxa"/>
            <w:tcBorders>
              <w:top w:val="nil"/>
              <w:left w:val="nil"/>
              <w:bottom w:val="single" w:sz="4" w:space="0" w:color="auto"/>
              <w:right w:val="single" w:sz="4" w:space="0" w:color="auto"/>
            </w:tcBorders>
            <w:shd w:val="clear" w:color="auto" w:fill="C6EFCE"/>
            <w:noWrap/>
            <w:hideMark/>
          </w:tcPr>
          <w:p w14:paraId="19D32A7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Cieľ</w:t>
            </w:r>
          </w:p>
        </w:tc>
        <w:tc>
          <w:tcPr>
            <w:tcW w:w="1234" w:type="dxa"/>
            <w:tcBorders>
              <w:top w:val="nil"/>
              <w:left w:val="nil"/>
              <w:bottom w:val="single" w:sz="4" w:space="0" w:color="auto"/>
              <w:right w:val="single" w:sz="4" w:space="0" w:color="auto"/>
            </w:tcBorders>
            <w:shd w:val="clear" w:color="auto" w:fill="C6EFCE"/>
            <w:noWrap/>
            <w:hideMark/>
          </w:tcPr>
          <w:p w14:paraId="550FBCE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Účet OZE – cieľ zvýšenia kapacity 2</w:t>
            </w:r>
          </w:p>
        </w:tc>
        <w:tc>
          <w:tcPr>
            <w:tcW w:w="1286" w:type="dxa"/>
            <w:tcBorders>
              <w:top w:val="nil"/>
              <w:left w:val="nil"/>
              <w:bottom w:val="single" w:sz="4" w:space="0" w:color="auto"/>
              <w:right w:val="single" w:sz="4" w:space="0" w:color="auto"/>
            </w:tcBorders>
            <w:shd w:val="clear" w:color="auto" w:fill="C6EFCE"/>
            <w:noWrap/>
            <w:hideMark/>
          </w:tcPr>
          <w:p w14:paraId="57CE452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 </w:t>
            </w:r>
          </w:p>
        </w:tc>
        <w:tc>
          <w:tcPr>
            <w:tcW w:w="1248" w:type="dxa"/>
            <w:tcBorders>
              <w:top w:val="nil"/>
              <w:left w:val="nil"/>
              <w:bottom w:val="single" w:sz="4" w:space="0" w:color="auto"/>
              <w:right w:val="single" w:sz="4" w:space="0" w:color="auto"/>
            </w:tcBorders>
            <w:shd w:val="clear" w:color="auto" w:fill="C6EFCE"/>
            <w:noWrap/>
            <w:hideMark/>
          </w:tcPr>
          <w:p w14:paraId="1F3ED5B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Uvedenie novej kapacity (GW) obnoviteľných zdrojov energie do prevádzky</w:t>
            </w:r>
          </w:p>
        </w:tc>
        <w:tc>
          <w:tcPr>
            <w:tcW w:w="994" w:type="dxa"/>
            <w:tcBorders>
              <w:top w:val="nil"/>
              <w:left w:val="nil"/>
              <w:bottom w:val="single" w:sz="4" w:space="0" w:color="auto"/>
              <w:right w:val="single" w:sz="4" w:space="0" w:color="auto"/>
            </w:tcBorders>
            <w:shd w:val="clear" w:color="auto" w:fill="C6EFCE"/>
            <w:noWrap/>
            <w:hideMark/>
          </w:tcPr>
          <w:p w14:paraId="48996EF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1</w:t>
            </w:r>
          </w:p>
        </w:tc>
        <w:tc>
          <w:tcPr>
            <w:tcW w:w="648" w:type="dxa"/>
            <w:tcBorders>
              <w:top w:val="nil"/>
              <w:left w:val="nil"/>
              <w:bottom w:val="single" w:sz="4" w:space="0" w:color="auto"/>
              <w:right w:val="single" w:sz="4" w:space="0" w:color="auto"/>
            </w:tcBorders>
            <w:shd w:val="clear" w:color="auto" w:fill="C6EFCE"/>
            <w:noWrap/>
            <w:hideMark/>
          </w:tcPr>
          <w:p w14:paraId="414327B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2</w:t>
            </w:r>
          </w:p>
        </w:tc>
        <w:tc>
          <w:tcPr>
            <w:tcW w:w="956" w:type="dxa"/>
            <w:tcBorders>
              <w:top w:val="nil"/>
              <w:left w:val="nil"/>
              <w:bottom w:val="single" w:sz="4" w:space="0" w:color="auto"/>
              <w:right w:val="single" w:sz="4" w:space="0" w:color="auto"/>
            </w:tcBorders>
            <w:shd w:val="clear" w:color="auto" w:fill="C6EFCE"/>
            <w:noWrap/>
            <w:hideMark/>
          </w:tcPr>
          <w:p w14:paraId="4857687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956" w:type="dxa"/>
            <w:tcBorders>
              <w:top w:val="nil"/>
              <w:left w:val="nil"/>
              <w:bottom w:val="single" w:sz="4" w:space="0" w:color="auto"/>
              <w:right w:val="single" w:sz="4" w:space="0" w:color="auto"/>
            </w:tcBorders>
            <w:shd w:val="clear" w:color="auto" w:fill="C6EFCE"/>
            <w:noWrap/>
            <w:hideMark/>
          </w:tcPr>
          <w:p w14:paraId="5C4FF7B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2024</w:t>
            </w:r>
          </w:p>
        </w:tc>
        <w:tc>
          <w:tcPr>
            <w:tcW w:w="3278" w:type="dxa"/>
            <w:tcBorders>
              <w:top w:val="nil"/>
              <w:left w:val="nil"/>
              <w:bottom w:val="single" w:sz="4" w:space="0" w:color="auto"/>
              <w:right w:val="single" w:sz="4" w:space="0" w:color="auto"/>
            </w:tcBorders>
            <w:shd w:val="clear" w:color="auto" w:fill="C6EFCE"/>
            <w:noWrap/>
            <w:hideMark/>
          </w:tcPr>
          <w:p w14:paraId="02DF412A" w14:textId="78944720"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Nová inštalovaná</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prevádzková</w:t>
            </w:r>
            <w:r w:rsidRPr="00083739">
              <w:rPr>
                <w:rFonts w:ascii="Times New Roman" w:hAnsi="Times New Roman" w:cs="Times New Roman"/>
                <w:noProof/>
                <w:lang w:val="sk-SK"/>
              </w:rPr>
              <w:t xml:space="preserve"> kapacita OZE</w:t>
            </w:r>
          </w:p>
        </w:tc>
      </w:tr>
      <w:tr w:rsidR="002D49B0" w:rsidRPr="00083739" w14:paraId="0960AE76" w14:textId="77777777">
        <w:trPr>
          <w:trHeight w:val="1362"/>
        </w:trPr>
        <w:tc>
          <w:tcPr>
            <w:tcW w:w="1043" w:type="dxa"/>
            <w:tcBorders>
              <w:top w:val="nil"/>
              <w:left w:val="single" w:sz="4" w:space="0" w:color="auto"/>
              <w:bottom w:val="single" w:sz="4" w:space="0" w:color="auto"/>
              <w:right w:val="single" w:sz="4" w:space="0" w:color="auto"/>
            </w:tcBorders>
            <w:shd w:val="clear" w:color="auto" w:fill="C6EFCE"/>
            <w:noWrap/>
            <w:hideMark/>
          </w:tcPr>
          <w:p w14:paraId="536C8B1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8</w:t>
            </w:r>
          </w:p>
        </w:tc>
        <w:tc>
          <w:tcPr>
            <w:tcW w:w="1952" w:type="dxa"/>
            <w:tcBorders>
              <w:top w:val="nil"/>
              <w:left w:val="nil"/>
              <w:bottom w:val="single" w:sz="4" w:space="0" w:color="auto"/>
              <w:right w:val="single" w:sz="4" w:space="0" w:color="auto"/>
            </w:tcBorders>
            <w:shd w:val="clear" w:color="auto" w:fill="C6EFCE"/>
            <w:noWrap/>
          </w:tcPr>
          <w:p w14:paraId="062155F7" w14:textId="31546382"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 – 1.1. Power up – 16865_Reštrukturalizácia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zlepšenie príjmov</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účtu KVET OZE</w:t>
            </w:r>
          </w:p>
        </w:tc>
        <w:tc>
          <w:tcPr>
            <w:tcW w:w="1142" w:type="dxa"/>
            <w:tcBorders>
              <w:top w:val="nil"/>
              <w:left w:val="nil"/>
              <w:bottom w:val="single" w:sz="4" w:space="0" w:color="auto"/>
              <w:right w:val="single" w:sz="4" w:space="0" w:color="auto"/>
            </w:tcBorders>
            <w:shd w:val="clear" w:color="auto" w:fill="C6EFCE"/>
            <w:noWrap/>
            <w:hideMark/>
          </w:tcPr>
          <w:p w14:paraId="47EB9F5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Cieľ</w:t>
            </w:r>
          </w:p>
        </w:tc>
        <w:tc>
          <w:tcPr>
            <w:tcW w:w="1234" w:type="dxa"/>
            <w:tcBorders>
              <w:top w:val="nil"/>
              <w:left w:val="nil"/>
              <w:bottom w:val="single" w:sz="4" w:space="0" w:color="auto"/>
              <w:right w:val="single" w:sz="4" w:space="0" w:color="auto"/>
            </w:tcBorders>
            <w:shd w:val="clear" w:color="auto" w:fill="C6EFCE"/>
            <w:noWrap/>
            <w:hideMark/>
          </w:tcPr>
          <w:p w14:paraId="354C0EA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Účet OZE – cieľ zvýšenia kapacity 3 </w:t>
            </w:r>
          </w:p>
        </w:tc>
        <w:tc>
          <w:tcPr>
            <w:tcW w:w="1286" w:type="dxa"/>
            <w:tcBorders>
              <w:top w:val="nil"/>
              <w:left w:val="nil"/>
              <w:bottom w:val="single" w:sz="4" w:space="0" w:color="auto"/>
              <w:right w:val="single" w:sz="4" w:space="0" w:color="auto"/>
            </w:tcBorders>
            <w:shd w:val="clear" w:color="auto" w:fill="C6EFCE"/>
            <w:noWrap/>
            <w:hideMark/>
          </w:tcPr>
          <w:p w14:paraId="41DA7B1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 </w:t>
            </w:r>
          </w:p>
        </w:tc>
        <w:tc>
          <w:tcPr>
            <w:tcW w:w="1248" w:type="dxa"/>
            <w:tcBorders>
              <w:top w:val="nil"/>
              <w:left w:val="nil"/>
              <w:bottom w:val="single" w:sz="4" w:space="0" w:color="auto"/>
              <w:right w:val="single" w:sz="4" w:space="0" w:color="auto"/>
            </w:tcBorders>
            <w:shd w:val="clear" w:color="auto" w:fill="C6EFCE"/>
            <w:noWrap/>
            <w:hideMark/>
          </w:tcPr>
          <w:p w14:paraId="75B15FE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Uvedenie novej kapacity (GW) obnoviteľných zdrojov energie do prevádzky</w:t>
            </w:r>
          </w:p>
        </w:tc>
        <w:tc>
          <w:tcPr>
            <w:tcW w:w="994" w:type="dxa"/>
            <w:tcBorders>
              <w:top w:val="nil"/>
              <w:left w:val="nil"/>
              <w:bottom w:val="single" w:sz="4" w:space="0" w:color="auto"/>
              <w:right w:val="single" w:sz="4" w:space="0" w:color="auto"/>
            </w:tcBorders>
            <w:shd w:val="clear" w:color="auto" w:fill="C6EFCE"/>
            <w:noWrap/>
            <w:hideMark/>
          </w:tcPr>
          <w:p w14:paraId="30B8D10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2</w:t>
            </w:r>
          </w:p>
        </w:tc>
        <w:tc>
          <w:tcPr>
            <w:tcW w:w="648" w:type="dxa"/>
            <w:tcBorders>
              <w:top w:val="nil"/>
              <w:left w:val="nil"/>
              <w:bottom w:val="single" w:sz="4" w:space="0" w:color="auto"/>
              <w:right w:val="single" w:sz="4" w:space="0" w:color="auto"/>
            </w:tcBorders>
            <w:shd w:val="clear" w:color="auto" w:fill="C6EFCE"/>
            <w:noWrap/>
            <w:hideMark/>
          </w:tcPr>
          <w:p w14:paraId="3D379E5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3</w:t>
            </w:r>
          </w:p>
        </w:tc>
        <w:tc>
          <w:tcPr>
            <w:tcW w:w="956" w:type="dxa"/>
            <w:tcBorders>
              <w:top w:val="nil"/>
              <w:left w:val="nil"/>
              <w:bottom w:val="single" w:sz="4" w:space="0" w:color="auto"/>
              <w:right w:val="single" w:sz="4" w:space="0" w:color="auto"/>
            </w:tcBorders>
            <w:shd w:val="clear" w:color="auto" w:fill="C6EFCE"/>
            <w:noWrap/>
            <w:hideMark/>
          </w:tcPr>
          <w:p w14:paraId="19C203D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956" w:type="dxa"/>
            <w:tcBorders>
              <w:top w:val="nil"/>
              <w:left w:val="nil"/>
              <w:bottom w:val="single" w:sz="4" w:space="0" w:color="auto"/>
              <w:right w:val="single" w:sz="4" w:space="0" w:color="auto"/>
            </w:tcBorders>
            <w:shd w:val="clear" w:color="auto" w:fill="C6EFCE"/>
            <w:noWrap/>
            <w:hideMark/>
          </w:tcPr>
          <w:p w14:paraId="431A043B" w14:textId="3142F475"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2024</w:t>
            </w:r>
          </w:p>
        </w:tc>
        <w:tc>
          <w:tcPr>
            <w:tcW w:w="3278" w:type="dxa"/>
            <w:tcBorders>
              <w:top w:val="nil"/>
              <w:left w:val="nil"/>
              <w:bottom w:val="single" w:sz="4" w:space="0" w:color="auto"/>
              <w:right w:val="single" w:sz="4" w:space="0" w:color="auto"/>
            </w:tcBorders>
            <w:shd w:val="clear" w:color="auto" w:fill="C6EFCE"/>
            <w:noWrap/>
            <w:hideMark/>
          </w:tcPr>
          <w:p w14:paraId="58211CF4" w14:textId="246C6064"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Nová </w:t>
            </w:r>
            <w:r w:rsidRPr="00083739">
              <w:rPr>
                <w:rFonts w:ascii="Times New Roman" w:hAnsi="Times New Roman" w:cs="Times New Roman"/>
                <w:noProof/>
                <w:lang w:val="sk-SK"/>
              </w:rPr>
              <w:t>inštalovaná</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prevádzková kapacita OZE</w:t>
            </w:r>
          </w:p>
        </w:tc>
      </w:tr>
    </w:tbl>
    <w:p w14:paraId="5D1194F8" w14:textId="77777777" w:rsidR="002D49B0" w:rsidRPr="00083739" w:rsidRDefault="002D49B0">
      <w:pPr>
        <w:rPr>
          <w:rFonts w:ascii="Times New Roman" w:hAnsi="Times New Roman" w:cs="Times New Roman"/>
          <w:noProof/>
          <w:color w:val="365F91"/>
          <w:sz w:val="24"/>
          <w:lang w:val="sk-SK"/>
        </w:rPr>
      </w:pPr>
    </w:p>
    <w:p w14:paraId="068CDF77" w14:textId="77777777" w:rsidR="002D49B0" w:rsidRPr="00083739" w:rsidRDefault="00BF4125">
      <w:pPr>
        <w:pStyle w:val="P68B1DB1-Normal6"/>
        <w:keepNext/>
        <w:keepLines/>
        <w:spacing w:before="40" w:after="0" w:line="240" w:lineRule="auto"/>
        <w:jc w:val="both"/>
        <w:outlineLvl w:val="4"/>
        <w:rPr>
          <w:rFonts w:ascii="Times New Roman" w:eastAsia="Times New Roman" w:hAnsi="Times New Roman" w:cs="Times New Roman"/>
          <w:noProof/>
          <w:lang w:val="sk-SK"/>
        </w:rPr>
      </w:pPr>
      <w:r w:rsidRPr="00083739">
        <w:rPr>
          <w:rFonts w:ascii="Times New Roman" w:hAnsi="Times New Roman" w:cs="Times New Roman"/>
          <w:noProof/>
          <w:lang w:val="sk-SK"/>
        </w:rPr>
        <w:t>Skupina 1: Výkon</w:t>
      </w:r>
    </w:p>
    <w:p w14:paraId="656584E3" w14:textId="77777777" w:rsidR="002D49B0" w:rsidRPr="00083739" w:rsidRDefault="00BF4125">
      <w:pPr>
        <w:pStyle w:val="P68B1DB1-Normal4"/>
        <w:spacing w:before="120" w:after="120" w:line="240" w:lineRule="auto"/>
        <w:rPr>
          <w:rFonts w:cs="Times New Roman"/>
          <w:noProof/>
          <w:lang w:val="sk-SK"/>
        </w:rPr>
      </w:pPr>
      <w:r w:rsidRPr="00083739">
        <w:rPr>
          <w:rFonts w:cs="Times New Roman"/>
          <w:noProof/>
          <w:lang w:val="sk-SK"/>
        </w:rPr>
        <w:t>Do tejto skupiny patria tieto opatrenia:</w:t>
      </w:r>
    </w:p>
    <w:p w14:paraId="02A7DC33" w14:textId="77777777" w:rsidR="002D49B0" w:rsidRPr="00083739" w:rsidRDefault="00BF4125">
      <w:pPr>
        <w:spacing w:before="120" w:after="120" w:line="240" w:lineRule="auto"/>
        <w:rPr>
          <w:rFonts w:ascii="Times New Roman" w:hAnsi="Times New Roman" w:cs="Times New Roman"/>
          <w:noProof/>
          <w:sz w:val="24"/>
          <w:lang w:val="sk-SK"/>
        </w:rPr>
      </w:pPr>
      <w:r w:rsidRPr="00083739">
        <w:rPr>
          <w:rFonts w:ascii="Times New Roman" w:hAnsi="Times New Roman" w:cs="Times New Roman"/>
          <w:noProof/>
          <w:sz w:val="24"/>
          <w:lang w:val="sk-SK"/>
        </w:rPr>
        <w:t>●</w:t>
      </w:r>
      <w:r w:rsidRPr="00083739">
        <w:rPr>
          <w:rFonts w:ascii="Times New Roman" w:hAnsi="Times New Roman" w:cs="Times New Roman"/>
          <w:noProof/>
          <w:lang w:val="sk-SK"/>
        </w:rPr>
        <w:t xml:space="preserve"> </w:t>
      </w:r>
      <w:r w:rsidRPr="00083739">
        <w:rPr>
          <w:rFonts w:ascii="Times New Roman" w:hAnsi="Times New Roman" w:cs="Times New Roman"/>
          <w:noProof/>
          <w:sz w:val="24"/>
          <w:lang w:val="sk-SK"/>
        </w:rPr>
        <w:t>Podpora inštalácie skladovacích systémov na zlepšenie prieniku OZE (ID: 16926)</w:t>
      </w:r>
    </w:p>
    <w:p w14:paraId="7CB73AEF" w14:textId="77777777" w:rsidR="002D49B0" w:rsidRPr="00083739" w:rsidRDefault="00BF4125">
      <w:pPr>
        <w:spacing w:before="120" w:after="120" w:line="240" w:lineRule="auto"/>
        <w:rPr>
          <w:rFonts w:ascii="Times New Roman" w:hAnsi="Times New Roman" w:cs="Times New Roman"/>
          <w:noProof/>
          <w:sz w:val="24"/>
          <w:lang w:val="sk-SK"/>
        </w:rPr>
      </w:pPr>
      <w:r w:rsidRPr="00083739">
        <w:rPr>
          <w:rFonts w:ascii="Times New Roman" w:hAnsi="Times New Roman" w:cs="Times New Roman"/>
          <w:noProof/>
          <w:sz w:val="24"/>
          <w:lang w:val="sk-SK"/>
        </w:rPr>
        <w:t>●</w:t>
      </w:r>
      <w:r w:rsidRPr="00083739">
        <w:rPr>
          <w:rFonts w:ascii="Times New Roman" w:hAnsi="Times New Roman" w:cs="Times New Roman"/>
          <w:noProof/>
          <w:lang w:val="sk-SK"/>
        </w:rPr>
        <w:t xml:space="preserve"> </w:t>
      </w:r>
      <w:r w:rsidRPr="00083739">
        <w:rPr>
          <w:rFonts w:ascii="Times New Roman" w:hAnsi="Times New Roman" w:cs="Times New Roman"/>
          <w:noProof/>
          <w:sz w:val="24"/>
          <w:lang w:val="sk-SK"/>
        </w:rPr>
        <w:t xml:space="preserve">Revitalizačné opatrenia najviac postihnutých území (právne prechodné </w:t>
      </w:r>
      <w:r w:rsidRPr="00083739">
        <w:rPr>
          <w:rFonts w:ascii="Times New Roman" w:hAnsi="Times New Roman" w:cs="Times New Roman"/>
          <w:noProof/>
          <w:sz w:val="24"/>
          <w:lang w:val="sk-SK"/>
        </w:rPr>
        <w:t>územia) (ID: 16871)</w:t>
      </w:r>
    </w:p>
    <w:p w14:paraId="1C5CDBB0" w14:textId="4C2BA382" w:rsidR="002D49B0" w:rsidRPr="00083739" w:rsidRDefault="00BF4125">
      <w:pPr>
        <w:spacing w:before="120" w:after="120" w:line="240" w:lineRule="auto"/>
        <w:rPr>
          <w:rFonts w:ascii="Times New Roman" w:hAnsi="Times New Roman" w:cs="Times New Roman"/>
          <w:noProof/>
          <w:sz w:val="24"/>
          <w:lang w:val="sk-SK"/>
        </w:rPr>
      </w:pPr>
      <w:r w:rsidRPr="00083739">
        <w:rPr>
          <w:rFonts w:ascii="Times New Roman" w:hAnsi="Times New Roman" w:cs="Times New Roman"/>
          <w:noProof/>
          <w:sz w:val="24"/>
          <w:lang w:val="sk-SK"/>
        </w:rPr>
        <w:t>●</w:t>
      </w:r>
      <w:r w:rsidRPr="00083739">
        <w:rPr>
          <w:rFonts w:ascii="Times New Roman" w:hAnsi="Times New Roman" w:cs="Times New Roman"/>
          <w:noProof/>
          <w:lang w:val="sk-SK"/>
        </w:rPr>
        <w:t xml:space="preserve"> </w:t>
      </w:r>
      <w:r w:rsidRPr="00083739">
        <w:rPr>
          <w:rFonts w:ascii="Times New Roman" w:hAnsi="Times New Roman" w:cs="Times New Roman"/>
          <w:noProof/>
          <w:sz w:val="24"/>
          <w:lang w:val="sk-SK"/>
        </w:rPr>
        <w:t>Modernizácia siete HEDNO zameraná na zvýšenie odolnosti</w:t>
      </w:r>
      <w:r w:rsidR="00083739" w:rsidRPr="00083739">
        <w:rPr>
          <w:rFonts w:ascii="Times New Roman" w:hAnsi="Times New Roman" w:cs="Times New Roman"/>
          <w:noProof/>
          <w:sz w:val="24"/>
          <w:lang w:val="sk-SK"/>
        </w:rPr>
        <w:t xml:space="preserve"> a </w:t>
      </w:r>
      <w:r w:rsidRPr="00083739">
        <w:rPr>
          <w:rFonts w:ascii="Times New Roman" w:hAnsi="Times New Roman" w:cs="Times New Roman"/>
          <w:noProof/>
          <w:sz w:val="24"/>
          <w:lang w:val="sk-SK"/>
        </w:rPr>
        <w:t>ochranu životného prostredia (ID: 16901)</w:t>
      </w:r>
    </w:p>
    <w:p w14:paraId="3164B8E5" w14:textId="5A730EFB" w:rsidR="002D49B0" w:rsidRPr="00083739" w:rsidRDefault="00BF4125">
      <w:pPr>
        <w:spacing w:before="120" w:after="120" w:line="240" w:lineRule="auto"/>
        <w:rPr>
          <w:rFonts w:ascii="Times New Roman" w:hAnsi="Times New Roman" w:cs="Times New Roman"/>
          <w:noProof/>
          <w:sz w:val="24"/>
          <w:lang w:val="sk-SK"/>
        </w:rPr>
      </w:pPr>
      <w:r w:rsidRPr="00083739">
        <w:rPr>
          <w:rFonts w:ascii="Times New Roman" w:hAnsi="Times New Roman" w:cs="Times New Roman"/>
          <w:noProof/>
          <w:sz w:val="24"/>
          <w:lang w:val="sk-SK"/>
        </w:rPr>
        <w:t>●</w:t>
      </w:r>
      <w:r w:rsidRPr="00083739">
        <w:rPr>
          <w:rFonts w:ascii="Times New Roman" w:hAnsi="Times New Roman" w:cs="Times New Roman"/>
          <w:noProof/>
          <w:lang w:val="sk-SK"/>
        </w:rPr>
        <w:t xml:space="preserve"> </w:t>
      </w:r>
      <w:r w:rsidRPr="00083739">
        <w:rPr>
          <w:rFonts w:ascii="Times New Roman" w:hAnsi="Times New Roman" w:cs="Times New Roman"/>
          <w:noProof/>
          <w:sz w:val="24"/>
          <w:lang w:val="sk-SK"/>
        </w:rPr>
        <w:t>Modernizácia nadzemnej siete HEDNO</w:t>
      </w:r>
      <w:r w:rsidR="00083739" w:rsidRPr="00083739">
        <w:rPr>
          <w:rFonts w:ascii="Times New Roman" w:hAnsi="Times New Roman" w:cs="Times New Roman"/>
          <w:noProof/>
          <w:sz w:val="24"/>
          <w:lang w:val="sk-SK"/>
        </w:rPr>
        <w:t xml:space="preserve"> v </w:t>
      </w:r>
      <w:r w:rsidRPr="00083739">
        <w:rPr>
          <w:rFonts w:ascii="Times New Roman" w:hAnsi="Times New Roman" w:cs="Times New Roman"/>
          <w:noProof/>
          <w:sz w:val="24"/>
          <w:lang w:val="sk-SK"/>
        </w:rPr>
        <w:t>lesných oblastiach (ID: 16900)</w:t>
      </w:r>
    </w:p>
    <w:p w14:paraId="0015E763" w14:textId="60C77BB7" w:rsidR="002D49B0" w:rsidRPr="00083739" w:rsidRDefault="00BF4125">
      <w:pPr>
        <w:spacing w:before="120" w:after="120" w:line="240" w:lineRule="auto"/>
        <w:rPr>
          <w:rFonts w:ascii="Times New Roman" w:hAnsi="Times New Roman" w:cs="Times New Roman"/>
          <w:noProof/>
          <w:sz w:val="24"/>
          <w:lang w:val="sk-SK"/>
        </w:rPr>
      </w:pPr>
      <w:r w:rsidRPr="00083739">
        <w:rPr>
          <w:rFonts w:ascii="Times New Roman" w:hAnsi="Times New Roman" w:cs="Times New Roman"/>
          <w:noProof/>
          <w:sz w:val="24"/>
          <w:lang w:val="sk-SK"/>
        </w:rPr>
        <w:t>●</w:t>
      </w:r>
      <w:r w:rsidRPr="00083739">
        <w:rPr>
          <w:rFonts w:ascii="Times New Roman" w:hAnsi="Times New Roman" w:cs="Times New Roman"/>
          <w:noProof/>
          <w:lang w:val="sk-SK"/>
        </w:rPr>
        <w:t xml:space="preserve"> </w:t>
      </w:r>
      <w:r w:rsidRPr="00083739">
        <w:rPr>
          <w:rFonts w:ascii="Times New Roman" w:hAnsi="Times New Roman" w:cs="Times New Roman"/>
          <w:noProof/>
          <w:sz w:val="24"/>
          <w:lang w:val="sk-SK"/>
        </w:rPr>
        <w:t>Zvýšenie inštalovaného výkonu</w:t>
      </w:r>
      <w:r w:rsidR="00083739" w:rsidRPr="00083739">
        <w:rPr>
          <w:rFonts w:ascii="Times New Roman" w:hAnsi="Times New Roman" w:cs="Times New Roman"/>
          <w:noProof/>
          <w:sz w:val="24"/>
          <w:lang w:val="sk-SK"/>
        </w:rPr>
        <w:t xml:space="preserve"> v </w:t>
      </w:r>
      <w:r w:rsidRPr="00083739">
        <w:rPr>
          <w:rFonts w:ascii="Times New Roman" w:hAnsi="Times New Roman" w:cs="Times New Roman"/>
          <w:noProof/>
          <w:sz w:val="24"/>
          <w:lang w:val="sk-SK"/>
        </w:rPr>
        <w:t>HV/MV napájacích staniciach gré</w:t>
      </w:r>
      <w:r w:rsidRPr="00083739">
        <w:rPr>
          <w:rFonts w:ascii="Times New Roman" w:hAnsi="Times New Roman" w:cs="Times New Roman"/>
          <w:noProof/>
          <w:sz w:val="24"/>
          <w:lang w:val="sk-SK"/>
        </w:rPr>
        <w:t>ckeho prevádzkovateľa distribučnej siete (HEDNO) pre nové pripojenie OZE (ID: 16899)</w:t>
      </w:r>
    </w:p>
    <w:tbl>
      <w:tblPr>
        <w:tblW w:w="14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1750"/>
        <w:gridCol w:w="1115"/>
        <w:gridCol w:w="1296"/>
        <w:gridCol w:w="1553"/>
        <w:gridCol w:w="1338"/>
        <w:gridCol w:w="957"/>
        <w:gridCol w:w="805"/>
        <w:gridCol w:w="1167"/>
        <w:gridCol w:w="720"/>
        <w:gridCol w:w="3331"/>
      </w:tblGrid>
      <w:tr w:rsidR="002D49B0" w:rsidRPr="00083739" w14:paraId="4AF45036" w14:textId="77777777">
        <w:trPr>
          <w:trHeight w:val="927"/>
          <w:tblHeader/>
          <w:jc w:val="center"/>
        </w:trPr>
        <w:tc>
          <w:tcPr>
            <w:tcW w:w="1120" w:type="dxa"/>
            <w:vMerge w:val="restart"/>
            <w:shd w:val="clear" w:color="auto" w:fill="BDD7EE"/>
            <w:vAlign w:val="center"/>
            <w:hideMark/>
          </w:tcPr>
          <w:p w14:paraId="635A6B4C"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Poradové číslo</w:t>
            </w:r>
          </w:p>
        </w:tc>
        <w:tc>
          <w:tcPr>
            <w:tcW w:w="1750" w:type="dxa"/>
            <w:vMerge w:val="restart"/>
            <w:shd w:val="clear" w:color="auto" w:fill="BDD7EE"/>
            <w:vAlign w:val="center"/>
            <w:hideMark/>
          </w:tcPr>
          <w:p w14:paraId="1ED33481"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Súvisiace opatrenie (reforma alebo investícia)</w:t>
            </w:r>
          </w:p>
        </w:tc>
        <w:tc>
          <w:tcPr>
            <w:tcW w:w="1094" w:type="dxa"/>
            <w:vMerge w:val="restart"/>
            <w:shd w:val="clear" w:color="auto" w:fill="BDD7EE"/>
            <w:vAlign w:val="center"/>
            <w:hideMark/>
          </w:tcPr>
          <w:p w14:paraId="2791FD93"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Míľnik/cieľ</w:t>
            </w:r>
          </w:p>
        </w:tc>
        <w:tc>
          <w:tcPr>
            <w:tcW w:w="1206" w:type="dxa"/>
            <w:vMerge w:val="restart"/>
            <w:shd w:val="clear" w:color="auto" w:fill="BDD7EE"/>
            <w:vAlign w:val="center"/>
            <w:hideMark/>
          </w:tcPr>
          <w:p w14:paraId="26B9B989"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Názov</w:t>
            </w:r>
          </w:p>
        </w:tc>
        <w:tc>
          <w:tcPr>
            <w:tcW w:w="1553" w:type="dxa"/>
            <w:vMerge w:val="restart"/>
            <w:shd w:val="clear" w:color="auto" w:fill="BDD7EE"/>
            <w:vAlign w:val="center"/>
            <w:hideMark/>
          </w:tcPr>
          <w:p w14:paraId="3E0F7B09"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Kvalitatívne ukazovatele (pre míľniky)</w:t>
            </w:r>
          </w:p>
        </w:tc>
        <w:tc>
          <w:tcPr>
            <w:tcW w:w="3070" w:type="dxa"/>
            <w:gridSpan w:val="3"/>
            <w:shd w:val="clear" w:color="auto" w:fill="BDD7EE"/>
            <w:vAlign w:val="center"/>
            <w:hideMark/>
          </w:tcPr>
          <w:p w14:paraId="72EFDFEF"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Kvantitatívne ukazovatele (pre ciele)</w:t>
            </w:r>
          </w:p>
        </w:tc>
        <w:tc>
          <w:tcPr>
            <w:tcW w:w="1642" w:type="dxa"/>
            <w:gridSpan w:val="2"/>
            <w:shd w:val="clear" w:color="auto" w:fill="BDD7EE"/>
            <w:vAlign w:val="center"/>
            <w:hideMark/>
          </w:tcPr>
          <w:p w14:paraId="776EC197"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Orientačný har</w:t>
            </w:r>
            <w:r w:rsidRPr="00083739">
              <w:rPr>
                <w:rFonts w:cs="Times New Roman"/>
                <w:noProof/>
                <w:lang w:val="sk-SK"/>
              </w:rPr>
              <w:t xml:space="preserve">monogram dokončenia </w:t>
            </w:r>
          </w:p>
        </w:tc>
        <w:tc>
          <w:tcPr>
            <w:tcW w:w="3331" w:type="dxa"/>
            <w:vMerge w:val="restart"/>
            <w:shd w:val="clear" w:color="auto" w:fill="BDD7EE"/>
            <w:vAlign w:val="center"/>
            <w:hideMark/>
          </w:tcPr>
          <w:p w14:paraId="6F05C21A" w14:textId="64FABA5D"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Opis každého míľnika</w:t>
            </w:r>
            <w:r w:rsidR="00083739" w:rsidRPr="00083739">
              <w:rPr>
                <w:rFonts w:cs="Times New Roman"/>
                <w:noProof/>
                <w:lang w:val="sk-SK"/>
              </w:rPr>
              <w:t xml:space="preserve"> a </w:t>
            </w:r>
            <w:r w:rsidRPr="00083739">
              <w:rPr>
                <w:rFonts w:cs="Times New Roman"/>
                <w:noProof/>
                <w:lang w:val="sk-SK"/>
              </w:rPr>
              <w:t>cieľa</w:t>
            </w:r>
          </w:p>
        </w:tc>
      </w:tr>
      <w:tr w:rsidR="002D49B0" w:rsidRPr="00083739" w14:paraId="7EF62856" w14:textId="77777777">
        <w:trPr>
          <w:trHeight w:val="1013"/>
          <w:jc w:val="center"/>
        </w:trPr>
        <w:tc>
          <w:tcPr>
            <w:tcW w:w="1120" w:type="dxa"/>
            <w:vMerge/>
            <w:vAlign w:val="center"/>
            <w:hideMark/>
          </w:tcPr>
          <w:p w14:paraId="19B60FB2"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750" w:type="dxa"/>
            <w:vMerge/>
            <w:vAlign w:val="center"/>
            <w:hideMark/>
          </w:tcPr>
          <w:p w14:paraId="7884DE9A"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094" w:type="dxa"/>
            <w:vMerge/>
            <w:vAlign w:val="center"/>
            <w:hideMark/>
          </w:tcPr>
          <w:p w14:paraId="1C5CA9F7"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206" w:type="dxa"/>
            <w:vMerge/>
            <w:vAlign w:val="center"/>
            <w:hideMark/>
          </w:tcPr>
          <w:p w14:paraId="29F1317D"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553" w:type="dxa"/>
            <w:vMerge/>
            <w:vAlign w:val="center"/>
            <w:hideMark/>
          </w:tcPr>
          <w:p w14:paraId="25044A33"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338" w:type="dxa"/>
            <w:shd w:val="clear" w:color="auto" w:fill="BDD7EE"/>
            <w:vAlign w:val="center"/>
            <w:hideMark/>
          </w:tcPr>
          <w:p w14:paraId="309F4C70"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Merná jednotka</w:t>
            </w:r>
          </w:p>
        </w:tc>
        <w:tc>
          <w:tcPr>
            <w:tcW w:w="927" w:type="dxa"/>
            <w:shd w:val="clear" w:color="auto" w:fill="BDD7EE"/>
            <w:vAlign w:val="center"/>
            <w:hideMark/>
          </w:tcPr>
          <w:p w14:paraId="6A442A38"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Základná </w:t>
            </w:r>
          </w:p>
        </w:tc>
        <w:tc>
          <w:tcPr>
            <w:tcW w:w="805" w:type="dxa"/>
            <w:shd w:val="clear" w:color="auto" w:fill="BDD7EE"/>
            <w:vAlign w:val="center"/>
            <w:hideMark/>
          </w:tcPr>
          <w:p w14:paraId="541495C3"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Cieľ </w:t>
            </w:r>
          </w:p>
        </w:tc>
        <w:tc>
          <w:tcPr>
            <w:tcW w:w="922" w:type="dxa"/>
            <w:shd w:val="clear" w:color="auto" w:fill="BDD7EE"/>
            <w:vAlign w:val="center"/>
            <w:hideMark/>
          </w:tcPr>
          <w:p w14:paraId="34C23780"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Štvrtina</w:t>
            </w:r>
          </w:p>
        </w:tc>
        <w:tc>
          <w:tcPr>
            <w:tcW w:w="720" w:type="dxa"/>
            <w:shd w:val="clear" w:color="auto" w:fill="BDD7EE"/>
            <w:vAlign w:val="center"/>
            <w:hideMark/>
          </w:tcPr>
          <w:p w14:paraId="19D8054A"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Rok</w:t>
            </w:r>
          </w:p>
        </w:tc>
        <w:tc>
          <w:tcPr>
            <w:tcW w:w="3331" w:type="dxa"/>
            <w:vMerge/>
            <w:vAlign w:val="center"/>
            <w:hideMark/>
          </w:tcPr>
          <w:p w14:paraId="0F4FAEEB"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r>
      <w:tr w:rsidR="002D49B0" w:rsidRPr="00083739" w14:paraId="25E231E9" w14:textId="77777777">
        <w:trPr>
          <w:jc w:val="center"/>
        </w:trPr>
        <w:tc>
          <w:tcPr>
            <w:tcW w:w="1120" w:type="dxa"/>
            <w:shd w:val="clear" w:color="auto" w:fill="C6EFCE"/>
            <w:noWrap/>
          </w:tcPr>
          <w:p w14:paraId="4476699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9</w:t>
            </w:r>
          </w:p>
        </w:tc>
        <w:tc>
          <w:tcPr>
            <w:tcW w:w="1750" w:type="dxa"/>
            <w:shd w:val="clear" w:color="auto" w:fill="C6EFCE"/>
            <w:noWrap/>
          </w:tcPr>
          <w:p w14:paraId="0DBCE97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 – 1.1. Power up – 16871_Revitalizačné opatrenia najviac postihnutých území (územia spravodlivej transformácie)</w:t>
            </w:r>
          </w:p>
        </w:tc>
        <w:tc>
          <w:tcPr>
            <w:tcW w:w="1094" w:type="dxa"/>
            <w:shd w:val="clear" w:color="auto" w:fill="C6EFCE"/>
            <w:noWrap/>
          </w:tcPr>
          <w:p w14:paraId="23557BD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206" w:type="dxa"/>
            <w:shd w:val="clear" w:color="auto" w:fill="C6EFCE"/>
            <w:noWrap/>
          </w:tcPr>
          <w:p w14:paraId="217D638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Rekultivácia pôdy – rámcový </w:t>
            </w:r>
            <w:r w:rsidRPr="00083739">
              <w:rPr>
                <w:rFonts w:ascii="Times New Roman" w:hAnsi="Times New Roman" w:cs="Times New Roman"/>
                <w:noProof/>
                <w:lang w:val="sk-SK"/>
              </w:rPr>
              <w:t>zákon</w:t>
            </w:r>
          </w:p>
        </w:tc>
        <w:tc>
          <w:tcPr>
            <w:tcW w:w="1553" w:type="dxa"/>
            <w:shd w:val="clear" w:color="auto" w:fill="C6EFCE"/>
            <w:noWrap/>
          </w:tcPr>
          <w:p w14:paraId="62607CF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w:t>
            </w:r>
          </w:p>
        </w:tc>
        <w:tc>
          <w:tcPr>
            <w:tcW w:w="1338" w:type="dxa"/>
            <w:shd w:val="clear" w:color="auto" w:fill="C6EFCE"/>
            <w:noWrap/>
          </w:tcPr>
          <w:p w14:paraId="2AA64B9F"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27" w:type="dxa"/>
            <w:shd w:val="clear" w:color="auto" w:fill="C6EFCE"/>
            <w:noWrap/>
          </w:tcPr>
          <w:p w14:paraId="48AFE854"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05" w:type="dxa"/>
            <w:shd w:val="clear" w:color="auto" w:fill="C6EFCE"/>
            <w:noWrap/>
          </w:tcPr>
          <w:p w14:paraId="1F70C8FE"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22" w:type="dxa"/>
            <w:shd w:val="clear" w:color="auto" w:fill="C6EFCE"/>
            <w:noWrap/>
          </w:tcPr>
          <w:p w14:paraId="44DB700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PRVÝ ŠTVRŤROK</w:t>
            </w:r>
          </w:p>
        </w:tc>
        <w:tc>
          <w:tcPr>
            <w:tcW w:w="720" w:type="dxa"/>
            <w:shd w:val="clear" w:color="auto" w:fill="C6EFCE"/>
            <w:noWrap/>
          </w:tcPr>
          <w:p w14:paraId="31654F0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2022</w:t>
            </w:r>
          </w:p>
        </w:tc>
        <w:tc>
          <w:tcPr>
            <w:tcW w:w="3331" w:type="dxa"/>
            <w:shd w:val="clear" w:color="auto" w:fill="C6EFCE"/>
            <w:noWrap/>
          </w:tcPr>
          <w:p w14:paraId="16967A65" w14:textId="4D6B281F"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Schválenie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nadobudnutie účinnosti rámcového programového zmluvného práva určujúceho geografické oblasti, ktoré sa majú previesť</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Public Power Corporation na štát, obsah projektových štúdií, rozdelenie z</w:t>
            </w:r>
            <w:r w:rsidRPr="00083739">
              <w:rPr>
                <w:rFonts w:ascii="Times New Roman" w:hAnsi="Times New Roman" w:cs="Times New Roman"/>
                <w:noProof/>
                <w:lang w:val="sk-SK"/>
              </w:rPr>
              <w:t>odpovednosti medzi všetky zúčastnené strany, mechanizmy riadenia, harmonogram vykonávania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rozpočet.</w:t>
            </w:r>
          </w:p>
        </w:tc>
      </w:tr>
      <w:tr w:rsidR="002D49B0" w:rsidRPr="00083739" w14:paraId="342971C3" w14:textId="77777777">
        <w:trPr>
          <w:jc w:val="center"/>
        </w:trPr>
        <w:tc>
          <w:tcPr>
            <w:tcW w:w="1120" w:type="dxa"/>
            <w:shd w:val="clear" w:color="auto" w:fill="C6EFCE"/>
            <w:noWrap/>
          </w:tcPr>
          <w:p w14:paraId="71A17A7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10</w:t>
            </w:r>
          </w:p>
        </w:tc>
        <w:tc>
          <w:tcPr>
            <w:tcW w:w="1750" w:type="dxa"/>
            <w:shd w:val="clear" w:color="auto" w:fill="C6EFCE"/>
            <w:noWrap/>
          </w:tcPr>
          <w:p w14:paraId="548679BA" w14:textId="77777777"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1 – 1.1. Power up – 16871_Revitalizačné opatrenia najviac postihnutých území (spravodlivá transformácia)</w:t>
            </w:r>
          </w:p>
          <w:p w14:paraId="6F1CD144" w14:textId="77777777" w:rsidR="002D49B0" w:rsidRPr="00083739" w:rsidRDefault="002D49B0">
            <w:pPr>
              <w:spacing w:after="0" w:line="240" w:lineRule="auto"/>
              <w:rPr>
                <w:rFonts w:ascii="Times New Roman" w:hAnsi="Times New Roman" w:cs="Times New Roman"/>
                <w:noProof/>
                <w:color w:val="006100"/>
                <w:sz w:val="18"/>
                <w:lang w:val="sk-SK"/>
              </w:rPr>
            </w:pPr>
          </w:p>
          <w:p w14:paraId="5AE49B6C" w14:textId="45F8A69E"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 územia)</w:t>
            </w:r>
          </w:p>
        </w:tc>
        <w:tc>
          <w:tcPr>
            <w:tcW w:w="1094" w:type="dxa"/>
            <w:shd w:val="clear" w:color="auto" w:fill="C6EFCE"/>
            <w:noWrap/>
          </w:tcPr>
          <w:p w14:paraId="0F2B56E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206" w:type="dxa"/>
            <w:shd w:val="clear" w:color="auto" w:fill="C6EFCE"/>
            <w:noWrap/>
          </w:tcPr>
          <w:p w14:paraId="0CB0A4A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Rekultivácia pôdy – mestské </w:t>
            </w:r>
            <w:r w:rsidRPr="00083739">
              <w:rPr>
                <w:rFonts w:ascii="Times New Roman" w:hAnsi="Times New Roman" w:cs="Times New Roman"/>
                <w:noProof/>
                <w:lang w:val="sk-SK"/>
              </w:rPr>
              <w:t>plány</w:t>
            </w:r>
          </w:p>
        </w:tc>
        <w:tc>
          <w:tcPr>
            <w:tcW w:w="1553" w:type="dxa"/>
            <w:shd w:val="clear" w:color="auto" w:fill="C6EFCE"/>
            <w:noWrap/>
          </w:tcPr>
          <w:p w14:paraId="6FA91C8A" w14:textId="4583328B"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Schválenie osobitných mestských plánov Ústrednou radou pre </w:t>
            </w:r>
            <w:r w:rsidRPr="00083739">
              <w:rPr>
                <w:rFonts w:ascii="Times New Roman" w:hAnsi="Times New Roman" w:cs="Times New Roman"/>
                <w:noProof/>
                <w:szCs w:val="18"/>
                <w:lang w:val="sk-SK"/>
              </w:rPr>
              <w:t>otázky</w:t>
            </w:r>
            <w:r w:rsidR="00083739" w:rsidRPr="00083739">
              <w:rPr>
                <w:rFonts w:ascii="Times New Roman" w:hAnsi="Times New Roman" w:cs="Times New Roman"/>
                <w:noProof/>
                <w:szCs w:val="18"/>
                <w:lang w:val="sk-SK"/>
              </w:rPr>
              <w:t xml:space="preserve"> a </w:t>
            </w:r>
            <w:r w:rsidRPr="00083739">
              <w:rPr>
                <w:rFonts w:ascii="Times New Roman" w:hAnsi="Times New Roman" w:cs="Times New Roman"/>
                <w:noProof/>
                <w:szCs w:val="18"/>
                <w:lang w:val="sk-SK"/>
              </w:rPr>
              <w:t>spory</w:t>
            </w:r>
            <w:r w:rsidR="00083739" w:rsidRPr="00083739">
              <w:rPr>
                <w:rFonts w:ascii="Times New Roman" w:hAnsi="Times New Roman" w:cs="Times New Roman"/>
                <w:noProof/>
                <w:szCs w:val="18"/>
                <w:lang w:val="sk-SK"/>
              </w:rPr>
              <w:t xml:space="preserve"> v </w:t>
            </w:r>
            <w:r w:rsidRPr="00083739">
              <w:rPr>
                <w:rFonts w:ascii="Times New Roman" w:hAnsi="Times New Roman" w:cs="Times New Roman"/>
                <w:noProof/>
                <w:szCs w:val="18"/>
                <w:lang w:val="sk-SK"/>
              </w:rPr>
              <w:t>oblasti územného plánovania</w:t>
            </w:r>
            <w:r w:rsidRPr="00083739">
              <w:rPr>
                <w:rFonts w:ascii="Times New Roman" w:hAnsi="Times New Roman" w:cs="Times New Roman"/>
                <w:noProof/>
                <w:lang w:val="sk-SK"/>
              </w:rPr>
              <w:t>;</w:t>
            </w:r>
          </w:p>
          <w:p w14:paraId="45B8C8BA" w14:textId="31F6E55C" w:rsidR="002D49B0" w:rsidRPr="00083739" w:rsidRDefault="00BF4125">
            <w:pPr>
              <w:spacing w:after="0" w:line="240" w:lineRule="auto"/>
              <w:rPr>
                <w:rFonts w:ascii="Times New Roman" w:eastAsia="Times New Roman" w:hAnsi="Times New Roman" w:cs="Times New Roman"/>
                <w:noProof/>
                <w:color w:val="006100"/>
                <w:sz w:val="18"/>
                <w:szCs w:val="18"/>
                <w:lang w:val="sk-SK"/>
              </w:rPr>
            </w:pPr>
            <w:r w:rsidRPr="00083739">
              <w:rPr>
                <w:rFonts w:ascii="Times New Roman" w:hAnsi="Times New Roman" w:cs="Times New Roman"/>
                <w:noProof/>
                <w:lang w:val="sk-SK"/>
              </w:rPr>
              <w:t xml:space="preserve"> </w:t>
            </w:r>
            <w:r w:rsidRPr="00083739">
              <w:rPr>
                <w:rFonts w:ascii="Times New Roman" w:hAnsi="Times New Roman" w:cs="Times New Roman"/>
                <w:noProof/>
                <w:color w:val="006100"/>
                <w:sz w:val="18"/>
                <w:lang w:val="sk-SK"/>
              </w:rPr>
              <w:t>Rekultivácia pôdy (ha) dokončená</w:t>
            </w:r>
            <w:r w:rsidR="00083739" w:rsidRPr="00083739">
              <w:rPr>
                <w:rFonts w:ascii="Times New Roman" w:hAnsi="Times New Roman" w:cs="Times New Roman"/>
                <w:noProof/>
                <w:color w:val="006100"/>
                <w:sz w:val="18"/>
                <w:lang w:val="sk-SK"/>
              </w:rPr>
              <w:t xml:space="preserve"> a </w:t>
            </w:r>
            <w:r w:rsidRPr="00083739">
              <w:rPr>
                <w:rFonts w:ascii="Times New Roman" w:hAnsi="Times New Roman" w:cs="Times New Roman"/>
                <w:noProof/>
                <w:color w:val="006100"/>
                <w:sz w:val="18"/>
                <w:lang w:val="sk-SK"/>
              </w:rPr>
              <w:t>certifikovaná nezávislým certifikačným orgánom</w:t>
            </w:r>
          </w:p>
        </w:tc>
        <w:tc>
          <w:tcPr>
            <w:tcW w:w="1338" w:type="dxa"/>
            <w:shd w:val="clear" w:color="auto" w:fill="C6EFCE"/>
            <w:noWrap/>
          </w:tcPr>
          <w:p w14:paraId="5CF9654E"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27" w:type="dxa"/>
            <w:shd w:val="clear" w:color="auto" w:fill="C6EFCE"/>
            <w:noWrap/>
          </w:tcPr>
          <w:p w14:paraId="66B04417"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05" w:type="dxa"/>
            <w:shd w:val="clear" w:color="auto" w:fill="C6EFCE"/>
            <w:noWrap/>
          </w:tcPr>
          <w:p w14:paraId="13310FA2"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22" w:type="dxa"/>
            <w:shd w:val="clear" w:color="auto" w:fill="C6EFCE"/>
            <w:noWrap/>
          </w:tcPr>
          <w:p w14:paraId="5C31753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PRVÝ ŠTVRŤROK</w:t>
            </w:r>
          </w:p>
        </w:tc>
        <w:tc>
          <w:tcPr>
            <w:tcW w:w="720" w:type="dxa"/>
            <w:shd w:val="clear" w:color="auto" w:fill="C6EFCE"/>
            <w:noWrap/>
          </w:tcPr>
          <w:p w14:paraId="7069D39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2024</w:t>
            </w:r>
          </w:p>
        </w:tc>
        <w:tc>
          <w:tcPr>
            <w:tcW w:w="3331" w:type="dxa"/>
            <w:shd w:val="clear" w:color="auto" w:fill="C6EFCE"/>
            <w:noWrap/>
          </w:tcPr>
          <w:p w14:paraId="26E7D659" w14:textId="4A9FCBFE"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1. schválenie osobitných mestských pláno</w:t>
            </w:r>
            <w:r w:rsidRPr="00083739">
              <w:rPr>
                <w:rFonts w:ascii="Times New Roman" w:hAnsi="Times New Roman" w:cs="Times New Roman"/>
                <w:noProof/>
                <w:lang w:val="sk-SK"/>
              </w:rPr>
              <w:t>v Ústrednou radou pre otázky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spory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územného plánovania.</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osobitných mestských plánoch sa vymedzuje povolené využívanie pôdy, všeobecné stavebné podmienky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obmedzenia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akékoľvek iné požadované opatrenie, podmienka alebo obmedzenie.</w:t>
            </w:r>
          </w:p>
          <w:p w14:paraId="2716E3AF" w14:textId="38B9C839"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 xml:space="preserve">2. výzva spoločnosti PPC SA (podľa § 6.5.3 rámcovej dohody ratifikovanej zákonom č. 4956/2022) adresovaná zmluvným stranám na prijatie 5 438 ha obnovenej alebo nerušenej pôdy, po ktorej nasleduje osvedčenie nezávislého certifikačného orgánu. </w:t>
            </w:r>
          </w:p>
        </w:tc>
      </w:tr>
      <w:tr w:rsidR="002D49B0" w:rsidRPr="00083739" w14:paraId="7FF4CDD4" w14:textId="77777777">
        <w:trPr>
          <w:jc w:val="center"/>
        </w:trPr>
        <w:tc>
          <w:tcPr>
            <w:tcW w:w="1120" w:type="dxa"/>
            <w:shd w:val="clear" w:color="auto" w:fill="C6EFCE"/>
            <w:noWrap/>
          </w:tcPr>
          <w:p w14:paraId="34FE20B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11</w:t>
            </w:r>
          </w:p>
        </w:tc>
        <w:tc>
          <w:tcPr>
            <w:tcW w:w="1750" w:type="dxa"/>
            <w:shd w:val="clear" w:color="auto" w:fill="C6EFCE"/>
            <w:noWrap/>
          </w:tcPr>
          <w:p w14:paraId="143A661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1 – 1.1. </w:t>
            </w:r>
            <w:r w:rsidRPr="00083739">
              <w:rPr>
                <w:rFonts w:ascii="Times New Roman" w:hAnsi="Times New Roman" w:cs="Times New Roman"/>
                <w:noProof/>
                <w:lang w:val="sk-SK"/>
              </w:rPr>
              <w:t>Napájanie – 16926_Podpora inštalácie systémov uskladnenia na zlepšenie prieniku OZE</w:t>
            </w:r>
          </w:p>
        </w:tc>
        <w:tc>
          <w:tcPr>
            <w:tcW w:w="1094" w:type="dxa"/>
            <w:shd w:val="clear" w:color="auto" w:fill="C6EFCE"/>
            <w:noWrap/>
          </w:tcPr>
          <w:p w14:paraId="1F6AACF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206" w:type="dxa"/>
            <w:shd w:val="clear" w:color="auto" w:fill="C6EFCE"/>
            <w:noWrap/>
          </w:tcPr>
          <w:p w14:paraId="5A7A2CD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Skladovanie – zmluvy</w:t>
            </w:r>
          </w:p>
        </w:tc>
        <w:tc>
          <w:tcPr>
            <w:tcW w:w="1553" w:type="dxa"/>
            <w:shd w:val="clear" w:color="auto" w:fill="C6EFCE"/>
            <w:noWrap/>
          </w:tcPr>
          <w:p w14:paraId="1C16F4EC" w14:textId="0FC59B9B"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Oznámenie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zadaní všetkých zákaziek</w:t>
            </w:r>
          </w:p>
        </w:tc>
        <w:tc>
          <w:tcPr>
            <w:tcW w:w="1338" w:type="dxa"/>
            <w:shd w:val="clear" w:color="auto" w:fill="C6EFCE"/>
            <w:noWrap/>
          </w:tcPr>
          <w:p w14:paraId="37BEB9C8"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27" w:type="dxa"/>
            <w:shd w:val="clear" w:color="auto" w:fill="C6EFCE"/>
            <w:noWrap/>
          </w:tcPr>
          <w:p w14:paraId="2AEA0267"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05" w:type="dxa"/>
            <w:shd w:val="clear" w:color="auto" w:fill="C6EFCE"/>
            <w:noWrap/>
          </w:tcPr>
          <w:p w14:paraId="6E6AED9A"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22" w:type="dxa"/>
            <w:shd w:val="clear" w:color="auto" w:fill="C6EFCE"/>
            <w:noWrap/>
          </w:tcPr>
          <w:p w14:paraId="172A120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720" w:type="dxa"/>
            <w:shd w:val="clear" w:color="auto" w:fill="C6EFCE"/>
            <w:noWrap/>
          </w:tcPr>
          <w:p w14:paraId="44024B5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2023</w:t>
            </w:r>
          </w:p>
        </w:tc>
        <w:tc>
          <w:tcPr>
            <w:tcW w:w="3331" w:type="dxa"/>
            <w:shd w:val="clear" w:color="auto" w:fill="C6EFCE"/>
            <w:noWrap/>
          </w:tcPr>
          <w:p w14:paraId="2712312A" w14:textId="421C4540" w:rsidR="002D49B0" w:rsidRPr="00083739" w:rsidRDefault="00BF4125">
            <w:pPr>
              <w:pStyle w:val="P68B1DB1-Normal9"/>
              <w:spacing w:after="0" w:line="240" w:lineRule="auto"/>
              <w:rPr>
                <w:rFonts w:ascii="Times New Roman" w:eastAsia="Times New Roman" w:hAnsi="Times New Roman" w:cs="Times New Roman"/>
                <w:noProof/>
                <w:szCs w:val="18"/>
                <w:highlight w:val="yellow"/>
                <w:lang w:val="sk-SK"/>
              </w:rPr>
            </w:pPr>
            <w:r w:rsidRPr="00083739">
              <w:rPr>
                <w:rFonts w:ascii="Times New Roman" w:hAnsi="Times New Roman" w:cs="Times New Roman"/>
                <w:noProof/>
                <w:lang w:val="sk-SK"/>
              </w:rPr>
              <w:t>Oznámenie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 xml:space="preserve">zadaní všetkých zákaziek na vybrané projekty (t. j. okrem dlhodobého </w:t>
            </w:r>
            <w:r w:rsidRPr="00083739">
              <w:rPr>
                <w:rFonts w:ascii="Times New Roman" w:hAnsi="Times New Roman" w:cs="Times New Roman"/>
                <w:noProof/>
                <w:lang w:val="sk-SK"/>
              </w:rPr>
              <w:t>skladovania</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prečerpávacích vodných elektrárňach Amfilochia, ktoré sa vyberá individuálnym procesom) na celkovú kapacitu do 700 MW (a minimálnu kapacitu 500 MW).</w:t>
            </w:r>
          </w:p>
        </w:tc>
      </w:tr>
      <w:tr w:rsidR="002D49B0" w:rsidRPr="00083739" w14:paraId="4F427C33" w14:textId="77777777">
        <w:trPr>
          <w:jc w:val="center"/>
        </w:trPr>
        <w:tc>
          <w:tcPr>
            <w:tcW w:w="1120" w:type="dxa"/>
            <w:shd w:val="clear" w:color="auto" w:fill="C6EFCE"/>
            <w:noWrap/>
          </w:tcPr>
          <w:p w14:paraId="6D893958" w14:textId="77777777"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12</w:t>
            </w:r>
          </w:p>
        </w:tc>
        <w:tc>
          <w:tcPr>
            <w:tcW w:w="1750" w:type="dxa"/>
            <w:shd w:val="clear" w:color="auto" w:fill="C6EFCE"/>
            <w:noWrap/>
          </w:tcPr>
          <w:p w14:paraId="4469E492" w14:textId="134510D2"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 – 1.1. Power up – 16901_HEDNO modernizácia siete zameraná na zvýšenie odolnosti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ochranu životného prostredia</w:t>
            </w:r>
          </w:p>
        </w:tc>
        <w:tc>
          <w:tcPr>
            <w:tcW w:w="1094" w:type="dxa"/>
            <w:shd w:val="clear" w:color="auto" w:fill="C6EFCE"/>
            <w:noWrap/>
          </w:tcPr>
          <w:p w14:paraId="2D729BC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206" w:type="dxa"/>
            <w:shd w:val="clear" w:color="auto" w:fill="C6EFCE"/>
            <w:noWrap/>
          </w:tcPr>
          <w:p w14:paraId="20CE892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HEDNO – zmluvy 1</w:t>
            </w:r>
          </w:p>
        </w:tc>
        <w:tc>
          <w:tcPr>
            <w:tcW w:w="1553" w:type="dxa"/>
            <w:shd w:val="clear" w:color="auto" w:fill="C6EFCE"/>
            <w:noWrap/>
          </w:tcPr>
          <w:p w14:paraId="2E70FDBB" w14:textId="2B943BB2"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Oznámenie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zadaní všetkých zákaziek</w:t>
            </w:r>
          </w:p>
        </w:tc>
        <w:tc>
          <w:tcPr>
            <w:tcW w:w="1338" w:type="dxa"/>
            <w:shd w:val="clear" w:color="auto" w:fill="C6EFCE"/>
            <w:noWrap/>
          </w:tcPr>
          <w:p w14:paraId="3FC2B0DF"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27" w:type="dxa"/>
            <w:shd w:val="clear" w:color="auto" w:fill="C6EFCE"/>
            <w:noWrap/>
          </w:tcPr>
          <w:p w14:paraId="2B082EDC"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05" w:type="dxa"/>
            <w:shd w:val="clear" w:color="auto" w:fill="C6EFCE"/>
            <w:noWrap/>
          </w:tcPr>
          <w:p w14:paraId="73FA6B36"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22" w:type="dxa"/>
            <w:shd w:val="clear" w:color="auto" w:fill="C6EFCE"/>
            <w:noWrap/>
          </w:tcPr>
          <w:p w14:paraId="68EFE6C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20" w:type="dxa"/>
            <w:shd w:val="clear" w:color="auto" w:fill="C6EFCE"/>
            <w:noWrap/>
          </w:tcPr>
          <w:p w14:paraId="567583B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2023</w:t>
            </w:r>
          </w:p>
        </w:tc>
        <w:tc>
          <w:tcPr>
            <w:tcW w:w="3331" w:type="dxa"/>
            <w:shd w:val="clear" w:color="auto" w:fill="C6EFCE"/>
            <w:noWrap/>
          </w:tcPr>
          <w:p w14:paraId="754ABD06" w14:textId="4050EA5F"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Oznámenie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zadaní všetkých zákaziek týkajúcich sa projektov gréckeho prevádzkovateľa distribučnej siete (HEDNO) týkajúcich sa modernizácie</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záujme odolnosti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životného prostredia, ktorého cieľom je uľahčiť ďalší prienik energie</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obnoviteľných zdrojov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zlepšiť spoľahlivosť</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odolnosť siete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zároveň chrániť životné prostredie.</w:t>
            </w:r>
          </w:p>
        </w:tc>
      </w:tr>
      <w:tr w:rsidR="002D49B0" w:rsidRPr="00083739" w14:paraId="2F30EFE5" w14:textId="77777777">
        <w:trPr>
          <w:jc w:val="center"/>
        </w:trPr>
        <w:tc>
          <w:tcPr>
            <w:tcW w:w="1120" w:type="dxa"/>
            <w:shd w:val="clear" w:color="auto" w:fill="C6EFCE"/>
            <w:noWrap/>
          </w:tcPr>
          <w:p w14:paraId="44A39575" w14:textId="77777777"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13</w:t>
            </w:r>
          </w:p>
        </w:tc>
        <w:tc>
          <w:tcPr>
            <w:tcW w:w="1750" w:type="dxa"/>
            <w:shd w:val="clear" w:color="auto" w:fill="C6EFCE"/>
            <w:noWrap/>
          </w:tcPr>
          <w:p w14:paraId="52A976AE" w14:textId="48A9A8ED"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 – 1.1. Power up</w:t>
            </w:r>
            <w:r w:rsidRPr="00083739">
              <w:rPr>
                <w:rFonts w:ascii="Times New Roman" w:hAnsi="Times New Roman" w:cs="Times New Roman"/>
                <w:noProof/>
                <w:lang w:val="sk-SK"/>
              </w:rPr>
              <w:t xml:space="preserve"> – 16900_HEDNO – modernizácia nadzemnej siete</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lesných oblastiach</w:t>
            </w:r>
          </w:p>
        </w:tc>
        <w:tc>
          <w:tcPr>
            <w:tcW w:w="1094" w:type="dxa"/>
            <w:shd w:val="clear" w:color="auto" w:fill="C6EFCE"/>
            <w:noWrap/>
          </w:tcPr>
          <w:p w14:paraId="4A3ACE7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206" w:type="dxa"/>
            <w:shd w:val="clear" w:color="auto" w:fill="C6EFCE"/>
            <w:noWrap/>
          </w:tcPr>
          <w:p w14:paraId="4D10BD7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HEDNO – zmluvy 2</w:t>
            </w:r>
          </w:p>
        </w:tc>
        <w:tc>
          <w:tcPr>
            <w:tcW w:w="1553" w:type="dxa"/>
            <w:shd w:val="clear" w:color="auto" w:fill="C6EFCE"/>
            <w:noWrap/>
          </w:tcPr>
          <w:p w14:paraId="16409A0E" w14:textId="00CB2C8B"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Oznámenie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zadaní všetkých zákaziek</w:t>
            </w:r>
          </w:p>
        </w:tc>
        <w:tc>
          <w:tcPr>
            <w:tcW w:w="1338" w:type="dxa"/>
            <w:shd w:val="clear" w:color="auto" w:fill="C6EFCE"/>
            <w:noWrap/>
          </w:tcPr>
          <w:p w14:paraId="4762C42E"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27" w:type="dxa"/>
            <w:shd w:val="clear" w:color="auto" w:fill="C6EFCE"/>
            <w:noWrap/>
          </w:tcPr>
          <w:p w14:paraId="330D0249"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05" w:type="dxa"/>
            <w:shd w:val="clear" w:color="auto" w:fill="C6EFCE"/>
            <w:noWrap/>
          </w:tcPr>
          <w:p w14:paraId="151D81BD"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22" w:type="dxa"/>
            <w:shd w:val="clear" w:color="auto" w:fill="C6EFCE"/>
            <w:noWrap/>
          </w:tcPr>
          <w:p w14:paraId="2806F39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20" w:type="dxa"/>
            <w:shd w:val="clear" w:color="auto" w:fill="C6EFCE"/>
            <w:noWrap/>
          </w:tcPr>
          <w:p w14:paraId="2DBCEAF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2023</w:t>
            </w:r>
          </w:p>
        </w:tc>
        <w:tc>
          <w:tcPr>
            <w:tcW w:w="3331" w:type="dxa"/>
            <w:shd w:val="clear" w:color="auto" w:fill="C6EFCE"/>
            <w:noWrap/>
          </w:tcPr>
          <w:p w14:paraId="438DBA4D" w14:textId="1CBDC880"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Oznámenie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zadaní všetkých zákaziek týkajúcich sa projektov HEDNO týkajúcich sa nadzemných sietí</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lesných oblastiach, ktorého cieľom je uľahčiť ďalší prienik energie</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obnoviteľných zdrojov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zlepšiť spoľahlivosť</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odolnosť siete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zároveň chrániť životné prostredie.</w:t>
            </w:r>
          </w:p>
        </w:tc>
      </w:tr>
      <w:tr w:rsidR="002D49B0" w:rsidRPr="00083739" w14:paraId="411F7792" w14:textId="77777777">
        <w:trPr>
          <w:jc w:val="center"/>
        </w:trPr>
        <w:tc>
          <w:tcPr>
            <w:tcW w:w="1120" w:type="dxa"/>
            <w:shd w:val="clear" w:color="auto" w:fill="C6EFCE"/>
            <w:noWrap/>
          </w:tcPr>
          <w:p w14:paraId="036FE875" w14:textId="77777777"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14</w:t>
            </w:r>
          </w:p>
        </w:tc>
        <w:tc>
          <w:tcPr>
            <w:tcW w:w="1750" w:type="dxa"/>
            <w:shd w:val="clear" w:color="auto" w:fill="C6EFCE"/>
            <w:noWrap/>
          </w:tcPr>
          <w:p w14:paraId="77356FD2" w14:textId="5321F870"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 – 1.1. Napájanie – 16899_Inštalované zvýšenie kapacity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 xml:space="preserve">HV/MV rozvodniach </w:t>
            </w:r>
            <w:r w:rsidRPr="00083739">
              <w:rPr>
                <w:rFonts w:ascii="Times New Roman" w:hAnsi="Times New Roman" w:cs="Times New Roman"/>
                <w:noProof/>
                <w:lang w:val="sk-SK"/>
              </w:rPr>
              <w:t>gréckeho prevádzkovateľa distribučnej siete (HEDNO) pre nové pripojenie OZE</w:t>
            </w:r>
          </w:p>
        </w:tc>
        <w:tc>
          <w:tcPr>
            <w:tcW w:w="1094" w:type="dxa"/>
            <w:shd w:val="clear" w:color="auto" w:fill="C6EFCE"/>
            <w:noWrap/>
          </w:tcPr>
          <w:p w14:paraId="580FC8A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206" w:type="dxa"/>
            <w:shd w:val="clear" w:color="auto" w:fill="C6EFCE"/>
            <w:noWrap/>
          </w:tcPr>
          <w:p w14:paraId="7091376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HEDNO – zmluvy 3</w:t>
            </w:r>
          </w:p>
        </w:tc>
        <w:tc>
          <w:tcPr>
            <w:tcW w:w="1553" w:type="dxa"/>
            <w:shd w:val="clear" w:color="auto" w:fill="C6EFCE"/>
            <w:noWrap/>
          </w:tcPr>
          <w:p w14:paraId="0E0880D5" w14:textId="28058AA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Oznámenie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zadaní všetkých zákaziek</w:t>
            </w:r>
          </w:p>
        </w:tc>
        <w:tc>
          <w:tcPr>
            <w:tcW w:w="1338" w:type="dxa"/>
            <w:shd w:val="clear" w:color="auto" w:fill="C6EFCE"/>
            <w:noWrap/>
          </w:tcPr>
          <w:p w14:paraId="7743273E"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27" w:type="dxa"/>
            <w:shd w:val="clear" w:color="auto" w:fill="C6EFCE"/>
            <w:noWrap/>
          </w:tcPr>
          <w:p w14:paraId="66457ABE"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05" w:type="dxa"/>
            <w:shd w:val="clear" w:color="auto" w:fill="C6EFCE"/>
            <w:noWrap/>
          </w:tcPr>
          <w:p w14:paraId="1282C9BB"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22" w:type="dxa"/>
            <w:shd w:val="clear" w:color="auto" w:fill="C6EFCE"/>
            <w:noWrap/>
          </w:tcPr>
          <w:p w14:paraId="3E81C45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20" w:type="dxa"/>
            <w:shd w:val="clear" w:color="auto" w:fill="C6EFCE"/>
            <w:noWrap/>
          </w:tcPr>
          <w:p w14:paraId="1355A99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2023</w:t>
            </w:r>
          </w:p>
        </w:tc>
        <w:tc>
          <w:tcPr>
            <w:tcW w:w="3331" w:type="dxa"/>
            <w:shd w:val="clear" w:color="auto" w:fill="C6EFCE"/>
            <w:noWrap/>
          </w:tcPr>
          <w:p w14:paraId="58583FAD" w14:textId="37CB1EC6"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Oznámenie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 xml:space="preserve">zadaní všetkých zákaziek týkajúcich sa projektov HEDNO týkajúcich sa zvýšenia </w:t>
            </w:r>
            <w:r w:rsidRPr="00083739">
              <w:rPr>
                <w:rFonts w:ascii="Times New Roman" w:hAnsi="Times New Roman" w:cs="Times New Roman"/>
                <w:noProof/>
                <w:lang w:val="sk-SK"/>
              </w:rPr>
              <w:t>kapacity rozvodní vysokého napätia/stredného napätia, ktorého cieľom je uľahčiť ďalší prienik energie</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obnoviteľných zdrojov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zlepšiť spoľahlivosť</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odolnosť siete pri súčasnej ochrane životného prostredia.</w:t>
            </w:r>
          </w:p>
          <w:p w14:paraId="4C8FBBAB"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r>
      <w:tr w:rsidR="002D49B0" w:rsidRPr="00083739" w14:paraId="0D5E3D08" w14:textId="77777777">
        <w:trPr>
          <w:jc w:val="center"/>
        </w:trPr>
        <w:tc>
          <w:tcPr>
            <w:tcW w:w="1120" w:type="dxa"/>
            <w:shd w:val="clear" w:color="auto" w:fill="C6EFCE"/>
            <w:noWrap/>
          </w:tcPr>
          <w:p w14:paraId="6F3AFDD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15</w:t>
            </w:r>
          </w:p>
        </w:tc>
        <w:tc>
          <w:tcPr>
            <w:tcW w:w="1750" w:type="dxa"/>
            <w:shd w:val="clear" w:color="auto" w:fill="C6EFCE"/>
            <w:noWrap/>
          </w:tcPr>
          <w:p w14:paraId="45283CB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 – 1.1. Power up</w:t>
            </w:r>
            <w:r w:rsidRPr="00083739">
              <w:rPr>
                <w:rFonts w:ascii="Times New Roman" w:hAnsi="Times New Roman" w:cs="Times New Roman"/>
                <w:noProof/>
                <w:lang w:val="sk-SK"/>
              </w:rPr>
              <w:t xml:space="preserve"> – 16871_Revitalizačné opatrenia najviac postihnutých území (územia spravodlivej transformácie)</w:t>
            </w:r>
          </w:p>
        </w:tc>
        <w:tc>
          <w:tcPr>
            <w:tcW w:w="1094" w:type="dxa"/>
            <w:shd w:val="clear" w:color="auto" w:fill="C6EFCE"/>
            <w:noWrap/>
          </w:tcPr>
          <w:p w14:paraId="33AD8FF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Cieľ</w:t>
            </w:r>
          </w:p>
          <w:p w14:paraId="2478067D"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p w14:paraId="2B9DBF81"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206" w:type="dxa"/>
            <w:shd w:val="clear" w:color="auto" w:fill="C6EFCE"/>
            <w:noWrap/>
          </w:tcPr>
          <w:p w14:paraId="5DC8866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Rekultivácia pôdy – dokončenie</w:t>
            </w:r>
          </w:p>
        </w:tc>
        <w:tc>
          <w:tcPr>
            <w:tcW w:w="1553" w:type="dxa"/>
            <w:shd w:val="clear" w:color="auto" w:fill="C6EFCE"/>
            <w:noWrap/>
          </w:tcPr>
          <w:p w14:paraId="70D86B97" w14:textId="41485F01" w:rsidR="002D49B0" w:rsidRPr="00083739" w:rsidRDefault="002D49B0">
            <w:pPr>
              <w:spacing w:before="120" w:after="0" w:line="240" w:lineRule="auto"/>
              <w:jc w:val="both"/>
              <w:rPr>
                <w:rFonts w:ascii="Times New Roman" w:eastAsia="Times New Roman" w:hAnsi="Times New Roman" w:cs="Times New Roman"/>
                <w:noProof/>
                <w:color w:val="006100"/>
                <w:sz w:val="18"/>
                <w:szCs w:val="18"/>
                <w:lang w:val="sk-SK"/>
              </w:rPr>
            </w:pPr>
          </w:p>
        </w:tc>
        <w:tc>
          <w:tcPr>
            <w:tcW w:w="1338" w:type="dxa"/>
            <w:shd w:val="clear" w:color="auto" w:fill="C6EFCE"/>
            <w:noWrap/>
          </w:tcPr>
          <w:p w14:paraId="39A461B6" w14:textId="6F687152"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Rekultivácia pôdy (ha) dokončená</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certifikovaná nezávislým certifikačným orgánom</w:t>
            </w:r>
          </w:p>
        </w:tc>
        <w:tc>
          <w:tcPr>
            <w:tcW w:w="927" w:type="dxa"/>
            <w:shd w:val="clear" w:color="auto" w:fill="C6EFCE"/>
            <w:noWrap/>
          </w:tcPr>
          <w:p w14:paraId="724565A5" w14:textId="06C14581"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5 438</w:t>
            </w:r>
          </w:p>
        </w:tc>
        <w:tc>
          <w:tcPr>
            <w:tcW w:w="805" w:type="dxa"/>
            <w:shd w:val="clear" w:color="auto" w:fill="C6EFCE"/>
            <w:noWrap/>
          </w:tcPr>
          <w:p w14:paraId="265A51B2" w14:textId="3F941B4A" w:rsidR="002D49B0" w:rsidRPr="00083739" w:rsidRDefault="002D49B0">
            <w:pPr>
              <w:spacing w:after="0" w:line="240" w:lineRule="auto"/>
              <w:rPr>
                <w:rFonts w:ascii="Times New Roman" w:hAnsi="Times New Roman" w:cs="Times New Roman"/>
                <w:noProof/>
                <w:color w:val="006100"/>
                <w:sz w:val="18"/>
                <w:lang w:val="sk-SK"/>
              </w:rPr>
            </w:pPr>
          </w:p>
          <w:p w14:paraId="6B5965AC" w14:textId="1608B888"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8 102</w:t>
            </w:r>
          </w:p>
        </w:tc>
        <w:tc>
          <w:tcPr>
            <w:tcW w:w="922" w:type="dxa"/>
            <w:shd w:val="clear" w:color="auto" w:fill="C6EFCE"/>
            <w:noWrap/>
          </w:tcPr>
          <w:p w14:paraId="5F9E65B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20" w:type="dxa"/>
            <w:shd w:val="clear" w:color="auto" w:fill="C6EFCE"/>
            <w:noWrap/>
          </w:tcPr>
          <w:p w14:paraId="5AB08BB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3331" w:type="dxa"/>
            <w:shd w:val="clear" w:color="auto" w:fill="C6EFCE"/>
            <w:noWrap/>
          </w:tcPr>
          <w:p w14:paraId="41ED102C" w14:textId="26981A1E"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Výzva</w:t>
            </w:r>
            <w:r w:rsidRPr="00083739">
              <w:rPr>
                <w:rFonts w:ascii="Times New Roman" w:hAnsi="Times New Roman" w:cs="Times New Roman"/>
                <w:noProof/>
                <w:lang w:val="sk-SK"/>
              </w:rPr>
              <w:t xml:space="preserve"> spoločnosti PPC SA (podľa § 6.5.3 rámcovej dohody ratifikovanej zákonom č. 4956/2022) adresovaná zmluvným stranám na prijatie 2 664 ha obnovenej alebo nenarušenej pôdy, po ktorej nasleduje osvedčenie nezávislého certifikačného orgánu.</w:t>
            </w:r>
          </w:p>
          <w:p w14:paraId="3E924B44"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r>
      <w:tr w:rsidR="002D49B0" w:rsidRPr="00083739" w14:paraId="42E859AC" w14:textId="77777777">
        <w:trPr>
          <w:jc w:val="center"/>
        </w:trPr>
        <w:tc>
          <w:tcPr>
            <w:tcW w:w="1120" w:type="dxa"/>
            <w:shd w:val="clear" w:color="auto" w:fill="C6EFCE"/>
            <w:noWrap/>
          </w:tcPr>
          <w:p w14:paraId="735820C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16</w:t>
            </w:r>
          </w:p>
        </w:tc>
        <w:tc>
          <w:tcPr>
            <w:tcW w:w="1750" w:type="dxa"/>
            <w:shd w:val="clear" w:color="auto" w:fill="C6EFCE"/>
            <w:noWrap/>
          </w:tcPr>
          <w:p w14:paraId="16EDD64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1 – 1.1. </w:t>
            </w:r>
            <w:r w:rsidRPr="00083739">
              <w:rPr>
                <w:rFonts w:ascii="Times New Roman" w:hAnsi="Times New Roman" w:cs="Times New Roman"/>
                <w:noProof/>
                <w:lang w:val="sk-SK"/>
              </w:rPr>
              <w:t>Napájanie – 16926_Podpora inštalácie systémov uskladnenia na zlepšenie prieniku OZE</w:t>
            </w:r>
          </w:p>
        </w:tc>
        <w:tc>
          <w:tcPr>
            <w:tcW w:w="1094" w:type="dxa"/>
            <w:shd w:val="clear" w:color="auto" w:fill="C6EFCE"/>
            <w:noWrap/>
          </w:tcPr>
          <w:p w14:paraId="3D41F19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206" w:type="dxa"/>
            <w:shd w:val="clear" w:color="auto" w:fill="C6EFCE"/>
            <w:noWrap/>
          </w:tcPr>
          <w:p w14:paraId="25DE874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Uskladňovanie energie – dokončenie</w:t>
            </w:r>
          </w:p>
        </w:tc>
        <w:tc>
          <w:tcPr>
            <w:tcW w:w="1553" w:type="dxa"/>
            <w:shd w:val="clear" w:color="auto" w:fill="C6EFCE"/>
            <w:noWrap/>
          </w:tcPr>
          <w:p w14:paraId="64F94D18" w14:textId="088DE73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inštalácie projektov uskladňovania energie</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 xml:space="preserve">výkonom 700 MW. Dokončenie stavebno-inžinierskych prác na prečerpávacej </w:t>
            </w:r>
            <w:r w:rsidRPr="00083739">
              <w:rPr>
                <w:rFonts w:ascii="Times New Roman" w:hAnsi="Times New Roman" w:cs="Times New Roman"/>
                <w:noProof/>
                <w:lang w:val="sk-SK"/>
              </w:rPr>
              <w:t>vodnej stanici Amfilochia.</w:t>
            </w:r>
          </w:p>
        </w:tc>
        <w:tc>
          <w:tcPr>
            <w:tcW w:w="1338" w:type="dxa"/>
            <w:shd w:val="clear" w:color="auto" w:fill="C6EFCE"/>
            <w:noWrap/>
          </w:tcPr>
          <w:p w14:paraId="4B0F6D6E"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27" w:type="dxa"/>
            <w:shd w:val="clear" w:color="auto" w:fill="C6EFCE"/>
            <w:noWrap/>
          </w:tcPr>
          <w:p w14:paraId="29E5FB64"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05" w:type="dxa"/>
            <w:shd w:val="clear" w:color="auto" w:fill="C6EFCE"/>
            <w:noWrap/>
          </w:tcPr>
          <w:p w14:paraId="76E9EA6A"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22" w:type="dxa"/>
            <w:shd w:val="clear" w:color="auto" w:fill="C6EFCE"/>
            <w:noWrap/>
          </w:tcPr>
          <w:p w14:paraId="06D2E27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20" w:type="dxa"/>
            <w:shd w:val="clear" w:color="auto" w:fill="C6EFCE"/>
            <w:noWrap/>
          </w:tcPr>
          <w:p w14:paraId="6346AFB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3331" w:type="dxa"/>
            <w:shd w:val="clear" w:color="auto" w:fill="C6EFCE"/>
            <w:noWrap/>
          </w:tcPr>
          <w:p w14:paraId="4C10196A" w14:textId="171C263B" w:rsidR="00083739" w:rsidRPr="00083739" w:rsidRDefault="00BF4125">
            <w:pPr>
              <w:spacing w:after="0" w:line="240" w:lineRule="auto"/>
              <w:rPr>
                <w:rFonts w:ascii="Times New Roman" w:hAnsi="Times New Roman" w:cs="Times New Roman"/>
                <w:noProof/>
                <w:color w:val="006100"/>
                <w:sz w:val="18"/>
                <w:lang w:val="sk-SK"/>
              </w:rPr>
            </w:pPr>
            <w:r w:rsidRPr="00083739">
              <w:rPr>
                <w:rFonts w:ascii="Times New Roman" w:hAnsi="Times New Roman" w:cs="Times New Roman"/>
                <w:noProof/>
                <w:color w:val="006100"/>
                <w:sz w:val="18"/>
                <w:lang w:val="sk-SK"/>
              </w:rPr>
              <w:t>Inštalácia „samostatných“ projektov uskladňovania energie</w:t>
            </w:r>
            <w:r w:rsidR="00083739" w:rsidRPr="00083739">
              <w:rPr>
                <w:rFonts w:ascii="Times New Roman" w:hAnsi="Times New Roman" w:cs="Times New Roman"/>
                <w:noProof/>
                <w:color w:val="006100"/>
                <w:sz w:val="18"/>
                <w:lang w:val="sk-SK"/>
              </w:rPr>
              <w:t xml:space="preserve"> s </w:t>
            </w:r>
            <w:r w:rsidRPr="00083739">
              <w:rPr>
                <w:rFonts w:ascii="Times New Roman" w:hAnsi="Times New Roman" w:cs="Times New Roman"/>
                <w:noProof/>
                <w:color w:val="006100"/>
                <w:sz w:val="18"/>
                <w:lang w:val="sk-SK"/>
              </w:rPr>
              <w:t>výkonom 700 MW</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color w:val="006100"/>
                <w:sz w:val="18"/>
                <w:lang w:val="sk-SK"/>
              </w:rPr>
              <w:t>dokončenie stavebno-inžinierskych prác na prečerpávacej vodnej stanici Amfilochia</w:t>
            </w:r>
            <w:r w:rsidR="00083739" w:rsidRPr="00083739">
              <w:rPr>
                <w:rFonts w:ascii="Times New Roman" w:hAnsi="Times New Roman" w:cs="Times New Roman"/>
                <w:noProof/>
                <w:color w:val="006100"/>
                <w:sz w:val="18"/>
                <w:lang w:val="sk-SK"/>
              </w:rPr>
              <w:t>.</w:t>
            </w:r>
          </w:p>
          <w:p w14:paraId="5050E6F6" w14:textId="4B7B163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p w14:paraId="4AB9546B"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r>
      <w:tr w:rsidR="002D49B0" w:rsidRPr="00083739" w14:paraId="5DA84821" w14:textId="77777777">
        <w:trPr>
          <w:jc w:val="center"/>
        </w:trPr>
        <w:tc>
          <w:tcPr>
            <w:tcW w:w="1120" w:type="dxa"/>
            <w:shd w:val="clear" w:color="auto" w:fill="C6EFCE"/>
            <w:noWrap/>
          </w:tcPr>
          <w:p w14:paraId="66C4FC4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17</w:t>
            </w:r>
          </w:p>
        </w:tc>
        <w:tc>
          <w:tcPr>
            <w:tcW w:w="1750" w:type="dxa"/>
            <w:shd w:val="clear" w:color="auto" w:fill="C6EFCE"/>
            <w:noWrap/>
          </w:tcPr>
          <w:p w14:paraId="2E0F96CC" w14:textId="6D86BEB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1 – 1.1. Power up – 16901_HEDNO </w:t>
            </w:r>
            <w:r w:rsidRPr="00083739">
              <w:rPr>
                <w:rFonts w:ascii="Times New Roman" w:hAnsi="Times New Roman" w:cs="Times New Roman"/>
                <w:noProof/>
                <w:lang w:val="sk-SK"/>
              </w:rPr>
              <w:t>modernizácia siete zameraná na zvýšenie odolnosti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ochranu životného prostredia</w:t>
            </w:r>
          </w:p>
        </w:tc>
        <w:tc>
          <w:tcPr>
            <w:tcW w:w="1094" w:type="dxa"/>
            <w:shd w:val="clear" w:color="auto" w:fill="C6EFCE"/>
            <w:noWrap/>
          </w:tcPr>
          <w:p w14:paraId="2718E9E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206" w:type="dxa"/>
            <w:shd w:val="clear" w:color="auto" w:fill="C6EFCE"/>
            <w:noWrap/>
          </w:tcPr>
          <w:p w14:paraId="01D1011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HEDNO – dokončenie 1</w:t>
            </w:r>
          </w:p>
        </w:tc>
        <w:tc>
          <w:tcPr>
            <w:tcW w:w="1553" w:type="dxa"/>
            <w:shd w:val="clear" w:color="auto" w:fill="C6EFCE"/>
            <w:noWrap/>
          </w:tcPr>
          <w:p w14:paraId="4A2339C7" w14:textId="6F040616"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HEDNO poskytne dôkazy</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dokončení projektu</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prípade všetkých intervencií súvisiacich</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modernizáciou odolnosti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životného prostredia</w:t>
            </w:r>
            <w:r w:rsidR="00083739" w:rsidRPr="00083739">
              <w:rPr>
                <w:rFonts w:ascii="Times New Roman" w:hAnsi="Times New Roman" w:cs="Times New Roman"/>
                <w:noProof/>
                <w:lang w:val="sk-SK"/>
              </w:rPr>
              <w:t xml:space="preserve"> a s </w:t>
            </w:r>
            <w:r w:rsidRPr="00083739">
              <w:rPr>
                <w:rFonts w:ascii="Times New Roman" w:hAnsi="Times New Roman" w:cs="Times New Roman"/>
                <w:noProof/>
                <w:lang w:val="sk-SK"/>
              </w:rPr>
              <w:t>osvedčeniami</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uvedení do prevádzky.</w:t>
            </w:r>
          </w:p>
        </w:tc>
        <w:tc>
          <w:tcPr>
            <w:tcW w:w="1338" w:type="dxa"/>
            <w:shd w:val="clear" w:color="auto" w:fill="C6EFCE"/>
            <w:noWrap/>
          </w:tcPr>
          <w:p w14:paraId="446C5525"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27" w:type="dxa"/>
            <w:shd w:val="clear" w:color="auto" w:fill="C6EFCE"/>
            <w:noWrap/>
          </w:tcPr>
          <w:p w14:paraId="0B0B52B9"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05" w:type="dxa"/>
            <w:shd w:val="clear" w:color="auto" w:fill="C6EFCE"/>
            <w:noWrap/>
          </w:tcPr>
          <w:p w14:paraId="4C71345C"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22" w:type="dxa"/>
            <w:shd w:val="clear" w:color="auto" w:fill="C6EFCE"/>
            <w:noWrap/>
          </w:tcPr>
          <w:p w14:paraId="2DF28D4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20" w:type="dxa"/>
            <w:shd w:val="clear" w:color="auto" w:fill="C6EFCE"/>
            <w:noWrap/>
          </w:tcPr>
          <w:p w14:paraId="4D21DCA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3331" w:type="dxa"/>
            <w:shd w:val="clear" w:color="auto" w:fill="C6EFCE"/>
            <w:noWrap/>
          </w:tcPr>
          <w:p w14:paraId="271B4EBC" w14:textId="60E079FD"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Dokončené</w:t>
            </w:r>
            <w:r w:rsidR="00083739" w:rsidRPr="00083739">
              <w:rPr>
                <w:rFonts w:ascii="Times New Roman" w:hAnsi="Times New Roman" w:cs="Times New Roman"/>
                <w:noProof/>
                <w:lang w:val="sk-SK"/>
              </w:rPr>
              <w:t xml:space="preserve"> a v </w:t>
            </w:r>
            <w:r w:rsidRPr="00083739">
              <w:rPr>
                <w:rFonts w:ascii="Times New Roman" w:hAnsi="Times New Roman" w:cs="Times New Roman"/>
                <w:noProof/>
                <w:lang w:val="sk-SK"/>
              </w:rPr>
              <w:t>prevádzke intervencie súvisiace</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modernizáciou siete</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záujme odolnosti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životného prostredia. </w:t>
            </w:r>
          </w:p>
        </w:tc>
      </w:tr>
      <w:tr w:rsidR="002D49B0" w:rsidRPr="00083739" w14:paraId="6B696750" w14:textId="77777777">
        <w:trPr>
          <w:jc w:val="center"/>
        </w:trPr>
        <w:tc>
          <w:tcPr>
            <w:tcW w:w="1120" w:type="dxa"/>
            <w:shd w:val="clear" w:color="auto" w:fill="C6EFCE"/>
            <w:noWrap/>
          </w:tcPr>
          <w:p w14:paraId="1BE3FEE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18</w:t>
            </w:r>
          </w:p>
        </w:tc>
        <w:tc>
          <w:tcPr>
            <w:tcW w:w="1750" w:type="dxa"/>
            <w:shd w:val="clear" w:color="auto" w:fill="C6EFCE"/>
            <w:noWrap/>
          </w:tcPr>
          <w:p w14:paraId="14B74A8D" w14:textId="6A6F69A4"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 – 1.1. Power up – 16900_HEDNO – modernizácia nadzemnej siete</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 xml:space="preserve">lesných </w:t>
            </w:r>
            <w:r w:rsidRPr="00083739">
              <w:rPr>
                <w:rFonts w:ascii="Times New Roman" w:hAnsi="Times New Roman" w:cs="Times New Roman"/>
                <w:noProof/>
                <w:lang w:val="sk-SK"/>
              </w:rPr>
              <w:t>oblastiach</w:t>
            </w:r>
          </w:p>
        </w:tc>
        <w:tc>
          <w:tcPr>
            <w:tcW w:w="1094" w:type="dxa"/>
            <w:shd w:val="clear" w:color="auto" w:fill="C6EFCE"/>
            <w:noWrap/>
          </w:tcPr>
          <w:p w14:paraId="56B3BA2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206" w:type="dxa"/>
            <w:shd w:val="clear" w:color="auto" w:fill="C6EFCE"/>
            <w:noWrap/>
          </w:tcPr>
          <w:p w14:paraId="47F8FCC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HEDNO – dokončenie 2</w:t>
            </w:r>
          </w:p>
        </w:tc>
        <w:tc>
          <w:tcPr>
            <w:tcW w:w="1553" w:type="dxa"/>
            <w:shd w:val="clear" w:color="auto" w:fill="C6EFCE"/>
            <w:noWrap/>
          </w:tcPr>
          <w:p w14:paraId="36052D63" w14:textId="16CA07CB"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HEDNO poskytne dôkazy</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dokončení projektu</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prípade všetkých intervencií týkajúcich sa modernizácie nadzemnej siete</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lesných oblastiach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osvedčení</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uvedení do prevádzky</w:t>
            </w:r>
          </w:p>
        </w:tc>
        <w:tc>
          <w:tcPr>
            <w:tcW w:w="1338" w:type="dxa"/>
            <w:shd w:val="clear" w:color="auto" w:fill="C6EFCE"/>
            <w:noWrap/>
          </w:tcPr>
          <w:p w14:paraId="7FAB0E6C"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27" w:type="dxa"/>
            <w:shd w:val="clear" w:color="auto" w:fill="C6EFCE"/>
            <w:noWrap/>
          </w:tcPr>
          <w:p w14:paraId="60552ECF"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05" w:type="dxa"/>
            <w:shd w:val="clear" w:color="auto" w:fill="C6EFCE"/>
            <w:noWrap/>
          </w:tcPr>
          <w:p w14:paraId="3EF1927E"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22" w:type="dxa"/>
            <w:shd w:val="clear" w:color="auto" w:fill="C6EFCE"/>
            <w:noWrap/>
          </w:tcPr>
          <w:p w14:paraId="548DB6B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20" w:type="dxa"/>
            <w:shd w:val="clear" w:color="auto" w:fill="C6EFCE"/>
            <w:noWrap/>
          </w:tcPr>
          <w:p w14:paraId="5BA6E37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3331" w:type="dxa"/>
            <w:shd w:val="clear" w:color="auto" w:fill="C6EFCE"/>
            <w:noWrap/>
          </w:tcPr>
          <w:p w14:paraId="2C704DE7" w14:textId="28E15351"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Dokončené</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funkčné </w:t>
            </w:r>
            <w:r w:rsidRPr="00083739">
              <w:rPr>
                <w:rFonts w:ascii="Times New Roman" w:hAnsi="Times New Roman" w:cs="Times New Roman"/>
                <w:noProof/>
                <w:lang w:val="sk-SK"/>
              </w:rPr>
              <w:t>zásahy týkajúce sa modernizácie nadzemnej siete</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lesných oblastiach.</w:t>
            </w:r>
          </w:p>
        </w:tc>
      </w:tr>
      <w:tr w:rsidR="002D49B0" w:rsidRPr="00083739" w14:paraId="298944D9" w14:textId="77777777">
        <w:trPr>
          <w:jc w:val="center"/>
        </w:trPr>
        <w:tc>
          <w:tcPr>
            <w:tcW w:w="1120" w:type="dxa"/>
            <w:shd w:val="clear" w:color="auto" w:fill="C6EFCE"/>
            <w:noWrap/>
          </w:tcPr>
          <w:p w14:paraId="45AD647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19</w:t>
            </w:r>
          </w:p>
        </w:tc>
        <w:tc>
          <w:tcPr>
            <w:tcW w:w="1750" w:type="dxa"/>
            <w:shd w:val="clear" w:color="auto" w:fill="C6EFCE"/>
            <w:noWrap/>
          </w:tcPr>
          <w:p w14:paraId="27F330F9" w14:textId="35EA4FA6"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 – 1.1. Napájanie – 16899_Inštalované zvýšenie kapacity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HV/MV rozvodniach gréckeho prevádzkovateľa distribučnej siete (HEDNO) pre nové pripojenie OZE</w:t>
            </w:r>
          </w:p>
        </w:tc>
        <w:tc>
          <w:tcPr>
            <w:tcW w:w="1094" w:type="dxa"/>
            <w:shd w:val="clear" w:color="auto" w:fill="C6EFCE"/>
            <w:noWrap/>
          </w:tcPr>
          <w:p w14:paraId="37AA85D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206" w:type="dxa"/>
            <w:shd w:val="clear" w:color="auto" w:fill="C6EFCE"/>
            <w:noWrap/>
          </w:tcPr>
          <w:p w14:paraId="23DD6A9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HEDNO – dokončenie 3</w:t>
            </w:r>
          </w:p>
        </w:tc>
        <w:tc>
          <w:tcPr>
            <w:tcW w:w="1553" w:type="dxa"/>
            <w:shd w:val="clear" w:color="auto" w:fill="C6EFCE"/>
            <w:noWrap/>
          </w:tcPr>
          <w:p w14:paraId="004EE266" w14:textId="04696A3D"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HEDNO poskytne dôkazy</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dokončení projektu pre všetky intervencie súvisiace so zvýšením kapacity rozvodní HV/MV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osvedčeniami</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uvedení do prevádzky</w:t>
            </w:r>
          </w:p>
        </w:tc>
        <w:tc>
          <w:tcPr>
            <w:tcW w:w="1338" w:type="dxa"/>
            <w:shd w:val="clear" w:color="auto" w:fill="C6EFCE"/>
            <w:noWrap/>
          </w:tcPr>
          <w:p w14:paraId="6D5017BA"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27" w:type="dxa"/>
            <w:shd w:val="clear" w:color="auto" w:fill="C6EFCE"/>
            <w:noWrap/>
          </w:tcPr>
          <w:p w14:paraId="34AB2F03"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05" w:type="dxa"/>
            <w:shd w:val="clear" w:color="auto" w:fill="C6EFCE"/>
            <w:noWrap/>
          </w:tcPr>
          <w:p w14:paraId="2637524B"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22" w:type="dxa"/>
            <w:shd w:val="clear" w:color="auto" w:fill="C6EFCE"/>
            <w:noWrap/>
          </w:tcPr>
          <w:p w14:paraId="335CD6A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20" w:type="dxa"/>
            <w:shd w:val="clear" w:color="auto" w:fill="C6EFCE"/>
            <w:noWrap/>
          </w:tcPr>
          <w:p w14:paraId="0BA44CA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3331" w:type="dxa"/>
            <w:shd w:val="clear" w:color="auto" w:fill="C6EFCE"/>
            <w:noWrap/>
          </w:tcPr>
          <w:p w14:paraId="391D0659" w14:textId="10636F9F"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Intervencie súvisiace so zvýšením kapacity HV/MV rozvodní dokončených</w:t>
            </w:r>
            <w:r w:rsidR="00083739" w:rsidRPr="00083739">
              <w:rPr>
                <w:rFonts w:ascii="Times New Roman" w:hAnsi="Times New Roman" w:cs="Times New Roman"/>
                <w:noProof/>
                <w:lang w:val="sk-SK"/>
              </w:rPr>
              <w:t xml:space="preserve"> a v </w:t>
            </w:r>
            <w:r w:rsidRPr="00083739">
              <w:rPr>
                <w:rFonts w:ascii="Times New Roman" w:hAnsi="Times New Roman" w:cs="Times New Roman"/>
                <w:noProof/>
                <w:lang w:val="sk-SK"/>
              </w:rPr>
              <w:t>prevádzk</w:t>
            </w:r>
            <w:r w:rsidRPr="00083739">
              <w:rPr>
                <w:rFonts w:ascii="Times New Roman" w:hAnsi="Times New Roman" w:cs="Times New Roman"/>
                <w:noProof/>
                <w:lang w:val="sk-SK"/>
              </w:rPr>
              <w:t>e.</w:t>
            </w:r>
          </w:p>
        </w:tc>
      </w:tr>
    </w:tbl>
    <w:p w14:paraId="396D45C0" w14:textId="77777777" w:rsidR="002D49B0" w:rsidRPr="00083739" w:rsidRDefault="002D49B0">
      <w:pPr>
        <w:spacing w:before="120" w:after="120" w:line="240" w:lineRule="auto"/>
        <w:rPr>
          <w:rFonts w:ascii="Times New Roman" w:hAnsi="Times New Roman" w:cs="Times New Roman"/>
          <w:noProof/>
          <w:sz w:val="24"/>
          <w:lang w:val="sk-SK"/>
        </w:rPr>
        <w:sectPr w:rsidR="002D49B0" w:rsidRPr="00083739" w:rsidSect="00271D33">
          <w:headerReference w:type="even" r:id="rId25"/>
          <w:headerReference w:type="default" r:id="rId26"/>
          <w:footerReference w:type="even" r:id="rId27"/>
          <w:footerReference w:type="default" r:id="rId28"/>
          <w:headerReference w:type="first" r:id="rId29"/>
          <w:footerReference w:type="first" r:id="rId30"/>
          <w:pgSz w:w="16839" w:h="11907" w:orient="landscape"/>
          <w:pgMar w:top="1134" w:right="1134" w:bottom="1134" w:left="1134" w:header="567" w:footer="567" w:gutter="0"/>
          <w:cols w:space="720"/>
          <w:docGrid w:linePitch="360"/>
        </w:sectPr>
      </w:pPr>
    </w:p>
    <w:p w14:paraId="3019A607" w14:textId="77777777" w:rsidR="002D49B0" w:rsidRPr="00083739" w:rsidRDefault="00BF4125">
      <w:pPr>
        <w:pStyle w:val="P68B1DB1-Normal2"/>
        <w:spacing w:before="120" w:after="120" w:line="240" w:lineRule="auto"/>
        <w:ind w:firstLine="6"/>
        <w:jc w:val="both"/>
        <w:outlineLvl w:val="3"/>
        <w:rPr>
          <w:rFonts w:cs="Times New Roman"/>
          <w:bCs/>
          <w:noProof/>
          <w:lang w:val="sk-SK"/>
        </w:rPr>
      </w:pPr>
      <w:r w:rsidRPr="00083739">
        <w:rPr>
          <w:rFonts w:cs="Times New Roman"/>
          <w:noProof/>
          <w:lang w:val="sk-SK"/>
        </w:rPr>
        <w:t>B. KOMPONENT 1.2: RENOVOVAŤ</w:t>
      </w:r>
    </w:p>
    <w:p w14:paraId="630314C3" w14:textId="3B6B3B0C"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Komponent obnovy gréckeho plánu obnovy</w:t>
      </w:r>
      <w:r w:rsidR="00083739" w:rsidRPr="00083739">
        <w:rPr>
          <w:rFonts w:cs="Times New Roman"/>
          <w:noProof/>
          <w:lang w:val="sk-SK"/>
        </w:rPr>
        <w:t xml:space="preserve"> a </w:t>
      </w:r>
      <w:r w:rsidRPr="00083739">
        <w:rPr>
          <w:rFonts w:cs="Times New Roman"/>
          <w:noProof/>
          <w:lang w:val="sk-SK"/>
        </w:rPr>
        <w:t>odolnosti</w:t>
      </w:r>
      <w:r w:rsidR="00083739" w:rsidRPr="00083739">
        <w:rPr>
          <w:rFonts w:cs="Times New Roman"/>
          <w:noProof/>
          <w:lang w:val="sk-SK"/>
        </w:rPr>
        <w:t xml:space="preserve"> v </w:t>
      </w:r>
      <w:r w:rsidRPr="00083739">
        <w:rPr>
          <w:rFonts w:cs="Times New Roman"/>
          <w:noProof/>
          <w:lang w:val="sk-SK"/>
        </w:rPr>
        <w:t>rámci zeleného piliera zvýši energetickú efektívnosť, posilní hospodársky rast, vytvorí pracovné príležitosti</w:t>
      </w:r>
      <w:r w:rsidR="00083739" w:rsidRPr="00083739">
        <w:rPr>
          <w:rFonts w:cs="Times New Roman"/>
          <w:noProof/>
          <w:lang w:val="sk-SK"/>
        </w:rPr>
        <w:t xml:space="preserve"> a </w:t>
      </w:r>
      <w:r w:rsidRPr="00083739">
        <w:rPr>
          <w:rFonts w:cs="Times New Roman"/>
          <w:noProof/>
          <w:lang w:val="sk-SK"/>
        </w:rPr>
        <w:t>podporí sociálnu odolnosť. Zahŕňa cielené reformy</w:t>
      </w:r>
      <w:r w:rsidR="00083739" w:rsidRPr="00083739">
        <w:rPr>
          <w:rFonts w:cs="Times New Roman"/>
          <w:noProof/>
          <w:lang w:val="sk-SK"/>
        </w:rPr>
        <w:t xml:space="preserve"> a </w:t>
      </w:r>
      <w:r w:rsidRPr="00083739">
        <w:rPr>
          <w:rFonts w:cs="Times New Roman"/>
          <w:noProof/>
          <w:lang w:val="sk-SK"/>
        </w:rPr>
        <w:t>investície na zníženie emisií CO</w:t>
      </w:r>
      <w:r w:rsidRPr="00083739">
        <w:rPr>
          <w:rFonts w:cs="Times New Roman"/>
          <w:noProof/>
          <w:vertAlign w:val="subscript"/>
          <w:lang w:val="sk-SK"/>
        </w:rPr>
        <w:t>2</w:t>
      </w:r>
      <w:r w:rsidRPr="00083739">
        <w:rPr>
          <w:rFonts w:cs="Times New Roman"/>
          <w:noProof/>
          <w:lang w:val="sk-SK"/>
        </w:rPr>
        <w:t>, podporu dosiahnutia klimatickej neutrality mestských oblastí</w:t>
      </w:r>
      <w:r w:rsidR="00083739" w:rsidRPr="00083739">
        <w:rPr>
          <w:rFonts w:cs="Times New Roman"/>
          <w:noProof/>
          <w:lang w:val="sk-SK"/>
        </w:rPr>
        <w:t xml:space="preserve"> a </w:t>
      </w:r>
      <w:r w:rsidRPr="00083739">
        <w:rPr>
          <w:rFonts w:cs="Times New Roman"/>
          <w:noProof/>
          <w:lang w:val="sk-SK"/>
        </w:rPr>
        <w:t>posilnenie odolnosti miest</w:t>
      </w:r>
      <w:r w:rsidR="00083739" w:rsidRPr="00083739">
        <w:rPr>
          <w:rFonts w:cs="Times New Roman"/>
          <w:noProof/>
          <w:lang w:val="sk-SK"/>
        </w:rPr>
        <w:t xml:space="preserve"> a </w:t>
      </w:r>
      <w:r w:rsidRPr="00083739">
        <w:rPr>
          <w:rFonts w:cs="Times New Roman"/>
          <w:noProof/>
          <w:lang w:val="sk-SK"/>
        </w:rPr>
        <w:t>ich budov proti zmene klímy. Komponent poskytuje stimuly na obnovu budov</w:t>
      </w:r>
      <w:r w:rsidR="00083739" w:rsidRPr="00083739">
        <w:rPr>
          <w:rFonts w:cs="Times New Roman"/>
          <w:noProof/>
          <w:lang w:val="sk-SK"/>
        </w:rPr>
        <w:t xml:space="preserve"> a </w:t>
      </w:r>
      <w:r w:rsidRPr="00083739">
        <w:rPr>
          <w:rFonts w:cs="Times New Roman"/>
          <w:noProof/>
          <w:lang w:val="sk-SK"/>
        </w:rPr>
        <w:t>energetickú modernizáciu, ktoré majú zásadný význam pri obnove mestských oblastí</w:t>
      </w:r>
      <w:r w:rsidR="00083739" w:rsidRPr="00083739">
        <w:rPr>
          <w:rFonts w:cs="Times New Roman"/>
          <w:noProof/>
          <w:lang w:val="sk-SK"/>
        </w:rPr>
        <w:t xml:space="preserve"> a </w:t>
      </w:r>
      <w:r w:rsidRPr="00083739">
        <w:rPr>
          <w:rFonts w:cs="Times New Roman"/>
          <w:noProof/>
          <w:lang w:val="sk-SK"/>
        </w:rPr>
        <w:t>zmierňovaní energetickej chudoby</w:t>
      </w:r>
      <w:r w:rsidR="00083739" w:rsidRPr="00083739">
        <w:rPr>
          <w:rFonts w:cs="Times New Roman"/>
          <w:noProof/>
          <w:lang w:val="sk-SK"/>
        </w:rPr>
        <w:t xml:space="preserve"> a </w:t>
      </w:r>
      <w:r w:rsidRPr="00083739">
        <w:rPr>
          <w:rFonts w:cs="Times New Roman"/>
          <w:noProof/>
          <w:lang w:val="sk-SK"/>
        </w:rPr>
        <w:t>prispievajú</w:t>
      </w:r>
      <w:r w:rsidR="00083739" w:rsidRPr="00083739">
        <w:rPr>
          <w:rFonts w:cs="Times New Roman"/>
          <w:noProof/>
          <w:lang w:val="sk-SK"/>
        </w:rPr>
        <w:t xml:space="preserve"> k </w:t>
      </w:r>
      <w:r w:rsidRPr="00083739">
        <w:rPr>
          <w:rFonts w:cs="Times New Roman"/>
          <w:noProof/>
          <w:lang w:val="sk-SK"/>
        </w:rPr>
        <w:t>dosiahnutiu cieľov stanovených</w:t>
      </w:r>
      <w:r w:rsidR="00083739" w:rsidRPr="00083739">
        <w:rPr>
          <w:rFonts w:cs="Times New Roman"/>
          <w:noProof/>
          <w:lang w:val="sk-SK"/>
        </w:rPr>
        <w:t xml:space="preserve"> v </w:t>
      </w:r>
      <w:r w:rsidRPr="00083739">
        <w:rPr>
          <w:rFonts w:cs="Times New Roman"/>
          <w:noProof/>
          <w:lang w:val="sk-SK"/>
        </w:rPr>
        <w:t>gréckom národnom energetickom</w:t>
      </w:r>
      <w:r w:rsidR="00083739" w:rsidRPr="00083739">
        <w:rPr>
          <w:rFonts w:cs="Times New Roman"/>
          <w:noProof/>
          <w:lang w:val="sk-SK"/>
        </w:rPr>
        <w:t xml:space="preserve"> a </w:t>
      </w:r>
      <w:r w:rsidRPr="00083739">
        <w:rPr>
          <w:rFonts w:cs="Times New Roman"/>
          <w:noProof/>
          <w:lang w:val="sk-SK"/>
        </w:rPr>
        <w:t xml:space="preserve">klimatickom pláne (NEKP). Komponent podporuje riešenie </w:t>
      </w:r>
      <w:r w:rsidRPr="00083739">
        <w:rPr>
          <w:rFonts w:cs="Times New Roman"/>
          <w:noProof/>
          <w:lang w:val="sk-SK"/>
        </w:rPr>
        <w:t>odporúčania pre danú krajinu č. 3</w:t>
      </w:r>
      <w:r w:rsidR="00083739" w:rsidRPr="00083739">
        <w:rPr>
          <w:rFonts w:cs="Times New Roman"/>
          <w:noProof/>
          <w:lang w:val="sk-SK"/>
        </w:rPr>
        <w:t xml:space="preserve"> z </w:t>
      </w:r>
      <w:r w:rsidRPr="00083739">
        <w:rPr>
          <w:rFonts w:cs="Times New Roman"/>
          <w:noProof/>
          <w:lang w:val="sk-SK"/>
        </w:rPr>
        <w:t>roku 2020</w:t>
      </w:r>
      <w:r w:rsidR="00083739" w:rsidRPr="00083739">
        <w:rPr>
          <w:rFonts w:cs="Times New Roman"/>
          <w:noProof/>
          <w:lang w:val="sk-SK"/>
        </w:rPr>
        <w:t xml:space="preserve"> a </w:t>
      </w:r>
      <w:r w:rsidRPr="00083739">
        <w:rPr>
          <w:rFonts w:cs="Times New Roman"/>
          <w:noProof/>
          <w:lang w:val="sk-SK"/>
        </w:rPr>
        <w:t>odporúčania pre danú krajinu č. 2</w:t>
      </w:r>
      <w:r w:rsidR="00083739" w:rsidRPr="00083739">
        <w:rPr>
          <w:rFonts w:cs="Times New Roman"/>
          <w:noProof/>
          <w:lang w:val="sk-SK"/>
        </w:rPr>
        <w:t xml:space="preserve"> z </w:t>
      </w:r>
      <w:r w:rsidRPr="00083739">
        <w:rPr>
          <w:rFonts w:cs="Times New Roman"/>
          <w:noProof/>
          <w:lang w:val="sk-SK"/>
        </w:rPr>
        <w:t>roku 2019</w:t>
      </w:r>
      <w:r w:rsidR="00083739" w:rsidRPr="00083739">
        <w:rPr>
          <w:rFonts w:cs="Times New Roman"/>
          <w:noProof/>
          <w:lang w:val="sk-SK"/>
        </w:rPr>
        <w:t xml:space="preserve"> o </w:t>
      </w:r>
      <w:r w:rsidRPr="00083739">
        <w:rPr>
          <w:rFonts w:cs="Times New Roman"/>
          <w:noProof/>
          <w:lang w:val="sk-SK"/>
        </w:rPr>
        <w:t>verejných</w:t>
      </w:r>
      <w:r w:rsidR="00083739" w:rsidRPr="00083739">
        <w:rPr>
          <w:rFonts w:cs="Times New Roman"/>
          <w:noProof/>
          <w:lang w:val="sk-SK"/>
        </w:rPr>
        <w:t xml:space="preserve"> a </w:t>
      </w:r>
      <w:r w:rsidRPr="00083739">
        <w:rPr>
          <w:rFonts w:cs="Times New Roman"/>
          <w:noProof/>
          <w:lang w:val="sk-SK"/>
        </w:rPr>
        <w:t>súkromných investíciách. Očakáva sa, že žiadne opatrenie</w:t>
      </w:r>
      <w:r w:rsidR="00083739" w:rsidRPr="00083739">
        <w:rPr>
          <w:rFonts w:cs="Times New Roman"/>
          <w:noProof/>
          <w:lang w:val="sk-SK"/>
        </w:rPr>
        <w:t xml:space="preserve"> v </w:t>
      </w:r>
      <w:r w:rsidRPr="00083739">
        <w:rPr>
          <w:rFonts w:cs="Times New Roman"/>
          <w:noProof/>
          <w:lang w:val="sk-SK"/>
        </w:rPr>
        <w:t>tomto komponente výrazne nenaruší environmentálne ciele</w:t>
      </w:r>
      <w:r w:rsidR="00083739" w:rsidRPr="00083739">
        <w:rPr>
          <w:rFonts w:cs="Times New Roman"/>
          <w:noProof/>
          <w:lang w:val="sk-SK"/>
        </w:rPr>
        <w:t xml:space="preserve"> v </w:t>
      </w:r>
      <w:r w:rsidRPr="00083739">
        <w:rPr>
          <w:rFonts w:cs="Times New Roman"/>
          <w:noProof/>
          <w:lang w:val="sk-SK"/>
        </w:rPr>
        <w:t>zmysle článku 17 nariadenia (EÚ</w:t>
      </w:r>
      <w:r w:rsidRPr="00083739">
        <w:rPr>
          <w:rFonts w:cs="Times New Roman"/>
          <w:noProof/>
          <w:lang w:val="sk-SK"/>
        </w:rPr>
        <w:t>) 2020/852, pričom sa zohľadní opis opatrení</w:t>
      </w:r>
      <w:r w:rsidR="00083739" w:rsidRPr="00083739">
        <w:rPr>
          <w:rFonts w:cs="Times New Roman"/>
          <w:noProof/>
          <w:lang w:val="sk-SK"/>
        </w:rPr>
        <w:t xml:space="preserve"> a </w:t>
      </w:r>
      <w:r w:rsidRPr="00083739">
        <w:rPr>
          <w:rFonts w:cs="Times New Roman"/>
          <w:noProof/>
          <w:lang w:val="sk-SK"/>
        </w:rPr>
        <w:t>zmierňujúcich krokov stanovených</w:t>
      </w:r>
      <w:r w:rsidR="00083739" w:rsidRPr="00083739">
        <w:rPr>
          <w:rFonts w:cs="Times New Roman"/>
          <w:noProof/>
          <w:lang w:val="sk-SK"/>
        </w:rPr>
        <w:t xml:space="preserve"> v </w:t>
      </w:r>
      <w:r w:rsidRPr="00083739">
        <w:rPr>
          <w:rFonts w:cs="Times New Roman"/>
          <w:noProof/>
          <w:lang w:val="sk-SK"/>
        </w:rPr>
        <w:t>pláne podpory obnovy</w:t>
      </w:r>
      <w:r w:rsidR="00083739" w:rsidRPr="00083739">
        <w:rPr>
          <w:rFonts w:cs="Times New Roman"/>
          <w:noProof/>
          <w:lang w:val="sk-SK"/>
        </w:rPr>
        <w:t xml:space="preserve"> a </w:t>
      </w:r>
      <w:r w:rsidRPr="00083739">
        <w:rPr>
          <w:rFonts w:cs="Times New Roman"/>
          <w:noProof/>
          <w:lang w:val="sk-SK"/>
        </w:rPr>
        <w:t>odolnosti</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technickým usmernením „výrazne nenarušiť“ (2021/C58/01).</w:t>
      </w:r>
    </w:p>
    <w:p w14:paraId="08405BDA" w14:textId="700DB6C1" w:rsidR="002D49B0" w:rsidRPr="00083739" w:rsidRDefault="00BF4125">
      <w:pPr>
        <w:spacing w:before="120" w:after="120" w:line="240" w:lineRule="auto"/>
        <w:jc w:val="both"/>
        <w:rPr>
          <w:rFonts w:ascii="Times New Roman" w:hAnsi="Times New Roman" w:cs="Times New Roman"/>
          <w:b/>
          <w:bCs/>
          <w:i/>
          <w:iCs/>
          <w:noProof/>
          <w:color w:val="4F81BD"/>
          <w:sz w:val="24"/>
          <w:lang w:val="sk-SK"/>
        </w:rPr>
      </w:pPr>
      <w:r w:rsidRPr="00083739">
        <w:rPr>
          <w:rFonts w:ascii="Times New Roman" w:hAnsi="Times New Roman" w:cs="Times New Roman"/>
          <w:b/>
          <w:noProof/>
          <w:sz w:val="24"/>
          <w:u w:val="single"/>
          <w:lang w:val="sk-SK"/>
        </w:rPr>
        <w:t xml:space="preserve">B.1. </w:t>
      </w:r>
      <w:r w:rsidRPr="00083739">
        <w:rPr>
          <w:rFonts w:ascii="Times New Roman" w:hAnsi="Times New Roman" w:cs="Times New Roman"/>
          <w:noProof/>
          <w:lang w:val="sk-SK"/>
        </w:rPr>
        <w:t xml:space="preserve"> </w:t>
      </w:r>
      <w:r w:rsidRPr="00083739">
        <w:rPr>
          <w:rFonts w:ascii="Times New Roman" w:hAnsi="Times New Roman" w:cs="Times New Roman"/>
          <w:b/>
          <w:noProof/>
          <w:sz w:val="24"/>
          <w:u w:val="single"/>
          <w:lang w:val="sk-SK"/>
        </w:rPr>
        <w:t>Opis reforiem</w:t>
      </w:r>
      <w:r w:rsidR="00083739" w:rsidRPr="00083739">
        <w:rPr>
          <w:rFonts w:ascii="Times New Roman" w:hAnsi="Times New Roman" w:cs="Times New Roman"/>
          <w:b/>
          <w:noProof/>
          <w:sz w:val="24"/>
          <w:u w:val="single"/>
          <w:lang w:val="sk-SK"/>
        </w:rPr>
        <w:t xml:space="preserve"> a </w:t>
      </w:r>
      <w:r w:rsidRPr="00083739">
        <w:rPr>
          <w:rFonts w:ascii="Times New Roman" w:hAnsi="Times New Roman" w:cs="Times New Roman"/>
          <w:b/>
          <w:noProof/>
          <w:sz w:val="24"/>
          <w:u w:val="single"/>
          <w:lang w:val="sk-SK"/>
        </w:rPr>
        <w:t>investícií</w:t>
      </w:r>
      <w:r w:rsidR="00083739" w:rsidRPr="00083739">
        <w:rPr>
          <w:rFonts w:ascii="Times New Roman" w:hAnsi="Times New Roman" w:cs="Times New Roman"/>
          <w:b/>
          <w:noProof/>
          <w:sz w:val="24"/>
          <w:u w:val="single"/>
          <w:lang w:val="sk-SK"/>
        </w:rPr>
        <w:t xml:space="preserve"> v </w:t>
      </w:r>
      <w:r w:rsidRPr="00083739">
        <w:rPr>
          <w:rFonts w:ascii="Times New Roman" w:hAnsi="Times New Roman" w:cs="Times New Roman"/>
          <w:b/>
          <w:noProof/>
          <w:sz w:val="24"/>
          <w:u w:val="single"/>
          <w:lang w:val="sk-SK"/>
        </w:rPr>
        <w:t>rámci nenávratnej finančnej podpory</w:t>
      </w:r>
    </w:p>
    <w:p w14:paraId="281079F6" w14:textId="7777777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Re</w:t>
      </w:r>
      <w:r w:rsidRPr="00083739">
        <w:rPr>
          <w:rFonts w:cs="Times New Roman"/>
          <w:b/>
          <w:noProof/>
          <w:lang w:val="sk-SK"/>
        </w:rPr>
        <w:t>forma:</w:t>
      </w:r>
      <w:r w:rsidRPr="00083739">
        <w:rPr>
          <w:rFonts w:cs="Times New Roman"/>
          <w:noProof/>
          <w:lang w:val="sk-SK"/>
        </w:rPr>
        <w:t xml:space="preserve"> Akčný plán pre energetickú chudobu (ID opatrenia: 16920)</w:t>
      </w:r>
    </w:p>
    <w:p w14:paraId="1B239BF3" w14:textId="5F893DDC"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Reforma pozostáva</w:t>
      </w:r>
      <w:r w:rsidR="00083739" w:rsidRPr="00083739">
        <w:rPr>
          <w:rFonts w:cs="Times New Roman"/>
          <w:noProof/>
          <w:lang w:val="sk-SK"/>
        </w:rPr>
        <w:t xml:space="preserve"> z </w:t>
      </w:r>
      <w:r w:rsidRPr="00083739">
        <w:rPr>
          <w:rFonts w:cs="Times New Roman"/>
          <w:noProof/>
          <w:lang w:val="sk-SK"/>
        </w:rPr>
        <w:t>prijatia akčného plánu na riešenie problému energetickej chudoby.</w:t>
      </w:r>
      <w:r w:rsidR="00083739" w:rsidRPr="00083739">
        <w:rPr>
          <w:rFonts w:cs="Times New Roman"/>
          <w:noProof/>
          <w:lang w:val="sk-SK"/>
        </w:rPr>
        <w:t xml:space="preserve"> V </w:t>
      </w:r>
      <w:r w:rsidRPr="00083739">
        <w:rPr>
          <w:rFonts w:cs="Times New Roman"/>
          <w:noProof/>
          <w:lang w:val="sk-SK"/>
        </w:rPr>
        <w:t>roku 2019 približne 18</w:t>
      </w:r>
      <w:r w:rsidR="00083739" w:rsidRPr="00083739">
        <w:rPr>
          <w:rFonts w:cs="Times New Roman"/>
          <w:noProof/>
          <w:lang w:val="sk-SK"/>
        </w:rPr>
        <w:t> %</w:t>
      </w:r>
      <w:r w:rsidRPr="00083739">
        <w:rPr>
          <w:rFonts w:cs="Times New Roman"/>
          <w:noProof/>
          <w:lang w:val="sk-SK"/>
        </w:rPr>
        <w:t xml:space="preserve"> celkovej populácie údajne nedokázalo vykurovať svoje domovy</w:t>
      </w:r>
      <w:r w:rsidR="00083739" w:rsidRPr="00083739">
        <w:rPr>
          <w:rFonts w:cs="Times New Roman"/>
          <w:noProof/>
          <w:lang w:val="sk-SK"/>
        </w:rPr>
        <w:t xml:space="preserve"> v </w:t>
      </w:r>
      <w:r w:rsidRPr="00083739">
        <w:rPr>
          <w:rFonts w:cs="Times New Roman"/>
          <w:noProof/>
          <w:lang w:val="sk-SK"/>
        </w:rPr>
        <w:t>porovnaní</w:t>
      </w:r>
      <w:r w:rsidR="00083739" w:rsidRPr="00083739">
        <w:rPr>
          <w:rFonts w:cs="Times New Roman"/>
          <w:noProof/>
          <w:lang w:val="sk-SK"/>
        </w:rPr>
        <w:t xml:space="preserve"> s </w:t>
      </w:r>
      <w:r w:rsidRPr="00083739">
        <w:rPr>
          <w:rFonts w:cs="Times New Roman"/>
          <w:noProof/>
          <w:lang w:val="sk-SK"/>
        </w:rPr>
        <w:t>približne 34</w:t>
      </w:r>
      <w:r w:rsidR="00083739" w:rsidRPr="00083739">
        <w:rPr>
          <w:rFonts w:cs="Times New Roman"/>
          <w:noProof/>
          <w:lang w:val="sk-SK"/>
        </w:rPr>
        <w:t> % v </w:t>
      </w:r>
      <w:r w:rsidRPr="00083739">
        <w:rPr>
          <w:rFonts w:cs="Times New Roman"/>
          <w:noProof/>
          <w:lang w:val="sk-SK"/>
        </w:rPr>
        <w:t>podskupine ekonomicky zraniteľnej populácie (Eurostat, prieskum EU-SILC).</w:t>
      </w:r>
      <w:r w:rsidR="00083739" w:rsidRPr="00083739">
        <w:rPr>
          <w:rFonts w:cs="Times New Roman"/>
          <w:noProof/>
          <w:lang w:val="sk-SK"/>
        </w:rPr>
        <w:t xml:space="preserve"> V </w:t>
      </w:r>
      <w:r w:rsidRPr="00083739">
        <w:rPr>
          <w:rFonts w:cs="Times New Roman"/>
          <w:noProof/>
          <w:lang w:val="sk-SK"/>
        </w:rPr>
        <w:t>stratégii sa načrtnú cielené politické opatrenia na zlepšenie energetickej efektívnosti obytných budov</w:t>
      </w:r>
      <w:r w:rsidR="00083739" w:rsidRPr="00083739">
        <w:rPr>
          <w:rFonts w:cs="Times New Roman"/>
          <w:noProof/>
          <w:lang w:val="sk-SK"/>
        </w:rPr>
        <w:t xml:space="preserve"> v </w:t>
      </w:r>
      <w:r w:rsidRPr="00083739">
        <w:rPr>
          <w:rFonts w:cs="Times New Roman"/>
          <w:noProof/>
          <w:lang w:val="sk-SK"/>
        </w:rPr>
        <w:t>ekonomicky zraniteľných domácnostiach. Vykonávanie reformy</w:t>
      </w:r>
      <w:r w:rsidRPr="00083739">
        <w:rPr>
          <w:rFonts w:cs="Times New Roman"/>
          <w:noProof/>
          <w:lang w:val="sk-SK"/>
        </w:rPr>
        <w:t xml:space="preserve"> sa ukončí do 30</w:t>
      </w:r>
      <w:r w:rsidR="00083739" w:rsidRPr="00083739">
        <w:rPr>
          <w:rFonts w:cs="Times New Roman"/>
          <w:noProof/>
          <w:lang w:val="sk-SK"/>
        </w:rPr>
        <w:t>. septembra</w:t>
      </w:r>
      <w:r w:rsidRPr="00083739">
        <w:rPr>
          <w:rFonts w:cs="Times New Roman"/>
          <w:noProof/>
          <w:lang w:val="sk-SK"/>
        </w:rPr>
        <w:t xml:space="preserve"> 2021.</w:t>
      </w:r>
    </w:p>
    <w:p w14:paraId="40227AFD" w14:textId="7777777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Energetická obnova obytných budov (ID opatrenia: 16872)</w:t>
      </w:r>
    </w:p>
    <w:p w14:paraId="05D52138" w14:textId="204E34A0" w:rsidR="002D49B0" w:rsidRPr="00083739" w:rsidRDefault="00BF4125">
      <w:pPr>
        <w:pStyle w:val="P68B1DB1-Normal5"/>
        <w:spacing w:before="120" w:after="120" w:line="240" w:lineRule="auto"/>
        <w:jc w:val="both"/>
        <w:rPr>
          <w:rFonts w:cs="Times New Roman"/>
          <w:noProof/>
          <w:lang w:val="sk-SK"/>
        </w:rPr>
      </w:pPr>
      <w:r w:rsidRPr="00083739">
        <w:rPr>
          <w:rFonts w:cs="Times New Roman"/>
          <w:noProof/>
          <w:lang w:val="sk-SK"/>
        </w:rPr>
        <w:t>Investícia zlepší energetickú hospodárnosť obytných budov. Zahŕňa obnovy, ktoré prinášajú významné úspory primárnej energie, čím prispievajú</w:t>
      </w:r>
      <w:r w:rsidR="00083739" w:rsidRPr="00083739">
        <w:rPr>
          <w:rFonts w:cs="Times New Roman"/>
          <w:noProof/>
          <w:lang w:val="sk-SK"/>
        </w:rPr>
        <w:t xml:space="preserve"> k </w:t>
      </w:r>
      <w:r w:rsidRPr="00083739">
        <w:rPr>
          <w:rFonts w:cs="Times New Roman"/>
          <w:noProof/>
          <w:lang w:val="sk-SK"/>
        </w:rPr>
        <w:t xml:space="preserve">príslušným </w:t>
      </w:r>
      <w:r w:rsidRPr="00083739">
        <w:rPr>
          <w:rFonts w:cs="Times New Roman"/>
          <w:noProof/>
          <w:lang w:val="sk-SK"/>
        </w:rPr>
        <w:t>cieľom NEKP. Medzi príklady intervencií patrí zlepšenie digitalizácie konečnej spotreby energie prostredníctvom systémov energetického manažérstva</w:t>
      </w:r>
      <w:r w:rsidR="00083739" w:rsidRPr="00083739">
        <w:rPr>
          <w:rFonts w:cs="Times New Roman"/>
          <w:noProof/>
          <w:lang w:val="sk-SK"/>
        </w:rPr>
        <w:t xml:space="preserve"> a </w:t>
      </w:r>
      <w:r w:rsidRPr="00083739">
        <w:rPr>
          <w:rFonts w:cs="Times New Roman"/>
          <w:noProof/>
          <w:lang w:val="sk-SK"/>
        </w:rPr>
        <w:t>podpora zavádzania infraštruktúry elektromobility, ako sú nabíjacie stanice pre elektrické vozidlá. Poskytn</w:t>
      </w:r>
      <w:r w:rsidRPr="00083739">
        <w:rPr>
          <w:rFonts w:cs="Times New Roman"/>
          <w:noProof/>
          <w:lang w:val="sk-SK"/>
        </w:rPr>
        <w:t>e aj vyčlenené finančné prostriedky zamerané na energeticky chudobné obydlia, čím sa vytvorí prepojenie</w:t>
      </w:r>
      <w:r w:rsidR="00083739" w:rsidRPr="00083739">
        <w:rPr>
          <w:rFonts w:cs="Times New Roman"/>
          <w:noProof/>
          <w:lang w:val="sk-SK"/>
        </w:rPr>
        <w:t xml:space="preserve"> s </w:t>
      </w:r>
      <w:r w:rsidRPr="00083739">
        <w:rPr>
          <w:rFonts w:cs="Times New Roman"/>
          <w:noProof/>
          <w:lang w:val="sk-SK"/>
        </w:rPr>
        <w:t>reformou zameranou na prípravu akčného plánu pre energetickú chudobu. Očakáva sa, že toto opatrenie výrazne nenaruší environmentálne ciele</w:t>
      </w:r>
      <w:r w:rsidR="00083739" w:rsidRPr="00083739">
        <w:rPr>
          <w:rFonts w:cs="Times New Roman"/>
          <w:noProof/>
          <w:lang w:val="sk-SK"/>
        </w:rPr>
        <w:t xml:space="preserve"> v </w:t>
      </w:r>
      <w:r w:rsidRPr="00083739">
        <w:rPr>
          <w:rFonts w:cs="Times New Roman"/>
          <w:noProof/>
          <w:lang w:val="sk-SK"/>
        </w:rPr>
        <w:t>zmysle čl</w:t>
      </w:r>
      <w:r w:rsidRPr="00083739">
        <w:rPr>
          <w:rFonts w:cs="Times New Roman"/>
          <w:noProof/>
          <w:lang w:val="sk-SK"/>
        </w:rPr>
        <w:t>ánku 17 nariadenia (EÚ) 2020/852, pričom sa zohľadní opis opatrenia</w:t>
      </w:r>
      <w:r w:rsidR="00083739" w:rsidRPr="00083739">
        <w:rPr>
          <w:rFonts w:cs="Times New Roman"/>
          <w:noProof/>
          <w:lang w:val="sk-SK"/>
        </w:rPr>
        <w:t xml:space="preserve"> a </w:t>
      </w:r>
      <w:r w:rsidRPr="00083739">
        <w:rPr>
          <w:rFonts w:cs="Times New Roman"/>
          <w:noProof/>
          <w:lang w:val="sk-SK"/>
        </w:rPr>
        <w:t>zmierňujúce kroky stanovené</w:t>
      </w:r>
      <w:r w:rsidR="00083739" w:rsidRPr="00083739">
        <w:rPr>
          <w:rFonts w:cs="Times New Roman"/>
          <w:noProof/>
          <w:lang w:val="sk-SK"/>
        </w:rPr>
        <w:t xml:space="preserve"> v </w:t>
      </w:r>
      <w:r w:rsidRPr="00083739">
        <w:rPr>
          <w:rFonts w:cs="Times New Roman"/>
          <w:noProof/>
          <w:lang w:val="sk-SK"/>
        </w:rPr>
        <w:t>pláne podpory obnovy</w:t>
      </w:r>
      <w:r w:rsidR="00083739" w:rsidRPr="00083739">
        <w:rPr>
          <w:rFonts w:cs="Times New Roman"/>
          <w:noProof/>
          <w:lang w:val="sk-SK"/>
        </w:rPr>
        <w:t xml:space="preserve"> a </w:t>
      </w:r>
      <w:r w:rsidRPr="00083739">
        <w:rPr>
          <w:rFonts w:cs="Times New Roman"/>
          <w:noProof/>
          <w:lang w:val="sk-SK"/>
        </w:rPr>
        <w:t>odolnosti</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technickým usmernením „výrazne nenarušiť“ (2021/C58/01). Konkrétne sa</w:t>
      </w:r>
      <w:r w:rsidR="00083739" w:rsidRPr="00083739">
        <w:rPr>
          <w:rFonts w:cs="Times New Roman"/>
          <w:noProof/>
          <w:lang w:val="sk-SK"/>
        </w:rPr>
        <w:t xml:space="preserve"> v </w:t>
      </w:r>
      <w:r w:rsidRPr="00083739">
        <w:rPr>
          <w:rFonts w:cs="Times New Roman"/>
          <w:noProof/>
          <w:lang w:val="sk-SK"/>
        </w:rPr>
        <w:t>tomto opatrení vyžaduje, aby hospodárske</w:t>
      </w:r>
      <w:r w:rsidRPr="00083739">
        <w:rPr>
          <w:rFonts w:cs="Times New Roman"/>
          <w:noProof/>
          <w:lang w:val="sk-SK"/>
        </w:rPr>
        <w:t xml:space="preserve"> subjekty vykonávajúce stavebné práce zabezpečili, že najmenej 70</w:t>
      </w:r>
      <w:r w:rsidR="00083739" w:rsidRPr="00083739">
        <w:rPr>
          <w:rFonts w:cs="Times New Roman"/>
          <w:noProof/>
          <w:lang w:val="sk-SK"/>
        </w:rPr>
        <w:t> %</w:t>
      </w:r>
      <w:r w:rsidRPr="00083739">
        <w:rPr>
          <w:rFonts w:cs="Times New Roman"/>
          <w:noProof/>
          <w:lang w:val="sk-SK"/>
        </w:rPr>
        <w:t xml:space="preserve"> (hmotnosti) stavebného</w:t>
      </w:r>
      <w:r w:rsidR="00083739" w:rsidRPr="00083739">
        <w:rPr>
          <w:rFonts w:cs="Times New Roman"/>
          <w:noProof/>
          <w:lang w:val="sk-SK"/>
        </w:rPr>
        <w:t xml:space="preserve"> a </w:t>
      </w:r>
      <w:r w:rsidRPr="00083739">
        <w:rPr>
          <w:rFonts w:cs="Times New Roman"/>
          <w:noProof/>
          <w:lang w:val="sk-SK"/>
        </w:rPr>
        <w:t>demolačného odpadu, ktorý nie je nebezpečný [okrem prirodzene sa vyskytujúceho materiálu uvedeného</w:t>
      </w:r>
      <w:r w:rsidR="00083739" w:rsidRPr="00083739">
        <w:rPr>
          <w:rFonts w:cs="Times New Roman"/>
          <w:noProof/>
          <w:lang w:val="sk-SK"/>
        </w:rPr>
        <w:t xml:space="preserve"> v </w:t>
      </w:r>
      <w:r w:rsidRPr="00083739">
        <w:rPr>
          <w:rFonts w:cs="Times New Roman"/>
          <w:noProof/>
          <w:lang w:val="sk-SK"/>
        </w:rPr>
        <w:t>kategórii 17 05 04</w:t>
      </w:r>
      <w:r w:rsidR="00083739" w:rsidRPr="00083739">
        <w:rPr>
          <w:rFonts w:cs="Times New Roman"/>
          <w:noProof/>
          <w:lang w:val="sk-SK"/>
        </w:rPr>
        <w:t xml:space="preserve"> v </w:t>
      </w:r>
      <w:r w:rsidRPr="00083739">
        <w:rPr>
          <w:rFonts w:cs="Times New Roman"/>
          <w:noProof/>
          <w:lang w:val="sk-SK"/>
        </w:rPr>
        <w:t>európskom zozname odpadov vytvorenom rozh</w:t>
      </w:r>
      <w:r w:rsidRPr="00083739">
        <w:rPr>
          <w:rFonts w:cs="Times New Roman"/>
          <w:noProof/>
          <w:lang w:val="sk-SK"/>
        </w:rPr>
        <w:t>odnutím 2000/532/ES</w:t>
      </w:r>
      <w:r w:rsidR="00083739" w:rsidRPr="00083739">
        <w:rPr>
          <w:rFonts w:cs="Times New Roman"/>
          <w:noProof/>
          <w:lang w:val="sk-SK"/>
        </w:rPr>
        <w:t xml:space="preserve"> z </w:t>
      </w:r>
      <w:r w:rsidRPr="00083739">
        <w:rPr>
          <w:rFonts w:cs="Times New Roman"/>
          <w:noProof/>
          <w:lang w:val="sk-SK"/>
        </w:rPr>
        <w:t>3</w:t>
      </w:r>
      <w:r w:rsidR="00083739" w:rsidRPr="00083739">
        <w:rPr>
          <w:rFonts w:cs="Times New Roman"/>
          <w:noProof/>
          <w:lang w:val="sk-SK"/>
        </w:rPr>
        <w:t>. mája</w:t>
      </w:r>
      <w:r w:rsidRPr="00083739">
        <w:rPr>
          <w:rFonts w:cs="Times New Roman"/>
          <w:noProof/>
          <w:lang w:val="sk-SK"/>
        </w:rPr>
        <w:t xml:space="preserve"> 2000, ktorým sa nahrádza rozhodnutie 94/3/ES, ktorým sa zavádza zoznam odpadov podľa článku 1 písm. a) smernice Rady 75/442/EHS</w:t>
      </w:r>
      <w:r w:rsidR="00083739" w:rsidRPr="00083739">
        <w:rPr>
          <w:rFonts w:cs="Times New Roman"/>
          <w:noProof/>
          <w:lang w:val="sk-SK"/>
        </w:rPr>
        <w:t xml:space="preserve"> o </w:t>
      </w:r>
      <w:r w:rsidRPr="00083739">
        <w:rPr>
          <w:rFonts w:cs="Times New Roman"/>
          <w:noProof/>
          <w:lang w:val="sk-SK"/>
        </w:rPr>
        <w:t>odpade</w:t>
      </w:r>
      <w:r w:rsidR="00083739" w:rsidRPr="00083739">
        <w:rPr>
          <w:rFonts w:cs="Times New Roman"/>
          <w:noProof/>
          <w:lang w:val="sk-SK"/>
        </w:rPr>
        <w:t xml:space="preserve"> a </w:t>
      </w:r>
      <w:r w:rsidRPr="00083739">
        <w:rPr>
          <w:rFonts w:cs="Times New Roman"/>
          <w:noProof/>
          <w:lang w:val="sk-SK"/>
        </w:rPr>
        <w:t>rozhodnutia Rady 94/904/ES, ktorým sa vydáva zoznam nebezpečných odpadov podľa článku 1</w:t>
      </w:r>
      <w:r w:rsidRPr="00083739">
        <w:rPr>
          <w:rFonts w:cs="Times New Roman"/>
          <w:noProof/>
          <w:lang w:val="sk-SK"/>
        </w:rPr>
        <w:t xml:space="preserve"> ods. 4 smernice Rady 91/689/EHS</w:t>
      </w:r>
      <w:r w:rsidR="00083739" w:rsidRPr="00083739">
        <w:rPr>
          <w:rFonts w:cs="Times New Roman"/>
          <w:noProof/>
          <w:lang w:val="sk-SK"/>
        </w:rPr>
        <w:t xml:space="preserve"> o </w:t>
      </w:r>
      <w:r w:rsidRPr="00083739">
        <w:rPr>
          <w:rFonts w:cs="Times New Roman"/>
          <w:noProof/>
          <w:lang w:val="sk-SK"/>
        </w:rPr>
        <w:t>nebezpečných odpadoch [oznámeným pod číslom C(2000) 1147], vytvoreného na stavenisku sa pripraví na opätovné použitie, recykláciu</w:t>
      </w:r>
      <w:r w:rsidR="00083739" w:rsidRPr="00083739">
        <w:rPr>
          <w:rFonts w:cs="Times New Roman"/>
          <w:noProof/>
          <w:lang w:val="sk-SK"/>
        </w:rPr>
        <w:t xml:space="preserve"> a </w:t>
      </w:r>
      <w:r w:rsidRPr="00083739">
        <w:rPr>
          <w:rFonts w:cs="Times New Roman"/>
          <w:noProof/>
          <w:lang w:val="sk-SK"/>
        </w:rPr>
        <w:t>iné materiálové zhodnocovanie vrátane spätného zasypávania</w:t>
      </w:r>
      <w:r w:rsidR="00083739" w:rsidRPr="00083739">
        <w:rPr>
          <w:rFonts w:cs="Times New Roman"/>
          <w:noProof/>
          <w:lang w:val="sk-SK"/>
        </w:rPr>
        <w:t xml:space="preserve"> s </w:t>
      </w:r>
      <w:r w:rsidRPr="00083739">
        <w:rPr>
          <w:rFonts w:cs="Times New Roman"/>
          <w:noProof/>
          <w:lang w:val="sk-SK"/>
        </w:rPr>
        <w:t xml:space="preserve">použitím odpadu ako náhrady </w:t>
      </w:r>
      <w:r w:rsidRPr="00083739">
        <w:rPr>
          <w:rFonts w:cs="Times New Roman"/>
          <w:noProof/>
          <w:lang w:val="sk-SK"/>
        </w:rPr>
        <w:t>iných materiálov,</w:t>
      </w:r>
      <w:r w:rsidR="00083739" w:rsidRPr="00083739">
        <w:rPr>
          <w:rFonts w:cs="Times New Roman"/>
          <w:noProof/>
          <w:lang w:val="sk-SK"/>
        </w:rPr>
        <w:t xml:space="preserve"> a </w:t>
      </w:r>
      <w:r w:rsidRPr="00083739">
        <w:rPr>
          <w:rFonts w:cs="Times New Roman"/>
          <w:noProof/>
          <w:lang w:val="sk-SK"/>
        </w:rPr>
        <w:t>to</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hierarchiou odpadového hospodárstva</w:t>
      </w:r>
      <w:r w:rsidR="00083739" w:rsidRPr="00083739">
        <w:rPr>
          <w:rFonts w:cs="Times New Roman"/>
          <w:noProof/>
          <w:lang w:val="sk-SK"/>
        </w:rPr>
        <w:t xml:space="preserve"> a </w:t>
      </w:r>
      <w:r w:rsidRPr="00083739">
        <w:rPr>
          <w:rFonts w:cs="Times New Roman"/>
          <w:noProof/>
          <w:lang w:val="sk-SK"/>
        </w:rPr>
        <w:t>protokolom EÚ</w:t>
      </w:r>
      <w:r w:rsidR="00083739" w:rsidRPr="00083739">
        <w:rPr>
          <w:rFonts w:cs="Times New Roman"/>
          <w:noProof/>
          <w:lang w:val="sk-SK"/>
        </w:rPr>
        <w:t xml:space="preserve"> o </w:t>
      </w:r>
      <w:r w:rsidRPr="00083739">
        <w:rPr>
          <w:rFonts w:cs="Times New Roman"/>
          <w:noProof/>
          <w:lang w:val="sk-SK"/>
        </w:rPr>
        <w:t>nakladaní so stavebným odpadom</w:t>
      </w:r>
      <w:r w:rsidR="00083739" w:rsidRPr="00083739">
        <w:rPr>
          <w:rFonts w:cs="Times New Roman"/>
          <w:noProof/>
          <w:lang w:val="sk-SK"/>
        </w:rPr>
        <w:t xml:space="preserve"> a </w:t>
      </w:r>
      <w:r w:rsidRPr="00083739">
        <w:rPr>
          <w:rFonts w:cs="Times New Roman"/>
          <w:noProof/>
          <w:lang w:val="sk-SK"/>
        </w:rPr>
        <w:t>odpadom</w:t>
      </w:r>
      <w:r w:rsidR="00083739" w:rsidRPr="00083739">
        <w:rPr>
          <w:rFonts w:cs="Times New Roman"/>
          <w:noProof/>
          <w:lang w:val="sk-SK"/>
        </w:rPr>
        <w:t xml:space="preserve"> z </w:t>
      </w:r>
      <w:r w:rsidRPr="00083739">
        <w:rPr>
          <w:rFonts w:cs="Times New Roman"/>
          <w:noProof/>
          <w:lang w:val="sk-SK"/>
        </w:rPr>
        <w:t>demolácie. Realizácia investície sa ukončí do 31</w:t>
      </w:r>
      <w:r w:rsidR="00083739" w:rsidRPr="00083739">
        <w:rPr>
          <w:rFonts w:cs="Times New Roman"/>
          <w:noProof/>
          <w:lang w:val="sk-SK"/>
        </w:rPr>
        <w:t>. decembra</w:t>
      </w:r>
      <w:r w:rsidRPr="00083739">
        <w:rPr>
          <w:rFonts w:cs="Times New Roman"/>
          <w:noProof/>
          <w:lang w:val="sk-SK"/>
        </w:rPr>
        <w:t xml:space="preserve"> 2025.</w:t>
      </w:r>
    </w:p>
    <w:p w14:paraId="5C6804A2" w14:textId="5E3C07EC"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Intervencie</w:t>
      </w:r>
      <w:r w:rsidR="00083739" w:rsidRPr="00083739">
        <w:rPr>
          <w:rFonts w:cs="Times New Roman"/>
          <w:noProof/>
          <w:lang w:val="sk-SK"/>
        </w:rPr>
        <w:t xml:space="preserve"> v </w:t>
      </w:r>
      <w:r w:rsidRPr="00083739">
        <w:rPr>
          <w:rFonts w:cs="Times New Roman"/>
          <w:noProof/>
          <w:lang w:val="sk-SK"/>
        </w:rPr>
        <w:t>obytných oblastiach</w:t>
      </w:r>
      <w:r w:rsidR="00083739" w:rsidRPr="00083739">
        <w:rPr>
          <w:rFonts w:cs="Times New Roman"/>
          <w:noProof/>
          <w:lang w:val="sk-SK"/>
        </w:rPr>
        <w:t xml:space="preserve"> a </w:t>
      </w:r>
      <w:r w:rsidRPr="00083739">
        <w:rPr>
          <w:rFonts w:cs="Times New Roman"/>
          <w:noProof/>
          <w:lang w:val="sk-SK"/>
        </w:rPr>
        <w:t xml:space="preserve">vo fonde </w:t>
      </w:r>
      <w:r w:rsidRPr="00083739">
        <w:rPr>
          <w:rFonts w:cs="Times New Roman"/>
          <w:noProof/>
          <w:lang w:val="sk-SK"/>
        </w:rPr>
        <w:t>budov (ID opatrenia: 16873)</w:t>
      </w:r>
    </w:p>
    <w:p w14:paraId="029DB7BB" w14:textId="26160840"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Táto investícia zahŕňa: 1. intervencie</w:t>
      </w:r>
      <w:r w:rsidR="00083739" w:rsidRPr="00083739">
        <w:rPr>
          <w:rFonts w:cs="Times New Roman"/>
          <w:noProof/>
          <w:lang w:val="sk-SK"/>
        </w:rPr>
        <w:t xml:space="preserve"> v </w:t>
      </w:r>
      <w:r w:rsidRPr="00083739">
        <w:rPr>
          <w:rFonts w:cs="Times New Roman"/>
          <w:noProof/>
          <w:lang w:val="sk-SK"/>
        </w:rPr>
        <w:t>oblasti adaptácie na zmenu klímy</w:t>
      </w:r>
      <w:r w:rsidR="00083739" w:rsidRPr="00083739">
        <w:rPr>
          <w:rFonts w:cs="Times New Roman"/>
          <w:noProof/>
          <w:lang w:val="sk-SK"/>
        </w:rPr>
        <w:t xml:space="preserve"> a </w:t>
      </w:r>
      <w:r w:rsidRPr="00083739">
        <w:rPr>
          <w:rFonts w:cs="Times New Roman"/>
          <w:noProof/>
          <w:lang w:val="sk-SK"/>
        </w:rPr>
        <w:t>zmierňovania zmeny klímy</w:t>
      </w:r>
      <w:r w:rsidR="00083739" w:rsidRPr="00083739">
        <w:rPr>
          <w:rFonts w:cs="Times New Roman"/>
          <w:noProof/>
          <w:lang w:val="sk-SK"/>
        </w:rPr>
        <w:t xml:space="preserve"> v </w:t>
      </w:r>
      <w:r w:rsidRPr="00083739">
        <w:rPr>
          <w:rFonts w:cs="Times New Roman"/>
          <w:noProof/>
          <w:lang w:val="sk-SK"/>
        </w:rPr>
        <w:t>19 mestských</w:t>
      </w:r>
      <w:r w:rsidR="00083739" w:rsidRPr="00083739">
        <w:rPr>
          <w:rFonts w:cs="Times New Roman"/>
          <w:noProof/>
          <w:lang w:val="sk-SK"/>
        </w:rPr>
        <w:t xml:space="preserve"> a </w:t>
      </w:r>
      <w:r w:rsidRPr="00083739">
        <w:rPr>
          <w:rFonts w:cs="Times New Roman"/>
          <w:noProof/>
          <w:lang w:val="sk-SK"/>
        </w:rPr>
        <w:t>pobrežných oblastiach, ako je ochrana významných mestských medzníkov</w:t>
      </w:r>
      <w:r w:rsidR="00083739" w:rsidRPr="00083739">
        <w:rPr>
          <w:rFonts w:cs="Times New Roman"/>
          <w:noProof/>
          <w:lang w:val="sk-SK"/>
        </w:rPr>
        <w:t xml:space="preserve"> a </w:t>
      </w:r>
      <w:r w:rsidRPr="00083739">
        <w:rPr>
          <w:rFonts w:cs="Times New Roman"/>
          <w:noProof/>
          <w:lang w:val="sk-SK"/>
        </w:rPr>
        <w:t xml:space="preserve">podpora klimatickej neutrality miest; </w:t>
      </w:r>
      <w:r w:rsidRPr="00083739">
        <w:rPr>
          <w:rFonts w:cs="Times New Roman"/>
          <w:noProof/>
          <w:lang w:val="sk-SK"/>
        </w:rPr>
        <w:br w:type="page"/>
      </w:r>
    </w:p>
    <w:p w14:paraId="1D86A9E6" w14:textId="517095C7"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2. regenerácia bývalej priemyselnej oblasti Votanikos/Elaionas</w:t>
      </w:r>
      <w:r w:rsidR="00083739" w:rsidRPr="00083739">
        <w:rPr>
          <w:rFonts w:cs="Times New Roman"/>
          <w:noProof/>
          <w:lang w:val="sk-SK"/>
        </w:rPr>
        <w:t xml:space="preserve"> v </w:t>
      </w:r>
      <w:r w:rsidRPr="00083739">
        <w:rPr>
          <w:rFonts w:cs="Times New Roman"/>
          <w:noProof/>
          <w:lang w:val="sk-SK"/>
        </w:rPr>
        <w:t>srdci Atén; 3. modernizácia morského dna tak, aby bol prístupný pre cyklistov</w:t>
      </w:r>
      <w:r w:rsidR="00083739" w:rsidRPr="00083739">
        <w:rPr>
          <w:rFonts w:cs="Times New Roman"/>
          <w:noProof/>
          <w:lang w:val="sk-SK"/>
        </w:rPr>
        <w:t xml:space="preserve"> a </w:t>
      </w:r>
      <w:r w:rsidRPr="00083739">
        <w:rPr>
          <w:rFonts w:cs="Times New Roman"/>
          <w:noProof/>
          <w:lang w:val="sk-SK"/>
        </w:rPr>
        <w:t>chodcov pozdĺž pobrežia Atén (Athens Riviera –</w:t>
      </w:r>
      <w:r w:rsidR="00083739" w:rsidRPr="00083739">
        <w:rPr>
          <w:rFonts w:cs="Times New Roman"/>
          <w:noProof/>
          <w:lang w:val="sk-SK"/>
        </w:rPr>
        <w:t xml:space="preserve"> z </w:t>
      </w:r>
      <w:r w:rsidRPr="00083739">
        <w:rPr>
          <w:rFonts w:cs="Times New Roman"/>
          <w:noProof/>
          <w:lang w:val="sk-SK"/>
        </w:rPr>
        <w:t>Kallithey na Vari – Voula – Vouliagmeni);</w:t>
      </w:r>
      <w:r w:rsidR="00083739" w:rsidRPr="00083739">
        <w:rPr>
          <w:rFonts w:cs="Times New Roman"/>
          <w:noProof/>
          <w:lang w:val="sk-SK"/>
        </w:rPr>
        <w:t xml:space="preserve"> a </w:t>
      </w:r>
      <w:r w:rsidRPr="00083739">
        <w:rPr>
          <w:rFonts w:cs="Times New Roman"/>
          <w:noProof/>
          <w:lang w:val="sk-SK"/>
        </w:rPr>
        <w:t>4) Iné strategick</w:t>
      </w:r>
      <w:r w:rsidRPr="00083739">
        <w:rPr>
          <w:rFonts w:cs="Times New Roman"/>
          <w:noProof/>
          <w:lang w:val="sk-SK"/>
        </w:rPr>
        <w:t>é intervencie vybrané prostredníctvom otvorenej výzvy pre obce, ktoré podporujú adaptáciu na zmenu klímy</w:t>
      </w:r>
      <w:r w:rsidR="00083739" w:rsidRPr="00083739">
        <w:rPr>
          <w:rFonts w:cs="Times New Roman"/>
          <w:noProof/>
          <w:lang w:val="sk-SK"/>
        </w:rPr>
        <w:t xml:space="preserve"> a </w:t>
      </w:r>
      <w:r w:rsidRPr="00083739">
        <w:rPr>
          <w:rFonts w:cs="Times New Roman"/>
          <w:noProof/>
          <w:lang w:val="sk-SK"/>
        </w:rPr>
        <w:t>prispievajú</w:t>
      </w:r>
      <w:r w:rsidR="00083739" w:rsidRPr="00083739">
        <w:rPr>
          <w:rFonts w:cs="Times New Roman"/>
          <w:noProof/>
          <w:lang w:val="sk-SK"/>
        </w:rPr>
        <w:t xml:space="preserve"> k </w:t>
      </w:r>
      <w:r w:rsidRPr="00083739">
        <w:rPr>
          <w:rFonts w:cs="Times New Roman"/>
          <w:noProof/>
          <w:lang w:val="sk-SK"/>
        </w:rPr>
        <w:t>úsporám primárnej energie</w:t>
      </w:r>
      <w:r w:rsidR="00083739" w:rsidRPr="00083739">
        <w:rPr>
          <w:rFonts w:cs="Times New Roman"/>
          <w:noProof/>
          <w:lang w:val="sk-SK"/>
        </w:rPr>
        <w:t xml:space="preserve"> a </w:t>
      </w:r>
      <w:r w:rsidRPr="00083739">
        <w:rPr>
          <w:rFonts w:cs="Times New Roman"/>
          <w:noProof/>
          <w:lang w:val="sk-SK"/>
        </w:rPr>
        <w:t>znižovaniu emisií CO2. Očakáva sa, že toto opatrenie výrazne nenaruší environmentálne ciele</w:t>
      </w:r>
      <w:r w:rsidR="00083739" w:rsidRPr="00083739">
        <w:rPr>
          <w:rFonts w:cs="Times New Roman"/>
          <w:noProof/>
          <w:lang w:val="sk-SK"/>
        </w:rPr>
        <w:t xml:space="preserve"> v </w:t>
      </w:r>
      <w:r w:rsidRPr="00083739">
        <w:rPr>
          <w:rFonts w:cs="Times New Roman"/>
          <w:noProof/>
          <w:lang w:val="sk-SK"/>
        </w:rPr>
        <w:t>zmysle článku</w:t>
      </w:r>
      <w:r w:rsidRPr="00083739">
        <w:rPr>
          <w:rFonts w:cs="Times New Roman"/>
          <w:noProof/>
          <w:lang w:val="sk-SK"/>
        </w:rPr>
        <w:t xml:space="preserve"> 17 nariadenia (EÚ) 2020/852, pričom sa zohľadní opis opatrenia</w:t>
      </w:r>
      <w:r w:rsidR="00083739" w:rsidRPr="00083739">
        <w:rPr>
          <w:rFonts w:cs="Times New Roman"/>
          <w:noProof/>
          <w:lang w:val="sk-SK"/>
        </w:rPr>
        <w:t xml:space="preserve"> a </w:t>
      </w:r>
      <w:r w:rsidRPr="00083739">
        <w:rPr>
          <w:rFonts w:cs="Times New Roman"/>
          <w:noProof/>
          <w:lang w:val="sk-SK"/>
        </w:rPr>
        <w:t>zmierňujúce kroky stanovené</w:t>
      </w:r>
      <w:r w:rsidR="00083739" w:rsidRPr="00083739">
        <w:rPr>
          <w:rFonts w:cs="Times New Roman"/>
          <w:noProof/>
          <w:lang w:val="sk-SK"/>
        </w:rPr>
        <w:t xml:space="preserve"> v </w:t>
      </w:r>
      <w:r w:rsidRPr="00083739">
        <w:rPr>
          <w:rFonts w:cs="Times New Roman"/>
          <w:noProof/>
          <w:lang w:val="sk-SK"/>
        </w:rPr>
        <w:t>pláne podpory obnovy</w:t>
      </w:r>
      <w:r w:rsidR="00083739" w:rsidRPr="00083739">
        <w:rPr>
          <w:rFonts w:cs="Times New Roman"/>
          <w:noProof/>
          <w:lang w:val="sk-SK"/>
        </w:rPr>
        <w:t xml:space="preserve"> a </w:t>
      </w:r>
      <w:r w:rsidRPr="00083739">
        <w:rPr>
          <w:rFonts w:cs="Times New Roman"/>
          <w:noProof/>
          <w:lang w:val="sk-SK"/>
        </w:rPr>
        <w:t>odolnosti</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technickým usmernením „výrazne nenarušiť“ (2021/C58/01). Konkrétne sa</w:t>
      </w:r>
      <w:r w:rsidR="00083739" w:rsidRPr="00083739">
        <w:rPr>
          <w:rFonts w:cs="Times New Roman"/>
          <w:noProof/>
          <w:lang w:val="sk-SK"/>
        </w:rPr>
        <w:t xml:space="preserve"> v </w:t>
      </w:r>
      <w:r w:rsidRPr="00083739">
        <w:rPr>
          <w:rFonts w:cs="Times New Roman"/>
          <w:noProof/>
          <w:lang w:val="sk-SK"/>
        </w:rPr>
        <w:t>tomto opatrení vyžaduje, aby hospodárske sub</w:t>
      </w:r>
      <w:r w:rsidRPr="00083739">
        <w:rPr>
          <w:rFonts w:cs="Times New Roman"/>
          <w:noProof/>
          <w:lang w:val="sk-SK"/>
        </w:rPr>
        <w:t>jekty vykonávajúce stavebné práce zabezpečili, že najmenej 70</w:t>
      </w:r>
      <w:r w:rsidR="00083739" w:rsidRPr="00083739">
        <w:rPr>
          <w:rFonts w:cs="Times New Roman"/>
          <w:noProof/>
          <w:lang w:val="sk-SK"/>
        </w:rPr>
        <w:t> %</w:t>
      </w:r>
      <w:r w:rsidRPr="00083739">
        <w:rPr>
          <w:rFonts w:cs="Times New Roman"/>
          <w:noProof/>
          <w:lang w:val="sk-SK"/>
        </w:rPr>
        <w:t xml:space="preserve"> (hmotnosti) stavebného</w:t>
      </w:r>
      <w:r w:rsidR="00083739" w:rsidRPr="00083739">
        <w:rPr>
          <w:rFonts w:cs="Times New Roman"/>
          <w:noProof/>
          <w:lang w:val="sk-SK"/>
        </w:rPr>
        <w:t xml:space="preserve"> a </w:t>
      </w:r>
      <w:r w:rsidRPr="00083739">
        <w:rPr>
          <w:rFonts w:cs="Times New Roman"/>
          <w:noProof/>
          <w:lang w:val="sk-SK"/>
        </w:rPr>
        <w:t>demolačného odpadu, ktorý nie je nebezpečný [okrem prirodzene sa vyskytujúceho materiálu uvedeného</w:t>
      </w:r>
      <w:r w:rsidR="00083739" w:rsidRPr="00083739">
        <w:rPr>
          <w:rFonts w:cs="Times New Roman"/>
          <w:noProof/>
          <w:lang w:val="sk-SK"/>
        </w:rPr>
        <w:t xml:space="preserve"> v </w:t>
      </w:r>
      <w:r w:rsidRPr="00083739">
        <w:rPr>
          <w:rFonts w:cs="Times New Roman"/>
          <w:noProof/>
          <w:lang w:val="sk-SK"/>
        </w:rPr>
        <w:t>kategórii 17 05 04</w:t>
      </w:r>
      <w:r w:rsidR="00083739" w:rsidRPr="00083739">
        <w:rPr>
          <w:rFonts w:cs="Times New Roman"/>
          <w:noProof/>
          <w:lang w:val="sk-SK"/>
        </w:rPr>
        <w:t xml:space="preserve"> v </w:t>
      </w:r>
      <w:r w:rsidRPr="00083739">
        <w:rPr>
          <w:rFonts w:cs="Times New Roman"/>
          <w:noProof/>
          <w:lang w:val="sk-SK"/>
        </w:rPr>
        <w:t>európskom zozname odpadov vytvorenom rozhodnu</w:t>
      </w:r>
      <w:r w:rsidRPr="00083739">
        <w:rPr>
          <w:rFonts w:cs="Times New Roman"/>
          <w:noProof/>
          <w:lang w:val="sk-SK"/>
        </w:rPr>
        <w:t>tím 2000/532/ES</w:t>
      </w:r>
      <w:r w:rsidR="00083739" w:rsidRPr="00083739">
        <w:rPr>
          <w:rFonts w:cs="Times New Roman"/>
          <w:noProof/>
          <w:lang w:val="sk-SK"/>
        </w:rPr>
        <w:t xml:space="preserve"> z </w:t>
      </w:r>
      <w:r w:rsidRPr="00083739">
        <w:rPr>
          <w:rFonts w:cs="Times New Roman"/>
          <w:noProof/>
          <w:lang w:val="sk-SK"/>
        </w:rPr>
        <w:t>3</w:t>
      </w:r>
      <w:r w:rsidR="00083739" w:rsidRPr="00083739">
        <w:rPr>
          <w:rFonts w:cs="Times New Roman"/>
          <w:noProof/>
          <w:lang w:val="sk-SK"/>
        </w:rPr>
        <w:t>. mája</w:t>
      </w:r>
      <w:r w:rsidRPr="00083739">
        <w:rPr>
          <w:rFonts w:cs="Times New Roman"/>
          <w:noProof/>
          <w:lang w:val="sk-SK"/>
        </w:rPr>
        <w:t xml:space="preserve"> 2000, ktorým sa nahrádza rozhodnutie 94/3/ES, ktorým sa zavádza zoznam odpadov podľa článku 1 písm. a) smernice Rady 75/442/EHS</w:t>
      </w:r>
      <w:r w:rsidR="00083739" w:rsidRPr="00083739">
        <w:rPr>
          <w:rFonts w:cs="Times New Roman"/>
          <w:noProof/>
          <w:lang w:val="sk-SK"/>
        </w:rPr>
        <w:t xml:space="preserve"> o </w:t>
      </w:r>
      <w:r w:rsidRPr="00083739">
        <w:rPr>
          <w:rFonts w:cs="Times New Roman"/>
          <w:noProof/>
          <w:lang w:val="sk-SK"/>
        </w:rPr>
        <w:t>odpade</w:t>
      </w:r>
      <w:r w:rsidR="00083739" w:rsidRPr="00083739">
        <w:rPr>
          <w:rFonts w:cs="Times New Roman"/>
          <w:noProof/>
          <w:lang w:val="sk-SK"/>
        </w:rPr>
        <w:t xml:space="preserve"> a </w:t>
      </w:r>
      <w:r w:rsidRPr="00083739">
        <w:rPr>
          <w:rFonts w:cs="Times New Roman"/>
          <w:noProof/>
          <w:lang w:val="sk-SK"/>
        </w:rPr>
        <w:t>rozhodnutia Rady 94/904/ES, ktorým sa vydáva zoznam nebezpečných odpadov podľa článku 1 ods</w:t>
      </w:r>
      <w:r w:rsidRPr="00083739">
        <w:rPr>
          <w:rFonts w:cs="Times New Roman"/>
          <w:noProof/>
          <w:lang w:val="sk-SK"/>
        </w:rPr>
        <w:t>. 4 smernice Rady 91/689/EHS</w:t>
      </w:r>
      <w:r w:rsidR="00083739" w:rsidRPr="00083739">
        <w:rPr>
          <w:rFonts w:cs="Times New Roman"/>
          <w:noProof/>
          <w:lang w:val="sk-SK"/>
        </w:rPr>
        <w:t xml:space="preserve"> o </w:t>
      </w:r>
      <w:r w:rsidRPr="00083739">
        <w:rPr>
          <w:rFonts w:cs="Times New Roman"/>
          <w:noProof/>
          <w:lang w:val="sk-SK"/>
        </w:rPr>
        <w:t>nebezpečných odpadoch [oznámeným pod číslom C(2000) 1147], vytvoreného na stavenisku sa pripraví na opätovné použitie, recykláciu</w:t>
      </w:r>
      <w:r w:rsidR="00083739" w:rsidRPr="00083739">
        <w:rPr>
          <w:rFonts w:cs="Times New Roman"/>
          <w:noProof/>
          <w:lang w:val="sk-SK"/>
        </w:rPr>
        <w:t xml:space="preserve"> a </w:t>
      </w:r>
      <w:r w:rsidRPr="00083739">
        <w:rPr>
          <w:rFonts w:cs="Times New Roman"/>
          <w:noProof/>
          <w:lang w:val="sk-SK"/>
        </w:rPr>
        <w:t>iné materiálové zhodnocovanie vrátane spätného zasypávania</w:t>
      </w:r>
      <w:r w:rsidR="00083739" w:rsidRPr="00083739">
        <w:rPr>
          <w:rFonts w:cs="Times New Roman"/>
          <w:noProof/>
          <w:lang w:val="sk-SK"/>
        </w:rPr>
        <w:t xml:space="preserve"> s </w:t>
      </w:r>
      <w:r w:rsidRPr="00083739">
        <w:rPr>
          <w:rFonts w:cs="Times New Roman"/>
          <w:noProof/>
          <w:lang w:val="sk-SK"/>
        </w:rPr>
        <w:t>použitím odpadu ako náhrady inýc</w:t>
      </w:r>
      <w:r w:rsidRPr="00083739">
        <w:rPr>
          <w:rFonts w:cs="Times New Roman"/>
          <w:noProof/>
          <w:lang w:val="sk-SK"/>
        </w:rPr>
        <w:t>h materiálov,</w:t>
      </w:r>
      <w:r w:rsidR="00083739" w:rsidRPr="00083739">
        <w:rPr>
          <w:rFonts w:cs="Times New Roman"/>
          <w:noProof/>
          <w:lang w:val="sk-SK"/>
        </w:rPr>
        <w:t xml:space="preserve"> a </w:t>
      </w:r>
      <w:r w:rsidRPr="00083739">
        <w:rPr>
          <w:rFonts w:cs="Times New Roman"/>
          <w:noProof/>
          <w:lang w:val="sk-SK"/>
        </w:rPr>
        <w:t>to</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hierarchiou odpadového hospodárstva</w:t>
      </w:r>
      <w:r w:rsidR="00083739" w:rsidRPr="00083739">
        <w:rPr>
          <w:rFonts w:cs="Times New Roman"/>
          <w:noProof/>
          <w:lang w:val="sk-SK"/>
        </w:rPr>
        <w:t xml:space="preserve"> a </w:t>
      </w:r>
      <w:r w:rsidRPr="00083739">
        <w:rPr>
          <w:rFonts w:cs="Times New Roman"/>
          <w:noProof/>
          <w:lang w:val="sk-SK"/>
        </w:rPr>
        <w:t>protokolom EÚ</w:t>
      </w:r>
      <w:r w:rsidR="00083739" w:rsidRPr="00083739">
        <w:rPr>
          <w:rFonts w:cs="Times New Roman"/>
          <w:noProof/>
          <w:lang w:val="sk-SK"/>
        </w:rPr>
        <w:t xml:space="preserve"> o </w:t>
      </w:r>
      <w:r w:rsidRPr="00083739">
        <w:rPr>
          <w:rFonts w:cs="Times New Roman"/>
          <w:noProof/>
          <w:lang w:val="sk-SK"/>
        </w:rPr>
        <w:t>nakladaní so stavebným odpadom</w:t>
      </w:r>
      <w:r w:rsidR="00083739" w:rsidRPr="00083739">
        <w:rPr>
          <w:rFonts w:cs="Times New Roman"/>
          <w:noProof/>
          <w:lang w:val="sk-SK"/>
        </w:rPr>
        <w:t xml:space="preserve"> a </w:t>
      </w:r>
      <w:r w:rsidRPr="00083739">
        <w:rPr>
          <w:rFonts w:cs="Times New Roman"/>
          <w:noProof/>
          <w:lang w:val="sk-SK"/>
        </w:rPr>
        <w:t>odpadom</w:t>
      </w:r>
      <w:r w:rsidR="00083739" w:rsidRPr="00083739">
        <w:rPr>
          <w:rFonts w:cs="Times New Roman"/>
          <w:noProof/>
          <w:lang w:val="sk-SK"/>
        </w:rPr>
        <w:t xml:space="preserve"> z </w:t>
      </w:r>
      <w:r w:rsidRPr="00083739">
        <w:rPr>
          <w:rFonts w:cs="Times New Roman"/>
          <w:noProof/>
          <w:lang w:val="sk-SK"/>
        </w:rPr>
        <w:t>demolácie. Realizácia investície sa ukončí do 31</w:t>
      </w:r>
      <w:r w:rsidR="00083739" w:rsidRPr="00083739">
        <w:rPr>
          <w:rFonts w:cs="Times New Roman"/>
          <w:noProof/>
          <w:lang w:val="sk-SK"/>
        </w:rPr>
        <w:t>. decembra</w:t>
      </w:r>
      <w:r w:rsidRPr="00083739">
        <w:rPr>
          <w:rFonts w:cs="Times New Roman"/>
          <w:noProof/>
          <w:lang w:val="sk-SK"/>
        </w:rPr>
        <w:t xml:space="preserve"> 2025.</w:t>
      </w:r>
    </w:p>
    <w:p w14:paraId="5230975F" w14:textId="2518B26C" w:rsidR="002D49B0" w:rsidRPr="00083739" w:rsidRDefault="00BF4125">
      <w:pPr>
        <w:pStyle w:val="P68B1DB1-Normal5"/>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Energetika</w:t>
      </w:r>
      <w:r w:rsidR="00083739" w:rsidRPr="00083739">
        <w:rPr>
          <w:rFonts w:cs="Times New Roman"/>
          <w:noProof/>
          <w:lang w:val="sk-SK"/>
        </w:rPr>
        <w:t xml:space="preserve"> a </w:t>
      </w:r>
      <w:r w:rsidRPr="00083739">
        <w:rPr>
          <w:rFonts w:cs="Times New Roman"/>
          <w:noProof/>
          <w:lang w:val="sk-SK"/>
        </w:rPr>
        <w:t>podnikanie (ID opatrenia: 16874)</w:t>
      </w:r>
    </w:p>
    <w:p w14:paraId="43A5FEDB" w14:textId="4808B6F4" w:rsidR="00083739"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Investícia poskytuje finančnú podporu súkromným spoločnostiam na energeticky efektívnu obnovu ich budov</w:t>
      </w:r>
      <w:r w:rsidR="00083739" w:rsidRPr="00083739">
        <w:rPr>
          <w:rFonts w:cs="Times New Roman"/>
          <w:noProof/>
          <w:lang w:val="sk-SK"/>
        </w:rPr>
        <w:t xml:space="preserve"> a </w:t>
      </w:r>
      <w:r w:rsidRPr="00083739">
        <w:rPr>
          <w:rFonts w:cs="Times New Roman"/>
          <w:noProof/>
          <w:lang w:val="sk-SK"/>
        </w:rPr>
        <w:t>procesov. Zahŕňa dva podprogramy: a) obnova zameraná na energetickú efektívnosť pre veľmi malé, malé, stredné</w:t>
      </w:r>
      <w:r w:rsidR="00083739" w:rsidRPr="00083739">
        <w:rPr>
          <w:rFonts w:cs="Times New Roman"/>
          <w:noProof/>
          <w:lang w:val="sk-SK"/>
        </w:rPr>
        <w:t xml:space="preserve"> a </w:t>
      </w:r>
      <w:r w:rsidRPr="00083739">
        <w:rPr>
          <w:rFonts w:cs="Times New Roman"/>
          <w:noProof/>
          <w:lang w:val="sk-SK"/>
        </w:rPr>
        <w:t>veľké podniky</w:t>
      </w:r>
      <w:r w:rsidR="00083739" w:rsidRPr="00083739">
        <w:rPr>
          <w:rFonts w:cs="Times New Roman"/>
          <w:noProof/>
          <w:lang w:val="sk-SK"/>
        </w:rPr>
        <w:t xml:space="preserve"> a </w:t>
      </w:r>
      <w:r w:rsidRPr="00083739">
        <w:rPr>
          <w:rFonts w:cs="Times New Roman"/>
          <w:noProof/>
          <w:lang w:val="sk-SK"/>
        </w:rPr>
        <w:t>b) inštalácia energeti</w:t>
      </w:r>
      <w:r w:rsidRPr="00083739">
        <w:rPr>
          <w:rFonts w:cs="Times New Roman"/>
          <w:noProof/>
          <w:lang w:val="sk-SK"/>
        </w:rPr>
        <w:t>cky účinných zariadení vo veľmi malých, malých, stredných</w:t>
      </w:r>
      <w:r w:rsidR="00083739" w:rsidRPr="00083739">
        <w:rPr>
          <w:rFonts w:cs="Times New Roman"/>
          <w:noProof/>
          <w:lang w:val="sk-SK"/>
        </w:rPr>
        <w:t xml:space="preserve"> a </w:t>
      </w:r>
      <w:r w:rsidRPr="00083739">
        <w:rPr>
          <w:rFonts w:cs="Times New Roman"/>
          <w:noProof/>
          <w:lang w:val="sk-SK"/>
        </w:rPr>
        <w:t>veľkých podnikoch. Vďaka inštalácii energeticky účinných zariadení</w:t>
      </w:r>
      <w:r w:rsidR="00083739" w:rsidRPr="00083739">
        <w:rPr>
          <w:rFonts w:cs="Times New Roman"/>
          <w:noProof/>
          <w:lang w:val="sk-SK"/>
        </w:rPr>
        <w:t xml:space="preserve"> a </w:t>
      </w:r>
      <w:r w:rsidRPr="00083739">
        <w:rPr>
          <w:rFonts w:cs="Times New Roman"/>
          <w:noProof/>
          <w:lang w:val="sk-SK"/>
        </w:rPr>
        <w:t>systémov na úsporu energie vo výrobe, skladovaní, distribúcii výrobkov</w:t>
      </w:r>
      <w:r w:rsidR="00083739" w:rsidRPr="00083739">
        <w:rPr>
          <w:rFonts w:cs="Times New Roman"/>
          <w:noProof/>
          <w:lang w:val="sk-SK"/>
        </w:rPr>
        <w:t xml:space="preserve"> a </w:t>
      </w:r>
      <w:r w:rsidRPr="00083739">
        <w:rPr>
          <w:rFonts w:cs="Times New Roman"/>
          <w:noProof/>
          <w:lang w:val="sk-SK"/>
        </w:rPr>
        <w:t>prevádzke spoločností toto opatrenie prispieva</w:t>
      </w:r>
      <w:r w:rsidR="00083739" w:rsidRPr="00083739">
        <w:rPr>
          <w:rFonts w:cs="Times New Roman"/>
          <w:noProof/>
          <w:lang w:val="sk-SK"/>
        </w:rPr>
        <w:t xml:space="preserve"> k </w:t>
      </w:r>
      <w:r w:rsidRPr="00083739">
        <w:rPr>
          <w:rFonts w:cs="Times New Roman"/>
          <w:noProof/>
          <w:lang w:val="sk-SK"/>
        </w:rPr>
        <w:t>zvýše</w:t>
      </w:r>
      <w:r w:rsidRPr="00083739">
        <w:rPr>
          <w:rFonts w:cs="Times New Roman"/>
          <w:noProof/>
          <w:lang w:val="sk-SK"/>
        </w:rPr>
        <w:t>niu energetickej efektívnosti budov, procesov a/alebo jednotlivých zariadení</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cieľmi stanovenými</w:t>
      </w:r>
      <w:r w:rsidR="00083739" w:rsidRPr="00083739">
        <w:rPr>
          <w:rFonts w:cs="Times New Roman"/>
          <w:noProof/>
          <w:lang w:val="sk-SK"/>
        </w:rPr>
        <w:t xml:space="preserve"> v </w:t>
      </w:r>
      <w:r w:rsidRPr="00083739">
        <w:rPr>
          <w:rFonts w:cs="Times New Roman"/>
          <w:noProof/>
          <w:lang w:val="sk-SK"/>
        </w:rPr>
        <w:t>NEKP</w:t>
      </w:r>
      <w:r w:rsidR="00083739" w:rsidRPr="00083739">
        <w:rPr>
          <w:rFonts w:cs="Times New Roman"/>
          <w:noProof/>
          <w:lang w:val="sk-SK"/>
        </w:rPr>
        <w:t xml:space="preserve"> a k </w:t>
      </w:r>
      <w:r w:rsidRPr="00083739">
        <w:rPr>
          <w:rFonts w:cs="Times New Roman"/>
          <w:noProof/>
          <w:lang w:val="sk-SK"/>
        </w:rPr>
        <w:t>zníženiu emisií skleníkových plynov</w:t>
      </w:r>
      <w:r w:rsidR="00083739" w:rsidRPr="00083739">
        <w:rPr>
          <w:rFonts w:cs="Times New Roman"/>
          <w:noProof/>
          <w:lang w:val="sk-SK"/>
        </w:rPr>
        <w:t>.</w:t>
      </w:r>
    </w:p>
    <w:p w14:paraId="1AF694DF" w14:textId="054665AD"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S cieľom zabezpečiť, aby opatrenie bolo</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technickými usmerneniami</w:t>
      </w:r>
      <w:r w:rsidR="00083739" w:rsidRPr="00083739">
        <w:rPr>
          <w:rFonts w:cs="Times New Roman"/>
          <w:noProof/>
          <w:lang w:val="sk-SK"/>
        </w:rPr>
        <w:t xml:space="preserve"> k </w:t>
      </w:r>
      <w:r w:rsidRPr="00083739">
        <w:rPr>
          <w:rFonts w:cs="Times New Roman"/>
          <w:noProof/>
          <w:lang w:val="sk-SK"/>
        </w:rPr>
        <w:t>zásade „výrazne nenaruš</w:t>
      </w:r>
      <w:r w:rsidRPr="00083739">
        <w:rPr>
          <w:rFonts w:cs="Times New Roman"/>
          <w:noProof/>
          <w:lang w:val="sk-SK"/>
        </w:rPr>
        <w:t>iť“ (2021/C58/01), kritériá oprávnenosti uvedené</w:t>
      </w:r>
      <w:r w:rsidR="00083739" w:rsidRPr="00083739">
        <w:rPr>
          <w:rFonts w:cs="Times New Roman"/>
          <w:noProof/>
          <w:lang w:val="sk-SK"/>
        </w:rPr>
        <w:t xml:space="preserve"> v </w:t>
      </w:r>
      <w:r w:rsidRPr="00083739">
        <w:rPr>
          <w:rFonts w:cs="Times New Roman"/>
          <w:noProof/>
          <w:lang w:val="sk-SK"/>
        </w:rPr>
        <w:t>zadávacích podmienkach pre výzvy na predkladanie projektov nezahŕňajú tento zoznam činností:</w:t>
      </w:r>
      <w:r w:rsidRPr="00083739">
        <w:rPr>
          <w:rFonts w:cs="Times New Roman"/>
          <w:noProof/>
          <w:color w:val="FF0000"/>
          <w:lang w:val="sk-SK"/>
        </w:rPr>
        <w:t xml:space="preserve"> </w:t>
      </w:r>
      <w:r w:rsidRPr="00083739">
        <w:rPr>
          <w:rFonts w:cs="Times New Roman"/>
          <w:noProof/>
          <w:lang w:val="sk-SK"/>
        </w:rPr>
        <w:t>I) činnosti súvisiace</w:t>
      </w:r>
      <w:r w:rsidR="00083739" w:rsidRPr="00083739">
        <w:rPr>
          <w:rFonts w:cs="Times New Roman"/>
          <w:noProof/>
          <w:lang w:val="sk-SK"/>
        </w:rPr>
        <w:t xml:space="preserve"> s </w:t>
      </w:r>
      <w:r w:rsidRPr="00083739">
        <w:rPr>
          <w:rFonts w:cs="Times New Roman"/>
          <w:noProof/>
          <w:lang w:val="sk-SK"/>
        </w:rPr>
        <w:t>fosílnymi palivami vrátane následného použitia</w:t>
      </w:r>
      <w:r w:rsidRPr="00083739">
        <w:rPr>
          <w:rFonts w:cs="Times New Roman"/>
          <w:noProof/>
          <w:lang w:val="sk-SK"/>
        </w:rPr>
        <w:footnoteReference w:id="2"/>
      </w:r>
      <w:r w:rsidRPr="00083739">
        <w:rPr>
          <w:rFonts w:cs="Times New Roman"/>
          <w:noProof/>
          <w:lang w:val="sk-SK"/>
        </w:rPr>
        <w:t>; II) činností</w:t>
      </w:r>
      <w:r w:rsidR="00083739" w:rsidRPr="00083739">
        <w:rPr>
          <w:rFonts w:cs="Times New Roman"/>
          <w:noProof/>
          <w:lang w:val="sk-SK"/>
        </w:rPr>
        <w:t xml:space="preserve"> v </w:t>
      </w:r>
      <w:r w:rsidRPr="00083739">
        <w:rPr>
          <w:rFonts w:cs="Times New Roman"/>
          <w:noProof/>
          <w:lang w:val="sk-SK"/>
        </w:rPr>
        <w:t>rámci systému EÚ na obch</w:t>
      </w:r>
      <w:r w:rsidRPr="00083739">
        <w:rPr>
          <w:rFonts w:cs="Times New Roman"/>
          <w:noProof/>
          <w:lang w:val="sk-SK"/>
        </w:rPr>
        <w:t>odovanie</w:t>
      </w:r>
      <w:r w:rsidR="00083739" w:rsidRPr="00083739">
        <w:rPr>
          <w:rFonts w:cs="Times New Roman"/>
          <w:noProof/>
          <w:lang w:val="sk-SK"/>
        </w:rPr>
        <w:t xml:space="preserve"> s </w:t>
      </w:r>
      <w:r w:rsidRPr="00083739">
        <w:rPr>
          <w:rFonts w:cs="Times New Roman"/>
          <w:noProof/>
          <w:lang w:val="sk-SK"/>
        </w:rPr>
        <w:t>emisiami (ETS), ktorými sa dosahujú predpokladané emisie skleníkových plynov, ktoré nie sú nižšie ako príslušné referenčné hodnoty</w:t>
      </w:r>
      <w:r w:rsidRPr="00083739">
        <w:rPr>
          <w:rFonts w:cs="Times New Roman"/>
          <w:noProof/>
          <w:lang w:val="sk-SK"/>
        </w:rPr>
        <w:footnoteReference w:id="3"/>
      </w:r>
      <w:r w:rsidRPr="00083739">
        <w:rPr>
          <w:rFonts w:cs="Times New Roman"/>
          <w:noProof/>
          <w:lang w:val="sk-SK"/>
        </w:rPr>
        <w:t>; III) činnosti súvisiace so skládkami odpadov, spaľovňami</w:t>
      </w:r>
      <w:r w:rsidRPr="00083739">
        <w:rPr>
          <w:rFonts w:cs="Times New Roman"/>
          <w:noProof/>
          <w:lang w:val="sk-SK"/>
        </w:rPr>
        <w:footnoteReference w:id="4"/>
      </w:r>
      <w:r w:rsidR="00083739" w:rsidRPr="00083739">
        <w:rPr>
          <w:rFonts w:cs="Times New Roman"/>
          <w:noProof/>
          <w:lang w:val="sk-SK"/>
        </w:rPr>
        <w:t xml:space="preserve"> a </w:t>
      </w:r>
      <w:r w:rsidRPr="00083739">
        <w:rPr>
          <w:rFonts w:cs="Times New Roman"/>
          <w:noProof/>
          <w:lang w:val="sk-SK"/>
        </w:rPr>
        <w:t>mechanickými biologickými čistiarňami</w:t>
      </w:r>
      <w:r w:rsidRPr="00083739">
        <w:rPr>
          <w:rFonts w:cs="Times New Roman"/>
          <w:noProof/>
          <w:lang w:val="sk-SK"/>
        </w:rPr>
        <w:footnoteReference w:id="5"/>
      </w:r>
      <w:r w:rsidRPr="00083739">
        <w:rPr>
          <w:rFonts w:cs="Times New Roman"/>
          <w:noProof/>
          <w:lang w:val="sk-SK"/>
        </w:rPr>
        <w:t>;</w:t>
      </w:r>
      <w:r w:rsidR="00083739" w:rsidRPr="00083739">
        <w:rPr>
          <w:rFonts w:cs="Times New Roman"/>
          <w:noProof/>
          <w:lang w:val="sk-SK"/>
        </w:rPr>
        <w:t xml:space="preserve"> a </w:t>
      </w:r>
      <w:r w:rsidRPr="00083739">
        <w:rPr>
          <w:rFonts w:cs="Times New Roman"/>
          <w:noProof/>
          <w:lang w:val="sk-SK"/>
        </w:rPr>
        <w:t>iv) činnos</w:t>
      </w:r>
      <w:r w:rsidRPr="00083739">
        <w:rPr>
          <w:rFonts w:cs="Times New Roman"/>
          <w:noProof/>
          <w:lang w:val="sk-SK"/>
        </w:rPr>
        <w:t xml:space="preserve">ti, pri ktorých dlhodobé zneškodňovanie odpadu môže poškodiť životné prostredie. </w:t>
      </w:r>
      <w:r w:rsidRPr="00083739">
        <w:rPr>
          <w:rFonts w:cs="Times New Roman"/>
          <w:noProof/>
          <w:lang w:val="sk-SK"/>
        </w:rPr>
        <w:br w:type="page"/>
      </w:r>
    </w:p>
    <w:p w14:paraId="0D381472" w14:textId="498B3B6C"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V zadávacích podmienkach sa okrem toho vyžaduje, aby sa mohli vybrať len tie činnosti, ktoré sú</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príslušnými právnymi predpismi EÚ</w:t>
      </w:r>
      <w:r w:rsidR="00083739" w:rsidRPr="00083739">
        <w:rPr>
          <w:rFonts w:cs="Times New Roman"/>
          <w:noProof/>
          <w:lang w:val="sk-SK"/>
        </w:rPr>
        <w:t xml:space="preserve"> a </w:t>
      </w:r>
      <w:r w:rsidRPr="00083739">
        <w:rPr>
          <w:rFonts w:cs="Times New Roman"/>
          <w:noProof/>
          <w:lang w:val="sk-SK"/>
        </w:rPr>
        <w:t xml:space="preserve">vnútroštátnymi právnymi </w:t>
      </w:r>
      <w:r w:rsidRPr="00083739">
        <w:rPr>
          <w:rFonts w:cs="Times New Roman"/>
          <w:noProof/>
          <w:lang w:val="sk-SK"/>
        </w:rPr>
        <w:t>predpismi</w:t>
      </w:r>
      <w:r w:rsidR="00083739" w:rsidRPr="00083739">
        <w:rPr>
          <w:rFonts w:cs="Times New Roman"/>
          <w:noProof/>
          <w:lang w:val="sk-SK"/>
        </w:rPr>
        <w:t xml:space="preserve"> v </w:t>
      </w:r>
      <w:r w:rsidRPr="00083739">
        <w:rPr>
          <w:rFonts w:cs="Times New Roman"/>
          <w:noProof/>
          <w:lang w:val="sk-SK"/>
        </w:rPr>
        <w:t>oblasti životného prostredia. Investícia musí byť takisto</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technickými usmerneniami „výrazne nenarušiť“</w:t>
      </w:r>
      <w:r w:rsidR="00083739" w:rsidRPr="00083739">
        <w:rPr>
          <w:rFonts w:cs="Times New Roman"/>
          <w:noProof/>
          <w:lang w:val="sk-SK"/>
        </w:rPr>
        <w:t xml:space="preserve"> s </w:t>
      </w:r>
      <w:r w:rsidRPr="00083739">
        <w:rPr>
          <w:rFonts w:cs="Times New Roman"/>
          <w:noProof/>
          <w:lang w:val="sk-SK"/>
        </w:rPr>
        <w:t>odkazom na zásady obehového hospodárstva týkajúce sa recyklácie stavebného odpadu</w:t>
      </w:r>
      <w:r w:rsidR="00083739" w:rsidRPr="00083739">
        <w:rPr>
          <w:rFonts w:cs="Times New Roman"/>
          <w:noProof/>
          <w:lang w:val="sk-SK"/>
        </w:rPr>
        <w:t xml:space="preserve"> a v </w:t>
      </w:r>
      <w:r w:rsidRPr="00083739">
        <w:rPr>
          <w:rFonts w:cs="Times New Roman"/>
          <w:noProof/>
          <w:lang w:val="sk-SK"/>
        </w:rPr>
        <w:t>súlade so smernicou</w:t>
      </w:r>
      <w:r w:rsidR="00083739" w:rsidRPr="00083739">
        <w:rPr>
          <w:rFonts w:cs="Times New Roman"/>
          <w:noProof/>
          <w:lang w:val="sk-SK"/>
        </w:rPr>
        <w:t xml:space="preserve"> o </w:t>
      </w:r>
      <w:r w:rsidRPr="00083739">
        <w:rPr>
          <w:rFonts w:cs="Times New Roman"/>
          <w:noProof/>
          <w:lang w:val="sk-SK"/>
        </w:rPr>
        <w:t>energetickej hospodá</w:t>
      </w:r>
      <w:r w:rsidRPr="00083739">
        <w:rPr>
          <w:rFonts w:cs="Times New Roman"/>
          <w:noProof/>
          <w:lang w:val="sk-SK"/>
        </w:rPr>
        <w:t>rnosti budov (2010/31/EÚ). Realizácia investície sa ukončí do 31</w:t>
      </w:r>
      <w:r w:rsidR="00083739" w:rsidRPr="00083739">
        <w:rPr>
          <w:rFonts w:cs="Times New Roman"/>
          <w:noProof/>
          <w:lang w:val="sk-SK"/>
        </w:rPr>
        <w:t>. decembra</w:t>
      </w:r>
      <w:r w:rsidRPr="00083739">
        <w:rPr>
          <w:rFonts w:cs="Times New Roman"/>
          <w:noProof/>
          <w:lang w:val="sk-SK"/>
        </w:rPr>
        <w:t xml:space="preserve"> 2025.</w:t>
      </w:r>
    </w:p>
    <w:p w14:paraId="767411CA" w14:textId="7777777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Energetická modernizácia budov verejného sektora (ID opatrenia: 16876)</w:t>
      </w:r>
    </w:p>
    <w:p w14:paraId="5DDB6EEA" w14:textId="09B420B3" w:rsidR="002D49B0" w:rsidRPr="00083739" w:rsidRDefault="00BF4125">
      <w:pPr>
        <w:pStyle w:val="P68B1DB1-Normal5"/>
        <w:spacing w:before="120" w:after="120" w:line="240" w:lineRule="auto"/>
        <w:jc w:val="both"/>
        <w:rPr>
          <w:rFonts w:cs="Times New Roman"/>
          <w:noProof/>
          <w:lang w:val="sk-SK"/>
        </w:rPr>
      </w:pPr>
      <w:r w:rsidRPr="00083739">
        <w:rPr>
          <w:rFonts w:cs="Times New Roman"/>
          <w:noProof/>
          <w:lang w:val="sk-SK"/>
        </w:rPr>
        <w:t>Táto investícia zahŕňa renováciu budov verejného sektora</w:t>
      </w:r>
      <w:r w:rsidR="00083739" w:rsidRPr="00083739">
        <w:rPr>
          <w:rFonts w:cs="Times New Roman"/>
          <w:noProof/>
          <w:lang w:val="sk-SK"/>
        </w:rPr>
        <w:t xml:space="preserve"> s </w:t>
      </w:r>
      <w:r w:rsidRPr="00083739">
        <w:rPr>
          <w:rFonts w:cs="Times New Roman"/>
          <w:noProof/>
          <w:lang w:val="sk-SK"/>
        </w:rPr>
        <w:t>cieľom zvýšiť ich energetickú efe</w:t>
      </w:r>
      <w:r w:rsidRPr="00083739">
        <w:rPr>
          <w:rFonts w:cs="Times New Roman"/>
          <w:noProof/>
          <w:lang w:val="sk-SK"/>
        </w:rPr>
        <w:t>ktívnosť prostredníctvom zapojenia spoločností pôsobiacich</w:t>
      </w:r>
      <w:r w:rsidR="00083739" w:rsidRPr="00083739">
        <w:rPr>
          <w:rFonts w:cs="Times New Roman"/>
          <w:noProof/>
          <w:lang w:val="sk-SK"/>
        </w:rPr>
        <w:t xml:space="preserve"> v </w:t>
      </w:r>
      <w:r w:rsidRPr="00083739">
        <w:rPr>
          <w:rFonts w:cs="Times New Roman"/>
          <w:noProof/>
          <w:lang w:val="sk-SK"/>
        </w:rPr>
        <w:t>oblasti úspor energie (ESCO). Investícia zahŕňa aj energetickú modernizáciu infraštruktúr pouličného osvetlenia. Cieľom tejto investície je prispieť</w:t>
      </w:r>
      <w:r w:rsidR="00083739" w:rsidRPr="00083739">
        <w:rPr>
          <w:rFonts w:cs="Times New Roman"/>
          <w:noProof/>
          <w:lang w:val="sk-SK"/>
        </w:rPr>
        <w:t xml:space="preserve"> k </w:t>
      </w:r>
      <w:r w:rsidRPr="00083739">
        <w:rPr>
          <w:rFonts w:cs="Times New Roman"/>
          <w:noProof/>
          <w:lang w:val="sk-SK"/>
        </w:rPr>
        <w:t>splneniu cieľov energetickej efektívnosti pr</w:t>
      </w:r>
      <w:r w:rsidRPr="00083739">
        <w:rPr>
          <w:rFonts w:cs="Times New Roman"/>
          <w:noProof/>
          <w:lang w:val="sk-SK"/>
        </w:rPr>
        <w:t>ijatých</w:t>
      </w:r>
      <w:r w:rsidR="00083739" w:rsidRPr="00083739">
        <w:rPr>
          <w:rFonts w:cs="Times New Roman"/>
          <w:noProof/>
          <w:lang w:val="sk-SK"/>
        </w:rPr>
        <w:t xml:space="preserve"> v </w:t>
      </w:r>
      <w:r w:rsidRPr="00083739">
        <w:rPr>
          <w:rFonts w:cs="Times New Roman"/>
          <w:noProof/>
          <w:lang w:val="sk-SK"/>
        </w:rPr>
        <w:t>NEKP</w:t>
      </w:r>
      <w:r w:rsidR="00083739" w:rsidRPr="00083739">
        <w:rPr>
          <w:rFonts w:cs="Times New Roman"/>
          <w:noProof/>
          <w:lang w:val="sk-SK"/>
        </w:rPr>
        <w:t xml:space="preserve"> a k </w:t>
      </w:r>
      <w:r w:rsidRPr="00083739">
        <w:rPr>
          <w:rFonts w:cs="Times New Roman"/>
          <w:noProof/>
          <w:lang w:val="sk-SK"/>
        </w:rPr>
        <w:t>zníženiu emisií CO2. Očakáva sa, že toto opatrenie výrazne nenaruší environmentálne ciele</w:t>
      </w:r>
      <w:r w:rsidR="00083739" w:rsidRPr="00083739">
        <w:rPr>
          <w:rFonts w:cs="Times New Roman"/>
          <w:noProof/>
          <w:lang w:val="sk-SK"/>
        </w:rPr>
        <w:t xml:space="preserve"> v </w:t>
      </w:r>
      <w:r w:rsidRPr="00083739">
        <w:rPr>
          <w:rFonts w:cs="Times New Roman"/>
          <w:noProof/>
          <w:lang w:val="sk-SK"/>
        </w:rPr>
        <w:t>zmysle článku 17 nariadenia (EÚ) 2020/852, pričom sa zohľadní opis opatrenia</w:t>
      </w:r>
      <w:r w:rsidR="00083739" w:rsidRPr="00083739">
        <w:rPr>
          <w:rFonts w:cs="Times New Roman"/>
          <w:noProof/>
          <w:lang w:val="sk-SK"/>
        </w:rPr>
        <w:t xml:space="preserve"> a </w:t>
      </w:r>
      <w:r w:rsidRPr="00083739">
        <w:rPr>
          <w:rFonts w:cs="Times New Roman"/>
          <w:noProof/>
          <w:lang w:val="sk-SK"/>
        </w:rPr>
        <w:t>zmierňujúce kroky stanovené</w:t>
      </w:r>
      <w:r w:rsidR="00083739" w:rsidRPr="00083739">
        <w:rPr>
          <w:rFonts w:cs="Times New Roman"/>
          <w:noProof/>
          <w:lang w:val="sk-SK"/>
        </w:rPr>
        <w:t xml:space="preserve"> v </w:t>
      </w:r>
      <w:r w:rsidRPr="00083739">
        <w:rPr>
          <w:rFonts w:cs="Times New Roman"/>
          <w:noProof/>
          <w:lang w:val="sk-SK"/>
        </w:rPr>
        <w:t>pláne podpory obnovy</w:t>
      </w:r>
      <w:r w:rsidR="00083739" w:rsidRPr="00083739">
        <w:rPr>
          <w:rFonts w:cs="Times New Roman"/>
          <w:noProof/>
          <w:lang w:val="sk-SK"/>
        </w:rPr>
        <w:t xml:space="preserve"> a </w:t>
      </w:r>
      <w:r w:rsidRPr="00083739">
        <w:rPr>
          <w:rFonts w:cs="Times New Roman"/>
          <w:noProof/>
          <w:lang w:val="sk-SK"/>
        </w:rPr>
        <w:t>odolnosti</w:t>
      </w:r>
      <w:r w:rsidR="00083739" w:rsidRPr="00083739">
        <w:rPr>
          <w:rFonts w:cs="Times New Roman"/>
          <w:noProof/>
          <w:lang w:val="sk-SK"/>
        </w:rPr>
        <w:t xml:space="preserve"> v </w:t>
      </w:r>
      <w:r w:rsidRPr="00083739">
        <w:rPr>
          <w:rFonts w:cs="Times New Roman"/>
          <w:noProof/>
          <w:lang w:val="sk-SK"/>
        </w:rPr>
        <w:t>s</w:t>
      </w:r>
      <w:r w:rsidRPr="00083739">
        <w:rPr>
          <w:rFonts w:cs="Times New Roman"/>
          <w:noProof/>
          <w:lang w:val="sk-SK"/>
        </w:rPr>
        <w:t>úlade</w:t>
      </w:r>
      <w:r w:rsidR="00083739" w:rsidRPr="00083739">
        <w:rPr>
          <w:rFonts w:cs="Times New Roman"/>
          <w:noProof/>
          <w:lang w:val="sk-SK"/>
        </w:rPr>
        <w:t xml:space="preserve"> s </w:t>
      </w:r>
      <w:r w:rsidRPr="00083739">
        <w:rPr>
          <w:rFonts w:cs="Times New Roman"/>
          <w:noProof/>
          <w:lang w:val="sk-SK"/>
        </w:rPr>
        <w:t>technickým usmernením „výrazne nenarušiť“ (2021/C58/01). Konkrétne sa</w:t>
      </w:r>
      <w:r w:rsidR="00083739" w:rsidRPr="00083739">
        <w:rPr>
          <w:rFonts w:cs="Times New Roman"/>
          <w:noProof/>
          <w:lang w:val="sk-SK"/>
        </w:rPr>
        <w:t xml:space="preserve"> v </w:t>
      </w:r>
      <w:r w:rsidRPr="00083739">
        <w:rPr>
          <w:rFonts w:cs="Times New Roman"/>
          <w:noProof/>
          <w:lang w:val="sk-SK"/>
        </w:rPr>
        <w:t>tomto opatrení vyžaduje, aby hospodárske subjekty vykonávajúce stavebné práce zabezpečili, že najmenej 70</w:t>
      </w:r>
      <w:r w:rsidR="00083739" w:rsidRPr="00083739">
        <w:rPr>
          <w:rFonts w:cs="Times New Roman"/>
          <w:noProof/>
          <w:lang w:val="sk-SK"/>
        </w:rPr>
        <w:t> %</w:t>
      </w:r>
      <w:r w:rsidRPr="00083739">
        <w:rPr>
          <w:rFonts w:cs="Times New Roman"/>
          <w:noProof/>
          <w:lang w:val="sk-SK"/>
        </w:rPr>
        <w:t xml:space="preserve"> (hmotnosti) stavebného</w:t>
      </w:r>
      <w:r w:rsidR="00083739" w:rsidRPr="00083739">
        <w:rPr>
          <w:rFonts w:cs="Times New Roman"/>
          <w:noProof/>
          <w:lang w:val="sk-SK"/>
        </w:rPr>
        <w:t xml:space="preserve"> a </w:t>
      </w:r>
      <w:r w:rsidRPr="00083739">
        <w:rPr>
          <w:rFonts w:cs="Times New Roman"/>
          <w:noProof/>
          <w:lang w:val="sk-SK"/>
        </w:rPr>
        <w:t>demolačného odpadu, ktorý nie je nebezpečný</w:t>
      </w:r>
      <w:r w:rsidRPr="00083739">
        <w:rPr>
          <w:rFonts w:cs="Times New Roman"/>
          <w:noProof/>
          <w:lang w:val="sk-SK"/>
        </w:rPr>
        <w:t xml:space="preserve"> [okrem prirodzene sa vyskytujúceho materiálu uvedeného</w:t>
      </w:r>
      <w:r w:rsidR="00083739" w:rsidRPr="00083739">
        <w:rPr>
          <w:rFonts w:cs="Times New Roman"/>
          <w:noProof/>
          <w:lang w:val="sk-SK"/>
        </w:rPr>
        <w:t xml:space="preserve"> v </w:t>
      </w:r>
      <w:r w:rsidRPr="00083739">
        <w:rPr>
          <w:rFonts w:cs="Times New Roman"/>
          <w:noProof/>
          <w:lang w:val="sk-SK"/>
        </w:rPr>
        <w:t>kategórii 17 05 04</w:t>
      </w:r>
      <w:r w:rsidR="00083739" w:rsidRPr="00083739">
        <w:rPr>
          <w:rFonts w:cs="Times New Roman"/>
          <w:noProof/>
          <w:lang w:val="sk-SK"/>
        </w:rPr>
        <w:t xml:space="preserve"> v </w:t>
      </w:r>
      <w:r w:rsidRPr="00083739">
        <w:rPr>
          <w:rFonts w:cs="Times New Roman"/>
          <w:noProof/>
          <w:lang w:val="sk-SK"/>
        </w:rPr>
        <w:t>európskom zozname odpadov vytvorenom rozhodnutím 2000/532/ES</w:t>
      </w:r>
      <w:r w:rsidR="00083739" w:rsidRPr="00083739">
        <w:rPr>
          <w:rFonts w:cs="Times New Roman"/>
          <w:noProof/>
          <w:lang w:val="sk-SK"/>
        </w:rPr>
        <w:t xml:space="preserve"> z </w:t>
      </w:r>
      <w:r w:rsidRPr="00083739">
        <w:rPr>
          <w:rFonts w:cs="Times New Roman"/>
          <w:noProof/>
          <w:lang w:val="sk-SK"/>
        </w:rPr>
        <w:t>3</w:t>
      </w:r>
      <w:r w:rsidR="00083739" w:rsidRPr="00083739">
        <w:rPr>
          <w:rFonts w:cs="Times New Roman"/>
          <w:noProof/>
          <w:lang w:val="sk-SK"/>
        </w:rPr>
        <w:t>. mája</w:t>
      </w:r>
      <w:r w:rsidRPr="00083739">
        <w:rPr>
          <w:rFonts w:cs="Times New Roman"/>
          <w:noProof/>
          <w:lang w:val="sk-SK"/>
        </w:rPr>
        <w:t xml:space="preserve"> 2000, ktorým sa nahrádza rozhodnutie 94/3/ES, ktorým sa zavádza zoznam odpadov podľa článku 1 písm. a) sme</w:t>
      </w:r>
      <w:r w:rsidRPr="00083739">
        <w:rPr>
          <w:rFonts w:cs="Times New Roman"/>
          <w:noProof/>
          <w:lang w:val="sk-SK"/>
        </w:rPr>
        <w:t>rnice Rady 75/442/EHS</w:t>
      </w:r>
      <w:r w:rsidR="00083739" w:rsidRPr="00083739">
        <w:rPr>
          <w:rFonts w:cs="Times New Roman"/>
          <w:noProof/>
          <w:lang w:val="sk-SK"/>
        </w:rPr>
        <w:t xml:space="preserve"> o </w:t>
      </w:r>
      <w:r w:rsidRPr="00083739">
        <w:rPr>
          <w:rFonts w:cs="Times New Roman"/>
          <w:noProof/>
          <w:lang w:val="sk-SK"/>
        </w:rPr>
        <w:t>odpade</w:t>
      </w:r>
      <w:r w:rsidR="00083739" w:rsidRPr="00083739">
        <w:rPr>
          <w:rFonts w:cs="Times New Roman"/>
          <w:noProof/>
          <w:lang w:val="sk-SK"/>
        </w:rPr>
        <w:t xml:space="preserve"> a </w:t>
      </w:r>
      <w:r w:rsidRPr="00083739">
        <w:rPr>
          <w:rFonts w:cs="Times New Roman"/>
          <w:noProof/>
          <w:lang w:val="sk-SK"/>
        </w:rPr>
        <w:t>rozhodnutia Rady 94/904/ES, ktorým sa vydáva zoznam nebezpečných odpadov podľa článku 1 ods. 4 smernice Rady 91/689/EHS</w:t>
      </w:r>
      <w:r w:rsidR="00083739" w:rsidRPr="00083739">
        <w:rPr>
          <w:rFonts w:cs="Times New Roman"/>
          <w:noProof/>
          <w:lang w:val="sk-SK"/>
        </w:rPr>
        <w:t xml:space="preserve"> o </w:t>
      </w:r>
      <w:r w:rsidRPr="00083739">
        <w:rPr>
          <w:rFonts w:cs="Times New Roman"/>
          <w:noProof/>
          <w:lang w:val="sk-SK"/>
        </w:rPr>
        <w:t>nebezpečných odpadoch [oznámeným pod číslom C(2000) 1147], vytvoreného na stavenisku sa pripraví na o</w:t>
      </w:r>
      <w:r w:rsidRPr="00083739">
        <w:rPr>
          <w:rFonts w:cs="Times New Roman"/>
          <w:noProof/>
          <w:lang w:val="sk-SK"/>
        </w:rPr>
        <w:t>pätovné použitie, recykláciu</w:t>
      </w:r>
      <w:r w:rsidR="00083739" w:rsidRPr="00083739">
        <w:rPr>
          <w:rFonts w:cs="Times New Roman"/>
          <w:noProof/>
          <w:lang w:val="sk-SK"/>
        </w:rPr>
        <w:t xml:space="preserve"> a </w:t>
      </w:r>
      <w:r w:rsidRPr="00083739">
        <w:rPr>
          <w:rFonts w:cs="Times New Roman"/>
          <w:noProof/>
          <w:lang w:val="sk-SK"/>
        </w:rPr>
        <w:t>iné materiálové zhodnocovanie vrátane spätného zasypávania</w:t>
      </w:r>
      <w:r w:rsidR="00083739" w:rsidRPr="00083739">
        <w:rPr>
          <w:rFonts w:cs="Times New Roman"/>
          <w:noProof/>
          <w:lang w:val="sk-SK"/>
        </w:rPr>
        <w:t xml:space="preserve"> s </w:t>
      </w:r>
      <w:r w:rsidRPr="00083739">
        <w:rPr>
          <w:rFonts w:cs="Times New Roman"/>
          <w:noProof/>
          <w:lang w:val="sk-SK"/>
        </w:rPr>
        <w:t>použitím odpadu ako náhrady iných materiálov,</w:t>
      </w:r>
      <w:r w:rsidR="00083739" w:rsidRPr="00083739">
        <w:rPr>
          <w:rFonts w:cs="Times New Roman"/>
          <w:noProof/>
          <w:lang w:val="sk-SK"/>
        </w:rPr>
        <w:t xml:space="preserve"> a </w:t>
      </w:r>
      <w:r w:rsidRPr="00083739">
        <w:rPr>
          <w:rFonts w:cs="Times New Roman"/>
          <w:noProof/>
          <w:lang w:val="sk-SK"/>
        </w:rPr>
        <w:t>to</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hierarchiou odpadového hospodárstva</w:t>
      </w:r>
      <w:r w:rsidR="00083739" w:rsidRPr="00083739">
        <w:rPr>
          <w:rFonts w:cs="Times New Roman"/>
          <w:noProof/>
          <w:lang w:val="sk-SK"/>
        </w:rPr>
        <w:t xml:space="preserve"> a </w:t>
      </w:r>
      <w:r w:rsidRPr="00083739">
        <w:rPr>
          <w:rFonts w:cs="Times New Roman"/>
          <w:noProof/>
          <w:lang w:val="sk-SK"/>
        </w:rPr>
        <w:t>protokolom EÚ</w:t>
      </w:r>
      <w:r w:rsidR="00083739" w:rsidRPr="00083739">
        <w:rPr>
          <w:rFonts w:cs="Times New Roman"/>
          <w:noProof/>
          <w:lang w:val="sk-SK"/>
        </w:rPr>
        <w:t xml:space="preserve"> o </w:t>
      </w:r>
      <w:r w:rsidRPr="00083739">
        <w:rPr>
          <w:rFonts w:cs="Times New Roman"/>
          <w:noProof/>
          <w:lang w:val="sk-SK"/>
        </w:rPr>
        <w:t>nakladaní so stavebným odpadom</w:t>
      </w:r>
      <w:r w:rsidR="00083739" w:rsidRPr="00083739">
        <w:rPr>
          <w:rFonts w:cs="Times New Roman"/>
          <w:noProof/>
          <w:lang w:val="sk-SK"/>
        </w:rPr>
        <w:t xml:space="preserve"> a </w:t>
      </w:r>
      <w:r w:rsidRPr="00083739">
        <w:rPr>
          <w:rFonts w:cs="Times New Roman"/>
          <w:noProof/>
          <w:lang w:val="sk-SK"/>
        </w:rPr>
        <w:t>odpadom</w:t>
      </w:r>
      <w:r w:rsidR="00083739" w:rsidRPr="00083739">
        <w:rPr>
          <w:rFonts w:cs="Times New Roman"/>
          <w:noProof/>
          <w:lang w:val="sk-SK"/>
        </w:rPr>
        <w:t xml:space="preserve"> z </w:t>
      </w:r>
      <w:r w:rsidRPr="00083739">
        <w:rPr>
          <w:rFonts w:cs="Times New Roman"/>
          <w:noProof/>
          <w:lang w:val="sk-SK"/>
        </w:rPr>
        <w:t>demolácie. Realizácia investície sa ukončí do 31</w:t>
      </w:r>
      <w:r w:rsidR="00083739" w:rsidRPr="00083739">
        <w:rPr>
          <w:rFonts w:cs="Times New Roman"/>
          <w:noProof/>
          <w:lang w:val="sk-SK"/>
        </w:rPr>
        <w:t>. decembra</w:t>
      </w:r>
      <w:r w:rsidRPr="00083739">
        <w:rPr>
          <w:rFonts w:cs="Times New Roman"/>
          <w:noProof/>
          <w:lang w:val="sk-SK"/>
        </w:rPr>
        <w:t xml:space="preserve"> 2025.</w:t>
      </w:r>
    </w:p>
    <w:p w14:paraId="463ADCA7" w14:textId="0BC67098"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Rozvoj infraštruktúry</w:t>
      </w:r>
      <w:r w:rsidR="00083739" w:rsidRPr="00083739">
        <w:rPr>
          <w:rFonts w:cs="Times New Roman"/>
          <w:noProof/>
          <w:lang w:val="sk-SK"/>
        </w:rPr>
        <w:t xml:space="preserve"> a </w:t>
      </w:r>
      <w:r w:rsidRPr="00083739">
        <w:rPr>
          <w:rFonts w:cs="Times New Roman"/>
          <w:noProof/>
          <w:lang w:val="sk-SK"/>
        </w:rPr>
        <w:t>obnova budov</w:t>
      </w:r>
      <w:r w:rsidR="00083739" w:rsidRPr="00083739">
        <w:rPr>
          <w:rFonts w:cs="Times New Roman"/>
          <w:noProof/>
          <w:lang w:val="sk-SK"/>
        </w:rPr>
        <w:t xml:space="preserve"> v </w:t>
      </w:r>
      <w:r w:rsidRPr="00083739">
        <w:rPr>
          <w:rFonts w:cs="Times New Roman"/>
          <w:noProof/>
          <w:lang w:val="sk-SK"/>
        </w:rPr>
        <w:t>bývalej kráľovskej nehnuteľnosti</w:t>
      </w:r>
      <w:r w:rsidR="00083739" w:rsidRPr="00083739">
        <w:rPr>
          <w:rFonts w:cs="Times New Roman"/>
          <w:noProof/>
          <w:lang w:val="sk-SK"/>
        </w:rPr>
        <w:t xml:space="preserve"> v </w:t>
      </w:r>
      <w:r w:rsidRPr="00083739">
        <w:rPr>
          <w:rFonts w:cs="Times New Roman"/>
          <w:noProof/>
          <w:lang w:val="sk-SK"/>
        </w:rPr>
        <w:t>Tatoi (ID opatrenia: 16875)</w:t>
      </w:r>
    </w:p>
    <w:p w14:paraId="5B2FBDBF" w14:textId="50BD70EA"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Investícia zahŕňa renováciu budov</w:t>
      </w:r>
      <w:r w:rsidR="00083739" w:rsidRPr="00083739">
        <w:rPr>
          <w:rFonts w:cs="Times New Roman"/>
          <w:noProof/>
          <w:lang w:val="sk-SK"/>
        </w:rPr>
        <w:t xml:space="preserve"> a </w:t>
      </w:r>
      <w:r w:rsidRPr="00083739">
        <w:rPr>
          <w:rFonts w:cs="Times New Roman"/>
          <w:noProof/>
          <w:lang w:val="sk-SK"/>
        </w:rPr>
        <w:t>modernizáciu ich sietí energetickej efekt</w:t>
      </w:r>
      <w:r w:rsidRPr="00083739">
        <w:rPr>
          <w:rFonts w:cs="Times New Roman"/>
          <w:noProof/>
          <w:lang w:val="sk-SK"/>
        </w:rPr>
        <w:t>ívnosti</w:t>
      </w:r>
      <w:r w:rsidR="00083739" w:rsidRPr="00083739">
        <w:rPr>
          <w:rFonts w:cs="Times New Roman"/>
          <w:noProof/>
          <w:lang w:val="sk-SK"/>
        </w:rPr>
        <w:t xml:space="preserve"> a </w:t>
      </w:r>
      <w:r w:rsidRPr="00083739">
        <w:rPr>
          <w:rFonts w:cs="Times New Roman"/>
          <w:noProof/>
          <w:lang w:val="sk-SK"/>
        </w:rPr>
        <w:t>infraštruktúry</w:t>
      </w:r>
      <w:r w:rsidR="00083739" w:rsidRPr="00083739">
        <w:rPr>
          <w:rFonts w:cs="Times New Roman"/>
          <w:noProof/>
          <w:lang w:val="sk-SK"/>
        </w:rPr>
        <w:t xml:space="preserve"> v </w:t>
      </w:r>
      <w:r w:rsidRPr="00083739">
        <w:rPr>
          <w:rFonts w:cs="Times New Roman"/>
          <w:noProof/>
          <w:lang w:val="sk-SK"/>
        </w:rPr>
        <w:t>budove Tatoi</w:t>
      </w:r>
      <w:r w:rsidR="00083739" w:rsidRPr="00083739">
        <w:rPr>
          <w:rFonts w:cs="Times New Roman"/>
          <w:noProof/>
          <w:lang w:val="sk-SK"/>
        </w:rPr>
        <w:t xml:space="preserve"> a </w:t>
      </w:r>
      <w:r w:rsidRPr="00083739">
        <w:rPr>
          <w:rFonts w:cs="Times New Roman"/>
          <w:noProof/>
          <w:lang w:val="sk-SK"/>
        </w:rPr>
        <w:t>vytvorenie peších trás</w:t>
      </w:r>
      <w:r w:rsidR="00083739" w:rsidRPr="00083739">
        <w:rPr>
          <w:rFonts w:cs="Times New Roman"/>
          <w:noProof/>
          <w:lang w:val="sk-SK"/>
        </w:rPr>
        <w:t xml:space="preserve"> v </w:t>
      </w:r>
      <w:r w:rsidRPr="00083739">
        <w:rPr>
          <w:rFonts w:cs="Times New Roman"/>
          <w:noProof/>
          <w:lang w:val="sk-SK"/>
        </w:rPr>
        <w:t>jeho blízkosti. Projekt zabezpečí zelený, zrenovovaný</w:t>
      </w:r>
      <w:r w:rsidR="00083739" w:rsidRPr="00083739">
        <w:rPr>
          <w:rFonts w:cs="Times New Roman"/>
          <w:noProof/>
          <w:lang w:val="sk-SK"/>
        </w:rPr>
        <w:t xml:space="preserve"> a </w:t>
      </w:r>
      <w:r w:rsidRPr="00083739">
        <w:rPr>
          <w:rFonts w:cs="Times New Roman"/>
          <w:noProof/>
          <w:lang w:val="sk-SK"/>
        </w:rPr>
        <w:t>voľne prístupný priestor na rekreáciu pre obyvateľov Atika, ako aj nový medzník pre turistov, ktorí môžu navštíviť. Očakáva sa, že to</w:t>
      </w:r>
      <w:r w:rsidRPr="00083739">
        <w:rPr>
          <w:rFonts w:cs="Times New Roman"/>
          <w:noProof/>
          <w:lang w:val="sk-SK"/>
        </w:rPr>
        <w:t>to opatrenie výrazne nenaruší environmentálne ciele</w:t>
      </w:r>
      <w:r w:rsidR="00083739" w:rsidRPr="00083739">
        <w:rPr>
          <w:rFonts w:cs="Times New Roman"/>
          <w:noProof/>
          <w:lang w:val="sk-SK"/>
        </w:rPr>
        <w:t xml:space="preserve"> v </w:t>
      </w:r>
      <w:r w:rsidRPr="00083739">
        <w:rPr>
          <w:rFonts w:cs="Times New Roman"/>
          <w:noProof/>
          <w:lang w:val="sk-SK"/>
        </w:rPr>
        <w:t>zmysle článku 17 nariadenia (EÚ) 2020/852, pričom sa zohľadní opis opatrenia</w:t>
      </w:r>
      <w:r w:rsidR="00083739" w:rsidRPr="00083739">
        <w:rPr>
          <w:rFonts w:cs="Times New Roman"/>
          <w:noProof/>
          <w:lang w:val="sk-SK"/>
        </w:rPr>
        <w:t xml:space="preserve"> a </w:t>
      </w:r>
      <w:r w:rsidRPr="00083739">
        <w:rPr>
          <w:rFonts w:cs="Times New Roman"/>
          <w:noProof/>
          <w:lang w:val="sk-SK"/>
        </w:rPr>
        <w:t>zmierňujúce kroky stanovené</w:t>
      </w:r>
      <w:r w:rsidR="00083739" w:rsidRPr="00083739">
        <w:rPr>
          <w:rFonts w:cs="Times New Roman"/>
          <w:noProof/>
          <w:lang w:val="sk-SK"/>
        </w:rPr>
        <w:t xml:space="preserve"> v </w:t>
      </w:r>
      <w:r w:rsidRPr="00083739">
        <w:rPr>
          <w:rFonts w:cs="Times New Roman"/>
          <w:noProof/>
          <w:lang w:val="sk-SK"/>
        </w:rPr>
        <w:t>pláne podpory obnovy</w:t>
      </w:r>
      <w:r w:rsidR="00083739" w:rsidRPr="00083739">
        <w:rPr>
          <w:rFonts w:cs="Times New Roman"/>
          <w:noProof/>
          <w:lang w:val="sk-SK"/>
        </w:rPr>
        <w:t xml:space="preserve"> a </w:t>
      </w:r>
      <w:r w:rsidRPr="00083739">
        <w:rPr>
          <w:rFonts w:cs="Times New Roman"/>
          <w:noProof/>
          <w:lang w:val="sk-SK"/>
        </w:rPr>
        <w:t>odolnosti</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technickým usmernením „výrazne nenarušiť“ (2021/C</w:t>
      </w:r>
      <w:r w:rsidRPr="00083739">
        <w:rPr>
          <w:rFonts w:cs="Times New Roman"/>
          <w:noProof/>
          <w:lang w:val="sk-SK"/>
        </w:rPr>
        <w:t>58/01). Opatrenie predovšetkým vyžaduje, aby hospodárske subjekty vykonávajúce stavebné práce zabezpečili, že najmenej 70</w:t>
      </w:r>
      <w:r w:rsidR="00083739" w:rsidRPr="00083739">
        <w:rPr>
          <w:rFonts w:cs="Times New Roman"/>
          <w:noProof/>
          <w:lang w:val="sk-SK"/>
        </w:rPr>
        <w:t> %</w:t>
      </w:r>
      <w:r w:rsidRPr="00083739">
        <w:rPr>
          <w:rFonts w:cs="Times New Roman"/>
          <w:noProof/>
          <w:lang w:val="sk-SK"/>
        </w:rPr>
        <w:t xml:space="preserve"> (hmotnostných) stavebného</w:t>
      </w:r>
      <w:r w:rsidR="00083739" w:rsidRPr="00083739">
        <w:rPr>
          <w:rFonts w:cs="Times New Roman"/>
          <w:noProof/>
          <w:lang w:val="sk-SK"/>
        </w:rPr>
        <w:t xml:space="preserve"> a </w:t>
      </w:r>
      <w:r w:rsidRPr="00083739">
        <w:rPr>
          <w:rFonts w:cs="Times New Roman"/>
          <w:noProof/>
          <w:lang w:val="sk-SK"/>
        </w:rPr>
        <w:t>demolačného odpadu, ktorý nie je nebezpečný [okrem prirodzene sa vyskytujúceho materiálu uvedeného</w:t>
      </w:r>
      <w:r w:rsidR="00083739" w:rsidRPr="00083739">
        <w:rPr>
          <w:rFonts w:cs="Times New Roman"/>
          <w:noProof/>
          <w:lang w:val="sk-SK"/>
        </w:rPr>
        <w:t xml:space="preserve"> v </w:t>
      </w:r>
      <w:r w:rsidRPr="00083739">
        <w:rPr>
          <w:rFonts w:cs="Times New Roman"/>
          <w:noProof/>
          <w:lang w:val="sk-SK"/>
        </w:rPr>
        <w:t>kat</w:t>
      </w:r>
      <w:r w:rsidRPr="00083739">
        <w:rPr>
          <w:rFonts w:cs="Times New Roman"/>
          <w:noProof/>
          <w:lang w:val="sk-SK"/>
        </w:rPr>
        <w:t>egórii 17 05 04</w:t>
      </w:r>
      <w:r w:rsidR="00083739" w:rsidRPr="00083739">
        <w:rPr>
          <w:rFonts w:cs="Times New Roman"/>
          <w:noProof/>
          <w:lang w:val="sk-SK"/>
        </w:rPr>
        <w:t xml:space="preserve"> v </w:t>
      </w:r>
      <w:r w:rsidRPr="00083739">
        <w:rPr>
          <w:rFonts w:cs="Times New Roman"/>
          <w:noProof/>
          <w:lang w:val="sk-SK"/>
        </w:rPr>
        <w:t>európskom zozname odpadov ustanovenom rozhodnutím 2000/532/ES</w:t>
      </w:r>
      <w:r w:rsidR="00083739" w:rsidRPr="00083739">
        <w:rPr>
          <w:rFonts w:cs="Times New Roman"/>
          <w:noProof/>
          <w:lang w:val="sk-SK"/>
        </w:rPr>
        <w:t xml:space="preserve"> z </w:t>
      </w:r>
      <w:r w:rsidRPr="00083739">
        <w:rPr>
          <w:rFonts w:cs="Times New Roman"/>
          <w:noProof/>
          <w:lang w:val="sk-SK"/>
        </w:rPr>
        <w:t>3</w:t>
      </w:r>
      <w:r w:rsidR="00083739" w:rsidRPr="00083739">
        <w:rPr>
          <w:rFonts w:cs="Times New Roman"/>
          <w:noProof/>
          <w:lang w:val="sk-SK"/>
        </w:rPr>
        <w:t>. mája</w:t>
      </w:r>
      <w:r w:rsidRPr="00083739">
        <w:rPr>
          <w:rFonts w:cs="Times New Roman"/>
          <w:noProof/>
          <w:lang w:val="sk-SK"/>
        </w:rPr>
        <w:t xml:space="preserve"> 2000 nahradzujúcim rozhodnutie 94/3/ES, ktorým sa vydáva zoznam odpadov podľa článku 1 písm. a) smernice Rady 75/442/EHS</w:t>
      </w:r>
      <w:r w:rsidR="00083739" w:rsidRPr="00083739">
        <w:rPr>
          <w:rFonts w:cs="Times New Roman"/>
          <w:noProof/>
          <w:lang w:val="sk-SK"/>
        </w:rPr>
        <w:t xml:space="preserve"> o </w:t>
      </w:r>
      <w:r w:rsidRPr="00083739">
        <w:rPr>
          <w:rFonts w:cs="Times New Roman"/>
          <w:noProof/>
          <w:lang w:val="sk-SK"/>
        </w:rPr>
        <w:t>odpadoch</w:t>
      </w:r>
      <w:r w:rsidR="00083739" w:rsidRPr="00083739">
        <w:rPr>
          <w:rFonts w:cs="Times New Roman"/>
          <w:noProof/>
          <w:lang w:val="sk-SK"/>
        </w:rPr>
        <w:t xml:space="preserve"> a </w:t>
      </w:r>
      <w:r w:rsidRPr="00083739">
        <w:rPr>
          <w:rFonts w:cs="Times New Roman"/>
          <w:noProof/>
          <w:lang w:val="sk-SK"/>
        </w:rPr>
        <w:t>rozhodnutia Rady 94/904/ES, ktor</w:t>
      </w:r>
      <w:r w:rsidRPr="00083739">
        <w:rPr>
          <w:rFonts w:cs="Times New Roman"/>
          <w:noProof/>
          <w:lang w:val="sk-SK"/>
        </w:rPr>
        <w:t>ým sa vydáva zoznam nebezpečných odpadov podľa článku 1 ods. 4 smernice Rady 91/689/EHS</w:t>
      </w:r>
      <w:r w:rsidR="00083739" w:rsidRPr="00083739">
        <w:rPr>
          <w:rFonts w:cs="Times New Roman"/>
          <w:noProof/>
          <w:lang w:val="sk-SK"/>
        </w:rPr>
        <w:t xml:space="preserve"> o </w:t>
      </w:r>
      <w:r w:rsidRPr="00083739">
        <w:rPr>
          <w:rFonts w:cs="Times New Roman"/>
          <w:noProof/>
          <w:lang w:val="sk-SK"/>
        </w:rPr>
        <w:t>nebezpečných odpadoch [oznámené pod číslom dokumentu C(2000) 1147)], sa pripraví na opätovné použitie, recyklácia</w:t>
      </w:r>
      <w:r w:rsidR="00083739" w:rsidRPr="00083739">
        <w:rPr>
          <w:rFonts w:cs="Times New Roman"/>
          <w:noProof/>
          <w:lang w:val="sk-SK"/>
        </w:rPr>
        <w:t xml:space="preserve"> a </w:t>
      </w:r>
      <w:r w:rsidRPr="00083739">
        <w:rPr>
          <w:rFonts w:cs="Times New Roman"/>
          <w:noProof/>
          <w:lang w:val="sk-SK"/>
        </w:rPr>
        <w:t>iné materiálové zhodnocovanie vrátane činností spä</w:t>
      </w:r>
      <w:r w:rsidRPr="00083739">
        <w:rPr>
          <w:rFonts w:cs="Times New Roman"/>
          <w:noProof/>
          <w:lang w:val="sk-SK"/>
        </w:rPr>
        <w:t>tného zasypávania, pri ktorých sa odpad využíva ako náhrada za iné materiály,</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hierarchiou odpadového hospodárstva</w:t>
      </w:r>
      <w:r w:rsidR="00083739" w:rsidRPr="00083739">
        <w:rPr>
          <w:rFonts w:cs="Times New Roman"/>
          <w:noProof/>
          <w:lang w:val="sk-SK"/>
        </w:rPr>
        <w:t xml:space="preserve"> a </w:t>
      </w:r>
      <w:r w:rsidRPr="00083739">
        <w:rPr>
          <w:rFonts w:cs="Times New Roman"/>
          <w:noProof/>
          <w:lang w:val="sk-SK"/>
        </w:rPr>
        <w:t>Protokolom EÚ</w:t>
      </w:r>
      <w:r w:rsidR="00083739" w:rsidRPr="00083739">
        <w:rPr>
          <w:rFonts w:cs="Times New Roman"/>
          <w:noProof/>
          <w:lang w:val="sk-SK"/>
        </w:rPr>
        <w:t xml:space="preserve"> o </w:t>
      </w:r>
      <w:r w:rsidRPr="00083739">
        <w:rPr>
          <w:rFonts w:cs="Times New Roman"/>
          <w:noProof/>
          <w:lang w:val="sk-SK"/>
        </w:rPr>
        <w:t>nakladaní so stavebným odpadom</w:t>
      </w:r>
      <w:r w:rsidR="00083739" w:rsidRPr="00083739">
        <w:rPr>
          <w:rFonts w:cs="Times New Roman"/>
          <w:noProof/>
          <w:lang w:val="sk-SK"/>
        </w:rPr>
        <w:t xml:space="preserve"> a </w:t>
      </w:r>
      <w:r w:rsidRPr="00083739">
        <w:rPr>
          <w:rFonts w:cs="Times New Roman"/>
          <w:noProof/>
          <w:lang w:val="sk-SK"/>
        </w:rPr>
        <w:t>odpadom</w:t>
      </w:r>
      <w:r w:rsidR="00083739" w:rsidRPr="00083739">
        <w:rPr>
          <w:rFonts w:cs="Times New Roman"/>
          <w:noProof/>
          <w:lang w:val="sk-SK"/>
        </w:rPr>
        <w:t xml:space="preserve"> z </w:t>
      </w:r>
      <w:r w:rsidRPr="00083739">
        <w:rPr>
          <w:rFonts w:cs="Times New Roman"/>
          <w:noProof/>
          <w:lang w:val="sk-SK"/>
        </w:rPr>
        <w:t>demolácie. Realizácia investície sa ukončí do 31</w:t>
      </w:r>
      <w:r w:rsidR="00083739" w:rsidRPr="00083739">
        <w:rPr>
          <w:rFonts w:cs="Times New Roman"/>
          <w:noProof/>
          <w:lang w:val="sk-SK"/>
        </w:rPr>
        <w:t>. decembra</w:t>
      </w:r>
      <w:r w:rsidRPr="00083739">
        <w:rPr>
          <w:rFonts w:cs="Times New Roman"/>
          <w:noProof/>
          <w:lang w:val="sk-SK"/>
        </w:rPr>
        <w:t xml:space="preserve"> 2025.</w:t>
      </w:r>
    </w:p>
    <w:p w14:paraId="54E2C712" w14:textId="77777777" w:rsidR="002D49B0" w:rsidRPr="00083739" w:rsidRDefault="00BF4125">
      <w:pPr>
        <w:pStyle w:val="P68B1DB1-Normal4"/>
        <w:rPr>
          <w:rFonts w:cs="Times New Roman"/>
          <w:b/>
          <w:noProof/>
          <w:lang w:val="sk-SK"/>
        </w:rPr>
      </w:pPr>
      <w:r w:rsidRPr="00083739">
        <w:rPr>
          <w:rFonts w:cs="Times New Roman"/>
          <w:noProof/>
          <w:lang w:val="sk-SK"/>
        </w:rPr>
        <w:br w:type="page"/>
      </w:r>
    </w:p>
    <w:p w14:paraId="518F2260" w14:textId="74DC66F2"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Olympijské atletické centrum</w:t>
      </w:r>
      <w:r w:rsidR="00083739" w:rsidRPr="00083739">
        <w:rPr>
          <w:rFonts w:cs="Times New Roman"/>
          <w:noProof/>
          <w:lang w:val="sk-SK"/>
        </w:rPr>
        <w:t xml:space="preserve"> v </w:t>
      </w:r>
      <w:r w:rsidRPr="00083739">
        <w:rPr>
          <w:rFonts w:cs="Times New Roman"/>
          <w:noProof/>
          <w:lang w:val="sk-SK"/>
        </w:rPr>
        <w:t>Aténach (ID opatrenia: 16932)</w:t>
      </w:r>
    </w:p>
    <w:p w14:paraId="7B269C7B" w14:textId="68A189CC" w:rsidR="002D49B0" w:rsidRPr="00083739" w:rsidRDefault="00BF4125">
      <w:pPr>
        <w:pStyle w:val="P68B1DB1-Normal5"/>
        <w:spacing w:before="120" w:after="120" w:line="240" w:lineRule="auto"/>
        <w:jc w:val="both"/>
        <w:rPr>
          <w:rFonts w:cs="Times New Roman"/>
          <w:noProof/>
          <w:lang w:val="sk-SK"/>
        </w:rPr>
      </w:pPr>
      <w:r w:rsidRPr="00083739">
        <w:rPr>
          <w:rFonts w:cs="Times New Roman"/>
          <w:noProof/>
          <w:lang w:val="sk-SK"/>
        </w:rPr>
        <w:t>Cieľom tejto investície do olympijského atletického centra</w:t>
      </w:r>
      <w:r w:rsidR="00083739" w:rsidRPr="00083739">
        <w:rPr>
          <w:rFonts w:cs="Times New Roman"/>
          <w:noProof/>
          <w:lang w:val="sk-SK"/>
        </w:rPr>
        <w:t xml:space="preserve"> v </w:t>
      </w:r>
      <w:r w:rsidRPr="00083739">
        <w:rPr>
          <w:rFonts w:cs="Times New Roman"/>
          <w:noProof/>
          <w:lang w:val="sk-SK"/>
        </w:rPr>
        <w:t>Aténach je predĺžiť jeho životnosť, obnoviť jeho imidž, znížiť jeho prevádzkové náklady/náklady na energiu</w:t>
      </w:r>
      <w:r w:rsidR="00083739" w:rsidRPr="00083739">
        <w:rPr>
          <w:rFonts w:cs="Times New Roman"/>
          <w:noProof/>
          <w:lang w:val="sk-SK"/>
        </w:rPr>
        <w:t xml:space="preserve"> a </w:t>
      </w:r>
      <w:r w:rsidRPr="00083739">
        <w:rPr>
          <w:rFonts w:cs="Times New Roman"/>
          <w:noProof/>
          <w:lang w:val="sk-SK"/>
        </w:rPr>
        <w:t>zabezpečiť je</w:t>
      </w:r>
      <w:r w:rsidRPr="00083739">
        <w:rPr>
          <w:rFonts w:cs="Times New Roman"/>
          <w:noProof/>
          <w:lang w:val="sk-SK"/>
        </w:rPr>
        <w:t>ho finančnú udržateľnosť tým, že sa</w:t>
      </w:r>
      <w:r w:rsidR="00083739" w:rsidRPr="00083739">
        <w:rPr>
          <w:rFonts w:cs="Times New Roman"/>
          <w:noProof/>
          <w:lang w:val="sk-SK"/>
        </w:rPr>
        <w:t xml:space="preserve"> z </w:t>
      </w:r>
      <w:r w:rsidRPr="00083739">
        <w:rPr>
          <w:rFonts w:cs="Times New Roman"/>
          <w:noProof/>
          <w:lang w:val="sk-SK"/>
        </w:rPr>
        <w:t>neho stane moderná</w:t>
      </w:r>
      <w:r w:rsidR="00083739" w:rsidRPr="00083739">
        <w:rPr>
          <w:rFonts w:cs="Times New Roman"/>
          <w:noProof/>
          <w:lang w:val="sk-SK"/>
        </w:rPr>
        <w:t xml:space="preserve"> a </w:t>
      </w:r>
      <w:r w:rsidRPr="00083739">
        <w:rPr>
          <w:rFonts w:cs="Times New Roman"/>
          <w:noProof/>
          <w:lang w:val="sk-SK"/>
        </w:rPr>
        <w:t>živá mestská atletika</w:t>
      </w:r>
      <w:r w:rsidR="00083739" w:rsidRPr="00083739">
        <w:rPr>
          <w:rFonts w:cs="Times New Roman"/>
          <w:noProof/>
          <w:lang w:val="sk-SK"/>
        </w:rPr>
        <w:t xml:space="preserve"> a </w:t>
      </w:r>
      <w:r w:rsidRPr="00083739">
        <w:rPr>
          <w:rFonts w:cs="Times New Roman"/>
          <w:noProof/>
          <w:lang w:val="sk-SK"/>
        </w:rPr>
        <w:t>rekreačná destinácia. Očakáva sa, že toto opatrenie výrazne nenaruší environmentálne ciele</w:t>
      </w:r>
      <w:r w:rsidR="00083739" w:rsidRPr="00083739">
        <w:rPr>
          <w:rFonts w:cs="Times New Roman"/>
          <w:noProof/>
          <w:lang w:val="sk-SK"/>
        </w:rPr>
        <w:t xml:space="preserve"> v </w:t>
      </w:r>
      <w:r w:rsidRPr="00083739">
        <w:rPr>
          <w:rFonts w:cs="Times New Roman"/>
          <w:noProof/>
          <w:lang w:val="sk-SK"/>
        </w:rPr>
        <w:t>zmysle článku 17 nariadenia (EÚ) 2020/852, pričom sa zohľadní opis opatrenia</w:t>
      </w:r>
      <w:r w:rsidR="00083739" w:rsidRPr="00083739">
        <w:rPr>
          <w:rFonts w:cs="Times New Roman"/>
          <w:noProof/>
          <w:lang w:val="sk-SK"/>
        </w:rPr>
        <w:t xml:space="preserve"> a </w:t>
      </w:r>
      <w:r w:rsidRPr="00083739">
        <w:rPr>
          <w:rFonts w:cs="Times New Roman"/>
          <w:noProof/>
          <w:lang w:val="sk-SK"/>
        </w:rPr>
        <w:t>z</w:t>
      </w:r>
      <w:r w:rsidRPr="00083739">
        <w:rPr>
          <w:rFonts w:cs="Times New Roman"/>
          <w:noProof/>
          <w:lang w:val="sk-SK"/>
        </w:rPr>
        <w:t>mierňujúce kroky stanovené</w:t>
      </w:r>
      <w:r w:rsidR="00083739" w:rsidRPr="00083739">
        <w:rPr>
          <w:rFonts w:cs="Times New Roman"/>
          <w:noProof/>
          <w:lang w:val="sk-SK"/>
        </w:rPr>
        <w:t xml:space="preserve"> v </w:t>
      </w:r>
      <w:r w:rsidRPr="00083739">
        <w:rPr>
          <w:rFonts w:cs="Times New Roman"/>
          <w:noProof/>
          <w:lang w:val="sk-SK"/>
        </w:rPr>
        <w:t>pláne podpory obnovy</w:t>
      </w:r>
      <w:r w:rsidR="00083739" w:rsidRPr="00083739">
        <w:rPr>
          <w:rFonts w:cs="Times New Roman"/>
          <w:noProof/>
          <w:lang w:val="sk-SK"/>
        </w:rPr>
        <w:t xml:space="preserve"> a </w:t>
      </w:r>
      <w:r w:rsidRPr="00083739">
        <w:rPr>
          <w:rFonts w:cs="Times New Roman"/>
          <w:noProof/>
          <w:lang w:val="sk-SK"/>
        </w:rPr>
        <w:t>odolnosti</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technickým usmernením „výrazne nenarušiť“ (2021/C58/01). Konkrétne sa</w:t>
      </w:r>
      <w:r w:rsidR="00083739" w:rsidRPr="00083739">
        <w:rPr>
          <w:rFonts w:cs="Times New Roman"/>
          <w:noProof/>
          <w:lang w:val="sk-SK"/>
        </w:rPr>
        <w:t xml:space="preserve"> v </w:t>
      </w:r>
      <w:r w:rsidRPr="00083739">
        <w:rPr>
          <w:rFonts w:cs="Times New Roman"/>
          <w:noProof/>
          <w:lang w:val="sk-SK"/>
        </w:rPr>
        <w:t>tomto opatrení vyžaduje, aby hospodárske subjekty vykonávajúce stavebné práce zabezpečili, že najmenej 70</w:t>
      </w:r>
      <w:r w:rsidR="00083739" w:rsidRPr="00083739">
        <w:rPr>
          <w:rFonts w:cs="Times New Roman"/>
          <w:noProof/>
          <w:lang w:val="sk-SK"/>
        </w:rPr>
        <w:t> %</w:t>
      </w:r>
      <w:r w:rsidRPr="00083739">
        <w:rPr>
          <w:rFonts w:cs="Times New Roman"/>
          <w:noProof/>
          <w:lang w:val="sk-SK"/>
        </w:rPr>
        <w:t xml:space="preserve"> (hm</w:t>
      </w:r>
      <w:r w:rsidRPr="00083739">
        <w:rPr>
          <w:rFonts w:cs="Times New Roman"/>
          <w:noProof/>
          <w:lang w:val="sk-SK"/>
        </w:rPr>
        <w:t>otnosti) stavebného</w:t>
      </w:r>
      <w:r w:rsidR="00083739" w:rsidRPr="00083739">
        <w:rPr>
          <w:rFonts w:cs="Times New Roman"/>
          <w:noProof/>
          <w:lang w:val="sk-SK"/>
        </w:rPr>
        <w:t xml:space="preserve"> a </w:t>
      </w:r>
      <w:r w:rsidRPr="00083739">
        <w:rPr>
          <w:rFonts w:cs="Times New Roman"/>
          <w:noProof/>
          <w:lang w:val="sk-SK"/>
        </w:rPr>
        <w:t>demolačného odpadu, ktorý nie je nebezpečný [okrem prirodzene sa vyskytujúceho materiálu uvedeného</w:t>
      </w:r>
      <w:r w:rsidR="00083739" w:rsidRPr="00083739">
        <w:rPr>
          <w:rFonts w:cs="Times New Roman"/>
          <w:noProof/>
          <w:lang w:val="sk-SK"/>
        </w:rPr>
        <w:t xml:space="preserve"> v </w:t>
      </w:r>
      <w:r w:rsidRPr="00083739">
        <w:rPr>
          <w:rFonts w:cs="Times New Roman"/>
          <w:noProof/>
          <w:lang w:val="sk-SK"/>
        </w:rPr>
        <w:t>kategórii 17 05 04</w:t>
      </w:r>
      <w:r w:rsidR="00083739" w:rsidRPr="00083739">
        <w:rPr>
          <w:rFonts w:cs="Times New Roman"/>
          <w:noProof/>
          <w:lang w:val="sk-SK"/>
        </w:rPr>
        <w:t xml:space="preserve"> v </w:t>
      </w:r>
      <w:r w:rsidRPr="00083739">
        <w:rPr>
          <w:rFonts w:cs="Times New Roman"/>
          <w:noProof/>
          <w:lang w:val="sk-SK"/>
        </w:rPr>
        <w:t>európskom zozname odpadov vytvorenom rozhodnutím 2000/532/ES</w:t>
      </w:r>
      <w:r w:rsidR="00083739" w:rsidRPr="00083739">
        <w:rPr>
          <w:rFonts w:cs="Times New Roman"/>
          <w:noProof/>
          <w:lang w:val="sk-SK"/>
        </w:rPr>
        <w:t xml:space="preserve"> z </w:t>
      </w:r>
      <w:r w:rsidRPr="00083739">
        <w:rPr>
          <w:rFonts w:cs="Times New Roman"/>
          <w:noProof/>
          <w:lang w:val="sk-SK"/>
        </w:rPr>
        <w:t>3</w:t>
      </w:r>
      <w:r w:rsidR="00083739" w:rsidRPr="00083739">
        <w:rPr>
          <w:rFonts w:cs="Times New Roman"/>
          <w:noProof/>
          <w:lang w:val="sk-SK"/>
        </w:rPr>
        <w:t>. mája</w:t>
      </w:r>
      <w:r w:rsidRPr="00083739">
        <w:rPr>
          <w:rFonts w:cs="Times New Roman"/>
          <w:noProof/>
          <w:lang w:val="sk-SK"/>
        </w:rPr>
        <w:t xml:space="preserve"> 2000, ktorým sa nahrádza rozhodnutie 94/3</w:t>
      </w:r>
      <w:r w:rsidRPr="00083739">
        <w:rPr>
          <w:rFonts w:cs="Times New Roman"/>
          <w:noProof/>
          <w:lang w:val="sk-SK"/>
        </w:rPr>
        <w:t>/ES, ktorým sa zavádza zoznam odpadov podľa článku 1 písm. a) smernice Rady 75/442/EHS</w:t>
      </w:r>
      <w:r w:rsidR="00083739" w:rsidRPr="00083739">
        <w:rPr>
          <w:rFonts w:cs="Times New Roman"/>
          <w:noProof/>
          <w:lang w:val="sk-SK"/>
        </w:rPr>
        <w:t xml:space="preserve"> o </w:t>
      </w:r>
      <w:r w:rsidRPr="00083739">
        <w:rPr>
          <w:rFonts w:cs="Times New Roman"/>
          <w:noProof/>
          <w:lang w:val="sk-SK"/>
        </w:rPr>
        <w:t>odpade</w:t>
      </w:r>
      <w:r w:rsidR="00083739" w:rsidRPr="00083739">
        <w:rPr>
          <w:rFonts w:cs="Times New Roman"/>
          <w:noProof/>
          <w:lang w:val="sk-SK"/>
        </w:rPr>
        <w:t xml:space="preserve"> a </w:t>
      </w:r>
      <w:r w:rsidRPr="00083739">
        <w:rPr>
          <w:rFonts w:cs="Times New Roman"/>
          <w:noProof/>
          <w:lang w:val="sk-SK"/>
        </w:rPr>
        <w:t>rozhodnutia Rady 94/904/ES, ktorým sa vydáva zoznam nebezpečných odpadov podľa článku 1 ods. 4 smernice Rady 91/689/EHS</w:t>
      </w:r>
      <w:r w:rsidR="00083739" w:rsidRPr="00083739">
        <w:rPr>
          <w:rFonts w:cs="Times New Roman"/>
          <w:noProof/>
          <w:lang w:val="sk-SK"/>
        </w:rPr>
        <w:t xml:space="preserve"> o </w:t>
      </w:r>
      <w:r w:rsidRPr="00083739">
        <w:rPr>
          <w:rFonts w:cs="Times New Roman"/>
          <w:noProof/>
          <w:lang w:val="sk-SK"/>
        </w:rPr>
        <w:t>nebezpečných odpadoch [oznámeným pod</w:t>
      </w:r>
      <w:r w:rsidRPr="00083739">
        <w:rPr>
          <w:rFonts w:cs="Times New Roman"/>
          <w:noProof/>
          <w:lang w:val="sk-SK"/>
        </w:rPr>
        <w:t xml:space="preserve"> číslom C(2000) 1147], vytvoreného na stavenisku sa pripraví na opätovné použitie, recykláciu</w:t>
      </w:r>
      <w:r w:rsidR="00083739" w:rsidRPr="00083739">
        <w:rPr>
          <w:rFonts w:cs="Times New Roman"/>
          <w:noProof/>
          <w:lang w:val="sk-SK"/>
        </w:rPr>
        <w:t xml:space="preserve"> a </w:t>
      </w:r>
      <w:r w:rsidRPr="00083739">
        <w:rPr>
          <w:rFonts w:cs="Times New Roman"/>
          <w:noProof/>
          <w:lang w:val="sk-SK"/>
        </w:rPr>
        <w:t>iné materiálové zhodnocovanie vrátane spätného zasypávania</w:t>
      </w:r>
      <w:r w:rsidR="00083739" w:rsidRPr="00083739">
        <w:rPr>
          <w:rFonts w:cs="Times New Roman"/>
          <w:noProof/>
          <w:lang w:val="sk-SK"/>
        </w:rPr>
        <w:t xml:space="preserve"> s </w:t>
      </w:r>
      <w:r w:rsidRPr="00083739">
        <w:rPr>
          <w:rFonts w:cs="Times New Roman"/>
          <w:noProof/>
          <w:lang w:val="sk-SK"/>
        </w:rPr>
        <w:t>použitím odpadu ako náhrady iných materiálov,</w:t>
      </w:r>
      <w:r w:rsidR="00083739" w:rsidRPr="00083739">
        <w:rPr>
          <w:rFonts w:cs="Times New Roman"/>
          <w:noProof/>
          <w:lang w:val="sk-SK"/>
        </w:rPr>
        <w:t xml:space="preserve"> a </w:t>
      </w:r>
      <w:r w:rsidRPr="00083739">
        <w:rPr>
          <w:rFonts w:cs="Times New Roman"/>
          <w:noProof/>
          <w:lang w:val="sk-SK"/>
        </w:rPr>
        <w:t>to</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hierarchiou odpadového hospodárstva</w:t>
      </w:r>
      <w:r w:rsidR="00083739" w:rsidRPr="00083739">
        <w:rPr>
          <w:rFonts w:cs="Times New Roman"/>
          <w:noProof/>
          <w:lang w:val="sk-SK"/>
        </w:rPr>
        <w:t xml:space="preserve"> a </w:t>
      </w:r>
      <w:r w:rsidRPr="00083739">
        <w:rPr>
          <w:rFonts w:cs="Times New Roman"/>
          <w:noProof/>
          <w:lang w:val="sk-SK"/>
        </w:rPr>
        <w:t>protokolom EÚ</w:t>
      </w:r>
      <w:r w:rsidR="00083739" w:rsidRPr="00083739">
        <w:rPr>
          <w:rFonts w:cs="Times New Roman"/>
          <w:noProof/>
          <w:lang w:val="sk-SK"/>
        </w:rPr>
        <w:t xml:space="preserve"> o </w:t>
      </w:r>
      <w:r w:rsidRPr="00083739">
        <w:rPr>
          <w:rFonts w:cs="Times New Roman"/>
          <w:noProof/>
          <w:lang w:val="sk-SK"/>
        </w:rPr>
        <w:t>nakladaní so stavebným odpadom</w:t>
      </w:r>
      <w:r w:rsidR="00083739" w:rsidRPr="00083739">
        <w:rPr>
          <w:rFonts w:cs="Times New Roman"/>
          <w:noProof/>
          <w:lang w:val="sk-SK"/>
        </w:rPr>
        <w:t xml:space="preserve"> a </w:t>
      </w:r>
      <w:r w:rsidRPr="00083739">
        <w:rPr>
          <w:rFonts w:cs="Times New Roman"/>
          <w:noProof/>
          <w:lang w:val="sk-SK"/>
        </w:rPr>
        <w:t>odpadom</w:t>
      </w:r>
      <w:r w:rsidR="00083739" w:rsidRPr="00083739">
        <w:rPr>
          <w:rFonts w:cs="Times New Roman"/>
          <w:noProof/>
          <w:lang w:val="sk-SK"/>
        </w:rPr>
        <w:t xml:space="preserve"> z </w:t>
      </w:r>
      <w:r w:rsidRPr="00083739">
        <w:rPr>
          <w:rFonts w:cs="Times New Roman"/>
          <w:noProof/>
          <w:lang w:val="sk-SK"/>
        </w:rPr>
        <w:t>demolácie. Realizácia investície sa ukončí do 31</w:t>
      </w:r>
      <w:r w:rsidR="00083739" w:rsidRPr="00083739">
        <w:rPr>
          <w:rFonts w:cs="Times New Roman"/>
          <w:noProof/>
          <w:lang w:val="sk-SK"/>
        </w:rPr>
        <w:t>. decembra</w:t>
      </w:r>
      <w:r w:rsidRPr="00083739">
        <w:rPr>
          <w:rFonts w:cs="Times New Roman"/>
          <w:noProof/>
          <w:lang w:val="sk-SK"/>
        </w:rPr>
        <w:t xml:space="preserve"> 2025.</w:t>
      </w:r>
    </w:p>
    <w:p w14:paraId="134E1233" w14:textId="7777777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Reforma:</w:t>
      </w:r>
      <w:r w:rsidRPr="00083739">
        <w:rPr>
          <w:rFonts w:cs="Times New Roman"/>
          <w:noProof/>
          <w:lang w:val="sk-SK"/>
        </w:rPr>
        <w:t xml:space="preserve"> Príprava mestských plánov pri vykonávaní reformy mestskej politiky (ID opatrenia: 16879)</w:t>
      </w:r>
    </w:p>
    <w:p w14:paraId="6D1DD12A" w14:textId="368186CE" w:rsidR="00083739" w:rsidRPr="00083739" w:rsidRDefault="00BF4125">
      <w:pPr>
        <w:pStyle w:val="P68B1DB1-Normal5"/>
        <w:spacing w:before="120" w:after="120" w:line="240" w:lineRule="auto"/>
        <w:jc w:val="both"/>
        <w:rPr>
          <w:rFonts w:cs="Times New Roman"/>
          <w:noProof/>
          <w:lang w:val="sk-SK"/>
        </w:rPr>
      </w:pPr>
      <w:r w:rsidRPr="00083739">
        <w:rPr>
          <w:rFonts w:cs="Times New Roman"/>
          <w:noProof/>
          <w:lang w:val="sk-SK"/>
        </w:rPr>
        <w:t>Táto reforma pozostáva</w:t>
      </w:r>
      <w:r w:rsidR="00083739" w:rsidRPr="00083739">
        <w:rPr>
          <w:rFonts w:cs="Times New Roman"/>
          <w:noProof/>
          <w:lang w:val="sk-SK"/>
        </w:rPr>
        <w:t xml:space="preserve"> z </w:t>
      </w:r>
      <w:r w:rsidRPr="00083739">
        <w:rPr>
          <w:rFonts w:cs="Times New Roman"/>
          <w:noProof/>
          <w:lang w:val="sk-SK"/>
        </w:rPr>
        <w:t xml:space="preserve">piatich </w:t>
      </w:r>
      <w:r w:rsidRPr="00083739">
        <w:rPr>
          <w:rFonts w:cs="Times New Roman"/>
          <w:noProof/>
          <w:lang w:val="sk-SK"/>
        </w:rPr>
        <w:t>opatrení: a) príprava miestnych mestských plánov (zahŕňajúcich obce alebo obecné jednotky), b) prípravu osobitných mestských plánov (plány, ktoré sa môžu vzťahovať na oblasti patriace viac ako jednej obci), c) vymedzenie zón prevodu rozvojových práv, d) do</w:t>
      </w:r>
      <w:r w:rsidRPr="00083739">
        <w:rPr>
          <w:rFonts w:cs="Times New Roman"/>
          <w:noProof/>
          <w:lang w:val="sk-SK"/>
        </w:rPr>
        <w:t>končenie vymedzenia osád, e) riešenie otázok využívania pôdy</w:t>
      </w:r>
      <w:r w:rsidR="00083739" w:rsidRPr="00083739">
        <w:rPr>
          <w:rFonts w:cs="Times New Roman"/>
          <w:noProof/>
          <w:lang w:val="sk-SK"/>
        </w:rPr>
        <w:t xml:space="preserve"> v </w:t>
      </w:r>
      <w:r w:rsidRPr="00083739">
        <w:rPr>
          <w:rFonts w:cs="Times New Roman"/>
          <w:noProof/>
          <w:lang w:val="sk-SK"/>
        </w:rPr>
        <w:t>súvislosti</w:t>
      </w:r>
      <w:r w:rsidR="00083739" w:rsidRPr="00083739">
        <w:rPr>
          <w:rFonts w:cs="Times New Roman"/>
          <w:noProof/>
          <w:lang w:val="sk-SK"/>
        </w:rPr>
        <w:t xml:space="preserve"> s </w:t>
      </w:r>
      <w:r w:rsidRPr="00083739">
        <w:rPr>
          <w:rFonts w:cs="Times New Roman"/>
          <w:noProof/>
          <w:lang w:val="sk-SK"/>
        </w:rPr>
        <w:t>uznaním prístupu</w:t>
      </w:r>
      <w:r w:rsidR="00083739" w:rsidRPr="00083739">
        <w:rPr>
          <w:rFonts w:cs="Times New Roman"/>
          <w:noProof/>
          <w:lang w:val="sk-SK"/>
        </w:rPr>
        <w:t xml:space="preserve"> k </w:t>
      </w:r>
      <w:r w:rsidRPr="00083739">
        <w:rPr>
          <w:rFonts w:cs="Times New Roman"/>
          <w:noProof/>
          <w:lang w:val="sk-SK"/>
        </w:rPr>
        <w:t>(komunálnemu) prístupu na cesty. Cieľom reformy je riešiť nedostatky</w:t>
      </w:r>
      <w:r w:rsidR="00083739" w:rsidRPr="00083739">
        <w:rPr>
          <w:rFonts w:cs="Times New Roman"/>
          <w:noProof/>
          <w:lang w:val="sk-SK"/>
        </w:rPr>
        <w:t xml:space="preserve"> a </w:t>
      </w:r>
      <w:r w:rsidRPr="00083739">
        <w:rPr>
          <w:rFonts w:cs="Times New Roman"/>
          <w:noProof/>
          <w:lang w:val="sk-SK"/>
        </w:rPr>
        <w:t>nedostatky</w:t>
      </w:r>
      <w:r w:rsidR="00083739" w:rsidRPr="00083739">
        <w:rPr>
          <w:rFonts w:cs="Times New Roman"/>
          <w:noProof/>
          <w:lang w:val="sk-SK"/>
        </w:rPr>
        <w:t xml:space="preserve"> v </w:t>
      </w:r>
      <w:r w:rsidRPr="00083739">
        <w:rPr>
          <w:rFonts w:cs="Times New Roman"/>
          <w:noProof/>
          <w:lang w:val="sk-SK"/>
        </w:rPr>
        <w:t>oblasti zón</w:t>
      </w:r>
      <w:r w:rsidR="00083739" w:rsidRPr="00083739">
        <w:rPr>
          <w:rFonts w:cs="Times New Roman"/>
          <w:noProof/>
          <w:lang w:val="sk-SK"/>
        </w:rPr>
        <w:t xml:space="preserve"> a </w:t>
      </w:r>
      <w:r w:rsidRPr="00083739">
        <w:rPr>
          <w:rFonts w:cs="Times New Roman"/>
          <w:noProof/>
          <w:lang w:val="sk-SK"/>
        </w:rPr>
        <w:t>využívania pôdy</w:t>
      </w:r>
      <w:r w:rsidR="00083739" w:rsidRPr="00083739">
        <w:rPr>
          <w:rFonts w:cs="Times New Roman"/>
          <w:noProof/>
          <w:lang w:val="sk-SK"/>
        </w:rPr>
        <w:t xml:space="preserve"> s </w:t>
      </w:r>
      <w:r w:rsidRPr="00083739">
        <w:rPr>
          <w:rFonts w:cs="Times New Roman"/>
          <w:noProof/>
          <w:lang w:val="sk-SK"/>
        </w:rPr>
        <w:t>cieľom podporiť udržateľnú hospodársku činnos</w:t>
      </w:r>
      <w:r w:rsidRPr="00083739">
        <w:rPr>
          <w:rFonts w:cs="Times New Roman"/>
          <w:noProof/>
          <w:lang w:val="sk-SK"/>
        </w:rPr>
        <w:t>ť</w:t>
      </w:r>
      <w:r w:rsidR="00083739" w:rsidRPr="00083739">
        <w:rPr>
          <w:rFonts w:cs="Times New Roman"/>
          <w:noProof/>
          <w:lang w:val="sk-SK"/>
        </w:rPr>
        <w:t xml:space="preserve"> a </w:t>
      </w:r>
      <w:r w:rsidRPr="00083739">
        <w:rPr>
          <w:rFonts w:cs="Times New Roman"/>
          <w:noProof/>
          <w:lang w:val="sk-SK"/>
        </w:rPr>
        <w:t>chrániť životné prostredie. Miestne mestské plány obsahujú osobitnú kapitolu</w:t>
      </w:r>
      <w:r w:rsidR="00083739" w:rsidRPr="00083739">
        <w:rPr>
          <w:rFonts w:cs="Times New Roman"/>
          <w:noProof/>
          <w:lang w:val="sk-SK"/>
        </w:rPr>
        <w:t xml:space="preserve"> o </w:t>
      </w:r>
      <w:r w:rsidRPr="00083739">
        <w:rPr>
          <w:rFonts w:cs="Times New Roman"/>
          <w:noProof/>
          <w:lang w:val="sk-SK"/>
        </w:rPr>
        <w:t>opatreniach</w:t>
      </w:r>
      <w:r w:rsidR="00083739" w:rsidRPr="00083739">
        <w:rPr>
          <w:rFonts w:cs="Times New Roman"/>
          <w:noProof/>
          <w:lang w:val="sk-SK"/>
        </w:rPr>
        <w:t xml:space="preserve"> v </w:t>
      </w:r>
      <w:r w:rsidRPr="00083739">
        <w:rPr>
          <w:rFonts w:cs="Times New Roman"/>
          <w:noProof/>
          <w:lang w:val="sk-SK"/>
        </w:rPr>
        <w:t>oblasti zmeny klímy</w:t>
      </w:r>
      <w:r w:rsidR="00083739" w:rsidRPr="00083739">
        <w:rPr>
          <w:rFonts w:cs="Times New Roman"/>
          <w:noProof/>
          <w:lang w:val="sk-SK"/>
        </w:rPr>
        <w:t xml:space="preserve"> a </w:t>
      </w:r>
      <w:r w:rsidRPr="00083739">
        <w:rPr>
          <w:rFonts w:cs="Times New Roman"/>
          <w:noProof/>
          <w:lang w:val="sk-SK"/>
        </w:rPr>
        <w:t>prevencii</w:t>
      </w:r>
      <w:r w:rsidR="00083739" w:rsidRPr="00083739">
        <w:rPr>
          <w:rFonts w:cs="Times New Roman"/>
          <w:noProof/>
          <w:lang w:val="sk-SK"/>
        </w:rPr>
        <w:t xml:space="preserve"> a </w:t>
      </w:r>
      <w:r w:rsidRPr="00083739">
        <w:rPr>
          <w:rFonts w:cs="Times New Roman"/>
          <w:noProof/>
          <w:lang w:val="sk-SK"/>
        </w:rPr>
        <w:t>riadení rizík súvisiacich</w:t>
      </w:r>
      <w:r w:rsidR="00083739" w:rsidRPr="00083739">
        <w:rPr>
          <w:rFonts w:cs="Times New Roman"/>
          <w:noProof/>
          <w:lang w:val="sk-SK"/>
        </w:rPr>
        <w:t xml:space="preserve"> s </w:t>
      </w:r>
      <w:r w:rsidRPr="00083739">
        <w:rPr>
          <w:rFonts w:cs="Times New Roman"/>
          <w:noProof/>
          <w:lang w:val="sk-SK"/>
        </w:rPr>
        <w:t>klímou. Celkovo sa miestne mestské plány vypracujú pre 405 obcí alebo obecných jednotiek; Vypracu</w:t>
      </w:r>
      <w:r w:rsidRPr="00083739">
        <w:rPr>
          <w:rFonts w:cs="Times New Roman"/>
          <w:noProof/>
          <w:lang w:val="sk-SK"/>
        </w:rPr>
        <w:t>je sa 11 osobitných mestských plánov, zóny prevodu rozvojových práv sú vymedzené</w:t>
      </w:r>
      <w:r w:rsidR="00083739" w:rsidRPr="00083739">
        <w:rPr>
          <w:rFonts w:cs="Times New Roman"/>
          <w:noProof/>
          <w:lang w:val="sk-SK"/>
        </w:rPr>
        <w:t xml:space="preserve"> v </w:t>
      </w:r>
      <w:r w:rsidRPr="00083739">
        <w:rPr>
          <w:rFonts w:cs="Times New Roman"/>
          <w:noProof/>
          <w:lang w:val="sk-SK"/>
        </w:rPr>
        <w:t>50 obecných jednotkách, vymedzenie osád sa určí</w:t>
      </w:r>
      <w:r w:rsidR="00083739" w:rsidRPr="00083739">
        <w:rPr>
          <w:rFonts w:cs="Times New Roman"/>
          <w:noProof/>
          <w:lang w:val="sk-SK"/>
        </w:rPr>
        <w:t xml:space="preserve"> v </w:t>
      </w:r>
      <w:r w:rsidRPr="00083739">
        <w:rPr>
          <w:rFonts w:cs="Times New Roman"/>
          <w:noProof/>
          <w:lang w:val="sk-SK"/>
        </w:rPr>
        <w:t>36 obecných jednotkách</w:t>
      </w:r>
      <w:r w:rsidR="00083739" w:rsidRPr="00083739">
        <w:rPr>
          <w:rFonts w:cs="Times New Roman"/>
          <w:noProof/>
          <w:lang w:val="sk-SK"/>
        </w:rPr>
        <w:t xml:space="preserve"> a </w:t>
      </w:r>
      <w:r w:rsidRPr="00083739">
        <w:rPr>
          <w:rFonts w:cs="Times New Roman"/>
          <w:noProof/>
          <w:lang w:val="sk-SK"/>
        </w:rPr>
        <w:t>obecné cesty sa určia</w:t>
      </w:r>
      <w:r w:rsidR="00083739" w:rsidRPr="00083739">
        <w:rPr>
          <w:rFonts w:cs="Times New Roman"/>
          <w:noProof/>
          <w:lang w:val="sk-SK"/>
        </w:rPr>
        <w:t xml:space="preserve"> v </w:t>
      </w:r>
      <w:r w:rsidRPr="00083739">
        <w:rPr>
          <w:rFonts w:cs="Times New Roman"/>
          <w:noProof/>
          <w:lang w:val="sk-SK"/>
        </w:rPr>
        <w:t>149 obecných jednotkách</w:t>
      </w:r>
      <w:r w:rsidR="00083739" w:rsidRPr="00083739">
        <w:rPr>
          <w:rFonts w:cs="Times New Roman"/>
          <w:noProof/>
          <w:lang w:val="sk-SK"/>
        </w:rPr>
        <w:t>.</w:t>
      </w:r>
    </w:p>
    <w:p w14:paraId="2E7924A9" w14:textId="062DEDA4"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Implementácia tejto reformy sa dokončí do 31</w:t>
      </w:r>
      <w:r w:rsidR="00083739" w:rsidRPr="00083739">
        <w:rPr>
          <w:rFonts w:cs="Times New Roman"/>
          <w:noProof/>
          <w:lang w:val="sk-SK"/>
        </w:rPr>
        <w:t>. decembra</w:t>
      </w:r>
      <w:r w:rsidRPr="00083739">
        <w:rPr>
          <w:rFonts w:cs="Times New Roman"/>
          <w:noProof/>
          <w:lang w:val="sk-SK"/>
        </w:rPr>
        <w:t xml:space="preserve"> 2025.</w:t>
      </w:r>
    </w:p>
    <w:p w14:paraId="78802C66" w14:textId="7777777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Reforma:</w:t>
      </w:r>
      <w:r w:rsidRPr="00083739">
        <w:rPr>
          <w:rFonts w:cs="Times New Roman"/>
          <w:noProof/>
          <w:lang w:val="sk-SK"/>
        </w:rPr>
        <w:t xml:space="preserve"> Vytvorenie nového námorného priestorového plánovania (ID opatrenia: 16891).</w:t>
      </w:r>
    </w:p>
    <w:p w14:paraId="6834506B" w14:textId="16343EDD" w:rsidR="002D49B0" w:rsidRPr="00083739" w:rsidRDefault="00BF4125">
      <w:pPr>
        <w:pStyle w:val="P68B1DB1-Normal4"/>
        <w:spacing w:before="120" w:after="120" w:line="240" w:lineRule="auto"/>
        <w:jc w:val="both"/>
        <w:rPr>
          <w:rFonts w:cs="Times New Roman"/>
          <w:noProof/>
          <w:szCs w:val="24"/>
          <w:lang w:val="sk-SK"/>
        </w:rPr>
      </w:pPr>
      <w:r w:rsidRPr="00083739">
        <w:rPr>
          <w:rFonts w:cs="Times New Roman"/>
          <w:noProof/>
          <w:lang w:val="sk-SK"/>
        </w:rPr>
        <w:t>Reforma sa zameriava na vytvorenie národnej priestorovej stratégie pre morské prostredie. Reforma sa zameria na udržateľný rozvoj</w:t>
      </w:r>
      <w:r w:rsidR="00083739" w:rsidRPr="00083739">
        <w:rPr>
          <w:rFonts w:cs="Times New Roman"/>
          <w:noProof/>
          <w:lang w:val="sk-SK"/>
        </w:rPr>
        <w:t xml:space="preserve"> v </w:t>
      </w:r>
      <w:r w:rsidRPr="00083739">
        <w:rPr>
          <w:rFonts w:cs="Times New Roman"/>
          <w:noProof/>
          <w:lang w:val="sk-SK"/>
        </w:rPr>
        <w:t>námorných</w:t>
      </w:r>
      <w:r w:rsidR="00083739" w:rsidRPr="00083739">
        <w:rPr>
          <w:rFonts w:cs="Times New Roman"/>
          <w:noProof/>
          <w:lang w:val="sk-SK"/>
        </w:rPr>
        <w:t xml:space="preserve"> a </w:t>
      </w:r>
      <w:r w:rsidRPr="00083739">
        <w:rPr>
          <w:rFonts w:cs="Times New Roman"/>
          <w:noProof/>
          <w:lang w:val="sk-SK"/>
        </w:rPr>
        <w:t>pobrežných obla</w:t>
      </w:r>
      <w:r w:rsidRPr="00083739">
        <w:rPr>
          <w:rFonts w:cs="Times New Roman"/>
          <w:noProof/>
          <w:lang w:val="sk-SK"/>
        </w:rPr>
        <w:t>stiach</w:t>
      </w:r>
      <w:r w:rsidR="00083739" w:rsidRPr="00083739">
        <w:rPr>
          <w:rFonts w:cs="Times New Roman"/>
          <w:noProof/>
          <w:lang w:val="sk-SK"/>
        </w:rPr>
        <w:t xml:space="preserve"> a </w:t>
      </w:r>
      <w:r w:rsidRPr="00083739">
        <w:rPr>
          <w:rFonts w:cs="Times New Roman"/>
          <w:noProof/>
          <w:lang w:val="sk-SK"/>
        </w:rPr>
        <w:t>zároveň na ochranu morského prostredia</w:t>
      </w:r>
      <w:r w:rsidR="00083739" w:rsidRPr="00083739">
        <w:rPr>
          <w:rFonts w:cs="Times New Roman"/>
          <w:noProof/>
          <w:lang w:val="sk-SK"/>
        </w:rPr>
        <w:t xml:space="preserve"> a </w:t>
      </w:r>
      <w:r w:rsidRPr="00083739">
        <w:rPr>
          <w:rFonts w:cs="Times New Roman"/>
          <w:noProof/>
          <w:lang w:val="sk-SK"/>
        </w:rPr>
        <w:t>biodiverzity. Implementácia tejto reformy sa dokončí do 31</w:t>
      </w:r>
      <w:r w:rsidR="00083739" w:rsidRPr="00083739">
        <w:rPr>
          <w:rFonts w:cs="Times New Roman"/>
          <w:noProof/>
          <w:lang w:val="sk-SK"/>
        </w:rPr>
        <w:t>. decembra</w:t>
      </w:r>
      <w:r w:rsidRPr="00083739">
        <w:rPr>
          <w:rFonts w:cs="Times New Roman"/>
          <w:noProof/>
          <w:lang w:val="sk-SK"/>
        </w:rPr>
        <w:t xml:space="preserve"> 2025.</w:t>
      </w:r>
    </w:p>
    <w:p w14:paraId="6BFEC3CA" w14:textId="35A2A70E" w:rsidR="00083739"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Reforma:</w:t>
      </w:r>
      <w:r w:rsidRPr="00083739">
        <w:rPr>
          <w:rFonts w:cs="Times New Roman"/>
          <w:noProof/>
          <w:lang w:val="sk-SK"/>
        </w:rPr>
        <w:t xml:space="preserve"> Vytvorenie nového osobitného rámca priestorového plánovania pre energiu</w:t>
      </w:r>
      <w:r w:rsidR="00083739" w:rsidRPr="00083739">
        <w:rPr>
          <w:rFonts w:cs="Times New Roman"/>
          <w:noProof/>
          <w:lang w:val="sk-SK"/>
        </w:rPr>
        <w:t xml:space="preserve"> z </w:t>
      </w:r>
      <w:r w:rsidRPr="00083739">
        <w:rPr>
          <w:rFonts w:cs="Times New Roman"/>
          <w:noProof/>
          <w:lang w:val="sk-SK"/>
        </w:rPr>
        <w:t>obnoviteľných zdrojov, priemysel</w:t>
      </w:r>
      <w:r w:rsidR="00083739" w:rsidRPr="00083739">
        <w:rPr>
          <w:rFonts w:cs="Times New Roman"/>
          <w:noProof/>
          <w:lang w:val="sk-SK"/>
        </w:rPr>
        <w:t xml:space="preserve"> a </w:t>
      </w:r>
      <w:r w:rsidRPr="00083739">
        <w:rPr>
          <w:rFonts w:cs="Times New Roman"/>
          <w:noProof/>
          <w:lang w:val="sk-SK"/>
        </w:rPr>
        <w:t>cestovný ruch</w:t>
      </w:r>
      <w:r w:rsidRPr="00083739">
        <w:rPr>
          <w:rFonts w:cs="Times New Roman"/>
          <w:noProof/>
          <w:lang w:val="sk-SK"/>
        </w:rPr>
        <w:t xml:space="preserve"> (ID opatrenia: 16894)</w:t>
      </w:r>
      <w:r w:rsidR="00083739" w:rsidRPr="00083739">
        <w:rPr>
          <w:rFonts w:cs="Times New Roman"/>
          <w:noProof/>
          <w:lang w:val="sk-SK"/>
        </w:rPr>
        <w:t>.</w:t>
      </w:r>
    </w:p>
    <w:p w14:paraId="5E538CC7" w14:textId="10AA48B3" w:rsidR="002D49B0" w:rsidRPr="00083739" w:rsidRDefault="00BF4125">
      <w:pPr>
        <w:pStyle w:val="P68B1DB1-Normal5"/>
        <w:spacing w:before="120" w:after="120" w:line="240" w:lineRule="auto"/>
        <w:jc w:val="both"/>
        <w:rPr>
          <w:rFonts w:cs="Times New Roman"/>
          <w:noProof/>
          <w:lang w:val="sk-SK"/>
        </w:rPr>
      </w:pPr>
      <w:r w:rsidRPr="00083739">
        <w:rPr>
          <w:rFonts w:cs="Times New Roman"/>
          <w:noProof/>
          <w:lang w:val="sk-SK"/>
        </w:rPr>
        <w:t>Reformou sa zavádzajú nové osobitné priestorové rámce pre energiu</w:t>
      </w:r>
      <w:r w:rsidR="00083739" w:rsidRPr="00083739">
        <w:rPr>
          <w:rFonts w:cs="Times New Roman"/>
          <w:noProof/>
          <w:lang w:val="sk-SK"/>
        </w:rPr>
        <w:t xml:space="preserve"> z </w:t>
      </w:r>
      <w:r w:rsidRPr="00083739">
        <w:rPr>
          <w:rFonts w:cs="Times New Roman"/>
          <w:noProof/>
          <w:lang w:val="sk-SK"/>
        </w:rPr>
        <w:t>obnoviteľných zdrojov, priemysel</w:t>
      </w:r>
      <w:r w:rsidR="00083739" w:rsidRPr="00083739">
        <w:rPr>
          <w:rFonts w:cs="Times New Roman"/>
          <w:noProof/>
          <w:lang w:val="sk-SK"/>
        </w:rPr>
        <w:t xml:space="preserve"> a </w:t>
      </w:r>
      <w:r w:rsidRPr="00083739">
        <w:rPr>
          <w:rFonts w:cs="Times New Roman"/>
          <w:noProof/>
          <w:lang w:val="sk-SK"/>
        </w:rPr>
        <w:t>cestovný ruch na podporu zmierňovania zmeny klímy</w:t>
      </w:r>
      <w:r w:rsidR="00083739" w:rsidRPr="00083739">
        <w:rPr>
          <w:rFonts w:cs="Times New Roman"/>
          <w:noProof/>
          <w:lang w:val="sk-SK"/>
        </w:rPr>
        <w:t xml:space="preserve"> a </w:t>
      </w:r>
      <w:r w:rsidRPr="00083739">
        <w:rPr>
          <w:rFonts w:cs="Times New Roman"/>
          <w:noProof/>
          <w:lang w:val="sk-SK"/>
        </w:rPr>
        <w:t>adaptácie na ňu, ochrany biodiverzity, hospodárskeho rastu</w:t>
      </w:r>
      <w:r w:rsidR="00083739" w:rsidRPr="00083739">
        <w:rPr>
          <w:rFonts w:cs="Times New Roman"/>
          <w:noProof/>
          <w:lang w:val="sk-SK"/>
        </w:rPr>
        <w:t xml:space="preserve"> a </w:t>
      </w:r>
      <w:r w:rsidRPr="00083739">
        <w:rPr>
          <w:rFonts w:cs="Times New Roman"/>
          <w:noProof/>
          <w:lang w:val="sk-SK"/>
        </w:rPr>
        <w:t xml:space="preserve">tvorby </w:t>
      </w:r>
      <w:r w:rsidRPr="00083739">
        <w:rPr>
          <w:rFonts w:cs="Times New Roman"/>
          <w:noProof/>
          <w:lang w:val="sk-SK"/>
        </w:rPr>
        <w:t>pracovných miest.</w:t>
      </w:r>
    </w:p>
    <w:p w14:paraId="633A4967" w14:textId="464C95B2" w:rsidR="002D49B0" w:rsidRPr="00083739" w:rsidRDefault="002D49B0">
      <w:pPr>
        <w:spacing w:before="120" w:after="120" w:line="240" w:lineRule="auto"/>
        <w:jc w:val="both"/>
        <w:rPr>
          <w:rFonts w:ascii="Times New Roman" w:hAnsi="Times New Roman" w:cs="Times New Roman"/>
          <w:noProof/>
          <w:sz w:val="24"/>
          <w:lang w:val="sk-SK"/>
        </w:rPr>
      </w:pPr>
    </w:p>
    <w:p w14:paraId="4E1ED41A" w14:textId="77777777" w:rsidR="002D49B0" w:rsidRPr="00083739" w:rsidRDefault="002D49B0">
      <w:pPr>
        <w:spacing w:before="120" w:after="120" w:line="240" w:lineRule="auto"/>
        <w:ind w:left="709"/>
        <w:jc w:val="both"/>
        <w:rPr>
          <w:rFonts w:ascii="Times New Roman" w:hAnsi="Times New Roman" w:cs="Times New Roman"/>
          <w:b/>
          <w:bCs/>
          <w:noProof/>
          <w:sz w:val="24"/>
          <w:u w:val="single"/>
          <w:lang w:val="sk-SK"/>
        </w:rPr>
      </w:pPr>
    </w:p>
    <w:p w14:paraId="34649841" w14:textId="77777777" w:rsidR="002D49B0" w:rsidRPr="00083739" w:rsidRDefault="002D49B0">
      <w:pPr>
        <w:spacing w:before="120" w:after="120" w:line="240" w:lineRule="auto"/>
        <w:ind w:left="709"/>
        <w:jc w:val="both"/>
        <w:rPr>
          <w:rFonts w:ascii="Times New Roman" w:hAnsi="Times New Roman" w:cs="Times New Roman"/>
          <w:noProof/>
          <w:sz w:val="24"/>
          <w:lang w:val="sk-SK"/>
        </w:rPr>
        <w:sectPr w:rsidR="002D49B0" w:rsidRPr="00083739" w:rsidSect="00271D33">
          <w:headerReference w:type="even" r:id="rId31"/>
          <w:headerReference w:type="default" r:id="rId32"/>
          <w:footerReference w:type="even" r:id="rId33"/>
          <w:footerReference w:type="default" r:id="rId34"/>
          <w:headerReference w:type="first" r:id="rId35"/>
          <w:footerReference w:type="first" r:id="rId36"/>
          <w:pgSz w:w="11907" w:h="16839"/>
          <w:pgMar w:top="1134" w:right="1134" w:bottom="1134" w:left="1134" w:header="567" w:footer="567" w:gutter="0"/>
          <w:cols w:space="720"/>
          <w:docGrid w:linePitch="360"/>
        </w:sectPr>
      </w:pPr>
    </w:p>
    <w:p w14:paraId="0CD3600D" w14:textId="77777777" w:rsidR="00083739" w:rsidRPr="00083739" w:rsidRDefault="00BF4125">
      <w:pPr>
        <w:pStyle w:val="P68B1DB1-Normal11"/>
        <w:keepNext/>
        <w:keepLines/>
        <w:spacing w:before="40" w:after="0" w:line="240" w:lineRule="auto"/>
        <w:jc w:val="both"/>
        <w:outlineLvl w:val="4"/>
        <w:rPr>
          <w:rFonts w:ascii="Times New Roman" w:hAnsi="Times New Roman" w:cs="Times New Roman"/>
          <w:noProof/>
          <w:color w:val="365F91"/>
          <w:lang w:val="sk-SK"/>
        </w:rPr>
      </w:pPr>
      <w:r w:rsidRPr="00083739">
        <w:rPr>
          <w:rFonts w:ascii="Times New Roman" w:hAnsi="Times New Roman" w:cs="Times New Roman"/>
          <w:b/>
          <w:noProof/>
          <w:u w:val="single"/>
          <w:lang w:val="sk-SK"/>
        </w:rPr>
        <w:t>B.2. Míľniky, ciele, ukazovatele</w:t>
      </w:r>
      <w:r w:rsidR="00083739" w:rsidRPr="00083739">
        <w:rPr>
          <w:rFonts w:ascii="Times New Roman" w:hAnsi="Times New Roman" w:cs="Times New Roman"/>
          <w:b/>
          <w:noProof/>
          <w:u w:val="single"/>
          <w:lang w:val="sk-SK"/>
        </w:rPr>
        <w:t xml:space="preserve"> a </w:t>
      </w:r>
      <w:r w:rsidRPr="00083739">
        <w:rPr>
          <w:rFonts w:ascii="Times New Roman" w:hAnsi="Times New Roman" w:cs="Times New Roman"/>
          <w:b/>
          <w:noProof/>
          <w:u w:val="single"/>
          <w:lang w:val="sk-SK"/>
        </w:rPr>
        <w:t>harmonogram monitorovania</w:t>
      </w:r>
      <w:r w:rsidR="00083739" w:rsidRPr="00083739">
        <w:rPr>
          <w:rFonts w:ascii="Times New Roman" w:hAnsi="Times New Roman" w:cs="Times New Roman"/>
          <w:b/>
          <w:noProof/>
          <w:u w:val="single"/>
          <w:lang w:val="sk-SK"/>
        </w:rPr>
        <w:t xml:space="preserve"> a </w:t>
      </w:r>
      <w:r w:rsidRPr="00083739">
        <w:rPr>
          <w:rFonts w:ascii="Times New Roman" w:hAnsi="Times New Roman" w:cs="Times New Roman"/>
          <w:b/>
          <w:noProof/>
          <w:u w:val="single"/>
          <w:lang w:val="sk-SK"/>
        </w:rPr>
        <w:t>realizácie pre nenávratnú finančnú podporu</w:t>
      </w:r>
    </w:p>
    <w:p w14:paraId="17CE9668" w14:textId="5E94C841" w:rsidR="002D49B0" w:rsidRPr="00083739" w:rsidRDefault="002D49B0">
      <w:pPr>
        <w:rPr>
          <w:rFonts w:ascii="Times New Roman" w:hAnsi="Times New Roman" w:cs="Times New Roman"/>
          <w:noProof/>
          <w:lang w:val="sk-SK"/>
        </w:rPr>
      </w:pPr>
    </w:p>
    <w:p w14:paraId="6B6CDB30" w14:textId="77777777" w:rsidR="002D49B0" w:rsidRPr="00083739" w:rsidRDefault="00BF4125">
      <w:pPr>
        <w:pStyle w:val="P68B1DB1-Normal6"/>
        <w:keepNext/>
        <w:keepLines/>
        <w:spacing w:before="40" w:after="0" w:line="240" w:lineRule="auto"/>
        <w:jc w:val="both"/>
        <w:outlineLvl w:val="4"/>
        <w:rPr>
          <w:rFonts w:ascii="Times New Roman" w:eastAsia="Times New Roman" w:hAnsi="Times New Roman" w:cs="Times New Roman"/>
          <w:noProof/>
          <w:szCs w:val="24"/>
          <w:lang w:val="sk-SK"/>
        </w:rPr>
      </w:pPr>
      <w:r w:rsidRPr="00083739">
        <w:rPr>
          <w:rFonts w:ascii="Times New Roman" w:hAnsi="Times New Roman" w:cs="Times New Roman"/>
          <w:noProof/>
          <w:lang w:val="sk-SK"/>
        </w:rPr>
        <w:t>Najvyššia investícia 2: Energetická obnova obytných budov</w:t>
      </w:r>
    </w:p>
    <w:tbl>
      <w:tblPr>
        <w:tblW w:w="1536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1616"/>
        <w:gridCol w:w="1115"/>
        <w:gridCol w:w="1096"/>
        <w:gridCol w:w="2311"/>
        <w:gridCol w:w="1346"/>
        <w:gridCol w:w="999"/>
        <w:gridCol w:w="820"/>
        <w:gridCol w:w="1167"/>
        <w:gridCol w:w="709"/>
        <w:gridCol w:w="3156"/>
      </w:tblGrid>
      <w:tr w:rsidR="002D49B0" w:rsidRPr="00083739" w14:paraId="2E434670" w14:textId="77777777" w:rsidTr="006B0378">
        <w:trPr>
          <w:trHeight w:val="927"/>
          <w:tblHeader/>
        </w:trPr>
        <w:tc>
          <w:tcPr>
            <w:tcW w:w="1027" w:type="dxa"/>
            <w:vMerge w:val="restart"/>
            <w:shd w:val="clear" w:color="auto" w:fill="BDD7EE"/>
            <w:vAlign w:val="center"/>
            <w:hideMark/>
          </w:tcPr>
          <w:p w14:paraId="4A219E3F"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Poradové </w:t>
            </w:r>
            <w:r w:rsidRPr="00083739">
              <w:rPr>
                <w:rFonts w:cs="Times New Roman"/>
                <w:noProof/>
                <w:lang w:val="sk-SK"/>
              </w:rPr>
              <w:t>číslo</w:t>
            </w:r>
          </w:p>
        </w:tc>
        <w:tc>
          <w:tcPr>
            <w:tcW w:w="1616" w:type="dxa"/>
            <w:vMerge w:val="restart"/>
            <w:shd w:val="clear" w:color="auto" w:fill="BDD7EE"/>
            <w:vAlign w:val="center"/>
            <w:hideMark/>
          </w:tcPr>
          <w:p w14:paraId="06C0C09D"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Súvisiace opatrenie (reforma alebo investícia)</w:t>
            </w:r>
          </w:p>
        </w:tc>
        <w:tc>
          <w:tcPr>
            <w:tcW w:w="1115" w:type="dxa"/>
            <w:vMerge w:val="restart"/>
            <w:shd w:val="clear" w:color="auto" w:fill="BDD7EE"/>
            <w:vAlign w:val="center"/>
            <w:hideMark/>
          </w:tcPr>
          <w:p w14:paraId="2BAA05D4"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Míľnik/cieľ</w:t>
            </w:r>
          </w:p>
        </w:tc>
        <w:tc>
          <w:tcPr>
            <w:tcW w:w="1096" w:type="dxa"/>
            <w:vMerge w:val="restart"/>
            <w:shd w:val="clear" w:color="auto" w:fill="BDD7EE"/>
            <w:vAlign w:val="center"/>
            <w:hideMark/>
          </w:tcPr>
          <w:p w14:paraId="34AE51BC"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Názov</w:t>
            </w:r>
          </w:p>
        </w:tc>
        <w:tc>
          <w:tcPr>
            <w:tcW w:w="2311" w:type="dxa"/>
            <w:vMerge w:val="restart"/>
            <w:shd w:val="clear" w:color="auto" w:fill="BDD7EE"/>
            <w:vAlign w:val="center"/>
            <w:hideMark/>
          </w:tcPr>
          <w:p w14:paraId="1E826A39"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Kvalitatívne ukazovatele (pre míľniky)</w:t>
            </w:r>
          </w:p>
        </w:tc>
        <w:tc>
          <w:tcPr>
            <w:tcW w:w="3165" w:type="dxa"/>
            <w:gridSpan w:val="3"/>
            <w:shd w:val="clear" w:color="auto" w:fill="BDD7EE"/>
            <w:vAlign w:val="center"/>
            <w:hideMark/>
          </w:tcPr>
          <w:p w14:paraId="0C31C6C8"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Kvantitatívne ukazovatele (pre ciele)</w:t>
            </w:r>
          </w:p>
        </w:tc>
        <w:tc>
          <w:tcPr>
            <w:tcW w:w="1876" w:type="dxa"/>
            <w:gridSpan w:val="2"/>
            <w:shd w:val="clear" w:color="auto" w:fill="BDD7EE"/>
            <w:vAlign w:val="center"/>
            <w:hideMark/>
          </w:tcPr>
          <w:p w14:paraId="6CA3915D"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Orientačný harmonogram dokončenia </w:t>
            </w:r>
          </w:p>
        </w:tc>
        <w:tc>
          <w:tcPr>
            <w:tcW w:w="3156" w:type="dxa"/>
            <w:vMerge w:val="restart"/>
            <w:shd w:val="clear" w:color="auto" w:fill="BDD7EE"/>
            <w:vAlign w:val="center"/>
            <w:hideMark/>
          </w:tcPr>
          <w:p w14:paraId="5A0C8B27" w14:textId="1AFFD56F"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Opis každého míľnika</w:t>
            </w:r>
            <w:r w:rsidR="00083739" w:rsidRPr="00083739">
              <w:rPr>
                <w:rFonts w:cs="Times New Roman"/>
                <w:noProof/>
                <w:lang w:val="sk-SK"/>
              </w:rPr>
              <w:t xml:space="preserve"> a </w:t>
            </w:r>
            <w:r w:rsidRPr="00083739">
              <w:rPr>
                <w:rFonts w:cs="Times New Roman"/>
                <w:noProof/>
                <w:lang w:val="sk-SK"/>
              </w:rPr>
              <w:t>cieľa</w:t>
            </w:r>
          </w:p>
        </w:tc>
      </w:tr>
      <w:tr w:rsidR="002D49B0" w:rsidRPr="00083739" w14:paraId="60AF2A2E" w14:textId="77777777" w:rsidTr="006B0378">
        <w:trPr>
          <w:trHeight w:val="1013"/>
          <w:tblHeader/>
        </w:trPr>
        <w:tc>
          <w:tcPr>
            <w:tcW w:w="1027" w:type="dxa"/>
            <w:vMerge/>
            <w:vAlign w:val="center"/>
            <w:hideMark/>
          </w:tcPr>
          <w:p w14:paraId="65F20669"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616" w:type="dxa"/>
            <w:vMerge/>
            <w:vAlign w:val="center"/>
            <w:hideMark/>
          </w:tcPr>
          <w:p w14:paraId="10ECCE2D"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115" w:type="dxa"/>
            <w:vMerge/>
            <w:vAlign w:val="center"/>
            <w:hideMark/>
          </w:tcPr>
          <w:p w14:paraId="67AE5AA1"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096" w:type="dxa"/>
            <w:vMerge/>
            <w:vAlign w:val="center"/>
            <w:hideMark/>
          </w:tcPr>
          <w:p w14:paraId="26D7BADE"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2311" w:type="dxa"/>
            <w:vMerge/>
            <w:vAlign w:val="center"/>
            <w:hideMark/>
          </w:tcPr>
          <w:p w14:paraId="3D288B19"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346" w:type="dxa"/>
            <w:shd w:val="clear" w:color="auto" w:fill="BDD7EE"/>
            <w:vAlign w:val="center"/>
            <w:hideMark/>
          </w:tcPr>
          <w:p w14:paraId="576D1D9D"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Merná jednotka</w:t>
            </w:r>
          </w:p>
        </w:tc>
        <w:tc>
          <w:tcPr>
            <w:tcW w:w="999" w:type="dxa"/>
            <w:shd w:val="clear" w:color="auto" w:fill="BDD7EE"/>
            <w:vAlign w:val="center"/>
            <w:hideMark/>
          </w:tcPr>
          <w:p w14:paraId="10160095"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Základná </w:t>
            </w:r>
          </w:p>
        </w:tc>
        <w:tc>
          <w:tcPr>
            <w:tcW w:w="820" w:type="dxa"/>
            <w:shd w:val="clear" w:color="auto" w:fill="BDD7EE"/>
            <w:vAlign w:val="center"/>
            <w:hideMark/>
          </w:tcPr>
          <w:p w14:paraId="372100DD"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Cieľ </w:t>
            </w:r>
          </w:p>
        </w:tc>
        <w:tc>
          <w:tcPr>
            <w:tcW w:w="1167" w:type="dxa"/>
            <w:shd w:val="clear" w:color="auto" w:fill="BDD7EE"/>
            <w:vAlign w:val="center"/>
            <w:hideMark/>
          </w:tcPr>
          <w:p w14:paraId="082AE2A0"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Štvrtina</w:t>
            </w:r>
          </w:p>
        </w:tc>
        <w:tc>
          <w:tcPr>
            <w:tcW w:w="709" w:type="dxa"/>
            <w:shd w:val="clear" w:color="auto" w:fill="BDD7EE"/>
            <w:vAlign w:val="center"/>
            <w:hideMark/>
          </w:tcPr>
          <w:p w14:paraId="7044BA69"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Rok</w:t>
            </w:r>
          </w:p>
        </w:tc>
        <w:tc>
          <w:tcPr>
            <w:tcW w:w="3156" w:type="dxa"/>
            <w:vMerge/>
            <w:vAlign w:val="center"/>
            <w:hideMark/>
          </w:tcPr>
          <w:p w14:paraId="17B04762"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r>
      <w:tr w:rsidR="002D49B0" w:rsidRPr="00083739" w14:paraId="1214F64F" w14:textId="77777777" w:rsidTr="006B0378">
        <w:trPr>
          <w:trHeight w:val="309"/>
        </w:trPr>
        <w:tc>
          <w:tcPr>
            <w:tcW w:w="1027" w:type="dxa"/>
            <w:shd w:val="clear" w:color="auto" w:fill="C6EFCE"/>
            <w:noWrap/>
            <w:hideMark/>
          </w:tcPr>
          <w:p w14:paraId="3AF20DA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w:t>
            </w:r>
          </w:p>
        </w:tc>
        <w:tc>
          <w:tcPr>
            <w:tcW w:w="1616" w:type="dxa"/>
            <w:shd w:val="clear" w:color="auto" w:fill="C6EFCE"/>
            <w:noWrap/>
            <w:hideMark/>
          </w:tcPr>
          <w:p w14:paraId="7302FC4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 – 1.2. Renovácia – 16872_Energetická obnova obytných budov</w:t>
            </w:r>
          </w:p>
        </w:tc>
        <w:tc>
          <w:tcPr>
            <w:tcW w:w="1115" w:type="dxa"/>
            <w:shd w:val="clear" w:color="auto" w:fill="C6EFCE"/>
            <w:noWrap/>
            <w:hideMark/>
          </w:tcPr>
          <w:p w14:paraId="5494777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096" w:type="dxa"/>
            <w:shd w:val="clear" w:color="auto" w:fill="C6EFCE"/>
            <w:noWrap/>
            <w:hideMark/>
          </w:tcPr>
          <w:p w14:paraId="5EB739D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Obnova obytných budov –</w:t>
            </w:r>
            <w:r w:rsidRPr="00083739">
              <w:rPr>
                <w:rFonts w:ascii="Times New Roman" w:hAnsi="Times New Roman" w:cs="Times New Roman"/>
                <w:noProof/>
                <w:vertAlign w:val="superscript"/>
                <w:lang w:val="sk-SK"/>
              </w:rPr>
              <w:t>spustenie</w:t>
            </w:r>
            <w:r w:rsidRPr="00083739">
              <w:rPr>
                <w:rFonts w:ascii="Times New Roman" w:hAnsi="Times New Roman" w:cs="Times New Roman"/>
                <w:noProof/>
                <w:lang w:val="sk-SK"/>
              </w:rPr>
              <w:t xml:space="preserve"> 1. kola</w:t>
            </w:r>
          </w:p>
        </w:tc>
        <w:tc>
          <w:tcPr>
            <w:tcW w:w="2311" w:type="dxa"/>
            <w:shd w:val="clear" w:color="auto" w:fill="C6EFCE"/>
            <w:noWrap/>
            <w:hideMark/>
          </w:tcPr>
          <w:p w14:paraId="3632B66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Nadobudnutie účinnosti spoločného ministerského rozhodnutia </w:t>
            </w:r>
          </w:p>
        </w:tc>
        <w:tc>
          <w:tcPr>
            <w:tcW w:w="1346" w:type="dxa"/>
            <w:shd w:val="clear" w:color="auto" w:fill="C6EFCE"/>
            <w:noWrap/>
            <w:hideMark/>
          </w:tcPr>
          <w:p w14:paraId="528BC02B"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9" w:type="dxa"/>
            <w:shd w:val="clear" w:color="auto" w:fill="C6EFCE"/>
            <w:noWrap/>
            <w:hideMark/>
          </w:tcPr>
          <w:p w14:paraId="5658010B"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20" w:type="dxa"/>
            <w:shd w:val="clear" w:color="auto" w:fill="C6EFCE"/>
            <w:noWrap/>
            <w:hideMark/>
          </w:tcPr>
          <w:p w14:paraId="092CF185"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167" w:type="dxa"/>
            <w:shd w:val="clear" w:color="auto" w:fill="C6EFCE"/>
            <w:noWrap/>
            <w:hideMark/>
          </w:tcPr>
          <w:p w14:paraId="1C3A2BB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09" w:type="dxa"/>
            <w:shd w:val="clear" w:color="auto" w:fill="C6EFCE"/>
            <w:noWrap/>
            <w:hideMark/>
          </w:tcPr>
          <w:p w14:paraId="7EAC18B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2020</w:t>
            </w:r>
          </w:p>
        </w:tc>
        <w:tc>
          <w:tcPr>
            <w:tcW w:w="3156" w:type="dxa"/>
            <w:shd w:val="clear" w:color="auto" w:fill="C6EFCE"/>
            <w:noWrap/>
            <w:hideMark/>
          </w:tcPr>
          <w:p w14:paraId="125CF92C" w14:textId="1B2F0ED6"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 xml:space="preserve">Nadobudnutie účinnosti spoločného </w:t>
            </w:r>
            <w:r w:rsidRPr="00083739">
              <w:rPr>
                <w:rFonts w:ascii="Times New Roman" w:hAnsi="Times New Roman" w:cs="Times New Roman"/>
                <w:noProof/>
                <w:lang w:val="sk-SK"/>
              </w:rPr>
              <w:t>ministerského rozhodnutia</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začatí programu prvého kola obnovy vrátane zavedenia výberového procesu</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cieľom zabezpečiť, aby sa spotreba primárnej energie obytných jednotiek znížila aspoň</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30</w:t>
            </w:r>
            <w:r w:rsidR="00083739" w:rsidRPr="00083739">
              <w:rPr>
                <w:rFonts w:ascii="Times New Roman" w:hAnsi="Times New Roman" w:cs="Times New Roman"/>
                <w:noProof/>
                <w:lang w:val="sk-SK"/>
              </w:rPr>
              <w:t> % v </w:t>
            </w:r>
            <w:r w:rsidRPr="00083739">
              <w:rPr>
                <w:rFonts w:ascii="Times New Roman" w:hAnsi="Times New Roman" w:cs="Times New Roman"/>
                <w:noProof/>
                <w:lang w:val="sk-SK"/>
              </w:rPr>
              <w:t>porovnaní</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počiatočnou výkonnosťou rezidencie vypočítanou</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kWh/m</w:t>
            </w:r>
            <w:r w:rsidRPr="00083739">
              <w:rPr>
                <w:rFonts w:ascii="Times New Roman" w:hAnsi="Times New Roman" w:cs="Times New Roman"/>
                <w:noProof/>
                <w:vertAlign w:val="superscript"/>
                <w:lang w:val="sk-SK"/>
              </w:rPr>
              <w:t>2</w:t>
            </w:r>
            <w:r w:rsidR="00083739" w:rsidRPr="00083739">
              <w:rPr>
                <w:rFonts w:ascii="Times New Roman" w:hAnsi="Times New Roman" w:cs="Times New Roman"/>
                <w:noProof/>
                <w:lang w:val="sk-SK"/>
              </w:rPr>
              <w:t>.</w:t>
            </w:r>
          </w:p>
          <w:p w14:paraId="65F6E540" w14:textId="6FA46FAB"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p w14:paraId="4BC5B14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V spoločnom ministerskom rozhodnutí sa stanovia:</w:t>
            </w:r>
          </w:p>
          <w:p w14:paraId="7A2FA3C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Implementačný mechanizmus,</w:t>
            </w:r>
          </w:p>
          <w:p w14:paraId="10AAC3B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Výberový proces na dosiahnutie stanoveného cieľa úspor primárnej energie,</w:t>
            </w:r>
          </w:p>
          <w:p w14:paraId="0223F737" w14:textId="51CF3742"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Certifikačný mechanizmus na validáciu skutočných dosiahnutých úspor primárnej energie (v</w:t>
            </w:r>
            <w:r w:rsidRPr="00083739">
              <w:rPr>
                <w:rFonts w:ascii="Times New Roman" w:hAnsi="Times New Roman" w:cs="Times New Roman"/>
                <w:noProof/>
                <w:lang w:val="sk-SK"/>
              </w:rPr>
              <w:t>rátane podrobností</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možných nápravných opatreniach na zabezpečenie splnenia cieľa úspor primárnej energie),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zároveň</w:t>
            </w:r>
          </w:p>
          <w:p w14:paraId="38CFAC6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Chronologický prehľad.</w:t>
            </w:r>
          </w:p>
        </w:tc>
      </w:tr>
      <w:tr w:rsidR="002D49B0" w:rsidRPr="00083739" w14:paraId="05077BE3" w14:textId="77777777" w:rsidTr="006B0378">
        <w:trPr>
          <w:trHeight w:val="309"/>
        </w:trPr>
        <w:tc>
          <w:tcPr>
            <w:tcW w:w="1027" w:type="dxa"/>
            <w:shd w:val="clear" w:color="auto" w:fill="C6EFCE"/>
            <w:noWrap/>
            <w:hideMark/>
          </w:tcPr>
          <w:p w14:paraId="493A02D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21</w:t>
            </w:r>
          </w:p>
        </w:tc>
        <w:tc>
          <w:tcPr>
            <w:tcW w:w="1616" w:type="dxa"/>
            <w:shd w:val="clear" w:color="auto" w:fill="C6EFCE"/>
            <w:noWrap/>
            <w:hideMark/>
          </w:tcPr>
          <w:p w14:paraId="518C29F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 – 1.2. Renovácia – 16872_Energetická obnova obytných budov</w:t>
            </w:r>
          </w:p>
        </w:tc>
        <w:tc>
          <w:tcPr>
            <w:tcW w:w="1115" w:type="dxa"/>
            <w:shd w:val="clear" w:color="auto" w:fill="C6EFCE"/>
            <w:noWrap/>
          </w:tcPr>
          <w:p w14:paraId="09335249" w14:textId="77777777"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Míľnik</w:t>
            </w:r>
          </w:p>
          <w:p w14:paraId="10E874AB" w14:textId="77777777" w:rsidR="002D49B0" w:rsidRPr="00083739" w:rsidRDefault="002D49B0">
            <w:pPr>
              <w:rPr>
                <w:rFonts w:ascii="Times New Roman" w:eastAsia="Times New Roman" w:hAnsi="Times New Roman" w:cs="Times New Roman"/>
                <w:noProof/>
                <w:sz w:val="18"/>
                <w:szCs w:val="18"/>
                <w:lang w:val="sk-SK"/>
              </w:rPr>
            </w:pPr>
          </w:p>
          <w:p w14:paraId="40D075CD" w14:textId="77777777" w:rsidR="002D49B0" w:rsidRPr="00083739" w:rsidRDefault="002D49B0">
            <w:pPr>
              <w:rPr>
                <w:rFonts w:ascii="Times New Roman" w:eastAsia="Times New Roman" w:hAnsi="Times New Roman" w:cs="Times New Roman"/>
                <w:noProof/>
                <w:sz w:val="18"/>
                <w:szCs w:val="18"/>
                <w:lang w:val="sk-SK"/>
              </w:rPr>
            </w:pPr>
          </w:p>
          <w:p w14:paraId="1843FD5C" w14:textId="77777777" w:rsidR="002D49B0" w:rsidRPr="00083739" w:rsidRDefault="002D49B0">
            <w:pPr>
              <w:rPr>
                <w:rFonts w:ascii="Times New Roman" w:eastAsia="Times New Roman" w:hAnsi="Times New Roman" w:cs="Times New Roman"/>
                <w:noProof/>
                <w:sz w:val="18"/>
                <w:szCs w:val="18"/>
                <w:lang w:val="sk-SK"/>
              </w:rPr>
            </w:pPr>
          </w:p>
          <w:p w14:paraId="035B7BA1" w14:textId="77777777" w:rsidR="002D49B0" w:rsidRPr="00083739" w:rsidRDefault="002D49B0">
            <w:pPr>
              <w:rPr>
                <w:rFonts w:ascii="Times New Roman" w:eastAsia="Times New Roman" w:hAnsi="Times New Roman" w:cs="Times New Roman"/>
                <w:noProof/>
                <w:sz w:val="18"/>
                <w:szCs w:val="18"/>
                <w:lang w:val="sk-SK"/>
              </w:rPr>
            </w:pPr>
          </w:p>
          <w:p w14:paraId="67A294B8" w14:textId="77777777" w:rsidR="002D49B0" w:rsidRPr="00083739" w:rsidRDefault="002D49B0">
            <w:pPr>
              <w:rPr>
                <w:rFonts w:ascii="Times New Roman" w:eastAsia="Times New Roman" w:hAnsi="Times New Roman" w:cs="Times New Roman"/>
                <w:noProof/>
                <w:sz w:val="18"/>
                <w:szCs w:val="18"/>
                <w:lang w:val="sk-SK"/>
              </w:rPr>
            </w:pPr>
          </w:p>
          <w:p w14:paraId="633050C0" w14:textId="77777777" w:rsidR="002D49B0" w:rsidRPr="00083739" w:rsidRDefault="002D49B0">
            <w:pPr>
              <w:rPr>
                <w:rFonts w:ascii="Times New Roman" w:eastAsia="Times New Roman" w:hAnsi="Times New Roman" w:cs="Times New Roman"/>
                <w:noProof/>
                <w:sz w:val="18"/>
                <w:szCs w:val="18"/>
                <w:lang w:val="sk-SK"/>
              </w:rPr>
            </w:pPr>
          </w:p>
          <w:p w14:paraId="4F96C3E5" w14:textId="77777777" w:rsidR="002D49B0" w:rsidRPr="00083739" w:rsidRDefault="002D49B0">
            <w:pPr>
              <w:rPr>
                <w:rFonts w:ascii="Times New Roman" w:eastAsia="Times New Roman" w:hAnsi="Times New Roman" w:cs="Times New Roman"/>
                <w:noProof/>
                <w:sz w:val="18"/>
                <w:szCs w:val="18"/>
                <w:lang w:val="sk-SK"/>
              </w:rPr>
            </w:pPr>
          </w:p>
        </w:tc>
        <w:tc>
          <w:tcPr>
            <w:tcW w:w="1096" w:type="dxa"/>
            <w:shd w:val="clear" w:color="auto" w:fill="C6EFCE"/>
            <w:noWrap/>
          </w:tcPr>
          <w:p w14:paraId="65E6027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Obnova obytných budov –</w:t>
            </w:r>
            <w:r w:rsidRPr="00083739">
              <w:rPr>
                <w:rFonts w:ascii="Times New Roman" w:hAnsi="Times New Roman" w:cs="Times New Roman"/>
                <w:noProof/>
                <w:vertAlign w:val="superscript"/>
                <w:lang w:val="sk-SK"/>
              </w:rPr>
              <w:t>2.</w:t>
            </w:r>
            <w:r w:rsidRPr="00083739">
              <w:rPr>
                <w:rFonts w:ascii="Times New Roman" w:hAnsi="Times New Roman" w:cs="Times New Roman"/>
                <w:noProof/>
                <w:lang w:val="sk-SK"/>
              </w:rPr>
              <w:t xml:space="preserve"> kolo spustenia vrátane energeticky chudobných domácností</w:t>
            </w:r>
          </w:p>
        </w:tc>
        <w:tc>
          <w:tcPr>
            <w:tcW w:w="2311" w:type="dxa"/>
            <w:shd w:val="clear" w:color="auto" w:fill="C6EFCE"/>
            <w:noWrap/>
          </w:tcPr>
          <w:p w14:paraId="43F9FDC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Nadobudnutie účinnosti spoločného ministerského rozhodnutia </w:t>
            </w:r>
          </w:p>
        </w:tc>
        <w:tc>
          <w:tcPr>
            <w:tcW w:w="1346" w:type="dxa"/>
            <w:shd w:val="clear" w:color="auto" w:fill="C6EFCE"/>
            <w:noWrap/>
          </w:tcPr>
          <w:p w14:paraId="688A887F"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9" w:type="dxa"/>
            <w:shd w:val="clear" w:color="auto" w:fill="C6EFCE"/>
            <w:noWrap/>
          </w:tcPr>
          <w:p w14:paraId="25A366FA"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20" w:type="dxa"/>
            <w:shd w:val="clear" w:color="auto" w:fill="C6EFCE"/>
            <w:noWrap/>
          </w:tcPr>
          <w:p w14:paraId="08B23B72"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167" w:type="dxa"/>
            <w:shd w:val="clear" w:color="auto" w:fill="C6EFCE"/>
            <w:noWrap/>
          </w:tcPr>
          <w:p w14:paraId="389F47D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TRETÍ ŠTVRŤROK</w:t>
            </w:r>
          </w:p>
        </w:tc>
        <w:tc>
          <w:tcPr>
            <w:tcW w:w="709" w:type="dxa"/>
            <w:shd w:val="clear" w:color="auto" w:fill="C6EFCE"/>
            <w:noWrap/>
          </w:tcPr>
          <w:p w14:paraId="51943BF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2022</w:t>
            </w:r>
          </w:p>
        </w:tc>
        <w:tc>
          <w:tcPr>
            <w:tcW w:w="3156" w:type="dxa"/>
            <w:shd w:val="clear" w:color="auto" w:fill="C6EFCE"/>
            <w:noWrap/>
          </w:tcPr>
          <w:p w14:paraId="23D80363" w14:textId="2ADE16FA" w:rsidR="00083739" w:rsidRPr="00083739" w:rsidRDefault="00BF4125">
            <w:pPr>
              <w:pStyle w:val="P68B1DB1-Normal9"/>
              <w:spacing w:after="0" w:line="240" w:lineRule="auto"/>
              <w:rPr>
                <w:rFonts w:ascii="Times New Roman" w:hAnsi="Times New Roman" w:cs="Times New Roman"/>
                <w:noProof/>
                <w:vertAlign w:val="superscript"/>
                <w:lang w:val="sk-SK"/>
              </w:rPr>
            </w:pPr>
            <w:r w:rsidRPr="00083739">
              <w:rPr>
                <w:rFonts w:ascii="Times New Roman" w:hAnsi="Times New Roman" w:cs="Times New Roman"/>
                <w:noProof/>
                <w:lang w:val="sk-SK"/>
              </w:rPr>
              <w:t>Nadobudnutie účinnosti spoločného ministerského rozhodnutia</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spustení programu druhého kola obnovy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začatia prog</w:t>
            </w:r>
            <w:r w:rsidRPr="00083739">
              <w:rPr>
                <w:rFonts w:ascii="Times New Roman" w:hAnsi="Times New Roman" w:cs="Times New Roman"/>
                <w:noProof/>
                <w:lang w:val="sk-SK"/>
              </w:rPr>
              <w:t>ramu pre energeticky chudobné obydlia vrátane zavedenia výberového procesu</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cieľom zabezpečiť, aby sa spotreba primárnej energie</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obydliach znížila aspoň</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30</w:t>
            </w:r>
            <w:r w:rsidR="00083739" w:rsidRPr="00083739">
              <w:rPr>
                <w:rFonts w:ascii="Times New Roman" w:hAnsi="Times New Roman" w:cs="Times New Roman"/>
                <w:noProof/>
                <w:lang w:val="sk-SK"/>
              </w:rPr>
              <w:t> % v </w:t>
            </w:r>
            <w:r w:rsidRPr="00083739">
              <w:rPr>
                <w:rFonts w:ascii="Times New Roman" w:hAnsi="Times New Roman" w:cs="Times New Roman"/>
                <w:noProof/>
                <w:lang w:val="sk-SK"/>
              </w:rPr>
              <w:t>porovnaní</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počiatočnou výkonnosťou obydlia vypočítanou</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kWh/m</w:t>
            </w:r>
            <w:r w:rsidRPr="00083739">
              <w:rPr>
                <w:rFonts w:ascii="Times New Roman" w:hAnsi="Times New Roman" w:cs="Times New Roman"/>
                <w:noProof/>
                <w:vertAlign w:val="superscript"/>
                <w:lang w:val="sk-SK"/>
              </w:rPr>
              <w:t>2</w:t>
            </w:r>
            <w:r w:rsidR="00083739" w:rsidRPr="00083739">
              <w:rPr>
                <w:rFonts w:ascii="Times New Roman" w:hAnsi="Times New Roman" w:cs="Times New Roman"/>
                <w:noProof/>
                <w:vertAlign w:val="superscript"/>
                <w:lang w:val="sk-SK"/>
              </w:rPr>
              <w:t>.</w:t>
            </w:r>
          </w:p>
          <w:p w14:paraId="545E2E3E" w14:textId="13CFBED1" w:rsidR="002D49B0" w:rsidRPr="00083739" w:rsidRDefault="002D49B0" w:rsidP="006B0378">
            <w:pPr>
              <w:spacing w:after="0" w:line="240" w:lineRule="auto"/>
              <w:ind w:right="730"/>
              <w:rPr>
                <w:rFonts w:ascii="Times New Roman" w:eastAsia="Times New Roman" w:hAnsi="Times New Roman" w:cs="Times New Roman"/>
                <w:noProof/>
                <w:color w:val="006100"/>
                <w:sz w:val="18"/>
                <w:szCs w:val="18"/>
                <w:lang w:val="sk-SK"/>
              </w:rPr>
            </w:pPr>
          </w:p>
          <w:p w14:paraId="3C20DD6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V spoločnom ministerskom</w:t>
            </w:r>
            <w:r w:rsidRPr="00083739">
              <w:rPr>
                <w:rFonts w:ascii="Times New Roman" w:hAnsi="Times New Roman" w:cs="Times New Roman"/>
                <w:noProof/>
                <w:lang w:val="sk-SK"/>
              </w:rPr>
              <w:t xml:space="preserve"> rozhodnutí sa stanovia:</w:t>
            </w:r>
          </w:p>
          <w:p w14:paraId="53DBCE2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Implementačný mechanizmus,</w:t>
            </w:r>
          </w:p>
          <w:p w14:paraId="32809E69" w14:textId="77777777" w:rsidR="002D49B0" w:rsidRPr="00083739" w:rsidRDefault="00BF4125" w:rsidP="006B0378">
            <w:pPr>
              <w:pStyle w:val="P68B1DB1-Normal9"/>
              <w:spacing w:after="0" w:line="240" w:lineRule="auto"/>
              <w:ind w:right="730"/>
              <w:rPr>
                <w:rFonts w:ascii="Times New Roman" w:eastAsia="Times New Roman" w:hAnsi="Times New Roman" w:cs="Times New Roman"/>
                <w:noProof/>
                <w:szCs w:val="18"/>
                <w:lang w:val="sk-SK"/>
              </w:rPr>
            </w:pPr>
            <w:r w:rsidRPr="00083739">
              <w:rPr>
                <w:rFonts w:ascii="Times New Roman" w:hAnsi="Times New Roman" w:cs="Times New Roman"/>
                <w:noProof/>
                <w:lang w:val="sk-SK"/>
              </w:rPr>
              <w:t>— Výberový proces na dosiahnutie stanoveného cieľa úspor primárnej energie,</w:t>
            </w:r>
          </w:p>
          <w:p w14:paraId="0B49FFBC" w14:textId="70E7876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Ustanovenia týkajúce sa energeticky chudobných obydlí</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súlade</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kritériami stanovenými</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prijatom akčnom pláne energetickej</w:t>
            </w:r>
            <w:r w:rsidRPr="00083739">
              <w:rPr>
                <w:rFonts w:ascii="Times New Roman" w:hAnsi="Times New Roman" w:cs="Times New Roman"/>
                <w:noProof/>
                <w:lang w:val="sk-SK"/>
              </w:rPr>
              <w:t xml:space="preserve"> chudoby na potvrdenie skutočných dosiahnutých úspor primárnej energie (vrátane podrobností</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možných nápravných opatreniach na zabezpečenie splnenia cieľa úspor primárnej energie),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zároveň</w:t>
            </w:r>
          </w:p>
          <w:p w14:paraId="30E47DC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Chronologický prehľad.</w:t>
            </w:r>
          </w:p>
          <w:p w14:paraId="48B92044"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p w14:paraId="0117B1AA" w14:textId="1905909F"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Osobitné ustanovenie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vyčlenených fin</w:t>
            </w:r>
            <w:r w:rsidRPr="00083739">
              <w:rPr>
                <w:rFonts w:ascii="Times New Roman" w:hAnsi="Times New Roman" w:cs="Times New Roman"/>
                <w:noProof/>
                <w:lang w:val="sk-SK"/>
              </w:rPr>
              <w:t>ančných prostriedkoch na riešenie energeticky chudobných obydlí, ako sa vymedzuje</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 xml:space="preserve">kritériách akčného plánu pre energetickú chudobu. </w:t>
            </w:r>
          </w:p>
        </w:tc>
      </w:tr>
      <w:tr w:rsidR="002D49B0" w:rsidRPr="00083739" w14:paraId="180A7629" w14:textId="77777777" w:rsidTr="006B0378">
        <w:trPr>
          <w:trHeight w:val="309"/>
        </w:trPr>
        <w:tc>
          <w:tcPr>
            <w:tcW w:w="1027" w:type="dxa"/>
            <w:shd w:val="clear" w:color="auto" w:fill="C6EFCE"/>
            <w:noWrap/>
            <w:hideMark/>
          </w:tcPr>
          <w:p w14:paraId="0B285EA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22</w:t>
            </w:r>
          </w:p>
        </w:tc>
        <w:tc>
          <w:tcPr>
            <w:tcW w:w="1616" w:type="dxa"/>
            <w:shd w:val="clear" w:color="auto" w:fill="C6EFCE"/>
            <w:noWrap/>
            <w:hideMark/>
          </w:tcPr>
          <w:p w14:paraId="26C2F71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 – 1.2. Renovácia – 16872_Energetická obnova obytných budov</w:t>
            </w:r>
          </w:p>
        </w:tc>
        <w:tc>
          <w:tcPr>
            <w:tcW w:w="1115" w:type="dxa"/>
            <w:shd w:val="clear" w:color="auto" w:fill="C6EFCE"/>
            <w:noWrap/>
            <w:hideMark/>
          </w:tcPr>
          <w:p w14:paraId="208D716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096" w:type="dxa"/>
            <w:shd w:val="clear" w:color="auto" w:fill="C6EFCE"/>
            <w:noWrap/>
            <w:hideMark/>
          </w:tcPr>
          <w:p w14:paraId="6D44056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Obnova obytných budov –</w:t>
            </w:r>
            <w:r w:rsidRPr="00083739">
              <w:rPr>
                <w:rFonts w:ascii="Times New Roman" w:hAnsi="Times New Roman" w:cs="Times New Roman"/>
                <w:noProof/>
                <w:vertAlign w:val="superscript"/>
                <w:lang w:val="sk-SK"/>
              </w:rPr>
              <w:t>spustenie</w:t>
            </w:r>
            <w:r w:rsidRPr="00083739">
              <w:rPr>
                <w:rFonts w:ascii="Times New Roman" w:hAnsi="Times New Roman" w:cs="Times New Roman"/>
                <w:noProof/>
                <w:lang w:val="sk-SK"/>
              </w:rPr>
              <w:t xml:space="preserve"> 3. kola vrátane energeticky chudobných domácností</w:t>
            </w:r>
          </w:p>
        </w:tc>
        <w:tc>
          <w:tcPr>
            <w:tcW w:w="2311" w:type="dxa"/>
            <w:shd w:val="clear" w:color="auto" w:fill="C6EFCE"/>
            <w:noWrap/>
            <w:hideMark/>
          </w:tcPr>
          <w:p w14:paraId="65905F3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spoločného ministerského rozhodnutia</w:t>
            </w:r>
          </w:p>
        </w:tc>
        <w:tc>
          <w:tcPr>
            <w:tcW w:w="1346" w:type="dxa"/>
            <w:shd w:val="clear" w:color="auto" w:fill="C6EFCE"/>
            <w:noWrap/>
            <w:hideMark/>
          </w:tcPr>
          <w:p w14:paraId="6EA0B0BE"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9" w:type="dxa"/>
            <w:shd w:val="clear" w:color="auto" w:fill="C6EFCE"/>
            <w:noWrap/>
            <w:hideMark/>
          </w:tcPr>
          <w:p w14:paraId="25A94FFA"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20" w:type="dxa"/>
            <w:shd w:val="clear" w:color="auto" w:fill="C6EFCE"/>
            <w:noWrap/>
            <w:hideMark/>
          </w:tcPr>
          <w:p w14:paraId="6B6DF379"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167" w:type="dxa"/>
            <w:shd w:val="clear" w:color="auto" w:fill="C6EFCE"/>
            <w:noWrap/>
            <w:hideMark/>
          </w:tcPr>
          <w:p w14:paraId="742257F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09" w:type="dxa"/>
            <w:shd w:val="clear" w:color="auto" w:fill="C6EFCE"/>
            <w:noWrap/>
            <w:hideMark/>
          </w:tcPr>
          <w:p w14:paraId="6496D95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2022</w:t>
            </w:r>
          </w:p>
        </w:tc>
        <w:tc>
          <w:tcPr>
            <w:tcW w:w="3156" w:type="dxa"/>
            <w:shd w:val="clear" w:color="auto" w:fill="C6EFCE"/>
            <w:noWrap/>
            <w:hideMark/>
          </w:tcPr>
          <w:p w14:paraId="0A1C69EC" w14:textId="7B7A8B9E"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spoločného ministerského rozhodnutia</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začatí programu tretieho kola obnovy vrátane zavedenia výbe</w:t>
            </w:r>
            <w:r w:rsidRPr="00083739">
              <w:rPr>
                <w:rFonts w:ascii="Times New Roman" w:hAnsi="Times New Roman" w:cs="Times New Roman"/>
                <w:noProof/>
                <w:lang w:val="sk-SK"/>
              </w:rPr>
              <w:t>rového procesu</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cieľom zabezpečiť, aby sa spotreba primárnej energie obytných jednotiek znížila aspoň</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30</w:t>
            </w:r>
            <w:r w:rsidR="00083739" w:rsidRPr="00083739">
              <w:rPr>
                <w:rFonts w:ascii="Times New Roman" w:hAnsi="Times New Roman" w:cs="Times New Roman"/>
                <w:noProof/>
                <w:lang w:val="sk-SK"/>
              </w:rPr>
              <w:t> % v </w:t>
            </w:r>
            <w:r w:rsidRPr="00083739">
              <w:rPr>
                <w:rFonts w:ascii="Times New Roman" w:hAnsi="Times New Roman" w:cs="Times New Roman"/>
                <w:noProof/>
                <w:lang w:val="sk-SK"/>
              </w:rPr>
              <w:t>porovnaní</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počiatočnou výkonnosťou rezidencie vypočítanou</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kWh/m</w:t>
            </w:r>
            <w:r w:rsidRPr="00083739">
              <w:rPr>
                <w:rFonts w:ascii="Times New Roman" w:hAnsi="Times New Roman" w:cs="Times New Roman"/>
                <w:noProof/>
                <w:vertAlign w:val="superscript"/>
                <w:lang w:val="sk-SK"/>
              </w:rPr>
              <w:t>2.</w:t>
            </w:r>
          </w:p>
          <w:p w14:paraId="7F18469E"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p w14:paraId="615A0AF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V spoločnom ministerskom rozhodnutí sa stanovia:</w:t>
            </w:r>
          </w:p>
          <w:p w14:paraId="5663916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Implementačný mechanizm</w:t>
            </w:r>
            <w:r w:rsidRPr="00083739">
              <w:rPr>
                <w:rFonts w:ascii="Times New Roman" w:hAnsi="Times New Roman" w:cs="Times New Roman"/>
                <w:noProof/>
                <w:lang w:val="sk-SK"/>
              </w:rPr>
              <w:t>us,</w:t>
            </w:r>
          </w:p>
          <w:p w14:paraId="5ABBF164" w14:textId="77777777"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 Výberový proces na dosiahnutie stanoveného cieľa úspor primárnej energie,</w:t>
            </w:r>
          </w:p>
          <w:p w14:paraId="2C86F27C" w14:textId="24187E8F"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Ustanovenia pre energeticky chudobné obydlia</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súlade</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kritériami stanovenými</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prijatom akčnom pláne pre energetickú chudobu;</w:t>
            </w:r>
          </w:p>
          <w:p w14:paraId="501159B6" w14:textId="1514C43C" w:rsidR="002D49B0" w:rsidRPr="00083739" w:rsidRDefault="00BF4125" w:rsidP="006B0378">
            <w:pPr>
              <w:pStyle w:val="P68B1DB1-Normal9"/>
              <w:spacing w:after="0" w:line="240" w:lineRule="auto"/>
              <w:ind w:right="850"/>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 Certifikačný mechanizmus na validáciu </w:t>
            </w:r>
            <w:r w:rsidRPr="00083739">
              <w:rPr>
                <w:rFonts w:ascii="Times New Roman" w:hAnsi="Times New Roman" w:cs="Times New Roman"/>
                <w:noProof/>
                <w:lang w:val="sk-SK"/>
              </w:rPr>
              <w:t>skutočných dosiahnutých úspor primárnej energie (vrátane podrobností</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možných nápravných opatreniach na zabezpečenie splnenia cieľa úspor primárnej energie),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zároveň</w:t>
            </w:r>
          </w:p>
          <w:p w14:paraId="44AB6CB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Chronologický prehľad.</w:t>
            </w:r>
          </w:p>
          <w:p w14:paraId="7F767AE6"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p w14:paraId="7F55C243" w14:textId="7D85953A"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Osobitné ustanovenie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vyčlenených finančných prostriedkoch n</w:t>
            </w:r>
            <w:r w:rsidRPr="00083739">
              <w:rPr>
                <w:rFonts w:ascii="Times New Roman" w:hAnsi="Times New Roman" w:cs="Times New Roman"/>
                <w:noProof/>
                <w:lang w:val="sk-SK"/>
              </w:rPr>
              <w:t>a riešenie energeticky chudobných obydlí, ako sa vymedzuje</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kritériách akčného plánu pre energetickú chudobu.</w:t>
            </w:r>
          </w:p>
        </w:tc>
      </w:tr>
      <w:tr w:rsidR="002D49B0" w:rsidRPr="00083739" w14:paraId="6FCCD7EE" w14:textId="77777777" w:rsidTr="006B0378">
        <w:trPr>
          <w:trHeight w:val="309"/>
        </w:trPr>
        <w:tc>
          <w:tcPr>
            <w:tcW w:w="1027" w:type="dxa"/>
            <w:shd w:val="clear" w:color="auto" w:fill="C6EFCE"/>
            <w:noWrap/>
            <w:hideMark/>
          </w:tcPr>
          <w:p w14:paraId="6463B31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23</w:t>
            </w:r>
          </w:p>
        </w:tc>
        <w:tc>
          <w:tcPr>
            <w:tcW w:w="1616" w:type="dxa"/>
            <w:shd w:val="clear" w:color="auto" w:fill="C6EFCE"/>
            <w:noWrap/>
            <w:hideMark/>
          </w:tcPr>
          <w:p w14:paraId="5FD9B1D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 – 1.2. Renovácia – 16872_Energetická obnova obytných budov</w:t>
            </w:r>
          </w:p>
        </w:tc>
        <w:tc>
          <w:tcPr>
            <w:tcW w:w="1115" w:type="dxa"/>
            <w:shd w:val="clear" w:color="auto" w:fill="C6EFCE"/>
            <w:noWrap/>
            <w:hideMark/>
          </w:tcPr>
          <w:p w14:paraId="3D89AD4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Cieľ</w:t>
            </w:r>
          </w:p>
        </w:tc>
        <w:tc>
          <w:tcPr>
            <w:tcW w:w="1096" w:type="dxa"/>
            <w:shd w:val="clear" w:color="auto" w:fill="C6EFCE"/>
            <w:noWrap/>
          </w:tcPr>
          <w:p w14:paraId="65C93A8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Obnova obytných jednotiek – obnova obydlí #1</w:t>
            </w:r>
          </w:p>
        </w:tc>
        <w:tc>
          <w:tcPr>
            <w:tcW w:w="2311" w:type="dxa"/>
            <w:shd w:val="clear" w:color="auto" w:fill="C6EFCE"/>
            <w:noWrap/>
          </w:tcPr>
          <w:p w14:paraId="73D76705"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346" w:type="dxa"/>
            <w:shd w:val="clear" w:color="auto" w:fill="C6EFCE"/>
            <w:noWrap/>
            <w:hideMark/>
          </w:tcPr>
          <w:p w14:paraId="29980F1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Počet dokončených certifikovaných renovácií </w:t>
            </w:r>
          </w:p>
        </w:tc>
        <w:tc>
          <w:tcPr>
            <w:tcW w:w="999" w:type="dxa"/>
            <w:shd w:val="clear" w:color="auto" w:fill="C6EFCE"/>
            <w:noWrap/>
            <w:hideMark/>
          </w:tcPr>
          <w:p w14:paraId="498700E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0</w:t>
            </w:r>
          </w:p>
        </w:tc>
        <w:tc>
          <w:tcPr>
            <w:tcW w:w="820" w:type="dxa"/>
            <w:shd w:val="clear" w:color="auto" w:fill="C6EFCE"/>
            <w:noWrap/>
            <w:hideMark/>
          </w:tcPr>
          <w:p w14:paraId="5B397B53" w14:textId="45495AF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8 000</w:t>
            </w:r>
          </w:p>
        </w:tc>
        <w:tc>
          <w:tcPr>
            <w:tcW w:w="1167" w:type="dxa"/>
            <w:shd w:val="clear" w:color="auto" w:fill="C6EFCE"/>
            <w:noWrap/>
            <w:hideMark/>
          </w:tcPr>
          <w:p w14:paraId="473CF2D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09" w:type="dxa"/>
            <w:shd w:val="clear" w:color="auto" w:fill="C6EFCE"/>
            <w:noWrap/>
            <w:hideMark/>
          </w:tcPr>
          <w:p w14:paraId="083D448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2023</w:t>
            </w:r>
          </w:p>
        </w:tc>
        <w:tc>
          <w:tcPr>
            <w:tcW w:w="3156" w:type="dxa"/>
            <w:shd w:val="clear" w:color="auto" w:fill="C6EFCE"/>
            <w:noWrap/>
            <w:hideMark/>
          </w:tcPr>
          <w:p w14:paraId="317BA745" w14:textId="0879B307" w:rsidR="002D49B0" w:rsidRPr="00083739" w:rsidRDefault="00BF4125">
            <w:pPr>
              <w:pStyle w:val="P68B1DB1-Normal10"/>
              <w:spacing w:after="0" w:line="240" w:lineRule="auto"/>
              <w:rPr>
                <w:rFonts w:ascii="Times New Roman" w:hAnsi="Times New Roman" w:cs="Times New Roman"/>
                <w:noProof/>
                <w:lang w:val="sk-SK"/>
              </w:rPr>
            </w:pPr>
            <w:r w:rsidRPr="00083739">
              <w:rPr>
                <w:rFonts w:ascii="Times New Roman" w:hAnsi="Times New Roman" w:cs="Times New Roman"/>
                <w:noProof/>
                <w:lang w:val="sk-SK"/>
              </w:rPr>
              <w:t>Obnovy na zlepšenie energetickej efektívnosti dokončené pre počet obydlí, čo zodpovedá zníženiu energie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16 ktoe ročne</w:t>
            </w:r>
            <w:r w:rsidR="00083739" w:rsidRPr="00083739">
              <w:rPr>
                <w:rFonts w:ascii="Times New Roman" w:hAnsi="Times New Roman" w:cs="Times New Roman"/>
                <w:noProof/>
                <w:lang w:val="sk-SK"/>
              </w:rPr>
              <w:t xml:space="preserve"> a s </w:t>
            </w:r>
            <w:r w:rsidRPr="00083739">
              <w:rPr>
                <w:rFonts w:ascii="Times New Roman" w:hAnsi="Times New Roman" w:cs="Times New Roman"/>
                <w:noProof/>
                <w:lang w:val="sk-SK"/>
              </w:rPr>
              <w:t>úsporami primárnej energie</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priemere aspoň 30</w:t>
            </w:r>
            <w:r w:rsidR="00083739" w:rsidRPr="00083739">
              <w:rPr>
                <w:rFonts w:ascii="Times New Roman" w:hAnsi="Times New Roman" w:cs="Times New Roman"/>
                <w:noProof/>
                <w:lang w:val="sk-SK"/>
              </w:rPr>
              <w:t> %</w:t>
            </w:r>
            <w:r w:rsidRPr="00083739">
              <w:rPr>
                <w:rFonts w:ascii="Times New Roman" w:hAnsi="Times New Roman" w:cs="Times New Roman"/>
                <w:noProof/>
                <w:lang w:val="sk-SK"/>
              </w:rPr>
              <w:t xml:space="preserve"> na základe predložených energetických certifikátov. Rozhodnutie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 xml:space="preserve">dokončení vydané riadiacim orgánom preukazuje dokončenie intervencií. </w:t>
            </w:r>
          </w:p>
        </w:tc>
      </w:tr>
      <w:tr w:rsidR="002D49B0" w:rsidRPr="00083739" w14:paraId="7B68DAA3" w14:textId="77777777" w:rsidTr="006B0378">
        <w:trPr>
          <w:trHeight w:val="309"/>
        </w:trPr>
        <w:tc>
          <w:tcPr>
            <w:tcW w:w="1027" w:type="dxa"/>
            <w:shd w:val="clear" w:color="auto" w:fill="C6EFCE"/>
            <w:noWrap/>
          </w:tcPr>
          <w:p w14:paraId="7989CBB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25</w:t>
            </w:r>
          </w:p>
        </w:tc>
        <w:tc>
          <w:tcPr>
            <w:tcW w:w="1616" w:type="dxa"/>
            <w:shd w:val="clear" w:color="auto" w:fill="C6EFCE"/>
            <w:noWrap/>
          </w:tcPr>
          <w:p w14:paraId="3658A0C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 – 1.2. Renovácia – 16872_Energetická obnova obytných budov</w:t>
            </w:r>
          </w:p>
        </w:tc>
        <w:tc>
          <w:tcPr>
            <w:tcW w:w="1115" w:type="dxa"/>
            <w:shd w:val="clear" w:color="auto" w:fill="C6EFCE"/>
            <w:noWrap/>
          </w:tcPr>
          <w:p w14:paraId="011C5A1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Cieľ</w:t>
            </w:r>
          </w:p>
        </w:tc>
        <w:tc>
          <w:tcPr>
            <w:tcW w:w="1096" w:type="dxa"/>
            <w:shd w:val="clear" w:color="auto" w:fill="C6EFCE"/>
            <w:noWrap/>
          </w:tcPr>
          <w:p w14:paraId="37B90AD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Obnova obytných budov – zelená energia vyrobená </w:t>
            </w:r>
            <w:r w:rsidRPr="00083739">
              <w:rPr>
                <w:rFonts w:ascii="Times New Roman" w:hAnsi="Times New Roman" w:cs="Times New Roman"/>
                <w:noProof/>
                <w:lang w:val="sk-SK"/>
              </w:rPr>
              <w:t>pre energeticky chudobné domácnosti</w:t>
            </w:r>
          </w:p>
        </w:tc>
        <w:tc>
          <w:tcPr>
            <w:tcW w:w="2311" w:type="dxa"/>
            <w:shd w:val="clear" w:color="auto" w:fill="C6EFCE"/>
            <w:noWrap/>
          </w:tcPr>
          <w:p w14:paraId="50E25FFB"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346" w:type="dxa"/>
            <w:shd w:val="clear" w:color="auto" w:fill="C6EFCE"/>
            <w:noWrap/>
          </w:tcPr>
          <w:p w14:paraId="1788FF1F" w14:textId="76A3D36B"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Nová kapacita (MW) obnoviteľných zdrojov energie, ktorá sa má inštalovať </w:t>
            </w:r>
          </w:p>
        </w:tc>
        <w:tc>
          <w:tcPr>
            <w:tcW w:w="999" w:type="dxa"/>
            <w:shd w:val="clear" w:color="auto" w:fill="C6EFCE"/>
            <w:noWrap/>
          </w:tcPr>
          <w:p w14:paraId="7DB0010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0</w:t>
            </w:r>
          </w:p>
        </w:tc>
        <w:tc>
          <w:tcPr>
            <w:tcW w:w="820" w:type="dxa"/>
            <w:shd w:val="clear" w:color="auto" w:fill="C6EFCE"/>
            <w:noWrap/>
          </w:tcPr>
          <w:p w14:paraId="64256A2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150</w:t>
            </w:r>
          </w:p>
          <w:p w14:paraId="0A661B95"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167" w:type="dxa"/>
            <w:shd w:val="clear" w:color="auto" w:fill="C6EFCE"/>
            <w:noWrap/>
          </w:tcPr>
          <w:p w14:paraId="0A3CEC9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09" w:type="dxa"/>
            <w:shd w:val="clear" w:color="auto" w:fill="C6EFCE"/>
            <w:noWrap/>
          </w:tcPr>
          <w:p w14:paraId="5E4C041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3156" w:type="dxa"/>
            <w:shd w:val="clear" w:color="auto" w:fill="C6EFCE"/>
            <w:noWrap/>
          </w:tcPr>
          <w:p w14:paraId="2545AD8A" w14:textId="057F4C5A"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Inštalácia vybavenia</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výkonom najmenej 150 MW novej kapacity obnoviteľných zdrojov energie spojenej</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 xml:space="preserve">energetickými </w:t>
            </w:r>
            <w:r w:rsidRPr="00083739">
              <w:rPr>
                <w:rFonts w:ascii="Times New Roman" w:hAnsi="Times New Roman" w:cs="Times New Roman"/>
                <w:noProof/>
                <w:lang w:val="sk-SK"/>
              </w:rPr>
              <w:t>komunitami prevádzkovanými obcami.  30000 energeticky chudobných domácností, ktoré využívajú program Apollo.</w:t>
            </w:r>
          </w:p>
          <w:p w14:paraId="7D1F5009" w14:textId="4E9606EA"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p w14:paraId="354E5F5C"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p w14:paraId="1AAD0A17"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r>
      <w:tr w:rsidR="002D49B0" w:rsidRPr="00083739" w14:paraId="25ECC123" w14:textId="77777777" w:rsidTr="006B0378">
        <w:trPr>
          <w:trHeight w:val="3914"/>
        </w:trPr>
        <w:tc>
          <w:tcPr>
            <w:tcW w:w="1027" w:type="dxa"/>
            <w:shd w:val="clear" w:color="auto" w:fill="C6EFCE"/>
            <w:noWrap/>
          </w:tcPr>
          <w:p w14:paraId="0098879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26</w:t>
            </w:r>
          </w:p>
        </w:tc>
        <w:tc>
          <w:tcPr>
            <w:tcW w:w="1616" w:type="dxa"/>
            <w:shd w:val="clear" w:color="auto" w:fill="C6EFCE"/>
            <w:noWrap/>
          </w:tcPr>
          <w:p w14:paraId="769686B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 – 1.2. Renovácia – 16872_Energetická obnova obytných budov</w:t>
            </w:r>
          </w:p>
        </w:tc>
        <w:tc>
          <w:tcPr>
            <w:tcW w:w="1115" w:type="dxa"/>
            <w:shd w:val="clear" w:color="auto" w:fill="C6EFCE"/>
            <w:noWrap/>
          </w:tcPr>
          <w:p w14:paraId="07BC0D8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Cieľ</w:t>
            </w:r>
          </w:p>
        </w:tc>
        <w:tc>
          <w:tcPr>
            <w:tcW w:w="1096" w:type="dxa"/>
            <w:shd w:val="clear" w:color="auto" w:fill="C6EFCE"/>
            <w:noWrap/>
          </w:tcPr>
          <w:p w14:paraId="545FC5A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Obnova obytných jednotiek – obnova obydlí #3</w:t>
            </w:r>
          </w:p>
        </w:tc>
        <w:tc>
          <w:tcPr>
            <w:tcW w:w="2311" w:type="dxa"/>
            <w:shd w:val="clear" w:color="auto" w:fill="C6EFCE"/>
            <w:noWrap/>
          </w:tcPr>
          <w:p w14:paraId="792DF6FF"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346" w:type="dxa"/>
            <w:shd w:val="clear" w:color="auto" w:fill="C6EFCE"/>
            <w:noWrap/>
          </w:tcPr>
          <w:p w14:paraId="73698D5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Počet dokončených </w:t>
            </w:r>
            <w:r w:rsidRPr="00083739">
              <w:rPr>
                <w:rFonts w:ascii="Times New Roman" w:hAnsi="Times New Roman" w:cs="Times New Roman"/>
                <w:noProof/>
                <w:lang w:val="sk-SK"/>
              </w:rPr>
              <w:t>certifikovaných renovácií</w:t>
            </w:r>
          </w:p>
        </w:tc>
        <w:tc>
          <w:tcPr>
            <w:tcW w:w="999" w:type="dxa"/>
            <w:shd w:val="clear" w:color="auto" w:fill="C6EFCE"/>
            <w:noWrap/>
          </w:tcPr>
          <w:p w14:paraId="33605AC9" w14:textId="76986CAE"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8 000</w:t>
            </w:r>
          </w:p>
        </w:tc>
        <w:tc>
          <w:tcPr>
            <w:tcW w:w="820" w:type="dxa"/>
            <w:shd w:val="clear" w:color="auto" w:fill="C6EFCE"/>
            <w:noWrap/>
          </w:tcPr>
          <w:p w14:paraId="1287A791" w14:textId="1126A9B9"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105 000</w:t>
            </w:r>
          </w:p>
        </w:tc>
        <w:tc>
          <w:tcPr>
            <w:tcW w:w="1167" w:type="dxa"/>
            <w:shd w:val="clear" w:color="auto" w:fill="C6EFCE"/>
            <w:noWrap/>
          </w:tcPr>
          <w:p w14:paraId="7934114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09" w:type="dxa"/>
            <w:shd w:val="clear" w:color="auto" w:fill="C6EFCE"/>
            <w:noWrap/>
          </w:tcPr>
          <w:p w14:paraId="5D87EC6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3156" w:type="dxa"/>
            <w:shd w:val="clear" w:color="auto" w:fill="C6EFCE"/>
            <w:noWrap/>
          </w:tcPr>
          <w:p w14:paraId="20A99CB0" w14:textId="04BFD955" w:rsidR="002D49B0" w:rsidRPr="00083739" w:rsidRDefault="00BF4125">
            <w:pPr>
              <w:pStyle w:val="P68B1DB1-Normal10"/>
              <w:spacing w:after="0" w:line="240" w:lineRule="auto"/>
              <w:rPr>
                <w:rFonts w:ascii="Times New Roman" w:hAnsi="Times New Roman" w:cs="Times New Roman"/>
                <w:noProof/>
                <w:lang w:val="sk-SK"/>
              </w:rPr>
            </w:pPr>
            <w:r w:rsidRPr="00083739">
              <w:rPr>
                <w:rFonts w:ascii="Times New Roman" w:hAnsi="Times New Roman" w:cs="Times New Roman"/>
                <w:noProof/>
                <w:lang w:val="sk-SK"/>
              </w:rPr>
              <w:t>Dokončenie renovácií na zlepšenie energetickej efektívnosti dokončených pre 105000 obydlí,</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ktorých aspoň 20000 sú energeticky chudobné domácnosti. Zníženie energie zodpovedá 213 ktoe ročne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úspory primárnej energie na základe predložených energetických certifikátov dosahujú</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priemere aspoň 30</w:t>
            </w:r>
            <w:r w:rsidR="00083739" w:rsidRPr="00083739">
              <w:rPr>
                <w:rFonts w:ascii="Times New Roman" w:hAnsi="Times New Roman" w:cs="Times New Roman"/>
                <w:noProof/>
                <w:lang w:val="sk-SK"/>
              </w:rPr>
              <w:t> %</w:t>
            </w:r>
            <w:r w:rsidRPr="00083739">
              <w:rPr>
                <w:rFonts w:ascii="Times New Roman" w:hAnsi="Times New Roman" w:cs="Times New Roman"/>
                <w:noProof/>
                <w:lang w:val="sk-SK"/>
              </w:rPr>
              <w:t xml:space="preserve">. </w:t>
            </w:r>
          </w:p>
        </w:tc>
      </w:tr>
    </w:tbl>
    <w:p w14:paraId="06BA3435" w14:textId="77777777" w:rsidR="002D49B0" w:rsidRPr="00083739" w:rsidRDefault="002D49B0">
      <w:pPr>
        <w:spacing w:before="120" w:after="120" w:line="240" w:lineRule="auto"/>
        <w:ind w:left="709"/>
        <w:jc w:val="both"/>
        <w:rPr>
          <w:rFonts w:ascii="Times New Roman" w:hAnsi="Times New Roman" w:cs="Times New Roman"/>
          <w:noProof/>
          <w:sz w:val="24"/>
          <w:szCs w:val="24"/>
          <w:lang w:val="sk-SK"/>
        </w:rPr>
      </w:pPr>
    </w:p>
    <w:p w14:paraId="4797370A" w14:textId="77777777" w:rsidR="002D49B0" w:rsidRPr="00083739" w:rsidRDefault="002D49B0">
      <w:pPr>
        <w:keepNext/>
        <w:keepLines/>
        <w:spacing w:before="40" w:after="0" w:line="240" w:lineRule="auto"/>
        <w:jc w:val="both"/>
        <w:outlineLvl w:val="4"/>
        <w:rPr>
          <w:rFonts w:ascii="Times New Roman" w:hAnsi="Times New Roman" w:cs="Times New Roman"/>
          <w:noProof/>
          <w:color w:val="365F91"/>
          <w:sz w:val="24"/>
          <w:lang w:val="sk-SK"/>
        </w:rPr>
        <w:sectPr w:rsidR="002D49B0" w:rsidRPr="00083739" w:rsidSect="00271D33">
          <w:headerReference w:type="even" r:id="rId37"/>
          <w:headerReference w:type="default" r:id="rId38"/>
          <w:footerReference w:type="even" r:id="rId39"/>
          <w:footerReference w:type="default" r:id="rId40"/>
          <w:headerReference w:type="first" r:id="rId41"/>
          <w:footerReference w:type="first" r:id="rId42"/>
          <w:pgSz w:w="16839" w:h="11907" w:orient="landscape"/>
          <w:pgMar w:top="1134" w:right="1134" w:bottom="1134" w:left="1134" w:header="567" w:footer="567" w:gutter="0"/>
          <w:cols w:space="720"/>
          <w:docGrid w:linePitch="360"/>
        </w:sectPr>
      </w:pPr>
    </w:p>
    <w:p w14:paraId="0F275CB8" w14:textId="77777777" w:rsidR="002D49B0" w:rsidRPr="00083739" w:rsidRDefault="00BF4125">
      <w:pPr>
        <w:pStyle w:val="P68B1DB1-Normal6"/>
        <w:keepNext/>
        <w:keepLines/>
        <w:spacing w:before="40" w:after="0" w:line="240" w:lineRule="auto"/>
        <w:jc w:val="both"/>
        <w:outlineLvl w:val="4"/>
        <w:rPr>
          <w:rFonts w:ascii="Times New Roman" w:hAnsi="Times New Roman" w:cs="Times New Roman"/>
          <w:noProof/>
          <w:lang w:val="sk-SK"/>
        </w:rPr>
      </w:pPr>
      <w:r w:rsidRPr="00083739">
        <w:rPr>
          <w:rFonts w:ascii="Times New Roman" w:hAnsi="Times New Roman" w:cs="Times New Roman"/>
          <w:noProof/>
          <w:lang w:val="sk-SK"/>
        </w:rPr>
        <w:t>Kľúčová reforma 2: Mestské plány</w:t>
      </w:r>
    </w:p>
    <w:p w14:paraId="741CA966" w14:textId="77777777" w:rsidR="002D49B0" w:rsidRPr="00083739" w:rsidRDefault="002D49B0">
      <w:pPr>
        <w:keepNext/>
        <w:keepLines/>
        <w:spacing w:before="40" w:after="0" w:line="240" w:lineRule="auto"/>
        <w:jc w:val="both"/>
        <w:outlineLvl w:val="4"/>
        <w:rPr>
          <w:rFonts w:ascii="Times New Roman" w:eastAsia="Times New Roman" w:hAnsi="Times New Roman" w:cs="Times New Roman"/>
          <w:noProof/>
          <w:color w:val="365F91"/>
          <w:sz w:val="24"/>
          <w:lang w:val="sk-SK"/>
        </w:rPr>
      </w:pPr>
    </w:p>
    <w:tbl>
      <w:tblPr>
        <w:tblW w:w="15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1917"/>
        <w:gridCol w:w="1115"/>
        <w:gridCol w:w="1120"/>
        <w:gridCol w:w="1440"/>
        <w:gridCol w:w="1125"/>
        <w:gridCol w:w="1281"/>
        <w:gridCol w:w="705"/>
        <w:gridCol w:w="1167"/>
        <w:gridCol w:w="709"/>
        <w:gridCol w:w="4450"/>
      </w:tblGrid>
      <w:tr w:rsidR="002D49B0" w:rsidRPr="00083739" w14:paraId="32EBB711" w14:textId="77777777">
        <w:trPr>
          <w:trHeight w:val="844"/>
          <w:jc w:val="center"/>
        </w:trPr>
        <w:tc>
          <w:tcPr>
            <w:tcW w:w="1027" w:type="dxa"/>
            <w:vMerge w:val="restart"/>
            <w:shd w:val="clear" w:color="auto" w:fill="BDD7EE"/>
            <w:vAlign w:val="center"/>
            <w:hideMark/>
          </w:tcPr>
          <w:p w14:paraId="0A9BB4DB"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Poradové číslo</w:t>
            </w:r>
          </w:p>
        </w:tc>
        <w:tc>
          <w:tcPr>
            <w:tcW w:w="1917" w:type="dxa"/>
            <w:vMerge w:val="restart"/>
            <w:shd w:val="clear" w:color="auto" w:fill="BDD7EE"/>
            <w:vAlign w:val="center"/>
            <w:hideMark/>
          </w:tcPr>
          <w:p w14:paraId="1275E059"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Súvisiace opatrenie (reforma alebo</w:t>
            </w:r>
            <w:r w:rsidRPr="00083739">
              <w:rPr>
                <w:rFonts w:cs="Times New Roman"/>
                <w:noProof/>
                <w:lang w:val="sk-SK"/>
              </w:rPr>
              <w:t xml:space="preserve"> investícia)</w:t>
            </w:r>
          </w:p>
        </w:tc>
        <w:tc>
          <w:tcPr>
            <w:tcW w:w="993" w:type="dxa"/>
            <w:vMerge w:val="restart"/>
            <w:shd w:val="clear" w:color="auto" w:fill="BDD7EE"/>
            <w:vAlign w:val="center"/>
            <w:hideMark/>
          </w:tcPr>
          <w:p w14:paraId="4F2C5EF1"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Míľnik/cieľ</w:t>
            </w:r>
          </w:p>
        </w:tc>
        <w:tc>
          <w:tcPr>
            <w:tcW w:w="1120" w:type="dxa"/>
            <w:vMerge w:val="restart"/>
            <w:shd w:val="clear" w:color="auto" w:fill="BDD7EE"/>
            <w:vAlign w:val="center"/>
            <w:hideMark/>
          </w:tcPr>
          <w:p w14:paraId="74432E9F"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Názov</w:t>
            </w:r>
          </w:p>
        </w:tc>
        <w:tc>
          <w:tcPr>
            <w:tcW w:w="1440" w:type="dxa"/>
            <w:vMerge w:val="restart"/>
            <w:shd w:val="clear" w:color="auto" w:fill="BDD7EE"/>
            <w:vAlign w:val="center"/>
            <w:hideMark/>
          </w:tcPr>
          <w:p w14:paraId="50607941"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Kvalitatívne ukazovatele (pre míľniky)</w:t>
            </w:r>
          </w:p>
        </w:tc>
        <w:tc>
          <w:tcPr>
            <w:tcW w:w="3111" w:type="dxa"/>
            <w:gridSpan w:val="3"/>
            <w:shd w:val="clear" w:color="auto" w:fill="BDD7EE"/>
            <w:vAlign w:val="center"/>
            <w:hideMark/>
          </w:tcPr>
          <w:p w14:paraId="2018973F"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Kvantitatívne ukazovatele (pre ciele)</w:t>
            </w:r>
          </w:p>
        </w:tc>
        <w:tc>
          <w:tcPr>
            <w:tcW w:w="1558" w:type="dxa"/>
            <w:gridSpan w:val="2"/>
            <w:shd w:val="clear" w:color="auto" w:fill="BDD7EE"/>
            <w:vAlign w:val="center"/>
            <w:hideMark/>
          </w:tcPr>
          <w:p w14:paraId="6A6EFD30"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Orientačný harmonogram dokončenia </w:t>
            </w:r>
          </w:p>
        </w:tc>
        <w:tc>
          <w:tcPr>
            <w:tcW w:w="4450" w:type="dxa"/>
            <w:vMerge w:val="restart"/>
            <w:shd w:val="clear" w:color="auto" w:fill="BDD7EE"/>
            <w:vAlign w:val="center"/>
            <w:hideMark/>
          </w:tcPr>
          <w:p w14:paraId="3EF40835" w14:textId="26EBB85A"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Opis každého míľnika</w:t>
            </w:r>
            <w:r w:rsidR="00083739" w:rsidRPr="00083739">
              <w:rPr>
                <w:rFonts w:cs="Times New Roman"/>
                <w:noProof/>
                <w:lang w:val="sk-SK"/>
              </w:rPr>
              <w:t xml:space="preserve"> a </w:t>
            </w:r>
            <w:r w:rsidRPr="00083739">
              <w:rPr>
                <w:rFonts w:cs="Times New Roman"/>
                <w:noProof/>
                <w:lang w:val="sk-SK"/>
              </w:rPr>
              <w:t>cieľa</w:t>
            </w:r>
          </w:p>
        </w:tc>
      </w:tr>
      <w:tr w:rsidR="002D49B0" w:rsidRPr="00083739" w14:paraId="3BE219C0" w14:textId="77777777">
        <w:trPr>
          <w:trHeight w:val="601"/>
          <w:tblHeader/>
          <w:jc w:val="center"/>
        </w:trPr>
        <w:tc>
          <w:tcPr>
            <w:tcW w:w="1027" w:type="dxa"/>
            <w:vMerge/>
            <w:vAlign w:val="center"/>
            <w:hideMark/>
          </w:tcPr>
          <w:p w14:paraId="17DACA8A"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917" w:type="dxa"/>
            <w:vMerge/>
            <w:vAlign w:val="center"/>
            <w:hideMark/>
          </w:tcPr>
          <w:p w14:paraId="3F98CEEC"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993" w:type="dxa"/>
            <w:vMerge/>
            <w:vAlign w:val="center"/>
            <w:hideMark/>
          </w:tcPr>
          <w:p w14:paraId="644715D0"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120" w:type="dxa"/>
            <w:vMerge/>
            <w:vAlign w:val="center"/>
            <w:hideMark/>
          </w:tcPr>
          <w:p w14:paraId="161CC3DA"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440" w:type="dxa"/>
            <w:vMerge/>
            <w:vAlign w:val="center"/>
            <w:hideMark/>
          </w:tcPr>
          <w:p w14:paraId="68923C43"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125" w:type="dxa"/>
            <w:shd w:val="clear" w:color="auto" w:fill="BDD7EE"/>
            <w:vAlign w:val="center"/>
            <w:hideMark/>
          </w:tcPr>
          <w:p w14:paraId="4D1ECDC6"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Merná jednotka</w:t>
            </w:r>
          </w:p>
        </w:tc>
        <w:tc>
          <w:tcPr>
            <w:tcW w:w="1281" w:type="dxa"/>
            <w:shd w:val="clear" w:color="auto" w:fill="BDD7EE"/>
            <w:vAlign w:val="center"/>
            <w:hideMark/>
          </w:tcPr>
          <w:p w14:paraId="31C9134D"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Základná </w:t>
            </w:r>
          </w:p>
        </w:tc>
        <w:tc>
          <w:tcPr>
            <w:tcW w:w="705" w:type="dxa"/>
            <w:shd w:val="clear" w:color="auto" w:fill="BDD7EE"/>
            <w:vAlign w:val="center"/>
            <w:hideMark/>
          </w:tcPr>
          <w:p w14:paraId="09F639CE"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Cieľ </w:t>
            </w:r>
          </w:p>
        </w:tc>
        <w:tc>
          <w:tcPr>
            <w:tcW w:w="849" w:type="dxa"/>
            <w:shd w:val="clear" w:color="auto" w:fill="BDD7EE"/>
            <w:vAlign w:val="center"/>
            <w:hideMark/>
          </w:tcPr>
          <w:p w14:paraId="46145C97"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Štvrtina</w:t>
            </w:r>
          </w:p>
        </w:tc>
        <w:tc>
          <w:tcPr>
            <w:tcW w:w="709" w:type="dxa"/>
            <w:shd w:val="clear" w:color="auto" w:fill="BDD7EE"/>
            <w:vAlign w:val="center"/>
            <w:hideMark/>
          </w:tcPr>
          <w:p w14:paraId="1630F502"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Rok</w:t>
            </w:r>
          </w:p>
        </w:tc>
        <w:tc>
          <w:tcPr>
            <w:tcW w:w="4450" w:type="dxa"/>
            <w:vMerge/>
            <w:vAlign w:val="center"/>
            <w:hideMark/>
          </w:tcPr>
          <w:p w14:paraId="6F3413A2"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r>
      <w:tr w:rsidR="002D49B0" w:rsidRPr="00083739" w14:paraId="63FECD43" w14:textId="77777777">
        <w:trPr>
          <w:trHeight w:val="313"/>
          <w:tblHeader/>
          <w:jc w:val="center"/>
        </w:trPr>
        <w:tc>
          <w:tcPr>
            <w:tcW w:w="1027" w:type="dxa"/>
            <w:shd w:val="clear" w:color="auto" w:fill="C6EFCE"/>
            <w:noWrap/>
          </w:tcPr>
          <w:p w14:paraId="6C02A3C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27</w:t>
            </w:r>
          </w:p>
        </w:tc>
        <w:tc>
          <w:tcPr>
            <w:tcW w:w="1917" w:type="dxa"/>
            <w:shd w:val="clear" w:color="auto" w:fill="C6EFCE"/>
            <w:noWrap/>
          </w:tcPr>
          <w:p w14:paraId="3C52F37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2 – 1.2. Renovácia – </w:t>
            </w:r>
            <w:r w:rsidRPr="00083739">
              <w:rPr>
                <w:rFonts w:ascii="Times New Roman" w:hAnsi="Times New Roman" w:cs="Times New Roman"/>
                <w:noProof/>
                <w:lang w:val="sk-SK"/>
              </w:rPr>
              <w:t>16879_Príprava mestských plánov pri vykonávaní reformy mestskej politiky</w:t>
            </w:r>
          </w:p>
        </w:tc>
        <w:tc>
          <w:tcPr>
            <w:tcW w:w="993" w:type="dxa"/>
            <w:shd w:val="clear" w:color="auto" w:fill="C6EFCE"/>
            <w:noWrap/>
          </w:tcPr>
          <w:p w14:paraId="55542B1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120" w:type="dxa"/>
            <w:shd w:val="clear" w:color="auto" w:fill="C6EFCE"/>
            <w:noWrap/>
          </w:tcPr>
          <w:p w14:paraId="19054CE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Ocenenie za mestské plány</w:t>
            </w:r>
          </w:p>
        </w:tc>
        <w:tc>
          <w:tcPr>
            <w:tcW w:w="1440" w:type="dxa"/>
            <w:shd w:val="clear" w:color="auto" w:fill="C6EFCE"/>
            <w:noWrap/>
          </w:tcPr>
          <w:p w14:paraId="7B62E019" w14:textId="0838A6C3"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Oznámenie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zadaní zákazky</w:t>
            </w:r>
          </w:p>
        </w:tc>
        <w:tc>
          <w:tcPr>
            <w:tcW w:w="1125" w:type="dxa"/>
            <w:shd w:val="clear" w:color="auto" w:fill="C6EFCE"/>
            <w:noWrap/>
          </w:tcPr>
          <w:p w14:paraId="1B3C1E2A"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281" w:type="dxa"/>
            <w:shd w:val="clear" w:color="auto" w:fill="C6EFCE"/>
            <w:noWrap/>
          </w:tcPr>
          <w:p w14:paraId="6C5DE721"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705" w:type="dxa"/>
            <w:shd w:val="clear" w:color="auto" w:fill="C6EFCE"/>
            <w:noWrap/>
          </w:tcPr>
          <w:p w14:paraId="6978CDD4"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9" w:type="dxa"/>
            <w:shd w:val="clear" w:color="auto" w:fill="C6EFCE"/>
            <w:noWrap/>
          </w:tcPr>
          <w:p w14:paraId="5A7D2D2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09" w:type="dxa"/>
            <w:shd w:val="clear" w:color="auto" w:fill="C6EFCE"/>
            <w:noWrap/>
          </w:tcPr>
          <w:p w14:paraId="0F39598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2022</w:t>
            </w:r>
          </w:p>
        </w:tc>
        <w:tc>
          <w:tcPr>
            <w:tcW w:w="4450" w:type="dxa"/>
            <w:shd w:val="clear" w:color="auto" w:fill="C6EFCE"/>
            <w:noWrap/>
          </w:tcPr>
          <w:p w14:paraId="7BF9D7B9" w14:textId="6DBE987F" w:rsidR="00083739" w:rsidRPr="00083739" w:rsidRDefault="00BF4125">
            <w:pPr>
              <w:pStyle w:val="P68B1DB1-Normal10"/>
              <w:spacing w:after="0" w:line="240" w:lineRule="auto"/>
              <w:rPr>
                <w:rFonts w:ascii="Times New Roman" w:hAnsi="Times New Roman" w:cs="Times New Roman"/>
                <w:noProof/>
                <w:lang w:val="sk-SK"/>
              </w:rPr>
            </w:pPr>
            <w:r w:rsidRPr="00083739">
              <w:rPr>
                <w:rFonts w:ascii="Times New Roman" w:hAnsi="Times New Roman" w:cs="Times New Roman"/>
                <w:noProof/>
                <w:lang w:val="sk-SK"/>
              </w:rPr>
              <w:t>Oznámenie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zadaní 30</w:t>
            </w:r>
            <w:r w:rsidR="00083739" w:rsidRPr="00083739">
              <w:rPr>
                <w:rFonts w:ascii="Times New Roman" w:hAnsi="Times New Roman" w:cs="Times New Roman"/>
                <w:noProof/>
                <w:lang w:val="sk-SK"/>
              </w:rPr>
              <w:t> %</w:t>
            </w:r>
            <w:r w:rsidRPr="00083739">
              <w:rPr>
                <w:rFonts w:ascii="Times New Roman" w:hAnsi="Times New Roman" w:cs="Times New Roman"/>
                <w:noProof/>
                <w:lang w:val="sk-SK"/>
              </w:rPr>
              <w:t xml:space="preserve"> všetkých zákaziek (pre všetky intervencie)</w:t>
            </w:r>
            <w:r w:rsidR="00083739" w:rsidRPr="00083739">
              <w:rPr>
                <w:rFonts w:ascii="Times New Roman" w:hAnsi="Times New Roman" w:cs="Times New Roman"/>
                <w:noProof/>
                <w:lang w:val="sk-SK"/>
              </w:rPr>
              <w:t>:</w:t>
            </w:r>
          </w:p>
          <w:p w14:paraId="6B6BC476" w14:textId="4B61A4BE"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 príprava miestnych mestských</w:t>
            </w:r>
            <w:r w:rsidRPr="00083739">
              <w:rPr>
                <w:rFonts w:ascii="Times New Roman" w:hAnsi="Times New Roman" w:cs="Times New Roman"/>
                <w:noProof/>
                <w:lang w:val="sk-SK"/>
              </w:rPr>
              <w:t xml:space="preserve"> plánov;</w:t>
            </w:r>
          </w:p>
          <w:p w14:paraId="205CD24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 príprava osobitných mestských plánov;</w:t>
            </w:r>
          </w:p>
          <w:p w14:paraId="23FC184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 príprava nezávislých plánov na vymedzenie zón prevodu rozvojových práv;</w:t>
            </w:r>
          </w:p>
          <w:p w14:paraId="193B585F" w14:textId="3828E90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4. príprava nezávislých plánov na vymedzenie vyrovnaní;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zároveň</w:t>
            </w:r>
          </w:p>
          <w:p w14:paraId="14B9F76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5. príprava nezávislých plánov na charakterizáciu mestských ciest</w:t>
            </w:r>
            <w:r w:rsidRPr="00083739">
              <w:rPr>
                <w:rFonts w:ascii="Times New Roman" w:hAnsi="Times New Roman" w:cs="Times New Roman"/>
                <w:noProof/>
                <w:lang w:val="sk-SK"/>
              </w:rPr>
              <w:t>.</w:t>
            </w:r>
          </w:p>
          <w:p w14:paraId="3D55CBF1"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p w14:paraId="1F7DB0FF" w14:textId="51D5E65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Miestne mestské plány</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cieľom zahrnúť osobitnú kapitolu</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opatreniach</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zmeny klímy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prevencii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riadení rizík súvisiacich</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klímou;</w:t>
            </w:r>
          </w:p>
          <w:p w14:paraId="33FBF550"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r>
      <w:tr w:rsidR="002D49B0" w:rsidRPr="00083739" w14:paraId="6B8BD066" w14:textId="77777777">
        <w:trPr>
          <w:trHeight w:val="313"/>
          <w:tblHeader/>
          <w:jc w:val="center"/>
        </w:trPr>
        <w:tc>
          <w:tcPr>
            <w:tcW w:w="1027" w:type="dxa"/>
            <w:shd w:val="clear" w:color="auto" w:fill="C6EFCE"/>
            <w:noWrap/>
          </w:tcPr>
          <w:p w14:paraId="3D82E129" w14:textId="2EA7B106"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28</w:t>
            </w:r>
          </w:p>
        </w:tc>
        <w:tc>
          <w:tcPr>
            <w:tcW w:w="1917" w:type="dxa"/>
            <w:shd w:val="clear" w:color="auto" w:fill="C6EFCE"/>
            <w:noWrap/>
          </w:tcPr>
          <w:p w14:paraId="6104B849" w14:textId="723EF304"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2 – 1.2. Renovácia – 16879_Príprava mestských plánov pri vykonávaní reformy mestskej politiky</w:t>
            </w:r>
          </w:p>
        </w:tc>
        <w:tc>
          <w:tcPr>
            <w:tcW w:w="993" w:type="dxa"/>
            <w:shd w:val="clear" w:color="auto" w:fill="C6EFCE"/>
            <w:noWrap/>
          </w:tcPr>
          <w:p w14:paraId="0D1EB2EC" w14:textId="73FDD75D"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Míľnik</w:t>
            </w:r>
          </w:p>
        </w:tc>
        <w:tc>
          <w:tcPr>
            <w:tcW w:w="1120" w:type="dxa"/>
            <w:shd w:val="clear" w:color="auto" w:fill="C6EFCE"/>
            <w:noWrap/>
          </w:tcPr>
          <w:p w14:paraId="6DC2B883" w14:textId="6C3BEED0"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Ocenenie za mestské plány</w:t>
            </w:r>
          </w:p>
        </w:tc>
        <w:tc>
          <w:tcPr>
            <w:tcW w:w="1440" w:type="dxa"/>
            <w:shd w:val="clear" w:color="auto" w:fill="C6EFCE"/>
            <w:noWrap/>
          </w:tcPr>
          <w:p w14:paraId="622D5CF1" w14:textId="14B32FD9"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Oznámenie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zadaní zákazky</w:t>
            </w:r>
          </w:p>
        </w:tc>
        <w:tc>
          <w:tcPr>
            <w:tcW w:w="1125" w:type="dxa"/>
            <w:shd w:val="clear" w:color="auto" w:fill="C6EFCE"/>
            <w:noWrap/>
          </w:tcPr>
          <w:p w14:paraId="0153845D"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281" w:type="dxa"/>
            <w:shd w:val="clear" w:color="auto" w:fill="C6EFCE"/>
            <w:noWrap/>
          </w:tcPr>
          <w:p w14:paraId="7C098C18"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705" w:type="dxa"/>
            <w:shd w:val="clear" w:color="auto" w:fill="C6EFCE"/>
            <w:noWrap/>
          </w:tcPr>
          <w:p w14:paraId="15506A49"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9" w:type="dxa"/>
            <w:shd w:val="clear" w:color="auto" w:fill="C6EFCE"/>
            <w:noWrap/>
          </w:tcPr>
          <w:p w14:paraId="490A3162" w14:textId="51704F93"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ŠTVRTÝ ŠTVRŤROK</w:t>
            </w:r>
          </w:p>
        </w:tc>
        <w:tc>
          <w:tcPr>
            <w:tcW w:w="709" w:type="dxa"/>
            <w:shd w:val="clear" w:color="auto" w:fill="C6EFCE"/>
            <w:noWrap/>
          </w:tcPr>
          <w:p w14:paraId="271565A7" w14:textId="5CA99810"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2023</w:t>
            </w:r>
          </w:p>
        </w:tc>
        <w:tc>
          <w:tcPr>
            <w:tcW w:w="4450" w:type="dxa"/>
            <w:shd w:val="clear" w:color="auto" w:fill="C6EFCE"/>
            <w:noWrap/>
          </w:tcPr>
          <w:p w14:paraId="38CF6B7B" w14:textId="7BBC6A1C"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Oznámenie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zadaní 100</w:t>
            </w:r>
            <w:r w:rsidR="00083739" w:rsidRPr="00083739">
              <w:rPr>
                <w:rFonts w:ascii="Times New Roman" w:hAnsi="Times New Roman" w:cs="Times New Roman"/>
                <w:noProof/>
                <w:lang w:val="sk-SK"/>
              </w:rPr>
              <w:t> %</w:t>
            </w:r>
            <w:r w:rsidRPr="00083739">
              <w:rPr>
                <w:rFonts w:ascii="Times New Roman" w:hAnsi="Times New Roman" w:cs="Times New Roman"/>
                <w:noProof/>
                <w:lang w:val="sk-SK"/>
              </w:rPr>
              <w:t xml:space="preserve"> všetkých zákaziek (pre všetky intervencie)</w:t>
            </w:r>
            <w:r w:rsidR="00083739" w:rsidRPr="00083739">
              <w:rPr>
                <w:rFonts w:ascii="Times New Roman" w:hAnsi="Times New Roman" w:cs="Times New Roman"/>
                <w:noProof/>
                <w:lang w:val="sk-SK"/>
              </w:rPr>
              <w:t>:</w:t>
            </w:r>
          </w:p>
          <w:p w14:paraId="2A6D134D" w14:textId="3AD5D815"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1. príprava miestnych mestských plánov</w:t>
            </w:r>
            <w:r w:rsidR="00083739" w:rsidRPr="00083739">
              <w:rPr>
                <w:rFonts w:ascii="Times New Roman" w:hAnsi="Times New Roman" w:cs="Times New Roman"/>
                <w:noProof/>
                <w:lang w:val="sk-SK"/>
              </w:rPr>
              <w:t>;</w:t>
            </w:r>
          </w:p>
          <w:p w14:paraId="609B8B27" w14:textId="74E5AEBA"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 príprava osobitných mestských plánov;</w:t>
            </w:r>
          </w:p>
          <w:p w14:paraId="4A362F2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3. príprava nezávislých </w:t>
            </w:r>
            <w:r w:rsidRPr="00083739">
              <w:rPr>
                <w:rFonts w:ascii="Times New Roman" w:hAnsi="Times New Roman" w:cs="Times New Roman"/>
                <w:noProof/>
                <w:lang w:val="sk-SK"/>
              </w:rPr>
              <w:t>plánov na vymedzenie zón prevodu rozvojových práv;</w:t>
            </w:r>
          </w:p>
          <w:p w14:paraId="1BBB0EA2" w14:textId="30AC86DF"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4. príprava nezávislých plánov na vymedzenie vyrovnaní;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zároveň</w:t>
            </w:r>
          </w:p>
          <w:p w14:paraId="722D2A2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5. príprava nezávislých plánov na charakterizáciu mestských ciest.</w:t>
            </w:r>
          </w:p>
          <w:p w14:paraId="7AE98477" w14:textId="77777777" w:rsidR="002D49B0" w:rsidRPr="00083739" w:rsidRDefault="002D49B0">
            <w:pPr>
              <w:spacing w:after="0" w:line="240" w:lineRule="auto"/>
              <w:rPr>
                <w:rFonts w:ascii="Times New Roman" w:hAnsi="Times New Roman" w:cs="Times New Roman"/>
                <w:noProof/>
                <w:color w:val="006100"/>
                <w:sz w:val="18"/>
                <w:szCs w:val="18"/>
                <w:lang w:val="sk-SK"/>
              </w:rPr>
            </w:pPr>
          </w:p>
        </w:tc>
      </w:tr>
    </w:tbl>
    <w:p w14:paraId="41155CF4" w14:textId="77777777" w:rsidR="002D49B0" w:rsidRPr="00083739" w:rsidRDefault="002D49B0">
      <w:pPr>
        <w:spacing w:after="0" w:line="240" w:lineRule="auto"/>
        <w:rPr>
          <w:rFonts w:ascii="Times New Roman" w:hAnsi="Times New Roman" w:cs="Times New Roman"/>
          <w:noProof/>
          <w:color w:val="006100"/>
          <w:sz w:val="18"/>
          <w:lang w:val="sk-SK"/>
        </w:rPr>
        <w:sectPr w:rsidR="002D49B0" w:rsidRPr="00083739" w:rsidSect="00AF58D0">
          <w:headerReference w:type="even" r:id="rId43"/>
          <w:headerReference w:type="default" r:id="rId44"/>
          <w:footerReference w:type="even" r:id="rId45"/>
          <w:footerReference w:type="default" r:id="rId46"/>
          <w:headerReference w:type="first" r:id="rId47"/>
          <w:footerReference w:type="first" r:id="rId48"/>
          <w:pgSz w:w="16839" w:h="11907" w:orient="landscape"/>
          <w:pgMar w:top="1134" w:right="1134" w:bottom="1134" w:left="1134" w:header="567" w:footer="217" w:gutter="0"/>
          <w:cols w:space="720"/>
          <w:docGrid w:linePitch="360"/>
        </w:sectPr>
      </w:pPr>
    </w:p>
    <w:tbl>
      <w:tblPr>
        <w:tblW w:w="15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1917"/>
        <w:gridCol w:w="1115"/>
        <w:gridCol w:w="1206"/>
        <w:gridCol w:w="1477"/>
        <w:gridCol w:w="1125"/>
        <w:gridCol w:w="1281"/>
        <w:gridCol w:w="705"/>
        <w:gridCol w:w="1167"/>
        <w:gridCol w:w="709"/>
        <w:gridCol w:w="4450"/>
      </w:tblGrid>
      <w:tr w:rsidR="002D49B0" w:rsidRPr="00083739" w14:paraId="50F03F05" w14:textId="77777777">
        <w:trPr>
          <w:trHeight w:val="443"/>
          <w:tblHeader/>
          <w:jc w:val="center"/>
        </w:trPr>
        <w:tc>
          <w:tcPr>
            <w:tcW w:w="1027" w:type="dxa"/>
            <w:vMerge w:val="restart"/>
            <w:shd w:val="clear" w:color="auto" w:fill="BDD7EE"/>
            <w:noWrap/>
            <w:vAlign w:val="center"/>
          </w:tcPr>
          <w:p w14:paraId="6B9BDFC5" w14:textId="77777777" w:rsidR="002D49B0" w:rsidRPr="00083739" w:rsidRDefault="00BF4125">
            <w:pPr>
              <w:pStyle w:val="P68B1DB1-Normal7"/>
              <w:spacing w:after="0" w:line="240" w:lineRule="auto"/>
              <w:jc w:val="center"/>
              <w:rPr>
                <w:rFonts w:cs="Times New Roman"/>
                <w:noProof/>
                <w:color w:val="006100"/>
                <w:lang w:val="sk-SK"/>
              </w:rPr>
            </w:pPr>
            <w:r w:rsidRPr="00083739">
              <w:rPr>
                <w:rFonts w:cs="Times New Roman"/>
                <w:noProof/>
                <w:lang w:val="sk-SK"/>
              </w:rPr>
              <w:t>Poradové</w:t>
            </w:r>
            <w:r w:rsidRPr="00083739">
              <w:rPr>
                <w:rFonts w:cs="Times New Roman"/>
                <w:noProof/>
                <w:lang w:val="sk-SK"/>
              </w:rPr>
              <w:t xml:space="preserve"> číslo</w:t>
            </w:r>
          </w:p>
        </w:tc>
        <w:tc>
          <w:tcPr>
            <w:tcW w:w="1917" w:type="dxa"/>
            <w:vMerge w:val="restart"/>
            <w:shd w:val="clear" w:color="auto" w:fill="BDD7EE"/>
            <w:noWrap/>
            <w:vAlign w:val="center"/>
          </w:tcPr>
          <w:p w14:paraId="55E46E51" w14:textId="77777777" w:rsidR="002D49B0" w:rsidRPr="00083739" w:rsidRDefault="00BF4125">
            <w:pPr>
              <w:pStyle w:val="P68B1DB1-Normal7"/>
              <w:spacing w:after="0" w:line="240" w:lineRule="auto"/>
              <w:jc w:val="center"/>
              <w:rPr>
                <w:rFonts w:cs="Times New Roman"/>
                <w:noProof/>
                <w:color w:val="006100"/>
                <w:lang w:val="sk-SK"/>
              </w:rPr>
            </w:pPr>
            <w:r w:rsidRPr="00083739">
              <w:rPr>
                <w:rFonts w:cs="Times New Roman"/>
                <w:noProof/>
                <w:lang w:val="sk-SK"/>
              </w:rPr>
              <w:t>Súvisiace opatrenie (reforma alebo investícia)</w:t>
            </w:r>
          </w:p>
        </w:tc>
        <w:tc>
          <w:tcPr>
            <w:tcW w:w="993" w:type="dxa"/>
            <w:vMerge w:val="restart"/>
            <w:shd w:val="clear" w:color="auto" w:fill="BDD7EE"/>
            <w:noWrap/>
            <w:vAlign w:val="center"/>
          </w:tcPr>
          <w:p w14:paraId="37690D0A" w14:textId="77777777" w:rsidR="002D49B0" w:rsidRPr="00083739" w:rsidRDefault="00BF4125">
            <w:pPr>
              <w:pStyle w:val="P68B1DB1-Normal7"/>
              <w:spacing w:after="0" w:line="240" w:lineRule="auto"/>
              <w:jc w:val="center"/>
              <w:rPr>
                <w:rFonts w:cs="Times New Roman"/>
                <w:noProof/>
                <w:color w:val="006100"/>
                <w:lang w:val="sk-SK"/>
              </w:rPr>
            </w:pPr>
            <w:r w:rsidRPr="00083739">
              <w:rPr>
                <w:rFonts w:cs="Times New Roman"/>
                <w:noProof/>
                <w:lang w:val="sk-SK"/>
              </w:rPr>
              <w:t>Míľnik/cieľ</w:t>
            </w:r>
          </w:p>
        </w:tc>
        <w:tc>
          <w:tcPr>
            <w:tcW w:w="1120" w:type="dxa"/>
            <w:vMerge w:val="restart"/>
            <w:shd w:val="clear" w:color="auto" w:fill="BDD7EE"/>
            <w:noWrap/>
            <w:vAlign w:val="center"/>
          </w:tcPr>
          <w:p w14:paraId="54261CE3" w14:textId="77777777" w:rsidR="002D49B0" w:rsidRPr="00083739" w:rsidRDefault="00BF4125">
            <w:pPr>
              <w:pStyle w:val="P68B1DB1-Normal7"/>
              <w:spacing w:after="0" w:line="240" w:lineRule="auto"/>
              <w:jc w:val="center"/>
              <w:rPr>
                <w:rFonts w:cs="Times New Roman"/>
                <w:noProof/>
                <w:color w:val="006100"/>
                <w:lang w:val="sk-SK"/>
              </w:rPr>
            </w:pPr>
            <w:r w:rsidRPr="00083739">
              <w:rPr>
                <w:rFonts w:cs="Times New Roman"/>
                <w:noProof/>
                <w:lang w:val="sk-SK"/>
              </w:rPr>
              <w:t>Názov</w:t>
            </w:r>
          </w:p>
        </w:tc>
        <w:tc>
          <w:tcPr>
            <w:tcW w:w="1477" w:type="dxa"/>
            <w:vMerge w:val="restart"/>
            <w:shd w:val="clear" w:color="auto" w:fill="BDD7EE"/>
            <w:noWrap/>
            <w:vAlign w:val="center"/>
          </w:tcPr>
          <w:p w14:paraId="552F0BA7" w14:textId="77777777" w:rsidR="002D49B0" w:rsidRPr="00083739" w:rsidRDefault="00BF4125">
            <w:pPr>
              <w:pStyle w:val="P68B1DB1-Normal7"/>
              <w:spacing w:after="0" w:line="240" w:lineRule="auto"/>
              <w:jc w:val="center"/>
              <w:rPr>
                <w:rFonts w:cs="Times New Roman"/>
                <w:noProof/>
                <w:color w:val="006100"/>
                <w:lang w:val="sk-SK"/>
              </w:rPr>
            </w:pPr>
            <w:r w:rsidRPr="00083739">
              <w:rPr>
                <w:rFonts w:cs="Times New Roman"/>
                <w:noProof/>
                <w:lang w:val="sk-SK"/>
              </w:rPr>
              <w:t>Kvalitatívne ukazovatele (pre míľniky)</w:t>
            </w:r>
          </w:p>
        </w:tc>
        <w:tc>
          <w:tcPr>
            <w:tcW w:w="3111" w:type="dxa"/>
            <w:gridSpan w:val="3"/>
            <w:shd w:val="clear" w:color="auto" w:fill="BDD7EE"/>
            <w:noWrap/>
            <w:vAlign w:val="center"/>
          </w:tcPr>
          <w:p w14:paraId="08DEE1AF" w14:textId="77777777" w:rsidR="002D49B0" w:rsidRPr="00083739" w:rsidRDefault="00BF4125">
            <w:pPr>
              <w:pStyle w:val="P68B1DB1-Normal7"/>
              <w:spacing w:after="0" w:line="240" w:lineRule="auto"/>
              <w:jc w:val="center"/>
              <w:rPr>
                <w:rFonts w:eastAsia="Times New Roman" w:cs="Times New Roman"/>
                <w:noProof/>
                <w:color w:val="006100"/>
                <w:szCs w:val="18"/>
                <w:lang w:val="sk-SK"/>
              </w:rPr>
            </w:pPr>
            <w:r w:rsidRPr="00083739">
              <w:rPr>
                <w:rFonts w:cs="Times New Roman"/>
                <w:noProof/>
                <w:lang w:val="sk-SK"/>
              </w:rPr>
              <w:t>Kvantitatívne ukazovatele (pre ciele)</w:t>
            </w:r>
          </w:p>
        </w:tc>
        <w:tc>
          <w:tcPr>
            <w:tcW w:w="1560" w:type="dxa"/>
            <w:gridSpan w:val="2"/>
            <w:shd w:val="clear" w:color="auto" w:fill="BDD7EE"/>
            <w:noWrap/>
          </w:tcPr>
          <w:p w14:paraId="6984AC25" w14:textId="77777777" w:rsidR="002D49B0" w:rsidRPr="00083739" w:rsidRDefault="00BF4125">
            <w:pPr>
              <w:pStyle w:val="P68B1DB1-Normal7"/>
              <w:spacing w:after="0" w:line="240" w:lineRule="auto"/>
              <w:jc w:val="center"/>
              <w:rPr>
                <w:rFonts w:cs="Times New Roman"/>
                <w:noProof/>
                <w:color w:val="006100"/>
                <w:lang w:val="sk-SK"/>
              </w:rPr>
            </w:pPr>
            <w:r w:rsidRPr="00083739">
              <w:rPr>
                <w:rFonts w:cs="Times New Roman"/>
                <w:noProof/>
                <w:lang w:val="sk-SK"/>
              </w:rPr>
              <w:t>Orientačný harmonogram dokončenia</w:t>
            </w:r>
          </w:p>
        </w:tc>
        <w:tc>
          <w:tcPr>
            <w:tcW w:w="4450" w:type="dxa"/>
            <w:vMerge w:val="restart"/>
            <w:shd w:val="clear" w:color="auto" w:fill="BDD7EE"/>
            <w:noWrap/>
            <w:vAlign w:val="center"/>
          </w:tcPr>
          <w:p w14:paraId="21CD02C7" w14:textId="6FACC354" w:rsidR="002D49B0" w:rsidRPr="00083739" w:rsidRDefault="00BF4125">
            <w:pPr>
              <w:pStyle w:val="P68B1DB1-Normal7"/>
              <w:spacing w:after="0" w:line="240" w:lineRule="auto"/>
              <w:jc w:val="center"/>
              <w:rPr>
                <w:rFonts w:cs="Times New Roman"/>
                <w:noProof/>
                <w:color w:val="006100"/>
                <w:lang w:val="sk-SK"/>
              </w:rPr>
            </w:pPr>
            <w:r w:rsidRPr="00083739">
              <w:rPr>
                <w:rFonts w:cs="Times New Roman"/>
                <w:noProof/>
                <w:lang w:val="sk-SK"/>
              </w:rPr>
              <w:t>Opis každého míľnika</w:t>
            </w:r>
            <w:r w:rsidR="00083739" w:rsidRPr="00083739">
              <w:rPr>
                <w:rFonts w:cs="Times New Roman"/>
                <w:noProof/>
                <w:lang w:val="sk-SK"/>
              </w:rPr>
              <w:t xml:space="preserve"> a </w:t>
            </w:r>
            <w:r w:rsidRPr="00083739">
              <w:rPr>
                <w:rFonts w:cs="Times New Roman"/>
                <w:noProof/>
                <w:lang w:val="sk-SK"/>
              </w:rPr>
              <w:t>cieľa</w:t>
            </w:r>
          </w:p>
        </w:tc>
      </w:tr>
      <w:tr w:rsidR="002D49B0" w:rsidRPr="00083739" w14:paraId="06FD4BE0" w14:textId="77777777">
        <w:trPr>
          <w:trHeight w:val="442"/>
          <w:tblHeader/>
          <w:jc w:val="center"/>
        </w:trPr>
        <w:tc>
          <w:tcPr>
            <w:tcW w:w="1027" w:type="dxa"/>
            <w:vMerge/>
            <w:noWrap/>
            <w:vAlign w:val="center"/>
          </w:tcPr>
          <w:p w14:paraId="2BAE7B88" w14:textId="77777777" w:rsidR="002D49B0" w:rsidRPr="00083739" w:rsidRDefault="002D49B0">
            <w:pPr>
              <w:spacing w:after="0" w:line="240" w:lineRule="auto"/>
              <w:rPr>
                <w:rFonts w:ascii="Times New Roman" w:hAnsi="Times New Roman" w:cs="Times New Roman"/>
                <w:b/>
                <w:noProof/>
                <w:sz w:val="18"/>
                <w:lang w:val="sk-SK"/>
              </w:rPr>
            </w:pPr>
          </w:p>
        </w:tc>
        <w:tc>
          <w:tcPr>
            <w:tcW w:w="1917" w:type="dxa"/>
            <w:vMerge/>
            <w:noWrap/>
            <w:vAlign w:val="center"/>
          </w:tcPr>
          <w:p w14:paraId="5FC5ECA4" w14:textId="77777777" w:rsidR="002D49B0" w:rsidRPr="00083739" w:rsidRDefault="002D49B0">
            <w:pPr>
              <w:spacing w:after="0" w:line="240" w:lineRule="auto"/>
              <w:rPr>
                <w:rFonts w:ascii="Times New Roman" w:hAnsi="Times New Roman" w:cs="Times New Roman"/>
                <w:b/>
                <w:noProof/>
                <w:sz w:val="18"/>
                <w:lang w:val="sk-SK"/>
              </w:rPr>
            </w:pPr>
          </w:p>
        </w:tc>
        <w:tc>
          <w:tcPr>
            <w:tcW w:w="993" w:type="dxa"/>
            <w:vMerge/>
            <w:noWrap/>
            <w:vAlign w:val="center"/>
          </w:tcPr>
          <w:p w14:paraId="4714406C" w14:textId="77777777" w:rsidR="002D49B0" w:rsidRPr="00083739" w:rsidRDefault="002D49B0">
            <w:pPr>
              <w:spacing w:after="0" w:line="240" w:lineRule="auto"/>
              <w:rPr>
                <w:rFonts w:ascii="Times New Roman" w:hAnsi="Times New Roman" w:cs="Times New Roman"/>
                <w:b/>
                <w:noProof/>
                <w:sz w:val="18"/>
                <w:lang w:val="sk-SK"/>
              </w:rPr>
            </w:pPr>
          </w:p>
        </w:tc>
        <w:tc>
          <w:tcPr>
            <w:tcW w:w="1120" w:type="dxa"/>
            <w:vMerge/>
            <w:noWrap/>
            <w:vAlign w:val="center"/>
          </w:tcPr>
          <w:p w14:paraId="6EF837D6" w14:textId="77777777" w:rsidR="002D49B0" w:rsidRPr="00083739" w:rsidRDefault="002D49B0">
            <w:pPr>
              <w:spacing w:after="0" w:line="240" w:lineRule="auto"/>
              <w:rPr>
                <w:rFonts w:ascii="Times New Roman" w:hAnsi="Times New Roman" w:cs="Times New Roman"/>
                <w:b/>
                <w:noProof/>
                <w:sz w:val="18"/>
                <w:lang w:val="sk-SK"/>
              </w:rPr>
            </w:pPr>
          </w:p>
        </w:tc>
        <w:tc>
          <w:tcPr>
            <w:tcW w:w="1477" w:type="dxa"/>
            <w:vMerge/>
            <w:noWrap/>
            <w:vAlign w:val="center"/>
          </w:tcPr>
          <w:p w14:paraId="43830D52" w14:textId="77777777" w:rsidR="002D49B0" w:rsidRPr="00083739" w:rsidRDefault="002D49B0">
            <w:pPr>
              <w:spacing w:after="0" w:line="240" w:lineRule="auto"/>
              <w:rPr>
                <w:rFonts w:ascii="Times New Roman" w:hAnsi="Times New Roman" w:cs="Times New Roman"/>
                <w:b/>
                <w:noProof/>
                <w:sz w:val="18"/>
                <w:lang w:val="sk-SK"/>
              </w:rPr>
            </w:pPr>
          </w:p>
        </w:tc>
        <w:tc>
          <w:tcPr>
            <w:tcW w:w="1125" w:type="dxa"/>
            <w:shd w:val="clear" w:color="auto" w:fill="BDD7EE"/>
            <w:noWrap/>
            <w:vAlign w:val="center"/>
          </w:tcPr>
          <w:p w14:paraId="15A2D0F1" w14:textId="77777777" w:rsidR="002D49B0" w:rsidRPr="00083739" w:rsidRDefault="00BF4125">
            <w:pPr>
              <w:pStyle w:val="P68B1DB1-Normal7"/>
              <w:spacing w:after="0" w:line="240" w:lineRule="auto"/>
              <w:jc w:val="center"/>
              <w:rPr>
                <w:rFonts w:eastAsia="Times New Roman" w:cs="Times New Roman"/>
                <w:noProof/>
                <w:color w:val="006100"/>
                <w:szCs w:val="18"/>
                <w:lang w:val="sk-SK"/>
              </w:rPr>
            </w:pPr>
            <w:r w:rsidRPr="00083739">
              <w:rPr>
                <w:rFonts w:cs="Times New Roman"/>
                <w:noProof/>
                <w:lang w:val="sk-SK"/>
              </w:rPr>
              <w:t>Merná jednotka</w:t>
            </w:r>
          </w:p>
        </w:tc>
        <w:tc>
          <w:tcPr>
            <w:tcW w:w="1281" w:type="dxa"/>
            <w:shd w:val="clear" w:color="auto" w:fill="BDD7EE"/>
            <w:vAlign w:val="center"/>
          </w:tcPr>
          <w:p w14:paraId="22367256" w14:textId="77777777" w:rsidR="002D49B0" w:rsidRPr="00083739" w:rsidRDefault="00BF4125">
            <w:pPr>
              <w:pStyle w:val="P68B1DB1-Normal7"/>
              <w:spacing w:after="0" w:line="240" w:lineRule="auto"/>
              <w:jc w:val="center"/>
              <w:rPr>
                <w:rFonts w:eastAsia="Times New Roman" w:cs="Times New Roman"/>
                <w:noProof/>
                <w:color w:val="006100"/>
                <w:szCs w:val="18"/>
                <w:lang w:val="sk-SK"/>
              </w:rPr>
            </w:pPr>
            <w:r w:rsidRPr="00083739">
              <w:rPr>
                <w:rFonts w:cs="Times New Roman"/>
                <w:noProof/>
                <w:lang w:val="sk-SK"/>
              </w:rPr>
              <w:t>Základná</w:t>
            </w:r>
          </w:p>
        </w:tc>
        <w:tc>
          <w:tcPr>
            <w:tcW w:w="705" w:type="dxa"/>
            <w:shd w:val="clear" w:color="auto" w:fill="BDD7EE"/>
            <w:vAlign w:val="center"/>
          </w:tcPr>
          <w:p w14:paraId="1DCD1D58" w14:textId="77777777" w:rsidR="002D49B0" w:rsidRPr="00083739" w:rsidRDefault="00BF4125">
            <w:pPr>
              <w:pStyle w:val="P68B1DB1-Normal7"/>
              <w:spacing w:after="0" w:line="240" w:lineRule="auto"/>
              <w:jc w:val="center"/>
              <w:rPr>
                <w:rFonts w:eastAsia="Times New Roman" w:cs="Times New Roman"/>
                <w:noProof/>
                <w:color w:val="006100"/>
                <w:szCs w:val="18"/>
                <w:lang w:val="sk-SK"/>
              </w:rPr>
            </w:pPr>
            <w:r w:rsidRPr="00083739">
              <w:rPr>
                <w:rFonts w:cs="Times New Roman"/>
                <w:noProof/>
                <w:lang w:val="sk-SK"/>
              </w:rPr>
              <w:t>Cieľ</w:t>
            </w:r>
          </w:p>
        </w:tc>
        <w:tc>
          <w:tcPr>
            <w:tcW w:w="851" w:type="dxa"/>
            <w:shd w:val="clear" w:color="auto" w:fill="BDD7EE"/>
            <w:noWrap/>
            <w:vAlign w:val="center"/>
          </w:tcPr>
          <w:p w14:paraId="60EB731D" w14:textId="77777777" w:rsidR="002D49B0" w:rsidRPr="00083739" w:rsidRDefault="00BF4125">
            <w:pPr>
              <w:pStyle w:val="P68B1DB1-Normal7"/>
              <w:spacing w:after="0" w:line="240" w:lineRule="auto"/>
              <w:jc w:val="center"/>
              <w:rPr>
                <w:rFonts w:cs="Times New Roman"/>
                <w:noProof/>
                <w:color w:val="006100"/>
                <w:lang w:val="sk-SK"/>
              </w:rPr>
            </w:pPr>
            <w:r w:rsidRPr="00083739">
              <w:rPr>
                <w:rFonts w:cs="Times New Roman"/>
                <w:noProof/>
                <w:lang w:val="sk-SK"/>
              </w:rPr>
              <w:t>Štvrtina</w:t>
            </w:r>
          </w:p>
        </w:tc>
        <w:tc>
          <w:tcPr>
            <w:tcW w:w="709" w:type="dxa"/>
            <w:shd w:val="clear" w:color="auto" w:fill="BDD7EE"/>
            <w:vAlign w:val="center"/>
          </w:tcPr>
          <w:p w14:paraId="43ABF793" w14:textId="77777777" w:rsidR="002D49B0" w:rsidRPr="00083739" w:rsidRDefault="00BF4125">
            <w:pPr>
              <w:pStyle w:val="P68B1DB1-Normal7"/>
              <w:spacing w:after="0" w:line="240" w:lineRule="auto"/>
              <w:jc w:val="center"/>
              <w:rPr>
                <w:rFonts w:cs="Times New Roman"/>
                <w:noProof/>
                <w:color w:val="006100"/>
                <w:lang w:val="sk-SK"/>
              </w:rPr>
            </w:pPr>
            <w:r w:rsidRPr="00083739">
              <w:rPr>
                <w:rFonts w:cs="Times New Roman"/>
                <w:noProof/>
                <w:lang w:val="sk-SK"/>
              </w:rPr>
              <w:t>Rok</w:t>
            </w:r>
          </w:p>
        </w:tc>
        <w:tc>
          <w:tcPr>
            <w:tcW w:w="4450" w:type="dxa"/>
            <w:vMerge/>
            <w:noWrap/>
          </w:tcPr>
          <w:p w14:paraId="3745ACA7" w14:textId="77777777" w:rsidR="002D49B0" w:rsidRPr="00083739" w:rsidRDefault="002D49B0">
            <w:pPr>
              <w:spacing w:after="0" w:line="240" w:lineRule="auto"/>
              <w:rPr>
                <w:rFonts w:ascii="Times New Roman" w:hAnsi="Times New Roman" w:cs="Times New Roman"/>
                <w:noProof/>
                <w:color w:val="006100"/>
                <w:sz w:val="18"/>
                <w:lang w:val="sk-SK"/>
              </w:rPr>
            </w:pPr>
          </w:p>
        </w:tc>
      </w:tr>
      <w:tr w:rsidR="002D49B0" w:rsidRPr="00083739" w14:paraId="3A2BCA32" w14:textId="77777777">
        <w:trPr>
          <w:trHeight w:val="313"/>
          <w:tblHeader/>
          <w:jc w:val="center"/>
        </w:trPr>
        <w:tc>
          <w:tcPr>
            <w:tcW w:w="1027" w:type="dxa"/>
            <w:shd w:val="clear" w:color="auto" w:fill="C6EFCE"/>
            <w:noWrap/>
          </w:tcPr>
          <w:p w14:paraId="30D02FF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29</w:t>
            </w:r>
          </w:p>
        </w:tc>
        <w:tc>
          <w:tcPr>
            <w:tcW w:w="1917" w:type="dxa"/>
            <w:shd w:val="clear" w:color="auto" w:fill="C6EFCE"/>
            <w:noWrap/>
          </w:tcPr>
          <w:p w14:paraId="3DCBFD2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 – 1.2. Renovácia – 16879_Príprava mestských plánov pri vykonávaní reformy mestskej politiky</w:t>
            </w:r>
          </w:p>
        </w:tc>
        <w:tc>
          <w:tcPr>
            <w:tcW w:w="993" w:type="dxa"/>
            <w:shd w:val="clear" w:color="auto" w:fill="C6EFCE"/>
            <w:noWrap/>
          </w:tcPr>
          <w:p w14:paraId="55BAA6E4" w14:textId="135C252B"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120" w:type="dxa"/>
            <w:shd w:val="clear" w:color="auto" w:fill="C6EFCE"/>
            <w:noWrap/>
          </w:tcPr>
          <w:p w14:paraId="74A152B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územného plánovania</w:t>
            </w:r>
          </w:p>
        </w:tc>
        <w:tc>
          <w:tcPr>
            <w:tcW w:w="1477" w:type="dxa"/>
            <w:shd w:val="clear" w:color="auto" w:fill="C6EFCE"/>
            <w:noWrap/>
          </w:tcPr>
          <w:p w14:paraId="6BF01BA9" w14:textId="372360BC"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Vydanie kladného hodnotenia ministerstva životného prostredia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energetiky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 xml:space="preserve">súvislosti so štúdiami miestnych </w:t>
            </w:r>
            <w:r w:rsidRPr="00083739">
              <w:rPr>
                <w:rFonts w:ascii="Times New Roman" w:hAnsi="Times New Roman" w:cs="Times New Roman"/>
                <w:noProof/>
                <w:lang w:val="sk-SK"/>
              </w:rPr>
              <w:t>mestských plánov, osobitných mestských plánov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vymedzenia osád</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dokončenie štúdií</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zónach na prevod práv na rozvoj</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charakterizácii obecných ciest</w:t>
            </w:r>
          </w:p>
        </w:tc>
        <w:tc>
          <w:tcPr>
            <w:tcW w:w="1125" w:type="dxa"/>
            <w:shd w:val="clear" w:color="auto" w:fill="C6EFCE"/>
            <w:noWrap/>
          </w:tcPr>
          <w:p w14:paraId="75621E19" w14:textId="510AAE13"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281" w:type="dxa"/>
            <w:shd w:val="clear" w:color="auto" w:fill="C6EFCE"/>
            <w:noWrap/>
          </w:tcPr>
          <w:p w14:paraId="5029A116" w14:textId="21C4E55F"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705" w:type="dxa"/>
            <w:shd w:val="clear" w:color="auto" w:fill="C6EFCE"/>
            <w:noWrap/>
          </w:tcPr>
          <w:p w14:paraId="6815BA82" w14:textId="19A03885"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1" w:type="dxa"/>
            <w:shd w:val="clear" w:color="auto" w:fill="C6EFCE"/>
            <w:noWrap/>
          </w:tcPr>
          <w:p w14:paraId="24A0EE3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09" w:type="dxa"/>
            <w:shd w:val="clear" w:color="auto" w:fill="C6EFCE"/>
            <w:noWrap/>
          </w:tcPr>
          <w:p w14:paraId="4CDE5C9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4450" w:type="dxa"/>
            <w:shd w:val="clear" w:color="auto" w:fill="C6EFCE"/>
            <w:noWrap/>
          </w:tcPr>
          <w:p w14:paraId="1C031B4B" w14:textId="0F012C60" w:rsidR="002D49B0" w:rsidRPr="00083739" w:rsidRDefault="00BF4125">
            <w:pPr>
              <w:pStyle w:val="P68B1DB1-Normal10"/>
              <w:spacing w:after="0" w:line="240" w:lineRule="auto"/>
              <w:rPr>
                <w:rFonts w:ascii="Times New Roman" w:hAnsi="Times New Roman" w:cs="Times New Roman"/>
                <w:noProof/>
                <w:lang w:val="sk-SK"/>
              </w:rPr>
            </w:pPr>
            <w:r w:rsidRPr="00083739">
              <w:rPr>
                <w:rFonts w:ascii="Times New Roman" w:hAnsi="Times New Roman" w:cs="Times New Roman"/>
                <w:noProof/>
                <w:lang w:val="sk-SK"/>
              </w:rPr>
              <w:t>Vydanie kladného hodnotenia ministerstvom životného prostredia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energetiky pre </w:t>
            </w:r>
            <w:r w:rsidRPr="00083739">
              <w:rPr>
                <w:rFonts w:ascii="Times New Roman" w:hAnsi="Times New Roman" w:cs="Times New Roman"/>
                <w:noProof/>
                <w:lang w:val="sk-SK"/>
              </w:rPr>
              <w:t>štúdie týkajúce sa: miestne mestské plány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405 mestských jednotkách, 11 osobitných mestských plánov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vymedzenie osád</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36 mestských jednotkách;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vydanie osvedčenia ministerstvom životného prostredia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energetiky na dokončenie štúdií na: Zóny prevodu roz</w:t>
            </w:r>
            <w:r w:rsidRPr="00083739">
              <w:rPr>
                <w:rFonts w:ascii="Times New Roman" w:hAnsi="Times New Roman" w:cs="Times New Roman"/>
                <w:noProof/>
                <w:lang w:val="sk-SK"/>
              </w:rPr>
              <w:t>vojových práv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 xml:space="preserve">50 mestských jednotkách; </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charakterizácia obecných ciest</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149 obecných jednotkách.</w:t>
            </w:r>
          </w:p>
          <w:p w14:paraId="0991D1D7" w14:textId="253E1B98" w:rsidR="002D49B0" w:rsidRPr="00083739" w:rsidRDefault="002D49B0">
            <w:pPr>
              <w:jc w:val="right"/>
              <w:rPr>
                <w:rFonts w:ascii="Times New Roman" w:eastAsia="Times New Roman" w:hAnsi="Times New Roman" w:cs="Times New Roman"/>
                <w:noProof/>
                <w:sz w:val="18"/>
                <w:szCs w:val="18"/>
                <w:lang w:val="sk-SK"/>
              </w:rPr>
            </w:pPr>
          </w:p>
        </w:tc>
      </w:tr>
      <w:tr w:rsidR="002D49B0" w:rsidRPr="00083739" w14:paraId="5FCC29A6" w14:textId="77777777">
        <w:trPr>
          <w:trHeight w:val="313"/>
          <w:tblHeader/>
          <w:jc w:val="center"/>
        </w:trPr>
        <w:tc>
          <w:tcPr>
            <w:tcW w:w="1027" w:type="dxa"/>
            <w:shd w:val="clear" w:color="auto" w:fill="C6EFCE"/>
            <w:noWrap/>
          </w:tcPr>
          <w:p w14:paraId="3CF8B6A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30</w:t>
            </w:r>
          </w:p>
        </w:tc>
        <w:tc>
          <w:tcPr>
            <w:tcW w:w="1917" w:type="dxa"/>
            <w:shd w:val="clear" w:color="auto" w:fill="C6EFCE"/>
            <w:noWrap/>
          </w:tcPr>
          <w:p w14:paraId="2C832FDB" w14:textId="74ADC091"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 – 1.2. Renovácia – 16894_Zriadenie nového špeciálneho územného plánovania pre obnoviteľné zdroje energie, priemysel</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cestovný ruch</w:t>
            </w:r>
          </w:p>
        </w:tc>
        <w:tc>
          <w:tcPr>
            <w:tcW w:w="993" w:type="dxa"/>
            <w:shd w:val="clear" w:color="auto" w:fill="C6EFCE"/>
            <w:noWrap/>
          </w:tcPr>
          <w:p w14:paraId="3FCFB79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 Míľnik</w:t>
            </w:r>
          </w:p>
        </w:tc>
        <w:tc>
          <w:tcPr>
            <w:tcW w:w="1120" w:type="dxa"/>
            <w:shd w:val="clear" w:color="auto" w:fill="C6EFCE"/>
            <w:noWrap/>
          </w:tcPr>
          <w:p w14:paraId="1EC28C7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Prijatie osobitných priestorových rámcov</w:t>
            </w:r>
          </w:p>
        </w:tc>
        <w:tc>
          <w:tcPr>
            <w:tcW w:w="1477" w:type="dxa"/>
            <w:shd w:val="clear" w:color="auto" w:fill="C6EFCE"/>
            <w:noWrap/>
          </w:tcPr>
          <w:p w14:paraId="2894B4E9" w14:textId="42DB8CBE"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Prijatie troch osobitných priestorových rámcov pre obnoviteľné zdroje energie, cestovný ruch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priemysel</w:t>
            </w:r>
          </w:p>
        </w:tc>
        <w:tc>
          <w:tcPr>
            <w:tcW w:w="1125" w:type="dxa"/>
            <w:shd w:val="clear" w:color="auto" w:fill="C6EFCE"/>
            <w:noWrap/>
          </w:tcPr>
          <w:p w14:paraId="6BED2123"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281" w:type="dxa"/>
            <w:shd w:val="clear" w:color="auto" w:fill="C6EFCE"/>
            <w:noWrap/>
          </w:tcPr>
          <w:p w14:paraId="031D3B66"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705" w:type="dxa"/>
            <w:shd w:val="clear" w:color="auto" w:fill="C6EFCE"/>
            <w:noWrap/>
          </w:tcPr>
          <w:p w14:paraId="137C58F4"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1" w:type="dxa"/>
            <w:shd w:val="clear" w:color="auto" w:fill="C6EFCE"/>
            <w:noWrap/>
          </w:tcPr>
          <w:p w14:paraId="246D322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09" w:type="dxa"/>
            <w:shd w:val="clear" w:color="auto" w:fill="C6EFCE"/>
            <w:noWrap/>
          </w:tcPr>
          <w:p w14:paraId="0C29E4C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4450" w:type="dxa"/>
            <w:shd w:val="clear" w:color="auto" w:fill="C6EFCE"/>
            <w:noWrap/>
          </w:tcPr>
          <w:p w14:paraId="2FD5172F" w14:textId="23A98B01"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 xml:space="preserve">Ministerstvo životného prostredia prijalo tri osobitné priestorové rámce pre </w:t>
            </w:r>
            <w:r w:rsidRPr="00083739">
              <w:rPr>
                <w:rFonts w:ascii="Times New Roman" w:hAnsi="Times New Roman" w:cs="Times New Roman"/>
                <w:noProof/>
                <w:lang w:val="sk-SK"/>
              </w:rPr>
              <w:t>obnoviteľné zdroje energie (RES), cestovný ruch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priemysel.</w:t>
            </w:r>
          </w:p>
          <w:p w14:paraId="3E3A5B45" w14:textId="6640263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r>
      <w:tr w:rsidR="002D49B0" w:rsidRPr="00083739" w14:paraId="52C131EB" w14:textId="77777777">
        <w:trPr>
          <w:trHeight w:val="313"/>
          <w:tblHeader/>
          <w:jc w:val="center"/>
        </w:trPr>
        <w:tc>
          <w:tcPr>
            <w:tcW w:w="1027" w:type="dxa"/>
            <w:shd w:val="clear" w:color="auto" w:fill="C6EFCE"/>
            <w:noWrap/>
          </w:tcPr>
          <w:p w14:paraId="3666BF5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31</w:t>
            </w:r>
          </w:p>
        </w:tc>
        <w:tc>
          <w:tcPr>
            <w:tcW w:w="1917" w:type="dxa"/>
            <w:shd w:val="clear" w:color="auto" w:fill="C6EFCE"/>
            <w:noWrap/>
          </w:tcPr>
          <w:p w14:paraId="1EC8288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 – 1.2. Renovácia – 16891_Zriadenie nového námorného priestorového plánovania</w:t>
            </w:r>
          </w:p>
        </w:tc>
        <w:tc>
          <w:tcPr>
            <w:tcW w:w="993" w:type="dxa"/>
            <w:shd w:val="clear" w:color="auto" w:fill="C6EFCE"/>
            <w:noWrap/>
          </w:tcPr>
          <w:p w14:paraId="7FC6AEE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p w14:paraId="0430F684"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120" w:type="dxa"/>
            <w:shd w:val="clear" w:color="auto" w:fill="C6EFCE"/>
            <w:noWrap/>
          </w:tcPr>
          <w:p w14:paraId="656DDFB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Prijatie námornej stratégie</w:t>
            </w:r>
          </w:p>
        </w:tc>
        <w:tc>
          <w:tcPr>
            <w:tcW w:w="1477" w:type="dxa"/>
            <w:shd w:val="clear" w:color="auto" w:fill="C6EFCE"/>
            <w:noWrap/>
          </w:tcPr>
          <w:p w14:paraId="432C97C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Prijatie novej námornej priestorovej stratégie</w:t>
            </w:r>
          </w:p>
        </w:tc>
        <w:tc>
          <w:tcPr>
            <w:tcW w:w="1125" w:type="dxa"/>
            <w:shd w:val="clear" w:color="auto" w:fill="C6EFCE"/>
            <w:noWrap/>
          </w:tcPr>
          <w:p w14:paraId="20C7390F"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281" w:type="dxa"/>
            <w:shd w:val="clear" w:color="auto" w:fill="C6EFCE"/>
            <w:noWrap/>
          </w:tcPr>
          <w:p w14:paraId="15E4BBC9"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705" w:type="dxa"/>
            <w:shd w:val="clear" w:color="auto" w:fill="C6EFCE"/>
            <w:noWrap/>
          </w:tcPr>
          <w:p w14:paraId="0304BE81"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1" w:type="dxa"/>
            <w:shd w:val="clear" w:color="auto" w:fill="C6EFCE"/>
            <w:noWrap/>
          </w:tcPr>
          <w:p w14:paraId="680CFBFB" w14:textId="3414B922"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709" w:type="dxa"/>
            <w:shd w:val="clear" w:color="auto" w:fill="C6EFCE"/>
            <w:noWrap/>
          </w:tcPr>
          <w:p w14:paraId="552BB0F7" w14:textId="1A0F1D4D"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2024</w:t>
            </w:r>
          </w:p>
        </w:tc>
        <w:tc>
          <w:tcPr>
            <w:tcW w:w="4450" w:type="dxa"/>
            <w:shd w:val="clear" w:color="auto" w:fill="C6EFCE"/>
            <w:noWrap/>
          </w:tcPr>
          <w:p w14:paraId="0830C9FA" w14:textId="38D375E1"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Prijatie námornej priestorovej stratégie ministerstvom životného prostredia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energetiky. </w:t>
            </w:r>
          </w:p>
        </w:tc>
      </w:tr>
    </w:tbl>
    <w:p w14:paraId="58A4E3C1" w14:textId="77777777" w:rsidR="002D49B0" w:rsidRPr="00083739" w:rsidRDefault="002D49B0">
      <w:pPr>
        <w:spacing w:before="120" w:after="120" w:line="240" w:lineRule="auto"/>
        <w:ind w:left="709"/>
        <w:rPr>
          <w:rFonts w:ascii="Times New Roman" w:hAnsi="Times New Roman" w:cs="Times New Roman"/>
          <w:noProof/>
          <w:sz w:val="24"/>
          <w:lang w:val="sk-SK"/>
        </w:rPr>
      </w:pPr>
    </w:p>
    <w:p w14:paraId="48C245B8" w14:textId="6B96C274" w:rsidR="002D49B0" w:rsidRPr="00083739" w:rsidRDefault="00BF4125">
      <w:pPr>
        <w:pStyle w:val="P68B1DB1-Normal6"/>
        <w:keepNext/>
        <w:keepLines/>
        <w:spacing w:before="40" w:after="0" w:line="240" w:lineRule="auto"/>
        <w:jc w:val="both"/>
        <w:outlineLvl w:val="4"/>
        <w:rPr>
          <w:rFonts w:ascii="Times New Roman" w:eastAsia="Times New Roman" w:hAnsi="Times New Roman" w:cs="Times New Roman"/>
          <w:noProof/>
          <w:lang w:val="sk-SK"/>
        </w:rPr>
      </w:pPr>
      <w:r w:rsidRPr="00083739">
        <w:rPr>
          <w:rFonts w:ascii="Times New Roman" w:hAnsi="Times New Roman" w:cs="Times New Roman"/>
          <w:noProof/>
          <w:lang w:val="sk-SK"/>
        </w:rPr>
        <w:t>Skupina 2: Energetická obnova podnikov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verejných budov</w:t>
      </w:r>
    </w:p>
    <w:p w14:paraId="5FF97F2E" w14:textId="77777777" w:rsidR="002D49B0" w:rsidRPr="00083739" w:rsidRDefault="00BF4125">
      <w:pPr>
        <w:pStyle w:val="P68B1DB1-Normal4"/>
        <w:spacing w:before="120" w:after="120" w:line="240" w:lineRule="auto"/>
        <w:rPr>
          <w:rFonts w:cs="Times New Roman"/>
          <w:noProof/>
          <w:lang w:val="sk-SK"/>
        </w:rPr>
      </w:pPr>
      <w:r w:rsidRPr="00083739">
        <w:rPr>
          <w:rFonts w:cs="Times New Roman"/>
          <w:noProof/>
          <w:lang w:val="sk-SK"/>
        </w:rPr>
        <w:t>Do tejto skupiny patria tieto opatrenia:</w:t>
      </w:r>
    </w:p>
    <w:p w14:paraId="0190F1AA" w14:textId="779C2383" w:rsidR="002D49B0" w:rsidRPr="00083739" w:rsidRDefault="00BF4125">
      <w:pPr>
        <w:spacing w:before="120" w:after="120" w:line="240" w:lineRule="auto"/>
        <w:rPr>
          <w:rFonts w:ascii="Times New Roman" w:hAnsi="Times New Roman" w:cs="Times New Roman"/>
          <w:noProof/>
          <w:sz w:val="24"/>
          <w:lang w:val="sk-SK"/>
        </w:rPr>
      </w:pPr>
      <w:r w:rsidRPr="00083739">
        <w:rPr>
          <w:rFonts w:ascii="Times New Roman" w:hAnsi="Times New Roman" w:cs="Times New Roman"/>
          <w:noProof/>
          <w:sz w:val="24"/>
          <w:lang w:val="sk-SK"/>
        </w:rPr>
        <w:t>●</w:t>
      </w:r>
      <w:r w:rsidRPr="00083739">
        <w:rPr>
          <w:rFonts w:ascii="Times New Roman" w:hAnsi="Times New Roman" w:cs="Times New Roman"/>
          <w:noProof/>
          <w:lang w:val="sk-SK"/>
        </w:rPr>
        <w:t xml:space="preserve"> </w:t>
      </w:r>
      <w:r w:rsidRPr="00083739">
        <w:rPr>
          <w:rFonts w:ascii="Times New Roman" w:hAnsi="Times New Roman" w:cs="Times New Roman"/>
          <w:noProof/>
          <w:sz w:val="24"/>
          <w:lang w:val="sk-SK"/>
        </w:rPr>
        <w:t>Energetika</w:t>
      </w:r>
      <w:r w:rsidR="00083739" w:rsidRPr="00083739">
        <w:rPr>
          <w:rFonts w:ascii="Times New Roman" w:hAnsi="Times New Roman" w:cs="Times New Roman"/>
          <w:noProof/>
          <w:sz w:val="24"/>
          <w:lang w:val="sk-SK"/>
        </w:rPr>
        <w:t xml:space="preserve"> a </w:t>
      </w:r>
      <w:r w:rsidRPr="00083739">
        <w:rPr>
          <w:rFonts w:ascii="Times New Roman" w:hAnsi="Times New Roman" w:cs="Times New Roman"/>
          <w:noProof/>
          <w:sz w:val="24"/>
          <w:lang w:val="sk-SK"/>
        </w:rPr>
        <w:t>podnikanie (ID: 16874)</w:t>
      </w:r>
    </w:p>
    <w:p w14:paraId="3093B417" w14:textId="19885F03" w:rsidR="002D49B0" w:rsidRPr="00083739" w:rsidRDefault="00BF4125">
      <w:pPr>
        <w:spacing w:before="120" w:after="120" w:line="240" w:lineRule="auto"/>
        <w:rPr>
          <w:rFonts w:ascii="Times New Roman" w:hAnsi="Times New Roman" w:cs="Times New Roman"/>
          <w:noProof/>
          <w:sz w:val="24"/>
          <w:lang w:val="sk-SK"/>
        </w:rPr>
      </w:pPr>
      <w:r w:rsidRPr="00083739">
        <w:rPr>
          <w:rFonts w:ascii="Times New Roman" w:hAnsi="Times New Roman" w:cs="Times New Roman"/>
          <w:noProof/>
          <w:sz w:val="24"/>
          <w:lang w:val="sk-SK"/>
        </w:rPr>
        <w:t>●</w:t>
      </w:r>
      <w:r w:rsidRPr="00083739">
        <w:rPr>
          <w:rFonts w:ascii="Times New Roman" w:hAnsi="Times New Roman" w:cs="Times New Roman"/>
          <w:noProof/>
          <w:lang w:val="sk-SK"/>
        </w:rPr>
        <w:t xml:space="preserve"> </w:t>
      </w:r>
      <w:r w:rsidRPr="00083739">
        <w:rPr>
          <w:rFonts w:ascii="Times New Roman" w:hAnsi="Times New Roman" w:cs="Times New Roman"/>
          <w:noProof/>
          <w:sz w:val="24"/>
          <w:lang w:val="sk-SK"/>
        </w:rPr>
        <w:t xml:space="preserve">Energetická modernizácia </w:t>
      </w:r>
      <w:r w:rsidRPr="00083739">
        <w:rPr>
          <w:rFonts w:ascii="Times New Roman" w:hAnsi="Times New Roman" w:cs="Times New Roman"/>
          <w:noProof/>
          <w:sz w:val="24"/>
          <w:lang w:val="sk-SK"/>
        </w:rPr>
        <w:t>budov verejného sektora</w:t>
      </w:r>
      <w:r w:rsidR="00083739" w:rsidRPr="00083739">
        <w:rPr>
          <w:rFonts w:ascii="Times New Roman" w:hAnsi="Times New Roman" w:cs="Times New Roman"/>
          <w:noProof/>
          <w:sz w:val="24"/>
          <w:lang w:val="sk-SK"/>
        </w:rPr>
        <w:t xml:space="preserve"> a </w:t>
      </w:r>
      <w:r w:rsidRPr="00083739">
        <w:rPr>
          <w:rFonts w:ascii="Times New Roman" w:hAnsi="Times New Roman" w:cs="Times New Roman"/>
          <w:noProof/>
          <w:sz w:val="24"/>
          <w:lang w:val="sk-SK"/>
        </w:rPr>
        <w:t>energetická infraštruktúra verejných subjektov (ID: 16876)</w:t>
      </w:r>
    </w:p>
    <w:p w14:paraId="2D70AC13" w14:textId="77777777" w:rsidR="002D49B0" w:rsidRPr="00083739" w:rsidRDefault="00BF4125">
      <w:pPr>
        <w:spacing w:before="120" w:after="120" w:line="240" w:lineRule="auto"/>
        <w:rPr>
          <w:rFonts w:ascii="Times New Roman" w:hAnsi="Times New Roman" w:cs="Times New Roman"/>
          <w:noProof/>
          <w:sz w:val="24"/>
          <w:lang w:val="sk-SK"/>
        </w:rPr>
      </w:pPr>
      <w:r w:rsidRPr="00083739">
        <w:rPr>
          <w:rFonts w:ascii="Times New Roman" w:hAnsi="Times New Roman" w:cs="Times New Roman"/>
          <w:noProof/>
          <w:sz w:val="24"/>
          <w:lang w:val="sk-SK"/>
        </w:rPr>
        <w:t>●</w:t>
      </w:r>
      <w:r w:rsidRPr="00083739">
        <w:rPr>
          <w:rFonts w:ascii="Times New Roman" w:hAnsi="Times New Roman" w:cs="Times New Roman"/>
          <w:noProof/>
          <w:lang w:val="sk-SK"/>
        </w:rPr>
        <w:t xml:space="preserve"> </w:t>
      </w:r>
      <w:r w:rsidRPr="00083739">
        <w:rPr>
          <w:rFonts w:ascii="Times New Roman" w:hAnsi="Times New Roman" w:cs="Times New Roman"/>
          <w:noProof/>
          <w:sz w:val="24"/>
          <w:lang w:val="sk-SK"/>
        </w:rPr>
        <w:t>Akčný plán pre energetickú chudobu (ID: 16920)</w:t>
      </w:r>
    </w:p>
    <w:tbl>
      <w:tblPr>
        <w:tblpPr w:leftFromText="180" w:rightFromText="180" w:vertAnchor="text" w:tblpXSpec="center" w:tblpY="1"/>
        <w:tblOverlap w:val="never"/>
        <w:tblW w:w="15417" w:type="dxa"/>
        <w:tblLayout w:type="fixed"/>
        <w:tblLook w:val="04A0" w:firstRow="1" w:lastRow="0" w:firstColumn="1" w:lastColumn="0" w:noHBand="0" w:noVBand="1"/>
      </w:tblPr>
      <w:tblGrid>
        <w:gridCol w:w="959"/>
        <w:gridCol w:w="1815"/>
        <w:gridCol w:w="1181"/>
        <w:gridCol w:w="973"/>
        <w:gridCol w:w="1417"/>
        <w:gridCol w:w="1091"/>
        <w:gridCol w:w="999"/>
        <w:gridCol w:w="985"/>
        <w:gridCol w:w="894"/>
        <w:gridCol w:w="709"/>
        <w:gridCol w:w="4394"/>
      </w:tblGrid>
      <w:tr w:rsidR="002D49B0" w:rsidRPr="00083739" w14:paraId="5B250EA5" w14:textId="77777777" w:rsidTr="006B0378">
        <w:trPr>
          <w:trHeight w:val="939"/>
          <w:tblHeader/>
        </w:trPr>
        <w:tc>
          <w:tcPr>
            <w:tcW w:w="95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6863273"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Poradové číslo</w:t>
            </w:r>
          </w:p>
        </w:tc>
        <w:tc>
          <w:tcPr>
            <w:tcW w:w="181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54A4A4A"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Súvisiace opatrenie (reforma alebo investícia)</w:t>
            </w:r>
          </w:p>
        </w:tc>
        <w:tc>
          <w:tcPr>
            <w:tcW w:w="118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E10FF9B"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Míľnik/cieľ</w:t>
            </w:r>
          </w:p>
        </w:tc>
        <w:tc>
          <w:tcPr>
            <w:tcW w:w="973" w:type="dxa"/>
            <w:vMerge w:val="restart"/>
            <w:tcBorders>
              <w:top w:val="single" w:sz="4" w:space="0" w:color="auto"/>
              <w:left w:val="nil"/>
              <w:bottom w:val="single" w:sz="4" w:space="0" w:color="auto"/>
              <w:right w:val="single" w:sz="4" w:space="0" w:color="auto"/>
            </w:tcBorders>
            <w:shd w:val="clear" w:color="auto" w:fill="BDD7EE"/>
            <w:vAlign w:val="center"/>
            <w:hideMark/>
          </w:tcPr>
          <w:p w14:paraId="2D2AA790"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Názov</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86B1960"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Kvalitatívne ukazovatele (pre míľniky)</w:t>
            </w:r>
          </w:p>
        </w:tc>
        <w:tc>
          <w:tcPr>
            <w:tcW w:w="3075" w:type="dxa"/>
            <w:gridSpan w:val="3"/>
            <w:tcBorders>
              <w:top w:val="single" w:sz="4" w:space="0" w:color="auto"/>
              <w:left w:val="nil"/>
              <w:bottom w:val="single" w:sz="4" w:space="0" w:color="auto"/>
              <w:right w:val="single" w:sz="4" w:space="0" w:color="auto"/>
            </w:tcBorders>
            <w:shd w:val="clear" w:color="auto" w:fill="BDD7EE"/>
            <w:vAlign w:val="center"/>
            <w:hideMark/>
          </w:tcPr>
          <w:p w14:paraId="1FB95E74"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Kva</w:t>
            </w:r>
            <w:r w:rsidRPr="00083739">
              <w:rPr>
                <w:rFonts w:cs="Times New Roman"/>
                <w:noProof/>
                <w:lang w:val="sk-SK"/>
              </w:rPr>
              <w:t>ntitatívne ukazovatele (pre ciele)</w:t>
            </w:r>
          </w:p>
        </w:tc>
        <w:tc>
          <w:tcPr>
            <w:tcW w:w="1603" w:type="dxa"/>
            <w:gridSpan w:val="2"/>
            <w:tcBorders>
              <w:top w:val="single" w:sz="4" w:space="0" w:color="auto"/>
              <w:left w:val="nil"/>
              <w:bottom w:val="single" w:sz="4" w:space="0" w:color="auto"/>
              <w:right w:val="single" w:sz="4" w:space="0" w:color="auto"/>
            </w:tcBorders>
            <w:shd w:val="clear" w:color="auto" w:fill="BDD7EE"/>
            <w:vAlign w:val="center"/>
            <w:hideMark/>
          </w:tcPr>
          <w:p w14:paraId="2569552B"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Orientačný harmonogram dokončenia </w:t>
            </w:r>
          </w:p>
        </w:tc>
        <w:tc>
          <w:tcPr>
            <w:tcW w:w="439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4F521F8" w14:textId="7EDF848A"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Opis každého míľnika</w:t>
            </w:r>
            <w:r w:rsidR="00083739" w:rsidRPr="00083739">
              <w:rPr>
                <w:rFonts w:cs="Times New Roman"/>
                <w:noProof/>
                <w:lang w:val="sk-SK"/>
              </w:rPr>
              <w:t xml:space="preserve"> a </w:t>
            </w:r>
            <w:r w:rsidRPr="00083739">
              <w:rPr>
                <w:rFonts w:cs="Times New Roman"/>
                <w:noProof/>
                <w:lang w:val="sk-SK"/>
              </w:rPr>
              <w:t>cieľa</w:t>
            </w:r>
          </w:p>
        </w:tc>
      </w:tr>
      <w:tr w:rsidR="002D49B0" w:rsidRPr="00083739" w14:paraId="6C09A7B2" w14:textId="77777777" w:rsidTr="006B0378">
        <w:trPr>
          <w:trHeight w:val="1027"/>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37AFAAD5"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815" w:type="dxa"/>
            <w:vMerge/>
            <w:tcBorders>
              <w:top w:val="single" w:sz="4" w:space="0" w:color="auto"/>
              <w:left w:val="single" w:sz="4" w:space="0" w:color="auto"/>
              <w:bottom w:val="single" w:sz="4" w:space="0" w:color="auto"/>
              <w:right w:val="single" w:sz="4" w:space="0" w:color="auto"/>
            </w:tcBorders>
            <w:vAlign w:val="center"/>
            <w:hideMark/>
          </w:tcPr>
          <w:p w14:paraId="69396D84"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5B2B4D5F"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973" w:type="dxa"/>
            <w:vMerge/>
            <w:tcBorders>
              <w:top w:val="single" w:sz="4" w:space="0" w:color="auto"/>
              <w:left w:val="single" w:sz="4" w:space="0" w:color="auto"/>
              <w:bottom w:val="single" w:sz="4" w:space="0" w:color="auto"/>
              <w:right w:val="single" w:sz="4" w:space="0" w:color="auto"/>
            </w:tcBorders>
            <w:vAlign w:val="center"/>
            <w:hideMark/>
          </w:tcPr>
          <w:p w14:paraId="27442F59"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DD92A24"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091"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0F32ABDB"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Merná jednotka</w:t>
            </w:r>
          </w:p>
        </w:tc>
        <w:tc>
          <w:tcPr>
            <w:tcW w:w="999"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25F79EF1"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Základná </w:t>
            </w:r>
          </w:p>
        </w:tc>
        <w:tc>
          <w:tcPr>
            <w:tcW w:w="985"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279947BD"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Cieľ </w:t>
            </w:r>
          </w:p>
        </w:tc>
        <w:tc>
          <w:tcPr>
            <w:tcW w:w="894"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3E61DC60"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Štvrtina</w:t>
            </w:r>
          </w:p>
        </w:tc>
        <w:tc>
          <w:tcPr>
            <w:tcW w:w="709"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4B5029FD"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Rok</w:t>
            </w:r>
          </w:p>
        </w:tc>
        <w:tc>
          <w:tcPr>
            <w:tcW w:w="4394" w:type="dxa"/>
            <w:vMerge/>
            <w:tcBorders>
              <w:top w:val="single" w:sz="4" w:space="0" w:color="auto"/>
              <w:left w:val="single" w:sz="4" w:space="0" w:color="auto"/>
              <w:bottom w:val="single" w:sz="4" w:space="0" w:color="auto"/>
              <w:right w:val="single" w:sz="4" w:space="0" w:color="auto"/>
            </w:tcBorders>
            <w:vAlign w:val="center"/>
            <w:hideMark/>
          </w:tcPr>
          <w:p w14:paraId="5D67A3F4"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r>
      <w:tr w:rsidR="002D49B0" w:rsidRPr="00083739" w14:paraId="3D63A5B2" w14:textId="77777777" w:rsidTr="006B0378">
        <w:trPr>
          <w:trHeight w:val="313"/>
        </w:trPr>
        <w:tc>
          <w:tcPr>
            <w:tcW w:w="959" w:type="dxa"/>
            <w:tcBorders>
              <w:top w:val="single" w:sz="4" w:space="0" w:color="auto"/>
              <w:left w:val="single" w:sz="4" w:space="0" w:color="auto"/>
              <w:bottom w:val="single" w:sz="4" w:space="0" w:color="auto"/>
              <w:right w:val="single" w:sz="4" w:space="0" w:color="auto"/>
            </w:tcBorders>
            <w:shd w:val="clear" w:color="auto" w:fill="C6EFCE"/>
            <w:noWrap/>
          </w:tcPr>
          <w:p w14:paraId="4973529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32</w:t>
            </w:r>
          </w:p>
        </w:tc>
        <w:tc>
          <w:tcPr>
            <w:tcW w:w="1815" w:type="dxa"/>
            <w:tcBorders>
              <w:top w:val="single" w:sz="4" w:space="0" w:color="auto"/>
              <w:left w:val="nil"/>
              <w:bottom w:val="single" w:sz="4" w:space="0" w:color="auto"/>
              <w:right w:val="single" w:sz="4" w:space="0" w:color="auto"/>
            </w:tcBorders>
            <w:shd w:val="clear" w:color="auto" w:fill="C6EFCE"/>
            <w:noWrap/>
          </w:tcPr>
          <w:p w14:paraId="68357A7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 – 1.2. Renovácia – 16920_Akčný plán energetickej chudoby</w:t>
            </w:r>
          </w:p>
        </w:tc>
        <w:tc>
          <w:tcPr>
            <w:tcW w:w="1181" w:type="dxa"/>
            <w:tcBorders>
              <w:top w:val="single" w:sz="4" w:space="0" w:color="auto"/>
              <w:left w:val="nil"/>
              <w:bottom w:val="single" w:sz="4" w:space="0" w:color="auto"/>
              <w:right w:val="single" w:sz="4" w:space="0" w:color="auto"/>
            </w:tcBorders>
            <w:shd w:val="clear" w:color="auto" w:fill="C6EFCE"/>
            <w:noWrap/>
          </w:tcPr>
          <w:p w14:paraId="66A75BB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973" w:type="dxa"/>
            <w:tcBorders>
              <w:top w:val="single" w:sz="4" w:space="0" w:color="auto"/>
              <w:left w:val="nil"/>
              <w:bottom w:val="single" w:sz="4" w:space="0" w:color="auto"/>
              <w:right w:val="single" w:sz="4" w:space="0" w:color="auto"/>
            </w:tcBorders>
            <w:shd w:val="clear" w:color="auto" w:fill="C6EFCE"/>
            <w:noWrap/>
          </w:tcPr>
          <w:p w14:paraId="3D75DEA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Energetická chudoba – prijatie </w:t>
            </w:r>
            <w:r w:rsidRPr="00083739">
              <w:rPr>
                <w:rFonts w:ascii="Times New Roman" w:hAnsi="Times New Roman" w:cs="Times New Roman"/>
                <w:noProof/>
                <w:lang w:val="sk-SK"/>
              </w:rPr>
              <w:t>akčného plánu</w:t>
            </w:r>
          </w:p>
          <w:p w14:paraId="6DEAC950"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417" w:type="dxa"/>
            <w:tcBorders>
              <w:top w:val="single" w:sz="4" w:space="0" w:color="auto"/>
              <w:left w:val="nil"/>
              <w:bottom w:val="single" w:sz="4" w:space="0" w:color="auto"/>
              <w:right w:val="single" w:sz="4" w:space="0" w:color="auto"/>
            </w:tcBorders>
            <w:shd w:val="clear" w:color="auto" w:fill="C6EFCE"/>
            <w:noWrap/>
          </w:tcPr>
          <w:p w14:paraId="6339E172" w14:textId="1624D782"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ministerského rozhodnutia ministerstva životného prostredia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energetiky.</w:t>
            </w:r>
          </w:p>
        </w:tc>
        <w:tc>
          <w:tcPr>
            <w:tcW w:w="1091" w:type="dxa"/>
            <w:tcBorders>
              <w:top w:val="single" w:sz="4" w:space="0" w:color="auto"/>
              <w:left w:val="nil"/>
              <w:bottom w:val="single" w:sz="4" w:space="0" w:color="auto"/>
              <w:right w:val="single" w:sz="4" w:space="0" w:color="auto"/>
            </w:tcBorders>
            <w:shd w:val="clear" w:color="auto" w:fill="C6EFCE"/>
            <w:noWrap/>
          </w:tcPr>
          <w:p w14:paraId="3E8AB518"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9" w:type="dxa"/>
            <w:tcBorders>
              <w:top w:val="single" w:sz="4" w:space="0" w:color="auto"/>
              <w:left w:val="nil"/>
              <w:bottom w:val="single" w:sz="4" w:space="0" w:color="auto"/>
              <w:right w:val="single" w:sz="4" w:space="0" w:color="auto"/>
            </w:tcBorders>
            <w:shd w:val="clear" w:color="auto" w:fill="C6EFCE"/>
            <w:noWrap/>
          </w:tcPr>
          <w:p w14:paraId="6A523C06"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85" w:type="dxa"/>
            <w:tcBorders>
              <w:top w:val="single" w:sz="4" w:space="0" w:color="auto"/>
              <w:left w:val="nil"/>
              <w:bottom w:val="single" w:sz="4" w:space="0" w:color="auto"/>
              <w:right w:val="single" w:sz="4" w:space="0" w:color="auto"/>
            </w:tcBorders>
            <w:shd w:val="clear" w:color="auto" w:fill="C6EFCE"/>
            <w:noWrap/>
          </w:tcPr>
          <w:p w14:paraId="6FD59801"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94" w:type="dxa"/>
            <w:tcBorders>
              <w:top w:val="single" w:sz="4" w:space="0" w:color="auto"/>
              <w:left w:val="nil"/>
              <w:bottom w:val="single" w:sz="4" w:space="0" w:color="auto"/>
              <w:right w:val="single" w:sz="4" w:space="0" w:color="auto"/>
            </w:tcBorders>
            <w:shd w:val="clear" w:color="auto" w:fill="C6EFCE"/>
            <w:noWrap/>
          </w:tcPr>
          <w:p w14:paraId="703558C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TRETÍ ŠTVRŤROK</w:t>
            </w:r>
          </w:p>
        </w:tc>
        <w:tc>
          <w:tcPr>
            <w:tcW w:w="709" w:type="dxa"/>
            <w:tcBorders>
              <w:top w:val="single" w:sz="4" w:space="0" w:color="auto"/>
              <w:left w:val="nil"/>
              <w:bottom w:val="single" w:sz="4" w:space="0" w:color="auto"/>
              <w:right w:val="single" w:sz="4" w:space="0" w:color="auto"/>
            </w:tcBorders>
            <w:shd w:val="clear" w:color="auto" w:fill="C6EFCE"/>
            <w:noWrap/>
          </w:tcPr>
          <w:p w14:paraId="499C5C7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2021</w:t>
            </w:r>
          </w:p>
        </w:tc>
        <w:tc>
          <w:tcPr>
            <w:tcW w:w="4394" w:type="dxa"/>
            <w:tcBorders>
              <w:top w:val="single" w:sz="4" w:space="0" w:color="auto"/>
              <w:left w:val="nil"/>
              <w:bottom w:val="single" w:sz="4" w:space="0" w:color="auto"/>
              <w:right w:val="single" w:sz="4" w:space="0" w:color="auto"/>
            </w:tcBorders>
            <w:shd w:val="clear" w:color="auto" w:fill="C6EFCE"/>
            <w:noWrap/>
          </w:tcPr>
          <w:p w14:paraId="0E93BFF6" w14:textId="3E764BFB"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ministerského rozhodnutia ministerstva životného prostredia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energetiky, ktorým sa prijíma akčný </w:t>
            </w:r>
            <w:r w:rsidRPr="00083739">
              <w:rPr>
                <w:rFonts w:ascii="Times New Roman" w:hAnsi="Times New Roman" w:cs="Times New Roman"/>
                <w:noProof/>
                <w:lang w:val="sk-SK"/>
              </w:rPr>
              <w:t>plán pre energetickú chudobu,</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tromi kategóriami politických opatrení</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pláne:</w:t>
            </w:r>
          </w:p>
          <w:p w14:paraId="5537F078" w14:textId="4F66B4B0"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Osvetové</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informačné opatrenia,</w:t>
            </w:r>
          </w:p>
          <w:p w14:paraId="5E111CF5" w14:textId="59EC4629"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 Opatrenia na krátkodobú ochranu energeticky chudobných domácností vrátane 1. vymedzenia domácností trpiacich energetickou chudobou </w:t>
            </w:r>
            <w:r w:rsidRPr="00083739">
              <w:rPr>
                <w:rFonts w:ascii="Times New Roman" w:hAnsi="Times New Roman" w:cs="Times New Roman"/>
                <w:noProof/>
                <w:lang w:val="sk-SK"/>
              </w:rPr>
              <w:t>prostredníctvom osobitných kvantitatívnych kritérií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2. osobitného procesu monitorovania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hodnotenia vývoja energetickej chudoby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súlade</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mechanizmom navrhovaným</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akčnom pláne</w:t>
            </w:r>
            <w:r w:rsidR="00083739" w:rsidRPr="00083739">
              <w:rPr>
                <w:rFonts w:ascii="Times New Roman" w:hAnsi="Times New Roman" w:cs="Times New Roman"/>
                <w:noProof/>
                <w:lang w:val="sk-SK"/>
              </w:rPr>
              <w:t xml:space="preserve"> a v </w:t>
            </w:r>
            <w:r w:rsidRPr="00083739">
              <w:rPr>
                <w:rFonts w:ascii="Times New Roman" w:hAnsi="Times New Roman" w:cs="Times New Roman"/>
                <w:noProof/>
                <w:lang w:val="sk-SK"/>
              </w:rPr>
              <w:t>súlade</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príslušnými právnymi predpismi EÚ;</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zároveň</w:t>
            </w:r>
          </w:p>
          <w:p w14:paraId="5190DC63" w14:textId="19A4B8E6"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Finančné opatre</w:t>
            </w:r>
            <w:r w:rsidRPr="00083739">
              <w:rPr>
                <w:rFonts w:ascii="Times New Roman" w:hAnsi="Times New Roman" w:cs="Times New Roman"/>
                <w:noProof/>
                <w:lang w:val="sk-SK"/>
              </w:rPr>
              <w:t>nia: vytvorenie mechanizmov financovania energetickej modernizácie obytných budov energeticky zraniteľných domácností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iných sociálnych skupín so špecifickými modelmi spotreby elektrickej energie. Týmito finančnými opatreniami sa riešia otázky energeticke</w:t>
            </w:r>
            <w:r w:rsidRPr="00083739">
              <w:rPr>
                <w:rFonts w:ascii="Times New Roman" w:hAnsi="Times New Roman" w:cs="Times New Roman"/>
                <w:noProof/>
                <w:lang w:val="sk-SK"/>
              </w:rPr>
              <w:t>j chudoby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Grécku, ako sa uvádza</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národnom energetickom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klimatickom pláne (NEKP).</w:t>
            </w:r>
          </w:p>
        </w:tc>
      </w:tr>
      <w:tr w:rsidR="002D49B0" w:rsidRPr="00083739" w14:paraId="714C6CE9" w14:textId="77777777" w:rsidTr="006B0378">
        <w:trPr>
          <w:trHeight w:val="313"/>
        </w:trPr>
        <w:tc>
          <w:tcPr>
            <w:tcW w:w="959" w:type="dxa"/>
            <w:tcBorders>
              <w:top w:val="nil"/>
              <w:left w:val="single" w:sz="4" w:space="0" w:color="auto"/>
              <w:bottom w:val="single" w:sz="4" w:space="0" w:color="auto"/>
              <w:right w:val="single" w:sz="4" w:space="0" w:color="auto"/>
            </w:tcBorders>
            <w:shd w:val="clear" w:color="auto" w:fill="C6EFCE"/>
            <w:noWrap/>
          </w:tcPr>
          <w:p w14:paraId="32D86E70" w14:textId="77777777"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33</w:t>
            </w:r>
          </w:p>
        </w:tc>
        <w:tc>
          <w:tcPr>
            <w:tcW w:w="1815" w:type="dxa"/>
            <w:tcBorders>
              <w:top w:val="nil"/>
              <w:left w:val="nil"/>
              <w:bottom w:val="single" w:sz="4" w:space="0" w:color="auto"/>
              <w:right w:val="single" w:sz="4" w:space="0" w:color="auto"/>
            </w:tcBorders>
            <w:shd w:val="clear" w:color="auto" w:fill="C6EFCE"/>
            <w:noWrap/>
          </w:tcPr>
          <w:p w14:paraId="3411912F" w14:textId="019F7D01"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 – 1.2. Renovácia – 16874_Energia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podnikanie</w:t>
            </w:r>
          </w:p>
        </w:tc>
        <w:tc>
          <w:tcPr>
            <w:tcW w:w="1181" w:type="dxa"/>
            <w:tcBorders>
              <w:top w:val="nil"/>
              <w:left w:val="nil"/>
              <w:bottom w:val="single" w:sz="4" w:space="0" w:color="auto"/>
              <w:right w:val="single" w:sz="4" w:space="0" w:color="auto"/>
            </w:tcBorders>
            <w:shd w:val="clear" w:color="auto" w:fill="C6EFCE"/>
            <w:noWrap/>
          </w:tcPr>
          <w:p w14:paraId="20FB916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973" w:type="dxa"/>
            <w:tcBorders>
              <w:top w:val="nil"/>
              <w:left w:val="nil"/>
              <w:bottom w:val="single" w:sz="4" w:space="0" w:color="auto"/>
              <w:right w:val="single" w:sz="4" w:space="0" w:color="auto"/>
            </w:tcBorders>
            <w:shd w:val="clear" w:color="auto" w:fill="C6EFCE"/>
            <w:noWrap/>
          </w:tcPr>
          <w:p w14:paraId="6E05709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Energetická efektívnosť súkromný sektor – schválené žiadosti</w:t>
            </w:r>
          </w:p>
        </w:tc>
        <w:tc>
          <w:tcPr>
            <w:tcW w:w="1417" w:type="dxa"/>
            <w:tcBorders>
              <w:top w:val="nil"/>
              <w:left w:val="nil"/>
              <w:bottom w:val="single" w:sz="4" w:space="0" w:color="auto"/>
              <w:right w:val="single" w:sz="4" w:space="0" w:color="auto"/>
            </w:tcBorders>
            <w:shd w:val="clear" w:color="auto" w:fill="C6EFCE"/>
            <w:noWrap/>
          </w:tcPr>
          <w:p w14:paraId="61BCFA5D" w14:textId="208A1888"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Schválenie žiadostí</w:t>
            </w:r>
            <w:r w:rsidRPr="00083739">
              <w:rPr>
                <w:rFonts w:ascii="Times New Roman" w:hAnsi="Times New Roman" w:cs="Times New Roman"/>
                <w:noProof/>
                <w:lang w:val="sk-SK"/>
              </w:rPr>
              <w:t xml:space="preserve"> predložených na vybrané intervencie</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subjektoch súkromného sektora ministerstvom životného prostredia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energetiky.</w:t>
            </w:r>
          </w:p>
        </w:tc>
        <w:tc>
          <w:tcPr>
            <w:tcW w:w="1091" w:type="dxa"/>
            <w:tcBorders>
              <w:top w:val="nil"/>
              <w:left w:val="nil"/>
              <w:bottom w:val="single" w:sz="4" w:space="0" w:color="auto"/>
              <w:right w:val="single" w:sz="4" w:space="0" w:color="auto"/>
            </w:tcBorders>
            <w:shd w:val="clear" w:color="auto" w:fill="C6EFCE"/>
            <w:noWrap/>
          </w:tcPr>
          <w:p w14:paraId="29DDB3E7"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9" w:type="dxa"/>
            <w:tcBorders>
              <w:top w:val="nil"/>
              <w:left w:val="nil"/>
              <w:bottom w:val="single" w:sz="4" w:space="0" w:color="auto"/>
              <w:right w:val="single" w:sz="4" w:space="0" w:color="auto"/>
            </w:tcBorders>
            <w:shd w:val="clear" w:color="auto" w:fill="C6EFCE"/>
            <w:noWrap/>
          </w:tcPr>
          <w:p w14:paraId="394B70E5"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85" w:type="dxa"/>
            <w:tcBorders>
              <w:top w:val="nil"/>
              <w:left w:val="nil"/>
              <w:bottom w:val="single" w:sz="4" w:space="0" w:color="auto"/>
              <w:right w:val="single" w:sz="4" w:space="0" w:color="auto"/>
            </w:tcBorders>
            <w:shd w:val="clear" w:color="auto" w:fill="C6EFCE"/>
            <w:noWrap/>
          </w:tcPr>
          <w:p w14:paraId="1E36E213"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94" w:type="dxa"/>
            <w:tcBorders>
              <w:top w:val="nil"/>
              <w:left w:val="nil"/>
              <w:bottom w:val="single" w:sz="4" w:space="0" w:color="auto"/>
              <w:right w:val="single" w:sz="4" w:space="0" w:color="auto"/>
            </w:tcBorders>
            <w:shd w:val="clear" w:color="auto" w:fill="C6EFCE"/>
            <w:noWrap/>
          </w:tcPr>
          <w:p w14:paraId="3A8BC76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09" w:type="dxa"/>
            <w:tcBorders>
              <w:top w:val="nil"/>
              <w:left w:val="nil"/>
              <w:bottom w:val="single" w:sz="4" w:space="0" w:color="auto"/>
              <w:right w:val="single" w:sz="4" w:space="0" w:color="auto"/>
            </w:tcBorders>
            <w:shd w:val="clear" w:color="auto" w:fill="C6EFCE"/>
            <w:noWrap/>
          </w:tcPr>
          <w:p w14:paraId="1F6E4FE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2023</w:t>
            </w:r>
          </w:p>
        </w:tc>
        <w:tc>
          <w:tcPr>
            <w:tcW w:w="4394" w:type="dxa"/>
            <w:tcBorders>
              <w:top w:val="nil"/>
              <w:left w:val="nil"/>
              <w:bottom w:val="single" w:sz="4" w:space="0" w:color="auto"/>
              <w:right w:val="single" w:sz="4" w:space="0" w:color="auto"/>
            </w:tcBorders>
            <w:shd w:val="clear" w:color="auto" w:fill="C6EFCE"/>
            <w:noWrap/>
          </w:tcPr>
          <w:p w14:paraId="65FB35D0" w14:textId="1EFC92D8"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Schválenie aplikácií 3500 subjektov súkromného sektora ministerstvom životného prostredia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energetiky, ktorými sa</w:t>
            </w:r>
            <w:r w:rsidRPr="00083739">
              <w:rPr>
                <w:rFonts w:ascii="Times New Roman" w:hAnsi="Times New Roman" w:cs="Times New Roman"/>
                <w:noProof/>
                <w:lang w:val="sk-SK"/>
              </w:rPr>
              <w:t xml:space="preserve"> zabezpečí, že emisie oxidu uhličitého (CO2) sa znížia</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priemere aspoň</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30</w:t>
            </w:r>
            <w:r w:rsidR="00083739" w:rsidRPr="00083739">
              <w:rPr>
                <w:rFonts w:ascii="Times New Roman" w:hAnsi="Times New Roman" w:cs="Times New Roman"/>
                <w:noProof/>
                <w:lang w:val="sk-SK"/>
              </w:rPr>
              <w:t> % v </w:t>
            </w:r>
            <w:r w:rsidRPr="00083739">
              <w:rPr>
                <w:rFonts w:ascii="Times New Roman" w:hAnsi="Times New Roman" w:cs="Times New Roman"/>
                <w:noProof/>
                <w:lang w:val="sk-SK"/>
              </w:rPr>
              <w:t>porovnaní</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 xml:space="preserve">existujúcou situáciou subjektov súkromného sektora (t. j. môže sa vzťahovať na zúčastnený podnik ako celok, konkrétne náhradné špecifické vybavenie a/alebo výmenu </w:t>
            </w:r>
            <w:r w:rsidRPr="00083739">
              <w:rPr>
                <w:rFonts w:ascii="Times New Roman" w:hAnsi="Times New Roman" w:cs="Times New Roman"/>
                <w:noProof/>
                <w:lang w:val="sk-SK"/>
              </w:rPr>
              <w:t>špecifického procesu, resp. procesov), ako sa uvádza</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energetických auditoch vykonaných pred zásahmi alebo inými certifikovanými informáciami. Vybrané projekty musia byť</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súlade</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technickými usmerneniami „výrazne nenarušiť“ (2021/C58/01) prostredníctvom</w:t>
            </w:r>
            <w:r w:rsidRPr="00083739">
              <w:rPr>
                <w:rFonts w:ascii="Times New Roman" w:hAnsi="Times New Roman" w:cs="Times New Roman"/>
                <w:noProof/>
                <w:lang w:val="sk-SK"/>
              </w:rPr>
              <w:t xml:space="preserve"> použitia zoznamu vylúčených subjektov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požiadavky súladu</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príslušnými právnymi predpismi EÚ</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vnútroštátnymi právnymi predpismi</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životného prostredia.</w:t>
            </w:r>
          </w:p>
        </w:tc>
      </w:tr>
      <w:tr w:rsidR="002D49B0" w:rsidRPr="00083739" w14:paraId="4021B5AD" w14:textId="77777777" w:rsidTr="006B0378">
        <w:trPr>
          <w:trHeight w:val="313"/>
        </w:trPr>
        <w:tc>
          <w:tcPr>
            <w:tcW w:w="959" w:type="dxa"/>
            <w:tcBorders>
              <w:top w:val="nil"/>
              <w:left w:val="single" w:sz="4" w:space="0" w:color="auto"/>
              <w:bottom w:val="single" w:sz="4" w:space="0" w:color="auto"/>
              <w:right w:val="single" w:sz="4" w:space="0" w:color="auto"/>
            </w:tcBorders>
            <w:shd w:val="clear" w:color="auto" w:fill="C6EFCE"/>
            <w:noWrap/>
          </w:tcPr>
          <w:p w14:paraId="1BFB2C9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34</w:t>
            </w:r>
          </w:p>
        </w:tc>
        <w:tc>
          <w:tcPr>
            <w:tcW w:w="1815" w:type="dxa"/>
            <w:tcBorders>
              <w:top w:val="nil"/>
              <w:left w:val="nil"/>
              <w:bottom w:val="single" w:sz="4" w:space="0" w:color="auto"/>
              <w:right w:val="single" w:sz="4" w:space="0" w:color="auto"/>
            </w:tcBorders>
            <w:shd w:val="clear" w:color="auto" w:fill="C6EFCE"/>
            <w:noWrap/>
          </w:tcPr>
          <w:p w14:paraId="0DEB7A8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2 – 1.2. Renovácia – 16876_Energetická modernizácia budov verejného sektora </w:t>
            </w:r>
          </w:p>
        </w:tc>
        <w:tc>
          <w:tcPr>
            <w:tcW w:w="1181" w:type="dxa"/>
            <w:tcBorders>
              <w:top w:val="nil"/>
              <w:left w:val="nil"/>
              <w:bottom w:val="single" w:sz="4" w:space="0" w:color="auto"/>
              <w:right w:val="single" w:sz="4" w:space="0" w:color="auto"/>
            </w:tcBorders>
            <w:shd w:val="clear" w:color="auto" w:fill="C6EFCE"/>
            <w:noWrap/>
          </w:tcPr>
          <w:p w14:paraId="1DC91BD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973" w:type="dxa"/>
            <w:tcBorders>
              <w:top w:val="nil"/>
              <w:left w:val="nil"/>
              <w:bottom w:val="single" w:sz="4" w:space="0" w:color="auto"/>
              <w:right w:val="single" w:sz="4" w:space="0" w:color="auto"/>
            </w:tcBorders>
            <w:shd w:val="clear" w:color="auto" w:fill="C6EFCE"/>
            <w:noWrap/>
          </w:tcPr>
          <w:p w14:paraId="473DA57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Energetická hospodárnosť verejných budov – schválené žiadosti</w:t>
            </w:r>
          </w:p>
        </w:tc>
        <w:tc>
          <w:tcPr>
            <w:tcW w:w="1417" w:type="dxa"/>
            <w:tcBorders>
              <w:top w:val="nil"/>
              <w:left w:val="nil"/>
              <w:bottom w:val="single" w:sz="4" w:space="0" w:color="auto"/>
              <w:right w:val="single" w:sz="4" w:space="0" w:color="auto"/>
            </w:tcBorders>
            <w:shd w:val="clear" w:color="auto" w:fill="C6EFCE"/>
            <w:noWrap/>
          </w:tcPr>
          <w:p w14:paraId="23011C46" w14:textId="79F416A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Oznámenie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udelení grantu na schválené žiadosti ministerstva životného prostredia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energetiky</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vybraných intervenciách</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budovách verejného sektora.</w:t>
            </w:r>
          </w:p>
        </w:tc>
        <w:tc>
          <w:tcPr>
            <w:tcW w:w="1091" w:type="dxa"/>
            <w:tcBorders>
              <w:top w:val="nil"/>
              <w:left w:val="nil"/>
              <w:bottom w:val="single" w:sz="4" w:space="0" w:color="auto"/>
              <w:right w:val="single" w:sz="4" w:space="0" w:color="auto"/>
            </w:tcBorders>
            <w:shd w:val="clear" w:color="auto" w:fill="C6EFCE"/>
            <w:noWrap/>
          </w:tcPr>
          <w:p w14:paraId="7CA667B1"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9" w:type="dxa"/>
            <w:tcBorders>
              <w:top w:val="nil"/>
              <w:left w:val="nil"/>
              <w:bottom w:val="single" w:sz="4" w:space="0" w:color="auto"/>
              <w:right w:val="single" w:sz="4" w:space="0" w:color="auto"/>
            </w:tcBorders>
            <w:shd w:val="clear" w:color="auto" w:fill="C6EFCE"/>
            <w:noWrap/>
          </w:tcPr>
          <w:p w14:paraId="16E4EF55"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85" w:type="dxa"/>
            <w:tcBorders>
              <w:top w:val="nil"/>
              <w:left w:val="nil"/>
              <w:bottom w:val="single" w:sz="4" w:space="0" w:color="auto"/>
              <w:right w:val="single" w:sz="4" w:space="0" w:color="auto"/>
            </w:tcBorders>
            <w:shd w:val="clear" w:color="auto" w:fill="C6EFCE"/>
            <w:noWrap/>
          </w:tcPr>
          <w:p w14:paraId="67BE576F"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94" w:type="dxa"/>
            <w:tcBorders>
              <w:top w:val="nil"/>
              <w:left w:val="nil"/>
              <w:bottom w:val="single" w:sz="4" w:space="0" w:color="auto"/>
              <w:right w:val="single" w:sz="4" w:space="0" w:color="auto"/>
            </w:tcBorders>
            <w:shd w:val="clear" w:color="auto" w:fill="C6EFCE"/>
            <w:noWrap/>
          </w:tcPr>
          <w:p w14:paraId="0C2D291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709" w:type="dxa"/>
            <w:tcBorders>
              <w:top w:val="nil"/>
              <w:left w:val="nil"/>
              <w:bottom w:val="single" w:sz="4" w:space="0" w:color="auto"/>
              <w:right w:val="single" w:sz="4" w:space="0" w:color="auto"/>
            </w:tcBorders>
            <w:shd w:val="clear" w:color="auto" w:fill="C6EFCE"/>
            <w:noWrap/>
          </w:tcPr>
          <w:p w14:paraId="3B8D790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2023</w:t>
            </w:r>
          </w:p>
        </w:tc>
        <w:tc>
          <w:tcPr>
            <w:tcW w:w="4394" w:type="dxa"/>
            <w:tcBorders>
              <w:top w:val="nil"/>
              <w:left w:val="nil"/>
              <w:bottom w:val="single" w:sz="4" w:space="0" w:color="auto"/>
              <w:right w:val="single" w:sz="4" w:space="0" w:color="auto"/>
            </w:tcBorders>
            <w:shd w:val="clear" w:color="auto" w:fill="C6EFCE"/>
            <w:noWrap/>
          </w:tcPr>
          <w:p w14:paraId="440684C7" w14:textId="6811A359"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Schválenie žiadostí</w:t>
            </w:r>
            <w:r w:rsidRPr="00083739">
              <w:rPr>
                <w:rFonts w:ascii="Times New Roman" w:hAnsi="Times New Roman" w:cs="Times New Roman"/>
                <w:noProof/>
                <w:lang w:val="sk-SK"/>
              </w:rPr>
              <w:t xml:space="preserve"> týkajúcich sa 150 budov verejného sektora ministerstvom životného prostredia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energetiky, ktorým sa zabezpečí, aby sa emisie CO2 týchto budov znížili</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priemere aspoň</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30</w:t>
            </w:r>
            <w:r w:rsidR="00083739" w:rsidRPr="00083739">
              <w:rPr>
                <w:rFonts w:ascii="Times New Roman" w:hAnsi="Times New Roman" w:cs="Times New Roman"/>
                <w:noProof/>
                <w:lang w:val="sk-SK"/>
              </w:rPr>
              <w:t> % v </w:t>
            </w:r>
            <w:r w:rsidRPr="00083739">
              <w:rPr>
                <w:rFonts w:ascii="Times New Roman" w:hAnsi="Times New Roman" w:cs="Times New Roman"/>
                <w:noProof/>
                <w:lang w:val="sk-SK"/>
              </w:rPr>
              <w:t>porovnaní</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ich existujúcou situáciou (ako vyplýva</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energetických auditov vyk</w:t>
            </w:r>
            <w:r w:rsidRPr="00083739">
              <w:rPr>
                <w:rFonts w:ascii="Times New Roman" w:hAnsi="Times New Roman" w:cs="Times New Roman"/>
                <w:noProof/>
                <w:lang w:val="sk-SK"/>
              </w:rPr>
              <w:t>onaných pred zásahmi)</w:t>
            </w:r>
            <w:r w:rsidR="00083739" w:rsidRPr="00083739">
              <w:rPr>
                <w:rFonts w:ascii="Times New Roman" w:hAnsi="Times New Roman" w:cs="Times New Roman"/>
                <w:noProof/>
                <w:lang w:val="sk-SK"/>
              </w:rPr>
              <w:t>.</w:t>
            </w:r>
          </w:p>
          <w:p w14:paraId="71045FE1" w14:textId="5902305F"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p w14:paraId="4FDF2F2D" w14:textId="33A5DBA8"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Pre program energetickej modernizácie budov verejného sektora bol vytvorený právny rámec umožňujúci zmluvy</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energetickej hospodárnosti.</w:t>
            </w:r>
          </w:p>
        </w:tc>
      </w:tr>
      <w:tr w:rsidR="002D49B0" w:rsidRPr="00083739" w14:paraId="7FFF6C90" w14:textId="77777777" w:rsidTr="006B0378">
        <w:trPr>
          <w:trHeight w:val="313"/>
        </w:trPr>
        <w:tc>
          <w:tcPr>
            <w:tcW w:w="959" w:type="dxa"/>
            <w:tcBorders>
              <w:top w:val="nil"/>
              <w:left w:val="single" w:sz="4" w:space="0" w:color="auto"/>
              <w:bottom w:val="single" w:sz="4" w:space="0" w:color="auto"/>
              <w:right w:val="single" w:sz="4" w:space="0" w:color="auto"/>
            </w:tcBorders>
            <w:shd w:val="clear" w:color="auto" w:fill="C6EFCE"/>
            <w:noWrap/>
          </w:tcPr>
          <w:p w14:paraId="4392EA8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36</w:t>
            </w:r>
          </w:p>
        </w:tc>
        <w:tc>
          <w:tcPr>
            <w:tcW w:w="1815" w:type="dxa"/>
            <w:tcBorders>
              <w:top w:val="nil"/>
              <w:left w:val="nil"/>
              <w:bottom w:val="single" w:sz="4" w:space="0" w:color="auto"/>
              <w:right w:val="single" w:sz="4" w:space="0" w:color="auto"/>
            </w:tcBorders>
            <w:shd w:val="clear" w:color="auto" w:fill="C6EFCE"/>
            <w:noWrap/>
          </w:tcPr>
          <w:p w14:paraId="763B7A47" w14:textId="7238D261"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 – 1.2. Renovácia – 16874_Energia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podnikanie</w:t>
            </w:r>
          </w:p>
        </w:tc>
        <w:tc>
          <w:tcPr>
            <w:tcW w:w="1181" w:type="dxa"/>
            <w:tcBorders>
              <w:top w:val="nil"/>
              <w:left w:val="nil"/>
              <w:bottom w:val="single" w:sz="4" w:space="0" w:color="auto"/>
              <w:right w:val="single" w:sz="4" w:space="0" w:color="auto"/>
            </w:tcBorders>
            <w:shd w:val="clear" w:color="auto" w:fill="C6EFCE"/>
            <w:noWrap/>
          </w:tcPr>
          <w:p w14:paraId="62CEFC1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Cieľ</w:t>
            </w:r>
          </w:p>
        </w:tc>
        <w:tc>
          <w:tcPr>
            <w:tcW w:w="973" w:type="dxa"/>
            <w:tcBorders>
              <w:top w:val="nil"/>
              <w:left w:val="nil"/>
              <w:bottom w:val="single" w:sz="4" w:space="0" w:color="auto"/>
              <w:right w:val="single" w:sz="4" w:space="0" w:color="auto"/>
            </w:tcBorders>
            <w:shd w:val="clear" w:color="auto" w:fill="C6EFCE"/>
            <w:noWrap/>
          </w:tcPr>
          <w:p w14:paraId="39A8DED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Energetická efektívnosť súkromný </w:t>
            </w:r>
            <w:r w:rsidRPr="00083739">
              <w:rPr>
                <w:rFonts w:ascii="Times New Roman" w:hAnsi="Times New Roman" w:cs="Times New Roman"/>
                <w:noProof/>
                <w:lang w:val="sk-SK"/>
              </w:rPr>
              <w:t>sektor – dokončený #2</w:t>
            </w:r>
          </w:p>
        </w:tc>
        <w:tc>
          <w:tcPr>
            <w:tcW w:w="1417" w:type="dxa"/>
            <w:tcBorders>
              <w:top w:val="nil"/>
              <w:left w:val="nil"/>
              <w:bottom w:val="single" w:sz="4" w:space="0" w:color="auto"/>
              <w:right w:val="single" w:sz="4" w:space="0" w:color="auto"/>
            </w:tcBorders>
            <w:shd w:val="clear" w:color="auto" w:fill="C6EFCE"/>
            <w:noWrap/>
          </w:tcPr>
          <w:p w14:paraId="1E79763C"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91" w:type="dxa"/>
            <w:tcBorders>
              <w:top w:val="nil"/>
              <w:left w:val="nil"/>
              <w:bottom w:val="single" w:sz="4" w:space="0" w:color="auto"/>
              <w:right w:val="single" w:sz="4" w:space="0" w:color="auto"/>
            </w:tcBorders>
            <w:shd w:val="clear" w:color="auto" w:fill="C6EFCE"/>
            <w:noWrap/>
          </w:tcPr>
          <w:p w14:paraId="34B9A201" w14:textId="21CB4E85"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Počet subjektov súkromného sektora</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dokončenými intervenciami t</w:t>
            </w:r>
          </w:p>
        </w:tc>
        <w:tc>
          <w:tcPr>
            <w:tcW w:w="999" w:type="dxa"/>
            <w:tcBorders>
              <w:top w:val="nil"/>
              <w:left w:val="nil"/>
              <w:bottom w:val="single" w:sz="4" w:space="0" w:color="auto"/>
              <w:right w:val="single" w:sz="4" w:space="0" w:color="auto"/>
            </w:tcBorders>
            <w:shd w:val="clear" w:color="auto" w:fill="C6EFCE"/>
            <w:noWrap/>
          </w:tcPr>
          <w:p w14:paraId="5088E1C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0</w:t>
            </w:r>
          </w:p>
        </w:tc>
        <w:tc>
          <w:tcPr>
            <w:tcW w:w="985" w:type="dxa"/>
            <w:tcBorders>
              <w:top w:val="nil"/>
              <w:left w:val="nil"/>
              <w:bottom w:val="single" w:sz="4" w:space="0" w:color="auto"/>
              <w:right w:val="single" w:sz="4" w:space="0" w:color="auto"/>
            </w:tcBorders>
            <w:shd w:val="clear" w:color="auto" w:fill="C6EFCE"/>
            <w:noWrap/>
          </w:tcPr>
          <w:p w14:paraId="2E4A2181" w14:textId="35C3FAEE"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 3 </w:t>
            </w:r>
            <w:r w:rsidRPr="00083739">
              <w:rPr>
                <w:rFonts w:ascii="Times New Roman" w:hAnsi="Times New Roman" w:cs="Times New Roman"/>
                <w:noProof/>
                <w:szCs w:val="18"/>
                <w:lang w:val="sk-SK"/>
              </w:rPr>
              <w:t>5</w:t>
            </w:r>
            <w:r w:rsidRPr="00083739">
              <w:rPr>
                <w:rFonts w:ascii="Times New Roman" w:hAnsi="Times New Roman" w:cs="Times New Roman"/>
                <w:noProof/>
                <w:lang w:val="sk-SK"/>
              </w:rPr>
              <w:t>00</w:t>
            </w:r>
          </w:p>
        </w:tc>
        <w:tc>
          <w:tcPr>
            <w:tcW w:w="894" w:type="dxa"/>
            <w:tcBorders>
              <w:top w:val="nil"/>
              <w:left w:val="nil"/>
              <w:bottom w:val="single" w:sz="4" w:space="0" w:color="auto"/>
              <w:right w:val="single" w:sz="4" w:space="0" w:color="auto"/>
            </w:tcBorders>
            <w:shd w:val="clear" w:color="auto" w:fill="C6EFCE"/>
            <w:noWrap/>
          </w:tcPr>
          <w:p w14:paraId="6CF40AA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09" w:type="dxa"/>
            <w:tcBorders>
              <w:top w:val="nil"/>
              <w:left w:val="nil"/>
              <w:bottom w:val="single" w:sz="4" w:space="0" w:color="auto"/>
              <w:right w:val="single" w:sz="4" w:space="0" w:color="auto"/>
            </w:tcBorders>
            <w:shd w:val="clear" w:color="auto" w:fill="C6EFCE"/>
            <w:noWrap/>
          </w:tcPr>
          <w:p w14:paraId="6949C31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4394" w:type="dxa"/>
            <w:tcBorders>
              <w:top w:val="nil"/>
              <w:left w:val="nil"/>
              <w:bottom w:val="single" w:sz="4" w:space="0" w:color="auto"/>
              <w:right w:val="single" w:sz="4" w:space="0" w:color="auto"/>
            </w:tcBorders>
            <w:shd w:val="clear" w:color="auto" w:fill="C6EFCE"/>
            <w:noWrap/>
          </w:tcPr>
          <w:p w14:paraId="4DCE577E" w14:textId="31175B70"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Intervencie na zlepšenie energetickej efektívnosti dokončené</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 xml:space="preserve">prípade vybraných subjektov súkromného sektora (3500 subjektov súkromného </w:t>
            </w:r>
            <w:r w:rsidRPr="00083739">
              <w:rPr>
                <w:rFonts w:ascii="Times New Roman" w:hAnsi="Times New Roman" w:cs="Times New Roman"/>
                <w:noProof/>
                <w:lang w:val="sk-SK"/>
              </w:rPr>
              <w:t>sektora) so znížením emisií CO2</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priemere aspoň</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30</w:t>
            </w:r>
            <w:r w:rsidR="00083739" w:rsidRPr="00083739">
              <w:rPr>
                <w:rFonts w:ascii="Times New Roman" w:hAnsi="Times New Roman" w:cs="Times New Roman"/>
                <w:noProof/>
                <w:lang w:val="sk-SK"/>
              </w:rPr>
              <w:t> % v </w:t>
            </w:r>
            <w:r w:rsidRPr="00083739">
              <w:rPr>
                <w:rFonts w:ascii="Times New Roman" w:hAnsi="Times New Roman" w:cs="Times New Roman"/>
                <w:noProof/>
                <w:lang w:val="sk-SK"/>
              </w:rPr>
              <w:t>porovnaní</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existujúcou situáciou subjektov súkromného sektora buď</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prípade zúčastneného podniku ako celku (pre celý subjekt), alebo osobitne</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prípade vykonaných intervencií/procesov (t. j. môže s</w:t>
            </w:r>
            <w:r w:rsidRPr="00083739">
              <w:rPr>
                <w:rFonts w:ascii="Times New Roman" w:hAnsi="Times New Roman" w:cs="Times New Roman"/>
                <w:noProof/>
                <w:lang w:val="sk-SK"/>
              </w:rPr>
              <w:t>a vzťahovať na konkrétnu výmenu jedného zariadenia a/alebo na výmenu konkrétnych procesov).</w:t>
            </w:r>
          </w:p>
        </w:tc>
      </w:tr>
    </w:tbl>
    <w:p w14:paraId="04F4D0D2" w14:textId="77777777" w:rsidR="002D49B0" w:rsidRPr="00083739" w:rsidRDefault="002D49B0">
      <w:pPr>
        <w:spacing w:before="120" w:after="120" w:line="240" w:lineRule="auto"/>
        <w:jc w:val="both"/>
        <w:rPr>
          <w:rFonts w:ascii="Times New Roman" w:hAnsi="Times New Roman" w:cs="Times New Roman"/>
          <w:noProof/>
          <w:sz w:val="24"/>
          <w:lang w:val="sk-SK"/>
        </w:rPr>
      </w:pPr>
    </w:p>
    <w:p w14:paraId="3EFBA92F" w14:textId="5AFE7DA8" w:rsidR="002D49B0" w:rsidRPr="00083739" w:rsidRDefault="00BF4125">
      <w:pPr>
        <w:pStyle w:val="P68B1DB1-Normal6"/>
        <w:keepNext/>
        <w:keepLines/>
        <w:spacing w:before="40" w:after="0" w:line="240" w:lineRule="auto"/>
        <w:jc w:val="both"/>
        <w:outlineLvl w:val="4"/>
        <w:rPr>
          <w:rFonts w:ascii="Times New Roman" w:eastAsia="Times New Roman" w:hAnsi="Times New Roman" w:cs="Times New Roman"/>
          <w:noProof/>
          <w:lang w:val="sk-SK"/>
        </w:rPr>
      </w:pPr>
      <w:r w:rsidRPr="00083739">
        <w:rPr>
          <w:rFonts w:ascii="Times New Roman" w:hAnsi="Times New Roman" w:cs="Times New Roman"/>
          <w:noProof/>
          <w:lang w:val="sk-SK"/>
        </w:rPr>
        <w:t>Skupina 3: Intervencie</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obytných oblastiach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vo fonde budov</w:t>
      </w:r>
    </w:p>
    <w:p w14:paraId="57963FF2" w14:textId="77777777" w:rsidR="002D49B0" w:rsidRPr="00083739" w:rsidRDefault="00BF4125">
      <w:pPr>
        <w:pStyle w:val="P68B1DB1-Normal4"/>
        <w:spacing w:before="120" w:after="120" w:line="240" w:lineRule="auto"/>
        <w:rPr>
          <w:rFonts w:cs="Times New Roman"/>
          <w:noProof/>
          <w:lang w:val="sk-SK"/>
        </w:rPr>
      </w:pPr>
      <w:r w:rsidRPr="00083739">
        <w:rPr>
          <w:rFonts w:cs="Times New Roman"/>
          <w:noProof/>
          <w:lang w:val="sk-SK"/>
        </w:rPr>
        <w:t>Do tejto skupiny patria tieto opatrenia:</w:t>
      </w:r>
    </w:p>
    <w:p w14:paraId="3A2018E1" w14:textId="3335389C" w:rsidR="002D49B0" w:rsidRPr="00083739" w:rsidRDefault="00BF4125">
      <w:pPr>
        <w:spacing w:before="120" w:after="120" w:line="240" w:lineRule="auto"/>
        <w:rPr>
          <w:rFonts w:ascii="Times New Roman" w:hAnsi="Times New Roman" w:cs="Times New Roman"/>
          <w:noProof/>
          <w:sz w:val="24"/>
          <w:lang w:val="sk-SK"/>
        </w:rPr>
      </w:pPr>
      <w:r w:rsidRPr="00083739">
        <w:rPr>
          <w:rFonts w:ascii="Times New Roman" w:hAnsi="Times New Roman" w:cs="Times New Roman"/>
          <w:noProof/>
          <w:sz w:val="24"/>
          <w:lang w:val="sk-SK"/>
        </w:rPr>
        <w:t>●</w:t>
      </w:r>
      <w:r w:rsidRPr="00083739">
        <w:rPr>
          <w:rFonts w:ascii="Times New Roman" w:hAnsi="Times New Roman" w:cs="Times New Roman"/>
          <w:noProof/>
          <w:lang w:val="sk-SK"/>
        </w:rPr>
        <w:t xml:space="preserve"> </w:t>
      </w:r>
      <w:r w:rsidRPr="00083739">
        <w:rPr>
          <w:rFonts w:ascii="Times New Roman" w:hAnsi="Times New Roman" w:cs="Times New Roman"/>
          <w:noProof/>
          <w:sz w:val="24"/>
          <w:lang w:val="sk-SK"/>
        </w:rPr>
        <w:t>Intervencie</w:t>
      </w:r>
      <w:r w:rsidR="00083739" w:rsidRPr="00083739">
        <w:rPr>
          <w:rFonts w:ascii="Times New Roman" w:hAnsi="Times New Roman" w:cs="Times New Roman"/>
          <w:noProof/>
          <w:sz w:val="24"/>
          <w:lang w:val="sk-SK"/>
        </w:rPr>
        <w:t xml:space="preserve"> v </w:t>
      </w:r>
      <w:r w:rsidRPr="00083739">
        <w:rPr>
          <w:rFonts w:ascii="Times New Roman" w:hAnsi="Times New Roman" w:cs="Times New Roman"/>
          <w:noProof/>
          <w:sz w:val="24"/>
          <w:lang w:val="sk-SK"/>
        </w:rPr>
        <w:t>obytných oblastiach</w:t>
      </w:r>
      <w:r w:rsidR="00083739" w:rsidRPr="00083739">
        <w:rPr>
          <w:rFonts w:ascii="Times New Roman" w:hAnsi="Times New Roman" w:cs="Times New Roman"/>
          <w:noProof/>
          <w:sz w:val="24"/>
          <w:lang w:val="sk-SK"/>
        </w:rPr>
        <w:t xml:space="preserve"> a </w:t>
      </w:r>
      <w:r w:rsidRPr="00083739">
        <w:rPr>
          <w:rFonts w:ascii="Times New Roman" w:hAnsi="Times New Roman" w:cs="Times New Roman"/>
          <w:noProof/>
          <w:sz w:val="24"/>
          <w:lang w:val="sk-SK"/>
        </w:rPr>
        <w:t xml:space="preserve">vo fonde budov (ID: </w:t>
      </w:r>
      <w:r w:rsidRPr="00083739">
        <w:rPr>
          <w:rFonts w:ascii="Times New Roman" w:hAnsi="Times New Roman" w:cs="Times New Roman"/>
          <w:noProof/>
          <w:sz w:val="24"/>
          <w:lang w:val="sk-SK"/>
        </w:rPr>
        <w:t>16873)</w:t>
      </w:r>
    </w:p>
    <w:p w14:paraId="7C675424" w14:textId="1B96E4D7" w:rsidR="002D49B0" w:rsidRPr="00083739" w:rsidRDefault="00BF4125">
      <w:pPr>
        <w:spacing w:before="120" w:after="120" w:line="240" w:lineRule="auto"/>
        <w:rPr>
          <w:rFonts w:ascii="Times New Roman" w:hAnsi="Times New Roman" w:cs="Times New Roman"/>
          <w:noProof/>
          <w:sz w:val="24"/>
          <w:lang w:val="sk-SK"/>
        </w:rPr>
      </w:pPr>
      <w:r w:rsidRPr="00083739">
        <w:rPr>
          <w:rFonts w:ascii="Times New Roman" w:hAnsi="Times New Roman" w:cs="Times New Roman"/>
          <w:noProof/>
          <w:sz w:val="24"/>
          <w:lang w:val="sk-SK"/>
        </w:rPr>
        <w:t>●</w:t>
      </w:r>
      <w:r w:rsidRPr="00083739">
        <w:rPr>
          <w:rFonts w:ascii="Times New Roman" w:hAnsi="Times New Roman" w:cs="Times New Roman"/>
          <w:noProof/>
          <w:lang w:val="sk-SK"/>
        </w:rPr>
        <w:t xml:space="preserve"> </w:t>
      </w:r>
      <w:r w:rsidRPr="00083739">
        <w:rPr>
          <w:rFonts w:ascii="Times New Roman" w:hAnsi="Times New Roman" w:cs="Times New Roman"/>
          <w:noProof/>
          <w:sz w:val="24"/>
          <w:lang w:val="sk-SK"/>
        </w:rPr>
        <w:t>Rozvoj infraštruktúry</w:t>
      </w:r>
      <w:r w:rsidR="00083739" w:rsidRPr="00083739">
        <w:rPr>
          <w:rFonts w:ascii="Times New Roman" w:hAnsi="Times New Roman" w:cs="Times New Roman"/>
          <w:noProof/>
          <w:sz w:val="24"/>
          <w:lang w:val="sk-SK"/>
        </w:rPr>
        <w:t xml:space="preserve"> a </w:t>
      </w:r>
      <w:r w:rsidRPr="00083739">
        <w:rPr>
          <w:rFonts w:ascii="Times New Roman" w:hAnsi="Times New Roman" w:cs="Times New Roman"/>
          <w:noProof/>
          <w:sz w:val="24"/>
          <w:lang w:val="sk-SK"/>
        </w:rPr>
        <w:t>obnova budov</w:t>
      </w:r>
      <w:r w:rsidR="00083739" w:rsidRPr="00083739">
        <w:rPr>
          <w:rFonts w:ascii="Times New Roman" w:hAnsi="Times New Roman" w:cs="Times New Roman"/>
          <w:noProof/>
          <w:sz w:val="24"/>
          <w:lang w:val="sk-SK"/>
        </w:rPr>
        <w:t xml:space="preserve"> v </w:t>
      </w:r>
      <w:r w:rsidRPr="00083739">
        <w:rPr>
          <w:rFonts w:ascii="Times New Roman" w:hAnsi="Times New Roman" w:cs="Times New Roman"/>
          <w:noProof/>
          <w:sz w:val="24"/>
          <w:lang w:val="sk-SK"/>
        </w:rPr>
        <w:t>bývalej kráľovskej nehnuteľnosti</w:t>
      </w:r>
      <w:r w:rsidR="00083739" w:rsidRPr="00083739">
        <w:rPr>
          <w:rFonts w:ascii="Times New Roman" w:hAnsi="Times New Roman" w:cs="Times New Roman"/>
          <w:noProof/>
          <w:sz w:val="24"/>
          <w:lang w:val="sk-SK"/>
        </w:rPr>
        <w:t xml:space="preserve"> v </w:t>
      </w:r>
      <w:r w:rsidRPr="00083739">
        <w:rPr>
          <w:rFonts w:ascii="Times New Roman" w:hAnsi="Times New Roman" w:cs="Times New Roman"/>
          <w:noProof/>
          <w:sz w:val="24"/>
          <w:lang w:val="sk-SK"/>
        </w:rPr>
        <w:t>Tatoi (ID: 16875)</w:t>
      </w:r>
    </w:p>
    <w:p w14:paraId="2313D234" w14:textId="36B3FAAE" w:rsidR="002D49B0" w:rsidRPr="00083739" w:rsidRDefault="00BF4125">
      <w:pPr>
        <w:spacing w:before="120" w:after="120" w:line="240" w:lineRule="auto"/>
        <w:rPr>
          <w:rFonts w:ascii="Times New Roman" w:hAnsi="Times New Roman" w:cs="Times New Roman"/>
          <w:noProof/>
          <w:sz w:val="24"/>
          <w:lang w:val="sk-SK"/>
        </w:rPr>
      </w:pPr>
      <w:r w:rsidRPr="00083739">
        <w:rPr>
          <w:rFonts w:ascii="Times New Roman" w:hAnsi="Times New Roman" w:cs="Times New Roman"/>
          <w:noProof/>
          <w:sz w:val="24"/>
          <w:lang w:val="sk-SK"/>
        </w:rPr>
        <w:t>●</w:t>
      </w:r>
      <w:r w:rsidRPr="00083739">
        <w:rPr>
          <w:rFonts w:ascii="Times New Roman" w:hAnsi="Times New Roman" w:cs="Times New Roman"/>
          <w:noProof/>
          <w:lang w:val="sk-SK"/>
        </w:rPr>
        <w:t xml:space="preserve"> </w:t>
      </w:r>
      <w:r w:rsidRPr="00083739">
        <w:rPr>
          <w:rFonts w:ascii="Times New Roman" w:hAnsi="Times New Roman" w:cs="Times New Roman"/>
          <w:noProof/>
          <w:sz w:val="24"/>
          <w:lang w:val="sk-SK"/>
        </w:rPr>
        <w:t>Olympijské atletické centrum</w:t>
      </w:r>
      <w:r w:rsidR="00083739" w:rsidRPr="00083739">
        <w:rPr>
          <w:rFonts w:ascii="Times New Roman" w:hAnsi="Times New Roman" w:cs="Times New Roman"/>
          <w:noProof/>
          <w:sz w:val="24"/>
          <w:lang w:val="sk-SK"/>
        </w:rPr>
        <w:t xml:space="preserve"> v </w:t>
      </w:r>
      <w:r w:rsidRPr="00083739">
        <w:rPr>
          <w:rFonts w:ascii="Times New Roman" w:hAnsi="Times New Roman" w:cs="Times New Roman"/>
          <w:noProof/>
          <w:sz w:val="24"/>
          <w:lang w:val="sk-SK"/>
        </w:rPr>
        <w:t>Aténach (ID: 16932)</w:t>
      </w:r>
    </w:p>
    <w:tbl>
      <w:tblPr>
        <w:tblW w:w="15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663"/>
        <w:gridCol w:w="963"/>
        <w:gridCol w:w="1343"/>
        <w:gridCol w:w="1276"/>
        <w:gridCol w:w="1134"/>
        <w:gridCol w:w="992"/>
        <w:gridCol w:w="851"/>
        <w:gridCol w:w="850"/>
        <w:gridCol w:w="709"/>
        <w:gridCol w:w="4592"/>
      </w:tblGrid>
      <w:tr w:rsidR="002D49B0" w:rsidRPr="00083739" w14:paraId="195CE035" w14:textId="77777777">
        <w:trPr>
          <w:trHeight w:val="939"/>
          <w:tblHeader/>
          <w:jc w:val="center"/>
        </w:trPr>
        <w:tc>
          <w:tcPr>
            <w:tcW w:w="1129" w:type="dxa"/>
            <w:vMerge w:val="restart"/>
            <w:shd w:val="clear" w:color="auto" w:fill="BDD7EE"/>
            <w:vAlign w:val="center"/>
            <w:hideMark/>
          </w:tcPr>
          <w:p w14:paraId="4A73E8BC"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Poradové číslo</w:t>
            </w:r>
          </w:p>
        </w:tc>
        <w:tc>
          <w:tcPr>
            <w:tcW w:w="1663" w:type="dxa"/>
            <w:vMerge w:val="restart"/>
            <w:shd w:val="clear" w:color="auto" w:fill="BDD7EE"/>
            <w:vAlign w:val="center"/>
            <w:hideMark/>
          </w:tcPr>
          <w:p w14:paraId="5BB457F3"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Súvisiace opatrenie (reforma alebo investícia)</w:t>
            </w:r>
          </w:p>
        </w:tc>
        <w:tc>
          <w:tcPr>
            <w:tcW w:w="963" w:type="dxa"/>
            <w:vMerge w:val="restart"/>
            <w:shd w:val="clear" w:color="auto" w:fill="BDD7EE"/>
            <w:vAlign w:val="center"/>
            <w:hideMark/>
          </w:tcPr>
          <w:p w14:paraId="309EF572"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Míľnik/cieľ</w:t>
            </w:r>
          </w:p>
        </w:tc>
        <w:tc>
          <w:tcPr>
            <w:tcW w:w="1343" w:type="dxa"/>
            <w:vMerge w:val="restart"/>
            <w:shd w:val="clear" w:color="auto" w:fill="BDD7EE"/>
            <w:vAlign w:val="center"/>
            <w:hideMark/>
          </w:tcPr>
          <w:p w14:paraId="5D3AED08"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Názov</w:t>
            </w:r>
          </w:p>
        </w:tc>
        <w:tc>
          <w:tcPr>
            <w:tcW w:w="1276" w:type="dxa"/>
            <w:vMerge w:val="restart"/>
            <w:shd w:val="clear" w:color="auto" w:fill="BDD7EE"/>
            <w:vAlign w:val="center"/>
            <w:hideMark/>
          </w:tcPr>
          <w:p w14:paraId="38A424D9"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Kvalitatívne </w:t>
            </w:r>
            <w:r w:rsidRPr="00083739">
              <w:rPr>
                <w:rFonts w:cs="Times New Roman"/>
                <w:noProof/>
                <w:lang w:val="sk-SK"/>
              </w:rPr>
              <w:t>ukazovatele (pre míľniky)</w:t>
            </w:r>
          </w:p>
        </w:tc>
        <w:tc>
          <w:tcPr>
            <w:tcW w:w="2977" w:type="dxa"/>
            <w:gridSpan w:val="3"/>
            <w:shd w:val="clear" w:color="auto" w:fill="BDD7EE"/>
            <w:vAlign w:val="center"/>
            <w:hideMark/>
          </w:tcPr>
          <w:p w14:paraId="0C26639D"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Kvantitatívne ukazovatele (pre ciele)</w:t>
            </w:r>
          </w:p>
        </w:tc>
        <w:tc>
          <w:tcPr>
            <w:tcW w:w="1559" w:type="dxa"/>
            <w:gridSpan w:val="2"/>
            <w:shd w:val="clear" w:color="auto" w:fill="BDD7EE"/>
            <w:vAlign w:val="center"/>
            <w:hideMark/>
          </w:tcPr>
          <w:p w14:paraId="37C83C27"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Orientačný harmonogram dokončenia </w:t>
            </w:r>
          </w:p>
        </w:tc>
        <w:tc>
          <w:tcPr>
            <w:tcW w:w="4592" w:type="dxa"/>
            <w:vMerge w:val="restart"/>
            <w:shd w:val="clear" w:color="auto" w:fill="BDD7EE"/>
            <w:vAlign w:val="center"/>
            <w:hideMark/>
          </w:tcPr>
          <w:p w14:paraId="17B86DE6" w14:textId="5054921D"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Opis každého míľnika</w:t>
            </w:r>
            <w:r w:rsidR="00083739" w:rsidRPr="00083739">
              <w:rPr>
                <w:rFonts w:cs="Times New Roman"/>
                <w:noProof/>
                <w:lang w:val="sk-SK"/>
              </w:rPr>
              <w:t xml:space="preserve"> a </w:t>
            </w:r>
            <w:r w:rsidRPr="00083739">
              <w:rPr>
                <w:rFonts w:cs="Times New Roman"/>
                <w:noProof/>
                <w:lang w:val="sk-SK"/>
              </w:rPr>
              <w:t>cieľa</w:t>
            </w:r>
          </w:p>
        </w:tc>
      </w:tr>
      <w:tr w:rsidR="002D49B0" w:rsidRPr="00083739" w14:paraId="04611C07" w14:textId="77777777">
        <w:trPr>
          <w:trHeight w:val="1027"/>
          <w:tblHeader/>
          <w:jc w:val="center"/>
        </w:trPr>
        <w:tc>
          <w:tcPr>
            <w:tcW w:w="1129" w:type="dxa"/>
            <w:vMerge/>
            <w:vAlign w:val="center"/>
            <w:hideMark/>
          </w:tcPr>
          <w:p w14:paraId="1B1207F4"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663" w:type="dxa"/>
            <w:vMerge/>
            <w:vAlign w:val="center"/>
            <w:hideMark/>
          </w:tcPr>
          <w:p w14:paraId="1DC7E60C"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963" w:type="dxa"/>
            <w:vMerge/>
            <w:vAlign w:val="center"/>
            <w:hideMark/>
          </w:tcPr>
          <w:p w14:paraId="18D11C00"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343" w:type="dxa"/>
            <w:vMerge/>
            <w:vAlign w:val="center"/>
            <w:hideMark/>
          </w:tcPr>
          <w:p w14:paraId="292BE3F9"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276" w:type="dxa"/>
            <w:vMerge/>
            <w:vAlign w:val="center"/>
            <w:hideMark/>
          </w:tcPr>
          <w:p w14:paraId="13D5953C"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134" w:type="dxa"/>
            <w:shd w:val="clear" w:color="auto" w:fill="BDD7EE"/>
            <w:vAlign w:val="center"/>
            <w:hideMark/>
          </w:tcPr>
          <w:p w14:paraId="03CAE71B"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Merná jednotka</w:t>
            </w:r>
          </w:p>
        </w:tc>
        <w:tc>
          <w:tcPr>
            <w:tcW w:w="992" w:type="dxa"/>
            <w:shd w:val="clear" w:color="auto" w:fill="BDD7EE"/>
            <w:vAlign w:val="center"/>
            <w:hideMark/>
          </w:tcPr>
          <w:p w14:paraId="1A10B527"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Základná </w:t>
            </w:r>
          </w:p>
        </w:tc>
        <w:tc>
          <w:tcPr>
            <w:tcW w:w="851" w:type="dxa"/>
            <w:shd w:val="clear" w:color="auto" w:fill="BDD7EE"/>
            <w:vAlign w:val="center"/>
            <w:hideMark/>
          </w:tcPr>
          <w:p w14:paraId="0E025171"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Cieľ </w:t>
            </w:r>
          </w:p>
        </w:tc>
        <w:tc>
          <w:tcPr>
            <w:tcW w:w="850" w:type="dxa"/>
            <w:shd w:val="clear" w:color="auto" w:fill="BDD7EE"/>
            <w:vAlign w:val="center"/>
            <w:hideMark/>
          </w:tcPr>
          <w:p w14:paraId="09FB1F57"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Štvrtina</w:t>
            </w:r>
          </w:p>
        </w:tc>
        <w:tc>
          <w:tcPr>
            <w:tcW w:w="709" w:type="dxa"/>
            <w:shd w:val="clear" w:color="auto" w:fill="BDD7EE"/>
            <w:vAlign w:val="center"/>
            <w:hideMark/>
          </w:tcPr>
          <w:p w14:paraId="01EE046E"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Rok</w:t>
            </w:r>
          </w:p>
        </w:tc>
        <w:tc>
          <w:tcPr>
            <w:tcW w:w="4592" w:type="dxa"/>
            <w:vMerge/>
            <w:vAlign w:val="center"/>
            <w:hideMark/>
          </w:tcPr>
          <w:p w14:paraId="232CAFCD"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r>
      <w:tr w:rsidR="002D49B0" w:rsidRPr="00083739" w14:paraId="2C9DD5A9" w14:textId="77777777">
        <w:trPr>
          <w:trHeight w:val="313"/>
          <w:jc w:val="center"/>
        </w:trPr>
        <w:tc>
          <w:tcPr>
            <w:tcW w:w="1129" w:type="dxa"/>
            <w:shd w:val="clear" w:color="auto" w:fill="C6EFCE"/>
            <w:noWrap/>
          </w:tcPr>
          <w:p w14:paraId="1C7CE6C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37</w:t>
            </w:r>
          </w:p>
        </w:tc>
        <w:tc>
          <w:tcPr>
            <w:tcW w:w="1663" w:type="dxa"/>
            <w:shd w:val="clear" w:color="auto" w:fill="C6EFCE"/>
            <w:noWrap/>
          </w:tcPr>
          <w:p w14:paraId="7EAE168A" w14:textId="189583A6"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 – 1.2. Renovácia – 16932_Olympicové atletické centrum</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Aténach</w:t>
            </w:r>
          </w:p>
        </w:tc>
        <w:tc>
          <w:tcPr>
            <w:tcW w:w="963" w:type="dxa"/>
            <w:shd w:val="clear" w:color="auto" w:fill="C6EFCE"/>
            <w:noWrap/>
          </w:tcPr>
          <w:p w14:paraId="77A3997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43" w:type="dxa"/>
            <w:shd w:val="clear" w:color="auto" w:fill="C6EFCE"/>
            <w:noWrap/>
          </w:tcPr>
          <w:p w14:paraId="5A42D19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OAKA – Zadanie zákazky</w:t>
            </w:r>
          </w:p>
        </w:tc>
        <w:tc>
          <w:tcPr>
            <w:tcW w:w="1276" w:type="dxa"/>
            <w:shd w:val="clear" w:color="auto" w:fill="C6EFCE"/>
            <w:noWrap/>
          </w:tcPr>
          <w:p w14:paraId="506EFDE5" w14:textId="4EB21320"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Oznámenie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zadaní zákazky (zákaziek)</w:t>
            </w:r>
          </w:p>
        </w:tc>
        <w:tc>
          <w:tcPr>
            <w:tcW w:w="1134" w:type="dxa"/>
            <w:shd w:val="clear" w:color="auto" w:fill="C6EFCE"/>
            <w:noWrap/>
          </w:tcPr>
          <w:p w14:paraId="4D0F1FF2"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2" w:type="dxa"/>
            <w:shd w:val="clear" w:color="auto" w:fill="C6EFCE"/>
            <w:noWrap/>
          </w:tcPr>
          <w:p w14:paraId="58495404"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1" w:type="dxa"/>
            <w:shd w:val="clear" w:color="auto" w:fill="C6EFCE"/>
            <w:noWrap/>
          </w:tcPr>
          <w:p w14:paraId="1028F3C6"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0" w:type="dxa"/>
            <w:shd w:val="clear" w:color="auto" w:fill="C6EFCE"/>
            <w:noWrap/>
          </w:tcPr>
          <w:p w14:paraId="0E1CB00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PRVÝ ŠTVRŤROK</w:t>
            </w:r>
          </w:p>
        </w:tc>
        <w:tc>
          <w:tcPr>
            <w:tcW w:w="709" w:type="dxa"/>
            <w:shd w:val="clear" w:color="auto" w:fill="C6EFCE"/>
            <w:noWrap/>
          </w:tcPr>
          <w:p w14:paraId="7D98A4E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2023</w:t>
            </w:r>
          </w:p>
        </w:tc>
        <w:tc>
          <w:tcPr>
            <w:tcW w:w="4592" w:type="dxa"/>
            <w:shd w:val="clear" w:color="auto" w:fill="C6EFCE"/>
            <w:noWrap/>
          </w:tcPr>
          <w:p w14:paraId="63FAEE88" w14:textId="7733AD91"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Oznámenie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zadaní zákazky (zákaziek) na vymenovanie partnera (partnerov) zo súkromného sektora na vykonanie stavebných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renovačných prác, ktorými sa zvýši energetická efek</w:t>
            </w:r>
            <w:r w:rsidRPr="00083739">
              <w:rPr>
                <w:rFonts w:ascii="Times New Roman" w:hAnsi="Times New Roman" w:cs="Times New Roman"/>
                <w:noProof/>
                <w:lang w:val="sk-SK"/>
              </w:rPr>
              <w:t>tívnosť i) centrálneho štadióna; II) mechanické</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elektrické práce;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iii) vonkajšie priestory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začiatok prác. </w:t>
            </w:r>
          </w:p>
        </w:tc>
      </w:tr>
      <w:tr w:rsidR="002D49B0" w:rsidRPr="00083739" w14:paraId="692B94BF" w14:textId="77777777">
        <w:trPr>
          <w:trHeight w:val="313"/>
          <w:jc w:val="center"/>
        </w:trPr>
        <w:tc>
          <w:tcPr>
            <w:tcW w:w="1129" w:type="dxa"/>
            <w:shd w:val="clear" w:color="auto" w:fill="C6EFCE"/>
            <w:noWrap/>
          </w:tcPr>
          <w:p w14:paraId="3E1A90B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38</w:t>
            </w:r>
          </w:p>
        </w:tc>
        <w:tc>
          <w:tcPr>
            <w:tcW w:w="1663" w:type="dxa"/>
            <w:shd w:val="clear" w:color="auto" w:fill="C6EFCE"/>
            <w:noWrap/>
          </w:tcPr>
          <w:p w14:paraId="1C2E4134" w14:textId="6DFC2458"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 – 1.2. Renovácia – 16873_ Intervencie</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obytných oblastiach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vo fonde budov</w:t>
            </w:r>
          </w:p>
        </w:tc>
        <w:tc>
          <w:tcPr>
            <w:tcW w:w="963" w:type="dxa"/>
            <w:shd w:val="clear" w:color="auto" w:fill="C6EFCE"/>
            <w:noWrap/>
          </w:tcPr>
          <w:p w14:paraId="35882C6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43" w:type="dxa"/>
            <w:shd w:val="clear" w:color="auto" w:fill="C6EFCE"/>
            <w:noWrap/>
          </w:tcPr>
          <w:p w14:paraId="441B397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Mestské intervencie – zadávanie zákaziek</w:t>
            </w:r>
          </w:p>
        </w:tc>
        <w:tc>
          <w:tcPr>
            <w:tcW w:w="1276" w:type="dxa"/>
            <w:shd w:val="clear" w:color="auto" w:fill="C6EFCE"/>
            <w:noWrap/>
          </w:tcPr>
          <w:p w14:paraId="637854DB" w14:textId="79B1926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Oznámenie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zadaní zákazky (zákaziek)</w:t>
            </w:r>
          </w:p>
        </w:tc>
        <w:tc>
          <w:tcPr>
            <w:tcW w:w="1134" w:type="dxa"/>
            <w:shd w:val="clear" w:color="auto" w:fill="C6EFCE"/>
            <w:noWrap/>
          </w:tcPr>
          <w:p w14:paraId="1A5C5277"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2" w:type="dxa"/>
            <w:shd w:val="clear" w:color="auto" w:fill="C6EFCE"/>
            <w:noWrap/>
          </w:tcPr>
          <w:p w14:paraId="62D47133"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1" w:type="dxa"/>
            <w:shd w:val="clear" w:color="auto" w:fill="C6EFCE"/>
            <w:noWrap/>
          </w:tcPr>
          <w:p w14:paraId="0B07A6CB"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0" w:type="dxa"/>
            <w:shd w:val="clear" w:color="auto" w:fill="C6EFCE"/>
            <w:noWrap/>
          </w:tcPr>
          <w:p w14:paraId="3F96777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09" w:type="dxa"/>
            <w:shd w:val="clear" w:color="auto" w:fill="C6EFCE"/>
            <w:noWrap/>
          </w:tcPr>
          <w:p w14:paraId="0A72C3A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2023</w:t>
            </w:r>
          </w:p>
        </w:tc>
        <w:tc>
          <w:tcPr>
            <w:tcW w:w="4592" w:type="dxa"/>
            <w:shd w:val="clear" w:color="auto" w:fill="C6EFCE"/>
            <w:noWrap/>
          </w:tcPr>
          <w:p w14:paraId="443C6694" w14:textId="77777777" w:rsidR="00083739" w:rsidRPr="00083739" w:rsidRDefault="00BF4125">
            <w:pPr>
              <w:pStyle w:val="P68B1DB1-Normal10"/>
              <w:spacing w:after="0" w:line="240" w:lineRule="auto"/>
              <w:rPr>
                <w:rFonts w:ascii="Times New Roman" w:hAnsi="Times New Roman" w:cs="Times New Roman"/>
                <w:noProof/>
                <w:lang w:val="sk-SK"/>
              </w:rPr>
            </w:pPr>
            <w:r w:rsidRPr="00083739">
              <w:rPr>
                <w:rFonts w:ascii="Times New Roman" w:hAnsi="Times New Roman" w:cs="Times New Roman"/>
                <w:noProof/>
                <w:lang w:val="sk-SK"/>
              </w:rPr>
              <w:t>Oznámenie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zadaní zákazky (zákaziek) na vykonanie prác na</w:t>
            </w:r>
          </w:p>
          <w:p w14:paraId="0F43D17F" w14:textId="4E08D76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I) zlepšenie mestského prostredia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verejného priestoru vo vybraných obciach na základe verejnej výzvy zameranej na posilnenie odolnosti proti </w:t>
            </w:r>
            <w:r w:rsidRPr="00083739">
              <w:rPr>
                <w:rFonts w:ascii="Times New Roman" w:hAnsi="Times New Roman" w:cs="Times New Roman"/>
                <w:noProof/>
                <w:lang w:val="sk-SK"/>
              </w:rPr>
              <w:t>zmene klímy;</w:t>
            </w:r>
          </w:p>
          <w:p w14:paraId="7EC29C92" w14:textId="49FD7E02" w:rsidR="00083739" w:rsidRPr="00083739" w:rsidRDefault="00BF4125">
            <w:pPr>
              <w:pStyle w:val="P68B1DB1-Normal10"/>
              <w:spacing w:after="0" w:line="240" w:lineRule="auto"/>
              <w:rPr>
                <w:rFonts w:ascii="Times New Roman" w:hAnsi="Times New Roman" w:cs="Times New Roman"/>
                <w:noProof/>
                <w:lang w:val="sk-SK"/>
              </w:rPr>
            </w:pPr>
            <w:r w:rsidRPr="00083739">
              <w:rPr>
                <w:rFonts w:ascii="Times New Roman" w:hAnsi="Times New Roman" w:cs="Times New Roman"/>
                <w:noProof/>
                <w:lang w:val="sk-SK"/>
              </w:rPr>
              <w:t>II) obnova miest</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bývalej priemyselnej oblasti Votanikos/Elaionas</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obnova areálu poľnohospodárskej univerzity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Aténach (AUA)</w:t>
            </w:r>
            <w:r w:rsidR="00083739" w:rsidRPr="00083739">
              <w:rPr>
                <w:rFonts w:ascii="Times New Roman" w:hAnsi="Times New Roman" w:cs="Times New Roman"/>
                <w:noProof/>
                <w:lang w:val="sk-SK"/>
              </w:rPr>
              <w:t>;</w:t>
            </w:r>
          </w:p>
          <w:p w14:paraId="7108D14D" w14:textId="77777777"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III) Atény Riviera: cyklistická infraštruktúra;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zároveň</w:t>
            </w:r>
          </w:p>
          <w:p w14:paraId="114041DE" w14:textId="6CF0BF7E"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IV) iné strategické intervencie, ktoré sa vyberú na zákl</w:t>
            </w:r>
            <w:r w:rsidRPr="00083739">
              <w:rPr>
                <w:rFonts w:ascii="Times New Roman" w:hAnsi="Times New Roman" w:cs="Times New Roman"/>
                <w:noProof/>
                <w:lang w:val="sk-SK"/>
              </w:rPr>
              <w:t>ade verejnej výzvy určenej obciam, ktorá zahŕňa: 1. projekty energetickej efektívnosti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demonštračné projekty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MSP alebo veľkých podnikoch, ktorými sa dosiahne aspoň stredná hĺbková obnova, ako sa vymedzuje</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odporúčaní Komisie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obnove budov (EÚ) 2019/7</w:t>
            </w:r>
            <w:r w:rsidRPr="00083739">
              <w:rPr>
                <w:rFonts w:ascii="Times New Roman" w:hAnsi="Times New Roman" w:cs="Times New Roman"/>
                <w:noProof/>
                <w:lang w:val="sk-SK"/>
              </w:rPr>
              <w:t>86, alebo</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priemere aspoň 30</w:t>
            </w:r>
            <w:r w:rsidR="00083739" w:rsidRPr="00083739">
              <w:rPr>
                <w:rFonts w:ascii="Times New Roman" w:hAnsi="Times New Roman" w:cs="Times New Roman"/>
                <w:noProof/>
                <w:lang w:val="sk-SK"/>
              </w:rPr>
              <w:t> %</w:t>
            </w:r>
            <w:r w:rsidRPr="00083739">
              <w:rPr>
                <w:rFonts w:ascii="Times New Roman" w:hAnsi="Times New Roman" w:cs="Times New Roman"/>
                <w:noProof/>
                <w:lang w:val="sk-SK"/>
              </w:rPr>
              <w:t xml:space="preserve"> zníženie priamych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nepriamych emisií CO2</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porovnaní</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emisiami ex ante; 2. výstavba nových energeticky efektívnych budov</w:t>
            </w:r>
            <w:r w:rsidR="00083739" w:rsidRPr="00083739">
              <w:rPr>
                <w:rFonts w:ascii="Times New Roman" w:hAnsi="Times New Roman" w:cs="Times New Roman"/>
                <w:noProof/>
                <w:lang w:val="sk-SK"/>
              </w:rPr>
              <w:t xml:space="preserve"> a s </w:t>
            </w:r>
            <w:r w:rsidRPr="00083739">
              <w:rPr>
                <w:rFonts w:ascii="Times New Roman" w:hAnsi="Times New Roman" w:cs="Times New Roman"/>
                <w:noProof/>
                <w:lang w:val="sk-SK"/>
              </w:rPr>
              <w:t>dopytom po primárnej energii, ktorý je aspoň</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20</w:t>
            </w:r>
            <w:r w:rsidR="00083739" w:rsidRPr="00083739">
              <w:rPr>
                <w:rFonts w:ascii="Times New Roman" w:hAnsi="Times New Roman" w:cs="Times New Roman"/>
                <w:noProof/>
                <w:lang w:val="sk-SK"/>
              </w:rPr>
              <w:t> %</w:t>
            </w:r>
            <w:r w:rsidRPr="00083739">
              <w:rPr>
                <w:rFonts w:ascii="Times New Roman" w:hAnsi="Times New Roman" w:cs="Times New Roman"/>
                <w:noProof/>
                <w:lang w:val="sk-SK"/>
              </w:rPr>
              <w:t xml:space="preserve"> nižší ako požiadavka na budovy</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takmer nulov</w:t>
            </w:r>
            <w:r w:rsidRPr="00083739">
              <w:rPr>
                <w:rFonts w:ascii="Times New Roman" w:hAnsi="Times New Roman" w:cs="Times New Roman"/>
                <w:noProof/>
                <w:lang w:val="sk-SK"/>
              </w:rPr>
              <w:t>ou spotrebou energie (budova</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takmer nulovou spotrebou energie, vnútroštátne smernice);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3. ochrana prírody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biodiverzity, prírodné dedičstvo</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zdroje, zelená</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modrá infraštruktúra. </w:t>
            </w:r>
          </w:p>
        </w:tc>
      </w:tr>
      <w:tr w:rsidR="002D49B0" w:rsidRPr="00083739" w14:paraId="3B37A2E0" w14:textId="77777777">
        <w:trPr>
          <w:trHeight w:val="313"/>
          <w:jc w:val="center"/>
        </w:trPr>
        <w:tc>
          <w:tcPr>
            <w:tcW w:w="1129" w:type="dxa"/>
            <w:shd w:val="clear" w:color="auto" w:fill="C6EFCE"/>
            <w:noWrap/>
          </w:tcPr>
          <w:p w14:paraId="47F65EF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39</w:t>
            </w:r>
          </w:p>
        </w:tc>
        <w:tc>
          <w:tcPr>
            <w:tcW w:w="1663" w:type="dxa"/>
            <w:shd w:val="clear" w:color="auto" w:fill="C6EFCE"/>
            <w:noWrap/>
          </w:tcPr>
          <w:p w14:paraId="51A5318B" w14:textId="008A4404"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 – 1.2. Renovácia – 16932_Olympicové atletické centrum</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Aténach</w:t>
            </w:r>
          </w:p>
        </w:tc>
        <w:tc>
          <w:tcPr>
            <w:tcW w:w="963" w:type="dxa"/>
            <w:shd w:val="clear" w:color="auto" w:fill="C6EFCE"/>
            <w:noWrap/>
          </w:tcPr>
          <w:p w14:paraId="496A943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43" w:type="dxa"/>
            <w:shd w:val="clear" w:color="auto" w:fill="C6EFCE"/>
            <w:noWrap/>
          </w:tcPr>
          <w:p w14:paraId="18C4B8F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OAKA – dokončenie prác </w:t>
            </w:r>
          </w:p>
        </w:tc>
        <w:tc>
          <w:tcPr>
            <w:tcW w:w="1276" w:type="dxa"/>
            <w:shd w:val="clear" w:color="auto" w:fill="C6EFCE"/>
            <w:noWrap/>
          </w:tcPr>
          <w:p w14:paraId="4DF93519" w14:textId="2B28F7FF"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Dokončenie všetkých prác na týchto čiastkových projektoch </w:t>
            </w:r>
          </w:p>
        </w:tc>
        <w:tc>
          <w:tcPr>
            <w:tcW w:w="1134" w:type="dxa"/>
            <w:shd w:val="clear" w:color="auto" w:fill="C6EFCE"/>
            <w:noWrap/>
          </w:tcPr>
          <w:p w14:paraId="6C76D799"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2" w:type="dxa"/>
            <w:shd w:val="clear" w:color="auto" w:fill="C6EFCE"/>
            <w:noWrap/>
          </w:tcPr>
          <w:p w14:paraId="2639E86B"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1" w:type="dxa"/>
            <w:shd w:val="clear" w:color="auto" w:fill="C6EFCE"/>
            <w:noWrap/>
          </w:tcPr>
          <w:p w14:paraId="169610A3"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0" w:type="dxa"/>
            <w:shd w:val="clear" w:color="auto" w:fill="C6EFCE"/>
            <w:noWrap/>
          </w:tcPr>
          <w:p w14:paraId="160906C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09" w:type="dxa"/>
            <w:shd w:val="clear" w:color="auto" w:fill="C6EFCE"/>
            <w:noWrap/>
          </w:tcPr>
          <w:p w14:paraId="735681D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4592" w:type="dxa"/>
            <w:shd w:val="clear" w:color="auto" w:fill="C6EFCE"/>
            <w:noWrap/>
          </w:tcPr>
          <w:p w14:paraId="58BF3A97" w14:textId="56798BFF"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všetkých prác na dosiahnutie energetickej účinnosti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zlepšenie uhlíkovej stopy vrátane i) modernizácie mechanických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elektrických zariadení centrálneho štadióna; II) mechanické</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elektrické inštalácie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stroje na nezávislú prevádzku vodných zariadení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umožnenie úspor energie; III) mechanické</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elektrické inštalácie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obnova oceľovej klenby velodromu;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iv) vonkajšie obl</w:t>
            </w:r>
            <w:r w:rsidRPr="00083739">
              <w:rPr>
                <w:rFonts w:ascii="Times New Roman" w:hAnsi="Times New Roman" w:cs="Times New Roman"/>
                <w:noProof/>
                <w:lang w:val="sk-SK"/>
              </w:rPr>
              <w:t>asti vrátane oceľových konštrukcií Agora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múru národov.</w:t>
            </w:r>
          </w:p>
        </w:tc>
      </w:tr>
      <w:tr w:rsidR="002D49B0" w:rsidRPr="00083739" w14:paraId="6109CC8C" w14:textId="77777777">
        <w:trPr>
          <w:trHeight w:val="313"/>
          <w:jc w:val="center"/>
        </w:trPr>
        <w:tc>
          <w:tcPr>
            <w:tcW w:w="1129" w:type="dxa"/>
            <w:shd w:val="clear" w:color="auto" w:fill="C6EFCE"/>
            <w:noWrap/>
          </w:tcPr>
          <w:p w14:paraId="6070340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40</w:t>
            </w:r>
          </w:p>
        </w:tc>
        <w:tc>
          <w:tcPr>
            <w:tcW w:w="1663" w:type="dxa"/>
            <w:shd w:val="clear" w:color="auto" w:fill="C6EFCE"/>
            <w:noWrap/>
          </w:tcPr>
          <w:p w14:paraId="4B89DE44" w14:textId="6B54BC3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 – 1.2. Renovácia – 16873_ – Intervencie</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obytných oblastiach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vo fonde budov</w:t>
            </w:r>
          </w:p>
        </w:tc>
        <w:tc>
          <w:tcPr>
            <w:tcW w:w="963" w:type="dxa"/>
            <w:shd w:val="clear" w:color="auto" w:fill="C6EFCE"/>
            <w:noWrap/>
          </w:tcPr>
          <w:p w14:paraId="0320C71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43" w:type="dxa"/>
            <w:shd w:val="clear" w:color="auto" w:fill="C6EFCE"/>
            <w:noWrap/>
          </w:tcPr>
          <w:p w14:paraId="1B82CF3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Mestské zásahy – dokončenie všetkých prác</w:t>
            </w:r>
          </w:p>
        </w:tc>
        <w:tc>
          <w:tcPr>
            <w:tcW w:w="1276" w:type="dxa"/>
            <w:shd w:val="clear" w:color="auto" w:fill="C6EFCE"/>
            <w:noWrap/>
          </w:tcPr>
          <w:p w14:paraId="04554A1B" w14:textId="4B237593"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prác</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služieb potvrdené podpísaním formulára </w:t>
            </w:r>
            <w:r w:rsidRPr="00083739">
              <w:rPr>
                <w:rFonts w:ascii="Times New Roman" w:hAnsi="Times New Roman" w:cs="Times New Roman"/>
                <w:noProof/>
                <w:lang w:val="sk-SK"/>
              </w:rPr>
              <w:t>stavebného dozoru</w:t>
            </w:r>
          </w:p>
        </w:tc>
        <w:tc>
          <w:tcPr>
            <w:tcW w:w="1134" w:type="dxa"/>
            <w:shd w:val="clear" w:color="auto" w:fill="C6EFCE"/>
            <w:noWrap/>
          </w:tcPr>
          <w:p w14:paraId="5708AA59"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2" w:type="dxa"/>
            <w:shd w:val="clear" w:color="auto" w:fill="C6EFCE"/>
            <w:noWrap/>
          </w:tcPr>
          <w:p w14:paraId="027C0F8C"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1" w:type="dxa"/>
            <w:shd w:val="clear" w:color="auto" w:fill="C6EFCE"/>
            <w:noWrap/>
          </w:tcPr>
          <w:p w14:paraId="6C6D20F5"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0" w:type="dxa"/>
            <w:shd w:val="clear" w:color="auto" w:fill="C6EFCE"/>
            <w:noWrap/>
          </w:tcPr>
          <w:p w14:paraId="3196529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09" w:type="dxa"/>
            <w:shd w:val="clear" w:color="auto" w:fill="C6EFCE"/>
            <w:noWrap/>
          </w:tcPr>
          <w:p w14:paraId="6EEA3CF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4592" w:type="dxa"/>
            <w:shd w:val="clear" w:color="auto" w:fill="C6EFCE"/>
            <w:noWrap/>
          </w:tcPr>
          <w:p w14:paraId="48B2CB18" w14:textId="77777777"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Dokončiť všetky práce podľa</w:t>
            </w:r>
          </w:p>
          <w:p w14:paraId="3D28C95F" w14:textId="7A52772C"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I) Intervencie zamerané na zlepšenie mestského prostredia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verejného priestoru</w:t>
            </w:r>
            <w:r w:rsidR="00083739" w:rsidRPr="00083739">
              <w:rPr>
                <w:rFonts w:ascii="Times New Roman" w:hAnsi="Times New Roman" w:cs="Times New Roman"/>
                <w:noProof/>
                <w:lang w:val="sk-SK"/>
              </w:rPr>
              <w:t>;</w:t>
            </w:r>
          </w:p>
          <w:p w14:paraId="1346AA5C" w14:textId="77777777"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II) Mestská obnova bývalej priemyselnej oblasti Votanikos/Elaionas</w:t>
            </w:r>
            <w:r w:rsidR="00083739" w:rsidRPr="00083739">
              <w:rPr>
                <w:rFonts w:ascii="Times New Roman" w:hAnsi="Times New Roman" w:cs="Times New Roman"/>
                <w:noProof/>
                <w:lang w:val="sk-SK"/>
              </w:rPr>
              <w:t>;</w:t>
            </w:r>
          </w:p>
          <w:p w14:paraId="2F4682F0" w14:textId="7845EF29" w:rsidR="002D49B0" w:rsidRPr="00083739" w:rsidRDefault="00BF4125">
            <w:pPr>
              <w:pStyle w:val="P68B1DB1-Normal9"/>
              <w:spacing w:after="0" w:line="240" w:lineRule="auto"/>
              <w:jc w:val="both"/>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III) Atény Riviera: cyklistická </w:t>
            </w:r>
            <w:r w:rsidRPr="00083739">
              <w:rPr>
                <w:rFonts w:ascii="Times New Roman" w:hAnsi="Times New Roman" w:cs="Times New Roman"/>
                <w:noProof/>
                <w:lang w:val="sk-SK"/>
              </w:rPr>
              <w:t>infraštruktúra;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zároveň</w:t>
            </w:r>
          </w:p>
          <w:p w14:paraId="3F19EF9A" w14:textId="00A3DDD3" w:rsidR="002D49B0" w:rsidRPr="00083739" w:rsidRDefault="00BF4125">
            <w:pPr>
              <w:pStyle w:val="P68B1DB1-Normal9"/>
              <w:spacing w:after="0" w:line="240" w:lineRule="auto"/>
              <w:jc w:val="both"/>
              <w:rPr>
                <w:rFonts w:ascii="Times New Roman" w:eastAsia="Times New Roman" w:hAnsi="Times New Roman" w:cs="Times New Roman"/>
                <w:noProof/>
                <w:szCs w:val="18"/>
                <w:lang w:val="sk-SK"/>
              </w:rPr>
            </w:pPr>
            <w:r w:rsidRPr="00083739">
              <w:rPr>
                <w:rFonts w:ascii="Times New Roman" w:hAnsi="Times New Roman" w:cs="Times New Roman"/>
                <w:noProof/>
                <w:lang w:val="sk-SK"/>
              </w:rPr>
              <w:t>IV) Iné strategické intervencie.</w:t>
            </w:r>
          </w:p>
        </w:tc>
      </w:tr>
      <w:tr w:rsidR="002D49B0" w:rsidRPr="00083739" w14:paraId="241826BA" w14:textId="77777777">
        <w:trPr>
          <w:trHeight w:val="313"/>
          <w:jc w:val="center"/>
        </w:trPr>
        <w:tc>
          <w:tcPr>
            <w:tcW w:w="1129" w:type="dxa"/>
            <w:shd w:val="clear" w:color="auto" w:fill="C6EFCE"/>
            <w:noWrap/>
          </w:tcPr>
          <w:p w14:paraId="4FF8FC6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41</w:t>
            </w:r>
          </w:p>
        </w:tc>
        <w:tc>
          <w:tcPr>
            <w:tcW w:w="1663" w:type="dxa"/>
            <w:shd w:val="clear" w:color="auto" w:fill="C6EFCE"/>
            <w:noWrap/>
          </w:tcPr>
          <w:p w14:paraId="1DF74087" w14:textId="263B52BB"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 – 1.2. Renovácia – 16875_Rozvoj infraštruktúry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obnova budov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bývalej kráľovskej nehnuteľnosti</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Tatoi</w:t>
            </w:r>
          </w:p>
        </w:tc>
        <w:tc>
          <w:tcPr>
            <w:tcW w:w="963" w:type="dxa"/>
            <w:shd w:val="clear" w:color="auto" w:fill="C6EFCE"/>
            <w:noWrap/>
          </w:tcPr>
          <w:p w14:paraId="3173375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43" w:type="dxa"/>
            <w:shd w:val="clear" w:color="auto" w:fill="C6EFCE"/>
            <w:noWrap/>
          </w:tcPr>
          <w:p w14:paraId="2C1FA6B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Tatoi – dokončenie všetkých prác</w:t>
            </w:r>
          </w:p>
        </w:tc>
        <w:tc>
          <w:tcPr>
            <w:tcW w:w="1276" w:type="dxa"/>
            <w:shd w:val="clear" w:color="auto" w:fill="C6EFCE"/>
            <w:noWrap/>
          </w:tcPr>
          <w:p w14:paraId="554C1366" w14:textId="08158449"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prác</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služieb </w:t>
            </w:r>
          </w:p>
        </w:tc>
        <w:tc>
          <w:tcPr>
            <w:tcW w:w="1134" w:type="dxa"/>
            <w:shd w:val="clear" w:color="auto" w:fill="C6EFCE"/>
            <w:noWrap/>
          </w:tcPr>
          <w:p w14:paraId="6291041F"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2" w:type="dxa"/>
            <w:shd w:val="clear" w:color="auto" w:fill="C6EFCE"/>
            <w:noWrap/>
          </w:tcPr>
          <w:p w14:paraId="705811D2"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1" w:type="dxa"/>
            <w:shd w:val="clear" w:color="auto" w:fill="C6EFCE"/>
            <w:noWrap/>
          </w:tcPr>
          <w:p w14:paraId="7DB08917"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0" w:type="dxa"/>
            <w:shd w:val="clear" w:color="auto" w:fill="C6EFCE"/>
            <w:noWrap/>
          </w:tcPr>
          <w:p w14:paraId="7888357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09" w:type="dxa"/>
            <w:shd w:val="clear" w:color="auto" w:fill="C6EFCE"/>
            <w:noWrap/>
          </w:tcPr>
          <w:p w14:paraId="1C77BE5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4592" w:type="dxa"/>
            <w:shd w:val="clear" w:color="auto" w:fill="C6EFCE"/>
            <w:noWrap/>
          </w:tcPr>
          <w:p w14:paraId="38CD0A29" w14:textId="2E8A29D5"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Dokončiť všetky práce</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rámci programu „Rozvoj infraštruktúry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obnova budov“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bývalom kráľovskom pozemku</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Tatoi vrátane:</w:t>
            </w:r>
          </w:p>
          <w:p w14:paraId="0756222B" w14:textId="77777777"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I) práce na infraštruktúre</w:t>
            </w:r>
            <w:r w:rsidR="00083739" w:rsidRPr="00083739">
              <w:rPr>
                <w:rFonts w:ascii="Times New Roman" w:hAnsi="Times New Roman" w:cs="Times New Roman"/>
                <w:noProof/>
                <w:lang w:val="sk-SK"/>
              </w:rPr>
              <w:t>;</w:t>
            </w:r>
          </w:p>
          <w:p w14:paraId="2F3F5F35" w14:textId="19024678"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II) obnova paláca na opätovné použitie ako múzeum;</w:t>
            </w:r>
          </w:p>
          <w:p w14:paraId="0109CA93" w14:textId="77777777"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III) výstava paláca</w:t>
            </w:r>
            <w:r w:rsidR="00083739" w:rsidRPr="00083739">
              <w:rPr>
                <w:rFonts w:ascii="Times New Roman" w:hAnsi="Times New Roman" w:cs="Times New Roman"/>
                <w:noProof/>
                <w:lang w:val="sk-SK"/>
              </w:rPr>
              <w:t>;</w:t>
            </w:r>
          </w:p>
          <w:p w14:paraId="614D7D7C" w14:textId="40562387"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 xml:space="preserve">IV) obnova </w:t>
            </w:r>
            <w:r w:rsidRPr="00083739">
              <w:rPr>
                <w:rFonts w:ascii="Times New Roman" w:hAnsi="Times New Roman" w:cs="Times New Roman"/>
                <w:noProof/>
                <w:lang w:val="sk-SK"/>
              </w:rPr>
              <w:t>poľnohospodárskej budovy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opätovné použitie ako múzeum</w:t>
            </w:r>
            <w:r w:rsidR="00083739" w:rsidRPr="00083739">
              <w:rPr>
                <w:rFonts w:ascii="Times New Roman" w:hAnsi="Times New Roman" w:cs="Times New Roman"/>
                <w:noProof/>
                <w:lang w:val="sk-SK"/>
              </w:rPr>
              <w:t>;</w:t>
            </w:r>
          </w:p>
          <w:p w14:paraId="00751577" w14:textId="77777777"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v) muzeologické štúdium novej poľnohospodárskej budovy</w:t>
            </w:r>
            <w:r w:rsidR="00083739" w:rsidRPr="00083739">
              <w:rPr>
                <w:rFonts w:ascii="Times New Roman" w:hAnsi="Times New Roman" w:cs="Times New Roman"/>
                <w:noProof/>
                <w:lang w:val="sk-SK"/>
              </w:rPr>
              <w:t>;</w:t>
            </w:r>
          </w:p>
          <w:p w14:paraId="74DDD66D" w14:textId="77777777"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VI) obnova palácových záhrad</w:t>
            </w:r>
            <w:r w:rsidR="00083739" w:rsidRPr="00083739">
              <w:rPr>
                <w:rFonts w:ascii="Times New Roman" w:hAnsi="Times New Roman" w:cs="Times New Roman"/>
                <w:noProof/>
                <w:lang w:val="sk-SK"/>
              </w:rPr>
              <w:t>;</w:t>
            </w:r>
          </w:p>
          <w:p w14:paraId="7E84B065" w14:textId="150B6CA7"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VII) ochrana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obnova artefaktov</w:t>
            </w:r>
            <w:r w:rsidR="00083739" w:rsidRPr="00083739">
              <w:rPr>
                <w:rFonts w:ascii="Times New Roman" w:hAnsi="Times New Roman" w:cs="Times New Roman"/>
                <w:noProof/>
                <w:lang w:val="sk-SK"/>
              </w:rPr>
              <w:t>;</w:t>
            </w:r>
          </w:p>
          <w:p w14:paraId="6B45013D" w14:textId="77777777"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VIII) zaznamenávanie, dokumentácia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registrácia artefaktov;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zároveň</w:t>
            </w:r>
          </w:p>
          <w:p w14:paraId="458540EA" w14:textId="0E263828"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IX) digi</w:t>
            </w:r>
            <w:r w:rsidRPr="00083739">
              <w:rPr>
                <w:rFonts w:ascii="Times New Roman" w:hAnsi="Times New Roman" w:cs="Times New Roman"/>
                <w:noProof/>
                <w:lang w:val="sk-SK"/>
              </w:rPr>
              <w:t>talizácia nájdeného papierového archívneho materiálu.</w:t>
            </w:r>
          </w:p>
        </w:tc>
      </w:tr>
    </w:tbl>
    <w:p w14:paraId="45EEBC4E" w14:textId="77777777" w:rsidR="002D49B0" w:rsidRPr="00083739" w:rsidRDefault="002D49B0">
      <w:pPr>
        <w:framePr w:w="15464" w:wrap="auto" w:hAnchor="text"/>
        <w:spacing w:before="120" w:after="120" w:line="240" w:lineRule="auto"/>
        <w:rPr>
          <w:rFonts w:ascii="Times New Roman" w:hAnsi="Times New Roman" w:cs="Times New Roman"/>
          <w:noProof/>
          <w:sz w:val="24"/>
          <w:lang w:val="sk-SK"/>
        </w:rPr>
        <w:sectPr w:rsidR="002D49B0" w:rsidRPr="00083739" w:rsidSect="00271D33">
          <w:headerReference w:type="even" r:id="rId49"/>
          <w:headerReference w:type="default" r:id="rId50"/>
          <w:footerReference w:type="even" r:id="rId51"/>
          <w:footerReference w:type="default" r:id="rId52"/>
          <w:headerReference w:type="first" r:id="rId53"/>
          <w:footerReference w:type="first" r:id="rId54"/>
          <w:pgSz w:w="16839" w:h="11907" w:orient="landscape"/>
          <w:pgMar w:top="720" w:right="720" w:bottom="851" w:left="720" w:header="709" w:footer="709" w:gutter="0"/>
          <w:cols w:space="720"/>
          <w:docGrid w:linePitch="360"/>
        </w:sectPr>
      </w:pPr>
    </w:p>
    <w:p w14:paraId="52BC440C" w14:textId="77777777" w:rsidR="00083739" w:rsidRPr="00083739" w:rsidRDefault="00BF4125">
      <w:pPr>
        <w:spacing w:before="120" w:after="120" w:line="240" w:lineRule="auto"/>
        <w:jc w:val="both"/>
        <w:rPr>
          <w:rFonts w:ascii="Times New Roman" w:hAnsi="Times New Roman" w:cs="Times New Roman"/>
          <w:b/>
          <w:noProof/>
          <w:sz w:val="24"/>
          <w:szCs w:val="24"/>
          <w:u w:val="single"/>
          <w:lang w:val="sk-SK"/>
        </w:rPr>
      </w:pPr>
      <w:r w:rsidRPr="00083739">
        <w:rPr>
          <w:rFonts w:ascii="Times New Roman" w:hAnsi="Times New Roman" w:cs="Times New Roman"/>
          <w:b/>
          <w:noProof/>
          <w:sz w:val="24"/>
          <w:szCs w:val="24"/>
          <w:u w:val="single"/>
          <w:lang w:val="sk-SK"/>
        </w:rPr>
        <w:t xml:space="preserve">B.3. </w:t>
      </w:r>
      <w:r w:rsidRPr="00083739">
        <w:rPr>
          <w:rFonts w:ascii="Times New Roman" w:hAnsi="Times New Roman" w:cs="Times New Roman"/>
          <w:noProof/>
          <w:lang w:val="sk-SK"/>
        </w:rPr>
        <w:t xml:space="preserve"> </w:t>
      </w:r>
      <w:r w:rsidRPr="00083739">
        <w:rPr>
          <w:rFonts w:ascii="Times New Roman" w:hAnsi="Times New Roman" w:cs="Times New Roman"/>
          <w:b/>
          <w:noProof/>
          <w:sz w:val="24"/>
          <w:szCs w:val="24"/>
          <w:u w:val="single"/>
          <w:lang w:val="sk-SK"/>
        </w:rPr>
        <w:t>Opis reforiem</w:t>
      </w:r>
      <w:r w:rsidR="00083739" w:rsidRPr="00083739">
        <w:rPr>
          <w:rFonts w:ascii="Times New Roman" w:hAnsi="Times New Roman" w:cs="Times New Roman"/>
          <w:b/>
          <w:noProof/>
          <w:sz w:val="24"/>
          <w:szCs w:val="24"/>
          <w:u w:val="single"/>
          <w:lang w:val="sk-SK"/>
        </w:rPr>
        <w:t xml:space="preserve"> a </w:t>
      </w:r>
      <w:r w:rsidRPr="00083739">
        <w:rPr>
          <w:rFonts w:ascii="Times New Roman" w:hAnsi="Times New Roman" w:cs="Times New Roman"/>
          <w:b/>
          <w:noProof/>
          <w:sz w:val="24"/>
          <w:szCs w:val="24"/>
          <w:u w:val="single"/>
          <w:lang w:val="sk-SK"/>
        </w:rPr>
        <w:t>investícií</w:t>
      </w:r>
      <w:r w:rsidR="00083739" w:rsidRPr="00083739">
        <w:rPr>
          <w:rFonts w:ascii="Times New Roman" w:hAnsi="Times New Roman" w:cs="Times New Roman"/>
          <w:b/>
          <w:noProof/>
          <w:sz w:val="24"/>
          <w:szCs w:val="24"/>
          <w:u w:val="single"/>
          <w:lang w:val="sk-SK"/>
        </w:rPr>
        <w:t xml:space="preserve"> v </w:t>
      </w:r>
      <w:r w:rsidRPr="00083739">
        <w:rPr>
          <w:rFonts w:ascii="Times New Roman" w:hAnsi="Times New Roman" w:cs="Times New Roman"/>
          <w:b/>
          <w:noProof/>
          <w:sz w:val="24"/>
          <w:szCs w:val="24"/>
          <w:u w:val="single"/>
          <w:lang w:val="sk-SK"/>
        </w:rPr>
        <w:t>rámci úverového financovania</w:t>
      </w:r>
    </w:p>
    <w:p w14:paraId="706B1471" w14:textId="342035CA"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Program energetickej modernizácie „Zlepšiť môj domov“ (ID opatrenia 16401)</w:t>
      </w:r>
    </w:p>
    <w:p w14:paraId="56FC16C7" w14:textId="55443B9B" w:rsidR="002D49B0" w:rsidRPr="00083739" w:rsidRDefault="00BF4125">
      <w:pPr>
        <w:pStyle w:val="NormalWeb"/>
        <w:spacing w:line="240" w:lineRule="auto"/>
        <w:jc w:val="both"/>
        <w:rPr>
          <w:noProof/>
          <w:lang w:val="sk-SK"/>
        </w:rPr>
      </w:pPr>
      <w:r w:rsidRPr="00083739">
        <w:rPr>
          <w:noProof/>
          <w:lang w:val="sk-SK"/>
        </w:rPr>
        <w:t>Toto opatrenie pozostáva</w:t>
      </w:r>
      <w:r w:rsidR="00083739" w:rsidRPr="00083739">
        <w:rPr>
          <w:noProof/>
          <w:lang w:val="sk-SK"/>
        </w:rPr>
        <w:t xml:space="preserve"> z </w:t>
      </w:r>
      <w:r w:rsidRPr="00083739">
        <w:rPr>
          <w:noProof/>
          <w:lang w:val="sk-SK"/>
        </w:rPr>
        <w:t>verejných investícií do nástroja „Zmodernizovať môj domov“</w:t>
      </w:r>
      <w:r w:rsidR="00083739" w:rsidRPr="00083739">
        <w:rPr>
          <w:noProof/>
          <w:lang w:val="sk-SK"/>
        </w:rPr>
        <w:t xml:space="preserve"> s </w:t>
      </w:r>
      <w:r w:rsidRPr="00083739">
        <w:rPr>
          <w:noProof/>
          <w:lang w:val="sk-SK"/>
        </w:rPr>
        <w:t>cieľom stimulovať súkromné investície</w:t>
      </w:r>
      <w:r w:rsidR="00083739" w:rsidRPr="00083739">
        <w:rPr>
          <w:noProof/>
          <w:lang w:val="sk-SK"/>
        </w:rPr>
        <w:t xml:space="preserve"> a </w:t>
      </w:r>
      <w:r w:rsidRPr="00083739">
        <w:rPr>
          <w:noProof/>
          <w:lang w:val="sk-SK"/>
        </w:rPr>
        <w:t>zlepšiť prístup</w:t>
      </w:r>
      <w:r w:rsidR="00083739" w:rsidRPr="00083739">
        <w:rPr>
          <w:noProof/>
          <w:lang w:val="sk-SK"/>
        </w:rPr>
        <w:t xml:space="preserve"> k </w:t>
      </w:r>
      <w:r w:rsidRPr="00083739">
        <w:rPr>
          <w:noProof/>
          <w:lang w:val="sk-SK"/>
        </w:rPr>
        <w:t>financovaniu</w:t>
      </w:r>
      <w:r w:rsidR="00083739" w:rsidRPr="00083739">
        <w:rPr>
          <w:noProof/>
          <w:lang w:val="sk-SK"/>
        </w:rPr>
        <w:t xml:space="preserve"> v </w:t>
      </w:r>
      <w:r w:rsidRPr="00083739">
        <w:rPr>
          <w:noProof/>
          <w:lang w:val="sk-SK"/>
        </w:rPr>
        <w:t>gréckom sektore býv</w:t>
      </w:r>
      <w:r w:rsidRPr="00083739">
        <w:rPr>
          <w:noProof/>
          <w:lang w:val="sk-SK"/>
        </w:rPr>
        <w:t>ania. Nástroj funguje tak, že poskytuje úvery priamo súkromnému sektoru. Na základe investícií Mechanizmu na podporu obnovy</w:t>
      </w:r>
      <w:r w:rsidR="00083739" w:rsidRPr="00083739">
        <w:rPr>
          <w:noProof/>
          <w:lang w:val="sk-SK"/>
        </w:rPr>
        <w:t xml:space="preserve"> a </w:t>
      </w:r>
      <w:r w:rsidRPr="00083739">
        <w:rPr>
          <w:noProof/>
          <w:lang w:val="sk-SK"/>
        </w:rPr>
        <w:t>odolnosti je cieľom nástroja „Zmodernizovať môj domov“ spočiatku poskytnúť financovanie vo výške najmenej 300 miliónov EUR.</w:t>
      </w:r>
    </w:p>
    <w:p w14:paraId="0D871A41" w14:textId="77777777" w:rsidR="00083739" w:rsidRPr="00083739" w:rsidRDefault="00BF4125">
      <w:pPr>
        <w:pStyle w:val="NormalWeb"/>
        <w:spacing w:line="240" w:lineRule="auto"/>
        <w:jc w:val="both"/>
        <w:rPr>
          <w:noProof/>
          <w:lang w:val="sk-SK"/>
        </w:rPr>
      </w:pPr>
      <w:r w:rsidRPr="00083739">
        <w:rPr>
          <w:noProof/>
          <w:lang w:val="sk-SK"/>
        </w:rPr>
        <w:t>Nástro</w:t>
      </w:r>
      <w:r w:rsidRPr="00083739">
        <w:rPr>
          <w:noProof/>
          <w:lang w:val="sk-SK"/>
        </w:rPr>
        <w:t>j „Upgrade My Home“ spravuje Helénska rozvojová banka ako implementujúci partner. Nástroj zahŕňa tento rad produktov</w:t>
      </w:r>
      <w:r w:rsidR="00083739" w:rsidRPr="00083739">
        <w:rPr>
          <w:noProof/>
          <w:lang w:val="sk-SK"/>
        </w:rPr>
        <w:t>:</w:t>
      </w:r>
    </w:p>
    <w:p w14:paraId="25AC7954" w14:textId="2CB3ABD2" w:rsidR="002D49B0" w:rsidRPr="00083739" w:rsidRDefault="00BF4125">
      <w:pPr>
        <w:pStyle w:val="P68B1DB1-LegalNumPar212"/>
        <w:numPr>
          <w:ilvl w:val="1"/>
          <w:numId w:val="95"/>
        </w:numPr>
        <w:jc w:val="both"/>
        <w:rPr>
          <w:noProof/>
          <w:lang w:val="sk-SK"/>
        </w:rPr>
      </w:pPr>
      <w:r w:rsidRPr="00083739">
        <w:rPr>
          <w:noProof/>
          <w:lang w:val="sk-SK"/>
        </w:rPr>
        <w:t>Helénska rozvojová banka vyberie komerčné banky ako finančných sprostredkovateľov, ktorí sa na nástroji zúčastnia otvoreným, transparentný</w:t>
      </w:r>
      <w:r w:rsidRPr="00083739">
        <w:rPr>
          <w:noProof/>
          <w:lang w:val="sk-SK"/>
        </w:rPr>
        <w:t>m</w:t>
      </w:r>
      <w:r w:rsidR="00083739" w:rsidRPr="00083739">
        <w:rPr>
          <w:noProof/>
          <w:lang w:val="sk-SK"/>
        </w:rPr>
        <w:t xml:space="preserve"> a </w:t>
      </w:r>
      <w:r w:rsidRPr="00083739">
        <w:rPr>
          <w:noProof/>
          <w:lang w:val="sk-SK"/>
        </w:rPr>
        <w:t>nediskriminačným spôsobom prostredníctvom verejnej výzvy. Komerčné banky spolufinancujú úvery na obnovu energetickej efektívnosti poskytnuté</w:t>
      </w:r>
      <w:r w:rsidR="00083739" w:rsidRPr="00083739">
        <w:rPr>
          <w:noProof/>
          <w:lang w:val="sk-SK"/>
        </w:rPr>
        <w:t xml:space="preserve"> v </w:t>
      </w:r>
      <w:r w:rsidRPr="00083739">
        <w:rPr>
          <w:noProof/>
          <w:lang w:val="sk-SK"/>
        </w:rPr>
        <w:t>rámci nástroja. Tieto úvery sa poskytnú jednotlivcom na modernizáciu energie</w:t>
      </w:r>
      <w:r w:rsidR="00083739" w:rsidRPr="00083739">
        <w:rPr>
          <w:noProof/>
          <w:lang w:val="sk-SK"/>
        </w:rPr>
        <w:t xml:space="preserve"> v </w:t>
      </w:r>
      <w:r w:rsidRPr="00083739">
        <w:rPr>
          <w:noProof/>
          <w:lang w:val="sk-SK"/>
        </w:rPr>
        <w:t xml:space="preserve">ich primárnych alebo </w:t>
      </w:r>
      <w:r w:rsidRPr="00083739">
        <w:rPr>
          <w:noProof/>
          <w:lang w:val="sk-SK"/>
        </w:rPr>
        <w:t>neprenájmových druhých obydliach. Úverová štruktúra poskytuje 75</w:t>
      </w:r>
      <w:r w:rsidR="00083739" w:rsidRPr="00083739">
        <w:rPr>
          <w:noProof/>
          <w:lang w:val="sk-SK"/>
        </w:rPr>
        <w:t> %</w:t>
      </w:r>
      <w:r w:rsidRPr="00083739">
        <w:rPr>
          <w:noProof/>
          <w:lang w:val="sk-SK"/>
        </w:rPr>
        <w:t xml:space="preserve"> bezúročné financovanie</w:t>
      </w:r>
      <w:r w:rsidR="00083739" w:rsidRPr="00083739">
        <w:rPr>
          <w:noProof/>
          <w:lang w:val="sk-SK"/>
        </w:rPr>
        <w:t xml:space="preserve"> z </w:t>
      </w:r>
      <w:r w:rsidRPr="00083739">
        <w:rPr>
          <w:noProof/>
          <w:lang w:val="sk-SK"/>
        </w:rPr>
        <w:t>nástroja „Zlepšovanie mojej domácnosti“</w:t>
      </w:r>
      <w:r w:rsidR="00083739" w:rsidRPr="00083739">
        <w:rPr>
          <w:noProof/>
          <w:lang w:val="sk-SK"/>
        </w:rPr>
        <w:t xml:space="preserve"> a </w:t>
      </w:r>
      <w:r w:rsidRPr="00083739">
        <w:rPr>
          <w:noProof/>
          <w:lang w:val="sk-SK"/>
        </w:rPr>
        <w:t>25</w:t>
      </w:r>
      <w:r w:rsidR="00083739" w:rsidRPr="00083739">
        <w:rPr>
          <w:noProof/>
          <w:lang w:val="sk-SK"/>
        </w:rPr>
        <w:t> %</w:t>
      </w:r>
      <w:r w:rsidRPr="00083739">
        <w:rPr>
          <w:noProof/>
          <w:lang w:val="sk-SK"/>
        </w:rPr>
        <w:t xml:space="preserve"> financovanie zo strany zúčastnených bánk podľa trhových sadzieb. Oprávnené výdavky budú zahŕňať napríklad tieto inter</w:t>
      </w:r>
      <w:r w:rsidRPr="00083739">
        <w:rPr>
          <w:noProof/>
          <w:lang w:val="sk-SK"/>
        </w:rPr>
        <w:t>vencie:</w:t>
      </w:r>
    </w:p>
    <w:p w14:paraId="64B760B5" w14:textId="77777777" w:rsidR="002D49B0" w:rsidRPr="00083739" w:rsidRDefault="00BF4125">
      <w:pPr>
        <w:pStyle w:val="P68B1DB1-LegalNumPar212"/>
        <w:jc w:val="both"/>
        <w:rPr>
          <w:noProof/>
          <w:lang w:val="sk-SK"/>
        </w:rPr>
      </w:pPr>
      <w:r w:rsidRPr="00083739">
        <w:rPr>
          <w:noProof/>
          <w:lang w:val="sk-SK"/>
        </w:rPr>
        <w:t>Tepelná izolácia (vnútorná/vonkajšia).</w:t>
      </w:r>
    </w:p>
    <w:p w14:paraId="6A05EDBF" w14:textId="77777777" w:rsidR="002D49B0" w:rsidRPr="00083739" w:rsidRDefault="00BF4125">
      <w:pPr>
        <w:pStyle w:val="P68B1DB1-LegalNumPar212"/>
        <w:jc w:val="both"/>
        <w:rPr>
          <w:noProof/>
          <w:lang w:val="sk-SK"/>
        </w:rPr>
      </w:pPr>
      <w:r w:rsidRPr="00083739">
        <w:rPr>
          <w:noProof/>
          <w:lang w:val="sk-SK"/>
        </w:rPr>
        <w:t>Inštalácia zelenej strechy.</w:t>
      </w:r>
    </w:p>
    <w:p w14:paraId="007EAB1B" w14:textId="3BFBC34A" w:rsidR="002D49B0" w:rsidRPr="00083739" w:rsidRDefault="00BF4125">
      <w:pPr>
        <w:pStyle w:val="P68B1DB1-LegalNumPar212"/>
        <w:jc w:val="both"/>
        <w:rPr>
          <w:noProof/>
          <w:lang w:val="sk-SK"/>
        </w:rPr>
      </w:pPr>
      <w:r w:rsidRPr="00083739">
        <w:rPr>
          <w:noProof/>
          <w:lang w:val="sk-SK"/>
        </w:rPr>
        <w:t>Výmena energeticky účinných okenných rámov</w:t>
      </w:r>
      <w:r w:rsidR="00083739" w:rsidRPr="00083739">
        <w:rPr>
          <w:noProof/>
          <w:lang w:val="sk-SK"/>
        </w:rPr>
        <w:t xml:space="preserve"> a </w:t>
      </w:r>
      <w:r w:rsidRPr="00083739">
        <w:rPr>
          <w:noProof/>
          <w:lang w:val="sk-SK"/>
        </w:rPr>
        <w:t>sklených tabúľ.</w:t>
      </w:r>
    </w:p>
    <w:p w14:paraId="1676E1CF" w14:textId="77777777" w:rsidR="002D49B0" w:rsidRPr="00083739" w:rsidRDefault="00BF4125">
      <w:pPr>
        <w:pStyle w:val="P68B1DB1-LegalNumPar212"/>
        <w:jc w:val="both"/>
        <w:rPr>
          <w:noProof/>
          <w:lang w:val="sk-SK"/>
        </w:rPr>
      </w:pPr>
      <w:r w:rsidRPr="00083739">
        <w:rPr>
          <w:noProof/>
          <w:lang w:val="sk-SK"/>
        </w:rPr>
        <w:t>Výmena/inštalácia solárneho ohrievača vody.</w:t>
      </w:r>
    </w:p>
    <w:p w14:paraId="69C1821D" w14:textId="77777777" w:rsidR="002D49B0" w:rsidRPr="00083739" w:rsidRDefault="00BF4125">
      <w:pPr>
        <w:pStyle w:val="P68B1DB1-LegalNumPar212"/>
        <w:jc w:val="both"/>
        <w:rPr>
          <w:noProof/>
          <w:lang w:val="sk-SK"/>
        </w:rPr>
      </w:pPr>
      <w:r w:rsidRPr="00083739">
        <w:rPr>
          <w:noProof/>
          <w:lang w:val="sk-SK"/>
        </w:rPr>
        <w:t>Inštalácia trvalých vonkajších systémov tienenia.</w:t>
      </w:r>
    </w:p>
    <w:p w14:paraId="3FA9758E" w14:textId="71A59DD6" w:rsidR="002D49B0" w:rsidRPr="00083739" w:rsidRDefault="00BF4125">
      <w:pPr>
        <w:pStyle w:val="P68B1DB1-LegalNumPar212"/>
        <w:jc w:val="both"/>
        <w:rPr>
          <w:noProof/>
          <w:lang w:val="sk-SK"/>
        </w:rPr>
      </w:pPr>
      <w:r w:rsidRPr="00083739">
        <w:rPr>
          <w:noProof/>
          <w:lang w:val="sk-SK"/>
        </w:rPr>
        <w:t>Výmena/inštalácia vykurova</w:t>
      </w:r>
      <w:r w:rsidRPr="00083739">
        <w:rPr>
          <w:noProof/>
          <w:lang w:val="sk-SK"/>
        </w:rPr>
        <w:t>cích chladiacich systémov (vyrobené fosílne palivo nie je oprávnené)</w:t>
      </w:r>
      <w:r w:rsidR="00083739" w:rsidRPr="00083739">
        <w:rPr>
          <w:noProof/>
          <w:lang w:val="sk-SK"/>
        </w:rPr>
        <w:t xml:space="preserve"> s </w:t>
      </w:r>
      <w:r w:rsidRPr="00083739">
        <w:rPr>
          <w:noProof/>
          <w:lang w:val="sk-SK"/>
        </w:rPr>
        <w:t>využitím obnoviteľných zdrojov energie alebo vysokoúčinných kombinovaných systémov tepla</w:t>
      </w:r>
      <w:r w:rsidR="00083739" w:rsidRPr="00083739">
        <w:rPr>
          <w:noProof/>
          <w:lang w:val="sk-SK"/>
        </w:rPr>
        <w:t xml:space="preserve"> a </w:t>
      </w:r>
      <w:r w:rsidRPr="00083739">
        <w:rPr>
          <w:noProof/>
          <w:lang w:val="sk-SK"/>
        </w:rPr>
        <w:t>elektrickej energie (napr. elektrické tepelné čerpadlá, invertorové klimatizačné jednotky ener</w:t>
      </w:r>
      <w:r w:rsidRPr="00083739">
        <w:rPr>
          <w:noProof/>
          <w:lang w:val="sk-SK"/>
        </w:rPr>
        <w:t>getickej triedy A+ alebo vyššej).</w:t>
      </w:r>
    </w:p>
    <w:p w14:paraId="630F90AA" w14:textId="77777777" w:rsidR="002D49B0" w:rsidRPr="00083739" w:rsidRDefault="00BF4125">
      <w:pPr>
        <w:pStyle w:val="P68B1DB1-LegalNumPar212"/>
        <w:jc w:val="both"/>
        <w:rPr>
          <w:noProof/>
          <w:lang w:val="sk-SK"/>
        </w:rPr>
      </w:pPr>
      <w:r w:rsidRPr="00083739">
        <w:rPr>
          <w:noProof/>
          <w:lang w:val="sk-SK"/>
        </w:rPr>
        <w:t>Inštalácia termostatických regulačných systémov.</w:t>
      </w:r>
    </w:p>
    <w:p w14:paraId="672DBFEB" w14:textId="5755D60B" w:rsidR="002D49B0" w:rsidRPr="00083739" w:rsidRDefault="00BF4125">
      <w:pPr>
        <w:pStyle w:val="P68B1DB1-LegalNumPar212"/>
        <w:jc w:val="both"/>
        <w:rPr>
          <w:noProof/>
          <w:lang w:val="sk-SK"/>
        </w:rPr>
      </w:pPr>
      <w:r w:rsidRPr="00083739">
        <w:rPr>
          <w:noProof/>
          <w:lang w:val="sk-SK"/>
        </w:rPr>
        <w:t>Inštalácia systémov uskladňovania energie (batérií)</w:t>
      </w:r>
      <w:r w:rsidR="00083739" w:rsidRPr="00083739">
        <w:rPr>
          <w:noProof/>
          <w:lang w:val="sk-SK"/>
        </w:rPr>
        <w:t xml:space="preserve"> z </w:t>
      </w:r>
      <w:r w:rsidRPr="00083739">
        <w:rPr>
          <w:noProof/>
          <w:lang w:val="sk-SK"/>
        </w:rPr>
        <w:t>obnoviteľných zdrojov energie.</w:t>
      </w:r>
    </w:p>
    <w:p w14:paraId="6128855E" w14:textId="4F12DB8F" w:rsidR="002D49B0" w:rsidRPr="00083739" w:rsidRDefault="00BF4125">
      <w:pPr>
        <w:pStyle w:val="P68B1DB1-LegalNumPar212"/>
        <w:jc w:val="both"/>
        <w:rPr>
          <w:noProof/>
          <w:lang w:val="sk-SK"/>
        </w:rPr>
      </w:pPr>
      <w:r w:rsidRPr="00083739">
        <w:rPr>
          <w:noProof/>
          <w:lang w:val="sk-SK"/>
        </w:rPr>
        <w:t>Inštalácia fotovoltických staníc, malých veterných turbín</w:t>
      </w:r>
      <w:r w:rsidR="00083739" w:rsidRPr="00083739">
        <w:rPr>
          <w:noProof/>
          <w:lang w:val="sk-SK"/>
        </w:rPr>
        <w:t xml:space="preserve"> a </w:t>
      </w:r>
      <w:r w:rsidRPr="00083739">
        <w:rPr>
          <w:noProof/>
          <w:lang w:val="sk-SK"/>
        </w:rPr>
        <w:t xml:space="preserve">iných obnoviteľných zdrojov </w:t>
      </w:r>
      <w:r w:rsidRPr="00083739">
        <w:rPr>
          <w:noProof/>
          <w:lang w:val="sk-SK"/>
        </w:rPr>
        <w:t>energie.</w:t>
      </w:r>
    </w:p>
    <w:p w14:paraId="6A914FAC" w14:textId="77777777" w:rsidR="002D49B0" w:rsidRPr="00083739" w:rsidRDefault="00BF4125">
      <w:pPr>
        <w:pStyle w:val="P68B1DB1-LegalNumPar212"/>
        <w:jc w:val="both"/>
        <w:rPr>
          <w:noProof/>
          <w:lang w:val="sk-SK"/>
        </w:rPr>
      </w:pPr>
      <w:r w:rsidRPr="00083739">
        <w:rPr>
          <w:noProof/>
          <w:lang w:val="sk-SK"/>
        </w:rPr>
        <w:t>Inštalačné práce/služby technických poradcov alebo inžinierov.</w:t>
      </w:r>
    </w:p>
    <w:p w14:paraId="63AA623B" w14:textId="73A5D50D" w:rsidR="002D49B0" w:rsidRPr="00083739" w:rsidRDefault="00BF4125">
      <w:pPr>
        <w:pStyle w:val="NormalWeb"/>
        <w:spacing w:line="240" w:lineRule="auto"/>
        <w:jc w:val="both"/>
        <w:rPr>
          <w:noProof/>
          <w:lang w:val="sk-SK"/>
        </w:rPr>
      </w:pPr>
      <w:r w:rsidRPr="00083739">
        <w:rPr>
          <w:noProof/>
          <w:lang w:val="sk-SK"/>
        </w:rPr>
        <w:t>S cieľom realizovať investície do nástroja „Upgrade My Home“ Grécko</w:t>
      </w:r>
      <w:r w:rsidR="00083739" w:rsidRPr="00083739">
        <w:rPr>
          <w:noProof/>
          <w:lang w:val="sk-SK"/>
        </w:rPr>
        <w:t xml:space="preserve"> a </w:t>
      </w:r>
      <w:r w:rsidRPr="00083739">
        <w:rPr>
          <w:noProof/>
          <w:lang w:val="sk-SK"/>
        </w:rPr>
        <w:t>Helénska rozvojová banka podpíšu vykonávaciu dohodu. Vykonávacia dohoda obsahuje tento obsah:</w:t>
      </w:r>
    </w:p>
    <w:p w14:paraId="1A876F17" w14:textId="4DEE3D9F" w:rsidR="002D49B0" w:rsidRPr="00083739" w:rsidRDefault="00BF4125">
      <w:pPr>
        <w:pStyle w:val="P68B1DB1-LegalNumPar13"/>
        <w:numPr>
          <w:ilvl w:val="0"/>
          <w:numId w:val="94"/>
        </w:numPr>
        <w:jc w:val="both"/>
        <w:rPr>
          <w:rFonts w:eastAsia="Times New Roman"/>
          <w:noProof/>
          <w:lang w:val="sk-SK"/>
        </w:rPr>
      </w:pPr>
      <w:r w:rsidRPr="00083739">
        <w:rPr>
          <w:noProof/>
          <w:lang w:val="sk-SK"/>
        </w:rPr>
        <w:t xml:space="preserve">Opis rozhodovacieho </w:t>
      </w:r>
      <w:r w:rsidRPr="00083739">
        <w:rPr>
          <w:noProof/>
          <w:lang w:val="sk-SK"/>
        </w:rPr>
        <w:t>procesu nástroja „Zmodernizovať môj domov“. Konečné investičné rozhodnutie nástroja prijíma investičný výbor alebo iný príslušný rovnocenný riadiaci orgán</w:t>
      </w:r>
      <w:r w:rsidR="00083739" w:rsidRPr="00083739">
        <w:rPr>
          <w:noProof/>
          <w:lang w:val="sk-SK"/>
        </w:rPr>
        <w:t xml:space="preserve"> a </w:t>
      </w:r>
      <w:r w:rsidRPr="00083739">
        <w:rPr>
          <w:noProof/>
          <w:lang w:val="sk-SK"/>
        </w:rPr>
        <w:t>schvaľuje sa väčšinou hlasov členov, ktorí sú nezávislí od vlády.</w:t>
      </w:r>
    </w:p>
    <w:p w14:paraId="58BD9048" w14:textId="7F605065" w:rsidR="002D49B0" w:rsidRPr="00083739" w:rsidRDefault="00BF4125">
      <w:pPr>
        <w:pStyle w:val="P68B1DB1-LegalNumPar13"/>
        <w:jc w:val="both"/>
        <w:rPr>
          <w:noProof/>
          <w:lang w:val="sk-SK"/>
        </w:rPr>
      </w:pPr>
      <w:r w:rsidRPr="00083739">
        <w:rPr>
          <w:noProof/>
          <w:lang w:val="sk-SK"/>
        </w:rPr>
        <w:t>Kľúčové požiadavky na finančné pr</w:t>
      </w:r>
      <w:r w:rsidRPr="00083739">
        <w:rPr>
          <w:noProof/>
          <w:lang w:val="sk-SK"/>
        </w:rPr>
        <w:t>odukty,</w:t>
      </w:r>
      <w:r w:rsidRPr="00083739">
        <w:rPr>
          <w:b/>
          <w:noProof/>
          <w:lang w:val="sk-SK"/>
        </w:rPr>
        <w:t xml:space="preserve"> </w:t>
      </w:r>
      <w:r w:rsidRPr="00083739">
        <w:rPr>
          <w:noProof/>
          <w:lang w:val="sk-SK"/>
        </w:rPr>
        <w:t>ktoré zahŕňajú:</w:t>
      </w:r>
    </w:p>
    <w:p w14:paraId="7B550C92" w14:textId="7E2A8FE6" w:rsidR="002D49B0" w:rsidRPr="00083739" w:rsidRDefault="00BF4125">
      <w:pPr>
        <w:pStyle w:val="P68B1DB1-LegalNumPar212"/>
        <w:jc w:val="both"/>
        <w:rPr>
          <w:noProof/>
          <w:lang w:val="sk-SK"/>
        </w:rPr>
      </w:pPr>
      <w:r w:rsidRPr="00083739">
        <w:rPr>
          <w:noProof/>
          <w:lang w:val="sk-SK"/>
        </w:rPr>
        <w:t>Opis finančných produktov</w:t>
      </w:r>
      <w:r w:rsidR="00083739" w:rsidRPr="00083739">
        <w:rPr>
          <w:noProof/>
          <w:lang w:val="sk-SK"/>
        </w:rPr>
        <w:t xml:space="preserve"> a </w:t>
      </w:r>
      <w:r w:rsidRPr="00083739">
        <w:rPr>
          <w:noProof/>
          <w:lang w:val="sk-SK"/>
        </w:rPr>
        <w:t>oprávnených konečných príjemcov.</w:t>
      </w:r>
    </w:p>
    <w:p w14:paraId="08D024E5" w14:textId="77777777" w:rsidR="002D49B0" w:rsidRPr="00083739" w:rsidRDefault="00BF4125">
      <w:pPr>
        <w:pStyle w:val="P68B1DB1-LegalNumPar212"/>
        <w:jc w:val="both"/>
        <w:rPr>
          <w:noProof/>
          <w:lang w:val="sk-SK"/>
        </w:rPr>
      </w:pPr>
      <w:r w:rsidRPr="00083739">
        <w:rPr>
          <w:noProof/>
          <w:lang w:val="sk-SK"/>
        </w:rPr>
        <w:t>Požiadavka, aby všetky podporované investície boli ekonomicky životaschopné</w:t>
      </w:r>
      <w:r w:rsidRPr="00083739">
        <w:rPr>
          <w:b/>
          <w:noProof/>
          <w:lang w:val="sk-SK"/>
        </w:rPr>
        <w:t>.</w:t>
      </w:r>
    </w:p>
    <w:p w14:paraId="34240F61" w14:textId="337717DA" w:rsidR="002D49B0" w:rsidRPr="00083739" w:rsidRDefault="00BF4125">
      <w:pPr>
        <w:pStyle w:val="P68B1DB1-LegalNumPar212"/>
        <w:jc w:val="both"/>
        <w:rPr>
          <w:noProof/>
          <w:lang w:val="sk-SK"/>
        </w:rPr>
      </w:pPr>
      <w:r w:rsidRPr="00083739">
        <w:rPr>
          <w:noProof/>
          <w:lang w:val="sk-SK"/>
        </w:rPr>
        <w:t>Požiadavka, aby koneční príjemcovia nástroja nedostali podporu</w:t>
      </w:r>
      <w:r w:rsidR="00083739" w:rsidRPr="00083739">
        <w:rPr>
          <w:noProof/>
          <w:lang w:val="sk-SK"/>
        </w:rPr>
        <w:t xml:space="preserve"> z </w:t>
      </w:r>
      <w:r w:rsidRPr="00083739">
        <w:rPr>
          <w:noProof/>
          <w:lang w:val="sk-SK"/>
        </w:rPr>
        <w:t xml:space="preserve">iných nástrojov Únie na </w:t>
      </w:r>
      <w:r w:rsidRPr="00083739">
        <w:rPr>
          <w:noProof/>
          <w:lang w:val="sk-SK"/>
        </w:rPr>
        <w:t>pokrytie rovnakých nákladov.</w:t>
      </w:r>
    </w:p>
    <w:p w14:paraId="666EB9D4" w14:textId="4A41D115" w:rsidR="002D49B0" w:rsidRPr="00083739" w:rsidRDefault="00BF4125">
      <w:pPr>
        <w:pStyle w:val="P68B1DB1-LegalNumPar14"/>
        <w:jc w:val="both"/>
        <w:rPr>
          <w:rFonts w:ascii="Times New Roman" w:hAnsi="Times New Roman" w:cs="Times New Roman"/>
          <w:noProof/>
          <w:lang w:val="sk-SK"/>
        </w:rPr>
      </w:pPr>
      <w:r w:rsidRPr="00083739">
        <w:rPr>
          <w:rFonts w:ascii="Times New Roman" w:hAnsi="Times New Roman" w:cs="Times New Roman"/>
          <w:noProof/>
          <w:lang w:val="sk-SK"/>
        </w:rPr>
        <w:t>Suma, na ktorú sa vzťahuje vykonávacia dohoda, štruktúra poplatkov pre implementujúceho partnera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finančných sprostredkovateľov</w:t>
      </w:r>
      <w:r w:rsidR="00083739" w:rsidRPr="00083739">
        <w:rPr>
          <w:rFonts w:ascii="Times New Roman" w:hAnsi="Times New Roman" w:cs="Times New Roman"/>
          <w:noProof/>
          <w:lang w:val="sk-SK"/>
        </w:rPr>
        <w:t xml:space="preserve"> a </w:t>
      </w:r>
      <w:r w:rsidRPr="00083739">
        <w:rPr>
          <w:rFonts w:ascii="Times New Roman" w:eastAsia="Times New Roman" w:hAnsi="Times New Roman" w:cs="Times New Roman"/>
          <w:noProof/>
          <w:color w:val="000000" w:themeColor="text1"/>
          <w:lang w:val="sk-SK"/>
        </w:rPr>
        <w:t>požiadavka reinvestovať akékoľvek spätné toky podľa investičnej politiky</w:t>
      </w:r>
      <w:r w:rsidRPr="00083739">
        <w:rPr>
          <w:rFonts w:ascii="Times New Roman" w:eastAsia="Times New Roman" w:hAnsi="Times New Roman" w:cs="Times New Roman"/>
          <w:noProof/>
          <w:color w:val="000000" w:themeColor="text1"/>
          <w:lang w:val="sk-SK"/>
        </w:rPr>
        <w:t xml:space="preserve"> mechanizmu, pokiaľ sa nepoužívajú na splácanie úverov</w:t>
      </w:r>
      <w:r w:rsidR="00083739" w:rsidRPr="00083739">
        <w:rPr>
          <w:rFonts w:ascii="Times New Roman" w:eastAsia="Times New Roman" w:hAnsi="Times New Roman" w:cs="Times New Roman"/>
          <w:noProof/>
          <w:color w:val="000000" w:themeColor="text1"/>
          <w:lang w:val="sk-SK"/>
        </w:rPr>
        <w:t xml:space="preserve"> v </w:t>
      </w:r>
      <w:r w:rsidRPr="00083739">
        <w:rPr>
          <w:rFonts w:ascii="Times New Roman" w:eastAsia="Times New Roman" w:hAnsi="Times New Roman" w:cs="Times New Roman"/>
          <w:noProof/>
          <w:color w:val="000000" w:themeColor="text1"/>
          <w:lang w:val="sk-SK"/>
        </w:rPr>
        <w:t>rámci Mechanizmu na podporu obnovy</w:t>
      </w:r>
      <w:r w:rsidR="00083739" w:rsidRPr="00083739">
        <w:rPr>
          <w:rFonts w:ascii="Times New Roman" w:eastAsia="Times New Roman" w:hAnsi="Times New Roman" w:cs="Times New Roman"/>
          <w:noProof/>
          <w:color w:val="000000" w:themeColor="text1"/>
          <w:lang w:val="sk-SK"/>
        </w:rPr>
        <w:t xml:space="preserve"> a </w:t>
      </w:r>
      <w:r w:rsidRPr="00083739">
        <w:rPr>
          <w:rFonts w:ascii="Times New Roman" w:eastAsia="Times New Roman" w:hAnsi="Times New Roman" w:cs="Times New Roman"/>
          <w:noProof/>
          <w:color w:val="000000" w:themeColor="text1"/>
          <w:lang w:val="sk-SK"/>
        </w:rPr>
        <w:t>odolnosti</w:t>
      </w:r>
      <w:r w:rsidRPr="00083739">
        <w:rPr>
          <w:rFonts w:ascii="Times New Roman" w:hAnsi="Times New Roman" w:cs="Times New Roman"/>
          <w:noProof/>
          <w:lang w:val="sk-SK"/>
        </w:rPr>
        <w:t>.</w:t>
      </w:r>
    </w:p>
    <w:p w14:paraId="40DBDFB2" w14:textId="62024BAE" w:rsidR="002D49B0" w:rsidRPr="00083739" w:rsidRDefault="00BF4125">
      <w:pPr>
        <w:pStyle w:val="P68B1DB1-LegalNumPar13"/>
        <w:jc w:val="both"/>
        <w:rPr>
          <w:noProof/>
          <w:lang w:val="sk-SK"/>
        </w:rPr>
      </w:pPr>
      <w:r w:rsidRPr="00083739">
        <w:rPr>
          <w:noProof/>
          <w:lang w:val="sk-SK"/>
        </w:rPr>
        <w:t>Požiadavky na monitorovanie, audit</w:t>
      </w:r>
      <w:r w:rsidR="00083739" w:rsidRPr="00083739">
        <w:rPr>
          <w:noProof/>
          <w:lang w:val="sk-SK"/>
        </w:rPr>
        <w:t xml:space="preserve"> a </w:t>
      </w:r>
      <w:r w:rsidRPr="00083739">
        <w:rPr>
          <w:noProof/>
          <w:lang w:val="sk-SK"/>
        </w:rPr>
        <w:t>kontrolu vrátane opisu postupov implementujúceho partnera, ktorými sa zabezpečí predchádzanie podvodom, korupcii</w:t>
      </w:r>
      <w:r w:rsidR="00083739" w:rsidRPr="00083739">
        <w:rPr>
          <w:noProof/>
          <w:lang w:val="sk-SK"/>
        </w:rPr>
        <w:t xml:space="preserve"> a </w:t>
      </w:r>
      <w:r w:rsidRPr="00083739">
        <w:rPr>
          <w:noProof/>
          <w:lang w:val="sk-SK"/>
        </w:rPr>
        <w:t>konfliktom záujmov, ich odhaľovanie</w:t>
      </w:r>
      <w:r w:rsidR="00083739" w:rsidRPr="00083739">
        <w:rPr>
          <w:noProof/>
          <w:lang w:val="sk-SK"/>
        </w:rPr>
        <w:t xml:space="preserve"> a </w:t>
      </w:r>
      <w:r w:rsidRPr="00083739">
        <w:rPr>
          <w:noProof/>
          <w:lang w:val="sk-SK"/>
        </w:rPr>
        <w:t>náprava.</w:t>
      </w:r>
    </w:p>
    <w:p w14:paraId="0BFA873E" w14:textId="727104A7" w:rsidR="00083739" w:rsidRPr="00083739" w:rsidRDefault="00BF4125">
      <w:pPr>
        <w:pStyle w:val="P68B1DB1-LegalNumPar13"/>
        <w:jc w:val="both"/>
        <w:rPr>
          <w:noProof/>
          <w:lang w:val="sk-SK"/>
        </w:rPr>
      </w:pPr>
      <w:r w:rsidRPr="00083739">
        <w:rPr>
          <w:noProof/>
          <w:lang w:val="sk-SK"/>
        </w:rPr>
        <w:t>Helénska rozvojová banka podpíše dohody</w:t>
      </w:r>
      <w:r w:rsidR="00083739" w:rsidRPr="00083739">
        <w:rPr>
          <w:noProof/>
          <w:lang w:val="sk-SK"/>
        </w:rPr>
        <w:t xml:space="preserve"> o </w:t>
      </w:r>
      <w:r w:rsidRPr="00083739">
        <w:rPr>
          <w:noProof/>
          <w:lang w:val="sk-SK"/>
        </w:rPr>
        <w:t>financovaní</w:t>
      </w:r>
      <w:r w:rsidR="00083739" w:rsidRPr="00083739">
        <w:rPr>
          <w:noProof/>
          <w:lang w:val="sk-SK"/>
        </w:rPr>
        <w:t xml:space="preserve"> s </w:t>
      </w:r>
      <w:r w:rsidRPr="00083739">
        <w:rPr>
          <w:noProof/>
          <w:lang w:val="sk-SK"/>
        </w:rPr>
        <w:t>finančnými sprostredkovateľmi</w:t>
      </w:r>
      <w:r w:rsidR="00083739" w:rsidRPr="00083739">
        <w:rPr>
          <w:noProof/>
          <w:lang w:val="sk-SK"/>
        </w:rPr>
        <w:t xml:space="preserve"> v </w:t>
      </w:r>
      <w:r w:rsidRPr="00083739">
        <w:rPr>
          <w:noProof/>
          <w:lang w:val="sk-SK"/>
        </w:rPr>
        <w:t>súlade</w:t>
      </w:r>
      <w:r w:rsidR="00083739" w:rsidRPr="00083739">
        <w:rPr>
          <w:noProof/>
          <w:lang w:val="sk-SK"/>
        </w:rPr>
        <w:t xml:space="preserve"> s </w:t>
      </w:r>
      <w:r w:rsidRPr="00083739">
        <w:rPr>
          <w:noProof/>
          <w:lang w:val="sk-SK"/>
        </w:rPr>
        <w:t>kľúčovými požiadavkami, ktoré sa poskytnú ako príloha</w:t>
      </w:r>
      <w:r w:rsidR="00083739" w:rsidRPr="00083739">
        <w:rPr>
          <w:noProof/>
          <w:lang w:val="sk-SK"/>
        </w:rPr>
        <w:t xml:space="preserve"> k </w:t>
      </w:r>
      <w:r w:rsidRPr="00083739">
        <w:rPr>
          <w:noProof/>
          <w:lang w:val="sk-SK"/>
        </w:rPr>
        <w:t>vykonávacej dohode. Kľúčové požiadavky dohôd</w:t>
      </w:r>
      <w:r w:rsidR="00083739" w:rsidRPr="00083739">
        <w:rPr>
          <w:noProof/>
          <w:lang w:val="sk-SK"/>
        </w:rPr>
        <w:t xml:space="preserve"> o </w:t>
      </w:r>
      <w:r w:rsidRPr="00083739">
        <w:rPr>
          <w:noProof/>
          <w:lang w:val="sk-SK"/>
        </w:rPr>
        <w:t>financov</w:t>
      </w:r>
      <w:r w:rsidRPr="00083739">
        <w:rPr>
          <w:noProof/>
          <w:lang w:val="sk-SK"/>
        </w:rPr>
        <w:t>aní zahŕňajú všetky požiadavky, na základe ktorých nástroj funguje, vrátane</w:t>
      </w:r>
      <w:r w:rsidR="00083739" w:rsidRPr="00083739">
        <w:rPr>
          <w:noProof/>
          <w:lang w:val="sk-SK"/>
        </w:rPr>
        <w:t>:</w:t>
      </w:r>
    </w:p>
    <w:p w14:paraId="74B0ED8C" w14:textId="5D5E146C" w:rsidR="002D49B0" w:rsidRPr="00083739" w:rsidRDefault="00BF4125">
      <w:pPr>
        <w:pStyle w:val="P68B1DB1-LegalNumPar212"/>
        <w:numPr>
          <w:ilvl w:val="1"/>
          <w:numId w:val="95"/>
        </w:numPr>
        <w:jc w:val="both"/>
        <w:rPr>
          <w:noProof/>
          <w:lang w:val="sk-SK"/>
        </w:rPr>
      </w:pPr>
      <w:r w:rsidRPr="00083739">
        <w:rPr>
          <w:noProof/>
          <w:lang w:val="sk-SK"/>
        </w:rPr>
        <w:t>Konečné rozhodnutie</w:t>
      </w:r>
      <w:r w:rsidR="00083739" w:rsidRPr="00083739">
        <w:rPr>
          <w:noProof/>
          <w:lang w:val="sk-SK"/>
        </w:rPr>
        <w:t xml:space="preserve"> o </w:t>
      </w:r>
      <w:r w:rsidRPr="00083739">
        <w:rPr>
          <w:noProof/>
          <w:lang w:val="sk-SK"/>
        </w:rPr>
        <w:t>emisiách úverov prijímajú finanční sprostredkovatelia</w:t>
      </w:r>
      <w:r w:rsidR="00083739" w:rsidRPr="00083739">
        <w:rPr>
          <w:noProof/>
          <w:lang w:val="sk-SK"/>
        </w:rPr>
        <w:t xml:space="preserve"> v </w:t>
      </w:r>
      <w:r w:rsidRPr="00083739">
        <w:rPr>
          <w:noProof/>
          <w:lang w:val="sk-SK"/>
        </w:rPr>
        <w:t>súlade so svojimi politikami</w:t>
      </w:r>
      <w:r w:rsidR="00083739" w:rsidRPr="00083739">
        <w:rPr>
          <w:noProof/>
          <w:lang w:val="sk-SK"/>
        </w:rPr>
        <w:t xml:space="preserve"> a </w:t>
      </w:r>
      <w:r w:rsidRPr="00083739">
        <w:rPr>
          <w:noProof/>
          <w:lang w:val="sk-SK"/>
        </w:rPr>
        <w:t>postupmi nezávisle od vlády.</w:t>
      </w:r>
    </w:p>
    <w:p w14:paraId="26C4896D" w14:textId="30A901C0" w:rsidR="00083739" w:rsidRPr="00083739" w:rsidRDefault="00BF4125">
      <w:pPr>
        <w:pStyle w:val="P68B1DB1-LegalNumPar212"/>
        <w:numPr>
          <w:ilvl w:val="1"/>
          <w:numId w:val="95"/>
        </w:numPr>
        <w:jc w:val="both"/>
        <w:rPr>
          <w:noProof/>
          <w:lang w:val="sk-SK"/>
        </w:rPr>
      </w:pPr>
      <w:r w:rsidRPr="00083739">
        <w:rPr>
          <w:noProof/>
          <w:lang w:val="sk-SK"/>
        </w:rPr>
        <w:t>Povinnosť finančných sprostredkovateľov p</w:t>
      </w:r>
      <w:r w:rsidRPr="00083739">
        <w:rPr>
          <w:noProof/>
          <w:lang w:val="sk-SK"/>
        </w:rPr>
        <w:t>rijímať rozhodnutia</w:t>
      </w:r>
      <w:r w:rsidR="00083739" w:rsidRPr="00083739">
        <w:rPr>
          <w:noProof/>
          <w:lang w:val="sk-SK"/>
        </w:rPr>
        <w:t xml:space="preserve"> v </w:t>
      </w:r>
      <w:r w:rsidRPr="00083739">
        <w:rPr>
          <w:noProof/>
          <w:lang w:val="sk-SK"/>
        </w:rPr>
        <w:t xml:space="preserve">súlade </w:t>
      </w:r>
      <w:r w:rsidRPr="00083739">
        <w:rPr>
          <w:i/>
          <w:noProof/>
          <w:lang w:val="sk-SK"/>
        </w:rPr>
        <w:t>mutatis mutandis</w:t>
      </w:r>
      <w:r w:rsidR="00083739" w:rsidRPr="00083739">
        <w:rPr>
          <w:noProof/>
          <w:lang w:val="sk-SK"/>
        </w:rPr>
        <w:t xml:space="preserve"> s </w:t>
      </w:r>
      <w:r w:rsidRPr="00083739">
        <w:rPr>
          <w:noProof/>
          <w:lang w:val="sk-SK"/>
        </w:rPr>
        <w:t>požiadavkami investičnej politiky uvedenými vyššie</w:t>
      </w:r>
      <w:r w:rsidR="00083739" w:rsidRPr="00083739">
        <w:rPr>
          <w:noProof/>
          <w:lang w:val="sk-SK"/>
        </w:rPr>
        <w:t>.</w:t>
      </w:r>
    </w:p>
    <w:p w14:paraId="0E2E4DF2" w14:textId="763FC4CB" w:rsidR="002D49B0" w:rsidRPr="00083739" w:rsidRDefault="00BF4125">
      <w:pPr>
        <w:pStyle w:val="P68B1DB1-LegalNumPar212"/>
        <w:numPr>
          <w:ilvl w:val="1"/>
          <w:numId w:val="95"/>
        </w:numPr>
        <w:jc w:val="both"/>
        <w:rPr>
          <w:noProof/>
          <w:lang w:val="sk-SK"/>
        </w:rPr>
      </w:pPr>
      <w:r w:rsidRPr="00083739">
        <w:rPr>
          <w:noProof/>
          <w:lang w:val="sk-SK"/>
        </w:rPr>
        <w:t>Požiadavky na monitorovanie, audit</w:t>
      </w:r>
      <w:r w:rsidR="00083739" w:rsidRPr="00083739">
        <w:rPr>
          <w:noProof/>
          <w:lang w:val="sk-SK"/>
        </w:rPr>
        <w:t xml:space="preserve"> a </w:t>
      </w:r>
      <w:r w:rsidRPr="00083739">
        <w:rPr>
          <w:noProof/>
          <w:lang w:val="sk-SK"/>
        </w:rPr>
        <w:t>kontrolu finančných sprostredkovateľov vrátane:</w:t>
      </w:r>
    </w:p>
    <w:p w14:paraId="2170F5B6" w14:textId="43E17551" w:rsidR="002D49B0" w:rsidRPr="00083739" w:rsidRDefault="00BF4125">
      <w:pPr>
        <w:pStyle w:val="P68B1DB1-LegalNumPar212"/>
        <w:numPr>
          <w:ilvl w:val="2"/>
          <w:numId w:val="96"/>
        </w:numPr>
        <w:jc w:val="both"/>
        <w:rPr>
          <w:noProof/>
          <w:lang w:val="sk-SK"/>
        </w:rPr>
      </w:pPr>
      <w:r w:rsidRPr="00083739">
        <w:rPr>
          <w:noProof/>
          <w:lang w:val="sk-SK"/>
        </w:rPr>
        <w:t>Opis monitorovacieho systému finančných sprostredkovateľov na podávanie</w:t>
      </w:r>
      <w:r w:rsidRPr="00083739">
        <w:rPr>
          <w:noProof/>
          <w:lang w:val="sk-SK"/>
        </w:rPr>
        <w:t xml:space="preserve"> správ</w:t>
      </w:r>
      <w:r w:rsidR="00083739" w:rsidRPr="00083739">
        <w:rPr>
          <w:noProof/>
          <w:lang w:val="sk-SK"/>
        </w:rPr>
        <w:t xml:space="preserve"> o </w:t>
      </w:r>
      <w:r w:rsidRPr="00083739">
        <w:rPr>
          <w:noProof/>
          <w:lang w:val="sk-SK"/>
        </w:rPr>
        <w:t>mobilizovaných investíciách.</w:t>
      </w:r>
    </w:p>
    <w:p w14:paraId="09B34389" w14:textId="7799E137" w:rsidR="00083739" w:rsidRPr="00083739" w:rsidRDefault="00BF4125">
      <w:pPr>
        <w:pStyle w:val="P68B1DB1-LegalNumPar212"/>
        <w:numPr>
          <w:ilvl w:val="2"/>
          <w:numId w:val="96"/>
        </w:numPr>
        <w:jc w:val="both"/>
        <w:rPr>
          <w:noProof/>
          <w:lang w:val="sk-SK"/>
        </w:rPr>
      </w:pPr>
      <w:r w:rsidRPr="00083739">
        <w:rPr>
          <w:noProof/>
          <w:lang w:val="sk-SK"/>
        </w:rPr>
        <w:t>Opis postupov finančných sprostredkovateľov, ktorými sa zabezpečí predchádzanie podvodom, korupcii</w:t>
      </w:r>
      <w:r w:rsidR="00083739" w:rsidRPr="00083739">
        <w:rPr>
          <w:noProof/>
          <w:lang w:val="sk-SK"/>
        </w:rPr>
        <w:t xml:space="preserve"> a </w:t>
      </w:r>
      <w:r w:rsidRPr="00083739">
        <w:rPr>
          <w:noProof/>
          <w:lang w:val="sk-SK"/>
        </w:rPr>
        <w:t>konfliktom záujmov, ich odhaľovanie</w:t>
      </w:r>
      <w:r w:rsidR="00083739" w:rsidRPr="00083739">
        <w:rPr>
          <w:noProof/>
          <w:lang w:val="sk-SK"/>
        </w:rPr>
        <w:t xml:space="preserve"> a </w:t>
      </w:r>
      <w:r w:rsidRPr="00083739">
        <w:rPr>
          <w:noProof/>
          <w:lang w:val="sk-SK"/>
        </w:rPr>
        <w:t>náprava</w:t>
      </w:r>
      <w:r w:rsidR="00083739" w:rsidRPr="00083739">
        <w:rPr>
          <w:noProof/>
          <w:lang w:val="sk-SK"/>
        </w:rPr>
        <w:t>.</w:t>
      </w:r>
    </w:p>
    <w:p w14:paraId="5D1E7DA0" w14:textId="5D9EDD4E" w:rsidR="002D49B0" w:rsidRPr="00083739" w:rsidRDefault="00BF4125">
      <w:pPr>
        <w:pStyle w:val="P68B1DB1-LegalNumPar212"/>
        <w:numPr>
          <w:ilvl w:val="2"/>
          <w:numId w:val="96"/>
        </w:numPr>
        <w:jc w:val="both"/>
        <w:rPr>
          <w:noProof/>
          <w:lang w:val="sk-SK"/>
        </w:rPr>
      </w:pPr>
      <w:r w:rsidRPr="00083739">
        <w:rPr>
          <w:noProof/>
          <w:lang w:val="sk-SK"/>
        </w:rPr>
        <w:t>Povinnosť overiť oprávnenosť každej operácie</w:t>
      </w:r>
      <w:r w:rsidR="00083739" w:rsidRPr="00083739">
        <w:rPr>
          <w:noProof/>
          <w:lang w:val="sk-SK"/>
        </w:rPr>
        <w:t xml:space="preserve"> v </w:t>
      </w:r>
      <w:r w:rsidRPr="00083739">
        <w:rPr>
          <w:noProof/>
          <w:lang w:val="sk-SK"/>
        </w:rPr>
        <w:t>súlade</w:t>
      </w:r>
      <w:r w:rsidR="00083739" w:rsidRPr="00083739">
        <w:rPr>
          <w:noProof/>
          <w:lang w:val="sk-SK"/>
        </w:rPr>
        <w:t xml:space="preserve"> s </w:t>
      </w:r>
      <w:r w:rsidRPr="00083739">
        <w:rPr>
          <w:noProof/>
          <w:lang w:val="sk-SK"/>
        </w:rPr>
        <w:t>požiadavkami s</w:t>
      </w:r>
      <w:r w:rsidRPr="00083739">
        <w:rPr>
          <w:noProof/>
          <w:lang w:val="sk-SK"/>
        </w:rPr>
        <w:t>tanovenými vo vykonávacej dohode pred tým, ako sa zaviaže financovať operáciu.</w:t>
      </w:r>
    </w:p>
    <w:p w14:paraId="59C4F9AD" w14:textId="5514032F" w:rsidR="00083739" w:rsidRPr="00083739" w:rsidRDefault="00BF4125">
      <w:pPr>
        <w:pStyle w:val="P68B1DB1-LegalNumPar212"/>
        <w:numPr>
          <w:ilvl w:val="2"/>
          <w:numId w:val="96"/>
        </w:numPr>
        <w:jc w:val="both"/>
        <w:rPr>
          <w:noProof/>
          <w:lang w:val="sk-SK"/>
        </w:rPr>
      </w:pPr>
      <w:r w:rsidRPr="00083739">
        <w:rPr>
          <w:noProof/>
          <w:lang w:val="sk-SK"/>
        </w:rPr>
        <w:t>Povinnosť vykonávať ex post audity založené na riziku</w:t>
      </w:r>
      <w:r w:rsidR="00083739" w:rsidRPr="00083739">
        <w:rPr>
          <w:noProof/>
          <w:lang w:val="sk-SK"/>
        </w:rPr>
        <w:t xml:space="preserve"> v </w:t>
      </w:r>
      <w:r w:rsidRPr="00083739">
        <w:rPr>
          <w:noProof/>
          <w:lang w:val="sk-SK"/>
        </w:rPr>
        <w:t>súlade</w:t>
      </w:r>
      <w:r w:rsidR="00083739" w:rsidRPr="00083739">
        <w:rPr>
          <w:noProof/>
          <w:lang w:val="sk-SK"/>
        </w:rPr>
        <w:t xml:space="preserve"> s </w:t>
      </w:r>
      <w:r w:rsidRPr="00083739">
        <w:rPr>
          <w:noProof/>
          <w:lang w:val="sk-SK"/>
        </w:rPr>
        <w:t xml:space="preserve">plánom auditu finančných sprostredkovateľov. Týmito auditmi sa overia: I) že systémy kontroly sú účinné vrátane </w:t>
      </w:r>
      <w:r w:rsidRPr="00083739">
        <w:rPr>
          <w:noProof/>
          <w:lang w:val="sk-SK"/>
        </w:rPr>
        <w:t>odhaľovania podvodov, korupcie</w:t>
      </w:r>
      <w:r w:rsidR="00083739" w:rsidRPr="00083739">
        <w:rPr>
          <w:noProof/>
          <w:lang w:val="sk-SK"/>
        </w:rPr>
        <w:t xml:space="preserve"> a </w:t>
      </w:r>
      <w:r w:rsidRPr="00083739">
        <w:rPr>
          <w:noProof/>
          <w:lang w:val="sk-SK"/>
        </w:rPr>
        <w:t>konfliktu záujmov; II) súlad</w:t>
      </w:r>
      <w:r w:rsidR="00083739" w:rsidRPr="00083739">
        <w:rPr>
          <w:noProof/>
          <w:lang w:val="sk-SK"/>
        </w:rPr>
        <w:t xml:space="preserve"> s </w:t>
      </w:r>
      <w:r w:rsidRPr="00083739">
        <w:rPr>
          <w:noProof/>
          <w:lang w:val="sk-SK"/>
        </w:rPr>
        <w:t>požiadavkami na ciele</w:t>
      </w:r>
      <w:r w:rsidR="00083739" w:rsidRPr="00083739">
        <w:rPr>
          <w:noProof/>
          <w:lang w:val="sk-SK"/>
        </w:rPr>
        <w:t xml:space="preserve"> v </w:t>
      </w:r>
      <w:r w:rsidRPr="00083739">
        <w:rPr>
          <w:noProof/>
          <w:lang w:val="sk-SK"/>
        </w:rPr>
        <w:t>oblasti klímy;</w:t>
      </w:r>
      <w:r w:rsidR="00083739" w:rsidRPr="00083739">
        <w:rPr>
          <w:noProof/>
          <w:lang w:val="sk-SK"/>
        </w:rPr>
        <w:t xml:space="preserve"> a </w:t>
      </w:r>
      <w:r w:rsidRPr="00083739">
        <w:rPr>
          <w:noProof/>
          <w:lang w:val="sk-SK"/>
        </w:rPr>
        <w:t>iii) aby sa dodržala požiadavka, aby koneční príjemcovia nástroja nedostali podporu</w:t>
      </w:r>
      <w:r w:rsidR="00083739" w:rsidRPr="00083739">
        <w:rPr>
          <w:noProof/>
          <w:lang w:val="sk-SK"/>
        </w:rPr>
        <w:t xml:space="preserve"> z </w:t>
      </w:r>
      <w:r w:rsidRPr="00083739">
        <w:rPr>
          <w:noProof/>
          <w:lang w:val="sk-SK"/>
        </w:rPr>
        <w:t>iných nástrojov Únie na pokrytie rovnakých nákladov. Auditom sa t</w:t>
      </w:r>
      <w:r w:rsidRPr="00083739">
        <w:rPr>
          <w:noProof/>
          <w:lang w:val="sk-SK"/>
        </w:rPr>
        <w:t>akisto overí zákonnosť transakcií</w:t>
      </w:r>
      <w:r w:rsidR="00083739" w:rsidRPr="00083739">
        <w:rPr>
          <w:noProof/>
          <w:lang w:val="sk-SK"/>
        </w:rPr>
        <w:t xml:space="preserve"> a </w:t>
      </w:r>
      <w:r w:rsidRPr="00083739">
        <w:rPr>
          <w:noProof/>
          <w:lang w:val="sk-SK"/>
        </w:rPr>
        <w:t>dodržiavanie podmienok platných dohôd</w:t>
      </w:r>
      <w:r w:rsidR="00083739" w:rsidRPr="00083739">
        <w:rPr>
          <w:noProof/>
          <w:lang w:val="sk-SK"/>
        </w:rPr>
        <w:t>.</w:t>
      </w:r>
    </w:p>
    <w:p w14:paraId="5284CC3B" w14:textId="3D329D2F" w:rsidR="002D49B0" w:rsidRPr="00083739" w:rsidRDefault="00BF4125">
      <w:pPr>
        <w:pStyle w:val="NormalWeb"/>
        <w:rPr>
          <w:rFonts w:eastAsiaTheme="minorHAnsi"/>
          <w:noProof/>
          <w:lang w:val="sk-SK"/>
        </w:rPr>
      </w:pPr>
      <w:r w:rsidRPr="00083739">
        <w:rPr>
          <w:noProof/>
          <w:lang w:val="sk-SK"/>
        </w:rPr>
        <w:br w:type="page"/>
      </w:r>
    </w:p>
    <w:p w14:paraId="72F33F75" w14:textId="77777777" w:rsidR="002D49B0" w:rsidRPr="00083739" w:rsidRDefault="002D49B0">
      <w:pPr>
        <w:pStyle w:val="LegalNumPar2"/>
        <w:numPr>
          <w:ilvl w:val="0"/>
          <w:numId w:val="0"/>
        </w:numPr>
        <w:ind w:left="1069"/>
        <w:jc w:val="both"/>
        <w:rPr>
          <w:rFonts w:ascii="Times New Roman" w:hAnsi="Times New Roman" w:cs="Times New Roman"/>
          <w:noProof/>
          <w:sz w:val="24"/>
          <w:szCs w:val="24"/>
          <w:lang w:val="sk-SK"/>
        </w:rPr>
      </w:pPr>
    </w:p>
    <w:p w14:paraId="535C8789" w14:textId="28FA61A4" w:rsidR="002D49B0" w:rsidRPr="00083739" w:rsidRDefault="00BF4125">
      <w:pPr>
        <w:pStyle w:val="LegalNumPar"/>
        <w:jc w:val="both"/>
        <w:rPr>
          <w:rFonts w:ascii="Times New Roman" w:hAnsi="Times New Roman" w:cs="Times New Roman"/>
          <w:noProof/>
          <w:sz w:val="24"/>
          <w:szCs w:val="24"/>
          <w:lang w:val="sk-SK"/>
        </w:rPr>
      </w:pPr>
      <w:r w:rsidRPr="00083739">
        <w:rPr>
          <w:rStyle w:val="normaltextrun"/>
          <w:rFonts w:ascii="Times New Roman" w:hAnsi="Times New Roman" w:cs="Times New Roman"/>
          <w:noProof/>
          <w:sz w:val="24"/>
          <w:szCs w:val="24"/>
          <w:lang w:val="sk-SK"/>
        </w:rPr>
        <w:t>Požiadavky na investície</w:t>
      </w:r>
      <w:r w:rsidR="00083739" w:rsidRPr="00083739">
        <w:rPr>
          <w:rStyle w:val="normaltextrun"/>
          <w:rFonts w:ascii="Times New Roman" w:hAnsi="Times New Roman" w:cs="Times New Roman"/>
          <w:noProof/>
          <w:sz w:val="24"/>
          <w:szCs w:val="24"/>
          <w:lang w:val="sk-SK"/>
        </w:rPr>
        <w:t xml:space="preserve"> v </w:t>
      </w:r>
      <w:r w:rsidRPr="00083739">
        <w:rPr>
          <w:rStyle w:val="normaltextrun"/>
          <w:rFonts w:ascii="Times New Roman" w:hAnsi="Times New Roman" w:cs="Times New Roman"/>
          <w:noProof/>
          <w:sz w:val="24"/>
          <w:szCs w:val="24"/>
          <w:lang w:val="sk-SK"/>
        </w:rPr>
        <w:t>oblasti klímy realizované implementujúcim partnerom: najmenej 120 miliónov EUR</w:t>
      </w:r>
      <w:r w:rsidR="00083739" w:rsidRPr="00083739">
        <w:rPr>
          <w:rStyle w:val="normaltextrun"/>
          <w:rFonts w:ascii="Times New Roman" w:hAnsi="Times New Roman" w:cs="Times New Roman"/>
          <w:noProof/>
          <w:sz w:val="24"/>
          <w:szCs w:val="24"/>
          <w:lang w:val="sk-SK"/>
        </w:rPr>
        <w:t xml:space="preserve"> z </w:t>
      </w:r>
      <w:r w:rsidRPr="00083739">
        <w:rPr>
          <w:rStyle w:val="normaltextrun"/>
          <w:rFonts w:ascii="Times New Roman" w:hAnsi="Times New Roman" w:cs="Times New Roman"/>
          <w:noProof/>
          <w:sz w:val="24"/>
          <w:szCs w:val="24"/>
          <w:lang w:val="sk-SK"/>
        </w:rPr>
        <w:t>investícií</w:t>
      </w:r>
      <w:r w:rsidR="00083739" w:rsidRPr="00083739">
        <w:rPr>
          <w:rStyle w:val="normaltextrun"/>
          <w:rFonts w:ascii="Times New Roman" w:hAnsi="Times New Roman" w:cs="Times New Roman"/>
          <w:noProof/>
          <w:sz w:val="24"/>
          <w:szCs w:val="24"/>
          <w:lang w:val="sk-SK"/>
        </w:rPr>
        <w:t xml:space="preserve"> z </w:t>
      </w:r>
      <w:r w:rsidRPr="00083739">
        <w:rPr>
          <w:rStyle w:val="normaltextrun"/>
          <w:rFonts w:ascii="Times New Roman" w:hAnsi="Times New Roman" w:cs="Times New Roman"/>
          <w:noProof/>
          <w:sz w:val="24"/>
          <w:szCs w:val="24"/>
          <w:lang w:val="sk-SK"/>
        </w:rPr>
        <w:t>Mechanizmu na podporu obnovy</w:t>
      </w:r>
      <w:r w:rsidR="00083739" w:rsidRPr="00083739">
        <w:rPr>
          <w:rStyle w:val="normaltextrun"/>
          <w:rFonts w:ascii="Times New Roman" w:hAnsi="Times New Roman" w:cs="Times New Roman"/>
          <w:noProof/>
          <w:sz w:val="24"/>
          <w:szCs w:val="24"/>
          <w:lang w:val="sk-SK"/>
        </w:rPr>
        <w:t xml:space="preserve"> a </w:t>
      </w:r>
      <w:r w:rsidRPr="00083739">
        <w:rPr>
          <w:rStyle w:val="normaltextrun"/>
          <w:rFonts w:ascii="Times New Roman" w:hAnsi="Times New Roman" w:cs="Times New Roman"/>
          <w:noProof/>
          <w:sz w:val="24"/>
          <w:szCs w:val="24"/>
          <w:lang w:val="sk-SK"/>
        </w:rPr>
        <w:t>odolnosti do nástroja „mod</w:t>
      </w:r>
      <w:r w:rsidRPr="00083739">
        <w:rPr>
          <w:rStyle w:val="normaltextrun"/>
          <w:rFonts w:ascii="Times New Roman" w:hAnsi="Times New Roman" w:cs="Times New Roman"/>
          <w:noProof/>
          <w:sz w:val="24"/>
          <w:szCs w:val="24"/>
          <w:lang w:val="sk-SK"/>
        </w:rPr>
        <w:t>ernizácia mojej domácnosti“ prispeje</w:t>
      </w:r>
      <w:r w:rsidR="00083739" w:rsidRPr="00083739">
        <w:rPr>
          <w:rStyle w:val="normaltextrun"/>
          <w:rFonts w:ascii="Times New Roman" w:hAnsi="Times New Roman" w:cs="Times New Roman"/>
          <w:noProof/>
          <w:sz w:val="24"/>
          <w:szCs w:val="24"/>
          <w:lang w:val="sk-SK"/>
        </w:rPr>
        <w:t xml:space="preserve"> k </w:t>
      </w:r>
      <w:r w:rsidRPr="00083739">
        <w:rPr>
          <w:rStyle w:val="normaltextrun"/>
          <w:rFonts w:ascii="Times New Roman" w:hAnsi="Times New Roman" w:cs="Times New Roman"/>
          <w:noProof/>
          <w:sz w:val="24"/>
          <w:szCs w:val="24"/>
          <w:lang w:val="sk-SK"/>
        </w:rPr>
        <w:t>cieľom</w:t>
      </w:r>
      <w:r w:rsidR="00083739" w:rsidRPr="00083739">
        <w:rPr>
          <w:rStyle w:val="normaltextrun"/>
          <w:rFonts w:ascii="Times New Roman" w:hAnsi="Times New Roman" w:cs="Times New Roman"/>
          <w:noProof/>
          <w:sz w:val="24"/>
          <w:szCs w:val="24"/>
          <w:lang w:val="sk-SK"/>
        </w:rPr>
        <w:t xml:space="preserve"> v </w:t>
      </w:r>
      <w:r w:rsidRPr="00083739">
        <w:rPr>
          <w:rStyle w:val="normaltextrun"/>
          <w:rFonts w:ascii="Times New Roman" w:hAnsi="Times New Roman" w:cs="Times New Roman"/>
          <w:noProof/>
          <w:sz w:val="24"/>
          <w:szCs w:val="24"/>
          <w:lang w:val="sk-SK"/>
        </w:rPr>
        <w:t>oblasti zmeny klímy</w:t>
      </w:r>
      <w:r w:rsidR="00083739" w:rsidRPr="00083739">
        <w:rPr>
          <w:rStyle w:val="normaltextrun"/>
          <w:rFonts w:ascii="Times New Roman" w:hAnsi="Times New Roman" w:cs="Times New Roman"/>
          <w:noProof/>
          <w:sz w:val="24"/>
          <w:szCs w:val="24"/>
          <w:lang w:val="sk-SK"/>
        </w:rPr>
        <w:t xml:space="preserve"> v </w:t>
      </w:r>
      <w:r w:rsidRPr="00083739">
        <w:rPr>
          <w:rStyle w:val="normaltextrun"/>
          <w:rFonts w:ascii="Times New Roman" w:hAnsi="Times New Roman" w:cs="Times New Roman"/>
          <w:noProof/>
          <w:sz w:val="24"/>
          <w:szCs w:val="24"/>
          <w:lang w:val="sk-SK"/>
        </w:rPr>
        <w:t>súlade</w:t>
      </w:r>
      <w:r w:rsidR="00083739" w:rsidRPr="00083739">
        <w:rPr>
          <w:rStyle w:val="normaltextrun"/>
          <w:rFonts w:ascii="Times New Roman" w:hAnsi="Times New Roman" w:cs="Times New Roman"/>
          <w:noProof/>
          <w:sz w:val="24"/>
          <w:szCs w:val="24"/>
          <w:lang w:val="sk-SK"/>
        </w:rPr>
        <w:t xml:space="preserve"> s </w:t>
      </w:r>
      <w:r w:rsidRPr="00083739">
        <w:rPr>
          <w:rStyle w:val="normaltextrun"/>
          <w:rFonts w:ascii="Times New Roman" w:hAnsi="Times New Roman" w:cs="Times New Roman"/>
          <w:noProof/>
          <w:sz w:val="24"/>
          <w:szCs w:val="24"/>
          <w:lang w:val="sk-SK"/>
        </w:rPr>
        <w:t>prílohou VI</w:t>
      </w:r>
      <w:r w:rsidR="00083739" w:rsidRPr="00083739">
        <w:rPr>
          <w:rStyle w:val="normaltextrun"/>
          <w:rFonts w:ascii="Times New Roman" w:hAnsi="Times New Roman" w:cs="Times New Roman"/>
          <w:noProof/>
          <w:sz w:val="24"/>
          <w:szCs w:val="24"/>
          <w:lang w:val="sk-SK"/>
        </w:rPr>
        <w:t xml:space="preserve"> k </w:t>
      </w:r>
      <w:r w:rsidRPr="00083739">
        <w:rPr>
          <w:rStyle w:val="normaltextrun"/>
          <w:rFonts w:ascii="Times New Roman" w:hAnsi="Times New Roman" w:cs="Times New Roman"/>
          <w:noProof/>
          <w:sz w:val="24"/>
          <w:szCs w:val="24"/>
          <w:lang w:val="sk-SK"/>
        </w:rPr>
        <w:t>nariadeniu</w:t>
      </w:r>
      <w:r w:rsidR="00083739" w:rsidRPr="00083739">
        <w:rPr>
          <w:rStyle w:val="normaltextrun"/>
          <w:rFonts w:ascii="Times New Roman" w:hAnsi="Times New Roman" w:cs="Times New Roman"/>
          <w:noProof/>
          <w:sz w:val="24"/>
          <w:szCs w:val="24"/>
          <w:lang w:val="sk-SK"/>
        </w:rPr>
        <w:t xml:space="preserve"> o </w:t>
      </w:r>
      <w:r w:rsidRPr="00083739">
        <w:rPr>
          <w:rStyle w:val="normaltextrun"/>
          <w:rFonts w:ascii="Times New Roman" w:hAnsi="Times New Roman" w:cs="Times New Roman"/>
          <w:noProof/>
          <w:sz w:val="24"/>
          <w:szCs w:val="24"/>
          <w:lang w:val="sk-SK"/>
        </w:rPr>
        <w:t>Mechanizme na podporu obnovy</w:t>
      </w:r>
      <w:r w:rsidR="00083739" w:rsidRPr="00083739">
        <w:rPr>
          <w:rStyle w:val="normaltextrun"/>
          <w:rFonts w:ascii="Times New Roman" w:hAnsi="Times New Roman" w:cs="Times New Roman"/>
          <w:noProof/>
          <w:sz w:val="24"/>
          <w:szCs w:val="24"/>
          <w:lang w:val="sk-SK"/>
        </w:rPr>
        <w:t xml:space="preserve"> a </w:t>
      </w:r>
      <w:r w:rsidRPr="00083739">
        <w:rPr>
          <w:rStyle w:val="normaltextrun"/>
          <w:rFonts w:ascii="Times New Roman" w:hAnsi="Times New Roman" w:cs="Times New Roman"/>
          <w:noProof/>
          <w:sz w:val="24"/>
          <w:szCs w:val="24"/>
          <w:lang w:val="sk-SK"/>
        </w:rPr>
        <w:t>odolnosti</w:t>
      </w:r>
      <w:r w:rsidRPr="00083739">
        <w:rPr>
          <w:rStyle w:val="FootnoteReference"/>
          <w:rFonts w:ascii="Times New Roman" w:hAnsi="Times New Roman" w:cs="Times New Roman"/>
          <w:noProof/>
          <w:szCs w:val="24"/>
          <w:lang w:val="sk-SK"/>
        </w:rPr>
        <w:footnoteReference w:id="6"/>
      </w:r>
      <w:r w:rsidRPr="00083739">
        <w:rPr>
          <w:rFonts w:ascii="Times New Roman" w:hAnsi="Times New Roman" w:cs="Times New Roman"/>
          <w:noProof/>
          <w:sz w:val="24"/>
          <w:szCs w:val="24"/>
          <w:lang w:val="sk-SK"/>
        </w:rPr>
        <w:t>.</w:t>
      </w:r>
    </w:p>
    <w:p w14:paraId="5D6A2C48" w14:textId="48AD9CD1" w:rsidR="002D49B0" w:rsidRPr="00083739" w:rsidRDefault="00BF4125">
      <w:pPr>
        <w:pStyle w:val="P68B1DB1-Normal15"/>
        <w:spacing w:before="120" w:after="120" w:line="240" w:lineRule="auto"/>
        <w:jc w:val="both"/>
        <w:rPr>
          <w:b/>
          <w:noProof/>
          <w:lang w:val="sk-SK"/>
        </w:rPr>
      </w:pPr>
      <w:r w:rsidRPr="00083739">
        <w:rPr>
          <w:noProof/>
          <w:lang w:val="sk-SK"/>
        </w:rPr>
        <w:t>Vykonávanie opatrenia sa dokončí do 31</w:t>
      </w:r>
      <w:r w:rsidR="00083739" w:rsidRPr="00083739">
        <w:rPr>
          <w:noProof/>
          <w:lang w:val="sk-SK"/>
        </w:rPr>
        <w:t>. augusta</w:t>
      </w:r>
      <w:r w:rsidRPr="00083739">
        <w:rPr>
          <w:noProof/>
          <w:lang w:val="sk-SK"/>
        </w:rPr>
        <w:t xml:space="preserve"> 2026.</w:t>
      </w:r>
    </w:p>
    <w:p w14:paraId="2DE3A534" w14:textId="77777777" w:rsidR="002D49B0" w:rsidRPr="00083739" w:rsidRDefault="002D49B0">
      <w:pPr>
        <w:spacing w:after="160" w:line="259" w:lineRule="auto"/>
        <w:ind w:left="709"/>
        <w:contextualSpacing/>
        <w:jc w:val="both"/>
        <w:rPr>
          <w:rFonts w:ascii="Times New Roman" w:hAnsi="Times New Roman" w:cs="Times New Roman"/>
          <w:noProof/>
          <w:lang w:val="sk-SK"/>
        </w:rPr>
      </w:pPr>
    </w:p>
    <w:p w14:paraId="0CEC766F" w14:textId="77777777" w:rsidR="002D49B0" w:rsidRPr="00083739" w:rsidRDefault="002D49B0">
      <w:pPr>
        <w:spacing w:after="160" w:line="259" w:lineRule="auto"/>
        <w:ind w:left="709"/>
        <w:contextualSpacing/>
        <w:jc w:val="both"/>
        <w:rPr>
          <w:rFonts w:ascii="Times New Roman" w:hAnsi="Times New Roman" w:cs="Times New Roman"/>
          <w:noProof/>
          <w:lang w:val="sk-SK"/>
        </w:rPr>
        <w:sectPr w:rsidR="002D49B0" w:rsidRPr="00083739" w:rsidSect="008A4085">
          <w:headerReference w:type="even" r:id="rId55"/>
          <w:headerReference w:type="default" r:id="rId56"/>
          <w:footerReference w:type="even" r:id="rId57"/>
          <w:footerReference w:type="default" r:id="rId58"/>
          <w:headerReference w:type="first" r:id="rId59"/>
          <w:footerReference w:type="first" r:id="rId60"/>
          <w:pgSz w:w="11907" w:h="16839"/>
          <w:pgMar w:top="1134" w:right="1417" w:bottom="1134" w:left="1417" w:header="709" w:footer="326" w:gutter="0"/>
          <w:cols w:space="720"/>
          <w:docGrid w:linePitch="360"/>
        </w:sectPr>
      </w:pPr>
    </w:p>
    <w:p w14:paraId="3639797E" w14:textId="77777777" w:rsidR="00083739" w:rsidRPr="00083739" w:rsidRDefault="00BF4125">
      <w:pPr>
        <w:spacing w:before="120" w:after="120" w:line="240" w:lineRule="auto"/>
        <w:ind w:left="709"/>
        <w:jc w:val="both"/>
        <w:rPr>
          <w:rFonts w:ascii="Times New Roman" w:hAnsi="Times New Roman" w:cs="Times New Roman"/>
          <w:b/>
          <w:noProof/>
          <w:sz w:val="24"/>
          <w:u w:val="single"/>
          <w:lang w:val="sk-SK"/>
        </w:rPr>
      </w:pPr>
      <w:r w:rsidRPr="00083739">
        <w:rPr>
          <w:rFonts w:ascii="Times New Roman" w:hAnsi="Times New Roman" w:cs="Times New Roman"/>
          <w:b/>
          <w:noProof/>
          <w:sz w:val="24"/>
          <w:u w:val="single"/>
          <w:lang w:val="sk-SK"/>
        </w:rPr>
        <w:t xml:space="preserve">B.4. </w:t>
      </w:r>
      <w:r w:rsidRPr="00083739">
        <w:rPr>
          <w:rFonts w:ascii="Times New Roman" w:hAnsi="Times New Roman" w:cs="Times New Roman"/>
          <w:noProof/>
          <w:lang w:val="sk-SK"/>
        </w:rPr>
        <w:t xml:space="preserve"> </w:t>
      </w:r>
      <w:r w:rsidRPr="00083739">
        <w:rPr>
          <w:rFonts w:ascii="Times New Roman" w:hAnsi="Times New Roman" w:cs="Times New Roman"/>
          <w:b/>
          <w:noProof/>
          <w:sz w:val="24"/>
          <w:u w:val="single"/>
          <w:lang w:val="sk-SK"/>
        </w:rPr>
        <w:t>Míľniky, ciele, ukazovatele</w:t>
      </w:r>
      <w:r w:rsidR="00083739" w:rsidRPr="00083739">
        <w:rPr>
          <w:rFonts w:ascii="Times New Roman" w:hAnsi="Times New Roman" w:cs="Times New Roman"/>
          <w:b/>
          <w:noProof/>
          <w:sz w:val="24"/>
          <w:u w:val="single"/>
          <w:lang w:val="sk-SK"/>
        </w:rPr>
        <w:t xml:space="preserve"> a </w:t>
      </w:r>
      <w:r w:rsidRPr="00083739">
        <w:rPr>
          <w:rFonts w:ascii="Times New Roman" w:hAnsi="Times New Roman" w:cs="Times New Roman"/>
          <w:b/>
          <w:noProof/>
          <w:sz w:val="24"/>
          <w:u w:val="single"/>
          <w:lang w:val="sk-SK"/>
        </w:rPr>
        <w:t>harmonogram monitorovania</w:t>
      </w:r>
      <w:r w:rsidR="00083739" w:rsidRPr="00083739">
        <w:rPr>
          <w:rFonts w:ascii="Times New Roman" w:hAnsi="Times New Roman" w:cs="Times New Roman"/>
          <w:b/>
          <w:noProof/>
          <w:sz w:val="24"/>
          <w:u w:val="single"/>
          <w:lang w:val="sk-SK"/>
        </w:rPr>
        <w:t xml:space="preserve"> a </w:t>
      </w:r>
      <w:r w:rsidRPr="00083739">
        <w:rPr>
          <w:rFonts w:ascii="Times New Roman" w:hAnsi="Times New Roman" w:cs="Times New Roman"/>
          <w:b/>
          <w:noProof/>
          <w:sz w:val="24"/>
          <w:u w:val="single"/>
          <w:lang w:val="sk-SK"/>
        </w:rPr>
        <w:t>realizácie</w:t>
      </w:r>
      <w:r w:rsidR="00083739" w:rsidRPr="00083739">
        <w:rPr>
          <w:rFonts w:ascii="Times New Roman" w:hAnsi="Times New Roman" w:cs="Times New Roman"/>
          <w:b/>
          <w:noProof/>
          <w:sz w:val="24"/>
          <w:u w:val="single"/>
          <w:lang w:val="sk-SK"/>
        </w:rPr>
        <w:t xml:space="preserve"> v </w:t>
      </w:r>
      <w:r w:rsidRPr="00083739">
        <w:rPr>
          <w:rFonts w:ascii="Times New Roman" w:hAnsi="Times New Roman" w:cs="Times New Roman"/>
          <w:b/>
          <w:noProof/>
          <w:sz w:val="24"/>
          <w:u w:val="single"/>
          <w:lang w:val="sk-SK"/>
        </w:rPr>
        <w:t>súvislosti</w:t>
      </w:r>
      <w:r w:rsidR="00083739" w:rsidRPr="00083739">
        <w:rPr>
          <w:rFonts w:ascii="Times New Roman" w:hAnsi="Times New Roman" w:cs="Times New Roman"/>
          <w:b/>
          <w:noProof/>
          <w:sz w:val="24"/>
          <w:u w:val="single"/>
          <w:lang w:val="sk-SK"/>
        </w:rPr>
        <w:t xml:space="preserve"> s </w:t>
      </w:r>
      <w:r w:rsidRPr="00083739">
        <w:rPr>
          <w:rFonts w:ascii="Times New Roman" w:hAnsi="Times New Roman" w:cs="Times New Roman"/>
          <w:b/>
          <w:noProof/>
          <w:sz w:val="24"/>
          <w:u w:val="single"/>
          <w:lang w:val="sk-SK"/>
        </w:rPr>
        <w:t>úverom</w:t>
      </w:r>
    </w:p>
    <w:p w14:paraId="1199F843" w14:textId="41ECD879" w:rsidR="002D49B0" w:rsidRPr="00083739" w:rsidRDefault="00BF4125">
      <w:pPr>
        <w:pStyle w:val="P68B1DB1-Normal6"/>
        <w:keepNext/>
        <w:keepLines/>
        <w:spacing w:before="40" w:after="240" w:line="240" w:lineRule="auto"/>
        <w:jc w:val="both"/>
        <w:outlineLvl w:val="4"/>
        <w:rPr>
          <w:rFonts w:ascii="Times New Roman" w:eastAsia="Times New Roman" w:hAnsi="Times New Roman" w:cs="Times New Roman"/>
          <w:noProof/>
          <w:lang w:val="sk-SK"/>
        </w:rPr>
      </w:pPr>
      <w:r w:rsidRPr="00083739">
        <w:rPr>
          <w:rFonts w:ascii="Times New Roman" w:hAnsi="Times New Roman" w:cs="Times New Roman"/>
          <w:noProof/>
          <w:lang w:val="sk-SK"/>
        </w:rPr>
        <w:t>Program energetickej modernizácie „Zlepšiť môj domov“ (16401)</w:t>
      </w:r>
    </w:p>
    <w:tbl>
      <w:tblPr>
        <w:tblW w:w="15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559"/>
        <w:gridCol w:w="1134"/>
        <w:gridCol w:w="1276"/>
        <w:gridCol w:w="1278"/>
        <w:gridCol w:w="1200"/>
        <w:gridCol w:w="1080"/>
        <w:gridCol w:w="720"/>
        <w:gridCol w:w="960"/>
        <w:gridCol w:w="840"/>
        <w:gridCol w:w="4848"/>
      </w:tblGrid>
      <w:tr w:rsidR="002D49B0" w:rsidRPr="00083739" w14:paraId="145C01A9" w14:textId="77777777">
        <w:trPr>
          <w:trHeight w:val="810"/>
          <w:tblHeader/>
          <w:jc w:val="center"/>
        </w:trPr>
        <w:tc>
          <w:tcPr>
            <w:tcW w:w="988" w:type="dxa"/>
            <w:vMerge w:val="restart"/>
            <w:shd w:val="clear" w:color="auto" w:fill="BDD7EE"/>
            <w:vAlign w:val="center"/>
            <w:hideMark/>
          </w:tcPr>
          <w:p w14:paraId="5AD5D1D8" w14:textId="65A163C4" w:rsidR="002D49B0" w:rsidRPr="00083739" w:rsidRDefault="00BF4125">
            <w:pPr>
              <w:pStyle w:val="P68B1DB1-Normal16"/>
              <w:spacing w:after="0" w:line="240" w:lineRule="auto"/>
              <w:jc w:val="center"/>
              <w:rPr>
                <w:rFonts w:eastAsia="Times New Roman" w:cs="Times New Roman"/>
                <w:noProof/>
                <w:szCs w:val="20"/>
                <w:lang w:val="sk-SK"/>
              </w:rPr>
            </w:pPr>
            <w:r w:rsidRPr="00083739">
              <w:rPr>
                <w:rFonts w:cs="Times New Roman"/>
                <w:noProof/>
                <w:lang w:val="sk-SK"/>
              </w:rPr>
              <w:t>Nasledujúce. Č.</w:t>
            </w:r>
          </w:p>
        </w:tc>
        <w:tc>
          <w:tcPr>
            <w:tcW w:w="1559" w:type="dxa"/>
            <w:vMerge w:val="restart"/>
            <w:shd w:val="clear" w:color="auto" w:fill="BDD7EE"/>
            <w:vAlign w:val="center"/>
            <w:hideMark/>
          </w:tcPr>
          <w:p w14:paraId="57E02B73" w14:textId="77777777" w:rsidR="002D49B0" w:rsidRPr="00083739" w:rsidRDefault="00BF4125">
            <w:pPr>
              <w:pStyle w:val="P68B1DB1-Normal16"/>
              <w:spacing w:after="0" w:line="240" w:lineRule="auto"/>
              <w:jc w:val="center"/>
              <w:rPr>
                <w:rFonts w:eastAsia="Times New Roman" w:cs="Times New Roman"/>
                <w:noProof/>
                <w:szCs w:val="20"/>
                <w:lang w:val="sk-SK"/>
              </w:rPr>
            </w:pPr>
            <w:r w:rsidRPr="00083739">
              <w:rPr>
                <w:rFonts w:cs="Times New Roman"/>
                <w:noProof/>
                <w:lang w:val="sk-SK"/>
              </w:rPr>
              <w:t>Súvisiace opatrenie (reforma alebo investícia)</w:t>
            </w:r>
          </w:p>
        </w:tc>
        <w:tc>
          <w:tcPr>
            <w:tcW w:w="1134" w:type="dxa"/>
            <w:vMerge w:val="restart"/>
            <w:shd w:val="clear" w:color="auto" w:fill="BDD7EE"/>
            <w:vAlign w:val="center"/>
            <w:hideMark/>
          </w:tcPr>
          <w:p w14:paraId="4DEFCEC4" w14:textId="77777777" w:rsidR="002D49B0" w:rsidRPr="00083739" w:rsidRDefault="00BF4125">
            <w:pPr>
              <w:pStyle w:val="P68B1DB1-Normal16"/>
              <w:spacing w:after="0" w:line="240" w:lineRule="auto"/>
              <w:jc w:val="center"/>
              <w:rPr>
                <w:rFonts w:eastAsia="Times New Roman" w:cs="Times New Roman"/>
                <w:noProof/>
                <w:szCs w:val="20"/>
                <w:lang w:val="sk-SK"/>
              </w:rPr>
            </w:pPr>
            <w:r w:rsidRPr="00083739">
              <w:rPr>
                <w:rFonts w:cs="Times New Roman"/>
                <w:noProof/>
                <w:lang w:val="sk-SK"/>
              </w:rPr>
              <w:t>Míľnik/cie</w:t>
            </w:r>
            <w:r w:rsidRPr="00083739">
              <w:rPr>
                <w:rFonts w:cs="Times New Roman"/>
                <w:noProof/>
                <w:lang w:val="sk-SK"/>
              </w:rPr>
              <w:t>ľ</w:t>
            </w:r>
          </w:p>
        </w:tc>
        <w:tc>
          <w:tcPr>
            <w:tcW w:w="1276" w:type="dxa"/>
            <w:vMerge w:val="restart"/>
            <w:shd w:val="clear" w:color="auto" w:fill="BDD7EE"/>
            <w:vAlign w:val="center"/>
            <w:hideMark/>
          </w:tcPr>
          <w:p w14:paraId="03DC15F1" w14:textId="77777777" w:rsidR="002D49B0" w:rsidRPr="00083739" w:rsidRDefault="00BF4125">
            <w:pPr>
              <w:pStyle w:val="P68B1DB1-Normal16"/>
              <w:spacing w:after="0" w:line="240" w:lineRule="auto"/>
              <w:jc w:val="center"/>
              <w:rPr>
                <w:rFonts w:eastAsia="Times New Roman" w:cs="Times New Roman"/>
                <w:noProof/>
                <w:szCs w:val="20"/>
                <w:lang w:val="sk-SK"/>
              </w:rPr>
            </w:pPr>
            <w:r w:rsidRPr="00083739">
              <w:rPr>
                <w:rFonts w:cs="Times New Roman"/>
                <w:noProof/>
                <w:lang w:val="sk-SK"/>
              </w:rPr>
              <w:t>Názov</w:t>
            </w:r>
          </w:p>
        </w:tc>
        <w:tc>
          <w:tcPr>
            <w:tcW w:w="1278" w:type="dxa"/>
            <w:vMerge w:val="restart"/>
            <w:shd w:val="clear" w:color="auto" w:fill="BDD7EE"/>
            <w:vAlign w:val="center"/>
            <w:hideMark/>
          </w:tcPr>
          <w:p w14:paraId="2D425EC5" w14:textId="77777777" w:rsidR="002D49B0" w:rsidRPr="00083739" w:rsidRDefault="00BF4125">
            <w:pPr>
              <w:pStyle w:val="P68B1DB1-Normal16"/>
              <w:spacing w:after="0" w:line="240" w:lineRule="auto"/>
              <w:jc w:val="center"/>
              <w:rPr>
                <w:rFonts w:eastAsia="Times New Roman" w:cs="Times New Roman"/>
                <w:noProof/>
                <w:szCs w:val="20"/>
                <w:lang w:val="sk-SK"/>
              </w:rPr>
            </w:pPr>
            <w:r w:rsidRPr="00083739">
              <w:rPr>
                <w:rFonts w:cs="Times New Roman"/>
                <w:noProof/>
                <w:lang w:val="sk-SK"/>
              </w:rPr>
              <w:t>Kvalitatívne ukazovatele (pre míľniky)</w:t>
            </w:r>
          </w:p>
        </w:tc>
        <w:tc>
          <w:tcPr>
            <w:tcW w:w="3000" w:type="dxa"/>
            <w:gridSpan w:val="3"/>
            <w:shd w:val="clear" w:color="auto" w:fill="BDD7EE"/>
            <w:vAlign w:val="center"/>
            <w:hideMark/>
          </w:tcPr>
          <w:p w14:paraId="663A8973" w14:textId="77777777" w:rsidR="002D49B0" w:rsidRPr="00083739" w:rsidRDefault="00BF4125">
            <w:pPr>
              <w:pStyle w:val="P68B1DB1-Normal16"/>
              <w:spacing w:after="0" w:line="240" w:lineRule="auto"/>
              <w:jc w:val="center"/>
              <w:rPr>
                <w:rFonts w:eastAsia="Times New Roman" w:cs="Times New Roman"/>
                <w:noProof/>
                <w:szCs w:val="20"/>
                <w:lang w:val="sk-SK"/>
              </w:rPr>
            </w:pPr>
            <w:r w:rsidRPr="00083739">
              <w:rPr>
                <w:rFonts w:cs="Times New Roman"/>
                <w:noProof/>
                <w:lang w:val="sk-SK"/>
              </w:rPr>
              <w:t>Kvantitatívne ukazovatele (pre ciele)</w:t>
            </w:r>
          </w:p>
        </w:tc>
        <w:tc>
          <w:tcPr>
            <w:tcW w:w="1800" w:type="dxa"/>
            <w:gridSpan w:val="2"/>
            <w:shd w:val="clear" w:color="auto" w:fill="BDD7EE"/>
            <w:vAlign w:val="center"/>
            <w:hideMark/>
          </w:tcPr>
          <w:p w14:paraId="6EB7F178" w14:textId="77777777" w:rsidR="002D49B0" w:rsidRPr="00083739" w:rsidRDefault="00BF4125">
            <w:pPr>
              <w:pStyle w:val="P68B1DB1-Normal16"/>
              <w:spacing w:after="0" w:line="240" w:lineRule="auto"/>
              <w:jc w:val="center"/>
              <w:rPr>
                <w:rFonts w:eastAsia="Times New Roman" w:cs="Times New Roman"/>
                <w:noProof/>
                <w:szCs w:val="20"/>
                <w:lang w:val="sk-SK"/>
              </w:rPr>
            </w:pPr>
            <w:r w:rsidRPr="00083739">
              <w:rPr>
                <w:rFonts w:cs="Times New Roman"/>
                <w:noProof/>
                <w:lang w:val="sk-SK"/>
              </w:rPr>
              <w:t>Orientačný harmonogram dokončenia</w:t>
            </w:r>
          </w:p>
        </w:tc>
        <w:tc>
          <w:tcPr>
            <w:tcW w:w="4848" w:type="dxa"/>
            <w:vMerge w:val="restart"/>
            <w:shd w:val="clear" w:color="auto" w:fill="BDD7EE"/>
            <w:vAlign w:val="center"/>
            <w:hideMark/>
          </w:tcPr>
          <w:p w14:paraId="21B769A1" w14:textId="495378BB" w:rsidR="002D49B0" w:rsidRPr="00083739" w:rsidRDefault="00BF4125">
            <w:pPr>
              <w:pStyle w:val="P68B1DB1-Normal16"/>
              <w:spacing w:after="0" w:line="240" w:lineRule="auto"/>
              <w:jc w:val="center"/>
              <w:rPr>
                <w:rFonts w:eastAsia="Times New Roman" w:cs="Times New Roman"/>
                <w:noProof/>
                <w:szCs w:val="20"/>
                <w:lang w:val="sk-SK"/>
              </w:rPr>
            </w:pPr>
            <w:r w:rsidRPr="00083739">
              <w:rPr>
                <w:rFonts w:cs="Times New Roman"/>
                <w:noProof/>
                <w:lang w:val="sk-SK"/>
              </w:rPr>
              <w:t>Opis každého míľnika</w:t>
            </w:r>
            <w:r w:rsidR="00083739" w:rsidRPr="00083739">
              <w:rPr>
                <w:rFonts w:cs="Times New Roman"/>
                <w:noProof/>
                <w:lang w:val="sk-SK"/>
              </w:rPr>
              <w:t xml:space="preserve"> a </w:t>
            </w:r>
            <w:r w:rsidRPr="00083739">
              <w:rPr>
                <w:rFonts w:cs="Times New Roman"/>
                <w:noProof/>
                <w:lang w:val="sk-SK"/>
              </w:rPr>
              <w:t>cieľa</w:t>
            </w:r>
          </w:p>
        </w:tc>
      </w:tr>
      <w:tr w:rsidR="002D49B0" w:rsidRPr="00083739" w14:paraId="2392B254" w14:textId="77777777">
        <w:trPr>
          <w:trHeight w:val="581"/>
          <w:tblHeader/>
          <w:jc w:val="center"/>
        </w:trPr>
        <w:tc>
          <w:tcPr>
            <w:tcW w:w="988" w:type="dxa"/>
            <w:vMerge/>
            <w:vAlign w:val="center"/>
            <w:hideMark/>
          </w:tcPr>
          <w:p w14:paraId="28B85E67" w14:textId="77777777" w:rsidR="002D49B0" w:rsidRPr="00083739" w:rsidRDefault="002D49B0">
            <w:pPr>
              <w:spacing w:after="0" w:line="240" w:lineRule="auto"/>
              <w:rPr>
                <w:rFonts w:ascii="Times New Roman" w:eastAsia="Times New Roman" w:hAnsi="Times New Roman" w:cs="Times New Roman"/>
                <w:b/>
                <w:bCs/>
                <w:noProof/>
                <w:sz w:val="24"/>
                <w:szCs w:val="24"/>
                <w:lang w:val="sk-SK"/>
              </w:rPr>
            </w:pPr>
          </w:p>
        </w:tc>
        <w:tc>
          <w:tcPr>
            <w:tcW w:w="1559" w:type="dxa"/>
            <w:vMerge/>
            <w:vAlign w:val="center"/>
            <w:hideMark/>
          </w:tcPr>
          <w:p w14:paraId="440A5D20" w14:textId="77777777" w:rsidR="002D49B0" w:rsidRPr="00083739" w:rsidRDefault="002D49B0">
            <w:pPr>
              <w:spacing w:after="0" w:line="240" w:lineRule="auto"/>
              <w:rPr>
                <w:rFonts w:ascii="Times New Roman" w:eastAsia="Times New Roman" w:hAnsi="Times New Roman" w:cs="Times New Roman"/>
                <w:b/>
                <w:bCs/>
                <w:noProof/>
                <w:sz w:val="24"/>
                <w:szCs w:val="24"/>
                <w:lang w:val="sk-SK"/>
              </w:rPr>
            </w:pPr>
          </w:p>
        </w:tc>
        <w:tc>
          <w:tcPr>
            <w:tcW w:w="1134" w:type="dxa"/>
            <w:vMerge/>
            <w:vAlign w:val="center"/>
            <w:hideMark/>
          </w:tcPr>
          <w:p w14:paraId="5CA367F2" w14:textId="77777777" w:rsidR="002D49B0" w:rsidRPr="00083739" w:rsidRDefault="002D49B0">
            <w:pPr>
              <w:spacing w:after="0" w:line="240" w:lineRule="auto"/>
              <w:rPr>
                <w:rFonts w:ascii="Times New Roman" w:eastAsia="Times New Roman" w:hAnsi="Times New Roman" w:cs="Times New Roman"/>
                <w:b/>
                <w:bCs/>
                <w:noProof/>
                <w:sz w:val="24"/>
                <w:szCs w:val="24"/>
                <w:lang w:val="sk-SK"/>
              </w:rPr>
            </w:pPr>
          </w:p>
        </w:tc>
        <w:tc>
          <w:tcPr>
            <w:tcW w:w="1276" w:type="dxa"/>
            <w:vMerge/>
            <w:vAlign w:val="center"/>
            <w:hideMark/>
          </w:tcPr>
          <w:p w14:paraId="03D78828" w14:textId="77777777" w:rsidR="002D49B0" w:rsidRPr="00083739" w:rsidRDefault="002D49B0">
            <w:pPr>
              <w:spacing w:after="0" w:line="240" w:lineRule="auto"/>
              <w:rPr>
                <w:rFonts w:ascii="Times New Roman" w:eastAsia="Times New Roman" w:hAnsi="Times New Roman" w:cs="Times New Roman"/>
                <w:b/>
                <w:bCs/>
                <w:noProof/>
                <w:sz w:val="24"/>
                <w:szCs w:val="24"/>
                <w:lang w:val="sk-SK"/>
              </w:rPr>
            </w:pPr>
          </w:p>
        </w:tc>
        <w:tc>
          <w:tcPr>
            <w:tcW w:w="1278" w:type="dxa"/>
            <w:vMerge/>
            <w:vAlign w:val="center"/>
            <w:hideMark/>
          </w:tcPr>
          <w:p w14:paraId="7E8F26D1" w14:textId="77777777" w:rsidR="002D49B0" w:rsidRPr="00083739" w:rsidRDefault="002D49B0">
            <w:pPr>
              <w:spacing w:after="0" w:line="240" w:lineRule="auto"/>
              <w:rPr>
                <w:rFonts w:ascii="Times New Roman" w:eastAsia="Times New Roman" w:hAnsi="Times New Roman" w:cs="Times New Roman"/>
                <w:b/>
                <w:bCs/>
                <w:noProof/>
                <w:sz w:val="24"/>
                <w:szCs w:val="24"/>
                <w:lang w:val="sk-SK"/>
              </w:rPr>
            </w:pPr>
          </w:p>
        </w:tc>
        <w:tc>
          <w:tcPr>
            <w:tcW w:w="1200" w:type="dxa"/>
            <w:shd w:val="clear" w:color="auto" w:fill="BDD7EE"/>
            <w:vAlign w:val="center"/>
            <w:hideMark/>
          </w:tcPr>
          <w:p w14:paraId="54D11A48"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Merná jednotka</w:t>
            </w:r>
          </w:p>
        </w:tc>
        <w:tc>
          <w:tcPr>
            <w:tcW w:w="1080" w:type="dxa"/>
            <w:shd w:val="clear" w:color="auto" w:fill="BDD7EE"/>
            <w:vAlign w:val="center"/>
            <w:hideMark/>
          </w:tcPr>
          <w:p w14:paraId="74EA2DD2"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Základná</w:t>
            </w:r>
          </w:p>
        </w:tc>
        <w:tc>
          <w:tcPr>
            <w:tcW w:w="720" w:type="dxa"/>
            <w:shd w:val="clear" w:color="auto" w:fill="BDD7EE"/>
            <w:vAlign w:val="center"/>
            <w:hideMark/>
          </w:tcPr>
          <w:p w14:paraId="56ECC02F"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Cieľ</w:t>
            </w:r>
          </w:p>
        </w:tc>
        <w:tc>
          <w:tcPr>
            <w:tcW w:w="960" w:type="dxa"/>
            <w:shd w:val="clear" w:color="auto" w:fill="BDD7EE"/>
            <w:vAlign w:val="center"/>
            <w:hideMark/>
          </w:tcPr>
          <w:p w14:paraId="53959E52"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Štvrtina</w:t>
            </w:r>
          </w:p>
        </w:tc>
        <w:tc>
          <w:tcPr>
            <w:tcW w:w="840" w:type="dxa"/>
            <w:shd w:val="clear" w:color="auto" w:fill="BDD7EE"/>
            <w:vAlign w:val="center"/>
            <w:hideMark/>
          </w:tcPr>
          <w:p w14:paraId="2DE78210"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Rok</w:t>
            </w:r>
          </w:p>
        </w:tc>
        <w:tc>
          <w:tcPr>
            <w:tcW w:w="4848" w:type="dxa"/>
            <w:vMerge/>
            <w:vAlign w:val="center"/>
            <w:hideMark/>
          </w:tcPr>
          <w:p w14:paraId="25756439" w14:textId="77777777" w:rsidR="002D49B0" w:rsidRPr="00083739" w:rsidRDefault="002D49B0">
            <w:pPr>
              <w:spacing w:after="0" w:line="240" w:lineRule="auto"/>
              <w:rPr>
                <w:rFonts w:ascii="Times New Roman" w:eastAsia="Times New Roman" w:hAnsi="Times New Roman" w:cs="Times New Roman"/>
                <w:b/>
                <w:bCs/>
                <w:noProof/>
                <w:sz w:val="24"/>
                <w:szCs w:val="24"/>
                <w:lang w:val="sk-SK"/>
              </w:rPr>
            </w:pPr>
          </w:p>
        </w:tc>
      </w:tr>
      <w:tr w:rsidR="002D49B0" w:rsidRPr="00083739" w14:paraId="10359369" w14:textId="77777777">
        <w:trPr>
          <w:trHeight w:val="314"/>
          <w:jc w:val="center"/>
        </w:trPr>
        <w:tc>
          <w:tcPr>
            <w:tcW w:w="988" w:type="dxa"/>
            <w:shd w:val="clear" w:color="auto" w:fill="C6EFCE"/>
            <w:noWrap/>
          </w:tcPr>
          <w:p w14:paraId="1F80C8E6" w14:textId="5E4A209E" w:rsidR="002D49B0" w:rsidRPr="00083739" w:rsidRDefault="00BF4125">
            <w:pPr>
              <w:pStyle w:val="P68B1DB1-Normal9"/>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374</w:t>
            </w:r>
          </w:p>
        </w:tc>
        <w:tc>
          <w:tcPr>
            <w:tcW w:w="1559" w:type="dxa"/>
            <w:shd w:val="clear" w:color="auto" w:fill="C6EFCE"/>
            <w:noWrap/>
          </w:tcPr>
          <w:p w14:paraId="2AA7D17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2 – 1.2. Renovovať – 16401_ Program energetickej </w:t>
            </w:r>
            <w:r w:rsidRPr="00083739">
              <w:rPr>
                <w:rFonts w:ascii="Times New Roman" w:hAnsi="Times New Roman" w:cs="Times New Roman"/>
                <w:noProof/>
                <w:lang w:val="sk-SK"/>
              </w:rPr>
              <w:t>modernizácie „Zlepšiť môj domov“</w:t>
            </w:r>
          </w:p>
        </w:tc>
        <w:tc>
          <w:tcPr>
            <w:tcW w:w="1134" w:type="dxa"/>
            <w:shd w:val="clear" w:color="auto" w:fill="C6EFCE"/>
            <w:noWrap/>
          </w:tcPr>
          <w:p w14:paraId="031B4E4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276" w:type="dxa"/>
            <w:shd w:val="clear" w:color="auto" w:fill="C6EFCE"/>
            <w:noWrap/>
          </w:tcPr>
          <w:p w14:paraId="49977673" w14:textId="41BAD592"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Modernizácia Môj domov – vykonávacia dohoda medzi Helénskou rozvojovou bankou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ministerstvom financií</w:t>
            </w:r>
          </w:p>
        </w:tc>
        <w:tc>
          <w:tcPr>
            <w:tcW w:w="1278" w:type="dxa"/>
            <w:shd w:val="clear" w:color="auto" w:fill="C6EFCE"/>
            <w:noWrap/>
          </w:tcPr>
          <w:p w14:paraId="52A80680" w14:textId="789F176C"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Nadobudnutie platnosti vykonávacej dohody</w:t>
            </w:r>
          </w:p>
        </w:tc>
        <w:tc>
          <w:tcPr>
            <w:tcW w:w="1200" w:type="dxa"/>
            <w:shd w:val="clear" w:color="auto" w:fill="C6EFCE"/>
            <w:noWrap/>
          </w:tcPr>
          <w:p w14:paraId="130E3C7C" w14:textId="77777777" w:rsidR="002D49B0" w:rsidRPr="00083739" w:rsidRDefault="002D49B0">
            <w:pPr>
              <w:spacing w:after="0" w:line="240" w:lineRule="auto"/>
              <w:rPr>
                <w:rFonts w:ascii="Times New Roman" w:hAnsi="Times New Roman" w:cs="Times New Roman"/>
                <w:noProof/>
                <w:color w:val="006100"/>
                <w:sz w:val="18"/>
                <w:lang w:val="sk-SK"/>
              </w:rPr>
            </w:pPr>
          </w:p>
        </w:tc>
        <w:tc>
          <w:tcPr>
            <w:tcW w:w="1080" w:type="dxa"/>
            <w:shd w:val="clear" w:color="auto" w:fill="C6EFCE"/>
            <w:noWrap/>
          </w:tcPr>
          <w:p w14:paraId="24332EAD" w14:textId="77777777" w:rsidR="002D49B0" w:rsidRPr="00083739" w:rsidRDefault="002D49B0">
            <w:pPr>
              <w:spacing w:after="0" w:line="240" w:lineRule="auto"/>
              <w:rPr>
                <w:rFonts w:ascii="Times New Roman" w:hAnsi="Times New Roman" w:cs="Times New Roman"/>
                <w:noProof/>
                <w:color w:val="006100"/>
                <w:sz w:val="18"/>
                <w:lang w:val="sk-SK"/>
              </w:rPr>
            </w:pPr>
          </w:p>
        </w:tc>
        <w:tc>
          <w:tcPr>
            <w:tcW w:w="720" w:type="dxa"/>
            <w:shd w:val="clear" w:color="auto" w:fill="C6EFCE"/>
            <w:noWrap/>
          </w:tcPr>
          <w:p w14:paraId="5A925D37" w14:textId="77777777" w:rsidR="002D49B0" w:rsidRPr="00083739" w:rsidRDefault="002D49B0">
            <w:pPr>
              <w:spacing w:after="0" w:line="240" w:lineRule="auto"/>
              <w:rPr>
                <w:rFonts w:ascii="Times New Roman" w:hAnsi="Times New Roman" w:cs="Times New Roman"/>
                <w:noProof/>
                <w:color w:val="006100"/>
                <w:sz w:val="18"/>
                <w:lang w:val="sk-SK"/>
              </w:rPr>
            </w:pPr>
          </w:p>
        </w:tc>
        <w:tc>
          <w:tcPr>
            <w:tcW w:w="960" w:type="dxa"/>
            <w:shd w:val="clear" w:color="auto" w:fill="C6EFCE"/>
            <w:noWrap/>
          </w:tcPr>
          <w:p w14:paraId="3C0EF3ED" w14:textId="77777777"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ŠTVRTÝ ŠTVRŤROK</w:t>
            </w:r>
          </w:p>
        </w:tc>
        <w:tc>
          <w:tcPr>
            <w:tcW w:w="840" w:type="dxa"/>
            <w:shd w:val="clear" w:color="auto" w:fill="C6EFCE"/>
            <w:noWrap/>
          </w:tcPr>
          <w:p w14:paraId="24B0A8FC" w14:textId="77777777"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2024</w:t>
            </w:r>
          </w:p>
        </w:tc>
        <w:tc>
          <w:tcPr>
            <w:tcW w:w="4848" w:type="dxa"/>
            <w:shd w:val="clear" w:color="auto" w:fill="C6EFCE"/>
            <w:noWrap/>
          </w:tcPr>
          <w:p w14:paraId="284F95E1" w14:textId="4F21C0EE"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Nadobudnutie platnosti vykonávacej dohody.</w:t>
            </w:r>
          </w:p>
        </w:tc>
      </w:tr>
      <w:tr w:rsidR="002D49B0" w:rsidRPr="00083739" w14:paraId="5F424647" w14:textId="77777777">
        <w:trPr>
          <w:trHeight w:val="314"/>
          <w:jc w:val="center"/>
        </w:trPr>
        <w:tc>
          <w:tcPr>
            <w:tcW w:w="988" w:type="dxa"/>
            <w:shd w:val="clear" w:color="auto" w:fill="C6EFCE"/>
            <w:noWrap/>
            <w:hideMark/>
          </w:tcPr>
          <w:p w14:paraId="28CE16B1" w14:textId="768DDE50"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375</w:t>
            </w:r>
          </w:p>
        </w:tc>
        <w:tc>
          <w:tcPr>
            <w:tcW w:w="1559" w:type="dxa"/>
            <w:shd w:val="clear" w:color="auto" w:fill="C6EFCE"/>
            <w:noWrap/>
            <w:hideMark/>
          </w:tcPr>
          <w:p w14:paraId="054952F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 – 1.2. Renovovať – 16401_ Program energetickej modernizácie „Zlepšiť môj domov“</w:t>
            </w:r>
          </w:p>
        </w:tc>
        <w:tc>
          <w:tcPr>
            <w:tcW w:w="1134" w:type="dxa"/>
            <w:shd w:val="clear" w:color="auto" w:fill="C6EFCE"/>
            <w:noWrap/>
          </w:tcPr>
          <w:p w14:paraId="69011004" w14:textId="77777777" w:rsidR="002D49B0" w:rsidRPr="00083739" w:rsidRDefault="00BF4125">
            <w:pPr>
              <w:pStyle w:val="P68B1DB1-Normal17"/>
              <w:spacing w:after="0" w:line="240" w:lineRule="auto"/>
              <w:rPr>
                <w:rFonts w:ascii="Times New Roman" w:hAnsi="Times New Roman" w:cs="Times New Roman"/>
                <w:noProof/>
                <w:lang w:val="sk-SK"/>
              </w:rPr>
            </w:pPr>
            <w:r w:rsidRPr="00083739">
              <w:rPr>
                <w:rFonts w:ascii="Times New Roman" w:hAnsi="Times New Roman" w:cs="Times New Roman"/>
                <w:noProof/>
                <w:lang w:val="sk-SK"/>
              </w:rPr>
              <w:t>Cieľ</w:t>
            </w:r>
          </w:p>
        </w:tc>
        <w:tc>
          <w:tcPr>
            <w:tcW w:w="1276" w:type="dxa"/>
            <w:shd w:val="clear" w:color="auto" w:fill="C6EFCE"/>
            <w:noWrap/>
          </w:tcPr>
          <w:p w14:paraId="68D0696E" w14:textId="7EE5F2C5"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Modernizácia Môj domov – </w:t>
            </w:r>
            <w:r w:rsidRPr="00083739">
              <w:rPr>
                <w:rFonts w:ascii="Times New Roman" w:eastAsia="Times New Roman" w:hAnsi="Times New Roman" w:cs="Times New Roman"/>
                <w:noProof/>
                <w:szCs w:val="18"/>
                <w:lang w:val="sk-SK"/>
              </w:rPr>
              <w:t>právne dohody podpísané</w:t>
            </w:r>
            <w:r w:rsidR="00083739" w:rsidRPr="00083739">
              <w:rPr>
                <w:rFonts w:ascii="Times New Roman" w:eastAsia="Times New Roman" w:hAnsi="Times New Roman" w:cs="Times New Roman"/>
                <w:noProof/>
                <w:szCs w:val="18"/>
                <w:lang w:val="sk-SK"/>
              </w:rPr>
              <w:t xml:space="preserve"> s </w:t>
            </w:r>
            <w:r w:rsidRPr="00083739">
              <w:rPr>
                <w:rFonts w:ascii="Times New Roman" w:eastAsia="Times New Roman" w:hAnsi="Times New Roman" w:cs="Times New Roman"/>
                <w:noProof/>
                <w:szCs w:val="18"/>
                <w:lang w:val="sk-SK"/>
              </w:rPr>
              <w:t>konečnými príjemcami – 50</w:t>
            </w:r>
            <w:r w:rsidR="00083739" w:rsidRPr="00083739">
              <w:rPr>
                <w:rFonts w:ascii="Times New Roman" w:eastAsia="Times New Roman" w:hAnsi="Times New Roman" w:cs="Times New Roman"/>
                <w:noProof/>
                <w:szCs w:val="18"/>
                <w:lang w:val="sk-SK"/>
              </w:rPr>
              <w:t> %</w:t>
            </w:r>
          </w:p>
        </w:tc>
        <w:tc>
          <w:tcPr>
            <w:tcW w:w="1278" w:type="dxa"/>
            <w:shd w:val="clear" w:color="auto" w:fill="C6EFCE"/>
            <w:noWrap/>
          </w:tcPr>
          <w:p w14:paraId="1E698418"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200" w:type="dxa"/>
            <w:shd w:val="clear" w:color="auto" w:fill="C6EFCE"/>
            <w:noWrap/>
          </w:tcPr>
          <w:p w14:paraId="50FD4C1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Percentuálny podiel (%)</w:t>
            </w:r>
          </w:p>
        </w:tc>
        <w:tc>
          <w:tcPr>
            <w:tcW w:w="1080" w:type="dxa"/>
            <w:shd w:val="clear" w:color="auto" w:fill="C6EFCE"/>
            <w:noWrap/>
          </w:tcPr>
          <w:p w14:paraId="205D9B46" w14:textId="3F64354F"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0</w:t>
            </w:r>
            <w:r w:rsidR="00083739" w:rsidRPr="00083739">
              <w:rPr>
                <w:rFonts w:ascii="Times New Roman" w:hAnsi="Times New Roman" w:cs="Times New Roman"/>
                <w:noProof/>
                <w:lang w:val="sk-SK"/>
              </w:rPr>
              <w:t> %</w:t>
            </w:r>
          </w:p>
        </w:tc>
        <w:tc>
          <w:tcPr>
            <w:tcW w:w="720" w:type="dxa"/>
            <w:shd w:val="clear" w:color="auto" w:fill="C6EFCE"/>
            <w:noWrap/>
          </w:tcPr>
          <w:p w14:paraId="421AA2BF" w14:textId="681F374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50</w:t>
            </w:r>
            <w:r w:rsidR="00083739" w:rsidRPr="00083739">
              <w:rPr>
                <w:rFonts w:ascii="Times New Roman" w:hAnsi="Times New Roman" w:cs="Times New Roman"/>
                <w:noProof/>
                <w:lang w:val="sk-SK"/>
              </w:rPr>
              <w:t> %</w:t>
            </w:r>
          </w:p>
        </w:tc>
        <w:tc>
          <w:tcPr>
            <w:tcW w:w="960" w:type="dxa"/>
            <w:shd w:val="clear" w:color="auto" w:fill="C6EFCE"/>
            <w:noWrap/>
          </w:tcPr>
          <w:p w14:paraId="12E25CD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840" w:type="dxa"/>
            <w:shd w:val="clear" w:color="auto" w:fill="C6EFCE"/>
            <w:noWrap/>
          </w:tcPr>
          <w:p w14:paraId="110F993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4848" w:type="dxa"/>
            <w:shd w:val="clear" w:color="auto" w:fill="C6EFCE"/>
            <w:noWrap/>
          </w:tcPr>
          <w:p w14:paraId="1E74A96C" w14:textId="484F79E0" w:rsidR="002D49B0" w:rsidRPr="00083739" w:rsidRDefault="00BF4125">
            <w:pPr>
              <w:pStyle w:val="P68B1DB1-Normal9"/>
              <w:spacing w:line="240" w:lineRule="auto"/>
              <w:jc w:val="both"/>
              <w:rPr>
                <w:rFonts w:ascii="Times New Roman" w:hAnsi="Times New Roman" w:cs="Times New Roman"/>
                <w:noProof/>
                <w:lang w:val="sk-SK"/>
              </w:rPr>
            </w:pPr>
            <w:r w:rsidRPr="00083739">
              <w:rPr>
                <w:rFonts w:ascii="Times New Roman" w:hAnsi="Times New Roman" w:cs="Times New Roman"/>
                <w:noProof/>
                <w:lang w:val="sk-SK"/>
              </w:rPr>
              <w:t>Finanční sprostredkovatelia musia</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konečnými príjemcami uzavrieť právne dohody</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financovaní na sumu potrebnú na využitie aspoň 50</w:t>
            </w:r>
            <w:r w:rsidR="00083739" w:rsidRPr="00083739">
              <w:rPr>
                <w:rFonts w:ascii="Times New Roman" w:hAnsi="Times New Roman" w:cs="Times New Roman"/>
                <w:noProof/>
                <w:lang w:val="sk-SK"/>
              </w:rPr>
              <w:t> %</w:t>
            </w:r>
            <w:r w:rsidRPr="00083739">
              <w:rPr>
                <w:rFonts w:ascii="Times New Roman" w:hAnsi="Times New Roman" w:cs="Times New Roman"/>
                <w:noProof/>
                <w:lang w:val="sk-SK"/>
              </w:rPr>
              <w:t xml:space="preserve"> investícií Mechanizmu na podporu obnovy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odolnosti do mechanizmu (s prihliadnutím na poplatky za správu).</w:t>
            </w:r>
          </w:p>
          <w:p w14:paraId="7C9445AF" w14:textId="5E48B444"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Helénska rozvojová banka vypracuje správu,</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kto</w:t>
            </w:r>
            <w:r w:rsidRPr="00083739">
              <w:rPr>
                <w:rFonts w:ascii="Times New Roman" w:hAnsi="Times New Roman" w:cs="Times New Roman"/>
                <w:noProof/>
                <w:lang w:val="sk-SK"/>
              </w:rPr>
              <w:t>rej podrobne uvedie percentuálny podiel tohto financovania, ktoré prispieva</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plneniu cieľov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klímy,</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použitím metodiky uvedenej</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prílohe VI</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nariadeniu</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Mechanizme na podporu obnovy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odolnosti.</w:t>
            </w:r>
          </w:p>
        </w:tc>
      </w:tr>
      <w:tr w:rsidR="002D49B0" w:rsidRPr="00083739" w14:paraId="2B113F27" w14:textId="77777777">
        <w:trPr>
          <w:trHeight w:val="314"/>
          <w:jc w:val="center"/>
        </w:trPr>
        <w:tc>
          <w:tcPr>
            <w:tcW w:w="988" w:type="dxa"/>
            <w:shd w:val="clear" w:color="auto" w:fill="C6EFCE"/>
            <w:noWrap/>
          </w:tcPr>
          <w:p w14:paraId="0C8F0DCE" w14:textId="0C4DDC18"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376</w:t>
            </w:r>
          </w:p>
        </w:tc>
        <w:tc>
          <w:tcPr>
            <w:tcW w:w="1559" w:type="dxa"/>
            <w:shd w:val="clear" w:color="auto" w:fill="C6EFCE"/>
            <w:noWrap/>
          </w:tcPr>
          <w:p w14:paraId="67113C8C" w14:textId="77777777"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2 – 1.2. Renovovať</w:t>
            </w:r>
            <w:r w:rsidRPr="00083739">
              <w:rPr>
                <w:rFonts w:ascii="Times New Roman" w:hAnsi="Times New Roman" w:cs="Times New Roman"/>
                <w:noProof/>
                <w:lang w:val="sk-SK"/>
              </w:rPr>
              <w:t xml:space="preserve"> – 16401_ Program energetickej modernizácie „Zlepšiť môj domov“</w:t>
            </w:r>
          </w:p>
        </w:tc>
        <w:tc>
          <w:tcPr>
            <w:tcW w:w="1134" w:type="dxa"/>
            <w:shd w:val="clear" w:color="auto" w:fill="C6EFCE"/>
            <w:noWrap/>
          </w:tcPr>
          <w:p w14:paraId="1B4CC737" w14:textId="77777777" w:rsidR="002D49B0" w:rsidRPr="00083739" w:rsidRDefault="00BF4125">
            <w:pPr>
              <w:pStyle w:val="P68B1DB1-Normal17"/>
              <w:spacing w:after="0" w:line="240" w:lineRule="auto"/>
              <w:rPr>
                <w:rFonts w:ascii="Times New Roman" w:hAnsi="Times New Roman" w:cs="Times New Roman"/>
                <w:noProof/>
                <w:lang w:val="sk-SK"/>
              </w:rPr>
            </w:pPr>
            <w:r w:rsidRPr="00083739">
              <w:rPr>
                <w:rFonts w:ascii="Times New Roman" w:hAnsi="Times New Roman" w:cs="Times New Roman"/>
                <w:noProof/>
                <w:lang w:val="sk-SK"/>
              </w:rPr>
              <w:t>Cieľ</w:t>
            </w:r>
          </w:p>
        </w:tc>
        <w:tc>
          <w:tcPr>
            <w:tcW w:w="1276" w:type="dxa"/>
            <w:shd w:val="clear" w:color="auto" w:fill="C6EFCE"/>
            <w:noWrap/>
          </w:tcPr>
          <w:p w14:paraId="6B834239" w14:textId="1797BAC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Modernizácia Môj domov – </w:t>
            </w:r>
            <w:r w:rsidRPr="00083739">
              <w:rPr>
                <w:rFonts w:ascii="Times New Roman" w:eastAsia="Times New Roman" w:hAnsi="Times New Roman" w:cs="Times New Roman"/>
                <w:noProof/>
                <w:szCs w:val="18"/>
                <w:lang w:val="sk-SK"/>
              </w:rPr>
              <w:t>právne dohody podpísané</w:t>
            </w:r>
            <w:r w:rsidR="00083739" w:rsidRPr="00083739">
              <w:rPr>
                <w:rFonts w:ascii="Times New Roman" w:eastAsia="Times New Roman" w:hAnsi="Times New Roman" w:cs="Times New Roman"/>
                <w:noProof/>
                <w:szCs w:val="18"/>
                <w:lang w:val="sk-SK"/>
              </w:rPr>
              <w:t xml:space="preserve"> s </w:t>
            </w:r>
            <w:r w:rsidRPr="00083739">
              <w:rPr>
                <w:rFonts w:ascii="Times New Roman" w:eastAsia="Times New Roman" w:hAnsi="Times New Roman" w:cs="Times New Roman"/>
                <w:noProof/>
                <w:szCs w:val="18"/>
                <w:lang w:val="sk-SK"/>
              </w:rPr>
              <w:t>konečnými príjemcami – 100</w:t>
            </w:r>
            <w:r w:rsidR="00083739" w:rsidRPr="00083739">
              <w:rPr>
                <w:rFonts w:ascii="Times New Roman" w:eastAsia="Times New Roman" w:hAnsi="Times New Roman" w:cs="Times New Roman"/>
                <w:noProof/>
                <w:szCs w:val="18"/>
                <w:lang w:val="sk-SK"/>
              </w:rPr>
              <w:t> %</w:t>
            </w:r>
          </w:p>
        </w:tc>
        <w:tc>
          <w:tcPr>
            <w:tcW w:w="1278" w:type="dxa"/>
            <w:shd w:val="clear" w:color="auto" w:fill="C6EFCE"/>
            <w:noWrap/>
          </w:tcPr>
          <w:p w14:paraId="25907C38"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200" w:type="dxa"/>
            <w:shd w:val="clear" w:color="auto" w:fill="C6EFCE"/>
            <w:noWrap/>
          </w:tcPr>
          <w:p w14:paraId="32FA3F6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Percentuálny podiel (%)</w:t>
            </w:r>
          </w:p>
        </w:tc>
        <w:tc>
          <w:tcPr>
            <w:tcW w:w="1080" w:type="dxa"/>
            <w:shd w:val="clear" w:color="auto" w:fill="C6EFCE"/>
            <w:noWrap/>
          </w:tcPr>
          <w:p w14:paraId="455ED15E" w14:textId="1B1B233D"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50</w:t>
            </w:r>
            <w:r w:rsidR="00083739" w:rsidRPr="00083739">
              <w:rPr>
                <w:rFonts w:ascii="Times New Roman" w:hAnsi="Times New Roman" w:cs="Times New Roman"/>
                <w:noProof/>
                <w:lang w:val="sk-SK"/>
              </w:rPr>
              <w:t> %</w:t>
            </w:r>
          </w:p>
        </w:tc>
        <w:tc>
          <w:tcPr>
            <w:tcW w:w="720" w:type="dxa"/>
            <w:shd w:val="clear" w:color="auto" w:fill="C6EFCE"/>
            <w:noWrap/>
          </w:tcPr>
          <w:p w14:paraId="6192EE85" w14:textId="212BF1F9"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100</w:t>
            </w:r>
            <w:r w:rsidR="00083739" w:rsidRPr="00083739">
              <w:rPr>
                <w:rFonts w:ascii="Times New Roman" w:hAnsi="Times New Roman" w:cs="Times New Roman"/>
                <w:noProof/>
                <w:lang w:val="sk-SK"/>
              </w:rPr>
              <w:t> %</w:t>
            </w:r>
          </w:p>
        </w:tc>
        <w:tc>
          <w:tcPr>
            <w:tcW w:w="960" w:type="dxa"/>
            <w:shd w:val="clear" w:color="auto" w:fill="C6EFCE"/>
            <w:noWrap/>
          </w:tcPr>
          <w:p w14:paraId="5CD5495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840" w:type="dxa"/>
            <w:shd w:val="clear" w:color="auto" w:fill="C6EFCE"/>
            <w:noWrap/>
          </w:tcPr>
          <w:p w14:paraId="7D6AA2E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2026</w:t>
            </w:r>
          </w:p>
        </w:tc>
        <w:tc>
          <w:tcPr>
            <w:tcW w:w="4848" w:type="dxa"/>
            <w:shd w:val="clear" w:color="auto" w:fill="C6EFCE"/>
            <w:noWrap/>
          </w:tcPr>
          <w:p w14:paraId="58BD8569" w14:textId="3423F388" w:rsidR="00083739" w:rsidRPr="00083739" w:rsidRDefault="00BF4125">
            <w:pPr>
              <w:pStyle w:val="P68B1DB1-Normal9"/>
              <w:spacing w:line="240" w:lineRule="auto"/>
              <w:jc w:val="both"/>
              <w:rPr>
                <w:rFonts w:ascii="Times New Roman" w:hAnsi="Times New Roman" w:cs="Times New Roman"/>
                <w:noProof/>
                <w:lang w:val="sk-SK"/>
              </w:rPr>
            </w:pPr>
            <w:r w:rsidRPr="00083739">
              <w:rPr>
                <w:rFonts w:ascii="Times New Roman" w:hAnsi="Times New Roman" w:cs="Times New Roman"/>
                <w:noProof/>
                <w:lang w:val="sk-SK"/>
              </w:rPr>
              <w:t>Finanční sprostredkovatelia musia</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 xml:space="preserve">konečnými </w:t>
            </w:r>
            <w:r w:rsidRPr="00083739">
              <w:rPr>
                <w:rFonts w:ascii="Times New Roman" w:hAnsi="Times New Roman" w:cs="Times New Roman"/>
                <w:noProof/>
                <w:lang w:val="sk-SK"/>
              </w:rPr>
              <w:t>príjemcami uzavrieť právne dohody</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financovaní na sumu potrebnú na využitie 100</w:t>
            </w:r>
            <w:r w:rsidR="00083739" w:rsidRPr="00083739">
              <w:rPr>
                <w:rFonts w:ascii="Times New Roman" w:hAnsi="Times New Roman" w:cs="Times New Roman"/>
                <w:noProof/>
                <w:lang w:val="sk-SK"/>
              </w:rPr>
              <w:t> %</w:t>
            </w:r>
            <w:r w:rsidRPr="00083739">
              <w:rPr>
                <w:rFonts w:ascii="Times New Roman" w:hAnsi="Times New Roman" w:cs="Times New Roman"/>
                <w:noProof/>
                <w:lang w:val="sk-SK"/>
              </w:rPr>
              <w:t xml:space="preserve"> investícií Mechanizmu na podporu obnovy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odolnosti do mechanizmu (s prihliadnutím na poplatky za správu)</w:t>
            </w:r>
            <w:r w:rsidR="00083739" w:rsidRPr="00083739">
              <w:rPr>
                <w:rFonts w:ascii="Times New Roman" w:hAnsi="Times New Roman" w:cs="Times New Roman"/>
                <w:noProof/>
                <w:lang w:val="sk-SK"/>
              </w:rPr>
              <w:t>.</w:t>
            </w:r>
          </w:p>
          <w:p w14:paraId="454960BE" w14:textId="2BAB46A6"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Aspoň 40</w:t>
            </w:r>
            <w:r w:rsidR="00083739" w:rsidRPr="00083739">
              <w:rPr>
                <w:rFonts w:ascii="Times New Roman" w:hAnsi="Times New Roman" w:cs="Times New Roman"/>
                <w:noProof/>
                <w:lang w:val="sk-SK"/>
              </w:rPr>
              <w:t> %</w:t>
            </w:r>
            <w:r w:rsidRPr="00083739">
              <w:rPr>
                <w:rFonts w:ascii="Times New Roman" w:hAnsi="Times New Roman" w:cs="Times New Roman"/>
                <w:noProof/>
                <w:lang w:val="sk-SK"/>
              </w:rPr>
              <w:t xml:space="preserve"> tohto financovania prispeje</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plneniu cieľov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 xml:space="preserve">oblasti </w:t>
            </w:r>
            <w:r w:rsidRPr="00083739">
              <w:rPr>
                <w:rFonts w:ascii="Times New Roman" w:hAnsi="Times New Roman" w:cs="Times New Roman"/>
                <w:noProof/>
                <w:lang w:val="sk-SK"/>
              </w:rPr>
              <w:t>klímy pomocou metodiky uvedenej</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prílohe VI</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nariadeniu</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Mechanizme na podporu obnovy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odolnosti.</w:t>
            </w:r>
          </w:p>
        </w:tc>
      </w:tr>
      <w:tr w:rsidR="002D49B0" w:rsidRPr="00083739" w14:paraId="22B0A746" w14:textId="77777777">
        <w:trPr>
          <w:trHeight w:val="314"/>
          <w:jc w:val="center"/>
        </w:trPr>
        <w:tc>
          <w:tcPr>
            <w:tcW w:w="988" w:type="dxa"/>
            <w:shd w:val="clear" w:color="auto" w:fill="C6EFCE"/>
            <w:noWrap/>
          </w:tcPr>
          <w:p w14:paraId="4FB084BF" w14:textId="2FCA7B8C" w:rsidR="002D49B0" w:rsidRPr="00083739" w:rsidRDefault="00BF4125">
            <w:pPr>
              <w:pStyle w:val="P68B1DB1-Normal9"/>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377</w:t>
            </w:r>
          </w:p>
        </w:tc>
        <w:tc>
          <w:tcPr>
            <w:tcW w:w="1559" w:type="dxa"/>
            <w:shd w:val="clear" w:color="auto" w:fill="C6EFCE"/>
            <w:noWrap/>
          </w:tcPr>
          <w:p w14:paraId="41E17B76" w14:textId="77777777"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2 – 1.2. Renovovať – 16401_ Program energetickej modernizácie „Zlepšiť môj domov“</w:t>
            </w:r>
          </w:p>
        </w:tc>
        <w:tc>
          <w:tcPr>
            <w:tcW w:w="1134" w:type="dxa"/>
            <w:shd w:val="clear" w:color="auto" w:fill="C6EFCE"/>
            <w:noWrap/>
          </w:tcPr>
          <w:p w14:paraId="024A432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276" w:type="dxa"/>
            <w:shd w:val="clear" w:color="auto" w:fill="C6EFCE"/>
            <w:noWrap/>
          </w:tcPr>
          <w:p w14:paraId="75FFB8A3" w14:textId="2E75966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Modernizácia Môj domov – ministerstvo financií dokončilo </w:t>
            </w:r>
            <w:r w:rsidRPr="00083739">
              <w:rPr>
                <w:rFonts w:ascii="Times New Roman" w:hAnsi="Times New Roman" w:cs="Times New Roman"/>
                <w:noProof/>
                <w:lang w:val="sk-SK"/>
              </w:rPr>
              <w:t>investíciu</w:t>
            </w:r>
          </w:p>
        </w:tc>
        <w:tc>
          <w:tcPr>
            <w:tcW w:w="1278" w:type="dxa"/>
            <w:shd w:val="clear" w:color="auto" w:fill="C6EFCE"/>
            <w:noWrap/>
          </w:tcPr>
          <w:p w14:paraId="6E5B3442" w14:textId="1BCF86A6"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Osvedčenie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 xml:space="preserve">prevode </w:t>
            </w:r>
          </w:p>
        </w:tc>
        <w:tc>
          <w:tcPr>
            <w:tcW w:w="1200" w:type="dxa"/>
            <w:shd w:val="clear" w:color="auto" w:fill="C6EFCE"/>
            <w:noWrap/>
          </w:tcPr>
          <w:p w14:paraId="3BF0C03D"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80" w:type="dxa"/>
            <w:shd w:val="clear" w:color="auto" w:fill="C6EFCE"/>
            <w:noWrap/>
          </w:tcPr>
          <w:p w14:paraId="1E0BAC2B"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720" w:type="dxa"/>
            <w:shd w:val="clear" w:color="auto" w:fill="C6EFCE"/>
            <w:noWrap/>
          </w:tcPr>
          <w:p w14:paraId="40D8B674"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60" w:type="dxa"/>
            <w:shd w:val="clear" w:color="auto" w:fill="C6EFCE"/>
            <w:noWrap/>
          </w:tcPr>
          <w:p w14:paraId="54DC48E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840" w:type="dxa"/>
            <w:shd w:val="clear" w:color="auto" w:fill="C6EFCE"/>
            <w:noWrap/>
          </w:tcPr>
          <w:p w14:paraId="21E5615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2026</w:t>
            </w:r>
          </w:p>
        </w:tc>
        <w:tc>
          <w:tcPr>
            <w:tcW w:w="4848" w:type="dxa"/>
            <w:shd w:val="clear" w:color="auto" w:fill="C6EFCE"/>
            <w:noWrap/>
          </w:tcPr>
          <w:p w14:paraId="77D432E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Grécko prevedie 300 miliónov EUR do Helénskej rozvojovej banky na tento nástroj.</w:t>
            </w:r>
          </w:p>
        </w:tc>
      </w:tr>
    </w:tbl>
    <w:p w14:paraId="7923CE42" w14:textId="77777777" w:rsidR="002D49B0" w:rsidRPr="00083739" w:rsidRDefault="002D49B0">
      <w:pPr>
        <w:spacing w:before="120" w:after="120" w:line="240" w:lineRule="auto"/>
        <w:jc w:val="both"/>
        <w:rPr>
          <w:rFonts w:ascii="Times New Roman" w:hAnsi="Times New Roman" w:cs="Times New Roman"/>
          <w:noProof/>
          <w:sz w:val="24"/>
          <w:lang w:val="sk-SK"/>
        </w:rPr>
        <w:sectPr w:rsidR="002D49B0" w:rsidRPr="00083739" w:rsidSect="008A4085">
          <w:headerReference w:type="even" r:id="rId61"/>
          <w:headerReference w:type="default" r:id="rId62"/>
          <w:footerReference w:type="even" r:id="rId63"/>
          <w:footerReference w:type="default" r:id="rId64"/>
          <w:headerReference w:type="first" r:id="rId65"/>
          <w:footerReference w:type="first" r:id="rId66"/>
          <w:pgSz w:w="16839" w:h="11907" w:orient="landscape"/>
          <w:pgMar w:top="720" w:right="720" w:bottom="720" w:left="720" w:header="709" w:footer="75" w:gutter="0"/>
          <w:cols w:space="720"/>
          <w:docGrid w:linePitch="360"/>
        </w:sectPr>
      </w:pPr>
    </w:p>
    <w:p w14:paraId="6DAC9FA7" w14:textId="77777777" w:rsidR="002D49B0" w:rsidRPr="00083739" w:rsidRDefault="00BF4125">
      <w:pPr>
        <w:pStyle w:val="P68B1DB1-Normal2"/>
        <w:spacing w:before="120" w:after="120" w:line="240" w:lineRule="auto"/>
        <w:jc w:val="both"/>
        <w:outlineLvl w:val="3"/>
        <w:rPr>
          <w:rFonts w:cs="Times New Roman"/>
          <w:noProof/>
          <w:lang w:val="sk-SK"/>
        </w:rPr>
      </w:pPr>
      <w:r w:rsidRPr="00083739">
        <w:rPr>
          <w:rFonts w:cs="Times New Roman"/>
          <w:noProof/>
          <w:lang w:val="sk-SK"/>
        </w:rPr>
        <w:t>ZLOŽKA 1.3: NABÍJANIE A DOPĹŇANIE PALIVA</w:t>
      </w:r>
    </w:p>
    <w:p w14:paraId="19C148AA" w14:textId="7FCB467A" w:rsidR="00083739"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Zložka dobíjania</w:t>
      </w:r>
      <w:r w:rsidR="00083739" w:rsidRPr="00083739">
        <w:rPr>
          <w:rFonts w:cs="Times New Roman"/>
          <w:noProof/>
          <w:lang w:val="sk-SK"/>
        </w:rPr>
        <w:t xml:space="preserve"> a </w:t>
      </w:r>
      <w:r w:rsidRPr="00083739">
        <w:rPr>
          <w:rFonts w:cs="Times New Roman"/>
          <w:noProof/>
          <w:lang w:val="sk-SK"/>
        </w:rPr>
        <w:t>dopĺňania paliva gréckeho plánu obnovy</w:t>
      </w:r>
      <w:r w:rsidR="00083739" w:rsidRPr="00083739">
        <w:rPr>
          <w:rFonts w:cs="Times New Roman"/>
          <w:noProof/>
          <w:lang w:val="sk-SK"/>
        </w:rPr>
        <w:t xml:space="preserve"> a </w:t>
      </w:r>
      <w:r w:rsidRPr="00083739">
        <w:rPr>
          <w:rFonts w:cs="Times New Roman"/>
          <w:noProof/>
          <w:lang w:val="sk-SK"/>
        </w:rPr>
        <w:t>odolnosti zahŕňa cielené reformy</w:t>
      </w:r>
      <w:r w:rsidR="00083739" w:rsidRPr="00083739">
        <w:rPr>
          <w:rFonts w:cs="Times New Roman"/>
          <w:noProof/>
          <w:lang w:val="sk-SK"/>
        </w:rPr>
        <w:t xml:space="preserve"> a </w:t>
      </w:r>
      <w:r w:rsidRPr="00083739">
        <w:rPr>
          <w:rFonts w:cs="Times New Roman"/>
          <w:noProof/>
          <w:lang w:val="sk-SK"/>
        </w:rPr>
        <w:t>investície na zvýšenie udržateľnej mobility, posilnenie hospodárskeho rastu, vytváranie pracovných príležitostí</w:t>
      </w:r>
      <w:r w:rsidR="00083739" w:rsidRPr="00083739">
        <w:rPr>
          <w:rFonts w:cs="Times New Roman"/>
          <w:noProof/>
          <w:lang w:val="sk-SK"/>
        </w:rPr>
        <w:t xml:space="preserve"> a </w:t>
      </w:r>
      <w:r w:rsidRPr="00083739">
        <w:rPr>
          <w:rFonts w:cs="Times New Roman"/>
          <w:noProof/>
          <w:lang w:val="sk-SK"/>
        </w:rPr>
        <w:t>podporu sociálnej odolnosti. Opatrenia zahrnuté</w:t>
      </w:r>
      <w:r w:rsidR="00083739" w:rsidRPr="00083739">
        <w:rPr>
          <w:rFonts w:cs="Times New Roman"/>
          <w:noProof/>
          <w:lang w:val="sk-SK"/>
        </w:rPr>
        <w:t xml:space="preserve"> v </w:t>
      </w:r>
      <w:r w:rsidRPr="00083739">
        <w:rPr>
          <w:rFonts w:cs="Times New Roman"/>
          <w:noProof/>
          <w:lang w:val="sk-SK"/>
        </w:rPr>
        <w:t>tomto kompone</w:t>
      </w:r>
      <w:r w:rsidRPr="00083739">
        <w:rPr>
          <w:rFonts w:cs="Times New Roman"/>
          <w:noProof/>
          <w:lang w:val="sk-SK"/>
        </w:rPr>
        <w:t>nte sú spojené</w:t>
      </w:r>
      <w:r w:rsidR="00083739" w:rsidRPr="00083739">
        <w:rPr>
          <w:rFonts w:cs="Times New Roman"/>
          <w:noProof/>
          <w:lang w:val="sk-SK"/>
        </w:rPr>
        <w:t xml:space="preserve"> s </w:t>
      </w:r>
      <w:r w:rsidRPr="00083739">
        <w:rPr>
          <w:rFonts w:cs="Times New Roman"/>
          <w:noProof/>
          <w:lang w:val="sk-SK"/>
        </w:rPr>
        <w:t>celoštátnou stratégiou udržateľnej mobility, čím sa podporuje vykonávanie národného energetického</w:t>
      </w:r>
      <w:r w:rsidR="00083739" w:rsidRPr="00083739">
        <w:rPr>
          <w:rFonts w:cs="Times New Roman"/>
          <w:noProof/>
          <w:lang w:val="sk-SK"/>
        </w:rPr>
        <w:t xml:space="preserve"> a </w:t>
      </w:r>
      <w:r w:rsidRPr="00083739">
        <w:rPr>
          <w:rFonts w:cs="Times New Roman"/>
          <w:noProof/>
          <w:lang w:val="sk-SK"/>
        </w:rPr>
        <w:t>klimatického plánu (NEKP). Prispievajú aj</w:t>
      </w:r>
      <w:r w:rsidR="00083739" w:rsidRPr="00083739">
        <w:rPr>
          <w:rFonts w:cs="Times New Roman"/>
          <w:noProof/>
          <w:lang w:val="sk-SK"/>
        </w:rPr>
        <w:t xml:space="preserve"> k </w:t>
      </w:r>
      <w:r w:rsidRPr="00083739">
        <w:rPr>
          <w:rFonts w:cs="Times New Roman"/>
          <w:noProof/>
          <w:lang w:val="sk-SK"/>
        </w:rPr>
        <w:t>zelenej transformácii poskytovaním podpory podnikom, ktoré vykonávajú operácie súvisiace</w:t>
      </w:r>
      <w:r w:rsidR="00083739" w:rsidRPr="00083739">
        <w:rPr>
          <w:rFonts w:cs="Times New Roman"/>
          <w:noProof/>
          <w:lang w:val="sk-SK"/>
        </w:rPr>
        <w:t xml:space="preserve"> s </w:t>
      </w:r>
      <w:r w:rsidRPr="00083739">
        <w:rPr>
          <w:rFonts w:cs="Times New Roman"/>
          <w:noProof/>
          <w:lang w:val="sk-SK"/>
        </w:rPr>
        <w:t>nízk</w:t>
      </w:r>
      <w:r w:rsidRPr="00083739">
        <w:rPr>
          <w:rFonts w:cs="Times New Roman"/>
          <w:noProof/>
          <w:lang w:val="sk-SK"/>
        </w:rPr>
        <w:t>ouhlíkovým hospodárstvom</w:t>
      </w:r>
      <w:r w:rsidR="00083739" w:rsidRPr="00083739">
        <w:rPr>
          <w:rFonts w:cs="Times New Roman"/>
          <w:noProof/>
          <w:lang w:val="sk-SK"/>
        </w:rPr>
        <w:t xml:space="preserve"> a </w:t>
      </w:r>
      <w:r w:rsidRPr="00083739">
        <w:rPr>
          <w:rFonts w:cs="Times New Roman"/>
          <w:noProof/>
          <w:lang w:val="sk-SK"/>
        </w:rPr>
        <w:t>odolnosťou proti zmene klímy. Komponent ďalej zahŕňa reformy na podporu inštalácie infraštruktúry elektromobility</w:t>
      </w:r>
      <w:r w:rsidR="00083739" w:rsidRPr="00083739">
        <w:rPr>
          <w:rFonts w:cs="Times New Roman"/>
          <w:noProof/>
          <w:lang w:val="sk-SK"/>
        </w:rPr>
        <w:t xml:space="preserve"> a </w:t>
      </w:r>
      <w:r w:rsidRPr="00083739">
        <w:rPr>
          <w:rFonts w:cs="Times New Roman"/>
          <w:noProof/>
          <w:lang w:val="sk-SK"/>
        </w:rPr>
        <w:t>revíziu služieb verejnej mestskej</w:t>
      </w:r>
      <w:r w:rsidR="00083739" w:rsidRPr="00083739">
        <w:rPr>
          <w:rFonts w:cs="Times New Roman"/>
          <w:noProof/>
          <w:lang w:val="sk-SK"/>
        </w:rPr>
        <w:t xml:space="preserve"> a </w:t>
      </w:r>
      <w:r w:rsidRPr="00083739">
        <w:rPr>
          <w:rFonts w:cs="Times New Roman"/>
          <w:noProof/>
          <w:lang w:val="sk-SK"/>
        </w:rPr>
        <w:t>regionálnej osobnej dopravy. Komponent zahŕňa aj investície na podporu rozvoj</w:t>
      </w:r>
      <w:r w:rsidRPr="00083739">
        <w:rPr>
          <w:rFonts w:cs="Times New Roman"/>
          <w:noProof/>
          <w:lang w:val="sk-SK"/>
        </w:rPr>
        <w:t>a výrobnej kapacity dodávok súvisiacich</w:t>
      </w:r>
      <w:r w:rsidR="00083739" w:rsidRPr="00083739">
        <w:rPr>
          <w:rFonts w:cs="Times New Roman"/>
          <w:noProof/>
          <w:lang w:val="sk-SK"/>
        </w:rPr>
        <w:t xml:space="preserve"> s </w:t>
      </w:r>
      <w:r w:rsidRPr="00083739">
        <w:rPr>
          <w:rFonts w:cs="Times New Roman"/>
          <w:noProof/>
          <w:lang w:val="sk-SK"/>
        </w:rPr>
        <w:t>elektromobilitou</w:t>
      </w:r>
      <w:r w:rsidR="00083739" w:rsidRPr="00083739">
        <w:rPr>
          <w:rFonts w:cs="Times New Roman"/>
          <w:noProof/>
          <w:lang w:val="sk-SK"/>
        </w:rPr>
        <w:t xml:space="preserve"> a </w:t>
      </w:r>
      <w:r w:rsidRPr="00083739">
        <w:rPr>
          <w:rFonts w:cs="Times New Roman"/>
          <w:noProof/>
          <w:lang w:val="sk-SK"/>
        </w:rPr>
        <w:t>nahrádzaním autobusov</w:t>
      </w:r>
      <w:r w:rsidR="00083739" w:rsidRPr="00083739">
        <w:rPr>
          <w:rFonts w:cs="Times New Roman"/>
          <w:noProof/>
          <w:lang w:val="sk-SK"/>
        </w:rPr>
        <w:t xml:space="preserve"> a </w:t>
      </w:r>
      <w:r w:rsidRPr="00083739">
        <w:rPr>
          <w:rFonts w:cs="Times New Roman"/>
          <w:noProof/>
          <w:lang w:val="sk-SK"/>
        </w:rPr>
        <w:t>taxíkov batériovými elektrickými vozidlami</w:t>
      </w:r>
      <w:r w:rsidR="00083739" w:rsidRPr="00083739">
        <w:rPr>
          <w:rFonts w:cs="Times New Roman"/>
          <w:noProof/>
          <w:lang w:val="sk-SK"/>
        </w:rPr>
        <w:t>.</w:t>
      </w:r>
    </w:p>
    <w:p w14:paraId="48DD23A4" w14:textId="345C0774"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Komponent podporuje riešenie odporúčania pre danú krajinu č. 3</w:t>
      </w:r>
      <w:r w:rsidR="00083739" w:rsidRPr="00083739">
        <w:rPr>
          <w:rFonts w:cs="Times New Roman"/>
          <w:noProof/>
          <w:lang w:val="sk-SK"/>
        </w:rPr>
        <w:t xml:space="preserve"> z </w:t>
      </w:r>
      <w:r w:rsidRPr="00083739">
        <w:rPr>
          <w:rFonts w:cs="Times New Roman"/>
          <w:noProof/>
          <w:lang w:val="sk-SK"/>
        </w:rPr>
        <w:t>roku 2020</w:t>
      </w:r>
      <w:r w:rsidR="00083739" w:rsidRPr="00083739">
        <w:rPr>
          <w:rFonts w:cs="Times New Roman"/>
          <w:noProof/>
          <w:lang w:val="sk-SK"/>
        </w:rPr>
        <w:t xml:space="preserve"> a </w:t>
      </w:r>
      <w:r w:rsidRPr="00083739">
        <w:rPr>
          <w:rFonts w:cs="Times New Roman"/>
          <w:noProof/>
          <w:lang w:val="sk-SK"/>
        </w:rPr>
        <w:t>odporúčania pre danú krajinu č. 2</w:t>
      </w:r>
      <w:r w:rsidR="00083739" w:rsidRPr="00083739">
        <w:rPr>
          <w:rFonts w:cs="Times New Roman"/>
          <w:noProof/>
          <w:lang w:val="sk-SK"/>
        </w:rPr>
        <w:t xml:space="preserve"> z </w:t>
      </w:r>
      <w:r w:rsidRPr="00083739">
        <w:rPr>
          <w:rFonts w:cs="Times New Roman"/>
          <w:noProof/>
          <w:lang w:val="sk-SK"/>
        </w:rPr>
        <w:t>roku 2019</w:t>
      </w:r>
      <w:r w:rsidR="00083739" w:rsidRPr="00083739">
        <w:rPr>
          <w:rFonts w:cs="Times New Roman"/>
          <w:noProof/>
          <w:lang w:val="sk-SK"/>
        </w:rPr>
        <w:t xml:space="preserve"> o </w:t>
      </w:r>
      <w:r w:rsidRPr="00083739">
        <w:rPr>
          <w:rFonts w:cs="Times New Roman"/>
          <w:noProof/>
          <w:lang w:val="sk-SK"/>
        </w:rPr>
        <w:t>ve</w:t>
      </w:r>
      <w:r w:rsidRPr="00083739">
        <w:rPr>
          <w:rFonts w:cs="Times New Roman"/>
          <w:noProof/>
          <w:lang w:val="sk-SK"/>
        </w:rPr>
        <w:t>rejných</w:t>
      </w:r>
      <w:r w:rsidR="00083739" w:rsidRPr="00083739">
        <w:rPr>
          <w:rFonts w:cs="Times New Roman"/>
          <w:noProof/>
          <w:lang w:val="sk-SK"/>
        </w:rPr>
        <w:t xml:space="preserve"> a </w:t>
      </w:r>
      <w:r w:rsidRPr="00083739">
        <w:rPr>
          <w:rFonts w:cs="Times New Roman"/>
          <w:noProof/>
          <w:lang w:val="sk-SK"/>
        </w:rPr>
        <w:t>súkromných investíciách. Očakáva sa, že žiadne opatrenie</w:t>
      </w:r>
      <w:r w:rsidR="00083739" w:rsidRPr="00083739">
        <w:rPr>
          <w:rFonts w:cs="Times New Roman"/>
          <w:noProof/>
          <w:lang w:val="sk-SK"/>
        </w:rPr>
        <w:t xml:space="preserve"> v </w:t>
      </w:r>
      <w:r w:rsidRPr="00083739">
        <w:rPr>
          <w:rFonts w:cs="Times New Roman"/>
          <w:noProof/>
          <w:lang w:val="sk-SK"/>
        </w:rPr>
        <w:t>tomto komponente výrazne nenaruší environmentálne ciele</w:t>
      </w:r>
      <w:r w:rsidR="00083739" w:rsidRPr="00083739">
        <w:rPr>
          <w:rFonts w:cs="Times New Roman"/>
          <w:noProof/>
          <w:lang w:val="sk-SK"/>
        </w:rPr>
        <w:t xml:space="preserve"> v </w:t>
      </w:r>
      <w:r w:rsidRPr="00083739">
        <w:rPr>
          <w:rFonts w:cs="Times New Roman"/>
          <w:noProof/>
          <w:lang w:val="sk-SK"/>
        </w:rPr>
        <w:t>zmysle článku 17 nariadenia (EÚ) 2020/852, pričom sa zohľadní opis opatrení</w:t>
      </w:r>
      <w:r w:rsidR="00083739" w:rsidRPr="00083739">
        <w:rPr>
          <w:rFonts w:cs="Times New Roman"/>
          <w:noProof/>
          <w:lang w:val="sk-SK"/>
        </w:rPr>
        <w:t xml:space="preserve"> a </w:t>
      </w:r>
      <w:r w:rsidRPr="00083739">
        <w:rPr>
          <w:rFonts w:cs="Times New Roman"/>
          <w:noProof/>
          <w:lang w:val="sk-SK"/>
        </w:rPr>
        <w:t>zmierňujúcich krokov stanovených</w:t>
      </w:r>
      <w:r w:rsidR="00083739" w:rsidRPr="00083739">
        <w:rPr>
          <w:rFonts w:cs="Times New Roman"/>
          <w:noProof/>
          <w:lang w:val="sk-SK"/>
        </w:rPr>
        <w:t xml:space="preserve"> v </w:t>
      </w:r>
      <w:r w:rsidRPr="00083739">
        <w:rPr>
          <w:rFonts w:cs="Times New Roman"/>
          <w:noProof/>
          <w:lang w:val="sk-SK"/>
        </w:rPr>
        <w:t>pláne podpory ob</w:t>
      </w:r>
      <w:r w:rsidRPr="00083739">
        <w:rPr>
          <w:rFonts w:cs="Times New Roman"/>
          <w:noProof/>
          <w:lang w:val="sk-SK"/>
        </w:rPr>
        <w:t>novy</w:t>
      </w:r>
      <w:r w:rsidR="00083739" w:rsidRPr="00083739">
        <w:rPr>
          <w:rFonts w:cs="Times New Roman"/>
          <w:noProof/>
          <w:lang w:val="sk-SK"/>
        </w:rPr>
        <w:t xml:space="preserve"> a </w:t>
      </w:r>
      <w:r w:rsidRPr="00083739">
        <w:rPr>
          <w:rFonts w:cs="Times New Roman"/>
          <w:noProof/>
          <w:lang w:val="sk-SK"/>
        </w:rPr>
        <w:t>odolnosti</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technickým usmernením „výrazne nenarušiť“ (2021/C58/01).</w:t>
      </w:r>
    </w:p>
    <w:p w14:paraId="66AD307B" w14:textId="35909D0F" w:rsidR="002D49B0" w:rsidRPr="00083739" w:rsidRDefault="00BF4125">
      <w:pPr>
        <w:spacing w:before="120" w:after="120" w:line="240" w:lineRule="auto"/>
        <w:jc w:val="both"/>
        <w:rPr>
          <w:rFonts w:ascii="Times New Roman" w:hAnsi="Times New Roman" w:cs="Times New Roman"/>
          <w:b/>
          <w:bCs/>
          <w:i/>
          <w:iCs/>
          <w:noProof/>
          <w:color w:val="4F81BD"/>
          <w:sz w:val="24"/>
          <w:lang w:val="sk-SK"/>
        </w:rPr>
      </w:pPr>
      <w:r w:rsidRPr="00083739">
        <w:rPr>
          <w:rFonts w:ascii="Times New Roman" w:hAnsi="Times New Roman" w:cs="Times New Roman"/>
          <w:b/>
          <w:noProof/>
          <w:sz w:val="24"/>
          <w:u w:val="single"/>
          <w:lang w:val="sk-SK"/>
        </w:rPr>
        <w:t xml:space="preserve">C.1. </w:t>
      </w:r>
      <w:r w:rsidRPr="00083739">
        <w:rPr>
          <w:rFonts w:ascii="Times New Roman" w:hAnsi="Times New Roman" w:cs="Times New Roman"/>
          <w:noProof/>
          <w:lang w:val="sk-SK"/>
        </w:rPr>
        <w:t xml:space="preserve"> </w:t>
      </w:r>
      <w:r w:rsidRPr="00083739">
        <w:rPr>
          <w:rFonts w:ascii="Times New Roman" w:hAnsi="Times New Roman" w:cs="Times New Roman"/>
          <w:b/>
          <w:noProof/>
          <w:sz w:val="24"/>
          <w:u w:val="single"/>
          <w:lang w:val="sk-SK"/>
        </w:rPr>
        <w:t>Opis reforiem</w:t>
      </w:r>
      <w:r w:rsidR="00083739" w:rsidRPr="00083739">
        <w:rPr>
          <w:rFonts w:ascii="Times New Roman" w:hAnsi="Times New Roman" w:cs="Times New Roman"/>
          <w:b/>
          <w:noProof/>
          <w:sz w:val="24"/>
          <w:u w:val="single"/>
          <w:lang w:val="sk-SK"/>
        </w:rPr>
        <w:t xml:space="preserve"> a </w:t>
      </w:r>
      <w:r w:rsidRPr="00083739">
        <w:rPr>
          <w:rFonts w:ascii="Times New Roman" w:hAnsi="Times New Roman" w:cs="Times New Roman"/>
          <w:b/>
          <w:noProof/>
          <w:sz w:val="24"/>
          <w:u w:val="single"/>
          <w:lang w:val="sk-SK"/>
        </w:rPr>
        <w:t>investícií</w:t>
      </w:r>
      <w:r w:rsidR="00083739" w:rsidRPr="00083739">
        <w:rPr>
          <w:rFonts w:ascii="Times New Roman" w:hAnsi="Times New Roman" w:cs="Times New Roman"/>
          <w:b/>
          <w:noProof/>
          <w:sz w:val="24"/>
          <w:u w:val="single"/>
          <w:lang w:val="sk-SK"/>
        </w:rPr>
        <w:t xml:space="preserve"> v </w:t>
      </w:r>
      <w:r w:rsidRPr="00083739">
        <w:rPr>
          <w:rFonts w:ascii="Times New Roman" w:hAnsi="Times New Roman" w:cs="Times New Roman"/>
          <w:b/>
          <w:noProof/>
          <w:sz w:val="24"/>
          <w:u w:val="single"/>
          <w:lang w:val="sk-SK"/>
        </w:rPr>
        <w:t>rámci nenávratnej finančnej podpory</w:t>
      </w:r>
    </w:p>
    <w:p w14:paraId="1D29B9B9" w14:textId="7777777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Produc-E Green (ID opatrenia: 16831)</w:t>
      </w:r>
    </w:p>
    <w:p w14:paraId="324BDA43" w14:textId="6F9E2EA0" w:rsidR="00083739" w:rsidRPr="00083739" w:rsidRDefault="00BF4125">
      <w:pPr>
        <w:pStyle w:val="P68B1DB1-Normal5"/>
        <w:spacing w:before="120" w:after="120" w:line="240" w:lineRule="auto"/>
        <w:jc w:val="both"/>
        <w:rPr>
          <w:rFonts w:cs="Times New Roman"/>
          <w:noProof/>
          <w:lang w:val="sk-SK"/>
        </w:rPr>
      </w:pPr>
      <w:r w:rsidRPr="00083739">
        <w:rPr>
          <w:rFonts w:cs="Times New Roman"/>
          <w:noProof/>
          <w:lang w:val="sk-SK"/>
        </w:rPr>
        <w:t xml:space="preserve">Táto investícia predstavuje dva projekty, ktorých </w:t>
      </w:r>
      <w:r w:rsidRPr="00083739">
        <w:rPr>
          <w:rFonts w:cs="Times New Roman"/>
          <w:noProof/>
          <w:lang w:val="sk-SK"/>
        </w:rPr>
        <w:t>cieľom je prispieť</w:t>
      </w:r>
      <w:r w:rsidR="00083739" w:rsidRPr="00083739">
        <w:rPr>
          <w:rFonts w:cs="Times New Roman"/>
          <w:noProof/>
          <w:lang w:val="sk-SK"/>
        </w:rPr>
        <w:t xml:space="preserve"> k </w:t>
      </w:r>
      <w:r w:rsidRPr="00083739">
        <w:rPr>
          <w:rFonts w:cs="Times New Roman"/>
          <w:noProof/>
          <w:lang w:val="sk-SK"/>
        </w:rPr>
        <w:t>nízkouhlíkovému hospodárstvu</w:t>
      </w:r>
      <w:r w:rsidR="00083739" w:rsidRPr="00083739">
        <w:rPr>
          <w:rFonts w:cs="Times New Roman"/>
          <w:noProof/>
          <w:lang w:val="sk-SK"/>
        </w:rPr>
        <w:t xml:space="preserve"> a k </w:t>
      </w:r>
      <w:r w:rsidRPr="00083739">
        <w:rPr>
          <w:rFonts w:cs="Times New Roman"/>
          <w:noProof/>
          <w:lang w:val="sk-SK"/>
        </w:rPr>
        <w:t>odolnosti voči zmene klímy.</w:t>
      </w:r>
      <w:r w:rsidR="00083739" w:rsidRPr="00083739">
        <w:rPr>
          <w:rFonts w:cs="Times New Roman"/>
          <w:noProof/>
          <w:lang w:val="sk-SK"/>
        </w:rPr>
        <w:t xml:space="preserve"> V </w:t>
      </w:r>
      <w:r w:rsidRPr="00083739">
        <w:rPr>
          <w:rFonts w:cs="Times New Roman"/>
          <w:noProof/>
          <w:lang w:val="sk-SK"/>
        </w:rPr>
        <w:t>rámci prvého projektu sa podporí ponuka elektromobility</w:t>
      </w:r>
      <w:r w:rsidR="00083739" w:rsidRPr="00083739">
        <w:rPr>
          <w:rFonts w:cs="Times New Roman"/>
          <w:noProof/>
          <w:lang w:val="sk-SK"/>
        </w:rPr>
        <w:t xml:space="preserve"> a </w:t>
      </w:r>
      <w:r w:rsidRPr="00083739">
        <w:rPr>
          <w:rFonts w:cs="Times New Roman"/>
          <w:noProof/>
          <w:lang w:val="sk-SK"/>
        </w:rPr>
        <w:t>podpora zelenej transformácie prostredníctvom vývoja viac ako 10 priemyselných jednotiek pre inovačné výrobky aleb</w:t>
      </w:r>
      <w:r w:rsidRPr="00083739">
        <w:rPr>
          <w:rFonts w:cs="Times New Roman"/>
          <w:noProof/>
          <w:lang w:val="sk-SK"/>
        </w:rPr>
        <w:t>o služby, napríklad recyklácie batérií pre elektrické vozidlá opätovným použitím surovín, ako je lítium</w:t>
      </w:r>
      <w:r w:rsidR="00083739" w:rsidRPr="00083739">
        <w:rPr>
          <w:rFonts w:cs="Times New Roman"/>
          <w:noProof/>
          <w:lang w:val="sk-SK"/>
        </w:rPr>
        <w:t xml:space="preserve"> a </w:t>
      </w:r>
      <w:r w:rsidRPr="00083739">
        <w:rPr>
          <w:rFonts w:cs="Times New Roman"/>
          <w:noProof/>
          <w:lang w:val="sk-SK"/>
        </w:rPr>
        <w:t>kobalt, alebo projektovaním elektrických vozidiel</w:t>
      </w:r>
      <w:r w:rsidR="00083739" w:rsidRPr="00083739">
        <w:rPr>
          <w:rFonts w:cs="Times New Roman"/>
          <w:noProof/>
          <w:lang w:val="sk-SK"/>
        </w:rPr>
        <w:t xml:space="preserve"> a </w:t>
      </w:r>
      <w:r w:rsidRPr="00083739">
        <w:rPr>
          <w:rFonts w:cs="Times New Roman"/>
          <w:noProof/>
          <w:lang w:val="sk-SK"/>
        </w:rPr>
        <w:t>pravidelných alebo vysokovýkonných nabíjacích staníc a/alebo investícií súvisiacich</w:t>
      </w:r>
      <w:r w:rsidR="00083739" w:rsidRPr="00083739">
        <w:rPr>
          <w:rFonts w:cs="Times New Roman"/>
          <w:noProof/>
          <w:lang w:val="sk-SK"/>
        </w:rPr>
        <w:t xml:space="preserve"> s </w:t>
      </w:r>
      <w:r w:rsidRPr="00083739">
        <w:rPr>
          <w:rFonts w:cs="Times New Roman"/>
          <w:noProof/>
          <w:lang w:val="sk-SK"/>
        </w:rPr>
        <w:t>výrobou aleb</w:t>
      </w:r>
      <w:r w:rsidRPr="00083739">
        <w:rPr>
          <w:rFonts w:cs="Times New Roman"/>
          <w:noProof/>
          <w:lang w:val="sk-SK"/>
        </w:rPr>
        <w:t>o spracovaním materiálov (okrem ťažby), zariadení alebo častí používaných</w:t>
      </w:r>
      <w:r w:rsidR="00083739" w:rsidRPr="00083739">
        <w:rPr>
          <w:rFonts w:cs="Times New Roman"/>
          <w:noProof/>
          <w:lang w:val="sk-SK"/>
        </w:rPr>
        <w:t xml:space="preserve"> v </w:t>
      </w:r>
      <w:r w:rsidRPr="00083739">
        <w:rPr>
          <w:rFonts w:cs="Times New Roman"/>
          <w:noProof/>
          <w:lang w:val="sk-SK"/>
        </w:rPr>
        <w:t>odvetví zelenej transformácie, ktoré by mohli orientačne zahŕňať časti elektrických vozidiel, lodí, obvodových dosiek, solárnych panelov, solárnych ohrievačov, veterných turbín, ká</w:t>
      </w:r>
      <w:r w:rsidRPr="00083739">
        <w:rPr>
          <w:rFonts w:cs="Times New Roman"/>
          <w:noProof/>
          <w:lang w:val="sk-SK"/>
        </w:rPr>
        <w:t>blov, systémov riadenia energie</w:t>
      </w:r>
      <w:r w:rsidR="00083739" w:rsidRPr="00083739">
        <w:rPr>
          <w:rFonts w:cs="Times New Roman"/>
          <w:noProof/>
          <w:lang w:val="sk-SK"/>
        </w:rPr>
        <w:t xml:space="preserve"> v </w:t>
      </w:r>
      <w:r w:rsidRPr="00083739">
        <w:rPr>
          <w:rFonts w:cs="Times New Roman"/>
          <w:noProof/>
          <w:lang w:val="sk-SK"/>
        </w:rPr>
        <w:t>budovách, inštalačných zariadení pre projekty</w:t>
      </w:r>
      <w:r w:rsidR="00083739" w:rsidRPr="00083739">
        <w:rPr>
          <w:rFonts w:cs="Times New Roman"/>
          <w:noProof/>
          <w:lang w:val="sk-SK"/>
        </w:rPr>
        <w:t xml:space="preserve"> v </w:t>
      </w:r>
      <w:r w:rsidRPr="00083739">
        <w:rPr>
          <w:rFonts w:cs="Times New Roman"/>
          <w:noProof/>
          <w:lang w:val="sk-SK"/>
        </w:rPr>
        <w:t>oblasti obnoviteľných zdrojov energie, zlepšených komponentov účinnosti, ako sú tepelné čerpadlá,</w:t>
      </w:r>
      <w:r w:rsidR="00083739" w:rsidRPr="00083739">
        <w:rPr>
          <w:rFonts w:cs="Times New Roman"/>
          <w:noProof/>
          <w:lang w:val="sk-SK"/>
        </w:rPr>
        <w:t xml:space="preserve"> a </w:t>
      </w:r>
      <w:r w:rsidRPr="00083739">
        <w:rPr>
          <w:rFonts w:cs="Times New Roman"/>
          <w:noProof/>
          <w:lang w:val="sk-SK"/>
        </w:rPr>
        <w:t>akéhokoľvek druhu vybavenia, najmä</w:t>
      </w:r>
      <w:r w:rsidR="00083739" w:rsidRPr="00083739">
        <w:rPr>
          <w:rFonts w:cs="Times New Roman"/>
          <w:noProof/>
          <w:lang w:val="sk-SK"/>
        </w:rPr>
        <w:t xml:space="preserve"> v </w:t>
      </w:r>
      <w:r w:rsidRPr="00083739">
        <w:rPr>
          <w:rFonts w:cs="Times New Roman"/>
          <w:noProof/>
          <w:lang w:val="sk-SK"/>
        </w:rPr>
        <w:t>odvetviach, na ktoré sa nevzťahuje sy</w:t>
      </w:r>
      <w:r w:rsidRPr="00083739">
        <w:rPr>
          <w:rFonts w:cs="Times New Roman"/>
          <w:noProof/>
          <w:lang w:val="sk-SK"/>
        </w:rPr>
        <w:t>stém EÚ na obchodovanie</w:t>
      </w:r>
      <w:r w:rsidR="00083739" w:rsidRPr="00083739">
        <w:rPr>
          <w:rFonts w:cs="Times New Roman"/>
          <w:noProof/>
          <w:lang w:val="sk-SK"/>
        </w:rPr>
        <w:t xml:space="preserve"> s </w:t>
      </w:r>
      <w:r w:rsidRPr="00083739">
        <w:rPr>
          <w:rFonts w:cs="Times New Roman"/>
          <w:noProof/>
          <w:lang w:val="sk-SK"/>
        </w:rPr>
        <w:t xml:space="preserve">emisiami (EU-ETS). </w:t>
      </w:r>
      <w:r w:rsidR="00083739" w:rsidRPr="00083739">
        <w:rPr>
          <w:rFonts w:cs="Times New Roman"/>
          <w:noProof/>
          <w:lang w:val="sk-SK"/>
        </w:rPr>
        <w:t xml:space="preserve"> S </w:t>
      </w:r>
      <w:r w:rsidRPr="00083739">
        <w:rPr>
          <w:rFonts w:cs="Times New Roman"/>
          <w:noProof/>
          <w:lang w:val="sk-SK"/>
        </w:rPr>
        <w:t>cieľom zabezpečiť, aby opatrenie bolo</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technickými usmerneniami „výrazne nenarušiť“ (2021/C58/01), kritériá oprávnenosti uvedené</w:t>
      </w:r>
      <w:r w:rsidR="00083739" w:rsidRPr="00083739">
        <w:rPr>
          <w:rFonts w:cs="Times New Roman"/>
          <w:noProof/>
          <w:lang w:val="sk-SK"/>
        </w:rPr>
        <w:t xml:space="preserve"> v </w:t>
      </w:r>
      <w:r w:rsidRPr="00083739">
        <w:rPr>
          <w:rFonts w:cs="Times New Roman"/>
          <w:noProof/>
          <w:lang w:val="sk-SK"/>
        </w:rPr>
        <w:t>zadávacích podmienkach pre výzvy na predkladanie projektov nezahŕňa</w:t>
      </w:r>
      <w:r w:rsidRPr="00083739">
        <w:rPr>
          <w:rFonts w:cs="Times New Roman"/>
          <w:noProof/>
          <w:lang w:val="sk-SK"/>
        </w:rPr>
        <w:t>jú tento zoznam činností:</w:t>
      </w:r>
      <w:r w:rsidRPr="00083739">
        <w:rPr>
          <w:rFonts w:cs="Times New Roman"/>
          <w:noProof/>
          <w:color w:val="FF0000"/>
          <w:lang w:val="sk-SK"/>
        </w:rPr>
        <w:t xml:space="preserve"> </w:t>
      </w:r>
      <w:r w:rsidRPr="00083739">
        <w:rPr>
          <w:rFonts w:cs="Times New Roman"/>
          <w:noProof/>
          <w:lang w:val="sk-SK"/>
        </w:rPr>
        <w:t>I) činnosti súvisiace</w:t>
      </w:r>
      <w:r w:rsidR="00083739" w:rsidRPr="00083739">
        <w:rPr>
          <w:rFonts w:cs="Times New Roman"/>
          <w:noProof/>
          <w:lang w:val="sk-SK"/>
        </w:rPr>
        <w:t xml:space="preserve"> s </w:t>
      </w:r>
      <w:r w:rsidRPr="00083739">
        <w:rPr>
          <w:rFonts w:cs="Times New Roman"/>
          <w:noProof/>
          <w:lang w:val="sk-SK"/>
        </w:rPr>
        <w:t>fosílnymi palivami vrátane následného použitia</w:t>
      </w:r>
      <w:r w:rsidRPr="00083739">
        <w:rPr>
          <w:rFonts w:cs="Times New Roman"/>
          <w:noProof/>
          <w:lang w:val="sk-SK"/>
        </w:rPr>
        <w:footnoteReference w:id="7"/>
      </w:r>
      <w:r w:rsidRPr="00083739">
        <w:rPr>
          <w:rFonts w:cs="Times New Roman"/>
          <w:noProof/>
          <w:lang w:val="sk-SK"/>
        </w:rPr>
        <w:t>; II) činností</w:t>
      </w:r>
      <w:r w:rsidR="00083739" w:rsidRPr="00083739">
        <w:rPr>
          <w:rFonts w:cs="Times New Roman"/>
          <w:noProof/>
          <w:lang w:val="sk-SK"/>
        </w:rPr>
        <w:t xml:space="preserve"> v </w:t>
      </w:r>
      <w:r w:rsidRPr="00083739">
        <w:rPr>
          <w:rFonts w:cs="Times New Roman"/>
          <w:noProof/>
          <w:lang w:val="sk-SK"/>
        </w:rPr>
        <w:t>rámci systému EÚ na obchodovanie</w:t>
      </w:r>
      <w:r w:rsidR="00083739" w:rsidRPr="00083739">
        <w:rPr>
          <w:rFonts w:cs="Times New Roman"/>
          <w:noProof/>
          <w:lang w:val="sk-SK"/>
        </w:rPr>
        <w:t xml:space="preserve"> s </w:t>
      </w:r>
      <w:r w:rsidRPr="00083739">
        <w:rPr>
          <w:rFonts w:cs="Times New Roman"/>
          <w:noProof/>
          <w:lang w:val="sk-SK"/>
        </w:rPr>
        <w:t xml:space="preserve">emisiami (ETS), ktorými sa dosahujú predpokladané emisie skleníkových plynov, ktoré nie sú nižšie ako </w:t>
      </w:r>
      <w:r w:rsidRPr="00083739">
        <w:rPr>
          <w:rFonts w:cs="Times New Roman"/>
          <w:noProof/>
          <w:lang w:val="sk-SK"/>
        </w:rPr>
        <w:t>príslušné referenčné hodnoty</w:t>
      </w:r>
      <w:r w:rsidRPr="00083739">
        <w:rPr>
          <w:rFonts w:cs="Times New Roman"/>
          <w:noProof/>
          <w:lang w:val="sk-SK"/>
        </w:rPr>
        <w:footnoteReference w:id="8"/>
      </w:r>
      <w:r w:rsidR="00083739" w:rsidRPr="00083739">
        <w:rPr>
          <w:rFonts w:cs="Times New Roman"/>
          <w:noProof/>
          <w:lang w:val="sk-SK"/>
        </w:rPr>
        <w:t>;</w:t>
      </w:r>
    </w:p>
    <w:p w14:paraId="54ECF66E" w14:textId="2056857D" w:rsidR="002D49B0" w:rsidRPr="00083739" w:rsidRDefault="00BF4125">
      <w:pPr>
        <w:pStyle w:val="P68B1DB1-Normal5"/>
        <w:rPr>
          <w:rFonts w:cs="Times New Roman"/>
          <w:noProof/>
          <w:lang w:val="sk-SK"/>
        </w:rPr>
      </w:pPr>
      <w:r w:rsidRPr="00083739">
        <w:rPr>
          <w:rFonts w:cs="Times New Roman"/>
          <w:noProof/>
          <w:lang w:val="sk-SK"/>
        </w:rPr>
        <w:br w:type="page"/>
      </w:r>
    </w:p>
    <w:p w14:paraId="64C6BC48" w14:textId="31762315" w:rsidR="002D49B0" w:rsidRPr="00083739" w:rsidRDefault="00BF4125">
      <w:pPr>
        <w:pStyle w:val="P68B1DB1-Normal5"/>
        <w:spacing w:before="120" w:after="120" w:line="240" w:lineRule="auto"/>
        <w:jc w:val="both"/>
        <w:rPr>
          <w:rFonts w:cs="Times New Roman"/>
          <w:noProof/>
          <w:lang w:val="sk-SK"/>
        </w:rPr>
      </w:pPr>
      <w:r w:rsidRPr="00083739">
        <w:rPr>
          <w:rFonts w:cs="Times New Roman"/>
          <w:noProof/>
          <w:lang w:val="sk-SK"/>
        </w:rPr>
        <w:t>III) činnosti súvisiace so skládkami odpadov, spaľovňami</w:t>
      </w:r>
      <w:r w:rsidRPr="00083739">
        <w:rPr>
          <w:rFonts w:cs="Times New Roman"/>
          <w:noProof/>
          <w:lang w:val="sk-SK"/>
        </w:rPr>
        <w:footnoteReference w:id="9"/>
      </w:r>
      <w:r w:rsidR="00083739" w:rsidRPr="00083739">
        <w:rPr>
          <w:rFonts w:cs="Times New Roman"/>
          <w:noProof/>
          <w:lang w:val="sk-SK"/>
        </w:rPr>
        <w:t xml:space="preserve"> a </w:t>
      </w:r>
      <w:r w:rsidRPr="00083739">
        <w:rPr>
          <w:rFonts w:cs="Times New Roman"/>
          <w:noProof/>
          <w:lang w:val="sk-SK"/>
        </w:rPr>
        <w:t>mechanickými biologickými čistiarňami</w:t>
      </w:r>
      <w:r w:rsidRPr="00083739">
        <w:rPr>
          <w:rFonts w:cs="Times New Roman"/>
          <w:noProof/>
          <w:lang w:val="sk-SK"/>
        </w:rPr>
        <w:footnoteReference w:id="10"/>
      </w:r>
      <w:r w:rsidRPr="00083739">
        <w:rPr>
          <w:rFonts w:cs="Times New Roman"/>
          <w:noProof/>
          <w:lang w:val="sk-SK"/>
        </w:rPr>
        <w:t>;</w:t>
      </w:r>
      <w:r w:rsidR="00083739" w:rsidRPr="00083739">
        <w:rPr>
          <w:rFonts w:cs="Times New Roman"/>
          <w:noProof/>
          <w:lang w:val="sk-SK"/>
        </w:rPr>
        <w:t xml:space="preserve"> a </w:t>
      </w:r>
      <w:r w:rsidRPr="00083739">
        <w:rPr>
          <w:rFonts w:cs="Times New Roman"/>
          <w:noProof/>
          <w:lang w:val="sk-SK"/>
        </w:rPr>
        <w:t>iv) činnosti, pri ktorých dlhodobé zneškodňovanie odpadu môže poškodiť životné prostredie.</w:t>
      </w:r>
      <w:r w:rsidR="00083739" w:rsidRPr="00083739">
        <w:rPr>
          <w:rFonts w:cs="Times New Roman"/>
          <w:noProof/>
          <w:lang w:val="sk-SK"/>
        </w:rPr>
        <w:t xml:space="preserve"> V </w:t>
      </w:r>
      <w:r w:rsidRPr="00083739">
        <w:rPr>
          <w:rFonts w:cs="Times New Roman"/>
          <w:noProof/>
          <w:lang w:val="sk-SK"/>
        </w:rPr>
        <w:t>zadávacích podmienkach sa ok</w:t>
      </w:r>
      <w:r w:rsidRPr="00083739">
        <w:rPr>
          <w:rFonts w:cs="Times New Roman"/>
          <w:noProof/>
          <w:lang w:val="sk-SK"/>
        </w:rPr>
        <w:t>rem toho vyžaduje, aby sa mohli vybrať len tie činnosti, ktoré sú</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príslušnými právnymi predpismi EÚ</w:t>
      </w:r>
      <w:r w:rsidR="00083739" w:rsidRPr="00083739">
        <w:rPr>
          <w:rFonts w:cs="Times New Roman"/>
          <w:noProof/>
          <w:lang w:val="sk-SK"/>
        </w:rPr>
        <w:t xml:space="preserve"> a </w:t>
      </w:r>
      <w:r w:rsidRPr="00083739">
        <w:rPr>
          <w:rFonts w:cs="Times New Roman"/>
          <w:noProof/>
          <w:lang w:val="sk-SK"/>
        </w:rPr>
        <w:t>vnútroštátnymi právnymi predpismi</w:t>
      </w:r>
      <w:r w:rsidR="00083739" w:rsidRPr="00083739">
        <w:rPr>
          <w:rFonts w:cs="Times New Roman"/>
          <w:noProof/>
          <w:lang w:val="sk-SK"/>
        </w:rPr>
        <w:t xml:space="preserve"> v </w:t>
      </w:r>
      <w:r w:rsidRPr="00083739">
        <w:rPr>
          <w:rFonts w:cs="Times New Roman"/>
          <w:noProof/>
          <w:lang w:val="sk-SK"/>
        </w:rPr>
        <w:t>oblasti životného prostredia.</w:t>
      </w:r>
    </w:p>
    <w:p w14:paraId="41BCEFCE" w14:textId="422D8FFA"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Druhým projektom sa podporí rozvoj prvého úložiska</w:t>
      </w:r>
      <w:r w:rsidRPr="00083739">
        <w:rPr>
          <w:rFonts w:cs="Times New Roman"/>
          <w:noProof/>
          <w:vertAlign w:val="subscript"/>
          <w:lang w:val="sk-SK"/>
        </w:rPr>
        <w:t>CO2</w:t>
      </w:r>
      <w:r w:rsidR="00083739" w:rsidRPr="00083739">
        <w:rPr>
          <w:rFonts w:cs="Times New Roman"/>
          <w:noProof/>
          <w:lang w:val="sk-SK"/>
        </w:rPr>
        <w:t xml:space="preserve"> v </w:t>
      </w:r>
      <w:r w:rsidRPr="00083739">
        <w:rPr>
          <w:rFonts w:cs="Times New Roman"/>
          <w:noProof/>
          <w:lang w:val="sk-SK"/>
        </w:rPr>
        <w:t>Grécku. Zariadenie na</w:t>
      </w:r>
      <w:r w:rsidRPr="00083739">
        <w:rPr>
          <w:rFonts w:cs="Times New Roman"/>
          <w:noProof/>
          <w:lang w:val="sk-SK"/>
        </w:rPr>
        <w:t xml:space="preserve"> zachytávanie</w:t>
      </w:r>
      <w:r w:rsidR="00083739" w:rsidRPr="00083739">
        <w:rPr>
          <w:rFonts w:cs="Times New Roman"/>
          <w:noProof/>
          <w:lang w:val="sk-SK"/>
        </w:rPr>
        <w:t xml:space="preserve"> a </w:t>
      </w:r>
      <w:r w:rsidRPr="00083739">
        <w:rPr>
          <w:rFonts w:cs="Times New Roman"/>
          <w:noProof/>
          <w:lang w:val="sk-SK"/>
        </w:rPr>
        <w:t>ukladanie oxidu uhličitého je navrhnuté tak, aby poskytovalo dlhodobé ukladanie CO</w:t>
      </w:r>
      <w:r w:rsidRPr="00083739">
        <w:rPr>
          <w:rFonts w:cs="Times New Roman"/>
          <w:noProof/>
          <w:vertAlign w:val="subscript"/>
          <w:lang w:val="sk-SK"/>
        </w:rPr>
        <w:t>2</w:t>
      </w:r>
      <w:r w:rsidRPr="00083739">
        <w:rPr>
          <w:rFonts w:cs="Times New Roman"/>
          <w:noProof/>
          <w:lang w:val="sk-SK"/>
        </w:rPr>
        <w:t xml:space="preserve"> zachyteného</w:t>
      </w:r>
      <w:r w:rsidR="00083739" w:rsidRPr="00083739">
        <w:rPr>
          <w:rFonts w:cs="Times New Roman"/>
          <w:noProof/>
          <w:lang w:val="sk-SK"/>
        </w:rPr>
        <w:t xml:space="preserve"> z </w:t>
      </w:r>
      <w:r w:rsidRPr="00083739">
        <w:rPr>
          <w:rFonts w:cs="Times New Roman"/>
          <w:noProof/>
          <w:lang w:val="sk-SK"/>
        </w:rPr>
        <w:t>miestnych zdrojov emisií (do vzdialenosti 150 km)</w:t>
      </w:r>
      <w:r w:rsidR="00083739" w:rsidRPr="00083739">
        <w:rPr>
          <w:rFonts w:cs="Times New Roman"/>
          <w:noProof/>
          <w:lang w:val="sk-SK"/>
        </w:rPr>
        <w:t xml:space="preserve"> a </w:t>
      </w:r>
      <w:r w:rsidRPr="00083739">
        <w:rPr>
          <w:rFonts w:cs="Times New Roman"/>
          <w:noProof/>
          <w:lang w:val="sk-SK"/>
        </w:rPr>
        <w:t>musí prísť do zariadenia potrubím, zatiaľ čo CO</w:t>
      </w:r>
      <w:r w:rsidRPr="00083739">
        <w:rPr>
          <w:rFonts w:cs="Times New Roman"/>
          <w:noProof/>
          <w:vertAlign w:val="subscript"/>
          <w:lang w:val="sk-SK"/>
        </w:rPr>
        <w:t>2</w:t>
      </w:r>
      <w:r w:rsidRPr="00083739">
        <w:rPr>
          <w:rFonts w:cs="Times New Roman"/>
          <w:noProof/>
          <w:lang w:val="sk-SK"/>
        </w:rPr>
        <w:t xml:space="preserve"> zachytený na odľahlých miestach musí prís</w:t>
      </w:r>
      <w:r w:rsidRPr="00083739">
        <w:rPr>
          <w:rFonts w:cs="Times New Roman"/>
          <w:noProof/>
          <w:lang w:val="sk-SK"/>
        </w:rPr>
        <w:t>ť loďou</w:t>
      </w:r>
      <w:r w:rsidR="00083739" w:rsidRPr="00083739">
        <w:rPr>
          <w:rFonts w:cs="Times New Roman"/>
          <w:noProof/>
          <w:lang w:val="sk-SK"/>
        </w:rPr>
        <w:t xml:space="preserve"> a </w:t>
      </w:r>
      <w:r w:rsidRPr="00083739">
        <w:rPr>
          <w:rFonts w:cs="Times New Roman"/>
          <w:noProof/>
          <w:lang w:val="sk-SK"/>
        </w:rPr>
        <w:t>vstúpiť do rezervného úložiska. Kapacita zariadenia na zachytávanie</w:t>
      </w:r>
      <w:r w:rsidR="00083739" w:rsidRPr="00083739">
        <w:rPr>
          <w:rFonts w:cs="Times New Roman"/>
          <w:noProof/>
          <w:lang w:val="sk-SK"/>
        </w:rPr>
        <w:t xml:space="preserve"> a </w:t>
      </w:r>
      <w:r w:rsidRPr="00083739">
        <w:rPr>
          <w:rFonts w:cs="Times New Roman"/>
          <w:noProof/>
          <w:lang w:val="sk-SK"/>
        </w:rPr>
        <w:t>ukladanie oxidu uhličitého musí mať spočiatku rýchlosť vtláčania CO</w:t>
      </w:r>
      <w:r w:rsidRPr="00083739">
        <w:rPr>
          <w:rFonts w:cs="Times New Roman"/>
          <w:noProof/>
          <w:vertAlign w:val="subscript"/>
          <w:lang w:val="sk-SK"/>
        </w:rPr>
        <w:t>2</w:t>
      </w:r>
      <w:r w:rsidRPr="00083739">
        <w:rPr>
          <w:rFonts w:cs="Times New Roman"/>
          <w:noProof/>
          <w:lang w:val="sk-SK"/>
        </w:rPr>
        <w:t xml:space="preserve"> vo výške jedného milióna ton/rok</w:t>
      </w:r>
      <w:r w:rsidR="00083739" w:rsidRPr="00083739">
        <w:rPr>
          <w:rFonts w:cs="Times New Roman"/>
          <w:noProof/>
          <w:lang w:val="sk-SK"/>
        </w:rPr>
        <w:t xml:space="preserve"> a </w:t>
      </w:r>
      <w:r w:rsidRPr="00083739">
        <w:rPr>
          <w:rFonts w:cs="Times New Roman"/>
          <w:noProof/>
          <w:lang w:val="sk-SK"/>
        </w:rPr>
        <w:t>musí poskytovať kapacitu najmenej na 20 rokov. Očakáva sa, že toto opatr</w:t>
      </w:r>
      <w:r w:rsidRPr="00083739">
        <w:rPr>
          <w:rFonts w:cs="Times New Roman"/>
          <w:noProof/>
          <w:lang w:val="sk-SK"/>
        </w:rPr>
        <w:t>enie výrazne nenaruší environmentálne ciele</w:t>
      </w:r>
      <w:r w:rsidR="00083739" w:rsidRPr="00083739">
        <w:rPr>
          <w:rFonts w:cs="Times New Roman"/>
          <w:noProof/>
          <w:lang w:val="sk-SK"/>
        </w:rPr>
        <w:t xml:space="preserve"> v </w:t>
      </w:r>
      <w:r w:rsidRPr="00083739">
        <w:rPr>
          <w:rFonts w:cs="Times New Roman"/>
          <w:noProof/>
          <w:lang w:val="sk-SK"/>
        </w:rPr>
        <w:t>zmysle článku 17 nariadenia (EÚ) 2020/852, pričom sa zohľadní opis opatrenia</w:t>
      </w:r>
      <w:r w:rsidR="00083739" w:rsidRPr="00083739">
        <w:rPr>
          <w:rFonts w:cs="Times New Roman"/>
          <w:noProof/>
          <w:lang w:val="sk-SK"/>
        </w:rPr>
        <w:t xml:space="preserve"> a </w:t>
      </w:r>
      <w:r w:rsidRPr="00083739">
        <w:rPr>
          <w:rFonts w:cs="Times New Roman"/>
          <w:noProof/>
          <w:lang w:val="sk-SK"/>
        </w:rPr>
        <w:t>zmierňujúce kroky stanovené</w:t>
      </w:r>
      <w:r w:rsidR="00083739" w:rsidRPr="00083739">
        <w:rPr>
          <w:rFonts w:cs="Times New Roman"/>
          <w:noProof/>
          <w:lang w:val="sk-SK"/>
        </w:rPr>
        <w:t xml:space="preserve"> v </w:t>
      </w:r>
      <w:r w:rsidRPr="00083739">
        <w:rPr>
          <w:rFonts w:cs="Times New Roman"/>
          <w:noProof/>
          <w:lang w:val="sk-SK"/>
        </w:rPr>
        <w:t>pláne podpory obnovy</w:t>
      </w:r>
      <w:r w:rsidR="00083739" w:rsidRPr="00083739">
        <w:rPr>
          <w:rFonts w:cs="Times New Roman"/>
          <w:noProof/>
          <w:lang w:val="sk-SK"/>
        </w:rPr>
        <w:t xml:space="preserve"> a </w:t>
      </w:r>
      <w:r w:rsidRPr="00083739">
        <w:rPr>
          <w:rFonts w:cs="Times New Roman"/>
          <w:noProof/>
          <w:lang w:val="sk-SK"/>
        </w:rPr>
        <w:t>odolnosti</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 xml:space="preserve">technickým usmernením „výrazne nenarušiť“ (2021/C58/01). </w:t>
      </w:r>
      <w:r w:rsidRPr="00083739">
        <w:rPr>
          <w:rFonts w:cs="Times New Roman"/>
          <w:noProof/>
          <w:lang w:val="sk-SK"/>
        </w:rPr>
        <w:t>Zariadenie na zachytávanie</w:t>
      </w:r>
      <w:r w:rsidR="00083739" w:rsidRPr="00083739">
        <w:rPr>
          <w:rFonts w:cs="Times New Roman"/>
          <w:noProof/>
          <w:lang w:val="sk-SK"/>
        </w:rPr>
        <w:t xml:space="preserve"> a </w:t>
      </w:r>
      <w:r w:rsidRPr="00083739">
        <w:rPr>
          <w:rFonts w:cs="Times New Roman"/>
          <w:noProof/>
          <w:lang w:val="sk-SK"/>
        </w:rPr>
        <w:t>ukladanie oxidu uhličitého musí predovšetkým fungovať bez využívania akejkoľvek komerčnej ťažby ropy alebo zhodnocovania ropy (z bezpečnostných alebo technických dôvodov môže byť potrebná určitá ťažba ropy alebo plynu. Okrem to</w:t>
      </w:r>
      <w:r w:rsidRPr="00083739">
        <w:rPr>
          <w:rFonts w:cs="Times New Roman"/>
          <w:noProof/>
          <w:lang w:val="sk-SK"/>
        </w:rPr>
        <w:t>ho musí byť zachytávanie</w:t>
      </w:r>
      <w:r w:rsidR="00083739" w:rsidRPr="00083739">
        <w:rPr>
          <w:rFonts w:cs="Times New Roman"/>
          <w:noProof/>
          <w:lang w:val="sk-SK"/>
        </w:rPr>
        <w:t xml:space="preserve"> a </w:t>
      </w:r>
      <w:r w:rsidRPr="00083739">
        <w:rPr>
          <w:rFonts w:cs="Times New Roman"/>
          <w:noProof/>
          <w:lang w:val="sk-SK"/>
        </w:rPr>
        <w:t>ukladanie uhlíka</w:t>
      </w:r>
      <w:r w:rsidR="00083739" w:rsidRPr="00083739">
        <w:rPr>
          <w:rFonts w:cs="Times New Roman"/>
          <w:noProof/>
          <w:lang w:val="sk-SK"/>
        </w:rPr>
        <w:t xml:space="preserve"> v </w:t>
      </w:r>
      <w:r w:rsidRPr="00083739">
        <w:rPr>
          <w:rFonts w:cs="Times New Roman"/>
          <w:noProof/>
          <w:lang w:val="sk-SK"/>
        </w:rPr>
        <w:t>súlade aj</w:t>
      </w:r>
      <w:r w:rsidR="00083739" w:rsidRPr="00083739">
        <w:rPr>
          <w:rFonts w:cs="Times New Roman"/>
          <w:noProof/>
          <w:lang w:val="sk-SK"/>
        </w:rPr>
        <w:t xml:space="preserve"> s </w:t>
      </w:r>
      <w:r w:rsidRPr="00083739">
        <w:rPr>
          <w:rFonts w:cs="Times New Roman"/>
          <w:noProof/>
          <w:lang w:val="sk-SK"/>
        </w:rPr>
        <w:t>požiadavkou, aby nedochádzalo</w:t>
      </w:r>
      <w:r w:rsidR="00083739" w:rsidRPr="00083739">
        <w:rPr>
          <w:rFonts w:cs="Times New Roman"/>
          <w:noProof/>
          <w:lang w:val="sk-SK"/>
        </w:rPr>
        <w:t xml:space="preserve"> k </w:t>
      </w:r>
      <w:r w:rsidRPr="00083739">
        <w:rPr>
          <w:rFonts w:cs="Times New Roman"/>
          <w:noProof/>
          <w:lang w:val="sk-SK"/>
        </w:rPr>
        <w:t>žiadnym technologickým aplikáciám, ani</w:t>
      </w:r>
      <w:r w:rsidR="00083739" w:rsidRPr="00083739">
        <w:rPr>
          <w:rFonts w:cs="Times New Roman"/>
          <w:noProof/>
          <w:lang w:val="sk-SK"/>
        </w:rPr>
        <w:t xml:space="preserve"> k </w:t>
      </w:r>
      <w:r w:rsidRPr="00083739">
        <w:rPr>
          <w:rFonts w:cs="Times New Roman"/>
          <w:noProof/>
          <w:lang w:val="sk-SK"/>
        </w:rPr>
        <w:t>žiadnemu typu zariadení</w:t>
      </w:r>
      <w:r w:rsidR="00083739" w:rsidRPr="00083739">
        <w:rPr>
          <w:rFonts w:cs="Times New Roman"/>
          <w:noProof/>
          <w:lang w:val="sk-SK"/>
        </w:rPr>
        <w:t xml:space="preserve"> a </w:t>
      </w:r>
      <w:r w:rsidRPr="00083739">
        <w:rPr>
          <w:rFonts w:cs="Times New Roman"/>
          <w:noProof/>
          <w:lang w:val="sk-SK"/>
        </w:rPr>
        <w:t>vybavenia, ktoré sú vyvinuté na aplikáciu zvýšenej ťažby ropy (EOR)</w:t>
      </w:r>
      <w:r w:rsidR="00083739" w:rsidRPr="00083739">
        <w:rPr>
          <w:rFonts w:cs="Times New Roman"/>
          <w:noProof/>
          <w:lang w:val="sk-SK"/>
        </w:rPr>
        <w:t xml:space="preserve"> a </w:t>
      </w:r>
      <w:r w:rsidRPr="00083739">
        <w:rPr>
          <w:rFonts w:cs="Times New Roman"/>
          <w:noProof/>
          <w:lang w:val="sk-SK"/>
        </w:rPr>
        <w:t>zvýšenú produkciu ropy. Je po</w:t>
      </w:r>
      <w:r w:rsidRPr="00083739">
        <w:rPr>
          <w:rFonts w:cs="Times New Roman"/>
          <w:noProof/>
          <w:lang w:val="sk-SK"/>
        </w:rPr>
        <w:t>trebné dbať na to, aby sa akákoľvek možná ťažba ropy alebo zemného plynu obmedzila na nevyhnutné potreby riadenia tlaku</w:t>
      </w:r>
      <w:r w:rsidR="00083739" w:rsidRPr="00083739">
        <w:rPr>
          <w:rFonts w:cs="Times New Roman"/>
          <w:noProof/>
          <w:lang w:val="sk-SK"/>
        </w:rPr>
        <w:t xml:space="preserve"> a </w:t>
      </w:r>
      <w:r w:rsidRPr="00083739">
        <w:rPr>
          <w:rFonts w:cs="Times New Roman"/>
          <w:noProof/>
          <w:lang w:val="sk-SK"/>
        </w:rPr>
        <w:t>zaistenia bezpečnosti úložísk</w:t>
      </w:r>
      <w:r w:rsidR="00083739" w:rsidRPr="00083739">
        <w:rPr>
          <w:rFonts w:cs="Times New Roman"/>
          <w:noProof/>
          <w:lang w:val="sk-SK"/>
        </w:rPr>
        <w:t xml:space="preserve"> a </w:t>
      </w:r>
      <w:r w:rsidRPr="00083739">
        <w:rPr>
          <w:rFonts w:cs="Times New Roman"/>
          <w:noProof/>
          <w:lang w:val="sk-SK"/>
        </w:rPr>
        <w:t>aby sa každá takáto ťažba vykonávala len vtedy, ak je nevyhnutná na zaistenie bezpečného ukladania CO</w:t>
      </w:r>
      <w:r w:rsidRPr="00083739">
        <w:rPr>
          <w:rFonts w:cs="Times New Roman"/>
          <w:noProof/>
          <w:vertAlign w:val="subscript"/>
          <w:lang w:val="sk-SK"/>
        </w:rPr>
        <w:t>2</w:t>
      </w:r>
      <w:r w:rsidRPr="00083739">
        <w:rPr>
          <w:rFonts w:cs="Times New Roman"/>
          <w:noProof/>
          <w:lang w:val="sk-SK"/>
        </w:rPr>
        <w:t>. CO</w:t>
      </w:r>
      <w:r w:rsidRPr="00083739">
        <w:rPr>
          <w:rFonts w:cs="Times New Roman"/>
          <w:noProof/>
          <w:vertAlign w:val="subscript"/>
          <w:lang w:val="sk-SK"/>
        </w:rPr>
        <w:t>2</w:t>
      </w:r>
      <w:r w:rsidRPr="00083739">
        <w:rPr>
          <w:rFonts w:cs="Times New Roman"/>
          <w:noProof/>
          <w:lang w:val="sk-SK"/>
        </w:rPr>
        <w:t xml:space="preserve"> spolu</w:t>
      </w:r>
      <w:r w:rsidR="00083739" w:rsidRPr="00083739">
        <w:rPr>
          <w:rFonts w:cs="Times New Roman"/>
          <w:noProof/>
          <w:lang w:val="sk-SK"/>
        </w:rPr>
        <w:t xml:space="preserve"> s </w:t>
      </w:r>
      <w:r w:rsidRPr="00083739">
        <w:rPr>
          <w:rFonts w:cs="Times New Roman"/>
          <w:noProof/>
          <w:lang w:val="sk-SK"/>
        </w:rPr>
        <w:t>ropou alebo plynom, ktoré sa môžu ťažiť, sa oddelia</w:t>
      </w:r>
      <w:r w:rsidR="00083739" w:rsidRPr="00083739">
        <w:rPr>
          <w:rFonts w:cs="Times New Roman"/>
          <w:noProof/>
          <w:lang w:val="sk-SK"/>
        </w:rPr>
        <w:t xml:space="preserve"> a </w:t>
      </w:r>
      <w:r w:rsidRPr="00083739">
        <w:rPr>
          <w:rFonts w:cs="Times New Roman"/>
          <w:noProof/>
          <w:lang w:val="sk-SK"/>
        </w:rPr>
        <w:t>vrátia späť na trvalé uskladnenie.</w:t>
      </w:r>
    </w:p>
    <w:p w14:paraId="0848793F" w14:textId="328433D4"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Realizácia investície sa ukončí do 31</w:t>
      </w:r>
      <w:r w:rsidR="00083739" w:rsidRPr="00083739">
        <w:rPr>
          <w:rFonts w:cs="Times New Roman"/>
          <w:noProof/>
          <w:lang w:val="sk-SK"/>
        </w:rPr>
        <w:t>. decembra</w:t>
      </w:r>
      <w:r w:rsidRPr="00083739">
        <w:rPr>
          <w:rFonts w:cs="Times New Roman"/>
          <w:noProof/>
          <w:lang w:val="sk-SK"/>
        </w:rPr>
        <w:t xml:space="preserve"> 2025.</w:t>
      </w:r>
    </w:p>
    <w:p w14:paraId="5F601D55" w14:textId="3F5A6869"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Reforma:</w:t>
      </w:r>
      <w:r w:rsidRPr="00083739">
        <w:rPr>
          <w:rFonts w:cs="Times New Roman"/>
          <w:noProof/>
          <w:lang w:val="sk-SK"/>
        </w:rPr>
        <w:t xml:space="preserve"> Rámec pre inštaláciu</w:t>
      </w:r>
      <w:r w:rsidR="00083739" w:rsidRPr="00083739">
        <w:rPr>
          <w:rFonts w:cs="Times New Roman"/>
          <w:noProof/>
          <w:lang w:val="sk-SK"/>
        </w:rPr>
        <w:t xml:space="preserve"> a </w:t>
      </w:r>
      <w:r w:rsidRPr="00083739">
        <w:rPr>
          <w:rFonts w:cs="Times New Roman"/>
          <w:noProof/>
          <w:lang w:val="sk-SK"/>
        </w:rPr>
        <w:t>prevádzku nabíjacej infraštruktúry pre elektrické vozidlá (ID opatr</w:t>
      </w:r>
      <w:r w:rsidRPr="00083739">
        <w:rPr>
          <w:rFonts w:cs="Times New Roman"/>
          <w:noProof/>
          <w:lang w:val="sk-SK"/>
        </w:rPr>
        <w:t>enia: 16281)</w:t>
      </w:r>
    </w:p>
    <w:p w14:paraId="05522F9B" w14:textId="233E6AA1"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Reformou sa vytvorí komplexný regulačný rámec pre inštaláciu</w:t>
      </w:r>
      <w:r w:rsidR="00083739" w:rsidRPr="00083739">
        <w:rPr>
          <w:rFonts w:cs="Times New Roman"/>
          <w:noProof/>
          <w:lang w:val="sk-SK"/>
        </w:rPr>
        <w:t xml:space="preserve"> a </w:t>
      </w:r>
      <w:r w:rsidRPr="00083739">
        <w:rPr>
          <w:rFonts w:cs="Times New Roman"/>
          <w:noProof/>
          <w:lang w:val="sk-SK"/>
        </w:rPr>
        <w:t>prevádzku nabíjacích staníc pre elektrické vozidlá. Grécko sa tak dostane na cestu</w:t>
      </w:r>
      <w:r w:rsidR="00083739" w:rsidRPr="00083739">
        <w:rPr>
          <w:rFonts w:cs="Times New Roman"/>
          <w:noProof/>
          <w:lang w:val="sk-SK"/>
        </w:rPr>
        <w:t xml:space="preserve"> k </w:t>
      </w:r>
      <w:r w:rsidRPr="00083739">
        <w:rPr>
          <w:rFonts w:cs="Times New Roman"/>
          <w:noProof/>
          <w:lang w:val="sk-SK"/>
        </w:rPr>
        <w:t>splneniu cieľa NEKP, ktorým je 30</w:t>
      </w:r>
      <w:r w:rsidR="00083739" w:rsidRPr="00083739">
        <w:rPr>
          <w:rFonts w:cs="Times New Roman"/>
          <w:noProof/>
          <w:lang w:val="sk-SK"/>
        </w:rPr>
        <w:t> %</w:t>
      </w:r>
      <w:r w:rsidRPr="00083739">
        <w:rPr>
          <w:rFonts w:cs="Times New Roman"/>
          <w:noProof/>
          <w:lang w:val="sk-SK"/>
        </w:rPr>
        <w:t xml:space="preserve"> podiel elektrických vozidiel na domácom trhu do roku 2030. </w:t>
      </w:r>
      <w:r w:rsidRPr="00083739">
        <w:rPr>
          <w:rFonts w:cs="Times New Roman"/>
          <w:noProof/>
          <w:lang w:val="sk-SK"/>
        </w:rPr>
        <w:t>Ministerstvo životného prostredia</w:t>
      </w:r>
      <w:r w:rsidR="00083739" w:rsidRPr="00083739">
        <w:rPr>
          <w:rFonts w:cs="Times New Roman"/>
          <w:noProof/>
          <w:lang w:val="sk-SK"/>
        </w:rPr>
        <w:t xml:space="preserve"> a </w:t>
      </w:r>
      <w:r w:rsidRPr="00083739">
        <w:rPr>
          <w:rFonts w:cs="Times New Roman"/>
          <w:noProof/>
          <w:lang w:val="sk-SK"/>
        </w:rPr>
        <w:t>energetiky prijme do konca roka 2022 najmenej 300 plánov na inštaláciu verejne dostupných nabíjacích staníc pre elektrické vozidlá, ktoré predložili miestne orgány. Implementácia tejto reformy sa dokončí do 31</w:t>
      </w:r>
      <w:r w:rsidR="00083739" w:rsidRPr="00083739">
        <w:rPr>
          <w:rFonts w:cs="Times New Roman"/>
          <w:noProof/>
          <w:lang w:val="sk-SK"/>
        </w:rPr>
        <w:t>. decembra</w:t>
      </w:r>
      <w:r w:rsidRPr="00083739">
        <w:rPr>
          <w:rFonts w:cs="Times New Roman"/>
          <w:noProof/>
          <w:lang w:val="sk-SK"/>
        </w:rPr>
        <w:t xml:space="preserve"> </w:t>
      </w:r>
      <w:r w:rsidRPr="00083739">
        <w:rPr>
          <w:rFonts w:cs="Times New Roman"/>
          <w:noProof/>
          <w:lang w:val="sk-SK"/>
        </w:rPr>
        <w:t>2022.</w:t>
      </w:r>
    </w:p>
    <w:p w14:paraId="3CF90C19" w14:textId="7777777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Elektromobilita (ID opatrenia: 16924)</w:t>
      </w:r>
    </w:p>
    <w:p w14:paraId="3951FD2A" w14:textId="77B9246A" w:rsidR="002D49B0" w:rsidRPr="00083739" w:rsidRDefault="00BF4125">
      <w:pPr>
        <w:pStyle w:val="P68B1DB1-Normal4"/>
        <w:spacing w:before="120" w:after="120" w:line="240" w:lineRule="auto"/>
        <w:jc w:val="both"/>
        <w:rPr>
          <w:rFonts w:cs="Times New Roman"/>
          <w:b/>
          <w:bCs/>
          <w:noProof/>
          <w:szCs w:val="24"/>
          <w:u w:val="single"/>
          <w:lang w:val="sk-SK"/>
        </w:rPr>
      </w:pPr>
      <w:r w:rsidRPr="00083739">
        <w:rPr>
          <w:rFonts w:cs="Times New Roman"/>
          <w:noProof/>
          <w:lang w:val="sk-SK"/>
        </w:rPr>
        <w:t>Investícia sa zaoberá elektromobilitou</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cieľmi NEKP</w:t>
      </w:r>
      <w:r w:rsidR="00083739" w:rsidRPr="00083739">
        <w:rPr>
          <w:rFonts w:cs="Times New Roman"/>
          <w:noProof/>
          <w:lang w:val="sk-SK"/>
        </w:rPr>
        <w:t xml:space="preserve"> a </w:t>
      </w:r>
      <w:r w:rsidRPr="00083739">
        <w:rPr>
          <w:rFonts w:cs="Times New Roman"/>
          <w:noProof/>
          <w:lang w:val="sk-SK"/>
        </w:rPr>
        <w:t>zahŕňa: 1. nahradenie starších autobusov 425 novými elektrickými autobusmi;  2. reforma právnych predpisov týkajúcich sa záväzkov vyplýv</w:t>
      </w:r>
      <w:r w:rsidRPr="00083739">
        <w:rPr>
          <w:rFonts w:cs="Times New Roman"/>
          <w:noProof/>
          <w:lang w:val="sk-SK"/>
        </w:rPr>
        <w:t>ajúcich zo služieb vo verejnom záujme pre autobusové spoločnosti</w:t>
      </w:r>
      <w:r w:rsidR="00083739" w:rsidRPr="00083739">
        <w:rPr>
          <w:rFonts w:cs="Times New Roman"/>
          <w:noProof/>
          <w:lang w:val="sk-SK"/>
        </w:rPr>
        <w:t xml:space="preserve"> v </w:t>
      </w:r>
      <w:r w:rsidRPr="00083739">
        <w:rPr>
          <w:rFonts w:cs="Times New Roman"/>
          <w:noProof/>
          <w:lang w:val="sk-SK"/>
        </w:rPr>
        <w:t>súlade so súčasným acquis EÚ, ktorá umožní autobusovým spoločnostiam mimo Atén bezpečne investovať do elektrických vozidiel verejnej dopravy;</w:t>
      </w:r>
      <w:r w:rsidR="00083739" w:rsidRPr="00083739">
        <w:rPr>
          <w:rFonts w:cs="Times New Roman"/>
          <w:noProof/>
          <w:lang w:val="sk-SK"/>
        </w:rPr>
        <w:t xml:space="preserve"> a </w:t>
      </w:r>
      <w:r w:rsidRPr="00083739">
        <w:rPr>
          <w:rFonts w:cs="Times New Roman"/>
          <w:noProof/>
          <w:lang w:val="sk-SK"/>
        </w:rPr>
        <w:t>3. vypracovanie štúdie uskutočniteľnosti</w:t>
      </w:r>
      <w:r w:rsidR="00083739" w:rsidRPr="00083739">
        <w:rPr>
          <w:rFonts w:cs="Times New Roman"/>
          <w:noProof/>
          <w:lang w:val="sk-SK"/>
        </w:rPr>
        <w:t xml:space="preserve"> s </w:t>
      </w:r>
      <w:r w:rsidRPr="00083739">
        <w:rPr>
          <w:rFonts w:cs="Times New Roman"/>
          <w:noProof/>
          <w:lang w:val="sk-SK"/>
        </w:rPr>
        <w:t>ci</w:t>
      </w:r>
      <w:r w:rsidRPr="00083739">
        <w:rPr>
          <w:rFonts w:cs="Times New Roman"/>
          <w:noProof/>
          <w:lang w:val="sk-SK"/>
        </w:rPr>
        <w:t>eľom zriadiť agentúru pre elektronickú dopravu, ktorá zabezpečí primerané plánovanie</w:t>
      </w:r>
      <w:r w:rsidR="00083739" w:rsidRPr="00083739">
        <w:rPr>
          <w:rFonts w:cs="Times New Roman"/>
          <w:noProof/>
          <w:lang w:val="sk-SK"/>
        </w:rPr>
        <w:t xml:space="preserve"> a </w:t>
      </w:r>
      <w:r w:rsidRPr="00083739">
        <w:rPr>
          <w:rFonts w:cs="Times New Roman"/>
          <w:noProof/>
          <w:lang w:val="sk-SK"/>
        </w:rPr>
        <w:t>koordináciu medzi dopravnou</w:t>
      </w:r>
      <w:r w:rsidR="00083739" w:rsidRPr="00083739">
        <w:rPr>
          <w:rFonts w:cs="Times New Roman"/>
          <w:noProof/>
          <w:lang w:val="sk-SK"/>
        </w:rPr>
        <w:t xml:space="preserve"> a </w:t>
      </w:r>
      <w:r w:rsidRPr="00083739">
        <w:rPr>
          <w:rFonts w:cs="Times New Roman"/>
          <w:noProof/>
          <w:lang w:val="sk-SK"/>
        </w:rPr>
        <w:t>energetickou infraštruktúrou, regionálnymi</w:t>
      </w:r>
      <w:r w:rsidR="00083739" w:rsidRPr="00083739">
        <w:rPr>
          <w:rFonts w:cs="Times New Roman"/>
          <w:noProof/>
          <w:lang w:val="sk-SK"/>
        </w:rPr>
        <w:t xml:space="preserve"> a </w:t>
      </w:r>
      <w:r w:rsidRPr="00083739">
        <w:rPr>
          <w:rFonts w:cs="Times New Roman"/>
          <w:noProof/>
          <w:lang w:val="sk-SK"/>
        </w:rPr>
        <w:t>miestnymi samosprávami</w:t>
      </w:r>
      <w:r w:rsidR="00083739" w:rsidRPr="00083739">
        <w:rPr>
          <w:rFonts w:cs="Times New Roman"/>
          <w:noProof/>
          <w:lang w:val="sk-SK"/>
        </w:rPr>
        <w:t xml:space="preserve"> a </w:t>
      </w:r>
      <w:r w:rsidRPr="00083739">
        <w:rPr>
          <w:rFonts w:cs="Times New Roman"/>
          <w:noProof/>
          <w:lang w:val="sk-SK"/>
        </w:rPr>
        <w:t>inými zainteresovanými stranami vo výskume</w:t>
      </w:r>
      <w:r w:rsidR="00083739" w:rsidRPr="00083739">
        <w:rPr>
          <w:rFonts w:cs="Times New Roman"/>
          <w:noProof/>
          <w:lang w:val="sk-SK"/>
        </w:rPr>
        <w:t xml:space="preserve"> a v </w:t>
      </w:r>
      <w:r w:rsidRPr="00083739">
        <w:rPr>
          <w:rFonts w:cs="Times New Roman"/>
          <w:noProof/>
          <w:lang w:val="sk-SK"/>
        </w:rPr>
        <w:t>súkromnom sektore. Inv</w:t>
      </w:r>
      <w:r w:rsidRPr="00083739">
        <w:rPr>
          <w:rFonts w:cs="Times New Roman"/>
          <w:noProof/>
          <w:lang w:val="sk-SK"/>
        </w:rPr>
        <w:t>estičný komponent, ktorý nahrádza staré autobusy, musí byť</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technickými usmerneniami Do No No Significant Harm Technical Guidance (2021/C58/01), najmä pokiaľ ide</w:t>
      </w:r>
      <w:r w:rsidR="00083739" w:rsidRPr="00083739">
        <w:rPr>
          <w:rFonts w:cs="Times New Roman"/>
          <w:noProof/>
          <w:lang w:val="sk-SK"/>
        </w:rPr>
        <w:t xml:space="preserve"> o </w:t>
      </w:r>
      <w:r w:rsidRPr="00083739">
        <w:rPr>
          <w:rFonts w:cs="Times New Roman"/>
          <w:noProof/>
          <w:lang w:val="sk-SK"/>
        </w:rPr>
        <w:t>zošrotovanie starších vozidiel/autobusov, ktoré vykonáva schválené zariadenie na s</w:t>
      </w:r>
      <w:r w:rsidRPr="00083739">
        <w:rPr>
          <w:rFonts w:cs="Times New Roman"/>
          <w:noProof/>
          <w:lang w:val="sk-SK"/>
        </w:rPr>
        <w:t>pracovanie</w:t>
      </w:r>
      <w:r w:rsidR="00083739" w:rsidRPr="00083739">
        <w:rPr>
          <w:rFonts w:cs="Times New Roman"/>
          <w:noProof/>
          <w:lang w:val="sk-SK"/>
        </w:rPr>
        <w:t xml:space="preserve"> v </w:t>
      </w:r>
      <w:r w:rsidRPr="00083739">
        <w:rPr>
          <w:rFonts w:cs="Times New Roman"/>
          <w:noProof/>
          <w:lang w:val="sk-SK"/>
        </w:rPr>
        <w:t>súlade so smernicou</w:t>
      </w:r>
      <w:r w:rsidR="00083739" w:rsidRPr="00083739">
        <w:rPr>
          <w:rFonts w:cs="Times New Roman"/>
          <w:noProof/>
          <w:lang w:val="sk-SK"/>
        </w:rPr>
        <w:t xml:space="preserve"> o </w:t>
      </w:r>
      <w:r w:rsidRPr="00083739">
        <w:rPr>
          <w:rFonts w:cs="Times New Roman"/>
          <w:noProof/>
          <w:lang w:val="sk-SK"/>
        </w:rPr>
        <w:t>vozidlách po dobe životnosti (2000/53/ES). Realizácia investície sa ukončí do 31</w:t>
      </w:r>
      <w:r w:rsidR="00083739" w:rsidRPr="00083739">
        <w:rPr>
          <w:rFonts w:cs="Times New Roman"/>
          <w:noProof/>
          <w:lang w:val="sk-SK"/>
        </w:rPr>
        <w:t>. decembra</w:t>
      </w:r>
      <w:r w:rsidRPr="00083739">
        <w:rPr>
          <w:rFonts w:cs="Times New Roman"/>
          <w:noProof/>
          <w:lang w:val="sk-SK"/>
        </w:rPr>
        <w:t xml:space="preserve"> 2025.</w:t>
      </w:r>
    </w:p>
    <w:p w14:paraId="254962C5" w14:textId="77777777" w:rsidR="002D49B0" w:rsidRPr="00083739" w:rsidRDefault="002D49B0">
      <w:pPr>
        <w:spacing w:before="120" w:after="120" w:line="240" w:lineRule="auto"/>
        <w:ind w:left="709"/>
        <w:jc w:val="both"/>
        <w:rPr>
          <w:rFonts w:ascii="Times New Roman" w:hAnsi="Times New Roman" w:cs="Times New Roman"/>
          <w:noProof/>
          <w:sz w:val="24"/>
          <w:lang w:val="sk-SK"/>
        </w:rPr>
        <w:sectPr w:rsidR="002D49B0" w:rsidRPr="00083739" w:rsidSect="00AF58D0">
          <w:headerReference w:type="even" r:id="rId67"/>
          <w:headerReference w:type="default" r:id="rId68"/>
          <w:footerReference w:type="even" r:id="rId69"/>
          <w:footerReference w:type="default" r:id="rId70"/>
          <w:headerReference w:type="first" r:id="rId71"/>
          <w:footerReference w:type="first" r:id="rId72"/>
          <w:pgSz w:w="11907" w:h="16839"/>
          <w:pgMar w:top="1134" w:right="1418" w:bottom="1134" w:left="1418" w:header="709" w:footer="182" w:gutter="0"/>
          <w:cols w:space="720"/>
          <w:docGrid w:linePitch="360"/>
        </w:sectPr>
      </w:pPr>
    </w:p>
    <w:p w14:paraId="0B5EE8C6" w14:textId="00D88ECC" w:rsidR="002D49B0" w:rsidRPr="00083739" w:rsidRDefault="00BF4125">
      <w:pPr>
        <w:keepNext/>
        <w:keepLines/>
        <w:spacing w:before="40" w:after="0" w:line="240" w:lineRule="auto"/>
        <w:jc w:val="both"/>
        <w:outlineLvl w:val="4"/>
        <w:rPr>
          <w:rFonts w:ascii="Times New Roman" w:hAnsi="Times New Roman" w:cs="Times New Roman"/>
          <w:b/>
          <w:bCs/>
          <w:noProof/>
          <w:sz w:val="24"/>
          <w:u w:val="single"/>
          <w:lang w:val="sk-SK"/>
        </w:rPr>
      </w:pPr>
      <w:r w:rsidRPr="00083739">
        <w:rPr>
          <w:rFonts w:ascii="Times New Roman" w:hAnsi="Times New Roman" w:cs="Times New Roman"/>
          <w:b/>
          <w:noProof/>
          <w:sz w:val="24"/>
          <w:u w:val="single"/>
          <w:lang w:val="sk-SK"/>
        </w:rPr>
        <w:t xml:space="preserve">C.2. </w:t>
      </w:r>
      <w:r w:rsidRPr="00083739">
        <w:rPr>
          <w:rFonts w:ascii="Times New Roman" w:hAnsi="Times New Roman" w:cs="Times New Roman"/>
          <w:noProof/>
          <w:lang w:val="sk-SK"/>
        </w:rPr>
        <w:t xml:space="preserve"> </w:t>
      </w:r>
      <w:r w:rsidRPr="00083739">
        <w:rPr>
          <w:rFonts w:ascii="Times New Roman" w:hAnsi="Times New Roman" w:cs="Times New Roman"/>
          <w:b/>
          <w:noProof/>
          <w:sz w:val="24"/>
          <w:u w:val="single"/>
          <w:lang w:val="sk-SK"/>
        </w:rPr>
        <w:t>Míľniky, ciele, ukazovatele</w:t>
      </w:r>
      <w:r w:rsidR="00083739" w:rsidRPr="00083739">
        <w:rPr>
          <w:rFonts w:ascii="Times New Roman" w:hAnsi="Times New Roman" w:cs="Times New Roman"/>
          <w:b/>
          <w:noProof/>
          <w:sz w:val="24"/>
          <w:u w:val="single"/>
          <w:lang w:val="sk-SK"/>
        </w:rPr>
        <w:t xml:space="preserve"> a </w:t>
      </w:r>
      <w:r w:rsidRPr="00083739">
        <w:rPr>
          <w:rFonts w:ascii="Times New Roman" w:hAnsi="Times New Roman" w:cs="Times New Roman"/>
          <w:b/>
          <w:noProof/>
          <w:sz w:val="24"/>
          <w:u w:val="single"/>
          <w:lang w:val="sk-SK"/>
        </w:rPr>
        <w:t>harmonogram monitorovania</w:t>
      </w:r>
      <w:r w:rsidR="00083739" w:rsidRPr="00083739">
        <w:rPr>
          <w:rFonts w:ascii="Times New Roman" w:hAnsi="Times New Roman" w:cs="Times New Roman"/>
          <w:b/>
          <w:noProof/>
          <w:sz w:val="24"/>
          <w:u w:val="single"/>
          <w:lang w:val="sk-SK"/>
        </w:rPr>
        <w:t xml:space="preserve"> a </w:t>
      </w:r>
      <w:r w:rsidRPr="00083739">
        <w:rPr>
          <w:rFonts w:ascii="Times New Roman" w:hAnsi="Times New Roman" w:cs="Times New Roman"/>
          <w:b/>
          <w:noProof/>
          <w:sz w:val="24"/>
          <w:u w:val="single"/>
          <w:lang w:val="sk-SK"/>
        </w:rPr>
        <w:t>realizácie pre nenávratnú finančnú podporu</w:t>
      </w:r>
    </w:p>
    <w:p w14:paraId="5314B92A" w14:textId="77777777" w:rsidR="002D49B0" w:rsidRPr="00083739" w:rsidRDefault="002D49B0">
      <w:pPr>
        <w:rPr>
          <w:rFonts w:ascii="Times New Roman" w:hAnsi="Times New Roman" w:cs="Times New Roman"/>
          <w:noProof/>
          <w:lang w:val="sk-SK"/>
        </w:rPr>
      </w:pPr>
    </w:p>
    <w:p w14:paraId="5D1053CD" w14:textId="650AA33D" w:rsidR="002D49B0" w:rsidRPr="00083739" w:rsidRDefault="00BF4125">
      <w:pPr>
        <w:pStyle w:val="P68B1DB1-Normal6"/>
        <w:keepNext/>
        <w:keepLines/>
        <w:spacing w:before="40" w:after="0" w:line="240" w:lineRule="auto"/>
        <w:jc w:val="both"/>
        <w:outlineLvl w:val="4"/>
        <w:rPr>
          <w:rFonts w:ascii="Times New Roman" w:eastAsia="Times New Roman" w:hAnsi="Times New Roman" w:cs="Times New Roman"/>
          <w:noProof/>
          <w:lang w:val="sk-SK"/>
        </w:rPr>
      </w:pPr>
      <w:r w:rsidRPr="00083739">
        <w:rPr>
          <w:rFonts w:ascii="Times New Roman" w:hAnsi="Times New Roman" w:cs="Times New Roman"/>
          <w:noProof/>
          <w:lang w:val="sk-SK"/>
        </w:rPr>
        <w:t>Kľúčová reforma 3: Rámec pre inštaláciu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prevádzku infraštruktúry nabíjacích staníc pre elektrické vozidlá</w:t>
      </w:r>
    </w:p>
    <w:tbl>
      <w:tblPr>
        <w:tblpPr w:leftFromText="180" w:rightFromText="180" w:vertAnchor="text" w:tblpXSpec="center" w:tblpY="1"/>
        <w:tblOverlap w:val="never"/>
        <w:tblW w:w="15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1596"/>
        <w:gridCol w:w="1115"/>
        <w:gridCol w:w="1197"/>
        <w:gridCol w:w="1717"/>
        <w:gridCol w:w="1246"/>
        <w:gridCol w:w="1090"/>
        <w:gridCol w:w="709"/>
        <w:gridCol w:w="1167"/>
        <w:gridCol w:w="851"/>
        <w:gridCol w:w="4438"/>
      </w:tblGrid>
      <w:tr w:rsidR="002D49B0" w:rsidRPr="00083739" w14:paraId="096DCA69" w14:textId="77777777">
        <w:trPr>
          <w:trHeight w:val="927"/>
          <w:tblHeader/>
        </w:trPr>
        <w:tc>
          <w:tcPr>
            <w:tcW w:w="1027" w:type="dxa"/>
            <w:vMerge w:val="restart"/>
            <w:shd w:val="clear" w:color="auto" w:fill="BDD7EE"/>
            <w:vAlign w:val="center"/>
            <w:hideMark/>
          </w:tcPr>
          <w:p w14:paraId="566BCD9E"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Poradové číslo</w:t>
            </w:r>
          </w:p>
        </w:tc>
        <w:tc>
          <w:tcPr>
            <w:tcW w:w="1596" w:type="dxa"/>
            <w:vMerge w:val="restart"/>
            <w:shd w:val="clear" w:color="auto" w:fill="BDD7EE"/>
            <w:vAlign w:val="center"/>
            <w:hideMark/>
          </w:tcPr>
          <w:p w14:paraId="00BC00B1"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Súvisiace opatrenie (reforma alebo investícia)</w:t>
            </w:r>
          </w:p>
        </w:tc>
        <w:tc>
          <w:tcPr>
            <w:tcW w:w="966" w:type="dxa"/>
            <w:vMerge w:val="restart"/>
            <w:shd w:val="clear" w:color="auto" w:fill="BDD7EE"/>
            <w:vAlign w:val="center"/>
            <w:hideMark/>
          </w:tcPr>
          <w:p w14:paraId="4773350E"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Míľnik/cieľ</w:t>
            </w:r>
          </w:p>
        </w:tc>
        <w:tc>
          <w:tcPr>
            <w:tcW w:w="1197" w:type="dxa"/>
            <w:vMerge w:val="restart"/>
            <w:shd w:val="clear" w:color="auto" w:fill="BDD7EE"/>
            <w:vAlign w:val="center"/>
            <w:hideMark/>
          </w:tcPr>
          <w:p w14:paraId="29C7411D"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Názov</w:t>
            </w:r>
          </w:p>
        </w:tc>
        <w:tc>
          <w:tcPr>
            <w:tcW w:w="1717" w:type="dxa"/>
            <w:vMerge w:val="restart"/>
            <w:shd w:val="clear" w:color="auto" w:fill="BDD7EE"/>
            <w:vAlign w:val="center"/>
            <w:hideMark/>
          </w:tcPr>
          <w:p w14:paraId="5C19D179"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Kvalitatívne ukazovatele</w:t>
            </w:r>
            <w:r w:rsidRPr="00083739">
              <w:rPr>
                <w:rFonts w:cs="Times New Roman"/>
                <w:noProof/>
                <w:lang w:val="sk-SK"/>
              </w:rPr>
              <w:t xml:space="preserve"> (pre míľniky)</w:t>
            </w:r>
          </w:p>
        </w:tc>
        <w:tc>
          <w:tcPr>
            <w:tcW w:w="2961" w:type="dxa"/>
            <w:gridSpan w:val="3"/>
            <w:shd w:val="clear" w:color="auto" w:fill="BDD7EE"/>
            <w:vAlign w:val="center"/>
            <w:hideMark/>
          </w:tcPr>
          <w:p w14:paraId="6585E3EC"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Kvantitatívne ukazovatele (pre ciele)</w:t>
            </w:r>
          </w:p>
        </w:tc>
        <w:tc>
          <w:tcPr>
            <w:tcW w:w="1843" w:type="dxa"/>
            <w:gridSpan w:val="2"/>
            <w:shd w:val="clear" w:color="auto" w:fill="BDD7EE"/>
            <w:vAlign w:val="center"/>
            <w:hideMark/>
          </w:tcPr>
          <w:p w14:paraId="5C85D430"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Orientačný harmonogram dokončenia </w:t>
            </w:r>
          </w:p>
        </w:tc>
        <w:tc>
          <w:tcPr>
            <w:tcW w:w="4438" w:type="dxa"/>
            <w:vMerge w:val="restart"/>
            <w:shd w:val="clear" w:color="auto" w:fill="BDD7EE"/>
            <w:vAlign w:val="center"/>
            <w:hideMark/>
          </w:tcPr>
          <w:p w14:paraId="152A0E28" w14:textId="04D1E728"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Opis každého míľnika</w:t>
            </w:r>
            <w:r w:rsidR="00083739" w:rsidRPr="00083739">
              <w:rPr>
                <w:rFonts w:cs="Times New Roman"/>
                <w:noProof/>
                <w:lang w:val="sk-SK"/>
              </w:rPr>
              <w:t xml:space="preserve"> a </w:t>
            </w:r>
            <w:r w:rsidRPr="00083739">
              <w:rPr>
                <w:rFonts w:cs="Times New Roman"/>
                <w:noProof/>
                <w:lang w:val="sk-SK"/>
              </w:rPr>
              <w:t>cieľa</w:t>
            </w:r>
          </w:p>
        </w:tc>
      </w:tr>
      <w:tr w:rsidR="002D49B0" w:rsidRPr="00083739" w14:paraId="50537E29" w14:textId="77777777">
        <w:trPr>
          <w:trHeight w:val="619"/>
        </w:trPr>
        <w:tc>
          <w:tcPr>
            <w:tcW w:w="1027" w:type="dxa"/>
            <w:vMerge/>
            <w:vAlign w:val="center"/>
            <w:hideMark/>
          </w:tcPr>
          <w:p w14:paraId="53FAC242"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596" w:type="dxa"/>
            <w:vMerge/>
            <w:vAlign w:val="center"/>
            <w:hideMark/>
          </w:tcPr>
          <w:p w14:paraId="55FB4CF2"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966" w:type="dxa"/>
            <w:vMerge/>
            <w:vAlign w:val="center"/>
            <w:hideMark/>
          </w:tcPr>
          <w:p w14:paraId="24C3BA21"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197" w:type="dxa"/>
            <w:vMerge/>
            <w:vAlign w:val="center"/>
            <w:hideMark/>
          </w:tcPr>
          <w:p w14:paraId="03C85224"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717" w:type="dxa"/>
            <w:vMerge/>
            <w:vAlign w:val="center"/>
            <w:hideMark/>
          </w:tcPr>
          <w:p w14:paraId="3703F3DD"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162" w:type="dxa"/>
            <w:shd w:val="clear" w:color="auto" w:fill="BDD7EE"/>
            <w:vAlign w:val="center"/>
            <w:hideMark/>
          </w:tcPr>
          <w:p w14:paraId="2DAF3563"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Merná jednotka</w:t>
            </w:r>
          </w:p>
        </w:tc>
        <w:tc>
          <w:tcPr>
            <w:tcW w:w="1090" w:type="dxa"/>
            <w:shd w:val="clear" w:color="auto" w:fill="BDD7EE"/>
            <w:vAlign w:val="center"/>
            <w:hideMark/>
          </w:tcPr>
          <w:p w14:paraId="359FD11C"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Základná </w:t>
            </w:r>
          </w:p>
        </w:tc>
        <w:tc>
          <w:tcPr>
            <w:tcW w:w="709" w:type="dxa"/>
            <w:shd w:val="clear" w:color="auto" w:fill="BDD7EE"/>
            <w:vAlign w:val="center"/>
            <w:hideMark/>
          </w:tcPr>
          <w:p w14:paraId="4F25F736"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Cieľ </w:t>
            </w:r>
          </w:p>
        </w:tc>
        <w:tc>
          <w:tcPr>
            <w:tcW w:w="992" w:type="dxa"/>
            <w:shd w:val="clear" w:color="auto" w:fill="BDD7EE"/>
            <w:vAlign w:val="center"/>
            <w:hideMark/>
          </w:tcPr>
          <w:p w14:paraId="7E89BCDD"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Štvrtina</w:t>
            </w:r>
          </w:p>
        </w:tc>
        <w:tc>
          <w:tcPr>
            <w:tcW w:w="851" w:type="dxa"/>
            <w:shd w:val="clear" w:color="auto" w:fill="BDD7EE"/>
            <w:vAlign w:val="center"/>
            <w:hideMark/>
          </w:tcPr>
          <w:p w14:paraId="051F59DB"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Rok</w:t>
            </w:r>
          </w:p>
        </w:tc>
        <w:tc>
          <w:tcPr>
            <w:tcW w:w="4438" w:type="dxa"/>
            <w:vMerge/>
            <w:vAlign w:val="center"/>
            <w:hideMark/>
          </w:tcPr>
          <w:p w14:paraId="1EC6EBDF"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r>
      <w:tr w:rsidR="002D49B0" w:rsidRPr="00083739" w14:paraId="22D3F8DA" w14:textId="77777777">
        <w:trPr>
          <w:trHeight w:val="309"/>
        </w:trPr>
        <w:tc>
          <w:tcPr>
            <w:tcW w:w="1027" w:type="dxa"/>
            <w:shd w:val="clear" w:color="auto" w:fill="C6EFCE"/>
            <w:noWrap/>
          </w:tcPr>
          <w:p w14:paraId="2E1BD4E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42</w:t>
            </w:r>
          </w:p>
        </w:tc>
        <w:tc>
          <w:tcPr>
            <w:tcW w:w="1596" w:type="dxa"/>
            <w:shd w:val="clear" w:color="auto" w:fill="C6EFCE"/>
            <w:noWrap/>
          </w:tcPr>
          <w:p w14:paraId="7CC41608" w14:textId="024C23F1"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 – 1.3. Dobíjanie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dopĺňanie paliva – 16281_Rámec pre inštaláciu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prevádzku </w:t>
            </w:r>
            <w:r w:rsidRPr="00083739">
              <w:rPr>
                <w:rFonts w:ascii="Times New Roman" w:hAnsi="Times New Roman" w:cs="Times New Roman"/>
                <w:noProof/>
                <w:lang w:val="sk-SK"/>
              </w:rPr>
              <w:t>nabíjacej infraštruktúry pre elektrické vozidlá</w:t>
            </w:r>
          </w:p>
        </w:tc>
        <w:tc>
          <w:tcPr>
            <w:tcW w:w="966" w:type="dxa"/>
            <w:shd w:val="clear" w:color="auto" w:fill="C6EFCE"/>
            <w:noWrap/>
          </w:tcPr>
          <w:p w14:paraId="098E28D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197" w:type="dxa"/>
            <w:shd w:val="clear" w:color="auto" w:fill="C6EFCE"/>
            <w:noWrap/>
          </w:tcPr>
          <w:p w14:paraId="2DC29F2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Nabíjacie stanice pre elektrické vozidlá – nadobudnutie účinnosti právneho rámca</w:t>
            </w:r>
          </w:p>
        </w:tc>
        <w:tc>
          <w:tcPr>
            <w:tcW w:w="1717" w:type="dxa"/>
            <w:shd w:val="clear" w:color="auto" w:fill="C6EFCE"/>
            <w:noWrap/>
          </w:tcPr>
          <w:p w14:paraId="1E6027C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prijatých ministerských rozhodnutí.</w:t>
            </w:r>
          </w:p>
        </w:tc>
        <w:tc>
          <w:tcPr>
            <w:tcW w:w="1162" w:type="dxa"/>
            <w:shd w:val="clear" w:color="auto" w:fill="C6EFCE"/>
            <w:noWrap/>
          </w:tcPr>
          <w:p w14:paraId="69E204BB"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90" w:type="dxa"/>
            <w:shd w:val="clear" w:color="auto" w:fill="C6EFCE"/>
            <w:noWrap/>
          </w:tcPr>
          <w:p w14:paraId="1EDC702C"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709" w:type="dxa"/>
            <w:shd w:val="clear" w:color="auto" w:fill="C6EFCE"/>
            <w:noWrap/>
          </w:tcPr>
          <w:p w14:paraId="09C81397"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2" w:type="dxa"/>
            <w:shd w:val="clear" w:color="auto" w:fill="C6EFCE"/>
            <w:noWrap/>
          </w:tcPr>
          <w:p w14:paraId="5BA445E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TRETÍ ŠTVRŤROK</w:t>
            </w:r>
          </w:p>
        </w:tc>
        <w:tc>
          <w:tcPr>
            <w:tcW w:w="851" w:type="dxa"/>
            <w:shd w:val="clear" w:color="auto" w:fill="C6EFCE"/>
            <w:noWrap/>
          </w:tcPr>
          <w:p w14:paraId="481A4B5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2021</w:t>
            </w:r>
          </w:p>
        </w:tc>
        <w:tc>
          <w:tcPr>
            <w:tcW w:w="4438" w:type="dxa"/>
            <w:shd w:val="clear" w:color="auto" w:fill="C6EFCE"/>
            <w:noWrap/>
          </w:tcPr>
          <w:p w14:paraId="33C83632" w14:textId="6A99249D"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všetkých minist</w:t>
            </w:r>
            <w:r w:rsidRPr="00083739">
              <w:rPr>
                <w:rFonts w:ascii="Times New Roman" w:hAnsi="Times New Roman" w:cs="Times New Roman"/>
                <w:noProof/>
                <w:lang w:val="sk-SK"/>
              </w:rPr>
              <w:t>erských rozhodnutí stanovených</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zákone č. 4710/2020</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podpísaných ministrom životného prostredia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energetiky; Minister infraštruktúry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dopravy, minister vnútra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minister financií, ktorý organizuje trh</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elektrickými vozidlami, so zameraním na trh</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nabíjacími službami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poskytuje daňové stimuly na nákup elektrických vozidiel</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inštaláciu nabíjacej infraštruktúry pre elektrické vozidlá.</w:t>
            </w:r>
          </w:p>
        </w:tc>
      </w:tr>
      <w:tr w:rsidR="002D49B0" w:rsidRPr="00083739" w14:paraId="0E08AC90" w14:textId="77777777">
        <w:trPr>
          <w:trHeight w:val="309"/>
        </w:trPr>
        <w:tc>
          <w:tcPr>
            <w:tcW w:w="1027" w:type="dxa"/>
            <w:shd w:val="clear" w:color="auto" w:fill="C6EFCE"/>
            <w:noWrap/>
          </w:tcPr>
          <w:p w14:paraId="38FE911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43</w:t>
            </w:r>
          </w:p>
        </w:tc>
        <w:tc>
          <w:tcPr>
            <w:tcW w:w="1596" w:type="dxa"/>
            <w:shd w:val="clear" w:color="auto" w:fill="C6EFCE"/>
            <w:noWrap/>
          </w:tcPr>
          <w:p w14:paraId="19122882" w14:textId="5666A47E"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 – 1.3. Dobíjanie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dopĺňanie paliva – 16281_Rámec pre inštaláciu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prevádzku nabíjacej infraštruktúry pre </w:t>
            </w:r>
            <w:r w:rsidRPr="00083739">
              <w:rPr>
                <w:rFonts w:ascii="Times New Roman" w:hAnsi="Times New Roman" w:cs="Times New Roman"/>
                <w:noProof/>
                <w:lang w:val="sk-SK"/>
              </w:rPr>
              <w:t>elektrické vozidlá</w:t>
            </w:r>
          </w:p>
        </w:tc>
        <w:tc>
          <w:tcPr>
            <w:tcW w:w="966" w:type="dxa"/>
            <w:shd w:val="clear" w:color="auto" w:fill="C6EFCE"/>
            <w:noWrap/>
          </w:tcPr>
          <w:p w14:paraId="68A8B95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Cieľ</w:t>
            </w:r>
          </w:p>
        </w:tc>
        <w:tc>
          <w:tcPr>
            <w:tcW w:w="1197" w:type="dxa"/>
            <w:shd w:val="clear" w:color="auto" w:fill="C6EFCE"/>
            <w:noWrap/>
          </w:tcPr>
          <w:p w14:paraId="2BDA848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Nabíjacie stanice pre elektrické vozidlá – miestne plány schválené</w:t>
            </w:r>
          </w:p>
        </w:tc>
        <w:tc>
          <w:tcPr>
            <w:tcW w:w="1717" w:type="dxa"/>
            <w:shd w:val="clear" w:color="auto" w:fill="C6EFCE"/>
            <w:noWrap/>
          </w:tcPr>
          <w:p w14:paraId="791B5E5F"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162" w:type="dxa"/>
            <w:shd w:val="clear" w:color="auto" w:fill="C6EFCE"/>
            <w:noWrap/>
          </w:tcPr>
          <w:p w14:paraId="2A006437" w14:textId="25D5C32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Počet plánov prijatých ministerstvom životného prostredia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energetiky</w:t>
            </w:r>
          </w:p>
        </w:tc>
        <w:tc>
          <w:tcPr>
            <w:tcW w:w="1090" w:type="dxa"/>
            <w:shd w:val="clear" w:color="auto" w:fill="C6EFCE"/>
            <w:noWrap/>
          </w:tcPr>
          <w:p w14:paraId="6C1155A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0</w:t>
            </w:r>
          </w:p>
        </w:tc>
        <w:tc>
          <w:tcPr>
            <w:tcW w:w="709" w:type="dxa"/>
            <w:shd w:val="clear" w:color="auto" w:fill="C6EFCE"/>
            <w:noWrap/>
          </w:tcPr>
          <w:p w14:paraId="700F4F3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300</w:t>
            </w:r>
          </w:p>
        </w:tc>
        <w:tc>
          <w:tcPr>
            <w:tcW w:w="992" w:type="dxa"/>
            <w:shd w:val="clear" w:color="auto" w:fill="C6EFCE"/>
            <w:noWrap/>
          </w:tcPr>
          <w:p w14:paraId="165FCF4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851" w:type="dxa"/>
            <w:shd w:val="clear" w:color="auto" w:fill="C6EFCE"/>
            <w:noWrap/>
          </w:tcPr>
          <w:p w14:paraId="749F6A7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2022</w:t>
            </w:r>
          </w:p>
        </w:tc>
        <w:tc>
          <w:tcPr>
            <w:tcW w:w="4438" w:type="dxa"/>
            <w:shd w:val="clear" w:color="auto" w:fill="C6EFCE"/>
            <w:noWrap/>
          </w:tcPr>
          <w:p w14:paraId="22C58193" w14:textId="563A1F0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Ministerstvo životného prostredia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energetiky prijalo najmenej </w:t>
            </w:r>
            <w:r w:rsidRPr="00083739">
              <w:rPr>
                <w:rFonts w:ascii="Times New Roman" w:hAnsi="Times New Roman" w:cs="Times New Roman"/>
                <w:noProof/>
                <w:lang w:val="sk-SK"/>
              </w:rPr>
              <w:t>300 plánov na inštaláciu verejne dostupných nabíjacích staníc pre elektrické vozidlá, ktoré predložili miestne orgány.</w:t>
            </w:r>
          </w:p>
        </w:tc>
      </w:tr>
    </w:tbl>
    <w:p w14:paraId="7DD0C0B6" w14:textId="77777777" w:rsidR="002D49B0" w:rsidRPr="00083739" w:rsidRDefault="002D49B0">
      <w:pPr>
        <w:spacing w:before="120" w:after="120" w:line="240" w:lineRule="auto"/>
        <w:ind w:left="709"/>
        <w:jc w:val="both"/>
        <w:rPr>
          <w:rFonts w:ascii="Times New Roman" w:hAnsi="Times New Roman" w:cs="Times New Roman"/>
          <w:noProof/>
          <w:sz w:val="24"/>
          <w:szCs w:val="24"/>
          <w:lang w:val="sk-SK"/>
        </w:rPr>
      </w:pPr>
    </w:p>
    <w:p w14:paraId="4C7E135B" w14:textId="77777777" w:rsidR="002D49B0" w:rsidRPr="00083739" w:rsidRDefault="00BF4125">
      <w:pPr>
        <w:pStyle w:val="P68B1DB1-Normal6"/>
        <w:keepNext/>
        <w:keepLines/>
        <w:spacing w:before="40" w:after="0" w:line="240" w:lineRule="auto"/>
        <w:jc w:val="both"/>
        <w:outlineLvl w:val="4"/>
        <w:rPr>
          <w:rFonts w:ascii="Times New Roman" w:eastAsia="Times New Roman" w:hAnsi="Times New Roman" w:cs="Times New Roman"/>
          <w:noProof/>
          <w:lang w:val="sk-SK"/>
        </w:rPr>
      </w:pPr>
      <w:r w:rsidRPr="00083739">
        <w:rPr>
          <w:rFonts w:ascii="Times New Roman" w:hAnsi="Times New Roman" w:cs="Times New Roman"/>
          <w:noProof/>
          <w:lang w:val="sk-SK"/>
        </w:rPr>
        <w:t>Skupina 4: Elektromobilita</w:t>
      </w:r>
    </w:p>
    <w:p w14:paraId="1BB97309" w14:textId="77777777" w:rsidR="002D49B0" w:rsidRPr="00083739" w:rsidRDefault="00BF4125">
      <w:pPr>
        <w:pStyle w:val="P68B1DB1-Normal4"/>
        <w:spacing w:before="120" w:after="120" w:line="240" w:lineRule="auto"/>
        <w:ind w:left="709"/>
        <w:rPr>
          <w:rFonts w:cs="Times New Roman"/>
          <w:noProof/>
          <w:lang w:val="sk-SK"/>
        </w:rPr>
      </w:pPr>
      <w:r w:rsidRPr="00083739">
        <w:rPr>
          <w:rFonts w:cs="Times New Roman"/>
          <w:noProof/>
          <w:lang w:val="sk-SK"/>
        </w:rPr>
        <w:t>Do tejto skupiny patria tieto opatrenia:</w:t>
      </w:r>
    </w:p>
    <w:p w14:paraId="347EE61B" w14:textId="77777777" w:rsidR="002D49B0" w:rsidRPr="00083739" w:rsidRDefault="00BF4125">
      <w:pPr>
        <w:spacing w:before="120" w:after="120" w:line="240" w:lineRule="auto"/>
        <w:ind w:left="709"/>
        <w:rPr>
          <w:rFonts w:ascii="Times New Roman" w:hAnsi="Times New Roman" w:cs="Times New Roman"/>
          <w:noProof/>
          <w:sz w:val="24"/>
          <w:lang w:val="sk-SK"/>
        </w:rPr>
      </w:pPr>
      <w:r w:rsidRPr="00083739">
        <w:rPr>
          <w:rFonts w:ascii="Times New Roman" w:hAnsi="Times New Roman" w:cs="Times New Roman"/>
          <w:noProof/>
          <w:sz w:val="24"/>
          <w:lang w:val="sk-SK"/>
        </w:rPr>
        <w:t>●</w:t>
      </w:r>
      <w:r w:rsidRPr="00083739">
        <w:rPr>
          <w:rFonts w:ascii="Times New Roman" w:hAnsi="Times New Roman" w:cs="Times New Roman"/>
          <w:noProof/>
          <w:lang w:val="sk-SK"/>
        </w:rPr>
        <w:t xml:space="preserve"> </w:t>
      </w:r>
      <w:r w:rsidRPr="00083739">
        <w:rPr>
          <w:rFonts w:ascii="Times New Roman" w:hAnsi="Times New Roman" w:cs="Times New Roman"/>
          <w:noProof/>
          <w:sz w:val="24"/>
          <w:lang w:val="sk-SK"/>
        </w:rPr>
        <w:t>Výroba – Ekologická (ID: 16831)</w:t>
      </w:r>
    </w:p>
    <w:p w14:paraId="4EEF57BD" w14:textId="3744B21F" w:rsidR="002D49B0" w:rsidRPr="00083739" w:rsidRDefault="00BF4125">
      <w:pPr>
        <w:spacing w:before="120" w:after="120" w:line="240" w:lineRule="auto"/>
        <w:ind w:left="709"/>
        <w:rPr>
          <w:rFonts w:ascii="Times New Roman" w:hAnsi="Times New Roman" w:cs="Times New Roman"/>
          <w:noProof/>
          <w:sz w:val="24"/>
          <w:lang w:val="sk-SK"/>
        </w:rPr>
      </w:pPr>
      <w:r w:rsidRPr="00083739">
        <w:rPr>
          <w:rFonts w:ascii="Times New Roman" w:hAnsi="Times New Roman" w:cs="Times New Roman"/>
          <w:noProof/>
          <w:sz w:val="24"/>
          <w:lang w:val="sk-SK"/>
        </w:rPr>
        <w:t>●</w:t>
      </w:r>
      <w:r w:rsidRPr="00083739">
        <w:rPr>
          <w:rFonts w:ascii="Times New Roman" w:hAnsi="Times New Roman" w:cs="Times New Roman"/>
          <w:noProof/>
          <w:lang w:val="sk-SK"/>
        </w:rPr>
        <w:t xml:space="preserve"> </w:t>
      </w:r>
      <w:r w:rsidRPr="00083739">
        <w:rPr>
          <w:rFonts w:ascii="Times New Roman" w:hAnsi="Times New Roman" w:cs="Times New Roman"/>
          <w:noProof/>
          <w:sz w:val="24"/>
          <w:lang w:val="sk-SK"/>
        </w:rPr>
        <w:t xml:space="preserve">Elektromobilita (ID: 16924) </w:t>
      </w:r>
    </w:p>
    <w:tbl>
      <w:tblPr>
        <w:tblW w:w="15276" w:type="dxa"/>
        <w:tblInd w:w="113" w:type="dxa"/>
        <w:tblLook w:val="04A0" w:firstRow="1" w:lastRow="0" w:firstColumn="1" w:lastColumn="0" w:noHBand="0" w:noVBand="1"/>
      </w:tblPr>
      <w:tblGrid>
        <w:gridCol w:w="975"/>
        <w:gridCol w:w="1351"/>
        <w:gridCol w:w="1137"/>
        <w:gridCol w:w="1513"/>
        <w:gridCol w:w="2242"/>
        <w:gridCol w:w="1382"/>
        <w:gridCol w:w="1007"/>
        <w:gridCol w:w="824"/>
        <w:gridCol w:w="1163"/>
        <w:gridCol w:w="678"/>
        <w:gridCol w:w="3004"/>
      </w:tblGrid>
      <w:tr w:rsidR="002D49B0" w:rsidRPr="00083739" w14:paraId="4B974AD3" w14:textId="77777777" w:rsidTr="006B0378">
        <w:trPr>
          <w:trHeight w:val="939"/>
          <w:tblHeader/>
        </w:trPr>
        <w:tc>
          <w:tcPr>
            <w:tcW w:w="98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F05DB21"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Poradové číslo</w:t>
            </w:r>
          </w:p>
        </w:tc>
        <w:tc>
          <w:tcPr>
            <w:tcW w:w="133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EB4694A"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Súvisiace opatrenie (reforma alebo investícia)</w:t>
            </w:r>
          </w:p>
        </w:tc>
        <w:tc>
          <w:tcPr>
            <w:tcW w:w="114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A380FBA"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Míľnik/cieľ</w:t>
            </w:r>
          </w:p>
        </w:tc>
        <w:tc>
          <w:tcPr>
            <w:tcW w:w="1496" w:type="dxa"/>
            <w:vMerge w:val="restart"/>
            <w:tcBorders>
              <w:top w:val="single" w:sz="4" w:space="0" w:color="auto"/>
              <w:left w:val="nil"/>
              <w:bottom w:val="single" w:sz="4" w:space="0" w:color="auto"/>
              <w:right w:val="single" w:sz="4" w:space="0" w:color="auto"/>
            </w:tcBorders>
            <w:shd w:val="clear" w:color="auto" w:fill="BDD7EE"/>
            <w:vAlign w:val="center"/>
            <w:hideMark/>
          </w:tcPr>
          <w:p w14:paraId="33C0363A"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Názov</w:t>
            </w:r>
          </w:p>
        </w:tc>
        <w:tc>
          <w:tcPr>
            <w:tcW w:w="225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FED18DF"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Kvalitatívne ukazovatele (pre míľniky)</w:t>
            </w:r>
          </w:p>
        </w:tc>
        <w:tc>
          <w:tcPr>
            <w:tcW w:w="3225" w:type="dxa"/>
            <w:gridSpan w:val="3"/>
            <w:tcBorders>
              <w:top w:val="single" w:sz="4" w:space="0" w:color="auto"/>
              <w:left w:val="nil"/>
              <w:bottom w:val="single" w:sz="4" w:space="0" w:color="auto"/>
              <w:right w:val="single" w:sz="4" w:space="0" w:color="auto"/>
            </w:tcBorders>
            <w:shd w:val="clear" w:color="auto" w:fill="BDD7EE"/>
            <w:vAlign w:val="center"/>
            <w:hideMark/>
          </w:tcPr>
          <w:p w14:paraId="75E01FFD"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Kvantitatívne ukazovatele (pre ciele)</w:t>
            </w:r>
          </w:p>
        </w:tc>
        <w:tc>
          <w:tcPr>
            <w:tcW w:w="1830" w:type="dxa"/>
            <w:gridSpan w:val="2"/>
            <w:tcBorders>
              <w:top w:val="single" w:sz="4" w:space="0" w:color="auto"/>
              <w:left w:val="nil"/>
              <w:bottom w:val="single" w:sz="4" w:space="0" w:color="auto"/>
              <w:right w:val="single" w:sz="4" w:space="0" w:color="auto"/>
            </w:tcBorders>
            <w:shd w:val="clear" w:color="auto" w:fill="BDD7EE"/>
            <w:vAlign w:val="center"/>
            <w:hideMark/>
          </w:tcPr>
          <w:p w14:paraId="32382C37"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Orientačný harmonogram dokončenia </w:t>
            </w:r>
          </w:p>
        </w:tc>
        <w:tc>
          <w:tcPr>
            <w:tcW w:w="301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00504D6" w14:textId="5CDD352D"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Opis každého míľnika</w:t>
            </w:r>
            <w:r w:rsidR="00083739" w:rsidRPr="00083739">
              <w:rPr>
                <w:rFonts w:cs="Times New Roman"/>
                <w:noProof/>
                <w:lang w:val="sk-SK"/>
              </w:rPr>
              <w:t xml:space="preserve"> a </w:t>
            </w:r>
            <w:r w:rsidRPr="00083739">
              <w:rPr>
                <w:rFonts w:cs="Times New Roman"/>
                <w:noProof/>
                <w:lang w:val="sk-SK"/>
              </w:rPr>
              <w:t>cieľa</w:t>
            </w:r>
          </w:p>
        </w:tc>
      </w:tr>
      <w:tr w:rsidR="002D49B0" w:rsidRPr="00083739" w14:paraId="25FCC058" w14:textId="77777777" w:rsidTr="006B0378">
        <w:trPr>
          <w:trHeight w:val="531"/>
          <w:tblHeader/>
        </w:trPr>
        <w:tc>
          <w:tcPr>
            <w:tcW w:w="980" w:type="dxa"/>
            <w:vMerge/>
            <w:tcBorders>
              <w:top w:val="single" w:sz="4" w:space="0" w:color="auto"/>
              <w:left w:val="single" w:sz="4" w:space="0" w:color="auto"/>
              <w:bottom w:val="single" w:sz="4" w:space="0" w:color="auto"/>
              <w:right w:val="single" w:sz="4" w:space="0" w:color="auto"/>
            </w:tcBorders>
            <w:vAlign w:val="center"/>
            <w:hideMark/>
          </w:tcPr>
          <w:p w14:paraId="061E6CA1"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336" w:type="dxa"/>
            <w:vMerge/>
            <w:tcBorders>
              <w:top w:val="single" w:sz="4" w:space="0" w:color="auto"/>
              <w:left w:val="single" w:sz="4" w:space="0" w:color="auto"/>
              <w:bottom w:val="single" w:sz="4" w:space="0" w:color="auto"/>
              <w:right w:val="single" w:sz="4" w:space="0" w:color="auto"/>
            </w:tcBorders>
            <w:vAlign w:val="center"/>
            <w:hideMark/>
          </w:tcPr>
          <w:p w14:paraId="583A0626"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141" w:type="dxa"/>
            <w:vMerge/>
            <w:tcBorders>
              <w:top w:val="single" w:sz="4" w:space="0" w:color="auto"/>
              <w:left w:val="single" w:sz="4" w:space="0" w:color="auto"/>
              <w:bottom w:val="single" w:sz="4" w:space="0" w:color="auto"/>
              <w:right w:val="single" w:sz="4" w:space="0" w:color="auto"/>
            </w:tcBorders>
            <w:vAlign w:val="center"/>
            <w:hideMark/>
          </w:tcPr>
          <w:p w14:paraId="450AB958"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496" w:type="dxa"/>
            <w:vMerge/>
            <w:tcBorders>
              <w:top w:val="single" w:sz="4" w:space="0" w:color="auto"/>
              <w:left w:val="single" w:sz="4" w:space="0" w:color="auto"/>
              <w:bottom w:val="single" w:sz="4" w:space="0" w:color="auto"/>
              <w:right w:val="single" w:sz="4" w:space="0" w:color="auto"/>
            </w:tcBorders>
            <w:vAlign w:val="center"/>
            <w:hideMark/>
          </w:tcPr>
          <w:p w14:paraId="47754121"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2251" w:type="dxa"/>
            <w:vMerge/>
            <w:tcBorders>
              <w:top w:val="single" w:sz="4" w:space="0" w:color="auto"/>
              <w:left w:val="single" w:sz="4" w:space="0" w:color="auto"/>
              <w:bottom w:val="single" w:sz="4" w:space="0" w:color="auto"/>
              <w:right w:val="single" w:sz="4" w:space="0" w:color="auto"/>
            </w:tcBorders>
            <w:vAlign w:val="center"/>
            <w:hideMark/>
          </w:tcPr>
          <w:p w14:paraId="785078DC"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387"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42398303"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Merná jednotka</w:t>
            </w:r>
          </w:p>
        </w:tc>
        <w:tc>
          <w:tcPr>
            <w:tcW w:w="1011"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3363E3EE"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Základná </w:t>
            </w:r>
          </w:p>
        </w:tc>
        <w:tc>
          <w:tcPr>
            <w:tcW w:w="827"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1A2BF323"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Cieľ </w:t>
            </w:r>
          </w:p>
        </w:tc>
        <w:tc>
          <w:tcPr>
            <w:tcW w:w="1150"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231B38BE"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Štvrtina</w:t>
            </w:r>
          </w:p>
        </w:tc>
        <w:tc>
          <w:tcPr>
            <w:tcW w:w="680"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665C9F3F"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Rok</w:t>
            </w:r>
          </w:p>
        </w:tc>
        <w:tc>
          <w:tcPr>
            <w:tcW w:w="3017" w:type="dxa"/>
            <w:vMerge/>
            <w:vAlign w:val="center"/>
            <w:hideMark/>
          </w:tcPr>
          <w:p w14:paraId="0A562602"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r>
      <w:tr w:rsidR="002D49B0" w:rsidRPr="00083739" w14:paraId="30F00A73" w14:textId="77777777" w:rsidTr="006B0378">
        <w:trPr>
          <w:trHeight w:val="313"/>
        </w:trPr>
        <w:tc>
          <w:tcPr>
            <w:tcW w:w="980" w:type="dxa"/>
            <w:tcBorders>
              <w:top w:val="single" w:sz="4" w:space="0" w:color="auto"/>
              <w:left w:val="single" w:sz="4" w:space="0" w:color="auto"/>
              <w:bottom w:val="single" w:sz="4" w:space="0" w:color="auto"/>
              <w:right w:val="single" w:sz="4" w:space="0" w:color="auto"/>
            </w:tcBorders>
            <w:shd w:val="clear" w:color="auto" w:fill="C6EFCE"/>
            <w:noWrap/>
          </w:tcPr>
          <w:p w14:paraId="6C6BAA7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44</w:t>
            </w:r>
          </w:p>
        </w:tc>
        <w:tc>
          <w:tcPr>
            <w:tcW w:w="1336" w:type="dxa"/>
            <w:tcBorders>
              <w:top w:val="single" w:sz="4" w:space="0" w:color="auto"/>
              <w:left w:val="nil"/>
              <w:bottom w:val="single" w:sz="4" w:space="0" w:color="auto"/>
              <w:right w:val="single" w:sz="4" w:space="0" w:color="auto"/>
            </w:tcBorders>
            <w:shd w:val="clear" w:color="auto" w:fill="C6EFCE"/>
            <w:noWrap/>
          </w:tcPr>
          <w:p w14:paraId="797851ED" w14:textId="20E7BD36"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 – 1.3. Nabíjanie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dopĺňanie paliva – 16924_ elektromobilita</w:t>
            </w:r>
          </w:p>
        </w:tc>
        <w:tc>
          <w:tcPr>
            <w:tcW w:w="1141" w:type="dxa"/>
            <w:tcBorders>
              <w:top w:val="single" w:sz="4" w:space="0" w:color="auto"/>
              <w:left w:val="nil"/>
              <w:bottom w:val="single" w:sz="4" w:space="0" w:color="auto"/>
              <w:right w:val="single" w:sz="4" w:space="0" w:color="auto"/>
            </w:tcBorders>
            <w:shd w:val="clear" w:color="auto" w:fill="C6EFCE"/>
            <w:noWrap/>
          </w:tcPr>
          <w:p w14:paraId="17EBED1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496" w:type="dxa"/>
            <w:tcBorders>
              <w:top w:val="single" w:sz="4" w:space="0" w:color="auto"/>
              <w:left w:val="nil"/>
              <w:bottom w:val="single" w:sz="4" w:space="0" w:color="auto"/>
              <w:right w:val="single" w:sz="4" w:space="0" w:color="auto"/>
            </w:tcBorders>
            <w:shd w:val="clear" w:color="auto" w:fill="C6EFCE"/>
            <w:noWrap/>
          </w:tcPr>
          <w:p w14:paraId="50F3EFF6" w14:textId="6741DA82"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Verejná doprava – nadobudnutie účinnosti regulácie trhu</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záväzkov vyplývajúcich zo služieb vo verejnom záujme (autobusy)</w:t>
            </w:r>
          </w:p>
        </w:tc>
        <w:tc>
          <w:tcPr>
            <w:tcW w:w="2251" w:type="dxa"/>
            <w:tcBorders>
              <w:top w:val="single" w:sz="4" w:space="0" w:color="auto"/>
              <w:left w:val="nil"/>
              <w:bottom w:val="single" w:sz="4" w:space="0" w:color="auto"/>
              <w:right w:val="single" w:sz="4" w:space="0" w:color="auto"/>
            </w:tcBorders>
            <w:shd w:val="clear" w:color="auto" w:fill="C6EFCE"/>
            <w:noWrap/>
          </w:tcPr>
          <w:p w14:paraId="39499153" w14:textId="77777777" w:rsidR="002D49B0" w:rsidRPr="00083739" w:rsidRDefault="00BF4125">
            <w:pPr>
              <w:pStyle w:val="P68B1DB1-Normal9"/>
              <w:spacing w:after="0" w:line="240" w:lineRule="auto"/>
              <w:rPr>
                <w:rFonts w:ascii="Times New Roman" w:eastAsia="Times New Roman" w:hAnsi="Times New Roman" w:cs="Times New Roman"/>
                <w:noProof/>
                <w:szCs w:val="18"/>
                <w:highlight w:val="yellow"/>
                <w:lang w:val="sk-SK"/>
              </w:rPr>
            </w:pPr>
            <w:r w:rsidRPr="00083739">
              <w:rPr>
                <w:rFonts w:ascii="Times New Roman" w:hAnsi="Times New Roman" w:cs="Times New Roman"/>
                <w:noProof/>
                <w:lang w:val="sk-SK"/>
              </w:rPr>
              <w:t xml:space="preserve">Nadobudnutie účinnosti </w:t>
            </w:r>
            <w:r w:rsidRPr="00083739">
              <w:rPr>
                <w:rFonts w:ascii="Times New Roman" w:hAnsi="Times New Roman" w:cs="Times New Roman"/>
                <w:noProof/>
                <w:lang w:val="sk-SK"/>
              </w:rPr>
              <w:t>revidovaného právneho rámca.</w:t>
            </w:r>
          </w:p>
        </w:tc>
        <w:tc>
          <w:tcPr>
            <w:tcW w:w="1387" w:type="dxa"/>
            <w:tcBorders>
              <w:top w:val="single" w:sz="4" w:space="0" w:color="auto"/>
              <w:left w:val="nil"/>
              <w:bottom w:val="single" w:sz="4" w:space="0" w:color="auto"/>
              <w:right w:val="single" w:sz="4" w:space="0" w:color="auto"/>
            </w:tcBorders>
            <w:shd w:val="clear" w:color="auto" w:fill="C6EFCE"/>
            <w:noWrap/>
          </w:tcPr>
          <w:p w14:paraId="5658F8A4"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11" w:type="dxa"/>
            <w:tcBorders>
              <w:top w:val="single" w:sz="4" w:space="0" w:color="auto"/>
              <w:left w:val="nil"/>
              <w:bottom w:val="single" w:sz="4" w:space="0" w:color="auto"/>
              <w:right w:val="single" w:sz="4" w:space="0" w:color="auto"/>
            </w:tcBorders>
            <w:shd w:val="clear" w:color="auto" w:fill="C6EFCE"/>
            <w:noWrap/>
          </w:tcPr>
          <w:p w14:paraId="2E477D1A"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27" w:type="dxa"/>
            <w:tcBorders>
              <w:top w:val="single" w:sz="4" w:space="0" w:color="auto"/>
              <w:left w:val="nil"/>
              <w:bottom w:val="single" w:sz="4" w:space="0" w:color="auto"/>
              <w:right w:val="single" w:sz="4" w:space="0" w:color="auto"/>
            </w:tcBorders>
            <w:shd w:val="clear" w:color="auto" w:fill="C6EFCE"/>
            <w:noWrap/>
          </w:tcPr>
          <w:p w14:paraId="079719E7"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150" w:type="dxa"/>
            <w:tcBorders>
              <w:top w:val="single" w:sz="4" w:space="0" w:color="auto"/>
              <w:left w:val="nil"/>
              <w:bottom w:val="single" w:sz="4" w:space="0" w:color="auto"/>
              <w:right w:val="single" w:sz="4" w:space="0" w:color="auto"/>
            </w:tcBorders>
            <w:shd w:val="clear" w:color="auto" w:fill="C6EFCE"/>
            <w:noWrap/>
          </w:tcPr>
          <w:p w14:paraId="4AC9630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680" w:type="dxa"/>
            <w:tcBorders>
              <w:top w:val="single" w:sz="4" w:space="0" w:color="auto"/>
              <w:left w:val="nil"/>
              <w:bottom w:val="single" w:sz="4" w:space="0" w:color="auto"/>
              <w:right w:val="single" w:sz="4" w:space="0" w:color="auto"/>
            </w:tcBorders>
            <w:shd w:val="clear" w:color="auto" w:fill="C6EFCE"/>
            <w:noWrap/>
          </w:tcPr>
          <w:p w14:paraId="2AE8A82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2021</w:t>
            </w:r>
          </w:p>
        </w:tc>
        <w:tc>
          <w:tcPr>
            <w:tcW w:w="3017" w:type="dxa"/>
            <w:tcBorders>
              <w:top w:val="single" w:sz="4" w:space="0" w:color="auto"/>
              <w:left w:val="nil"/>
              <w:bottom w:val="single" w:sz="4" w:space="0" w:color="auto"/>
              <w:right w:val="single" w:sz="4" w:space="0" w:color="auto"/>
            </w:tcBorders>
            <w:shd w:val="clear" w:color="auto" w:fill="C6EFCE"/>
            <w:noWrap/>
          </w:tcPr>
          <w:p w14:paraId="3A88E618" w14:textId="654E717A"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Posilniť reguláciu trhu nadobudnutím účinnosti revidovaného legislatívneho rámca pre služby verejnej mestskej</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regionálnej osobnej dopravy (v súlade</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EU 1370/2007). Revidovaný rámec: a) zabezpečiť nepr</w:t>
            </w:r>
            <w:r w:rsidRPr="00083739">
              <w:rPr>
                <w:rFonts w:ascii="Times New Roman" w:hAnsi="Times New Roman" w:cs="Times New Roman"/>
                <w:noProof/>
                <w:lang w:val="sk-SK"/>
              </w:rPr>
              <w:t>etržité zásobovanie verejnou mestskou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regionálnou cestnou osobnou dopravou (pravidelnou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pevnou trasou); b) dohliadať na projektovanie, organizáciu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prevádzku súvisiacich dopravných sietí; C) zabezpečiť vysokokvalitnú verejnú cestnú dopravu pri čo najn</w:t>
            </w:r>
            <w:r w:rsidRPr="00083739">
              <w:rPr>
                <w:rFonts w:ascii="Times New Roman" w:hAnsi="Times New Roman" w:cs="Times New Roman"/>
                <w:noProof/>
                <w:lang w:val="sk-SK"/>
              </w:rPr>
              <w:t>ižších nákladoch; d) regulovať proces udeľovania výhradných práv na prevádzkovanie verejných regionálnych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mestských trás (plánovaných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pevných trás);</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e) regulovať výšku náhrady za poskytovanie uvedených služieb. Okrem toho sa</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zákone stanovia všeobec</w:t>
            </w:r>
            <w:r w:rsidRPr="00083739">
              <w:rPr>
                <w:rFonts w:ascii="Times New Roman" w:hAnsi="Times New Roman" w:cs="Times New Roman"/>
                <w:noProof/>
                <w:lang w:val="sk-SK"/>
              </w:rPr>
              <w:t>né kritériá pre budúce obstarávanie služieb osobnej dopravy. Príslušné regióny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regionálne jednotky stanovia podrobné kritériá špecifické pre daný región,</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ktorých sa náležite zohľadnia potreby dopravy špecifické pre daný región,</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zodpovedajúcim spôsobo</w:t>
            </w:r>
            <w:r w:rsidRPr="00083739">
              <w:rPr>
                <w:rFonts w:ascii="Times New Roman" w:hAnsi="Times New Roman" w:cs="Times New Roman"/>
                <w:noProof/>
                <w:lang w:val="sk-SK"/>
              </w:rPr>
              <w:t>m doladia proces obstarávania.</w:t>
            </w:r>
          </w:p>
        </w:tc>
      </w:tr>
      <w:tr w:rsidR="002D49B0" w:rsidRPr="00083739" w14:paraId="78E5CAB3" w14:textId="77777777" w:rsidTr="006B0378">
        <w:trPr>
          <w:trHeight w:val="313"/>
        </w:trPr>
        <w:tc>
          <w:tcPr>
            <w:tcW w:w="980" w:type="dxa"/>
            <w:tcBorders>
              <w:top w:val="single" w:sz="4" w:space="0" w:color="auto"/>
              <w:left w:val="single" w:sz="4" w:space="0" w:color="auto"/>
              <w:bottom w:val="single" w:sz="4" w:space="0" w:color="auto"/>
              <w:right w:val="single" w:sz="4" w:space="0" w:color="auto"/>
            </w:tcBorders>
            <w:shd w:val="clear" w:color="auto" w:fill="C6EFCE"/>
            <w:noWrap/>
          </w:tcPr>
          <w:p w14:paraId="03CDAE8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45</w:t>
            </w:r>
          </w:p>
        </w:tc>
        <w:tc>
          <w:tcPr>
            <w:tcW w:w="1336" w:type="dxa"/>
            <w:tcBorders>
              <w:top w:val="single" w:sz="4" w:space="0" w:color="auto"/>
              <w:left w:val="nil"/>
              <w:bottom w:val="single" w:sz="4" w:space="0" w:color="auto"/>
              <w:right w:val="single" w:sz="4" w:space="0" w:color="auto"/>
            </w:tcBorders>
            <w:shd w:val="clear" w:color="auto" w:fill="C6EFCE"/>
            <w:noWrap/>
          </w:tcPr>
          <w:p w14:paraId="04AE29B9" w14:textId="5B269EE3"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 – 1.3. Nabíjanie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dopĺňanie paliva – 16924_ elektromobilita</w:t>
            </w:r>
          </w:p>
        </w:tc>
        <w:tc>
          <w:tcPr>
            <w:tcW w:w="1141" w:type="dxa"/>
            <w:tcBorders>
              <w:top w:val="single" w:sz="4" w:space="0" w:color="auto"/>
              <w:left w:val="nil"/>
              <w:bottom w:val="single" w:sz="4" w:space="0" w:color="auto"/>
              <w:right w:val="single" w:sz="4" w:space="0" w:color="auto"/>
            </w:tcBorders>
            <w:shd w:val="clear" w:color="auto" w:fill="C6EFCE"/>
            <w:noWrap/>
          </w:tcPr>
          <w:p w14:paraId="2883512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496" w:type="dxa"/>
            <w:tcBorders>
              <w:top w:val="single" w:sz="4" w:space="0" w:color="auto"/>
              <w:left w:val="nil"/>
              <w:bottom w:val="single" w:sz="4" w:space="0" w:color="auto"/>
              <w:right w:val="single" w:sz="4" w:space="0" w:color="auto"/>
            </w:tcBorders>
            <w:shd w:val="clear" w:color="auto" w:fill="C6EFCE"/>
            <w:noWrap/>
          </w:tcPr>
          <w:p w14:paraId="50CD5927" w14:textId="5950523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Verejná doprava – vykonávanie novej regulácie trhu</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záväzkov vyplývajúcich zo služieb vo verejnom záujme (autobusy)</w:t>
            </w:r>
          </w:p>
        </w:tc>
        <w:tc>
          <w:tcPr>
            <w:tcW w:w="2251" w:type="dxa"/>
            <w:tcBorders>
              <w:top w:val="single" w:sz="4" w:space="0" w:color="auto"/>
              <w:left w:val="nil"/>
              <w:bottom w:val="single" w:sz="4" w:space="0" w:color="auto"/>
              <w:right w:val="single" w:sz="4" w:space="0" w:color="auto"/>
            </w:tcBorders>
            <w:shd w:val="clear" w:color="auto" w:fill="C6EFCE"/>
            <w:noWrap/>
          </w:tcPr>
          <w:p w14:paraId="70E1FD0A" w14:textId="77777777" w:rsidR="002D49B0" w:rsidRPr="00083739" w:rsidRDefault="00BF4125">
            <w:pPr>
              <w:pStyle w:val="P68B1DB1-Normal9"/>
              <w:spacing w:after="0" w:line="240" w:lineRule="auto"/>
              <w:rPr>
                <w:rFonts w:ascii="Times New Roman" w:eastAsia="Times New Roman" w:hAnsi="Times New Roman" w:cs="Times New Roman"/>
                <w:noProof/>
                <w:szCs w:val="18"/>
                <w:highlight w:val="yellow"/>
                <w:lang w:val="sk-SK"/>
              </w:rPr>
            </w:pPr>
            <w:r w:rsidRPr="00083739">
              <w:rPr>
                <w:rFonts w:ascii="Times New Roman" w:hAnsi="Times New Roman" w:cs="Times New Roman"/>
                <w:noProof/>
                <w:lang w:val="sk-SK"/>
              </w:rPr>
              <w:t xml:space="preserve">Nadobudnutie účinnosti </w:t>
            </w:r>
            <w:r w:rsidRPr="00083739">
              <w:rPr>
                <w:rFonts w:ascii="Times New Roman" w:hAnsi="Times New Roman" w:cs="Times New Roman"/>
                <w:noProof/>
                <w:lang w:val="sk-SK"/>
              </w:rPr>
              <w:t>sekundárnych právnych predpisov týkajúcich sa revidovaného právneho rámca.</w:t>
            </w:r>
          </w:p>
        </w:tc>
        <w:tc>
          <w:tcPr>
            <w:tcW w:w="1387" w:type="dxa"/>
            <w:tcBorders>
              <w:top w:val="single" w:sz="4" w:space="0" w:color="auto"/>
              <w:left w:val="nil"/>
              <w:bottom w:val="single" w:sz="4" w:space="0" w:color="auto"/>
              <w:right w:val="single" w:sz="4" w:space="0" w:color="auto"/>
            </w:tcBorders>
            <w:shd w:val="clear" w:color="auto" w:fill="C6EFCE"/>
            <w:noWrap/>
          </w:tcPr>
          <w:p w14:paraId="28B55A9A"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11" w:type="dxa"/>
            <w:tcBorders>
              <w:top w:val="single" w:sz="4" w:space="0" w:color="auto"/>
              <w:left w:val="nil"/>
              <w:bottom w:val="single" w:sz="4" w:space="0" w:color="auto"/>
              <w:right w:val="single" w:sz="4" w:space="0" w:color="auto"/>
            </w:tcBorders>
            <w:shd w:val="clear" w:color="auto" w:fill="C6EFCE"/>
            <w:noWrap/>
          </w:tcPr>
          <w:p w14:paraId="5061840F"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27" w:type="dxa"/>
            <w:tcBorders>
              <w:top w:val="single" w:sz="4" w:space="0" w:color="auto"/>
              <w:left w:val="nil"/>
              <w:bottom w:val="single" w:sz="4" w:space="0" w:color="auto"/>
              <w:right w:val="single" w:sz="4" w:space="0" w:color="auto"/>
            </w:tcBorders>
            <w:shd w:val="clear" w:color="auto" w:fill="C6EFCE"/>
            <w:noWrap/>
          </w:tcPr>
          <w:p w14:paraId="4814238B"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150" w:type="dxa"/>
            <w:tcBorders>
              <w:top w:val="single" w:sz="4" w:space="0" w:color="auto"/>
              <w:left w:val="nil"/>
              <w:bottom w:val="single" w:sz="4" w:space="0" w:color="auto"/>
              <w:right w:val="single" w:sz="4" w:space="0" w:color="auto"/>
            </w:tcBorders>
            <w:shd w:val="clear" w:color="auto" w:fill="C6EFCE"/>
            <w:noWrap/>
          </w:tcPr>
          <w:p w14:paraId="47A45B2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TRETÍ ŠTVRŤROK</w:t>
            </w:r>
          </w:p>
        </w:tc>
        <w:tc>
          <w:tcPr>
            <w:tcW w:w="680" w:type="dxa"/>
            <w:tcBorders>
              <w:top w:val="single" w:sz="4" w:space="0" w:color="auto"/>
              <w:left w:val="nil"/>
              <w:bottom w:val="single" w:sz="4" w:space="0" w:color="auto"/>
              <w:right w:val="single" w:sz="4" w:space="0" w:color="auto"/>
            </w:tcBorders>
            <w:shd w:val="clear" w:color="auto" w:fill="C6EFCE"/>
            <w:noWrap/>
          </w:tcPr>
          <w:p w14:paraId="0749778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2022</w:t>
            </w:r>
          </w:p>
        </w:tc>
        <w:tc>
          <w:tcPr>
            <w:tcW w:w="3017" w:type="dxa"/>
            <w:tcBorders>
              <w:top w:val="single" w:sz="4" w:space="0" w:color="auto"/>
              <w:left w:val="nil"/>
              <w:bottom w:val="single" w:sz="4" w:space="0" w:color="auto"/>
              <w:right w:val="single" w:sz="4" w:space="0" w:color="auto"/>
            </w:tcBorders>
            <w:shd w:val="clear" w:color="auto" w:fill="C6EFCE"/>
            <w:noWrap/>
          </w:tcPr>
          <w:p w14:paraId="287A5A45" w14:textId="69249250"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sekundárnych právnych predpisov uvedených</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revidovanom právnom rámci na posilnenie regulácie trhu so službami verejnej mestskej</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regi</w:t>
            </w:r>
            <w:r w:rsidRPr="00083739">
              <w:rPr>
                <w:rFonts w:ascii="Times New Roman" w:hAnsi="Times New Roman" w:cs="Times New Roman"/>
                <w:noProof/>
                <w:lang w:val="sk-SK"/>
              </w:rPr>
              <w:t>onálnej osobnej dopravy.</w:t>
            </w:r>
          </w:p>
        </w:tc>
      </w:tr>
      <w:tr w:rsidR="002D49B0" w:rsidRPr="00083739" w14:paraId="7CFF6602" w14:textId="77777777" w:rsidTr="006B0378">
        <w:trPr>
          <w:trHeight w:val="313"/>
        </w:trPr>
        <w:tc>
          <w:tcPr>
            <w:tcW w:w="980" w:type="dxa"/>
            <w:tcBorders>
              <w:top w:val="single" w:sz="4" w:space="0" w:color="auto"/>
              <w:left w:val="single" w:sz="4" w:space="0" w:color="auto"/>
              <w:bottom w:val="single" w:sz="4" w:space="0" w:color="auto"/>
              <w:right w:val="single" w:sz="4" w:space="0" w:color="auto"/>
            </w:tcBorders>
            <w:shd w:val="clear" w:color="auto" w:fill="C6EFCE"/>
            <w:noWrap/>
          </w:tcPr>
          <w:p w14:paraId="229E39B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46</w:t>
            </w:r>
          </w:p>
        </w:tc>
        <w:tc>
          <w:tcPr>
            <w:tcW w:w="1336" w:type="dxa"/>
            <w:tcBorders>
              <w:top w:val="single" w:sz="4" w:space="0" w:color="auto"/>
              <w:left w:val="nil"/>
              <w:bottom w:val="single" w:sz="4" w:space="0" w:color="auto"/>
              <w:right w:val="single" w:sz="4" w:space="0" w:color="auto"/>
            </w:tcBorders>
            <w:shd w:val="clear" w:color="auto" w:fill="C6EFCE"/>
            <w:noWrap/>
          </w:tcPr>
          <w:p w14:paraId="2B19626C" w14:textId="2073B8D5"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 – 1.3. Dobíjanie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dopĺňanie paliva – 16831_výrobok – E zelená </w:t>
            </w:r>
          </w:p>
        </w:tc>
        <w:tc>
          <w:tcPr>
            <w:tcW w:w="1141" w:type="dxa"/>
            <w:tcBorders>
              <w:top w:val="single" w:sz="4" w:space="0" w:color="auto"/>
              <w:left w:val="nil"/>
              <w:bottom w:val="single" w:sz="4" w:space="0" w:color="auto"/>
              <w:right w:val="single" w:sz="4" w:space="0" w:color="auto"/>
            </w:tcBorders>
            <w:shd w:val="clear" w:color="auto" w:fill="C6EFCE"/>
            <w:noWrap/>
          </w:tcPr>
          <w:p w14:paraId="07E1988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496" w:type="dxa"/>
            <w:tcBorders>
              <w:top w:val="single" w:sz="4" w:space="0" w:color="auto"/>
              <w:left w:val="nil"/>
              <w:bottom w:val="single" w:sz="4" w:space="0" w:color="auto"/>
              <w:right w:val="single" w:sz="4" w:space="0" w:color="auto"/>
            </w:tcBorders>
            <w:shd w:val="clear" w:color="auto" w:fill="C6EFCE"/>
            <w:noWrap/>
          </w:tcPr>
          <w:p w14:paraId="74A493C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Priemyselné jednotky – spustenie programu</w:t>
            </w:r>
          </w:p>
        </w:tc>
        <w:tc>
          <w:tcPr>
            <w:tcW w:w="2251" w:type="dxa"/>
            <w:tcBorders>
              <w:top w:val="single" w:sz="4" w:space="0" w:color="auto"/>
              <w:left w:val="nil"/>
              <w:bottom w:val="single" w:sz="4" w:space="0" w:color="auto"/>
              <w:right w:val="single" w:sz="4" w:space="0" w:color="auto"/>
            </w:tcBorders>
            <w:shd w:val="clear" w:color="auto" w:fill="C6EFCE"/>
            <w:noWrap/>
          </w:tcPr>
          <w:p w14:paraId="68C74B3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ministerského(-ých) rozhodnutia(-í).</w:t>
            </w:r>
          </w:p>
          <w:p w14:paraId="409D1662" w14:textId="77777777" w:rsidR="002D49B0" w:rsidRPr="00083739" w:rsidRDefault="002D49B0">
            <w:pPr>
              <w:spacing w:after="0" w:line="240" w:lineRule="auto"/>
              <w:rPr>
                <w:rFonts w:ascii="Times New Roman" w:eastAsia="Times New Roman" w:hAnsi="Times New Roman" w:cs="Times New Roman"/>
                <w:noProof/>
                <w:color w:val="006100"/>
                <w:sz w:val="18"/>
                <w:szCs w:val="18"/>
                <w:highlight w:val="yellow"/>
                <w:lang w:val="sk-SK"/>
              </w:rPr>
            </w:pPr>
          </w:p>
        </w:tc>
        <w:tc>
          <w:tcPr>
            <w:tcW w:w="1387" w:type="dxa"/>
            <w:tcBorders>
              <w:top w:val="single" w:sz="4" w:space="0" w:color="auto"/>
              <w:left w:val="nil"/>
              <w:bottom w:val="single" w:sz="4" w:space="0" w:color="auto"/>
              <w:right w:val="single" w:sz="4" w:space="0" w:color="auto"/>
            </w:tcBorders>
            <w:shd w:val="clear" w:color="auto" w:fill="C6EFCE"/>
            <w:noWrap/>
          </w:tcPr>
          <w:p w14:paraId="6570772E"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11" w:type="dxa"/>
            <w:tcBorders>
              <w:top w:val="single" w:sz="4" w:space="0" w:color="auto"/>
              <w:left w:val="nil"/>
              <w:bottom w:val="single" w:sz="4" w:space="0" w:color="auto"/>
              <w:right w:val="single" w:sz="4" w:space="0" w:color="auto"/>
            </w:tcBorders>
            <w:shd w:val="clear" w:color="auto" w:fill="C6EFCE"/>
            <w:noWrap/>
          </w:tcPr>
          <w:p w14:paraId="269907CA"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27" w:type="dxa"/>
            <w:tcBorders>
              <w:top w:val="single" w:sz="4" w:space="0" w:color="auto"/>
              <w:left w:val="nil"/>
              <w:bottom w:val="single" w:sz="4" w:space="0" w:color="auto"/>
              <w:right w:val="single" w:sz="4" w:space="0" w:color="auto"/>
            </w:tcBorders>
            <w:shd w:val="clear" w:color="auto" w:fill="C6EFCE"/>
            <w:noWrap/>
          </w:tcPr>
          <w:p w14:paraId="57CC8F52"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150" w:type="dxa"/>
            <w:tcBorders>
              <w:top w:val="single" w:sz="4" w:space="0" w:color="auto"/>
              <w:left w:val="nil"/>
              <w:bottom w:val="single" w:sz="4" w:space="0" w:color="auto"/>
              <w:right w:val="single" w:sz="4" w:space="0" w:color="auto"/>
            </w:tcBorders>
            <w:shd w:val="clear" w:color="auto" w:fill="C6EFCE"/>
            <w:noWrap/>
          </w:tcPr>
          <w:p w14:paraId="5DA32CC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680" w:type="dxa"/>
            <w:tcBorders>
              <w:top w:val="single" w:sz="4" w:space="0" w:color="auto"/>
              <w:left w:val="nil"/>
              <w:bottom w:val="single" w:sz="4" w:space="0" w:color="auto"/>
              <w:right w:val="single" w:sz="4" w:space="0" w:color="auto"/>
            </w:tcBorders>
            <w:shd w:val="clear" w:color="auto" w:fill="C6EFCE"/>
            <w:noWrap/>
          </w:tcPr>
          <w:p w14:paraId="57FAC9E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2022</w:t>
            </w:r>
          </w:p>
        </w:tc>
        <w:tc>
          <w:tcPr>
            <w:tcW w:w="3017" w:type="dxa"/>
            <w:tcBorders>
              <w:top w:val="single" w:sz="4" w:space="0" w:color="auto"/>
              <w:left w:val="nil"/>
              <w:bottom w:val="single" w:sz="4" w:space="0" w:color="auto"/>
              <w:right w:val="single" w:sz="4" w:space="0" w:color="auto"/>
            </w:tcBorders>
            <w:shd w:val="clear" w:color="auto" w:fill="C6EFCE"/>
            <w:noWrap/>
          </w:tcPr>
          <w:p w14:paraId="4B1F9DEC" w14:textId="04AECE66"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Začatie programu výberu </w:t>
            </w:r>
            <w:r w:rsidRPr="00083739">
              <w:rPr>
                <w:rFonts w:ascii="Times New Roman" w:hAnsi="Times New Roman" w:cs="Times New Roman"/>
                <w:noProof/>
                <w:lang w:val="sk-SK"/>
              </w:rPr>
              <w:t>priemyselných jednotiek</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nadobudnutie účinnosti príslušných ministerských rozhodnutí ministerstva životného prostredia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energetiky,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ktorých sa stanovujú:</w:t>
            </w:r>
          </w:p>
          <w:p w14:paraId="16FA30C4" w14:textId="07C1CBD3"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Výberový proces zameraný na nízkouhlíkové hospodárstvo</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odolnosť voči zmene klímy,</w:t>
            </w:r>
          </w:p>
          <w:p w14:paraId="172D945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—Vymedzený v</w:t>
            </w:r>
            <w:r w:rsidRPr="00083739">
              <w:rPr>
                <w:rFonts w:ascii="Times New Roman" w:hAnsi="Times New Roman" w:cs="Times New Roman"/>
                <w:noProof/>
                <w:lang w:val="sk-SK"/>
              </w:rPr>
              <w:t>ykonávací mechanizmus,</w:t>
            </w:r>
          </w:p>
          <w:p w14:paraId="4AA1805D" w14:textId="2EB7E124"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Certifikačný mechanizmus (mechanizmy) na potvrdenie splnenia cieľa</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zmeny klímy (v prípade potreby vrátane podrobností</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možných nápravných opatreniach;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zároveň</w:t>
            </w:r>
          </w:p>
          <w:p w14:paraId="30C63BB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Chronologický prehľad.</w:t>
            </w:r>
          </w:p>
          <w:p w14:paraId="3FECA8DA"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p w14:paraId="75168BD5" w14:textId="62EE696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Stanovené kritériá výberu/oprávne</w:t>
            </w:r>
            <w:r w:rsidRPr="00083739">
              <w:rPr>
                <w:rFonts w:ascii="Times New Roman" w:hAnsi="Times New Roman" w:cs="Times New Roman"/>
                <w:noProof/>
                <w:lang w:val="sk-SK"/>
              </w:rPr>
              <w:t>nosti zabezpečia, aby vybrané projekty boli</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súlade</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technickými usmerneniami „výrazne nenarušiť“ (2021/C58/01) prostredníctvom použitia zoznamu vylúčených subjektov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požiadavky súladu</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príslušnými právnymi predpismi EÚ</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vnútroštátnymi právnymi predp</w:t>
            </w:r>
            <w:r w:rsidRPr="00083739">
              <w:rPr>
                <w:rFonts w:ascii="Times New Roman" w:hAnsi="Times New Roman" w:cs="Times New Roman"/>
                <w:noProof/>
                <w:lang w:val="sk-SK"/>
              </w:rPr>
              <w:t>ismi</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životného prostredia.</w:t>
            </w:r>
          </w:p>
        </w:tc>
      </w:tr>
      <w:tr w:rsidR="002D49B0" w:rsidRPr="00083739" w14:paraId="389443FF" w14:textId="77777777" w:rsidTr="006B0378">
        <w:trPr>
          <w:trHeight w:val="313"/>
        </w:trPr>
        <w:tc>
          <w:tcPr>
            <w:tcW w:w="980" w:type="dxa"/>
            <w:tcBorders>
              <w:top w:val="single" w:sz="4" w:space="0" w:color="auto"/>
              <w:left w:val="single" w:sz="4" w:space="0" w:color="auto"/>
              <w:bottom w:val="single" w:sz="4" w:space="0" w:color="auto"/>
              <w:right w:val="single" w:sz="4" w:space="0" w:color="auto"/>
            </w:tcBorders>
            <w:shd w:val="clear" w:color="auto" w:fill="C6EFCE"/>
            <w:noWrap/>
          </w:tcPr>
          <w:p w14:paraId="6CF94FD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47</w:t>
            </w:r>
          </w:p>
        </w:tc>
        <w:tc>
          <w:tcPr>
            <w:tcW w:w="1336" w:type="dxa"/>
            <w:tcBorders>
              <w:top w:val="single" w:sz="4" w:space="0" w:color="auto"/>
              <w:left w:val="nil"/>
              <w:bottom w:val="single" w:sz="4" w:space="0" w:color="auto"/>
              <w:right w:val="single" w:sz="4" w:space="0" w:color="auto"/>
            </w:tcBorders>
            <w:shd w:val="clear" w:color="auto" w:fill="C6EFCE"/>
            <w:noWrap/>
          </w:tcPr>
          <w:p w14:paraId="3378C159" w14:textId="30333CC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 – 1.3. Nabíjanie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dopĺňanie paliva – 16924_ elektromobilita</w:t>
            </w:r>
          </w:p>
        </w:tc>
        <w:tc>
          <w:tcPr>
            <w:tcW w:w="1141" w:type="dxa"/>
            <w:tcBorders>
              <w:top w:val="single" w:sz="4" w:space="0" w:color="auto"/>
              <w:left w:val="nil"/>
              <w:bottom w:val="single" w:sz="4" w:space="0" w:color="auto"/>
              <w:right w:val="single" w:sz="4" w:space="0" w:color="auto"/>
            </w:tcBorders>
            <w:shd w:val="clear" w:color="auto" w:fill="C6EFCE"/>
            <w:noWrap/>
          </w:tcPr>
          <w:p w14:paraId="3A9E4FD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496" w:type="dxa"/>
            <w:tcBorders>
              <w:top w:val="single" w:sz="4" w:space="0" w:color="auto"/>
              <w:left w:val="nil"/>
              <w:bottom w:val="single" w:sz="4" w:space="0" w:color="auto"/>
              <w:right w:val="single" w:sz="4" w:space="0" w:color="auto"/>
            </w:tcBorders>
            <w:shd w:val="clear" w:color="auto" w:fill="C6EFCE"/>
            <w:noWrap/>
          </w:tcPr>
          <w:p w14:paraId="666ADE0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 Nabíjacie stanice pre elektrické vozidlá – spustenie programov</w:t>
            </w:r>
          </w:p>
        </w:tc>
        <w:tc>
          <w:tcPr>
            <w:tcW w:w="2251" w:type="dxa"/>
            <w:tcBorders>
              <w:top w:val="single" w:sz="4" w:space="0" w:color="auto"/>
              <w:left w:val="nil"/>
              <w:bottom w:val="single" w:sz="4" w:space="0" w:color="auto"/>
              <w:right w:val="single" w:sz="4" w:space="0" w:color="auto"/>
            </w:tcBorders>
            <w:shd w:val="clear" w:color="auto" w:fill="C6EFCE"/>
            <w:noWrap/>
          </w:tcPr>
          <w:p w14:paraId="2CD3847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ministerského(-ých) rozhodnutia(-í).</w:t>
            </w:r>
          </w:p>
          <w:p w14:paraId="498E64C2"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387" w:type="dxa"/>
            <w:tcBorders>
              <w:top w:val="single" w:sz="4" w:space="0" w:color="auto"/>
              <w:left w:val="nil"/>
              <w:bottom w:val="single" w:sz="4" w:space="0" w:color="auto"/>
              <w:right w:val="single" w:sz="4" w:space="0" w:color="auto"/>
            </w:tcBorders>
            <w:shd w:val="clear" w:color="auto" w:fill="C6EFCE"/>
            <w:noWrap/>
          </w:tcPr>
          <w:p w14:paraId="76BC4CE7"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11" w:type="dxa"/>
            <w:tcBorders>
              <w:top w:val="single" w:sz="4" w:space="0" w:color="auto"/>
              <w:left w:val="nil"/>
              <w:bottom w:val="single" w:sz="4" w:space="0" w:color="auto"/>
              <w:right w:val="single" w:sz="4" w:space="0" w:color="auto"/>
            </w:tcBorders>
            <w:shd w:val="clear" w:color="auto" w:fill="C6EFCE"/>
            <w:noWrap/>
          </w:tcPr>
          <w:p w14:paraId="30DF1F5F"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27" w:type="dxa"/>
            <w:tcBorders>
              <w:top w:val="single" w:sz="4" w:space="0" w:color="auto"/>
              <w:left w:val="nil"/>
              <w:bottom w:val="single" w:sz="4" w:space="0" w:color="auto"/>
              <w:right w:val="single" w:sz="4" w:space="0" w:color="auto"/>
            </w:tcBorders>
            <w:shd w:val="clear" w:color="auto" w:fill="C6EFCE"/>
            <w:noWrap/>
          </w:tcPr>
          <w:p w14:paraId="7AC35740"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150" w:type="dxa"/>
            <w:tcBorders>
              <w:top w:val="single" w:sz="4" w:space="0" w:color="auto"/>
              <w:left w:val="nil"/>
              <w:bottom w:val="single" w:sz="4" w:space="0" w:color="auto"/>
              <w:right w:val="single" w:sz="4" w:space="0" w:color="auto"/>
            </w:tcBorders>
            <w:shd w:val="clear" w:color="auto" w:fill="C6EFCE"/>
            <w:noWrap/>
          </w:tcPr>
          <w:p w14:paraId="32F726F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680" w:type="dxa"/>
            <w:tcBorders>
              <w:top w:val="single" w:sz="4" w:space="0" w:color="auto"/>
              <w:left w:val="nil"/>
              <w:bottom w:val="single" w:sz="4" w:space="0" w:color="auto"/>
              <w:right w:val="single" w:sz="4" w:space="0" w:color="auto"/>
            </w:tcBorders>
            <w:shd w:val="clear" w:color="auto" w:fill="C6EFCE"/>
            <w:noWrap/>
          </w:tcPr>
          <w:p w14:paraId="4E9F91C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2022</w:t>
            </w:r>
          </w:p>
        </w:tc>
        <w:tc>
          <w:tcPr>
            <w:tcW w:w="3017" w:type="dxa"/>
            <w:tcBorders>
              <w:top w:val="single" w:sz="4" w:space="0" w:color="auto"/>
              <w:left w:val="nil"/>
              <w:bottom w:val="single" w:sz="4" w:space="0" w:color="auto"/>
              <w:right w:val="single" w:sz="4" w:space="0" w:color="auto"/>
            </w:tcBorders>
            <w:shd w:val="clear" w:color="auto" w:fill="C6EFCE"/>
            <w:noWrap/>
          </w:tcPr>
          <w:p w14:paraId="5AA7446C" w14:textId="2003E280"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Spustenie programu výberu viac ako 8000 verejne prístupných nabíjacích staníc pre elektrické vozidlá</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strategických mestských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prímestských lokalitách</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mestách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na miestach záujmu („elektromobilita“)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nadobudnutie účinnosti príslušných ministersk</w:t>
            </w:r>
            <w:r w:rsidRPr="00083739">
              <w:rPr>
                <w:rFonts w:ascii="Times New Roman" w:hAnsi="Times New Roman" w:cs="Times New Roman"/>
                <w:noProof/>
                <w:lang w:val="sk-SK"/>
              </w:rPr>
              <w:t>ých rozhodnutí ministerstva životného prostredia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energetiky,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ktorých sa stanovujú:</w:t>
            </w:r>
          </w:p>
          <w:p w14:paraId="5DF8BC9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Výberové konanie,</w:t>
            </w:r>
          </w:p>
          <w:p w14:paraId="2A69145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—Vymedzený vykonávací mechanizmus,</w:t>
            </w:r>
          </w:p>
          <w:p w14:paraId="1C3E8C73" w14:textId="52639CDA"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Certifikačný mechanizmus (mechanizmy) na potvrdenie splnenia cieľa</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zmeny klímy (v prípade potreby vrát</w:t>
            </w:r>
            <w:r w:rsidRPr="00083739">
              <w:rPr>
                <w:rFonts w:ascii="Times New Roman" w:hAnsi="Times New Roman" w:cs="Times New Roman"/>
                <w:noProof/>
                <w:lang w:val="sk-SK"/>
              </w:rPr>
              <w:t>ane podrobností</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možných nápravných opatreniach;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zároveň</w:t>
            </w:r>
          </w:p>
          <w:p w14:paraId="269EE3C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Chronologický prehľad</w:t>
            </w:r>
          </w:p>
        </w:tc>
      </w:tr>
      <w:tr w:rsidR="002D49B0" w:rsidRPr="00083739" w14:paraId="38FFB40E" w14:textId="77777777" w:rsidTr="006B0378">
        <w:trPr>
          <w:trHeight w:val="313"/>
        </w:trPr>
        <w:tc>
          <w:tcPr>
            <w:tcW w:w="980" w:type="dxa"/>
            <w:tcBorders>
              <w:top w:val="single" w:sz="4" w:space="0" w:color="auto"/>
              <w:left w:val="single" w:sz="4" w:space="0" w:color="auto"/>
              <w:bottom w:val="single" w:sz="4" w:space="0" w:color="auto"/>
              <w:right w:val="single" w:sz="4" w:space="0" w:color="auto"/>
            </w:tcBorders>
            <w:shd w:val="clear" w:color="auto" w:fill="C6EFCE"/>
            <w:noWrap/>
          </w:tcPr>
          <w:p w14:paraId="2B01622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48</w:t>
            </w:r>
          </w:p>
        </w:tc>
        <w:tc>
          <w:tcPr>
            <w:tcW w:w="1336" w:type="dxa"/>
            <w:tcBorders>
              <w:top w:val="single" w:sz="4" w:space="0" w:color="auto"/>
              <w:left w:val="nil"/>
              <w:bottom w:val="single" w:sz="4" w:space="0" w:color="auto"/>
              <w:right w:val="single" w:sz="4" w:space="0" w:color="auto"/>
            </w:tcBorders>
            <w:shd w:val="clear" w:color="auto" w:fill="C6EFCE"/>
            <w:noWrap/>
          </w:tcPr>
          <w:p w14:paraId="6F1F6E2C" w14:textId="59E80140"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 – 1.3. Nabíjanie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dopĺňanie paliva – 16924_ elektromobilita</w:t>
            </w:r>
          </w:p>
        </w:tc>
        <w:tc>
          <w:tcPr>
            <w:tcW w:w="1141" w:type="dxa"/>
            <w:tcBorders>
              <w:top w:val="single" w:sz="4" w:space="0" w:color="auto"/>
              <w:left w:val="nil"/>
              <w:bottom w:val="single" w:sz="4" w:space="0" w:color="auto"/>
              <w:right w:val="single" w:sz="4" w:space="0" w:color="auto"/>
            </w:tcBorders>
            <w:shd w:val="clear" w:color="auto" w:fill="C6EFCE"/>
            <w:noWrap/>
          </w:tcPr>
          <w:p w14:paraId="23D27F6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496" w:type="dxa"/>
            <w:tcBorders>
              <w:top w:val="single" w:sz="4" w:space="0" w:color="auto"/>
              <w:left w:val="nil"/>
              <w:bottom w:val="single" w:sz="4" w:space="0" w:color="auto"/>
              <w:right w:val="single" w:sz="4" w:space="0" w:color="auto"/>
            </w:tcBorders>
            <w:shd w:val="clear" w:color="auto" w:fill="C6EFCE"/>
            <w:noWrap/>
          </w:tcPr>
          <w:p w14:paraId="5D6F52B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Udržateľná doprava – štúdia uskutočniteľnosti</w:t>
            </w:r>
          </w:p>
        </w:tc>
        <w:tc>
          <w:tcPr>
            <w:tcW w:w="2251" w:type="dxa"/>
            <w:tcBorders>
              <w:top w:val="single" w:sz="4" w:space="0" w:color="auto"/>
              <w:left w:val="nil"/>
              <w:bottom w:val="single" w:sz="4" w:space="0" w:color="auto"/>
              <w:right w:val="single" w:sz="4" w:space="0" w:color="auto"/>
            </w:tcBorders>
            <w:shd w:val="clear" w:color="auto" w:fill="C6EFCE"/>
            <w:noWrap/>
          </w:tcPr>
          <w:p w14:paraId="12C5E3D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Nadobudnutie účinnosti spoločného ministerského </w:t>
            </w:r>
            <w:r w:rsidRPr="00083739">
              <w:rPr>
                <w:rFonts w:ascii="Times New Roman" w:hAnsi="Times New Roman" w:cs="Times New Roman"/>
                <w:noProof/>
                <w:lang w:val="sk-SK"/>
              </w:rPr>
              <w:t>rozhodnutia, ktorým sa prijíma štúdia uskutočniteľnosti pre Agentúru elektronickej mobility.</w:t>
            </w:r>
          </w:p>
        </w:tc>
        <w:tc>
          <w:tcPr>
            <w:tcW w:w="1387" w:type="dxa"/>
            <w:tcBorders>
              <w:top w:val="single" w:sz="4" w:space="0" w:color="auto"/>
              <w:left w:val="nil"/>
              <w:bottom w:val="single" w:sz="4" w:space="0" w:color="auto"/>
              <w:right w:val="single" w:sz="4" w:space="0" w:color="auto"/>
            </w:tcBorders>
            <w:shd w:val="clear" w:color="auto" w:fill="C6EFCE"/>
            <w:noWrap/>
          </w:tcPr>
          <w:p w14:paraId="4CC29E60"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11" w:type="dxa"/>
            <w:tcBorders>
              <w:top w:val="single" w:sz="4" w:space="0" w:color="auto"/>
              <w:left w:val="nil"/>
              <w:bottom w:val="single" w:sz="4" w:space="0" w:color="auto"/>
              <w:right w:val="single" w:sz="4" w:space="0" w:color="auto"/>
            </w:tcBorders>
            <w:shd w:val="clear" w:color="auto" w:fill="C6EFCE"/>
            <w:noWrap/>
          </w:tcPr>
          <w:p w14:paraId="61429899"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27" w:type="dxa"/>
            <w:tcBorders>
              <w:top w:val="single" w:sz="4" w:space="0" w:color="auto"/>
              <w:left w:val="nil"/>
              <w:bottom w:val="single" w:sz="4" w:space="0" w:color="auto"/>
              <w:right w:val="single" w:sz="4" w:space="0" w:color="auto"/>
            </w:tcBorders>
            <w:shd w:val="clear" w:color="auto" w:fill="C6EFCE"/>
            <w:noWrap/>
          </w:tcPr>
          <w:p w14:paraId="52E5099C"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150" w:type="dxa"/>
            <w:tcBorders>
              <w:top w:val="single" w:sz="4" w:space="0" w:color="auto"/>
              <w:left w:val="nil"/>
              <w:bottom w:val="single" w:sz="4" w:space="0" w:color="auto"/>
              <w:right w:val="single" w:sz="4" w:space="0" w:color="auto"/>
            </w:tcBorders>
            <w:shd w:val="clear" w:color="auto" w:fill="C6EFCE"/>
            <w:noWrap/>
          </w:tcPr>
          <w:p w14:paraId="37AE925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680" w:type="dxa"/>
            <w:tcBorders>
              <w:top w:val="single" w:sz="4" w:space="0" w:color="auto"/>
              <w:left w:val="nil"/>
              <w:bottom w:val="single" w:sz="4" w:space="0" w:color="auto"/>
              <w:right w:val="single" w:sz="4" w:space="0" w:color="auto"/>
            </w:tcBorders>
            <w:shd w:val="clear" w:color="auto" w:fill="C6EFCE"/>
            <w:noWrap/>
          </w:tcPr>
          <w:p w14:paraId="3F3015C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2022</w:t>
            </w:r>
          </w:p>
        </w:tc>
        <w:tc>
          <w:tcPr>
            <w:tcW w:w="3017" w:type="dxa"/>
            <w:tcBorders>
              <w:top w:val="single" w:sz="4" w:space="0" w:color="auto"/>
              <w:left w:val="nil"/>
              <w:bottom w:val="single" w:sz="4" w:space="0" w:color="auto"/>
              <w:right w:val="single" w:sz="4" w:space="0" w:color="auto"/>
            </w:tcBorders>
            <w:shd w:val="clear" w:color="auto" w:fill="C6EFCE"/>
            <w:noWrap/>
          </w:tcPr>
          <w:p w14:paraId="32C13449" w14:textId="59E98978"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spoločného ministerského rozhodnutia, ktorým sa prijíma štúdia uskutočniteľnosti zriadenia agentúry pre elektromobil</w:t>
            </w:r>
            <w:r w:rsidRPr="00083739">
              <w:rPr>
                <w:rFonts w:ascii="Times New Roman" w:hAnsi="Times New Roman" w:cs="Times New Roman"/>
                <w:noProof/>
                <w:lang w:val="sk-SK"/>
              </w:rPr>
              <w:t>itu, ktorá zabezpečuje primerané plánovanie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koordináciu medzi dopravnou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energetickou infraštruktúrou, regionálnymi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miestnymi samosprávami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podporuje prepojenia medzi elektronickým dodávateľským reťazcom – vrátane výrobcov batérií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obnoviteľných zdr</w:t>
            </w:r>
            <w:r w:rsidRPr="00083739">
              <w:rPr>
                <w:rFonts w:ascii="Times New Roman" w:hAnsi="Times New Roman" w:cs="Times New Roman"/>
                <w:noProof/>
                <w:lang w:val="sk-SK"/>
              </w:rPr>
              <w:t>ojov energie –</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výskumnou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inováciou.</w:t>
            </w:r>
          </w:p>
        </w:tc>
      </w:tr>
      <w:tr w:rsidR="002D49B0" w:rsidRPr="00083739" w14:paraId="3AF990E9" w14:textId="77777777" w:rsidTr="006B0378">
        <w:trPr>
          <w:trHeight w:val="313"/>
        </w:trPr>
        <w:tc>
          <w:tcPr>
            <w:tcW w:w="980" w:type="dxa"/>
            <w:tcBorders>
              <w:top w:val="single" w:sz="4" w:space="0" w:color="auto"/>
              <w:left w:val="single" w:sz="4" w:space="0" w:color="auto"/>
              <w:bottom w:val="single" w:sz="4" w:space="0" w:color="auto"/>
              <w:right w:val="single" w:sz="4" w:space="0" w:color="auto"/>
            </w:tcBorders>
            <w:shd w:val="clear" w:color="auto" w:fill="C6EFCE"/>
            <w:noWrap/>
          </w:tcPr>
          <w:p w14:paraId="66D0DB4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50</w:t>
            </w:r>
          </w:p>
        </w:tc>
        <w:tc>
          <w:tcPr>
            <w:tcW w:w="1336" w:type="dxa"/>
            <w:tcBorders>
              <w:top w:val="single" w:sz="4" w:space="0" w:color="auto"/>
              <w:left w:val="nil"/>
              <w:bottom w:val="single" w:sz="4" w:space="0" w:color="auto"/>
              <w:right w:val="single" w:sz="4" w:space="0" w:color="auto"/>
            </w:tcBorders>
            <w:shd w:val="clear" w:color="auto" w:fill="C6EFCE"/>
            <w:noWrap/>
          </w:tcPr>
          <w:p w14:paraId="75799B98" w14:textId="43E05571"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 – 1.3. Dobíjanie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dopĺňanie paliva – 16831_výrobok – E zelená</w:t>
            </w:r>
          </w:p>
        </w:tc>
        <w:tc>
          <w:tcPr>
            <w:tcW w:w="1141" w:type="dxa"/>
            <w:tcBorders>
              <w:top w:val="single" w:sz="4" w:space="0" w:color="auto"/>
              <w:left w:val="nil"/>
              <w:bottom w:val="single" w:sz="4" w:space="0" w:color="auto"/>
              <w:right w:val="single" w:sz="4" w:space="0" w:color="auto"/>
            </w:tcBorders>
            <w:shd w:val="clear" w:color="auto" w:fill="C6EFCE"/>
            <w:noWrap/>
          </w:tcPr>
          <w:p w14:paraId="5552FDC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496" w:type="dxa"/>
            <w:tcBorders>
              <w:top w:val="single" w:sz="4" w:space="0" w:color="auto"/>
              <w:left w:val="nil"/>
              <w:bottom w:val="single" w:sz="4" w:space="0" w:color="auto"/>
              <w:right w:val="single" w:sz="4" w:space="0" w:color="auto"/>
            </w:tcBorders>
            <w:shd w:val="clear" w:color="auto" w:fill="C6EFCE"/>
            <w:noWrap/>
          </w:tcPr>
          <w:p w14:paraId="6BDE499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Priemyselné jednotky – vybrané spoločnosti</w:t>
            </w:r>
          </w:p>
        </w:tc>
        <w:tc>
          <w:tcPr>
            <w:tcW w:w="2251" w:type="dxa"/>
            <w:tcBorders>
              <w:top w:val="single" w:sz="4" w:space="0" w:color="auto"/>
              <w:left w:val="nil"/>
              <w:bottom w:val="single" w:sz="4" w:space="0" w:color="auto"/>
              <w:right w:val="single" w:sz="4" w:space="0" w:color="auto"/>
            </w:tcBorders>
            <w:shd w:val="clear" w:color="auto" w:fill="C6EFCE"/>
            <w:noWrap/>
          </w:tcPr>
          <w:p w14:paraId="49BA8D62" w14:textId="36F8D1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Schválenie žiadostí ministerstvom životného prostredia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energetiky</w:t>
            </w:r>
          </w:p>
        </w:tc>
        <w:tc>
          <w:tcPr>
            <w:tcW w:w="1387" w:type="dxa"/>
            <w:tcBorders>
              <w:top w:val="single" w:sz="4" w:space="0" w:color="auto"/>
              <w:left w:val="nil"/>
              <w:bottom w:val="single" w:sz="4" w:space="0" w:color="auto"/>
              <w:right w:val="single" w:sz="4" w:space="0" w:color="auto"/>
            </w:tcBorders>
            <w:shd w:val="clear" w:color="auto" w:fill="C6EFCE"/>
            <w:noWrap/>
          </w:tcPr>
          <w:p w14:paraId="14CECCEF"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11" w:type="dxa"/>
            <w:tcBorders>
              <w:top w:val="single" w:sz="4" w:space="0" w:color="auto"/>
              <w:left w:val="nil"/>
              <w:bottom w:val="single" w:sz="4" w:space="0" w:color="auto"/>
              <w:right w:val="single" w:sz="4" w:space="0" w:color="auto"/>
            </w:tcBorders>
            <w:shd w:val="clear" w:color="auto" w:fill="C6EFCE"/>
            <w:noWrap/>
          </w:tcPr>
          <w:p w14:paraId="5C98A89E"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27" w:type="dxa"/>
            <w:tcBorders>
              <w:top w:val="single" w:sz="4" w:space="0" w:color="auto"/>
              <w:left w:val="nil"/>
              <w:bottom w:val="single" w:sz="4" w:space="0" w:color="auto"/>
              <w:right w:val="single" w:sz="4" w:space="0" w:color="auto"/>
            </w:tcBorders>
            <w:shd w:val="clear" w:color="auto" w:fill="C6EFCE"/>
            <w:noWrap/>
          </w:tcPr>
          <w:p w14:paraId="67898D4A"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150" w:type="dxa"/>
            <w:tcBorders>
              <w:top w:val="single" w:sz="4" w:space="0" w:color="auto"/>
              <w:left w:val="nil"/>
              <w:bottom w:val="single" w:sz="4" w:space="0" w:color="auto"/>
              <w:right w:val="single" w:sz="4" w:space="0" w:color="auto"/>
            </w:tcBorders>
            <w:shd w:val="clear" w:color="auto" w:fill="C6EFCE"/>
            <w:noWrap/>
          </w:tcPr>
          <w:p w14:paraId="22FE2C3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680" w:type="dxa"/>
            <w:tcBorders>
              <w:top w:val="single" w:sz="4" w:space="0" w:color="auto"/>
              <w:left w:val="nil"/>
              <w:bottom w:val="single" w:sz="4" w:space="0" w:color="auto"/>
              <w:right w:val="single" w:sz="4" w:space="0" w:color="auto"/>
            </w:tcBorders>
            <w:shd w:val="clear" w:color="auto" w:fill="C6EFCE"/>
            <w:noWrap/>
          </w:tcPr>
          <w:p w14:paraId="0BF24B9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2023</w:t>
            </w:r>
          </w:p>
        </w:tc>
        <w:tc>
          <w:tcPr>
            <w:tcW w:w="3017" w:type="dxa"/>
            <w:tcBorders>
              <w:top w:val="single" w:sz="4" w:space="0" w:color="auto"/>
              <w:left w:val="nil"/>
              <w:bottom w:val="single" w:sz="4" w:space="0" w:color="auto"/>
              <w:right w:val="single" w:sz="4" w:space="0" w:color="auto"/>
            </w:tcBorders>
            <w:shd w:val="clear" w:color="auto" w:fill="C6EFCE"/>
            <w:noWrap/>
          </w:tcPr>
          <w:p w14:paraId="694B8A84" w14:textId="4BEF8632"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Schválenie žiadostí predložených na viac ako 10 priemyselných jednotiek („Produce E-Green“) zo strany ministerstva životného prostredia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energetiky.</w:t>
            </w:r>
          </w:p>
          <w:p w14:paraId="120DEAE8" w14:textId="3CC805B3"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Žiadosti sa vyberajú</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súlade</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kritériami výberu/oprávnenosti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musia zabezpečiť, aby vybrané projekty bo</w:t>
            </w:r>
            <w:r w:rsidRPr="00083739">
              <w:rPr>
                <w:rFonts w:ascii="Times New Roman" w:hAnsi="Times New Roman" w:cs="Times New Roman"/>
                <w:noProof/>
                <w:lang w:val="sk-SK"/>
              </w:rPr>
              <w:t>li</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súlade</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technickými usmerneniami „výrazne nenarušiť“ (2021/C58/01)</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použitím zoznamu vylúčených subjektov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požiadavky súladu</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príslušnými právnymi predpismi EÚ</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vnútroštátnymi právnymi predpismi</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životného prostredia.</w:t>
            </w:r>
          </w:p>
        </w:tc>
      </w:tr>
      <w:tr w:rsidR="002D49B0" w:rsidRPr="00083739" w14:paraId="5601DD39" w14:textId="77777777" w:rsidTr="006B0378">
        <w:trPr>
          <w:trHeight w:val="313"/>
        </w:trPr>
        <w:tc>
          <w:tcPr>
            <w:tcW w:w="980" w:type="dxa"/>
            <w:tcBorders>
              <w:top w:val="single" w:sz="4" w:space="0" w:color="auto"/>
              <w:left w:val="single" w:sz="4" w:space="0" w:color="auto"/>
              <w:bottom w:val="single" w:sz="4" w:space="0" w:color="auto"/>
              <w:right w:val="single" w:sz="4" w:space="0" w:color="auto"/>
            </w:tcBorders>
            <w:shd w:val="clear" w:color="auto" w:fill="C6EFCE"/>
            <w:noWrap/>
          </w:tcPr>
          <w:p w14:paraId="1339113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51</w:t>
            </w:r>
          </w:p>
        </w:tc>
        <w:tc>
          <w:tcPr>
            <w:tcW w:w="1336" w:type="dxa"/>
            <w:tcBorders>
              <w:top w:val="single" w:sz="4" w:space="0" w:color="auto"/>
              <w:left w:val="nil"/>
              <w:bottom w:val="single" w:sz="4" w:space="0" w:color="auto"/>
              <w:right w:val="single" w:sz="4" w:space="0" w:color="auto"/>
            </w:tcBorders>
            <w:shd w:val="clear" w:color="auto" w:fill="C6EFCE"/>
            <w:noWrap/>
          </w:tcPr>
          <w:p w14:paraId="0F55306A" w14:textId="7DC52955"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3 – 1.3. </w:t>
            </w:r>
            <w:r w:rsidRPr="00083739">
              <w:rPr>
                <w:rFonts w:ascii="Times New Roman" w:hAnsi="Times New Roman" w:cs="Times New Roman"/>
                <w:noProof/>
                <w:lang w:val="sk-SK"/>
              </w:rPr>
              <w:t>Dobíjanie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dopĺňanie paliva – 16831_výrobok – E zelená</w:t>
            </w:r>
          </w:p>
        </w:tc>
        <w:tc>
          <w:tcPr>
            <w:tcW w:w="1141" w:type="dxa"/>
            <w:tcBorders>
              <w:top w:val="single" w:sz="4" w:space="0" w:color="auto"/>
              <w:left w:val="nil"/>
              <w:bottom w:val="single" w:sz="4" w:space="0" w:color="auto"/>
              <w:right w:val="single" w:sz="4" w:space="0" w:color="auto"/>
            </w:tcBorders>
            <w:shd w:val="clear" w:color="auto" w:fill="C6EFCE"/>
            <w:noWrap/>
          </w:tcPr>
          <w:p w14:paraId="522EFB0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496" w:type="dxa"/>
            <w:tcBorders>
              <w:top w:val="single" w:sz="4" w:space="0" w:color="auto"/>
              <w:left w:val="nil"/>
              <w:bottom w:val="single" w:sz="4" w:space="0" w:color="auto"/>
              <w:right w:val="single" w:sz="4" w:space="0" w:color="auto"/>
            </w:tcBorders>
            <w:shd w:val="clear" w:color="auto" w:fill="C6EFCE"/>
            <w:noWrap/>
          </w:tcPr>
          <w:p w14:paraId="6F61B919" w14:textId="29F7637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Zachytávanie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ukladanie oxidu uhličitého (CCS) – povolenie na ukladanie</w:t>
            </w:r>
          </w:p>
        </w:tc>
        <w:tc>
          <w:tcPr>
            <w:tcW w:w="2251" w:type="dxa"/>
            <w:tcBorders>
              <w:top w:val="single" w:sz="4" w:space="0" w:color="auto"/>
              <w:left w:val="nil"/>
              <w:bottom w:val="single" w:sz="4" w:space="0" w:color="auto"/>
              <w:right w:val="single" w:sz="4" w:space="0" w:color="auto"/>
            </w:tcBorders>
            <w:shd w:val="clear" w:color="auto" w:fill="C6EFCE"/>
            <w:noWrap/>
          </w:tcPr>
          <w:p w14:paraId="1306E7B3" w14:textId="0FB55B84"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Vydanie povolenia na ukladanie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zriadenie systému podávania správ.</w:t>
            </w:r>
          </w:p>
        </w:tc>
        <w:tc>
          <w:tcPr>
            <w:tcW w:w="1387" w:type="dxa"/>
            <w:tcBorders>
              <w:top w:val="single" w:sz="4" w:space="0" w:color="auto"/>
              <w:left w:val="nil"/>
              <w:bottom w:val="single" w:sz="4" w:space="0" w:color="auto"/>
              <w:right w:val="single" w:sz="4" w:space="0" w:color="auto"/>
            </w:tcBorders>
            <w:shd w:val="clear" w:color="auto" w:fill="C6EFCE"/>
            <w:noWrap/>
          </w:tcPr>
          <w:p w14:paraId="0AF37BFF"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11" w:type="dxa"/>
            <w:tcBorders>
              <w:top w:val="single" w:sz="4" w:space="0" w:color="auto"/>
              <w:left w:val="nil"/>
              <w:bottom w:val="single" w:sz="4" w:space="0" w:color="auto"/>
              <w:right w:val="single" w:sz="4" w:space="0" w:color="auto"/>
            </w:tcBorders>
            <w:shd w:val="clear" w:color="auto" w:fill="C6EFCE"/>
            <w:noWrap/>
          </w:tcPr>
          <w:p w14:paraId="39E8A16E"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27" w:type="dxa"/>
            <w:tcBorders>
              <w:top w:val="single" w:sz="4" w:space="0" w:color="auto"/>
              <w:left w:val="nil"/>
              <w:bottom w:val="single" w:sz="4" w:space="0" w:color="auto"/>
              <w:right w:val="single" w:sz="4" w:space="0" w:color="auto"/>
            </w:tcBorders>
            <w:shd w:val="clear" w:color="auto" w:fill="C6EFCE"/>
            <w:noWrap/>
          </w:tcPr>
          <w:p w14:paraId="2C85D0DA"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150" w:type="dxa"/>
            <w:tcBorders>
              <w:top w:val="single" w:sz="4" w:space="0" w:color="auto"/>
              <w:left w:val="nil"/>
              <w:bottom w:val="single" w:sz="4" w:space="0" w:color="auto"/>
              <w:right w:val="single" w:sz="4" w:space="0" w:color="auto"/>
            </w:tcBorders>
            <w:shd w:val="clear" w:color="auto" w:fill="C6EFCE"/>
            <w:noWrap/>
          </w:tcPr>
          <w:p w14:paraId="24AA1782" w14:textId="5BD23EB0"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680" w:type="dxa"/>
            <w:tcBorders>
              <w:top w:val="single" w:sz="4" w:space="0" w:color="auto"/>
              <w:left w:val="nil"/>
              <w:bottom w:val="single" w:sz="4" w:space="0" w:color="auto"/>
              <w:right w:val="single" w:sz="4" w:space="0" w:color="auto"/>
            </w:tcBorders>
            <w:shd w:val="clear" w:color="auto" w:fill="C6EFCE"/>
            <w:noWrap/>
          </w:tcPr>
          <w:p w14:paraId="2C54A7A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2024</w:t>
            </w:r>
          </w:p>
        </w:tc>
        <w:tc>
          <w:tcPr>
            <w:tcW w:w="3017" w:type="dxa"/>
            <w:tcBorders>
              <w:top w:val="single" w:sz="4" w:space="0" w:color="auto"/>
              <w:left w:val="nil"/>
              <w:bottom w:val="single" w:sz="4" w:space="0" w:color="auto"/>
              <w:right w:val="single" w:sz="4" w:space="0" w:color="auto"/>
            </w:tcBorders>
            <w:shd w:val="clear" w:color="auto" w:fill="C6EFCE"/>
            <w:noWrap/>
          </w:tcPr>
          <w:p w14:paraId="46B15C55" w14:textId="4B1CFF6D"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Vydanie povolenia na </w:t>
            </w:r>
            <w:r w:rsidRPr="00083739">
              <w:rPr>
                <w:rFonts w:ascii="Times New Roman" w:hAnsi="Times New Roman" w:cs="Times New Roman"/>
                <w:noProof/>
                <w:lang w:val="sk-SK"/>
              </w:rPr>
              <w:t>ukladanie zo strany ministerstva zodpovedného za zachytávanie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ukladanie oxidu uhličitého (CCS) potvrdenému prevádzkovateľovi. Predloženie úplnej žiadosti zo strany žiadateľa ministerstvu životného prostredia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energetiky, ktorá by zahŕňala všetky relevan</w:t>
            </w:r>
            <w:r w:rsidRPr="00083739">
              <w:rPr>
                <w:rFonts w:ascii="Times New Roman" w:hAnsi="Times New Roman" w:cs="Times New Roman"/>
                <w:noProof/>
                <w:lang w:val="sk-SK"/>
              </w:rPr>
              <w:t>tné štúdie, ako aj štúdiu</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posudzovaní vplyvov na životné prostredie. Vytvorenie systému podávania správ pre každoročné podávanie správ</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uskladnenom CO</w:t>
            </w:r>
            <w:r w:rsidRPr="00083739">
              <w:rPr>
                <w:rFonts w:ascii="Times New Roman" w:hAnsi="Times New Roman" w:cs="Times New Roman"/>
                <w:noProof/>
                <w:vertAlign w:val="subscript"/>
                <w:lang w:val="sk-SK"/>
              </w:rPr>
              <w:t>2</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potvrdenie toho, že sa nevyťažil žiadny olej, okrem systému obmedzeného na nevyhnutné potreby </w:t>
            </w:r>
            <w:r w:rsidRPr="00083739">
              <w:rPr>
                <w:rFonts w:ascii="Times New Roman" w:hAnsi="Times New Roman" w:cs="Times New Roman"/>
                <w:noProof/>
                <w:lang w:val="sk-SK"/>
              </w:rPr>
              <w:t>riadenia tlaku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zaistenia bezpečnosti úložísk,</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že každý proces CO</w:t>
            </w:r>
            <w:r w:rsidRPr="00083739">
              <w:rPr>
                <w:rFonts w:ascii="Times New Roman" w:hAnsi="Times New Roman" w:cs="Times New Roman"/>
                <w:noProof/>
                <w:vertAlign w:val="subscript"/>
                <w:lang w:val="sk-SK"/>
              </w:rPr>
              <w:t>2</w:t>
            </w:r>
            <w:r w:rsidRPr="00083739">
              <w:rPr>
                <w:rFonts w:ascii="Times New Roman" w:hAnsi="Times New Roman" w:cs="Times New Roman"/>
                <w:noProof/>
                <w:lang w:val="sk-SK"/>
              </w:rPr>
              <w:t xml:space="preserve"> spojený</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nevyhnutnou ťažbou sa oddelí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vráti na trvalé uloženie.</w:t>
            </w:r>
          </w:p>
          <w:p w14:paraId="1D300378" w14:textId="25FA5AC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Intervencia sa vykonáva</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súlade</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výberovými kritériami/kritériami oprávnenosti uvedenými</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technickom usmernení Do No</w:t>
            </w:r>
            <w:r w:rsidRPr="00083739">
              <w:rPr>
                <w:rFonts w:ascii="Times New Roman" w:hAnsi="Times New Roman" w:cs="Times New Roman"/>
                <w:noProof/>
                <w:lang w:val="sk-SK"/>
              </w:rPr>
              <w:t xml:space="preserve"> No Significant Harm Technical Guidance (2021/C58/01)</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osobitným odkazom na splnenie požiadavky, aby sa nevyskytli žiadne technologické aplikácie, ani žiadny typ zariadení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vybavenia vyvinutých na aplikáciu zvýšenej ťažby ropy (EOR)</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zvýšenú ťažbu ropy.</w:t>
            </w:r>
            <w:r w:rsidRPr="00083739">
              <w:rPr>
                <w:rFonts w:ascii="Times New Roman" w:hAnsi="Times New Roman" w:cs="Times New Roman"/>
                <w:noProof/>
                <w:lang w:val="sk-SK"/>
              </w:rPr>
              <w:t xml:space="preserve"> Je potrebné dbať na to, aby sa akákoľvek možná ťažba ropy alebo plynu obmedzila na nevyhnutné potreby riadenia tlaku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zaistenia bezpečnosti úložísk</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aby sa každá takáto ťažba vykonávala len vtedy, ak je to nevyhnutné na zaistenie bezpečného ukladania CO</w:t>
            </w:r>
            <w:r w:rsidRPr="00083739">
              <w:rPr>
                <w:rFonts w:ascii="Times New Roman" w:hAnsi="Times New Roman" w:cs="Times New Roman"/>
                <w:noProof/>
                <w:vertAlign w:val="subscript"/>
                <w:lang w:val="sk-SK"/>
              </w:rPr>
              <w:t>2</w:t>
            </w:r>
            <w:r w:rsidRPr="00083739">
              <w:rPr>
                <w:rFonts w:ascii="Times New Roman" w:hAnsi="Times New Roman" w:cs="Times New Roman"/>
                <w:noProof/>
                <w:lang w:val="sk-SK"/>
              </w:rPr>
              <w:t>. CO</w:t>
            </w:r>
            <w:r w:rsidRPr="00083739">
              <w:rPr>
                <w:rFonts w:ascii="Times New Roman" w:hAnsi="Times New Roman" w:cs="Times New Roman"/>
                <w:noProof/>
                <w:vertAlign w:val="subscript"/>
                <w:lang w:val="sk-SK"/>
              </w:rPr>
              <w:t>2</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akoukoľvek ropou alebo plynom, ktorý sa môže extrahovať, sa oddelí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vráti späť na trvalé uskladnenie.</w:t>
            </w:r>
          </w:p>
        </w:tc>
      </w:tr>
      <w:tr w:rsidR="002D49B0" w:rsidRPr="00083739" w14:paraId="64E530A3" w14:textId="77777777" w:rsidTr="006B0378">
        <w:trPr>
          <w:trHeight w:val="313"/>
        </w:trPr>
        <w:tc>
          <w:tcPr>
            <w:tcW w:w="980" w:type="dxa"/>
            <w:tcBorders>
              <w:top w:val="single" w:sz="4" w:space="0" w:color="auto"/>
              <w:left w:val="single" w:sz="4" w:space="0" w:color="auto"/>
              <w:bottom w:val="single" w:sz="4" w:space="0" w:color="auto"/>
              <w:right w:val="single" w:sz="4" w:space="0" w:color="auto"/>
            </w:tcBorders>
            <w:shd w:val="clear" w:color="auto" w:fill="C6EFCE"/>
            <w:noWrap/>
          </w:tcPr>
          <w:p w14:paraId="2090AA4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45a</w:t>
            </w:r>
          </w:p>
        </w:tc>
        <w:tc>
          <w:tcPr>
            <w:tcW w:w="1336" w:type="dxa"/>
            <w:tcBorders>
              <w:top w:val="single" w:sz="4" w:space="0" w:color="auto"/>
              <w:left w:val="nil"/>
              <w:bottom w:val="single" w:sz="4" w:space="0" w:color="auto"/>
              <w:right w:val="single" w:sz="4" w:space="0" w:color="auto"/>
            </w:tcBorders>
            <w:shd w:val="clear" w:color="auto" w:fill="C6EFCE"/>
            <w:noWrap/>
          </w:tcPr>
          <w:p w14:paraId="68AA230E" w14:textId="77777777"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3 – 1.3. Dobíjanie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dopĺňanie paliva —</w:t>
            </w:r>
          </w:p>
          <w:p w14:paraId="7AE6F89A" w14:textId="4099D5C1"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16924_ elektromobilita</w:t>
            </w:r>
          </w:p>
        </w:tc>
        <w:tc>
          <w:tcPr>
            <w:tcW w:w="1141" w:type="dxa"/>
            <w:tcBorders>
              <w:top w:val="single" w:sz="4" w:space="0" w:color="auto"/>
              <w:left w:val="nil"/>
              <w:bottom w:val="single" w:sz="4" w:space="0" w:color="auto"/>
              <w:right w:val="single" w:sz="4" w:space="0" w:color="auto"/>
            </w:tcBorders>
            <w:shd w:val="clear" w:color="auto" w:fill="C6EFCE"/>
            <w:noWrap/>
          </w:tcPr>
          <w:p w14:paraId="09DC366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496" w:type="dxa"/>
            <w:tcBorders>
              <w:top w:val="single" w:sz="4" w:space="0" w:color="auto"/>
              <w:left w:val="nil"/>
              <w:bottom w:val="single" w:sz="4" w:space="0" w:color="auto"/>
              <w:right w:val="single" w:sz="4" w:space="0" w:color="auto"/>
            </w:tcBorders>
            <w:shd w:val="clear" w:color="auto" w:fill="C6EFCE"/>
            <w:noWrap/>
          </w:tcPr>
          <w:p w14:paraId="60204DC2" w14:textId="5D4BA05E"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Verejná doprava – začatie postupov verejného obstarávania pre </w:t>
            </w:r>
            <w:r w:rsidRPr="00083739">
              <w:rPr>
                <w:rFonts w:ascii="Times New Roman" w:hAnsi="Times New Roman" w:cs="Times New Roman"/>
                <w:noProof/>
                <w:lang w:val="sk-SK"/>
              </w:rPr>
              <w:t>prevádzkovateľov autobusovej dopravy prostredníctvom uverejnenia príslušných výziev pre 12 regiónov</w:t>
            </w:r>
          </w:p>
        </w:tc>
        <w:tc>
          <w:tcPr>
            <w:tcW w:w="2251" w:type="dxa"/>
            <w:tcBorders>
              <w:top w:val="single" w:sz="4" w:space="0" w:color="auto"/>
              <w:left w:val="nil"/>
              <w:bottom w:val="single" w:sz="4" w:space="0" w:color="auto"/>
              <w:right w:val="single" w:sz="4" w:space="0" w:color="auto"/>
            </w:tcBorders>
            <w:shd w:val="clear" w:color="auto" w:fill="C6EFCE"/>
            <w:noWrap/>
          </w:tcPr>
          <w:p w14:paraId="5253EFBB" w14:textId="6BE46CD3"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Začaté postupy verejného obstarávania – prostredníctvom uverejnenia príslušných výziev pre 12 regiónov.</w:t>
            </w:r>
          </w:p>
        </w:tc>
        <w:tc>
          <w:tcPr>
            <w:tcW w:w="1387" w:type="dxa"/>
            <w:tcBorders>
              <w:top w:val="single" w:sz="4" w:space="0" w:color="auto"/>
              <w:left w:val="nil"/>
              <w:bottom w:val="single" w:sz="4" w:space="0" w:color="auto"/>
              <w:right w:val="single" w:sz="4" w:space="0" w:color="auto"/>
            </w:tcBorders>
            <w:shd w:val="clear" w:color="auto" w:fill="C6EFCE"/>
            <w:noWrap/>
          </w:tcPr>
          <w:p w14:paraId="7920B41E"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11" w:type="dxa"/>
            <w:tcBorders>
              <w:top w:val="single" w:sz="4" w:space="0" w:color="auto"/>
              <w:left w:val="nil"/>
              <w:bottom w:val="single" w:sz="4" w:space="0" w:color="auto"/>
              <w:right w:val="single" w:sz="4" w:space="0" w:color="auto"/>
            </w:tcBorders>
            <w:shd w:val="clear" w:color="auto" w:fill="C6EFCE"/>
            <w:noWrap/>
          </w:tcPr>
          <w:p w14:paraId="76AAE545"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27" w:type="dxa"/>
            <w:tcBorders>
              <w:top w:val="single" w:sz="4" w:space="0" w:color="auto"/>
              <w:left w:val="nil"/>
              <w:bottom w:val="single" w:sz="4" w:space="0" w:color="auto"/>
              <w:right w:val="single" w:sz="4" w:space="0" w:color="auto"/>
            </w:tcBorders>
            <w:shd w:val="clear" w:color="auto" w:fill="C6EFCE"/>
            <w:noWrap/>
          </w:tcPr>
          <w:p w14:paraId="152A8A5F"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150" w:type="dxa"/>
            <w:tcBorders>
              <w:top w:val="single" w:sz="4" w:space="0" w:color="auto"/>
              <w:left w:val="nil"/>
              <w:bottom w:val="single" w:sz="4" w:space="0" w:color="auto"/>
              <w:right w:val="single" w:sz="4" w:space="0" w:color="auto"/>
            </w:tcBorders>
            <w:shd w:val="clear" w:color="auto" w:fill="C6EFCE"/>
            <w:noWrap/>
          </w:tcPr>
          <w:p w14:paraId="1C0B0D3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680" w:type="dxa"/>
            <w:tcBorders>
              <w:top w:val="single" w:sz="4" w:space="0" w:color="auto"/>
              <w:left w:val="nil"/>
              <w:bottom w:val="single" w:sz="4" w:space="0" w:color="auto"/>
              <w:right w:val="single" w:sz="4" w:space="0" w:color="auto"/>
            </w:tcBorders>
            <w:shd w:val="clear" w:color="auto" w:fill="C6EFCE"/>
            <w:noWrap/>
          </w:tcPr>
          <w:p w14:paraId="6F05F0D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2024</w:t>
            </w:r>
          </w:p>
        </w:tc>
        <w:tc>
          <w:tcPr>
            <w:tcW w:w="3017" w:type="dxa"/>
            <w:tcBorders>
              <w:top w:val="single" w:sz="4" w:space="0" w:color="auto"/>
              <w:left w:val="nil"/>
              <w:bottom w:val="single" w:sz="4" w:space="0" w:color="auto"/>
              <w:right w:val="single" w:sz="4" w:space="0" w:color="auto"/>
            </w:tcBorders>
            <w:shd w:val="clear" w:color="auto" w:fill="C6EFCE"/>
            <w:noWrap/>
          </w:tcPr>
          <w:p w14:paraId="51F5FC84" w14:textId="3C60BB2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Po určení autobusovej siete </w:t>
            </w:r>
            <w:r w:rsidRPr="00083739">
              <w:rPr>
                <w:rFonts w:ascii="Times New Roman" w:hAnsi="Times New Roman" w:cs="Times New Roman"/>
                <w:noProof/>
                <w:lang w:val="sk-SK"/>
              </w:rPr>
              <w:t>pre pravidelné diaľkové</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mestské trate verejnej cestnej osobnej dopravy sa postup verejného obstarávania pre 12 regiónov začne postupne uverejnením príslušných výziev pre 12 regiónov.</w:t>
            </w:r>
          </w:p>
        </w:tc>
      </w:tr>
      <w:tr w:rsidR="002D49B0" w:rsidRPr="00083739" w14:paraId="1EE5165B" w14:textId="77777777" w:rsidTr="006B0378">
        <w:trPr>
          <w:trHeight w:val="313"/>
        </w:trPr>
        <w:tc>
          <w:tcPr>
            <w:tcW w:w="980" w:type="dxa"/>
            <w:tcBorders>
              <w:top w:val="single" w:sz="4" w:space="0" w:color="auto"/>
              <w:left w:val="single" w:sz="4" w:space="0" w:color="auto"/>
              <w:bottom w:val="single" w:sz="4" w:space="0" w:color="auto"/>
              <w:right w:val="single" w:sz="4" w:space="0" w:color="auto"/>
            </w:tcBorders>
            <w:shd w:val="clear" w:color="auto" w:fill="C6EFCE"/>
            <w:noWrap/>
          </w:tcPr>
          <w:p w14:paraId="4787D18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52</w:t>
            </w:r>
          </w:p>
        </w:tc>
        <w:tc>
          <w:tcPr>
            <w:tcW w:w="1336" w:type="dxa"/>
            <w:tcBorders>
              <w:top w:val="single" w:sz="4" w:space="0" w:color="auto"/>
              <w:left w:val="nil"/>
              <w:bottom w:val="single" w:sz="4" w:space="0" w:color="auto"/>
              <w:right w:val="single" w:sz="4" w:space="0" w:color="auto"/>
            </w:tcBorders>
            <w:shd w:val="clear" w:color="auto" w:fill="C6EFCE"/>
            <w:noWrap/>
          </w:tcPr>
          <w:p w14:paraId="407D181B" w14:textId="0E9BD786"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 – 1.3. Nabíjanie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dopĺňanie paliva – 16924_ elektromobilita</w:t>
            </w:r>
          </w:p>
        </w:tc>
        <w:tc>
          <w:tcPr>
            <w:tcW w:w="1141" w:type="dxa"/>
            <w:tcBorders>
              <w:top w:val="single" w:sz="4" w:space="0" w:color="auto"/>
              <w:left w:val="nil"/>
              <w:bottom w:val="single" w:sz="4" w:space="0" w:color="auto"/>
              <w:right w:val="single" w:sz="4" w:space="0" w:color="auto"/>
            </w:tcBorders>
            <w:shd w:val="clear" w:color="auto" w:fill="C6EFCE"/>
            <w:noWrap/>
          </w:tcPr>
          <w:p w14:paraId="1A12A04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Cieľ</w:t>
            </w:r>
          </w:p>
        </w:tc>
        <w:tc>
          <w:tcPr>
            <w:tcW w:w="1496" w:type="dxa"/>
            <w:tcBorders>
              <w:top w:val="single" w:sz="4" w:space="0" w:color="auto"/>
              <w:left w:val="nil"/>
              <w:bottom w:val="single" w:sz="4" w:space="0" w:color="auto"/>
              <w:right w:val="single" w:sz="4" w:space="0" w:color="auto"/>
            </w:tcBorders>
            <w:shd w:val="clear" w:color="auto" w:fill="C6EFCE"/>
            <w:noWrap/>
          </w:tcPr>
          <w:p w14:paraId="579B5673" w14:textId="416956B9"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Autobusy – nahradenie elektrickými autobusmi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zadanie zmluvy</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službách vo verejnom záujme</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pravidelnej autobusovej dopravy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mestských oblastiach regionálnej jednotky Solún.</w:t>
            </w:r>
          </w:p>
        </w:tc>
        <w:tc>
          <w:tcPr>
            <w:tcW w:w="2251" w:type="dxa"/>
            <w:tcBorders>
              <w:top w:val="single" w:sz="4" w:space="0" w:color="auto"/>
              <w:left w:val="nil"/>
              <w:bottom w:val="single" w:sz="4" w:space="0" w:color="auto"/>
              <w:right w:val="single" w:sz="4" w:space="0" w:color="auto"/>
            </w:tcBorders>
            <w:shd w:val="clear" w:color="auto" w:fill="C6EFCE"/>
            <w:noWrap/>
          </w:tcPr>
          <w:p w14:paraId="7D505C61" w14:textId="655CF3BE"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387" w:type="dxa"/>
            <w:tcBorders>
              <w:top w:val="single" w:sz="4" w:space="0" w:color="auto"/>
              <w:left w:val="nil"/>
              <w:bottom w:val="single" w:sz="4" w:space="0" w:color="auto"/>
              <w:right w:val="single" w:sz="4" w:space="0" w:color="auto"/>
            </w:tcBorders>
            <w:shd w:val="clear" w:color="auto" w:fill="C6EFCE"/>
            <w:noWrap/>
          </w:tcPr>
          <w:p w14:paraId="0EF4F6F1" w14:textId="481E530D"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Počet starých autobusov vyradených schváleným zariadením na </w:t>
            </w:r>
            <w:r w:rsidRPr="00083739">
              <w:rPr>
                <w:rFonts w:ascii="Times New Roman" w:hAnsi="Times New Roman" w:cs="Times New Roman"/>
                <w:noProof/>
                <w:lang w:val="sk-SK"/>
              </w:rPr>
              <w:t>spracovanie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nahradených batériovými elektrickými autobusmi</w:t>
            </w:r>
          </w:p>
        </w:tc>
        <w:tc>
          <w:tcPr>
            <w:tcW w:w="1011" w:type="dxa"/>
            <w:tcBorders>
              <w:top w:val="single" w:sz="4" w:space="0" w:color="auto"/>
              <w:left w:val="nil"/>
              <w:bottom w:val="single" w:sz="4" w:space="0" w:color="auto"/>
              <w:right w:val="single" w:sz="4" w:space="0" w:color="auto"/>
            </w:tcBorders>
            <w:shd w:val="clear" w:color="auto" w:fill="C6EFCE"/>
            <w:noWrap/>
          </w:tcPr>
          <w:p w14:paraId="66B23F3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0</w:t>
            </w:r>
          </w:p>
        </w:tc>
        <w:tc>
          <w:tcPr>
            <w:tcW w:w="827" w:type="dxa"/>
            <w:tcBorders>
              <w:top w:val="single" w:sz="4" w:space="0" w:color="auto"/>
              <w:left w:val="nil"/>
              <w:bottom w:val="single" w:sz="4" w:space="0" w:color="auto"/>
              <w:right w:val="single" w:sz="4" w:space="0" w:color="auto"/>
            </w:tcBorders>
            <w:shd w:val="clear" w:color="auto" w:fill="C6EFCE"/>
            <w:noWrap/>
          </w:tcPr>
          <w:p w14:paraId="5F2FD547" w14:textId="1D8B337A"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425</w:t>
            </w:r>
          </w:p>
        </w:tc>
        <w:tc>
          <w:tcPr>
            <w:tcW w:w="1150" w:type="dxa"/>
            <w:tcBorders>
              <w:top w:val="single" w:sz="4" w:space="0" w:color="auto"/>
              <w:left w:val="nil"/>
              <w:bottom w:val="single" w:sz="4" w:space="0" w:color="auto"/>
              <w:right w:val="single" w:sz="4" w:space="0" w:color="auto"/>
            </w:tcBorders>
            <w:shd w:val="clear" w:color="auto" w:fill="C6EFCE"/>
            <w:noWrap/>
          </w:tcPr>
          <w:p w14:paraId="4915FCC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680" w:type="dxa"/>
            <w:tcBorders>
              <w:top w:val="single" w:sz="4" w:space="0" w:color="auto"/>
              <w:left w:val="nil"/>
              <w:bottom w:val="single" w:sz="4" w:space="0" w:color="auto"/>
              <w:right w:val="single" w:sz="4" w:space="0" w:color="auto"/>
            </w:tcBorders>
            <w:shd w:val="clear" w:color="auto" w:fill="C6EFCE"/>
            <w:noWrap/>
          </w:tcPr>
          <w:p w14:paraId="6B8E4A88" w14:textId="5D202B30"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3017" w:type="dxa"/>
            <w:tcBorders>
              <w:top w:val="single" w:sz="4" w:space="0" w:color="auto"/>
              <w:left w:val="nil"/>
              <w:bottom w:val="single" w:sz="4" w:space="0" w:color="auto"/>
              <w:right w:val="single" w:sz="4" w:space="0" w:color="auto"/>
            </w:tcBorders>
            <w:shd w:val="clear" w:color="auto" w:fill="C6EFCE"/>
            <w:noWrap/>
          </w:tcPr>
          <w:p w14:paraId="7AD5E334" w14:textId="1DFB02E3" w:rsidR="002D49B0" w:rsidRPr="00083739" w:rsidRDefault="00BF4125">
            <w:pPr>
              <w:pStyle w:val="P68B1DB1-Normal10"/>
              <w:spacing w:after="0" w:line="240" w:lineRule="auto"/>
              <w:rPr>
                <w:rFonts w:ascii="Times New Roman" w:hAnsi="Times New Roman" w:cs="Times New Roman"/>
                <w:noProof/>
                <w:lang w:val="sk-SK"/>
              </w:rPr>
            </w:pPr>
            <w:r w:rsidRPr="00083739">
              <w:rPr>
                <w:rFonts w:ascii="Times New Roman" w:hAnsi="Times New Roman" w:cs="Times New Roman"/>
                <w:noProof/>
                <w:lang w:val="sk-SK"/>
              </w:rPr>
              <w:t>a) nahradenie 425 starých autobusov 425 novými elektrickými autobusmi, kde šrotovanie starších autobusov vykonáva autorizované spracovateľské zariadenie (ATF) podľa sme</w:t>
            </w:r>
            <w:r w:rsidRPr="00083739">
              <w:rPr>
                <w:rFonts w:ascii="Times New Roman" w:hAnsi="Times New Roman" w:cs="Times New Roman"/>
                <w:noProof/>
                <w:lang w:val="sk-SK"/>
              </w:rPr>
              <w:t>rnice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vozidlách po dobe životnosti (2000/53/ES).</w:t>
            </w:r>
          </w:p>
          <w:p w14:paraId="4CCE3C1E" w14:textId="75A63590" w:rsidR="002D49B0" w:rsidRPr="00083739" w:rsidRDefault="00BF4125">
            <w:pPr>
              <w:pStyle w:val="P68B1DB1-Normal17"/>
              <w:spacing w:after="0" w:line="240" w:lineRule="auto"/>
              <w:rPr>
                <w:rFonts w:ascii="Times New Roman" w:hAnsi="Times New Roman" w:cs="Times New Roman"/>
                <w:noProof/>
                <w:lang w:val="sk-SK"/>
              </w:rPr>
            </w:pPr>
            <w:r w:rsidRPr="00083739">
              <w:rPr>
                <w:rFonts w:ascii="Times New Roman" w:hAnsi="Times New Roman" w:cs="Times New Roman"/>
                <w:noProof/>
                <w:lang w:val="sk-SK"/>
              </w:rPr>
              <w:t>b) oznámenie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zadaní zmluvy</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službách vo verejnom záujme</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pravidelnej autobusovej doprave</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mestských oblastiach regionálnej jednotky Solún, ktorá patrí do právomoci Dopravného úradu S.A. Thessaloniki (</w:t>
            </w:r>
            <w:r w:rsidRPr="00083739">
              <w:rPr>
                <w:rFonts w:ascii="Times New Roman" w:hAnsi="Times New Roman" w:cs="Times New Roman"/>
                <w:noProof/>
                <w:lang w:val="sk-SK"/>
              </w:rPr>
              <w:t>OSETH).</w:t>
            </w:r>
          </w:p>
        </w:tc>
      </w:tr>
      <w:tr w:rsidR="002D49B0" w:rsidRPr="00083739" w14:paraId="31F36B14" w14:textId="77777777" w:rsidTr="006B0378">
        <w:trPr>
          <w:trHeight w:val="313"/>
        </w:trPr>
        <w:tc>
          <w:tcPr>
            <w:tcW w:w="980" w:type="dxa"/>
            <w:tcBorders>
              <w:top w:val="single" w:sz="4" w:space="0" w:color="auto"/>
              <w:left w:val="single" w:sz="4" w:space="0" w:color="auto"/>
              <w:bottom w:val="single" w:sz="4" w:space="0" w:color="auto"/>
              <w:right w:val="single" w:sz="4" w:space="0" w:color="auto"/>
            </w:tcBorders>
            <w:shd w:val="clear" w:color="auto" w:fill="C6EFCE"/>
            <w:noWrap/>
          </w:tcPr>
          <w:p w14:paraId="5597512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53</w:t>
            </w:r>
          </w:p>
        </w:tc>
        <w:tc>
          <w:tcPr>
            <w:tcW w:w="1336" w:type="dxa"/>
            <w:tcBorders>
              <w:top w:val="single" w:sz="4" w:space="0" w:color="auto"/>
              <w:left w:val="nil"/>
              <w:bottom w:val="single" w:sz="4" w:space="0" w:color="auto"/>
              <w:right w:val="single" w:sz="4" w:space="0" w:color="auto"/>
            </w:tcBorders>
            <w:shd w:val="clear" w:color="auto" w:fill="C6EFCE"/>
            <w:noWrap/>
          </w:tcPr>
          <w:p w14:paraId="29118343" w14:textId="0FDB4FBB"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 – 1.3. Dobíjanie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dopĺňanie paliva – 16831_výrobok – E zelená</w:t>
            </w:r>
          </w:p>
        </w:tc>
        <w:tc>
          <w:tcPr>
            <w:tcW w:w="1141" w:type="dxa"/>
            <w:tcBorders>
              <w:top w:val="single" w:sz="4" w:space="0" w:color="auto"/>
              <w:left w:val="nil"/>
              <w:bottom w:val="single" w:sz="4" w:space="0" w:color="auto"/>
              <w:right w:val="single" w:sz="4" w:space="0" w:color="auto"/>
            </w:tcBorders>
            <w:shd w:val="clear" w:color="auto" w:fill="C6EFCE"/>
            <w:noWrap/>
          </w:tcPr>
          <w:p w14:paraId="1FE5745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496" w:type="dxa"/>
            <w:tcBorders>
              <w:top w:val="single" w:sz="4" w:space="0" w:color="auto"/>
              <w:left w:val="nil"/>
              <w:bottom w:val="single" w:sz="4" w:space="0" w:color="auto"/>
              <w:right w:val="single" w:sz="4" w:space="0" w:color="auto"/>
            </w:tcBorders>
            <w:shd w:val="clear" w:color="auto" w:fill="C6EFCE"/>
            <w:noWrap/>
          </w:tcPr>
          <w:p w14:paraId="40ADD127" w14:textId="13E4D27F"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CCS – Ukončenie vrtných prác</w:t>
            </w:r>
          </w:p>
        </w:tc>
        <w:tc>
          <w:tcPr>
            <w:tcW w:w="2251" w:type="dxa"/>
            <w:tcBorders>
              <w:top w:val="single" w:sz="4" w:space="0" w:color="auto"/>
              <w:left w:val="nil"/>
              <w:bottom w:val="single" w:sz="4" w:space="0" w:color="auto"/>
              <w:right w:val="single" w:sz="4" w:space="0" w:color="auto"/>
            </w:tcBorders>
            <w:shd w:val="clear" w:color="auto" w:fill="C6EFCE"/>
            <w:noWrap/>
          </w:tcPr>
          <w:p w14:paraId="673D95F0" w14:textId="528B622F"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vrtných prác na zachytávanie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ukladanie oxidu uhličitého.</w:t>
            </w:r>
          </w:p>
        </w:tc>
        <w:tc>
          <w:tcPr>
            <w:tcW w:w="1387" w:type="dxa"/>
            <w:tcBorders>
              <w:top w:val="single" w:sz="4" w:space="0" w:color="auto"/>
              <w:left w:val="nil"/>
              <w:bottom w:val="single" w:sz="4" w:space="0" w:color="auto"/>
              <w:right w:val="single" w:sz="4" w:space="0" w:color="auto"/>
            </w:tcBorders>
            <w:shd w:val="clear" w:color="auto" w:fill="C6EFCE"/>
            <w:noWrap/>
          </w:tcPr>
          <w:p w14:paraId="40AE110C"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11" w:type="dxa"/>
            <w:tcBorders>
              <w:top w:val="single" w:sz="4" w:space="0" w:color="auto"/>
              <w:left w:val="nil"/>
              <w:bottom w:val="single" w:sz="4" w:space="0" w:color="auto"/>
              <w:right w:val="single" w:sz="4" w:space="0" w:color="auto"/>
            </w:tcBorders>
            <w:shd w:val="clear" w:color="auto" w:fill="C6EFCE"/>
            <w:noWrap/>
          </w:tcPr>
          <w:p w14:paraId="70D0D2AC"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27" w:type="dxa"/>
            <w:tcBorders>
              <w:top w:val="single" w:sz="4" w:space="0" w:color="auto"/>
              <w:left w:val="nil"/>
              <w:bottom w:val="single" w:sz="4" w:space="0" w:color="auto"/>
              <w:right w:val="single" w:sz="4" w:space="0" w:color="auto"/>
            </w:tcBorders>
            <w:shd w:val="clear" w:color="auto" w:fill="C6EFCE"/>
            <w:noWrap/>
          </w:tcPr>
          <w:p w14:paraId="162EFE1B"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150" w:type="dxa"/>
            <w:tcBorders>
              <w:top w:val="single" w:sz="4" w:space="0" w:color="auto"/>
              <w:left w:val="nil"/>
              <w:bottom w:val="single" w:sz="4" w:space="0" w:color="auto"/>
              <w:right w:val="single" w:sz="4" w:space="0" w:color="auto"/>
            </w:tcBorders>
            <w:shd w:val="clear" w:color="auto" w:fill="C6EFCE"/>
            <w:noWrap/>
          </w:tcPr>
          <w:p w14:paraId="23D721C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680" w:type="dxa"/>
            <w:tcBorders>
              <w:top w:val="single" w:sz="4" w:space="0" w:color="auto"/>
              <w:left w:val="nil"/>
              <w:bottom w:val="single" w:sz="4" w:space="0" w:color="auto"/>
              <w:right w:val="single" w:sz="4" w:space="0" w:color="auto"/>
            </w:tcBorders>
            <w:shd w:val="clear" w:color="auto" w:fill="C6EFCE"/>
            <w:noWrap/>
          </w:tcPr>
          <w:p w14:paraId="0F36E20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3017" w:type="dxa"/>
            <w:tcBorders>
              <w:top w:val="single" w:sz="4" w:space="0" w:color="auto"/>
              <w:left w:val="nil"/>
              <w:bottom w:val="single" w:sz="4" w:space="0" w:color="auto"/>
              <w:right w:val="single" w:sz="4" w:space="0" w:color="auto"/>
            </w:tcBorders>
            <w:shd w:val="clear" w:color="auto" w:fill="C6EFCE"/>
            <w:noWrap/>
          </w:tcPr>
          <w:p w14:paraId="478AC6A4" w14:textId="3DCBBD7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vrtných prác na zachytávanie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ukladanie oxidu uhličitého podľa špecifikácií.</w:t>
            </w:r>
          </w:p>
        </w:tc>
      </w:tr>
      <w:tr w:rsidR="002D49B0" w:rsidRPr="00083739" w14:paraId="4998DFE2" w14:textId="77777777" w:rsidTr="006B0378">
        <w:trPr>
          <w:trHeight w:val="313"/>
        </w:trPr>
        <w:tc>
          <w:tcPr>
            <w:tcW w:w="980" w:type="dxa"/>
            <w:tcBorders>
              <w:top w:val="single" w:sz="4" w:space="0" w:color="auto"/>
              <w:left w:val="single" w:sz="4" w:space="0" w:color="auto"/>
              <w:bottom w:val="single" w:sz="4" w:space="0" w:color="auto"/>
              <w:right w:val="single" w:sz="4" w:space="0" w:color="auto"/>
            </w:tcBorders>
            <w:shd w:val="clear" w:color="auto" w:fill="C6EFCE"/>
            <w:noWrap/>
          </w:tcPr>
          <w:p w14:paraId="625FAE8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54</w:t>
            </w:r>
          </w:p>
        </w:tc>
        <w:tc>
          <w:tcPr>
            <w:tcW w:w="1336" w:type="dxa"/>
            <w:tcBorders>
              <w:top w:val="single" w:sz="4" w:space="0" w:color="auto"/>
              <w:left w:val="nil"/>
              <w:bottom w:val="single" w:sz="4" w:space="0" w:color="auto"/>
              <w:right w:val="single" w:sz="4" w:space="0" w:color="auto"/>
            </w:tcBorders>
            <w:shd w:val="clear" w:color="auto" w:fill="C6EFCE"/>
            <w:noWrap/>
          </w:tcPr>
          <w:p w14:paraId="0BB6C60A" w14:textId="130F29E6"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 – 1.3. Dobíjanie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dopĺňanie paliva – 16831_výrobok – E zelená</w:t>
            </w:r>
          </w:p>
          <w:p w14:paraId="7DD81711"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141" w:type="dxa"/>
            <w:tcBorders>
              <w:top w:val="single" w:sz="4" w:space="0" w:color="auto"/>
              <w:left w:val="nil"/>
              <w:bottom w:val="single" w:sz="4" w:space="0" w:color="auto"/>
              <w:right w:val="single" w:sz="4" w:space="0" w:color="auto"/>
            </w:tcBorders>
            <w:shd w:val="clear" w:color="auto" w:fill="C6EFCE"/>
            <w:noWrap/>
          </w:tcPr>
          <w:p w14:paraId="65F9D22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496" w:type="dxa"/>
            <w:tcBorders>
              <w:top w:val="single" w:sz="4" w:space="0" w:color="auto"/>
              <w:left w:val="nil"/>
              <w:bottom w:val="single" w:sz="4" w:space="0" w:color="auto"/>
              <w:right w:val="single" w:sz="4" w:space="0" w:color="auto"/>
            </w:tcBorders>
            <w:shd w:val="clear" w:color="auto" w:fill="C6EFCE"/>
            <w:noWrap/>
          </w:tcPr>
          <w:p w14:paraId="0565C5FB" w14:textId="3A969664"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Priemyselné jednotky – Ukončenie stavebných prác</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inštalácia zariadení</w:t>
            </w:r>
          </w:p>
        </w:tc>
        <w:tc>
          <w:tcPr>
            <w:tcW w:w="2251" w:type="dxa"/>
            <w:tcBorders>
              <w:top w:val="single" w:sz="4" w:space="0" w:color="auto"/>
              <w:left w:val="nil"/>
              <w:bottom w:val="single" w:sz="4" w:space="0" w:color="auto"/>
              <w:right w:val="single" w:sz="4" w:space="0" w:color="auto"/>
            </w:tcBorders>
            <w:shd w:val="clear" w:color="auto" w:fill="C6EFCE"/>
            <w:noWrap/>
          </w:tcPr>
          <w:p w14:paraId="2C68DF1D" w14:textId="2A0268EB"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stavebných prác</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inštalácia </w:t>
            </w:r>
            <w:r w:rsidRPr="00083739">
              <w:rPr>
                <w:rFonts w:ascii="Times New Roman" w:hAnsi="Times New Roman" w:cs="Times New Roman"/>
                <w:noProof/>
                <w:szCs w:val="18"/>
                <w:lang w:val="sk-SK"/>
              </w:rPr>
              <w:t xml:space="preserve">zariadení </w:t>
            </w:r>
          </w:p>
        </w:tc>
        <w:tc>
          <w:tcPr>
            <w:tcW w:w="1387" w:type="dxa"/>
            <w:tcBorders>
              <w:top w:val="single" w:sz="4" w:space="0" w:color="auto"/>
              <w:left w:val="nil"/>
              <w:bottom w:val="single" w:sz="4" w:space="0" w:color="auto"/>
              <w:right w:val="single" w:sz="4" w:space="0" w:color="auto"/>
            </w:tcBorders>
            <w:shd w:val="clear" w:color="auto" w:fill="C6EFCE"/>
            <w:noWrap/>
          </w:tcPr>
          <w:p w14:paraId="4E442677"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11" w:type="dxa"/>
            <w:tcBorders>
              <w:top w:val="single" w:sz="4" w:space="0" w:color="auto"/>
              <w:left w:val="nil"/>
              <w:bottom w:val="single" w:sz="4" w:space="0" w:color="auto"/>
              <w:right w:val="single" w:sz="4" w:space="0" w:color="auto"/>
            </w:tcBorders>
            <w:shd w:val="clear" w:color="auto" w:fill="C6EFCE"/>
            <w:noWrap/>
          </w:tcPr>
          <w:p w14:paraId="27846F49"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27" w:type="dxa"/>
            <w:tcBorders>
              <w:top w:val="single" w:sz="4" w:space="0" w:color="auto"/>
              <w:left w:val="nil"/>
              <w:bottom w:val="single" w:sz="4" w:space="0" w:color="auto"/>
              <w:right w:val="single" w:sz="4" w:space="0" w:color="auto"/>
            </w:tcBorders>
            <w:shd w:val="clear" w:color="auto" w:fill="C6EFCE"/>
            <w:noWrap/>
          </w:tcPr>
          <w:p w14:paraId="1EAE0502"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150" w:type="dxa"/>
            <w:tcBorders>
              <w:top w:val="single" w:sz="4" w:space="0" w:color="auto"/>
              <w:left w:val="nil"/>
              <w:bottom w:val="single" w:sz="4" w:space="0" w:color="auto"/>
              <w:right w:val="single" w:sz="4" w:space="0" w:color="auto"/>
            </w:tcBorders>
            <w:shd w:val="clear" w:color="auto" w:fill="C6EFCE"/>
            <w:noWrap/>
          </w:tcPr>
          <w:p w14:paraId="1502EE2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w:t>
            </w:r>
            <w:r w:rsidRPr="00083739">
              <w:rPr>
                <w:rFonts w:ascii="Times New Roman" w:hAnsi="Times New Roman" w:cs="Times New Roman"/>
                <w:noProof/>
                <w:lang w:val="sk-SK"/>
              </w:rPr>
              <w:t xml:space="preserve"> ŠTVRŤROK</w:t>
            </w:r>
          </w:p>
        </w:tc>
        <w:tc>
          <w:tcPr>
            <w:tcW w:w="680" w:type="dxa"/>
            <w:tcBorders>
              <w:top w:val="single" w:sz="4" w:space="0" w:color="auto"/>
              <w:left w:val="nil"/>
              <w:bottom w:val="single" w:sz="4" w:space="0" w:color="auto"/>
              <w:right w:val="single" w:sz="4" w:space="0" w:color="auto"/>
            </w:tcBorders>
            <w:shd w:val="clear" w:color="auto" w:fill="C6EFCE"/>
            <w:noWrap/>
          </w:tcPr>
          <w:p w14:paraId="2C7617A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3017" w:type="dxa"/>
            <w:tcBorders>
              <w:top w:val="single" w:sz="4" w:space="0" w:color="auto"/>
              <w:left w:val="nil"/>
              <w:bottom w:val="single" w:sz="4" w:space="0" w:color="auto"/>
              <w:right w:val="single" w:sz="4" w:space="0" w:color="auto"/>
            </w:tcBorders>
            <w:shd w:val="clear" w:color="auto" w:fill="C6EFCE"/>
            <w:noWrap/>
          </w:tcPr>
          <w:p w14:paraId="4975DC7F" w14:textId="784403B8"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Vybrané priemyselné jednotky musia mať dokončené stavebné práce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zariadenia.</w:t>
            </w:r>
          </w:p>
        </w:tc>
      </w:tr>
    </w:tbl>
    <w:p w14:paraId="1DF1357E" w14:textId="77777777" w:rsidR="002D49B0" w:rsidRPr="00083739" w:rsidRDefault="002D49B0">
      <w:pPr>
        <w:spacing w:before="120" w:after="120" w:line="240" w:lineRule="auto"/>
        <w:rPr>
          <w:rFonts w:ascii="Times New Roman" w:hAnsi="Times New Roman" w:cs="Times New Roman"/>
          <w:noProof/>
          <w:sz w:val="24"/>
          <w:lang w:val="sk-SK"/>
        </w:rPr>
        <w:sectPr w:rsidR="002D49B0" w:rsidRPr="00083739" w:rsidSect="00271D33">
          <w:headerReference w:type="even" r:id="rId73"/>
          <w:headerReference w:type="default" r:id="rId74"/>
          <w:footerReference w:type="even" r:id="rId75"/>
          <w:footerReference w:type="default" r:id="rId76"/>
          <w:headerReference w:type="first" r:id="rId77"/>
          <w:footerReference w:type="first" r:id="rId78"/>
          <w:pgSz w:w="16839" w:h="11907" w:orient="landscape"/>
          <w:pgMar w:top="720" w:right="720" w:bottom="720" w:left="720" w:header="709" w:footer="359" w:gutter="0"/>
          <w:cols w:space="720"/>
          <w:docGrid w:linePitch="360"/>
        </w:sectPr>
      </w:pPr>
    </w:p>
    <w:p w14:paraId="499DDAD2" w14:textId="77777777" w:rsidR="002D49B0" w:rsidRPr="00083739" w:rsidRDefault="00BF4125">
      <w:pPr>
        <w:pStyle w:val="P68B1DB1-Normal2"/>
        <w:spacing w:before="120" w:after="120" w:line="240" w:lineRule="auto"/>
        <w:jc w:val="both"/>
        <w:outlineLvl w:val="3"/>
        <w:rPr>
          <w:rFonts w:cs="Times New Roman"/>
          <w:bCs/>
          <w:noProof/>
          <w:lang w:val="sk-SK"/>
        </w:rPr>
      </w:pPr>
      <w:r w:rsidRPr="00083739">
        <w:rPr>
          <w:rFonts w:cs="Times New Roman"/>
          <w:noProof/>
          <w:lang w:val="sk-SK"/>
        </w:rPr>
        <w:t xml:space="preserve">D. KOMPONENT 1.4: UDRŽATEĽNÉ VYUŽÍVANIE ZDROJOV, ODOLNOSŤ VOČI ZMENE KLÍMY A OCHRANA ŽIVOTNÉHO </w:t>
      </w:r>
      <w:r w:rsidRPr="00083739">
        <w:rPr>
          <w:rFonts w:cs="Times New Roman"/>
          <w:noProof/>
          <w:lang w:val="sk-SK"/>
        </w:rPr>
        <w:t>PROSTREDIA</w:t>
      </w:r>
    </w:p>
    <w:p w14:paraId="637205A7" w14:textId="5FC5A9E9" w:rsidR="00083739" w:rsidRPr="00083739" w:rsidRDefault="00BF4125">
      <w:pPr>
        <w:spacing w:before="120" w:after="120" w:line="240" w:lineRule="auto"/>
        <w:jc w:val="both"/>
        <w:rPr>
          <w:rFonts w:ascii="Times New Roman" w:hAnsi="Times New Roman" w:cs="Times New Roman"/>
          <w:noProof/>
          <w:sz w:val="24"/>
          <w:lang w:val="sk-SK"/>
        </w:rPr>
      </w:pPr>
      <w:r w:rsidRPr="00083739">
        <w:rPr>
          <w:rFonts w:ascii="Times New Roman" w:hAnsi="Times New Roman" w:cs="Times New Roman"/>
          <w:noProof/>
          <w:sz w:val="24"/>
          <w:lang w:val="sk-SK"/>
        </w:rPr>
        <w:t>Cieľom tohto komponentu gréckeho plánu obnovy</w:t>
      </w:r>
      <w:r w:rsidR="00083739" w:rsidRPr="00083739">
        <w:rPr>
          <w:rFonts w:ascii="Times New Roman" w:hAnsi="Times New Roman" w:cs="Times New Roman"/>
          <w:noProof/>
          <w:sz w:val="24"/>
          <w:lang w:val="sk-SK"/>
        </w:rPr>
        <w:t xml:space="preserve"> a </w:t>
      </w:r>
      <w:r w:rsidRPr="00083739">
        <w:rPr>
          <w:rFonts w:ascii="Times New Roman" w:hAnsi="Times New Roman" w:cs="Times New Roman"/>
          <w:noProof/>
          <w:sz w:val="24"/>
          <w:lang w:val="sk-SK"/>
        </w:rPr>
        <w:t>odolnosti je podporiť zelenú transformáciu. Zahŕňa cielené reformy</w:t>
      </w:r>
      <w:r w:rsidR="00083739" w:rsidRPr="00083739">
        <w:rPr>
          <w:rFonts w:ascii="Times New Roman" w:hAnsi="Times New Roman" w:cs="Times New Roman"/>
          <w:noProof/>
          <w:sz w:val="24"/>
          <w:lang w:val="sk-SK"/>
        </w:rPr>
        <w:t xml:space="preserve"> a </w:t>
      </w:r>
      <w:r w:rsidRPr="00083739">
        <w:rPr>
          <w:rFonts w:ascii="Times New Roman" w:hAnsi="Times New Roman" w:cs="Times New Roman"/>
          <w:noProof/>
          <w:sz w:val="24"/>
          <w:lang w:val="sk-SK"/>
        </w:rPr>
        <w:t>investície na posilnenie ochrany</w:t>
      </w:r>
      <w:r w:rsidR="00083739" w:rsidRPr="00083739">
        <w:rPr>
          <w:rFonts w:ascii="Times New Roman" w:hAnsi="Times New Roman" w:cs="Times New Roman"/>
          <w:noProof/>
          <w:sz w:val="24"/>
          <w:lang w:val="sk-SK"/>
        </w:rPr>
        <w:t xml:space="preserve"> a </w:t>
      </w:r>
      <w:r w:rsidRPr="00083739">
        <w:rPr>
          <w:rFonts w:ascii="Times New Roman" w:hAnsi="Times New Roman" w:cs="Times New Roman"/>
          <w:noProof/>
          <w:sz w:val="24"/>
          <w:lang w:val="sk-SK"/>
        </w:rPr>
        <w:t>obnovy prírodného prostredia vrátane ochrany biodiverzity, zlepšenie environmentálnej infrašt</w:t>
      </w:r>
      <w:r w:rsidRPr="00083739">
        <w:rPr>
          <w:rFonts w:ascii="Times New Roman" w:hAnsi="Times New Roman" w:cs="Times New Roman"/>
          <w:noProof/>
          <w:sz w:val="24"/>
          <w:lang w:val="sk-SK"/>
        </w:rPr>
        <w:t>ruktúry</w:t>
      </w:r>
      <w:r w:rsidR="00083739" w:rsidRPr="00083739">
        <w:rPr>
          <w:rFonts w:ascii="Times New Roman" w:hAnsi="Times New Roman" w:cs="Times New Roman"/>
          <w:noProof/>
          <w:sz w:val="24"/>
          <w:lang w:val="sk-SK"/>
        </w:rPr>
        <w:t xml:space="preserve"> a </w:t>
      </w:r>
      <w:r w:rsidRPr="00083739">
        <w:rPr>
          <w:rFonts w:ascii="Times New Roman" w:hAnsi="Times New Roman" w:cs="Times New Roman"/>
          <w:noProof/>
          <w:sz w:val="24"/>
          <w:lang w:val="sk-SK"/>
        </w:rPr>
        <w:t>obnovu strát</w:t>
      </w:r>
      <w:r w:rsidR="00083739" w:rsidRPr="00083739">
        <w:rPr>
          <w:rFonts w:ascii="Times New Roman" w:hAnsi="Times New Roman" w:cs="Times New Roman"/>
          <w:noProof/>
          <w:sz w:val="24"/>
          <w:lang w:val="sk-SK"/>
        </w:rPr>
        <w:t xml:space="preserve"> v </w:t>
      </w:r>
      <w:r w:rsidRPr="00083739">
        <w:rPr>
          <w:rFonts w:ascii="Times New Roman" w:hAnsi="Times New Roman" w:cs="Times New Roman"/>
          <w:noProof/>
          <w:sz w:val="24"/>
          <w:lang w:val="sk-SK"/>
        </w:rPr>
        <w:t>lesnom hospodárstve. Okrem toho zahŕňa reformu odpadového hospodárstva,</w:t>
      </w:r>
      <w:r w:rsidRPr="00083739">
        <w:rPr>
          <w:rFonts w:ascii="Times New Roman" w:hAnsi="Times New Roman" w:cs="Times New Roman"/>
          <w:noProof/>
          <w:lang w:val="sk-SK"/>
        </w:rPr>
        <w:t xml:space="preserve"> </w:t>
      </w:r>
      <w:r w:rsidRPr="00083739">
        <w:rPr>
          <w:rFonts w:ascii="Times New Roman" w:hAnsi="Times New Roman" w:cs="Times New Roman"/>
          <w:noProof/>
          <w:sz w:val="24"/>
          <w:lang w:val="sk-SK"/>
        </w:rPr>
        <w:t>ktorá zahŕňa najmä zriadenie vnútroštátneho regulačného orgánu pre odpad na podporu prechodu na obehové hospodárstvo založené na predchádzaní vzniku odpadu, je</w:t>
      </w:r>
      <w:r w:rsidRPr="00083739">
        <w:rPr>
          <w:rFonts w:ascii="Times New Roman" w:hAnsi="Times New Roman" w:cs="Times New Roman"/>
          <w:noProof/>
          <w:sz w:val="24"/>
          <w:lang w:val="sk-SK"/>
        </w:rPr>
        <w:t>ho opätovnom použití</w:t>
      </w:r>
      <w:r w:rsidR="00083739" w:rsidRPr="00083739">
        <w:rPr>
          <w:rFonts w:ascii="Times New Roman" w:hAnsi="Times New Roman" w:cs="Times New Roman"/>
          <w:noProof/>
          <w:sz w:val="24"/>
          <w:lang w:val="sk-SK"/>
        </w:rPr>
        <w:t xml:space="preserve"> a </w:t>
      </w:r>
      <w:r w:rsidRPr="00083739">
        <w:rPr>
          <w:rFonts w:ascii="Times New Roman" w:hAnsi="Times New Roman" w:cs="Times New Roman"/>
          <w:noProof/>
          <w:sz w:val="24"/>
          <w:lang w:val="sk-SK"/>
        </w:rPr>
        <w:t>recyklácii. Ďalej sa ním zriaďuje Národný orgán pre reguláciu vôd</w:t>
      </w:r>
      <w:r w:rsidR="00083739" w:rsidRPr="00083739">
        <w:rPr>
          <w:rFonts w:ascii="Times New Roman" w:hAnsi="Times New Roman" w:cs="Times New Roman"/>
          <w:noProof/>
          <w:sz w:val="24"/>
          <w:lang w:val="sk-SK"/>
        </w:rPr>
        <w:t xml:space="preserve"> s </w:t>
      </w:r>
      <w:r w:rsidRPr="00083739">
        <w:rPr>
          <w:rFonts w:ascii="Times New Roman" w:hAnsi="Times New Roman" w:cs="Times New Roman"/>
          <w:noProof/>
          <w:sz w:val="24"/>
          <w:lang w:val="sk-SK"/>
        </w:rPr>
        <w:t>cieľom zvýšiť udržateľnosť prevádzky</w:t>
      </w:r>
      <w:r w:rsidR="00083739" w:rsidRPr="00083739">
        <w:rPr>
          <w:rFonts w:ascii="Times New Roman" w:hAnsi="Times New Roman" w:cs="Times New Roman"/>
          <w:noProof/>
          <w:sz w:val="24"/>
          <w:lang w:val="sk-SK"/>
        </w:rPr>
        <w:t xml:space="preserve"> a </w:t>
      </w:r>
      <w:r w:rsidRPr="00083739">
        <w:rPr>
          <w:rFonts w:ascii="Times New Roman" w:hAnsi="Times New Roman" w:cs="Times New Roman"/>
          <w:noProof/>
          <w:sz w:val="24"/>
          <w:lang w:val="sk-SK"/>
        </w:rPr>
        <w:t>investícií</w:t>
      </w:r>
      <w:r w:rsidR="00083739" w:rsidRPr="00083739">
        <w:rPr>
          <w:rFonts w:ascii="Times New Roman" w:hAnsi="Times New Roman" w:cs="Times New Roman"/>
          <w:noProof/>
          <w:sz w:val="24"/>
          <w:lang w:val="sk-SK"/>
        </w:rPr>
        <w:t xml:space="preserve"> v </w:t>
      </w:r>
      <w:r w:rsidRPr="00083739">
        <w:rPr>
          <w:rFonts w:ascii="Times New Roman" w:hAnsi="Times New Roman" w:cs="Times New Roman"/>
          <w:noProof/>
          <w:sz w:val="24"/>
          <w:lang w:val="sk-SK"/>
        </w:rPr>
        <w:t>oblasti vodohospodárskych služieb. Vykonávaním reforiem</w:t>
      </w:r>
      <w:r w:rsidR="00083739" w:rsidRPr="00083739">
        <w:rPr>
          <w:rFonts w:ascii="Times New Roman" w:hAnsi="Times New Roman" w:cs="Times New Roman"/>
          <w:noProof/>
          <w:sz w:val="24"/>
          <w:lang w:val="sk-SK"/>
        </w:rPr>
        <w:t xml:space="preserve"> a </w:t>
      </w:r>
      <w:r w:rsidRPr="00083739">
        <w:rPr>
          <w:rFonts w:ascii="Times New Roman" w:hAnsi="Times New Roman" w:cs="Times New Roman"/>
          <w:noProof/>
          <w:sz w:val="24"/>
          <w:lang w:val="sk-SK"/>
        </w:rPr>
        <w:t>investícií zahrnutých do komponentu sa zvýši efektívnos</w:t>
      </w:r>
      <w:r w:rsidRPr="00083739">
        <w:rPr>
          <w:rFonts w:ascii="Times New Roman" w:hAnsi="Times New Roman" w:cs="Times New Roman"/>
          <w:noProof/>
          <w:sz w:val="24"/>
          <w:lang w:val="sk-SK"/>
        </w:rPr>
        <w:t>ť využívania prírodných zdrojov</w:t>
      </w:r>
      <w:r w:rsidR="00083739" w:rsidRPr="00083739">
        <w:rPr>
          <w:rFonts w:ascii="Times New Roman" w:hAnsi="Times New Roman" w:cs="Times New Roman"/>
          <w:noProof/>
          <w:sz w:val="24"/>
          <w:lang w:val="sk-SK"/>
        </w:rPr>
        <w:t xml:space="preserve"> a </w:t>
      </w:r>
      <w:r w:rsidRPr="00083739">
        <w:rPr>
          <w:rFonts w:ascii="Times New Roman" w:hAnsi="Times New Roman" w:cs="Times New Roman"/>
          <w:noProof/>
          <w:sz w:val="24"/>
          <w:lang w:val="sk-SK"/>
        </w:rPr>
        <w:t>zvýši sa ochrana pred environmentálnymi rizikami</w:t>
      </w:r>
      <w:r w:rsidR="00083739" w:rsidRPr="00083739">
        <w:rPr>
          <w:rFonts w:ascii="Times New Roman" w:hAnsi="Times New Roman" w:cs="Times New Roman"/>
          <w:noProof/>
          <w:sz w:val="24"/>
          <w:lang w:val="sk-SK"/>
        </w:rPr>
        <w:t xml:space="preserve"> a </w:t>
      </w:r>
      <w:r w:rsidRPr="00083739">
        <w:rPr>
          <w:rFonts w:ascii="Times New Roman" w:hAnsi="Times New Roman" w:cs="Times New Roman"/>
          <w:noProof/>
          <w:sz w:val="24"/>
          <w:lang w:val="sk-SK"/>
        </w:rPr>
        <w:t>vplyvmi na spoločnosť aj hospodárstvo. Komponent zahŕňa aj investície na zlepšenie dodávok pitnej vody</w:t>
      </w:r>
      <w:r w:rsidR="00083739" w:rsidRPr="00083739">
        <w:rPr>
          <w:rFonts w:ascii="Times New Roman" w:hAnsi="Times New Roman" w:cs="Times New Roman"/>
          <w:noProof/>
          <w:sz w:val="24"/>
          <w:lang w:val="sk-SK"/>
        </w:rPr>
        <w:t xml:space="preserve"> a </w:t>
      </w:r>
      <w:r w:rsidRPr="00083739">
        <w:rPr>
          <w:rFonts w:ascii="Times New Roman" w:hAnsi="Times New Roman" w:cs="Times New Roman"/>
          <w:noProof/>
          <w:sz w:val="24"/>
          <w:lang w:val="sk-SK"/>
        </w:rPr>
        <w:t>kanalizácie</w:t>
      </w:r>
      <w:r w:rsidR="00083739" w:rsidRPr="00083739">
        <w:rPr>
          <w:rFonts w:ascii="Times New Roman" w:hAnsi="Times New Roman" w:cs="Times New Roman"/>
          <w:noProof/>
          <w:sz w:val="24"/>
          <w:lang w:val="sk-SK"/>
        </w:rPr>
        <w:t xml:space="preserve"> a </w:t>
      </w:r>
      <w:r w:rsidRPr="00083739">
        <w:rPr>
          <w:rFonts w:ascii="Times New Roman" w:hAnsi="Times New Roman" w:cs="Times New Roman"/>
          <w:noProof/>
          <w:sz w:val="24"/>
          <w:lang w:val="sk-SK"/>
        </w:rPr>
        <w:t xml:space="preserve">na predchádzanie environmentálnym výzvam spôsobeným </w:t>
      </w:r>
      <w:r w:rsidRPr="00083739">
        <w:rPr>
          <w:rFonts w:ascii="Times New Roman" w:hAnsi="Times New Roman" w:cs="Times New Roman"/>
          <w:noProof/>
          <w:sz w:val="24"/>
          <w:lang w:val="sk-SK"/>
        </w:rPr>
        <w:t>zmenou klímy</w:t>
      </w:r>
      <w:r w:rsidR="00083739" w:rsidRPr="00083739">
        <w:rPr>
          <w:rFonts w:ascii="Times New Roman" w:hAnsi="Times New Roman" w:cs="Times New Roman"/>
          <w:noProof/>
          <w:sz w:val="24"/>
          <w:lang w:val="sk-SK"/>
        </w:rPr>
        <w:t xml:space="preserve"> a </w:t>
      </w:r>
      <w:r w:rsidRPr="00083739">
        <w:rPr>
          <w:rFonts w:ascii="Times New Roman" w:hAnsi="Times New Roman" w:cs="Times New Roman"/>
          <w:noProof/>
          <w:sz w:val="24"/>
          <w:lang w:val="sk-SK"/>
        </w:rPr>
        <w:t>na ich zmierňovanie</w:t>
      </w:r>
      <w:r w:rsidR="00083739" w:rsidRPr="00083739">
        <w:rPr>
          <w:rFonts w:ascii="Times New Roman" w:hAnsi="Times New Roman" w:cs="Times New Roman"/>
          <w:noProof/>
          <w:sz w:val="24"/>
          <w:lang w:val="sk-SK"/>
        </w:rPr>
        <w:t>.</w:t>
      </w:r>
    </w:p>
    <w:p w14:paraId="0A764075" w14:textId="739F79D4"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Komponent podporuje riešenie odporúčania pre danú krajinu č. 3</w:t>
      </w:r>
      <w:r w:rsidR="00083739" w:rsidRPr="00083739">
        <w:rPr>
          <w:rFonts w:cs="Times New Roman"/>
          <w:noProof/>
          <w:lang w:val="sk-SK"/>
        </w:rPr>
        <w:t xml:space="preserve"> z </w:t>
      </w:r>
      <w:r w:rsidRPr="00083739">
        <w:rPr>
          <w:rFonts w:cs="Times New Roman"/>
          <w:noProof/>
          <w:lang w:val="sk-SK"/>
        </w:rPr>
        <w:t>roku 2020</w:t>
      </w:r>
      <w:r w:rsidR="00083739" w:rsidRPr="00083739">
        <w:rPr>
          <w:rFonts w:cs="Times New Roman"/>
          <w:noProof/>
          <w:lang w:val="sk-SK"/>
        </w:rPr>
        <w:t xml:space="preserve"> a </w:t>
      </w:r>
      <w:r w:rsidRPr="00083739">
        <w:rPr>
          <w:rFonts w:cs="Times New Roman"/>
          <w:noProof/>
          <w:lang w:val="sk-SK"/>
        </w:rPr>
        <w:t>odporúčania pre danú krajinu č. 2</w:t>
      </w:r>
      <w:r w:rsidR="00083739" w:rsidRPr="00083739">
        <w:rPr>
          <w:rFonts w:cs="Times New Roman"/>
          <w:noProof/>
          <w:lang w:val="sk-SK"/>
        </w:rPr>
        <w:t xml:space="preserve"> z </w:t>
      </w:r>
      <w:r w:rsidRPr="00083739">
        <w:rPr>
          <w:rFonts w:cs="Times New Roman"/>
          <w:noProof/>
          <w:lang w:val="sk-SK"/>
        </w:rPr>
        <w:t>roku 2019</w:t>
      </w:r>
      <w:r w:rsidR="00083739" w:rsidRPr="00083739">
        <w:rPr>
          <w:rFonts w:cs="Times New Roman"/>
          <w:noProof/>
          <w:lang w:val="sk-SK"/>
        </w:rPr>
        <w:t xml:space="preserve"> o </w:t>
      </w:r>
      <w:r w:rsidRPr="00083739">
        <w:rPr>
          <w:rFonts w:cs="Times New Roman"/>
          <w:noProof/>
          <w:lang w:val="sk-SK"/>
        </w:rPr>
        <w:t>verejných</w:t>
      </w:r>
      <w:r w:rsidR="00083739" w:rsidRPr="00083739">
        <w:rPr>
          <w:rFonts w:cs="Times New Roman"/>
          <w:noProof/>
          <w:lang w:val="sk-SK"/>
        </w:rPr>
        <w:t xml:space="preserve"> a </w:t>
      </w:r>
      <w:r w:rsidRPr="00083739">
        <w:rPr>
          <w:rFonts w:cs="Times New Roman"/>
          <w:noProof/>
          <w:lang w:val="sk-SK"/>
        </w:rPr>
        <w:t>súkromných investíciách. Očakáva sa, že žiadne opatrenie</w:t>
      </w:r>
      <w:r w:rsidR="00083739" w:rsidRPr="00083739">
        <w:rPr>
          <w:rFonts w:cs="Times New Roman"/>
          <w:noProof/>
          <w:lang w:val="sk-SK"/>
        </w:rPr>
        <w:t xml:space="preserve"> v </w:t>
      </w:r>
      <w:r w:rsidRPr="00083739">
        <w:rPr>
          <w:rFonts w:cs="Times New Roman"/>
          <w:noProof/>
          <w:lang w:val="sk-SK"/>
        </w:rPr>
        <w:t>tomto komponente výrazne</w:t>
      </w:r>
      <w:r w:rsidRPr="00083739">
        <w:rPr>
          <w:rFonts w:cs="Times New Roman"/>
          <w:noProof/>
          <w:lang w:val="sk-SK"/>
        </w:rPr>
        <w:t xml:space="preserve"> nenaruší environmentálne ciele</w:t>
      </w:r>
      <w:r w:rsidR="00083739" w:rsidRPr="00083739">
        <w:rPr>
          <w:rFonts w:cs="Times New Roman"/>
          <w:noProof/>
          <w:lang w:val="sk-SK"/>
        </w:rPr>
        <w:t xml:space="preserve"> v </w:t>
      </w:r>
      <w:r w:rsidRPr="00083739">
        <w:rPr>
          <w:rFonts w:cs="Times New Roman"/>
          <w:noProof/>
          <w:lang w:val="sk-SK"/>
        </w:rPr>
        <w:t>zmysle článku 17 nariadenia (EÚ) 2020/852, pričom sa zohľadní opis opatrení</w:t>
      </w:r>
      <w:r w:rsidR="00083739" w:rsidRPr="00083739">
        <w:rPr>
          <w:rFonts w:cs="Times New Roman"/>
          <w:noProof/>
          <w:lang w:val="sk-SK"/>
        </w:rPr>
        <w:t xml:space="preserve"> a </w:t>
      </w:r>
      <w:r w:rsidRPr="00083739">
        <w:rPr>
          <w:rFonts w:cs="Times New Roman"/>
          <w:noProof/>
          <w:lang w:val="sk-SK"/>
        </w:rPr>
        <w:t>zmierňujúcich krokov stanovených</w:t>
      </w:r>
      <w:r w:rsidR="00083739" w:rsidRPr="00083739">
        <w:rPr>
          <w:rFonts w:cs="Times New Roman"/>
          <w:noProof/>
          <w:lang w:val="sk-SK"/>
        </w:rPr>
        <w:t xml:space="preserve"> v </w:t>
      </w:r>
      <w:r w:rsidRPr="00083739">
        <w:rPr>
          <w:rFonts w:cs="Times New Roman"/>
          <w:noProof/>
          <w:lang w:val="sk-SK"/>
        </w:rPr>
        <w:t>pláne podpory obnovy</w:t>
      </w:r>
      <w:r w:rsidR="00083739" w:rsidRPr="00083739">
        <w:rPr>
          <w:rFonts w:cs="Times New Roman"/>
          <w:noProof/>
          <w:lang w:val="sk-SK"/>
        </w:rPr>
        <w:t xml:space="preserve"> a </w:t>
      </w:r>
      <w:r w:rsidRPr="00083739">
        <w:rPr>
          <w:rFonts w:cs="Times New Roman"/>
          <w:noProof/>
          <w:lang w:val="sk-SK"/>
        </w:rPr>
        <w:t>odolnosti</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technickým usmernením „výrazne nenarušiť“ (2021/C58/01).</w:t>
      </w:r>
    </w:p>
    <w:p w14:paraId="75938737" w14:textId="69615C43" w:rsidR="002D49B0" w:rsidRPr="00083739" w:rsidRDefault="00BF4125">
      <w:pPr>
        <w:tabs>
          <w:tab w:val="left" w:pos="1134"/>
        </w:tabs>
        <w:spacing w:before="120" w:after="120" w:line="240" w:lineRule="auto"/>
        <w:jc w:val="both"/>
        <w:rPr>
          <w:rFonts w:ascii="Times New Roman" w:hAnsi="Times New Roman" w:cs="Times New Roman"/>
          <w:b/>
          <w:bCs/>
          <w:noProof/>
          <w:sz w:val="24"/>
          <w:u w:val="single"/>
          <w:lang w:val="sk-SK"/>
        </w:rPr>
      </w:pPr>
      <w:r w:rsidRPr="00083739">
        <w:rPr>
          <w:rFonts w:ascii="Times New Roman" w:hAnsi="Times New Roman" w:cs="Times New Roman"/>
          <w:b/>
          <w:noProof/>
          <w:sz w:val="24"/>
          <w:u w:val="single"/>
          <w:lang w:val="sk-SK"/>
        </w:rPr>
        <w:t xml:space="preserve">D.1. </w:t>
      </w:r>
      <w:r w:rsidRPr="00083739">
        <w:rPr>
          <w:rFonts w:ascii="Times New Roman" w:hAnsi="Times New Roman" w:cs="Times New Roman"/>
          <w:noProof/>
          <w:lang w:val="sk-SK"/>
        </w:rPr>
        <w:t xml:space="preserve"> </w:t>
      </w:r>
      <w:r w:rsidRPr="00083739">
        <w:rPr>
          <w:rFonts w:ascii="Times New Roman" w:hAnsi="Times New Roman" w:cs="Times New Roman"/>
          <w:b/>
          <w:noProof/>
          <w:sz w:val="24"/>
          <w:u w:val="single"/>
          <w:lang w:val="sk-SK"/>
        </w:rPr>
        <w:t>Op</w:t>
      </w:r>
      <w:r w:rsidRPr="00083739">
        <w:rPr>
          <w:rFonts w:ascii="Times New Roman" w:hAnsi="Times New Roman" w:cs="Times New Roman"/>
          <w:b/>
          <w:noProof/>
          <w:sz w:val="24"/>
          <w:u w:val="single"/>
          <w:lang w:val="sk-SK"/>
        </w:rPr>
        <w:t>is reforiem</w:t>
      </w:r>
      <w:r w:rsidR="00083739" w:rsidRPr="00083739">
        <w:rPr>
          <w:rFonts w:ascii="Times New Roman" w:hAnsi="Times New Roman" w:cs="Times New Roman"/>
          <w:b/>
          <w:noProof/>
          <w:sz w:val="24"/>
          <w:u w:val="single"/>
          <w:lang w:val="sk-SK"/>
        </w:rPr>
        <w:t xml:space="preserve"> a </w:t>
      </w:r>
      <w:r w:rsidRPr="00083739">
        <w:rPr>
          <w:rFonts w:ascii="Times New Roman" w:hAnsi="Times New Roman" w:cs="Times New Roman"/>
          <w:b/>
          <w:noProof/>
          <w:sz w:val="24"/>
          <w:u w:val="single"/>
          <w:lang w:val="sk-SK"/>
        </w:rPr>
        <w:t>investícií</w:t>
      </w:r>
      <w:r w:rsidR="00083739" w:rsidRPr="00083739">
        <w:rPr>
          <w:rFonts w:ascii="Times New Roman" w:hAnsi="Times New Roman" w:cs="Times New Roman"/>
          <w:b/>
          <w:noProof/>
          <w:sz w:val="24"/>
          <w:u w:val="single"/>
          <w:lang w:val="sk-SK"/>
        </w:rPr>
        <w:t xml:space="preserve"> v </w:t>
      </w:r>
      <w:r w:rsidRPr="00083739">
        <w:rPr>
          <w:rFonts w:ascii="Times New Roman" w:hAnsi="Times New Roman" w:cs="Times New Roman"/>
          <w:b/>
          <w:noProof/>
          <w:sz w:val="24"/>
          <w:u w:val="single"/>
          <w:lang w:val="sk-SK"/>
        </w:rPr>
        <w:t>rámci nenávratnej finančnej podpory</w:t>
      </w:r>
    </w:p>
    <w:p w14:paraId="37B74A75" w14:textId="4CE68CD0" w:rsidR="002D49B0" w:rsidRPr="00083739" w:rsidRDefault="00BF4125">
      <w:pPr>
        <w:pStyle w:val="P68B1DB1-Normal4"/>
        <w:tabs>
          <w:tab w:val="left" w:pos="1134"/>
        </w:tabs>
        <w:spacing w:before="120" w:after="120" w:line="240" w:lineRule="auto"/>
        <w:jc w:val="both"/>
        <w:rPr>
          <w:rFonts w:cs="Times New Roman"/>
          <w:noProof/>
          <w:szCs w:val="24"/>
          <w:lang w:val="sk-SK"/>
        </w:rPr>
      </w:pPr>
      <w:r w:rsidRPr="00083739">
        <w:rPr>
          <w:rFonts w:cs="Times New Roman"/>
          <w:b/>
          <w:noProof/>
          <w:lang w:val="sk-SK"/>
        </w:rPr>
        <w:t>Investície:</w:t>
      </w:r>
      <w:r w:rsidRPr="00083739">
        <w:rPr>
          <w:rFonts w:cs="Times New Roman"/>
          <w:noProof/>
          <w:lang w:val="sk-SK"/>
        </w:rPr>
        <w:t xml:space="preserve"> Národný plán obnovy lesov, obnova</w:t>
      </w:r>
      <w:r w:rsidR="00083739" w:rsidRPr="00083739">
        <w:rPr>
          <w:rFonts w:cs="Times New Roman"/>
          <w:noProof/>
          <w:lang w:val="sk-SK"/>
        </w:rPr>
        <w:t xml:space="preserve"> a </w:t>
      </w:r>
      <w:r w:rsidRPr="00083739">
        <w:rPr>
          <w:rFonts w:cs="Times New Roman"/>
          <w:noProof/>
          <w:lang w:val="sk-SK"/>
        </w:rPr>
        <w:t>prevencia („antiNERO“), opatrenia proti erózii</w:t>
      </w:r>
      <w:r w:rsidR="00083739" w:rsidRPr="00083739">
        <w:rPr>
          <w:rFonts w:cs="Times New Roman"/>
          <w:noProof/>
          <w:lang w:val="sk-SK"/>
        </w:rPr>
        <w:t xml:space="preserve"> a </w:t>
      </w:r>
      <w:r w:rsidRPr="00083739">
        <w:rPr>
          <w:rFonts w:cs="Times New Roman"/>
          <w:noProof/>
          <w:lang w:val="sk-SK"/>
        </w:rPr>
        <w:t>protipovodňovej ochrane (ID opatrenia: 16849)</w:t>
      </w:r>
    </w:p>
    <w:p w14:paraId="0DB03F8D" w14:textId="16064668" w:rsidR="002D49B0" w:rsidRPr="00083739" w:rsidRDefault="00BF4125">
      <w:pPr>
        <w:spacing w:before="120" w:after="120" w:line="240" w:lineRule="auto"/>
        <w:jc w:val="both"/>
        <w:rPr>
          <w:rFonts w:ascii="Times New Roman" w:hAnsi="Times New Roman" w:cs="Times New Roman"/>
          <w:noProof/>
          <w:sz w:val="24"/>
          <w:szCs w:val="24"/>
          <w:lang w:val="sk-SK"/>
        </w:rPr>
      </w:pPr>
      <w:r w:rsidRPr="00083739">
        <w:rPr>
          <w:rFonts w:ascii="Times New Roman" w:hAnsi="Times New Roman" w:cs="Times New Roman"/>
          <w:noProof/>
          <w:sz w:val="24"/>
          <w:szCs w:val="24"/>
          <w:lang w:val="sk-SK"/>
        </w:rPr>
        <w:t>Táto investícia má tri časti. Po prvé, obnova 5</w:t>
      </w:r>
      <w:r w:rsidRPr="00083739">
        <w:rPr>
          <w:rFonts w:ascii="Times New Roman" w:hAnsi="Times New Roman" w:cs="Times New Roman"/>
          <w:noProof/>
          <w:sz w:val="18"/>
          <w:lang w:val="sk-SK"/>
        </w:rPr>
        <w:t xml:space="preserve"> </w:t>
      </w:r>
      <w:r w:rsidRPr="00083739">
        <w:rPr>
          <w:rFonts w:ascii="Times New Roman" w:hAnsi="Times New Roman" w:cs="Times New Roman"/>
          <w:noProof/>
          <w:sz w:val="24"/>
          <w:szCs w:val="24"/>
          <w:lang w:val="sk-SK"/>
        </w:rPr>
        <w:t>70</w:t>
      </w:r>
      <w:r w:rsidRPr="00083739">
        <w:rPr>
          <w:rFonts w:ascii="Times New Roman" w:hAnsi="Times New Roman" w:cs="Times New Roman"/>
          <w:noProof/>
          <w:sz w:val="24"/>
          <w:szCs w:val="24"/>
          <w:lang w:val="sk-SK"/>
        </w:rPr>
        <w:t>0 ha degradovaných lesných ekosystémov</w:t>
      </w:r>
      <w:r w:rsidR="00083739" w:rsidRPr="00083739">
        <w:rPr>
          <w:rFonts w:ascii="Times New Roman" w:hAnsi="Times New Roman" w:cs="Times New Roman"/>
          <w:noProof/>
          <w:sz w:val="24"/>
          <w:szCs w:val="24"/>
          <w:lang w:val="sk-SK"/>
        </w:rPr>
        <w:t xml:space="preserve"> v </w:t>
      </w:r>
      <w:r w:rsidRPr="00083739">
        <w:rPr>
          <w:rFonts w:ascii="Times New Roman" w:hAnsi="Times New Roman" w:cs="Times New Roman"/>
          <w:noProof/>
          <w:sz w:val="24"/>
          <w:szCs w:val="24"/>
          <w:lang w:val="sk-SK"/>
        </w:rPr>
        <w:t>Grécku prostredníctvom výsadby. Projekt sa vzťahuje na štúdie opätovného zalesňovania, ako aj na ich vykonávanie. Investícia okrem toho zahŕňa modernizáciu štyroch verejných lesných škôlok (Ambrosias, Lagada, Organi</w:t>
      </w:r>
      <w:r w:rsidRPr="00083739">
        <w:rPr>
          <w:rFonts w:ascii="Times New Roman" w:hAnsi="Times New Roman" w:cs="Times New Roman"/>
          <w:noProof/>
          <w:sz w:val="24"/>
          <w:szCs w:val="24"/>
          <w:lang w:val="sk-SK"/>
        </w:rPr>
        <w:t>s</w:t>
      </w:r>
      <w:r w:rsidR="00083739" w:rsidRPr="00083739">
        <w:rPr>
          <w:rFonts w:ascii="Times New Roman" w:hAnsi="Times New Roman" w:cs="Times New Roman"/>
          <w:noProof/>
          <w:sz w:val="24"/>
          <w:szCs w:val="24"/>
          <w:lang w:val="sk-SK"/>
        </w:rPr>
        <w:t xml:space="preserve"> a </w:t>
      </w:r>
      <w:r w:rsidRPr="00083739">
        <w:rPr>
          <w:rFonts w:ascii="Times New Roman" w:hAnsi="Times New Roman" w:cs="Times New Roman"/>
          <w:noProof/>
          <w:sz w:val="24"/>
          <w:szCs w:val="24"/>
          <w:lang w:val="sk-SK"/>
        </w:rPr>
        <w:t>Aliartos)</w:t>
      </w:r>
      <w:r w:rsidR="00083739" w:rsidRPr="00083739">
        <w:rPr>
          <w:rFonts w:ascii="Times New Roman" w:hAnsi="Times New Roman" w:cs="Times New Roman"/>
          <w:noProof/>
          <w:sz w:val="24"/>
          <w:szCs w:val="24"/>
          <w:lang w:val="sk-SK"/>
        </w:rPr>
        <w:t xml:space="preserve"> a </w:t>
      </w:r>
      <w:r w:rsidRPr="00083739">
        <w:rPr>
          <w:rFonts w:ascii="Times New Roman" w:hAnsi="Times New Roman" w:cs="Times New Roman"/>
          <w:noProof/>
          <w:sz w:val="24"/>
          <w:szCs w:val="24"/>
          <w:lang w:val="sk-SK"/>
        </w:rPr>
        <w:t>vykonávanie všetkých činností plánovaných</w:t>
      </w:r>
      <w:r w:rsidR="00083739" w:rsidRPr="00083739">
        <w:rPr>
          <w:rFonts w:ascii="Times New Roman" w:hAnsi="Times New Roman" w:cs="Times New Roman"/>
          <w:noProof/>
          <w:sz w:val="24"/>
          <w:szCs w:val="24"/>
          <w:lang w:val="sk-SK"/>
        </w:rPr>
        <w:t xml:space="preserve"> v </w:t>
      </w:r>
      <w:r w:rsidRPr="00083739">
        <w:rPr>
          <w:rFonts w:ascii="Times New Roman" w:hAnsi="Times New Roman" w:cs="Times New Roman"/>
          <w:noProof/>
          <w:sz w:val="24"/>
          <w:szCs w:val="24"/>
          <w:lang w:val="sk-SK"/>
        </w:rPr>
        <w:t>pilotnom vykonávaní národného plánu obnovy lesa. Po druhé, ako súčasť programov protiNERO investícia zahŕňa opatrenia na predchádzanie požiarom vrátane čistenia lesov</w:t>
      </w:r>
      <w:r w:rsidR="00083739" w:rsidRPr="00083739">
        <w:rPr>
          <w:rFonts w:ascii="Times New Roman" w:hAnsi="Times New Roman" w:cs="Times New Roman"/>
          <w:noProof/>
          <w:sz w:val="24"/>
          <w:szCs w:val="24"/>
          <w:lang w:val="sk-SK"/>
        </w:rPr>
        <w:t xml:space="preserve"> a </w:t>
      </w:r>
      <w:r w:rsidRPr="00083739">
        <w:rPr>
          <w:rFonts w:ascii="Times New Roman" w:hAnsi="Times New Roman" w:cs="Times New Roman"/>
          <w:noProof/>
          <w:sz w:val="24"/>
          <w:szCs w:val="24"/>
          <w:lang w:val="sk-SK"/>
        </w:rPr>
        <w:t>zalesnených plôch</w:t>
      </w:r>
      <w:r w:rsidR="00083739" w:rsidRPr="00083739">
        <w:rPr>
          <w:rFonts w:ascii="Times New Roman" w:hAnsi="Times New Roman" w:cs="Times New Roman"/>
          <w:noProof/>
          <w:sz w:val="24"/>
          <w:szCs w:val="24"/>
          <w:lang w:val="sk-SK"/>
        </w:rPr>
        <w:t xml:space="preserve"> a </w:t>
      </w:r>
      <w:r w:rsidRPr="00083739">
        <w:rPr>
          <w:rFonts w:ascii="Times New Roman" w:hAnsi="Times New Roman" w:cs="Times New Roman"/>
          <w:noProof/>
          <w:sz w:val="24"/>
          <w:szCs w:val="24"/>
          <w:lang w:val="sk-SK"/>
        </w:rPr>
        <w:t xml:space="preserve">údržby </w:t>
      </w:r>
      <w:r w:rsidRPr="00083739">
        <w:rPr>
          <w:rFonts w:ascii="Times New Roman" w:hAnsi="Times New Roman" w:cs="Times New Roman"/>
          <w:noProof/>
          <w:sz w:val="24"/>
          <w:szCs w:val="24"/>
          <w:lang w:val="sk-SK"/>
        </w:rPr>
        <w:t>siete lesných ciest</w:t>
      </w:r>
      <w:r w:rsidR="00083739" w:rsidRPr="00083739">
        <w:rPr>
          <w:rFonts w:ascii="Times New Roman" w:hAnsi="Times New Roman" w:cs="Times New Roman"/>
          <w:noProof/>
          <w:sz w:val="24"/>
          <w:szCs w:val="24"/>
          <w:lang w:val="sk-SK"/>
        </w:rPr>
        <w:t xml:space="preserve"> a </w:t>
      </w:r>
      <w:r w:rsidRPr="00083739">
        <w:rPr>
          <w:rFonts w:ascii="Times New Roman" w:hAnsi="Times New Roman" w:cs="Times New Roman"/>
          <w:noProof/>
          <w:sz w:val="24"/>
          <w:szCs w:val="24"/>
          <w:lang w:val="sk-SK"/>
        </w:rPr>
        <w:t>existujúcich požiarnych zón, vytvorenie zmiešaných požiarnych zón vrátane ťažby stromov</w:t>
      </w:r>
      <w:r w:rsidR="00083739" w:rsidRPr="00083739">
        <w:rPr>
          <w:rFonts w:ascii="Times New Roman" w:hAnsi="Times New Roman" w:cs="Times New Roman"/>
          <w:noProof/>
          <w:sz w:val="24"/>
          <w:szCs w:val="24"/>
          <w:lang w:val="sk-SK"/>
        </w:rPr>
        <w:t xml:space="preserve"> a </w:t>
      </w:r>
      <w:r w:rsidRPr="00083739">
        <w:rPr>
          <w:rFonts w:ascii="Times New Roman" w:hAnsi="Times New Roman" w:cs="Times New Roman"/>
          <w:noProof/>
          <w:sz w:val="24"/>
          <w:szCs w:val="24"/>
          <w:lang w:val="sk-SK"/>
        </w:rPr>
        <w:t>krov, čistiace</w:t>
      </w:r>
      <w:r w:rsidR="00083739" w:rsidRPr="00083739">
        <w:rPr>
          <w:rFonts w:ascii="Times New Roman" w:hAnsi="Times New Roman" w:cs="Times New Roman"/>
          <w:noProof/>
          <w:sz w:val="24"/>
          <w:szCs w:val="24"/>
          <w:lang w:val="sk-SK"/>
        </w:rPr>
        <w:t xml:space="preserve"> a </w:t>
      </w:r>
      <w:r w:rsidRPr="00083739">
        <w:rPr>
          <w:rFonts w:ascii="Times New Roman" w:hAnsi="Times New Roman" w:cs="Times New Roman"/>
          <w:noProof/>
          <w:sz w:val="24"/>
          <w:szCs w:val="24"/>
          <w:lang w:val="sk-SK"/>
        </w:rPr>
        <w:t>prerezávacie práce</w:t>
      </w:r>
      <w:r w:rsidR="00083739" w:rsidRPr="00083739">
        <w:rPr>
          <w:rFonts w:ascii="Times New Roman" w:hAnsi="Times New Roman" w:cs="Times New Roman"/>
          <w:noProof/>
          <w:sz w:val="24"/>
          <w:szCs w:val="24"/>
          <w:lang w:val="sk-SK"/>
        </w:rPr>
        <w:t xml:space="preserve"> a </w:t>
      </w:r>
      <w:r w:rsidRPr="00083739">
        <w:rPr>
          <w:rFonts w:ascii="Times New Roman" w:hAnsi="Times New Roman" w:cs="Times New Roman"/>
          <w:noProof/>
          <w:sz w:val="24"/>
          <w:szCs w:val="24"/>
          <w:lang w:val="sk-SK"/>
        </w:rPr>
        <w:t>sadbové rastliny. Po tretie, investícia zahŕňa opatrenia týkajúce sa protieróznej ochrany</w:t>
      </w:r>
      <w:r w:rsidR="00083739" w:rsidRPr="00083739">
        <w:rPr>
          <w:rFonts w:ascii="Times New Roman" w:hAnsi="Times New Roman" w:cs="Times New Roman"/>
          <w:noProof/>
          <w:sz w:val="24"/>
          <w:szCs w:val="24"/>
          <w:lang w:val="sk-SK"/>
        </w:rPr>
        <w:t xml:space="preserve"> a </w:t>
      </w:r>
      <w:r w:rsidRPr="00083739">
        <w:rPr>
          <w:rFonts w:ascii="Times New Roman" w:hAnsi="Times New Roman" w:cs="Times New Roman"/>
          <w:noProof/>
          <w:sz w:val="24"/>
          <w:szCs w:val="24"/>
          <w:lang w:val="sk-SK"/>
        </w:rPr>
        <w:t>protipov</w:t>
      </w:r>
      <w:r w:rsidRPr="00083739">
        <w:rPr>
          <w:rFonts w:ascii="Times New Roman" w:hAnsi="Times New Roman" w:cs="Times New Roman"/>
          <w:noProof/>
          <w:sz w:val="24"/>
          <w:szCs w:val="24"/>
          <w:lang w:val="sk-SK"/>
        </w:rPr>
        <w:t>odňovej ochrany</w:t>
      </w:r>
      <w:r w:rsidR="00083739" w:rsidRPr="00083739">
        <w:rPr>
          <w:rFonts w:ascii="Times New Roman" w:hAnsi="Times New Roman" w:cs="Times New Roman"/>
          <w:noProof/>
          <w:sz w:val="24"/>
          <w:szCs w:val="24"/>
          <w:lang w:val="sk-SK"/>
        </w:rPr>
        <w:t xml:space="preserve"> v </w:t>
      </w:r>
      <w:r w:rsidRPr="00083739">
        <w:rPr>
          <w:rFonts w:ascii="Times New Roman" w:hAnsi="Times New Roman" w:cs="Times New Roman"/>
          <w:noProof/>
          <w:sz w:val="24"/>
          <w:lang w:val="sk-SK"/>
        </w:rPr>
        <w:t>oblastiach Evros</w:t>
      </w:r>
      <w:r w:rsidR="00083739" w:rsidRPr="00083739">
        <w:rPr>
          <w:rFonts w:ascii="Times New Roman" w:hAnsi="Times New Roman" w:cs="Times New Roman"/>
          <w:noProof/>
          <w:sz w:val="24"/>
          <w:lang w:val="sk-SK"/>
        </w:rPr>
        <w:t xml:space="preserve"> a </w:t>
      </w:r>
      <w:r w:rsidRPr="00083739">
        <w:rPr>
          <w:rFonts w:ascii="Times New Roman" w:hAnsi="Times New Roman" w:cs="Times New Roman"/>
          <w:noProof/>
          <w:sz w:val="24"/>
          <w:lang w:val="sk-SK"/>
        </w:rPr>
        <w:t>Rhodope</w:t>
      </w:r>
      <w:r w:rsidRPr="00083739">
        <w:rPr>
          <w:rFonts w:ascii="Times New Roman" w:hAnsi="Times New Roman" w:cs="Times New Roman"/>
          <w:noProof/>
          <w:sz w:val="24"/>
          <w:szCs w:val="24"/>
          <w:lang w:val="sk-SK"/>
        </w:rPr>
        <w:t>, ako aj ďalších oblastí postihnutých lesnými požiarmi</w:t>
      </w:r>
      <w:r w:rsidR="00083739" w:rsidRPr="00083739">
        <w:rPr>
          <w:rFonts w:ascii="Times New Roman" w:hAnsi="Times New Roman" w:cs="Times New Roman"/>
          <w:noProof/>
          <w:sz w:val="24"/>
          <w:szCs w:val="24"/>
          <w:lang w:val="sk-SK"/>
        </w:rPr>
        <w:t xml:space="preserve"> a </w:t>
      </w:r>
      <w:r w:rsidRPr="00083739">
        <w:rPr>
          <w:rFonts w:ascii="Times New Roman" w:hAnsi="Times New Roman" w:cs="Times New Roman"/>
          <w:noProof/>
          <w:sz w:val="24"/>
          <w:szCs w:val="24"/>
          <w:lang w:val="sk-SK"/>
        </w:rPr>
        <w:t>povodňami</w:t>
      </w:r>
      <w:r w:rsidR="00083739" w:rsidRPr="00083739">
        <w:rPr>
          <w:rFonts w:ascii="Times New Roman" w:hAnsi="Times New Roman" w:cs="Times New Roman"/>
          <w:noProof/>
          <w:sz w:val="24"/>
          <w:szCs w:val="24"/>
          <w:lang w:val="sk-SK"/>
        </w:rPr>
        <w:t xml:space="preserve"> v </w:t>
      </w:r>
      <w:r w:rsidRPr="00083739">
        <w:rPr>
          <w:rFonts w:ascii="Times New Roman" w:hAnsi="Times New Roman" w:cs="Times New Roman"/>
          <w:noProof/>
          <w:sz w:val="24"/>
          <w:szCs w:val="24"/>
          <w:lang w:val="sk-SK"/>
        </w:rPr>
        <w:t>celom Grécku. Územia, na ktoré sa majú vzťahovať (v hektároch) rôzne opatrenia uvedené</w:t>
      </w:r>
      <w:r w:rsidR="00083739" w:rsidRPr="00083739">
        <w:rPr>
          <w:rFonts w:ascii="Times New Roman" w:hAnsi="Times New Roman" w:cs="Times New Roman"/>
          <w:noProof/>
          <w:sz w:val="24"/>
          <w:szCs w:val="24"/>
          <w:lang w:val="sk-SK"/>
        </w:rPr>
        <w:t xml:space="preserve"> v </w:t>
      </w:r>
      <w:r w:rsidRPr="00083739">
        <w:rPr>
          <w:rFonts w:ascii="Times New Roman" w:hAnsi="Times New Roman" w:cs="Times New Roman"/>
          <w:noProof/>
          <w:sz w:val="24"/>
          <w:szCs w:val="24"/>
          <w:lang w:val="sk-SK"/>
        </w:rPr>
        <w:t>míľniku, sa môžu prekrývať. Realizácia investície sa u</w:t>
      </w:r>
      <w:r w:rsidRPr="00083739">
        <w:rPr>
          <w:rFonts w:ascii="Times New Roman" w:hAnsi="Times New Roman" w:cs="Times New Roman"/>
          <w:noProof/>
          <w:sz w:val="24"/>
          <w:szCs w:val="24"/>
          <w:lang w:val="sk-SK"/>
        </w:rPr>
        <w:t>končí do 31</w:t>
      </w:r>
      <w:r w:rsidR="00083739" w:rsidRPr="00083739">
        <w:rPr>
          <w:rFonts w:ascii="Times New Roman" w:hAnsi="Times New Roman" w:cs="Times New Roman"/>
          <w:noProof/>
          <w:sz w:val="24"/>
          <w:szCs w:val="24"/>
          <w:lang w:val="sk-SK"/>
        </w:rPr>
        <w:t>. decembra</w:t>
      </w:r>
      <w:r w:rsidRPr="00083739">
        <w:rPr>
          <w:rFonts w:ascii="Times New Roman" w:hAnsi="Times New Roman" w:cs="Times New Roman"/>
          <w:noProof/>
          <w:sz w:val="24"/>
          <w:szCs w:val="24"/>
          <w:lang w:val="sk-SK"/>
        </w:rPr>
        <w:t xml:space="preserve"> 2025.</w:t>
      </w:r>
    </w:p>
    <w:p w14:paraId="3D82BDEB" w14:textId="652DED5C"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Infraštruktúry na nakladanie</w:t>
      </w:r>
      <w:r w:rsidR="00083739" w:rsidRPr="00083739">
        <w:rPr>
          <w:rFonts w:cs="Times New Roman"/>
          <w:noProof/>
          <w:lang w:val="sk-SK"/>
        </w:rPr>
        <w:t xml:space="preserve"> s </w:t>
      </w:r>
      <w:r w:rsidRPr="00083739">
        <w:rPr>
          <w:rFonts w:cs="Times New Roman"/>
          <w:noProof/>
          <w:lang w:val="sk-SK"/>
        </w:rPr>
        <w:t>komunálnymi odpadovými vodami</w:t>
      </w:r>
      <w:r w:rsidR="00083739" w:rsidRPr="00083739">
        <w:rPr>
          <w:rFonts w:cs="Times New Roman"/>
          <w:noProof/>
          <w:lang w:val="sk-SK"/>
        </w:rPr>
        <w:t xml:space="preserve"> a </w:t>
      </w:r>
      <w:r w:rsidRPr="00083739">
        <w:rPr>
          <w:rFonts w:cs="Times New Roman"/>
          <w:noProof/>
          <w:lang w:val="sk-SK"/>
        </w:rPr>
        <w:t>kalmi</w:t>
      </w:r>
      <w:r w:rsidR="00083739" w:rsidRPr="00083739">
        <w:rPr>
          <w:rFonts w:cs="Times New Roman"/>
          <w:noProof/>
          <w:lang w:val="sk-SK"/>
        </w:rPr>
        <w:t xml:space="preserve"> z </w:t>
      </w:r>
      <w:r w:rsidRPr="00083739">
        <w:rPr>
          <w:rFonts w:cs="Times New Roman"/>
          <w:noProof/>
          <w:lang w:val="sk-SK"/>
        </w:rPr>
        <w:t>čistenia odpadových vôd (ID opatrenia: 16846)</w:t>
      </w:r>
    </w:p>
    <w:p w14:paraId="173698EC" w14:textId="2E22DA37" w:rsidR="00083739" w:rsidRPr="00083739" w:rsidRDefault="00BF4125">
      <w:pPr>
        <w:pStyle w:val="P68B1DB1-Normal5"/>
        <w:spacing w:before="120" w:after="120" w:line="240" w:lineRule="auto"/>
        <w:jc w:val="both"/>
        <w:rPr>
          <w:rFonts w:cs="Times New Roman"/>
          <w:noProof/>
          <w:lang w:val="sk-SK"/>
        </w:rPr>
      </w:pPr>
      <w:r w:rsidRPr="00083739">
        <w:rPr>
          <w:rFonts w:cs="Times New Roman"/>
          <w:noProof/>
          <w:lang w:val="sk-SK"/>
        </w:rPr>
        <w:t>Cieľom investície je znížiť znečistenie prírodného prostredia</w:t>
      </w:r>
      <w:r w:rsidR="00083739" w:rsidRPr="00083739">
        <w:rPr>
          <w:rFonts w:cs="Times New Roman"/>
          <w:noProof/>
          <w:lang w:val="sk-SK"/>
        </w:rPr>
        <w:t xml:space="preserve"> a </w:t>
      </w:r>
      <w:r w:rsidRPr="00083739">
        <w:rPr>
          <w:rFonts w:cs="Times New Roman"/>
          <w:noProof/>
          <w:lang w:val="sk-SK"/>
        </w:rPr>
        <w:t>prostredia spôsobeného ľudskou činn</w:t>
      </w:r>
      <w:r w:rsidRPr="00083739">
        <w:rPr>
          <w:rFonts w:cs="Times New Roman"/>
          <w:noProof/>
          <w:lang w:val="sk-SK"/>
        </w:rPr>
        <w:t>osťou vyplývajúce</w:t>
      </w:r>
      <w:r w:rsidR="00083739" w:rsidRPr="00083739">
        <w:rPr>
          <w:rFonts w:cs="Times New Roman"/>
          <w:noProof/>
          <w:lang w:val="sk-SK"/>
        </w:rPr>
        <w:t xml:space="preserve"> z </w:t>
      </w:r>
      <w:r w:rsidRPr="00083739">
        <w:rPr>
          <w:rFonts w:cs="Times New Roman"/>
          <w:noProof/>
          <w:lang w:val="sk-SK"/>
        </w:rPr>
        <w:t>čistenia odpadových vôd vybudovaním novej</w:t>
      </w:r>
      <w:r w:rsidR="00083739" w:rsidRPr="00083739">
        <w:rPr>
          <w:rFonts w:cs="Times New Roman"/>
          <w:noProof/>
          <w:lang w:val="sk-SK"/>
        </w:rPr>
        <w:t xml:space="preserve"> a </w:t>
      </w:r>
      <w:r w:rsidRPr="00083739">
        <w:rPr>
          <w:rFonts w:cs="Times New Roman"/>
          <w:noProof/>
          <w:lang w:val="sk-SK"/>
        </w:rPr>
        <w:t>modernizáciou existujúcej infraštruktúry. Pozostáva</w:t>
      </w:r>
      <w:r w:rsidR="00083739" w:rsidRPr="00083739">
        <w:rPr>
          <w:rFonts w:cs="Times New Roman"/>
          <w:noProof/>
          <w:lang w:val="sk-SK"/>
        </w:rPr>
        <w:t xml:space="preserve"> z </w:t>
      </w:r>
      <w:r w:rsidRPr="00083739">
        <w:rPr>
          <w:rFonts w:cs="Times New Roman"/>
          <w:noProof/>
          <w:lang w:val="sk-SK"/>
        </w:rPr>
        <w:t>troch čiastkových projektov: a) výstavba 37 nových infraštruktúr kanalizačných sietí</w:t>
      </w:r>
      <w:r w:rsidR="00083739" w:rsidRPr="00083739">
        <w:rPr>
          <w:rFonts w:cs="Times New Roman"/>
          <w:noProof/>
          <w:lang w:val="sk-SK"/>
        </w:rPr>
        <w:t xml:space="preserve"> a </w:t>
      </w:r>
      <w:r w:rsidRPr="00083739">
        <w:rPr>
          <w:rFonts w:cs="Times New Roman"/>
          <w:noProof/>
          <w:lang w:val="sk-SK"/>
        </w:rPr>
        <w:t>čistiarní odpadových vôd, b) modernizácia, rozšíren</w:t>
      </w:r>
      <w:r w:rsidRPr="00083739">
        <w:rPr>
          <w:rFonts w:cs="Times New Roman"/>
          <w:noProof/>
          <w:lang w:val="sk-SK"/>
        </w:rPr>
        <w:t>ie</w:t>
      </w:r>
      <w:r w:rsidR="00083739" w:rsidRPr="00083739">
        <w:rPr>
          <w:rFonts w:cs="Times New Roman"/>
          <w:noProof/>
          <w:lang w:val="sk-SK"/>
        </w:rPr>
        <w:t xml:space="preserve"> a </w:t>
      </w:r>
      <w:r w:rsidRPr="00083739">
        <w:rPr>
          <w:rFonts w:cs="Times New Roman"/>
          <w:noProof/>
          <w:lang w:val="sk-SK"/>
        </w:rPr>
        <w:t>modernizácia 11 ČOV</w:t>
      </w:r>
      <w:r w:rsidR="00083739" w:rsidRPr="00083739">
        <w:rPr>
          <w:rFonts w:cs="Times New Roman"/>
          <w:noProof/>
          <w:lang w:val="sk-SK"/>
        </w:rPr>
        <w:t xml:space="preserve"> a </w:t>
      </w:r>
      <w:r w:rsidRPr="00083739">
        <w:rPr>
          <w:rFonts w:cs="Times New Roman"/>
          <w:noProof/>
          <w:lang w:val="sk-SK"/>
        </w:rPr>
        <w:t>opätovné využívanie vyčistenej vody</w:t>
      </w:r>
      <w:r w:rsidR="00083739" w:rsidRPr="00083739">
        <w:rPr>
          <w:rFonts w:cs="Times New Roman"/>
          <w:noProof/>
          <w:lang w:val="sk-SK"/>
        </w:rPr>
        <w:t xml:space="preserve"> a </w:t>
      </w:r>
      <w:r w:rsidRPr="00083739">
        <w:rPr>
          <w:rFonts w:cs="Times New Roman"/>
          <w:noProof/>
          <w:lang w:val="sk-SK"/>
        </w:rPr>
        <w:t>c) výstavba 16 infraštruktúr nakladania</w:t>
      </w:r>
      <w:r w:rsidR="00083739" w:rsidRPr="00083739">
        <w:rPr>
          <w:rFonts w:cs="Times New Roman"/>
          <w:noProof/>
          <w:lang w:val="sk-SK"/>
        </w:rPr>
        <w:t xml:space="preserve"> s </w:t>
      </w:r>
      <w:r w:rsidRPr="00083739">
        <w:rPr>
          <w:rFonts w:cs="Times New Roman"/>
          <w:noProof/>
          <w:lang w:val="sk-SK"/>
        </w:rPr>
        <w:t>kalmi</w:t>
      </w:r>
      <w:r w:rsidR="00083739" w:rsidRPr="00083739">
        <w:rPr>
          <w:rFonts w:cs="Times New Roman"/>
          <w:noProof/>
          <w:lang w:val="sk-SK"/>
        </w:rPr>
        <w:t xml:space="preserve"> z </w:t>
      </w:r>
      <w:r w:rsidRPr="00083739">
        <w:rPr>
          <w:rFonts w:cs="Times New Roman"/>
          <w:noProof/>
          <w:lang w:val="sk-SK"/>
        </w:rPr>
        <w:t>čistiarní odpadových vôd</w:t>
      </w:r>
      <w:r w:rsidR="00083739" w:rsidRPr="00083739">
        <w:rPr>
          <w:rFonts w:cs="Times New Roman"/>
          <w:noProof/>
          <w:lang w:val="sk-SK"/>
        </w:rPr>
        <w:t>.</w:t>
      </w:r>
    </w:p>
    <w:p w14:paraId="63D00E5A" w14:textId="284FC49E" w:rsidR="002D49B0" w:rsidRPr="00083739" w:rsidRDefault="00BF4125">
      <w:pPr>
        <w:pStyle w:val="P68B1DB1-Normal5"/>
        <w:rPr>
          <w:rFonts w:cs="Times New Roman"/>
          <w:noProof/>
          <w:lang w:val="sk-SK"/>
        </w:rPr>
      </w:pPr>
      <w:r w:rsidRPr="00083739">
        <w:rPr>
          <w:rFonts w:cs="Times New Roman"/>
          <w:noProof/>
          <w:lang w:val="sk-SK"/>
        </w:rPr>
        <w:br w:type="page"/>
      </w:r>
    </w:p>
    <w:p w14:paraId="5BBCB4F7" w14:textId="58EA1CB5" w:rsidR="002D49B0" w:rsidRPr="00083739" w:rsidRDefault="00BF4125">
      <w:pPr>
        <w:pStyle w:val="P68B1DB1-Normal5"/>
        <w:spacing w:before="120" w:after="120" w:line="240" w:lineRule="auto"/>
        <w:jc w:val="both"/>
        <w:rPr>
          <w:rFonts w:cs="Times New Roman"/>
          <w:noProof/>
          <w:lang w:val="sk-SK"/>
        </w:rPr>
      </w:pPr>
      <w:r w:rsidRPr="00083739">
        <w:rPr>
          <w:rFonts w:cs="Times New Roman"/>
          <w:noProof/>
          <w:lang w:val="sk-SK"/>
        </w:rPr>
        <w:t>Časť investície týkajúca sa modernizácie</w:t>
      </w:r>
      <w:r w:rsidR="00083739" w:rsidRPr="00083739">
        <w:rPr>
          <w:rFonts w:cs="Times New Roman"/>
          <w:noProof/>
          <w:lang w:val="sk-SK"/>
        </w:rPr>
        <w:t xml:space="preserve"> a </w:t>
      </w:r>
      <w:r w:rsidRPr="00083739">
        <w:rPr>
          <w:rFonts w:cs="Times New Roman"/>
          <w:noProof/>
          <w:lang w:val="sk-SK"/>
        </w:rPr>
        <w:t>modernizácie 11 ČOV musí byť</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 xml:space="preserve">požiadavkou obnovy systému </w:t>
      </w:r>
      <w:r w:rsidRPr="00083739">
        <w:rPr>
          <w:rFonts w:cs="Times New Roman"/>
          <w:noProof/>
          <w:lang w:val="sk-SK"/>
        </w:rPr>
        <w:t>odpadových vôd medzi koncovými bodmi tak, aby viedla</w:t>
      </w:r>
      <w:r w:rsidR="00083739" w:rsidRPr="00083739">
        <w:rPr>
          <w:rFonts w:cs="Times New Roman"/>
          <w:noProof/>
          <w:lang w:val="sk-SK"/>
        </w:rPr>
        <w:t xml:space="preserve"> k </w:t>
      </w:r>
      <w:r w:rsidRPr="00083739">
        <w:rPr>
          <w:rFonts w:cs="Times New Roman"/>
          <w:noProof/>
          <w:lang w:val="sk-SK"/>
        </w:rPr>
        <w:t>zníženiu priemernej spotreby energie aspoň</w:t>
      </w:r>
      <w:r w:rsidR="00083739" w:rsidRPr="00083739">
        <w:rPr>
          <w:rFonts w:cs="Times New Roman"/>
          <w:noProof/>
          <w:lang w:val="sk-SK"/>
        </w:rPr>
        <w:t xml:space="preserve"> o </w:t>
      </w:r>
      <w:r w:rsidRPr="00083739">
        <w:rPr>
          <w:rFonts w:cs="Times New Roman"/>
          <w:noProof/>
          <w:lang w:val="sk-SK"/>
        </w:rPr>
        <w:t>10</w:t>
      </w:r>
      <w:r w:rsidR="00083739" w:rsidRPr="00083739">
        <w:rPr>
          <w:rFonts w:cs="Times New Roman"/>
          <w:noProof/>
          <w:lang w:val="sk-SK"/>
        </w:rPr>
        <w:t> %</w:t>
      </w:r>
      <w:r w:rsidRPr="00083739">
        <w:rPr>
          <w:rFonts w:cs="Times New Roman"/>
          <w:noProof/>
          <w:lang w:val="sk-SK"/>
        </w:rPr>
        <w:t>, čo sa dosiahne výlučne opatreniami energetickej efektívnosti,</w:t>
      </w:r>
      <w:r w:rsidR="00083739" w:rsidRPr="00083739">
        <w:rPr>
          <w:rFonts w:cs="Times New Roman"/>
          <w:noProof/>
          <w:lang w:val="sk-SK"/>
        </w:rPr>
        <w:t xml:space="preserve"> a </w:t>
      </w:r>
      <w:r w:rsidRPr="00083739">
        <w:rPr>
          <w:rFonts w:cs="Times New Roman"/>
          <w:noProof/>
          <w:lang w:val="sk-SK"/>
        </w:rPr>
        <w:t>nie podstatnými zmenami alebo zmenami zaťaženia. Očakáva sa, že toto opatrenie výrazne</w:t>
      </w:r>
      <w:r w:rsidRPr="00083739">
        <w:rPr>
          <w:rFonts w:cs="Times New Roman"/>
          <w:noProof/>
          <w:lang w:val="sk-SK"/>
        </w:rPr>
        <w:t xml:space="preserve"> nenaruší environmentálne ciele</w:t>
      </w:r>
      <w:r w:rsidR="00083739" w:rsidRPr="00083739">
        <w:rPr>
          <w:rFonts w:cs="Times New Roman"/>
          <w:noProof/>
          <w:lang w:val="sk-SK"/>
        </w:rPr>
        <w:t xml:space="preserve"> v </w:t>
      </w:r>
      <w:r w:rsidRPr="00083739">
        <w:rPr>
          <w:rFonts w:cs="Times New Roman"/>
          <w:noProof/>
          <w:lang w:val="sk-SK"/>
        </w:rPr>
        <w:t>zmysle článku 17 nariadenia (EÚ) 2020/852, pričom sa zohľadní opis opatrenia</w:t>
      </w:r>
      <w:r w:rsidR="00083739" w:rsidRPr="00083739">
        <w:rPr>
          <w:rFonts w:cs="Times New Roman"/>
          <w:noProof/>
          <w:lang w:val="sk-SK"/>
        </w:rPr>
        <w:t xml:space="preserve"> a </w:t>
      </w:r>
      <w:r w:rsidRPr="00083739">
        <w:rPr>
          <w:rFonts w:cs="Times New Roman"/>
          <w:noProof/>
          <w:lang w:val="sk-SK"/>
        </w:rPr>
        <w:t>zmierňujúce kroky stanovené</w:t>
      </w:r>
      <w:r w:rsidR="00083739" w:rsidRPr="00083739">
        <w:rPr>
          <w:rFonts w:cs="Times New Roman"/>
          <w:noProof/>
          <w:lang w:val="sk-SK"/>
        </w:rPr>
        <w:t xml:space="preserve"> v </w:t>
      </w:r>
      <w:r w:rsidRPr="00083739">
        <w:rPr>
          <w:rFonts w:cs="Times New Roman"/>
          <w:noProof/>
          <w:lang w:val="sk-SK"/>
        </w:rPr>
        <w:t>pláne podpory obnovy</w:t>
      </w:r>
      <w:r w:rsidR="00083739" w:rsidRPr="00083739">
        <w:rPr>
          <w:rFonts w:cs="Times New Roman"/>
          <w:noProof/>
          <w:lang w:val="sk-SK"/>
        </w:rPr>
        <w:t xml:space="preserve"> a </w:t>
      </w:r>
      <w:r w:rsidRPr="00083739">
        <w:rPr>
          <w:rFonts w:cs="Times New Roman"/>
          <w:noProof/>
          <w:lang w:val="sk-SK"/>
        </w:rPr>
        <w:t>odolnosti</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technickým usmernením „výrazne nenarušiť“ (2021/C58/01). Opatrenie pr</w:t>
      </w:r>
      <w:r w:rsidRPr="00083739">
        <w:rPr>
          <w:rFonts w:cs="Times New Roman"/>
          <w:noProof/>
          <w:lang w:val="sk-SK"/>
        </w:rPr>
        <w:t>edovšetkým podlieha posudzovaniu vplyvov na životné prostredie (EIA) podľa smernice 2011/92/EÚ, ako aj príslušným posúdeniam</w:t>
      </w:r>
      <w:r w:rsidR="00083739" w:rsidRPr="00083739">
        <w:rPr>
          <w:rFonts w:cs="Times New Roman"/>
          <w:noProof/>
          <w:lang w:val="sk-SK"/>
        </w:rPr>
        <w:t xml:space="preserve"> v </w:t>
      </w:r>
      <w:r w:rsidRPr="00083739">
        <w:rPr>
          <w:rFonts w:cs="Times New Roman"/>
          <w:noProof/>
          <w:lang w:val="sk-SK"/>
        </w:rPr>
        <w:t>kontexte smernice 2000/60/ES</w:t>
      </w:r>
      <w:r w:rsidR="00083739" w:rsidRPr="00083739">
        <w:rPr>
          <w:rFonts w:cs="Times New Roman"/>
          <w:noProof/>
          <w:lang w:val="sk-SK"/>
        </w:rPr>
        <w:t xml:space="preserve"> a </w:t>
      </w:r>
      <w:r w:rsidRPr="00083739">
        <w:rPr>
          <w:rFonts w:cs="Times New Roman"/>
          <w:noProof/>
          <w:lang w:val="sk-SK"/>
        </w:rPr>
        <w:t xml:space="preserve">smernice 92/43/EHS vrátane vykonávania požadovaných zmierňujúcich opatrení. Realizácia investície </w:t>
      </w:r>
      <w:r w:rsidRPr="00083739">
        <w:rPr>
          <w:rFonts w:cs="Times New Roman"/>
          <w:noProof/>
          <w:lang w:val="sk-SK"/>
        </w:rPr>
        <w:t>sa ukončí do 31</w:t>
      </w:r>
      <w:r w:rsidR="00083739" w:rsidRPr="00083739">
        <w:rPr>
          <w:rFonts w:cs="Times New Roman"/>
          <w:noProof/>
          <w:lang w:val="sk-SK"/>
        </w:rPr>
        <w:t>. decembra</w:t>
      </w:r>
      <w:r w:rsidRPr="00083739">
        <w:rPr>
          <w:rFonts w:cs="Times New Roman"/>
          <w:noProof/>
          <w:lang w:val="sk-SK"/>
        </w:rPr>
        <w:t xml:space="preserve"> 2025.</w:t>
      </w:r>
    </w:p>
    <w:p w14:paraId="71774457" w14:textId="7777777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Investície do vnútroštátnej zavlažovacej siete prostredníctvom schém verejno-súkromného partnerstva (ID opatrenia: 16285)</w:t>
      </w:r>
    </w:p>
    <w:p w14:paraId="0785AAEE" w14:textId="3D6AF839"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Investícia je holistickým programom na modernizáciu</w:t>
      </w:r>
      <w:r w:rsidR="00083739" w:rsidRPr="00083739">
        <w:rPr>
          <w:rFonts w:cs="Times New Roman"/>
          <w:noProof/>
          <w:lang w:val="sk-SK"/>
        </w:rPr>
        <w:t xml:space="preserve"> a </w:t>
      </w:r>
      <w:r w:rsidRPr="00083739">
        <w:rPr>
          <w:rFonts w:cs="Times New Roman"/>
          <w:noProof/>
          <w:lang w:val="sk-SK"/>
        </w:rPr>
        <w:t>modernizáciu vnútroštátneho agroenvi</w:t>
      </w:r>
      <w:r w:rsidRPr="00083739">
        <w:rPr>
          <w:rFonts w:cs="Times New Roman"/>
          <w:noProof/>
          <w:lang w:val="sk-SK"/>
        </w:rPr>
        <w:t>ronmentálneho rámca, rámca na zlepšenie pôdy</w:t>
      </w:r>
      <w:r w:rsidR="00083739" w:rsidRPr="00083739">
        <w:rPr>
          <w:rFonts w:cs="Times New Roman"/>
          <w:noProof/>
          <w:lang w:val="sk-SK"/>
        </w:rPr>
        <w:t xml:space="preserve"> a </w:t>
      </w:r>
      <w:r w:rsidRPr="00083739">
        <w:rPr>
          <w:rFonts w:cs="Times New Roman"/>
          <w:noProof/>
          <w:lang w:val="sk-SK"/>
        </w:rPr>
        <w:t>sanáciu. Tieto investície posilnia odolnosť</w:t>
      </w:r>
      <w:r w:rsidR="00083739" w:rsidRPr="00083739">
        <w:rPr>
          <w:rFonts w:cs="Times New Roman"/>
          <w:noProof/>
          <w:lang w:val="sk-SK"/>
        </w:rPr>
        <w:t xml:space="preserve"> a </w:t>
      </w:r>
      <w:r w:rsidRPr="00083739">
        <w:rPr>
          <w:rFonts w:cs="Times New Roman"/>
          <w:noProof/>
          <w:lang w:val="sk-SK"/>
        </w:rPr>
        <w:t>konkurencieschopnosť odvetvia poľnohospodárstva, zvýšia dodávky</w:t>
      </w:r>
      <w:r w:rsidR="00083739" w:rsidRPr="00083739">
        <w:rPr>
          <w:rFonts w:cs="Times New Roman"/>
          <w:noProof/>
          <w:lang w:val="sk-SK"/>
        </w:rPr>
        <w:t xml:space="preserve"> a </w:t>
      </w:r>
      <w:r w:rsidRPr="00083739">
        <w:rPr>
          <w:rFonts w:cs="Times New Roman"/>
          <w:noProof/>
          <w:lang w:val="sk-SK"/>
        </w:rPr>
        <w:t>kvalitu dostupnej vody, racionalizujú spotrebu vody, zmierňujú riziká salinizácie</w:t>
      </w:r>
      <w:r w:rsidR="00083739" w:rsidRPr="00083739">
        <w:rPr>
          <w:rFonts w:cs="Times New Roman"/>
          <w:noProof/>
          <w:lang w:val="sk-SK"/>
        </w:rPr>
        <w:t xml:space="preserve"> a </w:t>
      </w:r>
      <w:r w:rsidRPr="00083739">
        <w:rPr>
          <w:rFonts w:cs="Times New Roman"/>
          <w:noProof/>
          <w:lang w:val="sk-SK"/>
        </w:rPr>
        <w:t>dezertifikáci</w:t>
      </w:r>
      <w:r w:rsidRPr="00083739">
        <w:rPr>
          <w:rFonts w:cs="Times New Roman"/>
          <w:noProof/>
          <w:lang w:val="sk-SK"/>
        </w:rPr>
        <w:t>e</w:t>
      </w:r>
      <w:r w:rsidR="00083739" w:rsidRPr="00083739">
        <w:rPr>
          <w:rFonts w:cs="Times New Roman"/>
          <w:noProof/>
          <w:lang w:val="sk-SK"/>
        </w:rPr>
        <w:t xml:space="preserve"> a </w:t>
      </w:r>
      <w:r w:rsidRPr="00083739">
        <w:rPr>
          <w:rFonts w:cs="Times New Roman"/>
          <w:noProof/>
          <w:lang w:val="sk-SK"/>
        </w:rPr>
        <w:t>riešia zachovanie</w:t>
      </w:r>
      <w:r w:rsidR="00083739" w:rsidRPr="00083739">
        <w:rPr>
          <w:rFonts w:cs="Times New Roman"/>
          <w:noProof/>
          <w:lang w:val="sk-SK"/>
        </w:rPr>
        <w:t xml:space="preserve"> a </w:t>
      </w:r>
      <w:r w:rsidRPr="00083739">
        <w:rPr>
          <w:rFonts w:cs="Times New Roman"/>
          <w:noProof/>
          <w:lang w:val="sk-SK"/>
        </w:rPr>
        <w:t>ochranu biodiverzity</w:t>
      </w:r>
      <w:r w:rsidR="00083739" w:rsidRPr="00083739">
        <w:rPr>
          <w:rFonts w:cs="Times New Roman"/>
          <w:noProof/>
          <w:lang w:val="sk-SK"/>
        </w:rPr>
        <w:t xml:space="preserve"> a </w:t>
      </w:r>
      <w:r w:rsidRPr="00083739">
        <w:rPr>
          <w:rFonts w:cs="Times New Roman"/>
          <w:noProof/>
          <w:lang w:val="sk-SK"/>
        </w:rPr>
        <w:t>prirodzených biotopov. Toto opatrenie zahŕňa aj reformu inštitucionálneho, organizačného</w:t>
      </w:r>
      <w:r w:rsidR="00083739" w:rsidRPr="00083739">
        <w:rPr>
          <w:rFonts w:cs="Times New Roman"/>
          <w:noProof/>
          <w:lang w:val="sk-SK"/>
        </w:rPr>
        <w:t xml:space="preserve"> a </w:t>
      </w:r>
      <w:r w:rsidRPr="00083739">
        <w:rPr>
          <w:rFonts w:cs="Times New Roman"/>
          <w:noProof/>
          <w:lang w:val="sk-SK"/>
        </w:rPr>
        <w:t>prevádzkového rámca kolektívnych zavlažovacích sietí. Opatrenie vyžaduje, aby všetky práce boli</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týmito zása</w:t>
      </w:r>
      <w:r w:rsidRPr="00083739">
        <w:rPr>
          <w:rFonts w:cs="Times New Roman"/>
          <w:noProof/>
          <w:lang w:val="sk-SK"/>
        </w:rPr>
        <w:t>dami: I) vykonajú sa všetky technicky uskutočniteľné</w:t>
      </w:r>
      <w:r w:rsidR="00083739" w:rsidRPr="00083739">
        <w:rPr>
          <w:rFonts w:cs="Times New Roman"/>
          <w:noProof/>
          <w:lang w:val="sk-SK"/>
        </w:rPr>
        <w:t xml:space="preserve"> a </w:t>
      </w:r>
      <w:r w:rsidRPr="00083739">
        <w:rPr>
          <w:rFonts w:cs="Times New Roman"/>
          <w:noProof/>
          <w:lang w:val="sk-SK"/>
        </w:rPr>
        <w:t>ekologicky relevantné</w:t>
      </w:r>
      <w:r w:rsidRPr="00083739">
        <w:rPr>
          <w:rFonts w:cs="Times New Roman"/>
          <w:i/>
          <w:noProof/>
          <w:lang w:val="sk-SK"/>
        </w:rPr>
        <w:t xml:space="preserve"> </w:t>
      </w:r>
      <w:r w:rsidRPr="00083739">
        <w:rPr>
          <w:rFonts w:cs="Times New Roman"/>
          <w:noProof/>
          <w:lang w:val="sk-SK"/>
        </w:rPr>
        <w:t>opatrenia na adaptáciu na zmenu klímy, ako aj zmiernenie možných nepriaznivých vplyvov na vodu</w:t>
      </w:r>
      <w:r w:rsidR="00083739" w:rsidRPr="00083739">
        <w:rPr>
          <w:rFonts w:cs="Times New Roman"/>
          <w:noProof/>
          <w:lang w:val="sk-SK"/>
        </w:rPr>
        <w:t xml:space="preserve"> a </w:t>
      </w:r>
      <w:r w:rsidRPr="00083739">
        <w:rPr>
          <w:rFonts w:cs="Times New Roman"/>
          <w:noProof/>
          <w:lang w:val="sk-SK"/>
        </w:rPr>
        <w:t>príslušné biotopy</w:t>
      </w:r>
      <w:r w:rsidR="00083739" w:rsidRPr="00083739">
        <w:rPr>
          <w:rFonts w:cs="Times New Roman"/>
          <w:noProof/>
          <w:lang w:val="sk-SK"/>
        </w:rPr>
        <w:t xml:space="preserve"> a </w:t>
      </w:r>
      <w:r w:rsidRPr="00083739">
        <w:rPr>
          <w:rFonts w:cs="Times New Roman"/>
          <w:noProof/>
          <w:lang w:val="sk-SK"/>
        </w:rPr>
        <w:t>druhy, ak sa zdajú potrebné ďalšie opatrenia; II)</w:t>
      </w:r>
      <w:r w:rsidR="00083739" w:rsidRPr="00083739">
        <w:rPr>
          <w:rFonts w:cs="Times New Roman"/>
          <w:noProof/>
          <w:lang w:val="sk-SK"/>
        </w:rPr>
        <w:t xml:space="preserve"> v </w:t>
      </w:r>
      <w:r w:rsidRPr="00083739">
        <w:rPr>
          <w:rFonts w:cs="Times New Roman"/>
          <w:noProof/>
          <w:lang w:val="sk-SK"/>
        </w:rPr>
        <w:t xml:space="preserve">prípade </w:t>
      </w:r>
      <w:r w:rsidRPr="00083739">
        <w:rPr>
          <w:rFonts w:cs="Times New Roman"/>
          <w:noProof/>
          <w:lang w:val="sk-SK"/>
        </w:rPr>
        <w:t>novovybudovanej priehrady zabezpečiť, aby nemala za následok zhoršenie ani neohrozila dosiahnutie dobrého stavu príslušných</w:t>
      </w:r>
      <w:r w:rsidR="00083739" w:rsidRPr="00083739">
        <w:rPr>
          <w:rFonts w:cs="Times New Roman"/>
          <w:noProof/>
          <w:lang w:val="sk-SK"/>
        </w:rPr>
        <w:t xml:space="preserve"> a </w:t>
      </w:r>
      <w:r w:rsidRPr="00083739">
        <w:rPr>
          <w:rFonts w:cs="Times New Roman"/>
          <w:noProof/>
          <w:lang w:val="sk-SK"/>
        </w:rPr>
        <w:t>prepojených vodných útvarov. Očakáva sa, že toto opatrenie výrazne nenaruší environmentálne ciele</w:t>
      </w:r>
      <w:r w:rsidR="00083739" w:rsidRPr="00083739">
        <w:rPr>
          <w:rFonts w:cs="Times New Roman"/>
          <w:noProof/>
          <w:lang w:val="sk-SK"/>
        </w:rPr>
        <w:t xml:space="preserve"> v </w:t>
      </w:r>
      <w:r w:rsidRPr="00083739">
        <w:rPr>
          <w:rFonts w:cs="Times New Roman"/>
          <w:noProof/>
          <w:lang w:val="sk-SK"/>
        </w:rPr>
        <w:t>zmysle článku 17 nariadenia (E</w:t>
      </w:r>
      <w:r w:rsidRPr="00083739">
        <w:rPr>
          <w:rFonts w:cs="Times New Roman"/>
          <w:noProof/>
          <w:lang w:val="sk-SK"/>
        </w:rPr>
        <w:t>Ú) 2020/852, pričom sa zohľadní opis opatrenia</w:t>
      </w:r>
      <w:r w:rsidR="00083739" w:rsidRPr="00083739">
        <w:rPr>
          <w:rFonts w:cs="Times New Roman"/>
          <w:noProof/>
          <w:lang w:val="sk-SK"/>
        </w:rPr>
        <w:t xml:space="preserve"> a </w:t>
      </w:r>
      <w:r w:rsidRPr="00083739">
        <w:rPr>
          <w:rFonts w:cs="Times New Roman"/>
          <w:noProof/>
          <w:lang w:val="sk-SK"/>
        </w:rPr>
        <w:t>zmierňujúce kroky stanovené</w:t>
      </w:r>
      <w:r w:rsidR="00083739" w:rsidRPr="00083739">
        <w:rPr>
          <w:rFonts w:cs="Times New Roman"/>
          <w:noProof/>
          <w:lang w:val="sk-SK"/>
        </w:rPr>
        <w:t xml:space="preserve"> v </w:t>
      </w:r>
      <w:r w:rsidRPr="00083739">
        <w:rPr>
          <w:rFonts w:cs="Times New Roman"/>
          <w:noProof/>
          <w:lang w:val="sk-SK"/>
        </w:rPr>
        <w:t>pláne podpory obnovy</w:t>
      </w:r>
      <w:r w:rsidR="00083739" w:rsidRPr="00083739">
        <w:rPr>
          <w:rFonts w:cs="Times New Roman"/>
          <w:noProof/>
          <w:lang w:val="sk-SK"/>
        </w:rPr>
        <w:t xml:space="preserve"> a </w:t>
      </w:r>
      <w:r w:rsidRPr="00083739">
        <w:rPr>
          <w:rFonts w:cs="Times New Roman"/>
          <w:noProof/>
          <w:lang w:val="sk-SK"/>
        </w:rPr>
        <w:t>odolnosti</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technickým usmernením „výrazne nenarušiť“ (2021/C58/01). Pri každej čiastkovej investícii sa zabezpečí najmä úplný súlad</w:t>
      </w:r>
      <w:r w:rsidR="00083739" w:rsidRPr="00083739">
        <w:rPr>
          <w:rFonts w:cs="Times New Roman"/>
          <w:noProof/>
          <w:lang w:val="sk-SK"/>
        </w:rPr>
        <w:t xml:space="preserve"> s </w:t>
      </w:r>
      <w:r w:rsidRPr="00083739">
        <w:rPr>
          <w:rFonts w:cs="Times New Roman"/>
          <w:noProof/>
          <w:lang w:val="sk-SK"/>
        </w:rPr>
        <w:t>požiadavka</w:t>
      </w:r>
      <w:r w:rsidRPr="00083739">
        <w:rPr>
          <w:rFonts w:cs="Times New Roman"/>
          <w:noProof/>
          <w:lang w:val="sk-SK"/>
        </w:rPr>
        <w:t>mi práva EÚ vrátane rámcovej smernice</w:t>
      </w:r>
      <w:r w:rsidR="00083739" w:rsidRPr="00083739">
        <w:rPr>
          <w:rFonts w:cs="Times New Roman"/>
          <w:noProof/>
          <w:lang w:val="sk-SK"/>
        </w:rPr>
        <w:t xml:space="preserve"> o </w:t>
      </w:r>
      <w:r w:rsidRPr="00083739">
        <w:rPr>
          <w:rFonts w:cs="Times New Roman"/>
          <w:noProof/>
          <w:lang w:val="sk-SK"/>
        </w:rPr>
        <w:t>vode pred začatím stavebných prác, počas nich</w:t>
      </w:r>
      <w:r w:rsidR="00083739" w:rsidRPr="00083739">
        <w:rPr>
          <w:rFonts w:cs="Times New Roman"/>
          <w:noProof/>
          <w:lang w:val="sk-SK"/>
        </w:rPr>
        <w:t xml:space="preserve"> a </w:t>
      </w:r>
      <w:r w:rsidRPr="00083739">
        <w:rPr>
          <w:rFonts w:cs="Times New Roman"/>
          <w:noProof/>
          <w:lang w:val="sk-SK"/>
        </w:rPr>
        <w:t>po ich začatí. Opatrenie ďalej podlieha posudzovaniu vplyvov na životné prostredie (EIA) podľa smernice 2011/92/EÚ, ako aj príslušným posúdeniam</w:t>
      </w:r>
      <w:r w:rsidR="00083739" w:rsidRPr="00083739">
        <w:rPr>
          <w:rFonts w:cs="Times New Roman"/>
          <w:noProof/>
          <w:lang w:val="sk-SK"/>
        </w:rPr>
        <w:t xml:space="preserve"> v </w:t>
      </w:r>
      <w:r w:rsidRPr="00083739">
        <w:rPr>
          <w:rFonts w:cs="Times New Roman"/>
          <w:noProof/>
          <w:lang w:val="sk-SK"/>
        </w:rPr>
        <w:t>kontexte smernice 200</w:t>
      </w:r>
      <w:r w:rsidRPr="00083739">
        <w:rPr>
          <w:rFonts w:cs="Times New Roman"/>
          <w:noProof/>
          <w:lang w:val="sk-SK"/>
        </w:rPr>
        <w:t>0/60/ES</w:t>
      </w:r>
      <w:r w:rsidR="00083739" w:rsidRPr="00083739">
        <w:rPr>
          <w:rFonts w:cs="Times New Roman"/>
          <w:noProof/>
          <w:lang w:val="sk-SK"/>
        </w:rPr>
        <w:t xml:space="preserve"> a </w:t>
      </w:r>
      <w:r w:rsidRPr="00083739">
        <w:rPr>
          <w:rFonts w:cs="Times New Roman"/>
          <w:noProof/>
          <w:lang w:val="sk-SK"/>
        </w:rPr>
        <w:t>smernice 92/43/EHS vrátane vykonávania požadovaných zmierňujúcich opatrení. Realizácia investície sa ukončí do 31</w:t>
      </w:r>
      <w:r w:rsidR="00083739" w:rsidRPr="00083739">
        <w:rPr>
          <w:rFonts w:cs="Times New Roman"/>
          <w:noProof/>
          <w:lang w:val="sk-SK"/>
        </w:rPr>
        <w:t>. decembra</w:t>
      </w:r>
      <w:r w:rsidRPr="00083739">
        <w:rPr>
          <w:rFonts w:cs="Times New Roman"/>
          <w:noProof/>
          <w:lang w:val="sk-SK"/>
        </w:rPr>
        <w:t xml:space="preserve"> 2025.</w:t>
      </w:r>
    </w:p>
    <w:p w14:paraId="2DFB208A" w14:textId="155140A1"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Infraštruktúry na zásobovanie pitnou vodou</w:t>
      </w:r>
      <w:r w:rsidR="00083739" w:rsidRPr="00083739">
        <w:rPr>
          <w:rFonts w:cs="Times New Roman"/>
          <w:noProof/>
          <w:lang w:val="sk-SK"/>
        </w:rPr>
        <w:t xml:space="preserve"> a </w:t>
      </w:r>
      <w:r w:rsidRPr="00083739">
        <w:rPr>
          <w:rFonts w:cs="Times New Roman"/>
          <w:noProof/>
          <w:lang w:val="sk-SK"/>
        </w:rPr>
        <w:t>úsporu pitnej vody (ID opatrenia: 16850)</w:t>
      </w:r>
    </w:p>
    <w:p w14:paraId="119326D9" w14:textId="3D80172E" w:rsidR="00083739" w:rsidRPr="00083739" w:rsidRDefault="00BF4125">
      <w:pPr>
        <w:pStyle w:val="P68B1DB1-Normal5"/>
        <w:spacing w:before="120" w:after="120" w:line="240" w:lineRule="auto"/>
        <w:jc w:val="both"/>
        <w:rPr>
          <w:rFonts w:cs="Times New Roman"/>
          <w:noProof/>
          <w:lang w:val="sk-SK"/>
        </w:rPr>
      </w:pPr>
      <w:r w:rsidRPr="00083739">
        <w:rPr>
          <w:rFonts w:cs="Times New Roman"/>
          <w:noProof/>
          <w:lang w:val="sk-SK"/>
        </w:rPr>
        <w:t xml:space="preserve">Cieľom investície </w:t>
      </w:r>
      <w:r w:rsidRPr="00083739">
        <w:rPr>
          <w:rFonts w:cs="Times New Roman"/>
          <w:noProof/>
          <w:lang w:val="sk-SK"/>
        </w:rPr>
        <w:t>je zlepšiť dostupnosť</w:t>
      </w:r>
      <w:r w:rsidR="00083739" w:rsidRPr="00083739">
        <w:rPr>
          <w:rFonts w:cs="Times New Roman"/>
          <w:noProof/>
          <w:lang w:val="sk-SK"/>
        </w:rPr>
        <w:t xml:space="preserve"> a </w:t>
      </w:r>
      <w:r w:rsidRPr="00083739">
        <w:rPr>
          <w:rFonts w:cs="Times New Roman"/>
          <w:noProof/>
          <w:lang w:val="sk-SK"/>
        </w:rPr>
        <w:t>kvalitu pitnej vody</w:t>
      </w:r>
      <w:r w:rsidR="00083739" w:rsidRPr="00083739">
        <w:rPr>
          <w:rFonts w:cs="Times New Roman"/>
          <w:noProof/>
          <w:lang w:val="sk-SK"/>
        </w:rPr>
        <w:t xml:space="preserve"> a </w:t>
      </w:r>
      <w:r w:rsidRPr="00083739">
        <w:rPr>
          <w:rFonts w:cs="Times New Roman"/>
          <w:noProof/>
          <w:lang w:val="sk-SK"/>
        </w:rPr>
        <w:t>znížiť úniky</w:t>
      </w:r>
      <w:r w:rsidR="00083739" w:rsidRPr="00083739">
        <w:rPr>
          <w:rFonts w:cs="Times New Roman"/>
          <w:noProof/>
          <w:lang w:val="sk-SK"/>
        </w:rPr>
        <w:t xml:space="preserve"> a </w:t>
      </w:r>
      <w:r w:rsidRPr="00083739">
        <w:rPr>
          <w:rFonts w:cs="Times New Roman"/>
          <w:noProof/>
          <w:lang w:val="sk-SK"/>
        </w:rPr>
        <w:t>riziká pre verejné zdravie súvisiace</w:t>
      </w:r>
      <w:r w:rsidR="00083739" w:rsidRPr="00083739">
        <w:rPr>
          <w:rFonts w:cs="Times New Roman"/>
          <w:noProof/>
          <w:lang w:val="sk-SK"/>
        </w:rPr>
        <w:t xml:space="preserve"> s </w:t>
      </w:r>
      <w:r w:rsidRPr="00083739">
        <w:rPr>
          <w:rFonts w:cs="Times New Roman"/>
          <w:noProof/>
          <w:lang w:val="sk-SK"/>
        </w:rPr>
        <w:t>vodohospodárskou infraštruktúrou. Investícia pozostáva</w:t>
      </w:r>
      <w:r w:rsidR="00083739" w:rsidRPr="00083739">
        <w:rPr>
          <w:rFonts w:cs="Times New Roman"/>
          <w:noProof/>
          <w:lang w:val="sk-SK"/>
        </w:rPr>
        <w:t xml:space="preserve"> z </w:t>
      </w:r>
      <w:r w:rsidRPr="00083739">
        <w:rPr>
          <w:rFonts w:cs="Times New Roman"/>
          <w:noProof/>
          <w:lang w:val="sk-SK"/>
        </w:rPr>
        <w:t>troch čiastkových projektov: a) výstavba nových infraštruktúr na zásobovanie vodou aspoň</w:t>
      </w:r>
      <w:r w:rsidR="00083739" w:rsidRPr="00083739">
        <w:rPr>
          <w:rFonts w:cs="Times New Roman"/>
          <w:noProof/>
          <w:lang w:val="sk-SK"/>
        </w:rPr>
        <w:t xml:space="preserve"> v </w:t>
      </w:r>
      <w:r w:rsidRPr="00083739">
        <w:rPr>
          <w:rFonts w:cs="Times New Roman"/>
          <w:noProof/>
          <w:lang w:val="sk-SK"/>
        </w:rPr>
        <w:t>siedmich</w:t>
      </w:r>
      <w:r w:rsidRPr="00083739">
        <w:rPr>
          <w:rFonts w:cs="Times New Roman"/>
          <w:noProof/>
          <w:lang w:val="sk-SK"/>
        </w:rPr>
        <w:t xml:space="preserve"> oblastiach</w:t>
      </w:r>
      <w:r w:rsidR="00083739" w:rsidRPr="00083739">
        <w:rPr>
          <w:rFonts w:cs="Times New Roman"/>
          <w:noProof/>
          <w:lang w:val="sk-SK"/>
        </w:rPr>
        <w:t xml:space="preserve"> a </w:t>
      </w:r>
      <w:r w:rsidRPr="00083739">
        <w:rPr>
          <w:rFonts w:cs="Times New Roman"/>
          <w:noProof/>
          <w:lang w:val="sk-SK"/>
        </w:rPr>
        <w:t>najmenej troch odsoľovacích zariadeniach, b) zriadenie telemetrie – systémov diaľkového ovládania na zisťovanie únikov vo vodovodných sieťach</w:t>
      </w:r>
      <w:r w:rsidR="00083739" w:rsidRPr="00083739">
        <w:rPr>
          <w:rFonts w:cs="Times New Roman"/>
          <w:noProof/>
          <w:lang w:val="sk-SK"/>
        </w:rPr>
        <w:t xml:space="preserve"> a </w:t>
      </w:r>
      <w:r w:rsidRPr="00083739">
        <w:rPr>
          <w:rFonts w:cs="Times New Roman"/>
          <w:noProof/>
          <w:lang w:val="sk-SK"/>
        </w:rPr>
        <w:t>c) obstarávanie digitálnych hydrometrov. Očakáva sa, že toto opatrenie výrazne nenaruší environmen</w:t>
      </w:r>
      <w:r w:rsidRPr="00083739">
        <w:rPr>
          <w:rFonts w:cs="Times New Roman"/>
          <w:noProof/>
          <w:lang w:val="sk-SK"/>
        </w:rPr>
        <w:t>tálne ciele</w:t>
      </w:r>
      <w:r w:rsidR="00083739" w:rsidRPr="00083739">
        <w:rPr>
          <w:rFonts w:cs="Times New Roman"/>
          <w:noProof/>
          <w:lang w:val="sk-SK"/>
        </w:rPr>
        <w:t xml:space="preserve"> v </w:t>
      </w:r>
      <w:r w:rsidRPr="00083739">
        <w:rPr>
          <w:rFonts w:cs="Times New Roman"/>
          <w:noProof/>
          <w:lang w:val="sk-SK"/>
        </w:rPr>
        <w:t>zmysle článku 17 nariadenia (EÚ) 2020/852, pričom sa zohľadní opis opatrenia</w:t>
      </w:r>
      <w:r w:rsidR="00083739" w:rsidRPr="00083739">
        <w:rPr>
          <w:rFonts w:cs="Times New Roman"/>
          <w:noProof/>
          <w:lang w:val="sk-SK"/>
        </w:rPr>
        <w:t xml:space="preserve"> a </w:t>
      </w:r>
      <w:r w:rsidRPr="00083739">
        <w:rPr>
          <w:rFonts w:cs="Times New Roman"/>
          <w:noProof/>
          <w:lang w:val="sk-SK"/>
        </w:rPr>
        <w:t>zmierňujúce kroky stanovené</w:t>
      </w:r>
      <w:r w:rsidR="00083739" w:rsidRPr="00083739">
        <w:rPr>
          <w:rFonts w:cs="Times New Roman"/>
          <w:noProof/>
          <w:lang w:val="sk-SK"/>
        </w:rPr>
        <w:t xml:space="preserve"> v </w:t>
      </w:r>
      <w:r w:rsidRPr="00083739">
        <w:rPr>
          <w:rFonts w:cs="Times New Roman"/>
          <w:noProof/>
          <w:lang w:val="sk-SK"/>
        </w:rPr>
        <w:t>pláne podpory obnovy</w:t>
      </w:r>
      <w:r w:rsidR="00083739" w:rsidRPr="00083739">
        <w:rPr>
          <w:rFonts w:cs="Times New Roman"/>
          <w:noProof/>
          <w:lang w:val="sk-SK"/>
        </w:rPr>
        <w:t xml:space="preserve"> a </w:t>
      </w:r>
      <w:r w:rsidRPr="00083739">
        <w:rPr>
          <w:rFonts w:cs="Times New Roman"/>
          <w:noProof/>
          <w:lang w:val="sk-SK"/>
        </w:rPr>
        <w:t>odolnosti</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technickým usmernením „výrazne nenarušiť“ (2021/C58/01)</w:t>
      </w:r>
      <w:r w:rsidR="00083739" w:rsidRPr="00083739">
        <w:rPr>
          <w:rFonts w:cs="Times New Roman"/>
          <w:noProof/>
          <w:lang w:val="sk-SK"/>
        </w:rPr>
        <w:t>.</w:t>
      </w:r>
    </w:p>
    <w:p w14:paraId="497CB423" w14:textId="24956011" w:rsidR="002D49B0" w:rsidRPr="00083739" w:rsidRDefault="00BF4125">
      <w:pPr>
        <w:pStyle w:val="P68B1DB1-Normal5"/>
        <w:rPr>
          <w:rFonts w:cs="Times New Roman"/>
          <w:noProof/>
          <w:lang w:val="sk-SK"/>
        </w:rPr>
      </w:pPr>
      <w:r w:rsidRPr="00083739">
        <w:rPr>
          <w:rFonts w:cs="Times New Roman"/>
          <w:noProof/>
          <w:lang w:val="sk-SK"/>
        </w:rPr>
        <w:br w:type="page"/>
      </w:r>
    </w:p>
    <w:p w14:paraId="161C0AD4" w14:textId="56A071E1" w:rsidR="002D49B0" w:rsidRPr="00083739" w:rsidRDefault="00BF4125">
      <w:pPr>
        <w:pStyle w:val="P68B1DB1-Normal5"/>
        <w:spacing w:before="120" w:after="120" w:line="240" w:lineRule="auto"/>
        <w:jc w:val="both"/>
        <w:rPr>
          <w:rFonts w:cs="Times New Roman"/>
          <w:noProof/>
          <w:lang w:val="sk-SK"/>
        </w:rPr>
      </w:pPr>
      <w:r w:rsidRPr="00083739">
        <w:rPr>
          <w:rFonts w:cs="Times New Roman"/>
          <w:noProof/>
          <w:lang w:val="sk-SK"/>
        </w:rPr>
        <w:t>Opatrenie predovšetkým</w:t>
      </w:r>
      <w:r w:rsidRPr="00083739">
        <w:rPr>
          <w:rFonts w:cs="Times New Roman"/>
          <w:noProof/>
          <w:lang w:val="sk-SK"/>
        </w:rPr>
        <w:t xml:space="preserve"> podlieha posudzovaniu vplyvov na životné prostredie (EIA) podľa smernice 2011/92/EÚ, ako aj príslušným posúdeniam</w:t>
      </w:r>
      <w:r w:rsidR="00083739" w:rsidRPr="00083739">
        <w:rPr>
          <w:rFonts w:cs="Times New Roman"/>
          <w:noProof/>
          <w:lang w:val="sk-SK"/>
        </w:rPr>
        <w:t xml:space="preserve"> v </w:t>
      </w:r>
      <w:r w:rsidRPr="00083739">
        <w:rPr>
          <w:rFonts w:cs="Times New Roman"/>
          <w:noProof/>
          <w:lang w:val="sk-SK"/>
        </w:rPr>
        <w:t>kontexte smernice 2000/60/ES</w:t>
      </w:r>
      <w:r w:rsidR="00083739" w:rsidRPr="00083739">
        <w:rPr>
          <w:rFonts w:cs="Times New Roman"/>
          <w:noProof/>
          <w:lang w:val="sk-SK"/>
        </w:rPr>
        <w:t xml:space="preserve"> a </w:t>
      </w:r>
      <w:r w:rsidRPr="00083739">
        <w:rPr>
          <w:rFonts w:cs="Times New Roman"/>
          <w:noProof/>
          <w:lang w:val="sk-SK"/>
        </w:rPr>
        <w:t xml:space="preserve">smernice 92/43/EHS vrátane vykonávania požadovaných zmierňujúcich opatrení. Realizácia investície sa ukončí </w:t>
      </w:r>
      <w:r w:rsidRPr="00083739">
        <w:rPr>
          <w:rFonts w:cs="Times New Roman"/>
          <w:noProof/>
          <w:lang w:val="sk-SK"/>
        </w:rPr>
        <w:t>do 31</w:t>
      </w:r>
      <w:r w:rsidR="00083739" w:rsidRPr="00083739">
        <w:rPr>
          <w:rFonts w:cs="Times New Roman"/>
          <w:noProof/>
          <w:lang w:val="sk-SK"/>
        </w:rPr>
        <w:t>. decembra</w:t>
      </w:r>
      <w:r w:rsidRPr="00083739">
        <w:rPr>
          <w:rFonts w:cs="Times New Roman"/>
          <w:noProof/>
          <w:lang w:val="sk-SK"/>
        </w:rPr>
        <w:t xml:space="preserve"> 2025.</w:t>
      </w:r>
    </w:p>
    <w:p w14:paraId="4CD81F70" w14:textId="77777777" w:rsidR="002D49B0" w:rsidRPr="00083739" w:rsidRDefault="00BF4125">
      <w:pPr>
        <w:pStyle w:val="P68B1DB1-Normal5"/>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Letecké prostriedky na krízové riadenie (ID opatrenia: 16911)</w:t>
      </w:r>
    </w:p>
    <w:p w14:paraId="1A3ADCEA" w14:textId="2B38A298"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Investícia zahŕňa dodanie zakúpených vzdušných prostriedkov</w:t>
      </w:r>
      <w:r w:rsidR="00083739" w:rsidRPr="00083739">
        <w:rPr>
          <w:rFonts w:cs="Times New Roman"/>
          <w:noProof/>
          <w:lang w:val="sk-SK"/>
        </w:rPr>
        <w:t xml:space="preserve"> a </w:t>
      </w:r>
      <w:r w:rsidRPr="00083739">
        <w:rPr>
          <w:rFonts w:cs="Times New Roman"/>
          <w:noProof/>
          <w:lang w:val="sk-SK"/>
        </w:rPr>
        <w:t>modernizáciu existujúcich lietadiel používaných na civilnú ochranu, napríklad vrtuľníkov na lekárs</w:t>
      </w:r>
      <w:r w:rsidRPr="00083739">
        <w:rPr>
          <w:rFonts w:cs="Times New Roman"/>
          <w:noProof/>
          <w:lang w:val="sk-SK"/>
        </w:rPr>
        <w:t>ke použitie, prepravu</w:t>
      </w:r>
      <w:r w:rsidR="00083739" w:rsidRPr="00083739">
        <w:rPr>
          <w:rFonts w:cs="Times New Roman"/>
          <w:noProof/>
          <w:lang w:val="sk-SK"/>
        </w:rPr>
        <w:t xml:space="preserve"> a </w:t>
      </w:r>
      <w:r w:rsidRPr="00083739">
        <w:rPr>
          <w:rFonts w:cs="Times New Roman"/>
          <w:noProof/>
          <w:lang w:val="sk-SK"/>
        </w:rPr>
        <w:t>zavádzanie núdzovej infraštruktúry, dronov na letecký dozor</w:t>
      </w:r>
      <w:r w:rsidR="00083739" w:rsidRPr="00083739">
        <w:rPr>
          <w:rFonts w:cs="Times New Roman"/>
          <w:noProof/>
          <w:lang w:val="sk-SK"/>
        </w:rPr>
        <w:t xml:space="preserve"> a </w:t>
      </w:r>
      <w:r w:rsidRPr="00083739">
        <w:rPr>
          <w:rFonts w:cs="Times New Roman"/>
          <w:noProof/>
          <w:lang w:val="sk-SK"/>
        </w:rPr>
        <w:t>lietadiel na hasenie požiarov. Očakáva sa, že toto opatrenie výrazne nenaruší environmentálne ciele</w:t>
      </w:r>
      <w:r w:rsidR="00083739" w:rsidRPr="00083739">
        <w:rPr>
          <w:rFonts w:cs="Times New Roman"/>
          <w:noProof/>
          <w:lang w:val="sk-SK"/>
        </w:rPr>
        <w:t xml:space="preserve"> v </w:t>
      </w:r>
      <w:r w:rsidRPr="00083739">
        <w:rPr>
          <w:rFonts w:cs="Times New Roman"/>
          <w:noProof/>
          <w:lang w:val="sk-SK"/>
        </w:rPr>
        <w:t>zmysle článku 17 nariadenia (EÚ) 2020/852, pričom sa zohľadní opis o</w:t>
      </w:r>
      <w:r w:rsidRPr="00083739">
        <w:rPr>
          <w:rFonts w:cs="Times New Roman"/>
          <w:noProof/>
          <w:lang w:val="sk-SK"/>
        </w:rPr>
        <w:t>patrenia</w:t>
      </w:r>
      <w:r w:rsidR="00083739" w:rsidRPr="00083739">
        <w:rPr>
          <w:rFonts w:cs="Times New Roman"/>
          <w:noProof/>
          <w:lang w:val="sk-SK"/>
        </w:rPr>
        <w:t xml:space="preserve"> a </w:t>
      </w:r>
      <w:r w:rsidRPr="00083739">
        <w:rPr>
          <w:rFonts w:cs="Times New Roman"/>
          <w:noProof/>
          <w:lang w:val="sk-SK"/>
        </w:rPr>
        <w:t>zmierňujúce kroky stanovené</w:t>
      </w:r>
      <w:r w:rsidR="00083739" w:rsidRPr="00083739">
        <w:rPr>
          <w:rFonts w:cs="Times New Roman"/>
          <w:noProof/>
          <w:lang w:val="sk-SK"/>
        </w:rPr>
        <w:t xml:space="preserve"> v </w:t>
      </w:r>
      <w:r w:rsidRPr="00083739">
        <w:rPr>
          <w:rFonts w:cs="Times New Roman"/>
          <w:noProof/>
          <w:lang w:val="sk-SK"/>
        </w:rPr>
        <w:t>pláne podpory obnovy</w:t>
      </w:r>
      <w:r w:rsidR="00083739" w:rsidRPr="00083739">
        <w:rPr>
          <w:rFonts w:cs="Times New Roman"/>
          <w:noProof/>
          <w:lang w:val="sk-SK"/>
        </w:rPr>
        <w:t xml:space="preserve"> a </w:t>
      </w:r>
      <w:r w:rsidRPr="00083739">
        <w:rPr>
          <w:rFonts w:cs="Times New Roman"/>
          <w:noProof/>
          <w:lang w:val="sk-SK"/>
        </w:rPr>
        <w:t>odolnosti</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technickým usmernením „výrazne nenarušiť“ (2021/C58/01). Predovšetkým všetky lietadlá na špeciálne účely musia byť „najlepšie</w:t>
      </w:r>
      <w:r w:rsidR="00083739" w:rsidRPr="00083739">
        <w:rPr>
          <w:rFonts w:cs="Times New Roman"/>
          <w:noProof/>
          <w:lang w:val="sk-SK"/>
        </w:rPr>
        <w:t xml:space="preserve"> v </w:t>
      </w:r>
      <w:r w:rsidRPr="00083739">
        <w:rPr>
          <w:rFonts w:cs="Times New Roman"/>
          <w:noProof/>
          <w:lang w:val="sk-SK"/>
        </w:rPr>
        <w:t>triede“. Realizácia investície sa ukončí do</w:t>
      </w:r>
      <w:r w:rsidRPr="00083739">
        <w:rPr>
          <w:rFonts w:cs="Times New Roman"/>
          <w:noProof/>
          <w:lang w:val="sk-SK"/>
        </w:rPr>
        <w:t xml:space="preserve"> 31</w:t>
      </w:r>
      <w:r w:rsidR="00083739" w:rsidRPr="00083739">
        <w:rPr>
          <w:rFonts w:cs="Times New Roman"/>
          <w:noProof/>
          <w:lang w:val="sk-SK"/>
        </w:rPr>
        <w:t>. decembra</w:t>
      </w:r>
      <w:r w:rsidRPr="00083739">
        <w:rPr>
          <w:rFonts w:cs="Times New Roman"/>
          <w:noProof/>
          <w:lang w:val="sk-SK"/>
        </w:rPr>
        <w:t xml:space="preserve"> 2025.</w:t>
      </w:r>
    </w:p>
    <w:p w14:paraId="5F39AC96" w14:textId="6BBB6F72"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Vybavenie na hasenie lesných požiarov, prevenciu</w:t>
      </w:r>
      <w:r w:rsidR="00083739" w:rsidRPr="00083739">
        <w:rPr>
          <w:rFonts w:cs="Times New Roman"/>
          <w:noProof/>
          <w:lang w:val="sk-SK"/>
        </w:rPr>
        <w:t xml:space="preserve"> a </w:t>
      </w:r>
      <w:r w:rsidRPr="00083739">
        <w:rPr>
          <w:rFonts w:cs="Times New Roman"/>
          <w:noProof/>
          <w:lang w:val="sk-SK"/>
        </w:rPr>
        <w:t>reakciu (ID opatrenia: 16912)</w:t>
      </w:r>
    </w:p>
    <w:p w14:paraId="429EDD72" w14:textId="5BCFD8F3" w:rsidR="002D49B0" w:rsidRPr="00083739" w:rsidRDefault="00BF4125">
      <w:pPr>
        <w:pStyle w:val="P68B1DB1-Normal4"/>
        <w:spacing w:before="120" w:after="120" w:line="240" w:lineRule="auto"/>
        <w:jc w:val="both"/>
        <w:rPr>
          <w:rFonts w:cs="Times New Roman"/>
          <w:noProof/>
          <w:szCs w:val="24"/>
          <w:lang w:val="sk-SK"/>
        </w:rPr>
      </w:pPr>
      <w:r w:rsidRPr="00083739">
        <w:rPr>
          <w:rFonts w:cs="Times New Roman"/>
          <w:noProof/>
          <w:lang w:val="sk-SK"/>
        </w:rPr>
        <w:t>Investícia zahŕňa dodávku zakúpených požiarnych motorov</w:t>
      </w:r>
      <w:r w:rsidR="00083739" w:rsidRPr="00083739">
        <w:rPr>
          <w:rFonts w:cs="Times New Roman"/>
          <w:noProof/>
          <w:lang w:val="sk-SK"/>
        </w:rPr>
        <w:t xml:space="preserve"> a </w:t>
      </w:r>
      <w:r w:rsidRPr="00083739">
        <w:rPr>
          <w:rFonts w:cs="Times New Roman"/>
          <w:noProof/>
          <w:lang w:val="sk-SK"/>
        </w:rPr>
        <w:t>iných zásahových vozidiel (vrátane personálu</w:t>
      </w:r>
      <w:r w:rsidR="00083739" w:rsidRPr="00083739">
        <w:rPr>
          <w:rFonts w:cs="Times New Roman"/>
          <w:noProof/>
          <w:lang w:val="sk-SK"/>
        </w:rPr>
        <w:t xml:space="preserve"> a </w:t>
      </w:r>
      <w:r w:rsidRPr="00083739">
        <w:rPr>
          <w:rFonts w:cs="Times New Roman"/>
          <w:noProof/>
          <w:lang w:val="sk-SK"/>
        </w:rPr>
        <w:t>vybavenia prepravujúceho vozidlá</w:t>
      </w:r>
      <w:r w:rsidR="00083739" w:rsidRPr="00083739">
        <w:rPr>
          <w:rFonts w:cs="Times New Roman"/>
          <w:noProof/>
          <w:lang w:val="sk-SK"/>
        </w:rPr>
        <w:t xml:space="preserve"> a </w:t>
      </w:r>
      <w:r w:rsidRPr="00083739">
        <w:rPr>
          <w:rFonts w:cs="Times New Roman"/>
          <w:noProof/>
          <w:lang w:val="sk-SK"/>
        </w:rPr>
        <w:t>tan</w:t>
      </w:r>
      <w:r w:rsidRPr="00083739">
        <w:rPr>
          <w:rFonts w:cs="Times New Roman"/>
          <w:noProof/>
          <w:lang w:val="sk-SK"/>
        </w:rPr>
        <w:t>kery); dodanie vozidiel pre Generálny sekretariát pre civilnú ochranu, regionálne/miestne operačné centrá civilnej ochrany</w:t>
      </w:r>
      <w:r w:rsidR="00083739" w:rsidRPr="00083739">
        <w:rPr>
          <w:rFonts w:cs="Times New Roman"/>
          <w:noProof/>
          <w:lang w:val="sk-SK"/>
        </w:rPr>
        <w:t xml:space="preserve"> a </w:t>
      </w:r>
      <w:r w:rsidRPr="00083739">
        <w:rPr>
          <w:rFonts w:cs="Times New Roman"/>
          <w:noProof/>
          <w:lang w:val="sk-SK"/>
        </w:rPr>
        <w:t>dobrovoľnícke organizácie;</w:t>
      </w:r>
      <w:r w:rsidR="00083739" w:rsidRPr="00083739">
        <w:rPr>
          <w:rFonts w:cs="Times New Roman"/>
          <w:noProof/>
          <w:lang w:val="sk-SK"/>
        </w:rPr>
        <w:t xml:space="preserve"> a </w:t>
      </w:r>
      <w:r w:rsidRPr="00083739">
        <w:rPr>
          <w:rFonts w:cs="Times New Roman"/>
          <w:noProof/>
          <w:lang w:val="sk-SK"/>
        </w:rPr>
        <w:t>stlačiteľné prenosné mosty. Realizácia investície sa ukončí do 31</w:t>
      </w:r>
      <w:r w:rsidR="00083739" w:rsidRPr="00083739">
        <w:rPr>
          <w:rFonts w:cs="Times New Roman"/>
          <w:noProof/>
          <w:lang w:val="sk-SK"/>
        </w:rPr>
        <w:t>. decembra</w:t>
      </w:r>
      <w:r w:rsidRPr="00083739">
        <w:rPr>
          <w:rFonts w:cs="Times New Roman"/>
          <w:noProof/>
          <w:lang w:val="sk-SK"/>
        </w:rPr>
        <w:t xml:space="preserve"> 2025.</w:t>
      </w:r>
    </w:p>
    <w:p w14:paraId="63A227EB" w14:textId="7777777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Ochrana </w:t>
      </w:r>
      <w:r w:rsidRPr="00083739">
        <w:rPr>
          <w:rFonts w:cs="Times New Roman"/>
          <w:noProof/>
          <w:lang w:val="sk-SK"/>
        </w:rPr>
        <w:t>biodiverzity ako hnacia sila udržateľného rastu (ID opatrenia: 16851)</w:t>
      </w:r>
    </w:p>
    <w:p w14:paraId="5EE2437A" w14:textId="003E33F7" w:rsidR="002D49B0" w:rsidRPr="00083739" w:rsidRDefault="00BF4125">
      <w:pPr>
        <w:pStyle w:val="P68B1DB1-Normal4"/>
        <w:spacing w:before="120" w:after="120" w:line="240" w:lineRule="auto"/>
        <w:jc w:val="both"/>
        <w:rPr>
          <w:rFonts w:cs="Times New Roman"/>
          <w:noProof/>
          <w:szCs w:val="24"/>
          <w:lang w:val="sk-SK"/>
        </w:rPr>
      </w:pPr>
      <w:r w:rsidRPr="00083739">
        <w:rPr>
          <w:rFonts w:cs="Times New Roman"/>
          <w:noProof/>
          <w:lang w:val="sk-SK"/>
        </w:rPr>
        <w:t xml:space="preserve"> Investícia pozostáva z: projekty na ochranu biodiverzity, vytvorenie národnej siete ciest</w:t>
      </w:r>
      <w:r w:rsidR="00083739" w:rsidRPr="00083739">
        <w:rPr>
          <w:rFonts w:cs="Times New Roman"/>
          <w:noProof/>
          <w:lang w:val="sk-SK"/>
        </w:rPr>
        <w:t xml:space="preserve"> a </w:t>
      </w:r>
      <w:r w:rsidRPr="00083739">
        <w:rPr>
          <w:rFonts w:cs="Times New Roman"/>
          <w:noProof/>
          <w:lang w:val="sk-SK"/>
        </w:rPr>
        <w:t>turistických chodníkov, zriadenie Národného múzea prírodných dejín</w:t>
      </w:r>
      <w:r w:rsidR="00083739" w:rsidRPr="00083739">
        <w:rPr>
          <w:rFonts w:cs="Times New Roman"/>
          <w:noProof/>
          <w:lang w:val="sk-SK"/>
        </w:rPr>
        <w:t xml:space="preserve"> a </w:t>
      </w:r>
      <w:r w:rsidRPr="00083739">
        <w:rPr>
          <w:rFonts w:cs="Times New Roman"/>
          <w:noProof/>
          <w:lang w:val="sk-SK"/>
        </w:rPr>
        <w:t>modernizácia Múzea príro</w:t>
      </w:r>
      <w:r w:rsidRPr="00083739">
        <w:rPr>
          <w:rFonts w:cs="Times New Roman"/>
          <w:noProof/>
          <w:lang w:val="sk-SK"/>
        </w:rPr>
        <w:t>dných dejín na Kréte, digitalizácia gréckych zbierok prírodných dejín, vytvorenie podnikovej identity pre výrobky súvisiace</w:t>
      </w:r>
      <w:r w:rsidR="00083739" w:rsidRPr="00083739">
        <w:rPr>
          <w:rFonts w:cs="Times New Roman"/>
          <w:noProof/>
          <w:lang w:val="sk-SK"/>
        </w:rPr>
        <w:t xml:space="preserve"> s </w:t>
      </w:r>
      <w:r w:rsidRPr="00083739">
        <w:rPr>
          <w:rFonts w:cs="Times New Roman"/>
          <w:noProof/>
          <w:lang w:val="sk-SK"/>
        </w:rPr>
        <w:t>gréckou prírodou, vytvorenie operačného systému na podporu plánu horizontálneho monitorovania</w:t>
      </w:r>
      <w:r w:rsidR="00083739" w:rsidRPr="00083739">
        <w:rPr>
          <w:rFonts w:cs="Times New Roman"/>
          <w:noProof/>
          <w:lang w:val="sk-SK"/>
        </w:rPr>
        <w:t xml:space="preserve"> a </w:t>
      </w:r>
      <w:r w:rsidRPr="00083739">
        <w:rPr>
          <w:rFonts w:cs="Times New Roman"/>
          <w:noProof/>
          <w:lang w:val="sk-SK"/>
        </w:rPr>
        <w:t xml:space="preserve">hliadkovacieho systému pre všetky </w:t>
      </w:r>
      <w:r w:rsidRPr="00083739">
        <w:rPr>
          <w:rFonts w:cs="Times New Roman"/>
          <w:noProof/>
          <w:lang w:val="sk-SK"/>
        </w:rPr>
        <w:t>chránené územia Grécka. Realizácia investície sa ukončí do 31</w:t>
      </w:r>
      <w:r w:rsidR="00083739" w:rsidRPr="00083739">
        <w:rPr>
          <w:rFonts w:cs="Times New Roman"/>
          <w:noProof/>
          <w:lang w:val="sk-SK"/>
        </w:rPr>
        <w:t>. decembra</w:t>
      </w:r>
      <w:r w:rsidRPr="00083739">
        <w:rPr>
          <w:rFonts w:cs="Times New Roman"/>
          <w:noProof/>
          <w:lang w:val="sk-SK"/>
        </w:rPr>
        <w:t xml:space="preserve"> 2025.</w:t>
      </w:r>
    </w:p>
    <w:p w14:paraId="294388BF" w14:textId="7777777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Infraštruktúra – zriadenie strategického národného riadenia rizika katastrof (ID opatrenia: 16909)</w:t>
      </w:r>
    </w:p>
    <w:p w14:paraId="1EE1D0AB" w14:textId="0846B7DC"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Investícia zahŕňa modernizáciu</w:t>
      </w:r>
      <w:r w:rsidR="00083739" w:rsidRPr="00083739">
        <w:rPr>
          <w:rFonts w:cs="Times New Roman"/>
          <w:noProof/>
          <w:lang w:val="sk-SK"/>
        </w:rPr>
        <w:t xml:space="preserve"> a </w:t>
      </w:r>
      <w:r w:rsidRPr="00083739">
        <w:rPr>
          <w:rFonts w:cs="Times New Roman"/>
          <w:noProof/>
          <w:lang w:val="sk-SK"/>
        </w:rPr>
        <w:t xml:space="preserve">dodávku digitálneho vybavenia pre </w:t>
      </w:r>
      <w:r w:rsidRPr="00083739">
        <w:rPr>
          <w:rFonts w:cs="Times New Roman"/>
          <w:noProof/>
          <w:lang w:val="sk-SK"/>
        </w:rPr>
        <w:t>budovy Generálneho sekretariátu civilnej ochrany</w:t>
      </w:r>
      <w:r w:rsidR="00083739" w:rsidRPr="00083739">
        <w:rPr>
          <w:rFonts w:cs="Times New Roman"/>
          <w:noProof/>
          <w:lang w:val="sk-SK"/>
        </w:rPr>
        <w:t xml:space="preserve"> a </w:t>
      </w:r>
      <w:r w:rsidRPr="00083739">
        <w:rPr>
          <w:rFonts w:cs="Times New Roman"/>
          <w:noProof/>
          <w:lang w:val="sk-SK"/>
        </w:rPr>
        <w:t>poskytovanie mobilných administratívnych centier</w:t>
      </w:r>
      <w:r w:rsidR="00083739" w:rsidRPr="00083739">
        <w:rPr>
          <w:rFonts w:cs="Times New Roman"/>
          <w:noProof/>
          <w:lang w:val="sk-SK"/>
        </w:rPr>
        <w:t xml:space="preserve"> a </w:t>
      </w:r>
      <w:r w:rsidRPr="00083739">
        <w:rPr>
          <w:rFonts w:cs="Times New Roman"/>
          <w:noProof/>
          <w:lang w:val="sk-SK"/>
        </w:rPr>
        <w:t>centier riadenia na mieste. Realizácia investície sa ukončí do 31</w:t>
      </w:r>
      <w:r w:rsidR="00083739" w:rsidRPr="00083739">
        <w:rPr>
          <w:rFonts w:cs="Times New Roman"/>
          <w:noProof/>
          <w:lang w:val="sk-SK"/>
        </w:rPr>
        <w:t>. decembra</w:t>
      </w:r>
      <w:r w:rsidRPr="00083739">
        <w:rPr>
          <w:rFonts w:cs="Times New Roman"/>
          <w:noProof/>
          <w:lang w:val="sk-SK"/>
        </w:rPr>
        <w:t xml:space="preserve"> 2025.</w:t>
      </w:r>
    </w:p>
    <w:p w14:paraId="580EFC52" w14:textId="6810B46B"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Systém monitorovania</w:t>
      </w:r>
      <w:r w:rsidR="00083739" w:rsidRPr="00083739">
        <w:rPr>
          <w:rFonts w:cs="Times New Roman"/>
          <w:noProof/>
          <w:lang w:val="sk-SK"/>
        </w:rPr>
        <w:t xml:space="preserve"> a </w:t>
      </w:r>
      <w:r w:rsidRPr="00083739">
        <w:rPr>
          <w:rFonts w:cs="Times New Roman"/>
          <w:noProof/>
          <w:lang w:val="sk-SK"/>
        </w:rPr>
        <w:t>riadenia (ID opatrenia: 16910)</w:t>
      </w:r>
    </w:p>
    <w:p w14:paraId="51F2CB93" w14:textId="00C41C93"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Invest</w:t>
      </w:r>
      <w:r w:rsidRPr="00083739">
        <w:rPr>
          <w:rFonts w:cs="Times New Roman"/>
          <w:noProof/>
          <w:lang w:val="sk-SK"/>
        </w:rPr>
        <w:t>ícia pozostáva</w:t>
      </w:r>
      <w:r w:rsidR="00083739" w:rsidRPr="00083739">
        <w:rPr>
          <w:rFonts w:cs="Times New Roman"/>
          <w:noProof/>
          <w:lang w:val="sk-SK"/>
        </w:rPr>
        <w:t xml:space="preserve"> z </w:t>
      </w:r>
      <w:r w:rsidRPr="00083739">
        <w:rPr>
          <w:rFonts w:cs="Times New Roman"/>
          <w:noProof/>
          <w:lang w:val="sk-SK"/>
        </w:rPr>
        <w:t>poskytovania digitálnej infraštruktúry pre Generálny sekretariát pre civilnú ochranu, napríklad systému monitorovania GPS, rozšírenia informačného systému „zapojenia“, systému včasného varovania, systémov hlásenia</w:t>
      </w:r>
      <w:r w:rsidR="00083739" w:rsidRPr="00083739">
        <w:rPr>
          <w:rFonts w:cs="Times New Roman"/>
          <w:noProof/>
          <w:lang w:val="sk-SK"/>
        </w:rPr>
        <w:t xml:space="preserve"> a </w:t>
      </w:r>
      <w:r w:rsidRPr="00083739">
        <w:rPr>
          <w:rFonts w:cs="Times New Roman"/>
          <w:noProof/>
          <w:lang w:val="sk-SK"/>
        </w:rPr>
        <w:t>hasenia požiaru</w:t>
      </w:r>
      <w:r w:rsidR="00083739" w:rsidRPr="00083739">
        <w:rPr>
          <w:rFonts w:cs="Times New Roman"/>
          <w:noProof/>
          <w:lang w:val="sk-SK"/>
        </w:rPr>
        <w:t xml:space="preserve"> a </w:t>
      </w:r>
      <w:r w:rsidRPr="00083739">
        <w:rPr>
          <w:rFonts w:cs="Times New Roman"/>
          <w:noProof/>
          <w:lang w:val="sk-SK"/>
        </w:rPr>
        <w:t>núdzo</w:t>
      </w:r>
      <w:r w:rsidRPr="00083739">
        <w:rPr>
          <w:rFonts w:cs="Times New Roman"/>
          <w:noProof/>
          <w:lang w:val="sk-SK"/>
        </w:rPr>
        <w:t>vých komunikačných staníc. Realizácia investície sa ukončí do 31</w:t>
      </w:r>
      <w:r w:rsidR="00083739" w:rsidRPr="00083739">
        <w:rPr>
          <w:rFonts w:cs="Times New Roman"/>
          <w:noProof/>
          <w:lang w:val="sk-SK"/>
        </w:rPr>
        <w:t>. decembra</w:t>
      </w:r>
      <w:r w:rsidRPr="00083739">
        <w:rPr>
          <w:rFonts w:cs="Times New Roman"/>
          <w:noProof/>
          <w:lang w:val="sk-SK"/>
        </w:rPr>
        <w:t xml:space="preserve"> 2025.</w:t>
      </w:r>
    </w:p>
    <w:p w14:paraId="31CFB137" w14:textId="74E218AE"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Realizácia regionálnych centier civilnej ochrany (PEKEPP) prostredníctvom programov verejno-súkromných partnerstiev (ID opatrenia: 16283)</w:t>
      </w:r>
    </w:p>
    <w:p w14:paraId="33C19881" w14:textId="68E251A2" w:rsidR="002D49B0" w:rsidRPr="00083739" w:rsidRDefault="00BF4125">
      <w:pPr>
        <w:pStyle w:val="P68B1DB1-Normal4"/>
        <w:spacing w:before="120" w:after="120" w:line="240" w:lineRule="auto"/>
        <w:jc w:val="both"/>
        <w:rPr>
          <w:rFonts w:cs="Times New Roman"/>
          <w:noProof/>
          <w:szCs w:val="24"/>
          <w:lang w:val="sk-SK"/>
        </w:rPr>
      </w:pPr>
      <w:r w:rsidRPr="00083739">
        <w:rPr>
          <w:rFonts w:cs="Times New Roman"/>
          <w:noProof/>
          <w:lang w:val="sk-SK"/>
        </w:rPr>
        <w:t xml:space="preserve">Výstavba 13 regionálnych </w:t>
      </w:r>
      <w:r w:rsidRPr="00083739">
        <w:rPr>
          <w:rFonts w:cs="Times New Roman"/>
          <w:noProof/>
          <w:lang w:val="sk-SK"/>
        </w:rPr>
        <w:t>centier civilnej ochrany prostredníctvom verejno-súkromných partnerstiev. Cieľom investície je zabezpečiť včasné</w:t>
      </w:r>
      <w:r w:rsidR="00083739" w:rsidRPr="00083739">
        <w:rPr>
          <w:rFonts w:cs="Times New Roman"/>
          <w:noProof/>
          <w:lang w:val="sk-SK"/>
        </w:rPr>
        <w:t xml:space="preserve"> a </w:t>
      </w:r>
      <w:r w:rsidRPr="00083739">
        <w:rPr>
          <w:rFonts w:cs="Times New Roman"/>
          <w:noProof/>
          <w:lang w:val="sk-SK"/>
        </w:rPr>
        <w:t>účinné riadenie rizík</w:t>
      </w:r>
      <w:r w:rsidR="00083739" w:rsidRPr="00083739">
        <w:rPr>
          <w:rFonts w:cs="Times New Roman"/>
          <w:noProof/>
          <w:lang w:val="sk-SK"/>
        </w:rPr>
        <w:t xml:space="preserve"> a </w:t>
      </w:r>
      <w:r w:rsidRPr="00083739">
        <w:rPr>
          <w:rFonts w:cs="Times New Roman"/>
          <w:noProof/>
          <w:lang w:val="sk-SK"/>
        </w:rPr>
        <w:t>kríz na regionálnej úrovni. Novovybudované budovy musia spĺňať požiadavky primárnej energie, ktoré sú aspoň</w:t>
      </w:r>
      <w:r w:rsidR="00083739" w:rsidRPr="00083739">
        <w:rPr>
          <w:rFonts w:cs="Times New Roman"/>
          <w:noProof/>
          <w:lang w:val="sk-SK"/>
        </w:rPr>
        <w:t xml:space="preserve"> o </w:t>
      </w:r>
      <w:r w:rsidRPr="00083739">
        <w:rPr>
          <w:rFonts w:cs="Times New Roman"/>
          <w:noProof/>
          <w:lang w:val="sk-SK"/>
        </w:rPr>
        <w:t>20</w:t>
      </w:r>
      <w:r w:rsidR="00083739" w:rsidRPr="00083739">
        <w:rPr>
          <w:rFonts w:cs="Times New Roman"/>
          <w:noProof/>
          <w:lang w:val="sk-SK"/>
        </w:rPr>
        <w:t> %</w:t>
      </w:r>
      <w:r w:rsidRPr="00083739">
        <w:rPr>
          <w:rFonts w:cs="Times New Roman"/>
          <w:noProof/>
          <w:lang w:val="sk-SK"/>
        </w:rPr>
        <w:t xml:space="preserve"> ni</w:t>
      </w:r>
      <w:r w:rsidRPr="00083739">
        <w:rPr>
          <w:rFonts w:cs="Times New Roman"/>
          <w:noProof/>
          <w:lang w:val="sk-SK"/>
        </w:rPr>
        <w:t>žšie ako požiadavka na budovy</w:t>
      </w:r>
      <w:r w:rsidR="00083739" w:rsidRPr="00083739">
        <w:rPr>
          <w:rFonts w:cs="Times New Roman"/>
          <w:noProof/>
          <w:lang w:val="sk-SK"/>
        </w:rPr>
        <w:t xml:space="preserve"> s </w:t>
      </w:r>
      <w:r w:rsidRPr="00083739">
        <w:rPr>
          <w:rFonts w:cs="Times New Roman"/>
          <w:noProof/>
          <w:lang w:val="sk-SK"/>
        </w:rPr>
        <w:t>takmer nulovou spotrebou energie (budova</w:t>
      </w:r>
      <w:r w:rsidR="00083739" w:rsidRPr="00083739">
        <w:rPr>
          <w:rFonts w:cs="Times New Roman"/>
          <w:noProof/>
          <w:lang w:val="sk-SK"/>
        </w:rPr>
        <w:t xml:space="preserve"> s </w:t>
      </w:r>
      <w:r w:rsidRPr="00083739">
        <w:rPr>
          <w:rFonts w:cs="Times New Roman"/>
          <w:noProof/>
          <w:lang w:val="sk-SK"/>
        </w:rPr>
        <w:t>takmer nulovou spotrebou energie, vnútroštátne smernice). Očakáva sa, že toto opatrenie výrazne nenaruší environmentálne ciele</w:t>
      </w:r>
      <w:r w:rsidR="00083739" w:rsidRPr="00083739">
        <w:rPr>
          <w:rFonts w:cs="Times New Roman"/>
          <w:noProof/>
          <w:lang w:val="sk-SK"/>
        </w:rPr>
        <w:t xml:space="preserve"> v </w:t>
      </w:r>
      <w:r w:rsidRPr="00083739">
        <w:rPr>
          <w:rFonts w:cs="Times New Roman"/>
          <w:noProof/>
          <w:lang w:val="sk-SK"/>
        </w:rPr>
        <w:t>zmysle článku 17 nariadenia (EÚ) 2020/852, pričom sa</w:t>
      </w:r>
      <w:r w:rsidRPr="00083739">
        <w:rPr>
          <w:rFonts w:cs="Times New Roman"/>
          <w:noProof/>
          <w:lang w:val="sk-SK"/>
        </w:rPr>
        <w:t xml:space="preserve"> zohľadní opis opatrenia</w:t>
      </w:r>
      <w:r w:rsidR="00083739" w:rsidRPr="00083739">
        <w:rPr>
          <w:rFonts w:cs="Times New Roman"/>
          <w:noProof/>
          <w:lang w:val="sk-SK"/>
        </w:rPr>
        <w:t xml:space="preserve"> a </w:t>
      </w:r>
      <w:r w:rsidRPr="00083739">
        <w:rPr>
          <w:rFonts w:cs="Times New Roman"/>
          <w:noProof/>
          <w:lang w:val="sk-SK"/>
        </w:rPr>
        <w:t>zmierňujúce kroky stanovené</w:t>
      </w:r>
      <w:r w:rsidR="00083739" w:rsidRPr="00083739">
        <w:rPr>
          <w:rFonts w:cs="Times New Roman"/>
          <w:noProof/>
          <w:lang w:val="sk-SK"/>
        </w:rPr>
        <w:t xml:space="preserve"> v </w:t>
      </w:r>
      <w:r w:rsidRPr="00083739">
        <w:rPr>
          <w:rFonts w:cs="Times New Roman"/>
          <w:noProof/>
          <w:lang w:val="sk-SK"/>
        </w:rPr>
        <w:t>pláne podpory obnovy</w:t>
      </w:r>
      <w:r w:rsidR="00083739" w:rsidRPr="00083739">
        <w:rPr>
          <w:rFonts w:cs="Times New Roman"/>
          <w:noProof/>
          <w:lang w:val="sk-SK"/>
        </w:rPr>
        <w:t xml:space="preserve"> a </w:t>
      </w:r>
      <w:r w:rsidRPr="00083739">
        <w:rPr>
          <w:rFonts w:cs="Times New Roman"/>
          <w:noProof/>
          <w:lang w:val="sk-SK"/>
        </w:rPr>
        <w:t>odolnosti</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technickým usmernením „výrazne nenarušiť“ (2021/C58/01). Konkrétne sa</w:t>
      </w:r>
      <w:r w:rsidR="00083739" w:rsidRPr="00083739">
        <w:rPr>
          <w:rFonts w:cs="Times New Roman"/>
          <w:noProof/>
          <w:lang w:val="sk-SK"/>
        </w:rPr>
        <w:t xml:space="preserve"> v </w:t>
      </w:r>
      <w:r w:rsidRPr="00083739">
        <w:rPr>
          <w:rFonts w:cs="Times New Roman"/>
          <w:noProof/>
          <w:lang w:val="sk-SK"/>
        </w:rPr>
        <w:t>tomto opatrení vyžaduje, aby hospodárske subjekty vykonávajúce stavebné práce zabez</w:t>
      </w:r>
      <w:r w:rsidRPr="00083739">
        <w:rPr>
          <w:rFonts w:cs="Times New Roman"/>
          <w:noProof/>
          <w:lang w:val="sk-SK"/>
        </w:rPr>
        <w:t>pečili, že najmenej 70</w:t>
      </w:r>
      <w:r w:rsidR="00083739" w:rsidRPr="00083739">
        <w:rPr>
          <w:rFonts w:cs="Times New Roman"/>
          <w:noProof/>
          <w:lang w:val="sk-SK"/>
        </w:rPr>
        <w:t> %</w:t>
      </w:r>
      <w:r w:rsidRPr="00083739">
        <w:rPr>
          <w:rFonts w:cs="Times New Roman"/>
          <w:noProof/>
          <w:lang w:val="sk-SK"/>
        </w:rPr>
        <w:t xml:space="preserve"> (hmotnosti) stavebného</w:t>
      </w:r>
      <w:r w:rsidR="00083739" w:rsidRPr="00083739">
        <w:rPr>
          <w:rFonts w:cs="Times New Roman"/>
          <w:noProof/>
          <w:lang w:val="sk-SK"/>
        </w:rPr>
        <w:t xml:space="preserve"> a </w:t>
      </w:r>
      <w:r w:rsidRPr="00083739">
        <w:rPr>
          <w:rFonts w:cs="Times New Roman"/>
          <w:noProof/>
          <w:lang w:val="sk-SK"/>
        </w:rPr>
        <w:t>demolačného odpadu, ktorý nie je nebezpečný [okrem prirodzene sa vyskytujúceho materiálu uvedeného</w:t>
      </w:r>
      <w:r w:rsidR="00083739" w:rsidRPr="00083739">
        <w:rPr>
          <w:rFonts w:cs="Times New Roman"/>
          <w:noProof/>
          <w:lang w:val="sk-SK"/>
        </w:rPr>
        <w:t xml:space="preserve"> v </w:t>
      </w:r>
      <w:r w:rsidRPr="00083739">
        <w:rPr>
          <w:rFonts w:cs="Times New Roman"/>
          <w:noProof/>
          <w:lang w:val="sk-SK"/>
        </w:rPr>
        <w:t>kategórii 17 05 04</w:t>
      </w:r>
      <w:r w:rsidR="00083739" w:rsidRPr="00083739">
        <w:rPr>
          <w:rFonts w:cs="Times New Roman"/>
          <w:noProof/>
          <w:lang w:val="sk-SK"/>
        </w:rPr>
        <w:t xml:space="preserve"> v </w:t>
      </w:r>
      <w:r w:rsidRPr="00083739">
        <w:rPr>
          <w:rFonts w:cs="Times New Roman"/>
          <w:noProof/>
          <w:lang w:val="sk-SK"/>
        </w:rPr>
        <w:t>európskom zozname odpadov vytvorenom rozhodnutím 2000/532/ES</w:t>
      </w:r>
      <w:r w:rsidR="00083739" w:rsidRPr="00083739">
        <w:rPr>
          <w:rFonts w:cs="Times New Roman"/>
          <w:noProof/>
          <w:lang w:val="sk-SK"/>
        </w:rPr>
        <w:t xml:space="preserve"> z </w:t>
      </w:r>
      <w:r w:rsidRPr="00083739">
        <w:rPr>
          <w:rFonts w:cs="Times New Roman"/>
          <w:noProof/>
          <w:lang w:val="sk-SK"/>
        </w:rPr>
        <w:t>3</w:t>
      </w:r>
      <w:r w:rsidR="00083739" w:rsidRPr="00083739">
        <w:rPr>
          <w:rFonts w:cs="Times New Roman"/>
          <w:noProof/>
          <w:lang w:val="sk-SK"/>
        </w:rPr>
        <w:t>. mája</w:t>
      </w:r>
      <w:r w:rsidRPr="00083739">
        <w:rPr>
          <w:rFonts w:cs="Times New Roman"/>
          <w:noProof/>
          <w:lang w:val="sk-SK"/>
        </w:rPr>
        <w:t xml:space="preserve"> 2000, ktorým </w:t>
      </w:r>
      <w:r w:rsidRPr="00083739">
        <w:rPr>
          <w:rFonts w:cs="Times New Roman"/>
          <w:noProof/>
          <w:lang w:val="sk-SK"/>
        </w:rPr>
        <w:t>sa nahrádza rozhodnutie 94/3/ES, ktorým sa zavádza zoznam odpadov podľa článku 1 písm. a) smernice Rady 75/442/EHS</w:t>
      </w:r>
      <w:r w:rsidR="00083739" w:rsidRPr="00083739">
        <w:rPr>
          <w:rFonts w:cs="Times New Roman"/>
          <w:noProof/>
          <w:lang w:val="sk-SK"/>
        </w:rPr>
        <w:t xml:space="preserve"> o </w:t>
      </w:r>
      <w:r w:rsidRPr="00083739">
        <w:rPr>
          <w:rFonts w:cs="Times New Roman"/>
          <w:noProof/>
          <w:lang w:val="sk-SK"/>
        </w:rPr>
        <w:t>odpade</w:t>
      </w:r>
      <w:r w:rsidR="00083739" w:rsidRPr="00083739">
        <w:rPr>
          <w:rFonts w:cs="Times New Roman"/>
          <w:noProof/>
          <w:lang w:val="sk-SK"/>
        </w:rPr>
        <w:t xml:space="preserve"> a </w:t>
      </w:r>
      <w:r w:rsidRPr="00083739">
        <w:rPr>
          <w:rFonts w:cs="Times New Roman"/>
          <w:noProof/>
          <w:lang w:val="sk-SK"/>
        </w:rPr>
        <w:t>rozhodnutia Rady 94/904/ES, ktorým sa vydáva zoznam nebezpečných odpadov podľa článku 1 ods. 4 smernice Rady 91/689/EHS</w:t>
      </w:r>
      <w:r w:rsidR="00083739" w:rsidRPr="00083739">
        <w:rPr>
          <w:rFonts w:cs="Times New Roman"/>
          <w:noProof/>
          <w:lang w:val="sk-SK"/>
        </w:rPr>
        <w:t xml:space="preserve"> o </w:t>
      </w:r>
      <w:r w:rsidRPr="00083739">
        <w:rPr>
          <w:rFonts w:cs="Times New Roman"/>
          <w:noProof/>
          <w:lang w:val="sk-SK"/>
        </w:rPr>
        <w:t>nebezpečných odpadoch [oznámeným pod číslom C(2000) 1147], vytvoreného na stavenisku sa pripraví na opätovné použitie, recykláciu</w:t>
      </w:r>
      <w:r w:rsidR="00083739" w:rsidRPr="00083739">
        <w:rPr>
          <w:rFonts w:cs="Times New Roman"/>
          <w:noProof/>
          <w:lang w:val="sk-SK"/>
        </w:rPr>
        <w:t xml:space="preserve"> a </w:t>
      </w:r>
      <w:r w:rsidRPr="00083739">
        <w:rPr>
          <w:rFonts w:cs="Times New Roman"/>
          <w:noProof/>
          <w:lang w:val="sk-SK"/>
        </w:rPr>
        <w:t>iné materiálové zhodnocovanie vrátane spätného zasypávania</w:t>
      </w:r>
      <w:r w:rsidR="00083739" w:rsidRPr="00083739">
        <w:rPr>
          <w:rFonts w:cs="Times New Roman"/>
          <w:noProof/>
          <w:lang w:val="sk-SK"/>
        </w:rPr>
        <w:t xml:space="preserve"> s </w:t>
      </w:r>
      <w:r w:rsidRPr="00083739">
        <w:rPr>
          <w:rFonts w:cs="Times New Roman"/>
          <w:noProof/>
          <w:lang w:val="sk-SK"/>
        </w:rPr>
        <w:t>použitím odpadu ako náhrady iných materiálov,</w:t>
      </w:r>
      <w:r w:rsidR="00083739" w:rsidRPr="00083739">
        <w:rPr>
          <w:rFonts w:cs="Times New Roman"/>
          <w:noProof/>
          <w:lang w:val="sk-SK"/>
        </w:rPr>
        <w:t xml:space="preserve"> a </w:t>
      </w:r>
      <w:r w:rsidRPr="00083739">
        <w:rPr>
          <w:rFonts w:cs="Times New Roman"/>
          <w:noProof/>
          <w:lang w:val="sk-SK"/>
        </w:rPr>
        <w:t>to</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h</w:t>
      </w:r>
      <w:r w:rsidRPr="00083739">
        <w:rPr>
          <w:rFonts w:cs="Times New Roman"/>
          <w:noProof/>
          <w:lang w:val="sk-SK"/>
        </w:rPr>
        <w:t>ierarchiou odpadového hospodárstva</w:t>
      </w:r>
      <w:r w:rsidR="00083739" w:rsidRPr="00083739">
        <w:rPr>
          <w:rFonts w:cs="Times New Roman"/>
          <w:noProof/>
          <w:lang w:val="sk-SK"/>
        </w:rPr>
        <w:t xml:space="preserve"> a </w:t>
      </w:r>
      <w:r w:rsidRPr="00083739">
        <w:rPr>
          <w:rFonts w:cs="Times New Roman"/>
          <w:noProof/>
          <w:lang w:val="sk-SK"/>
        </w:rPr>
        <w:t>protokolom EÚ</w:t>
      </w:r>
      <w:r w:rsidR="00083739" w:rsidRPr="00083739">
        <w:rPr>
          <w:rFonts w:cs="Times New Roman"/>
          <w:noProof/>
          <w:lang w:val="sk-SK"/>
        </w:rPr>
        <w:t xml:space="preserve"> o </w:t>
      </w:r>
      <w:r w:rsidRPr="00083739">
        <w:rPr>
          <w:rFonts w:cs="Times New Roman"/>
          <w:noProof/>
          <w:lang w:val="sk-SK"/>
        </w:rPr>
        <w:t>nakladaní so stavebným odpadom</w:t>
      </w:r>
      <w:r w:rsidR="00083739" w:rsidRPr="00083739">
        <w:rPr>
          <w:rFonts w:cs="Times New Roman"/>
          <w:noProof/>
          <w:lang w:val="sk-SK"/>
        </w:rPr>
        <w:t xml:space="preserve"> a </w:t>
      </w:r>
      <w:r w:rsidRPr="00083739">
        <w:rPr>
          <w:rFonts w:cs="Times New Roman"/>
          <w:noProof/>
          <w:lang w:val="sk-SK"/>
        </w:rPr>
        <w:t>odpadom</w:t>
      </w:r>
      <w:r w:rsidR="00083739" w:rsidRPr="00083739">
        <w:rPr>
          <w:rFonts w:cs="Times New Roman"/>
          <w:noProof/>
          <w:lang w:val="sk-SK"/>
        </w:rPr>
        <w:t xml:space="preserve"> z </w:t>
      </w:r>
      <w:r w:rsidRPr="00083739">
        <w:rPr>
          <w:rFonts w:cs="Times New Roman"/>
          <w:noProof/>
          <w:lang w:val="sk-SK"/>
        </w:rPr>
        <w:t>demolácie. Realizácia investície sa ukončí do 31</w:t>
      </w:r>
      <w:r w:rsidR="00083739" w:rsidRPr="00083739">
        <w:rPr>
          <w:rFonts w:cs="Times New Roman"/>
          <w:noProof/>
          <w:lang w:val="sk-SK"/>
        </w:rPr>
        <w:t>. decembra</w:t>
      </w:r>
      <w:r w:rsidRPr="00083739">
        <w:rPr>
          <w:rFonts w:cs="Times New Roman"/>
          <w:noProof/>
          <w:lang w:val="sk-SK"/>
        </w:rPr>
        <w:t xml:space="preserve"> 2025.</w:t>
      </w:r>
    </w:p>
    <w:p w14:paraId="25044D61" w14:textId="5ECF4DA8"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Reforma:</w:t>
      </w:r>
      <w:r w:rsidRPr="00083739">
        <w:rPr>
          <w:rFonts w:cs="Times New Roman"/>
          <w:noProof/>
          <w:lang w:val="sk-SK"/>
        </w:rPr>
        <w:t xml:space="preserve"> Zákon</w:t>
      </w:r>
      <w:r w:rsidR="00083739" w:rsidRPr="00083739">
        <w:rPr>
          <w:rFonts w:cs="Times New Roman"/>
          <w:noProof/>
          <w:lang w:val="sk-SK"/>
        </w:rPr>
        <w:t xml:space="preserve"> o </w:t>
      </w:r>
      <w:r w:rsidRPr="00083739">
        <w:rPr>
          <w:rFonts w:cs="Times New Roman"/>
          <w:noProof/>
          <w:lang w:val="sk-SK"/>
        </w:rPr>
        <w:t>nakladaní</w:t>
      </w:r>
      <w:r w:rsidR="00083739" w:rsidRPr="00083739">
        <w:rPr>
          <w:rFonts w:cs="Times New Roman"/>
          <w:noProof/>
          <w:lang w:val="sk-SK"/>
        </w:rPr>
        <w:t xml:space="preserve"> s </w:t>
      </w:r>
      <w:r w:rsidRPr="00083739">
        <w:rPr>
          <w:rFonts w:cs="Times New Roman"/>
          <w:noProof/>
          <w:lang w:val="sk-SK"/>
        </w:rPr>
        <w:t>odpadom na vykonávanie udržateľného skládkovania</w:t>
      </w:r>
      <w:r w:rsidR="00083739" w:rsidRPr="00083739">
        <w:rPr>
          <w:rFonts w:cs="Times New Roman"/>
          <w:noProof/>
          <w:lang w:val="sk-SK"/>
        </w:rPr>
        <w:t xml:space="preserve"> a </w:t>
      </w:r>
      <w:r w:rsidRPr="00083739">
        <w:rPr>
          <w:rFonts w:cs="Times New Roman"/>
          <w:noProof/>
          <w:lang w:val="sk-SK"/>
        </w:rPr>
        <w:t xml:space="preserve">recyklácie (ID </w:t>
      </w:r>
      <w:r w:rsidRPr="00083739">
        <w:rPr>
          <w:rFonts w:cs="Times New Roman"/>
          <w:noProof/>
          <w:lang w:val="sk-SK"/>
        </w:rPr>
        <w:t>opatrenia: 16772)</w:t>
      </w:r>
    </w:p>
    <w:p w14:paraId="311944C7" w14:textId="1F3D3241" w:rsidR="002D49B0" w:rsidRPr="00083739" w:rsidRDefault="00BF4125">
      <w:pPr>
        <w:pStyle w:val="P68B1DB1-Normal5"/>
        <w:spacing w:before="120" w:after="120" w:line="240" w:lineRule="auto"/>
        <w:jc w:val="both"/>
        <w:rPr>
          <w:rFonts w:cs="Times New Roman"/>
          <w:noProof/>
          <w:lang w:val="sk-SK"/>
        </w:rPr>
      </w:pPr>
      <w:r w:rsidRPr="00083739">
        <w:rPr>
          <w:rFonts w:cs="Times New Roman"/>
          <w:noProof/>
          <w:lang w:val="sk-SK"/>
        </w:rPr>
        <w:t>Táto reforma zahŕňa revíziu existujúcich právnych predpisov</w:t>
      </w:r>
      <w:r w:rsidR="00083739" w:rsidRPr="00083739">
        <w:rPr>
          <w:rFonts w:cs="Times New Roman"/>
          <w:noProof/>
          <w:lang w:val="sk-SK"/>
        </w:rPr>
        <w:t xml:space="preserve"> v </w:t>
      </w:r>
      <w:r w:rsidRPr="00083739">
        <w:rPr>
          <w:rFonts w:cs="Times New Roman"/>
          <w:noProof/>
          <w:lang w:val="sk-SK"/>
        </w:rPr>
        <w:t>oblasti odpadového hospodárstva</w:t>
      </w:r>
      <w:r w:rsidR="00083739" w:rsidRPr="00083739">
        <w:rPr>
          <w:rFonts w:cs="Times New Roman"/>
          <w:noProof/>
          <w:lang w:val="sk-SK"/>
        </w:rPr>
        <w:t xml:space="preserve"> s </w:t>
      </w:r>
      <w:r w:rsidRPr="00083739">
        <w:rPr>
          <w:rFonts w:cs="Times New Roman"/>
          <w:noProof/>
          <w:lang w:val="sk-SK"/>
        </w:rPr>
        <w:t xml:space="preserve">cieľom umožniť prechod na obehové hospodárstvo. Reformou sa zavedú najmä stimuly pre obce, aby dosiahli vyššiu mieru recyklácie, presadzovali </w:t>
      </w:r>
      <w:r w:rsidRPr="00083739">
        <w:rPr>
          <w:rFonts w:cs="Times New Roman"/>
          <w:noProof/>
          <w:lang w:val="sk-SK"/>
        </w:rPr>
        <w:t>triedený zber biologického odpadu do konca roka 2022</w:t>
      </w:r>
      <w:r w:rsidR="00083739" w:rsidRPr="00083739">
        <w:rPr>
          <w:rFonts w:cs="Times New Roman"/>
          <w:noProof/>
          <w:lang w:val="sk-SK"/>
        </w:rPr>
        <w:t xml:space="preserve"> a </w:t>
      </w:r>
      <w:r w:rsidRPr="00083739">
        <w:rPr>
          <w:rFonts w:cs="Times New Roman"/>
          <w:noProof/>
          <w:lang w:val="sk-SK"/>
        </w:rPr>
        <w:t>zberu kovov, papiera, skla</w:t>
      </w:r>
      <w:r w:rsidR="00083739" w:rsidRPr="00083739">
        <w:rPr>
          <w:rFonts w:cs="Times New Roman"/>
          <w:noProof/>
          <w:lang w:val="sk-SK"/>
        </w:rPr>
        <w:t xml:space="preserve"> a </w:t>
      </w:r>
      <w:r w:rsidRPr="00083739">
        <w:rPr>
          <w:rFonts w:cs="Times New Roman"/>
          <w:noProof/>
          <w:lang w:val="sk-SK"/>
        </w:rPr>
        <w:t>plastov, rozšírili systém zodpovednosti výrobcu, zmodernizovali prevádzku recyklačných zariadení na triedenie</w:t>
      </w:r>
      <w:r w:rsidR="00083739" w:rsidRPr="00083739">
        <w:rPr>
          <w:rFonts w:cs="Times New Roman"/>
          <w:noProof/>
          <w:lang w:val="sk-SK"/>
        </w:rPr>
        <w:t xml:space="preserve"> a </w:t>
      </w:r>
      <w:r w:rsidRPr="00083739">
        <w:rPr>
          <w:rFonts w:cs="Times New Roman"/>
          <w:noProof/>
          <w:lang w:val="sk-SK"/>
        </w:rPr>
        <w:t>zjednodušili právne predpisy týkajúce sa zelených bodov. Cie</w:t>
      </w:r>
      <w:r w:rsidRPr="00083739">
        <w:rPr>
          <w:rFonts w:cs="Times New Roman"/>
          <w:noProof/>
          <w:lang w:val="sk-SK"/>
        </w:rPr>
        <w:t>ľom reformy je podporiť dosiahnutie cieľov zvýšenia miery opätovného použitia</w:t>
      </w:r>
      <w:r w:rsidR="00083739" w:rsidRPr="00083739">
        <w:rPr>
          <w:rFonts w:cs="Times New Roman"/>
          <w:noProof/>
          <w:lang w:val="sk-SK"/>
        </w:rPr>
        <w:t xml:space="preserve"> a </w:t>
      </w:r>
      <w:r w:rsidRPr="00083739">
        <w:rPr>
          <w:rFonts w:cs="Times New Roman"/>
          <w:noProof/>
          <w:lang w:val="sk-SK"/>
        </w:rPr>
        <w:t>recyklácie tuhého komunálneho odpadu na 60</w:t>
      </w:r>
      <w:r w:rsidR="00083739" w:rsidRPr="00083739">
        <w:rPr>
          <w:rFonts w:cs="Times New Roman"/>
          <w:noProof/>
          <w:lang w:val="sk-SK"/>
        </w:rPr>
        <w:t> % a </w:t>
      </w:r>
      <w:r w:rsidRPr="00083739">
        <w:rPr>
          <w:rFonts w:cs="Times New Roman"/>
          <w:noProof/>
          <w:lang w:val="sk-SK"/>
        </w:rPr>
        <w:t>zníženia miery skládok na 10</w:t>
      </w:r>
      <w:r w:rsidR="00083739" w:rsidRPr="00083739">
        <w:rPr>
          <w:rFonts w:cs="Times New Roman"/>
          <w:noProof/>
          <w:lang w:val="sk-SK"/>
        </w:rPr>
        <w:t> %</w:t>
      </w:r>
      <w:r w:rsidRPr="00083739">
        <w:rPr>
          <w:rFonts w:cs="Times New Roman"/>
          <w:noProof/>
          <w:lang w:val="sk-SK"/>
        </w:rPr>
        <w:t xml:space="preserve"> do roku 2030. Národný regulačný orgán pre odpadové hospodárstvo, ktorý sa zriadi</w:t>
      </w:r>
      <w:r w:rsidR="00083739" w:rsidRPr="00083739">
        <w:rPr>
          <w:rFonts w:cs="Times New Roman"/>
          <w:noProof/>
          <w:lang w:val="sk-SK"/>
        </w:rPr>
        <w:t xml:space="preserve"> v </w:t>
      </w:r>
      <w:r w:rsidRPr="00083739">
        <w:rPr>
          <w:rFonts w:cs="Times New Roman"/>
          <w:noProof/>
          <w:lang w:val="sk-SK"/>
        </w:rPr>
        <w:t>súvislosti</w:t>
      </w:r>
      <w:r w:rsidR="00083739" w:rsidRPr="00083739">
        <w:rPr>
          <w:rFonts w:cs="Times New Roman"/>
          <w:noProof/>
          <w:lang w:val="sk-SK"/>
        </w:rPr>
        <w:t xml:space="preserve"> s </w:t>
      </w:r>
      <w:r w:rsidRPr="00083739">
        <w:rPr>
          <w:rFonts w:cs="Times New Roman"/>
          <w:noProof/>
          <w:lang w:val="sk-SK"/>
        </w:rPr>
        <w:t>to</w:t>
      </w:r>
      <w:r w:rsidRPr="00083739">
        <w:rPr>
          <w:rFonts w:cs="Times New Roman"/>
          <w:noProof/>
          <w:lang w:val="sk-SK"/>
        </w:rPr>
        <w:t>uto reformou, je okrem iného zodpovedný za zabezpečenie spoľahlivosti cenovej politiky, dohľad nad vykonávaním odpadového hospodárstva</w:t>
      </w:r>
      <w:r w:rsidR="00083739" w:rsidRPr="00083739">
        <w:rPr>
          <w:rFonts w:cs="Times New Roman"/>
          <w:noProof/>
          <w:lang w:val="sk-SK"/>
        </w:rPr>
        <w:t xml:space="preserve"> v </w:t>
      </w:r>
      <w:r w:rsidRPr="00083739">
        <w:rPr>
          <w:rFonts w:cs="Times New Roman"/>
          <w:noProof/>
          <w:lang w:val="sk-SK"/>
        </w:rPr>
        <w:t>celej krajine</w:t>
      </w:r>
      <w:r w:rsidR="00083739" w:rsidRPr="00083739">
        <w:rPr>
          <w:rFonts w:cs="Times New Roman"/>
          <w:noProof/>
          <w:lang w:val="sk-SK"/>
        </w:rPr>
        <w:t xml:space="preserve"> a </w:t>
      </w:r>
      <w:r w:rsidRPr="00083739">
        <w:rPr>
          <w:rFonts w:cs="Times New Roman"/>
          <w:noProof/>
          <w:lang w:val="sk-SK"/>
        </w:rPr>
        <w:t>dohľad nad riadnym fungovaním regionálnych</w:t>
      </w:r>
      <w:r w:rsidR="00083739" w:rsidRPr="00083739">
        <w:rPr>
          <w:rFonts w:cs="Times New Roman"/>
          <w:noProof/>
          <w:lang w:val="sk-SK"/>
        </w:rPr>
        <w:t xml:space="preserve"> a </w:t>
      </w:r>
      <w:r w:rsidRPr="00083739">
        <w:rPr>
          <w:rFonts w:cs="Times New Roman"/>
          <w:noProof/>
          <w:lang w:val="sk-SK"/>
        </w:rPr>
        <w:t>miestnych zariadení na nakladanie</w:t>
      </w:r>
      <w:r w:rsidR="00083739" w:rsidRPr="00083739">
        <w:rPr>
          <w:rFonts w:cs="Times New Roman"/>
          <w:noProof/>
          <w:lang w:val="sk-SK"/>
        </w:rPr>
        <w:t xml:space="preserve"> s </w:t>
      </w:r>
      <w:r w:rsidRPr="00083739">
        <w:rPr>
          <w:rFonts w:cs="Times New Roman"/>
          <w:noProof/>
          <w:lang w:val="sk-SK"/>
        </w:rPr>
        <w:t>odpadom. Implementácia</w:t>
      </w:r>
      <w:r w:rsidRPr="00083739">
        <w:rPr>
          <w:rFonts w:cs="Times New Roman"/>
          <w:noProof/>
          <w:lang w:val="sk-SK"/>
        </w:rPr>
        <w:t xml:space="preserve"> tejto reformy sa dokončí do 31</w:t>
      </w:r>
      <w:r w:rsidR="00083739" w:rsidRPr="00083739">
        <w:rPr>
          <w:rFonts w:cs="Times New Roman"/>
          <w:noProof/>
          <w:lang w:val="sk-SK"/>
        </w:rPr>
        <w:t>. decembra</w:t>
      </w:r>
      <w:r w:rsidRPr="00083739">
        <w:rPr>
          <w:rFonts w:cs="Times New Roman"/>
          <w:noProof/>
          <w:lang w:val="sk-SK"/>
        </w:rPr>
        <w:t xml:space="preserve"> 2025.</w:t>
      </w:r>
    </w:p>
    <w:p w14:paraId="31704529" w14:textId="1257177E"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Reforma:</w:t>
      </w:r>
      <w:r w:rsidRPr="00083739">
        <w:rPr>
          <w:rFonts w:cs="Times New Roman"/>
          <w:noProof/>
          <w:lang w:val="sk-SK"/>
        </w:rPr>
        <w:t xml:space="preserve"> Zriadenie nového regulačného orgánu pre vodu</w:t>
      </w:r>
      <w:r w:rsidR="00083739" w:rsidRPr="00083739">
        <w:rPr>
          <w:rFonts w:cs="Times New Roman"/>
          <w:noProof/>
          <w:lang w:val="sk-SK"/>
        </w:rPr>
        <w:t xml:space="preserve"> a </w:t>
      </w:r>
      <w:r w:rsidRPr="00083739">
        <w:rPr>
          <w:rFonts w:cs="Times New Roman"/>
          <w:noProof/>
          <w:lang w:val="sk-SK"/>
        </w:rPr>
        <w:t>odpadovú vodu (ID opatrenia: 16979)</w:t>
      </w:r>
    </w:p>
    <w:p w14:paraId="3B19F895" w14:textId="3F1E8BC5" w:rsidR="002D49B0" w:rsidRPr="00083739" w:rsidRDefault="00BF4125">
      <w:pPr>
        <w:pStyle w:val="P68B1DB1-Normal5"/>
        <w:spacing w:before="120" w:after="120" w:line="240" w:lineRule="auto"/>
        <w:jc w:val="both"/>
        <w:rPr>
          <w:rFonts w:cs="Times New Roman"/>
          <w:noProof/>
          <w:lang w:val="sk-SK"/>
        </w:rPr>
      </w:pPr>
      <w:r w:rsidRPr="00083739">
        <w:rPr>
          <w:rFonts w:cs="Times New Roman"/>
          <w:noProof/>
          <w:lang w:val="sk-SK"/>
        </w:rPr>
        <w:t>Reformou sa zriadi jeden orgán, Národný vodný regulačný orgán (NWRA), zodpovedný za vykonávanie politiky racionálneh</w:t>
      </w:r>
      <w:r w:rsidRPr="00083739">
        <w:rPr>
          <w:rFonts w:cs="Times New Roman"/>
          <w:noProof/>
          <w:lang w:val="sk-SK"/>
        </w:rPr>
        <w:t>o hospodárenia</w:t>
      </w:r>
      <w:r w:rsidR="00083739" w:rsidRPr="00083739">
        <w:rPr>
          <w:rFonts w:cs="Times New Roman"/>
          <w:noProof/>
          <w:lang w:val="sk-SK"/>
        </w:rPr>
        <w:t xml:space="preserve"> s </w:t>
      </w:r>
      <w:r w:rsidRPr="00083739">
        <w:rPr>
          <w:rFonts w:cs="Times New Roman"/>
          <w:noProof/>
          <w:lang w:val="sk-SK"/>
        </w:rPr>
        <w:t>vodnými zdrojmi, ktorú navrhlo ministerstvo životného prostredia</w:t>
      </w:r>
      <w:r w:rsidR="00083739" w:rsidRPr="00083739">
        <w:rPr>
          <w:rFonts w:cs="Times New Roman"/>
          <w:noProof/>
          <w:lang w:val="sk-SK"/>
        </w:rPr>
        <w:t xml:space="preserve"> a </w:t>
      </w:r>
      <w:r w:rsidRPr="00083739">
        <w:rPr>
          <w:rFonts w:cs="Times New Roman"/>
          <w:noProof/>
          <w:lang w:val="sk-SK"/>
        </w:rPr>
        <w:t>energetiky. Nový orgán posilní inštitucionálny rámec</w:t>
      </w:r>
      <w:r w:rsidR="00083739" w:rsidRPr="00083739">
        <w:rPr>
          <w:rFonts w:cs="Times New Roman"/>
          <w:noProof/>
          <w:lang w:val="sk-SK"/>
        </w:rPr>
        <w:t xml:space="preserve"> a </w:t>
      </w:r>
      <w:r w:rsidRPr="00083739">
        <w:rPr>
          <w:rFonts w:cs="Times New Roman"/>
          <w:noProof/>
          <w:lang w:val="sk-SK"/>
        </w:rPr>
        <w:t>dohliada na sektor vrátane racionalizácie politiky taríf za vodu</w:t>
      </w:r>
      <w:r w:rsidR="00083739" w:rsidRPr="00083739">
        <w:rPr>
          <w:rFonts w:cs="Times New Roman"/>
          <w:noProof/>
          <w:lang w:val="sk-SK"/>
        </w:rPr>
        <w:t xml:space="preserve"> v </w:t>
      </w:r>
      <w:r w:rsidRPr="00083739">
        <w:rPr>
          <w:rFonts w:cs="Times New Roman"/>
          <w:noProof/>
          <w:lang w:val="sk-SK"/>
        </w:rPr>
        <w:t>súlade so zásadou „znečisťovateľ platí“</w:t>
      </w:r>
      <w:r w:rsidR="00083739" w:rsidRPr="00083739">
        <w:rPr>
          <w:rFonts w:cs="Times New Roman"/>
          <w:noProof/>
          <w:lang w:val="sk-SK"/>
        </w:rPr>
        <w:t xml:space="preserve"> a </w:t>
      </w:r>
      <w:r w:rsidRPr="00083739">
        <w:rPr>
          <w:rFonts w:cs="Times New Roman"/>
          <w:noProof/>
          <w:lang w:val="sk-SK"/>
        </w:rPr>
        <w:t>zabezpeč</w:t>
      </w:r>
      <w:r w:rsidRPr="00083739">
        <w:rPr>
          <w:rFonts w:cs="Times New Roman"/>
          <w:noProof/>
          <w:lang w:val="sk-SK"/>
        </w:rPr>
        <w:t>enia udržateľnosti vodohospodárskych služieb</w:t>
      </w:r>
      <w:r w:rsidR="00083739" w:rsidRPr="00083739">
        <w:rPr>
          <w:rFonts w:cs="Times New Roman"/>
          <w:noProof/>
          <w:lang w:val="sk-SK"/>
        </w:rPr>
        <w:t xml:space="preserve"> v </w:t>
      </w:r>
      <w:r w:rsidRPr="00083739">
        <w:rPr>
          <w:rFonts w:cs="Times New Roman"/>
          <w:noProof/>
          <w:lang w:val="sk-SK"/>
        </w:rPr>
        <w:t>Grécku. Implementácia reformy sa dokončí do 31</w:t>
      </w:r>
      <w:r w:rsidR="00083739" w:rsidRPr="00083739">
        <w:rPr>
          <w:rFonts w:cs="Times New Roman"/>
          <w:noProof/>
          <w:lang w:val="sk-SK"/>
        </w:rPr>
        <w:t>. decembra</w:t>
      </w:r>
      <w:r w:rsidRPr="00083739">
        <w:rPr>
          <w:rFonts w:cs="Times New Roman"/>
          <w:noProof/>
          <w:lang w:val="sk-SK"/>
        </w:rPr>
        <w:t xml:space="preserve"> 2023.</w:t>
      </w:r>
    </w:p>
    <w:p w14:paraId="6E6238EE" w14:textId="77777777" w:rsidR="002D49B0" w:rsidRPr="00083739" w:rsidRDefault="00BF4125">
      <w:pPr>
        <w:pStyle w:val="P68B1DB1-Normal4"/>
        <w:spacing w:before="120" w:after="120" w:line="240" w:lineRule="auto"/>
        <w:jc w:val="both"/>
        <w:rPr>
          <w:rFonts w:cs="Times New Roman"/>
          <w:noProof/>
          <w:szCs w:val="24"/>
          <w:lang w:val="sk-SK"/>
        </w:rPr>
      </w:pPr>
      <w:r w:rsidRPr="00083739">
        <w:rPr>
          <w:rFonts w:cs="Times New Roman"/>
          <w:b/>
          <w:noProof/>
          <w:lang w:val="sk-SK"/>
        </w:rPr>
        <w:t>Investície:</w:t>
      </w:r>
      <w:r w:rsidRPr="00083739">
        <w:rPr>
          <w:rFonts w:cs="Times New Roman"/>
          <w:noProof/>
          <w:lang w:val="sk-SK"/>
        </w:rPr>
        <w:t xml:space="preserve"> Predbežná kontrola seizmickej odolnosti budov (ID opatrenia: 16983)</w:t>
      </w:r>
    </w:p>
    <w:p w14:paraId="6F08CBCE" w14:textId="3311A995" w:rsidR="002D49B0" w:rsidRPr="00083739" w:rsidRDefault="00BF4125">
      <w:pPr>
        <w:pStyle w:val="P68B1DB1-Normal4"/>
        <w:spacing w:before="120" w:after="120" w:line="240" w:lineRule="auto"/>
        <w:jc w:val="both"/>
        <w:rPr>
          <w:rFonts w:cs="Times New Roman"/>
          <w:noProof/>
          <w:lang w:val="sk-SK"/>
        </w:rPr>
        <w:sectPr w:rsidR="002D49B0" w:rsidRPr="00083739" w:rsidSect="00271D33">
          <w:headerReference w:type="even" r:id="rId79"/>
          <w:headerReference w:type="default" r:id="rId80"/>
          <w:footerReference w:type="even" r:id="rId81"/>
          <w:footerReference w:type="default" r:id="rId82"/>
          <w:headerReference w:type="first" r:id="rId83"/>
          <w:footerReference w:type="first" r:id="rId84"/>
          <w:pgSz w:w="11907" w:h="16839"/>
          <w:pgMar w:top="1134" w:right="1418" w:bottom="1134" w:left="1418" w:header="709" w:footer="327" w:gutter="0"/>
          <w:cols w:space="720"/>
          <w:docGrid w:linePitch="360"/>
        </w:sectPr>
      </w:pPr>
      <w:r w:rsidRPr="00083739">
        <w:rPr>
          <w:rFonts w:cs="Times New Roman"/>
          <w:noProof/>
          <w:lang w:val="sk-SK"/>
        </w:rPr>
        <w:t>Investícia zahŕňa hodnotenie seizmického rizika rôznych kritických budov (vrátane vzdelávacích budov, nemocníc</w:t>
      </w:r>
      <w:r w:rsidR="00083739" w:rsidRPr="00083739">
        <w:rPr>
          <w:rFonts w:cs="Times New Roman"/>
          <w:noProof/>
          <w:lang w:val="sk-SK"/>
        </w:rPr>
        <w:t xml:space="preserve"> a </w:t>
      </w:r>
      <w:r w:rsidRPr="00083739">
        <w:rPr>
          <w:rFonts w:cs="Times New Roman"/>
          <w:noProof/>
          <w:lang w:val="sk-SK"/>
        </w:rPr>
        <w:t>zdravotných stredísk, policajných oddelení, hasičských staníc)</w:t>
      </w:r>
      <w:r w:rsidR="00083739" w:rsidRPr="00083739">
        <w:rPr>
          <w:rFonts w:cs="Times New Roman"/>
          <w:noProof/>
          <w:lang w:val="sk-SK"/>
        </w:rPr>
        <w:t xml:space="preserve"> v </w:t>
      </w:r>
      <w:r w:rsidRPr="00083739">
        <w:rPr>
          <w:rFonts w:cs="Times New Roman"/>
          <w:noProof/>
          <w:lang w:val="sk-SK"/>
        </w:rPr>
        <w:t>krajine</w:t>
      </w:r>
      <w:r w:rsidR="00083739" w:rsidRPr="00083739">
        <w:rPr>
          <w:rFonts w:cs="Times New Roman"/>
          <w:noProof/>
          <w:lang w:val="sk-SK"/>
        </w:rPr>
        <w:t xml:space="preserve"> s </w:t>
      </w:r>
      <w:r w:rsidRPr="00083739">
        <w:rPr>
          <w:rFonts w:cs="Times New Roman"/>
          <w:noProof/>
          <w:lang w:val="sk-SK"/>
        </w:rPr>
        <w:t>cieľom posúdiť ich odolnosť voči zemetraseniu. Uskutočňuje sa to pro</w:t>
      </w:r>
      <w:r w:rsidRPr="00083739">
        <w:rPr>
          <w:rFonts w:cs="Times New Roman"/>
          <w:noProof/>
          <w:lang w:val="sk-SK"/>
        </w:rPr>
        <w:t>stredníctvom rýchlej vizuálnej inšpekcie (RVI), ktorú vykonávajú audítori civilných inžinierov.  Vytvorí sa doplnkový online systém na registráciu základných údajov</w:t>
      </w:r>
      <w:r w:rsidR="00083739" w:rsidRPr="00083739">
        <w:rPr>
          <w:rFonts w:cs="Times New Roman"/>
          <w:noProof/>
          <w:lang w:val="sk-SK"/>
        </w:rPr>
        <w:t xml:space="preserve"> o </w:t>
      </w:r>
      <w:r w:rsidRPr="00083739">
        <w:rPr>
          <w:rFonts w:cs="Times New Roman"/>
          <w:noProof/>
          <w:lang w:val="sk-SK"/>
        </w:rPr>
        <w:t xml:space="preserve">budovách do hlavného cloudového úložiska RVI pred zemetrasením. Implementácia investície </w:t>
      </w:r>
      <w:r w:rsidRPr="00083739">
        <w:rPr>
          <w:rFonts w:cs="Times New Roman"/>
          <w:noProof/>
          <w:lang w:val="sk-SK"/>
        </w:rPr>
        <w:t>sa dokončí do 31</w:t>
      </w:r>
      <w:r w:rsidR="00083739" w:rsidRPr="00083739">
        <w:rPr>
          <w:rFonts w:cs="Times New Roman"/>
          <w:noProof/>
          <w:lang w:val="sk-SK"/>
        </w:rPr>
        <w:t>. marca</w:t>
      </w:r>
      <w:r w:rsidRPr="00083739">
        <w:rPr>
          <w:rFonts w:cs="Times New Roman"/>
          <w:noProof/>
          <w:lang w:val="sk-SK"/>
        </w:rPr>
        <w:t xml:space="preserve"> 2025.</w:t>
      </w:r>
    </w:p>
    <w:p w14:paraId="3F7F94BF" w14:textId="0BB6C6E4" w:rsidR="002D49B0" w:rsidRPr="00083739" w:rsidRDefault="00BF4125">
      <w:pPr>
        <w:keepNext/>
        <w:keepLines/>
        <w:spacing w:before="40" w:after="0" w:line="240" w:lineRule="auto"/>
        <w:jc w:val="both"/>
        <w:outlineLvl w:val="4"/>
        <w:rPr>
          <w:rFonts w:ascii="Times New Roman" w:hAnsi="Times New Roman" w:cs="Times New Roman"/>
          <w:b/>
          <w:bCs/>
          <w:noProof/>
          <w:sz w:val="24"/>
          <w:u w:val="single"/>
          <w:lang w:val="sk-SK"/>
        </w:rPr>
      </w:pPr>
      <w:r w:rsidRPr="00083739">
        <w:rPr>
          <w:rFonts w:ascii="Times New Roman" w:hAnsi="Times New Roman" w:cs="Times New Roman"/>
          <w:b/>
          <w:noProof/>
          <w:sz w:val="24"/>
          <w:u w:val="single"/>
          <w:lang w:val="sk-SK"/>
        </w:rPr>
        <w:t xml:space="preserve">D.2. </w:t>
      </w:r>
      <w:r w:rsidRPr="00083739">
        <w:rPr>
          <w:rFonts w:ascii="Times New Roman" w:hAnsi="Times New Roman" w:cs="Times New Roman"/>
          <w:noProof/>
          <w:lang w:val="sk-SK"/>
        </w:rPr>
        <w:t xml:space="preserve"> </w:t>
      </w:r>
      <w:r w:rsidRPr="00083739">
        <w:rPr>
          <w:rFonts w:ascii="Times New Roman" w:hAnsi="Times New Roman" w:cs="Times New Roman"/>
          <w:b/>
          <w:noProof/>
          <w:sz w:val="24"/>
          <w:u w:val="single"/>
          <w:lang w:val="sk-SK"/>
        </w:rPr>
        <w:t>Míľniky, ciele, ukazovatele</w:t>
      </w:r>
      <w:r w:rsidR="00083739" w:rsidRPr="00083739">
        <w:rPr>
          <w:rFonts w:ascii="Times New Roman" w:hAnsi="Times New Roman" w:cs="Times New Roman"/>
          <w:b/>
          <w:noProof/>
          <w:sz w:val="24"/>
          <w:u w:val="single"/>
          <w:lang w:val="sk-SK"/>
        </w:rPr>
        <w:t xml:space="preserve"> a </w:t>
      </w:r>
      <w:r w:rsidRPr="00083739">
        <w:rPr>
          <w:rFonts w:ascii="Times New Roman" w:hAnsi="Times New Roman" w:cs="Times New Roman"/>
          <w:b/>
          <w:noProof/>
          <w:sz w:val="24"/>
          <w:u w:val="single"/>
          <w:lang w:val="sk-SK"/>
        </w:rPr>
        <w:t>harmonogram monitorovania</w:t>
      </w:r>
      <w:r w:rsidR="00083739" w:rsidRPr="00083739">
        <w:rPr>
          <w:rFonts w:ascii="Times New Roman" w:hAnsi="Times New Roman" w:cs="Times New Roman"/>
          <w:b/>
          <w:noProof/>
          <w:sz w:val="24"/>
          <w:u w:val="single"/>
          <w:lang w:val="sk-SK"/>
        </w:rPr>
        <w:t xml:space="preserve"> a </w:t>
      </w:r>
      <w:r w:rsidRPr="00083739">
        <w:rPr>
          <w:rFonts w:ascii="Times New Roman" w:hAnsi="Times New Roman" w:cs="Times New Roman"/>
          <w:b/>
          <w:noProof/>
          <w:sz w:val="24"/>
          <w:u w:val="single"/>
          <w:lang w:val="sk-SK"/>
        </w:rPr>
        <w:t>realizácie pre nenávratnú finančnú podporu</w:t>
      </w:r>
    </w:p>
    <w:p w14:paraId="1C7A476B" w14:textId="77777777" w:rsidR="002D49B0" w:rsidRPr="00083739" w:rsidRDefault="002D49B0">
      <w:pPr>
        <w:rPr>
          <w:rFonts w:ascii="Times New Roman" w:hAnsi="Times New Roman" w:cs="Times New Roman"/>
          <w:noProof/>
          <w:lang w:val="sk-SK"/>
        </w:rPr>
      </w:pPr>
    </w:p>
    <w:p w14:paraId="1A129A28" w14:textId="4B2D503E" w:rsidR="002D49B0" w:rsidRPr="00083739" w:rsidRDefault="00BF4125">
      <w:pPr>
        <w:pStyle w:val="P68B1DB1-Normal6"/>
        <w:keepNext/>
        <w:keepLines/>
        <w:spacing w:before="40" w:after="0" w:line="240" w:lineRule="auto"/>
        <w:jc w:val="both"/>
        <w:outlineLvl w:val="4"/>
        <w:rPr>
          <w:rFonts w:ascii="Times New Roman" w:eastAsia="Times New Roman" w:hAnsi="Times New Roman" w:cs="Times New Roman"/>
          <w:noProof/>
          <w:lang w:val="sk-SK"/>
        </w:rPr>
      </w:pPr>
      <w:r w:rsidRPr="00083739">
        <w:rPr>
          <w:rFonts w:ascii="Times New Roman" w:hAnsi="Times New Roman" w:cs="Times New Roman"/>
          <w:noProof/>
          <w:lang w:val="sk-SK"/>
        </w:rPr>
        <w:t>Kľúčová reforma 4: Odpadové hospodárstvo</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reforma vodného hospodárstva</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záujme udržateľného využívania zdrojov</w:t>
      </w:r>
    </w:p>
    <w:tbl>
      <w:tblPr>
        <w:tblpPr w:leftFromText="180" w:rightFromText="180" w:vertAnchor="text" w:tblpXSpec="center" w:tblpY="1"/>
        <w:tblOverlap w:val="never"/>
        <w:tblW w:w="15759" w:type="dxa"/>
        <w:tblLayout w:type="fixed"/>
        <w:tblLook w:val="04A0" w:firstRow="1" w:lastRow="0" w:firstColumn="1" w:lastColumn="0" w:noHBand="0" w:noVBand="1"/>
      </w:tblPr>
      <w:tblGrid>
        <w:gridCol w:w="1027"/>
        <w:gridCol w:w="1797"/>
        <w:gridCol w:w="966"/>
        <w:gridCol w:w="1190"/>
        <w:gridCol w:w="1468"/>
        <w:gridCol w:w="1031"/>
        <w:gridCol w:w="857"/>
        <w:gridCol w:w="844"/>
        <w:gridCol w:w="851"/>
        <w:gridCol w:w="709"/>
        <w:gridCol w:w="5019"/>
      </w:tblGrid>
      <w:tr w:rsidR="002D49B0" w:rsidRPr="00083739" w14:paraId="369BBE76" w14:textId="77777777">
        <w:trPr>
          <w:trHeight w:val="927"/>
          <w:tblHeader/>
        </w:trPr>
        <w:tc>
          <w:tcPr>
            <w:tcW w:w="102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6B0B28B"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Porad</w:t>
            </w:r>
            <w:r w:rsidRPr="00083739">
              <w:rPr>
                <w:rFonts w:cs="Times New Roman"/>
                <w:noProof/>
                <w:lang w:val="sk-SK"/>
              </w:rPr>
              <w:t>ové číslo</w:t>
            </w:r>
          </w:p>
        </w:tc>
        <w:tc>
          <w:tcPr>
            <w:tcW w:w="179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3BE594F"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Súvisiace opatrenie (reforma alebo investícia)</w:t>
            </w:r>
          </w:p>
        </w:tc>
        <w:tc>
          <w:tcPr>
            <w:tcW w:w="96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8750B3C"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Míľnik/cieľ</w:t>
            </w:r>
          </w:p>
        </w:tc>
        <w:tc>
          <w:tcPr>
            <w:tcW w:w="1190" w:type="dxa"/>
            <w:vMerge w:val="restart"/>
            <w:tcBorders>
              <w:top w:val="single" w:sz="4" w:space="0" w:color="auto"/>
              <w:left w:val="nil"/>
              <w:bottom w:val="single" w:sz="4" w:space="0" w:color="auto"/>
              <w:right w:val="single" w:sz="4" w:space="0" w:color="auto"/>
            </w:tcBorders>
            <w:shd w:val="clear" w:color="auto" w:fill="BDD7EE"/>
            <w:vAlign w:val="center"/>
            <w:hideMark/>
          </w:tcPr>
          <w:p w14:paraId="4D3CC6FA"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Názov</w:t>
            </w:r>
          </w:p>
        </w:tc>
        <w:tc>
          <w:tcPr>
            <w:tcW w:w="146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FAA37EB"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Kvalitatívne ukazovatele (pre míľniky)</w:t>
            </w:r>
          </w:p>
        </w:tc>
        <w:tc>
          <w:tcPr>
            <w:tcW w:w="2732" w:type="dxa"/>
            <w:gridSpan w:val="3"/>
            <w:tcBorders>
              <w:top w:val="single" w:sz="4" w:space="0" w:color="auto"/>
              <w:left w:val="nil"/>
              <w:bottom w:val="single" w:sz="4" w:space="0" w:color="auto"/>
              <w:right w:val="single" w:sz="4" w:space="0" w:color="auto"/>
            </w:tcBorders>
            <w:shd w:val="clear" w:color="auto" w:fill="BDD7EE"/>
            <w:vAlign w:val="center"/>
            <w:hideMark/>
          </w:tcPr>
          <w:p w14:paraId="302FF6B5"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Kvantitatívne ukazovatele (pre ciele)</w:t>
            </w:r>
          </w:p>
        </w:tc>
        <w:tc>
          <w:tcPr>
            <w:tcW w:w="1560" w:type="dxa"/>
            <w:gridSpan w:val="2"/>
            <w:tcBorders>
              <w:top w:val="single" w:sz="4" w:space="0" w:color="auto"/>
              <w:left w:val="nil"/>
              <w:bottom w:val="single" w:sz="4" w:space="0" w:color="auto"/>
              <w:right w:val="single" w:sz="4" w:space="0" w:color="auto"/>
            </w:tcBorders>
            <w:shd w:val="clear" w:color="auto" w:fill="BDD7EE"/>
            <w:vAlign w:val="center"/>
            <w:hideMark/>
          </w:tcPr>
          <w:p w14:paraId="3B184A68"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Orientačný harmonogram dokončenia </w:t>
            </w:r>
          </w:p>
        </w:tc>
        <w:tc>
          <w:tcPr>
            <w:tcW w:w="501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DEB4AA7" w14:textId="66EADC6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Opis každého míľnika</w:t>
            </w:r>
            <w:r w:rsidR="00083739" w:rsidRPr="00083739">
              <w:rPr>
                <w:rFonts w:cs="Times New Roman"/>
                <w:noProof/>
                <w:lang w:val="sk-SK"/>
              </w:rPr>
              <w:t xml:space="preserve"> a </w:t>
            </w:r>
            <w:r w:rsidRPr="00083739">
              <w:rPr>
                <w:rFonts w:cs="Times New Roman"/>
                <w:noProof/>
                <w:lang w:val="sk-SK"/>
              </w:rPr>
              <w:t>cieľa</w:t>
            </w:r>
          </w:p>
        </w:tc>
      </w:tr>
      <w:tr w:rsidR="002D49B0" w:rsidRPr="00083739" w14:paraId="59D133E4" w14:textId="77777777">
        <w:trPr>
          <w:trHeight w:val="619"/>
          <w:tblHeader/>
        </w:trPr>
        <w:tc>
          <w:tcPr>
            <w:tcW w:w="1027" w:type="dxa"/>
            <w:vMerge/>
            <w:tcBorders>
              <w:top w:val="single" w:sz="4" w:space="0" w:color="auto"/>
              <w:left w:val="single" w:sz="4" w:space="0" w:color="auto"/>
              <w:bottom w:val="single" w:sz="4" w:space="0" w:color="auto"/>
              <w:right w:val="single" w:sz="4" w:space="0" w:color="auto"/>
            </w:tcBorders>
            <w:vAlign w:val="center"/>
            <w:hideMark/>
          </w:tcPr>
          <w:p w14:paraId="0FE68DE3"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797" w:type="dxa"/>
            <w:vMerge/>
            <w:tcBorders>
              <w:top w:val="single" w:sz="4" w:space="0" w:color="auto"/>
              <w:left w:val="single" w:sz="4" w:space="0" w:color="auto"/>
              <w:bottom w:val="single" w:sz="4" w:space="0" w:color="auto"/>
              <w:right w:val="single" w:sz="4" w:space="0" w:color="auto"/>
            </w:tcBorders>
            <w:vAlign w:val="center"/>
            <w:hideMark/>
          </w:tcPr>
          <w:p w14:paraId="1ADDE8DA"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966" w:type="dxa"/>
            <w:vMerge/>
            <w:tcBorders>
              <w:top w:val="single" w:sz="4" w:space="0" w:color="auto"/>
              <w:left w:val="single" w:sz="4" w:space="0" w:color="auto"/>
              <w:bottom w:val="single" w:sz="4" w:space="0" w:color="auto"/>
              <w:right w:val="single" w:sz="4" w:space="0" w:color="auto"/>
            </w:tcBorders>
            <w:vAlign w:val="center"/>
            <w:hideMark/>
          </w:tcPr>
          <w:p w14:paraId="4E3AAD30"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190" w:type="dxa"/>
            <w:vMerge/>
            <w:tcBorders>
              <w:top w:val="single" w:sz="4" w:space="0" w:color="auto"/>
              <w:left w:val="single" w:sz="4" w:space="0" w:color="auto"/>
              <w:bottom w:val="single" w:sz="4" w:space="0" w:color="auto"/>
              <w:right w:val="single" w:sz="4" w:space="0" w:color="auto"/>
            </w:tcBorders>
            <w:vAlign w:val="center"/>
            <w:hideMark/>
          </w:tcPr>
          <w:p w14:paraId="3C12FAE8"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468" w:type="dxa"/>
            <w:vMerge/>
            <w:tcBorders>
              <w:top w:val="single" w:sz="4" w:space="0" w:color="auto"/>
              <w:left w:val="single" w:sz="4" w:space="0" w:color="auto"/>
              <w:bottom w:val="single" w:sz="4" w:space="0" w:color="auto"/>
              <w:right w:val="single" w:sz="4" w:space="0" w:color="auto"/>
            </w:tcBorders>
            <w:vAlign w:val="center"/>
            <w:hideMark/>
          </w:tcPr>
          <w:p w14:paraId="3F306269"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031"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3E3C1E9A"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Merná jednotka</w:t>
            </w:r>
          </w:p>
        </w:tc>
        <w:tc>
          <w:tcPr>
            <w:tcW w:w="857" w:type="dxa"/>
            <w:tcBorders>
              <w:top w:val="nil"/>
              <w:left w:val="nil"/>
              <w:bottom w:val="single" w:sz="4" w:space="0" w:color="auto"/>
              <w:right w:val="single" w:sz="4" w:space="0" w:color="auto"/>
            </w:tcBorders>
            <w:shd w:val="clear" w:color="auto" w:fill="BDD7EE"/>
            <w:vAlign w:val="center"/>
            <w:hideMark/>
          </w:tcPr>
          <w:p w14:paraId="236EC639"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Základná </w:t>
            </w:r>
          </w:p>
        </w:tc>
        <w:tc>
          <w:tcPr>
            <w:tcW w:w="844" w:type="dxa"/>
            <w:tcBorders>
              <w:top w:val="nil"/>
              <w:left w:val="nil"/>
              <w:bottom w:val="single" w:sz="4" w:space="0" w:color="auto"/>
              <w:right w:val="single" w:sz="4" w:space="0" w:color="auto"/>
            </w:tcBorders>
            <w:shd w:val="clear" w:color="auto" w:fill="BDD7EE"/>
            <w:vAlign w:val="center"/>
            <w:hideMark/>
          </w:tcPr>
          <w:p w14:paraId="6BB74F19"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Cieľ </w:t>
            </w:r>
          </w:p>
        </w:tc>
        <w:tc>
          <w:tcPr>
            <w:tcW w:w="851" w:type="dxa"/>
            <w:tcBorders>
              <w:top w:val="nil"/>
              <w:left w:val="nil"/>
              <w:bottom w:val="single" w:sz="4" w:space="0" w:color="auto"/>
              <w:right w:val="single" w:sz="4" w:space="0" w:color="auto"/>
            </w:tcBorders>
            <w:shd w:val="clear" w:color="auto" w:fill="BDD7EE"/>
            <w:vAlign w:val="center"/>
            <w:hideMark/>
          </w:tcPr>
          <w:p w14:paraId="72625C7A"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Štvrtina</w:t>
            </w:r>
          </w:p>
        </w:tc>
        <w:tc>
          <w:tcPr>
            <w:tcW w:w="709" w:type="dxa"/>
            <w:tcBorders>
              <w:top w:val="nil"/>
              <w:left w:val="nil"/>
              <w:bottom w:val="single" w:sz="4" w:space="0" w:color="auto"/>
              <w:right w:val="single" w:sz="4" w:space="0" w:color="auto"/>
            </w:tcBorders>
            <w:shd w:val="clear" w:color="auto" w:fill="BDD7EE"/>
            <w:vAlign w:val="center"/>
            <w:hideMark/>
          </w:tcPr>
          <w:p w14:paraId="4282B1D3"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Rok</w:t>
            </w:r>
          </w:p>
        </w:tc>
        <w:tc>
          <w:tcPr>
            <w:tcW w:w="5019" w:type="dxa"/>
            <w:vMerge/>
            <w:tcBorders>
              <w:top w:val="single" w:sz="4" w:space="0" w:color="auto"/>
              <w:bottom w:val="single" w:sz="4" w:space="0" w:color="auto"/>
              <w:right w:val="single" w:sz="4" w:space="0" w:color="auto"/>
            </w:tcBorders>
            <w:vAlign w:val="center"/>
            <w:hideMark/>
          </w:tcPr>
          <w:p w14:paraId="2AECCF15"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r>
      <w:tr w:rsidR="002D49B0" w:rsidRPr="00083739" w14:paraId="4DE1973C" w14:textId="77777777">
        <w:trPr>
          <w:trHeight w:val="309"/>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49C094C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56</w:t>
            </w:r>
          </w:p>
        </w:tc>
        <w:tc>
          <w:tcPr>
            <w:tcW w:w="1797" w:type="dxa"/>
            <w:tcBorders>
              <w:top w:val="single" w:sz="4" w:space="0" w:color="auto"/>
              <w:left w:val="nil"/>
              <w:bottom w:val="single" w:sz="4" w:space="0" w:color="auto"/>
              <w:right w:val="single" w:sz="4" w:space="0" w:color="auto"/>
            </w:tcBorders>
            <w:shd w:val="clear" w:color="auto" w:fill="C6EFCE"/>
            <w:noWrap/>
          </w:tcPr>
          <w:p w14:paraId="7C19A103" w14:textId="0C29068F"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4 – 1.4. Udržateľné využívanie zdrojov, odolnosť proti zmene klímy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ochrana životného prostredia – 16772_zákon</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nakladaní</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odpadom na vykonávanie udržateľného skládkovania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recyklácie</w:t>
            </w:r>
          </w:p>
        </w:tc>
        <w:tc>
          <w:tcPr>
            <w:tcW w:w="966" w:type="dxa"/>
            <w:tcBorders>
              <w:top w:val="single" w:sz="4" w:space="0" w:color="auto"/>
              <w:left w:val="nil"/>
              <w:bottom w:val="single" w:sz="4" w:space="0" w:color="auto"/>
              <w:right w:val="single" w:sz="4" w:space="0" w:color="auto"/>
            </w:tcBorders>
            <w:shd w:val="clear" w:color="auto" w:fill="C6EFCE"/>
            <w:noWrap/>
          </w:tcPr>
          <w:p w14:paraId="7E42EBC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190" w:type="dxa"/>
            <w:tcBorders>
              <w:top w:val="single" w:sz="4" w:space="0" w:color="auto"/>
              <w:left w:val="nil"/>
              <w:bottom w:val="single" w:sz="4" w:space="0" w:color="auto"/>
              <w:right w:val="single" w:sz="4" w:space="0" w:color="auto"/>
            </w:tcBorders>
            <w:shd w:val="clear" w:color="auto" w:fill="C6EFCE"/>
            <w:noWrap/>
          </w:tcPr>
          <w:p w14:paraId="685CC6C0" w14:textId="2DF53950"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zákona</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 xml:space="preserve">odpadovom </w:t>
            </w:r>
            <w:r w:rsidRPr="00083739">
              <w:rPr>
                <w:rFonts w:ascii="Times New Roman" w:hAnsi="Times New Roman" w:cs="Times New Roman"/>
                <w:noProof/>
                <w:lang w:val="sk-SK"/>
              </w:rPr>
              <w:t>hospodárstve</w:t>
            </w:r>
          </w:p>
        </w:tc>
        <w:tc>
          <w:tcPr>
            <w:tcW w:w="1468" w:type="dxa"/>
            <w:tcBorders>
              <w:top w:val="single" w:sz="4" w:space="0" w:color="auto"/>
              <w:left w:val="nil"/>
              <w:bottom w:val="single" w:sz="4" w:space="0" w:color="auto"/>
              <w:right w:val="single" w:sz="4" w:space="0" w:color="auto"/>
            </w:tcBorders>
            <w:shd w:val="clear" w:color="auto" w:fill="C6EFCE"/>
            <w:noWrap/>
          </w:tcPr>
          <w:p w14:paraId="4A41A54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právnych predpisov.</w:t>
            </w:r>
          </w:p>
        </w:tc>
        <w:tc>
          <w:tcPr>
            <w:tcW w:w="1031" w:type="dxa"/>
            <w:tcBorders>
              <w:top w:val="single" w:sz="4" w:space="0" w:color="auto"/>
              <w:left w:val="nil"/>
              <w:bottom w:val="single" w:sz="4" w:space="0" w:color="auto"/>
              <w:right w:val="single" w:sz="4" w:space="0" w:color="auto"/>
            </w:tcBorders>
            <w:shd w:val="clear" w:color="auto" w:fill="C6EFCE"/>
            <w:noWrap/>
          </w:tcPr>
          <w:p w14:paraId="536E02A9"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nil"/>
              <w:left w:val="nil"/>
              <w:bottom w:val="single" w:sz="4" w:space="0" w:color="auto"/>
              <w:right w:val="single" w:sz="4" w:space="0" w:color="auto"/>
            </w:tcBorders>
            <w:shd w:val="clear" w:color="auto" w:fill="C6EFCE"/>
            <w:noWrap/>
          </w:tcPr>
          <w:p w14:paraId="3E68E8E2"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4" w:type="dxa"/>
            <w:tcBorders>
              <w:top w:val="nil"/>
              <w:left w:val="nil"/>
              <w:bottom w:val="single" w:sz="4" w:space="0" w:color="auto"/>
              <w:right w:val="single" w:sz="4" w:space="0" w:color="auto"/>
            </w:tcBorders>
            <w:shd w:val="clear" w:color="auto" w:fill="C6EFCE"/>
            <w:noWrap/>
          </w:tcPr>
          <w:p w14:paraId="59BAF79F"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1" w:type="dxa"/>
            <w:tcBorders>
              <w:top w:val="nil"/>
              <w:left w:val="nil"/>
              <w:bottom w:val="single" w:sz="4" w:space="0" w:color="auto"/>
              <w:right w:val="single" w:sz="4" w:space="0" w:color="auto"/>
            </w:tcBorders>
            <w:shd w:val="clear" w:color="auto" w:fill="C6EFCE"/>
            <w:noWrap/>
          </w:tcPr>
          <w:p w14:paraId="74BA809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TRETÍ ŠTVRŤROK</w:t>
            </w:r>
          </w:p>
        </w:tc>
        <w:tc>
          <w:tcPr>
            <w:tcW w:w="709" w:type="dxa"/>
            <w:tcBorders>
              <w:top w:val="nil"/>
              <w:left w:val="nil"/>
              <w:bottom w:val="single" w:sz="4" w:space="0" w:color="auto"/>
              <w:right w:val="single" w:sz="4" w:space="0" w:color="auto"/>
            </w:tcBorders>
            <w:shd w:val="clear" w:color="auto" w:fill="C6EFCE"/>
            <w:noWrap/>
          </w:tcPr>
          <w:p w14:paraId="31E3843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2021</w:t>
            </w:r>
          </w:p>
        </w:tc>
        <w:tc>
          <w:tcPr>
            <w:tcW w:w="5019" w:type="dxa"/>
            <w:tcBorders>
              <w:top w:val="single" w:sz="4" w:space="0" w:color="auto"/>
              <w:left w:val="nil"/>
              <w:bottom w:val="single" w:sz="4" w:space="0" w:color="auto"/>
              <w:right w:val="single" w:sz="4" w:space="0" w:color="auto"/>
            </w:tcBorders>
            <w:shd w:val="clear" w:color="auto" w:fill="C6EFCE"/>
            <w:noWrap/>
          </w:tcPr>
          <w:p w14:paraId="0054BCF4" w14:textId="03698D4F"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zákona</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recyklácii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skládkovaní, ako aj zavedenie stimulov pre obce na dosiahnutie vysokej miery opätovného použitia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recyklácie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zavedenie dane zo </w:t>
            </w:r>
            <w:r w:rsidRPr="00083739">
              <w:rPr>
                <w:rFonts w:ascii="Times New Roman" w:hAnsi="Times New Roman" w:cs="Times New Roman"/>
                <w:noProof/>
                <w:lang w:val="sk-SK"/>
              </w:rPr>
              <w:t>skládok. Daň za skládkovanie sa uplatňuje od prvého štvrťroka 2022</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sadzby sa postupne zvyšujú, až kým nedosiahnu hornú hranicu dane zo skládkovania do tretieho štvrťroka 2024.</w:t>
            </w:r>
          </w:p>
        </w:tc>
      </w:tr>
      <w:tr w:rsidR="002D49B0" w:rsidRPr="00083739" w14:paraId="2D216134" w14:textId="77777777">
        <w:trPr>
          <w:trHeight w:val="309"/>
        </w:trPr>
        <w:tc>
          <w:tcPr>
            <w:tcW w:w="1027" w:type="dxa"/>
            <w:tcBorders>
              <w:top w:val="nil"/>
              <w:left w:val="single" w:sz="4" w:space="0" w:color="auto"/>
              <w:bottom w:val="single" w:sz="4" w:space="0" w:color="auto"/>
              <w:right w:val="single" w:sz="4" w:space="0" w:color="auto"/>
            </w:tcBorders>
            <w:shd w:val="clear" w:color="auto" w:fill="C6EFCE"/>
            <w:noWrap/>
          </w:tcPr>
          <w:p w14:paraId="6273B44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57</w:t>
            </w:r>
          </w:p>
        </w:tc>
        <w:tc>
          <w:tcPr>
            <w:tcW w:w="1797" w:type="dxa"/>
            <w:tcBorders>
              <w:top w:val="nil"/>
              <w:left w:val="nil"/>
              <w:bottom w:val="single" w:sz="4" w:space="0" w:color="auto"/>
              <w:right w:val="single" w:sz="4" w:space="0" w:color="auto"/>
            </w:tcBorders>
            <w:shd w:val="clear" w:color="auto" w:fill="C6EFCE"/>
            <w:noWrap/>
          </w:tcPr>
          <w:p w14:paraId="0BD8346E" w14:textId="130D9DA4"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4 – 1.4. Udržateľné využívanie zdrojov, odolnosť proti zmene klímy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ochrana životného prostredia – 16772_zákon</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nakladaní</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odpadom na vykonávanie udržateľného skládkovania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recyklácie</w:t>
            </w:r>
          </w:p>
        </w:tc>
        <w:tc>
          <w:tcPr>
            <w:tcW w:w="966" w:type="dxa"/>
            <w:tcBorders>
              <w:top w:val="nil"/>
              <w:left w:val="nil"/>
              <w:bottom w:val="single" w:sz="4" w:space="0" w:color="auto"/>
              <w:right w:val="single" w:sz="4" w:space="0" w:color="auto"/>
            </w:tcBorders>
            <w:shd w:val="clear" w:color="auto" w:fill="C6EFCE"/>
            <w:noWrap/>
          </w:tcPr>
          <w:p w14:paraId="0060269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190" w:type="dxa"/>
            <w:tcBorders>
              <w:top w:val="nil"/>
              <w:left w:val="nil"/>
              <w:bottom w:val="single" w:sz="4" w:space="0" w:color="auto"/>
              <w:right w:val="single" w:sz="4" w:space="0" w:color="auto"/>
            </w:tcBorders>
            <w:shd w:val="clear" w:color="auto" w:fill="C6EFCE"/>
            <w:noWrap/>
          </w:tcPr>
          <w:p w14:paraId="03B66042" w14:textId="3AC52D2F"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zákona</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regulácii odpadového hospodárstva</w:t>
            </w:r>
          </w:p>
        </w:tc>
        <w:tc>
          <w:tcPr>
            <w:tcW w:w="1468" w:type="dxa"/>
            <w:tcBorders>
              <w:top w:val="nil"/>
              <w:left w:val="nil"/>
              <w:bottom w:val="single" w:sz="4" w:space="0" w:color="auto"/>
              <w:right w:val="single" w:sz="4" w:space="0" w:color="auto"/>
            </w:tcBorders>
            <w:shd w:val="clear" w:color="auto" w:fill="C6EFCE"/>
            <w:noWrap/>
          </w:tcPr>
          <w:p w14:paraId="069763D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Nadobudnutie účinnosti právnych predpisov. </w:t>
            </w:r>
          </w:p>
        </w:tc>
        <w:tc>
          <w:tcPr>
            <w:tcW w:w="1031" w:type="dxa"/>
            <w:tcBorders>
              <w:top w:val="nil"/>
              <w:left w:val="nil"/>
              <w:bottom w:val="single" w:sz="4" w:space="0" w:color="auto"/>
              <w:right w:val="single" w:sz="4" w:space="0" w:color="auto"/>
            </w:tcBorders>
            <w:shd w:val="clear" w:color="auto" w:fill="C6EFCE"/>
            <w:noWrap/>
          </w:tcPr>
          <w:p w14:paraId="78DD5F11"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nil"/>
              <w:left w:val="nil"/>
              <w:bottom w:val="single" w:sz="4" w:space="0" w:color="auto"/>
              <w:right w:val="single" w:sz="4" w:space="0" w:color="auto"/>
            </w:tcBorders>
            <w:shd w:val="clear" w:color="auto" w:fill="C6EFCE"/>
            <w:noWrap/>
          </w:tcPr>
          <w:p w14:paraId="5F94F8CA"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4" w:type="dxa"/>
            <w:tcBorders>
              <w:top w:val="nil"/>
              <w:left w:val="nil"/>
              <w:bottom w:val="single" w:sz="4" w:space="0" w:color="auto"/>
              <w:right w:val="single" w:sz="4" w:space="0" w:color="auto"/>
            </w:tcBorders>
            <w:shd w:val="clear" w:color="auto" w:fill="C6EFCE"/>
            <w:noWrap/>
          </w:tcPr>
          <w:p w14:paraId="711952F1"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1" w:type="dxa"/>
            <w:tcBorders>
              <w:top w:val="nil"/>
              <w:left w:val="nil"/>
              <w:bottom w:val="single" w:sz="4" w:space="0" w:color="auto"/>
              <w:right w:val="single" w:sz="4" w:space="0" w:color="auto"/>
            </w:tcBorders>
            <w:shd w:val="clear" w:color="auto" w:fill="C6EFCE"/>
            <w:noWrap/>
          </w:tcPr>
          <w:p w14:paraId="738FE78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TRETÍ ŠTVRŤROK</w:t>
            </w:r>
          </w:p>
        </w:tc>
        <w:tc>
          <w:tcPr>
            <w:tcW w:w="709" w:type="dxa"/>
            <w:tcBorders>
              <w:top w:val="nil"/>
              <w:left w:val="nil"/>
              <w:bottom w:val="single" w:sz="4" w:space="0" w:color="auto"/>
              <w:right w:val="single" w:sz="4" w:space="0" w:color="auto"/>
            </w:tcBorders>
            <w:shd w:val="clear" w:color="auto" w:fill="C6EFCE"/>
            <w:noWrap/>
          </w:tcPr>
          <w:p w14:paraId="72B2092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w:t>
            </w:r>
            <w:r w:rsidRPr="00083739">
              <w:rPr>
                <w:rFonts w:ascii="Times New Roman" w:hAnsi="Times New Roman" w:cs="Times New Roman"/>
                <w:noProof/>
                <w:lang w:val="sk-SK"/>
              </w:rPr>
              <w:t>22</w:t>
            </w:r>
          </w:p>
        </w:tc>
        <w:tc>
          <w:tcPr>
            <w:tcW w:w="5019" w:type="dxa"/>
            <w:tcBorders>
              <w:top w:val="nil"/>
              <w:left w:val="nil"/>
              <w:bottom w:val="single" w:sz="4" w:space="0" w:color="auto"/>
              <w:right w:val="single" w:sz="4" w:space="0" w:color="auto"/>
            </w:tcBorders>
            <w:shd w:val="clear" w:color="auto" w:fill="C6EFCE"/>
            <w:noWrap/>
          </w:tcPr>
          <w:p w14:paraId="3316C2D0" w14:textId="2E867198" w:rsidR="002D49B0" w:rsidRPr="00083739" w:rsidRDefault="00BF4125">
            <w:pPr>
              <w:pStyle w:val="P68B1DB1-Normal9"/>
              <w:spacing w:after="0" w:line="240" w:lineRule="auto"/>
              <w:jc w:val="both"/>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zákona</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cieľom:</w:t>
            </w:r>
          </w:p>
          <w:p w14:paraId="0B3C79B6" w14:textId="24897F9A" w:rsidR="002D49B0" w:rsidRPr="00083739" w:rsidRDefault="00BF4125">
            <w:pPr>
              <w:pStyle w:val="P68B1DB1-Normal9"/>
              <w:numPr>
                <w:ilvl w:val="0"/>
                <w:numId w:val="53"/>
              </w:numPr>
              <w:spacing w:after="0" w:line="240" w:lineRule="auto"/>
              <w:jc w:val="both"/>
              <w:rPr>
                <w:rFonts w:ascii="Times New Roman" w:eastAsia="Times New Roman" w:hAnsi="Times New Roman" w:cs="Times New Roman"/>
                <w:noProof/>
                <w:szCs w:val="18"/>
                <w:lang w:val="sk-SK"/>
              </w:rPr>
            </w:pPr>
            <w:r w:rsidRPr="00083739">
              <w:rPr>
                <w:rFonts w:ascii="Times New Roman" w:hAnsi="Times New Roman" w:cs="Times New Roman"/>
                <w:noProof/>
                <w:lang w:val="sk-SK"/>
              </w:rPr>
              <w:t>zriadiť národný regulačný orgán pre odpady, jeho činnosť</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povinnosti;</w:t>
            </w:r>
          </w:p>
          <w:p w14:paraId="2A15EDEC" w14:textId="6599A942" w:rsidR="002D49B0" w:rsidRPr="00083739" w:rsidRDefault="00BF4125">
            <w:pPr>
              <w:pStyle w:val="P68B1DB1-Normal9"/>
              <w:numPr>
                <w:ilvl w:val="0"/>
                <w:numId w:val="53"/>
              </w:numPr>
              <w:spacing w:after="0" w:line="240" w:lineRule="auto"/>
              <w:jc w:val="both"/>
              <w:rPr>
                <w:rFonts w:ascii="Times New Roman" w:eastAsia="Times New Roman" w:hAnsi="Times New Roman" w:cs="Times New Roman"/>
                <w:noProof/>
                <w:szCs w:val="18"/>
                <w:lang w:val="sk-SK"/>
              </w:rPr>
            </w:pPr>
            <w:r w:rsidRPr="00083739">
              <w:rPr>
                <w:rFonts w:ascii="Times New Roman" w:hAnsi="Times New Roman" w:cs="Times New Roman"/>
                <w:noProof/>
                <w:lang w:val="sk-SK"/>
              </w:rPr>
              <w:t>Reforma regionálnych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miestnych orgánov odpadového hospodárstva (FOSDA);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zároveň</w:t>
            </w:r>
          </w:p>
          <w:p w14:paraId="6BBEA1C7" w14:textId="36C1D894" w:rsidR="002D49B0" w:rsidRPr="00083739" w:rsidRDefault="00BF4125">
            <w:pPr>
              <w:pStyle w:val="P68B1DB1-Normal17"/>
              <w:numPr>
                <w:ilvl w:val="0"/>
                <w:numId w:val="53"/>
              </w:numPr>
              <w:spacing w:after="0" w:line="240" w:lineRule="auto"/>
              <w:jc w:val="both"/>
              <w:rPr>
                <w:rFonts w:ascii="Times New Roman" w:hAnsi="Times New Roman" w:cs="Times New Roman"/>
                <w:noProof/>
                <w:lang w:val="sk-SK"/>
              </w:rPr>
            </w:pPr>
            <w:r w:rsidRPr="00083739">
              <w:rPr>
                <w:rFonts w:ascii="Times New Roman" w:hAnsi="Times New Roman" w:cs="Times New Roman"/>
                <w:noProof/>
                <w:lang w:val="sk-SK"/>
              </w:rPr>
              <w:t>Zaviesť spoľahlivé politiky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kalkulácie nákladov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stanovovania cien</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súlade so zásadami „platíte tak, ako vyhadzujete“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„znečisťovateľ platí“.</w:t>
            </w:r>
          </w:p>
          <w:p w14:paraId="2655300E" w14:textId="468F2D79" w:rsidR="002D49B0" w:rsidRPr="00083739" w:rsidRDefault="002D49B0">
            <w:pPr>
              <w:spacing w:after="0" w:line="240" w:lineRule="auto"/>
              <w:ind w:left="720"/>
              <w:jc w:val="both"/>
              <w:rPr>
                <w:rFonts w:ascii="Times New Roman" w:hAnsi="Times New Roman" w:cs="Times New Roman"/>
                <w:noProof/>
                <w:lang w:val="sk-SK"/>
              </w:rPr>
            </w:pPr>
          </w:p>
        </w:tc>
      </w:tr>
      <w:tr w:rsidR="002D49B0" w:rsidRPr="00083739" w14:paraId="2A304879" w14:textId="77777777">
        <w:trPr>
          <w:trHeight w:val="309"/>
        </w:trPr>
        <w:tc>
          <w:tcPr>
            <w:tcW w:w="1027" w:type="dxa"/>
            <w:tcBorders>
              <w:top w:val="nil"/>
              <w:left w:val="single" w:sz="4" w:space="0" w:color="auto"/>
              <w:bottom w:val="single" w:sz="4" w:space="0" w:color="auto"/>
              <w:right w:val="single" w:sz="4" w:space="0" w:color="auto"/>
            </w:tcBorders>
            <w:shd w:val="clear" w:color="auto" w:fill="C6EFCE"/>
            <w:noWrap/>
          </w:tcPr>
          <w:p w14:paraId="749AD2B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58</w:t>
            </w:r>
          </w:p>
        </w:tc>
        <w:tc>
          <w:tcPr>
            <w:tcW w:w="1797" w:type="dxa"/>
            <w:tcBorders>
              <w:top w:val="nil"/>
              <w:left w:val="nil"/>
              <w:bottom w:val="single" w:sz="4" w:space="0" w:color="auto"/>
              <w:right w:val="single" w:sz="4" w:space="0" w:color="auto"/>
            </w:tcBorders>
            <w:shd w:val="clear" w:color="auto" w:fill="C6EFCE"/>
            <w:noWrap/>
          </w:tcPr>
          <w:p w14:paraId="7293AE78" w14:textId="3E317EF0"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4 – 1.4. Udržateľné využívanie zdrojov, odolnosť proti zmene klímy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ochrana životného prostredia – 16979_Zriadenie nového regulačného orgánu pre vodu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odpadové vody</w:t>
            </w:r>
          </w:p>
        </w:tc>
        <w:tc>
          <w:tcPr>
            <w:tcW w:w="966" w:type="dxa"/>
            <w:tcBorders>
              <w:top w:val="nil"/>
              <w:left w:val="nil"/>
              <w:bottom w:val="single" w:sz="4" w:space="0" w:color="auto"/>
              <w:right w:val="single" w:sz="4" w:space="0" w:color="auto"/>
            </w:tcBorders>
            <w:shd w:val="clear" w:color="auto" w:fill="C6EFCE"/>
            <w:noWrap/>
          </w:tcPr>
          <w:p w14:paraId="26991DB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190" w:type="dxa"/>
            <w:tcBorders>
              <w:top w:val="nil"/>
              <w:left w:val="nil"/>
              <w:bottom w:val="single" w:sz="4" w:space="0" w:color="auto"/>
              <w:right w:val="single" w:sz="4" w:space="0" w:color="auto"/>
            </w:tcBorders>
            <w:shd w:val="clear" w:color="auto" w:fill="C6EFCE"/>
            <w:noWrap/>
          </w:tcPr>
          <w:p w14:paraId="5B15D384" w14:textId="2F288D3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zákona</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regulácii vodného hospodárstva</w:t>
            </w:r>
          </w:p>
        </w:tc>
        <w:tc>
          <w:tcPr>
            <w:tcW w:w="1468" w:type="dxa"/>
            <w:tcBorders>
              <w:top w:val="nil"/>
              <w:left w:val="nil"/>
              <w:bottom w:val="single" w:sz="4" w:space="0" w:color="auto"/>
              <w:right w:val="single" w:sz="4" w:space="0" w:color="auto"/>
            </w:tcBorders>
            <w:shd w:val="clear" w:color="auto" w:fill="C6EFCE"/>
            <w:noWrap/>
          </w:tcPr>
          <w:p w14:paraId="6F60473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Nadobudnutie účinnosti právnych predpisov. </w:t>
            </w:r>
          </w:p>
        </w:tc>
        <w:tc>
          <w:tcPr>
            <w:tcW w:w="1031" w:type="dxa"/>
            <w:tcBorders>
              <w:top w:val="nil"/>
              <w:left w:val="nil"/>
              <w:bottom w:val="single" w:sz="4" w:space="0" w:color="auto"/>
              <w:right w:val="single" w:sz="4" w:space="0" w:color="auto"/>
            </w:tcBorders>
            <w:shd w:val="clear" w:color="auto" w:fill="C6EFCE"/>
            <w:noWrap/>
          </w:tcPr>
          <w:p w14:paraId="5B990822"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nil"/>
              <w:left w:val="nil"/>
              <w:bottom w:val="single" w:sz="4" w:space="0" w:color="auto"/>
              <w:right w:val="single" w:sz="4" w:space="0" w:color="auto"/>
            </w:tcBorders>
            <w:shd w:val="clear" w:color="auto" w:fill="C6EFCE"/>
            <w:noWrap/>
          </w:tcPr>
          <w:p w14:paraId="18D9E3A2"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4" w:type="dxa"/>
            <w:tcBorders>
              <w:top w:val="nil"/>
              <w:left w:val="nil"/>
              <w:bottom w:val="single" w:sz="4" w:space="0" w:color="auto"/>
              <w:right w:val="single" w:sz="4" w:space="0" w:color="auto"/>
            </w:tcBorders>
            <w:shd w:val="clear" w:color="auto" w:fill="C6EFCE"/>
            <w:noWrap/>
          </w:tcPr>
          <w:p w14:paraId="79FE8B2D"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1" w:type="dxa"/>
            <w:tcBorders>
              <w:top w:val="nil"/>
              <w:left w:val="nil"/>
              <w:bottom w:val="single" w:sz="4" w:space="0" w:color="auto"/>
              <w:right w:val="single" w:sz="4" w:space="0" w:color="auto"/>
            </w:tcBorders>
            <w:shd w:val="clear" w:color="auto" w:fill="C6EFCE"/>
            <w:noWrap/>
          </w:tcPr>
          <w:p w14:paraId="352E289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09" w:type="dxa"/>
            <w:tcBorders>
              <w:top w:val="nil"/>
              <w:left w:val="nil"/>
              <w:bottom w:val="single" w:sz="4" w:space="0" w:color="auto"/>
              <w:right w:val="single" w:sz="4" w:space="0" w:color="auto"/>
            </w:tcBorders>
            <w:shd w:val="clear" w:color="auto" w:fill="C6EFCE"/>
            <w:noWrap/>
          </w:tcPr>
          <w:p w14:paraId="46D7402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2022</w:t>
            </w:r>
          </w:p>
        </w:tc>
        <w:tc>
          <w:tcPr>
            <w:tcW w:w="5019" w:type="dxa"/>
            <w:tcBorders>
              <w:top w:val="nil"/>
              <w:left w:val="nil"/>
              <w:bottom w:val="single" w:sz="4" w:space="0" w:color="auto"/>
              <w:right w:val="single" w:sz="4" w:space="0" w:color="auto"/>
            </w:tcBorders>
            <w:shd w:val="clear" w:color="auto" w:fill="C6EFCE"/>
            <w:noWrap/>
          </w:tcPr>
          <w:p w14:paraId="4AC60811" w14:textId="4C829B58"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zákona</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zriadení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prevádzke nového regulačného orgánu pre vodu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odpadové vody.</w:t>
            </w:r>
          </w:p>
        </w:tc>
      </w:tr>
      <w:tr w:rsidR="002D49B0" w:rsidRPr="00083739" w14:paraId="18A12DC2" w14:textId="77777777">
        <w:trPr>
          <w:trHeight w:val="309"/>
        </w:trPr>
        <w:tc>
          <w:tcPr>
            <w:tcW w:w="1027" w:type="dxa"/>
            <w:tcBorders>
              <w:top w:val="nil"/>
              <w:left w:val="single" w:sz="4" w:space="0" w:color="auto"/>
              <w:bottom w:val="single" w:sz="4" w:space="0" w:color="auto"/>
              <w:right w:val="single" w:sz="4" w:space="0" w:color="auto"/>
            </w:tcBorders>
            <w:shd w:val="clear" w:color="auto" w:fill="C6EFCE"/>
            <w:noWrap/>
          </w:tcPr>
          <w:p w14:paraId="19590AB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59</w:t>
            </w:r>
          </w:p>
        </w:tc>
        <w:tc>
          <w:tcPr>
            <w:tcW w:w="1797" w:type="dxa"/>
            <w:tcBorders>
              <w:top w:val="nil"/>
              <w:left w:val="nil"/>
              <w:bottom w:val="single" w:sz="4" w:space="0" w:color="auto"/>
              <w:right w:val="single" w:sz="4" w:space="0" w:color="auto"/>
            </w:tcBorders>
            <w:shd w:val="clear" w:color="auto" w:fill="C6EFCE"/>
            <w:noWrap/>
          </w:tcPr>
          <w:p w14:paraId="07FC261C" w14:textId="36482C83"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4 – 1.4. Udržateľné využívanie zdrojov, odolnosť proti zmene klímy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ochrana životného prostredia – 16772_zákon</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nakladaní</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odpadom na vykonávanie udržateľného skládkovania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recyklácie</w:t>
            </w:r>
          </w:p>
        </w:tc>
        <w:tc>
          <w:tcPr>
            <w:tcW w:w="966" w:type="dxa"/>
            <w:tcBorders>
              <w:top w:val="nil"/>
              <w:left w:val="nil"/>
              <w:bottom w:val="single" w:sz="4" w:space="0" w:color="auto"/>
              <w:right w:val="single" w:sz="4" w:space="0" w:color="auto"/>
            </w:tcBorders>
            <w:shd w:val="clear" w:color="auto" w:fill="C6EFCE"/>
            <w:noWrap/>
          </w:tcPr>
          <w:p w14:paraId="6F4EB2A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190" w:type="dxa"/>
            <w:tcBorders>
              <w:top w:val="nil"/>
              <w:left w:val="nil"/>
              <w:bottom w:val="single" w:sz="4" w:space="0" w:color="auto"/>
              <w:right w:val="single" w:sz="4" w:space="0" w:color="auto"/>
            </w:tcBorders>
            <w:shd w:val="clear" w:color="auto" w:fill="C6EFCE"/>
            <w:noWrap/>
          </w:tcPr>
          <w:p w14:paraId="39295AA9" w14:textId="020DB740"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Zriadenie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fungovanie regulačného orgánu odpadového </w:t>
            </w:r>
            <w:r w:rsidRPr="00083739">
              <w:rPr>
                <w:rFonts w:ascii="Times New Roman" w:hAnsi="Times New Roman" w:cs="Times New Roman"/>
                <w:noProof/>
                <w:lang w:val="sk-SK"/>
              </w:rPr>
              <w:t>hospodárstva</w:t>
            </w:r>
          </w:p>
        </w:tc>
        <w:tc>
          <w:tcPr>
            <w:tcW w:w="1468" w:type="dxa"/>
            <w:tcBorders>
              <w:top w:val="nil"/>
              <w:left w:val="nil"/>
              <w:bottom w:val="single" w:sz="4" w:space="0" w:color="auto"/>
              <w:right w:val="single" w:sz="4" w:space="0" w:color="auto"/>
            </w:tcBorders>
            <w:shd w:val="clear" w:color="auto" w:fill="C6EFCE"/>
            <w:noWrap/>
          </w:tcPr>
          <w:p w14:paraId="0287C7B6" w14:textId="15CDC560"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spoločného ministerského rozhodnutia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všetkých potrebných administratívnych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legislatívnych opatrení na zriadenie orgánu pre cenné papiere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trhy </w:t>
            </w:r>
          </w:p>
        </w:tc>
        <w:tc>
          <w:tcPr>
            <w:tcW w:w="1031" w:type="dxa"/>
            <w:tcBorders>
              <w:top w:val="nil"/>
              <w:left w:val="nil"/>
              <w:bottom w:val="single" w:sz="4" w:space="0" w:color="auto"/>
              <w:right w:val="single" w:sz="4" w:space="0" w:color="auto"/>
            </w:tcBorders>
            <w:shd w:val="clear" w:color="auto" w:fill="C6EFCE"/>
            <w:noWrap/>
          </w:tcPr>
          <w:p w14:paraId="2E053B14"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nil"/>
              <w:left w:val="nil"/>
              <w:bottom w:val="single" w:sz="4" w:space="0" w:color="auto"/>
              <w:right w:val="single" w:sz="4" w:space="0" w:color="auto"/>
            </w:tcBorders>
            <w:shd w:val="clear" w:color="auto" w:fill="C6EFCE"/>
            <w:noWrap/>
          </w:tcPr>
          <w:p w14:paraId="19B83D52"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4" w:type="dxa"/>
            <w:tcBorders>
              <w:top w:val="nil"/>
              <w:left w:val="nil"/>
              <w:bottom w:val="single" w:sz="4" w:space="0" w:color="auto"/>
              <w:right w:val="single" w:sz="4" w:space="0" w:color="auto"/>
            </w:tcBorders>
            <w:shd w:val="clear" w:color="auto" w:fill="C6EFCE"/>
            <w:noWrap/>
          </w:tcPr>
          <w:p w14:paraId="4C152F1B"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1" w:type="dxa"/>
            <w:tcBorders>
              <w:top w:val="nil"/>
              <w:left w:val="nil"/>
              <w:bottom w:val="single" w:sz="4" w:space="0" w:color="auto"/>
              <w:right w:val="single" w:sz="4" w:space="0" w:color="auto"/>
            </w:tcBorders>
            <w:shd w:val="clear" w:color="auto" w:fill="C6EFCE"/>
            <w:noWrap/>
          </w:tcPr>
          <w:p w14:paraId="63BD011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09" w:type="dxa"/>
            <w:tcBorders>
              <w:top w:val="nil"/>
              <w:left w:val="nil"/>
              <w:bottom w:val="single" w:sz="4" w:space="0" w:color="auto"/>
              <w:right w:val="single" w:sz="4" w:space="0" w:color="auto"/>
            </w:tcBorders>
            <w:shd w:val="clear" w:color="auto" w:fill="C6EFCE"/>
            <w:noWrap/>
          </w:tcPr>
          <w:p w14:paraId="64E09B5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2023</w:t>
            </w:r>
          </w:p>
        </w:tc>
        <w:tc>
          <w:tcPr>
            <w:tcW w:w="5019" w:type="dxa"/>
            <w:tcBorders>
              <w:top w:val="nil"/>
              <w:left w:val="nil"/>
              <w:bottom w:val="single" w:sz="4" w:space="0" w:color="auto"/>
              <w:right w:val="single" w:sz="4" w:space="0" w:color="auto"/>
            </w:tcBorders>
            <w:shd w:val="clear" w:color="auto" w:fill="C6EFCE"/>
            <w:noWrap/>
          </w:tcPr>
          <w:p w14:paraId="17B512DC" w14:textId="7BEB683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Nový národný regulačný orgán pre odpad je perso</w:t>
            </w:r>
            <w:r w:rsidRPr="00083739">
              <w:rPr>
                <w:rFonts w:ascii="Times New Roman" w:hAnsi="Times New Roman" w:cs="Times New Roman"/>
                <w:noProof/>
                <w:lang w:val="sk-SK"/>
              </w:rPr>
              <w:t>nálne vybavený</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vybavený priestormi.</w:t>
            </w:r>
          </w:p>
        </w:tc>
      </w:tr>
      <w:tr w:rsidR="002D49B0" w:rsidRPr="00083739" w14:paraId="55675E7B" w14:textId="77777777">
        <w:trPr>
          <w:trHeight w:val="309"/>
        </w:trPr>
        <w:tc>
          <w:tcPr>
            <w:tcW w:w="1027" w:type="dxa"/>
            <w:tcBorders>
              <w:top w:val="nil"/>
              <w:left w:val="single" w:sz="4" w:space="0" w:color="auto"/>
              <w:bottom w:val="single" w:sz="4" w:space="0" w:color="auto"/>
              <w:right w:val="single" w:sz="4" w:space="0" w:color="auto"/>
            </w:tcBorders>
            <w:shd w:val="clear" w:color="auto" w:fill="C6EFCE"/>
            <w:noWrap/>
          </w:tcPr>
          <w:p w14:paraId="7A6528EA" w14:textId="77777777"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59a</w:t>
            </w:r>
          </w:p>
        </w:tc>
        <w:tc>
          <w:tcPr>
            <w:tcW w:w="1797" w:type="dxa"/>
            <w:tcBorders>
              <w:top w:val="nil"/>
              <w:left w:val="nil"/>
              <w:bottom w:val="single" w:sz="4" w:space="0" w:color="auto"/>
              <w:right w:val="single" w:sz="4" w:space="0" w:color="auto"/>
            </w:tcBorders>
            <w:shd w:val="clear" w:color="auto" w:fill="C6EFCE"/>
            <w:noWrap/>
          </w:tcPr>
          <w:p w14:paraId="15DF971D" w14:textId="65CAC0DD"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4 – 1.4. Udržateľné využívanie zdrojov, odolnosť proti zmene klímy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ochrana životného prostredia – 16772_zákon</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nakladaní</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odpadom na vykonávanie udržateľného skládkovania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recyklácie</w:t>
            </w:r>
          </w:p>
        </w:tc>
        <w:tc>
          <w:tcPr>
            <w:tcW w:w="966" w:type="dxa"/>
            <w:tcBorders>
              <w:top w:val="nil"/>
              <w:left w:val="nil"/>
              <w:bottom w:val="single" w:sz="4" w:space="0" w:color="auto"/>
              <w:right w:val="single" w:sz="4" w:space="0" w:color="auto"/>
            </w:tcBorders>
            <w:shd w:val="clear" w:color="auto" w:fill="C6EFCE"/>
            <w:noWrap/>
          </w:tcPr>
          <w:p w14:paraId="3DB501FC" w14:textId="77777777"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Míľnik</w:t>
            </w:r>
          </w:p>
        </w:tc>
        <w:tc>
          <w:tcPr>
            <w:tcW w:w="1190" w:type="dxa"/>
            <w:tcBorders>
              <w:top w:val="nil"/>
              <w:left w:val="nil"/>
              <w:bottom w:val="single" w:sz="4" w:space="0" w:color="auto"/>
              <w:right w:val="single" w:sz="4" w:space="0" w:color="auto"/>
            </w:tcBorders>
            <w:shd w:val="clear" w:color="auto" w:fill="C6EFCE"/>
            <w:noWrap/>
          </w:tcPr>
          <w:p w14:paraId="641A0134" w14:textId="43AD234A"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 xml:space="preserve">Certifikácia </w:t>
            </w:r>
            <w:r w:rsidRPr="00083739">
              <w:rPr>
                <w:rFonts w:ascii="Times New Roman" w:hAnsi="Times New Roman" w:cs="Times New Roman"/>
                <w:noProof/>
                <w:lang w:val="sk-SK"/>
              </w:rPr>
              <w:t>orgánov nakladania</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tuhým odpadom (FODSA) regulačným orgánom</w:t>
            </w:r>
          </w:p>
        </w:tc>
        <w:tc>
          <w:tcPr>
            <w:tcW w:w="1468" w:type="dxa"/>
            <w:tcBorders>
              <w:top w:val="nil"/>
              <w:left w:val="nil"/>
              <w:bottom w:val="single" w:sz="4" w:space="0" w:color="auto"/>
              <w:right w:val="single" w:sz="4" w:space="0" w:color="auto"/>
            </w:tcBorders>
            <w:shd w:val="clear" w:color="auto" w:fill="C6EFCE"/>
            <w:noWrap/>
          </w:tcPr>
          <w:p w14:paraId="54AD0DDE" w14:textId="109BD467" w:rsidR="002D49B0" w:rsidRPr="00083739" w:rsidRDefault="00BF4125">
            <w:pPr>
              <w:spacing w:after="0" w:line="240" w:lineRule="auto"/>
              <w:rPr>
                <w:rFonts w:ascii="Times New Roman" w:hAnsi="Times New Roman" w:cs="Times New Roman"/>
                <w:noProof/>
                <w:color w:val="006100"/>
                <w:sz w:val="18"/>
                <w:lang w:val="sk-SK"/>
              </w:rPr>
            </w:pPr>
            <w:r w:rsidRPr="00083739">
              <w:rPr>
                <w:rFonts w:ascii="Times New Roman" w:hAnsi="Times New Roman" w:cs="Times New Roman"/>
                <w:noProof/>
                <w:color w:val="006100"/>
                <w:sz w:val="18"/>
                <w:lang w:val="sk-SK"/>
              </w:rPr>
              <w:t>Certifikácia orgánov nakladania</w:t>
            </w:r>
            <w:r w:rsidR="00083739" w:rsidRPr="00083739">
              <w:rPr>
                <w:rFonts w:ascii="Times New Roman" w:hAnsi="Times New Roman" w:cs="Times New Roman"/>
                <w:noProof/>
                <w:color w:val="006100"/>
                <w:sz w:val="18"/>
                <w:lang w:val="sk-SK"/>
              </w:rPr>
              <w:t xml:space="preserve"> s </w:t>
            </w:r>
            <w:r w:rsidRPr="00083739">
              <w:rPr>
                <w:rFonts w:ascii="Times New Roman" w:hAnsi="Times New Roman" w:cs="Times New Roman"/>
                <w:noProof/>
                <w:color w:val="006100"/>
                <w:sz w:val="18"/>
                <w:lang w:val="sk-SK"/>
              </w:rPr>
              <w:t xml:space="preserve">tuhým odpadom (FODSA) </w:t>
            </w:r>
            <w:r w:rsidRPr="00083739">
              <w:rPr>
                <w:rFonts w:ascii="Times New Roman" w:hAnsi="Times New Roman" w:cs="Times New Roman"/>
                <w:noProof/>
                <w:lang w:val="sk-SK"/>
              </w:rPr>
              <w:t xml:space="preserve"> </w:t>
            </w:r>
            <w:r w:rsidRPr="00083739">
              <w:rPr>
                <w:rFonts w:ascii="Times New Roman" w:hAnsi="Times New Roman" w:cs="Times New Roman"/>
                <w:noProof/>
                <w:color w:val="006100"/>
                <w:sz w:val="18"/>
                <w:lang w:val="sk-SK"/>
              </w:rPr>
              <w:t>regulačným orgánom</w:t>
            </w:r>
          </w:p>
          <w:p w14:paraId="0DF9DFA8" w14:textId="6E7DD342" w:rsidR="002D49B0" w:rsidRPr="00083739" w:rsidRDefault="002D49B0">
            <w:pPr>
              <w:spacing w:after="0" w:line="240" w:lineRule="auto"/>
              <w:rPr>
                <w:rFonts w:ascii="Times New Roman" w:hAnsi="Times New Roman" w:cs="Times New Roman"/>
                <w:noProof/>
                <w:color w:val="006100"/>
                <w:sz w:val="18"/>
                <w:lang w:val="sk-SK"/>
              </w:rPr>
            </w:pPr>
          </w:p>
        </w:tc>
        <w:tc>
          <w:tcPr>
            <w:tcW w:w="1031" w:type="dxa"/>
            <w:tcBorders>
              <w:top w:val="nil"/>
              <w:left w:val="nil"/>
              <w:bottom w:val="single" w:sz="4" w:space="0" w:color="auto"/>
              <w:right w:val="single" w:sz="4" w:space="0" w:color="auto"/>
            </w:tcBorders>
            <w:shd w:val="clear" w:color="auto" w:fill="C6EFCE"/>
            <w:noWrap/>
          </w:tcPr>
          <w:p w14:paraId="4605F9FC"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nil"/>
              <w:left w:val="nil"/>
              <w:bottom w:val="single" w:sz="4" w:space="0" w:color="auto"/>
              <w:right w:val="single" w:sz="4" w:space="0" w:color="auto"/>
            </w:tcBorders>
            <w:shd w:val="clear" w:color="auto" w:fill="C6EFCE"/>
            <w:noWrap/>
          </w:tcPr>
          <w:p w14:paraId="6E541D19"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4" w:type="dxa"/>
            <w:tcBorders>
              <w:top w:val="nil"/>
              <w:left w:val="nil"/>
              <w:bottom w:val="single" w:sz="4" w:space="0" w:color="auto"/>
              <w:right w:val="single" w:sz="4" w:space="0" w:color="auto"/>
            </w:tcBorders>
            <w:shd w:val="clear" w:color="auto" w:fill="C6EFCE"/>
            <w:noWrap/>
          </w:tcPr>
          <w:p w14:paraId="2BED3F25"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1" w:type="dxa"/>
            <w:tcBorders>
              <w:top w:val="nil"/>
              <w:left w:val="nil"/>
              <w:bottom w:val="single" w:sz="4" w:space="0" w:color="auto"/>
              <w:right w:val="single" w:sz="4" w:space="0" w:color="auto"/>
            </w:tcBorders>
            <w:shd w:val="clear" w:color="auto" w:fill="C6EFCE"/>
            <w:noWrap/>
          </w:tcPr>
          <w:p w14:paraId="479C3A0B" w14:textId="77777777"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ŠTVRTÝ ŠTVRŤROK</w:t>
            </w:r>
          </w:p>
        </w:tc>
        <w:tc>
          <w:tcPr>
            <w:tcW w:w="709" w:type="dxa"/>
            <w:tcBorders>
              <w:top w:val="nil"/>
              <w:left w:val="nil"/>
              <w:bottom w:val="single" w:sz="4" w:space="0" w:color="auto"/>
              <w:right w:val="single" w:sz="4" w:space="0" w:color="auto"/>
            </w:tcBorders>
            <w:shd w:val="clear" w:color="auto" w:fill="C6EFCE"/>
            <w:noWrap/>
          </w:tcPr>
          <w:p w14:paraId="4F6B9C66" w14:textId="77777777"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2025</w:t>
            </w:r>
          </w:p>
        </w:tc>
        <w:tc>
          <w:tcPr>
            <w:tcW w:w="5019" w:type="dxa"/>
            <w:tcBorders>
              <w:top w:val="nil"/>
              <w:left w:val="nil"/>
              <w:bottom w:val="single" w:sz="4" w:space="0" w:color="auto"/>
              <w:right w:val="single" w:sz="4" w:space="0" w:color="auto"/>
            </w:tcBorders>
            <w:shd w:val="clear" w:color="auto" w:fill="C6EFCE"/>
            <w:noWrap/>
          </w:tcPr>
          <w:p w14:paraId="6E5BDE2D" w14:textId="2CE6AE5F" w:rsidR="002D49B0" w:rsidRPr="00083739" w:rsidRDefault="00BF4125">
            <w:pPr>
              <w:spacing w:after="0" w:line="240" w:lineRule="auto"/>
              <w:rPr>
                <w:rFonts w:ascii="Times New Roman" w:hAnsi="Times New Roman" w:cs="Times New Roman"/>
                <w:noProof/>
                <w:color w:val="006100"/>
                <w:sz w:val="18"/>
                <w:lang w:val="sk-SK"/>
              </w:rPr>
            </w:pPr>
            <w:r w:rsidRPr="00083739">
              <w:rPr>
                <w:rFonts w:ascii="Times New Roman" w:hAnsi="Times New Roman" w:cs="Times New Roman"/>
                <w:noProof/>
                <w:color w:val="006100"/>
                <w:sz w:val="18"/>
                <w:lang w:val="sk-SK"/>
              </w:rPr>
              <w:t>Regulačný orgán pre odpady, energiu</w:t>
            </w:r>
            <w:r w:rsidR="00083739" w:rsidRPr="00083739">
              <w:rPr>
                <w:rFonts w:ascii="Times New Roman" w:hAnsi="Times New Roman" w:cs="Times New Roman"/>
                <w:noProof/>
                <w:color w:val="006100"/>
                <w:sz w:val="18"/>
                <w:lang w:val="sk-SK"/>
              </w:rPr>
              <w:t xml:space="preserve"> a </w:t>
            </w:r>
            <w:r w:rsidRPr="00083739">
              <w:rPr>
                <w:rFonts w:ascii="Times New Roman" w:hAnsi="Times New Roman" w:cs="Times New Roman"/>
                <w:noProof/>
                <w:color w:val="006100"/>
                <w:sz w:val="18"/>
                <w:lang w:val="sk-SK"/>
              </w:rPr>
              <w:t xml:space="preserve">vodu (RAAEY) </w:t>
            </w:r>
            <w:r w:rsidRPr="00083739">
              <w:rPr>
                <w:rFonts w:ascii="Times New Roman" w:hAnsi="Times New Roman" w:cs="Times New Roman"/>
                <w:noProof/>
                <w:lang w:val="sk-SK"/>
              </w:rPr>
              <w:t xml:space="preserve"> </w:t>
            </w:r>
            <w:r w:rsidRPr="00083739">
              <w:rPr>
                <w:rFonts w:ascii="Times New Roman" w:hAnsi="Times New Roman" w:cs="Times New Roman"/>
                <w:noProof/>
                <w:color w:val="006100"/>
                <w:sz w:val="18"/>
                <w:lang w:val="sk-SK"/>
              </w:rPr>
              <w:t>vydá správu,</w:t>
            </w:r>
            <w:r w:rsidR="00083739" w:rsidRPr="00083739">
              <w:rPr>
                <w:rFonts w:ascii="Times New Roman" w:hAnsi="Times New Roman" w:cs="Times New Roman"/>
                <w:noProof/>
                <w:color w:val="006100"/>
                <w:sz w:val="18"/>
                <w:lang w:val="sk-SK"/>
              </w:rPr>
              <w:t xml:space="preserve"> v </w:t>
            </w:r>
            <w:r w:rsidRPr="00083739">
              <w:rPr>
                <w:rFonts w:ascii="Times New Roman" w:hAnsi="Times New Roman" w:cs="Times New Roman"/>
                <w:noProof/>
                <w:color w:val="006100"/>
                <w:sz w:val="18"/>
                <w:lang w:val="sk-SK"/>
              </w:rPr>
              <w:t xml:space="preserve">ktorej preukáže, že FODSA </w:t>
            </w:r>
            <w:r w:rsidRPr="00083739">
              <w:rPr>
                <w:rFonts w:ascii="Times New Roman" w:hAnsi="Times New Roman" w:cs="Times New Roman"/>
                <w:noProof/>
                <w:color w:val="006100"/>
                <w:sz w:val="18"/>
                <w:lang w:val="sk-SK"/>
              </w:rPr>
              <w:t>spĺňajú minimálne úrovne kapacity podľa kritérií stanovených na ich posúdenie</w:t>
            </w:r>
            <w:r w:rsidR="00083739" w:rsidRPr="00083739">
              <w:rPr>
                <w:rFonts w:ascii="Times New Roman" w:hAnsi="Times New Roman" w:cs="Times New Roman"/>
                <w:noProof/>
                <w:color w:val="006100"/>
                <w:sz w:val="18"/>
                <w:lang w:val="sk-SK"/>
              </w:rPr>
              <w:t xml:space="preserve"> v </w:t>
            </w:r>
            <w:r w:rsidRPr="00083739">
              <w:rPr>
                <w:rFonts w:ascii="Times New Roman" w:hAnsi="Times New Roman" w:cs="Times New Roman"/>
                <w:noProof/>
                <w:color w:val="006100"/>
                <w:sz w:val="18"/>
                <w:lang w:val="sk-SK"/>
              </w:rPr>
              <w:t>súlade</w:t>
            </w:r>
            <w:r w:rsidR="00083739" w:rsidRPr="00083739">
              <w:rPr>
                <w:rFonts w:ascii="Times New Roman" w:hAnsi="Times New Roman" w:cs="Times New Roman"/>
                <w:noProof/>
                <w:color w:val="006100"/>
                <w:sz w:val="18"/>
                <w:lang w:val="sk-SK"/>
              </w:rPr>
              <w:t xml:space="preserve"> s </w:t>
            </w:r>
            <w:r w:rsidRPr="00083739">
              <w:rPr>
                <w:rFonts w:ascii="Times New Roman" w:hAnsi="Times New Roman" w:cs="Times New Roman"/>
                <w:noProof/>
                <w:color w:val="006100"/>
                <w:sz w:val="18"/>
                <w:lang w:val="sk-SK"/>
              </w:rPr>
              <w:t>vnútroštátnymi právnymi predpismi.</w:t>
            </w:r>
          </w:p>
        </w:tc>
      </w:tr>
      <w:tr w:rsidR="002D49B0" w:rsidRPr="00083739" w14:paraId="6A6FB2CB" w14:textId="77777777">
        <w:trPr>
          <w:trHeight w:val="309"/>
        </w:trPr>
        <w:tc>
          <w:tcPr>
            <w:tcW w:w="1027" w:type="dxa"/>
            <w:tcBorders>
              <w:top w:val="nil"/>
              <w:left w:val="single" w:sz="4" w:space="0" w:color="auto"/>
              <w:bottom w:val="single" w:sz="4" w:space="0" w:color="auto"/>
              <w:right w:val="single" w:sz="4" w:space="0" w:color="auto"/>
            </w:tcBorders>
            <w:shd w:val="clear" w:color="auto" w:fill="C6EFCE"/>
            <w:noWrap/>
          </w:tcPr>
          <w:p w14:paraId="79A0718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60</w:t>
            </w:r>
          </w:p>
        </w:tc>
        <w:tc>
          <w:tcPr>
            <w:tcW w:w="1797" w:type="dxa"/>
            <w:tcBorders>
              <w:top w:val="nil"/>
              <w:left w:val="nil"/>
              <w:bottom w:val="single" w:sz="4" w:space="0" w:color="auto"/>
              <w:right w:val="single" w:sz="4" w:space="0" w:color="auto"/>
            </w:tcBorders>
            <w:shd w:val="clear" w:color="auto" w:fill="C6EFCE"/>
            <w:noWrap/>
          </w:tcPr>
          <w:p w14:paraId="1B2FD72E" w14:textId="1BEB9579"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4 – 1.4. Udržateľné využívanie zdrojov, odolnosť proti zmene klímy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ochrana životného prostredia – 16979_Zriadenie nového </w:t>
            </w:r>
            <w:r w:rsidRPr="00083739">
              <w:rPr>
                <w:rFonts w:ascii="Times New Roman" w:hAnsi="Times New Roman" w:cs="Times New Roman"/>
                <w:noProof/>
                <w:lang w:val="sk-SK"/>
              </w:rPr>
              <w:t>regulačného orgánu pre vodu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odpadové vody</w:t>
            </w:r>
          </w:p>
        </w:tc>
        <w:tc>
          <w:tcPr>
            <w:tcW w:w="966" w:type="dxa"/>
            <w:tcBorders>
              <w:top w:val="nil"/>
              <w:left w:val="nil"/>
              <w:bottom w:val="single" w:sz="4" w:space="0" w:color="auto"/>
              <w:right w:val="single" w:sz="4" w:space="0" w:color="auto"/>
            </w:tcBorders>
            <w:shd w:val="clear" w:color="auto" w:fill="C6EFCE"/>
            <w:noWrap/>
          </w:tcPr>
          <w:p w14:paraId="155ECDD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190" w:type="dxa"/>
            <w:tcBorders>
              <w:top w:val="nil"/>
              <w:left w:val="nil"/>
              <w:bottom w:val="single" w:sz="4" w:space="0" w:color="auto"/>
              <w:right w:val="single" w:sz="4" w:space="0" w:color="auto"/>
            </w:tcBorders>
            <w:shd w:val="clear" w:color="auto" w:fill="C6EFCE"/>
            <w:noWrap/>
          </w:tcPr>
          <w:p w14:paraId="710C5C11" w14:textId="0C3879E3"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Zriadenie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fungovanie regulačného orgánu pre hospodárenie</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vodami</w:t>
            </w:r>
          </w:p>
        </w:tc>
        <w:tc>
          <w:tcPr>
            <w:tcW w:w="1468" w:type="dxa"/>
            <w:tcBorders>
              <w:top w:val="nil"/>
              <w:left w:val="nil"/>
              <w:bottom w:val="single" w:sz="4" w:space="0" w:color="auto"/>
              <w:right w:val="single" w:sz="4" w:space="0" w:color="auto"/>
            </w:tcBorders>
            <w:shd w:val="clear" w:color="auto" w:fill="C6EFCE"/>
            <w:noWrap/>
          </w:tcPr>
          <w:p w14:paraId="0234EEA4" w14:textId="468C2B4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spoločného ministerského rozhodnutia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všetkých potrebných administratívnych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legislatívnych opatrení na </w:t>
            </w:r>
            <w:r w:rsidRPr="00083739">
              <w:rPr>
                <w:rFonts w:ascii="Times New Roman" w:hAnsi="Times New Roman" w:cs="Times New Roman"/>
                <w:noProof/>
                <w:lang w:val="sk-SK"/>
              </w:rPr>
              <w:t>zriadenie orgánu pre cenné papiere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trhy </w:t>
            </w:r>
          </w:p>
        </w:tc>
        <w:tc>
          <w:tcPr>
            <w:tcW w:w="1031" w:type="dxa"/>
            <w:tcBorders>
              <w:top w:val="nil"/>
              <w:left w:val="nil"/>
              <w:bottom w:val="single" w:sz="4" w:space="0" w:color="auto"/>
              <w:right w:val="single" w:sz="4" w:space="0" w:color="auto"/>
            </w:tcBorders>
            <w:shd w:val="clear" w:color="auto" w:fill="C6EFCE"/>
            <w:noWrap/>
          </w:tcPr>
          <w:p w14:paraId="43B3C3CC"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nil"/>
              <w:left w:val="nil"/>
              <w:bottom w:val="single" w:sz="4" w:space="0" w:color="auto"/>
              <w:right w:val="single" w:sz="4" w:space="0" w:color="auto"/>
            </w:tcBorders>
            <w:shd w:val="clear" w:color="auto" w:fill="C6EFCE"/>
            <w:noWrap/>
          </w:tcPr>
          <w:p w14:paraId="626B481E"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4" w:type="dxa"/>
            <w:tcBorders>
              <w:top w:val="nil"/>
              <w:left w:val="nil"/>
              <w:bottom w:val="single" w:sz="4" w:space="0" w:color="auto"/>
              <w:right w:val="single" w:sz="4" w:space="0" w:color="auto"/>
            </w:tcBorders>
            <w:shd w:val="clear" w:color="auto" w:fill="C6EFCE"/>
            <w:noWrap/>
          </w:tcPr>
          <w:p w14:paraId="48BAA407"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1" w:type="dxa"/>
            <w:tcBorders>
              <w:top w:val="nil"/>
              <w:left w:val="nil"/>
              <w:bottom w:val="single" w:sz="4" w:space="0" w:color="auto"/>
              <w:right w:val="single" w:sz="4" w:space="0" w:color="auto"/>
            </w:tcBorders>
            <w:shd w:val="clear" w:color="auto" w:fill="C6EFCE"/>
            <w:noWrap/>
          </w:tcPr>
          <w:p w14:paraId="3B33876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09" w:type="dxa"/>
            <w:tcBorders>
              <w:top w:val="nil"/>
              <w:left w:val="nil"/>
              <w:bottom w:val="single" w:sz="4" w:space="0" w:color="auto"/>
              <w:right w:val="single" w:sz="4" w:space="0" w:color="auto"/>
            </w:tcBorders>
            <w:shd w:val="clear" w:color="auto" w:fill="C6EFCE"/>
            <w:noWrap/>
          </w:tcPr>
          <w:p w14:paraId="42DEFCC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2023</w:t>
            </w:r>
          </w:p>
        </w:tc>
        <w:tc>
          <w:tcPr>
            <w:tcW w:w="5019" w:type="dxa"/>
            <w:tcBorders>
              <w:top w:val="nil"/>
              <w:left w:val="nil"/>
              <w:bottom w:val="single" w:sz="4" w:space="0" w:color="auto"/>
              <w:right w:val="single" w:sz="4" w:space="0" w:color="auto"/>
            </w:tcBorders>
            <w:shd w:val="clear" w:color="auto" w:fill="C6EFCE"/>
            <w:noWrap/>
          </w:tcPr>
          <w:p w14:paraId="7F93F6CA" w14:textId="3F3D8B45"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Nový Národný regulačný orgán pre vodu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odpadovú vodu je personálne vybavený</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vybavený priestormi.</w:t>
            </w:r>
          </w:p>
        </w:tc>
      </w:tr>
    </w:tbl>
    <w:p w14:paraId="5A2B090F" w14:textId="77777777" w:rsidR="002D49B0" w:rsidRPr="00083739" w:rsidRDefault="002D49B0">
      <w:pPr>
        <w:spacing w:before="120" w:after="120" w:line="240" w:lineRule="auto"/>
        <w:ind w:left="709"/>
        <w:jc w:val="both"/>
        <w:rPr>
          <w:rFonts w:ascii="Times New Roman" w:hAnsi="Times New Roman" w:cs="Times New Roman"/>
          <w:noProof/>
          <w:sz w:val="24"/>
          <w:szCs w:val="24"/>
          <w:lang w:val="sk-SK"/>
        </w:rPr>
      </w:pPr>
    </w:p>
    <w:p w14:paraId="40077332" w14:textId="2CF8681F" w:rsidR="002D49B0" w:rsidRPr="00083739" w:rsidRDefault="00BF4125">
      <w:pPr>
        <w:pStyle w:val="P68B1DB1-Normal6"/>
        <w:keepNext/>
        <w:keepLines/>
        <w:spacing w:before="40" w:after="0" w:line="240" w:lineRule="auto"/>
        <w:jc w:val="both"/>
        <w:outlineLvl w:val="4"/>
        <w:rPr>
          <w:rFonts w:ascii="Times New Roman" w:eastAsia="Times New Roman" w:hAnsi="Times New Roman" w:cs="Times New Roman"/>
          <w:noProof/>
          <w:lang w:val="sk-SK"/>
        </w:rPr>
      </w:pPr>
      <w:r w:rsidRPr="00083739">
        <w:rPr>
          <w:rFonts w:ascii="Times New Roman" w:hAnsi="Times New Roman" w:cs="Times New Roman"/>
          <w:noProof/>
          <w:lang w:val="sk-SK"/>
        </w:rPr>
        <w:t>Skupina 5: Národný plán zalesňovania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ochrana biodiverzity</w:t>
      </w:r>
    </w:p>
    <w:p w14:paraId="78DB0A78" w14:textId="77777777" w:rsidR="002D49B0" w:rsidRPr="00083739" w:rsidRDefault="00BF4125">
      <w:pPr>
        <w:pStyle w:val="P68B1DB1-Normal4"/>
        <w:spacing w:before="120" w:after="120" w:line="240" w:lineRule="auto"/>
        <w:rPr>
          <w:rFonts w:cs="Times New Roman"/>
          <w:noProof/>
          <w:lang w:val="sk-SK"/>
        </w:rPr>
      </w:pPr>
      <w:r w:rsidRPr="00083739">
        <w:rPr>
          <w:rFonts w:cs="Times New Roman"/>
          <w:noProof/>
          <w:lang w:val="sk-SK"/>
        </w:rPr>
        <w:t xml:space="preserve">Do tejto skupiny patria </w:t>
      </w:r>
      <w:r w:rsidRPr="00083739">
        <w:rPr>
          <w:rFonts w:cs="Times New Roman"/>
          <w:noProof/>
          <w:lang w:val="sk-SK"/>
        </w:rPr>
        <w:t>tieto opatrenia:</w:t>
      </w:r>
    </w:p>
    <w:p w14:paraId="062D9E79" w14:textId="5C1C3255" w:rsidR="002D49B0" w:rsidRPr="00083739" w:rsidRDefault="00BF4125">
      <w:pPr>
        <w:spacing w:before="120" w:after="120" w:line="240" w:lineRule="auto"/>
        <w:rPr>
          <w:rFonts w:ascii="Times New Roman" w:hAnsi="Times New Roman" w:cs="Times New Roman"/>
          <w:noProof/>
          <w:sz w:val="24"/>
          <w:szCs w:val="24"/>
          <w:lang w:val="sk-SK"/>
        </w:rPr>
      </w:pPr>
      <w:r w:rsidRPr="00083739">
        <w:rPr>
          <w:rFonts w:ascii="Times New Roman" w:hAnsi="Times New Roman" w:cs="Times New Roman"/>
          <w:noProof/>
          <w:sz w:val="24"/>
          <w:lang w:val="sk-SK"/>
        </w:rPr>
        <w:t>●</w:t>
      </w:r>
      <w:r w:rsidRPr="00083739">
        <w:rPr>
          <w:rFonts w:ascii="Times New Roman" w:hAnsi="Times New Roman" w:cs="Times New Roman"/>
          <w:noProof/>
          <w:lang w:val="sk-SK"/>
        </w:rPr>
        <w:t xml:space="preserve"> </w:t>
      </w:r>
      <w:r w:rsidRPr="00083739">
        <w:rPr>
          <w:rFonts w:ascii="Times New Roman" w:hAnsi="Times New Roman" w:cs="Times New Roman"/>
          <w:noProof/>
          <w:sz w:val="24"/>
          <w:lang w:val="sk-SK"/>
        </w:rPr>
        <w:t xml:space="preserve"> Národný plán obnovy lesov, obnova</w:t>
      </w:r>
      <w:r w:rsidR="00083739" w:rsidRPr="00083739">
        <w:rPr>
          <w:rFonts w:ascii="Times New Roman" w:hAnsi="Times New Roman" w:cs="Times New Roman"/>
          <w:noProof/>
          <w:sz w:val="24"/>
          <w:lang w:val="sk-SK"/>
        </w:rPr>
        <w:t xml:space="preserve"> a </w:t>
      </w:r>
      <w:r w:rsidRPr="00083739">
        <w:rPr>
          <w:rFonts w:ascii="Times New Roman" w:hAnsi="Times New Roman" w:cs="Times New Roman"/>
          <w:noProof/>
          <w:sz w:val="24"/>
          <w:lang w:val="sk-SK"/>
        </w:rPr>
        <w:t>prevencia („antiNERO“), opatrenia proti erózii</w:t>
      </w:r>
      <w:r w:rsidR="00083739" w:rsidRPr="00083739">
        <w:rPr>
          <w:rFonts w:ascii="Times New Roman" w:hAnsi="Times New Roman" w:cs="Times New Roman"/>
          <w:noProof/>
          <w:sz w:val="24"/>
          <w:lang w:val="sk-SK"/>
        </w:rPr>
        <w:t xml:space="preserve"> a </w:t>
      </w:r>
      <w:r w:rsidRPr="00083739">
        <w:rPr>
          <w:rFonts w:ascii="Times New Roman" w:hAnsi="Times New Roman" w:cs="Times New Roman"/>
          <w:noProof/>
          <w:sz w:val="24"/>
          <w:lang w:val="sk-SK"/>
        </w:rPr>
        <w:t>protipovodňovej ochrane (ID: 16849)</w:t>
      </w:r>
    </w:p>
    <w:p w14:paraId="1F254B9F" w14:textId="77777777" w:rsidR="002D49B0" w:rsidRPr="00083739" w:rsidRDefault="00BF4125">
      <w:pPr>
        <w:spacing w:before="120" w:after="120" w:line="240" w:lineRule="auto"/>
        <w:rPr>
          <w:rFonts w:ascii="Times New Roman" w:hAnsi="Times New Roman" w:cs="Times New Roman"/>
          <w:noProof/>
          <w:sz w:val="24"/>
          <w:lang w:val="sk-SK"/>
        </w:rPr>
      </w:pPr>
      <w:r w:rsidRPr="00083739">
        <w:rPr>
          <w:rFonts w:ascii="Times New Roman" w:hAnsi="Times New Roman" w:cs="Times New Roman"/>
          <w:noProof/>
          <w:sz w:val="24"/>
          <w:lang w:val="sk-SK"/>
        </w:rPr>
        <w:t>●</w:t>
      </w:r>
      <w:r w:rsidRPr="00083739">
        <w:rPr>
          <w:rFonts w:ascii="Times New Roman" w:hAnsi="Times New Roman" w:cs="Times New Roman"/>
          <w:noProof/>
          <w:lang w:val="sk-SK"/>
        </w:rPr>
        <w:t xml:space="preserve"> </w:t>
      </w:r>
      <w:r w:rsidRPr="00083739">
        <w:rPr>
          <w:rFonts w:ascii="Times New Roman" w:hAnsi="Times New Roman" w:cs="Times New Roman"/>
          <w:noProof/>
          <w:sz w:val="24"/>
          <w:lang w:val="sk-SK"/>
        </w:rPr>
        <w:t xml:space="preserve">Ochrana biodiverzity ako hnacia sila udržateľného rastu (ID: 16851) </w:t>
      </w:r>
    </w:p>
    <w:tbl>
      <w:tblPr>
        <w:tblpPr w:leftFromText="180" w:rightFromText="180" w:vertAnchor="text" w:tblpXSpec="center" w:tblpY="1"/>
        <w:tblOverlap w:val="never"/>
        <w:tblW w:w="15304" w:type="dxa"/>
        <w:tblLook w:val="04A0" w:firstRow="1" w:lastRow="0" w:firstColumn="1" w:lastColumn="0" w:noHBand="0" w:noVBand="1"/>
      </w:tblPr>
      <w:tblGrid>
        <w:gridCol w:w="1040"/>
        <w:gridCol w:w="1835"/>
        <w:gridCol w:w="1090"/>
        <w:gridCol w:w="2199"/>
        <w:gridCol w:w="1523"/>
        <w:gridCol w:w="970"/>
        <w:gridCol w:w="970"/>
        <w:gridCol w:w="695"/>
        <w:gridCol w:w="1194"/>
        <w:gridCol w:w="806"/>
        <w:gridCol w:w="3067"/>
      </w:tblGrid>
      <w:tr w:rsidR="002D49B0" w:rsidRPr="00083739" w14:paraId="4D669FCE" w14:textId="77777777">
        <w:trPr>
          <w:trHeight w:val="328"/>
          <w:tblHeader/>
        </w:trPr>
        <w:tc>
          <w:tcPr>
            <w:tcW w:w="1062"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74D2C70F" w14:textId="77777777" w:rsidR="002D49B0" w:rsidRPr="00083739" w:rsidRDefault="00BF4125">
            <w:pPr>
              <w:pStyle w:val="P68B1DB1-Normal7"/>
              <w:spacing w:after="0" w:line="240" w:lineRule="auto"/>
              <w:jc w:val="center"/>
              <w:rPr>
                <w:rFonts w:cs="Times New Roman"/>
                <w:noProof/>
                <w:lang w:val="sk-SK"/>
              </w:rPr>
            </w:pPr>
            <w:r w:rsidRPr="00083739">
              <w:rPr>
                <w:rFonts w:cs="Times New Roman"/>
                <w:noProof/>
                <w:lang w:val="sk-SK"/>
              </w:rPr>
              <w:t>Poradové číslo</w:t>
            </w:r>
          </w:p>
        </w:tc>
        <w:tc>
          <w:tcPr>
            <w:tcW w:w="1881"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552B8269" w14:textId="77777777" w:rsidR="002D49B0" w:rsidRPr="00083739" w:rsidRDefault="00BF4125">
            <w:pPr>
              <w:pStyle w:val="P68B1DB1-Normal7"/>
              <w:spacing w:after="0" w:line="240" w:lineRule="auto"/>
              <w:jc w:val="center"/>
              <w:rPr>
                <w:rFonts w:cs="Times New Roman"/>
                <w:noProof/>
                <w:lang w:val="sk-SK"/>
              </w:rPr>
            </w:pPr>
            <w:r w:rsidRPr="00083739">
              <w:rPr>
                <w:rFonts w:cs="Times New Roman"/>
                <w:noProof/>
                <w:lang w:val="sk-SK"/>
              </w:rPr>
              <w:t xml:space="preserve">Súvisiace opatrenie (reforma </w:t>
            </w:r>
            <w:r w:rsidRPr="00083739">
              <w:rPr>
                <w:rFonts w:cs="Times New Roman"/>
                <w:noProof/>
                <w:lang w:val="sk-SK"/>
              </w:rPr>
              <w:t>alebo investícia)</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0136C8A5" w14:textId="77777777" w:rsidR="002D49B0" w:rsidRPr="00083739" w:rsidRDefault="00BF4125">
            <w:pPr>
              <w:pStyle w:val="P68B1DB1-Normal7"/>
              <w:spacing w:after="0" w:line="240" w:lineRule="auto"/>
              <w:jc w:val="center"/>
              <w:rPr>
                <w:rFonts w:cs="Times New Roman"/>
                <w:noProof/>
                <w:lang w:val="sk-SK"/>
              </w:rPr>
            </w:pPr>
            <w:r w:rsidRPr="00083739">
              <w:rPr>
                <w:rFonts w:cs="Times New Roman"/>
                <w:noProof/>
                <w:lang w:val="sk-SK"/>
              </w:rPr>
              <w:t>Míľnik/cieľ</w:t>
            </w:r>
          </w:p>
        </w:tc>
        <w:tc>
          <w:tcPr>
            <w:tcW w:w="2256"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2DBC14E5" w14:textId="77777777" w:rsidR="002D49B0" w:rsidRPr="00083739" w:rsidRDefault="00BF4125">
            <w:pPr>
              <w:pStyle w:val="P68B1DB1-Normal7"/>
              <w:spacing w:after="0" w:line="240" w:lineRule="auto"/>
              <w:jc w:val="center"/>
              <w:rPr>
                <w:rFonts w:cs="Times New Roman"/>
                <w:noProof/>
                <w:lang w:val="sk-SK"/>
              </w:rPr>
            </w:pPr>
            <w:r w:rsidRPr="00083739">
              <w:rPr>
                <w:rFonts w:cs="Times New Roman"/>
                <w:noProof/>
                <w:lang w:val="sk-SK"/>
              </w:rPr>
              <w:t>Názov</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237A5C74" w14:textId="77777777" w:rsidR="002D49B0" w:rsidRPr="00083739" w:rsidRDefault="00BF4125">
            <w:pPr>
              <w:pStyle w:val="P68B1DB1-Normal7"/>
              <w:spacing w:after="0" w:line="240" w:lineRule="auto"/>
              <w:jc w:val="center"/>
              <w:rPr>
                <w:rFonts w:cs="Times New Roman"/>
                <w:noProof/>
                <w:lang w:val="sk-SK"/>
              </w:rPr>
            </w:pPr>
            <w:r w:rsidRPr="00083739">
              <w:rPr>
                <w:rFonts w:cs="Times New Roman"/>
                <w:noProof/>
                <w:lang w:val="sk-SK"/>
              </w:rPr>
              <w:t>Kvalitatívne ukazovatele (pre míľniky)</w:t>
            </w:r>
          </w:p>
        </w:tc>
        <w:tc>
          <w:tcPr>
            <w:tcW w:w="2693"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28398327" w14:textId="77777777" w:rsidR="002D49B0" w:rsidRPr="00083739" w:rsidRDefault="00BF4125">
            <w:pPr>
              <w:pStyle w:val="P68B1DB1-Normal7"/>
              <w:spacing w:after="0" w:line="240" w:lineRule="auto"/>
              <w:jc w:val="center"/>
              <w:rPr>
                <w:rFonts w:cs="Times New Roman"/>
                <w:noProof/>
                <w:lang w:val="sk-SK"/>
              </w:rPr>
            </w:pPr>
            <w:r w:rsidRPr="00083739">
              <w:rPr>
                <w:rFonts w:cs="Times New Roman"/>
                <w:noProof/>
                <w:lang w:val="sk-SK"/>
              </w:rPr>
              <w:t>Kvantitatívne ukazovatele (pre ciele)</w:t>
            </w:r>
          </w:p>
        </w:tc>
        <w:tc>
          <w:tcPr>
            <w:tcW w:w="1711" w:type="dxa"/>
            <w:gridSpan w:val="2"/>
            <w:tcBorders>
              <w:top w:val="single" w:sz="4" w:space="0" w:color="auto"/>
              <w:left w:val="nil"/>
              <w:bottom w:val="single" w:sz="4" w:space="0" w:color="auto"/>
              <w:right w:val="single" w:sz="4" w:space="0" w:color="auto"/>
            </w:tcBorders>
            <w:shd w:val="clear" w:color="auto" w:fill="B8CCE4" w:themeFill="accent1" w:themeFillTint="66"/>
            <w:noWrap/>
          </w:tcPr>
          <w:p w14:paraId="4169496B" w14:textId="77777777" w:rsidR="002D49B0" w:rsidRPr="00083739" w:rsidRDefault="00BF4125">
            <w:pPr>
              <w:pStyle w:val="P68B1DB1-Normal7"/>
              <w:spacing w:after="0" w:line="240" w:lineRule="auto"/>
              <w:jc w:val="center"/>
              <w:rPr>
                <w:rFonts w:cs="Times New Roman"/>
                <w:noProof/>
                <w:lang w:val="sk-SK"/>
              </w:rPr>
            </w:pPr>
            <w:r w:rsidRPr="00083739">
              <w:rPr>
                <w:rFonts w:cs="Times New Roman"/>
                <w:noProof/>
                <w:lang w:val="sk-SK"/>
              </w:rPr>
              <w:t>Orientačný harmonogram dokončenia</w:t>
            </w:r>
          </w:p>
        </w:tc>
        <w:tc>
          <w:tcPr>
            <w:tcW w:w="3148" w:type="dxa"/>
            <w:vMerge w:val="restart"/>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7F3272AF" w14:textId="332968F8" w:rsidR="002D49B0" w:rsidRPr="00083739" w:rsidRDefault="00BF4125">
            <w:pPr>
              <w:pStyle w:val="P68B1DB1-Normal7"/>
              <w:spacing w:after="0" w:line="240" w:lineRule="auto"/>
              <w:jc w:val="center"/>
              <w:rPr>
                <w:rFonts w:cs="Times New Roman"/>
                <w:noProof/>
                <w:lang w:val="sk-SK"/>
              </w:rPr>
            </w:pPr>
            <w:r w:rsidRPr="00083739">
              <w:rPr>
                <w:rFonts w:cs="Times New Roman"/>
                <w:noProof/>
                <w:lang w:val="sk-SK"/>
              </w:rPr>
              <w:t>Opis každého míľnika</w:t>
            </w:r>
            <w:r w:rsidR="00083739" w:rsidRPr="00083739">
              <w:rPr>
                <w:rFonts w:cs="Times New Roman"/>
                <w:noProof/>
                <w:lang w:val="sk-SK"/>
              </w:rPr>
              <w:t xml:space="preserve"> a </w:t>
            </w:r>
            <w:r w:rsidRPr="00083739">
              <w:rPr>
                <w:rFonts w:cs="Times New Roman"/>
                <w:noProof/>
                <w:lang w:val="sk-SK"/>
              </w:rPr>
              <w:t>cieľa</w:t>
            </w:r>
          </w:p>
        </w:tc>
      </w:tr>
      <w:tr w:rsidR="002D49B0" w:rsidRPr="00083739" w14:paraId="3F9601F5" w14:textId="77777777">
        <w:trPr>
          <w:trHeight w:val="328"/>
          <w:tblHeader/>
        </w:trPr>
        <w:tc>
          <w:tcPr>
            <w:tcW w:w="1062" w:type="dxa"/>
            <w:vMerge/>
            <w:tcBorders>
              <w:top w:val="single" w:sz="4" w:space="0" w:color="auto"/>
              <w:left w:val="single" w:sz="4" w:space="0" w:color="auto"/>
              <w:bottom w:val="single" w:sz="4" w:space="0" w:color="auto"/>
              <w:right w:val="single" w:sz="4" w:space="0" w:color="auto"/>
            </w:tcBorders>
            <w:noWrap/>
            <w:vAlign w:val="center"/>
          </w:tcPr>
          <w:p w14:paraId="750D81F7"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881" w:type="dxa"/>
            <w:vMerge/>
            <w:tcBorders>
              <w:top w:val="single" w:sz="4" w:space="0" w:color="auto"/>
              <w:left w:val="single" w:sz="4" w:space="0" w:color="auto"/>
              <w:bottom w:val="single" w:sz="4" w:space="0" w:color="auto"/>
              <w:right w:val="single" w:sz="4" w:space="0" w:color="auto"/>
            </w:tcBorders>
            <w:noWrap/>
            <w:vAlign w:val="center"/>
          </w:tcPr>
          <w:p w14:paraId="223FE2A9"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993" w:type="dxa"/>
            <w:vMerge/>
            <w:tcBorders>
              <w:top w:val="single" w:sz="4" w:space="0" w:color="auto"/>
              <w:left w:val="single" w:sz="4" w:space="0" w:color="auto"/>
              <w:bottom w:val="single" w:sz="4" w:space="0" w:color="auto"/>
              <w:right w:val="single" w:sz="4" w:space="0" w:color="auto"/>
            </w:tcBorders>
            <w:noWrap/>
            <w:vAlign w:val="center"/>
          </w:tcPr>
          <w:p w14:paraId="07E71FAD"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2256" w:type="dxa"/>
            <w:vMerge/>
            <w:tcBorders>
              <w:top w:val="single" w:sz="4" w:space="0" w:color="auto"/>
              <w:left w:val="single" w:sz="4" w:space="0" w:color="auto"/>
              <w:bottom w:val="single" w:sz="4" w:space="0" w:color="auto"/>
              <w:right w:val="single" w:sz="4" w:space="0" w:color="auto"/>
            </w:tcBorders>
            <w:noWrap/>
            <w:vAlign w:val="center"/>
          </w:tcPr>
          <w:p w14:paraId="48B6DEC1"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560" w:type="dxa"/>
            <w:vMerge/>
            <w:tcBorders>
              <w:top w:val="single" w:sz="4" w:space="0" w:color="auto"/>
              <w:left w:val="single" w:sz="4" w:space="0" w:color="auto"/>
              <w:bottom w:val="single" w:sz="4" w:space="0" w:color="auto"/>
              <w:right w:val="single" w:sz="4" w:space="0" w:color="auto"/>
            </w:tcBorders>
            <w:noWrap/>
            <w:vAlign w:val="center"/>
          </w:tcPr>
          <w:p w14:paraId="2A8C60B7"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992"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666714B6" w14:textId="77777777" w:rsidR="002D49B0" w:rsidRPr="00083739" w:rsidRDefault="00BF4125">
            <w:pPr>
              <w:pStyle w:val="P68B1DB1-Normal7"/>
              <w:spacing w:after="0" w:line="240" w:lineRule="auto"/>
              <w:rPr>
                <w:rFonts w:eastAsia="Times New Roman" w:cs="Times New Roman"/>
                <w:bCs/>
                <w:noProof/>
                <w:szCs w:val="18"/>
                <w:lang w:val="sk-SK"/>
              </w:rPr>
            </w:pPr>
            <w:r w:rsidRPr="00083739">
              <w:rPr>
                <w:rFonts w:cs="Times New Roman"/>
                <w:noProof/>
                <w:lang w:val="sk-SK"/>
              </w:rPr>
              <w:t>Merná jednotka</w:t>
            </w:r>
          </w:p>
        </w:tc>
        <w:tc>
          <w:tcPr>
            <w:tcW w:w="99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B9267DB" w14:textId="77777777" w:rsidR="002D49B0" w:rsidRPr="00083739" w:rsidRDefault="00BF4125">
            <w:pPr>
              <w:pStyle w:val="P68B1DB1-Normal7"/>
              <w:spacing w:after="0" w:line="240" w:lineRule="auto"/>
              <w:rPr>
                <w:rFonts w:eastAsia="Times New Roman" w:cs="Times New Roman"/>
                <w:bCs/>
                <w:noProof/>
                <w:szCs w:val="18"/>
                <w:lang w:val="sk-SK"/>
              </w:rPr>
            </w:pPr>
            <w:r w:rsidRPr="00083739">
              <w:rPr>
                <w:rFonts w:cs="Times New Roman"/>
                <w:noProof/>
                <w:lang w:val="sk-SK"/>
              </w:rPr>
              <w:t>Základná</w:t>
            </w:r>
          </w:p>
        </w:tc>
        <w:tc>
          <w:tcPr>
            <w:tcW w:w="70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AA6F8F3" w14:textId="77777777" w:rsidR="002D49B0" w:rsidRPr="00083739" w:rsidRDefault="00BF4125">
            <w:pPr>
              <w:pStyle w:val="P68B1DB1-Normal7"/>
              <w:spacing w:after="0" w:line="240" w:lineRule="auto"/>
              <w:rPr>
                <w:rFonts w:eastAsia="Times New Roman" w:cs="Times New Roman"/>
                <w:bCs/>
                <w:noProof/>
                <w:szCs w:val="18"/>
                <w:lang w:val="sk-SK"/>
              </w:rPr>
            </w:pPr>
            <w:r w:rsidRPr="00083739">
              <w:rPr>
                <w:rFonts w:cs="Times New Roman"/>
                <w:noProof/>
                <w:lang w:val="sk-SK"/>
              </w:rPr>
              <w:t xml:space="preserve">Cieľ </w:t>
            </w:r>
          </w:p>
        </w:tc>
        <w:tc>
          <w:tcPr>
            <w:tcW w:w="888"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52A96B8D"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Štvrtina</w:t>
            </w:r>
          </w:p>
        </w:tc>
        <w:tc>
          <w:tcPr>
            <w:tcW w:w="82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88FE1EE"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Rok</w:t>
            </w:r>
          </w:p>
        </w:tc>
        <w:tc>
          <w:tcPr>
            <w:tcW w:w="3148" w:type="dxa"/>
            <w:vMerge/>
            <w:tcBorders>
              <w:top w:val="single" w:sz="4" w:space="0" w:color="auto"/>
              <w:bottom w:val="single" w:sz="4" w:space="0" w:color="auto"/>
              <w:right w:val="single" w:sz="4" w:space="0" w:color="auto"/>
            </w:tcBorders>
            <w:noWrap/>
            <w:vAlign w:val="center"/>
          </w:tcPr>
          <w:p w14:paraId="52DB3BE8"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r>
      <w:tr w:rsidR="002D49B0" w:rsidRPr="00083739" w14:paraId="65792085" w14:textId="77777777">
        <w:trPr>
          <w:trHeight w:val="313"/>
          <w:tblHeader/>
        </w:trPr>
        <w:tc>
          <w:tcPr>
            <w:tcW w:w="1062" w:type="dxa"/>
            <w:tcBorders>
              <w:top w:val="single" w:sz="4" w:space="0" w:color="auto"/>
              <w:left w:val="single" w:sz="4" w:space="0" w:color="auto"/>
              <w:bottom w:val="single" w:sz="4" w:space="0" w:color="auto"/>
              <w:right w:val="single" w:sz="4" w:space="0" w:color="auto"/>
            </w:tcBorders>
            <w:shd w:val="clear" w:color="auto" w:fill="C6EFCE"/>
            <w:noWrap/>
          </w:tcPr>
          <w:p w14:paraId="78D5E33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61</w:t>
            </w:r>
          </w:p>
        </w:tc>
        <w:tc>
          <w:tcPr>
            <w:tcW w:w="1881" w:type="dxa"/>
            <w:tcBorders>
              <w:top w:val="single" w:sz="4" w:space="0" w:color="auto"/>
              <w:left w:val="nil"/>
              <w:bottom w:val="single" w:sz="4" w:space="0" w:color="auto"/>
              <w:right w:val="single" w:sz="4" w:space="0" w:color="auto"/>
            </w:tcBorders>
            <w:shd w:val="clear" w:color="auto" w:fill="C6EFCE"/>
            <w:noWrap/>
          </w:tcPr>
          <w:p w14:paraId="407A1B81" w14:textId="5A8584FD"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4 – 1.4. Udržateľné </w:t>
            </w:r>
            <w:r w:rsidRPr="00083739">
              <w:rPr>
                <w:rFonts w:ascii="Times New Roman" w:hAnsi="Times New Roman" w:cs="Times New Roman"/>
                <w:noProof/>
                <w:lang w:val="sk-SK"/>
              </w:rPr>
              <w:t>využívanie zdrojov, odolnosť proti zmene klímy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ochrana životného prostredia – 16849_ Národný plán obnovy lesov, obnova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prevencia („antiNERO“), opatrenia proti erózii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protipovodňovej ochrane</w:t>
            </w:r>
          </w:p>
        </w:tc>
        <w:tc>
          <w:tcPr>
            <w:tcW w:w="993" w:type="dxa"/>
            <w:tcBorders>
              <w:top w:val="single" w:sz="4" w:space="0" w:color="auto"/>
              <w:left w:val="nil"/>
              <w:bottom w:val="single" w:sz="4" w:space="0" w:color="auto"/>
              <w:right w:val="single" w:sz="4" w:space="0" w:color="auto"/>
            </w:tcBorders>
            <w:shd w:val="clear" w:color="auto" w:fill="C6EFCE"/>
            <w:noWrap/>
          </w:tcPr>
          <w:p w14:paraId="277E06F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2256" w:type="dxa"/>
            <w:tcBorders>
              <w:top w:val="single" w:sz="4" w:space="0" w:color="auto"/>
              <w:left w:val="nil"/>
              <w:bottom w:val="single" w:sz="4" w:space="0" w:color="auto"/>
              <w:right w:val="single" w:sz="4" w:space="0" w:color="auto"/>
            </w:tcBorders>
            <w:shd w:val="clear" w:color="auto" w:fill="C6EFCE"/>
            <w:noWrap/>
          </w:tcPr>
          <w:p w14:paraId="28DF2407" w14:textId="2B361FFD"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Opätovné zalesňovanie, obnova lesov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prevencia – </w:t>
            </w:r>
            <w:r w:rsidRPr="00083739">
              <w:rPr>
                <w:rFonts w:ascii="Times New Roman" w:hAnsi="Times New Roman" w:cs="Times New Roman"/>
                <w:noProof/>
                <w:lang w:val="sk-SK"/>
              </w:rPr>
              <w:t>zmluvy 1</w:t>
            </w:r>
          </w:p>
        </w:tc>
        <w:tc>
          <w:tcPr>
            <w:tcW w:w="1560" w:type="dxa"/>
            <w:tcBorders>
              <w:top w:val="single" w:sz="4" w:space="0" w:color="auto"/>
              <w:left w:val="nil"/>
              <w:bottom w:val="single" w:sz="4" w:space="0" w:color="auto"/>
              <w:right w:val="single" w:sz="4" w:space="0" w:color="auto"/>
            </w:tcBorders>
            <w:shd w:val="clear" w:color="auto" w:fill="C6EFCE"/>
            <w:noWrap/>
          </w:tcPr>
          <w:p w14:paraId="1375EDA6" w14:textId="12DD541F"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Oznámenie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zadaní zákazky</w:t>
            </w:r>
          </w:p>
        </w:tc>
        <w:tc>
          <w:tcPr>
            <w:tcW w:w="992" w:type="dxa"/>
            <w:tcBorders>
              <w:top w:val="single" w:sz="4" w:space="0" w:color="auto"/>
              <w:left w:val="nil"/>
              <w:bottom w:val="single" w:sz="4" w:space="0" w:color="auto"/>
              <w:right w:val="single" w:sz="4" w:space="0" w:color="auto"/>
            </w:tcBorders>
            <w:shd w:val="clear" w:color="auto" w:fill="C6EFCE"/>
            <w:noWrap/>
          </w:tcPr>
          <w:p w14:paraId="2E2AA943"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2" w:type="dxa"/>
            <w:tcBorders>
              <w:top w:val="single" w:sz="4" w:space="0" w:color="auto"/>
              <w:left w:val="nil"/>
              <w:bottom w:val="single" w:sz="4" w:space="0" w:color="auto"/>
              <w:right w:val="single" w:sz="4" w:space="0" w:color="auto"/>
            </w:tcBorders>
            <w:shd w:val="clear" w:color="auto" w:fill="C6EFCE"/>
            <w:noWrap/>
          </w:tcPr>
          <w:p w14:paraId="35AC2C68"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709" w:type="dxa"/>
            <w:tcBorders>
              <w:top w:val="single" w:sz="4" w:space="0" w:color="auto"/>
              <w:left w:val="nil"/>
              <w:bottom w:val="single" w:sz="4" w:space="0" w:color="auto"/>
              <w:right w:val="single" w:sz="4" w:space="0" w:color="auto"/>
            </w:tcBorders>
            <w:shd w:val="clear" w:color="auto" w:fill="C6EFCE"/>
            <w:noWrap/>
          </w:tcPr>
          <w:p w14:paraId="29306D0C"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88" w:type="dxa"/>
            <w:tcBorders>
              <w:top w:val="single" w:sz="4" w:space="0" w:color="auto"/>
              <w:left w:val="nil"/>
              <w:bottom w:val="single" w:sz="4" w:space="0" w:color="auto"/>
              <w:right w:val="single" w:sz="4" w:space="0" w:color="auto"/>
            </w:tcBorders>
            <w:shd w:val="clear" w:color="auto" w:fill="C6EFCE"/>
            <w:noWrap/>
          </w:tcPr>
          <w:p w14:paraId="41D421F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823" w:type="dxa"/>
            <w:tcBorders>
              <w:top w:val="single" w:sz="4" w:space="0" w:color="auto"/>
              <w:left w:val="nil"/>
              <w:bottom w:val="single" w:sz="4" w:space="0" w:color="auto"/>
              <w:right w:val="single" w:sz="4" w:space="0" w:color="auto"/>
            </w:tcBorders>
            <w:shd w:val="clear" w:color="auto" w:fill="C6EFCE"/>
            <w:noWrap/>
          </w:tcPr>
          <w:p w14:paraId="02284BA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2023</w:t>
            </w:r>
          </w:p>
        </w:tc>
        <w:tc>
          <w:tcPr>
            <w:tcW w:w="3148" w:type="dxa"/>
            <w:tcBorders>
              <w:top w:val="single" w:sz="4" w:space="0" w:color="auto"/>
              <w:left w:val="nil"/>
              <w:bottom w:val="single" w:sz="4" w:space="0" w:color="auto"/>
              <w:right w:val="single" w:sz="4" w:space="0" w:color="auto"/>
            </w:tcBorders>
            <w:shd w:val="clear" w:color="auto" w:fill="C6EFCE"/>
            <w:noWrap/>
          </w:tcPr>
          <w:p w14:paraId="5EEA818E" w14:textId="714A8ED5"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Oznámenie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zadaní všetkých zákaziek na programy Antinero 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II na modernizáciu 37 500 ha degradovaných lesných ekosystémov vrátane vyklčovania lesov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lesov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údržby siete lesných ciest</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existuj</w:t>
            </w:r>
            <w:r w:rsidRPr="00083739">
              <w:rPr>
                <w:rFonts w:ascii="Times New Roman" w:hAnsi="Times New Roman" w:cs="Times New Roman"/>
                <w:noProof/>
                <w:lang w:val="sk-SK"/>
              </w:rPr>
              <w:t xml:space="preserve">úcich požiarnych zón. </w:t>
            </w:r>
          </w:p>
        </w:tc>
      </w:tr>
      <w:tr w:rsidR="002D49B0" w:rsidRPr="00083739" w14:paraId="6D0994C5" w14:textId="77777777">
        <w:trPr>
          <w:trHeight w:val="313"/>
          <w:tblHeader/>
        </w:trPr>
        <w:tc>
          <w:tcPr>
            <w:tcW w:w="1062" w:type="dxa"/>
            <w:tcBorders>
              <w:top w:val="single" w:sz="4" w:space="0" w:color="auto"/>
              <w:left w:val="single" w:sz="4" w:space="0" w:color="auto"/>
              <w:bottom w:val="single" w:sz="4" w:space="0" w:color="auto"/>
              <w:right w:val="single" w:sz="4" w:space="0" w:color="auto"/>
            </w:tcBorders>
            <w:shd w:val="clear" w:color="auto" w:fill="C6EFCE"/>
            <w:noWrap/>
          </w:tcPr>
          <w:p w14:paraId="5E4DC2A7" w14:textId="2C4C56CB"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62</w:t>
            </w:r>
          </w:p>
        </w:tc>
        <w:tc>
          <w:tcPr>
            <w:tcW w:w="1881" w:type="dxa"/>
            <w:tcBorders>
              <w:top w:val="single" w:sz="4" w:space="0" w:color="auto"/>
              <w:left w:val="nil"/>
              <w:bottom w:val="single" w:sz="4" w:space="0" w:color="auto"/>
              <w:right w:val="single" w:sz="4" w:space="0" w:color="auto"/>
            </w:tcBorders>
            <w:shd w:val="clear" w:color="auto" w:fill="C6EFCE"/>
            <w:noWrap/>
          </w:tcPr>
          <w:p w14:paraId="07AA6D7C" w14:textId="24501811"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4 – 1.4. Udržateľné využívanie zdrojov, odolnosť proti zmene klímy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ochrana životného prostredia – 16849_ Národný plán obnovy lesov, obnova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prevencia („antiNERO“), opatrenia proti erózii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protipovodňovej ochrane</w:t>
            </w:r>
          </w:p>
          <w:p w14:paraId="06685455" w14:textId="77777777" w:rsidR="002D49B0" w:rsidRPr="00083739" w:rsidRDefault="002D49B0">
            <w:pPr>
              <w:rPr>
                <w:rFonts w:ascii="Times New Roman" w:hAnsi="Times New Roman" w:cs="Times New Roman"/>
                <w:noProof/>
                <w:sz w:val="18"/>
                <w:lang w:val="sk-SK"/>
              </w:rPr>
            </w:pPr>
          </w:p>
          <w:p w14:paraId="683161FF" w14:textId="77777777" w:rsidR="002D49B0" w:rsidRPr="00083739" w:rsidRDefault="002D49B0">
            <w:pPr>
              <w:spacing w:after="0" w:line="240" w:lineRule="auto"/>
              <w:rPr>
                <w:rFonts w:ascii="Times New Roman" w:hAnsi="Times New Roman" w:cs="Times New Roman"/>
                <w:noProof/>
                <w:color w:val="006100"/>
                <w:sz w:val="18"/>
                <w:lang w:val="sk-SK"/>
              </w:rPr>
            </w:pPr>
          </w:p>
        </w:tc>
        <w:tc>
          <w:tcPr>
            <w:tcW w:w="993" w:type="dxa"/>
            <w:tcBorders>
              <w:top w:val="single" w:sz="4" w:space="0" w:color="auto"/>
              <w:left w:val="nil"/>
              <w:bottom w:val="single" w:sz="4" w:space="0" w:color="auto"/>
              <w:right w:val="single" w:sz="4" w:space="0" w:color="auto"/>
            </w:tcBorders>
            <w:shd w:val="clear" w:color="auto" w:fill="C6EFCE"/>
            <w:noWrap/>
          </w:tcPr>
          <w:p w14:paraId="498971F7" w14:textId="6B77FE65"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Míľnik</w:t>
            </w:r>
          </w:p>
        </w:tc>
        <w:tc>
          <w:tcPr>
            <w:tcW w:w="2256" w:type="dxa"/>
            <w:tcBorders>
              <w:top w:val="single" w:sz="4" w:space="0" w:color="auto"/>
              <w:left w:val="nil"/>
              <w:bottom w:val="single" w:sz="4" w:space="0" w:color="auto"/>
              <w:right w:val="single" w:sz="4" w:space="0" w:color="auto"/>
            </w:tcBorders>
            <w:shd w:val="clear" w:color="auto" w:fill="C6EFCE"/>
            <w:noWrap/>
          </w:tcPr>
          <w:p w14:paraId="38E5F403" w14:textId="411D2266"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Opätovné zalesňovanie, obnova lesov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prevencia – zmluvy 2</w:t>
            </w:r>
          </w:p>
        </w:tc>
        <w:tc>
          <w:tcPr>
            <w:tcW w:w="1560" w:type="dxa"/>
            <w:tcBorders>
              <w:top w:val="single" w:sz="4" w:space="0" w:color="auto"/>
              <w:left w:val="nil"/>
              <w:bottom w:val="single" w:sz="4" w:space="0" w:color="auto"/>
              <w:right w:val="single" w:sz="4" w:space="0" w:color="auto"/>
            </w:tcBorders>
            <w:shd w:val="clear" w:color="auto" w:fill="C6EFCE"/>
            <w:noWrap/>
          </w:tcPr>
          <w:p w14:paraId="68CEE46A" w14:textId="06C52CE2"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Oznámenie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zadaní zákazky</w:t>
            </w:r>
          </w:p>
        </w:tc>
        <w:tc>
          <w:tcPr>
            <w:tcW w:w="992" w:type="dxa"/>
            <w:tcBorders>
              <w:top w:val="single" w:sz="4" w:space="0" w:color="auto"/>
              <w:left w:val="nil"/>
              <w:bottom w:val="single" w:sz="4" w:space="0" w:color="auto"/>
              <w:right w:val="single" w:sz="4" w:space="0" w:color="auto"/>
            </w:tcBorders>
            <w:shd w:val="clear" w:color="auto" w:fill="C6EFCE"/>
            <w:noWrap/>
          </w:tcPr>
          <w:p w14:paraId="641DA1BA"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2" w:type="dxa"/>
            <w:tcBorders>
              <w:top w:val="single" w:sz="4" w:space="0" w:color="auto"/>
              <w:left w:val="nil"/>
              <w:bottom w:val="single" w:sz="4" w:space="0" w:color="auto"/>
              <w:right w:val="single" w:sz="4" w:space="0" w:color="auto"/>
            </w:tcBorders>
            <w:shd w:val="clear" w:color="auto" w:fill="C6EFCE"/>
            <w:noWrap/>
          </w:tcPr>
          <w:p w14:paraId="5FD25A00"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709" w:type="dxa"/>
            <w:tcBorders>
              <w:top w:val="single" w:sz="4" w:space="0" w:color="auto"/>
              <w:left w:val="nil"/>
              <w:bottom w:val="single" w:sz="4" w:space="0" w:color="auto"/>
              <w:right w:val="single" w:sz="4" w:space="0" w:color="auto"/>
            </w:tcBorders>
            <w:shd w:val="clear" w:color="auto" w:fill="C6EFCE"/>
            <w:noWrap/>
          </w:tcPr>
          <w:p w14:paraId="23D38E63"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88" w:type="dxa"/>
            <w:tcBorders>
              <w:top w:val="single" w:sz="4" w:space="0" w:color="auto"/>
              <w:left w:val="nil"/>
              <w:bottom w:val="single" w:sz="4" w:space="0" w:color="auto"/>
              <w:right w:val="single" w:sz="4" w:space="0" w:color="auto"/>
            </w:tcBorders>
            <w:shd w:val="clear" w:color="auto" w:fill="C6EFCE"/>
            <w:noWrap/>
          </w:tcPr>
          <w:p w14:paraId="060A4462" w14:textId="0B5F14A0"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ŠTVRTÝ ŠTVRŤROK</w:t>
            </w:r>
          </w:p>
        </w:tc>
        <w:tc>
          <w:tcPr>
            <w:tcW w:w="823" w:type="dxa"/>
            <w:tcBorders>
              <w:top w:val="single" w:sz="4" w:space="0" w:color="auto"/>
              <w:left w:val="nil"/>
              <w:bottom w:val="single" w:sz="4" w:space="0" w:color="auto"/>
              <w:right w:val="single" w:sz="4" w:space="0" w:color="auto"/>
            </w:tcBorders>
            <w:shd w:val="clear" w:color="auto" w:fill="C6EFCE"/>
            <w:noWrap/>
          </w:tcPr>
          <w:p w14:paraId="52EE23F7" w14:textId="59A7054E"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2023</w:t>
            </w:r>
          </w:p>
        </w:tc>
        <w:tc>
          <w:tcPr>
            <w:tcW w:w="3148" w:type="dxa"/>
            <w:tcBorders>
              <w:top w:val="single" w:sz="4" w:space="0" w:color="auto"/>
              <w:left w:val="nil"/>
              <w:bottom w:val="single" w:sz="4" w:space="0" w:color="auto"/>
              <w:right w:val="single" w:sz="4" w:space="0" w:color="auto"/>
            </w:tcBorders>
            <w:shd w:val="clear" w:color="auto" w:fill="C6EFCE"/>
            <w:noWrap/>
          </w:tcPr>
          <w:p w14:paraId="7783709A" w14:textId="185B5569"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 Oznámenie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zadaní všetkých zákaziek na:</w:t>
            </w:r>
          </w:p>
          <w:p w14:paraId="0883BA09" w14:textId="74D248DA"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 Obnova 5 700 ha degradovaných lesných ekosystémov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 xml:space="preserve">Grécku prostredníctvom zalesňovania výsadby, pri </w:t>
            </w:r>
            <w:r w:rsidRPr="00083739">
              <w:rPr>
                <w:rFonts w:ascii="Times New Roman" w:hAnsi="Times New Roman" w:cs="Times New Roman"/>
                <w:noProof/>
                <w:lang w:val="sk-SK"/>
              </w:rPr>
              <w:t>ktorej sa využíva aspoň 50</w:t>
            </w:r>
            <w:r w:rsidR="00083739" w:rsidRPr="00083739">
              <w:rPr>
                <w:rFonts w:ascii="Times New Roman" w:hAnsi="Times New Roman" w:cs="Times New Roman"/>
                <w:noProof/>
                <w:lang w:val="sk-SK"/>
              </w:rPr>
              <w:t> %</w:t>
            </w:r>
            <w:r w:rsidRPr="00083739">
              <w:rPr>
                <w:rFonts w:ascii="Times New Roman" w:hAnsi="Times New Roman" w:cs="Times New Roman"/>
                <w:noProof/>
                <w:lang w:val="sk-SK"/>
              </w:rPr>
              <w:t xml:space="preserve"> pôvodných druhov;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zároveň</w:t>
            </w:r>
          </w:p>
          <w:p w14:paraId="4084A8F0" w14:textId="04FC63FB"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 Modernizácia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modernizácia štyroch lesných škôlok;</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zároveň</w:t>
            </w:r>
          </w:p>
          <w:p w14:paraId="50A40E0B" w14:textId="77777777"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3. Pilotné vykonávanie národného plánu zalesňovania,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zároveň</w:t>
            </w:r>
          </w:p>
          <w:p w14:paraId="14E695B2" w14:textId="708F9DC2"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4. Protierózne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protipovodňové opatrenia</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Evros</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Rhodopes, ktoré pok</w:t>
            </w:r>
            <w:r w:rsidRPr="00083739">
              <w:rPr>
                <w:rFonts w:ascii="Times New Roman" w:hAnsi="Times New Roman" w:cs="Times New Roman"/>
                <w:noProof/>
                <w:lang w:val="sk-SK"/>
              </w:rPr>
              <w:t>rývajú celkovo 5000 hektárov protieróznych prác</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175 000 m² protipovodňovej ochrany. </w:t>
            </w:r>
          </w:p>
        </w:tc>
      </w:tr>
      <w:tr w:rsidR="002D49B0" w:rsidRPr="00083739" w14:paraId="0F376B88" w14:textId="77777777">
        <w:trPr>
          <w:trHeight w:val="313"/>
          <w:tblHeader/>
        </w:trPr>
        <w:tc>
          <w:tcPr>
            <w:tcW w:w="1062" w:type="dxa"/>
            <w:tcBorders>
              <w:top w:val="single" w:sz="4" w:space="0" w:color="auto"/>
              <w:left w:val="single" w:sz="4" w:space="0" w:color="auto"/>
              <w:bottom w:val="single" w:sz="4" w:space="0" w:color="auto"/>
              <w:right w:val="single" w:sz="4" w:space="0" w:color="auto"/>
            </w:tcBorders>
            <w:shd w:val="clear" w:color="auto" w:fill="C6EFCE"/>
            <w:noWrap/>
          </w:tcPr>
          <w:p w14:paraId="23263388" w14:textId="2AB6D70B"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62a</w:t>
            </w:r>
          </w:p>
        </w:tc>
        <w:tc>
          <w:tcPr>
            <w:tcW w:w="1881" w:type="dxa"/>
            <w:tcBorders>
              <w:top w:val="single" w:sz="4" w:space="0" w:color="auto"/>
              <w:left w:val="nil"/>
              <w:bottom w:val="single" w:sz="4" w:space="0" w:color="auto"/>
              <w:right w:val="single" w:sz="4" w:space="0" w:color="auto"/>
            </w:tcBorders>
            <w:shd w:val="clear" w:color="auto" w:fill="C6EFCE"/>
            <w:noWrap/>
          </w:tcPr>
          <w:p w14:paraId="0B93C073" w14:textId="706D5BEA" w:rsidR="002D49B0" w:rsidRPr="00083739" w:rsidRDefault="00BF4125">
            <w:pPr>
              <w:spacing w:after="0" w:line="240" w:lineRule="auto"/>
              <w:rPr>
                <w:rFonts w:ascii="Times New Roman" w:hAnsi="Times New Roman" w:cs="Times New Roman"/>
                <w:noProof/>
                <w:color w:val="006100"/>
                <w:sz w:val="18"/>
                <w:lang w:val="sk-SK"/>
              </w:rPr>
            </w:pPr>
            <w:r w:rsidRPr="00083739">
              <w:rPr>
                <w:rStyle w:val="normaltextrun"/>
                <w:rFonts w:ascii="Times New Roman" w:hAnsi="Times New Roman" w:cs="Times New Roman"/>
                <w:noProof/>
                <w:color w:val="006100"/>
                <w:sz w:val="18"/>
                <w:szCs w:val="18"/>
                <w:bdr w:val="none" w:sz="0" w:space="0" w:color="auto" w:frame="1"/>
                <w:lang w:val="sk-SK"/>
              </w:rPr>
              <w:t>4 – 1.4. Udržateľné využívanie zdrojov, odolnosť proti zmene klímy</w:t>
            </w:r>
            <w:r w:rsidR="00083739" w:rsidRPr="00083739">
              <w:rPr>
                <w:rStyle w:val="normaltextrun"/>
                <w:rFonts w:ascii="Times New Roman" w:hAnsi="Times New Roman" w:cs="Times New Roman"/>
                <w:noProof/>
                <w:color w:val="006100"/>
                <w:sz w:val="18"/>
                <w:szCs w:val="18"/>
                <w:bdr w:val="none" w:sz="0" w:space="0" w:color="auto" w:frame="1"/>
                <w:lang w:val="sk-SK"/>
              </w:rPr>
              <w:t xml:space="preserve"> a </w:t>
            </w:r>
            <w:r w:rsidRPr="00083739">
              <w:rPr>
                <w:rStyle w:val="normaltextrun"/>
                <w:rFonts w:ascii="Times New Roman" w:hAnsi="Times New Roman" w:cs="Times New Roman"/>
                <w:noProof/>
                <w:color w:val="006100"/>
                <w:sz w:val="18"/>
                <w:szCs w:val="18"/>
                <w:bdr w:val="none" w:sz="0" w:space="0" w:color="auto" w:frame="1"/>
                <w:lang w:val="sk-SK"/>
              </w:rPr>
              <w:t>ochrana životného prostredia – 16849_ Národný plán obnovy lesov, obnova</w:t>
            </w:r>
            <w:r w:rsidR="00083739" w:rsidRPr="00083739">
              <w:rPr>
                <w:rStyle w:val="normaltextrun"/>
                <w:rFonts w:ascii="Times New Roman" w:hAnsi="Times New Roman" w:cs="Times New Roman"/>
                <w:noProof/>
                <w:color w:val="006100"/>
                <w:sz w:val="18"/>
                <w:szCs w:val="18"/>
                <w:bdr w:val="none" w:sz="0" w:space="0" w:color="auto" w:frame="1"/>
                <w:lang w:val="sk-SK"/>
              </w:rPr>
              <w:t xml:space="preserve"> a </w:t>
            </w:r>
            <w:r w:rsidRPr="00083739">
              <w:rPr>
                <w:rStyle w:val="normaltextrun"/>
                <w:rFonts w:ascii="Times New Roman" w:hAnsi="Times New Roman" w:cs="Times New Roman"/>
                <w:noProof/>
                <w:color w:val="006100"/>
                <w:sz w:val="18"/>
                <w:szCs w:val="18"/>
                <w:bdr w:val="none" w:sz="0" w:space="0" w:color="auto" w:frame="1"/>
                <w:lang w:val="sk-SK"/>
              </w:rPr>
              <w:t>prevencia („antiNERO</w:t>
            </w:r>
            <w:r w:rsidRPr="00083739">
              <w:rPr>
                <w:rStyle w:val="normaltextrun"/>
                <w:rFonts w:ascii="Times New Roman" w:hAnsi="Times New Roman" w:cs="Times New Roman"/>
                <w:noProof/>
                <w:color w:val="006100"/>
                <w:sz w:val="18"/>
                <w:szCs w:val="18"/>
                <w:bdr w:val="none" w:sz="0" w:space="0" w:color="auto" w:frame="1"/>
                <w:lang w:val="sk-SK"/>
              </w:rPr>
              <w:t>“), opatrenia proti erózii</w:t>
            </w:r>
            <w:r w:rsidR="00083739" w:rsidRPr="00083739">
              <w:rPr>
                <w:rStyle w:val="normaltextrun"/>
                <w:rFonts w:ascii="Times New Roman" w:hAnsi="Times New Roman" w:cs="Times New Roman"/>
                <w:noProof/>
                <w:color w:val="006100"/>
                <w:sz w:val="18"/>
                <w:szCs w:val="18"/>
                <w:bdr w:val="none" w:sz="0" w:space="0" w:color="auto" w:frame="1"/>
                <w:lang w:val="sk-SK"/>
              </w:rPr>
              <w:t xml:space="preserve"> a </w:t>
            </w:r>
            <w:r w:rsidRPr="00083739">
              <w:rPr>
                <w:rStyle w:val="normaltextrun"/>
                <w:rFonts w:ascii="Times New Roman" w:hAnsi="Times New Roman" w:cs="Times New Roman"/>
                <w:noProof/>
                <w:color w:val="006100"/>
                <w:sz w:val="18"/>
                <w:szCs w:val="18"/>
                <w:bdr w:val="none" w:sz="0" w:space="0" w:color="auto" w:frame="1"/>
                <w:lang w:val="sk-SK"/>
              </w:rPr>
              <w:t>protipovodňovej ochrane</w:t>
            </w:r>
          </w:p>
        </w:tc>
        <w:tc>
          <w:tcPr>
            <w:tcW w:w="993" w:type="dxa"/>
            <w:tcBorders>
              <w:top w:val="single" w:sz="4" w:space="0" w:color="auto"/>
              <w:left w:val="nil"/>
              <w:bottom w:val="single" w:sz="4" w:space="0" w:color="auto"/>
              <w:right w:val="single" w:sz="4" w:space="0" w:color="auto"/>
            </w:tcBorders>
            <w:shd w:val="clear" w:color="auto" w:fill="C6EFCE"/>
            <w:noWrap/>
          </w:tcPr>
          <w:p w14:paraId="3E4ABFAA" w14:textId="75A78B68" w:rsidR="002D49B0" w:rsidRPr="00083739" w:rsidRDefault="00BF4125">
            <w:pPr>
              <w:spacing w:after="0" w:line="240" w:lineRule="auto"/>
              <w:rPr>
                <w:rFonts w:ascii="Times New Roman" w:hAnsi="Times New Roman" w:cs="Times New Roman"/>
                <w:noProof/>
                <w:color w:val="006100"/>
                <w:sz w:val="18"/>
                <w:lang w:val="sk-SK"/>
              </w:rPr>
            </w:pPr>
            <w:r w:rsidRPr="00083739">
              <w:rPr>
                <w:rStyle w:val="normaltextrun"/>
                <w:rFonts w:ascii="Times New Roman" w:hAnsi="Times New Roman" w:cs="Times New Roman"/>
                <w:noProof/>
                <w:color w:val="006100"/>
                <w:sz w:val="18"/>
                <w:szCs w:val="18"/>
                <w:lang w:val="sk-SK"/>
              </w:rPr>
              <w:t>Míľnik</w:t>
            </w:r>
          </w:p>
        </w:tc>
        <w:tc>
          <w:tcPr>
            <w:tcW w:w="2256" w:type="dxa"/>
            <w:tcBorders>
              <w:top w:val="single" w:sz="4" w:space="0" w:color="auto"/>
              <w:left w:val="nil"/>
              <w:bottom w:val="single" w:sz="4" w:space="0" w:color="auto"/>
              <w:right w:val="single" w:sz="4" w:space="0" w:color="auto"/>
            </w:tcBorders>
            <w:shd w:val="clear" w:color="auto" w:fill="C6EFCE"/>
            <w:noWrap/>
          </w:tcPr>
          <w:p w14:paraId="54A7A5F6" w14:textId="05D48117" w:rsidR="002D49B0" w:rsidRPr="00083739" w:rsidRDefault="00BF4125">
            <w:pPr>
              <w:spacing w:after="0" w:line="240" w:lineRule="auto"/>
              <w:rPr>
                <w:rStyle w:val="normaltextrun"/>
                <w:rFonts w:ascii="Times New Roman" w:hAnsi="Times New Roman" w:cs="Times New Roman"/>
                <w:noProof/>
                <w:szCs w:val="18"/>
                <w:bdr w:val="none" w:sz="0" w:space="0" w:color="auto" w:frame="1"/>
                <w:lang w:val="sk-SK"/>
              </w:rPr>
            </w:pPr>
            <w:r w:rsidRPr="00083739">
              <w:rPr>
                <w:rStyle w:val="normaltextrun"/>
                <w:rFonts w:ascii="Times New Roman" w:hAnsi="Times New Roman" w:cs="Times New Roman"/>
                <w:noProof/>
                <w:color w:val="006100"/>
                <w:sz w:val="18"/>
                <w:szCs w:val="18"/>
                <w:bdr w:val="none" w:sz="0" w:space="0" w:color="auto" w:frame="1"/>
                <w:lang w:val="sk-SK"/>
              </w:rPr>
              <w:t>Opätovné zalesňovanie, obnova lesov</w:t>
            </w:r>
            <w:r w:rsidR="00083739" w:rsidRPr="00083739">
              <w:rPr>
                <w:rStyle w:val="normaltextrun"/>
                <w:rFonts w:ascii="Times New Roman" w:hAnsi="Times New Roman" w:cs="Times New Roman"/>
                <w:noProof/>
                <w:color w:val="006100"/>
                <w:sz w:val="18"/>
                <w:szCs w:val="18"/>
                <w:bdr w:val="none" w:sz="0" w:space="0" w:color="auto" w:frame="1"/>
                <w:lang w:val="sk-SK"/>
              </w:rPr>
              <w:t xml:space="preserve"> a </w:t>
            </w:r>
            <w:r w:rsidRPr="00083739">
              <w:rPr>
                <w:rStyle w:val="normaltextrun"/>
                <w:rFonts w:ascii="Times New Roman" w:hAnsi="Times New Roman" w:cs="Times New Roman"/>
                <w:noProof/>
                <w:color w:val="006100"/>
                <w:sz w:val="18"/>
                <w:szCs w:val="18"/>
                <w:bdr w:val="none" w:sz="0" w:space="0" w:color="auto" w:frame="1"/>
                <w:lang w:val="sk-SK"/>
              </w:rPr>
              <w:t>prevencia – zmluvy 3</w:t>
            </w:r>
            <w:r w:rsidRPr="00083739">
              <w:rPr>
                <w:rStyle w:val="normaltextrun"/>
                <w:rFonts w:ascii="Times New Roman" w:hAnsi="Times New Roman" w:cs="Times New Roman"/>
                <w:noProof/>
                <w:bdr w:val="none" w:sz="0" w:space="0" w:color="auto" w:frame="1"/>
                <w:lang w:val="sk-SK"/>
              </w:rPr>
              <w:t> </w:t>
            </w:r>
          </w:p>
        </w:tc>
        <w:tc>
          <w:tcPr>
            <w:tcW w:w="1560" w:type="dxa"/>
            <w:tcBorders>
              <w:top w:val="single" w:sz="4" w:space="0" w:color="auto"/>
              <w:left w:val="nil"/>
              <w:bottom w:val="single" w:sz="4" w:space="0" w:color="auto"/>
              <w:right w:val="single" w:sz="4" w:space="0" w:color="auto"/>
            </w:tcBorders>
            <w:shd w:val="clear" w:color="auto" w:fill="C6EFCE"/>
            <w:noWrap/>
          </w:tcPr>
          <w:p w14:paraId="3E96B9F7" w14:textId="25B47213" w:rsidR="002D49B0" w:rsidRPr="00083739" w:rsidRDefault="00BF4125">
            <w:pPr>
              <w:spacing w:after="0" w:line="240" w:lineRule="auto"/>
              <w:rPr>
                <w:rStyle w:val="normaltextrun"/>
                <w:rFonts w:ascii="Times New Roman" w:hAnsi="Times New Roman" w:cs="Times New Roman"/>
                <w:noProof/>
                <w:szCs w:val="18"/>
                <w:bdr w:val="none" w:sz="0" w:space="0" w:color="auto" w:frame="1"/>
                <w:lang w:val="sk-SK"/>
              </w:rPr>
            </w:pPr>
            <w:r w:rsidRPr="00083739">
              <w:rPr>
                <w:rStyle w:val="normaltextrun"/>
                <w:rFonts w:ascii="Times New Roman" w:hAnsi="Times New Roman" w:cs="Times New Roman"/>
                <w:noProof/>
                <w:color w:val="006100"/>
                <w:sz w:val="18"/>
                <w:szCs w:val="18"/>
                <w:bdr w:val="none" w:sz="0" w:space="0" w:color="auto" w:frame="1"/>
                <w:lang w:val="sk-SK"/>
              </w:rPr>
              <w:t>Oznámenie</w:t>
            </w:r>
            <w:r w:rsidR="00083739" w:rsidRPr="00083739">
              <w:rPr>
                <w:rStyle w:val="normaltextrun"/>
                <w:rFonts w:ascii="Times New Roman" w:hAnsi="Times New Roman" w:cs="Times New Roman"/>
                <w:noProof/>
                <w:color w:val="006100"/>
                <w:sz w:val="18"/>
                <w:szCs w:val="18"/>
                <w:bdr w:val="none" w:sz="0" w:space="0" w:color="auto" w:frame="1"/>
                <w:lang w:val="sk-SK"/>
              </w:rPr>
              <w:t xml:space="preserve"> o </w:t>
            </w:r>
            <w:r w:rsidRPr="00083739">
              <w:rPr>
                <w:rStyle w:val="normaltextrun"/>
                <w:rFonts w:ascii="Times New Roman" w:hAnsi="Times New Roman" w:cs="Times New Roman"/>
                <w:noProof/>
                <w:color w:val="006100"/>
                <w:sz w:val="18"/>
                <w:szCs w:val="18"/>
                <w:bdr w:val="none" w:sz="0" w:space="0" w:color="auto" w:frame="1"/>
                <w:lang w:val="sk-SK"/>
              </w:rPr>
              <w:t>zadaní zákazky</w:t>
            </w:r>
            <w:r w:rsidRPr="00083739">
              <w:rPr>
                <w:rStyle w:val="normaltextrun"/>
                <w:rFonts w:ascii="Times New Roman" w:hAnsi="Times New Roman" w:cs="Times New Roman"/>
                <w:noProof/>
                <w:bdr w:val="none" w:sz="0" w:space="0" w:color="auto" w:frame="1"/>
                <w:lang w:val="sk-SK"/>
              </w:rPr>
              <w:t> </w:t>
            </w:r>
          </w:p>
        </w:tc>
        <w:tc>
          <w:tcPr>
            <w:tcW w:w="992" w:type="dxa"/>
            <w:tcBorders>
              <w:top w:val="single" w:sz="4" w:space="0" w:color="auto"/>
              <w:left w:val="nil"/>
              <w:bottom w:val="single" w:sz="4" w:space="0" w:color="auto"/>
              <w:right w:val="single" w:sz="4" w:space="0" w:color="auto"/>
            </w:tcBorders>
            <w:shd w:val="clear" w:color="auto" w:fill="C6EFCE"/>
            <w:noWrap/>
          </w:tcPr>
          <w:p w14:paraId="37690C47" w14:textId="77777777" w:rsidR="002D49B0" w:rsidRPr="00083739" w:rsidRDefault="002D49B0">
            <w:pPr>
              <w:spacing w:after="0" w:line="240" w:lineRule="auto"/>
              <w:rPr>
                <w:rStyle w:val="normaltextrun"/>
                <w:rFonts w:ascii="Times New Roman" w:hAnsi="Times New Roman" w:cs="Times New Roman"/>
                <w:noProof/>
                <w:bdr w:val="none" w:sz="0" w:space="0" w:color="auto" w:frame="1"/>
                <w:lang w:val="sk-SK"/>
              </w:rPr>
            </w:pPr>
          </w:p>
        </w:tc>
        <w:tc>
          <w:tcPr>
            <w:tcW w:w="992" w:type="dxa"/>
            <w:tcBorders>
              <w:top w:val="single" w:sz="4" w:space="0" w:color="auto"/>
              <w:left w:val="nil"/>
              <w:bottom w:val="single" w:sz="4" w:space="0" w:color="auto"/>
              <w:right w:val="single" w:sz="4" w:space="0" w:color="auto"/>
            </w:tcBorders>
            <w:shd w:val="clear" w:color="auto" w:fill="C6EFCE"/>
            <w:noWrap/>
          </w:tcPr>
          <w:p w14:paraId="5408C793" w14:textId="77777777" w:rsidR="002D49B0" w:rsidRPr="00083739" w:rsidRDefault="002D49B0">
            <w:pPr>
              <w:spacing w:after="0" w:line="240" w:lineRule="auto"/>
              <w:rPr>
                <w:rStyle w:val="normaltextrun"/>
                <w:rFonts w:ascii="Times New Roman" w:hAnsi="Times New Roman" w:cs="Times New Roman"/>
                <w:noProof/>
                <w:bdr w:val="none" w:sz="0" w:space="0" w:color="auto" w:frame="1"/>
                <w:lang w:val="sk-SK"/>
              </w:rPr>
            </w:pPr>
          </w:p>
        </w:tc>
        <w:tc>
          <w:tcPr>
            <w:tcW w:w="709" w:type="dxa"/>
            <w:tcBorders>
              <w:top w:val="single" w:sz="4" w:space="0" w:color="auto"/>
              <w:left w:val="nil"/>
              <w:bottom w:val="single" w:sz="4" w:space="0" w:color="auto"/>
              <w:right w:val="single" w:sz="4" w:space="0" w:color="auto"/>
            </w:tcBorders>
            <w:shd w:val="clear" w:color="auto" w:fill="C6EFCE"/>
            <w:noWrap/>
          </w:tcPr>
          <w:p w14:paraId="6FDD2CB0" w14:textId="77777777" w:rsidR="002D49B0" w:rsidRPr="00083739" w:rsidRDefault="002D49B0">
            <w:pPr>
              <w:spacing w:after="0" w:line="240" w:lineRule="auto"/>
              <w:rPr>
                <w:rStyle w:val="normaltextrun"/>
                <w:rFonts w:ascii="Times New Roman" w:hAnsi="Times New Roman" w:cs="Times New Roman"/>
                <w:noProof/>
                <w:bdr w:val="none" w:sz="0" w:space="0" w:color="auto" w:frame="1"/>
                <w:lang w:val="sk-SK"/>
              </w:rPr>
            </w:pPr>
          </w:p>
        </w:tc>
        <w:tc>
          <w:tcPr>
            <w:tcW w:w="888" w:type="dxa"/>
            <w:tcBorders>
              <w:top w:val="single" w:sz="4" w:space="0" w:color="auto"/>
              <w:left w:val="nil"/>
              <w:bottom w:val="single" w:sz="4" w:space="0" w:color="auto"/>
              <w:right w:val="single" w:sz="4" w:space="0" w:color="auto"/>
            </w:tcBorders>
            <w:shd w:val="clear" w:color="auto" w:fill="C6EFCE"/>
            <w:noWrap/>
          </w:tcPr>
          <w:p w14:paraId="1308576C" w14:textId="4EC7F47A" w:rsidR="002D49B0" w:rsidRPr="00083739" w:rsidRDefault="00BF4125">
            <w:pPr>
              <w:spacing w:after="0" w:line="240" w:lineRule="auto"/>
              <w:rPr>
                <w:rStyle w:val="normaltextrun"/>
                <w:rFonts w:ascii="Times New Roman" w:hAnsi="Times New Roman" w:cs="Times New Roman"/>
                <w:noProof/>
                <w:szCs w:val="18"/>
                <w:bdr w:val="none" w:sz="0" w:space="0" w:color="auto" w:frame="1"/>
                <w:lang w:val="sk-SK"/>
              </w:rPr>
            </w:pPr>
            <w:r w:rsidRPr="00083739">
              <w:rPr>
                <w:rStyle w:val="normaltextrun"/>
                <w:rFonts w:ascii="Times New Roman" w:hAnsi="Times New Roman" w:cs="Times New Roman"/>
                <w:noProof/>
                <w:color w:val="006100"/>
                <w:sz w:val="18"/>
                <w:szCs w:val="18"/>
                <w:bdr w:val="none" w:sz="0" w:space="0" w:color="auto" w:frame="1"/>
                <w:lang w:val="sk-SK"/>
              </w:rPr>
              <w:t>ŠTVRTÝ ŠTVRŤROK</w:t>
            </w:r>
            <w:r w:rsidRPr="00083739">
              <w:rPr>
                <w:rStyle w:val="normaltextrun"/>
                <w:rFonts w:ascii="Times New Roman" w:hAnsi="Times New Roman" w:cs="Times New Roman"/>
                <w:noProof/>
                <w:bdr w:val="none" w:sz="0" w:space="0" w:color="auto" w:frame="1"/>
                <w:lang w:val="sk-SK"/>
              </w:rPr>
              <w:t> </w:t>
            </w:r>
          </w:p>
        </w:tc>
        <w:tc>
          <w:tcPr>
            <w:tcW w:w="823" w:type="dxa"/>
            <w:tcBorders>
              <w:top w:val="single" w:sz="4" w:space="0" w:color="auto"/>
              <w:left w:val="nil"/>
              <w:bottom w:val="single" w:sz="4" w:space="0" w:color="auto"/>
              <w:right w:val="single" w:sz="4" w:space="0" w:color="auto"/>
            </w:tcBorders>
            <w:shd w:val="clear" w:color="auto" w:fill="C6EFCE"/>
            <w:noWrap/>
          </w:tcPr>
          <w:p w14:paraId="420E8AE6" w14:textId="1FC4DC16" w:rsidR="002D49B0" w:rsidRPr="00083739" w:rsidRDefault="00BF4125">
            <w:pPr>
              <w:spacing w:after="0" w:line="240" w:lineRule="auto"/>
              <w:rPr>
                <w:rStyle w:val="normaltextrun"/>
                <w:rFonts w:ascii="Times New Roman" w:hAnsi="Times New Roman" w:cs="Times New Roman"/>
                <w:noProof/>
                <w:szCs w:val="18"/>
                <w:bdr w:val="none" w:sz="0" w:space="0" w:color="auto" w:frame="1"/>
                <w:lang w:val="sk-SK"/>
              </w:rPr>
            </w:pPr>
            <w:r w:rsidRPr="00083739">
              <w:rPr>
                <w:rStyle w:val="normaltextrun"/>
                <w:rFonts w:ascii="Times New Roman" w:hAnsi="Times New Roman" w:cs="Times New Roman"/>
                <w:noProof/>
                <w:color w:val="006100"/>
                <w:sz w:val="18"/>
                <w:szCs w:val="18"/>
                <w:bdr w:val="none" w:sz="0" w:space="0" w:color="auto" w:frame="1"/>
                <w:lang w:val="sk-SK"/>
              </w:rPr>
              <w:t>2024</w:t>
            </w:r>
            <w:r w:rsidRPr="00083739">
              <w:rPr>
                <w:rStyle w:val="normaltextrun"/>
                <w:rFonts w:ascii="Times New Roman" w:hAnsi="Times New Roman" w:cs="Times New Roman"/>
                <w:noProof/>
                <w:bdr w:val="none" w:sz="0" w:space="0" w:color="auto" w:frame="1"/>
                <w:lang w:val="sk-SK"/>
              </w:rPr>
              <w:t> </w:t>
            </w:r>
          </w:p>
        </w:tc>
        <w:tc>
          <w:tcPr>
            <w:tcW w:w="3148" w:type="dxa"/>
            <w:tcBorders>
              <w:top w:val="single" w:sz="4" w:space="0" w:color="auto"/>
              <w:left w:val="nil"/>
              <w:bottom w:val="single" w:sz="4" w:space="0" w:color="auto"/>
              <w:right w:val="single" w:sz="4" w:space="0" w:color="auto"/>
            </w:tcBorders>
            <w:shd w:val="clear" w:color="auto" w:fill="C6EFCE"/>
            <w:noWrap/>
          </w:tcPr>
          <w:p w14:paraId="42F36A07" w14:textId="08B8F70D" w:rsidR="002D49B0" w:rsidRPr="00083739" w:rsidRDefault="00BF4125">
            <w:pPr>
              <w:spacing w:after="0" w:line="240" w:lineRule="auto"/>
              <w:rPr>
                <w:rStyle w:val="normaltextrun"/>
                <w:rFonts w:ascii="Times New Roman" w:hAnsi="Times New Roman" w:cs="Times New Roman"/>
                <w:noProof/>
                <w:bdr w:val="none" w:sz="0" w:space="0" w:color="auto" w:frame="1"/>
                <w:lang w:val="sk-SK"/>
              </w:rPr>
            </w:pPr>
            <w:r w:rsidRPr="00083739">
              <w:rPr>
                <w:rStyle w:val="normaltextrun"/>
                <w:rFonts w:ascii="Times New Roman" w:hAnsi="Times New Roman" w:cs="Times New Roman"/>
                <w:noProof/>
                <w:color w:val="006100"/>
                <w:sz w:val="18"/>
                <w:szCs w:val="18"/>
                <w:lang w:val="sk-SK"/>
              </w:rPr>
              <w:t>Oznámenie</w:t>
            </w:r>
            <w:r w:rsidR="00083739" w:rsidRPr="00083739">
              <w:rPr>
                <w:rStyle w:val="normaltextrun"/>
                <w:rFonts w:ascii="Times New Roman" w:hAnsi="Times New Roman" w:cs="Times New Roman"/>
                <w:noProof/>
                <w:color w:val="006100"/>
                <w:sz w:val="18"/>
                <w:szCs w:val="18"/>
                <w:lang w:val="sk-SK"/>
              </w:rPr>
              <w:t xml:space="preserve"> o </w:t>
            </w:r>
            <w:r w:rsidRPr="00083739">
              <w:rPr>
                <w:rStyle w:val="normaltextrun"/>
                <w:rFonts w:ascii="Times New Roman" w:hAnsi="Times New Roman" w:cs="Times New Roman"/>
                <w:noProof/>
                <w:color w:val="006100"/>
                <w:sz w:val="18"/>
                <w:szCs w:val="18"/>
                <w:lang w:val="sk-SK"/>
              </w:rPr>
              <w:t>zadaní všetkých zákaziek pre Antinero</w:t>
            </w:r>
            <w:r w:rsidRPr="00083739">
              <w:rPr>
                <w:rStyle w:val="normaltextrun"/>
                <w:rFonts w:ascii="Times New Roman" w:hAnsi="Times New Roman" w:cs="Times New Roman"/>
                <w:noProof/>
                <w:color w:val="006100"/>
                <w:sz w:val="18"/>
                <w:szCs w:val="18"/>
                <w:lang w:val="sk-SK"/>
              </w:rPr>
              <w:t xml:space="preserve"> III na modernizáciu 41 200 ha degradovaných lesných ekosystémov vrátane vyklčovania lesov</w:t>
            </w:r>
            <w:r w:rsidR="00083739" w:rsidRPr="00083739">
              <w:rPr>
                <w:rStyle w:val="normaltextrun"/>
                <w:rFonts w:ascii="Times New Roman" w:hAnsi="Times New Roman" w:cs="Times New Roman"/>
                <w:noProof/>
                <w:color w:val="006100"/>
                <w:sz w:val="18"/>
                <w:szCs w:val="18"/>
                <w:lang w:val="sk-SK"/>
              </w:rPr>
              <w:t xml:space="preserve"> a </w:t>
            </w:r>
            <w:r w:rsidRPr="00083739">
              <w:rPr>
                <w:rStyle w:val="normaltextrun"/>
                <w:rFonts w:ascii="Times New Roman" w:hAnsi="Times New Roman" w:cs="Times New Roman"/>
                <w:noProof/>
                <w:color w:val="006100"/>
                <w:sz w:val="18"/>
                <w:szCs w:val="18"/>
                <w:lang w:val="sk-SK"/>
              </w:rPr>
              <w:t>zalesnených plôch</w:t>
            </w:r>
            <w:r w:rsidR="00083739" w:rsidRPr="00083739">
              <w:rPr>
                <w:rStyle w:val="normaltextrun"/>
                <w:rFonts w:ascii="Times New Roman" w:hAnsi="Times New Roman" w:cs="Times New Roman"/>
                <w:noProof/>
                <w:color w:val="006100"/>
                <w:sz w:val="18"/>
                <w:szCs w:val="18"/>
                <w:lang w:val="sk-SK"/>
              </w:rPr>
              <w:t xml:space="preserve"> a </w:t>
            </w:r>
            <w:r w:rsidRPr="00083739">
              <w:rPr>
                <w:rStyle w:val="normaltextrun"/>
                <w:rFonts w:ascii="Times New Roman" w:hAnsi="Times New Roman" w:cs="Times New Roman"/>
                <w:noProof/>
                <w:color w:val="006100"/>
                <w:sz w:val="18"/>
                <w:szCs w:val="18"/>
                <w:lang w:val="sk-SK"/>
              </w:rPr>
              <w:t>údržby siete lesných ciest</w:t>
            </w:r>
            <w:r w:rsidR="00083739" w:rsidRPr="00083739">
              <w:rPr>
                <w:rStyle w:val="normaltextrun"/>
                <w:rFonts w:ascii="Times New Roman" w:hAnsi="Times New Roman" w:cs="Times New Roman"/>
                <w:noProof/>
                <w:color w:val="006100"/>
                <w:sz w:val="18"/>
                <w:szCs w:val="18"/>
                <w:lang w:val="sk-SK"/>
              </w:rPr>
              <w:t xml:space="preserve"> a </w:t>
            </w:r>
            <w:r w:rsidRPr="00083739">
              <w:rPr>
                <w:rStyle w:val="normaltextrun"/>
                <w:rFonts w:ascii="Times New Roman" w:hAnsi="Times New Roman" w:cs="Times New Roman"/>
                <w:noProof/>
                <w:color w:val="006100"/>
                <w:sz w:val="18"/>
                <w:szCs w:val="18"/>
                <w:lang w:val="sk-SK"/>
              </w:rPr>
              <w:t>existujúcej požiarnej zóny, vytvorenie zmiešaných požiarnych zón</w:t>
            </w:r>
            <w:r w:rsidR="00083739" w:rsidRPr="00083739">
              <w:rPr>
                <w:rStyle w:val="normaltextrun"/>
                <w:rFonts w:ascii="Times New Roman" w:hAnsi="Times New Roman" w:cs="Times New Roman"/>
                <w:noProof/>
                <w:color w:val="006100"/>
                <w:sz w:val="18"/>
                <w:szCs w:val="18"/>
                <w:lang w:val="sk-SK"/>
              </w:rPr>
              <w:t xml:space="preserve"> a </w:t>
            </w:r>
            <w:r w:rsidRPr="00083739">
              <w:rPr>
                <w:rStyle w:val="normaltextrun"/>
                <w:rFonts w:ascii="Times New Roman" w:hAnsi="Times New Roman" w:cs="Times New Roman"/>
                <w:noProof/>
                <w:color w:val="006100"/>
                <w:sz w:val="18"/>
                <w:szCs w:val="18"/>
                <w:lang w:val="sk-SK"/>
              </w:rPr>
              <w:t>ďalších pracovných tokov, ako je riadenie bioma</w:t>
            </w:r>
            <w:r w:rsidRPr="00083739">
              <w:rPr>
                <w:rStyle w:val="normaltextrun"/>
                <w:rFonts w:ascii="Times New Roman" w:hAnsi="Times New Roman" w:cs="Times New Roman"/>
                <w:noProof/>
                <w:color w:val="006100"/>
                <w:sz w:val="18"/>
                <w:szCs w:val="18"/>
                <w:lang w:val="sk-SK"/>
              </w:rPr>
              <w:t>sy, betónové priekopy, hrádze, írske priechody, hrádze, požiarne veže, výstavba cestného lôžka, vodné nádrže.</w:t>
            </w:r>
          </w:p>
        </w:tc>
      </w:tr>
      <w:tr w:rsidR="002D49B0" w:rsidRPr="00083739" w14:paraId="3408F59B" w14:textId="77777777">
        <w:trPr>
          <w:trHeight w:val="313"/>
          <w:tblHeader/>
        </w:trPr>
        <w:tc>
          <w:tcPr>
            <w:tcW w:w="1062" w:type="dxa"/>
            <w:tcBorders>
              <w:top w:val="single" w:sz="4" w:space="0" w:color="auto"/>
              <w:left w:val="single" w:sz="4" w:space="0" w:color="auto"/>
              <w:bottom w:val="single" w:sz="4" w:space="0" w:color="auto"/>
              <w:right w:val="single" w:sz="4" w:space="0" w:color="auto"/>
            </w:tcBorders>
            <w:shd w:val="clear" w:color="auto" w:fill="C6EFCE"/>
            <w:noWrap/>
          </w:tcPr>
          <w:p w14:paraId="6DA16859" w14:textId="180C5995"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63</w:t>
            </w:r>
          </w:p>
        </w:tc>
        <w:tc>
          <w:tcPr>
            <w:tcW w:w="1881" w:type="dxa"/>
            <w:tcBorders>
              <w:top w:val="single" w:sz="4" w:space="0" w:color="auto"/>
              <w:left w:val="nil"/>
              <w:bottom w:val="single" w:sz="4" w:space="0" w:color="auto"/>
              <w:right w:val="single" w:sz="4" w:space="0" w:color="auto"/>
            </w:tcBorders>
            <w:shd w:val="clear" w:color="auto" w:fill="C6EFCE"/>
            <w:noWrap/>
          </w:tcPr>
          <w:p w14:paraId="642D1025" w14:textId="2C143052"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4 – 1.4. Udržateľné využívanie zdrojov, odolnosť proti zmene klímy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ochrana životného prostredia – 16849_ Národný plán obnovy lesov, obnova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prevencia („antiNERO“), opatrenia proti erózii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protipovodňovej ochrane</w:t>
            </w:r>
          </w:p>
        </w:tc>
        <w:tc>
          <w:tcPr>
            <w:tcW w:w="993" w:type="dxa"/>
            <w:tcBorders>
              <w:top w:val="single" w:sz="4" w:space="0" w:color="auto"/>
              <w:left w:val="nil"/>
              <w:bottom w:val="single" w:sz="4" w:space="0" w:color="auto"/>
              <w:right w:val="single" w:sz="4" w:space="0" w:color="auto"/>
            </w:tcBorders>
            <w:shd w:val="clear" w:color="auto" w:fill="C6EFCE"/>
            <w:noWrap/>
          </w:tcPr>
          <w:p w14:paraId="2FD15859" w14:textId="061FFA30"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Míľnik</w:t>
            </w:r>
          </w:p>
        </w:tc>
        <w:tc>
          <w:tcPr>
            <w:tcW w:w="2256" w:type="dxa"/>
            <w:tcBorders>
              <w:top w:val="single" w:sz="4" w:space="0" w:color="auto"/>
              <w:left w:val="nil"/>
              <w:bottom w:val="single" w:sz="4" w:space="0" w:color="auto"/>
              <w:right w:val="single" w:sz="4" w:space="0" w:color="auto"/>
            </w:tcBorders>
            <w:shd w:val="clear" w:color="auto" w:fill="C6EFCE"/>
            <w:noWrap/>
          </w:tcPr>
          <w:p w14:paraId="0D37204F" w14:textId="0207560F"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 xml:space="preserve"> Opätovné zalesňovanie, obnova lesov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prevencia – Ukončenie prác</w:t>
            </w:r>
          </w:p>
        </w:tc>
        <w:tc>
          <w:tcPr>
            <w:tcW w:w="1560" w:type="dxa"/>
            <w:tcBorders>
              <w:top w:val="single" w:sz="4" w:space="0" w:color="auto"/>
              <w:left w:val="nil"/>
              <w:bottom w:val="single" w:sz="4" w:space="0" w:color="auto"/>
              <w:right w:val="single" w:sz="4" w:space="0" w:color="auto"/>
            </w:tcBorders>
            <w:shd w:val="clear" w:color="auto" w:fill="C6EFCE"/>
            <w:noWrap/>
          </w:tcPr>
          <w:p w14:paraId="16DF1F3D" w14:textId="6D892434"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Osvedčenie ministerstva životného prostredia</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dokončení projektov</w:t>
            </w:r>
          </w:p>
        </w:tc>
        <w:tc>
          <w:tcPr>
            <w:tcW w:w="992" w:type="dxa"/>
            <w:tcBorders>
              <w:top w:val="single" w:sz="4" w:space="0" w:color="auto"/>
              <w:left w:val="nil"/>
              <w:bottom w:val="single" w:sz="4" w:space="0" w:color="auto"/>
              <w:right w:val="single" w:sz="4" w:space="0" w:color="auto"/>
            </w:tcBorders>
            <w:shd w:val="clear" w:color="auto" w:fill="C6EFCE"/>
            <w:noWrap/>
          </w:tcPr>
          <w:p w14:paraId="08BE24E8"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2" w:type="dxa"/>
            <w:tcBorders>
              <w:top w:val="single" w:sz="4" w:space="0" w:color="auto"/>
              <w:left w:val="nil"/>
              <w:bottom w:val="single" w:sz="4" w:space="0" w:color="auto"/>
              <w:right w:val="single" w:sz="4" w:space="0" w:color="auto"/>
            </w:tcBorders>
            <w:shd w:val="clear" w:color="auto" w:fill="C6EFCE"/>
            <w:noWrap/>
          </w:tcPr>
          <w:p w14:paraId="019A7F2C"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709" w:type="dxa"/>
            <w:tcBorders>
              <w:top w:val="single" w:sz="4" w:space="0" w:color="auto"/>
              <w:left w:val="nil"/>
              <w:bottom w:val="single" w:sz="4" w:space="0" w:color="auto"/>
              <w:right w:val="single" w:sz="4" w:space="0" w:color="auto"/>
            </w:tcBorders>
            <w:shd w:val="clear" w:color="auto" w:fill="C6EFCE"/>
            <w:noWrap/>
          </w:tcPr>
          <w:p w14:paraId="1F0D78E1"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88" w:type="dxa"/>
            <w:tcBorders>
              <w:top w:val="single" w:sz="4" w:space="0" w:color="auto"/>
              <w:left w:val="nil"/>
              <w:bottom w:val="single" w:sz="4" w:space="0" w:color="auto"/>
              <w:right w:val="single" w:sz="4" w:space="0" w:color="auto"/>
            </w:tcBorders>
            <w:shd w:val="clear" w:color="auto" w:fill="C6EFCE"/>
            <w:noWrap/>
          </w:tcPr>
          <w:p w14:paraId="62E30490" w14:textId="30ADBE83"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ŠTVRTÝ ŠTVRŤROK</w:t>
            </w:r>
          </w:p>
        </w:tc>
        <w:tc>
          <w:tcPr>
            <w:tcW w:w="823" w:type="dxa"/>
            <w:tcBorders>
              <w:top w:val="single" w:sz="4" w:space="0" w:color="auto"/>
              <w:left w:val="nil"/>
              <w:bottom w:val="single" w:sz="4" w:space="0" w:color="auto"/>
              <w:right w:val="single" w:sz="4" w:space="0" w:color="auto"/>
            </w:tcBorders>
            <w:shd w:val="clear" w:color="auto" w:fill="C6EFCE"/>
            <w:noWrap/>
          </w:tcPr>
          <w:p w14:paraId="3A32EFD4" w14:textId="394D7CB9"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2025</w:t>
            </w:r>
          </w:p>
        </w:tc>
        <w:tc>
          <w:tcPr>
            <w:tcW w:w="3148" w:type="dxa"/>
            <w:tcBorders>
              <w:top w:val="single" w:sz="4" w:space="0" w:color="auto"/>
              <w:left w:val="nil"/>
              <w:bottom w:val="single" w:sz="4" w:space="0" w:color="auto"/>
              <w:right w:val="single" w:sz="4" w:space="0" w:color="auto"/>
            </w:tcBorders>
            <w:shd w:val="clear" w:color="auto" w:fill="C6EFCE"/>
            <w:noWrap/>
          </w:tcPr>
          <w:p w14:paraId="050AAB19" w14:textId="77777777"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 xml:space="preserve">Dokončenie </w:t>
            </w:r>
            <w:r w:rsidRPr="00083739">
              <w:rPr>
                <w:rFonts w:ascii="Times New Roman" w:hAnsi="Times New Roman" w:cs="Times New Roman"/>
                <w:noProof/>
                <w:lang w:val="sk-SK"/>
              </w:rPr>
              <w:t>všetkých prác na:</w:t>
            </w:r>
          </w:p>
          <w:p w14:paraId="17DE1A77" w14:textId="7326B87D"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 obnova 5 700 ha degradovaných lesných ekosystémov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Grécku prostredníctvom zalesňovania výsadby, pri ktorej sa využíva aspoň 50</w:t>
            </w:r>
            <w:r w:rsidR="00083739" w:rsidRPr="00083739">
              <w:rPr>
                <w:rFonts w:ascii="Times New Roman" w:hAnsi="Times New Roman" w:cs="Times New Roman"/>
                <w:noProof/>
                <w:lang w:val="sk-SK"/>
              </w:rPr>
              <w:t> %</w:t>
            </w:r>
            <w:r w:rsidRPr="00083739">
              <w:rPr>
                <w:rFonts w:ascii="Times New Roman" w:hAnsi="Times New Roman" w:cs="Times New Roman"/>
                <w:noProof/>
                <w:lang w:val="sk-SK"/>
              </w:rPr>
              <w:t xml:space="preserve"> pôvodných druhov. (Opätovné zalesňovanie – prvý čiastkový projekt)</w:t>
            </w:r>
            <w:r w:rsidR="00083739" w:rsidRPr="00083739">
              <w:rPr>
                <w:rFonts w:ascii="Times New Roman" w:hAnsi="Times New Roman" w:cs="Times New Roman"/>
                <w:noProof/>
                <w:lang w:val="sk-SK"/>
              </w:rPr>
              <w:t>.</w:t>
            </w:r>
          </w:p>
          <w:p w14:paraId="75E35642" w14:textId="77777777"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 modernizácia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modernizácia štyroch </w:t>
            </w:r>
            <w:r w:rsidRPr="00083739">
              <w:rPr>
                <w:rFonts w:ascii="Times New Roman" w:hAnsi="Times New Roman" w:cs="Times New Roman"/>
                <w:noProof/>
                <w:lang w:val="sk-SK"/>
              </w:rPr>
              <w:t>lesných škôlok,</w:t>
            </w:r>
          </w:p>
          <w:p w14:paraId="18F011E3" w14:textId="40BB8B7F"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pilotná implementácia národného plánu zalesňovania</w:t>
            </w:r>
          </w:p>
          <w:p w14:paraId="4CEAF653" w14:textId="47058FEB" w:rsidR="002D49B0" w:rsidRPr="00083739" w:rsidRDefault="00BF4125">
            <w:pPr>
              <w:pStyle w:val="P68B1DB1-Normal10"/>
              <w:spacing w:after="0" w:line="240" w:lineRule="auto"/>
              <w:rPr>
                <w:rFonts w:ascii="Times New Roman" w:hAnsi="Times New Roman" w:cs="Times New Roman"/>
                <w:noProof/>
                <w:lang w:val="sk-SK"/>
              </w:rPr>
            </w:pPr>
            <w:r w:rsidRPr="00083739">
              <w:rPr>
                <w:rFonts w:ascii="Times New Roman" w:hAnsi="Times New Roman" w:cs="Times New Roman"/>
                <w:noProof/>
                <w:lang w:val="sk-SK"/>
              </w:rPr>
              <w:t>— AntiNERO I, II, III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IV (na modernizáciu 87 900 ha znehodnotených ekosystémov prostredníctvom vyklčovania lesov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zalesnených plôch, údržbu lesných ciest</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existujúcich požiarnych zón,</w:t>
            </w:r>
            <w:r w:rsidRPr="00083739">
              <w:rPr>
                <w:rFonts w:ascii="Times New Roman" w:hAnsi="Times New Roman" w:cs="Times New Roman"/>
                <w:noProof/>
                <w:lang w:val="sk-SK"/>
              </w:rPr>
              <w:t xml:space="preserve"> vytvorenie zmiešaných požiarnych zón</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ďalších pracovných tokov, ako je riadenie biomasy, betónové priekopy, hrádze, írske priechody, hrádze, požiarne veže, výstavba koryta ciest, vodné nádrže. . Celkový rozpočet na tieto programy počas trvania opatrenia </w:t>
            </w:r>
            <w:r w:rsidRPr="00083739">
              <w:rPr>
                <w:rFonts w:ascii="Times New Roman" w:hAnsi="Times New Roman" w:cs="Times New Roman"/>
                <w:noProof/>
                <w:lang w:val="sk-SK"/>
              </w:rPr>
              <w:t>predstavuje najmenej 411 300 000 EUR.</w:t>
            </w:r>
          </w:p>
          <w:p w14:paraId="4F275C33" w14:textId="12C9CCB4" w:rsidR="002D49B0" w:rsidRPr="00083739" w:rsidRDefault="00BF4125">
            <w:pPr>
              <w:pStyle w:val="P68B1DB1-Normal10"/>
              <w:spacing w:after="0" w:line="240" w:lineRule="auto"/>
              <w:rPr>
                <w:rFonts w:ascii="Times New Roman" w:hAnsi="Times New Roman" w:cs="Times New Roman"/>
                <w:noProof/>
                <w:lang w:val="sk-SK"/>
              </w:rPr>
            </w:pPr>
            <w:r w:rsidRPr="00083739">
              <w:rPr>
                <w:rFonts w:ascii="Times New Roman" w:hAnsi="Times New Roman" w:cs="Times New Roman"/>
                <w:noProof/>
                <w:lang w:val="sk-SK"/>
              </w:rPr>
              <w:t>— Protierózne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protipovodňové opatrenia</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Evros</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Rhodopes, ktoré pokrývajú celkovo 5 000 ha protieróznych prác</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175 000 m² protipovodňovej ochrany. Dodatočné rekonštrukčné práce zahŕňajú opatrenia proti erózii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pro</w:t>
            </w:r>
            <w:r w:rsidRPr="00083739">
              <w:rPr>
                <w:rFonts w:ascii="Times New Roman" w:hAnsi="Times New Roman" w:cs="Times New Roman"/>
                <w:noProof/>
                <w:lang w:val="sk-SK"/>
              </w:rPr>
              <w:t>tipovodňovej ochrane</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celom Grécku, ktoré pokrývajú 1 221 ha protieróznych prác</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226 437 m² protipovodňovej ochrany.</w:t>
            </w:r>
          </w:p>
        </w:tc>
      </w:tr>
    </w:tbl>
    <w:p w14:paraId="585A6A42" w14:textId="7EF53F5B" w:rsidR="002D49B0" w:rsidRPr="00083739" w:rsidRDefault="002D49B0">
      <w:pPr>
        <w:rPr>
          <w:rFonts w:ascii="Times New Roman" w:hAnsi="Times New Roman" w:cs="Times New Roman"/>
          <w:noProof/>
          <w:lang w:val="sk-SK"/>
        </w:rPr>
      </w:pPr>
    </w:p>
    <w:tbl>
      <w:tblPr>
        <w:tblpPr w:leftFromText="180" w:rightFromText="180" w:vertAnchor="text" w:tblpXSpec="center" w:tblpY="1"/>
        <w:tblOverlap w:val="never"/>
        <w:tblW w:w="15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
        <w:gridCol w:w="1813"/>
        <w:gridCol w:w="1087"/>
        <w:gridCol w:w="2172"/>
        <w:gridCol w:w="1504"/>
        <w:gridCol w:w="1074"/>
        <w:gridCol w:w="1092"/>
        <w:gridCol w:w="658"/>
        <w:gridCol w:w="1138"/>
        <w:gridCol w:w="797"/>
        <w:gridCol w:w="3026"/>
      </w:tblGrid>
      <w:tr w:rsidR="002D49B0" w:rsidRPr="00083739" w14:paraId="1476D068" w14:textId="77777777">
        <w:trPr>
          <w:trHeight w:val="599"/>
          <w:tblHeader/>
        </w:trPr>
        <w:tc>
          <w:tcPr>
            <w:tcW w:w="1054" w:type="dxa"/>
            <w:vMerge w:val="restart"/>
            <w:shd w:val="clear" w:color="auto" w:fill="B8CCE4" w:themeFill="accent1" w:themeFillTint="66"/>
            <w:noWrap/>
            <w:vAlign w:val="center"/>
          </w:tcPr>
          <w:p w14:paraId="2F0046D1" w14:textId="724B932F" w:rsidR="002D49B0" w:rsidRPr="00083739" w:rsidRDefault="00BF4125">
            <w:pPr>
              <w:pStyle w:val="P68B1DB1-Normal7"/>
              <w:spacing w:after="0" w:line="240" w:lineRule="auto"/>
              <w:jc w:val="center"/>
              <w:rPr>
                <w:rFonts w:cs="Times New Roman"/>
                <w:noProof/>
                <w:color w:val="006100"/>
                <w:lang w:val="sk-SK"/>
              </w:rPr>
            </w:pPr>
            <w:r w:rsidRPr="00083739">
              <w:rPr>
                <w:rFonts w:cs="Times New Roman"/>
                <w:noProof/>
                <w:lang w:val="sk-SK"/>
              </w:rPr>
              <w:t>Poradové číslo</w:t>
            </w:r>
          </w:p>
        </w:tc>
        <w:tc>
          <w:tcPr>
            <w:tcW w:w="1864" w:type="dxa"/>
            <w:vMerge w:val="restart"/>
            <w:shd w:val="clear" w:color="auto" w:fill="B8CCE4" w:themeFill="accent1" w:themeFillTint="66"/>
            <w:noWrap/>
            <w:vAlign w:val="center"/>
          </w:tcPr>
          <w:p w14:paraId="38A9902D" w14:textId="77777777" w:rsidR="002D49B0" w:rsidRPr="00083739" w:rsidRDefault="00BF4125">
            <w:pPr>
              <w:pStyle w:val="P68B1DB1-Normal7"/>
              <w:spacing w:after="0" w:line="240" w:lineRule="auto"/>
              <w:jc w:val="center"/>
              <w:rPr>
                <w:rFonts w:cs="Times New Roman"/>
                <w:noProof/>
                <w:color w:val="006100"/>
                <w:lang w:val="sk-SK"/>
              </w:rPr>
            </w:pPr>
            <w:r w:rsidRPr="00083739">
              <w:rPr>
                <w:rFonts w:cs="Times New Roman"/>
                <w:noProof/>
                <w:lang w:val="sk-SK"/>
              </w:rPr>
              <w:t>Súvisiace opatrenie (reforma alebo investícia)</w:t>
            </w:r>
          </w:p>
        </w:tc>
        <w:tc>
          <w:tcPr>
            <w:tcW w:w="985" w:type="dxa"/>
            <w:vMerge w:val="restart"/>
            <w:shd w:val="clear" w:color="auto" w:fill="B8CCE4" w:themeFill="accent1" w:themeFillTint="66"/>
            <w:noWrap/>
            <w:vAlign w:val="center"/>
          </w:tcPr>
          <w:p w14:paraId="5C0CD66D" w14:textId="77777777" w:rsidR="002D49B0" w:rsidRPr="00083739" w:rsidRDefault="00BF4125">
            <w:pPr>
              <w:pStyle w:val="P68B1DB1-Normal7"/>
              <w:spacing w:after="0" w:line="240" w:lineRule="auto"/>
              <w:jc w:val="center"/>
              <w:rPr>
                <w:rFonts w:cs="Times New Roman"/>
                <w:noProof/>
                <w:color w:val="006100"/>
                <w:lang w:val="sk-SK"/>
              </w:rPr>
            </w:pPr>
            <w:r w:rsidRPr="00083739">
              <w:rPr>
                <w:rFonts w:cs="Times New Roman"/>
                <w:noProof/>
                <w:lang w:val="sk-SK"/>
              </w:rPr>
              <w:t>Míľnik/cieľ</w:t>
            </w:r>
          </w:p>
        </w:tc>
        <w:tc>
          <w:tcPr>
            <w:tcW w:w="2235" w:type="dxa"/>
            <w:vMerge w:val="restart"/>
            <w:shd w:val="clear" w:color="auto" w:fill="B8CCE4" w:themeFill="accent1" w:themeFillTint="66"/>
            <w:noWrap/>
            <w:vAlign w:val="center"/>
          </w:tcPr>
          <w:p w14:paraId="738B09C2" w14:textId="77777777" w:rsidR="002D49B0" w:rsidRPr="00083739" w:rsidRDefault="00BF4125">
            <w:pPr>
              <w:pStyle w:val="P68B1DB1-Normal7"/>
              <w:spacing w:after="0" w:line="240" w:lineRule="auto"/>
              <w:jc w:val="center"/>
              <w:rPr>
                <w:rFonts w:cs="Times New Roman"/>
                <w:noProof/>
                <w:color w:val="006100"/>
                <w:lang w:val="sk-SK"/>
              </w:rPr>
            </w:pPr>
            <w:r w:rsidRPr="00083739">
              <w:rPr>
                <w:rFonts w:cs="Times New Roman"/>
                <w:noProof/>
                <w:lang w:val="sk-SK"/>
              </w:rPr>
              <w:t>Názov</w:t>
            </w:r>
          </w:p>
        </w:tc>
        <w:tc>
          <w:tcPr>
            <w:tcW w:w="1545" w:type="dxa"/>
            <w:vMerge w:val="restart"/>
            <w:shd w:val="clear" w:color="auto" w:fill="B8CCE4" w:themeFill="accent1" w:themeFillTint="66"/>
            <w:noWrap/>
            <w:vAlign w:val="center"/>
          </w:tcPr>
          <w:p w14:paraId="3802427A" w14:textId="77777777" w:rsidR="002D49B0" w:rsidRPr="00083739" w:rsidRDefault="00BF4125">
            <w:pPr>
              <w:pStyle w:val="P68B1DB1-Normal7"/>
              <w:spacing w:after="0" w:line="240" w:lineRule="auto"/>
              <w:jc w:val="center"/>
              <w:rPr>
                <w:rFonts w:cs="Times New Roman"/>
                <w:noProof/>
                <w:color w:val="006100"/>
                <w:lang w:val="sk-SK"/>
              </w:rPr>
            </w:pPr>
            <w:r w:rsidRPr="00083739">
              <w:rPr>
                <w:rFonts w:cs="Times New Roman"/>
                <w:noProof/>
                <w:lang w:val="sk-SK"/>
              </w:rPr>
              <w:t>Kvalitatívne ukazovatele (pre míľniky)</w:t>
            </w:r>
          </w:p>
        </w:tc>
        <w:tc>
          <w:tcPr>
            <w:tcW w:w="2893" w:type="dxa"/>
            <w:gridSpan w:val="3"/>
            <w:shd w:val="clear" w:color="auto" w:fill="B8CCE4" w:themeFill="accent1" w:themeFillTint="66"/>
            <w:noWrap/>
            <w:vAlign w:val="center"/>
          </w:tcPr>
          <w:p w14:paraId="49BD047B" w14:textId="77777777" w:rsidR="002D49B0" w:rsidRPr="00083739" w:rsidRDefault="00BF4125">
            <w:pPr>
              <w:pStyle w:val="P68B1DB1-Normal7"/>
              <w:spacing w:after="0" w:line="240" w:lineRule="auto"/>
              <w:jc w:val="center"/>
              <w:rPr>
                <w:rFonts w:eastAsia="Times New Roman" w:cs="Times New Roman"/>
                <w:noProof/>
                <w:color w:val="006100"/>
                <w:szCs w:val="18"/>
                <w:lang w:val="sk-SK"/>
              </w:rPr>
            </w:pPr>
            <w:r w:rsidRPr="00083739">
              <w:rPr>
                <w:rFonts w:cs="Times New Roman"/>
                <w:noProof/>
                <w:lang w:val="sk-SK"/>
              </w:rPr>
              <w:t>Kvantitatívne</w:t>
            </w:r>
            <w:r w:rsidRPr="00083739">
              <w:rPr>
                <w:rFonts w:cs="Times New Roman"/>
                <w:noProof/>
                <w:lang w:val="sk-SK"/>
              </w:rPr>
              <w:t xml:space="preserve"> ukazovatele (pre ciele)</w:t>
            </w:r>
          </w:p>
        </w:tc>
        <w:tc>
          <w:tcPr>
            <w:tcW w:w="1697" w:type="dxa"/>
            <w:gridSpan w:val="2"/>
            <w:shd w:val="clear" w:color="auto" w:fill="B8CCE4" w:themeFill="accent1" w:themeFillTint="66"/>
            <w:noWrap/>
            <w:vAlign w:val="center"/>
          </w:tcPr>
          <w:p w14:paraId="7361CB6E" w14:textId="77777777" w:rsidR="002D49B0" w:rsidRPr="00083739" w:rsidRDefault="00BF4125">
            <w:pPr>
              <w:pStyle w:val="P68B1DB1-Normal7"/>
              <w:spacing w:after="0" w:line="240" w:lineRule="auto"/>
              <w:jc w:val="center"/>
              <w:rPr>
                <w:rFonts w:cs="Times New Roman"/>
                <w:noProof/>
                <w:color w:val="006100"/>
                <w:lang w:val="sk-SK"/>
              </w:rPr>
            </w:pPr>
            <w:r w:rsidRPr="00083739">
              <w:rPr>
                <w:rFonts w:cs="Times New Roman"/>
                <w:noProof/>
                <w:lang w:val="sk-SK"/>
              </w:rPr>
              <w:t>Orientačný harmonogram dokončenia</w:t>
            </w:r>
          </w:p>
        </w:tc>
        <w:tc>
          <w:tcPr>
            <w:tcW w:w="3116" w:type="dxa"/>
            <w:vMerge w:val="restart"/>
            <w:shd w:val="clear" w:color="auto" w:fill="B8CCE4" w:themeFill="accent1" w:themeFillTint="66"/>
            <w:noWrap/>
            <w:vAlign w:val="center"/>
          </w:tcPr>
          <w:p w14:paraId="09C6389F" w14:textId="4DC7CBD3" w:rsidR="002D49B0" w:rsidRPr="00083739" w:rsidRDefault="00BF4125">
            <w:pPr>
              <w:pStyle w:val="P68B1DB1-Normal7"/>
              <w:spacing w:after="0" w:line="240" w:lineRule="auto"/>
              <w:jc w:val="center"/>
              <w:rPr>
                <w:rFonts w:cs="Times New Roman"/>
                <w:noProof/>
                <w:color w:val="006100"/>
                <w:lang w:val="sk-SK"/>
              </w:rPr>
            </w:pPr>
            <w:r w:rsidRPr="00083739">
              <w:rPr>
                <w:rFonts w:cs="Times New Roman"/>
                <w:noProof/>
                <w:lang w:val="sk-SK"/>
              </w:rPr>
              <w:t>Opis každého míľnika</w:t>
            </w:r>
            <w:r w:rsidR="00083739" w:rsidRPr="00083739">
              <w:rPr>
                <w:rFonts w:cs="Times New Roman"/>
                <w:noProof/>
                <w:lang w:val="sk-SK"/>
              </w:rPr>
              <w:t xml:space="preserve"> a </w:t>
            </w:r>
            <w:r w:rsidRPr="00083739">
              <w:rPr>
                <w:rFonts w:cs="Times New Roman"/>
                <w:noProof/>
                <w:lang w:val="sk-SK"/>
              </w:rPr>
              <w:t>cieľa</w:t>
            </w:r>
          </w:p>
        </w:tc>
      </w:tr>
      <w:tr w:rsidR="002D49B0" w:rsidRPr="00083739" w14:paraId="50A0582B" w14:textId="77777777">
        <w:trPr>
          <w:trHeight w:val="548"/>
          <w:tblHeader/>
        </w:trPr>
        <w:tc>
          <w:tcPr>
            <w:tcW w:w="1054" w:type="dxa"/>
            <w:vMerge/>
            <w:noWrap/>
            <w:vAlign w:val="center"/>
          </w:tcPr>
          <w:p w14:paraId="2D25D271" w14:textId="77777777" w:rsidR="002D49B0" w:rsidRPr="00083739" w:rsidRDefault="002D49B0">
            <w:pPr>
              <w:spacing w:after="0" w:line="240" w:lineRule="auto"/>
              <w:rPr>
                <w:rFonts w:ascii="Times New Roman" w:hAnsi="Times New Roman" w:cs="Times New Roman"/>
                <w:b/>
                <w:noProof/>
                <w:sz w:val="18"/>
                <w:lang w:val="sk-SK"/>
              </w:rPr>
            </w:pPr>
          </w:p>
        </w:tc>
        <w:tc>
          <w:tcPr>
            <w:tcW w:w="1864" w:type="dxa"/>
            <w:vMerge/>
            <w:noWrap/>
            <w:vAlign w:val="center"/>
          </w:tcPr>
          <w:p w14:paraId="1F06F66B" w14:textId="77777777" w:rsidR="002D49B0" w:rsidRPr="00083739" w:rsidRDefault="002D49B0">
            <w:pPr>
              <w:spacing w:after="0" w:line="240" w:lineRule="auto"/>
              <w:rPr>
                <w:rFonts w:ascii="Times New Roman" w:hAnsi="Times New Roman" w:cs="Times New Roman"/>
                <w:b/>
                <w:noProof/>
                <w:sz w:val="18"/>
                <w:lang w:val="sk-SK"/>
              </w:rPr>
            </w:pPr>
          </w:p>
        </w:tc>
        <w:tc>
          <w:tcPr>
            <w:tcW w:w="985" w:type="dxa"/>
            <w:vMerge/>
            <w:noWrap/>
            <w:vAlign w:val="center"/>
          </w:tcPr>
          <w:p w14:paraId="692837A4" w14:textId="77777777" w:rsidR="002D49B0" w:rsidRPr="00083739" w:rsidRDefault="002D49B0">
            <w:pPr>
              <w:spacing w:after="0" w:line="240" w:lineRule="auto"/>
              <w:rPr>
                <w:rFonts w:ascii="Times New Roman" w:hAnsi="Times New Roman" w:cs="Times New Roman"/>
                <w:b/>
                <w:noProof/>
                <w:sz w:val="18"/>
                <w:lang w:val="sk-SK"/>
              </w:rPr>
            </w:pPr>
          </w:p>
        </w:tc>
        <w:tc>
          <w:tcPr>
            <w:tcW w:w="2235" w:type="dxa"/>
            <w:vMerge/>
            <w:noWrap/>
            <w:vAlign w:val="center"/>
          </w:tcPr>
          <w:p w14:paraId="46EB8770" w14:textId="77777777" w:rsidR="002D49B0" w:rsidRPr="00083739" w:rsidRDefault="002D49B0">
            <w:pPr>
              <w:spacing w:after="0" w:line="240" w:lineRule="auto"/>
              <w:rPr>
                <w:rFonts w:ascii="Times New Roman" w:hAnsi="Times New Roman" w:cs="Times New Roman"/>
                <w:b/>
                <w:noProof/>
                <w:sz w:val="18"/>
                <w:lang w:val="sk-SK"/>
              </w:rPr>
            </w:pPr>
          </w:p>
        </w:tc>
        <w:tc>
          <w:tcPr>
            <w:tcW w:w="1545" w:type="dxa"/>
            <w:vMerge/>
            <w:noWrap/>
            <w:vAlign w:val="center"/>
          </w:tcPr>
          <w:p w14:paraId="54B7AD00" w14:textId="77777777" w:rsidR="002D49B0" w:rsidRPr="00083739" w:rsidRDefault="002D49B0">
            <w:pPr>
              <w:spacing w:after="0" w:line="240" w:lineRule="auto"/>
              <w:rPr>
                <w:rFonts w:ascii="Times New Roman" w:hAnsi="Times New Roman" w:cs="Times New Roman"/>
                <w:b/>
                <w:noProof/>
                <w:sz w:val="18"/>
                <w:lang w:val="sk-SK"/>
              </w:rPr>
            </w:pPr>
          </w:p>
        </w:tc>
        <w:tc>
          <w:tcPr>
            <w:tcW w:w="1101" w:type="dxa"/>
            <w:shd w:val="clear" w:color="auto" w:fill="B8CCE4" w:themeFill="accent1" w:themeFillTint="66"/>
            <w:noWrap/>
            <w:vAlign w:val="center"/>
          </w:tcPr>
          <w:p w14:paraId="2574C69F" w14:textId="77777777" w:rsidR="002D49B0" w:rsidRPr="00083739" w:rsidRDefault="00BF4125">
            <w:pPr>
              <w:pStyle w:val="P68B1DB1-Normal7"/>
              <w:spacing w:after="0" w:line="240" w:lineRule="auto"/>
              <w:jc w:val="center"/>
              <w:rPr>
                <w:rFonts w:eastAsia="Times New Roman" w:cs="Times New Roman"/>
                <w:noProof/>
                <w:color w:val="006100"/>
                <w:szCs w:val="18"/>
                <w:lang w:val="sk-SK"/>
              </w:rPr>
            </w:pPr>
            <w:r w:rsidRPr="00083739">
              <w:rPr>
                <w:rFonts w:cs="Times New Roman"/>
                <w:noProof/>
                <w:lang w:val="sk-SK"/>
              </w:rPr>
              <w:t>Merná jednotka</w:t>
            </w:r>
          </w:p>
        </w:tc>
        <w:tc>
          <w:tcPr>
            <w:tcW w:w="1120" w:type="dxa"/>
            <w:shd w:val="clear" w:color="auto" w:fill="B8CCE4" w:themeFill="accent1" w:themeFillTint="66"/>
            <w:vAlign w:val="center"/>
          </w:tcPr>
          <w:p w14:paraId="0BF491A4" w14:textId="77777777" w:rsidR="002D49B0" w:rsidRPr="00083739" w:rsidRDefault="00BF4125">
            <w:pPr>
              <w:pStyle w:val="P68B1DB1-Normal7"/>
              <w:spacing w:after="0" w:line="240" w:lineRule="auto"/>
              <w:jc w:val="center"/>
              <w:rPr>
                <w:rFonts w:eastAsia="Times New Roman" w:cs="Times New Roman"/>
                <w:noProof/>
                <w:color w:val="006100"/>
                <w:szCs w:val="18"/>
                <w:lang w:val="sk-SK"/>
              </w:rPr>
            </w:pPr>
            <w:r w:rsidRPr="00083739">
              <w:rPr>
                <w:rFonts w:cs="Times New Roman"/>
                <w:noProof/>
                <w:lang w:val="sk-SK"/>
              </w:rPr>
              <w:t>Základná</w:t>
            </w:r>
          </w:p>
        </w:tc>
        <w:tc>
          <w:tcPr>
            <w:tcW w:w="672" w:type="dxa"/>
            <w:shd w:val="clear" w:color="auto" w:fill="B8CCE4" w:themeFill="accent1" w:themeFillTint="66"/>
            <w:vAlign w:val="center"/>
          </w:tcPr>
          <w:p w14:paraId="4083E5D1" w14:textId="77777777" w:rsidR="002D49B0" w:rsidRPr="00083739" w:rsidRDefault="00BF4125">
            <w:pPr>
              <w:pStyle w:val="P68B1DB1-Normal7"/>
              <w:spacing w:after="0" w:line="240" w:lineRule="auto"/>
              <w:jc w:val="center"/>
              <w:rPr>
                <w:rFonts w:eastAsia="Times New Roman" w:cs="Times New Roman"/>
                <w:noProof/>
                <w:color w:val="006100"/>
                <w:szCs w:val="18"/>
                <w:lang w:val="sk-SK"/>
              </w:rPr>
            </w:pPr>
            <w:r w:rsidRPr="00083739">
              <w:rPr>
                <w:rFonts w:cs="Times New Roman"/>
                <w:noProof/>
                <w:lang w:val="sk-SK"/>
              </w:rPr>
              <w:t>Cieľ</w:t>
            </w:r>
          </w:p>
        </w:tc>
        <w:tc>
          <w:tcPr>
            <w:tcW w:w="881" w:type="dxa"/>
            <w:shd w:val="clear" w:color="auto" w:fill="B8CCE4" w:themeFill="accent1" w:themeFillTint="66"/>
            <w:noWrap/>
            <w:vAlign w:val="center"/>
          </w:tcPr>
          <w:p w14:paraId="1F146755" w14:textId="77777777" w:rsidR="002D49B0" w:rsidRPr="00083739" w:rsidRDefault="00BF4125">
            <w:pPr>
              <w:pStyle w:val="P68B1DB1-Normal7"/>
              <w:spacing w:after="0" w:line="240" w:lineRule="auto"/>
              <w:jc w:val="center"/>
              <w:rPr>
                <w:rFonts w:cs="Times New Roman"/>
                <w:noProof/>
                <w:color w:val="006100"/>
                <w:lang w:val="sk-SK"/>
              </w:rPr>
            </w:pPr>
            <w:r w:rsidRPr="00083739">
              <w:rPr>
                <w:rFonts w:cs="Times New Roman"/>
                <w:noProof/>
                <w:lang w:val="sk-SK"/>
              </w:rPr>
              <w:t>Štvrtina</w:t>
            </w:r>
          </w:p>
        </w:tc>
        <w:tc>
          <w:tcPr>
            <w:tcW w:w="816" w:type="dxa"/>
            <w:shd w:val="clear" w:color="auto" w:fill="B8CCE4" w:themeFill="accent1" w:themeFillTint="66"/>
            <w:vAlign w:val="center"/>
          </w:tcPr>
          <w:p w14:paraId="6CCCEAA3" w14:textId="77777777" w:rsidR="002D49B0" w:rsidRPr="00083739" w:rsidRDefault="00BF4125">
            <w:pPr>
              <w:pStyle w:val="P68B1DB1-Normal7"/>
              <w:spacing w:after="0" w:line="240" w:lineRule="auto"/>
              <w:jc w:val="center"/>
              <w:rPr>
                <w:rFonts w:cs="Times New Roman"/>
                <w:noProof/>
                <w:color w:val="006100"/>
                <w:lang w:val="sk-SK"/>
              </w:rPr>
            </w:pPr>
            <w:r w:rsidRPr="00083739">
              <w:rPr>
                <w:rFonts w:cs="Times New Roman"/>
                <w:noProof/>
                <w:lang w:val="sk-SK"/>
              </w:rPr>
              <w:t>Rok</w:t>
            </w:r>
          </w:p>
        </w:tc>
        <w:tc>
          <w:tcPr>
            <w:tcW w:w="3116" w:type="dxa"/>
            <w:vMerge/>
            <w:noWrap/>
          </w:tcPr>
          <w:p w14:paraId="0C52695A" w14:textId="77777777" w:rsidR="002D49B0" w:rsidRPr="00083739" w:rsidRDefault="002D49B0">
            <w:pPr>
              <w:spacing w:after="0" w:line="240" w:lineRule="auto"/>
              <w:rPr>
                <w:rFonts w:ascii="Times New Roman" w:hAnsi="Times New Roman" w:cs="Times New Roman"/>
                <w:noProof/>
                <w:color w:val="006100"/>
                <w:sz w:val="18"/>
                <w:lang w:val="sk-SK"/>
              </w:rPr>
            </w:pPr>
          </w:p>
        </w:tc>
      </w:tr>
      <w:tr w:rsidR="002D49B0" w:rsidRPr="00083739" w14:paraId="7417F5E4" w14:textId="77777777">
        <w:trPr>
          <w:trHeight w:val="313"/>
          <w:tblHeader/>
        </w:trPr>
        <w:tc>
          <w:tcPr>
            <w:tcW w:w="1054" w:type="dxa"/>
            <w:shd w:val="clear" w:color="auto" w:fill="C6EFCE"/>
            <w:noWrap/>
          </w:tcPr>
          <w:p w14:paraId="3263457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64</w:t>
            </w:r>
          </w:p>
        </w:tc>
        <w:tc>
          <w:tcPr>
            <w:tcW w:w="1864" w:type="dxa"/>
            <w:shd w:val="clear" w:color="auto" w:fill="C6EFCE"/>
            <w:noWrap/>
          </w:tcPr>
          <w:p w14:paraId="256D740D" w14:textId="1F6F64EF"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4 – 1.4. Udržateľné využívanie zdrojov, odolnosť proti zmene klímy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ochrana životného prostredia – 16851_Ochrana </w:t>
            </w:r>
            <w:r w:rsidRPr="00083739">
              <w:rPr>
                <w:rFonts w:ascii="Times New Roman" w:hAnsi="Times New Roman" w:cs="Times New Roman"/>
                <w:noProof/>
                <w:lang w:val="sk-SK"/>
              </w:rPr>
              <w:t>biodiverzity ako hnacia sila udržateľného rastu</w:t>
            </w:r>
          </w:p>
        </w:tc>
        <w:tc>
          <w:tcPr>
            <w:tcW w:w="985" w:type="dxa"/>
            <w:shd w:val="clear" w:color="auto" w:fill="C6EFCE"/>
            <w:noWrap/>
          </w:tcPr>
          <w:p w14:paraId="7309CD9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2235" w:type="dxa"/>
            <w:shd w:val="clear" w:color="auto" w:fill="C6EFCE"/>
            <w:noWrap/>
          </w:tcPr>
          <w:p w14:paraId="5A20326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Biodiverzita – Ukončenie</w:t>
            </w:r>
          </w:p>
        </w:tc>
        <w:tc>
          <w:tcPr>
            <w:tcW w:w="1545" w:type="dxa"/>
            <w:shd w:val="clear" w:color="auto" w:fill="C6EFCE"/>
            <w:noWrap/>
          </w:tcPr>
          <w:p w14:paraId="20399313" w14:textId="370E29C7"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Dokončenie prác</w:t>
            </w:r>
          </w:p>
        </w:tc>
        <w:tc>
          <w:tcPr>
            <w:tcW w:w="1101" w:type="dxa"/>
            <w:shd w:val="clear" w:color="auto" w:fill="C6EFCE"/>
            <w:noWrap/>
          </w:tcPr>
          <w:p w14:paraId="5BCBFF97"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120" w:type="dxa"/>
            <w:shd w:val="clear" w:color="auto" w:fill="C6EFCE"/>
            <w:noWrap/>
          </w:tcPr>
          <w:p w14:paraId="3C192CD5"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672" w:type="dxa"/>
            <w:shd w:val="clear" w:color="auto" w:fill="C6EFCE"/>
            <w:noWrap/>
          </w:tcPr>
          <w:p w14:paraId="2CD9AD37"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81" w:type="dxa"/>
            <w:shd w:val="clear" w:color="auto" w:fill="C6EFCE"/>
            <w:noWrap/>
          </w:tcPr>
          <w:p w14:paraId="35D6D58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816" w:type="dxa"/>
            <w:shd w:val="clear" w:color="auto" w:fill="C6EFCE"/>
            <w:noWrap/>
          </w:tcPr>
          <w:p w14:paraId="0DCB290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3116" w:type="dxa"/>
            <w:shd w:val="clear" w:color="auto" w:fill="C6EFCE"/>
            <w:noWrap/>
          </w:tcPr>
          <w:p w14:paraId="45F21B8E" w14:textId="6A5B710E"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všetkých podprojektov na ochranu biodiverzity: vytvorenie národnej siete ciest</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sprievodcov, zriadenie Národného múzea príro</w:t>
            </w:r>
            <w:r w:rsidRPr="00083739">
              <w:rPr>
                <w:rFonts w:ascii="Times New Roman" w:hAnsi="Times New Roman" w:cs="Times New Roman"/>
                <w:noProof/>
                <w:lang w:val="sk-SK"/>
              </w:rPr>
              <w:t>dných dejín</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modernizácia Múzea prírodných dejín na Kréte, digitalizácia gréckych zbierok prírodných dejín, vytvorenie podnikovej identity pre výrobky súvisiace</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gréckym charakterom, vytvorenie operačného systému na podporu plánu horizontálneho monitorov</w:t>
            </w:r>
            <w:r w:rsidRPr="00083739">
              <w:rPr>
                <w:rFonts w:ascii="Times New Roman" w:hAnsi="Times New Roman" w:cs="Times New Roman"/>
                <w:noProof/>
                <w:lang w:val="sk-SK"/>
              </w:rPr>
              <w:t>ania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hliadkovania pre všetky chránené územia Grécka.</w:t>
            </w:r>
          </w:p>
        </w:tc>
      </w:tr>
    </w:tbl>
    <w:p w14:paraId="56412DD4" w14:textId="77777777" w:rsidR="002D49B0" w:rsidRPr="00083739" w:rsidRDefault="002D49B0">
      <w:pPr>
        <w:keepNext/>
        <w:keepLines/>
        <w:spacing w:before="240" w:after="0" w:line="240" w:lineRule="auto"/>
        <w:jc w:val="both"/>
        <w:outlineLvl w:val="4"/>
        <w:rPr>
          <w:rFonts w:ascii="Times New Roman" w:hAnsi="Times New Roman" w:cs="Times New Roman"/>
          <w:noProof/>
          <w:color w:val="365F91"/>
          <w:sz w:val="24"/>
          <w:lang w:val="sk-SK"/>
        </w:rPr>
        <w:sectPr w:rsidR="002D49B0" w:rsidRPr="00083739" w:rsidSect="00271D33">
          <w:headerReference w:type="even" r:id="rId85"/>
          <w:headerReference w:type="default" r:id="rId86"/>
          <w:footerReference w:type="even" r:id="rId87"/>
          <w:footerReference w:type="default" r:id="rId88"/>
          <w:headerReference w:type="first" r:id="rId89"/>
          <w:footerReference w:type="first" r:id="rId90"/>
          <w:pgSz w:w="16839" w:h="11907" w:orient="landscape"/>
          <w:pgMar w:top="720" w:right="720" w:bottom="720" w:left="720" w:header="709" w:footer="709" w:gutter="0"/>
          <w:cols w:space="720"/>
          <w:docGrid w:linePitch="360"/>
        </w:sectPr>
      </w:pPr>
    </w:p>
    <w:p w14:paraId="1D87FD8D" w14:textId="1967898F" w:rsidR="002D49B0" w:rsidRPr="00083739" w:rsidRDefault="00BF4125">
      <w:pPr>
        <w:pStyle w:val="P68B1DB1-Normal6"/>
        <w:keepNext/>
        <w:keepLines/>
        <w:spacing w:before="240" w:after="0" w:line="240" w:lineRule="auto"/>
        <w:jc w:val="both"/>
        <w:outlineLvl w:val="4"/>
        <w:rPr>
          <w:rFonts w:ascii="Times New Roman" w:eastAsia="Times New Roman" w:hAnsi="Times New Roman" w:cs="Times New Roman"/>
          <w:noProof/>
          <w:lang w:val="sk-SK"/>
        </w:rPr>
      </w:pPr>
      <w:r w:rsidRPr="00083739">
        <w:rPr>
          <w:rFonts w:ascii="Times New Roman" w:hAnsi="Times New Roman" w:cs="Times New Roman"/>
          <w:noProof/>
          <w:lang w:val="sk-SK"/>
        </w:rPr>
        <w:t>Skupina 6: Odpadová</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vodná infraštruktúra, úspory vody</w:t>
      </w:r>
    </w:p>
    <w:p w14:paraId="0516D468" w14:textId="77777777" w:rsidR="002D49B0" w:rsidRPr="00083739" w:rsidRDefault="00BF4125">
      <w:pPr>
        <w:pStyle w:val="P68B1DB1-Normal4"/>
        <w:spacing w:before="120" w:after="120" w:line="240" w:lineRule="auto"/>
        <w:rPr>
          <w:rFonts w:cs="Times New Roman"/>
          <w:noProof/>
          <w:lang w:val="sk-SK"/>
        </w:rPr>
      </w:pPr>
      <w:r w:rsidRPr="00083739">
        <w:rPr>
          <w:rFonts w:cs="Times New Roman"/>
          <w:noProof/>
          <w:lang w:val="sk-SK"/>
        </w:rPr>
        <w:t>Do tejto skupiny patria tieto opatrenia:</w:t>
      </w:r>
    </w:p>
    <w:p w14:paraId="57DF4683" w14:textId="20BED670" w:rsidR="002D49B0" w:rsidRPr="00083739" w:rsidRDefault="00BF4125">
      <w:pPr>
        <w:spacing w:before="120" w:after="120" w:line="240" w:lineRule="auto"/>
        <w:rPr>
          <w:rFonts w:ascii="Times New Roman" w:hAnsi="Times New Roman" w:cs="Times New Roman"/>
          <w:noProof/>
          <w:sz w:val="24"/>
          <w:lang w:val="sk-SK"/>
        </w:rPr>
      </w:pPr>
      <w:r w:rsidRPr="00083739">
        <w:rPr>
          <w:rFonts w:ascii="Times New Roman" w:hAnsi="Times New Roman" w:cs="Times New Roman"/>
          <w:noProof/>
          <w:sz w:val="24"/>
          <w:lang w:val="sk-SK"/>
        </w:rPr>
        <w:t>●</w:t>
      </w:r>
      <w:r w:rsidRPr="00083739">
        <w:rPr>
          <w:rFonts w:ascii="Times New Roman" w:hAnsi="Times New Roman" w:cs="Times New Roman"/>
          <w:noProof/>
          <w:lang w:val="sk-SK"/>
        </w:rPr>
        <w:t xml:space="preserve"> </w:t>
      </w:r>
      <w:r w:rsidRPr="00083739">
        <w:rPr>
          <w:rFonts w:ascii="Times New Roman" w:hAnsi="Times New Roman" w:cs="Times New Roman"/>
          <w:noProof/>
          <w:sz w:val="24"/>
          <w:lang w:val="sk-SK"/>
        </w:rPr>
        <w:t>Infraštruktúry nakladania</w:t>
      </w:r>
      <w:r w:rsidR="00083739" w:rsidRPr="00083739">
        <w:rPr>
          <w:rFonts w:ascii="Times New Roman" w:hAnsi="Times New Roman" w:cs="Times New Roman"/>
          <w:noProof/>
          <w:sz w:val="24"/>
          <w:lang w:val="sk-SK"/>
        </w:rPr>
        <w:t xml:space="preserve"> s </w:t>
      </w:r>
      <w:r w:rsidRPr="00083739">
        <w:rPr>
          <w:rFonts w:ascii="Times New Roman" w:hAnsi="Times New Roman" w:cs="Times New Roman"/>
          <w:noProof/>
          <w:sz w:val="24"/>
          <w:lang w:val="sk-SK"/>
        </w:rPr>
        <w:t xml:space="preserve">komunálnymi </w:t>
      </w:r>
      <w:r w:rsidRPr="00083739">
        <w:rPr>
          <w:rFonts w:ascii="Times New Roman" w:hAnsi="Times New Roman" w:cs="Times New Roman"/>
          <w:noProof/>
          <w:sz w:val="24"/>
          <w:lang w:val="sk-SK"/>
        </w:rPr>
        <w:t>odpadovými vodami</w:t>
      </w:r>
      <w:r w:rsidR="00083739" w:rsidRPr="00083739">
        <w:rPr>
          <w:rFonts w:ascii="Times New Roman" w:hAnsi="Times New Roman" w:cs="Times New Roman"/>
          <w:noProof/>
          <w:sz w:val="24"/>
          <w:lang w:val="sk-SK"/>
        </w:rPr>
        <w:t xml:space="preserve"> a </w:t>
      </w:r>
      <w:r w:rsidRPr="00083739">
        <w:rPr>
          <w:rFonts w:ascii="Times New Roman" w:hAnsi="Times New Roman" w:cs="Times New Roman"/>
          <w:noProof/>
          <w:sz w:val="24"/>
          <w:lang w:val="sk-SK"/>
        </w:rPr>
        <w:t>kalmi (ID: 16846)</w:t>
      </w:r>
    </w:p>
    <w:p w14:paraId="2BA0FA4A" w14:textId="18C311E8" w:rsidR="002D49B0" w:rsidRPr="00083739" w:rsidRDefault="00BF4125">
      <w:pPr>
        <w:spacing w:before="120" w:after="120" w:line="240" w:lineRule="auto"/>
        <w:rPr>
          <w:rFonts w:ascii="Times New Roman" w:hAnsi="Times New Roman" w:cs="Times New Roman"/>
          <w:noProof/>
          <w:sz w:val="24"/>
          <w:lang w:val="sk-SK"/>
        </w:rPr>
      </w:pPr>
      <w:r w:rsidRPr="00083739">
        <w:rPr>
          <w:rFonts w:ascii="Times New Roman" w:hAnsi="Times New Roman" w:cs="Times New Roman"/>
          <w:noProof/>
          <w:sz w:val="24"/>
          <w:lang w:val="sk-SK"/>
        </w:rPr>
        <w:t>●</w:t>
      </w:r>
      <w:r w:rsidRPr="00083739">
        <w:rPr>
          <w:rFonts w:ascii="Times New Roman" w:hAnsi="Times New Roman" w:cs="Times New Roman"/>
          <w:noProof/>
          <w:lang w:val="sk-SK"/>
        </w:rPr>
        <w:t xml:space="preserve"> </w:t>
      </w:r>
      <w:r w:rsidRPr="00083739">
        <w:rPr>
          <w:rFonts w:ascii="Times New Roman" w:hAnsi="Times New Roman" w:cs="Times New Roman"/>
          <w:noProof/>
          <w:sz w:val="24"/>
          <w:lang w:val="sk-SK"/>
        </w:rPr>
        <w:t>Infraštruktúry na zásobovanie pitnou vodou</w:t>
      </w:r>
      <w:r w:rsidR="00083739" w:rsidRPr="00083739">
        <w:rPr>
          <w:rFonts w:ascii="Times New Roman" w:hAnsi="Times New Roman" w:cs="Times New Roman"/>
          <w:noProof/>
          <w:sz w:val="24"/>
          <w:lang w:val="sk-SK"/>
        </w:rPr>
        <w:t xml:space="preserve"> a </w:t>
      </w:r>
      <w:r w:rsidRPr="00083739">
        <w:rPr>
          <w:rFonts w:ascii="Times New Roman" w:hAnsi="Times New Roman" w:cs="Times New Roman"/>
          <w:noProof/>
          <w:sz w:val="24"/>
          <w:lang w:val="sk-SK"/>
        </w:rPr>
        <w:t>úsporu vody (ID: 16850)</w:t>
      </w:r>
    </w:p>
    <w:tbl>
      <w:tblPr>
        <w:tblpPr w:leftFromText="180" w:rightFromText="180" w:vertAnchor="text" w:tblpXSpec="center" w:tblpY="1"/>
        <w:tblOverlap w:val="never"/>
        <w:tblW w:w="15276" w:type="dxa"/>
        <w:tblLayout w:type="fixed"/>
        <w:tblLook w:val="04A0" w:firstRow="1" w:lastRow="0" w:firstColumn="1" w:lastColumn="0" w:noHBand="0" w:noVBand="1"/>
      </w:tblPr>
      <w:tblGrid>
        <w:gridCol w:w="1027"/>
        <w:gridCol w:w="1374"/>
        <w:gridCol w:w="1042"/>
        <w:gridCol w:w="1302"/>
        <w:gridCol w:w="1778"/>
        <w:gridCol w:w="866"/>
        <w:gridCol w:w="857"/>
        <w:gridCol w:w="587"/>
        <w:gridCol w:w="1134"/>
        <w:gridCol w:w="709"/>
        <w:gridCol w:w="4600"/>
      </w:tblGrid>
      <w:tr w:rsidR="002D49B0" w:rsidRPr="00083739" w14:paraId="22B2565B" w14:textId="77777777">
        <w:trPr>
          <w:trHeight w:val="939"/>
          <w:tblHeader/>
        </w:trPr>
        <w:tc>
          <w:tcPr>
            <w:tcW w:w="102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9AEB589"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Poradové číslo</w:t>
            </w:r>
          </w:p>
        </w:tc>
        <w:tc>
          <w:tcPr>
            <w:tcW w:w="137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E771BA5"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Súvisiace opatrenie (reforma alebo investícia)</w:t>
            </w:r>
          </w:p>
        </w:tc>
        <w:tc>
          <w:tcPr>
            <w:tcW w:w="1042"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A6C385F"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Míľnik/cieľ</w:t>
            </w:r>
          </w:p>
        </w:tc>
        <w:tc>
          <w:tcPr>
            <w:tcW w:w="1302"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4BB6D88"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Názov</w:t>
            </w:r>
          </w:p>
        </w:tc>
        <w:tc>
          <w:tcPr>
            <w:tcW w:w="177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565A5CB"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Kvalitatívne ukazovatele (pre míľniky)</w:t>
            </w:r>
          </w:p>
        </w:tc>
        <w:tc>
          <w:tcPr>
            <w:tcW w:w="2310" w:type="dxa"/>
            <w:gridSpan w:val="3"/>
            <w:tcBorders>
              <w:top w:val="single" w:sz="4" w:space="0" w:color="auto"/>
              <w:left w:val="single" w:sz="4" w:space="0" w:color="auto"/>
              <w:bottom w:val="single" w:sz="4" w:space="0" w:color="auto"/>
              <w:right w:val="single" w:sz="4" w:space="0" w:color="auto"/>
            </w:tcBorders>
            <w:shd w:val="clear" w:color="auto" w:fill="BDD7EE"/>
            <w:vAlign w:val="center"/>
            <w:hideMark/>
          </w:tcPr>
          <w:p w14:paraId="479616BE"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Kvantitatívne ukazovatele (p</w:t>
            </w:r>
            <w:r w:rsidRPr="00083739">
              <w:rPr>
                <w:rFonts w:cs="Times New Roman"/>
                <w:noProof/>
                <w:lang w:val="sk-SK"/>
              </w:rPr>
              <w:t>re ciele)</w:t>
            </w:r>
          </w:p>
        </w:tc>
        <w:tc>
          <w:tcPr>
            <w:tcW w:w="1843" w:type="dxa"/>
            <w:gridSpan w:val="2"/>
            <w:tcBorders>
              <w:top w:val="single" w:sz="4" w:space="0" w:color="auto"/>
              <w:left w:val="nil"/>
              <w:bottom w:val="single" w:sz="4" w:space="0" w:color="auto"/>
              <w:right w:val="single" w:sz="4" w:space="0" w:color="auto"/>
            </w:tcBorders>
            <w:shd w:val="clear" w:color="auto" w:fill="BDD7EE"/>
            <w:vAlign w:val="center"/>
            <w:hideMark/>
          </w:tcPr>
          <w:p w14:paraId="63F34120"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Orientačný harmonogram dokončenia </w:t>
            </w:r>
          </w:p>
        </w:tc>
        <w:tc>
          <w:tcPr>
            <w:tcW w:w="460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6165B1F" w14:textId="2D6AF9C2"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Opis každého míľnika</w:t>
            </w:r>
            <w:r w:rsidR="00083739" w:rsidRPr="00083739">
              <w:rPr>
                <w:rFonts w:cs="Times New Roman"/>
                <w:noProof/>
                <w:lang w:val="sk-SK"/>
              </w:rPr>
              <w:t xml:space="preserve"> a </w:t>
            </w:r>
            <w:r w:rsidRPr="00083739">
              <w:rPr>
                <w:rFonts w:cs="Times New Roman"/>
                <w:noProof/>
                <w:lang w:val="sk-SK"/>
              </w:rPr>
              <w:t>cieľa</w:t>
            </w:r>
          </w:p>
        </w:tc>
      </w:tr>
      <w:tr w:rsidR="002D49B0" w:rsidRPr="00083739" w14:paraId="242DCA2B" w14:textId="77777777">
        <w:trPr>
          <w:trHeight w:val="609"/>
        </w:trPr>
        <w:tc>
          <w:tcPr>
            <w:tcW w:w="1027" w:type="dxa"/>
            <w:vMerge/>
            <w:tcBorders>
              <w:top w:val="single" w:sz="4" w:space="0" w:color="auto"/>
              <w:left w:val="single" w:sz="4" w:space="0" w:color="auto"/>
              <w:bottom w:val="single" w:sz="4" w:space="0" w:color="auto"/>
              <w:right w:val="single" w:sz="4" w:space="0" w:color="auto"/>
            </w:tcBorders>
            <w:vAlign w:val="center"/>
            <w:hideMark/>
          </w:tcPr>
          <w:p w14:paraId="2EA7AD56"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374" w:type="dxa"/>
            <w:vMerge/>
            <w:tcBorders>
              <w:top w:val="single" w:sz="4" w:space="0" w:color="auto"/>
              <w:left w:val="single" w:sz="4" w:space="0" w:color="auto"/>
              <w:bottom w:val="single" w:sz="4" w:space="0" w:color="auto"/>
              <w:right w:val="single" w:sz="4" w:space="0" w:color="auto"/>
            </w:tcBorders>
            <w:vAlign w:val="center"/>
            <w:hideMark/>
          </w:tcPr>
          <w:p w14:paraId="71B192A2"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042" w:type="dxa"/>
            <w:vMerge/>
            <w:tcBorders>
              <w:top w:val="single" w:sz="4" w:space="0" w:color="auto"/>
              <w:left w:val="single" w:sz="4" w:space="0" w:color="auto"/>
              <w:bottom w:val="single" w:sz="4" w:space="0" w:color="auto"/>
              <w:right w:val="single" w:sz="4" w:space="0" w:color="auto"/>
            </w:tcBorders>
            <w:vAlign w:val="center"/>
            <w:hideMark/>
          </w:tcPr>
          <w:p w14:paraId="44533B40"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302" w:type="dxa"/>
            <w:vMerge/>
            <w:tcBorders>
              <w:top w:val="single" w:sz="4" w:space="0" w:color="auto"/>
              <w:left w:val="single" w:sz="4" w:space="0" w:color="auto"/>
              <w:bottom w:val="single" w:sz="4" w:space="0" w:color="auto"/>
              <w:right w:val="single" w:sz="4" w:space="0" w:color="auto"/>
            </w:tcBorders>
            <w:vAlign w:val="center"/>
            <w:hideMark/>
          </w:tcPr>
          <w:p w14:paraId="4814DD64"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778" w:type="dxa"/>
            <w:vMerge/>
            <w:tcBorders>
              <w:top w:val="single" w:sz="4" w:space="0" w:color="auto"/>
              <w:left w:val="single" w:sz="4" w:space="0" w:color="auto"/>
              <w:bottom w:val="single" w:sz="4" w:space="0" w:color="auto"/>
              <w:right w:val="single" w:sz="4" w:space="0" w:color="auto"/>
            </w:tcBorders>
            <w:vAlign w:val="center"/>
            <w:hideMark/>
          </w:tcPr>
          <w:p w14:paraId="637E28AE"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866"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79EB95DE"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Merná jednotka</w:t>
            </w:r>
          </w:p>
        </w:tc>
        <w:tc>
          <w:tcPr>
            <w:tcW w:w="857"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5DE14CC0"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Základná </w:t>
            </w:r>
          </w:p>
        </w:tc>
        <w:tc>
          <w:tcPr>
            <w:tcW w:w="587"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274A3931"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Cieľ </w:t>
            </w:r>
          </w:p>
        </w:tc>
        <w:tc>
          <w:tcPr>
            <w:tcW w:w="1134" w:type="dxa"/>
            <w:tcBorders>
              <w:top w:val="nil"/>
              <w:left w:val="nil"/>
              <w:bottom w:val="single" w:sz="4" w:space="0" w:color="auto"/>
              <w:right w:val="single" w:sz="4" w:space="0" w:color="auto"/>
            </w:tcBorders>
            <w:shd w:val="clear" w:color="auto" w:fill="BDD7EE"/>
            <w:vAlign w:val="center"/>
            <w:hideMark/>
          </w:tcPr>
          <w:p w14:paraId="6580E5AA"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Štvrtina</w:t>
            </w:r>
          </w:p>
        </w:tc>
        <w:tc>
          <w:tcPr>
            <w:tcW w:w="709" w:type="dxa"/>
            <w:tcBorders>
              <w:top w:val="nil"/>
              <w:left w:val="nil"/>
              <w:bottom w:val="single" w:sz="4" w:space="0" w:color="auto"/>
              <w:right w:val="single" w:sz="4" w:space="0" w:color="auto"/>
            </w:tcBorders>
            <w:shd w:val="clear" w:color="auto" w:fill="BDD7EE"/>
            <w:vAlign w:val="center"/>
            <w:hideMark/>
          </w:tcPr>
          <w:p w14:paraId="1CF794EF"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Rok</w:t>
            </w:r>
          </w:p>
        </w:tc>
        <w:tc>
          <w:tcPr>
            <w:tcW w:w="4600" w:type="dxa"/>
            <w:vMerge/>
            <w:vAlign w:val="center"/>
            <w:hideMark/>
          </w:tcPr>
          <w:p w14:paraId="6119570F"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r>
      <w:tr w:rsidR="002D49B0" w:rsidRPr="00083739" w14:paraId="1C35C22C" w14:textId="77777777">
        <w:trPr>
          <w:trHeight w:val="313"/>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0BB1A6C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66</w:t>
            </w:r>
          </w:p>
        </w:tc>
        <w:tc>
          <w:tcPr>
            <w:tcW w:w="1374" w:type="dxa"/>
            <w:tcBorders>
              <w:top w:val="single" w:sz="4" w:space="0" w:color="auto"/>
              <w:left w:val="nil"/>
              <w:bottom w:val="single" w:sz="4" w:space="0" w:color="auto"/>
              <w:right w:val="single" w:sz="4" w:space="0" w:color="auto"/>
            </w:tcBorders>
            <w:shd w:val="clear" w:color="auto" w:fill="C6EFCE"/>
            <w:noWrap/>
          </w:tcPr>
          <w:p w14:paraId="3958850D" w14:textId="3FDB3F7E"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4 – 1.4. Udržateľné využívanie zdrojov, odolnosť proti zmene klímy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ochrana životného prostredia – 16850_Infraštruktúra </w:t>
            </w:r>
            <w:r w:rsidRPr="00083739">
              <w:rPr>
                <w:rFonts w:ascii="Times New Roman" w:hAnsi="Times New Roman" w:cs="Times New Roman"/>
                <w:noProof/>
                <w:lang w:val="sk-SK"/>
              </w:rPr>
              <w:t>zásobovania pitnou vodou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úspora pitnej vody</w:t>
            </w:r>
          </w:p>
        </w:tc>
        <w:tc>
          <w:tcPr>
            <w:tcW w:w="1042" w:type="dxa"/>
            <w:tcBorders>
              <w:top w:val="single" w:sz="4" w:space="0" w:color="auto"/>
              <w:left w:val="nil"/>
              <w:bottom w:val="single" w:sz="4" w:space="0" w:color="auto"/>
              <w:right w:val="single" w:sz="4" w:space="0" w:color="auto"/>
            </w:tcBorders>
            <w:shd w:val="clear" w:color="auto" w:fill="C6EFCE"/>
            <w:noWrap/>
          </w:tcPr>
          <w:p w14:paraId="13F50C4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02" w:type="dxa"/>
            <w:tcBorders>
              <w:top w:val="single" w:sz="4" w:space="0" w:color="auto"/>
              <w:left w:val="nil"/>
              <w:bottom w:val="single" w:sz="4" w:space="0" w:color="auto"/>
              <w:right w:val="single" w:sz="4" w:space="0" w:color="auto"/>
            </w:tcBorders>
            <w:shd w:val="clear" w:color="auto" w:fill="C6EFCE"/>
            <w:noWrap/>
          </w:tcPr>
          <w:p w14:paraId="3AE3ECDC" w14:textId="0E490830"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Schvaľovanie žiadostí</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vodohospodárske infraštruktúry</w:t>
            </w:r>
          </w:p>
        </w:tc>
        <w:tc>
          <w:tcPr>
            <w:tcW w:w="1778" w:type="dxa"/>
            <w:tcBorders>
              <w:top w:val="single" w:sz="4" w:space="0" w:color="auto"/>
              <w:left w:val="nil"/>
              <w:bottom w:val="single" w:sz="4" w:space="0" w:color="auto"/>
              <w:right w:val="single" w:sz="4" w:space="0" w:color="auto"/>
            </w:tcBorders>
            <w:shd w:val="clear" w:color="auto" w:fill="C6EFCE"/>
            <w:noWrap/>
          </w:tcPr>
          <w:p w14:paraId="55028631" w14:textId="2A7F9C74"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Žiadosti schválené ministerstvom životného prostredia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energetiky</w:t>
            </w:r>
          </w:p>
        </w:tc>
        <w:tc>
          <w:tcPr>
            <w:tcW w:w="866" w:type="dxa"/>
            <w:tcBorders>
              <w:top w:val="single" w:sz="4" w:space="0" w:color="auto"/>
              <w:left w:val="nil"/>
              <w:bottom w:val="single" w:sz="4" w:space="0" w:color="auto"/>
              <w:right w:val="single" w:sz="4" w:space="0" w:color="auto"/>
            </w:tcBorders>
            <w:shd w:val="clear" w:color="auto" w:fill="C6EFCE"/>
            <w:noWrap/>
          </w:tcPr>
          <w:p w14:paraId="5CE2F092"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single" w:sz="4" w:space="0" w:color="auto"/>
              <w:left w:val="nil"/>
              <w:bottom w:val="single" w:sz="4" w:space="0" w:color="auto"/>
              <w:right w:val="single" w:sz="4" w:space="0" w:color="auto"/>
            </w:tcBorders>
            <w:shd w:val="clear" w:color="auto" w:fill="C6EFCE"/>
            <w:noWrap/>
          </w:tcPr>
          <w:p w14:paraId="09340B07"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587" w:type="dxa"/>
            <w:tcBorders>
              <w:top w:val="single" w:sz="4" w:space="0" w:color="auto"/>
              <w:left w:val="nil"/>
              <w:bottom w:val="single" w:sz="4" w:space="0" w:color="auto"/>
              <w:right w:val="single" w:sz="4" w:space="0" w:color="auto"/>
            </w:tcBorders>
            <w:shd w:val="clear" w:color="auto" w:fill="C6EFCE"/>
            <w:noWrap/>
          </w:tcPr>
          <w:p w14:paraId="2C97B3EE"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134" w:type="dxa"/>
            <w:tcBorders>
              <w:top w:val="nil"/>
              <w:left w:val="nil"/>
              <w:bottom w:val="single" w:sz="4" w:space="0" w:color="auto"/>
              <w:right w:val="single" w:sz="4" w:space="0" w:color="auto"/>
            </w:tcBorders>
            <w:shd w:val="clear" w:color="auto" w:fill="C6EFCE"/>
            <w:noWrap/>
          </w:tcPr>
          <w:p w14:paraId="52DE87A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709" w:type="dxa"/>
            <w:tcBorders>
              <w:top w:val="nil"/>
              <w:left w:val="nil"/>
              <w:bottom w:val="single" w:sz="4" w:space="0" w:color="auto"/>
              <w:right w:val="single" w:sz="4" w:space="0" w:color="auto"/>
            </w:tcBorders>
            <w:shd w:val="clear" w:color="auto" w:fill="C6EFCE"/>
            <w:noWrap/>
          </w:tcPr>
          <w:p w14:paraId="3E0600F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2023</w:t>
            </w:r>
          </w:p>
        </w:tc>
        <w:tc>
          <w:tcPr>
            <w:tcW w:w="4600" w:type="dxa"/>
            <w:tcBorders>
              <w:top w:val="single" w:sz="4" w:space="0" w:color="auto"/>
              <w:left w:val="nil"/>
              <w:bottom w:val="single" w:sz="4" w:space="0" w:color="auto"/>
              <w:right w:val="single" w:sz="4" w:space="0" w:color="auto"/>
            </w:tcBorders>
            <w:shd w:val="clear" w:color="auto" w:fill="C6EFCE"/>
            <w:noWrap/>
          </w:tcPr>
          <w:p w14:paraId="076080B1" w14:textId="23DEE3EA" w:rsidR="002D49B0" w:rsidRPr="00083739" w:rsidRDefault="00BF4125">
            <w:pPr>
              <w:pStyle w:val="P68B1DB1-Normal10"/>
              <w:spacing w:after="0" w:line="240" w:lineRule="auto"/>
              <w:rPr>
                <w:rFonts w:ascii="Times New Roman" w:eastAsiaTheme="minorEastAsia" w:hAnsi="Times New Roman" w:cs="Times New Roman"/>
                <w:noProof/>
                <w:lang w:val="sk-SK"/>
              </w:rPr>
            </w:pPr>
            <w:r w:rsidRPr="00083739">
              <w:rPr>
                <w:rFonts w:ascii="Times New Roman" w:hAnsi="Times New Roman" w:cs="Times New Roman"/>
                <w:noProof/>
                <w:lang w:val="sk-SK"/>
              </w:rPr>
              <w:t xml:space="preserve">Vydanie výzvy na vyjadrenie záujmu pre projekty </w:t>
            </w:r>
            <w:r w:rsidRPr="00083739">
              <w:rPr>
                <w:rFonts w:ascii="Times New Roman" w:hAnsi="Times New Roman" w:cs="Times New Roman"/>
                <w:noProof/>
                <w:lang w:val="sk-SK"/>
              </w:rPr>
              <w:t>vodohospodárskej infraštruktúry</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cieľom zahrnúť tieto požiadavky:  I)</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prípade novovybudovaných systémov</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indexom úniku</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infraštruktúre (ILI), ktorý musí byť nižší alebo rovný 1,5 ii)</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prípade činností obnovy</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cieľom znížiť únik</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viac ako 20</w:t>
            </w:r>
            <w:r w:rsidR="00083739" w:rsidRPr="00083739">
              <w:rPr>
                <w:rFonts w:ascii="Times New Roman" w:hAnsi="Times New Roman" w:cs="Times New Roman"/>
                <w:noProof/>
                <w:lang w:val="sk-SK"/>
              </w:rPr>
              <w:t> %</w:t>
            </w:r>
            <w:r w:rsidRPr="00083739">
              <w:rPr>
                <w:rFonts w:ascii="Times New Roman" w:hAnsi="Times New Roman" w:cs="Times New Roman"/>
                <w:noProof/>
                <w:lang w:val="sk-SK"/>
              </w:rPr>
              <w:t xml:space="preserve"> alebo</w:t>
            </w:r>
            <w:r w:rsidRPr="00083739">
              <w:rPr>
                <w:rFonts w:ascii="Times New Roman" w:hAnsi="Times New Roman" w:cs="Times New Roman"/>
                <w:noProof/>
                <w:lang w:val="sk-SK"/>
              </w:rPr>
              <w:t xml:space="preserve"> znížiť priemernú spotrebu energie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viac ako 20</w:t>
            </w:r>
            <w:r w:rsidR="00083739" w:rsidRPr="00083739">
              <w:rPr>
                <w:rFonts w:ascii="Times New Roman" w:hAnsi="Times New Roman" w:cs="Times New Roman"/>
                <w:noProof/>
                <w:lang w:val="sk-SK"/>
              </w:rPr>
              <w:t> % a </w:t>
            </w:r>
            <w:r w:rsidRPr="00083739">
              <w:rPr>
                <w:rFonts w:ascii="Times New Roman" w:hAnsi="Times New Roman" w:cs="Times New Roman"/>
                <w:noProof/>
                <w:lang w:val="sk-SK"/>
              </w:rPr>
              <w:t>iii)</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prípade odsoľovacích zariadení, ktoré sa majú pripojiť</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obnoviteľným zdrojom energie,</w:t>
            </w:r>
            <w:r w:rsidR="00083739" w:rsidRPr="00083739">
              <w:rPr>
                <w:rFonts w:ascii="Times New Roman" w:hAnsi="Times New Roman" w:cs="Times New Roman"/>
                <w:noProof/>
                <w:lang w:val="sk-SK"/>
              </w:rPr>
              <w:t xml:space="preserve"> a s </w:t>
            </w:r>
            <w:r w:rsidRPr="00083739">
              <w:rPr>
                <w:rFonts w:ascii="Times New Roman" w:hAnsi="Times New Roman" w:cs="Times New Roman"/>
                <w:noProof/>
                <w:lang w:val="sk-SK"/>
              </w:rPr>
              <w:t>priemernou spotrebou energie, ktorá musí byť nižšia alebo rovná 0,5 kWh.</w:t>
            </w:r>
          </w:p>
        </w:tc>
      </w:tr>
      <w:tr w:rsidR="002D49B0" w:rsidRPr="00083739" w14:paraId="046D10FB" w14:textId="77777777">
        <w:trPr>
          <w:trHeight w:val="313"/>
        </w:trPr>
        <w:tc>
          <w:tcPr>
            <w:tcW w:w="1027" w:type="dxa"/>
            <w:tcBorders>
              <w:top w:val="nil"/>
              <w:left w:val="single" w:sz="4" w:space="0" w:color="auto"/>
              <w:bottom w:val="single" w:sz="4" w:space="0" w:color="auto"/>
              <w:right w:val="single" w:sz="4" w:space="0" w:color="auto"/>
            </w:tcBorders>
            <w:shd w:val="clear" w:color="auto" w:fill="C6EFCE"/>
            <w:noWrap/>
          </w:tcPr>
          <w:p w14:paraId="5566CA7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68</w:t>
            </w:r>
          </w:p>
        </w:tc>
        <w:tc>
          <w:tcPr>
            <w:tcW w:w="1374" w:type="dxa"/>
            <w:tcBorders>
              <w:top w:val="nil"/>
              <w:left w:val="nil"/>
              <w:bottom w:val="single" w:sz="4" w:space="0" w:color="auto"/>
              <w:right w:val="single" w:sz="4" w:space="0" w:color="auto"/>
            </w:tcBorders>
            <w:shd w:val="clear" w:color="auto" w:fill="C6EFCE"/>
            <w:noWrap/>
          </w:tcPr>
          <w:p w14:paraId="6372A8DF" w14:textId="75A31913"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4 – 1.4. Udržateľné </w:t>
            </w:r>
            <w:r w:rsidRPr="00083739">
              <w:rPr>
                <w:rFonts w:ascii="Times New Roman" w:hAnsi="Times New Roman" w:cs="Times New Roman"/>
                <w:noProof/>
                <w:lang w:val="sk-SK"/>
              </w:rPr>
              <w:t>využívanie zdrojov, odolnosť proti zmene klímy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ochrana životného prostredia – 16846_ Infraštruktúry na nakladanie</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komunálnymi odpadovými vodami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kalmi</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čistenia odpadových vôd</w:t>
            </w:r>
          </w:p>
        </w:tc>
        <w:tc>
          <w:tcPr>
            <w:tcW w:w="1042" w:type="dxa"/>
            <w:tcBorders>
              <w:top w:val="nil"/>
              <w:left w:val="nil"/>
              <w:bottom w:val="single" w:sz="4" w:space="0" w:color="auto"/>
              <w:right w:val="single" w:sz="4" w:space="0" w:color="auto"/>
            </w:tcBorders>
            <w:shd w:val="clear" w:color="auto" w:fill="C6EFCE"/>
            <w:noWrap/>
          </w:tcPr>
          <w:p w14:paraId="40C56B3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02" w:type="dxa"/>
            <w:tcBorders>
              <w:top w:val="nil"/>
              <w:left w:val="nil"/>
              <w:bottom w:val="single" w:sz="4" w:space="0" w:color="auto"/>
              <w:right w:val="single" w:sz="4" w:space="0" w:color="auto"/>
            </w:tcBorders>
            <w:shd w:val="clear" w:color="auto" w:fill="C6EFCE"/>
            <w:noWrap/>
          </w:tcPr>
          <w:p w14:paraId="70AE447D" w14:textId="1AD6E586"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Oznámenie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zadaní zákazky na projekty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odpadových vôd</w:t>
            </w:r>
          </w:p>
        </w:tc>
        <w:tc>
          <w:tcPr>
            <w:tcW w:w="1778" w:type="dxa"/>
            <w:tcBorders>
              <w:top w:val="nil"/>
              <w:left w:val="nil"/>
              <w:bottom w:val="single" w:sz="4" w:space="0" w:color="auto"/>
              <w:right w:val="single" w:sz="4" w:space="0" w:color="auto"/>
            </w:tcBorders>
            <w:shd w:val="clear" w:color="auto" w:fill="C6EFCE"/>
            <w:noWrap/>
          </w:tcPr>
          <w:p w14:paraId="68865BC1" w14:textId="6656B116"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Ozn</w:t>
            </w:r>
            <w:r w:rsidRPr="00083739">
              <w:rPr>
                <w:rFonts w:ascii="Times New Roman" w:hAnsi="Times New Roman" w:cs="Times New Roman"/>
                <w:noProof/>
                <w:lang w:val="sk-SK"/>
              </w:rPr>
              <w:t>ámenie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zadaní všetkých zákaziek</w:t>
            </w:r>
          </w:p>
        </w:tc>
        <w:tc>
          <w:tcPr>
            <w:tcW w:w="866" w:type="dxa"/>
            <w:tcBorders>
              <w:top w:val="nil"/>
              <w:left w:val="nil"/>
              <w:bottom w:val="single" w:sz="4" w:space="0" w:color="auto"/>
              <w:right w:val="single" w:sz="4" w:space="0" w:color="auto"/>
            </w:tcBorders>
            <w:shd w:val="clear" w:color="auto" w:fill="C6EFCE"/>
            <w:noWrap/>
          </w:tcPr>
          <w:p w14:paraId="057AEE22"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nil"/>
              <w:left w:val="nil"/>
              <w:bottom w:val="single" w:sz="4" w:space="0" w:color="auto"/>
              <w:right w:val="single" w:sz="4" w:space="0" w:color="auto"/>
            </w:tcBorders>
            <w:shd w:val="clear" w:color="auto" w:fill="C6EFCE"/>
            <w:noWrap/>
          </w:tcPr>
          <w:p w14:paraId="580E3ADC"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587" w:type="dxa"/>
            <w:tcBorders>
              <w:top w:val="nil"/>
              <w:left w:val="nil"/>
              <w:bottom w:val="single" w:sz="4" w:space="0" w:color="auto"/>
              <w:right w:val="single" w:sz="4" w:space="0" w:color="auto"/>
            </w:tcBorders>
            <w:shd w:val="clear" w:color="auto" w:fill="C6EFCE"/>
            <w:noWrap/>
          </w:tcPr>
          <w:p w14:paraId="34F4DFB7"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134" w:type="dxa"/>
            <w:tcBorders>
              <w:top w:val="nil"/>
              <w:left w:val="nil"/>
              <w:bottom w:val="single" w:sz="4" w:space="0" w:color="auto"/>
              <w:right w:val="single" w:sz="4" w:space="0" w:color="auto"/>
            </w:tcBorders>
            <w:shd w:val="clear" w:color="auto" w:fill="C6EFCE"/>
            <w:noWrap/>
          </w:tcPr>
          <w:p w14:paraId="3137487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09" w:type="dxa"/>
            <w:tcBorders>
              <w:top w:val="nil"/>
              <w:left w:val="nil"/>
              <w:bottom w:val="single" w:sz="4" w:space="0" w:color="auto"/>
              <w:right w:val="single" w:sz="4" w:space="0" w:color="auto"/>
            </w:tcBorders>
            <w:shd w:val="clear" w:color="auto" w:fill="C6EFCE"/>
            <w:noWrap/>
          </w:tcPr>
          <w:p w14:paraId="30E501E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2023</w:t>
            </w:r>
          </w:p>
        </w:tc>
        <w:tc>
          <w:tcPr>
            <w:tcW w:w="4600" w:type="dxa"/>
            <w:tcBorders>
              <w:top w:val="nil"/>
              <w:left w:val="nil"/>
              <w:bottom w:val="single" w:sz="4" w:space="0" w:color="auto"/>
              <w:right w:val="single" w:sz="4" w:space="0" w:color="auto"/>
            </w:tcBorders>
            <w:shd w:val="clear" w:color="auto" w:fill="C6EFCE"/>
            <w:noWrap/>
          </w:tcPr>
          <w:p w14:paraId="5C861B75" w14:textId="3444F952"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Oznámenie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zadaní zákazky na projekty nakladania</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odpadovými vodami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kalmi:</w:t>
            </w:r>
          </w:p>
          <w:p w14:paraId="1FD847F9" w14:textId="68CBE8CF"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 Infraštruktúra kanalizačnej siete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čistiarne odpadových vôd.</w:t>
            </w:r>
          </w:p>
          <w:p w14:paraId="474DE796" w14:textId="7D9D6D19"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 Modernizácia, rozšírenie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modernizácia čistiarní </w:t>
            </w:r>
            <w:r w:rsidRPr="00083739">
              <w:rPr>
                <w:rFonts w:ascii="Times New Roman" w:hAnsi="Times New Roman" w:cs="Times New Roman"/>
                <w:noProof/>
                <w:lang w:val="sk-SK"/>
              </w:rPr>
              <w:t>odpadových vôd</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opätovné využívanie upravenej vody.</w:t>
            </w:r>
          </w:p>
          <w:p w14:paraId="12BA2DF3" w14:textId="507A6B70"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 Realizácia infraštruktúry nakladania</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kalmi</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čistiarní odpadových vôd.</w:t>
            </w:r>
          </w:p>
          <w:p w14:paraId="0B818F8F"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r>
      <w:tr w:rsidR="002D49B0" w:rsidRPr="00083739" w14:paraId="20A9F924" w14:textId="77777777">
        <w:trPr>
          <w:trHeight w:val="313"/>
        </w:trPr>
        <w:tc>
          <w:tcPr>
            <w:tcW w:w="1027" w:type="dxa"/>
            <w:tcBorders>
              <w:top w:val="nil"/>
              <w:left w:val="single" w:sz="4" w:space="0" w:color="auto"/>
              <w:bottom w:val="single" w:sz="4" w:space="0" w:color="auto"/>
              <w:right w:val="single" w:sz="4" w:space="0" w:color="auto"/>
            </w:tcBorders>
            <w:shd w:val="clear" w:color="auto" w:fill="C6EFCE"/>
            <w:noWrap/>
          </w:tcPr>
          <w:p w14:paraId="47514CD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73</w:t>
            </w:r>
          </w:p>
        </w:tc>
        <w:tc>
          <w:tcPr>
            <w:tcW w:w="1374" w:type="dxa"/>
            <w:tcBorders>
              <w:top w:val="nil"/>
              <w:left w:val="nil"/>
              <w:bottom w:val="single" w:sz="4" w:space="0" w:color="auto"/>
              <w:right w:val="single" w:sz="4" w:space="0" w:color="auto"/>
            </w:tcBorders>
            <w:shd w:val="clear" w:color="auto" w:fill="C6EFCE"/>
            <w:noWrap/>
          </w:tcPr>
          <w:p w14:paraId="14FD4619" w14:textId="350CD36A"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4 – 1.4. Udržateľné využívanie zdrojov, odolnosť proti zmene klímy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ochrana životného prostredia – 16846_ Infraštruktúry </w:t>
            </w:r>
            <w:r w:rsidRPr="00083739">
              <w:rPr>
                <w:rFonts w:ascii="Times New Roman" w:hAnsi="Times New Roman" w:cs="Times New Roman"/>
                <w:noProof/>
                <w:lang w:val="sk-SK"/>
              </w:rPr>
              <w:t>na nakladanie</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komunálnymi odpadovými vodami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kalmi</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čistenia odpadových vôd</w:t>
            </w:r>
          </w:p>
        </w:tc>
        <w:tc>
          <w:tcPr>
            <w:tcW w:w="1042" w:type="dxa"/>
            <w:tcBorders>
              <w:top w:val="nil"/>
              <w:left w:val="nil"/>
              <w:bottom w:val="single" w:sz="4" w:space="0" w:color="auto"/>
              <w:right w:val="single" w:sz="4" w:space="0" w:color="auto"/>
            </w:tcBorders>
            <w:shd w:val="clear" w:color="auto" w:fill="C6EFCE"/>
            <w:noWrap/>
          </w:tcPr>
          <w:p w14:paraId="5376E1D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02" w:type="dxa"/>
            <w:tcBorders>
              <w:top w:val="nil"/>
              <w:left w:val="nil"/>
              <w:bottom w:val="single" w:sz="4" w:space="0" w:color="auto"/>
              <w:right w:val="single" w:sz="4" w:space="0" w:color="auto"/>
            </w:tcBorders>
            <w:shd w:val="clear" w:color="auto" w:fill="C6EFCE"/>
            <w:noWrap/>
          </w:tcPr>
          <w:p w14:paraId="12C27D6D" w14:textId="4411A19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infraštruktúry na nakladanie</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komunálnymi odpadovými vodami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kalmi</w:t>
            </w:r>
          </w:p>
        </w:tc>
        <w:tc>
          <w:tcPr>
            <w:tcW w:w="1778" w:type="dxa"/>
            <w:tcBorders>
              <w:top w:val="nil"/>
              <w:left w:val="nil"/>
              <w:bottom w:val="single" w:sz="4" w:space="0" w:color="auto"/>
              <w:right w:val="single" w:sz="4" w:space="0" w:color="auto"/>
            </w:tcBorders>
            <w:shd w:val="clear" w:color="auto" w:fill="C6EFCE"/>
            <w:noWrap/>
          </w:tcPr>
          <w:p w14:paraId="4A52784B" w14:textId="346C9B60"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Dokončenie prác</w:t>
            </w:r>
          </w:p>
        </w:tc>
        <w:tc>
          <w:tcPr>
            <w:tcW w:w="866" w:type="dxa"/>
            <w:tcBorders>
              <w:top w:val="nil"/>
              <w:left w:val="nil"/>
              <w:bottom w:val="single" w:sz="4" w:space="0" w:color="auto"/>
              <w:right w:val="single" w:sz="4" w:space="0" w:color="auto"/>
            </w:tcBorders>
            <w:shd w:val="clear" w:color="auto" w:fill="C6EFCE"/>
            <w:noWrap/>
          </w:tcPr>
          <w:p w14:paraId="58DDA9D7"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nil"/>
              <w:left w:val="nil"/>
              <w:bottom w:val="single" w:sz="4" w:space="0" w:color="auto"/>
              <w:right w:val="single" w:sz="4" w:space="0" w:color="auto"/>
            </w:tcBorders>
            <w:shd w:val="clear" w:color="auto" w:fill="C6EFCE"/>
            <w:noWrap/>
          </w:tcPr>
          <w:p w14:paraId="4AC979B7"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587" w:type="dxa"/>
            <w:tcBorders>
              <w:top w:val="nil"/>
              <w:left w:val="nil"/>
              <w:bottom w:val="single" w:sz="4" w:space="0" w:color="auto"/>
              <w:right w:val="single" w:sz="4" w:space="0" w:color="auto"/>
            </w:tcBorders>
            <w:shd w:val="clear" w:color="auto" w:fill="C6EFCE"/>
            <w:noWrap/>
          </w:tcPr>
          <w:p w14:paraId="2E4F4ECD"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134" w:type="dxa"/>
            <w:tcBorders>
              <w:top w:val="nil"/>
              <w:left w:val="nil"/>
              <w:bottom w:val="single" w:sz="4" w:space="0" w:color="auto"/>
              <w:right w:val="single" w:sz="4" w:space="0" w:color="auto"/>
            </w:tcBorders>
            <w:shd w:val="clear" w:color="auto" w:fill="C6EFCE"/>
            <w:noWrap/>
          </w:tcPr>
          <w:p w14:paraId="338EE8D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09" w:type="dxa"/>
            <w:tcBorders>
              <w:top w:val="nil"/>
              <w:left w:val="nil"/>
              <w:bottom w:val="single" w:sz="4" w:space="0" w:color="auto"/>
              <w:right w:val="single" w:sz="4" w:space="0" w:color="auto"/>
            </w:tcBorders>
            <w:shd w:val="clear" w:color="auto" w:fill="C6EFCE"/>
            <w:noWrap/>
          </w:tcPr>
          <w:p w14:paraId="0C8735D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4600" w:type="dxa"/>
            <w:tcBorders>
              <w:top w:val="nil"/>
              <w:left w:val="nil"/>
              <w:bottom w:val="single" w:sz="4" w:space="0" w:color="auto"/>
              <w:right w:val="single" w:sz="4" w:space="0" w:color="auto"/>
            </w:tcBorders>
            <w:shd w:val="clear" w:color="auto" w:fill="C6EFCE"/>
            <w:noWrap/>
          </w:tcPr>
          <w:p w14:paraId="35B873E1" w14:textId="50A47048"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Dokončenie všetkých projektov nakladania</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komunálnymi odpadovými vodami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kalmi</w:t>
            </w:r>
            <w:r w:rsidR="00083739" w:rsidRPr="00083739">
              <w:rPr>
                <w:rFonts w:ascii="Times New Roman" w:hAnsi="Times New Roman" w:cs="Times New Roman"/>
                <w:noProof/>
                <w:lang w:val="sk-SK"/>
              </w:rPr>
              <w:t>:</w:t>
            </w:r>
          </w:p>
          <w:p w14:paraId="4E7C7695" w14:textId="3F791045"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 Infraštruktúra kanalizačnej siete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čistiarne odpadových vôd;</w:t>
            </w:r>
          </w:p>
          <w:p w14:paraId="17DE0B99" w14:textId="7998DFDE"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 Modernizácia, rozšírenie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modernizácia čistiarní odpadových vôd</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opätovné využívanie upravenej vody;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zároveň</w:t>
            </w:r>
          </w:p>
          <w:p w14:paraId="3C6F9B6A" w14:textId="321023C6"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 Realizácia infraštruktúry naklada</w:t>
            </w:r>
            <w:r w:rsidRPr="00083739">
              <w:rPr>
                <w:rFonts w:ascii="Times New Roman" w:hAnsi="Times New Roman" w:cs="Times New Roman"/>
                <w:noProof/>
                <w:lang w:val="sk-SK"/>
              </w:rPr>
              <w:t>nia</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kalmi</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čistiarní odpadových vôd.</w:t>
            </w:r>
          </w:p>
        </w:tc>
      </w:tr>
      <w:tr w:rsidR="002D49B0" w:rsidRPr="00083739" w14:paraId="4823D228" w14:textId="77777777">
        <w:trPr>
          <w:trHeight w:val="313"/>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33C7A66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74</w:t>
            </w:r>
          </w:p>
        </w:tc>
        <w:tc>
          <w:tcPr>
            <w:tcW w:w="1374" w:type="dxa"/>
            <w:tcBorders>
              <w:top w:val="single" w:sz="4" w:space="0" w:color="auto"/>
              <w:left w:val="nil"/>
              <w:bottom w:val="single" w:sz="4" w:space="0" w:color="auto"/>
              <w:right w:val="single" w:sz="4" w:space="0" w:color="auto"/>
            </w:tcBorders>
            <w:shd w:val="clear" w:color="auto" w:fill="C6EFCE"/>
            <w:noWrap/>
          </w:tcPr>
          <w:p w14:paraId="0D48A753" w14:textId="57967A1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4 – 1.4. Udržateľné využívanie zdrojov, odolnosť proti zmene klímy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ochrana životného prostredia – 16850_Infraštruktúra zásobovania pitnou vodou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úspora pitnej vody</w:t>
            </w:r>
          </w:p>
        </w:tc>
        <w:tc>
          <w:tcPr>
            <w:tcW w:w="1042" w:type="dxa"/>
            <w:tcBorders>
              <w:top w:val="single" w:sz="4" w:space="0" w:color="auto"/>
              <w:left w:val="nil"/>
              <w:bottom w:val="single" w:sz="4" w:space="0" w:color="auto"/>
              <w:right w:val="single" w:sz="4" w:space="0" w:color="auto"/>
            </w:tcBorders>
            <w:shd w:val="clear" w:color="auto" w:fill="C6EFCE"/>
            <w:noWrap/>
          </w:tcPr>
          <w:p w14:paraId="3747DB1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02" w:type="dxa"/>
            <w:tcBorders>
              <w:top w:val="single" w:sz="4" w:space="0" w:color="auto"/>
              <w:left w:val="nil"/>
              <w:bottom w:val="single" w:sz="4" w:space="0" w:color="auto"/>
              <w:right w:val="single" w:sz="4" w:space="0" w:color="auto"/>
            </w:tcBorders>
            <w:shd w:val="clear" w:color="auto" w:fill="C6EFCE"/>
            <w:noWrap/>
          </w:tcPr>
          <w:p w14:paraId="5AABF2B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Dokončenie vodohospodárskej </w:t>
            </w:r>
            <w:r w:rsidRPr="00083739">
              <w:rPr>
                <w:rFonts w:ascii="Times New Roman" w:hAnsi="Times New Roman" w:cs="Times New Roman"/>
                <w:noProof/>
                <w:lang w:val="sk-SK"/>
              </w:rPr>
              <w:t>infraštruktúry</w:t>
            </w:r>
          </w:p>
        </w:tc>
        <w:tc>
          <w:tcPr>
            <w:tcW w:w="1778" w:type="dxa"/>
            <w:tcBorders>
              <w:top w:val="single" w:sz="4" w:space="0" w:color="auto"/>
              <w:left w:val="nil"/>
              <w:bottom w:val="single" w:sz="4" w:space="0" w:color="auto"/>
              <w:right w:val="single" w:sz="4" w:space="0" w:color="auto"/>
            </w:tcBorders>
            <w:shd w:val="clear" w:color="auto" w:fill="C6EFCE"/>
            <w:noWrap/>
          </w:tcPr>
          <w:p w14:paraId="118A5023" w14:textId="45916E91"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Dokončenie prác</w:t>
            </w:r>
          </w:p>
        </w:tc>
        <w:tc>
          <w:tcPr>
            <w:tcW w:w="866" w:type="dxa"/>
            <w:tcBorders>
              <w:top w:val="single" w:sz="4" w:space="0" w:color="auto"/>
              <w:left w:val="nil"/>
              <w:bottom w:val="single" w:sz="4" w:space="0" w:color="auto"/>
              <w:right w:val="single" w:sz="4" w:space="0" w:color="auto"/>
            </w:tcBorders>
            <w:shd w:val="clear" w:color="auto" w:fill="C6EFCE"/>
            <w:noWrap/>
          </w:tcPr>
          <w:p w14:paraId="02310E68"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single" w:sz="4" w:space="0" w:color="auto"/>
              <w:left w:val="nil"/>
              <w:bottom w:val="single" w:sz="4" w:space="0" w:color="auto"/>
              <w:right w:val="single" w:sz="4" w:space="0" w:color="auto"/>
            </w:tcBorders>
            <w:shd w:val="clear" w:color="auto" w:fill="C6EFCE"/>
            <w:noWrap/>
          </w:tcPr>
          <w:p w14:paraId="2F026E65"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587" w:type="dxa"/>
            <w:tcBorders>
              <w:top w:val="single" w:sz="4" w:space="0" w:color="auto"/>
              <w:left w:val="nil"/>
              <w:bottom w:val="single" w:sz="4" w:space="0" w:color="auto"/>
              <w:right w:val="single" w:sz="4" w:space="0" w:color="auto"/>
            </w:tcBorders>
            <w:shd w:val="clear" w:color="auto" w:fill="C6EFCE"/>
            <w:noWrap/>
          </w:tcPr>
          <w:p w14:paraId="0B51DE88"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134" w:type="dxa"/>
            <w:tcBorders>
              <w:top w:val="single" w:sz="4" w:space="0" w:color="auto"/>
              <w:left w:val="nil"/>
              <w:bottom w:val="single" w:sz="4" w:space="0" w:color="auto"/>
              <w:right w:val="single" w:sz="4" w:space="0" w:color="auto"/>
            </w:tcBorders>
            <w:shd w:val="clear" w:color="auto" w:fill="C6EFCE"/>
            <w:noWrap/>
          </w:tcPr>
          <w:p w14:paraId="5ED2B69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09" w:type="dxa"/>
            <w:tcBorders>
              <w:top w:val="single" w:sz="4" w:space="0" w:color="auto"/>
              <w:left w:val="nil"/>
              <w:bottom w:val="single" w:sz="4" w:space="0" w:color="auto"/>
              <w:right w:val="single" w:sz="4" w:space="0" w:color="auto"/>
            </w:tcBorders>
            <w:shd w:val="clear" w:color="auto" w:fill="C6EFCE"/>
            <w:noWrap/>
          </w:tcPr>
          <w:p w14:paraId="54B4692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4600" w:type="dxa"/>
            <w:tcBorders>
              <w:top w:val="single" w:sz="4" w:space="0" w:color="auto"/>
              <w:left w:val="nil"/>
              <w:bottom w:val="single" w:sz="4" w:space="0" w:color="auto"/>
              <w:right w:val="single" w:sz="4" w:space="0" w:color="auto"/>
            </w:tcBorders>
            <w:shd w:val="clear" w:color="auto" w:fill="C6EFCE"/>
            <w:noWrap/>
          </w:tcPr>
          <w:p w14:paraId="09CED427" w14:textId="5EF30015"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 xml:space="preserve">Dokončenie </w:t>
            </w:r>
            <w:r w:rsidRPr="00083739">
              <w:rPr>
                <w:rFonts w:ascii="Times New Roman" w:hAnsi="Times New Roman" w:cs="Times New Roman"/>
                <w:noProof/>
                <w:szCs w:val="18"/>
                <w:lang w:val="sk-SK"/>
              </w:rPr>
              <w:t>projektov infraštruktúry na zásobovanie vodou</w:t>
            </w:r>
            <w:r w:rsidR="00083739" w:rsidRPr="00083739">
              <w:rPr>
                <w:rFonts w:ascii="Times New Roman" w:hAnsi="Times New Roman" w:cs="Times New Roman"/>
                <w:noProof/>
                <w:szCs w:val="18"/>
                <w:lang w:val="sk-SK"/>
              </w:rPr>
              <w:t xml:space="preserve"> a </w:t>
            </w:r>
            <w:r w:rsidRPr="00083739">
              <w:rPr>
                <w:rFonts w:ascii="Times New Roman" w:hAnsi="Times New Roman" w:cs="Times New Roman"/>
                <w:noProof/>
                <w:szCs w:val="18"/>
                <w:lang w:val="sk-SK"/>
              </w:rPr>
              <w:t>úsporu</w:t>
            </w:r>
            <w:r w:rsidRPr="00083739">
              <w:rPr>
                <w:rFonts w:ascii="Times New Roman" w:hAnsi="Times New Roman" w:cs="Times New Roman"/>
                <w:noProof/>
                <w:lang w:val="sk-SK"/>
              </w:rPr>
              <w:t xml:space="preserve"> vody vrátane</w:t>
            </w:r>
            <w:r w:rsidR="00083739" w:rsidRPr="00083739">
              <w:rPr>
                <w:rFonts w:ascii="Times New Roman" w:hAnsi="Times New Roman" w:cs="Times New Roman"/>
                <w:noProof/>
                <w:lang w:val="sk-SK"/>
              </w:rPr>
              <w:t>:</w:t>
            </w:r>
          </w:p>
          <w:p w14:paraId="56FFDB2C" w14:textId="46ACCC92"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a) Infraštruktúry na zásobovanie vodou najmenej</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siedmich oblastiach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najmenej</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troch zariadeniach na odsoľovanie</w:t>
            </w:r>
          </w:p>
          <w:p w14:paraId="30880A91" w14:textId="05D0B27F"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 xml:space="preserve">b) </w:t>
            </w:r>
            <w:r w:rsidRPr="00083739">
              <w:rPr>
                <w:rFonts w:ascii="Times New Roman" w:hAnsi="Times New Roman" w:cs="Times New Roman"/>
                <w:noProof/>
                <w:lang w:val="sk-SK"/>
              </w:rPr>
              <w:t>Telemetria – Projekty diaľkovej kontroly na zisťovanie únikov vo vodovodných sieťach a</w:t>
            </w:r>
          </w:p>
          <w:p w14:paraId="21A92CED" w14:textId="77777777"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szCs w:val="18"/>
                <w:lang w:val="sk-SK"/>
              </w:rPr>
              <w:t>C)</w:t>
            </w:r>
            <w:r w:rsidRPr="00083739">
              <w:rPr>
                <w:rFonts w:ascii="Times New Roman" w:hAnsi="Times New Roman" w:cs="Times New Roman"/>
                <w:noProof/>
                <w:lang w:val="sk-SK"/>
              </w:rPr>
              <w:t xml:space="preserve"> Obstarávanie digitálnych vodomerov</w:t>
            </w:r>
          </w:p>
          <w:p w14:paraId="1567BF55" w14:textId="15D1835C"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r>
    </w:tbl>
    <w:p w14:paraId="21421DCD" w14:textId="296A0486" w:rsidR="002D49B0" w:rsidRPr="00083739" w:rsidRDefault="002D49B0">
      <w:pPr>
        <w:spacing w:before="120" w:after="120" w:line="240" w:lineRule="auto"/>
        <w:rPr>
          <w:rFonts w:ascii="Times New Roman" w:hAnsi="Times New Roman" w:cs="Times New Roman"/>
          <w:noProof/>
          <w:sz w:val="24"/>
          <w:lang w:val="sk-SK"/>
        </w:rPr>
      </w:pPr>
    </w:p>
    <w:p w14:paraId="633C44EC" w14:textId="77777777" w:rsidR="002D49B0" w:rsidRPr="00083739" w:rsidRDefault="00BF4125">
      <w:pPr>
        <w:pStyle w:val="P68B1DB1-Normal18"/>
        <w:rPr>
          <w:noProof/>
          <w:lang w:val="sk-SK"/>
        </w:rPr>
      </w:pPr>
      <w:r w:rsidRPr="00083739">
        <w:rPr>
          <w:noProof/>
          <w:lang w:val="sk-SK"/>
        </w:rPr>
        <w:br w:type="page"/>
      </w:r>
    </w:p>
    <w:p w14:paraId="7F3B7121" w14:textId="77777777" w:rsidR="002D49B0" w:rsidRPr="00083739" w:rsidRDefault="00BF4125">
      <w:pPr>
        <w:pStyle w:val="P68B1DB1-Normal6"/>
        <w:keepNext/>
        <w:keepLines/>
        <w:spacing w:before="360" w:after="0" w:line="240" w:lineRule="auto"/>
        <w:jc w:val="both"/>
        <w:outlineLvl w:val="4"/>
        <w:rPr>
          <w:rFonts w:ascii="Times New Roman" w:eastAsia="Times New Roman" w:hAnsi="Times New Roman" w:cs="Times New Roman"/>
          <w:noProof/>
          <w:lang w:val="sk-SK"/>
        </w:rPr>
      </w:pPr>
      <w:r w:rsidRPr="00083739">
        <w:rPr>
          <w:rFonts w:ascii="Times New Roman" w:hAnsi="Times New Roman" w:cs="Times New Roman"/>
          <w:noProof/>
          <w:lang w:val="sk-SK"/>
        </w:rPr>
        <w:t>Skupina 7: Projekty civilnej ochrany</w:t>
      </w:r>
    </w:p>
    <w:p w14:paraId="26700317" w14:textId="77777777" w:rsidR="002D49B0" w:rsidRPr="00083739" w:rsidRDefault="00BF4125">
      <w:pPr>
        <w:pStyle w:val="P68B1DB1-Normal4"/>
        <w:spacing w:before="120" w:after="120" w:line="240" w:lineRule="auto"/>
        <w:rPr>
          <w:rFonts w:cs="Times New Roman"/>
          <w:noProof/>
          <w:lang w:val="sk-SK"/>
        </w:rPr>
      </w:pPr>
      <w:r w:rsidRPr="00083739">
        <w:rPr>
          <w:rFonts w:cs="Times New Roman"/>
          <w:noProof/>
          <w:lang w:val="sk-SK"/>
        </w:rPr>
        <w:t>Do tejto skupiny patria tieto opatrenia:</w:t>
      </w:r>
    </w:p>
    <w:p w14:paraId="3233515D" w14:textId="77777777" w:rsidR="002D49B0" w:rsidRPr="00083739" w:rsidRDefault="00BF4125">
      <w:pPr>
        <w:spacing w:before="120" w:after="120" w:line="240" w:lineRule="auto"/>
        <w:rPr>
          <w:rFonts w:ascii="Times New Roman" w:hAnsi="Times New Roman" w:cs="Times New Roman"/>
          <w:noProof/>
          <w:sz w:val="24"/>
          <w:lang w:val="sk-SK"/>
        </w:rPr>
      </w:pPr>
      <w:r w:rsidRPr="00083739">
        <w:rPr>
          <w:rFonts w:ascii="Times New Roman" w:hAnsi="Times New Roman" w:cs="Times New Roman"/>
          <w:noProof/>
          <w:sz w:val="24"/>
          <w:lang w:val="sk-SK"/>
        </w:rPr>
        <w:t>●</w:t>
      </w:r>
      <w:r w:rsidRPr="00083739">
        <w:rPr>
          <w:rFonts w:ascii="Times New Roman" w:hAnsi="Times New Roman" w:cs="Times New Roman"/>
          <w:noProof/>
          <w:lang w:val="sk-SK"/>
        </w:rPr>
        <w:t xml:space="preserve"> </w:t>
      </w:r>
      <w:r w:rsidRPr="00083739">
        <w:rPr>
          <w:rFonts w:ascii="Times New Roman" w:hAnsi="Times New Roman" w:cs="Times New Roman"/>
          <w:noProof/>
          <w:sz w:val="24"/>
          <w:lang w:val="sk-SK"/>
        </w:rPr>
        <w:t xml:space="preserve">Letecké prostriedky krízového riadenia (ID: </w:t>
      </w:r>
      <w:r w:rsidRPr="00083739">
        <w:rPr>
          <w:rFonts w:ascii="Times New Roman" w:hAnsi="Times New Roman" w:cs="Times New Roman"/>
          <w:noProof/>
          <w:sz w:val="24"/>
          <w:lang w:val="sk-SK"/>
        </w:rPr>
        <w:t>16911)</w:t>
      </w:r>
    </w:p>
    <w:p w14:paraId="75C5259D" w14:textId="64A470E8" w:rsidR="002D49B0" w:rsidRPr="00083739" w:rsidRDefault="00BF4125">
      <w:pPr>
        <w:spacing w:before="120" w:after="120" w:line="240" w:lineRule="auto"/>
        <w:rPr>
          <w:rFonts w:ascii="Times New Roman" w:hAnsi="Times New Roman" w:cs="Times New Roman"/>
          <w:noProof/>
          <w:sz w:val="24"/>
          <w:lang w:val="sk-SK"/>
        </w:rPr>
      </w:pPr>
      <w:r w:rsidRPr="00083739">
        <w:rPr>
          <w:rFonts w:ascii="Times New Roman" w:hAnsi="Times New Roman" w:cs="Times New Roman"/>
          <w:noProof/>
          <w:sz w:val="24"/>
          <w:lang w:val="sk-SK"/>
        </w:rPr>
        <w:t>●</w:t>
      </w:r>
      <w:r w:rsidRPr="00083739">
        <w:rPr>
          <w:rFonts w:ascii="Times New Roman" w:hAnsi="Times New Roman" w:cs="Times New Roman"/>
          <w:noProof/>
          <w:lang w:val="sk-SK"/>
        </w:rPr>
        <w:t xml:space="preserve"> </w:t>
      </w:r>
      <w:r w:rsidRPr="00083739">
        <w:rPr>
          <w:rFonts w:ascii="Times New Roman" w:hAnsi="Times New Roman" w:cs="Times New Roman"/>
          <w:noProof/>
          <w:sz w:val="24"/>
          <w:lang w:val="sk-SK"/>
        </w:rPr>
        <w:t>Vývoj inovačného systému monitorovania</w:t>
      </w:r>
      <w:r w:rsidR="00083739" w:rsidRPr="00083739">
        <w:rPr>
          <w:rFonts w:ascii="Times New Roman" w:hAnsi="Times New Roman" w:cs="Times New Roman"/>
          <w:noProof/>
          <w:sz w:val="24"/>
          <w:lang w:val="sk-SK"/>
        </w:rPr>
        <w:t xml:space="preserve"> a </w:t>
      </w:r>
      <w:r w:rsidRPr="00083739">
        <w:rPr>
          <w:rFonts w:ascii="Times New Roman" w:hAnsi="Times New Roman" w:cs="Times New Roman"/>
          <w:noProof/>
          <w:sz w:val="24"/>
          <w:lang w:val="sk-SK"/>
        </w:rPr>
        <w:t>riadenia (ID: 16910)</w:t>
      </w:r>
    </w:p>
    <w:p w14:paraId="2740E728" w14:textId="77777777" w:rsidR="002D49B0" w:rsidRPr="00083739" w:rsidRDefault="00BF4125">
      <w:pPr>
        <w:spacing w:before="120" w:after="120" w:line="240" w:lineRule="auto"/>
        <w:rPr>
          <w:rFonts w:ascii="Times New Roman" w:hAnsi="Times New Roman" w:cs="Times New Roman"/>
          <w:noProof/>
          <w:sz w:val="24"/>
          <w:lang w:val="sk-SK"/>
        </w:rPr>
      </w:pPr>
      <w:r w:rsidRPr="00083739">
        <w:rPr>
          <w:rFonts w:ascii="Times New Roman" w:hAnsi="Times New Roman" w:cs="Times New Roman"/>
          <w:noProof/>
          <w:sz w:val="24"/>
          <w:lang w:val="sk-SK"/>
        </w:rPr>
        <w:t>●</w:t>
      </w:r>
      <w:r w:rsidRPr="00083739">
        <w:rPr>
          <w:rFonts w:ascii="Times New Roman" w:hAnsi="Times New Roman" w:cs="Times New Roman"/>
          <w:noProof/>
          <w:lang w:val="sk-SK"/>
        </w:rPr>
        <w:t xml:space="preserve"> </w:t>
      </w:r>
      <w:r w:rsidRPr="00083739">
        <w:rPr>
          <w:rFonts w:ascii="Times New Roman" w:hAnsi="Times New Roman" w:cs="Times New Roman"/>
          <w:noProof/>
          <w:sz w:val="24"/>
          <w:lang w:val="sk-SK"/>
        </w:rPr>
        <w:t>Vytvorenie strategického národného riadenia rizika katastrof (ID: 16909)</w:t>
      </w:r>
    </w:p>
    <w:p w14:paraId="7FF0AB64" w14:textId="0A52B948" w:rsidR="002D49B0" w:rsidRPr="00083739" w:rsidRDefault="00BF4125">
      <w:pPr>
        <w:spacing w:before="120" w:after="120" w:line="240" w:lineRule="auto"/>
        <w:rPr>
          <w:rFonts w:ascii="Times New Roman" w:hAnsi="Times New Roman" w:cs="Times New Roman"/>
          <w:noProof/>
          <w:sz w:val="24"/>
          <w:lang w:val="sk-SK"/>
        </w:rPr>
      </w:pPr>
      <w:r w:rsidRPr="00083739">
        <w:rPr>
          <w:rFonts w:ascii="Times New Roman" w:hAnsi="Times New Roman" w:cs="Times New Roman"/>
          <w:noProof/>
          <w:sz w:val="24"/>
          <w:lang w:val="sk-SK"/>
        </w:rPr>
        <w:t>●</w:t>
      </w:r>
      <w:r w:rsidRPr="00083739">
        <w:rPr>
          <w:rFonts w:ascii="Times New Roman" w:hAnsi="Times New Roman" w:cs="Times New Roman"/>
          <w:noProof/>
          <w:lang w:val="sk-SK"/>
        </w:rPr>
        <w:t xml:space="preserve"> </w:t>
      </w:r>
      <w:r w:rsidRPr="00083739">
        <w:rPr>
          <w:rFonts w:ascii="Times New Roman" w:hAnsi="Times New Roman" w:cs="Times New Roman"/>
          <w:noProof/>
          <w:sz w:val="24"/>
          <w:lang w:val="sk-SK"/>
        </w:rPr>
        <w:t>Zariadenia na hasenie lesných požiarov, predchádzanie lesným požiarom</w:t>
      </w:r>
      <w:r w:rsidR="00083739" w:rsidRPr="00083739">
        <w:rPr>
          <w:rFonts w:ascii="Times New Roman" w:hAnsi="Times New Roman" w:cs="Times New Roman"/>
          <w:noProof/>
          <w:sz w:val="24"/>
          <w:lang w:val="sk-SK"/>
        </w:rPr>
        <w:t xml:space="preserve"> a </w:t>
      </w:r>
      <w:r w:rsidRPr="00083739">
        <w:rPr>
          <w:rFonts w:ascii="Times New Roman" w:hAnsi="Times New Roman" w:cs="Times New Roman"/>
          <w:noProof/>
          <w:sz w:val="24"/>
          <w:lang w:val="sk-SK"/>
        </w:rPr>
        <w:t>reakciu na ne (ID: 16912)</w:t>
      </w:r>
    </w:p>
    <w:p w14:paraId="4EEC0E91" w14:textId="77777777" w:rsidR="002D49B0" w:rsidRPr="00083739" w:rsidRDefault="00BF4125">
      <w:pPr>
        <w:spacing w:before="120" w:after="120" w:line="240" w:lineRule="auto"/>
        <w:rPr>
          <w:rFonts w:ascii="Times New Roman" w:hAnsi="Times New Roman" w:cs="Times New Roman"/>
          <w:noProof/>
          <w:sz w:val="24"/>
          <w:lang w:val="sk-SK"/>
        </w:rPr>
      </w:pPr>
      <w:r w:rsidRPr="00083739">
        <w:rPr>
          <w:rFonts w:ascii="Times New Roman" w:hAnsi="Times New Roman" w:cs="Times New Roman"/>
          <w:noProof/>
          <w:sz w:val="24"/>
          <w:lang w:val="sk-SK"/>
        </w:rPr>
        <w:t>●</w:t>
      </w:r>
      <w:r w:rsidRPr="00083739">
        <w:rPr>
          <w:rFonts w:ascii="Times New Roman" w:hAnsi="Times New Roman" w:cs="Times New Roman"/>
          <w:noProof/>
          <w:lang w:val="sk-SK"/>
        </w:rPr>
        <w:t xml:space="preserve"> </w:t>
      </w:r>
      <w:r w:rsidRPr="00083739">
        <w:rPr>
          <w:rFonts w:ascii="Times New Roman" w:hAnsi="Times New Roman" w:cs="Times New Roman"/>
          <w:noProof/>
          <w:sz w:val="24"/>
          <w:lang w:val="sk-SK"/>
        </w:rPr>
        <w:t>Realizác</w:t>
      </w:r>
      <w:r w:rsidRPr="00083739">
        <w:rPr>
          <w:rFonts w:ascii="Times New Roman" w:hAnsi="Times New Roman" w:cs="Times New Roman"/>
          <w:noProof/>
          <w:sz w:val="24"/>
          <w:lang w:val="sk-SK"/>
        </w:rPr>
        <w:t>ia regionálnych centier civilnej ochrany (PEKEPP) prostredníctvom programov verejno-súkromných partnerstiev (ID: 16283)</w:t>
      </w:r>
    </w:p>
    <w:p w14:paraId="50F7B89A" w14:textId="77777777" w:rsidR="002D49B0" w:rsidRPr="00083739" w:rsidRDefault="00BF4125">
      <w:pPr>
        <w:pStyle w:val="P68B1DB1-ListParagraph19"/>
        <w:numPr>
          <w:ilvl w:val="0"/>
          <w:numId w:val="2"/>
        </w:numPr>
        <w:spacing w:before="120" w:after="120" w:line="240" w:lineRule="auto"/>
        <w:rPr>
          <w:rFonts w:cs="Times New Roman"/>
          <w:noProof/>
          <w:szCs w:val="24"/>
          <w:lang w:val="sk-SK"/>
        </w:rPr>
      </w:pPr>
      <w:r w:rsidRPr="00083739">
        <w:rPr>
          <w:rFonts w:cs="Times New Roman"/>
          <w:noProof/>
          <w:lang w:val="sk-SK"/>
        </w:rPr>
        <w:t>Predbežná kontrola seizmickej odolnosti budov (ID: 16983)</w:t>
      </w:r>
    </w:p>
    <w:p w14:paraId="4A71C350" w14:textId="77777777" w:rsidR="002D49B0" w:rsidRPr="00083739" w:rsidRDefault="002D49B0">
      <w:pPr>
        <w:spacing w:before="120" w:after="120" w:line="240" w:lineRule="auto"/>
        <w:rPr>
          <w:rFonts w:ascii="Times New Roman" w:hAnsi="Times New Roman" w:cs="Times New Roman"/>
          <w:noProof/>
          <w:sz w:val="24"/>
          <w:lang w:val="sk-SK"/>
        </w:rPr>
      </w:pPr>
    </w:p>
    <w:tbl>
      <w:tblPr>
        <w:tblStyle w:val="TableGrid"/>
        <w:tblW w:w="15588" w:type="dxa"/>
        <w:jc w:val="center"/>
        <w:tblLayout w:type="fixed"/>
        <w:tblLook w:val="0480" w:firstRow="0" w:lastRow="0" w:firstColumn="1" w:lastColumn="0" w:noHBand="0" w:noVBand="1"/>
      </w:tblPr>
      <w:tblGrid>
        <w:gridCol w:w="1129"/>
        <w:gridCol w:w="1276"/>
        <w:gridCol w:w="993"/>
        <w:gridCol w:w="1277"/>
        <w:gridCol w:w="1320"/>
        <w:gridCol w:w="1200"/>
        <w:gridCol w:w="960"/>
        <w:gridCol w:w="960"/>
        <w:gridCol w:w="960"/>
        <w:gridCol w:w="960"/>
        <w:gridCol w:w="4553"/>
      </w:tblGrid>
      <w:tr w:rsidR="002D49B0" w:rsidRPr="00083739" w14:paraId="0D2BC415" w14:textId="77777777">
        <w:trPr>
          <w:trHeight w:val="612"/>
          <w:tblHeader/>
          <w:jc w:val="center"/>
        </w:trPr>
        <w:tc>
          <w:tcPr>
            <w:tcW w:w="1129" w:type="dxa"/>
            <w:vMerge w:val="restart"/>
            <w:shd w:val="clear" w:color="auto" w:fill="BDD7EE"/>
            <w:vAlign w:val="center"/>
            <w:hideMark/>
          </w:tcPr>
          <w:p w14:paraId="095EA5F6" w14:textId="77777777" w:rsidR="002D49B0" w:rsidRPr="00083739" w:rsidRDefault="00BF4125">
            <w:pPr>
              <w:pStyle w:val="P68B1DB1-Normal7"/>
              <w:jc w:val="center"/>
              <w:rPr>
                <w:rFonts w:eastAsia="Times New Roman" w:cs="Times New Roman"/>
                <w:bCs/>
                <w:noProof/>
                <w:szCs w:val="18"/>
                <w:lang w:val="sk-SK"/>
              </w:rPr>
            </w:pPr>
            <w:r w:rsidRPr="00083739">
              <w:rPr>
                <w:rFonts w:cs="Times New Roman"/>
                <w:noProof/>
                <w:lang w:val="sk-SK"/>
              </w:rPr>
              <w:t>Poradové číslo</w:t>
            </w:r>
          </w:p>
        </w:tc>
        <w:tc>
          <w:tcPr>
            <w:tcW w:w="1276" w:type="dxa"/>
            <w:vMerge w:val="restart"/>
            <w:shd w:val="clear" w:color="auto" w:fill="BDD7EE"/>
            <w:vAlign w:val="center"/>
            <w:hideMark/>
          </w:tcPr>
          <w:p w14:paraId="0F11964D" w14:textId="77777777" w:rsidR="002D49B0" w:rsidRPr="00083739" w:rsidRDefault="00BF4125">
            <w:pPr>
              <w:pStyle w:val="P68B1DB1-Normal7"/>
              <w:jc w:val="center"/>
              <w:rPr>
                <w:rFonts w:eastAsia="Times New Roman" w:cs="Times New Roman"/>
                <w:bCs/>
                <w:noProof/>
                <w:szCs w:val="18"/>
                <w:lang w:val="sk-SK"/>
              </w:rPr>
            </w:pPr>
            <w:r w:rsidRPr="00083739">
              <w:rPr>
                <w:rFonts w:cs="Times New Roman"/>
                <w:noProof/>
                <w:lang w:val="sk-SK"/>
              </w:rPr>
              <w:t>Súvisiace opatrenie (reforma alebo investícia)</w:t>
            </w:r>
          </w:p>
        </w:tc>
        <w:tc>
          <w:tcPr>
            <w:tcW w:w="993" w:type="dxa"/>
            <w:vMerge w:val="restart"/>
            <w:shd w:val="clear" w:color="auto" w:fill="BDD7EE"/>
            <w:vAlign w:val="center"/>
            <w:hideMark/>
          </w:tcPr>
          <w:p w14:paraId="30BFC9D6" w14:textId="77777777" w:rsidR="002D49B0" w:rsidRPr="00083739" w:rsidRDefault="00BF4125">
            <w:pPr>
              <w:pStyle w:val="P68B1DB1-Normal7"/>
              <w:jc w:val="center"/>
              <w:rPr>
                <w:rFonts w:eastAsia="Times New Roman" w:cs="Times New Roman"/>
                <w:bCs/>
                <w:noProof/>
                <w:szCs w:val="18"/>
                <w:lang w:val="sk-SK"/>
              </w:rPr>
            </w:pPr>
            <w:r w:rsidRPr="00083739">
              <w:rPr>
                <w:rFonts w:cs="Times New Roman"/>
                <w:noProof/>
                <w:lang w:val="sk-SK"/>
              </w:rPr>
              <w:t>Míľnik/cieľ</w:t>
            </w:r>
          </w:p>
        </w:tc>
        <w:tc>
          <w:tcPr>
            <w:tcW w:w="1277" w:type="dxa"/>
            <w:vMerge w:val="restart"/>
            <w:shd w:val="clear" w:color="auto" w:fill="BDD7EE"/>
            <w:vAlign w:val="center"/>
            <w:hideMark/>
          </w:tcPr>
          <w:p w14:paraId="48AEE39E" w14:textId="77777777" w:rsidR="002D49B0" w:rsidRPr="00083739" w:rsidRDefault="00BF4125">
            <w:pPr>
              <w:pStyle w:val="P68B1DB1-Normal7"/>
              <w:jc w:val="center"/>
              <w:rPr>
                <w:rFonts w:eastAsia="Times New Roman" w:cs="Times New Roman"/>
                <w:bCs/>
                <w:noProof/>
                <w:szCs w:val="18"/>
                <w:lang w:val="sk-SK"/>
              </w:rPr>
            </w:pPr>
            <w:r w:rsidRPr="00083739">
              <w:rPr>
                <w:rFonts w:cs="Times New Roman"/>
                <w:noProof/>
                <w:lang w:val="sk-SK"/>
              </w:rPr>
              <w:t>Náz</w:t>
            </w:r>
            <w:r w:rsidRPr="00083739">
              <w:rPr>
                <w:rFonts w:cs="Times New Roman"/>
                <w:noProof/>
                <w:lang w:val="sk-SK"/>
              </w:rPr>
              <w:t>ov</w:t>
            </w:r>
          </w:p>
        </w:tc>
        <w:tc>
          <w:tcPr>
            <w:tcW w:w="1320" w:type="dxa"/>
            <w:vMerge w:val="restart"/>
            <w:shd w:val="clear" w:color="auto" w:fill="BDD7EE"/>
            <w:vAlign w:val="center"/>
            <w:hideMark/>
          </w:tcPr>
          <w:p w14:paraId="785F0C2C" w14:textId="77777777" w:rsidR="002D49B0" w:rsidRPr="00083739" w:rsidRDefault="00BF4125">
            <w:pPr>
              <w:pStyle w:val="P68B1DB1-Normal7"/>
              <w:jc w:val="center"/>
              <w:rPr>
                <w:rFonts w:eastAsia="Times New Roman" w:cs="Times New Roman"/>
                <w:bCs/>
                <w:noProof/>
                <w:szCs w:val="18"/>
                <w:lang w:val="sk-SK"/>
              </w:rPr>
            </w:pPr>
            <w:r w:rsidRPr="00083739">
              <w:rPr>
                <w:rFonts w:cs="Times New Roman"/>
                <w:noProof/>
                <w:lang w:val="sk-SK"/>
              </w:rPr>
              <w:t>Kvalitatívne ukazovatele (pre míľniky)</w:t>
            </w:r>
          </w:p>
        </w:tc>
        <w:tc>
          <w:tcPr>
            <w:tcW w:w="3120" w:type="dxa"/>
            <w:gridSpan w:val="3"/>
            <w:shd w:val="clear" w:color="auto" w:fill="BDD7EE"/>
            <w:vAlign w:val="center"/>
            <w:hideMark/>
          </w:tcPr>
          <w:p w14:paraId="7162E3C6" w14:textId="77777777" w:rsidR="002D49B0" w:rsidRPr="00083739" w:rsidRDefault="00BF4125">
            <w:pPr>
              <w:pStyle w:val="P68B1DB1-Normal7"/>
              <w:jc w:val="center"/>
              <w:rPr>
                <w:rFonts w:eastAsia="Times New Roman" w:cs="Times New Roman"/>
                <w:bCs/>
                <w:noProof/>
                <w:szCs w:val="18"/>
                <w:lang w:val="sk-SK"/>
              </w:rPr>
            </w:pPr>
            <w:r w:rsidRPr="00083739">
              <w:rPr>
                <w:rFonts w:cs="Times New Roman"/>
                <w:noProof/>
                <w:lang w:val="sk-SK"/>
              </w:rPr>
              <w:t>Kvantitatívne ukazovatele (pre ciele)</w:t>
            </w:r>
          </w:p>
        </w:tc>
        <w:tc>
          <w:tcPr>
            <w:tcW w:w="1920" w:type="dxa"/>
            <w:gridSpan w:val="2"/>
            <w:shd w:val="clear" w:color="auto" w:fill="BDD7EE"/>
            <w:vAlign w:val="center"/>
            <w:hideMark/>
          </w:tcPr>
          <w:p w14:paraId="79C9236E" w14:textId="77777777" w:rsidR="002D49B0" w:rsidRPr="00083739" w:rsidRDefault="00BF4125">
            <w:pPr>
              <w:pStyle w:val="P68B1DB1-Normal7"/>
              <w:jc w:val="center"/>
              <w:rPr>
                <w:rFonts w:eastAsia="Times New Roman" w:cs="Times New Roman"/>
                <w:bCs/>
                <w:noProof/>
                <w:szCs w:val="18"/>
                <w:lang w:val="sk-SK"/>
              </w:rPr>
            </w:pPr>
            <w:r w:rsidRPr="00083739">
              <w:rPr>
                <w:rFonts w:cs="Times New Roman"/>
                <w:noProof/>
                <w:lang w:val="sk-SK"/>
              </w:rPr>
              <w:t xml:space="preserve">Orientačný harmonogram dokončenia </w:t>
            </w:r>
          </w:p>
        </w:tc>
        <w:tc>
          <w:tcPr>
            <w:tcW w:w="4553" w:type="dxa"/>
            <w:vMerge w:val="restart"/>
            <w:shd w:val="clear" w:color="auto" w:fill="BDD7EE"/>
            <w:vAlign w:val="center"/>
            <w:hideMark/>
          </w:tcPr>
          <w:p w14:paraId="34612095" w14:textId="21CF9907" w:rsidR="002D49B0" w:rsidRPr="00083739" w:rsidRDefault="00BF4125">
            <w:pPr>
              <w:pStyle w:val="P68B1DB1-Normal7"/>
              <w:jc w:val="center"/>
              <w:rPr>
                <w:rFonts w:eastAsia="Times New Roman" w:cs="Times New Roman"/>
                <w:bCs/>
                <w:noProof/>
                <w:szCs w:val="18"/>
                <w:lang w:val="sk-SK"/>
              </w:rPr>
            </w:pPr>
            <w:r w:rsidRPr="00083739">
              <w:rPr>
                <w:rFonts w:cs="Times New Roman"/>
                <w:noProof/>
                <w:lang w:val="sk-SK"/>
              </w:rPr>
              <w:t>Opis každého míľnika</w:t>
            </w:r>
            <w:r w:rsidR="00083739" w:rsidRPr="00083739">
              <w:rPr>
                <w:rFonts w:cs="Times New Roman"/>
                <w:noProof/>
                <w:lang w:val="sk-SK"/>
              </w:rPr>
              <w:t xml:space="preserve"> a </w:t>
            </w:r>
            <w:r w:rsidRPr="00083739">
              <w:rPr>
                <w:rFonts w:cs="Times New Roman"/>
                <w:noProof/>
                <w:lang w:val="sk-SK"/>
              </w:rPr>
              <w:t>cieľa</w:t>
            </w:r>
          </w:p>
        </w:tc>
      </w:tr>
      <w:tr w:rsidR="002D49B0" w:rsidRPr="00083739" w14:paraId="1DECA2EC" w14:textId="77777777">
        <w:trPr>
          <w:trHeight w:val="540"/>
          <w:tblHeader/>
          <w:jc w:val="center"/>
        </w:trPr>
        <w:tc>
          <w:tcPr>
            <w:tcW w:w="1129" w:type="dxa"/>
            <w:vMerge/>
            <w:vAlign w:val="center"/>
            <w:hideMark/>
          </w:tcPr>
          <w:p w14:paraId="630E05D6" w14:textId="77777777" w:rsidR="002D49B0" w:rsidRPr="00083739" w:rsidRDefault="002D49B0">
            <w:pPr>
              <w:rPr>
                <w:rFonts w:ascii="Times New Roman" w:eastAsia="Times New Roman" w:hAnsi="Times New Roman" w:cs="Times New Roman"/>
                <w:b/>
                <w:bCs/>
                <w:noProof/>
                <w:sz w:val="18"/>
                <w:szCs w:val="18"/>
                <w:lang w:val="sk-SK"/>
              </w:rPr>
            </w:pPr>
          </w:p>
        </w:tc>
        <w:tc>
          <w:tcPr>
            <w:tcW w:w="1276" w:type="dxa"/>
            <w:vMerge/>
            <w:vAlign w:val="center"/>
            <w:hideMark/>
          </w:tcPr>
          <w:p w14:paraId="2C02C307" w14:textId="77777777" w:rsidR="002D49B0" w:rsidRPr="00083739" w:rsidRDefault="002D49B0">
            <w:pPr>
              <w:rPr>
                <w:rFonts w:ascii="Times New Roman" w:eastAsia="Times New Roman" w:hAnsi="Times New Roman" w:cs="Times New Roman"/>
                <w:b/>
                <w:bCs/>
                <w:noProof/>
                <w:sz w:val="18"/>
                <w:szCs w:val="18"/>
                <w:lang w:val="sk-SK"/>
              </w:rPr>
            </w:pPr>
          </w:p>
        </w:tc>
        <w:tc>
          <w:tcPr>
            <w:tcW w:w="993" w:type="dxa"/>
            <w:vMerge/>
            <w:vAlign w:val="center"/>
            <w:hideMark/>
          </w:tcPr>
          <w:p w14:paraId="0100A6AF" w14:textId="77777777" w:rsidR="002D49B0" w:rsidRPr="00083739" w:rsidRDefault="002D49B0">
            <w:pPr>
              <w:rPr>
                <w:rFonts w:ascii="Times New Roman" w:eastAsia="Times New Roman" w:hAnsi="Times New Roman" w:cs="Times New Roman"/>
                <w:b/>
                <w:bCs/>
                <w:noProof/>
                <w:sz w:val="18"/>
                <w:szCs w:val="18"/>
                <w:lang w:val="sk-SK"/>
              </w:rPr>
            </w:pPr>
          </w:p>
        </w:tc>
        <w:tc>
          <w:tcPr>
            <w:tcW w:w="1277" w:type="dxa"/>
            <w:vMerge/>
            <w:vAlign w:val="center"/>
            <w:hideMark/>
          </w:tcPr>
          <w:p w14:paraId="11073176" w14:textId="77777777" w:rsidR="002D49B0" w:rsidRPr="00083739" w:rsidRDefault="002D49B0">
            <w:pPr>
              <w:rPr>
                <w:rFonts w:ascii="Times New Roman" w:eastAsia="Times New Roman" w:hAnsi="Times New Roman" w:cs="Times New Roman"/>
                <w:b/>
                <w:bCs/>
                <w:noProof/>
                <w:sz w:val="18"/>
                <w:szCs w:val="18"/>
                <w:lang w:val="sk-SK"/>
              </w:rPr>
            </w:pPr>
          </w:p>
        </w:tc>
        <w:tc>
          <w:tcPr>
            <w:tcW w:w="1320" w:type="dxa"/>
            <w:vMerge/>
            <w:vAlign w:val="center"/>
            <w:hideMark/>
          </w:tcPr>
          <w:p w14:paraId="5C0143F3" w14:textId="77777777" w:rsidR="002D49B0" w:rsidRPr="00083739" w:rsidRDefault="002D49B0">
            <w:pPr>
              <w:rPr>
                <w:rFonts w:ascii="Times New Roman" w:eastAsia="Times New Roman" w:hAnsi="Times New Roman" w:cs="Times New Roman"/>
                <w:b/>
                <w:bCs/>
                <w:noProof/>
                <w:sz w:val="18"/>
                <w:szCs w:val="18"/>
                <w:lang w:val="sk-SK"/>
              </w:rPr>
            </w:pPr>
          </w:p>
        </w:tc>
        <w:tc>
          <w:tcPr>
            <w:tcW w:w="1200" w:type="dxa"/>
            <w:shd w:val="clear" w:color="auto" w:fill="BDD7EE"/>
            <w:vAlign w:val="center"/>
            <w:hideMark/>
          </w:tcPr>
          <w:p w14:paraId="37989C94" w14:textId="77777777" w:rsidR="002D49B0" w:rsidRPr="00083739" w:rsidRDefault="00BF4125">
            <w:pPr>
              <w:pStyle w:val="P68B1DB1-Normal7"/>
              <w:jc w:val="center"/>
              <w:rPr>
                <w:rFonts w:eastAsia="Times New Roman" w:cs="Times New Roman"/>
                <w:bCs/>
                <w:noProof/>
                <w:szCs w:val="18"/>
                <w:lang w:val="sk-SK"/>
              </w:rPr>
            </w:pPr>
            <w:r w:rsidRPr="00083739">
              <w:rPr>
                <w:rFonts w:cs="Times New Roman"/>
                <w:noProof/>
                <w:lang w:val="sk-SK"/>
              </w:rPr>
              <w:t>Merná jednotka</w:t>
            </w:r>
          </w:p>
        </w:tc>
        <w:tc>
          <w:tcPr>
            <w:tcW w:w="960" w:type="dxa"/>
            <w:shd w:val="clear" w:color="auto" w:fill="BDD7EE"/>
            <w:vAlign w:val="center"/>
            <w:hideMark/>
          </w:tcPr>
          <w:p w14:paraId="74BBAD15" w14:textId="77777777" w:rsidR="002D49B0" w:rsidRPr="00083739" w:rsidRDefault="00BF4125">
            <w:pPr>
              <w:pStyle w:val="P68B1DB1-Normal7"/>
              <w:jc w:val="center"/>
              <w:rPr>
                <w:rFonts w:eastAsia="Times New Roman" w:cs="Times New Roman"/>
                <w:bCs/>
                <w:noProof/>
                <w:szCs w:val="18"/>
                <w:lang w:val="sk-SK"/>
              </w:rPr>
            </w:pPr>
            <w:r w:rsidRPr="00083739">
              <w:rPr>
                <w:rFonts w:cs="Times New Roman"/>
                <w:noProof/>
                <w:lang w:val="sk-SK"/>
              </w:rPr>
              <w:t xml:space="preserve">Základná </w:t>
            </w:r>
          </w:p>
        </w:tc>
        <w:tc>
          <w:tcPr>
            <w:tcW w:w="960" w:type="dxa"/>
            <w:shd w:val="clear" w:color="auto" w:fill="BDD7EE"/>
            <w:vAlign w:val="center"/>
            <w:hideMark/>
          </w:tcPr>
          <w:p w14:paraId="5EEBFE3B" w14:textId="77777777" w:rsidR="002D49B0" w:rsidRPr="00083739" w:rsidRDefault="00BF4125">
            <w:pPr>
              <w:pStyle w:val="P68B1DB1-Normal7"/>
              <w:jc w:val="center"/>
              <w:rPr>
                <w:rFonts w:eastAsia="Times New Roman" w:cs="Times New Roman"/>
                <w:bCs/>
                <w:noProof/>
                <w:szCs w:val="18"/>
                <w:lang w:val="sk-SK"/>
              </w:rPr>
            </w:pPr>
            <w:r w:rsidRPr="00083739">
              <w:rPr>
                <w:rFonts w:cs="Times New Roman"/>
                <w:noProof/>
                <w:lang w:val="sk-SK"/>
              </w:rPr>
              <w:t xml:space="preserve">Cieľ </w:t>
            </w:r>
          </w:p>
        </w:tc>
        <w:tc>
          <w:tcPr>
            <w:tcW w:w="960" w:type="dxa"/>
            <w:shd w:val="clear" w:color="auto" w:fill="BDD7EE"/>
            <w:vAlign w:val="center"/>
            <w:hideMark/>
          </w:tcPr>
          <w:p w14:paraId="1E85042A" w14:textId="77777777" w:rsidR="002D49B0" w:rsidRPr="00083739" w:rsidRDefault="00BF4125">
            <w:pPr>
              <w:pStyle w:val="P68B1DB1-Normal7"/>
              <w:jc w:val="center"/>
              <w:rPr>
                <w:rFonts w:eastAsia="Times New Roman" w:cs="Times New Roman"/>
                <w:bCs/>
                <w:noProof/>
                <w:szCs w:val="18"/>
                <w:lang w:val="sk-SK"/>
              </w:rPr>
            </w:pPr>
            <w:r w:rsidRPr="00083739">
              <w:rPr>
                <w:rFonts w:cs="Times New Roman"/>
                <w:noProof/>
                <w:lang w:val="sk-SK"/>
              </w:rPr>
              <w:t>Štvrtina</w:t>
            </w:r>
          </w:p>
        </w:tc>
        <w:tc>
          <w:tcPr>
            <w:tcW w:w="960" w:type="dxa"/>
            <w:shd w:val="clear" w:color="auto" w:fill="BDD7EE"/>
            <w:vAlign w:val="center"/>
            <w:hideMark/>
          </w:tcPr>
          <w:p w14:paraId="6FFD73DB" w14:textId="77777777" w:rsidR="002D49B0" w:rsidRPr="00083739" w:rsidRDefault="00BF4125">
            <w:pPr>
              <w:pStyle w:val="P68B1DB1-Normal7"/>
              <w:jc w:val="center"/>
              <w:rPr>
                <w:rFonts w:eastAsia="Times New Roman" w:cs="Times New Roman"/>
                <w:bCs/>
                <w:noProof/>
                <w:szCs w:val="18"/>
                <w:lang w:val="sk-SK"/>
              </w:rPr>
            </w:pPr>
            <w:r w:rsidRPr="00083739">
              <w:rPr>
                <w:rFonts w:cs="Times New Roman"/>
                <w:noProof/>
                <w:lang w:val="sk-SK"/>
              </w:rPr>
              <w:t>Rok</w:t>
            </w:r>
          </w:p>
        </w:tc>
        <w:tc>
          <w:tcPr>
            <w:tcW w:w="4553" w:type="dxa"/>
            <w:vMerge/>
            <w:vAlign w:val="center"/>
            <w:hideMark/>
          </w:tcPr>
          <w:p w14:paraId="69528607" w14:textId="77777777" w:rsidR="002D49B0" w:rsidRPr="00083739" w:rsidRDefault="002D49B0">
            <w:pPr>
              <w:rPr>
                <w:rFonts w:ascii="Times New Roman" w:eastAsia="Times New Roman" w:hAnsi="Times New Roman" w:cs="Times New Roman"/>
                <w:b/>
                <w:bCs/>
                <w:noProof/>
                <w:sz w:val="18"/>
                <w:szCs w:val="18"/>
                <w:lang w:val="sk-SK"/>
              </w:rPr>
            </w:pPr>
          </w:p>
        </w:tc>
      </w:tr>
      <w:tr w:rsidR="002D49B0" w:rsidRPr="00083739" w14:paraId="2867B527" w14:textId="77777777">
        <w:trPr>
          <w:trHeight w:val="309"/>
          <w:jc w:val="center"/>
        </w:trPr>
        <w:tc>
          <w:tcPr>
            <w:tcW w:w="1129" w:type="dxa"/>
            <w:shd w:val="clear" w:color="auto" w:fill="C6EFCE"/>
            <w:noWrap/>
          </w:tcPr>
          <w:p w14:paraId="1A32EC30" w14:textId="77777777" w:rsidR="002D49B0" w:rsidRPr="00083739" w:rsidRDefault="00BF4125">
            <w:pPr>
              <w:pStyle w:val="P68B1DB1-Normal9"/>
              <w:rPr>
                <w:rFonts w:ascii="Times New Roman" w:eastAsia="Times New Roman" w:hAnsi="Times New Roman" w:cs="Times New Roman"/>
                <w:noProof/>
                <w:szCs w:val="18"/>
                <w:lang w:val="sk-SK"/>
              </w:rPr>
            </w:pPr>
            <w:r w:rsidRPr="00083739">
              <w:rPr>
                <w:rFonts w:ascii="Times New Roman" w:hAnsi="Times New Roman" w:cs="Times New Roman"/>
                <w:noProof/>
                <w:lang w:val="sk-SK"/>
              </w:rPr>
              <w:t>77</w:t>
            </w:r>
          </w:p>
        </w:tc>
        <w:tc>
          <w:tcPr>
            <w:tcW w:w="1276" w:type="dxa"/>
            <w:shd w:val="clear" w:color="auto" w:fill="C6EFCE"/>
            <w:noWrap/>
          </w:tcPr>
          <w:p w14:paraId="2E9BA69C" w14:textId="7468C57B" w:rsidR="002D49B0" w:rsidRPr="00083739" w:rsidRDefault="00BF4125">
            <w:pPr>
              <w:pStyle w:val="P68B1DB1-Normal9"/>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4 – 1.4. Udržateľné využívanie zdrojov, odolnosť proti </w:t>
            </w:r>
            <w:r w:rsidRPr="00083739">
              <w:rPr>
                <w:rFonts w:ascii="Times New Roman" w:hAnsi="Times New Roman" w:cs="Times New Roman"/>
                <w:noProof/>
                <w:lang w:val="sk-SK"/>
              </w:rPr>
              <w:t>zmene klímy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ochrana životného prostredia – 16283_Vykonávanie regionálnych centier civilnej ochrany (PEKEPP) prostredníctvom programov verejno-súkromných partnerstiev</w:t>
            </w:r>
          </w:p>
        </w:tc>
        <w:tc>
          <w:tcPr>
            <w:tcW w:w="993" w:type="dxa"/>
            <w:shd w:val="clear" w:color="auto" w:fill="C6EFCE"/>
            <w:noWrap/>
          </w:tcPr>
          <w:p w14:paraId="245378DA" w14:textId="77777777" w:rsidR="002D49B0" w:rsidRPr="00083739" w:rsidRDefault="00BF4125">
            <w:pPr>
              <w:pStyle w:val="P68B1DB1-Normal9"/>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277" w:type="dxa"/>
            <w:shd w:val="clear" w:color="auto" w:fill="C6EFCE"/>
            <w:noWrap/>
          </w:tcPr>
          <w:p w14:paraId="3150164B" w14:textId="77777777" w:rsidR="002D49B0" w:rsidRPr="00083739" w:rsidRDefault="00BF4125">
            <w:pPr>
              <w:pStyle w:val="P68B1DB1-Normal9"/>
              <w:rPr>
                <w:rFonts w:ascii="Times New Roman" w:eastAsia="Times New Roman" w:hAnsi="Times New Roman" w:cs="Times New Roman"/>
                <w:noProof/>
                <w:szCs w:val="18"/>
                <w:lang w:val="sk-SK"/>
              </w:rPr>
            </w:pPr>
            <w:r w:rsidRPr="00083739">
              <w:rPr>
                <w:rFonts w:ascii="Times New Roman" w:hAnsi="Times New Roman" w:cs="Times New Roman"/>
                <w:noProof/>
                <w:lang w:val="sk-SK"/>
              </w:rPr>
              <w:t>Verejná súťaž pre 13 regionálnych centier</w:t>
            </w:r>
          </w:p>
        </w:tc>
        <w:tc>
          <w:tcPr>
            <w:tcW w:w="1320" w:type="dxa"/>
            <w:shd w:val="clear" w:color="auto" w:fill="C6EFCE"/>
            <w:noWrap/>
          </w:tcPr>
          <w:p w14:paraId="6873FF94" w14:textId="393AD8EF" w:rsidR="002D49B0" w:rsidRPr="00083739" w:rsidRDefault="00BF4125">
            <w:pPr>
              <w:pStyle w:val="P68B1DB1-Normal9"/>
              <w:rPr>
                <w:rFonts w:ascii="Times New Roman" w:eastAsia="Times New Roman" w:hAnsi="Times New Roman" w:cs="Times New Roman"/>
                <w:noProof/>
                <w:szCs w:val="18"/>
                <w:lang w:val="sk-SK"/>
              </w:rPr>
            </w:pPr>
            <w:r w:rsidRPr="00083739">
              <w:rPr>
                <w:rFonts w:ascii="Times New Roman" w:hAnsi="Times New Roman" w:cs="Times New Roman"/>
                <w:noProof/>
                <w:lang w:val="sk-SK"/>
              </w:rPr>
              <w:t>Uverejnenie oznámenia</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 xml:space="preserve">vyhlásení </w:t>
            </w:r>
            <w:r w:rsidRPr="00083739">
              <w:rPr>
                <w:rFonts w:ascii="Times New Roman" w:hAnsi="Times New Roman" w:cs="Times New Roman"/>
                <w:noProof/>
                <w:lang w:val="sk-SK"/>
              </w:rPr>
              <w:t>verejného obstarávania</w:t>
            </w:r>
          </w:p>
        </w:tc>
        <w:tc>
          <w:tcPr>
            <w:tcW w:w="1200" w:type="dxa"/>
            <w:shd w:val="clear" w:color="auto" w:fill="C6EFCE"/>
            <w:noWrap/>
          </w:tcPr>
          <w:p w14:paraId="4520C3C8" w14:textId="77777777" w:rsidR="002D49B0" w:rsidRPr="00083739" w:rsidRDefault="002D49B0">
            <w:pPr>
              <w:rPr>
                <w:rFonts w:ascii="Times New Roman" w:eastAsia="Times New Roman" w:hAnsi="Times New Roman" w:cs="Times New Roman"/>
                <w:noProof/>
                <w:color w:val="006100"/>
                <w:sz w:val="18"/>
                <w:szCs w:val="18"/>
                <w:lang w:val="sk-SK"/>
              </w:rPr>
            </w:pPr>
          </w:p>
        </w:tc>
        <w:tc>
          <w:tcPr>
            <w:tcW w:w="960" w:type="dxa"/>
            <w:shd w:val="clear" w:color="auto" w:fill="C6EFCE"/>
            <w:noWrap/>
          </w:tcPr>
          <w:p w14:paraId="1503A288" w14:textId="77777777" w:rsidR="002D49B0" w:rsidRPr="00083739" w:rsidRDefault="002D49B0">
            <w:pPr>
              <w:rPr>
                <w:rFonts w:ascii="Times New Roman" w:eastAsia="Times New Roman" w:hAnsi="Times New Roman" w:cs="Times New Roman"/>
                <w:noProof/>
                <w:color w:val="006100"/>
                <w:sz w:val="18"/>
                <w:szCs w:val="18"/>
                <w:lang w:val="sk-SK"/>
              </w:rPr>
            </w:pPr>
          </w:p>
        </w:tc>
        <w:tc>
          <w:tcPr>
            <w:tcW w:w="960" w:type="dxa"/>
            <w:shd w:val="clear" w:color="auto" w:fill="C6EFCE"/>
            <w:noWrap/>
          </w:tcPr>
          <w:p w14:paraId="477EEAD6" w14:textId="77777777" w:rsidR="002D49B0" w:rsidRPr="00083739" w:rsidRDefault="002D49B0">
            <w:pPr>
              <w:rPr>
                <w:rFonts w:ascii="Times New Roman" w:eastAsia="Times New Roman" w:hAnsi="Times New Roman" w:cs="Times New Roman"/>
                <w:noProof/>
                <w:color w:val="006100"/>
                <w:sz w:val="18"/>
                <w:szCs w:val="18"/>
                <w:lang w:val="sk-SK"/>
              </w:rPr>
            </w:pPr>
          </w:p>
        </w:tc>
        <w:tc>
          <w:tcPr>
            <w:tcW w:w="960" w:type="dxa"/>
            <w:shd w:val="clear" w:color="auto" w:fill="C6EFCE"/>
            <w:noWrap/>
          </w:tcPr>
          <w:p w14:paraId="6B03ECC1" w14:textId="77777777" w:rsidR="002D49B0" w:rsidRPr="00083739" w:rsidRDefault="00BF4125">
            <w:pPr>
              <w:pStyle w:val="P68B1DB1-Normal9"/>
              <w:rPr>
                <w:rFonts w:ascii="Times New Roman" w:eastAsia="Times New Roman" w:hAnsi="Times New Roman" w:cs="Times New Roman"/>
                <w:noProof/>
                <w:szCs w:val="18"/>
                <w:lang w:val="sk-SK"/>
              </w:rPr>
            </w:pPr>
            <w:r w:rsidRPr="00083739">
              <w:rPr>
                <w:rFonts w:ascii="Times New Roman" w:hAnsi="Times New Roman" w:cs="Times New Roman"/>
                <w:noProof/>
                <w:lang w:val="sk-SK"/>
              </w:rPr>
              <w:t>TRETÍ ŠTVRŤROK</w:t>
            </w:r>
          </w:p>
        </w:tc>
        <w:tc>
          <w:tcPr>
            <w:tcW w:w="960" w:type="dxa"/>
            <w:shd w:val="clear" w:color="auto" w:fill="C6EFCE"/>
            <w:noWrap/>
          </w:tcPr>
          <w:p w14:paraId="109EA03A" w14:textId="77777777" w:rsidR="002D49B0" w:rsidRPr="00083739" w:rsidRDefault="00BF4125">
            <w:pPr>
              <w:pStyle w:val="P68B1DB1-Normal9"/>
              <w:rPr>
                <w:rFonts w:ascii="Times New Roman" w:eastAsia="Times New Roman" w:hAnsi="Times New Roman" w:cs="Times New Roman"/>
                <w:noProof/>
                <w:szCs w:val="18"/>
                <w:lang w:val="sk-SK"/>
              </w:rPr>
            </w:pPr>
            <w:r w:rsidRPr="00083739">
              <w:rPr>
                <w:rFonts w:ascii="Times New Roman" w:hAnsi="Times New Roman" w:cs="Times New Roman"/>
                <w:noProof/>
                <w:lang w:val="sk-SK"/>
              </w:rPr>
              <w:t>2021</w:t>
            </w:r>
          </w:p>
        </w:tc>
        <w:tc>
          <w:tcPr>
            <w:tcW w:w="4553" w:type="dxa"/>
            <w:shd w:val="clear" w:color="auto" w:fill="C6EFCE"/>
            <w:noWrap/>
          </w:tcPr>
          <w:p w14:paraId="30758B24" w14:textId="3A5A6C5B" w:rsidR="002D49B0" w:rsidRPr="00083739" w:rsidRDefault="00BF4125">
            <w:pPr>
              <w:pStyle w:val="P68B1DB1-Normal9"/>
              <w:rPr>
                <w:rFonts w:ascii="Times New Roman" w:eastAsia="Times New Roman" w:hAnsi="Times New Roman" w:cs="Times New Roman"/>
                <w:noProof/>
                <w:szCs w:val="18"/>
                <w:lang w:val="sk-SK"/>
              </w:rPr>
            </w:pPr>
            <w:r w:rsidRPr="00083739">
              <w:rPr>
                <w:rFonts w:ascii="Times New Roman" w:hAnsi="Times New Roman" w:cs="Times New Roman"/>
                <w:noProof/>
                <w:lang w:val="sk-SK"/>
              </w:rPr>
              <w:t>Uverejnenie oznámenia</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vyhlásení verejného obstarávania na výstavbu 13 regionálnych centier civilnej ochrany.</w:t>
            </w:r>
          </w:p>
        </w:tc>
      </w:tr>
      <w:tr w:rsidR="002D49B0" w:rsidRPr="00083739" w14:paraId="6394FF89" w14:textId="77777777">
        <w:trPr>
          <w:trHeight w:val="309"/>
          <w:jc w:val="center"/>
        </w:trPr>
        <w:tc>
          <w:tcPr>
            <w:tcW w:w="1129" w:type="dxa"/>
            <w:shd w:val="clear" w:color="auto" w:fill="C6EFCE"/>
            <w:noWrap/>
          </w:tcPr>
          <w:p w14:paraId="2D9D612D" w14:textId="77777777" w:rsidR="002D49B0" w:rsidRPr="00083739" w:rsidRDefault="00BF4125">
            <w:pPr>
              <w:pStyle w:val="P68B1DB1-Normal9"/>
              <w:rPr>
                <w:rFonts w:ascii="Times New Roman" w:eastAsia="Times New Roman" w:hAnsi="Times New Roman" w:cs="Times New Roman"/>
                <w:noProof/>
                <w:szCs w:val="18"/>
                <w:lang w:val="sk-SK"/>
              </w:rPr>
            </w:pPr>
            <w:r w:rsidRPr="00083739">
              <w:rPr>
                <w:rFonts w:ascii="Times New Roman" w:hAnsi="Times New Roman" w:cs="Times New Roman"/>
                <w:noProof/>
                <w:lang w:val="sk-SK"/>
              </w:rPr>
              <w:t>78</w:t>
            </w:r>
          </w:p>
        </w:tc>
        <w:tc>
          <w:tcPr>
            <w:tcW w:w="1276" w:type="dxa"/>
            <w:shd w:val="clear" w:color="auto" w:fill="C6EFCE"/>
            <w:noWrap/>
          </w:tcPr>
          <w:p w14:paraId="09A5C42E" w14:textId="1A6293D7" w:rsidR="002D49B0" w:rsidRPr="00083739" w:rsidRDefault="00BF4125">
            <w:pPr>
              <w:pStyle w:val="P68B1DB1-Normal9"/>
              <w:rPr>
                <w:rFonts w:ascii="Times New Roman" w:eastAsia="Times New Roman" w:hAnsi="Times New Roman" w:cs="Times New Roman"/>
                <w:noProof/>
                <w:szCs w:val="18"/>
                <w:lang w:val="sk-SK"/>
              </w:rPr>
            </w:pPr>
            <w:r w:rsidRPr="00083739">
              <w:rPr>
                <w:rFonts w:ascii="Times New Roman" w:hAnsi="Times New Roman" w:cs="Times New Roman"/>
                <w:noProof/>
                <w:lang w:val="sk-SK"/>
              </w:rPr>
              <w:t>4 – 1.4. Udržateľné využívanie zdrojov, odolnosť proti zmene klímy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ochrana životného </w:t>
            </w:r>
            <w:r w:rsidRPr="00083739">
              <w:rPr>
                <w:rFonts w:ascii="Times New Roman" w:hAnsi="Times New Roman" w:cs="Times New Roman"/>
                <w:noProof/>
                <w:lang w:val="sk-SK"/>
              </w:rPr>
              <w:t>prostredia – 16910_Systém monitorovania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riadenia</w:t>
            </w:r>
          </w:p>
        </w:tc>
        <w:tc>
          <w:tcPr>
            <w:tcW w:w="993" w:type="dxa"/>
            <w:shd w:val="clear" w:color="auto" w:fill="C6EFCE"/>
            <w:noWrap/>
          </w:tcPr>
          <w:p w14:paraId="3763E178" w14:textId="77777777" w:rsidR="002D49B0" w:rsidRPr="00083739" w:rsidRDefault="00BF4125">
            <w:pPr>
              <w:pStyle w:val="P68B1DB1-Normal9"/>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277" w:type="dxa"/>
            <w:shd w:val="clear" w:color="auto" w:fill="C6EFCE"/>
            <w:noWrap/>
          </w:tcPr>
          <w:p w14:paraId="0DCD7A62" w14:textId="77777777" w:rsidR="002D49B0" w:rsidRPr="00083739" w:rsidRDefault="00BF4125">
            <w:pPr>
              <w:pStyle w:val="P68B1DB1-Normal9"/>
              <w:rPr>
                <w:rFonts w:ascii="Times New Roman" w:eastAsia="Times New Roman" w:hAnsi="Times New Roman" w:cs="Times New Roman"/>
                <w:noProof/>
                <w:szCs w:val="18"/>
                <w:lang w:val="sk-SK"/>
              </w:rPr>
            </w:pPr>
            <w:r w:rsidRPr="00083739">
              <w:rPr>
                <w:rFonts w:ascii="Times New Roman" w:hAnsi="Times New Roman" w:cs="Times New Roman"/>
                <w:noProof/>
                <w:lang w:val="sk-SK"/>
              </w:rPr>
              <w:t>Zmluva pre GPS</w:t>
            </w:r>
          </w:p>
        </w:tc>
        <w:tc>
          <w:tcPr>
            <w:tcW w:w="1320" w:type="dxa"/>
            <w:shd w:val="clear" w:color="auto" w:fill="C6EFCE"/>
            <w:noWrap/>
          </w:tcPr>
          <w:p w14:paraId="1EDCC783" w14:textId="0ACB6BE4" w:rsidR="002D49B0" w:rsidRPr="00083739" w:rsidRDefault="00BF4125">
            <w:pPr>
              <w:pStyle w:val="P68B1DB1-Normal9"/>
              <w:rPr>
                <w:rFonts w:ascii="Times New Roman" w:eastAsia="Times New Roman" w:hAnsi="Times New Roman" w:cs="Times New Roman"/>
                <w:noProof/>
                <w:szCs w:val="18"/>
                <w:lang w:val="sk-SK"/>
              </w:rPr>
            </w:pPr>
            <w:r w:rsidRPr="00083739">
              <w:rPr>
                <w:rFonts w:ascii="Times New Roman" w:hAnsi="Times New Roman" w:cs="Times New Roman"/>
                <w:noProof/>
                <w:lang w:val="sk-SK"/>
              </w:rPr>
              <w:t>Oznámenie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 xml:space="preserve">zadaní zákazky </w:t>
            </w:r>
          </w:p>
        </w:tc>
        <w:tc>
          <w:tcPr>
            <w:tcW w:w="1200" w:type="dxa"/>
            <w:shd w:val="clear" w:color="auto" w:fill="C6EFCE"/>
            <w:noWrap/>
          </w:tcPr>
          <w:p w14:paraId="16DEB220" w14:textId="77777777" w:rsidR="002D49B0" w:rsidRPr="00083739" w:rsidRDefault="002D49B0">
            <w:pPr>
              <w:rPr>
                <w:rFonts w:ascii="Times New Roman" w:eastAsia="Times New Roman" w:hAnsi="Times New Roman" w:cs="Times New Roman"/>
                <w:noProof/>
                <w:color w:val="006100"/>
                <w:sz w:val="18"/>
                <w:szCs w:val="18"/>
                <w:lang w:val="sk-SK"/>
              </w:rPr>
            </w:pPr>
          </w:p>
        </w:tc>
        <w:tc>
          <w:tcPr>
            <w:tcW w:w="960" w:type="dxa"/>
            <w:shd w:val="clear" w:color="auto" w:fill="C6EFCE"/>
            <w:noWrap/>
          </w:tcPr>
          <w:p w14:paraId="78643EAD" w14:textId="77777777" w:rsidR="002D49B0" w:rsidRPr="00083739" w:rsidRDefault="002D49B0">
            <w:pPr>
              <w:rPr>
                <w:rFonts w:ascii="Times New Roman" w:eastAsia="Times New Roman" w:hAnsi="Times New Roman" w:cs="Times New Roman"/>
                <w:noProof/>
                <w:color w:val="006100"/>
                <w:sz w:val="18"/>
                <w:szCs w:val="18"/>
                <w:lang w:val="sk-SK"/>
              </w:rPr>
            </w:pPr>
          </w:p>
        </w:tc>
        <w:tc>
          <w:tcPr>
            <w:tcW w:w="960" w:type="dxa"/>
            <w:shd w:val="clear" w:color="auto" w:fill="C6EFCE"/>
            <w:noWrap/>
          </w:tcPr>
          <w:p w14:paraId="38C576DF" w14:textId="77777777" w:rsidR="002D49B0" w:rsidRPr="00083739" w:rsidRDefault="002D49B0">
            <w:pPr>
              <w:rPr>
                <w:rFonts w:ascii="Times New Roman" w:eastAsia="Times New Roman" w:hAnsi="Times New Roman" w:cs="Times New Roman"/>
                <w:noProof/>
                <w:color w:val="006100"/>
                <w:sz w:val="18"/>
                <w:szCs w:val="18"/>
                <w:lang w:val="sk-SK"/>
              </w:rPr>
            </w:pPr>
          </w:p>
        </w:tc>
        <w:tc>
          <w:tcPr>
            <w:tcW w:w="960" w:type="dxa"/>
            <w:shd w:val="clear" w:color="auto" w:fill="C6EFCE"/>
            <w:noWrap/>
          </w:tcPr>
          <w:p w14:paraId="0A6E24F4" w14:textId="77777777" w:rsidR="002D49B0" w:rsidRPr="00083739" w:rsidRDefault="00BF4125">
            <w:pPr>
              <w:pStyle w:val="P68B1DB1-Normal9"/>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960" w:type="dxa"/>
            <w:shd w:val="clear" w:color="auto" w:fill="C6EFCE"/>
            <w:noWrap/>
          </w:tcPr>
          <w:p w14:paraId="3E8C533F" w14:textId="77777777" w:rsidR="002D49B0" w:rsidRPr="00083739" w:rsidRDefault="00BF4125">
            <w:pPr>
              <w:pStyle w:val="P68B1DB1-Normal9"/>
              <w:rPr>
                <w:rFonts w:ascii="Times New Roman" w:eastAsia="Times New Roman" w:hAnsi="Times New Roman" w:cs="Times New Roman"/>
                <w:noProof/>
                <w:szCs w:val="18"/>
                <w:lang w:val="sk-SK"/>
              </w:rPr>
            </w:pPr>
            <w:r w:rsidRPr="00083739">
              <w:rPr>
                <w:rFonts w:ascii="Times New Roman" w:hAnsi="Times New Roman" w:cs="Times New Roman"/>
                <w:noProof/>
                <w:lang w:val="sk-SK"/>
              </w:rPr>
              <w:t>2022</w:t>
            </w:r>
          </w:p>
        </w:tc>
        <w:tc>
          <w:tcPr>
            <w:tcW w:w="4553" w:type="dxa"/>
            <w:shd w:val="clear" w:color="auto" w:fill="C6EFCE"/>
            <w:noWrap/>
          </w:tcPr>
          <w:p w14:paraId="286270FA" w14:textId="50B5EAA1" w:rsidR="002D49B0" w:rsidRPr="00083739" w:rsidRDefault="00BF4125">
            <w:pPr>
              <w:pStyle w:val="P68B1DB1-Normal9"/>
              <w:rPr>
                <w:rFonts w:ascii="Times New Roman" w:eastAsia="Times New Roman" w:hAnsi="Times New Roman" w:cs="Times New Roman"/>
                <w:noProof/>
                <w:szCs w:val="18"/>
                <w:lang w:val="sk-SK"/>
              </w:rPr>
            </w:pPr>
            <w:r w:rsidRPr="00083739">
              <w:rPr>
                <w:rFonts w:ascii="Times New Roman" w:hAnsi="Times New Roman" w:cs="Times New Roman"/>
                <w:noProof/>
                <w:lang w:val="sk-SK"/>
              </w:rPr>
              <w:t>Oznámenie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zadaní zákazky pre systém monitorovania GPS</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systém včasného varovania. </w:t>
            </w:r>
          </w:p>
        </w:tc>
      </w:tr>
      <w:tr w:rsidR="002D49B0" w:rsidRPr="00083739" w14:paraId="0DBF7C0E" w14:textId="77777777">
        <w:trPr>
          <w:trHeight w:val="309"/>
          <w:jc w:val="center"/>
        </w:trPr>
        <w:tc>
          <w:tcPr>
            <w:tcW w:w="1129" w:type="dxa"/>
            <w:shd w:val="clear" w:color="auto" w:fill="C6EFCE"/>
            <w:noWrap/>
          </w:tcPr>
          <w:p w14:paraId="661C0701" w14:textId="77777777" w:rsidR="002D49B0" w:rsidRPr="00083739" w:rsidRDefault="00BF4125">
            <w:pPr>
              <w:pStyle w:val="P68B1DB1-Normal9"/>
              <w:rPr>
                <w:rFonts w:ascii="Times New Roman" w:eastAsia="Times New Roman" w:hAnsi="Times New Roman" w:cs="Times New Roman"/>
                <w:noProof/>
                <w:szCs w:val="18"/>
                <w:lang w:val="sk-SK"/>
              </w:rPr>
            </w:pPr>
            <w:r w:rsidRPr="00083739">
              <w:rPr>
                <w:rFonts w:ascii="Times New Roman" w:hAnsi="Times New Roman" w:cs="Times New Roman"/>
                <w:noProof/>
                <w:lang w:val="sk-SK"/>
              </w:rPr>
              <w:t>79</w:t>
            </w:r>
          </w:p>
        </w:tc>
        <w:tc>
          <w:tcPr>
            <w:tcW w:w="1276" w:type="dxa"/>
            <w:shd w:val="clear" w:color="auto" w:fill="C6EFCE"/>
            <w:noWrap/>
          </w:tcPr>
          <w:p w14:paraId="5C45A234" w14:textId="3574C89F" w:rsidR="002D49B0" w:rsidRPr="00083739" w:rsidRDefault="00BF4125">
            <w:pPr>
              <w:pStyle w:val="P68B1DB1-Normal9"/>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4 – 1.4. Udržateľné využívanie zdrojov, </w:t>
            </w:r>
            <w:r w:rsidRPr="00083739">
              <w:rPr>
                <w:rFonts w:ascii="Times New Roman" w:hAnsi="Times New Roman" w:cs="Times New Roman"/>
                <w:noProof/>
                <w:lang w:val="sk-SK"/>
              </w:rPr>
              <w:t>odolnosť proti zmene klímy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ochrana životného prostredia – 16911_Letecké prostriedky krízového riadenia</w:t>
            </w:r>
          </w:p>
        </w:tc>
        <w:tc>
          <w:tcPr>
            <w:tcW w:w="993" w:type="dxa"/>
            <w:shd w:val="clear" w:color="auto" w:fill="C6EFCE"/>
            <w:noWrap/>
          </w:tcPr>
          <w:p w14:paraId="766C93DB" w14:textId="77777777" w:rsidR="002D49B0" w:rsidRPr="00083739" w:rsidRDefault="00BF4125">
            <w:pPr>
              <w:pStyle w:val="P68B1DB1-Normal9"/>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277" w:type="dxa"/>
            <w:shd w:val="clear" w:color="auto" w:fill="C6EFCE"/>
            <w:noWrap/>
          </w:tcPr>
          <w:p w14:paraId="3E713923" w14:textId="77777777" w:rsidR="002D49B0" w:rsidRPr="00083739" w:rsidRDefault="00BF4125">
            <w:pPr>
              <w:pStyle w:val="P68B1DB1-Normal9"/>
              <w:rPr>
                <w:rFonts w:ascii="Times New Roman" w:eastAsia="Times New Roman" w:hAnsi="Times New Roman" w:cs="Times New Roman"/>
                <w:noProof/>
                <w:szCs w:val="18"/>
                <w:lang w:val="sk-SK"/>
              </w:rPr>
            </w:pPr>
            <w:r w:rsidRPr="00083739">
              <w:rPr>
                <w:rFonts w:ascii="Times New Roman" w:hAnsi="Times New Roman" w:cs="Times New Roman"/>
                <w:noProof/>
                <w:lang w:val="sk-SK"/>
              </w:rPr>
              <w:t>Nákup dvoch stredne veľkých hasičských vrtuľníkov</w:t>
            </w:r>
          </w:p>
        </w:tc>
        <w:tc>
          <w:tcPr>
            <w:tcW w:w="1320" w:type="dxa"/>
            <w:shd w:val="clear" w:color="auto" w:fill="C6EFCE"/>
            <w:noWrap/>
          </w:tcPr>
          <w:p w14:paraId="18A9C1DE" w14:textId="236C2980" w:rsidR="002D49B0" w:rsidRPr="00083739" w:rsidRDefault="00BF4125">
            <w:pPr>
              <w:pStyle w:val="P68B1DB1-Normal9"/>
              <w:rPr>
                <w:rFonts w:ascii="Times New Roman" w:eastAsia="Times New Roman" w:hAnsi="Times New Roman" w:cs="Times New Roman"/>
                <w:noProof/>
                <w:szCs w:val="18"/>
                <w:lang w:val="sk-SK"/>
              </w:rPr>
            </w:pPr>
            <w:r w:rsidRPr="00083739">
              <w:rPr>
                <w:rFonts w:ascii="Times New Roman" w:hAnsi="Times New Roman" w:cs="Times New Roman"/>
                <w:noProof/>
                <w:lang w:val="sk-SK"/>
              </w:rPr>
              <w:t>Oznámenie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 xml:space="preserve">zadaní zákazky </w:t>
            </w:r>
          </w:p>
        </w:tc>
        <w:tc>
          <w:tcPr>
            <w:tcW w:w="1200" w:type="dxa"/>
            <w:shd w:val="clear" w:color="auto" w:fill="C6EFCE"/>
            <w:noWrap/>
          </w:tcPr>
          <w:p w14:paraId="437F266F" w14:textId="77777777" w:rsidR="002D49B0" w:rsidRPr="00083739" w:rsidRDefault="002D49B0">
            <w:pPr>
              <w:rPr>
                <w:rFonts w:ascii="Times New Roman" w:eastAsia="Times New Roman" w:hAnsi="Times New Roman" w:cs="Times New Roman"/>
                <w:noProof/>
                <w:color w:val="006100"/>
                <w:sz w:val="18"/>
                <w:szCs w:val="18"/>
                <w:lang w:val="sk-SK"/>
              </w:rPr>
            </w:pPr>
          </w:p>
        </w:tc>
        <w:tc>
          <w:tcPr>
            <w:tcW w:w="960" w:type="dxa"/>
            <w:shd w:val="clear" w:color="auto" w:fill="C6EFCE"/>
            <w:noWrap/>
          </w:tcPr>
          <w:p w14:paraId="7FF2406B" w14:textId="77777777" w:rsidR="002D49B0" w:rsidRPr="00083739" w:rsidRDefault="002D49B0">
            <w:pPr>
              <w:rPr>
                <w:rFonts w:ascii="Times New Roman" w:eastAsia="Times New Roman" w:hAnsi="Times New Roman" w:cs="Times New Roman"/>
                <w:noProof/>
                <w:color w:val="006100"/>
                <w:sz w:val="18"/>
                <w:szCs w:val="18"/>
                <w:lang w:val="sk-SK"/>
              </w:rPr>
            </w:pPr>
          </w:p>
        </w:tc>
        <w:tc>
          <w:tcPr>
            <w:tcW w:w="960" w:type="dxa"/>
            <w:shd w:val="clear" w:color="auto" w:fill="C6EFCE"/>
            <w:noWrap/>
          </w:tcPr>
          <w:p w14:paraId="0B9E4FBF" w14:textId="77777777" w:rsidR="002D49B0" w:rsidRPr="00083739" w:rsidRDefault="002D49B0">
            <w:pPr>
              <w:rPr>
                <w:rFonts w:ascii="Times New Roman" w:eastAsia="Times New Roman" w:hAnsi="Times New Roman" w:cs="Times New Roman"/>
                <w:noProof/>
                <w:color w:val="006100"/>
                <w:sz w:val="18"/>
                <w:szCs w:val="18"/>
                <w:lang w:val="sk-SK"/>
              </w:rPr>
            </w:pPr>
          </w:p>
        </w:tc>
        <w:tc>
          <w:tcPr>
            <w:tcW w:w="960" w:type="dxa"/>
            <w:shd w:val="clear" w:color="auto" w:fill="C6EFCE"/>
            <w:noWrap/>
          </w:tcPr>
          <w:p w14:paraId="53660410" w14:textId="77777777" w:rsidR="002D49B0" w:rsidRPr="00083739" w:rsidRDefault="00BF4125">
            <w:pPr>
              <w:pStyle w:val="P68B1DB1-Normal9"/>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960" w:type="dxa"/>
            <w:shd w:val="clear" w:color="auto" w:fill="C6EFCE"/>
            <w:noWrap/>
          </w:tcPr>
          <w:p w14:paraId="0BB6C410" w14:textId="77777777" w:rsidR="002D49B0" w:rsidRPr="00083739" w:rsidRDefault="00BF4125">
            <w:pPr>
              <w:pStyle w:val="P68B1DB1-Normal9"/>
              <w:rPr>
                <w:rFonts w:ascii="Times New Roman" w:eastAsia="Times New Roman" w:hAnsi="Times New Roman" w:cs="Times New Roman"/>
                <w:noProof/>
                <w:szCs w:val="18"/>
                <w:lang w:val="sk-SK"/>
              </w:rPr>
            </w:pPr>
            <w:r w:rsidRPr="00083739">
              <w:rPr>
                <w:rFonts w:ascii="Times New Roman" w:hAnsi="Times New Roman" w:cs="Times New Roman"/>
                <w:noProof/>
                <w:lang w:val="sk-SK"/>
              </w:rPr>
              <w:t>2023</w:t>
            </w:r>
          </w:p>
        </w:tc>
        <w:tc>
          <w:tcPr>
            <w:tcW w:w="4553" w:type="dxa"/>
            <w:shd w:val="clear" w:color="auto" w:fill="C6EFCE"/>
            <w:noWrap/>
          </w:tcPr>
          <w:p w14:paraId="7D8C6304" w14:textId="51444934" w:rsidR="002D49B0" w:rsidRPr="00083739" w:rsidRDefault="00BF4125">
            <w:pPr>
              <w:pStyle w:val="P68B1DB1-Normal9"/>
              <w:rPr>
                <w:rFonts w:ascii="Times New Roman" w:eastAsia="Times New Roman" w:hAnsi="Times New Roman" w:cs="Times New Roman"/>
                <w:noProof/>
                <w:szCs w:val="18"/>
                <w:lang w:val="sk-SK"/>
              </w:rPr>
            </w:pPr>
            <w:r w:rsidRPr="00083739">
              <w:rPr>
                <w:rFonts w:ascii="Times New Roman" w:hAnsi="Times New Roman" w:cs="Times New Roman"/>
                <w:noProof/>
                <w:lang w:val="sk-SK"/>
              </w:rPr>
              <w:t>Oznámenie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 xml:space="preserve">zadaní zákazky na nákup dvoch </w:t>
            </w:r>
            <w:r w:rsidRPr="00083739">
              <w:rPr>
                <w:rFonts w:ascii="Times New Roman" w:hAnsi="Times New Roman" w:cs="Times New Roman"/>
                <w:noProof/>
                <w:lang w:val="sk-SK"/>
              </w:rPr>
              <w:t>stredne veľkých hasičských helikoptér na potreby civilnej ochrany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hasenia požiarov.</w:t>
            </w:r>
          </w:p>
        </w:tc>
      </w:tr>
      <w:tr w:rsidR="002D49B0" w:rsidRPr="00083739" w14:paraId="7EA846FA" w14:textId="77777777">
        <w:trPr>
          <w:trHeight w:val="309"/>
          <w:jc w:val="center"/>
        </w:trPr>
        <w:tc>
          <w:tcPr>
            <w:tcW w:w="1129" w:type="dxa"/>
            <w:shd w:val="clear" w:color="auto" w:fill="C6EFCE"/>
            <w:noWrap/>
          </w:tcPr>
          <w:p w14:paraId="20933168" w14:textId="77777777" w:rsidR="002D49B0" w:rsidRPr="00083739" w:rsidRDefault="00BF4125">
            <w:pPr>
              <w:pStyle w:val="P68B1DB1-Normal9"/>
              <w:rPr>
                <w:rFonts w:ascii="Times New Roman" w:eastAsia="Times New Roman" w:hAnsi="Times New Roman" w:cs="Times New Roman"/>
                <w:noProof/>
                <w:szCs w:val="18"/>
                <w:lang w:val="sk-SK"/>
              </w:rPr>
            </w:pPr>
            <w:r w:rsidRPr="00083739">
              <w:rPr>
                <w:rFonts w:ascii="Times New Roman" w:hAnsi="Times New Roman" w:cs="Times New Roman"/>
                <w:noProof/>
                <w:lang w:val="sk-SK"/>
              </w:rPr>
              <w:t>81</w:t>
            </w:r>
          </w:p>
        </w:tc>
        <w:tc>
          <w:tcPr>
            <w:tcW w:w="1276" w:type="dxa"/>
            <w:shd w:val="clear" w:color="auto" w:fill="C6EFCE"/>
            <w:noWrap/>
          </w:tcPr>
          <w:p w14:paraId="3B1E37C1" w14:textId="324BF38E" w:rsidR="002D49B0" w:rsidRPr="00083739" w:rsidRDefault="00BF4125">
            <w:pPr>
              <w:pStyle w:val="P68B1DB1-Normal9"/>
              <w:rPr>
                <w:rFonts w:ascii="Times New Roman" w:hAnsi="Times New Roman" w:cs="Times New Roman"/>
                <w:noProof/>
                <w:lang w:val="sk-SK"/>
              </w:rPr>
            </w:pPr>
            <w:r w:rsidRPr="00083739">
              <w:rPr>
                <w:rFonts w:ascii="Times New Roman" w:hAnsi="Times New Roman" w:cs="Times New Roman"/>
                <w:noProof/>
                <w:lang w:val="sk-SK"/>
              </w:rPr>
              <w:t>4 – 1.4. Udržateľné využívanie zdrojov, odolnosť proti zmene klímy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ochrana životného prostredia – 16910</w:t>
            </w:r>
          </w:p>
          <w:p w14:paraId="49DB28FD" w14:textId="61641272" w:rsidR="002D49B0" w:rsidRPr="00083739" w:rsidRDefault="00BF4125">
            <w:pPr>
              <w:pStyle w:val="P68B1DB1-Normal9"/>
              <w:rPr>
                <w:rFonts w:ascii="Times New Roman" w:eastAsia="Times New Roman" w:hAnsi="Times New Roman" w:cs="Times New Roman"/>
                <w:noProof/>
                <w:szCs w:val="18"/>
                <w:highlight w:val="magenta"/>
                <w:lang w:val="sk-SK"/>
              </w:rPr>
            </w:pPr>
            <w:r w:rsidRPr="00083739">
              <w:rPr>
                <w:rFonts w:ascii="Times New Roman" w:hAnsi="Times New Roman" w:cs="Times New Roman"/>
                <w:noProof/>
                <w:lang w:val="sk-SK"/>
              </w:rPr>
              <w:t>_systém monitorovania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riadenia</w:t>
            </w:r>
          </w:p>
        </w:tc>
        <w:tc>
          <w:tcPr>
            <w:tcW w:w="993" w:type="dxa"/>
            <w:shd w:val="clear" w:color="auto" w:fill="C6EFCE"/>
            <w:noWrap/>
          </w:tcPr>
          <w:p w14:paraId="77C05350" w14:textId="77777777" w:rsidR="002D49B0" w:rsidRPr="00083739" w:rsidRDefault="00BF4125">
            <w:pPr>
              <w:pStyle w:val="P68B1DB1-Normal9"/>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277" w:type="dxa"/>
            <w:shd w:val="clear" w:color="auto" w:fill="C6EFCE"/>
            <w:noWrap/>
          </w:tcPr>
          <w:p w14:paraId="2849295D" w14:textId="2E7D3694" w:rsidR="002D49B0" w:rsidRPr="00083739" w:rsidRDefault="00BF4125">
            <w:pPr>
              <w:pStyle w:val="P68B1DB1-Normal9"/>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Dokončenie </w:t>
            </w:r>
            <w:r w:rsidRPr="00083739">
              <w:rPr>
                <w:rFonts w:ascii="Times New Roman" w:hAnsi="Times New Roman" w:cs="Times New Roman"/>
                <w:noProof/>
                <w:lang w:val="sk-SK"/>
              </w:rPr>
              <w:t>monitorovacieho</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riadiaceho systému civilnej ochrany</w:t>
            </w:r>
          </w:p>
        </w:tc>
        <w:tc>
          <w:tcPr>
            <w:tcW w:w="1320" w:type="dxa"/>
            <w:shd w:val="clear" w:color="auto" w:fill="C6EFCE"/>
            <w:noWrap/>
          </w:tcPr>
          <w:p w14:paraId="19C48DA9" w14:textId="62CA975C" w:rsidR="002D49B0" w:rsidRPr="00083739" w:rsidRDefault="00BF4125">
            <w:pPr>
              <w:pStyle w:val="P68B1DB1-Normal9"/>
              <w:rPr>
                <w:rFonts w:ascii="Times New Roman" w:eastAsia="Times New Roman" w:hAnsi="Times New Roman" w:cs="Times New Roman"/>
                <w:noProof/>
                <w:szCs w:val="18"/>
                <w:lang w:val="sk-SK"/>
              </w:rPr>
            </w:pPr>
            <w:r w:rsidRPr="00083739">
              <w:rPr>
                <w:rFonts w:ascii="Times New Roman" w:hAnsi="Times New Roman" w:cs="Times New Roman"/>
                <w:noProof/>
                <w:lang w:val="sk-SK"/>
              </w:rPr>
              <w:t>Ukončenie osvedčené správou ministerstva klimatickej krízy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civilnej ochrany</w:t>
            </w:r>
          </w:p>
        </w:tc>
        <w:tc>
          <w:tcPr>
            <w:tcW w:w="1200" w:type="dxa"/>
            <w:shd w:val="clear" w:color="auto" w:fill="C6EFCE"/>
            <w:noWrap/>
          </w:tcPr>
          <w:p w14:paraId="247B3AB4" w14:textId="77777777" w:rsidR="002D49B0" w:rsidRPr="00083739" w:rsidRDefault="002D49B0">
            <w:pPr>
              <w:rPr>
                <w:rFonts w:ascii="Times New Roman" w:eastAsia="Times New Roman" w:hAnsi="Times New Roman" w:cs="Times New Roman"/>
                <w:noProof/>
                <w:color w:val="006100"/>
                <w:sz w:val="18"/>
                <w:szCs w:val="18"/>
                <w:lang w:val="sk-SK"/>
              </w:rPr>
            </w:pPr>
          </w:p>
        </w:tc>
        <w:tc>
          <w:tcPr>
            <w:tcW w:w="960" w:type="dxa"/>
            <w:shd w:val="clear" w:color="auto" w:fill="C6EFCE"/>
            <w:noWrap/>
          </w:tcPr>
          <w:p w14:paraId="2687C89C" w14:textId="77777777" w:rsidR="002D49B0" w:rsidRPr="00083739" w:rsidRDefault="002D49B0">
            <w:pPr>
              <w:rPr>
                <w:rFonts w:ascii="Times New Roman" w:eastAsia="Times New Roman" w:hAnsi="Times New Roman" w:cs="Times New Roman"/>
                <w:noProof/>
                <w:color w:val="006100"/>
                <w:sz w:val="18"/>
                <w:szCs w:val="18"/>
                <w:lang w:val="sk-SK"/>
              </w:rPr>
            </w:pPr>
          </w:p>
        </w:tc>
        <w:tc>
          <w:tcPr>
            <w:tcW w:w="960" w:type="dxa"/>
            <w:shd w:val="clear" w:color="auto" w:fill="C6EFCE"/>
            <w:noWrap/>
          </w:tcPr>
          <w:p w14:paraId="4227CB82" w14:textId="77777777" w:rsidR="002D49B0" w:rsidRPr="00083739" w:rsidRDefault="002D49B0">
            <w:pPr>
              <w:rPr>
                <w:rFonts w:ascii="Times New Roman" w:eastAsia="Times New Roman" w:hAnsi="Times New Roman" w:cs="Times New Roman"/>
                <w:noProof/>
                <w:color w:val="006100"/>
                <w:sz w:val="18"/>
                <w:szCs w:val="18"/>
                <w:lang w:val="sk-SK"/>
              </w:rPr>
            </w:pPr>
          </w:p>
        </w:tc>
        <w:tc>
          <w:tcPr>
            <w:tcW w:w="960" w:type="dxa"/>
            <w:shd w:val="clear" w:color="auto" w:fill="C6EFCE"/>
            <w:noWrap/>
          </w:tcPr>
          <w:p w14:paraId="0BB714F8" w14:textId="77777777" w:rsidR="002D49B0" w:rsidRPr="00083739" w:rsidRDefault="00BF4125">
            <w:pPr>
              <w:pStyle w:val="P68B1DB1-Normal9"/>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960" w:type="dxa"/>
            <w:shd w:val="clear" w:color="auto" w:fill="C6EFCE"/>
            <w:noWrap/>
          </w:tcPr>
          <w:p w14:paraId="09AC204D" w14:textId="77777777" w:rsidR="002D49B0" w:rsidRPr="00083739" w:rsidRDefault="00BF4125">
            <w:pPr>
              <w:pStyle w:val="P68B1DB1-Normal9"/>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4553" w:type="dxa"/>
            <w:shd w:val="clear" w:color="auto" w:fill="C6EFCE"/>
            <w:noWrap/>
          </w:tcPr>
          <w:p w14:paraId="2B5FD1E9" w14:textId="77777777" w:rsidR="002D49B0" w:rsidRPr="00083739" w:rsidRDefault="00BF4125">
            <w:pPr>
              <w:pStyle w:val="P68B1DB1-Normal9"/>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týchto opatrení:</w:t>
            </w:r>
          </w:p>
          <w:p w14:paraId="1604AA5E" w14:textId="77777777" w:rsidR="002D49B0" w:rsidRPr="00083739" w:rsidRDefault="00BF4125">
            <w:pPr>
              <w:pStyle w:val="P68B1DB1-Normal9"/>
              <w:numPr>
                <w:ilvl w:val="0"/>
                <w:numId w:val="48"/>
              </w:numPr>
              <w:spacing w:before="120" w:line="259" w:lineRule="auto"/>
              <w:contextualSpacing/>
              <w:jc w:val="both"/>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Monitorovací systém GPS, ktorý používa grécka hasičská služba, ako aj </w:t>
            </w:r>
            <w:r w:rsidRPr="00083739">
              <w:rPr>
                <w:rFonts w:ascii="Times New Roman" w:hAnsi="Times New Roman" w:cs="Times New Roman"/>
                <w:noProof/>
                <w:lang w:val="sk-SK"/>
              </w:rPr>
              <w:t>vozidlá regionálneho operačného strediska civilnej ochrany (projektové stroje atď.). Rozšírenie informačného systému „zapojenia“ gréckej hasičskej služby;</w:t>
            </w:r>
          </w:p>
          <w:p w14:paraId="4C08A001" w14:textId="77777777" w:rsidR="002D49B0" w:rsidRPr="00083739" w:rsidRDefault="00BF4125">
            <w:pPr>
              <w:pStyle w:val="P68B1DB1-Normal9"/>
              <w:numPr>
                <w:ilvl w:val="0"/>
                <w:numId w:val="48"/>
              </w:numPr>
              <w:spacing w:before="120" w:line="259" w:lineRule="auto"/>
              <w:contextualSpacing/>
              <w:jc w:val="both"/>
              <w:rPr>
                <w:rFonts w:ascii="Times New Roman" w:eastAsia="Times New Roman" w:hAnsi="Times New Roman" w:cs="Times New Roman"/>
                <w:noProof/>
                <w:szCs w:val="18"/>
                <w:lang w:val="sk-SK"/>
              </w:rPr>
            </w:pPr>
            <w:r w:rsidRPr="00083739">
              <w:rPr>
                <w:rFonts w:ascii="Times New Roman" w:hAnsi="Times New Roman" w:cs="Times New Roman"/>
                <w:noProof/>
                <w:lang w:val="sk-SK"/>
              </w:rPr>
              <w:t>Systém včasného varovania;</w:t>
            </w:r>
          </w:p>
          <w:p w14:paraId="01EF27A0" w14:textId="38B1A644" w:rsidR="002D49B0" w:rsidRPr="00083739" w:rsidRDefault="00BF4125">
            <w:pPr>
              <w:pStyle w:val="P68B1DB1-Normal9"/>
              <w:numPr>
                <w:ilvl w:val="0"/>
                <w:numId w:val="48"/>
              </w:numPr>
              <w:spacing w:before="120" w:line="259" w:lineRule="auto"/>
              <w:contextualSpacing/>
              <w:jc w:val="both"/>
              <w:rPr>
                <w:rFonts w:ascii="Times New Roman" w:eastAsia="Times New Roman" w:hAnsi="Times New Roman" w:cs="Times New Roman"/>
                <w:noProof/>
                <w:szCs w:val="18"/>
                <w:lang w:val="sk-SK"/>
              </w:rPr>
            </w:pPr>
            <w:r w:rsidRPr="00083739">
              <w:rPr>
                <w:rFonts w:ascii="Times New Roman" w:hAnsi="Times New Roman" w:cs="Times New Roman"/>
                <w:noProof/>
                <w:lang w:val="sk-SK"/>
              </w:rPr>
              <w:t>Systémy hlásenia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hasenia požiaru;</w:t>
            </w:r>
          </w:p>
          <w:p w14:paraId="15622CE2" w14:textId="5F56C896" w:rsidR="002D49B0" w:rsidRPr="00083739" w:rsidRDefault="00BF4125">
            <w:pPr>
              <w:pStyle w:val="P68B1DB1-Normal9"/>
              <w:numPr>
                <w:ilvl w:val="0"/>
                <w:numId w:val="48"/>
              </w:numPr>
              <w:spacing w:before="120" w:line="259" w:lineRule="auto"/>
              <w:contextualSpacing/>
              <w:jc w:val="both"/>
              <w:rPr>
                <w:rFonts w:ascii="Times New Roman" w:eastAsia="Times New Roman" w:hAnsi="Times New Roman" w:cs="Times New Roman"/>
                <w:noProof/>
                <w:szCs w:val="18"/>
                <w:lang w:val="sk-SK"/>
              </w:rPr>
            </w:pPr>
            <w:r w:rsidRPr="00083739">
              <w:rPr>
                <w:rFonts w:ascii="Times New Roman" w:hAnsi="Times New Roman" w:cs="Times New Roman"/>
                <w:noProof/>
                <w:lang w:val="sk-SK"/>
              </w:rPr>
              <w:t>Núdzové komunikačné stanice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poskytov</w:t>
            </w:r>
            <w:r w:rsidRPr="00083739">
              <w:rPr>
                <w:rFonts w:ascii="Times New Roman" w:hAnsi="Times New Roman" w:cs="Times New Roman"/>
                <w:noProof/>
                <w:lang w:val="sk-SK"/>
              </w:rPr>
              <w:t>anie klimatických údajov</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oblastiach záujmu.</w:t>
            </w:r>
          </w:p>
          <w:p w14:paraId="726097B1" w14:textId="77777777" w:rsidR="002D49B0" w:rsidRPr="00083739" w:rsidRDefault="002D49B0">
            <w:pPr>
              <w:rPr>
                <w:rFonts w:ascii="Times New Roman" w:eastAsia="Times New Roman" w:hAnsi="Times New Roman" w:cs="Times New Roman"/>
                <w:noProof/>
                <w:color w:val="006100"/>
                <w:sz w:val="18"/>
                <w:szCs w:val="18"/>
                <w:lang w:val="sk-SK"/>
              </w:rPr>
            </w:pPr>
          </w:p>
        </w:tc>
      </w:tr>
      <w:tr w:rsidR="002D49B0" w:rsidRPr="00083739" w14:paraId="1BD751C1" w14:textId="77777777">
        <w:trPr>
          <w:trHeight w:val="309"/>
          <w:jc w:val="center"/>
        </w:trPr>
        <w:tc>
          <w:tcPr>
            <w:tcW w:w="1129" w:type="dxa"/>
            <w:shd w:val="clear" w:color="auto" w:fill="C6EFCE"/>
            <w:noWrap/>
          </w:tcPr>
          <w:p w14:paraId="18B7D165" w14:textId="77777777" w:rsidR="002D49B0" w:rsidRPr="00083739" w:rsidRDefault="00BF4125">
            <w:pPr>
              <w:pStyle w:val="P68B1DB1-Normal9"/>
              <w:rPr>
                <w:rFonts w:ascii="Times New Roman" w:eastAsia="Times New Roman" w:hAnsi="Times New Roman" w:cs="Times New Roman"/>
                <w:noProof/>
                <w:szCs w:val="18"/>
                <w:lang w:val="sk-SK"/>
              </w:rPr>
            </w:pPr>
            <w:r w:rsidRPr="00083739">
              <w:rPr>
                <w:rFonts w:ascii="Times New Roman" w:hAnsi="Times New Roman" w:cs="Times New Roman"/>
                <w:noProof/>
                <w:lang w:val="sk-SK"/>
              </w:rPr>
              <w:t>82</w:t>
            </w:r>
          </w:p>
        </w:tc>
        <w:tc>
          <w:tcPr>
            <w:tcW w:w="1276" w:type="dxa"/>
            <w:shd w:val="clear" w:color="auto" w:fill="C6EFCE"/>
            <w:noWrap/>
          </w:tcPr>
          <w:p w14:paraId="5EE8CACF" w14:textId="5B79CBCE" w:rsidR="002D49B0" w:rsidRPr="00083739" w:rsidRDefault="00BF4125">
            <w:pPr>
              <w:pStyle w:val="P68B1DB1-Normal9"/>
              <w:rPr>
                <w:rFonts w:ascii="Times New Roman" w:eastAsia="Times New Roman" w:hAnsi="Times New Roman" w:cs="Times New Roman"/>
                <w:noProof/>
                <w:szCs w:val="18"/>
                <w:lang w:val="sk-SK"/>
              </w:rPr>
            </w:pPr>
            <w:r w:rsidRPr="00083739">
              <w:rPr>
                <w:rFonts w:ascii="Times New Roman" w:hAnsi="Times New Roman" w:cs="Times New Roman"/>
                <w:noProof/>
                <w:lang w:val="sk-SK"/>
              </w:rPr>
              <w:t>4 – 1.4. Udržateľné využívanie zdrojov, odolnosť proti zmene klímy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ochrana životného prostredia – 16911_Letecké prostriedky krízového riadenia</w:t>
            </w:r>
          </w:p>
        </w:tc>
        <w:tc>
          <w:tcPr>
            <w:tcW w:w="993" w:type="dxa"/>
            <w:shd w:val="clear" w:color="auto" w:fill="C6EFCE"/>
            <w:noWrap/>
          </w:tcPr>
          <w:p w14:paraId="23B94D1B" w14:textId="77777777" w:rsidR="002D49B0" w:rsidRPr="00083739" w:rsidRDefault="00BF4125">
            <w:pPr>
              <w:pStyle w:val="P68B1DB1-Normal9"/>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277" w:type="dxa"/>
            <w:shd w:val="clear" w:color="auto" w:fill="C6EFCE"/>
            <w:noWrap/>
          </w:tcPr>
          <w:p w14:paraId="16CFB97C" w14:textId="77777777" w:rsidR="002D49B0" w:rsidRPr="00083739" w:rsidRDefault="00BF4125">
            <w:pPr>
              <w:pStyle w:val="P68B1DB1-Normal9"/>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Dokončenie projektu leteckých prostriedkov krízového </w:t>
            </w:r>
            <w:r w:rsidRPr="00083739">
              <w:rPr>
                <w:rFonts w:ascii="Times New Roman" w:hAnsi="Times New Roman" w:cs="Times New Roman"/>
                <w:noProof/>
                <w:lang w:val="sk-SK"/>
              </w:rPr>
              <w:t>riadenia</w:t>
            </w:r>
          </w:p>
        </w:tc>
        <w:tc>
          <w:tcPr>
            <w:tcW w:w="1320" w:type="dxa"/>
            <w:shd w:val="clear" w:color="auto" w:fill="C6EFCE"/>
            <w:noWrap/>
          </w:tcPr>
          <w:p w14:paraId="3A0B981F" w14:textId="2E1C4861" w:rsidR="002D49B0" w:rsidRPr="00083739" w:rsidRDefault="00BF4125">
            <w:pPr>
              <w:rPr>
                <w:rFonts w:ascii="Times New Roman" w:eastAsia="Times New Roman" w:hAnsi="Times New Roman" w:cs="Times New Roman"/>
                <w:noProof/>
                <w:color w:val="006100"/>
                <w:sz w:val="18"/>
                <w:szCs w:val="18"/>
                <w:lang w:val="sk-SK"/>
              </w:rPr>
            </w:pPr>
            <w:r w:rsidRPr="00083739">
              <w:rPr>
                <w:rFonts w:ascii="Times New Roman" w:hAnsi="Times New Roman" w:cs="Times New Roman"/>
                <w:noProof/>
                <w:color w:val="006100"/>
                <w:sz w:val="18"/>
                <w:lang w:val="sk-SK"/>
              </w:rPr>
              <w:t xml:space="preserve">Ukončenie osvedčené správou ministerstva klimatickej </w:t>
            </w:r>
            <w:r w:rsidRPr="00083739">
              <w:rPr>
                <w:rFonts w:ascii="Times New Roman" w:hAnsi="Times New Roman" w:cs="Times New Roman"/>
                <w:noProof/>
                <w:lang w:val="sk-SK"/>
              </w:rPr>
              <w:t xml:space="preserve"> </w:t>
            </w:r>
            <w:r w:rsidRPr="00083739">
              <w:rPr>
                <w:rFonts w:ascii="Times New Roman" w:hAnsi="Times New Roman" w:cs="Times New Roman"/>
                <w:noProof/>
                <w:color w:val="006100"/>
                <w:sz w:val="18"/>
                <w:lang w:val="sk-SK"/>
              </w:rPr>
              <w:t>krízy</w:t>
            </w:r>
            <w:r w:rsidR="00083739" w:rsidRPr="00083739">
              <w:rPr>
                <w:rFonts w:ascii="Times New Roman" w:hAnsi="Times New Roman" w:cs="Times New Roman"/>
                <w:noProof/>
                <w:color w:val="006100"/>
                <w:sz w:val="18"/>
                <w:lang w:val="sk-SK"/>
              </w:rPr>
              <w:t xml:space="preserve"> a </w:t>
            </w:r>
            <w:r w:rsidRPr="00083739">
              <w:rPr>
                <w:rFonts w:ascii="Times New Roman" w:hAnsi="Times New Roman" w:cs="Times New Roman"/>
                <w:noProof/>
                <w:color w:val="006100"/>
                <w:sz w:val="18"/>
                <w:lang w:val="sk-SK"/>
              </w:rPr>
              <w:t>civilnej ochrany</w:t>
            </w:r>
          </w:p>
        </w:tc>
        <w:tc>
          <w:tcPr>
            <w:tcW w:w="1200" w:type="dxa"/>
            <w:shd w:val="clear" w:color="auto" w:fill="C6EFCE"/>
            <w:noWrap/>
          </w:tcPr>
          <w:p w14:paraId="69D7C170" w14:textId="77777777" w:rsidR="002D49B0" w:rsidRPr="00083739" w:rsidRDefault="002D49B0">
            <w:pPr>
              <w:rPr>
                <w:rFonts w:ascii="Times New Roman" w:eastAsia="Times New Roman" w:hAnsi="Times New Roman" w:cs="Times New Roman"/>
                <w:noProof/>
                <w:color w:val="006100"/>
                <w:sz w:val="18"/>
                <w:szCs w:val="18"/>
                <w:lang w:val="sk-SK"/>
              </w:rPr>
            </w:pPr>
          </w:p>
        </w:tc>
        <w:tc>
          <w:tcPr>
            <w:tcW w:w="960" w:type="dxa"/>
            <w:shd w:val="clear" w:color="auto" w:fill="C6EFCE"/>
            <w:noWrap/>
          </w:tcPr>
          <w:p w14:paraId="1524E046" w14:textId="77777777" w:rsidR="002D49B0" w:rsidRPr="00083739" w:rsidRDefault="002D49B0">
            <w:pPr>
              <w:rPr>
                <w:rFonts w:ascii="Times New Roman" w:eastAsia="Times New Roman" w:hAnsi="Times New Roman" w:cs="Times New Roman"/>
                <w:noProof/>
                <w:color w:val="006100"/>
                <w:sz w:val="18"/>
                <w:szCs w:val="18"/>
                <w:lang w:val="sk-SK"/>
              </w:rPr>
            </w:pPr>
          </w:p>
        </w:tc>
        <w:tc>
          <w:tcPr>
            <w:tcW w:w="960" w:type="dxa"/>
            <w:shd w:val="clear" w:color="auto" w:fill="C6EFCE"/>
            <w:noWrap/>
          </w:tcPr>
          <w:p w14:paraId="42BC9733" w14:textId="77777777" w:rsidR="002D49B0" w:rsidRPr="00083739" w:rsidRDefault="002D49B0">
            <w:pPr>
              <w:rPr>
                <w:rFonts w:ascii="Times New Roman" w:eastAsia="Times New Roman" w:hAnsi="Times New Roman" w:cs="Times New Roman"/>
                <w:noProof/>
                <w:color w:val="006100"/>
                <w:sz w:val="18"/>
                <w:szCs w:val="18"/>
                <w:lang w:val="sk-SK"/>
              </w:rPr>
            </w:pPr>
          </w:p>
        </w:tc>
        <w:tc>
          <w:tcPr>
            <w:tcW w:w="960" w:type="dxa"/>
            <w:shd w:val="clear" w:color="auto" w:fill="C6EFCE"/>
            <w:noWrap/>
          </w:tcPr>
          <w:p w14:paraId="58015B17" w14:textId="77777777" w:rsidR="002D49B0" w:rsidRPr="00083739" w:rsidRDefault="00BF4125">
            <w:pPr>
              <w:pStyle w:val="P68B1DB1-Normal9"/>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960" w:type="dxa"/>
            <w:shd w:val="clear" w:color="auto" w:fill="C6EFCE"/>
            <w:noWrap/>
          </w:tcPr>
          <w:p w14:paraId="471059D8" w14:textId="77777777" w:rsidR="002D49B0" w:rsidRPr="00083739" w:rsidRDefault="00BF4125">
            <w:pPr>
              <w:pStyle w:val="P68B1DB1-Normal9"/>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4553" w:type="dxa"/>
            <w:shd w:val="clear" w:color="auto" w:fill="C6EFCE"/>
            <w:noWrap/>
          </w:tcPr>
          <w:p w14:paraId="5953A12A" w14:textId="77777777" w:rsidR="002D49B0" w:rsidRPr="00083739" w:rsidRDefault="00BF4125">
            <w:pPr>
              <w:pStyle w:val="P68B1DB1-Normal9"/>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týchto opatrení:</w:t>
            </w:r>
          </w:p>
          <w:p w14:paraId="785A9F19" w14:textId="77777777" w:rsidR="002D49B0" w:rsidRPr="00083739" w:rsidRDefault="00BF4125">
            <w:pPr>
              <w:pStyle w:val="P68B1DB1-Normal9"/>
              <w:numPr>
                <w:ilvl w:val="0"/>
                <w:numId w:val="49"/>
              </w:numPr>
              <w:spacing w:before="120" w:line="259" w:lineRule="auto"/>
              <w:contextualSpacing/>
              <w:jc w:val="both"/>
              <w:rPr>
                <w:rFonts w:ascii="Times New Roman" w:eastAsia="Times New Roman" w:hAnsi="Times New Roman" w:cs="Times New Roman"/>
                <w:noProof/>
                <w:szCs w:val="18"/>
                <w:lang w:val="sk-SK"/>
              </w:rPr>
            </w:pPr>
            <w:r w:rsidRPr="00083739">
              <w:rPr>
                <w:rFonts w:ascii="Times New Roman" w:hAnsi="Times New Roman" w:cs="Times New Roman"/>
                <w:noProof/>
                <w:lang w:val="sk-SK"/>
              </w:rPr>
              <w:t>Dodanie 2 stredne veľkých úžitkových vrtuľníkov na lekárske použitie;</w:t>
            </w:r>
          </w:p>
          <w:p w14:paraId="47966FED" w14:textId="77777777" w:rsidR="002D49B0" w:rsidRPr="00083739" w:rsidRDefault="00BF4125">
            <w:pPr>
              <w:pStyle w:val="P68B1DB1-Normal9"/>
              <w:numPr>
                <w:ilvl w:val="0"/>
                <w:numId w:val="49"/>
              </w:numPr>
              <w:spacing w:before="120" w:line="259" w:lineRule="auto"/>
              <w:contextualSpacing/>
              <w:jc w:val="both"/>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Dodanie bezpilotných vzdušných prostriedkov – </w:t>
            </w:r>
            <w:r w:rsidRPr="00083739">
              <w:rPr>
                <w:rFonts w:ascii="Times New Roman" w:hAnsi="Times New Roman" w:cs="Times New Roman"/>
                <w:noProof/>
                <w:lang w:val="sk-SK"/>
              </w:rPr>
              <w:t>bezpilotných vzdušných prostriedkov (Drones) na účely leteckého dozoru;</w:t>
            </w:r>
          </w:p>
          <w:p w14:paraId="414A25B8" w14:textId="77777777" w:rsidR="002D49B0" w:rsidRPr="00083739" w:rsidRDefault="00BF4125">
            <w:pPr>
              <w:pStyle w:val="P68B1DB1-Normal9"/>
              <w:numPr>
                <w:ilvl w:val="0"/>
                <w:numId w:val="49"/>
              </w:numPr>
              <w:spacing w:before="120" w:line="259" w:lineRule="auto"/>
              <w:contextualSpacing/>
              <w:jc w:val="both"/>
              <w:rPr>
                <w:rFonts w:ascii="Times New Roman" w:eastAsia="Times New Roman" w:hAnsi="Times New Roman" w:cs="Times New Roman"/>
                <w:noProof/>
                <w:szCs w:val="18"/>
                <w:lang w:val="sk-SK"/>
              </w:rPr>
            </w:pPr>
            <w:r w:rsidRPr="00083739">
              <w:rPr>
                <w:rFonts w:ascii="Times New Roman" w:hAnsi="Times New Roman" w:cs="Times New Roman"/>
                <w:noProof/>
                <w:lang w:val="sk-SK"/>
              </w:rPr>
              <w:t>Dodanie 2 stredne veľkých hasičských vrtuľníkov;</w:t>
            </w:r>
          </w:p>
          <w:p w14:paraId="5495E147" w14:textId="77777777" w:rsidR="002D49B0" w:rsidRPr="00083739" w:rsidRDefault="00BF4125">
            <w:pPr>
              <w:pStyle w:val="P68B1DB1-Normal9"/>
              <w:numPr>
                <w:ilvl w:val="0"/>
                <w:numId w:val="49"/>
              </w:numPr>
              <w:spacing w:before="120" w:line="259" w:lineRule="auto"/>
              <w:contextualSpacing/>
              <w:jc w:val="both"/>
              <w:rPr>
                <w:rFonts w:ascii="Times New Roman" w:eastAsia="Times New Roman" w:hAnsi="Times New Roman" w:cs="Times New Roman"/>
                <w:noProof/>
                <w:szCs w:val="18"/>
                <w:lang w:val="sk-SK"/>
              </w:rPr>
            </w:pPr>
            <w:r w:rsidRPr="00083739">
              <w:rPr>
                <w:rFonts w:ascii="Times New Roman" w:hAnsi="Times New Roman" w:cs="Times New Roman"/>
                <w:noProof/>
                <w:lang w:val="sk-SK"/>
              </w:rPr>
              <w:t>Dodanie 1 vrtuľníka na prepravu tímu GSRP pre riadenie incidentov;</w:t>
            </w:r>
          </w:p>
          <w:p w14:paraId="14F04E0B" w14:textId="4D48C708" w:rsidR="002D49B0" w:rsidRPr="00083739" w:rsidRDefault="00BF4125">
            <w:pPr>
              <w:pStyle w:val="P68B1DB1-Normal9"/>
              <w:numPr>
                <w:ilvl w:val="0"/>
                <w:numId w:val="49"/>
              </w:numPr>
              <w:spacing w:before="120" w:line="259" w:lineRule="auto"/>
              <w:contextualSpacing/>
              <w:jc w:val="both"/>
              <w:rPr>
                <w:rFonts w:ascii="Times New Roman" w:eastAsia="Times New Roman" w:hAnsi="Times New Roman" w:cs="Times New Roman"/>
                <w:noProof/>
                <w:szCs w:val="18"/>
                <w:lang w:val="sk-SK"/>
              </w:rPr>
            </w:pPr>
            <w:r w:rsidRPr="00083739">
              <w:rPr>
                <w:rFonts w:ascii="Times New Roman" w:hAnsi="Times New Roman" w:cs="Times New Roman"/>
                <w:noProof/>
                <w:lang w:val="sk-SK"/>
              </w:rPr>
              <w:t>Dodanie 8 obojživelných hasičských lietadiel</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jedným motorom pre os</w:t>
            </w:r>
            <w:r w:rsidRPr="00083739">
              <w:rPr>
                <w:rFonts w:ascii="Times New Roman" w:hAnsi="Times New Roman" w:cs="Times New Roman"/>
                <w:noProof/>
                <w:lang w:val="sk-SK"/>
              </w:rPr>
              <w:t>trovné komplexy;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zároveň</w:t>
            </w:r>
          </w:p>
          <w:p w14:paraId="61EEA907" w14:textId="77777777" w:rsidR="002D49B0" w:rsidRPr="00083739" w:rsidRDefault="00BF4125">
            <w:pPr>
              <w:pStyle w:val="P68B1DB1-Normal9"/>
              <w:numPr>
                <w:ilvl w:val="0"/>
                <w:numId w:val="49"/>
              </w:numPr>
              <w:spacing w:before="120" w:line="259" w:lineRule="auto"/>
              <w:contextualSpacing/>
              <w:jc w:val="both"/>
              <w:rPr>
                <w:rFonts w:ascii="Times New Roman" w:eastAsia="Times New Roman" w:hAnsi="Times New Roman" w:cs="Times New Roman"/>
                <w:noProof/>
                <w:szCs w:val="18"/>
                <w:lang w:val="sk-SK"/>
              </w:rPr>
            </w:pPr>
            <w:r w:rsidRPr="00083739">
              <w:rPr>
                <w:rFonts w:ascii="Times New Roman" w:hAnsi="Times New Roman" w:cs="Times New Roman"/>
                <w:noProof/>
                <w:lang w:val="sk-SK"/>
              </w:rPr>
              <w:t>Modernizácia – modernizácia dvoch (2) Super Pumas.</w:t>
            </w:r>
          </w:p>
        </w:tc>
      </w:tr>
      <w:tr w:rsidR="002D49B0" w:rsidRPr="00083739" w14:paraId="65A141A2" w14:textId="77777777">
        <w:trPr>
          <w:trHeight w:val="309"/>
          <w:jc w:val="center"/>
        </w:trPr>
        <w:tc>
          <w:tcPr>
            <w:tcW w:w="1129" w:type="dxa"/>
            <w:shd w:val="clear" w:color="auto" w:fill="C6EFCE"/>
            <w:noWrap/>
          </w:tcPr>
          <w:p w14:paraId="2E681548" w14:textId="77777777" w:rsidR="002D49B0" w:rsidRPr="00083739" w:rsidRDefault="00BF4125">
            <w:pPr>
              <w:pStyle w:val="P68B1DB1-Normal9"/>
              <w:rPr>
                <w:rFonts w:ascii="Times New Roman" w:eastAsia="Times New Roman" w:hAnsi="Times New Roman" w:cs="Times New Roman"/>
                <w:noProof/>
                <w:szCs w:val="18"/>
                <w:lang w:val="sk-SK"/>
              </w:rPr>
            </w:pPr>
            <w:r w:rsidRPr="00083739">
              <w:rPr>
                <w:rFonts w:ascii="Times New Roman" w:hAnsi="Times New Roman" w:cs="Times New Roman"/>
                <w:noProof/>
                <w:lang w:val="sk-SK"/>
              </w:rPr>
              <w:t>83</w:t>
            </w:r>
          </w:p>
        </w:tc>
        <w:tc>
          <w:tcPr>
            <w:tcW w:w="1276" w:type="dxa"/>
            <w:shd w:val="clear" w:color="auto" w:fill="C6EFCE"/>
            <w:noWrap/>
          </w:tcPr>
          <w:p w14:paraId="6A053F86" w14:textId="672ED01E" w:rsidR="002D49B0" w:rsidRPr="00083739" w:rsidRDefault="00BF4125">
            <w:pPr>
              <w:pStyle w:val="P68B1DB1-Normal9"/>
              <w:rPr>
                <w:rFonts w:ascii="Times New Roman" w:eastAsia="Times New Roman" w:hAnsi="Times New Roman" w:cs="Times New Roman"/>
                <w:noProof/>
                <w:szCs w:val="18"/>
                <w:highlight w:val="magenta"/>
                <w:lang w:val="sk-SK"/>
              </w:rPr>
            </w:pPr>
            <w:r w:rsidRPr="00083739">
              <w:rPr>
                <w:rFonts w:ascii="Times New Roman" w:hAnsi="Times New Roman" w:cs="Times New Roman"/>
                <w:noProof/>
                <w:lang w:val="sk-SK"/>
              </w:rPr>
              <w:t>4 – 1.4. Udržateľné využívanie zdrojov, odolnosť proti zmene klímy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ochrana životného prostredia – 16912_Zariadenia na hasenie lesných požiarov, prevenciu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reakciu na ne</w:t>
            </w:r>
          </w:p>
        </w:tc>
        <w:tc>
          <w:tcPr>
            <w:tcW w:w="993" w:type="dxa"/>
            <w:shd w:val="clear" w:color="auto" w:fill="C6EFCE"/>
            <w:noWrap/>
          </w:tcPr>
          <w:p w14:paraId="6662E5BF" w14:textId="77777777" w:rsidR="002D49B0" w:rsidRPr="00083739" w:rsidRDefault="00BF4125">
            <w:pPr>
              <w:pStyle w:val="P68B1DB1-Normal9"/>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277" w:type="dxa"/>
            <w:shd w:val="clear" w:color="auto" w:fill="C6EFCE"/>
            <w:noWrap/>
          </w:tcPr>
          <w:p w14:paraId="7B14CA11" w14:textId="77777777" w:rsidR="002D49B0" w:rsidRPr="00083739" w:rsidRDefault="00BF4125">
            <w:pPr>
              <w:pStyle w:val="P68B1DB1-Normal9"/>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lesníckeho bojového zariadenia</w:t>
            </w:r>
          </w:p>
        </w:tc>
        <w:tc>
          <w:tcPr>
            <w:tcW w:w="1320" w:type="dxa"/>
            <w:shd w:val="clear" w:color="auto" w:fill="C6EFCE"/>
            <w:noWrap/>
          </w:tcPr>
          <w:p w14:paraId="6798EDC7" w14:textId="77777777" w:rsidR="002D49B0" w:rsidRPr="00083739" w:rsidRDefault="00BF4125">
            <w:pPr>
              <w:pStyle w:val="P68B1DB1-Normal9"/>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osvedčené správou ministerstva vnútra</w:t>
            </w:r>
          </w:p>
        </w:tc>
        <w:tc>
          <w:tcPr>
            <w:tcW w:w="1200" w:type="dxa"/>
            <w:shd w:val="clear" w:color="auto" w:fill="C6EFCE"/>
            <w:noWrap/>
          </w:tcPr>
          <w:p w14:paraId="70E6D204" w14:textId="77777777" w:rsidR="002D49B0" w:rsidRPr="00083739" w:rsidRDefault="002D49B0">
            <w:pPr>
              <w:rPr>
                <w:rFonts w:ascii="Times New Roman" w:eastAsia="Times New Roman" w:hAnsi="Times New Roman" w:cs="Times New Roman"/>
                <w:noProof/>
                <w:color w:val="006100"/>
                <w:sz w:val="18"/>
                <w:szCs w:val="18"/>
                <w:lang w:val="sk-SK"/>
              </w:rPr>
            </w:pPr>
          </w:p>
        </w:tc>
        <w:tc>
          <w:tcPr>
            <w:tcW w:w="960" w:type="dxa"/>
            <w:shd w:val="clear" w:color="auto" w:fill="C6EFCE"/>
            <w:noWrap/>
          </w:tcPr>
          <w:p w14:paraId="6213E4C7" w14:textId="77777777" w:rsidR="002D49B0" w:rsidRPr="00083739" w:rsidRDefault="002D49B0">
            <w:pPr>
              <w:rPr>
                <w:rFonts w:ascii="Times New Roman" w:eastAsia="Times New Roman" w:hAnsi="Times New Roman" w:cs="Times New Roman"/>
                <w:noProof/>
                <w:color w:val="006100"/>
                <w:sz w:val="18"/>
                <w:szCs w:val="18"/>
                <w:lang w:val="sk-SK"/>
              </w:rPr>
            </w:pPr>
          </w:p>
        </w:tc>
        <w:tc>
          <w:tcPr>
            <w:tcW w:w="960" w:type="dxa"/>
            <w:shd w:val="clear" w:color="auto" w:fill="C6EFCE"/>
            <w:noWrap/>
          </w:tcPr>
          <w:p w14:paraId="303C93EA" w14:textId="77777777" w:rsidR="002D49B0" w:rsidRPr="00083739" w:rsidRDefault="002D49B0">
            <w:pPr>
              <w:rPr>
                <w:rFonts w:ascii="Times New Roman" w:eastAsia="Times New Roman" w:hAnsi="Times New Roman" w:cs="Times New Roman"/>
                <w:noProof/>
                <w:color w:val="006100"/>
                <w:sz w:val="18"/>
                <w:szCs w:val="18"/>
                <w:lang w:val="sk-SK"/>
              </w:rPr>
            </w:pPr>
          </w:p>
        </w:tc>
        <w:tc>
          <w:tcPr>
            <w:tcW w:w="960" w:type="dxa"/>
            <w:shd w:val="clear" w:color="auto" w:fill="C6EFCE"/>
            <w:noWrap/>
          </w:tcPr>
          <w:p w14:paraId="1F0347E2" w14:textId="77777777" w:rsidR="002D49B0" w:rsidRPr="00083739" w:rsidRDefault="00BF4125">
            <w:pPr>
              <w:pStyle w:val="P68B1DB1-Normal9"/>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960" w:type="dxa"/>
            <w:shd w:val="clear" w:color="auto" w:fill="C6EFCE"/>
            <w:noWrap/>
          </w:tcPr>
          <w:p w14:paraId="5BE974B4" w14:textId="77777777" w:rsidR="002D49B0" w:rsidRPr="00083739" w:rsidRDefault="00BF4125">
            <w:pPr>
              <w:pStyle w:val="P68B1DB1-Normal9"/>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4553" w:type="dxa"/>
            <w:shd w:val="clear" w:color="auto" w:fill="C6EFCE"/>
            <w:noWrap/>
          </w:tcPr>
          <w:p w14:paraId="262F01CC" w14:textId="77777777" w:rsidR="002D49B0" w:rsidRPr="00083739" w:rsidRDefault="00BF4125">
            <w:pPr>
              <w:pStyle w:val="P68B1DB1-Normal9"/>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týchto opatrení:</w:t>
            </w:r>
          </w:p>
          <w:p w14:paraId="7464B1DE" w14:textId="47D460F3" w:rsidR="002D49B0" w:rsidRPr="00083739" w:rsidRDefault="00BF4125">
            <w:pPr>
              <w:pStyle w:val="P68B1DB1-Normal9"/>
              <w:numPr>
                <w:ilvl w:val="0"/>
                <w:numId w:val="50"/>
              </w:numPr>
              <w:spacing w:before="120" w:line="259" w:lineRule="auto"/>
              <w:contextualSpacing/>
              <w:jc w:val="both"/>
              <w:rPr>
                <w:rFonts w:ascii="Times New Roman" w:eastAsia="Times New Roman" w:hAnsi="Times New Roman" w:cs="Times New Roman"/>
                <w:noProof/>
                <w:szCs w:val="18"/>
                <w:lang w:val="sk-SK"/>
              </w:rPr>
            </w:pPr>
            <w:r w:rsidRPr="00083739">
              <w:rPr>
                <w:rFonts w:ascii="Times New Roman" w:hAnsi="Times New Roman" w:cs="Times New Roman"/>
                <w:noProof/>
                <w:lang w:val="sk-SK"/>
              </w:rPr>
              <w:t>Dodávka požiarnych motorov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iných zásahových vozidiel;</w:t>
            </w:r>
          </w:p>
          <w:p w14:paraId="56088BC8" w14:textId="06C537BF" w:rsidR="002D49B0" w:rsidRPr="00083739" w:rsidRDefault="00BF4125">
            <w:pPr>
              <w:pStyle w:val="P68B1DB1-Normal9"/>
              <w:numPr>
                <w:ilvl w:val="0"/>
                <w:numId w:val="50"/>
              </w:numPr>
              <w:spacing w:before="120" w:line="259" w:lineRule="auto"/>
              <w:contextualSpacing/>
              <w:jc w:val="both"/>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Dodanie vozidiel pre GSRP, regionálne/miestne </w:t>
            </w:r>
            <w:r w:rsidRPr="00083739">
              <w:rPr>
                <w:rFonts w:ascii="Times New Roman" w:hAnsi="Times New Roman" w:cs="Times New Roman"/>
                <w:noProof/>
                <w:lang w:val="sk-SK"/>
              </w:rPr>
              <w:t>operačné strediská civilnej ochrany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dobrovoľnícke organizácie;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zároveň</w:t>
            </w:r>
          </w:p>
          <w:p w14:paraId="20E7547F" w14:textId="77777777" w:rsidR="002D49B0" w:rsidRPr="00083739" w:rsidRDefault="00BF4125">
            <w:pPr>
              <w:pStyle w:val="P68B1DB1-Normal9"/>
              <w:numPr>
                <w:ilvl w:val="0"/>
                <w:numId w:val="50"/>
              </w:numPr>
              <w:spacing w:before="120" w:line="259" w:lineRule="auto"/>
              <w:contextualSpacing/>
              <w:jc w:val="both"/>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Dodanie stlačiteľných prepravovateľných mostov. </w:t>
            </w:r>
          </w:p>
        </w:tc>
      </w:tr>
      <w:tr w:rsidR="002D49B0" w:rsidRPr="00083739" w14:paraId="799FA2AA" w14:textId="77777777">
        <w:trPr>
          <w:trHeight w:val="309"/>
          <w:jc w:val="center"/>
        </w:trPr>
        <w:tc>
          <w:tcPr>
            <w:tcW w:w="1129" w:type="dxa"/>
            <w:shd w:val="clear" w:color="auto" w:fill="C6EFCE"/>
            <w:noWrap/>
          </w:tcPr>
          <w:p w14:paraId="765FD836" w14:textId="77777777" w:rsidR="002D49B0" w:rsidRPr="00083739" w:rsidRDefault="00BF4125">
            <w:pPr>
              <w:pStyle w:val="P68B1DB1-Normal9"/>
              <w:rPr>
                <w:rFonts w:ascii="Times New Roman" w:eastAsia="Times New Roman" w:hAnsi="Times New Roman" w:cs="Times New Roman"/>
                <w:noProof/>
                <w:szCs w:val="18"/>
                <w:lang w:val="sk-SK"/>
              </w:rPr>
            </w:pPr>
            <w:r w:rsidRPr="00083739">
              <w:rPr>
                <w:rFonts w:ascii="Times New Roman" w:hAnsi="Times New Roman" w:cs="Times New Roman"/>
                <w:noProof/>
                <w:lang w:val="sk-SK"/>
              </w:rPr>
              <w:t>84</w:t>
            </w:r>
          </w:p>
        </w:tc>
        <w:tc>
          <w:tcPr>
            <w:tcW w:w="1276" w:type="dxa"/>
            <w:tcBorders>
              <w:bottom w:val="single" w:sz="4" w:space="0" w:color="auto"/>
            </w:tcBorders>
            <w:shd w:val="clear" w:color="auto" w:fill="C6EFCE"/>
            <w:noWrap/>
          </w:tcPr>
          <w:p w14:paraId="55F69331" w14:textId="1198C8E3" w:rsidR="002D49B0" w:rsidRPr="00083739" w:rsidRDefault="00BF4125">
            <w:pPr>
              <w:pStyle w:val="P68B1DB1-Normal9"/>
              <w:rPr>
                <w:rFonts w:ascii="Times New Roman" w:eastAsia="Times New Roman" w:hAnsi="Times New Roman" w:cs="Times New Roman"/>
                <w:noProof/>
                <w:szCs w:val="18"/>
                <w:lang w:val="sk-SK"/>
              </w:rPr>
            </w:pPr>
            <w:r w:rsidRPr="00083739">
              <w:rPr>
                <w:rFonts w:ascii="Times New Roman" w:hAnsi="Times New Roman" w:cs="Times New Roman"/>
                <w:noProof/>
                <w:lang w:val="sk-SK"/>
              </w:rPr>
              <w:t>4 – 1.4. Udržateľné využívanie zdrojov, odolnosť proti zmene klímy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ochrana životného prostredia – 16909_Infraštruktúra – Stano</w:t>
            </w:r>
            <w:r w:rsidRPr="00083739">
              <w:rPr>
                <w:rFonts w:ascii="Times New Roman" w:hAnsi="Times New Roman" w:cs="Times New Roman"/>
                <w:noProof/>
                <w:lang w:val="sk-SK"/>
              </w:rPr>
              <w:t>venie strategického národného riadenia rizika katastrof</w:t>
            </w:r>
          </w:p>
        </w:tc>
        <w:tc>
          <w:tcPr>
            <w:tcW w:w="993" w:type="dxa"/>
            <w:tcBorders>
              <w:bottom w:val="single" w:sz="4" w:space="0" w:color="auto"/>
            </w:tcBorders>
            <w:shd w:val="clear" w:color="auto" w:fill="C6EFCE"/>
            <w:noWrap/>
          </w:tcPr>
          <w:p w14:paraId="6F799723" w14:textId="77777777" w:rsidR="002D49B0" w:rsidRPr="00083739" w:rsidRDefault="00BF4125">
            <w:pPr>
              <w:pStyle w:val="P68B1DB1-Normal9"/>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277" w:type="dxa"/>
            <w:tcBorders>
              <w:bottom w:val="single" w:sz="4" w:space="0" w:color="auto"/>
            </w:tcBorders>
            <w:shd w:val="clear" w:color="auto" w:fill="C6EFCE"/>
            <w:noWrap/>
          </w:tcPr>
          <w:p w14:paraId="26A81FD7" w14:textId="77777777" w:rsidR="002D49B0" w:rsidRPr="00083739" w:rsidRDefault="00BF4125">
            <w:pPr>
              <w:pStyle w:val="P68B1DB1-Normal9"/>
              <w:rPr>
                <w:rFonts w:ascii="Times New Roman" w:eastAsia="Times New Roman" w:hAnsi="Times New Roman" w:cs="Times New Roman"/>
                <w:noProof/>
                <w:szCs w:val="18"/>
                <w:lang w:val="sk-SK"/>
              </w:rPr>
            </w:pPr>
            <w:r w:rsidRPr="00083739">
              <w:rPr>
                <w:rFonts w:ascii="Times New Roman" w:hAnsi="Times New Roman" w:cs="Times New Roman"/>
                <w:noProof/>
                <w:lang w:val="sk-SK"/>
              </w:rPr>
              <w:t>Ukončenie vnútroštátneho riadenia rizika katastrof</w:t>
            </w:r>
          </w:p>
        </w:tc>
        <w:tc>
          <w:tcPr>
            <w:tcW w:w="1320" w:type="dxa"/>
            <w:tcBorders>
              <w:bottom w:val="single" w:sz="4" w:space="0" w:color="auto"/>
            </w:tcBorders>
            <w:shd w:val="clear" w:color="auto" w:fill="C6EFCE"/>
            <w:noWrap/>
          </w:tcPr>
          <w:p w14:paraId="1ADA33FB" w14:textId="40F01B34" w:rsidR="002D49B0" w:rsidRPr="00083739" w:rsidRDefault="00BF4125">
            <w:pPr>
              <w:pStyle w:val="P68B1DB1-Normal9"/>
              <w:rPr>
                <w:rFonts w:ascii="Times New Roman" w:eastAsia="Times New Roman" w:hAnsi="Times New Roman" w:cs="Times New Roman"/>
                <w:noProof/>
                <w:szCs w:val="18"/>
                <w:lang w:val="sk-SK"/>
              </w:rPr>
            </w:pPr>
            <w:r w:rsidRPr="00083739">
              <w:rPr>
                <w:rFonts w:ascii="Times New Roman" w:hAnsi="Times New Roman" w:cs="Times New Roman"/>
                <w:noProof/>
                <w:lang w:val="sk-SK"/>
              </w:rPr>
              <w:t>Ukončenie osvedčené správou ministerstva klimatickej krízy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civilnej ochrany </w:t>
            </w:r>
          </w:p>
        </w:tc>
        <w:tc>
          <w:tcPr>
            <w:tcW w:w="1200" w:type="dxa"/>
            <w:shd w:val="clear" w:color="auto" w:fill="C6EFCE"/>
            <w:noWrap/>
          </w:tcPr>
          <w:p w14:paraId="4008D27D" w14:textId="77777777" w:rsidR="002D49B0" w:rsidRPr="00083739" w:rsidRDefault="002D49B0">
            <w:pPr>
              <w:rPr>
                <w:rFonts w:ascii="Times New Roman" w:eastAsia="Times New Roman" w:hAnsi="Times New Roman" w:cs="Times New Roman"/>
                <w:noProof/>
                <w:color w:val="006100"/>
                <w:sz w:val="18"/>
                <w:szCs w:val="18"/>
                <w:lang w:val="sk-SK"/>
              </w:rPr>
            </w:pPr>
          </w:p>
        </w:tc>
        <w:tc>
          <w:tcPr>
            <w:tcW w:w="960" w:type="dxa"/>
            <w:shd w:val="clear" w:color="auto" w:fill="C6EFCE"/>
            <w:noWrap/>
          </w:tcPr>
          <w:p w14:paraId="2D7FE8FE" w14:textId="77777777" w:rsidR="002D49B0" w:rsidRPr="00083739" w:rsidRDefault="002D49B0">
            <w:pPr>
              <w:rPr>
                <w:rFonts w:ascii="Times New Roman" w:eastAsia="Times New Roman" w:hAnsi="Times New Roman" w:cs="Times New Roman"/>
                <w:noProof/>
                <w:color w:val="006100"/>
                <w:sz w:val="18"/>
                <w:szCs w:val="18"/>
                <w:lang w:val="sk-SK"/>
              </w:rPr>
            </w:pPr>
          </w:p>
        </w:tc>
        <w:tc>
          <w:tcPr>
            <w:tcW w:w="960" w:type="dxa"/>
            <w:shd w:val="clear" w:color="auto" w:fill="C6EFCE"/>
            <w:noWrap/>
          </w:tcPr>
          <w:p w14:paraId="1F1A1B1D" w14:textId="77777777" w:rsidR="002D49B0" w:rsidRPr="00083739" w:rsidRDefault="002D49B0">
            <w:pPr>
              <w:rPr>
                <w:rFonts w:ascii="Times New Roman" w:eastAsia="Times New Roman" w:hAnsi="Times New Roman" w:cs="Times New Roman"/>
                <w:noProof/>
                <w:color w:val="006100"/>
                <w:sz w:val="18"/>
                <w:szCs w:val="18"/>
                <w:lang w:val="sk-SK"/>
              </w:rPr>
            </w:pPr>
          </w:p>
        </w:tc>
        <w:tc>
          <w:tcPr>
            <w:tcW w:w="960" w:type="dxa"/>
            <w:shd w:val="clear" w:color="auto" w:fill="C6EFCE"/>
            <w:noWrap/>
          </w:tcPr>
          <w:p w14:paraId="478EDBE9" w14:textId="77777777" w:rsidR="002D49B0" w:rsidRPr="00083739" w:rsidRDefault="00BF4125">
            <w:pPr>
              <w:pStyle w:val="P68B1DB1-Normal9"/>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960" w:type="dxa"/>
            <w:shd w:val="clear" w:color="auto" w:fill="C6EFCE"/>
            <w:noWrap/>
          </w:tcPr>
          <w:p w14:paraId="4E975236" w14:textId="77777777" w:rsidR="002D49B0" w:rsidRPr="00083739" w:rsidRDefault="00BF4125">
            <w:pPr>
              <w:pStyle w:val="P68B1DB1-Normal9"/>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4553" w:type="dxa"/>
            <w:shd w:val="clear" w:color="auto" w:fill="C6EFCE"/>
            <w:noWrap/>
          </w:tcPr>
          <w:p w14:paraId="1E39AFEB" w14:textId="77777777" w:rsidR="002D49B0" w:rsidRPr="00083739" w:rsidRDefault="00BF4125">
            <w:pPr>
              <w:pStyle w:val="P68B1DB1-Normal9"/>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týchto opatrení:</w:t>
            </w:r>
          </w:p>
          <w:p w14:paraId="261E9D18" w14:textId="66B12766" w:rsidR="002D49B0" w:rsidRPr="00083739" w:rsidRDefault="00BF4125">
            <w:pPr>
              <w:pStyle w:val="P68B1DB1-Normal9"/>
              <w:numPr>
                <w:ilvl w:val="0"/>
                <w:numId w:val="51"/>
              </w:numPr>
              <w:spacing w:before="120" w:line="259" w:lineRule="auto"/>
              <w:contextualSpacing/>
              <w:jc w:val="both"/>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Zriadenie </w:t>
            </w:r>
            <w:r w:rsidRPr="00083739">
              <w:rPr>
                <w:rFonts w:ascii="Times New Roman" w:hAnsi="Times New Roman" w:cs="Times New Roman"/>
                <w:noProof/>
                <w:lang w:val="sk-SK"/>
              </w:rPr>
              <w:t>strategického národného centra pre riadenie rizika katastrof</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budovách Atlantas</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Faros.</w:t>
            </w:r>
          </w:p>
          <w:p w14:paraId="09480DAA" w14:textId="43C4A77D" w:rsidR="002D49B0" w:rsidRPr="00083739" w:rsidRDefault="00BF4125">
            <w:pPr>
              <w:pStyle w:val="P68B1DB1-Normal9"/>
              <w:numPr>
                <w:ilvl w:val="0"/>
                <w:numId w:val="51"/>
              </w:numPr>
              <w:spacing w:before="120" w:line="259" w:lineRule="auto"/>
              <w:contextualSpacing/>
              <w:jc w:val="both"/>
              <w:rPr>
                <w:rFonts w:ascii="Times New Roman" w:eastAsia="Times New Roman" w:hAnsi="Times New Roman" w:cs="Times New Roman"/>
                <w:noProof/>
                <w:szCs w:val="18"/>
                <w:lang w:val="sk-SK"/>
              </w:rPr>
            </w:pPr>
            <w:r w:rsidRPr="00083739">
              <w:rPr>
                <w:rFonts w:ascii="Times New Roman" w:hAnsi="Times New Roman" w:cs="Times New Roman"/>
                <w:noProof/>
                <w:lang w:val="sk-SK"/>
              </w:rPr>
              <w:t>Výstavba nových stavebných zariadení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kancelárskeho vybavenia pre vzdelávacie inštitúcie civilnej ochrany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požiarneho zboru.</w:t>
            </w:r>
          </w:p>
          <w:p w14:paraId="2C40DD8B" w14:textId="229671FA" w:rsidR="002D49B0" w:rsidRPr="00083739" w:rsidRDefault="00BF4125">
            <w:pPr>
              <w:pStyle w:val="P68B1DB1-Normal9"/>
              <w:numPr>
                <w:ilvl w:val="0"/>
                <w:numId w:val="51"/>
              </w:numPr>
              <w:spacing w:before="120" w:line="259" w:lineRule="auto"/>
              <w:contextualSpacing/>
              <w:jc w:val="both"/>
              <w:rPr>
                <w:rFonts w:ascii="Times New Roman" w:eastAsia="Times New Roman" w:hAnsi="Times New Roman" w:cs="Times New Roman"/>
                <w:noProof/>
                <w:szCs w:val="18"/>
                <w:lang w:val="sk-SK"/>
              </w:rPr>
            </w:pPr>
            <w:r w:rsidRPr="00083739">
              <w:rPr>
                <w:rFonts w:ascii="Times New Roman" w:hAnsi="Times New Roman" w:cs="Times New Roman"/>
                <w:noProof/>
                <w:lang w:val="sk-SK"/>
              </w:rPr>
              <w:t>Dodávka troch lietadiel ako kontrolných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riadiacich stredísk leteckého dozoru.</w:t>
            </w:r>
          </w:p>
          <w:p w14:paraId="4F7FEC78" w14:textId="7A048EA7" w:rsidR="002D49B0" w:rsidRPr="00083739" w:rsidRDefault="00BF4125">
            <w:pPr>
              <w:pStyle w:val="P68B1DB1-Normal9"/>
              <w:numPr>
                <w:ilvl w:val="0"/>
                <w:numId w:val="51"/>
              </w:numPr>
              <w:spacing w:before="120" w:line="259" w:lineRule="auto"/>
              <w:contextualSpacing/>
              <w:jc w:val="both"/>
              <w:rPr>
                <w:rFonts w:ascii="Times New Roman" w:eastAsia="Times New Roman" w:hAnsi="Times New Roman" w:cs="Times New Roman"/>
                <w:noProof/>
                <w:szCs w:val="18"/>
                <w:lang w:val="sk-SK"/>
              </w:rPr>
            </w:pPr>
            <w:r w:rsidRPr="00083739">
              <w:rPr>
                <w:rFonts w:ascii="Times New Roman" w:hAnsi="Times New Roman" w:cs="Times New Roman"/>
                <w:noProof/>
                <w:lang w:val="sk-SK"/>
              </w:rPr>
              <w:t>Poskytovanie mobilných administratívnych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kontrolných stredísk na mieste</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13 regiónoch.</w:t>
            </w:r>
          </w:p>
        </w:tc>
      </w:tr>
      <w:tr w:rsidR="002D49B0" w:rsidRPr="00083739" w14:paraId="792E2060" w14:textId="77777777">
        <w:trPr>
          <w:trHeight w:val="309"/>
          <w:jc w:val="center"/>
        </w:trPr>
        <w:tc>
          <w:tcPr>
            <w:tcW w:w="1129" w:type="dxa"/>
            <w:shd w:val="clear" w:color="auto" w:fill="C6EFCE"/>
            <w:noWrap/>
          </w:tcPr>
          <w:p w14:paraId="7C30433F" w14:textId="77777777" w:rsidR="002D49B0" w:rsidRPr="00083739" w:rsidRDefault="00BF4125">
            <w:pPr>
              <w:pStyle w:val="P68B1DB1-Normal9"/>
              <w:rPr>
                <w:rFonts w:ascii="Times New Roman" w:eastAsia="Times New Roman" w:hAnsi="Times New Roman" w:cs="Times New Roman"/>
                <w:noProof/>
                <w:szCs w:val="18"/>
                <w:lang w:val="sk-SK"/>
              </w:rPr>
            </w:pPr>
            <w:r w:rsidRPr="00083739">
              <w:rPr>
                <w:rFonts w:ascii="Times New Roman" w:hAnsi="Times New Roman" w:cs="Times New Roman"/>
                <w:noProof/>
                <w:lang w:val="sk-SK"/>
              </w:rPr>
              <w:t>332</w:t>
            </w:r>
          </w:p>
        </w:tc>
        <w:tc>
          <w:tcPr>
            <w:tcW w:w="1276" w:type="dxa"/>
            <w:tcBorders>
              <w:bottom w:val="single" w:sz="4" w:space="0" w:color="auto"/>
            </w:tcBorders>
            <w:shd w:val="clear" w:color="auto" w:fill="C6EFCE"/>
            <w:noWrap/>
          </w:tcPr>
          <w:p w14:paraId="6290D2E0" w14:textId="39A2306B" w:rsidR="002D49B0" w:rsidRPr="00083739" w:rsidRDefault="00BF4125">
            <w:pPr>
              <w:pStyle w:val="P68B1DB1-Normal9"/>
              <w:rPr>
                <w:rFonts w:ascii="Times New Roman" w:eastAsia="Times New Roman" w:hAnsi="Times New Roman" w:cs="Times New Roman"/>
                <w:noProof/>
                <w:szCs w:val="18"/>
                <w:lang w:val="sk-SK"/>
              </w:rPr>
            </w:pPr>
            <w:r w:rsidRPr="00083739">
              <w:rPr>
                <w:rFonts w:ascii="Times New Roman" w:hAnsi="Times New Roman" w:cs="Times New Roman"/>
                <w:noProof/>
                <w:lang w:val="sk-SK"/>
              </w:rPr>
              <w:t>4 – 1.4. Udržateľné využívanie zdrojov, odolnosť proti zmene klímy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ochrana životného prostredia – 16983_Predbežná </w:t>
            </w:r>
            <w:r w:rsidRPr="00083739">
              <w:rPr>
                <w:rFonts w:ascii="Times New Roman" w:hAnsi="Times New Roman" w:cs="Times New Roman"/>
                <w:noProof/>
                <w:lang w:val="sk-SK"/>
              </w:rPr>
              <w:t>kontrola seizmickej odolnosti budov</w:t>
            </w:r>
          </w:p>
        </w:tc>
        <w:tc>
          <w:tcPr>
            <w:tcW w:w="993" w:type="dxa"/>
            <w:tcBorders>
              <w:bottom w:val="single" w:sz="4" w:space="0" w:color="auto"/>
            </w:tcBorders>
            <w:shd w:val="clear" w:color="auto" w:fill="C6EFCE"/>
            <w:noWrap/>
          </w:tcPr>
          <w:p w14:paraId="68F6D97A" w14:textId="77777777" w:rsidR="002D49B0" w:rsidRPr="00083739" w:rsidRDefault="00BF4125">
            <w:pPr>
              <w:pStyle w:val="P68B1DB1-Normal9"/>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277" w:type="dxa"/>
            <w:tcBorders>
              <w:bottom w:val="single" w:sz="4" w:space="0" w:color="auto"/>
            </w:tcBorders>
            <w:shd w:val="clear" w:color="auto" w:fill="C6EFCE"/>
            <w:noWrap/>
          </w:tcPr>
          <w:p w14:paraId="6102120F" w14:textId="77777777" w:rsidR="002D49B0" w:rsidRPr="00083739" w:rsidRDefault="00BF4125">
            <w:pPr>
              <w:pStyle w:val="P68B1DB1-Normal9"/>
              <w:rPr>
                <w:rFonts w:ascii="Times New Roman" w:eastAsia="Times New Roman" w:hAnsi="Times New Roman" w:cs="Times New Roman"/>
                <w:noProof/>
                <w:szCs w:val="18"/>
                <w:lang w:val="sk-SK"/>
              </w:rPr>
            </w:pPr>
            <w:r w:rsidRPr="00083739">
              <w:rPr>
                <w:rFonts w:ascii="Times New Roman" w:hAnsi="Times New Roman" w:cs="Times New Roman"/>
                <w:noProof/>
                <w:lang w:val="sk-SK"/>
              </w:rPr>
              <w:t>Ukončenie predbežných seizmických inšpekcií</w:t>
            </w:r>
          </w:p>
        </w:tc>
        <w:tc>
          <w:tcPr>
            <w:tcW w:w="1320" w:type="dxa"/>
            <w:tcBorders>
              <w:bottom w:val="single" w:sz="4" w:space="0" w:color="auto"/>
            </w:tcBorders>
            <w:shd w:val="clear" w:color="auto" w:fill="C6EFCE"/>
            <w:noWrap/>
          </w:tcPr>
          <w:p w14:paraId="277BA324" w14:textId="0B840718" w:rsidR="002D49B0" w:rsidRPr="00083739" w:rsidRDefault="00BF4125">
            <w:pPr>
              <w:pStyle w:val="P68B1DB1-Normal9"/>
              <w:rPr>
                <w:rFonts w:ascii="Times New Roman" w:eastAsia="Times New Roman" w:hAnsi="Times New Roman" w:cs="Times New Roman"/>
                <w:noProof/>
                <w:szCs w:val="18"/>
                <w:lang w:val="sk-SK"/>
              </w:rPr>
            </w:pPr>
            <w:r w:rsidRPr="00083739">
              <w:rPr>
                <w:rFonts w:ascii="Times New Roman" w:hAnsi="Times New Roman" w:cs="Times New Roman"/>
                <w:noProof/>
                <w:lang w:val="sk-SK"/>
              </w:rPr>
              <w:t>Ukončenie osvedčené správou ministerstva pre klimatickú krízu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civilnú ochranu</w:t>
            </w:r>
          </w:p>
        </w:tc>
        <w:tc>
          <w:tcPr>
            <w:tcW w:w="1200" w:type="dxa"/>
            <w:shd w:val="clear" w:color="auto" w:fill="C6EFCE"/>
            <w:noWrap/>
          </w:tcPr>
          <w:p w14:paraId="4D2E5FD0" w14:textId="77777777" w:rsidR="002D49B0" w:rsidRPr="00083739" w:rsidRDefault="002D49B0">
            <w:pPr>
              <w:rPr>
                <w:rFonts w:ascii="Times New Roman" w:eastAsia="Times New Roman" w:hAnsi="Times New Roman" w:cs="Times New Roman"/>
                <w:noProof/>
                <w:color w:val="006100"/>
                <w:sz w:val="18"/>
                <w:szCs w:val="18"/>
                <w:lang w:val="sk-SK"/>
              </w:rPr>
            </w:pPr>
          </w:p>
        </w:tc>
        <w:tc>
          <w:tcPr>
            <w:tcW w:w="960" w:type="dxa"/>
            <w:shd w:val="clear" w:color="auto" w:fill="C6EFCE"/>
            <w:noWrap/>
          </w:tcPr>
          <w:p w14:paraId="071E9033" w14:textId="77777777" w:rsidR="002D49B0" w:rsidRPr="00083739" w:rsidRDefault="002D49B0">
            <w:pPr>
              <w:rPr>
                <w:rFonts w:ascii="Times New Roman" w:eastAsia="Times New Roman" w:hAnsi="Times New Roman" w:cs="Times New Roman"/>
                <w:noProof/>
                <w:color w:val="006100"/>
                <w:sz w:val="18"/>
                <w:szCs w:val="18"/>
                <w:lang w:val="sk-SK"/>
              </w:rPr>
            </w:pPr>
          </w:p>
        </w:tc>
        <w:tc>
          <w:tcPr>
            <w:tcW w:w="960" w:type="dxa"/>
            <w:shd w:val="clear" w:color="auto" w:fill="C6EFCE"/>
            <w:noWrap/>
          </w:tcPr>
          <w:p w14:paraId="3A8E9BA4" w14:textId="77777777" w:rsidR="002D49B0" w:rsidRPr="00083739" w:rsidRDefault="002D49B0">
            <w:pPr>
              <w:rPr>
                <w:rFonts w:ascii="Times New Roman" w:eastAsia="Times New Roman" w:hAnsi="Times New Roman" w:cs="Times New Roman"/>
                <w:noProof/>
                <w:color w:val="006100"/>
                <w:sz w:val="18"/>
                <w:szCs w:val="18"/>
                <w:lang w:val="sk-SK"/>
              </w:rPr>
            </w:pPr>
          </w:p>
        </w:tc>
        <w:tc>
          <w:tcPr>
            <w:tcW w:w="960" w:type="dxa"/>
            <w:shd w:val="clear" w:color="auto" w:fill="C6EFCE"/>
            <w:noWrap/>
          </w:tcPr>
          <w:p w14:paraId="0BF5B561" w14:textId="77777777" w:rsidR="002D49B0" w:rsidRPr="00083739" w:rsidRDefault="00BF4125">
            <w:pPr>
              <w:pStyle w:val="P68B1DB1-Normal9"/>
              <w:rPr>
                <w:rFonts w:ascii="Times New Roman" w:eastAsia="Times New Roman" w:hAnsi="Times New Roman" w:cs="Times New Roman"/>
                <w:noProof/>
                <w:szCs w:val="18"/>
                <w:lang w:val="sk-SK"/>
              </w:rPr>
            </w:pPr>
            <w:r w:rsidRPr="00083739">
              <w:rPr>
                <w:rFonts w:ascii="Times New Roman" w:hAnsi="Times New Roman" w:cs="Times New Roman"/>
                <w:noProof/>
                <w:lang w:val="sk-SK"/>
              </w:rPr>
              <w:t>PRVÝ ŠTVRŤROK</w:t>
            </w:r>
          </w:p>
        </w:tc>
        <w:tc>
          <w:tcPr>
            <w:tcW w:w="960" w:type="dxa"/>
            <w:shd w:val="clear" w:color="auto" w:fill="C6EFCE"/>
            <w:noWrap/>
          </w:tcPr>
          <w:p w14:paraId="6C3BF2B2" w14:textId="77777777" w:rsidR="002D49B0" w:rsidRPr="00083739" w:rsidRDefault="00BF4125">
            <w:pPr>
              <w:pStyle w:val="P68B1DB1-Normal9"/>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4553" w:type="dxa"/>
            <w:shd w:val="clear" w:color="auto" w:fill="C6EFCE"/>
            <w:noWrap/>
          </w:tcPr>
          <w:p w14:paraId="52DA9A2A" w14:textId="77777777" w:rsidR="002D49B0" w:rsidRPr="00083739" w:rsidRDefault="00BF4125">
            <w:pPr>
              <w:pStyle w:val="P68B1DB1-Normal9"/>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týchto opatrení:</w:t>
            </w:r>
          </w:p>
          <w:p w14:paraId="27590EB5" w14:textId="62C1E7F1" w:rsidR="002D49B0" w:rsidRPr="00083739" w:rsidRDefault="00BF4125">
            <w:pPr>
              <w:pStyle w:val="P68B1DB1-ListParagraph20"/>
              <w:numPr>
                <w:ilvl w:val="0"/>
                <w:numId w:val="1"/>
              </w:numPr>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Vývoj online systému na registráciu </w:t>
            </w:r>
            <w:r w:rsidRPr="00083739">
              <w:rPr>
                <w:rFonts w:ascii="Times New Roman" w:hAnsi="Times New Roman" w:cs="Times New Roman"/>
                <w:noProof/>
                <w:lang w:val="sk-SK"/>
              </w:rPr>
              <w:t>základných údajov</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budovách do hlavného cloudového úložiska RVI pred zemetrasením;</w:t>
            </w:r>
          </w:p>
          <w:p w14:paraId="1E95FA3E" w14:textId="1A5E30D8" w:rsidR="002D49B0" w:rsidRPr="00083739" w:rsidRDefault="00BF4125">
            <w:pPr>
              <w:pStyle w:val="ListParagraph"/>
              <w:numPr>
                <w:ilvl w:val="0"/>
                <w:numId w:val="1"/>
              </w:numPr>
              <w:spacing w:after="0" w:line="240" w:lineRule="auto"/>
              <w:rPr>
                <w:rFonts w:ascii="Times New Roman" w:hAnsi="Times New Roman" w:cs="Times New Roman"/>
                <w:noProof/>
                <w:color w:val="006100"/>
                <w:sz w:val="18"/>
                <w:szCs w:val="18"/>
                <w:lang w:val="sk-SK"/>
              </w:rPr>
            </w:pPr>
            <w:r w:rsidRPr="00083739">
              <w:rPr>
                <w:rFonts w:ascii="Times New Roman" w:hAnsi="Times New Roman" w:cs="Times New Roman"/>
                <w:noProof/>
                <w:lang w:val="sk-SK"/>
              </w:rPr>
              <w:t xml:space="preserve"> </w:t>
            </w:r>
            <w:r w:rsidRPr="00083739">
              <w:rPr>
                <w:rFonts w:ascii="Times New Roman" w:hAnsi="Times New Roman" w:cs="Times New Roman"/>
                <w:noProof/>
                <w:color w:val="006100"/>
                <w:sz w:val="18"/>
                <w:szCs w:val="18"/>
                <w:lang w:val="sk-SK"/>
              </w:rPr>
              <w:t>Poskytovanie vzdelávacích materiálov</w:t>
            </w:r>
            <w:r w:rsidR="00083739" w:rsidRPr="00083739">
              <w:rPr>
                <w:rFonts w:ascii="Times New Roman" w:hAnsi="Times New Roman" w:cs="Times New Roman"/>
                <w:noProof/>
                <w:color w:val="006100"/>
                <w:sz w:val="18"/>
                <w:szCs w:val="18"/>
                <w:lang w:val="sk-SK"/>
              </w:rPr>
              <w:t xml:space="preserve"> a </w:t>
            </w:r>
            <w:r w:rsidRPr="00083739">
              <w:rPr>
                <w:rFonts w:ascii="Times New Roman" w:hAnsi="Times New Roman" w:cs="Times New Roman"/>
                <w:noProof/>
                <w:color w:val="006100"/>
                <w:sz w:val="18"/>
                <w:szCs w:val="18"/>
                <w:lang w:val="sk-SK"/>
              </w:rPr>
              <w:t>systém odbornej prípravy audítorov civilných inžinierov;</w:t>
            </w:r>
          </w:p>
          <w:p w14:paraId="7AADD0BF" w14:textId="3AD0594B" w:rsidR="002D49B0" w:rsidRPr="00083739" w:rsidRDefault="00BF4125">
            <w:pPr>
              <w:pStyle w:val="P68B1DB1-ListParagraph20"/>
              <w:numPr>
                <w:ilvl w:val="0"/>
                <w:numId w:val="1"/>
              </w:numPr>
              <w:spacing w:after="0" w:line="240" w:lineRule="auto"/>
              <w:rPr>
                <w:rFonts w:ascii="Times New Roman" w:hAnsi="Times New Roman" w:cs="Times New Roman"/>
                <w:noProof/>
                <w:szCs w:val="18"/>
                <w:lang w:val="sk-SK"/>
              </w:rPr>
            </w:pPr>
            <w:r w:rsidRPr="00083739">
              <w:rPr>
                <w:rFonts w:ascii="Times New Roman" w:hAnsi="Times New Roman" w:cs="Times New Roman"/>
                <w:noProof/>
                <w:lang w:val="sk-SK"/>
              </w:rPr>
              <w:t>Predbežná rýchla vizuálna inšpekcia (RVI)</w:t>
            </w:r>
            <w:r w:rsidRPr="00083739">
              <w:rPr>
                <w:rFonts w:ascii="Times New Roman" w:hAnsi="Times New Roman" w:cs="Times New Roman"/>
                <w:noProof/>
                <w:szCs w:val="18"/>
                <w:lang w:val="sk-SK"/>
              </w:rPr>
              <w:t xml:space="preserve"> </w:t>
            </w:r>
            <w:r w:rsidRPr="00083739">
              <w:rPr>
                <w:rFonts w:ascii="Times New Roman" w:hAnsi="Times New Roman" w:cs="Times New Roman"/>
                <w:noProof/>
                <w:lang w:val="sk-SK"/>
              </w:rPr>
              <w:t>21970 budov.</w:t>
            </w:r>
          </w:p>
        </w:tc>
      </w:tr>
    </w:tbl>
    <w:p w14:paraId="799CFFC7" w14:textId="77233D0B" w:rsidR="002D49B0" w:rsidRPr="00083739" w:rsidRDefault="00BF4125">
      <w:pPr>
        <w:spacing w:before="120" w:after="120" w:line="240" w:lineRule="auto"/>
        <w:rPr>
          <w:rFonts w:ascii="Times New Roman" w:hAnsi="Times New Roman" w:cs="Times New Roman"/>
          <w:noProof/>
          <w:sz w:val="24"/>
          <w:lang w:val="sk-SK"/>
        </w:rPr>
        <w:sectPr w:rsidR="002D49B0" w:rsidRPr="00083739" w:rsidSect="00271D33">
          <w:headerReference w:type="even" r:id="rId91"/>
          <w:headerReference w:type="default" r:id="rId92"/>
          <w:footerReference w:type="even" r:id="rId93"/>
          <w:footerReference w:type="default" r:id="rId94"/>
          <w:headerReference w:type="first" r:id="rId95"/>
          <w:footerReference w:type="first" r:id="rId96"/>
          <w:pgSz w:w="16839" w:h="11907" w:orient="landscape"/>
          <w:pgMar w:top="720" w:right="720" w:bottom="720" w:left="720" w:header="709" w:footer="709" w:gutter="0"/>
          <w:cols w:space="720"/>
          <w:docGrid w:linePitch="360"/>
        </w:sectPr>
      </w:pPr>
      <w:r w:rsidRPr="00083739">
        <w:rPr>
          <w:rFonts w:ascii="Times New Roman" w:hAnsi="Times New Roman" w:cs="Times New Roman"/>
          <w:noProof/>
          <w:lang w:val="sk-SK"/>
        </w:rPr>
        <w:tab/>
      </w:r>
      <w:r w:rsidRPr="00083739">
        <w:rPr>
          <w:rFonts w:ascii="Times New Roman" w:hAnsi="Times New Roman" w:cs="Times New Roman"/>
          <w:noProof/>
          <w:sz w:val="24"/>
          <w:lang w:val="sk-SK"/>
        </w:rPr>
        <w:t xml:space="preserve"> </w:t>
      </w:r>
      <w:r w:rsidRPr="00083739">
        <w:rPr>
          <w:rFonts w:ascii="Times New Roman" w:hAnsi="Times New Roman" w:cs="Times New Roman"/>
          <w:noProof/>
          <w:lang w:val="sk-SK"/>
        </w:rPr>
        <w:t xml:space="preserve"> </w:t>
      </w:r>
      <w:r w:rsidRPr="00083739">
        <w:rPr>
          <w:rFonts w:ascii="Times New Roman" w:hAnsi="Times New Roman" w:cs="Times New Roman"/>
          <w:noProof/>
          <w:sz w:val="24"/>
          <w:lang w:val="sk-SK"/>
        </w:rPr>
        <w:t xml:space="preserve"> </w:t>
      </w:r>
      <w:r w:rsidRPr="00083739">
        <w:rPr>
          <w:rFonts w:ascii="Times New Roman" w:hAnsi="Times New Roman" w:cs="Times New Roman"/>
          <w:noProof/>
          <w:lang w:val="sk-SK"/>
        </w:rPr>
        <w:t xml:space="preserve"> </w:t>
      </w:r>
      <w:r w:rsidRPr="00083739">
        <w:rPr>
          <w:rFonts w:ascii="Times New Roman" w:hAnsi="Times New Roman" w:cs="Times New Roman"/>
          <w:noProof/>
          <w:sz w:val="24"/>
          <w:lang w:val="sk-SK"/>
        </w:rPr>
        <w:t xml:space="preserve"> </w:t>
      </w:r>
      <w:r w:rsidRPr="00083739">
        <w:rPr>
          <w:rFonts w:ascii="Times New Roman" w:hAnsi="Times New Roman" w:cs="Times New Roman"/>
          <w:noProof/>
          <w:lang w:val="sk-SK"/>
        </w:rPr>
        <w:t xml:space="preserve"> </w:t>
      </w:r>
      <w:r w:rsidRPr="00083739">
        <w:rPr>
          <w:rFonts w:ascii="Times New Roman" w:hAnsi="Times New Roman" w:cs="Times New Roman"/>
          <w:noProof/>
          <w:sz w:val="24"/>
          <w:lang w:val="sk-SK"/>
        </w:rPr>
        <w:t xml:space="preserve"> </w:t>
      </w:r>
      <w:r w:rsidRPr="00083739">
        <w:rPr>
          <w:rFonts w:ascii="Times New Roman" w:hAnsi="Times New Roman" w:cs="Times New Roman"/>
          <w:noProof/>
          <w:lang w:val="sk-SK"/>
        </w:rPr>
        <w:tab/>
      </w:r>
    </w:p>
    <w:p w14:paraId="170D6DB5" w14:textId="77777777" w:rsidR="002D49B0" w:rsidRPr="00083739" w:rsidRDefault="00BF4125">
      <w:pPr>
        <w:pStyle w:val="P68B1DB1-ListParagraph3"/>
        <w:numPr>
          <w:ilvl w:val="0"/>
          <w:numId w:val="91"/>
        </w:numPr>
        <w:spacing w:before="120" w:after="120" w:line="240" w:lineRule="auto"/>
        <w:jc w:val="both"/>
        <w:outlineLvl w:val="3"/>
        <w:rPr>
          <w:rFonts w:cs="Times New Roman"/>
          <w:bCs/>
          <w:noProof/>
          <w:lang w:val="sk-SK"/>
        </w:rPr>
      </w:pPr>
      <w:r w:rsidRPr="00083739">
        <w:rPr>
          <w:rFonts w:cs="Times New Roman"/>
          <w:noProof/>
          <w:lang w:val="sk-SK"/>
        </w:rPr>
        <w:t>ZLOŽKA 2.1: PRIPOJIŤ</w:t>
      </w:r>
    </w:p>
    <w:p w14:paraId="79366855" w14:textId="09C23E1A"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 xml:space="preserve">Tento komponent </w:t>
      </w:r>
      <w:r w:rsidRPr="00083739">
        <w:rPr>
          <w:rFonts w:cs="Times New Roman"/>
          <w:noProof/>
          <w:color w:val="000000"/>
          <w:lang w:val="sk-SK"/>
        </w:rPr>
        <w:t>gréckeho plánu obnovy</w:t>
      </w:r>
      <w:r w:rsidR="00083739" w:rsidRPr="00083739">
        <w:rPr>
          <w:rFonts w:cs="Times New Roman"/>
          <w:noProof/>
          <w:color w:val="000000"/>
          <w:lang w:val="sk-SK"/>
        </w:rPr>
        <w:t xml:space="preserve"> a </w:t>
      </w:r>
      <w:r w:rsidRPr="00083739">
        <w:rPr>
          <w:rFonts w:cs="Times New Roman"/>
          <w:noProof/>
          <w:color w:val="000000"/>
          <w:lang w:val="sk-SK"/>
        </w:rPr>
        <w:t>odolnosti</w:t>
      </w:r>
      <w:r w:rsidRPr="00083739">
        <w:rPr>
          <w:rFonts w:cs="Times New Roman"/>
          <w:noProof/>
          <w:lang w:val="sk-SK"/>
        </w:rPr>
        <w:t xml:space="preserve"> obsahuje opatrenia, ktorých cieľom je podporiť</w:t>
      </w:r>
      <w:r w:rsidR="00083739" w:rsidRPr="00083739">
        <w:rPr>
          <w:rFonts w:cs="Times New Roman"/>
          <w:noProof/>
          <w:lang w:val="sk-SK"/>
        </w:rPr>
        <w:t xml:space="preserve"> a </w:t>
      </w:r>
      <w:r w:rsidRPr="00083739">
        <w:rPr>
          <w:rFonts w:cs="Times New Roman"/>
          <w:noProof/>
          <w:lang w:val="sk-SK"/>
        </w:rPr>
        <w:t>uľahčiť rozsiahle zavádzanie sietí</w:t>
      </w:r>
      <w:r w:rsidR="00083739" w:rsidRPr="00083739">
        <w:rPr>
          <w:rFonts w:cs="Times New Roman"/>
          <w:noProof/>
          <w:lang w:val="sk-SK"/>
        </w:rPr>
        <w:t xml:space="preserve"> s </w:t>
      </w:r>
      <w:r w:rsidRPr="00083739">
        <w:rPr>
          <w:rFonts w:cs="Times New Roman"/>
          <w:noProof/>
          <w:lang w:val="sk-SK"/>
        </w:rPr>
        <w:t xml:space="preserve">veľmi vysokou kapacitou vrátane </w:t>
      </w:r>
      <w:r w:rsidRPr="00083739">
        <w:rPr>
          <w:rFonts w:cs="Times New Roman"/>
          <w:noProof/>
          <w:lang w:val="sk-SK"/>
        </w:rPr>
        <w:t>sietí 5G</w:t>
      </w:r>
      <w:r w:rsidR="00083739" w:rsidRPr="00083739">
        <w:rPr>
          <w:rFonts w:cs="Times New Roman"/>
          <w:noProof/>
          <w:lang w:val="sk-SK"/>
        </w:rPr>
        <w:t xml:space="preserve"> a </w:t>
      </w:r>
      <w:r w:rsidRPr="00083739">
        <w:rPr>
          <w:rFonts w:cs="Times New Roman"/>
          <w:noProof/>
          <w:lang w:val="sk-SK"/>
        </w:rPr>
        <w:t>optických vlákien</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cieľmi EÚ do roku 2025</w:t>
      </w:r>
      <w:r w:rsidR="00083739" w:rsidRPr="00083739">
        <w:rPr>
          <w:rFonts w:cs="Times New Roman"/>
          <w:noProof/>
          <w:lang w:val="sk-SK"/>
        </w:rPr>
        <w:t xml:space="preserve"> v </w:t>
      </w:r>
      <w:r w:rsidRPr="00083739">
        <w:rPr>
          <w:rFonts w:cs="Times New Roman"/>
          <w:noProof/>
          <w:lang w:val="sk-SK"/>
        </w:rPr>
        <w:t>oblasti 5G</w:t>
      </w:r>
      <w:r w:rsidR="00083739" w:rsidRPr="00083739">
        <w:rPr>
          <w:rFonts w:cs="Times New Roman"/>
          <w:noProof/>
          <w:lang w:val="sk-SK"/>
        </w:rPr>
        <w:t xml:space="preserve"> a </w:t>
      </w:r>
      <w:r w:rsidRPr="00083739">
        <w:rPr>
          <w:rFonts w:cs="Times New Roman"/>
          <w:noProof/>
          <w:lang w:val="sk-SK"/>
        </w:rPr>
        <w:t>gigabitového pripojenia, ako aj rozvoj sústavy malých satelitov. Investície zahrnuté</w:t>
      </w:r>
      <w:r w:rsidR="00083739" w:rsidRPr="00083739">
        <w:rPr>
          <w:rFonts w:cs="Times New Roman"/>
          <w:noProof/>
          <w:lang w:val="sk-SK"/>
        </w:rPr>
        <w:t xml:space="preserve"> v </w:t>
      </w:r>
      <w:r w:rsidRPr="00083739">
        <w:rPr>
          <w:rFonts w:cs="Times New Roman"/>
          <w:noProof/>
          <w:lang w:val="sk-SK"/>
        </w:rPr>
        <w:t>tomto komponente sa týkajú inštalácie optickej infraštruktúry</w:t>
      </w:r>
      <w:r w:rsidR="00083739" w:rsidRPr="00083739">
        <w:rPr>
          <w:rFonts w:cs="Times New Roman"/>
          <w:noProof/>
          <w:lang w:val="sk-SK"/>
        </w:rPr>
        <w:t xml:space="preserve"> v </w:t>
      </w:r>
      <w:r w:rsidRPr="00083739">
        <w:rPr>
          <w:rFonts w:cs="Times New Roman"/>
          <w:noProof/>
          <w:lang w:val="sk-SK"/>
        </w:rPr>
        <w:t>budovách</w:t>
      </w:r>
      <w:r w:rsidR="00083739" w:rsidRPr="00083739">
        <w:rPr>
          <w:rFonts w:cs="Times New Roman"/>
          <w:noProof/>
          <w:lang w:val="sk-SK"/>
        </w:rPr>
        <w:t xml:space="preserve"> a </w:t>
      </w:r>
      <w:r w:rsidRPr="00083739">
        <w:rPr>
          <w:rFonts w:cs="Times New Roman"/>
          <w:noProof/>
          <w:lang w:val="sk-SK"/>
        </w:rPr>
        <w:t>využívania vesmí</w:t>
      </w:r>
      <w:r w:rsidRPr="00083739">
        <w:rPr>
          <w:rFonts w:cs="Times New Roman"/>
          <w:noProof/>
          <w:lang w:val="sk-SK"/>
        </w:rPr>
        <w:t>rnych technológií</w:t>
      </w:r>
      <w:r w:rsidR="00083739" w:rsidRPr="00083739">
        <w:rPr>
          <w:rFonts w:cs="Times New Roman"/>
          <w:noProof/>
          <w:lang w:val="sk-SK"/>
        </w:rPr>
        <w:t xml:space="preserve"> a </w:t>
      </w:r>
      <w:r w:rsidRPr="00083739">
        <w:rPr>
          <w:rFonts w:cs="Times New Roman"/>
          <w:noProof/>
          <w:lang w:val="sk-SK"/>
        </w:rPr>
        <w:t>aplikácií prostredníctvom vývoja sústavy malých satelitov, ktorá podporuje služby bezpečnej konektivity spojené</w:t>
      </w:r>
      <w:r w:rsidR="00083739" w:rsidRPr="00083739">
        <w:rPr>
          <w:rFonts w:cs="Times New Roman"/>
          <w:noProof/>
          <w:lang w:val="sk-SK"/>
        </w:rPr>
        <w:t xml:space="preserve"> s </w:t>
      </w:r>
      <w:r w:rsidRPr="00083739">
        <w:rPr>
          <w:rFonts w:cs="Times New Roman"/>
          <w:noProof/>
          <w:lang w:val="sk-SK"/>
        </w:rPr>
        <w:t>viacúčelovými aplikáciami na pozorovanie Zeme. Reformami zahrnutými do tohto komponentu sa vytvára rámec na uľahčenie prec</w:t>
      </w:r>
      <w:r w:rsidRPr="00083739">
        <w:rPr>
          <w:rFonts w:cs="Times New Roman"/>
          <w:noProof/>
          <w:lang w:val="sk-SK"/>
        </w:rPr>
        <w:t>hodu na rýchle širokopásmové pripojenie</w:t>
      </w:r>
      <w:r w:rsidR="00083739" w:rsidRPr="00083739">
        <w:rPr>
          <w:rFonts w:cs="Times New Roman"/>
          <w:noProof/>
          <w:lang w:val="sk-SK"/>
        </w:rPr>
        <w:t xml:space="preserve"> a </w:t>
      </w:r>
      <w:r w:rsidRPr="00083739">
        <w:rPr>
          <w:rFonts w:cs="Times New Roman"/>
          <w:noProof/>
          <w:lang w:val="sk-SK"/>
        </w:rPr>
        <w:t>prechodu na technológiu 5G.</w:t>
      </w:r>
    </w:p>
    <w:p w14:paraId="374D6BD5" w14:textId="78EF4334" w:rsidR="002D49B0" w:rsidRPr="00083739" w:rsidRDefault="00BF4125">
      <w:pPr>
        <w:pStyle w:val="P68B1DB1-Normal4"/>
        <w:spacing w:before="120" w:after="120" w:line="240" w:lineRule="auto"/>
        <w:jc w:val="both"/>
        <w:rPr>
          <w:rFonts w:cs="Times New Roman"/>
          <w:noProof/>
          <w:szCs w:val="24"/>
          <w:lang w:val="sk-SK"/>
        </w:rPr>
      </w:pPr>
      <w:r w:rsidRPr="00083739">
        <w:rPr>
          <w:rFonts w:cs="Times New Roman"/>
          <w:noProof/>
          <w:lang w:val="sk-SK"/>
        </w:rPr>
        <w:t>Všetky navrhované investície</w:t>
      </w:r>
      <w:r w:rsidR="00083739" w:rsidRPr="00083739">
        <w:rPr>
          <w:rFonts w:cs="Times New Roman"/>
          <w:noProof/>
          <w:lang w:val="sk-SK"/>
        </w:rPr>
        <w:t xml:space="preserve"> a </w:t>
      </w:r>
      <w:r w:rsidRPr="00083739">
        <w:rPr>
          <w:rFonts w:cs="Times New Roman"/>
          <w:noProof/>
          <w:lang w:val="sk-SK"/>
        </w:rPr>
        <w:t>reformy riešia výzvy vyplývajúce</w:t>
      </w:r>
      <w:r w:rsidR="00083739" w:rsidRPr="00083739">
        <w:rPr>
          <w:rFonts w:cs="Times New Roman"/>
          <w:noProof/>
          <w:lang w:val="sk-SK"/>
        </w:rPr>
        <w:t xml:space="preserve"> z </w:t>
      </w:r>
      <w:r w:rsidRPr="00083739">
        <w:rPr>
          <w:rFonts w:cs="Times New Roman"/>
          <w:noProof/>
          <w:lang w:val="sk-SK"/>
        </w:rPr>
        <w:t>rastúcej potreby prepojenosti</w:t>
      </w:r>
      <w:r w:rsidR="00083739" w:rsidRPr="00083739">
        <w:rPr>
          <w:rFonts w:cs="Times New Roman"/>
          <w:noProof/>
          <w:lang w:val="sk-SK"/>
        </w:rPr>
        <w:t xml:space="preserve"> a </w:t>
      </w:r>
      <w:r w:rsidRPr="00083739">
        <w:rPr>
          <w:rFonts w:cs="Times New Roman"/>
          <w:noProof/>
          <w:lang w:val="sk-SK"/>
        </w:rPr>
        <w:t>pozorovania Zeme</w:t>
      </w:r>
      <w:r w:rsidR="00083739" w:rsidRPr="00083739">
        <w:rPr>
          <w:rFonts w:cs="Times New Roman"/>
          <w:noProof/>
          <w:lang w:val="sk-SK"/>
        </w:rPr>
        <w:t xml:space="preserve"> a </w:t>
      </w:r>
      <w:r w:rsidRPr="00083739">
        <w:rPr>
          <w:rFonts w:cs="Times New Roman"/>
          <w:noProof/>
          <w:lang w:val="sk-SK"/>
        </w:rPr>
        <w:t xml:space="preserve">dohľadu nad nimi. Opatrenia podporujú riešenie odporúčania </w:t>
      </w:r>
      <w:r w:rsidRPr="00083739">
        <w:rPr>
          <w:rFonts w:cs="Times New Roman"/>
          <w:i/>
          <w:noProof/>
          <w:color w:val="000000" w:themeColor="text1"/>
          <w:lang w:val="sk-SK"/>
        </w:rPr>
        <w:t>pre danú k</w:t>
      </w:r>
      <w:r w:rsidRPr="00083739">
        <w:rPr>
          <w:rFonts w:cs="Times New Roman"/>
          <w:i/>
          <w:noProof/>
          <w:color w:val="000000" w:themeColor="text1"/>
          <w:lang w:val="sk-SK"/>
        </w:rPr>
        <w:t xml:space="preserve">rajinu týkajúceho </w:t>
      </w:r>
      <w:r w:rsidRPr="00083739">
        <w:rPr>
          <w:rFonts w:cs="Times New Roman"/>
          <w:noProof/>
          <w:lang w:val="sk-SK"/>
        </w:rPr>
        <w:t>sa verejných</w:t>
      </w:r>
      <w:r w:rsidR="00083739" w:rsidRPr="00083739">
        <w:rPr>
          <w:rFonts w:cs="Times New Roman"/>
          <w:noProof/>
          <w:lang w:val="sk-SK"/>
        </w:rPr>
        <w:t xml:space="preserve"> a </w:t>
      </w:r>
      <w:r w:rsidRPr="00083739">
        <w:rPr>
          <w:rFonts w:cs="Times New Roman"/>
          <w:noProof/>
          <w:lang w:val="sk-SK"/>
        </w:rPr>
        <w:t>súkromných investícií (</w:t>
      </w:r>
      <w:r w:rsidRPr="00083739">
        <w:rPr>
          <w:rFonts w:cs="Times New Roman"/>
          <w:i/>
          <w:noProof/>
          <w:color w:val="000000" w:themeColor="text1"/>
          <w:lang w:val="sk-SK"/>
        </w:rPr>
        <w:t xml:space="preserve">odporúčanie pre danú krajinu č. 3 </w:t>
      </w:r>
      <w:r w:rsidRPr="00083739">
        <w:rPr>
          <w:rFonts w:cs="Times New Roman"/>
          <w:noProof/>
          <w:lang w:val="sk-SK"/>
        </w:rPr>
        <w:t>2020),</w:t>
      </w:r>
      <w:r w:rsidR="00083739" w:rsidRPr="00083739">
        <w:rPr>
          <w:rFonts w:cs="Times New Roman"/>
          <w:noProof/>
          <w:lang w:val="sk-SK"/>
        </w:rPr>
        <w:t xml:space="preserve"> v </w:t>
      </w:r>
      <w:r w:rsidRPr="00083739">
        <w:rPr>
          <w:rFonts w:cs="Times New Roman"/>
          <w:noProof/>
          <w:lang w:val="sk-SK"/>
        </w:rPr>
        <w:t>ktorom sa Grécko vyzýva, aby zameralo investície na digitálnu transformáciu,</w:t>
      </w:r>
      <w:r w:rsidR="00083739" w:rsidRPr="00083739">
        <w:rPr>
          <w:rFonts w:cs="Times New Roman"/>
          <w:noProof/>
          <w:lang w:val="sk-SK"/>
        </w:rPr>
        <w:t xml:space="preserve"> a </w:t>
      </w:r>
      <w:r w:rsidRPr="00083739">
        <w:rPr>
          <w:rFonts w:cs="Times New Roman"/>
          <w:noProof/>
          <w:lang w:val="sk-SK"/>
        </w:rPr>
        <w:t>najmä na digitálnu infraštruktúru</w:t>
      </w:r>
      <w:r w:rsidR="00083739" w:rsidRPr="00083739">
        <w:rPr>
          <w:rFonts w:cs="Times New Roman"/>
          <w:noProof/>
          <w:lang w:val="sk-SK"/>
        </w:rPr>
        <w:t xml:space="preserve"> s </w:t>
      </w:r>
      <w:r w:rsidRPr="00083739">
        <w:rPr>
          <w:rFonts w:cs="Times New Roman"/>
          <w:noProof/>
          <w:lang w:val="sk-SK"/>
        </w:rPr>
        <w:t>veľmi vysokou kapacitou. Takisto účinne re</w:t>
      </w:r>
      <w:r w:rsidRPr="00083739">
        <w:rPr>
          <w:rFonts w:cs="Times New Roman"/>
          <w:noProof/>
          <w:lang w:val="sk-SK"/>
        </w:rPr>
        <w:t>agujú na digitálnu transformáciu a/alebo výzvy, ktoré</w:t>
      </w:r>
      <w:r w:rsidR="00083739" w:rsidRPr="00083739">
        <w:rPr>
          <w:rFonts w:cs="Times New Roman"/>
          <w:noProof/>
          <w:lang w:val="sk-SK"/>
        </w:rPr>
        <w:t xml:space="preserve"> z </w:t>
      </w:r>
      <w:r w:rsidRPr="00083739">
        <w:rPr>
          <w:rFonts w:cs="Times New Roman"/>
          <w:noProof/>
          <w:lang w:val="sk-SK"/>
        </w:rPr>
        <w:t>nej vyplývajú, keďže sa očakáva, že významne prispejú</w:t>
      </w:r>
      <w:r w:rsidR="00083739" w:rsidRPr="00083739">
        <w:rPr>
          <w:rFonts w:cs="Times New Roman"/>
          <w:noProof/>
          <w:lang w:val="sk-SK"/>
        </w:rPr>
        <w:t xml:space="preserve"> k </w:t>
      </w:r>
      <w:r w:rsidRPr="00083739">
        <w:rPr>
          <w:rFonts w:cs="Times New Roman"/>
          <w:noProof/>
          <w:lang w:val="sk-SK"/>
        </w:rPr>
        <w:t>zlepšeniu vysokorýchlostného pripojenia</w:t>
      </w:r>
      <w:r w:rsidR="00083739" w:rsidRPr="00083739">
        <w:rPr>
          <w:rFonts w:cs="Times New Roman"/>
          <w:noProof/>
          <w:lang w:val="sk-SK"/>
        </w:rPr>
        <w:t xml:space="preserve"> v </w:t>
      </w:r>
      <w:r w:rsidRPr="00083739">
        <w:rPr>
          <w:rFonts w:cs="Times New Roman"/>
          <w:noProof/>
          <w:lang w:val="sk-SK"/>
        </w:rPr>
        <w:t>Grécku. Očakáva sa, že žiadne opatrenie</w:t>
      </w:r>
      <w:r w:rsidR="00083739" w:rsidRPr="00083739">
        <w:rPr>
          <w:rFonts w:cs="Times New Roman"/>
          <w:noProof/>
          <w:lang w:val="sk-SK"/>
        </w:rPr>
        <w:t xml:space="preserve"> v </w:t>
      </w:r>
      <w:r w:rsidRPr="00083739">
        <w:rPr>
          <w:rFonts w:cs="Times New Roman"/>
          <w:noProof/>
          <w:lang w:val="sk-SK"/>
        </w:rPr>
        <w:t>tomto komponente výrazne nenaruší environmentálne ciele</w:t>
      </w:r>
      <w:r w:rsidR="00083739" w:rsidRPr="00083739">
        <w:rPr>
          <w:rFonts w:cs="Times New Roman"/>
          <w:noProof/>
          <w:lang w:val="sk-SK"/>
        </w:rPr>
        <w:t xml:space="preserve"> v </w:t>
      </w:r>
      <w:r w:rsidRPr="00083739">
        <w:rPr>
          <w:rFonts w:cs="Times New Roman"/>
          <w:noProof/>
          <w:lang w:val="sk-SK"/>
        </w:rPr>
        <w:t>zm</w:t>
      </w:r>
      <w:r w:rsidRPr="00083739">
        <w:rPr>
          <w:rFonts w:cs="Times New Roman"/>
          <w:noProof/>
          <w:lang w:val="sk-SK"/>
        </w:rPr>
        <w:t>ysle článku 17 nariadenia (EÚ) 2020/852, pričom sa zohľadní opis opatrení</w:t>
      </w:r>
      <w:r w:rsidR="00083739" w:rsidRPr="00083739">
        <w:rPr>
          <w:rFonts w:cs="Times New Roman"/>
          <w:noProof/>
          <w:lang w:val="sk-SK"/>
        </w:rPr>
        <w:t xml:space="preserve"> a </w:t>
      </w:r>
      <w:r w:rsidRPr="00083739">
        <w:rPr>
          <w:rFonts w:cs="Times New Roman"/>
          <w:noProof/>
          <w:lang w:val="sk-SK"/>
        </w:rPr>
        <w:t>zmierňujúcich krokov stanovených</w:t>
      </w:r>
      <w:r w:rsidR="00083739" w:rsidRPr="00083739">
        <w:rPr>
          <w:rFonts w:cs="Times New Roman"/>
          <w:noProof/>
          <w:lang w:val="sk-SK"/>
        </w:rPr>
        <w:t xml:space="preserve"> v </w:t>
      </w:r>
      <w:r w:rsidRPr="00083739">
        <w:rPr>
          <w:rFonts w:cs="Times New Roman"/>
          <w:noProof/>
          <w:lang w:val="sk-SK"/>
        </w:rPr>
        <w:t>pláne podpory obnovy</w:t>
      </w:r>
      <w:r w:rsidR="00083739" w:rsidRPr="00083739">
        <w:rPr>
          <w:rFonts w:cs="Times New Roman"/>
          <w:noProof/>
          <w:lang w:val="sk-SK"/>
        </w:rPr>
        <w:t xml:space="preserve"> a </w:t>
      </w:r>
      <w:r w:rsidRPr="00083739">
        <w:rPr>
          <w:rFonts w:cs="Times New Roman"/>
          <w:noProof/>
          <w:lang w:val="sk-SK"/>
        </w:rPr>
        <w:t>odolnosti</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technickým usmernením „výrazne nenarušiť“ (2021/C58/01).</w:t>
      </w:r>
    </w:p>
    <w:p w14:paraId="302E9409" w14:textId="1944503C" w:rsidR="002D49B0" w:rsidRPr="00083739" w:rsidRDefault="00BF4125">
      <w:pPr>
        <w:spacing w:before="120" w:after="120" w:line="240" w:lineRule="auto"/>
        <w:jc w:val="both"/>
        <w:rPr>
          <w:rFonts w:ascii="Times New Roman" w:hAnsi="Times New Roman" w:cs="Times New Roman"/>
          <w:b/>
          <w:i/>
          <w:noProof/>
          <w:color w:val="4F81BD"/>
          <w:sz w:val="24"/>
          <w:lang w:val="sk-SK"/>
        </w:rPr>
      </w:pPr>
      <w:r w:rsidRPr="00083739">
        <w:rPr>
          <w:rFonts w:ascii="Times New Roman" w:hAnsi="Times New Roman" w:cs="Times New Roman"/>
          <w:b/>
          <w:noProof/>
          <w:sz w:val="24"/>
          <w:u w:val="single"/>
          <w:lang w:val="sk-SK"/>
        </w:rPr>
        <w:t xml:space="preserve">E.1. </w:t>
      </w:r>
      <w:r w:rsidRPr="00083739">
        <w:rPr>
          <w:rFonts w:ascii="Times New Roman" w:hAnsi="Times New Roman" w:cs="Times New Roman"/>
          <w:noProof/>
          <w:lang w:val="sk-SK"/>
        </w:rPr>
        <w:t xml:space="preserve"> </w:t>
      </w:r>
      <w:r w:rsidRPr="00083739">
        <w:rPr>
          <w:rFonts w:ascii="Times New Roman" w:hAnsi="Times New Roman" w:cs="Times New Roman"/>
          <w:b/>
          <w:noProof/>
          <w:sz w:val="24"/>
          <w:u w:val="single"/>
          <w:lang w:val="sk-SK"/>
        </w:rPr>
        <w:t>Opis reforiem</w:t>
      </w:r>
      <w:r w:rsidR="00083739" w:rsidRPr="00083739">
        <w:rPr>
          <w:rFonts w:ascii="Times New Roman" w:hAnsi="Times New Roman" w:cs="Times New Roman"/>
          <w:b/>
          <w:noProof/>
          <w:sz w:val="24"/>
          <w:u w:val="single"/>
          <w:lang w:val="sk-SK"/>
        </w:rPr>
        <w:t xml:space="preserve"> a </w:t>
      </w:r>
      <w:r w:rsidRPr="00083739">
        <w:rPr>
          <w:rFonts w:ascii="Times New Roman" w:hAnsi="Times New Roman" w:cs="Times New Roman"/>
          <w:b/>
          <w:noProof/>
          <w:sz w:val="24"/>
          <w:u w:val="single"/>
          <w:lang w:val="sk-SK"/>
        </w:rPr>
        <w:t>investícií</w:t>
      </w:r>
      <w:r w:rsidR="00083739" w:rsidRPr="00083739">
        <w:rPr>
          <w:rFonts w:ascii="Times New Roman" w:hAnsi="Times New Roman" w:cs="Times New Roman"/>
          <w:b/>
          <w:noProof/>
          <w:sz w:val="24"/>
          <w:u w:val="single"/>
          <w:lang w:val="sk-SK"/>
        </w:rPr>
        <w:t xml:space="preserve"> v </w:t>
      </w:r>
      <w:r w:rsidRPr="00083739">
        <w:rPr>
          <w:rFonts w:ascii="Times New Roman" w:hAnsi="Times New Roman" w:cs="Times New Roman"/>
          <w:b/>
          <w:noProof/>
          <w:sz w:val="24"/>
          <w:u w:val="single"/>
          <w:lang w:val="sk-SK"/>
        </w:rPr>
        <w:t>rámci nen</w:t>
      </w:r>
      <w:r w:rsidRPr="00083739">
        <w:rPr>
          <w:rFonts w:ascii="Times New Roman" w:hAnsi="Times New Roman" w:cs="Times New Roman"/>
          <w:b/>
          <w:noProof/>
          <w:sz w:val="24"/>
          <w:u w:val="single"/>
          <w:lang w:val="sk-SK"/>
        </w:rPr>
        <w:t>ávratnej finančnej podpory</w:t>
      </w:r>
    </w:p>
    <w:p w14:paraId="05F1E5F4" w14:textId="7777777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Malé družice (ID opatrenia: 16855)</w:t>
      </w:r>
    </w:p>
    <w:p w14:paraId="2C0F7C76" w14:textId="382497A2"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Investícia sa týka rozvoja sústavy malých satelitov, ktorá podporuje služby konektivity, ako aj aplikácie na pozorovanie Zeme</w:t>
      </w:r>
      <w:r w:rsidR="00083739" w:rsidRPr="00083739">
        <w:rPr>
          <w:rFonts w:cs="Times New Roman"/>
          <w:noProof/>
          <w:lang w:val="sk-SK"/>
        </w:rPr>
        <w:t xml:space="preserve"> v </w:t>
      </w:r>
      <w:r w:rsidRPr="00083739">
        <w:rPr>
          <w:rFonts w:cs="Times New Roman"/>
          <w:noProof/>
          <w:lang w:val="sk-SK"/>
        </w:rPr>
        <w:t>oblastiach mapovania, lodnej dopravy, presného poľnoho</w:t>
      </w:r>
      <w:r w:rsidRPr="00083739">
        <w:rPr>
          <w:rFonts w:cs="Times New Roman"/>
          <w:noProof/>
          <w:lang w:val="sk-SK"/>
        </w:rPr>
        <w:t>spodárstva, priestorového plánovania</w:t>
      </w:r>
      <w:r w:rsidR="00083739" w:rsidRPr="00083739">
        <w:rPr>
          <w:rFonts w:cs="Times New Roman"/>
          <w:noProof/>
          <w:lang w:val="sk-SK"/>
        </w:rPr>
        <w:t xml:space="preserve"> a </w:t>
      </w:r>
      <w:r w:rsidRPr="00083739">
        <w:rPr>
          <w:rFonts w:cs="Times New Roman"/>
          <w:noProof/>
          <w:lang w:val="sk-SK"/>
        </w:rPr>
        <w:t>iných oblastí. Realizácia investície sa ukončí do 31</w:t>
      </w:r>
      <w:r w:rsidR="00083739" w:rsidRPr="00083739">
        <w:rPr>
          <w:rFonts w:cs="Times New Roman"/>
          <w:noProof/>
          <w:lang w:val="sk-SK"/>
        </w:rPr>
        <w:t>. decembra</w:t>
      </w:r>
      <w:r w:rsidRPr="00083739">
        <w:rPr>
          <w:rFonts w:cs="Times New Roman"/>
          <w:noProof/>
          <w:lang w:val="sk-SK"/>
        </w:rPr>
        <w:t xml:space="preserve"> 2025.</w:t>
      </w:r>
    </w:p>
    <w:p w14:paraId="692684E5" w14:textId="77777777" w:rsidR="002D49B0" w:rsidRPr="00083739" w:rsidRDefault="00BF4125">
      <w:pPr>
        <w:pStyle w:val="P68B1DB1-Normal4"/>
        <w:spacing w:before="120" w:after="120" w:line="240" w:lineRule="auto"/>
        <w:jc w:val="both"/>
        <w:rPr>
          <w:rFonts w:cs="Times New Roman"/>
          <w:noProof/>
          <w:szCs w:val="24"/>
          <w:lang w:val="sk-SK"/>
        </w:rPr>
      </w:pPr>
      <w:r w:rsidRPr="00083739">
        <w:rPr>
          <w:rFonts w:cs="Times New Roman"/>
          <w:b/>
          <w:noProof/>
          <w:lang w:val="sk-SK"/>
        </w:rPr>
        <w:t>Reforma:</w:t>
      </w:r>
      <w:r w:rsidRPr="00083739">
        <w:rPr>
          <w:rFonts w:cs="Times New Roman"/>
          <w:noProof/>
          <w:lang w:val="sk-SK"/>
        </w:rPr>
        <w:t xml:space="preserve"> Prechod na technológiu 5G, uľahčenie rozvoja inovačných služieb na diaľku (ID opatrenia: 16844)</w:t>
      </w:r>
    </w:p>
    <w:p w14:paraId="05C530B8" w14:textId="65CC16D8"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Reformou sa vytvorí základ pre prechod na</w:t>
      </w:r>
      <w:r w:rsidRPr="00083739">
        <w:rPr>
          <w:rFonts w:cs="Times New Roman"/>
          <w:noProof/>
          <w:lang w:val="sk-SK"/>
        </w:rPr>
        <w:t xml:space="preserve"> technológiu 5G. Prvá fáza reformy sa zameriava na vykonávanie regulačného</w:t>
      </w:r>
      <w:r w:rsidR="00083739" w:rsidRPr="00083739">
        <w:rPr>
          <w:rFonts w:cs="Times New Roman"/>
          <w:noProof/>
          <w:lang w:val="sk-SK"/>
        </w:rPr>
        <w:t xml:space="preserve"> a </w:t>
      </w:r>
      <w:r w:rsidRPr="00083739">
        <w:rPr>
          <w:rFonts w:cs="Times New Roman"/>
          <w:noProof/>
          <w:lang w:val="sk-SK"/>
        </w:rPr>
        <w:t>legislatívneho rámca, najmä</w:t>
      </w:r>
      <w:r w:rsidR="00083739" w:rsidRPr="00083739">
        <w:rPr>
          <w:rFonts w:cs="Times New Roman"/>
          <w:noProof/>
          <w:lang w:val="sk-SK"/>
        </w:rPr>
        <w:t xml:space="preserve"> s </w:t>
      </w:r>
      <w:r w:rsidRPr="00083739">
        <w:rPr>
          <w:rFonts w:cs="Times New Roman"/>
          <w:noProof/>
          <w:lang w:val="sk-SK"/>
        </w:rPr>
        <w:t>využitím 25</w:t>
      </w:r>
      <w:r w:rsidR="00083739" w:rsidRPr="00083739">
        <w:rPr>
          <w:rFonts w:cs="Times New Roman"/>
          <w:noProof/>
          <w:lang w:val="sk-SK"/>
        </w:rPr>
        <w:t> %</w:t>
      </w:r>
      <w:r w:rsidRPr="00083739">
        <w:rPr>
          <w:rFonts w:cs="Times New Roman"/>
          <w:noProof/>
          <w:lang w:val="sk-SK"/>
        </w:rPr>
        <w:t xml:space="preserve"> multipásmových príjmov</w:t>
      </w:r>
      <w:r w:rsidR="00083739" w:rsidRPr="00083739">
        <w:rPr>
          <w:rFonts w:cs="Times New Roman"/>
          <w:noProof/>
          <w:lang w:val="sk-SK"/>
        </w:rPr>
        <w:t xml:space="preserve"> z </w:t>
      </w:r>
      <w:r w:rsidRPr="00083739">
        <w:rPr>
          <w:rFonts w:cs="Times New Roman"/>
          <w:noProof/>
          <w:lang w:val="sk-SK"/>
        </w:rPr>
        <w:t>aukcií 5G na podporu inovačného fondu Phaistos, ktorý investuje do spoločností</w:t>
      </w:r>
      <w:r w:rsidR="00083739" w:rsidRPr="00083739">
        <w:rPr>
          <w:rFonts w:cs="Times New Roman"/>
          <w:noProof/>
          <w:lang w:val="sk-SK"/>
        </w:rPr>
        <w:t xml:space="preserve"> a </w:t>
      </w:r>
      <w:r w:rsidRPr="00083739">
        <w:rPr>
          <w:rFonts w:cs="Times New Roman"/>
          <w:noProof/>
          <w:lang w:val="sk-SK"/>
        </w:rPr>
        <w:t>projektov poskytujúcich produ</w:t>
      </w:r>
      <w:r w:rsidRPr="00083739">
        <w:rPr>
          <w:rFonts w:cs="Times New Roman"/>
          <w:noProof/>
          <w:lang w:val="sk-SK"/>
        </w:rPr>
        <w:t>kty</w:t>
      </w:r>
      <w:r w:rsidR="00083739" w:rsidRPr="00083739">
        <w:rPr>
          <w:rFonts w:cs="Times New Roman"/>
          <w:noProof/>
          <w:lang w:val="sk-SK"/>
        </w:rPr>
        <w:t xml:space="preserve"> a </w:t>
      </w:r>
      <w:r w:rsidRPr="00083739">
        <w:rPr>
          <w:rFonts w:cs="Times New Roman"/>
          <w:noProof/>
          <w:lang w:val="sk-SK"/>
        </w:rPr>
        <w:t>služby 5G. Druhá fáza zahŕňa proces identifikácie ďalších príležitostí</w:t>
      </w:r>
      <w:r w:rsidR="00083739" w:rsidRPr="00083739">
        <w:rPr>
          <w:rFonts w:cs="Times New Roman"/>
          <w:noProof/>
          <w:lang w:val="sk-SK"/>
        </w:rPr>
        <w:t xml:space="preserve"> a </w:t>
      </w:r>
      <w:r w:rsidRPr="00083739">
        <w:rPr>
          <w:rFonts w:cs="Times New Roman"/>
          <w:noProof/>
          <w:lang w:val="sk-SK"/>
        </w:rPr>
        <w:t>rizík pri rozvoji sietí 5G, zefektívnenie postupov</w:t>
      </w:r>
      <w:r w:rsidR="00083739" w:rsidRPr="00083739">
        <w:rPr>
          <w:rFonts w:cs="Times New Roman"/>
          <w:noProof/>
          <w:lang w:val="sk-SK"/>
        </w:rPr>
        <w:t xml:space="preserve"> a </w:t>
      </w:r>
      <w:r w:rsidRPr="00083739">
        <w:rPr>
          <w:rFonts w:cs="Times New Roman"/>
          <w:noProof/>
          <w:lang w:val="sk-SK"/>
        </w:rPr>
        <w:t>posúdenie požiadaviek</w:t>
      </w:r>
      <w:r w:rsidR="00083739" w:rsidRPr="00083739">
        <w:rPr>
          <w:rFonts w:cs="Times New Roman"/>
          <w:noProof/>
          <w:lang w:val="sk-SK"/>
        </w:rPr>
        <w:t xml:space="preserve"> a </w:t>
      </w:r>
      <w:r w:rsidRPr="00083739">
        <w:rPr>
          <w:rFonts w:cs="Times New Roman"/>
          <w:noProof/>
          <w:lang w:val="sk-SK"/>
        </w:rPr>
        <w:t>rizík</w:t>
      </w:r>
      <w:r w:rsidR="00083739" w:rsidRPr="00083739">
        <w:rPr>
          <w:rFonts w:cs="Times New Roman"/>
          <w:noProof/>
          <w:lang w:val="sk-SK"/>
        </w:rPr>
        <w:t xml:space="preserve"> v </w:t>
      </w:r>
      <w:r w:rsidRPr="00083739">
        <w:rPr>
          <w:rFonts w:cs="Times New Roman"/>
          <w:noProof/>
          <w:lang w:val="sk-SK"/>
        </w:rPr>
        <w:t>konkrétnych ekonomických aplikáciách (ako je doprava). Implementácia reformy sa dokončí do 3</w:t>
      </w:r>
      <w:r w:rsidRPr="00083739">
        <w:rPr>
          <w:rFonts w:cs="Times New Roman"/>
          <w:noProof/>
          <w:lang w:val="sk-SK"/>
        </w:rPr>
        <w:t>0</w:t>
      </w:r>
      <w:r w:rsidR="00083739" w:rsidRPr="00083739">
        <w:rPr>
          <w:rFonts w:cs="Times New Roman"/>
          <w:noProof/>
          <w:lang w:val="sk-SK"/>
        </w:rPr>
        <w:t>. septembra</w:t>
      </w:r>
      <w:r w:rsidRPr="00083739">
        <w:rPr>
          <w:rFonts w:cs="Times New Roman"/>
          <w:noProof/>
          <w:lang w:val="sk-SK"/>
        </w:rPr>
        <w:t xml:space="preserve"> 2024.</w:t>
      </w:r>
    </w:p>
    <w:p w14:paraId="78EAA90E" w14:textId="56E11CC0"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 xml:space="preserve">Reforma: </w:t>
      </w:r>
      <w:r w:rsidRPr="00083739">
        <w:rPr>
          <w:rFonts w:cs="Times New Roman"/>
          <w:noProof/>
          <w:lang w:val="sk-SK"/>
        </w:rPr>
        <w:t>Prechod na gigabitové širokopásmové pripojenia – prechod na gigabitové širokopásmové pripojenia</w:t>
      </w:r>
      <w:r w:rsidR="00083739" w:rsidRPr="00083739">
        <w:rPr>
          <w:rFonts w:cs="Times New Roman"/>
          <w:noProof/>
          <w:lang w:val="sk-SK"/>
        </w:rPr>
        <w:t xml:space="preserve"> a </w:t>
      </w:r>
      <w:r w:rsidRPr="00083739">
        <w:rPr>
          <w:rFonts w:cs="Times New Roman"/>
          <w:noProof/>
          <w:lang w:val="sk-SK"/>
        </w:rPr>
        <w:t>posilnenie dopytu po gigabitovom širokopásmovom pripojení (ID opatrenia: 16857)</w:t>
      </w:r>
    </w:p>
    <w:p w14:paraId="3636EFB7" w14:textId="5BB8B4C3"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Táto reforma spočíva</w:t>
      </w:r>
      <w:r w:rsidR="00083739" w:rsidRPr="00083739">
        <w:rPr>
          <w:rFonts w:cs="Times New Roman"/>
          <w:noProof/>
          <w:lang w:val="sk-SK"/>
        </w:rPr>
        <w:t xml:space="preserve"> v </w:t>
      </w:r>
      <w:r w:rsidRPr="00083739">
        <w:rPr>
          <w:rFonts w:cs="Times New Roman"/>
          <w:noProof/>
          <w:lang w:val="sk-SK"/>
        </w:rPr>
        <w:t>nadobudnutí účinnosti právn</w:t>
      </w:r>
      <w:r w:rsidRPr="00083739">
        <w:rPr>
          <w:rFonts w:cs="Times New Roman"/>
          <w:noProof/>
          <w:lang w:val="sk-SK"/>
        </w:rPr>
        <w:t>eho rámca na prechod na siete</w:t>
      </w:r>
      <w:r w:rsidR="00083739" w:rsidRPr="00083739">
        <w:rPr>
          <w:rFonts w:cs="Times New Roman"/>
          <w:noProof/>
          <w:lang w:val="sk-SK"/>
        </w:rPr>
        <w:t xml:space="preserve"> s </w:t>
      </w:r>
      <w:r w:rsidRPr="00083739">
        <w:rPr>
          <w:rFonts w:cs="Times New Roman"/>
          <w:noProof/>
          <w:lang w:val="sk-SK"/>
        </w:rPr>
        <w:t>veľmi vysokou kapacitou</w:t>
      </w:r>
      <w:r w:rsidR="00083739" w:rsidRPr="00083739">
        <w:rPr>
          <w:rFonts w:cs="Times New Roman"/>
          <w:noProof/>
          <w:lang w:val="sk-SK"/>
        </w:rPr>
        <w:t xml:space="preserve"> s </w:t>
      </w:r>
      <w:r w:rsidRPr="00083739">
        <w:rPr>
          <w:rFonts w:cs="Times New Roman"/>
          <w:noProof/>
          <w:lang w:val="sk-SK"/>
        </w:rPr>
        <w:t>veľmi vysokou kapacitou prostredníctvom inštalácie optických vlákien</w:t>
      </w:r>
      <w:r w:rsidR="00083739" w:rsidRPr="00083739">
        <w:rPr>
          <w:rFonts w:cs="Times New Roman"/>
          <w:noProof/>
          <w:lang w:val="sk-SK"/>
        </w:rPr>
        <w:t xml:space="preserve"> a </w:t>
      </w:r>
      <w:r w:rsidRPr="00083739">
        <w:rPr>
          <w:rFonts w:cs="Times New Roman"/>
          <w:noProof/>
          <w:lang w:val="sk-SK"/>
        </w:rPr>
        <w:t>sprievodného vybavenia</w:t>
      </w:r>
      <w:r w:rsidR="00083739" w:rsidRPr="00083739">
        <w:rPr>
          <w:rFonts w:cs="Times New Roman"/>
          <w:noProof/>
          <w:lang w:val="sk-SK"/>
        </w:rPr>
        <w:t xml:space="preserve"> v </w:t>
      </w:r>
      <w:r w:rsidRPr="00083739">
        <w:rPr>
          <w:rFonts w:cs="Times New Roman"/>
          <w:noProof/>
          <w:lang w:val="sk-SK"/>
        </w:rPr>
        <w:t>budovách, ako aj podmorských káblov</w:t>
      </w:r>
      <w:r w:rsidR="00083739" w:rsidRPr="00083739">
        <w:rPr>
          <w:rFonts w:cs="Times New Roman"/>
          <w:noProof/>
          <w:lang w:val="sk-SK"/>
        </w:rPr>
        <w:t xml:space="preserve"> v </w:t>
      </w:r>
      <w:r w:rsidRPr="00083739">
        <w:rPr>
          <w:rFonts w:cs="Times New Roman"/>
          <w:noProof/>
          <w:lang w:val="sk-SK"/>
        </w:rPr>
        <w:t>prípade gréckych ostrovov, ktoré umožňujú väčšie pokrytie gigabi</w:t>
      </w:r>
      <w:r w:rsidRPr="00083739">
        <w:rPr>
          <w:rFonts w:cs="Times New Roman"/>
          <w:noProof/>
          <w:lang w:val="sk-SK"/>
        </w:rPr>
        <w:t>tovými širokopásmovými pripojeniami.</w:t>
      </w:r>
      <w:r w:rsidR="00083739" w:rsidRPr="00083739">
        <w:rPr>
          <w:rFonts w:cs="Times New Roman"/>
          <w:noProof/>
          <w:lang w:val="sk-SK"/>
        </w:rPr>
        <w:t xml:space="preserve"> V </w:t>
      </w:r>
      <w:r w:rsidRPr="00083739">
        <w:rPr>
          <w:rFonts w:cs="Times New Roman"/>
          <w:noProof/>
          <w:lang w:val="sk-SK"/>
        </w:rPr>
        <w:t>právnom rámci sa vymedzia technické špecifikácie</w:t>
      </w:r>
      <w:r w:rsidR="00083739" w:rsidRPr="00083739">
        <w:rPr>
          <w:rFonts w:cs="Times New Roman"/>
          <w:noProof/>
          <w:lang w:val="sk-SK"/>
        </w:rPr>
        <w:t xml:space="preserve"> a </w:t>
      </w:r>
      <w:r w:rsidRPr="00083739">
        <w:rPr>
          <w:rFonts w:cs="Times New Roman"/>
          <w:noProof/>
          <w:lang w:val="sk-SK"/>
        </w:rPr>
        <w:t>príslušné pravidlá</w:t>
      </w:r>
      <w:r w:rsidR="00083739" w:rsidRPr="00083739">
        <w:rPr>
          <w:rFonts w:cs="Times New Roman"/>
          <w:noProof/>
          <w:lang w:val="sk-SK"/>
        </w:rPr>
        <w:t xml:space="preserve"> a </w:t>
      </w:r>
      <w:r w:rsidRPr="00083739">
        <w:rPr>
          <w:rFonts w:cs="Times New Roman"/>
          <w:noProof/>
          <w:lang w:val="sk-SK"/>
        </w:rPr>
        <w:t>postupy zavádzania širokopásmovej infraštruktúry</w:t>
      </w:r>
      <w:r w:rsidR="00083739" w:rsidRPr="00083739">
        <w:rPr>
          <w:rFonts w:cs="Times New Roman"/>
          <w:noProof/>
          <w:lang w:val="sk-SK"/>
        </w:rPr>
        <w:t xml:space="preserve"> v </w:t>
      </w:r>
      <w:r w:rsidRPr="00083739">
        <w:rPr>
          <w:rFonts w:cs="Times New Roman"/>
          <w:noProof/>
          <w:lang w:val="sk-SK"/>
        </w:rPr>
        <w:t>budove, ktorá je schopná poskytovať gigabitové pripojenie koncovým používateľom. Implementácia</w:t>
      </w:r>
      <w:r w:rsidRPr="00083739">
        <w:rPr>
          <w:rFonts w:cs="Times New Roman"/>
          <w:noProof/>
          <w:lang w:val="sk-SK"/>
        </w:rPr>
        <w:t xml:space="preserve"> reformy sa dokončí do 30</w:t>
      </w:r>
      <w:r w:rsidR="00083739" w:rsidRPr="00083739">
        <w:rPr>
          <w:rFonts w:cs="Times New Roman"/>
          <w:noProof/>
          <w:lang w:val="sk-SK"/>
        </w:rPr>
        <w:t>. júna</w:t>
      </w:r>
      <w:r w:rsidRPr="00083739">
        <w:rPr>
          <w:rFonts w:cs="Times New Roman"/>
          <w:noProof/>
          <w:lang w:val="sk-SK"/>
        </w:rPr>
        <w:t xml:space="preserve"> 2024.</w:t>
      </w:r>
      <w:r w:rsidRPr="00083739">
        <w:rPr>
          <w:rFonts w:cs="Times New Roman"/>
          <w:b/>
          <w:noProof/>
          <w:lang w:val="sk-SK"/>
        </w:rPr>
        <w:t>Investícia:</w:t>
      </w:r>
      <w:r w:rsidRPr="00083739">
        <w:rPr>
          <w:rFonts w:cs="Times New Roman"/>
          <w:noProof/>
          <w:lang w:val="sk-SK"/>
        </w:rPr>
        <w:t xml:space="preserve"> Optická infraštruktúra</w:t>
      </w:r>
      <w:r w:rsidR="00083739" w:rsidRPr="00083739">
        <w:rPr>
          <w:rFonts w:cs="Times New Roman"/>
          <w:noProof/>
          <w:lang w:val="sk-SK"/>
        </w:rPr>
        <w:t xml:space="preserve"> v </w:t>
      </w:r>
      <w:r w:rsidRPr="00083739">
        <w:rPr>
          <w:rFonts w:cs="Times New Roman"/>
          <w:noProof/>
          <w:lang w:val="sk-SK"/>
        </w:rPr>
        <w:t>budovách (ID opatrenia: 16818)</w:t>
      </w:r>
    </w:p>
    <w:p w14:paraId="7497150C" w14:textId="3CC47986"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Investícia podporuje inštaláciu optickej infraštruktúry</w:t>
      </w:r>
      <w:r w:rsidR="00083739" w:rsidRPr="00083739">
        <w:rPr>
          <w:rFonts w:cs="Times New Roman"/>
          <w:noProof/>
          <w:lang w:val="sk-SK"/>
        </w:rPr>
        <w:t xml:space="preserve"> v </w:t>
      </w:r>
      <w:r w:rsidRPr="00083739">
        <w:rPr>
          <w:rFonts w:cs="Times New Roman"/>
          <w:noProof/>
          <w:lang w:val="sk-SK"/>
        </w:rPr>
        <w:t>obytných</w:t>
      </w:r>
      <w:r w:rsidR="00083739" w:rsidRPr="00083739">
        <w:rPr>
          <w:rFonts w:cs="Times New Roman"/>
          <w:noProof/>
          <w:lang w:val="sk-SK"/>
        </w:rPr>
        <w:t xml:space="preserve"> a </w:t>
      </w:r>
      <w:r w:rsidRPr="00083739">
        <w:rPr>
          <w:rFonts w:cs="Times New Roman"/>
          <w:noProof/>
          <w:lang w:val="sk-SK"/>
        </w:rPr>
        <w:t>komerčných budovách</w:t>
      </w:r>
      <w:r w:rsidR="00083739" w:rsidRPr="00083739">
        <w:rPr>
          <w:rFonts w:cs="Times New Roman"/>
          <w:noProof/>
          <w:lang w:val="sk-SK"/>
        </w:rPr>
        <w:t xml:space="preserve"> a </w:t>
      </w:r>
      <w:r w:rsidRPr="00083739">
        <w:rPr>
          <w:rFonts w:cs="Times New Roman"/>
          <w:noProof/>
          <w:lang w:val="sk-SK"/>
        </w:rPr>
        <w:t>pripojenie koncových používateľov do vysokokapacitných sietí</w:t>
      </w:r>
      <w:r w:rsidRPr="00083739">
        <w:rPr>
          <w:rFonts w:cs="Times New Roman"/>
          <w:noProof/>
          <w:lang w:val="sk-SK"/>
        </w:rPr>
        <w:t xml:space="preserve"> (VHCN) na základe systému dotácií na dopyt (poukážky), ktorým sa dotujú a) náklady na interné káblové rozvody</w:t>
      </w:r>
      <w:r w:rsidR="00083739" w:rsidRPr="00083739">
        <w:rPr>
          <w:rFonts w:cs="Times New Roman"/>
          <w:noProof/>
          <w:lang w:val="sk-SK"/>
        </w:rPr>
        <w:t xml:space="preserve"> a </w:t>
      </w:r>
      <w:r w:rsidRPr="00083739">
        <w:rPr>
          <w:rFonts w:cs="Times New Roman"/>
          <w:noProof/>
          <w:lang w:val="sk-SK"/>
        </w:rPr>
        <w:t>b) poplatky za pripojenie (jednorazový poplatok za zriadenie širokopásmových služieb). Realizácia investície sa ukončí do 31</w:t>
      </w:r>
      <w:r w:rsidR="00083739" w:rsidRPr="00083739">
        <w:rPr>
          <w:rFonts w:cs="Times New Roman"/>
          <w:noProof/>
          <w:lang w:val="sk-SK"/>
        </w:rPr>
        <w:t>. decembra</w:t>
      </w:r>
      <w:r w:rsidRPr="00083739">
        <w:rPr>
          <w:rFonts w:cs="Times New Roman"/>
          <w:noProof/>
          <w:lang w:val="sk-SK"/>
        </w:rPr>
        <w:t xml:space="preserve"> 2025.</w:t>
      </w:r>
    </w:p>
    <w:p w14:paraId="630F57D5" w14:textId="77777777" w:rsidR="002D49B0" w:rsidRPr="00083739" w:rsidRDefault="002D49B0">
      <w:pPr>
        <w:spacing w:before="120" w:after="120" w:line="240" w:lineRule="auto"/>
        <w:jc w:val="both"/>
        <w:rPr>
          <w:rFonts w:ascii="Times New Roman" w:hAnsi="Times New Roman" w:cs="Times New Roman"/>
          <w:b/>
          <w:noProof/>
          <w:sz w:val="24"/>
          <w:lang w:val="sk-SK"/>
        </w:rPr>
      </w:pPr>
    </w:p>
    <w:p w14:paraId="5EA96490" w14:textId="77777777" w:rsidR="002D49B0" w:rsidRPr="00083739" w:rsidRDefault="002D49B0">
      <w:pPr>
        <w:spacing w:before="120" w:after="120" w:line="240" w:lineRule="auto"/>
        <w:ind w:left="709"/>
        <w:jc w:val="both"/>
        <w:rPr>
          <w:rFonts w:ascii="Times New Roman" w:hAnsi="Times New Roman" w:cs="Times New Roman"/>
          <w:noProof/>
          <w:sz w:val="24"/>
          <w:lang w:val="sk-SK"/>
        </w:rPr>
      </w:pPr>
    </w:p>
    <w:p w14:paraId="2383CE84" w14:textId="77777777" w:rsidR="002D49B0" w:rsidRPr="00083739" w:rsidRDefault="002D49B0">
      <w:pPr>
        <w:spacing w:before="120" w:after="120" w:line="240" w:lineRule="auto"/>
        <w:ind w:left="709"/>
        <w:jc w:val="both"/>
        <w:rPr>
          <w:rFonts w:ascii="Times New Roman" w:hAnsi="Times New Roman" w:cs="Times New Roman"/>
          <w:noProof/>
          <w:sz w:val="24"/>
          <w:lang w:val="sk-SK"/>
        </w:rPr>
        <w:sectPr w:rsidR="002D49B0" w:rsidRPr="00083739" w:rsidSect="00271D33">
          <w:headerReference w:type="even" r:id="rId97"/>
          <w:headerReference w:type="default" r:id="rId98"/>
          <w:footerReference w:type="even" r:id="rId99"/>
          <w:footerReference w:type="default" r:id="rId100"/>
          <w:headerReference w:type="first" r:id="rId101"/>
          <w:footerReference w:type="first" r:id="rId102"/>
          <w:pgSz w:w="11907" w:h="16839"/>
          <w:pgMar w:top="1134" w:right="1418" w:bottom="1134" w:left="1418" w:header="709" w:footer="709" w:gutter="0"/>
          <w:cols w:space="720"/>
          <w:docGrid w:linePitch="360"/>
        </w:sectPr>
      </w:pPr>
    </w:p>
    <w:p w14:paraId="12966E81" w14:textId="49F1132F" w:rsidR="002D49B0" w:rsidRPr="00083739" w:rsidRDefault="00BF4125">
      <w:pPr>
        <w:spacing w:before="120" w:after="120" w:line="240" w:lineRule="auto"/>
        <w:ind w:left="709"/>
        <w:jc w:val="both"/>
        <w:rPr>
          <w:rFonts w:ascii="Times New Roman" w:hAnsi="Times New Roman" w:cs="Times New Roman"/>
          <w:b/>
          <w:bCs/>
          <w:noProof/>
          <w:sz w:val="24"/>
          <w:u w:val="single"/>
          <w:lang w:val="sk-SK"/>
        </w:rPr>
      </w:pPr>
      <w:r w:rsidRPr="00083739">
        <w:rPr>
          <w:rFonts w:ascii="Times New Roman" w:hAnsi="Times New Roman" w:cs="Times New Roman"/>
          <w:b/>
          <w:noProof/>
          <w:sz w:val="24"/>
          <w:u w:val="single"/>
          <w:lang w:val="sk-SK"/>
        </w:rPr>
        <w:t xml:space="preserve">E.2. </w:t>
      </w:r>
      <w:r w:rsidRPr="00083739">
        <w:rPr>
          <w:rFonts w:ascii="Times New Roman" w:hAnsi="Times New Roman" w:cs="Times New Roman"/>
          <w:noProof/>
          <w:lang w:val="sk-SK"/>
        </w:rPr>
        <w:t xml:space="preserve"> </w:t>
      </w:r>
      <w:r w:rsidRPr="00083739">
        <w:rPr>
          <w:rFonts w:ascii="Times New Roman" w:hAnsi="Times New Roman" w:cs="Times New Roman"/>
          <w:b/>
          <w:noProof/>
          <w:sz w:val="24"/>
          <w:u w:val="single"/>
          <w:lang w:val="sk-SK"/>
        </w:rPr>
        <w:t>Míľniky, ciele, ukazovatele</w:t>
      </w:r>
      <w:r w:rsidR="00083739" w:rsidRPr="00083739">
        <w:rPr>
          <w:rFonts w:ascii="Times New Roman" w:hAnsi="Times New Roman" w:cs="Times New Roman"/>
          <w:b/>
          <w:noProof/>
          <w:sz w:val="24"/>
          <w:u w:val="single"/>
          <w:lang w:val="sk-SK"/>
        </w:rPr>
        <w:t xml:space="preserve"> a </w:t>
      </w:r>
      <w:r w:rsidRPr="00083739">
        <w:rPr>
          <w:rFonts w:ascii="Times New Roman" w:hAnsi="Times New Roman" w:cs="Times New Roman"/>
          <w:b/>
          <w:noProof/>
          <w:sz w:val="24"/>
          <w:u w:val="single"/>
          <w:lang w:val="sk-SK"/>
        </w:rPr>
        <w:t>harmonogram monitorovania</w:t>
      </w:r>
      <w:r w:rsidR="00083739" w:rsidRPr="00083739">
        <w:rPr>
          <w:rFonts w:ascii="Times New Roman" w:hAnsi="Times New Roman" w:cs="Times New Roman"/>
          <w:b/>
          <w:noProof/>
          <w:sz w:val="24"/>
          <w:u w:val="single"/>
          <w:lang w:val="sk-SK"/>
        </w:rPr>
        <w:t xml:space="preserve"> a </w:t>
      </w:r>
      <w:r w:rsidRPr="00083739">
        <w:rPr>
          <w:rFonts w:ascii="Times New Roman" w:hAnsi="Times New Roman" w:cs="Times New Roman"/>
          <w:b/>
          <w:noProof/>
          <w:sz w:val="24"/>
          <w:u w:val="single"/>
          <w:lang w:val="sk-SK"/>
        </w:rPr>
        <w:t>realizácie pre nenávratnú finančnú podporu</w:t>
      </w:r>
    </w:p>
    <w:p w14:paraId="301A0875" w14:textId="77777777" w:rsidR="002D49B0" w:rsidRPr="00083739" w:rsidRDefault="002D49B0">
      <w:pPr>
        <w:keepNext/>
        <w:keepLines/>
        <w:spacing w:before="40" w:after="0" w:line="240" w:lineRule="auto"/>
        <w:ind w:firstLine="709"/>
        <w:jc w:val="both"/>
        <w:outlineLvl w:val="4"/>
        <w:rPr>
          <w:rFonts w:ascii="Times New Roman" w:eastAsia="Times New Roman" w:hAnsi="Times New Roman" w:cs="Times New Roman"/>
          <w:noProof/>
          <w:color w:val="365F91"/>
          <w:sz w:val="24"/>
          <w:lang w:val="sk-SK"/>
        </w:rPr>
      </w:pPr>
    </w:p>
    <w:p w14:paraId="71C32FD1" w14:textId="77777777" w:rsidR="002D49B0" w:rsidRPr="00083739" w:rsidRDefault="00BF4125">
      <w:pPr>
        <w:pStyle w:val="P68B1DB1-Normal6"/>
        <w:keepNext/>
        <w:keepLines/>
        <w:spacing w:before="40" w:after="0" w:line="240" w:lineRule="auto"/>
        <w:ind w:firstLine="709"/>
        <w:jc w:val="both"/>
        <w:outlineLvl w:val="4"/>
        <w:rPr>
          <w:rFonts w:ascii="Times New Roman" w:eastAsia="Times New Roman" w:hAnsi="Times New Roman" w:cs="Times New Roman"/>
          <w:noProof/>
          <w:lang w:val="sk-SK"/>
        </w:rPr>
      </w:pPr>
      <w:r w:rsidRPr="00083739">
        <w:rPr>
          <w:rFonts w:ascii="Times New Roman" w:hAnsi="Times New Roman" w:cs="Times New Roman"/>
          <w:noProof/>
          <w:lang w:val="sk-SK"/>
        </w:rPr>
        <w:t>Skupina 8: Prepojenosť</w:t>
      </w:r>
    </w:p>
    <w:p w14:paraId="680E516B" w14:textId="77777777" w:rsidR="002D49B0" w:rsidRPr="00083739" w:rsidRDefault="00BF4125">
      <w:pPr>
        <w:pStyle w:val="P68B1DB1-Normal4"/>
        <w:spacing w:before="120" w:after="120" w:line="240" w:lineRule="auto"/>
        <w:ind w:left="709"/>
        <w:jc w:val="both"/>
        <w:rPr>
          <w:rFonts w:cs="Times New Roman"/>
          <w:noProof/>
          <w:szCs w:val="24"/>
          <w:lang w:val="sk-SK"/>
        </w:rPr>
      </w:pPr>
      <w:r w:rsidRPr="00083739">
        <w:rPr>
          <w:rFonts w:cs="Times New Roman"/>
          <w:noProof/>
          <w:lang w:val="sk-SK"/>
        </w:rPr>
        <w:t>Do tejto skupiny patria tieto opatrenia:</w:t>
      </w:r>
    </w:p>
    <w:p w14:paraId="085676AD" w14:textId="77777777" w:rsidR="002D49B0" w:rsidRPr="00083739" w:rsidRDefault="00BF4125">
      <w:pPr>
        <w:spacing w:before="120" w:after="120" w:line="240" w:lineRule="auto"/>
        <w:ind w:left="709"/>
        <w:jc w:val="both"/>
        <w:rPr>
          <w:rFonts w:ascii="Times New Roman" w:hAnsi="Times New Roman" w:cs="Times New Roman"/>
          <w:noProof/>
          <w:sz w:val="24"/>
          <w:lang w:val="sk-SK"/>
        </w:rPr>
      </w:pPr>
      <w:r w:rsidRPr="00083739">
        <w:rPr>
          <w:rFonts w:ascii="Times New Roman" w:hAnsi="Times New Roman" w:cs="Times New Roman"/>
          <w:noProof/>
          <w:sz w:val="24"/>
          <w:lang w:val="sk-SK"/>
        </w:rPr>
        <w:t>●</w:t>
      </w:r>
      <w:r w:rsidRPr="00083739">
        <w:rPr>
          <w:rFonts w:ascii="Times New Roman" w:hAnsi="Times New Roman" w:cs="Times New Roman"/>
          <w:noProof/>
          <w:lang w:val="sk-SK"/>
        </w:rPr>
        <w:t xml:space="preserve"> </w:t>
      </w:r>
      <w:r w:rsidRPr="00083739">
        <w:rPr>
          <w:rFonts w:ascii="Times New Roman" w:hAnsi="Times New Roman" w:cs="Times New Roman"/>
          <w:noProof/>
          <w:sz w:val="24"/>
          <w:lang w:val="sk-SK"/>
        </w:rPr>
        <w:t>Prechod na technológiu</w:t>
      </w:r>
      <w:r w:rsidRPr="00083739">
        <w:rPr>
          <w:rFonts w:ascii="Times New Roman" w:hAnsi="Times New Roman" w:cs="Times New Roman"/>
          <w:noProof/>
          <w:sz w:val="24"/>
          <w:lang w:val="sk-SK"/>
        </w:rPr>
        <w:t xml:space="preserve"> 5G, uľahčenie rozvoja inovačných služieb na diaľku. (ID: 16844)</w:t>
      </w:r>
    </w:p>
    <w:p w14:paraId="78138789" w14:textId="1AEFA8ED" w:rsidR="002D49B0" w:rsidRPr="00083739" w:rsidRDefault="00BF4125">
      <w:pPr>
        <w:spacing w:before="120" w:after="120" w:line="240" w:lineRule="auto"/>
        <w:ind w:left="709"/>
        <w:jc w:val="both"/>
        <w:rPr>
          <w:rFonts w:ascii="Times New Roman" w:hAnsi="Times New Roman" w:cs="Times New Roman"/>
          <w:noProof/>
          <w:sz w:val="24"/>
          <w:lang w:val="sk-SK"/>
        </w:rPr>
      </w:pPr>
      <w:r w:rsidRPr="00083739">
        <w:rPr>
          <w:rFonts w:ascii="Times New Roman" w:hAnsi="Times New Roman" w:cs="Times New Roman"/>
          <w:noProof/>
          <w:sz w:val="24"/>
          <w:lang w:val="sk-SK"/>
        </w:rPr>
        <w:t>●</w:t>
      </w:r>
      <w:r w:rsidRPr="00083739">
        <w:rPr>
          <w:rFonts w:ascii="Times New Roman" w:hAnsi="Times New Roman" w:cs="Times New Roman"/>
          <w:noProof/>
          <w:lang w:val="sk-SK"/>
        </w:rPr>
        <w:t xml:space="preserve"> </w:t>
      </w:r>
      <w:r w:rsidRPr="00083739">
        <w:rPr>
          <w:rFonts w:ascii="Times New Roman" w:hAnsi="Times New Roman" w:cs="Times New Roman"/>
          <w:noProof/>
          <w:sz w:val="24"/>
          <w:lang w:val="sk-SK"/>
        </w:rPr>
        <w:t>Prechod na gigabitové širokopásmové pripojenia – prechod na gigabitové širokopásmové pripojenia</w:t>
      </w:r>
      <w:r w:rsidR="00083739" w:rsidRPr="00083739">
        <w:rPr>
          <w:rFonts w:ascii="Times New Roman" w:hAnsi="Times New Roman" w:cs="Times New Roman"/>
          <w:noProof/>
          <w:sz w:val="24"/>
          <w:lang w:val="sk-SK"/>
        </w:rPr>
        <w:t xml:space="preserve"> a </w:t>
      </w:r>
      <w:r w:rsidRPr="00083739">
        <w:rPr>
          <w:rFonts w:ascii="Times New Roman" w:hAnsi="Times New Roman" w:cs="Times New Roman"/>
          <w:noProof/>
          <w:sz w:val="24"/>
          <w:lang w:val="sk-SK"/>
        </w:rPr>
        <w:t>posilnenie dopytu po gigabitovom širokopásmovom pripojení (ID: 16857)</w:t>
      </w:r>
    </w:p>
    <w:p w14:paraId="204397EB" w14:textId="19235C08" w:rsidR="002D49B0" w:rsidRPr="00083739" w:rsidRDefault="00BF4125">
      <w:pPr>
        <w:spacing w:before="120" w:after="120" w:line="240" w:lineRule="auto"/>
        <w:ind w:left="709"/>
        <w:jc w:val="both"/>
        <w:rPr>
          <w:rFonts w:ascii="Times New Roman" w:hAnsi="Times New Roman" w:cs="Times New Roman"/>
          <w:noProof/>
          <w:sz w:val="24"/>
          <w:szCs w:val="24"/>
          <w:lang w:val="sk-SK"/>
        </w:rPr>
      </w:pPr>
      <w:r w:rsidRPr="00083739">
        <w:rPr>
          <w:rFonts w:ascii="Times New Roman" w:hAnsi="Times New Roman" w:cs="Times New Roman"/>
          <w:noProof/>
          <w:sz w:val="24"/>
          <w:lang w:val="sk-SK"/>
        </w:rPr>
        <w:t>●</w:t>
      </w:r>
      <w:r w:rsidRPr="00083739">
        <w:rPr>
          <w:rFonts w:ascii="Times New Roman" w:hAnsi="Times New Roman" w:cs="Times New Roman"/>
          <w:noProof/>
          <w:lang w:val="sk-SK"/>
        </w:rPr>
        <w:t xml:space="preserve"> </w:t>
      </w:r>
      <w:r w:rsidRPr="00083739">
        <w:rPr>
          <w:rFonts w:ascii="Times New Roman" w:hAnsi="Times New Roman" w:cs="Times New Roman"/>
          <w:noProof/>
          <w:sz w:val="24"/>
          <w:lang w:val="sk-SK"/>
        </w:rPr>
        <w:t>Optická infraštrukt</w:t>
      </w:r>
      <w:r w:rsidRPr="00083739">
        <w:rPr>
          <w:rFonts w:ascii="Times New Roman" w:hAnsi="Times New Roman" w:cs="Times New Roman"/>
          <w:noProof/>
          <w:sz w:val="24"/>
          <w:lang w:val="sk-SK"/>
        </w:rPr>
        <w:t>úra</w:t>
      </w:r>
      <w:r w:rsidR="00083739" w:rsidRPr="00083739">
        <w:rPr>
          <w:rFonts w:ascii="Times New Roman" w:hAnsi="Times New Roman" w:cs="Times New Roman"/>
          <w:noProof/>
          <w:sz w:val="24"/>
          <w:lang w:val="sk-SK"/>
        </w:rPr>
        <w:t xml:space="preserve"> v </w:t>
      </w:r>
      <w:r w:rsidRPr="00083739">
        <w:rPr>
          <w:rFonts w:ascii="Times New Roman" w:hAnsi="Times New Roman" w:cs="Times New Roman"/>
          <w:noProof/>
          <w:sz w:val="24"/>
          <w:lang w:val="sk-SK"/>
        </w:rPr>
        <w:t>budovách (ID: 16818)</w:t>
      </w:r>
    </w:p>
    <w:p w14:paraId="5C27E3AB" w14:textId="77777777" w:rsidR="002D49B0" w:rsidRPr="00083739" w:rsidRDefault="00BF4125">
      <w:pPr>
        <w:spacing w:before="120" w:after="120" w:line="240" w:lineRule="auto"/>
        <w:ind w:left="1418" w:hanging="709"/>
        <w:jc w:val="both"/>
        <w:rPr>
          <w:rFonts w:ascii="Times New Roman" w:hAnsi="Times New Roman" w:cs="Times New Roman"/>
          <w:noProof/>
          <w:sz w:val="24"/>
          <w:szCs w:val="24"/>
          <w:lang w:val="sk-SK"/>
        </w:rPr>
      </w:pPr>
      <w:r w:rsidRPr="00083739">
        <w:rPr>
          <w:rFonts w:ascii="Times New Roman" w:hAnsi="Times New Roman" w:cs="Times New Roman"/>
          <w:noProof/>
          <w:sz w:val="24"/>
          <w:lang w:val="sk-SK"/>
        </w:rPr>
        <w:t>●</w:t>
      </w:r>
      <w:r w:rsidRPr="00083739">
        <w:rPr>
          <w:rFonts w:ascii="Times New Roman" w:hAnsi="Times New Roman" w:cs="Times New Roman"/>
          <w:noProof/>
          <w:lang w:val="sk-SK"/>
        </w:rPr>
        <w:tab/>
      </w:r>
      <w:r w:rsidRPr="00083739">
        <w:rPr>
          <w:rFonts w:ascii="Times New Roman" w:hAnsi="Times New Roman" w:cs="Times New Roman"/>
          <w:noProof/>
          <w:lang w:val="sk-SK"/>
        </w:rPr>
        <w:tab/>
      </w:r>
      <w:r w:rsidRPr="00083739">
        <w:rPr>
          <w:rFonts w:ascii="Times New Roman" w:hAnsi="Times New Roman" w:cs="Times New Roman"/>
          <w:noProof/>
          <w:sz w:val="24"/>
          <w:lang w:val="sk-SK"/>
        </w:rPr>
        <w:t>Malé družice (ID: 16855)</w:t>
      </w:r>
      <w:r w:rsidRPr="00083739">
        <w:rPr>
          <w:rFonts w:ascii="Times New Roman" w:hAnsi="Times New Roman" w:cs="Times New Roman"/>
          <w:noProof/>
          <w:lang w:val="sk-SK"/>
        </w:rPr>
        <w:tab/>
      </w:r>
    </w:p>
    <w:tbl>
      <w:tblPr>
        <w:tblW w:w="15446" w:type="dxa"/>
        <w:jc w:val="center"/>
        <w:tblLayout w:type="fixed"/>
        <w:tblLook w:val="04A0" w:firstRow="1" w:lastRow="0" w:firstColumn="1" w:lastColumn="0" w:noHBand="0" w:noVBand="1"/>
      </w:tblPr>
      <w:tblGrid>
        <w:gridCol w:w="704"/>
        <w:gridCol w:w="1276"/>
        <w:gridCol w:w="992"/>
        <w:gridCol w:w="1343"/>
        <w:gridCol w:w="1440"/>
        <w:gridCol w:w="1800"/>
        <w:gridCol w:w="960"/>
        <w:gridCol w:w="840"/>
        <w:gridCol w:w="960"/>
        <w:gridCol w:w="840"/>
        <w:gridCol w:w="4291"/>
      </w:tblGrid>
      <w:tr w:rsidR="002D49B0" w:rsidRPr="00083739" w14:paraId="03EE8968" w14:textId="77777777">
        <w:trPr>
          <w:trHeight w:val="585"/>
          <w:tblHeader/>
          <w:jc w:val="center"/>
        </w:trPr>
        <w:tc>
          <w:tcPr>
            <w:tcW w:w="70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155F409"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Poradové číslo</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97FB9BC"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Súvisiace opatrenie (reforma alebo investícia)</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405518B"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Míľnik/cieľ</w:t>
            </w:r>
          </w:p>
        </w:tc>
        <w:tc>
          <w:tcPr>
            <w:tcW w:w="1343" w:type="dxa"/>
            <w:vMerge w:val="restart"/>
            <w:tcBorders>
              <w:top w:val="single" w:sz="4" w:space="0" w:color="auto"/>
              <w:left w:val="nil"/>
              <w:bottom w:val="single" w:sz="4" w:space="0" w:color="auto"/>
              <w:right w:val="single" w:sz="4" w:space="0" w:color="auto"/>
            </w:tcBorders>
            <w:shd w:val="clear" w:color="auto" w:fill="BDD7EE"/>
            <w:vAlign w:val="center"/>
            <w:hideMark/>
          </w:tcPr>
          <w:p w14:paraId="2B16042F"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Názov</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6AB4BE1"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Kvalitatívne ukazovatele (pre míľniky)</w:t>
            </w:r>
          </w:p>
        </w:tc>
        <w:tc>
          <w:tcPr>
            <w:tcW w:w="3600" w:type="dxa"/>
            <w:gridSpan w:val="3"/>
            <w:tcBorders>
              <w:top w:val="single" w:sz="4" w:space="0" w:color="auto"/>
              <w:left w:val="nil"/>
              <w:bottom w:val="single" w:sz="4" w:space="0" w:color="auto"/>
              <w:right w:val="single" w:sz="4" w:space="0" w:color="auto"/>
            </w:tcBorders>
            <w:shd w:val="clear" w:color="auto" w:fill="BDD7EE"/>
            <w:vAlign w:val="center"/>
            <w:hideMark/>
          </w:tcPr>
          <w:p w14:paraId="748AB12E"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Kvantitatívne ukazovatele (pre ciele)</w:t>
            </w:r>
          </w:p>
        </w:tc>
        <w:tc>
          <w:tcPr>
            <w:tcW w:w="1800" w:type="dxa"/>
            <w:gridSpan w:val="2"/>
            <w:tcBorders>
              <w:top w:val="single" w:sz="4" w:space="0" w:color="auto"/>
              <w:left w:val="nil"/>
              <w:bottom w:val="single" w:sz="4" w:space="0" w:color="auto"/>
              <w:right w:val="single" w:sz="4" w:space="0" w:color="auto"/>
            </w:tcBorders>
            <w:shd w:val="clear" w:color="auto" w:fill="BDD7EE"/>
            <w:vAlign w:val="center"/>
            <w:hideMark/>
          </w:tcPr>
          <w:p w14:paraId="07BC25A1"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Orientačný harmonogram dokončenia </w:t>
            </w:r>
          </w:p>
        </w:tc>
        <w:tc>
          <w:tcPr>
            <w:tcW w:w="429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7FC44F6" w14:textId="11097BD2"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Opis </w:t>
            </w:r>
            <w:r w:rsidRPr="00083739">
              <w:rPr>
                <w:rFonts w:cs="Times New Roman"/>
                <w:noProof/>
                <w:lang w:val="sk-SK"/>
              </w:rPr>
              <w:t>každého míľnika</w:t>
            </w:r>
            <w:r w:rsidR="00083739" w:rsidRPr="00083739">
              <w:rPr>
                <w:rFonts w:cs="Times New Roman"/>
                <w:noProof/>
                <w:lang w:val="sk-SK"/>
              </w:rPr>
              <w:t xml:space="preserve"> a </w:t>
            </w:r>
            <w:r w:rsidRPr="00083739">
              <w:rPr>
                <w:rFonts w:cs="Times New Roman"/>
                <w:noProof/>
                <w:lang w:val="sk-SK"/>
              </w:rPr>
              <w:t>cieľa</w:t>
            </w:r>
          </w:p>
        </w:tc>
      </w:tr>
      <w:tr w:rsidR="002D49B0" w:rsidRPr="00083739" w14:paraId="54F9E674" w14:textId="77777777">
        <w:trPr>
          <w:trHeight w:val="372"/>
          <w:tblHeader/>
          <w:jc w:val="center"/>
        </w:trPr>
        <w:tc>
          <w:tcPr>
            <w:tcW w:w="704" w:type="dxa"/>
            <w:vMerge/>
            <w:tcBorders>
              <w:top w:val="single" w:sz="4" w:space="0" w:color="auto"/>
              <w:left w:val="single" w:sz="4" w:space="0" w:color="auto"/>
              <w:bottom w:val="single" w:sz="4" w:space="0" w:color="000000"/>
              <w:right w:val="single" w:sz="4" w:space="0" w:color="auto"/>
            </w:tcBorders>
            <w:vAlign w:val="center"/>
            <w:hideMark/>
          </w:tcPr>
          <w:p w14:paraId="711A0DCE"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0F908C6D"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3767FD5A"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343" w:type="dxa"/>
            <w:vMerge/>
            <w:tcBorders>
              <w:top w:val="single" w:sz="4" w:space="0" w:color="auto"/>
              <w:left w:val="nil"/>
              <w:bottom w:val="single" w:sz="4" w:space="0" w:color="000000"/>
              <w:right w:val="single" w:sz="4" w:space="0" w:color="auto"/>
            </w:tcBorders>
            <w:vAlign w:val="center"/>
            <w:hideMark/>
          </w:tcPr>
          <w:p w14:paraId="2B6F31AD"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440" w:type="dxa"/>
            <w:vMerge/>
            <w:tcBorders>
              <w:top w:val="single" w:sz="4" w:space="0" w:color="auto"/>
              <w:left w:val="single" w:sz="4" w:space="0" w:color="auto"/>
              <w:bottom w:val="single" w:sz="4" w:space="0" w:color="000000"/>
              <w:right w:val="single" w:sz="4" w:space="0" w:color="auto"/>
            </w:tcBorders>
            <w:vAlign w:val="center"/>
            <w:hideMark/>
          </w:tcPr>
          <w:p w14:paraId="63D1745D"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800" w:type="dxa"/>
            <w:tcBorders>
              <w:top w:val="single" w:sz="4" w:space="0" w:color="auto"/>
              <w:left w:val="nil"/>
              <w:bottom w:val="single" w:sz="4" w:space="0" w:color="auto"/>
              <w:right w:val="single" w:sz="4" w:space="0" w:color="auto"/>
            </w:tcBorders>
            <w:shd w:val="clear" w:color="auto" w:fill="BDD7EE"/>
            <w:vAlign w:val="center"/>
            <w:hideMark/>
          </w:tcPr>
          <w:p w14:paraId="756A0EAA"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Merná jednotka</w:t>
            </w:r>
          </w:p>
        </w:tc>
        <w:tc>
          <w:tcPr>
            <w:tcW w:w="960" w:type="dxa"/>
            <w:tcBorders>
              <w:top w:val="single" w:sz="4" w:space="0" w:color="auto"/>
              <w:left w:val="nil"/>
              <w:bottom w:val="single" w:sz="4" w:space="0" w:color="auto"/>
              <w:right w:val="single" w:sz="4" w:space="0" w:color="auto"/>
            </w:tcBorders>
            <w:shd w:val="clear" w:color="auto" w:fill="BDD7EE"/>
            <w:vAlign w:val="center"/>
            <w:hideMark/>
          </w:tcPr>
          <w:p w14:paraId="00C18BC5"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Základná </w:t>
            </w:r>
          </w:p>
        </w:tc>
        <w:tc>
          <w:tcPr>
            <w:tcW w:w="840" w:type="dxa"/>
            <w:tcBorders>
              <w:top w:val="single" w:sz="4" w:space="0" w:color="auto"/>
              <w:left w:val="nil"/>
              <w:bottom w:val="single" w:sz="4" w:space="0" w:color="auto"/>
              <w:right w:val="single" w:sz="4" w:space="0" w:color="auto"/>
            </w:tcBorders>
            <w:shd w:val="clear" w:color="auto" w:fill="BDD7EE"/>
            <w:vAlign w:val="center"/>
            <w:hideMark/>
          </w:tcPr>
          <w:p w14:paraId="1C1BA95C"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Cieľ </w:t>
            </w:r>
          </w:p>
        </w:tc>
        <w:tc>
          <w:tcPr>
            <w:tcW w:w="960" w:type="dxa"/>
            <w:tcBorders>
              <w:top w:val="single" w:sz="4" w:space="0" w:color="auto"/>
              <w:left w:val="nil"/>
              <w:bottom w:val="single" w:sz="4" w:space="0" w:color="auto"/>
              <w:right w:val="single" w:sz="4" w:space="0" w:color="auto"/>
            </w:tcBorders>
            <w:shd w:val="clear" w:color="auto" w:fill="BDD7EE"/>
            <w:vAlign w:val="center"/>
            <w:hideMark/>
          </w:tcPr>
          <w:p w14:paraId="6C3CE904"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Štvrtina</w:t>
            </w:r>
          </w:p>
        </w:tc>
        <w:tc>
          <w:tcPr>
            <w:tcW w:w="840" w:type="dxa"/>
            <w:tcBorders>
              <w:top w:val="single" w:sz="4" w:space="0" w:color="auto"/>
              <w:left w:val="nil"/>
              <w:bottom w:val="single" w:sz="4" w:space="0" w:color="auto"/>
              <w:right w:val="single" w:sz="4" w:space="0" w:color="auto"/>
            </w:tcBorders>
            <w:shd w:val="clear" w:color="auto" w:fill="BDD7EE"/>
            <w:vAlign w:val="center"/>
            <w:hideMark/>
          </w:tcPr>
          <w:p w14:paraId="77C42570"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Rok</w:t>
            </w:r>
          </w:p>
        </w:tc>
        <w:tc>
          <w:tcPr>
            <w:tcW w:w="4291" w:type="dxa"/>
            <w:vMerge/>
            <w:tcBorders>
              <w:top w:val="single" w:sz="4" w:space="0" w:color="auto"/>
              <w:left w:val="single" w:sz="4" w:space="0" w:color="auto"/>
              <w:bottom w:val="single" w:sz="4" w:space="0" w:color="auto"/>
              <w:right w:val="single" w:sz="4" w:space="0" w:color="auto"/>
            </w:tcBorders>
            <w:vAlign w:val="center"/>
            <w:hideMark/>
          </w:tcPr>
          <w:p w14:paraId="3ADD4056"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r>
      <w:tr w:rsidR="002D49B0" w:rsidRPr="00083739" w14:paraId="219CADF9" w14:textId="77777777">
        <w:trPr>
          <w:trHeight w:val="309"/>
          <w:jc w:val="center"/>
        </w:trPr>
        <w:tc>
          <w:tcPr>
            <w:tcW w:w="704" w:type="dxa"/>
            <w:tcBorders>
              <w:top w:val="nil"/>
              <w:left w:val="single" w:sz="4" w:space="0" w:color="auto"/>
              <w:bottom w:val="single" w:sz="4" w:space="0" w:color="auto"/>
              <w:right w:val="single" w:sz="4" w:space="0" w:color="auto"/>
            </w:tcBorders>
            <w:shd w:val="clear" w:color="auto" w:fill="C6EFCE"/>
            <w:noWrap/>
          </w:tcPr>
          <w:p w14:paraId="120AC75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85</w:t>
            </w:r>
          </w:p>
        </w:tc>
        <w:tc>
          <w:tcPr>
            <w:tcW w:w="1276" w:type="dxa"/>
            <w:tcBorders>
              <w:top w:val="nil"/>
              <w:left w:val="nil"/>
              <w:bottom w:val="single" w:sz="4" w:space="0" w:color="auto"/>
              <w:right w:val="single" w:sz="4" w:space="0" w:color="auto"/>
            </w:tcBorders>
            <w:shd w:val="clear" w:color="auto" w:fill="C6EFCE"/>
            <w:noWrap/>
          </w:tcPr>
          <w:p w14:paraId="428ED862" w14:textId="7F81B72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5 – 2.1. Pripojenie – 16818_Infraštruktúra optických vlákien</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budovách</w:t>
            </w:r>
          </w:p>
        </w:tc>
        <w:tc>
          <w:tcPr>
            <w:tcW w:w="992" w:type="dxa"/>
            <w:tcBorders>
              <w:top w:val="nil"/>
              <w:left w:val="nil"/>
              <w:bottom w:val="single" w:sz="4" w:space="0" w:color="auto"/>
              <w:right w:val="single" w:sz="4" w:space="0" w:color="auto"/>
            </w:tcBorders>
            <w:shd w:val="clear" w:color="auto" w:fill="C6EFCE"/>
            <w:noWrap/>
          </w:tcPr>
          <w:p w14:paraId="7D0FF7C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43" w:type="dxa"/>
            <w:tcBorders>
              <w:top w:val="nil"/>
              <w:left w:val="nil"/>
              <w:bottom w:val="single" w:sz="4" w:space="0" w:color="auto"/>
              <w:right w:val="single" w:sz="4" w:space="0" w:color="auto"/>
            </w:tcBorders>
            <w:shd w:val="clear" w:color="auto" w:fill="C6EFCE"/>
            <w:noWrap/>
          </w:tcPr>
          <w:p w14:paraId="68A14E67" w14:textId="253C892D"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Zadanie zákazky (zákaziek) na projekt „Infraštruktúra optických vlákien</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budovách“</w:t>
            </w:r>
          </w:p>
        </w:tc>
        <w:tc>
          <w:tcPr>
            <w:tcW w:w="1440" w:type="dxa"/>
            <w:tcBorders>
              <w:top w:val="nil"/>
              <w:left w:val="nil"/>
              <w:bottom w:val="single" w:sz="4" w:space="0" w:color="auto"/>
              <w:right w:val="single" w:sz="4" w:space="0" w:color="auto"/>
            </w:tcBorders>
            <w:shd w:val="clear" w:color="auto" w:fill="C6EFCE"/>
            <w:noWrap/>
          </w:tcPr>
          <w:p w14:paraId="0F49BFC7" w14:textId="2BB83574" w:rsidR="002D49B0" w:rsidRPr="00083739" w:rsidRDefault="00BF4125">
            <w:pPr>
              <w:pStyle w:val="P68B1DB1-Normal9"/>
              <w:spacing w:after="0" w:line="240" w:lineRule="auto"/>
              <w:rPr>
                <w:rFonts w:ascii="Times New Roman" w:eastAsia="Times New Roman" w:hAnsi="Times New Roman" w:cs="Times New Roman"/>
                <w:strike/>
                <w:noProof/>
                <w:szCs w:val="18"/>
                <w:lang w:val="sk-SK"/>
              </w:rPr>
            </w:pPr>
            <w:r w:rsidRPr="00083739">
              <w:rPr>
                <w:rFonts w:ascii="Times New Roman" w:hAnsi="Times New Roman" w:cs="Times New Roman"/>
                <w:noProof/>
                <w:lang w:val="sk-SK"/>
              </w:rPr>
              <w:t>Oznámenie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 xml:space="preserve">zadaní zákazky (zákaziek) </w:t>
            </w:r>
          </w:p>
        </w:tc>
        <w:tc>
          <w:tcPr>
            <w:tcW w:w="1800" w:type="dxa"/>
            <w:tcBorders>
              <w:top w:val="nil"/>
              <w:left w:val="nil"/>
              <w:bottom w:val="single" w:sz="4" w:space="0" w:color="auto"/>
              <w:right w:val="single" w:sz="4" w:space="0" w:color="auto"/>
            </w:tcBorders>
            <w:shd w:val="clear" w:color="auto" w:fill="C6EFCE"/>
            <w:noWrap/>
          </w:tcPr>
          <w:p w14:paraId="1B4F0086"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60" w:type="dxa"/>
            <w:tcBorders>
              <w:top w:val="nil"/>
              <w:left w:val="nil"/>
              <w:bottom w:val="single" w:sz="4" w:space="0" w:color="auto"/>
              <w:right w:val="single" w:sz="4" w:space="0" w:color="auto"/>
            </w:tcBorders>
            <w:shd w:val="clear" w:color="auto" w:fill="C6EFCE"/>
            <w:noWrap/>
          </w:tcPr>
          <w:p w14:paraId="40D3D63E"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0" w:type="dxa"/>
            <w:tcBorders>
              <w:top w:val="nil"/>
              <w:left w:val="nil"/>
              <w:bottom w:val="single" w:sz="4" w:space="0" w:color="auto"/>
              <w:right w:val="single" w:sz="4" w:space="0" w:color="auto"/>
            </w:tcBorders>
            <w:shd w:val="clear" w:color="auto" w:fill="C6EFCE"/>
            <w:noWrap/>
          </w:tcPr>
          <w:p w14:paraId="19CEDFE4"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60" w:type="dxa"/>
            <w:tcBorders>
              <w:top w:val="nil"/>
              <w:left w:val="nil"/>
              <w:bottom w:val="single" w:sz="4" w:space="0" w:color="auto"/>
              <w:right w:val="single" w:sz="4" w:space="0" w:color="auto"/>
            </w:tcBorders>
            <w:shd w:val="clear" w:color="auto" w:fill="C6EFCE"/>
            <w:noWrap/>
          </w:tcPr>
          <w:p w14:paraId="306FFFB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TRETÍ ŠTVRŤROK</w:t>
            </w:r>
          </w:p>
        </w:tc>
        <w:tc>
          <w:tcPr>
            <w:tcW w:w="840" w:type="dxa"/>
            <w:tcBorders>
              <w:top w:val="nil"/>
              <w:left w:val="nil"/>
              <w:bottom w:val="single" w:sz="4" w:space="0" w:color="auto"/>
              <w:right w:val="single" w:sz="4" w:space="0" w:color="auto"/>
            </w:tcBorders>
            <w:shd w:val="clear" w:color="auto" w:fill="C6EFCE"/>
            <w:noWrap/>
          </w:tcPr>
          <w:p w14:paraId="53B24A8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2022</w:t>
            </w:r>
          </w:p>
        </w:tc>
        <w:tc>
          <w:tcPr>
            <w:tcW w:w="4291" w:type="dxa"/>
            <w:tcBorders>
              <w:top w:val="nil"/>
              <w:left w:val="nil"/>
              <w:bottom w:val="single" w:sz="4" w:space="0" w:color="auto"/>
              <w:right w:val="single" w:sz="4" w:space="0" w:color="auto"/>
            </w:tcBorders>
            <w:shd w:val="clear" w:color="auto" w:fill="C6EFCE"/>
            <w:noWrap/>
          </w:tcPr>
          <w:p w14:paraId="79E0F8B9" w14:textId="7CC83F1E"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Zadanie zákazky (zákaziek) p</w:t>
            </w:r>
            <w:r w:rsidRPr="00083739">
              <w:rPr>
                <w:rFonts w:ascii="Times New Roman" w:hAnsi="Times New Roman" w:cs="Times New Roman"/>
                <w:noProof/>
                <w:lang w:val="sk-SK"/>
              </w:rPr>
              <w:t>o úspešnom ukončení postupu verejného obstarávania na projekt „Infraštruktúra optických vlákien</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budovách“.</w:t>
            </w:r>
          </w:p>
          <w:p w14:paraId="46B2C472"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p w14:paraId="53273157" w14:textId="2C8AF1E1"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Dozorný orgán informačnej spoločnosti/ministerstvo digitálnej správy zabezpečí, aby sa preskúmali všetky predložené žiadosti</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cieľom potvrdiť, či</w:t>
            </w:r>
            <w:r w:rsidRPr="00083739">
              <w:rPr>
                <w:rFonts w:ascii="Times New Roman" w:hAnsi="Times New Roman" w:cs="Times New Roman"/>
                <w:noProof/>
                <w:lang w:val="sk-SK"/>
              </w:rPr>
              <w:t xml:space="preserve"> žiadosti náležite zodpovedajú požiadavkám výzvy. Po výbere príslušného dodávateľa pristúpi Informačná spoločnosť S.A./Ministerstvo digitálnej správy</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zadaniu zákazky,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ktorom sa vymedzia povinnosti, úlohy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zodpovednosti zmluvných strán.</w:t>
            </w:r>
          </w:p>
        </w:tc>
      </w:tr>
      <w:tr w:rsidR="002D49B0" w:rsidRPr="00083739" w14:paraId="46234CFD" w14:textId="77777777">
        <w:trPr>
          <w:trHeight w:val="309"/>
          <w:jc w:val="center"/>
        </w:trPr>
        <w:tc>
          <w:tcPr>
            <w:tcW w:w="704" w:type="dxa"/>
            <w:tcBorders>
              <w:top w:val="nil"/>
              <w:left w:val="single" w:sz="4" w:space="0" w:color="auto"/>
              <w:bottom w:val="single" w:sz="4" w:space="0" w:color="auto"/>
              <w:right w:val="single" w:sz="4" w:space="0" w:color="auto"/>
            </w:tcBorders>
            <w:shd w:val="clear" w:color="auto" w:fill="C6EFCE"/>
            <w:noWrap/>
          </w:tcPr>
          <w:p w14:paraId="12CAFB5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87</w:t>
            </w:r>
          </w:p>
        </w:tc>
        <w:tc>
          <w:tcPr>
            <w:tcW w:w="1276" w:type="dxa"/>
            <w:tcBorders>
              <w:top w:val="nil"/>
              <w:left w:val="nil"/>
              <w:bottom w:val="single" w:sz="4" w:space="0" w:color="auto"/>
              <w:right w:val="single" w:sz="4" w:space="0" w:color="auto"/>
            </w:tcBorders>
            <w:shd w:val="clear" w:color="auto" w:fill="C6EFCE"/>
            <w:noWrap/>
          </w:tcPr>
          <w:p w14:paraId="101999F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5 – 2.1. </w:t>
            </w:r>
            <w:r w:rsidRPr="00083739">
              <w:rPr>
                <w:rFonts w:ascii="Times New Roman" w:hAnsi="Times New Roman" w:cs="Times New Roman"/>
                <w:noProof/>
                <w:lang w:val="sk-SK"/>
              </w:rPr>
              <w:t>Pripojiť – 16855_Small-satelity</w:t>
            </w:r>
          </w:p>
          <w:p w14:paraId="41356723"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2" w:type="dxa"/>
            <w:tcBorders>
              <w:top w:val="nil"/>
              <w:left w:val="nil"/>
              <w:bottom w:val="single" w:sz="4" w:space="0" w:color="auto"/>
              <w:right w:val="single" w:sz="4" w:space="0" w:color="auto"/>
            </w:tcBorders>
            <w:shd w:val="clear" w:color="auto" w:fill="C6EFCE"/>
            <w:noWrap/>
          </w:tcPr>
          <w:p w14:paraId="38C2769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43" w:type="dxa"/>
            <w:tcBorders>
              <w:top w:val="nil"/>
              <w:left w:val="nil"/>
              <w:bottom w:val="single" w:sz="4" w:space="0" w:color="auto"/>
              <w:right w:val="single" w:sz="4" w:space="0" w:color="auto"/>
            </w:tcBorders>
            <w:shd w:val="clear" w:color="auto" w:fill="C6EFCE"/>
            <w:noWrap/>
          </w:tcPr>
          <w:p w14:paraId="174C66A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Zadanie zákazky (zákaziek) na projekt „malé satelity“</w:t>
            </w:r>
          </w:p>
        </w:tc>
        <w:tc>
          <w:tcPr>
            <w:tcW w:w="1440" w:type="dxa"/>
            <w:tcBorders>
              <w:top w:val="nil"/>
              <w:left w:val="nil"/>
              <w:bottom w:val="single" w:sz="4" w:space="0" w:color="auto"/>
              <w:right w:val="single" w:sz="4" w:space="0" w:color="auto"/>
            </w:tcBorders>
            <w:shd w:val="clear" w:color="auto" w:fill="C6EFCE"/>
            <w:noWrap/>
          </w:tcPr>
          <w:p w14:paraId="690A1E47" w14:textId="4FA9DB3E"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Oznámenie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 xml:space="preserve">zadaní zákazky (zákaziek) </w:t>
            </w:r>
          </w:p>
        </w:tc>
        <w:tc>
          <w:tcPr>
            <w:tcW w:w="1800" w:type="dxa"/>
            <w:tcBorders>
              <w:top w:val="nil"/>
              <w:left w:val="nil"/>
              <w:bottom w:val="single" w:sz="4" w:space="0" w:color="auto"/>
              <w:right w:val="single" w:sz="4" w:space="0" w:color="auto"/>
            </w:tcBorders>
            <w:shd w:val="clear" w:color="auto" w:fill="C6EFCE"/>
            <w:noWrap/>
          </w:tcPr>
          <w:p w14:paraId="44388A4C"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60" w:type="dxa"/>
            <w:tcBorders>
              <w:top w:val="nil"/>
              <w:left w:val="nil"/>
              <w:bottom w:val="single" w:sz="4" w:space="0" w:color="auto"/>
              <w:right w:val="single" w:sz="4" w:space="0" w:color="auto"/>
            </w:tcBorders>
            <w:shd w:val="clear" w:color="auto" w:fill="C6EFCE"/>
            <w:noWrap/>
          </w:tcPr>
          <w:p w14:paraId="481E4CCB"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0" w:type="dxa"/>
            <w:tcBorders>
              <w:top w:val="nil"/>
              <w:left w:val="nil"/>
              <w:bottom w:val="single" w:sz="4" w:space="0" w:color="auto"/>
              <w:right w:val="single" w:sz="4" w:space="0" w:color="auto"/>
            </w:tcBorders>
            <w:shd w:val="clear" w:color="auto" w:fill="C6EFCE"/>
            <w:noWrap/>
          </w:tcPr>
          <w:p w14:paraId="4D74D0A7"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60" w:type="dxa"/>
            <w:tcBorders>
              <w:top w:val="nil"/>
              <w:left w:val="nil"/>
              <w:bottom w:val="single" w:sz="4" w:space="0" w:color="auto"/>
              <w:right w:val="single" w:sz="4" w:space="0" w:color="auto"/>
            </w:tcBorders>
            <w:shd w:val="clear" w:color="auto" w:fill="C6EFCE"/>
            <w:noWrap/>
          </w:tcPr>
          <w:p w14:paraId="1575666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840" w:type="dxa"/>
            <w:tcBorders>
              <w:top w:val="nil"/>
              <w:left w:val="nil"/>
              <w:bottom w:val="single" w:sz="4" w:space="0" w:color="auto"/>
              <w:right w:val="single" w:sz="4" w:space="0" w:color="auto"/>
            </w:tcBorders>
            <w:shd w:val="clear" w:color="auto" w:fill="C6EFCE"/>
            <w:noWrap/>
          </w:tcPr>
          <w:p w14:paraId="53E5EE5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2023</w:t>
            </w:r>
          </w:p>
        </w:tc>
        <w:tc>
          <w:tcPr>
            <w:tcW w:w="4291" w:type="dxa"/>
            <w:tcBorders>
              <w:top w:val="nil"/>
              <w:left w:val="nil"/>
              <w:bottom w:val="single" w:sz="4" w:space="0" w:color="auto"/>
              <w:right w:val="single" w:sz="4" w:space="0" w:color="auto"/>
            </w:tcBorders>
            <w:shd w:val="clear" w:color="auto" w:fill="C6EFCE"/>
            <w:noWrap/>
          </w:tcPr>
          <w:p w14:paraId="36F605B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Zadanie zákazky (zákaziek) po úspešnom ukončení výberového konania na projekt „malé satelity“.</w:t>
            </w:r>
          </w:p>
          <w:p w14:paraId="1745B2C5"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p w14:paraId="67E7E404"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r>
      <w:tr w:rsidR="002D49B0" w:rsidRPr="00083739" w14:paraId="37B196FF" w14:textId="77777777">
        <w:trPr>
          <w:trHeight w:val="309"/>
          <w:jc w:val="center"/>
        </w:trPr>
        <w:tc>
          <w:tcPr>
            <w:tcW w:w="704" w:type="dxa"/>
            <w:tcBorders>
              <w:top w:val="nil"/>
              <w:left w:val="single" w:sz="4" w:space="0" w:color="auto"/>
              <w:bottom w:val="single" w:sz="4" w:space="0" w:color="auto"/>
              <w:right w:val="single" w:sz="4" w:space="0" w:color="auto"/>
            </w:tcBorders>
            <w:shd w:val="clear" w:color="auto" w:fill="C6EFCE"/>
            <w:noWrap/>
          </w:tcPr>
          <w:p w14:paraId="534D501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90</w:t>
            </w:r>
          </w:p>
        </w:tc>
        <w:tc>
          <w:tcPr>
            <w:tcW w:w="1276" w:type="dxa"/>
            <w:tcBorders>
              <w:top w:val="nil"/>
              <w:left w:val="nil"/>
              <w:bottom w:val="single" w:sz="4" w:space="0" w:color="auto"/>
              <w:right w:val="single" w:sz="4" w:space="0" w:color="auto"/>
            </w:tcBorders>
            <w:shd w:val="clear" w:color="auto" w:fill="C6EFCE"/>
            <w:noWrap/>
          </w:tcPr>
          <w:p w14:paraId="58065573" w14:textId="3BF0E2FA"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5 – 2.1. Pripojenie – 16818_Infraštruktúra optických vlákien</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budovách</w:t>
            </w:r>
          </w:p>
        </w:tc>
        <w:tc>
          <w:tcPr>
            <w:tcW w:w="992" w:type="dxa"/>
            <w:tcBorders>
              <w:top w:val="nil"/>
              <w:left w:val="nil"/>
              <w:bottom w:val="single" w:sz="4" w:space="0" w:color="auto"/>
              <w:right w:val="single" w:sz="4" w:space="0" w:color="auto"/>
            </w:tcBorders>
            <w:shd w:val="clear" w:color="auto" w:fill="C6EFCE"/>
            <w:noWrap/>
          </w:tcPr>
          <w:p w14:paraId="0609077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Cieľ</w:t>
            </w:r>
          </w:p>
        </w:tc>
        <w:tc>
          <w:tcPr>
            <w:tcW w:w="1343" w:type="dxa"/>
            <w:tcBorders>
              <w:top w:val="nil"/>
              <w:left w:val="nil"/>
              <w:bottom w:val="single" w:sz="4" w:space="0" w:color="auto"/>
              <w:right w:val="single" w:sz="4" w:space="0" w:color="auto"/>
            </w:tcBorders>
            <w:shd w:val="clear" w:color="auto" w:fill="C6EFCE"/>
            <w:noWrap/>
          </w:tcPr>
          <w:p w14:paraId="23709FF9" w14:textId="7970E541"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projektu „Infraštruktúra optických vlákien</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budovách“</w:t>
            </w:r>
          </w:p>
        </w:tc>
        <w:tc>
          <w:tcPr>
            <w:tcW w:w="1440" w:type="dxa"/>
            <w:tcBorders>
              <w:top w:val="nil"/>
              <w:left w:val="nil"/>
              <w:bottom w:val="single" w:sz="4" w:space="0" w:color="auto"/>
              <w:right w:val="single" w:sz="4" w:space="0" w:color="auto"/>
            </w:tcBorders>
            <w:shd w:val="clear" w:color="auto" w:fill="C6EFCE"/>
            <w:noWrap/>
          </w:tcPr>
          <w:p w14:paraId="32B5E654"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800" w:type="dxa"/>
            <w:tcBorders>
              <w:top w:val="nil"/>
              <w:left w:val="nil"/>
              <w:bottom w:val="single" w:sz="4" w:space="0" w:color="auto"/>
              <w:right w:val="single" w:sz="4" w:space="0" w:color="auto"/>
            </w:tcBorders>
            <w:shd w:val="clear" w:color="auto" w:fill="C6EFCE"/>
            <w:noWrap/>
          </w:tcPr>
          <w:p w14:paraId="0751FA50" w14:textId="3D6D49E8"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Obydlia spojené</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infraštruktúrou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službou optických vlákien Fiber to The Home (FTTH)</w:t>
            </w:r>
          </w:p>
        </w:tc>
        <w:tc>
          <w:tcPr>
            <w:tcW w:w="960" w:type="dxa"/>
            <w:tcBorders>
              <w:top w:val="nil"/>
              <w:left w:val="nil"/>
              <w:bottom w:val="single" w:sz="4" w:space="0" w:color="auto"/>
              <w:right w:val="single" w:sz="4" w:space="0" w:color="auto"/>
            </w:tcBorders>
            <w:shd w:val="clear" w:color="auto" w:fill="C6EFCE"/>
            <w:noWrap/>
          </w:tcPr>
          <w:p w14:paraId="6EFC81B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0</w:t>
            </w:r>
          </w:p>
        </w:tc>
        <w:tc>
          <w:tcPr>
            <w:tcW w:w="840" w:type="dxa"/>
            <w:tcBorders>
              <w:top w:val="nil"/>
              <w:left w:val="nil"/>
              <w:bottom w:val="single" w:sz="4" w:space="0" w:color="auto"/>
              <w:right w:val="single" w:sz="4" w:space="0" w:color="auto"/>
            </w:tcBorders>
            <w:shd w:val="clear" w:color="auto" w:fill="C6EFCE"/>
            <w:noWrap/>
          </w:tcPr>
          <w:p w14:paraId="68091B3A" w14:textId="3DD9DD6A"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230</w:t>
            </w:r>
            <w:r w:rsidRPr="00083739">
              <w:rPr>
                <w:rFonts w:ascii="Times New Roman" w:hAnsi="Times New Roman" w:cs="Times New Roman"/>
                <w:noProof/>
                <w:szCs w:val="18"/>
                <w:lang w:val="sk-SK"/>
              </w:rPr>
              <w:t xml:space="preserve"> </w:t>
            </w:r>
            <w:r w:rsidRPr="00083739">
              <w:rPr>
                <w:rFonts w:ascii="Times New Roman" w:hAnsi="Times New Roman" w:cs="Times New Roman"/>
                <w:noProof/>
                <w:lang w:val="sk-SK"/>
              </w:rPr>
              <w:t>000</w:t>
            </w:r>
          </w:p>
        </w:tc>
        <w:tc>
          <w:tcPr>
            <w:tcW w:w="960" w:type="dxa"/>
            <w:tcBorders>
              <w:top w:val="nil"/>
              <w:left w:val="nil"/>
              <w:bottom w:val="single" w:sz="4" w:space="0" w:color="auto"/>
              <w:right w:val="single" w:sz="4" w:space="0" w:color="auto"/>
            </w:tcBorders>
            <w:shd w:val="clear" w:color="auto" w:fill="C6EFCE"/>
            <w:noWrap/>
          </w:tcPr>
          <w:p w14:paraId="4066608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ŠTVRTÝ </w:t>
            </w:r>
            <w:r w:rsidRPr="00083739">
              <w:rPr>
                <w:rFonts w:ascii="Times New Roman" w:hAnsi="Times New Roman" w:cs="Times New Roman"/>
                <w:noProof/>
                <w:lang w:val="sk-SK"/>
              </w:rPr>
              <w:t>ŠTVRŤROK</w:t>
            </w:r>
          </w:p>
        </w:tc>
        <w:tc>
          <w:tcPr>
            <w:tcW w:w="840" w:type="dxa"/>
            <w:tcBorders>
              <w:top w:val="nil"/>
              <w:left w:val="nil"/>
              <w:bottom w:val="single" w:sz="4" w:space="0" w:color="auto"/>
              <w:right w:val="single" w:sz="4" w:space="0" w:color="auto"/>
            </w:tcBorders>
            <w:shd w:val="clear" w:color="auto" w:fill="C6EFCE"/>
            <w:noWrap/>
          </w:tcPr>
          <w:p w14:paraId="329105F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4291" w:type="dxa"/>
            <w:tcBorders>
              <w:top w:val="nil"/>
              <w:left w:val="nil"/>
              <w:bottom w:val="single" w:sz="4" w:space="0" w:color="auto"/>
              <w:right w:val="single" w:sz="4" w:space="0" w:color="auto"/>
            </w:tcBorders>
            <w:shd w:val="clear" w:color="auto" w:fill="C6EFCE"/>
            <w:noWrap/>
          </w:tcPr>
          <w:p w14:paraId="009D9033" w14:textId="6F231B4F"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230000 obydlí spojených</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infraštruktúrou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službou optických optických vlákien FTTH.</w:t>
            </w:r>
          </w:p>
        </w:tc>
      </w:tr>
      <w:tr w:rsidR="002D49B0" w:rsidRPr="00083739" w14:paraId="5ABD5FC6" w14:textId="77777777">
        <w:trPr>
          <w:trHeight w:val="309"/>
          <w:jc w:val="center"/>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32FA7D6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92</w:t>
            </w:r>
          </w:p>
        </w:tc>
        <w:tc>
          <w:tcPr>
            <w:tcW w:w="1276" w:type="dxa"/>
            <w:tcBorders>
              <w:top w:val="single" w:sz="4" w:space="0" w:color="auto"/>
              <w:left w:val="nil"/>
              <w:bottom w:val="single" w:sz="4" w:space="0" w:color="auto"/>
              <w:right w:val="single" w:sz="4" w:space="0" w:color="auto"/>
            </w:tcBorders>
            <w:shd w:val="clear" w:color="auto" w:fill="C6EFCE"/>
            <w:noWrap/>
          </w:tcPr>
          <w:p w14:paraId="4EA958F1" w14:textId="03F0AF79"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Pripojiť – 16855_Small-satelity</w:t>
            </w:r>
          </w:p>
        </w:tc>
        <w:tc>
          <w:tcPr>
            <w:tcW w:w="992" w:type="dxa"/>
            <w:tcBorders>
              <w:top w:val="single" w:sz="4" w:space="0" w:color="auto"/>
              <w:left w:val="nil"/>
              <w:bottom w:val="single" w:sz="4" w:space="0" w:color="auto"/>
              <w:right w:val="single" w:sz="4" w:space="0" w:color="auto"/>
            </w:tcBorders>
            <w:shd w:val="clear" w:color="auto" w:fill="C6EFCE"/>
            <w:noWrap/>
          </w:tcPr>
          <w:p w14:paraId="51C5F9C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43" w:type="dxa"/>
            <w:tcBorders>
              <w:top w:val="single" w:sz="4" w:space="0" w:color="auto"/>
              <w:left w:val="nil"/>
              <w:bottom w:val="single" w:sz="4" w:space="0" w:color="auto"/>
              <w:right w:val="single" w:sz="4" w:space="0" w:color="auto"/>
            </w:tcBorders>
            <w:shd w:val="clear" w:color="auto" w:fill="C6EFCE"/>
            <w:noWrap/>
          </w:tcPr>
          <w:p w14:paraId="330D2F0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Dokončenie projektu „malé satelity“ </w:t>
            </w:r>
          </w:p>
        </w:tc>
        <w:tc>
          <w:tcPr>
            <w:tcW w:w="1440" w:type="dxa"/>
            <w:tcBorders>
              <w:top w:val="single" w:sz="4" w:space="0" w:color="auto"/>
              <w:left w:val="nil"/>
              <w:bottom w:val="single" w:sz="4" w:space="0" w:color="auto"/>
              <w:right w:val="single" w:sz="4" w:space="0" w:color="auto"/>
            </w:tcBorders>
            <w:shd w:val="clear" w:color="auto" w:fill="C6EFCE"/>
            <w:noWrap/>
          </w:tcPr>
          <w:p w14:paraId="1BD1D53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Správy komisie na obežnej dráhe po vypustení malých satelitov </w:t>
            </w:r>
          </w:p>
        </w:tc>
        <w:tc>
          <w:tcPr>
            <w:tcW w:w="1800" w:type="dxa"/>
            <w:tcBorders>
              <w:top w:val="single" w:sz="4" w:space="0" w:color="auto"/>
              <w:left w:val="nil"/>
              <w:bottom w:val="single" w:sz="4" w:space="0" w:color="auto"/>
              <w:right w:val="single" w:sz="4" w:space="0" w:color="auto"/>
            </w:tcBorders>
            <w:shd w:val="clear" w:color="auto" w:fill="C6EFCE"/>
            <w:noWrap/>
          </w:tcPr>
          <w:p w14:paraId="5BEC94BD"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60" w:type="dxa"/>
            <w:tcBorders>
              <w:top w:val="single" w:sz="4" w:space="0" w:color="auto"/>
              <w:left w:val="nil"/>
              <w:bottom w:val="single" w:sz="4" w:space="0" w:color="auto"/>
              <w:right w:val="single" w:sz="4" w:space="0" w:color="auto"/>
            </w:tcBorders>
            <w:shd w:val="clear" w:color="auto" w:fill="C6EFCE"/>
            <w:noWrap/>
          </w:tcPr>
          <w:p w14:paraId="1E12EBA2"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0" w:type="dxa"/>
            <w:tcBorders>
              <w:top w:val="single" w:sz="4" w:space="0" w:color="auto"/>
              <w:left w:val="nil"/>
              <w:bottom w:val="single" w:sz="4" w:space="0" w:color="auto"/>
              <w:right w:val="single" w:sz="4" w:space="0" w:color="auto"/>
            </w:tcBorders>
            <w:shd w:val="clear" w:color="auto" w:fill="C6EFCE"/>
            <w:noWrap/>
          </w:tcPr>
          <w:p w14:paraId="56E65894"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60" w:type="dxa"/>
            <w:tcBorders>
              <w:top w:val="single" w:sz="4" w:space="0" w:color="auto"/>
              <w:left w:val="nil"/>
              <w:bottom w:val="single" w:sz="4" w:space="0" w:color="auto"/>
              <w:right w:val="single" w:sz="4" w:space="0" w:color="auto"/>
            </w:tcBorders>
            <w:shd w:val="clear" w:color="auto" w:fill="C6EFCE"/>
            <w:noWrap/>
          </w:tcPr>
          <w:p w14:paraId="5DE0FE7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ŠTVRTÝ </w:t>
            </w:r>
            <w:r w:rsidRPr="00083739">
              <w:rPr>
                <w:rFonts w:ascii="Times New Roman" w:hAnsi="Times New Roman" w:cs="Times New Roman"/>
                <w:noProof/>
                <w:lang w:val="sk-SK"/>
              </w:rPr>
              <w:t>ŠTVRŤROK</w:t>
            </w:r>
          </w:p>
        </w:tc>
        <w:tc>
          <w:tcPr>
            <w:tcW w:w="840" w:type="dxa"/>
            <w:tcBorders>
              <w:top w:val="single" w:sz="4" w:space="0" w:color="auto"/>
              <w:left w:val="nil"/>
              <w:bottom w:val="single" w:sz="4" w:space="0" w:color="auto"/>
              <w:right w:val="single" w:sz="4" w:space="0" w:color="auto"/>
            </w:tcBorders>
            <w:shd w:val="clear" w:color="auto" w:fill="C6EFCE"/>
            <w:noWrap/>
          </w:tcPr>
          <w:p w14:paraId="1B8F90E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4291" w:type="dxa"/>
            <w:tcBorders>
              <w:top w:val="single" w:sz="4" w:space="0" w:color="auto"/>
              <w:left w:val="nil"/>
              <w:bottom w:val="single" w:sz="4" w:space="0" w:color="auto"/>
              <w:right w:val="single" w:sz="4" w:space="0" w:color="auto"/>
            </w:tcBorders>
            <w:shd w:val="clear" w:color="auto" w:fill="C6EFCE"/>
            <w:noWrap/>
          </w:tcPr>
          <w:p w14:paraId="6DB77836" w14:textId="386A491F"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Pilotný projekt začína bežnú prevádzku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konštelácia malých satelitov sa spúšťa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uvádza na obežnú dráhu.</w:t>
            </w:r>
          </w:p>
          <w:p w14:paraId="328B9E96"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p w14:paraId="314FBAC8" w14:textId="44E8BC3F"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Realizácia projektu sa hodnotí</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hľadiska jeho výkonnosti (či malé satelity podporujú bezpečné telekomunikačné služby spolu</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aplikácia</w:t>
            </w:r>
            <w:r w:rsidRPr="00083739">
              <w:rPr>
                <w:rFonts w:ascii="Times New Roman" w:hAnsi="Times New Roman" w:cs="Times New Roman"/>
                <w:noProof/>
                <w:lang w:val="sk-SK"/>
              </w:rPr>
              <w:t>mi na pozorovanie Zeme</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oblastiach mapovania, lodnej dopravy, presného poľnohospodárstva, priestorového plánovania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iných odvetví hospodárstva).</w:t>
            </w:r>
          </w:p>
        </w:tc>
      </w:tr>
      <w:tr w:rsidR="002D49B0" w:rsidRPr="00083739" w14:paraId="42490ED1" w14:textId="77777777">
        <w:trPr>
          <w:trHeight w:val="309"/>
          <w:jc w:val="center"/>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2E1015F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333</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3A27287A" w14:textId="77777777" w:rsidR="002D49B0" w:rsidRPr="00083739" w:rsidRDefault="00BF4125">
            <w:pPr>
              <w:spacing w:after="0" w:line="240" w:lineRule="auto"/>
              <w:rPr>
                <w:rFonts w:ascii="Times New Roman" w:eastAsia="Times New Roman" w:hAnsi="Times New Roman" w:cs="Times New Roman"/>
                <w:noProof/>
                <w:color w:val="006100"/>
                <w:sz w:val="18"/>
                <w:szCs w:val="18"/>
                <w:lang w:val="sk-SK"/>
              </w:rPr>
            </w:pPr>
            <w:r w:rsidRPr="00083739">
              <w:rPr>
                <w:rFonts w:ascii="Times New Roman" w:hAnsi="Times New Roman" w:cs="Times New Roman"/>
                <w:noProof/>
                <w:color w:val="006100"/>
                <w:sz w:val="18"/>
                <w:lang w:val="sk-SK"/>
              </w:rPr>
              <w:t>5 – 2.1. Pripojenie – 16844_</w:t>
            </w:r>
            <w:r w:rsidRPr="00083739">
              <w:rPr>
                <w:rFonts w:ascii="Times New Roman" w:hAnsi="Times New Roman" w:cs="Times New Roman"/>
                <w:noProof/>
                <w:lang w:val="sk-SK"/>
              </w:rPr>
              <w:t xml:space="preserve"> </w:t>
            </w:r>
            <w:r w:rsidRPr="00083739">
              <w:rPr>
                <w:rFonts w:ascii="Times New Roman" w:hAnsi="Times New Roman" w:cs="Times New Roman"/>
                <w:noProof/>
                <w:color w:val="006100"/>
                <w:sz w:val="18"/>
                <w:lang w:val="sk-SK"/>
              </w:rPr>
              <w:t>Prechod na technológiu 5G, uľahčenie rozvoja inovačných služieb na diaľku</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0B48AD4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43" w:type="dxa"/>
            <w:tcBorders>
              <w:top w:val="single" w:sz="4" w:space="0" w:color="auto"/>
              <w:left w:val="single" w:sz="4" w:space="0" w:color="auto"/>
              <w:bottom w:val="single" w:sz="4" w:space="0" w:color="auto"/>
              <w:right w:val="single" w:sz="4" w:space="0" w:color="auto"/>
            </w:tcBorders>
            <w:shd w:val="clear" w:color="auto" w:fill="C6EFCE"/>
            <w:noWrap/>
          </w:tcPr>
          <w:p w14:paraId="7E2D732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prechodu na technologickú reformu 5G</w:t>
            </w:r>
          </w:p>
        </w:tc>
        <w:tc>
          <w:tcPr>
            <w:tcW w:w="1440" w:type="dxa"/>
            <w:tcBorders>
              <w:top w:val="single" w:sz="4" w:space="0" w:color="auto"/>
              <w:left w:val="single" w:sz="4" w:space="0" w:color="auto"/>
              <w:bottom w:val="single" w:sz="4" w:space="0" w:color="auto"/>
              <w:right w:val="single" w:sz="4" w:space="0" w:color="auto"/>
            </w:tcBorders>
            <w:shd w:val="clear" w:color="auto" w:fill="C6EFCE"/>
            <w:noWrap/>
          </w:tcPr>
          <w:p w14:paraId="30A6CB79" w14:textId="70ABA76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regulačného</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legislatívneho rámca</w:t>
            </w:r>
          </w:p>
        </w:tc>
        <w:tc>
          <w:tcPr>
            <w:tcW w:w="1800" w:type="dxa"/>
            <w:tcBorders>
              <w:top w:val="single" w:sz="4" w:space="0" w:color="auto"/>
              <w:left w:val="single" w:sz="4" w:space="0" w:color="auto"/>
              <w:bottom w:val="single" w:sz="4" w:space="0" w:color="auto"/>
              <w:right w:val="single" w:sz="4" w:space="0" w:color="auto"/>
            </w:tcBorders>
            <w:shd w:val="clear" w:color="auto" w:fill="C6EFCE"/>
            <w:noWrap/>
          </w:tcPr>
          <w:p w14:paraId="09D8BEFF"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60" w:type="dxa"/>
            <w:tcBorders>
              <w:top w:val="single" w:sz="4" w:space="0" w:color="auto"/>
              <w:left w:val="single" w:sz="4" w:space="0" w:color="auto"/>
              <w:bottom w:val="single" w:sz="4" w:space="0" w:color="auto"/>
              <w:right w:val="single" w:sz="4" w:space="0" w:color="auto"/>
            </w:tcBorders>
            <w:shd w:val="clear" w:color="auto" w:fill="C6EFCE"/>
            <w:noWrap/>
          </w:tcPr>
          <w:p w14:paraId="5B23EE8A"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0" w:type="dxa"/>
            <w:tcBorders>
              <w:top w:val="single" w:sz="4" w:space="0" w:color="auto"/>
              <w:left w:val="single" w:sz="4" w:space="0" w:color="auto"/>
              <w:bottom w:val="single" w:sz="4" w:space="0" w:color="auto"/>
              <w:right w:val="single" w:sz="4" w:space="0" w:color="auto"/>
            </w:tcBorders>
            <w:shd w:val="clear" w:color="auto" w:fill="C6EFCE"/>
            <w:noWrap/>
          </w:tcPr>
          <w:p w14:paraId="0C82FCED"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60" w:type="dxa"/>
            <w:tcBorders>
              <w:top w:val="single" w:sz="4" w:space="0" w:color="auto"/>
              <w:left w:val="single" w:sz="4" w:space="0" w:color="auto"/>
              <w:bottom w:val="single" w:sz="4" w:space="0" w:color="auto"/>
              <w:right w:val="single" w:sz="4" w:space="0" w:color="auto"/>
            </w:tcBorders>
            <w:shd w:val="clear" w:color="auto" w:fill="C6EFCE"/>
            <w:noWrap/>
          </w:tcPr>
          <w:p w14:paraId="182DCCF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TRETÍ ŠTVRŤROK</w:t>
            </w:r>
          </w:p>
        </w:tc>
        <w:tc>
          <w:tcPr>
            <w:tcW w:w="840" w:type="dxa"/>
            <w:tcBorders>
              <w:top w:val="single" w:sz="4" w:space="0" w:color="auto"/>
              <w:left w:val="single" w:sz="4" w:space="0" w:color="auto"/>
              <w:bottom w:val="single" w:sz="4" w:space="0" w:color="auto"/>
              <w:right w:val="single" w:sz="4" w:space="0" w:color="auto"/>
            </w:tcBorders>
            <w:shd w:val="clear" w:color="auto" w:fill="C6EFCE"/>
            <w:noWrap/>
          </w:tcPr>
          <w:p w14:paraId="301BFFE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2024</w:t>
            </w:r>
          </w:p>
        </w:tc>
        <w:tc>
          <w:tcPr>
            <w:tcW w:w="4291" w:type="dxa"/>
            <w:tcBorders>
              <w:top w:val="single" w:sz="4" w:space="0" w:color="auto"/>
              <w:left w:val="single" w:sz="4" w:space="0" w:color="auto"/>
              <w:bottom w:val="single" w:sz="4" w:space="0" w:color="auto"/>
              <w:right w:val="single" w:sz="4" w:space="0" w:color="auto"/>
            </w:tcBorders>
            <w:shd w:val="clear" w:color="auto" w:fill="C6EFCE"/>
            <w:noWrap/>
          </w:tcPr>
          <w:p w14:paraId="3D3556A0" w14:textId="65ADD11B"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sekundárnych právnych predpisov založených na zmene zákona uverejnených</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 xml:space="preserve">úradnom </w:t>
            </w:r>
            <w:r w:rsidRPr="00083739">
              <w:rPr>
                <w:rFonts w:ascii="Times New Roman" w:hAnsi="Times New Roman" w:cs="Times New Roman"/>
                <w:noProof/>
                <w:lang w:val="sk-SK"/>
              </w:rPr>
              <w:t>vestníku č. 4727/2020, články 92</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107 (odseky 61, 62, 63),</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ktorých sa vymedzuje proces prideľovania frekvenčného spektra 5G pre pilotné projekty prostredníctvom fondu Phaistos alebo/a univerzitných subjektov vrátane procesu identifikácie ďalších príleži</w:t>
            </w:r>
            <w:r w:rsidRPr="00083739">
              <w:rPr>
                <w:rFonts w:ascii="Times New Roman" w:hAnsi="Times New Roman" w:cs="Times New Roman"/>
                <w:noProof/>
                <w:lang w:val="sk-SK"/>
              </w:rPr>
              <w:t>tostí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rizík pri rozvoji sietí 5G, zefektívnenia postupov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posúdenia požiadaviek</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rizík</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konkrétnych hospodárskych aplikáciách.</w:t>
            </w:r>
          </w:p>
        </w:tc>
      </w:tr>
      <w:tr w:rsidR="002D49B0" w:rsidRPr="00083739" w14:paraId="22282A31" w14:textId="77777777">
        <w:trPr>
          <w:trHeight w:val="309"/>
          <w:jc w:val="center"/>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07CA47D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334</w:t>
            </w:r>
          </w:p>
        </w:tc>
        <w:tc>
          <w:tcPr>
            <w:tcW w:w="1276" w:type="dxa"/>
            <w:tcBorders>
              <w:top w:val="single" w:sz="4" w:space="0" w:color="auto"/>
              <w:left w:val="nil"/>
              <w:bottom w:val="single" w:sz="4" w:space="0" w:color="auto"/>
              <w:right w:val="single" w:sz="4" w:space="0" w:color="auto"/>
            </w:tcBorders>
            <w:shd w:val="clear" w:color="auto" w:fill="C6EFCE"/>
            <w:noWrap/>
          </w:tcPr>
          <w:p w14:paraId="7632A366" w14:textId="0AE1B269"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16857_prepnutie na gigabitové širokopásmové pripojenia – Prechod na gigabitové širokopásmové pripojenie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posilnenie </w:t>
            </w:r>
            <w:r w:rsidRPr="00083739">
              <w:rPr>
                <w:rFonts w:ascii="Times New Roman" w:hAnsi="Times New Roman" w:cs="Times New Roman"/>
                <w:noProof/>
                <w:lang w:val="sk-SK"/>
              </w:rPr>
              <w:t>dopytu po gigabitovom širokopásmovom pripojení</w:t>
            </w:r>
          </w:p>
        </w:tc>
        <w:tc>
          <w:tcPr>
            <w:tcW w:w="992" w:type="dxa"/>
            <w:tcBorders>
              <w:top w:val="single" w:sz="4" w:space="0" w:color="auto"/>
              <w:left w:val="nil"/>
              <w:bottom w:val="single" w:sz="4" w:space="0" w:color="auto"/>
              <w:right w:val="single" w:sz="4" w:space="0" w:color="auto"/>
            </w:tcBorders>
            <w:shd w:val="clear" w:color="auto" w:fill="C6EFCE"/>
            <w:noWrap/>
          </w:tcPr>
          <w:p w14:paraId="0FB364E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43" w:type="dxa"/>
            <w:tcBorders>
              <w:top w:val="single" w:sz="4" w:space="0" w:color="auto"/>
              <w:left w:val="nil"/>
              <w:bottom w:val="single" w:sz="4" w:space="0" w:color="auto"/>
              <w:right w:val="single" w:sz="4" w:space="0" w:color="auto"/>
            </w:tcBorders>
            <w:shd w:val="clear" w:color="auto" w:fill="C6EFCE"/>
            <w:noWrap/>
          </w:tcPr>
          <w:p w14:paraId="7033050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reformy prechodu na gigabitové širokopásmové pripojenie</w:t>
            </w:r>
          </w:p>
        </w:tc>
        <w:tc>
          <w:tcPr>
            <w:tcW w:w="1440" w:type="dxa"/>
            <w:tcBorders>
              <w:top w:val="single" w:sz="4" w:space="0" w:color="auto"/>
              <w:left w:val="nil"/>
              <w:bottom w:val="single" w:sz="4" w:space="0" w:color="auto"/>
              <w:right w:val="single" w:sz="4" w:space="0" w:color="auto"/>
            </w:tcBorders>
            <w:shd w:val="clear" w:color="auto" w:fill="C6EFCE"/>
            <w:noWrap/>
          </w:tcPr>
          <w:p w14:paraId="7053C05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legislatívneho rámca</w:t>
            </w:r>
          </w:p>
        </w:tc>
        <w:tc>
          <w:tcPr>
            <w:tcW w:w="1800" w:type="dxa"/>
            <w:tcBorders>
              <w:top w:val="single" w:sz="4" w:space="0" w:color="auto"/>
              <w:left w:val="nil"/>
              <w:bottom w:val="single" w:sz="4" w:space="0" w:color="auto"/>
              <w:right w:val="single" w:sz="4" w:space="0" w:color="auto"/>
            </w:tcBorders>
            <w:shd w:val="clear" w:color="auto" w:fill="C6EFCE"/>
            <w:noWrap/>
          </w:tcPr>
          <w:p w14:paraId="5806C6CF"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60" w:type="dxa"/>
            <w:tcBorders>
              <w:top w:val="single" w:sz="4" w:space="0" w:color="auto"/>
              <w:left w:val="nil"/>
              <w:bottom w:val="single" w:sz="4" w:space="0" w:color="auto"/>
              <w:right w:val="single" w:sz="4" w:space="0" w:color="auto"/>
            </w:tcBorders>
            <w:shd w:val="clear" w:color="auto" w:fill="C6EFCE"/>
            <w:noWrap/>
          </w:tcPr>
          <w:p w14:paraId="1705E11F"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0" w:type="dxa"/>
            <w:tcBorders>
              <w:top w:val="single" w:sz="4" w:space="0" w:color="auto"/>
              <w:left w:val="nil"/>
              <w:bottom w:val="single" w:sz="4" w:space="0" w:color="auto"/>
              <w:right w:val="single" w:sz="4" w:space="0" w:color="auto"/>
            </w:tcBorders>
            <w:shd w:val="clear" w:color="auto" w:fill="C6EFCE"/>
            <w:noWrap/>
          </w:tcPr>
          <w:p w14:paraId="579A27A5"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60" w:type="dxa"/>
            <w:tcBorders>
              <w:top w:val="single" w:sz="4" w:space="0" w:color="auto"/>
              <w:left w:val="nil"/>
              <w:bottom w:val="single" w:sz="4" w:space="0" w:color="auto"/>
              <w:right w:val="single" w:sz="4" w:space="0" w:color="auto"/>
            </w:tcBorders>
            <w:shd w:val="clear" w:color="auto" w:fill="C6EFCE"/>
            <w:noWrap/>
          </w:tcPr>
          <w:p w14:paraId="4FEFC66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840" w:type="dxa"/>
            <w:tcBorders>
              <w:top w:val="single" w:sz="4" w:space="0" w:color="auto"/>
              <w:left w:val="nil"/>
              <w:bottom w:val="single" w:sz="4" w:space="0" w:color="auto"/>
              <w:right w:val="single" w:sz="4" w:space="0" w:color="auto"/>
            </w:tcBorders>
            <w:shd w:val="clear" w:color="auto" w:fill="C6EFCE"/>
            <w:noWrap/>
          </w:tcPr>
          <w:p w14:paraId="3C9C032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2024</w:t>
            </w:r>
          </w:p>
        </w:tc>
        <w:tc>
          <w:tcPr>
            <w:tcW w:w="4291" w:type="dxa"/>
            <w:tcBorders>
              <w:top w:val="single" w:sz="4" w:space="0" w:color="auto"/>
              <w:left w:val="nil"/>
              <w:bottom w:val="single" w:sz="4" w:space="0" w:color="auto"/>
              <w:right w:val="single" w:sz="4" w:space="0" w:color="auto"/>
            </w:tcBorders>
            <w:shd w:val="clear" w:color="auto" w:fill="C6EFCE"/>
            <w:noWrap/>
          </w:tcPr>
          <w:p w14:paraId="483130C1" w14:textId="3BD337C3" w:rsidR="002D49B0" w:rsidRPr="00083739" w:rsidRDefault="00BF4125">
            <w:pPr>
              <w:pStyle w:val="P68B1DB1-xmsonormal21"/>
              <w:rPr>
                <w:rFonts w:ascii="Times New Roman" w:eastAsia="Times New Roman" w:hAnsi="Times New Roman"/>
                <w:noProof/>
                <w:szCs w:val="18"/>
                <w:lang w:val="sk-SK"/>
              </w:rPr>
            </w:pPr>
            <w:r w:rsidRPr="00083739">
              <w:rPr>
                <w:rFonts w:ascii="Times New Roman" w:hAnsi="Times New Roman"/>
                <w:noProof/>
                <w:lang w:val="sk-SK"/>
              </w:rPr>
              <w:t xml:space="preserve">Nadobudnutie účinnosti právneho rámca vymedzujúceho </w:t>
            </w:r>
            <w:r w:rsidRPr="00083739">
              <w:rPr>
                <w:rFonts w:ascii="Times New Roman" w:hAnsi="Times New Roman"/>
                <w:noProof/>
                <w:lang w:val="sk-SK"/>
              </w:rPr>
              <w:t>technické špecifikácie</w:t>
            </w:r>
            <w:r w:rsidR="00083739" w:rsidRPr="00083739">
              <w:rPr>
                <w:rFonts w:ascii="Times New Roman" w:hAnsi="Times New Roman"/>
                <w:noProof/>
                <w:lang w:val="sk-SK"/>
              </w:rPr>
              <w:t xml:space="preserve"> a </w:t>
            </w:r>
            <w:r w:rsidRPr="00083739">
              <w:rPr>
                <w:rFonts w:ascii="Times New Roman" w:hAnsi="Times New Roman"/>
                <w:noProof/>
                <w:lang w:val="sk-SK"/>
              </w:rPr>
              <w:t>príslušné pravidlá</w:t>
            </w:r>
            <w:r w:rsidR="00083739" w:rsidRPr="00083739">
              <w:rPr>
                <w:rFonts w:ascii="Times New Roman" w:hAnsi="Times New Roman"/>
                <w:noProof/>
                <w:lang w:val="sk-SK"/>
              </w:rPr>
              <w:t xml:space="preserve"> a </w:t>
            </w:r>
            <w:r w:rsidRPr="00083739">
              <w:rPr>
                <w:rFonts w:ascii="Times New Roman" w:hAnsi="Times New Roman"/>
                <w:noProof/>
                <w:lang w:val="sk-SK"/>
              </w:rPr>
              <w:t>postupy zavádzania širokopásmovej infraštruktúry</w:t>
            </w:r>
            <w:r w:rsidR="00083739" w:rsidRPr="00083739">
              <w:rPr>
                <w:rFonts w:ascii="Times New Roman" w:hAnsi="Times New Roman"/>
                <w:noProof/>
                <w:lang w:val="sk-SK"/>
              </w:rPr>
              <w:t xml:space="preserve"> v </w:t>
            </w:r>
            <w:r w:rsidRPr="00083739">
              <w:rPr>
                <w:rFonts w:ascii="Times New Roman" w:hAnsi="Times New Roman"/>
                <w:noProof/>
                <w:lang w:val="sk-SK"/>
              </w:rPr>
              <w:t xml:space="preserve">budove, ktorá je schopná poskytovať gigabitové pripojenie koncovým používateľom. </w:t>
            </w:r>
          </w:p>
        </w:tc>
      </w:tr>
    </w:tbl>
    <w:p w14:paraId="1CCB4232" w14:textId="77777777" w:rsidR="002D49B0" w:rsidRPr="00083739" w:rsidRDefault="002D49B0">
      <w:pPr>
        <w:spacing w:before="120" w:after="120" w:line="240" w:lineRule="auto"/>
        <w:ind w:left="709"/>
        <w:jc w:val="both"/>
        <w:rPr>
          <w:rFonts w:ascii="Times New Roman" w:hAnsi="Times New Roman" w:cs="Times New Roman"/>
          <w:noProof/>
          <w:sz w:val="24"/>
          <w:szCs w:val="24"/>
          <w:lang w:val="sk-SK"/>
        </w:rPr>
        <w:sectPr w:rsidR="002D49B0" w:rsidRPr="00083739" w:rsidSect="00271D33">
          <w:headerReference w:type="even" r:id="rId103"/>
          <w:headerReference w:type="default" r:id="rId104"/>
          <w:footerReference w:type="even" r:id="rId105"/>
          <w:footerReference w:type="default" r:id="rId106"/>
          <w:headerReference w:type="first" r:id="rId107"/>
          <w:footerReference w:type="first" r:id="rId108"/>
          <w:pgSz w:w="16839" w:h="11907" w:orient="landscape"/>
          <w:pgMar w:top="1417" w:right="1134" w:bottom="1417" w:left="1134" w:header="709" w:footer="359" w:gutter="0"/>
          <w:cols w:space="720"/>
          <w:docGrid w:linePitch="360"/>
        </w:sectPr>
      </w:pPr>
    </w:p>
    <w:p w14:paraId="3CB741AB" w14:textId="77777777" w:rsidR="002D49B0" w:rsidRPr="00083739" w:rsidRDefault="00BF4125">
      <w:pPr>
        <w:pStyle w:val="P68B1DB1-Normal2"/>
        <w:spacing w:before="120" w:after="120" w:line="240" w:lineRule="auto"/>
        <w:ind w:firstLine="6"/>
        <w:jc w:val="both"/>
        <w:outlineLvl w:val="3"/>
        <w:rPr>
          <w:rFonts w:cs="Times New Roman"/>
          <w:bCs/>
          <w:noProof/>
          <w:lang w:val="sk-SK"/>
        </w:rPr>
      </w:pPr>
      <w:r w:rsidRPr="00083739">
        <w:rPr>
          <w:rFonts w:cs="Times New Roman"/>
          <w:noProof/>
          <w:lang w:val="sk-SK"/>
        </w:rPr>
        <w:t xml:space="preserve">F. KOMPONENT </w:t>
      </w:r>
      <w:r w:rsidRPr="00083739">
        <w:rPr>
          <w:rFonts w:cs="Times New Roman"/>
          <w:noProof/>
          <w:lang w:val="sk-SK"/>
        </w:rPr>
        <w:t>2.2: ZMODERNIZOVAŤ</w:t>
      </w:r>
    </w:p>
    <w:p w14:paraId="5D5F1E3A" w14:textId="7915F751"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 xml:space="preserve">Zložka „ </w:t>
      </w:r>
      <w:r w:rsidRPr="00083739">
        <w:rPr>
          <w:rFonts w:cs="Times New Roman"/>
          <w:noProof/>
          <w:color w:val="000000"/>
          <w:lang w:val="sk-SK"/>
        </w:rPr>
        <w:t>Modernizácia“ gréckeho plánu obnovy</w:t>
      </w:r>
      <w:r w:rsidR="00083739" w:rsidRPr="00083739">
        <w:rPr>
          <w:rFonts w:cs="Times New Roman"/>
          <w:noProof/>
          <w:color w:val="000000"/>
          <w:lang w:val="sk-SK"/>
        </w:rPr>
        <w:t xml:space="preserve"> a </w:t>
      </w:r>
      <w:r w:rsidRPr="00083739">
        <w:rPr>
          <w:rFonts w:cs="Times New Roman"/>
          <w:noProof/>
          <w:color w:val="000000"/>
          <w:lang w:val="sk-SK"/>
        </w:rPr>
        <w:t>odolnosti</w:t>
      </w:r>
      <w:r w:rsidRPr="00083739">
        <w:rPr>
          <w:rFonts w:cs="Times New Roman"/>
          <w:noProof/>
          <w:lang w:val="sk-SK"/>
        </w:rPr>
        <w:t xml:space="preserve"> je zameraná na modernizáciu verejnej správy zlepšením jej prevádzkového modelu</w:t>
      </w:r>
      <w:r w:rsidR="00083739" w:rsidRPr="00083739">
        <w:rPr>
          <w:rFonts w:cs="Times New Roman"/>
          <w:noProof/>
          <w:lang w:val="sk-SK"/>
        </w:rPr>
        <w:t xml:space="preserve"> a </w:t>
      </w:r>
      <w:r w:rsidRPr="00083739">
        <w:rPr>
          <w:rFonts w:cs="Times New Roman"/>
          <w:noProof/>
          <w:lang w:val="sk-SK"/>
        </w:rPr>
        <w:t>dosiahnutím poskytovania vysokokvalitných služieb občanom</w:t>
      </w:r>
      <w:r w:rsidR="00083739" w:rsidRPr="00083739">
        <w:rPr>
          <w:rFonts w:cs="Times New Roman"/>
          <w:noProof/>
          <w:lang w:val="sk-SK"/>
        </w:rPr>
        <w:t xml:space="preserve"> a </w:t>
      </w:r>
      <w:r w:rsidRPr="00083739">
        <w:rPr>
          <w:rFonts w:cs="Times New Roman"/>
          <w:noProof/>
          <w:lang w:val="sk-SK"/>
        </w:rPr>
        <w:t>podnikom. Urýchlenie úsilia</w:t>
      </w:r>
      <w:r w:rsidR="00083739" w:rsidRPr="00083739">
        <w:rPr>
          <w:rFonts w:cs="Times New Roman"/>
          <w:noProof/>
          <w:lang w:val="sk-SK"/>
        </w:rPr>
        <w:t xml:space="preserve"> o </w:t>
      </w:r>
      <w:r w:rsidRPr="00083739">
        <w:rPr>
          <w:rFonts w:cs="Times New Roman"/>
          <w:noProof/>
          <w:lang w:val="sk-SK"/>
        </w:rPr>
        <w:t>zlepšenie</w:t>
      </w:r>
      <w:r w:rsidRPr="00083739">
        <w:rPr>
          <w:rFonts w:cs="Times New Roman"/>
          <w:noProof/>
          <w:lang w:val="sk-SK"/>
        </w:rPr>
        <w:t xml:space="preserve"> digitálnej výkonnosti verejnej správy bude katalyzátorom na dosiahnutie tohto cieľa. Ciele reforiem</w:t>
      </w:r>
      <w:r w:rsidR="00083739" w:rsidRPr="00083739">
        <w:rPr>
          <w:rFonts w:cs="Times New Roman"/>
          <w:noProof/>
          <w:lang w:val="sk-SK"/>
        </w:rPr>
        <w:t xml:space="preserve"> a </w:t>
      </w:r>
      <w:r w:rsidRPr="00083739">
        <w:rPr>
          <w:rFonts w:cs="Times New Roman"/>
          <w:noProof/>
          <w:lang w:val="sk-SK"/>
        </w:rPr>
        <w:t>investícií: a) digitálnu transformáciu organizácií verejného sektora vrátane digitalizácie archívov</w:t>
      </w:r>
      <w:r w:rsidR="00083739" w:rsidRPr="00083739">
        <w:rPr>
          <w:rFonts w:cs="Times New Roman"/>
          <w:noProof/>
          <w:lang w:val="sk-SK"/>
        </w:rPr>
        <w:t xml:space="preserve"> a </w:t>
      </w:r>
      <w:r w:rsidRPr="00083739">
        <w:rPr>
          <w:rFonts w:cs="Times New Roman"/>
          <w:noProof/>
          <w:lang w:val="sk-SK"/>
        </w:rPr>
        <w:t>zdokonalených digitálnych služieb; b) zlepšenia pre</w:t>
      </w:r>
      <w:r w:rsidRPr="00083739">
        <w:rPr>
          <w:rFonts w:cs="Times New Roman"/>
          <w:noProof/>
          <w:lang w:val="sk-SK"/>
        </w:rPr>
        <w:t>vádzkových procesov, po ktorých nasleduje začlenenie moderných informačných systémov; C) zvýšená interoperabilita medzi systémami</w:t>
      </w:r>
      <w:r w:rsidR="00083739" w:rsidRPr="00083739">
        <w:rPr>
          <w:rFonts w:cs="Times New Roman"/>
          <w:noProof/>
          <w:lang w:val="sk-SK"/>
        </w:rPr>
        <w:t xml:space="preserve"> a </w:t>
      </w:r>
      <w:r w:rsidRPr="00083739">
        <w:rPr>
          <w:rFonts w:cs="Times New Roman"/>
          <w:noProof/>
          <w:lang w:val="sk-SK"/>
        </w:rPr>
        <w:t>údajmi; d) rozsiahle stratégie</w:t>
      </w:r>
      <w:r w:rsidR="00083739" w:rsidRPr="00083739">
        <w:rPr>
          <w:rFonts w:cs="Times New Roman"/>
          <w:noProof/>
          <w:lang w:val="sk-SK"/>
        </w:rPr>
        <w:t xml:space="preserve"> a </w:t>
      </w:r>
      <w:r w:rsidRPr="00083739">
        <w:rPr>
          <w:rFonts w:cs="Times New Roman"/>
          <w:noProof/>
          <w:lang w:val="sk-SK"/>
        </w:rPr>
        <w:t>politiky</w:t>
      </w:r>
      <w:r w:rsidR="00083739" w:rsidRPr="00083739">
        <w:rPr>
          <w:rFonts w:cs="Times New Roman"/>
          <w:noProof/>
          <w:lang w:val="sk-SK"/>
        </w:rPr>
        <w:t xml:space="preserve"> v </w:t>
      </w:r>
      <w:r w:rsidRPr="00083739">
        <w:rPr>
          <w:rFonts w:cs="Times New Roman"/>
          <w:noProof/>
          <w:lang w:val="sk-SK"/>
        </w:rPr>
        <w:t>oblasti kybernetickej bezpečnosti</w:t>
      </w:r>
      <w:r w:rsidR="00083739" w:rsidRPr="00083739">
        <w:rPr>
          <w:rFonts w:cs="Times New Roman"/>
          <w:noProof/>
          <w:lang w:val="sk-SK"/>
        </w:rPr>
        <w:t xml:space="preserve"> a </w:t>
      </w:r>
      <w:r w:rsidRPr="00083739">
        <w:rPr>
          <w:rFonts w:cs="Times New Roman"/>
          <w:noProof/>
          <w:lang w:val="sk-SK"/>
        </w:rPr>
        <w:t>správy údajov; ako aj e) rozšírené využívani</w:t>
      </w:r>
      <w:r w:rsidRPr="00083739">
        <w:rPr>
          <w:rFonts w:cs="Times New Roman"/>
          <w:noProof/>
          <w:lang w:val="sk-SK"/>
        </w:rPr>
        <w:t>e pokročilých technológií, ako sú cloud computing, umelá inteligencia</w:t>
      </w:r>
      <w:r w:rsidR="00083739" w:rsidRPr="00083739">
        <w:rPr>
          <w:rFonts w:cs="Times New Roman"/>
          <w:noProof/>
          <w:lang w:val="sk-SK"/>
        </w:rPr>
        <w:t xml:space="preserve"> a </w:t>
      </w:r>
      <w:r w:rsidRPr="00083739">
        <w:rPr>
          <w:rFonts w:cs="Times New Roman"/>
          <w:noProof/>
          <w:lang w:val="sk-SK"/>
        </w:rPr>
        <w:t>veľké dáta.</w:t>
      </w:r>
    </w:p>
    <w:p w14:paraId="2517807F" w14:textId="363D37D9"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Cieľom komponentu je riešiť výzvu modernizácie</w:t>
      </w:r>
      <w:r w:rsidR="00083739" w:rsidRPr="00083739">
        <w:rPr>
          <w:rFonts w:cs="Times New Roman"/>
          <w:noProof/>
          <w:lang w:val="sk-SK"/>
        </w:rPr>
        <w:t xml:space="preserve"> a </w:t>
      </w:r>
      <w:r w:rsidRPr="00083739">
        <w:rPr>
          <w:rFonts w:cs="Times New Roman"/>
          <w:noProof/>
          <w:lang w:val="sk-SK"/>
        </w:rPr>
        <w:t>digitalizácie verejnej správy</w:t>
      </w:r>
      <w:r w:rsidR="00083739" w:rsidRPr="00083739">
        <w:rPr>
          <w:rFonts w:cs="Times New Roman"/>
          <w:noProof/>
          <w:lang w:val="sk-SK"/>
        </w:rPr>
        <w:t xml:space="preserve"> a </w:t>
      </w:r>
      <w:r w:rsidRPr="00083739">
        <w:rPr>
          <w:rFonts w:cs="Times New Roman"/>
          <w:noProof/>
          <w:lang w:val="sk-SK"/>
        </w:rPr>
        <w:t>zároveň zefektívniť</w:t>
      </w:r>
      <w:r w:rsidR="00083739" w:rsidRPr="00083739">
        <w:rPr>
          <w:rFonts w:cs="Times New Roman"/>
          <w:noProof/>
          <w:lang w:val="sk-SK"/>
        </w:rPr>
        <w:t xml:space="preserve"> a </w:t>
      </w:r>
      <w:r w:rsidRPr="00083739">
        <w:rPr>
          <w:rFonts w:cs="Times New Roman"/>
          <w:noProof/>
          <w:lang w:val="sk-SK"/>
        </w:rPr>
        <w:t>zjednodušiť jej kľúčové procesy</w:t>
      </w:r>
      <w:r w:rsidR="00083739" w:rsidRPr="00083739">
        <w:rPr>
          <w:rFonts w:cs="Times New Roman"/>
          <w:noProof/>
          <w:lang w:val="sk-SK"/>
        </w:rPr>
        <w:t xml:space="preserve"> a </w:t>
      </w:r>
      <w:r w:rsidRPr="00083739">
        <w:rPr>
          <w:rFonts w:cs="Times New Roman"/>
          <w:noProof/>
          <w:lang w:val="sk-SK"/>
        </w:rPr>
        <w:t>postupy. Podporuje riešenie odporúč</w:t>
      </w:r>
      <w:r w:rsidRPr="00083739">
        <w:rPr>
          <w:rFonts w:cs="Times New Roman"/>
          <w:noProof/>
          <w:lang w:val="sk-SK"/>
        </w:rPr>
        <w:t>ania pre jednotlivé krajiny týkajúceho sa verejných</w:t>
      </w:r>
      <w:r w:rsidR="00083739" w:rsidRPr="00083739">
        <w:rPr>
          <w:rFonts w:cs="Times New Roman"/>
          <w:noProof/>
          <w:lang w:val="sk-SK"/>
        </w:rPr>
        <w:t xml:space="preserve"> a </w:t>
      </w:r>
      <w:r w:rsidRPr="00083739">
        <w:rPr>
          <w:rFonts w:cs="Times New Roman"/>
          <w:noProof/>
          <w:lang w:val="sk-SK"/>
        </w:rPr>
        <w:t>súkromných investícií (odporúčania pre jednotlivé krajiny č. 3 2020</w:t>
      </w:r>
      <w:r w:rsidR="00083739" w:rsidRPr="00083739">
        <w:rPr>
          <w:rFonts w:cs="Times New Roman"/>
          <w:noProof/>
          <w:lang w:val="sk-SK"/>
        </w:rPr>
        <w:t xml:space="preserve"> a </w:t>
      </w:r>
      <w:r w:rsidRPr="00083739">
        <w:rPr>
          <w:rFonts w:cs="Times New Roman"/>
          <w:noProof/>
          <w:lang w:val="sk-SK"/>
        </w:rPr>
        <w:t>2 2019) zlepšením účinnosti</w:t>
      </w:r>
      <w:r w:rsidR="00083739" w:rsidRPr="00083739">
        <w:rPr>
          <w:rFonts w:cs="Times New Roman"/>
          <w:noProof/>
          <w:lang w:val="sk-SK"/>
        </w:rPr>
        <w:t xml:space="preserve"> a </w:t>
      </w:r>
      <w:r w:rsidRPr="00083739">
        <w:rPr>
          <w:rFonts w:cs="Times New Roman"/>
          <w:noProof/>
          <w:lang w:val="sk-SK"/>
        </w:rPr>
        <w:t>digitalizácie verejnej správy. Očakáva sa, že žiadne opatrenie</w:t>
      </w:r>
      <w:r w:rsidR="00083739" w:rsidRPr="00083739">
        <w:rPr>
          <w:rFonts w:cs="Times New Roman"/>
          <w:noProof/>
          <w:lang w:val="sk-SK"/>
        </w:rPr>
        <w:t xml:space="preserve"> v </w:t>
      </w:r>
      <w:r w:rsidRPr="00083739">
        <w:rPr>
          <w:rFonts w:cs="Times New Roman"/>
          <w:noProof/>
          <w:lang w:val="sk-SK"/>
        </w:rPr>
        <w:t>tomto komponente výrazne nenaruší env</w:t>
      </w:r>
      <w:r w:rsidRPr="00083739">
        <w:rPr>
          <w:rFonts w:cs="Times New Roman"/>
          <w:noProof/>
          <w:lang w:val="sk-SK"/>
        </w:rPr>
        <w:t>ironmentálne ciele</w:t>
      </w:r>
      <w:r w:rsidR="00083739" w:rsidRPr="00083739">
        <w:rPr>
          <w:rFonts w:cs="Times New Roman"/>
          <w:noProof/>
          <w:lang w:val="sk-SK"/>
        </w:rPr>
        <w:t xml:space="preserve"> v </w:t>
      </w:r>
      <w:r w:rsidRPr="00083739">
        <w:rPr>
          <w:rFonts w:cs="Times New Roman"/>
          <w:noProof/>
          <w:lang w:val="sk-SK"/>
        </w:rPr>
        <w:t>zmysle článku 17 nariadenia (EÚ) 2020/852, pričom sa zohľadní opis opatrení</w:t>
      </w:r>
      <w:r w:rsidR="00083739" w:rsidRPr="00083739">
        <w:rPr>
          <w:rFonts w:cs="Times New Roman"/>
          <w:noProof/>
          <w:lang w:val="sk-SK"/>
        </w:rPr>
        <w:t xml:space="preserve"> a </w:t>
      </w:r>
      <w:r w:rsidRPr="00083739">
        <w:rPr>
          <w:rFonts w:cs="Times New Roman"/>
          <w:noProof/>
          <w:lang w:val="sk-SK"/>
        </w:rPr>
        <w:t>zmierňujúcich krokov stanovených</w:t>
      </w:r>
      <w:r w:rsidR="00083739" w:rsidRPr="00083739">
        <w:rPr>
          <w:rFonts w:cs="Times New Roman"/>
          <w:noProof/>
          <w:lang w:val="sk-SK"/>
        </w:rPr>
        <w:t xml:space="preserve"> v </w:t>
      </w:r>
      <w:r w:rsidRPr="00083739">
        <w:rPr>
          <w:rFonts w:cs="Times New Roman"/>
          <w:noProof/>
          <w:lang w:val="sk-SK"/>
        </w:rPr>
        <w:t>pláne podpory obnovy</w:t>
      </w:r>
      <w:r w:rsidR="00083739" w:rsidRPr="00083739">
        <w:rPr>
          <w:rFonts w:cs="Times New Roman"/>
          <w:noProof/>
          <w:lang w:val="sk-SK"/>
        </w:rPr>
        <w:t xml:space="preserve"> a </w:t>
      </w:r>
      <w:r w:rsidRPr="00083739">
        <w:rPr>
          <w:rFonts w:cs="Times New Roman"/>
          <w:noProof/>
          <w:lang w:val="sk-SK"/>
        </w:rPr>
        <w:t>odolnosti</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technickým usmernením „výrazne nenarušiť“ (2021/C58/01).</w:t>
      </w:r>
    </w:p>
    <w:p w14:paraId="11A9516B" w14:textId="04D9C8D6" w:rsidR="002D49B0" w:rsidRPr="00083739" w:rsidRDefault="00BF4125">
      <w:pPr>
        <w:spacing w:before="120" w:after="120" w:line="240" w:lineRule="auto"/>
        <w:jc w:val="both"/>
        <w:rPr>
          <w:rFonts w:ascii="Times New Roman" w:hAnsi="Times New Roman" w:cs="Times New Roman"/>
          <w:b/>
          <w:i/>
          <w:noProof/>
          <w:color w:val="4F81BD"/>
          <w:sz w:val="24"/>
          <w:lang w:val="sk-SK"/>
        </w:rPr>
      </w:pPr>
      <w:r w:rsidRPr="00083739">
        <w:rPr>
          <w:rFonts w:ascii="Times New Roman" w:hAnsi="Times New Roman" w:cs="Times New Roman"/>
          <w:b/>
          <w:noProof/>
          <w:sz w:val="24"/>
          <w:u w:val="single"/>
          <w:lang w:val="sk-SK"/>
        </w:rPr>
        <w:t xml:space="preserve">F.1. </w:t>
      </w:r>
      <w:r w:rsidRPr="00083739">
        <w:rPr>
          <w:rFonts w:ascii="Times New Roman" w:hAnsi="Times New Roman" w:cs="Times New Roman"/>
          <w:noProof/>
          <w:lang w:val="sk-SK"/>
        </w:rPr>
        <w:t xml:space="preserve"> </w:t>
      </w:r>
      <w:r w:rsidRPr="00083739">
        <w:rPr>
          <w:rFonts w:ascii="Times New Roman" w:hAnsi="Times New Roman" w:cs="Times New Roman"/>
          <w:b/>
          <w:noProof/>
          <w:sz w:val="24"/>
          <w:u w:val="single"/>
          <w:lang w:val="sk-SK"/>
        </w:rPr>
        <w:t>Opis reforiem</w:t>
      </w:r>
      <w:r w:rsidR="00083739" w:rsidRPr="00083739">
        <w:rPr>
          <w:rFonts w:ascii="Times New Roman" w:hAnsi="Times New Roman" w:cs="Times New Roman"/>
          <w:b/>
          <w:noProof/>
          <w:sz w:val="24"/>
          <w:u w:val="single"/>
          <w:lang w:val="sk-SK"/>
        </w:rPr>
        <w:t xml:space="preserve"> a </w:t>
      </w:r>
      <w:r w:rsidRPr="00083739">
        <w:rPr>
          <w:rFonts w:ascii="Times New Roman" w:hAnsi="Times New Roman" w:cs="Times New Roman"/>
          <w:b/>
          <w:noProof/>
          <w:sz w:val="24"/>
          <w:u w:val="single"/>
          <w:lang w:val="sk-SK"/>
        </w:rPr>
        <w:t>investícií</w:t>
      </w:r>
      <w:r w:rsidR="00083739" w:rsidRPr="00083739">
        <w:rPr>
          <w:rFonts w:ascii="Times New Roman" w:hAnsi="Times New Roman" w:cs="Times New Roman"/>
          <w:b/>
          <w:noProof/>
          <w:sz w:val="24"/>
          <w:u w:val="single"/>
          <w:lang w:val="sk-SK"/>
        </w:rPr>
        <w:t xml:space="preserve"> v </w:t>
      </w:r>
      <w:r w:rsidRPr="00083739">
        <w:rPr>
          <w:rFonts w:ascii="Times New Roman" w:hAnsi="Times New Roman" w:cs="Times New Roman"/>
          <w:b/>
          <w:noProof/>
          <w:sz w:val="24"/>
          <w:u w:val="single"/>
          <w:lang w:val="sk-SK"/>
        </w:rPr>
        <w:t>rámci nenávratnej finančnej podpory</w:t>
      </w:r>
    </w:p>
    <w:p w14:paraId="27A54213" w14:textId="07F378DE"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Reforma:</w:t>
      </w:r>
      <w:r w:rsidRPr="00083739">
        <w:rPr>
          <w:rFonts w:cs="Times New Roman"/>
          <w:noProof/>
          <w:lang w:val="sk-SK"/>
        </w:rPr>
        <w:t xml:space="preserve"> Smerom</w:t>
      </w:r>
      <w:r w:rsidR="00083739" w:rsidRPr="00083739">
        <w:rPr>
          <w:rFonts w:cs="Times New Roman"/>
          <w:noProof/>
          <w:lang w:val="sk-SK"/>
        </w:rPr>
        <w:t xml:space="preserve"> k </w:t>
      </w:r>
      <w:r w:rsidRPr="00083739">
        <w:rPr>
          <w:rFonts w:cs="Times New Roman"/>
          <w:noProof/>
          <w:lang w:val="sk-SK"/>
        </w:rPr>
        <w:t>službám verejnej správy zameraným na zákazníka prostredníctvom zjednodušenia</w:t>
      </w:r>
      <w:r w:rsidR="00083739" w:rsidRPr="00083739">
        <w:rPr>
          <w:rFonts w:cs="Times New Roman"/>
          <w:noProof/>
          <w:lang w:val="sk-SK"/>
        </w:rPr>
        <w:t xml:space="preserve"> a </w:t>
      </w:r>
      <w:r w:rsidRPr="00083739">
        <w:rPr>
          <w:rFonts w:cs="Times New Roman"/>
          <w:noProof/>
          <w:lang w:val="sk-SK"/>
        </w:rPr>
        <w:t>zlepšenia procesov, zlepšenia systémov</w:t>
      </w:r>
      <w:r w:rsidR="00083739" w:rsidRPr="00083739">
        <w:rPr>
          <w:rFonts w:cs="Times New Roman"/>
          <w:noProof/>
          <w:lang w:val="sk-SK"/>
        </w:rPr>
        <w:t xml:space="preserve"> a </w:t>
      </w:r>
      <w:r w:rsidRPr="00083739">
        <w:rPr>
          <w:rFonts w:cs="Times New Roman"/>
          <w:noProof/>
          <w:lang w:val="sk-SK"/>
        </w:rPr>
        <w:t>súladu</w:t>
      </w:r>
      <w:r w:rsidR="00083739" w:rsidRPr="00083739">
        <w:rPr>
          <w:rFonts w:cs="Times New Roman"/>
          <w:noProof/>
          <w:lang w:val="sk-SK"/>
        </w:rPr>
        <w:t xml:space="preserve"> s </w:t>
      </w:r>
      <w:r w:rsidRPr="00083739">
        <w:rPr>
          <w:rFonts w:cs="Times New Roman"/>
          <w:noProof/>
          <w:lang w:val="sk-SK"/>
        </w:rPr>
        <w:t>európskymi stratégiami</w:t>
      </w:r>
      <w:r w:rsidR="00083739" w:rsidRPr="00083739">
        <w:rPr>
          <w:rFonts w:cs="Times New Roman"/>
          <w:noProof/>
          <w:lang w:val="sk-SK"/>
        </w:rPr>
        <w:t xml:space="preserve"> a </w:t>
      </w:r>
      <w:r w:rsidRPr="00083739">
        <w:rPr>
          <w:rFonts w:cs="Times New Roman"/>
          <w:noProof/>
          <w:lang w:val="sk-SK"/>
        </w:rPr>
        <w:t>politikami (ID 16929)</w:t>
      </w:r>
    </w:p>
    <w:p w14:paraId="09E4A254" w14:textId="772837BD"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Cieľom ref</w:t>
      </w:r>
      <w:r w:rsidRPr="00083739">
        <w:rPr>
          <w:rFonts w:cs="Times New Roman"/>
          <w:noProof/>
          <w:lang w:val="sk-SK"/>
        </w:rPr>
        <w:t>ormy je poskytovanie služieb orientovaných na používateľa gréckym občanom</w:t>
      </w:r>
      <w:r w:rsidR="00083739" w:rsidRPr="00083739">
        <w:rPr>
          <w:rFonts w:cs="Times New Roman"/>
          <w:noProof/>
          <w:lang w:val="sk-SK"/>
        </w:rPr>
        <w:t xml:space="preserve"> a </w:t>
      </w:r>
      <w:r w:rsidRPr="00083739">
        <w:rPr>
          <w:rFonts w:cs="Times New Roman"/>
          <w:noProof/>
          <w:lang w:val="sk-SK"/>
        </w:rPr>
        <w:t>podnikom</w:t>
      </w:r>
      <w:r w:rsidR="00083739" w:rsidRPr="00083739">
        <w:rPr>
          <w:rFonts w:cs="Times New Roman"/>
          <w:noProof/>
          <w:lang w:val="sk-SK"/>
        </w:rPr>
        <w:t xml:space="preserve"> a </w:t>
      </w:r>
      <w:r w:rsidRPr="00083739">
        <w:rPr>
          <w:rFonts w:cs="Times New Roman"/>
          <w:noProof/>
          <w:lang w:val="sk-SK"/>
        </w:rPr>
        <w:t>zlepšenie vnútorného fungovania gréckej verejnej správy. Reforma pozostáva</w:t>
      </w:r>
      <w:r w:rsidR="00083739" w:rsidRPr="00083739">
        <w:rPr>
          <w:rFonts w:cs="Times New Roman"/>
          <w:noProof/>
          <w:lang w:val="sk-SK"/>
        </w:rPr>
        <w:t xml:space="preserve"> z </w:t>
      </w:r>
      <w:r w:rsidRPr="00083739">
        <w:rPr>
          <w:rFonts w:cs="Times New Roman"/>
          <w:noProof/>
          <w:lang w:val="sk-SK"/>
        </w:rPr>
        <w:t>vykonávania strednodobej stratégie na zníženie administratívnej záťaže</w:t>
      </w:r>
      <w:r w:rsidR="00083739" w:rsidRPr="00083739">
        <w:rPr>
          <w:rFonts w:cs="Times New Roman"/>
          <w:noProof/>
          <w:lang w:val="sk-SK"/>
        </w:rPr>
        <w:t xml:space="preserve"> a </w:t>
      </w:r>
      <w:r w:rsidRPr="00083739">
        <w:rPr>
          <w:rFonts w:cs="Times New Roman"/>
          <w:noProof/>
          <w:lang w:val="sk-SK"/>
        </w:rPr>
        <w:t xml:space="preserve">vytvorenia služieb </w:t>
      </w:r>
      <w:r w:rsidRPr="00083739">
        <w:rPr>
          <w:rFonts w:cs="Times New Roman"/>
          <w:noProof/>
          <w:lang w:val="sk-SK"/>
        </w:rPr>
        <w:t>zameraných na zákazníka</w:t>
      </w:r>
      <w:r w:rsidR="00083739" w:rsidRPr="00083739">
        <w:rPr>
          <w:rFonts w:cs="Times New Roman"/>
          <w:noProof/>
          <w:lang w:val="sk-SK"/>
        </w:rPr>
        <w:t xml:space="preserve"> v </w:t>
      </w:r>
      <w:r w:rsidRPr="00083739">
        <w:rPr>
          <w:rFonts w:cs="Times New Roman"/>
          <w:noProof/>
          <w:lang w:val="sk-SK"/>
        </w:rPr>
        <w:t>rámci verejnej správy</w:t>
      </w:r>
      <w:r w:rsidR="00083739" w:rsidRPr="00083739">
        <w:rPr>
          <w:rFonts w:cs="Times New Roman"/>
          <w:noProof/>
          <w:lang w:val="sk-SK"/>
        </w:rPr>
        <w:t xml:space="preserve"> a z </w:t>
      </w:r>
      <w:r w:rsidRPr="00083739">
        <w:rPr>
          <w:rFonts w:cs="Times New Roman"/>
          <w:noProof/>
          <w:lang w:val="sk-SK"/>
        </w:rPr>
        <w:t>vykonávania národného programu na zjednodušenie procesu vrátane zriadenia národného registra postupov</w:t>
      </w:r>
      <w:r w:rsidR="00083739" w:rsidRPr="00083739">
        <w:rPr>
          <w:rFonts w:cs="Times New Roman"/>
          <w:noProof/>
          <w:lang w:val="sk-SK"/>
        </w:rPr>
        <w:t xml:space="preserve"> a </w:t>
      </w:r>
      <w:r w:rsidRPr="00083739">
        <w:rPr>
          <w:rFonts w:cs="Times New Roman"/>
          <w:noProof/>
          <w:lang w:val="sk-SK"/>
        </w:rPr>
        <w:t>zriadenia strediska na monitorovanie vplyvu regulácie</w:t>
      </w:r>
      <w:r w:rsidR="00083739" w:rsidRPr="00083739">
        <w:rPr>
          <w:rFonts w:cs="Times New Roman"/>
          <w:noProof/>
          <w:lang w:val="sk-SK"/>
        </w:rPr>
        <w:t xml:space="preserve"> a </w:t>
      </w:r>
      <w:r w:rsidRPr="00083739">
        <w:rPr>
          <w:rFonts w:cs="Times New Roman"/>
          <w:noProof/>
          <w:lang w:val="sk-SK"/>
        </w:rPr>
        <w:t>národného registra postupov (ďalej len „Mito</w:t>
      </w:r>
      <w:r w:rsidRPr="00083739">
        <w:rPr>
          <w:rFonts w:cs="Times New Roman"/>
          <w:noProof/>
          <w:lang w:val="sk-SK"/>
        </w:rPr>
        <w:t>s“). Reforma zahŕňa dokončenie zjednodušenia/digitalizácie: procesy posudzovania vplyvu, žiadosti</w:t>
      </w:r>
      <w:r w:rsidR="00083739" w:rsidRPr="00083739">
        <w:rPr>
          <w:rFonts w:cs="Times New Roman"/>
          <w:noProof/>
          <w:lang w:val="sk-SK"/>
        </w:rPr>
        <w:t xml:space="preserve"> o </w:t>
      </w:r>
      <w:r w:rsidRPr="00083739">
        <w:rPr>
          <w:rFonts w:cs="Times New Roman"/>
          <w:noProof/>
          <w:lang w:val="sk-SK"/>
        </w:rPr>
        <w:t>občianstvo, zakladanie spoločností</w:t>
      </w:r>
      <w:r w:rsidR="00083739" w:rsidRPr="00083739">
        <w:rPr>
          <w:rFonts w:cs="Times New Roman"/>
          <w:noProof/>
          <w:lang w:val="sk-SK"/>
        </w:rPr>
        <w:t xml:space="preserve"> s </w:t>
      </w:r>
      <w:r w:rsidRPr="00083739">
        <w:rPr>
          <w:rFonts w:cs="Times New Roman"/>
          <w:noProof/>
          <w:lang w:val="sk-SK"/>
        </w:rPr>
        <w:t>jediným vlastníkom, zjednodušenie postupov týkajúcich sa „životných udalostí“ občanov vrátane narodenia, úmrtia</w:t>
      </w:r>
      <w:r w:rsidR="00083739" w:rsidRPr="00083739">
        <w:rPr>
          <w:rFonts w:cs="Times New Roman"/>
          <w:noProof/>
          <w:lang w:val="sk-SK"/>
        </w:rPr>
        <w:t xml:space="preserve"> a </w:t>
      </w:r>
      <w:r w:rsidRPr="00083739">
        <w:rPr>
          <w:rFonts w:cs="Times New Roman"/>
          <w:noProof/>
          <w:lang w:val="sk-SK"/>
        </w:rPr>
        <w:t>rozvo</w:t>
      </w:r>
      <w:r w:rsidRPr="00083739">
        <w:rPr>
          <w:rFonts w:cs="Times New Roman"/>
          <w:noProof/>
          <w:lang w:val="sk-SK"/>
        </w:rPr>
        <w:t>du, zjednodušenie súdnych konaní týkajúcich sa právnikov, súdnych rozhodnutí, digitálnych podpisov, osvedčení vydaných súdmi, obnovenia vodičských preukazov</w:t>
      </w:r>
      <w:r w:rsidR="00083739" w:rsidRPr="00083739">
        <w:rPr>
          <w:rFonts w:cs="Times New Roman"/>
          <w:noProof/>
          <w:lang w:val="sk-SK"/>
        </w:rPr>
        <w:t xml:space="preserve"> a </w:t>
      </w:r>
      <w:r w:rsidRPr="00083739">
        <w:rPr>
          <w:rFonts w:cs="Times New Roman"/>
          <w:noProof/>
          <w:lang w:val="sk-SK"/>
        </w:rPr>
        <w:t>prevádzky myfoto.gov.gr, elektronického obehu dokumentov</w:t>
      </w:r>
      <w:r w:rsidR="00083739" w:rsidRPr="00083739">
        <w:rPr>
          <w:rFonts w:cs="Times New Roman"/>
          <w:noProof/>
          <w:lang w:val="sk-SK"/>
        </w:rPr>
        <w:t xml:space="preserve"> v </w:t>
      </w:r>
      <w:r w:rsidRPr="00083739">
        <w:rPr>
          <w:rFonts w:cs="Times New Roman"/>
          <w:noProof/>
          <w:lang w:val="sk-SK"/>
        </w:rPr>
        <w:t>rámci verejnej správy</w:t>
      </w:r>
      <w:r w:rsidR="00083739" w:rsidRPr="00083739">
        <w:rPr>
          <w:rFonts w:cs="Times New Roman"/>
          <w:noProof/>
          <w:lang w:val="sk-SK"/>
        </w:rPr>
        <w:t xml:space="preserve"> a </w:t>
      </w:r>
      <w:r w:rsidRPr="00083739">
        <w:rPr>
          <w:rFonts w:cs="Times New Roman"/>
          <w:noProof/>
          <w:lang w:val="sk-SK"/>
        </w:rPr>
        <w:t xml:space="preserve">postupov </w:t>
      </w:r>
      <w:r w:rsidRPr="00083739">
        <w:rPr>
          <w:rFonts w:cs="Times New Roman"/>
          <w:noProof/>
          <w:lang w:val="sk-SK"/>
        </w:rPr>
        <w:t>verejného obstarávania. Reforma zahŕňa aj: a) zjednodušenie právneho rámca miestnej samosprávy nadobudnutím účinnosti kapitol jednotného kódexu miestnej správy týkajúcich sa regulácie organizačných otázok</w:t>
      </w:r>
      <w:r w:rsidR="00083739" w:rsidRPr="00083739">
        <w:rPr>
          <w:rFonts w:cs="Times New Roman"/>
          <w:noProof/>
          <w:lang w:val="sk-SK"/>
        </w:rPr>
        <w:t xml:space="preserve"> a </w:t>
      </w:r>
      <w:r w:rsidRPr="00083739">
        <w:rPr>
          <w:rFonts w:cs="Times New Roman"/>
          <w:noProof/>
          <w:lang w:val="sk-SK"/>
        </w:rPr>
        <w:t>regulácie finančného fungovania</w:t>
      </w:r>
      <w:r w:rsidR="00083739" w:rsidRPr="00083739">
        <w:rPr>
          <w:rFonts w:cs="Times New Roman"/>
          <w:noProof/>
          <w:lang w:val="sk-SK"/>
        </w:rPr>
        <w:t xml:space="preserve"> a </w:t>
      </w:r>
      <w:r w:rsidRPr="00083739">
        <w:rPr>
          <w:rFonts w:cs="Times New Roman"/>
          <w:noProof/>
          <w:lang w:val="sk-SK"/>
        </w:rPr>
        <w:t>rámca riadenia</w:t>
      </w:r>
      <w:r w:rsidR="00083739" w:rsidRPr="00083739">
        <w:rPr>
          <w:rFonts w:cs="Times New Roman"/>
          <w:noProof/>
          <w:lang w:val="sk-SK"/>
        </w:rPr>
        <w:t xml:space="preserve"> a </w:t>
      </w:r>
      <w:r w:rsidRPr="00083739">
        <w:rPr>
          <w:rFonts w:cs="Times New Roman"/>
          <w:noProof/>
          <w:lang w:val="sk-SK"/>
        </w:rPr>
        <w:t>b)</w:t>
      </w:r>
      <w:r w:rsidR="00083739" w:rsidRPr="00083739">
        <w:rPr>
          <w:rFonts w:cs="Times New Roman"/>
          <w:noProof/>
          <w:lang w:val="sk-SK"/>
        </w:rPr>
        <w:t xml:space="preserve"> v </w:t>
      </w:r>
      <w:r w:rsidRPr="00083739">
        <w:rPr>
          <w:rFonts w:cs="Times New Roman"/>
          <w:noProof/>
          <w:lang w:val="sk-SK"/>
        </w:rPr>
        <w:t>kontexte strediska pre monitorovanie byrokracie štandardizácia metodiky</w:t>
      </w:r>
      <w:r w:rsidR="00083739" w:rsidRPr="00083739">
        <w:rPr>
          <w:rFonts w:cs="Times New Roman"/>
          <w:noProof/>
          <w:lang w:val="sk-SK"/>
        </w:rPr>
        <w:t xml:space="preserve"> a </w:t>
      </w:r>
      <w:r w:rsidRPr="00083739">
        <w:rPr>
          <w:rFonts w:cs="Times New Roman"/>
          <w:noProof/>
          <w:lang w:val="sk-SK"/>
        </w:rPr>
        <w:t>postupov na meranie administratívnej záťaže, vypracovanie indexu merania byrokracie (BMI), návrh</w:t>
      </w:r>
      <w:r w:rsidR="00083739" w:rsidRPr="00083739">
        <w:rPr>
          <w:rFonts w:cs="Times New Roman"/>
          <w:noProof/>
          <w:lang w:val="sk-SK"/>
        </w:rPr>
        <w:t xml:space="preserve"> a </w:t>
      </w:r>
      <w:r w:rsidRPr="00083739">
        <w:rPr>
          <w:rFonts w:cs="Times New Roman"/>
          <w:noProof/>
          <w:lang w:val="sk-SK"/>
        </w:rPr>
        <w:t>vývoj mechanizmu na podporu analýzy regulačného vplyvu</w:t>
      </w:r>
      <w:r w:rsidR="00083739" w:rsidRPr="00083739">
        <w:rPr>
          <w:rFonts w:cs="Times New Roman"/>
          <w:noProof/>
          <w:lang w:val="sk-SK"/>
        </w:rPr>
        <w:t xml:space="preserve"> a </w:t>
      </w:r>
      <w:r w:rsidRPr="00083739">
        <w:rPr>
          <w:rFonts w:cs="Times New Roman"/>
          <w:noProof/>
          <w:lang w:val="sk-SK"/>
        </w:rPr>
        <w:t>uverejňovanie opatr</w:t>
      </w:r>
      <w:r w:rsidRPr="00083739">
        <w:rPr>
          <w:rFonts w:cs="Times New Roman"/>
          <w:noProof/>
          <w:lang w:val="sk-SK"/>
        </w:rPr>
        <w:t>ení administratívnej záťaže pomocou štandardného modelu nákladov. Implementácia tejto reformy sa dokončí do 31</w:t>
      </w:r>
      <w:r w:rsidR="00083739" w:rsidRPr="00083739">
        <w:rPr>
          <w:rFonts w:cs="Times New Roman"/>
          <w:noProof/>
          <w:lang w:val="sk-SK"/>
        </w:rPr>
        <w:t>. decembra</w:t>
      </w:r>
      <w:r w:rsidRPr="00083739">
        <w:rPr>
          <w:rFonts w:cs="Times New Roman"/>
          <w:noProof/>
          <w:lang w:val="sk-SK"/>
        </w:rPr>
        <w:t xml:space="preserve"> 2025.</w:t>
      </w:r>
    </w:p>
    <w:p w14:paraId="233438AC" w14:textId="6D26C5A3"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Digitalizácia archívov</w:t>
      </w:r>
      <w:r w:rsidR="00083739" w:rsidRPr="00083739">
        <w:rPr>
          <w:rFonts w:cs="Times New Roman"/>
          <w:noProof/>
          <w:lang w:val="sk-SK"/>
        </w:rPr>
        <w:t xml:space="preserve"> a </w:t>
      </w:r>
      <w:r w:rsidRPr="00083739">
        <w:rPr>
          <w:rFonts w:cs="Times New Roman"/>
          <w:noProof/>
          <w:lang w:val="sk-SK"/>
        </w:rPr>
        <w:t>súvisiacich služieb (ID opatrenia 16778)</w:t>
      </w:r>
    </w:p>
    <w:p w14:paraId="523E0C55" w14:textId="1B044708" w:rsidR="00083739"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Investícia pozostáva</w:t>
      </w:r>
      <w:r w:rsidR="00083739" w:rsidRPr="00083739">
        <w:rPr>
          <w:rFonts w:cs="Times New Roman"/>
          <w:noProof/>
          <w:lang w:val="sk-SK"/>
        </w:rPr>
        <w:t xml:space="preserve"> z </w:t>
      </w:r>
      <w:r w:rsidRPr="00083739">
        <w:rPr>
          <w:rFonts w:cs="Times New Roman"/>
          <w:noProof/>
          <w:lang w:val="sk-SK"/>
        </w:rPr>
        <w:t>digitalizácie kľúčových arch</w:t>
      </w:r>
      <w:r w:rsidRPr="00083739">
        <w:rPr>
          <w:rFonts w:cs="Times New Roman"/>
          <w:noProof/>
          <w:lang w:val="sk-SK"/>
        </w:rPr>
        <w:t>ívov</w:t>
      </w:r>
      <w:r w:rsidR="00083739" w:rsidRPr="00083739">
        <w:rPr>
          <w:rFonts w:cs="Times New Roman"/>
          <w:noProof/>
          <w:lang w:val="sk-SK"/>
        </w:rPr>
        <w:t xml:space="preserve"> v </w:t>
      </w:r>
      <w:r w:rsidRPr="00083739">
        <w:rPr>
          <w:rFonts w:cs="Times New Roman"/>
          <w:noProof/>
          <w:lang w:val="sk-SK"/>
        </w:rPr>
        <w:t>rôznych odvetviach (spravodlivosť, zdravotníctvo, všeobecné archívy štátu, územné plánovanie, vyvlastnenie, kataster, prisťahovalectvo</w:t>
      </w:r>
      <w:r w:rsidR="00083739" w:rsidRPr="00083739">
        <w:rPr>
          <w:rFonts w:cs="Times New Roman"/>
          <w:noProof/>
          <w:lang w:val="sk-SK"/>
        </w:rPr>
        <w:t xml:space="preserve"> a </w:t>
      </w:r>
      <w:r w:rsidRPr="00083739">
        <w:rPr>
          <w:rFonts w:cs="Times New Roman"/>
          <w:noProof/>
          <w:lang w:val="sk-SK"/>
        </w:rPr>
        <w:t>azyl, námorné záležitosti)</w:t>
      </w:r>
      <w:r w:rsidR="00083739" w:rsidRPr="00083739">
        <w:rPr>
          <w:rFonts w:cs="Times New Roman"/>
          <w:noProof/>
          <w:lang w:val="sk-SK"/>
        </w:rPr>
        <w:t xml:space="preserve"> a </w:t>
      </w:r>
      <w:r w:rsidRPr="00083739">
        <w:rPr>
          <w:rFonts w:cs="Times New Roman"/>
          <w:noProof/>
          <w:lang w:val="sk-SK"/>
        </w:rPr>
        <w:t>integrácie do príslušných informačných systémov</w:t>
      </w:r>
      <w:r w:rsidR="00083739" w:rsidRPr="00083739">
        <w:rPr>
          <w:rFonts w:cs="Times New Roman"/>
          <w:noProof/>
          <w:lang w:val="sk-SK"/>
        </w:rPr>
        <w:t xml:space="preserve"> a </w:t>
      </w:r>
      <w:r w:rsidRPr="00083739">
        <w:rPr>
          <w:rFonts w:cs="Times New Roman"/>
          <w:noProof/>
          <w:lang w:val="sk-SK"/>
        </w:rPr>
        <w:t>pilotnej realizácie bezpečného uc</w:t>
      </w:r>
      <w:r w:rsidRPr="00083739">
        <w:rPr>
          <w:rFonts w:cs="Times New Roman"/>
          <w:noProof/>
          <w:lang w:val="sk-SK"/>
        </w:rPr>
        <w:t>hovávania verejného sektora</w:t>
      </w:r>
      <w:r w:rsidR="00083739" w:rsidRPr="00083739">
        <w:rPr>
          <w:rFonts w:cs="Times New Roman"/>
          <w:noProof/>
          <w:lang w:val="sk-SK"/>
        </w:rPr>
        <w:t xml:space="preserve"> a </w:t>
      </w:r>
      <w:r w:rsidRPr="00083739">
        <w:rPr>
          <w:rFonts w:cs="Times New Roman"/>
          <w:noProof/>
          <w:lang w:val="sk-SK"/>
        </w:rPr>
        <w:t>„širších“ archívov verejného sektora (spolu deväť čiastkových projektov)</w:t>
      </w:r>
      <w:r w:rsidR="00083739" w:rsidRPr="00083739">
        <w:rPr>
          <w:rFonts w:cs="Times New Roman"/>
          <w:noProof/>
          <w:lang w:val="sk-SK"/>
        </w:rPr>
        <w:t>.</w:t>
      </w:r>
    </w:p>
    <w:p w14:paraId="256EF541" w14:textId="61CA7D34"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Konkrétne uvedené čiastkové projekty zahŕňajú realizáciu digitalizácie 1260800000 strán</w:t>
      </w:r>
      <w:r w:rsidR="00083739" w:rsidRPr="00083739">
        <w:rPr>
          <w:rFonts w:cs="Times New Roman"/>
          <w:noProof/>
          <w:lang w:val="sk-SK"/>
        </w:rPr>
        <w:t xml:space="preserve"> a </w:t>
      </w:r>
      <w:r w:rsidRPr="00083739">
        <w:rPr>
          <w:rFonts w:cs="Times New Roman"/>
          <w:noProof/>
          <w:lang w:val="sk-SK"/>
        </w:rPr>
        <w:t>iné potrebné opatrenia</w:t>
      </w:r>
      <w:r w:rsidR="00083739" w:rsidRPr="00083739">
        <w:rPr>
          <w:rFonts w:cs="Times New Roman"/>
          <w:noProof/>
          <w:lang w:val="sk-SK"/>
        </w:rPr>
        <w:t xml:space="preserve"> v </w:t>
      </w:r>
      <w:r w:rsidRPr="00083739">
        <w:rPr>
          <w:rFonts w:cs="Times New Roman"/>
          <w:noProof/>
          <w:lang w:val="sk-SK"/>
        </w:rPr>
        <w:t>súvislosti</w:t>
      </w:r>
      <w:r w:rsidR="00083739" w:rsidRPr="00083739">
        <w:rPr>
          <w:rFonts w:cs="Times New Roman"/>
          <w:noProof/>
          <w:lang w:val="sk-SK"/>
        </w:rPr>
        <w:t xml:space="preserve"> s </w:t>
      </w:r>
      <w:r w:rsidRPr="00083739">
        <w:rPr>
          <w:rFonts w:cs="Times New Roman"/>
          <w:noProof/>
          <w:lang w:val="sk-SK"/>
        </w:rPr>
        <w:t>týmito archívmi: 1) just</w:t>
      </w:r>
      <w:r w:rsidRPr="00083739">
        <w:rPr>
          <w:rFonts w:cs="Times New Roman"/>
          <w:noProof/>
          <w:lang w:val="sk-SK"/>
        </w:rPr>
        <w:t>ičný systém, 2) lekárske záznamy</w:t>
      </w:r>
      <w:r w:rsidR="00083739" w:rsidRPr="00083739">
        <w:rPr>
          <w:rFonts w:cs="Times New Roman"/>
          <w:noProof/>
          <w:lang w:val="sk-SK"/>
        </w:rPr>
        <w:t xml:space="preserve"> a </w:t>
      </w:r>
      <w:r w:rsidRPr="00083739">
        <w:rPr>
          <w:rFonts w:cs="Times New Roman"/>
          <w:noProof/>
          <w:lang w:val="sk-SK"/>
        </w:rPr>
        <w:t>zobrazovacie prehliadky systému verejného zdravotníctva, 3) všeobecný archív štátu pre ústredné</w:t>
      </w:r>
      <w:r w:rsidR="00083739" w:rsidRPr="00083739">
        <w:rPr>
          <w:rFonts w:cs="Times New Roman"/>
          <w:noProof/>
          <w:lang w:val="sk-SK"/>
        </w:rPr>
        <w:t xml:space="preserve"> a </w:t>
      </w:r>
      <w:r w:rsidRPr="00083739">
        <w:rPr>
          <w:rFonts w:cs="Times New Roman"/>
          <w:noProof/>
          <w:lang w:val="sk-SK"/>
        </w:rPr>
        <w:t>miestne agentúry, 4) imigračný</w:t>
      </w:r>
      <w:r w:rsidR="00083739" w:rsidRPr="00083739">
        <w:rPr>
          <w:rFonts w:cs="Times New Roman"/>
          <w:noProof/>
          <w:lang w:val="sk-SK"/>
        </w:rPr>
        <w:t xml:space="preserve"> a </w:t>
      </w:r>
      <w:r w:rsidRPr="00083739">
        <w:rPr>
          <w:rFonts w:cs="Times New Roman"/>
          <w:noProof/>
          <w:lang w:val="sk-SK"/>
        </w:rPr>
        <w:t>azylový systém, 5) plány vyvlastnenia, 6) stavebné povolenia</w:t>
      </w:r>
      <w:r w:rsidR="00083739" w:rsidRPr="00083739">
        <w:rPr>
          <w:rFonts w:cs="Times New Roman"/>
          <w:noProof/>
          <w:lang w:val="sk-SK"/>
        </w:rPr>
        <w:t xml:space="preserve"> a </w:t>
      </w:r>
      <w:r w:rsidRPr="00083739">
        <w:rPr>
          <w:rFonts w:cs="Times New Roman"/>
          <w:noProof/>
          <w:lang w:val="sk-SK"/>
        </w:rPr>
        <w:t>plány</w:t>
      </w:r>
      <w:r w:rsidR="00083739" w:rsidRPr="00083739">
        <w:rPr>
          <w:rFonts w:cs="Times New Roman"/>
          <w:noProof/>
          <w:lang w:val="sk-SK"/>
        </w:rPr>
        <w:t xml:space="preserve"> a </w:t>
      </w:r>
      <w:r w:rsidRPr="00083739">
        <w:rPr>
          <w:rFonts w:cs="Times New Roman"/>
          <w:noProof/>
          <w:lang w:val="sk-SK"/>
        </w:rPr>
        <w:t>vytvorenie metaúdaj</w:t>
      </w:r>
      <w:r w:rsidRPr="00083739">
        <w:rPr>
          <w:rFonts w:cs="Times New Roman"/>
          <w:noProof/>
          <w:lang w:val="sk-SK"/>
        </w:rPr>
        <w:t>ov</w:t>
      </w:r>
      <w:r w:rsidR="00083739" w:rsidRPr="00083739">
        <w:rPr>
          <w:rFonts w:cs="Times New Roman"/>
          <w:noProof/>
          <w:lang w:val="sk-SK"/>
        </w:rPr>
        <w:t xml:space="preserve"> a </w:t>
      </w:r>
      <w:r w:rsidRPr="00083739">
        <w:rPr>
          <w:rFonts w:cs="Times New Roman"/>
          <w:noProof/>
          <w:lang w:val="sk-SK"/>
        </w:rPr>
        <w:t>geokódovania pre agentúry územného plánovania, 7a) vlastnícke práva</w:t>
      </w:r>
      <w:r w:rsidR="00083739" w:rsidRPr="00083739">
        <w:rPr>
          <w:rFonts w:cs="Times New Roman"/>
          <w:noProof/>
          <w:lang w:val="sk-SK"/>
        </w:rPr>
        <w:t xml:space="preserve"> a </w:t>
      </w:r>
      <w:r w:rsidRPr="00083739">
        <w:rPr>
          <w:rFonts w:cs="Times New Roman"/>
          <w:noProof/>
          <w:lang w:val="sk-SK"/>
        </w:rPr>
        <w:t>príslušné dokumenty</w:t>
      </w:r>
      <w:r w:rsidR="00083739" w:rsidRPr="00083739">
        <w:rPr>
          <w:rFonts w:cs="Times New Roman"/>
          <w:noProof/>
          <w:lang w:val="sk-SK"/>
        </w:rPr>
        <w:t xml:space="preserve"> v </w:t>
      </w:r>
      <w:r w:rsidRPr="00083739">
        <w:rPr>
          <w:rFonts w:cs="Times New Roman"/>
          <w:noProof/>
          <w:lang w:val="sk-SK"/>
        </w:rPr>
        <w:t>hypotekárnych úradoch katastra</w:t>
      </w:r>
      <w:r w:rsidR="00083739" w:rsidRPr="00083739">
        <w:rPr>
          <w:rFonts w:cs="Times New Roman"/>
          <w:noProof/>
          <w:lang w:val="sk-SK"/>
        </w:rPr>
        <w:t xml:space="preserve"> a </w:t>
      </w:r>
      <w:r w:rsidRPr="00083739">
        <w:rPr>
          <w:rFonts w:cs="Times New Roman"/>
          <w:noProof/>
          <w:lang w:val="sk-SK"/>
        </w:rPr>
        <w:t>7b) vykonávanie zlepšených služieb katastra, 8) námorné záležitosti. Podprojekt 9) sa týka pilotnej realizácie bezpečného ulož</w:t>
      </w:r>
      <w:r w:rsidRPr="00083739">
        <w:rPr>
          <w:rFonts w:cs="Times New Roman"/>
          <w:noProof/>
          <w:lang w:val="sk-SK"/>
        </w:rPr>
        <w:t>enia 1440000 súborov obsahujúcich fyzické súbory</w:t>
      </w:r>
      <w:r w:rsidR="00083739" w:rsidRPr="00083739">
        <w:rPr>
          <w:rFonts w:cs="Times New Roman"/>
          <w:noProof/>
          <w:lang w:val="sk-SK"/>
        </w:rPr>
        <w:t xml:space="preserve"> v </w:t>
      </w:r>
      <w:r w:rsidRPr="00083739">
        <w:rPr>
          <w:rFonts w:cs="Times New Roman"/>
          <w:noProof/>
          <w:lang w:val="sk-SK"/>
        </w:rPr>
        <w:t>iných archívoch verejného sektora. Cieľom tejto investície je znížiť časové náklady na poskytovanie služieb verejnosti zo strany verejnej správy, zatiaľ čo lepší prístup</w:t>
      </w:r>
      <w:r w:rsidR="00083739" w:rsidRPr="00083739">
        <w:rPr>
          <w:rFonts w:cs="Times New Roman"/>
          <w:noProof/>
          <w:lang w:val="sk-SK"/>
        </w:rPr>
        <w:t xml:space="preserve"> k </w:t>
      </w:r>
      <w:r w:rsidRPr="00083739">
        <w:rPr>
          <w:rFonts w:cs="Times New Roman"/>
          <w:noProof/>
          <w:lang w:val="sk-SK"/>
        </w:rPr>
        <w:t>archívom má viesť aj</w:t>
      </w:r>
      <w:r w:rsidR="00083739" w:rsidRPr="00083739">
        <w:rPr>
          <w:rFonts w:cs="Times New Roman"/>
          <w:noProof/>
          <w:lang w:val="sk-SK"/>
        </w:rPr>
        <w:t xml:space="preserve"> k </w:t>
      </w:r>
      <w:r w:rsidRPr="00083739">
        <w:rPr>
          <w:rFonts w:cs="Times New Roman"/>
          <w:noProof/>
          <w:lang w:val="sk-SK"/>
        </w:rPr>
        <w:t xml:space="preserve">značným </w:t>
      </w:r>
      <w:r w:rsidRPr="00083739">
        <w:rPr>
          <w:rFonts w:cs="Times New Roman"/>
          <w:noProof/>
          <w:lang w:val="sk-SK"/>
        </w:rPr>
        <w:t>úsporám nákladov</w:t>
      </w:r>
      <w:r w:rsidR="00083739" w:rsidRPr="00083739">
        <w:rPr>
          <w:rFonts w:cs="Times New Roman"/>
          <w:noProof/>
          <w:lang w:val="sk-SK"/>
        </w:rPr>
        <w:t xml:space="preserve"> a </w:t>
      </w:r>
      <w:r w:rsidRPr="00083739">
        <w:rPr>
          <w:rFonts w:cs="Times New Roman"/>
          <w:noProof/>
          <w:lang w:val="sk-SK"/>
        </w:rPr>
        <w:t>uvoľneniu zdrojov. Realizácia investície sa ukončí do 31</w:t>
      </w:r>
      <w:r w:rsidR="00083739" w:rsidRPr="00083739">
        <w:rPr>
          <w:rFonts w:cs="Times New Roman"/>
          <w:noProof/>
          <w:lang w:val="sk-SK"/>
        </w:rPr>
        <w:t>. decembra</w:t>
      </w:r>
      <w:r w:rsidRPr="00083739">
        <w:rPr>
          <w:rFonts w:cs="Times New Roman"/>
          <w:noProof/>
          <w:lang w:val="sk-SK"/>
        </w:rPr>
        <w:t xml:space="preserve"> 2025.</w:t>
      </w:r>
    </w:p>
    <w:p w14:paraId="2CC37F21" w14:textId="7777777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Kapacitný mechanizmus pre verejnú správu (ID opatrenia 16810)</w:t>
      </w:r>
    </w:p>
    <w:p w14:paraId="62F0D786" w14:textId="3D3789D6"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Investícia sa týka návrhu, vývoja, implementácie</w:t>
      </w:r>
      <w:r w:rsidR="00083739" w:rsidRPr="00083739">
        <w:rPr>
          <w:rFonts w:cs="Times New Roman"/>
          <w:noProof/>
          <w:lang w:val="sk-SK"/>
        </w:rPr>
        <w:t xml:space="preserve"> a </w:t>
      </w:r>
      <w:r w:rsidRPr="00083739">
        <w:rPr>
          <w:rFonts w:cs="Times New Roman"/>
          <w:noProof/>
          <w:lang w:val="sk-SK"/>
        </w:rPr>
        <w:t>prevádzky (z technického hľadiska) inte</w:t>
      </w:r>
      <w:r w:rsidRPr="00083739">
        <w:rPr>
          <w:rFonts w:cs="Times New Roman"/>
          <w:noProof/>
          <w:lang w:val="sk-SK"/>
        </w:rPr>
        <w:t>grovaného systému na riadenie celého životného cyklu vzťahov verejnej správy</w:t>
      </w:r>
      <w:r w:rsidR="00083739" w:rsidRPr="00083739">
        <w:rPr>
          <w:rFonts w:cs="Times New Roman"/>
          <w:noProof/>
          <w:lang w:val="sk-SK"/>
        </w:rPr>
        <w:t xml:space="preserve"> s </w:t>
      </w:r>
      <w:r w:rsidRPr="00083739">
        <w:rPr>
          <w:rFonts w:cs="Times New Roman"/>
          <w:noProof/>
          <w:lang w:val="sk-SK"/>
        </w:rPr>
        <w:t>občanmi</w:t>
      </w:r>
      <w:r w:rsidR="00083739" w:rsidRPr="00083739">
        <w:rPr>
          <w:rFonts w:cs="Times New Roman"/>
          <w:noProof/>
          <w:lang w:val="sk-SK"/>
        </w:rPr>
        <w:t xml:space="preserve"> a </w:t>
      </w:r>
      <w:r w:rsidRPr="00083739">
        <w:rPr>
          <w:rFonts w:cs="Times New Roman"/>
          <w:noProof/>
          <w:lang w:val="sk-SK"/>
        </w:rPr>
        <w:t>podnikmi. Projektom sa zmodernizuje existujúca kapacita verejnej správy na monitorovanie jej interakcií</w:t>
      </w:r>
      <w:r w:rsidR="00083739" w:rsidRPr="00083739">
        <w:rPr>
          <w:rFonts w:cs="Times New Roman"/>
          <w:noProof/>
          <w:lang w:val="sk-SK"/>
        </w:rPr>
        <w:t xml:space="preserve"> a </w:t>
      </w:r>
      <w:r w:rsidRPr="00083739">
        <w:rPr>
          <w:rFonts w:cs="Times New Roman"/>
          <w:noProof/>
          <w:lang w:val="sk-SK"/>
        </w:rPr>
        <w:t>transakcií</w:t>
      </w:r>
      <w:r w:rsidR="00083739" w:rsidRPr="00083739">
        <w:rPr>
          <w:rFonts w:cs="Times New Roman"/>
          <w:noProof/>
          <w:lang w:val="sk-SK"/>
        </w:rPr>
        <w:t xml:space="preserve"> s </w:t>
      </w:r>
      <w:r w:rsidRPr="00083739">
        <w:rPr>
          <w:rFonts w:cs="Times New Roman"/>
          <w:noProof/>
          <w:lang w:val="sk-SK"/>
        </w:rPr>
        <w:t>občanmi</w:t>
      </w:r>
      <w:r w:rsidR="00083739" w:rsidRPr="00083739">
        <w:rPr>
          <w:rFonts w:cs="Times New Roman"/>
          <w:noProof/>
          <w:lang w:val="sk-SK"/>
        </w:rPr>
        <w:t xml:space="preserve"> a </w:t>
      </w:r>
      <w:r w:rsidRPr="00083739">
        <w:rPr>
          <w:rFonts w:cs="Times New Roman"/>
          <w:noProof/>
          <w:lang w:val="sk-SK"/>
        </w:rPr>
        <w:t>podnikmi. Systém využíva informácie zh</w:t>
      </w:r>
      <w:r w:rsidRPr="00083739">
        <w:rPr>
          <w:rFonts w:cs="Times New Roman"/>
          <w:noProof/>
          <w:lang w:val="sk-SK"/>
        </w:rPr>
        <w:t>romaždené občanmi</w:t>
      </w:r>
      <w:r w:rsidR="00083739" w:rsidRPr="00083739">
        <w:rPr>
          <w:rFonts w:cs="Times New Roman"/>
          <w:noProof/>
          <w:lang w:val="sk-SK"/>
        </w:rPr>
        <w:t xml:space="preserve"> a </w:t>
      </w:r>
      <w:r w:rsidRPr="00083739">
        <w:rPr>
          <w:rFonts w:cs="Times New Roman"/>
          <w:noProof/>
          <w:lang w:val="sk-SK"/>
        </w:rPr>
        <w:t>podnikmi</w:t>
      </w:r>
      <w:r w:rsidR="00083739" w:rsidRPr="00083739">
        <w:rPr>
          <w:rFonts w:cs="Times New Roman"/>
          <w:noProof/>
          <w:lang w:val="sk-SK"/>
        </w:rPr>
        <w:t xml:space="preserve"> s </w:t>
      </w:r>
      <w:r w:rsidRPr="00083739">
        <w:rPr>
          <w:rFonts w:cs="Times New Roman"/>
          <w:noProof/>
          <w:lang w:val="sk-SK"/>
        </w:rPr>
        <w:t>cieľom personalizovať prístup</w:t>
      </w:r>
      <w:r w:rsidR="00083739" w:rsidRPr="00083739">
        <w:rPr>
          <w:rFonts w:cs="Times New Roman"/>
          <w:noProof/>
          <w:lang w:val="sk-SK"/>
        </w:rPr>
        <w:t xml:space="preserve"> a </w:t>
      </w:r>
      <w:r w:rsidRPr="00083739">
        <w:rPr>
          <w:rFonts w:cs="Times New Roman"/>
          <w:noProof/>
          <w:lang w:val="sk-SK"/>
        </w:rPr>
        <w:t>podporovať vyššiu úroveň služieb. Investícia zahŕňa a) služby integrácie</w:t>
      </w:r>
      <w:r w:rsidR="00083739" w:rsidRPr="00083739">
        <w:rPr>
          <w:rFonts w:cs="Times New Roman"/>
          <w:noProof/>
          <w:lang w:val="sk-SK"/>
        </w:rPr>
        <w:t xml:space="preserve"> a </w:t>
      </w:r>
      <w:r w:rsidRPr="00083739">
        <w:rPr>
          <w:rFonts w:cs="Times New Roman"/>
          <w:noProof/>
          <w:lang w:val="sk-SK"/>
        </w:rPr>
        <w:t>interoperability prostredníctvom prijatia moderných metodík navrhovania</w:t>
      </w:r>
      <w:r w:rsidR="00083739" w:rsidRPr="00083739">
        <w:rPr>
          <w:rFonts w:cs="Times New Roman"/>
          <w:noProof/>
          <w:lang w:val="sk-SK"/>
        </w:rPr>
        <w:t xml:space="preserve"> a </w:t>
      </w:r>
      <w:r w:rsidRPr="00083739">
        <w:rPr>
          <w:rFonts w:cs="Times New Roman"/>
          <w:noProof/>
          <w:lang w:val="sk-SK"/>
        </w:rPr>
        <w:t>vývoja softvéru; b) prístup</w:t>
      </w:r>
      <w:r w:rsidR="00083739" w:rsidRPr="00083739">
        <w:rPr>
          <w:rFonts w:cs="Times New Roman"/>
          <w:noProof/>
          <w:lang w:val="sk-SK"/>
        </w:rPr>
        <w:t xml:space="preserve"> k </w:t>
      </w:r>
      <w:r w:rsidRPr="00083739">
        <w:rPr>
          <w:rFonts w:cs="Times New Roman"/>
          <w:noProof/>
          <w:lang w:val="sk-SK"/>
        </w:rPr>
        <w:t>podporným mech</w:t>
      </w:r>
      <w:r w:rsidRPr="00083739">
        <w:rPr>
          <w:rFonts w:cs="Times New Roman"/>
          <w:noProof/>
          <w:lang w:val="sk-SK"/>
        </w:rPr>
        <w:t>anizmom služieb, ktorý je súborom nástrojov na vývoj nových aplikácií založených na nízkokódovej technológii; platformu riadenia vzťahov so zákazníkmi (CRM), ktorá zhromažďuje</w:t>
      </w:r>
      <w:r w:rsidR="00083739" w:rsidRPr="00083739">
        <w:rPr>
          <w:rFonts w:cs="Times New Roman"/>
          <w:noProof/>
          <w:lang w:val="sk-SK"/>
        </w:rPr>
        <w:t xml:space="preserve"> a </w:t>
      </w:r>
      <w:r w:rsidRPr="00083739">
        <w:rPr>
          <w:rFonts w:cs="Times New Roman"/>
          <w:noProof/>
          <w:lang w:val="sk-SK"/>
        </w:rPr>
        <w:t>spravuje všetky údaje</w:t>
      </w:r>
      <w:r w:rsidR="00083739" w:rsidRPr="00083739">
        <w:rPr>
          <w:rFonts w:cs="Times New Roman"/>
          <w:noProof/>
          <w:lang w:val="sk-SK"/>
        </w:rPr>
        <w:t xml:space="preserve"> o </w:t>
      </w:r>
      <w:r w:rsidRPr="00083739">
        <w:rPr>
          <w:rFonts w:cs="Times New Roman"/>
          <w:noProof/>
          <w:lang w:val="sk-SK"/>
        </w:rPr>
        <w:t>obslužných občanoch</w:t>
      </w:r>
      <w:r w:rsidR="00083739" w:rsidRPr="00083739">
        <w:rPr>
          <w:rFonts w:cs="Times New Roman"/>
          <w:noProof/>
          <w:lang w:val="sk-SK"/>
        </w:rPr>
        <w:t xml:space="preserve"> a </w:t>
      </w:r>
      <w:r w:rsidRPr="00083739">
        <w:rPr>
          <w:rFonts w:cs="Times New Roman"/>
          <w:noProof/>
          <w:lang w:val="sk-SK"/>
        </w:rPr>
        <w:t>organizuje vykonávanie obchodnýc</w:t>
      </w:r>
      <w:r w:rsidRPr="00083739">
        <w:rPr>
          <w:rFonts w:cs="Times New Roman"/>
          <w:noProof/>
          <w:lang w:val="sk-SK"/>
        </w:rPr>
        <w:t>h procesov bez ohľadu na iniciujúcu službu; systém riadenia konsenzu občanov pre prístup</w:t>
      </w:r>
      <w:r w:rsidR="00083739" w:rsidRPr="00083739">
        <w:rPr>
          <w:rFonts w:cs="Times New Roman"/>
          <w:noProof/>
          <w:lang w:val="sk-SK"/>
        </w:rPr>
        <w:t xml:space="preserve"> k </w:t>
      </w:r>
      <w:r w:rsidRPr="00083739">
        <w:rPr>
          <w:rFonts w:cs="Times New Roman"/>
          <w:noProof/>
          <w:lang w:val="sk-SK"/>
        </w:rPr>
        <w:t>elektronickým službám e) služby kontaktného centra, prostredníctvom ktorého sa služby občanov</w:t>
      </w:r>
      <w:r w:rsidR="00083739" w:rsidRPr="00083739">
        <w:rPr>
          <w:rFonts w:cs="Times New Roman"/>
          <w:noProof/>
          <w:lang w:val="sk-SK"/>
        </w:rPr>
        <w:t xml:space="preserve"> a </w:t>
      </w:r>
      <w:r w:rsidRPr="00083739">
        <w:rPr>
          <w:rFonts w:cs="Times New Roman"/>
          <w:noProof/>
          <w:lang w:val="sk-SK"/>
        </w:rPr>
        <w:t>podnikov vykonávajú</w:t>
      </w:r>
      <w:r w:rsidR="00083739" w:rsidRPr="00083739">
        <w:rPr>
          <w:rFonts w:cs="Times New Roman"/>
          <w:noProof/>
          <w:lang w:val="sk-SK"/>
        </w:rPr>
        <w:t xml:space="preserve"> s </w:t>
      </w:r>
      <w:r w:rsidRPr="00083739">
        <w:rPr>
          <w:rFonts w:cs="Times New Roman"/>
          <w:noProof/>
          <w:lang w:val="sk-SK"/>
        </w:rPr>
        <w:t>použitím tradičných kanálov, ako sú telefonické</w:t>
      </w:r>
      <w:r w:rsidRPr="00083739">
        <w:rPr>
          <w:rFonts w:cs="Times New Roman"/>
          <w:noProof/>
          <w:lang w:val="sk-SK"/>
        </w:rPr>
        <w:t xml:space="preserve"> centrá, ale aj</w:t>
      </w:r>
      <w:r w:rsidR="00083739" w:rsidRPr="00083739">
        <w:rPr>
          <w:rFonts w:cs="Times New Roman"/>
          <w:noProof/>
          <w:lang w:val="sk-SK"/>
        </w:rPr>
        <w:t xml:space="preserve"> s </w:t>
      </w:r>
      <w:r w:rsidRPr="00083739">
        <w:rPr>
          <w:rFonts w:cs="Times New Roman"/>
          <w:noProof/>
          <w:lang w:val="sk-SK"/>
        </w:rPr>
        <w:t>využitím moderných kanálov, ako sú webové formuláre, sociálne médiá, aplikácie na zasielanie správ, telekonferenčná aplikácia, f) modernizácia digitálnej platformy KEP</w:t>
      </w:r>
      <w:r w:rsidR="00083739" w:rsidRPr="00083739">
        <w:rPr>
          <w:rFonts w:cs="Times New Roman"/>
          <w:noProof/>
          <w:lang w:val="sk-SK"/>
        </w:rPr>
        <w:t xml:space="preserve"> a </w:t>
      </w:r>
      <w:r w:rsidRPr="00083739">
        <w:rPr>
          <w:rFonts w:cs="Times New Roman"/>
          <w:noProof/>
          <w:lang w:val="sk-SK"/>
        </w:rPr>
        <w:t>jej prepojenie</w:t>
      </w:r>
      <w:r w:rsidR="00083739" w:rsidRPr="00083739">
        <w:rPr>
          <w:rFonts w:cs="Times New Roman"/>
          <w:noProof/>
          <w:lang w:val="sk-SK"/>
        </w:rPr>
        <w:t xml:space="preserve"> s </w:t>
      </w:r>
      <w:r w:rsidRPr="00083739">
        <w:rPr>
          <w:rFonts w:cs="Times New Roman"/>
          <w:noProof/>
          <w:lang w:val="sk-SK"/>
        </w:rPr>
        <w:t>jednotným systémom správy vecí občanov, telefonické</w:t>
      </w:r>
      <w:r w:rsidRPr="00083739">
        <w:rPr>
          <w:rFonts w:cs="Times New Roman"/>
          <w:noProof/>
          <w:lang w:val="sk-SK"/>
        </w:rPr>
        <w:t xml:space="preserve"> centrum</w:t>
      </w:r>
      <w:r w:rsidR="00083739" w:rsidRPr="00083739">
        <w:rPr>
          <w:rFonts w:cs="Times New Roman"/>
          <w:noProof/>
          <w:lang w:val="sk-SK"/>
        </w:rPr>
        <w:t xml:space="preserve"> a </w:t>
      </w:r>
      <w:r w:rsidRPr="00083739">
        <w:rPr>
          <w:rFonts w:cs="Times New Roman"/>
          <w:noProof/>
          <w:lang w:val="sk-SK"/>
        </w:rPr>
        <w:t>gov.gr g) zjednodušenie</w:t>
      </w:r>
      <w:r w:rsidR="00083739" w:rsidRPr="00083739">
        <w:rPr>
          <w:rFonts w:cs="Times New Roman"/>
          <w:noProof/>
          <w:lang w:val="sk-SK"/>
        </w:rPr>
        <w:t xml:space="preserve"> a </w:t>
      </w:r>
      <w:r w:rsidRPr="00083739">
        <w:rPr>
          <w:rFonts w:cs="Times New Roman"/>
          <w:noProof/>
          <w:lang w:val="sk-SK"/>
        </w:rPr>
        <w:t>zlepšenie procesov</w:t>
      </w:r>
      <w:r w:rsidR="00083739" w:rsidRPr="00083739">
        <w:rPr>
          <w:rFonts w:cs="Times New Roman"/>
          <w:noProof/>
          <w:lang w:val="sk-SK"/>
        </w:rPr>
        <w:t xml:space="preserve"> a </w:t>
      </w:r>
      <w:r w:rsidRPr="00083739">
        <w:rPr>
          <w:rFonts w:cs="Times New Roman"/>
          <w:noProof/>
          <w:lang w:val="sk-SK"/>
        </w:rPr>
        <w:t>služieb súvisiacich</w:t>
      </w:r>
      <w:r w:rsidR="00083739" w:rsidRPr="00083739">
        <w:rPr>
          <w:rFonts w:cs="Times New Roman"/>
          <w:noProof/>
          <w:lang w:val="sk-SK"/>
        </w:rPr>
        <w:t xml:space="preserve"> s </w:t>
      </w:r>
      <w:r w:rsidRPr="00083739">
        <w:rPr>
          <w:rFonts w:cs="Times New Roman"/>
          <w:noProof/>
          <w:lang w:val="sk-SK"/>
        </w:rPr>
        <w:t>fyzickou prítomnosťou „zákazníkov“</w:t>
      </w:r>
      <w:r w:rsidR="00083739" w:rsidRPr="00083739">
        <w:rPr>
          <w:rFonts w:cs="Times New Roman"/>
          <w:noProof/>
          <w:lang w:val="sk-SK"/>
        </w:rPr>
        <w:t xml:space="preserve"> s </w:t>
      </w:r>
      <w:r w:rsidRPr="00083739">
        <w:rPr>
          <w:rFonts w:cs="Times New Roman"/>
          <w:noProof/>
          <w:lang w:val="sk-SK"/>
        </w:rPr>
        <w:t>rozšírením existujúcej infraštruktúry myKEPlive</w:t>
      </w:r>
      <w:r w:rsidR="00083739" w:rsidRPr="00083739">
        <w:rPr>
          <w:rFonts w:cs="Times New Roman"/>
          <w:noProof/>
          <w:lang w:val="sk-SK"/>
        </w:rPr>
        <w:t xml:space="preserve"> a </w:t>
      </w:r>
      <w:r w:rsidRPr="00083739">
        <w:rPr>
          <w:rFonts w:cs="Times New Roman"/>
          <w:noProof/>
          <w:lang w:val="sk-SK"/>
        </w:rPr>
        <w:t>jej integrácia so systémom plánovania termínov fyzickej prítomnosti, h) zavedenie integro</w:t>
      </w:r>
      <w:r w:rsidRPr="00083739">
        <w:rPr>
          <w:rFonts w:cs="Times New Roman"/>
          <w:noProof/>
          <w:lang w:val="sk-SK"/>
        </w:rPr>
        <w:t>vaného systému elektronickej komunikácie medzi systémami</w:t>
      </w:r>
      <w:r w:rsidR="00083739" w:rsidRPr="00083739">
        <w:rPr>
          <w:rFonts w:cs="Times New Roman"/>
          <w:noProof/>
          <w:lang w:val="sk-SK"/>
        </w:rPr>
        <w:t xml:space="preserve"> a </w:t>
      </w:r>
      <w:r w:rsidRPr="00083739">
        <w:rPr>
          <w:rFonts w:cs="Times New Roman"/>
          <w:noProof/>
          <w:lang w:val="sk-SK"/>
        </w:rPr>
        <w:t>službami verejného sektora</w:t>
      </w:r>
      <w:r w:rsidR="00083739" w:rsidRPr="00083739">
        <w:rPr>
          <w:rFonts w:cs="Times New Roman"/>
          <w:noProof/>
          <w:lang w:val="sk-SK"/>
        </w:rPr>
        <w:t xml:space="preserve"> a </w:t>
      </w:r>
      <w:r w:rsidRPr="00083739">
        <w:rPr>
          <w:rFonts w:cs="Times New Roman"/>
          <w:noProof/>
          <w:lang w:val="sk-SK"/>
        </w:rPr>
        <w:t>gréckymi občanmi (Gov. gr – doručovateľ). Implementácia tejto investície sa dokončí do 30</w:t>
      </w:r>
      <w:r w:rsidR="00083739" w:rsidRPr="00083739">
        <w:rPr>
          <w:rFonts w:cs="Times New Roman"/>
          <w:noProof/>
          <w:lang w:val="sk-SK"/>
        </w:rPr>
        <w:t>. júna</w:t>
      </w:r>
      <w:r w:rsidRPr="00083739">
        <w:rPr>
          <w:rFonts w:cs="Times New Roman"/>
          <w:noProof/>
          <w:lang w:val="sk-SK"/>
        </w:rPr>
        <w:t xml:space="preserve"> 2025.</w:t>
      </w:r>
    </w:p>
    <w:p w14:paraId="4C8914E8" w14:textId="7777777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Ďalšia modernizácia jednotných kontaktných miest verej</w:t>
      </w:r>
      <w:r w:rsidRPr="00083739">
        <w:rPr>
          <w:rFonts w:cs="Times New Roman"/>
          <w:noProof/>
          <w:lang w:val="sk-SK"/>
        </w:rPr>
        <w:t>nej správy (ID opatrenia 16780)</w:t>
      </w:r>
    </w:p>
    <w:p w14:paraId="2D17275E" w14:textId="109AF32E" w:rsidR="002D49B0" w:rsidRPr="00083739" w:rsidRDefault="00BF4125">
      <w:pPr>
        <w:pStyle w:val="P68B1DB1-Normal5"/>
        <w:spacing w:before="120" w:after="120" w:line="240" w:lineRule="auto"/>
        <w:jc w:val="both"/>
        <w:rPr>
          <w:rFonts w:cs="Times New Roman"/>
          <w:noProof/>
          <w:lang w:val="sk-SK"/>
        </w:rPr>
      </w:pPr>
      <w:r w:rsidRPr="00083739">
        <w:rPr>
          <w:rFonts w:cs="Times New Roman"/>
          <w:noProof/>
          <w:lang w:val="sk-SK"/>
        </w:rPr>
        <w:t>Investícia pozostáva</w:t>
      </w:r>
      <w:r w:rsidR="00083739" w:rsidRPr="00083739">
        <w:rPr>
          <w:rFonts w:cs="Times New Roman"/>
          <w:noProof/>
          <w:lang w:val="sk-SK"/>
        </w:rPr>
        <w:t xml:space="preserve"> z </w:t>
      </w:r>
      <w:r w:rsidRPr="00083739">
        <w:rPr>
          <w:rFonts w:cs="Times New Roman"/>
          <w:noProof/>
          <w:lang w:val="sk-SK"/>
        </w:rPr>
        <w:t>ďalšej modernizácie centier služieb občanom prostredníctvom mobilnej aplikácie</w:t>
      </w:r>
      <w:r w:rsidR="00083739" w:rsidRPr="00083739">
        <w:rPr>
          <w:rFonts w:cs="Times New Roman"/>
          <w:noProof/>
          <w:lang w:val="sk-SK"/>
        </w:rPr>
        <w:t xml:space="preserve"> a </w:t>
      </w:r>
      <w:r w:rsidRPr="00083739">
        <w:rPr>
          <w:rFonts w:cs="Times New Roman"/>
          <w:noProof/>
          <w:lang w:val="sk-SK"/>
        </w:rPr>
        <w:t>automatických automatov na cestovné lístky. Investícia zahŕňa: a) modernizácia technologického vybavenia, b) moderné ria</w:t>
      </w:r>
      <w:r w:rsidRPr="00083739">
        <w:rPr>
          <w:rFonts w:cs="Times New Roman"/>
          <w:noProof/>
          <w:lang w:val="sk-SK"/>
        </w:rPr>
        <w:t>denie čakacieho radu</w:t>
      </w:r>
      <w:r w:rsidR="00083739" w:rsidRPr="00083739">
        <w:rPr>
          <w:rFonts w:cs="Times New Roman"/>
          <w:noProof/>
          <w:lang w:val="sk-SK"/>
        </w:rPr>
        <w:t xml:space="preserve"> a </w:t>
      </w:r>
      <w:r w:rsidRPr="00083739">
        <w:rPr>
          <w:rFonts w:cs="Times New Roman"/>
          <w:noProof/>
          <w:lang w:val="sk-SK"/>
        </w:rPr>
        <w:t>inteligentné systémy oznamovania; c) systémy hodnotenia zákazníkov (občanov). Implementácia investície sa dokončí do 31</w:t>
      </w:r>
      <w:r w:rsidR="00083739" w:rsidRPr="00083739">
        <w:rPr>
          <w:rFonts w:cs="Times New Roman"/>
          <w:noProof/>
          <w:lang w:val="sk-SK"/>
        </w:rPr>
        <w:t>. decembra</w:t>
      </w:r>
      <w:r w:rsidRPr="00083739">
        <w:rPr>
          <w:rFonts w:cs="Times New Roman"/>
          <w:noProof/>
          <w:lang w:val="sk-SK"/>
        </w:rPr>
        <w:t xml:space="preserve"> 2024.</w:t>
      </w:r>
    </w:p>
    <w:p w14:paraId="467E16AE" w14:textId="5936F9BA"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Nový systém verejného obstarávania (ID opatrenia 16736)</w:t>
      </w:r>
    </w:p>
    <w:p w14:paraId="6E38F204" w14:textId="159B6892" w:rsidR="002D49B0" w:rsidRPr="00083739" w:rsidRDefault="00BF4125">
      <w:pPr>
        <w:pStyle w:val="P68B1DB1-Normal5"/>
        <w:spacing w:before="120" w:after="120" w:line="240" w:lineRule="auto"/>
        <w:jc w:val="both"/>
        <w:rPr>
          <w:rFonts w:cs="Times New Roman"/>
          <w:noProof/>
          <w:lang w:val="sk-SK"/>
        </w:rPr>
      </w:pPr>
      <w:r w:rsidRPr="00083739">
        <w:rPr>
          <w:rFonts w:cs="Times New Roman"/>
          <w:noProof/>
          <w:lang w:val="sk-SK"/>
        </w:rPr>
        <w:t xml:space="preserve">Investícia sa týka </w:t>
      </w:r>
      <w:r w:rsidRPr="00083739">
        <w:rPr>
          <w:rFonts w:cs="Times New Roman"/>
          <w:noProof/>
          <w:lang w:val="sk-SK"/>
        </w:rPr>
        <w:t>prepracovania</w:t>
      </w:r>
      <w:r w:rsidR="00083739" w:rsidRPr="00083739">
        <w:rPr>
          <w:rFonts w:cs="Times New Roman"/>
          <w:noProof/>
          <w:lang w:val="sk-SK"/>
        </w:rPr>
        <w:t xml:space="preserve"> a </w:t>
      </w:r>
      <w:r w:rsidRPr="00083739">
        <w:rPr>
          <w:rFonts w:cs="Times New Roman"/>
          <w:noProof/>
          <w:lang w:val="sk-SK"/>
        </w:rPr>
        <w:t>zavedenia nového informačného systému pre verejné obstarávanie. Investícia zahŕňa: a) prepracovanie</w:t>
      </w:r>
      <w:r w:rsidR="00083739" w:rsidRPr="00083739">
        <w:rPr>
          <w:rFonts w:cs="Times New Roman"/>
          <w:noProof/>
          <w:lang w:val="sk-SK"/>
        </w:rPr>
        <w:t xml:space="preserve"> a </w:t>
      </w:r>
      <w:r w:rsidRPr="00083739">
        <w:rPr>
          <w:rFonts w:cs="Times New Roman"/>
          <w:noProof/>
          <w:lang w:val="sk-SK"/>
        </w:rPr>
        <w:t>obohatenie portálu www.eprocurement.gov.gr; b) rozsiahle doplnenia</w:t>
      </w:r>
      <w:r w:rsidR="00083739" w:rsidRPr="00083739">
        <w:rPr>
          <w:rFonts w:cs="Times New Roman"/>
          <w:noProof/>
          <w:lang w:val="sk-SK"/>
        </w:rPr>
        <w:t xml:space="preserve"> a </w:t>
      </w:r>
      <w:r w:rsidRPr="00083739">
        <w:rPr>
          <w:rFonts w:cs="Times New Roman"/>
          <w:noProof/>
          <w:lang w:val="sk-SK"/>
        </w:rPr>
        <w:t>prispôsobenia subsystémov používaných vo verejných súťažiach; C) refo</w:t>
      </w:r>
      <w:r w:rsidRPr="00083739">
        <w:rPr>
          <w:rFonts w:cs="Times New Roman"/>
          <w:noProof/>
          <w:lang w:val="sk-SK"/>
        </w:rPr>
        <w:t>rma, zmena usporiadania</w:t>
      </w:r>
      <w:r w:rsidR="00083739" w:rsidRPr="00083739">
        <w:rPr>
          <w:rFonts w:cs="Times New Roman"/>
          <w:noProof/>
          <w:lang w:val="sk-SK"/>
        </w:rPr>
        <w:t xml:space="preserve"> a </w:t>
      </w:r>
      <w:r w:rsidRPr="00083739">
        <w:rPr>
          <w:rFonts w:cs="Times New Roman"/>
          <w:noProof/>
          <w:lang w:val="sk-SK"/>
        </w:rPr>
        <w:t>obohatenie centrálneho elektronického registra verejného obstarávania (KIMDIS), modernizácia</w:t>
      </w:r>
      <w:r w:rsidR="00083739" w:rsidRPr="00083739">
        <w:rPr>
          <w:rFonts w:cs="Times New Roman"/>
          <w:noProof/>
          <w:lang w:val="sk-SK"/>
        </w:rPr>
        <w:t xml:space="preserve"> a </w:t>
      </w:r>
      <w:r w:rsidRPr="00083739">
        <w:rPr>
          <w:rFonts w:cs="Times New Roman"/>
          <w:noProof/>
          <w:lang w:val="sk-SK"/>
        </w:rPr>
        <w:t>rozšírenie systémov extrakcie štatistických údajov</w:t>
      </w:r>
      <w:r w:rsidR="00083739" w:rsidRPr="00083739">
        <w:rPr>
          <w:rFonts w:cs="Times New Roman"/>
          <w:noProof/>
          <w:lang w:val="sk-SK"/>
        </w:rPr>
        <w:t xml:space="preserve"> a </w:t>
      </w:r>
      <w:r w:rsidRPr="00083739">
        <w:rPr>
          <w:rFonts w:cs="Times New Roman"/>
          <w:noProof/>
          <w:lang w:val="sk-SK"/>
        </w:rPr>
        <w:t>ich ďalšie štatistické spracovanie; d) rozšírenia konfigurácie</w:t>
      </w:r>
      <w:r w:rsidR="00083739" w:rsidRPr="00083739">
        <w:rPr>
          <w:rFonts w:cs="Times New Roman"/>
          <w:noProof/>
          <w:lang w:val="sk-SK"/>
        </w:rPr>
        <w:t xml:space="preserve"> a </w:t>
      </w:r>
      <w:r w:rsidRPr="00083739">
        <w:rPr>
          <w:rFonts w:cs="Times New Roman"/>
          <w:noProof/>
          <w:lang w:val="sk-SK"/>
        </w:rPr>
        <w:t>vykonávania elekt</w:t>
      </w:r>
      <w:r w:rsidRPr="00083739">
        <w:rPr>
          <w:rFonts w:cs="Times New Roman"/>
          <w:noProof/>
          <w:lang w:val="sk-SK"/>
        </w:rPr>
        <w:t>ronického systému verejného obstarávania (ESIDIS) na podporu nových stratégií</w:t>
      </w:r>
      <w:r w:rsidR="00083739" w:rsidRPr="00083739">
        <w:rPr>
          <w:rFonts w:cs="Times New Roman"/>
          <w:noProof/>
          <w:lang w:val="sk-SK"/>
        </w:rPr>
        <w:t xml:space="preserve"> a </w:t>
      </w:r>
      <w:r w:rsidRPr="00083739">
        <w:rPr>
          <w:rFonts w:cs="Times New Roman"/>
          <w:noProof/>
          <w:lang w:val="sk-SK"/>
        </w:rPr>
        <w:t>obchodných postupov</w:t>
      </w:r>
      <w:r w:rsidR="00083739" w:rsidRPr="00083739">
        <w:rPr>
          <w:rFonts w:cs="Times New Roman"/>
          <w:noProof/>
          <w:lang w:val="sk-SK"/>
        </w:rPr>
        <w:t xml:space="preserve"> v </w:t>
      </w:r>
      <w:r w:rsidRPr="00083739">
        <w:rPr>
          <w:rFonts w:cs="Times New Roman"/>
          <w:noProof/>
          <w:lang w:val="sk-SK"/>
        </w:rPr>
        <w:t>oblasti verejného obstarávania elektronickými prostriedkami; e) zlepšenia už zavedených služieb interoperability</w:t>
      </w:r>
      <w:r w:rsidR="00083739" w:rsidRPr="00083739">
        <w:rPr>
          <w:rFonts w:cs="Times New Roman"/>
          <w:noProof/>
          <w:lang w:val="sk-SK"/>
        </w:rPr>
        <w:t xml:space="preserve"> a </w:t>
      </w:r>
      <w:r w:rsidRPr="00083739">
        <w:rPr>
          <w:rFonts w:cs="Times New Roman"/>
          <w:noProof/>
          <w:lang w:val="sk-SK"/>
        </w:rPr>
        <w:t>zavádzanie nových služieb na výmenu úda</w:t>
      </w:r>
      <w:r w:rsidRPr="00083739">
        <w:rPr>
          <w:rFonts w:cs="Times New Roman"/>
          <w:noProof/>
          <w:lang w:val="sk-SK"/>
        </w:rPr>
        <w:t>jov;  F) služby elektronickej interoperability</w:t>
      </w:r>
      <w:r w:rsidR="00083739" w:rsidRPr="00083739">
        <w:rPr>
          <w:rFonts w:cs="Times New Roman"/>
          <w:noProof/>
          <w:lang w:val="sk-SK"/>
        </w:rPr>
        <w:t xml:space="preserve"> s </w:t>
      </w:r>
      <w:r w:rsidRPr="00083739">
        <w:rPr>
          <w:rFonts w:cs="Times New Roman"/>
          <w:noProof/>
          <w:lang w:val="sk-SK"/>
        </w:rPr>
        <w:t>gov.gr, príslušnými orgánmi, bankovými organizáciami na integráciu možností digitálneho podpisu elektronických dokumentov</w:t>
      </w:r>
      <w:r w:rsidR="00083739" w:rsidRPr="00083739">
        <w:rPr>
          <w:rFonts w:cs="Times New Roman"/>
          <w:noProof/>
          <w:lang w:val="sk-SK"/>
        </w:rPr>
        <w:t xml:space="preserve"> a </w:t>
      </w:r>
      <w:r w:rsidRPr="00083739">
        <w:rPr>
          <w:rFonts w:cs="Times New Roman"/>
          <w:noProof/>
          <w:lang w:val="sk-SK"/>
        </w:rPr>
        <w:t>iných údajov pomocou systému</w:t>
      </w:r>
      <w:r w:rsidR="00083739" w:rsidRPr="00083739">
        <w:rPr>
          <w:rFonts w:cs="Times New Roman"/>
          <w:noProof/>
          <w:lang w:val="sk-SK"/>
        </w:rPr>
        <w:t xml:space="preserve"> a </w:t>
      </w:r>
      <w:r w:rsidRPr="00083739">
        <w:rPr>
          <w:rFonts w:cs="Times New Roman"/>
          <w:noProof/>
          <w:lang w:val="sk-SK"/>
        </w:rPr>
        <w:t>zabezpečenie „nepochybnosti“; g) vytvorenie mechaniz</w:t>
      </w:r>
      <w:r w:rsidRPr="00083739">
        <w:rPr>
          <w:rFonts w:cs="Times New Roman"/>
          <w:noProof/>
          <w:lang w:val="sk-SK"/>
        </w:rPr>
        <w:t>mu šifrovania údajov uložených</w:t>
      </w:r>
      <w:r w:rsidR="00083739" w:rsidRPr="00083739">
        <w:rPr>
          <w:rFonts w:cs="Times New Roman"/>
          <w:noProof/>
          <w:lang w:val="sk-SK"/>
        </w:rPr>
        <w:t xml:space="preserve"> v </w:t>
      </w:r>
      <w:r w:rsidRPr="00083739">
        <w:rPr>
          <w:rFonts w:cs="Times New Roman"/>
          <w:noProof/>
          <w:lang w:val="sk-SK"/>
        </w:rPr>
        <w:t>databázach systému</w:t>
      </w:r>
      <w:r w:rsidR="00083739" w:rsidRPr="00083739">
        <w:rPr>
          <w:rFonts w:cs="Times New Roman"/>
          <w:noProof/>
          <w:lang w:val="sk-SK"/>
        </w:rPr>
        <w:t xml:space="preserve"> s </w:t>
      </w:r>
      <w:r w:rsidRPr="00083739">
        <w:rPr>
          <w:rFonts w:cs="Times New Roman"/>
          <w:noProof/>
          <w:lang w:val="sk-SK"/>
        </w:rPr>
        <w:t>cieľom zabrániť škodlivému konaniu správcov EŠIFDIS</w:t>
      </w:r>
      <w:r w:rsidR="00083739" w:rsidRPr="00083739">
        <w:rPr>
          <w:rFonts w:cs="Times New Roman"/>
          <w:noProof/>
          <w:lang w:val="sk-SK"/>
        </w:rPr>
        <w:t xml:space="preserve"> a </w:t>
      </w:r>
      <w:r w:rsidRPr="00083739">
        <w:rPr>
          <w:rFonts w:cs="Times New Roman"/>
          <w:noProof/>
          <w:lang w:val="sk-SK"/>
        </w:rPr>
        <w:t>G-Cloud;  h) novú bezpečnostnú štúdiu</w:t>
      </w:r>
      <w:r w:rsidR="00083739" w:rsidRPr="00083739">
        <w:rPr>
          <w:rFonts w:cs="Times New Roman"/>
          <w:noProof/>
          <w:lang w:val="sk-SK"/>
        </w:rPr>
        <w:t xml:space="preserve"> a </w:t>
      </w:r>
      <w:r w:rsidRPr="00083739">
        <w:rPr>
          <w:rFonts w:cs="Times New Roman"/>
          <w:noProof/>
          <w:lang w:val="sk-SK"/>
        </w:rPr>
        <w:t>doplnenia a/alebo zmeny systému</w:t>
      </w:r>
      <w:r w:rsidR="00083739" w:rsidRPr="00083739">
        <w:rPr>
          <w:rFonts w:cs="Times New Roman"/>
          <w:noProof/>
          <w:lang w:val="sk-SK"/>
        </w:rPr>
        <w:t xml:space="preserve"> s </w:t>
      </w:r>
      <w:r w:rsidRPr="00083739">
        <w:rPr>
          <w:rFonts w:cs="Times New Roman"/>
          <w:noProof/>
          <w:lang w:val="sk-SK"/>
        </w:rPr>
        <w:t>cieľom zvýšiť jeho bezpečnosť, certifikáciu</w:t>
      </w:r>
      <w:r w:rsidR="00083739" w:rsidRPr="00083739">
        <w:rPr>
          <w:rFonts w:cs="Times New Roman"/>
          <w:noProof/>
          <w:lang w:val="sk-SK"/>
        </w:rPr>
        <w:t xml:space="preserve"> a </w:t>
      </w:r>
      <w:r w:rsidRPr="00083739">
        <w:rPr>
          <w:rFonts w:cs="Times New Roman"/>
          <w:noProof/>
          <w:lang w:val="sk-SK"/>
        </w:rPr>
        <w:t>zásahy na zvýšenie bezpečnos</w:t>
      </w:r>
      <w:r w:rsidRPr="00083739">
        <w:rPr>
          <w:rFonts w:cs="Times New Roman"/>
          <w:noProof/>
          <w:lang w:val="sk-SK"/>
        </w:rPr>
        <w:t>ti systému, aby bol certifikovaný nezávislým hodnotením bezpečnosti; I) zlepšenie</w:t>
      </w:r>
      <w:r w:rsidR="00083739" w:rsidRPr="00083739">
        <w:rPr>
          <w:rFonts w:cs="Times New Roman"/>
          <w:noProof/>
          <w:lang w:val="sk-SK"/>
        </w:rPr>
        <w:t xml:space="preserve"> a </w:t>
      </w:r>
      <w:r w:rsidRPr="00083739">
        <w:rPr>
          <w:rFonts w:cs="Times New Roman"/>
          <w:noProof/>
          <w:lang w:val="sk-SK"/>
        </w:rPr>
        <w:t>opätovné spustenie systému plánovania verejného obstarávania</w:t>
      </w:r>
      <w:r w:rsidR="00083739" w:rsidRPr="00083739">
        <w:rPr>
          <w:rFonts w:cs="Times New Roman"/>
          <w:noProof/>
          <w:lang w:val="sk-SK"/>
        </w:rPr>
        <w:t xml:space="preserve"> v </w:t>
      </w:r>
      <w:r w:rsidRPr="00083739">
        <w:rPr>
          <w:rFonts w:cs="Times New Roman"/>
          <w:noProof/>
          <w:lang w:val="sk-SK"/>
        </w:rPr>
        <w:t>záujme širšej podpory verejného obstarávania</w:t>
      </w:r>
      <w:r w:rsidR="00083739" w:rsidRPr="00083739">
        <w:rPr>
          <w:rFonts w:cs="Times New Roman"/>
          <w:noProof/>
          <w:lang w:val="sk-SK"/>
        </w:rPr>
        <w:t xml:space="preserve"> a </w:t>
      </w:r>
      <w:r w:rsidRPr="00083739">
        <w:rPr>
          <w:rFonts w:cs="Times New Roman"/>
          <w:noProof/>
          <w:lang w:val="sk-SK"/>
        </w:rPr>
        <w:t xml:space="preserve">centralizovaných postupov obstarávania pomocou elektronických </w:t>
      </w:r>
      <w:r w:rsidRPr="00083739">
        <w:rPr>
          <w:rFonts w:cs="Times New Roman"/>
          <w:noProof/>
          <w:lang w:val="sk-SK"/>
        </w:rPr>
        <w:t>katalógov; j) doplnenie žiadostí</w:t>
      </w:r>
      <w:r w:rsidR="00083739" w:rsidRPr="00083739">
        <w:rPr>
          <w:rFonts w:cs="Times New Roman"/>
          <w:noProof/>
          <w:lang w:val="sk-SK"/>
        </w:rPr>
        <w:t xml:space="preserve"> o </w:t>
      </w:r>
      <w:r w:rsidRPr="00083739">
        <w:rPr>
          <w:rFonts w:cs="Times New Roman"/>
          <w:noProof/>
          <w:lang w:val="sk-SK"/>
        </w:rPr>
        <w:t>podporu hospodárskych subjektov: obohacovanie žiadostí</w:t>
      </w:r>
      <w:r w:rsidR="00083739" w:rsidRPr="00083739">
        <w:rPr>
          <w:rFonts w:cs="Times New Roman"/>
          <w:noProof/>
          <w:lang w:val="sk-SK"/>
        </w:rPr>
        <w:t xml:space="preserve"> o </w:t>
      </w:r>
      <w:r w:rsidRPr="00083739">
        <w:rPr>
          <w:rFonts w:cs="Times New Roman"/>
          <w:noProof/>
          <w:lang w:val="sk-SK"/>
        </w:rPr>
        <w:t>vyhľadávanie ponúk, historické</w:t>
      </w:r>
      <w:r w:rsidR="00083739" w:rsidRPr="00083739">
        <w:rPr>
          <w:rFonts w:cs="Times New Roman"/>
          <w:noProof/>
          <w:lang w:val="sk-SK"/>
        </w:rPr>
        <w:t xml:space="preserve"> a </w:t>
      </w:r>
      <w:r w:rsidRPr="00083739">
        <w:rPr>
          <w:rFonts w:cs="Times New Roman"/>
          <w:noProof/>
          <w:lang w:val="sk-SK"/>
        </w:rPr>
        <w:t>štatistické údaje</w:t>
      </w:r>
      <w:r w:rsidR="00083739" w:rsidRPr="00083739">
        <w:rPr>
          <w:rFonts w:cs="Times New Roman"/>
          <w:noProof/>
          <w:lang w:val="sk-SK"/>
        </w:rPr>
        <w:t xml:space="preserve"> o </w:t>
      </w:r>
      <w:r w:rsidRPr="00083739">
        <w:rPr>
          <w:rFonts w:cs="Times New Roman"/>
          <w:noProof/>
          <w:lang w:val="sk-SK"/>
        </w:rPr>
        <w:t>ich zapojení do procesov obstarávania, obohacovanie informačných</w:t>
      </w:r>
      <w:r w:rsidR="00083739" w:rsidRPr="00083739">
        <w:rPr>
          <w:rFonts w:cs="Times New Roman"/>
          <w:noProof/>
          <w:lang w:val="sk-SK"/>
        </w:rPr>
        <w:t xml:space="preserve"> a </w:t>
      </w:r>
      <w:r w:rsidRPr="00083739">
        <w:rPr>
          <w:rFonts w:cs="Times New Roman"/>
          <w:noProof/>
          <w:lang w:val="sk-SK"/>
        </w:rPr>
        <w:t>komunikačných subsystémov dodávateľov</w:t>
      </w:r>
      <w:r w:rsidR="00083739" w:rsidRPr="00083739">
        <w:rPr>
          <w:rFonts w:cs="Times New Roman"/>
          <w:noProof/>
          <w:lang w:val="sk-SK"/>
        </w:rPr>
        <w:t xml:space="preserve"> a </w:t>
      </w:r>
      <w:r w:rsidRPr="00083739">
        <w:rPr>
          <w:rFonts w:cs="Times New Roman"/>
          <w:noProof/>
          <w:lang w:val="sk-SK"/>
        </w:rPr>
        <w:t>vere</w:t>
      </w:r>
      <w:r w:rsidRPr="00083739">
        <w:rPr>
          <w:rFonts w:cs="Times New Roman"/>
          <w:noProof/>
          <w:lang w:val="sk-SK"/>
        </w:rPr>
        <w:t>jných obstarávateľov, systém predaja lístkov na kladenie otázok</w:t>
      </w:r>
      <w:r w:rsidR="00083739" w:rsidRPr="00083739">
        <w:rPr>
          <w:rFonts w:cs="Times New Roman"/>
          <w:noProof/>
          <w:lang w:val="sk-SK"/>
        </w:rPr>
        <w:t xml:space="preserve"> a </w:t>
      </w:r>
      <w:r w:rsidRPr="00083739">
        <w:rPr>
          <w:rFonts w:cs="Times New Roman"/>
          <w:noProof/>
          <w:lang w:val="sk-SK"/>
        </w:rPr>
        <w:t>podávanie správ</w:t>
      </w:r>
      <w:r w:rsidR="00083739" w:rsidRPr="00083739">
        <w:rPr>
          <w:rFonts w:cs="Times New Roman"/>
          <w:noProof/>
          <w:lang w:val="sk-SK"/>
        </w:rPr>
        <w:t xml:space="preserve"> o </w:t>
      </w:r>
      <w:r w:rsidRPr="00083739">
        <w:rPr>
          <w:rFonts w:cs="Times New Roman"/>
          <w:noProof/>
          <w:lang w:val="sk-SK"/>
        </w:rPr>
        <w:t>riešení problémov alebo nástroj asistenčnej služby; k) doplnenie schopností virtuálnych asistentov, aby každý, kto má záujem, mohol klásť otázky</w:t>
      </w:r>
      <w:r w:rsidR="00083739" w:rsidRPr="00083739">
        <w:rPr>
          <w:rFonts w:cs="Times New Roman"/>
          <w:noProof/>
          <w:lang w:val="sk-SK"/>
        </w:rPr>
        <w:t xml:space="preserve"> v </w:t>
      </w:r>
      <w:r w:rsidRPr="00083739">
        <w:rPr>
          <w:rFonts w:cs="Times New Roman"/>
          <w:noProof/>
          <w:lang w:val="sk-SK"/>
        </w:rPr>
        <w:t>prirodzenom jazyku; L) do</w:t>
      </w:r>
      <w:r w:rsidRPr="00083739">
        <w:rPr>
          <w:rFonts w:cs="Times New Roman"/>
          <w:noProof/>
          <w:lang w:val="sk-SK"/>
        </w:rPr>
        <w:t>plnenie elektronického systému archivácie súborov (ESIDIS – KIMDIS), ktorý je</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ustanoveniami právneho rámca pre elektronické súbory; m) tvorba školiacich materiálov</w:t>
      </w:r>
      <w:r w:rsidR="00083739" w:rsidRPr="00083739">
        <w:rPr>
          <w:rFonts w:cs="Times New Roman"/>
          <w:noProof/>
          <w:lang w:val="sk-SK"/>
        </w:rPr>
        <w:t xml:space="preserve"> a </w:t>
      </w:r>
      <w:r w:rsidRPr="00083739">
        <w:rPr>
          <w:rFonts w:cs="Times New Roman"/>
          <w:noProof/>
          <w:lang w:val="sk-SK"/>
        </w:rPr>
        <w:t>propagačné akcie; N) služby technickej podpory</w:t>
      </w:r>
      <w:r w:rsidR="00083739" w:rsidRPr="00083739">
        <w:rPr>
          <w:rFonts w:cs="Times New Roman"/>
          <w:noProof/>
          <w:lang w:val="sk-SK"/>
        </w:rPr>
        <w:t xml:space="preserve"> a </w:t>
      </w:r>
      <w:r w:rsidRPr="00083739">
        <w:rPr>
          <w:rFonts w:cs="Times New Roman"/>
          <w:noProof/>
          <w:lang w:val="sk-SK"/>
        </w:rPr>
        <w:t>monitorovania projektov; o) št</w:t>
      </w:r>
      <w:r w:rsidRPr="00083739">
        <w:rPr>
          <w:rFonts w:cs="Times New Roman"/>
          <w:noProof/>
          <w:lang w:val="sk-SK"/>
        </w:rPr>
        <w:t>údiu,</w:t>
      </w:r>
      <w:r w:rsidR="00083739" w:rsidRPr="00083739">
        <w:rPr>
          <w:rFonts w:cs="Times New Roman"/>
          <w:noProof/>
          <w:lang w:val="sk-SK"/>
        </w:rPr>
        <w:t xml:space="preserve"> v </w:t>
      </w:r>
      <w:r w:rsidRPr="00083739">
        <w:rPr>
          <w:rFonts w:cs="Times New Roman"/>
          <w:noProof/>
          <w:lang w:val="sk-SK"/>
        </w:rPr>
        <w:t>ktorej sa vyhodnotia možnosti</w:t>
      </w:r>
      <w:r w:rsidR="00083739" w:rsidRPr="00083739">
        <w:rPr>
          <w:rFonts w:cs="Times New Roman"/>
          <w:noProof/>
          <w:lang w:val="sk-SK"/>
        </w:rPr>
        <w:t xml:space="preserve"> a </w:t>
      </w:r>
      <w:r w:rsidRPr="00083739">
        <w:rPr>
          <w:rFonts w:cs="Times New Roman"/>
          <w:noProof/>
          <w:lang w:val="sk-SK"/>
        </w:rPr>
        <w:t>účinnosť existujúcich nástrojov elektronického obstarávania</w:t>
      </w:r>
      <w:r w:rsidR="00083739" w:rsidRPr="00083739">
        <w:rPr>
          <w:rFonts w:cs="Times New Roman"/>
          <w:noProof/>
          <w:lang w:val="sk-SK"/>
        </w:rPr>
        <w:t xml:space="preserve"> a </w:t>
      </w:r>
      <w:r w:rsidRPr="00083739">
        <w:rPr>
          <w:rFonts w:cs="Times New Roman"/>
          <w:noProof/>
          <w:lang w:val="sk-SK"/>
        </w:rPr>
        <w:t>ich výber alebo modernizácia alebo nahradenie novými</w:t>
      </w:r>
      <w:r w:rsidR="00083739" w:rsidRPr="00083739">
        <w:rPr>
          <w:rFonts w:cs="Times New Roman"/>
          <w:noProof/>
          <w:lang w:val="sk-SK"/>
        </w:rPr>
        <w:t xml:space="preserve"> a </w:t>
      </w:r>
      <w:r w:rsidRPr="00083739">
        <w:rPr>
          <w:rFonts w:cs="Times New Roman"/>
          <w:noProof/>
          <w:lang w:val="sk-SK"/>
        </w:rPr>
        <w:t xml:space="preserve">efektívnejšími nástrojmi; P) informačné modelovanie budov (BIM); Q) podpora IKT pre Národný úrad </w:t>
      </w:r>
      <w:r w:rsidRPr="00083739">
        <w:rPr>
          <w:rFonts w:cs="Times New Roman"/>
          <w:noProof/>
          <w:lang w:val="sk-SK"/>
        </w:rPr>
        <w:t>pre centralizované verejné obstarávanie</w:t>
      </w:r>
      <w:r w:rsidR="00083739" w:rsidRPr="00083739">
        <w:rPr>
          <w:rFonts w:cs="Times New Roman"/>
          <w:noProof/>
          <w:lang w:val="sk-SK"/>
        </w:rPr>
        <w:t xml:space="preserve"> v </w:t>
      </w:r>
      <w:r w:rsidRPr="00083739">
        <w:rPr>
          <w:rFonts w:cs="Times New Roman"/>
          <w:noProof/>
          <w:lang w:val="sk-SK"/>
        </w:rPr>
        <w:t>oblasti zdravotníctva (EKAPY). Realizácia investície sa ukončí do 31</w:t>
      </w:r>
      <w:r w:rsidR="00083739" w:rsidRPr="00083739">
        <w:rPr>
          <w:rFonts w:cs="Times New Roman"/>
          <w:noProof/>
          <w:lang w:val="sk-SK"/>
        </w:rPr>
        <w:t>. decembra</w:t>
      </w:r>
      <w:r w:rsidRPr="00083739">
        <w:rPr>
          <w:rFonts w:cs="Times New Roman"/>
          <w:noProof/>
          <w:lang w:val="sk-SK"/>
        </w:rPr>
        <w:t xml:space="preserve"> 2025.</w:t>
      </w:r>
    </w:p>
    <w:p w14:paraId="19A9775F" w14:textId="7777777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Digitálna transformácia ministerstva zahraničných vecí (opatrenie ID 16742)</w:t>
      </w:r>
    </w:p>
    <w:p w14:paraId="09C7A099" w14:textId="6CAE9A74"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Cieľom investície je modernizovať ministe</w:t>
      </w:r>
      <w:r w:rsidRPr="00083739">
        <w:rPr>
          <w:rFonts w:cs="Times New Roman"/>
          <w:noProof/>
          <w:lang w:val="sk-SK"/>
        </w:rPr>
        <w:t>rstvo zahraničných vecí prostredníctvom rozšírenej digitalizácie jeho operácií</w:t>
      </w:r>
      <w:r w:rsidR="00083739" w:rsidRPr="00083739">
        <w:rPr>
          <w:rFonts w:cs="Times New Roman"/>
          <w:noProof/>
          <w:lang w:val="sk-SK"/>
        </w:rPr>
        <w:t xml:space="preserve"> a </w:t>
      </w:r>
      <w:r w:rsidRPr="00083739">
        <w:rPr>
          <w:rFonts w:cs="Times New Roman"/>
          <w:noProof/>
          <w:lang w:val="sk-SK"/>
        </w:rPr>
        <w:t>infraštruktúr IT. Investícia pozostáva z: a) štandardizácia procesov makrofinančnej pomoci, ktorou sa zabezpečí životaschopnosť strategického</w:t>
      </w:r>
      <w:r w:rsidR="00083739" w:rsidRPr="00083739">
        <w:rPr>
          <w:rFonts w:cs="Times New Roman"/>
          <w:noProof/>
          <w:lang w:val="sk-SK"/>
        </w:rPr>
        <w:t xml:space="preserve"> a </w:t>
      </w:r>
      <w:r w:rsidRPr="00083739">
        <w:rPr>
          <w:rFonts w:cs="Times New Roman"/>
          <w:noProof/>
          <w:lang w:val="sk-SK"/>
        </w:rPr>
        <w:t>operačného plánovania (SOP)</w:t>
      </w:r>
      <w:r w:rsidR="00083739" w:rsidRPr="00083739">
        <w:rPr>
          <w:rFonts w:cs="Times New Roman"/>
          <w:noProof/>
          <w:lang w:val="sk-SK"/>
        </w:rPr>
        <w:t xml:space="preserve"> a </w:t>
      </w:r>
      <w:r w:rsidRPr="00083739">
        <w:rPr>
          <w:rFonts w:cs="Times New Roman"/>
          <w:noProof/>
          <w:lang w:val="sk-SK"/>
        </w:rPr>
        <w:t>n</w:t>
      </w:r>
      <w:r w:rsidRPr="00083739">
        <w:rPr>
          <w:rFonts w:cs="Times New Roman"/>
          <w:noProof/>
          <w:lang w:val="sk-SK"/>
        </w:rPr>
        <w:t>ásledne jeho úspech; b) prispievanie</w:t>
      </w:r>
      <w:r w:rsidR="00083739" w:rsidRPr="00083739">
        <w:rPr>
          <w:rFonts w:cs="Times New Roman"/>
          <w:noProof/>
          <w:lang w:val="sk-SK"/>
        </w:rPr>
        <w:t xml:space="preserve"> k </w:t>
      </w:r>
      <w:r w:rsidRPr="00083739">
        <w:rPr>
          <w:rFonts w:cs="Times New Roman"/>
          <w:noProof/>
          <w:lang w:val="sk-SK"/>
        </w:rPr>
        <w:t>širšej podpore rozsahu práce makrofinančnej pomoci</w:t>
      </w:r>
      <w:r w:rsidR="00083739" w:rsidRPr="00083739">
        <w:rPr>
          <w:rFonts w:cs="Times New Roman"/>
          <w:noProof/>
          <w:lang w:val="sk-SK"/>
        </w:rPr>
        <w:t xml:space="preserve"> a k </w:t>
      </w:r>
      <w:r w:rsidRPr="00083739">
        <w:rPr>
          <w:rFonts w:cs="Times New Roman"/>
          <w:noProof/>
          <w:lang w:val="sk-SK"/>
        </w:rPr>
        <w:t>najlepšiemu možnému využívaniu jej zdrojov ich zosúladením so sledovanými cieľmi c) zabezpečením priameho prístupu</w:t>
      </w:r>
      <w:r w:rsidR="00083739" w:rsidRPr="00083739">
        <w:rPr>
          <w:rFonts w:cs="Times New Roman"/>
          <w:noProof/>
          <w:lang w:val="sk-SK"/>
        </w:rPr>
        <w:t xml:space="preserve"> k </w:t>
      </w:r>
      <w:r w:rsidRPr="00083739">
        <w:rPr>
          <w:rFonts w:cs="Times New Roman"/>
          <w:noProof/>
          <w:lang w:val="sk-SK"/>
        </w:rPr>
        <w:t>informáciám</w:t>
      </w:r>
      <w:r w:rsidR="00083739" w:rsidRPr="00083739">
        <w:rPr>
          <w:rFonts w:cs="Times New Roman"/>
          <w:noProof/>
          <w:lang w:val="sk-SK"/>
        </w:rPr>
        <w:t xml:space="preserve"> v </w:t>
      </w:r>
      <w:r w:rsidRPr="00083739">
        <w:rPr>
          <w:rFonts w:cs="Times New Roman"/>
          <w:noProof/>
          <w:lang w:val="sk-SK"/>
        </w:rPr>
        <w:t>čo najkratšom možnom čase začle</w:t>
      </w:r>
      <w:r w:rsidRPr="00083739">
        <w:rPr>
          <w:rFonts w:cs="Times New Roman"/>
          <w:noProof/>
          <w:lang w:val="sk-SK"/>
        </w:rPr>
        <w:t>nením sémantickej podpory vyhľadávania založenej na najmodernejších nástrojoch umelej inteligencie; d) vytvorenie prístupnej</w:t>
      </w:r>
      <w:r w:rsidR="00083739" w:rsidRPr="00083739">
        <w:rPr>
          <w:rFonts w:cs="Times New Roman"/>
          <w:noProof/>
          <w:lang w:val="sk-SK"/>
        </w:rPr>
        <w:t xml:space="preserve"> a </w:t>
      </w:r>
      <w:r w:rsidRPr="00083739">
        <w:rPr>
          <w:rFonts w:cs="Times New Roman"/>
          <w:noProof/>
          <w:lang w:val="sk-SK"/>
        </w:rPr>
        <w:t>dôležitej archívnej databázy</w:t>
      </w:r>
      <w:r w:rsidR="00083739" w:rsidRPr="00083739">
        <w:rPr>
          <w:rFonts w:cs="Times New Roman"/>
          <w:noProof/>
          <w:lang w:val="sk-SK"/>
        </w:rPr>
        <w:t xml:space="preserve"> a </w:t>
      </w:r>
      <w:r w:rsidRPr="00083739">
        <w:rPr>
          <w:rFonts w:cs="Times New Roman"/>
          <w:noProof/>
          <w:lang w:val="sk-SK"/>
        </w:rPr>
        <w:t>informačného centra pre účinné administratívne povinnosti</w:t>
      </w:r>
      <w:r w:rsidR="00083739" w:rsidRPr="00083739">
        <w:rPr>
          <w:rFonts w:cs="Times New Roman"/>
          <w:noProof/>
          <w:lang w:val="sk-SK"/>
        </w:rPr>
        <w:t xml:space="preserve"> a </w:t>
      </w:r>
      <w:r w:rsidRPr="00083739">
        <w:rPr>
          <w:rFonts w:cs="Times New Roman"/>
          <w:noProof/>
          <w:lang w:val="sk-SK"/>
        </w:rPr>
        <w:t>pokrytie požiadaviek makrofinančnej po</w:t>
      </w:r>
      <w:r w:rsidRPr="00083739">
        <w:rPr>
          <w:rFonts w:cs="Times New Roman"/>
          <w:noProof/>
          <w:lang w:val="sk-SK"/>
        </w:rPr>
        <w:t>moci, aby mohlo efektívnejšie vykonávať verejnú</w:t>
      </w:r>
      <w:r w:rsidR="00083739" w:rsidRPr="00083739">
        <w:rPr>
          <w:rFonts w:cs="Times New Roman"/>
          <w:noProof/>
          <w:lang w:val="sk-SK"/>
        </w:rPr>
        <w:t xml:space="preserve"> a </w:t>
      </w:r>
      <w:r w:rsidRPr="00083739">
        <w:rPr>
          <w:rFonts w:cs="Times New Roman"/>
          <w:noProof/>
          <w:lang w:val="sk-SK"/>
        </w:rPr>
        <w:t>hospodársku diplomaciu, e) modernizácia infraštruktúry kryptotechnickej</w:t>
      </w:r>
      <w:r w:rsidR="00083739" w:rsidRPr="00083739">
        <w:rPr>
          <w:rFonts w:cs="Times New Roman"/>
          <w:noProof/>
          <w:lang w:val="sk-SK"/>
        </w:rPr>
        <w:t xml:space="preserve"> a </w:t>
      </w:r>
      <w:r w:rsidRPr="00083739">
        <w:rPr>
          <w:rFonts w:cs="Times New Roman"/>
          <w:noProof/>
          <w:lang w:val="sk-SK"/>
        </w:rPr>
        <w:t>telekomunikačnej bezpečnosti ministerstva zahraničných vecí</w:t>
      </w:r>
      <w:r w:rsidR="00083739" w:rsidRPr="00083739">
        <w:rPr>
          <w:rFonts w:cs="Times New Roman"/>
          <w:noProof/>
          <w:lang w:val="sk-SK"/>
        </w:rPr>
        <w:t xml:space="preserve"> v </w:t>
      </w:r>
      <w:r w:rsidRPr="00083739">
        <w:rPr>
          <w:rFonts w:cs="Times New Roman"/>
          <w:noProof/>
          <w:lang w:val="sk-SK"/>
        </w:rPr>
        <w:t>rámci jeho digitálnej transformácie. Implementácia tejto investície sa</w:t>
      </w:r>
      <w:r w:rsidRPr="00083739">
        <w:rPr>
          <w:rFonts w:cs="Times New Roman"/>
          <w:noProof/>
          <w:lang w:val="sk-SK"/>
        </w:rPr>
        <w:t xml:space="preserve"> dokončí do 30</w:t>
      </w:r>
      <w:r w:rsidR="00083739" w:rsidRPr="00083739">
        <w:rPr>
          <w:rFonts w:cs="Times New Roman"/>
          <w:noProof/>
          <w:lang w:val="sk-SK"/>
        </w:rPr>
        <w:t>. júna</w:t>
      </w:r>
      <w:r w:rsidRPr="00083739">
        <w:rPr>
          <w:rFonts w:cs="Times New Roman"/>
          <w:noProof/>
          <w:lang w:val="sk-SK"/>
        </w:rPr>
        <w:t xml:space="preserve"> 2025.</w:t>
      </w:r>
    </w:p>
    <w:p w14:paraId="7F5EFD94" w14:textId="6C4E0FF8"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Programy na zlepšenie digitálnych zručností pre brancov (ID opatrenia 16826)</w:t>
      </w:r>
    </w:p>
    <w:p w14:paraId="17C0D232" w14:textId="19A3CF4A" w:rsidR="00083739"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Investícia integruje program odbornej prípravy</w:t>
      </w:r>
      <w:r w:rsidR="00083739" w:rsidRPr="00083739">
        <w:rPr>
          <w:rFonts w:cs="Times New Roman"/>
          <w:noProof/>
          <w:lang w:val="sk-SK"/>
        </w:rPr>
        <w:t xml:space="preserve"> a </w:t>
      </w:r>
      <w:r w:rsidRPr="00083739">
        <w:rPr>
          <w:rFonts w:cs="Times New Roman"/>
          <w:noProof/>
          <w:lang w:val="sk-SK"/>
        </w:rPr>
        <w:t>certifikáciu digitálnych zručností do povinnej vojenskej služby. Účelom je využiť čas branc</w:t>
      </w:r>
      <w:r w:rsidRPr="00083739">
        <w:rPr>
          <w:rFonts w:cs="Times New Roman"/>
          <w:noProof/>
          <w:lang w:val="sk-SK"/>
        </w:rPr>
        <w:t>ov</w:t>
      </w:r>
      <w:r w:rsidR="00083739" w:rsidRPr="00083739">
        <w:rPr>
          <w:rFonts w:cs="Times New Roman"/>
          <w:noProof/>
          <w:lang w:val="sk-SK"/>
        </w:rPr>
        <w:t xml:space="preserve"> v </w:t>
      </w:r>
      <w:r w:rsidRPr="00083739">
        <w:rPr>
          <w:rFonts w:cs="Times New Roman"/>
          <w:noProof/>
          <w:lang w:val="sk-SK"/>
        </w:rPr>
        <w:t>službe</w:t>
      </w:r>
      <w:r w:rsidR="00083739" w:rsidRPr="00083739">
        <w:rPr>
          <w:rFonts w:cs="Times New Roman"/>
          <w:noProof/>
          <w:lang w:val="sk-SK"/>
        </w:rPr>
        <w:t xml:space="preserve"> a </w:t>
      </w:r>
      <w:r w:rsidRPr="00083739">
        <w:rPr>
          <w:rFonts w:cs="Times New Roman"/>
          <w:noProof/>
          <w:lang w:val="sk-SK"/>
        </w:rPr>
        <w:t>poskytnúť digitálne zručnosti, ktoré sú potrebné</w:t>
      </w:r>
      <w:r w:rsidR="00083739" w:rsidRPr="00083739">
        <w:rPr>
          <w:rFonts w:cs="Times New Roman"/>
          <w:noProof/>
          <w:lang w:val="sk-SK"/>
        </w:rPr>
        <w:t xml:space="preserve"> v </w:t>
      </w:r>
      <w:r w:rsidRPr="00083739">
        <w:rPr>
          <w:rFonts w:cs="Times New Roman"/>
          <w:noProof/>
          <w:lang w:val="sk-SK"/>
        </w:rPr>
        <w:t>dnešných ozbrojených silách</w:t>
      </w:r>
      <w:r w:rsidR="00083739" w:rsidRPr="00083739">
        <w:rPr>
          <w:rFonts w:cs="Times New Roman"/>
          <w:noProof/>
          <w:lang w:val="sk-SK"/>
        </w:rPr>
        <w:t xml:space="preserve"> a </w:t>
      </w:r>
      <w:r w:rsidRPr="00083739">
        <w:rPr>
          <w:rFonts w:cs="Times New Roman"/>
          <w:noProof/>
          <w:lang w:val="sk-SK"/>
        </w:rPr>
        <w:t>na trhu práce. Táto investícia sa realizuje prostredníctvom modernizácie</w:t>
      </w:r>
      <w:r w:rsidR="00083739" w:rsidRPr="00083739">
        <w:rPr>
          <w:rFonts w:cs="Times New Roman"/>
          <w:noProof/>
          <w:lang w:val="sk-SK"/>
        </w:rPr>
        <w:t xml:space="preserve"> a </w:t>
      </w:r>
      <w:r w:rsidRPr="00083739">
        <w:rPr>
          <w:rFonts w:cs="Times New Roman"/>
          <w:noProof/>
          <w:lang w:val="sk-SK"/>
        </w:rPr>
        <w:t>rozšírenia platformy Digitálnej akadémie občanov</w:t>
      </w:r>
      <w:r w:rsidR="00083739" w:rsidRPr="00083739">
        <w:rPr>
          <w:rFonts w:cs="Times New Roman"/>
          <w:noProof/>
          <w:lang w:val="sk-SK"/>
        </w:rPr>
        <w:t xml:space="preserve"> a </w:t>
      </w:r>
      <w:r w:rsidRPr="00083739">
        <w:rPr>
          <w:rFonts w:cs="Times New Roman"/>
          <w:noProof/>
          <w:lang w:val="sk-SK"/>
        </w:rPr>
        <w:t xml:space="preserve">zahŕňa: a) personalizovaný prístup </w:t>
      </w:r>
      <w:r w:rsidRPr="00083739">
        <w:rPr>
          <w:rFonts w:cs="Times New Roman"/>
          <w:noProof/>
          <w:lang w:val="sk-SK"/>
        </w:rPr>
        <w:t>brancov na portál odbornej prípravy, ktorý musí mať silné mechanizmy kybernetickej bezpečnosti</w:t>
      </w:r>
      <w:r w:rsidR="00083739" w:rsidRPr="00083739">
        <w:rPr>
          <w:rFonts w:cs="Times New Roman"/>
          <w:noProof/>
          <w:lang w:val="sk-SK"/>
        </w:rPr>
        <w:t xml:space="preserve"> a </w:t>
      </w:r>
      <w:r w:rsidRPr="00083739">
        <w:rPr>
          <w:rFonts w:cs="Times New Roman"/>
          <w:noProof/>
          <w:lang w:val="sk-SK"/>
        </w:rPr>
        <w:t>odrádzanie od kybernetických útokov, spolu</w:t>
      </w:r>
      <w:r w:rsidR="00083739" w:rsidRPr="00083739">
        <w:rPr>
          <w:rFonts w:cs="Times New Roman"/>
          <w:noProof/>
          <w:lang w:val="sk-SK"/>
        </w:rPr>
        <w:t xml:space="preserve"> s </w:t>
      </w:r>
      <w:r w:rsidRPr="00083739">
        <w:rPr>
          <w:rFonts w:cs="Times New Roman"/>
          <w:noProof/>
          <w:lang w:val="sk-SK"/>
        </w:rPr>
        <w:t>posilnenou architektúrou ochrany osobných údajov; b) konfigurácia elektronického portfólia (elektronické portfólio</w:t>
      </w:r>
      <w:r w:rsidRPr="00083739">
        <w:rPr>
          <w:rFonts w:cs="Times New Roman"/>
          <w:noProof/>
          <w:lang w:val="sk-SK"/>
        </w:rPr>
        <w:t>) brata,</w:t>
      </w:r>
      <w:r w:rsidR="00083739" w:rsidRPr="00083739">
        <w:rPr>
          <w:rFonts w:cs="Times New Roman"/>
          <w:noProof/>
          <w:lang w:val="sk-SK"/>
        </w:rPr>
        <w:t xml:space="preserve"> v </w:t>
      </w:r>
      <w:r w:rsidRPr="00083739">
        <w:rPr>
          <w:rFonts w:cs="Times New Roman"/>
          <w:noProof/>
          <w:lang w:val="sk-SK"/>
        </w:rPr>
        <w:t>ktorom sa zohľadňuje jeho vzdelávací profil spolu</w:t>
      </w:r>
      <w:r w:rsidR="00083739" w:rsidRPr="00083739">
        <w:rPr>
          <w:rFonts w:cs="Times New Roman"/>
          <w:noProof/>
          <w:lang w:val="sk-SK"/>
        </w:rPr>
        <w:t xml:space="preserve"> s </w:t>
      </w:r>
      <w:r w:rsidRPr="00083739">
        <w:rPr>
          <w:rFonts w:cs="Times New Roman"/>
          <w:noProof/>
          <w:lang w:val="sk-SK"/>
        </w:rPr>
        <w:t>jeho existujúcimi kvalifikáciami; c) vývoj</w:t>
      </w:r>
      <w:r w:rsidR="00083739" w:rsidRPr="00083739">
        <w:rPr>
          <w:rFonts w:cs="Times New Roman"/>
          <w:noProof/>
          <w:lang w:val="sk-SK"/>
        </w:rPr>
        <w:t xml:space="preserve"> a </w:t>
      </w:r>
      <w:r w:rsidRPr="00083739">
        <w:rPr>
          <w:rFonts w:cs="Times New Roman"/>
          <w:noProof/>
          <w:lang w:val="sk-SK"/>
        </w:rPr>
        <w:t>konfigurácia programov odbornej prípravy</w:t>
      </w:r>
      <w:r w:rsidR="00083739" w:rsidRPr="00083739">
        <w:rPr>
          <w:rFonts w:cs="Times New Roman"/>
          <w:noProof/>
          <w:lang w:val="sk-SK"/>
        </w:rPr>
        <w:t xml:space="preserve"> v </w:t>
      </w:r>
      <w:r w:rsidRPr="00083739">
        <w:rPr>
          <w:rFonts w:cs="Times New Roman"/>
          <w:noProof/>
          <w:lang w:val="sk-SK"/>
        </w:rPr>
        <w:t>oblasti digitálnych zručností; d) vývoj</w:t>
      </w:r>
      <w:r w:rsidR="00083739" w:rsidRPr="00083739">
        <w:rPr>
          <w:rFonts w:cs="Times New Roman"/>
          <w:noProof/>
          <w:lang w:val="sk-SK"/>
        </w:rPr>
        <w:t xml:space="preserve"> a </w:t>
      </w:r>
      <w:r w:rsidRPr="00083739">
        <w:rPr>
          <w:rFonts w:cs="Times New Roman"/>
          <w:noProof/>
          <w:lang w:val="sk-SK"/>
        </w:rPr>
        <w:t xml:space="preserve">používanie nástroja na sebahodnotenie e) 50000 tabletov, ktoré </w:t>
      </w:r>
      <w:r w:rsidRPr="00083739">
        <w:rPr>
          <w:rFonts w:cs="Times New Roman"/>
          <w:noProof/>
          <w:lang w:val="sk-SK"/>
        </w:rPr>
        <w:t>sa získajú</w:t>
      </w:r>
      <w:r w:rsidR="00083739" w:rsidRPr="00083739">
        <w:rPr>
          <w:rFonts w:cs="Times New Roman"/>
          <w:noProof/>
          <w:lang w:val="sk-SK"/>
        </w:rPr>
        <w:t xml:space="preserve"> a </w:t>
      </w:r>
      <w:r w:rsidRPr="00083739">
        <w:rPr>
          <w:rFonts w:cs="Times New Roman"/>
          <w:noProof/>
          <w:lang w:val="sk-SK"/>
        </w:rPr>
        <w:t>dodajú na odobratie počas účasti na programoch dištančného vzdelávania e) certifikácia digitálnych zručností získaných počas procesu odbornej prípravy, ktorá vychádza</w:t>
      </w:r>
      <w:r w:rsidR="00083739" w:rsidRPr="00083739">
        <w:rPr>
          <w:rFonts w:cs="Times New Roman"/>
          <w:noProof/>
          <w:lang w:val="sk-SK"/>
        </w:rPr>
        <w:t xml:space="preserve"> z </w:t>
      </w:r>
      <w:r w:rsidRPr="00083739">
        <w:rPr>
          <w:rFonts w:cs="Times New Roman"/>
          <w:noProof/>
          <w:lang w:val="sk-SK"/>
        </w:rPr>
        <w:t>európskych</w:t>
      </w:r>
      <w:r w:rsidR="00083739" w:rsidRPr="00083739">
        <w:rPr>
          <w:rFonts w:cs="Times New Roman"/>
          <w:noProof/>
          <w:lang w:val="sk-SK"/>
        </w:rPr>
        <w:t xml:space="preserve"> a </w:t>
      </w:r>
      <w:r w:rsidRPr="00083739">
        <w:rPr>
          <w:rFonts w:cs="Times New Roman"/>
          <w:noProof/>
          <w:lang w:val="sk-SK"/>
        </w:rPr>
        <w:t>vnútroštátnych rámcov digitálnych zručností. Implementácia te</w:t>
      </w:r>
      <w:r w:rsidRPr="00083739">
        <w:rPr>
          <w:rFonts w:cs="Times New Roman"/>
          <w:noProof/>
          <w:lang w:val="sk-SK"/>
        </w:rPr>
        <w:t>jto investície sa dokončí do 30</w:t>
      </w:r>
      <w:r w:rsidR="00083739" w:rsidRPr="00083739">
        <w:rPr>
          <w:rFonts w:cs="Times New Roman"/>
          <w:noProof/>
          <w:lang w:val="sk-SK"/>
        </w:rPr>
        <w:t>. júna</w:t>
      </w:r>
      <w:r w:rsidRPr="00083739">
        <w:rPr>
          <w:rFonts w:cs="Times New Roman"/>
          <w:noProof/>
          <w:lang w:val="sk-SK"/>
        </w:rPr>
        <w:t xml:space="preserve"> 2025</w:t>
      </w:r>
      <w:r w:rsidR="00083739" w:rsidRPr="00083739">
        <w:rPr>
          <w:rFonts w:cs="Times New Roman"/>
          <w:noProof/>
          <w:lang w:val="sk-SK"/>
        </w:rPr>
        <w:t>.</w:t>
      </w:r>
    </w:p>
    <w:p w14:paraId="14F3BA9F" w14:textId="316C0321"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Digitálna transformácia gréckej národnej organizácie cestovného ruchu (ID opatrenia 16791)</w:t>
      </w:r>
    </w:p>
    <w:p w14:paraId="654B1231" w14:textId="7DDAE7B4"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Investície pozostávajú</w:t>
      </w:r>
      <w:r w:rsidR="00083739" w:rsidRPr="00083739">
        <w:rPr>
          <w:rFonts w:cs="Times New Roman"/>
          <w:noProof/>
          <w:lang w:val="sk-SK"/>
        </w:rPr>
        <w:t xml:space="preserve"> z </w:t>
      </w:r>
      <w:r w:rsidRPr="00083739">
        <w:rPr>
          <w:rFonts w:cs="Times New Roman"/>
          <w:noProof/>
          <w:lang w:val="sk-SK"/>
        </w:rPr>
        <w:t>rozvoja digitálnych kapacít gréckej národnej</w:t>
      </w:r>
      <w:r w:rsidRPr="00083739">
        <w:rPr>
          <w:rFonts w:cs="Times New Roman"/>
          <w:noProof/>
          <w:lang w:val="sk-SK"/>
        </w:rPr>
        <w:t xml:space="preserve"> organizácie cestovného ruchu, konkrétne digitálnej mapy cestovného ruchu, digitálneho archívu gréckych kultúrnych aktív</w:t>
      </w:r>
      <w:r w:rsidR="00083739" w:rsidRPr="00083739">
        <w:rPr>
          <w:rFonts w:cs="Times New Roman"/>
          <w:noProof/>
          <w:lang w:val="sk-SK"/>
        </w:rPr>
        <w:t xml:space="preserve"> a </w:t>
      </w:r>
      <w:r w:rsidRPr="00083739">
        <w:rPr>
          <w:rFonts w:cs="Times New Roman"/>
          <w:noProof/>
          <w:lang w:val="sk-SK"/>
        </w:rPr>
        <w:t>inovačného systému, ktorý poskytuje turistom</w:t>
      </w:r>
      <w:r w:rsidR="00083739" w:rsidRPr="00083739">
        <w:rPr>
          <w:rFonts w:cs="Times New Roman"/>
          <w:noProof/>
          <w:lang w:val="sk-SK"/>
        </w:rPr>
        <w:t xml:space="preserve"> a </w:t>
      </w:r>
      <w:r w:rsidRPr="00083739">
        <w:rPr>
          <w:rFonts w:cs="Times New Roman"/>
          <w:noProof/>
          <w:lang w:val="sk-SK"/>
        </w:rPr>
        <w:t>občanom informácie pomocou technológie umelej inteligencie druhej generácie. Investíci</w:t>
      </w:r>
      <w:r w:rsidRPr="00083739">
        <w:rPr>
          <w:rFonts w:cs="Times New Roman"/>
          <w:noProof/>
          <w:lang w:val="sk-SK"/>
        </w:rPr>
        <w:t>a zahŕňa a) vývoj platformy (digitálnej mapy cestovného ruchu), na ktorej musí byť návštevník schopný získať informácie</w:t>
      </w:r>
      <w:r w:rsidR="00083739" w:rsidRPr="00083739">
        <w:rPr>
          <w:rFonts w:cs="Times New Roman"/>
          <w:noProof/>
          <w:lang w:val="sk-SK"/>
        </w:rPr>
        <w:t xml:space="preserve"> o </w:t>
      </w:r>
      <w:r w:rsidRPr="00083739">
        <w:rPr>
          <w:rFonts w:cs="Times New Roman"/>
          <w:noProof/>
          <w:lang w:val="sk-SK"/>
        </w:rPr>
        <w:t xml:space="preserve">osobitných vlastnostiach turistického produktu mesta alebo ostrova, aby potenciálny návštevník prostredníctvom tejto platformy dostal </w:t>
      </w:r>
      <w:r w:rsidRPr="00083739">
        <w:rPr>
          <w:rFonts w:cs="Times New Roman"/>
          <w:noProof/>
          <w:lang w:val="sk-SK"/>
        </w:rPr>
        <w:t>významný zdroj informácií týkajúcich sa skúseností</w:t>
      </w:r>
      <w:r w:rsidR="00083739" w:rsidRPr="00083739">
        <w:rPr>
          <w:rFonts w:cs="Times New Roman"/>
          <w:noProof/>
          <w:lang w:val="sk-SK"/>
        </w:rPr>
        <w:t xml:space="preserve"> a </w:t>
      </w:r>
      <w:r w:rsidRPr="00083739">
        <w:rPr>
          <w:rFonts w:cs="Times New Roman"/>
          <w:noProof/>
          <w:lang w:val="sk-SK"/>
        </w:rPr>
        <w:t>záujmov, ktoré uprednostňujú; vytvorenie propagačných nástrojov, ako sú digitálne aplikácie, webové sídla</w:t>
      </w:r>
      <w:r w:rsidR="00083739" w:rsidRPr="00083739">
        <w:rPr>
          <w:rFonts w:cs="Times New Roman"/>
          <w:noProof/>
          <w:lang w:val="sk-SK"/>
        </w:rPr>
        <w:t xml:space="preserve"> a </w:t>
      </w:r>
      <w:r w:rsidRPr="00083739">
        <w:rPr>
          <w:rFonts w:cs="Times New Roman"/>
          <w:noProof/>
          <w:lang w:val="sk-SK"/>
        </w:rPr>
        <w:t>propagačné činnosti,</w:t>
      </w:r>
      <w:r w:rsidR="00083739" w:rsidRPr="00083739">
        <w:rPr>
          <w:rFonts w:cs="Times New Roman"/>
          <w:noProof/>
          <w:lang w:val="sk-SK"/>
        </w:rPr>
        <w:t xml:space="preserve"> a </w:t>
      </w:r>
      <w:r w:rsidRPr="00083739">
        <w:rPr>
          <w:rFonts w:cs="Times New Roman"/>
          <w:noProof/>
          <w:lang w:val="sk-SK"/>
        </w:rPr>
        <w:t>archív, ktorý bude fungovať aj ako knižnica, umožniť destináciám</w:t>
      </w:r>
      <w:r w:rsidR="00083739" w:rsidRPr="00083739">
        <w:rPr>
          <w:rFonts w:cs="Times New Roman"/>
          <w:noProof/>
          <w:lang w:val="sk-SK"/>
        </w:rPr>
        <w:t xml:space="preserve"> a </w:t>
      </w:r>
      <w:r w:rsidRPr="00083739">
        <w:rPr>
          <w:rFonts w:cs="Times New Roman"/>
          <w:noProof/>
          <w:lang w:val="sk-SK"/>
        </w:rPr>
        <w:t>ich k</w:t>
      </w:r>
      <w:r w:rsidRPr="00083739">
        <w:rPr>
          <w:rFonts w:cs="Times New Roman"/>
          <w:noProof/>
          <w:lang w:val="sk-SK"/>
        </w:rPr>
        <w:t>ľúčovým zainteresovaným stranám vykonávať dobre navrhnuté</w:t>
      </w:r>
      <w:r w:rsidR="00083739" w:rsidRPr="00083739">
        <w:rPr>
          <w:rFonts w:cs="Times New Roman"/>
          <w:noProof/>
          <w:lang w:val="sk-SK"/>
        </w:rPr>
        <w:t xml:space="preserve"> a </w:t>
      </w:r>
      <w:r w:rsidRPr="00083739">
        <w:rPr>
          <w:rFonts w:cs="Times New Roman"/>
          <w:noProof/>
          <w:lang w:val="sk-SK"/>
        </w:rPr>
        <w:t>udržateľné propagačné stratégie; vytvoriť inovačný systém pre turistické informácie</w:t>
      </w:r>
      <w:r w:rsidR="00083739" w:rsidRPr="00083739">
        <w:rPr>
          <w:rFonts w:cs="Times New Roman"/>
          <w:noProof/>
          <w:lang w:val="sk-SK"/>
        </w:rPr>
        <w:t xml:space="preserve"> s </w:t>
      </w:r>
      <w:r w:rsidRPr="00083739">
        <w:rPr>
          <w:rFonts w:cs="Times New Roman"/>
          <w:noProof/>
          <w:lang w:val="sk-SK"/>
        </w:rPr>
        <w:t>informáciami – stánkami</w:t>
      </w:r>
      <w:r w:rsidR="00083739" w:rsidRPr="00083739">
        <w:rPr>
          <w:rFonts w:cs="Times New Roman"/>
          <w:noProof/>
          <w:lang w:val="sk-SK"/>
        </w:rPr>
        <w:t xml:space="preserve"> s </w:t>
      </w:r>
      <w:r w:rsidRPr="00083739">
        <w:rPr>
          <w:rFonts w:cs="Times New Roman"/>
          <w:noProof/>
          <w:lang w:val="sk-SK"/>
        </w:rPr>
        <w:t>dotykovými obrazovkami</w:t>
      </w:r>
      <w:r w:rsidR="00083739" w:rsidRPr="00083739">
        <w:rPr>
          <w:rFonts w:cs="Times New Roman"/>
          <w:noProof/>
          <w:lang w:val="sk-SK"/>
        </w:rPr>
        <w:t xml:space="preserve"> v </w:t>
      </w:r>
      <w:r w:rsidRPr="00083739">
        <w:rPr>
          <w:rFonts w:cs="Times New Roman"/>
          <w:noProof/>
          <w:lang w:val="sk-SK"/>
        </w:rPr>
        <w:t>hlavných centrách, ako aj</w:t>
      </w:r>
      <w:r w:rsidR="00083739" w:rsidRPr="00083739">
        <w:rPr>
          <w:rFonts w:cs="Times New Roman"/>
          <w:noProof/>
          <w:lang w:val="sk-SK"/>
        </w:rPr>
        <w:t xml:space="preserve"> s </w:t>
      </w:r>
      <w:r w:rsidRPr="00083739">
        <w:rPr>
          <w:rFonts w:cs="Times New Roman"/>
          <w:noProof/>
          <w:lang w:val="sk-SK"/>
        </w:rPr>
        <w:t>mapami</w:t>
      </w:r>
      <w:r w:rsidR="00083739" w:rsidRPr="00083739">
        <w:rPr>
          <w:rFonts w:cs="Times New Roman"/>
          <w:noProof/>
          <w:lang w:val="sk-SK"/>
        </w:rPr>
        <w:t xml:space="preserve"> s </w:t>
      </w:r>
      <w:r w:rsidRPr="00083739">
        <w:rPr>
          <w:rFonts w:cs="Times New Roman"/>
          <w:noProof/>
          <w:lang w:val="sk-SK"/>
        </w:rPr>
        <w:t>historickými, geografi</w:t>
      </w:r>
      <w:r w:rsidRPr="00083739">
        <w:rPr>
          <w:rFonts w:cs="Times New Roman"/>
          <w:noProof/>
          <w:lang w:val="sk-SK"/>
        </w:rPr>
        <w:t>ckými</w:t>
      </w:r>
      <w:r w:rsidR="00083739" w:rsidRPr="00083739">
        <w:rPr>
          <w:rFonts w:cs="Times New Roman"/>
          <w:noProof/>
          <w:lang w:val="sk-SK"/>
        </w:rPr>
        <w:t xml:space="preserve"> a </w:t>
      </w:r>
      <w:r w:rsidRPr="00083739">
        <w:rPr>
          <w:rFonts w:cs="Times New Roman"/>
          <w:noProof/>
          <w:lang w:val="sk-SK"/>
        </w:rPr>
        <w:t>kultúrnymi vrstvami vrátane všetkých kultúrnych aktív</w:t>
      </w:r>
      <w:r w:rsidR="00083739" w:rsidRPr="00083739">
        <w:rPr>
          <w:rFonts w:cs="Times New Roman"/>
          <w:noProof/>
          <w:lang w:val="sk-SK"/>
        </w:rPr>
        <w:t xml:space="preserve"> a </w:t>
      </w:r>
      <w:r w:rsidRPr="00083739">
        <w:rPr>
          <w:rFonts w:cs="Times New Roman"/>
          <w:noProof/>
          <w:lang w:val="sk-SK"/>
        </w:rPr>
        <w:t>činností, ktoré sú ľahko dostupné</w:t>
      </w:r>
      <w:r w:rsidR="00083739" w:rsidRPr="00083739">
        <w:rPr>
          <w:rFonts w:cs="Times New Roman"/>
          <w:noProof/>
          <w:lang w:val="sk-SK"/>
        </w:rPr>
        <w:t xml:space="preserve"> z </w:t>
      </w:r>
      <w:r w:rsidRPr="00083739">
        <w:rPr>
          <w:rFonts w:cs="Times New Roman"/>
          <w:noProof/>
          <w:lang w:val="sk-SK"/>
        </w:rPr>
        <w:t>mobilnej aplikácie. Implementácia investície sa dokončí do 30</w:t>
      </w:r>
      <w:r w:rsidR="00083739" w:rsidRPr="00083739">
        <w:rPr>
          <w:rFonts w:cs="Times New Roman"/>
          <w:noProof/>
          <w:lang w:val="sk-SK"/>
        </w:rPr>
        <w:t>. júna</w:t>
      </w:r>
      <w:r w:rsidRPr="00083739">
        <w:rPr>
          <w:rFonts w:cs="Times New Roman"/>
          <w:noProof/>
          <w:lang w:val="sk-SK"/>
        </w:rPr>
        <w:t xml:space="preserve"> 2025.</w:t>
      </w:r>
    </w:p>
    <w:p w14:paraId="0C05D6FE" w14:textId="31F0490B"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Reforma:</w:t>
      </w:r>
      <w:r w:rsidRPr="00083739">
        <w:rPr>
          <w:rFonts w:cs="Times New Roman"/>
          <w:noProof/>
          <w:lang w:val="sk-SK"/>
        </w:rPr>
        <w:t xml:space="preserve"> Stratégia</w:t>
      </w:r>
      <w:r w:rsidR="00083739" w:rsidRPr="00083739">
        <w:rPr>
          <w:rFonts w:cs="Times New Roman"/>
          <w:noProof/>
          <w:lang w:val="sk-SK"/>
        </w:rPr>
        <w:t xml:space="preserve"> a </w:t>
      </w:r>
      <w:r w:rsidRPr="00083739">
        <w:rPr>
          <w:rFonts w:cs="Times New Roman"/>
          <w:noProof/>
          <w:lang w:val="sk-SK"/>
        </w:rPr>
        <w:t>politiky kybernetickej bezpečnosti pre verejný sektor</w:t>
      </w:r>
      <w:r w:rsidR="00083739" w:rsidRPr="00083739">
        <w:rPr>
          <w:rFonts w:cs="Times New Roman"/>
          <w:noProof/>
          <w:lang w:val="sk-SK"/>
        </w:rPr>
        <w:t xml:space="preserve"> a </w:t>
      </w:r>
      <w:r w:rsidRPr="00083739">
        <w:rPr>
          <w:rFonts w:cs="Times New Roman"/>
          <w:noProof/>
          <w:lang w:val="sk-SK"/>
        </w:rPr>
        <w:t>pokro</w:t>
      </w:r>
      <w:r w:rsidRPr="00083739">
        <w:rPr>
          <w:rFonts w:cs="Times New Roman"/>
          <w:noProof/>
          <w:lang w:val="sk-SK"/>
        </w:rPr>
        <w:t>čilé bezpečnostné služby pre vnútroštátne kritické infraštruktúry (ID 16823)</w:t>
      </w:r>
    </w:p>
    <w:p w14:paraId="22D9559A" w14:textId="63A023AF" w:rsidR="00083739"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Reforma sa týka vypracovania</w:t>
      </w:r>
      <w:r w:rsidR="00083739" w:rsidRPr="00083739">
        <w:rPr>
          <w:rFonts w:cs="Times New Roman"/>
          <w:noProof/>
          <w:lang w:val="sk-SK"/>
        </w:rPr>
        <w:t xml:space="preserve"> a </w:t>
      </w:r>
      <w:r w:rsidRPr="00083739">
        <w:rPr>
          <w:rFonts w:cs="Times New Roman"/>
          <w:noProof/>
          <w:lang w:val="sk-SK"/>
        </w:rPr>
        <w:t>vykonávania stratégie kybernetickej bezpečnosti</w:t>
      </w:r>
      <w:r w:rsidR="00083739" w:rsidRPr="00083739">
        <w:rPr>
          <w:rFonts w:cs="Times New Roman"/>
          <w:noProof/>
          <w:lang w:val="sk-SK"/>
        </w:rPr>
        <w:t xml:space="preserve"> a </w:t>
      </w:r>
      <w:r w:rsidRPr="00083739">
        <w:rPr>
          <w:rFonts w:cs="Times New Roman"/>
          <w:noProof/>
          <w:lang w:val="sk-SK"/>
        </w:rPr>
        <w:t>súboru politík kybernetickej bezpečnosti, ktorých cieľom je zvýšiť spoľahlivosť</w:t>
      </w:r>
      <w:r w:rsidR="00083739" w:rsidRPr="00083739">
        <w:rPr>
          <w:rFonts w:cs="Times New Roman"/>
          <w:noProof/>
          <w:lang w:val="sk-SK"/>
        </w:rPr>
        <w:t xml:space="preserve"> a </w:t>
      </w:r>
      <w:r w:rsidRPr="00083739">
        <w:rPr>
          <w:rFonts w:cs="Times New Roman"/>
          <w:noProof/>
          <w:lang w:val="sk-SK"/>
        </w:rPr>
        <w:t>bezpečnosť systé</w:t>
      </w:r>
      <w:r w:rsidRPr="00083739">
        <w:rPr>
          <w:rFonts w:cs="Times New Roman"/>
          <w:noProof/>
          <w:lang w:val="sk-SK"/>
        </w:rPr>
        <w:t>mov</w:t>
      </w:r>
      <w:r w:rsidR="00083739" w:rsidRPr="00083739">
        <w:rPr>
          <w:rFonts w:cs="Times New Roman"/>
          <w:noProof/>
          <w:lang w:val="sk-SK"/>
        </w:rPr>
        <w:t xml:space="preserve"> a </w:t>
      </w:r>
      <w:r w:rsidRPr="00083739">
        <w:rPr>
          <w:rFonts w:cs="Times New Roman"/>
          <w:noProof/>
          <w:lang w:val="sk-SK"/>
        </w:rPr>
        <w:t>údajov alebo informácií verejného sektora</w:t>
      </w:r>
      <w:r w:rsidR="00083739" w:rsidRPr="00083739">
        <w:rPr>
          <w:rFonts w:cs="Times New Roman"/>
          <w:noProof/>
          <w:lang w:val="sk-SK"/>
        </w:rPr>
        <w:t xml:space="preserve"> a </w:t>
      </w:r>
      <w:r w:rsidRPr="00083739">
        <w:rPr>
          <w:rFonts w:cs="Times New Roman"/>
          <w:noProof/>
          <w:lang w:val="sk-SK"/>
        </w:rPr>
        <w:t>zvýšiť dôveru občanov</w:t>
      </w:r>
      <w:r w:rsidR="00083739" w:rsidRPr="00083739">
        <w:rPr>
          <w:rFonts w:cs="Times New Roman"/>
          <w:noProof/>
          <w:lang w:val="sk-SK"/>
        </w:rPr>
        <w:t xml:space="preserve"> v </w:t>
      </w:r>
      <w:r w:rsidRPr="00083739">
        <w:rPr>
          <w:rFonts w:cs="Times New Roman"/>
          <w:noProof/>
          <w:lang w:val="sk-SK"/>
        </w:rPr>
        <w:t>ich interakciu</w:t>
      </w:r>
      <w:r w:rsidR="00083739" w:rsidRPr="00083739">
        <w:rPr>
          <w:rFonts w:cs="Times New Roman"/>
          <w:noProof/>
          <w:lang w:val="sk-SK"/>
        </w:rPr>
        <w:t xml:space="preserve"> s </w:t>
      </w:r>
      <w:r w:rsidRPr="00083739">
        <w:rPr>
          <w:rFonts w:cs="Times New Roman"/>
          <w:noProof/>
          <w:lang w:val="sk-SK"/>
        </w:rPr>
        <w:t xml:space="preserve">verejným sektorom. Reforma okrem toho zahŕňa zavedenie národného operačného centra kybernetickej bezpečnosti (SOC), ako aj poskytovanie pokročilých bezpečnostných </w:t>
      </w:r>
      <w:r w:rsidRPr="00083739">
        <w:rPr>
          <w:rFonts w:cs="Times New Roman"/>
          <w:noProof/>
          <w:lang w:val="sk-SK"/>
        </w:rPr>
        <w:t>služieb (SOC</w:t>
      </w:r>
      <w:r w:rsidR="00083739" w:rsidRPr="00083739">
        <w:rPr>
          <w:rFonts w:cs="Times New Roman"/>
          <w:noProof/>
          <w:lang w:val="sk-SK"/>
        </w:rPr>
        <w:t xml:space="preserve"> a </w:t>
      </w:r>
      <w:r w:rsidRPr="00083739">
        <w:rPr>
          <w:rFonts w:cs="Times New Roman"/>
          <w:noProof/>
          <w:lang w:val="sk-SK"/>
        </w:rPr>
        <w:t>DDoS)</w:t>
      </w:r>
      <w:r w:rsidR="00083739" w:rsidRPr="00083739">
        <w:rPr>
          <w:rFonts w:cs="Times New Roman"/>
          <w:noProof/>
          <w:lang w:val="sk-SK"/>
        </w:rPr>
        <w:t xml:space="preserve"> v </w:t>
      </w:r>
      <w:r w:rsidRPr="00083739">
        <w:rPr>
          <w:rFonts w:cs="Times New Roman"/>
          <w:noProof/>
          <w:lang w:val="sk-SK"/>
        </w:rPr>
        <w:t>kritickej infraštruktúre G-Cloud</w:t>
      </w:r>
      <w:r w:rsidR="00083739" w:rsidRPr="00083739">
        <w:rPr>
          <w:rFonts w:cs="Times New Roman"/>
          <w:noProof/>
          <w:lang w:val="sk-SK"/>
        </w:rPr>
        <w:t xml:space="preserve"> s </w:t>
      </w:r>
      <w:r w:rsidRPr="00083739">
        <w:rPr>
          <w:rFonts w:cs="Times New Roman"/>
          <w:noProof/>
          <w:lang w:val="sk-SK"/>
        </w:rPr>
        <w:t>cieľom systematicky</w:t>
      </w:r>
      <w:r w:rsidR="00083739" w:rsidRPr="00083739">
        <w:rPr>
          <w:rFonts w:cs="Times New Roman"/>
          <w:noProof/>
          <w:lang w:val="sk-SK"/>
        </w:rPr>
        <w:t xml:space="preserve"> a </w:t>
      </w:r>
      <w:r w:rsidRPr="00083739">
        <w:rPr>
          <w:rFonts w:cs="Times New Roman"/>
          <w:noProof/>
          <w:lang w:val="sk-SK"/>
        </w:rPr>
        <w:t>neustále zlepšovať bezpečnosť</w:t>
      </w:r>
      <w:r w:rsidR="00083739" w:rsidRPr="00083739">
        <w:rPr>
          <w:rFonts w:cs="Times New Roman"/>
          <w:noProof/>
          <w:lang w:val="sk-SK"/>
        </w:rPr>
        <w:t xml:space="preserve"> a </w:t>
      </w:r>
      <w:r w:rsidRPr="00083739">
        <w:rPr>
          <w:rFonts w:cs="Times New Roman"/>
          <w:noProof/>
          <w:lang w:val="sk-SK"/>
        </w:rPr>
        <w:t>obmedzovať kybernetickobezpečnostné hrozby pre centrálne infraštruktúry verejného sektora</w:t>
      </w:r>
      <w:r w:rsidR="00083739" w:rsidRPr="00083739">
        <w:rPr>
          <w:rFonts w:cs="Times New Roman"/>
          <w:noProof/>
          <w:lang w:val="sk-SK"/>
        </w:rPr>
        <w:t xml:space="preserve"> a </w:t>
      </w:r>
      <w:r w:rsidRPr="00083739">
        <w:rPr>
          <w:rFonts w:cs="Times New Roman"/>
          <w:noProof/>
          <w:lang w:val="sk-SK"/>
        </w:rPr>
        <w:t>informačné systémy, ktoré prostredníctvom neho fungu</w:t>
      </w:r>
      <w:r w:rsidRPr="00083739">
        <w:rPr>
          <w:rFonts w:cs="Times New Roman"/>
          <w:noProof/>
          <w:lang w:val="sk-SK"/>
        </w:rPr>
        <w:t>jú. Implementácia tejto reformy sa dokončí do 31</w:t>
      </w:r>
      <w:r w:rsidR="00083739" w:rsidRPr="00083739">
        <w:rPr>
          <w:rFonts w:cs="Times New Roman"/>
          <w:noProof/>
          <w:lang w:val="sk-SK"/>
        </w:rPr>
        <w:t>. decembra</w:t>
      </w:r>
      <w:r w:rsidRPr="00083739">
        <w:rPr>
          <w:rFonts w:cs="Times New Roman"/>
          <w:noProof/>
          <w:lang w:val="sk-SK"/>
        </w:rPr>
        <w:t xml:space="preserve"> 2024</w:t>
      </w:r>
      <w:r w:rsidR="00083739" w:rsidRPr="00083739">
        <w:rPr>
          <w:rFonts w:cs="Times New Roman"/>
          <w:noProof/>
          <w:lang w:val="sk-SK"/>
        </w:rPr>
        <w:t>.</w:t>
      </w:r>
    </w:p>
    <w:p w14:paraId="6F9DEEBB" w14:textId="15F5270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Rozvoj interoperability</w:t>
      </w:r>
      <w:r w:rsidR="00083739" w:rsidRPr="00083739">
        <w:rPr>
          <w:rFonts w:cs="Times New Roman"/>
          <w:noProof/>
          <w:lang w:val="sk-SK"/>
        </w:rPr>
        <w:t xml:space="preserve"> a </w:t>
      </w:r>
      <w:r w:rsidRPr="00083739">
        <w:rPr>
          <w:rFonts w:cs="Times New Roman"/>
          <w:noProof/>
          <w:lang w:val="sk-SK"/>
        </w:rPr>
        <w:t>webových služieb (ID opatrenia 16779)</w:t>
      </w:r>
    </w:p>
    <w:p w14:paraId="18DC5FD1" w14:textId="56DDDD38" w:rsidR="002D49B0" w:rsidRPr="00083739" w:rsidRDefault="00BF4125">
      <w:pPr>
        <w:pStyle w:val="P68B1DB1-Normal4"/>
        <w:spacing w:before="120" w:after="120" w:line="240" w:lineRule="auto"/>
        <w:jc w:val="both"/>
        <w:rPr>
          <w:rFonts w:cs="Times New Roman"/>
          <w:noProof/>
          <w:szCs w:val="24"/>
          <w:lang w:val="sk-SK"/>
        </w:rPr>
      </w:pPr>
      <w:r w:rsidRPr="00083739">
        <w:rPr>
          <w:rFonts w:cs="Times New Roman"/>
          <w:noProof/>
          <w:lang w:val="sk-SK"/>
        </w:rPr>
        <w:t>Investícia pozostáva</w:t>
      </w:r>
      <w:r w:rsidR="00083739" w:rsidRPr="00083739">
        <w:rPr>
          <w:rFonts w:cs="Times New Roman"/>
          <w:noProof/>
          <w:lang w:val="sk-SK"/>
        </w:rPr>
        <w:t xml:space="preserve"> z </w:t>
      </w:r>
      <w:r w:rsidRPr="00083739">
        <w:rPr>
          <w:rFonts w:cs="Times New Roman"/>
          <w:noProof/>
          <w:lang w:val="sk-SK"/>
        </w:rPr>
        <w:t>rozvoja centrálnej infraštruktúry interoperability pre integrované riadenie služieb</w:t>
      </w:r>
      <w:r w:rsidR="00083739" w:rsidRPr="00083739">
        <w:rPr>
          <w:rFonts w:cs="Times New Roman"/>
          <w:noProof/>
          <w:lang w:val="sk-SK"/>
        </w:rPr>
        <w:t xml:space="preserve"> a </w:t>
      </w:r>
      <w:r w:rsidRPr="00083739">
        <w:rPr>
          <w:rFonts w:cs="Times New Roman"/>
          <w:noProof/>
          <w:lang w:val="sk-SK"/>
        </w:rPr>
        <w:t>rozvoj</w:t>
      </w:r>
      <w:r w:rsidRPr="00083739">
        <w:rPr>
          <w:rFonts w:cs="Times New Roman"/>
          <w:noProof/>
          <w:lang w:val="sk-SK"/>
        </w:rPr>
        <w:t>a</w:t>
      </w:r>
      <w:r w:rsidR="00083739" w:rsidRPr="00083739">
        <w:rPr>
          <w:rFonts w:cs="Times New Roman"/>
          <w:noProof/>
          <w:lang w:val="sk-SK"/>
        </w:rPr>
        <w:t xml:space="preserve"> a </w:t>
      </w:r>
      <w:r w:rsidRPr="00083739">
        <w:rPr>
          <w:rFonts w:cs="Times New Roman"/>
          <w:noProof/>
          <w:lang w:val="sk-SK"/>
        </w:rPr>
        <w:t>poskytovania rozhraní pre verejnú správu, ktoré uľahčujú výmenu informácií medzi vládnymi agentúrami</w:t>
      </w:r>
      <w:r w:rsidR="00083739" w:rsidRPr="00083739">
        <w:rPr>
          <w:rFonts w:cs="Times New Roman"/>
          <w:noProof/>
          <w:lang w:val="sk-SK"/>
        </w:rPr>
        <w:t xml:space="preserve"> a </w:t>
      </w:r>
      <w:r w:rsidRPr="00083739">
        <w:rPr>
          <w:rFonts w:cs="Times New Roman"/>
          <w:noProof/>
          <w:lang w:val="sk-SK"/>
        </w:rPr>
        <w:t xml:space="preserve">poskytovanie interaktívnych online služieb. </w:t>
      </w:r>
      <w:r w:rsidRPr="00083739">
        <w:rPr>
          <w:rFonts w:cs="Times New Roman"/>
          <w:noProof/>
          <w:szCs w:val="24"/>
          <w:lang w:val="sk-SK"/>
        </w:rPr>
        <w:t>Investícia zahŕňa a) zavedenie webových služieb</w:t>
      </w:r>
      <w:r w:rsidR="00083739" w:rsidRPr="00083739">
        <w:rPr>
          <w:rFonts w:cs="Times New Roman"/>
          <w:noProof/>
          <w:szCs w:val="24"/>
          <w:lang w:val="sk-SK"/>
        </w:rPr>
        <w:t xml:space="preserve"> a </w:t>
      </w:r>
      <w:r w:rsidRPr="00083739">
        <w:rPr>
          <w:rFonts w:cs="Times New Roman"/>
          <w:noProof/>
          <w:szCs w:val="24"/>
          <w:lang w:val="sk-SK"/>
        </w:rPr>
        <w:t>ich dokumentáciu (ako sa uvádza</w:t>
      </w:r>
      <w:r w:rsidR="00083739" w:rsidRPr="00083739">
        <w:rPr>
          <w:rFonts w:cs="Times New Roman"/>
          <w:noProof/>
          <w:szCs w:val="24"/>
          <w:lang w:val="sk-SK"/>
        </w:rPr>
        <w:t xml:space="preserve"> v </w:t>
      </w:r>
      <w:r w:rsidRPr="00083739">
        <w:rPr>
          <w:rFonts w:cs="Times New Roman"/>
          <w:noProof/>
          <w:szCs w:val="24"/>
          <w:lang w:val="sk-SK"/>
        </w:rPr>
        <w:t>príslušnom ministersk</w:t>
      </w:r>
      <w:r w:rsidRPr="00083739">
        <w:rPr>
          <w:rFonts w:cs="Times New Roman"/>
          <w:noProof/>
          <w:szCs w:val="24"/>
          <w:lang w:val="sk-SK"/>
        </w:rPr>
        <w:t>om rozhodnutí); b) začlenenie služieb do gov.gr c) vymedzenie</w:t>
      </w:r>
      <w:r w:rsidR="00083739" w:rsidRPr="00083739">
        <w:rPr>
          <w:rFonts w:cs="Times New Roman"/>
          <w:noProof/>
          <w:szCs w:val="24"/>
          <w:lang w:val="sk-SK"/>
        </w:rPr>
        <w:t xml:space="preserve"> a </w:t>
      </w:r>
      <w:r w:rsidRPr="00083739">
        <w:rPr>
          <w:rFonts w:cs="Times New Roman"/>
          <w:noProof/>
          <w:szCs w:val="24"/>
          <w:lang w:val="sk-SK"/>
        </w:rPr>
        <w:t xml:space="preserve">vykonanie požadovaných kontrolných testov d) prenos webových služieb do výroby (konečná implementácia po pilotnej fáze); e) podporu nových webových služieb. Realizácia investície sa ukončí do </w:t>
      </w:r>
      <w:r w:rsidRPr="00083739">
        <w:rPr>
          <w:rFonts w:cs="Times New Roman"/>
          <w:noProof/>
          <w:szCs w:val="24"/>
          <w:lang w:val="sk-SK"/>
        </w:rPr>
        <w:t>31</w:t>
      </w:r>
      <w:r w:rsidR="00083739" w:rsidRPr="00083739">
        <w:rPr>
          <w:rFonts w:cs="Times New Roman"/>
          <w:noProof/>
          <w:szCs w:val="24"/>
          <w:lang w:val="sk-SK"/>
        </w:rPr>
        <w:t>. decembra</w:t>
      </w:r>
      <w:r w:rsidRPr="00083739">
        <w:rPr>
          <w:rFonts w:cs="Times New Roman"/>
          <w:noProof/>
          <w:szCs w:val="24"/>
          <w:lang w:val="sk-SK"/>
        </w:rPr>
        <w:t xml:space="preserve"> 2024.</w:t>
      </w:r>
    </w:p>
    <w:p w14:paraId="59548D58" w14:textId="7C3DEECC"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Reforma:</w:t>
      </w:r>
      <w:r w:rsidRPr="00083739">
        <w:rPr>
          <w:rFonts w:cs="Times New Roman"/>
          <w:noProof/>
          <w:lang w:val="sk-SK"/>
        </w:rPr>
        <w:t xml:space="preserve"> Prepojenie</w:t>
      </w:r>
      <w:r w:rsidR="00083739" w:rsidRPr="00083739">
        <w:rPr>
          <w:rFonts w:cs="Times New Roman"/>
          <w:noProof/>
          <w:lang w:val="sk-SK"/>
        </w:rPr>
        <w:t xml:space="preserve"> a </w:t>
      </w:r>
      <w:r w:rsidRPr="00083739">
        <w:rPr>
          <w:rFonts w:cs="Times New Roman"/>
          <w:noProof/>
          <w:lang w:val="sk-SK"/>
        </w:rPr>
        <w:t>interoperabilita registrov, systémov</w:t>
      </w:r>
      <w:r w:rsidR="00083739" w:rsidRPr="00083739">
        <w:rPr>
          <w:rFonts w:cs="Times New Roman"/>
          <w:noProof/>
          <w:lang w:val="sk-SK"/>
        </w:rPr>
        <w:t xml:space="preserve"> a </w:t>
      </w:r>
      <w:r w:rsidRPr="00083739">
        <w:rPr>
          <w:rFonts w:cs="Times New Roman"/>
          <w:noProof/>
          <w:lang w:val="sk-SK"/>
        </w:rPr>
        <w:t>služieb na výmenu údajov medzi vnútroštátnymi verejnými organizáciami (opatrenie ID 16782)</w:t>
      </w:r>
    </w:p>
    <w:p w14:paraId="1BBF608F" w14:textId="7DD376CD" w:rsidR="002D49B0" w:rsidRPr="00083739" w:rsidRDefault="00BF4125">
      <w:pPr>
        <w:pStyle w:val="P68B1DB1-Normal5"/>
        <w:spacing w:before="120" w:after="120" w:line="240" w:lineRule="auto"/>
        <w:jc w:val="both"/>
        <w:rPr>
          <w:rFonts w:cs="Times New Roman"/>
          <w:noProof/>
          <w:lang w:val="sk-SK"/>
        </w:rPr>
      </w:pPr>
      <w:r w:rsidRPr="00083739">
        <w:rPr>
          <w:rFonts w:cs="Times New Roman"/>
          <w:noProof/>
          <w:lang w:val="sk-SK"/>
        </w:rPr>
        <w:t>Cieľom reformy je vypracovať komplexný rámec</w:t>
      </w:r>
      <w:r w:rsidR="00083739" w:rsidRPr="00083739">
        <w:rPr>
          <w:rFonts w:cs="Times New Roman"/>
          <w:noProof/>
          <w:lang w:val="sk-SK"/>
        </w:rPr>
        <w:t xml:space="preserve"> a </w:t>
      </w:r>
      <w:r w:rsidRPr="00083739">
        <w:rPr>
          <w:rFonts w:cs="Times New Roman"/>
          <w:noProof/>
          <w:lang w:val="sk-SK"/>
        </w:rPr>
        <w:t>plán prepojenia</w:t>
      </w:r>
      <w:r w:rsidR="00083739" w:rsidRPr="00083739">
        <w:rPr>
          <w:rFonts w:cs="Times New Roman"/>
          <w:noProof/>
          <w:lang w:val="sk-SK"/>
        </w:rPr>
        <w:t xml:space="preserve"> a </w:t>
      </w:r>
      <w:r w:rsidRPr="00083739">
        <w:rPr>
          <w:rFonts w:cs="Times New Roman"/>
          <w:noProof/>
          <w:lang w:val="sk-SK"/>
        </w:rPr>
        <w:t>interoperability reg</w:t>
      </w:r>
      <w:r w:rsidRPr="00083739">
        <w:rPr>
          <w:rFonts w:cs="Times New Roman"/>
          <w:noProof/>
          <w:lang w:val="sk-SK"/>
        </w:rPr>
        <w:t>istrov</w:t>
      </w:r>
      <w:r w:rsidR="00083739" w:rsidRPr="00083739">
        <w:rPr>
          <w:rFonts w:cs="Times New Roman"/>
          <w:noProof/>
          <w:lang w:val="sk-SK"/>
        </w:rPr>
        <w:t xml:space="preserve"> a </w:t>
      </w:r>
      <w:r w:rsidRPr="00083739">
        <w:rPr>
          <w:rFonts w:cs="Times New Roman"/>
          <w:noProof/>
          <w:lang w:val="sk-SK"/>
        </w:rPr>
        <w:t>služieb na výmenu údajov medzi verejnými organizáciami</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aktom</w:t>
      </w:r>
      <w:r w:rsidR="00083739" w:rsidRPr="00083739">
        <w:rPr>
          <w:rFonts w:cs="Times New Roman"/>
          <w:noProof/>
          <w:lang w:val="sk-SK"/>
        </w:rPr>
        <w:t xml:space="preserve"> o </w:t>
      </w:r>
      <w:r w:rsidRPr="00083739">
        <w:rPr>
          <w:rFonts w:cs="Times New Roman"/>
          <w:noProof/>
          <w:lang w:val="sk-SK"/>
        </w:rPr>
        <w:t>interoperabilnej Európe</w:t>
      </w:r>
      <w:r w:rsidR="00083739" w:rsidRPr="00083739">
        <w:rPr>
          <w:rFonts w:cs="Times New Roman"/>
          <w:noProof/>
          <w:lang w:val="sk-SK"/>
        </w:rPr>
        <w:t xml:space="preserve"> a </w:t>
      </w:r>
      <w:r w:rsidRPr="00083739">
        <w:rPr>
          <w:rFonts w:cs="Times New Roman"/>
          <w:noProof/>
          <w:lang w:val="sk-SK"/>
        </w:rPr>
        <w:t>uľahčiť poskytovanie interoperabilných, personalizovaných</w:t>
      </w:r>
      <w:r w:rsidR="00083739" w:rsidRPr="00083739">
        <w:rPr>
          <w:rFonts w:cs="Times New Roman"/>
          <w:noProof/>
          <w:lang w:val="sk-SK"/>
        </w:rPr>
        <w:t xml:space="preserve"> a </w:t>
      </w:r>
      <w:r w:rsidRPr="00083739">
        <w:rPr>
          <w:rFonts w:cs="Times New Roman"/>
          <w:noProof/>
          <w:lang w:val="sk-SK"/>
        </w:rPr>
        <w:t>používateľsky ústretových digitálnych verejných služieb občanom</w:t>
      </w:r>
      <w:r w:rsidR="00083739" w:rsidRPr="00083739">
        <w:rPr>
          <w:rFonts w:cs="Times New Roman"/>
          <w:noProof/>
          <w:lang w:val="sk-SK"/>
        </w:rPr>
        <w:t xml:space="preserve"> a </w:t>
      </w:r>
      <w:r w:rsidRPr="00083739">
        <w:rPr>
          <w:rFonts w:cs="Times New Roman"/>
          <w:noProof/>
          <w:lang w:val="sk-SK"/>
        </w:rPr>
        <w:t>podnikom. Reformou sa</w:t>
      </w:r>
      <w:r w:rsidRPr="00083739">
        <w:rPr>
          <w:rFonts w:cs="Times New Roman"/>
          <w:noProof/>
          <w:lang w:val="sk-SK"/>
        </w:rPr>
        <w:t xml:space="preserve"> zavedú organizačné, procedurálne</w:t>
      </w:r>
      <w:r w:rsidR="00083739" w:rsidRPr="00083739">
        <w:rPr>
          <w:rFonts w:cs="Times New Roman"/>
          <w:noProof/>
          <w:lang w:val="sk-SK"/>
        </w:rPr>
        <w:t xml:space="preserve"> a </w:t>
      </w:r>
      <w:r w:rsidRPr="00083739">
        <w:rPr>
          <w:rFonts w:cs="Times New Roman"/>
          <w:noProof/>
          <w:lang w:val="sk-SK"/>
        </w:rPr>
        <w:t>legislatívne zmeny</w:t>
      </w:r>
      <w:r w:rsidR="00083739" w:rsidRPr="00083739">
        <w:rPr>
          <w:rFonts w:cs="Times New Roman"/>
          <w:noProof/>
          <w:lang w:val="sk-SK"/>
        </w:rPr>
        <w:t xml:space="preserve"> s </w:t>
      </w:r>
      <w:r w:rsidRPr="00083739">
        <w:rPr>
          <w:rFonts w:cs="Times New Roman"/>
          <w:noProof/>
          <w:lang w:val="sk-SK"/>
        </w:rPr>
        <w:t>cieľom a) zosúladiť súčasný grécky národný rámec interoperability (eGIF)</w:t>
      </w:r>
      <w:r w:rsidR="00083739" w:rsidRPr="00083739">
        <w:rPr>
          <w:rFonts w:cs="Times New Roman"/>
          <w:noProof/>
          <w:lang w:val="sk-SK"/>
        </w:rPr>
        <w:t xml:space="preserve"> s </w:t>
      </w:r>
      <w:r w:rsidRPr="00083739">
        <w:rPr>
          <w:rFonts w:cs="Times New Roman"/>
          <w:noProof/>
          <w:lang w:val="sk-SK"/>
        </w:rPr>
        <w:t>aktom</w:t>
      </w:r>
      <w:r w:rsidR="00083739" w:rsidRPr="00083739">
        <w:rPr>
          <w:rFonts w:cs="Times New Roman"/>
          <w:noProof/>
          <w:lang w:val="sk-SK"/>
        </w:rPr>
        <w:t xml:space="preserve"> o </w:t>
      </w:r>
      <w:r w:rsidRPr="00083739">
        <w:rPr>
          <w:rFonts w:cs="Times New Roman"/>
          <w:noProof/>
          <w:lang w:val="sk-SK"/>
        </w:rPr>
        <w:t>interoperabilnej Európe, b) prepojiť príslušné vnútroštátne, regionálne</w:t>
      </w:r>
      <w:r w:rsidR="00083739" w:rsidRPr="00083739">
        <w:rPr>
          <w:rFonts w:cs="Times New Roman"/>
          <w:noProof/>
          <w:lang w:val="sk-SK"/>
        </w:rPr>
        <w:t xml:space="preserve"> a </w:t>
      </w:r>
      <w:r w:rsidRPr="00083739">
        <w:rPr>
          <w:rFonts w:cs="Times New Roman"/>
          <w:noProof/>
          <w:lang w:val="sk-SK"/>
        </w:rPr>
        <w:t>miestne zdroje údajov</w:t>
      </w:r>
      <w:r w:rsidR="00083739" w:rsidRPr="00083739">
        <w:rPr>
          <w:rFonts w:cs="Times New Roman"/>
          <w:noProof/>
          <w:lang w:val="sk-SK"/>
        </w:rPr>
        <w:t xml:space="preserve"> a </w:t>
      </w:r>
      <w:r w:rsidRPr="00083739">
        <w:rPr>
          <w:rFonts w:cs="Times New Roman"/>
          <w:noProof/>
          <w:lang w:val="sk-SK"/>
        </w:rPr>
        <w:t>digitálne infraštr</w:t>
      </w:r>
      <w:r w:rsidRPr="00083739">
        <w:rPr>
          <w:rFonts w:cs="Times New Roman"/>
          <w:noProof/>
          <w:lang w:val="sk-SK"/>
        </w:rPr>
        <w:t>uktúry</w:t>
      </w:r>
      <w:r w:rsidR="00083739" w:rsidRPr="00083739">
        <w:rPr>
          <w:rFonts w:cs="Times New Roman"/>
          <w:noProof/>
          <w:lang w:val="sk-SK"/>
        </w:rPr>
        <w:t xml:space="preserve"> s </w:t>
      </w:r>
      <w:r w:rsidRPr="00083739">
        <w:rPr>
          <w:rFonts w:cs="Times New Roman"/>
          <w:noProof/>
          <w:lang w:val="sk-SK"/>
        </w:rPr>
        <w:t>európskym systémom na výmenu dôkazov podľa zásady „jedenkrát</w:t>
      </w:r>
      <w:r w:rsidR="00083739" w:rsidRPr="00083739">
        <w:rPr>
          <w:rFonts w:cs="Times New Roman"/>
          <w:noProof/>
          <w:lang w:val="sk-SK"/>
        </w:rPr>
        <w:t xml:space="preserve"> a </w:t>
      </w:r>
      <w:r w:rsidRPr="00083739">
        <w:rPr>
          <w:rFonts w:cs="Times New Roman"/>
          <w:noProof/>
          <w:lang w:val="sk-SK"/>
        </w:rPr>
        <w:t>dosť“ (OOP) zriadeným nariadením</w:t>
      </w:r>
      <w:r w:rsidR="00083739" w:rsidRPr="00083739">
        <w:rPr>
          <w:rFonts w:cs="Times New Roman"/>
          <w:noProof/>
          <w:lang w:val="sk-SK"/>
        </w:rPr>
        <w:t xml:space="preserve"> o </w:t>
      </w:r>
      <w:r w:rsidRPr="00083739">
        <w:rPr>
          <w:rFonts w:cs="Times New Roman"/>
          <w:noProof/>
          <w:lang w:val="sk-SK"/>
        </w:rPr>
        <w:t>jednotnej digitálnej bráne</w:t>
      </w:r>
      <w:r w:rsidR="00083739" w:rsidRPr="00083739">
        <w:rPr>
          <w:rFonts w:cs="Times New Roman"/>
          <w:noProof/>
          <w:lang w:val="sk-SK"/>
        </w:rPr>
        <w:t xml:space="preserve"> a </w:t>
      </w:r>
      <w:r w:rsidRPr="00083739">
        <w:rPr>
          <w:rFonts w:cs="Times New Roman"/>
          <w:noProof/>
          <w:lang w:val="sk-SK"/>
        </w:rPr>
        <w:t>c) regulovať prevádzku registra dokumentov zameraného na posilnenie elektronického vyhľadávania podporných dokumentov ex</w:t>
      </w:r>
      <w:r w:rsidRPr="00083739">
        <w:rPr>
          <w:rFonts w:cs="Times New Roman"/>
          <w:noProof/>
          <w:lang w:val="sk-SK"/>
        </w:rPr>
        <w:t xml:space="preserve"> officio orgánmi verejnej moci, ktoré sú potrebné na spracovanie administratívnych postupov. Implementácia tejto reformy sa dokončí do 31</w:t>
      </w:r>
      <w:r w:rsidR="00083739" w:rsidRPr="00083739">
        <w:rPr>
          <w:rFonts w:cs="Times New Roman"/>
          <w:noProof/>
          <w:lang w:val="sk-SK"/>
        </w:rPr>
        <w:t>. decembra</w:t>
      </w:r>
      <w:r w:rsidRPr="00083739">
        <w:rPr>
          <w:rFonts w:cs="Times New Roman"/>
          <w:noProof/>
          <w:lang w:val="sk-SK"/>
        </w:rPr>
        <w:t xml:space="preserve"> 2024.</w:t>
      </w:r>
    </w:p>
    <w:p w14:paraId="2F10A225" w14:textId="7777777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Centrum interoperability budúcej generácie (KED) (ID opatrenia 16964)</w:t>
      </w:r>
    </w:p>
    <w:p w14:paraId="2C292030" w14:textId="2CFE1912"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Cieľom investície je</w:t>
      </w:r>
      <w:r w:rsidRPr="00083739">
        <w:rPr>
          <w:rFonts w:cs="Times New Roman"/>
          <w:noProof/>
          <w:lang w:val="sk-SK"/>
        </w:rPr>
        <w:t xml:space="preserve"> modernizácia Centra interoperability Generálneho sekretariátu informačných systémov pre verejnú správu (GSISPA), aby bolo možné zabezpečiť interoperabilitu medzi inštitúciami</w:t>
      </w:r>
      <w:r w:rsidR="00083739" w:rsidRPr="00083739">
        <w:rPr>
          <w:rFonts w:cs="Times New Roman"/>
          <w:noProof/>
          <w:lang w:val="sk-SK"/>
        </w:rPr>
        <w:t xml:space="preserve"> a </w:t>
      </w:r>
      <w:r w:rsidRPr="00083739">
        <w:rPr>
          <w:rFonts w:cs="Times New Roman"/>
          <w:noProof/>
          <w:lang w:val="sk-SK"/>
        </w:rPr>
        <w:t>systémami</w:t>
      </w:r>
      <w:r w:rsidR="00083739" w:rsidRPr="00083739">
        <w:rPr>
          <w:rFonts w:cs="Times New Roman"/>
          <w:noProof/>
          <w:lang w:val="sk-SK"/>
        </w:rPr>
        <w:t xml:space="preserve"> s </w:t>
      </w:r>
      <w:r w:rsidRPr="00083739">
        <w:rPr>
          <w:rFonts w:cs="Times New Roman"/>
          <w:noProof/>
          <w:lang w:val="sk-SK"/>
        </w:rPr>
        <w:t>vysokou dostupnosťou. Investícia pozostáva zo a) štúdie uskutočnit</w:t>
      </w:r>
      <w:r w:rsidRPr="00083739">
        <w:rPr>
          <w:rFonts w:cs="Times New Roman"/>
          <w:noProof/>
          <w:lang w:val="sk-SK"/>
        </w:rPr>
        <w:t>eľnosti</w:t>
      </w:r>
      <w:r w:rsidR="00083739" w:rsidRPr="00083739">
        <w:rPr>
          <w:rFonts w:cs="Times New Roman"/>
          <w:noProof/>
          <w:lang w:val="sk-SK"/>
        </w:rPr>
        <w:t xml:space="preserve"> a </w:t>
      </w:r>
      <w:r w:rsidRPr="00083739">
        <w:rPr>
          <w:rFonts w:cs="Times New Roman"/>
          <w:noProof/>
          <w:lang w:val="sk-SK"/>
        </w:rPr>
        <w:t>bezpečnosti; dodávky</w:t>
      </w:r>
      <w:r w:rsidR="00083739" w:rsidRPr="00083739">
        <w:rPr>
          <w:rFonts w:cs="Times New Roman"/>
          <w:noProof/>
          <w:lang w:val="sk-SK"/>
        </w:rPr>
        <w:t xml:space="preserve"> a </w:t>
      </w:r>
      <w:r w:rsidRPr="00083739">
        <w:rPr>
          <w:rFonts w:cs="Times New Roman"/>
          <w:noProof/>
          <w:lang w:val="sk-SK"/>
        </w:rPr>
        <w:t>inštalácie požadovaných licencií pre databázu</w:t>
      </w:r>
      <w:r w:rsidR="00083739" w:rsidRPr="00083739">
        <w:rPr>
          <w:rFonts w:cs="Times New Roman"/>
          <w:noProof/>
          <w:lang w:val="sk-SK"/>
        </w:rPr>
        <w:t xml:space="preserve"> a </w:t>
      </w:r>
      <w:r w:rsidRPr="00083739">
        <w:rPr>
          <w:rFonts w:cs="Times New Roman"/>
          <w:noProof/>
          <w:lang w:val="sk-SK"/>
        </w:rPr>
        <w:t>hybridnú cloudovú platformu; c) návrhu</w:t>
      </w:r>
      <w:r w:rsidR="00083739" w:rsidRPr="00083739">
        <w:rPr>
          <w:rFonts w:cs="Times New Roman"/>
          <w:noProof/>
          <w:lang w:val="sk-SK"/>
        </w:rPr>
        <w:t xml:space="preserve"> a </w:t>
      </w:r>
      <w:r w:rsidRPr="00083739">
        <w:rPr>
          <w:rFonts w:cs="Times New Roman"/>
          <w:noProof/>
          <w:lang w:val="sk-SK"/>
        </w:rPr>
        <w:t>realizácie centra interoperability novej generácie (KED), d) zavedenia nových webových služieb</w:t>
      </w:r>
      <w:r w:rsidR="00083739" w:rsidRPr="00083739">
        <w:rPr>
          <w:rFonts w:cs="Times New Roman"/>
          <w:noProof/>
          <w:lang w:val="sk-SK"/>
        </w:rPr>
        <w:t xml:space="preserve"> v </w:t>
      </w:r>
      <w:r w:rsidRPr="00083739">
        <w:rPr>
          <w:rFonts w:cs="Times New Roman"/>
          <w:noProof/>
          <w:lang w:val="sk-SK"/>
        </w:rPr>
        <w:t>centre interoperability Next Generati</w:t>
      </w:r>
      <w:r w:rsidRPr="00083739">
        <w:rPr>
          <w:rFonts w:cs="Times New Roman"/>
          <w:noProof/>
          <w:lang w:val="sk-SK"/>
        </w:rPr>
        <w:t>on (KED). Implementácia tejto investície sa dokončí do 30</w:t>
      </w:r>
      <w:r w:rsidR="00083739" w:rsidRPr="00083739">
        <w:rPr>
          <w:rFonts w:cs="Times New Roman"/>
          <w:noProof/>
          <w:lang w:val="sk-SK"/>
        </w:rPr>
        <w:t>. júna</w:t>
      </w:r>
      <w:r w:rsidRPr="00083739">
        <w:rPr>
          <w:rFonts w:cs="Times New Roman"/>
          <w:noProof/>
          <w:lang w:val="sk-SK"/>
        </w:rPr>
        <w:t xml:space="preserve"> 2025.</w:t>
      </w:r>
    </w:p>
    <w:p w14:paraId="40C49480" w14:textId="7777777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Elektronické registre (ID opatrenia 16824)</w:t>
      </w:r>
    </w:p>
    <w:p w14:paraId="5081BBC7" w14:textId="6A02A214"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Investícia pozostáva zo zavedenia interoperability</w:t>
      </w:r>
      <w:r w:rsidR="00083739" w:rsidRPr="00083739">
        <w:rPr>
          <w:rFonts w:cs="Times New Roman"/>
          <w:noProof/>
          <w:lang w:val="sk-SK"/>
        </w:rPr>
        <w:t xml:space="preserve"> a </w:t>
      </w:r>
      <w:r w:rsidRPr="00083739">
        <w:rPr>
          <w:rFonts w:cs="Times New Roman"/>
          <w:noProof/>
          <w:lang w:val="sk-SK"/>
        </w:rPr>
        <w:t>rozhraní medzi existujúcimi registrami ústredných orgánov verejnej správy, ako</w:t>
      </w:r>
      <w:r w:rsidRPr="00083739">
        <w:rPr>
          <w:rFonts w:cs="Times New Roman"/>
          <w:noProof/>
          <w:lang w:val="sk-SK"/>
        </w:rPr>
        <w:t xml:space="preserve"> aj zo zberu</w:t>
      </w:r>
      <w:r w:rsidR="00083739" w:rsidRPr="00083739">
        <w:rPr>
          <w:rFonts w:cs="Times New Roman"/>
          <w:noProof/>
          <w:lang w:val="sk-SK"/>
        </w:rPr>
        <w:t xml:space="preserve"> a </w:t>
      </w:r>
      <w:r w:rsidRPr="00083739">
        <w:rPr>
          <w:rFonts w:cs="Times New Roman"/>
          <w:noProof/>
          <w:lang w:val="sk-SK"/>
        </w:rPr>
        <w:t>rozširovania registrov</w:t>
      </w:r>
      <w:r w:rsidR="00083739" w:rsidRPr="00083739">
        <w:rPr>
          <w:rFonts w:cs="Times New Roman"/>
          <w:noProof/>
          <w:lang w:val="sk-SK"/>
        </w:rPr>
        <w:t xml:space="preserve"> s </w:t>
      </w:r>
      <w:r w:rsidRPr="00083739">
        <w:rPr>
          <w:rFonts w:cs="Times New Roman"/>
          <w:noProof/>
          <w:lang w:val="sk-SK"/>
        </w:rPr>
        <w:t>cieľom postupne viesť</w:t>
      </w:r>
      <w:r w:rsidR="00083739" w:rsidRPr="00083739">
        <w:rPr>
          <w:rFonts w:cs="Times New Roman"/>
          <w:noProof/>
          <w:lang w:val="sk-SK"/>
        </w:rPr>
        <w:t xml:space="preserve"> k </w:t>
      </w:r>
      <w:r w:rsidRPr="00083739">
        <w:rPr>
          <w:rFonts w:cs="Times New Roman"/>
          <w:noProof/>
          <w:lang w:val="sk-SK"/>
        </w:rPr>
        <w:t>bezproblémovému</w:t>
      </w:r>
      <w:r w:rsidR="00083739" w:rsidRPr="00083739">
        <w:rPr>
          <w:rFonts w:cs="Times New Roman"/>
          <w:noProof/>
          <w:lang w:val="sk-SK"/>
        </w:rPr>
        <w:t xml:space="preserve"> a </w:t>
      </w:r>
      <w:r w:rsidRPr="00083739">
        <w:rPr>
          <w:rFonts w:cs="Times New Roman"/>
          <w:noProof/>
          <w:lang w:val="sk-SK"/>
        </w:rPr>
        <w:t>riadnemu fungovaniu digitálnych verejných služieb</w:t>
      </w:r>
      <w:r w:rsidR="00083739" w:rsidRPr="00083739">
        <w:rPr>
          <w:rFonts w:cs="Times New Roman"/>
          <w:noProof/>
          <w:lang w:val="sk-SK"/>
        </w:rPr>
        <w:t xml:space="preserve"> s </w:t>
      </w:r>
      <w:r w:rsidRPr="00083739">
        <w:rPr>
          <w:rFonts w:cs="Times New Roman"/>
          <w:noProof/>
          <w:lang w:val="sk-SK"/>
        </w:rPr>
        <w:t>využitím prepojených, aktuálnych registrov obsahujúcich čisté údaje. Na tento účel investícia uľahčí zber</w:t>
      </w:r>
      <w:r w:rsidR="00083739" w:rsidRPr="00083739">
        <w:rPr>
          <w:rFonts w:cs="Times New Roman"/>
          <w:noProof/>
          <w:lang w:val="sk-SK"/>
        </w:rPr>
        <w:t xml:space="preserve"> a </w:t>
      </w:r>
      <w:r w:rsidRPr="00083739">
        <w:rPr>
          <w:rFonts w:cs="Times New Roman"/>
          <w:noProof/>
          <w:lang w:val="sk-SK"/>
        </w:rPr>
        <w:t>rozšírenie exi</w:t>
      </w:r>
      <w:r w:rsidRPr="00083739">
        <w:rPr>
          <w:rFonts w:cs="Times New Roman"/>
          <w:noProof/>
          <w:lang w:val="sk-SK"/>
        </w:rPr>
        <w:t>stujúcich registrov</w:t>
      </w:r>
      <w:r w:rsidR="00083739" w:rsidRPr="00083739">
        <w:rPr>
          <w:rFonts w:cs="Times New Roman"/>
          <w:noProof/>
          <w:lang w:val="sk-SK"/>
        </w:rPr>
        <w:t xml:space="preserve"> v </w:t>
      </w:r>
      <w:r w:rsidRPr="00083739">
        <w:rPr>
          <w:rFonts w:cs="Times New Roman"/>
          <w:noProof/>
          <w:lang w:val="sk-SK"/>
        </w:rPr>
        <w:t>jednom centrálnom zdroji</w:t>
      </w:r>
      <w:r w:rsidR="00083739" w:rsidRPr="00083739">
        <w:rPr>
          <w:rFonts w:cs="Times New Roman"/>
          <w:noProof/>
          <w:lang w:val="sk-SK"/>
        </w:rPr>
        <w:t xml:space="preserve"> s </w:t>
      </w:r>
      <w:r w:rsidRPr="00083739">
        <w:rPr>
          <w:rFonts w:cs="Times New Roman"/>
          <w:noProof/>
          <w:lang w:val="sk-SK"/>
        </w:rPr>
        <w:t>cieľom postupne viesť</w:t>
      </w:r>
      <w:r w:rsidR="00083739" w:rsidRPr="00083739">
        <w:rPr>
          <w:rFonts w:cs="Times New Roman"/>
          <w:noProof/>
          <w:lang w:val="sk-SK"/>
        </w:rPr>
        <w:t xml:space="preserve"> k </w:t>
      </w:r>
      <w:r w:rsidRPr="00083739">
        <w:rPr>
          <w:rFonts w:cs="Times New Roman"/>
          <w:noProof/>
          <w:lang w:val="sk-SK"/>
        </w:rPr>
        <w:t>hladkému</w:t>
      </w:r>
      <w:r w:rsidR="00083739" w:rsidRPr="00083739">
        <w:rPr>
          <w:rFonts w:cs="Times New Roman"/>
          <w:noProof/>
          <w:lang w:val="sk-SK"/>
        </w:rPr>
        <w:t xml:space="preserve"> a </w:t>
      </w:r>
      <w:r w:rsidRPr="00083739">
        <w:rPr>
          <w:rFonts w:cs="Times New Roman"/>
          <w:noProof/>
          <w:lang w:val="sk-SK"/>
        </w:rPr>
        <w:t>riadnemu fungovaniu digitálnych verejných služieb. To zahŕňa a) údaje na jednom mieste: registre sú prístupné prostredníctvom jedného rozhrania</w:t>
      </w:r>
      <w:r w:rsidR="00083739" w:rsidRPr="00083739">
        <w:rPr>
          <w:rFonts w:cs="Times New Roman"/>
          <w:noProof/>
          <w:lang w:val="sk-SK"/>
        </w:rPr>
        <w:t xml:space="preserve"> a </w:t>
      </w:r>
      <w:r w:rsidRPr="00083739">
        <w:rPr>
          <w:rFonts w:cs="Times New Roman"/>
          <w:noProof/>
          <w:lang w:val="sk-SK"/>
        </w:rPr>
        <w:t>dajú sa</w:t>
      </w:r>
      <w:r w:rsidR="00083739" w:rsidRPr="00083739">
        <w:rPr>
          <w:rFonts w:cs="Times New Roman"/>
          <w:noProof/>
          <w:lang w:val="sk-SK"/>
        </w:rPr>
        <w:t xml:space="preserve"> v </w:t>
      </w:r>
      <w:r w:rsidRPr="00083739">
        <w:rPr>
          <w:rFonts w:cs="Times New Roman"/>
          <w:noProof/>
          <w:lang w:val="sk-SK"/>
        </w:rPr>
        <w:t xml:space="preserve">nich vyhľadávať </w:t>
      </w:r>
      <w:r w:rsidRPr="00083739">
        <w:rPr>
          <w:rFonts w:cs="Times New Roman"/>
          <w:noProof/>
          <w:lang w:val="sk-SK"/>
        </w:rPr>
        <w:t>b) aktuálne údaje: všetky údaje</w:t>
      </w:r>
      <w:r w:rsidR="00083739" w:rsidRPr="00083739">
        <w:rPr>
          <w:rFonts w:cs="Times New Roman"/>
          <w:noProof/>
          <w:lang w:val="sk-SK"/>
        </w:rPr>
        <w:t xml:space="preserve"> v </w:t>
      </w:r>
      <w:r w:rsidRPr="00083739">
        <w:rPr>
          <w:rFonts w:cs="Times New Roman"/>
          <w:noProof/>
          <w:lang w:val="sk-SK"/>
        </w:rPr>
        <w:t>registroch musia byť aktuálne</w:t>
      </w:r>
      <w:r w:rsidR="00083739" w:rsidRPr="00083739">
        <w:rPr>
          <w:rFonts w:cs="Times New Roman"/>
          <w:noProof/>
          <w:lang w:val="sk-SK"/>
        </w:rPr>
        <w:t xml:space="preserve"> a </w:t>
      </w:r>
      <w:r w:rsidRPr="00083739">
        <w:rPr>
          <w:rFonts w:cs="Times New Roman"/>
          <w:noProof/>
          <w:lang w:val="sk-SK"/>
        </w:rPr>
        <w:t>pripravené na použitie. Prístup ku každému registru sa uskutočňuje prostredníctvom spoločného API c) čistých údajov: do konca projektu musia byť údaje</w:t>
      </w:r>
      <w:r w:rsidR="00083739" w:rsidRPr="00083739">
        <w:rPr>
          <w:rFonts w:cs="Times New Roman"/>
          <w:noProof/>
          <w:lang w:val="sk-SK"/>
        </w:rPr>
        <w:t xml:space="preserve"> z </w:t>
      </w:r>
      <w:r w:rsidRPr="00083739">
        <w:rPr>
          <w:rFonts w:cs="Times New Roman"/>
          <w:noProof/>
          <w:lang w:val="sk-SK"/>
        </w:rPr>
        <w:t>registrov čisté na čo najlepšej úrovn</w:t>
      </w:r>
      <w:r w:rsidRPr="00083739">
        <w:rPr>
          <w:rFonts w:cs="Times New Roman"/>
          <w:noProof/>
          <w:lang w:val="sk-SK"/>
        </w:rPr>
        <w:t>i</w:t>
      </w:r>
      <w:r w:rsidR="00083739" w:rsidRPr="00083739">
        <w:rPr>
          <w:rFonts w:cs="Times New Roman"/>
          <w:noProof/>
          <w:lang w:val="sk-SK"/>
        </w:rPr>
        <w:t xml:space="preserve"> a </w:t>
      </w:r>
      <w:r w:rsidRPr="00083739">
        <w:rPr>
          <w:rFonts w:cs="Times New Roman"/>
          <w:noProof/>
          <w:lang w:val="sk-SK"/>
        </w:rPr>
        <w:t>musia byť zavedené postupy</w:t>
      </w:r>
      <w:r w:rsidR="00083739" w:rsidRPr="00083739">
        <w:rPr>
          <w:rFonts w:cs="Times New Roman"/>
          <w:noProof/>
          <w:lang w:val="sk-SK"/>
        </w:rPr>
        <w:t xml:space="preserve"> a </w:t>
      </w:r>
      <w:r w:rsidRPr="00083739">
        <w:rPr>
          <w:rFonts w:cs="Times New Roman"/>
          <w:noProof/>
          <w:lang w:val="sk-SK"/>
        </w:rPr>
        <w:t>politiky pre čisté údaje d) prepojené registre: musí sa zabezpečiť interoperabilita. Realizácia investície sa ukončí do 31</w:t>
      </w:r>
      <w:r w:rsidR="00083739" w:rsidRPr="00083739">
        <w:rPr>
          <w:rFonts w:cs="Times New Roman"/>
          <w:noProof/>
          <w:lang w:val="sk-SK"/>
        </w:rPr>
        <w:t>. decembra</w:t>
      </w:r>
      <w:r w:rsidRPr="00083739">
        <w:rPr>
          <w:rFonts w:cs="Times New Roman"/>
          <w:noProof/>
          <w:lang w:val="sk-SK"/>
        </w:rPr>
        <w:t xml:space="preserve"> 2025.</w:t>
      </w:r>
    </w:p>
    <w:p w14:paraId="1C0DB3DC" w14:textId="7777777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Register cestovného ruchu e-MHTE (ID opatrenia 16785)</w:t>
      </w:r>
    </w:p>
    <w:p w14:paraId="54B9CE58" w14:textId="4DB7237E"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Investícia pozostá</w:t>
      </w:r>
      <w:r w:rsidRPr="00083739">
        <w:rPr>
          <w:rFonts w:cs="Times New Roman"/>
          <w:noProof/>
          <w:lang w:val="sk-SK"/>
        </w:rPr>
        <w:t>va</w:t>
      </w:r>
      <w:r w:rsidR="00083739" w:rsidRPr="00083739">
        <w:rPr>
          <w:rFonts w:cs="Times New Roman"/>
          <w:noProof/>
          <w:lang w:val="sk-SK"/>
        </w:rPr>
        <w:t xml:space="preserve"> z </w:t>
      </w:r>
      <w:r w:rsidRPr="00083739">
        <w:rPr>
          <w:rFonts w:cs="Times New Roman"/>
          <w:noProof/>
          <w:lang w:val="sk-SK"/>
        </w:rPr>
        <w:t>vývoja platformy digitálneho registra pre podniky cestovného ruchu (e-MHTE), ktorej cieľom je spolupracovať</w:t>
      </w:r>
      <w:r w:rsidR="00083739" w:rsidRPr="00083739">
        <w:rPr>
          <w:rFonts w:cs="Times New Roman"/>
          <w:noProof/>
          <w:lang w:val="sk-SK"/>
        </w:rPr>
        <w:t xml:space="preserve"> s </w:t>
      </w:r>
      <w:r w:rsidRPr="00083739">
        <w:rPr>
          <w:rFonts w:cs="Times New Roman"/>
          <w:noProof/>
          <w:lang w:val="sk-SK"/>
        </w:rPr>
        <w:t>inými verejnými registrami</w:t>
      </w:r>
      <w:r w:rsidR="00083739" w:rsidRPr="00083739">
        <w:rPr>
          <w:rFonts w:cs="Times New Roman"/>
          <w:noProof/>
          <w:lang w:val="sk-SK"/>
        </w:rPr>
        <w:t xml:space="preserve"> a </w:t>
      </w:r>
      <w:r w:rsidRPr="00083739">
        <w:rPr>
          <w:rFonts w:cs="Times New Roman"/>
          <w:noProof/>
          <w:lang w:val="sk-SK"/>
        </w:rPr>
        <w:t>IT systémami. Všetky údaje</w:t>
      </w:r>
      <w:r w:rsidR="00083739" w:rsidRPr="00083739">
        <w:rPr>
          <w:rFonts w:cs="Times New Roman"/>
          <w:noProof/>
          <w:lang w:val="sk-SK"/>
        </w:rPr>
        <w:t xml:space="preserve"> a </w:t>
      </w:r>
      <w:r w:rsidRPr="00083739">
        <w:rPr>
          <w:rFonts w:cs="Times New Roman"/>
          <w:noProof/>
          <w:lang w:val="sk-SK"/>
        </w:rPr>
        <w:t>funkcie existujúceho registra sa prenesú na novú platformu</w:t>
      </w:r>
      <w:r w:rsidR="00083739" w:rsidRPr="00083739">
        <w:rPr>
          <w:rFonts w:cs="Times New Roman"/>
          <w:noProof/>
          <w:lang w:val="sk-SK"/>
        </w:rPr>
        <w:t xml:space="preserve"> s </w:t>
      </w:r>
      <w:r w:rsidRPr="00083739">
        <w:rPr>
          <w:rFonts w:cs="Times New Roman"/>
          <w:noProof/>
          <w:lang w:val="sk-SK"/>
        </w:rPr>
        <w:t>cieľom poskytovať lepš</w:t>
      </w:r>
      <w:r w:rsidRPr="00083739">
        <w:rPr>
          <w:rFonts w:cs="Times New Roman"/>
          <w:noProof/>
          <w:lang w:val="sk-SK"/>
        </w:rPr>
        <w:t>ie</w:t>
      </w:r>
      <w:r w:rsidR="00083739" w:rsidRPr="00083739">
        <w:rPr>
          <w:rFonts w:cs="Times New Roman"/>
          <w:noProof/>
          <w:lang w:val="sk-SK"/>
        </w:rPr>
        <w:t xml:space="preserve"> a </w:t>
      </w:r>
      <w:r w:rsidRPr="00083739">
        <w:rPr>
          <w:rFonts w:cs="Times New Roman"/>
          <w:noProof/>
          <w:lang w:val="sk-SK"/>
        </w:rPr>
        <w:t>lepšie služby, vydávať nové prevádzkové licencie</w:t>
      </w:r>
      <w:r w:rsidR="00083739" w:rsidRPr="00083739">
        <w:rPr>
          <w:rFonts w:cs="Times New Roman"/>
          <w:noProof/>
          <w:lang w:val="sk-SK"/>
        </w:rPr>
        <w:t xml:space="preserve"> a </w:t>
      </w:r>
      <w:r w:rsidRPr="00083739">
        <w:rPr>
          <w:rFonts w:cs="Times New Roman"/>
          <w:noProof/>
          <w:lang w:val="sk-SK"/>
        </w:rPr>
        <w:t>obnovovať existujúce licencie. Investícia zahŕňa aj digitalizáciu archívu (1875000 súborov divízie územného plánovania</w:t>
      </w:r>
      <w:r w:rsidR="00083739" w:rsidRPr="00083739">
        <w:rPr>
          <w:rFonts w:cs="Times New Roman"/>
          <w:noProof/>
          <w:lang w:val="sk-SK"/>
        </w:rPr>
        <w:t xml:space="preserve"> a </w:t>
      </w:r>
      <w:r w:rsidRPr="00083739">
        <w:rPr>
          <w:rFonts w:cs="Times New Roman"/>
          <w:noProof/>
          <w:lang w:val="sk-SK"/>
        </w:rPr>
        <w:t>infraštruktúry) vrátane metaznačkovania</w:t>
      </w:r>
      <w:r w:rsidR="00083739" w:rsidRPr="00083739">
        <w:rPr>
          <w:rFonts w:cs="Times New Roman"/>
          <w:noProof/>
          <w:lang w:val="sk-SK"/>
        </w:rPr>
        <w:t xml:space="preserve"> a </w:t>
      </w:r>
      <w:r w:rsidRPr="00083739">
        <w:rPr>
          <w:rFonts w:cs="Times New Roman"/>
          <w:noProof/>
          <w:lang w:val="sk-SK"/>
        </w:rPr>
        <w:t>uchovávania. Implementácia tejto inve</w:t>
      </w:r>
      <w:r w:rsidRPr="00083739">
        <w:rPr>
          <w:rFonts w:cs="Times New Roman"/>
          <w:noProof/>
          <w:lang w:val="sk-SK"/>
        </w:rPr>
        <w:t>stície sa dokončí do 30</w:t>
      </w:r>
      <w:r w:rsidR="00083739" w:rsidRPr="00083739">
        <w:rPr>
          <w:rFonts w:cs="Times New Roman"/>
          <w:noProof/>
          <w:lang w:val="sk-SK"/>
        </w:rPr>
        <w:t>. júna</w:t>
      </w:r>
      <w:r w:rsidRPr="00083739">
        <w:rPr>
          <w:rFonts w:cs="Times New Roman"/>
          <w:noProof/>
          <w:lang w:val="sk-SK"/>
        </w:rPr>
        <w:t xml:space="preserve"> 2025.</w:t>
      </w:r>
    </w:p>
    <w:p w14:paraId="772DF47C" w14:textId="7365774C"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Reforma:</w:t>
      </w:r>
      <w:r w:rsidRPr="00083739">
        <w:rPr>
          <w:rFonts w:cs="Times New Roman"/>
          <w:noProof/>
          <w:lang w:val="sk-SK"/>
        </w:rPr>
        <w:t xml:space="preserve"> Začlenenie nových technológií</w:t>
      </w:r>
      <w:r w:rsidR="00083739" w:rsidRPr="00083739">
        <w:rPr>
          <w:rFonts w:cs="Times New Roman"/>
          <w:noProof/>
          <w:lang w:val="sk-SK"/>
        </w:rPr>
        <w:t xml:space="preserve"> a </w:t>
      </w:r>
      <w:r w:rsidRPr="00083739">
        <w:rPr>
          <w:rFonts w:cs="Times New Roman"/>
          <w:noProof/>
          <w:lang w:val="sk-SK"/>
        </w:rPr>
        <w:t>trendov smerom</w:t>
      </w:r>
      <w:r w:rsidR="00083739" w:rsidRPr="00083739">
        <w:rPr>
          <w:rFonts w:cs="Times New Roman"/>
          <w:noProof/>
          <w:lang w:val="sk-SK"/>
        </w:rPr>
        <w:t xml:space="preserve"> k </w:t>
      </w:r>
      <w:r w:rsidRPr="00083739">
        <w:rPr>
          <w:rFonts w:cs="Times New Roman"/>
          <w:noProof/>
          <w:lang w:val="sk-SK"/>
        </w:rPr>
        <w:t>pokročilým službám verejnej správy, zvýšenie efektívnosti</w:t>
      </w:r>
      <w:r w:rsidR="00083739" w:rsidRPr="00083739">
        <w:rPr>
          <w:rFonts w:cs="Times New Roman"/>
          <w:noProof/>
          <w:lang w:val="sk-SK"/>
        </w:rPr>
        <w:t xml:space="preserve"> a </w:t>
      </w:r>
      <w:r w:rsidRPr="00083739">
        <w:rPr>
          <w:rFonts w:cs="Times New Roman"/>
          <w:noProof/>
          <w:lang w:val="sk-SK"/>
        </w:rPr>
        <w:t>účinnosti</w:t>
      </w:r>
      <w:r w:rsidR="00083739" w:rsidRPr="00083739">
        <w:rPr>
          <w:rFonts w:cs="Times New Roman"/>
          <w:noProof/>
          <w:lang w:val="sk-SK"/>
        </w:rPr>
        <w:t xml:space="preserve"> a </w:t>
      </w:r>
      <w:r w:rsidRPr="00083739">
        <w:rPr>
          <w:rFonts w:cs="Times New Roman"/>
          <w:noProof/>
          <w:lang w:val="sk-SK"/>
        </w:rPr>
        <w:t>zníženie nákladov na prevádzku, modernizáciu</w:t>
      </w:r>
      <w:r w:rsidR="00083739" w:rsidRPr="00083739">
        <w:rPr>
          <w:rFonts w:cs="Times New Roman"/>
          <w:noProof/>
          <w:lang w:val="sk-SK"/>
        </w:rPr>
        <w:t xml:space="preserve"> a </w:t>
      </w:r>
      <w:r w:rsidRPr="00083739">
        <w:rPr>
          <w:rFonts w:cs="Times New Roman"/>
          <w:noProof/>
          <w:lang w:val="sk-SK"/>
        </w:rPr>
        <w:t>údržbu systémov (opatrenie ID 16928)</w:t>
      </w:r>
    </w:p>
    <w:p w14:paraId="3909362E" w14:textId="5931DC42"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Reform</w:t>
      </w:r>
      <w:r w:rsidRPr="00083739">
        <w:rPr>
          <w:rFonts w:cs="Times New Roman"/>
          <w:noProof/>
          <w:lang w:val="sk-SK"/>
        </w:rPr>
        <w:t>a pozostáva</w:t>
      </w:r>
      <w:r w:rsidR="00083739" w:rsidRPr="00083739">
        <w:rPr>
          <w:rFonts w:cs="Times New Roman"/>
          <w:noProof/>
          <w:lang w:val="sk-SK"/>
        </w:rPr>
        <w:t xml:space="preserve"> z </w:t>
      </w:r>
      <w:r w:rsidRPr="00083739">
        <w:rPr>
          <w:rFonts w:cs="Times New Roman"/>
          <w:noProof/>
          <w:lang w:val="sk-SK"/>
        </w:rPr>
        <w:t>vývoja rámca, ktorého cieľom je priniesť do verejnej správy technologický pokrok (Cloud computing, Business Intelligence, Artificial Intelligence – AI, Machine Learning, Distributed Ledger Technology – DLT) na účely efektívneho zberu, spracúv</w:t>
      </w:r>
      <w:r w:rsidRPr="00083739">
        <w:rPr>
          <w:rFonts w:cs="Times New Roman"/>
          <w:noProof/>
          <w:lang w:val="sk-SK"/>
        </w:rPr>
        <w:t>ania, prezentácie</w:t>
      </w:r>
      <w:r w:rsidR="00083739" w:rsidRPr="00083739">
        <w:rPr>
          <w:rFonts w:cs="Times New Roman"/>
          <w:noProof/>
          <w:lang w:val="sk-SK"/>
        </w:rPr>
        <w:t xml:space="preserve"> a </w:t>
      </w:r>
      <w:r w:rsidRPr="00083739">
        <w:rPr>
          <w:rFonts w:cs="Times New Roman"/>
          <w:noProof/>
          <w:lang w:val="sk-SK"/>
        </w:rPr>
        <w:t>uchovávania údajov</w:t>
      </w:r>
      <w:r w:rsidR="00083739" w:rsidRPr="00083739">
        <w:rPr>
          <w:rFonts w:cs="Times New Roman"/>
          <w:noProof/>
          <w:lang w:val="sk-SK"/>
        </w:rPr>
        <w:t xml:space="preserve"> a </w:t>
      </w:r>
      <w:r w:rsidRPr="00083739">
        <w:rPr>
          <w:rFonts w:cs="Times New Roman"/>
          <w:noProof/>
          <w:lang w:val="sk-SK"/>
        </w:rPr>
        <w:t>uľahčenia zdokonalených digitálnych služieb, primeraného rozhodovania</w:t>
      </w:r>
      <w:r w:rsidR="00083739" w:rsidRPr="00083739">
        <w:rPr>
          <w:rFonts w:cs="Times New Roman"/>
          <w:noProof/>
          <w:lang w:val="sk-SK"/>
        </w:rPr>
        <w:t xml:space="preserve"> a </w:t>
      </w:r>
      <w:r w:rsidRPr="00083739">
        <w:rPr>
          <w:rFonts w:cs="Times New Roman"/>
          <w:noProof/>
          <w:lang w:val="sk-SK"/>
        </w:rPr>
        <w:t>efektívnej prevádzky</w:t>
      </w:r>
      <w:r w:rsidR="00083739" w:rsidRPr="00083739">
        <w:rPr>
          <w:rFonts w:cs="Times New Roman"/>
          <w:noProof/>
          <w:lang w:val="sk-SK"/>
        </w:rPr>
        <w:t xml:space="preserve"> a </w:t>
      </w:r>
      <w:r w:rsidRPr="00083739">
        <w:rPr>
          <w:rFonts w:cs="Times New Roman"/>
          <w:noProof/>
          <w:lang w:val="sk-SK"/>
        </w:rPr>
        <w:t>údržby systémov</w:t>
      </w:r>
      <w:r w:rsidR="00083739" w:rsidRPr="00083739">
        <w:rPr>
          <w:rFonts w:cs="Times New Roman"/>
          <w:noProof/>
          <w:lang w:val="sk-SK"/>
        </w:rPr>
        <w:t xml:space="preserve"> a </w:t>
      </w:r>
      <w:r w:rsidRPr="00083739">
        <w:rPr>
          <w:rFonts w:cs="Times New Roman"/>
          <w:noProof/>
          <w:lang w:val="sk-SK"/>
        </w:rPr>
        <w:t>infraštruktúry. Implementácia tejto reformy sa dokončí do 31</w:t>
      </w:r>
      <w:r w:rsidR="00083739" w:rsidRPr="00083739">
        <w:rPr>
          <w:rFonts w:cs="Times New Roman"/>
          <w:noProof/>
          <w:lang w:val="sk-SK"/>
        </w:rPr>
        <w:t>. decembra</w:t>
      </w:r>
      <w:r w:rsidRPr="00083739">
        <w:rPr>
          <w:rFonts w:cs="Times New Roman"/>
          <w:noProof/>
          <w:lang w:val="sk-SK"/>
        </w:rPr>
        <w:t xml:space="preserve"> 2025.</w:t>
      </w:r>
    </w:p>
    <w:p w14:paraId="31704360" w14:textId="7777777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Inteligentné </w:t>
      </w:r>
      <w:r w:rsidRPr="00083739">
        <w:rPr>
          <w:rFonts w:cs="Times New Roman"/>
          <w:noProof/>
          <w:lang w:val="sk-SK"/>
        </w:rPr>
        <w:t>mestá (ID opatrenia 16854)</w:t>
      </w:r>
    </w:p>
    <w:p w14:paraId="3AD58A59" w14:textId="51645931" w:rsidR="002D49B0" w:rsidRPr="00083739" w:rsidRDefault="00BF4125">
      <w:pPr>
        <w:pStyle w:val="P68B1DB1-Normal5"/>
        <w:spacing w:before="120" w:after="120" w:line="240" w:lineRule="auto"/>
        <w:jc w:val="both"/>
        <w:rPr>
          <w:rFonts w:cs="Times New Roman"/>
          <w:noProof/>
          <w:lang w:val="sk-SK"/>
        </w:rPr>
      </w:pPr>
      <w:r w:rsidRPr="00083739">
        <w:rPr>
          <w:rFonts w:cs="Times New Roman"/>
          <w:noProof/>
          <w:lang w:val="sk-SK"/>
        </w:rPr>
        <w:t>Cieľom investície je postupne transformovať 11 gréckych obcí na „inteligentné mestá“ prostredníctvom rozvoja novej infraštruktúry, digitálnych platforiem</w:t>
      </w:r>
      <w:r w:rsidR="00083739" w:rsidRPr="00083739">
        <w:rPr>
          <w:rFonts w:cs="Times New Roman"/>
          <w:noProof/>
          <w:lang w:val="sk-SK"/>
        </w:rPr>
        <w:t xml:space="preserve"> a </w:t>
      </w:r>
      <w:r w:rsidRPr="00083739">
        <w:rPr>
          <w:rFonts w:cs="Times New Roman"/>
          <w:noProof/>
          <w:lang w:val="sk-SK"/>
        </w:rPr>
        <w:t>informačných systémov. Riešenia inteligentných miest umožnia obciam využí</w:t>
      </w:r>
      <w:r w:rsidRPr="00083739">
        <w:rPr>
          <w:rFonts w:cs="Times New Roman"/>
          <w:noProof/>
          <w:lang w:val="sk-SK"/>
        </w:rPr>
        <w:t>vať technológie, informácie</w:t>
      </w:r>
      <w:r w:rsidR="00083739" w:rsidRPr="00083739">
        <w:rPr>
          <w:rFonts w:cs="Times New Roman"/>
          <w:noProof/>
          <w:lang w:val="sk-SK"/>
        </w:rPr>
        <w:t xml:space="preserve"> a </w:t>
      </w:r>
      <w:r w:rsidRPr="00083739">
        <w:rPr>
          <w:rFonts w:cs="Times New Roman"/>
          <w:noProof/>
          <w:lang w:val="sk-SK"/>
        </w:rPr>
        <w:t>otvorené údaje na zlepšenie mestskej infraštruktúry</w:t>
      </w:r>
      <w:r w:rsidR="00083739" w:rsidRPr="00083739">
        <w:rPr>
          <w:rFonts w:cs="Times New Roman"/>
          <w:noProof/>
          <w:lang w:val="sk-SK"/>
        </w:rPr>
        <w:t xml:space="preserve"> a </w:t>
      </w:r>
      <w:r w:rsidRPr="00083739">
        <w:rPr>
          <w:rFonts w:cs="Times New Roman"/>
          <w:noProof/>
          <w:lang w:val="sk-SK"/>
        </w:rPr>
        <w:t>elektronických služieb. Opatrenie pozostáva</w:t>
      </w:r>
      <w:r w:rsidR="00083739" w:rsidRPr="00083739">
        <w:rPr>
          <w:rFonts w:cs="Times New Roman"/>
          <w:noProof/>
          <w:lang w:val="sk-SK"/>
        </w:rPr>
        <w:t xml:space="preserve"> z </w:t>
      </w:r>
      <w:r w:rsidRPr="00083739">
        <w:rPr>
          <w:rFonts w:cs="Times New Roman"/>
          <w:noProof/>
          <w:lang w:val="sk-SK"/>
        </w:rPr>
        <w:t>dvoch čiastkových projektov: 1. na základe návrhov vypracovaných obcami sa vyberie grécka investičná iniciatíva pre in</w:t>
      </w:r>
      <w:r w:rsidRPr="00083739">
        <w:rPr>
          <w:rFonts w:cs="Times New Roman"/>
          <w:noProof/>
          <w:lang w:val="sk-SK"/>
        </w:rPr>
        <w:t>teligentné mestá investujúca do 11 obcí,</w:t>
      </w:r>
      <w:r w:rsidR="00083739" w:rsidRPr="00083739">
        <w:rPr>
          <w:rFonts w:cs="Times New Roman"/>
          <w:noProof/>
          <w:lang w:val="sk-SK"/>
        </w:rPr>
        <w:t xml:space="preserve"> z </w:t>
      </w:r>
      <w:r w:rsidRPr="00083739">
        <w:rPr>
          <w:rFonts w:cs="Times New Roman"/>
          <w:noProof/>
          <w:lang w:val="sk-SK"/>
        </w:rPr>
        <w:t>ktorých štyri už boli vybrané (Atény, Solún, Piraeus</w:t>
      </w:r>
      <w:r w:rsidR="00083739" w:rsidRPr="00083739">
        <w:rPr>
          <w:rFonts w:cs="Times New Roman"/>
          <w:noProof/>
          <w:lang w:val="sk-SK"/>
        </w:rPr>
        <w:t xml:space="preserve"> a </w:t>
      </w:r>
      <w:r w:rsidRPr="00083739">
        <w:rPr>
          <w:rFonts w:cs="Times New Roman"/>
          <w:noProof/>
          <w:lang w:val="sk-SK"/>
        </w:rPr>
        <w:t>Trikala)</w:t>
      </w:r>
      <w:r w:rsidR="00083739" w:rsidRPr="00083739">
        <w:rPr>
          <w:rFonts w:cs="Times New Roman"/>
          <w:noProof/>
          <w:lang w:val="sk-SK"/>
        </w:rPr>
        <w:t xml:space="preserve"> a </w:t>
      </w:r>
      <w:r w:rsidRPr="00083739">
        <w:rPr>
          <w:rFonts w:cs="Times New Roman"/>
          <w:noProof/>
          <w:lang w:val="sk-SK"/>
        </w:rPr>
        <w:t>sedem ďalších. 2. podporný mechanizmus na vykonávanie</w:t>
      </w:r>
      <w:r w:rsidR="00083739" w:rsidRPr="00083739">
        <w:rPr>
          <w:rFonts w:cs="Times New Roman"/>
          <w:noProof/>
          <w:lang w:val="sk-SK"/>
        </w:rPr>
        <w:t xml:space="preserve"> a </w:t>
      </w:r>
      <w:r w:rsidRPr="00083739">
        <w:rPr>
          <w:rFonts w:cs="Times New Roman"/>
          <w:noProof/>
          <w:lang w:val="sk-SK"/>
        </w:rPr>
        <w:t>monitorovanie výkonnosti iniciatívy. Realizácia investície sa ukončí do 31</w:t>
      </w:r>
      <w:r w:rsidR="00083739" w:rsidRPr="00083739">
        <w:rPr>
          <w:rFonts w:cs="Times New Roman"/>
          <w:noProof/>
          <w:lang w:val="sk-SK"/>
        </w:rPr>
        <w:t>. decembra</w:t>
      </w:r>
      <w:r w:rsidRPr="00083739">
        <w:rPr>
          <w:rFonts w:cs="Times New Roman"/>
          <w:noProof/>
          <w:lang w:val="sk-SK"/>
        </w:rPr>
        <w:t xml:space="preserve"> 2025.</w:t>
      </w:r>
    </w:p>
    <w:p w14:paraId="2D295552" w14:textId="55E9882A"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Poskytovanie infraštruktúry</w:t>
      </w:r>
      <w:r w:rsidR="00083739" w:rsidRPr="00083739">
        <w:rPr>
          <w:rFonts w:cs="Times New Roman"/>
          <w:noProof/>
          <w:lang w:val="sk-SK"/>
        </w:rPr>
        <w:t xml:space="preserve"> a </w:t>
      </w:r>
      <w:r w:rsidRPr="00083739">
        <w:rPr>
          <w:rFonts w:cs="Times New Roman"/>
          <w:noProof/>
          <w:lang w:val="sk-SK"/>
        </w:rPr>
        <w:t>služby centrálneho cloud computingu (opatrenie ID 16853)</w:t>
      </w:r>
    </w:p>
    <w:p w14:paraId="25BAEE3A" w14:textId="0325962B" w:rsidR="002D49B0" w:rsidRPr="00083739" w:rsidRDefault="00BF4125">
      <w:pPr>
        <w:pStyle w:val="P68B1DB1-Normal4"/>
        <w:spacing w:before="120" w:after="120" w:line="240" w:lineRule="auto"/>
        <w:jc w:val="both"/>
        <w:rPr>
          <w:rFonts w:cs="Times New Roman"/>
          <w:noProof/>
          <w:szCs w:val="24"/>
          <w:lang w:val="sk-SK"/>
        </w:rPr>
      </w:pPr>
      <w:r w:rsidRPr="00083739">
        <w:rPr>
          <w:rFonts w:cs="Times New Roman"/>
          <w:noProof/>
          <w:lang w:val="sk-SK"/>
        </w:rPr>
        <w:t>Cieľom investície je zlepšiť fungovanie kľúčových inštitúcií ministerstva digitálnej správy, konkrétne GSISPA</w:t>
      </w:r>
      <w:r w:rsidR="00083739" w:rsidRPr="00083739">
        <w:rPr>
          <w:rFonts w:cs="Times New Roman"/>
          <w:noProof/>
          <w:lang w:val="sk-SK"/>
        </w:rPr>
        <w:t xml:space="preserve"> a </w:t>
      </w:r>
      <w:r w:rsidRPr="00083739">
        <w:rPr>
          <w:rFonts w:cs="Times New Roman"/>
          <w:noProof/>
          <w:lang w:val="sk-SK"/>
        </w:rPr>
        <w:t>IDIKA SA, prostredníctvom zavádzania infraštr</w:t>
      </w:r>
      <w:r w:rsidRPr="00083739">
        <w:rPr>
          <w:rFonts w:cs="Times New Roman"/>
          <w:noProof/>
          <w:lang w:val="sk-SK"/>
        </w:rPr>
        <w:t>uktúry</w:t>
      </w:r>
      <w:r w:rsidR="00083739" w:rsidRPr="00083739">
        <w:rPr>
          <w:rFonts w:cs="Times New Roman"/>
          <w:noProof/>
          <w:lang w:val="sk-SK"/>
        </w:rPr>
        <w:t xml:space="preserve"> a </w:t>
      </w:r>
      <w:r w:rsidRPr="00083739">
        <w:rPr>
          <w:rFonts w:cs="Times New Roman"/>
          <w:noProof/>
          <w:lang w:val="sk-SK"/>
        </w:rPr>
        <w:t>služieb cloud computingu (v súlade so zákonom č. 4727/2020)</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medzinárodnými najlepšími postupmi na implementáciu vládnej cloudovej infraštruktúry</w:t>
      </w:r>
      <w:r w:rsidR="00083739" w:rsidRPr="00083739">
        <w:rPr>
          <w:rFonts w:cs="Times New Roman"/>
          <w:noProof/>
          <w:lang w:val="sk-SK"/>
        </w:rPr>
        <w:t xml:space="preserve"> a </w:t>
      </w:r>
      <w:r w:rsidRPr="00083739">
        <w:rPr>
          <w:rFonts w:cs="Times New Roman"/>
          <w:noProof/>
          <w:lang w:val="sk-SK"/>
        </w:rPr>
        <w:t>služieb (G-Cloud). Projektom sa zabezpečí moderná infraštruktúra hybridného cloudu pozost</w:t>
      </w:r>
      <w:r w:rsidRPr="00083739">
        <w:rPr>
          <w:rFonts w:cs="Times New Roman"/>
          <w:noProof/>
          <w:lang w:val="sk-SK"/>
        </w:rPr>
        <w:t>ávajúca</w:t>
      </w:r>
      <w:r w:rsidR="00083739" w:rsidRPr="00083739">
        <w:rPr>
          <w:rFonts w:cs="Times New Roman"/>
          <w:noProof/>
          <w:lang w:val="sk-SK"/>
        </w:rPr>
        <w:t xml:space="preserve"> z </w:t>
      </w:r>
      <w:r w:rsidRPr="00083739">
        <w:rPr>
          <w:rFonts w:cs="Times New Roman"/>
          <w:noProof/>
          <w:lang w:val="sk-SK"/>
        </w:rPr>
        <w:t>dvoch nájomcov: Jeden pre G-Cloud</w:t>
      </w:r>
      <w:r w:rsidR="00083739" w:rsidRPr="00083739">
        <w:rPr>
          <w:rFonts w:cs="Times New Roman"/>
          <w:noProof/>
          <w:lang w:val="sk-SK"/>
        </w:rPr>
        <w:t xml:space="preserve"> a </w:t>
      </w:r>
      <w:r w:rsidRPr="00083739">
        <w:rPr>
          <w:rFonts w:cs="Times New Roman"/>
          <w:noProof/>
          <w:lang w:val="sk-SK"/>
        </w:rPr>
        <w:t>druhý pre H-Cloud. Každý nájomca musí mať súkromnú cloudovú zložku</w:t>
      </w:r>
      <w:r w:rsidR="00083739" w:rsidRPr="00083739">
        <w:rPr>
          <w:rFonts w:cs="Times New Roman"/>
          <w:noProof/>
          <w:lang w:val="sk-SK"/>
        </w:rPr>
        <w:t xml:space="preserve"> a </w:t>
      </w:r>
      <w:r w:rsidRPr="00083739">
        <w:rPr>
          <w:rFonts w:cs="Times New Roman"/>
          <w:noProof/>
          <w:lang w:val="sk-SK"/>
        </w:rPr>
        <w:t>zložku verejného cloudu</w:t>
      </w:r>
      <w:r w:rsidR="00083739" w:rsidRPr="00083739">
        <w:rPr>
          <w:rFonts w:cs="Times New Roman"/>
          <w:noProof/>
          <w:lang w:val="sk-SK"/>
        </w:rPr>
        <w:t xml:space="preserve"> v </w:t>
      </w:r>
      <w:r w:rsidRPr="00083739">
        <w:rPr>
          <w:rFonts w:cs="Times New Roman"/>
          <w:noProof/>
          <w:lang w:val="sk-SK"/>
        </w:rPr>
        <w:t>jednotnom prostredí riadenia</w:t>
      </w:r>
      <w:r w:rsidR="00083739" w:rsidRPr="00083739">
        <w:rPr>
          <w:rFonts w:cs="Times New Roman"/>
          <w:noProof/>
          <w:lang w:val="sk-SK"/>
        </w:rPr>
        <w:t xml:space="preserve"> a </w:t>
      </w:r>
      <w:r w:rsidRPr="00083739">
        <w:rPr>
          <w:rFonts w:cs="Times New Roman"/>
          <w:noProof/>
          <w:lang w:val="sk-SK"/>
        </w:rPr>
        <w:t>poskytovania služieb. Implementácia investície sa dokončí do 30</w:t>
      </w:r>
      <w:r w:rsidR="00083739" w:rsidRPr="00083739">
        <w:rPr>
          <w:rFonts w:cs="Times New Roman"/>
          <w:noProof/>
          <w:lang w:val="sk-SK"/>
        </w:rPr>
        <w:t>. júna</w:t>
      </w:r>
      <w:r w:rsidRPr="00083739">
        <w:rPr>
          <w:rFonts w:cs="Times New Roman"/>
          <w:noProof/>
          <w:lang w:val="sk-SK"/>
        </w:rPr>
        <w:t xml:space="preserve"> 2024.</w:t>
      </w:r>
    </w:p>
    <w:p w14:paraId="051605DD" w14:textId="77777777" w:rsidR="00083739"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Dátové c</w:t>
      </w:r>
      <w:r w:rsidRPr="00083739">
        <w:rPr>
          <w:rFonts w:cs="Times New Roman"/>
          <w:noProof/>
          <w:lang w:val="sk-SK"/>
        </w:rPr>
        <w:t>entrá poskytovateľa cloudových služieb sú povinné dodržiavať „Európsky kódex správania pre energetickú efektívnosť dátového centra“</w:t>
      </w:r>
      <w:r w:rsidR="00083739" w:rsidRPr="00083739">
        <w:rPr>
          <w:rFonts w:cs="Times New Roman"/>
          <w:noProof/>
          <w:lang w:val="sk-SK"/>
        </w:rPr>
        <w:t>.</w:t>
      </w:r>
    </w:p>
    <w:p w14:paraId="0F51ECD5" w14:textId="545FDD56"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Požiadavka je</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nariadením Európskeho parlamentu</w:t>
      </w:r>
      <w:r w:rsidR="00083739" w:rsidRPr="00083739">
        <w:rPr>
          <w:rFonts w:cs="Times New Roman"/>
          <w:noProof/>
          <w:lang w:val="sk-SK"/>
        </w:rPr>
        <w:t xml:space="preserve"> a </w:t>
      </w:r>
      <w:r w:rsidRPr="00083739">
        <w:rPr>
          <w:rFonts w:cs="Times New Roman"/>
          <w:noProof/>
          <w:lang w:val="sk-SK"/>
        </w:rPr>
        <w:t>Rady (EÚ) 2018/1999</w:t>
      </w:r>
      <w:r w:rsidR="00083739" w:rsidRPr="00083739">
        <w:rPr>
          <w:rFonts w:cs="Times New Roman"/>
          <w:noProof/>
          <w:lang w:val="sk-SK"/>
        </w:rPr>
        <w:t xml:space="preserve"> z </w:t>
      </w:r>
      <w:r w:rsidRPr="00083739">
        <w:rPr>
          <w:rFonts w:cs="Times New Roman"/>
          <w:noProof/>
          <w:lang w:val="sk-SK"/>
        </w:rPr>
        <w:t>11</w:t>
      </w:r>
      <w:r w:rsidR="00083739" w:rsidRPr="00083739">
        <w:rPr>
          <w:rFonts w:cs="Times New Roman"/>
          <w:noProof/>
          <w:lang w:val="sk-SK"/>
        </w:rPr>
        <w:t>. decembra</w:t>
      </w:r>
      <w:r w:rsidRPr="00083739">
        <w:rPr>
          <w:rFonts w:cs="Times New Roman"/>
          <w:noProof/>
          <w:lang w:val="sk-SK"/>
        </w:rPr>
        <w:t xml:space="preserve"> 2018</w:t>
      </w:r>
      <w:r w:rsidR="00083739" w:rsidRPr="00083739">
        <w:rPr>
          <w:rFonts w:cs="Times New Roman"/>
          <w:noProof/>
          <w:lang w:val="sk-SK"/>
        </w:rPr>
        <w:t xml:space="preserve"> o </w:t>
      </w:r>
      <w:r w:rsidRPr="00083739">
        <w:rPr>
          <w:rFonts w:cs="Times New Roman"/>
          <w:noProof/>
          <w:lang w:val="sk-SK"/>
        </w:rPr>
        <w:t xml:space="preserve">riadení energetickej </w:t>
      </w:r>
      <w:r w:rsidRPr="00083739">
        <w:rPr>
          <w:rFonts w:cs="Times New Roman"/>
          <w:noProof/>
          <w:lang w:val="sk-SK"/>
        </w:rPr>
        <w:t>únie</w:t>
      </w:r>
      <w:r w:rsidR="00083739" w:rsidRPr="00083739">
        <w:rPr>
          <w:rFonts w:cs="Times New Roman"/>
          <w:noProof/>
          <w:lang w:val="sk-SK"/>
        </w:rPr>
        <w:t xml:space="preserve"> a </w:t>
      </w:r>
      <w:r w:rsidRPr="00083739">
        <w:rPr>
          <w:rFonts w:cs="Times New Roman"/>
          <w:noProof/>
          <w:lang w:val="sk-SK"/>
        </w:rPr>
        <w:t>opatrení</w:t>
      </w:r>
      <w:r w:rsidR="00083739" w:rsidRPr="00083739">
        <w:rPr>
          <w:rFonts w:cs="Times New Roman"/>
          <w:noProof/>
          <w:lang w:val="sk-SK"/>
        </w:rPr>
        <w:t xml:space="preserve"> v </w:t>
      </w:r>
      <w:r w:rsidRPr="00083739">
        <w:rPr>
          <w:rFonts w:cs="Times New Roman"/>
          <w:noProof/>
          <w:lang w:val="sk-SK"/>
        </w:rPr>
        <w:t>oblasti klímy tým, že podporuje zelenú transformáciu</w:t>
      </w:r>
      <w:r w:rsidR="00083739" w:rsidRPr="00083739">
        <w:rPr>
          <w:rFonts w:cs="Times New Roman"/>
          <w:noProof/>
          <w:lang w:val="sk-SK"/>
        </w:rPr>
        <w:t xml:space="preserve"> a </w:t>
      </w:r>
      <w:r w:rsidRPr="00083739">
        <w:rPr>
          <w:rFonts w:cs="Times New Roman"/>
          <w:noProof/>
          <w:lang w:val="sk-SK"/>
        </w:rPr>
        <w:t>prispieva</w:t>
      </w:r>
      <w:r w:rsidR="00083739" w:rsidRPr="00083739">
        <w:rPr>
          <w:rFonts w:cs="Times New Roman"/>
          <w:noProof/>
          <w:lang w:val="sk-SK"/>
        </w:rPr>
        <w:t xml:space="preserve"> k </w:t>
      </w:r>
      <w:r w:rsidRPr="00083739">
        <w:rPr>
          <w:rFonts w:cs="Times New Roman"/>
          <w:noProof/>
          <w:lang w:val="sk-SK"/>
        </w:rPr>
        <w:t>dosiahnutiu cieľov Únie</w:t>
      </w:r>
      <w:r w:rsidR="00083739" w:rsidRPr="00083739">
        <w:rPr>
          <w:rFonts w:cs="Times New Roman"/>
          <w:noProof/>
          <w:lang w:val="sk-SK"/>
        </w:rPr>
        <w:t xml:space="preserve"> v </w:t>
      </w:r>
      <w:r w:rsidRPr="00083739">
        <w:rPr>
          <w:rFonts w:cs="Times New Roman"/>
          <w:noProof/>
          <w:lang w:val="sk-SK"/>
        </w:rPr>
        <w:t>oblasti klímy do roku 2030 stanovených</w:t>
      </w:r>
      <w:r w:rsidR="00083739" w:rsidRPr="00083739">
        <w:rPr>
          <w:rFonts w:cs="Times New Roman"/>
          <w:noProof/>
          <w:lang w:val="sk-SK"/>
        </w:rPr>
        <w:t xml:space="preserve"> v </w:t>
      </w:r>
      <w:r w:rsidRPr="00083739">
        <w:rPr>
          <w:rFonts w:cs="Times New Roman"/>
          <w:noProof/>
          <w:lang w:val="sk-SK"/>
        </w:rPr>
        <w:t>článku 2 ods. 11 zmeneného článkom 10 právneho predpisu EÚ</w:t>
      </w:r>
      <w:r w:rsidR="00083739" w:rsidRPr="00083739">
        <w:rPr>
          <w:rFonts w:cs="Times New Roman"/>
          <w:noProof/>
          <w:lang w:val="sk-SK"/>
        </w:rPr>
        <w:t xml:space="preserve"> v </w:t>
      </w:r>
      <w:r w:rsidRPr="00083739">
        <w:rPr>
          <w:rFonts w:cs="Times New Roman"/>
          <w:noProof/>
          <w:lang w:val="sk-SK"/>
        </w:rPr>
        <w:t>oblasti klímy</w:t>
      </w:r>
      <w:r w:rsidR="00083739" w:rsidRPr="00083739">
        <w:rPr>
          <w:rFonts w:cs="Times New Roman"/>
          <w:noProof/>
          <w:lang w:val="sk-SK"/>
        </w:rPr>
        <w:t xml:space="preserve"> a </w:t>
      </w:r>
      <w:r w:rsidRPr="00083739">
        <w:rPr>
          <w:rFonts w:cs="Times New Roman"/>
          <w:noProof/>
          <w:lang w:val="sk-SK"/>
        </w:rPr>
        <w:t xml:space="preserve">spĺňa cieľ klimatickej </w:t>
      </w:r>
      <w:r w:rsidRPr="00083739">
        <w:rPr>
          <w:rFonts w:cs="Times New Roman"/>
          <w:noProof/>
          <w:lang w:val="sk-SK"/>
        </w:rPr>
        <w:t>neutrality EÚ do roku 2050</w:t>
      </w:r>
      <w:r w:rsidR="00083739" w:rsidRPr="00083739">
        <w:rPr>
          <w:rFonts w:cs="Times New Roman"/>
          <w:noProof/>
          <w:lang w:val="sk-SK"/>
        </w:rPr>
        <w:t xml:space="preserve"> a </w:t>
      </w:r>
      <w:r w:rsidRPr="00083739">
        <w:rPr>
          <w:rFonts w:cs="Times New Roman"/>
          <w:noProof/>
          <w:lang w:val="sk-SK"/>
        </w:rPr>
        <w:t>digitálnej transformácie, čím prispieva</w:t>
      </w:r>
      <w:r w:rsidR="00083739" w:rsidRPr="00083739">
        <w:rPr>
          <w:rFonts w:cs="Times New Roman"/>
          <w:noProof/>
          <w:lang w:val="sk-SK"/>
        </w:rPr>
        <w:t xml:space="preserve"> k </w:t>
      </w:r>
      <w:r w:rsidRPr="00083739">
        <w:rPr>
          <w:rFonts w:cs="Times New Roman"/>
          <w:noProof/>
          <w:lang w:val="sk-SK"/>
        </w:rPr>
        <w:t>vzostupnej hospodárskej</w:t>
      </w:r>
      <w:r w:rsidR="00083739" w:rsidRPr="00083739">
        <w:rPr>
          <w:rFonts w:cs="Times New Roman"/>
          <w:noProof/>
          <w:lang w:val="sk-SK"/>
        </w:rPr>
        <w:t xml:space="preserve"> a </w:t>
      </w:r>
      <w:r w:rsidRPr="00083739">
        <w:rPr>
          <w:rFonts w:cs="Times New Roman"/>
          <w:noProof/>
          <w:lang w:val="sk-SK"/>
        </w:rPr>
        <w:t>sociálnej konvergencii, obnovuje</w:t>
      </w:r>
      <w:r w:rsidR="00083739" w:rsidRPr="00083739">
        <w:rPr>
          <w:rFonts w:cs="Times New Roman"/>
          <w:noProof/>
          <w:lang w:val="sk-SK"/>
        </w:rPr>
        <w:t xml:space="preserve"> a </w:t>
      </w:r>
      <w:r w:rsidRPr="00083739">
        <w:rPr>
          <w:rFonts w:cs="Times New Roman"/>
          <w:noProof/>
          <w:lang w:val="sk-SK"/>
        </w:rPr>
        <w:t>podporuje udržateľný rast</w:t>
      </w:r>
      <w:r w:rsidR="00083739" w:rsidRPr="00083739">
        <w:rPr>
          <w:rFonts w:cs="Times New Roman"/>
          <w:noProof/>
          <w:lang w:val="sk-SK"/>
        </w:rPr>
        <w:t xml:space="preserve"> a </w:t>
      </w:r>
      <w:r w:rsidRPr="00083739">
        <w:rPr>
          <w:rFonts w:cs="Times New Roman"/>
          <w:noProof/>
          <w:lang w:val="sk-SK"/>
        </w:rPr>
        <w:t>integráciu hospodárstiev Únie.</w:t>
      </w:r>
    </w:p>
    <w:p w14:paraId="54F75EFA" w14:textId="593BE3A2"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Modernizácia cloudovej výpočtovej infraštruktúry</w:t>
      </w:r>
      <w:r w:rsidR="00083739" w:rsidRPr="00083739">
        <w:rPr>
          <w:rFonts w:cs="Times New Roman"/>
          <w:noProof/>
          <w:lang w:val="sk-SK"/>
        </w:rPr>
        <w:t xml:space="preserve"> a </w:t>
      </w:r>
      <w:r w:rsidRPr="00083739">
        <w:rPr>
          <w:rFonts w:cs="Times New Roman"/>
          <w:noProof/>
          <w:lang w:val="sk-SK"/>
        </w:rPr>
        <w:t>sl</w:t>
      </w:r>
      <w:r w:rsidRPr="00083739">
        <w:rPr>
          <w:rFonts w:cs="Times New Roman"/>
          <w:noProof/>
          <w:lang w:val="sk-SK"/>
        </w:rPr>
        <w:t>užieb národných výskumných</w:t>
      </w:r>
      <w:r w:rsidR="00083739" w:rsidRPr="00083739">
        <w:rPr>
          <w:rFonts w:cs="Times New Roman"/>
          <w:noProof/>
          <w:lang w:val="sk-SK"/>
        </w:rPr>
        <w:t xml:space="preserve"> a </w:t>
      </w:r>
      <w:r w:rsidRPr="00083739">
        <w:rPr>
          <w:rFonts w:cs="Times New Roman"/>
          <w:noProof/>
          <w:lang w:val="sk-SK"/>
        </w:rPr>
        <w:t>technologických infraštruktúr (GRNET) (ID opatrenia 16955)</w:t>
      </w:r>
    </w:p>
    <w:p w14:paraId="31036E1E" w14:textId="30018CFD"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Investícia pozostáva</w:t>
      </w:r>
      <w:r w:rsidR="00083739" w:rsidRPr="00083739">
        <w:rPr>
          <w:rFonts w:cs="Times New Roman"/>
          <w:noProof/>
          <w:lang w:val="sk-SK"/>
        </w:rPr>
        <w:t xml:space="preserve"> z </w:t>
      </w:r>
      <w:r w:rsidRPr="00083739">
        <w:rPr>
          <w:rFonts w:cs="Times New Roman"/>
          <w:noProof/>
          <w:lang w:val="sk-SK"/>
        </w:rPr>
        <w:t>modernizácie infraštruktúr</w:t>
      </w:r>
      <w:r w:rsidR="00083739" w:rsidRPr="00083739">
        <w:rPr>
          <w:rFonts w:cs="Times New Roman"/>
          <w:noProof/>
          <w:lang w:val="sk-SK"/>
        </w:rPr>
        <w:t xml:space="preserve"> a </w:t>
      </w:r>
      <w:r w:rsidRPr="00083739">
        <w:rPr>
          <w:rFonts w:cs="Times New Roman"/>
          <w:noProof/>
          <w:lang w:val="sk-SK"/>
        </w:rPr>
        <w:t>služieb siete GRNET a) modernizáciou jej softvéru</w:t>
      </w:r>
      <w:r w:rsidR="00083739" w:rsidRPr="00083739">
        <w:rPr>
          <w:rFonts w:cs="Times New Roman"/>
          <w:noProof/>
          <w:lang w:val="sk-SK"/>
        </w:rPr>
        <w:t xml:space="preserve"> a </w:t>
      </w:r>
      <w:r w:rsidRPr="00083739">
        <w:rPr>
          <w:rFonts w:cs="Times New Roman"/>
          <w:noProof/>
          <w:lang w:val="sk-SK"/>
        </w:rPr>
        <w:t>služieb cloud computingu, ktoré sú určené najmä členom výskumnej</w:t>
      </w:r>
      <w:r w:rsidR="00083739" w:rsidRPr="00083739">
        <w:rPr>
          <w:rFonts w:cs="Times New Roman"/>
          <w:noProof/>
          <w:lang w:val="sk-SK"/>
        </w:rPr>
        <w:t xml:space="preserve"> a </w:t>
      </w:r>
      <w:r w:rsidRPr="00083739">
        <w:rPr>
          <w:rFonts w:cs="Times New Roman"/>
          <w:noProof/>
          <w:lang w:val="sk-SK"/>
        </w:rPr>
        <w:t>akademickej obce, b) zavedením nového superpočítača Daedalus (fáza A investície)</w:t>
      </w:r>
      <w:r w:rsidR="00083739" w:rsidRPr="00083739">
        <w:rPr>
          <w:rFonts w:cs="Times New Roman"/>
          <w:noProof/>
          <w:lang w:val="sk-SK"/>
        </w:rPr>
        <w:t xml:space="preserve"> a </w:t>
      </w:r>
      <w:r w:rsidRPr="00083739">
        <w:rPr>
          <w:rFonts w:cs="Times New Roman"/>
          <w:noProof/>
          <w:lang w:val="sk-SK"/>
        </w:rPr>
        <w:t>c) lízingom optickej infraštruktúry. Realizácia investície sa ukončí do 31</w:t>
      </w:r>
      <w:r w:rsidR="00083739" w:rsidRPr="00083739">
        <w:rPr>
          <w:rFonts w:cs="Times New Roman"/>
          <w:noProof/>
          <w:lang w:val="sk-SK"/>
        </w:rPr>
        <w:t>. decembra</w:t>
      </w:r>
      <w:r w:rsidRPr="00083739">
        <w:rPr>
          <w:rFonts w:cs="Times New Roman"/>
          <w:noProof/>
          <w:lang w:val="sk-SK"/>
        </w:rPr>
        <w:t xml:space="preserve"> 2025.</w:t>
      </w:r>
    </w:p>
    <w:p w14:paraId="6BA451CF" w14:textId="4DF467DF"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 xml:space="preserve">Od dátových centier sa vyžaduje, aby dodržiavali „Európsky kódex správania pre </w:t>
      </w:r>
      <w:r w:rsidRPr="00083739">
        <w:rPr>
          <w:rFonts w:cs="Times New Roman"/>
          <w:noProof/>
          <w:lang w:val="sk-SK"/>
        </w:rPr>
        <w:t>energetickú efektívnosť dátového centra“. Požiadavka je</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nariadením Európskeho parlamentu</w:t>
      </w:r>
      <w:r w:rsidR="00083739" w:rsidRPr="00083739">
        <w:rPr>
          <w:rFonts w:cs="Times New Roman"/>
          <w:noProof/>
          <w:lang w:val="sk-SK"/>
        </w:rPr>
        <w:t xml:space="preserve"> a </w:t>
      </w:r>
      <w:r w:rsidRPr="00083739">
        <w:rPr>
          <w:rFonts w:cs="Times New Roman"/>
          <w:noProof/>
          <w:lang w:val="sk-SK"/>
        </w:rPr>
        <w:t>Rady (EÚ) 2018/1999</w:t>
      </w:r>
      <w:r w:rsidR="00083739" w:rsidRPr="00083739">
        <w:rPr>
          <w:rFonts w:cs="Times New Roman"/>
          <w:noProof/>
          <w:lang w:val="sk-SK"/>
        </w:rPr>
        <w:t xml:space="preserve"> z </w:t>
      </w:r>
      <w:r w:rsidRPr="00083739">
        <w:rPr>
          <w:rFonts w:cs="Times New Roman"/>
          <w:noProof/>
          <w:lang w:val="sk-SK"/>
        </w:rPr>
        <w:t>11</w:t>
      </w:r>
      <w:r w:rsidR="00083739" w:rsidRPr="00083739">
        <w:rPr>
          <w:rFonts w:cs="Times New Roman"/>
          <w:noProof/>
          <w:lang w:val="sk-SK"/>
        </w:rPr>
        <w:t>. decembra</w:t>
      </w:r>
      <w:r w:rsidRPr="00083739">
        <w:rPr>
          <w:rFonts w:cs="Times New Roman"/>
          <w:noProof/>
          <w:lang w:val="sk-SK"/>
        </w:rPr>
        <w:t xml:space="preserve"> 2018</w:t>
      </w:r>
      <w:r w:rsidR="00083739" w:rsidRPr="00083739">
        <w:rPr>
          <w:rFonts w:cs="Times New Roman"/>
          <w:noProof/>
          <w:lang w:val="sk-SK"/>
        </w:rPr>
        <w:t xml:space="preserve"> o </w:t>
      </w:r>
      <w:r w:rsidRPr="00083739">
        <w:rPr>
          <w:rFonts w:cs="Times New Roman"/>
          <w:noProof/>
          <w:lang w:val="sk-SK"/>
        </w:rPr>
        <w:t>riadení energetickej únie</w:t>
      </w:r>
      <w:r w:rsidR="00083739" w:rsidRPr="00083739">
        <w:rPr>
          <w:rFonts w:cs="Times New Roman"/>
          <w:noProof/>
          <w:lang w:val="sk-SK"/>
        </w:rPr>
        <w:t xml:space="preserve"> a </w:t>
      </w:r>
      <w:r w:rsidRPr="00083739">
        <w:rPr>
          <w:rFonts w:cs="Times New Roman"/>
          <w:noProof/>
          <w:lang w:val="sk-SK"/>
        </w:rPr>
        <w:t>opatrení</w:t>
      </w:r>
      <w:r w:rsidR="00083739" w:rsidRPr="00083739">
        <w:rPr>
          <w:rFonts w:cs="Times New Roman"/>
          <w:noProof/>
          <w:lang w:val="sk-SK"/>
        </w:rPr>
        <w:t xml:space="preserve"> v </w:t>
      </w:r>
      <w:r w:rsidRPr="00083739">
        <w:rPr>
          <w:rFonts w:cs="Times New Roman"/>
          <w:noProof/>
          <w:lang w:val="sk-SK"/>
        </w:rPr>
        <w:t>oblasti klímy tým, že podporuje zelenú transformáciu</w:t>
      </w:r>
      <w:r w:rsidR="00083739" w:rsidRPr="00083739">
        <w:rPr>
          <w:rFonts w:cs="Times New Roman"/>
          <w:noProof/>
          <w:lang w:val="sk-SK"/>
        </w:rPr>
        <w:t xml:space="preserve"> a </w:t>
      </w:r>
      <w:r w:rsidRPr="00083739">
        <w:rPr>
          <w:rFonts w:cs="Times New Roman"/>
          <w:noProof/>
          <w:lang w:val="sk-SK"/>
        </w:rPr>
        <w:t>prispieva</w:t>
      </w:r>
      <w:r w:rsidR="00083739" w:rsidRPr="00083739">
        <w:rPr>
          <w:rFonts w:cs="Times New Roman"/>
          <w:noProof/>
          <w:lang w:val="sk-SK"/>
        </w:rPr>
        <w:t xml:space="preserve"> k </w:t>
      </w:r>
      <w:r w:rsidRPr="00083739">
        <w:rPr>
          <w:rFonts w:cs="Times New Roman"/>
          <w:noProof/>
          <w:lang w:val="sk-SK"/>
        </w:rPr>
        <w:t>dosiah</w:t>
      </w:r>
      <w:r w:rsidRPr="00083739">
        <w:rPr>
          <w:rFonts w:cs="Times New Roman"/>
          <w:noProof/>
          <w:lang w:val="sk-SK"/>
        </w:rPr>
        <w:t>nutiu cieľov Únie</w:t>
      </w:r>
      <w:r w:rsidR="00083739" w:rsidRPr="00083739">
        <w:rPr>
          <w:rFonts w:cs="Times New Roman"/>
          <w:noProof/>
          <w:lang w:val="sk-SK"/>
        </w:rPr>
        <w:t xml:space="preserve"> v </w:t>
      </w:r>
      <w:r w:rsidRPr="00083739">
        <w:rPr>
          <w:rFonts w:cs="Times New Roman"/>
          <w:noProof/>
          <w:lang w:val="sk-SK"/>
        </w:rPr>
        <w:t>oblasti klímy do roku 2030 stanovených</w:t>
      </w:r>
      <w:r w:rsidR="00083739" w:rsidRPr="00083739">
        <w:rPr>
          <w:rFonts w:cs="Times New Roman"/>
          <w:noProof/>
          <w:lang w:val="sk-SK"/>
        </w:rPr>
        <w:t xml:space="preserve"> v </w:t>
      </w:r>
      <w:r w:rsidRPr="00083739">
        <w:rPr>
          <w:rFonts w:cs="Times New Roman"/>
          <w:noProof/>
          <w:lang w:val="sk-SK"/>
        </w:rPr>
        <w:t>článku 2 ods. 11 zmeneného článkom 10 právneho predpisu EÚ</w:t>
      </w:r>
      <w:r w:rsidR="00083739" w:rsidRPr="00083739">
        <w:rPr>
          <w:rFonts w:cs="Times New Roman"/>
          <w:noProof/>
          <w:lang w:val="sk-SK"/>
        </w:rPr>
        <w:t xml:space="preserve"> v </w:t>
      </w:r>
      <w:r w:rsidRPr="00083739">
        <w:rPr>
          <w:rFonts w:cs="Times New Roman"/>
          <w:noProof/>
          <w:lang w:val="sk-SK"/>
        </w:rPr>
        <w:t>oblasti klímy</w:t>
      </w:r>
      <w:r w:rsidR="00083739" w:rsidRPr="00083739">
        <w:rPr>
          <w:rFonts w:cs="Times New Roman"/>
          <w:noProof/>
          <w:lang w:val="sk-SK"/>
        </w:rPr>
        <w:t xml:space="preserve"> a </w:t>
      </w:r>
      <w:r w:rsidRPr="00083739">
        <w:rPr>
          <w:rFonts w:cs="Times New Roman"/>
          <w:noProof/>
          <w:lang w:val="sk-SK"/>
        </w:rPr>
        <w:t>spĺňa cieľ klimatickej neutrality EÚ do roku 2050</w:t>
      </w:r>
      <w:r w:rsidR="00083739" w:rsidRPr="00083739">
        <w:rPr>
          <w:rFonts w:cs="Times New Roman"/>
          <w:noProof/>
          <w:lang w:val="sk-SK"/>
        </w:rPr>
        <w:t xml:space="preserve"> a </w:t>
      </w:r>
      <w:r w:rsidRPr="00083739">
        <w:rPr>
          <w:rFonts w:cs="Times New Roman"/>
          <w:noProof/>
          <w:lang w:val="sk-SK"/>
        </w:rPr>
        <w:t>digitálnej transformácie, čím prispieva</w:t>
      </w:r>
      <w:r w:rsidR="00083739" w:rsidRPr="00083739">
        <w:rPr>
          <w:rFonts w:cs="Times New Roman"/>
          <w:noProof/>
          <w:lang w:val="sk-SK"/>
        </w:rPr>
        <w:t xml:space="preserve"> k </w:t>
      </w:r>
      <w:r w:rsidRPr="00083739">
        <w:rPr>
          <w:rFonts w:cs="Times New Roman"/>
          <w:noProof/>
          <w:lang w:val="sk-SK"/>
        </w:rPr>
        <w:t>vzostupnej hospodárskej</w:t>
      </w:r>
      <w:r w:rsidR="00083739" w:rsidRPr="00083739">
        <w:rPr>
          <w:rFonts w:cs="Times New Roman"/>
          <w:noProof/>
          <w:lang w:val="sk-SK"/>
        </w:rPr>
        <w:t xml:space="preserve"> a </w:t>
      </w:r>
      <w:r w:rsidRPr="00083739">
        <w:rPr>
          <w:rFonts w:cs="Times New Roman"/>
          <w:noProof/>
          <w:lang w:val="sk-SK"/>
        </w:rPr>
        <w:t>sociálnej konvergencii, obnovuje</w:t>
      </w:r>
      <w:r w:rsidR="00083739" w:rsidRPr="00083739">
        <w:rPr>
          <w:rFonts w:cs="Times New Roman"/>
          <w:noProof/>
          <w:lang w:val="sk-SK"/>
        </w:rPr>
        <w:t xml:space="preserve"> a </w:t>
      </w:r>
      <w:r w:rsidRPr="00083739">
        <w:rPr>
          <w:rFonts w:cs="Times New Roman"/>
          <w:noProof/>
          <w:lang w:val="sk-SK"/>
        </w:rPr>
        <w:t>podporuje udržateľný rast</w:t>
      </w:r>
      <w:r w:rsidR="00083739" w:rsidRPr="00083739">
        <w:rPr>
          <w:rFonts w:cs="Times New Roman"/>
          <w:noProof/>
          <w:lang w:val="sk-SK"/>
        </w:rPr>
        <w:t xml:space="preserve"> a </w:t>
      </w:r>
      <w:r w:rsidRPr="00083739">
        <w:rPr>
          <w:rFonts w:cs="Times New Roman"/>
          <w:noProof/>
          <w:lang w:val="sk-SK"/>
        </w:rPr>
        <w:t>integráciu hospodárstiev Únie.</w:t>
      </w:r>
    </w:p>
    <w:p w14:paraId="19E35508" w14:textId="7777777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Rozšírenie Syzefksis II (ID opatrenia 16956)</w:t>
      </w:r>
    </w:p>
    <w:p w14:paraId="4141DDDC" w14:textId="57EFC543" w:rsidR="002D49B0" w:rsidRPr="00083739" w:rsidRDefault="00BF4125">
      <w:pPr>
        <w:pStyle w:val="P68B1DB1-Normal5"/>
        <w:spacing w:before="120" w:after="120" w:line="240" w:lineRule="auto"/>
        <w:jc w:val="both"/>
        <w:rPr>
          <w:rFonts w:cs="Times New Roman"/>
          <w:noProof/>
          <w:lang w:val="sk-SK"/>
        </w:rPr>
      </w:pPr>
      <w:r w:rsidRPr="00083739">
        <w:rPr>
          <w:rFonts w:cs="Times New Roman"/>
          <w:noProof/>
          <w:lang w:val="sk-SK"/>
        </w:rPr>
        <w:t>Investícia pozostáva</w:t>
      </w:r>
      <w:r w:rsidR="00083739" w:rsidRPr="00083739">
        <w:rPr>
          <w:rFonts w:cs="Times New Roman"/>
          <w:noProof/>
          <w:lang w:val="sk-SK"/>
        </w:rPr>
        <w:t xml:space="preserve"> z </w:t>
      </w:r>
      <w:r w:rsidRPr="00083739">
        <w:rPr>
          <w:rFonts w:cs="Times New Roman"/>
          <w:noProof/>
          <w:lang w:val="sk-SK"/>
        </w:rPr>
        <w:t>rozšírenia národnej siete verejného sektora (SYZEFXIS II)</w:t>
      </w:r>
      <w:r w:rsidR="00083739" w:rsidRPr="00083739">
        <w:rPr>
          <w:rFonts w:cs="Times New Roman"/>
          <w:noProof/>
          <w:lang w:val="sk-SK"/>
        </w:rPr>
        <w:t xml:space="preserve"> s </w:t>
      </w:r>
      <w:r w:rsidRPr="00083739">
        <w:rPr>
          <w:rFonts w:cs="Times New Roman"/>
          <w:noProof/>
          <w:lang w:val="sk-SK"/>
        </w:rPr>
        <w:t xml:space="preserve">cieľom poskytovať </w:t>
      </w:r>
      <w:r w:rsidRPr="00083739">
        <w:rPr>
          <w:rFonts w:cs="Times New Roman"/>
          <w:noProof/>
          <w:lang w:val="sk-SK"/>
        </w:rPr>
        <w:t>súbor modernizovaných telekomunikačných služieb pre celú verejnú správu,</w:t>
      </w:r>
      <w:r w:rsidR="00083739" w:rsidRPr="00083739">
        <w:rPr>
          <w:rFonts w:cs="Times New Roman"/>
          <w:noProof/>
          <w:lang w:val="sk-SK"/>
        </w:rPr>
        <w:t xml:space="preserve"> z </w:t>
      </w:r>
      <w:r w:rsidRPr="00083739">
        <w:rPr>
          <w:rFonts w:cs="Times New Roman"/>
          <w:noProof/>
          <w:lang w:val="sk-SK"/>
        </w:rPr>
        <w:t>vytvorenia siete verejného sektora (rozšírenie) na poskytovanie súboru modernizovaných telekomunikačných služieb orgánom verejnej správy počas troch po sebe nasledujúcich rokov</w:t>
      </w:r>
      <w:r w:rsidR="00083739" w:rsidRPr="00083739">
        <w:rPr>
          <w:rFonts w:cs="Times New Roman"/>
          <w:noProof/>
          <w:lang w:val="sk-SK"/>
        </w:rPr>
        <w:t xml:space="preserve"> a </w:t>
      </w:r>
      <w:r w:rsidRPr="00083739">
        <w:rPr>
          <w:rFonts w:cs="Times New Roman"/>
          <w:noProof/>
          <w:lang w:val="sk-SK"/>
        </w:rPr>
        <w:t>ko</w:t>
      </w:r>
      <w:r w:rsidRPr="00083739">
        <w:rPr>
          <w:rFonts w:cs="Times New Roman"/>
          <w:noProof/>
          <w:lang w:val="sk-SK"/>
        </w:rPr>
        <w:t>nkrétnejšie</w:t>
      </w:r>
      <w:r w:rsidR="00083739" w:rsidRPr="00083739">
        <w:rPr>
          <w:rFonts w:cs="Times New Roman"/>
          <w:noProof/>
          <w:lang w:val="sk-SK"/>
        </w:rPr>
        <w:t xml:space="preserve"> z </w:t>
      </w:r>
      <w:r w:rsidRPr="00083739">
        <w:rPr>
          <w:rFonts w:cs="Times New Roman"/>
          <w:noProof/>
          <w:lang w:val="sk-SK"/>
        </w:rPr>
        <w:t>poskytovania pokrytia približne 34000 budov, ako aj bezdrôtových telekomunikačných služieb. Zahŕňa rozšírenie existujúcej národnej siete verejnej správy „SYZEFXIS“, ktorá</w:t>
      </w:r>
      <w:r w:rsidR="00083739" w:rsidRPr="00083739">
        <w:rPr>
          <w:rFonts w:cs="Times New Roman"/>
          <w:noProof/>
          <w:lang w:val="sk-SK"/>
        </w:rPr>
        <w:t xml:space="preserve"> v </w:t>
      </w:r>
      <w:r w:rsidRPr="00083739">
        <w:rPr>
          <w:rFonts w:cs="Times New Roman"/>
          <w:noProof/>
          <w:lang w:val="sk-SK"/>
        </w:rPr>
        <w:t>súčasnosti pokrýva len 4500 bodov prítomnosti orgánov. Všetky verejné</w:t>
      </w:r>
      <w:r w:rsidRPr="00083739">
        <w:rPr>
          <w:rFonts w:cs="Times New Roman"/>
          <w:noProof/>
          <w:lang w:val="sk-SK"/>
        </w:rPr>
        <w:t xml:space="preserve"> orgány ako také musia mať modernizované telekomunikačné služby so zvýšenou rýchlosťou prístupu</w:t>
      </w:r>
      <w:r w:rsidR="00083739" w:rsidRPr="00083739">
        <w:rPr>
          <w:rFonts w:cs="Times New Roman"/>
          <w:noProof/>
          <w:lang w:val="sk-SK"/>
        </w:rPr>
        <w:t xml:space="preserve"> k </w:t>
      </w:r>
      <w:r w:rsidRPr="00083739">
        <w:rPr>
          <w:rFonts w:cs="Times New Roman"/>
          <w:noProof/>
          <w:lang w:val="sk-SK"/>
        </w:rPr>
        <w:t>internetu, čím sa občanom ponúkne lepšie pripojenie. Realizácia investície sa ukončí do 31</w:t>
      </w:r>
      <w:r w:rsidR="00083739" w:rsidRPr="00083739">
        <w:rPr>
          <w:rFonts w:cs="Times New Roman"/>
          <w:noProof/>
          <w:lang w:val="sk-SK"/>
        </w:rPr>
        <w:t>. decembra</w:t>
      </w:r>
      <w:r w:rsidRPr="00083739">
        <w:rPr>
          <w:rFonts w:cs="Times New Roman"/>
          <w:noProof/>
          <w:lang w:val="sk-SK"/>
        </w:rPr>
        <w:t xml:space="preserve"> 2025.</w:t>
      </w:r>
    </w:p>
    <w:p w14:paraId="16E9257A" w14:textId="23714193"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Reforma:</w:t>
      </w:r>
      <w:r w:rsidRPr="00083739">
        <w:rPr>
          <w:rFonts w:cs="Times New Roman"/>
          <w:noProof/>
          <w:lang w:val="sk-SK"/>
        </w:rPr>
        <w:t xml:space="preserve"> Stratégia správy údajov</w:t>
      </w:r>
      <w:r w:rsidR="00083739" w:rsidRPr="00083739">
        <w:rPr>
          <w:rFonts w:cs="Times New Roman"/>
          <w:noProof/>
          <w:lang w:val="sk-SK"/>
        </w:rPr>
        <w:t xml:space="preserve"> a </w:t>
      </w:r>
      <w:r w:rsidRPr="00083739">
        <w:rPr>
          <w:rFonts w:cs="Times New Roman"/>
          <w:noProof/>
          <w:lang w:val="sk-SK"/>
        </w:rPr>
        <w:t>politiky pre ver</w:t>
      </w:r>
      <w:r w:rsidRPr="00083739">
        <w:rPr>
          <w:rFonts w:cs="Times New Roman"/>
          <w:noProof/>
          <w:lang w:val="sk-SK"/>
        </w:rPr>
        <w:t>ejný sektor (ID 16827)</w:t>
      </w:r>
    </w:p>
    <w:p w14:paraId="22E4D0FC" w14:textId="63F7AB7C" w:rsidR="002D49B0" w:rsidRPr="00083739" w:rsidRDefault="00BF4125">
      <w:pPr>
        <w:pStyle w:val="P68B1DB1-Normal22"/>
        <w:spacing w:before="120" w:after="120" w:line="240" w:lineRule="auto"/>
        <w:jc w:val="both"/>
        <w:rPr>
          <w:rFonts w:ascii="Times New Roman" w:hAnsi="Times New Roman" w:cs="Times New Roman"/>
          <w:b/>
          <w:noProof/>
          <w:lang w:val="sk-SK"/>
        </w:rPr>
      </w:pPr>
      <w:r w:rsidRPr="00083739">
        <w:rPr>
          <w:rFonts w:ascii="Times New Roman" w:hAnsi="Times New Roman" w:cs="Times New Roman"/>
          <w:noProof/>
          <w:lang w:val="sk-SK"/>
        </w:rPr>
        <w:t>Reforma sa týka a) vytvorenia stratégie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politík vládnej správy údajov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cloud computingu, b) vytvorenia rámca pre správu verejných údajov, politiky pre otvorené</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opakovane použiteľné údaje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poskytovania príslušných služie</w:t>
      </w:r>
      <w:r w:rsidRPr="00083739">
        <w:rPr>
          <w:rFonts w:ascii="Times New Roman" w:hAnsi="Times New Roman" w:cs="Times New Roman"/>
          <w:noProof/>
          <w:lang w:val="sk-SK"/>
        </w:rPr>
        <w:t>b verejnému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súkromnému sektoru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c) vymedzenia vzoru štúdií klasifikácie údajov týkajúcich sa informačných systémov verejného sektora inštalovaných vo vládnom cloude verejného sektora (G-Cloud), ktorý prevádzkuje Generálny sekretariát informačných systém</w:t>
      </w:r>
      <w:r w:rsidRPr="00083739">
        <w:rPr>
          <w:rFonts w:ascii="Times New Roman" w:hAnsi="Times New Roman" w:cs="Times New Roman"/>
          <w:noProof/>
          <w:lang w:val="sk-SK"/>
        </w:rPr>
        <w:t>ov pre verejnú správu (GSISPA). Posledná časť reformy pozostáva</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návrhu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štandardizácie štúdií klasifikácie údajov centrálnych informačných systémov</w:t>
      </w:r>
      <w:r w:rsidR="00083739" w:rsidRPr="00083739">
        <w:rPr>
          <w:rFonts w:ascii="Times New Roman" w:hAnsi="Times New Roman" w:cs="Times New Roman"/>
          <w:noProof/>
          <w:lang w:val="sk-SK"/>
        </w:rPr>
        <w:t xml:space="preserve"> a z </w:t>
      </w:r>
      <w:r w:rsidRPr="00083739">
        <w:rPr>
          <w:rFonts w:ascii="Times New Roman" w:hAnsi="Times New Roman" w:cs="Times New Roman"/>
          <w:noProof/>
          <w:lang w:val="sk-SK"/>
        </w:rPr>
        <w:t>vykonania 220 príslušných štúdií pre všetky už nainštalované centrálne informačné systémy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aplikácie</w:t>
      </w:r>
      <w:r w:rsidRPr="00083739">
        <w:rPr>
          <w:rFonts w:ascii="Times New Roman" w:hAnsi="Times New Roman" w:cs="Times New Roman"/>
          <w:noProof/>
          <w:lang w:val="sk-SK"/>
        </w:rPr>
        <w:t xml:space="preserve"> verejného sektora.</w:t>
      </w:r>
      <w:r w:rsidRPr="00083739">
        <w:rPr>
          <w:rFonts w:ascii="Times New Roman" w:eastAsiaTheme="minorEastAsia" w:hAnsi="Times New Roman" w:cs="Times New Roman"/>
          <w:noProof/>
          <w:lang w:val="sk-SK"/>
        </w:rPr>
        <w:t xml:space="preserve"> </w:t>
      </w:r>
      <w:r w:rsidRPr="00083739">
        <w:rPr>
          <w:rFonts w:ascii="Times New Roman" w:hAnsi="Times New Roman" w:cs="Times New Roman"/>
          <w:noProof/>
          <w:lang w:val="sk-SK"/>
        </w:rPr>
        <w:t>Implementácia tejto reformy sa dokončí do 31</w:t>
      </w:r>
      <w:r w:rsidR="00083739" w:rsidRPr="00083739">
        <w:rPr>
          <w:rFonts w:ascii="Times New Roman" w:hAnsi="Times New Roman" w:cs="Times New Roman"/>
          <w:noProof/>
          <w:lang w:val="sk-SK"/>
        </w:rPr>
        <w:t>. decembra</w:t>
      </w:r>
      <w:r w:rsidRPr="00083739">
        <w:rPr>
          <w:rFonts w:ascii="Times New Roman" w:hAnsi="Times New Roman" w:cs="Times New Roman"/>
          <w:noProof/>
          <w:lang w:val="sk-SK"/>
        </w:rPr>
        <w:t xml:space="preserve"> 2025.</w:t>
      </w:r>
    </w:p>
    <w:p w14:paraId="4B6EAD58" w14:textId="7777777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Centrálna BI – Analýza údajov (ID opatrenia 16842)</w:t>
      </w:r>
    </w:p>
    <w:p w14:paraId="6FFCE667" w14:textId="0C3D4828"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 xml:space="preserve">Cieľom investície je umožniť verejnej správe maximalizovať hodnotu, ktorú získa zo svojich údajov, </w:t>
      </w:r>
      <w:r w:rsidRPr="00083739">
        <w:rPr>
          <w:rFonts w:cs="Times New Roman"/>
          <w:noProof/>
          <w:lang w:val="sk-SK"/>
        </w:rPr>
        <w:t>prostredníctvom zavedenia centrálnej obchodnej analytickej platformy. Platforma umožní agentúram verejnej správy získavať, integrovať</w:t>
      </w:r>
      <w:r w:rsidR="00083739" w:rsidRPr="00083739">
        <w:rPr>
          <w:rFonts w:cs="Times New Roman"/>
          <w:noProof/>
          <w:lang w:val="sk-SK"/>
        </w:rPr>
        <w:t xml:space="preserve"> a </w:t>
      </w:r>
      <w:r w:rsidRPr="00083739">
        <w:rPr>
          <w:rFonts w:cs="Times New Roman"/>
          <w:noProof/>
          <w:lang w:val="sk-SK"/>
        </w:rPr>
        <w:t>interpretovať údaje</w:t>
      </w:r>
      <w:r w:rsidR="00083739" w:rsidRPr="00083739">
        <w:rPr>
          <w:rFonts w:cs="Times New Roman"/>
          <w:noProof/>
          <w:lang w:val="sk-SK"/>
        </w:rPr>
        <w:t xml:space="preserve"> z </w:t>
      </w:r>
      <w:r w:rsidRPr="00083739">
        <w:rPr>
          <w:rFonts w:cs="Times New Roman"/>
          <w:noProof/>
          <w:lang w:val="sk-SK"/>
        </w:rPr>
        <w:t>akéhokoľvek zdroja</w:t>
      </w:r>
      <w:r w:rsidR="00083739" w:rsidRPr="00083739">
        <w:rPr>
          <w:rFonts w:cs="Times New Roman"/>
          <w:noProof/>
          <w:lang w:val="sk-SK"/>
        </w:rPr>
        <w:t xml:space="preserve"> a </w:t>
      </w:r>
      <w:r w:rsidRPr="00083739">
        <w:rPr>
          <w:rFonts w:cs="Times New Roman"/>
          <w:noProof/>
          <w:lang w:val="sk-SK"/>
        </w:rPr>
        <w:t>využívať ich na analýzu informácií, ktoré ovplyvňujú ich operácie</w:t>
      </w:r>
      <w:r w:rsidR="00083739" w:rsidRPr="00083739">
        <w:rPr>
          <w:rFonts w:cs="Times New Roman"/>
          <w:noProof/>
          <w:lang w:val="sk-SK"/>
        </w:rPr>
        <w:t xml:space="preserve"> a </w:t>
      </w:r>
      <w:r w:rsidRPr="00083739">
        <w:rPr>
          <w:rFonts w:cs="Times New Roman"/>
          <w:noProof/>
          <w:lang w:val="sk-SK"/>
        </w:rPr>
        <w:t xml:space="preserve">pracovné </w:t>
      </w:r>
      <w:r w:rsidRPr="00083739">
        <w:rPr>
          <w:rFonts w:cs="Times New Roman"/>
          <w:noProof/>
          <w:lang w:val="sk-SK"/>
        </w:rPr>
        <w:t xml:space="preserve">postupy, čím sa uľahčí rozhodovanie. To sa dosiahne a) identifikáciou kľúčových ukazovateľov výkonnosti b) vytvorením dátového slovníka; c) vytvorením rámca správy údajov; vytvorením vhodného architektonického plánu, architektonického prístupu, stavebných </w:t>
      </w:r>
      <w:r w:rsidRPr="00083739">
        <w:rPr>
          <w:rFonts w:cs="Times New Roman"/>
          <w:noProof/>
          <w:lang w:val="sk-SK"/>
        </w:rPr>
        <w:t>prvkov</w:t>
      </w:r>
      <w:r w:rsidR="00083739" w:rsidRPr="00083739">
        <w:rPr>
          <w:rFonts w:cs="Times New Roman"/>
          <w:noProof/>
          <w:lang w:val="sk-SK"/>
        </w:rPr>
        <w:t xml:space="preserve"> a </w:t>
      </w:r>
      <w:r w:rsidRPr="00083739">
        <w:rPr>
          <w:rFonts w:cs="Times New Roman"/>
          <w:noProof/>
          <w:lang w:val="sk-SK"/>
        </w:rPr>
        <w:t>integračných bodov e) konfiguráciou dátového skladu f) integráciou</w:t>
      </w:r>
      <w:r w:rsidR="00083739" w:rsidRPr="00083739">
        <w:rPr>
          <w:rFonts w:cs="Times New Roman"/>
          <w:noProof/>
          <w:lang w:val="sk-SK"/>
        </w:rPr>
        <w:t xml:space="preserve"> s </w:t>
      </w:r>
      <w:r w:rsidRPr="00083739">
        <w:rPr>
          <w:rFonts w:cs="Times New Roman"/>
          <w:noProof/>
          <w:lang w:val="sk-SK"/>
        </w:rPr>
        <w:t>informačným systémom back office g) vypracovaním požadovaných správ</w:t>
      </w:r>
      <w:r w:rsidR="00083739" w:rsidRPr="00083739">
        <w:rPr>
          <w:rFonts w:cs="Times New Roman"/>
          <w:noProof/>
          <w:lang w:val="sk-SK"/>
        </w:rPr>
        <w:t xml:space="preserve"> o </w:t>
      </w:r>
      <w:r w:rsidRPr="00083739">
        <w:rPr>
          <w:rFonts w:cs="Times New Roman"/>
          <w:noProof/>
          <w:lang w:val="sk-SK"/>
        </w:rPr>
        <w:t>podnikovej spravodajskej službe</w:t>
      </w:r>
      <w:r w:rsidR="00083739" w:rsidRPr="00083739">
        <w:rPr>
          <w:rFonts w:cs="Times New Roman"/>
          <w:noProof/>
          <w:lang w:val="sk-SK"/>
        </w:rPr>
        <w:t xml:space="preserve"> a </w:t>
      </w:r>
      <w:r w:rsidRPr="00083739">
        <w:rPr>
          <w:rFonts w:cs="Times New Roman"/>
          <w:noProof/>
          <w:lang w:val="sk-SK"/>
        </w:rPr>
        <w:t>analýzy h) technickou podporou. Realizácia investície sa ukončí do 31</w:t>
      </w:r>
      <w:r w:rsidR="00083739" w:rsidRPr="00083739">
        <w:rPr>
          <w:rFonts w:cs="Times New Roman"/>
          <w:noProof/>
          <w:lang w:val="sk-SK"/>
        </w:rPr>
        <w:t>. decembra</w:t>
      </w:r>
      <w:r w:rsidRPr="00083739">
        <w:rPr>
          <w:rFonts w:cs="Times New Roman"/>
          <w:noProof/>
          <w:lang w:val="sk-SK"/>
        </w:rPr>
        <w:t xml:space="preserve"> 2025.</w:t>
      </w:r>
    </w:p>
    <w:p w14:paraId="541FEAAA" w14:textId="7777777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Centrálny systém správy dokumentov (ID opatrenia 16738)</w:t>
      </w:r>
    </w:p>
    <w:p w14:paraId="677A4F4D" w14:textId="68488456" w:rsidR="002D49B0" w:rsidRPr="00083739" w:rsidRDefault="00BF4125">
      <w:pPr>
        <w:pStyle w:val="P68B1DB1-Normal5"/>
        <w:spacing w:before="120" w:after="120" w:line="240" w:lineRule="auto"/>
        <w:jc w:val="both"/>
        <w:rPr>
          <w:rFonts w:cs="Times New Roman"/>
          <w:noProof/>
          <w:lang w:val="sk-SK"/>
        </w:rPr>
      </w:pPr>
      <w:r w:rsidRPr="00083739">
        <w:rPr>
          <w:rFonts w:cs="Times New Roman"/>
          <w:noProof/>
          <w:lang w:val="sk-SK"/>
        </w:rPr>
        <w:t>Investícia pozostáva zo zavedenia centrálneho systému správy dokumentov, ktorý zachytáva, uchováva</w:t>
      </w:r>
      <w:r w:rsidR="00083739" w:rsidRPr="00083739">
        <w:rPr>
          <w:rFonts w:cs="Times New Roman"/>
          <w:noProof/>
          <w:lang w:val="sk-SK"/>
        </w:rPr>
        <w:t xml:space="preserve"> a </w:t>
      </w:r>
      <w:r w:rsidRPr="00083739">
        <w:rPr>
          <w:rFonts w:cs="Times New Roman"/>
          <w:noProof/>
          <w:lang w:val="sk-SK"/>
        </w:rPr>
        <w:t>získava papierové</w:t>
      </w:r>
      <w:r w:rsidR="00083739" w:rsidRPr="00083739">
        <w:rPr>
          <w:rFonts w:cs="Times New Roman"/>
          <w:noProof/>
          <w:lang w:val="sk-SK"/>
        </w:rPr>
        <w:t xml:space="preserve"> a </w:t>
      </w:r>
      <w:r w:rsidRPr="00083739">
        <w:rPr>
          <w:rFonts w:cs="Times New Roman"/>
          <w:noProof/>
          <w:lang w:val="sk-SK"/>
        </w:rPr>
        <w:t>elektronické dokumenty. Tento systém uľahčí interoperab</w:t>
      </w:r>
      <w:r w:rsidRPr="00083739">
        <w:rPr>
          <w:rFonts w:cs="Times New Roman"/>
          <w:noProof/>
          <w:lang w:val="sk-SK"/>
        </w:rPr>
        <w:t>ilitu medzi organizáciami verejného sektora</w:t>
      </w:r>
      <w:r w:rsidR="00083739" w:rsidRPr="00083739">
        <w:rPr>
          <w:rFonts w:cs="Times New Roman"/>
          <w:noProof/>
          <w:lang w:val="sk-SK"/>
        </w:rPr>
        <w:t xml:space="preserve"> a </w:t>
      </w:r>
      <w:r w:rsidRPr="00083739">
        <w:rPr>
          <w:rFonts w:cs="Times New Roman"/>
          <w:noProof/>
          <w:lang w:val="sk-SK"/>
        </w:rPr>
        <w:t>jeho cieľom je urýchliť spracovanie prípadov občanov</w:t>
      </w:r>
      <w:r w:rsidR="00083739" w:rsidRPr="00083739">
        <w:rPr>
          <w:rFonts w:cs="Times New Roman"/>
          <w:noProof/>
          <w:lang w:val="sk-SK"/>
        </w:rPr>
        <w:t xml:space="preserve"> a </w:t>
      </w:r>
      <w:r w:rsidRPr="00083739">
        <w:rPr>
          <w:rFonts w:cs="Times New Roman"/>
          <w:noProof/>
          <w:lang w:val="sk-SK"/>
        </w:rPr>
        <w:t>podnikov</w:t>
      </w:r>
      <w:r w:rsidR="00083739" w:rsidRPr="00083739">
        <w:rPr>
          <w:rFonts w:cs="Times New Roman"/>
          <w:noProof/>
          <w:lang w:val="sk-SK"/>
        </w:rPr>
        <w:t xml:space="preserve"> a </w:t>
      </w:r>
      <w:r w:rsidRPr="00083739">
        <w:rPr>
          <w:rFonts w:cs="Times New Roman"/>
          <w:noProof/>
          <w:lang w:val="sk-SK"/>
        </w:rPr>
        <w:t>žiadostí</w:t>
      </w:r>
      <w:r w:rsidR="00083739" w:rsidRPr="00083739">
        <w:rPr>
          <w:rFonts w:cs="Times New Roman"/>
          <w:noProof/>
          <w:lang w:val="sk-SK"/>
        </w:rPr>
        <w:t xml:space="preserve"> o </w:t>
      </w:r>
      <w:r w:rsidRPr="00083739">
        <w:rPr>
          <w:rFonts w:cs="Times New Roman"/>
          <w:noProof/>
          <w:lang w:val="sk-SK"/>
        </w:rPr>
        <w:t>služby. Investícia zahŕňa a) dodanie 20000 schválených digitálnych podpisov na diaľku; b) vývoj aplikácií pre interoperabilitu, vytvo</w:t>
      </w:r>
      <w:r w:rsidRPr="00083739">
        <w:rPr>
          <w:rFonts w:cs="Times New Roman"/>
          <w:noProof/>
          <w:lang w:val="sk-SK"/>
        </w:rPr>
        <w:t>renie jedinečného QR kódu alebo ID, ktoré sa majú začleniť do dokumentov; c) vývoj subsystémov na pokrytie potrieb vlády na podpisovanie dokumentov</w:t>
      </w:r>
      <w:r w:rsidR="00083739" w:rsidRPr="00083739">
        <w:rPr>
          <w:rFonts w:cs="Times New Roman"/>
          <w:noProof/>
          <w:lang w:val="sk-SK"/>
        </w:rPr>
        <w:t xml:space="preserve"> s </w:t>
      </w:r>
      <w:r w:rsidRPr="00083739">
        <w:rPr>
          <w:rFonts w:cs="Times New Roman"/>
          <w:noProof/>
          <w:lang w:val="sk-SK"/>
        </w:rPr>
        <w:t>digitálnymi podpismi; d) podporné služby (vrátane služieb na vypracovanie štúdií), odbornú prípravu</w:t>
      </w:r>
      <w:r w:rsidR="00083739" w:rsidRPr="00083739">
        <w:rPr>
          <w:rFonts w:cs="Times New Roman"/>
          <w:noProof/>
          <w:lang w:val="sk-SK"/>
        </w:rPr>
        <w:t xml:space="preserve"> a </w:t>
      </w:r>
      <w:r w:rsidRPr="00083739">
        <w:rPr>
          <w:rFonts w:cs="Times New Roman"/>
          <w:noProof/>
          <w:lang w:val="sk-SK"/>
        </w:rPr>
        <w:t>asis</w:t>
      </w:r>
      <w:r w:rsidRPr="00083739">
        <w:rPr>
          <w:rFonts w:cs="Times New Roman"/>
          <w:noProof/>
          <w:lang w:val="sk-SK"/>
        </w:rPr>
        <w:t>tenčné služby. Implementácia investície sa dokončí do 30</w:t>
      </w:r>
      <w:r w:rsidR="00083739" w:rsidRPr="00083739">
        <w:rPr>
          <w:rFonts w:cs="Times New Roman"/>
          <w:noProof/>
          <w:lang w:val="sk-SK"/>
        </w:rPr>
        <w:t>. júna</w:t>
      </w:r>
      <w:r w:rsidRPr="00083739">
        <w:rPr>
          <w:rFonts w:cs="Times New Roman"/>
          <w:noProof/>
          <w:lang w:val="sk-SK"/>
        </w:rPr>
        <w:t xml:space="preserve"> 2024.</w:t>
      </w:r>
    </w:p>
    <w:p w14:paraId="5A412B1E" w14:textId="77777777" w:rsidR="002D49B0" w:rsidRPr="00083739" w:rsidRDefault="002D49B0">
      <w:pPr>
        <w:spacing w:before="120" w:after="120" w:line="240" w:lineRule="auto"/>
        <w:ind w:left="709"/>
        <w:jc w:val="both"/>
        <w:rPr>
          <w:rFonts w:ascii="Times New Roman" w:hAnsi="Times New Roman" w:cs="Times New Roman"/>
          <w:noProof/>
          <w:sz w:val="24"/>
          <w:lang w:val="sk-SK"/>
        </w:rPr>
      </w:pPr>
    </w:p>
    <w:p w14:paraId="69281F2F" w14:textId="77777777" w:rsidR="002D49B0" w:rsidRPr="00083739" w:rsidRDefault="002D49B0">
      <w:pPr>
        <w:spacing w:before="120" w:after="120" w:line="240" w:lineRule="auto"/>
        <w:ind w:left="709"/>
        <w:jc w:val="both"/>
        <w:rPr>
          <w:rFonts w:ascii="Times New Roman" w:hAnsi="Times New Roman" w:cs="Times New Roman"/>
          <w:noProof/>
          <w:sz w:val="24"/>
          <w:lang w:val="sk-SK"/>
        </w:rPr>
        <w:sectPr w:rsidR="002D49B0" w:rsidRPr="00083739" w:rsidSect="00271D33">
          <w:headerReference w:type="even" r:id="rId109"/>
          <w:headerReference w:type="default" r:id="rId110"/>
          <w:footerReference w:type="even" r:id="rId111"/>
          <w:footerReference w:type="default" r:id="rId112"/>
          <w:headerReference w:type="first" r:id="rId113"/>
          <w:footerReference w:type="first" r:id="rId114"/>
          <w:pgSz w:w="11907" w:h="16839"/>
          <w:pgMar w:top="1134" w:right="1418" w:bottom="1134" w:left="1418" w:header="709" w:footer="327" w:gutter="0"/>
          <w:cols w:space="720"/>
          <w:docGrid w:linePitch="360"/>
        </w:sectPr>
      </w:pPr>
    </w:p>
    <w:p w14:paraId="43414F2D" w14:textId="3BFAAA58" w:rsidR="002D49B0" w:rsidRPr="00083739" w:rsidRDefault="00BF4125">
      <w:pPr>
        <w:spacing w:before="120" w:after="120" w:line="240" w:lineRule="auto"/>
        <w:ind w:left="709"/>
        <w:jc w:val="both"/>
        <w:rPr>
          <w:rFonts w:ascii="Times New Roman" w:hAnsi="Times New Roman" w:cs="Times New Roman"/>
          <w:b/>
          <w:bCs/>
          <w:noProof/>
          <w:sz w:val="24"/>
          <w:u w:val="single"/>
          <w:lang w:val="sk-SK"/>
        </w:rPr>
      </w:pPr>
      <w:r w:rsidRPr="00083739">
        <w:rPr>
          <w:rFonts w:ascii="Times New Roman" w:hAnsi="Times New Roman" w:cs="Times New Roman"/>
          <w:b/>
          <w:noProof/>
          <w:sz w:val="24"/>
          <w:u w:val="single"/>
          <w:lang w:val="sk-SK"/>
        </w:rPr>
        <w:t xml:space="preserve">F.2. </w:t>
      </w:r>
      <w:r w:rsidRPr="00083739">
        <w:rPr>
          <w:rFonts w:ascii="Times New Roman" w:hAnsi="Times New Roman" w:cs="Times New Roman"/>
          <w:noProof/>
          <w:lang w:val="sk-SK"/>
        </w:rPr>
        <w:t xml:space="preserve"> </w:t>
      </w:r>
      <w:r w:rsidRPr="00083739">
        <w:rPr>
          <w:rFonts w:ascii="Times New Roman" w:hAnsi="Times New Roman" w:cs="Times New Roman"/>
          <w:b/>
          <w:noProof/>
          <w:sz w:val="24"/>
          <w:u w:val="single"/>
          <w:lang w:val="sk-SK"/>
        </w:rPr>
        <w:t>Míľniky, ciele, ukazovatele</w:t>
      </w:r>
      <w:r w:rsidR="00083739" w:rsidRPr="00083739">
        <w:rPr>
          <w:rFonts w:ascii="Times New Roman" w:hAnsi="Times New Roman" w:cs="Times New Roman"/>
          <w:b/>
          <w:noProof/>
          <w:sz w:val="24"/>
          <w:u w:val="single"/>
          <w:lang w:val="sk-SK"/>
        </w:rPr>
        <w:t xml:space="preserve"> a </w:t>
      </w:r>
      <w:r w:rsidRPr="00083739">
        <w:rPr>
          <w:rFonts w:ascii="Times New Roman" w:hAnsi="Times New Roman" w:cs="Times New Roman"/>
          <w:b/>
          <w:noProof/>
          <w:sz w:val="24"/>
          <w:u w:val="single"/>
          <w:lang w:val="sk-SK"/>
        </w:rPr>
        <w:t>harmonogram monitorovania</w:t>
      </w:r>
      <w:r w:rsidR="00083739" w:rsidRPr="00083739">
        <w:rPr>
          <w:rFonts w:ascii="Times New Roman" w:hAnsi="Times New Roman" w:cs="Times New Roman"/>
          <w:b/>
          <w:noProof/>
          <w:sz w:val="24"/>
          <w:u w:val="single"/>
          <w:lang w:val="sk-SK"/>
        </w:rPr>
        <w:t xml:space="preserve"> a </w:t>
      </w:r>
      <w:r w:rsidRPr="00083739">
        <w:rPr>
          <w:rFonts w:ascii="Times New Roman" w:hAnsi="Times New Roman" w:cs="Times New Roman"/>
          <w:b/>
          <w:noProof/>
          <w:sz w:val="24"/>
          <w:u w:val="single"/>
          <w:lang w:val="sk-SK"/>
        </w:rPr>
        <w:t>realizácie pre nenávratnú finančnú podporu</w:t>
      </w:r>
    </w:p>
    <w:p w14:paraId="3B8749EA" w14:textId="77777777" w:rsidR="002D49B0" w:rsidRPr="00083739" w:rsidRDefault="002D49B0">
      <w:pPr>
        <w:keepNext/>
        <w:keepLines/>
        <w:spacing w:before="40" w:after="0" w:line="240" w:lineRule="auto"/>
        <w:jc w:val="both"/>
        <w:outlineLvl w:val="4"/>
        <w:rPr>
          <w:rFonts w:ascii="Times New Roman" w:eastAsia="Times New Roman" w:hAnsi="Times New Roman" w:cs="Times New Roman"/>
          <w:noProof/>
          <w:color w:val="365F91"/>
          <w:sz w:val="24"/>
          <w:lang w:val="sk-SK"/>
        </w:rPr>
      </w:pPr>
    </w:p>
    <w:p w14:paraId="502B644F" w14:textId="4B3AC483" w:rsidR="002D49B0" w:rsidRPr="00083739" w:rsidRDefault="00BF4125">
      <w:pPr>
        <w:pStyle w:val="P68B1DB1-Normal6"/>
        <w:keepNext/>
        <w:keepLines/>
        <w:spacing w:before="40" w:after="0" w:line="240" w:lineRule="auto"/>
        <w:jc w:val="both"/>
        <w:outlineLvl w:val="4"/>
        <w:rPr>
          <w:rFonts w:ascii="Times New Roman" w:eastAsia="Times New Roman" w:hAnsi="Times New Roman" w:cs="Times New Roman"/>
          <w:noProof/>
          <w:lang w:val="sk-SK"/>
        </w:rPr>
      </w:pPr>
      <w:r w:rsidRPr="00083739">
        <w:rPr>
          <w:rFonts w:ascii="Times New Roman" w:hAnsi="Times New Roman" w:cs="Times New Roman"/>
          <w:noProof/>
          <w:lang w:val="sk-SK"/>
        </w:rPr>
        <w:t xml:space="preserve">Najvyššia </w:t>
      </w:r>
      <w:r w:rsidRPr="00083739">
        <w:rPr>
          <w:rFonts w:ascii="Times New Roman" w:hAnsi="Times New Roman" w:cs="Times New Roman"/>
          <w:noProof/>
          <w:lang w:val="sk-SK"/>
        </w:rPr>
        <w:t>investícia 3: Digitalizácia archívov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súvisiace služby</w:t>
      </w:r>
    </w:p>
    <w:tbl>
      <w:tblPr>
        <w:tblW w:w="15588" w:type="dxa"/>
        <w:jc w:val="center"/>
        <w:tblLayout w:type="fixed"/>
        <w:tblLook w:val="04A0" w:firstRow="1" w:lastRow="0" w:firstColumn="1" w:lastColumn="0" w:noHBand="0" w:noVBand="1"/>
      </w:tblPr>
      <w:tblGrid>
        <w:gridCol w:w="562"/>
        <w:gridCol w:w="1985"/>
        <w:gridCol w:w="992"/>
        <w:gridCol w:w="1701"/>
        <w:gridCol w:w="1715"/>
        <w:gridCol w:w="1200"/>
        <w:gridCol w:w="1080"/>
        <w:gridCol w:w="960"/>
        <w:gridCol w:w="960"/>
        <w:gridCol w:w="840"/>
        <w:gridCol w:w="3593"/>
      </w:tblGrid>
      <w:tr w:rsidR="002D49B0" w:rsidRPr="00083739" w14:paraId="0D96C86C" w14:textId="77777777">
        <w:trPr>
          <w:trHeight w:val="927"/>
          <w:tblHeader/>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BB3FD6C" w14:textId="0638099C"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Nasledujúce. Č.</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30DE017" w14:textId="77777777" w:rsidR="002D49B0" w:rsidRPr="00083739" w:rsidRDefault="00BF4125">
            <w:pPr>
              <w:pStyle w:val="P68B1DB1-Normal7"/>
              <w:spacing w:after="0" w:line="240" w:lineRule="auto"/>
              <w:ind w:left="-561" w:firstLine="561"/>
              <w:jc w:val="right"/>
              <w:rPr>
                <w:rFonts w:eastAsia="Times New Roman" w:cs="Times New Roman"/>
                <w:bCs/>
                <w:noProof/>
                <w:szCs w:val="18"/>
                <w:lang w:val="sk-SK"/>
              </w:rPr>
            </w:pPr>
            <w:r w:rsidRPr="00083739">
              <w:rPr>
                <w:rFonts w:cs="Times New Roman"/>
                <w:noProof/>
                <w:lang w:val="sk-SK"/>
              </w:rPr>
              <w:t>Súvisiace opatrenie (reforma alebo investícia)</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65AB39D"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Míľnik/cieľ</w:t>
            </w:r>
          </w:p>
        </w:tc>
        <w:tc>
          <w:tcPr>
            <w:tcW w:w="1701" w:type="dxa"/>
            <w:vMerge w:val="restart"/>
            <w:tcBorders>
              <w:top w:val="single" w:sz="4" w:space="0" w:color="auto"/>
              <w:left w:val="nil"/>
              <w:bottom w:val="single" w:sz="4" w:space="0" w:color="auto"/>
              <w:right w:val="single" w:sz="4" w:space="0" w:color="auto"/>
            </w:tcBorders>
            <w:shd w:val="clear" w:color="auto" w:fill="BDD7EE"/>
            <w:vAlign w:val="center"/>
            <w:hideMark/>
          </w:tcPr>
          <w:p w14:paraId="50A95F08"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Názov</w:t>
            </w:r>
          </w:p>
        </w:tc>
        <w:tc>
          <w:tcPr>
            <w:tcW w:w="171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CAF9D50"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Kvalitatívne ukazovatele (pre míľniky)</w:t>
            </w:r>
          </w:p>
        </w:tc>
        <w:tc>
          <w:tcPr>
            <w:tcW w:w="3240" w:type="dxa"/>
            <w:gridSpan w:val="3"/>
            <w:tcBorders>
              <w:top w:val="single" w:sz="4" w:space="0" w:color="auto"/>
              <w:left w:val="nil"/>
              <w:bottom w:val="single" w:sz="4" w:space="0" w:color="auto"/>
              <w:right w:val="single" w:sz="4" w:space="0" w:color="auto"/>
            </w:tcBorders>
            <w:shd w:val="clear" w:color="auto" w:fill="BDD7EE"/>
            <w:vAlign w:val="center"/>
            <w:hideMark/>
          </w:tcPr>
          <w:p w14:paraId="4832ACA7"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Kvantitatívne ukazovatele (pre ciele)</w:t>
            </w:r>
          </w:p>
        </w:tc>
        <w:tc>
          <w:tcPr>
            <w:tcW w:w="1800" w:type="dxa"/>
            <w:gridSpan w:val="2"/>
            <w:tcBorders>
              <w:top w:val="single" w:sz="4" w:space="0" w:color="auto"/>
              <w:left w:val="nil"/>
              <w:bottom w:val="single" w:sz="4" w:space="0" w:color="auto"/>
              <w:right w:val="single" w:sz="4" w:space="0" w:color="auto"/>
            </w:tcBorders>
            <w:shd w:val="clear" w:color="auto" w:fill="BDD7EE"/>
            <w:vAlign w:val="center"/>
            <w:hideMark/>
          </w:tcPr>
          <w:p w14:paraId="5B164B0C"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Orientačný harmonogram dokončenia </w:t>
            </w:r>
          </w:p>
        </w:tc>
        <w:tc>
          <w:tcPr>
            <w:tcW w:w="359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149F709" w14:textId="780100C2"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Opis ka</w:t>
            </w:r>
            <w:r w:rsidRPr="00083739">
              <w:rPr>
                <w:rFonts w:cs="Times New Roman"/>
                <w:noProof/>
                <w:lang w:val="sk-SK"/>
              </w:rPr>
              <w:t>ždého míľnika</w:t>
            </w:r>
            <w:r w:rsidR="00083739" w:rsidRPr="00083739">
              <w:rPr>
                <w:rFonts w:cs="Times New Roman"/>
                <w:noProof/>
                <w:lang w:val="sk-SK"/>
              </w:rPr>
              <w:t xml:space="preserve"> a </w:t>
            </w:r>
            <w:r w:rsidRPr="00083739">
              <w:rPr>
                <w:rFonts w:cs="Times New Roman"/>
                <w:noProof/>
                <w:lang w:val="sk-SK"/>
              </w:rPr>
              <w:t>cieľa</w:t>
            </w:r>
          </w:p>
        </w:tc>
      </w:tr>
      <w:tr w:rsidR="002D49B0" w:rsidRPr="00083739" w14:paraId="778862F0" w14:textId="77777777">
        <w:trPr>
          <w:trHeight w:val="512"/>
          <w:tblHeader/>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6C939AE5"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75AA295A"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C016858"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D0CBB2D"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715" w:type="dxa"/>
            <w:vMerge/>
            <w:tcBorders>
              <w:top w:val="single" w:sz="4" w:space="0" w:color="auto"/>
              <w:left w:val="single" w:sz="4" w:space="0" w:color="auto"/>
              <w:bottom w:val="single" w:sz="4" w:space="0" w:color="auto"/>
              <w:right w:val="single" w:sz="4" w:space="0" w:color="auto"/>
            </w:tcBorders>
            <w:vAlign w:val="center"/>
            <w:hideMark/>
          </w:tcPr>
          <w:p w14:paraId="6C75AAED"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200"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792B306B"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Merná jednotka</w:t>
            </w:r>
          </w:p>
        </w:tc>
        <w:tc>
          <w:tcPr>
            <w:tcW w:w="1080"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08ED6F7C"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Základná </w:t>
            </w:r>
          </w:p>
        </w:tc>
        <w:tc>
          <w:tcPr>
            <w:tcW w:w="960"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17DAB035"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Cieľ </w:t>
            </w:r>
          </w:p>
        </w:tc>
        <w:tc>
          <w:tcPr>
            <w:tcW w:w="960"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3BA691A8"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Štvrtina</w:t>
            </w:r>
          </w:p>
        </w:tc>
        <w:tc>
          <w:tcPr>
            <w:tcW w:w="840"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002EC0E9"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Rok</w:t>
            </w:r>
          </w:p>
        </w:tc>
        <w:tc>
          <w:tcPr>
            <w:tcW w:w="3593" w:type="dxa"/>
            <w:vMerge/>
            <w:vAlign w:val="center"/>
            <w:hideMark/>
          </w:tcPr>
          <w:p w14:paraId="1CAB6D2F"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r>
      <w:tr w:rsidR="002D49B0" w:rsidRPr="00083739" w14:paraId="552AB35E" w14:textId="77777777">
        <w:trPr>
          <w:trHeight w:val="309"/>
          <w:jc w:val="center"/>
        </w:trPr>
        <w:tc>
          <w:tcPr>
            <w:tcW w:w="562" w:type="dxa"/>
            <w:tcBorders>
              <w:top w:val="single" w:sz="4" w:space="0" w:color="auto"/>
              <w:left w:val="single" w:sz="4" w:space="0" w:color="auto"/>
              <w:bottom w:val="single" w:sz="4" w:space="0" w:color="auto"/>
              <w:right w:val="single" w:sz="4" w:space="0" w:color="auto"/>
            </w:tcBorders>
            <w:shd w:val="clear" w:color="auto" w:fill="C6EFCE"/>
            <w:noWrap/>
          </w:tcPr>
          <w:p w14:paraId="464888A0" w14:textId="77777777"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93</w:t>
            </w:r>
          </w:p>
          <w:p w14:paraId="67AE2A47" w14:textId="77777777" w:rsidR="002D49B0" w:rsidRPr="00083739" w:rsidRDefault="002D49B0">
            <w:pPr>
              <w:rPr>
                <w:rFonts w:ascii="Times New Roman" w:eastAsia="Times New Roman" w:hAnsi="Times New Roman" w:cs="Times New Roman"/>
                <w:noProof/>
                <w:sz w:val="18"/>
                <w:szCs w:val="18"/>
                <w:lang w:val="sk-SK"/>
              </w:rPr>
            </w:pPr>
          </w:p>
          <w:p w14:paraId="1F98E2ED" w14:textId="77777777" w:rsidR="002D49B0" w:rsidRPr="00083739" w:rsidRDefault="002D49B0">
            <w:pPr>
              <w:rPr>
                <w:rFonts w:ascii="Times New Roman" w:eastAsia="Times New Roman" w:hAnsi="Times New Roman" w:cs="Times New Roman"/>
                <w:noProof/>
                <w:sz w:val="18"/>
                <w:szCs w:val="18"/>
                <w:lang w:val="sk-SK"/>
              </w:rPr>
            </w:pPr>
          </w:p>
          <w:p w14:paraId="47465E9C" w14:textId="77777777" w:rsidR="002D49B0" w:rsidRPr="00083739" w:rsidRDefault="002D49B0">
            <w:pPr>
              <w:rPr>
                <w:rFonts w:ascii="Times New Roman" w:eastAsia="Times New Roman" w:hAnsi="Times New Roman" w:cs="Times New Roman"/>
                <w:noProof/>
                <w:sz w:val="18"/>
                <w:szCs w:val="18"/>
                <w:lang w:val="sk-SK"/>
              </w:rPr>
            </w:pPr>
          </w:p>
          <w:p w14:paraId="71A86F92" w14:textId="77777777" w:rsidR="002D49B0" w:rsidRPr="00083739" w:rsidRDefault="002D49B0">
            <w:pPr>
              <w:rPr>
                <w:rFonts w:ascii="Times New Roman" w:eastAsia="Times New Roman" w:hAnsi="Times New Roman" w:cs="Times New Roman"/>
                <w:noProof/>
                <w:sz w:val="18"/>
                <w:szCs w:val="18"/>
                <w:lang w:val="sk-SK"/>
              </w:rPr>
            </w:pPr>
          </w:p>
          <w:p w14:paraId="65CD1944" w14:textId="77777777" w:rsidR="002D49B0" w:rsidRPr="00083739" w:rsidRDefault="002D49B0">
            <w:pPr>
              <w:rPr>
                <w:rFonts w:ascii="Times New Roman" w:eastAsia="Times New Roman" w:hAnsi="Times New Roman" w:cs="Times New Roman"/>
                <w:noProof/>
                <w:sz w:val="18"/>
                <w:szCs w:val="18"/>
                <w:lang w:val="sk-SK"/>
              </w:rPr>
            </w:pPr>
          </w:p>
          <w:p w14:paraId="084F2ED5" w14:textId="77777777" w:rsidR="002D49B0" w:rsidRPr="00083739" w:rsidRDefault="002D49B0">
            <w:pPr>
              <w:rPr>
                <w:rFonts w:ascii="Times New Roman" w:eastAsia="Times New Roman" w:hAnsi="Times New Roman" w:cs="Times New Roman"/>
                <w:noProof/>
                <w:sz w:val="18"/>
                <w:szCs w:val="18"/>
                <w:lang w:val="sk-SK"/>
              </w:rPr>
            </w:pPr>
          </w:p>
          <w:p w14:paraId="60C44EC9" w14:textId="77777777" w:rsidR="002D49B0" w:rsidRPr="00083739" w:rsidRDefault="002D49B0">
            <w:pPr>
              <w:rPr>
                <w:rFonts w:ascii="Times New Roman" w:eastAsia="Times New Roman" w:hAnsi="Times New Roman" w:cs="Times New Roman"/>
                <w:noProof/>
                <w:sz w:val="18"/>
                <w:szCs w:val="18"/>
                <w:lang w:val="sk-SK"/>
              </w:rPr>
            </w:pPr>
          </w:p>
          <w:p w14:paraId="660F51B4" w14:textId="77777777" w:rsidR="002D49B0" w:rsidRPr="00083739" w:rsidRDefault="002D49B0">
            <w:pPr>
              <w:rPr>
                <w:rFonts w:ascii="Times New Roman" w:eastAsia="Times New Roman" w:hAnsi="Times New Roman" w:cs="Times New Roman"/>
                <w:noProof/>
                <w:sz w:val="18"/>
                <w:szCs w:val="18"/>
                <w:lang w:val="sk-SK"/>
              </w:rPr>
            </w:pPr>
          </w:p>
          <w:p w14:paraId="74BE5AAD" w14:textId="77777777" w:rsidR="002D49B0" w:rsidRPr="00083739" w:rsidRDefault="002D49B0">
            <w:pPr>
              <w:rPr>
                <w:rFonts w:ascii="Times New Roman" w:eastAsia="Times New Roman" w:hAnsi="Times New Roman" w:cs="Times New Roman"/>
                <w:noProof/>
                <w:sz w:val="18"/>
                <w:szCs w:val="18"/>
                <w:lang w:val="sk-SK"/>
              </w:rPr>
            </w:pPr>
          </w:p>
          <w:p w14:paraId="45A99B74" w14:textId="77777777" w:rsidR="002D49B0" w:rsidRPr="00083739" w:rsidRDefault="002D49B0">
            <w:pPr>
              <w:rPr>
                <w:rFonts w:ascii="Times New Roman" w:eastAsia="Times New Roman" w:hAnsi="Times New Roman" w:cs="Times New Roman"/>
                <w:noProof/>
                <w:sz w:val="18"/>
                <w:szCs w:val="18"/>
                <w:lang w:val="sk-SK"/>
              </w:rPr>
            </w:pPr>
          </w:p>
          <w:p w14:paraId="16BD8DAE" w14:textId="77777777" w:rsidR="002D49B0" w:rsidRPr="00083739" w:rsidRDefault="002D49B0">
            <w:pPr>
              <w:rPr>
                <w:rFonts w:ascii="Times New Roman" w:eastAsia="Times New Roman" w:hAnsi="Times New Roman" w:cs="Times New Roman"/>
                <w:noProof/>
                <w:sz w:val="18"/>
                <w:szCs w:val="18"/>
                <w:lang w:val="sk-SK"/>
              </w:rPr>
            </w:pPr>
          </w:p>
          <w:p w14:paraId="00F10C34" w14:textId="77777777" w:rsidR="002D49B0" w:rsidRPr="00083739" w:rsidRDefault="002D49B0">
            <w:pPr>
              <w:rPr>
                <w:rFonts w:ascii="Times New Roman" w:eastAsia="Times New Roman" w:hAnsi="Times New Roman" w:cs="Times New Roman"/>
                <w:noProof/>
                <w:sz w:val="18"/>
                <w:szCs w:val="18"/>
                <w:lang w:val="sk-SK"/>
              </w:rPr>
            </w:pPr>
          </w:p>
          <w:p w14:paraId="3A6DDF03" w14:textId="77777777" w:rsidR="002D49B0" w:rsidRPr="00083739" w:rsidRDefault="002D49B0">
            <w:pPr>
              <w:rPr>
                <w:rFonts w:ascii="Times New Roman" w:eastAsia="Times New Roman" w:hAnsi="Times New Roman" w:cs="Times New Roman"/>
                <w:noProof/>
                <w:sz w:val="18"/>
                <w:szCs w:val="18"/>
                <w:lang w:val="sk-SK"/>
              </w:rPr>
            </w:pPr>
          </w:p>
          <w:p w14:paraId="241151CE" w14:textId="77777777" w:rsidR="002D49B0" w:rsidRPr="00083739" w:rsidRDefault="002D49B0">
            <w:pPr>
              <w:rPr>
                <w:rFonts w:ascii="Times New Roman" w:eastAsia="Times New Roman" w:hAnsi="Times New Roman" w:cs="Times New Roman"/>
                <w:noProof/>
                <w:sz w:val="18"/>
                <w:szCs w:val="18"/>
                <w:lang w:val="sk-SK"/>
              </w:rPr>
            </w:pPr>
          </w:p>
          <w:p w14:paraId="477C175D" w14:textId="77777777" w:rsidR="002D49B0" w:rsidRPr="00083739" w:rsidRDefault="002D49B0">
            <w:pPr>
              <w:rPr>
                <w:rFonts w:ascii="Times New Roman" w:eastAsia="Times New Roman" w:hAnsi="Times New Roman" w:cs="Times New Roman"/>
                <w:noProof/>
                <w:sz w:val="18"/>
                <w:szCs w:val="18"/>
                <w:lang w:val="sk-SK"/>
              </w:rPr>
            </w:pPr>
          </w:p>
          <w:p w14:paraId="7E992838" w14:textId="77777777" w:rsidR="002D49B0" w:rsidRPr="00083739" w:rsidRDefault="002D49B0">
            <w:pPr>
              <w:rPr>
                <w:rFonts w:ascii="Times New Roman" w:eastAsia="Times New Roman" w:hAnsi="Times New Roman" w:cs="Times New Roman"/>
                <w:noProof/>
                <w:sz w:val="18"/>
                <w:szCs w:val="18"/>
                <w:lang w:val="sk-SK"/>
              </w:rPr>
            </w:pPr>
          </w:p>
          <w:p w14:paraId="54A8D997" w14:textId="77777777" w:rsidR="002D49B0" w:rsidRPr="00083739" w:rsidRDefault="002D49B0">
            <w:pPr>
              <w:rPr>
                <w:rFonts w:ascii="Times New Roman" w:eastAsia="Times New Roman" w:hAnsi="Times New Roman" w:cs="Times New Roman"/>
                <w:noProof/>
                <w:sz w:val="18"/>
                <w:szCs w:val="18"/>
                <w:lang w:val="sk-SK"/>
              </w:rPr>
            </w:pPr>
          </w:p>
        </w:tc>
        <w:tc>
          <w:tcPr>
            <w:tcW w:w="1985" w:type="dxa"/>
            <w:tcBorders>
              <w:top w:val="single" w:sz="4" w:space="0" w:color="auto"/>
              <w:left w:val="nil"/>
              <w:bottom w:val="single" w:sz="4" w:space="0" w:color="auto"/>
              <w:right w:val="single" w:sz="4" w:space="0" w:color="auto"/>
            </w:tcBorders>
            <w:shd w:val="clear" w:color="auto" w:fill="C6EFCE"/>
            <w:noWrap/>
          </w:tcPr>
          <w:p w14:paraId="6CB04966" w14:textId="2E71488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6 – 2.2. Modernizácia – 16778_Digitizácia archívov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súvisiacich služieb</w:t>
            </w:r>
          </w:p>
        </w:tc>
        <w:tc>
          <w:tcPr>
            <w:tcW w:w="992" w:type="dxa"/>
            <w:tcBorders>
              <w:top w:val="single" w:sz="4" w:space="0" w:color="auto"/>
              <w:left w:val="nil"/>
              <w:bottom w:val="single" w:sz="4" w:space="0" w:color="auto"/>
              <w:right w:val="single" w:sz="4" w:space="0" w:color="auto"/>
            </w:tcBorders>
            <w:shd w:val="clear" w:color="auto" w:fill="C6EFCE"/>
            <w:noWrap/>
          </w:tcPr>
          <w:p w14:paraId="41FCBC3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701" w:type="dxa"/>
            <w:tcBorders>
              <w:top w:val="single" w:sz="4" w:space="0" w:color="auto"/>
              <w:left w:val="nil"/>
              <w:bottom w:val="single" w:sz="4" w:space="0" w:color="auto"/>
              <w:right w:val="single" w:sz="4" w:space="0" w:color="auto"/>
            </w:tcBorders>
            <w:shd w:val="clear" w:color="auto" w:fill="C6EFCE"/>
            <w:noWrap/>
          </w:tcPr>
          <w:p w14:paraId="17CCCAF8" w14:textId="77777777" w:rsidR="002D49B0" w:rsidRPr="00083739" w:rsidRDefault="00BF4125">
            <w:pPr>
              <w:pStyle w:val="P68B1DB1-Normal9"/>
              <w:spacing w:after="0" w:line="240" w:lineRule="auto"/>
              <w:rPr>
                <w:rFonts w:ascii="Times New Roman" w:eastAsia="Times New Roman" w:hAnsi="Times New Roman" w:cs="Times New Roman"/>
                <w:iCs/>
                <w:noProof/>
                <w:szCs w:val="18"/>
                <w:lang w:val="sk-SK"/>
              </w:rPr>
            </w:pPr>
            <w:r w:rsidRPr="00083739">
              <w:rPr>
                <w:rFonts w:ascii="Times New Roman" w:hAnsi="Times New Roman" w:cs="Times New Roman"/>
                <w:noProof/>
                <w:lang w:val="sk-SK"/>
              </w:rPr>
              <w:t>Zadanie zákazky na digitalizáciu archívov</w:t>
            </w:r>
          </w:p>
        </w:tc>
        <w:tc>
          <w:tcPr>
            <w:tcW w:w="1715" w:type="dxa"/>
            <w:tcBorders>
              <w:top w:val="single" w:sz="4" w:space="0" w:color="auto"/>
              <w:left w:val="nil"/>
              <w:bottom w:val="single" w:sz="4" w:space="0" w:color="auto"/>
              <w:right w:val="single" w:sz="4" w:space="0" w:color="auto"/>
            </w:tcBorders>
            <w:shd w:val="clear" w:color="auto" w:fill="C6EFCE"/>
            <w:noWrap/>
          </w:tcPr>
          <w:p w14:paraId="269348CA" w14:textId="3BCA8264"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Oznámenie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 xml:space="preserve">zadaní zákazky (zákaziek), ktorá sa vzťahuje na všetkých 9 čiastkových projektov projektu digitalizácie archívov </w:t>
            </w:r>
          </w:p>
        </w:tc>
        <w:tc>
          <w:tcPr>
            <w:tcW w:w="1200" w:type="dxa"/>
            <w:tcBorders>
              <w:top w:val="single" w:sz="4" w:space="0" w:color="auto"/>
              <w:left w:val="nil"/>
              <w:bottom w:val="single" w:sz="4" w:space="0" w:color="auto"/>
              <w:right w:val="single" w:sz="4" w:space="0" w:color="auto"/>
            </w:tcBorders>
            <w:shd w:val="clear" w:color="auto" w:fill="C6EFCE"/>
            <w:noWrap/>
          </w:tcPr>
          <w:p w14:paraId="7B5C25CD"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80" w:type="dxa"/>
            <w:tcBorders>
              <w:top w:val="single" w:sz="4" w:space="0" w:color="auto"/>
              <w:left w:val="nil"/>
              <w:bottom w:val="single" w:sz="4" w:space="0" w:color="auto"/>
              <w:right w:val="single" w:sz="4" w:space="0" w:color="auto"/>
            </w:tcBorders>
            <w:shd w:val="clear" w:color="auto" w:fill="C6EFCE"/>
            <w:noWrap/>
          </w:tcPr>
          <w:p w14:paraId="19232110"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60" w:type="dxa"/>
            <w:tcBorders>
              <w:top w:val="single" w:sz="4" w:space="0" w:color="auto"/>
              <w:left w:val="nil"/>
              <w:bottom w:val="single" w:sz="4" w:space="0" w:color="auto"/>
              <w:right w:val="single" w:sz="4" w:space="0" w:color="auto"/>
            </w:tcBorders>
            <w:shd w:val="clear" w:color="auto" w:fill="C6EFCE"/>
            <w:noWrap/>
          </w:tcPr>
          <w:p w14:paraId="73B81264"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60" w:type="dxa"/>
            <w:tcBorders>
              <w:top w:val="single" w:sz="4" w:space="0" w:color="auto"/>
              <w:left w:val="nil"/>
              <w:bottom w:val="single" w:sz="4" w:space="0" w:color="auto"/>
              <w:right w:val="single" w:sz="4" w:space="0" w:color="auto"/>
            </w:tcBorders>
            <w:shd w:val="clear" w:color="auto" w:fill="C6EFCE"/>
            <w:noWrap/>
          </w:tcPr>
          <w:p w14:paraId="77A66D4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840" w:type="dxa"/>
            <w:tcBorders>
              <w:top w:val="single" w:sz="4" w:space="0" w:color="auto"/>
              <w:left w:val="nil"/>
              <w:bottom w:val="single" w:sz="4" w:space="0" w:color="auto"/>
              <w:right w:val="single" w:sz="4" w:space="0" w:color="auto"/>
            </w:tcBorders>
            <w:shd w:val="clear" w:color="auto" w:fill="C6EFCE"/>
            <w:noWrap/>
          </w:tcPr>
          <w:p w14:paraId="46BB2CD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2022</w:t>
            </w:r>
          </w:p>
        </w:tc>
        <w:tc>
          <w:tcPr>
            <w:tcW w:w="3593" w:type="dxa"/>
            <w:tcBorders>
              <w:top w:val="single" w:sz="4" w:space="0" w:color="auto"/>
              <w:left w:val="nil"/>
              <w:bottom w:val="single" w:sz="4" w:space="0" w:color="auto"/>
              <w:right w:val="single" w:sz="4" w:space="0" w:color="auto"/>
            </w:tcBorders>
            <w:shd w:val="clear" w:color="auto" w:fill="C6EFCE"/>
            <w:noWrap/>
          </w:tcPr>
          <w:p w14:paraId="6C4293AE" w14:textId="2ED2F5FD"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Zadanie zákazky (zákaziek) na pokrytie každého</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nasledujúcich 9 čiastkových projektov vrátane všetkých ich zložiek</w:t>
            </w:r>
            <w:r w:rsidR="00083739" w:rsidRPr="00083739">
              <w:rPr>
                <w:rFonts w:ascii="Times New Roman" w:hAnsi="Times New Roman" w:cs="Times New Roman"/>
                <w:noProof/>
                <w:lang w:val="sk-SK"/>
              </w:rPr>
              <w:t>:</w:t>
            </w:r>
          </w:p>
          <w:p w14:paraId="0CBA3B94" w14:textId="29C7ACF2" w:rsidR="002D49B0" w:rsidRPr="00083739" w:rsidRDefault="00BF4125">
            <w:pPr>
              <w:pStyle w:val="P68B1DB1-Normal9"/>
              <w:numPr>
                <w:ilvl w:val="0"/>
                <w:numId w:val="54"/>
              </w:numPr>
              <w:spacing w:before="120" w:after="160" w:line="259" w:lineRule="auto"/>
              <w:ind w:left="220" w:hanging="169"/>
              <w:contextualSpacing/>
              <w:jc w:val="both"/>
              <w:rPr>
                <w:rFonts w:ascii="Times New Roman" w:eastAsia="Times New Roman" w:hAnsi="Times New Roman" w:cs="Times New Roman"/>
                <w:noProof/>
                <w:szCs w:val="18"/>
                <w:lang w:val="sk-SK"/>
              </w:rPr>
            </w:pPr>
            <w:r w:rsidRPr="00083739">
              <w:rPr>
                <w:rFonts w:ascii="Times New Roman" w:hAnsi="Times New Roman" w:cs="Times New Roman"/>
                <w:noProof/>
                <w:lang w:val="sk-SK"/>
              </w:rPr>
              <w:t>Čiastkový projekt 1: Digitalizácia archívov justičného systému</w:t>
            </w:r>
          </w:p>
          <w:p w14:paraId="5F8C62AC" w14:textId="77777777" w:rsidR="002D49B0" w:rsidRPr="00083739" w:rsidRDefault="00BF4125">
            <w:pPr>
              <w:pStyle w:val="P68B1DB1-Normal9"/>
              <w:numPr>
                <w:ilvl w:val="0"/>
                <w:numId w:val="54"/>
              </w:numPr>
              <w:spacing w:before="120" w:after="0" w:line="259" w:lineRule="auto"/>
              <w:ind w:left="220" w:hanging="169"/>
              <w:contextualSpacing/>
              <w:jc w:val="both"/>
              <w:rPr>
                <w:rFonts w:ascii="Times New Roman" w:eastAsia="Times New Roman" w:hAnsi="Times New Roman" w:cs="Times New Roman"/>
                <w:noProof/>
                <w:szCs w:val="18"/>
                <w:lang w:val="sk-SK"/>
              </w:rPr>
            </w:pPr>
            <w:r w:rsidRPr="00083739">
              <w:rPr>
                <w:rFonts w:ascii="Times New Roman" w:hAnsi="Times New Roman" w:cs="Times New Roman"/>
                <w:noProof/>
                <w:lang w:val="sk-SK"/>
              </w:rPr>
              <w:t>Čiastkový projekt 2: Digitalizácia archívov systému verejného zdravia</w:t>
            </w:r>
          </w:p>
          <w:p w14:paraId="27B24C62" w14:textId="77777777" w:rsidR="002D49B0" w:rsidRPr="00083739" w:rsidRDefault="00BF4125">
            <w:pPr>
              <w:pStyle w:val="P68B1DB1-Normal9"/>
              <w:numPr>
                <w:ilvl w:val="0"/>
                <w:numId w:val="54"/>
              </w:numPr>
              <w:spacing w:before="120" w:after="0" w:line="259" w:lineRule="auto"/>
              <w:ind w:left="220" w:hanging="169"/>
              <w:contextualSpacing/>
              <w:jc w:val="both"/>
              <w:rPr>
                <w:rFonts w:ascii="Times New Roman" w:eastAsia="Times New Roman" w:hAnsi="Times New Roman" w:cs="Times New Roman"/>
                <w:noProof/>
                <w:szCs w:val="18"/>
                <w:lang w:val="sk-SK"/>
              </w:rPr>
            </w:pPr>
            <w:r w:rsidRPr="00083739">
              <w:rPr>
                <w:rFonts w:ascii="Times New Roman" w:hAnsi="Times New Roman" w:cs="Times New Roman"/>
                <w:noProof/>
                <w:lang w:val="sk-SK"/>
              </w:rPr>
              <w:t>Čiastkový projekt 3: Digitalizácia všeobecného archívu štátu</w:t>
            </w:r>
          </w:p>
          <w:p w14:paraId="7E2914A7" w14:textId="4B6DE2EF" w:rsidR="002D49B0" w:rsidRPr="00083739" w:rsidRDefault="00BF4125">
            <w:pPr>
              <w:pStyle w:val="P68B1DB1-Normal9"/>
              <w:numPr>
                <w:ilvl w:val="0"/>
                <w:numId w:val="54"/>
              </w:numPr>
              <w:spacing w:before="120" w:after="0" w:line="259" w:lineRule="auto"/>
              <w:ind w:left="220" w:hanging="169"/>
              <w:contextualSpacing/>
              <w:jc w:val="both"/>
              <w:rPr>
                <w:rFonts w:ascii="Times New Roman" w:eastAsia="Times New Roman" w:hAnsi="Times New Roman" w:cs="Times New Roman"/>
                <w:noProof/>
                <w:szCs w:val="18"/>
                <w:lang w:val="sk-SK"/>
              </w:rPr>
            </w:pPr>
            <w:r w:rsidRPr="00083739">
              <w:rPr>
                <w:rFonts w:ascii="Times New Roman" w:hAnsi="Times New Roman" w:cs="Times New Roman"/>
                <w:noProof/>
                <w:lang w:val="sk-SK"/>
              </w:rPr>
              <w:t>Čiastkový projekt 4: Digitalizácia archívov prisťahovaleckého</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azylového systému</w:t>
            </w:r>
          </w:p>
          <w:p w14:paraId="090A4EB2" w14:textId="77777777" w:rsidR="002D49B0" w:rsidRPr="00083739" w:rsidRDefault="00BF4125">
            <w:pPr>
              <w:pStyle w:val="P68B1DB1-Normal9"/>
              <w:numPr>
                <w:ilvl w:val="0"/>
                <w:numId w:val="54"/>
              </w:numPr>
              <w:spacing w:before="120" w:after="0" w:line="259" w:lineRule="auto"/>
              <w:ind w:left="220" w:hanging="169"/>
              <w:contextualSpacing/>
              <w:jc w:val="both"/>
              <w:rPr>
                <w:rFonts w:ascii="Times New Roman" w:eastAsia="Times New Roman" w:hAnsi="Times New Roman" w:cs="Times New Roman"/>
                <w:noProof/>
                <w:szCs w:val="18"/>
                <w:lang w:val="sk-SK"/>
              </w:rPr>
            </w:pPr>
            <w:r w:rsidRPr="00083739">
              <w:rPr>
                <w:rFonts w:ascii="Times New Roman" w:hAnsi="Times New Roman" w:cs="Times New Roman"/>
                <w:noProof/>
                <w:lang w:val="sk-SK"/>
              </w:rPr>
              <w:t>Čiastkový projekt 5: Digitalizácia archívov vyvlastnení</w:t>
            </w:r>
          </w:p>
          <w:p w14:paraId="6B79B83C" w14:textId="77777777" w:rsidR="002D49B0" w:rsidRPr="00083739" w:rsidRDefault="00BF4125">
            <w:pPr>
              <w:pStyle w:val="P68B1DB1-Normal9"/>
              <w:numPr>
                <w:ilvl w:val="0"/>
                <w:numId w:val="54"/>
              </w:numPr>
              <w:spacing w:before="120" w:after="0" w:line="259" w:lineRule="auto"/>
              <w:ind w:left="220" w:hanging="169"/>
              <w:contextualSpacing/>
              <w:jc w:val="both"/>
              <w:rPr>
                <w:rFonts w:ascii="Times New Roman" w:eastAsia="Times New Roman" w:hAnsi="Times New Roman" w:cs="Times New Roman"/>
                <w:noProof/>
                <w:szCs w:val="18"/>
                <w:lang w:val="sk-SK"/>
              </w:rPr>
            </w:pPr>
            <w:r w:rsidRPr="00083739">
              <w:rPr>
                <w:rFonts w:ascii="Times New Roman" w:hAnsi="Times New Roman" w:cs="Times New Roman"/>
                <w:noProof/>
                <w:lang w:val="sk-SK"/>
              </w:rPr>
              <w:t>Čiastkový projekt 6: Digitalizácia archívov agentúr územného plánovania</w:t>
            </w:r>
          </w:p>
          <w:p w14:paraId="379DD121" w14:textId="77777777" w:rsidR="002D49B0" w:rsidRPr="00083739" w:rsidRDefault="00BF4125">
            <w:pPr>
              <w:pStyle w:val="P68B1DB1-Normal9"/>
              <w:numPr>
                <w:ilvl w:val="0"/>
                <w:numId w:val="54"/>
              </w:numPr>
              <w:spacing w:before="120" w:after="0" w:line="259" w:lineRule="auto"/>
              <w:ind w:left="220" w:hanging="169"/>
              <w:contextualSpacing/>
              <w:jc w:val="both"/>
              <w:rPr>
                <w:rFonts w:ascii="Times New Roman" w:eastAsia="Times New Roman" w:hAnsi="Times New Roman" w:cs="Times New Roman"/>
                <w:noProof/>
                <w:szCs w:val="18"/>
                <w:lang w:val="sk-SK"/>
              </w:rPr>
            </w:pPr>
            <w:r w:rsidRPr="00083739">
              <w:rPr>
                <w:rFonts w:ascii="Times New Roman" w:hAnsi="Times New Roman" w:cs="Times New Roman"/>
                <w:noProof/>
                <w:lang w:val="sk-SK"/>
              </w:rPr>
              <w:t>Podprojekt 7A – Digitalizácia archívov katastra (Ktimatologio)</w:t>
            </w:r>
          </w:p>
          <w:p w14:paraId="3C6CB83A" w14:textId="77777777" w:rsidR="002D49B0" w:rsidRPr="00083739" w:rsidRDefault="00BF4125">
            <w:pPr>
              <w:pStyle w:val="P68B1DB1-Normal9"/>
              <w:numPr>
                <w:ilvl w:val="0"/>
                <w:numId w:val="54"/>
              </w:numPr>
              <w:spacing w:before="120" w:after="0" w:line="259" w:lineRule="auto"/>
              <w:ind w:left="220" w:hanging="169"/>
              <w:contextualSpacing/>
              <w:jc w:val="both"/>
              <w:rPr>
                <w:rFonts w:ascii="Times New Roman" w:eastAsia="Times New Roman" w:hAnsi="Times New Roman" w:cs="Times New Roman"/>
                <w:noProof/>
                <w:szCs w:val="18"/>
                <w:lang w:val="sk-SK"/>
              </w:rPr>
            </w:pPr>
            <w:r w:rsidRPr="00083739">
              <w:rPr>
                <w:rFonts w:ascii="Times New Roman" w:hAnsi="Times New Roman" w:cs="Times New Roman"/>
                <w:noProof/>
                <w:lang w:val="sk-SK"/>
              </w:rPr>
              <w:t>Podprojekt 7B – Zlepšené digitálne služby kat</w:t>
            </w:r>
            <w:r w:rsidRPr="00083739">
              <w:rPr>
                <w:rFonts w:ascii="Times New Roman" w:hAnsi="Times New Roman" w:cs="Times New Roman"/>
                <w:noProof/>
                <w:lang w:val="sk-SK"/>
              </w:rPr>
              <w:t>astra</w:t>
            </w:r>
          </w:p>
          <w:p w14:paraId="31E46FB9" w14:textId="77777777" w:rsidR="002D49B0" w:rsidRPr="00083739" w:rsidRDefault="00BF4125">
            <w:pPr>
              <w:pStyle w:val="P68B1DB1-Normal9"/>
              <w:numPr>
                <w:ilvl w:val="0"/>
                <w:numId w:val="54"/>
              </w:numPr>
              <w:spacing w:before="120" w:after="0" w:line="259" w:lineRule="auto"/>
              <w:ind w:left="220" w:hanging="169"/>
              <w:contextualSpacing/>
              <w:jc w:val="both"/>
              <w:rPr>
                <w:rFonts w:ascii="Times New Roman" w:eastAsia="Times New Roman" w:hAnsi="Times New Roman" w:cs="Times New Roman"/>
                <w:noProof/>
                <w:szCs w:val="18"/>
                <w:lang w:val="sk-SK"/>
              </w:rPr>
            </w:pPr>
            <w:r w:rsidRPr="00083739">
              <w:rPr>
                <w:rFonts w:ascii="Times New Roman" w:hAnsi="Times New Roman" w:cs="Times New Roman"/>
                <w:noProof/>
                <w:lang w:val="sk-SK"/>
              </w:rPr>
              <w:t>Podprojekt 8 – Digitalizácia námorného archívu</w:t>
            </w:r>
          </w:p>
          <w:p w14:paraId="239EE034" w14:textId="2CF6D682" w:rsidR="002D49B0" w:rsidRPr="00083739" w:rsidRDefault="00BF4125">
            <w:pPr>
              <w:pStyle w:val="P68B1DB1-Normal9"/>
              <w:numPr>
                <w:ilvl w:val="0"/>
                <w:numId w:val="54"/>
              </w:numPr>
              <w:spacing w:before="120" w:after="0" w:line="259" w:lineRule="auto"/>
              <w:ind w:left="220" w:hanging="169"/>
              <w:contextualSpacing/>
              <w:jc w:val="both"/>
              <w:rPr>
                <w:rFonts w:ascii="Times New Roman" w:eastAsia="Times New Roman" w:hAnsi="Times New Roman" w:cs="Times New Roman"/>
                <w:noProof/>
                <w:szCs w:val="18"/>
                <w:lang w:val="sk-SK"/>
              </w:rPr>
            </w:pPr>
            <w:r w:rsidRPr="00083739">
              <w:rPr>
                <w:rFonts w:ascii="Times New Roman" w:hAnsi="Times New Roman" w:cs="Times New Roman"/>
                <w:noProof/>
                <w:lang w:val="sk-SK"/>
              </w:rPr>
              <w:t>Čiastkový projekt 9: Bezpečné skladovanie verejného sektora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„širšieho“ verejného sektora</w:t>
            </w:r>
          </w:p>
          <w:p w14:paraId="195A4158" w14:textId="0335E6F0"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Špecifikácie obsahujú harmonogramy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ciele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pre každý</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9 čiastkových projektov podrobne uvádzajú</w:t>
            </w:r>
            <w:r w:rsidR="00083739" w:rsidRPr="00083739">
              <w:rPr>
                <w:rFonts w:ascii="Times New Roman" w:hAnsi="Times New Roman" w:cs="Times New Roman"/>
                <w:noProof/>
                <w:lang w:val="sk-SK"/>
              </w:rPr>
              <w:t>:</w:t>
            </w:r>
          </w:p>
          <w:p w14:paraId="72B6115C" w14:textId="77777777"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1. digitaliz</w:t>
            </w:r>
            <w:r w:rsidRPr="00083739">
              <w:rPr>
                <w:rFonts w:ascii="Times New Roman" w:hAnsi="Times New Roman" w:cs="Times New Roman"/>
                <w:noProof/>
                <w:lang w:val="sk-SK"/>
              </w:rPr>
              <w:t>ácia fyzických záznamov</w:t>
            </w:r>
          </w:p>
          <w:p w14:paraId="56A4AA05" w14:textId="44725F12"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 migrácia digitálnych záznamov do existujúcich systémov (vrátane justičných spisov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OSDDY-PP/OSDDY-DD; vlastnícke práva</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informačnom systéme národného katastra nehnuteľností)</w:t>
            </w:r>
          </w:p>
          <w:p w14:paraId="061B53B8" w14:textId="163A832B"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 analýza, návrh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realizácia dátových centier</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inf</w:t>
            </w:r>
            <w:r w:rsidRPr="00083739">
              <w:rPr>
                <w:rFonts w:ascii="Times New Roman" w:hAnsi="Times New Roman" w:cs="Times New Roman"/>
                <w:noProof/>
                <w:lang w:val="sk-SK"/>
              </w:rPr>
              <w:t>raštruktúry miestnych agentúr spolu</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príslušným kontaktným miestom (vrátane centrálneho registra záznamov pacientov; Integrovaný geografický informačný systém jednotnej digitálnej mapy vyvlastnenia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nárokov na vyvlastnenie; Systém správy dokumentov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dig</w:t>
            </w:r>
            <w:r w:rsidRPr="00083739">
              <w:rPr>
                <w:rFonts w:ascii="Times New Roman" w:hAnsi="Times New Roman" w:cs="Times New Roman"/>
                <w:noProof/>
                <w:lang w:val="sk-SK"/>
              </w:rPr>
              <w:t>itálnych súborov (DMS/DAS) pre katastrálne záznamy; inštalácia softvéru na správu archívov).</w:t>
            </w:r>
          </w:p>
          <w:p w14:paraId="61675B69" w14:textId="2AEEAAFB"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4. podporné služby (vrátane nových elektronických služieb súvisiacich</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vyhľadávaním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vyhľadávaním súborov pre občanov; verejná správa; výskumní pracovníci štátne</w:t>
            </w:r>
            <w:r w:rsidRPr="00083739">
              <w:rPr>
                <w:rFonts w:ascii="Times New Roman" w:hAnsi="Times New Roman" w:cs="Times New Roman"/>
                <w:noProof/>
                <w:lang w:val="sk-SK"/>
              </w:rPr>
              <w:t>ho archívu).</w:t>
            </w:r>
          </w:p>
        </w:tc>
      </w:tr>
      <w:tr w:rsidR="002D49B0" w:rsidRPr="00083739" w14:paraId="1FFE316C" w14:textId="77777777">
        <w:trPr>
          <w:trHeight w:val="309"/>
          <w:jc w:val="center"/>
        </w:trPr>
        <w:tc>
          <w:tcPr>
            <w:tcW w:w="562" w:type="dxa"/>
            <w:tcBorders>
              <w:top w:val="single" w:sz="4" w:space="0" w:color="auto"/>
              <w:left w:val="single" w:sz="4" w:space="0" w:color="auto"/>
              <w:bottom w:val="single" w:sz="4" w:space="0" w:color="auto"/>
              <w:right w:val="single" w:sz="4" w:space="0" w:color="auto"/>
            </w:tcBorders>
            <w:shd w:val="clear" w:color="auto" w:fill="C6EFCE"/>
            <w:noWrap/>
            <w:hideMark/>
          </w:tcPr>
          <w:p w14:paraId="2C944E3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95</w:t>
            </w:r>
          </w:p>
        </w:tc>
        <w:tc>
          <w:tcPr>
            <w:tcW w:w="1985" w:type="dxa"/>
            <w:tcBorders>
              <w:top w:val="single" w:sz="4" w:space="0" w:color="auto"/>
              <w:left w:val="nil"/>
              <w:bottom w:val="single" w:sz="4" w:space="0" w:color="auto"/>
              <w:right w:val="single" w:sz="4" w:space="0" w:color="auto"/>
            </w:tcBorders>
            <w:shd w:val="clear" w:color="auto" w:fill="C6EFCE"/>
            <w:noWrap/>
            <w:hideMark/>
          </w:tcPr>
          <w:p w14:paraId="5088BDE3" w14:textId="37D2F9C9"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6 – 2.2. Modernizácia – 16778_Digitizácia archívov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súvisiacich služieb</w:t>
            </w:r>
          </w:p>
        </w:tc>
        <w:tc>
          <w:tcPr>
            <w:tcW w:w="992" w:type="dxa"/>
            <w:tcBorders>
              <w:top w:val="single" w:sz="4" w:space="0" w:color="auto"/>
              <w:left w:val="nil"/>
              <w:bottom w:val="single" w:sz="4" w:space="0" w:color="auto"/>
              <w:right w:val="single" w:sz="4" w:space="0" w:color="auto"/>
            </w:tcBorders>
            <w:shd w:val="clear" w:color="auto" w:fill="C6EFCE"/>
            <w:noWrap/>
            <w:hideMark/>
          </w:tcPr>
          <w:p w14:paraId="28E9929F" w14:textId="47F7E6D6"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Cieľ</w:t>
            </w:r>
          </w:p>
        </w:tc>
        <w:tc>
          <w:tcPr>
            <w:tcW w:w="1701" w:type="dxa"/>
            <w:tcBorders>
              <w:top w:val="single" w:sz="4" w:space="0" w:color="auto"/>
              <w:left w:val="nil"/>
              <w:bottom w:val="single" w:sz="4" w:space="0" w:color="auto"/>
              <w:right w:val="single" w:sz="4" w:space="0" w:color="auto"/>
            </w:tcBorders>
            <w:shd w:val="clear" w:color="auto" w:fill="C6EFCE"/>
            <w:noWrap/>
            <w:hideMark/>
          </w:tcPr>
          <w:p w14:paraId="23AA997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Digitalizácia archívov – úplné vykonávanie</w:t>
            </w:r>
          </w:p>
        </w:tc>
        <w:tc>
          <w:tcPr>
            <w:tcW w:w="1715" w:type="dxa"/>
            <w:tcBorders>
              <w:top w:val="single" w:sz="4" w:space="0" w:color="auto"/>
              <w:left w:val="nil"/>
              <w:bottom w:val="single" w:sz="4" w:space="0" w:color="auto"/>
              <w:right w:val="single" w:sz="4" w:space="0" w:color="auto"/>
            </w:tcBorders>
            <w:shd w:val="clear" w:color="auto" w:fill="C6EFCE"/>
            <w:noWrap/>
            <w:hideMark/>
          </w:tcPr>
          <w:p w14:paraId="62CED49B"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200" w:type="dxa"/>
            <w:tcBorders>
              <w:top w:val="single" w:sz="4" w:space="0" w:color="auto"/>
              <w:left w:val="nil"/>
              <w:bottom w:val="single" w:sz="4" w:space="0" w:color="auto"/>
              <w:right w:val="single" w:sz="4" w:space="0" w:color="auto"/>
            </w:tcBorders>
            <w:shd w:val="clear" w:color="auto" w:fill="C6EFCE"/>
            <w:noWrap/>
            <w:hideMark/>
          </w:tcPr>
          <w:p w14:paraId="33BF1EBE" w14:textId="3687B471"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Percentuálny podiel strán digitalizovaných, metaoznačkovaných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presunutých do existujúcich systémov</w:t>
            </w:r>
          </w:p>
        </w:tc>
        <w:tc>
          <w:tcPr>
            <w:tcW w:w="1080" w:type="dxa"/>
            <w:tcBorders>
              <w:top w:val="single" w:sz="4" w:space="0" w:color="auto"/>
              <w:left w:val="nil"/>
              <w:bottom w:val="single" w:sz="4" w:space="0" w:color="auto"/>
              <w:right w:val="single" w:sz="4" w:space="0" w:color="auto"/>
            </w:tcBorders>
            <w:shd w:val="clear" w:color="auto" w:fill="C6EFCE"/>
            <w:noWrap/>
            <w:hideMark/>
          </w:tcPr>
          <w:p w14:paraId="460B3019" w14:textId="792F3D78"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0</w:t>
            </w:r>
          </w:p>
        </w:tc>
        <w:tc>
          <w:tcPr>
            <w:tcW w:w="960" w:type="dxa"/>
            <w:tcBorders>
              <w:top w:val="single" w:sz="4" w:space="0" w:color="auto"/>
              <w:left w:val="nil"/>
              <w:bottom w:val="single" w:sz="4" w:space="0" w:color="auto"/>
              <w:right w:val="single" w:sz="4" w:space="0" w:color="auto"/>
            </w:tcBorders>
            <w:shd w:val="clear" w:color="auto" w:fill="C6EFCE"/>
            <w:noWrap/>
            <w:hideMark/>
          </w:tcPr>
          <w:p w14:paraId="3640F717" w14:textId="4DB9FC21"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90</w:t>
            </w:r>
            <w:r w:rsidR="00083739" w:rsidRPr="00083739">
              <w:rPr>
                <w:rFonts w:ascii="Times New Roman" w:hAnsi="Times New Roman" w:cs="Times New Roman"/>
                <w:noProof/>
                <w:lang w:val="sk-SK"/>
              </w:rPr>
              <w:t> %</w:t>
            </w:r>
          </w:p>
        </w:tc>
        <w:tc>
          <w:tcPr>
            <w:tcW w:w="960" w:type="dxa"/>
            <w:tcBorders>
              <w:top w:val="single" w:sz="4" w:space="0" w:color="auto"/>
              <w:left w:val="nil"/>
              <w:bottom w:val="single" w:sz="4" w:space="0" w:color="auto"/>
              <w:right w:val="single" w:sz="4" w:space="0" w:color="auto"/>
            </w:tcBorders>
            <w:shd w:val="clear" w:color="auto" w:fill="C6EFCE"/>
            <w:noWrap/>
            <w:hideMark/>
          </w:tcPr>
          <w:p w14:paraId="7553F62F" w14:textId="49547421"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w:t>
            </w:r>
            <w:r w:rsidRPr="00083739">
              <w:rPr>
                <w:rFonts w:ascii="Times New Roman" w:hAnsi="Times New Roman" w:cs="Times New Roman"/>
                <w:noProof/>
                <w:lang w:val="sk-SK"/>
              </w:rPr>
              <w:t xml:space="preserve"> ŠTVRŤROK</w:t>
            </w:r>
          </w:p>
        </w:tc>
        <w:tc>
          <w:tcPr>
            <w:tcW w:w="840" w:type="dxa"/>
            <w:tcBorders>
              <w:top w:val="single" w:sz="4" w:space="0" w:color="auto"/>
              <w:left w:val="nil"/>
              <w:bottom w:val="single" w:sz="4" w:space="0" w:color="auto"/>
              <w:right w:val="single" w:sz="4" w:space="0" w:color="auto"/>
            </w:tcBorders>
            <w:shd w:val="clear" w:color="auto" w:fill="C6EFCE"/>
            <w:noWrap/>
            <w:hideMark/>
          </w:tcPr>
          <w:p w14:paraId="3118583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3593" w:type="dxa"/>
            <w:tcBorders>
              <w:top w:val="single" w:sz="4" w:space="0" w:color="auto"/>
              <w:left w:val="nil"/>
              <w:bottom w:val="single" w:sz="4" w:space="0" w:color="auto"/>
              <w:right w:val="single" w:sz="4" w:space="0" w:color="auto"/>
            </w:tcBorders>
            <w:shd w:val="clear" w:color="auto" w:fill="C6EFCE"/>
            <w:noWrap/>
            <w:hideMark/>
          </w:tcPr>
          <w:p w14:paraId="0DFC3808" w14:textId="6D76A198"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Digitalizácia aspoň 90</w:t>
            </w:r>
            <w:r w:rsidR="00083739" w:rsidRPr="00083739">
              <w:rPr>
                <w:rFonts w:ascii="Times New Roman" w:hAnsi="Times New Roman" w:cs="Times New Roman"/>
                <w:noProof/>
                <w:lang w:val="sk-SK"/>
              </w:rPr>
              <w:t> % z </w:t>
            </w:r>
            <w:r w:rsidRPr="00083739">
              <w:rPr>
                <w:rFonts w:ascii="Times New Roman" w:hAnsi="Times New Roman" w:cs="Times New Roman"/>
                <w:noProof/>
                <w:lang w:val="sk-SK"/>
              </w:rPr>
              <w:t xml:space="preserve">celkového počtu strán. </w:t>
            </w:r>
          </w:p>
        </w:tc>
      </w:tr>
      <w:tr w:rsidR="002D49B0" w:rsidRPr="00083739" w14:paraId="5D0CEFBE" w14:textId="77777777">
        <w:trPr>
          <w:trHeight w:val="309"/>
          <w:jc w:val="center"/>
        </w:trPr>
        <w:tc>
          <w:tcPr>
            <w:tcW w:w="562" w:type="dxa"/>
            <w:tcBorders>
              <w:top w:val="single" w:sz="4" w:space="0" w:color="auto"/>
              <w:left w:val="single" w:sz="4" w:space="0" w:color="auto"/>
              <w:bottom w:val="single" w:sz="4" w:space="0" w:color="auto"/>
              <w:right w:val="single" w:sz="4" w:space="0" w:color="auto"/>
            </w:tcBorders>
            <w:shd w:val="clear" w:color="auto" w:fill="C6EFCE"/>
            <w:noWrap/>
          </w:tcPr>
          <w:p w14:paraId="75BABDA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95a</w:t>
            </w:r>
          </w:p>
        </w:tc>
        <w:tc>
          <w:tcPr>
            <w:tcW w:w="1985" w:type="dxa"/>
            <w:tcBorders>
              <w:top w:val="single" w:sz="4" w:space="0" w:color="auto"/>
              <w:left w:val="nil"/>
              <w:bottom w:val="single" w:sz="4" w:space="0" w:color="auto"/>
              <w:right w:val="single" w:sz="4" w:space="0" w:color="auto"/>
            </w:tcBorders>
            <w:shd w:val="clear" w:color="auto" w:fill="C6EFCE"/>
            <w:noWrap/>
          </w:tcPr>
          <w:p w14:paraId="180A52BD" w14:textId="2C0D04EB"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6 – 2.2. Modernizácia – 16778_Digitizácia archívov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súvisiacich služieb</w:t>
            </w:r>
          </w:p>
        </w:tc>
        <w:tc>
          <w:tcPr>
            <w:tcW w:w="992" w:type="dxa"/>
            <w:tcBorders>
              <w:top w:val="single" w:sz="4" w:space="0" w:color="auto"/>
              <w:left w:val="nil"/>
              <w:bottom w:val="single" w:sz="4" w:space="0" w:color="auto"/>
              <w:right w:val="single" w:sz="4" w:space="0" w:color="auto"/>
            </w:tcBorders>
            <w:shd w:val="clear" w:color="auto" w:fill="C6EFCE"/>
            <w:noWrap/>
          </w:tcPr>
          <w:p w14:paraId="5F14D06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701" w:type="dxa"/>
            <w:tcBorders>
              <w:top w:val="single" w:sz="4" w:space="0" w:color="auto"/>
              <w:left w:val="nil"/>
              <w:bottom w:val="single" w:sz="4" w:space="0" w:color="auto"/>
              <w:right w:val="single" w:sz="4" w:space="0" w:color="auto"/>
            </w:tcBorders>
            <w:shd w:val="clear" w:color="auto" w:fill="C6EFCE"/>
            <w:noWrap/>
          </w:tcPr>
          <w:p w14:paraId="3C8D1FDF" w14:textId="48382896"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Realizácia čiastkových projektov 7B</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9</w:t>
            </w:r>
          </w:p>
        </w:tc>
        <w:tc>
          <w:tcPr>
            <w:tcW w:w="1715" w:type="dxa"/>
            <w:tcBorders>
              <w:top w:val="single" w:sz="4" w:space="0" w:color="auto"/>
              <w:left w:val="nil"/>
              <w:bottom w:val="single" w:sz="4" w:space="0" w:color="auto"/>
              <w:right w:val="single" w:sz="4" w:space="0" w:color="auto"/>
            </w:tcBorders>
            <w:shd w:val="clear" w:color="auto" w:fill="C6EFCE"/>
            <w:noWrap/>
          </w:tcPr>
          <w:p w14:paraId="0D0C76EC" w14:textId="73B75F7D"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Správa ministerstva digitálnej správy,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 xml:space="preserve">ktorej sa potvrdzuje </w:t>
            </w:r>
            <w:r w:rsidRPr="00083739">
              <w:rPr>
                <w:rFonts w:ascii="Times New Roman" w:hAnsi="Times New Roman" w:cs="Times New Roman"/>
                <w:noProof/>
                <w:lang w:val="sk-SK"/>
              </w:rPr>
              <w:t>dokončenie podprojektov „Digitálne služby pre katastre 7B“</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„9 – Bezpečné uchovávanie verejného sektora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širšie archívy verejného sektora“.</w:t>
            </w:r>
          </w:p>
        </w:tc>
        <w:tc>
          <w:tcPr>
            <w:tcW w:w="1200" w:type="dxa"/>
            <w:tcBorders>
              <w:top w:val="single" w:sz="4" w:space="0" w:color="auto"/>
              <w:left w:val="nil"/>
              <w:bottom w:val="single" w:sz="4" w:space="0" w:color="auto"/>
              <w:right w:val="single" w:sz="4" w:space="0" w:color="auto"/>
            </w:tcBorders>
            <w:shd w:val="clear" w:color="auto" w:fill="C6EFCE"/>
            <w:noWrap/>
          </w:tcPr>
          <w:p w14:paraId="323AE519"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80" w:type="dxa"/>
            <w:tcBorders>
              <w:top w:val="single" w:sz="4" w:space="0" w:color="auto"/>
              <w:left w:val="nil"/>
              <w:bottom w:val="single" w:sz="4" w:space="0" w:color="auto"/>
              <w:right w:val="single" w:sz="4" w:space="0" w:color="auto"/>
            </w:tcBorders>
            <w:shd w:val="clear" w:color="auto" w:fill="C6EFCE"/>
            <w:noWrap/>
          </w:tcPr>
          <w:p w14:paraId="1873ADC0"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60" w:type="dxa"/>
            <w:tcBorders>
              <w:top w:val="single" w:sz="4" w:space="0" w:color="auto"/>
              <w:left w:val="nil"/>
              <w:bottom w:val="single" w:sz="4" w:space="0" w:color="auto"/>
              <w:right w:val="single" w:sz="4" w:space="0" w:color="auto"/>
            </w:tcBorders>
            <w:shd w:val="clear" w:color="auto" w:fill="C6EFCE"/>
            <w:noWrap/>
          </w:tcPr>
          <w:p w14:paraId="28DD6509"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60" w:type="dxa"/>
            <w:tcBorders>
              <w:top w:val="single" w:sz="4" w:space="0" w:color="auto"/>
              <w:left w:val="nil"/>
              <w:bottom w:val="single" w:sz="4" w:space="0" w:color="auto"/>
              <w:right w:val="single" w:sz="4" w:space="0" w:color="auto"/>
            </w:tcBorders>
            <w:shd w:val="clear" w:color="auto" w:fill="C6EFCE"/>
            <w:noWrap/>
          </w:tcPr>
          <w:p w14:paraId="5079CC4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840" w:type="dxa"/>
            <w:tcBorders>
              <w:top w:val="single" w:sz="4" w:space="0" w:color="auto"/>
              <w:left w:val="nil"/>
              <w:bottom w:val="single" w:sz="4" w:space="0" w:color="auto"/>
              <w:right w:val="single" w:sz="4" w:space="0" w:color="auto"/>
            </w:tcBorders>
            <w:shd w:val="clear" w:color="auto" w:fill="C6EFCE"/>
            <w:noWrap/>
          </w:tcPr>
          <w:p w14:paraId="6B9EC0F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3593" w:type="dxa"/>
            <w:tcBorders>
              <w:top w:val="single" w:sz="4" w:space="0" w:color="auto"/>
              <w:left w:val="nil"/>
              <w:bottom w:val="single" w:sz="4" w:space="0" w:color="auto"/>
              <w:right w:val="single" w:sz="4" w:space="0" w:color="auto"/>
            </w:tcBorders>
            <w:shd w:val="clear" w:color="auto" w:fill="C6EFCE"/>
            <w:noWrap/>
          </w:tcPr>
          <w:p w14:paraId="445DC9A1" w14:textId="3FA9E7BD"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realizácie podprojektu „Digitálne služby pre katastre 7B</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cieľom digitalizovať</w:t>
            </w:r>
            <w:r w:rsidRPr="00083739">
              <w:rPr>
                <w:rFonts w:ascii="Times New Roman" w:hAnsi="Times New Roman" w:cs="Times New Roman"/>
                <w:noProof/>
                <w:lang w:val="sk-SK"/>
              </w:rPr>
              <w:t xml:space="preserve"> služby ponúkané gréckym katastrom“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podprojektu „9 – Bezpečné uchovávanie verejného sektora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širších archívov verejného sektora“.</w:t>
            </w:r>
          </w:p>
        </w:tc>
      </w:tr>
    </w:tbl>
    <w:p w14:paraId="54562616" w14:textId="77777777" w:rsidR="002D49B0" w:rsidRPr="00083739" w:rsidRDefault="002D49B0">
      <w:pPr>
        <w:spacing w:before="120" w:after="120" w:line="240" w:lineRule="auto"/>
        <w:ind w:left="709"/>
        <w:jc w:val="both"/>
        <w:rPr>
          <w:rFonts w:ascii="Times New Roman" w:hAnsi="Times New Roman" w:cs="Times New Roman"/>
          <w:noProof/>
          <w:sz w:val="24"/>
          <w:szCs w:val="24"/>
          <w:lang w:val="sk-SK"/>
        </w:rPr>
      </w:pPr>
    </w:p>
    <w:p w14:paraId="1E8BEE4A" w14:textId="0225DFC8" w:rsidR="002D49B0" w:rsidRPr="00083739" w:rsidRDefault="00BF4125">
      <w:pPr>
        <w:pStyle w:val="P68B1DB1-Normal6"/>
        <w:keepNext/>
        <w:keepLines/>
        <w:spacing w:before="40" w:after="0" w:line="240" w:lineRule="auto"/>
        <w:jc w:val="both"/>
        <w:outlineLvl w:val="4"/>
        <w:rPr>
          <w:rFonts w:ascii="Times New Roman" w:hAnsi="Times New Roman" w:cs="Times New Roman"/>
          <w:noProof/>
          <w:lang w:val="sk-SK"/>
        </w:rPr>
      </w:pPr>
      <w:r w:rsidRPr="00083739">
        <w:rPr>
          <w:rFonts w:ascii="Times New Roman" w:hAnsi="Times New Roman" w:cs="Times New Roman"/>
          <w:noProof/>
          <w:lang w:val="sk-SK"/>
        </w:rPr>
        <w:t>Kľúčová reforma 5: Smerom</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službám verejnej správy zameraným na zákazníka prostredníctvom zjednodušenia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zlepšenia </w:t>
      </w:r>
      <w:r w:rsidRPr="00083739">
        <w:rPr>
          <w:rFonts w:ascii="Times New Roman" w:hAnsi="Times New Roman" w:cs="Times New Roman"/>
          <w:noProof/>
          <w:lang w:val="sk-SK"/>
        </w:rPr>
        <w:t>procesov – prepojenie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interoperabilita registrov, systémov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služieb</w:t>
      </w:r>
    </w:p>
    <w:p w14:paraId="79414334" w14:textId="77777777" w:rsidR="002D49B0" w:rsidRPr="00083739" w:rsidRDefault="002D49B0">
      <w:pPr>
        <w:keepNext/>
        <w:keepLines/>
        <w:spacing w:before="40" w:after="0" w:line="240" w:lineRule="auto"/>
        <w:jc w:val="both"/>
        <w:outlineLvl w:val="4"/>
        <w:rPr>
          <w:rFonts w:ascii="Times New Roman" w:eastAsia="Times New Roman" w:hAnsi="Times New Roman" w:cs="Times New Roman"/>
          <w:noProof/>
          <w:color w:val="365F91"/>
          <w:sz w:val="24"/>
          <w:lang w:val="sk-SK"/>
        </w:rPr>
      </w:pPr>
    </w:p>
    <w:tbl>
      <w:tblPr>
        <w:tblpPr w:leftFromText="180" w:rightFromText="180" w:vertAnchor="text" w:tblpXSpec="center" w:tblpY="1"/>
        <w:tblOverlap w:val="never"/>
        <w:tblW w:w="15588" w:type="dxa"/>
        <w:jc w:val="center"/>
        <w:tblLayout w:type="fixed"/>
        <w:tblLook w:val="04A0" w:firstRow="1" w:lastRow="0" w:firstColumn="1" w:lastColumn="0" w:noHBand="0" w:noVBand="1"/>
      </w:tblPr>
      <w:tblGrid>
        <w:gridCol w:w="1027"/>
        <w:gridCol w:w="2229"/>
        <w:gridCol w:w="1134"/>
        <w:gridCol w:w="1275"/>
        <w:gridCol w:w="1530"/>
        <w:gridCol w:w="880"/>
        <w:gridCol w:w="992"/>
        <w:gridCol w:w="888"/>
        <w:gridCol w:w="1080"/>
        <w:gridCol w:w="960"/>
        <w:gridCol w:w="3593"/>
      </w:tblGrid>
      <w:tr w:rsidR="002D49B0" w:rsidRPr="00083739" w14:paraId="78C5BBBC" w14:textId="77777777">
        <w:trPr>
          <w:trHeight w:val="939"/>
          <w:tblHeader/>
          <w:jc w:val="center"/>
        </w:trPr>
        <w:tc>
          <w:tcPr>
            <w:tcW w:w="102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7BC162E"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Poradové číslo</w:t>
            </w:r>
          </w:p>
        </w:tc>
        <w:tc>
          <w:tcPr>
            <w:tcW w:w="222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8C8C35B" w14:textId="77777777" w:rsidR="00083739" w:rsidRPr="00083739" w:rsidRDefault="00BF4125">
            <w:pPr>
              <w:pStyle w:val="P68B1DB1-Normal7"/>
              <w:spacing w:after="0" w:line="240" w:lineRule="auto"/>
              <w:jc w:val="center"/>
              <w:rPr>
                <w:rFonts w:cs="Times New Roman"/>
                <w:noProof/>
                <w:lang w:val="sk-SK"/>
              </w:rPr>
            </w:pPr>
            <w:r w:rsidRPr="00083739">
              <w:rPr>
                <w:rFonts w:cs="Times New Roman"/>
                <w:noProof/>
                <w:lang w:val="sk-SK"/>
              </w:rPr>
              <w:t>Súvisiace opatrenie</w:t>
            </w:r>
          </w:p>
          <w:p w14:paraId="65ABB8F4" w14:textId="4DC4FA72"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(Reforma alebo investície)</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7E3451B"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Míľnik/cieľ</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4DED5D4"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Názov</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3BE089F"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Kvalitatívne ukazovatele (pre míľniky)</w:t>
            </w:r>
          </w:p>
        </w:tc>
        <w:tc>
          <w:tcPr>
            <w:tcW w:w="2760" w:type="dxa"/>
            <w:gridSpan w:val="3"/>
            <w:tcBorders>
              <w:top w:val="single" w:sz="4" w:space="0" w:color="auto"/>
              <w:left w:val="single" w:sz="4" w:space="0" w:color="auto"/>
              <w:bottom w:val="single" w:sz="4" w:space="0" w:color="auto"/>
              <w:right w:val="single" w:sz="4" w:space="0" w:color="auto"/>
            </w:tcBorders>
            <w:shd w:val="clear" w:color="auto" w:fill="BDD7EE"/>
            <w:vAlign w:val="center"/>
            <w:hideMark/>
          </w:tcPr>
          <w:p w14:paraId="0C5D971A"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Kvantitatívne ukazovatele (pre ciele)</w:t>
            </w:r>
          </w:p>
        </w:tc>
        <w:tc>
          <w:tcPr>
            <w:tcW w:w="2040" w:type="dxa"/>
            <w:gridSpan w:val="2"/>
            <w:tcBorders>
              <w:top w:val="single" w:sz="4" w:space="0" w:color="auto"/>
              <w:left w:val="single" w:sz="4" w:space="0" w:color="auto"/>
              <w:bottom w:val="single" w:sz="4" w:space="0" w:color="auto"/>
              <w:right w:val="single" w:sz="4" w:space="0" w:color="auto"/>
            </w:tcBorders>
            <w:shd w:val="clear" w:color="auto" w:fill="BDD7EE"/>
            <w:vAlign w:val="center"/>
            <w:hideMark/>
          </w:tcPr>
          <w:p w14:paraId="7D7A8407"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Orientačný harmonogram dokončenia </w:t>
            </w:r>
          </w:p>
        </w:tc>
        <w:tc>
          <w:tcPr>
            <w:tcW w:w="359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027FA99" w14:textId="563174BF"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Opis každého míľnika</w:t>
            </w:r>
            <w:r w:rsidR="00083739" w:rsidRPr="00083739">
              <w:rPr>
                <w:rFonts w:cs="Times New Roman"/>
                <w:noProof/>
                <w:lang w:val="sk-SK"/>
              </w:rPr>
              <w:t xml:space="preserve"> a </w:t>
            </w:r>
            <w:r w:rsidRPr="00083739">
              <w:rPr>
                <w:rFonts w:cs="Times New Roman"/>
                <w:noProof/>
                <w:lang w:val="sk-SK"/>
              </w:rPr>
              <w:t>cieľa</w:t>
            </w:r>
          </w:p>
        </w:tc>
      </w:tr>
      <w:tr w:rsidR="002D49B0" w:rsidRPr="00083739" w14:paraId="624A51D7" w14:textId="77777777">
        <w:trPr>
          <w:trHeight w:val="612"/>
          <w:jc w:val="center"/>
        </w:trPr>
        <w:tc>
          <w:tcPr>
            <w:tcW w:w="1027" w:type="dxa"/>
            <w:vMerge/>
            <w:tcBorders>
              <w:top w:val="single" w:sz="4" w:space="0" w:color="auto"/>
              <w:left w:val="single" w:sz="4" w:space="0" w:color="auto"/>
              <w:bottom w:val="single" w:sz="4" w:space="0" w:color="auto"/>
              <w:right w:val="single" w:sz="4" w:space="0" w:color="auto"/>
            </w:tcBorders>
            <w:vAlign w:val="center"/>
            <w:hideMark/>
          </w:tcPr>
          <w:p w14:paraId="54C01AAD"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2229" w:type="dxa"/>
            <w:vMerge/>
            <w:tcBorders>
              <w:top w:val="single" w:sz="4" w:space="0" w:color="auto"/>
              <w:left w:val="single" w:sz="4" w:space="0" w:color="auto"/>
              <w:bottom w:val="single" w:sz="4" w:space="0" w:color="auto"/>
              <w:right w:val="single" w:sz="4" w:space="0" w:color="auto"/>
            </w:tcBorders>
            <w:vAlign w:val="center"/>
            <w:hideMark/>
          </w:tcPr>
          <w:p w14:paraId="68CC3098"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C711793"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19A252DF"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03520138"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880"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7C056A67"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Merná jednotka</w:t>
            </w:r>
          </w:p>
        </w:tc>
        <w:tc>
          <w:tcPr>
            <w:tcW w:w="992" w:type="dxa"/>
            <w:tcBorders>
              <w:top w:val="single" w:sz="4" w:space="0" w:color="auto"/>
              <w:left w:val="nil"/>
              <w:bottom w:val="single" w:sz="4" w:space="0" w:color="auto"/>
              <w:right w:val="single" w:sz="4" w:space="0" w:color="auto"/>
            </w:tcBorders>
            <w:shd w:val="clear" w:color="auto" w:fill="BDD7EE"/>
            <w:vAlign w:val="center"/>
          </w:tcPr>
          <w:p w14:paraId="76CFDFF0"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Základná</w:t>
            </w:r>
          </w:p>
        </w:tc>
        <w:tc>
          <w:tcPr>
            <w:tcW w:w="888" w:type="dxa"/>
            <w:tcBorders>
              <w:top w:val="single" w:sz="4" w:space="0" w:color="auto"/>
              <w:left w:val="nil"/>
              <w:bottom w:val="single" w:sz="4" w:space="0" w:color="auto"/>
              <w:right w:val="single" w:sz="4" w:space="0" w:color="auto"/>
            </w:tcBorders>
            <w:shd w:val="clear" w:color="auto" w:fill="BDD7EE"/>
            <w:vAlign w:val="center"/>
            <w:hideMark/>
          </w:tcPr>
          <w:p w14:paraId="1FCEE7F6"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Cieľ</w:t>
            </w:r>
          </w:p>
        </w:tc>
        <w:tc>
          <w:tcPr>
            <w:tcW w:w="1080" w:type="dxa"/>
            <w:tcBorders>
              <w:top w:val="single" w:sz="4" w:space="0" w:color="auto"/>
              <w:left w:val="nil"/>
              <w:bottom w:val="single" w:sz="4" w:space="0" w:color="auto"/>
              <w:right w:val="single" w:sz="4" w:space="0" w:color="auto"/>
            </w:tcBorders>
            <w:shd w:val="clear" w:color="auto" w:fill="BDD7EE"/>
            <w:vAlign w:val="center"/>
            <w:hideMark/>
          </w:tcPr>
          <w:p w14:paraId="5FA57FE3"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Štvrtina</w:t>
            </w:r>
          </w:p>
        </w:tc>
        <w:tc>
          <w:tcPr>
            <w:tcW w:w="960" w:type="dxa"/>
            <w:tcBorders>
              <w:top w:val="single" w:sz="4" w:space="0" w:color="auto"/>
              <w:left w:val="nil"/>
              <w:bottom w:val="single" w:sz="4" w:space="0" w:color="auto"/>
              <w:right w:val="single" w:sz="4" w:space="0" w:color="auto"/>
            </w:tcBorders>
            <w:shd w:val="clear" w:color="auto" w:fill="BDD7EE"/>
            <w:vAlign w:val="center"/>
            <w:hideMark/>
          </w:tcPr>
          <w:p w14:paraId="6B281828"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Rok</w:t>
            </w:r>
          </w:p>
        </w:tc>
        <w:tc>
          <w:tcPr>
            <w:tcW w:w="3593" w:type="dxa"/>
            <w:vMerge/>
            <w:tcBorders>
              <w:top w:val="single" w:sz="4" w:space="0" w:color="auto"/>
              <w:bottom w:val="single" w:sz="4" w:space="0" w:color="auto"/>
              <w:right w:val="single" w:sz="4" w:space="0" w:color="auto"/>
            </w:tcBorders>
            <w:vAlign w:val="center"/>
            <w:hideMark/>
          </w:tcPr>
          <w:p w14:paraId="7C33978F"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r>
      <w:tr w:rsidR="002D49B0" w:rsidRPr="00083739" w14:paraId="2359C5ED" w14:textId="77777777">
        <w:trPr>
          <w:trHeight w:val="313"/>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58329FE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96</w:t>
            </w:r>
          </w:p>
        </w:tc>
        <w:tc>
          <w:tcPr>
            <w:tcW w:w="2229" w:type="dxa"/>
            <w:tcBorders>
              <w:top w:val="single" w:sz="4" w:space="0" w:color="auto"/>
              <w:left w:val="nil"/>
              <w:bottom w:val="single" w:sz="4" w:space="0" w:color="auto"/>
              <w:right w:val="single" w:sz="4" w:space="0" w:color="auto"/>
            </w:tcBorders>
            <w:shd w:val="clear" w:color="auto" w:fill="C6EFCE"/>
            <w:noWrap/>
          </w:tcPr>
          <w:p w14:paraId="292DA2AF" w14:textId="4853D3D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6 – 2.2. Modernizácia – 16929_ Smerom</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službám verejnej správy zameraným na zákazníka prostredníctvom zjednodušenia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zlepšenia procesov, </w:t>
            </w:r>
            <w:r w:rsidRPr="00083739">
              <w:rPr>
                <w:rFonts w:ascii="Times New Roman" w:hAnsi="Times New Roman" w:cs="Times New Roman"/>
                <w:noProof/>
                <w:lang w:val="sk-SK"/>
              </w:rPr>
              <w:t>zlepšenia systémov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súladu</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európskymi stratégiami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politikami</w:t>
            </w:r>
          </w:p>
        </w:tc>
        <w:tc>
          <w:tcPr>
            <w:tcW w:w="1134" w:type="dxa"/>
            <w:tcBorders>
              <w:top w:val="single" w:sz="4" w:space="0" w:color="auto"/>
              <w:left w:val="nil"/>
              <w:bottom w:val="single" w:sz="4" w:space="0" w:color="auto"/>
              <w:right w:val="single" w:sz="4" w:space="0" w:color="auto"/>
            </w:tcBorders>
            <w:shd w:val="clear" w:color="auto" w:fill="C6EFCE"/>
            <w:noWrap/>
          </w:tcPr>
          <w:p w14:paraId="56C6E2C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275" w:type="dxa"/>
            <w:tcBorders>
              <w:top w:val="single" w:sz="4" w:space="0" w:color="auto"/>
              <w:left w:val="nil"/>
              <w:bottom w:val="single" w:sz="4" w:space="0" w:color="auto"/>
              <w:right w:val="single" w:sz="4" w:space="0" w:color="auto"/>
            </w:tcBorders>
            <w:shd w:val="clear" w:color="auto" w:fill="C6EFCE"/>
            <w:noWrap/>
          </w:tcPr>
          <w:p w14:paraId="26F69F8C" w14:textId="5F9AF776"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Zriadenie národného registra postupov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vykonávanie národného plánu na zjednodušenie procesov (prvá fáza)</w:t>
            </w:r>
          </w:p>
        </w:tc>
        <w:tc>
          <w:tcPr>
            <w:tcW w:w="1530" w:type="dxa"/>
            <w:tcBorders>
              <w:top w:val="single" w:sz="4" w:space="0" w:color="auto"/>
              <w:left w:val="nil"/>
              <w:bottom w:val="single" w:sz="4" w:space="0" w:color="auto"/>
              <w:right w:val="single" w:sz="4" w:space="0" w:color="auto"/>
            </w:tcBorders>
            <w:shd w:val="clear" w:color="auto" w:fill="C6EFCE"/>
            <w:noWrap/>
          </w:tcPr>
          <w:p w14:paraId="5E537AA0" w14:textId="41B52E90"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Správa ministerstva digitálnej správy,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ktorej sa potvrdzuje operatívnosť vn</w:t>
            </w:r>
            <w:r w:rsidRPr="00083739">
              <w:rPr>
                <w:rFonts w:ascii="Times New Roman" w:hAnsi="Times New Roman" w:cs="Times New Roman"/>
                <w:noProof/>
                <w:lang w:val="sk-SK"/>
              </w:rPr>
              <w:t>útroštátneho registra postupov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dokončenie pracovných tokov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 xml:space="preserve">rámci prvej fázy národného programu zjednodušenia procesov </w:t>
            </w:r>
          </w:p>
        </w:tc>
        <w:tc>
          <w:tcPr>
            <w:tcW w:w="880" w:type="dxa"/>
            <w:tcBorders>
              <w:top w:val="single" w:sz="4" w:space="0" w:color="auto"/>
              <w:left w:val="nil"/>
              <w:bottom w:val="single" w:sz="4" w:space="0" w:color="auto"/>
              <w:right w:val="single" w:sz="4" w:space="0" w:color="auto"/>
            </w:tcBorders>
            <w:shd w:val="clear" w:color="auto" w:fill="C6EFCE"/>
            <w:noWrap/>
          </w:tcPr>
          <w:p w14:paraId="439431E1"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2" w:type="dxa"/>
            <w:tcBorders>
              <w:top w:val="nil"/>
              <w:left w:val="nil"/>
              <w:bottom w:val="single" w:sz="4" w:space="0" w:color="auto"/>
              <w:right w:val="single" w:sz="4" w:space="0" w:color="auto"/>
            </w:tcBorders>
            <w:shd w:val="clear" w:color="auto" w:fill="C6EFCE"/>
          </w:tcPr>
          <w:p w14:paraId="274A51D7"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88" w:type="dxa"/>
            <w:tcBorders>
              <w:top w:val="nil"/>
              <w:left w:val="nil"/>
              <w:bottom w:val="single" w:sz="4" w:space="0" w:color="auto"/>
              <w:right w:val="single" w:sz="4" w:space="0" w:color="auto"/>
            </w:tcBorders>
            <w:shd w:val="clear" w:color="auto" w:fill="C6EFCE"/>
            <w:noWrap/>
          </w:tcPr>
          <w:p w14:paraId="69327B6C"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80" w:type="dxa"/>
            <w:tcBorders>
              <w:top w:val="nil"/>
              <w:left w:val="nil"/>
              <w:bottom w:val="single" w:sz="4" w:space="0" w:color="auto"/>
              <w:right w:val="single" w:sz="4" w:space="0" w:color="auto"/>
            </w:tcBorders>
            <w:shd w:val="clear" w:color="auto" w:fill="C6EFCE"/>
          </w:tcPr>
          <w:p w14:paraId="50B5C1A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TRETÍ ŠTVRŤROK</w:t>
            </w:r>
          </w:p>
        </w:tc>
        <w:tc>
          <w:tcPr>
            <w:tcW w:w="960" w:type="dxa"/>
            <w:tcBorders>
              <w:top w:val="nil"/>
              <w:left w:val="nil"/>
              <w:bottom w:val="single" w:sz="4" w:space="0" w:color="auto"/>
              <w:right w:val="single" w:sz="4" w:space="0" w:color="auto"/>
            </w:tcBorders>
            <w:shd w:val="clear" w:color="auto" w:fill="C6EFCE"/>
            <w:noWrap/>
          </w:tcPr>
          <w:p w14:paraId="67D3720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2022</w:t>
            </w:r>
          </w:p>
        </w:tc>
        <w:tc>
          <w:tcPr>
            <w:tcW w:w="3593" w:type="dxa"/>
            <w:tcBorders>
              <w:top w:val="single" w:sz="4" w:space="0" w:color="auto"/>
              <w:left w:val="nil"/>
              <w:bottom w:val="single" w:sz="4" w:space="0" w:color="auto"/>
              <w:right w:val="single" w:sz="4" w:space="0" w:color="auto"/>
            </w:tcBorders>
            <w:shd w:val="clear" w:color="auto" w:fill="C6EFCE"/>
            <w:noWrap/>
          </w:tcPr>
          <w:p w14:paraId="35CA0CCC" w14:textId="66C1D4DB" w:rsidR="002D49B0" w:rsidRPr="00083739" w:rsidRDefault="00BF4125">
            <w:pPr>
              <w:pStyle w:val="P68B1DB1-Normal9"/>
              <w:spacing w:before="120" w:after="120" w:line="240" w:lineRule="auto"/>
              <w:jc w:val="both"/>
              <w:rPr>
                <w:rFonts w:ascii="Times New Roman" w:eastAsia="Times New Roman" w:hAnsi="Times New Roman" w:cs="Times New Roman"/>
                <w:noProof/>
                <w:szCs w:val="18"/>
                <w:lang w:val="sk-SK"/>
              </w:rPr>
            </w:pPr>
            <w:r w:rsidRPr="00083739">
              <w:rPr>
                <w:rFonts w:ascii="Times New Roman" w:hAnsi="Times New Roman" w:cs="Times New Roman"/>
                <w:noProof/>
                <w:lang w:val="sk-SK"/>
              </w:rPr>
              <w:t>Sfunkčnenie národného registra postupov („Diavlos“ podľa článku 90 zákona č. 4727/2020)</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začlenenie do port</w:t>
            </w:r>
            <w:r w:rsidRPr="00083739">
              <w:rPr>
                <w:rFonts w:ascii="Times New Roman" w:hAnsi="Times New Roman" w:cs="Times New Roman"/>
                <w:noProof/>
                <w:lang w:val="sk-SK"/>
              </w:rPr>
              <w:t>álu gov.gr;</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dokončenie prvej fázy zjednodušovania podľa harmonogramu stanoveného</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štvorročnom národnom programe zjednodušenia procesov vrátane digitalizácie postupov verejného obstarávania.</w:t>
            </w:r>
          </w:p>
        </w:tc>
      </w:tr>
      <w:tr w:rsidR="002D49B0" w:rsidRPr="00083739" w14:paraId="563902F6" w14:textId="77777777">
        <w:trPr>
          <w:trHeight w:val="313"/>
          <w:jc w:val="center"/>
        </w:trPr>
        <w:tc>
          <w:tcPr>
            <w:tcW w:w="1027" w:type="dxa"/>
            <w:tcBorders>
              <w:top w:val="nil"/>
              <w:left w:val="single" w:sz="4" w:space="0" w:color="auto"/>
              <w:bottom w:val="single" w:sz="4" w:space="0" w:color="auto"/>
              <w:right w:val="single" w:sz="4" w:space="0" w:color="auto"/>
            </w:tcBorders>
            <w:shd w:val="clear" w:color="auto" w:fill="C6EFCE"/>
            <w:noWrap/>
          </w:tcPr>
          <w:p w14:paraId="460AEA7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97</w:t>
            </w:r>
          </w:p>
        </w:tc>
        <w:tc>
          <w:tcPr>
            <w:tcW w:w="2229" w:type="dxa"/>
            <w:tcBorders>
              <w:top w:val="nil"/>
              <w:left w:val="nil"/>
              <w:bottom w:val="single" w:sz="4" w:space="0" w:color="auto"/>
              <w:right w:val="single" w:sz="4" w:space="0" w:color="auto"/>
            </w:tcBorders>
            <w:shd w:val="clear" w:color="auto" w:fill="C6EFCE"/>
            <w:noWrap/>
          </w:tcPr>
          <w:p w14:paraId="2BD0C69F" w14:textId="112742F8"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6 – 2.2. Modernizácia – 16929_ Smerom</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 xml:space="preserve">službám verejnej </w:t>
            </w:r>
            <w:r w:rsidRPr="00083739">
              <w:rPr>
                <w:rFonts w:ascii="Times New Roman" w:hAnsi="Times New Roman" w:cs="Times New Roman"/>
                <w:noProof/>
                <w:lang w:val="sk-SK"/>
              </w:rPr>
              <w:t>správy zameraným na zákazníka prostredníctvom zjednodušenia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zlepšenia procesov, zlepšenia systémov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súladu</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európskymi stratégiami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politikami</w:t>
            </w:r>
          </w:p>
        </w:tc>
        <w:tc>
          <w:tcPr>
            <w:tcW w:w="1134" w:type="dxa"/>
            <w:tcBorders>
              <w:top w:val="nil"/>
              <w:left w:val="nil"/>
              <w:bottom w:val="single" w:sz="4" w:space="0" w:color="auto"/>
              <w:right w:val="single" w:sz="4" w:space="0" w:color="auto"/>
            </w:tcBorders>
            <w:shd w:val="clear" w:color="auto" w:fill="C6EFCE"/>
            <w:noWrap/>
          </w:tcPr>
          <w:p w14:paraId="036085E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275" w:type="dxa"/>
            <w:tcBorders>
              <w:top w:val="nil"/>
              <w:left w:val="nil"/>
              <w:bottom w:val="single" w:sz="4" w:space="0" w:color="auto"/>
              <w:right w:val="single" w:sz="4" w:space="0" w:color="auto"/>
            </w:tcBorders>
            <w:shd w:val="clear" w:color="auto" w:fill="C6EFCE"/>
            <w:noWrap/>
          </w:tcPr>
          <w:p w14:paraId="28FC9A2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Vykonávanie národného plánu na zjednodušenie procesov (druhá fáza)</w:t>
            </w:r>
          </w:p>
        </w:tc>
        <w:tc>
          <w:tcPr>
            <w:tcW w:w="1530" w:type="dxa"/>
            <w:tcBorders>
              <w:top w:val="nil"/>
              <w:left w:val="nil"/>
              <w:bottom w:val="single" w:sz="4" w:space="0" w:color="auto"/>
              <w:right w:val="single" w:sz="4" w:space="0" w:color="auto"/>
            </w:tcBorders>
            <w:shd w:val="clear" w:color="auto" w:fill="C6EFCE"/>
            <w:noWrap/>
          </w:tcPr>
          <w:p w14:paraId="7DB1767E" w14:textId="78D4980B"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Správa ministerstva vnútra,</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ktor</w:t>
            </w:r>
            <w:r w:rsidRPr="00083739">
              <w:rPr>
                <w:rFonts w:ascii="Times New Roman" w:hAnsi="Times New Roman" w:cs="Times New Roman"/>
                <w:noProof/>
                <w:lang w:val="sk-SK"/>
              </w:rPr>
              <w:t>ej sa potvrdzuje dokončenie druhej fázy zjednodušovania</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 xml:space="preserve">rámci národného programu zjednodušenia procesov </w:t>
            </w:r>
          </w:p>
        </w:tc>
        <w:tc>
          <w:tcPr>
            <w:tcW w:w="880" w:type="dxa"/>
            <w:tcBorders>
              <w:top w:val="nil"/>
              <w:left w:val="nil"/>
              <w:bottom w:val="single" w:sz="4" w:space="0" w:color="auto"/>
              <w:right w:val="single" w:sz="4" w:space="0" w:color="auto"/>
            </w:tcBorders>
            <w:shd w:val="clear" w:color="auto" w:fill="C6EFCE"/>
            <w:noWrap/>
          </w:tcPr>
          <w:p w14:paraId="1C1BBACF"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2" w:type="dxa"/>
            <w:tcBorders>
              <w:top w:val="nil"/>
              <w:left w:val="nil"/>
              <w:bottom w:val="single" w:sz="4" w:space="0" w:color="auto"/>
              <w:right w:val="single" w:sz="4" w:space="0" w:color="auto"/>
            </w:tcBorders>
            <w:shd w:val="clear" w:color="auto" w:fill="C6EFCE"/>
          </w:tcPr>
          <w:p w14:paraId="6EDA5490"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88" w:type="dxa"/>
            <w:tcBorders>
              <w:top w:val="nil"/>
              <w:left w:val="nil"/>
              <w:bottom w:val="single" w:sz="4" w:space="0" w:color="auto"/>
              <w:right w:val="single" w:sz="4" w:space="0" w:color="auto"/>
            </w:tcBorders>
            <w:shd w:val="clear" w:color="auto" w:fill="C6EFCE"/>
            <w:noWrap/>
          </w:tcPr>
          <w:p w14:paraId="48EB0F73"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80" w:type="dxa"/>
            <w:tcBorders>
              <w:top w:val="nil"/>
              <w:left w:val="nil"/>
              <w:bottom w:val="single" w:sz="4" w:space="0" w:color="auto"/>
              <w:right w:val="single" w:sz="4" w:space="0" w:color="auto"/>
            </w:tcBorders>
            <w:shd w:val="clear" w:color="auto" w:fill="C6EFCE"/>
          </w:tcPr>
          <w:p w14:paraId="7CBC816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960" w:type="dxa"/>
            <w:tcBorders>
              <w:top w:val="nil"/>
              <w:left w:val="nil"/>
              <w:bottom w:val="single" w:sz="4" w:space="0" w:color="auto"/>
              <w:right w:val="single" w:sz="4" w:space="0" w:color="auto"/>
            </w:tcBorders>
            <w:shd w:val="clear" w:color="auto" w:fill="C6EFCE"/>
            <w:noWrap/>
          </w:tcPr>
          <w:p w14:paraId="66BDF37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2023</w:t>
            </w:r>
          </w:p>
        </w:tc>
        <w:tc>
          <w:tcPr>
            <w:tcW w:w="3593" w:type="dxa"/>
            <w:tcBorders>
              <w:top w:val="nil"/>
              <w:left w:val="nil"/>
              <w:bottom w:val="single" w:sz="4" w:space="0" w:color="auto"/>
              <w:right w:val="single" w:sz="4" w:space="0" w:color="auto"/>
            </w:tcBorders>
            <w:shd w:val="clear" w:color="auto" w:fill="C6EFCE"/>
            <w:noWrap/>
          </w:tcPr>
          <w:p w14:paraId="2032C194" w14:textId="3F5B3F49"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Dokončiť druhú fázu zjednodušovania podľa harmonogramu stanoveného</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štvorročnom národnom programe zjednodušenia procesov vrá</w:t>
            </w:r>
            <w:r w:rsidRPr="00083739">
              <w:rPr>
                <w:rFonts w:ascii="Times New Roman" w:hAnsi="Times New Roman" w:cs="Times New Roman"/>
                <w:noProof/>
                <w:lang w:val="sk-SK"/>
              </w:rPr>
              <w:t>tane digitalizácie procesov posudzovania vplyvu, začatia podnikania spoločností</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jediným vlastníkom, zjednodušenia postupov týkajúcich sa „životných udalostí“ občanov vrátane narodenia, úmrtia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rozvodu, zjednodušenia súdnych konaní týkajúcich sa právniko</w:t>
            </w:r>
            <w:r w:rsidRPr="00083739">
              <w:rPr>
                <w:rFonts w:ascii="Times New Roman" w:hAnsi="Times New Roman" w:cs="Times New Roman"/>
                <w:noProof/>
                <w:lang w:val="sk-SK"/>
              </w:rPr>
              <w:t>v, súdnych rozhodnutí, digitálnych podpisov, osvedčení vydaných súdmi, obnovenia vodičských preukazov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prevádzky myfoto.gov.gr</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elektronického obehu dokumentov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rámci verejnej správy (doložené vydanými obežníkmi).</w:t>
            </w:r>
          </w:p>
        </w:tc>
      </w:tr>
      <w:tr w:rsidR="002D49B0" w:rsidRPr="00083739" w14:paraId="3838CA73" w14:textId="77777777">
        <w:trPr>
          <w:trHeight w:val="313"/>
          <w:jc w:val="center"/>
        </w:trPr>
        <w:tc>
          <w:tcPr>
            <w:tcW w:w="1027" w:type="dxa"/>
            <w:tcBorders>
              <w:top w:val="nil"/>
              <w:left w:val="single" w:sz="4" w:space="0" w:color="auto"/>
              <w:bottom w:val="single" w:sz="4" w:space="0" w:color="auto"/>
              <w:right w:val="single" w:sz="4" w:space="0" w:color="auto"/>
            </w:tcBorders>
            <w:shd w:val="clear" w:color="auto" w:fill="C6EFCE"/>
            <w:noWrap/>
          </w:tcPr>
          <w:p w14:paraId="64337A0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98</w:t>
            </w:r>
          </w:p>
        </w:tc>
        <w:tc>
          <w:tcPr>
            <w:tcW w:w="2229" w:type="dxa"/>
            <w:tcBorders>
              <w:top w:val="nil"/>
              <w:left w:val="nil"/>
              <w:bottom w:val="single" w:sz="4" w:space="0" w:color="auto"/>
              <w:right w:val="single" w:sz="4" w:space="0" w:color="auto"/>
            </w:tcBorders>
            <w:shd w:val="clear" w:color="auto" w:fill="C6EFCE"/>
            <w:noWrap/>
          </w:tcPr>
          <w:p w14:paraId="25DE00AB" w14:textId="1F5DC274"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6 – 2.2. Modernizácia – </w:t>
            </w:r>
            <w:r w:rsidRPr="00083739">
              <w:rPr>
                <w:rFonts w:ascii="Times New Roman" w:hAnsi="Times New Roman" w:cs="Times New Roman"/>
                <w:noProof/>
                <w:lang w:val="sk-SK"/>
              </w:rPr>
              <w:t>16782_Prepojenie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interoperabilita registrov, systémov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služieb na výmenu údajov medzi vnútroštátnymi verejnými organizáciami</w:t>
            </w:r>
          </w:p>
        </w:tc>
        <w:tc>
          <w:tcPr>
            <w:tcW w:w="1134" w:type="dxa"/>
            <w:tcBorders>
              <w:top w:val="nil"/>
              <w:left w:val="nil"/>
              <w:bottom w:val="single" w:sz="4" w:space="0" w:color="auto"/>
              <w:right w:val="single" w:sz="4" w:space="0" w:color="auto"/>
            </w:tcBorders>
            <w:shd w:val="clear" w:color="auto" w:fill="C6EFCE"/>
            <w:noWrap/>
          </w:tcPr>
          <w:p w14:paraId="50CC5F9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275" w:type="dxa"/>
            <w:tcBorders>
              <w:top w:val="nil"/>
              <w:left w:val="nil"/>
              <w:bottom w:val="single" w:sz="4" w:space="0" w:color="auto"/>
              <w:right w:val="single" w:sz="4" w:space="0" w:color="auto"/>
            </w:tcBorders>
            <w:shd w:val="clear" w:color="auto" w:fill="C6EFCE"/>
            <w:noWrap/>
          </w:tcPr>
          <w:p w14:paraId="4B7BD190" w14:textId="079C5450"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Regulačný základ pre prepojenie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interoperabilitu registrov</w:t>
            </w:r>
          </w:p>
        </w:tc>
        <w:tc>
          <w:tcPr>
            <w:tcW w:w="1530" w:type="dxa"/>
            <w:tcBorders>
              <w:top w:val="nil"/>
              <w:left w:val="nil"/>
              <w:bottom w:val="single" w:sz="4" w:space="0" w:color="auto"/>
              <w:right w:val="single" w:sz="4" w:space="0" w:color="auto"/>
            </w:tcBorders>
            <w:shd w:val="clear" w:color="auto" w:fill="C6EFCE"/>
            <w:noWrap/>
          </w:tcPr>
          <w:p w14:paraId="68235382" w14:textId="43FF0251"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Správa ministerstva digitálnej správy,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 xml:space="preserve">ktorej sa </w:t>
            </w:r>
            <w:r w:rsidRPr="00083739">
              <w:rPr>
                <w:rFonts w:ascii="Times New Roman" w:hAnsi="Times New Roman" w:cs="Times New Roman"/>
                <w:noProof/>
                <w:lang w:val="sk-SK"/>
              </w:rPr>
              <w:t>potvrdzuje prijatie regulačných zmien vrátane všetkých prepojených primárnych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sekundárnych právnych predpisov týkajúcich sa prepojenia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interoperability registrov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služieb</w:t>
            </w:r>
          </w:p>
        </w:tc>
        <w:tc>
          <w:tcPr>
            <w:tcW w:w="880" w:type="dxa"/>
            <w:tcBorders>
              <w:top w:val="nil"/>
              <w:left w:val="nil"/>
              <w:bottom w:val="single" w:sz="4" w:space="0" w:color="auto"/>
              <w:right w:val="single" w:sz="4" w:space="0" w:color="auto"/>
            </w:tcBorders>
            <w:shd w:val="clear" w:color="auto" w:fill="C6EFCE"/>
            <w:noWrap/>
          </w:tcPr>
          <w:p w14:paraId="2E478608"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2" w:type="dxa"/>
            <w:tcBorders>
              <w:top w:val="nil"/>
              <w:left w:val="nil"/>
              <w:bottom w:val="single" w:sz="4" w:space="0" w:color="auto"/>
              <w:right w:val="single" w:sz="4" w:space="0" w:color="auto"/>
            </w:tcBorders>
            <w:shd w:val="clear" w:color="auto" w:fill="C6EFCE"/>
          </w:tcPr>
          <w:p w14:paraId="08EDB8A7"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88" w:type="dxa"/>
            <w:tcBorders>
              <w:top w:val="nil"/>
              <w:left w:val="nil"/>
              <w:bottom w:val="single" w:sz="4" w:space="0" w:color="auto"/>
              <w:right w:val="single" w:sz="4" w:space="0" w:color="auto"/>
            </w:tcBorders>
            <w:shd w:val="clear" w:color="auto" w:fill="C6EFCE"/>
            <w:noWrap/>
          </w:tcPr>
          <w:p w14:paraId="22D186AF"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80" w:type="dxa"/>
            <w:tcBorders>
              <w:top w:val="nil"/>
              <w:left w:val="nil"/>
              <w:bottom w:val="single" w:sz="4" w:space="0" w:color="auto"/>
              <w:right w:val="single" w:sz="4" w:space="0" w:color="auto"/>
            </w:tcBorders>
            <w:shd w:val="clear" w:color="auto" w:fill="C6EFCE"/>
          </w:tcPr>
          <w:p w14:paraId="5B289AE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960" w:type="dxa"/>
            <w:tcBorders>
              <w:top w:val="nil"/>
              <w:left w:val="nil"/>
              <w:bottom w:val="single" w:sz="4" w:space="0" w:color="auto"/>
              <w:right w:val="single" w:sz="4" w:space="0" w:color="auto"/>
            </w:tcBorders>
            <w:shd w:val="clear" w:color="auto" w:fill="C6EFCE"/>
            <w:noWrap/>
          </w:tcPr>
          <w:p w14:paraId="3FCB53A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2024</w:t>
            </w:r>
          </w:p>
        </w:tc>
        <w:tc>
          <w:tcPr>
            <w:tcW w:w="3593" w:type="dxa"/>
            <w:tcBorders>
              <w:top w:val="nil"/>
              <w:left w:val="nil"/>
              <w:bottom w:val="single" w:sz="4" w:space="0" w:color="auto"/>
              <w:right w:val="single" w:sz="4" w:space="0" w:color="auto"/>
            </w:tcBorders>
            <w:shd w:val="clear" w:color="auto" w:fill="C6EFCE"/>
            <w:noWrap/>
          </w:tcPr>
          <w:p w14:paraId="76550F4C" w14:textId="59A691FE" w:rsidR="002D49B0" w:rsidRPr="00083739" w:rsidRDefault="00BF4125">
            <w:pPr>
              <w:pStyle w:val="P68B1DB1-Normal10"/>
              <w:spacing w:before="120" w:after="120" w:line="240" w:lineRule="auto"/>
              <w:jc w:val="both"/>
              <w:rPr>
                <w:rFonts w:ascii="Times New Roman" w:eastAsia="Times New Roman" w:hAnsi="Times New Roman" w:cs="Times New Roman"/>
                <w:noProof/>
                <w:lang w:val="sk-SK"/>
              </w:rPr>
            </w:pPr>
            <w:r w:rsidRPr="00083739">
              <w:rPr>
                <w:rFonts w:ascii="Times New Roman" w:hAnsi="Times New Roman" w:cs="Times New Roman"/>
                <w:noProof/>
                <w:lang w:val="sk-SK"/>
              </w:rPr>
              <w:t>Prijatie regulačných zmien</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cieľom vytvoriť široký regu</w:t>
            </w:r>
            <w:r w:rsidRPr="00083739">
              <w:rPr>
                <w:rFonts w:ascii="Times New Roman" w:hAnsi="Times New Roman" w:cs="Times New Roman"/>
                <w:noProof/>
                <w:lang w:val="sk-SK"/>
              </w:rPr>
              <w:t>lačný základ pre prepojenie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interoperabilitu registrov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služieb na výmenu údajov medzi vnútroštátnymi verejnými organizáciami</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súlade</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aktom</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interoperabilnej Európe</w:t>
            </w:r>
          </w:p>
        </w:tc>
      </w:tr>
      <w:tr w:rsidR="002D49B0" w:rsidRPr="00083739" w14:paraId="448E2E51" w14:textId="77777777">
        <w:trPr>
          <w:trHeight w:val="313"/>
          <w:jc w:val="center"/>
        </w:trPr>
        <w:tc>
          <w:tcPr>
            <w:tcW w:w="1027" w:type="dxa"/>
            <w:tcBorders>
              <w:top w:val="nil"/>
              <w:left w:val="single" w:sz="4" w:space="0" w:color="auto"/>
              <w:bottom w:val="single" w:sz="4" w:space="0" w:color="auto"/>
              <w:right w:val="single" w:sz="4" w:space="0" w:color="auto"/>
            </w:tcBorders>
            <w:shd w:val="clear" w:color="auto" w:fill="C6EFCE"/>
            <w:noWrap/>
            <w:hideMark/>
          </w:tcPr>
          <w:p w14:paraId="75BB70B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99</w:t>
            </w:r>
          </w:p>
        </w:tc>
        <w:tc>
          <w:tcPr>
            <w:tcW w:w="2229" w:type="dxa"/>
            <w:tcBorders>
              <w:top w:val="nil"/>
              <w:left w:val="nil"/>
              <w:bottom w:val="single" w:sz="4" w:space="0" w:color="auto"/>
              <w:right w:val="single" w:sz="4" w:space="0" w:color="auto"/>
            </w:tcBorders>
            <w:shd w:val="clear" w:color="auto" w:fill="C6EFCE"/>
            <w:noWrap/>
            <w:hideMark/>
          </w:tcPr>
          <w:p w14:paraId="32E045F8" w14:textId="635A60BF"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6 – 2.2. Modernizácia – 16929_ Smerom</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 xml:space="preserve">službám verejnej správy zameraným na </w:t>
            </w:r>
            <w:r w:rsidRPr="00083739">
              <w:rPr>
                <w:rFonts w:ascii="Times New Roman" w:hAnsi="Times New Roman" w:cs="Times New Roman"/>
                <w:noProof/>
                <w:lang w:val="sk-SK"/>
              </w:rPr>
              <w:t>zákazníka prostredníctvom zjednodušenia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zlepšenia procesov, zlepšenia systémov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súladu</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európskymi stratégiami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politikami</w:t>
            </w:r>
          </w:p>
        </w:tc>
        <w:tc>
          <w:tcPr>
            <w:tcW w:w="1134" w:type="dxa"/>
            <w:tcBorders>
              <w:top w:val="nil"/>
              <w:left w:val="nil"/>
              <w:bottom w:val="single" w:sz="4" w:space="0" w:color="auto"/>
              <w:right w:val="single" w:sz="4" w:space="0" w:color="auto"/>
            </w:tcBorders>
            <w:shd w:val="clear" w:color="auto" w:fill="C6EFCE"/>
            <w:noWrap/>
            <w:hideMark/>
          </w:tcPr>
          <w:p w14:paraId="60E9102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275" w:type="dxa"/>
            <w:tcBorders>
              <w:top w:val="nil"/>
              <w:left w:val="nil"/>
              <w:bottom w:val="single" w:sz="4" w:space="0" w:color="auto"/>
              <w:right w:val="single" w:sz="4" w:space="0" w:color="auto"/>
            </w:tcBorders>
            <w:shd w:val="clear" w:color="auto" w:fill="C6EFCE"/>
            <w:noWrap/>
            <w:hideMark/>
          </w:tcPr>
          <w:p w14:paraId="681CEEC5" w14:textId="7E92797A"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stratégie na zníženie administratívnej záťaže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národného plánu na zjednodušenie procesov (záverečná fáza)</w:t>
            </w:r>
          </w:p>
        </w:tc>
        <w:tc>
          <w:tcPr>
            <w:tcW w:w="1530" w:type="dxa"/>
            <w:tcBorders>
              <w:top w:val="nil"/>
              <w:left w:val="nil"/>
              <w:bottom w:val="single" w:sz="4" w:space="0" w:color="auto"/>
              <w:right w:val="single" w:sz="4" w:space="0" w:color="auto"/>
            </w:tcBorders>
            <w:shd w:val="clear" w:color="auto" w:fill="C6EFCE"/>
            <w:noWrap/>
            <w:hideMark/>
          </w:tcPr>
          <w:p w14:paraId="3900F686" w14:textId="64A99941"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Správa ministerstva vnútra,</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ktorej sa potvrdzuje dokončenie všetkých pracovných tokov zjednodušenia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digitalizácie</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 xml:space="preserve">rámci štvorročného akčného plánu národného programu na zjednodušenie procesov, </w:t>
            </w:r>
          </w:p>
        </w:tc>
        <w:tc>
          <w:tcPr>
            <w:tcW w:w="880" w:type="dxa"/>
            <w:tcBorders>
              <w:top w:val="nil"/>
              <w:left w:val="nil"/>
              <w:bottom w:val="single" w:sz="4" w:space="0" w:color="auto"/>
              <w:right w:val="single" w:sz="4" w:space="0" w:color="auto"/>
            </w:tcBorders>
            <w:shd w:val="clear" w:color="auto" w:fill="C6EFCE"/>
            <w:noWrap/>
            <w:hideMark/>
          </w:tcPr>
          <w:p w14:paraId="74FE4F4A"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2" w:type="dxa"/>
            <w:tcBorders>
              <w:top w:val="nil"/>
              <w:left w:val="nil"/>
              <w:bottom w:val="single" w:sz="4" w:space="0" w:color="auto"/>
              <w:right w:val="single" w:sz="4" w:space="0" w:color="auto"/>
            </w:tcBorders>
            <w:shd w:val="clear" w:color="auto" w:fill="C6EFCE"/>
          </w:tcPr>
          <w:p w14:paraId="5B34B734"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88" w:type="dxa"/>
            <w:tcBorders>
              <w:top w:val="nil"/>
              <w:left w:val="nil"/>
              <w:bottom w:val="single" w:sz="4" w:space="0" w:color="auto"/>
              <w:right w:val="single" w:sz="4" w:space="0" w:color="auto"/>
            </w:tcBorders>
            <w:shd w:val="clear" w:color="auto" w:fill="C6EFCE"/>
            <w:noWrap/>
            <w:hideMark/>
          </w:tcPr>
          <w:p w14:paraId="10652055"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80" w:type="dxa"/>
            <w:tcBorders>
              <w:top w:val="nil"/>
              <w:left w:val="nil"/>
              <w:bottom w:val="single" w:sz="4" w:space="0" w:color="auto"/>
              <w:right w:val="single" w:sz="4" w:space="0" w:color="auto"/>
            </w:tcBorders>
            <w:shd w:val="clear" w:color="auto" w:fill="C6EFCE"/>
          </w:tcPr>
          <w:p w14:paraId="1296199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960" w:type="dxa"/>
            <w:tcBorders>
              <w:top w:val="nil"/>
              <w:left w:val="nil"/>
              <w:bottom w:val="single" w:sz="4" w:space="0" w:color="auto"/>
              <w:right w:val="single" w:sz="4" w:space="0" w:color="auto"/>
            </w:tcBorders>
            <w:shd w:val="clear" w:color="auto" w:fill="C6EFCE"/>
            <w:noWrap/>
            <w:hideMark/>
          </w:tcPr>
          <w:p w14:paraId="235FD4D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3593" w:type="dxa"/>
            <w:tcBorders>
              <w:top w:val="nil"/>
              <w:left w:val="nil"/>
              <w:bottom w:val="single" w:sz="4" w:space="0" w:color="auto"/>
              <w:right w:val="single" w:sz="4" w:space="0" w:color="auto"/>
            </w:tcBorders>
            <w:shd w:val="clear" w:color="auto" w:fill="C6EFCE"/>
            <w:noWrap/>
            <w:hideMark/>
          </w:tcPr>
          <w:p w14:paraId="2E7473E0" w14:textId="078B4C8B" w:rsidR="002D49B0" w:rsidRPr="00083739" w:rsidRDefault="00BF4125">
            <w:pPr>
              <w:spacing w:after="0" w:line="240" w:lineRule="auto"/>
              <w:rPr>
                <w:rFonts w:ascii="Times New Roman" w:eastAsia="Times New Roman" w:hAnsi="Times New Roman" w:cs="Times New Roman"/>
                <w:noProof/>
                <w:color w:val="006100"/>
                <w:sz w:val="18"/>
                <w:szCs w:val="18"/>
                <w:lang w:val="sk-SK"/>
              </w:rPr>
            </w:pPr>
            <w:r w:rsidRPr="00083739">
              <w:rPr>
                <w:rFonts w:ascii="Times New Roman" w:hAnsi="Times New Roman" w:cs="Times New Roman"/>
                <w:noProof/>
                <w:color w:val="006100"/>
                <w:sz w:val="18"/>
                <w:lang w:val="sk-SK"/>
              </w:rPr>
              <w:t>Úplná implementácia strednodobej</w:t>
            </w:r>
            <w:r w:rsidRPr="00083739">
              <w:rPr>
                <w:rFonts w:ascii="Times New Roman" w:hAnsi="Times New Roman" w:cs="Times New Roman"/>
                <w:noProof/>
                <w:color w:val="006100"/>
                <w:sz w:val="18"/>
                <w:lang w:val="sk-SK"/>
              </w:rPr>
              <w:t xml:space="preserve"> stratégie na zníženie administratívnej záťaže</w:t>
            </w:r>
            <w:r w:rsidR="00083739" w:rsidRPr="00083739">
              <w:rPr>
                <w:rFonts w:ascii="Times New Roman" w:hAnsi="Times New Roman" w:cs="Times New Roman"/>
                <w:noProof/>
                <w:color w:val="006100"/>
                <w:sz w:val="18"/>
                <w:lang w:val="sk-SK"/>
              </w:rPr>
              <w:t xml:space="preserve"> a </w:t>
            </w:r>
            <w:r w:rsidRPr="00083739">
              <w:rPr>
                <w:rFonts w:ascii="Times New Roman" w:hAnsi="Times New Roman" w:cs="Times New Roman"/>
                <w:noProof/>
                <w:color w:val="006100"/>
                <w:sz w:val="18"/>
                <w:lang w:val="sk-SK"/>
              </w:rPr>
              <w:t>vytvorenie služieb zameraných na zákazníka</w:t>
            </w:r>
            <w:r w:rsidR="00083739" w:rsidRPr="00083739">
              <w:rPr>
                <w:rFonts w:ascii="Times New Roman" w:hAnsi="Times New Roman" w:cs="Times New Roman"/>
                <w:noProof/>
                <w:color w:val="006100"/>
                <w:sz w:val="18"/>
                <w:lang w:val="sk-SK"/>
              </w:rPr>
              <w:t xml:space="preserve"> v </w:t>
            </w:r>
            <w:r w:rsidRPr="00083739">
              <w:rPr>
                <w:rFonts w:ascii="Times New Roman" w:hAnsi="Times New Roman" w:cs="Times New Roman"/>
                <w:noProof/>
                <w:color w:val="006100"/>
                <w:sz w:val="18"/>
                <w:lang w:val="sk-SK"/>
              </w:rPr>
              <w:t>rámci verejnej správy prostredníctvom dokončenia záverečnej fázy práce</w:t>
            </w:r>
            <w:r w:rsidR="00083739" w:rsidRPr="00083739">
              <w:rPr>
                <w:rFonts w:ascii="Times New Roman" w:hAnsi="Times New Roman" w:cs="Times New Roman"/>
                <w:noProof/>
                <w:color w:val="006100"/>
                <w:sz w:val="18"/>
                <w:lang w:val="sk-SK"/>
              </w:rPr>
              <w:t xml:space="preserve"> v </w:t>
            </w:r>
            <w:r w:rsidRPr="00083739">
              <w:rPr>
                <w:rFonts w:ascii="Times New Roman" w:hAnsi="Times New Roman" w:cs="Times New Roman"/>
                <w:noProof/>
                <w:color w:val="006100"/>
                <w:sz w:val="18"/>
                <w:lang w:val="sk-SK"/>
              </w:rPr>
              <w:t>rámci štvorročného národného programu na zjednodušenie procesu. Konkrétne to zahŕňa vypra</w:t>
            </w:r>
            <w:r w:rsidRPr="00083739">
              <w:rPr>
                <w:rFonts w:ascii="Times New Roman" w:hAnsi="Times New Roman" w:cs="Times New Roman"/>
                <w:noProof/>
                <w:color w:val="006100"/>
                <w:sz w:val="18"/>
                <w:lang w:val="sk-SK"/>
              </w:rPr>
              <w:t>covanie štúdií na zjednodušenie administratívnych postupov, zriadenie strediska na monitorovanie vplyvu regulácie vrátane vykonávania meraní administratívnej záťaže</w:t>
            </w:r>
            <w:r w:rsidR="00083739" w:rsidRPr="00083739">
              <w:rPr>
                <w:rFonts w:ascii="Times New Roman" w:hAnsi="Times New Roman" w:cs="Times New Roman"/>
                <w:noProof/>
                <w:color w:val="006100"/>
                <w:sz w:val="18"/>
                <w:lang w:val="sk-SK"/>
              </w:rPr>
              <w:t xml:space="preserve"> a </w:t>
            </w:r>
            <w:r w:rsidRPr="00083739">
              <w:rPr>
                <w:rFonts w:ascii="Times New Roman" w:hAnsi="Times New Roman" w:cs="Times New Roman"/>
                <w:noProof/>
                <w:lang w:val="sk-SK"/>
              </w:rPr>
              <w:t xml:space="preserve"> </w:t>
            </w:r>
            <w:r w:rsidRPr="00083739">
              <w:rPr>
                <w:rFonts w:ascii="Times New Roman" w:hAnsi="Times New Roman" w:cs="Times New Roman"/>
                <w:noProof/>
                <w:color w:val="006100"/>
                <w:sz w:val="18"/>
                <w:lang w:val="sk-SK"/>
              </w:rPr>
              <w:t>zlepšenie funkcií národného registra postupov (ďalej len „Mitos“) (doložené správou mini</w:t>
            </w:r>
            <w:r w:rsidRPr="00083739">
              <w:rPr>
                <w:rFonts w:ascii="Times New Roman" w:hAnsi="Times New Roman" w:cs="Times New Roman"/>
                <w:noProof/>
                <w:color w:val="006100"/>
                <w:sz w:val="18"/>
                <w:lang w:val="sk-SK"/>
              </w:rPr>
              <w:t>sterstva vnútra).</w:t>
            </w:r>
          </w:p>
        </w:tc>
      </w:tr>
    </w:tbl>
    <w:p w14:paraId="1BFFF79D" w14:textId="77777777" w:rsidR="002D49B0" w:rsidRPr="00083739" w:rsidRDefault="002D49B0">
      <w:pPr>
        <w:keepNext/>
        <w:keepLines/>
        <w:spacing w:before="40" w:after="0" w:line="240" w:lineRule="auto"/>
        <w:jc w:val="both"/>
        <w:outlineLvl w:val="4"/>
        <w:rPr>
          <w:rFonts w:ascii="Times New Roman" w:hAnsi="Times New Roman" w:cs="Times New Roman"/>
          <w:noProof/>
          <w:color w:val="365F91"/>
          <w:sz w:val="24"/>
          <w:lang w:val="sk-SK"/>
        </w:rPr>
      </w:pPr>
    </w:p>
    <w:p w14:paraId="484812BE" w14:textId="6785FD65" w:rsidR="002D49B0" w:rsidRPr="00083739" w:rsidRDefault="00BF4125">
      <w:pPr>
        <w:pStyle w:val="P68B1DB1-Normal6"/>
        <w:keepNext/>
        <w:keepLines/>
        <w:spacing w:before="40" w:after="0" w:line="240" w:lineRule="auto"/>
        <w:jc w:val="both"/>
        <w:outlineLvl w:val="4"/>
        <w:rPr>
          <w:rFonts w:ascii="Times New Roman" w:eastAsia="Times New Roman" w:hAnsi="Times New Roman" w:cs="Times New Roman"/>
          <w:noProof/>
          <w:lang w:val="sk-SK"/>
        </w:rPr>
      </w:pPr>
      <w:r w:rsidRPr="00083739">
        <w:rPr>
          <w:rFonts w:ascii="Times New Roman" w:hAnsi="Times New Roman" w:cs="Times New Roman"/>
          <w:noProof/>
          <w:lang w:val="sk-SK"/>
        </w:rPr>
        <w:t>Skupina 9: Iniciatívy týkajúce sa posilnených bezpečných digitálnych služieb orientovaných na zákazníka</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využitím interoperabilných informačných systémov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politík otvoreného prístupu</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údajom</w:t>
      </w:r>
    </w:p>
    <w:p w14:paraId="1003E422" w14:textId="77777777" w:rsidR="002D49B0" w:rsidRPr="00083739" w:rsidRDefault="00BF4125">
      <w:pPr>
        <w:pStyle w:val="P68B1DB1-Normal4"/>
        <w:spacing w:before="120" w:after="120" w:line="240" w:lineRule="auto"/>
        <w:ind w:left="709"/>
        <w:rPr>
          <w:rFonts w:cs="Times New Roman"/>
          <w:noProof/>
          <w:lang w:val="sk-SK"/>
        </w:rPr>
      </w:pPr>
      <w:r w:rsidRPr="00083739">
        <w:rPr>
          <w:rFonts w:cs="Times New Roman"/>
          <w:noProof/>
          <w:lang w:val="sk-SK"/>
        </w:rPr>
        <w:t>Do tejto skupiny patria tieto opatrenia:</w:t>
      </w:r>
    </w:p>
    <w:p w14:paraId="0053AF6B" w14:textId="77777777" w:rsidR="002D49B0" w:rsidRPr="00083739" w:rsidRDefault="00BF4125">
      <w:pPr>
        <w:spacing w:before="120" w:after="120" w:line="240" w:lineRule="auto"/>
        <w:ind w:left="709"/>
        <w:rPr>
          <w:rFonts w:ascii="Times New Roman" w:hAnsi="Times New Roman" w:cs="Times New Roman"/>
          <w:noProof/>
          <w:sz w:val="24"/>
          <w:lang w:val="sk-SK"/>
        </w:rPr>
      </w:pPr>
      <w:r w:rsidRPr="00083739">
        <w:rPr>
          <w:rFonts w:ascii="Times New Roman" w:hAnsi="Times New Roman" w:cs="Times New Roman"/>
          <w:noProof/>
          <w:sz w:val="24"/>
          <w:lang w:val="sk-SK"/>
        </w:rPr>
        <w:t>●</w:t>
      </w:r>
      <w:r w:rsidRPr="00083739">
        <w:rPr>
          <w:rFonts w:ascii="Times New Roman" w:hAnsi="Times New Roman" w:cs="Times New Roman"/>
          <w:noProof/>
          <w:lang w:val="sk-SK"/>
        </w:rPr>
        <w:t xml:space="preserve"> </w:t>
      </w:r>
      <w:r w:rsidRPr="00083739">
        <w:rPr>
          <w:rFonts w:ascii="Times New Roman" w:hAnsi="Times New Roman" w:cs="Times New Roman"/>
          <w:noProof/>
          <w:sz w:val="24"/>
          <w:lang w:val="sk-SK"/>
        </w:rPr>
        <w:t>Správa vzťahov so zákazníkmi pre verejnú správu (ID: 16810)</w:t>
      </w:r>
    </w:p>
    <w:p w14:paraId="257D3ECA" w14:textId="77777777" w:rsidR="002D49B0" w:rsidRPr="00083739" w:rsidRDefault="00BF4125">
      <w:pPr>
        <w:spacing w:before="120" w:after="120" w:line="240" w:lineRule="auto"/>
        <w:ind w:left="709"/>
        <w:rPr>
          <w:rFonts w:ascii="Times New Roman" w:hAnsi="Times New Roman" w:cs="Times New Roman"/>
          <w:noProof/>
          <w:sz w:val="24"/>
          <w:lang w:val="sk-SK"/>
        </w:rPr>
      </w:pPr>
      <w:r w:rsidRPr="00083739">
        <w:rPr>
          <w:rFonts w:ascii="Times New Roman" w:hAnsi="Times New Roman" w:cs="Times New Roman"/>
          <w:noProof/>
          <w:sz w:val="24"/>
          <w:lang w:val="sk-SK"/>
        </w:rPr>
        <w:t>●</w:t>
      </w:r>
      <w:r w:rsidRPr="00083739">
        <w:rPr>
          <w:rFonts w:ascii="Times New Roman" w:hAnsi="Times New Roman" w:cs="Times New Roman"/>
          <w:noProof/>
          <w:lang w:val="sk-SK"/>
        </w:rPr>
        <w:t xml:space="preserve"> </w:t>
      </w:r>
      <w:r w:rsidRPr="00083739">
        <w:rPr>
          <w:rFonts w:ascii="Times New Roman" w:hAnsi="Times New Roman" w:cs="Times New Roman"/>
          <w:noProof/>
          <w:sz w:val="24"/>
          <w:lang w:val="sk-SK"/>
        </w:rPr>
        <w:t>Ďalšia modernizácia jednotných kontaktných miest verejnej správy (ID: 16780)</w:t>
      </w:r>
    </w:p>
    <w:p w14:paraId="50DE9796" w14:textId="77777777" w:rsidR="002D49B0" w:rsidRPr="00083739" w:rsidRDefault="00BF4125">
      <w:pPr>
        <w:spacing w:before="120" w:after="120" w:line="240" w:lineRule="auto"/>
        <w:ind w:left="709"/>
        <w:rPr>
          <w:rFonts w:ascii="Times New Roman" w:hAnsi="Times New Roman" w:cs="Times New Roman"/>
          <w:noProof/>
          <w:sz w:val="24"/>
          <w:lang w:val="sk-SK"/>
        </w:rPr>
      </w:pPr>
      <w:r w:rsidRPr="00083739">
        <w:rPr>
          <w:rFonts w:ascii="Times New Roman" w:hAnsi="Times New Roman" w:cs="Times New Roman"/>
          <w:noProof/>
          <w:sz w:val="24"/>
          <w:lang w:val="sk-SK"/>
        </w:rPr>
        <w:t>●</w:t>
      </w:r>
      <w:r w:rsidRPr="00083739">
        <w:rPr>
          <w:rFonts w:ascii="Times New Roman" w:hAnsi="Times New Roman" w:cs="Times New Roman"/>
          <w:noProof/>
          <w:lang w:val="sk-SK"/>
        </w:rPr>
        <w:t xml:space="preserve"> </w:t>
      </w:r>
      <w:r w:rsidRPr="00083739">
        <w:rPr>
          <w:rFonts w:ascii="Times New Roman" w:hAnsi="Times New Roman" w:cs="Times New Roman"/>
          <w:noProof/>
          <w:sz w:val="24"/>
          <w:lang w:val="sk-SK"/>
        </w:rPr>
        <w:t>Nový systém verejného obstarávania (ID: 16736)</w:t>
      </w:r>
    </w:p>
    <w:p w14:paraId="066A334E" w14:textId="77777777" w:rsidR="002D49B0" w:rsidRPr="00083739" w:rsidRDefault="00BF4125">
      <w:pPr>
        <w:spacing w:before="120" w:after="120" w:line="240" w:lineRule="auto"/>
        <w:ind w:left="709"/>
        <w:rPr>
          <w:rFonts w:ascii="Times New Roman" w:hAnsi="Times New Roman" w:cs="Times New Roman"/>
          <w:noProof/>
          <w:sz w:val="24"/>
          <w:lang w:val="sk-SK"/>
        </w:rPr>
      </w:pPr>
      <w:r w:rsidRPr="00083739">
        <w:rPr>
          <w:rFonts w:ascii="Times New Roman" w:hAnsi="Times New Roman" w:cs="Times New Roman"/>
          <w:noProof/>
          <w:sz w:val="24"/>
          <w:lang w:val="sk-SK"/>
        </w:rPr>
        <w:t>●</w:t>
      </w:r>
      <w:r w:rsidRPr="00083739">
        <w:rPr>
          <w:rFonts w:ascii="Times New Roman" w:hAnsi="Times New Roman" w:cs="Times New Roman"/>
          <w:noProof/>
          <w:lang w:val="sk-SK"/>
        </w:rPr>
        <w:t xml:space="preserve"> </w:t>
      </w:r>
      <w:r w:rsidRPr="00083739">
        <w:rPr>
          <w:rFonts w:ascii="Times New Roman" w:hAnsi="Times New Roman" w:cs="Times New Roman"/>
          <w:noProof/>
          <w:sz w:val="24"/>
          <w:lang w:val="sk-SK"/>
        </w:rPr>
        <w:t>Digitálna transformácia ministerstva zahraničných vecí (ID: 16742</w:t>
      </w:r>
      <w:r w:rsidRPr="00083739">
        <w:rPr>
          <w:rFonts w:ascii="Times New Roman" w:hAnsi="Times New Roman" w:cs="Times New Roman"/>
          <w:noProof/>
          <w:sz w:val="24"/>
          <w:lang w:val="sk-SK"/>
        </w:rPr>
        <w:t>)</w:t>
      </w:r>
    </w:p>
    <w:p w14:paraId="333EFAB3" w14:textId="77777777" w:rsidR="002D49B0" w:rsidRPr="00083739" w:rsidRDefault="00BF4125">
      <w:pPr>
        <w:spacing w:before="120" w:after="120" w:line="240" w:lineRule="auto"/>
        <w:ind w:left="709"/>
        <w:rPr>
          <w:rFonts w:ascii="Times New Roman" w:hAnsi="Times New Roman" w:cs="Times New Roman"/>
          <w:noProof/>
          <w:sz w:val="24"/>
          <w:lang w:val="sk-SK"/>
        </w:rPr>
      </w:pPr>
      <w:r w:rsidRPr="00083739">
        <w:rPr>
          <w:rFonts w:ascii="Times New Roman" w:hAnsi="Times New Roman" w:cs="Times New Roman"/>
          <w:noProof/>
          <w:sz w:val="24"/>
          <w:lang w:val="sk-SK"/>
        </w:rPr>
        <w:t>●</w:t>
      </w:r>
      <w:r w:rsidRPr="00083739">
        <w:rPr>
          <w:rFonts w:ascii="Times New Roman" w:hAnsi="Times New Roman" w:cs="Times New Roman"/>
          <w:noProof/>
          <w:lang w:val="sk-SK"/>
        </w:rPr>
        <w:t xml:space="preserve"> </w:t>
      </w:r>
      <w:r w:rsidRPr="00083739">
        <w:rPr>
          <w:rFonts w:ascii="Times New Roman" w:hAnsi="Times New Roman" w:cs="Times New Roman"/>
          <w:noProof/>
          <w:sz w:val="24"/>
          <w:lang w:val="sk-SK"/>
        </w:rPr>
        <w:t>Programy na zlepšenie digitálnych zručností pre brancov (ID: 16826)</w:t>
      </w:r>
    </w:p>
    <w:p w14:paraId="122463D2" w14:textId="4B12AAFE" w:rsidR="002D49B0" w:rsidRPr="00083739" w:rsidRDefault="00BF4125">
      <w:pPr>
        <w:spacing w:before="120" w:after="120" w:line="240" w:lineRule="auto"/>
        <w:ind w:left="709"/>
        <w:rPr>
          <w:rFonts w:ascii="Times New Roman" w:hAnsi="Times New Roman" w:cs="Times New Roman"/>
          <w:noProof/>
          <w:sz w:val="24"/>
          <w:szCs w:val="24"/>
          <w:lang w:val="sk-SK"/>
        </w:rPr>
      </w:pPr>
      <w:r w:rsidRPr="00083739">
        <w:rPr>
          <w:rFonts w:ascii="Times New Roman" w:hAnsi="Times New Roman" w:cs="Times New Roman"/>
          <w:noProof/>
          <w:sz w:val="24"/>
          <w:szCs w:val="24"/>
          <w:lang w:val="sk-SK"/>
        </w:rPr>
        <w:t>●</w:t>
      </w:r>
      <w:r w:rsidRPr="00083739">
        <w:rPr>
          <w:rFonts w:ascii="Times New Roman" w:hAnsi="Times New Roman" w:cs="Times New Roman"/>
          <w:noProof/>
          <w:lang w:val="sk-SK"/>
        </w:rPr>
        <w:t xml:space="preserve"> </w:t>
      </w:r>
      <w:r w:rsidRPr="00083739">
        <w:rPr>
          <w:rFonts w:ascii="Times New Roman" w:hAnsi="Times New Roman" w:cs="Times New Roman"/>
          <w:noProof/>
          <w:sz w:val="24"/>
          <w:szCs w:val="24"/>
          <w:lang w:val="sk-SK"/>
        </w:rPr>
        <w:t>Digitálna transformácia gréckej národnej organizácie cestovného ruchu (ID: 16791)</w:t>
      </w:r>
    </w:p>
    <w:p w14:paraId="19162B02" w14:textId="50AB7E9C" w:rsidR="002D49B0" w:rsidRPr="00083739" w:rsidRDefault="00BF4125">
      <w:pPr>
        <w:spacing w:before="120" w:after="120" w:line="240" w:lineRule="auto"/>
        <w:ind w:left="709"/>
        <w:rPr>
          <w:rFonts w:ascii="Times New Roman" w:hAnsi="Times New Roman" w:cs="Times New Roman"/>
          <w:noProof/>
          <w:sz w:val="24"/>
          <w:lang w:val="sk-SK"/>
        </w:rPr>
      </w:pPr>
      <w:r w:rsidRPr="00083739">
        <w:rPr>
          <w:rFonts w:ascii="Times New Roman" w:hAnsi="Times New Roman" w:cs="Times New Roman"/>
          <w:noProof/>
          <w:sz w:val="24"/>
          <w:lang w:val="sk-SK"/>
        </w:rPr>
        <w:t>●</w:t>
      </w:r>
      <w:r w:rsidRPr="00083739">
        <w:rPr>
          <w:rFonts w:ascii="Times New Roman" w:hAnsi="Times New Roman" w:cs="Times New Roman"/>
          <w:noProof/>
          <w:lang w:val="sk-SK"/>
        </w:rPr>
        <w:t xml:space="preserve"> </w:t>
      </w:r>
      <w:r w:rsidRPr="00083739">
        <w:rPr>
          <w:rFonts w:ascii="Times New Roman" w:hAnsi="Times New Roman" w:cs="Times New Roman"/>
          <w:noProof/>
          <w:sz w:val="24"/>
          <w:lang w:val="sk-SK"/>
        </w:rPr>
        <w:t>Stratégia</w:t>
      </w:r>
      <w:r w:rsidR="00083739" w:rsidRPr="00083739">
        <w:rPr>
          <w:rFonts w:ascii="Times New Roman" w:hAnsi="Times New Roman" w:cs="Times New Roman"/>
          <w:noProof/>
          <w:sz w:val="24"/>
          <w:lang w:val="sk-SK"/>
        </w:rPr>
        <w:t xml:space="preserve"> a </w:t>
      </w:r>
      <w:r w:rsidRPr="00083739">
        <w:rPr>
          <w:rFonts w:ascii="Times New Roman" w:hAnsi="Times New Roman" w:cs="Times New Roman"/>
          <w:noProof/>
          <w:sz w:val="24"/>
          <w:lang w:val="sk-SK"/>
        </w:rPr>
        <w:t>politiky kybernetickej bezpečnosti pre verejný sektor</w:t>
      </w:r>
      <w:r w:rsidR="00083739" w:rsidRPr="00083739">
        <w:rPr>
          <w:rFonts w:ascii="Times New Roman" w:hAnsi="Times New Roman" w:cs="Times New Roman"/>
          <w:noProof/>
          <w:sz w:val="24"/>
          <w:lang w:val="sk-SK"/>
        </w:rPr>
        <w:t xml:space="preserve"> a </w:t>
      </w:r>
      <w:r w:rsidRPr="00083739">
        <w:rPr>
          <w:rFonts w:ascii="Times New Roman" w:hAnsi="Times New Roman" w:cs="Times New Roman"/>
          <w:noProof/>
          <w:sz w:val="24"/>
          <w:lang w:val="sk-SK"/>
        </w:rPr>
        <w:t>zriadenie národného operačného</w:t>
      </w:r>
      <w:r w:rsidRPr="00083739">
        <w:rPr>
          <w:rFonts w:ascii="Times New Roman" w:hAnsi="Times New Roman" w:cs="Times New Roman"/>
          <w:noProof/>
          <w:sz w:val="24"/>
          <w:lang w:val="sk-SK"/>
        </w:rPr>
        <w:t xml:space="preserve"> centra kybernetickej bezpečnosti (ID: 16823)</w:t>
      </w:r>
    </w:p>
    <w:p w14:paraId="065E0CBE" w14:textId="4FDBAD5E" w:rsidR="002D49B0" w:rsidRPr="00083739" w:rsidRDefault="00BF4125">
      <w:pPr>
        <w:spacing w:before="120" w:after="120" w:line="240" w:lineRule="auto"/>
        <w:ind w:left="709"/>
        <w:rPr>
          <w:rFonts w:ascii="Times New Roman" w:hAnsi="Times New Roman" w:cs="Times New Roman"/>
          <w:noProof/>
          <w:sz w:val="24"/>
          <w:szCs w:val="24"/>
          <w:lang w:val="sk-SK"/>
        </w:rPr>
      </w:pPr>
      <w:r w:rsidRPr="00083739">
        <w:rPr>
          <w:rFonts w:ascii="Times New Roman" w:hAnsi="Times New Roman" w:cs="Times New Roman"/>
          <w:noProof/>
          <w:sz w:val="24"/>
          <w:lang w:val="sk-SK"/>
        </w:rPr>
        <w:t>●</w:t>
      </w:r>
      <w:r w:rsidRPr="00083739">
        <w:rPr>
          <w:rFonts w:ascii="Times New Roman" w:hAnsi="Times New Roman" w:cs="Times New Roman"/>
          <w:noProof/>
          <w:lang w:val="sk-SK"/>
        </w:rPr>
        <w:t xml:space="preserve"> </w:t>
      </w:r>
      <w:r w:rsidRPr="00083739">
        <w:rPr>
          <w:rFonts w:ascii="Times New Roman" w:hAnsi="Times New Roman" w:cs="Times New Roman"/>
          <w:noProof/>
          <w:sz w:val="24"/>
          <w:lang w:val="sk-SK"/>
        </w:rPr>
        <w:t>Rozvoj interoperability</w:t>
      </w:r>
      <w:r w:rsidR="00083739" w:rsidRPr="00083739">
        <w:rPr>
          <w:rFonts w:ascii="Times New Roman" w:hAnsi="Times New Roman" w:cs="Times New Roman"/>
          <w:noProof/>
          <w:sz w:val="24"/>
          <w:lang w:val="sk-SK"/>
        </w:rPr>
        <w:t xml:space="preserve"> a </w:t>
      </w:r>
      <w:r w:rsidRPr="00083739">
        <w:rPr>
          <w:rFonts w:ascii="Times New Roman" w:hAnsi="Times New Roman" w:cs="Times New Roman"/>
          <w:noProof/>
          <w:sz w:val="24"/>
          <w:lang w:val="sk-SK"/>
        </w:rPr>
        <w:t>webových služieb (ID: 16779)</w:t>
      </w:r>
      <w:r w:rsidRPr="00083739">
        <w:rPr>
          <w:rFonts w:ascii="Times New Roman" w:hAnsi="Times New Roman" w:cs="Times New Roman"/>
          <w:noProof/>
          <w:lang w:val="sk-SK"/>
        </w:rPr>
        <w:tab/>
      </w:r>
    </w:p>
    <w:p w14:paraId="611B7FBC" w14:textId="77777777" w:rsidR="002D49B0" w:rsidRPr="00083739" w:rsidRDefault="00BF4125">
      <w:pPr>
        <w:spacing w:before="120" w:after="120" w:line="240" w:lineRule="auto"/>
        <w:ind w:left="709"/>
        <w:rPr>
          <w:rFonts w:ascii="Times New Roman" w:hAnsi="Times New Roman" w:cs="Times New Roman"/>
          <w:noProof/>
          <w:sz w:val="24"/>
          <w:lang w:val="sk-SK"/>
        </w:rPr>
      </w:pPr>
      <w:r w:rsidRPr="00083739">
        <w:rPr>
          <w:rFonts w:ascii="Times New Roman" w:hAnsi="Times New Roman" w:cs="Times New Roman"/>
          <w:noProof/>
          <w:sz w:val="24"/>
          <w:lang w:val="sk-SK"/>
        </w:rPr>
        <w:t>●</w:t>
      </w:r>
      <w:r w:rsidRPr="00083739">
        <w:rPr>
          <w:rFonts w:ascii="Times New Roman" w:hAnsi="Times New Roman" w:cs="Times New Roman"/>
          <w:noProof/>
          <w:lang w:val="sk-SK"/>
        </w:rPr>
        <w:t xml:space="preserve"> </w:t>
      </w:r>
      <w:r w:rsidRPr="00083739">
        <w:rPr>
          <w:rFonts w:ascii="Times New Roman" w:hAnsi="Times New Roman" w:cs="Times New Roman"/>
          <w:noProof/>
          <w:sz w:val="24"/>
          <w:lang w:val="sk-SK"/>
        </w:rPr>
        <w:t>Centrum interoperability budúcej generácie (KED) (ID: 16964)</w:t>
      </w:r>
    </w:p>
    <w:p w14:paraId="77002E4B" w14:textId="77777777" w:rsidR="002D49B0" w:rsidRPr="00083739" w:rsidRDefault="00BF4125">
      <w:pPr>
        <w:spacing w:before="120" w:after="120" w:line="240" w:lineRule="auto"/>
        <w:ind w:left="709"/>
        <w:rPr>
          <w:rFonts w:ascii="Times New Roman" w:hAnsi="Times New Roman" w:cs="Times New Roman"/>
          <w:noProof/>
          <w:sz w:val="24"/>
          <w:lang w:val="sk-SK"/>
        </w:rPr>
      </w:pPr>
      <w:r w:rsidRPr="00083739">
        <w:rPr>
          <w:rFonts w:ascii="Times New Roman" w:hAnsi="Times New Roman" w:cs="Times New Roman"/>
          <w:noProof/>
          <w:sz w:val="24"/>
          <w:lang w:val="sk-SK"/>
        </w:rPr>
        <w:t>●</w:t>
      </w:r>
      <w:r w:rsidRPr="00083739">
        <w:rPr>
          <w:rFonts w:ascii="Times New Roman" w:hAnsi="Times New Roman" w:cs="Times New Roman"/>
          <w:noProof/>
          <w:lang w:val="sk-SK"/>
        </w:rPr>
        <w:t xml:space="preserve"> </w:t>
      </w:r>
      <w:r w:rsidRPr="00083739">
        <w:rPr>
          <w:rFonts w:ascii="Times New Roman" w:hAnsi="Times New Roman" w:cs="Times New Roman"/>
          <w:noProof/>
          <w:sz w:val="24"/>
          <w:lang w:val="sk-SK"/>
        </w:rPr>
        <w:t>ERegistre (ID: 16824)</w:t>
      </w:r>
    </w:p>
    <w:p w14:paraId="5CFCF073" w14:textId="6334D61C" w:rsidR="002D49B0" w:rsidRPr="00083739" w:rsidRDefault="00BF4125">
      <w:pPr>
        <w:spacing w:before="120" w:after="120" w:line="240" w:lineRule="auto"/>
        <w:ind w:left="709"/>
        <w:rPr>
          <w:rFonts w:ascii="Times New Roman" w:hAnsi="Times New Roman" w:cs="Times New Roman"/>
          <w:noProof/>
          <w:sz w:val="24"/>
          <w:lang w:val="sk-SK"/>
        </w:rPr>
      </w:pPr>
      <w:r w:rsidRPr="00083739">
        <w:rPr>
          <w:rFonts w:ascii="Times New Roman" w:hAnsi="Times New Roman" w:cs="Times New Roman"/>
          <w:noProof/>
          <w:sz w:val="24"/>
          <w:lang w:val="sk-SK"/>
        </w:rPr>
        <w:t>●</w:t>
      </w:r>
      <w:r w:rsidRPr="00083739">
        <w:rPr>
          <w:rFonts w:ascii="Times New Roman" w:hAnsi="Times New Roman" w:cs="Times New Roman"/>
          <w:noProof/>
          <w:lang w:val="sk-SK"/>
        </w:rPr>
        <w:t xml:space="preserve"> </w:t>
      </w:r>
      <w:r w:rsidRPr="00083739">
        <w:rPr>
          <w:rFonts w:ascii="Times New Roman" w:hAnsi="Times New Roman" w:cs="Times New Roman"/>
          <w:noProof/>
          <w:sz w:val="24"/>
          <w:lang w:val="sk-SK"/>
        </w:rPr>
        <w:t>Poskytovanie pokročilých bezpečnostných služieb</w:t>
      </w:r>
      <w:r w:rsidR="00083739" w:rsidRPr="00083739">
        <w:rPr>
          <w:rFonts w:ascii="Times New Roman" w:hAnsi="Times New Roman" w:cs="Times New Roman"/>
          <w:noProof/>
          <w:sz w:val="24"/>
          <w:lang w:val="sk-SK"/>
        </w:rPr>
        <w:t xml:space="preserve"> v </w:t>
      </w:r>
      <w:r w:rsidRPr="00083739">
        <w:rPr>
          <w:rFonts w:ascii="Times New Roman" w:hAnsi="Times New Roman" w:cs="Times New Roman"/>
          <w:noProof/>
          <w:sz w:val="24"/>
          <w:lang w:val="sk-SK"/>
        </w:rPr>
        <w:t>kritickej inf</w:t>
      </w:r>
      <w:r w:rsidRPr="00083739">
        <w:rPr>
          <w:rFonts w:ascii="Times New Roman" w:hAnsi="Times New Roman" w:cs="Times New Roman"/>
          <w:noProof/>
          <w:sz w:val="24"/>
          <w:lang w:val="sk-SK"/>
        </w:rPr>
        <w:t>raštruktúre G-Cloud (ID: 16823)</w:t>
      </w:r>
    </w:p>
    <w:p w14:paraId="69597AA5" w14:textId="77777777" w:rsidR="002D49B0" w:rsidRPr="00083739" w:rsidRDefault="00BF4125">
      <w:pPr>
        <w:spacing w:before="120" w:after="120" w:line="240" w:lineRule="auto"/>
        <w:ind w:left="709"/>
        <w:rPr>
          <w:rFonts w:ascii="Times New Roman" w:hAnsi="Times New Roman" w:cs="Times New Roman"/>
          <w:noProof/>
          <w:sz w:val="24"/>
          <w:lang w:val="sk-SK"/>
        </w:rPr>
      </w:pPr>
      <w:r w:rsidRPr="00083739">
        <w:rPr>
          <w:rFonts w:ascii="Times New Roman" w:hAnsi="Times New Roman" w:cs="Times New Roman"/>
          <w:noProof/>
          <w:sz w:val="24"/>
          <w:lang w:val="sk-SK"/>
        </w:rPr>
        <w:t>●</w:t>
      </w:r>
      <w:r w:rsidRPr="00083739">
        <w:rPr>
          <w:rFonts w:ascii="Times New Roman" w:hAnsi="Times New Roman" w:cs="Times New Roman"/>
          <w:noProof/>
          <w:lang w:val="sk-SK"/>
        </w:rPr>
        <w:t xml:space="preserve"> </w:t>
      </w:r>
      <w:r w:rsidRPr="00083739">
        <w:rPr>
          <w:rFonts w:ascii="Times New Roman" w:hAnsi="Times New Roman" w:cs="Times New Roman"/>
          <w:noProof/>
          <w:sz w:val="24"/>
          <w:lang w:val="sk-SK"/>
        </w:rPr>
        <w:t>Register cestovného ruchu e-MHTE (ID: 16785)</w:t>
      </w:r>
    </w:p>
    <w:p w14:paraId="39FEE67B" w14:textId="77777777" w:rsidR="002D49B0" w:rsidRPr="00083739" w:rsidRDefault="00BF4125">
      <w:pPr>
        <w:spacing w:before="120" w:after="120" w:line="240" w:lineRule="auto"/>
        <w:ind w:left="709"/>
        <w:rPr>
          <w:rFonts w:ascii="Times New Roman" w:hAnsi="Times New Roman" w:cs="Times New Roman"/>
          <w:noProof/>
          <w:sz w:val="24"/>
          <w:lang w:val="sk-SK"/>
        </w:rPr>
      </w:pPr>
      <w:r w:rsidRPr="00083739">
        <w:rPr>
          <w:rFonts w:ascii="Times New Roman" w:hAnsi="Times New Roman" w:cs="Times New Roman"/>
          <w:noProof/>
          <w:sz w:val="24"/>
          <w:lang w:val="sk-SK"/>
        </w:rPr>
        <w:t>●</w:t>
      </w:r>
      <w:r w:rsidRPr="00083739">
        <w:rPr>
          <w:rFonts w:ascii="Times New Roman" w:hAnsi="Times New Roman" w:cs="Times New Roman"/>
          <w:noProof/>
          <w:lang w:val="sk-SK"/>
        </w:rPr>
        <w:t xml:space="preserve"> </w:t>
      </w:r>
      <w:r w:rsidRPr="00083739">
        <w:rPr>
          <w:rFonts w:ascii="Times New Roman" w:hAnsi="Times New Roman" w:cs="Times New Roman"/>
          <w:noProof/>
          <w:sz w:val="24"/>
          <w:lang w:val="sk-SK"/>
        </w:rPr>
        <w:t>Centrálny systém správy dokumentov (ID: 16738)</w:t>
      </w:r>
    </w:p>
    <w:p w14:paraId="6BA6154A" w14:textId="13D67EEE" w:rsidR="002D49B0" w:rsidRPr="00083739" w:rsidRDefault="00BF4125">
      <w:pPr>
        <w:pStyle w:val="P68B1DB1-Normal4"/>
        <w:rPr>
          <w:rFonts w:cs="Times New Roman"/>
          <w:noProof/>
          <w:lang w:val="sk-SK"/>
        </w:rPr>
      </w:pPr>
      <w:r w:rsidRPr="00083739">
        <w:rPr>
          <w:rFonts w:cs="Times New Roman"/>
          <w:noProof/>
          <w:lang w:val="sk-SK"/>
        </w:rPr>
        <w:br w:type="page"/>
      </w:r>
    </w:p>
    <w:p w14:paraId="37CC31FD" w14:textId="77777777" w:rsidR="002D49B0" w:rsidRPr="00083739" w:rsidRDefault="002D49B0">
      <w:pPr>
        <w:spacing w:before="120" w:after="120" w:line="240" w:lineRule="auto"/>
        <w:ind w:left="709"/>
        <w:rPr>
          <w:rFonts w:ascii="Times New Roman" w:hAnsi="Times New Roman" w:cs="Times New Roman"/>
          <w:noProof/>
          <w:sz w:val="24"/>
          <w:lang w:val="sk-SK"/>
        </w:rPr>
      </w:pPr>
    </w:p>
    <w:tbl>
      <w:tblPr>
        <w:tblW w:w="0" w:type="auto"/>
        <w:jc w:val="center"/>
        <w:tblLook w:val="04A0" w:firstRow="1" w:lastRow="0" w:firstColumn="1" w:lastColumn="0" w:noHBand="0" w:noVBand="1"/>
      </w:tblPr>
      <w:tblGrid>
        <w:gridCol w:w="1065"/>
        <w:gridCol w:w="1837"/>
        <w:gridCol w:w="1098"/>
        <w:gridCol w:w="1365"/>
        <w:gridCol w:w="1490"/>
        <w:gridCol w:w="924"/>
        <w:gridCol w:w="995"/>
        <w:gridCol w:w="777"/>
        <w:gridCol w:w="1149"/>
        <w:gridCol w:w="671"/>
        <w:gridCol w:w="4018"/>
      </w:tblGrid>
      <w:tr w:rsidR="002D49B0" w:rsidRPr="00083739" w14:paraId="75390B61" w14:textId="77777777">
        <w:trPr>
          <w:trHeight w:val="939"/>
          <w:tblHeader/>
          <w:jc w:val="center"/>
        </w:trPr>
        <w:tc>
          <w:tcPr>
            <w:tcW w:w="108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FA6982B"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Poradové číslo</w:t>
            </w:r>
          </w:p>
        </w:tc>
        <w:tc>
          <w:tcPr>
            <w:tcW w:w="185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5287A9F"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Súvisiace opatrenie (reforma alebo investícia)</w:t>
            </w:r>
          </w:p>
        </w:tc>
        <w:tc>
          <w:tcPr>
            <w:tcW w:w="110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CF4E6CD"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Míľnik/cieľ</w:t>
            </w:r>
          </w:p>
        </w:tc>
        <w:tc>
          <w:tcPr>
            <w:tcW w:w="138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A47136C"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Názov</w:t>
            </w:r>
          </w:p>
        </w:tc>
        <w:tc>
          <w:tcPr>
            <w:tcW w:w="151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3C104FB"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Kvalitatívne ukazovatele (pre míľniky)</w:t>
            </w:r>
          </w:p>
        </w:tc>
        <w:tc>
          <w:tcPr>
            <w:tcW w:w="2735" w:type="dxa"/>
            <w:gridSpan w:val="3"/>
            <w:tcBorders>
              <w:top w:val="single" w:sz="4" w:space="0" w:color="auto"/>
              <w:left w:val="single" w:sz="4" w:space="0" w:color="auto"/>
              <w:bottom w:val="single" w:sz="4" w:space="0" w:color="auto"/>
              <w:right w:val="single" w:sz="4" w:space="0" w:color="auto"/>
            </w:tcBorders>
            <w:shd w:val="clear" w:color="auto" w:fill="BDD7EE"/>
            <w:vAlign w:val="center"/>
            <w:hideMark/>
          </w:tcPr>
          <w:p w14:paraId="6EE8D6A4"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Kvantitatívne ukazovatele (pre ciele)</w:t>
            </w:r>
          </w:p>
        </w:tc>
        <w:tc>
          <w:tcPr>
            <w:tcW w:w="1627" w:type="dxa"/>
            <w:gridSpan w:val="2"/>
            <w:tcBorders>
              <w:top w:val="single" w:sz="4" w:space="0" w:color="auto"/>
              <w:left w:val="single" w:sz="4" w:space="0" w:color="auto"/>
              <w:bottom w:val="single" w:sz="4" w:space="0" w:color="auto"/>
              <w:right w:val="single" w:sz="4" w:space="0" w:color="auto"/>
            </w:tcBorders>
            <w:shd w:val="clear" w:color="auto" w:fill="BDD7EE"/>
            <w:vAlign w:val="center"/>
            <w:hideMark/>
          </w:tcPr>
          <w:p w14:paraId="757F3A06"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Orientačný harmonogram dokončenia </w:t>
            </w:r>
          </w:p>
        </w:tc>
        <w:tc>
          <w:tcPr>
            <w:tcW w:w="409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CE2007A" w14:textId="6B9D6191"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Opis každého míľnika</w:t>
            </w:r>
            <w:r w:rsidR="00083739" w:rsidRPr="00083739">
              <w:rPr>
                <w:rFonts w:cs="Times New Roman"/>
                <w:noProof/>
                <w:lang w:val="sk-SK"/>
              </w:rPr>
              <w:t xml:space="preserve"> a </w:t>
            </w:r>
            <w:r w:rsidRPr="00083739">
              <w:rPr>
                <w:rFonts w:cs="Times New Roman"/>
                <w:noProof/>
                <w:lang w:val="sk-SK"/>
              </w:rPr>
              <w:t>cieľa</w:t>
            </w:r>
          </w:p>
        </w:tc>
      </w:tr>
      <w:tr w:rsidR="002D49B0" w:rsidRPr="00083739" w14:paraId="0A0C8AA9" w14:textId="77777777">
        <w:trPr>
          <w:trHeight w:val="531"/>
          <w:tblHeader/>
          <w:jc w:val="center"/>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287677E2" w14:textId="77777777" w:rsidR="002D49B0" w:rsidRPr="00083739" w:rsidRDefault="002D49B0">
            <w:pPr>
              <w:spacing w:after="0" w:line="240" w:lineRule="auto"/>
              <w:rPr>
                <w:rFonts w:ascii="Times New Roman" w:eastAsia="Times New Roman" w:hAnsi="Times New Roman" w:cs="Times New Roman"/>
                <w:b/>
                <w:noProof/>
                <w:sz w:val="18"/>
                <w:szCs w:val="18"/>
                <w:lang w:val="sk-SK"/>
              </w:rPr>
            </w:pPr>
          </w:p>
        </w:tc>
        <w:tc>
          <w:tcPr>
            <w:tcW w:w="1855" w:type="dxa"/>
            <w:vMerge/>
            <w:tcBorders>
              <w:top w:val="single" w:sz="4" w:space="0" w:color="auto"/>
              <w:left w:val="single" w:sz="4" w:space="0" w:color="auto"/>
              <w:bottom w:val="single" w:sz="4" w:space="0" w:color="auto"/>
              <w:right w:val="single" w:sz="4" w:space="0" w:color="auto"/>
            </w:tcBorders>
            <w:vAlign w:val="center"/>
            <w:hideMark/>
          </w:tcPr>
          <w:p w14:paraId="63E1E574" w14:textId="77777777" w:rsidR="002D49B0" w:rsidRPr="00083739" w:rsidRDefault="002D49B0">
            <w:pPr>
              <w:spacing w:after="0" w:line="240" w:lineRule="auto"/>
              <w:rPr>
                <w:rFonts w:ascii="Times New Roman" w:eastAsia="Times New Roman" w:hAnsi="Times New Roman" w:cs="Times New Roman"/>
                <w:b/>
                <w:noProof/>
                <w:sz w:val="18"/>
                <w:szCs w:val="18"/>
                <w:lang w:val="sk-SK"/>
              </w:rPr>
            </w:pPr>
          </w:p>
        </w:tc>
        <w:tc>
          <w:tcPr>
            <w:tcW w:w="1101" w:type="dxa"/>
            <w:vMerge/>
            <w:tcBorders>
              <w:top w:val="single" w:sz="4" w:space="0" w:color="auto"/>
              <w:left w:val="single" w:sz="4" w:space="0" w:color="auto"/>
              <w:bottom w:val="single" w:sz="4" w:space="0" w:color="auto"/>
              <w:right w:val="single" w:sz="4" w:space="0" w:color="auto"/>
            </w:tcBorders>
            <w:vAlign w:val="center"/>
            <w:hideMark/>
          </w:tcPr>
          <w:p w14:paraId="6C2C7080" w14:textId="77777777" w:rsidR="002D49B0" w:rsidRPr="00083739" w:rsidRDefault="002D49B0">
            <w:pPr>
              <w:spacing w:after="0" w:line="240" w:lineRule="auto"/>
              <w:rPr>
                <w:rFonts w:ascii="Times New Roman" w:eastAsia="Times New Roman" w:hAnsi="Times New Roman" w:cs="Times New Roman"/>
                <w:b/>
                <w:noProof/>
                <w:sz w:val="18"/>
                <w:szCs w:val="18"/>
                <w:lang w:val="sk-SK"/>
              </w:rPr>
            </w:pPr>
          </w:p>
        </w:tc>
        <w:tc>
          <w:tcPr>
            <w:tcW w:w="1387" w:type="dxa"/>
            <w:vMerge/>
            <w:tcBorders>
              <w:top w:val="single" w:sz="4" w:space="0" w:color="auto"/>
              <w:left w:val="single" w:sz="4" w:space="0" w:color="auto"/>
              <w:bottom w:val="single" w:sz="4" w:space="0" w:color="auto"/>
              <w:right w:val="single" w:sz="4" w:space="0" w:color="auto"/>
            </w:tcBorders>
            <w:vAlign w:val="center"/>
            <w:hideMark/>
          </w:tcPr>
          <w:p w14:paraId="7FE4C4C6" w14:textId="77777777" w:rsidR="002D49B0" w:rsidRPr="00083739" w:rsidRDefault="002D49B0">
            <w:pPr>
              <w:spacing w:after="0" w:line="240" w:lineRule="auto"/>
              <w:rPr>
                <w:rFonts w:ascii="Times New Roman" w:eastAsia="Times New Roman" w:hAnsi="Times New Roman" w:cs="Times New Roman"/>
                <w:b/>
                <w:noProof/>
                <w:sz w:val="18"/>
                <w:szCs w:val="18"/>
                <w:lang w:val="sk-SK"/>
              </w:rPr>
            </w:pPr>
          </w:p>
        </w:tc>
        <w:tc>
          <w:tcPr>
            <w:tcW w:w="1514" w:type="dxa"/>
            <w:vMerge/>
            <w:tcBorders>
              <w:top w:val="single" w:sz="4" w:space="0" w:color="auto"/>
              <w:left w:val="single" w:sz="4" w:space="0" w:color="auto"/>
              <w:bottom w:val="single" w:sz="4" w:space="0" w:color="auto"/>
              <w:right w:val="single" w:sz="4" w:space="0" w:color="auto"/>
            </w:tcBorders>
            <w:vAlign w:val="center"/>
            <w:hideMark/>
          </w:tcPr>
          <w:p w14:paraId="065DDDE3" w14:textId="77777777" w:rsidR="002D49B0" w:rsidRPr="00083739" w:rsidRDefault="002D49B0">
            <w:pPr>
              <w:spacing w:after="0" w:line="240" w:lineRule="auto"/>
              <w:rPr>
                <w:rFonts w:ascii="Times New Roman" w:eastAsia="Times New Roman" w:hAnsi="Times New Roman" w:cs="Times New Roman"/>
                <w:b/>
                <w:noProof/>
                <w:sz w:val="18"/>
                <w:szCs w:val="18"/>
                <w:lang w:val="sk-SK"/>
              </w:rPr>
            </w:pPr>
          </w:p>
        </w:tc>
        <w:tc>
          <w:tcPr>
            <w:tcW w:w="937"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5A160DFA"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Merná jednotka</w:t>
            </w:r>
          </w:p>
        </w:tc>
        <w:tc>
          <w:tcPr>
            <w:tcW w:w="1010" w:type="dxa"/>
            <w:tcBorders>
              <w:top w:val="single" w:sz="4" w:space="0" w:color="auto"/>
              <w:left w:val="nil"/>
              <w:bottom w:val="single" w:sz="4" w:space="0" w:color="auto"/>
              <w:right w:val="single" w:sz="4" w:space="0" w:color="auto"/>
            </w:tcBorders>
            <w:shd w:val="clear" w:color="auto" w:fill="BDD7EE"/>
            <w:vAlign w:val="center"/>
            <w:hideMark/>
          </w:tcPr>
          <w:p w14:paraId="1B2318B9"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Základná </w:t>
            </w:r>
          </w:p>
        </w:tc>
        <w:tc>
          <w:tcPr>
            <w:tcW w:w="788" w:type="dxa"/>
            <w:tcBorders>
              <w:top w:val="single" w:sz="4" w:space="0" w:color="auto"/>
              <w:left w:val="nil"/>
              <w:bottom w:val="single" w:sz="4" w:space="0" w:color="auto"/>
              <w:right w:val="single" w:sz="4" w:space="0" w:color="auto"/>
            </w:tcBorders>
            <w:shd w:val="clear" w:color="auto" w:fill="BDD7EE"/>
            <w:vAlign w:val="center"/>
            <w:hideMark/>
          </w:tcPr>
          <w:p w14:paraId="2C783013"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Cieľ </w:t>
            </w:r>
          </w:p>
        </w:tc>
        <w:tc>
          <w:tcPr>
            <w:tcW w:w="947" w:type="dxa"/>
            <w:tcBorders>
              <w:top w:val="single" w:sz="4" w:space="0" w:color="auto"/>
              <w:left w:val="nil"/>
              <w:bottom w:val="single" w:sz="4" w:space="0" w:color="auto"/>
              <w:right w:val="single" w:sz="4" w:space="0" w:color="auto"/>
            </w:tcBorders>
            <w:shd w:val="clear" w:color="auto" w:fill="BDD7EE"/>
            <w:vAlign w:val="center"/>
            <w:hideMark/>
          </w:tcPr>
          <w:p w14:paraId="19D90B97"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Štvrtina</w:t>
            </w:r>
          </w:p>
        </w:tc>
        <w:tc>
          <w:tcPr>
            <w:tcW w:w="680" w:type="dxa"/>
            <w:tcBorders>
              <w:top w:val="single" w:sz="4" w:space="0" w:color="auto"/>
              <w:left w:val="nil"/>
              <w:bottom w:val="single" w:sz="4" w:space="0" w:color="auto"/>
              <w:right w:val="single" w:sz="4" w:space="0" w:color="auto"/>
            </w:tcBorders>
            <w:shd w:val="clear" w:color="auto" w:fill="BDD7EE"/>
            <w:vAlign w:val="center"/>
            <w:hideMark/>
          </w:tcPr>
          <w:p w14:paraId="369E6CA8"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Rok</w:t>
            </w:r>
          </w:p>
        </w:tc>
        <w:tc>
          <w:tcPr>
            <w:tcW w:w="4090" w:type="dxa"/>
            <w:vMerge/>
            <w:tcBorders>
              <w:top w:val="single" w:sz="4" w:space="0" w:color="auto"/>
              <w:bottom w:val="single" w:sz="4" w:space="0" w:color="auto"/>
              <w:right w:val="single" w:sz="4" w:space="0" w:color="auto"/>
            </w:tcBorders>
            <w:vAlign w:val="center"/>
            <w:hideMark/>
          </w:tcPr>
          <w:p w14:paraId="76BB49D6" w14:textId="77777777" w:rsidR="002D49B0" w:rsidRPr="00083739" w:rsidRDefault="002D49B0">
            <w:pPr>
              <w:spacing w:after="0" w:line="240" w:lineRule="auto"/>
              <w:rPr>
                <w:rFonts w:ascii="Times New Roman" w:eastAsia="Times New Roman" w:hAnsi="Times New Roman" w:cs="Times New Roman"/>
                <w:b/>
                <w:noProof/>
                <w:sz w:val="18"/>
                <w:szCs w:val="18"/>
                <w:lang w:val="sk-SK"/>
              </w:rPr>
            </w:pPr>
          </w:p>
        </w:tc>
      </w:tr>
      <w:tr w:rsidR="002D49B0" w:rsidRPr="00083739" w14:paraId="45C81D47" w14:textId="77777777">
        <w:trPr>
          <w:trHeight w:val="313"/>
          <w:jc w:val="center"/>
        </w:trPr>
        <w:tc>
          <w:tcPr>
            <w:tcW w:w="1080" w:type="dxa"/>
            <w:tcBorders>
              <w:top w:val="single" w:sz="4" w:space="0" w:color="auto"/>
              <w:left w:val="single" w:sz="4" w:space="0" w:color="auto"/>
              <w:bottom w:val="single" w:sz="4" w:space="0" w:color="auto"/>
              <w:right w:val="single" w:sz="4" w:space="0" w:color="auto"/>
            </w:tcBorders>
            <w:shd w:val="clear" w:color="auto" w:fill="C6EFCE"/>
            <w:noWrap/>
          </w:tcPr>
          <w:p w14:paraId="1E3028D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100</w:t>
            </w:r>
          </w:p>
        </w:tc>
        <w:tc>
          <w:tcPr>
            <w:tcW w:w="1855" w:type="dxa"/>
            <w:tcBorders>
              <w:top w:val="single" w:sz="4" w:space="0" w:color="auto"/>
              <w:left w:val="nil"/>
              <w:bottom w:val="single" w:sz="4" w:space="0" w:color="auto"/>
              <w:right w:val="single" w:sz="4" w:space="0" w:color="auto"/>
            </w:tcBorders>
            <w:shd w:val="clear" w:color="auto" w:fill="C6EFCE"/>
            <w:noWrap/>
          </w:tcPr>
          <w:p w14:paraId="389CC4AF" w14:textId="2B1235DF"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6 – 2.2. Modernizácia – 16779_Interoperabilita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rozvoj webových služieb</w:t>
            </w:r>
          </w:p>
        </w:tc>
        <w:tc>
          <w:tcPr>
            <w:tcW w:w="1101" w:type="dxa"/>
            <w:tcBorders>
              <w:top w:val="single" w:sz="4" w:space="0" w:color="auto"/>
              <w:left w:val="nil"/>
              <w:bottom w:val="single" w:sz="4" w:space="0" w:color="auto"/>
              <w:right w:val="single" w:sz="4" w:space="0" w:color="auto"/>
            </w:tcBorders>
            <w:shd w:val="clear" w:color="auto" w:fill="C6EFCE"/>
            <w:noWrap/>
          </w:tcPr>
          <w:p w14:paraId="713246F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87" w:type="dxa"/>
            <w:tcBorders>
              <w:top w:val="single" w:sz="4" w:space="0" w:color="auto"/>
              <w:left w:val="nil"/>
              <w:bottom w:val="single" w:sz="4" w:space="0" w:color="auto"/>
              <w:right w:val="single" w:sz="4" w:space="0" w:color="auto"/>
            </w:tcBorders>
            <w:shd w:val="clear" w:color="auto" w:fill="C6EFCE"/>
            <w:noWrap/>
          </w:tcPr>
          <w:p w14:paraId="30D93FF5" w14:textId="23928FA0"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Zadanie zákazky na</w:t>
            </w:r>
            <w:r w:rsidRPr="00083739">
              <w:rPr>
                <w:rFonts w:ascii="Times New Roman" w:hAnsi="Times New Roman" w:cs="Times New Roman"/>
                <w:noProof/>
                <w:lang w:val="sk-SK"/>
              </w:rPr>
              <w:t xml:space="preserve"> projekt rozvoja interoperability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webových služieb</w:t>
            </w:r>
          </w:p>
        </w:tc>
        <w:tc>
          <w:tcPr>
            <w:tcW w:w="1514" w:type="dxa"/>
            <w:tcBorders>
              <w:top w:val="single" w:sz="4" w:space="0" w:color="auto"/>
              <w:left w:val="nil"/>
              <w:bottom w:val="single" w:sz="4" w:space="0" w:color="auto"/>
              <w:right w:val="single" w:sz="4" w:space="0" w:color="auto"/>
            </w:tcBorders>
            <w:shd w:val="clear" w:color="auto" w:fill="C6EFCE"/>
            <w:noWrap/>
          </w:tcPr>
          <w:p w14:paraId="197765C2" w14:textId="7D955B7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Oznámenie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zadaní zákazky</w:t>
            </w:r>
          </w:p>
        </w:tc>
        <w:tc>
          <w:tcPr>
            <w:tcW w:w="937" w:type="dxa"/>
            <w:tcBorders>
              <w:top w:val="single" w:sz="4" w:space="0" w:color="auto"/>
              <w:left w:val="nil"/>
              <w:bottom w:val="single" w:sz="4" w:space="0" w:color="auto"/>
              <w:right w:val="single" w:sz="4" w:space="0" w:color="auto"/>
            </w:tcBorders>
            <w:shd w:val="clear" w:color="auto" w:fill="C6EFCE"/>
            <w:noWrap/>
          </w:tcPr>
          <w:p w14:paraId="14878F75"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10" w:type="dxa"/>
            <w:tcBorders>
              <w:top w:val="single" w:sz="4" w:space="0" w:color="auto"/>
              <w:left w:val="nil"/>
              <w:bottom w:val="single" w:sz="4" w:space="0" w:color="auto"/>
              <w:right w:val="single" w:sz="4" w:space="0" w:color="auto"/>
            </w:tcBorders>
            <w:shd w:val="clear" w:color="auto" w:fill="C6EFCE"/>
            <w:noWrap/>
          </w:tcPr>
          <w:p w14:paraId="2F973606"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788" w:type="dxa"/>
            <w:tcBorders>
              <w:top w:val="single" w:sz="4" w:space="0" w:color="auto"/>
              <w:left w:val="nil"/>
              <w:bottom w:val="single" w:sz="4" w:space="0" w:color="auto"/>
              <w:right w:val="single" w:sz="4" w:space="0" w:color="auto"/>
            </w:tcBorders>
            <w:shd w:val="clear" w:color="auto" w:fill="C6EFCE"/>
            <w:noWrap/>
          </w:tcPr>
          <w:p w14:paraId="570058B3"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47" w:type="dxa"/>
            <w:tcBorders>
              <w:top w:val="single" w:sz="4" w:space="0" w:color="auto"/>
              <w:left w:val="nil"/>
              <w:bottom w:val="single" w:sz="4" w:space="0" w:color="auto"/>
              <w:right w:val="single" w:sz="4" w:space="0" w:color="auto"/>
            </w:tcBorders>
            <w:shd w:val="clear" w:color="auto" w:fill="C6EFCE"/>
            <w:noWrap/>
          </w:tcPr>
          <w:p w14:paraId="4357A0A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680" w:type="dxa"/>
            <w:tcBorders>
              <w:top w:val="single" w:sz="4" w:space="0" w:color="auto"/>
              <w:left w:val="nil"/>
              <w:bottom w:val="single" w:sz="4" w:space="0" w:color="auto"/>
              <w:right w:val="single" w:sz="4" w:space="0" w:color="auto"/>
            </w:tcBorders>
            <w:shd w:val="clear" w:color="auto" w:fill="C6EFCE"/>
            <w:noWrap/>
          </w:tcPr>
          <w:p w14:paraId="13BBB19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2022</w:t>
            </w:r>
          </w:p>
        </w:tc>
        <w:tc>
          <w:tcPr>
            <w:tcW w:w="4090" w:type="dxa"/>
            <w:tcBorders>
              <w:top w:val="single" w:sz="4" w:space="0" w:color="auto"/>
              <w:left w:val="nil"/>
              <w:bottom w:val="single" w:sz="4" w:space="0" w:color="auto"/>
              <w:right w:val="single" w:sz="4" w:space="0" w:color="auto"/>
            </w:tcBorders>
            <w:shd w:val="clear" w:color="auto" w:fill="C6EFCE"/>
            <w:noWrap/>
          </w:tcPr>
          <w:p w14:paraId="04E104A3" w14:textId="3BF243CF"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Zadanie zákazky na projekt rozvoja interoperability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webových služieb</w:t>
            </w:r>
            <w:r w:rsidR="00083739" w:rsidRPr="00083739">
              <w:rPr>
                <w:rFonts w:ascii="Times New Roman" w:hAnsi="Times New Roman" w:cs="Times New Roman"/>
                <w:noProof/>
                <w:lang w:val="sk-SK"/>
              </w:rPr>
              <w:t>.</w:t>
            </w:r>
          </w:p>
          <w:p w14:paraId="31F95895" w14:textId="54916444"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Ministerstvo/generálny sekretariát informačných systémov pre verejný sektor/KD </w:t>
            </w:r>
            <w:r w:rsidRPr="00083739">
              <w:rPr>
                <w:rFonts w:ascii="Times New Roman" w:hAnsi="Times New Roman" w:cs="Times New Roman"/>
                <w:noProof/>
                <w:lang w:val="sk-SK"/>
              </w:rPr>
              <w:t>informačnej spoločnosti preskúma všetky predložené návrhy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potvrdí, či žiadosti náležite riešia požiadavky RFP.     Ministerstvo po výbere príslušného dodávateľa pristúpi</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zadaniu zákazky,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ktorom sa vymedzia povinnosti, úlohy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zodpovednosti oboch zmlu</w:t>
            </w:r>
            <w:r w:rsidRPr="00083739">
              <w:rPr>
                <w:rFonts w:ascii="Times New Roman" w:hAnsi="Times New Roman" w:cs="Times New Roman"/>
                <w:noProof/>
                <w:lang w:val="sk-SK"/>
              </w:rPr>
              <w:t>vných strán.</w:t>
            </w:r>
          </w:p>
        </w:tc>
      </w:tr>
      <w:tr w:rsidR="002D49B0" w:rsidRPr="00083739" w14:paraId="282AA1C2" w14:textId="77777777">
        <w:trPr>
          <w:trHeight w:val="313"/>
          <w:jc w:val="center"/>
        </w:trPr>
        <w:tc>
          <w:tcPr>
            <w:tcW w:w="1080" w:type="dxa"/>
            <w:tcBorders>
              <w:top w:val="nil"/>
              <w:left w:val="single" w:sz="4" w:space="0" w:color="auto"/>
              <w:bottom w:val="single" w:sz="4" w:space="0" w:color="auto"/>
              <w:right w:val="single" w:sz="4" w:space="0" w:color="auto"/>
            </w:tcBorders>
            <w:shd w:val="clear" w:color="auto" w:fill="C6EFCE"/>
            <w:noWrap/>
          </w:tcPr>
          <w:p w14:paraId="2917FBC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101</w:t>
            </w:r>
          </w:p>
        </w:tc>
        <w:tc>
          <w:tcPr>
            <w:tcW w:w="1855" w:type="dxa"/>
            <w:tcBorders>
              <w:top w:val="nil"/>
              <w:left w:val="nil"/>
              <w:bottom w:val="single" w:sz="4" w:space="0" w:color="auto"/>
              <w:right w:val="single" w:sz="4" w:space="0" w:color="auto"/>
            </w:tcBorders>
            <w:shd w:val="clear" w:color="auto" w:fill="C6EFCE"/>
            <w:noWrap/>
          </w:tcPr>
          <w:p w14:paraId="1822794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6 – 2.2. Modernizácia – 16810_CRM pre verejnú správu</w:t>
            </w:r>
          </w:p>
        </w:tc>
        <w:tc>
          <w:tcPr>
            <w:tcW w:w="1101" w:type="dxa"/>
            <w:tcBorders>
              <w:top w:val="nil"/>
              <w:left w:val="nil"/>
              <w:bottom w:val="single" w:sz="4" w:space="0" w:color="auto"/>
              <w:right w:val="single" w:sz="4" w:space="0" w:color="auto"/>
            </w:tcBorders>
            <w:shd w:val="clear" w:color="auto" w:fill="C6EFCE"/>
            <w:noWrap/>
          </w:tcPr>
          <w:p w14:paraId="7D9361E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87" w:type="dxa"/>
            <w:tcBorders>
              <w:top w:val="nil"/>
              <w:left w:val="nil"/>
              <w:bottom w:val="single" w:sz="4" w:space="0" w:color="auto"/>
              <w:right w:val="single" w:sz="4" w:space="0" w:color="auto"/>
            </w:tcBorders>
            <w:shd w:val="clear" w:color="auto" w:fill="C6EFCE"/>
            <w:noWrap/>
          </w:tcPr>
          <w:p w14:paraId="1A207F5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Zadanie zákazky na CRM pre verejnú správu </w:t>
            </w:r>
          </w:p>
        </w:tc>
        <w:tc>
          <w:tcPr>
            <w:tcW w:w="1514" w:type="dxa"/>
            <w:tcBorders>
              <w:top w:val="nil"/>
              <w:left w:val="nil"/>
              <w:bottom w:val="single" w:sz="4" w:space="0" w:color="auto"/>
              <w:right w:val="single" w:sz="4" w:space="0" w:color="auto"/>
            </w:tcBorders>
            <w:shd w:val="clear" w:color="auto" w:fill="C6EFCE"/>
            <w:noWrap/>
          </w:tcPr>
          <w:p w14:paraId="6BC2EA86" w14:textId="6B46045E"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Oznámenie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zadaní zákazky</w:t>
            </w:r>
          </w:p>
        </w:tc>
        <w:tc>
          <w:tcPr>
            <w:tcW w:w="937" w:type="dxa"/>
            <w:tcBorders>
              <w:top w:val="nil"/>
              <w:left w:val="nil"/>
              <w:bottom w:val="single" w:sz="4" w:space="0" w:color="auto"/>
              <w:right w:val="single" w:sz="4" w:space="0" w:color="auto"/>
            </w:tcBorders>
            <w:shd w:val="clear" w:color="auto" w:fill="C6EFCE"/>
            <w:noWrap/>
          </w:tcPr>
          <w:p w14:paraId="2FAC0B6B"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10" w:type="dxa"/>
            <w:tcBorders>
              <w:top w:val="nil"/>
              <w:left w:val="nil"/>
              <w:bottom w:val="single" w:sz="4" w:space="0" w:color="auto"/>
              <w:right w:val="single" w:sz="4" w:space="0" w:color="auto"/>
            </w:tcBorders>
            <w:shd w:val="clear" w:color="auto" w:fill="C6EFCE"/>
            <w:noWrap/>
          </w:tcPr>
          <w:p w14:paraId="763EE1B5"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788" w:type="dxa"/>
            <w:tcBorders>
              <w:top w:val="nil"/>
              <w:left w:val="nil"/>
              <w:bottom w:val="single" w:sz="4" w:space="0" w:color="auto"/>
              <w:right w:val="single" w:sz="4" w:space="0" w:color="auto"/>
            </w:tcBorders>
            <w:shd w:val="clear" w:color="auto" w:fill="C6EFCE"/>
            <w:noWrap/>
          </w:tcPr>
          <w:p w14:paraId="6565D4C9"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47" w:type="dxa"/>
            <w:tcBorders>
              <w:top w:val="nil"/>
              <w:left w:val="nil"/>
              <w:bottom w:val="single" w:sz="4" w:space="0" w:color="auto"/>
              <w:right w:val="single" w:sz="4" w:space="0" w:color="auto"/>
            </w:tcBorders>
            <w:shd w:val="clear" w:color="auto" w:fill="C6EFCE"/>
            <w:noWrap/>
          </w:tcPr>
          <w:p w14:paraId="0EA122E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680" w:type="dxa"/>
            <w:tcBorders>
              <w:top w:val="nil"/>
              <w:left w:val="nil"/>
              <w:bottom w:val="single" w:sz="4" w:space="0" w:color="auto"/>
              <w:right w:val="single" w:sz="4" w:space="0" w:color="auto"/>
            </w:tcBorders>
            <w:shd w:val="clear" w:color="auto" w:fill="C6EFCE"/>
            <w:noWrap/>
          </w:tcPr>
          <w:p w14:paraId="56C593E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2022</w:t>
            </w:r>
          </w:p>
        </w:tc>
        <w:tc>
          <w:tcPr>
            <w:tcW w:w="4090" w:type="dxa"/>
            <w:tcBorders>
              <w:top w:val="nil"/>
              <w:left w:val="nil"/>
              <w:bottom w:val="single" w:sz="4" w:space="0" w:color="auto"/>
              <w:right w:val="single" w:sz="4" w:space="0" w:color="auto"/>
            </w:tcBorders>
            <w:shd w:val="clear" w:color="auto" w:fill="C6EFCE"/>
            <w:noWrap/>
          </w:tcPr>
          <w:p w14:paraId="6D68606C" w14:textId="363454F7"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 xml:space="preserve">Zadanie zákazky na CRM pre verejnú správu. Ministerstvo/generálny sekretariát </w:t>
            </w:r>
            <w:r w:rsidRPr="00083739">
              <w:rPr>
                <w:rFonts w:ascii="Times New Roman" w:hAnsi="Times New Roman" w:cs="Times New Roman"/>
                <w:noProof/>
                <w:lang w:val="sk-SK"/>
              </w:rPr>
              <w:t>informačných systémov pre verejný sektor/KD informačnej spoločnosti preskúma všetky predložené návrhy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potvrdí, či žiadosti náležite riešia požiadavky RFP</w:t>
            </w:r>
            <w:r w:rsidR="00083739" w:rsidRPr="00083739">
              <w:rPr>
                <w:rFonts w:ascii="Times New Roman" w:hAnsi="Times New Roman" w:cs="Times New Roman"/>
                <w:noProof/>
                <w:lang w:val="sk-SK"/>
              </w:rPr>
              <w:t>.</w:t>
            </w:r>
          </w:p>
          <w:p w14:paraId="29A132E7" w14:textId="3C175E8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  Ministerstvo po výbere príslušného externého partnera pristúpi</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zadaniu zákazky,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ktorom sa vym</w:t>
            </w:r>
            <w:r w:rsidRPr="00083739">
              <w:rPr>
                <w:rFonts w:ascii="Times New Roman" w:hAnsi="Times New Roman" w:cs="Times New Roman"/>
                <w:noProof/>
                <w:lang w:val="sk-SK"/>
              </w:rPr>
              <w:t>edzia povinnosti, úlohy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zodpovednosti oboch zmluvných strán.</w:t>
            </w:r>
          </w:p>
        </w:tc>
      </w:tr>
      <w:tr w:rsidR="002D49B0" w:rsidRPr="00083739" w14:paraId="65AD5A4B" w14:textId="77777777">
        <w:trPr>
          <w:trHeight w:val="313"/>
          <w:jc w:val="center"/>
        </w:trPr>
        <w:tc>
          <w:tcPr>
            <w:tcW w:w="1080" w:type="dxa"/>
            <w:tcBorders>
              <w:top w:val="nil"/>
              <w:left w:val="single" w:sz="4" w:space="0" w:color="auto"/>
              <w:bottom w:val="single" w:sz="4" w:space="0" w:color="auto"/>
              <w:right w:val="single" w:sz="4" w:space="0" w:color="auto"/>
            </w:tcBorders>
            <w:shd w:val="clear" w:color="auto" w:fill="C6EFCE"/>
            <w:noWrap/>
          </w:tcPr>
          <w:p w14:paraId="068C612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102</w:t>
            </w:r>
          </w:p>
        </w:tc>
        <w:tc>
          <w:tcPr>
            <w:tcW w:w="1855" w:type="dxa"/>
            <w:tcBorders>
              <w:top w:val="nil"/>
              <w:left w:val="nil"/>
              <w:bottom w:val="single" w:sz="4" w:space="0" w:color="auto"/>
              <w:right w:val="single" w:sz="4" w:space="0" w:color="auto"/>
            </w:tcBorders>
            <w:shd w:val="clear" w:color="auto" w:fill="C6EFCE"/>
            <w:noWrap/>
          </w:tcPr>
          <w:p w14:paraId="5277C83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6 – 2.2. Modernizácia – 16780_Ďalšia modernizácia jednotných kontaktných miest verejnej správy</w:t>
            </w:r>
          </w:p>
        </w:tc>
        <w:tc>
          <w:tcPr>
            <w:tcW w:w="1101" w:type="dxa"/>
            <w:tcBorders>
              <w:top w:val="nil"/>
              <w:left w:val="nil"/>
              <w:bottom w:val="single" w:sz="4" w:space="0" w:color="auto"/>
              <w:right w:val="single" w:sz="4" w:space="0" w:color="auto"/>
            </w:tcBorders>
            <w:shd w:val="clear" w:color="auto" w:fill="C6EFCE"/>
            <w:noWrap/>
          </w:tcPr>
          <w:p w14:paraId="5847F46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87" w:type="dxa"/>
            <w:tcBorders>
              <w:top w:val="nil"/>
              <w:left w:val="nil"/>
              <w:bottom w:val="single" w:sz="4" w:space="0" w:color="auto"/>
              <w:right w:val="single" w:sz="4" w:space="0" w:color="auto"/>
            </w:tcBorders>
            <w:shd w:val="clear" w:color="auto" w:fill="C6EFCE"/>
            <w:noWrap/>
          </w:tcPr>
          <w:p w14:paraId="5B776C1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Zadanie zákazky na ďalšiu modernizáciu jednotných kontaktných miest verejnej správy</w:t>
            </w:r>
          </w:p>
        </w:tc>
        <w:tc>
          <w:tcPr>
            <w:tcW w:w="1514" w:type="dxa"/>
            <w:tcBorders>
              <w:top w:val="nil"/>
              <w:left w:val="nil"/>
              <w:bottom w:val="single" w:sz="4" w:space="0" w:color="auto"/>
              <w:right w:val="single" w:sz="4" w:space="0" w:color="auto"/>
            </w:tcBorders>
            <w:shd w:val="clear" w:color="auto" w:fill="C6EFCE"/>
            <w:noWrap/>
          </w:tcPr>
          <w:p w14:paraId="0F7A2D9C" w14:textId="5F2E1B82"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Oznámenie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zadaní zákazky</w:t>
            </w:r>
          </w:p>
        </w:tc>
        <w:tc>
          <w:tcPr>
            <w:tcW w:w="937" w:type="dxa"/>
            <w:tcBorders>
              <w:top w:val="nil"/>
              <w:left w:val="nil"/>
              <w:bottom w:val="single" w:sz="4" w:space="0" w:color="auto"/>
              <w:right w:val="single" w:sz="4" w:space="0" w:color="auto"/>
            </w:tcBorders>
            <w:shd w:val="clear" w:color="auto" w:fill="C6EFCE"/>
            <w:noWrap/>
          </w:tcPr>
          <w:p w14:paraId="5D347430"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10" w:type="dxa"/>
            <w:tcBorders>
              <w:top w:val="nil"/>
              <w:left w:val="nil"/>
              <w:bottom w:val="single" w:sz="4" w:space="0" w:color="auto"/>
              <w:right w:val="single" w:sz="4" w:space="0" w:color="auto"/>
            </w:tcBorders>
            <w:shd w:val="clear" w:color="auto" w:fill="C6EFCE"/>
            <w:noWrap/>
          </w:tcPr>
          <w:p w14:paraId="405A5052"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788" w:type="dxa"/>
            <w:tcBorders>
              <w:top w:val="nil"/>
              <w:left w:val="nil"/>
              <w:bottom w:val="single" w:sz="4" w:space="0" w:color="auto"/>
              <w:right w:val="single" w:sz="4" w:space="0" w:color="auto"/>
            </w:tcBorders>
            <w:shd w:val="clear" w:color="auto" w:fill="C6EFCE"/>
            <w:noWrap/>
          </w:tcPr>
          <w:p w14:paraId="63C82F6E"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47" w:type="dxa"/>
            <w:tcBorders>
              <w:top w:val="nil"/>
              <w:left w:val="nil"/>
              <w:bottom w:val="single" w:sz="4" w:space="0" w:color="auto"/>
              <w:right w:val="single" w:sz="4" w:space="0" w:color="auto"/>
            </w:tcBorders>
            <w:shd w:val="clear" w:color="auto" w:fill="C6EFCE"/>
            <w:noWrap/>
          </w:tcPr>
          <w:p w14:paraId="11D0806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680" w:type="dxa"/>
            <w:tcBorders>
              <w:top w:val="nil"/>
              <w:left w:val="nil"/>
              <w:bottom w:val="single" w:sz="4" w:space="0" w:color="auto"/>
              <w:right w:val="single" w:sz="4" w:space="0" w:color="auto"/>
            </w:tcBorders>
            <w:shd w:val="clear" w:color="auto" w:fill="C6EFCE"/>
            <w:noWrap/>
          </w:tcPr>
          <w:p w14:paraId="06DAC96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2022</w:t>
            </w:r>
          </w:p>
        </w:tc>
        <w:tc>
          <w:tcPr>
            <w:tcW w:w="4090" w:type="dxa"/>
            <w:tcBorders>
              <w:top w:val="nil"/>
              <w:left w:val="nil"/>
              <w:bottom w:val="single" w:sz="4" w:space="0" w:color="auto"/>
              <w:right w:val="single" w:sz="4" w:space="0" w:color="auto"/>
            </w:tcBorders>
            <w:shd w:val="clear" w:color="auto" w:fill="C6EFCE"/>
            <w:noWrap/>
          </w:tcPr>
          <w:p w14:paraId="60232665" w14:textId="77777777"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Zadanie zákazky na modernizáciu jednotných kontaktných miest verejnej správy</w:t>
            </w:r>
            <w:r w:rsidR="00083739" w:rsidRPr="00083739">
              <w:rPr>
                <w:rFonts w:ascii="Times New Roman" w:hAnsi="Times New Roman" w:cs="Times New Roman"/>
                <w:noProof/>
                <w:lang w:val="sk-SK"/>
              </w:rPr>
              <w:t>.</w:t>
            </w:r>
          </w:p>
          <w:p w14:paraId="0CFD1F7B" w14:textId="673AE51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Ministerstvo/generálny sekretariát informačných systémov pre verejný sektor/KD informačnej spoločnosti zabezpečí, aby sa preskú</w:t>
            </w:r>
            <w:r w:rsidRPr="00083739">
              <w:rPr>
                <w:rFonts w:ascii="Times New Roman" w:hAnsi="Times New Roman" w:cs="Times New Roman"/>
                <w:noProof/>
                <w:lang w:val="sk-SK"/>
              </w:rPr>
              <w:t>mali všetky predložené návrhy,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potvrdí, či žiadosti náležite zodpovedajú požiadavkám RFP.    Ministerstvo po výbere príslušného externého partnera pristúpi</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zadaniu zákazky,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ktorom sa vymedzia povinnosti, úlohy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zodpovednosti oboch zmluvných strán.</w:t>
            </w:r>
          </w:p>
        </w:tc>
      </w:tr>
      <w:tr w:rsidR="002D49B0" w:rsidRPr="00083739" w14:paraId="6274B493" w14:textId="77777777">
        <w:trPr>
          <w:trHeight w:val="313"/>
          <w:jc w:val="center"/>
        </w:trPr>
        <w:tc>
          <w:tcPr>
            <w:tcW w:w="1080" w:type="dxa"/>
            <w:tcBorders>
              <w:top w:val="nil"/>
              <w:left w:val="single" w:sz="4" w:space="0" w:color="auto"/>
              <w:bottom w:val="single" w:sz="4" w:space="0" w:color="auto"/>
              <w:right w:val="single" w:sz="4" w:space="0" w:color="auto"/>
            </w:tcBorders>
            <w:shd w:val="clear" w:color="auto" w:fill="C6EFCE"/>
            <w:noWrap/>
          </w:tcPr>
          <w:p w14:paraId="466DDA5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103</w:t>
            </w:r>
          </w:p>
        </w:tc>
        <w:tc>
          <w:tcPr>
            <w:tcW w:w="1855" w:type="dxa"/>
            <w:tcBorders>
              <w:top w:val="nil"/>
              <w:left w:val="nil"/>
              <w:bottom w:val="single" w:sz="4" w:space="0" w:color="auto"/>
              <w:right w:val="single" w:sz="4" w:space="0" w:color="auto"/>
            </w:tcBorders>
            <w:shd w:val="clear" w:color="auto" w:fill="C6EFCE"/>
            <w:noWrap/>
          </w:tcPr>
          <w:p w14:paraId="7F5D44E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6 – 2.2. Modernizácia – 16736_Nový systém verejného obstarávania</w:t>
            </w:r>
          </w:p>
        </w:tc>
        <w:tc>
          <w:tcPr>
            <w:tcW w:w="1101" w:type="dxa"/>
            <w:tcBorders>
              <w:top w:val="nil"/>
              <w:left w:val="nil"/>
              <w:bottom w:val="single" w:sz="4" w:space="0" w:color="auto"/>
              <w:right w:val="single" w:sz="4" w:space="0" w:color="auto"/>
            </w:tcBorders>
            <w:shd w:val="clear" w:color="auto" w:fill="C6EFCE"/>
            <w:noWrap/>
          </w:tcPr>
          <w:p w14:paraId="3829D00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87" w:type="dxa"/>
            <w:tcBorders>
              <w:top w:val="nil"/>
              <w:left w:val="nil"/>
              <w:bottom w:val="single" w:sz="4" w:space="0" w:color="auto"/>
              <w:right w:val="single" w:sz="4" w:space="0" w:color="auto"/>
            </w:tcBorders>
            <w:shd w:val="clear" w:color="auto" w:fill="C6EFCE"/>
            <w:noWrap/>
          </w:tcPr>
          <w:p w14:paraId="371D67B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Zadávanie zákaziek na nový systém verejného obstarávania</w:t>
            </w:r>
          </w:p>
        </w:tc>
        <w:tc>
          <w:tcPr>
            <w:tcW w:w="1514" w:type="dxa"/>
            <w:tcBorders>
              <w:top w:val="nil"/>
              <w:left w:val="nil"/>
              <w:bottom w:val="single" w:sz="4" w:space="0" w:color="auto"/>
              <w:right w:val="single" w:sz="4" w:space="0" w:color="auto"/>
            </w:tcBorders>
            <w:shd w:val="clear" w:color="auto" w:fill="C6EFCE"/>
            <w:noWrap/>
          </w:tcPr>
          <w:p w14:paraId="7E21B265" w14:textId="2F5751C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Oznámenie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zadaní zákazky</w:t>
            </w:r>
          </w:p>
        </w:tc>
        <w:tc>
          <w:tcPr>
            <w:tcW w:w="937" w:type="dxa"/>
            <w:tcBorders>
              <w:top w:val="nil"/>
              <w:left w:val="nil"/>
              <w:bottom w:val="single" w:sz="4" w:space="0" w:color="auto"/>
              <w:right w:val="single" w:sz="4" w:space="0" w:color="auto"/>
            </w:tcBorders>
            <w:shd w:val="clear" w:color="auto" w:fill="C6EFCE"/>
            <w:noWrap/>
          </w:tcPr>
          <w:p w14:paraId="6DC5CCBE"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10" w:type="dxa"/>
            <w:tcBorders>
              <w:top w:val="nil"/>
              <w:left w:val="nil"/>
              <w:bottom w:val="single" w:sz="4" w:space="0" w:color="auto"/>
              <w:right w:val="single" w:sz="4" w:space="0" w:color="auto"/>
            </w:tcBorders>
            <w:shd w:val="clear" w:color="auto" w:fill="C6EFCE"/>
            <w:noWrap/>
          </w:tcPr>
          <w:p w14:paraId="584C7F32"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788" w:type="dxa"/>
            <w:tcBorders>
              <w:top w:val="nil"/>
              <w:left w:val="nil"/>
              <w:bottom w:val="single" w:sz="4" w:space="0" w:color="auto"/>
              <w:right w:val="single" w:sz="4" w:space="0" w:color="auto"/>
            </w:tcBorders>
            <w:shd w:val="clear" w:color="auto" w:fill="C6EFCE"/>
            <w:noWrap/>
          </w:tcPr>
          <w:p w14:paraId="09B889D8"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47" w:type="dxa"/>
            <w:tcBorders>
              <w:top w:val="nil"/>
              <w:left w:val="nil"/>
              <w:bottom w:val="single" w:sz="4" w:space="0" w:color="auto"/>
              <w:right w:val="single" w:sz="4" w:space="0" w:color="auto"/>
            </w:tcBorders>
            <w:shd w:val="clear" w:color="auto" w:fill="C6EFCE"/>
            <w:noWrap/>
          </w:tcPr>
          <w:p w14:paraId="078CCD6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680" w:type="dxa"/>
            <w:tcBorders>
              <w:top w:val="nil"/>
              <w:left w:val="nil"/>
              <w:bottom w:val="single" w:sz="4" w:space="0" w:color="auto"/>
              <w:right w:val="single" w:sz="4" w:space="0" w:color="auto"/>
            </w:tcBorders>
            <w:shd w:val="clear" w:color="auto" w:fill="C6EFCE"/>
            <w:noWrap/>
          </w:tcPr>
          <w:p w14:paraId="3FB1C40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2022</w:t>
            </w:r>
          </w:p>
        </w:tc>
        <w:tc>
          <w:tcPr>
            <w:tcW w:w="4090" w:type="dxa"/>
            <w:tcBorders>
              <w:top w:val="nil"/>
              <w:left w:val="nil"/>
              <w:bottom w:val="single" w:sz="4" w:space="0" w:color="auto"/>
              <w:right w:val="single" w:sz="4" w:space="0" w:color="auto"/>
            </w:tcBorders>
            <w:shd w:val="clear" w:color="auto" w:fill="C6EFCE"/>
            <w:noWrap/>
          </w:tcPr>
          <w:p w14:paraId="21B972C5" w14:textId="5ED05C3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Zadanie zákazky na nový systém verejného obstarávania projektu. </w:t>
            </w:r>
            <w:r w:rsidRPr="00083739">
              <w:rPr>
                <w:rFonts w:ascii="Times New Roman" w:hAnsi="Times New Roman" w:cs="Times New Roman"/>
                <w:noProof/>
                <w:lang w:val="sk-SK"/>
              </w:rPr>
              <w:t>Ministerstvo/generálny sekretariát informačných systémov pre verejný sektor/dozorný dozorný orgán informačnej spoločnosti preskúma všetky predložené návrhy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potvrdí, či žiadosti náležite spĺňajú požiadavky RfP.     Po výbere príslušného dodávateľa zodpove</w:t>
            </w:r>
            <w:r w:rsidRPr="00083739">
              <w:rPr>
                <w:rFonts w:ascii="Times New Roman" w:hAnsi="Times New Roman" w:cs="Times New Roman"/>
                <w:noProof/>
                <w:lang w:val="sk-SK"/>
              </w:rPr>
              <w:t>dný orgán pristúpi</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zadaniu zákazky,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ktorom sa vymedzia povinnosti, úlohy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zodpovednosti oboch zmluvných strán.</w:t>
            </w:r>
          </w:p>
        </w:tc>
      </w:tr>
      <w:tr w:rsidR="002D49B0" w:rsidRPr="00083739" w14:paraId="320C6691" w14:textId="77777777">
        <w:trPr>
          <w:trHeight w:val="313"/>
          <w:jc w:val="center"/>
        </w:trPr>
        <w:tc>
          <w:tcPr>
            <w:tcW w:w="1080" w:type="dxa"/>
            <w:tcBorders>
              <w:top w:val="nil"/>
              <w:left w:val="single" w:sz="4" w:space="0" w:color="auto"/>
              <w:bottom w:val="single" w:sz="4" w:space="0" w:color="auto"/>
              <w:right w:val="single" w:sz="4" w:space="0" w:color="auto"/>
            </w:tcBorders>
            <w:shd w:val="clear" w:color="auto" w:fill="C6EFCE"/>
            <w:noWrap/>
          </w:tcPr>
          <w:p w14:paraId="3240506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104</w:t>
            </w:r>
          </w:p>
        </w:tc>
        <w:tc>
          <w:tcPr>
            <w:tcW w:w="1855" w:type="dxa"/>
            <w:tcBorders>
              <w:top w:val="nil"/>
              <w:left w:val="nil"/>
              <w:bottom w:val="single" w:sz="4" w:space="0" w:color="auto"/>
              <w:right w:val="single" w:sz="4" w:space="0" w:color="auto"/>
            </w:tcBorders>
            <w:shd w:val="clear" w:color="auto" w:fill="C6EFCE"/>
            <w:noWrap/>
          </w:tcPr>
          <w:p w14:paraId="685979EC" w14:textId="0C6D6D62"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6 – 2.2. Modernizácia – 16823_Stratégia kybernetickej bezpečnosti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politiky pre verejný sektor</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pokročilé bezpečnostné služby pre </w:t>
            </w:r>
            <w:r w:rsidRPr="00083739">
              <w:rPr>
                <w:rFonts w:ascii="Times New Roman" w:hAnsi="Times New Roman" w:cs="Times New Roman"/>
                <w:noProof/>
                <w:lang w:val="sk-SK"/>
              </w:rPr>
              <w:t>vnútroštátne kritické infraštruktúry</w:t>
            </w:r>
          </w:p>
        </w:tc>
        <w:tc>
          <w:tcPr>
            <w:tcW w:w="1101" w:type="dxa"/>
            <w:tcBorders>
              <w:top w:val="nil"/>
              <w:left w:val="nil"/>
              <w:bottom w:val="single" w:sz="4" w:space="0" w:color="auto"/>
              <w:right w:val="single" w:sz="4" w:space="0" w:color="auto"/>
            </w:tcBorders>
            <w:shd w:val="clear" w:color="auto" w:fill="C6EFCE"/>
            <w:noWrap/>
          </w:tcPr>
          <w:p w14:paraId="4BA7524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87" w:type="dxa"/>
            <w:tcBorders>
              <w:top w:val="nil"/>
              <w:left w:val="nil"/>
              <w:bottom w:val="single" w:sz="4" w:space="0" w:color="auto"/>
              <w:right w:val="single" w:sz="4" w:space="0" w:color="auto"/>
            </w:tcBorders>
            <w:shd w:val="clear" w:color="auto" w:fill="C6EFCE"/>
            <w:noWrap/>
          </w:tcPr>
          <w:p w14:paraId="6D0BB40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Zadanie zákazky na stratégiu kybernetickej bezpečnosti</w:t>
            </w:r>
          </w:p>
        </w:tc>
        <w:tc>
          <w:tcPr>
            <w:tcW w:w="1514" w:type="dxa"/>
            <w:tcBorders>
              <w:top w:val="nil"/>
              <w:left w:val="nil"/>
              <w:bottom w:val="single" w:sz="4" w:space="0" w:color="auto"/>
              <w:right w:val="single" w:sz="4" w:space="0" w:color="auto"/>
            </w:tcBorders>
            <w:shd w:val="clear" w:color="auto" w:fill="C6EFCE"/>
            <w:noWrap/>
          </w:tcPr>
          <w:p w14:paraId="7506224B" w14:textId="5CB5EA38"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Oznámenie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zadaní zákazky</w:t>
            </w:r>
          </w:p>
        </w:tc>
        <w:tc>
          <w:tcPr>
            <w:tcW w:w="937" w:type="dxa"/>
            <w:tcBorders>
              <w:top w:val="nil"/>
              <w:left w:val="nil"/>
              <w:bottom w:val="single" w:sz="4" w:space="0" w:color="auto"/>
              <w:right w:val="single" w:sz="4" w:space="0" w:color="auto"/>
            </w:tcBorders>
            <w:shd w:val="clear" w:color="auto" w:fill="C6EFCE"/>
            <w:noWrap/>
          </w:tcPr>
          <w:p w14:paraId="075E8877"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10" w:type="dxa"/>
            <w:tcBorders>
              <w:top w:val="nil"/>
              <w:left w:val="nil"/>
              <w:bottom w:val="single" w:sz="4" w:space="0" w:color="auto"/>
              <w:right w:val="single" w:sz="4" w:space="0" w:color="auto"/>
            </w:tcBorders>
            <w:shd w:val="clear" w:color="auto" w:fill="C6EFCE"/>
            <w:noWrap/>
          </w:tcPr>
          <w:p w14:paraId="50A60263"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788" w:type="dxa"/>
            <w:tcBorders>
              <w:top w:val="nil"/>
              <w:left w:val="nil"/>
              <w:bottom w:val="single" w:sz="4" w:space="0" w:color="auto"/>
              <w:right w:val="single" w:sz="4" w:space="0" w:color="auto"/>
            </w:tcBorders>
            <w:shd w:val="clear" w:color="auto" w:fill="C6EFCE"/>
            <w:noWrap/>
          </w:tcPr>
          <w:p w14:paraId="0BB682E9"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47" w:type="dxa"/>
            <w:tcBorders>
              <w:top w:val="nil"/>
              <w:left w:val="nil"/>
              <w:bottom w:val="single" w:sz="4" w:space="0" w:color="auto"/>
              <w:right w:val="single" w:sz="4" w:space="0" w:color="auto"/>
            </w:tcBorders>
            <w:shd w:val="clear" w:color="auto" w:fill="C6EFCE"/>
            <w:noWrap/>
          </w:tcPr>
          <w:p w14:paraId="73C8CA2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680" w:type="dxa"/>
            <w:tcBorders>
              <w:top w:val="nil"/>
              <w:left w:val="nil"/>
              <w:bottom w:val="single" w:sz="4" w:space="0" w:color="auto"/>
              <w:right w:val="single" w:sz="4" w:space="0" w:color="auto"/>
            </w:tcBorders>
            <w:shd w:val="clear" w:color="auto" w:fill="C6EFCE"/>
            <w:noWrap/>
          </w:tcPr>
          <w:p w14:paraId="790146F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2022</w:t>
            </w:r>
          </w:p>
        </w:tc>
        <w:tc>
          <w:tcPr>
            <w:tcW w:w="4090" w:type="dxa"/>
            <w:tcBorders>
              <w:top w:val="nil"/>
              <w:left w:val="nil"/>
              <w:bottom w:val="single" w:sz="4" w:space="0" w:color="auto"/>
              <w:right w:val="single" w:sz="4" w:space="0" w:color="auto"/>
            </w:tcBorders>
            <w:shd w:val="clear" w:color="auto" w:fill="C6EFCE"/>
            <w:noWrap/>
          </w:tcPr>
          <w:p w14:paraId="410D308D" w14:textId="226043D0"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Zadanie zákazky na stratégiu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politiky kybernetickej bezpečnosti projektu pre verejný sektor</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pokročilé </w:t>
            </w:r>
            <w:r w:rsidRPr="00083739">
              <w:rPr>
                <w:rFonts w:ascii="Times New Roman" w:hAnsi="Times New Roman" w:cs="Times New Roman"/>
                <w:noProof/>
                <w:lang w:val="sk-SK"/>
              </w:rPr>
              <w:t>bezpečnostné služby pre vnútroštátne kritické infraštruktúry. Po výbere príslušného externého konzultanta ministerstvo pristúpi</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zadaniu zákazky,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ktorom sa vymedzia povinnosti, úlohy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zodpovednosti oboch zmluvných strán.</w:t>
            </w:r>
          </w:p>
        </w:tc>
      </w:tr>
      <w:tr w:rsidR="002D49B0" w:rsidRPr="00083739" w14:paraId="7DAF8157" w14:textId="77777777">
        <w:trPr>
          <w:trHeight w:val="313"/>
          <w:jc w:val="center"/>
        </w:trPr>
        <w:tc>
          <w:tcPr>
            <w:tcW w:w="1080" w:type="dxa"/>
            <w:tcBorders>
              <w:top w:val="nil"/>
              <w:left w:val="single" w:sz="4" w:space="0" w:color="auto"/>
              <w:bottom w:val="single" w:sz="4" w:space="0" w:color="auto"/>
              <w:right w:val="single" w:sz="4" w:space="0" w:color="auto"/>
            </w:tcBorders>
            <w:shd w:val="clear" w:color="auto" w:fill="C6EFCE"/>
            <w:noWrap/>
          </w:tcPr>
          <w:p w14:paraId="20C79E3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105</w:t>
            </w:r>
          </w:p>
        </w:tc>
        <w:tc>
          <w:tcPr>
            <w:tcW w:w="1855" w:type="dxa"/>
            <w:tcBorders>
              <w:top w:val="nil"/>
              <w:left w:val="nil"/>
              <w:bottom w:val="single" w:sz="4" w:space="0" w:color="auto"/>
              <w:right w:val="single" w:sz="4" w:space="0" w:color="auto"/>
            </w:tcBorders>
            <w:shd w:val="clear" w:color="auto" w:fill="C6EFCE"/>
            <w:noWrap/>
          </w:tcPr>
          <w:p w14:paraId="250E9B0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6 – 2.2. Modernizácia – </w:t>
            </w:r>
            <w:r w:rsidRPr="00083739">
              <w:rPr>
                <w:rFonts w:ascii="Times New Roman" w:hAnsi="Times New Roman" w:cs="Times New Roman"/>
                <w:noProof/>
                <w:lang w:val="sk-SK"/>
              </w:rPr>
              <w:t>16826_Programy na zlepšenie digitálnych zručností pre brancov</w:t>
            </w:r>
          </w:p>
        </w:tc>
        <w:tc>
          <w:tcPr>
            <w:tcW w:w="1101" w:type="dxa"/>
            <w:tcBorders>
              <w:top w:val="nil"/>
              <w:left w:val="nil"/>
              <w:bottom w:val="single" w:sz="4" w:space="0" w:color="auto"/>
              <w:right w:val="single" w:sz="4" w:space="0" w:color="auto"/>
            </w:tcBorders>
            <w:shd w:val="clear" w:color="auto" w:fill="C6EFCE"/>
            <w:noWrap/>
          </w:tcPr>
          <w:p w14:paraId="3C5D06B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87" w:type="dxa"/>
            <w:tcBorders>
              <w:top w:val="nil"/>
              <w:left w:val="nil"/>
              <w:bottom w:val="single" w:sz="4" w:space="0" w:color="auto"/>
              <w:right w:val="single" w:sz="4" w:space="0" w:color="auto"/>
            </w:tcBorders>
            <w:shd w:val="clear" w:color="auto" w:fill="C6EFCE"/>
            <w:noWrap/>
          </w:tcPr>
          <w:p w14:paraId="57D8AC9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Zadanie zákazky na programy modernizácie digitálnych zručností pre brancov</w:t>
            </w:r>
          </w:p>
        </w:tc>
        <w:tc>
          <w:tcPr>
            <w:tcW w:w="1514" w:type="dxa"/>
            <w:tcBorders>
              <w:top w:val="nil"/>
              <w:left w:val="nil"/>
              <w:bottom w:val="single" w:sz="4" w:space="0" w:color="auto"/>
              <w:right w:val="single" w:sz="4" w:space="0" w:color="auto"/>
            </w:tcBorders>
            <w:shd w:val="clear" w:color="auto" w:fill="C6EFCE"/>
            <w:noWrap/>
          </w:tcPr>
          <w:p w14:paraId="2E63246F" w14:textId="46D2A58A"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Oznámenie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zadaní zákazky</w:t>
            </w:r>
          </w:p>
        </w:tc>
        <w:tc>
          <w:tcPr>
            <w:tcW w:w="937" w:type="dxa"/>
            <w:tcBorders>
              <w:top w:val="nil"/>
              <w:left w:val="nil"/>
              <w:bottom w:val="single" w:sz="4" w:space="0" w:color="auto"/>
              <w:right w:val="single" w:sz="4" w:space="0" w:color="auto"/>
            </w:tcBorders>
            <w:shd w:val="clear" w:color="auto" w:fill="C6EFCE"/>
            <w:noWrap/>
          </w:tcPr>
          <w:p w14:paraId="2C79738B"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10" w:type="dxa"/>
            <w:tcBorders>
              <w:top w:val="nil"/>
              <w:left w:val="nil"/>
              <w:bottom w:val="single" w:sz="4" w:space="0" w:color="auto"/>
              <w:right w:val="single" w:sz="4" w:space="0" w:color="auto"/>
            </w:tcBorders>
            <w:shd w:val="clear" w:color="auto" w:fill="C6EFCE"/>
            <w:noWrap/>
          </w:tcPr>
          <w:p w14:paraId="4A525E55"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788" w:type="dxa"/>
            <w:tcBorders>
              <w:top w:val="nil"/>
              <w:left w:val="nil"/>
              <w:bottom w:val="single" w:sz="4" w:space="0" w:color="auto"/>
              <w:right w:val="single" w:sz="4" w:space="0" w:color="auto"/>
            </w:tcBorders>
            <w:shd w:val="clear" w:color="auto" w:fill="C6EFCE"/>
            <w:noWrap/>
          </w:tcPr>
          <w:p w14:paraId="54F9BD9E"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47" w:type="dxa"/>
            <w:tcBorders>
              <w:top w:val="nil"/>
              <w:left w:val="nil"/>
              <w:bottom w:val="single" w:sz="4" w:space="0" w:color="auto"/>
              <w:right w:val="single" w:sz="4" w:space="0" w:color="auto"/>
            </w:tcBorders>
            <w:shd w:val="clear" w:color="auto" w:fill="C6EFCE"/>
            <w:noWrap/>
          </w:tcPr>
          <w:p w14:paraId="0BEC2EF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680" w:type="dxa"/>
            <w:tcBorders>
              <w:top w:val="nil"/>
              <w:left w:val="nil"/>
              <w:bottom w:val="single" w:sz="4" w:space="0" w:color="auto"/>
              <w:right w:val="single" w:sz="4" w:space="0" w:color="auto"/>
            </w:tcBorders>
            <w:shd w:val="clear" w:color="auto" w:fill="C6EFCE"/>
            <w:noWrap/>
          </w:tcPr>
          <w:p w14:paraId="7ED2880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2022</w:t>
            </w:r>
          </w:p>
        </w:tc>
        <w:tc>
          <w:tcPr>
            <w:tcW w:w="4090" w:type="dxa"/>
            <w:tcBorders>
              <w:top w:val="nil"/>
              <w:left w:val="nil"/>
              <w:bottom w:val="single" w:sz="4" w:space="0" w:color="auto"/>
              <w:right w:val="single" w:sz="4" w:space="0" w:color="auto"/>
            </w:tcBorders>
            <w:shd w:val="clear" w:color="auto" w:fill="C6EFCE"/>
            <w:noWrap/>
          </w:tcPr>
          <w:p w14:paraId="6DB96DA0" w14:textId="79146E25"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Zadanie zákazky na programy modernizácie digitálnych </w:t>
            </w:r>
            <w:r w:rsidRPr="00083739">
              <w:rPr>
                <w:rFonts w:ascii="Times New Roman" w:hAnsi="Times New Roman" w:cs="Times New Roman"/>
                <w:noProof/>
                <w:lang w:val="sk-SK"/>
              </w:rPr>
              <w:t>zručností pre brancov. Ministerstvo preskúma všetky predložené návrhy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potvrdí, či žiadosti náležite zodpovedajú požiadavkám RFP.     Ministerstvo po výbere príslušného externého partnera pristúpi</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zadaniu zákazky,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ktorom sa vymedzia povinnosti, úlohy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zodpovednosti oboch zmluvných strán.</w:t>
            </w:r>
          </w:p>
        </w:tc>
      </w:tr>
      <w:tr w:rsidR="002D49B0" w:rsidRPr="00083739" w14:paraId="07F23BAD" w14:textId="77777777">
        <w:trPr>
          <w:trHeight w:val="313"/>
          <w:jc w:val="center"/>
        </w:trPr>
        <w:tc>
          <w:tcPr>
            <w:tcW w:w="1080" w:type="dxa"/>
            <w:tcBorders>
              <w:top w:val="nil"/>
              <w:left w:val="single" w:sz="4" w:space="0" w:color="auto"/>
              <w:bottom w:val="single" w:sz="4" w:space="0" w:color="auto"/>
              <w:right w:val="single" w:sz="4" w:space="0" w:color="auto"/>
            </w:tcBorders>
            <w:shd w:val="clear" w:color="auto" w:fill="C6EFCE"/>
            <w:noWrap/>
          </w:tcPr>
          <w:p w14:paraId="5101EE4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106</w:t>
            </w:r>
          </w:p>
        </w:tc>
        <w:tc>
          <w:tcPr>
            <w:tcW w:w="1855" w:type="dxa"/>
            <w:tcBorders>
              <w:top w:val="nil"/>
              <w:left w:val="nil"/>
              <w:bottom w:val="single" w:sz="4" w:space="0" w:color="auto"/>
              <w:right w:val="single" w:sz="4" w:space="0" w:color="auto"/>
            </w:tcBorders>
            <w:shd w:val="clear" w:color="auto" w:fill="C6EFCE"/>
            <w:noWrap/>
          </w:tcPr>
          <w:p w14:paraId="521FD80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6 – 2.2. Modernizácia – 16742_Digitálna transformácia ministerstva zahraničných vecí</w:t>
            </w:r>
          </w:p>
        </w:tc>
        <w:tc>
          <w:tcPr>
            <w:tcW w:w="1101" w:type="dxa"/>
            <w:tcBorders>
              <w:top w:val="nil"/>
              <w:left w:val="nil"/>
              <w:bottom w:val="single" w:sz="4" w:space="0" w:color="auto"/>
              <w:right w:val="single" w:sz="4" w:space="0" w:color="auto"/>
            </w:tcBorders>
            <w:shd w:val="clear" w:color="auto" w:fill="C6EFCE"/>
            <w:noWrap/>
          </w:tcPr>
          <w:p w14:paraId="2AAED55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87" w:type="dxa"/>
            <w:tcBorders>
              <w:top w:val="nil"/>
              <w:left w:val="nil"/>
              <w:bottom w:val="single" w:sz="4" w:space="0" w:color="auto"/>
              <w:right w:val="single" w:sz="4" w:space="0" w:color="auto"/>
            </w:tcBorders>
            <w:shd w:val="clear" w:color="auto" w:fill="C6EFCE"/>
            <w:noWrap/>
          </w:tcPr>
          <w:p w14:paraId="103B33D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Zadanie zákazky na digitálnu transformáciu ministerstva zahraničných vecí</w:t>
            </w:r>
          </w:p>
        </w:tc>
        <w:tc>
          <w:tcPr>
            <w:tcW w:w="1514" w:type="dxa"/>
            <w:tcBorders>
              <w:top w:val="nil"/>
              <w:left w:val="nil"/>
              <w:bottom w:val="single" w:sz="4" w:space="0" w:color="auto"/>
              <w:right w:val="single" w:sz="4" w:space="0" w:color="auto"/>
            </w:tcBorders>
            <w:shd w:val="clear" w:color="auto" w:fill="C6EFCE"/>
            <w:noWrap/>
          </w:tcPr>
          <w:p w14:paraId="4A3F77CC" w14:textId="2C4DE6BB"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Oznámenie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zadaní zákazky</w:t>
            </w:r>
          </w:p>
        </w:tc>
        <w:tc>
          <w:tcPr>
            <w:tcW w:w="937" w:type="dxa"/>
            <w:tcBorders>
              <w:top w:val="nil"/>
              <w:left w:val="nil"/>
              <w:bottom w:val="single" w:sz="4" w:space="0" w:color="auto"/>
              <w:right w:val="single" w:sz="4" w:space="0" w:color="auto"/>
            </w:tcBorders>
            <w:shd w:val="clear" w:color="auto" w:fill="C6EFCE"/>
            <w:noWrap/>
          </w:tcPr>
          <w:p w14:paraId="7FE3A0A7"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10" w:type="dxa"/>
            <w:tcBorders>
              <w:top w:val="nil"/>
              <w:left w:val="nil"/>
              <w:bottom w:val="single" w:sz="4" w:space="0" w:color="auto"/>
              <w:right w:val="single" w:sz="4" w:space="0" w:color="auto"/>
            </w:tcBorders>
            <w:shd w:val="clear" w:color="auto" w:fill="C6EFCE"/>
            <w:noWrap/>
          </w:tcPr>
          <w:p w14:paraId="5A9714D0"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788" w:type="dxa"/>
            <w:tcBorders>
              <w:top w:val="nil"/>
              <w:left w:val="nil"/>
              <w:bottom w:val="single" w:sz="4" w:space="0" w:color="auto"/>
              <w:right w:val="single" w:sz="4" w:space="0" w:color="auto"/>
            </w:tcBorders>
            <w:shd w:val="clear" w:color="auto" w:fill="C6EFCE"/>
            <w:noWrap/>
          </w:tcPr>
          <w:p w14:paraId="71064A00"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47" w:type="dxa"/>
            <w:tcBorders>
              <w:top w:val="nil"/>
              <w:left w:val="nil"/>
              <w:bottom w:val="single" w:sz="4" w:space="0" w:color="auto"/>
              <w:right w:val="single" w:sz="4" w:space="0" w:color="auto"/>
            </w:tcBorders>
            <w:shd w:val="clear" w:color="auto" w:fill="C6EFCE"/>
            <w:noWrap/>
          </w:tcPr>
          <w:p w14:paraId="1951C50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680" w:type="dxa"/>
            <w:tcBorders>
              <w:top w:val="nil"/>
              <w:left w:val="nil"/>
              <w:bottom w:val="single" w:sz="4" w:space="0" w:color="auto"/>
              <w:right w:val="single" w:sz="4" w:space="0" w:color="auto"/>
            </w:tcBorders>
            <w:shd w:val="clear" w:color="auto" w:fill="C6EFCE"/>
            <w:noWrap/>
          </w:tcPr>
          <w:p w14:paraId="7101890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2022</w:t>
            </w:r>
          </w:p>
        </w:tc>
        <w:tc>
          <w:tcPr>
            <w:tcW w:w="4090" w:type="dxa"/>
            <w:tcBorders>
              <w:top w:val="nil"/>
              <w:left w:val="nil"/>
              <w:bottom w:val="single" w:sz="4" w:space="0" w:color="auto"/>
              <w:right w:val="single" w:sz="4" w:space="0" w:color="auto"/>
            </w:tcBorders>
            <w:shd w:val="clear" w:color="auto" w:fill="C6EFCE"/>
            <w:noWrap/>
          </w:tcPr>
          <w:p w14:paraId="62F263F9" w14:textId="472F1C21"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Zadanie zákazky na digitálnu transformáciu ministerstva zahraničných vecí. Ministerstvo preskúma všetky predložené návrhy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potvrdí, či žiadosti náležite zodpovedajú požiadavkám RFP.     Ministerstvo po výbere príslušného externého partnera pristúpi</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zadaniu zákazky,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ktorom sa vymedzia povinnosti, úlohy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zodpovednosti oboch zmluvných strán.</w:t>
            </w:r>
          </w:p>
        </w:tc>
      </w:tr>
      <w:tr w:rsidR="002D49B0" w:rsidRPr="00083739" w14:paraId="1B884BE7" w14:textId="77777777">
        <w:trPr>
          <w:trHeight w:val="313"/>
          <w:jc w:val="center"/>
        </w:trPr>
        <w:tc>
          <w:tcPr>
            <w:tcW w:w="1080" w:type="dxa"/>
            <w:tcBorders>
              <w:top w:val="nil"/>
              <w:left w:val="single" w:sz="4" w:space="0" w:color="auto"/>
              <w:bottom w:val="single" w:sz="4" w:space="0" w:color="auto"/>
              <w:right w:val="single" w:sz="4" w:space="0" w:color="auto"/>
            </w:tcBorders>
            <w:shd w:val="clear" w:color="auto" w:fill="C6EFCE"/>
            <w:noWrap/>
          </w:tcPr>
          <w:p w14:paraId="72E804C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107</w:t>
            </w:r>
          </w:p>
        </w:tc>
        <w:tc>
          <w:tcPr>
            <w:tcW w:w="1855" w:type="dxa"/>
            <w:tcBorders>
              <w:top w:val="nil"/>
              <w:left w:val="nil"/>
              <w:bottom w:val="single" w:sz="4" w:space="0" w:color="auto"/>
              <w:right w:val="single" w:sz="4" w:space="0" w:color="auto"/>
            </w:tcBorders>
            <w:shd w:val="clear" w:color="auto" w:fill="C6EFCE"/>
            <w:noWrap/>
          </w:tcPr>
          <w:p w14:paraId="4A0B670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6 – 2.2. Modernizácia – 16824_ERegistre</w:t>
            </w:r>
          </w:p>
        </w:tc>
        <w:tc>
          <w:tcPr>
            <w:tcW w:w="1101" w:type="dxa"/>
            <w:tcBorders>
              <w:top w:val="nil"/>
              <w:left w:val="nil"/>
              <w:bottom w:val="single" w:sz="4" w:space="0" w:color="auto"/>
              <w:right w:val="single" w:sz="4" w:space="0" w:color="auto"/>
            </w:tcBorders>
            <w:shd w:val="clear" w:color="auto" w:fill="C6EFCE"/>
            <w:noWrap/>
          </w:tcPr>
          <w:p w14:paraId="327D898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87" w:type="dxa"/>
            <w:tcBorders>
              <w:top w:val="nil"/>
              <w:left w:val="nil"/>
              <w:bottom w:val="single" w:sz="4" w:space="0" w:color="auto"/>
              <w:right w:val="single" w:sz="4" w:space="0" w:color="auto"/>
            </w:tcBorders>
            <w:shd w:val="clear" w:color="auto" w:fill="C6EFCE"/>
            <w:noWrap/>
          </w:tcPr>
          <w:p w14:paraId="1512138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Zadávanie zákaziek pre elektronické registre</w:t>
            </w:r>
          </w:p>
        </w:tc>
        <w:tc>
          <w:tcPr>
            <w:tcW w:w="1514" w:type="dxa"/>
            <w:tcBorders>
              <w:top w:val="nil"/>
              <w:left w:val="nil"/>
              <w:bottom w:val="single" w:sz="4" w:space="0" w:color="auto"/>
              <w:right w:val="single" w:sz="4" w:space="0" w:color="auto"/>
            </w:tcBorders>
            <w:shd w:val="clear" w:color="auto" w:fill="C6EFCE"/>
            <w:noWrap/>
          </w:tcPr>
          <w:p w14:paraId="71830152" w14:textId="6F5D1EE0"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Oznámenie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zadaní zákazky</w:t>
            </w:r>
          </w:p>
        </w:tc>
        <w:tc>
          <w:tcPr>
            <w:tcW w:w="937" w:type="dxa"/>
            <w:tcBorders>
              <w:top w:val="nil"/>
              <w:left w:val="nil"/>
              <w:bottom w:val="single" w:sz="4" w:space="0" w:color="auto"/>
              <w:right w:val="single" w:sz="4" w:space="0" w:color="auto"/>
            </w:tcBorders>
            <w:shd w:val="clear" w:color="auto" w:fill="C6EFCE"/>
            <w:noWrap/>
          </w:tcPr>
          <w:p w14:paraId="49D68F3D"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10" w:type="dxa"/>
            <w:tcBorders>
              <w:top w:val="nil"/>
              <w:left w:val="nil"/>
              <w:bottom w:val="single" w:sz="4" w:space="0" w:color="auto"/>
              <w:right w:val="single" w:sz="4" w:space="0" w:color="auto"/>
            </w:tcBorders>
            <w:shd w:val="clear" w:color="auto" w:fill="C6EFCE"/>
            <w:noWrap/>
          </w:tcPr>
          <w:p w14:paraId="4741F917"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788" w:type="dxa"/>
            <w:tcBorders>
              <w:top w:val="nil"/>
              <w:left w:val="nil"/>
              <w:bottom w:val="single" w:sz="4" w:space="0" w:color="auto"/>
              <w:right w:val="single" w:sz="4" w:space="0" w:color="auto"/>
            </w:tcBorders>
            <w:shd w:val="clear" w:color="auto" w:fill="C6EFCE"/>
            <w:noWrap/>
          </w:tcPr>
          <w:p w14:paraId="48FDD0B4"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47" w:type="dxa"/>
            <w:tcBorders>
              <w:top w:val="nil"/>
              <w:left w:val="nil"/>
              <w:bottom w:val="single" w:sz="4" w:space="0" w:color="auto"/>
              <w:right w:val="single" w:sz="4" w:space="0" w:color="auto"/>
            </w:tcBorders>
            <w:shd w:val="clear" w:color="auto" w:fill="C6EFCE"/>
            <w:noWrap/>
          </w:tcPr>
          <w:p w14:paraId="4C3C721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680" w:type="dxa"/>
            <w:tcBorders>
              <w:top w:val="nil"/>
              <w:left w:val="nil"/>
              <w:bottom w:val="single" w:sz="4" w:space="0" w:color="auto"/>
              <w:right w:val="single" w:sz="4" w:space="0" w:color="auto"/>
            </w:tcBorders>
            <w:shd w:val="clear" w:color="auto" w:fill="C6EFCE"/>
            <w:noWrap/>
          </w:tcPr>
          <w:p w14:paraId="45F0C68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2022</w:t>
            </w:r>
          </w:p>
        </w:tc>
        <w:tc>
          <w:tcPr>
            <w:tcW w:w="4090" w:type="dxa"/>
            <w:tcBorders>
              <w:top w:val="nil"/>
              <w:left w:val="nil"/>
              <w:bottom w:val="single" w:sz="4" w:space="0" w:color="auto"/>
              <w:right w:val="single" w:sz="4" w:space="0" w:color="auto"/>
            </w:tcBorders>
            <w:shd w:val="clear" w:color="auto" w:fill="C6EFCE"/>
            <w:noWrap/>
          </w:tcPr>
          <w:p w14:paraId="40FBEB8D" w14:textId="616A84CE"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Zadanie </w:t>
            </w:r>
            <w:r w:rsidRPr="00083739">
              <w:rPr>
                <w:rFonts w:ascii="Times New Roman" w:hAnsi="Times New Roman" w:cs="Times New Roman"/>
                <w:noProof/>
                <w:lang w:val="sk-SK"/>
              </w:rPr>
              <w:t>zákazky na projekt elektronických registrov. Ministerstvo/generálny sekretariát informačných systémov pre verejný sektor/KD informačnej spoločnosti preskúma všetky predložené návrhy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potvrdí, či žiadosti náležite riešia požiadavky RFP.   Ministerstvo po v</w:t>
            </w:r>
            <w:r w:rsidRPr="00083739">
              <w:rPr>
                <w:rFonts w:ascii="Times New Roman" w:hAnsi="Times New Roman" w:cs="Times New Roman"/>
                <w:noProof/>
                <w:lang w:val="sk-SK"/>
              </w:rPr>
              <w:t>ýbere príslušného externého partnera pristúpi</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zadaniu zákazky,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ktorom sa vymedzia povinnosti, úlohy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zodpovednosti oboch zmluvných strán.</w:t>
            </w:r>
          </w:p>
        </w:tc>
      </w:tr>
      <w:tr w:rsidR="002D49B0" w:rsidRPr="00083739" w14:paraId="70DEA7E7" w14:textId="77777777">
        <w:trPr>
          <w:trHeight w:val="313"/>
          <w:jc w:val="center"/>
        </w:trPr>
        <w:tc>
          <w:tcPr>
            <w:tcW w:w="1080" w:type="dxa"/>
            <w:tcBorders>
              <w:top w:val="nil"/>
              <w:left w:val="single" w:sz="4" w:space="0" w:color="auto"/>
              <w:bottom w:val="single" w:sz="4" w:space="0" w:color="auto"/>
              <w:right w:val="single" w:sz="4" w:space="0" w:color="auto"/>
            </w:tcBorders>
            <w:shd w:val="clear" w:color="auto" w:fill="C6EFCE"/>
            <w:noWrap/>
          </w:tcPr>
          <w:p w14:paraId="56D4A1E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108</w:t>
            </w:r>
          </w:p>
        </w:tc>
        <w:tc>
          <w:tcPr>
            <w:tcW w:w="1855" w:type="dxa"/>
            <w:tcBorders>
              <w:top w:val="nil"/>
              <w:left w:val="nil"/>
              <w:bottom w:val="single" w:sz="4" w:space="0" w:color="auto"/>
              <w:right w:val="single" w:sz="4" w:space="0" w:color="auto"/>
            </w:tcBorders>
            <w:shd w:val="clear" w:color="auto" w:fill="C6EFCE"/>
            <w:noWrap/>
          </w:tcPr>
          <w:p w14:paraId="3654E61A" w14:textId="138AF93B"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6 – 2.2. Modernizácia – 16779_Interoperabilita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rozvoj webových služieb</w:t>
            </w:r>
          </w:p>
        </w:tc>
        <w:tc>
          <w:tcPr>
            <w:tcW w:w="1101" w:type="dxa"/>
            <w:tcBorders>
              <w:top w:val="nil"/>
              <w:left w:val="nil"/>
              <w:bottom w:val="single" w:sz="4" w:space="0" w:color="auto"/>
              <w:right w:val="single" w:sz="4" w:space="0" w:color="auto"/>
            </w:tcBorders>
            <w:shd w:val="clear" w:color="auto" w:fill="C6EFCE"/>
            <w:noWrap/>
          </w:tcPr>
          <w:p w14:paraId="720C479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87" w:type="dxa"/>
            <w:tcBorders>
              <w:top w:val="nil"/>
              <w:left w:val="nil"/>
              <w:bottom w:val="single" w:sz="4" w:space="0" w:color="auto"/>
              <w:right w:val="single" w:sz="4" w:space="0" w:color="auto"/>
            </w:tcBorders>
            <w:shd w:val="clear" w:color="auto" w:fill="C6EFCE"/>
            <w:noWrap/>
          </w:tcPr>
          <w:p w14:paraId="5C234505" w14:textId="5CF2E501"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Dokončenie projektu </w:t>
            </w:r>
            <w:r w:rsidRPr="00083739">
              <w:rPr>
                <w:rFonts w:ascii="Times New Roman" w:hAnsi="Times New Roman" w:cs="Times New Roman"/>
                <w:noProof/>
                <w:lang w:val="sk-SK"/>
              </w:rPr>
              <w:t>Interoperabilita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rozvoj webových služieb </w:t>
            </w:r>
          </w:p>
        </w:tc>
        <w:tc>
          <w:tcPr>
            <w:tcW w:w="1514" w:type="dxa"/>
            <w:tcBorders>
              <w:top w:val="nil"/>
              <w:left w:val="nil"/>
              <w:bottom w:val="single" w:sz="4" w:space="0" w:color="auto"/>
              <w:right w:val="single" w:sz="4" w:space="0" w:color="auto"/>
            </w:tcBorders>
            <w:shd w:val="clear" w:color="auto" w:fill="C6EFCE"/>
            <w:noWrap/>
          </w:tcPr>
          <w:p w14:paraId="501BB0A6" w14:textId="09B07A3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Správa ministerstva digitálnej správy,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ktorej sa dokumentuje dokončenie projektu</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interoperabilite systémov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dokončení otvorených údajov</w:t>
            </w:r>
          </w:p>
        </w:tc>
        <w:tc>
          <w:tcPr>
            <w:tcW w:w="937" w:type="dxa"/>
            <w:tcBorders>
              <w:top w:val="nil"/>
              <w:left w:val="nil"/>
              <w:bottom w:val="single" w:sz="4" w:space="0" w:color="auto"/>
              <w:right w:val="single" w:sz="4" w:space="0" w:color="auto"/>
            </w:tcBorders>
            <w:shd w:val="clear" w:color="auto" w:fill="C6EFCE"/>
            <w:noWrap/>
          </w:tcPr>
          <w:p w14:paraId="5154B65B"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10" w:type="dxa"/>
            <w:tcBorders>
              <w:top w:val="nil"/>
              <w:left w:val="nil"/>
              <w:bottom w:val="single" w:sz="4" w:space="0" w:color="auto"/>
              <w:right w:val="single" w:sz="4" w:space="0" w:color="auto"/>
            </w:tcBorders>
            <w:shd w:val="clear" w:color="auto" w:fill="C6EFCE"/>
            <w:noWrap/>
          </w:tcPr>
          <w:p w14:paraId="39E4AA09"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788" w:type="dxa"/>
            <w:tcBorders>
              <w:top w:val="nil"/>
              <w:left w:val="nil"/>
              <w:bottom w:val="single" w:sz="4" w:space="0" w:color="auto"/>
              <w:right w:val="single" w:sz="4" w:space="0" w:color="auto"/>
            </w:tcBorders>
            <w:shd w:val="clear" w:color="auto" w:fill="C6EFCE"/>
            <w:noWrap/>
          </w:tcPr>
          <w:p w14:paraId="145BE11B"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47" w:type="dxa"/>
            <w:tcBorders>
              <w:top w:val="nil"/>
              <w:left w:val="nil"/>
              <w:bottom w:val="single" w:sz="4" w:space="0" w:color="auto"/>
              <w:right w:val="single" w:sz="4" w:space="0" w:color="auto"/>
            </w:tcBorders>
            <w:shd w:val="clear" w:color="auto" w:fill="C6EFCE"/>
            <w:noWrap/>
          </w:tcPr>
          <w:p w14:paraId="23D7876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680" w:type="dxa"/>
            <w:tcBorders>
              <w:top w:val="nil"/>
              <w:left w:val="nil"/>
              <w:bottom w:val="single" w:sz="4" w:space="0" w:color="auto"/>
              <w:right w:val="single" w:sz="4" w:space="0" w:color="auto"/>
            </w:tcBorders>
            <w:shd w:val="clear" w:color="auto" w:fill="C6EFCE"/>
            <w:noWrap/>
          </w:tcPr>
          <w:p w14:paraId="1E713B0E" w14:textId="43F6E231"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2025</w:t>
            </w:r>
          </w:p>
        </w:tc>
        <w:tc>
          <w:tcPr>
            <w:tcW w:w="4090" w:type="dxa"/>
            <w:tcBorders>
              <w:top w:val="nil"/>
              <w:left w:val="nil"/>
              <w:bottom w:val="single" w:sz="4" w:space="0" w:color="auto"/>
              <w:right w:val="single" w:sz="4" w:space="0" w:color="auto"/>
            </w:tcBorders>
            <w:shd w:val="clear" w:color="auto" w:fill="C6EFCE"/>
            <w:noWrap/>
          </w:tcPr>
          <w:p w14:paraId="78F33F01" w14:textId="13FD7BD5"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Dokončenie projektu: Rozvoj interoperability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webových služieb</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súlade</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opisom opatrenia.</w:t>
            </w:r>
          </w:p>
          <w:p w14:paraId="26C50F0A" w14:textId="38EF11D3" w:rsidR="002D49B0" w:rsidRPr="00083739" w:rsidRDefault="002D49B0">
            <w:pPr>
              <w:spacing w:after="0" w:line="240" w:lineRule="auto"/>
              <w:rPr>
                <w:rFonts w:ascii="Times New Roman" w:hAnsi="Times New Roman" w:cs="Times New Roman"/>
                <w:noProof/>
                <w:color w:val="006100"/>
                <w:sz w:val="18"/>
                <w:szCs w:val="18"/>
                <w:lang w:val="sk-SK"/>
              </w:rPr>
            </w:pPr>
          </w:p>
        </w:tc>
      </w:tr>
      <w:tr w:rsidR="002D49B0" w:rsidRPr="00083739" w14:paraId="345756D8" w14:textId="77777777">
        <w:trPr>
          <w:trHeight w:val="313"/>
          <w:jc w:val="center"/>
        </w:trPr>
        <w:tc>
          <w:tcPr>
            <w:tcW w:w="1080" w:type="dxa"/>
            <w:tcBorders>
              <w:top w:val="nil"/>
              <w:left w:val="single" w:sz="4" w:space="0" w:color="auto"/>
              <w:bottom w:val="single" w:sz="4" w:space="0" w:color="auto"/>
              <w:right w:val="single" w:sz="4" w:space="0" w:color="auto"/>
            </w:tcBorders>
            <w:shd w:val="clear" w:color="auto" w:fill="C6EFCE"/>
            <w:noWrap/>
          </w:tcPr>
          <w:p w14:paraId="28DC4EB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109</w:t>
            </w:r>
          </w:p>
        </w:tc>
        <w:tc>
          <w:tcPr>
            <w:tcW w:w="1855" w:type="dxa"/>
            <w:tcBorders>
              <w:top w:val="nil"/>
              <w:left w:val="nil"/>
              <w:bottom w:val="single" w:sz="4" w:space="0" w:color="auto"/>
              <w:right w:val="single" w:sz="4" w:space="0" w:color="auto"/>
            </w:tcBorders>
            <w:shd w:val="clear" w:color="auto" w:fill="C6EFCE"/>
            <w:noWrap/>
          </w:tcPr>
          <w:p w14:paraId="26C5926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6 – 2.2. Modernizácia – 16810_CRM pre verejnú správu</w:t>
            </w:r>
          </w:p>
        </w:tc>
        <w:tc>
          <w:tcPr>
            <w:tcW w:w="1101" w:type="dxa"/>
            <w:tcBorders>
              <w:top w:val="nil"/>
              <w:left w:val="nil"/>
              <w:bottom w:val="single" w:sz="4" w:space="0" w:color="auto"/>
              <w:right w:val="single" w:sz="4" w:space="0" w:color="auto"/>
            </w:tcBorders>
            <w:shd w:val="clear" w:color="auto" w:fill="C6EFCE"/>
            <w:noWrap/>
          </w:tcPr>
          <w:p w14:paraId="048D9EC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87" w:type="dxa"/>
            <w:tcBorders>
              <w:top w:val="nil"/>
              <w:left w:val="nil"/>
              <w:bottom w:val="single" w:sz="4" w:space="0" w:color="auto"/>
              <w:right w:val="single" w:sz="4" w:space="0" w:color="auto"/>
            </w:tcBorders>
            <w:shd w:val="clear" w:color="auto" w:fill="C6EFCE"/>
            <w:noWrap/>
          </w:tcPr>
          <w:p w14:paraId="48103432" w14:textId="34DF59E7" w:rsidR="002D49B0" w:rsidRPr="00083739" w:rsidRDefault="00BF4125">
            <w:pPr>
              <w:spacing w:after="0" w:line="240" w:lineRule="auto"/>
              <w:rPr>
                <w:rFonts w:ascii="Times New Roman" w:eastAsia="Times New Roman" w:hAnsi="Times New Roman" w:cs="Times New Roman"/>
                <w:noProof/>
                <w:color w:val="006100"/>
                <w:sz w:val="18"/>
                <w:szCs w:val="18"/>
                <w:lang w:val="sk-SK"/>
              </w:rPr>
            </w:pPr>
            <w:r w:rsidRPr="00083739">
              <w:rPr>
                <w:rFonts w:ascii="Times New Roman" w:hAnsi="Times New Roman" w:cs="Times New Roman"/>
                <w:noProof/>
                <w:color w:val="006100"/>
                <w:sz w:val="18"/>
                <w:lang w:val="sk-SK"/>
              </w:rPr>
              <w:t>Dokončenie kapacitného mechanizmu pre verejnú vládu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color w:val="006100"/>
                <w:sz w:val="18"/>
                <w:lang w:val="sk-SK"/>
              </w:rPr>
              <w:t>Gov.gr – projekty týkajúce sa</w:t>
            </w:r>
            <w:r w:rsidRPr="00083739">
              <w:rPr>
                <w:rFonts w:ascii="Times New Roman" w:hAnsi="Times New Roman" w:cs="Times New Roman"/>
                <w:noProof/>
                <w:lang w:val="sk-SK"/>
              </w:rPr>
              <w:t xml:space="preserve"> posolstiev</w:t>
            </w:r>
          </w:p>
        </w:tc>
        <w:tc>
          <w:tcPr>
            <w:tcW w:w="1514" w:type="dxa"/>
            <w:tcBorders>
              <w:top w:val="nil"/>
              <w:left w:val="nil"/>
              <w:bottom w:val="single" w:sz="4" w:space="0" w:color="auto"/>
              <w:right w:val="single" w:sz="4" w:space="0" w:color="auto"/>
            </w:tcBorders>
            <w:shd w:val="clear" w:color="auto" w:fill="C6EFCE"/>
            <w:noWrap/>
          </w:tcPr>
          <w:p w14:paraId="30AF3316" w14:textId="18DC5272" w:rsidR="002D49B0" w:rsidRPr="00083739" w:rsidRDefault="00BF4125">
            <w:pPr>
              <w:spacing w:after="0" w:line="240" w:lineRule="auto"/>
              <w:rPr>
                <w:rFonts w:ascii="Times New Roman" w:eastAsia="Times New Roman" w:hAnsi="Times New Roman" w:cs="Times New Roman"/>
                <w:noProof/>
                <w:color w:val="006100"/>
                <w:sz w:val="18"/>
                <w:szCs w:val="18"/>
                <w:lang w:val="sk-SK"/>
              </w:rPr>
            </w:pPr>
            <w:r w:rsidRPr="00083739">
              <w:rPr>
                <w:rFonts w:ascii="Times New Roman" w:hAnsi="Times New Roman" w:cs="Times New Roman"/>
                <w:noProof/>
                <w:color w:val="006100"/>
                <w:sz w:val="18"/>
                <w:lang w:val="sk-SK"/>
              </w:rPr>
              <w:t>Správa ministerstva digitálnej správy,</w:t>
            </w:r>
            <w:r w:rsidR="00083739" w:rsidRPr="00083739">
              <w:rPr>
                <w:rFonts w:ascii="Times New Roman" w:hAnsi="Times New Roman" w:cs="Times New Roman"/>
                <w:noProof/>
                <w:color w:val="006100"/>
                <w:sz w:val="18"/>
                <w:lang w:val="sk-SK"/>
              </w:rPr>
              <w:t xml:space="preserve"> v </w:t>
            </w:r>
            <w:r w:rsidRPr="00083739">
              <w:rPr>
                <w:rFonts w:ascii="Times New Roman" w:hAnsi="Times New Roman" w:cs="Times New Roman"/>
                <w:noProof/>
                <w:color w:val="006100"/>
                <w:sz w:val="18"/>
                <w:lang w:val="sk-SK"/>
              </w:rPr>
              <w:t xml:space="preserve">ktorej </w:t>
            </w:r>
            <w:r w:rsidRPr="00083739">
              <w:rPr>
                <w:rFonts w:ascii="Times New Roman" w:hAnsi="Times New Roman" w:cs="Times New Roman"/>
                <w:noProof/>
                <w:color w:val="006100"/>
                <w:sz w:val="18"/>
                <w:lang w:val="sk-SK"/>
              </w:rPr>
              <w:t>sa dokumentuje uvedenie do prevádzky: a)integrovaný systém riadenia celého životného cyklu vzťahov verejnej správy</w:t>
            </w:r>
            <w:r w:rsidR="00083739" w:rsidRPr="00083739">
              <w:rPr>
                <w:rFonts w:ascii="Times New Roman" w:hAnsi="Times New Roman" w:cs="Times New Roman"/>
                <w:noProof/>
                <w:color w:val="006100"/>
                <w:sz w:val="18"/>
                <w:lang w:val="sk-SK"/>
              </w:rPr>
              <w:t xml:space="preserve"> s </w:t>
            </w:r>
            <w:r w:rsidRPr="00083739">
              <w:rPr>
                <w:rFonts w:ascii="Times New Roman" w:hAnsi="Times New Roman" w:cs="Times New Roman"/>
                <w:noProof/>
                <w:color w:val="006100"/>
                <w:sz w:val="18"/>
                <w:lang w:val="sk-SK"/>
              </w:rPr>
              <w:t>občanmi</w:t>
            </w:r>
            <w:r w:rsidR="00083739" w:rsidRPr="00083739">
              <w:rPr>
                <w:rFonts w:ascii="Times New Roman" w:hAnsi="Times New Roman" w:cs="Times New Roman"/>
                <w:noProof/>
                <w:color w:val="006100"/>
                <w:sz w:val="18"/>
                <w:lang w:val="sk-SK"/>
              </w:rPr>
              <w:t xml:space="preserve"> a </w:t>
            </w:r>
            <w:r w:rsidRPr="00083739">
              <w:rPr>
                <w:rFonts w:ascii="Times New Roman" w:hAnsi="Times New Roman" w:cs="Times New Roman"/>
                <w:noProof/>
                <w:color w:val="006100"/>
                <w:sz w:val="18"/>
                <w:lang w:val="sk-SK"/>
              </w:rPr>
              <w:t>podnikmi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color w:val="006100"/>
                <w:sz w:val="18"/>
                <w:lang w:val="sk-SK"/>
              </w:rPr>
              <w:t>b) integrovaný systém elektronickej komunikácie medzi systémami</w:t>
            </w:r>
            <w:r w:rsidR="00083739" w:rsidRPr="00083739">
              <w:rPr>
                <w:rFonts w:ascii="Times New Roman" w:hAnsi="Times New Roman" w:cs="Times New Roman"/>
                <w:noProof/>
                <w:color w:val="006100"/>
                <w:sz w:val="18"/>
                <w:lang w:val="sk-SK"/>
              </w:rPr>
              <w:t xml:space="preserve"> a </w:t>
            </w:r>
            <w:r w:rsidRPr="00083739">
              <w:rPr>
                <w:rFonts w:ascii="Times New Roman" w:hAnsi="Times New Roman" w:cs="Times New Roman"/>
                <w:noProof/>
                <w:color w:val="006100"/>
                <w:sz w:val="18"/>
                <w:lang w:val="sk-SK"/>
              </w:rPr>
              <w:t>službami verejného sektora</w:t>
            </w:r>
            <w:r w:rsidR="00083739" w:rsidRPr="00083739">
              <w:rPr>
                <w:rFonts w:ascii="Times New Roman" w:hAnsi="Times New Roman" w:cs="Times New Roman"/>
                <w:noProof/>
                <w:color w:val="006100"/>
                <w:sz w:val="18"/>
                <w:lang w:val="sk-SK"/>
              </w:rPr>
              <w:t xml:space="preserve"> a </w:t>
            </w:r>
            <w:r w:rsidRPr="00083739">
              <w:rPr>
                <w:rFonts w:ascii="Times New Roman" w:hAnsi="Times New Roman" w:cs="Times New Roman"/>
                <w:noProof/>
                <w:color w:val="006100"/>
                <w:sz w:val="18"/>
                <w:lang w:val="sk-SK"/>
              </w:rPr>
              <w:t xml:space="preserve">gréckymi občanmi (Gov. </w:t>
            </w:r>
            <w:r w:rsidRPr="00083739">
              <w:rPr>
                <w:rFonts w:ascii="Times New Roman" w:hAnsi="Times New Roman" w:cs="Times New Roman"/>
                <w:noProof/>
                <w:color w:val="006100"/>
                <w:sz w:val="18"/>
                <w:lang w:val="sk-SK"/>
              </w:rPr>
              <w:t>gr – posolstvo</w:t>
            </w:r>
          </w:p>
        </w:tc>
        <w:tc>
          <w:tcPr>
            <w:tcW w:w="937" w:type="dxa"/>
            <w:tcBorders>
              <w:top w:val="nil"/>
              <w:left w:val="nil"/>
              <w:bottom w:val="single" w:sz="4" w:space="0" w:color="auto"/>
              <w:right w:val="single" w:sz="4" w:space="0" w:color="auto"/>
            </w:tcBorders>
            <w:shd w:val="clear" w:color="auto" w:fill="C6EFCE"/>
            <w:noWrap/>
          </w:tcPr>
          <w:p w14:paraId="4C47B36D"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10" w:type="dxa"/>
            <w:tcBorders>
              <w:top w:val="nil"/>
              <w:left w:val="nil"/>
              <w:bottom w:val="single" w:sz="4" w:space="0" w:color="auto"/>
              <w:right w:val="single" w:sz="4" w:space="0" w:color="auto"/>
            </w:tcBorders>
            <w:shd w:val="clear" w:color="auto" w:fill="C6EFCE"/>
            <w:noWrap/>
          </w:tcPr>
          <w:p w14:paraId="75BB2DAB"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788" w:type="dxa"/>
            <w:tcBorders>
              <w:top w:val="nil"/>
              <w:left w:val="nil"/>
              <w:bottom w:val="single" w:sz="4" w:space="0" w:color="auto"/>
              <w:right w:val="single" w:sz="4" w:space="0" w:color="auto"/>
            </w:tcBorders>
            <w:shd w:val="clear" w:color="auto" w:fill="C6EFCE"/>
            <w:noWrap/>
          </w:tcPr>
          <w:p w14:paraId="28D3E77E"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47" w:type="dxa"/>
            <w:tcBorders>
              <w:top w:val="nil"/>
              <w:left w:val="nil"/>
              <w:bottom w:val="single" w:sz="4" w:space="0" w:color="auto"/>
              <w:right w:val="single" w:sz="4" w:space="0" w:color="auto"/>
            </w:tcBorders>
            <w:shd w:val="clear" w:color="auto" w:fill="C6EFCE"/>
            <w:noWrap/>
          </w:tcPr>
          <w:p w14:paraId="646495AD" w14:textId="4E2EF349"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680" w:type="dxa"/>
            <w:tcBorders>
              <w:top w:val="nil"/>
              <w:left w:val="nil"/>
              <w:bottom w:val="single" w:sz="4" w:space="0" w:color="auto"/>
              <w:right w:val="single" w:sz="4" w:space="0" w:color="auto"/>
            </w:tcBorders>
            <w:shd w:val="clear" w:color="auto" w:fill="C6EFCE"/>
            <w:noWrap/>
          </w:tcPr>
          <w:p w14:paraId="01CF03F0" w14:textId="7A3807C4"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4090" w:type="dxa"/>
            <w:tcBorders>
              <w:top w:val="nil"/>
              <w:left w:val="nil"/>
              <w:bottom w:val="single" w:sz="4" w:space="0" w:color="auto"/>
              <w:right w:val="single" w:sz="4" w:space="0" w:color="auto"/>
            </w:tcBorders>
            <w:shd w:val="clear" w:color="auto" w:fill="C6EFCE"/>
            <w:noWrap/>
          </w:tcPr>
          <w:p w14:paraId="7DD6CBDA" w14:textId="28C784CE"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projektov: a) Systém riadenia vzťahov so zákazníkmi pre verejnú správu, ktorý umožňuje riadenie interakcií verejnej správy</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občanmi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podnikmi,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b) integrovaný systém elektronickej komunikácie medzi systém</w:t>
            </w:r>
            <w:r w:rsidRPr="00083739">
              <w:rPr>
                <w:rFonts w:ascii="Times New Roman" w:hAnsi="Times New Roman" w:cs="Times New Roman"/>
                <w:noProof/>
                <w:lang w:val="sk-SK"/>
              </w:rPr>
              <w:t>ami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službami verejného sektora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gréckymi občanmi (Gov. gr – posolstvo)</w:t>
            </w:r>
          </w:p>
        </w:tc>
      </w:tr>
      <w:tr w:rsidR="002D49B0" w:rsidRPr="00083739" w14:paraId="29F996B0" w14:textId="77777777">
        <w:trPr>
          <w:trHeight w:val="313"/>
          <w:jc w:val="center"/>
        </w:trPr>
        <w:tc>
          <w:tcPr>
            <w:tcW w:w="1080" w:type="dxa"/>
            <w:tcBorders>
              <w:top w:val="nil"/>
              <w:left w:val="single" w:sz="4" w:space="0" w:color="auto"/>
              <w:bottom w:val="single" w:sz="4" w:space="0" w:color="auto"/>
              <w:right w:val="single" w:sz="4" w:space="0" w:color="auto"/>
            </w:tcBorders>
            <w:shd w:val="clear" w:color="auto" w:fill="C6EFCE"/>
            <w:noWrap/>
          </w:tcPr>
          <w:p w14:paraId="15AB759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110</w:t>
            </w:r>
          </w:p>
        </w:tc>
        <w:tc>
          <w:tcPr>
            <w:tcW w:w="1855" w:type="dxa"/>
            <w:tcBorders>
              <w:top w:val="nil"/>
              <w:left w:val="nil"/>
              <w:bottom w:val="single" w:sz="4" w:space="0" w:color="auto"/>
              <w:right w:val="single" w:sz="4" w:space="0" w:color="auto"/>
            </w:tcBorders>
            <w:shd w:val="clear" w:color="auto" w:fill="C6EFCE"/>
            <w:noWrap/>
          </w:tcPr>
          <w:p w14:paraId="6DC9C7A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6 – 2.2. Modernizácia – 16780_Ďalšia modernizácia jednotných kontaktných miest verejnej správy</w:t>
            </w:r>
          </w:p>
        </w:tc>
        <w:tc>
          <w:tcPr>
            <w:tcW w:w="1101" w:type="dxa"/>
            <w:tcBorders>
              <w:top w:val="nil"/>
              <w:left w:val="nil"/>
              <w:bottom w:val="single" w:sz="4" w:space="0" w:color="auto"/>
              <w:right w:val="single" w:sz="4" w:space="0" w:color="auto"/>
            </w:tcBorders>
            <w:shd w:val="clear" w:color="auto" w:fill="C6EFCE"/>
            <w:noWrap/>
          </w:tcPr>
          <w:p w14:paraId="70FDA0F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87" w:type="dxa"/>
            <w:tcBorders>
              <w:top w:val="nil"/>
              <w:left w:val="nil"/>
              <w:bottom w:val="single" w:sz="4" w:space="0" w:color="auto"/>
              <w:right w:val="single" w:sz="4" w:space="0" w:color="auto"/>
            </w:tcBorders>
            <w:shd w:val="clear" w:color="auto" w:fill="C6EFCE"/>
            <w:noWrap/>
          </w:tcPr>
          <w:p w14:paraId="4D16213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projektu jednotných kontaktných miest</w:t>
            </w:r>
          </w:p>
        </w:tc>
        <w:tc>
          <w:tcPr>
            <w:tcW w:w="1514" w:type="dxa"/>
            <w:tcBorders>
              <w:top w:val="nil"/>
              <w:left w:val="nil"/>
              <w:bottom w:val="single" w:sz="4" w:space="0" w:color="auto"/>
              <w:right w:val="single" w:sz="4" w:space="0" w:color="auto"/>
            </w:tcBorders>
            <w:shd w:val="clear" w:color="auto" w:fill="C6EFCE"/>
            <w:noWrap/>
          </w:tcPr>
          <w:p w14:paraId="65042473" w14:textId="23645E36"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 xml:space="preserve">Záverečná projektová </w:t>
            </w:r>
            <w:r w:rsidRPr="00083739">
              <w:rPr>
                <w:rFonts w:ascii="Times New Roman" w:hAnsi="Times New Roman" w:cs="Times New Roman"/>
                <w:noProof/>
                <w:lang w:val="sk-SK"/>
              </w:rPr>
              <w:t>správa ministerstva vnútra,</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 xml:space="preserve">ktorej sa dokumentuje dokončenie ďalšej modernizácie jednotných kontaktných miest verejnej správy. </w:t>
            </w:r>
          </w:p>
        </w:tc>
        <w:tc>
          <w:tcPr>
            <w:tcW w:w="937" w:type="dxa"/>
            <w:tcBorders>
              <w:top w:val="nil"/>
              <w:left w:val="nil"/>
              <w:bottom w:val="single" w:sz="4" w:space="0" w:color="auto"/>
              <w:right w:val="single" w:sz="4" w:space="0" w:color="auto"/>
            </w:tcBorders>
            <w:shd w:val="clear" w:color="auto" w:fill="C6EFCE"/>
            <w:noWrap/>
          </w:tcPr>
          <w:p w14:paraId="6AF72CD6"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10" w:type="dxa"/>
            <w:tcBorders>
              <w:top w:val="nil"/>
              <w:left w:val="nil"/>
              <w:bottom w:val="single" w:sz="4" w:space="0" w:color="auto"/>
              <w:right w:val="single" w:sz="4" w:space="0" w:color="auto"/>
            </w:tcBorders>
            <w:shd w:val="clear" w:color="auto" w:fill="C6EFCE"/>
            <w:noWrap/>
          </w:tcPr>
          <w:p w14:paraId="277FFE83"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788" w:type="dxa"/>
            <w:tcBorders>
              <w:top w:val="nil"/>
              <w:left w:val="nil"/>
              <w:bottom w:val="single" w:sz="4" w:space="0" w:color="auto"/>
              <w:right w:val="single" w:sz="4" w:space="0" w:color="auto"/>
            </w:tcBorders>
            <w:shd w:val="clear" w:color="auto" w:fill="C6EFCE"/>
            <w:noWrap/>
          </w:tcPr>
          <w:p w14:paraId="7453A94D"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47" w:type="dxa"/>
            <w:tcBorders>
              <w:top w:val="nil"/>
              <w:left w:val="nil"/>
              <w:bottom w:val="single" w:sz="4" w:space="0" w:color="auto"/>
              <w:right w:val="single" w:sz="4" w:space="0" w:color="auto"/>
            </w:tcBorders>
            <w:shd w:val="clear" w:color="auto" w:fill="C6EFCE"/>
            <w:noWrap/>
          </w:tcPr>
          <w:p w14:paraId="4892D44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680" w:type="dxa"/>
            <w:tcBorders>
              <w:top w:val="nil"/>
              <w:left w:val="nil"/>
              <w:bottom w:val="single" w:sz="4" w:space="0" w:color="auto"/>
              <w:right w:val="single" w:sz="4" w:space="0" w:color="auto"/>
            </w:tcBorders>
            <w:shd w:val="clear" w:color="auto" w:fill="C6EFCE"/>
            <w:noWrap/>
          </w:tcPr>
          <w:p w14:paraId="43E6717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2024</w:t>
            </w:r>
          </w:p>
        </w:tc>
        <w:tc>
          <w:tcPr>
            <w:tcW w:w="4090" w:type="dxa"/>
            <w:tcBorders>
              <w:top w:val="nil"/>
              <w:left w:val="nil"/>
              <w:bottom w:val="single" w:sz="4" w:space="0" w:color="auto"/>
              <w:right w:val="single" w:sz="4" w:space="0" w:color="auto"/>
            </w:tcBorders>
            <w:shd w:val="clear" w:color="auto" w:fill="C6EFCE"/>
            <w:noWrap/>
          </w:tcPr>
          <w:p w14:paraId="7A9B1174" w14:textId="1BA40CA3"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Dokončenie projektu: Ďalšia modernizácia jednotného kontaktného miesta verejnej správy prostredníctvom</w:t>
            </w:r>
            <w:r w:rsidRPr="00083739">
              <w:rPr>
                <w:rFonts w:ascii="Times New Roman" w:hAnsi="Times New Roman" w:cs="Times New Roman"/>
                <w:noProof/>
                <w:lang w:val="sk-SK"/>
              </w:rPr>
              <w:t xml:space="preserve"> získania 6325 osobných počítačov/tlačičov/tabuľok používaných na proces elektronického podpisu, 145 systémov správy čakacích radov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inteligentného oznamovania, 730 terminálov spätnej väzby, hodnotiacej platformy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mobilnej aplikácie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ich používania.</w:t>
            </w:r>
          </w:p>
        </w:tc>
      </w:tr>
      <w:tr w:rsidR="002D49B0" w:rsidRPr="00083739" w14:paraId="16D3F468" w14:textId="77777777">
        <w:trPr>
          <w:trHeight w:val="313"/>
          <w:jc w:val="center"/>
        </w:trPr>
        <w:tc>
          <w:tcPr>
            <w:tcW w:w="1080" w:type="dxa"/>
            <w:tcBorders>
              <w:top w:val="nil"/>
              <w:left w:val="single" w:sz="4" w:space="0" w:color="auto"/>
              <w:bottom w:val="single" w:sz="4" w:space="0" w:color="auto"/>
              <w:right w:val="single" w:sz="4" w:space="0" w:color="auto"/>
            </w:tcBorders>
            <w:shd w:val="clear" w:color="auto" w:fill="C6EFCE"/>
            <w:noWrap/>
          </w:tcPr>
          <w:p w14:paraId="3EB061E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112</w:t>
            </w:r>
          </w:p>
        </w:tc>
        <w:tc>
          <w:tcPr>
            <w:tcW w:w="1855" w:type="dxa"/>
            <w:tcBorders>
              <w:top w:val="nil"/>
              <w:left w:val="nil"/>
              <w:bottom w:val="single" w:sz="4" w:space="0" w:color="auto"/>
              <w:right w:val="single" w:sz="4" w:space="0" w:color="auto"/>
            </w:tcBorders>
            <w:shd w:val="clear" w:color="auto" w:fill="C6EFCE"/>
            <w:noWrap/>
          </w:tcPr>
          <w:p w14:paraId="0FA7D387" w14:textId="78EB0712"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6 – 2.2. Modernizácia – 16823_Stratégia kybernetickej bezpečnosti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politiky pre verejný sektor</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pokročilé bezpečnostné služby pre vnútroštátne kritické infraštruktúry</w:t>
            </w:r>
          </w:p>
        </w:tc>
        <w:tc>
          <w:tcPr>
            <w:tcW w:w="1101" w:type="dxa"/>
            <w:tcBorders>
              <w:top w:val="nil"/>
              <w:left w:val="nil"/>
              <w:bottom w:val="single" w:sz="4" w:space="0" w:color="auto"/>
              <w:right w:val="single" w:sz="4" w:space="0" w:color="auto"/>
            </w:tcBorders>
            <w:shd w:val="clear" w:color="auto" w:fill="C6EFCE"/>
            <w:noWrap/>
          </w:tcPr>
          <w:p w14:paraId="346A8CE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87" w:type="dxa"/>
            <w:tcBorders>
              <w:top w:val="nil"/>
              <w:left w:val="nil"/>
              <w:bottom w:val="single" w:sz="4" w:space="0" w:color="auto"/>
              <w:right w:val="single" w:sz="4" w:space="0" w:color="auto"/>
            </w:tcBorders>
            <w:shd w:val="clear" w:color="auto" w:fill="C6EFCE"/>
            <w:noWrap/>
          </w:tcPr>
          <w:p w14:paraId="76AC4FD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projektu Stratégia kybernetickej bezpečnosti</w:t>
            </w:r>
          </w:p>
        </w:tc>
        <w:tc>
          <w:tcPr>
            <w:tcW w:w="1514" w:type="dxa"/>
            <w:tcBorders>
              <w:top w:val="nil"/>
              <w:left w:val="nil"/>
              <w:bottom w:val="single" w:sz="4" w:space="0" w:color="auto"/>
              <w:right w:val="single" w:sz="4" w:space="0" w:color="auto"/>
            </w:tcBorders>
            <w:shd w:val="clear" w:color="auto" w:fill="C6EFCE"/>
            <w:noWrap/>
          </w:tcPr>
          <w:p w14:paraId="4B8091DF" w14:textId="041362E4"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Správa ministerstva </w:t>
            </w:r>
            <w:r w:rsidRPr="00083739">
              <w:rPr>
                <w:rFonts w:ascii="Times New Roman" w:hAnsi="Times New Roman" w:cs="Times New Roman"/>
                <w:noProof/>
                <w:lang w:val="sk-SK"/>
              </w:rPr>
              <w:t>digitálnej správy</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dokumentovaní vykonávania novej stratégie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politík kybernetickej bezpečnosti vo verejnej správe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projektov, ktoré sú</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nej zahrnuté</w:t>
            </w:r>
          </w:p>
        </w:tc>
        <w:tc>
          <w:tcPr>
            <w:tcW w:w="937" w:type="dxa"/>
            <w:tcBorders>
              <w:top w:val="nil"/>
              <w:left w:val="nil"/>
              <w:bottom w:val="single" w:sz="4" w:space="0" w:color="auto"/>
              <w:right w:val="single" w:sz="4" w:space="0" w:color="auto"/>
            </w:tcBorders>
            <w:shd w:val="clear" w:color="auto" w:fill="C6EFCE"/>
            <w:noWrap/>
          </w:tcPr>
          <w:p w14:paraId="1E690808"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10" w:type="dxa"/>
            <w:tcBorders>
              <w:top w:val="nil"/>
              <w:left w:val="nil"/>
              <w:bottom w:val="single" w:sz="4" w:space="0" w:color="auto"/>
              <w:right w:val="single" w:sz="4" w:space="0" w:color="auto"/>
            </w:tcBorders>
            <w:shd w:val="clear" w:color="auto" w:fill="C6EFCE"/>
            <w:noWrap/>
          </w:tcPr>
          <w:p w14:paraId="3E65E396"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788" w:type="dxa"/>
            <w:tcBorders>
              <w:top w:val="nil"/>
              <w:left w:val="nil"/>
              <w:bottom w:val="single" w:sz="4" w:space="0" w:color="auto"/>
              <w:right w:val="single" w:sz="4" w:space="0" w:color="auto"/>
            </w:tcBorders>
            <w:shd w:val="clear" w:color="auto" w:fill="C6EFCE"/>
            <w:noWrap/>
          </w:tcPr>
          <w:p w14:paraId="65D8D2AC"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47" w:type="dxa"/>
            <w:tcBorders>
              <w:top w:val="nil"/>
              <w:left w:val="nil"/>
              <w:bottom w:val="single" w:sz="4" w:space="0" w:color="auto"/>
              <w:right w:val="single" w:sz="4" w:space="0" w:color="auto"/>
            </w:tcBorders>
            <w:shd w:val="clear" w:color="auto" w:fill="C6EFCE"/>
            <w:noWrap/>
          </w:tcPr>
          <w:p w14:paraId="4A1700E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680" w:type="dxa"/>
            <w:tcBorders>
              <w:top w:val="nil"/>
              <w:left w:val="nil"/>
              <w:bottom w:val="single" w:sz="4" w:space="0" w:color="auto"/>
              <w:right w:val="single" w:sz="4" w:space="0" w:color="auto"/>
            </w:tcBorders>
            <w:shd w:val="clear" w:color="auto" w:fill="C6EFCE"/>
            <w:noWrap/>
          </w:tcPr>
          <w:p w14:paraId="6F897CE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2024</w:t>
            </w:r>
          </w:p>
        </w:tc>
        <w:tc>
          <w:tcPr>
            <w:tcW w:w="4090" w:type="dxa"/>
            <w:tcBorders>
              <w:top w:val="nil"/>
              <w:left w:val="nil"/>
              <w:bottom w:val="single" w:sz="4" w:space="0" w:color="auto"/>
              <w:right w:val="single" w:sz="4" w:space="0" w:color="auto"/>
            </w:tcBorders>
            <w:shd w:val="clear" w:color="auto" w:fill="C6EFCE"/>
            <w:noWrap/>
          </w:tcPr>
          <w:p w14:paraId="08895023" w14:textId="098988B5"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projektu „Nová stratégia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politiky kybernetickej bezpečnosti vo ve</w:t>
            </w:r>
            <w:r w:rsidRPr="00083739">
              <w:rPr>
                <w:rFonts w:ascii="Times New Roman" w:hAnsi="Times New Roman" w:cs="Times New Roman"/>
                <w:noProof/>
                <w:lang w:val="sk-SK"/>
              </w:rPr>
              <w:t>rejnej správe“, ktorým sa vykonávajú zmeny, pokiaľ ide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procesy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postupy týkajúce sa kybernetickej bezpečnosti,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zriadenie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sprevádzkovanie Národného centra bezpečnostných operácií (SOC)</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súlade</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novou stratégiou.</w:t>
            </w:r>
          </w:p>
        </w:tc>
      </w:tr>
      <w:tr w:rsidR="002D49B0" w:rsidRPr="00083739" w14:paraId="2791E1E8" w14:textId="77777777">
        <w:trPr>
          <w:trHeight w:val="313"/>
          <w:jc w:val="center"/>
        </w:trPr>
        <w:tc>
          <w:tcPr>
            <w:tcW w:w="1080" w:type="dxa"/>
            <w:tcBorders>
              <w:top w:val="nil"/>
              <w:left w:val="single" w:sz="4" w:space="0" w:color="auto"/>
              <w:bottom w:val="single" w:sz="4" w:space="0" w:color="auto"/>
              <w:right w:val="single" w:sz="4" w:space="0" w:color="auto"/>
            </w:tcBorders>
            <w:shd w:val="clear" w:color="auto" w:fill="C6EFCE"/>
            <w:noWrap/>
          </w:tcPr>
          <w:p w14:paraId="5C53FB4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113</w:t>
            </w:r>
          </w:p>
        </w:tc>
        <w:tc>
          <w:tcPr>
            <w:tcW w:w="1855" w:type="dxa"/>
            <w:tcBorders>
              <w:top w:val="nil"/>
              <w:left w:val="nil"/>
              <w:bottom w:val="single" w:sz="4" w:space="0" w:color="auto"/>
              <w:right w:val="single" w:sz="4" w:space="0" w:color="auto"/>
            </w:tcBorders>
            <w:shd w:val="clear" w:color="auto" w:fill="C6EFCE"/>
            <w:noWrap/>
          </w:tcPr>
          <w:p w14:paraId="1CDB567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6 – 2.2. Modernizácia – </w:t>
            </w:r>
            <w:r w:rsidRPr="00083739">
              <w:rPr>
                <w:rFonts w:ascii="Times New Roman" w:hAnsi="Times New Roman" w:cs="Times New Roman"/>
                <w:noProof/>
                <w:lang w:val="sk-SK"/>
              </w:rPr>
              <w:t>16738_Ústredný systém správy dokumentov</w:t>
            </w:r>
          </w:p>
        </w:tc>
        <w:tc>
          <w:tcPr>
            <w:tcW w:w="1101" w:type="dxa"/>
            <w:tcBorders>
              <w:top w:val="nil"/>
              <w:left w:val="nil"/>
              <w:bottom w:val="single" w:sz="4" w:space="0" w:color="auto"/>
              <w:right w:val="single" w:sz="4" w:space="0" w:color="auto"/>
            </w:tcBorders>
            <w:shd w:val="clear" w:color="auto" w:fill="C6EFCE"/>
            <w:noWrap/>
          </w:tcPr>
          <w:p w14:paraId="2590E94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87" w:type="dxa"/>
            <w:tcBorders>
              <w:top w:val="nil"/>
              <w:left w:val="nil"/>
              <w:bottom w:val="single" w:sz="4" w:space="0" w:color="auto"/>
              <w:right w:val="single" w:sz="4" w:space="0" w:color="auto"/>
            </w:tcBorders>
            <w:shd w:val="clear" w:color="auto" w:fill="C6EFCE"/>
            <w:noWrap/>
          </w:tcPr>
          <w:p w14:paraId="435103C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Dokončenie projektu centrálneho systému správy dokumentov </w:t>
            </w:r>
          </w:p>
        </w:tc>
        <w:tc>
          <w:tcPr>
            <w:tcW w:w="1514" w:type="dxa"/>
            <w:tcBorders>
              <w:top w:val="nil"/>
              <w:left w:val="nil"/>
              <w:bottom w:val="single" w:sz="4" w:space="0" w:color="auto"/>
              <w:right w:val="single" w:sz="4" w:space="0" w:color="auto"/>
            </w:tcBorders>
            <w:shd w:val="clear" w:color="auto" w:fill="C6EFCE"/>
            <w:noWrap/>
          </w:tcPr>
          <w:p w14:paraId="160BE196" w14:textId="45BA1EB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Záverečná správa ministerstva digitálnej správy,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ktorej sa dokumentuje dokončenie centrálneho systému správy dokumentov</w:t>
            </w:r>
          </w:p>
        </w:tc>
        <w:tc>
          <w:tcPr>
            <w:tcW w:w="937" w:type="dxa"/>
            <w:tcBorders>
              <w:top w:val="nil"/>
              <w:left w:val="nil"/>
              <w:bottom w:val="single" w:sz="4" w:space="0" w:color="auto"/>
              <w:right w:val="single" w:sz="4" w:space="0" w:color="auto"/>
            </w:tcBorders>
            <w:shd w:val="clear" w:color="auto" w:fill="C6EFCE"/>
            <w:noWrap/>
          </w:tcPr>
          <w:p w14:paraId="60D9F29C"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10" w:type="dxa"/>
            <w:tcBorders>
              <w:top w:val="nil"/>
              <w:left w:val="nil"/>
              <w:bottom w:val="single" w:sz="4" w:space="0" w:color="auto"/>
              <w:right w:val="single" w:sz="4" w:space="0" w:color="auto"/>
            </w:tcBorders>
            <w:shd w:val="clear" w:color="auto" w:fill="C6EFCE"/>
            <w:noWrap/>
          </w:tcPr>
          <w:p w14:paraId="243D3094"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788" w:type="dxa"/>
            <w:tcBorders>
              <w:top w:val="nil"/>
              <w:left w:val="nil"/>
              <w:bottom w:val="single" w:sz="4" w:space="0" w:color="auto"/>
              <w:right w:val="single" w:sz="4" w:space="0" w:color="auto"/>
            </w:tcBorders>
            <w:shd w:val="clear" w:color="auto" w:fill="C6EFCE"/>
            <w:noWrap/>
          </w:tcPr>
          <w:p w14:paraId="5A7D5270"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47" w:type="dxa"/>
            <w:tcBorders>
              <w:top w:val="nil"/>
              <w:left w:val="nil"/>
              <w:bottom w:val="single" w:sz="4" w:space="0" w:color="auto"/>
              <w:right w:val="single" w:sz="4" w:space="0" w:color="auto"/>
            </w:tcBorders>
            <w:shd w:val="clear" w:color="auto" w:fill="C6EFCE"/>
            <w:noWrap/>
          </w:tcPr>
          <w:p w14:paraId="14D0872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680" w:type="dxa"/>
            <w:tcBorders>
              <w:top w:val="nil"/>
              <w:left w:val="nil"/>
              <w:bottom w:val="single" w:sz="4" w:space="0" w:color="auto"/>
              <w:right w:val="single" w:sz="4" w:space="0" w:color="auto"/>
            </w:tcBorders>
            <w:shd w:val="clear" w:color="auto" w:fill="C6EFCE"/>
            <w:noWrap/>
          </w:tcPr>
          <w:p w14:paraId="1EDCBACE" w14:textId="2C02C3A2"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2024</w:t>
            </w:r>
          </w:p>
        </w:tc>
        <w:tc>
          <w:tcPr>
            <w:tcW w:w="4090" w:type="dxa"/>
            <w:tcBorders>
              <w:top w:val="nil"/>
              <w:left w:val="nil"/>
              <w:bottom w:val="single" w:sz="4" w:space="0" w:color="auto"/>
              <w:right w:val="single" w:sz="4" w:space="0" w:color="auto"/>
            </w:tcBorders>
            <w:shd w:val="clear" w:color="auto" w:fill="C6EFCE"/>
            <w:noWrap/>
          </w:tcPr>
          <w:p w14:paraId="0653DADA" w14:textId="77777777" w:rsidR="00083739" w:rsidRPr="00083739" w:rsidRDefault="00BF4125">
            <w:pPr>
              <w:pStyle w:val="P68B1DB1-Normal10"/>
              <w:spacing w:after="0" w:line="240" w:lineRule="auto"/>
              <w:rPr>
                <w:rFonts w:ascii="Times New Roman" w:hAnsi="Times New Roman" w:cs="Times New Roman"/>
                <w:noProof/>
                <w:lang w:val="sk-SK"/>
              </w:rPr>
            </w:pPr>
            <w:r w:rsidRPr="00083739">
              <w:rPr>
                <w:rFonts w:ascii="Times New Roman" w:hAnsi="Times New Roman" w:cs="Times New Roman"/>
                <w:noProof/>
                <w:lang w:val="sk-SK"/>
              </w:rPr>
              <w:t>Centrálny systém správy dokumentov je funkčný vrátane poskytovania</w:t>
            </w:r>
          </w:p>
          <w:p w14:paraId="6D210A37" w14:textId="68FB28A9"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20000 schválených digitálnych podpisov na diaľku</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podporou aplikácií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asistenčnej služby.</w:t>
            </w:r>
          </w:p>
        </w:tc>
      </w:tr>
      <w:tr w:rsidR="002D49B0" w:rsidRPr="00083739" w14:paraId="3B176CF9" w14:textId="77777777">
        <w:trPr>
          <w:trHeight w:val="313"/>
          <w:jc w:val="center"/>
        </w:trPr>
        <w:tc>
          <w:tcPr>
            <w:tcW w:w="1080" w:type="dxa"/>
            <w:tcBorders>
              <w:top w:val="nil"/>
              <w:left w:val="single" w:sz="4" w:space="0" w:color="auto"/>
              <w:bottom w:val="single" w:sz="4" w:space="0" w:color="auto"/>
              <w:right w:val="single" w:sz="4" w:space="0" w:color="auto"/>
            </w:tcBorders>
            <w:shd w:val="clear" w:color="auto" w:fill="C6EFCE"/>
            <w:noWrap/>
          </w:tcPr>
          <w:p w14:paraId="229459E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114</w:t>
            </w:r>
          </w:p>
        </w:tc>
        <w:tc>
          <w:tcPr>
            <w:tcW w:w="1855" w:type="dxa"/>
            <w:tcBorders>
              <w:top w:val="nil"/>
              <w:left w:val="nil"/>
              <w:bottom w:val="single" w:sz="4" w:space="0" w:color="auto"/>
              <w:right w:val="single" w:sz="4" w:space="0" w:color="auto"/>
            </w:tcBorders>
            <w:shd w:val="clear" w:color="auto" w:fill="C6EFCE"/>
            <w:noWrap/>
          </w:tcPr>
          <w:p w14:paraId="304A880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6 – 2.2. Modernizácia – 16742_Digitálna transformácia ministerstva zahraničných vecí</w:t>
            </w:r>
          </w:p>
        </w:tc>
        <w:tc>
          <w:tcPr>
            <w:tcW w:w="1101" w:type="dxa"/>
            <w:tcBorders>
              <w:top w:val="nil"/>
              <w:left w:val="nil"/>
              <w:bottom w:val="single" w:sz="4" w:space="0" w:color="auto"/>
              <w:right w:val="single" w:sz="4" w:space="0" w:color="auto"/>
            </w:tcBorders>
            <w:shd w:val="clear" w:color="auto" w:fill="C6EFCE"/>
            <w:noWrap/>
          </w:tcPr>
          <w:p w14:paraId="36505CF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87" w:type="dxa"/>
            <w:tcBorders>
              <w:top w:val="nil"/>
              <w:left w:val="nil"/>
              <w:bottom w:val="single" w:sz="4" w:space="0" w:color="auto"/>
              <w:right w:val="single" w:sz="4" w:space="0" w:color="auto"/>
            </w:tcBorders>
            <w:shd w:val="clear" w:color="auto" w:fill="C6EFCE"/>
            <w:noWrap/>
          </w:tcPr>
          <w:p w14:paraId="440B37F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digitálnej transformácie ministerstva zahraničných vecí</w:t>
            </w:r>
          </w:p>
        </w:tc>
        <w:tc>
          <w:tcPr>
            <w:tcW w:w="1514" w:type="dxa"/>
            <w:tcBorders>
              <w:top w:val="nil"/>
              <w:left w:val="nil"/>
              <w:bottom w:val="single" w:sz="4" w:space="0" w:color="auto"/>
              <w:right w:val="single" w:sz="4" w:space="0" w:color="auto"/>
            </w:tcBorders>
            <w:shd w:val="clear" w:color="auto" w:fill="C6EFCE"/>
            <w:noWrap/>
          </w:tcPr>
          <w:p w14:paraId="7D6EB619" w14:textId="17AF1D34"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Správa ministerstva zahraničných vecí,</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ktorej sa dokumentuje dokončenie všetkých čiastkových projektov projektu „Digitalizácia ministerstva zahraničných vecí“</w:t>
            </w:r>
          </w:p>
        </w:tc>
        <w:tc>
          <w:tcPr>
            <w:tcW w:w="937" w:type="dxa"/>
            <w:tcBorders>
              <w:top w:val="nil"/>
              <w:left w:val="nil"/>
              <w:bottom w:val="single" w:sz="4" w:space="0" w:color="auto"/>
              <w:right w:val="single" w:sz="4" w:space="0" w:color="auto"/>
            </w:tcBorders>
            <w:shd w:val="clear" w:color="auto" w:fill="C6EFCE"/>
            <w:noWrap/>
          </w:tcPr>
          <w:p w14:paraId="1B4CE634"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10" w:type="dxa"/>
            <w:tcBorders>
              <w:top w:val="nil"/>
              <w:left w:val="nil"/>
              <w:bottom w:val="single" w:sz="4" w:space="0" w:color="auto"/>
              <w:right w:val="single" w:sz="4" w:space="0" w:color="auto"/>
            </w:tcBorders>
            <w:shd w:val="clear" w:color="auto" w:fill="C6EFCE"/>
            <w:noWrap/>
          </w:tcPr>
          <w:p w14:paraId="70281BF3"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788" w:type="dxa"/>
            <w:tcBorders>
              <w:top w:val="nil"/>
              <w:left w:val="nil"/>
              <w:bottom w:val="single" w:sz="4" w:space="0" w:color="auto"/>
              <w:right w:val="single" w:sz="4" w:space="0" w:color="auto"/>
            </w:tcBorders>
            <w:shd w:val="clear" w:color="auto" w:fill="C6EFCE"/>
            <w:noWrap/>
          </w:tcPr>
          <w:p w14:paraId="4DC528EC"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47" w:type="dxa"/>
            <w:tcBorders>
              <w:top w:val="nil"/>
              <w:left w:val="nil"/>
              <w:bottom w:val="single" w:sz="4" w:space="0" w:color="auto"/>
              <w:right w:val="single" w:sz="4" w:space="0" w:color="auto"/>
            </w:tcBorders>
            <w:shd w:val="clear" w:color="auto" w:fill="C6EFCE"/>
            <w:noWrap/>
          </w:tcPr>
          <w:p w14:paraId="1FBFB21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680" w:type="dxa"/>
            <w:tcBorders>
              <w:top w:val="nil"/>
              <w:left w:val="nil"/>
              <w:bottom w:val="single" w:sz="4" w:space="0" w:color="auto"/>
              <w:right w:val="single" w:sz="4" w:space="0" w:color="auto"/>
            </w:tcBorders>
            <w:shd w:val="clear" w:color="auto" w:fill="C6EFCE"/>
            <w:noWrap/>
          </w:tcPr>
          <w:p w14:paraId="181FD35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4090" w:type="dxa"/>
            <w:tcBorders>
              <w:top w:val="nil"/>
              <w:left w:val="nil"/>
              <w:bottom w:val="single" w:sz="4" w:space="0" w:color="auto"/>
              <w:right w:val="single" w:sz="4" w:space="0" w:color="auto"/>
            </w:tcBorders>
            <w:shd w:val="clear" w:color="auto" w:fill="C6EFCE"/>
            <w:noWrap/>
          </w:tcPr>
          <w:p w14:paraId="17FC09FA" w14:textId="538E07E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digitálnej transformácie ministerstva zahraničných vecí vrátane 1. podporného systému strategického</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operačného plánovania, 2. digitalizácie diplomatických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historických archívov, 3. platformy globálneho digitálneho informačného centra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4. mo</w:t>
            </w:r>
            <w:r w:rsidRPr="00083739">
              <w:rPr>
                <w:rFonts w:ascii="Times New Roman" w:hAnsi="Times New Roman" w:cs="Times New Roman"/>
                <w:noProof/>
                <w:lang w:val="sk-SK"/>
              </w:rPr>
              <w:t>dernizácie infraštruktúry kryptotechnickej</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telekomunikačnej bezpečnosti.</w:t>
            </w:r>
          </w:p>
        </w:tc>
      </w:tr>
      <w:tr w:rsidR="002D49B0" w:rsidRPr="00083739" w14:paraId="116B46E7" w14:textId="77777777">
        <w:trPr>
          <w:trHeight w:val="313"/>
          <w:jc w:val="center"/>
        </w:trPr>
        <w:tc>
          <w:tcPr>
            <w:tcW w:w="1080" w:type="dxa"/>
            <w:tcBorders>
              <w:top w:val="nil"/>
              <w:left w:val="single" w:sz="4" w:space="0" w:color="auto"/>
              <w:bottom w:val="single" w:sz="4" w:space="0" w:color="auto"/>
              <w:right w:val="single" w:sz="4" w:space="0" w:color="auto"/>
            </w:tcBorders>
            <w:shd w:val="clear" w:color="auto" w:fill="C6EFCE"/>
            <w:noWrap/>
          </w:tcPr>
          <w:p w14:paraId="0CBC6C4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115</w:t>
            </w:r>
          </w:p>
        </w:tc>
        <w:tc>
          <w:tcPr>
            <w:tcW w:w="1855" w:type="dxa"/>
            <w:tcBorders>
              <w:top w:val="nil"/>
              <w:left w:val="nil"/>
              <w:bottom w:val="single" w:sz="4" w:space="0" w:color="auto"/>
              <w:right w:val="single" w:sz="4" w:space="0" w:color="auto"/>
            </w:tcBorders>
            <w:shd w:val="clear" w:color="auto" w:fill="C6EFCE"/>
            <w:noWrap/>
          </w:tcPr>
          <w:p w14:paraId="339338F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6 – 2.2. Modernizácia – 16791_Digitálna transformácia gréckej národnej organizácie cestovného ruchu</w:t>
            </w:r>
          </w:p>
        </w:tc>
        <w:tc>
          <w:tcPr>
            <w:tcW w:w="1101" w:type="dxa"/>
            <w:tcBorders>
              <w:top w:val="nil"/>
              <w:left w:val="nil"/>
              <w:bottom w:val="single" w:sz="4" w:space="0" w:color="auto"/>
              <w:right w:val="single" w:sz="4" w:space="0" w:color="auto"/>
            </w:tcBorders>
            <w:shd w:val="clear" w:color="auto" w:fill="C6EFCE"/>
            <w:noWrap/>
          </w:tcPr>
          <w:p w14:paraId="31FC11C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87" w:type="dxa"/>
            <w:tcBorders>
              <w:top w:val="nil"/>
              <w:left w:val="nil"/>
              <w:bottom w:val="single" w:sz="4" w:space="0" w:color="auto"/>
              <w:right w:val="single" w:sz="4" w:space="0" w:color="auto"/>
            </w:tcBorders>
            <w:shd w:val="clear" w:color="auto" w:fill="C6EFCE"/>
            <w:noWrap/>
          </w:tcPr>
          <w:p w14:paraId="2E43AB4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Dokončenie digitalizácie gréckej národnej organizácie cestovného ruchu </w:t>
            </w:r>
          </w:p>
        </w:tc>
        <w:tc>
          <w:tcPr>
            <w:tcW w:w="1514" w:type="dxa"/>
            <w:tcBorders>
              <w:top w:val="nil"/>
              <w:left w:val="nil"/>
              <w:bottom w:val="single" w:sz="4" w:space="0" w:color="auto"/>
              <w:right w:val="single" w:sz="4" w:space="0" w:color="auto"/>
            </w:tcBorders>
            <w:shd w:val="clear" w:color="auto" w:fill="C6EFCE"/>
            <w:noWrap/>
          </w:tcPr>
          <w:p w14:paraId="750FB443" w14:textId="7FE275E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Správa gréckej národnej organizácie cestovného ruchu,</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ktorej sa dokumentuje dokončenie projektu „Digitálna transformácia gréckej národnej organizácie cestovného ruchu“</w:t>
            </w:r>
          </w:p>
        </w:tc>
        <w:tc>
          <w:tcPr>
            <w:tcW w:w="937" w:type="dxa"/>
            <w:tcBorders>
              <w:top w:val="nil"/>
              <w:left w:val="nil"/>
              <w:bottom w:val="single" w:sz="4" w:space="0" w:color="auto"/>
              <w:right w:val="single" w:sz="4" w:space="0" w:color="auto"/>
            </w:tcBorders>
            <w:shd w:val="clear" w:color="auto" w:fill="C6EFCE"/>
            <w:noWrap/>
          </w:tcPr>
          <w:p w14:paraId="768361E0"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10" w:type="dxa"/>
            <w:tcBorders>
              <w:top w:val="nil"/>
              <w:left w:val="nil"/>
              <w:bottom w:val="single" w:sz="4" w:space="0" w:color="auto"/>
              <w:right w:val="single" w:sz="4" w:space="0" w:color="auto"/>
            </w:tcBorders>
            <w:shd w:val="clear" w:color="auto" w:fill="C6EFCE"/>
            <w:noWrap/>
          </w:tcPr>
          <w:p w14:paraId="294ED22D"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788" w:type="dxa"/>
            <w:tcBorders>
              <w:top w:val="nil"/>
              <w:left w:val="nil"/>
              <w:bottom w:val="single" w:sz="4" w:space="0" w:color="auto"/>
              <w:right w:val="single" w:sz="4" w:space="0" w:color="auto"/>
            </w:tcBorders>
            <w:shd w:val="clear" w:color="auto" w:fill="C6EFCE"/>
            <w:noWrap/>
          </w:tcPr>
          <w:p w14:paraId="4FE1CF4E"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47" w:type="dxa"/>
            <w:tcBorders>
              <w:top w:val="nil"/>
              <w:left w:val="nil"/>
              <w:bottom w:val="single" w:sz="4" w:space="0" w:color="auto"/>
              <w:right w:val="single" w:sz="4" w:space="0" w:color="auto"/>
            </w:tcBorders>
            <w:shd w:val="clear" w:color="auto" w:fill="C6EFCE"/>
            <w:noWrap/>
          </w:tcPr>
          <w:p w14:paraId="24DABDB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DRUHÝ </w:t>
            </w:r>
            <w:r w:rsidRPr="00083739">
              <w:rPr>
                <w:rFonts w:ascii="Times New Roman" w:hAnsi="Times New Roman" w:cs="Times New Roman"/>
                <w:noProof/>
                <w:lang w:val="sk-SK"/>
              </w:rPr>
              <w:t>ŠTVRŤROK</w:t>
            </w:r>
          </w:p>
        </w:tc>
        <w:tc>
          <w:tcPr>
            <w:tcW w:w="680" w:type="dxa"/>
            <w:tcBorders>
              <w:top w:val="nil"/>
              <w:left w:val="nil"/>
              <w:bottom w:val="single" w:sz="4" w:space="0" w:color="auto"/>
              <w:right w:val="single" w:sz="4" w:space="0" w:color="auto"/>
            </w:tcBorders>
            <w:shd w:val="clear" w:color="auto" w:fill="C6EFCE"/>
            <w:noWrap/>
          </w:tcPr>
          <w:p w14:paraId="76AC581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4090" w:type="dxa"/>
            <w:tcBorders>
              <w:top w:val="nil"/>
              <w:left w:val="nil"/>
              <w:bottom w:val="single" w:sz="4" w:space="0" w:color="auto"/>
              <w:right w:val="single" w:sz="4" w:space="0" w:color="auto"/>
            </w:tcBorders>
            <w:shd w:val="clear" w:color="auto" w:fill="C6EFCE"/>
            <w:noWrap/>
          </w:tcPr>
          <w:p w14:paraId="4CBD3371" w14:textId="3810C382"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digitálnej transformácie gréckej národnej organizácie cestovného ruchu vrátane vytvorenia 1) digitálnej turistickej mapy, 2) digitálneho úložiska kultúrnych aktív Grécka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3) nového systému informácií</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cestovnom ruchu.</w:t>
            </w:r>
          </w:p>
        </w:tc>
      </w:tr>
      <w:tr w:rsidR="002D49B0" w:rsidRPr="00083739" w14:paraId="6F38ACFE" w14:textId="77777777">
        <w:trPr>
          <w:trHeight w:val="313"/>
          <w:jc w:val="center"/>
        </w:trPr>
        <w:tc>
          <w:tcPr>
            <w:tcW w:w="1080" w:type="dxa"/>
            <w:tcBorders>
              <w:top w:val="nil"/>
              <w:left w:val="single" w:sz="4" w:space="0" w:color="auto"/>
              <w:bottom w:val="single" w:sz="4" w:space="0" w:color="auto"/>
              <w:right w:val="single" w:sz="4" w:space="0" w:color="auto"/>
            </w:tcBorders>
            <w:shd w:val="clear" w:color="auto" w:fill="C6EFCE"/>
            <w:noWrap/>
          </w:tcPr>
          <w:p w14:paraId="5B8BBF0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116</w:t>
            </w:r>
          </w:p>
        </w:tc>
        <w:tc>
          <w:tcPr>
            <w:tcW w:w="1855" w:type="dxa"/>
            <w:tcBorders>
              <w:top w:val="nil"/>
              <w:left w:val="nil"/>
              <w:bottom w:val="single" w:sz="4" w:space="0" w:color="auto"/>
              <w:right w:val="single" w:sz="4" w:space="0" w:color="auto"/>
            </w:tcBorders>
            <w:shd w:val="clear" w:color="auto" w:fill="C6EFCE"/>
            <w:noWrap/>
          </w:tcPr>
          <w:p w14:paraId="1B2BF80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6 – </w:t>
            </w:r>
            <w:r w:rsidRPr="00083739">
              <w:rPr>
                <w:rFonts w:ascii="Times New Roman" w:hAnsi="Times New Roman" w:cs="Times New Roman"/>
                <w:noProof/>
                <w:lang w:val="sk-SK"/>
              </w:rPr>
              <w:t>2.2. Modernizácia – 16964_Centrum interoperability novej generácie (KED)</w:t>
            </w:r>
          </w:p>
        </w:tc>
        <w:tc>
          <w:tcPr>
            <w:tcW w:w="1101" w:type="dxa"/>
            <w:tcBorders>
              <w:top w:val="nil"/>
              <w:left w:val="nil"/>
              <w:bottom w:val="single" w:sz="4" w:space="0" w:color="auto"/>
              <w:right w:val="single" w:sz="4" w:space="0" w:color="auto"/>
            </w:tcBorders>
            <w:shd w:val="clear" w:color="auto" w:fill="C6EFCE"/>
            <w:noWrap/>
          </w:tcPr>
          <w:p w14:paraId="00D652B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87" w:type="dxa"/>
            <w:tcBorders>
              <w:top w:val="nil"/>
              <w:left w:val="nil"/>
              <w:bottom w:val="single" w:sz="4" w:space="0" w:color="auto"/>
              <w:right w:val="single" w:sz="4" w:space="0" w:color="auto"/>
            </w:tcBorders>
            <w:shd w:val="clear" w:color="auto" w:fill="C6EFCE"/>
            <w:noWrap/>
          </w:tcPr>
          <w:p w14:paraId="39304F8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centra pre interoperabilitu novej generácie</w:t>
            </w:r>
          </w:p>
        </w:tc>
        <w:tc>
          <w:tcPr>
            <w:tcW w:w="1514" w:type="dxa"/>
            <w:tcBorders>
              <w:top w:val="nil"/>
              <w:left w:val="nil"/>
              <w:bottom w:val="single" w:sz="4" w:space="0" w:color="auto"/>
              <w:right w:val="single" w:sz="4" w:space="0" w:color="auto"/>
            </w:tcBorders>
            <w:shd w:val="clear" w:color="auto" w:fill="C6EFCE"/>
            <w:noWrap/>
          </w:tcPr>
          <w:p w14:paraId="0D68FE50" w14:textId="0B414BA6"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Správa ministerstva digitálnej správy,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ktorej sa dokumentuje dokončenie projektu „Centrum interoperability</w:t>
            </w:r>
            <w:r w:rsidRPr="00083739">
              <w:rPr>
                <w:rFonts w:ascii="Times New Roman" w:hAnsi="Times New Roman" w:cs="Times New Roman"/>
                <w:noProof/>
                <w:lang w:val="sk-SK"/>
              </w:rPr>
              <w:t xml:space="preserve"> novej generácie“.</w:t>
            </w:r>
          </w:p>
        </w:tc>
        <w:tc>
          <w:tcPr>
            <w:tcW w:w="937" w:type="dxa"/>
            <w:tcBorders>
              <w:top w:val="nil"/>
              <w:left w:val="nil"/>
              <w:bottom w:val="single" w:sz="4" w:space="0" w:color="auto"/>
              <w:right w:val="single" w:sz="4" w:space="0" w:color="auto"/>
            </w:tcBorders>
            <w:shd w:val="clear" w:color="auto" w:fill="C6EFCE"/>
            <w:noWrap/>
          </w:tcPr>
          <w:p w14:paraId="0FF10E72"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10" w:type="dxa"/>
            <w:tcBorders>
              <w:top w:val="nil"/>
              <w:left w:val="nil"/>
              <w:bottom w:val="single" w:sz="4" w:space="0" w:color="auto"/>
              <w:right w:val="single" w:sz="4" w:space="0" w:color="auto"/>
            </w:tcBorders>
            <w:shd w:val="clear" w:color="auto" w:fill="C6EFCE"/>
            <w:noWrap/>
          </w:tcPr>
          <w:p w14:paraId="2DC3D48D"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788" w:type="dxa"/>
            <w:tcBorders>
              <w:top w:val="nil"/>
              <w:left w:val="nil"/>
              <w:bottom w:val="single" w:sz="4" w:space="0" w:color="auto"/>
              <w:right w:val="single" w:sz="4" w:space="0" w:color="auto"/>
            </w:tcBorders>
            <w:shd w:val="clear" w:color="auto" w:fill="C6EFCE"/>
            <w:noWrap/>
          </w:tcPr>
          <w:p w14:paraId="4CBDF459"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47" w:type="dxa"/>
            <w:tcBorders>
              <w:top w:val="nil"/>
              <w:left w:val="nil"/>
              <w:bottom w:val="single" w:sz="4" w:space="0" w:color="auto"/>
              <w:right w:val="single" w:sz="4" w:space="0" w:color="auto"/>
            </w:tcBorders>
            <w:shd w:val="clear" w:color="auto" w:fill="C6EFCE"/>
            <w:noWrap/>
          </w:tcPr>
          <w:p w14:paraId="2E53CCF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680" w:type="dxa"/>
            <w:tcBorders>
              <w:top w:val="nil"/>
              <w:left w:val="nil"/>
              <w:bottom w:val="single" w:sz="4" w:space="0" w:color="auto"/>
              <w:right w:val="single" w:sz="4" w:space="0" w:color="auto"/>
            </w:tcBorders>
            <w:shd w:val="clear" w:color="auto" w:fill="C6EFCE"/>
            <w:noWrap/>
          </w:tcPr>
          <w:p w14:paraId="5FEB7A1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4090" w:type="dxa"/>
            <w:tcBorders>
              <w:top w:val="nil"/>
              <w:left w:val="nil"/>
              <w:bottom w:val="single" w:sz="4" w:space="0" w:color="auto"/>
              <w:right w:val="single" w:sz="4" w:space="0" w:color="auto"/>
            </w:tcBorders>
            <w:shd w:val="clear" w:color="auto" w:fill="C6EFCE"/>
            <w:noWrap/>
          </w:tcPr>
          <w:p w14:paraId="67B6E9EA" w14:textId="13CC9FF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Centra pre interoperabilitu novej generácie (KED) vrátane dokončenia štúdie uskutočniteľnosti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bezpečnosti, dodávky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inštalácie požadovaných licencií pre databázu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platformu hybridných cloudových apli</w:t>
            </w:r>
            <w:r w:rsidRPr="00083739">
              <w:rPr>
                <w:rFonts w:ascii="Times New Roman" w:hAnsi="Times New Roman" w:cs="Times New Roman"/>
                <w:noProof/>
                <w:lang w:val="sk-SK"/>
              </w:rPr>
              <w:t>kácií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zriadenie centra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zavedenie príslušných webových služieb.</w:t>
            </w:r>
          </w:p>
        </w:tc>
      </w:tr>
      <w:tr w:rsidR="002D49B0" w:rsidRPr="00083739" w14:paraId="3B33985D" w14:textId="77777777">
        <w:trPr>
          <w:trHeight w:val="313"/>
          <w:jc w:val="center"/>
        </w:trPr>
        <w:tc>
          <w:tcPr>
            <w:tcW w:w="1080" w:type="dxa"/>
            <w:tcBorders>
              <w:top w:val="nil"/>
              <w:left w:val="single" w:sz="4" w:space="0" w:color="auto"/>
              <w:bottom w:val="single" w:sz="4" w:space="0" w:color="auto"/>
              <w:right w:val="single" w:sz="4" w:space="0" w:color="auto"/>
            </w:tcBorders>
            <w:shd w:val="clear" w:color="auto" w:fill="C6EFCE"/>
            <w:noWrap/>
          </w:tcPr>
          <w:p w14:paraId="6C51773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117</w:t>
            </w:r>
          </w:p>
        </w:tc>
        <w:tc>
          <w:tcPr>
            <w:tcW w:w="1855" w:type="dxa"/>
            <w:tcBorders>
              <w:top w:val="nil"/>
              <w:left w:val="nil"/>
              <w:bottom w:val="single" w:sz="4" w:space="0" w:color="auto"/>
              <w:right w:val="single" w:sz="4" w:space="0" w:color="auto"/>
            </w:tcBorders>
            <w:shd w:val="clear" w:color="auto" w:fill="C6EFCE"/>
            <w:noWrap/>
          </w:tcPr>
          <w:p w14:paraId="0C569AC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6 – 2.2. Modernizácia – 16785_register cestovného ruchu e-MHTE</w:t>
            </w:r>
          </w:p>
        </w:tc>
        <w:tc>
          <w:tcPr>
            <w:tcW w:w="1101" w:type="dxa"/>
            <w:tcBorders>
              <w:top w:val="nil"/>
              <w:left w:val="nil"/>
              <w:bottom w:val="single" w:sz="4" w:space="0" w:color="auto"/>
              <w:right w:val="single" w:sz="4" w:space="0" w:color="auto"/>
            </w:tcBorders>
            <w:shd w:val="clear" w:color="auto" w:fill="C6EFCE"/>
            <w:noWrap/>
          </w:tcPr>
          <w:p w14:paraId="717D51A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87" w:type="dxa"/>
            <w:tcBorders>
              <w:top w:val="nil"/>
              <w:left w:val="nil"/>
              <w:bottom w:val="single" w:sz="4" w:space="0" w:color="auto"/>
              <w:right w:val="single" w:sz="4" w:space="0" w:color="auto"/>
            </w:tcBorders>
            <w:shd w:val="clear" w:color="auto" w:fill="C6EFCE"/>
            <w:noWrap/>
          </w:tcPr>
          <w:p w14:paraId="6FB29A2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Dokončenie digitálneho registra cestovného ruchu </w:t>
            </w:r>
          </w:p>
        </w:tc>
        <w:tc>
          <w:tcPr>
            <w:tcW w:w="1514" w:type="dxa"/>
            <w:tcBorders>
              <w:top w:val="nil"/>
              <w:left w:val="nil"/>
              <w:bottom w:val="single" w:sz="4" w:space="0" w:color="auto"/>
              <w:right w:val="single" w:sz="4" w:space="0" w:color="auto"/>
            </w:tcBorders>
            <w:shd w:val="clear" w:color="auto" w:fill="C6EFCE"/>
            <w:noWrap/>
          </w:tcPr>
          <w:p w14:paraId="31D0E1C0" w14:textId="0B5FF32B"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Záverečná správa ministerstva cestovného ruchu,</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 xml:space="preserve">ktorej sa </w:t>
            </w:r>
            <w:r w:rsidRPr="00083739">
              <w:rPr>
                <w:rFonts w:ascii="Times New Roman" w:hAnsi="Times New Roman" w:cs="Times New Roman"/>
                <w:noProof/>
                <w:lang w:val="sk-SK"/>
              </w:rPr>
              <w:t>dokumentuje sprevádzkovanie platformy „New e-MHTE“</w:t>
            </w:r>
          </w:p>
        </w:tc>
        <w:tc>
          <w:tcPr>
            <w:tcW w:w="937" w:type="dxa"/>
            <w:tcBorders>
              <w:top w:val="nil"/>
              <w:left w:val="nil"/>
              <w:bottom w:val="single" w:sz="4" w:space="0" w:color="auto"/>
              <w:right w:val="single" w:sz="4" w:space="0" w:color="auto"/>
            </w:tcBorders>
            <w:shd w:val="clear" w:color="auto" w:fill="C6EFCE"/>
            <w:noWrap/>
          </w:tcPr>
          <w:p w14:paraId="357147E9"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10" w:type="dxa"/>
            <w:tcBorders>
              <w:top w:val="nil"/>
              <w:left w:val="nil"/>
              <w:bottom w:val="single" w:sz="4" w:space="0" w:color="auto"/>
              <w:right w:val="single" w:sz="4" w:space="0" w:color="auto"/>
            </w:tcBorders>
            <w:shd w:val="clear" w:color="auto" w:fill="C6EFCE"/>
            <w:noWrap/>
          </w:tcPr>
          <w:p w14:paraId="55E08238"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788" w:type="dxa"/>
            <w:tcBorders>
              <w:top w:val="nil"/>
              <w:left w:val="nil"/>
              <w:bottom w:val="single" w:sz="4" w:space="0" w:color="auto"/>
              <w:right w:val="single" w:sz="4" w:space="0" w:color="auto"/>
            </w:tcBorders>
            <w:shd w:val="clear" w:color="auto" w:fill="C6EFCE"/>
            <w:noWrap/>
          </w:tcPr>
          <w:p w14:paraId="20F0909D"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47" w:type="dxa"/>
            <w:tcBorders>
              <w:top w:val="nil"/>
              <w:left w:val="nil"/>
              <w:bottom w:val="single" w:sz="4" w:space="0" w:color="auto"/>
              <w:right w:val="single" w:sz="4" w:space="0" w:color="auto"/>
            </w:tcBorders>
            <w:shd w:val="clear" w:color="auto" w:fill="C6EFCE"/>
            <w:noWrap/>
          </w:tcPr>
          <w:p w14:paraId="47E88A9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680" w:type="dxa"/>
            <w:tcBorders>
              <w:top w:val="nil"/>
              <w:left w:val="nil"/>
              <w:bottom w:val="single" w:sz="4" w:space="0" w:color="auto"/>
              <w:right w:val="single" w:sz="4" w:space="0" w:color="auto"/>
            </w:tcBorders>
            <w:shd w:val="clear" w:color="auto" w:fill="C6EFCE"/>
            <w:noWrap/>
          </w:tcPr>
          <w:p w14:paraId="3F19752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4090" w:type="dxa"/>
            <w:tcBorders>
              <w:top w:val="nil"/>
              <w:left w:val="nil"/>
              <w:bottom w:val="single" w:sz="4" w:space="0" w:color="auto"/>
              <w:right w:val="single" w:sz="4" w:space="0" w:color="auto"/>
            </w:tcBorders>
            <w:shd w:val="clear" w:color="auto" w:fill="C6EFCE"/>
            <w:noWrap/>
          </w:tcPr>
          <w:p w14:paraId="4EAF6E9F" w14:textId="40AA491B" w:rsidR="002D49B0" w:rsidRPr="00083739" w:rsidRDefault="00BF4125">
            <w:pPr>
              <w:pStyle w:val="P68B1DB1-Normal23"/>
              <w:spacing w:after="0" w:line="240" w:lineRule="auto"/>
              <w:rPr>
                <w:rFonts w:ascii="Times New Roman" w:eastAsia="Times New Roman" w:hAnsi="Times New Roman" w:cs="Times New Roman"/>
                <w:noProof/>
                <w:sz w:val="18"/>
                <w:szCs w:val="18"/>
                <w:lang w:val="sk-SK"/>
              </w:rPr>
            </w:pPr>
            <w:r w:rsidRPr="00083739">
              <w:rPr>
                <w:rFonts w:ascii="Times New Roman" w:hAnsi="Times New Roman" w:cs="Times New Roman"/>
                <w:noProof/>
                <w:sz w:val="18"/>
                <w:lang w:val="sk-SK"/>
              </w:rPr>
              <w:t>Dokončenie platformy „e-MHTE“ registra cestovného ruchu vrátane</w:t>
            </w:r>
            <w:r w:rsidRPr="00083739">
              <w:rPr>
                <w:rFonts w:ascii="Times New Roman" w:hAnsi="Times New Roman" w:cs="Times New Roman"/>
                <w:noProof/>
                <w:lang w:val="sk-SK"/>
              </w:rPr>
              <w:t xml:space="preserve"> dokončenia digitalizácie archívu (1875000 súborov divízie územného plánovania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infraštruktúry) vrátane metaznačkovani</w:t>
            </w:r>
            <w:r w:rsidRPr="00083739">
              <w:rPr>
                <w:rFonts w:ascii="Times New Roman" w:hAnsi="Times New Roman" w:cs="Times New Roman"/>
                <w:noProof/>
                <w:lang w:val="sk-SK"/>
              </w:rPr>
              <w:t>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uchovávania. </w:t>
            </w:r>
          </w:p>
        </w:tc>
      </w:tr>
      <w:tr w:rsidR="002D49B0" w:rsidRPr="00083739" w14:paraId="2D3DF8C5" w14:textId="77777777">
        <w:trPr>
          <w:trHeight w:val="313"/>
          <w:jc w:val="center"/>
        </w:trPr>
        <w:tc>
          <w:tcPr>
            <w:tcW w:w="1080" w:type="dxa"/>
            <w:tcBorders>
              <w:top w:val="single" w:sz="4" w:space="0" w:color="auto"/>
              <w:left w:val="single" w:sz="4" w:space="0" w:color="auto"/>
              <w:bottom w:val="single" w:sz="4" w:space="0" w:color="auto"/>
              <w:right w:val="single" w:sz="4" w:space="0" w:color="auto"/>
            </w:tcBorders>
            <w:shd w:val="clear" w:color="auto" w:fill="C6EFCE"/>
            <w:noWrap/>
          </w:tcPr>
          <w:p w14:paraId="3BE0540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119</w:t>
            </w:r>
          </w:p>
        </w:tc>
        <w:tc>
          <w:tcPr>
            <w:tcW w:w="1855" w:type="dxa"/>
            <w:tcBorders>
              <w:top w:val="single" w:sz="4" w:space="0" w:color="auto"/>
              <w:left w:val="nil"/>
              <w:bottom w:val="single" w:sz="4" w:space="0" w:color="auto"/>
              <w:right w:val="single" w:sz="4" w:space="0" w:color="auto"/>
            </w:tcBorders>
            <w:shd w:val="clear" w:color="auto" w:fill="C6EFCE"/>
            <w:noWrap/>
          </w:tcPr>
          <w:p w14:paraId="28039AE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6 – 2.2. Modernizácia – 16736_Nový systém verejného obstarávania</w:t>
            </w:r>
          </w:p>
        </w:tc>
        <w:tc>
          <w:tcPr>
            <w:tcW w:w="1101" w:type="dxa"/>
            <w:tcBorders>
              <w:top w:val="single" w:sz="4" w:space="0" w:color="auto"/>
              <w:left w:val="nil"/>
              <w:bottom w:val="single" w:sz="4" w:space="0" w:color="auto"/>
              <w:right w:val="single" w:sz="4" w:space="0" w:color="auto"/>
            </w:tcBorders>
            <w:shd w:val="clear" w:color="auto" w:fill="C6EFCE"/>
            <w:noWrap/>
          </w:tcPr>
          <w:p w14:paraId="2D5A896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87" w:type="dxa"/>
            <w:tcBorders>
              <w:top w:val="single" w:sz="4" w:space="0" w:color="auto"/>
              <w:left w:val="nil"/>
              <w:bottom w:val="single" w:sz="4" w:space="0" w:color="auto"/>
              <w:right w:val="single" w:sz="4" w:space="0" w:color="auto"/>
            </w:tcBorders>
            <w:shd w:val="clear" w:color="auto" w:fill="C6EFCE"/>
            <w:noWrap/>
          </w:tcPr>
          <w:p w14:paraId="0555129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Dokončenie nového systému verejného obstarávania </w:t>
            </w:r>
          </w:p>
        </w:tc>
        <w:tc>
          <w:tcPr>
            <w:tcW w:w="1514" w:type="dxa"/>
            <w:tcBorders>
              <w:top w:val="single" w:sz="4" w:space="0" w:color="auto"/>
              <w:left w:val="nil"/>
              <w:bottom w:val="single" w:sz="4" w:space="0" w:color="auto"/>
              <w:right w:val="single" w:sz="4" w:space="0" w:color="auto"/>
            </w:tcBorders>
            <w:shd w:val="clear" w:color="auto" w:fill="C6EFCE"/>
            <w:noWrap/>
          </w:tcPr>
          <w:p w14:paraId="2BB65E0E" w14:textId="5A5F6B54"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Správa ministerstva digitálnej správy,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 xml:space="preserve">ktorej sa dokumentuje vykonávanie projektu „nový systém verejného </w:t>
            </w:r>
            <w:r w:rsidRPr="00083739">
              <w:rPr>
                <w:rFonts w:ascii="Times New Roman" w:hAnsi="Times New Roman" w:cs="Times New Roman"/>
                <w:noProof/>
                <w:lang w:val="sk-SK"/>
              </w:rPr>
              <w:t>obstarávania“</w:t>
            </w:r>
          </w:p>
        </w:tc>
        <w:tc>
          <w:tcPr>
            <w:tcW w:w="937" w:type="dxa"/>
            <w:tcBorders>
              <w:top w:val="single" w:sz="4" w:space="0" w:color="auto"/>
              <w:left w:val="nil"/>
              <w:bottom w:val="single" w:sz="4" w:space="0" w:color="auto"/>
              <w:right w:val="single" w:sz="4" w:space="0" w:color="auto"/>
            </w:tcBorders>
            <w:shd w:val="clear" w:color="auto" w:fill="C6EFCE"/>
            <w:noWrap/>
          </w:tcPr>
          <w:p w14:paraId="0E4311F6"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10" w:type="dxa"/>
            <w:tcBorders>
              <w:top w:val="single" w:sz="4" w:space="0" w:color="auto"/>
              <w:left w:val="nil"/>
              <w:bottom w:val="single" w:sz="4" w:space="0" w:color="auto"/>
              <w:right w:val="single" w:sz="4" w:space="0" w:color="auto"/>
            </w:tcBorders>
            <w:shd w:val="clear" w:color="auto" w:fill="C6EFCE"/>
            <w:noWrap/>
          </w:tcPr>
          <w:p w14:paraId="3E14B9CC"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788" w:type="dxa"/>
            <w:tcBorders>
              <w:top w:val="single" w:sz="4" w:space="0" w:color="auto"/>
              <w:left w:val="nil"/>
              <w:bottom w:val="single" w:sz="4" w:space="0" w:color="auto"/>
              <w:right w:val="single" w:sz="4" w:space="0" w:color="auto"/>
            </w:tcBorders>
            <w:shd w:val="clear" w:color="auto" w:fill="C6EFCE"/>
            <w:noWrap/>
          </w:tcPr>
          <w:p w14:paraId="3C28A020"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47" w:type="dxa"/>
            <w:tcBorders>
              <w:top w:val="single" w:sz="4" w:space="0" w:color="auto"/>
              <w:left w:val="nil"/>
              <w:bottom w:val="single" w:sz="4" w:space="0" w:color="auto"/>
              <w:right w:val="single" w:sz="4" w:space="0" w:color="auto"/>
            </w:tcBorders>
            <w:shd w:val="clear" w:color="auto" w:fill="C6EFCE"/>
            <w:noWrap/>
          </w:tcPr>
          <w:p w14:paraId="7D93BD5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680" w:type="dxa"/>
            <w:tcBorders>
              <w:top w:val="single" w:sz="4" w:space="0" w:color="auto"/>
              <w:left w:val="nil"/>
              <w:bottom w:val="single" w:sz="4" w:space="0" w:color="auto"/>
              <w:right w:val="single" w:sz="4" w:space="0" w:color="auto"/>
            </w:tcBorders>
            <w:shd w:val="clear" w:color="auto" w:fill="C6EFCE"/>
            <w:noWrap/>
          </w:tcPr>
          <w:p w14:paraId="27D4C5D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4090" w:type="dxa"/>
            <w:tcBorders>
              <w:top w:val="single" w:sz="4" w:space="0" w:color="auto"/>
              <w:left w:val="nil"/>
              <w:bottom w:val="single" w:sz="4" w:space="0" w:color="auto"/>
              <w:right w:val="single" w:sz="4" w:space="0" w:color="auto"/>
            </w:tcBorders>
            <w:shd w:val="clear" w:color="auto" w:fill="C6EFCE"/>
            <w:noWrap/>
          </w:tcPr>
          <w:p w14:paraId="28B7C644" w14:textId="7A883230"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nového systému verejného obstarávania</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súlade</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opisom opatrenia.</w:t>
            </w:r>
          </w:p>
        </w:tc>
      </w:tr>
      <w:tr w:rsidR="002D49B0" w:rsidRPr="00083739" w14:paraId="3C67EB08" w14:textId="77777777">
        <w:trPr>
          <w:trHeight w:val="313"/>
          <w:jc w:val="center"/>
        </w:trPr>
        <w:tc>
          <w:tcPr>
            <w:tcW w:w="1080" w:type="dxa"/>
            <w:tcBorders>
              <w:top w:val="single" w:sz="4" w:space="0" w:color="auto"/>
              <w:left w:val="single" w:sz="4" w:space="0" w:color="auto"/>
              <w:bottom w:val="single" w:sz="4" w:space="0" w:color="auto"/>
              <w:right w:val="single" w:sz="4" w:space="0" w:color="auto"/>
            </w:tcBorders>
            <w:shd w:val="clear" w:color="auto" w:fill="C6EFCE"/>
            <w:noWrap/>
          </w:tcPr>
          <w:p w14:paraId="3D7D5DC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120</w:t>
            </w:r>
          </w:p>
        </w:tc>
        <w:tc>
          <w:tcPr>
            <w:tcW w:w="1855" w:type="dxa"/>
            <w:tcBorders>
              <w:top w:val="single" w:sz="4" w:space="0" w:color="auto"/>
              <w:left w:val="nil"/>
              <w:bottom w:val="single" w:sz="4" w:space="0" w:color="auto"/>
              <w:right w:val="single" w:sz="4" w:space="0" w:color="auto"/>
            </w:tcBorders>
            <w:shd w:val="clear" w:color="auto" w:fill="C6EFCE"/>
            <w:noWrap/>
          </w:tcPr>
          <w:p w14:paraId="0D838EB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6 – 2.2. Modernizácia – 16824_ERegistre</w:t>
            </w:r>
          </w:p>
        </w:tc>
        <w:tc>
          <w:tcPr>
            <w:tcW w:w="1101" w:type="dxa"/>
            <w:tcBorders>
              <w:top w:val="single" w:sz="4" w:space="0" w:color="auto"/>
              <w:left w:val="nil"/>
              <w:bottom w:val="single" w:sz="4" w:space="0" w:color="auto"/>
              <w:right w:val="single" w:sz="4" w:space="0" w:color="auto"/>
            </w:tcBorders>
            <w:shd w:val="clear" w:color="auto" w:fill="C6EFCE"/>
            <w:noWrap/>
          </w:tcPr>
          <w:p w14:paraId="0B059EE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87" w:type="dxa"/>
            <w:tcBorders>
              <w:top w:val="single" w:sz="4" w:space="0" w:color="auto"/>
              <w:left w:val="nil"/>
              <w:bottom w:val="single" w:sz="4" w:space="0" w:color="auto"/>
              <w:right w:val="single" w:sz="4" w:space="0" w:color="auto"/>
            </w:tcBorders>
            <w:shd w:val="clear" w:color="auto" w:fill="C6EFCE"/>
            <w:noWrap/>
          </w:tcPr>
          <w:p w14:paraId="71AEAB4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Dokončenie projektu ERegistries </w:t>
            </w:r>
          </w:p>
        </w:tc>
        <w:tc>
          <w:tcPr>
            <w:tcW w:w="1514" w:type="dxa"/>
            <w:tcBorders>
              <w:top w:val="single" w:sz="4" w:space="0" w:color="auto"/>
              <w:left w:val="nil"/>
              <w:bottom w:val="single" w:sz="4" w:space="0" w:color="auto"/>
              <w:right w:val="single" w:sz="4" w:space="0" w:color="auto"/>
            </w:tcBorders>
            <w:shd w:val="clear" w:color="auto" w:fill="C6EFCE"/>
            <w:noWrap/>
          </w:tcPr>
          <w:p w14:paraId="54EDEA68" w14:textId="7DD19465"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Správa ministerstva digitálnej správy,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 xml:space="preserve">ktorej sa </w:t>
            </w:r>
            <w:r w:rsidRPr="00083739">
              <w:rPr>
                <w:rFonts w:ascii="Times New Roman" w:hAnsi="Times New Roman" w:cs="Times New Roman"/>
                <w:noProof/>
                <w:lang w:val="sk-SK"/>
              </w:rPr>
              <w:t>dokumentuje vykonávanie „elektronických registrov“</w:t>
            </w:r>
          </w:p>
        </w:tc>
        <w:tc>
          <w:tcPr>
            <w:tcW w:w="937" w:type="dxa"/>
            <w:tcBorders>
              <w:top w:val="single" w:sz="4" w:space="0" w:color="auto"/>
              <w:left w:val="nil"/>
              <w:bottom w:val="single" w:sz="4" w:space="0" w:color="auto"/>
              <w:right w:val="single" w:sz="4" w:space="0" w:color="auto"/>
            </w:tcBorders>
            <w:shd w:val="clear" w:color="auto" w:fill="C6EFCE"/>
            <w:noWrap/>
          </w:tcPr>
          <w:p w14:paraId="46467E5C"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10" w:type="dxa"/>
            <w:tcBorders>
              <w:top w:val="single" w:sz="4" w:space="0" w:color="auto"/>
              <w:left w:val="nil"/>
              <w:bottom w:val="single" w:sz="4" w:space="0" w:color="auto"/>
              <w:right w:val="single" w:sz="4" w:space="0" w:color="auto"/>
            </w:tcBorders>
            <w:shd w:val="clear" w:color="auto" w:fill="C6EFCE"/>
            <w:noWrap/>
          </w:tcPr>
          <w:p w14:paraId="196A5C73"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788" w:type="dxa"/>
            <w:tcBorders>
              <w:top w:val="single" w:sz="4" w:space="0" w:color="auto"/>
              <w:left w:val="nil"/>
              <w:bottom w:val="single" w:sz="4" w:space="0" w:color="auto"/>
              <w:right w:val="single" w:sz="4" w:space="0" w:color="auto"/>
            </w:tcBorders>
            <w:shd w:val="clear" w:color="auto" w:fill="C6EFCE"/>
            <w:noWrap/>
          </w:tcPr>
          <w:p w14:paraId="20697721"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47" w:type="dxa"/>
            <w:tcBorders>
              <w:top w:val="single" w:sz="4" w:space="0" w:color="auto"/>
              <w:left w:val="nil"/>
              <w:bottom w:val="single" w:sz="4" w:space="0" w:color="auto"/>
              <w:right w:val="single" w:sz="4" w:space="0" w:color="auto"/>
            </w:tcBorders>
            <w:shd w:val="clear" w:color="auto" w:fill="C6EFCE"/>
            <w:noWrap/>
          </w:tcPr>
          <w:p w14:paraId="090BEE2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680" w:type="dxa"/>
            <w:tcBorders>
              <w:top w:val="single" w:sz="4" w:space="0" w:color="auto"/>
              <w:left w:val="nil"/>
              <w:bottom w:val="single" w:sz="4" w:space="0" w:color="auto"/>
              <w:right w:val="single" w:sz="4" w:space="0" w:color="auto"/>
            </w:tcBorders>
            <w:shd w:val="clear" w:color="auto" w:fill="C6EFCE"/>
            <w:noWrap/>
          </w:tcPr>
          <w:p w14:paraId="29BD0F3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4090" w:type="dxa"/>
            <w:tcBorders>
              <w:top w:val="single" w:sz="4" w:space="0" w:color="auto"/>
              <w:left w:val="nil"/>
              <w:bottom w:val="single" w:sz="4" w:space="0" w:color="auto"/>
              <w:right w:val="single" w:sz="4" w:space="0" w:color="auto"/>
            </w:tcBorders>
            <w:shd w:val="clear" w:color="auto" w:fill="C6EFCE"/>
            <w:noWrap/>
          </w:tcPr>
          <w:p w14:paraId="54FE574C" w14:textId="6707722A"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„e-registrácií“ vrátane ich interoperability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rozhraní</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existujúcimi registrami vo verejnej správe.</w:t>
            </w:r>
          </w:p>
        </w:tc>
      </w:tr>
    </w:tbl>
    <w:p w14:paraId="79B06560" w14:textId="77777777" w:rsidR="002D49B0" w:rsidRPr="00083739" w:rsidRDefault="002D49B0">
      <w:pPr>
        <w:spacing w:before="120" w:after="120" w:line="240" w:lineRule="auto"/>
        <w:ind w:left="709"/>
        <w:rPr>
          <w:rFonts w:ascii="Times New Roman" w:hAnsi="Times New Roman" w:cs="Times New Roman"/>
          <w:noProof/>
          <w:sz w:val="24"/>
          <w:lang w:val="sk-SK"/>
        </w:rPr>
      </w:pPr>
    </w:p>
    <w:p w14:paraId="7F2DFB0C" w14:textId="3D4E63AE" w:rsidR="002D49B0" w:rsidRPr="00083739" w:rsidRDefault="00BF4125">
      <w:pPr>
        <w:pStyle w:val="P68B1DB1-Normal6"/>
        <w:keepNext/>
        <w:keepLines/>
        <w:spacing w:before="40" w:after="0" w:line="240" w:lineRule="auto"/>
        <w:jc w:val="both"/>
        <w:outlineLvl w:val="4"/>
        <w:rPr>
          <w:rFonts w:ascii="Times New Roman" w:eastAsia="Times New Roman" w:hAnsi="Times New Roman" w:cs="Times New Roman"/>
          <w:noProof/>
          <w:lang w:val="sk-SK"/>
        </w:rPr>
      </w:pPr>
      <w:r w:rsidRPr="00083739">
        <w:rPr>
          <w:rFonts w:ascii="Times New Roman" w:hAnsi="Times New Roman" w:cs="Times New Roman"/>
          <w:noProof/>
          <w:lang w:val="sk-SK"/>
        </w:rPr>
        <w:t xml:space="preserve">Skupina 10: Iniciatívy súvisiace so začlenením nových technológií </w:t>
      </w:r>
      <w:r w:rsidRPr="00083739">
        <w:rPr>
          <w:rFonts w:ascii="Times New Roman" w:hAnsi="Times New Roman" w:cs="Times New Roman"/>
          <w:noProof/>
          <w:lang w:val="sk-SK"/>
        </w:rPr>
        <w:t>do digitálnej transformácie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modernizácie verejnej správy</w:t>
      </w:r>
    </w:p>
    <w:p w14:paraId="22050036" w14:textId="73656810" w:rsidR="002D49B0" w:rsidRPr="00083739" w:rsidRDefault="00BF4125">
      <w:pPr>
        <w:pStyle w:val="P68B1DB1-Normal4"/>
        <w:numPr>
          <w:ilvl w:val="0"/>
          <w:numId w:val="44"/>
        </w:numPr>
        <w:spacing w:before="120" w:after="0" w:line="240" w:lineRule="auto"/>
        <w:jc w:val="both"/>
        <w:rPr>
          <w:rFonts w:cs="Times New Roman"/>
          <w:noProof/>
          <w:lang w:val="sk-SK"/>
        </w:rPr>
      </w:pPr>
      <w:r w:rsidRPr="00083739">
        <w:rPr>
          <w:rFonts w:cs="Times New Roman"/>
          <w:noProof/>
          <w:lang w:val="sk-SK"/>
        </w:rPr>
        <w:t>Začlenenie nových technológií</w:t>
      </w:r>
      <w:r w:rsidR="00083739" w:rsidRPr="00083739">
        <w:rPr>
          <w:rFonts w:cs="Times New Roman"/>
          <w:noProof/>
          <w:lang w:val="sk-SK"/>
        </w:rPr>
        <w:t xml:space="preserve"> a </w:t>
      </w:r>
      <w:r w:rsidRPr="00083739">
        <w:rPr>
          <w:rFonts w:cs="Times New Roman"/>
          <w:noProof/>
          <w:lang w:val="sk-SK"/>
        </w:rPr>
        <w:t>trendov smerom</w:t>
      </w:r>
      <w:r w:rsidR="00083739" w:rsidRPr="00083739">
        <w:rPr>
          <w:rFonts w:cs="Times New Roman"/>
          <w:noProof/>
          <w:lang w:val="sk-SK"/>
        </w:rPr>
        <w:t xml:space="preserve"> k </w:t>
      </w:r>
      <w:r w:rsidRPr="00083739">
        <w:rPr>
          <w:rFonts w:cs="Times New Roman"/>
          <w:noProof/>
          <w:lang w:val="sk-SK"/>
        </w:rPr>
        <w:t>pokročilým službám verejnej správy, zvýšenie efektívnosti</w:t>
      </w:r>
      <w:r w:rsidR="00083739" w:rsidRPr="00083739">
        <w:rPr>
          <w:rFonts w:cs="Times New Roman"/>
          <w:noProof/>
          <w:lang w:val="sk-SK"/>
        </w:rPr>
        <w:t xml:space="preserve"> a </w:t>
      </w:r>
      <w:r w:rsidRPr="00083739">
        <w:rPr>
          <w:rFonts w:cs="Times New Roman"/>
          <w:noProof/>
          <w:lang w:val="sk-SK"/>
        </w:rPr>
        <w:t>účinnosti</w:t>
      </w:r>
      <w:r w:rsidR="00083739" w:rsidRPr="00083739">
        <w:rPr>
          <w:rFonts w:cs="Times New Roman"/>
          <w:noProof/>
          <w:lang w:val="sk-SK"/>
        </w:rPr>
        <w:t xml:space="preserve"> a </w:t>
      </w:r>
      <w:r w:rsidRPr="00083739">
        <w:rPr>
          <w:rFonts w:cs="Times New Roman"/>
          <w:noProof/>
          <w:lang w:val="sk-SK"/>
        </w:rPr>
        <w:t>zníženie nákladov na prevádzku, modernizáciu</w:t>
      </w:r>
      <w:r w:rsidR="00083739" w:rsidRPr="00083739">
        <w:rPr>
          <w:rFonts w:cs="Times New Roman"/>
          <w:noProof/>
          <w:lang w:val="sk-SK"/>
        </w:rPr>
        <w:t xml:space="preserve"> a </w:t>
      </w:r>
      <w:r w:rsidRPr="00083739">
        <w:rPr>
          <w:rFonts w:cs="Times New Roman"/>
          <w:noProof/>
          <w:lang w:val="sk-SK"/>
        </w:rPr>
        <w:t>údržbu systémov (ID: 16928)</w:t>
      </w:r>
    </w:p>
    <w:p w14:paraId="34E5CD0B" w14:textId="77777777" w:rsidR="002D49B0" w:rsidRPr="00083739" w:rsidRDefault="00BF4125">
      <w:pPr>
        <w:pStyle w:val="P68B1DB1-Normal4"/>
        <w:numPr>
          <w:ilvl w:val="0"/>
          <w:numId w:val="44"/>
        </w:numPr>
        <w:spacing w:before="120" w:after="0" w:line="240" w:lineRule="auto"/>
        <w:jc w:val="both"/>
        <w:rPr>
          <w:rFonts w:cs="Times New Roman"/>
          <w:noProof/>
          <w:lang w:val="sk-SK"/>
        </w:rPr>
      </w:pPr>
      <w:r w:rsidRPr="00083739">
        <w:rPr>
          <w:rFonts w:cs="Times New Roman"/>
          <w:noProof/>
          <w:lang w:val="sk-SK"/>
        </w:rPr>
        <w:t>Inteligentné mestá (ID: 16854)</w:t>
      </w:r>
    </w:p>
    <w:p w14:paraId="6EF7E607" w14:textId="49050311" w:rsidR="002D49B0" w:rsidRPr="00083739" w:rsidRDefault="00BF4125">
      <w:pPr>
        <w:pStyle w:val="P68B1DB1-Normal4"/>
        <w:numPr>
          <w:ilvl w:val="0"/>
          <w:numId w:val="44"/>
        </w:numPr>
        <w:spacing w:before="120" w:after="0" w:line="240" w:lineRule="auto"/>
        <w:jc w:val="both"/>
        <w:rPr>
          <w:rFonts w:cs="Times New Roman"/>
          <w:noProof/>
          <w:lang w:val="sk-SK"/>
        </w:rPr>
      </w:pPr>
      <w:r w:rsidRPr="00083739">
        <w:rPr>
          <w:rFonts w:cs="Times New Roman"/>
          <w:noProof/>
          <w:lang w:val="sk-SK"/>
        </w:rPr>
        <w:t>Poskytovanie centrálnej cloudovej výpočtovej infraštruktúry</w:t>
      </w:r>
      <w:r w:rsidR="00083739" w:rsidRPr="00083739">
        <w:rPr>
          <w:rFonts w:cs="Times New Roman"/>
          <w:noProof/>
          <w:lang w:val="sk-SK"/>
        </w:rPr>
        <w:t xml:space="preserve"> a </w:t>
      </w:r>
      <w:r w:rsidRPr="00083739">
        <w:rPr>
          <w:rFonts w:cs="Times New Roman"/>
          <w:noProof/>
          <w:lang w:val="sk-SK"/>
        </w:rPr>
        <w:t>služby (ID: 16853)</w:t>
      </w:r>
    </w:p>
    <w:p w14:paraId="37407BE0" w14:textId="07A9931D" w:rsidR="002D49B0" w:rsidRPr="00083739" w:rsidRDefault="00BF4125">
      <w:pPr>
        <w:pStyle w:val="P68B1DB1-Normal4"/>
        <w:numPr>
          <w:ilvl w:val="0"/>
          <w:numId w:val="44"/>
        </w:numPr>
        <w:spacing w:before="120" w:after="0" w:line="240" w:lineRule="auto"/>
        <w:jc w:val="both"/>
        <w:rPr>
          <w:rFonts w:cs="Times New Roman"/>
          <w:noProof/>
          <w:lang w:val="sk-SK"/>
        </w:rPr>
      </w:pPr>
      <w:r w:rsidRPr="00083739">
        <w:rPr>
          <w:rFonts w:cs="Times New Roman"/>
          <w:noProof/>
          <w:lang w:val="sk-SK"/>
        </w:rPr>
        <w:t>Modernizácia cloudovej výpočtovej infraštruktúry</w:t>
      </w:r>
      <w:r w:rsidR="00083739" w:rsidRPr="00083739">
        <w:rPr>
          <w:rFonts w:cs="Times New Roman"/>
          <w:noProof/>
          <w:lang w:val="sk-SK"/>
        </w:rPr>
        <w:t xml:space="preserve"> a </w:t>
      </w:r>
      <w:r w:rsidRPr="00083739">
        <w:rPr>
          <w:rFonts w:cs="Times New Roman"/>
          <w:noProof/>
          <w:lang w:val="sk-SK"/>
        </w:rPr>
        <w:t>služieb národných výskumných</w:t>
      </w:r>
      <w:r w:rsidR="00083739" w:rsidRPr="00083739">
        <w:rPr>
          <w:rFonts w:cs="Times New Roman"/>
          <w:noProof/>
          <w:lang w:val="sk-SK"/>
        </w:rPr>
        <w:t xml:space="preserve"> a </w:t>
      </w:r>
      <w:r w:rsidRPr="00083739">
        <w:rPr>
          <w:rFonts w:cs="Times New Roman"/>
          <w:noProof/>
          <w:lang w:val="sk-SK"/>
        </w:rPr>
        <w:t>technologických infraštruktúr (GRNET) (ID: 16955)</w:t>
      </w:r>
    </w:p>
    <w:p w14:paraId="3FDD186B" w14:textId="77777777" w:rsidR="002D49B0" w:rsidRPr="00083739" w:rsidRDefault="00BF4125">
      <w:pPr>
        <w:pStyle w:val="P68B1DB1-Normal4"/>
        <w:numPr>
          <w:ilvl w:val="0"/>
          <w:numId w:val="44"/>
        </w:numPr>
        <w:spacing w:before="120" w:after="0" w:line="240" w:lineRule="auto"/>
        <w:jc w:val="both"/>
        <w:rPr>
          <w:rFonts w:cs="Times New Roman"/>
          <w:noProof/>
          <w:lang w:val="sk-SK"/>
        </w:rPr>
      </w:pPr>
      <w:r w:rsidRPr="00083739">
        <w:rPr>
          <w:rFonts w:cs="Times New Roman"/>
          <w:noProof/>
          <w:lang w:val="sk-SK"/>
        </w:rPr>
        <w:t>Rozšírenie S</w:t>
      </w:r>
      <w:r w:rsidRPr="00083739">
        <w:rPr>
          <w:rFonts w:cs="Times New Roman"/>
          <w:noProof/>
          <w:lang w:val="sk-SK"/>
        </w:rPr>
        <w:t>yzefksis II (ID: 16956)</w:t>
      </w:r>
    </w:p>
    <w:p w14:paraId="1FFE84C2" w14:textId="5D4A0DE3" w:rsidR="002D49B0" w:rsidRPr="00083739" w:rsidRDefault="00BF4125">
      <w:pPr>
        <w:pStyle w:val="P68B1DB1-Normal4"/>
        <w:numPr>
          <w:ilvl w:val="0"/>
          <w:numId w:val="44"/>
        </w:numPr>
        <w:spacing w:before="120" w:after="0" w:line="240" w:lineRule="auto"/>
        <w:jc w:val="both"/>
        <w:rPr>
          <w:rFonts w:cs="Times New Roman"/>
          <w:noProof/>
          <w:lang w:val="sk-SK"/>
        </w:rPr>
      </w:pPr>
      <w:r w:rsidRPr="00083739">
        <w:rPr>
          <w:rFonts w:cs="Times New Roman"/>
          <w:noProof/>
          <w:lang w:val="sk-SK"/>
        </w:rPr>
        <w:t>Stratégia</w:t>
      </w:r>
      <w:r w:rsidR="00083739" w:rsidRPr="00083739">
        <w:rPr>
          <w:rFonts w:cs="Times New Roman"/>
          <w:noProof/>
          <w:lang w:val="sk-SK"/>
        </w:rPr>
        <w:t xml:space="preserve"> a </w:t>
      </w:r>
      <w:r w:rsidRPr="00083739">
        <w:rPr>
          <w:rFonts w:cs="Times New Roman"/>
          <w:noProof/>
          <w:lang w:val="sk-SK"/>
        </w:rPr>
        <w:t>politiky správy údajov pre verejný sektor (ID: 16827)</w:t>
      </w:r>
    </w:p>
    <w:p w14:paraId="0237CFB0" w14:textId="77777777" w:rsidR="002D49B0" w:rsidRPr="00083739" w:rsidRDefault="00BF4125">
      <w:pPr>
        <w:pStyle w:val="P68B1DB1-Normal4"/>
        <w:numPr>
          <w:ilvl w:val="0"/>
          <w:numId w:val="44"/>
        </w:numPr>
        <w:spacing w:before="120" w:after="120" w:line="240" w:lineRule="auto"/>
        <w:jc w:val="both"/>
        <w:rPr>
          <w:rFonts w:cs="Times New Roman"/>
          <w:noProof/>
          <w:lang w:val="sk-SK"/>
        </w:rPr>
      </w:pPr>
      <w:r w:rsidRPr="00083739">
        <w:rPr>
          <w:rFonts w:cs="Times New Roman"/>
          <w:noProof/>
          <w:lang w:val="sk-SK"/>
        </w:rPr>
        <w:t>Centrálna BI – Analýza údajov (ID: 16842)</w:t>
      </w:r>
    </w:p>
    <w:tbl>
      <w:tblPr>
        <w:tblW w:w="15588" w:type="dxa"/>
        <w:jc w:val="center"/>
        <w:tblLayout w:type="fixed"/>
        <w:tblLook w:val="04A0" w:firstRow="1" w:lastRow="0" w:firstColumn="1" w:lastColumn="0" w:noHBand="0" w:noVBand="1"/>
      </w:tblPr>
      <w:tblGrid>
        <w:gridCol w:w="1129"/>
        <w:gridCol w:w="1710"/>
        <w:gridCol w:w="1130"/>
        <w:gridCol w:w="1701"/>
        <w:gridCol w:w="1417"/>
        <w:gridCol w:w="1134"/>
        <w:gridCol w:w="1134"/>
        <w:gridCol w:w="993"/>
        <w:gridCol w:w="850"/>
        <w:gridCol w:w="992"/>
        <w:gridCol w:w="3398"/>
      </w:tblGrid>
      <w:tr w:rsidR="002D49B0" w:rsidRPr="00083739" w14:paraId="4CABCC32" w14:textId="77777777">
        <w:trPr>
          <w:trHeight w:val="939"/>
          <w:tblHeader/>
          <w:jc w:val="center"/>
        </w:trPr>
        <w:tc>
          <w:tcPr>
            <w:tcW w:w="112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22731CF"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Poradové číslo</w:t>
            </w:r>
          </w:p>
        </w:tc>
        <w:tc>
          <w:tcPr>
            <w:tcW w:w="171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C32CA19" w14:textId="77777777" w:rsidR="00083739" w:rsidRPr="00083739" w:rsidRDefault="00BF4125">
            <w:pPr>
              <w:pStyle w:val="P68B1DB1-Normal7"/>
              <w:spacing w:after="0" w:line="240" w:lineRule="auto"/>
              <w:jc w:val="center"/>
              <w:rPr>
                <w:rFonts w:cs="Times New Roman"/>
                <w:noProof/>
                <w:lang w:val="sk-SK"/>
              </w:rPr>
            </w:pPr>
            <w:r w:rsidRPr="00083739">
              <w:rPr>
                <w:rFonts w:cs="Times New Roman"/>
                <w:noProof/>
                <w:lang w:val="sk-SK"/>
              </w:rPr>
              <w:t>Súvisiace opatrenie</w:t>
            </w:r>
          </w:p>
          <w:p w14:paraId="24AEA5C0" w14:textId="59FF8F8C"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(Reforma alebo investície)</w:t>
            </w:r>
          </w:p>
        </w:tc>
        <w:tc>
          <w:tcPr>
            <w:tcW w:w="113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B196F2B"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Míľnik/cieľ</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9CABC34"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Názov</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1A31332"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Kvalitatívne ukazovatele (pre míľniky)</w:t>
            </w:r>
          </w:p>
        </w:tc>
        <w:tc>
          <w:tcPr>
            <w:tcW w:w="3261" w:type="dxa"/>
            <w:gridSpan w:val="3"/>
            <w:tcBorders>
              <w:top w:val="single" w:sz="4" w:space="0" w:color="auto"/>
              <w:left w:val="single" w:sz="4" w:space="0" w:color="auto"/>
              <w:bottom w:val="single" w:sz="4" w:space="0" w:color="auto"/>
              <w:right w:val="single" w:sz="4" w:space="0" w:color="auto"/>
            </w:tcBorders>
            <w:shd w:val="clear" w:color="auto" w:fill="BDD7EE"/>
            <w:vAlign w:val="center"/>
            <w:hideMark/>
          </w:tcPr>
          <w:p w14:paraId="18244C31"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Kvant</w:t>
            </w:r>
            <w:r w:rsidRPr="00083739">
              <w:rPr>
                <w:rFonts w:cs="Times New Roman"/>
                <w:noProof/>
                <w:lang w:val="sk-SK"/>
              </w:rPr>
              <w:t>itatívne ukazovatele (pre ciele)</w:t>
            </w:r>
          </w:p>
        </w:tc>
        <w:tc>
          <w:tcPr>
            <w:tcW w:w="1842" w:type="dxa"/>
            <w:gridSpan w:val="2"/>
            <w:tcBorders>
              <w:top w:val="single" w:sz="4" w:space="0" w:color="auto"/>
              <w:left w:val="nil"/>
              <w:bottom w:val="single" w:sz="4" w:space="0" w:color="auto"/>
              <w:right w:val="single" w:sz="4" w:space="0" w:color="auto"/>
            </w:tcBorders>
            <w:shd w:val="clear" w:color="auto" w:fill="BDD7EE"/>
            <w:vAlign w:val="center"/>
            <w:hideMark/>
          </w:tcPr>
          <w:p w14:paraId="438BC459"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Orientačný harmonogram dokončenia </w:t>
            </w:r>
          </w:p>
        </w:tc>
        <w:tc>
          <w:tcPr>
            <w:tcW w:w="339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3F86E49" w14:textId="0ED03180"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Opis každého míľnika</w:t>
            </w:r>
            <w:r w:rsidR="00083739" w:rsidRPr="00083739">
              <w:rPr>
                <w:rFonts w:cs="Times New Roman"/>
                <w:noProof/>
                <w:lang w:val="sk-SK"/>
              </w:rPr>
              <w:t xml:space="preserve"> a </w:t>
            </w:r>
            <w:r w:rsidRPr="00083739">
              <w:rPr>
                <w:rFonts w:cs="Times New Roman"/>
                <w:noProof/>
                <w:lang w:val="sk-SK"/>
              </w:rPr>
              <w:t>cieľa</w:t>
            </w:r>
          </w:p>
        </w:tc>
      </w:tr>
      <w:tr w:rsidR="002D49B0" w:rsidRPr="00083739" w14:paraId="62119656" w14:textId="77777777">
        <w:trPr>
          <w:trHeight w:val="356"/>
          <w:tblHeader/>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75C586A8" w14:textId="77777777" w:rsidR="002D49B0" w:rsidRPr="00083739" w:rsidRDefault="002D49B0">
            <w:pPr>
              <w:spacing w:after="0" w:line="240" w:lineRule="auto"/>
              <w:rPr>
                <w:rFonts w:ascii="Times New Roman" w:eastAsia="Times New Roman" w:hAnsi="Times New Roman" w:cs="Times New Roman"/>
                <w:b/>
                <w:noProof/>
                <w:sz w:val="18"/>
                <w:szCs w:val="18"/>
                <w:lang w:val="sk-SK"/>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5CBDBD5" w14:textId="77777777" w:rsidR="002D49B0" w:rsidRPr="00083739" w:rsidRDefault="002D49B0">
            <w:pPr>
              <w:spacing w:after="0" w:line="240" w:lineRule="auto"/>
              <w:rPr>
                <w:rFonts w:ascii="Times New Roman" w:eastAsia="Times New Roman" w:hAnsi="Times New Roman" w:cs="Times New Roman"/>
                <w:b/>
                <w:noProof/>
                <w:sz w:val="18"/>
                <w:szCs w:val="18"/>
                <w:lang w:val="sk-SK"/>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68BD5D82" w14:textId="77777777" w:rsidR="002D49B0" w:rsidRPr="00083739" w:rsidRDefault="002D49B0">
            <w:pPr>
              <w:spacing w:after="0" w:line="240" w:lineRule="auto"/>
              <w:rPr>
                <w:rFonts w:ascii="Times New Roman" w:eastAsia="Times New Roman" w:hAnsi="Times New Roman" w:cs="Times New Roman"/>
                <w:b/>
                <w:noProof/>
                <w:sz w:val="18"/>
                <w:szCs w:val="18"/>
                <w:lang w:val="sk-SK"/>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3B929FB" w14:textId="77777777" w:rsidR="002D49B0" w:rsidRPr="00083739" w:rsidRDefault="002D49B0">
            <w:pPr>
              <w:spacing w:after="0" w:line="240" w:lineRule="auto"/>
              <w:rPr>
                <w:rFonts w:ascii="Times New Roman" w:eastAsia="Times New Roman" w:hAnsi="Times New Roman" w:cs="Times New Roman"/>
                <w:b/>
                <w:noProof/>
                <w:sz w:val="18"/>
                <w:szCs w:val="18"/>
                <w:lang w:val="sk-SK"/>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318C4F49" w14:textId="77777777" w:rsidR="002D49B0" w:rsidRPr="00083739" w:rsidRDefault="002D49B0">
            <w:pPr>
              <w:spacing w:after="0" w:line="240" w:lineRule="auto"/>
              <w:rPr>
                <w:rFonts w:ascii="Times New Roman" w:eastAsia="Times New Roman" w:hAnsi="Times New Roman" w:cs="Times New Roman"/>
                <w:b/>
                <w:noProof/>
                <w:sz w:val="18"/>
                <w:szCs w:val="18"/>
                <w:lang w:val="sk-SK"/>
              </w:rPr>
            </w:pPr>
          </w:p>
        </w:tc>
        <w:tc>
          <w:tcPr>
            <w:tcW w:w="1134"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6ECA79D6"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Merná jednotka</w:t>
            </w:r>
          </w:p>
        </w:tc>
        <w:tc>
          <w:tcPr>
            <w:tcW w:w="1134" w:type="dxa"/>
            <w:tcBorders>
              <w:top w:val="single" w:sz="4" w:space="0" w:color="auto"/>
              <w:left w:val="nil"/>
              <w:bottom w:val="single" w:sz="4" w:space="0" w:color="auto"/>
              <w:right w:val="single" w:sz="4" w:space="0" w:color="auto"/>
            </w:tcBorders>
            <w:shd w:val="clear" w:color="auto" w:fill="BDD7EE"/>
            <w:vAlign w:val="center"/>
            <w:hideMark/>
          </w:tcPr>
          <w:p w14:paraId="68B0EA2B"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Základná </w:t>
            </w:r>
          </w:p>
        </w:tc>
        <w:tc>
          <w:tcPr>
            <w:tcW w:w="993" w:type="dxa"/>
            <w:tcBorders>
              <w:top w:val="single" w:sz="4" w:space="0" w:color="auto"/>
              <w:left w:val="nil"/>
              <w:bottom w:val="single" w:sz="4" w:space="0" w:color="auto"/>
              <w:right w:val="single" w:sz="4" w:space="0" w:color="auto"/>
            </w:tcBorders>
            <w:shd w:val="clear" w:color="auto" w:fill="BDD7EE"/>
            <w:vAlign w:val="center"/>
            <w:hideMark/>
          </w:tcPr>
          <w:p w14:paraId="66147552"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Cieľ </w:t>
            </w:r>
          </w:p>
        </w:tc>
        <w:tc>
          <w:tcPr>
            <w:tcW w:w="850" w:type="dxa"/>
            <w:tcBorders>
              <w:top w:val="single" w:sz="4" w:space="0" w:color="auto"/>
              <w:left w:val="nil"/>
              <w:bottom w:val="single" w:sz="4" w:space="0" w:color="auto"/>
              <w:right w:val="single" w:sz="4" w:space="0" w:color="auto"/>
            </w:tcBorders>
            <w:shd w:val="clear" w:color="auto" w:fill="BDD7EE"/>
            <w:vAlign w:val="center"/>
            <w:hideMark/>
          </w:tcPr>
          <w:p w14:paraId="39E5B4BD"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Štvrtina</w:t>
            </w:r>
          </w:p>
        </w:tc>
        <w:tc>
          <w:tcPr>
            <w:tcW w:w="992" w:type="dxa"/>
            <w:tcBorders>
              <w:top w:val="single" w:sz="4" w:space="0" w:color="auto"/>
              <w:left w:val="nil"/>
              <w:bottom w:val="single" w:sz="4" w:space="0" w:color="auto"/>
              <w:right w:val="single" w:sz="4" w:space="0" w:color="auto"/>
            </w:tcBorders>
            <w:shd w:val="clear" w:color="auto" w:fill="BDD7EE"/>
            <w:vAlign w:val="center"/>
          </w:tcPr>
          <w:p w14:paraId="3C538A5B"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Rok</w:t>
            </w:r>
          </w:p>
        </w:tc>
        <w:tc>
          <w:tcPr>
            <w:tcW w:w="3398" w:type="dxa"/>
            <w:vMerge/>
            <w:tcBorders>
              <w:top w:val="single" w:sz="4" w:space="0" w:color="auto"/>
              <w:left w:val="single" w:sz="4" w:space="0" w:color="auto"/>
              <w:bottom w:val="single" w:sz="4" w:space="0" w:color="auto"/>
              <w:right w:val="single" w:sz="4" w:space="0" w:color="auto"/>
            </w:tcBorders>
            <w:vAlign w:val="center"/>
            <w:hideMark/>
          </w:tcPr>
          <w:p w14:paraId="6BEF9AC6" w14:textId="77777777" w:rsidR="002D49B0" w:rsidRPr="00083739" w:rsidRDefault="002D49B0">
            <w:pPr>
              <w:spacing w:after="0" w:line="240" w:lineRule="auto"/>
              <w:ind w:right="690"/>
              <w:rPr>
                <w:rFonts w:ascii="Times New Roman" w:eastAsia="Times New Roman" w:hAnsi="Times New Roman" w:cs="Times New Roman"/>
                <w:b/>
                <w:noProof/>
                <w:sz w:val="18"/>
                <w:szCs w:val="18"/>
                <w:lang w:val="sk-SK"/>
              </w:rPr>
            </w:pPr>
          </w:p>
        </w:tc>
      </w:tr>
      <w:tr w:rsidR="002D49B0" w:rsidRPr="00083739" w14:paraId="6179488E" w14:textId="77777777">
        <w:trPr>
          <w:trHeight w:val="313"/>
          <w:jc w:val="center"/>
        </w:trPr>
        <w:tc>
          <w:tcPr>
            <w:tcW w:w="1129" w:type="dxa"/>
            <w:tcBorders>
              <w:top w:val="single" w:sz="4" w:space="0" w:color="auto"/>
              <w:left w:val="single" w:sz="4" w:space="0" w:color="auto"/>
              <w:bottom w:val="single" w:sz="4" w:space="0" w:color="auto"/>
              <w:right w:val="single" w:sz="4" w:space="0" w:color="auto"/>
            </w:tcBorders>
            <w:shd w:val="clear" w:color="auto" w:fill="C6EFCE"/>
            <w:noWrap/>
          </w:tcPr>
          <w:p w14:paraId="57C15D8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121</w:t>
            </w:r>
          </w:p>
        </w:tc>
        <w:tc>
          <w:tcPr>
            <w:tcW w:w="1710" w:type="dxa"/>
            <w:tcBorders>
              <w:top w:val="single" w:sz="4" w:space="0" w:color="auto"/>
              <w:left w:val="nil"/>
              <w:bottom w:val="single" w:sz="4" w:space="0" w:color="auto"/>
              <w:right w:val="single" w:sz="4" w:space="0" w:color="auto"/>
            </w:tcBorders>
            <w:shd w:val="clear" w:color="auto" w:fill="C6EFCE"/>
            <w:noWrap/>
          </w:tcPr>
          <w:p w14:paraId="302EAAD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6 – 2.2. Modernizácia – 16842_centrálna BI – Analýza údajov</w:t>
            </w:r>
          </w:p>
        </w:tc>
        <w:tc>
          <w:tcPr>
            <w:tcW w:w="1130" w:type="dxa"/>
            <w:tcBorders>
              <w:top w:val="single" w:sz="4" w:space="0" w:color="auto"/>
              <w:left w:val="nil"/>
              <w:bottom w:val="single" w:sz="4" w:space="0" w:color="auto"/>
              <w:right w:val="single" w:sz="4" w:space="0" w:color="auto"/>
            </w:tcBorders>
            <w:shd w:val="clear" w:color="auto" w:fill="C6EFCE"/>
            <w:noWrap/>
          </w:tcPr>
          <w:p w14:paraId="095BB71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701" w:type="dxa"/>
            <w:tcBorders>
              <w:top w:val="single" w:sz="4" w:space="0" w:color="auto"/>
              <w:left w:val="nil"/>
              <w:bottom w:val="single" w:sz="4" w:space="0" w:color="auto"/>
              <w:right w:val="single" w:sz="4" w:space="0" w:color="auto"/>
            </w:tcBorders>
            <w:shd w:val="clear" w:color="auto" w:fill="C6EFCE"/>
            <w:noWrap/>
          </w:tcPr>
          <w:p w14:paraId="1E8AE84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Zadávanie zákaziek Ústredná obchodná spravodajská služba (BI) </w:t>
            </w:r>
          </w:p>
        </w:tc>
        <w:tc>
          <w:tcPr>
            <w:tcW w:w="1417" w:type="dxa"/>
            <w:tcBorders>
              <w:top w:val="single" w:sz="4" w:space="0" w:color="auto"/>
              <w:left w:val="nil"/>
              <w:bottom w:val="single" w:sz="4" w:space="0" w:color="auto"/>
              <w:right w:val="single" w:sz="4" w:space="0" w:color="auto"/>
            </w:tcBorders>
            <w:shd w:val="clear" w:color="auto" w:fill="C6EFCE"/>
            <w:noWrap/>
          </w:tcPr>
          <w:p w14:paraId="51FDFB94" w14:textId="2CE1E4BD"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Oznámenie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zadaní zákazky</w:t>
            </w:r>
          </w:p>
        </w:tc>
        <w:tc>
          <w:tcPr>
            <w:tcW w:w="1134" w:type="dxa"/>
            <w:tcBorders>
              <w:top w:val="single" w:sz="4" w:space="0" w:color="auto"/>
              <w:left w:val="nil"/>
              <w:bottom w:val="single" w:sz="4" w:space="0" w:color="auto"/>
              <w:right w:val="single" w:sz="4" w:space="0" w:color="auto"/>
            </w:tcBorders>
            <w:shd w:val="clear" w:color="auto" w:fill="C6EFCE"/>
            <w:noWrap/>
          </w:tcPr>
          <w:p w14:paraId="17A94C69"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134" w:type="dxa"/>
            <w:tcBorders>
              <w:top w:val="nil"/>
              <w:left w:val="nil"/>
              <w:bottom w:val="single" w:sz="4" w:space="0" w:color="auto"/>
              <w:right w:val="single" w:sz="4" w:space="0" w:color="auto"/>
            </w:tcBorders>
            <w:shd w:val="clear" w:color="auto" w:fill="C6EFCE"/>
            <w:noWrap/>
          </w:tcPr>
          <w:p w14:paraId="54E52458"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3" w:type="dxa"/>
            <w:tcBorders>
              <w:top w:val="nil"/>
              <w:left w:val="nil"/>
              <w:bottom w:val="single" w:sz="4" w:space="0" w:color="auto"/>
              <w:right w:val="single" w:sz="4" w:space="0" w:color="auto"/>
            </w:tcBorders>
            <w:shd w:val="clear" w:color="auto" w:fill="C6EFCE"/>
            <w:noWrap/>
          </w:tcPr>
          <w:p w14:paraId="75B039C1"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0" w:type="dxa"/>
            <w:tcBorders>
              <w:top w:val="nil"/>
              <w:left w:val="nil"/>
              <w:bottom w:val="single" w:sz="4" w:space="0" w:color="auto"/>
              <w:right w:val="single" w:sz="4" w:space="0" w:color="auto"/>
            </w:tcBorders>
            <w:shd w:val="clear" w:color="auto" w:fill="C6EFCE"/>
            <w:noWrap/>
          </w:tcPr>
          <w:p w14:paraId="04A48FA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992" w:type="dxa"/>
            <w:tcBorders>
              <w:top w:val="nil"/>
              <w:left w:val="nil"/>
              <w:bottom w:val="single" w:sz="4" w:space="0" w:color="auto"/>
              <w:right w:val="single" w:sz="4" w:space="0" w:color="auto"/>
            </w:tcBorders>
            <w:shd w:val="clear" w:color="auto" w:fill="C6EFCE"/>
            <w:noWrap/>
          </w:tcPr>
          <w:p w14:paraId="382710B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2022</w:t>
            </w:r>
          </w:p>
        </w:tc>
        <w:tc>
          <w:tcPr>
            <w:tcW w:w="3398" w:type="dxa"/>
            <w:tcBorders>
              <w:top w:val="single" w:sz="4" w:space="0" w:color="auto"/>
              <w:left w:val="nil"/>
              <w:bottom w:val="single" w:sz="4" w:space="0" w:color="auto"/>
              <w:right w:val="single" w:sz="4" w:space="0" w:color="auto"/>
            </w:tcBorders>
            <w:shd w:val="clear" w:color="auto" w:fill="C6EFCE"/>
            <w:noWrap/>
          </w:tcPr>
          <w:p w14:paraId="4DB8442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Ministerstvo digitálnej správy zadáva zákazku na centrálnu BI – údaje. Analytika, ktorá zahŕňa:</w:t>
            </w:r>
          </w:p>
          <w:p w14:paraId="311B2439" w14:textId="10A9E318" w:rsidR="002D49B0" w:rsidRPr="00083739" w:rsidRDefault="00BF4125">
            <w:pPr>
              <w:spacing w:after="0" w:line="240" w:lineRule="auto"/>
              <w:ind w:left="383" w:hanging="284"/>
              <w:rPr>
                <w:rFonts w:ascii="Times New Roman" w:eastAsia="Times New Roman" w:hAnsi="Times New Roman" w:cs="Times New Roman"/>
                <w:noProof/>
                <w:color w:val="006100"/>
                <w:sz w:val="18"/>
                <w:szCs w:val="18"/>
                <w:lang w:val="sk-SK"/>
              </w:rPr>
            </w:pPr>
            <w:r w:rsidRPr="00083739">
              <w:rPr>
                <w:rFonts w:ascii="Times New Roman" w:hAnsi="Times New Roman" w:cs="Times New Roman"/>
                <w:noProof/>
                <w:color w:val="006100"/>
                <w:sz w:val="18"/>
                <w:lang w:val="sk-SK"/>
              </w:rPr>
              <w:t>a)</w:t>
            </w:r>
            <w:r w:rsidRPr="00083739">
              <w:rPr>
                <w:rFonts w:ascii="Times New Roman" w:hAnsi="Times New Roman" w:cs="Times New Roman"/>
                <w:noProof/>
                <w:lang w:val="sk-SK"/>
              </w:rPr>
              <w:t xml:space="preserve"> </w:t>
            </w:r>
            <w:r w:rsidRPr="00083739">
              <w:rPr>
                <w:rFonts w:ascii="Times New Roman" w:hAnsi="Times New Roman" w:cs="Times New Roman"/>
                <w:noProof/>
                <w:color w:val="006100"/>
                <w:sz w:val="18"/>
                <w:lang w:val="sk-SK"/>
              </w:rPr>
              <w:t>Vypracovanie</w:t>
            </w:r>
            <w:r w:rsidR="00083739" w:rsidRPr="00083739">
              <w:rPr>
                <w:rFonts w:ascii="Times New Roman" w:hAnsi="Times New Roman" w:cs="Times New Roman"/>
                <w:noProof/>
                <w:color w:val="006100"/>
                <w:sz w:val="18"/>
                <w:lang w:val="sk-SK"/>
              </w:rPr>
              <w:t xml:space="preserve"> a </w:t>
            </w:r>
            <w:r w:rsidRPr="00083739">
              <w:rPr>
                <w:rFonts w:ascii="Times New Roman" w:hAnsi="Times New Roman" w:cs="Times New Roman"/>
                <w:noProof/>
                <w:color w:val="006100"/>
                <w:sz w:val="18"/>
                <w:lang w:val="sk-SK"/>
              </w:rPr>
              <w:t>validácia rámca správy údajo</w:t>
            </w:r>
            <w:r w:rsidRPr="00083739">
              <w:rPr>
                <w:rFonts w:ascii="Times New Roman" w:hAnsi="Times New Roman" w:cs="Times New Roman"/>
                <w:noProof/>
                <w:color w:val="006100"/>
                <w:sz w:val="18"/>
                <w:lang w:val="sk-SK"/>
              </w:rPr>
              <w:t>v, dátového slovníka</w:t>
            </w:r>
            <w:r w:rsidR="00083739" w:rsidRPr="00083739">
              <w:rPr>
                <w:rFonts w:ascii="Times New Roman" w:hAnsi="Times New Roman" w:cs="Times New Roman"/>
                <w:noProof/>
                <w:color w:val="006100"/>
                <w:sz w:val="18"/>
                <w:lang w:val="sk-SK"/>
              </w:rPr>
              <w:t xml:space="preserve"> a </w:t>
            </w:r>
            <w:r w:rsidRPr="00083739">
              <w:rPr>
                <w:rFonts w:ascii="Times New Roman" w:hAnsi="Times New Roman" w:cs="Times New Roman"/>
                <w:noProof/>
                <w:color w:val="006100"/>
                <w:sz w:val="18"/>
                <w:lang w:val="sk-SK"/>
              </w:rPr>
              <w:t>identifikácia kľúčových ukazovateľov výkonnosti</w:t>
            </w:r>
          </w:p>
          <w:p w14:paraId="79495DF1" w14:textId="77777777" w:rsidR="002D49B0" w:rsidRPr="00083739" w:rsidRDefault="00BF4125">
            <w:pPr>
              <w:spacing w:after="0" w:line="240" w:lineRule="auto"/>
              <w:ind w:left="383" w:hanging="284"/>
              <w:rPr>
                <w:rFonts w:ascii="Times New Roman" w:eastAsia="Times New Roman" w:hAnsi="Times New Roman" w:cs="Times New Roman"/>
                <w:noProof/>
                <w:color w:val="006100"/>
                <w:sz w:val="18"/>
                <w:szCs w:val="18"/>
                <w:lang w:val="sk-SK"/>
              </w:rPr>
            </w:pPr>
            <w:r w:rsidRPr="00083739">
              <w:rPr>
                <w:rFonts w:ascii="Times New Roman" w:hAnsi="Times New Roman" w:cs="Times New Roman"/>
                <w:noProof/>
                <w:color w:val="006100"/>
                <w:sz w:val="18"/>
                <w:lang w:val="sk-SK"/>
              </w:rPr>
              <w:t>b)</w:t>
            </w:r>
            <w:r w:rsidRPr="00083739">
              <w:rPr>
                <w:rFonts w:ascii="Times New Roman" w:hAnsi="Times New Roman" w:cs="Times New Roman"/>
                <w:noProof/>
                <w:lang w:val="sk-SK"/>
              </w:rPr>
              <w:t xml:space="preserve"> </w:t>
            </w:r>
            <w:r w:rsidRPr="00083739">
              <w:rPr>
                <w:rFonts w:ascii="Times New Roman" w:hAnsi="Times New Roman" w:cs="Times New Roman"/>
                <w:noProof/>
                <w:color w:val="006100"/>
                <w:sz w:val="18"/>
                <w:lang w:val="sk-SK"/>
              </w:rPr>
              <w:t>Identifikácia kľúčových ukazovateľov výkonnosti</w:t>
            </w:r>
          </w:p>
          <w:p w14:paraId="0EA5F272" w14:textId="77777777" w:rsidR="002D49B0" w:rsidRPr="00083739" w:rsidRDefault="00BF4125">
            <w:pPr>
              <w:spacing w:after="0" w:line="240" w:lineRule="auto"/>
              <w:ind w:left="383" w:hanging="284"/>
              <w:rPr>
                <w:rFonts w:ascii="Times New Roman" w:eastAsia="Times New Roman" w:hAnsi="Times New Roman" w:cs="Times New Roman"/>
                <w:noProof/>
                <w:color w:val="006100"/>
                <w:sz w:val="18"/>
                <w:szCs w:val="18"/>
                <w:lang w:val="sk-SK"/>
              </w:rPr>
            </w:pPr>
            <w:r w:rsidRPr="00083739">
              <w:rPr>
                <w:rFonts w:ascii="Times New Roman" w:hAnsi="Times New Roman" w:cs="Times New Roman"/>
                <w:noProof/>
                <w:color w:val="006100"/>
                <w:sz w:val="18"/>
                <w:lang w:val="sk-SK"/>
              </w:rPr>
              <w:t>C)</w:t>
            </w:r>
            <w:r w:rsidRPr="00083739">
              <w:rPr>
                <w:rFonts w:ascii="Times New Roman" w:hAnsi="Times New Roman" w:cs="Times New Roman"/>
                <w:noProof/>
                <w:lang w:val="sk-SK"/>
              </w:rPr>
              <w:t xml:space="preserve"> </w:t>
            </w:r>
            <w:r w:rsidRPr="00083739">
              <w:rPr>
                <w:rFonts w:ascii="Times New Roman" w:hAnsi="Times New Roman" w:cs="Times New Roman"/>
                <w:noProof/>
                <w:color w:val="006100"/>
                <w:sz w:val="18"/>
                <w:lang w:val="sk-SK"/>
              </w:rPr>
              <w:t>Slovník údajov</w:t>
            </w:r>
          </w:p>
          <w:p w14:paraId="0F52B7B0" w14:textId="77777777" w:rsidR="002D49B0" w:rsidRPr="00083739" w:rsidRDefault="00BF4125">
            <w:pPr>
              <w:spacing w:after="0" w:line="240" w:lineRule="auto"/>
              <w:ind w:left="383" w:hanging="284"/>
              <w:rPr>
                <w:rFonts w:ascii="Times New Roman" w:eastAsia="Times New Roman" w:hAnsi="Times New Roman" w:cs="Times New Roman"/>
                <w:noProof/>
                <w:color w:val="006100"/>
                <w:sz w:val="18"/>
                <w:szCs w:val="18"/>
                <w:lang w:val="sk-SK"/>
              </w:rPr>
            </w:pPr>
            <w:r w:rsidRPr="00083739">
              <w:rPr>
                <w:rFonts w:ascii="Times New Roman" w:hAnsi="Times New Roman" w:cs="Times New Roman"/>
                <w:noProof/>
                <w:color w:val="006100"/>
                <w:sz w:val="18"/>
                <w:lang w:val="sk-SK"/>
              </w:rPr>
              <w:t>d)</w:t>
            </w:r>
            <w:r w:rsidRPr="00083739">
              <w:rPr>
                <w:rFonts w:ascii="Times New Roman" w:hAnsi="Times New Roman" w:cs="Times New Roman"/>
                <w:noProof/>
                <w:lang w:val="sk-SK"/>
              </w:rPr>
              <w:t xml:space="preserve"> </w:t>
            </w:r>
            <w:r w:rsidRPr="00083739">
              <w:rPr>
                <w:rFonts w:ascii="Times New Roman" w:hAnsi="Times New Roman" w:cs="Times New Roman"/>
                <w:noProof/>
                <w:color w:val="006100"/>
                <w:sz w:val="18"/>
                <w:lang w:val="sk-SK"/>
              </w:rPr>
              <w:t>Rámec správy údajov</w:t>
            </w:r>
          </w:p>
          <w:p w14:paraId="735D9E38" w14:textId="3CC609DE" w:rsidR="002D49B0" w:rsidRPr="00083739" w:rsidRDefault="00BF4125">
            <w:pPr>
              <w:spacing w:after="0" w:line="240" w:lineRule="auto"/>
              <w:ind w:left="383" w:hanging="284"/>
              <w:rPr>
                <w:rFonts w:ascii="Times New Roman" w:eastAsia="Times New Roman" w:hAnsi="Times New Roman" w:cs="Times New Roman"/>
                <w:noProof/>
                <w:color w:val="006100"/>
                <w:sz w:val="18"/>
                <w:szCs w:val="18"/>
                <w:lang w:val="sk-SK"/>
              </w:rPr>
            </w:pPr>
            <w:r w:rsidRPr="00083739">
              <w:rPr>
                <w:rFonts w:ascii="Times New Roman" w:hAnsi="Times New Roman" w:cs="Times New Roman"/>
                <w:noProof/>
                <w:color w:val="006100"/>
                <w:sz w:val="18"/>
                <w:lang w:val="sk-SK"/>
              </w:rPr>
              <w:t>e)</w:t>
            </w:r>
            <w:r w:rsidRPr="00083739">
              <w:rPr>
                <w:rFonts w:ascii="Times New Roman" w:hAnsi="Times New Roman" w:cs="Times New Roman"/>
                <w:noProof/>
                <w:lang w:val="sk-SK"/>
              </w:rPr>
              <w:t xml:space="preserve"> </w:t>
            </w:r>
            <w:r w:rsidRPr="00083739">
              <w:rPr>
                <w:rFonts w:ascii="Times New Roman" w:hAnsi="Times New Roman" w:cs="Times New Roman"/>
                <w:noProof/>
                <w:color w:val="006100"/>
                <w:sz w:val="18"/>
                <w:lang w:val="sk-SK"/>
              </w:rPr>
              <w:t>Navrhnúť architektonický prístup</w:t>
            </w:r>
            <w:r w:rsidR="00083739" w:rsidRPr="00083739">
              <w:rPr>
                <w:rFonts w:ascii="Times New Roman" w:hAnsi="Times New Roman" w:cs="Times New Roman"/>
                <w:noProof/>
                <w:color w:val="006100"/>
                <w:sz w:val="18"/>
                <w:lang w:val="sk-SK"/>
              </w:rPr>
              <w:t xml:space="preserve"> a </w:t>
            </w:r>
            <w:r w:rsidRPr="00083739">
              <w:rPr>
                <w:rFonts w:ascii="Times New Roman" w:hAnsi="Times New Roman" w:cs="Times New Roman"/>
                <w:noProof/>
                <w:color w:val="006100"/>
                <w:sz w:val="18"/>
                <w:lang w:val="sk-SK"/>
              </w:rPr>
              <w:t>integračné body</w:t>
            </w:r>
          </w:p>
          <w:p w14:paraId="698BCEE4" w14:textId="77777777" w:rsidR="002D49B0" w:rsidRPr="00083739" w:rsidRDefault="00BF4125">
            <w:pPr>
              <w:spacing w:after="0" w:line="240" w:lineRule="auto"/>
              <w:ind w:left="383" w:hanging="284"/>
              <w:rPr>
                <w:rFonts w:ascii="Times New Roman" w:eastAsia="Times New Roman" w:hAnsi="Times New Roman" w:cs="Times New Roman"/>
                <w:noProof/>
                <w:color w:val="006100"/>
                <w:sz w:val="18"/>
                <w:szCs w:val="18"/>
                <w:lang w:val="sk-SK"/>
              </w:rPr>
            </w:pPr>
            <w:r w:rsidRPr="00083739">
              <w:rPr>
                <w:rFonts w:ascii="Times New Roman" w:hAnsi="Times New Roman" w:cs="Times New Roman"/>
                <w:noProof/>
                <w:color w:val="006100"/>
                <w:sz w:val="18"/>
                <w:lang w:val="sk-SK"/>
              </w:rPr>
              <w:t>F)</w:t>
            </w:r>
            <w:r w:rsidRPr="00083739">
              <w:rPr>
                <w:rFonts w:ascii="Times New Roman" w:hAnsi="Times New Roman" w:cs="Times New Roman"/>
                <w:noProof/>
                <w:lang w:val="sk-SK"/>
              </w:rPr>
              <w:t xml:space="preserve"> </w:t>
            </w:r>
            <w:r w:rsidRPr="00083739">
              <w:rPr>
                <w:rFonts w:ascii="Times New Roman" w:hAnsi="Times New Roman" w:cs="Times New Roman"/>
                <w:noProof/>
                <w:color w:val="006100"/>
                <w:sz w:val="18"/>
                <w:lang w:val="sk-SK"/>
              </w:rPr>
              <w:t>Konfigurácia skladu údajov</w:t>
            </w:r>
          </w:p>
          <w:p w14:paraId="338CE71B" w14:textId="1D165298" w:rsidR="002D49B0" w:rsidRPr="00083739" w:rsidRDefault="00BF4125">
            <w:pPr>
              <w:spacing w:after="0" w:line="240" w:lineRule="auto"/>
              <w:ind w:left="383" w:hanging="284"/>
              <w:rPr>
                <w:rFonts w:ascii="Times New Roman" w:eastAsia="Times New Roman" w:hAnsi="Times New Roman" w:cs="Times New Roman"/>
                <w:noProof/>
                <w:color w:val="006100"/>
                <w:sz w:val="18"/>
                <w:szCs w:val="18"/>
                <w:lang w:val="sk-SK"/>
              </w:rPr>
            </w:pPr>
            <w:r w:rsidRPr="00083739">
              <w:rPr>
                <w:rFonts w:ascii="Times New Roman" w:hAnsi="Times New Roman" w:cs="Times New Roman"/>
                <w:noProof/>
                <w:color w:val="006100"/>
                <w:sz w:val="18"/>
                <w:lang w:val="sk-SK"/>
              </w:rPr>
              <w:t>g)</w:t>
            </w:r>
            <w:r w:rsidRPr="00083739">
              <w:rPr>
                <w:rFonts w:ascii="Times New Roman" w:hAnsi="Times New Roman" w:cs="Times New Roman"/>
                <w:noProof/>
                <w:lang w:val="sk-SK"/>
              </w:rPr>
              <w:t xml:space="preserve"> </w:t>
            </w:r>
            <w:r w:rsidRPr="00083739">
              <w:rPr>
                <w:rFonts w:ascii="Times New Roman" w:hAnsi="Times New Roman" w:cs="Times New Roman"/>
                <w:noProof/>
                <w:color w:val="006100"/>
                <w:sz w:val="18"/>
                <w:lang w:val="sk-SK"/>
              </w:rPr>
              <w:t>Integr</w:t>
            </w:r>
            <w:r w:rsidRPr="00083739">
              <w:rPr>
                <w:rFonts w:ascii="Times New Roman" w:hAnsi="Times New Roman" w:cs="Times New Roman"/>
                <w:noProof/>
                <w:color w:val="006100"/>
                <w:sz w:val="18"/>
                <w:lang w:val="sk-SK"/>
              </w:rPr>
              <w:t>ácia</w:t>
            </w:r>
            <w:r w:rsidR="00083739" w:rsidRPr="00083739">
              <w:rPr>
                <w:rFonts w:ascii="Times New Roman" w:hAnsi="Times New Roman" w:cs="Times New Roman"/>
                <w:noProof/>
                <w:color w:val="006100"/>
                <w:sz w:val="18"/>
                <w:lang w:val="sk-SK"/>
              </w:rPr>
              <w:t xml:space="preserve"> s </w:t>
            </w:r>
            <w:r w:rsidRPr="00083739">
              <w:rPr>
                <w:rFonts w:ascii="Times New Roman" w:hAnsi="Times New Roman" w:cs="Times New Roman"/>
                <w:noProof/>
                <w:color w:val="006100"/>
                <w:sz w:val="18"/>
                <w:lang w:val="sk-SK"/>
              </w:rPr>
              <w:t>informačnými systémami Backoffice</w:t>
            </w:r>
          </w:p>
          <w:p w14:paraId="3F8ACE53" w14:textId="760948FE" w:rsidR="002D49B0" w:rsidRPr="00083739" w:rsidRDefault="00BF4125">
            <w:pPr>
              <w:spacing w:after="0" w:line="240" w:lineRule="auto"/>
              <w:ind w:left="383" w:hanging="284"/>
              <w:rPr>
                <w:rFonts w:ascii="Times New Roman" w:eastAsia="Times New Roman" w:hAnsi="Times New Roman" w:cs="Times New Roman"/>
                <w:noProof/>
                <w:color w:val="006100"/>
                <w:sz w:val="18"/>
                <w:szCs w:val="18"/>
                <w:lang w:val="sk-SK"/>
              </w:rPr>
            </w:pPr>
            <w:r w:rsidRPr="00083739">
              <w:rPr>
                <w:rFonts w:ascii="Times New Roman" w:hAnsi="Times New Roman" w:cs="Times New Roman"/>
                <w:noProof/>
                <w:color w:val="006100"/>
                <w:sz w:val="18"/>
                <w:lang w:val="sk-SK"/>
              </w:rPr>
              <w:t>h)</w:t>
            </w:r>
            <w:r w:rsidRPr="00083739">
              <w:rPr>
                <w:rFonts w:ascii="Times New Roman" w:hAnsi="Times New Roman" w:cs="Times New Roman"/>
                <w:noProof/>
                <w:lang w:val="sk-SK"/>
              </w:rPr>
              <w:t xml:space="preserve"> </w:t>
            </w:r>
            <w:r w:rsidRPr="00083739">
              <w:rPr>
                <w:rFonts w:ascii="Times New Roman" w:hAnsi="Times New Roman" w:cs="Times New Roman"/>
                <w:noProof/>
                <w:color w:val="006100"/>
                <w:sz w:val="18"/>
                <w:lang w:val="sk-SK"/>
              </w:rPr>
              <w:t>Vypracúvanie správ</w:t>
            </w:r>
            <w:r w:rsidR="00083739" w:rsidRPr="00083739">
              <w:rPr>
                <w:rFonts w:ascii="Times New Roman" w:hAnsi="Times New Roman" w:cs="Times New Roman"/>
                <w:noProof/>
                <w:color w:val="006100"/>
                <w:sz w:val="18"/>
                <w:lang w:val="sk-SK"/>
              </w:rPr>
              <w:t xml:space="preserve"> a </w:t>
            </w:r>
            <w:r w:rsidRPr="00083739">
              <w:rPr>
                <w:rFonts w:ascii="Times New Roman" w:hAnsi="Times New Roman" w:cs="Times New Roman"/>
                <w:noProof/>
                <w:color w:val="006100"/>
                <w:sz w:val="18"/>
                <w:lang w:val="sk-SK"/>
              </w:rPr>
              <w:t>analýz BI</w:t>
            </w:r>
          </w:p>
          <w:p w14:paraId="4B1A25FC" w14:textId="77777777" w:rsidR="002D49B0" w:rsidRPr="00083739" w:rsidRDefault="00BF4125">
            <w:pPr>
              <w:spacing w:after="0" w:line="240" w:lineRule="auto"/>
              <w:ind w:left="383" w:hanging="284"/>
              <w:rPr>
                <w:rFonts w:ascii="Times New Roman" w:eastAsia="Times New Roman" w:hAnsi="Times New Roman" w:cs="Times New Roman"/>
                <w:noProof/>
                <w:color w:val="006100"/>
                <w:sz w:val="18"/>
                <w:szCs w:val="18"/>
                <w:lang w:val="sk-SK"/>
              </w:rPr>
            </w:pPr>
            <w:r w:rsidRPr="00083739">
              <w:rPr>
                <w:rFonts w:ascii="Times New Roman" w:hAnsi="Times New Roman" w:cs="Times New Roman"/>
                <w:noProof/>
                <w:color w:val="006100"/>
                <w:sz w:val="18"/>
                <w:lang w:val="sk-SK"/>
              </w:rPr>
              <w:t>I)</w:t>
            </w:r>
            <w:r w:rsidRPr="00083739">
              <w:rPr>
                <w:rFonts w:ascii="Times New Roman" w:hAnsi="Times New Roman" w:cs="Times New Roman"/>
                <w:noProof/>
                <w:lang w:val="sk-SK"/>
              </w:rPr>
              <w:t xml:space="preserve"> </w:t>
            </w:r>
            <w:r w:rsidRPr="00083739">
              <w:rPr>
                <w:rFonts w:ascii="Times New Roman" w:hAnsi="Times New Roman" w:cs="Times New Roman"/>
                <w:noProof/>
                <w:color w:val="006100"/>
                <w:sz w:val="18"/>
                <w:lang w:val="sk-SK"/>
              </w:rPr>
              <w:t>Podpora prevádzky ekosystému BI počas troch rokov</w:t>
            </w:r>
          </w:p>
          <w:p w14:paraId="45301A99" w14:textId="50E4ED69" w:rsidR="002D49B0" w:rsidRPr="00083739" w:rsidRDefault="00BF4125">
            <w:pPr>
              <w:spacing w:after="0" w:line="240" w:lineRule="auto"/>
              <w:ind w:left="383" w:hanging="284"/>
              <w:rPr>
                <w:rFonts w:ascii="Times New Roman" w:eastAsia="Times New Roman" w:hAnsi="Times New Roman" w:cs="Times New Roman"/>
                <w:noProof/>
                <w:color w:val="006100"/>
                <w:sz w:val="18"/>
                <w:szCs w:val="18"/>
                <w:lang w:val="sk-SK"/>
              </w:rPr>
            </w:pPr>
            <w:r w:rsidRPr="00083739">
              <w:rPr>
                <w:rFonts w:ascii="Times New Roman" w:hAnsi="Times New Roman" w:cs="Times New Roman"/>
                <w:noProof/>
                <w:color w:val="006100"/>
                <w:sz w:val="18"/>
                <w:lang w:val="sk-SK"/>
              </w:rPr>
              <w:t>j)</w:t>
            </w:r>
            <w:r w:rsidRPr="00083739">
              <w:rPr>
                <w:rFonts w:ascii="Times New Roman" w:hAnsi="Times New Roman" w:cs="Times New Roman"/>
                <w:noProof/>
                <w:lang w:val="sk-SK"/>
              </w:rPr>
              <w:t xml:space="preserve"> </w:t>
            </w:r>
            <w:r w:rsidRPr="00083739">
              <w:rPr>
                <w:rFonts w:ascii="Times New Roman" w:hAnsi="Times New Roman" w:cs="Times New Roman"/>
                <w:noProof/>
                <w:color w:val="006100"/>
                <w:sz w:val="18"/>
                <w:lang w:val="sk-SK"/>
              </w:rPr>
              <w:t>Udeľuje licencie na poplatky pre 200 používateľov</w:t>
            </w:r>
            <w:r w:rsidR="00083739" w:rsidRPr="00083739">
              <w:rPr>
                <w:rFonts w:ascii="Times New Roman" w:hAnsi="Times New Roman" w:cs="Times New Roman"/>
                <w:noProof/>
                <w:color w:val="006100"/>
                <w:sz w:val="18"/>
                <w:lang w:val="sk-SK"/>
              </w:rPr>
              <w:t xml:space="preserve"> s </w:t>
            </w:r>
            <w:r w:rsidRPr="00083739">
              <w:rPr>
                <w:rFonts w:ascii="Times New Roman" w:hAnsi="Times New Roman" w:cs="Times New Roman"/>
                <w:noProof/>
                <w:color w:val="006100"/>
                <w:sz w:val="18"/>
                <w:lang w:val="sk-SK"/>
              </w:rPr>
              <w:t>oprávneniami supersprávcov</w:t>
            </w:r>
            <w:r w:rsidR="00083739" w:rsidRPr="00083739">
              <w:rPr>
                <w:rFonts w:ascii="Times New Roman" w:hAnsi="Times New Roman" w:cs="Times New Roman"/>
                <w:noProof/>
                <w:color w:val="006100"/>
                <w:sz w:val="18"/>
                <w:lang w:val="sk-SK"/>
              </w:rPr>
              <w:t xml:space="preserve"> a </w:t>
            </w:r>
            <w:r w:rsidRPr="00083739">
              <w:rPr>
                <w:rFonts w:ascii="Times New Roman" w:hAnsi="Times New Roman" w:cs="Times New Roman"/>
                <w:noProof/>
                <w:color w:val="006100"/>
                <w:sz w:val="18"/>
                <w:lang w:val="sk-SK"/>
              </w:rPr>
              <w:t>200 TB úložiska.</w:t>
            </w:r>
          </w:p>
        </w:tc>
      </w:tr>
      <w:tr w:rsidR="002D49B0" w:rsidRPr="00083739" w14:paraId="12395F12" w14:textId="77777777">
        <w:trPr>
          <w:trHeight w:val="313"/>
          <w:jc w:val="center"/>
        </w:trPr>
        <w:tc>
          <w:tcPr>
            <w:tcW w:w="1129" w:type="dxa"/>
            <w:tcBorders>
              <w:top w:val="nil"/>
              <w:left w:val="single" w:sz="4" w:space="0" w:color="auto"/>
              <w:bottom w:val="single" w:sz="4" w:space="0" w:color="auto"/>
              <w:right w:val="single" w:sz="4" w:space="0" w:color="auto"/>
            </w:tcBorders>
            <w:shd w:val="clear" w:color="auto" w:fill="C6EFCE"/>
            <w:noWrap/>
          </w:tcPr>
          <w:p w14:paraId="04E15BC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122</w:t>
            </w:r>
          </w:p>
        </w:tc>
        <w:tc>
          <w:tcPr>
            <w:tcW w:w="1710" w:type="dxa"/>
            <w:tcBorders>
              <w:top w:val="nil"/>
              <w:left w:val="nil"/>
              <w:bottom w:val="single" w:sz="4" w:space="0" w:color="auto"/>
              <w:right w:val="single" w:sz="4" w:space="0" w:color="auto"/>
            </w:tcBorders>
            <w:shd w:val="clear" w:color="auto" w:fill="C6EFCE"/>
            <w:noWrap/>
          </w:tcPr>
          <w:p w14:paraId="548AEC95" w14:textId="0E27572D"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6 – 2.2. Modernizácia </w:t>
            </w:r>
            <w:r w:rsidRPr="00083739">
              <w:rPr>
                <w:rFonts w:ascii="Times New Roman" w:hAnsi="Times New Roman" w:cs="Times New Roman"/>
                <w:noProof/>
                <w:lang w:val="sk-SK"/>
              </w:rPr>
              <w:t>– 16853 Poskytovanie centrálnej cloudovej výpočtovej infraštruktúry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služieb</w:t>
            </w:r>
          </w:p>
        </w:tc>
        <w:tc>
          <w:tcPr>
            <w:tcW w:w="1130" w:type="dxa"/>
            <w:tcBorders>
              <w:top w:val="nil"/>
              <w:left w:val="nil"/>
              <w:bottom w:val="single" w:sz="4" w:space="0" w:color="auto"/>
              <w:right w:val="single" w:sz="4" w:space="0" w:color="auto"/>
            </w:tcBorders>
            <w:shd w:val="clear" w:color="auto" w:fill="C6EFCE"/>
            <w:noWrap/>
          </w:tcPr>
          <w:p w14:paraId="70A303A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701" w:type="dxa"/>
            <w:tcBorders>
              <w:top w:val="nil"/>
              <w:left w:val="nil"/>
              <w:bottom w:val="single" w:sz="4" w:space="0" w:color="auto"/>
              <w:right w:val="single" w:sz="4" w:space="0" w:color="auto"/>
            </w:tcBorders>
            <w:shd w:val="clear" w:color="auto" w:fill="C6EFCE"/>
            <w:noWrap/>
          </w:tcPr>
          <w:p w14:paraId="38D09468" w14:textId="6714F5D2"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infraštruktúry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služby centrálneho cloud computingu</w:t>
            </w:r>
          </w:p>
        </w:tc>
        <w:tc>
          <w:tcPr>
            <w:tcW w:w="1417" w:type="dxa"/>
            <w:tcBorders>
              <w:top w:val="nil"/>
              <w:left w:val="nil"/>
              <w:bottom w:val="single" w:sz="4" w:space="0" w:color="auto"/>
              <w:right w:val="single" w:sz="4" w:space="0" w:color="auto"/>
            </w:tcBorders>
            <w:shd w:val="clear" w:color="auto" w:fill="C6EFCE"/>
            <w:noWrap/>
          </w:tcPr>
          <w:p w14:paraId="34DA392A" w14:textId="67664210"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Správa ministerstva digitálnej správy,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ktorej sa dokumentuje dokončenie zriadenia všetkých zložiek projek</w:t>
            </w:r>
            <w:r w:rsidRPr="00083739">
              <w:rPr>
                <w:rFonts w:ascii="Times New Roman" w:hAnsi="Times New Roman" w:cs="Times New Roman"/>
                <w:noProof/>
                <w:lang w:val="sk-SK"/>
              </w:rPr>
              <w:t>tu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infraštruktúry parametrie pre projekt centrálnej infraštruktúry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služieb cloud computingu.</w:t>
            </w:r>
          </w:p>
        </w:tc>
        <w:tc>
          <w:tcPr>
            <w:tcW w:w="1134" w:type="dxa"/>
            <w:tcBorders>
              <w:top w:val="nil"/>
              <w:left w:val="nil"/>
              <w:bottom w:val="single" w:sz="4" w:space="0" w:color="auto"/>
              <w:right w:val="single" w:sz="4" w:space="0" w:color="auto"/>
            </w:tcBorders>
            <w:shd w:val="clear" w:color="auto" w:fill="C6EFCE"/>
            <w:noWrap/>
          </w:tcPr>
          <w:p w14:paraId="32CFE2DD"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134" w:type="dxa"/>
            <w:tcBorders>
              <w:top w:val="nil"/>
              <w:left w:val="nil"/>
              <w:bottom w:val="single" w:sz="4" w:space="0" w:color="auto"/>
              <w:right w:val="single" w:sz="4" w:space="0" w:color="auto"/>
            </w:tcBorders>
            <w:shd w:val="clear" w:color="auto" w:fill="C6EFCE"/>
            <w:noWrap/>
          </w:tcPr>
          <w:p w14:paraId="6C3F139F"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3" w:type="dxa"/>
            <w:tcBorders>
              <w:top w:val="nil"/>
              <w:left w:val="nil"/>
              <w:bottom w:val="single" w:sz="4" w:space="0" w:color="auto"/>
              <w:right w:val="single" w:sz="4" w:space="0" w:color="auto"/>
            </w:tcBorders>
            <w:shd w:val="clear" w:color="auto" w:fill="C6EFCE"/>
            <w:noWrap/>
          </w:tcPr>
          <w:p w14:paraId="4AE0A4B6"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0" w:type="dxa"/>
            <w:tcBorders>
              <w:top w:val="nil"/>
              <w:left w:val="nil"/>
              <w:bottom w:val="single" w:sz="4" w:space="0" w:color="auto"/>
              <w:right w:val="single" w:sz="4" w:space="0" w:color="auto"/>
            </w:tcBorders>
            <w:shd w:val="clear" w:color="auto" w:fill="C6EFCE"/>
            <w:noWrap/>
          </w:tcPr>
          <w:p w14:paraId="271BADF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992" w:type="dxa"/>
            <w:tcBorders>
              <w:top w:val="nil"/>
              <w:left w:val="nil"/>
              <w:bottom w:val="single" w:sz="4" w:space="0" w:color="auto"/>
              <w:right w:val="single" w:sz="4" w:space="0" w:color="auto"/>
            </w:tcBorders>
            <w:shd w:val="clear" w:color="auto" w:fill="C6EFCE"/>
            <w:noWrap/>
          </w:tcPr>
          <w:p w14:paraId="6BED9A0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2024</w:t>
            </w:r>
          </w:p>
        </w:tc>
        <w:tc>
          <w:tcPr>
            <w:tcW w:w="3398" w:type="dxa"/>
            <w:tcBorders>
              <w:top w:val="nil"/>
              <w:left w:val="nil"/>
              <w:bottom w:val="single" w:sz="4" w:space="0" w:color="auto"/>
              <w:right w:val="single" w:sz="4" w:space="0" w:color="auto"/>
            </w:tcBorders>
            <w:shd w:val="clear" w:color="auto" w:fill="C6EFCE"/>
            <w:noWrap/>
          </w:tcPr>
          <w:p w14:paraId="153AA1FD" w14:textId="239CB5E3"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Začiatok prevádzky zriadenia všetkých zložiek projektu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infraštruktúry parametrie pre projekt centrálnej infraštruktúry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služieb cloud</w:t>
            </w:r>
            <w:r w:rsidRPr="00083739">
              <w:rPr>
                <w:rFonts w:ascii="Times New Roman" w:hAnsi="Times New Roman" w:cs="Times New Roman"/>
                <w:noProof/>
                <w:lang w:val="sk-SK"/>
              </w:rPr>
              <w:t xml:space="preserve"> computingu. Zaviesť</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sprevádzkovať projekt centrálnej infraštruktúry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služieb cloud computingu. Nová nainštalovaná infraštruktúra zahŕňa virtuálne stroje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zodpovedajúce virtuálne siete (infraštruktúra ako služba), platformu ako službu, dve edge computi</w:t>
            </w:r>
            <w:r w:rsidRPr="00083739">
              <w:rPr>
                <w:rFonts w:ascii="Times New Roman" w:hAnsi="Times New Roman" w:cs="Times New Roman"/>
                <w:noProof/>
                <w:lang w:val="sk-SK"/>
              </w:rPr>
              <w:t>ngové polia, dve osobitné rozhrania vysokorýchlostných optických vlákien</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výcvikové</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podporné služby pre celý projekt.</w:t>
            </w:r>
          </w:p>
          <w:p w14:paraId="0565173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Dátové centrá poskytovateľa cloudových služieb sú povinné dodržiavať „Európsky kódex správania pre energetickú efektívnosť dátového cen</w:t>
            </w:r>
            <w:r w:rsidRPr="00083739">
              <w:rPr>
                <w:rFonts w:ascii="Times New Roman" w:hAnsi="Times New Roman" w:cs="Times New Roman"/>
                <w:noProof/>
                <w:lang w:val="sk-SK"/>
              </w:rPr>
              <w:t>tra“.</w:t>
            </w:r>
          </w:p>
        </w:tc>
      </w:tr>
      <w:tr w:rsidR="002D49B0" w:rsidRPr="00083739" w14:paraId="09938C57" w14:textId="77777777">
        <w:trPr>
          <w:trHeight w:val="313"/>
          <w:jc w:val="center"/>
        </w:trPr>
        <w:tc>
          <w:tcPr>
            <w:tcW w:w="1129" w:type="dxa"/>
            <w:tcBorders>
              <w:top w:val="single" w:sz="4" w:space="0" w:color="auto"/>
              <w:left w:val="single" w:sz="4" w:space="0" w:color="auto"/>
              <w:bottom w:val="single" w:sz="4" w:space="0" w:color="auto"/>
              <w:right w:val="single" w:sz="4" w:space="0" w:color="auto"/>
            </w:tcBorders>
            <w:shd w:val="clear" w:color="auto" w:fill="C6EFCE"/>
            <w:noWrap/>
          </w:tcPr>
          <w:p w14:paraId="3E00FC3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123</w:t>
            </w:r>
          </w:p>
        </w:tc>
        <w:tc>
          <w:tcPr>
            <w:tcW w:w="1710" w:type="dxa"/>
            <w:tcBorders>
              <w:top w:val="single" w:sz="4" w:space="0" w:color="auto"/>
              <w:left w:val="nil"/>
              <w:bottom w:val="single" w:sz="4" w:space="0" w:color="auto"/>
              <w:right w:val="single" w:sz="4" w:space="0" w:color="auto"/>
            </w:tcBorders>
            <w:shd w:val="clear" w:color="auto" w:fill="C6EFCE"/>
            <w:noWrap/>
          </w:tcPr>
          <w:p w14:paraId="46D7EF0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6 – 2.2. Modernizácia – 16854_Inteligentné mestá</w:t>
            </w:r>
          </w:p>
        </w:tc>
        <w:tc>
          <w:tcPr>
            <w:tcW w:w="1130" w:type="dxa"/>
            <w:tcBorders>
              <w:top w:val="single" w:sz="4" w:space="0" w:color="auto"/>
              <w:left w:val="nil"/>
              <w:bottom w:val="single" w:sz="4" w:space="0" w:color="auto"/>
              <w:right w:val="single" w:sz="4" w:space="0" w:color="auto"/>
            </w:tcBorders>
            <w:shd w:val="clear" w:color="auto" w:fill="C6EFCE"/>
            <w:noWrap/>
          </w:tcPr>
          <w:p w14:paraId="64F9590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Cieľ</w:t>
            </w:r>
          </w:p>
        </w:tc>
        <w:tc>
          <w:tcPr>
            <w:tcW w:w="1701" w:type="dxa"/>
            <w:tcBorders>
              <w:top w:val="single" w:sz="4" w:space="0" w:color="auto"/>
              <w:left w:val="nil"/>
              <w:bottom w:val="single" w:sz="4" w:space="0" w:color="auto"/>
              <w:right w:val="single" w:sz="4" w:space="0" w:color="auto"/>
            </w:tcBorders>
            <w:shd w:val="clear" w:color="auto" w:fill="C6EFCE"/>
            <w:noWrap/>
          </w:tcPr>
          <w:p w14:paraId="4CD91C9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Úplná realizácia projektov inteligentných miest</w:t>
            </w:r>
          </w:p>
        </w:tc>
        <w:tc>
          <w:tcPr>
            <w:tcW w:w="1417" w:type="dxa"/>
            <w:tcBorders>
              <w:top w:val="single" w:sz="4" w:space="0" w:color="auto"/>
              <w:left w:val="nil"/>
              <w:bottom w:val="single" w:sz="4" w:space="0" w:color="auto"/>
              <w:right w:val="single" w:sz="4" w:space="0" w:color="auto"/>
            </w:tcBorders>
            <w:shd w:val="clear" w:color="auto" w:fill="C6EFCE"/>
            <w:noWrap/>
          </w:tcPr>
          <w:p w14:paraId="402A856D"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134" w:type="dxa"/>
            <w:tcBorders>
              <w:top w:val="single" w:sz="4" w:space="0" w:color="auto"/>
              <w:left w:val="nil"/>
              <w:bottom w:val="single" w:sz="4" w:space="0" w:color="auto"/>
              <w:right w:val="single" w:sz="4" w:space="0" w:color="auto"/>
            </w:tcBorders>
            <w:shd w:val="clear" w:color="auto" w:fill="C6EFCE"/>
            <w:noWrap/>
          </w:tcPr>
          <w:p w14:paraId="3A4D85C2" w14:textId="20799F22"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Počet </w:t>
            </w:r>
            <w:r w:rsidRPr="00083739">
              <w:rPr>
                <w:rFonts w:ascii="Times New Roman" w:hAnsi="Times New Roman" w:cs="Times New Roman"/>
                <w:noProof/>
                <w:szCs w:val="18"/>
                <w:lang w:val="sk-SK"/>
              </w:rPr>
              <w:t xml:space="preserve">obcí, ktoré </w:t>
            </w:r>
            <w:r w:rsidRPr="00083739">
              <w:rPr>
                <w:rFonts w:ascii="Times New Roman" w:hAnsi="Times New Roman" w:cs="Times New Roman"/>
                <w:noProof/>
                <w:lang w:val="sk-SK"/>
              </w:rPr>
              <w:t>zaviedli infraštruktúru, platformy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systémy na podporu ich transformácie na inteligentné mestá </w:t>
            </w:r>
          </w:p>
        </w:tc>
        <w:tc>
          <w:tcPr>
            <w:tcW w:w="1134" w:type="dxa"/>
            <w:tcBorders>
              <w:top w:val="single" w:sz="4" w:space="0" w:color="auto"/>
              <w:left w:val="nil"/>
              <w:bottom w:val="single" w:sz="4" w:space="0" w:color="auto"/>
              <w:right w:val="single" w:sz="4" w:space="0" w:color="auto"/>
            </w:tcBorders>
            <w:shd w:val="clear" w:color="auto" w:fill="C6EFCE"/>
            <w:noWrap/>
          </w:tcPr>
          <w:p w14:paraId="4B11312D"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3" w:type="dxa"/>
            <w:tcBorders>
              <w:top w:val="single" w:sz="4" w:space="0" w:color="auto"/>
              <w:left w:val="nil"/>
              <w:bottom w:val="single" w:sz="4" w:space="0" w:color="auto"/>
              <w:right w:val="single" w:sz="4" w:space="0" w:color="auto"/>
            </w:tcBorders>
            <w:shd w:val="clear" w:color="auto" w:fill="C6EFCE"/>
            <w:noWrap/>
          </w:tcPr>
          <w:p w14:paraId="6D98730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11</w:t>
            </w:r>
          </w:p>
          <w:p w14:paraId="0C827C30"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0" w:type="dxa"/>
            <w:tcBorders>
              <w:top w:val="single" w:sz="4" w:space="0" w:color="auto"/>
              <w:left w:val="nil"/>
              <w:bottom w:val="single" w:sz="4" w:space="0" w:color="auto"/>
              <w:right w:val="single" w:sz="4" w:space="0" w:color="auto"/>
            </w:tcBorders>
            <w:shd w:val="clear" w:color="auto" w:fill="C6EFCE"/>
            <w:noWrap/>
          </w:tcPr>
          <w:p w14:paraId="04E2F56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992" w:type="dxa"/>
            <w:tcBorders>
              <w:top w:val="single" w:sz="4" w:space="0" w:color="auto"/>
              <w:left w:val="nil"/>
              <w:bottom w:val="single" w:sz="4" w:space="0" w:color="auto"/>
              <w:right w:val="single" w:sz="4" w:space="0" w:color="auto"/>
            </w:tcBorders>
            <w:shd w:val="clear" w:color="auto" w:fill="C6EFCE"/>
            <w:noWrap/>
          </w:tcPr>
          <w:p w14:paraId="11ED8AE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3398" w:type="dxa"/>
            <w:tcBorders>
              <w:top w:val="single" w:sz="4" w:space="0" w:color="auto"/>
              <w:left w:val="nil"/>
              <w:bottom w:val="single" w:sz="4" w:space="0" w:color="auto"/>
              <w:right w:val="single" w:sz="4" w:space="0" w:color="auto"/>
            </w:tcBorders>
            <w:shd w:val="clear" w:color="auto" w:fill="C6EFCE"/>
            <w:noWrap/>
          </w:tcPr>
          <w:p w14:paraId="60F7480A" w14:textId="49F94F1E"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Realizovať projekty na uľahčenie transformácie 11 gréckych obcí na inteligentné mestá prostredníctvom investícií do inteligentných udržateľných miest</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infraštruktúr</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systémov pre udržateľnú</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zelenú mestskú budúcnosť, napríklad: a) Dostupnosť</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využívani</w:t>
            </w:r>
            <w:r w:rsidRPr="00083739">
              <w:rPr>
                <w:rFonts w:ascii="Times New Roman" w:hAnsi="Times New Roman" w:cs="Times New Roman"/>
                <w:noProof/>
                <w:lang w:val="sk-SK"/>
              </w:rPr>
              <w:t>e otvorených dát, ktoré posilnia trhový rozvoj inovačných riešení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produktov pre inteligentné mestá (ako sú aplikácie internetu vecí, veľké dáta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cloud; b) využívanie existujúcich pevných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bezdrôtových sietí; c) aktivácia výskumnej</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akademickej obce na</w:t>
            </w:r>
            <w:r w:rsidRPr="00083739">
              <w:rPr>
                <w:rFonts w:ascii="Times New Roman" w:hAnsi="Times New Roman" w:cs="Times New Roman"/>
                <w:noProof/>
                <w:lang w:val="sk-SK"/>
              </w:rPr>
              <w:t xml:space="preserve"> organizáciu doplnkových inovačných opatrení; d) platformy, ktoré prispievajú</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vytvoreniu časových radov otvorených miest</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e) vytvorenie digitálneho dvojčaťa“, ako aj iné riešenia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služby zamerané na občanov, ktoré sú od začiatku zahrnuté do participatí</w:t>
            </w:r>
            <w:r w:rsidRPr="00083739">
              <w:rPr>
                <w:rFonts w:ascii="Times New Roman" w:hAnsi="Times New Roman" w:cs="Times New Roman"/>
                <w:noProof/>
                <w:lang w:val="sk-SK"/>
              </w:rPr>
              <w:t xml:space="preserve">vnych prístupov občanov (v rámci spoločného navrhovania). </w:t>
            </w:r>
          </w:p>
        </w:tc>
      </w:tr>
      <w:tr w:rsidR="002D49B0" w:rsidRPr="00083739" w14:paraId="50EC0C75" w14:textId="77777777">
        <w:trPr>
          <w:trHeight w:val="313"/>
          <w:jc w:val="center"/>
        </w:trPr>
        <w:tc>
          <w:tcPr>
            <w:tcW w:w="1129" w:type="dxa"/>
            <w:tcBorders>
              <w:top w:val="single" w:sz="4" w:space="0" w:color="auto"/>
              <w:left w:val="single" w:sz="4" w:space="0" w:color="auto"/>
              <w:bottom w:val="single" w:sz="4" w:space="0" w:color="auto"/>
              <w:right w:val="single" w:sz="4" w:space="0" w:color="auto"/>
            </w:tcBorders>
            <w:shd w:val="clear" w:color="auto" w:fill="C6EFCE"/>
            <w:noWrap/>
          </w:tcPr>
          <w:p w14:paraId="7C7B9DE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124</w:t>
            </w:r>
          </w:p>
        </w:tc>
        <w:tc>
          <w:tcPr>
            <w:tcW w:w="1710" w:type="dxa"/>
            <w:tcBorders>
              <w:top w:val="single" w:sz="4" w:space="0" w:color="auto"/>
              <w:left w:val="nil"/>
              <w:bottom w:val="single" w:sz="4" w:space="0" w:color="auto"/>
              <w:right w:val="single" w:sz="4" w:space="0" w:color="auto"/>
            </w:tcBorders>
            <w:shd w:val="clear" w:color="auto" w:fill="C6EFCE"/>
            <w:noWrap/>
          </w:tcPr>
          <w:p w14:paraId="2D648406" w14:textId="3BF846BD" w:rsidR="002D49B0" w:rsidRPr="00083739" w:rsidRDefault="00BF4125">
            <w:pPr>
              <w:pStyle w:val="P68B1DB1-Normal9"/>
              <w:spacing w:after="0" w:line="240" w:lineRule="auto"/>
              <w:rPr>
                <w:rFonts w:ascii="Times New Roman" w:eastAsia="Times New Roman" w:hAnsi="Times New Roman" w:cs="Times New Roman"/>
                <w:noProof/>
                <w:szCs w:val="18"/>
                <w:highlight w:val="yellow"/>
                <w:lang w:val="sk-SK"/>
              </w:rPr>
            </w:pPr>
            <w:r w:rsidRPr="00083739">
              <w:rPr>
                <w:rFonts w:ascii="Times New Roman" w:hAnsi="Times New Roman" w:cs="Times New Roman"/>
                <w:noProof/>
                <w:lang w:val="sk-SK"/>
              </w:rPr>
              <w:t>6 – 2.2. Modernizácia – 16928_Začlenenie nových technológií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trendov smerom</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pokročilým službám verejnej správy, zvýšenie efektívnosti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účinnosti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zníženie nákladov na prevádzku, </w:t>
            </w:r>
            <w:r w:rsidRPr="00083739">
              <w:rPr>
                <w:rFonts w:ascii="Times New Roman" w:hAnsi="Times New Roman" w:cs="Times New Roman"/>
                <w:noProof/>
                <w:lang w:val="sk-SK"/>
              </w:rPr>
              <w:t>modernizáciu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údržbu systémov</w:t>
            </w:r>
          </w:p>
        </w:tc>
        <w:tc>
          <w:tcPr>
            <w:tcW w:w="1130" w:type="dxa"/>
            <w:tcBorders>
              <w:top w:val="single" w:sz="4" w:space="0" w:color="auto"/>
              <w:left w:val="nil"/>
              <w:bottom w:val="single" w:sz="4" w:space="0" w:color="auto"/>
              <w:right w:val="single" w:sz="4" w:space="0" w:color="auto"/>
            </w:tcBorders>
            <w:shd w:val="clear" w:color="auto" w:fill="C6EFCE"/>
            <w:noWrap/>
          </w:tcPr>
          <w:p w14:paraId="0429B88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p w14:paraId="4F986DBA"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701" w:type="dxa"/>
            <w:tcBorders>
              <w:top w:val="single" w:sz="4" w:space="0" w:color="auto"/>
              <w:left w:val="nil"/>
              <w:bottom w:val="single" w:sz="4" w:space="0" w:color="auto"/>
              <w:right w:val="single" w:sz="4" w:space="0" w:color="auto"/>
            </w:tcBorders>
            <w:shd w:val="clear" w:color="auto" w:fill="C6EFCE"/>
            <w:noWrap/>
          </w:tcPr>
          <w:p w14:paraId="238A1501" w14:textId="53E28D01"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Rámec pre začlenenie nových technológií do verejného života</w:t>
            </w:r>
          </w:p>
          <w:p w14:paraId="25B6673E" w14:textId="777D78A4"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administratíva</w:t>
            </w:r>
          </w:p>
        </w:tc>
        <w:tc>
          <w:tcPr>
            <w:tcW w:w="1417" w:type="dxa"/>
            <w:tcBorders>
              <w:top w:val="single" w:sz="4" w:space="0" w:color="auto"/>
              <w:left w:val="nil"/>
              <w:bottom w:val="single" w:sz="4" w:space="0" w:color="auto"/>
              <w:right w:val="single" w:sz="4" w:space="0" w:color="auto"/>
            </w:tcBorders>
            <w:shd w:val="clear" w:color="auto" w:fill="C6EFCE"/>
            <w:noWrap/>
          </w:tcPr>
          <w:p w14:paraId="61A373DD" w14:textId="2D34E3AB"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Prijatie rámca pre začlenenie nových technológií do verejnej správy.</w:t>
            </w:r>
          </w:p>
        </w:tc>
        <w:tc>
          <w:tcPr>
            <w:tcW w:w="1134" w:type="dxa"/>
            <w:tcBorders>
              <w:top w:val="single" w:sz="4" w:space="0" w:color="auto"/>
              <w:left w:val="nil"/>
              <w:bottom w:val="single" w:sz="4" w:space="0" w:color="auto"/>
              <w:right w:val="single" w:sz="4" w:space="0" w:color="auto"/>
            </w:tcBorders>
            <w:shd w:val="clear" w:color="auto" w:fill="C6EFCE"/>
            <w:noWrap/>
          </w:tcPr>
          <w:p w14:paraId="56A0C3EB"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134" w:type="dxa"/>
            <w:tcBorders>
              <w:top w:val="single" w:sz="4" w:space="0" w:color="auto"/>
              <w:left w:val="nil"/>
              <w:bottom w:val="single" w:sz="4" w:space="0" w:color="auto"/>
              <w:right w:val="single" w:sz="4" w:space="0" w:color="auto"/>
            </w:tcBorders>
            <w:shd w:val="clear" w:color="auto" w:fill="C6EFCE"/>
            <w:noWrap/>
          </w:tcPr>
          <w:p w14:paraId="7088F804"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3" w:type="dxa"/>
            <w:tcBorders>
              <w:top w:val="single" w:sz="4" w:space="0" w:color="auto"/>
              <w:left w:val="nil"/>
              <w:bottom w:val="single" w:sz="4" w:space="0" w:color="auto"/>
              <w:right w:val="single" w:sz="4" w:space="0" w:color="auto"/>
            </w:tcBorders>
            <w:shd w:val="clear" w:color="auto" w:fill="C6EFCE"/>
            <w:noWrap/>
          </w:tcPr>
          <w:p w14:paraId="519FB600"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0" w:type="dxa"/>
            <w:tcBorders>
              <w:top w:val="single" w:sz="4" w:space="0" w:color="auto"/>
              <w:left w:val="nil"/>
              <w:bottom w:val="single" w:sz="4" w:space="0" w:color="auto"/>
              <w:right w:val="single" w:sz="4" w:space="0" w:color="auto"/>
            </w:tcBorders>
            <w:shd w:val="clear" w:color="auto" w:fill="C6EFCE"/>
            <w:noWrap/>
          </w:tcPr>
          <w:p w14:paraId="7716044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992" w:type="dxa"/>
            <w:tcBorders>
              <w:top w:val="single" w:sz="4" w:space="0" w:color="auto"/>
              <w:left w:val="nil"/>
              <w:bottom w:val="single" w:sz="4" w:space="0" w:color="auto"/>
              <w:right w:val="single" w:sz="4" w:space="0" w:color="auto"/>
            </w:tcBorders>
            <w:shd w:val="clear" w:color="auto" w:fill="C6EFCE"/>
            <w:noWrap/>
          </w:tcPr>
          <w:p w14:paraId="22AEEF5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3398" w:type="dxa"/>
            <w:tcBorders>
              <w:top w:val="single" w:sz="4" w:space="0" w:color="auto"/>
              <w:left w:val="nil"/>
              <w:bottom w:val="single" w:sz="4" w:space="0" w:color="auto"/>
              <w:right w:val="single" w:sz="4" w:space="0" w:color="auto"/>
            </w:tcBorders>
            <w:shd w:val="clear" w:color="auto" w:fill="C6EFCE"/>
            <w:noWrap/>
          </w:tcPr>
          <w:p w14:paraId="2C1F8989" w14:textId="2B3295F7"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 xml:space="preserve">Vytvoriť rámec zameraný na zavádzanie nových </w:t>
            </w:r>
            <w:r w:rsidRPr="00083739">
              <w:rPr>
                <w:rFonts w:ascii="Times New Roman" w:hAnsi="Times New Roman" w:cs="Times New Roman"/>
                <w:noProof/>
                <w:lang w:val="sk-SK"/>
              </w:rPr>
              <w:t>technológií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nástrojov na uľahčenie digitálnej transformácie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modernizácie verejnej správy. </w:t>
            </w:r>
          </w:p>
        </w:tc>
      </w:tr>
      <w:tr w:rsidR="002D49B0" w:rsidRPr="00083739" w14:paraId="19A9935E" w14:textId="77777777">
        <w:trPr>
          <w:trHeight w:val="313"/>
          <w:jc w:val="center"/>
        </w:trPr>
        <w:tc>
          <w:tcPr>
            <w:tcW w:w="1129" w:type="dxa"/>
            <w:tcBorders>
              <w:top w:val="single" w:sz="4" w:space="0" w:color="auto"/>
              <w:left w:val="single" w:sz="4" w:space="0" w:color="auto"/>
              <w:bottom w:val="single" w:sz="4" w:space="0" w:color="auto"/>
              <w:right w:val="single" w:sz="4" w:space="0" w:color="auto"/>
            </w:tcBorders>
            <w:shd w:val="clear" w:color="auto" w:fill="C6EFCE"/>
            <w:noWrap/>
          </w:tcPr>
          <w:p w14:paraId="0AA6CD7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125</w:t>
            </w:r>
          </w:p>
        </w:tc>
        <w:tc>
          <w:tcPr>
            <w:tcW w:w="1710" w:type="dxa"/>
            <w:tcBorders>
              <w:top w:val="single" w:sz="4" w:space="0" w:color="auto"/>
              <w:left w:val="nil"/>
              <w:bottom w:val="single" w:sz="4" w:space="0" w:color="auto"/>
              <w:right w:val="single" w:sz="4" w:space="0" w:color="auto"/>
            </w:tcBorders>
            <w:shd w:val="clear" w:color="auto" w:fill="C6EFCE"/>
            <w:noWrap/>
          </w:tcPr>
          <w:p w14:paraId="3C25AD84" w14:textId="683093C0"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6 – 2.2. Modernizácia – 16955_modernizácia cloudovej výpočtovej infraštruktúry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služieb národných výskumných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technologických infraštruktúr (GRNET)</w:t>
            </w:r>
          </w:p>
        </w:tc>
        <w:tc>
          <w:tcPr>
            <w:tcW w:w="1130" w:type="dxa"/>
            <w:tcBorders>
              <w:top w:val="single" w:sz="4" w:space="0" w:color="auto"/>
              <w:left w:val="nil"/>
              <w:bottom w:val="single" w:sz="4" w:space="0" w:color="auto"/>
              <w:right w:val="single" w:sz="4" w:space="0" w:color="auto"/>
            </w:tcBorders>
            <w:shd w:val="clear" w:color="auto" w:fill="C6EFCE"/>
            <w:noWrap/>
          </w:tcPr>
          <w:p w14:paraId="0C7E85E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701" w:type="dxa"/>
            <w:tcBorders>
              <w:top w:val="single" w:sz="4" w:space="0" w:color="auto"/>
              <w:left w:val="nil"/>
              <w:bottom w:val="single" w:sz="4" w:space="0" w:color="auto"/>
              <w:right w:val="single" w:sz="4" w:space="0" w:color="auto"/>
            </w:tcBorders>
            <w:shd w:val="clear" w:color="auto" w:fill="C6EFCE"/>
            <w:noWrap/>
          </w:tcPr>
          <w:p w14:paraId="6CE2FC4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Dokončenie siete GRNET </w:t>
            </w:r>
          </w:p>
        </w:tc>
        <w:tc>
          <w:tcPr>
            <w:tcW w:w="1417" w:type="dxa"/>
            <w:tcBorders>
              <w:top w:val="single" w:sz="4" w:space="0" w:color="auto"/>
              <w:left w:val="nil"/>
              <w:bottom w:val="single" w:sz="4" w:space="0" w:color="auto"/>
              <w:right w:val="single" w:sz="4" w:space="0" w:color="auto"/>
            </w:tcBorders>
            <w:shd w:val="clear" w:color="auto" w:fill="C6EFCE"/>
            <w:noWrap/>
          </w:tcPr>
          <w:p w14:paraId="5AF50D14" w14:textId="16904611"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Záverečná správa, ktorou sa ukončuje realizácia všetkých čiastkových projektov modernizácie infraštruktúry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služieb cloud computingu</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rámci národných výskumných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technologických infraštruktúr (GRNET) ministerstvom digitálnej spr</w:t>
            </w:r>
            <w:r w:rsidRPr="00083739">
              <w:rPr>
                <w:rFonts w:ascii="Times New Roman" w:hAnsi="Times New Roman" w:cs="Times New Roman"/>
                <w:noProof/>
                <w:lang w:val="sk-SK"/>
              </w:rPr>
              <w:t>ávy</w:t>
            </w:r>
          </w:p>
        </w:tc>
        <w:tc>
          <w:tcPr>
            <w:tcW w:w="1134" w:type="dxa"/>
            <w:tcBorders>
              <w:top w:val="single" w:sz="4" w:space="0" w:color="auto"/>
              <w:left w:val="nil"/>
              <w:bottom w:val="single" w:sz="4" w:space="0" w:color="auto"/>
              <w:right w:val="single" w:sz="4" w:space="0" w:color="auto"/>
            </w:tcBorders>
            <w:shd w:val="clear" w:color="auto" w:fill="C6EFCE"/>
            <w:noWrap/>
          </w:tcPr>
          <w:p w14:paraId="060397A7"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134" w:type="dxa"/>
            <w:tcBorders>
              <w:top w:val="single" w:sz="4" w:space="0" w:color="auto"/>
              <w:left w:val="nil"/>
              <w:bottom w:val="single" w:sz="4" w:space="0" w:color="auto"/>
              <w:right w:val="single" w:sz="4" w:space="0" w:color="auto"/>
            </w:tcBorders>
            <w:shd w:val="clear" w:color="auto" w:fill="C6EFCE"/>
            <w:noWrap/>
          </w:tcPr>
          <w:p w14:paraId="52DD9DE9"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3" w:type="dxa"/>
            <w:tcBorders>
              <w:top w:val="single" w:sz="4" w:space="0" w:color="auto"/>
              <w:left w:val="nil"/>
              <w:bottom w:val="single" w:sz="4" w:space="0" w:color="auto"/>
              <w:right w:val="single" w:sz="4" w:space="0" w:color="auto"/>
            </w:tcBorders>
            <w:shd w:val="clear" w:color="auto" w:fill="C6EFCE"/>
            <w:noWrap/>
          </w:tcPr>
          <w:p w14:paraId="1AFFCEFC"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0" w:type="dxa"/>
            <w:tcBorders>
              <w:top w:val="single" w:sz="4" w:space="0" w:color="auto"/>
              <w:left w:val="nil"/>
              <w:bottom w:val="single" w:sz="4" w:space="0" w:color="auto"/>
              <w:right w:val="single" w:sz="4" w:space="0" w:color="auto"/>
            </w:tcBorders>
            <w:shd w:val="clear" w:color="auto" w:fill="C6EFCE"/>
            <w:noWrap/>
          </w:tcPr>
          <w:p w14:paraId="62B45D2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992" w:type="dxa"/>
            <w:tcBorders>
              <w:top w:val="single" w:sz="4" w:space="0" w:color="auto"/>
              <w:left w:val="nil"/>
              <w:bottom w:val="single" w:sz="4" w:space="0" w:color="auto"/>
              <w:right w:val="single" w:sz="4" w:space="0" w:color="auto"/>
            </w:tcBorders>
            <w:shd w:val="clear" w:color="auto" w:fill="C6EFCE"/>
            <w:noWrap/>
          </w:tcPr>
          <w:p w14:paraId="3C65B50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3398" w:type="dxa"/>
            <w:tcBorders>
              <w:top w:val="single" w:sz="4" w:space="0" w:color="auto"/>
              <w:left w:val="nil"/>
              <w:bottom w:val="single" w:sz="4" w:space="0" w:color="auto"/>
              <w:right w:val="single" w:sz="4" w:space="0" w:color="auto"/>
            </w:tcBorders>
            <w:shd w:val="clear" w:color="auto" w:fill="C6EFCE"/>
            <w:noWrap/>
          </w:tcPr>
          <w:p w14:paraId="24DF6314" w14:textId="42933F8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modernizácie cloudovej výpočtovej infraštruktúry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služieb národných výskumných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technologických infraštruktúr (GRNET).</w:t>
            </w:r>
          </w:p>
          <w:p w14:paraId="28E8C850"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p w14:paraId="05597AEF" w14:textId="7A50A571"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Dodávky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nasadenie nového superpočítača. Požiadavka bude splnená po dokončení „fázy A – </w:t>
            </w:r>
            <w:r w:rsidRPr="00083739">
              <w:rPr>
                <w:rFonts w:ascii="Times New Roman" w:hAnsi="Times New Roman" w:cs="Times New Roman"/>
                <w:noProof/>
                <w:lang w:val="sk-SK"/>
              </w:rPr>
              <w:t>Daedalus Super Computer Implementácia“.</w:t>
            </w:r>
          </w:p>
          <w:p w14:paraId="788ECF09" w14:textId="159E4343"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szCs w:val="18"/>
                <w:lang w:val="sk-SK"/>
              </w:rPr>
              <w:t>Zriadenie dátového centra na podporu nového superpočítača, inštalácie softvéru</w:t>
            </w:r>
            <w:r w:rsidRPr="00083739">
              <w:rPr>
                <w:rFonts w:ascii="Times New Roman" w:hAnsi="Times New Roman" w:cs="Times New Roman"/>
                <w:noProof/>
                <w:lang w:val="sk-SK"/>
              </w:rPr>
              <w:t>, konfigurácie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pilotnej prevádzky.</w:t>
            </w:r>
          </w:p>
        </w:tc>
      </w:tr>
      <w:tr w:rsidR="002D49B0" w:rsidRPr="00083739" w14:paraId="14B08CDF" w14:textId="77777777">
        <w:trPr>
          <w:trHeight w:val="313"/>
          <w:jc w:val="center"/>
        </w:trPr>
        <w:tc>
          <w:tcPr>
            <w:tcW w:w="1129" w:type="dxa"/>
            <w:tcBorders>
              <w:top w:val="single" w:sz="4" w:space="0" w:color="auto"/>
              <w:left w:val="single" w:sz="4" w:space="0" w:color="auto"/>
              <w:bottom w:val="single" w:sz="4" w:space="0" w:color="auto"/>
              <w:right w:val="single" w:sz="4" w:space="0" w:color="auto"/>
            </w:tcBorders>
            <w:shd w:val="clear" w:color="auto" w:fill="C6EFCE"/>
            <w:noWrap/>
          </w:tcPr>
          <w:p w14:paraId="198743C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127</w:t>
            </w:r>
          </w:p>
        </w:tc>
        <w:tc>
          <w:tcPr>
            <w:tcW w:w="1710" w:type="dxa"/>
            <w:tcBorders>
              <w:top w:val="single" w:sz="4" w:space="0" w:color="auto"/>
              <w:left w:val="nil"/>
              <w:bottom w:val="single" w:sz="4" w:space="0" w:color="auto"/>
              <w:right w:val="single" w:sz="4" w:space="0" w:color="auto"/>
            </w:tcBorders>
            <w:shd w:val="clear" w:color="auto" w:fill="C6EFCE"/>
            <w:noWrap/>
          </w:tcPr>
          <w:p w14:paraId="75411AB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6 – 2.2. Modernizácia – 16956_rozšírenie Syzefksis II</w:t>
            </w:r>
          </w:p>
        </w:tc>
        <w:tc>
          <w:tcPr>
            <w:tcW w:w="1130" w:type="dxa"/>
            <w:tcBorders>
              <w:top w:val="single" w:sz="4" w:space="0" w:color="auto"/>
              <w:left w:val="nil"/>
              <w:bottom w:val="single" w:sz="4" w:space="0" w:color="auto"/>
              <w:right w:val="single" w:sz="4" w:space="0" w:color="auto"/>
            </w:tcBorders>
            <w:shd w:val="clear" w:color="auto" w:fill="C6EFCE"/>
            <w:noWrap/>
          </w:tcPr>
          <w:p w14:paraId="5DA9BE8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701" w:type="dxa"/>
            <w:tcBorders>
              <w:top w:val="single" w:sz="4" w:space="0" w:color="auto"/>
              <w:left w:val="nil"/>
              <w:bottom w:val="single" w:sz="4" w:space="0" w:color="auto"/>
              <w:right w:val="single" w:sz="4" w:space="0" w:color="auto"/>
            </w:tcBorders>
            <w:shd w:val="clear" w:color="auto" w:fill="C6EFCE"/>
            <w:noWrap/>
          </w:tcPr>
          <w:p w14:paraId="53FE62B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Ukončenie Syzefksis II</w:t>
            </w:r>
          </w:p>
        </w:tc>
        <w:tc>
          <w:tcPr>
            <w:tcW w:w="1417" w:type="dxa"/>
            <w:tcBorders>
              <w:top w:val="single" w:sz="4" w:space="0" w:color="auto"/>
              <w:left w:val="nil"/>
              <w:bottom w:val="single" w:sz="4" w:space="0" w:color="auto"/>
              <w:right w:val="single" w:sz="4" w:space="0" w:color="auto"/>
            </w:tcBorders>
            <w:shd w:val="clear" w:color="auto" w:fill="C6EFCE"/>
            <w:noWrap/>
          </w:tcPr>
          <w:p w14:paraId="611D9FA8" w14:textId="1434881A"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Súhrnný </w:t>
            </w:r>
            <w:r w:rsidRPr="00083739">
              <w:rPr>
                <w:rFonts w:ascii="Times New Roman" w:hAnsi="Times New Roman" w:cs="Times New Roman"/>
                <w:noProof/>
                <w:lang w:val="sk-SK"/>
              </w:rPr>
              <w:t>dokument, ktorým sa overuje realizácia novej infraštruktúry, register subjektov siete verejného sektora, systém riadenia bezpečnosti, prieskum, monitorovací mechanizmus, dodávka vybavenia</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rámci rozšírenia Syzefksis II ministerstvom digitálnej správy</w:t>
            </w:r>
          </w:p>
        </w:tc>
        <w:tc>
          <w:tcPr>
            <w:tcW w:w="1134" w:type="dxa"/>
            <w:tcBorders>
              <w:top w:val="single" w:sz="4" w:space="0" w:color="auto"/>
              <w:left w:val="nil"/>
              <w:bottom w:val="single" w:sz="4" w:space="0" w:color="auto"/>
              <w:right w:val="single" w:sz="4" w:space="0" w:color="auto"/>
            </w:tcBorders>
            <w:shd w:val="clear" w:color="auto" w:fill="C6EFCE"/>
            <w:noWrap/>
          </w:tcPr>
          <w:p w14:paraId="4882CB12"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134" w:type="dxa"/>
            <w:tcBorders>
              <w:top w:val="single" w:sz="4" w:space="0" w:color="auto"/>
              <w:left w:val="nil"/>
              <w:bottom w:val="single" w:sz="4" w:space="0" w:color="auto"/>
              <w:right w:val="single" w:sz="4" w:space="0" w:color="auto"/>
            </w:tcBorders>
            <w:shd w:val="clear" w:color="auto" w:fill="C6EFCE"/>
            <w:noWrap/>
          </w:tcPr>
          <w:p w14:paraId="5CB53F9D"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3" w:type="dxa"/>
            <w:tcBorders>
              <w:top w:val="single" w:sz="4" w:space="0" w:color="auto"/>
              <w:left w:val="nil"/>
              <w:bottom w:val="single" w:sz="4" w:space="0" w:color="auto"/>
              <w:right w:val="single" w:sz="4" w:space="0" w:color="auto"/>
            </w:tcBorders>
            <w:shd w:val="clear" w:color="auto" w:fill="C6EFCE"/>
            <w:noWrap/>
          </w:tcPr>
          <w:p w14:paraId="30564E37"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0" w:type="dxa"/>
            <w:tcBorders>
              <w:top w:val="single" w:sz="4" w:space="0" w:color="auto"/>
              <w:left w:val="nil"/>
              <w:bottom w:val="single" w:sz="4" w:space="0" w:color="auto"/>
              <w:right w:val="single" w:sz="4" w:space="0" w:color="auto"/>
            </w:tcBorders>
            <w:shd w:val="clear" w:color="auto" w:fill="C6EFCE"/>
            <w:noWrap/>
          </w:tcPr>
          <w:p w14:paraId="7A03683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992" w:type="dxa"/>
            <w:tcBorders>
              <w:top w:val="single" w:sz="4" w:space="0" w:color="auto"/>
              <w:left w:val="nil"/>
              <w:bottom w:val="single" w:sz="4" w:space="0" w:color="auto"/>
              <w:right w:val="single" w:sz="4" w:space="0" w:color="auto"/>
            </w:tcBorders>
            <w:shd w:val="clear" w:color="auto" w:fill="C6EFCE"/>
            <w:noWrap/>
          </w:tcPr>
          <w:p w14:paraId="6FC14CA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3398" w:type="dxa"/>
            <w:tcBorders>
              <w:top w:val="single" w:sz="4" w:space="0" w:color="auto"/>
              <w:left w:val="nil"/>
              <w:bottom w:val="single" w:sz="4" w:space="0" w:color="auto"/>
              <w:right w:val="single" w:sz="4" w:space="0" w:color="auto"/>
            </w:tcBorders>
            <w:shd w:val="clear" w:color="auto" w:fill="C6EFCE"/>
            <w:noWrap/>
          </w:tcPr>
          <w:p w14:paraId="66E717B8" w14:textId="77777777"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Dokončenie rozšírenia Syzefksis II</w:t>
            </w:r>
            <w:r w:rsidR="00083739" w:rsidRPr="00083739">
              <w:rPr>
                <w:rFonts w:ascii="Times New Roman" w:hAnsi="Times New Roman" w:cs="Times New Roman"/>
                <w:noProof/>
                <w:lang w:val="sk-SK"/>
              </w:rPr>
              <w:t>.</w:t>
            </w:r>
          </w:p>
          <w:p w14:paraId="4AC7D171" w14:textId="3F84DB8A"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p w14:paraId="6EBAA63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 implementačnej schémy sú zahrnuté tieto čiastkové projekty:</w:t>
            </w:r>
          </w:p>
          <w:p w14:paraId="5D7CBBEB" w14:textId="77777777"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 Modernizácia prepojení sietí verejného sektora</w:t>
            </w:r>
          </w:p>
          <w:p w14:paraId="201D48A5" w14:textId="77777777"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 Pripojenie/odpojenie/premiestnenie/vybudovanie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modernizácia služieb subjektov</w:t>
            </w:r>
          </w:p>
          <w:p w14:paraId="15A0FDAC" w14:textId="77777777"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 Po</w:t>
            </w:r>
            <w:r w:rsidRPr="00083739">
              <w:rPr>
                <w:rFonts w:ascii="Times New Roman" w:hAnsi="Times New Roman" w:cs="Times New Roman"/>
                <w:noProof/>
                <w:lang w:val="sk-SK"/>
              </w:rPr>
              <w:t>dpora/údržba registra subjektov siete verejného sektora (prieskum</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mieste)</w:t>
            </w:r>
          </w:p>
          <w:p w14:paraId="39681F9C" w14:textId="1E78A6BA" w:rsidR="002D49B0" w:rsidRPr="00083739" w:rsidRDefault="00BF4125">
            <w:pPr>
              <w:pStyle w:val="P68B1DB1-Normal10"/>
              <w:spacing w:after="0" w:line="240" w:lineRule="auto"/>
              <w:rPr>
                <w:rFonts w:ascii="Times New Roman" w:hAnsi="Times New Roman" w:cs="Times New Roman"/>
                <w:noProof/>
                <w:lang w:val="sk-SK"/>
              </w:rPr>
            </w:pPr>
            <w:r w:rsidRPr="00083739">
              <w:rPr>
                <w:rFonts w:ascii="Times New Roman" w:hAnsi="Times New Roman" w:cs="Times New Roman"/>
                <w:noProof/>
                <w:lang w:val="sk-SK"/>
              </w:rPr>
              <w:t>— Propagačné</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propagačné akcie siete verejného sektora (dokončenie do 3. štvrťroka 2024)</w:t>
            </w:r>
          </w:p>
          <w:p w14:paraId="6A9179D6" w14:textId="6643799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Bezpečnostný dozorný úradník</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systém riadenia informačnej bezpečnosti (SIS) siete verej</w:t>
            </w:r>
            <w:r w:rsidRPr="00083739">
              <w:rPr>
                <w:rFonts w:ascii="Times New Roman" w:hAnsi="Times New Roman" w:cs="Times New Roman"/>
                <w:noProof/>
                <w:lang w:val="sk-SK"/>
              </w:rPr>
              <w:t>ného sektora</w:t>
            </w:r>
          </w:p>
          <w:p w14:paraId="48511D87" w14:textId="77777777"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 Monitorovanie, kontrola kvality, podpora vykonávania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pomoc pri konečnom prijatí štruktúrovaných káblových systémov siete verejného sektora</w:t>
            </w:r>
          </w:p>
          <w:p w14:paraId="0CC28E4A" w14:textId="5C3069A1"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 Podpora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monitorovanie fáz zavádzania SYZEFXIS II na mieste και</w:t>
            </w:r>
            <w:r w:rsidR="00083739" w:rsidRPr="00083739">
              <w:rPr>
                <w:rFonts w:ascii="Times New Roman" w:hAnsi="Times New Roman" w:cs="Times New Roman"/>
                <w:noProof/>
                <w:lang w:val="sk-SK"/>
              </w:rPr>
              <w:t>.</w:t>
            </w:r>
          </w:p>
          <w:p w14:paraId="1324A8AD" w14:textId="77777777"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 Dodávka zariadení na prerušené</w:t>
            </w:r>
            <w:r w:rsidRPr="00083739">
              <w:rPr>
                <w:rFonts w:ascii="Times New Roman" w:hAnsi="Times New Roman" w:cs="Times New Roman"/>
                <w:noProof/>
                <w:lang w:val="sk-SK"/>
              </w:rPr>
              <w:t xml:space="preserve"> dodávky elektrickej energie vo vybraných subjektoch verejného sektora – sieti verejného sektora</w:t>
            </w:r>
            <w:r w:rsidR="00083739" w:rsidRPr="00083739">
              <w:rPr>
                <w:rFonts w:ascii="Times New Roman" w:hAnsi="Times New Roman" w:cs="Times New Roman"/>
                <w:noProof/>
                <w:lang w:val="sk-SK"/>
              </w:rPr>
              <w:t>.</w:t>
            </w:r>
          </w:p>
          <w:p w14:paraId="1FB24292" w14:textId="1ED9587E"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 Služby navrhovania sietí verejného sektora novej generácie (PSN Next Gen) – modernizácia infraštruktúry siete Panhelénskych škôl (SchoolNet). </w:t>
            </w:r>
          </w:p>
        </w:tc>
      </w:tr>
      <w:tr w:rsidR="002D49B0" w:rsidRPr="00083739" w14:paraId="1046766E" w14:textId="77777777">
        <w:trPr>
          <w:trHeight w:val="313"/>
          <w:jc w:val="center"/>
        </w:trPr>
        <w:tc>
          <w:tcPr>
            <w:tcW w:w="1129" w:type="dxa"/>
            <w:tcBorders>
              <w:top w:val="single" w:sz="4" w:space="0" w:color="auto"/>
              <w:left w:val="single" w:sz="4" w:space="0" w:color="auto"/>
              <w:bottom w:val="single" w:sz="4" w:space="0" w:color="auto"/>
              <w:right w:val="single" w:sz="4" w:space="0" w:color="auto"/>
            </w:tcBorders>
            <w:shd w:val="clear" w:color="auto" w:fill="C6EFCE"/>
            <w:noWrap/>
          </w:tcPr>
          <w:p w14:paraId="5418F27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128</w:t>
            </w:r>
          </w:p>
        </w:tc>
        <w:tc>
          <w:tcPr>
            <w:tcW w:w="1710" w:type="dxa"/>
            <w:tcBorders>
              <w:top w:val="single" w:sz="4" w:space="0" w:color="auto"/>
              <w:left w:val="nil"/>
              <w:bottom w:val="single" w:sz="4" w:space="0" w:color="auto"/>
              <w:right w:val="single" w:sz="4" w:space="0" w:color="auto"/>
            </w:tcBorders>
            <w:shd w:val="clear" w:color="auto" w:fill="C6EFCE"/>
            <w:noWrap/>
          </w:tcPr>
          <w:p w14:paraId="5C1ACCEB" w14:textId="4266CE0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6 – 2.2.</w:t>
            </w:r>
            <w:r w:rsidRPr="00083739">
              <w:rPr>
                <w:rFonts w:ascii="Times New Roman" w:hAnsi="Times New Roman" w:cs="Times New Roman"/>
                <w:noProof/>
                <w:lang w:val="sk-SK"/>
              </w:rPr>
              <w:t xml:space="preserve"> Modernizácia – 16827_Stratégia správy údajov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politiky pre verejný sektor</w:t>
            </w:r>
          </w:p>
        </w:tc>
        <w:tc>
          <w:tcPr>
            <w:tcW w:w="1130" w:type="dxa"/>
            <w:tcBorders>
              <w:top w:val="single" w:sz="4" w:space="0" w:color="auto"/>
              <w:left w:val="nil"/>
              <w:bottom w:val="single" w:sz="4" w:space="0" w:color="auto"/>
              <w:right w:val="single" w:sz="4" w:space="0" w:color="auto"/>
            </w:tcBorders>
            <w:shd w:val="clear" w:color="auto" w:fill="C6EFCE"/>
            <w:noWrap/>
          </w:tcPr>
          <w:p w14:paraId="0B343FB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701" w:type="dxa"/>
            <w:tcBorders>
              <w:top w:val="single" w:sz="4" w:space="0" w:color="auto"/>
              <w:left w:val="nil"/>
              <w:bottom w:val="single" w:sz="4" w:space="0" w:color="auto"/>
              <w:right w:val="single" w:sz="4" w:space="0" w:color="auto"/>
            </w:tcBorders>
            <w:shd w:val="clear" w:color="auto" w:fill="C6EFCE"/>
            <w:noWrap/>
          </w:tcPr>
          <w:p w14:paraId="6E7D425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stratégie správy údajov</w:t>
            </w:r>
          </w:p>
        </w:tc>
        <w:tc>
          <w:tcPr>
            <w:tcW w:w="1417" w:type="dxa"/>
            <w:tcBorders>
              <w:top w:val="single" w:sz="4" w:space="0" w:color="auto"/>
              <w:left w:val="nil"/>
              <w:bottom w:val="single" w:sz="4" w:space="0" w:color="auto"/>
              <w:right w:val="single" w:sz="4" w:space="0" w:color="auto"/>
            </w:tcBorders>
            <w:shd w:val="clear" w:color="auto" w:fill="C6EFCE"/>
            <w:noWrap/>
          </w:tcPr>
          <w:p w14:paraId="56671544" w14:textId="17534094"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Správa ministerstva digitálnej správy</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záveroch projektu,</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ktorej sa sumarizuje, ako stratégia správy údajov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politiky pre verejný sekt</w:t>
            </w:r>
            <w:r w:rsidRPr="00083739">
              <w:rPr>
                <w:rFonts w:ascii="Times New Roman" w:hAnsi="Times New Roman" w:cs="Times New Roman"/>
                <w:noProof/>
                <w:lang w:val="sk-SK"/>
              </w:rPr>
              <w:t>or dosiahli rozvoj vládnej stratégie správy údajov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cloud computingu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ekosystému otvorených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opätovne použiteľných údajov vo verejnom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súkromnom sektore. </w:t>
            </w:r>
          </w:p>
        </w:tc>
        <w:tc>
          <w:tcPr>
            <w:tcW w:w="1134" w:type="dxa"/>
            <w:tcBorders>
              <w:top w:val="single" w:sz="4" w:space="0" w:color="auto"/>
              <w:left w:val="nil"/>
              <w:bottom w:val="single" w:sz="4" w:space="0" w:color="auto"/>
              <w:right w:val="single" w:sz="4" w:space="0" w:color="auto"/>
            </w:tcBorders>
            <w:shd w:val="clear" w:color="auto" w:fill="C6EFCE"/>
            <w:noWrap/>
          </w:tcPr>
          <w:p w14:paraId="4BA7AFBD"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p w14:paraId="7B0DBDEC"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134" w:type="dxa"/>
            <w:tcBorders>
              <w:top w:val="single" w:sz="4" w:space="0" w:color="auto"/>
              <w:left w:val="nil"/>
              <w:bottom w:val="single" w:sz="4" w:space="0" w:color="auto"/>
              <w:right w:val="single" w:sz="4" w:space="0" w:color="auto"/>
            </w:tcBorders>
            <w:shd w:val="clear" w:color="auto" w:fill="C6EFCE"/>
            <w:noWrap/>
          </w:tcPr>
          <w:p w14:paraId="593C05E3"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3" w:type="dxa"/>
            <w:tcBorders>
              <w:top w:val="single" w:sz="4" w:space="0" w:color="auto"/>
              <w:left w:val="nil"/>
              <w:bottom w:val="single" w:sz="4" w:space="0" w:color="auto"/>
              <w:right w:val="single" w:sz="4" w:space="0" w:color="auto"/>
            </w:tcBorders>
            <w:shd w:val="clear" w:color="auto" w:fill="C6EFCE"/>
            <w:noWrap/>
          </w:tcPr>
          <w:p w14:paraId="6EBAB8BE"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0" w:type="dxa"/>
            <w:tcBorders>
              <w:top w:val="single" w:sz="4" w:space="0" w:color="auto"/>
              <w:left w:val="nil"/>
              <w:bottom w:val="single" w:sz="4" w:space="0" w:color="auto"/>
              <w:right w:val="single" w:sz="4" w:space="0" w:color="auto"/>
            </w:tcBorders>
            <w:shd w:val="clear" w:color="auto" w:fill="C6EFCE"/>
            <w:noWrap/>
          </w:tcPr>
          <w:p w14:paraId="0C4E44B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992" w:type="dxa"/>
            <w:tcBorders>
              <w:top w:val="single" w:sz="4" w:space="0" w:color="auto"/>
              <w:left w:val="nil"/>
              <w:bottom w:val="single" w:sz="4" w:space="0" w:color="auto"/>
              <w:right w:val="single" w:sz="4" w:space="0" w:color="auto"/>
            </w:tcBorders>
            <w:shd w:val="clear" w:color="auto" w:fill="C6EFCE"/>
            <w:noWrap/>
          </w:tcPr>
          <w:p w14:paraId="31AEE55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3398" w:type="dxa"/>
            <w:tcBorders>
              <w:top w:val="single" w:sz="4" w:space="0" w:color="auto"/>
              <w:left w:val="nil"/>
              <w:bottom w:val="single" w:sz="4" w:space="0" w:color="auto"/>
              <w:right w:val="single" w:sz="4" w:space="0" w:color="auto"/>
            </w:tcBorders>
            <w:shd w:val="clear" w:color="auto" w:fill="C6EFCE"/>
            <w:noWrap/>
          </w:tcPr>
          <w:p w14:paraId="2EB93C74" w14:textId="77777777"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Dokončenie stratégie riadenia údajov</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projekte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politík pre </w:t>
            </w:r>
            <w:r w:rsidRPr="00083739">
              <w:rPr>
                <w:rFonts w:ascii="Times New Roman" w:hAnsi="Times New Roman" w:cs="Times New Roman"/>
                <w:noProof/>
                <w:lang w:val="sk-SK"/>
              </w:rPr>
              <w:t>verejný sektor</w:t>
            </w:r>
          </w:p>
          <w:p w14:paraId="472FCFDF" w14:textId="6AE6AE4A"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Projekt musí mať tieto výsledky: a) vytvorenie stratégie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politík vládnej správy údajov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cloud computingu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b) vytvorenie rámca pre správu verejných údajov, politiku pre otvorené</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opakovane použiteľné údaje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poskytovanie </w:t>
            </w:r>
            <w:r w:rsidRPr="00083739">
              <w:rPr>
                <w:rFonts w:ascii="Times New Roman" w:hAnsi="Times New Roman" w:cs="Times New Roman"/>
                <w:noProof/>
                <w:lang w:val="sk-SK"/>
              </w:rPr>
              <w:t>príslušných služieb verejnému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súkromnému sektoru</w:t>
            </w:r>
            <w:r w:rsidR="00083739" w:rsidRPr="00083739">
              <w:rPr>
                <w:rFonts w:ascii="Times New Roman" w:hAnsi="Times New Roman" w:cs="Times New Roman"/>
                <w:noProof/>
                <w:lang w:val="sk-SK"/>
              </w:rPr>
              <w:t xml:space="preserve"> a </w:t>
            </w:r>
            <w:r w:rsidRPr="00083739">
              <w:rPr>
                <w:rFonts w:ascii="Times New Roman" w:eastAsiaTheme="minorEastAsia" w:hAnsi="Times New Roman" w:cs="Times New Roman"/>
                <w:noProof/>
                <w:lang w:val="sk-SK"/>
              </w:rPr>
              <w:t>c) dokončenie projektu „Štúdie klasifikácie údajov“ pre informačné systémy verejného sektora,</w:t>
            </w:r>
            <w:r w:rsidR="00083739" w:rsidRPr="00083739">
              <w:rPr>
                <w:rFonts w:ascii="Times New Roman" w:eastAsiaTheme="minorEastAsia" w:hAnsi="Times New Roman" w:cs="Times New Roman"/>
                <w:noProof/>
                <w:lang w:val="sk-SK"/>
              </w:rPr>
              <w:t xml:space="preserve"> v </w:t>
            </w:r>
            <w:r w:rsidRPr="00083739">
              <w:rPr>
                <w:rFonts w:ascii="Times New Roman" w:eastAsiaTheme="minorEastAsia" w:hAnsi="Times New Roman" w:cs="Times New Roman"/>
                <w:noProof/>
                <w:lang w:val="sk-SK"/>
              </w:rPr>
              <w:t>rámci ktorého sa poskytne 220 štúdií klasifikácie údajov.</w:t>
            </w:r>
          </w:p>
        </w:tc>
      </w:tr>
      <w:tr w:rsidR="002D49B0" w:rsidRPr="00083739" w14:paraId="0F7F64AA" w14:textId="77777777">
        <w:trPr>
          <w:trHeight w:val="313"/>
          <w:jc w:val="center"/>
        </w:trPr>
        <w:tc>
          <w:tcPr>
            <w:tcW w:w="1129" w:type="dxa"/>
            <w:tcBorders>
              <w:top w:val="single" w:sz="4" w:space="0" w:color="auto"/>
              <w:left w:val="single" w:sz="4" w:space="0" w:color="auto"/>
              <w:bottom w:val="single" w:sz="4" w:space="0" w:color="auto"/>
              <w:right w:val="single" w:sz="4" w:space="0" w:color="auto"/>
            </w:tcBorders>
            <w:shd w:val="clear" w:color="auto" w:fill="C6EFCE"/>
            <w:noWrap/>
          </w:tcPr>
          <w:p w14:paraId="7A3A1A5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129</w:t>
            </w:r>
          </w:p>
        </w:tc>
        <w:tc>
          <w:tcPr>
            <w:tcW w:w="1710" w:type="dxa"/>
            <w:tcBorders>
              <w:top w:val="single" w:sz="4" w:space="0" w:color="auto"/>
              <w:left w:val="nil"/>
              <w:bottom w:val="single" w:sz="4" w:space="0" w:color="auto"/>
              <w:right w:val="single" w:sz="4" w:space="0" w:color="auto"/>
            </w:tcBorders>
            <w:shd w:val="clear" w:color="auto" w:fill="C6EFCE"/>
            <w:noWrap/>
          </w:tcPr>
          <w:p w14:paraId="2210BD1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6 – 2.2. Modernizácia – 16842_centrálna BI –</w:t>
            </w:r>
            <w:r w:rsidRPr="00083739">
              <w:rPr>
                <w:rFonts w:ascii="Times New Roman" w:hAnsi="Times New Roman" w:cs="Times New Roman"/>
                <w:noProof/>
                <w:lang w:val="sk-SK"/>
              </w:rPr>
              <w:t xml:space="preserve"> Analýza údajov</w:t>
            </w:r>
          </w:p>
        </w:tc>
        <w:tc>
          <w:tcPr>
            <w:tcW w:w="1130" w:type="dxa"/>
            <w:tcBorders>
              <w:top w:val="single" w:sz="4" w:space="0" w:color="auto"/>
              <w:left w:val="nil"/>
              <w:bottom w:val="single" w:sz="4" w:space="0" w:color="auto"/>
              <w:right w:val="single" w:sz="4" w:space="0" w:color="auto"/>
            </w:tcBorders>
            <w:shd w:val="clear" w:color="auto" w:fill="C6EFCE"/>
            <w:noWrap/>
          </w:tcPr>
          <w:p w14:paraId="7733EF2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701" w:type="dxa"/>
            <w:tcBorders>
              <w:top w:val="single" w:sz="4" w:space="0" w:color="auto"/>
              <w:left w:val="nil"/>
              <w:bottom w:val="single" w:sz="4" w:space="0" w:color="auto"/>
              <w:right w:val="single" w:sz="4" w:space="0" w:color="auto"/>
            </w:tcBorders>
            <w:shd w:val="clear" w:color="auto" w:fill="C6EFCE"/>
            <w:noWrap/>
          </w:tcPr>
          <w:p w14:paraId="1E6AA16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centrálnej BI</w:t>
            </w:r>
          </w:p>
        </w:tc>
        <w:tc>
          <w:tcPr>
            <w:tcW w:w="1417" w:type="dxa"/>
            <w:tcBorders>
              <w:top w:val="single" w:sz="4" w:space="0" w:color="auto"/>
              <w:left w:val="nil"/>
              <w:bottom w:val="single" w:sz="4" w:space="0" w:color="auto"/>
              <w:right w:val="single" w:sz="4" w:space="0" w:color="auto"/>
            </w:tcBorders>
            <w:shd w:val="clear" w:color="auto" w:fill="C6EFCE"/>
            <w:noWrap/>
          </w:tcPr>
          <w:p w14:paraId="7BBEDE88" w14:textId="725093E4"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 Projektová správa ministerstva digitálnej správy,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ktorej sa uvádza, ako projekt centrálnej BI vytvoril centrálnu platformu pre podnikové spravodajstvo</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analýzu údajov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ako ju využíva verejná správa. </w:t>
            </w:r>
          </w:p>
        </w:tc>
        <w:tc>
          <w:tcPr>
            <w:tcW w:w="1134" w:type="dxa"/>
            <w:tcBorders>
              <w:top w:val="single" w:sz="4" w:space="0" w:color="auto"/>
              <w:left w:val="nil"/>
              <w:bottom w:val="single" w:sz="4" w:space="0" w:color="auto"/>
              <w:right w:val="single" w:sz="4" w:space="0" w:color="auto"/>
            </w:tcBorders>
            <w:shd w:val="clear" w:color="auto" w:fill="C6EFCE"/>
            <w:noWrap/>
          </w:tcPr>
          <w:p w14:paraId="646BF9BF"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134" w:type="dxa"/>
            <w:tcBorders>
              <w:top w:val="single" w:sz="4" w:space="0" w:color="auto"/>
              <w:left w:val="nil"/>
              <w:bottom w:val="single" w:sz="4" w:space="0" w:color="auto"/>
              <w:right w:val="single" w:sz="4" w:space="0" w:color="auto"/>
            </w:tcBorders>
            <w:shd w:val="clear" w:color="auto" w:fill="C6EFCE"/>
            <w:noWrap/>
          </w:tcPr>
          <w:p w14:paraId="1D58F56C"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3" w:type="dxa"/>
            <w:tcBorders>
              <w:top w:val="single" w:sz="4" w:space="0" w:color="auto"/>
              <w:left w:val="nil"/>
              <w:bottom w:val="single" w:sz="4" w:space="0" w:color="auto"/>
              <w:right w:val="single" w:sz="4" w:space="0" w:color="auto"/>
            </w:tcBorders>
            <w:shd w:val="clear" w:color="auto" w:fill="C6EFCE"/>
            <w:noWrap/>
          </w:tcPr>
          <w:p w14:paraId="78CBEC53"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0" w:type="dxa"/>
            <w:tcBorders>
              <w:top w:val="single" w:sz="4" w:space="0" w:color="auto"/>
              <w:left w:val="nil"/>
              <w:bottom w:val="single" w:sz="4" w:space="0" w:color="auto"/>
              <w:right w:val="single" w:sz="4" w:space="0" w:color="auto"/>
            </w:tcBorders>
            <w:shd w:val="clear" w:color="auto" w:fill="C6EFCE"/>
            <w:noWrap/>
          </w:tcPr>
          <w:p w14:paraId="42361FE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992" w:type="dxa"/>
            <w:tcBorders>
              <w:top w:val="single" w:sz="4" w:space="0" w:color="auto"/>
              <w:left w:val="nil"/>
              <w:bottom w:val="single" w:sz="4" w:space="0" w:color="auto"/>
              <w:right w:val="single" w:sz="4" w:space="0" w:color="auto"/>
            </w:tcBorders>
            <w:shd w:val="clear" w:color="auto" w:fill="C6EFCE"/>
            <w:noWrap/>
          </w:tcPr>
          <w:p w14:paraId="3173464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3398" w:type="dxa"/>
            <w:tcBorders>
              <w:top w:val="single" w:sz="4" w:space="0" w:color="auto"/>
              <w:left w:val="nil"/>
              <w:bottom w:val="single" w:sz="4" w:space="0" w:color="auto"/>
              <w:right w:val="single" w:sz="4" w:space="0" w:color="auto"/>
            </w:tcBorders>
            <w:shd w:val="clear" w:color="auto" w:fill="C6EFCE"/>
            <w:noWrap/>
          </w:tcPr>
          <w:p w14:paraId="2E5BC55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tohto projektu: Centrálna BI – Analýza údajov.</w:t>
            </w:r>
          </w:p>
          <w:p w14:paraId="11AE999D"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p w14:paraId="7247CAF0" w14:textId="63B98CF8"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Zavedenie jednotného „národného prehľadu“ podnikového spravodajského riešenia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hodnotenie jeho výkonnosti.</w:t>
            </w:r>
          </w:p>
          <w:p w14:paraId="47414E2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Projekt musí mať tieto výsledky:</w:t>
            </w:r>
          </w:p>
          <w:p w14:paraId="2F5FF67A" w14:textId="5CD14FAF"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zavedenie centrálnej obchodnej spra</w:t>
            </w:r>
            <w:r w:rsidRPr="00083739">
              <w:rPr>
                <w:rFonts w:ascii="Times New Roman" w:hAnsi="Times New Roman" w:cs="Times New Roman"/>
                <w:noProof/>
                <w:lang w:val="sk-SK"/>
              </w:rPr>
              <w:t>vodajskej platformy – dátovej analytickej platformy, ktorá agentúram verejnej správy umožňuje získavať, integrovať</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interpretovať údaje</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akéhokoľvek zdroja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používať ich na analýzu informácií, ktoré ovplyvňujú ich operácie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pracovné postupy,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na </w:t>
            </w:r>
            <w:r w:rsidRPr="00083739">
              <w:rPr>
                <w:rFonts w:ascii="Times New Roman" w:hAnsi="Times New Roman" w:cs="Times New Roman"/>
                <w:noProof/>
                <w:lang w:val="sk-SK"/>
              </w:rPr>
              <w:t>uľahčenie stratégie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rozhodovania.</w:t>
            </w:r>
          </w:p>
        </w:tc>
      </w:tr>
    </w:tbl>
    <w:p w14:paraId="25458608" w14:textId="77777777" w:rsidR="002D49B0" w:rsidRPr="00083739" w:rsidRDefault="002D49B0">
      <w:pPr>
        <w:spacing w:before="120" w:after="120" w:line="240" w:lineRule="auto"/>
        <w:ind w:left="709"/>
        <w:rPr>
          <w:rFonts w:ascii="Times New Roman" w:hAnsi="Times New Roman" w:cs="Times New Roman"/>
          <w:noProof/>
          <w:sz w:val="24"/>
          <w:lang w:val="sk-SK"/>
        </w:rPr>
        <w:sectPr w:rsidR="002D49B0" w:rsidRPr="00083739" w:rsidSect="00271D33">
          <w:headerReference w:type="even" r:id="rId115"/>
          <w:headerReference w:type="default" r:id="rId116"/>
          <w:footerReference w:type="even" r:id="rId117"/>
          <w:footerReference w:type="default" r:id="rId118"/>
          <w:headerReference w:type="first" r:id="rId119"/>
          <w:footerReference w:type="first" r:id="rId120"/>
          <w:pgSz w:w="16839" w:h="11907" w:orient="landscape"/>
          <w:pgMar w:top="720" w:right="720" w:bottom="720" w:left="720" w:header="709" w:footer="709" w:gutter="0"/>
          <w:cols w:space="720"/>
          <w:docGrid w:linePitch="360"/>
        </w:sectPr>
      </w:pPr>
    </w:p>
    <w:p w14:paraId="7733A430" w14:textId="77777777" w:rsidR="002D49B0" w:rsidRPr="00083739" w:rsidRDefault="00BF4125">
      <w:pPr>
        <w:pStyle w:val="P68B1DB1-Normal2"/>
        <w:spacing w:before="120" w:after="120" w:line="240" w:lineRule="auto"/>
        <w:ind w:firstLine="6"/>
        <w:jc w:val="both"/>
        <w:outlineLvl w:val="3"/>
        <w:rPr>
          <w:rFonts w:cs="Times New Roman"/>
          <w:bCs/>
          <w:noProof/>
          <w:lang w:val="sk-SK"/>
        </w:rPr>
      </w:pPr>
      <w:r w:rsidRPr="00083739">
        <w:rPr>
          <w:rFonts w:cs="Times New Roman"/>
          <w:noProof/>
          <w:lang w:val="sk-SK"/>
        </w:rPr>
        <w:t>G. KOMPONENT 2.3: DIGITALIZÁCIA PODNIKOV</w:t>
      </w:r>
    </w:p>
    <w:p w14:paraId="37F45763" w14:textId="77F9833A" w:rsidR="00083739"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 xml:space="preserve">Táto zložka </w:t>
      </w:r>
      <w:r w:rsidRPr="00083739">
        <w:rPr>
          <w:rFonts w:cs="Times New Roman"/>
          <w:noProof/>
          <w:color w:val="000000" w:themeColor="text1"/>
          <w:szCs w:val="24"/>
          <w:lang w:val="sk-SK"/>
        </w:rPr>
        <w:t>obnovy</w:t>
      </w:r>
      <w:r w:rsidR="00083739" w:rsidRPr="00083739">
        <w:rPr>
          <w:rFonts w:cs="Times New Roman"/>
          <w:noProof/>
          <w:color w:val="000000" w:themeColor="text1"/>
          <w:szCs w:val="24"/>
          <w:lang w:val="sk-SK"/>
        </w:rPr>
        <w:t xml:space="preserve"> a </w:t>
      </w:r>
      <w:r w:rsidRPr="00083739">
        <w:rPr>
          <w:rFonts w:cs="Times New Roman"/>
          <w:noProof/>
          <w:color w:val="000000" w:themeColor="text1"/>
          <w:szCs w:val="24"/>
          <w:lang w:val="sk-SK"/>
        </w:rPr>
        <w:t xml:space="preserve">odolnosti Grécka </w:t>
      </w:r>
      <w:r w:rsidRPr="00083739">
        <w:rPr>
          <w:rFonts w:cs="Times New Roman"/>
          <w:noProof/>
          <w:lang w:val="sk-SK"/>
        </w:rPr>
        <w:t>sa týka poskytovania kapitálu gréckym malým</w:t>
      </w:r>
      <w:r w:rsidR="00083739" w:rsidRPr="00083739">
        <w:rPr>
          <w:rFonts w:cs="Times New Roman"/>
          <w:noProof/>
          <w:lang w:val="sk-SK"/>
        </w:rPr>
        <w:t xml:space="preserve"> a </w:t>
      </w:r>
      <w:r w:rsidRPr="00083739">
        <w:rPr>
          <w:rFonts w:cs="Times New Roman"/>
          <w:noProof/>
          <w:lang w:val="sk-SK"/>
        </w:rPr>
        <w:t>stredným podnikom na financovanie</w:t>
      </w:r>
      <w:r w:rsidRPr="00083739">
        <w:rPr>
          <w:rFonts w:cs="Times New Roman"/>
          <w:noProof/>
          <w:lang w:val="sk-SK"/>
        </w:rPr>
        <w:t xml:space="preserve"> investícií do digitálnych technológií</w:t>
      </w:r>
      <w:r w:rsidR="00083739" w:rsidRPr="00083739">
        <w:rPr>
          <w:rFonts w:cs="Times New Roman"/>
          <w:noProof/>
          <w:lang w:val="sk-SK"/>
        </w:rPr>
        <w:t xml:space="preserve"> a </w:t>
      </w:r>
      <w:r w:rsidRPr="00083739">
        <w:rPr>
          <w:rFonts w:cs="Times New Roman"/>
          <w:noProof/>
          <w:lang w:val="sk-SK"/>
        </w:rPr>
        <w:t>nákupu súvisiacich služieb. Jeho cieľom je riešiť</w:t>
      </w:r>
      <w:r w:rsidR="00083739" w:rsidRPr="00083739">
        <w:rPr>
          <w:rFonts w:cs="Times New Roman"/>
          <w:noProof/>
          <w:lang w:val="sk-SK"/>
        </w:rPr>
        <w:t xml:space="preserve"> v </w:t>
      </w:r>
      <w:r w:rsidRPr="00083739">
        <w:rPr>
          <w:rFonts w:cs="Times New Roman"/>
          <w:noProof/>
          <w:lang w:val="sk-SK"/>
        </w:rPr>
        <w:t>súčasnosti nízku úroveň digitálnej vyspelosti medzi nimi,</w:t>
      </w:r>
      <w:r w:rsidR="00083739" w:rsidRPr="00083739">
        <w:rPr>
          <w:rFonts w:cs="Times New Roman"/>
          <w:noProof/>
          <w:lang w:val="sk-SK"/>
        </w:rPr>
        <w:t xml:space="preserve"> a </w:t>
      </w:r>
      <w:r w:rsidRPr="00083739">
        <w:rPr>
          <w:rFonts w:cs="Times New Roman"/>
          <w:noProof/>
          <w:lang w:val="sk-SK"/>
        </w:rPr>
        <w:t>to aj</w:t>
      </w:r>
      <w:r w:rsidR="00083739" w:rsidRPr="00083739">
        <w:rPr>
          <w:rFonts w:cs="Times New Roman"/>
          <w:noProof/>
          <w:lang w:val="sk-SK"/>
        </w:rPr>
        <w:t xml:space="preserve"> v </w:t>
      </w:r>
      <w:r w:rsidRPr="00083739">
        <w:rPr>
          <w:rFonts w:cs="Times New Roman"/>
          <w:noProof/>
          <w:lang w:val="sk-SK"/>
        </w:rPr>
        <w:t>dôsledku nízkych digitálnych zručností,</w:t>
      </w:r>
      <w:r w:rsidR="00083739" w:rsidRPr="00083739">
        <w:rPr>
          <w:rFonts w:cs="Times New Roman"/>
          <w:noProof/>
          <w:lang w:val="sk-SK"/>
        </w:rPr>
        <w:t xml:space="preserve"> a </w:t>
      </w:r>
      <w:r w:rsidRPr="00083739">
        <w:rPr>
          <w:rFonts w:cs="Times New Roman"/>
          <w:noProof/>
          <w:lang w:val="sk-SK"/>
        </w:rPr>
        <w:t>zároveň podporovať produktivitu</w:t>
      </w:r>
      <w:r w:rsidR="00083739" w:rsidRPr="00083739">
        <w:rPr>
          <w:rFonts w:cs="Times New Roman"/>
          <w:noProof/>
          <w:lang w:val="sk-SK"/>
        </w:rPr>
        <w:t xml:space="preserve"> a </w:t>
      </w:r>
      <w:r w:rsidRPr="00083739">
        <w:rPr>
          <w:rFonts w:cs="Times New Roman"/>
          <w:noProof/>
          <w:lang w:val="sk-SK"/>
        </w:rPr>
        <w:t xml:space="preserve">rozvoj inovačných </w:t>
      </w:r>
      <w:r w:rsidRPr="00083739">
        <w:rPr>
          <w:rFonts w:cs="Times New Roman"/>
          <w:noProof/>
          <w:lang w:val="sk-SK"/>
        </w:rPr>
        <w:t>podnikov. Zároveň sa očakáva, že pomôže takýmto podnikom prispôsobiť sa novým výzvam</w:t>
      </w:r>
      <w:r w:rsidR="00083739" w:rsidRPr="00083739">
        <w:rPr>
          <w:rFonts w:cs="Times New Roman"/>
          <w:noProof/>
          <w:lang w:val="sk-SK"/>
        </w:rPr>
        <w:t xml:space="preserve"> a </w:t>
      </w:r>
      <w:r w:rsidRPr="00083739">
        <w:rPr>
          <w:rFonts w:cs="Times New Roman"/>
          <w:noProof/>
          <w:lang w:val="sk-SK"/>
        </w:rPr>
        <w:t>využiť nové obchodné trendy. Komponent umožňuje najmä zriadenie jednotného digitálneho trhu, ku ktorému majú prístup tak dodávatelia týchto produktov, ako aj poskytovate</w:t>
      </w:r>
      <w:r w:rsidRPr="00083739">
        <w:rPr>
          <w:rFonts w:cs="Times New Roman"/>
          <w:noProof/>
          <w:lang w:val="sk-SK"/>
        </w:rPr>
        <w:t>lia týchto služieb. Podpora využívania elektronických platieb</w:t>
      </w:r>
      <w:r w:rsidR="00083739" w:rsidRPr="00083739">
        <w:rPr>
          <w:rFonts w:cs="Times New Roman"/>
          <w:noProof/>
          <w:lang w:val="sk-SK"/>
        </w:rPr>
        <w:t xml:space="preserve"> a </w:t>
      </w:r>
      <w:r w:rsidRPr="00083739">
        <w:rPr>
          <w:rFonts w:cs="Times New Roman"/>
          <w:noProof/>
          <w:lang w:val="sk-SK"/>
        </w:rPr>
        <w:t>predaja, modernizácia pokladničných pokladníc</w:t>
      </w:r>
      <w:r w:rsidR="00083739" w:rsidRPr="00083739">
        <w:rPr>
          <w:rFonts w:cs="Times New Roman"/>
          <w:noProof/>
          <w:lang w:val="sk-SK"/>
        </w:rPr>
        <w:t xml:space="preserve"> a </w:t>
      </w:r>
      <w:r w:rsidRPr="00083739">
        <w:rPr>
          <w:rFonts w:cs="Times New Roman"/>
          <w:noProof/>
          <w:lang w:val="sk-SK"/>
        </w:rPr>
        <w:t>ekosystému POS</w:t>
      </w:r>
      <w:r w:rsidR="00083739" w:rsidRPr="00083739">
        <w:rPr>
          <w:rFonts w:cs="Times New Roman"/>
          <w:noProof/>
          <w:lang w:val="sk-SK"/>
        </w:rPr>
        <w:t xml:space="preserve"> a </w:t>
      </w:r>
      <w:r w:rsidRPr="00083739">
        <w:rPr>
          <w:rFonts w:cs="Times New Roman"/>
          <w:noProof/>
          <w:szCs w:val="24"/>
          <w:lang w:val="sk-SK"/>
        </w:rPr>
        <w:t>vývoj</w:t>
      </w:r>
      <w:r w:rsidRPr="00083739">
        <w:rPr>
          <w:rFonts w:cs="Times New Roman"/>
          <w:noProof/>
          <w:lang w:val="sk-SK"/>
        </w:rPr>
        <w:t xml:space="preserve"> </w:t>
      </w:r>
      <w:r w:rsidRPr="00083739">
        <w:rPr>
          <w:rFonts w:cs="Times New Roman"/>
          <w:noProof/>
          <w:szCs w:val="24"/>
          <w:lang w:val="sk-SK"/>
        </w:rPr>
        <w:t>priemyselných dátových produktov sú kľúčovými cieľmi tejto zložky.</w:t>
      </w:r>
      <w:r w:rsidRPr="00083739">
        <w:rPr>
          <w:rFonts w:cs="Times New Roman"/>
          <w:noProof/>
          <w:lang w:val="sk-SK"/>
        </w:rPr>
        <w:t xml:space="preserve"> Okrem toho sa komponent zameriava aj na pomoc pri vytv</w:t>
      </w:r>
      <w:r w:rsidRPr="00083739">
        <w:rPr>
          <w:rFonts w:cs="Times New Roman"/>
          <w:noProof/>
          <w:lang w:val="sk-SK"/>
        </w:rPr>
        <w:t>áraní digitálneho podnikateľského ekosystému priaznivého pre digitálnu transformáciu malých</w:t>
      </w:r>
      <w:r w:rsidR="00083739" w:rsidRPr="00083739">
        <w:rPr>
          <w:rFonts w:cs="Times New Roman"/>
          <w:noProof/>
          <w:lang w:val="sk-SK"/>
        </w:rPr>
        <w:t xml:space="preserve"> a </w:t>
      </w:r>
      <w:r w:rsidRPr="00083739">
        <w:rPr>
          <w:rFonts w:cs="Times New Roman"/>
          <w:noProof/>
          <w:lang w:val="sk-SK"/>
        </w:rPr>
        <w:t>stredných podnikov. Plánuje sa aj centrálny podporný mechanizmus pre malé</w:t>
      </w:r>
      <w:r w:rsidR="00083739" w:rsidRPr="00083739">
        <w:rPr>
          <w:rFonts w:cs="Times New Roman"/>
          <w:noProof/>
          <w:lang w:val="sk-SK"/>
        </w:rPr>
        <w:t xml:space="preserve"> a </w:t>
      </w:r>
      <w:r w:rsidRPr="00083739">
        <w:rPr>
          <w:rFonts w:cs="Times New Roman"/>
          <w:noProof/>
          <w:lang w:val="sk-SK"/>
        </w:rPr>
        <w:t>stredné podniky, ktorý uľahčí poskytovanie programov odbornej prípravy</w:t>
      </w:r>
      <w:r w:rsidR="00083739" w:rsidRPr="00083739">
        <w:rPr>
          <w:rFonts w:cs="Times New Roman"/>
          <w:noProof/>
          <w:lang w:val="sk-SK"/>
        </w:rPr>
        <w:t xml:space="preserve"> a </w:t>
      </w:r>
      <w:r w:rsidRPr="00083739">
        <w:rPr>
          <w:rFonts w:cs="Times New Roman"/>
          <w:noProof/>
          <w:lang w:val="sk-SK"/>
        </w:rPr>
        <w:t>informovanost</w:t>
      </w:r>
      <w:r w:rsidRPr="00083739">
        <w:rPr>
          <w:rFonts w:cs="Times New Roman"/>
          <w:noProof/>
          <w:lang w:val="sk-SK"/>
        </w:rPr>
        <w:t>i, aby mohli čo najlepšie využívať nástroje</w:t>
      </w:r>
      <w:r w:rsidR="00083739" w:rsidRPr="00083739">
        <w:rPr>
          <w:rFonts w:cs="Times New Roman"/>
          <w:noProof/>
          <w:lang w:val="sk-SK"/>
        </w:rPr>
        <w:t xml:space="preserve"> a </w:t>
      </w:r>
      <w:r w:rsidRPr="00083739">
        <w:rPr>
          <w:rFonts w:cs="Times New Roman"/>
          <w:noProof/>
          <w:lang w:val="sk-SK"/>
        </w:rPr>
        <w:t>služby ponúkané prostredníctvom digitálneho trhu</w:t>
      </w:r>
      <w:r w:rsidR="00083739" w:rsidRPr="00083739">
        <w:rPr>
          <w:rFonts w:cs="Times New Roman"/>
          <w:noProof/>
          <w:lang w:val="sk-SK"/>
        </w:rPr>
        <w:t>.</w:t>
      </w:r>
    </w:p>
    <w:p w14:paraId="0507AED4" w14:textId="541FF027" w:rsidR="002D49B0" w:rsidRPr="00083739" w:rsidRDefault="00BF4125">
      <w:pPr>
        <w:pStyle w:val="P68B1DB1-Normal4"/>
        <w:spacing w:before="120" w:after="120" w:line="240" w:lineRule="auto"/>
        <w:jc w:val="both"/>
        <w:rPr>
          <w:rFonts w:cs="Times New Roman"/>
          <w:noProof/>
          <w:szCs w:val="24"/>
          <w:lang w:val="sk-SK"/>
        </w:rPr>
      </w:pPr>
      <w:r w:rsidRPr="00083739">
        <w:rPr>
          <w:rFonts w:cs="Times New Roman"/>
          <w:noProof/>
          <w:lang w:val="sk-SK"/>
        </w:rPr>
        <w:t>Očakáva sa, že opatrenia budú reagovať na digitálnu transformáciu</w:t>
      </w:r>
      <w:r w:rsidR="00083739" w:rsidRPr="00083739">
        <w:rPr>
          <w:rFonts w:cs="Times New Roman"/>
          <w:noProof/>
          <w:lang w:val="sk-SK"/>
        </w:rPr>
        <w:t xml:space="preserve"> a </w:t>
      </w:r>
      <w:r w:rsidRPr="00083739">
        <w:rPr>
          <w:rFonts w:cs="Times New Roman"/>
          <w:noProof/>
          <w:lang w:val="sk-SK"/>
        </w:rPr>
        <w:t>výzvy, ktoré</w:t>
      </w:r>
      <w:r w:rsidR="00083739" w:rsidRPr="00083739">
        <w:rPr>
          <w:rFonts w:cs="Times New Roman"/>
          <w:noProof/>
          <w:lang w:val="sk-SK"/>
        </w:rPr>
        <w:t xml:space="preserve"> z </w:t>
      </w:r>
      <w:r w:rsidRPr="00083739">
        <w:rPr>
          <w:rFonts w:cs="Times New Roman"/>
          <w:noProof/>
          <w:lang w:val="sk-SK"/>
        </w:rPr>
        <w:t>nej vyplývajú, keďže sa očakáva, že prispejú</w:t>
      </w:r>
      <w:r w:rsidR="00083739" w:rsidRPr="00083739">
        <w:rPr>
          <w:rFonts w:cs="Times New Roman"/>
          <w:noProof/>
          <w:lang w:val="sk-SK"/>
        </w:rPr>
        <w:t xml:space="preserve"> k </w:t>
      </w:r>
      <w:r w:rsidRPr="00083739">
        <w:rPr>
          <w:rFonts w:cs="Times New Roman"/>
          <w:noProof/>
          <w:lang w:val="sk-SK"/>
        </w:rPr>
        <w:t>zavádzaniu digitálnych technol</w:t>
      </w:r>
      <w:r w:rsidRPr="00083739">
        <w:rPr>
          <w:rFonts w:cs="Times New Roman"/>
          <w:noProof/>
          <w:lang w:val="sk-SK"/>
        </w:rPr>
        <w:t>ógií</w:t>
      </w:r>
      <w:r w:rsidR="00083739" w:rsidRPr="00083739">
        <w:rPr>
          <w:rFonts w:cs="Times New Roman"/>
          <w:noProof/>
          <w:lang w:val="sk-SK"/>
        </w:rPr>
        <w:t xml:space="preserve"> a </w:t>
      </w:r>
      <w:r w:rsidRPr="00083739">
        <w:rPr>
          <w:rFonts w:cs="Times New Roman"/>
          <w:noProof/>
          <w:lang w:val="sk-SK"/>
        </w:rPr>
        <w:t>zvyšovaniu úrovne digitálnych zručností malých</w:t>
      </w:r>
      <w:r w:rsidR="00083739" w:rsidRPr="00083739">
        <w:rPr>
          <w:rFonts w:cs="Times New Roman"/>
          <w:noProof/>
          <w:lang w:val="sk-SK"/>
        </w:rPr>
        <w:t xml:space="preserve"> a </w:t>
      </w:r>
      <w:r w:rsidRPr="00083739">
        <w:rPr>
          <w:rFonts w:cs="Times New Roman"/>
          <w:noProof/>
          <w:lang w:val="sk-SK"/>
        </w:rPr>
        <w:t>stredných podnikov</w:t>
      </w:r>
      <w:r w:rsidR="00083739" w:rsidRPr="00083739">
        <w:rPr>
          <w:rFonts w:cs="Times New Roman"/>
          <w:noProof/>
          <w:lang w:val="sk-SK"/>
        </w:rPr>
        <w:t xml:space="preserve"> v </w:t>
      </w:r>
      <w:r w:rsidRPr="00083739">
        <w:rPr>
          <w:rFonts w:cs="Times New Roman"/>
          <w:noProof/>
          <w:lang w:val="sk-SK"/>
        </w:rPr>
        <w:t>Grécku. Okrem toho sa očakáva, že opatrenia uľahčia inteligentný</w:t>
      </w:r>
      <w:r w:rsidR="00083739" w:rsidRPr="00083739">
        <w:rPr>
          <w:rFonts w:cs="Times New Roman"/>
          <w:noProof/>
          <w:lang w:val="sk-SK"/>
        </w:rPr>
        <w:t xml:space="preserve"> a </w:t>
      </w:r>
      <w:r w:rsidRPr="00083739">
        <w:rPr>
          <w:rFonts w:cs="Times New Roman"/>
          <w:noProof/>
          <w:lang w:val="sk-SK"/>
        </w:rPr>
        <w:t>udržateľný rast ďalšou stimuláciou súkromných investícií, čím pomôžu splniť odporúčanie pre jednotlivé krajiny t</w:t>
      </w:r>
      <w:r w:rsidRPr="00083739">
        <w:rPr>
          <w:rFonts w:cs="Times New Roman"/>
          <w:noProof/>
          <w:lang w:val="sk-SK"/>
        </w:rPr>
        <w:t>ýkajúce sa verejných</w:t>
      </w:r>
      <w:r w:rsidR="00083739" w:rsidRPr="00083739">
        <w:rPr>
          <w:rFonts w:cs="Times New Roman"/>
          <w:noProof/>
          <w:lang w:val="sk-SK"/>
        </w:rPr>
        <w:t xml:space="preserve"> a </w:t>
      </w:r>
      <w:r w:rsidRPr="00083739">
        <w:rPr>
          <w:rFonts w:cs="Times New Roman"/>
          <w:noProof/>
          <w:lang w:val="sk-SK"/>
        </w:rPr>
        <w:t>súkromných investícií (odporúčanie pre danú krajinu č. 3 2020). Očakáva sa, že žiadne opatrenie</w:t>
      </w:r>
      <w:r w:rsidR="00083739" w:rsidRPr="00083739">
        <w:rPr>
          <w:rFonts w:cs="Times New Roman"/>
          <w:noProof/>
          <w:lang w:val="sk-SK"/>
        </w:rPr>
        <w:t xml:space="preserve"> v </w:t>
      </w:r>
      <w:r w:rsidRPr="00083739">
        <w:rPr>
          <w:rFonts w:cs="Times New Roman"/>
          <w:noProof/>
          <w:lang w:val="sk-SK"/>
        </w:rPr>
        <w:t>tomto komponente výrazne nenaruší environmentálne ciele</w:t>
      </w:r>
      <w:r w:rsidR="00083739" w:rsidRPr="00083739">
        <w:rPr>
          <w:rFonts w:cs="Times New Roman"/>
          <w:noProof/>
          <w:lang w:val="sk-SK"/>
        </w:rPr>
        <w:t xml:space="preserve"> v </w:t>
      </w:r>
      <w:r w:rsidRPr="00083739">
        <w:rPr>
          <w:rFonts w:cs="Times New Roman"/>
          <w:noProof/>
          <w:lang w:val="sk-SK"/>
        </w:rPr>
        <w:t>zmysle článku 17 nariadenia (EÚ) 2020/852, pričom sa zohľadní opis opatrení</w:t>
      </w:r>
      <w:r w:rsidR="00083739" w:rsidRPr="00083739">
        <w:rPr>
          <w:rFonts w:cs="Times New Roman"/>
          <w:noProof/>
          <w:lang w:val="sk-SK"/>
        </w:rPr>
        <w:t xml:space="preserve"> a </w:t>
      </w:r>
      <w:r w:rsidRPr="00083739">
        <w:rPr>
          <w:rFonts w:cs="Times New Roman"/>
          <w:noProof/>
          <w:lang w:val="sk-SK"/>
        </w:rPr>
        <w:t>zmierňujúcich krokov stanovených</w:t>
      </w:r>
      <w:r w:rsidR="00083739" w:rsidRPr="00083739">
        <w:rPr>
          <w:rFonts w:cs="Times New Roman"/>
          <w:noProof/>
          <w:lang w:val="sk-SK"/>
        </w:rPr>
        <w:t xml:space="preserve"> v </w:t>
      </w:r>
      <w:r w:rsidRPr="00083739">
        <w:rPr>
          <w:rFonts w:cs="Times New Roman"/>
          <w:noProof/>
          <w:lang w:val="sk-SK"/>
        </w:rPr>
        <w:t>pláne podpory obnovy</w:t>
      </w:r>
      <w:r w:rsidR="00083739" w:rsidRPr="00083739">
        <w:rPr>
          <w:rFonts w:cs="Times New Roman"/>
          <w:noProof/>
          <w:lang w:val="sk-SK"/>
        </w:rPr>
        <w:t xml:space="preserve"> a </w:t>
      </w:r>
      <w:r w:rsidRPr="00083739">
        <w:rPr>
          <w:rFonts w:cs="Times New Roman"/>
          <w:noProof/>
          <w:lang w:val="sk-SK"/>
        </w:rPr>
        <w:t>odolnosti</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technickým usmernením „výrazne nenarušiť“ (2021/C58/01).</w:t>
      </w:r>
    </w:p>
    <w:p w14:paraId="12CAAC2C" w14:textId="6BAC142F" w:rsidR="002D49B0" w:rsidRPr="00083739" w:rsidRDefault="00BF4125">
      <w:pPr>
        <w:spacing w:before="120" w:after="120" w:line="240" w:lineRule="auto"/>
        <w:jc w:val="both"/>
        <w:rPr>
          <w:rFonts w:ascii="Times New Roman" w:hAnsi="Times New Roman" w:cs="Times New Roman"/>
          <w:b/>
          <w:i/>
          <w:noProof/>
          <w:color w:val="4F81BD"/>
          <w:sz w:val="24"/>
          <w:lang w:val="sk-SK"/>
        </w:rPr>
      </w:pPr>
      <w:r w:rsidRPr="00083739">
        <w:rPr>
          <w:rFonts w:ascii="Times New Roman" w:hAnsi="Times New Roman" w:cs="Times New Roman"/>
          <w:b/>
          <w:noProof/>
          <w:sz w:val="24"/>
          <w:u w:val="single"/>
          <w:lang w:val="sk-SK"/>
        </w:rPr>
        <w:t xml:space="preserve">G.1. </w:t>
      </w:r>
      <w:r w:rsidRPr="00083739">
        <w:rPr>
          <w:rFonts w:ascii="Times New Roman" w:hAnsi="Times New Roman" w:cs="Times New Roman"/>
          <w:noProof/>
          <w:lang w:val="sk-SK"/>
        </w:rPr>
        <w:t xml:space="preserve"> </w:t>
      </w:r>
      <w:r w:rsidRPr="00083739">
        <w:rPr>
          <w:rFonts w:ascii="Times New Roman" w:hAnsi="Times New Roman" w:cs="Times New Roman"/>
          <w:b/>
          <w:noProof/>
          <w:sz w:val="24"/>
          <w:u w:val="single"/>
          <w:lang w:val="sk-SK"/>
        </w:rPr>
        <w:t>Opis reforiem</w:t>
      </w:r>
      <w:r w:rsidR="00083739" w:rsidRPr="00083739">
        <w:rPr>
          <w:rFonts w:ascii="Times New Roman" w:hAnsi="Times New Roman" w:cs="Times New Roman"/>
          <w:b/>
          <w:noProof/>
          <w:sz w:val="24"/>
          <w:u w:val="single"/>
          <w:lang w:val="sk-SK"/>
        </w:rPr>
        <w:t xml:space="preserve"> a </w:t>
      </w:r>
      <w:r w:rsidRPr="00083739">
        <w:rPr>
          <w:rFonts w:ascii="Times New Roman" w:hAnsi="Times New Roman" w:cs="Times New Roman"/>
          <w:b/>
          <w:noProof/>
          <w:sz w:val="24"/>
          <w:u w:val="single"/>
          <w:lang w:val="sk-SK"/>
        </w:rPr>
        <w:t>investícií</w:t>
      </w:r>
      <w:r w:rsidR="00083739" w:rsidRPr="00083739">
        <w:rPr>
          <w:rFonts w:ascii="Times New Roman" w:hAnsi="Times New Roman" w:cs="Times New Roman"/>
          <w:b/>
          <w:noProof/>
          <w:sz w:val="24"/>
          <w:u w:val="single"/>
          <w:lang w:val="sk-SK"/>
        </w:rPr>
        <w:t xml:space="preserve"> v </w:t>
      </w:r>
      <w:r w:rsidRPr="00083739">
        <w:rPr>
          <w:rFonts w:ascii="Times New Roman" w:hAnsi="Times New Roman" w:cs="Times New Roman"/>
          <w:b/>
          <w:noProof/>
          <w:sz w:val="24"/>
          <w:u w:val="single"/>
          <w:lang w:val="sk-SK"/>
        </w:rPr>
        <w:t>rámci nenávratnej finančnej podpory</w:t>
      </w:r>
    </w:p>
    <w:p w14:paraId="043BCD75" w14:textId="1F551B1A"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Reforma:</w:t>
      </w:r>
      <w:r w:rsidRPr="00083739">
        <w:rPr>
          <w:rFonts w:cs="Times New Roman"/>
          <w:noProof/>
          <w:lang w:val="sk-SK"/>
        </w:rPr>
        <w:t xml:space="preserve"> Vytvorenie digitálneho podnikateľského ekosystému na uľahčenie digitálnej transformácie MSP (ID opatrenia 16973)</w:t>
      </w:r>
    </w:p>
    <w:p w14:paraId="46836F46" w14:textId="65C239BA"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szCs w:val="24"/>
          <w:lang w:val="sk-SK"/>
        </w:rPr>
        <w:t>Cieľom reformy je vytvoriť digitálny podnikateľský ekosystém, ktorý podporuje digitálnu transformáciu MSP. Konkrétne ide</w:t>
      </w:r>
      <w:r w:rsidR="00083739" w:rsidRPr="00083739">
        <w:rPr>
          <w:rFonts w:cs="Times New Roman"/>
          <w:noProof/>
          <w:szCs w:val="24"/>
          <w:lang w:val="sk-SK"/>
        </w:rPr>
        <w:t xml:space="preserve"> o </w:t>
      </w:r>
      <w:r w:rsidRPr="00083739">
        <w:rPr>
          <w:rFonts w:cs="Times New Roman"/>
          <w:noProof/>
          <w:szCs w:val="24"/>
          <w:lang w:val="sk-SK"/>
        </w:rPr>
        <w:t>zavedenie rámca pre</w:t>
      </w:r>
      <w:r w:rsidRPr="00083739">
        <w:rPr>
          <w:rFonts w:cs="Times New Roman"/>
          <w:noProof/>
          <w:szCs w:val="24"/>
          <w:lang w:val="sk-SK"/>
        </w:rPr>
        <w:t>: a) vytvorenie digitálneho trhu (eMarketplace) na poskytovanie</w:t>
      </w:r>
      <w:r w:rsidR="00083739" w:rsidRPr="00083739">
        <w:rPr>
          <w:rFonts w:cs="Times New Roman"/>
          <w:noProof/>
          <w:szCs w:val="24"/>
          <w:lang w:val="sk-SK"/>
        </w:rPr>
        <w:t xml:space="preserve"> a </w:t>
      </w:r>
      <w:r w:rsidRPr="00083739">
        <w:rPr>
          <w:rFonts w:cs="Times New Roman"/>
          <w:noProof/>
          <w:szCs w:val="24"/>
          <w:lang w:val="sk-SK"/>
        </w:rPr>
        <w:t>nákup digitálnych služieb</w:t>
      </w:r>
      <w:r w:rsidR="00083739" w:rsidRPr="00083739">
        <w:rPr>
          <w:rFonts w:cs="Times New Roman"/>
          <w:noProof/>
          <w:szCs w:val="24"/>
          <w:lang w:val="sk-SK"/>
        </w:rPr>
        <w:t xml:space="preserve"> a </w:t>
      </w:r>
      <w:r w:rsidRPr="00083739">
        <w:rPr>
          <w:rFonts w:cs="Times New Roman"/>
          <w:noProof/>
          <w:szCs w:val="24"/>
          <w:lang w:val="sk-SK"/>
        </w:rPr>
        <w:t>nástrojov na digitálnu transformáciu MSP</w:t>
      </w:r>
      <w:r w:rsidR="00083739" w:rsidRPr="00083739">
        <w:rPr>
          <w:rFonts w:cs="Times New Roman"/>
          <w:noProof/>
          <w:szCs w:val="24"/>
          <w:lang w:val="sk-SK"/>
        </w:rPr>
        <w:t xml:space="preserve"> a </w:t>
      </w:r>
      <w:r w:rsidRPr="00083739">
        <w:rPr>
          <w:rFonts w:cs="Times New Roman"/>
          <w:noProof/>
          <w:szCs w:val="24"/>
          <w:lang w:val="sk-SK"/>
        </w:rPr>
        <w:t>b) zriadenie továrne umelej inteligencie „Pharos“ na poskytovanie služieb, napríklad prístupu</w:t>
      </w:r>
      <w:r w:rsidR="00083739" w:rsidRPr="00083739">
        <w:rPr>
          <w:rFonts w:cs="Times New Roman"/>
          <w:noProof/>
          <w:szCs w:val="24"/>
          <w:lang w:val="sk-SK"/>
        </w:rPr>
        <w:t xml:space="preserve"> k </w:t>
      </w:r>
      <w:r w:rsidRPr="00083739">
        <w:rPr>
          <w:rFonts w:cs="Times New Roman"/>
          <w:noProof/>
          <w:szCs w:val="24"/>
          <w:lang w:val="sk-SK"/>
        </w:rPr>
        <w:t>údajom, výpočtovým zdro</w:t>
      </w:r>
      <w:r w:rsidRPr="00083739">
        <w:rPr>
          <w:rFonts w:cs="Times New Roman"/>
          <w:noProof/>
          <w:szCs w:val="24"/>
          <w:lang w:val="sk-SK"/>
        </w:rPr>
        <w:t>jom</w:t>
      </w:r>
      <w:r w:rsidR="00083739" w:rsidRPr="00083739">
        <w:rPr>
          <w:rFonts w:cs="Times New Roman"/>
          <w:noProof/>
          <w:szCs w:val="24"/>
          <w:lang w:val="sk-SK"/>
        </w:rPr>
        <w:t xml:space="preserve"> a </w:t>
      </w:r>
      <w:r w:rsidRPr="00083739">
        <w:rPr>
          <w:rFonts w:cs="Times New Roman"/>
          <w:noProof/>
          <w:szCs w:val="24"/>
          <w:lang w:val="sk-SK"/>
        </w:rPr>
        <w:t>odbornej príprave pre startupy</w:t>
      </w:r>
      <w:r w:rsidR="00083739" w:rsidRPr="00083739">
        <w:rPr>
          <w:rFonts w:cs="Times New Roman"/>
          <w:noProof/>
          <w:szCs w:val="24"/>
          <w:lang w:val="sk-SK"/>
        </w:rPr>
        <w:t xml:space="preserve"> a </w:t>
      </w:r>
      <w:r w:rsidRPr="00083739">
        <w:rPr>
          <w:rFonts w:cs="Times New Roman"/>
          <w:noProof/>
          <w:szCs w:val="24"/>
          <w:lang w:val="sk-SK"/>
        </w:rPr>
        <w:t xml:space="preserve">MSP. </w:t>
      </w:r>
      <w:r w:rsidRPr="00083739">
        <w:rPr>
          <w:rFonts w:cs="Times New Roman"/>
          <w:noProof/>
          <w:lang w:val="sk-SK"/>
        </w:rPr>
        <w:t>Implementácia reformy sa dokončí do 30</w:t>
      </w:r>
      <w:r w:rsidR="00083739" w:rsidRPr="00083739">
        <w:rPr>
          <w:rFonts w:cs="Times New Roman"/>
          <w:noProof/>
          <w:lang w:val="sk-SK"/>
        </w:rPr>
        <w:t>. júna</w:t>
      </w:r>
      <w:r w:rsidRPr="00083739">
        <w:rPr>
          <w:rFonts w:cs="Times New Roman"/>
          <w:noProof/>
          <w:lang w:val="sk-SK"/>
        </w:rPr>
        <w:t xml:space="preserve"> 2025.</w:t>
      </w:r>
    </w:p>
    <w:p w14:paraId="3B50BDAD" w14:textId="7777777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Digitálna transformácia MSP (ID opatrenia 16706)</w:t>
      </w:r>
    </w:p>
    <w:p w14:paraId="2389693F" w14:textId="329557E0" w:rsidR="002D49B0" w:rsidRPr="00083739" w:rsidRDefault="00BF4125">
      <w:pPr>
        <w:pStyle w:val="P68B1DB1-Normal5"/>
        <w:spacing w:before="120" w:after="120" w:line="240" w:lineRule="auto"/>
        <w:jc w:val="both"/>
        <w:rPr>
          <w:rFonts w:cs="Times New Roman"/>
          <w:noProof/>
          <w:lang w:val="sk-SK"/>
        </w:rPr>
      </w:pPr>
      <w:r w:rsidRPr="00083739">
        <w:rPr>
          <w:rFonts w:cs="Times New Roman"/>
          <w:noProof/>
          <w:lang w:val="sk-SK"/>
        </w:rPr>
        <w:t>Investícia sa týka vývoja</w:t>
      </w:r>
      <w:r w:rsidR="00083739" w:rsidRPr="00083739">
        <w:rPr>
          <w:rFonts w:cs="Times New Roman"/>
          <w:noProof/>
          <w:lang w:val="sk-SK"/>
        </w:rPr>
        <w:t xml:space="preserve"> a </w:t>
      </w:r>
      <w:r w:rsidRPr="00083739">
        <w:rPr>
          <w:rFonts w:cs="Times New Roman"/>
          <w:noProof/>
          <w:lang w:val="sk-SK"/>
        </w:rPr>
        <w:t>poskytovania vhodných digitálnych nástrojov (produktov</w:t>
      </w:r>
      <w:r w:rsidR="00083739" w:rsidRPr="00083739">
        <w:rPr>
          <w:rFonts w:cs="Times New Roman"/>
          <w:noProof/>
          <w:lang w:val="sk-SK"/>
        </w:rPr>
        <w:t xml:space="preserve"> a </w:t>
      </w:r>
      <w:r w:rsidRPr="00083739">
        <w:rPr>
          <w:rFonts w:cs="Times New Roman"/>
          <w:noProof/>
          <w:lang w:val="sk-SK"/>
        </w:rPr>
        <w:t>služieb) grécky</w:t>
      </w:r>
      <w:r w:rsidRPr="00083739">
        <w:rPr>
          <w:rFonts w:cs="Times New Roman"/>
          <w:noProof/>
          <w:lang w:val="sk-SK"/>
        </w:rPr>
        <w:t>m MSP</w:t>
      </w:r>
      <w:r w:rsidR="00083739" w:rsidRPr="00083739">
        <w:rPr>
          <w:rFonts w:cs="Times New Roman"/>
          <w:noProof/>
          <w:lang w:val="sk-SK"/>
        </w:rPr>
        <w:t xml:space="preserve"> v </w:t>
      </w:r>
      <w:r w:rsidRPr="00083739">
        <w:rPr>
          <w:rFonts w:cs="Times New Roman"/>
          <w:noProof/>
          <w:lang w:val="sk-SK"/>
        </w:rPr>
        <w:t>oblastiach a) elektronických platieb</w:t>
      </w:r>
      <w:r w:rsidR="00083739" w:rsidRPr="00083739">
        <w:rPr>
          <w:rFonts w:cs="Times New Roman"/>
          <w:noProof/>
          <w:lang w:val="sk-SK"/>
        </w:rPr>
        <w:t xml:space="preserve"> a </w:t>
      </w:r>
      <w:r w:rsidRPr="00083739">
        <w:rPr>
          <w:rFonts w:cs="Times New Roman"/>
          <w:noProof/>
          <w:lang w:val="sk-SK"/>
        </w:rPr>
        <w:t>predaja, b) platforiem priemyselných údajov</w:t>
      </w:r>
      <w:r w:rsidR="00083739" w:rsidRPr="00083739">
        <w:rPr>
          <w:rFonts w:cs="Times New Roman"/>
          <w:noProof/>
          <w:lang w:val="sk-SK"/>
        </w:rPr>
        <w:t xml:space="preserve"> a </w:t>
      </w:r>
      <w:r w:rsidRPr="00083739">
        <w:rPr>
          <w:rFonts w:cs="Times New Roman"/>
          <w:noProof/>
          <w:lang w:val="sk-SK"/>
        </w:rPr>
        <w:t>c) pokladničných registrov</w:t>
      </w:r>
      <w:r w:rsidR="00083739" w:rsidRPr="00083739">
        <w:rPr>
          <w:rFonts w:cs="Times New Roman"/>
          <w:noProof/>
          <w:lang w:val="sk-SK"/>
        </w:rPr>
        <w:t xml:space="preserve"> a </w:t>
      </w:r>
      <w:r w:rsidRPr="00083739">
        <w:rPr>
          <w:rFonts w:cs="Times New Roman"/>
          <w:noProof/>
          <w:lang w:val="sk-SK"/>
        </w:rPr>
        <w:t>modernizácie ekosystému POS. To sa dosiahne zriadením centrálneho podporného mechanizmu pre MSP, ktorý uľahčí poskytovanie programov o</w:t>
      </w:r>
      <w:r w:rsidRPr="00083739">
        <w:rPr>
          <w:rFonts w:cs="Times New Roman"/>
          <w:noProof/>
          <w:lang w:val="sk-SK"/>
        </w:rPr>
        <w:t>dbornej prípravy</w:t>
      </w:r>
      <w:r w:rsidR="00083739" w:rsidRPr="00083739">
        <w:rPr>
          <w:rFonts w:cs="Times New Roman"/>
          <w:noProof/>
          <w:lang w:val="sk-SK"/>
        </w:rPr>
        <w:t xml:space="preserve"> a </w:t>
      </w:r>
      <w:r w:rsidRPr="00083739">
        <w:rPr>
          <w:rFonts w:cs="Times New Roman"/>
          <w:noProof/>
          <w:lang w:val="sk-SK"/>
        </w:rPr>
        <w:t>informovanosti, aby mohli čo najlepšie využívať nástroje</w:t>
      </w:r>
      <w:r w:rsidR="00083739" w:rsidRPr="00083739">
        <w:rPr>
          <w:rFonts w:cs="Times New Roman"/>
          <w:noProof/>
          <w:lang w:val="sk-SK"/>
        </w:rPr>
        <w:t xml:space="preserve"> a </w:t>
      </w:r>
      <w:r w:rsidRPr="00083739">
        <w:rPr>
          <w:rFonts w:cs="Times New Roman"/>
          <w:noProof/>
          <w:lang w:val="sk-SK"/>
        </w:rPr>
        <w:t>služby ponúkané prostredníctvom digitálneho trhu, pričom sa</w:t>
      </w:r>
      <w:r w:rsidR="00083739" w:rsidRPr="00083739">
        <w:rPr>
          <w:rFonts w:cs="Times New Roman"/>
          <w:noProof/>
          <w:lang w:val="sk-SK"/>
        </w:rPr>
        <w:t xml:space="preserve"> v </w:t>
      </w:r>
      <w:r w:rsidRPr="00083739">
        <w:rPr>
          <w:rFonts w:cs="Times New Roman"/>
          <w:noProof/>
          <w:lang w:val="sk-SK"/>
        </w:rPr>
        <w:t>konečnom dôsledku zameria na podporu digitálnej transformácie gréckych MSP, ako aj na posilnenie transparentnosti</w:t>
      </w:r>
      <w:r w:rsidR="00083739" w:rsidRPr="00083739">
        <w:rPr>
          <w:rFonts w:cs="Times New Roman"/>
          <w:noProof/>
          <w:lang w:val="sk-SK"/>
        </w:rPr>
        <w:t xml:space="preserve"> a </w:t>
      </w:r>
      <w:r w:rsidRPr="00083739">
        <w:rPr>
          <w:rFonts w:cs="Times New Roman"/>
          <w:noProof/>
          <w:lang w:val="sk-SK"/>
        </w:rPr>
        <w:t>zdravej hospodárskej súťaže prostredníctvom systému Next-Gen POS</w:t>
      </w:r>
      <w:r w:rsidR="00083739" w:rsidRPr="00083739">
        <w:rPr>
          <w:rFonts w:cs="Times New Roman"/>
          <w:noProof/>
          <w:lang w:val="sk-SK"/>
        </w:rPr>
        <w:t xml:space="preserve"> a </w:t>
      </w:r>
      <w:r w:rsidRPr="00083739">
        <w:rPr>
          <w:rFonts w:cs="Times New Roman"/>
          <w:noProof/>
          <w:lang w:val="sk-SK"/>
        </w:rPr>
        <w:t>pokladničných registrov. Realizácia investície sa ukončí do 31</w:t>
      </w:r>
      <w:r w:rsidR="00083739" w:rsidRPr="00083739">
        <w:rPr>
          <w:rFonts w:cs="Times New Roman"/>
          <w:noProof/>
          <w:lang w:val="sk-SK"/>
        </w:rPr>
        <w:t>. decembra</w:t>
      </w:r>
      <w:r w:rsidRPr="00083739">
        <w:rPr>
          <w:rFonts w:cs="Times New Roman"/>
          <w:noProof/>
          <w:lang w:val="sk-SK"/>
        </w:rPr>
        <w:t xml:space="preserve"> 2025.</w:t>
      </w:r>
    </w:p>
    <w:p w14:paraId="69974FBB" w14:textId="5574CAE9" w:rsidR="002D49B0" w:rsidRPr="00083739" w:rsidRDefault="00BF4125">
      <w:pPr>
        <w:pStyle w:val="P68B1DB1-Normal5"/>
        <w:spacing w:before="120" w:after="120" w:line="240" w:lineRule="auto"/>
        <w:jc w:val="both"/>
        <w:rPr>
          <w:rFonts w:cs="Times New Roman"/>
          <w:iCs/>
          <w:noProof/>
          <w:highlight w:val="green"/>
          <w:lang w:val="sk-SK"/>
        </w:rPr>
      </w:pPr>
      <w:r w:rsidRPr="00083739">
        <w:rPr>
          <w:rFonts w:cs="Times New Roman"/>
          <w:noProof/>
          <w:lang w:val="sk-SK"/>
        </w:rPr>
        <w:t>S cieľom zabezpečiť, aby opatrenie bolo</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technickými usmerneniami „výrazne nenarušiť“ (2021/C58/01),</w:t>
      </w:r>
      <w:r w:rsidRPr="00083739">
        <w:rPr>
          <w:rFonts w:cs="Times New Roman"/>
          <w:noProof/>
          <w:lang w:val="sk-SK"/>
        </w:rPr>
        <w:t xml:space="preserve"> kritériá oprávnenosti uvedené</w:t>
      </w:r>
      <w:r w:rsidR="00083739" w:rsidRPr="00083739">
        <w:rPr>
          <w:rFonts w:cs="Times New Roman"/>
          <w:noProof/>
          <w:lang w:val="sk-SK"/>
        </w:rPr>
        <w:t xml:space="preserve"> v </w:t>
      </w:r>
      <w:r w:rsidRPr="00083739">
        <w:rPr>
          <w:rFonts w:cs="Times New Roman"/>
          <w:noProof/>
          <w:lang w:val="sk-SK"/>
        </w:rPr>
        <w:t>zadávacích podmienkach pre výzvy na predkladanie projektov nezahŕňajú tento zoznam činností:</w:t>
      </w:r>
      <w:r w:rsidRPr="00083739">
        <w:rPr>
          <w:rFonts w:cs="Times New Roman"/>
          <w:noProof/>
          <w:color w:val="FF0000"/>
          <w:lang w:val="sk-SK"/>
        </w:rPr>
        <w:t xml:space="preserve"> </w:t>
      </w:r>
      <w:r w:rsidRPr="00083739">
        <w:rPr>
          <w:rFonts w:cs="Times New Roman"/>
          <w:noProof/>
          <w:lang w:val="sk-SK"/>
        </w:rPr>
        <w:t>I) činnosti súvisiace</w:t>
      </w:r>
      <w:r w:rsidR="00083739" w:rsidRPr="00083739">
        <w:rPr>
          <w:rFonts w:cs="Times New Roman"/>
          <w:noProof/>
          <w:lang w:val="sk-SK"/>
        </w:rPr>
        <w:t xml:space="preserve"> s </w:t>
      </w:r>
      <w:r w:rsidRPr="00083739">
        <w:rPr>
          <w:rFonts w:cs="Times New Roman"/>
          <w:noProof/>
          <w:lang w:val="sk-SK"/>
        </w:rPr>
        <w:t>fosílnymi palivami vrátane následného použitia</w:t>
      </w:r>
      <w:r w:rsidRPr="00083739">
        <w:rPr>
          <w:rFonts w:cs="Times New Roman"/>
          <w:noProof/>
          <w:lang w:val="sk-SK"/>
        </w:rPr>
        <w:footnoteReference w:id="11"/>
      </w:r>
      <w:r w:rsidRPr="00083739">
        <w:rPr>
          <w:rFonts w:cs="Times New Roman"/>
          <w:noProof/>
          <w:lang w:val="sk-SK"/>
        </w:rPr>
        <w:t>; II) činností</w:t>
      </w:r>
      <w:r w:rsidR="00083739" w:rsidRPr="00083739">
        <w:rPr>
          <w:rFonts w:cs="Times New Roman"/>
          <w:noProof/>
          <w:lang w:val="sk-SK"/>
        </w:rPr>
        <w:t xml:space="preserve"> v </w:t>
      </w:r>
      <w:r w:rsidRPr="00083739">
        <w:rPr>
          <w:rFonts w:cs="Times New Roman"/>
          <w:noProof/>
          <w:lang w:val="sk-SK"/>
        </w:rPr>
        <w:t>rámci systému EÚ na obchodovanie</w:t>
      </w:r>
      <w:r w:rsidR="00083739" w:rsidRPr="00083739">
        <w:rPr>
          <w:rFonts w:cs="Times New Roman"/>
          <w:noProof/>
          <w:lang w:val="sk-SK"/>
        </w:rPr>
        <w:t xml:space="preserve"> s </w:t>
      </w:r>
      <w:r w:rsidRPr="00083739">
        <w:rPr>
          <w:rFonts w:cs="Times New Roman"/>
          <w:noProof/>
          <w:lang w:val="sk-SK"/>
        </w:rPr>
        <w:t>emisiam</w:t>
      </w:r>
      <w:r w:rsidRPr="00083739">
        <w:rPr>
          <w:rFonts w:cs="Times New Roman"/>
          <w:noProof/>
          <w:lang w:val="sk-SK"/>
        </w:rPr>
        <w:t>i (ETS), ktorými sa dosahujú predpokladané emisie skleníkových plynov, ktoré nie sú nižšie ako príslušné referenčné hodnoty</w:t>
      </w:r>
      <w:r w:rsidRPr="00083739">
        <w:rPr>
          <w:rFonts w:cs="Times New Roman"/>
          <w:noProof/>
          <w:lang w:val="sk-SK"/>
        </w:rPr>
        <w:footnoteReference w:id="12"/>
      </w:r>
      <w:r w:rsidRPr="00083739">
        <w:rPr>
          <w:rFonts w:cs="Times New Roman"/>
          <w:noProof/>
          <w:lang w:val="sk-SK"/>
        </w:rPr>
        <w:t>; III) činnosti súvisiace so skládkami odpadov, spaľovňami</w:t>
      </w:r>
      <w:r w:rsidRPr="00083739">
        <w:rPr>
          <w:rFonts w:cs="Times New Roman"/>
          <w:noProof/>
          <w:lang w:val="sk-SK"/>
        </w:rPr>
        <w:footnoteReference w:id="13"/>
      </w:r>
      <w:r w:rsidR="00083739" w:rsidRPr="00083739">
        <w:rPr>
          <w:rFonts w:cs="Times New Roman"/>
          <w:noProof/>
          <w:lang w:val="sk-SK"/>
        </w:rPr>
        <w:t xml:space="preserve"> a </w:t>
      </w:r>
      <w:r w:rsidRPr="00083739">
        <w:rPr>
          <w:rFonts w:cs="Times New Roman"/>
          <w:noProof/>
          <w:lang w:val="sk-SK"/>
        </w:rPr>
        <w:t>mechanickými biologickými čistiarňami</w:t>
      </w:r>
      <w:r w:rsidRPr="00083739">
        <w:rPr>
          <w:rFonts w:cs="Times New Roman"/>
          <w:noProof/>
          <w:lang w:val="sk-SK"/>
        </w:rPr>
        <w:footnoteReference w:id="14"/>
      </w:r>
      <w:r w:rsidRPr="00083739">
        <w:rPr>
          <w:rFonts w:cs="Times New Roman"/>
          <w:noProof/>
          <w:lang w:val="sk-SK"/>
        </w:rPr>
        <w:t>;</w:t>
      </w:r>
      <w:r w:rsidR="00083739" w:rsidRPr="00083739">
        <w:rPr>
          <w:rFonts w:cs="Times New Roman"/>
          <w:noProof/>
          <w:lang w:val="sk-SK"/>
        </w:rPr>
        <w:t xml:space="preserve"> a </w:t>
      </w:r>
      <w:r w:rsidRPr="00083739">
        <w:rPr>
          <w:rFonts w:cs="Times New Roman"/>
          <w:noProof/>
          <w:lang w:val="sk-SK"/>
        </w:rPr>
        <w:t>iv) činnosti, pri ktorých dl</w:t>
      </w:r>
      <w:r w:rsidRPr="00083739">
        <w:rPr>
          <w:rFonts w:cs="Times New Roman"/>
          <w:noProof/>
          <w:lang w:val="sk-SK"/>
        </w:rPr>
        <w:t>hodobé zneškodňovanie odpadu môže poškodiť životné prostredie.</w:t>
      </w:r>
      <w:r w:rsidR="00083739" w:rsidRPr="00083739">
        <w:rPr>
          <w:rFonts w:cs="Times New Roman"/>
          <w:noProof/>
          <w:lang w:val="sk-SK"/>
        </w:rPr>
        <w:t xml:space="preserve"> V </w:t>
      </w:r>
      <w:r w:rsidRPr="00083739">
        <w:rPr>
          <w:rFonts w:cs="Times New Roman"/>
          <w:noProof/>
          <w:lang w:val="sk-SK"/>
        </w:rPr>
        <w:t>zadávacích podmienkach sa okrem toho vyžaduje, aby sa mohli vybrať len tie činnosti, ktoré sú</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príslušnými právnymi predpismi EÚ</w:t>
      </w:r>
      <w:r w:rsidR="00083739" w:rsidRPr="00083739">
        <w:rPr>
          <w:rFonts w:cs="Times New Roman"/>
          <w:noProof/>
          <w:lang w:val="sk-SK"/>
        </w:rPr>
        <w:t xml:space="preserve"> a </w:t>
      </w:r>
      <w:r w:rsidRPr="00083739">
        <w:rPr>
          <w:rFonts w:cs="Times New Roman"/>
          <w:noProof/>
          <w:lang w:val="sk-SK"/>
        </w:rPr>
        <w:t>vnútroštátnymi právnymi predpismi</w:t>
      </w:r>
      <w:r w:rsidR="00083739" w:rsidRPr="00083739">
        <w:rPr>
          <w:rFonts w:cs="Times New Roman"/>
          <w:noProof/>
          <w:lang w:val="sk-SK"/>
        </w:rPr>
        <w:t xml:space="preserve"> v </w:t>
      </w:r>
      <w:r w:rsidRPr="00083739">
        <w:rPr>
          <w:rFonts w:cs="Times New Roman"/>
          <w:noProof/>
          <w:lang w:val="sk-SK"/>
        </w:rPr>
        <w:t>oblasti životn</w:t>
      </w:r>
      <w:r w:rsidRPr="00083739">
        <w:rPr>
          <w:rFonts w:cs="Times New Roman"/>
          <w:noProof/>
          <w:lang w:val="sk-SK"/>
        </w:rPr>
        <w:t>ého prostredia.</w:t>
      </w:r>
    </w:p>
    <w:p w14:paraId="4BE2F709" w14:textId="186C3F0E" w:rsidR="00083739"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Kritériá výberu/oprávnenosti sa zameriavajú aj na tieto technológie</w:t>
      </w:r>
      <w:r w:rsidR="00083739" w:rsidRPr="00083739">
        <w:rPr>
          <w:rFonts w:cs="Times New Roman"/>
          <w:noProof/>
          <w:lang w:val="sk-SK"/>
        </w:rPr>
        <w:t xml:space="preserve"> a </w:t>
      </w:r>
      <w:r w:rsidRPr="00083739">
        <w:rPr>
          <w:rFonts w:cs="Times New Roman"/>
          <w:noProof/>
          <w:lang w:val="sk-SK"/>
        </w:rPr>
        <w:t>služby, konkrétne elektronické platby, elektronické predaje</w:t>
      </w:r>
      <w:r w:rsidR="00083739" w:rsidRPr="00083739">
        <w:rPr>
          <w:rFonts w:cs="Times New Roman"/>
          <w:noProof/>
          <w:lang w:val="sk-SK"/>
        </w:rPr>
        <w:t xml:space="preserve"> a </w:t>
      </w:r>
      <w:r w:rsidRPr="00083739">
        <w:rPr>
          <w:rFonts w:cs="Times New Roman"/>
          <w:noProof/>
          <w:lang w:val="sk-SK"/>
        </w:rPr>
        <w:t>aplikácie elektronickej fakturácie, nástroje digitálnej reklamy, systémy práce na diaľku, podnikovú analýzu,</w:t>
      </w:r>
      <w:r w:rsidRPr="00083739">
        <w:rPr>
          <w:rFonts w:cs="Times New Roman"/>
          <w:noProof/>
          <w:lang w:val="sk-SK"/>
        </w:rPr>
        <w:t xml:space="preserve"> zvyšovanie úrovne zručností</w:t>
      </w:r>
      <w:r w:rsidR="00083739" w:rsidRPr="00083739">
        <w:rPr>
          <w:rFonts w:cs="Times New Roman"/>
          <w:noProof/>
          <w:lang w:val="sk-SK"/>
        </w:rPr>
        <w:t xml:space="preserve"> v </w:t>
      </w:r>
      <w:r w:rsidRPr="00083739">
        <w:rPr>
          <w:rFonts w:cs="Times New Roman"/>
          <w:noProof/>
          <w:lang w:val="sk-SK"/>
        </w:rPr>
        <w:t>digitálnej oblasti, záložné služby</w:t>
      </w:r>
      <w:r w:rsidR="00083739" w:rsidRPr="00083739">
        <w:rPr>
          <w:rFonts w:cs="Times New Roman"/>
          <w:noProof/>
          <w:lang w:val="sk-SK"/>
        </w:rPr>
        <w:t xml:space="preserve"> a </w:t>
      </w:r>
      <w:r w:rsidRPr="00083739">
        <w:rPr>
          <w:rFonts w:cs="Times New Roman"/>
          <w:noProof/>
          <w:lang w:val="sk-SK"/>
        </w:rPr>
        <w:t>služby obnovy po havárii, umelú inteligenciu, internet vecí, poskytovanie integrovaných riešení pre bezkontaktné služby, systémy kybernetickej bezpečnosti, cloudové infraštruktúry</w:t>
      </w:r>
      <w:r w:rsidR="00083739" w:rsidRPr="00083739">
        <w:rPr>
          <w:rFonts w:cs="Times New Roman"/>
          <w:noProof/>
          <w:lang w:val="sk-SK"/>
        </w:rPr>
        <w:t xml:space="preserve"> a </w:t>
      </w:r>
      <w:r w:rsidRPr="00083739">
        <w:rPr>
          <w:rFonts w:cs="Times New Roman"/>
          <w:noProof/>
          <w:lang w:val="sk-SK"/>
        </w:rPr>
        <w:t>služby</w:t>
      </w:r>
      <w:r w:rsidRPr="00083739">
        <w:rPr>
          <w:rFonts w:cs="Times New Roman"/>
          <w:noProof/>
          <w:lang w:val="sk-SK"/>
        </w:rPr>
        <w:t>, vzory</w:t>
      </w:r>
      <w:r w:rsidR="00083739" w:rsidRPr="00083739">
        <w:rPr>
          <w:rFonts w:cs="Times New Roman"/>
          <w:noProof/>
          <w:lang w:val="sk-SK"/>
        </w:rPr>
        <w:t xml:space="preserve"> a </w:t>
      </w:r>
      <w:r w:rsidRPr="00083739">
        <w:rPr>
          <w:rFonts w:cs="Times New Roman"/>
          <w:noProof/>
          <w:lang w:val="sk-SK"/>
        </w:rPr>
        <w:t>softvér priemyselných dátových platforiem, pokladničné registre</w:t>
      </w:r>
      <w:r w:rsidR="00083739" w:rsidRPr="00083739">
        <w:rPr>
          <w:rFonts w:cs="Times New Roman"/>
          <w:noProof/>
          <w:lang w:val="sk-SK"/>
        </w:rPr>
        <w:t xml:space="preserve"> a </w:t>
      </w:r>
      <w:r w:rsidRPr="00083739">
        <w:rPr>
          <w:rFonts w:cs="Times New Roman"/>
          <w:noProof/>
          <w:lang w:val="sk-SK"/>
        </w:rPr>
        <w:t>modernizáciu ekosystému POS</w:t>
      </w:r>
      <w:r w:rsidR="00083739" w:rsidRPr="00083739">
        <w:rPr>
          <w:rFonts w:cs="Times New Roman"/>
          <w:noProof/>
          <w:lang w:val="sk-SK"/>
        </w:rPr>
        <w:t>.</w:t>
      </w:r>
    </w:p>
    <w:p w14:paraId="05022FF1" w14:textId="33C9482F" w:rsidR="002D49B0" w:rsidRPr="00083739" w:rsidRDefault="002D49B0">
      <w:pPr>
        <w:spacing w:before="120" w:after="120" w:line="240" w:lineRule="auto"/>
        <w:ind w:left="709"/>
        <w:jc w:val="both"/>
        <w:rPr>
          <w:rFonts w:ascii="Times New Roman" w:hAnsi="Times New Roman" w:cs="Times New Roman"/>
          <w:noProof/>
          <w:sz w:val="24"/>
          <w:lang w:val="sk-SK"/>
        </w:rPr>
      </w:pPr>
    </w:p>
    <w:p w14:paraId="72FD1456" w14:textId="77777777" w:rsidR="002D49B0" w:rsidRPr="00083739" w:rsidRDefault="002D49B0">
      <w:pPr>
        <w:spacing w:before="120" w:after="120" w:line="240" w:lineRule="auto"/>
        <w:ind w:left="709"/>
        <w:jc w:val="both"/>
        <w:rPr>
          <w:rFonts w:ascii="Times New Roman" w:hAnsi="Times New Roman" w:cs="Times New Roman"/>
          <w:noProof/>
          <w:sz w:val="24"/>
          <w:lang w:val="sk-SK"/>
        </w:rPr>
        <w:sectPr w:rsidR="002D49B0" w:rsidRPr="00083739" w:rsidSect="00271D33">
          <w:headerReference w:type="even" r:id="rId121"/>
          <w:headerReference w:type="default" r:id="rId122"/>
          <w:footerReference w:type="even" r:id="rId123"/>
          <w:footerReference w:type="default" r:id="rId124"/>
          <w:headerReference w:type="first" r:id="rId125"/>
          <w:footerReference w:type="first" r:id="rId126"/>
          <w:pgSz w:w="11907" w:h="16839"/>
          <w:pgMar w:top="1134" w:right="1418" w:bottom="1134" w:left="1418" w:header="709" w:footer="326" w:gutter="0"/>
          <w:cols w:space="720"/>
          <w:docGrid w:linePitch="360"/>
        </w:sectPr>
      </w:pPr>
    </w:p>
    <w:p w14:paraId="720210F7" w14:textId="0B4BF47C" w:rsidR="002D49B0" w:rsidRPr="00083739" w:rsidRDefault="00BF4125">
      <w:pPr>
        <w:spacing w:before="120" w:after="120" w:line="240" w:lineRule="auto"/>
        <w:ind w:left="709"/>
        <w:jc w:val="both"/>
        <w:rPr>
          <w:rFonts w:ascii="Times New Roman" w:hAnsi="Times New Roman" w:cs="Times New Roman"/>
          <w:b/>
          <w:bCs/>
          <w:noProof/>
          <w:sz w:val="24"/>
          <w:u w:val="single"/>
          <w:lang w:val="sk-SK"/>
        </w:rPr>
      </w:pPr>
      <w:r w:rsidRPr="00083739">
        <w:rPr>
          <w:rFonts w:ascii="Times New Roman" w:hAnsi="Times New Roman" w:cs="Times New Roman"/>
          <w:b/>
          <w:noProof/>
          <w:sz w:val="24"/>
          <w:u w:val="single"/>
          <w:lang w:val="sk-SK"/>
        </w:rPr>
        <w:t xml:space="preserve">G.2. </w:t>
      </w:r>
      <w:r w:rsidRPr="00083739">
        <w:rPr>
          <w:rFonts w:ascii="Times New Roman" w:hAnsi="Times New Roman" w:cs="Times New Roman"/>
          <w:noProof/>
          <w:lang w:val="sk-SK"/>
        </w:rPr>
        <w:t xml:space="preserve"> </w:t>
      </w:r>
      <w:r w:rsidRPr="00083739">
        <w:rPr>
          <w:rFonts w:ascii="Times New Roman" w:hAnsi="Times New Roman" w:cs="Times New Roman"/>
          <w:b/>
          <w:noProof/>
          <w:sz w:val="24"/>
          <w:u w:val="single"/>
          <w:lang w:val="sk-SK"/>
        </w:rPr>
        <w:t>Míľniky, ciele, ukazovatele</w:t>
      </w:r>
      <w:r w:rsidR="00083739" w:rsidRPr="00083739">
        <w:rPr>
          <w:rFonts w:ascii="Times New Roman" w:hAnsi="Times New Roman" w:cs="Times New Roman"/>
          <w:b/>
          <w:noProof/>
          <w:sz w:val="24"/>
          <w:u w:val="single"/>
          <w:lang w:val="sk-SK"/>
        </w:rPr>
        <w:t xml:space="preserve"> a </w:t>
      </w:r>
      <w:r w:rsidRPr="00083739">
        <w:rPr>
          <w:rFonts w:ascii="Times New Roman" w:hAnsi="Times New Roman" w:cs="Times New Roman"/>
          <w:b/>
          <w:noProof/>
          <w:sz w:val="24"/>
          <w:u w:val="single"/>
          <w:lang w:val="sk-SK"/>
        </w:rPr>
        <w:t>harmonogram monitorovania</w:t>
      </w:r>
      <w:r w:rsidR="00083739" w:rsidRPr="00083739">
        <w:rPr>
          <w:rFonts w:ascii="Times New Roman" w:hAnsi="Times New Roman" w:cs="Times New Roman"/>
          <w:b/>
          <w:noProof/>
          <w:sz w:val="24"/>
          <w:u w:val="single"/>
          <w:lang w:val="sk-SK"/>
        </w:rPr>
        <w:t xml:space="preserve"> a </w:t>
      </w:r>
      <w:r w:rsidRPr="00083739">
        <w:rPr>
          <w:rFonts w:ascii="Times New Roman" w:hAnsi="Times New Roman" w:cs="Times New Roman"/>
          <w:b/>
          <w:noProof/>
          <w:sz w:val="24"/>
          <w:u w:val="single"/>
          <w:lang w:val="sk-SK"/>
        </w:rPr>
        <w:t xml:space="preserve">realizácie pre nenávratnú </w:t>
      </w:r>
      <w:r w:rsidRPr="00083739">
        <w:rPr>
          <w:rFonts w:ascii="Times New Roman" w:hAnsi="Times New Roman" w:cs="Times New Roman"/>
          <w:b/>
          <w:noProof/>
          <w:sz w:val="24"/>
          <w:u w:val="single"/>
          <w:lang w:val="sk-SK"/>
        </w:rPr>
        <w:t>finančnú podporu</w:t>
      </w:r>
    </w:p>
    <w:p w14:paraId="5451B8F5" w14:textId="77777777" w:rsidR="002D49B0" w:rsidRPr="00083739" w:rsidRDefault="002D49B0">
      <w:pPr>
        <w:keepNext/>
        <w:keepLines/>
        <w:spacing w:before="40" w:after="0" w:line="240" w:lineRule="auto"/>
        <w:jc w:val="both"/>
        <w:outlineLvl w:val="4"/>
        <w:rPr>
          <w:rFonts w:ascii="Times New Roman" w:eastAsia="Times New Roman" w:hAnsi="Times New Roman" w:cs="Times New Roman"/>
          <w:noProof/>
          <w:color w:val="365F91"/>
          <w:sz w:val="24"/>
          <w:lang w:val="sk-SK"/>
        </w:rPr>
      </w:pPr>
    </w:p>
    <w:p w14:paraId="5E317820" w14:textId="77777777" w:rsidR="002D49B0" w:rsidRPr="00083739" w:rsidRDefault="00BF4125">
      <w:pPr>
        <w:pStyle w:val="P68B1DB1-Normal6"/>
        <w:keepNext/>
        <w:keepLines/>
        <w:spacing w:before="40" w:after="0" w:line="240" w:lineRule="auto"/>
        <w:jc w:val="both"/>
        <w:outlineLvl w:val="4"/>
        <w:rPr>
          <w:rFonts w:ascii="Times New Roman" w:hAnsi="Times New Roman" w:cs="Times New Roman"/>
          <w:noProof/>
          <w:lang w:val="sk-SK"/>
        </w:rPr>
      </w:pPr>
      <w:r w:rsidRPr="00083739">
        <w:rPr>
          <w:rFonts w:ascii="Times New Roman" w:hAnsi="Times New Roman" w:cs="Times New Roman"/>
          <w:noProof/>
          <w:lang w:val="sk-SK"/>
        </w:rPr>
        <w:t>Najvyššia investícia 4: Digitálna transformácia MSP</w:t>
      </w:r>
    </w:p>
    <w:p w14:paraId="2ADA5DC2" w14:textId="77777777" w:rsidR="002D49B0" w:rsidRPr="00083739" w:rsidRDefault="002D49B0">
      <w:pPr>
        <w:keepNext/>
        <w:keepLines/>
        <w:spacing w:before="40" w:after="0" w:line="240" w:lineRule="auto"/>
        <w:jc w:val="both"/>
        <w:outlineLvl w:val="4"/>
        <w:rPr>
          <w:rFonts w:ascii="Times New Roman" w:eastAsia="Times New Roman" w:hAnsi="Times New Roman" w:cs="Times New Roman"/>
          <w:noProof/>
          <w:color w:val="365F91"/>
          <w:sz w:val="24"/>
          <w:lang w:val="sk-SK"/>
        </w:rPr>
      </w:pPr>
    </w:p>
    <w:tbl>
      <w:tblPr>
        <w:tblW w:w="14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7"/>
        <w:gridCol w:w="1797"/>
        <w:gridCol w:w="1115"/>
        <w:gridCol w:w="1324"/>
        <w:gridCol w:w="1506"/>
        <w:gridCol w:w="950"/>
        <w:gridCol w:w="958"/>
        <w:gridCol w:w="691"/>
        <w:gridCol w:w="1167"/>
        <w:gridCol w:w="750"/>
        <w:gridCol w:w="3622"/>
      </w:tblGrid>
      <w:tr w:rsidR="002D49B0" w:rsidRPr="00083739" w14:paraId="199E5AF6" w14:textId="77777777">
        <w:trPr>
          <w:trHeight w:val="695"/>
          <w:tblHeader/>
          <w:jc w:val="center"/>
        </w:trPr>
        <w:tc>
          <w:tcPr>
            <w:tcW w:w="1237" w:type="dxa"/>
            <w:vMerge w:val="restart"/>
            <w:shd w:val="clear" w:color="auto" w:fill="BDD7EE"/>
            <w:vAlign w:val="center"/>
            <w:hideMark/>
          </w:tcPr>
          <w:p w14:paraId="164BB82A"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Poradové číslo</w:t>
            </w:r>
          </w:p>
        </w:tc>
        <w:tc>
          <w:tcPr>
            <w:tcW w:w="1774" w:type="dxa"/>
            <w:vMerge w:val="restart"/>
            <w:shd w:val="clear" w:color="auto" w:fill="BDD7EE"/>
            <w:vAlign w:val="center"/>
            <w:hideMark/>
          </w:tcPr>
          <w:p w14:paraId="71E4F12E"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Súvisiace opatrenie (reforma alebo investícia)</w:t>
            </w:r>
          </w:p>
        </w:tc>
        <w:tc>
          <w:tcPr>
            <w:tcW w:w="982" w:type="dxa"/>
            <w:vMerge w:val="restart"/>
            <w:shd w:val="clear" w:color="auto" w:fill="BDD7EE"/>
            <w:vAlign w:val="center"/>
            <w:hideMark/>
          </w:tcPr>
          <w:p w14:paraId="77056E50"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Míľnik/cieľ</w:t>
            </w:r>
          </w:p>
        </w:tc>
        <w:tc>
          <w:tcPr>
            <w:tcW w:w="1308" w:type="dxa"/>
            <w:vMerge w:val="restart"/>
            <w:shd w:val="clear" w:color="auto" w:fill="BDD7EE"/>
            <w:vAlign w:val="center"/>
            <w:hideMark/>
          </w:tcPr>
          <w:p w14:paraId="2665F5F7"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Názov</w:t>
            </w:r>
          </w:p>
        </w:tc>
        <w:tc>
          <w:tcPr>
            <w:tcW w:w="1376" w:type="dxa"/>
            <w:vMerge w:val="restart"/>
            <w:shd w:val="clear" w:color="auto" w:fill="BDD7EE"/>
            <w:vAlign w:val="center"/>
            <w:hideMark/>
          </w:tcPr>
          <w:p w14:paraId="3099C4CC"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Kvalitatívne ukazovatele (pre míľniky)</w:t>
            </w:r>
          </w:p>
        </w:tc>
        <w:tc>
          <w:tcPr>
            <w:tcW w:w="2599" w:type="dxa"/>
            <w:gridSpan w:val="3"/>
            <w:shd w:val="clear" w:color="auto" w:fill="BDD7EE"/>
            <w:vAlign w:val="center"/>
            <w:hideMark/>
          </w:tcPr>
          <w:p w14:paraId="161F8534"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Kvantitatívne ukazovatele (pre ciele)</w:t>
            </w:r>
          </w:p>
        </w:tc>
        <w:tc>
          <w:tcPr>
            <w:tcW w:w="1776" w:type="dxa"/>
            <w:gridSpan w:val="2"/>
            <w:shd w:val="clear" w:color="auto" w:fill="BDD7EE"/>
            <w:vAlign w:val="center"/>
            <w:hideMark/>
          </w:tcPr>
          <w:p w14:paraId="5245CD1E"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Orientačný harmonogram dokončenia </w:t>
            </w:r>
          </w:p>
        </w:tc>
        <w:tc>
          <w:tcPr>
            <w:tcW w:w="3622" w:type="dxa"/>
            <w:vMerge w:val="restart"/>
            <w:shd w:val="clear" w:color="auto" w:fill="BDD7EE"/>
            <w:vAlign w:val="center"/>
            <w:hideMark/>
          </w:tcPr>
          <w:p w14:paraId="5ADADEB3" w14:textId="1905CD10"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Opis každého míľnika</w:t>
            </w:r>
            <w:r w:rsidR="00083739" w:rsidRPr="00083739">
              <w:rPr>
                <w:rFonts w:cs="Times New Roman"/>
                <w:noProof/>
                <w:lang w:val="sk-SK"/>
              </w:rPr>
              <w:t xml:space="preserve"> a </w:t>
            </w:r>
            <w:r w:rsidRPr="00083739">
              <w:rPr>
                <w:rFonts w:cs="Times New Roman"/>
                <w:noProof/>
                <w:lang w:val="sk-SK"/>
              </w:rPr>
              <w:t>cieľa</w:t>
            </w:r>
          </w:p>
        </w:tc>
      </w:tr>
      <w:tr w:rsidR="002D49B0" w:rsidRPr="00083739" w14:paraId="7B6B1175" w14:textId="77777777">
        <w:trPr>
          <w:trHeight w:val="465"/>
          <w:tblHeader/>
          <w:jc w:val="center"/>
        </w:trPr>
        <w:tc>
          <w:tcPr>
            <w:tcW w:w="1237" w:type="dxa"/>
            <w:vMerge/>
            <w:vAlign w:val="center"/>
            <w:hideMark/>
          </w:tcPr>
          <w:p w14:paraId="6B14525A"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774" w:type="dxa"/>
            <w:vMerge/>
            <w:vAlign w:val="center"/>
            <w:hideMark/>
          </w:tcPr>
          <w:p w14:paraId="05A82F60"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982" w:type="dxa"/>
            <w:vMerge/>
            <w:vAlign w:val="center"/>
            <w:hideMark/>
          </w:tcPr>
          <w:p w14:paraId="202E1FE9"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308" w:type="dxa"/>
            <w:vMerge/>
            <w:vAlign w:val="center"/>
            <w:hideMark/>
          </w:tcPr>
          <w:p w14:paraId="248B03AA"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376" w:type="dxa"/>
            <w:vMerge/>
            <w:vAlign w:val="center"/>
            <w:hideMark/>
          </w:tcPr>
          <w:p w14:paraId="04185851"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950" w:type="dxa"/>
            <w:shd w:val="clear" w:color="auto" w:fill="BDD7EE"/>
            <w:vAlign w:val="center"/>
            <w:hideMark/>
          </w:tcPr>
          <w:p w14:paraId="3500E0CF"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Merná jednotka</w:t>
            </w:r>
          </w:p>
        </w:tc>
        <w:tc>
          <w:tcPr>
            <w:tcW w:w="958" w:type="dxa"/>
            <w:shd w:val="clear" w:color="auto" w:fill="BDD7EE"/>
            <w:vAlign w:val="center"/>
            <w:hideMark/>
          </w:tcPr>
          <w:p w14:paraId="7DBD46AD"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Základná </w:t>
            </w:r>
          </w:p>
        </w:tc>
        <w:tc>
          <w:tcPr>
            <w:tcW w:w="691" w:type="dxa"/>
            <w:shd w:val="clear" w:color="auto" w:fill="BDD7EE"/>
            <w:vAlign w:val="center"/>
            <w:hideMark/>
          </w:tcPr>
          <w:p w14:paraId="614D671D"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Cieľ </w:t>
            </w:r>
          </w:p>
        </w:tc>
        <w:tc>
          <w:tcPr>
            <w:tcW w:w="1026" w:type="dxa"/>
            <w:shd w:val="clear" w:color="auto" w:fill="BDD7EE"/>
            <w:vAlign w:val="center"/>
            <w:hideMark/>
          </w:tcPr>
          <w:p w14:paraId="71799E92"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Štvrtina</w:t>
            </w:r>
          </w:p>
        </w:tc>
        <w:tc>
          <w:tcPr>
            <w:tcW w:w="750" w:type="dxa"/>
            <w:shd w:val="clear" w:color="auto" w:fill="BDD7EE"/>
            <w:vAlign w:val="center"/>
            <w:hideMark/>
          </w:tcPr>
          <w:p w14:paraId="61C53B7A"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Rok</w:t>
            </w:r>
          </w:p>
        </w:tc>
        <w:tc>
          <w:tcPr>
            <w:tcW w:w="3622" w:type="dxa"/>
            <w:vMerge/>
            <w:vAlign w:val="center"/>
            <w:hideMark/>
          </w:tcPr>
          <w:p w14:paraId="66879BA6"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r>
      <w:tr w:rsidR="002D49B0" w:rsidRPr="00083739" w14:paraId="6437378B" w14:textId="77777777">
        <w:trPr>
          <w:trHeight w:val="309"/>
          <w:jc w:val="center"/>
        </w:trPr>
        <w:tc>
          <w:tcPr>
            <w:tcW w:w="1237" w:type="dxa"/>
            <w:shd w:val="clear" w:color="auto" w:fill="C6EFCE"/>
            <w:noWrap/>
          </w:tcPr>
          <w:p w14:paraId="5589B3C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130</w:t>
            </w:r>
          </w:p>
        </w:tc>
        <w:tc>
          <w:tcPr>
            <w:tcW w:w="1774" w:type="dxa"/>
            <w:shd w:val="clear" w:color="auto" w:fill="C6EFCE"/>
            <w:noWrap/>
          </w:tcPr>
          <w:p w14:paraId="1EC1F5D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7 – 2.3. Digitalizácia podnikov – 16706_Digitálna transformácia MSP</w:t>
            </w:r>
          </w:p>
        </w:tc>
        <w:tc>
          <w:tcPr>
            <w:tcW w:w="982" w:type="dxa"/>
            <w:shd w:val="clear" w:color="auto" w:fill="C6EFCE"/>
            <w:noWrap/>
          </w:tcPr>
          <w:p w14:paraId="1201F7B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08" w:type="dxa"/>
            <w:shd w:val="clear" w:color="auto" w:fill="C6EFCE"/>
            <w:noWrap/>
          </w:tcPr>
          <w:p w14:paraId="708874C0" w14:textId="29D54939"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Digitálna transformácia MSP – výzvy na predkladanie návrhov</w:t>
            </w:r>
          </w:p>
        </w:tc>
        <w:tc>
          <w:tcPr>
            <w:tcW w:w="1376" w:type="dxa"/>
            <w:shd w:val="clear" w:color="auto" w:fill="C6EFCE"/>
            <w:noWrap/>
          </w:tcPr>
          <w:p w14:paraId="3DF3EB1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Uverejnená výzva na predkladanie návrhov</w:t>
            </w:r>
          </w:p>
        </w:tc>
        <w:tc>
          <w:tcPr>
            <w:tcW w:w="950" w:type="dxa"/>
            <w:shd w:val="clear" w:color="auto" w:fill="C6EFCE"/>
            <w:noWrap/>
          </w:tcPr>
          <w:p w14:paraId="518E2586"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58" w:type="dxa"/>
            <w:shd w:val="clear" w:color="auto" w:fill="C6EFCE"/>
            <w:noWrap/>
          </w:tcPr>
          <w:p w14:paraId="5542558D"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691" w:type="dxa"/>
            <w:shd w:val="clear" w:color="auto" w:fill="C6EFCE"/>
            <w:noWrap/>
          </w:tcPr>
          <w:p w14:paraId="6CD8F430"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26" w:type="dxa"/>
            <w:shd w:val="clear" w:color="auto" w:fill="C6EFCE"/>
            <w:noWrap/>
          </w:tcPr>
          <w:p w14:paraId="5A1CB9D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PRVÝ ŠTVRŤROK</w:t>
            </w:r>
          </w:p>
        </w:tc>
        <w:tc>
          <w:tcPr>
            <w:tcW w:w="750" w:type="dxa"/>
            <w:shd w:val="clear" w:color="auto" w:fill="C6EFCE"/>
            <w:noWrap/>
          </w:tcPr>
          <w:p w14:paraId="1B12563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2022</w:t>
            </w:r>
          </w:p>
        </w:tc>
        <w:tc>
          <w:tcPr>
            <w:tcW w:w="3622" w:type="dxa"/>
            <w:shd w:val="clear" w:color="auto" w:fill="C6EFCE"/>
            <w:noWrap/>
          </w:tcPr>
          <w:p w14:paraId="61AE57FD" w14:textId="4D1FFFF7"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Vyhlásenie všetkých súťažných výziev na predkladanie návrhov na financovanie systému poukazov na digitálnu transformáciu podnikov (podprojekty 1), platformy priemyselných údajov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dátové priest</w:t>
            </w:r>
            <w:r w:rsidRPr="00083739">
              <w:rPr>
                <w:rFonts w:ascii="Times New Roman" w:hAnsi="Times New Roman" w:cs="Times New Roman"/>
                <w:noProof/>
                <w:lang w:val="sk-SK"/>
              </w:rPr>
              <w:t>ory (podprojekty 2)</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pokladničných registrov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modernizácie ekosystémov POS (podprojekty 4)</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referenčnými podmienkami vrátane kritérií oprávnenosti, ktorými sa zabezpečí, aby vybrané projekty boli</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súlade</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 xml:space="preserve">technickými usmerneniami Do No No Significant </w:t>
            </w:r>
            <w:r w:rsidRPr="00083739">
              <w:rPr>
                <w:rFonts w:ascii="Times New Roman" w:hAnsi="Times New Roman" w:cs="Times New Roman"/>
                <w:noProof/>
                <w:lang w:val="sk-SK"/>
              </w:rPr>
              <w:t>Harm Technical Guidance (2021/C58/01) prostredníctvom použitia zoznamu vylúčených subjektov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požiadavky súladu</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príslušnými právnymi predpismi EÚ</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vnútroštátnymi právnymi predpismi</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životného prostredia</w:t>
            </w:r>
            <w:r w:rsidR="00083739" w:rsidRPr="00083739">
              <w:rPr>
                <w:rFonts w:ascii="Times New Roman" w:hAnsi="Times New Roman" w:cs="Times New Roman"/>
                <w:noProof/>
                <w:lang w:val="sk-SK"/>
              </w:rPr>
              <w:t>.</w:t>
            </w:r>
          </w:p>
          <w:p w14:paraId="1E394C94" w14:textId="0D85D0F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p w14:paraId="173B97B2" w14:textId="1F83745B"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Investície sú zamerané na technológie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služby na podporu digitalizácie malých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stredných podnikov, konkrétne aplikácie elektronických platieb, elektronického predaja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elektronickej fakturácie, nástroje digitálnej reklamy, systémy práce na diaľku, podniková analýza, digitálne zvyšovanie úrovn</w:t>
            </w:r>
            <w:r w:rsidRPr="00083739">
              <w:rPr>
                <w:rFonts w:ascii="Times New Roman" w:hAnsi="Times New Roman" w:cs="Times New Roman"/>
                <w:noProof/>
                <w:lang w:val="sk-SK"/>
              </w:rPr>
              <w:t>e zručností, záložné služby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služby obnovy po havárii, umelá inteligencia, internet vecí, poskytovanie integrovaných riešení pre bezkontaktné služby, systémy kybernetickej bezpečnosti, cloudové infraštruktúry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služby, vzory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softvér priemyselných dátový</w:t>
            </w:r>
            <w:r w:rsidRPr="00083739">
              <w:rPr>
                <w:rFonts w:ascii="Times New Roman" w:hAnsi="Times New Roman" w:cs="Times New Roman"/>
                <w:noProof/>
                <w:lang w:val="sk-SK"/>
              </w:rPr>
              <w:t>ch platforiem, pokladničné registre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modernizácia ekosystému POS. </w:t>
            </w:r>
          </w:p>
        </w:tc>
      </w:tr>
      <w:tr w:rsidR="002D49B0" w:rsidRPr="00083739" w14:paraId="2E4DB77D" w14:textId="77777777">
        <w:trPr>
          <w:trHeight w:val="309"/>
          <w:jc w:val="center"/>
        </w:trPr>
        <w:tc>
          <w:tcPr>
            <w:tcW w:w="1237" w:type="dxa"/>
            <w:shd w:val="clear" w:color="auto" w:fill="C6EFCE"/>
            <w:noWrap/>
          </w:tcPr>
          <w:p w14:paraId="355AABF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131</w:t>
            </w:r>
          </w:p>
        </w:tc>
        <w:tc>
          <w:tcPr>
            <w:tcW w:w="1774" w:type="dxa"/>
            <w:shd w:val="clear" w:color="auto" w:fill="C6EFCE"/>
            <w:noWrap/>
          </w:tcPr>
          <w:p w14:paraId="7283B56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7 – 2.3. Digitalizácia podnikov – 16706_Digitálna transformácia MSP</w:t>
            </w:r>
          </w:p>
        </w:tc>
        <w:tc>
          <w:tcPr>
            <w:tcW w:w="982" w:type="dxa"/>
            <w:shd w:val="clear" w:color="auto" w:fill="C6EFCE"/>
            <w:noWrap/>
          </w:tcPr>
          <w:p w14:paraId="41D2799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08" w:type="dxa"/>
            <w:shd w:val="clear" w:color="auto" w:fill="C6EFCE"/>
            <w:noWrap/>
          </w:tcPr>
          <w:p w14:paraId="428EB160" w14:textId="367E26D8"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Digitálna transformácia MSP – Dodávanie výrobkov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služieb</w:t>
            </w:r>
          </w:p>
        </w:tc>
        <w:tc>
          <w:tcPr>
            <w:tcW w:w="1376" w:type="dxa"/>
            <w:shd w:val="clear" w:color="auto" w:fill="C6EFCE"/>
            <w:noWrap/>
          </w:tcPr>
          <w:p w14:paraId="773799D2" w14:textId="739151A8" w:rsidR="002D49B0" w:rsidRPr="00083739" w:rsidRDefault="00BF4125">
            <w:pPr>
              <w:pStyle w:val="P68B1DB1-Normal24"/>
              <w:spacing w:after="0" w:line="240" w:lineRule="auto"/>
              <w:rPr>
                <w:rFonts w:ascii="Times New Roman" w:eastAsia="Times New Roman" w:hAnsi="Times New Roman" w:cs="Times New Roman"/>
                <w:noProof/>
                <w:color w:val="006100"/>
                <w:lang w:val="sk-SK"/>
              </w:rPr>
            </w:pPr>
            <w:r w:rsidRPr="00083739">
              <w:rPr>
                <w:rFonts w:ascii="Times New Roman" w:hAnsi="Times New Roman" w:cs="Times New Roman"/>
                <w:noProof/>
                <w:color w:val="006100"/>
                <w:lang w:val="sk-SK"/>
              </w:rPr>
              <w:t>Správa ministerstva digitálnej správy,</w:t>
            </w:r>
            <w:r w:rsidR="00083739" w:rsidRPr="00083739">
              <w:rPr>
                <w:rFonts w:ascii="Times New Roman" w:hAnsi="Times New Roman" w:cs="Times New Roman"/>
                <w:noProof/>
                <w:color w:val="006100"/>
                <w:lang w:val="sk-SK"/>
              </w:rPr>
              <w:t xml:space="preserve"> v </w:t>
            </w:r>
            <w:r w:rsidRPr="00083739">
              <w:rPr>
                <w:rFonts w:ascii="Times New Roman" w:hAnsi="Times New Roman" w:cs="Times New Roman"/>
                <w:noProof/>
                <w:color w:val="006100"/>
                <w:lang w:val="sk-SK"/>
              </w:rPr>
              <w:t xml:space="preserve">ktorej sa potvrdzuje úplné splnenie týchto cieľov: 100000 MSP podporených digitalizačným poukazom (podprojekt 1), 210000 nových, </w:t>
            </w:r>
            <w:r w:rsidRPr="00083739">
              <w:rPr>
                <w:rFonts w:ascii="Times New Roman" w:eastAsiaTheme="minorEastAsia" w:hAnsi="Times New Roman" w:cs="Times New Roman"/>
                <w:noProof/>
                <w:color w:val="006100"/>
                <w:lang w:val="sk-SK"/>
              </w:rPr>
              <w:t>modernizovaných alebo nahradených registračných pokladníc</w:t>
            </w:r>
            <w:r w:rsidR="00083739" w:rsidRPr="00083739">
              <w:rPr>
                <w:rFonts w:ascii="Times New Roman" w:eastAsiaTheme="minorEastAsia" w:hAnsi="Times New Roman" w:cs="Times New Roman"/>
                <w:noProof/>
                <w:color w:val="006100"/>
                <w:lang w:val="sk-SK"/>
              </w:rPr>
              <w:t xml:space="preserve"> a </w:t>
            </w:r>
            <w:r w:rsidRPr="00083739">
              <w:rPr>
                <w:rFonts w:ascii="Times New Roman" w:eastAsiaTheme="minorEastAsia" w:hAnsi="Times New Roman" w:cs="Times New Roman"/>
                <w:noProof/>
                <w:color w:val="006100"/>
                <w:lang w:val="sk-SK"/>
              </w:rPr>
              <w:t>100000</w:t>
            </w:r>
            <w:r w:rsidRPr="00083739">
              <w:rPr>
                <w:rFonts w:ascii="Times New Roman" w:hAnsi="Times New Roman" w:cs="Times New Roman"/>
                <w:noProof/>
                <w:color w:val="006100"/>
                <w:lang w:val="sk-SK"/>
              </w:rPr>
              <w:t xml:space="preserve"> nových, modernizovaných</w:t>
            </w:r>
            <w:r w:rsidRPr="00083739">
              <w:rPr>
                <w:rFonts w:ascii="Times New Roman" w:eastAsiaTheme="minorEastAsia" w:hAnsi="Times New Roman" w:cs="Times New Roman"/>
                <w:noProof/>
                <w:color w:val="006100"/>
                <w:lang w:val="sk-SK"/>
              </w:rPr>
              <w:t xml:space="preserve"> alebo nahradených systémov POS (podp</w:t>
            </w:r>
            <w:r w:rsidRPr="00083739">
              <w:rPr>
                <w:rFonts w:ascii="Times New Roman" w:eastAsiaTheme="minorEastAsia" w:hAnsi="Times New Roman" w:cs="Times New Roman"/>
                <w:noProof/>
                <w:color w:val="006100"/>
                <w:lang w:val="sk-SK"/>
              </w:rPr>
              <w:t xml:space="preserve">rojekt 4 </w:t>
            </w:r>
            <w:r w:rsidRPr="00083739">
              <w:rPr>
                <w:rFonts w:ascii="Times New Roman" w:hAnsi="Times New Roman" w:cs="Times New Roman"/>
                <w:noProof/>
                <w:color w:val="006100"/>
                <w:lang w:val="sk-SK"/>
              </w:rPr>
              <w:t>)</w:t>
            </w:r>
          </w:p>
        </w:tc>
        <w:tc>
          <w:tcPr>
            <w:tcW w:w="950" w:type="dxa"/>
            <w:shd w:val="clear" w:color="auto" w:fill="C6EFCE"/>
            <w:noWrap/>
          </w:tcPr>
          <w:p w14:paraId="2B150759"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58" w:type="dxa"/>
            <w:shd w:val="clear" w:color="auto" w:fill="C6EFCE"/>
            <w:noWrap/>
          </w:tcPr>
          <w:p w14:paraId="60C7B720"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691" w:type="dxa"/>
            <w:shd w:val="clear" w:color="auto" w:fill="C6EFCE"/>
            <w:noWrap/>
          </w:tcPr>
          <w:p w14:paraId="68C91FA3"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26" w:type="dxa"/>
            <w:shd w:val="clear" w:color="auto" w:fill="C6EFCE"/>
            <w:noWrap/>
          </w:tcPr>
          <w:p w14:paraId="06CFA85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750" w:type="dxa"/>
            <w:shd w:val="clear" w:color="auto" w:fill="C6EFCE"/>
            <w:noWrap/>
          </w:tcPr>
          <w:p w14:paraId="6779588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3622" w:type="dxa"/>
            <w:shd w:val="clear" w:color="auto" w:fill="C6EFCE"/>
            <w:noWrap/>
          </w:tcPr>
          <w:p w14:paraId="4E715955" w14:textId="4FBA7EAA" w:rsidR="00083739" w:rsidRPr="00083739" w:rsidRDefault="00BF4125">
            <w:pPr>
              <w:pStyle w:val="P68B1DB1-Normal24"/>
              <w:spacing w:after="0" w:line="240" w:lineRule="auto"/>
              <w:rPr>
                <w:rFonts w:ascii="Times New Roman" w:hAnsi="Times New Roman" w:cs="Times New Roman"/>
                <w:noProof/>
                <w:color w:val="006100"/>
                <w:lang w:val="sk-SK"/>
              </w:rPr>
            </w:pPr>
            <w:r w:rsidRPr="00083739">
              <w:rPr>
                <w:rFonts w:ascii="Times New Roman" w:hAnsi="Times New Roman" w:cs="Times New Roman"/>
                <w:noProof/>
                <w:color w:val="006100"/>
                <w:lang w:val="sk-SK"/>
              </w:rPr>
              <w:t>Výber príjemcov</w:t>
            </w:r>
            <w:r w:rsidR="00083739" w:rsidRPr="00083739">
              <w:rPr>
                <w:rFonts w:ascii="Times New Roman" w:hAnsi="Times New Roman" w:cs="Times New Roman"/>
                <w:noProof/>
                <w:color w:val="006100"/>
                <w:lang w:val="sk-SK"/>
              </w:rPr>
              <w:t xml:space="preserve"> a </w:t>
            </w:r>
            <w:r w:rsidRPr="00083739">
              <w:rPr>
                <w:rFonts w:ascii="Times New Roman" w:hAnsi="Times New Roman" w:cs="Times New Roman"/>
                <w:noProof/>
                <w:color w:val="006100"/>
                <w:lang w:val="sk-SK"/>
              </w:rPr>
              <w:t>dodanie vybavenia</w:t>
            </w:r>
            <w:r w:rsidR="00083739" w:rsidRPr="00083739">
              <w:rPr>
                <w:rFonts w:ascii="Times New Roman" w:hAnsi="Times New Roman" w:cs="Times New Roman"/>
                <w:noProof/>
                <w:color w:val="006100"/>
                <w:lang w:val="sk-SK"/>
              </w:rPr>
              <w:t xml:space="preserve"> a </w:t>
            </w:r>
            <w:r w:rsidRPr="00083739">
              <w:rPr>
                <w:rFonts w:ascii="Times New Roman" w:hAnsi="Times New Roman" w:cs="Times New Roman"/>
                <w:noProof/>
                <w:color w:val="006100"/>
                <w:lang w:val="sk-SK"/>
              </w:rPr>
              <w:t>služieb MSP</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color w:val="006100"/>
                <w:lang w:val="sk-SK"/>
              </w:rPr>
              <w:t>rámci súťažných výziev na predkladanie návrhov sa dosiahne najmä</w:t>
            </w:r>
            <w:r w:rsidR="00083739" w:rsidRPr="00083739">
              <w:rPr>
                <w:rFonts w:ascii="Times New Roman" w:hAnsi="Times New Roman" w:cs="Times New Roman"/>
                <w:noProof/>
                <w:color w:val="006100"/>
                <w:lang w:val="sk-SK"/>
              </w:rPr>
              <w:t>:</w:t>
            </w:r>
          </w:p>
          <w:p w14:paraId="420E6FCB" w14:textId="757503C9"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rámci podprojektu 1: 100000 MSP získalo podporu na digitalizáciu financovanú zo systému poukážok;</w:t>
            </w:r>
          </w:p>
          <w:p w14:paraId="39C6A22B" w14:textId="3717358F"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rámci podprojektu 4: 210000 pokladničných registrov nových, modernizovaných alebo nahradených počítačovými riešeniami (napríklad: nahradené daňové mechanizmy, fakturácia za auto/manipulačné doklady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pohybe, registračné pokladnice, aj</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prípade stravova</w:t>
            </w:r>
            <w:r w:rsidRPr="00083739">
              <w:rPr>
                <w:rFonts w:ascii="Times New Roman" w:hAnsi="Times New Roman" w:cs="Times New Roman"/>
                <w:noProof/>
                <w:lang w:val="sk-SK"/>
              </w:rPr>
              <w:t>cích služieb, poskytovateľ elektronickej fakturácie, 100000 nových, nahradených alebo modernizovaných systémov POS</w:t>
            </w:r>
          </w:p>
          <w:p w14:paraId="14482204" w14:textId="72423AD9"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(poskytnite osvedčenie od príjemcov</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integrácii novej technológie/výrobku/dôkaz</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platbe na potvrdenie nákupu výrobkov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služieb).</w:t>
            </w:r>
          </w:p>
        </w:tc>
      </w:tr>
      <w:tr w:rsidR="002D49B0" w:rsidRPr="00083739" w14:paraId="0397251A" w14:textId="77777777">
        <w:trPr>
          <w:trHeight w:val="300"/>
          <w:jc w:val="center"/>
        </w:trPr>
        <w:tc>
          <w:tcPr>
            <w:tcW w:w="1237" w:type="dxa"/>
            <w:shd w:val="clear" w:color="auto" w:fill="C6EFCE"/>
            <w:noWrap/>
          </w:tcPr>
          <w:p w14:paraId="49E3DC49" w14:textId="76496C5A" w:rsidR="002D49B0" w:rsidRPr="00083739" w:rsidRDefault="00BF4125">
            <w:pPr>
              <w:pStyle w:val="P68B1DB1-Normal10"/>
              <w:spacing w:line="240" w:lineRule="auto"/>
              <w:rPr>
                <w:rFonts w:ascii="Times New Roman" w:hAnsi="Times New Roman" w:cs="Times New Roman"/>
                <w:noProof/>
                <w:lang w:val="sk-SK"/>
              </w:rPr>
            </w:pPr>
            <w:r w:rsidRPr="00083739">
              <w:rPr>
                <w:rFonts w:ascii="Times New Roman" w:hAnsi="Times New Roman" w:cs="Times New Roman"/>
                <w:noProof/>
                <w:lang w:val="sk-SK"/>
              </w:rPr>
              <w:t>131a</w:t>
            </w:r>
          </w:p>
        </w:tc>
        <w:tc>
          <w:tcPr>
            <w:tcW w:w="1797" w:type="dxa"/>
            <w:shd w:val="clear" w:color="auto" w:fill="C6EFCE"/>
            <w:noWrap/>
          </w:tcPr>
          <w:p w14:paraId="145CB0CD" w14:textId="77777777"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7 –</w:t>
            </w:r>
            <w:r w:rsidRPr="00083739">
              <w:rPr>
                <w:rFonts w:ascii="Times New Roman" w:hAnsi="Times New Roman" w:cs="Times New Roman"/>
                <w:noProof/>
                <w:lang w:val="sk-SK"/>
              </w:rPr>
              <w:t xml:space="preserve"> 2.3. Digitalizácia podnikov – 16706_Digitálna transformácia MSP</w:t>
            </w:r>
          </w:p>
        </w:tc>
        <w:tc>
          <w:tcPr>
            <w:tcW w:w="982" w:type="dxa"/>
            <w:shd w:val="clear" w:color="auto" w:fill="C6EFCE"/>
            <w:noWrap/>
          </w:tcPr>
          <w:p w14:paraId="3608F234" w14:textId="77777777"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Míľnik</w:t>
            </w:r>
          </w:p>
        </w:tc>
        <w:tc>
          <w:tcPr>
            <w:tcW w:w="1324" w:type="dxa"/>
            <w:shd w:val="clear" w:color="auto" w:fill="C6EFCE"/>
            <w:noWrap/>
          </w:tcPr>
          <w:p w14:paraId="4DCA11FC" w14:textId="1A164966" w:rsidR="002D49B0" w:rsidRPr="00083739" w:rsidRDefault="00BF4125">
            <w:pPr>
              <w:pStyle w:val="P68B1DB1-Normal10"/>
              <w:spacing w:after="0"/>
              <w:jc w:val="both"/>
              <w:rPr>
                <w:rFonts w:ascii="Times New Roman" w:hAnsi="Times New Roman" w:cs="Times New Roman"/>
                <w:noProof/>
                <w:lang w:val="sk-SK"/>
              </w:rPr>
            </w:pPr>
            <w:r w:rsidRPr="00083739">
              <w:rPr>
                <w:rFonts w:ascii="Times New Roman" w:hAnsi="Times New Roman" w:cs="Times New Roman"/>
                <w:noProof/>
                <w:lang w:val="sk-SK"/>
              </w:rPr>
              <w:t xml:space="preserve">Digitálna transformácia MSP – zavádzanie </w:t>
            </w:r>
            <w:r w:rsidRPr="00083739">
              <w:rPr>
                <w:rFonts w:ascii="Times New Roman" w:eastAsiaTheme="minorEastAsia" w:hAnsi="Times New Roman" w:cs="Times New Roman"/>
                <w:noProof/>
                <w:lang w:val="sk-SK"/>
              </w:rPr>
              <w:t xml:space="preserve"> digitálnych produktov</w:t>
            </w:r>
            <w:r w:rsidR="00083739" w:rsidRPr="00083739">
              <w:rPr>
                <w:rFonts w:ascii="Times New Roman" w:eastAsiaTheme="minorEastAsia" w:hAnsi="Times New Roman" w:cs="Times New Roman"/>
                <w:noProof/>
                <w:lang w:val="sk-SK"/>
              </w:rPr>
              <w:t xml:space="preserve"> a </w:t>
            </w:r>
            <w:r w:rsidRPr="00083739">
              <w:rPr>
                <w:rFonts w:ascii="Times New Roman" w:eastAsiaTheme="minorEastAsia" w:hAnsi="Times New Roman" w:cs="Times New Roman"/>
                <w:noProof/>
                <w:lang w:val="sk-SK"/>
              </w:rPr>
              <w:t>zriadené centrum pre MSP Gaia-X</w:t>
            </w:r>
          </w:p>
          <w:p w14:paraId="21ADED94" w14:textId="1E1132E6" w:rsidR="002D49B0" w:rsidRPr="00083739" w:rsidRDefault="002D49B0">
            <w:pPr>
              <w:spacing w:after="0" w:line="240" w:lineRule="auto"/>
              <w:rPr>
                <w:rFonts w:ascii="Times New Roman" w:hAnsi="Times New Roman" w:cs="Times New Roman"/>
                <w:noProof/>
                <w:color w:val="006100"/>
                <w:sz w:val="18"/>
                <w:szCs w:val="18"/>
                <w:lang w:val="sk-SK"/>
              </w:rPr>
            </w:pPr>
          </w:p>
        </w:tc>
        <w:tc>
          <w:tcPr>
            <w:tcW w:w="1393" w:type="dxa"/>
            <w:shd w:val="clear" w:color="auto" w:fill="C6EFCE"/>
            <w:noWrap/>
          </w:tcPr>
          <w:p w14:paraId="24BC6C28" w14:textId="1E6909D2" w:rsidR="002D49B0" w:rsidRPr="00083739" w:rsidRDefault="00BF4125">
            <w:pPr>
              <w:pStyle w:val="P68B1DB1-Normal10"/>
              <w:spacing w:after="0" w:line="240" w:lineRule="auto"/>
              <w:rPr>
                <w:rFonts w:ascii="Times New Roman" w:hAnsi="Times New Roman" w:cs="Times New Roman"/>
                <w:noProof/>
                <w:lang w:val="sk-SK"/>
              </w:rPr>
            </w:pPr>
            <w:r w:rsidRPr="00083739">
              <w:rPr>
                <w:rFonts w:ascii="Times New Roman" w:hAnsi="Times New Roman" w:cs="Times New Roman"/>
                <w:noProof/>
                <w:lang w:val="sk-SK"/>
              </w:rPr>
              <w:t xml:space="preserve">Dokončenie najmenej 283 investičných plánov na zavedenie digitálnych produktov </w:t>
            </w:r>
            <w:r w:rsidRPr="00083739">
              <w:rPr>
                <w:rFonts w:ascii="Times New Roman" w:hAnsi="Times New Roman" w:cs="Times New Roman"/>
                <w:noProof/>
                <w:lang w:val="sk-SK"/>
              </w:rPr>
              <w:t>zameraných okrem iného na cloudový softvér</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služby so schopnosťou zaviesť cloudové infraštruktúry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rámci projektu „Platformy priemyselných údajov“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zriadeného gréckeho centra pre MSP Gaia-X (podprojekt 2)</w:t>
            </w:r>
          </w:p>
        </w:tc>
        <w:tc>
          <w:tcPr>
            <w:tcW w:w="950" w:type="dxa"/>
            <w:shd w:val="clear" w:color="auto" w:fill="C6EFCE"/>
            <w:noWrap/>
          </w:tcPr>
          <w:p w14:paraId="619C149D" w14:textId="17DB627A" w:rsidR="002D49B0" w:rsidRPr="00083739" w:rsidRDefault="002D49B0">
            <w:pPr>
              <w:spacing w:line="240" w:lineRule="auto"/>
              <w:rPr>
                <w:rFonts w:ascii="Times New Roman" w:eastAsia="Times New Roman" w:hAnsi="Times New Roman" w:cs="Times New Roman"/>
                <w:noProof/>
                <w:color w:val="006100"/>
                <w:sz w:val="18"/>
                <w:szCs w:val="18"/>
                <w:lang w:val="sk-SK"/>
              </w:rPr>
            </w:pPr>
          </w:p>
        </w:tc>
        <w:tc>
          <w:tcPr>
            <w:tcW w:w="958" w:type="dxa"/>
            <w:shd w:val="clear" w:color="auto" w:fill="C6EFCE"/>
            <w:noWrap/>
          </w:tcPr>
          <w:p w14:paraId="6B093097" w14:textId="7AD0F04D" w:rsidR="002D49B0" w:rsidRPr="00083739" w:rsidRDefault="002D49B0">
            <w:pPr>
              <w:spacing w:line="240" w:lineRule="auto"/>
              <w:rPr>
                <w:rFonts w:ascii="Times New Roman" w:eastAsia="Times New Roman" w:hAnsi="Times New Roman" w:cs="Times New Roman"/>
                <w:noProof/>
                <w:color w:val="006100"/>
                <w:sz w:val="18"/>
                <w:szCs w:val="18"/>
                <w:lang w:val="sk-SK"/>
              </w:rPr>
            </w:pPr>
          </w:p>
        </w:tc>
        <w:tc>
          <w:tcPr>
            <w:tcW w:w="691" w:type="dxa"/>
            <w:shd w:val="clear" w:color="auto" w:fill="C6EFCE"/>
            <w:noWrap/>
          </w:tcPr>
          <w:p w14:paraId="2FD2D0F4" w14:textId="5339F9A0" w:rsidR="002D49B0" w:rsidRPr="00083739" w:rsidRDefault="002D49B0">
            <w:pPr>
              <w:spacing w:line="240" w:lineRule="auto"/>
              <w:rPr>
                <w:rFonts w:ascii="Times New Roman" w:eastAsia="Times New Roman" w:hAnsi="Times New Roman" w:cs="Times New Roman"/>
                <w:noProof/>
                <w:color w:val="006100"/>
                <w:sz w:val="18"/>
                <w:szCs w:val="18"/>
                <w:lang w:val="sk-SK"/>
              </w:rPr>
            </w:pPr>
          </w:p>
        </w:tc>
        <w:tc>
          <w:tcPr>
            <w:tcW w:w="1026" w:type="dxa"/>
            <w:shd w:val="clear" w:color="auto" w:fill="C6EFCE"/>
            <w:noWrap/>
          </w:tcPr>
          <w:p w14:paraId="3D4850EB" w14:textId="412D4581" w:rsidR="002D49B0" w:rsidRPr="00083739" w:rsidRDefault="00BF4125">
            <w:pPr>
              <w:pStyle w:val="P68B1DB1-Normal10"/>
              <w:spacing w:line="240" w:lineRule="auto"/>
              <w:rPr>
                <w:rFonts w:ascii="Times New Roman" w:hAnsi="Times New Roman" w:cs="Times New Roman"/>
                <w:noProof/>
                <w:lang w:val="sk-SK"/>
              </w:rPr>
            </w:pPr>
            <w:r w:rsidRPr="00083739">
              <w:rPr>
                <w:rFonts w:ascii="Times New Roman" w:hAnsi="Times New Roman" w:cs="Times New Roman"/>
                <w:noProof/>
                <w:lang w:val="sk-SK"/>
              </w:rPr>
              <w:t>ŠTVRTÝ ŠTVRŤROK</w:t>
            </w:r>
          </w:p>
        </w:tc>
        <w:tc>
          <w:tcPr>
            <w:tcW w:w="750" w:type="dxa"/>
            <w:shd w:val="clear" w:color="auto" w:fill="C6EFCE"/>
            <w:noWrap/>
          </w:tcPr>
          <w:p w14:paraId="66B2C572" w14:textId="7EDE00EA" w:rsidR="002D49B0" w:rsidRPr="00083739" w:rsidRDefault="00BF4125">
            <w:pPr>
              <w:pStyle w:val="P68B1DB1-Normal10"/>
              <w:spacing w:line="240" w:lineRule="auto"/>
              <w:rPr>
                <w:rFonts w:ascii="Times New Roman" w:hAnsi="Times New Roman" w:cs="Times New Roman"/>
                <w:noProof/>
                <w:lang w:val="sk-SK"/>
              </w:rPr>
            </w:pPr>
            <w:r w:rsidRPr="00083739">
              <w:rPr>
                <w:rFonts w:ascii="Times New Roman" w:hAnsi="Times New Roman" w:cs="Times New Roman"/>
                <w:noProof/>
                <w:lang w:val="sk-SK"/>
              </w:rPr>
              <w:t>2025</w:t>
            </w:r>
          </w:p>
        </w:tc>
        <w:tc>
          <w:tcPr>
            <w:tcW w:w="3622" w:type="dxa"/>
            <w:shd w:val="clear" w:color="auto" w:fill="C6EFCE"/>
            <w:noWrap/>
          </w:tcPr>
          <w:p w14:paraId="34690676" w14:textId="1AAF22BC" w:rsidR="002D49B0" w:rsidRPr="00083739" w:rsidRDefault="00BF4125">
            <w:pPr>
              <w:pStyle w:val="P68B1DB1-Normal10"/>
              <w:spacing w:after="0" w:line="240" w:lineRule="auto"/>
              <w:rPr>
                <w:rFonts w:ascii="Times New Roman" w:hAnsi="Times New Roman" w:cs="Times New Roman"/>
                <w:noProof/>
                <w:lang w:val="sk-SK"/>
              </w:rPr>
            </w:pPr>
            <w:r w:rsidRPr="00083739">
              <w:rPr>
                <w:rFonts w:ascii="Times New Roman" w:hAnsi="Times New Roman" w:cs="Times New Roman"/>
                <w:noProof/>
                <w:lang w:val="sk-SK"/>
              </w:rPr>
              <w:t>Dokončenie aspoň 90</w:t>
            </w:r>
            <w:r w:rsidR="00083739" w:rsidRPr="00083739">
              <w:rPr>
                <w:rFonts w:ascii="Times New Roman" w:hAnsi="Times New Roman" w:cs="Times New Roman"/>
                <w:noProof/>
                <w:lang w:val="sk-SK"/>
              </w:rPr>
              <w:t> %</w:t>
            </w:r>
            <w:r w:rsidRPr="00083739">
              <w:rPr>
                <w:rFonts w:ascii="Times New Roman" w:hAnsi="Times New Roman" w:cs="Times New Roman"/>
                <w:noProof/>
                <w:lang w:val="sk-SK"/>
              </w:rPr>
              <w:t xml:space="preserve">, </w:t>
            </w:r>
            <w:r w:rsidRPr="00083739">
              <w:rPr>
                <w:rFonts w:ascii="Times New Roman" w:hAnsi="Times New Roman" w:cs="Times New Roman"/>
                <w:noProof/>
                <w:lang w:val="sk-SK"/>
              </w:rPr>
              <w:t>t. j. 283 investičných plánov na zavedenie digitálnych produktov zameraných okrem iného na cloudový softvér</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služby schopné zaviesť cloudové infraštruktúry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rámci projektu „Platformy priemyselných údajov“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zriadenie gréckeho centra pre MSP Gaia-X (podpr</w:t>
            </w:r>
            <w:r w:rsidRPr="00083739">
              <w:rPr>
                <w:rFonts w:ascii="Times New Roman" w:hAnsi="Times New Roman" w:cs="Times New Roman"/>
                <w:noProof/>
                <w:lang w:val="sk-SK"/>
              </w:rPr>
              <w:t>ojekt 2)</w:t>
            </w:r>
          </w:p>
        </w:tc>
      </w:tr>
      <w:tr w:rsidR="002D49B0" w:rsidRPr="00083739" w14:paraId="37C2BC0C" w14:textId="77777777">
        <w:trPr>
          <w:trHeight w:val="309"/>
          <w:jc w:val="center"/>
        </w:trPr>
        <w:tc>
          <w:tcPr>
            <w:tcW w:w="1237" w:type="dxa"/>
            <w:shd w:val="clear" w:color="auto" w:fill="C6EFCE"/>
            <w:noWrap/>
            <w:hideMark/>
          </w:tcPr>
          <w:p w14:paraId="76850D8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132</w:t>
            </w:r>
          </w:p>
        </w:tc>
        <w:tc>
          <w:tcPr>
            <w:tcW w:w="1774" w:type="dxa"/>
            <w:shd w:val="clear" w:color="auto" w:fill="C6EFCE"/>
            <w:noWrap/>
            <w:hideMark/>
          </w:tcPr>
          <w:p w14:paraId="6965BD93" w14:textId="2AECB5AF"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7 – 2.3. Digitalizácia podnikov – 16973_Zriadenie ekosystému digitálnych podnikov na uľahčenie digitálnej transformácie MSP</w:t>
            </w:r>
          </w:p>
        </w:tc>
        <w:tc>
          <w:tcPr>
            <w:tcW w:w="982" w:type="dxa"/>
            <w:shd w:val="clear" w:color="auto" w:fill="C6EFCE"/>
            <w:noWrap/>
            <w:hideMark/>
          </w:tcPr>
          <w:p w14:paraId="7F26AB3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08" w:type="dxa"/>
            <w:shd w:val="clear" w:color="auto" w:fill="C6EFCE"/>
            <w:noWrap/>
            <w:hideMark/>
          </w:tcPr>
          <w:p w14:paraId="0983054C" w14:textId="1A543998"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Digitálna transformácia MSP – legislatívna reforma na stimulovanie zavádzania technológií</w:t>
            </w:r>
          </w:p>
        </w:tc>
        <w:tc>
          <w:tcPr>
            <w:tcW w:w="1376" w:type="dxa"/>
            <w:shd w:val="clear" w:color="auto" w:fill="C6EFCE"/>
            <w:noWrap/>
            <w:hideMark/>
          </w:tcPr>
          <w:p w14:paraId="026EDD99" w14:textId="01CA498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Nadobudnutie </w:t>
            </w:r>
            <w:r w:rsidRPr="00083739">
              <w:rPr>
                <w:rFonts w:ascii="Times New Roman" w:hAnsi="Times New Roman" w:cs="Times New Roman"/>
                <w:noProof/>
                <w:lang w:val="sk-SK"/>
              </w:rPr>
              <w:t>účinnosti právnych predpisov na zriadenie elektronického trhu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továrne umelej inteligencie „Pharos“. </w:t>
            </w:r>
          </w:p>
        </w:tc>
        <w:tc>
          <w:tcPr>
            <w:tcW w:w="950" w:type="dxa"/>
            <w:shd w:val="clear" w:color="auto" w:fill="C6EFCE"/>
            <w:noWrap/>
          </w:tcPr>
          <w:p w14:paraId="7237F7C4"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58" w:type="dxa"/>
            <w:shd w:val="clear" w:color="auto" w:fill="C6EFCE"/>
            <w:noWrap/>
          </w:tcPr>
          <w:p w14:paraId="68291B74"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691" w:type="dxa"/>
            <w:shd w:val="clear" w:color="auto" w:fill="C6EFCE"/>
            <w:noWrap/>
          </w:tcPr>
          <w:p w14:paraId="0C0F2EA6"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26" w:type="dxa"/>
            <w:shd w:val="clear" w:color="auto" w:fill="C6EFCE"/>
            <w:noWrap/>
            <w:hideMark/>
          </w:tcPr>
          <w:p w14:paraId="3D7D534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750" w:type="dxa"/>
            <w:shd w:val="clear" w:color="auto" w:fill="C6EFCE"/>
            <w:noWrap/>
            <w:hideMark/>
          </w:tcPr>
          <w:p w14:paraId="0BF15EE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3622" w:type="dxa"/>
            <w:shd w:val="clear" w:color="auto" w:fill="C6EFCE"/>
            <w:noWrap/>
            <w:hideMark/>
          </w:tcPr>
          <w:p w14:paraId="7F3CAC5D" w14:textId="7379D656" w:rsidR="00083739" w:rsidRPr="00083739" w:rsidRDefault="00BF4125">
            <w:pPr>
              <w:pStyle w:val="P68B1DB1-Normal10"/>
              <w:spacing w:after="0" w:line="240" w:lineRule="auto"/>
              <w:rPr>
                <w:rFonts w:ascii="Times New Roman" w:hAnsi="Times New Roman" w:cs="Times New Roman"/>
                <w:noProof/>
                <w:lang w:val="sk-SK"/>
              </w:rPr>
            </w:pPr>
            <w:r w:rsidRPr="00083739">
              <w:rPr>
                <w:rFonts w:ascii="Times New Roman" w:hAnsi="Times New Roman" w:cs="Times New Roman"/>
                <w:noProof/>
                <w:lang w:val="sk-SK"/>
              </w:rPr>
              <w:t>Identifikovať</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vykonávať opatrenia na vytvorenie ekosystému digitálnych podnikov, ktorý podporuje digitálnu transformáciu MSP, pr</w:t>
            </w:r>
            <w:r w:rsidRPr="00083739">
              <w:rPr>
                <w:rFonts w:ascii="Times New Roman" w:hAnsi="Times New Roman" w:cs="Times New Roman"/>
                <w:noProof/>
                <w:lang w:val="sk-SK"/>
              </w:rPr>
              <w:t>ostredníctvom nadobudnutia účinnosti regulačného rámca pre a) zriadenie elektronického trhu na financovanie dodávok</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zavádzania digitálnych nástrojov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procesov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b) zriadenie právneho subjektu na riadenie umelej inteligencie Pharos</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na správu údajov pos</w:t>
            </w:r>
            <w:r w:rsidRPr="00083739">
              <w:rPr>
                <w:rFonts w:ascii="Times New Roman" w:hAnsi="Times New Roman" w:cs="Times New Roman"/>
                <w:noProof/>
                <w:lang w:val="sk-SK"/>
              </w:rPr>
              <w:t>kytovaných subjektmi verejného sektora</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cieľom uľahčiť ich využívanie MSP</w:t>
            </w:r>
            <w:r w:rsidR="00083739" w:rsidRPr="00083739">
              <w:rPr>
                <w:rFonts w:ascii="Times New Roman" w:hAnsi="Times New Roman" w:cs="Times New Roman"/>
                <w:noProof/>
                <w:lang w:val="sk-SK"/>
              </w:rPr>
              <w:t>.</w:t>
            </w:r>
          </w:p>
          <w:p w14:paraId="3DF7B642" w14:textId="281315EB"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p w14:paraId="3D351065" w14:textId="2267A2B8"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r>
    </w:tbl>
    <w:p w14:paraId="697C8421" w14:textId="77777777" w:rsidR="002D49B0" w:rsidRPr="00083739" w:rsidRDefault="002D49B0">
      <w:pPr>
        <w:spacing w:before="120" w:after="120" w:line="240" w:lineRule="auto"/>
        <w:jc w:val="both"/>
        <w:outlineLvl w:val="3"/>
        <w:rPr>
          <w:rFonts w:ascii="Times New Roman" w:hAnsi="Times New Roman" w:cs="Times New Roman"/>
          <w:b/>
          <w:bCs/>
          <w:noProof/>
          <w:sz w:val="24"/>
          <w:lang w:val="sk-SK"/>
        </w:rPr>
        <w:sectPr w:rsidR="002D49B0" w:rsidRPr="00083739" w:rsidSect="00271D33">
          <w:headerReference w:type="even" r:id="rId127"/>
          <w:headerReference w:type="default" r:id="rId128"/>
          <w:footerReference w:type="even" r:id="rId129"/>
          <w:footerReference w:type="default" r:id="rId130"/>
          <w:headerReference w:type="first" r:id="rId131"/>
          <w:footerReference w:type="first" r:id="rId132"/>
          <w:pgSz w:w="16839" w:h="11907" w:orient="landscape"/>
          <w:pgMar w:top="1417" w:right="1134" w:bottom="1417" w:left="1134" w:header="709" w:footer="359" w:gutter="0"/>
          <w:cols w:space="720"/>
          <w:docGrid w:linePitch="360"/>
        </w:sectPr>
      </w:pPr>
    </w:p>
    <w:p w14:paraId="54AEAF23" w14:textId="7CDA2F60" w:rsidR="002D49B0" w:rsidRPr="00083739" w:rsidRDefault="00BF4125">
      <w:pPr>
        <w:pStyle w:val="P68B1DB1-Normal2"/>
        <w:spacing w:before="120" w:after="120" w:line="240" w:lineRule="auto"/>
        <w:ind w:firstLine="6"/>
        <w:jc w:val="both"/>
        <w:outlineLvl w:val="3"/>
        <w:rPr>
          <w:rFonts w:cs="Times New Roman"/>
          <w:noProof/>
          <w:lang w:val="sk-SK"/>
        </w:rPr>
      </w:pPr>
      <w:r w:rsidRPr="00083739">
        <w:rPr>
          <w:rFonts w:cs="Times New Roman"/>
          <w:noProof/>
          <w:lang w:val="sk-SK"/>
        </w:rPr>
        <w:t>H. KOMPONENT 3.1: PODPOROVAŤ VYTVÁRANIE PRACOVNÝCH MIEST A ÚČASŤ NA TRHU PRÁCE</w:t>
      </w:r>
    </w:p>
    <w:p w14:paraId="4422167E" w14:textId="11926229" w:rsidR="00083739" w:rsidRPr="00083739" w:rsidRDefault="00BF4125">
      <w:pPr>
        <w:pStyle w:val="P68B1DB1-Normal11"/>
        <w:spacing w:before="120" w:after="120" w:line="240" w:lineRule="auto"/>
        <w:jc w:val="both"/>
        <w:rPr>
          <w:rFonts w:ascii="Times New Roman" w:hAnsi="Times New Roman" w:cs="Times New Roman"/>
          <w:noProof/>
          <w:lang w:val="sk-SK"/>
        </w:rPr>
      </w:pPr>
      <w:r w:rsidRPr="00083739">
        <w:rPr>
          <w:rFonts w:ascii="Times New Roman" w:hAnsi="Times New Roman" w:cs="Times New Roman"/>
          <w:noProof/>
          <w:color w:val="000000"/>
          <w:shd w:val="clear" w:color="auto" w:fill="FFFFFF"/>
          <w:lang w:val="sk-SK"/>
        </w:rPr>
        <w:t xml:space="preserve">Táto zložka </w:t>
      </w:r>
      <w:r w:rsidRPr="00083739">
        <w:rPr>
          <w:rFonts w:ascii="Times New Roman" w:hAnsi="Times New Roman" w:cs="Times New Roman"/>
          <w:noProof/>
          <w:color w:val="000000"/>
          <w:lang w:val="sk-SK"/>
        </w:rPr>
        <w:t>gréckeho plánu obnovy</w:t>
      </w:r>
      <w:r w:rsidR="00083739" w:rsidRPr="00083739">
        <w:rPr>
          <w:rFonts w:ascii="Times New Roman" w:hAnsi="Times New Roman" w:cs="Times New Roman"/>
          <w:noProof/>
          <w:color w:val="000000"/>
          <w:lang w:val="sk-SK"/>
        </w:rPr>
        <w:t xml:space="preserve"> a </w:t>
      </w:r>
      <w:r w:rsidRPr="00083739">
        <w:rPr>
          <w:rFonts w:ascii="Times New Roman" w:hAnsi="Times New Roman" w:cs="Times New Roman"/>
          <w:noProof/>
          <w:color w:val="000000"/>
          <w:lang w:val="sk-SK"/>
        </w:rPr>
        <w:t>odolnosti</w:t>
      </w:r>
      <w:r w:rsidRPr="00083739">
        <w:rPr>
          <w:rFonts w:ascii="Times New Roman" w:hAnsi="Times New Roman" w:cs="Times New Roman"/>
          <w:noProof/>
          <w:lang w:val="sk-SK"/>
        </w:rPr>
        <w:t xml:space="preserve"> </w:t>
      </w:r>
      <w:r w:rsidRPr="00083739">
        <w:rPr>
          <w:rFonts w:ascii="Times New Roman" w:hAnsi="Times New Roman" w:cs="Times New Roman"/>
          <w:noProof/>
          <w:color w:val="000000"/>
          <w:shd w:val="clear" w:color="auto" w:fill="FFFFFF"/>
          <w:lang w:val="sk-SK"/>
        </w:rPr>
        <w:t>zahŕňa opatrenia na prepracovanie</w:t>
      </w:r>
      <w:r w:rsidR="00083739" w:rsidRPr="00083739">
        <w:rPr>
          <w:rFonts w:ascii="Times New Roman" w:hAnsi="Times New Roman" w:cs="Times New Roman"/>
          <w:noProof/>
          <w:color w:val="000000"/>
          <w:shd w:val="clear" w:color="auto" w:fill="FFFFFF"/>
          <w:lang w:val="sk-SK"/>
        </w:rPr>
        <w:t xml:space="preserve"> a </w:t>
      </w:r>
      <w:r w:rsidRPr="00083739">
        <w:rPr>
          <w:rFonts w:ascii="Times New Roman" w:hAnsi="Times New Roman" w:cs="Times New Roman"/>
          <w:noProof/>
          <w:color w:val="000000"/>
          <w:shd w:val="clear" w:color="auto" w:fill="FFFFFF"/>
          <w:lang w:val="sk-SK"/>
        </w:rPr>
        <w:t>posilnenie aktívnych politík trhu práce, zlepšenie efektívnosti verejných služieb zamestnanosti</w:t>
      </w:r>
      <w:r w:rsidR="00083739" w:rsidRPr="00083739">
        <w:rPr>
          <w:rFonts w:ascii="Times New Roman" w:hAnsi="Times New Roman" w:cs="Times New Roman"/>
          <w:noProof/>
          <w:color w:val="000000"/>
          <w:shd w:val="clear" w:color="auto" w:fill="FFFFFF"/>
          <w:lang w:val="sk-SK"/>
        </w:rPr>
        <w:t xml:space="preserve"> a </w:t>
      </w:r>
      <w:r w:rsidRPr="00083739">
        <w:rPr>
          <w:rFonts w:ascii="Times New Roman" w:hAnsi="Times New Roman" w:cs="Times New Roman"/>
          <w:noProof/>
          <w:color w:val="000000"/>
          <w:shd w:val="clear" w:color="auto" w:fill="FFFFFF"/>
          <w:lang w:val="sk-SK"/>
        </w:rPr>
        <w:t xml:space="preserve">poskytnutie účinnej záchrannej siete proti nezamestnanosti pri súčasnom posilnení stimulov na opätovný vstup na </w:t>
      </w:r>
      <w:r w:rsidRPr="00083739">
        <w:rPr>
          <w:rFonts w:ascii="Times New Roman" w:hAnsi="Times New Roman" w:cs="Times New Roman"/>
          <w:noProof/>
          <w:color w:val="000000"/>
          <w:shd w:val="clear" w:color="auto" w:fill="FFFFFF"/>
          <w:lang w:val="sk-SK"/>
        </w:rPr>
        <w:t>trh práce.</w:t>
      </w:r>
      <w:r w:rsidRPr="00083739">
        <w:rPr>
          <w:rFonts w:ascii="Times New Roman" w:hAnsi="Times New Roman" w:cs="Times New Roman"/>
          <w:b/>
          <w:noProof/>
          <w:color w:val="000000"/>
          <w:shd w:val="clear" w:color="auto" w:fill="FFFFFF"/>
          <w:lang w:val="sk-SK"/>
        </w:rPr>
        <w:t xml:space="preserve"> Väčšina komponentných opatrení </w:t>
      </w:r>
      <w:r w:rsidRPr="00083739">
        <w:rPr>
          <w:rFonts w:ascii="Times New Roman" w:hAnsi="Times New Roman" w:cs="Times New Roman"/>
          <w:noProof/>
          <w:color w:val="000000"/>
          <w:shd w:val="clear" w:color="auto" w:fill="FFFFFF"/>
          <w:lang w:val="sk-SK"/>
        </w:rPr>
        <w:t xml:space="preserve">sa sústreďuje na aktívne politiky trhu práce </w:t>
      </w:r>
      <w:r w:rsidRPr="00083739">
        <w:rPr>
          <w:rFonts w:ascii="Times New Roman" w:hAnsi="Times New Roman" w:cs="Times New Roman"/>
          <w:noProof/>
          <w:lang w:val="sk-SK"/>
        </w:rPr>
        <w:t>vrátane aktivačných programov, ktorými sa dotuje zamestnanosť</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súkromnom sektore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podporuje zvyšovanie úrovne zručností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rekvalifikácia pracovnej sily, ako aj na </w:t>
      </w:r>
      <w:r w:rsidRPr="00083739">
        <w:rPr>
          <w:rFonts w:ascii="Times New Roman" w:hAnsi="Times New Roman" w:cs="Times New Roman"/>
          <w:noProof/>
          <w:lang w:val="sk-SK"/>
        </w:rPr>
        <w:t>investície na posilnenie kapacity verejných služieb zamestnanosti (OAED do 18</w:t>
      </w:r>
      <w:r w:rsidR="00083739" w:rsidRPr="00083739">
        <w:rPr>
          <w:rFonts w:ascii="Times New Roman" w:hAnsi="Times New Roman" w:cs="Times New Roman"/>
          <w:noProof/>
          <w:lang w:val="sk-SK"/>
        </w:rPr>
        <w:t>. apríla</w:t>
      </w:r>
      <w:r w:rsidRPr="00083739">
        <w:rPr>
          <w:rFonts w:ascii="Times New Roman" w:hAnsi="Times New Roman" w:cs="Times New Roman"/>
          <w:noProof/>
          <w:lang w:val="sk-SK"/>
        </w:rPr>
        <w:t xml:space="preserve"> 2022, potom DYPA) prostredníctvom posilnených služieb digitalizácie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poradenstva.</w:t>
      </w:r>
      <w:r w:rsidR="00083739" w:rsidRPr="00083739">
        <w:rPr>
          <w:rFonts w:ascii="Times New Roman" w:hAnsi="Times New Roman" w:cs="Times New Roman"/>
          <w:noProof/>
          <w:color w:val="000000"/>
          <w:shd w:val="clear" w:color="auto" w:fill="FFFFFF"/>
          <w:lang w:val="sk-SK"/>
        </w:rPr>
        <w:t xml:space="preserve"> V </w:t>
      </w:r>
      <w:r w:rsidRPr="00083739">
        <w:rPr>
          <w:rFonts w:ascii="Times New Roman" w:hAnsi="Times New Roman" w:cs="Times New Roman"/>
          <w:noProof/>
          <w:color w:val="000000"/>
          <w:shd w:val="clear" w:color="auto" w:fill="FFFFFF"/>
          <w:lang w:val="sk-SK"/>
        </w:rPr>
        <w:t xml:space="preserve">rámci reformy pasívnych politík trhu práce </w:t>
      </w:r>
      <w:r w:rsidRPr="00083739">
        <w:rPr>
          <w:rFonts w:ascii="Times New Roman" w:hAnsi="Times New Roman" w:cs="Times New Roman"/>
          <w:noProof/>
          <w:lang w:val="sk-SK"/>
        </w:rPr>
        <w:t>je cieľom plánu zlepšiť pokrytie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rozdele</w:t>
      </w:r>
      <w:r w:rsidRPr="00083739">
        <w:rPr>
          <w:rFonts w:ascii="Times New Roman" w:hAnsi="Times New Roman" w:cs="Times New Roman"/>
          <w:noProof/>
          <w:lang w:val="sk-SK"/>
        </w:rPr>
        <w:t>nie dávok</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nezamestnanosti, posilniť záchrannú sociálnu sieť, podporiť účasť na trhu práce,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to aj medzi zraniteľnými skupinami,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zlepšiť efektívnosť</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účinnosť systému sociálnej ochrany.</w:t>
      </w:r>
      <w:r w:rsidRPr="00083739">
        <w:rPr>
          <w:rFonts w:ascii="Times New Roman" w:hAnsi="Times New Roman" w:cs="Times New Roman"/>
          <w:noProof/>
          <w:color w:val="000000"/>
          <w:shd w:val="clear" w:color="auto" w:fill="FFFFFF"/>
          <w:lang w:val="sk-SK"/>
        </w:rPr>
        <w:t xml:space="preserve"> Komponent je</w:t>
      </w:r>
      <w:r w:rsidR="00083739" w:rsidRPr="00083739">
        <w:rPr>
          <w:rFonts w:ascii="Times New Roman" w:hAnsi="Times New Roman" w:cs="Times New Roman"/>
          <w:noProof/>
          <w:color w:val="000000"/>
          <w:shd w:val="clear" w:color="auto" w:fill="FFFFFF"/>
          <w:lang w:val="sk-SK"/>
        </w:rPr>
        <w:t xml:space="preserve"> v </w:t>
      </w:r>
      <w:r w:rsidRPr="00083739">
        <w:rPr>
          <w:rFonts w:ascii="Times New Roman" w:hAnsi="Times New Roman" w:cs="Times New Roman"/>
          <w:noProof/>
          <w:color w:val="000000"/>
          <w:shd w:val="clear" w:color="auto" w:fill="FFFFFF"/>
          <w:lang w:val="sk-SK"/>
        </w:rPr>
        <w:t>súlade</w:t>
      </w:r>
      <w:r w:rsidR="00083739" w:rsidRPr="00083739">
        <w:rPr>
          <w:rFonts w:ascii="Times New Roman" w:hAnsi="Times New Roman" w:cs="Times New Roman"/>
          <w:noProof/>
          <w:color w:val="000000"/>
          <w:shd w:val="clear" w:color="auto" w:fill="FFFFFF"/>
          <w:lang w:val="sk-SK"/>
        </w:rPr>
        <w:t xml:space="preserve"> s </w:t>
      </w:r>
      <w:r w:rsidRPr="00083739">
        <w:rPr>
          <w:rFonts w:ascii="Times New Roman" w:hAnsi="Times New Roman" w:cs="Times New Roman"/>
          <w:noProof/>
          <w:color w:val="000000"/>
          <w:shd w:val="clear" w:color="auto" w:fill="FFFFFF"/>
          <w:lang w:val="sk-SK"/>
        </w:rPr>
        <w:t>odporúčaniami pre jednotlivé krajiny</w:t>
      </w:r>
      <w:r w:rsidR="00083739" w:rsidRPr="00083739">
        <w:rPr>
          <w:rFonts w:ascii="Times New Roman" w:hAnsi="Times New Roman" w:cs="Times New Roman"/>
          <w:noProof/>
          <w:color w:val="000000"/>
          <w:shd w:val="clear" w:color="auto" w:fill="FFFFFF"/>
          <w:lang w:val="sk-SK"/>
        </w:rPr>
        <w:t xml:space="preserve"> s </w:t>
      </w:r>
      <w:r w:rsidRPr="00083739">
        <w:rPr>
          <w:rFonts w:ascii="Times New Roman" w:hAnsi="Times New Roman" w:cs="Times New Roman"/>
          <w:noProof/>
          <w:color w:val="000000"/>
          <w:shd w:val="clear" w:color="auto" w:fill="FFFFFF"/>
          <w:lang w:val="sk-SK"/>
        </w:rPr>
        <w:t>ci</w:t>
      </w:r>
      <w:r w:rsidRPr="00083739">
        <w:rPr>
          <w:rFonts w:ascii="Times New Roman" w:hAnsi="Times New Roman" w:cs="Times New Roman"/>
          <w:noProof/>
          <w:color w:val="000000"/>
          <w:shd w:val="clear" w:color="auto" w:fill="FFFFFF"/>
          <w:lang w:val="sk-SK"/>
        </w:rPr>
        <w:t>eľom zabezpečiť účinnú podporu aktivácie trhu práce, investovať do zručností</w:t>
      </w:r>
      <w:r w:rsidR="00083739" w:rsidRPr="00083739">
        <w:rPr>
          <w:rFonts w:ascii="Times New Roman" w:hAnsi="Times New Roman" w:cs="Times New Roman"/>
          <w:noProof/>
          <w:color w:val="000000"/>
          <w:shd w:val="clear" w:color="auto" w:fill="FFFFFF"/>
          <w:lang w:val="sk-SK"/>
        </w:rPr>
        <w:t xml:space="preserve"> a </w:t>
      </w:r>
      <w:r w:rsidRPr="00083739">
        <w:rPr>
          <w:rFonts w:ascii="Times New Roman" w:hAnsi="Times New Roman" w:cs="Times New Roman"/>
          <w:noProof/>
          <w:color w:val="000000"/>
          <w:shd w:val="clear" w:color="auto" w:fill="FFFFFF"/>
          <w:lang w:val="sk-SK"/>
        </w:rPr>
        <w:t>zamestnateľnosti</w:t>
      </w:r>
      <w:r w:rsidR="00083739" w:rsidRPr="00083739">
        <w:rPr>
          <w:rFonts w:ascii="Times New Roman" w:hAnsi="Times New Roman" w:cs="Times New Roman"/>
          <w:noProof/>
          <w:color w:val="000000"/>
          <w:shd w:val="clear" w:color="auto" w:fill="FFFFFF"/>
          <w:lang w:val="sk-SK"/>
        </w:rPr>
        <w:t xml:space="preserve"> a </w:t>
      </w:r>
      <w:r w:rsidRPr="00083739">
        <w:rPr>
          <w:rFonts w:ascii="Times New Roman" w:hAnsi="Times New Roman" w:cs="Times New Roman"/>
          <w:noProof/>
          <w:color w:val="000000"/>
          <w:shd w:val="clear" w:color="auto" w:fill="FFFFFF"/>
          <w:lang w:val="sk-SK"/>
        </w:rPr>
        <w:t>zlepšiť digitalizáciu verejnej správy (odporúčanie prejednotlivé</w:t>
      </w:r>
      <w:r w:rsidRPr="00083739">
        <w:rPr>
          <w:rFonts w:ascii="Times New Roman" w:hAnsi="Times New Roman" w:cs="Times New Roman"/>
          <w:noProof/>
          <w:lang w:val="sk-SK"/>
        </w:rPr>
        <w:t>krajiny č. 2</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č. 3 2020</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color w:val="000000"/>
          <w:shd w:val="clear" w:color="auto" w:fill="FFFFFF"/>
          <w:lang w:val="sk-SK"/>
        </w:rPr>
        <w:t>odporúčanie pre danú krajinu č. 2 2019). Okrem toho sa komponent za</w:t>
      </w:r>
      <w:r w:rsidRPr="00083739">
        <w:rPr>
          <w:rFonts w:ascii="Times New Roman" w:hAnsi="Times New Roman" w:cs="Times New Roman"/>
          <w:noProof/>
          <w:color w:val="000000"/>
          <w:shd w:val="clear" w:color="auto" w:fill="FFFFFF"/>
          <w:lang w:val="sk-SK"/>
        </w:rPr>
        <w:t>meriava okrem iného na podporu zručností</w:t>
      </w:r>
      <w:r w:rsidR="00083739" w:rsidRPr="00083739">
        <w:rPr>
          <w:rFonts w:ascii="Times New Roman" w:hAnsi="Times New Roman" w:cs="Times New Roman"/>
          <w:noProof/>
          <w:color w:val="000000"/>
          <w:shd w:val="clear" w:color="auto" w:fill="FFFFFF"/>
          <w:lang w:val="sk-SK"/>
        </w:rPr>
        <w:t xml:space="preserve"> a </w:t>
      </w:r>
      <w:r w:rsidRPr="00083739">
        <w:rPr>
          <w:rFonts w:ascii="Times New Roman" w:hAnsi="Times New Roman" w:cs="Times New Roman"/>
          <w:noProof/>
          <w:color w:val="000000"/>
          <w:shd w:val="clear" w:color="auto" w:fill="FFFFFF"/>
          <w:lang w:val="sk-SK"/>
        </w:rPr>
        <w:t>zamestnanosti</w:t>
      </w:r>
      <w:r w:rsidR="00083739" w:rsidRPr="00083739">
        <w:rPr>
          <w:rFonts w:ascii="Times New Roman" w:hAnsi="Times New Roman" w:cs="Times New Roman"/>
          <w:noProof/>
          <w:color w:val="000000"/>
          <w:shd w:val="clear" w:color="auto" w:fill="FFFFFF"/>
          <w:lang w:val="sk-SK"/>
        </w:rPr>
        <w:t xml:space="preserve"> v </w:t>
      </w:r>
      <w:r w:rsidRPr="00083739">
        <w:rPr>
          <w:rFonts w:ascii="Times New Roman" w:hAnsi="Times New Roman" w:cs="Times New Roman"/>
          <w:noProof/>
          <w:color w:val="000000"/>
          <w:shd w:val="clear" w:color="auto" w:fill="FFFFFF"/>
          <w:lang w:val="sk-SK"/>
        </w:rPr>
        <w:t>digitálnom</w:t>
      </w:r>
      <w:r w:rsidR="00083739" w:rsidRPr="00083739">
        <w:rPr>
          <w:rFonts w:ascii="Times New Roman" w:hAnsi="Times New Roman" w:cs="Times New Roman"/>
          <w:noProof/>
          <w:color w:val="000000"/>
          <w:shd w:val="clear" w:color="auto" w:fill="FFFFFF"/>
          <w:lang w:val="sk-SK"/>
        </w:rPr>
        <w:t xml:space="preserve"> a </w:t>
      </w:r>
      <w:r w:rsidRPr="00083739">
        <w:rPr>
          <w:rFonts w:ascii="Times New Roman" w:hAnsi="Times New Roman" w:cs="Times New Roman"/>
          <w:noProof/>
          <w:color w:val="000000"/>
          <w:shd w:val="clear" w:color="auto" w:fill="FFFFFF"/>
          <w:lang w:val="sk-SK"/>
        </w:rPr>
        <w:t>ekologickom sektore, čím podporuje digitálnu</w:t>
      </w:r>
      <w:r w:rsidR="00083739" w:rsidRPr="00083739">
        <w:rPr>
          <w:rFonts w:ascii="Times New Roman" w:hAnsi="Times New Roman" w:cs="Times New Roman"/>
          <w:noProof/>
          <w:color w:val="000000"/>
          <w:shd w:val="clear" w:color="auto" w:fill="FFFFFF"/>
          <w:lang w:val="sk-SK"/>
        </w:rPr>
        <w:t xml:space="preserve"> a </w:t>
      </w:r>
      <w:r w:rsidRPr="00083739">
        <w:rPr>
          <w:rFonts w:ascii="Times New Roman" w:hAnsi="Times New Roman" w:cs="Times New Roman"/>
          <w:noProof/>
          <w:color w:val="000000"/>
          <w:shd w:val="clear" w:color="auto" w:fill="FFFFFF"/>
          <w:lang w:val="sk-SK"/>
        </w:rPr>
        <w:t xml:space="preserve">zelenú transformáciu. </w:t>
      </w:r>
      <w:r w:rsidRPr="00083739">
        <w:rPr>
          <w:rFonts w:ascii="Times New Roman" w:hAnsi="Times New Roman" w:cs="Times New Roman"/>
          <w:noProof/>
          <w:lang w:val="sk-SK"/>
        </w:rPr>
        <w:t>Očakáva sa, že žiadne opatrenie</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tomto komponente výrazne nenaruší environmentálne ciele</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zmysle článku 17 nariad</w:t>
      </w:r>
      <w:r w:rsidRPr="00083739">
        <w:rPr>
          <w:rFonts w:ascii="Times New Roman" w:hAnsi="Times New Roman" w:cs="Times New Roman"/>
          <w:noProof/>
          <w:lang w:val="sk-SK"/>
        </w:rPr>
        <w:t>enia (EÚ) 2020/852, pričom sa zohľadní opis opatrení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zmierňujúcich krokov stanovených</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pláne podpory obnovy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odolnosti</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súlade</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technickým usmernením „výrazne nenarušiť“ (2021/C58/01)</w:t>
      </w:r>
      <w:r w:rsidR="00083739" w:rsidRPr="00083739">
        <w:rPr>
          <w:rFonts w:ascii="Times New Roman" w:hAnsi="Times New Roman" w:cs="Times New Roman"/>
          <w:noProof/>
          <w:lang w:val="sk-SK"/>
        </w:rPr>
        <w:t>.</w:t>
      </w:r>
    </w:p>
    <w:p w14:paraId="2956AD74" w14:textId="08249D3A" w:rsidR="002D49B0" w:rsidRPr="00083739" w:rsidRDefault="00BF4125">
      <w:pPr>
        <w:pStyle w:val="P68B1DB1-Normal25"/>
        <w:spacing w:before="120" w:after="120" w:line="240" w:lineRule="auto"/>
        <w:jc w:val="both"/>
        <w:rPr>
          <w:rFonts w:cs="Times New Roman"/>
          <w:bCs/>
          <w:i/>
          <w:iCs/>
          <w:noProof/>
          <w:color w:val="4F81BD"/>
          <w:lang w:val="sk-SK"/>
        </w:rPr>
      </w:pPr>
      <w:r w:rsidRPr="00083739">
        <w:rPr>
          <w:rFonts w:cs="Times New Roman"/>
          <w:noProof/>
          <w:lang w:val="sk-SK"/>
        </w:rPr>
        <w:t>H.1. Opis reforiem</w:t>
      </w:r>
      <w:r w:rsidR="00083739" w:rsidRPr="00083739">
        <w:rPr>
          <w:rFonts w:cs="Times New Roman"/>
          <w:noProof/>
          <w:lang w:val="sk-SK"/>
        </w:rPr>
        <w:t xml:space="preserve"> a </w:t>
      </w:r>
      <w:r w:rsidRPr="00083739">
        <w:rPr>
          <w:rFonts w:cs="Times New Roman"/>
          <w:noProof/>
          <w:lang w:val="sk-SK"/>
        </w:rPr>
        <w:t>investícií</w:t>
      </w:r>
      <w:r w:rsidR="00083739" w:rsidRPr="00083739">
        <w:rPr>
          <w:rFonts w:cs="Times New Roman"/>
          <w:noProof/>
          <w:lang w:val="sk-SK"/>
        </w:rPr>
        <w:t xml:space="preserve"> v </w:t>
      </w:r>
      <w:r w:rsidRPr="00083739">
        <w:rPr>
          <w:rFonts w:cs="Times New Roman"/>
          <w:noProof/>
          <w:lang w:val="sk-SK"/>
        </w:rPr>
        <w:t xml:space="preserve">rámci nenávratnej finančnej </w:t>
      </w:r>
      <w:r w:rsidRPr="00083739">
        <w:rPr>
          <w:rFonts w:cs="Times New Roman"/>
          <w:noProof/>
          <w:lang w:val="sk-SK"/>
        </w:rPr>
        <w:t>podpory</w:t>
      </w:r>
    </w:p>
    <w:p w14:paraId="7D48FF2C" w14:textId="2CAF9952"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 xml:space="preserve">Reforma: </w:t>
      </w:r>
      <w:r w:rsidRPr="00083739">
        <w:rPr>
          <w:rFonts w:cs="Times New Roman"/>
          <w:noProof/>
          <w:lang w:val="sk-SK"/>
        </w:rPr>
        <w:t>Modernizácia</w:t>
      </w:r>
      <w:r w:rsidR="00083739" w:rsidRPr="00083739">
        <w:rPr>
          <w:rFonts w:cs="Times New Roman"/>
          <w:noProof/>
          <w:lang w:val="sk-SK"/>
        </w:rPr>
        <w:t xml:space="preserve"> a </w:t>
      </w:r>
      <w:r w:rsidRPr="00083739">
        <w:rPr>
          <w:rFonts w:cs="Times New Roman"/>
          <w:noProof/>
          <w:lang w:val="sk-SK"/>
        </w:rPr>
        <w:t>zjednodušenie pracovného práva (ID opatrenia: 16744)</w:t>
      </w:r>
    </w:p>
    <w:p w14:paraId="7472387D" w14:textId="005A6889"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Reforma zahŕňa nadobudnutie účinnosti komplexného pracovného práva, ktorým sa zefektívnia kľúčové aspekty trhu práce</w:t>
      </w:r>
      <w:r w:rsidR="00083739" w:rsidRPr="00083739">
        <w:rPr>
          <w:rFonts w:cs="Times New Roman"/>
          <w:noProof/>
          <w:lang w:val="sk-SK"/>
        </w:rPr>
        <w:t xml:space="preserve"> s </w:t>
      </w:r>
      <w:r w:rsidRPr="00083739">
        <w:rPr>
          <w:rFonts w:cs="Times New Roman"/>
          <w:noProof/>
          <w:lang w:val="sk-SK"/>
        </w:rPr>
        <w:t>cieľom zlepšiť jeho fungovanie. Reforma sa zameria n</w:t>
      </w:r>
      <w:r w:rsidRPr="00083739">
        <w:rPr>
          <w:rFonts w:cs="Times New Roman"/>
          <w:noProof/>
          <w:lang w:val="sk-SK"/>
        </w:rPr>
        <w:t>ajmä na modernizáciu a) zákona</w:t>
      </w:r>
      <w:r w:rsidR="00083739" w:rsidRPr="00083739">
        <w:rPr>
          <w:rFonts w:cs="Times New Roman"/>
          <w:noProof/>
          <w:lang w:val="sk-SK"/>
        </w:rPr>
        <w:t xml:space="preserve"> o </w:t>
      </w:r>
      <w:r w:rsidRPr="00083739">
        <w:rPr>
          <w:rFonts w:cs="Times New Roman"/>
          <w:noProof/>
          <w:lang w:val="sk-SK"/>
        </w:rPr>
        <w:t>individuálnej práci, b) zákona</w:t>
      </w:r>
      <w:r w:rsidR="00083739" w:rsidRPr="00083739">
        <w:rPr>
          <w:rFonts w:cs="Times New Roman"/>
          <w:noProof/>
          <w:lang w:val="sk-SK"/>
        </w:rPr>
        <w:t xml:space="preserve"> o </w:t>
      </w:r>
      <w:r w:rsidRPr="00083739">
        <w:rPr>
          <w:rFonts w:cs="Times New Roman"/>
          <w:noProof/>
          <w:lang w:val="sk-SK"/>
        </w:rPr>
        <w:t>kolektívnej práci</w:t>
      </w:r>
      <w:r w:rsidR="00083739" w:rsidRPr="00083739">
        <w:rPr>
          <w:rFonts w:cs="Times New Roman"/>
          <w:noProof/>
          <w:lang w:val="sk-SK"/>
        </w:rPr>
        <w:t xml:space="preserve"> a </w:t>
      </w:r>
      <w:r w:rsidRPr="00083739">
        <w:rPr>
          <w:rFonts w:cs="Times New Roman"/>
          <w:noProof/>
          <w:lang w:val="sk-SK"/>
        </w:rPr>
        <w:t>odborového práva, c) informačného systému ERGANI ministerstva práce, ktorý sa používa na monitorovanie trhu práce</w:t>
      </w:r>
      <w:r w:rsidR="00083739" w:rsidRPr="00083739">
        <w:rPr>
          <w:rFonts w:cs="Times New Roman"/>
          <w:noProof/>
          <w:lang w:val="sk-SK"/>
        </w:rPr>
        <w:t xml:space="preserve"> a </w:t>
      </w:r>
      <w:r w:rsidRPr="00083739">
        <w:rPr>
          <w:rFonts w:cs="Times New Roman"/>
          <w:noProof/>
          <w:lang w:val="sk-SK"/>
        </w:rPr>
        <w:t>odhaľovanie nedeklarovanej</w:t>
      </w:r>
      <w:r w:rsidR="00083739" w:rsidRPr="00083739">
        <w:rPr>
          <w:rFonts w:cs="Times New Roman"/>
          <w:noProof/>
          <w:lang w:val="sk-SK"/>
        </w:rPr>
        <w:t xml:space="preserve"> a </w:t>
      </w:r>
      <w:r w:rsidRPr="00083739">
        <w:rPr>
          <w:rFonts w:cs="Times New Roman"/>
          <w:noProof/>
          <w:lang w:val="sk-SK"/>
        </w:rPr>
        <w:t>nedostatočne deklarovanej</w:t>
      </w:r>
      <w:r w:rsidRPr="00083739">
        <w:rPr>
          <w:rFonts w:cs="Times New Roman"/>
          <w:noProof/>
          <w:lang w:val="sk-SK"/>
        </w:rPr>
        <w:t xml:space="preserve"> práce,</w:t>
      </w:r>
      <w:r w:rsidR="00083739" w:rsidRPr="00083739">
        <w:rPr>
          <w:rFonts w:cs="Times New Roman"/>
          <w:noProof/>
          <w:lang w:val="sk-SK"/>
        </w:rPr>
        <w:t xml:space="preserve"> a </w:t>
      </w:r>
      <w:r w:rsidRPr="00083739">
        <w:rPr>
          <w:rFonts w:cs="Times New Roman"/>
          <w:noProof/>
          <w:lang w:val="sk-SK"/>
        </w:rPr>
        <w:t>d) rámca pre rovnováhu medzi pracovným</w:t>
      </w:r>
      <w:r w:rsidR="00083739" w:rsidRPr="00083739">
        <w:rPr>
          <w:rFonts w:cs="Times New Roman"/>
          <w:noProof/>
          <w:lang w:val="sk-SK"/>
        </w:rPr>
        <w:t xml:space="preserve"> a </w:t>
      </w:r>
      <w:r w:rsidRPr="00083739">
        <w:rPr>
          <w:rFonts w:cs="Times New Roman"/>
          <w:noProof/>
          <w:lang w:val="sk-SK"/>
        </w:rPr>
        <w:t>súkromným životom. Hlavnými cieľmi reformy sú zvýšenie tvorby pracovných miest</w:t>
      </w:r>
      <w:r w:rsidR="00083739" w:rsidRPr="00083739">
        <w:rPr>
          <w:rFonts w:cs="Times New Roman"/>
          <w:noProof/>
          <w:lang w:val="sk-SK"/>
        </w:rPr>
        <w:t xml:space="preserve"> a </w:t>
      </w:r>
      <w:r w:rsidRPr="00083739">
        <w:rPr>
          <w:rFonts w:cs="Times New Roman"/>
          <w:noProof/>
          <w:lang w:val="sk-SK"/>
        </w:rPr>
        <w:t>konkurencieschopnosti, boj proti nelegálnej</w:t>
      </w:r>
      <w:r w:rsidR="00083739" w:rsidRPr="00083739">
        <w:rPr>
          <w:rFonts w:cs="Times New Roman"/>
          <w:noProof/>
          <w:lang w:val="sk-SK"/>
        </w:rPr>
        <w:t xml:space="preserve"> a </w:t>
      </w:r>
      <w:r w:rsidRPr="00083739">
        <w:rPr>
          <w:rFonts w:cs="Times New Roman"/>
          <w:noProof/>
          <w:lang w:val="sk-SK"/>
        </w:rPr>
        <w:t>nedostatočne deklarovanej práci, zlepšenie rovnováhy medzi pracovným</w:t>
      </w:r>
      <w:r w:rsidR="00083739" w:rsidRPr="00083739">
        <w:rPr>
          <w:rFonts w:cs="Times New Roman"/>
          <w:noProof/>
          <w:lang w:val="sk-SK"/>
        </w:rPr>
        <w:t xml:space="preserve"> a </w:t>
      </w:r>
      <w:r w:rsidRPr="00083739">
        <w:rPr>
          <w:rFonts w:cs="Times New Roman"/>
          <w:noProof/>
          <w:lang w:val="sk-SK"/>
        </w:rPr>
        <w:t>súkromn</w:t>
      </w:r>
      <w:r w:rsidRPr="00083739">
        <w:rPr>
          <w:rFonts w:cs="Times New Roman"/>
          <w:noProof/>
          <w:lang w:val="sk-SK"/>
        </w:rPr>
        <w:t>ým životom</w:t>
      </w:r>
      <w:r w:rsidR="00083739" w:rsidRPr="00083739">
        <w:rPr>
          <w:rFonts w:cs="Times New Roman"/>
          <w:noProof/>
          <w:lang w:val="sk-SK"/>
        </w:rPr>
        <w:t xml:space="preserve"> a </w:t>
      </w:r>
      <w:r w:rsidRPr="00083739">
        <w:rPr>
          <w:rFonts w:cs="Times New Roman"/>
          <w:noProof/>
          <w:lang w:val="sk-SK"/>
        </w:rPr>
        <w:t>preklenutie rozdielov</w:t>
      </w:r>
      <w:r w:rsidR="00083739" w:rsidRPr="00083739">
        <w:rPr>
          <w:rFonts w:cs="Times New Roman"/>
          <w:noProof/>
          <w:lang w:val="sk-SK"/>
        </w:rPr>
        <w:t xml:space="preserve"> v </w:t>
      </w:r>
      <w:r w:rsidRPr="00083739">
        <w:rPr>
          <w:rFonts w:cs="Times New Roman"/>
          <w:noProof/>
          <w:lang w:val="sk-SK"/>
        </w:rPr>
        <w:t>zamestnanosti žien</w:t>
      </w:r>
      <w:r w:rsidR="00083739" w:rsidRPr="00083739">
        <w:rPr>
          <w:rFonts w:cs="Times New Roman"/>
          <w:noProof/>
          <w:lang w:val="sk-SK"/>
        </w:rPr>
        <w:t xml:space="preserve"> a </w:t>
      </w:r>
      <w:r w:rsidRPr="00083739">
        <w:rPr>
          <w:rFonts w:cs="Times New Roman"/>
          <w:noProof/>
          <w:lang w:val="sk-SK"/>
        </w:rPr>
        <w:t>mužov. Implementácia reformy sa dokončí do 30</w:t>
      </w:r>
      <w:r w:rsidR="00083739" w:rsidRPr="00083739">
        <w:rPr>
          <w:rFonts w:cs="Times New Roman"/>
          <w:noProof/>
          <w:lang w:val="sk-SK"/>
        </w:rPr>
        <w:t>. septembra</w:t>
      </w:r>
      <w:r w:rsidRPr="00083739">
        <w:rPr>
          <w:rFonts w:cs="Times New Roman"/>
          <w:noProof/>
          <w:lang w:val="sk-SK"/>
        </w:rPr>
        <w:t xml:space="preserve"> 2021</w:t>
      </w:r>
      <w:r w:rsidRPr="00083739">
        <w:rPr>
          <w:rFonts w:cs="Times New Roman"/>
          <w:i/>
          <w:noProof/>
          <w:lang w:val="sk-SK"/>
        </w:rPr>
        <w:t>.</w:t>
      </w:r>
    </w:p>
    <w:p w14:paraId="5CEDF6D7" w14:textId="7777777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Digitálna transformácia systémov práce (ID opatrenia: 16750)</w:t>
      </w:r>
    </w:p>
    <w:p w14:paraId="30237172" w14:textId="55285FE9" w:rsidR="002D49B0" w:rsidRPr="00083739" w:rsidRDefault="00BF4125">
      <w:pPr>
        <w:pStyle w:val="P68B1DB1-Normal4"/>
        <w:spacing w:before="120" w:after="120" w:line="240" w:lineRule="auto"/>
        <w:jc w:val="both"/>
        <w:rPr>
          <w:rFonts w:cs="Times New Roman"/>
          <w:noProof/>
          <w:szCs w:val="24"/>
          <w:lang w:val="sk-SK"/>
        </w:rPr>
      </w:pPr>
      <w:r w:rsidRPr="00083739">
        <w:rPr>
          <w:rFonts w:cs="Times New Roman"/>
          <w:noProof/>
          <w:lang w:val="sk-SK"/>
        </w:rPr>
        <w:t xml:space="preserve">Investícia sa zameriava na modernizáciu schopnosti verejnej </w:t>
      </w:r>
      <w:r w:rsidRPr="00083739">
        <w:rPr>
          <w:rFonts w:cs="Times New Roman"/>
          <w:noProof/>
          <w:lang w:val="sk-SK"/>
        </w:rPr>
        <w:t>správy ponúkať zamestnancom</w:t>
      </w:r>
      <w:r w:rsidR="00083739" w:rsidRPr="00083739">
        <w:rPr>
          <w:rFonts w:cs="Times New Roman"/>
          <w:noProof/>
          <w:lang w:val="sk-SK"/>
        </w:rPr>
        <w:t xml:space="preserve"> a </w:t>
      </w:r>
      <w:r w:rsidRPr="00083739">
        <w:rPr>
          <w:rFonts w:cs="Times New Roman"/>
          <w:noProof/>
          <w:lang w:val="sk-SK"/>
        </w:rPr>
        <w:t>zamestnávateľom lepšie</w:t>
      </w:r>
      <w:r w:rsidR="00083739" w:rsidRPr="00083739">
        <w:rPr>
          <w:rFonts w:cs="Times New Roman"/>
          <w:noProof/>
          <w:lang w:val="sk-SK"/>
        </w:rPr>
        <w:t xml:space="preserve"> a </w:t>
      </w:r>
      <w:r w:rsidRPr="00083739">
        <w:rPr>
          <w:rFonts w:cs="Times New Roman"/>
          <w:noProof/>
          <w:lang w:val="sk-SK"/>
        </w:rPr>
        <w:t>rýchlejšie služby</w:t>
      </w:r>
      <w:r w:rsidR="00083739" w:rsidRPr="00083739">
        <w:rPr>
          <w:rFonts w:cs="Times New Roman"/>
          <w:noProof/>
          <w:lang w:val="sk-SK"/>
        </w:rPr>
        <w:t xml:space="preserve"> s </w:t>
      </w:r>
      <w:r w:rsidRPr="00083739">
        <w:rPr>
          <w:rFonts w:cs="Times New Roman"/>
          <w:noProof/>
          <w:lang w:val="sk-SK"/>
        </w:rPr>
        <w:t>cieľom znížiť byrokraciu, zlepšiť účinnosť mechanizmov monitorovania trhu práce, znížiť nelegálnu</w:t>
      </w:r>
      <w:r w:rsidR="00083739" w:rsidRPr="00083739">
        <w:rPr>
          <w:rFonts w:cs="Times New Roman"/>
          <w:noProof/>
          <w:lang w:val="sk-SK"/>
        </w:rPr>
        <w:t xml:space="preserve"> a </w:t>
      </w:r>
      <w:r w:rsidRPr="00083739">
        <w:rPr>
          <w:rFonts w:cs="Times New Roman"/>
          <w:noProof/>
          <w:lang w:val="sk-SK"/>
        </w:rPr>
        <w:t>nelegálnu prácu</w:t>
      </w:r>
      <w:r w:rsidR="00083739" w:rsidRPr="00083739">
        <w:rPr>
          <w:rFonts w:cs="Times New Roman"/>
          <w:noProof/>
          <w:lang w:val="sk-SK"/>
        </w:rPr>
        <w:t xml:space="preserve"> a </w:t>
      </w:r>
      <w:r w:rsidRPr="00083739">
        <w:rPr>
          <w:rFonts w:cs="Times New Roman"/>
          <w:noProof/>
          <w:lang w:val="sk-SK"/>
        </w:rPr>
        <w:t>získať včasné</w:t>
      </w:r>
      <w:r w:rsidR="00083739" w:rsidRPr="00083739">
        <w:rPr>
          <w:rFonts w:cs="Times New Roman"/>
          <w:noProof/>
          <w:lang w:val="sk-SK"/>
        </w:rPr>
        <w:t xml:space="preserve"> a </w:t>
      </w:r>
      <w:r w:rsidRPr="00083739">
        <w:rPr>
          <w:rFonts w:cs="Times New Roman"/>
          <w:noProof/>
          <w:lang w:val="sk-SK"/>
        </w:rPr>
        <w:t>presné údaje. Investícia pozostáva najmä</w:t>
      </w:r>
      <w:r w:rsidR="00083739" w:rsidRPr="00083739">
        <w:rPr>
          <w:rFonts w:cs="Times New Roman"/>
          <w:noProof/>
          <w:lang w:val="sk-SK"/>
        </w:rPr>
        <w:t xml:space="preserve"> z </w:t>
      </w:r>
      <w:r w:rsidRPr="00083739">
        <w:rPr>
          <w:rFonts w:cs="Times New Roman"/>
          <w:noProof/>
          <w:lang w:val="sk-SK"/>
        </w:rPr>
        <w:t>mode</w:t>
      </w:r>
      <w:r w:rsidRPr="00083739">
        <w:rPr>
          <w:rFonts w:cs="Times New Roman"/>
          <w:noProof/>
          <w:lang w:val="sk-SK"/>
        </w:rPr>
        <w:t>rnizácie digitálnej infraštruktúry systému e-EFKA (jednotný fond sociálneho zabezpečenia) vrátane systému udeľovania digitálnych dôchodkov (ATLAS)</w:t>
      </w:r>
      <w:r w:rsidR="00083739" w:rsidRPr="00083739">
        <w:rPr>
          <w:rFonts w:cs="Times New Roman"/>
          <w:noProof/>
          <w:lang w:val="sk-SK"/>
        </w:rPr>
        <w:t xml:space="preserve"> a </w:t>
      </w:r>
      <w:r w:rsidRPr="00083739">
        <w:rPr>
          <w:rFonts w:cs="Times New Roman"/>
          <w:noProof/>
          <w:lang w:val="sk-SK"/>
        </w:rPr>
        <w:t>prepojenia rozdielnych informačných systémov (ERGANI, EFKA</w:t>
      </w:r>
      <w:r w:rsidR="00083739" w:rsidRPr="00083739">
        <w:rPr>
          <w:rFonts w:cs="Times New Roman"/>
          <w:noProof/>
          <w:lang w:val="sk-SK"/>
        </w:rPr>
        <w:t xml:space="preserve"> a </w:t>
      </w:r>
      <w:r w:rsidRPr="00083739">
        <w:rPr>
          <w:rFonts w:cs="Times New Roman"/>
          <w:noProof/>
          <w:lang w:val="sk-SK"/>
        </w:rPr>
        <w:t>SEPE)</w:t>
      </w:r>
      <w:r w:rsidR="00083739" w:rsidRPr="00083739">
        <w:rPr>
          <w:rFonts w:cs="Times New Roman"/>
          <w:noProof/>
          <w:lang w:val="sk-SK"/>
        </w:rPr>
        <w:t xml:space="preserve"> v </w:t>
      </w:r>
      <w:r w:rsidRPr="00083739">
        <w:rPr>
          <w:rFonts w:cs="Times New Roman"/>
          <w:noProof/>
          <w:lang w:val="sk-SK"/>
        </w:rPr>
        <w:t>rámci jednotného systému (ARIADNE). In</w:t>
      </w:r>
      <w:r w:rsidRPr="00083739">
        <w:rPr>
          <w:rFonts w:cs="Times New Roman"/>
          <w:noProof/>
          <w:lang w:val="sk-SK"/>
        </w:rPr>
        <w:t>vestícia napokon zahŕňa vytvorenie integrovaného informačného systému pre otázky bezpečnosti</w:t>
      </w:r>
      <w:r w:rsidR="00083739" w:rsidRPr="00083739">
        <w:rPr>
          <w:rFonts w:cs="Times New Roman"/>
          <w:noProof/>
          <w:lang w:val="sk-SK"/>
        </w:rPr>
        <w:t xml:space="preserve"> a </w:t>
      </w:r>
      <w:r w:rsidRPr="00083739">
        <w:rPr>
          <w:rFonts w:cs="Times New Roman"/>
          <w:noProof/>
          <w:lang w:val="sk-SK"/>
        </w:rPr>
        <w:t>ochrany zdravia pri práci (HERIDANOS). Realizácia investície sa ukončí do 31</w:t>
      </w:r>
      <w:r w:rsidR="00083739" w:rsidRPr="00083739">
        <w:rPr>
          <w:rFonts w:cs="Times New Roman"/>
          <w:noProof/>
          <w:lang w:val="sk-SK"/>
        </w:rPr>
        <w:t>. decembra</w:t>
      </w:r>
      <w:r w:rsidRPr="00083739">
        <w:rPr>
          <w:rFonts w:cs="Times New Roman"/>
          <w:noProof/>
          <w:lang w:val="sk-SK"/>
        </w:rPr>
        <w:t xml:space="preserve"> 2025.</w:t>
      </w:r>
    </w:p>
    <w:p w14:paraId="1A0F0599" w14:textId="77777777" w:rsidR="002D49B0" w:rsidRPr="00083739" w:rsidRDefault="00BF4125">
      <w:pPr>
        <w:pStyle w:val="P68B1DB1-Normal4"/>
        <w:rPr>
          <w:rFonts w:cs="Times New Roman"/>
          <w:b/>
          <w:noProof/>
          <w:lang w:val="sk-SK"/>
        </w:rPr>
      </w:pPr>
      <w:r w:rsidRPr="00083739">
        <w:rPr>
          <w:rFonts w:cs="Times New Roman"/>
          <w:noProof/>
          <w:lang w:val="sk-SK"/>
        </w:rPr>
        <w:br w:type="page"/>
      </w:r>
    </w:p>
    <w:p w14:paraId="5AC3E600" w14:textId="68FF027B"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Reforma:</w:t>
      </w:r>
      <w:r w:rsidRPr="00083739">
        <w:rPr>
          <w:rFonts w:cs="Times New Roman"/>
          <w:noProof/>
          <w:lang w:val="sk-SK"/>
        </w:rPr>
        <w:t xml:space="preserve"> Reforma aktívnych politík trhu práce (ID opatrenia: 16747</w:t>
      </w:r>
      <w:r w:rsidRPr="00083739">
        <w:rPr>
          <w:rFonts w:cs="Times New Roman"/>
          <w:noProof/>
          <w:lang w:val="sk-SK"/>
        </w:rPr>
        <w:t>)</w:t>
      </w:r>
    </w:p>
    <w:p w14:paraId="285B61B2" w14:textId="222FE623" w:rsidR="002D49B0" w:rsidRPr="00083739" w:rsidRDefault="00BF4125">
      <w:pPr>
        <w:pStyle w:val="P68B1DB1-Normal5"/>
        <w:spacing w:before="120" w:after="120" w:line="240" w:lineRule="auto"/>
        <w:jc w:val="both"/>
        <w:rPr>
          <w:rFonts w:cs="Times New Roman"/>
          <w:noProof/>
          <w:lang w:val="sk-SK"/>
        </w:rPr>
      </w:pPr>
      <w:r w:rsidRPr="00083739">
        <w:rPr>
          <w:rFonts w:cs="Times New Roman"/>
          <w:noProof/>
          <w:lang w:val="sk-SK"/>
        </w:rPr>
        <w:t>Cieľom reformy aktívnych politík trhu práce (APTP) je maximalizovať ich účinnosť prostredníctvom prepracovania</w:t>
      </w:r>
      <w:r w:rsidR="00083739" w:rsidRPr="00083739">
        <w:rPr>
          <w:rFonts w:cs="Times New Roman"/>
          <w:noProof/>
          <w:lang w:val="sk-SK"/>
        </w:rPr>
        <w:t xml:space="preserve"> a </w:t>
      </w:r>
      <w:r w:rsidRPr="00083739">
        <w:rPr>
          <w:rFonts w:cs="Times New Roman"/>
          <w:noProof/>
          <w:lang w:val="sk-SK"/>
        </w:rPr>
        <w:t>posilnenia programov mzdových dotácií</w:t>
      </w:r>
      <w:r w:rsidR="00083739" w:rsidRPr="00083739">
        <w:rPr>
          <w:rFonts w:cs="Times New Roman"/>
          <w:noProof/>
          <w:lang w:val="sk-SK"/>
        </w:rPr>
        <w:t xml:space="preserve"> a </w:t>
      </w:r>
      <w:r w:rsidRPr="00083739">
        <w:rPr>
          <w:rFonts w:cs="Times New Roman"/>
          <w:noProof/>
          <w:lang w:val="sk-SK"/>
        </w:rPr>
        <w:t>postupného prechodu na nový model vykonávania aktívnych politík trhu práce. Reforma je spojená</w:t>
      </w:r>
      <w:r w:rsidR="00083739" w:rsidRPr="00083739">
        <w:rPr>
          <w:rFonts w:cs="Times New Roman"/>
          <w:noProof/>
          <w:lang w:val="sk-SK"/>
        </w:rPr>
        <w:t xml:space="preserve"> s </w:t>
      </w:r>
      <w:r w:rsidRPr="00083739">
        <w:rPr>
          <w:rFonts w:cs="Times New Roman"/>
          <w:noProof/>
          <w:lang w:val="sk-SK"/>
        </w:rPr>
        <w:t>význ</w:t>
      </w:r>
      <w:r w:rsidRPr="00083739">
        <w:rPr>
          <w:rFonts w:cs="Times New Roman"/>
          <w:noProof/>
          <w:lang w:val="sk-SK"/>
        </w:rPr>
        <w:t>amnými investíciami. Patria sem najmä a</w:t>
      </w:r>
      <w:r w:rsidRPr="00083739">
        <w:rPr>
          <w:rFonts w:cs="Times New Roman"/>
          <w:noProof/>
          <w:color w:val="000000"/>
          <w:shd w:val="clear" w:color="auto" w:fill="FFFFFF"/>
          <w:lang w:val="sk-SK"/>
        </w:rPr>
        <w:t>) päť cielených krátkodobých programov, ktorými sa dotuje zamestnanosť</w:t>
      </w:r>
      <w:r w:rsidR="00083739" w:rsidRPr="00083739">
        <w:rPr>
          <w:rFonts w:cs="Times New Roman"/>
          <w:noProof/>
          <w:color w:val="000000"/>
          <w:shd w:val="clear" w:color="auto" w:fill="FFFFFF"/>
          <w:lang w:val="sk-SK"/>
        </w:rPr>
        <w:t xml:space="preserve"> v </w:t>
      </w:r>
      <w:r w:rsidRPr="00083739">
        <w:rPr>
          <w:rFonts w:cs="Times New Roman"/>
          <w:noProof/>
          <w:color w:val="000000"/>
          <w:shd w:val="clear" w:color="auto" w:fill="FFFFFF"/>
          <w:lang w:val="sk-SK"/>
        </w:rPr>
        <w:t>súkromnom sektore pre 41500 nezamestnaných osôb (vrátane programu kombinujúceho odbornú prípravu</w:t>
      </w:r>
      <w:r w:rsidR="00083739" w:rsidRPr="00083739">
        <w:rPr>
          <w:rFonts w:cs="Times New Roman"/>
          <w:noProof/>
          <w:color w:val="000000"/>
          <w:shd w:val="clear" w:color="auto" w:fill="FFFFFF"/>
          <w:lang w:val="sk-SK"/>
        </w:rPr>
        <w:t xml:space="preserve"> a </w:t>
      </w:r>
      <w:r w:rsidRPr="00083739">
        <w:rPr>
          <w:rFonts w:cs="Times New Roman"/>
          <w:noProof/>
          <w:color w:val="000000"/>
          <w:shd w:val="clear" w:color="auto" w:fill="FFFFFF"/>
          <w:lang w:val="sk-SK"/>
        </w:rPr>
        <w:t xml:space="preserve">podporu zamestnanosti), b) zavedenie </w:t>
      </w:r>
      <w:r w:rsidRPr="00083739">
        <w:rPr>
          <w:rFonts w:cs="Times New Roman"/>
          <w:noProof/>
          <w:color w:val="000000" w:themeColor="text1"/>
          <w:lang w:val="sk-SK"/>
        </w:rPr>
        <w:t xml:space="preserve"> </w:t>
      </w:r>
      <w:r w:rsidRPr="00083739">
        <w:rPr>
          <w:rFonts w:cs="Times New Roman"/>
          <w:noProof/>
          <w:color w:val="000000"/>
          <w:shd w:val="clear" w:color="auto" w:fill="FFFFFF"/>
          <w:lang w:val="sk-SK"/>
        </w:rPr>
        <w:t xml:space="preserve">nového </w:t>
      </w:r>
      <w:r w:rsidRPr="00083739">
        <w:rPr>
          <w:rFonts w:cs="Times New Roman"/>
          <w:noProof/>
          <w:color w:val="000000"/>
          <w:shd w:val="clear" w:color="auto" w:fill="FFFFFF"/>
          <w:lang w:val="sk-SK"/>
        </w:rPr>
        <w:t>otvoreného modelu realizácie</w:t>
      </w:r>
      <w:r w:rsidR="00083739" w:rsidRPr="00083739">
        <w:rPr>
          <w:rFonts w:cs="Times New Roman"/>
          <w:noProof/>
          <w:color w:val="000000"/>
          <w:shd w:val="clear" w:color="auto" w:fill="FFFFFF"/>
          <w:lang w:val="sk-SK"/>
        </w:rPr>
        <w:t xml:space="preserve"> v </w:t>
      </w:r>
      <w:r w:rsidRPr="00083739">
        <w:rPr>
          <w:rFonts w:cs="Times New Roman"/>
          <w:noProof/>
          <w:color w:val="000000"/>
          <w:shd w:val="clear" w:color="auto" w:fill="FFFFFF"/>
          <w:lang w:val="sk-SK"/>
        </w:rPr>
        <w:t xml:space="preserve">rámci pilotného testovania pre aktívne politiky trhu práce (kde sa 8000 účastníkom ponúknu programy odbornej prípravy, 7000 účastníkom </w:t>
      </w:r>
      <w:r w:rsidRPr="00083739">
        <w:rPr>
          <w:rFonts w:cs="Times New Roman"/>
          <w:noProof/>
          <w:color w:val="000000" w:themeColor="text1"/>
          <w:lang w:val="sk-SK"/>
        </w:rPr>
        <w:t xml:space="preserve"> </w:t>
      </w:r>
      <w:r w:rsidRPr="00083739">
        <w:rPr>
          <w:rFonts w:cs="Times New Roman"/>
          <w:noProof/>
          <w:color w:val="000000"/>
          <w:shd w:val="clear" w:color="auto" w:fill="FFFFFF"/>
          <w:lang w:val="sk-SK"/>
        </w:rPr>
        <w:t xml:space="preserve">sa </w:t>
      </w:r>
      <w:r w:rsidRPr="00083739">
        <w:rPr>
          <w:rFonts w:cs="Times New Roman"/>
          <w:noProof/>
          <w:color w:val="000000" w:themeColor="text1"/>
          <w:lang w:val="sk-SK"/>
        </w:rPr>
        <w:t>ponúknu dotácie na zamestnanie</w:t>
      </w:r>
      <w:r w:rsidR="00083739" w:rsidRPr="00083739">
        <w:rPr>
          <w:rFonts w:cs="Times New Roman"/>
          <w:noProof/>
          <w:color w:val="000000" w:themeColor="text1"/>
          <w:lang w:val="sk-SK"/>
        </w:rPr>
        <w:t xml:space="preserve"> a </w:t>
      </w:r>
      <w:r w:rsidRPr="00083739">
        <w:rPr>
          <w:rFonts w:cs="Times New Roman"/>
          <w:noProof/>
          <w:color w:val="000000"/>
          <w:shd w:val="clear" w:color="auto" w:fill="FFFFFF"/>
          <w:lang w:val="sk-SK"/>
        </w:rPr>
        <w:t xml:space="preserve">850 účastníkom </w:t>
      </w:r>
      <w:r w:rsidRPr="00083739">
        <w:rPr>
          <w:rFonts w:cs="Times New Roman"/>
          <w:noProof/>
          <w:color w:val="000000" w:themeColor="text1"/>
          <w:lang w:val="sk-SK"/>
        </w:rPr>
        <w:t>sa poskytnú dotácie na podnikanie</w:t>
      </w:r>
      <w:r w:rsidRPr="00083739">
        <w:rPr>
          <w:rFonts w:cs="Times New Roman"/>
          <w:noProof/>
          <w:color w:val="000000"/>
          <w:shd w:val="clear" w:color="auto" w:fill="FFFFFF"/>
          <w:lang w:val="sk-SK"/>
        </w:rPr>
        <w:t>), c)</w:t>
      </w:r>
      <w:r w:rsidRPr="00083739">
        <w:rPr>
          <w:rFonts w:cs="Times New Roman"/>
          <w:noProof/>
          <w:color w:val="000000"/>
          <w:shd w:val="clear" w:color="auto" w:fill="FFFFFF"/>
          <w:lang w:val="sk-SK"/>
        </w:rPr>
        <w:t xml:space="preserve"> dočasné posilnenie poradenských pracovníkov verejných služieb zamestnanosti (600 ďalších poradcov na 4 roky)</w:t>
      </w:r>
      <w:r w:rsidR="00083739" w:rsidRPr="00083739">
        <w:rPr>
          <w:rFonts w:cs="Times New Roman"/>
          <w:noProof/>
          <w:color w:val="000000"/>
          <w:shd w:val="clear" w:color="auto" w:fill="FFFFFF"/>
          <w:lang w:val="sk-SK"/>
        </w:rPr>
        <w:t xml:space="preserve"> a </w:t>
      </w:r>
      <w:r w:rsidRPr="00083739">
        <w:rPr>
          <w:rFonts w:cs="Times New Roman"/>
          <w:noProof/>
          <w:color w:val="000000"/>
          <w:shd w:val="clear" w:color="auto" w:fill="FFFFFF"/>
          <w:lang w:val="sk-SK"/>
        </w:rPr>
        <w:t xml:space="preserve">d) odborná príprava poradenského personálu. </w:t>
      </w:r>
      <w:r w:rsidRPr="00083739">
        <w:rPr>
          <w:rFonts w:cs="Times New Roman"/>
          <w:noProof/>
          <w:lang w:val="sk-SK"/>
        </w:rPr>
        <w:t>Vyhradená časť pridelených grantov prispieva</w:t>
      </w:r>
      <w:r w:rsidR="00083739" w:rsidRPr="00083739">
        <w:rPr>
          <w:rFonts w:cs="Times New Roman"/>
          <w:noProof/>
          <w:lang w:val="sk-SK"/>
        </w:rPr>
        <w:t xml:space="preserve"> k </w:t>
      </w:r>
      <w:r w:rsidRPr="00083739">
        <w:rPr>
          <w:rFonts w:cs="Times New Roman"/>
          <w:noProof/>
          <w:lang w:val="sk-SK"/>
        </w:rPr>
        <w:t>zeleným zručnostiam</w:t>
      </w:r>
      <w:r w:rsidR="00083739" w:rsidRPr="00083739">
        <w:rPr>
          <w:rFonts w:cs="Times New Roman"/>
          <w:noProof/>
          <w:lang w:val="sk-SK"/>
        </w:rPr>
        <w:t xml:space="preserve"> a </w:t>
      </w:r>
      <w:r w:rsidRPr="00083739">
        <w:rPr>
          <w:rFonts w:cs="Times New Roman"/>
          <w:noProof/>
          <w:lang w:val="sk-SK"/>
        </w:rPr>
        <w:t>pracovným miestam</w:t>
      </w:r>
      <w:r w:rsidR="00083739" w:rsidRPr="00083739">
        <w:rPr>
          <w:rFonts w:cs="Times New Roman"/>
          <w:noProof/>
          <w:lang w:val="sk-SK"/>
        </w:rPr>
        <w:t xml:space="preserve"> v </w:t>
      </w:r>
      <w:r w:rsidRPr="00083739">
        <w:rPr>
          <w:rFonts w:cs="Times New Roman"/>
          <w:noProof/>
          <w:lang w:val="sk-SK"/>
        </w:rPr>
        <w:t>ekologickom</w:t>
      </w:r>
      <w:r w:rsidRPr="00083739">
        <w:rPr>
          <w:rFonts w:cs="Times New Roman"/>
          <w:noProof/>
          <w:lang w:val="sk-SK"/>
        </w:rPr>
        <w:t xml:space="preserve"> hospodárstve. Implementácia reformy</w:t>
      </w:r>
      <w:r w:rsidR="00083739" w:rsidRPr="00083739">
        <w:rPr>
          <w:rFonts w:cs="Times New Roman"/>
          <w:noProof/>
          <w:lang w:val="sk-SK"/>
        </w:rPr>
        <w:t xml:space="preserve"> a </w:t>
      </w:r>
      <w:r w:rsidRPr="00083739">
        <w:rPr>
          <w:rFonts w:cs="Times New Roman"/>
          <w:noProof/>
          <w:lang w:val="sk-SK"/>
        </w:rPr>
        <w:t>investícií sa dokončí do 31</w:t>
      </w:r>
      <w:r w:rsidR="00083739" w:rsidRPr="00083739">
        <w:rPr>
          <w:rFonts w:cs="Times New Roman"/>
          <w:noProof/>
          <w:lang w:val="sk-SK"/>
        </w:rPr>
        <w:t>. decembra</w:t>
      </w:r>
      <w:r w:rsidRPr="00083739">
        <w:rPr>
          <w:rFonts w:cs="Times New Roman"/>
          <w:noProof/>
          <w:lang w:val="sk-SK"/>
        </w:rPr>
        <w:t xml:space="preserve"> 2025.</w:t>
      </w:r>
    </w:p>
    <w:p w14:paraId="54BFBF62" w14:textId="7777777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Reforma:</w:t>
      </w:r>
      <w:r w:rsidRPr="00083739">
        <w:rPr>
          <w:rFonts w:cs="Times New Roman"/>
          <w:noProof/>
          <w:lang w:val="sk-SK"/>
        </w:rPr>
        <w:t xml:space="preserve"> Reforma pasívnych politík trhu práce na podporu prechodu na zamestnanosť (ID opatrenia: 16746)</w:t>
      </w:r>
    </w:p>
    <w:p w14:paraId="5B1DE4A6" w14:textId="6D75155A" w:rsidR="002D49B0" w:rsidRPr="00083739" w:rsidRDefault="00BF4125">
      <w:pPr>
        <w:pStyle w:val="P68B1DB1-Normal4"/>
        <w:spacing w:before="120" w:after="120" w:line="240" w:lineRule="auto"/>
        <w:jc w:val="both"/>
        <w:rPr>
          <w:rFonts w:cs="Times New Roman"/>
          <w:noProof/>
          <w:szCs w:val="24"/>
          <w:lang w:val="sk-SK"/>
        </w:rPr>
      </w:pPr>
      <w:r w:rsidRPr="00083739">
        <w:rPr>
          <w:rFonts w:cs="Times New Roman"/>
          <w:noProof/>
          <w:szCs w:val="24"/>
          <w:lang w:val="sk-SK"/>
        </w:rPr>
        <w:t xml:space="preserve">Reforma </w:t>
      </w:r>
      <w:r w:rsidRPr="00083739">
        <w:rPr>
          <w:rFonts w:cs="Times New Roman"/>
          <w:noProof/>
          <w:color w:val="000000"/>
          <w:szCs w:val="24"/>
          <w:shd w:val="clear" w:color="auto" w:fill="FFFFFF"/>
          <w:lang w:val="sk-SK"/>
        </w:rPr>
        <w:t xml:space="preserve">zahŕňa </w:t>
      </w:r>
      <w:r w:rsidRPr="00083739">
        <w:rPr>
          <w:rFonts w:cs="Times New Roman"/>
          <w:noProof/>
          <w:color w:val="000000" w:themeColor="text1"/>
          <w:szCs w:val="24"/>
          <w:lang w:val="sk-SK"/>
        </w:rPr>
        <w:t>jeden</w:t>
      </w:r>
      <w:r w:rsidRPr="00083739">
        <w:rPr>
          <w:rFonts w:cs="Times New Roman"/>
          <w:noProof/>
          <w:color w:val="000000"/>
          <w:szCs w:val="24"/>
          <w:shd w:val="clear" w:color="auto" w:fill="FFFFFF"/>
          <w:lang w:val="sk-SK"/>
        </w:rPr>
        <w:t xml:space="preserve"> pilotný projekt na reformu systému poistenia</w:t>
      </w:r>
      <w:r w:rsidR="00083739" w:rsidRPr="00083739">
        <w:rPr>
          <w:rFonts w:cs="Times New Roman"/>
          <w:noProof/>
          <w:color w:val="000000"/>
          <w:szCs w:val="24"/>
          <w:shd w:val="clear" w:color="auto" w:fill="FFFFFF"/>
          <w:lang w:val="sk-SK"/>
        </w:rPr>
        <w:t xml:space="preserve"> v </w:t>
      </w:r>
      <w:r w:rsidRPr="00083739">
        <w:rPr>
          <w:rFonts w:cs="Times New Roman"/>
          <w:noProof/>
          <w:color w:val="000000"/>
          <w:szCs w:val="24"/>
          <w:shd w:val="clear" w:color="auto" w:fill="FFFFFF"/>
          <w:lang w:val="sk-SK"/>
        </w:rPr>
        <w:t>nezamestnanosti.</w:t>
      </w:r>
      <w:r w:rsidR="00083739" w:rsidRPr="00083739">
        <w:rPr>
          <w:rFonts w:cs="Times New Roman"/>
          <w:noProof/>
          <w:color w:val="000000"/>
          <w:szCs w:val="24"/>
          <w:shd w:val="clear" w:color="auto" w:fill="FFFFFF"/>
          <w:lang w:val="sk-SK"/>
        </w:rPr>
        <w:t xml:space="preserve"> V </w:t>
      </w:r>
      <w:r w:rsidRPr="00083739">
        <w:rPr>
          <w:rFonts w:cs="Times New Roman"/>
          <w:noProof/>
          <w:color w:val="000000"/>
          <w:szCs w:val="24"/>
          <w:shd w:val="clear" w:color="auto" w:fill="FFFFFF"/>
          <w:lang w:val="sk-SK"/>
        </w:rPr>
        <w:t xml:space="preserve">rámci projektu sa testujú účinky indexácie </w:t>
      </w:r>
      <w:r w:rsidRPr="00083739">
        <w:rPr>
          <w:rFonts w:cs="Times New Roman"/>
          <w:noProof/>
          <w:color w:val="000000" w:themeColor="text1"/>
          <w:szCs w:val="24"/>
          <w:lang w:val="sk-SK"/>
        </w:rPr>
        <w:t xml:space="preserve">kombinovaných </w:t>
      </w:r>
      <w:r w:rsidRPr="00083739">
        <w:rPr>
          <w:rFonts w:cs="Times New Roman"/>
          <w:noProof/>
          <w:color w:val="000000"/>
          <w:szCs w:val="24"/>
          <w:shd w:val="clear" w:color="auto" w:fill="FFFFFF"/>
          <w:lang w:val="sk-SK"/>
        </w:rPr>
        <w:t>dávok</w:t>
      </w:r>
      <w:r w:rsidR="00083739" w:rsidRPr="00083739">
        <w:rPr>
          <w:rFonts w:cs="Times New Roman"/>
          <w:noProof/>
          <w:color w:val="000000"/>
          <w:szCs w:val="24"/>
          <w:shd w:val="clear" w:color="auto" w:fill="FFFFFF"/>
          <w:lang w:val="sk-SK"/>
        </w:rPr>
        <w:t xml:space="preserve"> v </w:t>
      </w:r>
      <w:r w:rsidRPr="00083739">
        <w:rPr>
          <w:rFonts w:cs="Times New Roman"/>
          <w:noProof/>
          <w:color w:val="000000" w:themeColor="text1"/>
          <w:lang w:val="sk-SK"/>
        </w:rPr>
        <w:t>nezamestnanosti</w:t>
      </w:r>
      <w:r w:rsidRPr="00083739">
        <w:rPr>
          <w:rFonts w:cs="Times New Roman"/>
          <w:noProof/>
          <w:color w:val="000000" w:themeColor="text1"/>
          <w:szCs w:val="24"/>
          <w:lang w:val="sk-SK"/>
        </w:rPr>
        <w:t>na trhpráce</w:t>
      </w:r>
      <w:r w:rsidRPr="00083739">
        <w:rPr>
          <w:rFonts w:cs="Times New Roman"/>
          <w:noProof/>
          <w:color w:val="000000"/>
          <w:szCs w:val="24"/>
          <w:shd w:val="clear" w:color="auto" w:fill="FFFFFF"/>
          <w:lang w:val="sk-SK"/>
        </w:rPr>
        <w:t xml:space="preserve"> na najnovšiu </w:t>
      </w:r>
      <w:r w:rsidRPr="00083739">
        <w:rPr>
          <w:rFonts w:cs="Times New Roman"/>
          <w:noProof/>
          <w:color w:val="000000" w:themeColor="text1"/>
          <w:szCs w:val="24"/>
          <w:lang w:val="sk-SK"/>
        </w:rPr>
        <w:t xml:space="preserve">dennú úroveň </w:t>
      </w:r>
      <w:r w:rsidRPr="00083739">
        <w:rPr>
          <w:rFonts w:cs="Times New Roman"/>
          <w:noProof/>
          <w:color w:val="000000"/>
          <w:szCs w:val="24"/>
          <w:shd w:val="clear" w:color="auto" w:fill="FFFFFF"/>
          <w:lang w:val="sk-SK"/>
        </w:rPr>
        <w:t>čistej mzdy. Plán okrem toho zahŕňa reformy</w:t>
      </w:r>
      <w:r w:rsidR="00083739" w:rsidRPr="00083739">
        <w:rPr>
          <w:rFonts w:cs="Times New Roman"/>
          <w:noProof/>
          <w:color w:val="000000"/>
          <w:szCs w:val="24"/>
          <w:shd w:val="clear" w:color="auto" w:fill="FFFFFF"/>
          <w:lang w:val="sk-SK"/>
        </w:rPr>
        <w:t xml:space="preserve"> s </w:t>
      </w:r>
      <w:r w:rsidRPr="00083739">
        <w:rPr>
          <w:rFonts w:cs="Times New Roman"/>
          <w:noProof/>
          <w:color w:val="000000"/>
          <w:szCs w:val="24"/>
          <w:shd w:val="clear" w:color="auto" w:fill="FFFFFF"/>
          <w:lang w:val="sk-SK"/>
        </w:rPr>
        <w:t>nulovými nákladmi zamerané na a) ďalšie zlepšenie rámca vzájomných povinn</w:t>
      </w:r>
      <w:r w:rsidRPr="00083739">
        <w:rPr>
          <w:rFonts w:cs="Times New Roman"/>
          <w:noProof/>
          <w:color w:val="000000"/>
          <w:szCs w:val="24"/>
          <w:shd w:val="clear" w:color="auto" w:fill="FFFFFF"/>
          <w:lang w:val="sk-SK"/>
        </w:rPr>
        <w:t>ostí, ktoré sa</w:t>
      </w:r>
      <w:r w:rsidR="00083739" w:rsidRPr="00083739">
        <w:rPr>
          <w:rFonts w:cs="Times New Roman"/>
          <w:noProof/>
          <w:color w:val="000000"/>
          <w:szCs w:val="24"/>
          <w:shd w:val="clear" w:color="auto" w:fill="FFFFFF"/>
          <w:lang w:val="sk-SK"/>
        </w:rPr>
        <w:t xml:space="preserve"> v </w:t>
      </w:r>
      <w:r w:rsidRPr="00083739">
        <w:rPr>
          <w:rFonts w:cs="Times New Roman"/>
          <w:noProof/>
          <w:color w:val="000000"/>
          <w:szCs w:val="24"/>
          <w:shd w:val="clear" w:color="auto" w:fill="FFFFFF"/>
          <w:lang w:val="sk-SK"/>
        </w:rPr>
        <w:t>súčasnosti uplatňujú medzi verejnými službami zamestnanosti</w:t>
      </w:r>
      <w:r w:rsidR="00083739" w:rsidRPr="00083739">
        <w:rPr>
          <w:rFonts w:cs="Times New Roman"/>
          <w:noProof/>
          <w:color w:val="000000"/>
          <w:szCs w:val="24"/>
          <w:shd w:val="clear" w:color="auto" w:fill="FFFFFF"/>
          <w:lang w:val="sk-SK"/>
        </w:rPr>
        <w:t xml:space="preserve"> a </w:t>
      </w:r>
      <w:r w:rsidRPr="00083739">
        <w:rPr>
          <w:rFonts w:cs="Times New Roman"/>
          <w:noProof/>
          <w:color w:val="000000"/>
          <w:szCs w:val="24"/>
          <w:shd w:val="clear" w:color="auto" w:fill="FFFFFF"/>
          <w:lang w:val="sk-SK"/>
        </w:rPr>
        <w:t>uchádzačmi</w:t>
      </w:r>
      <w:r w:rsidR="00083739" w:rsidRPr="00083739">
        <w:rPr>
          <w:rFonts w:cs="Times New Roman"/>
          <w:noProof/>
          <w:color w:val="000000"/>
          <w:szCs w:val="24"/>
          <w:shd w:val="clear" w:color="auto" w:fill="FFFFFF"/>
          <w:lang w:val="sk-SK"/>
        </w:rPr>
        <w:t xml:space="preserve"> o </w:t>
      </w:r>
      <w:r w:rsidRPr="00083739">
        <w:rPr>
          <w:rFonts w:cs="Times New Roman"/>
          <w:noProof/>
          <w:color w:val="000000"/>
          <w:szCs w:val="24"/>
          <w:shd w:val="clear" w:color="auto" w:fill="FFFFFF"/>
          <w:lang w:val="sk-SK"/>
        </w:rPr>
        <w:t>zamestnanie, b) konsolidáciu</w:t>
      </w:r>
      <w:r w:rsidR="00083739" w:rsidRPr="00083739">
        <w:rPr>
          <w:rFonts w:cs="Times New Roman"/>
          <w:noProof/>
          <w:color w:val="000000"/>
          <w:szCs w:val="24"/>
          <w:shd w:val="clear" w:color="auto" w:fill="FFFFFF"/>
          <w:lang w:val="sk-SK"/>
        </w:rPr>
        <w:t xml:space="preserve"> a </w:t>
      </w:r>
      <w:r w:rsidRPr="00083739">
        <w:rPr>
          <w:rFonts w:cs="Times New Roman"/>
          <w:noProof/>
          <w:color w:val="000000"/>
          <w:szCs w:val="24"/>
          <w:shd w:val="clear" w:color="auto" w:fill="FFFFFF"/>
          <w:lang w:val="sk-SK"/>
        </w:rPr>
        <w:t>zefektívnenie dávok</w:t>
      </w:r>
      <w:r w:rsidR="00083739" w:rsidRPr="00083739">
        <w:rPr>
          <w:rFonts w:cs="Times New Roman"/>
          <w:noProof/>
          <w:color w:val="000000"/>
          <w:szCs w:val="24"/>
          <w:shd w:val="clear" w:color="auto" w:fill="FFFFFF"/>
          <w:lang w:val="sk-SK"/>
        </w:rPr>
        <w:t xml:space="preserve"> v </w:t>
      </w:r>
      <w:r w:rsidRPr="00083739">
        <w:rPr>
          <w:rFonts w:cs="Times New Roman"/>
          <w:noProof/>
          <w:color w:val="000000"/>
          <w:szCs w:val="24"/>
          <w:shd w:val="clear" w:color="auto" w:fill="FFFFFF"/>
          <w:lang w:val="sk-SK"/>
        </w:rPr>
        <w:t>nezamestnanosti</w:t>
      </w:r>
      <w:r w:rsidR="00083739" w:rsidRPr="00083739">
        <w:rPr>
          <w:rFonts w:cs="Times New Roman"/>
          <w:noProof/>
          <w:color w:val="000000"/>
          <w:szCs w:val="24"/>
          <w:shd w:val="clear" w:color="auto" w:fill="FFFFFF"/>
          <w:lang w:val="sk-SK"/>
        </w:rPr>
        <w:t xml:space="preserve"> a </w:t>
      </w:r>
      <w:r w:rsidRPr="00083739">
        <w:rPr>
          <w:rFonts w:cs="Times New Roman"/>
          <w:noProof/>
          <w:color w:val="000000"/>
          <w:szCs w:val="24"/>
          <w:shd w:val="clear" w:color="auto" w:fill="FFFFFF"/>
          <w:lang w:val="sk-SK"/>
        </w:rPr>
        <w:t>príspevkov</w:t>
      </w:r>
      <w:r w:rsidR="00083739" w:rsidRPr="00083739">
        <w:rPr>
          <w:rFonts w:cs="Times New Roman"/>
          <w:noProof/>
          <w:color w:val="000000"/>
          <w:szCs w:val="24"/>
          <w:shd w:val="clear" w:color="auto" w:fill="FFFFFF"/>
          <w:lang w:val="sk-SK"/>
        </w:rPr>
        <w:t xml:space="preserve"> v </w:t>
      </w:r>
      <w:r w:rsidRPr="00083739">
        <w:rPr>
          <w:rFonts w:cs="Times New Roman"/>
          <w:noProof/>
          <w:color w:val="000000"/>
          <w:szCs w:val="24"/>
          <w:shd w:val="clear" w:color="auto" w:fill="FFFFFF"/>
          <w:lang w:val="sk-SK"/>
        </w:rPr>
        <w:t>nezamestnanosti</w:t>
      </w:r>
      <w:r w:rsidR="00083739" w:rsidRPr="00083739">
        <w:rPr>
          <w:rFonts w:cs="Times New Roman"/>
          <w:noProof/>
          <w:color w:val="000000"/>
          <w:szCs w:val="24"/>
          <w:shd w:val="clear" w:color="auto" w:fill="FFFFFF"/>
          <w:lang w:val="sk-SK"/>
        </w:rPr>
        <w:t xml:space="preserve"> s </w:t>
      </w:r>
      <w:r w:rsidRPr="00083739">
        <w:rPr>
          <w:rFonts w:cs="Times New Roman"/>
          <w:noProof/>
          <w:color w:val="000000"/>
          <w:szCs w:val="24"/>
          <w:shd w:val="clear" w:color="auto" w:fill="FFFFFF"/>
          <w:lang w:val="sk-SK"/>
        </w:rPr>
        <w:t>cieľom zlepšiť efektívnosť verejných výdavkov</w:t>
      </w:r>
      <w:r w:rsidR="00083739" w:rsidRPr="00083739">
        <w:rPr>
          <w:rFonts w:cs="Times New Roman"/>
          <w:noProof/>
          <w:color w:val="000000"/>
          <w:szCs w:val="24"/>
          <w:shd w:val="clear" w:color="auto" w:fill="FFFFFF"/>
          <w:lang w:val="sk-SK"/>
        </w:rPr>
        <w:t xml:space="preserve"> a </w:t>
      </w:r>
      <w:r w:rsidRPr="00083739">
        <w:rPr>
          <w:rFonts w:cs="Times New Roman"/>
          <w:noProof/>
          <w:color w:val="000000"/>
          <w:szCs w:val="24"/>
          <w:shd w:val="clear" w:color="auto" w:fill="FFFFFF"/>
          <w:lang w:val="sk-SK"/>
        </w:rPr>
        <w:t>c) odstránenie</w:t>
      </w:r>
      <w:r w:rsidRPr="00083739">
        <w:rPr>
          <w:rFonts w:cs="Times New Roman"/>
          <w:noProof/>
          <w:color w:val="000000"/>
          <w:szCs w:val="24"/>
          <w:shd w:val="clear" w:color="auto" w:fill="FFFFFF"/>
          <w:lang w:val="sk-SK"/>
        </w:rPr>
        <w:t xml:space="preserve"> prekážok zvyšovania úrovne zručností/rekvalifikácie nezamestnaných zachovaním ich nároku na dávky</w:t>
      </w:r>
      <w:r w:rsidR="00083739" w:rsidRPr="00083739">
        <w:rPr>
          <w:rFonts w:cs="Times New Roman"/>
          <w:noProof/>
          <w:color w:val="000000"/>
          <w:szCs w:val="24"/>
          <w:shd w:val="clear" w:color="auto" w:fill="FFFFFF"/>
          <w:lang w:val="sk-SK"/>
        </w:rPr>
        <w:t xml:space="preserve"> v </w:t>
      </w:r>
      <w:r w:rsidRPr="00083739">
        <w:rPr>
          <w:rFonts w:cs="Times New Roman"/>
          <w:noProof/>
          <w:color w:val="000000"/>
          <w:szCs w:val="24"/>
          <w:shd w:val="clear" w:color="auto" w:fill="FFFFFF"/>
          <w:lang w:val="sk-SK"/>
        </w:rPr>
        <w:t>nezamestnanosti počas účasti na odbornej príprave.</w:t>
      </w:r>
      <w:r w:rsidRPr="00083739">
        <w:rPr>
          <w:rFonts w:cs="Times New Roman"/>
          <w:noProof/>
          <w:szCs w:val="24"/>
          <w:lang w:val="sk-SK"/>
        </w:rPr>
        <w:t xml:space="preserve"> Implementácia tejto reformy sa dokončí do 31</w:t>
      </w:r>
      <w:r w:rsidR="00083739" w:rsidRPr="00083739">
        <w:rPr>
          <w:rFonts w:cs="Times New Roman"/>
          <w:noProof/>
          <w:szCs w:val="24"/>
          <w:lang w:val="sk-SK"/>
        </w:rPr>
        <w:t>. decembra</w:t>
      </w:r>
      <w:r w:rsidRPr="00083739">
        <w:rPr>
          <w:rFonts w:cs="Times New Roman"/>
          <w:noProof/>
          <w:szCs w:val="24"/>
          <w:lang w:val="sk-SK"/>
        </w:rPr>
        <w:t xml:space="preserve"> 2025.</w:t>
      </w:r>
    </w:p>
    <w:p w14:paraId="24D98A2D" w14:textId="7BDAB2DD" w:rsidR="002D49B0" w:rsidRPr="00083739" w:rsidRDefault="00BF4125">
      <w:pPr>
        <w:pStyle w:val="P68B1DB1-Normal4"/>
        <w:spacing w:before="120" w:after="120" w:line="240" w:lineRule="auto"/>
        <w:jc w:val="both"/>
        <w:rPr>
          <w:rFonts w:cs="Times New Roman"/>
          <w:noProof/>
          <w:szCs w:val="24"/>
          <w:lang w:val="sk-SK"/>
        </w:rPr>
      </w:pPr>
      <w:r w:rsidRPr="00083739">
        <w:rPr>
          <w:rFonts w:cs="Times New Roman"/>
          <w:b/>
          <w:noProof/>
          <w:lang w:val="sk-SK"/>
        </w:rPr>
        <w:t>Investície:</w:t>
      </w:r>
      <w:r w:rsidRPr="00083739">
        <w:rPr>
          <w:rFonts w:cs="Times New Roman"/>
          <w:noProof/>
          <w:lang w:val="sk-SK"/>
        </w:rPr>
        <w:t xml:space="preserve"> Reštrukturalizácia</w:t>
      </w:r>
      <w:r w:rsidR="00083739" w:rsidRPr="00083739">
        <w:rPr>
          <w:rFonts w:cs="Times New Roman"/>
          <w:noProof/>
          <w:lang w:val="sk-SK"/>
        </w:rPr>
        <w:t xml:space="preserve"> a </w:t>
      </w:r>
      <w:r w:rsidRPr="00083739">
        <w:rPr>
          <w:rFonts w:cs="Times New Roman"/>
          <w:noProof/>
          <w:lang w:val="sk-SK"/>
        </w:rPr>
        <w:t xml:space="preserve">zmena </w:t>
      </w:r>
      <w:r w:rsidRPr="00083739">
        <w:rPr>
          <w:rFonts w:cs="Times New Roman"/>
          <w:noProof/>
          <w:lang w:val="sk-SK"/>
        </w:rPr>
        <w:t>značky miestnych pobočiek DYPA na podporu zamestnanosti (KPA2) (ID opatrenia: 16941)</w:t>
      </w:r>
    </w:p>
    <w:p w14:paraId="489699F8" w14:textId="6CE74645" w:rsidR="002D49B0" w:rsidRPr="00083739" w:rsidRDefault="00BF4125">
      <w:pPr>
        <w:spacing w:before="120" w:after="120" w:line="240" w:lineRule="auto"/>
        <w:jc w:val="both"/>
        <w:rPr>
          <w:rFonts w:ascii="Times New Roman" w:hAnsi="Times New Roman" w:cs="Times New Roman"/>
          <w:noProof/>
          <w:color w:val="000000"/>
          <w:shd w:val="clear" w:color="auto" w:fill="FFFFFF"/>
          <w:lang w:val="sk-SK"/>
        </w:rPr>
      </w:pPr>
      <w:r w:rsidRPr="00083739">
        <w:rPr>
          <w:rFonts w:ascii="Times New Roman" w:hAnsi="Times New Roman" w:cs="Times New Roman"/>
          <w:noProof/>
          <w:sz w:val="24"/>
          <w:lang w:val="sk-SK"/>
        </w:rPr>
        <w:t>Cieľom investície je zreformovať grécke verejné služby zamestnanosti (DYPA)</w:t>
      </w:r>
      <w:r w:rsidR="00083739" w:rsidRPr="00083739">
        <w:rPr>
          <w:rFonts w:ascii="Times New Roman" w:hAnsi="Times New Roman" w:cs="Times New Roman"/>
          <w:noProof/>
          <w:sz w:val="24"/>
          <w:lang w:val="sk-SK"/>
        </w:rPr>
        <w:t xml:space="preserve"> s </w:t>
      </w:r>
      <w:r w:rsidRPr="00083739">
        <w:rPr>
          <w:rFonts w:ascii="Times New Roman" w:hAnsi="Times New Roman" w:cs="Times New Roman"/>
          <w:noProof/>
          <w:sz w:val="24"/>
          <w:lang w:val="sk-SK"/>
        </w:rPr>
        <w:t>cieľom zlepšiť kvalitu ich služieb, ako aj ich celkovú kapacitu</w:t>
      </w:r>
      <w:r w:rsidR="00083739" w:rsidRPr="00083739">
        <w:rPr>
          <w:rFonts w:ascii="Times New Roman" w:hAnsi="Times New Roman" w:cs="Times New Roman"/>
          <w:noProof/>
          <w:sz w:val="24"/>
          <w:lang w:val="sk-SK"/>
        </w:rPr>
        <w:t xml:space="preserve"> a </w:t>
      </w:r>
      <w:r w:rsidRPr="00083739">
        <w:rPr>
          <w:rFonts w:ascii="Times New Roman" w:hAnsi="Times New Roman" w:cs="Times New Roman"/>
          <w:noProof/>
          <w:sz w:val="24"/>
          <w:lang w:val="sk-SK"/>
        </w:rPr>
        <w:t>účinnosť. Investícia zahŕňa</w:t>
      </w:r>
      <w:r w:rsidRPr="00083739">
        <w:rPr>
          <w:rFonts w:ascii="Times New Roman" w:hAnsi="Times New Roman" w:cs="Times New Roman"/>
          <w:noProof/>
          <w:sz w:val="24"/>
          <w:lang w:val="sk-SK"/>
        </w:rPr>
        <w:t xml:space="preserve"> a) organizačnú reformu verejných služieb zamestnanosti (DYPA), ktorou sa aktualizuje jej model riadenia</w:t>
      </w:r>
      <w:r w:rsidR="00083739" w:rsidRPr="00083739">
        <w:rPr>
          <w:rFonts w:ascii="Times New Roman" w:hAnsi="Times New Roman" w:cs="Times New Roman"/>
          <w:noProof/>
          <w:sz w:val="24"/>
          <w:lang w:val="sk-SK"/>
        </w:rPr>
        <w:t xml:space="preserve"> a </w:t>
      </w:r>
      <w:r w:rsidRPr="00083739">
        <w:rPr>
          <w:rFonts w:ascii="Times New Roman" w:hAnsi="Times New Roman" w:cs="Times New Roman"/>
          <w:noProof/>
          <w:sz w:val="24"/>
          <w:lang w:val="sk-SK"/>
        </w:rPr>
        <w:t>zavádza sa nová organizačná schéma</w:t>
      </w:r>
      <w:r w:rsidR="00083739" w:rsidRPr="00083739">
        <w:rPr>
          <w:rFonts w:ascii="Times New Roman" w:hAnsi="Times New Roman" w:cs="Times New Roman"/>
          <w:noProof/>
          <w:sz w:val="24"/>
          <w:lang w:val="sk-SK"/>
        </w:rPr>
        <w:t xml:space="preserve"> a </w:t>
      </w:r>
      <w:r w:rsidRPr="00083739">
        <w:rPr>
          <w:rFonts w:ascii="Times New Roman" w:hAnsi="Times New Roman" w:cs="Times New Roman"/>
          <w:noProof/>
          <w:sz w:val="24"/>
          <w:lang w:val="sk-SK"/>
        </w:rPr>
        <w:t>systém finančného riadenia; b) prepracovanie</w:t>
      </w:r>
      <w:r w:rsidR="00083739" w:rsidRPr="00083739">
        <w:rPr>
          <w:rFonts w:ascii="Times New Roman" w:hAnsi="Times New Roman" w:cs="Times New Roman"/>
          <w:noProof/>
          <w:sz w:val="24"/>
          <w:lang w:val="sk-SK"/>
        </w:rPr>
        <w:t xml:space="preserve"> a </w:t>
      </w:r>
      <w:r w:rsidRPr="00083739">
        <w:rPr>
          <w:rFonts w:ascii="Times New Roman" w:hAnsi="Times New Roman" w:cs="Times New Roman"/>
          <w:noProof/>
          <w:sz w:val="24"/>
          <w:lang w:val="sk-SK"/>
        </w:rPr>
        <w:t>renovácia budov 40 miestnych pobočiek DYPA na podporu zamestnanos</w:t>
      </w:r>
      <w:r w:rsidRPr="00083739">
        <w:rPr>
          <w:rFonts w:ascii="Times New Roman" w:hAnsi="Times New Roman" w:cs="Times New Roman"/>
          <w:noProof/>
          <w:sz w:val="24"/>
          <w:lang w:val="sk-SK"/>
        </w:rPr>
        <w:t>ti (KPA2)</w:t>
      </w:r>
      <w:r w:rsidR="00083739" w:rsidRPr="00083739">
        <w:rPr>
          <w:rFonts w:ascii="Times New Roman" w:hAnsi="Times New Roman" w:cs="Times New Roman"/>
          <w:noProof/>
          <w:sz w:val="24"/>
          <w:lang w:val="sk-SK"/>
        </w:rPr>
        <w:t xml:space="preserve"> s </w:t>
      </w:r>
      <w:r w:rsidRPr="00083739">
        <w:rPr>
          <w:rFonts w:ascii="Times New Roman" w:hAnsi="Times New Roman" w:cs="Times New Roman"/>
          <w:noProof/>
          <w:sz w:val="24"/>
          <w:lang w:val="sk-SK"/>
        </w:rPr>
        <w:t>obnoveným zameraním na prispôsobené služby priraďovania, posilnené poradenstvo</w:t>
      </w:r>
      <w:r w:rsidR="00083739" w:rsidRPr="00083739">
        <w:rPr>
          <w:rFonts w:ascii="Times New Roman" w:hAnsi="Times New Roman" w:cs="Times New Roman"/>
          <w:noProof/>
          <w:sz w:val="24"/>
          <w:lang w:val="sk-SK"/>
        </w:rPr>
        <w:t xml:space="preserve"> a </w:t>
      </w:r>
      <w:r w:rsidRPr="00083739">
        <w:rPr>
          <w:rFonts w:ascii="Times New Roman" w:hAnsi="Times New Roman" w:cs="Times New Roman"/>
          <w:noProof/>
          <w:sz w:val="24"/>
          <w:lang w:val="sk-SK"/>
        </w:rPr>
        <w:t>osvetu; C) nová komunikačná stratégia DYPA; d) zlepšenie mechanizmov kontroly kvality služieb zákazníkom prostredníctvom merania</w:t>
      </w:r>
      <w:r w:rsidR="00083739" w:rsidRPr="00083739">
        <w:rPr>
          <w:rFonts w:ascii="Times New Roman" w:hAnsi="Times New Roman" w:cs="Times New Roman"/>
          <w:noProof/>
          <w:sz w:val="24"/>
          <w:lang w:val="sk-SK"/>
        </w:rPr>
        <w:t xml:space="preserve"> a </w:t>
      </w:r>
      <w:r w:rsidRPr="00083739">
        <w:rPr>
          <w:rFonts w:ascii="Times New Roman" w:hAnsi="Times New Roman" w:cs="Times New Roman"/>
          <w:noProof/>
          <w:sz w:val="24"/>
          <w:lang w:val="sk-SK"/>
        </w:rPr>
        <w:t>monitorovania aspektov účinnosti</w:t>
      </w:r>
      <w:r w:rsidRPr="00083739">
        <w:rPr>
          <w:rFonts w:ascii="Times New Roman" w:hAnsi="Times New Roman" w:cs="Times New Roman"/>
          <w:noProof/>
          <w:sz w:val="24"/>
          <w:lang w:val="sk-SK"/>
        </w:rPr>
        <w:t>, efektívnosti, produktivity</w:t>
      </w:r>
      <w:r w:rsidR="00083739" w:rsidRPr="00083739">
        <w:rPr>
          <w:rFonts w:ascii="Times New Roman" w:hAnsi="Times New Roman" w:cs="Times New Roman"/>
          <w:noProof/>
          <w:sz w:val="24"/>
          <w:lang w:val="sk-SK"/>
        </w:rPr>
        <w:t xml:space="preserve"> a </w:t>
      </w:r>
      <w:r w:rsidRPr="00083739">
        <w:rPr>
          <w:rFonts w:ascii="Times New Roman" w:hAnsi="Times New Roman" w:cs="Times New Roman"/>
          <w:noProof/>
          <w:sz w:val="24"/>
          <w:lang w:val="sk-SK"/>
        </w:rPr>
        <w:t>spokojnosti zákazníkov; e) zavedenie nových foriem profilovania</w:t>
      </w:r>
      <w:r w:rsidR="00083739" w:rsidRPr="00083739">
        <w:rPr>
          <w:rFonts w:ascii="Times New Roman" w:hAnsi="Times New Roman" w:cs="Times New Roman"/>
          <w:noProof/>
          <w:sz w:val="24"/>
          <w:lang w:val="sk-SK"/>
        </w:rPr>
        <w:t xml:space="preserve"> a </w:t>
      </w:r>
      <w:r w:rsidRPr="00083739">
        <w:rPr>
          <w:rFonts w:ascii="Times New Roman" w:hAnsi="Times New Roman" w:cs="Times New Roman"/>
          <w:noProof/>
          <w:sz w:val="24"/>
          <w:lang w:val="sk-SK"/>
        </w:rPr>
        <w:t>poradenských služieb.</w:t>
      </w:r>
      <w:r w:rsidRPr="00083739">
        <w:rPr>
          <w:rFonts w:ascii="Times New Roman" w:hAnsi="Times New Roman" w:cs="Times New Roman"/>
          <w:noProof/>
          <w:color w:val="000000"/>
          <w:shd w:val="clear" w:color="auto" w:fill="FFFFFF"/>
          <w:lang w:val="sk-SK"/>
        </w:rPr>
        <w:t xml:space="preserve"> </w:t>
      </w:r>
      <w:r w:rsidRPr="00083739">
        <w:rPr>
          <w:rFonts w:ascii="Times New Roman" w:hAnsi="Times New Roman" w:cs="Times New Roman"/>
          <w:noProof/>
          <w:sz w:val="24"/>
          <w:lang w:val="sk-SK"/>
        </w:rPr>
        <w:t>Realizácia investície sa ukončí do 31</w:t>
      </w:r>
      <w:r w:rsidR="00083739" w:rsidRPr="00083739">
        <w:rPr>
          <w:rFonts w:ascii="Times New Roman" w:hAnsi="Times New Roman" w:cs="Times New Roman"/>
          <w:noProof/>
          <w:sz w:val="24"/>
          <w:lang w:val="sk-SK"/>
        </w:rPr>
        <w:t>. decembra</w:t>
      </w:r>
      <w:r w:rsidRPr="00083739">
        <w:rPr>
          <w:rFonts w:ascii="Times New Roman" w:hAnsi="Times New Roman" w:cs="Times New Roman"/>
          <w:noProof/>
          <w:sz w:val="24"/>
          <w:lang w:val="sk-SK"/>
        </w:rPr>
        <w:t xml:space="preserve"> 2025.</w:t>
      </w:r>
    </w:p>
    <w:p w14:paraId="549D8CB8" w14:textId="77777777" w:rsidR="002D49B0" w:rsidRPr="00083739" w:rsidRDefault="00BF4125">
      <w:pPr>
        <w:pStyle w:val="P68B1DB1-Normal5"/>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Digitálna transformácia verejných služieb zamestnanosti (DYPA) (ID opatrenia: 16942)</w:t>
      </w:r>
    </w:p>
    <w:p w14:paraId="3B2C4F94" w14:textId="61ABF1D0" w:rsidR="002D49B0" w:rsidRPr="00083739" w:rsidRDefault="00BF4125">
      <w:pPr>
        <w:pStyle w:val="P68B1DB1-Normal5"/>
        <w:spacing w:before="120" w:after="120" w:line="240" w:lineRule="auto"/>
        <w:jc w:val="both"/>
        <w:rPr>
          <w:rFonts w:cs="Times New Roman"/>
          <w:noProof/>
          <w:lang w:val="sk-SK"/>
        </w:rPr>
      </w:pPr>
      <w:r w:rsidRPr="00083739">
        <w:rPr>
          <w:rFonts w:cs="Times New Roman"/>
          <w:noProof/>
          <w:lang w:val="sk-SK"/>
        </w:rPr>
        <w:t>Investícia sa zameriava na digitálnu transformáciu verejných služieb zamestnanosti (DYPA)</w:t>
      </w:r>
      <w:r w:rsidR="00083739" w:rsidRPr="00083739">
        <w:rPr>
          <w:rFonts w:cs="Times New Roman"/>
          <w:noProof/>
          <w:lang w:val="sk-SK"/>
        </w:rPr>
        <w:t xml:space="preserve"> s </w:t>
      </w:r>
      <w:r w:rsidRPr="00083739">
        <w:rPr>
          <w:rFonts w:cs="Times New Roman"/>
          <w:noProof/>
          <w:lang w:val="sk-SK"/>
        </w:rPr>
        <w:t xml:space="preserve">cieľom zvýšiť účinnosť ponúkaných služieb. Investíciou sa konkrétne uskutoční </w:t>
      </w:r>
      <w:r w:rsidRPr="00083739">
        <w:rPr>
          <w:rFonts w:cs="Times New Roman"/>
          <w:noProof/>
          <w:lang w:val="sk-SK"/>
        </w:rPr>
        <w:t>digitalizácia, uchovávanie</w:t>
      </w:r>
      <w:r w:rsidR="00083739" w:rsidRPr="00083739">
        <w:rPr>
          <w:rFonts w:cs="Times New Roman"/>
          <w:noProof/>
          <w:lang w:val="sk-SK"/>
        </w:rPr>
        <w:t xml:space="preserve"> a </w:t>
      </w:r>
      <w:r w:rsidRPr="00083739">
        <w:rPr>
          <w:rFonts w:cs="Times New Roman"/>
          <w:noProof/>
          <w:lang w:val="sk-SK"/>
        </w:rPr>
        <w:t>archivácia archívov DYPA, nákup viacerých nových informačných systémov spoločnosťou DYPA,</w:t>
      </w:r>
      <w:r w:rsidR="00083739" w:rsidRPr="00083739">
        <w:rPr>
          <w:rFonts w:cs="Times New Roman"/>
          <w:noProof/>
          <w:lang w:val="sk-SK"/>
        </w:rPr>
        <w:t xml:space="preserve"> a </w:t>
      </w:r>
      <w:r w:rsidRPr="00083739">
        <w:rPr>
          <w:rFonts w:cs="Times New Roman"/>
          <w:noProof/>
          <w:lang w:val="sk-SK"/>
        </w:rPr>
        <w:t>to webových aj pôvodných aplikácií,</w:t>
      </w:r>
      <w:r w:rsidR="00083739" w:rsidRPr="00083739">
        <w:rPr>
          <w:rFonts w:cs="Times New Roman"/>
          <w:noProof/>
          <w:lang w:val="sk-SK"/>
        </w:rPr>
        <w:t xml:space="preserve"> a </w:t>
      </w:r>
      <w:r w:rsidRPr="00083739">
        <w:rPr>
          <w:rFonts w:cs="Times New Roman"/>
          <w:noProof/>
          <w:lang w:val="sk-SK"/>
        </w:rPr>
        <w:t xml:space="preserve">prepracovanie niektorých jeho súčasných operačných systémov. Investícia zahŕňa aj a) </w:t>
      </w:r>
      <w:r w:rsidRPr="00083739">
        <w:rPr>
          <w:rFonts w:cs="Times New Roman"/>
          <w:noProof/>
          <w:color w:val="000000" w:themeColor="text1"/>
          <w:lang w:val="sk-SK"/>
        </w:rPr>
        <w:t xml:space="preserve">rozšírenie digitálnych služieb (prostredníctvom DYPAapp), </w:t>
      </w:r>
      <w:r w:rsidRPr="00083739">
        <w:rPr>
          <w:rFonts w:cs="Times New Roman"/>
          <w:noProof/>
          <w:lang w:val="sk-SK"/>
        </w:rPr>
        <w:t>ktoré umožní DYPA poskytovať elektronické služby nezamestnaným</w:t>
      </w:r>
      <w:r w:rsidR="00083739" w:rsidRPr="00083739">
        <w:rPr>
          <w:rFonts w:cs="Times New Roman"/>
          <w:noProof/>
          <w:lang w:val="sk-SK"/>
        </w:rPr>
        <w:t xml:space="preserve"> a </w:t>
      </w:r>
      <w:r w:rsidRPr="00083739">
        <w:rPr>
          <w:rFonts w:cs="Times New Roman"/>
          <w:noProof/>
          <w:lang w:val="sk-SK"/>
        </w:rPr>
        <w:t>firmám prostredníctvom mobilných telefónov</w:t>
      </w:r>
      <w:r w:rsidR="00083739" w:rsidRPr="00083739">
        <w:rPr>
          <w:rFonts w:cs="Times New Roman"/>
          <w:noProof/>
          <w:lang w:val="sk-SK"/>
        </w:rPr>
        <w:t xml:space="preserve"> a </w:t>
      </w:r>
      <w:r w:rsidRPr="00083739">
        <w:rPr>
          <w:rFonts w:cs="Times New Roman"/>
          <w:noProof/>
          <w:lang w:val="sk-SK"/>
        </w:rPr>
        <w:t>tabletov,</w:t>
      </w:r>
      <w:r w:rsidR="00083739" w:rsidRPr="00083739">
        <w:rPr>
          <w:rFonts w:cs="Times New Roman"/>
          <w:noProof/>
          <w:lang w:val="sk-SK"/>
        </w:rPr>
        <w:t xml:space="preserve"> a </w:t>
      </w:r>
      <w:r w:rsidRPr="00083739">
        <w:rPr>
          <w:rFonts w:cs="Times New Roman"/>
          <w:noProof/>
          <w:lang w:val="sk-SK"/>
        </w:rPr>
        <w:t>b) vytvorenie nástroja, ktorý pomôže DYPA optimalizovať proces zosúlaďovania</w:t>
      </w:r>
      <w:r w:rsidRPr="00083739">
        <w:rPr>
          <w:rFonts w:cs="Times New Roman"/>
          <w:noProof/>
          <w:lang w:val="sk-SK"/>
        </w:rPr>
        <w:t xml:space="preserve"> ponuky</w:t>
      </w:r>
      <w:r w:rsidR="00083739" w:rsidRPr="00083739">
        <w:rPr>
          <w:rFonts w:cs="Times New Roman"/>
          <w:noProof/>
          <w:lang w:val="sk-SK"/>
        </w:rPr>
        <w:t xml:space="preserve"> a </w:t>
      </w:r>
      <w:r w:rsidRPr="00083739">
        <w:rPr>
          <w:rFonts w:cs="Times New Roman"/>
          <w:noProof/>
          <w:lang w:val="sk-SK"/>
        </w:rPr>
        <w:t>dopytu po pracovnej sile. Cieľom uvedenej investície je viesť</w:t>
      </w:r>
      <w:r w:rsidR="00083739" w:rsidRPr="00083739">
        <w:rPr>
          <w:rFonts w:cs="Times New Roman"/>
          <w:noProof/>
          <w:lang w:val="sk-SK"/>
        </w:rPr>
        <w:t xml:space="preserve"> k </w:t>
      </w:r>
      <w:r w:rsidRPr="00083739">
        <w:rPr>
          <w:rFonts w:cs="Times New Roman"/>
          <w:noProof/>
          <w:lang w:val="sk-SK"/>
        </w:rPr>
        <w:t>lepšiemu systému správy údajov</w:t>
      </w:r>
      <w:r w:rsidR="00083739" w:rsidRPr="00083739">
        <w:rPr>
          <w:rFonts w:cs="Times New Roman"/>
          <w:noProof/>
          <w:lang w:val="sk-SK"/>
        </w:rPr>
        <w:t xml:space="preserve"> a </w:t>
      </w:r>
      <w:r w:rsidRPr="00083739">
        <w:rPr>
          <w:rFonts w:cs="Times New Roman"/>
          <w:noProof/>
          <w:lang w:val="sk-SK"/>
        </w:rPr>
        <w:t>rozhodovania,</w:t>
      </w:r>
      <w:r w:rsidR="00083739" w:rsidRPr="00083739">
        <w:rPr>
          <w:rFonts w:cs="Times New Roman"/>
          <w:noProof/>
          <w:lang w:val="sk-SK"/>
        </w:rPr>
        <w:t xml:space="preserve"> k </w:t>
      </w:r>
      <w:r w:rsidRPr="00083739">
        <w:rPr>
          <w:rFonts w:cs="Times New Roman"/>
          <w:noProof/>
          <w:lang w:val="sk-SK"/>
        </w:rPr>
        <w:t>maximalizácii zdrojov</w:t>
      </w:r>
      <w:r w:rsidR="00083739" w:rsidRPr="00083739">
        <w:rPr>
          <w:rFonts w:cs="Times New Roman"/>
          <w:noProof/>
          <w:lang w:val="sk-SK"/>
        </w:rPr>
        <w:t xml:space="preserve"> a k </w:t>
      </w:r>
      <w:r w:rsidRPr="00083739">
        <w:rPr>
          <w:rFonts w:cs="Times New Roman"/>
          <w:noProof/>
          <w:lang w:val="sk-SK"/>
        </w:rPr>
        <w:t>vyššej spokojnosti zákazníkov. Realizácia investície sa ukončí do 31</w:t>
      </w:r>
      <w:r w:rsidR="00083739" w:rsidRPr="00083739">
        <w:rPr>
          <w:rFonts w:cs="Times New Roman"/>
          <w:noProof/>
          <w:lang w:val="sk-SK"/>
        </w:rPr>
        <w:t>. decembra</w:t>
      </w:r>
      <w:r w:rsidRPr="00083739">
        <w:rPr>
          <w:rFonts w:cs="Times New Roman"/>
          <w:noProof/>
          <w:lang w:val="sk-SK"/>
        </w:rPr>
        <w:t xml:space="preserve"> 2025.</w:t>
      </w:r>
    </w:p>
    <w:p w14:paraId="03C53DEE" w14:textId="77777777" w:rsidR="002D49B0" w:rsidRPr="00083739" w:rsidRDefault="002D49B0">
      <w:pPr>
        <w:pStyle w:val="paragraph"/>
        <w:spacing w:before="0" w:beforeAutospacing="0" w:after="0" w:afterAutospacing="0"/>
        <w:rPr>
          <w:noProof/>
          <w:color w:val="006100"/>
          <w:sz w:val="18"/>
          <w:szCs w:val="18"/>
          <w:lang w:val="sk-SK"/>
        </w:rPr>
        <w:sectPr w:rsidR="002D49B0" w:rsidRPr="00083739" w:rsidSect="00271D33">
          <w:headerReference w:type="even" r:id="rId133"/>
          <w:headerReference w:type="default" r:id="rId134"/>
          <w:footerReference w:type="even" r:id="rId135"/>
          <w:footerReference w:type="default" r:id="rId136"/>
          <w:headerReference w:type="first" r:id="rId137"/>
          <w:footerReference w:type="first" r:id="rId138"/>
          <w:pgSz w:w="11907" w:h="16839"/>
          <w:pgMar w:top="1134" w:right="1417" w:bottom="1134" w:left="1417" w:header="709" w:footer="327" w:gutter="0"/>
          <w:cols w:space="720"/>
          <w:docGrid w:linePitch="360"/>
        </w:sectPr>
      </w:pPr>
    </w:p>
    <w:p w14:paraId="40E58D88" w14:textId="789EC3BC" w:rsidR="002D49B0" w:rsidRPr="00083739" w:rsidRDefault="00BF4125">
      <w:pPr>
        <w:spacing w:before="120" w:after="120" w:line="240" w:lineRule="auto"/>
        <w:jc w:val="both"/>
        <w:rPr>
          <w:rFonts w:ascii="Times New Roman" w:hAnsi="Times New Roman" w:cs="Times New Roman"/>
          <w:b/>
          <w:bCs/>
          <w:noProof/>
          <w:sz w:val="24"/>
          <w:u w:val="single"/>
          <w:lang w:val="sk-SK"/>
        </w:rPr>
      </w:pPr>
      <w:r w:rsidRPr="00083739">
        <w:rPr>
          <w:rFonts w:ascii="Times New Roman" w:hAnsi="Times New Roman" w:cs="Times New Roman"/>
          <w:b/>
          <w:noProof/>
          <w:sz w:val="24"/>
          <w:u w:val="single"/>
          <w:lang w:val="sk-SK"/>
        </w:rPr>
        <w:t xml:space="preserve">H.2. </w:t>
      </w:r>
      <w:r w:rsidRPr="00083739">
        <w:rPr>
          <w:rFonts w:ascii="Times New Roman" w:hAnsi="Times New Roman" w:cs="Times New Roman"/>
          <w:noProof/>
          <w:lang w:val="sk-SK"/>
        </w:rPr>
        <w:t xml:space="preserve"> </w:t>
      </w:r>
      <w:r w:rsidRPr="00083739">
        <w:rPr>
          <w:rFonts w:ascii="Times New Roman" w:hAnsi="Times New Roman" w:cs="Times New Roman"/>
          <w:b/>
          <w:noProof/>
          <w:sz w:val="24"/>
          <w:u w:val="single"/>
          <w:lang w:val="sk-SK"/>
        </w:rPr>
        <w:t>Míľniky, ciele, ukazovatele</w:t>
      </w:r>
      <w:r w:rsidR="00083739" w:rsidRPr="00083739">
        <w:rPr>
          <w:rFonts w:ascii="Times New Roman" w:hAnsi="Times New Roman" w:cs="Times New Roman"/>
          <w:b/>
          <w:noProof/>
          <w:sz w:val="24"/>
          <w:u w:val="single"/>
          <w:lang w:val="sk-SK"/>
        </w:rPr>
        <w:t xml:space="preserve"> a </w:t>
      </w:r>
      <w:r w:rsidRPr="00083739">
        <w:rPr>
          <w:rFonts w:ascii="Times New Roman" w:hAnsi="Times New Roman" w:cs="Times New Roman"/>
          <w:b/>
          <w:noProof/>
          <w:sz w:val="24"/>
          <w:u w:val="single"/>
          <w:lang w:val="sk-SK"/>
        </w:rPr>
        <w:t>harmonogram monitorovania</w:t>
      </w:r>
      <w:r w:rsidR="00083739" w:rsidRPr="00083739">
        <w:rPr>
          <w:rFonts w:ascii="Times New Roman" w:hAnsi="Times New Roman" w:cs="Times New Roman"/>
          <w:b/>
          <w:noProof/>
          <w:sz w:val="24"/>
          <w:u w:val="single"/>
          <w:lang w:val="sk-SK"/>
        </w:rPr>
        <w:t xml:space="preserve"> a </w:t>
      </w:r>
      <w:r w:rsidRPr="00083739">
        <w:rPr>
          <w:rFonts w:ascii="Times New Roman" w:hAnsi="Times New Roman" w:cs="Times New Roman"/>
          <w:b/>
          <w:noProof/>
          <w:sz w:val="24"/>
          <w:u w:val="single"/>
          <w:lang w:val="sk-SK"/>
        </w:rPr>
        <w:t>realizácie pre nenávratnú finančnú podporu</w:t>
      </w:r>
    </w:p>
    <w:p w14:paraId="6C936257" w14:textId="7957F49A" w:rsidR="002D49B0" w:rsidRPr="00083739" w:rsidRDefault="00BF4125">
      <w:pPr>
        <w:pStyle w:val="P68B1DB1-Normal6"/>
        <w:keepNext/>
        <w:keepLines/>
        <w:spacing w:before="40" w:after="0" w:line="240" w:lineRule="auto"/>
        <w:jc w:val="both"/>
        <w:outlineLvl w:val="4"/>
        <w:rPr>
          <w:rFonts w:ascii="Times New Roman" w:hAnsi="Times New Roman" w:cs="Times New Roman"/>
          <w:noProof/>
          <w:lang w:val="sk-SK"/>
        </w:rPr>
      </w:pPr>
      <w:r w:rsidRPr="00083739">
        <w:rPr>
          <w:rFonts w:ascii="Times New Roman" w:hAnsi="Times New Roman" w:cs="Times New Roman"/>
          <w:noProof/>
          <w:lang w:val="sk-SK"/>
        </w:rPr>
        <w:t>Kľúčová reforma 6: Modernizácia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zjednodušenie pracovného práva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digitálna transformácia systémov práce</w:t>
      </w:r>
    </w:p>
    <w:p w14:paraId="03EF15B2" w14:textId="77777777" w:rsidR="002D49B0" w:rsidRPr="00083739" w:rsidRDefault="002D49B0">
      <w:pPr>
        <w:keepNext/>
        <w:keepLines/>
        <w:spacing w:before="40" w:after="0" w:line="240" w:lineRule="auto"/>
        <w:jc w:val="both"/>
        <w:outlineLvl w:val="4"/>
        <w:rPr>
          <w:rFonts w:ascii="Times New Roman" w:eastAsia="Times New Roman" w:hAnsi="Times New Roman" w:cs="Times New Roman"/>
          <w:noProof/>
          <w:color w:val="365F91"/>
          <w:sz w:val="24"/>
          <w:lang w:val="sk-SK"/>
        </w:rPr>
      </w:pPr>
    </w:p>
    <w:tbl>
      <w:tblPr>
        <w:tblpPr w:leftFromText="180" w:rightFromText="180" w:vertAnchor="text" w:tblpX="-5" w:tblpY="1"/>
        <w:tblOverlap w:val="never"/>
        <w:tblW w:w="15446" w:type="dxa"/>
        <w:tblLayout w:type="fixed"/>
        <w:tblLook w:val="04A0" w:firstRow="1" w:lastRow="0" w:firstColumn="1" w:lastColumn="0" w:noHBand="0" w:noVBand="1"/>
      </w:tblPr>
      <w:tblGrid>
        <w:gridCol w:w="1129"/>
        <w:gridCol w:w="1853"/>
        <w:gridCol w:w="1037"/>
        <w:gridCol w:w="1323"/>
        <w:gridCol w:w="1469"/>
        <w:gridCol w:w="981"/>
        <w:gridCol w:w="992"/>
        <w:gridCol w:w="709"/>
        <w:gridCol w:w="996"/>
        <w:gridCol w:w="709"/>
        <w:gridCol w:w="4248"/>
      </w:tblGrid>
      <w:tr w:rsidR="002D49B0" w:rsidRPr="00083739" w14:paraId="704617F5" w14:textId="77777777">
        <w:trPr>
          <w:trHeight w:val="614"/>
          <w:tblHeader/>
        </w:trPr>
        <w:tc>
          <w:tcPr>
            <w:tcW w:w="112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61FF023"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Poradové číslo</w:t>
            </w:r>
          </w:p>
        </w:tc>
        <w:tc>
          <w:tcPr>
            <w:tcW w:w="185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24C111C"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Súvisiace opatrenie (reforma alebo investícia)</w:t>
            </w:r>
          </w:p>
        </w:tc>
        <w:tc>
          <w:tcPr>
            <w:tcW w:w="103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B3920F6"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Míľnik/cieľ</w:t>
            </w:r>
          </w:p>
        </w:tc>
        <w:tc>
          <w:tcPr>
            <w:tcW w:w="132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9B24347"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Názov</w:t>
            </w:r>
          </w:p>
        </w:tc>
        <w:tc>
          <w:tcPr>
            <w:tcW w:w="146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6CBC054"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Kvalitatívne ukazovatele (pre míľniky)</w:t>
            </w:r>
          </w:p>
        </w:tc>
        <w:tc>
          <w:tcPr>
            <w:tcW w:w="2682" w:type="dxa"/>
            <w:gridSpan w:val="3"/>
            <w:tcBorders>
              <w:top w:val="single" w:sz="4" w:space="0" w:color="auto"/>
              <w:left w:val="single" w:sz="4" w:space="0" w:color="auto"/>
              <w:bottom w:val="single" w:sz="4" w:space="0" w:color="auto"/>
              <w:right w:val="single" w:sz="4" w:space="0" w:color="auto"/>
            </w:tcBorders>
            <w:shd w:val="clear" w:color="auto" w:fill="BDD7EE"/>
            <w:vAlign w:val="center"/>
            <w:hideMark/>
          </w:tcPr>
          <w:p w14:paraId="419E1F92"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Kvantitatívne ukazovatele (pre ciele)</w:t>
            </w:r>
          </w:p>
        </w:tc>
        <w:tc>
          <w:tcPr>
            <w:tcW w:w="1705" w:type="dxa"/>
            <w:gridSpan w:val="2"/>
            <w:tcBorders>
              <w:top w:val="single" w:sz="4" w:space="0" w:color="auto"/>
              <w:left w:val="nil"/>
              <w:bottom w:val="single" w:sz="4" w:space="0" w:color="auto"/>
              <w:right w:val="single" w:sz="4" w:space="0" w:color="auto"/>
            </w:tcBorders>
            <w:shd w:val="clear" w:color="auto" w:fill="BDD7EE"/>
            <w:vAlign w:val="center"/>
            <w:hideMark/>
          </w:tcPr>
          <w:p w14:paraId="6A2E01B2"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Orientačný harmonogram dokončenia </w:t>
            </w:r>
          </w:p>
        </w:tc>
        <w:tc>
          <w:tcPr>
            <w:tcW w:w="424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2040BD2" w14:textId="134CDC12"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Opis každého míľnika</w:t>
            </w:r>
            <w:r w:rsidR="00083739" w:rsidRPr="00083739">
              <w:rPr>
                <w:rFonts w:cs="Times New Roman"/>
                <w:noProof/>
                <w:lang w:val="sk-SK"/>
              </w:rPr>
              <w:t xml:space="preserve"> a </w:t>
            </w:r>
            <w:r w:rsidRPr="00083739">
              <w:rPr>
                <w:rFonts w:cs="Times New Roman"/>
                <w:noProof/>
                <w:lang w:val="sk-SK"/>
              </w:rPr>
              <w:t>cieľa</w:t>
            </w:r>
          </w:p>
        </w:tc>
      </w:tr>
      <w:tr w:rsidR="002D49B0" w:rsidRPr="00083739" w14:paraId="0925F22F" w14:textId="77777777">
        <w:trPr>
          <w:trHeight w:val="542"/>
          <w:tblHead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4C11F356" w14:textId="77777777" w:rsidR="002D49B0" w:rsidRPr="00083739" w:rsidRDefault="002D49B0">
            <w:pPr>
              <w:spacing w:after="0" w:line="240" w:lineRule="auto"/>
              <w:jc w:val="center"/>
              <w:rPr>
                <w:rFonts w:ascii="Times New Roman" w:eastAsia="Times New Roman" w:hAnsi="Times New Roman" w:cs="Times New Roman"/>
                <w:b/>
                <w:bCs/>
                <w:noProof/>
                <w:sz w:val="18"/>
                <w:szCs w:val="18"/>
                <w:lang w:val="sk-SK"/>
              </w:rPr>
            </w:pPr>
          </w:p>
        </w:tc>
        <w:tc>
          <w:tcPr>
            <w:tcW w:w="1853" w:type="dxa"/>
            <w:vMerge/>
            <w:tcBorders>
              <w:top w:val="single" w:sz="4" w:space="0" w:color="auto"/>
              <w:left w:val="single" w:sz="4" w:space="0" w:color="auto"/>
              <w:bottom w:val="single" w:sz="4" w:space="0" w:color="auto"/>
              <w:right w:val="single" w:sz="4" w:space="0" w:color="auto"/>
            </w:tcBorders>
            <w:vAlign w:val="center"/>
            <w:hideMark/>
          </w:tcPr>
          <w:p w14:paraId="67B11935" w14:textId="77777777" w:rsidR="002D49B0" w:rsidRPr="00083739" w:rsidRDefault="002D49B0">
            <w:pPr>
              <w:spacing w:after="0" w:line="240" w:lineRule="auto"/>
              <w:jc w:val="center"/>
              <w:rPr>
                <w:rFonts w:ascii="Times New Roman" w:eastAsia="Times New Roman" w:hAnsi="Times New Roman" w:cs="Times New Roman"/>
                <w:b/>
                <w:bCs/>
                <w:noProof/>
                <w:sz w:val="18"/>
                <w:szCs w:val="18"/>
                <w:lang w:val="sk-SK"/>
              </w:rPr>
            </w:pPr>
          </w:p>
        </w:tc>
        <w:tc>
          <w:tcPr>
            <w:tcW w:w="1037" w:type="dxa"/>
            <w:vMerge/>
            <w:tcBorders>
              <w:top w:val="single" w:sz="4" w:space="0" w:color="auto"/>
              <w:left w:val="single" w:sz="4" w:space="0" w:color="auto"/>
              <w:bottom w:val="single" w:sz="4" w:space="0" w:color="auto"/>
              <w:right w:val="single" w:sz="4" w:space="0" w:color="auto"/>
            </w:tcBorders>
            <w:vAlign w:val="center"/>
            <w:hideMark/>
          </w:tcPr>
          <w:p w14:paraId="102106D6" w14:textId="77777777" w:rsidR="002D49B0" w:rsidRPr="00083739" w:rsidRDefault="002D49B0">
            <w:pPr>
              <w:spacing w:after="0" w:line="240" w:lineRule="auto"/>
              <w:jc w:val="center"/>
              <w:rPr>
                <w:rFonts w:ascii="Times New Roman" w:eastAsia="Times New Roman" w:hAnsi="Times New Roman" w:cs="Times New Roman"/>
                <w:b/>
                <w:bCs/>
                <w:noProof/>
                <w:sz w:val="18"/>
                <w:szCs w:val="18"/>
                <w:lang w:val="sk-SK"/>
              </w:rPr>
            </w:pPr>
          </w:p>
        </w:tc>
        <w:tc>
          <w:tcPr>
            <w:tcW w:w="1323" w:type="dxa"/>
            <w:vMerge/>
            <w:tcBorders>
              <w:top w:val="single" w:sz="4" w:space="0" w:color="auto"/>
              <w:left w:val="single" w:sz="4" w:space="0" w:color="auto"/>
              <w:bottom w:val="single" w:sz="4" w:space="0" w:color="auto"/>
              <w:right w:val="single" w:sz="4" w:space="0" w:color="auto"/>
            </w:tcBorders>
            <w:vAlign w:val="center"/>
            <w:hideMark/>
          </w:tcPr>
          <w:p w14:paraId="5E0FE787" w14:textId="77777777" w:rsidR="002D49B0" w:rsidRPr="00083739" w:rsidRDefault="002D49B0">
            <w:pPr>
              <w:spacing w:after="0" w:line="240" w:lineRule="auto"/>
              <w:jc w:val="center"/>
              <w:rPr>
                <w:rFonts w:ascii="Times New Roman" w:eastAsia="Times New Roman" w:hAnsi="Times New Roman" w:cs="Times New Roman"/>
                <w:b/>
                <w:bCs/>
                <w:noProof/>
                <w:sz w:val="18"/>
                <w:szCs w:val="18"/>
                <w:lang w:val="sk-SK"/>
              </w:rPr>
            </w:pPr>
          </w:p>
        </w:tc>
        <w:tc>
          <w:tcPr>
            <w:tcW w:w="1469" w:type="dxa"/>
            <w:vMerge/>
            <w:tcBorders>
              <w:top w:val="single" w:sz="4" w:space="0" w:color="auto"/>
              <w:left w:val="single" w:sz="4" w:space="0" w:color="auto"/>
              <w:bottom w:val="single" w:sz="4" w:space="0" w:color="auto"/>
              <w:right w:val="single" w:sz="4" w:space="0" w:color="auto"/>
            </w:tcBorders>
            <w:vAlign w:val="center"/>
            <w:hideMark/>
          </w:tcPr>
          <w:p w14:paraId="23321131" w14:textId="77777777" w:rsidR="002D49B0" w:rsidRPr="00083739" w:rsidRDefault="002D49B0">
            <w:pPr>
              <w:spacing w:after="0" w:line="240" w:lineRule="auto"/>
              <w:jc w:val="center"/>
              <w:rPr>
                <w:rFonts w:ascii="Times New Roman" w:eastAsia="Times New Roman" w:hAnsi="Times New Roman" w:cs="Times New Roman"/>
                <w:b/>
                <w:bCs/>
                <w:noProof/>
                <w:sz w:val="18"/>
                <w:szCs w:val="18"/>
                <w:lang w:val="sk-SK"/>
              </w:rPr>
            </w:pPr>
          </w:p>
        </w:tc>
        <w:tc>
          <w:tcPr>
            <w:tcW w:w="981"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52CA54E6"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Merná jednotka</w:t>
            </w:r>
          </w:p>
        </w:tc>
        <w:tc>
          <w:tcPr>
            <w:tcW w:w="992" w:type="dxa"/>
            <w:tcBorders>
              <w:top w:val="nil"/>
              <w:left w:val="nil"/>
              <w:bottom w:val="single" w:sz="4" w:space="0" w:color="auto"/>
              <w:right w:val="single" w:sz="4" w:space="0" w:color="auto"/>
            </w:tcBorders>
            <w:shd w:val="clear" w:color="auto" w:fill="BDD7EE"/>
            <w:vAlign w:val="center"/>
            <w:hideMark/>
          </w:tcPr>
          <w:p w14:paraId="3727DC10"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Základná </w:t>
            </w:r>
          </w:p>
        </w:tc>
        <w:tc>
          <w:tcPr>
            <w:tcW w:w="709" w:type="dxa"/>
            <w:tcBorders>
              <w:top w:val="nil"/>
              <w:left w:val="nil"/>
              <w:bottom w:val="single" w:sz="4" w:space="0" w:color="auto"/>
              <w:right w:val="single" w:sz="4" w:space="0" w:color="auto"/>
            </w:tcBorders>
            <w:shd w:val="clear" w:color="auto" w:fill="BDD7EE"/>
            <w:vAlign w:val="center"/>
            <w:hideMark/>
          </w:tcPr>
          <w:p w14:paraId="0F3229DB"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Cieľ </w:t>
            </w:r>
          </w:p>
        </w:tc>
        <w:tc>
          <w:tcPr>
            <w:tcW w:w="996" w:type="dxa"/>
            <w:tcBorders>
              <w:top w:val="nil"/>
              <w:left w:val="nil"/>
              <w:bottom w:val="single" w:sz="4" w:space="0" w:color="auto"/>
              <w:right w:val="single" w:sz="4" w:space="0" w:color="auto"/>
            </w:tcBorders>
            <w:shd w:val="clear" w:color="auto" w:fill="BDD7EE"/>
            <w:vAlign w:val="center"/>
            <w:hideMark/>
          </w:tcPr>
          <w:p w14:paraId="127C7A72"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Štvrtina</w:t>
            </w:r>
          </w:p>
        </w:tc>
        <w:tc>
          <w:tcPr>
            <w:tcW w:w="709" w:type="dxa"/>
            <w:tcBorders>
              <w:top w:val="nil"/>
              <w:left w:val="nil"/>
              <w:bottom w:val="single" w:sz="4" w:space="0" w:color="auto"/>
              <w:right w:val="single" w:sz="4" w:space="0" w:color="auto"/>
            </w:tcBorders>
            <w:shd w:val="clear" w:color="auto" w:fill="BDD7EE"/>
            <w:vAlign w:val="center"/>
            <w:hideMark/>
          </w:tcPr>
          <w:p w14:paraId="4C72309E"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Rok</w:t>
            </w:r>
          </w:p>
        </w:tc>
        <w:tc>
          <w:tcPr>
            <w:tcW w:w="4248" w:type="dxa"/>
            <w:vMerge/>
            <w:tcBorders>
              <w:top w:val="single" w:sz="4" w:space="0" w:color="auto"/>
              <w:bottom w:val="single" w:sz="4" w:space="0" w:color="auto"/>
              <w:right w:val="single" w:sz="4" w:space="0" w:color="auto"/>
            </w:tcBorders>
            <w:vAlign w:val="center"/>
            <w:hideMark/>
          </w:tcPr>
          <w:p w14:paraId="53C008FF"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r>
      <w:tr w:rsidR="002D49B0" w:rsidRPr="00083739" w14:paraId="49817C39" w14:textId="77777777">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tcPr>
          <w:p w14:paraId="0FC8BCD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133</w:t>
            </w:r>
          </w:p>
        </w:tc>
        <w:tc>
          <w:tcPr>
            <w:tcW w:w="1853" w:type="dxa"/>
            <w:tcBorders>
              <w:top w:val="single" w:sz="4" w:space="0" w:color="auto"/>
              <w:left w:val="nil"/>
              <w:bottom w:val="single" w:sz="4" w:space="0" w:color="auto"/>
              <w:right w:val="single" w:sz="4" w:space="0" w:color="auto"/>
            </w:tcBorders>
            <w:shd w:val="clear" w:color="auto" w:fill="C6EFCE"/>
            <w:noWrap/>
          </w:tcPr>
          <w:p w14:paraId="2301F7D9" w14:textId="4D4123ED"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8 – 3.1. Podpora vytvárania pracovných miest</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účasti na trhu práce – 16744_Modernizácia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zjednodušenie pracovného práva</w:t>
            </w:r>
          </w:p>
        </w:tc>
        <w:tc>
          <w:tcPr>
            <w:tcW w:w="1037" w:type="dxa"/>
            <w:tcBorders>
              <w:top w:val="single" w:sz="4" w:space="0" w:color="auto"/>
              <w:left w:val="nil"/>
              <w:bottom w:val="single" w:sz="4" w:space="0" w:color="auto"/>
              <w:right w:val="single" w:sz="4" w:space="0" w:color="auto"/>
            </w:tcBorders>
            <w:shd w:val="clear" w:color="auto" w:fill="C6EFCE"/>
            <w:noWrap/>
          </w:tcPr>
          <w:p w14:paraId="1D8E14F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23" w:type="dxa"/>
            <w:tcBorders>
              <w:top w:val="single" w:sz="4" w:space="0" w:color="auto"/>
              <w:left w:val="nil"/>
              <w:bottom w:val="single" w:sz="4" w:space="0" w:color="auto"/>
              <w:right w:val="single" w:sz="4" w:space="0" w:color="auto"/>
            </w:tcBorders>
            <w:shd w:val="clear" w:color="auto" w:fill="C6EFCE"/>
            <w:noWrap/>
          </w:tcPr>
          <w:p w14:paraId="6EC6954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pracovného práva</w:t>
            </w:r>
          </w:p>
        </w:tc>
        <w:tc>
          <w:tcPr>
            <w:tcW w:w="1469" w:type="dxa"/>
            <w:tcBorders>
              <w:top w:val="single" w:sz="4" w:space="0" w:color="auto"/>
              <w:left w:val="nil"/>
              <w:bottom w:val="single" w:sz="4" w:space="0" w:color="auto"/>
              <w:right w:val="single" w:sz="4" w:space="0" w:color="auto"/>
            </w:tcBorders>
            <w:shd w:val="clear" w:color="auto" w:fill="C6EFCE"/>
            <w:noWrap/>
          </w:tcPr>
          <w:p w14:paraId="535AA1CF" w14:textId="623A92A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Ustanovenie</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zákone,</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 xml:space="preserve">ktorom sa uvádza nadobudnutie účinnosti — </w:t>
            </w:r>
          </w:p>
        </w:tc>
        <w:tc>
          <w:tcPr>
            <w:tcW w:w="981" w:type="dxa"/>
            <w:tcBorders>
              <w:top w:val="single" w:sz="4" w:space="0" w:color="auto"/>
              <w:left w:val="nil"/>
              <w:bottom w:val="single" w:sz="4" w:space="0" w:color="auto"/>
              <w:right w:val="single" w:sz="4" w:space="0" w:color="auto"/>
            </w:tcBorders>
            <w:shd w:val="clear" w:color="auto" w:fill="C6EFCE"/>
            <w:noWrap/>
          </w:tcPr>
          <w:p w14:paraId="56FE5F56"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2" w:type="dxa"/>
            <w:tcBorders>
              <w:top w:val="nil"/>
              <w:left w:val="nil"/>
              <w:bottom w:val="single" w:sz="4" w:space="0" w:color="auto"/>
              <w:right w:val="single" w:sz="4" w:space="0" w:color="auto"/>
            </w:tcBorders>
            <w:shd w:val="clear" w:color="auto" w:fill="C6EFCE"/>
            <w:noWrap/>
          </w:tcPr>
          <w:p w14:paraId="779C379C"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709" w:type="dxa"/>
            <w:tcBorders>
              <w:top w:val="nil"/>
              <w:left w:val="nil"/>
              <w:bottom w:val="single" w:sz="4" w:space="0" w:color="auto"/>
              <w:right w:val="single" w:sz="4" w:space="0" w:color="auto"/>
            </w:tcBorders>
            <w:shd w:val="clear" w:color="auto" w:fill="C6EFCE"/>
            <w:noWrap/>
          </w:tcPr>
          <w:p w14:paraId="3F0E65EA"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6" w:type="dxa"/>
            <w:tcBorders>
              <w:top w:val="nil"/>
              <w:left w:val="nil"/>
              <w:bottom w:val="single" w:sz="4" w:space="0" w:color="auto"/>
              <w:right w:val="single" w:sz="4" w:space="0" w:color="auto"/>
            </w:tcBorders>
            <w:shd w:val="clear" w:color="auto" w:fill="C6EFCE"/>
            <w:noWrap/>
          </w:tcPr>
          <w:p w14:paraId="2668A0C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TRETÍ ŠTVRŤROK</w:t>
            </w:r>
          </w:p>
        </w:tc>
        <w:tc>
          <w:tcPr>
            <w:tcW w:w="709" w:type="dxa"/>
            <w:tcBorders>
              <w:top w:val="nil"/>
              <w:left w:val="nil"/>
              <w:bottom w:val="single" w:sz="4" w:space="0" w:color="auto"/>
              <w:right w:val="single" w:sz="4" w:space="0" w:color="auto"/>
            </w:tcBorders>
            <w:shd w:val="clear" w:color="auto" w:fill="C6EFCE"/>
            <w:noWrap/>
          </w:tcPr>
          <w:p w14:paraId="16ED5CF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2021</w:t>
            </w:r>
          </w:p>
        </w:tc>
        <w:tc>
          <w:tcPr>
            <w:tcW w:w="4248" w:type="dxa"/>
            <w:tcBorders>
              <w:top w:val="single" w:sz="4" w:space="0" w:color="auto"/>
              <w:left w:val="nil"/>
              <w:bottom w:val="single" w:sz="4" w:space="0" w:color="auto"/>
              <w:right w:val="single" w:sz="4" w:space="0" w:color="auto"/>
            </w:tcBorders>
            <w:shd w:val="clear" w:color="auto" w:fill="C6EFCE"/>
            <w:noWrap/>
          </w:tcPr>
          <w:p w14:paraId="2B146C0A" w14:textId="4E5A3E6C"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Nadobudnutie účinnosti pracovného zákona, ktorým sa zmodernizuje a) zákon</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individuálnej práci, b) kolektívny pracovný zákon</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odborový zákon, c) informačný systém ERGANI ministerstva práce</w:t>
            </w:r>
            <w:r w:rsidRPr="00083739">
              <w:rPr>
                <w:rFonts w:ascii="Times New Roman" w:hAnsi="Times New Roman" w:cs="Times New Roman"/>
                <w:noProof/>
                <w:lang w:val="sk-SK"/>
              </w:rPr>
              <w:t>, ktorý sa používa na monitorovanie trhu práce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odhaľovanie nedeklarovanej</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nedostatočne deklarovanej práce,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 rámec pre rovnováhu medzi pracovným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súkromným životom.</w:t>
            </w:r>
          </w:p>
        </w:tc>
      </w:tr>
      <w:tr w:rsidR="002D49B0" w:rsidRPr="00083739" w14:paraId="7DBC4E19" w14:textId="77777777">
        <w:trPr>
          <w:trHeight w:val="309"/>
        </w:trPr>
        <w:tc>
          <w:tcPr>
            <w:tcW w:w="1129" w:type="dxa"/>
            <w:tcBorders>
              <w:top w:val="nil"/>
              <w:left w:val="single" w:sz="4" w:space="0" w:color="auto"/>
              <w:bottom w:val="single" w:sz="4" w:space="0" w:color="auto"/>
              <w:right w:val="single" w:sz="4" w:space="0" w:color="auto"/>
            </w:tcBorders>
            <w:shd w:val="clear" w:color="auto" w:fill="C6EFCE"/>
            <w:noWrap/>
          </w:tcPr>
          <w:p w14:paraId="0787603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134</w:t>
            </w:r>
          </w:p>
        </w:tc>
        <w:tc>
          <w:tcPr>
            <w:tcW w:w="1853" w:type="dxa"/>
            <w:tcBorders>
              <w:top w:val="nil"/>
              <w:left w:val="nil"/>
              <w:bottom w:val="single" w:sz="4" w:space="0" w:color="auto"/>
              <w:right w:val="single" w:sz="4" w:space="0" w:color="auto"/>
            </w:tcBorders>
            <w:shd w:val="clear" w:color="auto" w:fill="C6EFCE"/>
            <w:noWrap/>
          </w:tcPr>
          <w:p w14:paraId="6F82D8B9" w14:textId="29704AA3"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8 – 3.1. Podpora vytvárania pracovných miest</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účasti na trhu práce – </w:t>
            </w:r>
            <w:r w:rsidRPr="00083739">
              <w:rPr>
                <w:rFonts w:ascii="Times New Roman" w:hAnsi="Times New Roman" w:cs="Times New Roman"/>
                <w:noProof/>
                <w:lang w:val="sk-SK"/>
              </w:rPr>
              <w:t>16750_Digitálna transformácia systémov práce</w:t>
            </w:r>
          </w:p>
        </w:tc>
        <w:tc>
          <w:tcPr>
            <w:tcW w:w="1037" w:type="dxa"/>
            <w:tcBorders>
              <w:top w:val="nil"/>
              <w:left w:val="nil"/>
              <w:bottom w:val="single" w:sz="4" w:space="0" w:color="auto"/>
              <w:right w:val="single" w:sz="4" w:space="0" w:color="auto"/>
            </w:tcBorders>
            <w:shd w:val="clear" w:color="auto" w:fill="C6EFCE"/>
            <w:noWrap/>
          </w:tcPr>
          <w:p w14:paraId="09C11AA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23" w:type="dxa"/>
            <w:tcBorders>
              <w:top w:val="nil"/>
              <w:left w:val="nil"/>
              <w:bottom w:val="single" w:sz="4" w:space="0" w:color="auto"/>
              <w:right w:val="single" w:sz="4" w:space="0" w:color="auto"/>
            </w:tcBorders>
            <w:shd w:val="clear" w:color="auto" w:fill="C6EFCE"/>
            <w:noWrap/>
          </w:tcPr>
          <w:p w14:paraId="50278235" w14:textId="641FC0EE"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Zadávanie zákaziek</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IT systémov práce</w:t>
            </w:r>
          </w:p>
        </w:tc>
        <w:tc>
          <w:tcPr>
            <w:tcW w:w="1469" w:type="dxa"/>
            <w:tcBorders>
              <w:top w:val="nil"/>
              <w:left w:val="nil"/>
              <w:bottom w:val="single" w:sz="4" w:space="0" w:color="auto"/>
              <w:right w:val="single" w:sz="4" w:space="0" w:color="auto"/>
            </w:tcBorders>
            <w:shd w:val="clear" w:color="auto" w:fill="C6EFCE"/>
            <w:noWrap/>
          </w:tcPr>
          <w:p w14:paraId="16BAFE6D" w14:textId="1ED798FE"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Oznámenie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zadaní zákazky</w:t>
            </w:r>
          </w:p>
        </w:tc>
        <w:tc>
          <w:tcPr>
            <w:tcW w:w="981" w:type="dxa"/>
            <w:tcBorders>
              <w:top w:val="nil"/>
              <w:left w:val="nil"/>
              <w:bottom w:val="single" w:sz="4" w:space="0" w:color="auto"/>
              <w:right w:val="single" w:sz="4" w:space="0" w:color="auto"/>
            </w:tcBorders>
            <w:shd w:val="clear" w:color="auto" w:fill="C6EFCE"/>
            <w:noWrap/>
          </w:tcPr>
          <w:p w14:paraId="1EBF66E7"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2" w:type="dxa"/>
            <w:tcBorders>
              <w:top w:val="nil"/>
              <w:left w:val="nil"/>
              <w:bottom w:val="single" w:sz="4" w:space="0" w:color="auto"/>
              <w:right w:val="single" w:sz="4" w:space="0" w:color="auto"/>
            </w:tcBorders>
            <w:shd w:val="clear" w:color="auto" w:fill="C6EFCE"/>
            <w:noWrap/>
          </w:tcPr>
          <w:p w14:paraId="2FDB7473"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709" w:type="dxa"/>
            <w:tcBorders>
              <w:top w:val="nil"/>
              <w:left w:val="nil"/>
              <w:bottom w:val="single" w:sz="4" w:space="0" w:color="auto"/>
              <w:right w:val="single" w:sz="4" w:space="0" w:color="auto"/>
            </w:tcBorders>
            <w:shd w:val="clear" w:color="auto" w:fill="C6EFCE"/>
            <w:noWrap/>
          </w:tcPr>
          <w:p w14:paraId="110F3307"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6" w:type="dxa"/>
            <w:tcBorders>
              <w:top w:val="nil"/>
              <w:left w:val="nil"/>
              <w:bottom w:val="single" w:sz="4" w:space="0" w:color="auto"/>
              <w:right w:val="single" w:sz="4" w:space="0" w:color="auto"/>
            </w:tcBorders>
            <w:shd w:val="clear" w:color="auto" w:fill="C6EFCE"/>
            <w:noWrap/>
          </w:tcPr>
          <w:p w14:paraId="0F253F7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09" w:type="dxa"/>
            <w:tcBorders>
              <w:top w:val="nil"/>
              <w:left w:val="nil"/>
              <w:bottom w:val="single" w:sz="4" w:space="0" w:color="auto"/>
              <w:right w:val="single" w:sz="4" w:space="0" w:color="auto"/>
            </w:tcBorders>
            <w:shd w:val="clear" w:color="auto" w:fill="C6EFCE"/>
            <w:noWrap/>
          </w:tcPr>
          <w:p w14:paraId="2300098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2022</w:t>
            </w:r>
          </w:p>
        </w:tc>
        <w:tc>
          <w:tcPr>
            <w:tcW w:w="4248" w:type="dxa"/>
            <w:tcBorders>
              <w:top w:val="nil"/>
              <w:left w:val="nil"/>
              <w:bottom w:val="single" w:sz="4" w:space="0" w:color="auto"/>
              <w:right w:val="single" w:sz="4" w:space="0" w:color="auto"/>
            </w:tcBorders>
            <w:shd w:val="clear" w:color="auto" w:fill="C6EFCE"/>
            <w:noWrap/>
          </w:tcPr>
          <w:p w14:paraId="537B39D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zadania zákazky na tieto projekty:</w:t>
            </w:r>
          </w:p>
          <w:p w14:paraId="3966E23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Jednotný informačný systém na monitorovanie trhu práce (AR</w:t>
            </w:r>
            <w:r w:rsidRPr="00083739">
              <w:rPr>
                <w:rFonts w:ascii="Times New Roman" w:hAnsi="Times New Roman" w:cs="Times New Roman"/>
                <w:noProof/>
                <w:lang w:val="sk-SK"/>
              </w:rPr>
              <w:t>IADNE)</w:t>
            </w:r>
          </w:p>
          <w:p w14:paraId="3B015483" w14:textId="25041A5D"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Bezpečnosť</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ochrana zdravia pri práci (HERIDANOS)</w:t>
            </w:r>
          </w:p>
          <w:p w14:paraId="3D13FB1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Proces stanovovania zákonnej minimálnej mzdy</w:t>
            </w:r>
          </w:p>
          <w:p w14:paraId="7D7AD1DC" w14:textId="77777777"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Digitalizácia histórie poistenia jednotného dôchodkového fondu (e-EFKA)</w:t>
            </w:r>
          </w:p>
          <w:p w14:paraId="4B3A5295" w14:textId="0A947C8D"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Nový integrovaný informačný systém pre e-EFKA (EFKA IITS)</w:t>
            </w:r>
          </w:p>
          <w:p w14:paraId="177EFCF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 Modernizácia </w:t>
            </w:r>
            <w:r w:rsidRPr="00083739">
              <w:rPr>
                <w:rFonts w:ascii="Times New Roman" w:hAnsi="Times New Roman" w:cs="Times New Roman"/>
                <w:noProof/>
                <w:lang w:val="sk-SK"/>
              </w:rPr>
              <w:t>digitálneho systému udeľovania dôchodkov (ATLAS)</w:t>
            </w:r>
          </w:p>
        </w:tc>
      </w:tr>
      <w:tr w:rsidR="002D49B0" w:rsidRPr="00083739" w14:paraId="6A115527" w14:textId="77777777">
        <w:trPr>
          <w:trHeight w:val="309"/>
        </w:trPr>
        <w:tc>
          <w:tcPr>
            <w:tcW w:w="1129" w:type="dxa"/>
            <w:tcBorders>
              <w:top w:val="nil"/>
              <w:left w:val="single" w:sz="4" w:space="0" w:color="auto"/>
              <w:bottom w:val="single" w:sz="4" w:space="0" w:color="auto"/>
              <w:right w:val="single" w:sz="4" w:space="0" w:color="auto"/>
            </w:tcBorders>
            <w:shd w:val="clear" w:color="auto" w:fill="C6EFCE"/>
            <w:noWrap/>
          </w:tcPr>
          <w:p w14:paraId="3C0D0D44" w14:textId="77777777"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135</w:t>
            </w:r>
          </w:p>
        </w:tc>
        <w:tc>
          <w:tcPr>
            <w:tcW w:w="1853" w:type="dxa"/>
            <w:tcBorders>
              <w:top w:val="single" w:sz="4" w:space="0" w:color="auto"/>
              <w:left w:val="nil"/>
              <w:bottom w:val="single" w:sz="4" w:space="0" w:color="auto"/>
              <w:right w:val="single" w:sz="4" w:space="0" w:color="auto"/>
            </w:tcBorders>
            <w:shd w:val="clear" w:color="auto" w:fill="C6EFCE"/>
            <w:noWrap/>
          </w:tcPr>
          <w:p w14:paraId="5BC2D107" w14:textId="69F5483F"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8 – 3.1. Podpora vytvárania pracovných miest</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účasti na trhu práce – 16942_Digitálna transformácia verejných služieb zamestnanosti (DYPA)</w:t>
            </w:r>
          </w:p>
        </w:tc>
        <w:tc>
          <w:tcPr>
            <w:tcW w:w="1037" w:type="dxa"/>
            <w:tcBorders>
              <w:top w:val="single" w:sz="4" w:space="0" w:color="auto"/>
              <w:left w:val="nil"/>
              <w:bottom w:val="single" w:sz="4" w:space="0" w:color="auto"/>
              <w:right w:val="single" w:sz="4" w:space="0" w:color="auto"/>
            </w:tcBorders>
            <w:shd w:val="clear" w:color="auto" w:fill="C6EFCE"/>
            <w:noWrap/>
          </w:tcPr>
          <w:p w14:paraId="5BD9E5E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23" w:type="dxa"/>
            <w:tcBorders>
              <w:top w:val="single" w:sz="4" w:space="0" w:color="auto"/>
              <w:left w:val="nil"/>
              <w:bottom w:val="single" w:sz="4" w:space="0" w:color="auto"/>
              <w:right w:val="single" w:sz="4" w:space="0" w:color="auto"/>
            </w:tcBorders>
            <w:shd w:val="clear" w:color="auto" w:fill="C6EFCE"/>
            <w:noWrap/>
          </w:tcPr>
          <w:p w14:paraId="51552854" w14:textId="41E6D0A3"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DYPA Digitalizácia, uchovávanie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archivácia archívov</w:t>
            </w:r>
          </w:p>
        </w:tc>
        <w:tc>
          <w:tcPr>
            <w:tcW w:w="1469" w:type="dxa"/>
            <w:tcBorders>
              <w:top w:val="single" w:sz="4" w:space="0" w:color="auto"/>
              <w:left w:val="nil"/>
              <w:bottom w:val="single" w:sz="4" w:space="0" w:color="auto"/>
              <w:right w:val="single" w:sz="4" w:space="0" w:color="auto"/>
            </w:tcBorders>
            <w:shd w:val="clear" w:color="auto" w:fill="C6EFCE"/>
            <w:noWrap/>
          </w:tcPr>
          <w:p w14:paraId="4AF909D0" w14:textId="532422BA"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Osvedčenie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prijatí výstupov projektu</w:t>
            </w:r>
          </w:p>
        </w:tc>
        <w:tc>
          <w:tcPr>
            <w:tcW w:w="981" w:type="dxa"/>
            <w:tcBorders>
              <w:top w:val="nil"/>
              <w:left w:val="nil"/>
              <w:bottom w:val="single" w:sz="4" w:space="0" w:color="auto"/>
              <w:right w:val="single" w:sz="4" w:space="0" w:color="auto"/>
            </w:tcBorders>
            <w:shd w:val="clear" w:color="auto" w:fill="C6EFCE"/>
            <w:noWrap/>
          </w:tcPr>
          <w:p w14:paraId="4EFA4E99"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2" w:type="dxa"/>
            <w:tcBorders>
              <w:top w:val="nil"/>
              <w:left w:val="nil"/>
              <w:bottom w:val="single" w:sz="4" w:space="0" w:color="auto"/>
              <w:right w:val="single" w:sz="4" w:space="0" w:color="auto"/>
            </w:tcBorders>
            <w:shd w:val="clear" w:color="auto" w:fill="C6EFCE"/>
            <w:noWrap/>
          </w:tcPr>
          <w:p w14:paraId="73A61BD8"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709" w:type="dxa"/>
            <w:tcBorders>
              <w:top w:val="nil"/>
              <w:left w:val="nil"/>
              <w:bottom w:val="single" w:sz="4" w:space="0" w:color="auto"/>
              <w:right w:val="single" w:sz="4" w:space="0" w:color="auto"/>
            </w:tcBorders>
            <w:shd w:val="clear" w:color="auto" w:fill="C6EFCE"/>
            <w:noWrap/>
          </w:tcPr>
          <w:p w14:paraId="46872C9F"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6" w:type="dxa"/>
            <w:tcBorders>
              <w:top w:val="nil"/>
              <w:left w:val="nil"/>
              <w:bottom w:val="single" w:sz="4" w:space="0" w:color="auto"/>
              <w:right w:val="single" w:sz="4" w:space="0" w:color="auto"/>
            </w:tcBorders>
            <w:shd w:val="clear" w:color="auto" w:fill="C6EFCE"/>
            <w:noWrap/>
          </w:tcPr>
          <w:p w14:paraId="4AC7B30B" w14:textId="77777777"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ŠTVRTÝ ŠTVRŤROK</w:t>
            </w:r>
          </w:p>
        </w:tc>
        <w:tc>
          <w:tcPr>
            <w:tcW w:w="709" w:type="dxa"/>
            <w:tcBorders>
              <w:top w:val="nil"/>
              <w:left w:val="nil"/>
              <w:bottom w:val="single" w:sz="4" w:space="0" w:color="auto"/>
              <w:right w:val="single" w:sz="4" w:space="0" w:color="auto"/>
            </w:tcBorders>
            <w:shd w:val="clear" w:color="auto" w:fill="C6EFCE"/>
            <w:noWrap/>
          </w:tcPr>
          <w:p w14:paraId="6A2C7A52" w14:textId="77777777"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2023</w:t>
            </w:r>
          </w:p>
        </w:tc>
        <w:tc>
          <w:tcPr>
            <w:tcW w:w="4248" w:type="dxa"/>
            <w:tcBorders>
              <w:top w:val="nil"/>
              <w:left w:val="nil"/>
              <w:bottom w:val="single" w:sz="4" w:space="0" w:color="auto"/>
              <w:right w:val="single" w:sz="4" w:space="0" w:color="auto"/>
            </w:tcBorders>
            <w:shd w:val="clear" w:color="auto" w:fill="C6EFCE"/>
            <w:noWrap/>
          </w:tcPr>
          <w:p w14:paraId="475D8703" w14:textId="56F590DD"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digitalizácie, uchovávania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archivácie archívov DYPA.</w:t>
            </w:r>
          </w:p>
        </w:tc>
      </w:tr>
      <w:tr w:rsidR="002D49B0" w:rsidRPr="00083739" w14:paraId="7FEC7A69" w14:textId="77777777">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tcPr>
          <w:p w14:paraId="35FCBBE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135a</w:t>
            </w:r>
          </w:p>
        </w:tc>
        <w:tc>
          <w:tcPr>
            <w:tcW w:w="1853" w:type="dxa"/>
            <w:tcBorders>
              <w:top w:val="single" w:sz="4" w:space="0" w:color="auto"/>
              <w:left w:val="nil"/>
              <w:bottom w:val="single" w:sz="4" w:space="0" w:color="auto"/>
              <w:right w:val="single" w:sz="4" w:space="0" w:color="auto"/>
            </w:tcBorders>
            <w:shd w:val="clear" w:color="auto" w:fill="C6EFCE"/>
            <w:noWrap/>
          </w:tcPr>
          <w:p w14:paraId="3BC1FEC9" w14:textId="4EF22DF6"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8 – 3.1. Podpora vytvárania pracovných miest</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účasti na trhu práce – 16942_Digitálna transformácia verejných služieb </w:t>
            </w:r>
            <w:r w:rsidRPr="00083739">
              <w:rPr>
                <w:rFonts w:ascii="Times New Roman" w:hAnsi="Times New Roman" w:cs="Times New Roman"/>
                <w:noProof/>
                <w:lang w:val="sk-SK"/>
              </w:rPr>
              <w:t>zamestnanosti</w:t>
            </w:r>
          </w:p>
        </w:tc>
        <w:tc>
          <w:tcPr>
            <w:tcW w:w="1037" w:type="dxa"/>
            <w:tcBorders>
              <w:top w:val="single" w:sz="4" w:space="0" w:color="auto"/>
              <w:left w:val="nil"/>
              <w:bottom w:val="single" w:sz="4" w:space="0" w:color="auto"/>
              <w:right w:val="single" w:sz="4" w:space="0" w:color="auto"/>
            </w:tcBorders>
            <w:shd w:val="clear" w:color="auto" w:fill="C6EFCE"/>
            <w:noWrap/>
          </w:tcPr>
          <w:p w14:paraId="1C584BC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Cieľ</w:t>
            </w:r>
          </w:p>
        </w:tc>
        <w:tc>
          <w:tcPr>
            <w:tcW w:w="1323" w:type="dxa"/>
            <w:tcBorders>
              <w:top w:val="single" w:sz="4" w:space="0" w:color="auto"/>
              <w:left w:val="nil"/>
              <w:bottom w:val="single" w:sz="4" w:space="0" w:color="auto"/>
              <w:right w:val="single" w:sz="4" w:space="0" w:color="auto"/>
            </w:tcBorders>
            <w:shd w:val="clear" w:color="auto" w:fill="C6EFCE"/>
            <w:noWrap/>
          </w:tcPr>
          <w:p w14:paraId="025EB95B" w14:textId="77777777" w:rsidR="002D49B0" w:rsidRPr="00083739" w:rsidRDefault="00BF4125">
            <w:pPr>
              <w:pStyle w:val="P68B1DB1-Normal9"/>
              <w:spacing w:after="0" w:line="240" w:lineRule="auto"/>
              <w:rPr>
                <w:rFonts w:ascii="Times New Roman" w:hAnsi="Times New Roman" w:cs="Times New Roman"/>
                <w:noProof/>
                <w:szCs w:val="18"/>
                <w:lang w:val="sk-SK"/>
              </w:rPr>
            </w:pPr>
            <w:r w:rsidRPr="00083739">
              <w:rPr>
                <w:rFonts w:ascii="Times New Roman" w:hAnsi="Times New Roman" w:cs="Times New Roman"/>
                <w:noProof/>
                <w:lang w:val="sk-SK"/>
              </w:rPr>
              <w:t>Digitálna transformácia DYPA</w:t>
            </w:r>
          </w:p>
        </w:tc>
        <w:tc>
          <w:tcPr>
            <w:tcW w:w="1469" w:type="dxa"/>
            <w:tcBorders>
              <w:top w:val="single" w:sz="4" w:space="0" w:color="auto"/>
              <w:left w:val="nil"/>
              <w:bottom w:val="single" w:sz="4" w:space="0" w:color="auto"/>
              <w:right w:val="single" w:sz="4" w:space="0" w:color="auto"/>
            </w:tcBorders>
            <w:shd w:val="clear" w:color="auto" w:fill="C6EFCE"/>
            <w:noWrap/>
          </w:tcPr>
          <w:p w14:paraId="06F978CE" w14:textId="38BDA6A4"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Správa DYPA potvrdzujúca dokončenie projektov a, b, c</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w:t>
            </w:r>
          </w:p>
        </w:tc>
        <w:tc>
          <w:tcPr>
            <w:tcW w:w="981" w:type="dxa"/>
            <w:tcBorders>
              <w:top w:val="single" w:sz="4" w:space="0" w:color="auto"/>
              <w:left w:val="nil"/>
              <w:bottom w:val="single" w:sz="4" w:space="0" w:color="auto"/>
              <w:right w:val="single" w:sz="4" w:space="0" w:color="auto"/>
            </w:tcBorders>
            <w:shd w:val="clear" w:color="auto" w:fill="C6EFCE"/>
            <w:noWrap/>
          </w:tcPr>
          <w:p w14:paraId="2B9C38C7"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2" w:type="dxa"/>
            <w:tcBorders>
              <w:top w:val="single" w:sz="4" w:space="0" w:color="auto"/>
              <w:left w:val="nil"/>
              <w:bottom w:val="single" w:sz="4" w:space="0" w:color="auto"/>
              <w:right w:val="single" w:sz="4" w:space="0" w:color="auto"/>
            </w:tcBorders>
            <w:shd w:val="clear" w:color="auto" w:fill="C6EFCE"/>
            <w:noWrap/>
          </w:tcPr>
          <w:p w14:paraId="233AEEC5"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709" w:type="dxa"/>
            <w:tcBorders>
              <w:top w:val="single" w:sz="4" w:space="0" w:color="auto"/>
              <w:left w:val="nil"/>
              <w:bottom w:val="single" w:sz="4" w:space="0" w:color="auto"/>
              <w:right w:val="single" w:sz="4" w:space="0" w:color="auto"/>
            </w:tcBorders>
            <w:shd w:val="clear" w:color="auto" w:fill="C6EFCE"/>
            <w:noWrap/>
          </w:tcPr>
          <w:p w14:paraId="26E6C6E9"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6" w:type="dxa"/>
            <w:tcBorders>
              <w:top w:val="single" w:sz="4" w:space="0" w:color="auto"/>
              <w:left w:val="nil"/>
              <w:bottom w:val="single" w:sz="4" w:space="0" w:color="auto"/>
              <w:right w:val="single" w:sz="4" w:space="0" w:color="auto"/>
            </w:tcBorders>
            <w:shd w:val="clear" w:color="auto" w:fill="C6EFCE"/>
            <w:noWrap/>
          </w:tcPr>
          <w:p w14:paraId="7E69917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09" w:type="dxa"/>
            <w:tcBorders>
              <w:top w:val="single" w:sz="4" w:space="0" w:color="auto"/>
              <w:left w:val="nil"/>
              <w:bottom w:val="single" w:sz="4" w:space="0" w:color="auto"/>
              <w:right w:val="single" w:sz="4" w:space="0" w:color="auto"/>
            </w:tcBorders>
            <w:shd w:val="clear" w:color="auto" w:fill="C6EFCE"/>
            <w:noWrap/>
          </w:tcPr>
          <w:p w14:paraId="32FED9B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4248" w:type="dxa"/>
            <w:tcBorders>
              <w:top w:val="single" w:sz="4" w:space="0" w:color="auto"/>
              <w:left w:val="single" w:sz="4" w:space="0" w:color="auto"/>
              <w:bottom w:val="single" w:sz="4" w:space="0" w:color="auto"/>
              <w:right w:val="single" w:sz="4" w:space="0" w:color="auto"/>
            </w:tcBorders>
            <w:shd w:val="clear" w:color="auto" w:fill="C6EFCE"/>
            <w:noWrap/>
          </w:tcPr>
          <w:p w14:paraId="7DA7DF24" w14:textId="77777777" w:rsidR="00083739" w:rsidRPr="00083739" w:rsidRDefault="00BF4125">
            <w:pPr>
              <w:pStyle w:val="P68B1DB1-paragraph26"/>
              <w:spacing w:before="0" w:beforeAutospacing="0" w:after="0" w:afterAutospacing="0"/>
              <w:textAlignment w:val="baseline"/>
              <w:rPr>
                <w:rFonts w:ascii="Times New Roman" w:hAnsi="Times New Roman"/>
                <w:noProof/>
                <w:lang w:val="sk-SK"/>
              </w:rPr>
            </w:pPr>
            <w:r w:rsidRPr="00083739">
              <w:rPr>
                <w:rFonts w:ascii="Times New Roman" w:hAnsi="Times New Roman"/>
                <w:noProof/>
                <w:lang w:val="sk-SK"/>
              </w:rPr>
              <w:t>Dokončenie digitálnej transformácie verejných služieb zamestnanosti prostredníctvom</w:t>
            </w:r>
            <w:r w:rsidR="00083739" w:rsidRPr="00083739">
              <w:rPr>
                <w:rFonts w:ascii="Times New Roman" w:hAnsi="Times New Roman"/>
                <w:noProof/>
                <w:lang w:val="sk-SK"/>
              </w:rPr>
              <w:t>:</w:t>
            </w:r>
          </w:p>
          <w:p w14:paraId="185F54D1" w14:textId="6F19B7E5" w:rsidR="00083739" w:rsidRPr="00083739" w:rsidRDefault="00BF4125">
            <w:pPr>
              <w:pStyle w:val="P68B1DB1-paragraph26"/>
              <w:spacing w:before="0" w:beforeAutospacing="0" w:after="0" w:afterAutospacing="0"/>
              <w:textAlignment w:val="baseline"/>
              <w:rPr>
                <w:rFonts w:ascii="Times New Roman" w:hAnsi="Times New Roman"/>
                <w:noProof/>
                <w:lang w:val="sk-SK"/>
              </w:rPr>
            </w:pPr>
            <w:r w:rsidRPr="00083739">
              <w:rPr>
                <w:rFonts w:ascii="Times New Roman" w:hAnsi="Times New Roman"/>
                <w:noProof/>
                <w:lang w:val="sk-SK"/>
              </w:rPr>
              <w:t>a) nákup siedmich nových IT systémov,</w:t>
            </w:r>
            <w:r w:rsidR="00083739" w:rsidRPr="00083739">
              <w:rPr>
                <w:rFonts w:ascii="Times New Roman" w:hAnsi="Times New Roman"/>
                <w:noProof/>
                <w:lang w:val="sk-SK"/>
              </w:rPr>
              <w:t xml:space="preserve"> a </w:t>
            </w:r>
            <w:r w:rsidRPr="00083739">
              <w:rPr>
                <w:rFonts w:ascii="Times New Roman" w:hAnsi="Times New Roman"/>
                <w:noProof/>
                <w:lang w:val="sk-SK"/>
              </w:rPr>
              <w:t>to webových aj pôvodných aplikácií [OVP OPS, systém správy aktív, FMIS, HRM, kybernetická bezpečnosť, Chatbot, virtuálna stolová infraštruktúra (VDI)]</w:t>
            </w:r>
            <w:r w:rsidR="00083739" w:rsidRPr="00083739">
              <w:rPr>
                <w:rFonts w:ascii="Times New Roman" w:hAnsi="Times New Roman"/>
                <w:noProof/>
                <w:lang w:val="sk-SK"/>
              </w:rPr>
              <w:t>;</w:t>
            </w:r>
          </w:p>
          <w:p w14:paraId="584F88D5" w14:textId="411CB655" w:rsidR="002D49B0" w:rsidRPr="00083739" w:rsidRDefault="00BF4125">
            <w:pPr>
              <w:pStyle w:val="P68B1DB1-paragraph26"/>
              <w:spacing w:before="0" w:beforeAutospacing="0" w:after="0" w:afterAutospacing="0"/>
              <w:textAlignment w:val="baseline"/>
              <w:rPr>
                <w:rFonts w:ascii="Times New Roman" w:hAnsi="Times New Roman"/>
                <w:noProof/>
                <w:lang w:val="sk-SK"/>
              </w:rPr>
            </w:pPr>
            <w:r w:rsidRPr="00083739">
              <w:rPr>
                <w:rFonts w:ascii="Times New Roman" w:hAnsi="Times New Roman"/>
                <w:noProof/>
                <w:lang w:val="sk-SK"/>
              </w:rPr>
              <w:t>b) prepracovanie troch súčasných informačných systémov verejných služieb zamestnanosti, konkrétne (ex OE</w:t>
            </w:r>
            <w:r w:rsidRPr="00083739">
              <w:rPr>
                <w:rFonts w:ascii="Times New Roman" w:hAnsi="Times New Roman"/>
                <w:noProof/>
                <w:lang w:val="sk-SK"/>
              </w:rPr>
              <w:t>AD) DYPA App, OPS (ex OAED) DYPA, nový rozhodovací systém založený na dôkazoch</w:t>
            </w:r>
            <w:r w:rsidR="00083739" w:rsidRPr="00083739">
              <w:rPr>
                <w:rFonts w:ascii="Times New Roman" w:hAnsi="Times New Roman"/>
                <w:noProof/>
                <w:lang w:val="sk-SK"/>
              </w:rPr>
              <w:t xml:space="preserve"> a </w:t>
            </w:r>
            <w:r w:rsidRPr="00083739">
              <w:rPr>
                <w:rFonts w:ascii="Times New Roman" w:hAnsi="Times New Roman"/>
                <w:noProof/>
                <w:lang w:val="sk-SK"/>
              </w:rPr>
              <w:t>založený na údajoch;</w:t>
            </w:r>
          </w:p>
          <w:p w14:paraId="3632FDDF" w14:textId="64114674" w:rsidR="00083739" w:rsidRPr="00083739" w:rsidRDefault="00BF4125">
            <w:pPr>
              <w:pStyle w:val="P68B1DB1-paragraph26"/>
              <w:spacing w:before="0" w:beforeAutospacing="0" w:after="0" w:afterAutospacing="0"/>
              <w:textAlignment w:val="baseline"/>
              <w:rPr>
                <w:rFonts w:ascii="Times New Roman" w:hAnsi="Times New Roman"/>
                <w:noProof/>
                <w:lang w:val="sk-SK"/>
              </w:rPr>
            </w:pPr>
            <w:r w:rsidRPr="00083739">
              <w:rPr>
                <w:rFonts w:ascii="Times New Roman" w:hAnsi="Times New Roman"/>
                <w:noProof/>
                <w:lang w:val="sk-SK"/>
              </w:rPr>
              <w:t>C) rozšírenie digitálnych služieb (prostredníctvom aplikácie DYPA), ktoré umožní DYPA poskytovať elektronické služby nezamestnaným</w:t>
            </w:r>
            <w:r w:rsidR="00083739" w:rsidRPr="00083739">
              <w:rPr>
                <w:rFonts w:ascii="Times New Roman" w:hAnsi="Times New Roman"/>
                <w:noProof/>
                <w:lang w:val="sk-SK"/>
              </w:rPr>
              <w:t xml:space="preserve"> a </w:t>
            </w:r>
            <w:r w:rsidRPr="00083739">
              <w:rPr>
                <w:rFonts w:ascii="Times New Roman" w:hAnsi="Times New Roman"/>
                <w:noProof/>
                <w:lang w:val="sk-SK"/>
              </w:rPr>
              <w:t>firmám prostredníctvo</w:t>
            </w:r>
            <w:r w:rsidRPr="00083739">
              <w:rPr>
                <w:rFonts w:ascii="Times New Roman" w:hAnsi="Times New Roman"/>
                <w:noProof/>
                <w:lang w:val="sk-SK"/>
              </w:rPr>
              <w:t>m mobilných telefónov</w:t>
            </w:r>
            <w:r w:rsidR="00083739" w:rsidRPr="00083739">
              <w:rPr>
                <w:rFonts w:ascii="Times New Roman" w:hAnsi="Times New Roman"/>
                <w:noProof/>
                <w:lang w:val="sk-SK"/>
              </w:rPr>
              <w:t xml:space="preserve"> a </w:t>
            </w:r>
            <w:r w:rsidRPr="00083739">
              <w:rPr>
                <w:rFonts w:ascii="Times New Roman" w:hAnsi="Times New Roman"/>
                <w:noProof/>
                <w:lang w:val="sk-SK"/>
              </w:rPr>
              <w:t>tabletov</w:t>
            </w:r>
            <w:r w:rsidR="00083739" w:rsidRPr="00083739">
              <w:rPr>
                <w:rFonts w:ascii="Times New Roman" w:hAnsi="Times New Roman"/>
                <w:noProof/>
                <w:lang w:val="sk-SK"/>
              </w:rPr>
              <w:t>;</w:t>
            </w:r>
          </w:p>
          <w:p w14:paraId="29B1FE01" w14:textId="036C3777" w:rsidR="002D49B0" w:rsidRPr="00083739" w:rsidRDefault="00BF4125">
            <w:pPr>
              <w:pStyle w:val="P68B1DB1-paragraph26"/>
              <w:spacing w:before="0" w:beforeAutospacing="0" w:after="0" w:afterAutospacing="0"/>
              <w:rPr>
                <w:rFonts w:ascii="Times New Roman" w:hAnsi="Times New Roman"/>
                <w:noProof/>
                <w:lang w:val="sk-SK"/>
              </w:rPr>
            </w:pPr>
            <w:r w:rsidRPr="00083739">
              <w:rPr>
                <w:rFonts w:ascii="Times New Roman" w:hAnsi="Times New Roman"/>
                <w:noProof/>
                <w:lang w:val="sk-SK"/>
              </w:rPr>
              <w:t>d) Vytvorenie nástroja, ktorý pomôže verejným službám zamestnanosti optimalizovať proces zosúlaďovania ponuky</w:t>
            </w:r>
            <w:r w:rsidR="00083739" w:rsidRPr="00083739">
              <w:rPr>
                <w:rFonts w:ascii="Times New Roman" w:hAnsi="Times New Roman"/>
                <w:noProof/>
                <w:lang w:val="sk-SK"/>
              </w:rPr>
              <w:t xml:space="preserve"> a </w:t>
            </w:r>
            <w:r w:rsidRPr="00083739">
              <w:rPr>
                <w:rFonts w:ascii="Times New Roman" w:hAnsi="Times New Roman"/>
                <w:noProof/>
                <w:lang w:val="sk-SK"/>
              </w:rPr>
              <w:t>dopytu po pracovnej sile.</w:t>
            </w:r>
          </w:p>
          <w:p w14:paraId="2C6A2A7B"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r>
      <w:tr w:rsidR="002D49B0" w:rsidRPr="00083739" w14:paraId="4DA037FA" w14:textId="77777777">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tcPr>
          <w:p w14:paraId="1D28F0D8" w14:textId="781A60F4" w:rsidR="002D49B0" w:rsidRPr="00083739" w:rsidRDefault="00BF4125">
            <w:pPr>
              <w:pStyle w:val="P68B1DB1-Normal17"/>
              <w:spacing w:after="0" w:line="240" w:lineRule="auto"/>
              <w:rPr>
                <w:rFonts w:ascii="Times New Roman" w:hAnsi="Times New Roman" w:cs="Times New Roman"/>
                <w:noProof/>
                <w:lang w:val="sk-SK"/>
              </w:rPr>
            </w:pPr>
            <w:r w:rsidRPr="00083739">
              <w:rPr>
                <w:rFonts w:ascii="Times New Roman" w:hAnsi="Times New Roman" w:cs="Times New Roman"/>
                <w:noProof/>
                <w:lang w:val="sk-SK"/>
              </w:rPr>
              <w:t>134a</w:t>
            </w:r>
          </w:p>
        </w:tc>
        <w:tc>
          <w:tcPr>
            <w:tcW w:w="1853" w:type="dxa"/>
            <w:tcBorders>
              <w:top w:val="single" w:sz="4" w:space="0" w:color="auto"/>
              <w:left w:val="nil"/>
              <w:bottom w:val="single" w:sz="4" w:space="0" w:color="auto"/>
              <w:right w:val="single" w:sz="4" w:space="0" w:color="auto"/>
            </w:tcBorders>
            <w:shd w:val="clear" w:color="auto" w:fill="C6EFCE"/>
            <w:noWrap/>
          </w:tcPr>
          <w:p w14:paraId="46AC5AE5" w14:textId="19FBF432"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8 – 3.1. Podpora vytvárania pracovných miest</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účasti na trhu práce – </w:t>
            </w:r>
            <w:r w:rsidRPr="00083739">
              <w:rPr>
                <w:rFonts w:ascii="Times New Roman" w:hAnsi="Times New Roman" w:cs="Times New Roman"/>
                <w:noProof/>
                <w:lang w:val="sk-SK"/>
              </w:rPr>
              <w:t>16750_Digitálna transformácia systémov práce</w:t>
            </w:r>
          </w:p>
        </w:tc>
        <w:tc>
          <w:tcPr>
            <w:tcW w:w="1037" w:type="dxa"/>
            <w:tcBorders>
              <w:top w:val="single" w:sz="4" w:space="0" w:color="auto"/>
              <w:left w:val="nil"/>
              <w:bottom w:val="single" w:sz="4" w:space="0" w:color="auto"/>
              <w:right w:val="single" w:sz="4" w:space="0" w:color="auto"/>
            </w:tcBorders>
            <w:shd w:val="clear" w:color="auto" w:fill="C6EFCE"/>
            <w:noWrap/>
          </w:tcPr>
          <w:p w14:paraId="5D27E785" w14:textId="681BD056" w:rsidR="002D49B0" w:rsidRPr="00083739" w:rsidRDefault="00BF4125">
            <w:pPr>
              <w:pStyle w:val="P68B1DB1-Normal17"/>
              <w:spacing w:after="0" w:line="240" w:lineRule="auto"/>
              <w:rPr>
                <w:rFonts w:ascii="Times New Roman" w:hAnsi="Times New Roman" w:cs="Times New Roman"/>
                <w:noProof/>
                <w:lang w:val="sk-SK"/>
              </w:rPr>
            </w:pPr>
            <w:r w:rsidRPr="00083739">
              <w:rPr>
                <w:rFonts w:ascii="Times New Roman" w:hAnsi="Times New Roman" w:cs="Times New Roman"/>
                <w:noProof/>
                <w:lang w:val="sk-SK"/>
              </w:rPr>
              <w:t>Míľnik</w:t>
            </w:r>
          </w:p>
        </w:tc>
        <w:tc>
          <w:tcPr>
            <w:tcW w:w="1323" w:type="dxa"/>
            <w:tcBorders>
              <w:top w:val="single" w:sz="4" w:space="0" w:color="auto"/>
              <w:left w:val="nil"/>
              <w:bottom w:val="single" w:sz="4" w:space="0" w:color="auto"/>
              <w:right w:val="single" w:sz="4" w:space="0" w:color="auto"/>
            </w:tcBorders>
            <w:shd w:val="clear" w:color="auto" w:fill="C6EFCE"/>
            <w:noWrap/>
          </w:tcPr>
          <w:p w14:paraId="5EE9BB79" w14:textId="7F3CF5C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systémov IT</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práce</w:t>
            </w:r>
          </w:p>
        </w:tc>
        <w:tc>
          <w:tcPr>
            <w:tcW w:w="1469" w:type="dxa"/>
            <w:tcBorders>
              <w:top w:val="single" w:sz="4" w:space="0" w:color="auto"/>
              <w:left w:val="nil"/>
              <w:bottom w:val="single" w:sz="4" w:space="0" w:color="auto"/>
              <w:right w:val="single" w:sz="4" w:space="0" w:color="auto"/>
            </w:tcBorders>
            <w:shd w:val="clear" w:color="auto" w:fill="C6EFCE"/>
            <w:noWrap/>
          </w:tcPr>
          <w:p w14:paraId="47C9E8D9" w14:textId="58CA9E50" w:rsidR="002D49B0" w:rsidRPr="00083739" w:rsidRDefault="00BF4125">
            <w:pPr>
              <w:pStyle w:val="P68B1DB1-Normal17"/>
              <w:spacing w:after="0" w:line="240" w:lineRule="auto"/>
              <w:rPr>
                <w:rFonts w:ascii="Times New Roman" w:hAnsi="Times New Roman" w:cs="Times New Roman"/>
                <w:noProof/>
                <w:lang w:val="sk-SK"/>
              </w:rPr>
            </w:pPr>
            <w:r w:rsidRPr="00083739">
              <w:rPr>
                <w:rFonts w:ascii="Times New Roman" w:hAnsi="Times New Roman" w:cs="Times New Roman"/>
                <w:noProof/>
                <w:lang w:val="sk-SK"/>
              </w:rPr>
              <w:t>Osvedčenie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prijatí výsledkov projektov</w:t>
            </w:r>
          </w:p>
        </w:tc>
        <w:tc>
          <w:tcPr>
            <w:tcW w:w="981" w:type="dxa"/>
            <w:tcBorders>
              <w:top w:val="single" w:sz="4" w:space="0" w:color="auto"/>
              <w:left w:val="nil"/>
              <w:bottom w:val="single" w:sz="4" w:space="0" w:color="auto"/>
              <w:right w:val="single" w:sz="4" w:space="0" w:color="auto"/>
            </w:tcBorders>
            <w:shd w:val="clear" w:color="auto" w:fill="C6EFCE"/>
            <w:noWrap/>
          </w:tcPr>
          <w:p w14:paraId="27F6A925"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2" w:type="dxa"/>
            <w:tcBorders>
              <w:top w:val="single" w:sz="4" w:space="0" w:color="auto"/>
              <w:left w:val="nil"/>
              <w:bottom w:val="single" w:sz="4" w:space="0" w:color="auto"/>
              <w:right w:val="single" w:sz="4" w:space="0" w:color="auto"/>
            </w:tcBorders>
            <w:shd w:val="clear" w:color="auto" w:fill="C6EFCE"/>
            <w:noWrap/>
          </w:tcPr>
          <w:p w14:paraId="3CC3C1E4"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709" w:type="dxa"/>
            <w:tcBorders>
              <w:top w:val="single" w:sz="4" w:space="0" w:color="auto"/>
              <w:left w:val="nil"/>
              <w:bottom w:val="single" w:sz="4" w:space="0" w:color="auto"/>
              <w:right w:val="single" w:sz="4" w:space="0" w:color="auto"/>
            </w:tcBorders>
            <w:shd w:val="clear" w:color="auto" w:fill="C6EFCE"/>
            <w:noWrap/>
          </w:tcPr>
          <w:p w14:paraId="3CF20C50"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6" w:type="dxa"/>
            <w:tcBorders>
              <w:top w:val="single" w:sz="4" w:space="0" w:color="auto"/>
              <w:left w:val="nil"/>
              <w:bottom w:val="single" w:sz="4" w:space="0" w:color="auto"/>
              <w:right w:val="single" w:sz="4" w:space="0" w:color="auto"/>
            </w:tcBorders>
            <w:shd w:val="clear" w:color="auto" w:fill="C6EFCE"/>
            <w:noWrap/>
          </w:tcPr>
          <w:p w14:paraId="2CCF33A7" w14:textId="71ED5DA6" w:rsidR="002D49B0" w:rsidRPr="00083739" w:rsidRDefault="00BF4125">
            <w:pPr>
              <w:pStyle w:val="P68B1DB1-Normal17"/>
              <w:spacing w:after="0" w:line="240" w:lineRule="auto"/>
              <w:rPr>
                <w:rFonts w:ascii="Times New Roman" w:hAnsi="Times New Roman" w:cs="Times New Roman"/>
                <w:noProof/>
                <w:lang w:val="sk-SK"/>
              </w:rPr>
            </w:pPr>
            <w:r w:rsidRPr="00083739">
              <w:rPr>
                <w:rFonts w:ascii="Times New Roman" w:hAnsi="Times New Roman" w:cs="Times New Roman"/>
                <w:noProof/>
                <w:lang w:val="sk-SK"/>
              </w:rPr>
              <w:t>ŠTVRTÝ ŠTVRŤROK</w:t>
            </w:r>
          </w:p>
        </w:tc>
        <w:tc>
          <w:tcPr>
            <w:tcW w:w="709" w:type="dxa"/>
            <w:tcBorders>
              <w:top w:val="single" w:sz="4" w:space="0" w:color="auto"/>
              <w:left w:val="nil"/>
              <w:bottom w:val="single" w:sz="4" w:space="0" w:color="auto"/>
              <w:right w:val="single" w:sz="4" w:space="0" w:color="auto"/>
            </w:tcBorders>
            <w:shd w:val="clear" w:color="auto" w:fill="C6EFCE"/>
            <w:noWrap/>
          </w:tcPr>
          <w:p w14:paraId="23FD584C" w14:textId="781D4DCA" w:rsidR="002D49B0" w:rsidRPr="00083739" w:rsidRDefault="00BF4125">
            <w:pPr>
              <w:pStyle w:val="P68B1DB1-Normal17"/>
              <w:spacing w:after="0" w:line="240" w:lineRule="auto"/>
              <w:rPr>
                <w:rFonts w:ascii="Times New Roman" w:hAnsi="Times New Roman" w:cs="Times New Roman"/>
                <w:noProof/>
                <w:lang w:val="sk-SK"/>
              </w:rPr>
            </w:pPr>
            <w:r w:rsidRPr="00083739">
              <w:rPr>
                <w:rFonts w:ascii="Times New Roman" w:hAnsi="Times New Roman" w:cs="Times New Roman"/>
                <w:noProof/>
                <w:lang w:val="sk-SK"/>
              </w:rPr>
              <w:t>2025</w:t>
            </w:r>
          </w:p>
        </w:tc>
        <w:tc>
          <w:tcPr>
            <w:tcW w:w="4248" w:type="dxa"/>
            <w:tcBorders>
              <w:top w:val="single" w:sz="4" w:space="0" w:color="auto"/>
              <w:left w:val="single" w:sz="4" w:space="0" w:color="auto"/>
              <w:bottom w:val="single" w:sz="4" w:space="0" w:color="auto"/>
              <w:right w:val="single" w:sz="4" w:space="0" w:color="auto"/>
            </w:tcBorders>
            <w:shd w:val="clear" w:color="auto" w:fill="C6EFCE"/>
            <w:noWrap/>
          </w:tcPr>
          <w:p w14:paraId="16FAD136" w14:textId="088C1163"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týchto projektov:</w:t>
            </w:r>
          </w:p>
          <w:p w14:paraId="2F38BB5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Jednotný informačný systém na monitorovanie trhu práce (ARIADNE)</w:t>
            </w:r>
          </w:p>
          <w:p w14:paraId="2E76DCD5" w14:textId="6B1BB3AE"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Be</w:t>
            </w:r>
            <w:r w:rsidRPr="00083739">
              <w:rPr>
                <w:rFonts w:ascii="Times New Roman" w:hAnsi="Times New Roman" w:cs="Times New Roman"/>
                <w:noProof/>
                <w:lang w:val="sk-SK"/>
              </w:rPr>
              <w:t>zpečnosť</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ochrana zdravia pri práci (HERIDANOS)</w:t>
            </w:r>
          </w:p>
          <w:p w14:paraId="2102990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Proces stanovovania zákonnej minimálnej mzdy</w:t>
            </w:r>
          </w:p>
          <w:p w14:paraId="6D4A3A10" w14:textId="77777777"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Digitalizácia histórie poistenia jednotného dôchodkového fondu (e-EFKA)</w:t>
            </w:r>
          </w:p>
          <w:p w14:paraId="7F5DD423" w14:textId="6BD1DE4E"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 Nový integrovaný informačný systém pre e-EFKA (EFKA IITS) vrátane modernizácie digit</w:t>
            </w:r>
            <w:r w:rsidRPr="00083739">
              <w:rPr>
                <w:rFonts w:ascii="Times New Roman" w:hAnsi="Times New Roman" w:cs="Times New Roman"/>
                <w:noProof/>
                <w:lang w:val="sk-SK"/>
              </w:rPr>
              <w:t>álneho systému udeľovania dôchodkov (ATLAS)</w:t>
            </w:r>
          </w:p>
        </w:tc>
      </w:tr>
    </w:tbl>
    <w:p w14:paraId="6A99AD9F" w14:textId="7E46DB1A" w:rsidR="002D49B0" w:rsidRPr="00083739" w:rsidRDefault="00BF4125">
      <w:pPr>
        <w:pStyle w:val="NormalLeft"/>
        <w:jc w:val="both"/>
        <w:rPr>
          <w:noProof/>
          <w:lang w:val="sk-SK"/>
        </w:rPr>
        <w:sectPr w:rsidR="002D49B0" w:rsidRPr="00083739" w:rsidSect="00271D33">
          <w:headerReference w:type="even" r:id="rId139"/>
          <w:headerReference w:type="default" r:id="rId140"/>
          <w:footerReference w:type="even" r:id="rId141"/>
          <w:footerReference w:type="default" r:id="rId142"/>
          <w:headerReference w:type="first" r:id="rId143"/>
          <w:footerReference w:type="first" r:id="rId144"/>
          <w:pgSz w:w="16839" w:h="11907" w:orient="landscape"/>
          <w:pgMar w:top="720" w:right="720" w:bottom="720" w:left="720" w:header="709" w:footer="217" w:gutter="0"/>
          <w:cols w:space="720"/>
          <w:docGrid w:linePitch="360"/>
        </w:sectPr>
      </w:pPr>
      <w:r w:rsidRPr="00083739">
        <w:rPr>
          <w:noProof/>
          <w:lang w:val="sk-SK"/>
        </w:rPr>
        <w:br/>
      </w:r>
    </w:p>
    <w:p w14:paraId="24A69823" w14:textId="77777777" w:rsidR="002D49B0" w:rsidRPr="00083739" w:rsidRDefault="00BF4125">
      <w:pPr>
        <w:pStyle w:val="P68B1DB1-Normal2"/>
        <w:spacing w:before="120" w:after="120" w:line="240" w:lineRule="auto"/>
        <w:ind w:firstLine="6"/>
        <w:jc w:val="both"/>
        <w:outlineLvl w:val="3"/>
        <w:rPr>
          <w:rFonts w:cs="Times New Roman"/>
          <w:bCs/>
          <w:noProof/>
          <w:lang w:val="sk-SK"/>
        </w:rPr>
      </w:pPr>
      <w:r w:rsidRPr="00083739">
        <w:rPr>
          <w:rFonts w:cs="Times New Roman"/>
          <w:noProof/>
          <w:lang w:val="sk-SK"/>
        </w:rPr>
        <w:t>I. KOMPONENT 3.2: VZDELÁVANIE, ODBORNÉ VZDELÁVANIE, ODBORNÁ PRÍPRAVA A ZRUČNOSTI</w:t>
      </w:r>
    </w:p>
    <w:p w14:paraId="23C9BD06" w14:textId="1B0287BC" w:rsidR="00083739"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Cieľom tohto komponentu gréckeho plánu obnovy</w:t>
      </w:r>
      <w:r w:rsidR="00083739" w:rsidRPr="00083739">
        <w:rPr>
          <w:rFonts w:cs="Times New Roman"/>
          <w:noProof/>
          <w:lang w:val="sk-SK"/>
        </w:rPr>
        <w:t xml:space="preserve"> a </w:t>
      </w:r>
      <w:r w:rsidRPr="00083739">
        <w:rPr>
          <w:rFonts w:cs="Times New Roman"/>
          <w:noProof/>
          <w:lang w:val="sk-SK"/>
        </w:rPr>
        <w:t xml:space="preserve">odolnosti je </w:t>
      </w:r>
      <w:r w:rsidRPr="00083739">
        <w:rPr>
          <w:rFonts w:cs="Times New Roman"/>
          <w:noProof/>
          <w:lang w:val="sk-SK"/>
        </w:rPr>
        <w:t>zlepšiť kvalitu, efektívnosť</w:t>
      </w:r>
      <w:r w:rsidR="00083739" w:rsidRPr="00083739">
        <w:rPr>
          <w:rFonts w:cs="Times New Roman"/>
          <w:noProof/>
          <w:lang w:val="sk-SK"/>
        </w:rPr>
        <w:t xml:space="preserve"> a </w:t>
      </w:r>
      <w:r w:rsidRPr="00083739">
        <w:rPr>
          <w:rFonts w:cs="Times New Roman"/>
          <w:noProof/>
          <w:lang w:val="sk-SK"/>
        </w:rPr>
        <w:t>účinnosť systémov vzdelávania</w:t>
      </w:r>
      <w:r w:rsidR="00083739" w:rsidRPr="00083739">
        <w:rPr>
          <w:rFonts w:cs="Times New Roman"/>
          <w:noProof/>
          <w:lang w:val="sk-SK"/>
        </w:rPr>
        <w:t xml:space="preserve"> a </w:t>
      </w:r>
      <w:r w:rsidRPr="00083739">
        <w:rPr>
          <w:rFonts w:cs="Times New Roman"/>
          <w:noProof/>
          <w:lang w:val="sk-SK"/>
        </w:rPr>
        <w:t>celoživotného vzdelávania. Komponent zahŕňa investície do horizontálnych programov zvyšovania úrovne zručností</w:t>
      </w:r>
      <w:r w:rsidR="00083739" w:rsidRPr="00083739">
        <w:rPr>
          <w:rFonts w:cs="Times New Roman"/>
          <w:noProof/>
          <w:lang w:val="sk-SK"/>
        </w:rPr>
        <w:t xml:space="preserve"> v </w:t>
      </w:r>
      <w:r w:rsidRPr="00083739">
        <w:rPr>
          <w:rFonts w:cs="Times New Roman"/>
          <w:noProof/>
          <w:lang w:val="sk-SK"/>
        </w:rPr>
        <w:t>oblasti digitálnej, zelenej</w:t>
      </w:r>
      <w:r w:rsidR="00083739" w:rsidRPr="00083739">
        <w:rPr>
          <w:rFonts w:cs="Times New Roman"/>
          <w:noProof/>
          <w:lang w:val="sk-SK"/>
        </w:rPr>
        <w:t xml:space="preserve"> a </w:t>
      </w:r>
      <w:r w:rsidRPr="00083739">
        <w:rPr>
          <w:rFonts w:cs="Times New Roman"/>
          <w:noProof/>
          <w:lang w:val="sk-SK"/>
        </w:rPr>
        <w:t>finančnej gramotnosti pre celkovo 628000 prijímate</w:t>
      </w:r>
      <w:r w:rsidRPr="00083739">
        <w:rPr>
          <w:rFonts w:cs="Times New Roman"/>
          <w:noProof/>
          <w:lang w:val="sk-SK"/>
        </w:rPr>
        <w:t>ľov. Sprevádza ho reforma systému celoživotného vzdelávania</w:t>
      </w:r>
      <w:r w:rsidR="00083739" w:rsidRPr="00083739">
        <w:rPr>
          <w:rFonts w:cs="Times New Roman"/>
          <w:noProof/>
          <w:lang w:val="sk-SK"/>
        </w:rPr>
        <w:t xml:space="preserve"> s </w:t>
      </w:r>
      <w:r w:rsidRPr="00083739">
        <w:rPr>
          <w:rFonts w:cs="Times New Roman"/>
          <w:noProof/>
          <w:lang w:val="sk-SK"/>
        </w:rPr>
        <w:t>cieľom zlepšiť poskytovanie odbornej prípravy</w:t>
      </w:r>
      <w:r w:rsidR="00083739" w:rsidRPr="00083739">
        <w:rPr>
          <w:rFonts w:cs="Times New Roman"/>
          <w:noProof/>
          <w:lang w:val="sk-SK"/>
        </w:rPr>
        <w:t xml:space="preserve"> a </w:t>
      </w:r>
      <w:r w:rsidRPr="00083739">
        <w:rPr>
          <w:rFonts w:cs="Times New Roman"/>
          <w:noProof/>
          <w:lang w:val="sk-SK"/>
        </w:rPr>
        <w:t>balík reforiem</w:t>
      </w:r>
      <w:r w:rsidR="00083739" w:rsidRPr="00083739">
        <w:rPr>
          <w:rFonts w:cs="Times New Roman"/>
          <w:noProof/>
          <w:lang w:val="sk-SK"/>
        </w:rPr>
        <w:t xml:space="preserve"> a </w:t>
      </w:r>
      <w:r w:rsidRPr="00083739">
        <w:rPr>
          <w:rFonts w:cs="Times New Roman"/>
          <w:noProof/>
          <w:lang w:val="sk-SK"/>
        </w:rPr>
        <w:t>investícií zameraných na systémy odborného vzdelávania</w:t>
      </w:r>
      <w:r w:rsidR="00083739" w:rsidRPr="00083739">
        <w:rPr>
          <w:rFonts w:cs="Times New Roman"/>
          <w:noProof/>
          <w:lang w:val="sk-SK"/>
        </w:rPr>
        <w:t xml:space="preserve"> a </w:t>
      </w:r>
      <w:r w:rsidRPr="00083739">
        <w:rPr>
          <w:rFonts w:cs="Times New Roman"/>
          <w:noProof/>
          <w:lang w:val="sk-SK"/>
        </w:rPr>
        <w:t>prípravy (OVP)</w:t>
      </w:r>
      <w:r w:rsidR="00083739" w:rsidRPr="00083739">
        <w:rPr>
          <w:rFonts w:cs="Times New Roman"/>
          <w:noProof/>
          <w:lang w:val="sk-SK"/>
        </w:rPr>
        <w:t xml:space="preserve"> a </w:t>
      </w:r>
      <w:r w:rsidRPr="00083739">
        <w:rPr>
          <w:rFonts w:cs="Times New Roman"/>
          <w:noProof/>
          <w:lang w:val="sk-SK"/>
        </w:rPr>
        <w:t>učňovskej prípravy</w:t>
      </w:r>
      <w:r w:rsidR="00083739" w:rsidRPr="00083739">
        <w:rPr>
          <w:rFonts w:cs="Times New Roman"/>
          <w:noProof/>
          <w:lang w:val="sk-SK"/>
        </w:rPr>
        <w:t xml:space="preserve"> s </w:t>
      </w:r>
      <w:r w:rsidRPr="00083739">
        <w:rPr>
          <w:rFonts w:cs="Times New Roman"/>
          <w:noProof/>
          <w:lang w:val="sk-SK"/>
        </w:rPr>
        <w:t>cieľom zlepšiť ich relevantnosť pr</w:t>
      </w:r>
      <w:r w:rsidRPr="00083739">
        <w:rPr>
          <w:rFonts w:cs="Times New Roman"/>
          <w:noProof/>
          <w:lang w:val="sk-SK"/>
        </w:rPr>
        <w:t>e trh práce. Pokiaľ ide</w:t>
      </w:r>
      <w:r w:rsidR="00083739" w:rsidRPr="00083739">
        <w:rPr>
          <w:rFonts w:cs="Times New Roman"/>
          <w:noProof/>
          <w:lang w:val="sk-SK"/>
        </w:rPr>
        <w:t xml:space="preserve"> o </w:t>
      </w:r>
      <w:r w:rsidRPr="00083739">
        <w:rPr>
          <w:rFonts w:cs="Times New Roman"/>
          <w:noProof/>
          <w:lang w:val="sk-SK"/>
        </w:rPr>
        <w:t>OVP, cieľom plánu je modernizovať infraštruktúru</w:t>
      </w:r>
      <w:r w:rsidR="00083739" w:rsidRPr="00083739">
        <w:rPr>
          <w:rFonts w:cs="Times New Roman"/>
          <w:noProof/>
          <w:lang w:val="sk-SK"/>
        </w:rPr>
        <w:t xml:space="preserve"> a </w:t>
      </w:r>
      <w:r w:rsidRPr="00083739">
        <w:rPr>
          <w:rFonts w:cs="Times New Roman"/>
          <w:noProof/>
          <w:lang w:val="sk-SK"/>
        </w:rPr>
        <w:t>vybavenie OVP</w:t>
      </w:r>
      <w:r w:rsidR="00083739" w:rsidRPr="00083739">
        <w:rPr>
          <w:rFonts w:cs="Times New Roman"/>
          <w:noProof/>
          <w:lang w:val="sk-SK"/>
        </w:rPr>
        <w:t xml:space="preserve"> a </w:t>
      </w:r>
      <w:r w:rsidRPr="00083739">
        <w:rPr>
          <w:rFonts w:cs="Times New Roman"/>
          <w:noProof/>
          <w:lang w:val="sk-SK"/>
        </w:rPr>
        <w:t>modernizovať existujúce učebné osnovy. Okrem toho sa</w:t>
      </w:r>
      <w:r w:rsidR="00083739" w:rsidRPr="00083739">
        <w:rPr>
          <w:rFonts w:cs="Times New Roman"/>
          <w:noProof/>
          <w:lang w:val="sk-SK"/>
        </w:rPr>
        <w:t xml:space="preserve"> v </w:t>
      </w:r>
      <w:r w:rsidRPr="00083739">
        <w:rPr>
          <w:rFonts w:cs="Times New Roman"/>
          <w:noProof/>
          <w:lang w:val="sk-SK"/>
        </w:rPr>
        <w:t>pláne stanovuje nová stratégia excelentnosti na univerzitách zameraná na zlepšenie ich výsledkov výskumu</w:t>
      </w:r>
      <w:r w:rsidR="00083739" w:rsidRPr="00083739">
        <w:rPr>
          <w:rFonts w:cs="Times New Roman"/>
          <w:noProof/>
          <w:lang w:val="sk-SK"/>
        </w:rPr>
        <w:t xml:space="preserve"> a </w:t>
      </w:r>
      <w:r w:rsidRPr="00083739">
        <w:rPr>
          <w:rFonts w:cs="Times New Roman"/>
          <w:noProof/>
          <w:lang w:val="sk-SK"/>
        </w:rPr>
        <w:t>k</w:t>
      </w:r>
      <w:r w:rsidRPr="00083739">
        <w:rPr>
          <w:rFonts w:cs="Times New Roman"/>
          <w:noProof/>
          <w:lang w:val="sk-SK"/>
        </w:rPr>
        <w:t xml:space="preserve">vality vzdelávania prostredníctvom </w:t>
      </w:r>
      <w:r w:rsidRPr="00083739">
        <w:rPr>
          <w:rFonts w:cs="Times New Roman"/>
          <w:noProof/>
          <w:color w:val="000000"/>
          <w:lang w:val="sk-SK"/>
        </w:rPr>
        <w:t>investícií do modernizácie výskumných</w:t>
      </w:r>
      <w:r w:rsidR="00083739" w:rsidRPr="00083739">
        <w:rPr>
          <w:rFonts w:cs="Times New Roman"/>
          <w:noProof/>
          <w:color w:val="000000"/>
          <w:lang w:val="sk-SK"/>
        </w:rPr>
        <w:t xml:space="preserve"> a </w:t>
      </w:r>
      <w:r w:rsidRPr="00083739">
        <w:rPr>
          <w:rFonts w:cs="Times New Roman"/>
          <w:noProof/>
          <w:color w:val="000000"/>
          <w:lang w:val="sk-SK"/>
        </w:rPr>
        <w:t xml:space="preserve">vzdelávacích infraštruktúr, podpory výskumných </w:t>
      </w:r>
      <w:r w:rsidRPr="00083739">
        <w:rPr>
          <w:rFonts w:cs="Times New Roman"/>
          <w:noProof/>
          <w:lang w:val="sk-SK"/>
        </w:rPr>
        <w:t>projektov</w:t>
      </w:r>
      <w:r w:rsidR="00083739" w:rsidRPr="00083739">
        <w:rPr>
          <w:rFonts w:cs="Times New Roman"/>
          <w:noProof/>
          <w:lang w:val="sk-SK"/>
        </w:rPr>
        <w:t xml:space="preserve"> a </w:t>
      </w:r>
      <w:r w:rsidRPr="00083739">
        <w:rPr>
          <w:rFonts w:cs="Times New Roman"/>
          <w:noProof/>
          <w:color w:val="000000"/>
          <w:lang w:val="sk-SK"/>
        </w:rPr>
        <w:t xml:space="preserve">doktorandských projektov </w:t>
      </w:r>
      <w:r w:rsidRPr="00083739">
        <w:rPr>
          <w:rFonts w:cs="Times New Roman"/>
          <w:noProof/>
          <w:lang w:val="sk-SK"/>
        </w:rPr>
        <w:t xml:space="preserve"> aj</w:t>
      </w:r>
      <w:r w:rsidR="00083739" w:rsidRPr="00083739">
        <w:rPr>
          <w:rFonts w:cs="Times New Roman"/>
          <w:noProof/>
          <w:lang w:val="sk-SK"/>
        </w:rPr>
        <w:t xml:space="preserve"> v </w:t>
      </w:r>
      <w:r w:rsidRPr="00083739">
        <w:rPr>
          <w:rFonts w:cs="Times New Roman"/>
          <w:noProof/>
          <w:lang w:val="sk-SK"/>
        </w:rPr>
        <w:t>spolupráci so súkromným sektorom</w:t>
      </w:r>
      <w:r w:rsidR="00083739" w:rsidRPr="00083739">
        <w:rPr>
          <w:rFonts w:cs="Times New Roman"/>
          <w:noProof/>
          <w:lang w:val="sk-SK"/>
        </w:rPr>
        <w:t xml:space="preserve"> a </w:t>
      </w:r>
      <w:r w:rsidRPr="00083739">
        <w:rPr>
          <w:rFonts w:cs="Times New Roman"/>
          <w:noProof/>
          <w:color w:val="000000"/>
          <w:lang w:val="sk-SK"/>
        </w:rPr>
        <w:t>programov hosťujúcich profesorov</w:t>
      </w:r>
      <w:r w:rsidRPr="00083739">
        <w:rPr>
          <w:rFonts w:cs="Times New Roman"/>
          <w:noProof/>
          <w:lang w:val="sk-SK"/>
        </w:rPr>
        <w:t>. Tieto reformy sú spoje</w:t>
      </w:r>
      <w:r w:rsidRPr="00083739">
        <w:rPr>
          <w:rFonts w:cs="Times New Roman"/>
          <w:noProof/>
          <w:lang w:val="sk-SK"/>
        </w:rPr>
        <w:t>né</w:t>
      </w:r>
      <w:r w:rsidR="00083739" w:rsidRPr="00083739">
        <w:rPr>
          <w:rFonts w:cs="Times New Roman"/>
          <w:noProof/>
          <w:lang w:val="sk-SK"/>
        </w:rPr>
        <w:t xml:space="preserve"> s </w:t>
      </w:r>
      <w:r w:rsidRPr="00083739">
        <w:rPr>
          <w:rFonts w:cs="Times New Roman"/>
          <w:noProof/>
          <w:lang w:val="sk-SK"/>
        </w:rPr>
        <w:t>investíciami do digitalizácie vzdelávacieho systému,</w:t>
      </w:r>
      <w:r w:rsidR="00083739" w:rsidRPr="00083739">
        <w:rPr>
          <w:rFonts w:cs="Times New Roman"/>
          <w:noProof/>
          <w:lang w:val="sk-SK"/>
        </w:rPr>
        <w:t xml:space="preserve"> z </w:t>
      </w:r>
      <w:r w:rsidRPr="00083739">
        <w:rPr>
          <w:rFonts w:cs="Times New Roman"/>
          <w:noProof/>
          <w:lang w:val="sk-SK"/>
        </w:rPr>
        <w:t>ktorých veľká časť je pridelená interaktívnym vzdelávacím systémom na základných</w:t>
      </w:r>
      <w:r w:rsidR="00083739" w:rsidRPr="00083739">
        <w:rPr>
          <w:rFonts w:cs="Times New Roman"/>
          <w:noProof/>
          <w:lang w:val="sk-SK"/>
        </w:rPr>
        <w:t xml:space="preserve"> a </w:t>
      </w:r>
      <w:r w:rsidRPr="00083739">
        <w:rPr>
          <w:rFonts w:cs="Times New Roman"/>
          <w:noProof/>
          <w:lang w:val="sk-SK"/>
        </w:rPr>
        <w:t>stredných školách</w:t>
      </w:r>
      <w:r w:rsidR="00083739" w:rsidRPr="00083739">
        <w:rPr>
          <w:rFonts w:cs="Times New Roman"/>
          <w:noProof/>
          <w:lang w:val="sk-SK"/>
        </w:rPr>
        <w:t xml:space="preserve"> a </w:t>
      </w:r>
      <w:r w:rsidRPr="00083739">
        <w:rPr>
          <w:rFonts w:cs="Times New Roman"/>
          <w:noProof/>
          <w:lang w:val="sk-SK"/>
        </w:rPr>
        <w:t>poukazom pre žiakov</w:t>
      </w:r>
      <w:r w:rsidR="00083739" w:rsidRPr="00083739">
        <w:rPr>
          <w:rFonts w:cs="Times New Roman"/>
          <w:noProof/>
          <w:lang w:val="sk-SK"/>
        </w:rPr>
        <w:t xml:space="preserve"> a </w:t>
      </w:r>
      <w:r w:rsidRPr="00083739">
        <w:rPr>
          <w:rFonts w:cs="Times New Roman"/>
          <w:noProof/>
          <w:lang w:val="sk-SK"/>
        </w:rPr>
        <w:t>študentov</w:t>
      </w:r>
      <w:r w:rsidR="00083739" w:rsidRPr="00083739">
        <w:rPr>
          <w:rFonts w:cs="Times New Roman"/>
          <w:noProof/>
          <w:lang w:val="sk-SK"/>
        </w:rPr>
        <w:t xml:space="preserve"> z </w:t>
      </w:r>
      <w:r w:rsidRPr="00083739">
        <w:rPr>
          <w:rFonts w:cs="Times New Roman"/>
          <w:noProof/>
          <w:lang w:val="sk-SK"/>
        </w:rPr>
        <w:t>rodín</w:t>
      </w:r>
      <w:r w:rsidR="00083739" w:rsidRPr="00083739">
        <w:rPr>
          <w:rFonts w:cs="Times New Roman"/>
          <w:noProof/>
          <w:lang w:val="sk-SK"/>
        </w:rPr>
        <w:t xml:space="preserve"> s </w:t>
      </w:r>
      <w:r w:rsidRPr="00083739">
        <w:rPr>
          <w:rFonts w:cs="Times New Roman"/>
          <w:noProof/>
          <w:lang w:val="sk-SK"/>
        </w:rPr>
        <w:t>nízkymi príjmami na nákup IT vybavenia</w:t>
      </w:r>
      <w:r w:rsidR="00083739" w:rsidRPr="00083739">
        <w:rPr>
          <w:rFonts w:cs="Times New Roman"/>
          <w:noProof/>
          <w:lang w:val="sk-SK"/>
        </w:rPr>
        <w:t>.</w:t>
      </w:r>
    </w:p>
    <w:p w14:paraId="4936B834" w14:textId="480E1423"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color w:val="000000"/>
          <w:shd w:val="clear" w:color="auto" w:fill="FFFFFF"/>
          <w:lang w:val="sk-SK"/>
        </w:rPr>
        <w:t>Komponent j</w:t>
      </w:r>
      <w:r w:rsidRPr="00083739">
        <w:rPr>
          <w:rFonts w:cs="Times New Roman"/>
          <w:noProof/>
          <w:color w:val="000000"/>
          <w:shd w:val="clear" w:color="auto" w:fill="FFFFFF"/>
          <w:lang w:val="sk-SK"/>
        </w:rPr>
        <w:t>e</w:t>
      </w:r>
      <w:r w:rsidR="00083739" w:rsidRPr="00083739">
        <w:rPr>
          <w:rFonts w:cs="Times New Roman"/>
          <w:noProof/>
          <w:color w:val="000000"/>
          <w:shd w:val="clear" w:color="auto" w:fill="FFFFFF"/>
          <w:lang w:val="sk-SK"/>
        </w:rPr>
        <w:t xml:space="preserve"> v </w:t>
      </w:r>
      <w:r w:rsidRPr="00083739">
        <w:rPr>
          <w:rFonts w:cs="Times New Roman"/>
          <w:noProof/>
          <w:color w:val="000000"/>
          <w:shd w:val="clear" w:color="auto" w:fill="FFFFFF"/>
          <w:lang w:val="sk-SK"/>
        </w:rPr>
        <w:t>súlade</w:t>
      </w:r>
      <w:r w:rsidR="00083739" w:rsidRPr="00083739">
        <w:rPr>
          <w:rFonts w:cs="Times New Roman"/>
          <w:noProof/>
          <w:color w:val="000000"/>
          <w:shd w:val="clear" w:color="auto" w:fill="FFFFFF"/>
          <w:lang w:val="sk-SK"/>
        </w:rPr>
        <w:t xml:space="preserve"> s </w:t>
      </w:r>
      <w:r w:rsidRPr="00083739">
        <w:rPr>
          <w:rFonts w:cs="Times New Roman"/>
          <w:noProof/>
          <w:color w:val="000000"/>
          <w:shd w:val="clear" w:color="auto" w:fill="FFFFFF"/>
          <w:lang w:val="sk-SK"/>
        </w:rPr>
        <w:t>odporúčaniami pre jednotlivé krajiny</w:t>
      </w:r>
      <w:r w:rsidR="00083739" w:rsidRPr="00083739">
        <w:rPr>
          <w:rFonts w:cs="Times New Roman"/>
          <w:noProof/>
          <w:color w:val="000000"/>
          <w:shd w:val="clear" w:color="auto" w:fill="FFFFFF"/>
          <w:lang w:val="sk-SK"/>
        </w:rPr>
        <w:t xml:space="preserve"> s </w:t>
      </w:r>
      <w:r w:rsidRPr="00083739">
        <w:rPr>
          <w:rFonts w:cs="Times New Roman"/>
          <w:noProof/>
          <w:color w:val="000000"/>
          <w:shd w:val="clear" w:color="auto" w:fill="FFFFFF"/>
          <w:lang w:val="sk-SK"/>
        </w:rPr>
        <w:t>cieľom investovať do vzdelávania, zamestnateľnosti</w:t>
      </w:r>
      <w:r w:rsidR="00083739" w:rsidRPr="00083739">
        <w:rPr>
          <w:rFonts w:cs="Times New Roman"/>
          <w:noProof/>
          <w:color w:val="000000"/>
          <w:shd w:val="clear" w:color="auto" w:fill="FFFFFF"/>
          <w:lang w:val="sk-SK"/>
        </w:rPr>
        <w:t xml:space="preserve"> a </w:t>
      </w:r>
      <w:r w:rsidRPr="00083739">
        <w:rPr>
          <w:rFonts w:cs="Times New Roman"/>
          <w:noProof/>
          <w:color w:val="000000"/>
          <w:shd w:val="clear" w:color="auto" w:fill="FFFFFF"/>
          <w:lang w:val="sk-SK"/>
        </w:rPr>
        <w:t>zručností</w:t>
      </w:r>
      <w:r w:rsidR="00083739" w:rsidRPr="00083739">
        <w:rPr>
          <w:rFonts w:cs="Times New Roman"/>
          <w:noProof/>
          <w:color w:val="000000"/>
          <w:shd w:val="clear" w:color="auto" w:fill="FFFFFF"/>
          <w:lang w:val="sk-SK"/>
        </w:rPr>
        <w:t xml:space="preserve"> a </w:t>
      </w:r>
      <w:r w:rsidRPr="00083739">
        <w:rPr>
          <w:rFonts w:cs="Times New Roman"/>
          <w:noProof/>
          <w:color w:val="000000"/>
          <w:shd w:val="clear" w:color="auto" w:fill="FFFFFF"/>
          <w:lang w:val="sk-SK"/>
        </w:rPr>
        <w:t>zlepšiť digitalizáciu verejnej správy (odporúčania pre jednotlivé krajiny č. 3 2020</w:t>
      </w:r>
      <w:r w:rsidR="00083739" w:rsidRPr="00083739">
        <w:rPr>
          <w:rFonts w:cs="Times New Roman"/>
          <w:noProof/>
          <w:color w:val="000000"/>
          <w:shd w:val="clear" w:color="auto" w:fill="FFFFFF"/>
          <w:lang w:val="sk-SK"/>
        </w:rPr>
        <w:t xml:space="preserve"> a </w:t>
      </w:r>
      <w:r w:rsidRPr="00083739">
        <w:rPr>
          <w:rFonts w:cs="Times New Roman"/>
          <w:noProof/>
          <w:color w:val="000000"/>
          <w:shd w:val="clear" w:color="auto" w:fill="FFFFFF"/>
          <w:lang w:val="sk-SK"/>
        </w:rPr>
        <w:t xml:space="preserve">2 2019). </w:t>
      </w:r>
      <w:r w:rsidRPr="00083739">
        <w:rPr>
          <w:rFonts w:cs="Times New Roman"/>
          <w:noProof/>
          <w:lang w:val="sk-SK"/>
        </w:rPr>
        <w:t>Očakáva sa, že žiadne opatrenie</w:t>
      </w:r>
      <w:r w:rsidR="00083739" w:rsidRPr="00083739">
        <w:rPr>
          <w:rFonts w:cs="Times New Roman"/>
          <w:noProof/>
          <w:lang w:val="sk-SK"/>
        </w:rPr>
        <w:t xml:space="preserve"> v </w:t>
      </w:r>
      <w:r w:rsidRPr="00083739">
        <w:rPr>
          <w:rFonts w:cs="Times New Roman"/>
          <w:noProof/>
          <w:lang w:val="sk-SK"/>
        </w:rPr>
        <w:t>tomto kom</w:t>
      </w:r>
      <w:r w:rsidRPr="00083739">
        <w:rPr>
          <w:rFonts w:cs="Times New Roman"/>
          <w:noProof/>
          <w:lang w:val="sk-SK"/>
        </w:rPr>
        <w:t>ponente výrazne nenaruší environmentálne ciele</w:t>
      </w:r>
      <w:r w:rsidR="00083739" w:rsidRPr="00083739">
        <w:rPr>
          <w:rFonts w:cs="Times New Roman"/>
          <w:noProof/>
          <w:lang w:val="sk-SK"/>
        </w:rPr>
        <w:t xml:space="preserve"> v </w:t>
      </w:r>
      <w:r w:rsidRPr="00083739">
        <w:rPr>
          <w:rFonts w:cs="Times New Roman"/>
          <w:noProof/>
          <w:lang w:val="sk-SK"/>
        </w:rPr>
        <w:t>zmysle článku 17 nariadenia (EÚ) 2020/852, pričom sa zohľadní opis opatrení</w:t>
      </w:r>
      <w:r w:rsidR="00083739" w:rsidRPr="00083739">
        <w:rPr>
          <w:rFonts w:cs="Times New Roman"/>
          <w:noProof/>
          <w:lang w:val="sk-SK"/>
        </w:rPr>
        <w:t xml:space="preserve"> a </w:t>
      </w:r>
      <w:r w:rsidRPr="00083739">
        <w:rPr>
          <w:rFonts w:cs="Times New Roman"/>
          <w:noProof/>
          <w:lang w:val="sk-SK"/>
        </w:rPr>
        <w:t>zmierňujúcich krokov stanovených</w:t>
      </w:r>
      <w:r w:rsidR="00083739" w:rsidRPr="00083739">
        <w:rPr>
          <w:rFonts w:cs="Times New Roman"/>
          <w:noProof/>
          <w:lang w:val="sk-SK"/>
        </w:rPr>
        <w:t xml:space="preserve"> v </w:t>
      </w:r>
      <w:r w:rsidRPr="00083739">
        <w:rPr>
          <w:rFonts w:cs="Times New Roman"/>
          <w:noProof/>
          <w:lang w:val="sk-SK"/>
        </w:rPr>
        <w:t>pláne podpory obnovy</w:t>
      </w:r>
      <w:r w:rsidR="00083739" w:rsidRPr="00083739">
        <w:rPr>
          <w:rFonts w:cs="Times New Roman"/>
          <w:noProof/>
          <w:lang w:val="sk-SK"/>
        </w:rPr>
        <w:t xml:space="preserve"> a </w:t>
      </w:r>
      <w:r w:rsidRPr="00083739">
        <w:rPr>
          <w:rFonts w:cs="Times New Roman"/>
          <w:noProof/>
          <w:lang w:val="sk-SK"/>
        </w:rPr>
        <w:t>odolnosti</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technickým usmernením „výrazne nenarušiť“ (2021/C5</w:t>
      </w:r>
      <w:r w:rsidRPr="00083739">
        <w:rPr>
          <w:rFonts w:cs="Times New Roman"/>
          <w:noProof/>
          <w:lang w:val="sk-SK"/>
        </w:rPr>
        <w:t>8/01).</w:t>
      </w:r>
    </w:p>
    <w:p w14:paraId="53457C0E" w14:textId="04476310" w:rsidR="002D49B0" w:rsidRPr="00083739" w:rsidRDefault="00BF4125">
      <w:pPr>
        <w:spacing w:before="120" w:after="120" w:line="240" w:lineRule="auto"/>
        <w:jc w:val="both"/>
        <w:rPr>
          <w:rFonts w:ascii="Times New Roman" w:hAnsi="Times New Roman" w:cs="Times New Roman"/>
          <w:b/>
          <w:bCs/>
          <w:i/>
          <w:iCs/>
          <w:noProof/>
          <w:color w:val="4F81BD"/>
          <w:sz w:val="24"/>
          <w:lang w:val="sk-SK"/>
        </w:rPr>
      </w:pPr>
      <w:r w:rsidRPr="00083739">
        <w:rPr>
          <w:rFonts w:ascii="Times New Roman" w:hAnsi="Times New Roman" w:cs="Times New Roman"/>
          <w:b/>
          <w:noProof/>
          <w:sz w:val="24"/>
          <w:u w:val="single"/>
          <w:lang w:val="sk-SK"/>
        </w:rPr>
        <w:t xml:space="preserve">I.1. </w:t>
      </w:r>
      <w:r w:rsidRPr="00083739">
        <w:rPr>
          <w:rFonts w:ascii="Times New Roman" w:hAnsi="Times New Roman" w:cs="Times New Roman"/>
          <w:noProof/>
          <w:lang w:val="sk-SK"/>
        </w:rPr>
        <w:t xml:space="preserve"> </w:t>
      </w:r>
      <w:r w:rsidRPr="00083739">
        <w:rPr>
          <w:rFonts w:ascii="Times New Roman" w:hAnsi="Times New Roman" w:cs="Times New Roman"/>
          <w:b/>
          <w:noProof/>
          <w:sz w:val="24"/>
          <w:u w:val="single"/>
          <w:lang w:val="sk-SK"/>
        </w:rPr>
        <w:t>Opis reforiem</w:t>
      </w:r>
      <w:r w:rsidR="00083739" w:rsidRPr="00083739">
        <w:rPr>
          <w:rFonts w:ascii="Times New Roman" w:hAnsi="Times New Roman" w:cs="Times New Roman"/>
          <w:b/>
          <w:noProof/>
          <w:sz w:val="24"/>
          <w:u w:val="single"/>
          <w:lang w:val="sk-SK"/>
        </w:rPr>
        <w:t xml:space="preserve"> a </w:t>
      </w:r>
      <w:r w:rsidRPr="00083739">
        <w:rPr>
          <w:rFonts w:ascii="Times New Roman" w:hAnsi="Times New Roman" w:cs="Times New Roman"/>
          <w:b/>
          <w:noProof/>
          <w:sz w:val="24"/>
          <w:u w:val="single"/>
          <w:lang w:val="sk-SK"/>
        </w:rPr>
        <w:t>investícií</w:t>
      </w:r>
      <w:r w:rsidR="00083739" w:rsidRPr="00083739">
        <w:rPr>
          <w:rFonts w:ascii="Times New Roman" w:hAnsi="Times New Roman" w:cs="Times New Roman"/>
          <w:b/>
          <w:noProof/>
          <w:sz w:val="24"/>
          <w:u w:val="single"/>
          <w:lang w:val="sk-SK"/>
        </w:rPr>
        <w:t xml:space="preserve"> v </w:t>
      </w:r>
      <w:r w:rsidRPr="00083739">
        <w:rPr>
          <w:rFonts w:ascii="Times New Roman" w:hAnsi="Times New Roman" w:cs="Times New Roman"/>
          <w:b/>
          <w:noProof/>
          <w:sz w:val="24"/>
          <w:u w:val="single"/>
          <w:lang w:val="sk-SK"/>
        </w:rPr>
        <w:t>rámci nenávratnej finančnej podpory</w:t>
      </w:r>
    </w:p>
    <w:p w14:paraId="2BB504C5" w14:textId="22135DE1"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Reforma:</w:t>
      </w:r>
      <w:r w:rsidRPr="00083739">
        <w:rPr>
          <w:rFonts w:cs="Times New Roman"/>
          <w:noProof/>
          <w:lang w:val="sk-SK"/>
        </w:rPr>
        <w:t xml:space="preserve"> Nová stratégia pre celoživotné zručnosti: Modernizácia</w:t>
      </w:r>
      <w:r w:rsidR="00083739" w:rsidRPr="00083739">
        <w:rPr>
          <w:rFonts w:cs="Times New Roman"/>
          <w:noProof/>
          <w:lang w:val="sk-SK"/>
        </w:rPr>
        <w:t xml:space="preserve"> a </w:t>
      </w:r>
      <w:r w:rsidRPr="00083739">
        <w:rPr>
          <w:rFonts w:cs="Times New Roman"/>
          <w:noProof/>
          <w:lang w:val="sk-SK"/>
        </w:rPr>
        <w:t>modernizácia gréckeho systému zvyšovania úrovne zručností</w:t>
      </w:r>
      <w:r w:rsidR="00083739" w:rsidRPr="00083739">
        <w:rPr>
          <w:rFonts w:cs="Times New Roman"/>
          <w:noProof/>
          <w:lang w:val="sk-SK"/>
        </w:rPr>
        <w:t xml:space="preserve"> a </w:t>
      </w:r>
      <w:r w:rsidRPr="00083739">
        <w:rPr>
          <w:rFonts w:cs="Times New Roman"/>
          <w:noProof/>
          <w:lang w:val="sk-SK"/>
        </w:rPr>
        <w:t>rekvalifikácie (ID opatrenia: 16913)</w:t>
      </w:r>
    </w:p>
    <w:p w14:paraId="5A84D1AE" w14:textId="5B4DDD66" w:rsidR="002D49B0" w:rsidRPr="00083739" w:rsidRDefault="00BF4125">
      <w:pPr>
        <w:pStyle w:val="P68B1DB1-Normal4"/>
        <w:spacing w:before="120" w:after="120" w:line="240" w:lineRule="auto"/>
        <w:jc w:val="both"/>
        <w:rPr>
          <w:rFonts w:cs="Times New Roman"/>
          <w:noProof/>
          <w:szCs w:val="24"/>
          <w:lang w:val="sk-SK"/>
        </w:rPr>
      </w:pPr>
      <w:r w:rsidRPr="00083739">
        <w:rPr>
          <w:rFonts w:cs="Times New Roman"/>
          <w:noProof/>
          <w:lang w:val="sk-SK"/>
        </w:rPr>
        <w:t xml:space="preserve">Cieľom reformy </w:t>
      </w:r>
      <w:r w:rsidRPr="00083739">
        <w:rPr>
          <w:rFonts w:cs="Times New Roman"/>
          <w:noProof/>
          <w:lang w:val="sk-SK"/>
        </w:rPr>
        <w:t>je zlepšiť rámec celoživotného vzdelávania</w:t>
      </w:r>
      <w:r w:rsidR="00083739" w:rsidRPr="00083739">
        <w:rPr>
          <w:rFonts w:cs="Times New Roman"/>
          <w:noProof/>
          <w:lang w:val="sk-SK"/>
        </w:rPr>
        <w:t xml:space="preserve"> s </w:t>
      </w:r>
      <w:r w:rsidRPr="00083739">
        <w:rPr>
          <w:rFonts w:cs="Times New Roman"/>
          <w:noProof/>
          <w:lang w:val="sk-SK"/>
        </w:rPr>
        <w:t>cieľom zvýšiť jeho kvalitu</w:t>
      </w:r>
      <w:r w:rsidR="00083739" w:rsidRPr="00083739">
        <w:rPr>
          <w:rFonts w:cs="Times New Roman"/>
          <w:noProof/>
          <w:lang w:val="sk-SK"/>
        </w:rPr>
        <w:t xml:space="preserve"> a </w:t>
      </w:r>
      <w:r w:rsidRPr="00083739">
        <w:rPr>
          <w:rFonts w:cs="Times New Roman"/>
          <w:noProof/>
          <w:lang w:val="sk-SK"/>
        </w:rPr>
        <w:t>relevantnosť pre trh práce. Reforma predovšetkým umožní lepšie monitorovanie</w:t>
      </w:r>
      <w:r w:rsidR="00083739" w:rsidRPr="00083739">
        <w:rPr>
          <w:rFonts w:cs="Times New Roman"/>
          <w:noProof/>
          <w:lang w:val="sk-SK"/>
        </w:rPr>
        <w:t xml:space="preserve"> a </w:t>
      </w:r>
      <w:r w:rsidRPr="00083739">
        <w:rPr>
          <w:rFonts w:cs="Times New Roman"/>
          <w:noProof/>
          <w:lang w:val="sk-SK"/>
        </w:rPr>
        <w:t>uspokojovanie potrieb trhu práce</w:t>
      </w:r>
      <w:r w:rsidR="00083739" w:rsidRPr="00083739">
        <w:rPr>
          <w:rFonts w:cs="Times New Roman"/>
          <w:noProof/>
          <w:lang w:val="sk-SK"/>
        </w:rPr>
        <w:t xml:space="preserve"> v </w:t>
      </w:r>
      <w:r w:rsidRPr="00083739">
        <w:rPr>
          <w:rFonts w:cs="Times New Roman"/>
          <w:noProof/>
          <w:lang w:val="sk-SK"/>
        </w:rPr>
        <w:t>oblasti dopytu prostredníctvom modernizácie, modernizácie</w:t>
      </w:r>
      <w:r w:rsidR="00083739" w:rsidRPr="00083739">
        <w:rPr>
          <w:rFonts w:cs="Times New Roman"/>
          <w:noProof/>
          <w:lang w:val="sk-SK"/>
        </w:rPr>
        <w:t xml:space="preserve"> a </w:t>
      </w:r>
      <w:r w:rsidRPr="00083739">
        <w:rPr>
          <w:rFonts w:cs="Times New Roman"/>
          <w:noProof/>
          <w:lang w:val="sk-SK"/>
        </w:rPr>
        <w:t>prepojen</w:t>
      </w:r>
      <w:r w:rsidRPr="00083739">
        <w:rPr>
          <w:rFonts w:cs="Times New Roman"/>
          <w:noProof/>
          <w:lang w:val="sk-SK"/>
        </w:rPr>
        <w:t>ia existujúcich súborov údajov rôznych ministerstiev</w:t>
      </w:r>
      <w:r w:rsidR="00083739" w:rsidRPr="00083739">
        <w:rPr>
          <w:rFonts w:cs="Times New Roman"/>
          <w:noProof/>
          <w:lang w:val="sk-SK"/>
        </w:rPr>
        <w:t xml:space="preserve"> a </w:t>
      </w:r>
      <w:r w:rsidRPr="00083739">
        <w:rPr>
          <w:rFonts w:cs="Times New Roman"/>
          <w:noProof/>
          <w:lang w:val="sk-SK"/>
        </w:rPr>
        <w:t>agentúr vrátane mechanizmu diagnostiky trhu práce zriadeného</w:t>
      </w:r>
      <w:r w:rsidR="00083739" w:rsidRPr="00083739">
        <w:rPr>
          <w:rFonts w:cs="Times New Roman"/>
          <w:noProof/>
          <w:lang w:val="sk-SK"/>
        </w:rPr>
        <w:t xml:space="preserve"> v </w:t>
      </w:r>
      <w:r w:rsidRPr="00083739">
        <w:rPr>
          <w:rFonts w:cs="Times New Roman"/>
          <w:noProof/>
          <w:lang w:val="sk-SK"/>
        </w:rPr>
        <w:t>roku 2016. Reformou sa takisto vytvoria účty celoživotného vzdelávania, ktoré by mali slúžiť ako hlavný nástroj na poskytovanie priebežnej</w:t>
      </w:r>
      <w:r w:rsidRPr="00083739">
        <w:rPr>
          <w:rFonts w:cs="Times New Roman"/>
          <w:noProof/>
          <w:lang w:val="sk-SK"/>
        </w:rPr>
        <w:t xml:space="preserve"> odbornej prípravy</w:t>
      </w:r>
      <w:r w:rsidR="00083739" w:rsidRPr="00083739">
        <w:rPr>
          <w:rFonts w:cs="Times New Roman"/>
          <w:noProof/>
          <w:lang w:val="sk-SK"/>
        </w:rPr>
        <w:t xml:space="preserve"> v </w:t>
      </w:r>
      <w:r w:rsidRPr="00083739">
        <w:rPr>
          <w:rFonts w:cs="Times New Roman"/>
          <w:noProof/>
          <w:lang w:val="sk-SK"/>
        </w:rPr>
        <w:t>závislosti od individualizovaných potrieb,</w:t>
      </w:r>
      <w:r w:rsidR="00083739" w:rsidRPr="00083739">
        <w:rPr>
          <w:rFonts w:cs="Times New Roman"/>
          <w:noProof/>
          <w:lang w:val="sk-SK"/>
        </w:rPr>
        <w:t xml:space="preserve"> a </w:t>
      </w:r>
      <w:r w:rsidRPr="00083739">
        <w:rPr>
          <w:rFonts w:cs="Times New Roman"/>
          <w:noProof/>
          <w:lang w:val="sk-SK"/>
        </w:rPr>
        <w:t>nový vnútroštátny zoznam oprávnených poskytovateľov odbornej prípravy,</w:t>
      </w:r>
      <w:r w:rsidR="00083739" w:rsidRPr="00083739">
        <w:rPr>
          <w:rFonts w:cs="Times New Roman"/>
          <w:noProof/>
          <w:lang w:val="sk-SK"/>
        </w:rPr>
        <w:t xml:space="preserve"> v </w:t>
      </w:r>
      <w:r w:rsidRPr="00083739">
        <w:rPr>
          <w:rFonts w:cs="Times New Roman"/>
          <w:noProof/>
          <w:lang w:val="sk-SK"/>
        </w:rPr>
        <w:t>ktorom sa na školiteľov uplatňujú minimálne kritériá kvality založené na vstupoch. Napokon reforma povedie</w:t>
      </w:r>
      <w:r w:rsidR="00083739" w:rsidRPr="00083739">
        <w:rPr>
          <w:rFonts w:cs="Times New Roman"/>
          <w:noProof/>
          <w:lang w:val="sk-SK"/>
        </w:rPr>
        <w:t xml:space="preserve"> k </w:t>
      </w:r>
      <w:r w:rsidRPr="00083739">
        <w:rPr>
          <w:rFonts w:cs="Times New Roman"/>
          <w:noProof/>
          <w:lang w:val="sk-SK"/>
        </w:rPr>
        <w:t>vytvoren</w:t>
      </w:r>
      <w:r w:rsidRPr="00083739">
        <w:rPr>
          <w:rFonts w:cs="Times New Roman"/>
          <w:noProof/>
          <w:lang w:val="sk-SK"/>
        </w:rPr>
        <w:t>iu novej riadiacej štruktúry, Národnej rady pre zručnosti, ktorá bude mať sídlo</w:t>
      </w:r>
      <w:r w:rsidR="00083739" w:rsidRPr="00083739">
        <w:rPr>
          <w:rFonts w:cs="Times New Roman"/>
          <w:noProof/>
          <w:lang w:val="sk-SK"/>
        </w:rPr>
        <w:t xml:space="preserve"> v </w:t>
      </w:r>
      <w:r w:rsidRPr="00083739">
        <w:rPr>
          <w:rFonts w:cs="Times New Roman"/>
          <w:noProof/>
          <w:lang w:val="sk-SK"/>
        </w:rPr>
        <w:t>DYPA</w:t>
      </w:r>
      <w:r w:rsidR="00083739" w:rsidRPr="00083739">
        <w:rPr>
          <w:rFonts w:cs="Times New Roman"/>
          <w:noProof/>
          <w:lang w:val="sk-SK"/>
        </w:rPr>
        <w:t xml:space="preserve"> a </w:t>
      </w:r>
      <w:r w:rsidRPr="00083739">
        <w:rPr>
          <w:rFonts w:cs="Times New Roman"/>
          <w:noProof/>
          <w:lang w:val="sk-SK"/>
        </w:rPr>
        <w:t>bude zodpovedná za návrh každoročnej aktualizácie národnej stratégie</w:t>
      </w:r>
      <w:r w:rsidR="00083739" w:rsidRPr="00083739">
        <w:rPr>
          <w:rFonts w:cs="Times New Roman"/>
          <w:noProof/>
          <w:lang w:val="sk-SK"/>
        </w:rPr>
        <w:t xml:space="preserve"> v </w:t>
      </w:r>
      <w:r w:rsidRPr="00083739">
        <w:rPr>
          <w:rFonts w:cs="Times New Roman"/>
          <w:noProof/>
          <w:lang w:val="sk-SK"/>
        </w:rPr>
        <w:t xml:space="preserve">oblasti zručností. Reformu sprevádzajú investície do horizontálnych programov zvyšovania úrovne </w:t>
      </w:r>
      <w:r w:rsidRPr="00083739">
        <w:rPr>
          <w:rFonts w:cs="Times New Roman"/>
          <w:noProof/>
          <w:lang w:val="sk-SK"/>
        </w:rPr>
        <w:t>zručností zameraných na rôzne skupiny obyvateľstva, ktorých cieľom je poskytnúť a) základné</w:t>
      </w:r>
      <w:r w:rsidR="00083739" w:rsidRPr="00083739">
        <w:rPr>
          <w:rFonts w:cs="Times New Roman"/>
          <w:noProof/>
          <w:lang w:val="sk-SK"/>
        </w:rPr>
        <w:t xml:space="preserve"> a </w:t>
      </w:r>
      <w:r w:rsidRPr="00083739">
        <w:rPr>
          <w:rFonts w:cs="Times New Roman"/>
          <w:noProof/>
          <w:lang w:val="sk-SK"/>
        </w:rPr>
        <w:t>stredné digitálne zručnosti, b) zelené zručnosti</w:t>
      </w:r>
      <w:r w:rsidR="00083739" w:rsidRPr="00083739">
        <w:rPr>
          <w:rFonts w:cs="Times New Roman"/>
          <w:noProof/>
          <w:lang w:val="sk-SK"/>
        </w:rPr>
        <w:t xml:space="preserve"> a </w:t>
      </w:r>
      <w:r w:rsidRPr="00083739">
        <w:rPr>
          <w:rFonts w:cs="Times New Roman"/>
          <w:noProof/>
          <w:lang w:val="sk-SK"/>
        </w:rPr>
        <w:t>c) zručnosti</w:t>
      </w:r>
      <w:r w:rsidR="00083739" w:rsidRPr="00083739">
        <w:rPr>
          <w:rFonts w:cs="Times New Roman"/>
          <w:noProof/>
          <w:lang w:val="sk-SK"/>
        </w:rPr>
        <w:t xml:space="preserve"> v </w:t>
      </w:r>
      <w:r w:rsidRPr="00083739">
        <w:rPr>
          <w:rFonts w:cs="Times New Roman"/>
          <w:noProof/>
          <w:lang w:val="sk-SK"/>
        </w:rPr>
        <w:t>oblasti finančnej gramotnosti. Implementácia reformy</w:t>
      </w:r>
      <w:r w:rsidR="00083739" w:rsidRPr="00083739">
        <w:rPr>
          <w:rFonts w:cs="Times New Roman"/>
          <w:noProof/>
          <w:lang w:val="sk-SK"/>
        </w:rPr>
        <w:t xml:space="preserve"> a </w:t>
      </w:r>
      <w:r w:rsidRPr="00083739">
        <w:rPr>
          <w:rFonts w:cs="Times New Roman"/>
          <w:noProof/>
          <w:lang w:val="sk-SK"/>
        </w:rPr>
        <w:t>investície sa dokončia do 31</w:t>
      </w:r>
      <w:r w:rsidR="00083739" w:rsidRPr="00083739">
        <w:rPr>
          <w:rFonts w:cs="Times New Roman"/>
          <w:noProof/>
          <w:lang w:val="sk-SK"/>
        </w:rPr>
        <w:t>. decembra</w:t>
      </w:r>
      <w:r w:rsidRPr="00083739">
        <w:rPr>
          <w:rFonts w:cs="Times New Roman"/>
          <w:noProof/>
          <w:lang w:val="sk-SK"/>
        </w:rPr>
        <w:t xml:space="preserve"> 20</w:t>
      </w:r>
      <w:r w:rsidRPr="00083739">
        <w:rPr>
          <w:rFonts w:cs="Times New Roman"/>
          <w:noProof/>
          <w:lang w:val="sk-SK"/>
        </w:rPr>
        <w:t>25.</w:t>
      </w:r>
    </w:p>
    <w:p w14:paraId="610D447E" w14:textId="77777777" w:rsidR="002D49B0" w:rsidRPr="00083739" w:rsidRDefault="00BF4125">
      <w:pPr>
        <w:pStyle w:val="P68B1DB1-Normal4"/>
        <w:rPr>
          <w:rFonts w:cs="Times New Roman"/>
          <w:b/>
          <w:noProof/>
          <w:lang w:val="sk-SK"/>
        </w:rPr>
      </w:pPr>
      <w:r w:rsidRPr="00083739">
        <w:rPr>
          <w:rFonts w:cs="Times New Roman"/>
          <w:noProof/>
          <w:lang w:val="sk-SK"/>
        </w:rPr>
        <w:br w:type="page"/>
      </w:r>
    </w:p>
    <w:p w14:paraId="346CF16E" w14:textId="14FC0213"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Reforma:</w:t>
      </w:r>
      <w:r w:rsidRPr="00083739">
        <w:rPr>
          <w:rFonts w:cs="Times New Roman"/>
          <w:noProof/>
          <w:lang w:val="sk-SK"/>
        </w:rPr>
        <w:t xml:space="preserve"> Stratégia excelentnosti na univerzitách</w:t>
      </w:r>
      <w:r w:rsidR="00083739" w:rsidRPr="00083739">
        <w:rPr>
          <w:rFonts w:cs="Times New Roman"/>
          <w:noProof/>
          <w:lang w:val="sk-SK"/>
        </w:rPr>
        <w:t xml:space="preserve"> a v </w:t>
      </w:r>
      <w:r w:rsidRPr="00083739">
        <w:rPr>
          <w:rFonts w:cs="Times New Roman"/>
          <w:noProof/>
          <w:lang w:val="sk-SK"/>
        </w:rPr>
        <w:t>inováciách (ID opatrenia: 16289)</w:t>
      </w:r>
    </w:p>
    <w:p w14:paraId="5276CE0B" w14:textId="2FED2B4E" w:rsidR="002D49B0" w:rsidRPr="00083739" w:rsidRDefault="00BF4125">
      <w:pPr>
        <w:pStyle w:val="P68B1DB1-Normal4"/>
        <w:spacing w:before="120" w:after="120" w:line="240" w:lineRule="auto"/>
        <w:jc w:val="both"/>
        <w:rPr>
          <w:rFonts w:cs="Times New Roman"/>
          <w:noProof/>
          <w:szCs w:val="24"/>
          <w:lang w:val="sk-SK"/>
        </w:rPr>
      </w:pPr>
      <w:r w:rsidRPr="00083739">
        <w:rPr>
          <w:rFonts w:cs="Times New Roman"/>
          <w:noProof/>
          <w:lang w:val="sk-SK"/>
        </w:rPr>
        <w:t>Cieľom reformy je zlepšiť výsledky</w:t>
      </w:r>
      <w:r w:rsidR="00083739" w:rsidRPr="00083739">
        <w:rPr>
          <w:rFonts w:cs="Times New Roman"/>
          <w:noProof/>
          <w:lang w:val="sk-SK"/>
        </w:rPr>
        <w:t xml:space="preserve"> v </w:t>
      </w:r>
      <w:r w:rsidRPr="00083739">
        <w:rPr>
          <w:rFonts w:cs="Times New Roman"/>
          <w:noProof/>
          <w:lang w:val="sk-SK"/>
        </w:rPr>
        <w:t>oblasti výskumu</w:t>
      </w:r>
      <w:r w:rsidR="00083739" w:rsidRPr="00083739">
        <w:rPr>
          <w:rFonts w:cs="Times New Roman"/>
          <w:noProof/>
          <w:lang w:val="sk-SK"/>
        </w:rPr>
        <w:t xml:space="preserve"> a </w:t>
      </w:r>
      <w:r w:rsidRPr="00083739">
        <w:rPr>
          <w:rFonts w:cs="Times New Roman"/>
          <w:noProof/>
          <w:lang w:val="sk-SK"/>
        </w:rPr>
        <w:t>extroverziu gréckych univerzít,</w:t>
      </w:r>
      <w:r w:rsidR="00083739" w:rsidRPr="00083739">
        <w:rPr>
          <w:rFonts w:cs="Times New Roman"/>
          <w:noProof/>
          <w:lang w:val="sk-SK"/>
        </w:rPr>
        <w:t xml:space="preserve"> a </w:t>
      </w:r>
      <w:r w:rsidRPr="00083739">
        <w:rPr>
          <w:rFonts w:cs="Times New Roman"/>
          <w:noProof/>
          <w:lang w:val="sk-SK"/>
        </w:rPr>
        <w:t>to aj prilákaním kvalifikovaných</w:t>
      </w:r>
      <w:r w:rsidR="00083739" w:rsidRPr="00083739">
        <w:rPr>
          <w:rFonts w:cs="Times New Roman"/>
          <w:noProof/>
          <w:lang w:val="sk-SK"/>
        </w:rPr>
        <w:t xml:space="preserve"> a </w:t>
      </w:r>
      <w:r w:rsidRPr="00083739">
        <w:rPr>
          <w:rFonts w:cs="Times New Roman"/>
          <w:noProof/>
          <w:lang w:val="sk-SK"/>
        </w:rPr>
        <w:t>uznávaných akademických pracovníkov</w:t>
      </w:r>
      <w:r w:rsidR="00083739" w:rsidRPr="00083739">
        <w:rPr>
          <w:rFonts w:cs="Times New Roman"/>
          <w:noProof/>
          <w:lang w:val="sk-SK"/>
        </w:rPr>
        <w:t xml:space="preserve"> a </w:t>
      </w:r>
      <w:r w:rsidRPr="00083739">
        <w:rPr>
          <w:rFonts w:cs="Times New Roman"/>
          <w:noProof/>
          <w:lang w:val="sk-SK"/>
        </w:rPr>
        <w:t>vý</w:t>
      </w:r>
      <w:r w:rsidRPr="00083739">
        <w:rPr>
          <w:rFonts w:cs="Times New Roman"/>
          <w:noProof/>
          <w:lang w:val="sk-SK"/>
        </w:rPr>
        <w:t>skumných pracovníkov,</w:t>
      </w:r>
      <w:r w:rsidR="00083739" w:rsidRPr="00083739">
        <w:rPr>
          <w:rFonts w:cs="Times New Roman"/>
          <w:noProof/>
          <w:lang w:val="sk-SK"/>
        </w:rPr>
        <w:t xml:space="preserve"> a </w:t>
      </w:r>
      <w:r w:rsidRPr="00083739">
        <w:rPr>
          <w:rFonts w:cs="Times New Roman"/>
          <w:noProof/>
          <w:lang w:val="sk-SK"/>
        </w:rPr>
        <w:t>zlepšiť kvalitu vzdelávania ponúkaného študentom</w:t>
      </w:r>
      <w:r w:rsidR="00083739" w:rsidRPr="00083739">
        <w:rPr>
          <w:rFonts w:cs="Times New Roman"/>
          <w:noProof/>
          <w:lang w:val="sk-SK"/>
        </w:rPr>
        <w:t xml:space="preserve"> a </w:t>
      </w:r>
      <w:r w:rsidRPr="00083739">
        <w:rPr>
          <w:rFonts w:cs="Times New Roman"/>
          <w:noProof/>
          <w:lang w:val="sk-SK"/>
        </w:rPr>
        <w:t>jeho relevantnosť pre trh práce. Reforma predpokladá najmä: a) systém financovania 70 výskumných projektov (klastre excelentnosti</w:t>
      </w:r>
      <w:r w:rsidR="00083739" w:rsidRPr="00083739">
        <w:rPr>
          <w:rFonts w:cs="Times New Roman"/>
          <w:noProof/>
          <w:lang w:val="sk-SK"/>
        </w:rPr>
        <w:t xml:space="preserve"> v </w:t>
      </w:r>
      <w:r w:rsidRPr="00083739">
        <w:rPr>
          <w:rFonts w:cs="Times New Roman"/>
          <w:noProof/>
          <w:lang w:val="sk-SK"/>
        </w:rPr>
        <w:t>oblasti výskumu) zameraný na akademických pracovn</w:t>
      </w:r>
      <w:r w:rsidRPr="00083739">
        <w:rPr>
          <w:rFonts w:cs="Times New Roman"/>
          <w:noProof/>
          <w:lang w:val="sk-SK"/>
        </w:rPr>
        <w:t>íkov na vykonávanie výskumných projektov so spoločnosťami súkromného sektora</w:t>
      </w:r>
      <w:r w:rsidR="00083739" w:rsidRPr="00083739">
        <w:rPr>
          <w:rFonts w:cs="Times New Roman"/>
          <w:noProof/>
          <w:lang w:val="sk-SK"/>
        </w:rPr>
        <w:t xml:space="preserve"> v </w:t>
      </w:r>
      <w:r w:rsidRPr="00083739">
        <w:rPr>
          <w:rFonts w:cs="Times New Roman"/>
          <w:noProof/>
          <w:lang w:val="sk-SK"/>
        </w:rPr>
        <w:t>Grécku; b) modernizácia výskumných</w:t>
      </w:r>
      <w:r w:rsidR="00083739" w:rsidRPr="00083739">
        <w:rPr>
          <w:rFonts w:cs="Times New Roman"/>
          <w:noProof/>
          <w:lang w:val="sk-SK"/>
        </w:rPr>
        <w:t xml:space="preserve"> a </w:t>
      </w:r>
      <w:r w:rsidRPr="00083739">
        <w:rPr>
          <w:rFonts w:cs="Times New Roman"/>
          <w:noProof/>
          <w:lang w:val="sk-SK"/>
        </w:rPr>
        <w:t>vzdelávacích infraštruktúr vybraných gréckych univerzít; C) digitálna transformácia siete národných gréckych knižníc;</w:t>
      </w:r>
      <w:r w:rsidR="00083739" w:rsidRPr="00083739">
        <w:rPr>
          <w:rFonts w:cs="Times New Roman"/>
          <w:noProof/>
          <w:lang w:val="sk-SK"/>
        </w:rPr>
        <w:t xml:space="preserve"> a </w:t>
      </w:r>
      <w:r w:rsidRPr="00083739">
        <w:rPr>
          <w:rFonts w:cs="Times New Roman"/>
          <w:noProof/>
          <w:lang w:val="sk-SK"/>
        </w:rPr>
        <w:t>d) vytvorenie spoloč</w:t>
      </w:r>
      <w:r w:rsidRPr="00083739">
        <w:rPr>
          <w:rFonts w:cs="Times New Roman"/>
          <w:noProof/>
          <w:lang w:val="sk-SK"/>
        </w:rPr>
        <w:t>ných a/alebo dvojakých postgraduálnych študijných programov so zahraničnými univerzitami. Implementácia tejto reformy sa dokončí do 31</w:t>
      </w:r>
      <w:r w:rsidR="00083739" w:rsidRPr="00083739">
        <w:rPr>
          <w:rFonts w:cs="Times New Roman"/>
          <w:noProof/>
          <w:lang w:val="sk-SK"/>
        </w:rPr>
        <w:t>. decembra</w:t>
      </w:r>
      <w:r w:rsidRPr="00083739">
        <w:rPr>
          <w:rFonts w:cs="Times New Roman"/>
          <w:noProof/>
          <w:lang w:val="sk-SK"/>
        </w:rPr>
        <w:t xml:space="preserve"> 2025.</w:t>
      </w:r>
    </w:p>
    <w:p w14:paraId="32CB67F8" w14:textId="7777777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Reforma:</w:t>
      </w:r>
      <w:r w:rsidRPr="00083739">
        <w:rPr>
          <w:rFonts w:cs="Times New Roman"/>
          <w:noProof/>
          <w:lang w:val="sk-SK"/>
        </w:rPr>
        <w:t xml:space="preserve"> Posilnenie systému učňovskej prípravy (ID opatrenia: 16794)</w:t>
      </w:r>
    </w:p>
    <w:p w14:paraId="4060651E" w14:textId="65756045" w:rsidR="002D49B0" w:rsidRPr="00083739" w:rsidRDefault="00BF4125">
      <w:pPr>
        <w:pStyle w:val="P68B1DB1-Normal5"/>
        <w:spacing w:before="120" w:after="120" w:line="240" w:lineRule="auto"/>
        <w:jc w:val="both"/>
        <w:rPr>
          <w:rFonts w:cs="Times New Roman"/>
          <w:noProof/>
          <w:lang w:val="sk-SK"/>
        </w:rPr>
      </w:pPr>
      <w:r w:rsidRPr="00083739">
        <w:rPr>
          <w:rFonts w:cs="Times New Roman"/>
          <w:noProof/>
          <w:lang w:val="sk-SK"/>
        </w:rPr>
        <w:t xml:space="preserve">Cieľom reformy je obnoviť učňovské </w:t>
      </w:r>
      <w:r w:rsidRPr="00083739">
        <w:rPr>
          <w:rFonts w:cs="Times New Roman"/>
          <w:noProof/>
          <w:lang w:val="sk-SK"/>
        </w:rPr>
        <w:t>odborné školy verejných služieb zamestnanosti (DYPA EPAS) ako neoddeliteľnú súčasť vládnej stratégie odborného vzdelávania</w:t>
      </w:r>
      <w:r w:rsidR="00083739" w:rsidRPr="00083739">
        <w:rPr>
          <w:rFonts w:cs="Times New Roman"/>
          <w:noProof/>
          <w:lang w:val="sk-SK"/>
        </w:rPr>
        <w:t xml:space="preserve"> a </w:t>
      </w:r>
      <w:r w:rsidRPr="00083739">
        <w:rPr>
          <w:rFonts w:cs="Times New Roman"/>
          <w:noProof/>
          <w:lang w:val="sk-SK"/>
        </w:rPr>
        <w:t>prípravy (OVP)</w:t>
      </w:r>
      <w:r w:rsidR="00083739" w:rsidRPr="00083739">
        <w:rPr>
          <w:rFonts w:cs="Times New Roman"/>
          <w:noProof/>
          <w:lang w:val="sk-SK"/>
        </w:rPr>
        <w:t xml:space="preserve"> a </w:t>
      </w:r>
      <w:r w:rsidRPr="00083739">
        <w:rPr>
          <w:rFonts w:cs="Times New Roman"/>
          <w:noProof/>
          <w:lang w:val="sk-SK"/>
        </w:rPr>
        <w:t>zamestnanosti mladých ľudí. Reforma zahŕňa najmä 1) zavedenie nového právneho rámca pre vnútroštátny systém OVP; 2</w:t>
      </w:r>
      <w:r w:rsidRPr="00083739">
        <w:rPr>
          <w:rFonts w:cs="Times New Roman"/>
          <w:noProof/>
          <w:lang w:val="sk-SK"/>
        </w:rPr>
        <w:t>. zjednodušenie vzdelávacích procesov</w:t>
      </w:r>
      <w:r w:rsidR="00083739" w:rsidRPr="00083739">
        <w:rPr>
          <w:rFonts w:cs="Times New Roman"/>
          <w:noProof/>
          <w:lang w:val="sk-SK"/>
        </w:rPr>
        <w:t xml:space="preserve"> a </w:t>
      </w:r>
      <w:r w:rsidRPr="00083739">
        <w:rPr>
          <w:rFonts w:cs="Times New Roman"/>
          <w:noProof/>
          <w:lang w:val="sk-SK"/>
        </w:rPr>
        <w:t>integrácia nových metodík</w:t>
      </w:r>
      <w:r w:rsidR="00083739" w:rsidRPr="00083739">
        <w:rPr>
          <w:rFonts w:cs="Times New Roman"/>
          <w:noProof/>
          <w:lang w:val="sk-SK"/>
        </w:rPr>
        <w:t xml:space="preserve"> a </w:t>
      </w:r>
      <w:r w:rsidRPr="00083739">
        <w:rPr>
          <w:rFonts w:cs="Times New Roman"/>
          <w:noProof/>
          <w:lang w:val="sk-SK"/>
        </w:rPr>
        <w:t>nástrojov, ako sú platformy elektronického vzdelávania</w:t>
      </w:r>
      <w:r w:rsidR="00083739" w:rsidRPr="00083739">
        <w:rPr>
          <w:rFonts w:cs="Times New Roman"/>
          <w:noProof/>
          <w:lang w:val="sk-SK"/>
        </w:rPr>
        <w:t xml:space="preserve"> a </w:t>
      </w:r>
      <w:r w:rsidRPr="00083739">
        <w:rPr>
          <w:rFonts w:cs="Times New Roman"/>
          <w:noProof/>
          <w:lang w:val="sk-SK"/>
        </w:rPr>
        <w:t>digitalizovaný obsah odbornej prípravy pre učňov aj školiteľov; 3. posúdenie, prepracovanie</w:t>
      </w:r>
      <w:r w:rsidR="00083739" w:rsidRPr="00083739">
        <w:rPr>
          <w:rFonts w:cs="Times New Roman"/>
          <w:noProof/>
          <w:lang w:val="sk-SK"/>
        </w:rPr>
        <w:t xml:space="preserve"> a </w:t>
      </w:r>
      <w:r w:rsidRPr="00083739">
        <w:rPr>
          <w:rFonts w:cs="Times New Roman"/>
          <w:noProof/>
          <w:lang w:val="sk-SK"/>
        </w:rPr>
        <w:t>aktualizácia súčasných učebných osnov</w:t>
      </w:r>
      <w:r w:rsidRPr="00083739">
        <w:rPr>
          <w:rFonts w:cs="Times New Roman"/>
          <w:noProof/>
          <w:lang w:val="sk-SK"/>
        </w:rPr>
        <w:t xml:space="preserve"> (s príspevkom sociálnych partnerov</w:t>
      </w:r>
      <w:r w:rsidR="00083739" w:rsidRPr="00083739">
        <w:rPr>
          <w:rFonts w:cs="Times New Roman"/>
          <w:noProof/>
          <w:lang w:val="sk-SK"/>
        </w:rPr>
        <w:t xml:space="preserve"> a </w:t>
      </w:r>
      <w:r w:rsidRPr="00083739">
        <w:rPr>
          <w:rFonts w:cs="Times New Roman"/>
          <w:noProof/>
          <w:lang w:val="sk-SK"/>
        </w:rPr>
        <w:t>zamestnávateľov)</w:t>
      </w:r>
      <w:r w:rsidR="00083739" w:rsidRPr="00083739">
        <w:rPr>
          <w:rFonts w:cs="Times New Roman"/>
          <w:noProof/>
          <w:lang w:val="sk-SK"/>
        </w:rPr>
        <w:t xml:space="preserve"> s </w:t>
      </w:r>
      <w:r w:rsidRPr="00083739">
        <w:rPr>
          <w:rFonts w:cs="Times New Roman"/>
          <w:noProof/>
          <w:lang w:val="sk-SK"/>
        </w:rPr>
        <w:t>cieľom ďalej ich zosúladiť so skutočnými potrebami trhu práce; 4) obnova</w:t>
      </w:r>
      <w:r w:rsidR="00083739" w:rsidRPr="00083739">
        <w:rPr>
          <w:rFonts w:cs="Times New Roman"/>
          <w:noProof/>
          <w:lang w:val="sk-SK"/>
        </w:rPr>
        <w:t xml:space="preserve"> a </w:t>
      </w:r>
      <w:r w:rsidRPr="00083739">
        <w:rPr>
          <w:rFonts w:cs="Times New Roman"/>
          <w:noProof/>
          <w:lang w:val="sk-SK"/>
        </w:rPr>
        <w:t>modernizácia infraštruktúry OVP (laboratóriá</w:t>
      </w:r>
      <w:r w:rsidR="00083739" w:rsidRPr="00083739">
        <w:rPr>
          <w:rFonts w:cs="Times New Roman"/>
          <w:noProof/>
          <w:lang w:val="sk-SK"/>
        </w:rPr>
        <w:t xml:space="preserve"> a </w:t>
      </w:r>
      <w:r w:rsidRPr="00083739">
        <w:rPr>
          <w:rFonts w:cs="Times New Roman"/>
          <w:noProof/>
          <w:lang w:val="sk-SK"/>
        </w:rPr>
        <w:t>vybavenie); Renovácia budov EPAS</w:t>
      </w:r>
      <w:r w:rsidR="00083739" w:rsidRPr="00083739">
        <w:rPr>
          <w:rFonts w:cs="Times New Roman"/>
          <w:noProof/>
          <w:lang w:val="sk-SK"/>
        </w:rPr>
        <w:t xml:space="preserve"> s </w:t>
      </w:r>
      <w:r w:rsidRPr="00083739">
        <w:rPr>
          <w:rFonts w:cs="Times New Roman"/>
          <w:noProof/>
          <w:lang w:val="sk-SK"/>
        </w:rPr>
        <w:t>cieľom zlepšiť energetickú efektívnosť</w:t>
      </w:r>
      <w:r w:rsidR="00083739" w:rsidRPr="00083739">
        <w:rPr>
          <w:rFonts w:cs="Times New Roman"/>
          <w:noProof/>
          <w:lang w:val="sk-SK"/>
        </w:rPr>
        <w:t xml:space="preserve"> a </w:t>
      </w:r>
      <w:r w:rsidRPr="00083739">
        <w:rPr>
          <w:rFonts w:cs="Times New Roman"/>
          <w:noProof/>
          <w:lang w:val="sk-SK"/>
        </w:rPr>
        <w:t>p</w:t>
      </w:r>
      <w:r w:rsidRPr="00083739">
        <w:rPr>
          <w:rFonts w:cs="Times New Roman"/>
          <w:noProof/>
          <w:lang w:val="sk-SK"/>
        </w:rPr>
        <w:t>riestorovú funkčnosť; 6) integrácia technológie virtuálnej reality do modulov každodenného vzdelávania; 7) zavedenie rozsiahleho programu „odbornej prípravy školiteľov“ pre pedagogických pracovníkov DYPA; 8) zavedenie komunikačnej kampane na podporu systém</w:t>
      </w:r>
      <w:r w:rsidRPr="00083739">
        <w:rPr>
          <w:rFonts w:cs="Times New Roman"/>
          <w:noProof/>
          <w:lang w:val="sk-SK"/>
        </w:rPr>
        <w:t>u učňovskej prípravy. Vyhradená časť pridelených grantov prispieva</w:t>
      </w:r>
      <w:r w:rsidR="00083739" w:rsidRPr="00083739">
        <w:rPr>
          <w:rFonts w:cs="Times New Roman"/>
          <w:noProof/>
          <w:lang w:val="sk-SK"/>
        </w:rPr>
        <w:t xml:space="preserve"> k </w:t>
      </w:r>
      <w:r w:rsidRPr="00083739">
        <w:rPr>
          <w:rFonts w:cs="Times New Roman"/>
          <w:noProof/>
          <w:lang w:val="sk-SK"/>
        </w:rPr>
        <w:t>ekologickým zručnostiam</w:t>
      </w:r>
      <w:r w:rsidR="00083739" w:rsidRPr="00083739">
        <w:rPr>
          <w:rFonts w:cs="Times New Roman"/>
          <w:noProof/>
          <w:lang w:val="sk-SK"/>
        </w:rPr>
        <w:t xml:space="preserve"> a </w:t>
      </w:r>
      <w:r w:rsidRPr="00083739">
        <w:rPr>
          <w:rFonts w:cs="Times New Roman"/>
          <w:noProof/>
          <w:lang w:val="sk-SK"/>
        </w:rPr>
        <w:t>pracovným miestam</w:t>
      </w:r>
      <w:r w:rsidR="00083739" w:rsidRPr="00083739">
        <w:rPr>
          <w:rFonts w:cs="Times New Roman"/>
          <w:noProof/>
          <w:lang w:val="sk-SK"/>
        </w:rPr>
        <w:t xml:space="preserve"> a </w:t>
      </w:r>
      <w:r w:rsidRPr="00083739">
        <w:rPr>
          <w:rFonts w:cs="Times New Roman"/>
          <w:noProof/>
          <w:lang w:val="sk-SK"/>
        </w:rPr>
        <w:t>ekologickému hospodárstvu. Implementácia tejto reformy sa dokončí do 31</w:t>
      </w:r>
      <w:r w:rsidR="00083739" w:rsidRPr="00083739">
        <w:rPr>
          <w:rFonts w:cs="Times New Roman"/>
          <w:noProof/>
          <w:lang w:val="sk-SK"/>
        </w:rPr>
        <w:t>. decembra</w:t>
      </w:r>
      <w:r w:rsidRPr="00083739">
        <w:rPr>
          <w:rFonts w:cs="Times New Roman"/>
          <w:noProof/>
          <w:lang w:val="sk-SK"/>
        </w:rPr>
        <w:t xml:space="preserve"> 2025.</w:t>
      </w:r>
    </w:p>
    <w:p w14:paraId="4D140970" w14:textId="05D584CC"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Obnovy</w:t>
      </w:r>
      <w:r w:rsidR="00083739" w:rsidRPr="00083739">
        <w:rPr>
          <w:rFonts w:cs="Times New Roman"/>
          <w:noProof/>
          <w:lang w:val="sk-SK"/>
        </w:rPr>
        <w:t xml:space="preserve"> a </w:t>
      </w:r>
      <w:r w:rsidRPr="00083739">
        <w:rPr>
          <w:rFonts w:cs="Times New Roman"/>
          <w:noProof/>
          <w:lang w:val="sk-SK"/>
        </w:rPr>
        <w:t>opatrenia zamerané na energetickú efektívnos</w:t>
      </w:r>
      <w:r w:rsidRPr="00083739">
        <w:rPr>
          <w:rFonts w:cs="Times New Roman"/>
          <w:noProof/>
          <w:lang w:val="sk-SK"/>
        </w:rPr>
        <w:t>ť musia byť</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i) aspoň stredne hĺbkovou obnovou, ako sa vymedzuje</w:t>
      </w:r>
      <w:r w:rsidR="00083739" w:rsidRPr="00083739">
        <w:rPr>
          <w:rFonts w:cs="Times New Roman"/>
          <w:noProof/>
          <w:lang w:val="sk-SK"/>
        </w:rPr>
        <w:t xml:space="preserve"> v </w:t>
      </w:r>
      <w:r w:rsidRPr="00083739">
        <w:rPr>
          <w:rFonts w:cs="Times New Roman"/>
          <w:noProof/>
          <w:lang w:val="sk-SK"/>
        </w:rPr>
        <w:t>odporúčaní Komisie</w:t>
      </w:r>
      <w:r w:rsidR="00083739" w:rsidRPr="00083739">
        <w:rPr>
          <w:rFonts w:cs="Times New Roman"/>
          <w:noProof/>
          <w:lang w:val="sk-SK"/>
        </w:rPr>
        <w:t xml:space="preserve"> o </w:t>
      </w:r>
      <w:r w:rsidRPr="00083739">
        <w:rPr>
          <w:rFonts w:cs="Times New Roman"/>
          <w:noProof/>
          <w:lang w:val="sk-SK"/>
        </w:rPr>
        <w:t>obnove budov (EÚ) 2019/786, alebo b) dosahujú</w:t>
      </w:r>
      <w:r w:rsidR="00083739" w:rsidRPr="00083739">
        <w:rPr>
          <w:rFonts w:cs="Times New Roman"/>
          <w:noProof/>
          <w:lang w:val="sk-SK"/>
        </w:rPr>
        <w:t xml:space="preserve"> v </w:t>
      </w:r>
      <w:r w:rsidRPr="00083739">
        <w:rPr>
          <w:rFonts w:cs="Times New Roman"/>
          <w:noProof/>
          <w:lang w:val="sk-SK"/>
        </w:rPr>
        <w:t>priemere aspoň 30</w:t>
      </w:r>
      <w:r w:rsidR="00083739" w:rsidRPr="00083739">
        <w:rPr>
          <w:rFonts w:cs="Times New Roman"/>
          <w:noProof/>
          <w:lang w:val="sk-SK"/>
        </w:rPr>
        <w:t> %</w:t>
      </w:r>
      <w:r w:rsidRPr="00083739">
        <w:rPr>
          <w:rFonts w:cs="Times New Roman"/>
          <w:noProof/>
          <w:lang w:val="sk-SK"/>
        </w:rPr>
        <w:t xml:space="preserve"> zníženie priamych</w:t>
      </w:r>
      <w:r w:rsidR="00083739" w:rsidRPr="00083739">
        <w:rPr>
          <w:rFonts w:cs="Times New Roman"/>
          <w:noProof/>
          <w:lang w:val="sk-SK"/>
        </w:rPr>
        <w:t xml:space="preserve"> a </w:t>
      </w:r>
      <w:r w:rsidRPr="00083739">
        <w:rPr>
          <w:rFonts w:cs="Times New Roman"/>
          <w:noProof/>
          <w:lang w:val="sk-SK"/>
        </w:rPr>
        <w:t>nepriamych emisií skleníkových plynov</w:t>
      </w:r>
      <w:r w:rsidR="00083739" w:rsidRPr="00083739">
        <w:rPr>
          <w:rFonts w:cs="Times New Roman"/>
          <w:noProof/>
          <w:lang w:val="sk-SK"/>
        </w:rPr>
        <w:t xml:space="preserve"> v </w:t>
      </w:r>
      <w:r w:rsidRPr="00083739">
        <w:rPr>
          <w:rFonts w:cs="Times New Roman"/>
          <w:noProof/>
          <w:lang w:val="sk-SK"/>
        </w:rPr>
        <w:t>porovnaní</w:t>
      </w:r>
      <w:r w:rsidR="00083739" w:rsidRPr="00083739">
        <w:rPr>
          <w:rFonts w:cs="Times New Roman"/>
          <w:noProof/>
          <w:lang w:val="sk-SK"/>
        </w:rPr>
        <w:t xml:space="preserve"> s </w:t>
      </w:r>
      <w:r w:rsidRPr="00083739">
        <w:rPr>
          <w:rFonts w:cs="Times New Roman"/>
          <w:noProof/>
          <w:lang w:val="sk-SK"/>
        </w:rPr>
        <w:t xml:space="preserve">emisiami ex ante. </w:t>
      </w:r>
      <w:r w:rsidRPr="00083739">
        <w:rPr>
          <w:rFonts w:cs="Times New Roman"/>
          <w:noProof/>
          <w:lang w:val="sk-SK"/>
        </w:rPr>
        <w:t>Očakáva sa, že toto opatrenie výrazne nenaruší environmentálne ciele</w:t>
      </w:r>
      <w:r w:rsidR="00083739" w:rsidRPr="00083739">
        <w:rPr>
          <w:rFonts w:cs="Times New Roman"/>
          <w:noProof/>
          <w:lang w:val="sk-SK"/>
        </w:rPr>
        <w:t xml:space="preserve"> v </w:t>
      </w:r>
      <w:r w:rsidRPr="00083739">
        <w:rPr>
          <w:rFonts w:cs="Times New Roman"/>
          <w:noProof/>
          <w:lang w:val="sk-SK"/>
        </w:rPr>
        <w:t>zmysle článku 17 nariadenia (EÚ) 2020/852, pričom sa zohľadní opis opatrenia</w:t>
      </w:r>
      <w:r w:rsidR="00083739" w:rsidRPr="00083739">
        <w:rPr>
          <w:rFonts w:cs="Times New Roman"/>
          <w:noProof/>
          <w:lang w:val="sk-SK"/>
        </w:rPr>
        <w:t xml:space="preserve"> a </w:t>
      </w:r>
      <w:r w:rsidRPr="00083739">
        <w:rPr>
          <w:rFonts w:cs="Times New Roman"/>
          <w:noProof/>
          <w:lang w:val="sk-SK"/>
        </w:rPr>
        <w:t>zmierňujúce kroky stanovené</w:t>
      </w:r>
      <w:r w:rsidR="00083739" w:rsidRPr="00083739">
        <w:rPr>
          <w:rFonts w:cs="Times New Roman"/>
          <w:noProof/>
          <w:lang w:val="sk-SK"/>
        </w:rPr>
        <w:t xml:space="preserve"> v </w:t>
      </w:r>
      <w:r w:rsidRPr="00083739">
        <w:rPr>
          <w:rFonts w:cs="Times New Roman"/>
          <w:noProof/>
          <w:lang w:val="sk-SK"/>
        </w:rPr>
        <w:t>pláne podpory obnovy</w:t>
      </w:r>
      <w:r w:rsidR="00083739" w:rsidRPr="00083739">
        <w:rPr>
          <w:rFonts w:cs="Times New Roman"/>
          <w:noProof/>
          <w:lang w:val="sk-SK"/>
        </w:rPr>
        <w:t xml:space="preserve"> a </w:t>
      </w:r>
      <w:r w:rsidRPr="00083739">
        <w:rPr>
          <w:rFonts w:cs="Times New Roman"/>
          <w:noProof/>
          <w:lang w:val="sk-SK"/>
        </w:rPr>
        <w:t>odolnosti</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technickým usmernením „výrazne n</w:t>
      </w:r>
      <w:r w:rsidRPr="00083739">
        <w:rPr>
          <w:rFonts w:cs="Times New Roman"/>
          <w:noProof/>
          <w:lang w:val="sk-SK"/>
        </w:rPr>
        <w:t>enarušiť“ (2021/C58/01). Konkrétne sa</w:t>
      </w:r>
      <w:r w:rsidR="00083739" w:rsidRPr="00083739">
        <w:rPr>
          <w:rFonts w:cs="Times New Roman"/>
          <w:noProof/>
          <w:lang w:val="sk-SK"/>
        </w:rPr>
        <w:t xml:space="preserve"> v </w:t>
      </w:r>
      <w:r w:rsidRPr="00083739">
        <w:rPr>
          <w:rFonts w:cs="Times New Roman"/>
          <w:noProof/>
          <w:lang w:val="sk-SK"/>
        </w:rPr>
        <w:t>tomto opatrení vyžaduje, aby hospodárske subjekty vykonávajúce stavebné práce zabezpečili, že najmenej 70</w:t>
      </w:r>
      <w:r w:rsidR="00083739" w:rsidRPr="00083739">
        <w:rPr>
          <w:rFonts w:cs="Times New Roman"/>
          <w:noProof/>
          <w:lang w:val="sk-SK"/>
        </w:rPr>
        <w:t> %</w:t>
      </w:r>
      <w:r w:rsidRPr="00083739">
        <w:rPr>
          <w:rFonts w:cs="Times New Roman"/>
          <w:noProof/>
          <w:lang w:val="sk-SK"/>
        </w:rPr>
        <w:t xml:space="preserve"> (hmotnosti) stavebného</w:t>
      </w:r>
      <w:r w:rsidR="00083739" w:rsidRPr="00083739">
        <w:rPr>
          <w:rFonts w:cs="Times New Roman"/>
          <w:noProof/>
          <w:lang w:val="sk-SK"/>
        </w:rPr>
        <w:t xml:space="preserve"> a </w:t>
      </w:r>
      <w:r w:rsidRPr="00083739">
        <w:rPr>
          <w:rFonts w:cs="Times New Roman"/>
          <w:noProof/>
          <w:lang w:val="sk-SK"/>
        </w:rPr>
        <w:t>demolačného odpadu, ktorý nie je nebezpečný [okrem prirodzene sa vyskytujúceho mate</w:t>
      </w:r>
      <w:r w:rsidRPr="00083739">
        <w:rPr>
          <w:rFonts w:cs="Times New Roman"/>
          <w:noProof/>
          <w:lang w:val="sk-SK"/>
        </w:rPr>
        <w:t>riálu uvedeného</w:t>
      </w:r>
      <w:r w:rsidR="00083739" w:rsidRPr="00083739">
        <w:rPr>
          <w:rFonts w:cs="Times New Roman"/>
          <w:noProof/>
          <w:lang w:val="sk-SK"/>
        </w:rPr>
        <w:t xml:space="preserve"> v </w:t>
      </w:r>
      <w:r w:rsidRPr="00083739">
        <w:rPr>
          <w:rFonts w:cs="Times New Roman"/>
          <w:noProof/>
          <w:lang w:val="sk-SK"/>
        </w:rPr>
        <w:t>kategórii 17 05 04</w:t>
      </w:r>
      <w:r w:rsidR="00083739" w:rsidRPr="00083739">
        <w:rPr>
          <w:rFonts w:cs="Times New Roman"/>
          <w:noProof/>
          <w:lang w:val="sk-SK"/>
        </w:rPr>
        <w:t xml:space="preserve"> v </w:t>
      </w:r>
      <w:r w:rsidRPr="00083739">
        <w:rPr>
          <w:rFonts w:cs="Times New Roman"/>
          <w:noProof/>
          <w:lang w:val="sk-SK"/>
        </w:rPr>
        <w:t>európskom zozname odpadov vytvorenom rozhodnutím 2000/532/ES</w:t>
      </w:r>
      <w:r w:rsidR="00083739" w:rsidRPr="00083739">
        <w:rPr>
          <w:rFonts w:cs="Times New Roman"/>
          <w:noProof/>
          <w:lang w:val="sk-SK"/>
        </w:rPr>
        <w:t xml:space="preserve"> z </w:t>
      </w:r>
      <w:r w:rsidRPr="00083739">
        <w:rPr>
          <w:rFonts w:cs="Times New Roman"/>
          <w:noProof/>
          <w:lang w:val="sk-SK"/>
        </w:rPr>
        <w:t>3</w:t>
      </w:r>
      <w:r w:rsidR="00083739" w:rsidRPr="00083739">
        <w:rPr>
          <w:rFonts w:cs="Times New Roman"/>
          <w:noProof/>
          <w:lang w:val="sk-SK"/>
        </w:rPr>
        <w:t>. mája</w:t>
      </w:r>
      <w:r w:rsidRPr="00083739">
        <w:rPr>
          <w:rFonts w:cs="Times New Roman"/>
          <w:noProof/>
          <w:lang w:val="sk-SK"/>
        </w:rPr>
        <w:t xml:space="preserve"> 2000, ktorým sa nahrádza rozhodnutie 94/3/ES, ktorým sa zavádza zoznam odpadov podľa článku 1 písm. a) smernice Rady 75/442/EHS</w:t>
      </w:r>
      <w:r w:rsidR="00083739" w:rsidRPr="00083739">
        <w:rPr>
          <w:rFonts w:cs="Times New Roman"/>
          <w:noProof/>
          <w:lang w:val="sk-SK"/>
        </w:rPr>
        <w:t xml:space="preserve"> o </w:t>
      </w:r>
      <w:r w:rsidRPr="00083739">
        <w:rPr>
          <w:rFonts w:cs="Times New Roman"/>
          <w:noProof/>
          <w:lang w:val="sk-SK"/>
        </w:rPr>
        <w:t>odpade</w:t>
      </w:r>
      <w:r w:rsidR="00083739" w:rsidRPr="00083739">
        <w:rPr>
          <w:rFonts w:cs="Times New Roman"/>
          <w:noProof/>
          <w:lang w:val="sk-SK"/>
        </w:rPr>
        <w:t xml:space="preserve"> a </w:t>
      </w:r>
      <w:r w:rsidRPr="00083739">
        <w:rPr>
          <w:rFonts w:cs="Times New Roman"/>
          <w:noProof/>
          <w:lang w:val="sk-SK"/>
        </w:rPr>
        <w:t>rozhodnutia Rady 94/904/ES, ktorým sa vydáva zoznam nebezpečných odpadov podľa článku 1 ods. 4 smernice Rady 91/689/EHS</w:t>
      </w:r>
      <w:r w:rsidR="00083739" w:rsidRPr="00083739">
        <w:rPr>
          <w:rFonts w:cs="Times New Roman"/>
          <w:noProof/>
          <w:lang w:val="sk-SK"/>
        </w:rPr>
        <w:t xml:space="preserve"> o </w:t>
      </w:r>
      <w:r w:rsidRPr="00083739">
        <w:rPr>
          <w:rFonts w:cs="Times New Roman"/>
          <w:noProof/>
          <w:lang w:val="sk-SK"/>
        </w:rPr>
        <w:t>nebezpečných odpadoch [oznámeným pod číslom C(2000) 1147], vytvoreného na stavenisku sa pripraví na opätovné použitie, recykláciu</w:t>
      </w:r>
      <w:r w:rsidR="00083739" w:rsidRPr="00083739">
        <w:rPr>
          <w:rFonts w:cs="Times New Roman"/>
          <w:noProof/>
          <w:lang w:val="sk-SK"/>
        </w:rPr>
        <w:t xml:space="preserve"> a </w:t>
      </w:r>
      <w:r w:rsidRPr="00083739">
        <w:rPr>
          <w:rFonts w:cs="Times New Roman"/>
          <w:noProof/>
          <w:lang w:val="sk-SK"/>
        </w:rPr>
        <w:t>in</w:t>
      </w:r>
      <w:r w:rsidRPr="00083739">
        <w:rPr>
          <w:rFonts w:cs="Times New Roman"/>
          <w:noProof/>
          <w:lang w:val="sk-SK"/>
        </w:rPr>
        <w:t>é materiálové zhodnocovanie vrátane spätného zasypávania</w:t>
      </w:r>
      <w:r w:rsidR="00083739" w:rsidRPr="00083739">
        <w:rPr>
          <w:rFonts w:cs="Times New Roman"/>
          <w:noProof/>
          <w:lang w:val="sk-SK"/>
        </w:rPr>
        <w:t xml:space="preserve"> s </w:t>
      </w:r>
      <w:r w:rsidRPr="00083739">
        <w:rPr>
          <w:rFonts w:cs="Times New Roman"/>
          <w:noProof/>
          <w:lang w:val="sk-SK"/>
        </w:rPr>
        <w:t>použitím odpadu ako náhrady iných materiálov,</w:t>
      </w:r>
      <w:r w:rsidR="00083739" w:rsidRPr="00083739">
        <w:rPr>
          <w:rFonts w:cs="Times New Roman"/>
          <w:noProof/>
          <w:lang w:val="sk-SK"/>
        </w:rPr>
        <w:t xml:space="preserve"> a </w:t>
      </w:r>
      <w:r w:rsidRPr="00083739">
        <w:rPr>
          <w:rFonts w:cs="Times New Roman"/>
          <w:noProof/>
          <w:lang w:val="sk-SK"/>
        </w:rPr>
        <w:t>to</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hierarchiou odpadového hospodárstva</w:t>
      </w:r>
      <w:r w:rsidR="00083739" w:rsidRPr="00083739">
        <w:rPr>
          <w:rFonts w:cs="Times New Roman"/>
          <w:noProof/>
          <w:lang w:val="sk-SK"/>
        </w:rPr>
        <w:t xml:space="preserve"> a </w:t>
      </w:r>
      <w:r w:rsidRPr="00083739">
        <w:rPr>
          <w:rFonts w:cs="Times New Roman"/>
          <w:noProof/>
          <w:lang w:val="sk-SK"/>
        </w:rPr>
        <w:t>protokolom EÚ</w:t>
      </w:r>
      <w:r w:rsidR="00083739" w:rsidRPr="00083739">
        <w:rPr>
          <w:rFonts w:cs="Times New Roman"/>
          <w:noProof/>
          <w:lang w:val="sk-SK"/>
        </w:rPr>
        <w:t xml:space="preserve"> o </w:t>
      </w:r>
      <w:r w:rsidRPr="00083739">
        <w:rPr>
          <w:rFonts w:cs="Times New Roman"/>
          <w:noProof/>
          <w:lang w:val="sk-SK"/>
        </w:rPr>
        <w:t>nakladaní so stavebným odpadom</w:t>
      </w:r>
      <w:r w:rsidR="00083739" w:rsidRPr="00083739">
        <w:rPr>
          <w:rFonts w:cs="Times New Roman"/>
          <w:noProof/>
          <w:lang w:val="sk-SK"/>
        </w:rPr>
        <w:t xml:space="preserve"> a </w:t>
      </w:r>
      <w:r w:rsidRPr="00083739">
        <w:rPr>
          <w:rFonts w:cs="Times New Roman"/>
          <w:noProof/>
          <w:lang w:val="sk-SK"/>
        </w:rPr>
        <w:t>odpadom</w:t>
      </w:r>
      <w:r w:rsidR="00083739" w:rsidRPr="00083739">
        <w:rPr>
          <w:rFonts w:cs="Times New Roman"/>
          <w:noProof/>
          <w:lang w:val="sk-SK"/>
        </w:rPr>
        <w:t xml:space="preserve"> z </w:t>
      </w:r>
      <w:r w:rsidRPr="00083739">
        <w:rPr>
          <w:rFonts w:cs="Times New Roman"/>
          <w:noProof/>
          <w:lang w:val="sk-SK"/>
        </w:rPr>
        <w:t>demolácie.</w:t>
      </w:r>
    </w:p>
    <w:p w14:paraId="14BAE9DA" w14:textId="4FDA3156"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Reforma:</w:t>
      </w:r>
      <w:r w:rsidRPr="00083739">
        <w:rPr>
          <w:rFonts w:cs="Times New Roman"/>
          <w:noProof/>
          <w:lang w:val="sk-SK"/>
        </w:rPr>
        <w:t xml:space="preserve"> Kvalifikácia praco</w:t>
      </w:r>
      <w:r w:rsidRPr="00083739">
        <w:rPr>
          <w:rFonts w:cs="Times New Roman"/>
          <w:noProof/>
          <w:lang w:val="sk-SK"/>
        </w:rPr>
        <w:t>vnej sily, rekvalifikácia</w:t>
      </w:r>
      <w:r w:rsidR="00083739" w:rsidRPr="00083739">
        <w:rPr>
          <w:rFonts w:cs="Times New Roman"/>
          <w:noProof/>
          <w:lang w:val="sk-SK"/>
        </w:rPr>
        <w:t xml:space="preserve"> a </w:t>
      </w:r>
      <w:r w:rsidRPr="00083739">
        <w:rPr>
          <w:rFonts w:cs="Times New Roman"/>
          <w:noProof/>
          <w:lang w:val="sk-SK"/>
        </w:rPr>
        <w:t>zvyšovanie úrovne zručností prostredníctvom reformovaného modelu odbornej prípravy (reforma odborného vzdelávania</w:t>
      </w:r>
      <w:r w:rsidR="00083739" w:rsidRPr="00083739">
        <w:rPr>
          <w:rFonts w:cs="Times New Roman"/>
          <w:noProof/>
          <w:lang w:val="sk-SK"/>
        </w:rPr>
        <w:t xml:space="preserve"> a </w:t>
      </w:r>
      <w:r w:rsidRPr="00083739">
        <w:rPr>
          <w:rFonts w:cs="Times New Roman"/>
          <w:noProof/>
          <w:lang w:val="sk-SK"/>
        </w:rPr>
        <w:t>odbornej prípravy) (opatrenie ID: 16792)</w:t>
      </w:r>
    </w:p>
    <w:p w14:paraId="61AA13B4" w14:textId="56AFEFD6" w:rsidR="002D49B0" w:rsidRPr="00083739" w:rsidRDefault="00BF4125">
      <w:pPr>
        <w:pStyle w:val="P68B1DB1-Normal4"/>
        <w:spacing w:before="120" w:after="120" w:line="240" w:lineRule="auto"/>
        <w:jc w:val="both"/>
        <w:rPr>
          <w:rFonts w:cs="Times New Roman"/>
          <w:noProof/>
          <w:szCs w:val="24"/>
          <w:lang w:val="sk-SK"/>
        </w:rPr>
      </w:pPr>
      <w:r w:rsidRPr="00083739">
        <w:rPr>
          <w:rFonts w:cs="Times New Roman"/>
          <w:noProof/>
          <w:lang w:val="sk-SK"/>
        </w:rPr>
        <w:t>Cieľom reformy je 1) zlepšiť kontrolu kvality (ako sú systémy hodnoteni</w:t>
      </w:r>
      <w:r w:rsidRPr="00083739">
        <w:rPr>
          <w:rFonts w:cs="Times New Roman"/>
          <w:noProof/>
          <w:lang w:val="sk-SK"/>
        </w:rPr>
        <w:t>a na sledovanie pokroku</w:t>
      </w:r>
      <w:r w:rsidR="00083739" w:rsidRPr="00083739">
        <w:rPr>
          <w:rFonts w:cs="Times New Roman"/>
          <w:noProof/>
          <w:lang w:val="sk-SK"/>
        </w:rPr>
        <w:t xml:space="preserve"> a </w:t>
      </w:r>
      <w:r w:rsidRPr="00083739">
        <w:rPr>
          <w:rFonts w:cs="Times New Roman"/>
          <w:noProof/>
          <w:lang w:val="sk-SK"/>
        </w:rPr>
        <w:t>výkonnosti stážistov) na oddeleniach odbornej prípravy verejných služieb zamestnanosti (DYPA), 2) aktualizovať ich moduly</w:t>
      </w:r>
      <w:r w:rsidR="00083739" w:rsidRPr="00083739">
        <w:rPr>
          <w:rFonts w:cs="Times New Roman"/>
          <w:noProof/>
          <w:lang w:val="sk-SK"/>
        </w:rPr>
        <w:t xml:space="preserve"> v </w:t>
      </w:r>
      <w:r w:rsidRPr="00083739">
        <w:rPr>
          <w:rFonts w:cs="Times New Roman"/>
          <w:noProof/>
          <w:lang w:val="sk-SK"/>
        </w:rPr>
        <w:t>súlade so súčasnými</w:t>
      </w:r>
      <w:r w:rsidR="00083739" w:rsidRPr="00083739">
        <w:rPr>
          <w:rFonts w:cs="Times New Roman"/>
          <w:noProof/>
          <w:lang w:val="sk-SK"/>
        </w:rPr>
        <w:t xml:space="preserve"> a </w:t>
      </w:r>
      <w:r w:rsidRPr="00083739">
        <w:rPr>
          <w:rFonts w:cs="Times New Roman"/>
          <w:noProof/>
          <w:lang w:val="sk-SK"/>
        </w:rPr>
        <w:t>budúcimi potrebami trhu práce ako súčasť komplexnej reformy aktívnych politík trhu p</w:t>
      </w:r>
      <w:r w:rsidRPr="00083739">
        <w:rPr>
          <w:rFonts w:cs="Times New Roman"/>
          <w:noProof/>
          <w:lang w:val="sk-SK"/>
        </w:rPr>
        <w:t>ráce DYPA</w:t>
      </w:r>
      <w:r w:rsidR="00083739" w:rsidRPr="00083739">
        <w:rPr>
          <w:rFonts w:cs="Times New Roman"/>
          <w:noProof/>
          <w:lang w:val="sk-SK"/>
        </w:rPr>
        <w:t xml:space="preserve"> a </w:t>
      </w:r>
      <w:r w:rsidRPr="00083739">
        <w:rPr>
          <w:rFonts w:cs="Times New Roman"/>
          <w:noProof/>
          <w:lang w:val="sk-SK"/>
        </w:rPr>
        <w:t>3) podporiť elektronické vzdelávanie</w:t>
      </w:r>
      <w:r w:rsidR="00083739" w:rsidRPr="00083739">
        <w:rPr>
          <w:rFonts w:cs="Times New Roman"/>
          <w:noProof/>
          <w:lang w:val="sk-SK"/>
        </w:rPr>
        <w:t xml:space="preserve"> a </w:t>
      </w:r>
      <w:r w:rsidRPr="00083739">
        <w:rPr>
          <w:rFonts w:cs="Times New Roman"/>
          <w:noProof/>
          <w:lang w:val="sk-SK"/>
        </w:rPr>
        <w:t>digitalizáciu obsahu odbornej prípravy. To je spojené</w:t>
      </w:r>
      <w:r w:rsidR="00083739" w:rsidRPr="00083739">
        <w:rPr>
          <w:rFonts w:cs="Times New Roman"/>
          <w:noProof/>
          <w:lang w:val="sk-SK"/>
        </w:rPr>
        <w:t xml:space="preserve"> s </w:t>
      </w:r>
      <w:r w:rsidRPr="00083739">
        <w:rPr>
          <w:rFonts w:cs="Times New Roman"/>
          <w:noProof/>
          <w:lang w:val="sk-SK"/>
        </w:rPr>
        <w:t>investíciami do dodávok zariadení pre laboratóriá. Implementácia tejto reformy sa dokončí do 31</w:t>
      </w:r>
      <w:r w:rsidR="00083739" w:rsidRPr="00083739">
        <w:rPr>
          <w:rFonts w:cs="Times New Roman"/>
          <w:noProof/>
          <w:lang w:val="sk-SK"/>
        </w:rPr>
        <w:t>. decembra</w:t>
      </w:r>
      <w:r w:rsidRPr="00083739">
        <w:rPr>
          <w:rFonts w:cs="Times New Roman"/>
          <w:noProof/>
          <w:lang w:val="sk-SK"/>
        </w:rPr>
        <w:t xml:space="preserve"> 2025.</w:t>
      </w:r>
    </w:p>
    <w:p w14:paraId="54C2D37B" w14:textId="7F41FA5A"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Reforma:</w:t>
      </w:r>
      <w:r w:rsidRPr="00083739">
        <w:rPr>
          <w:rFonts w:cs="Times New Roman"/>
          <w:noProof/>
          <w:lang w:val="sk-SK"/>
        </w:rPr>
        <w:t xml:space="preserve"> Modernizácia odborného vzdelávania</w:t>
      </w:r>
      <w:r w:rsidR="00083739" w:rsidRPr="00083739">
        <w:rPr>
          <w:rFonts w:cs="Times New Roman"/>
          <w:noProof/>
          <w:lang w:val="sk-SK"/>
        </w:rPr>
        <w:t xml:space="preserve"> a </w:t>
      </w:r>
      <w:r w:rsidRPr="00083739">
        <w:rPr>
          <w:rFonts w:cs="Times New Roman"/>
          <w:noProof/>
          <w:lang w:val="sk-SK"/>
        </w:rPr>
        <w:t>prípravy (ID opatrenia: 16934)</w:t>
      </w:r>
    </w:p>
    <w:p w14:paraId="5137EF86" w14:textId="6D7B62CD" w:rsidR="002D49B0" w:rsidRPr="00083739" w:rsidRDefault="00BF4125">
      <w:pPr>
        <w:pStyle w:val="P68B1DB1-Normal5"/>
        <w:spacing w:before="120" w:after="120" w:line="240" w:lineRule="auto"/>
        <w:jc w:val="both"/>
        <w:rPr>
          <w:rFonts w:cs="Times New Roman"/>
          <w:noProof/>
          <w:sz w:val="18"/>
          <w:szCs w:val="18"/>
          <w:lang w:val="sk-SK"/>
        </w:rPr>
      </w:pPr>
      <w:r w:rsidRPr="00083739">
        <w:rPr>
          <w:rFonts w:cs="Times New Roman"/>
          <w:noProof/>
          <w:lang w:val="sk-SK"/>
        </w:rPr>
        <w:t>Cieľom navrhovanej reformy je urýchliť vykonávanie zákona č. 4763/2020. Očakáva sa, že navrhované opatrenia 1) prispejú</w:t>
      </w:r>
      <w:r w:rsidR="00083739" w:rsidRPr="00083739">
        <w:rPr>
          <w:rFonts w:cs="Times New Roman"/>
          <w:noProof/>
          <w:lang w:val="sk-SK"/>
        </w:rPr>
        <w:t xml:space="preserve"> k </w:t>
      </w:r>
      <w:r w:rsidRPr="00083739">
        <w:rPr>
          <w:rFonts w:cs="Times New Roman"/>
          <w:noProof/>
          <w:lang w:val="sk-SK"/>
        </w:rPr>
        <w:t>tomu, aby sa odborné vzdelávanie</w:t>
      </w:r>
      <w:r w:rsidR="00083739" w:rsidRPr="00083739">
        <w:rPr>
          <w:rFonts w:cs="Times New Roman"/>
          <w:noProof/>
          <w:lang w:val="sk-SK"/>
        </w:rPr>
        <w:t xml:space="preserve"> a </w:t>
      </w:r>
      <w:r w:rsidRPr="00083739">
        <w:rPr>
          <w:rFonts w:cs="Times New Roman"/>
          <w:noProof/>
          <w:lang w:val="sk-SK"/>
        </w:rPr>
        <w:t>príprava (OVP) stali príťažliv</w:t>
      </w:r>
      <w:r w:rsidRPr="00083739">
        <w:rPr>
          <w:rFonts w:cs="Times New Roman"/>
          <w:noProof/>
          <w:lang w:val="sk-SK"/>
        </w:rPr>
        <w:t>ou cestou vzdelávania; 2) posilnia prepojenie medzi vzdelávaním</w:t>
      </w:r>
      <w:r w:rsidR="00083739" w:rsidRPr="00083739">
        <w:rPr>
          <w:rFonts w:cs="Times New Roman"/>
          <w:noProof/>
          <w:lang w:val="sk-SK"/>
        </w:rPr>
        <w:t xml:space="preserve"> a </w:t>
      </w:r>
      <w:r w:rsidRPr="00083739">
        <w:rPr>
          <w:rFonts w:cs="Times New Roman"/>
          <w:noProof/>
          <w:lang w:val="sk-SK"/>
        </w:rPr>
        <w:t>potrebami trhu práce</w:t>
      </w:r>
      <w:r w:rsidR="00083739" w:rsidRPr="00083739">
        <w:rPr>
          <w:rFonts w:cs="Times New Roman"/>
          <w:noProof/>
          <w:lang w:val="sk-SK"/>
        </w:rPr>
        <w:t xml:space="preserve"> a </w:t>
      </w:r>
      <w:r w:rsidRPr="00083739">
        <w:rPr>
          <w:rFonts w:cs="Times New Roman"/>
          <w:noProof/>
          <w:lang w:val="sk-SK"/>
        </w:rPr>
        <w:t>3) poskytnú zručnosti potrebné na súbežnú zelenú</w:t>
      </w:r>
      <w:r w:rsidR="00083739" w:rsidRPr="00083739">
        <w:rPr>
          <w:rFonts w:cs="Times New Roman"/>
          <w:noProof/>
          <w:lang w:val="sk-SK"/>
        </w:rPr>
        <w:t xml:space="preserve"> a </w:t>
      </w:r>
      <w:r w:rsidRPr="00083739">
        <w:rPr>
          <w:rFonts w:cs="Times New Roman"/>
          <w:noProof/>
          <w:lang w:val="sk-SK"/>
        </w:rPr>
        <w:t>digitálnu transformáciu</w:t>
      </w:r>
      <w:r w:rsidR="00083739" w:rsidRPr="00083739">
        <w:rPr>
          <w:rFonts w:cs="Times New Roman"/>
          <w:noProof/>
          <w:lang w:val="sk-SK"/>
        </w:rPr>
        <w:t xml:space="preserve"> a </w:t>
      </w:r>
      <w:r w:rsidRPr="00083739">
        <w:rPr>
          <w:rFonts w:cs="Times New Roman"/>
          <w:noProof/>
          <w:lang w:val="sk-SK"/>
        </w:rPr>
        <w:t>podporia vyhliadky na zamestnanie, najmä</w:t>
      </w:r>
      <w:r w:rsidR="00083739" w:rsidRPr="00083739">
        <w:rPr>
          <w:rFonts w:cs="Times New Roman"/>
          <w:noProof/>
          <w:lang w:val="sk-SK"/>
        </w:rPr>
        <w:t xml:space="preserve"> u </w:t>
      </w:r>
      <w:r w:rsidRPr="00083739">
        <w:rPr>
          <w:rFonts w:cs="Times New Roman"/>
          <w:noProof/>
          <w:lang w:val="sk-SK"/>
        </w:rPr>
        <w:t>mladých ľudí. Reforma pozostáva</w:t>
      </w:r>
      <w:r w:rsidR="00083739" w:rsidRPr="00083739">
        <w:rPr>
          <w:rFonts w:cs="Times New Roman"/>
          <w:noProof/>
          <w:lang w:val="sk-SK"/>
        </w:rPr>
        <w:t xml:space="preserve"> z </w:t>
      </w:r>
      <w:r w:rsidRPr="00083739">
        <w:rPr>
          <w:rFonts w:cs="Times New Roman"/>
          <w:noProof/>
          <w:lang w:val="sk-SK"/>
        </w:rPr>
        <w:t>týchto zložie</w:t>
      </w:r>
      <w:r w:rsidRPr="00083739">
        <w:rPr>
          <w:rFonts w:cs="Times New Roman"/>
          <w:noProof/>
          <w:lang w:val="sk-SK"/>
        </w:rPr>
        <w:t>k: a) navrhovanie</w:t>
      </w:r>
      <w:r w:rsidR="00083739" w:rsidRPr="00083739">
        <w:rPr>
          <w:rFonts w:cs="Times New Roman"/>
          <w:noProof/>
          <w:lang w:val="sk-SK"/>
        </w:rPr>
        <w:t xml:space="preserve"> a </w:t>
      </w:r>
      <w:r w:rsidRPr="00083739">
        <w:rPr>
          <w:rFonts w:cs="Times New Roman"/>
          <w:noProof/>
          <w:lang w:val="sk-SK"/>
        </w:rPr>
        <w:t>vypracovanie príručiek odbornej prípravy, programov odbornej prípravy</w:t>
      </w:r>
      <w:r w:rsidR="00083739" w:rsidRPr="00083739">
        <w:rPr>
          <w:rFonts w:cs="Times New Roman"/>
          <w:noProof/>
          <w:lang w:val="sk-SK"/>
        </w:rPr>
        <w:t xml:space="preserve"> a </w:t>
      </w:r>
      <w:r w:rsidRPr="00083739">
        <w:rPr>
          <w:rFonts w:cs="Times New Roman"/>
          <w:noProof/>
          <w:lang w:val="sk-SK"/>
        </w:rPr>
        <w:t>odbornej prípravy školiteľov pre päť tematických</w:t>
      </w:r>
      <w:r w:rsidR="00083739" w:rsidRPr="00083739">
        <w:rPr>
          <w:rFonts w:cs="Times New Roman"/>
          <w:noProof/>
          <w:lang w:val="sk-SK"/>
        </w:rPr>
        <w:t xml:space="preserve"> a </w:t>
      </w:r>
      <w:r w:rsidRPr="00083739">
        <w:rPr>
          <w:rFonts w:cs="Times New Roman"/>
          <w:noProof/>
          <w:lang w:val="sk-SK"/>
        </w:rPr>
        <w:t>desiatich experimentálnych škôl vyššieho odborného vzdelávania (SAEK)</w:t>
      </w:r>
      <w:r w:rsidR="00083739" w:rsidRPr="00083739">
        <w:rPr>
          <w:rFonts w:cs="Times New Roman"/>
          <w:noProof/>
          <w:lang w:val="sk-SK"/>
        </w:rPr>
        <w:t xml:space="preserve"> a </w:t>
      </w:r>
      <w:r w:rsidRPr="00083739">
        <w:rPr>
          <w:rFonts w:cs="Times New Roman"/>
          <w:noProof/>
          <w:lang w:val="sk-SK"/>
        </w:rPr>
        <w:t>renováciu budov šiestich</w:t>
      </w:r>
      <w:r w:rsidR="00083739" w:rsidRPr="00083739">
        <w:rPr>
          <w:rFonts w:cs="Times New Roman"/>
          <w:noProof/>
          <w:lang w:val="sk-SK"/>
        </w:rPr>
        <w:t xml:space="preserve"> z </w:t>
      </w:r>
      <w:r w:rsidRPr="00083739">
        <w:rPr>
          <w:rFonts w:cs="Times New Roman"/>
          <w:noProof/>
          <w:lang w:val="sk-SK"/>
        </w:rPr>
        <w:t>týchto inštitú</w:t>
      </w:r>
      <w:r w:rsidRPr="00083739">
        <w:rPr>
          <w:rFonts w:cs="Times New Roman"/>
          <w:noProof/>
          <w:lang w:val="sk-SK"/>
        </w:rPr>
        <w:t xml:space="preserve">tov; b) </w:t>
      </w:r>
      <w:r w:rsidRPr="00083739">
        <w:rPr>
          <w:rFonts w:cs="Times New Roman"/>
          <w:noProof/>
          <w:color w:val="000000" w:themeColor="text1"/>
          <w:lang w:val="sk-SK"/>
        </w:rPr>
        <w:t>návrh</w:t>
      </w:r>
      <w:r w:rsidR="00083739" w:rsidRPr="00083739">
        <w:rPr>
          <w:rFonts w:cs="Times New Roman"/>
          <w:noProof/>
          <w:color w:val="000000" w:themeColor="text1"/>
          <w:lang w:val="sk-SK"/>
        </w:rPr>
        <w:t xml:space="preserve"> a </w:t>
      </w:r>
      <w:r w:rsidRPr="00083739">
        <w:rPr>
          <w:rFonts w:cs="Times New Roman"/>
          <w:noProof/>
          <w:color w:val="000000" w:themeColor="text1"/>
          <w:lang w:val="sk-SK"/>
        </w:rPr>
        <w:t xml:space="preserve">vypracovanie </w:t>
      </w:r>
      <w:r w:rsidRPr="00083739">
        <w:rPr>
          <w:rFonts w:cs="Times New Roman"/>
          <w:noProof/>
          <w:lang w:val="sk-SK"/>
        </w:rPr>
        <w:t>učebných plánov, programov odbornej prípravy</w:t>
      </w:r>
      <w:r w:rsidR="00083739" w:rsidRPr="00083739">
        <w:rPr>
          <w:rFonts w:cs="Times New Roman"/>
          <w:noProof/>
          <w:lang w:val="sk-SK"/>
        </w:rPr>
        <w:t xml:space="preserve"> a </w:t>
      </w:r>
      <w:r w:rsidRPr="00083739">
        <w:rPr>
          <w:rFonts w:cs="Times New Roman"/>
          <w:noProof/>
          <w:lang w:val="sk-SK"/>
        </w:rPr>
        <w:t xml:space="preserve">odbornej prípravy školiteľov pre </w:t>
      </w:r>
      <w:r w:rsidRPr="00083739">
        <w:rPr>
          <w:rFonts w:cs="Times New Roman"/>
          <w:noProof/>
          <w:color w:val="000000" w:themeColor="text1"/>
          <w:lang w:val="sk-SK"/>
        </w:rPr>
        <w:t>25 modelových odborných lýcok (vzor EPAL)</w:t>
      </w:r>
      <w:r w:rsidR="00083739" w:rsidRPr="00083739">
        <w:rPr>
          <w:rFonts w:cs="Times New Roman"/>
          <w:noProof/>
          <w:color w:val="000000" w:themeColor="text1"/>
          <w:lang w:val="sk-SK"/>
        </w:rPr>
        <w:t xml:space="preserve"> a </w:t>
      </w:r>
      <w:r w:rsidRPr="00083739">
        <w:rPr>
          <w:rFonts w:cs="Times New Roman"/>
          <w:noProof/>
          <w:color w:val="000000" w:themeColor="text1"/>
          <w:lang w:val="sk-SK"/>
        </w:rPr>
        <w:t>obnova budov 21</w:t>
      </w:r>
      <w:r w:rsidR="00083739" w:rsidRPr="00083739">
        <w:rPr>
          <w:rFonts w:cs="Times New Roman"/>
          <w:noProof/>
          <w:color w:val="000000" w:themeColor="text1"/>
          <w:lang w:val="sk-SK"/>
        </w:rPr>
        <w:t xml:space="preserve"> z </w:t>
      </w:r>
      <w:r w:rsidRPr="00083739">
        <w:rPr>
          <w:rFonts w:cs="Times New Roman"/>
          <w:noProof/>
          <w:color w:val="000000" w:themeColor="text1"/>
          <w:lang w:val="sk-SK"/>
        </w:rPr>
        <w:t>týchto Lyceums</w:t>
      </w:r>
      <w:r w:rsidRPr="00083739">
        <w:rPr>
          <w:rFonts w:cs="Times New Roman"/>
          <w:noProof/>
          <w:lang w:val="sk-SK"/>
        </w:rPr>
        <w:t>; C) rozšírenie digitálnych služieb Národnej organizácie pre certifikác</w:t>
      </w:r>
      <w:r w:rsidRPr="00083739">
        <w:rPr>
          <w:rFonts w:cs="Times New Roman"/>
          <w:noProof/>
          <w:lang w:val="sk-SK"/>
        </w:rPr>
        <w:t>iu kvalifikácií</w:t>
      </w:r>
      <w:r w:rsidR="00083739" w:rsidRPr="00083739">
        <w:rPr>
          <w:rFonts w:cs="Times New Roman"/>
          <w:noProof/>
          <w:lang w:val="sk-SK"/>
        </w:rPr>
        <w:t xml:space="preserve"> a </w:t>
      </w:r>
      <w:r w:rsidRPr="00083739">
        <w:rPr>
          <w:rFonts w:cs="Times New Roman"/>
          <w:noProof/>
          <w:lang w:val="sk-SK"/>
        </w:rPr>
        <w:t>odborné poradenstvo (EOPPEP)</w:t>
      </w:r>
      <w:r w:rsidR="00083739" w:rsidRPr="00083739">
        <w:rPr>
          <w:rFonts w:cs="Times New Roman"/>
          <w:noProof/>
          <w:lang w:val="sk-SK"/>
        </w:rPr>
        <w:t xml:space="preserve"> a </w:t>
      </w:r>
      <w:r w:rsidRPr="00083739">
        <w:rPr>
          <w:rFonts w:cs="Times New Roman"/>
          <w:noProof/>
          <w:lang w:val="sk-SK"/>
        </w:rPr>
        <w:t>rozvoj platformy elektronického vzdelávania</w:t>
      </w:r>
      <w:r w:rsidR="00083739" w:rsidRPr="00083739">
        <w:rPr>
          <w:rFonts w:cs="Times New Roman"/>
          <w:noProof/>
          <w:lang w:val="sk-SK"/>
        </w:rPr>
        <w:t xml:space="preserve"> a </w:t>
      </w:r>
      <w:r w:rsidRPr="00083739">
        <w:rPr>
          <w:rFonts w:cs="Times New Roman"/>
          <w:noProof/>
          <w:lang w:val="sk-SK"/>
        </w:rPr>
        <w:t>odborného vzdelávania</w:t>
      </w:r>
      <w:r w:rsidR="00083739" w:rsidRPr="00083739">
        <w:rPr>
          <w:rFonts w:cs="Times New Roman"/>
          <w:noProof/>
          <w:lang w:val="sk-SK"/>
        </w:rPr>
        <w:t xml:space="preserve"> a </w:t>
      </w:r>
      <w:r w:rsidRPr="00083739">
        <w:rPr>
          <w:rFonts w:cs="Times New Roman"/>
          <w:noProof/>
          <w:lang w:val="sk-SK"/>
        </w:rPr>
        <w:t xml:space="preserve">prípravy, ktorá premieňa existujúce vzdelávacie materiály na moduly elektronického vzdelávania. </w:t>
      </w:r>
      <w:r w:rsidRPr="00083739">
        <w:rPr>
          <w:rFonts w:cs="Times New Roman"/>
          <w:noProof/>
          <w:color w:val="000000" w:themeColor="text1"/>
          <w:lang w:val="sk-SK"/>
        </w:rPr>
        <w:t>Cieľom všetkých projektov je podporiť úča</w:t>
      </w:r>
      <w:r w:rsidRPr="00083739">
        <w:rPr>
          <w:rFonts w:cs="Times New Roman"/>
          <w:noProof/>
          <w:color w:val="000000" w:themeColor="text1"/>
          <w:lang w:val="sk-SK"/>
        </w:rPr>
        <w:t>sť žien na OVP</w:t>
      </w:r>
      <w:r w:rsidR="00083739" w:rsidRPr="00083739">
        <w:rPr>
          <w:rFonts w:cs="Times New Roman"/>
          <w:noProof/>
          <w:color w:val="000000" w:themeColor="text1"/>
          <w:lang w:val="sk-SK"/>
        </w:rPr>
        <w:t xml:space="preserve"> a </w:t>
      </w:r>
      <w:r w:rsidRPr="00083739">
        <w:rPr>
          <w:rFonts w:cs="Times New Roman"/>
          <w:noProof/>
          <w:color w:val="000000" w:themeColor="text1"/>
          <w:lang w:val="sk-SK"/>
        </w:rPr>
        <w:t>podporiť ich vodcovské zručnosti.</w:t>
      </w:r>
      <w:r w:rsidRPr="00083739">
        <w:rPr>
          <w:rFonts w:cs="Times New Roman"/>
          <w:noProof/>
          <w:lang w:val="sk-SK"/>
        </w:rPr>
        <w:t xml:space="preserve"> Implementácia tejto reformy sa dokončí do 31</w:t>
      </w:r>
      <w:r w:rsidR="00083739" w:rsidRPr="00083739">
        <w:rPr>
          <w:rFonts w:cs="Times New Roman"/>
          <w:noProof/>
          <w:lang w:val="sk-SK"/>
        </w:rPr>
        <w:t>. decembra</w:t>
      </w:r>
      <w:r w:rsidRPr="00083739">
        <w:rPr>
          <w:rFonts w:cs="Times New Roman"/>
          <w:noProof/>
          <w:lang w:val="sk-SK"/>
        </w:rPr>
        <w:t xml:space="preserve"> 2025.</w:t>
      </w:r>
    </w:p>
    <w:p w14:paraId="69ECB959" w14:textId="7777777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Digitálna transformácia vzdelávania (ID opatrenia: 16676)</w:t>
      </w:r>
    </w:p>
    <w:p w14:paraId="398F8B16" w14:textId="2233ACF0"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Investícia predpokladá digitálnu transformáciu vzdelávania, pokiaľ ide</w:t>
      </w:r>
      <w:r w:rsidR="00083739" w:rsidRPr="00083739">
        <w:rPr>
          <w:rFonts w:cs="Times New Roman"/>
          <w:noProof/>
          <w:lang w:val="sk-SK"/>
        </w:rPr>
        <w:t xml:space="preserve"> o </w:t>
      </w:r>
      <w:r w:rsidRPr="00083739">
        <w:rPr>
          <w:rFonts w:cs="Times New Roman"/>
          <w:noProof/>
          <w:lang w:val="sk-SK"/>
        </w:rPr>
        <w:t>o</w:t>
      </w:r>
      <w:r w:rsidRPr="00083739">
        <w:rPr>
          <w:rFonts w:cs="Times New Roman"/>
          <w:noProof/>
          <w:lang w:val="sk-SK"/>
        </w:rPr>
        <w:t>bsah, infraštruktúru</w:t>
      </w:r>
      <w:r w:rsidR="00083739" w:rsidRPr="00083739">
        <w:rPr>
          <w:rFonts w:cs="Times New Roman"/>
          <w:noProof/>
          <w:lang w:val="sk-SK"/>
        </w:rPr>
        <w:t xml:space="preserve"> a </w:t>
      </w:r>
      <w:r w:rsidRPr="00083739">
        <w:rPr>
          <w:rFonts w:cs="Times New Roman"/>
          <w:noProof/>
          <w:lang w:val="sk-SK"/>
        </w:rPr>
        <w:t>služby,</w:t>
      </w:r>
      <w:r w:rsidR="00083739" w:rsidRPr="00083739">
        <w:rPr>
          <w:rFonts w:cs="Times New Roman"/>
          <w:noProof/>
          <w:lang w:val="sk-SK"/>
        </w:rPr>
        <w:t xml:space="preserve"> a </w:t>
      </w:r>
      <w:r w:rsidRPr="00083739">
        <w:rPr>
          <w:rFonts w:cs="Times New Roman"/>
          <w:noProof/>
          <w:lang w:val="sk-SK"/>
        </w:rPr>
        <w:t>dopĺňa ju komplexná reformná stratégia na aktualizáciu učebných osnov, racionalizáciu služieb</w:t>
      </w:r>
      <w:r w:rsidR="00083739" w:rsidRPr="00083739">
        <w:rPr>
          <w:rFonts w:cs="Times New Roman"/>
          <w:noProof/>
          <w:lang w:val="sk-SK"/>
        </w:rPr>
        <w:t xml:space="preserve"> a </w:t>
      </w:r>
      <w:r w:rsidRPr="00083739">
        <w:rPr>
          <w:rFonts w:cs="Times New Roman"/>
          <w:noProof/>
          <w:lang w:val="sk-SK"/>
        </w:rPr>
        <w:t>monitorovanie výsledkov vzdelávania. Investícia pozostáva</w:t>
      </w:r>
      <w:r w:rsidR="00083739" w:rsidRPr="00083739">
        <w:rPr>
          <w:rFonts w:cs="Times New Roman"/>
          <w:noProof/>
          <w:lang w:val="sk-SK"/>
        </w:rPr>
        <w:t xml:space="preserve"> z </w:t>
      </w:r>
      <w:r w:rsidRPr="00083739">
        <w:rPr>
          <w:rFonts w:cs="Times New Roman"/>
          <w:noProof/>
          <w:lang w:val="sk-SK"/>
        </w:rPr>
        <w:t>týchto zložiek: Digitálny obsah</w:t>
      </w:r>
      <w:r w:rsidR="00083739" w:rsidRPr="00083739">
        <w:rPr>
          <w:rFonts w:cs="Times New Roman"/>
          <w:noProof/>
          <w:lang w:val="sk-SK"/>
        </w:rPr>
        <w:t xml:space="preserve"> v </w:t>
      </w:r>
      <w:r w:rsidRPr="00083739">
        <w:rPr>
          <w:rFonts w:cs="Times New Roman"/>
          <w:noProof/>
          <w:lang w:val="sk-SK"/>
        </w:rPr>
        <w:t>školách; digitálne vybavenie</w:t>
      </w:r>
      <w:r w:rsidR="00083739" w:rsidRPr="00083739">
        <w:rPr>
          <w:rFonts w:cs="Times New Roman"/>
          <w:noProof/>
          <w:lang w:val="sk-SK"/>
        </w:rPr>
        <w:t xml:space="preserve"> v </w:t>
      </w:r>
      <w:r w:rsidRPr="00083739">
        <w:rPr>
          <w:rFonts w:cs="Times New Roman"/>
          <w:noProof/>
          <w:lang w:val="sk-SK"/>
        </w:rPr>
        <w:t>školách; profesijný rozvoj učiteľov na školách</w:t>
      </w:r>
      <w:r w:rsidR="00083739" w:rsidRPr="00083739">
        <w:rPr>
          <w:rFonts w:cs="Times New Roman"/>
          <w:noProof/>
          <w:lang w:val="sk-SK"/>
        </w:rPr>
        <w:t xml:space="preserve"> a </w:t>
      </w:r>
      <w:r w:rsidRPr="00083739">
        <w:rPr>
          <w:rFonts w:cs="Times New Roman"/>
          <w:noProof/>
          <w:lang w:val="sk-SK"/>
        </w:rPr>
        <w:t>digitálne služby na školách</w:t>
      </w:r>
      <w:r w:rsidR="00083739" w:rsidRPr="00083739">
        <w:rPr>
          <w:rFonts w:cs="Times New Roman"/>
          <w:noProof/>
          <w:lang w:val="sk-SK"/>
        </w:rPr>
        <w:t xml:space="preserve"> a </w:t>
      </w:r>
      <w:r w:rsidRPr="00083739">
        <w:rPr>
          <w:rFonts w:cs="Times New Roman"/>
          <w:noProof/>
          <w:lang w:val="sk-SK"/>
        </w:rPr>
        <w:t>univerzitách. Realizácia investície sa ukončí do 31</w:t>
      </w:r>
      <w:r w:rsidR="00083739" w:rsidRPr="00083739">
        <w:rPr>
          <w:rFonts w:cs="Times New Roman"/>
          <w:noProof/>
          <w:lang w:val="sk-SK"/>
        </w:rPr>
        <w:t>. decembra</w:t>
      </w:r>
      <w:r w:rsidRPr="00083739">
        <w:rPr>
          <w:rFonts w:cs="Times New Roman"/>
          <w:noProof/>
          <w:lang w:val="sk-SK"/>
        </w:rPr>
        <w:t xml:space="preserve"> 2025.</w:t>
      </w:r>
    </w:p>
    <w:p w14:paraId="52D79937" w14:textId="398E813F"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Modernizácia odborného vzdelávania</w:t>
      </w:r>
      <w:r w:rsidR="00083739" w:rsidRPr="00083739">
        <w:rPr>
          <w:rFonts w:cs="Times New Roman"/>
          <w:noProof/>
          <w:lang w:val="sk-SK"/>
        </w:rPr>
        <w:t xml:space="preserve"> a </w:t>
      </w:r>
      <w:r w:rsidRPr="00083739">
        <w:rPr>
          <w:rFonts w:cs="Times New Roman"/>
          <w:noProof/>
          <w:lang w:val="sk-SK"/>
        </w:rPr>
        <w:t>prípravy (OVP): Dodanie laboratórneho vybavenia laboratórnym</w:t>
      </w:r>
      <w:r w:rsidRPr="00083739">
        <w:rPr>
          <w:rFonts w:cs="Times New Roman"/>
          <w:noProof/>
          <w:lang w:val="sk-SK"/>
        </w:rPr>
        <w:t xml:space="preserve"> strediskám pre SAEK, EPAL, post-druhoročnú učňovskú triedu</w:t>
      </w:r>
      <w:r w:rsidR="00083739" w:rsidRPr="00083739">
        <w:rPr>
          <w:rFonts w:cs="Times New Roman"/>
          <w:noProof/>
          <w:lang w:val="sk-SK"/>
        </w:rPr>
        <w:t xml:space="preserve"> a </w:t>
      </w:r>
      <w:r w:rsidRPr="00083739">
        <w:rPr>
          <w:rFonts w:cs="Times New Roman"/>
          <w:noProof/>
          <w:lang w:val="sk-SK"/>
        </w:rPr>
        <w:t>školy odbornej prípravy (opatrenie ID: 16933)</w:t>
      </w:r>
    </w:p>
    <w:p w14:paraId="341DC519" w14:textId="0EC57E13"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Touto investíciou sa zmodernizujú</w:t>
      </w:r>
      <w:r w:rsidR="00083739" w:rsidRPr="00083739">
        <w:rPr>
          <w:rFonts w:cs="Times New Roman"/>
          <w:noProof/>
          <w:lang w:val="sk-SK"/>
        </w:rPr>
        <w:t xml:space="preserve"> a </w:t>
      </w:r>
      <w:r w:rsidRPr="00083739">
        <w:rPr>
          <w:rFonts w:cs="Times New Roman"/>
          <w:noProof/>
          <w:lang w:val="sk-SK"/>
        </w:rPr>
        <w:t>zmodernizujú laboratórne infraštruktúry inštitúcií odborného vzdelávania</w:t>
      </w:r>
      <w:r w:rsidR="00083739" w:rsidRPr="00083739">
        <w:rPr>
          <w:rFonts w:cs="Times New Roman"/>
          <w:noProof/>
          <w:lang w:val="sk-SK"/>
        </w:rPr>
        <w:t xml:space="preserve"> a </w:t>
      </w:r>
      <w:r w:rsidRPr="00083739">
        <w:rPr>
          <w:rFonts w:cs="Times New Roman"/>
          <w:noProof/>
          <w:lang w:val="sk-SK"/>
        </w:rPr>
        <w:t>prípravy (OVP)</w:t>
      </w:r>
      <w:r w:rsidR="00083739" w:rsidRPr="00083739">
        <w:rPr>
          <w:rFonts w:cs="Times New Roman"/>
          <w:noProof/>
          <w:lang w:val="sk-SK"/>
        </w:rPr>
        <w:t xml:space="preserve"> v </w:t>
      </w:r>
      <w:r w:rsidRPr="00083739">
        <w:rPr>
          <w:rFonts w:cs="Times New Roman"/>
          <w:noProof/>
          <w:lang w:val="sk-SK"/>
        </w:rPr>
        <w:t xml:space="preserve">celom Grécku, najmä </w:t>
      </w:r>
      <w:r w:rsidRPr="00083739">
        <w:rPr>
          <w:rFonts w:cs="Times New Roman"/>
          <w:noProof/>
          <w:lang w:val="sk-SK"/>
        </w:rPr>
        <w:t>pokiaľ ide</w:t>
      </w:r>
      <w:r w:rsidR="00083739" w:rsidRPr="00083739">
        <w:rPr>
          <w:rFonts w:cs="Times New Roman"/>
          <w:noProof/>
          <w:lang w:val="sk-SK"/>
        </w:rPr>
        <w:t xml:space="preserve"> o </w:t>
      </w:r>
      <w:r w:rsidRPr="00083739">
        <w:rPr>
          <w:rFonts w:cs="Times New Roman"/>
          <w:noProof/>
          <w:szCs w:val="24"/>
          <w:lang w:val="sk-SK"/>
        </w:rPr>
        <w:t>školy vyššieho odborného vzdelávania</w:t>
      </w:r>
      <w:r w:rsidRPr="00083739">
        <w:rPr>
          <w:rFonts w:cs="Times New Roman"/>
          <w:noProof/>
          <w:lang w:val="sk-SK"/>
        </w:rPr>
        <w:t xml:space="preserve"> (SAEK), vysoké odborné školy (EPAL), školy odbornej prípravy</w:t>
      </w:r>
      <w:r w:rsidR="00083739" w:rsidRPr="00083739">
        <w:rPr>
          <w:rFonts w:cs="Times New Roman"/>
          <w:noProof/>
          <w:lang w:val="sk-SK"/>
        </w:rPr>
        <w:t xml:space="preserve"> v </w:t>
      </w:r>
      <w:r w:rsidRPr="00083739">
        <w:rPr>
          <w:rFonts w:cs="Times New Roman"/>
          <w:noProof/>
          <w:lang w:val="sk-SK"/>
        </w:rPr>
        <w:t>odbornom vzdelávaní</w:t>
      </w:r>
      <w:r w:rsidR="00083739" w:rsidRPr="00083739">
        <w:rPr>
          <w:rFonts w:cs="Times New Roman"/>
          <w:noProof/>
          <w:lang w:val="sk-SK"/>
        </w:rPr>
        <w:t xml:space="preserve"> a </w:t>
      </w:r>
      <w:r w:rsidRPr="00083739">
        <w:rPr>
          <w:rFonts w:cs="Times New Roman"/>
          <w:noProof/>
          <w:lang w:val="sk-SK"/>
        </w:rPr>
        <w:t>príprave po skončení druhého roka</w:t>
      </w:r>
      <w:r w:rsidR="00083739" w:rsidRPr="00083739">
        <w:rPr>
          <w:rFonts w:cs="Times New Roman"/>
          <w:noProof/>
          <w:lang w:val="sk-SK"/>
        </w:rPr>
        <w:t xml:space="preserve"> a </w:t>
      </w:r>
      <w:r w:rsidRPr="00083739">
        <w:rPr>
          <w:rFonts w:cs="Times New Roman"/>
          <w:noProof/>
          <w:lang w:val="sk-SK"/>
        </w:rPr>
        <w:t>školy odborného vzdelávania. Táto investícia dopĺňa reformu modernizácie odborného vz</w:t>
      </w:r>
      <w:r w:rsidRPr="00083739">
        <w:rPr>
          <w:rFonts w:cs="Times New Roman"/>
          <w:noProof/>
          <w:lang w:val="sk-SK"/>
        </w:rPr>
        <w:t>delávania</w:t>
      </w:r>
      <w:r w:rsidR="00083739" w:rsidRPr="00083739">
        <w:rPr>
          <w:rFonts w:cs="Times New Roman"/>
          <w:noProof/>
          <w:lang w:val="sk-SK"/>
        </w:rPr>
        <w:t xml:space="preserve"> a </w:t>
      </w:r>
      <w:r w:rsidRPr="00083739">
        <w:rPr>
          <w:rFonts w:cs="Times New Roman"/>
          <w:noProof/>
          <w:lang w:val="sk-SK"/>
        </w:rPr>
        <w:t>prípravy. Realizácia investície sa ukončí do 31</w:t>
      </w:r>
      <w:r w:rsidR="00083739" w:rsidRPr="00083739">
        <w:rPr>
          <w:rFonts w:cs="Times New Roman"/>
          <w:noProof/>
          <w:lang w:val="sk-SK"/>
        </w:rPr>
        <w:t>. decembra</w:t>
      </w:r>
      <w:r w:rsidRPr="00083739">
        <w:rPr>
          <w:rFonts w:cs="Times New Roman"/>
          <w:noProof/>
          <w:lang w:val="sk-SK"/>
        </w:rPr>
        <w:t xml:space="preserve"> 2025.</w:t>
      </w:r>
    </w:p>
    <w:p w14:paraId="751F1C0E" w14:textId="77777777" w:rsidR="002D49B0" w:rsidRPr="00083739" w:rsidRDefault="002D49B0">
      <w:pPr>
        <w:spacing w:before="120" w:after="120" w:line="240" w:lineRule="auto"/>
        <w:ind w:left="709"/>
        <w:jc w:val="both"/>
        <w:rPr>
          <w:rFonts w:ascii="Times New Roman" w:hAnsi="Times New Roman" w:cs="Times New Roman"/>
          <w:noProof/>
          <w:sz w:val="24"/>
          <w:lang w:val="sk-SK"/>
        </w:rPr>
      </w:pPr>
    </w:p>
    <w:p w14:paraId="7D323B28" w14:textId="77777777" w:rsidR="002D49B0" w:rsidRPr="00083739" w:rsidRDefault="002D49B0">
      <w:pPr>
        <w:spacing w:before="120" w:after="120" w:line="240" w:lineRule="auto"/>
        <w:ind w:left="709"/>
        <w:jc w:val="both"/>
        <w:rPr>
          <w:rFonts w:ascii="Times New Roman" w:hAnsi="Times New Roman" w:cs="Times New Roman"/>
          <w:noProof/>
          <w:sz w:val="24"/>
          <w:lang w:val="sk-SK"/>
        </w:rPr>
        <w:sectPr w:rsidR="002D49B0" w:rsidRPr="00083739" w:rsidSect="00271D33">
          <w:headerReference w:type="even" r:id="rId145"/>
          <w:headerReference w:type="default" r:id="rId146"/>
          <w:footerReference w:type="even" r:id="rId147"/>
          <w:footerReference w:type="default" r:id="rId148"/>
          <w:headerReference w:type="first" r:id="rId149"/>
          <w:footerReference w:type="first" r:id="rId150"/>
          <w:pgSz w:w="11907" w:h="16839"/>
          <w:pgMar w:top="1134" w:right="1418" w:bottom="1134" w:left="1418" w:header="709" w:footer="326" w:gutter="0"/>
          <w:cols w:space="720"/>
          <w:docGrid w:linePitch="360"/>
        </w:sectPr>
      </w:pPr>
    </w:p>
    <w:p w14:paraId="0B1478D4" w14:textId="2FFBBCD0" w:rsidR="002D49B0" w:rsidRPr="00083739" w:rsidRDefault="00BF4125">
      <w:pPr>
        <w:spacing w:before="120" w:after="120" w:line="240" w:lineRule="auto"/>
        <w:jc w:val="both"/>
        <w:rPr>
          <w:rFonts w:ascii="Times New Roman" w:hAnsi="Times New Roman" w:cs="Times New Roman"/>
          <w:b/>
          <w:bCs/>
          <w:noProof/>
          <w:sz w:val="24"/>
          <w:u w:val="single"/>
          <w:lang w:val="sk-SK"/>
        </w:rPr>
      </w:pPr>
      <w:r w:rsidRPr="00083739">
        <w:rPr>
          <w:rFonts w:ascii="Times New Roman" w:hAnsi="Times New Roman" w:cs="Times New Roman"/>
          <w:b/>
          <w:noProof/>
          <w:sz w:val="24"/>
          <w:u w:val="single"/>
          <w:lang w:val="sk-SK"/>
        </w:rPr>
        <w:t xml:space="preserve">I.2. </w:t>
      </w:r>
      <w:r w:rsidRPr="00083739">
        <w:rPr>
          <w:rFonts w:ascii="Times New Roman" w:hAnsi="Times New Roman" w:cs="Times New Roman"/>
          <w:noProof/>
          <w:lang w:val="sk-SK"/>
        </w:rPr>
        <w:t xml:space="preserve"> </w:t>
      </w:r>
      <w:r w:rsidRPr="00083739">
        <w:rPr>
          <w:rFonts w:ascii="Times New Roman" w:hAnsi="Times New Roman" w:cs="Times New Roman"/>
          <w:b/>
          <w:noProof/>
          <w:sz w:val="24"/>
          <w:u w:val="single"/>
          <w:lang w:val="sk-SK"/>
        </w:rPr>
        <w:t>Míľniky, ciele, ukazovatele</w:t>
      </w:r>
      <w:r w:rsidR="00083739" w:rsidRPr="00083739">
        <w:rPr>
          <w:rFonts w:ascii="Times New Roman" w:hAnsi="Times New Roman" w:cs="Times New Roman"/>
          <w:b/>
          <w:noProof/>
          <w:sz w:val="24"/>
          <w:u w:val="single"/>
          <w:lang w:val="sk-SK"/>
        </w:rPr>
        <w:t xml:space="preserve"> a </w:t>
      </w:r>
      <w:r w:rsidRPr="00083739">
        <w:rPr>
          <w:rFonts w:ascii="Times New Roman" w:hAnsi="Times New Roman" w:cs="Times New Roman"/>
          <w:b/>
          <w:noProof/>
          <w:sz w:val="24"/>
          <w:u w:val="single"/>
          <w:lang w:val="sk-SK"/>
        </w:rPr>
        <w:t>harmonogram monitorovania</w:t>
      </w:r>
      <w:r w:rsidR="00083739" w:rsidRPr="00083739">
        <w:rPr>
          <w:rFonts w:ascii="Times New Roman" w:hAnsi="Times New Roman" w:cs="Times New Roman"/>
          <w:b/>
          <w:noProof/>
          <w:sz w:val="24"/>
          <w:u w:val="single"/>
          <w:lang w:val="sk-SK"/>
        </w:rPr>
        <w:t xml:space="preserve"> a </w:t>
      </w:r>
      <w:r w:rsidRPr="00083739">
        <w:rPr>
          <w:rFonts w:ascii="Times New Roman" w:hAnsi="Times New Roman" w:cs="Times New Roman"/>
          <w:b/>
          <w:noProof/>
          <w:sz w:val="24"/>
          <w:u w:val="single"/>
          <w:lang w:val="sk-SK"/>
        </w:rPr>
        <w:t>realizácie pre nenávratnú finančnú podporu</w:t>
      </w:r>
    </w:p>
    <w:p w14:paraId="2B6C03E8" w14:textId="6CF111DF" w:rsidR="002D49B0" w:rsidRPr="00083739" w:rsidRDefault="00BF4125">
      <w:pPr>
        <w:pStyle w:val="P68B1DB1-Normal6"/>
        <w:keepNext/>
        <w:keepLines/>
        <w:spacing w:before="40" w:after="0" w:line="240" w:lineRule="auto"/>
        <w:jc w:val="both"/>
        <w:outlineLvl w:val="4"/>
        <w:rPr>
          <w:rFonts w:ascii="Times New Roman" w:hAnsi="Times New Roman" w:cs="Times New Roman"/>
          <w:noProof/>
          <w:lang w:val="sk-SK"/>
        </w:rPr>
      </w:pPr>
      <w:r w:rsidRPr="00083739">
        <w:rPr>
          <w:rFonts w:ascii="Times New Roman" w:hAnsi="Times New Roman" w:cs="Times New Roman"/>
          <w:noProof/>
          <w:lang w:val="sk-SK"/>
        </w:rPr>
        <w:t xml:space="preserve">Najvyššia </w:t>
      </w:r>
      <w:r w:rsidRPr="00083739">
        <w:rPr>
          <w:rFonts w:ascii="Times New Roman" w:hAnsi="Times New Roman" w:cs="Times New Roman"/>
          <w:noProof/>
          <w:lang w:val="sk-SK"/>
        </w:rPr>
        <w:t>investícia 5: Nová stratégia pre celoživotné zručnosti: Modernizácia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aktualizácia gréckeho systému zvyšovania úrovne zručností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rekvalifikácie</w:t>
      </w:r>
    </w:p>
    <w:p w14:paraId="69DE992B" w14:textId="77777777" w:rsidR="002D49B0" w:rsidRPr="00083739" w:rsidRDefault="002D49B0">
      <w:pPr>
        <w:keepNext/>
        <w:keepLines/>
        <w:spacing w:before="40" w:after="0" w:line="240" w:lineRule="auto"/>
        <w:jc w:val="both"/>
        <w:outlineLvl w:val="4"/>
        <w:rPr>
          <w:rFonts w:ascii="Times New Roman" w:eastAsia="Times New Roman" w:hAnsi="Times New Roman" w:cs="Times New Roman"/>
          <w:noProof/>
          <w:color w:val="365F91"/>
          <w:sz w:val="24"/>
          <w:lang w:val="sk-SK"/>
        </w:rPr>
      </w:pPr>
    </w:p>
    <w:tbl>
      <w:tblPr>
        <w:tblW w:w="15502" w:type="dxa"/>
        <w:jc w:val="center"/>
        <w:tblLayout w:type="fixed"/>
        <w:tblLook w:val="04A0" w:firstRow="1" w:lastRow="0" w:firstColumn="1" w:lastColumn="0" w:noHBand="0" w:noVBand="1"/>
      </w:tblPr>
      <w:tblGrid>
        <w:gridCol w:w="1188"/>
        <w:gridCol w:w="1319"/>
        <w:gridCol w:w="1043"/>
        <w:gridCol w:w="1142"/>
        <w:gridCol w:w="1459"/>
        <w:gridCol w:w="1332"/>
        <w:gridCol w:w="870"/>
        <w:gridCol w:w="998"/>
        <w:gridCol w:w="850"/>
        <w:gridCol w:w="709"/>
        <w:gridCol w:w="4592"/>
      </w:tblGrid>
      <w:tr w:rsidR="002D49B0" w:rsidRPr="00083739" w14:paraId="2B218278" w14:textId="77777777">
        <w:trPr>
          <w:trHeight w:val="740"/>
          <w:tblHeader/>
          <w:jc w:val="center"/>
        </w:trPr>
        <w:tc>
          <w:tcPr>
            <w:tcW w:w="118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BA7082D"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Poradové číslo</w:t>
            </w:r>
          </w:p>
        </w:tc>
        <w:tc>
          <w:tcPr>
            <w:tcW w:w="131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1F15BFE"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Súvisiace opatrenie (reforma alebo investícia)</w:t>
            </w:r>
          </w:p>
        </w:tc>
        <w:tc>
          <w:tcPr>
            <w:tcW w:w="104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3632193"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Míľnik/cieľ</w:t>
            </w:r>
          </w:p>
        </w:tc>
        <w:tc>
          <w:tcPr>
            <w:tcW w:w="1142" w:type="dxa"/>
            <w:vMerge w:val="restart"/>
            <w:tcBorders>
              <w:top w:val="single" w:sz="4" w:space="0" w:color="auto"/>
              <w:left w:val="nil"/>
              <w:bottom w:val="single" w:sz="4" w:space="0" w:color="auto"/>
              <w:right w:val="single" w:sz="4" w:space="0" w:color="auto"/>
            </w:tcBorders>
            <w:shd w:val="clear" w:color="auto" w:fill="BDD7EE"/>
            <w:vAlign w:val="center"/>
            <w:hideMark/>
          </w:tcPr>
          <w:p w14:paraId="1D0BD973"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Názov</w:t>
            </w:r>
          </w:p>
        </w:tc>
        <w:tc>
          <w:tcPr>
            <w:tcW w:w="145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AA1CA78"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Kvalitatívne ukazovatele (pre</w:t>
            </w:r>
            <w:r w:rsidRPr="00083739">
              <w:rPr>
                <w:rFonts w:cs="Times New Roman"/>
                <w:noProof/>
                <w:lang w:val="sk-SK"/>
              </w:rPr>
              <w:t xml:space="preserve"> míľniky)</w:t>
            </w:r>
          </w:p>
        </w:tc>
        <w:tc>
          <w:tcPr>
            <w:tcW w:w="3200" w:type="dxa"/>
            <w:gridSpan w:val="3"/>
            <w:tcBorders>
              <w:top w:val="single" w:sz="4" w:space="0" w:color="auto"/>
              <w:left w:val="nil"/>
              <w:bottom w:val="single" w:sz="4" w:space="0" w:color="auto"/>
              <w:right w:val="single" w:sz="4" w:space="0" w:color="auto"/>
            </w:tcBorders>
            <w:shd w:val="clear" w:color="auto" w:fill="BDD7EE"/>
            <w:vAlign w:val="center"/>
            <w:hideMark/>
          </w:tcPr>
          <w:p w14:paraId="5BE1588D"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Kvantitatívne ukazovatele (pre ciele)</w:t>
            </w:r>
          </w:p>
        </w:tc>
        <w:tc>
          <w:tcPr>
            <w:tcW w:w="1559" w:type="dxa"/>
            <w:gridSpan w:val="2"/>
            <w:tcBorders>
              <w:top w:val="single" w:sz="4" w:space="0" w:color="auto"/>
              <w:left w:val="nil"/>
              <w:bottom w:val="single" w:sz="4" w:space="0" w:color="auto"/>
              <w:right w:val="single" w:sz="4" w:space="0" w:color="auto"/>
            </w:tcBorders>
            <w:shd w:val="clear" w:color="auto" w:fill="BDD7EE"/>
            <w:vAlign w:val="center"/>
            <w:hideMark/>
          </w:tcPr>
          <w:p w14:paraId="6F0EF5D5"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Orientačný harmonogram dokončenia </w:t>
            </w:r>
          </w:p>
        </w:tc>
        <w:tc>
          <w:tcPr>
            <w:tcW w:w="4592"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BF9D9B3" w14:textId="0FB012DA"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Opis každého míľnika</w:t>
            </w:r>
            <w:r w:rsidR="00083739" w:rsidRPr="00083739">
              <w:rPr>
                <w:rFonts w:cs="Times New Roman"/>
                <w:noProof/>
                <w:lang w:val="sk-SK"/>
              </w:rPr>
              <w:t xml:space="preserve"> a </w:t>
            </w:r>
            <w:r w:rsidRPr="00083739">
              <w:rPr>
                <w:rFonts w:cs="Times New Roman"/>
                <w:noProof/>
                <w:lang w:val="sk-SK"/>
              </w:rPr>
              <w:t>cieľa</w:t>
            </w:r>
          </w:p>
        </w:tc>
      </w:tr>
      <w:tr w:rsidR="002D49B0" w:rsidRPr="00083739" w14:paraId="20A0C741" w14:textId="77777777">
        <w:trPr>
          <w:trHeight w:val="512"/>
          <w:tblHeader/>
          <w:jc w:val="center"/>
        </w:trPr>
        <w:tc>
          <w:tcPr>
            <w:tcW w:w="1188" w:type="dxa"/>
            <w:vMerge/>
            <w:tcBorders>
              <w:top w:val="single" w:sz="4" w:space="0" w:color="auto"/>
              <w:left w:val="single" w:sz="4" w:space="0" w:color="auto"/>
              <w:bottom w:val="single" w:sz="4" w:space="0" w:color="auto"/>
              <w:right w:val="single" w:sz="4" w:space="0" w:color="auto"/>
            </w:tcBorders>
            <w:vAlign w:val="center"/>
            <w:hideMark/>
          </w:tcPr>
          <w:p w14:paraId="3F96F249"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319" w:type="dxa"/>
            <w:vMerge/>
            <w:tcBorders>
              <w:top w:val="single" w:sz="4" w:space="0" w:color="auto"/>
              <w:left w:val="single" w:sz="4" w:space="0" w:color="auto"/>
              <w:bottom w:val="single" w:sz="4" w:space="0" w:color="auto"/>
              <w:right w:val="single" w:sz="4" w:space="0" w:color="auto"/>
            </w:tcBorders>
            <w:vAlign w:val="center"/>
            <w:hideMark/>
          </w:tcPr>
          <w:p w14:paraId="1CD9B94E"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67A6B68E"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142" w:type="dxa"/>
            <w:vMerge/>
            <w:tcBorders>
              <w:top w:val="single" w:sz="4" w:space="0" w:color="auto"/>
              <w:left w:val="single" w:sz="4" w:space="0" w:color="auto"/>
              <w:bottom w:val="single" w:sz="4" w:space="0" w:color="auto"/>
              <w:right w:val="single" w:sz="4" w:space="0" w:color="auto"/>
            </w:tcBorders>
            <w:vAlign w:val="center"/>
            <w:hideMark/>
          </w:tcPr>
          <w:p w14:paraId="01B661E5"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459" w:type="dxa"/>
            <w:vMerge/>
            <w:tcBorders>
              <w:top w:val="single" w:sz="4" w:space="0" w:color="auto"/>
              <w:left w:val="single" w:sz="4" w:space="0" w:color="auto"/>
              <w:bottom w:val="single" w:sz="4" w:space="0" w:color="auto"/>
              <w:right w:val="single" w:sz="4" w:space="0" w:color="auto"/>
            </w:tcBorders>
            <w:vAlign w:val="center"/>
            <w:hideMark/>
          </w:tcPr>
          <w:p w14:paraId="4CD64EC7"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332"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5499182A"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Merná jednotka</w:t>
            </w:r>
          </w:p>
        </w:tc>
        <w:tc>
          <w:tcPr>
            <w:tcW w:w="870" w:type="dxa"/>
            <w:tcBorders>
              <w:top w:val="single" w:sz="4" w:space="0" w:color="auto"/>
              <w:left w:val="nil"/>
              <w:bottom w:val="single" w:sz="4" w:space="0" w:color="auto"/>
              <w:right w:val="single" w:sz="4" w:space="0" w:color="auto"/>
            </w:tcBorders>
            <w:shd w:val="clear" w:color="auto" w:fill="BDD7EE"/>
            <w:vAlign w:val="center"/>
            <w:hideMark/>
          </w:tcPr>
          <w:p w14:paraId="1040D502"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Základná </w:t>
            </w:r>
          </w:p>
        </w:tc>
        <w:tc>
          <w:tcPr>
            <w:tcW w:w="998" w:type="dxa"/>
            <w:tcBorders>
              <w:top w:val="single" w:sz="4" w:space="0" w:color="auto"/>
              <w:left w:val="nil"/>
              <w:bottom w:val="single" w:sz="4" w:space="0" w:color="auto"/>
              <w:right w:val="single" w:sz="4" w:space="0" w:color="auto"/>
            </w:tcBorders>
            <w:shd w:val="clear" w:color="auto" w:fill="BDD7EE"/>
            <w:vAlign w:val="center"/>
            <w:hideMark/>
          </w:tcPr>
          <w:p w14:paraId="223867B9"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Cieľ </w:t>
            </w:r>
          </w:p>
        </w:tc>
        <w:tc>
          <w:tcPr>
            <w:tcW w:w="850" w:type="dxa"/>
            <w:tcBorders>
              <w:top w:val="single" w:sz="4" w:space="0" w:color="auto"/>
              <w:left w:val="nil"/>
              <w:bottom w:val="single" w:sz="4" w:space="0" w:color="auto"/>
              <w:right w:val="single" w:sz="4" w:space="0" w:color="auto"/>
            </w:tcBorders>
            <w:shd w:val="clear" w:color="auto" w:fill="BDD7EE"/>
            <w:vAlign w:val="center"/>
            <w:hideMark/>
          </w:tcPr>
          <w:p w14:paraId="68EFEE4F"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Štvrtina</w:t>
            </w:r>
          </w:p>
        </w:tc>
        <w:tc>
          <w:tcPr>
            <w:tcW w:w="709" w:type="dxa"/>
            <w:tcBorders>
              <w:top w:val="single" w:sz="4" w:space="0" w:color="auto"/>
              <w:left w:val="nil"/>
              <w:bottom w:val="single" w:sz="4" w:space="0" w:color="auto"/>
              <w:right w:val="single" w:sz="4" w:space="0" w:color="auto"/>
            </w:tcBorders>
            <w:shd w:val="clear" w:color="auto" w:fill="BDD7EE"/>
            <w:vAlign w:val="center"/>
            <w:hideMark/>
          </w:tcPr>
          <w:p w14:paraId="57963F30"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Rok</w:t>
            </w:r>
          </w:p>
        </w:tc>
        <w:tc>
          <w:tcPr>
            <w:tcW w:w="4592" w:type="dxa"/>
            <w:vMerge/>
            <w:tcBorders>
              <w:top w:val="single" w:sz="4" w:space="0" w:color="auto"/>
              <w:bottom w:val="single" w:sz="4" w:space="0" w:color="auto"/>
              <w:right w:val="single" w:sz="4" w:space="0" w:color="auto"/>
            </w:tcBorders>
            <w:vAlign w:val="center"/>
            <w:hideMark/>
          </w:tcPr>
          <w:p w14:paraId="3A030342"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r>
      <w:tr w:rsidR="002D49B0" w:rsidRPr="00083739" w14:paraId="2D62275F" w14:textId="77777777">
        <w:trPr>
          <w:trHeight w:val="309"/>
          <w:jc w:val="center"/>
        </w:trPr>
        <w:tc>
          <w:tcPr>
            <w:tcW w:w="1188" w:type="dxa"/>
            <w:tcBorders>
              <w:top w:val="single" w:sz="4" w:space="0" w:color="auto"/>
              <w:left w:val="single" w:sz="4" w:space="0" w:color="auto"/>
              <w:bottom w:val="single" w:sz="4" w:space="0" w:color="auto"/>
              <w:right w:val="single" w:sz="4" w:space="0" w:color="auto"/>
            </w:tcBorders>
            <w:shd w:val="clear" w:color="auto" w:fill="C6EFCE"/>
            <w:noWrap/>
          </w:tcPr>
          <w:p w14:paraId="5308DF0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138</w:t>
            </w:r>
          </w:p>
        </w:tc>
        <w:tc>
          <w:tcPr>
            <w:tcW w:w="1319" w:type="dxa"/>
            <w:tcBorders>
              <w:top w:val="single" w:sz="4" w:space="0" w:color="auto"/>
              <w:left w:val="nil"/>
              <w:bottom w:val="single" w:sz="4" w:space="0" w:color="auto"/>
              <w:right w:val="single" w:sz="4" w:space="0" w:color="auto"/>
            </w:tcBorders>
            <w:shd w:val="clear" w:color="auto" w:fill="C6EFCE"/>
            <w:noWrap/>
          </w:tcPr>
          <w:p w14:paraId="166013C4" w14:textId="42BA8108"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9 – 3.2. Vzdelávanie, odborné vzdelávanie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príprava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zručnosti – 16913_A Nová </w:t>
            </w:r>
            <w:r w:rsidRPr="00083739">
              <w:rPr>
                <w:rFonts w:ascii="Times New Roman" w:hAnsi="Times New Roman" w:cs="Times New Roman"/>
                <w:noProof/>
                <w:lang w:val="sk-SK"/>
              </w:rPr>
              <w:t>stratégia pre celoživotné zručnosti: Modernizácia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aktualizácia gréckeho systému zvyšovania úrovne zručností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rekvalifikácie</w:t>
            </w:r>
          </w:p>
        </w:tc>
        <w:tc>
          <w:tcPr>
            <w:tcW w:w="1043" w:type="dxa"/>
            <w:tcBorders>
              <w:top w:val="single" w:sz="4" w:space="0" w:color="auto"/>
              <w:left w:val="nil"/>
              <w:bottom w:val="single" w:sz="4" w:space="0" w:color="auto"/>
              <w:right w:val="single" w:sz="4" w:space="0" w:color="auto"/>
            </w:tcBorders>
            <w:shd w:val="clear" w:color="auto" w:fill="C6EFCE"/>
            <w:noWrap/>
          </w:tcPr>
          <w:p w14:paraId="7EE2F6F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142" w:type="dxa"/>
            <w:tcBorders>
              <w:top w:val="single" w:sz="4" w:space="0" w:color="auto"/>
              <w:left w:val="nil"/>
              <w:bottom w:val="single" w:sz="4" w:space="0" w:color="auto"/>
              <w:right w:val="single" w:sz="4" w:space="0" w:color="auto"/>
            </w:tcBorders>
            <w:shd w:val="clear" w:color="auto" w:fill="C6EFCE"/>
            <w:noWrap/>
          </w:tcPr>
          <w:p w14:paraId="6429DE89" w14:textId="23B7F1ED"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právnych predpisov</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stratégii celoživotného vzdelávania</w:t>
            </w:r>
          </w:p>
        </w:tc>
        <w:tc>
          <w:tcPr>
            <w:tcW w:w="1459" w:type="dxa"/>
            <w:tcBorders>
              <w:top w:val="single" w:sz="4" w:space="0" w:color="auto"/>
              <w:left w:val="nil"/>
              <w:bottom w:val="single" w:sz="4" w:space="0" w:color="auto"/>
              <w:right w:val="single" w:sz="4" w:space="0" w:color="auto"/>
            </w:tcBorders>
            <w:shd w:val="clear" w:color="auto" w:fill="C6EFCE"/>
            <w:noWrap/>
          </w:tcPr>
          <w:p w14:paraId="354B2894" w14:textId="5C13BAE6"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primárnych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sekundárnych právnych predpisov </w:t>
            </w:r>
          </w:p>
        </w:tc>
        <w:tc>
          <w:tcPr>
            <w:tcW w:w="1332" w:type="dxa"/>
            <w:tcBorders>
              <w:top w:val="single" w:sz="4" w:space="0" w:color="auto"/>
              <w:left w:val="nil"/>
              <w:bottom w:val="single" w:sz="4" w:space="0" w:color="auto"/>
              <w:right w:val="single" w:sz="4" w:space="0" w:color="auto"/>
            </w:tcBorders>
            <w:shd w:val="clear" w:color="auto" w:fill="C6EFCE"/>
            <w:noWrap/>
          </w:tcPr>
          <w:p w14:paraId="1F608471"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70" w:type="dxa"/>
            <w:tcBorders>
              <w:top w:val="nil"/>
              <w:left w:val="nil"/>
              <w:bottom w:val="single" w:sz="4" w:space="0" w:color="auto"/>
              <w:right w:val="single" w:sz="4" w:space="0" w:color="auto"/>
            </w:tcBorders>
            <w:shd w:val="clear" w:color="auto" w:fill="C6EFCE"/>
            <w:noWrap/>
          </w:tcPr>
          <w:p w14:paraId="54C5B240"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8" w:type="dxa"/>
            <w:tcBorders>
              <w:top w:val="nil"/>
              <w:left w:val="nil"/>
              <w:bottom w:val="single" w:sz="4" w:space="0" w:color="auto"/>
              <w:right w:val="single" w:sz="4" w:space="0" w:color="auto"/>
            </w:tcBorders>
            <w:shd w:val="clear" w:color="auto" w:fill="C6EFCE"/>
            <w:noWrap/>
          </w:tcPr>
          <w:p w14:paraId="3F541ADD"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0" w:type="dxa"/>
            <w:tcBorders>
              <w:top w:val="nil"/>
              <w:left w:val="nil"/>
              <w:bottom w:val="single" w:sz="4" w:space="0" w:color="auto"/>
              <w:right w:val="single" w:sz="4" w:space="0" w:color="auto"/>
            </w:tcBorders>
            <w:shd w:val="clear" w:color="auto" w:fill="C6EFCE"/>
            <w:noWrap/>
          </w:tcPr>
          <w:p w14:paraId="1897736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709" w:type="dxa"/>
            <w:tcBorders>
              <w:top w:val="nil"/>
              <w:left w:val="nil"/>
              <w:bottom w:val="single" w:sz="4" w:space="0" w:color="auto"/>
              <w:right w:val="single" w:sz="4" w:space="0" w:color="auto"/>
            </w:tcBorders>
            <w:shd w:val="clear" w:color="auto" w:fill="C6EFCE"/>
            <w:noWrap/>
          </w:tcPr>
          <w:p w14:paraId="05338F4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2022</w:t>
            </w:r>
          </w:p>
        </w:tc>
        <w:tc>
          <w:tcPr>
            <w:tcW w:w="4592" w:type="dxa"/>
            <w:tcBorders>
              <w:top w:val="single" w:sz="4" w:space="0" w:color="auto"/>
              <w:left w:val="nil"/>
              <w:bottom w:val="single" w:sz="4" w:space="0" w:color="auto"/>
              <w:right w:val="single" w:sz="4" w:space="0" w:color="auto"/>
            </w:tcBorders>
            <w:shd w:val="clear" w:color="auto" w:fill="C6EFCE"/>
            <w:noWrap/>
          </w:tcPr>
          <w:p w14:paraId="260BCA71" w14:textId="251DC555"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 základe národnej stratégie pre celoživotné vzdelávanie nadobudnú účinnosť primárne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sekundárne právne predpisy,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 xml:space="preserve">ktorých sa stanovia kľúčové prvky nového rámca celoživotného vzdelávania (vrátane </w:t>
            </w:r>
            <w:r w:rsidRPr="00083739">
              <w:rPr>
                <w:rFonts w:ascii="Times New Roman" w:hAnsi="Times New Roman" w:cs="Times New Roman"/>
                <w:noProof/>
                <w:lang w:val="sk-SK"/>
              </w:rPr>
              <w:t>ustanovení</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zriadení národnej rady pre zručnosti ako ústredného dozorného orgánu,</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zriadení účtov celoživotného vzdelávania, národného zoznamu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hodnotiacej tabuľky oprávnených poskytovateľov odbornej prípravy</w:t>
            </w:r>
            <w:r w:rsidR="00083739" w:rsidRPr="00083739">
              <w:rPr>
                <w:rFonts w:ascii="Times New Roman" w:hAnsi="Times New Roman" w:cs="Times New Roman"/>
                <w:noProof/>
                <w:lang w:val="sk-SK"/>
              </w:rPr>
              <w:t xml:space="preserve"> a o </w:t>
            </w:r>
            <w:r w:rsidRPr="00083739">
              <w:rPr>
                <w:rFonts w:ascii="Times New Roman" w:hAnsi="Times New Roman" w:cs="Times New Roman"/>
                <w:noProof/>
                <w:lang w:val="sk-SK"/>
              </w:rPr>
              <w:t>mechanizme diagnostiky trhu práce).</w:t>
            </w:r>
          </w:p>
        </w:tc>
      </w:tr>
      <w:tr w:rsidR="002D49B0" w:rsidRPr="00083739" w14:paraId="0FCBA511" w14:textId="77777777">
        <w:trPr>
          <w:trHeight w:val="309"/>
          <w:jc w:val="center"/>
        </w:trPr>
        <w:tc>
          <w:tcPr>
            <w:tcW w:w="1188" w:type="dxa"/>
            <w:tcBorders>
              <w:top w:val="nil"/>
              <w:left w:val="single" w:sz="4" w:space="0" w:color="auto"/>
              <w:bottom w:val="single" w:sz="4" w:space="0" w:color="auto"/>
              <w:right w:val="single" w:sz="4" w:space="0" w:color="auto"/>
            </w:tcBorders>
            <w:shd w:val="clear" w:color="auto" w:fill="C6EFCE"/>
            <w:noWrap/>
          </w:tcPr>
          <w:p w14:paraId="298D249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139</w:t>
            </w:r>
          </w:p>
        </w:tc>
        <w:tc>
          <w:tcPr>
            <w:tcW w:w="1319" w:type="dxa"/>
            <w:tcBorders>
              <w:top w:val="nil"/>
              <w:left w:val="nil"/>
              <w:bottom w:val="single" w:sz="4" w:space="0" w:color="auto"/>
              <w:right w:val="single" w:sz="4" w:space="0" w:color="auto"/>
            </w:tcBorders>
            <w:shd w:val="clear" w:color="auto" w:fill="C6EFCE"/>
            <w:noWrap/>
          </w:tcPr>
          <w:p w14:paraId="26C11D08" w14:textId="7E4A53EE"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9 – 3.2. Vzdelávanie, odborné vzdelávanie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príprava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zručnosti – 16913_A Nová stratégia pre celoživotné zručnosti: Modernizácia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aktualizácia gréckeho systému zvyšovania úrovne zručností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rekvalifikácie</w:t>
            </w:r>
          </w:p>
        </w:tc>
        <w:tc>
          <w:tcPr>
            <w:tcW w:w="1043" w:type="dxa"/>
            <w:tcBorders>
              <w:top w:val="nil"/>
              <w:left w:val="nil"/>
              <w:bottom w:val="single" w:sz="4" w:space="0" w:color="auto"/>
              <w:right w:val="single" w:sz="4" w:space="0" w:color="auto"/>
            </w:tcBorders>
            <w:shd w:val="clear" w:color="auto" w:fill="C6EFCE"/>
            <w:noWrap/>
          </w:tcPr>
          <w:p w14:paraId="5983788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Cieľ</w:t>
            </w:r>
          </w:p>
        </w:tc>
        <w:tc>
          <w:tcPr>
            <w:tcW w:w="1142" w:type="dxa"/>
            <w:tcBorders>
              <w:top w:val="nil"/>
              <w:left w:val="nil"/>
              <w:bottom w:val="single" w:sz="4" w:space="0" w:color="auto"/>
              <w:right w:val="single" w:sz="4" w:space="0" w:color="auto"/>
            </w:tcBorders>
            <w:shd w:val="clear" w:color="auto" w:fill="C6EFCE"/>
            <w:noWrap/>
          </w:tcPr>
          <w:p w14:paraId="23B3847F" w14:textId="5CB3A921" w:rsidR="002D49B0" w:rsidRPr="00083739" w:rsidRDefault="00BF4125">
            <w:pPr>
              <w:pStyle w:val="P68B1DB1-Normal9"/>
              <w:spacing w:after="0" w:line="240" w:lineRule="auto"/>
              <w:rPr>
                <w:rFonts w:ascii="Times New Roman" w:eastAsia="Times New Roman" w:hAnsi="Times New Roman" w:cs="Times New Roman"/>
                <w:noProof/>
                <w:szCs w:val="18"/>
                <w:highlight w:val="yellow"/>
                <w:lang w:val="sk-SK"/>
              </w:rPr>
            </w:pPr>
            <w:r w:rsidRPr="00083739">
              <w:rPr>
                <w:rFonts w:ascii="Times New Roman" w:hAnsi="Times New Roman" w:cs="Times New Roman"/>
                <w:noProof/>
                <w:lang w:val="sk-SK"/>
              </w:rPr>
              <w:t>Validácia stratégie dokončenia</w:t>
            </w:r>
            <w:r w:rsidRPr="00083739">
              <w:rPr>
                <w:rFonts w:ascii="Times New Roman" w:hAnsi="Times New Roman" w:cs="Times New Roman"/>
                <w:noProof/>
                <w:lang w:val="sk-SK"/>
              </w:rPr>
              <w:t xml:space="preserve"> stratégie celoživotného vzdelávania</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rámci programov odbornej prípravy</w:t>
            </w:r>
          </w:p>
        </w:tc>
        <w:tc>
          <w:tcPr>
            <w:tcW w:w="1459" w:type="dxa"/>
            <w:tcBorders>
              <w:top w:val="nil"/>
              <w:left w:val="nil"/>
              <w:bottom w:val="single" w:sz="4" w:space="0" w:color="auto"/>
              <w:right w:val="single" w:sz="4" w:space="0" w:color="auto"/>
            </w:tcBorders>
            <w:shd w:val="clear" w:color="auto" w:fill="C6EFCE"/>
            <w:noWrap/>
          </w:tcPr>
          <w:p w14:paraId="38EED17B"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332" w:type="dxa"/>
            <w:tcBorders>
              <w:top w:val="nil"/>
              <w:left w:val="nil"/>
              <w:bottom w:val="single" w:sz="4" w:space="0" w:color="auto"/>
              <w:right w:val="single" w:sz="4" w:space="0" w:color="auto"/>
            </w:tcBorders>
            <w:shd w:val="clear" w:color="auto" w:fill="C6EFCE"/>
            <w:noWrap/>
          </w:tcPr>
          <w:p w14:paraId="3CE73141" w14:textId="58588D01"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Počet osôb, ktoré dostali osvedčenie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úspešnom výsledku</w:t>
            </w:r>
          </w:p>
          <w:p w14:paraId="0C594EB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účasť na programe odbornej prípravy</w:t>
            </w:r>
          </w:p>
        </w:tc>
        <w:tc>
          <w:tcPr>
            <w:tcW w:w="870" w:type="dxa"/>
            <w:tcBorders>
              <w:top w:val="nil"/>
              <w:left w:val="nil"/>
              <w:bottom w:val="single" w:sz="4" w:space="0" w:color="auto"/>
              <w:right w:val="single" w:sz="4" w:space="0" w:color="auto"/>
            </w:tcBorders>
            <w:shd w:val="clear" w:color="auto" w:fill="C6EFCE"/>
            <w:noWrap/>
          </w:tcPr>
          <w:p w14:paraId="592DED51" w14:textId="77777777"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0</w:t>
            </w:r>
          </w:p>
          <w:p w14:paraId="7E1C8001" w14:textId="77777777" w:rsidR="002D49B0" w:rsidRPr="00083739" w:rsidRDefault="002D49B0">
            <w:pPr>
              <w:rPr>
                <w:rFonts w:ascii="Times New Roman" w:eastAsia="Times New Roman" w:hAnsi="Times New Roman" w:cs="Times New Roman"/>
                <w:noProof/>
                <w:sz w:val="18"/>
                <w:szCs w:val="18"/>
                <w:lang w:val="sk-SK"/>
              </w:rPr>
            </w:pPr>
          </w:p>
        </w:tc>
        <w:tc>
          <w:tcPr>
            <w:tcW w:w="998" w:type="dxa"/>
            <w:tcBorders>
              <w:top w:val="nil"/>
              <w:left w:val="nil"/>
              <w:bottom w:val="single" w:sz="4" w:space="0" w:color="auto"/>
              <w:right w:val="single" w:sz="4" w:space="0" w:color="auto"/>
            </w:tcBorders>
            <w:shd w:val="clear" w:color="auto" w:fill="C6EFCE"/>
            <w:noWrap/>
          </w:tcPr>
          <w:p w14:paraId="26679F7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150 000</w:t>
            </w:r>
          </w:p>
        </w:tc>
        <w:tc>
          <w:tcPr>
            <w:tcW w:w="850" w:type="dxa"/>
            <w:tcBorders>
              <w:top w:val="nil"/>
              <w:left w:val="nil"/>
              <w:bottom w:val="single" w:sz="4" w:space="0" w:color="auto"/>
              <w:right w:val="single" w:sz="4" w:space="0" w:color="auto"/>
            </w:tcBorders>
            <w:shd w:val="clear" w:color="auto" w:fill="C6EFCE"/>
            <w:noWrap/>
          </w:tcPr>
          <w:p w14:paraId="705CC6A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09" w:type="dxa"/>
            <w:tcBorders>
              <w:top w:val="nil"/>
              <w:left w:val="nil"/>
              <w:bottom w:val="single" w:sz="4" w:space="0" w:color="auto"/>
              <w:right w:val="single" w:sz="4" w:space="0" w:color="auto"/>
            </w:tcBorders>
            <w:shd w:val="clear" w:color="auto" w:fill="C6EFCE"/>
            <w:noWrap/>
          </w:tcPr>
          <w:p w14:paraId="323D161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2022</w:t>
            </w:r>
          </w:p>
        </w:tc>
        <w:tc>
          <w:tcPr>
            <w:tcW w:w="4592" w:type="dxa"/>
            <w:tcBorders>
              <w:top w:val="nil"/>
              <w:left w:val="nil"/>
              <w:bottom w:val="single" w:sz="4" w:space="0" w:color="auto"/>
              <w:right w:val="single" w:sz="4" w:space="0" w:color="auto"/>
            </w:tcBorders>
            <w:shd w:val="clear" w:color="auto" w:fill="C6EFCE"/>
            <w:noWrap/>
          </w:tcPr>
          <w:p w14:paraId="3273833F" w14:textId="04FC5F8C"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Dokončenie programov odbornej prípravy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 xml:space="preserve">oblasti </w:t>
            </w:r>
            <w:r w:rsidRPr="00083739">
              <w:rPr>
                <w:rFonts w:ascii="Times New Roman" w:hAnsi="Times New Roman" w:cs="Times New Roman"/>
                <w:noProof/>
                <w:lang w:val="sk-SK"/>
              </w:rPr>
              <w:t>digitálnej, zelenej</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finančnej gramotnosti pre najmenej 150000 účastníkov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potvrdzovanie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certifikácia zručností získaných pre všetkých úspešných účastníkov</w:t>
            </w:r>
            <w:r w:rsidR="00083739" w:rsidRPr="00083739">
              <w:rPr>
                <w:rFonts w:ascii="Times New Roman" w:hAnsi="Times New Roman" w:cs="Times New Roman"/>
                <w:noProof/>
                <w:lang w:val="sk-SK"/>
              </w:rPr>
              <w:t>.</w:t>
            </w:r>
          </w:p>
          <w:p w14:paraId="6BED75C3" w14:textId="57D31414"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 Touto investíciou sa rieši potreba digitálnych, ekologických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finančných zručností</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 xml:space="preserve">oblasti </w:t>
            </w:r>
            <w:r w:rsidRPr="00083739">
              <w:rPr>
                <w:rFonts w:ascii="Times New Roman" w:hAnsi="Times New Roman" w:cs="Times New Roman"/>
                <w:noProof/>
                <w:lang w:val="sk-SK"/>
              </w:rPr>
              <w:t>gramotnosti týchto skupín obyvateľstva: a) nezamestnaní, najmä mladí ľudia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dlhodobo nezamestnaní, b) zamestnanci, najmä tí</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vysokým rizikom nezamestnanosti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tí, ktorí sú zanechaní technológiami pracovného priestoru, c) zamestnanci, najmä</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MSP</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obmedz</w:t>
            </w:r>
            <w:r w:rsidRPr="00083739">
              <w:rPr>
                <w:rFonts w:ascii="Times New Roman" w:hAnsi="Times New Roman" w:cs="Times New Roman"/>
                <w:noProof/>
                <w:lang w:val="sk-SK"/>
              </w:rPr>
              <w:t>enou vnútornou kapacitou odbornej prípravy, d) zamestnanci verejného sektora vrátane učiteľov. Ponúkame tieto zručnosti: a) základné digitálne zručnosti, b) stredné digitálne zručnosti, c) zelené zručnosti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 zručnosti</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finančnej gramotnosti.</w:t>
            </w:r>
          </w:p>
        </w:tc>
      </w:tr>
      <w:tr w:rsidR="002D49B0" w:rsidRPr="00083739" w14:paraId="4AAEAD81" w14:textId="77777777">
        <w:trPr>
          <w:trHeight w:val="309"/>
          <w:jc w:val="center"/>
        </w:trPr>
        <w:tc>
          <w:tcPr>
            <w:tcW w:w="1188" w:type="dxa"/>
            <w:tcBorders>
              <w:top w:val="nil"/>
              <w:left w:val="single" w:sz="4" w:space="0" w:color="auto"/>
              <w:bottom w:val="single" w:sz="4" w:space="0" w:color="auto"/>
              <w:right w:val="single" w:sz="4" w:space="0" w:color="auto"/>
            </w:tcBorders>
            <w:shd w:val="clear" w:color="auto" w:fill="C6EFCE"/>
            <w:noWrap/>
            <w:hideMark/>
          </w:tcPr>
          <w:p w14:paraId="12882DF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140</w:t>
            </w:r>
          </w:p>
        </w:tc>
        <w:tc>
          <w:tcPr>
            <w:tcW w:w="1319" w:type="dxa"/>
            <w:tcBorders>
              <w:top w:val="nil"/>
              <w:left w:val="nil"/>
              <w:bottom w:val="single" w:sz="4" w:space="0" w:color="auto"/>
              <w:right w:val="single" w:sz="4" w:space="0" w:color="auto"/>
            </w:tcBorders>
            <w:shd w:val="clear" w:color="auto" w:fill="C6EFCE"/>
            <w:noWrap/>
            <w:hideMark/>
          </w:tcPr>
          <w:p w14:paraId="0D57CD00" w14:textId="012E1DFE"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9 – 3.2. Vzdelávanie, odborné vzdelávanie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príprava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zručnosti – 16913_A Nová stratégia pre celoživotné zručnosti: Modernizácia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aktualizácia gréckeho systému zvyšovania úrovne zručností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rekvalifikácie</w:t>
            </w:r>
          </w:p>
        </w:tc>
        <w:tc>
          <w:tcPr>
            <w:tcW w:w="1043" w:type="dxa"/>
            <w:tcBorders>
              <w:top w:val="nil"/>
              <w:left w:val="nil"/>
              <w:bottom w:val="single" w:sz="4" w:space="0" w:color="auto"/>
              <w:right w:val="single" w:sz="4" w:space="0" w:color="auto"/>
            </w:tcBorders>
            <w:shd w:val="clear" w:color="auto" w:fill="C6EFCE"/>
            <w:noWrap/>
            <w:hideMark/>
          </w:tcPr>
          <w:p w14:paraId="7C6026E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Cieľ</w:t>
            </w:r>
          </w:p>
        </w:tc>
        <w:tc>
          <w:tcPr>
            <w:tcW w:w="1142" w:type="dxa"/>
            <w:tcBorders>
              <w:top w:val="nil"/>
              <w:left w:val="nil"/>
              <w:bottom w:val="single" w:sz="4" w:space="0" w:color="auto"/>
              <w:right w:val="single" w:sz="4" w:space="0" w:color="auto"/>
            </w:tcBorders>
            <w:shd w:val="clear" w:color="auto" w:fill="C6EFCE"/>
            <w:noWrap/>
            <w:hideMark/>
          </w:tcPr>
          <w:p w14:paraId="0FC25F91" w14:textId="1EFC9AE3"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Programy odbornej prípravy potvrdzovanie</w:t>
            </w:r>
            <w:r w:rsidRPr="00083739">
              <w:rPr>
                <w:rFonts w:ascii="Times New Roman" w:hAnsi="Times New Roman" w:cs="Times New Roman"/>
                <w:noProof/>
                <w:lang w:val="sk-SK"/>
              </w:rPr>
              <w:t xml:space="preserve"> stratégie dokončenia stratégie celoživotného vzdelávania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nadobudnutie budovy</w:t>
            </w:r>
          </w:p>
        </w:tc>
        <w:tc>
          <w:tcPr>
            <w:tcW w:w="1459" w:type="dxa"/>
            <w:tcBorders>
              <w:top w:val="nil"/>
              <w:left w:val="nil"/>
              <w:bottom w:val="single" w:sz="4" w:space="0" w:color="auto"/>
              <w:right w:val="single" w:sz="4" w:space="0" w:color="auto"/>
            </w:tcBorders>
            <w:shd w:val="clear" w:color="auto" w:fill="C6EFCE"/>
            <w:noWrap/>
            <w:hideMark/>
          </w:tcPr>
          <w:p w14:paraId="2ED8EEC1"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332" w:type="dxa"/>
            <w:tcBorders>
              <w:top w:val="nil"/>
              <w:left w:val="nil"/>
              <w:bottom w:val="single" w:sz="4" w:space="0" w:color="auto"/>
              <w:right w:val="single" w:sz="4" w:space="0" w:color="auto"/>
            </w:tcBorders>
            <w:shd w:val="clear" w:color="auto" w:fill="C6EFCE"/>
            <w:noWrap/>
            <w:hideMark/>
          </w:tcPr>
          <w:p w14:paraId="534C3AFA" w14:textId="4FD19604"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Počet osôb, ktoré dostali osvedčenie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úspešnom výsledku</w:t>
            </w:r>
          </w:p>
          <w:p w14:paraId="2E7F72F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ukončenie programu odbornej prípravy</w:t>
            </w:r>
          </w:p>
        </w:tc>
        <w:tc>
          <w:tcPr>
            <w:tcW w:w="870" w:type="dxa"/>
            <w:tcBorders>
              <w:top w:val="nil"/>
              <w:left w:val="nil"/>
              <w:bottom w:val="single" w:sz="4" w:space="0" w:color="auto"/>
              <w:right w:val="single" w:sz="4" w:space="0" w:color="auto"/>
            </w:tcBorders>
            <w:shd w:val="clear" w:color="auto" w:fill="C6EFCE"/>
            <w:noWrap/>
            <w:hideMark/>
          </w:tcPr>
          <w:p w14:paraId="6A6B62D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150 000</w:t>
            </w:r>
          </w:p>
        </w:tc>
        <w:tc>
          <w:tcPr>
            <w:tcW w:w="998" w:type="dxa"/>
            <w:tcBorders>
              <w:top w:val="nil"/>
              <w:left w:val="nil"/>
              <w:bottom w:val="single" w:sz="4" w:space="0" w:color="auto"/>
              <w:right w:val="single" w:sz="4" w:space="0" w:color="auto"/>
            </w:tcBorders>
            <w:shd w:val="clear" w:color="auto" w:fill="C6EFCE"/>
            <w:noWrap/>
            <w:hideMark/>
          </w:tcPr>
          <w:p w14:paraId="34BCF4B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500 000</w:t>
            </w:r>
          </w:p>
        </w:tc>
        <w:tc>
          <w:tcPr>
            <w:tcW w:w="850" w:type="dxa"/>
            <w:tcBorders>
              <w:top w:val="nil"/>
              <w:left w:val="nil"/>
              <w:bottom w:val="single" w:sz="4" w:space="0" w:color="auto"/>
              <w:right w:val="single" w:sz="4" w:space="0" w:color="auto"/>
            </w:tcBorders>
            <w:shd w:val="clear" w:color="auto" w:fill="C6EFCE"/>
            <w:noWrap/>
            <w:hideMark/>
          </w:tcPr>
          <w:p w14:paraId="50057D1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09" w:type="dxa"/>
            <w:tcBorders>
              <w:top w:val="nil"/>
              <w:left w:val="nil"/>
              <w:bottom w:val="single" w:sz="4" w:space="0" w:color="auto"/>
              <w:right w:val="single" w:sz="4" w:space="0" w:color="auto"/>
            </w:tcBorders>
            <w:shd w:val="clear" w:color="auto" w:fill="C6EFCE"/>
            <w:noWrap/>
            <w:hideMark/>
          </w:tcPr>
          <w:p w14:paraId="7D9D401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4592" w:type="dxa"/>
            <w:tcBorders>
              <w:top w:val="nil"/>
              <w:left w:val="nil"/>
              <w:bottom w:val="single" w:sz="4" w:space="0" w:color="auto"/>
              <w:right w:val="single" w:sz="4" w:space="0" w:color="auto"/>
            </w:tcBorders>
            <w:shd w:val="clear" w:color="auto" w:fill="C6EFCE"/>
            <w:noWrap/>
            <w:hideMark/>
          </w:tcPr>
          <w:p w14:paraId="5E9E7CAB" w14:textId="3697BCEC"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 Dokončenie programov odbornej prípravy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digitálnej, zelenej</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finančnej gramotnosti pre 500000 účastníkov (kumulatívne, prvá</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druhá vlna)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potvrdzovanie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certifikácia zručností získaných prostredníctvom oboch vĺn programov odbornej prípravy pre všetkých úspešných účastníkov</w:t>
            </w:r>
            <w:r w:rsidR="00083739" w:rsidRPr="00083739">
              <w:rPr>
                <w:rFonts w:ascii="Times New Roman" w:hAnsi="Times New Roman" w:cs="Times New Roman"/>
                <w:noProof/>
                <w:lang w:val="sk-SK"/>
              </w:rPr>
              <w:t>.</w:t>
            </w:r>
          </w:p>
          <w:p w14:paraId="014A7B72" w14:textId="7B01E6D8"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Z celkové</w:t>
            </w:r>
            <w:r w:rsidRPr="00083739">
              <w:rPr>
                <w:rFonts w:ascii="Times New Roman" w:hAnsi="Times New Roman" w:cs="Times New Roman"/>
                <w:noProof/>
                <w:lang w:val="sk-SK"/>
              </w:rPr>
              <w:t>ho počtu účastníkov aspoň 33</w:t>
            </w:r>
            <w:r w:rsidR="00083739" w:rsidRPr="00083739">
              <w:rPr>
                <w:rFonts w:ascii="Times New Roman" w:hAnsi="Times New Roman" w:cs="Times New Roman"/>
                <w:noProof/>
                <w:lang w:val="sk-SK"/>
              </w:rPr>
              <w:t> %</w:t>
            </w:r>
            <w:r w:rsidRPr="00083739">
              <w:rPr>
                <w:rFonts w:ascii="Times New Roman" w:hAnsi="Times New Roman" w:cs="Times New Roman"/>
                <w:noProof/>
                <w:lang w:val="sk-SK"/>
              </w:rPr>
              <w:t xml:space="preserve"> (167000 účastníkov) musí absolvovať programy odbornej prípravy týkajúce sa zelených zručností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pracovných miest</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ekologickom hospodárstve</w:t>
            </w:r>
            <w:r w:rsidR="00083739" w:rsidRPr="00083739">
              <w:rPr>
                <w:rFonts w:ascii="Times New Roman" w:hAnsi="Times New Roman" w:cs="Times New Roman"/>
                <w:noProof/>
                <w:lang w:val="sk-SK"/>
              </w:rPr>
              <w:t>.</w:t>
            </w:r>
          </w:p>
          <w:p w14:paraId="15BFE6F5" w14:textId="01219B2B" w:rsidR="002D49B0" w:rsidRPr="00083739" w:rsidRDefault="002D49B0">
            <w:pPr>
              <w:spacing w:after="0" w:line="240" w:lineRule="auto"/>
              <w:rPr>
                <w:rFonts w:ascii="Times New Roman" w:hAnsi="Times New Roman" w:cs="Times New Roman"/>
                <w:noProof/>
                <w:color w:val="006100"/>
                <w:sz w:val="18"/>
                <w:lang w:val="sk-SK"/>
              </w:rPr>
            </w:pPr>
          </w:p>
          <w:p w14:paraId="73E59C6B" w14:textId="3511B22A"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Nadobudnutie novej budovy, ktorá bude slúžiť ako ústredie DYPA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Národnej rady </w:t>
            </w:r>
            <w:r w:rsidRPr="00083739">
              <w:rPr>
                <w:rFonts w:ascii="Times New Roman" w:hAnsi="Times New Roman" w:cs="Times New Roman"/>
                <w:noProof/>
                <w:lang w:val="sk-SK"/>
              </w:rPr>
              <w:t>pre zručnosti</w:t>
            </w:r>
            <w:r w:rsidR="00083739" w:rsidRPr="00083739">
              <w:rPr>
                <w:rFonts w:ascii="Times New Roman" w:hAnsi="Times New Roman" w:cs="Times New Roman"/>
                <w:noProof/>
                <w:lang w:val="sk-SK"/>
              </w:rPr>
              <w:t xml:space="preserve"> a v </w:t>
            </w:r>
            <w:r w:rsidRPr="00083739">
              <w:rPr>
                <w:rFonts w:ascii="Times New Roman" w:hAnsi="Times New Roman" w:cs="Times New Roman"/>
                <w:noProof/>
                <w:lang w:val="sk-SK"/>
              </w:rPr>
              <w:t xml:space="preserve">ktorej sa bude konať aj centrálne centrum celoživotného vzdelávania DYPA. </w:t>
            </w:r>
          </w:p>
        </w:tc>
      </w:tr>
    </w:tbl>
    <w:p w14:paraId="2A4318CA" w14:textId="77777777" w:rsidR="002D49B0" w:rsidRPr="00083739" w:rsidRDefault="002D49B0">
      <w:pPr>
        <w:spacing w:before="120" w:after="120" w:line="240" w:lineRule="auto"/>
        <w:jc w:val="both"/>
        <w:rPr>
          <w:rFonts w:ascii="Times New Roman" w:hAnsi="Times New Roman" w:cs="Times New Roman"/>
          <w:noProof/>
          <w:sz w:val="24"/>
          <w:lang w:val="sk-SK"/>
        </w:rPr>
      </w:pPr>
    </w:p>
    <w:p w14:paraId="6B1AB893" w14:textId="77777777" w:rsidR="002D49B0" w:rsidRPr="00083739" w:rsidRDefault="002D49B0">
      <w:pPr>
        <w:spacing w:before="120" w:after="120" w:line="240" w:lineRule="auto"/>
        <w:ind w:left="709"/>
        <w:jc w:val="both"/>
        <w:rPr>
          <w:rFonts w:ascii="Times New Roman" w:hAnsi="Times New Roman" w:cs="Times New Roman"/>
          <w:noProof/>
          <w:sz w:val="24"/>
          <w:szCs w:val="24"/>
          <w:lang w:val="sk-SK"/>
        </w:rPr>
      </w:pPr>
    </w:p>
    <w:p w14:paraId="099EE4D8" w14:textId="77777777" w:rsidR="002D49B0" w:rsidRPr="00083739" w:rsidRDefault="002D49B0">
      <w:pPr>
        <w:keepNext/>
        <w:keepLines/>
        <w:spacing w:before="40" w:after="0" w:line="240" w:lineRule="auto"/>
        <w:jc w:val="both"/>
        <w:outlineLvl w:val="4"/>
        <w:rPr>
          <w:rFonts w:ascii="Times New Roman" w:hAnsi="Times New Roman" w:cs="Times New Roman"/>
          <w:noProof/>
          <w:color w:val="365F91" w:themeColor="accent1" w:themeShade="BF"/>
          <w:sz w:val="24"/>
          <w:lang w:val="sk-SK"/>
        </w:rPr>
        <w:sectPr w:rsidR="002D49B0" w:rsidRPr="00083739" w:rsidSect="00271D33">
          <w:headerReference w:type="even" r:id="rId151"/>
          <w:headerReference w:type="default" r:id="rId152"/>
          <w:footerReference w:type="even" r:id="rId153"/>
          <w:footerReference w:type="default" r:id="rId154"/>
          <w:headerReference w:type="first" r:id="rId155"/>
          <w:footerReference w:type="first" r:id="rId156"/>
          <w:pgSz w:w="16839" w:h="11907" w:orient="landscape"/>
          <w:pgMar w:top="720" w:right="720" w:bottom="720" w:left="720" w:header="709" w:footer="75" w:gutter="0"/>
          <w:cols w:space="720"/>
          <w:docGrid w:linePitch="360"/>
        </w:sectPr>
      </w:pPr>
    </w:p>
    <w:p w14:paraId="2FBDDAEE" w14:textId="69739459" w:rsidR="002D49B0" w:rsidRPr="00083739" w:rsidRDefault="00BF4125">
      <w:pPr>
        <w:pStyle w:val="P68B1DB1-Normal6"/>
        <w:keepNext/>
        <w:keepLines/>
        <w:spacing w:before="40" w:after="0" w:line="240" w:lineRule="auto"/>
        <w:jc w:val="both"/>
        <w:outlineLvl w:val="4"/>
        <w:rPr>
          <w:rFonts w:ascii="Times New Roman" w:eastAsia="Times New Roman" w:hAnsi="Times New Roman" w:cs="Times New Roman"/>
          <w:noProof/>
          <w:szCs w:val="24"/>
          <w:lang w:val="sk-SK"/>
        </w:rPr>
      </w:pPr>
      <w:r w:rsidRPr="00083739">
        <w:rPr>
          <w:rFonts w:ascii="Times New Roman" w:hAnsi="Times New Roman" w:cs="Times New Roman"/>
          <w:noProof/>
          <w:lang w:val="sk-SK"/>
        </w:rPr>
        <w:t>Skupina 11: Podporovať vytváranie pracovných miest</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účasť na trhu práce/vzdelávanie, odborné </w:t>
      </w:r>
      <w:r w:rsidRPr="00083739">
        <w:rPr>
          <w:rFonts w:ascii="Times New Roman" w:hAnsi="Times New Roman" w:cs="Times New Roman"/>
          <w:noProof/>
          <w:lang w:val="sk-SK"/>
        </w:rPr>
        <w:t>vzdelávanie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prípravu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zručnosti – DYPA – reformy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investície</w:t>
      </w:r>
    </w:p>
    <w:p w14:paraId="2184B999" w14:textId="66C7BEF8" w:rsidR="002D49B0" w:rsidRPr="00083739" w:rsidRDefault="00BF4125">
      <w:pPr>
        <w:pStyle w:val="P68B1DB1-Normal4"/>
        <w:numPr>
          <w:ilvl w:val="0"/>
          <w:numId w:val="43"/>
        </w:numPr>
        <w:spacing w:before="120" w:after="0" w:line="240" w:lineRule="auto"/>
        <w:jc w:val="both"/>
        <w:rPr>
          <w:rFonts w:cs="Times New Roman"/>
          <w:noProof/>
          <w:lang w:val="sk-SK"/>
        </w:rPr>
      </w:pPr>
      <w:r w:rsidRPr="00083739">
        <w:rPr>
          <w:rFonts w:cs="Times New Roman"/>
          <w:noProof/>
          <w:lang w:val="sk-SK"/>
        </w:rPr>
        <w:t>Reštrukturalizácia</w:t>
      </w:r>
      <w:r w:rsidR="00083739" w:rsidRPr="00083739">
        <w:rPr>
          <w:rFonts w:cs="Times New Roman"/>
          <w:noProof/>
          <w:lang w:val="sk-SK"/>
        </w:rPr>
        <w:t xml:space="preserve"> a </w:t>
      </w:r>
      <w:r w:rsidRPr="00083739">
        <w:rPr>
          <w:rFonts w:cs="Times New Roman"/>
          <w:noProof/>
          <w:lang w:val="sk-SK"/>
        </w:rPr>
        <w:t>zmena značky miestnych pobočiek DYPA na podporu zamestnanosti (KPA2) (ID: 16941)</w:t>
      </w:r>
    </w:p>
    <w:p w14:paraId="7BD0F3F3" w14:textId="77777777" w:rsidR="002D49B0" w:rsidRPr="00083739" w:rsidRDefault="00BF4125">
      <w:pPr>
        <w:pStyle w:val="P68B1DB1-Normal4"/>
        <w:numPr>
          <w:ilvl w:val="0"/>
          <w:numId w:val="43"/>
        </w:numPr>
        <w:spacing w:before="120" w:after="0" w:line="240" w:lineRule="auto"/>
        <w:jc w:val="both"/>
        <w:rPr>
          <w:rFonts w:cs="Times New Roman"/>
          <w:noProof/>
          <w:lang w:val="sk-SK"/>
        </w:rPr>
      </w:pPr>
      <w:r w:rsidRPr="00083739">
        <w:rPr>
          <w:rFonts w:cs="Times New Roman"/>
          <w:noProof/>
          <w:lang w:val="sk-SK"/>
        </w:rPr>
        <w:t>Reforma aktívnych politík trhu práce (ID: 16747)</w:t>
      </w:r>
    </w:p>
    <w:p w14:paraId="1A2BBB86" w14:textId="77777777" w:rsidR="002D49B0" w:rsidRPr="00083739" w:rsidRDefault="00BF4125">
      <w:pPr>
        <w:pStyle w:val="P68B1DB1-Normal4"/>
        <w:numPr>
          <w:ilvl w:val="0"/>
          <w:numId w:val="43"/>
        </w:numPr>
        <w:spacing w:before="120" w:after="0" w:line="240" w:lineRule="auto"/>
        <w:jc w:val="both"/>
        <w:rPr>
          <w:rFonts w:cs="Times New Roman"/>
          <w:noProof/>
          <w:lang w:val="sk-SK"/>
        </w:rPr>
      </w:pPr>
      <w:r w:rsidRPr="00083739">
        <w:rPr>
          <w:rFonts w:cs="Times New Roman"/>
          <w:noProof/>
          <w:lang w:val="sk-SK"/>
        </w:rPr>
        <w:t>Posilnenie systému učňovskej prípravy (I</w:t>
      </w:r>
      <w:r w:rsidRPr="00083739">
        <w:rPr>
          <w:rFonts w:cs="Times New Roman"/>
          <w:noProof/>
          <w:lang w:val="sk-SK"/>
        </w:rPr>
        <w:t>D: 16794)</w:t>
      </w:r>
    </w:p>
    <w:p w14:paraId="1AC5BC1A" w14:textId="77777777" w:rsidR="002D49B0" w:rsidRPr="00083739" w:rsidRDefault="00BF4125">
      <w:pPr>
        <w:pStyle w:val="P68B1DB1-Normal4"/>
        <w:numPr>
          <w:ilvl w:val="0"/>
          <w:numId w:val="43"/>
        </w:numPr>
        <w:spacing w:before="120" w:after="0" w:line="240" w:lineRule="auto"/>
        <w:jc w:val="both"/>
        <w:rPr>
          <w:rFonts w:cs="Times New Roman"/>
          <w:noProof/>
          <w:lang w:val="sk-SK"/>
        </w:rPr>
      </w:pPr>
      <w:r w:rsidRPr="00083739">
        <w:rPr>
          <w:rFonts w:cs="Times New Roman"/>
          <w:noProof/>
          <w:lang w:val="sk-SK"/>
        </w:rPr>
        <w:t>Reforma pasívnych politík trhu práce na podporu prechodu na zamestnanosť (ID: 16746)</w:t>
      </w:r>
    </w:p>
    <w:p w14:paraId="2ECE02AB" w14:textId="4AA0AAF7" w:rsidR="002D49B0" w:rsidRPr="00083739" w:rsidRDefault="00BF4125">
      <w:pPr>
        <w:pStyle w:val="P68B1DB1-Normal4"/>
        <w:numPr>
          <w:ilvl w:val="0"/>
          <w:numId w:val="43"/>
        </w:numPr>
        <w:spacing w:before="120" w:after="120" w:line="240" w:lineRule="auto"/>
        <w:jc w:val="both"/>
        <w:rPr>
          <w:rFonts w:cs="Times New Roman"/>
          <w:noProof/>
          <w:lang w:val="sk-SK"/>
        </w:rPr>
        <w:sectPr w:rsidR="002D49B0" w:rsidRPr="00083739" w:rsidSect="0018328F">
          <w:headerReference w:type="even" r:id="rId157"/>
          <w:headerReference w:type="default" r:id="rId158"/>
          <w:footerReference w:type="even" r:id="rId159"/>
          <w:footerReference w:type="default" r:id="rId160"/>
          <w:headerReference w:type="first" r:id="rId161"/>
          <w:footerReference w:type="first" r:id="rId162"/>
          <w:pgSz w:w="11907" w:h="16839"/>
          <w:pgMar w:top="720" w:right="720" w:bottom="720" w:left="720" w:header="709" w:footer="709" w:gutter="0"/>
          <w:cols w:space="720"/>
          <w:docGrid w:linePitch="360"/>
        </w:sectPr>
      </w:pPr>
      <w:r w:rsidRPr="00083739">
        <w:rPr>
          <w:rFonts w:cs="Times New Roman"/>
          <w:noProof/>
          <w:lang w:val="sk-SK"/>
        </w:rPr>
        <w:t>Kvalifikácia pracovnej sily, rekvalifikácia</w:t>
      </w:r>
      <w:r w:rsidR="00083739" w:rsidRPr="00083739">
        <w:rPr>
          <w:rFonts w:cs="Times New Roman"/>
          <w:noProof/>
          <w:lang w:val="sk-SK"/>
        </w:rPr>
        <w:t xml:space="preserve"> a </w:t>
      </w:r>
      <w:r w:rsidRPr="00083739">
        <w:rPr>
          <w:rFonts w:cs="Times New Roman"/>
          <w:noProof/>
          <w:lang w:val="sk-SK"/>
        </w:rPr>
        <w:t>zvyšovanie úrovne zručností prostredníctvom reformovaného</w:t>
      </w:r>
      <w:r w:rsidRPr="00083739">
        <w:rPr>
          <w:rFonts w:cs="Times New Roman"/>
          <w:noProof/>
          <w:lang w:val="sk-SK"/>
        </w:rPr>
        <w:t xml:space="preserve"> modelu odbornej prípravy (reforma odborného vzdelávania</w:t>
      </w:r>
      <w:r w:rsidR="00083739" w:rsidRPr="00083739">
        <w:rPr>
          <w:rFonts w:cs="Times New Roman"/>
          <w:noProof/>
          <w:lang w:val="sk-SK"/>
        </w:rPr>
        <w:t xml:space="preserve"> a </w:t>
      </w:r>
      <w:r w:rsidRPr="00083739">
        <w:rPr>
          <w:rFonts w:cs="Times New Roman"/>
          <w:noProof/>
          <w:lang w:val="sk-SK"/>
        </w:rPr>
        <w:t>odbornej prípravy) (ID: 16792)</w:t>
      </w:r>
    </w:p>
    <w:tbl>
      <w:tblPr>
        <w:tblW w:w="15588" w:type="dxa"/>
        <w:jc w:val="center"/>
        <w:tblLayout w:type="fixed"/>
        <w:tblLook w:val="04A0" w:firstRow="1" w:lastRow="0" w:firstColumn="1" w:lastColumn="0" w:noHBand="0" w:noVBand="1"/>
      </w:tblPr>
      <w:tblGrid>
        <w:gridCol w:w="1116"/>
        <w:gridCol w:w="1797"/>
        <w:gridCol w:w="1099"/>
        <w:gridCol w:w="1365"/>
        <w:gridCol w:w="1471"/>
        <w:gridCol w:w="1135"/>
        <w:gridCol w:w="924"/>
        <w:gridCol w:w="896"/>
        <w:gridCol w:w="846"/>
        <w:gridCol w:w="783"/>
        <w:gridCol w:w="4156"/>
      </w:tblGrid>
      <w:tr w:rsidR="002D49B0" w:rsidRPr="00083739" w14:paraId="7116724C" w14:textId="77777777">
        <w:trPr>
          <w:trHeight w:val="741"/>
          <w:tblHeader/>
          <w:jc w:val="center"/>
        </w:trPr>
        <w:tc>
          <w:tcPr>
            <w:tcW w:w="111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0493011"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Poradové číslo</w:t>
            </w:r>
          </w:p>
        </w:tc>
        <w:tc>
          <w:tcPr>
            <w:tcW w:w="179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2C5BCC5"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Súvisiace opatrenie (reforma alebo investícia)</w:t>
            </w:r>
          </w:p>
        </w:tc>
        <w:tc>
          <w:tcPr>
            <w:tcW w:w="109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6E774B4"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Míľnik/cieľ</w:t>
            </w:r>
          </w:p>
        </w:tc>
        <w:tc>
          <w:tcPr>
            <w:tcW w:w="136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87524DD"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Názov</w:t>
            </w:r>
          </w:p>
        </w:tc>
        <w:tc>
          <w:tcPr>
            <w:tcW w:w="147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1140C6D"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Kvalitatívne ukazovatele (pre míľniky)</w:t>
            </w:r>
          </w:p>
        </w:tc>
        <w:tc>
          <w:tcPr>
            <w:tcW w:w="2955" w:type="dxa"/>
            <w:gridSpan w:val="3"/>
            <w:tcBorders>
              <w:top w:val="single" w:sz="4" w:space="0" w:color="auto"/>
              <w:left w:val="single" w:sz="4" w:space="0" w:color="auto"/>
              <w:bottom w:val="single" w:sz="4" w:space="0" w:color="auto"/>
              <w:right w:val="single" w:sz="4" w:space="0" w:color="auto"/>
            </w:tcBorders>
            <w:shd w:val="clear" w:color="auto" w:fill="BDD7EE"/>
            <w:vAlign w:val="center"/>
            <w:hideMark/>
          </w:tcPr>
          <w:p w14:paraId="692D78C7"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Kvantitatívne ukazovatele (pre ciele)</w:t>
            </w:r>
          </w:p>
        </w:tc>
        <w:tc>
          <w:tcPr>
            <w:tcW w:w="1629" w:type="dxa"/>
            <w:gridSpan w:val="2"/>
            <w:tcBorders>
              <w:top w:val="single" w:sz="4" w:space="0" w:color="auto"/>
              <w:left w:val="nil"/>
              <w:bottom w:val="single" w:sz="4" w:space="0" w:color="auto"/>
              <w:right w:val="single" w:sz="4" w:space="0" w:color="auto"/>
            </w:tcBorders>
            <w:shd w:val="clear" w:color="auto" w:fill="BDD7EE"/>
            <w:vAlign w:val="center"/>
            <w:hideMark/>
          </w:tcPr>
          <w:p w14:paraId="107F5991"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Orientačný harmonogram dokončenia </w:t>
            </w:r>
          </w:p>
        </w:tc>
        <w:tc>
          <w:tcPr>
            <w:tcW w:w="415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09BB90A" w14:textId="5F89560F"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Opis každého míľnika</w:t>
            </w:r>
            <w:r w:rsidR="00083739" w:rsidRPr="00083739">
              <w:rPr>
                <w:rFonts w:cs="Times New Roman"/>
                <w:noProof/>
                <w:lang w:val="sk-SK"/>
              </w:rPr>
              <w:t xml:space="preserve"> a </w:t>
            </w:r>
            <w:r w:rsidRPr="00083739">
              <w:rPr>
                <w:rFonts w:cs="Times New Roman"/>
                <w:noProof/>
                <w:lang w:val="sk-SK"/>
              </w:rPr>
              <w:t>cieľa</w:t>
            </w:r>
          </w:p>
        </w:tc>
      </w:tr>
      <w:tr w:rsidR="002D49B0" w:rsidRPr="00083739" w14:paraId="1FA0DE13" w14:textId="77777777">
        <w:trPr>
          <w:trHeight w:val="512"/>
          <w:tblHeader/>
          <w:jc w:val="center"/>
        </w:trPr>
        <w:tc>
          <w:tcPr>
            <w:tcW w:w="1116" w:type="dxa"/>
            <w:vMerge/>
            <w:tcBorders>
              <w:top w:val="single" w:sz="4" w:space="0" w:color="auto"/>
              <w:left w:val="single" w:sz="4" w:space="0" w:color="auto"/>
              <w:bottom w:val="single" w:sz="4" w:space="0" w:color="auto"/>
              <w:right w:val="single" w:sz="4" w:space="0" w:color="auto"/>
            </w:tcBorders>
            <w:vAlign w:val="center"/>
            <w:hideMark/>
          </w:tcPr>
          <w:p w14:paraId="052BBA43"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797" w:type="dxa"/>
            <w:vMerge/>
            <w:tcBorders>
              <w:top w:val="single" w:sz="4" w:space="0" w:color="auto"/>
              <w:left w:val="single" w:sz="4" w:space="0" w:color="auto"/>
              <w:bottom w:val="single" w:sz="4" w:space="0" w:color="auto"/>
              <w:right w:val="single" w:sz="4" w:space="0" w:color="auto"/>
            </w:tcBorders>
            <w:vAlign w:val="center"/>
            <w:hideMark/>
          </w:tcPr>
          <w:p w14:paraId="79954386"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099" w:type="dxa"/>
            <w:vMerge/>
            <w:tcBorders>
              <w:top w:val="single" w:sz="4" w:space="0" w:color="auto"/>
              <w:left w:val="single" w:sz="4" w:space="0" w:color="auto"/>
              <w:bottom w:val="single" w:sz="4" w:space="0" w:color="auto"/>
              <w:right w:val="single" w:sz="4" w:space="0" w:color="auto"/>
            </w:tcBorders>
            <w:vAlign w:val="center"/>
            <w:hideMark/>
          </w:tcPr>
          <w:p w14:paraId="6E4C6BCE"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365" w:type="dxa"/>
            <w:vMerge/>
            <w:tcBorders>
              <w:top w:val="single" w:sz="4" w:space="0" w:color="auto"/>
              <w:left w:val="single" w:sz="4" w:space="0" w:color="auto"/>
              <w:bottom w:val="single" w:sz="4" w:space="0" w:color="auto"/>
              <w:right w:val="single" w:sz="4" w:space="0" w:color="auto"/>
            </w:tcBorders>
            <w:vAlign w:val="center"/>
            <w:hideMark/>
          </w:tcPr>
          <w:p w14:paraId="04D0AF0E"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471" w:type="dxa"/>
            <w:vMerge/>
            <w:tcBorders>
              <w:top w:val="single" w:sz="4" w:space="0" w:color="auto"/>
              <w:left w:val="single" w:sz="4" w:space="0" w:color="auto"/>
              <w:bottom w:val="single" w:sz="4" w:space="0" w:color="auto"/>
              <w:right w:val="single" w:sz="4" w:space="0" w:color="auto"/>
            </w:tcBorders>
            <w:vAlign w:val="center"/>
            <w:hideMark/>
          </w:tcPr>
          <w:p w14:paraId="54D8713E"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135"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0E7D4A77"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Merná jednotka</w:t>
            </w:r>
          </w:p>
        </w:tc>
        <w:tc>
          <w:tcPr>
            <w:tcW w:w="924"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779E8321"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Základná </w:t>
            </w:r>
          </w:p>
        </w:tc>
        <w:tc>
          <w:tcPr>
            <w:tcW w:w="896"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17198945"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Cieľ </w:t>
            </w:r>
          </w:p>
        </w:tc>
        <w:tc>
          <w:tcPr>
            <w:tcW w:w="846"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49B3CE58"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Štvrtina</w:t>
            </w:r>
          </w:p>
        </w:tc>
        <w:tc>
          <w:tcPr>
            <w:tcW w:w="783"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11FFDB3E"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Rok</w:t>
            </w:r>
          </w:p>
        </w:tc>
        <w:tc>
          <w:tcPr>
            <w:tcW w:w="4156" w:type="dxa"/>
            <w:vMerge/>
            <w:tcBorders>
              <w:top w:val="single" w:sz="4" w:space="0" w:color="auto"/>
              <w:bottom w:val="single" w:sz="4" w:space="0" w:color="auto"/>
              <w:right w:val="single" w:sz="4" w:space="0" w:color="auto"/>
            </w:tcBorders>
            <w:vAlign w:val="center"/>
            <w:hideMark/>
          </w:tcPr>
          <w:p w14:paraId="1F8A81C3"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r>
      <w:tr w:rsidR="002D49B0" w:rsidRPr="00083739" w14:paraId="57B191D2" w14:textId="77777777">
        <w:trPr>
          <w:trHeight w:val="309"/>
          <w:jc w:val="center"/>
        </w:trPr>
        <w:tc>
          <w:tcPr>
            <w:tcW w:w="1116" w:type="dxa"/>
            <w:tcBorders>
              <w:top w:val="single" w:sz="4" w:space="0" w:color="auto"/>
              <w:left w:val="single" w:sz="4" w:space="0" w:color="auto"/>
              <w:bottom w:val="single" w:sz="4" w:space="0" w:color="auto"/>
              <w:right w:val="single" w:sz="4" w:space="0" w:color="auto"/>
            </w:tcBorders>
            <w:shd w:val="clear" w:color="auto" w:fill="C6EFCE"/>
            <w:noWrap/>
          </w:tcPr>
          <w:p w14:paraId="7974364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141</w:t>
            </w:r>
          </w:p>
        </w:tc>
        <w:tc>
          <w:tcPr>
            <w:tcW w:w="1797" w:type="dxa"/>
            <w:tcBorders>
              <w:top w:val="single" w:sz="4" w:space="0" w:color="auto"/>
              <w:left w:val="nil"/>
              <w:bottom w:val="single" w:sz="4" w:space="0" w:color="auto"/>
              <w:right w:val="single" w:sz="4" w:space="0" w:color="auto"/>
            </w:tcBorders>
            <w:shd w:val="clear" w:color="auto" w:fill="C6EFCE"/>
            <w:noWrap/>
          </w:tcPr>
          <w:p w14:paraId="7A52FE2F" w14:textId="1CA25123"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8 – 3.1. Podpora vytvárania pracovných miest</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účasti na trhu práce – 16941_Reštrukturalizácia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zmena značky miestnych VSZ DYPA (KPA2)</w:t>
            </w:r>
          </w:p>
        </w:tc>
        <w:tc>
          <w:tcPr>
            <w:tcW w:w="1099" w:type="dxa"/>
            <w:tcBorders>
              <w:top w:val="single" w:sz="4" w:space="0" w:color="auto"/>
              <w:left w:val="nil"/>
              <w:bottom w:val="single" w:sz="4" w:space="0" w:color="auto"/>
              <w:right w:val="single" w:sz="4" w:space="0" w:color="auto"/>
            </w:tcBorders>
            <w:shd w:val="clear" w:color="auto" w:fill="C6EFCE"/>
            <w:noWrap/>
          </w:tcPr>
          <w:p w14:paraId="5CEE3A7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65" w:type="dxa"/>
            <w:tcBorders>
              <w:top w:val="single" w:sz="4" w:space="0" w:color="auto"/>
              <w:left w:val="nil"/>
              <w:bottom w:val="single" w:sz="4" w:space="0" w:color="auto"/>
              <w:right w:val="single" w:sz="4" w:space="0" w:color="auto"/>
            </w:tcBorders>
            <w:shd w:val="clear" w:color="auto" w:fill="C6EFCE"/>
            <w:noWrap/>
          </w:tcPr>
          <w:p w14:paraId="3A4709D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Nadobudnutie účinnosti právnych predpisov DYPA </w:t>
            </w:r>
          </w:p>
        </w:tc>
        <w:tc>
          <w:tcPr>
            <w:tcW w:w="1471" w:type="dxa"/>
            <w:tcBorders>
              <w:top w:val="single" w:sz="4" w:space="0" w:color="auto"/>
              <w:left w:val="nil"/>
              <w:bottom w:val="single" w:sz="4" w:space="0" w:color="auto"/>
              <w:right w:val="single" w:sz="4" w:space="0" w:color="auto"/>
            </w:tcBorders>
            <w:shd w:val="clear" w:color="auto" w:fill="C6EFCE"/>
            <w:noWrap/>
          </w:tcPr>
          <w:p w14:paraId="5251E9B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Nadobudnutie účinnosti právnych predpisov. </w:t>
            </w:r>
          </w:p>
        </w:tc>
        <w:tc>
          <w:tcPr>
            <w:tcW w:w="1135" w:type="dxa"/>
            <w:tcBorders>
              <w:top w:val="single" w:sz="4" w:space="0" w:color="auto"/>
              <w:left w:val="nil"/>
              <w:bottom w:val="single" w:sz="4" w:space="0" w:color="auto"/>
              <w:right w:val="single" w:sz="4" w:space="0" w:color="auto"/>
            </w:tcBorders>
            <w:shd w:val="clear" w:color="auto" w:fill="C6EFCE"/>
            <w:noWrap/>
          </w:tcPr>
          <w:p w14:paraId="2B80763D"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24" w:type="dxa"/>
            <w:tcBorders>
              <w:top w:val="single" w:sz="4" w:space="0" w:color="auto"/>
              <w:left w:val="nil"/>
              <w:bottom w:val="single" w:sz="4" w:space="0" w:color="auto"/>
              <w:right w:val="single" w:sz="4" w:space="0" w:color="auto"/>
            </w:tcBorders>
            <w:shd w:val="clear" w:color="auto" w:fill="C6EFCE"/>
            <w:noWrap/>
          </w:tcPr>
          <w:p w14:paraId="7A44CAB0"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96" w:type="dxa"/>
            <w:tcBorders>
              <w:top w:val="single" w:sz="4" w:space="0" w:color="auto"/>
              <w:left w:val="nil"/>
              <w:bottom w:val="single" w:sz="4" w:space="0" w:color="auto"/>
              <w:right w:val="single" w:sz="4" w:space="0" w:color="auto"/>
            </w:tcBorders>
            <w:shd w:val="clear" w:color="auto" w:fill="C6EFCE"/>
            <w:noWrap/>
          </w:tcPr>
          <w:p w14:paraId="3C20BB8C"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6" w:type="dxa"/>
            <w:tcBorders>
              <w:top w:val="single" w:sz="4" w:space="0" w:color="auto"/>
              <w:left w:val="nil"/>
              <w:bottom w:val="single" w:sz="4" w:space="0" w:color="auto"/>
              <w:right w:val="single" w:sz="4" w:space="0" w:color="auto"/>
            </w:tcBorders>
            <w:shd w:val="clear" w:color="auto" w:fill="C6EFCE"/>
            <w:noWrap/>
          </w:tcPr>
          <w:p w14:paraId="4EC7BC3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TRETÍ ŠTVRŤROK</w:t>
            </w:r>
          </w:p>
        </w:tc>
        <w:tc>
          <w:tcPr>
            <w:tcW w:w="783" w:type="dxa"/>
            <w:tcBorders>
              <w:top w:val="single" w:sz="4" w:space="0" w:color="auto"/>
              <w:left w:val="nil"/>
              <w:bottom w:val="single" w:sz="4" w:space="0" w:color="auto"/>
              <w:right w:val="single" w:sz="4" w:space="0" w:color="auto"/>
            </w:tcBorders>
            <w:shd w:val="clear" w:color="auto" w:fill="C6EFCE"/>
            <w:noWrap/>
          </w:tcPr>
          <w:p w14:paraId="5F8C08A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2021</w:t>
            </w:r>
          </w:p>
        </w:tc>
        <w:tc>
          <w:tcPr>
            <w:tcW w:w="4156" w:type="dxa"/>
            <w:tcBorders>
              <w:top w:val="single" w:sz="4" w:space="0" w:color="auto"/>
              <w:left w:val="nil"/>
              <w:bottom w:val="single" w:sz="4" w:space="0" w:color="auto"/>
              <w:right w:val="single" w:sz="4" w:space="0" w:color="auto"/>
            </w:tcBorders>
            <w:shd w:val="clear" w:color="auto" w:fill="C6EFCE"/>
            <w:noWrap/>
          </w:tcPr>
          <w:p w14:paraId="1A33FE5A" w14:textId="349200CB"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organizačnej reformy Helénskej organizácie pre zamestnanosť pracovníkov (DYPA), reštrukturalizácia, renovácia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zmena značky jej miestnych verejných služieb zamestnanosti</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cieľom zlepšiť kvalitu, kapacitu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účinnosť ponúkaných služieb.</w:t>
            </w:r>
          </w:p>
        </w:tc>
      </w:tr>
      <w:tr w:rsidR="002D49B0" w:rsidRPr="00083739" w14:paraId="68E841AD" w14:textId="77777777">
        <w:trPr>
          <w:trHeight w:val="309"/>
          <w:jc w:val="center"/>
        </w:trPr>
        <w:tc>
          <w:tcPr>
            <w:tcW w:w="1116" w:type="dxa"/>
            <w:tcBorders>
              <w:top w:val="nil"/>
              <w:left w:val="single" w:sz="4" w:space="0" w:color="auto"/>
              <w:bottom w:val="single" w:sz="4" w:space="0" w:color="auto"/>
              <w:right w:val="single" w:sz="4" w:space="0" w:color="auto"/>
            </w:tcBorders>
            <w:shd w:val="clear" w:color="auto" w:fill="C6EFCE"/>
            <w:noWrap/>
          </w:tcPr>
          <w:p w14:paraId="5233F7E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141a</w:t>
            </w:r>
          </w:p>
        </w:tc>
        <w:tc>
          <w:tcPr>
            <w:tcW w:w="1797" w:type="dxa"/>
            <w:tcBorders>
              <w:top w:val="nil"/>
              <w:left w:val="nil"/>
              <w:bottom w:val="single" w:sz="4" w:space="0" w:color="auto"/>
              <w:right w:val="single" w:sz="4" w:space="0" w:color="auto"/>
            </w:tcBorders>
            <w:shd w:val="clear" w:color="auto" w:fill="C6EFCE"/>
            <w:noWrap/>
          </w:tcPr>
          <w:p w14:paraId="2EBB7314" w14:textId="1947860B"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8 – 3.1. Podpora vytvárania pracovných miest</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účasti na trhu práce – 16941_Reštrukturalizácia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premena miestnych </w:t>
            </w:r>
            <w:r w:rsidRPr="00083739">
              <w:rPr>
                <w:rFonts w:ascii="Times New Roman" w:hAnsi="Times New Roman" w:cs="Times New Roman"/>
                <w:noProof/>
                <w:lang w:val="sk-SK"/>
              </w:rPr>
              <w:t>pobočiek DYPA na podporu zamestnanosti (KPA2)</w:t>
            </w:r>
          </w:p>
        </w:tc>
        <w:tc>
          <w:tcPr>
            <w:tcW w:w="1099" w:type="dxa"/>
            <w:tcBorders>
              <w:top w:val="nil"/>
              <w:left w:val="nil"/>
              <w:bottom w:val="single" w:sz="4" w:space="0" w:color="auto"/>
              <w:right w:val="single" w:sz="4" w:space="0" w:color="auto"/>
            </w:tcBorders>
            <w:shd w:val="clear" w:color="auto" w:fill="C6EFCE"/>
            <w:noWrap/>
          </w:tcPr>
          <w:p w14:paraId="683A854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65" w:type="dxa"/>
            <w:tcBorders>
              <w:top w:val="nil"/>
              <w:left w:val="nil"/>
              <w:bottom w:val="single" w:sz="4" w:space="0" w:color="auto"/>
              <w:right w:val="single" w:sz="4" w:space="0" w:color="auto"/>
            </w:tcBorders>
            <w:shd w:val="clear" w:color="auto" w:fill="C6EFCE"/>
            <w:noWrap/>
          </w:tcPr>
          <w:p w14:paraId="2817EBC8" w14:textId="31879FCB"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Renovácia KPA2, komunikačná stratégia, kontrola kvality služieb zákazníkom, nové formy profilovania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poradenských služieb.</w:t>
            </w:r>
          </w:p>
        </w:tc>
        <w:tc>
          <w:tcPr>
            <w:tcW w:w="1471" w:type="dxa"/>
            <w:tcBorders>
              <w:top w:val="nil"/>
              <w:left w:val="nil"/>
              <w:bottom w:val="single" w:sz="4" w:space="0" w:color="auto"/>
              <w:right w:val="single" w:sz="4" w:space="0" w:color="auto"/>
            </w:tcBorders>
            <w:shd w:val="clear" w:color="auto" w:fill="C6EFCE"/>
            <w:noWrap/>
          </w:tcPr>
          <w:p w14:paraId="38BD1C3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Správa DYPA potvrdzujúca dokončenie projektov a, b, c, d.</w:t>
            </w:r>
          </w:p>
        </w:tc>
        <w:tc>
          <w:tcPr>
            <w:tcW w:w="1135" w:type="dxa"/>
            <w:tcBorders>
              <w:top w:val="nil"/>
              <w:left w:val="nil"/>
              <w:bottom w:val="single" w:sz="4" w:space="0" w:color="auto"/>
              <w:right w:val="single" w:sz="4" w:space="0" w:color="auto"/>
            </w:tcBorders>
            <w:shd w:val="clear" w:color="auto" w:fill="C6EFCE"/>
            <w:noWrap/>
          </w:tcPr>
          <w:p w14:paraId="49F04B89"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24" w:type="dxa"/>
            <w:tcBorders>
              <w:top w:val="nil"/>
              <w:left w:val="nil"/>
              <w:bottom w:val="single" w:sz="4" w:space="0" w:color="auto"/>
              <w:right w:val="single" w:sz="4" w:space="0" w:color="auto"/>
            </w:tcBorders>
            <w:shd w:val="clear" w:color="auto" w:fill="C6EFCE"/>
            <w:noWrap/>
          </w:tcPr>
          <w:p w14:paraId="228EB3A4"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96" w:type="dxa"/>
            <w:tcBorders>
              <w:top w:val="nil"/>
              <w:left w:val="nil"/>
              <w:bottom w:val="single" w:sz="4" w:space="0" w:color="auto"/>
              <w:right w:val="single" w:sz="4" w:space="0" w:color="auto"/>
            </w:tcBorders>
            <w:shd w:val="clear" w:color="auto" w:fill="C6EFCE"/>
            <w:noWrap/>
          </w:tcPr>
          <w:p w14:paraId="578E717E"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6" w:type="dxa"/>
            <w:tcBorders>
              <w:top w:val="nil"/>
              <w:left w:val="nil"/>
              <w:bottom w:val="single" w:sz="4" w:space="0" w:color="auto"/>
              <w:right w:val="single" w:sz="4" w:space="0" w:color="auto"/>
            </w:tcBorders>
            <w:shd w:val="clear" w:color="auto" w:fill="C6EFCE"/>
            <w:noWrap/>
          </w:tcPr>
          <w:p w14:paraId="0EA4E39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83" w:type="dxa"/>
            <w:tcBorders>
              <w:top w:val="nil"/>
              <w:left w:val="nil"/>
              <w:bottom w:val="single" w:sz="4" w:space="0" w:color="auto"/>
              <w:right w:val="single" w:sz="4" w:space="0" w:color="auto"/>
            </w:tcBorders>
            <w:shd w:val="clear" w:color="auto" w:fill="C6EFCE"/>
            <w:noWrap/>
          </w:tcPr>
          <w:p w14:paraId="66BBD22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4156" w:type="dxa"/>
            <w:tcBorders>
              <w:top w:val="nil"/>
              <w:left w:val="nil"/>
              <w:bottom w:val="single" w:sz="4" w:space="0" w:color="auto"/>
              <w:right w:val="single" w:sz="4" w:space="0" w:color="auto"/>
            </w:tcBorders>
            <w:shd w:val="clear" w:color="auto" w:fill="C6EFCE"/>
            <w:noWrap/>
          </w:tcPr>
          <w:p w14:paraId="3EC73225" w14:textId="77777777"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Dokončenie týchto projektov</w:t>
            </w:r>
            <w:r w:rsidR="00083739" w:rsidRPr="00083739">
              <w:rPr>
                <w:rFonts w:ascii="Times New Roman" w:hAnsi="Times New Roman" w:cs="Times New Roman"/>
                <w:noProof/>
                <w:lang w:val="sk-SK"/>
              </w:rPr>
              <w:t>:</w:t>
            </w:r>
          </w:p>
          <w:p w14:paraId="4E39BE1C" w14:textId="0AB61724"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a) prepracovanie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renovácia budov 40 miestnych pobočiek DYPA na podporu zamestnanosti (KPA2)</w:t>
            </w:r>
            <w:r w:rsidR="00083739" w:rsidRPr="00083739">
              <w:rPr>
                <w:rFonts w:ascii="Times New Roman" w:hAnsi="Times New Roman" w:cs="Times New Roman"/>
                <w:noProof/>
                <w:lang w:val="sk-SK"/>
              </w:rPr>
              <w:t>;</w:t>
            </w:r>
          </w:p>
          <w:p w14:paraId="487A398D" w14:textId="77777777"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b) vykonávanie novej komunikačnej stratégie DYPA</w:t>
            </w:r>
            <w:r w:rsidR="00083739" w:rsidRPr="00083739">
              <w:rPr>
                <w:rFonts w:ascii="Times New Roman" w:hAnsi="Times New Roman" w:cs="Times New Roman"/>
                <w:noProof/>
                <w:lang w:val="sk-SK"/>
              </w:rPr>
              <w:t>;</w:t>
            </w:r>
          </w:p>
          <w:p w14:paraId="2ED74EEA" w14:textId="4EB80D06"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 xml:space="preserve">C) zlepšenie mechanizmov kontroly kvality služieb zákazníkom prostredníctvom </w:t>
            </w:r>
            <w:r w:rsidRPr="00083739">
              <w:rPr>
                <w:rFonts w:ascii="Times New Roman" w:hAnsi="Times New Roman" w:cs="Times New Roman"/>
                <w:noProof/>
                <w:lang w:val="sk-SK"/>
              </w:rPr>
              <w:t>merania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monitorovania aspektov účinnosti, efektívnosti, produktivity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spokojnosti zákazníkov</w:t>
            </w:r>
            <w:r w:rsidR="00083739" w:rsidRPr="00083739">
              <w:rPr>
                <w:rFonts w:ascii="Times New Roman" w:hAnsi="Times New Roman" w:cs="Times New Roman"/>
                <w:noProof/>
                <w:lang w:val="sk-SK"/>
              </w:rPr>
              <w:t>;</w:t>
            </w:r>
          </w:p>
          <w:p w14:paraId="67A9672E" w14:textId="5D00A27A"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 Zavedenie nových foriem profilovania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poradenských služieb.</w:t>
            </w:r>
          </w:p>
        </w:tc>
      </w:tr>
      <w:tr w:rsidR="002D49B0" w:rsidRPr="00083739" w14:paraId="36795586" w14:textId="77777777">
        <w:trPr>
          <w:trHeight w:val="309"/>
          <w:jc w:val="center"/>
        </w:trPr>
        <w:tc>
          <w:tcPr>
            <w:tcW w:w="1116" w:type="dxa"/>
            <w:tcBorders>
              <w:top w:val="nil"/>
              <w:left w:val="single" w:sz="4" w:space="0" w:color="auto"/>
              <w:bottom w:val="single" w:sz="4" w:space="0" w:color="auto"/>
              <w:right w:val="single" w:sz="4" w:space="0" w:color="auto"/>
            </w:tcBorders>
            <w:shd w:val="clear" w:color="auto" w:fill="C6EFCE"/>
            <w:noWrap/>
          </w:tcPr>
          <w:p w14:paraId="312C6E4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142</w:t>
            </w:r>
          </w:p>
        </w:tc>
        <w:tc>
          <w:tcPr>
            <w:tcW w:w="1797" w:type="dxa"/>
            <w:tcBorders>
              <w:top w:val="nil"/>
              <w:left w:val="nil"/>
              <w:bottom w:val="single" w:sz="4" w:space="0" w:color="auto"/>
              <w:right w:val="single" w:sz="4" w:space="0" w:color="auto"/>
            </w:tcBorders>
            <w:shd w:val="clear" w:color="auto" w:fill="C6EFCE"/>
            <w:noWrap/>
          </w:tcPr>
          <w:p w14:paraId="108E7661" w14:textId="735036FB"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8 – 3.1. Podpora vytvárania pracovných miest</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účasti na trhu práce – 16746_Reforma </w:t>
            </w:r>
            <w:r w:rsidRPr="00083739">
              <w:rPr>
                <w:rFonts w:ascii="Times New Roman" w:hAnsi="Times New Roman" w:cs="Times New Roman"/>
                <w:noProof/>
                <w:lang w:val="sk-SK"/>
              </w:rPr>
              <w:t>pasívnych politík trhu práce na podporu prechodu do zamestnania</w:t>
            </w:r>
          </w:p>
        </w:tc>
        <w:tc>
          <w:tcPr>
            <w:tcW w:w="1099" w:type="dxa"/>
            <w:tcBorders>
              <w:top w:val="nil"/>
              <w:left w:val="nil"/>
              <w:bottom w:val="single" w:sz="4" w:space="0" w:color="auto"/>
              <w:right w:val="single" w:sz="4" w:space="0" w:color="auto"/>
            </w:tcBorders>
            <w:shd w:val="clear" w:color="auto" w:fill="C6EFCE"/>
            <w:noWrap/>
          </w:tcPr>
          <w:p w14:paraId="446014A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65" w:type="dxa"/>
            <w:tcBorders>
              <w:top w:val="nil"/>
              <w:left w:val="nil"/>
              <w:bottom w:val="single" w:sz="4" w:space="0" w:color="auto"/>
              <w:right w:val="single" w:sz="4" w:space="0" w:color="auto"/>
            </w:tcBorders>
            <w:shd w:val="clear" w:color="auto" w:fill="C6EFCE"/>
            <w:noWrap/>
          </w:tcPr>
          <w:p w14:paraId="3504DAA1" w14:textId="77777777" w:rsidR="002D49B0" w:rsidRPr="00083739" w:rsidRDefault="00BF4125">
            <w:pPr>
              <w:pStyle w:val="P68B1DB1-Normal9"/>
              <w:spacing w:after="0" w:line="240" w:lineRule="auto"/>
              <w:rPr>
                <w:rFonts w:ascii="Times New Roman" w:eastAsia="Times New Roman" w:hAnsi="Times New Roman" w:cs="Times New Roman"/>
                <w:noProof/>
                <w:szCs w:val="18"/>
                <w:highlight w:val="yellow"/>
                <w:lang w:val="sk-SK"/>
              </w:rPr>
            </w:pPr>
            <w:r w:rsidRPr="00083739">
              <w:rPr>
                <w:rFonts w:ascii="Times New Roman" w:hAnsi="Times New Roman" w:cs="Times New Roman"/>
                <w:noProof/>
                <w:lang w:val="sk-SK"/>
              </w:rPr>
              <w:t xml:space="preserve">Reforma rámca vzájomných záväzkov nadobudnutie účinnosti právnych predpisov </w:t>
            </w:r>
          </w:p>
        </w:tc>
        <w:tc>
          <w:tcPr>
            <w:tcW w:w="1471" w:type="dxa"/>
            <w:tcBorders>
              <w:top w:val="nil"/>
              <w:left w:val="nil"/>
              <w:bottom w:val="single" w:sz="4" w:space="0" w:color="auto"/>
              <w:right w:val="single" w:sz="4" w:space="0" w:color="auto"/>
            </w:tcBorders>
            <w:shd w:val="clear" w:color="auto" w:fill="C6EFCE"/>
            <w:noWrap/>
          </w:tcPr>
          <w:p w14:paraId="1644206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právnych predpisov.</w:t>
            </w:r>
          </w:p>
        </w:tc>
        <w:tc>
          <w:tcPr>
            <w:tcW w:w="1135" w:type="dxa"/>
            <w:tcBorders>
              <w:top w:val="nil"/>
              <w:left w:val="nil"/>
              <w:bottom w:val="single" w:sz="4" w:space="0" w:color="auto"/>
              <w:right w:val="single" w:sz="4" w:space="0" w:color="auto"/>
            </w:tcBorders>
            <w:shd w:val="clear" w:color="auto" w:fill="C6EFCE"/>
            <w:noWrap/>
          </w:tcPr>
          <w:p w14:paraId="4E9C58C0"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24" w:type="dxa"/>
            <w:tcBorders>
              <w:top w:val="nil"/>
              <w:left w:val="nil"/>
              <w:bottom w:val="single" w:sz="4" w:space="0" w:color="auto"/>
              <w:right w:val="single" w:sz="4" w:space="0" w:color="auto"/>
            </w:tcBorders>
            <w:shd w:val="clear" w:color="auto" w:fill="C6EFCE"/>
            <w:noWrap/>
          </w:tcPr>
          <w:p w14:paraId="5F059A36"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96" w:type="dxa"/>
            <w:tcBorders>
              <w:top w:val="nil"/>
              <w:left w:val="nil"/>
              <w:bottom w:val="single" w:sz="4" w:space="0" w:color="auto"/>
              <w:right w:val="single" w:sz="4" w:space="0" w:color="auto"/>
            </w:tcBorders>
            <w:shd w:val="clear" w:color="auto" w:fill="C6EFCE"/>
            <w:noWrap/>
          </w:tcPr>
          <w:p w14:paraId="74F9E8FF"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6" w:type="dxa"/>
            <w:tcBorders>
              <w:top w:val="nil"/>
              <w:left w:val="nil"/>
              <w:bottom w:val="single" w:sz="4" w:space="0" w:color="auto"/>
              <w:right w:val="single" w:sz="4" w:space="0" w:color="auto"/>
            </w:tcBorders>
            <w:shd w:val="clear" w:color="auto" w:fill="C6EFCE"/>
            <w:noWrap/>
          </w:tcPr>
          <w:p w14:paraId="326C879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TRETÍ ŠTVRŤROK</w:t>
            </w:r>
          </w:p>
        </w:tc>
        <w:tc>
          <w:tcPr>
            <w:tcW w:w="783" w:type="dxa"/>
            <w:tcBorders>
              <w:top w:val="nil"/>
              <w:left w:val="nil"/>
              <w:bottom w:val="single" w:sz="4" w:space="0" w:color="auto"/>
              <w:right w:val="single" w:sz="4" w:space="0" w:color="auto"/>
            </w:tcBorders>
            <w:shd w:val="clear" w:color="auto" w:fill="C6EFCE"/>
            <w:noWrap/>
          </w:tcPr>
          <w:p w14:paraId="089B20A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2022</w:t>
            </w:r>
          </w:p>
        </w:tc>
        <w:tc>
          <w:tcPr>
            <w:tcW w:w="4156" w:type="dxa"/>
            <w:tcBorders>
              <w:top w:val="nil"/>
              <w:left w:val="nil"/>
              <w:bottom w:val="single" w:sz="4" w:space="0" w:color="auto"/>
              <w:right w:val="single" w:sz="4" w:space="0" w:color="auto"/>
            </w:tcBorders>
            <w:shd w:val="clear" w:color="auto" w:fill="C6EFCE"/>
            <w:noWrap/>
          </w:tcPr>
          <w:p w14:paraId="424043E4" w14:textId="7A035086"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Nadobudnutie účinnosti právnych predpisov </w:t>
            </w:r>
            <w:r w:rsidRPr="00083739">
              <w:rPr>
                <w:rFonts w:ascii="Times New Roman" w:hAnsi="Times New Roman" w:cs="Times New Roman"/>
                <w:noProof/>
                <w:lang w:val="sk-SK"/>
              </w:rPr>
              <w:t>na reformu rámca vzájomných záväzkov,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ktorom sa stanovuje vzťah medzi verejnými službami zamestnanosti (VSZ)</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uchádzačom</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zamestnanie. Reforma bude okrem iného zahŕňať nové vymedzenie aktívneho hľadania zamestnania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sankcie pre nezamestnaných, ktorí n</w:t>
            </w:r>
            <w:r w:rsidRPr="00083739">
              <w:rPr>
                <w:rFonts w:ascii="Times New Roman" w:hAnsi="Times New Roman" w:cs="Times New Roman"/>
                <w:noProof/>
                <w:lang w:val="sk-SK"/>
              </w:rPr>
              <w:t>ové pravidlá nedodržiavajú.</w:t>
            </w:r>
          </w:p>
        </w:tc>
      </w:tr>
      <w:tr w:rsidR="002D49B0" w:rsidRPr="00083739" w14:paraId="4C78AAD2" w14:textId="77777777">
        <w:trPr>
          <w:trHeight w:val="309"/>
          <w:jc w:val="center"/>
        </w:trPr>
        <w:tc>
          <w:tcPr>
            <w:tcW w:w="1116" w:type="dxa"/>
            <w:tcBorders>
              <w:top w:val="nil"/>
              <w:left w:val="single" w:sz="4" w:space="0" w:color="auto"/>
              <w:bottom w:val="single" w:sz="4" w:space="0" w:color="auto"/>
              <w:right w:val="single" w:sz="4" w:space="0" w:color="auto"/>
            </w:tcBorders>
            <w:shd w:val="clear" w:color="auto" w:fill="C6EFCE"/>
            <w:noWrap/>
          </w:tcPr>
          <w:p w14:paraId="67D2CB65" w14:textId="77777777"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142a</w:t>
            </w:r>
          </w:p>
        </w:tc>
        <w:tc>
          <w:tcPr>
            <w:tcW w:w="1797" w:type="dxa"/>
            <w:tcBorders>
              <w:top w:val="nil"/>
              <w:left w:val="nil"/>
              <w:bottom w:val="single" w:sz="4" w:space="0" w:color="auto"/>
              <w:right w:val="single" w:sz="4" w:space="0" w:color="auto"/>
            </w:tcBorders>
            <w:shd w:val="clear" w:color="auto" w:fill="C6EFCE"/>
            <w:noWrap/>
          </w:tcPr>
          <w:p w14:paraId="1CD1DA1B" w14:textId="4B484121"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8 – 3.1. Podpora vytvárania pracovných miest</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účasti na trhu práce – 16746_Reforma pasívnych politík trhu práce na podporu prechodu do zamestnania</w:t>
            </w:r>
          </w:p>
        </w:tc>
        <w:tc>
          <w:tcPr>
            <w:tcW w:w="1099" w:type="dxa"/>
            <w:tcBorders>
              <w:top w:val="nil"/>
              <w:left w:val="nil"/>
              <w:bottom w:val="single" w:sz="4" w:space="0" w:color="auto"/>
              <w:right w:val="single" w:sz="4" w:space="0" w:color="auto"/>
            </w:tcBorders>
            <w:shd w:val="clear" w:color="auto" w:fill="C6EFCE"/>
            <w:noWrap/>
          </w:tcPr>
          <w:p w14:paraId="39A8ED5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65" w:type="dxa"/>
            <w:tcBorders>
              <w:top w:val="nil"/>
              <w:left w:val="nil"/>
              <w:bottom w:val="single" w:sz="4" w:space="0" w:color="auto"/>
              <w:right w:val="single" w:sz="4" w:space="0" w:color="auto"/>
            </w:tcBorders>
            <w:shd w:val="clear" w:color="auto" w:fill="C6EFCE"/>
            <w:noWrap/>
          </w:tcPr>
          <w:p w14:paraId="20A4F60C" w14:textId="09A545D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Právne predpisy</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dávkach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dávkach</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 xml:space="preserve">nezamestnanosti </w:t>
            </w:r>
          </w:p>
        </w:tc>
        <w:tc>
          <w:tcPr>
            <w:tcW w:w="1471" w:type="dxa"/>
            <w:tcBorders>
              <w:top w:val="single" w:sz="4" w:space="0" w:color="auto"/>
              <w:left w:val="nil"/>
              <w:bottom w:val="single" w:sz="4" w:space="0" w:color="auto"/>
              <w:right w:val="single" w:sz="4" w:space="0" w:color="auto"/>
            </w:tcBorders>
            <w:shd w:val="clear" w:color="auto" w:fill="C6EFCE"/>
            <w:noWrap/>
          </w:tcPr>
          <w:p w14:paraId="737FF7F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w:t>
            </w:r>
            <w:r w:rsidRPr="00083739">
              <w:rPr>
                <w:rFonts w:ascii="Times New Roman" w:hAnsi="Times New Roman" w:cs="Times New Roman"/>
                <w:noProof/>
                <w:lang w:val="sk-SK"/>
              </w:rPr>
              <w:t xml:space="preserve"> účinnosti právnych predpisov,</w:t>
            </w:r>
          </w:p>
          <w:p w14:paraId="0F595F48" w14:textId="13E7E23D"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135" w:type="dxa"/>
            <w:tcBorders>
              <w:top w:val="nil"/>
              <w:left w:val="nil"/>
              <w:bottom w:val="single" w:sz="4" w:space="0" w:color="auto"/>
              <w:right w:val="single" w:sz="4" w:space="0" w:color="auto"/>
            </w:tcBorders>
            <w:shd w:val="clear" w:color="auto" w:fill="C6EFCE"/>
            <w:noWrap/>
          </w:tcPr>
          <w:p w14:paraId="72A913D0"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24" w:type="dxa"/>
            <w:tcBorders>
              <w:top w:val="nil"/>
              <w:left w:val="nil"/>
              <w:bottom w:val="single" w:sz="4" w:space="0" w:color="auto"/>
              <w:right w:val="single" w:sz="4" w:space="0" w:color="auto"/>
            </w:tcBorders>
            <w:shd w:val="clear" w:color="auto" w:fill="C6EFCE"/>
            <w:noWrap/>
          </w:tcPr>
          <w:p w14:paraId="5B69F76A"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96" w:type="dxa"/>
            <w:tcBorders>
              <w:top w:val="nil"/>
              <w:left w:val="nil"/>
              <w:bottom w:val="single" w:sz="4" w:space="0" w:color="auto"/>
              <w:right w:val="single" w:sz="4" w:space="0" w:color="auto"/>
            </w:tcBorders>
            <w:shd w:val="clear" w:color="auto" w:fill="C6EFCE"/>
            <w:noWrap/>
          </w:tcPr>
          <w:p w14:paraId="0B458A3B"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6" w:type="dxa"/>
            <w:tcBorders>
              <w:top w:val="nil"/>
              <w:left w:val="nil"/>
              <w:bottom w:val="single" w:sz="4" w:space="0" w:color="auto"/>
              <w:right w:val="single" w:sz="4" w:space="0" w:color="auto"/>
            </w:tcBorders>
            <w:shd w:val="clear" w:color="auto" w:fill="C6EFCE"/>
            <w:noWrap/>
          </w:tcPr>
          <w:p w14:paraId="05D4C26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83" w:type="dxa"/>
            <w:tcBorders>
              <w:top w:val="nil"/>
              <w:left w:val="nil"/>
              <w:bottom w:val="single" w:sz="4" w:space="0" w:color="auto"/>
              <w:right w:val="single" w:sz="4" w:space="0" w:color="auto"/>
            </w:tcBorders>
            <w:shd w:val="clear" w:color="auto" w:fill="C6EFCE"/>
            <w:noWrap/>
          </w:tcPr>
          <w:p w14:paraId="4E33333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2024</w:t>
            </w:r>
          </w:p>
        </w:tc>
        <w:tc>
          <w:tcPr>
            <w:tcW w:w="4156" w:type="dxa"/>
            <w:tcBorders>
              <w:top w:val="nil"/>
              <w:left w:val="nil"/>
              <w:bottom w:val="single" w:sz="4" w:space="0" w:color="auto"/>
              <w:right w:val="single" w:sz="4" w:space="0" w:color="auto"/>
            </w:tcBorders>
            <w:shd w:val="clear" w:color="auto" w:fill="C6EFCE"/>
            <w:noWrap/>
          </w:tcPr>
          <w:p w14:paraId="1D400B70" w14:textId="2D66295D" w:rsidR="002D49B0" w:rsidRPr="00083739" w:rsidRDefault="00BF4125">
            <w:pPr>
              <w:pStyle w:val="P68B1DB1-paragraph26"/>
              <w:spacing w:before="0" w:beforeAutospacing="0" w:after="0" w:afterAutospacing="0"/>
              <w:textAlignment w:val="baseline"/>
              <w:rPr>
                <w:rFonts w:ascii="Times New Roman" w:hAnsi="Times New Roman"/>
                <w:noProof/>
                <w:szCs w:val="18"/>
                <w:lang w:val="sk-SK"/>
              </w:rPr>
            </w:pPr>
            <w:r w:rsidRPr="00083739">
              <w:rPr>
                <w:rFonts w:ascii="Times New Roman" w:hAnsi="Times New Roman"/>
                <w:noProof/>
                <w:lang w:val="sk-SK"/>
              </w:rPr>
              <w:t>Nadobudnutie účinnosti právnych predpisov na konsolidáciu</w:t>
            </w:r>
            <w:r w:rsidR="00083739" w:rsidRPr="00083739">
              <w:rPr>
                <w:rFonts w:ascii="Times New Roman" w:hAnsi="Times New Roman"/>
                <w:noProof/>
                <w:lang w:val="sk-SK"/>
              </w:rPr>
              <w:t xml:space="preserve"> a </w:t>
            </w:r>
            <w:r w:rsidRPr="00083739">
              <w:rPr>
                <w:rFonts w:ascii="Times New Roman" w:hAnsi="Times New Roman"/>
                <w:noProof/>
                <w:lang w:val="sk-SK"/>
              </w:rPr>
              <w:t>zefektívnenie dávok</w:t>
            </w:r>
            <w:r w:rsidR="00083739" w:rsidRPr="00083739">
              <w:rPr>
                <w:rFonts w:ascii="Times New Roman" w:hAnsi="Times New Roman"/>
                <w:noProof/>
                <w:lang w:val="sk-SK"/>
              </w:rPr>
              <w:t xml:space="preserve"> v </w:t>
            </w:r>
            <w:r w:rsidRPr="00083739">
              <w:rPr>
                <w:rFonts w:ascii="Times New Roman" w:hAnsi="Times New Roman"/>
                <w:noProof/>
                <w:lang w:val="sk-SK"/>
              </w:rPr>
              <w:t>nezamestnanosti</w:t>
            </w:r>
            <w:r w:rsidR="00083739" w:rsidRPr="00083739">
              <w:rPr>
                <w:rFonts w:ascii="Times New Roman" w:hAnsi="Times New Roman"/>
                <w:noProof/>
                <w:lang w:val="sk-SK"/>
              </w:rPr>
              <w:t xml:space="preserve"> a </w:t>
            </w:r>
            <w:r w:rsidRPr="00083739">
              <w:rPr>
                <w:rFonts w:ascii="Times New Roman" w:hAnsi="Times New Roman"/>
                <w:noProof/>
                <w:lang w:val="sk-SK"/>
              </w:rPr>
              <w:t>príspevkov</w:t>
            </w:r>
            <w:r w:rsidR="00083739" w:rsidRPr="00083739">
              <w:rPr>
                <w:rFonts w:ascii="Times New Roman" w:hAnsi="Times New Roman"/>
                <w:noProof/>
                <w:lang w:val="sk-SK"/>
              </w:rPr>
              <w:t xml:space="preserve"> v </w:t>
            </w:r>
            <w:r w:rsidRPr="00083739">
              <w:rPr>
                <w:rFonts w:ascii="Times New Roman" w:hAnsi="Times New Roman"/>
                <w:noProof/>
                <w:lang w:val="sk-SK"/>
              </w:rPr>
              <w:t>nezamestnanosti</w:t>
            </w:r>
            <w:r w:rsidR="00083739" w:rsidRPr="00083739">
              <w:rPr>
                <w:rFonts w:ascii="Times New Roman" w:hAnsi="Times New Roman"/>
                <w:noProof/>
                <w:lang w:val="sk-SK"/>
              </w:rPr>
              <w:t xml:space="preserve"> s </w:t>
            </w:r>
            <w:r w:rsidRPr="00083739">
              <w:rPr>
                <w:rFonts w:ascii="Times New Roman" w:hAnsi="Times New Roman"/>
                <w:noProof/>
                <w:lang w:val="sk-SK"/>
              </w:rPr>
              <w:t>cieľom zlepšiť efektívnosť verejných výdavkov</w:t>
            </w:r>
            <w:r w:rsidR="00083739" w:rsidRPr="00083739">
              <w:rPr>
                <w:rFonts w:ascii="Times New Roman" w:hAnsi="Times New Roman"/>
                <w:noProof/>
                <w:lang w:val="sk-SK"/>
              </w:rPr>
              <w:t xml:space="preserve"> a </w:t>
            </w:r>
            <w:r w:rsidRPr="00083739">
              <w:rPr>
                <w:rFonts w:ascii="Times New Roman" w:hAnsi="Times New Roman"/>
                <w:noProof/>
                <w:lang w:val="sk-SK"/>
              </w:rPr>
              <w:t>odstrániť faktory, kt</w:t>
            </w:r>
            <w:r w:rsidRPr="00083739">
              <w:rPr>
                <w:rFonts w:ascii="Times New Roman" w:hAnsi="Times New Roman"/>
                <w:noProof/>
                <w:lang w:val="sk-SK"/>
              </w:rPr>
              <w:t>oré odrádzajú nezamestnaných od zvyšovania úrovne zručností/rekvalifikácie,</w:t>
            </w:r>
            <w:r w:rsidR="00083739" w:rsidRPr="00083739">
              <w:rPr>
                <w:rFonts w:ascii="Times New Roman" w:hAnsi="Times New Roman"/>
                <w:noProof/>
                <w:lang w:val="sk-SK"/>
              </w:rPr>
              <w:t xml:space="preserve"> a </w:t>
            </w:r>
            <w:r w:rsidRPr="00083739">
              <w:rPr>
                <w:rFonts w:ascii="Times New Roman" w:hAnsi="Times New Roman"/>
                <w:noProof/>
                <w:lang w:val="sk-SK"/>
              </w:rPr>
              <w:t>to zachovaním ich nároku na dávky</w:t>
            </w:r>
            <w:r w:rsidR="00083739" w:rsidRPr="00083739">
              <w:rPr>
                <w:rFonts w:ascii="Times New Roman" w:hAnsi="Times New Roman"/>
                <w:noProof/>
                <w:lang w:val="sk-SK"/>
              </w:rPr>
              <w:t xml:space="preserve"> v </w:t>
            </w:r>
            <w:r w:rsidRPr="00083739">
              <w:rPr>
                <w:rFonts w:ascii="Times New Roman" w:hAnsi="Times New Roman"/>
                <w:noProof/>
                <w:lang w:val="sk-SK"/>
              </w:rPr>
              <w:t>nezamestnanosti počas účasti na odbornej príprave.</w:t>
            </w:r>
          </w:p>
          <w:p w14:paraId="3D038E58" w14:textId="21F6FFBB" w:rsidR="002D49B0" w:rsidRPr="00083739" w:rsidRDefault="002D49B0">
            <w:pPr>
              <w:pStyle w:val="paragraph"/>
              <w:spacing w:before="0" w:beforeAutospacing="0" w:after="0" w:afterAutospacing="0"/>
              <w:textAlignment w:val="baseline"/>
              <w:rPr>
                <w:noProof/>
                <w:color w:val="006100"/>
                <w:sz w:val="18"/>
                <w:szCs w:val="18"/>
                <w:lang w:val="sk-SK"/>
              </w:rPr>
            </w:pPr>
          </w:p>
        </w:tc>
      </w:tr>
      <w:tr w:rsidR="002D49B0" w:rsidRPr="00083739" w14:paraId="7C1751B5" w14:textId="77777777">
        <w:trPr>
          <w:trHeight w:val="309"/>
          <w:jc w:val="center"/>
        </w:trPr>
        <w:tc>
          <w:tcPr>
            <w:tcW w:w="1116" w:type="dxa"/>
            <w:tcBorders>
              <w:top w:val="single" w:sz="4" w:space="0" w:color="auto"/>
              <w:left w:val="single" w:sz="4" w:space="0" w:color="auto"/>
              <w:bottom w:val="single" w:sz="4" w:space="0" w:color="auto"/>
              <w:right w:val="single" w:sz="4" w:space="0" w:color="auto"/>
            </w:tcBorders>
            <w:shd w:val="clear" w:color="auto" w:fill="C6EFCE"/>
            <w:noWrap/>
          </w:tcPr>
          <w:p w14:paraId="4C3E26DC" w14:textId="77777777"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142b</w:t>
            </w:r>
          </w:p>
        </w:tc>
        <w:tc>
          <w:tcPr>
            <w:tcW w:w="1797" w:type="dxa"/>
            <w:tcBorders>
              <w:top w:val="nil"/>
              <w:left w:val="nil"/>
              <w:bottom w:val="single" w:sz="4" w:space="0" w:color="auto"/>
              <w:right w:val="single" w:sz="4" w:space="0" w:color="auto"/>
            </w:tcBorders>
            <w:shd w:val="clear" w:color="auto" w:fill="C6EFCE"/>
            <w:noWrap/>
          </w:tcPr>
          <w:p w14:paraId="0765A755" w14:textId="12B02A26" w:rsidR="002D49B0" w:rsidRPr="00083739" w:rsidRDefault="00BF4125">
            <w:pPr>
              <w:pStyle w:val="P68B1DB1-Normal10"/>
              <w:spacing w:after="0" w:line="240" w:lineRule="auto"/>
              <w:rPr>
                <w:rFonts w:ascii="Times New Roman" w:hAnsi="Times New Roman" w:cs="Times New Roman"/>
                <w:noProof/>
                <w:lang w:val="sk-SK"/>
              </w:rPr>
            </w:pPr>
            <w:r w:rsidRPr="00083739">
              <w:rPr>
                <w:rFonts w:ascii="Times New Roman" w:hAnsi="Times New Roman" w:cs="Times New Roman"/>
                <w:noProof/>
                <w:lang w:val="sk-SK"/>
              </w:rPr>
              <w:t>8 – 3.1. Podpora vytvárania pracovných miest</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účasti na trhu práce – 16746_Reforma </w:t>
            </w:r>
            <w:r w:rsidRPr="00083739">
              <w:rPr>
                <w:rFonts w:ascii="Times New Roman" w:hAnsi="Times New Roman" w:cs="Times New Roman"/>
                <w:noProof/>
                <w:lang w:val="sk-SK"/>
              </w:rPr>
              <w:t>pasívnych politík trhu práce na podporu prechodu do zamestnania</w:t>
            </w:r>
          </w:p>
        </w:tc>
        <w:tc>
          <w:tcPr>
            <w:tcW w:w="1099" w:type="dxa"/>
            <w:tcBorders>
              <w:top w:val="single" w:sz="4" w:space="0" w:color="auto"/>
              <w:left w:val="nil"/>
              <w:bottom w:val="single" w:sz="4" w:space="0" w:color="auto"/>
              <w:right w:val="single" w:sz="4" w:space="0" w:color="auto"/>
            </w:tcBorders>
            <w:shd w:val="clear" w:color="auto" w:fill="C6EFCE"/>
            <w:noWrap/>
          </w:tcPr>
          <w:p w14:paraId="61D12073" w14:textId="77777777"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Míľnik</w:t>
            </w:r>
          </w:p>
        </w:tc>
        <w:tc>
          <w:tcPr>
            <w:tcW w:w="1365" w:type="dxa"/>
            <w:tcBorders>
              <w:top w:val="single" w:sz="4" w:space="0" w:color="auto"/>
              <w:left w:val="nil"/>
              <w:bottom w:val="single" w:sz="4" w:space="0" w:color="auto"/>
              <w:right w:val="single" w:sz="4" w:space="0" w:color="auto"/>
            </w:tcBorders>
            <w:shd w:val="clear" w:color="auto" w:fill="C6EFCE"/>
            <w:noWrap/>
          </w:tcPr>
          <w:p w14:paraId="2ED6BAF0" w14:textId="3FFCE576"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Pilotný projekt týkajúci sa konsolidácie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zefektívnenia dávok</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nezamestnanosti</w:t>
            </w:r>
          </w:p>
        </w:tc>
        <w:tc>
          <w:tcPr>
            <w:tcW w:w="1471" w:type="dxa"/>
            <w:tcBorders>
              <w:top w:val="single" w:sz="4" w:space="0" w:color="auto"/>
              <w:left w:val="nil"/>
              <w:bottom w:val="single" w:sz="4" w:space="0" w:color="auto"/>
              <w:right w:val="single" w:sz="4" w:space="0" w:color="auto"/>
            </w:tcBorders>
            <w:shd w:val="clear" w:color="auto" w:fill="C6EFCE"/>
            <w:noWrap/>
          </w:tcPr>
          <w:p w14:paraId="7ECE56E2" w14:textId="77777777"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Správa DYPA potvrdzujúca dokončenie pilotného projektu</w:t>
            </w:r>
          </w:p>
        </w:tc>
        <w:tc>
          <w:tcPr>
            <w:tcW w:w="1135" w:type="dxa"/>
            <w:tcBorders>
              <w:top w:val="single" w:sz="4" w:space="0" w:color="auto"/>
              <w:left w:val="nil"/>
              <w:bottom w:val="single" w:sz="4" w:space="0" w:color="auto"/>
              <w:right w:val="single" w:sz="4" w:space="0" w:color="auto"/>
            </w:tcBorders>
            <w:shd w:val="clear" w:color="auto" w:fill="C6EFCE"/>
            <w:noWrap/>
          </w:tcPr>
          <w:p w14:paraId="4CE82A2A"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24" w:type="dxa"/>
            <w:tcBorders>
              <w:top w:val="single" w:sz="4" w:space="0" w:color="auto"/>
              <w:left w:val="nil"/>
              <w:bottom w:val="single" w:sz="4" w:space="0" w:color="auto"/>
              <w:right w:val="single" w:sz="4" w:space="0" w:color="auto"/>
            </w:tcBorders>
            <w:shd w:val="clear" w:color="auto" w:fill="C6EFCE"/>
            <w:noWrap/>
          </w:tcPr>
          <w:p w14:paraId="01A67616"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96" w:type="dxa"/>
            <w:tcBorders>
              <w:top w:val="single" w:sz="4" w:space="0" w:color="auto"/>
              <w:left w:val="nil"/>
              <w:bottom w:val="single" w:sz="4" w:space="0" w:color="auto"/>
              <w:right w:val="single" w:sz="4" w:space="0" w:color="auto"/>
            </w:tcBorders>
            <w:shd w:val="clear" w:color="auto" w:fill="C6EFCE"/>
            <w:noWrap/>
          </w:tcPr>
          <w:p w14:paraId="6A0CE1E3"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6" w:type="dxa"/>
            <w:tcBorders>
              <w:top w:val="single" w:sz="4" w:space="0" w:color="auto"/>
              <w:left w:val="nil"/>
              <w:bottom w:val="single" w:sz="4" w:space="0" w:color="auto"/>
              <w:right w:val="single" w:sz="4" w:space="0" w:color="auto"/>
            </w:tcBorders>
            <w:shd w:val="clear" w:color="auto" w:fill="C6EFCE"/>
            <w:noWrap/>
          </w:tcPr>
          <w:p w14:paraId="0B42AEA4" w14:textId="77777777"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ŠTVRTÝ ŠTVRŤROK</w:t>
            </w:r>
          </w:p>
        </w:tc>
        <w:tc>
          <w:tcPr>
            <w:tcW w:w="783" w:type="dxa"/>
            <w:tcBorders>
              <w:top w:val="single" w:sz="4" w:space="0" w:color="auto"/>
              <w:left w:val="nil"/>
              <w:bottom w:val="single" w:sz="4" w:space="0" w:color="auto"/>
              <w:right w:val="single" w:sz="4" w:space="0" w:color="auto"/>
            </w:tcBorders>
            <w:shd w:val="clear" w:color="auto" w:fill="C6EFCE"/>
            <w:noWrap/>
          </w:tcPr>
          <w:p w14:paraId="18327B1C" w14:textId="77777777"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2025</w:t>
            </w:r>
          </w:p>
        </w:tc>
        <w:tc>
          <w:tcPr>
            <w:tcW w:w="4156" w:type="dxa"/>
            <w:tcBorders>
              <w:top w:val="single" w:sz="4" w:space="0" w:color="auto"/>
              <w:left w:val="nil"/>
              <w:bottom w:val="single" w:sz="4" w:space="0" w:color="auto"/>
              <w:right w:val="single" w:sz="4" w:space="0" w:color="auto"/>
            </w:tcBorders>
            <w:shd w:val="clear" w:color="auto" w:fill="C6EFCE"/>
            <w:noWrap/>
          </w:tcPr>
          <w:p w14:paraId="63A9971E" w14:textId="639B781E" w:rsidR="002D49B0" w:rsidRPr="00083739" w:rsidRDefault="00BF4125">
            <w:pPr>
              <w:pStyle w:val="P68B1DB1-Normal10"/>
              <w:spacing w:after="0" w:line="240" w:lineRule="auto"/>
              <w:rPr>
                <w:rFonts w:ascii="Times New Roman" w:hAnsi="Times New Roman" w:cs="Times New Roman"/>
                <w:noProof/>
                <w:lang w:val="sk-SK"/>
              </w:rPr>
            </w:pPr>
            <w:r w:rsidRPr="00083739">
              <w:rPr>
                <w:rFonts w:ascii="Times New Roman" w:hAnsi="Times New Roman" w:cs="Times New Roman"/>
                <w:noProof/>
                <w:lang w:val="sk-SK"/>
              </w:rPr>
              <w:t>Dokončenie pilotného proj</w:t>
            </w:r>
            <w:r w:rsidRPr="00083739">
              <w:rPr>
                <w:rFonts w:ascii="Times New Roman" w:hAnsi="Times New Roman" w:cs="Times New Roman"/>
                <w:noProof/>
                <w:lang w:val="sk-SK"/>
              </w:rPr>
              <w:t>ektu,</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rámci ktorého sa bude uplatňovať indexácia kombinovaných dávok</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 xml:space="preserve">nezamestnanosti na najnovšiu dennú čistú mzdu. </w:t>
            </w:r>
          </w:p>
        </w:tc>
      </w:tr>
      <w:tr w:rsidR="002D49B0" w:rsidRPr="00083739" w14:paraId="22BB942A" w14:textId="77777777">
        <w:trPr>
          <w:trHeight w:val="309"/>
          <w:jc w:val="center"/>
        </w:trPr>
        <w:tc>
          <w:tcPr>
            <w:tcW w:w="1116" w:type="dxa"/>
            <w:tcBorders>
              <w:top w:val="single" w:sz="4" w:space="0" w:color="auto"/>
              <w:left w:val="single" w:sz="4" w:space="0" w:color="auto"/>
              <w:bottom w:val="single" w:sz="4" w:space="0" w:color="auto"/>
              <w:right w:val="single" w:sz="4" w:space="0" w:color="auto"/>
            </w:tcBorders>
            <w:shd w:val="clear" w:color="auto" w:fill="C6EFCE"/>
            <w:noWrap/>
          </w:tcPr>
          <w:p w14:paraId="25A6779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143</w:t>
            </w:r>
          </w:p>
        </w:tc>
        <w:tc>
          <w:tcPr>
            <w:tcW w:w="1797" w:type="dxa"/>
            <w:tcBorders>
              <w:top w:val="single" w:sz="4" w:space="0" w:color="auto"/>
              <w:left w:val="nil"/>
              <w:bottom w:val="single" w:sz="4" w:space="0" w:color="auto"/>
              <w:right w:val="single" w:sz="4" w:space="0" w:color="auto"/>
            </w:tcBorders>
            <w:shd w:val="clear" w:color="auto" w:fill="C6EFCE"/>
            <w:noWrap/>
          </w:tcPr>
          <w:p w14:paraId="7E4729AE" w14:textId="1FF7D57E"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9 – 3.2. Vzdelávanie, odborné vzdelávanie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príprava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zručnosti – 16792_Rekvalifikácia, rekvalifikácia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zvyšovanie</w:t>
            </w:r>
            <w:r w:rsidRPr="00083739">
              <w:rPr>
                <w:rFonts w:ascii="Times New Roman" w:hAnsi="Times New Roman" w:cs="Times New Roman"/>
                <w:noProof/>
                <w:lang w:val="sk-SK"/>
              </w:rPr>
              <w:t xml:space="preserve"> úrovne zručností prostredníctvom reformovaného modelu odbornej prípravy (reforma odborného vzdelávania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odbornej prípravy)</w:t>
            </w:r>
          </w:p>
        </w:tc>
        <w:tc>
          <w:tcPr>
            <w:tcW w:w="1099" w:type="dxa"/>
            <w:tcBorders>
              <w:top w:val="single" w:sz="4" w:space="0" w:color="auto"/>
              <w:left w:val="nil"/>
              <w:bottom w:val="single" w:sz="4" w:space="0" w:color="auto"/>
              <w:right w:val="single" w:sz="4" w:space="0" w:color="auto"/>
            </w:tcBorders>
            <w:shd w:val="clear" w:color="auto" w:fill="C6EFCE"/>
            <w:noWrap/>
          </w:tcPr>
          <w:p w14:paraId="0B16F72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65" w:type="dxa"/>
            <w:tcBorders>
              <w:top w:val="single" w:sz="4" w:space="0" w:color="auto"/>
              <w:left w:val="nil"/>
              <w:bottom w:val="single" w:sz="4" w:space="0" w:color="auto"/>
              <w:right w:val="single" w:sz="4" w:space="0" w:color="auto"/>
            </w:tcBorders>
            <w:shd w:val="clear" w:color="auto" w:fill="C6EFCE"/>
            <w:noWrap/>
          </w:tcPr>
          <w:p w14:paraId="0B13EE8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Zadávanie zákaziek systému kontroly kvality OVP</w:t>
            </w:r>
          </w:p>
        </w:tc>
        <w:tc>
          <w:tcPr>
            <w:tcW w:w="1471" w:type="dxa"/>
            <w:tcBorders>
              <w:top w:val="single" w:sz="4" w:space="0" w:color="auto"/>
              <w:left w:val="nil"/>
              <w:bottom w:val="single" w:sz="4" w:space="0" w:color="auto"/>
              <w:right w:val="single" w:sz="4" w:space="0" w:color="auto"/>
            </w:tcBorders>
            <w:shd w:val="clear" w:color="auto" w:fill="C6EFCE"/>
            <w:noWrap/>
          </w:tcPr>
          <w:p w14:paraId="16B291B4" w14:textId="722E9C71"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Oznámenie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zadaní zákazky</w:t>
            </w:r>
          </w:p>
        </w:tc>
        <w:tc>
          <w:tcPr>
            <w:tcW w:w="1135" w:type="dxa"/>
            <w:tcBorders>
              <w:top w:val="single" w:sz="4" w:space="0" w:color="auto"/>
              <w:left w:val="nil"/>
              <w:bottom w:val="single" w:sz="4" w:space="0" w:color="auto"/>
              <w:right w:val="single" w:sz="4" w:space="0" w:color="auto"/>
            </w:tcBorders>
            <w:shd w:val="clear" w:color="auto" w:fill="C6EFCE"/>
            <w:noWrap/>
          </w:tcPr>
          <w:p w14:paraId="5B8C6601"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24" w:type="dxa"/>
            <w:tcBorders>
              <w:top w:val="single" w:sz="4" w:space="0" w:color="auto"/>
              <w:left w:val="nil"/>
              <w:bottom w:val="single" w:sz="4" w:space="0" w:color="auto"/>
              <w:right w:val="single" w:sz="4" w:space="0" w:color="auto"/>
            </w:tcBorders>
            <w:shd w:val="clear" w:color="auto" w:fill="C6EFCE"/>
            <w:noWrap/>
          </w:tcPr>
          <w:p w14:paraId="3432165F"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96" w:type="dxa"/>
            <w:tcBorders>
              <w:top w:val="single" w:sz="4" w:space="0" w:color="auto"/>
              <w:left w:val="nil"/>
              <w:bottom w:val="single" w:sz="4" w:space="0" w:color="auto"/>
              <w:right w:val="single" w:sz="4" w:space="0" w:color="auto"/>
            </w:tcBorders>
            <w:shd w:val="clear" w:color="auto" w:fill="C6EFCE"/>
            <w:noWrap/>
          </w:tcPr>
          <w:p w14:paraId="00910478"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6" w:type="dxa"/>
            <w:tcBorders>
              <w:top w:val="single" w:sz="4" w:space="0" w:color="auto"/>
              <w:left w:val="nil"/>
              <w:bottom w:val="single" w:sz="4" w:space="0" w:color="auto"/>
              <w:right w:val="single" w:sz="4" w:space="0" w:color="auto"/>
            </w:tcBorders>
            <w:shd w:val="clear" w:color="auto" w:fill="C6EFCE"/>
            <w:noWrap/>
          </w:tcPr>
          <w:p w14:paraId="56652DC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783" w:type="dxa"/>
            <w:tcBorders>
              <w:top w:val="single" w:sz="4" w:space="0" w:color="auto"/>
              <w:left w:val="nil"/>
              <w:bottom w:val="single" w:sz="4" w:space="0" w:color="auto"/>
              <w:right w:val="single" w:sz="4" w:space="0" w:color="auto"/>
            </w:tcBorders>
            <w:shd w:val="clear" w:color="auto" w:fill="C6EFCE"/>
            <w:noWrap/>
          </w:tcPr>
          <w:p w14:paraId="029A48B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2023</w:t>
            </w:r>
          </w:p>
        </w:tc>
        <w:tc>
          <w:tcPr>
            <w:tcW w:w="4156" w:type="dxa"/>
            <w:tcBorders>
              <w:top w:val="single" w:sz="4" w:space="0" w:color="auto"/>
              <w:left w:val="nil"/>
              <w:bottom w:val="single" w:sz="4" w:space="0" w:color="auto"/>
              <w:right w:val="single" w:sz="4" w:space="0" w:color="auto"/>
            </w:tcBorders>
            <w:shd w:val="clear" w:color="auto" w:fill="C6EFCE"/>
            <w:noWrap/>
          </w:tcPr>
          <w:p w14:paraId="73E491D5" w14:textId="5EE88D91"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Zadanie zákazky na systém </w:t>
            </w:r>
            <w:r w:rsidRPr="00083739">
              <w:rPr>
                <w:rFonts w:ascii="Times New Roman" w:hAnsi="Times New Roman" w:cs="Times New Roman"/>
                <w:noProof/>
                <w:lang w:val="sk-SK"/>
              </w:rPr>
              <w:t>kontroly kvality odborného vzdelávania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prípravy (OVP) bolo zamerané na zlepšenie kontroly kvality útvarov odbornej prípravy Helénskej organizácie pre zamestnanosť pracovníkov (DYPA),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to najmä prostredníctvom hodnotenia jeho výstupov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sledovania pokrok</w:t>
            </w:r>
            <w:r w:rsidRPr="00083739">
              <w:rPr>
                <w:rFonts w:ascii="Times New Roman" w:hAnsi="Times New Roman" w:cs="Times New Roman"/>
                <w:noProof/>
                <w:lang w:val="sk-SK"/>
              </w:rPr>
              <w:t>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výkonnosti stážistov na trhu práce.</w:t>
            </w:r>
          </w:p>
        </w:tc>
      </w:tr>
      <w:tr w:rsidR="002D49B0" w:rsidRPr="00083739" w14:paraId="6B5F8C6F" w14:textId="77777777">
        <w:trPr>
          <w:trHeight w:val="309"/>
          <w:jc w:val="center"/>
        </w:trPr>
        <w:tc>
          <w:tcPr>
            <w:tcW w:w="1116" w:type="dxa"/>
            <w:tcBorders>
              <w:top w:val="single" w:sz="4" w:space="0" w:color="auto"/>
              <w:left w:val="single" w:sz="4" w:space="0" w:color="auto"/>
              <w:bottom w:val="single" w:sz="4" w:space="0" w:color="auto"/>
              <w:right w:val="single" w:sz="4" w:space="0" w:color="auto"/>
            </w:tcBorders>
            <w:shd w:val="clear" w:color="auto" w:fill="C6EFCE"/>
            <w:noWrap/>
          </w:tcPr>
          <w:p w14:paraId="112FDC8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144</w:t>
            </w:r>
          </w:p>
        </w:tc>
        <w:tc>
          <w:tcPr>
            <w:tcW w:w="1797" w:type="dxa"/>
            <w:tcBorders>
              <w:top w:val="single" w:sz="4" w:space="0" w:color="auto"/>
              <w:left w:val="nil"/>
              <w:bottom w:val="single" w:sz="4" w:space="0" w:color="auto"/>
              <w:right w:val="single" w:sz="4" w:space="0" w:color="auto"/>
            </w:tcBorders>
            <w:shd w:val="clear" w:color="auto" w:fill="C6EFCE"/>
            <w:noWrap/>
          </w:tcPr>
          <w:p w14:paraId="742B4B7A" w14:textId="0035942E"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8 – 3.1. Podpora vytvárania pracovných miest</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účasti na trhu práce – 16747_Aktívne reformy politík trhu práce</w:t>
            </w:r>
          </w:p>
        </w:tc>
        <w:tc>
          <w:tcPr>
            <w:tcW w:w="1099" w:type="dxa"/>
            <w:tcBorders>
              <w:top w:val="single" w:sz="4" w:space="0" w:color="auto"/>
              <w:left w:val="nil"/>
              <w:bottom w:val="single" w:sz="4" w:space="0" w:color="auto"/>
              <w:right w:val="single" w:sz="4" w:space="0" w:color="auto"/>
            </w:tcBorders>
            <w:shd w:val="clear" w:color="auto" w:fill="C6EFCE"/>
            <w:noWrap/>
          </w:tcPr>
          <w:p w14:paraId="3BFB88D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Cieľ</w:t>
            </w:r>
          </w:p>
        </w:tc>
        <w:tc>
          <w:tcPr>
            <w:tcW w:w="1365" w:type="dxa"/>
            <w:tcBorders>
              <w:top w:val="single" w:sz="4" w:space="0" w:color="auto"/>
              <w:left w:val="nil"/>
              <w:bottom w:val="single" w:sz="4" w:space="0" w:color="auto"/>
              <w:right w:val="single" w:sz="4" w:space="0" w:color="auto"/>
            </w:tcBorders>
            <w:shd w:val="clear" w:color="auto" w:fill="C6EFCE"/>
            <w:noWrap/>
          </w:tcPr>
          <w:p w14:paraId="3BBEAF19" w14:textId="63DFA796"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programu zvyšovania úrovne zručností</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zamestnanosti</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 xml:space="preserve">rámci aktívnych politík trhu práce </w:t>
            </w:r>
          </w:p>
        </w:tc>
        <w:tc>
          <w:tcPr>
            <w:tcW w:w="1471" w:type="dxa"/>
            <w:tcBorders>
              <w:top w:val="single" w:sz="4" w:space="0" w:color="auto"/>
              <w:left w:val="nil"/>
              <w:bottom w:val="single" w:sz="4" w:space="0" w:color="auto"/>
              <w:right w:val="single" w:sz="4" w:space="0" w:color="auto"/>
            </w:tcBorders>
            <w:shd w:val="clear" w:color="auto" w:fill="C6EFCE"/>
            <w:noWrap/>
          </w:tcPr>
          <w:p w14:paraId="1D5034FD"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135" w:type="dxa"/>
            <w:tcBorders>
              <w:top w:val="single" w:sz="4" w:space="0" w:color="auto"/>
              <w:left w:val="nil"/>
              <w:bottom w:val="single" w:sz="4" w:space="0" w:color="auto"/>
              <w:right w:val="single" w:sz="4" w:space="0" w:color="auto"/>
            </w:tcBorders>
            <w:shd w:val="clear" w:color="auto" w:fill="C6EFCE"/>
            <w:noWrap/>
          </w:tcPr>
          <w:p w14:paraId="290D9EC2" w14:textId="58F5CCA4"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Počet nezamestnaných osôb (vo veku 25 – 45 rokov), ktoré dostali potvrdenie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úspešnosti</w:t>
            </w:r>
          </w:p>
          <w:p w14:paraId="0A9051F2" w14:textId="7066DA9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ukončenie programu odbornej prípravy </w:t>
            </w:r>
          </w:p>
        </w:tc>
        <w:tc>
          <w:tcPr>
            <w:tcW w:w="924" w:type="dxa"/>
            <w:tcBorders>
              <w:top w:val="single" w:sz="4" w:space="0" w:color="auto"/>
              <w:left w:val="nil"/>
              <w:bottom w:val="single" w:sz="4" w:space="0" w:color="auto"/>
              <w:right w:val="single" w:sz="4" w:space="0" w:color="auto"/>
            </w:tcBorders>
            <w:shd w:val="clear" w:color="auto" w:fill="C6EFCE"/>
            <w:noWrap/>
          </w:tcPr>
          <w:p w14:paraId="5DA45FB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0</w:t>
            </w:r>
          </w:p>
        </w:tc>
        <w:tc>
          <w:tcPr>
            <w:tcW w:w="896" w:type="dxa"/>
            <w:tcBorders>
              <w:top w:val="single" w:sz="4" w:space="0" w:color="auto"/>
              <w:left w:val="nil"/>
              <w:bottom w:val="single" w:sz="4" w:space="0" w:color="auto"/>
              <w:right w:val="single" w:sz="4" w:space="0" w:color="auto"/>
            </w:tcBorders>
            <w:shd w:val="clear" w:color="auto" w:fill="C6EFCE"/>
            <w:noWrap/>
          </w:tcPr>
          <w:p w14:paraId="05F9EA0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7 000</w:t>
            </w:r>
          </w:p>
        </w:tc>
        <w:tc>
          <w:tcPr>
            <w:tcW w:w="846" w:type="dxa"/>
            <w:tcBorders>
              <w:top w:val="single" w:sz="4" w:space="0" w:color="auto"/>
              <w:left w:val="nil"/>
              <w:bottom w:val="single" w:sz="4" w:space="0" w:color="auto"/>
              <w:right w:val="single" w:sz="4" w:space="0" w:color="auto"/>
            </w:tcBorders>
            <w:shd w:val="clear" w:color="auto" w:fill="C6EFCE"/>
            <w:noWrap/>
          </w:tcPr>
          <w:p w14:paraId="5F938E2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83" w:type="dxa"/>
            <w:tcBorders>
              <w:top w:val="single" w:sz="4" w:space="0" w:color="auto"/>
              <w:left w:val="nil"/>
              <w:bottom w:val="single" w:sz="4" w:space="0" w:color="auto"/>
              <w:right w:val="single" w:sz="4" w:space="0" w:color="auto"/>
            </w:tcBorders>
            <w:shd w:val="clear" w:color="auto" w:fill="C6EFCE"/>
            <w:noWrap/>
          </w:tcPr>
          <w:p w14:paraId="3AC1E4FB" w14:textId="77777777" w:rsidR="002D49B0" w:rsidRPr="00083739" w:rsidRDefault="00BF4125">
            <w:pPr>
              <w:pStyle w:val="P68B1DB1-Normal9"/>
              <w:spacing w:after="0" w:line="240" w:lineRule="auto"/>
              <w:rPr>
                <w:rFonts w:ascii="Times New Roman" w:hAnsi="Times New Roman" w:cs="Times New Roman"/>
                <w:noProof/>
                <w:szCs w:val="18"/>
                <w:lang w:val="sk-SK"/>
              </w:rPr>
            </w:pPr>
            <w:r w:rsidRPr="00083739">
              <w:rPr>
                <w:rFonts w:ascii="Times New Roman" w:hAnsi="Times New Roman" w:cs="Times New Roman"/>
                <w:noProof/>
                <w:szCs w:val="18"/>
                <w:lang w:val="sk-SK"/>
              </w:rPr>
              <w:t>202</w:t>
            </w:r>
            <w:r w:rsidRPr="00083739">
              <w:rPr>
                <w:rFonts w:ascii="Times New Roman" w:hAnsi="Times New Roman" w:cs="Times New Roman"/>
                <w:noProof/>
                <w:lang w:val="sk-SK"/>
              </w:rPr>
              <w:t>4</w:t>
            </w:r>
          </w:p>
        </w:tc>
        <w:tc>
          <w:tcPr>
            <w:tcW w:w="4156" w:type="dxa"/>
            <w:tcBorders>
              <w:top w:val="single" w:sz="4" w:space="0" w:color="auto"/>
              <w:left w:val="nil"/>
              <w:bottom w:val="single" w:sz="4" w:space="0" w:color="auto"/>
              <w:right w:val="single" w:sz="4" w:space="0" w:color="auto"/>
            </w:tcBorders>
            <w:shd w:val="clear" w:color="auto" w:fill="C6EFCE"/>
            <w:noWrap/>
          </w:tcPr>
          <w:p w14:paraId="3B7A5776" w14:textId="7FAF9CBE"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Dokončenie komplexného programu zvyšovania úrovne </w:t>
            </w:r>
            <w:r w:rsidRPr="00083739">
              <w:rPr>
                <w:rFonts w:ascii="Times New Roman" w:hAnsi="Times New Roman" w:cs="Times New Roman"/>
                <w:noProof/>
                <w:lang w:val="sk-SK"/>
              </w:rPr>
              <w:t>zručností/rekvalifikácie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nástup do zamestnania pre najmenej 7000 nezamestnaných osôb (vo veku 25 – 45 rokov)</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celkového počtu 7500 príjemcov</w:t>
            </w:r>
          </w:p>
          <w:p w14:paraId="5F7A2162" w14:textId="18496F76"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r>
      <w:tr w:rsidR="002D49B0" w:rsidRPr="00083739" w14:paraId="7079FBE8" w14:textId="77777777">
        <w:trPr>
          <w:trHeight w:val="309"/>
          <w:jc w:val="center"/>
        </w:trPr>
        <w:tc>
          <w:tcPr>
            <w:tcW w:w="1116" w:type="dxa"/>
            <w:tcBorders>
              <w:top w:val="single" w:sz="4" w:space="0" w:color="auto"/>
              <w:left w:val="single" w:sz="4" w:space="0" w:color="auto"/>
              <w:bottom w:val="single" w:sz="4" w:space="0" w:color="auto"/>
              <w:right w:val="single" w:sz="4" w:space="0" w:color="auto"/>
            </w:tcBorders>
            <w:shd w:val="clear" w:color="auto" w:fill="C6EFCE"/>
            <w:noWrap/>
          </w:tcPr>
          <w:p w14:paraId="4B9B646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144a</w:t>
            </w:r>
          </w:p>
        </w:tc>
        <w:tc>
          <w:tcPr>
            <w:tcW w:w="1797" w:type="dxa"/>
            <w:tcBorders>
              <w:top w:val="single" w:sz="4" w:space="0" w:color="auto"/>
              <w:left w:val="nil"/>
              <w:bottom w:val="single" w:sz="4" w:space="0" w:color="auto"/>
              <w:right w:val="single" w:sz="4" w:space="0" w:color="auto"/>
            </w:tcBorders>
            <w:shd w:val="clear" w:color="auto" w:fill="C6EFCE"/>
            <w:noWrap/>
          </w:tcPr>
          <w:p w14:paraId="2366A000" w14:textId="6CCAEC93"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8 – 3.1. Podpora vytvárania pracovných miest</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účasti na trhu práce – 16747_Aktívne reformy politík trhu </w:t>
            </w:r>
            <w:r w:rsidRPr="00083739">
              <w:rPr>
                <w:rFonts w:ascii="Times New Roman" w:hAnsi="Times New Roman" w:cs="Times New Roman"/>
                <w:noProof/>
                <w:lang w:val="sk-SK"/>
              </w:rPr>
              <w:t>práce</w:t>
            </w:r>
          </w:p>
        </w:tc>
        <w:tc>
          <w:tcPr>
            <w:tcW w:w="1099" w:type="dxa"/>
            <w:tcBorders>
              <w:top w:val="single" w:sz="4" w:space="0" w:color="auto"/>
              <w:left w:val="nil"/>
              <w:bottom w:val="single" w:sz="4" w:space="0" w:color="auto"/>
              <w:right w:val="single" w:sz="4" w:space="0" w:color="auto"/>
            </w:tcBorders>
            <w:shd w:val="clear" w:color="auto" w:fill="C6EFCE"/>
            <w:noWrap/>
          </w:tcPr>
          <w:p w14:paraId="3314F3C5" w14:textId="77777777"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Míľnik</w:t>
            </w:r>
          </w:p>
        </w:tc>
        <w:tc>
          <w:tcPr>
            <w:tcW w:w="1365" w:type="dxa"/>
            <w:tcBorders>
              <w:top w:val="single" w:sz="4" w:space="0" w:color="auto"/>
              <w:left w:val="nil"/>
              <w:bottom w:val="single" w:sz="4" w:space="0" w:color="auto"/>
              <w:right w:val="single" w:sz="4" w:space="0" w:color="auto"/>
            </w:tcBorders>
            <w:shd w:val="clear" w:color="auto" w:fill="C6EFCE"/>
            <w:noWrap/>
          </w:tcPr>
          <w:p w14:paraId="45D8A94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Dokončenie programu zamestnanosti aktívnych politík trhu práce </w:t>
            </w:r>
          </w:p>
        </w:tc>
        <w:tc>
          <w:tcPr>
            <w:tcW w:w="1471" w:type="dxa"/>
            <w:tcBorders>
              <w:top w:val="single" w:sz="4" w:space="0" w:color="auto"/>
              <w:left w:val="nil"/>
              <w:bottom w:val="single" w:sz="4" w:space="0" w:color="auto"/>
              <w:right w:val="single" w:sz="4" w:space="0" w:color="auto"/>
            </w:tcBorders>
            <w:shd w:val="clear" w:color="auto" w:fill="C6EFCE"/>
            <w:noWrap/>
          </w:tcPr>
          <w:p w14:paraId="23E1F08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Správa DYPA potvrdzujúca ukončenie programov</w:t>
            </w:r>
          </w:p>
        </w:tc>
        <w:tc>
          <w:tcPr>
            <w:tcW w:w="1135" w:type="dxa"/>
            <w:tcBorders>
              <w:top w:val="single" w:sz="4" w:space="0" w:color="auto"/>
              <w:left w:val="nil"/>
              <w:bottom w:val="single" w:sz="4" w:space="0" w:color="auto"/>
              <w:right w:val="single" w:sz="4" w:space="0" w:color="auto"/>
            </w:tcBorders>
            <w:shd w:val="clear" w:color="auto" w:fill="C6EFCE"/>
            <w:noWrap/>
          </w:tcPr>
          <w:p w14:paraId="2DD5B460"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24" w:type="dxa"/>
            <w:tcBorders>
              <w:top w:val="single" w:sz="4" w:space="0" w:color="auto"/>
              <w:left w:val="nil"/>
              <w:bottom w:val="single" w:sz="4" w:space="0" w:color="auto"/>
              <w:right w:val="single" w:sz="4" w:space="0" w:color="auto"/>
            </w:tcBorders>
            <w:shd w:val="clear" w:color="auto" w:fill="C6EFCE"/>
            <w:noWrap/>
          </w:tcPr>
          <w:p w14:paraId="7A75A355"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96" w:type="dxa"/>
            <w:tcBorders>
              <w:top w:val="single" w:sz="4" w:space="0" w:color="auto"/>
              <w:left w:val="nil"/>
              <w:bottom w:val="single" w:sz="4" w:space="0" w:color="auto"/>
              <w:right w:val="single" w:sz="4" w:space="0" w:color="auto"/>
            </w:tcBorders>
            <w:shd w:val="clear" w:color="auto" w:fill="C6EFCE"/>
            <w:noWrap/>
          </w:tcPr>
          <w:p w14:paraId="0E07F9A1"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6" w:type="dxa"/>
            <w:tcBorders>
              <w:top w:val="single" w:sz="4" w:space="0" w:color="auto"/>
              <w:left w:val="nil"/>
              <w:bottom w:val="single" w:sz="4" w:space="0" w:color="auto"/>
              <w:right w:val="single" w:sz="4" w:space="0" w:color="auto"/>
            </w:tcBorders>
            <w:shd w:val="clear" w:color="auto" w:fill="C6EFCE"/>
            <w:noWrap/>
          </w:tcPr>
          <w:p w14:paraId="630051C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83" w:type="dxa"/>
            <w:tcBorders>
              <w:top w:val="single" w:sz="4" w:space="0" w:color="auto"/>
              <w:left w:val="nil"/>
              <w:bottom w:val="single" w:sz="4" w:space="0" w:color="auto"/>
              <w:right w:val="single" w:sz="4" w:space="0" w:color="auto"/>
            </w:tcBorders>
            <w:shd w:val="clear" w:color="auto" w:fill="C6EFCE"/>
            <w:noWrap/>
          </w:tcPr>
          <w:p w14:paraId="1E4F2E2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4156" w:type="dxa"/>
            <w:tcBorders>
              <w:top w:val="single" w:sz="4" w:space="0" w:color="auto"/>
              <w:left w:val="nil"/>
              <w:bottom w:val="single" w:sz="4" w:space="0" w:color="auto"/>
              <w:right w:val="single" w:sz="4" w:space="0" w:color="auto"/>
            </w:tcBorders>
            <w:shd w:val="clear" w:color="auto" w:fill="C6EFCE"/>
            <w:noWrap/>
          </w:tcPr>
          <w:p w14:paraId="5273C194" w14:textId="77777777" w:rsidR="00083739" w:rsidRPr="00083739" w:rsidRDefault="00BF4125">
            <w:pPr>
              <w:pStyle w:val="P68B1DB1-paragraph26"/>
              <w:spacing w:before="0" w:beforeAutospacing="0" w:after="0" w:afterAutospacing="0"/>
              <w:textAlignment w:val="baseline"/>
              <w:rPr>
                <w:rFonts w:ascii="Times New Roman" w:hAnsi="Times New Roman"/>
                <w:noProof/>
                <w:lang w:val="sk-SK"/>
              </w:rPr>
            </w:pPr>
            <w:r w:rsidRPr="00083739">
              <w:rPr>
                <w:rFonts w:ascii="Times New Roman" w:hAnsi="Times New Roman"/>
                <w:noProof/>
                <w:lang w:val="sk-SK"/>
              </w:rPr>
              <w:t>Ukončenie týchto programov aktívnej politiky trhu práce</w:t>
            </w:r>
            <w:r w:rsidR="00083739" w:rsidRPr="00083739">
              <w:rPr>
                <w:rFonts w:ascii="Times New Roman" w:hAnsi="Times New Roman"/>
                <w:noProof/>
                <w:lang w:val="sk-SK"/>
              </w:rPr>
              <w:t>:</w:t>
            </w:r>
          </w:p>
          <w:p w14:paraId="54393B3F" w14:textId="77777777" w:rsidR="00083739" w:rsidRPr="00083739" w:rsidRDefault="00BF4125">
            <w:pPr>
              <w:pStyle w:val="P68B1DB1-paragraph26"/>
              <w:spacing w:before="0" w:beforeAutospacing="0" w:after="0" w:afterAutospacing="0"/>
              <w:textAlignment w:val="baseline"/>
              <w:rPr>
                <w:rFonts w:ascii="Times New Roman" w:hAnsi="Times New Roman"/>
                <w:noProof/>
                <w:lang w:val="sk-SK"/>
              </w:rPr>
            </w:pPr>
            <w:r w:rsidRPr="00083739">
              <w:rPr>
                <w:rFonts w:ascii="Times New Roman" w:hAnsi="Times New Roman"/>
                <w:noProof/>
                <w:lang w:val="sk-SK"/>
              </w:rPr>
              <w:t xml:space="preserve">a) Štyri cielené krátkodobé programy, ktorými sa </w:t>
            </w:r>
            <w:r w:rsidRPr="00083739">
              <w:rPr>
                <w:rFonts w:ascii="Times New Roman" w:hAnsi="Times New Roman"/>
                <w:noProof/>
                <w:lang w:val="sk-SK"/>
              </w:rPr>
              <w:t>dotuje zamestnanosť</w:t>
            </w:r>
            <w:r w:rsidR="00083739" w:rsidRPr="00083739">
              <w:rPr>
                <w:rFonts w:ascii="Times New Roman" w:hAnsi="Times New Roman"/>
                <w:noProof/>
                <w:lang w:val="sk-SK"/>
              </w:rPr>
              <w:t xml:space="preserve"> v </w:t>
            </w:r>
            <w:r w:rsidRPr="00083739">
              <w:rPr>
                <w:rFonts w:ascii="Times New Roman" w:hAnsi="Times New Roman"/>
                <w:noProof/>
                <w:lang w:val="sk-SK"/>
              </w:rPr>
              <w:t>súkromnom sektore pre najmenej 30600 nezamestnaných osôb</w:t>
            </w:r>
            <w:r w:rsidR="00083739" w:rsidRPr="00083739">
              <w:rPr>
                <w:rFonts w:ascii="Times New Roman" w:hAnsi="Times New Roman"/>
                <w:noProof/>
                <w:lang w:val="sk-SK"/>
              </w:rPr>
              <w:t xml:space="preserve"> z </w:t>
            </w:r>
            <w:r w:rsidRPr="00083739">
              <w:rPr>
                <w:rFonts w:ascii="Times New Roman" w:hAnsi="Times New Roman"/>
                <w:noProof/>
                <w:lang w:val="sk-SK"/>
              </w:rPr>
              <w:t>celkového počtu 34000 príjemcov</w:t>
            </w:r>
          </w:p>
          <w:p w14:paraId="2AC9C311" w14:textId="77777777" w:rsidR="00083739" w:rsidRPr="00083739" w:rsidRDefault="00BF4125">
            <w:pPr>
              <w:pStyle w:val="P68B1DB1-paragraph27"/>
              <w:spacing w:before="0" w:beforeAutospacing="0" w:after="0" w:afterAutospacing="0"/>
              <w:textAlignment w:val="baseline"/>
              <w:rPr>
                <w:rFonts w:ascii="Times New Roman" w:hAnsi="Times New Roman"/>
                <w:noProof/>
                <w:lang w:val="sk-SK"/>
              </w:rPr>
            </w:pPr>
            <w:r w:rsidRPr="00083739">
              <w:rPr>
                <w:rFonts w:ascii="Times New Roman" w:hAnsi="Times New Roman"/>
                <w:noProof/>
                <w:lang w:val="sk-SK"/>
              </w:rPr>
              <w:t>b) zavedenie nového otvoreného modelu realizácie aktívnych politík trhu práce testovaného</w:t>
            </w:r>
            <w:r w:rsidR="00083739" w:rsidRPr="00083739">
              <w:rPr>
                <w:rFonts w:ascii="Times New Roman" w:hAnsi="Times New Roman"/>
                <w:noProof/>
                <w:lang w:val="sk-SK"/>
              </w:rPr>
              <w:t xml:space="preserve"> v </w:t>
            </w:r>
            <w:r w:rsidRPr="00083739">
              <w:rPr>
                <w:rFonts w:ascii="Times New Roman" w:hAnsi="Times New Roman"/>
                <w:noProof/>
                <w:lang w:val="sk-SK"/>
              </w:rPr>
              <w:t>pilotnom rámci (kde sa 8000 účastníkom ponúknu prog</w:t>
            </w:r>
            <w:r w:rsidRPr="00083739">
              <w:rPr>
                <w:rFonts w:ascii="Times New Roman" w:hAnsi="Times New Roman"/>
                <w:noProof/>
                <w:lang w:val="sk-SK"/>
              </w:rPr>
              <w:t>ramy odbornej prípravy, 7000 účastníkom sa ponúknu dotácie na zamestnanie</w:t>
            </w:r>
            <w:r w:rsidR="00083739" w:rsidRPr="00083739">
              <w:rPr>
                <w:rFonts w:ascii="Times New Roman" w:hAnsi="Times New Roman"/>
                <w:noProof/>
                <w:lang w:val="sk-SK"/>
              </w:rPr>
              <w:t xml:space="preserve"> a </w:t>
            </w:r>
            <w:r w:rsidRPr="00083739">
              <w:rPr>
                <w:rFonts w:ascii="Times New Roman" w:hAnsi="Times New Roman"/>
                <w:noProof/>
                <w:lang w:val="sk-SK"/>
              </w:rPr>
              <w:t>850 účastníkom sa ponúknu dotácie na podnikanie)</w:t>
            </w:r>
          </w:p>
          <w:p w14:paraId="0B975939" w14:textId="32A2CE1B" w:rsidR="00083739" w:rsidRPr="00083739" w:rsidRDefault="00BF4125">
            <w:pPr>
              <w:pStyle w:val="P68B1DB1-paragraph26"/>
              <w:spacing w:before="0" w:beforeAutospacing="0" w:after="0" w:afterAutospacing="0"/>
              <w:textAlignment w:val="baseline"/>
              <w:rPr>
                <w:rFonts w:ascii="Times New Roman" w:hAnsi="Times New Roman"/>
                <w:noProof/>
                <w:lang w:val="sk-SK"/>
              </w:rPr>
            </w:pPr>
            <w:r w:rsidRPr="00083739">
              <w:rPr>
                <w:rFonts w:ascii="Times New Roman" w:hAnsi="Times New Roman"/>
                <w:noProof/>
                <w:lang w:val="sk-SK"/>
              </w:rPr>
              <w:t>C) Dočasné posilnenie poradenských pracovníkov verejných služieb zamestnanosti prijatím ďalších 600 poradcov</w:t>
            </w:r>
            <w:r w:rsidR="00083739" w:rsidRPr="00083739">
              <w:rPr>
                <w:rFonts w:ascii="Times New Roman" w:hAnsi="Times New Roman"/>
                <w:noProof/>
                <w:lang w:val="sk-SK"/>
              </w:rPr>
              <w:t xml:space="preserve"> a</w:t>
            </w:r>
          </w:p>
          <w:p w14:paraId="605637AF" w14:textId="656FC2F7" w:rsidR="00083739" w:rsidRPr="00083739" w:rsidRDefault="00BF4125">
            <w:pPr>
              <w:pStyle w:val="P68B1DB1-paragraph26"/>
              <w:spacing w:before="0" w:beforeAutospacing="0" w:after="0" w:afterAutospacing="0"/>
              <w:textAlignment w:val="baseline"/>
              <w:rPr>
                <w:rFonts w:ascii="Times New Roman" w:hAnsi="Times New Roman"/>
                <w:noProof/>
                <w:lang w:val="sk-SK"/>
              </w:rPr>
            </w:pPr>
            <w:r w:rsidRPr="00083739">
              <w:rPr>
                <w:rFonts w:ascii="Times New Roman" w:hAnsi="Times New Roman"/>
                <w:noProof/>
                <w:lang w:val="sk-SK"/>
              </w:rPr>
              <w:t xml:space="preserve">d) Odborná príprava </w:t>
            </w:r>
            <w:r w:rsidRPr="00083739">
              <w:rPr>
                <w:rFonts w:ascii="Times New Roman" w:hAnsi="Times New Roman"/>
                <w:noProof/>
                <w:lang w:val="sk-SK"/>
              </w:rPr>
              <w:t>1000 poradcov verejných služieb zamestnanosti</w:t>
            </w:r>
            <w:r w:rsidR="00083739" w:rsidRPr="00083739">
              <w:rPr>
                <w:rFonts w:ascii="Times New Roman" w:hAnsi="Times New Roman"/>
                <w:noProof/>
                <w:lang w:val="sk-SK"/>
              </w:rPr>
              <w:t xml:space="preserve"> v </w:t>
            </w:r>
            <w:r w:rsidRPr="00083739">
              <w:rPr>
                <w:rFonts w:ascii="Times New Roman" w:hAnsi="Times New Roman"/>
                <w:noProof/>
                <w:lang w:val="sk-SK"/>
              </w:rPr>
              <w:t>oblasti zamestnanosti</w:t>
            </w:r>
            <w:r w:rsidR="00083739" w:rsidRPr="00083739">
              <w:rPr>
                <w:rFonts w:ascii="Times New Roman" w:hAnsi="Times New Roman"/>
                <w:noProof/>
                <w:lang w:val="sk-SK"/>
              </w:rPr>
              <w:t>.</w:t>
            </w:r>
          </w:p>
          <w:p w14:paraId="33341798" w14:textId="1811076A" w:rsidR="002D49B0" w:rsidRPr="00083739" w:rsidRDefault="002D49B0">
            <w:pPr>
              <w:pStyle w:val="paragraph"/>
              <w:spacing w:before="0" w:beforeAutospacing="0" w:after="0" w:afterAutospacing="0"/>
              <w:textAlignment w:val="baseline"/>
              <w:rPr>
                <w:noProof/>
                <w:color w:val="006100"/>
                <w:sz w:val="18"/>
                <w:szCs w:val="18"/>
                <w:lang w:val="sk-SK"/>
              </w:rPr>
            </w:pPr>
          </w:p>
        </w:tc>
      </w:tr>
      <w:tr w:rsidR="002D49B0" w:rsidRPr="00083739" w14:paraId="3795FEB6" w14:textId="77777777">
        <w:trPr>
          <w:trHeight w:val="2040"/>
          <w:jc w:val="center"/>
        </w:trPr>
        <w:tc>
          <w:tcPr>
            <w:tcW w:w="1116" w:type="dxa"/>
            <w:tcBorders>
              <w:top w:val="single" w:sz="4" w:space="0" w:color="auto"/>
              <w:left w:val="single" w:sz="4" w:space="0" w:color="auto"/>
              <w:bottom w:val="single" w:sz="4" w:space="0" w:color="auto"/>
              <w:right w:val="single" w:sz="4" w:space="0" w:color="auto"/>
            </w:tcBorders>
            <w:shd w:val="clear" w:color="auto" w:fill="C6EFCE"/>
            <w:noWrap/>
          </w:tcPr>
          <w:p w14:paraId="12C1DD6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145</w:t>
            </w:r>
          </w:p>
        </w:tc>
        <w:tc>
          <w:tcPr>
            <w:tcW w:w="1797" w:type="dxa"/>
            <w:tcBorders>
              <w:top w:val="single" w:sz="4" w:space="0" w:color="auto"/>
              <w:left w:val="nil"/>
              <w:bottom w:val="single" w:sz="4" w:space="0" w:color="auto"/>
              <w:right w:val="single" w:sz="4" w:space="0" w:color="auto"/>
            </w:tcBorders>
            <w:shd w:val="clear" w:color="auto" w:fill="C6EFCE"/>
            <w:noWrap/>
          </w:tcPr>
          <w:p w14:paraId="3256B3DF" w14:textId="404EC1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9 – 3.2. Vzdelávanie, odborné vzdelávanie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príprava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zručnosti – 16794_Posilnenie systému učňovskej prípravy </w:t>
            </w:r>
          </w:p>
        </w:tc>
        <w:tc>
          <w:tcPr>
            <w:tcW w:w="1099" w:type="dxa"/>
            <w:tcBorders>
              <w:top w:val="single" w:sz="4" w:space="0" w:color="auto"/>
              <w:left w:val="nil"/>
              <w:bottom w:val="single" w:sz="4" w:space="0" w:color="auto"/>
              <w:right w:val="single" w:sz="4" w:space="0" w:color="auto"/>
            </w:tcBorders>
            <w:shd w:val="clear" w:color="auto" w:fill="C6EFCE"/>
            <w:noWrap/>
          </w:tcPr>
          <w:p w14:paraId="433F3F7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Cieľ</w:t>
            </w:r>
          </w:p>
        </w:tc>
        <w:tc>
          <w:tcPr>
            <w:tcW w:w="1365" w:type="dxa"/>
            <w:tcBorders>
              <w:top w:val="single" w:sz="4" w:space="0" w:color="auto"/>
              <w:left w:val="nil"/>
              <w:bottom w:val="single" w:sz="4" w:space="0" w:color="auto"/>
              <w:right w:val="single" w:sz="4" w:space="0" w:color="auto"/>
            </w:tcBorders>
            <w:shd w:val="clear" w:color="auto" w:fill="C6EFCE"/>
            <w:noWrap/>
          </w:tcPr>
          <w:p w14:paraId="6C737134" w14:textId="0EBD9F4F"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Ukončenie kurzov odbornej prípravy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 xml:space="preserve">oblasti digitalizácie </w:t>
            </w:r>
            <w:r w:rsidRPr="00083739">
              <w:rPr>
                <w:rFonts w:ascii="Times New Roman" w:hAnsi="Times New Roman" w:cs="Times New Roman"/>
                <w:noProof/>
                <w:lang w:val="sk-SK"/>
              </w:rPr>
              <w:t>elektronického vzdelávania</w:t>
            </w:r>
          </w:p>
        </w:tc>
        <w:tc>
          <w:tcPr>
            <w:tcW w:w="1471" w:type="dxa"/>
            <w:tcBorders>
              <w:top w:val="single" w:sz="4" w:space="0" w:color="auto"/>
              <w:left w:val="nil"/>
              <w:bottom w:val="single" w:sz="4" w:space="0" w:color="auto"/>
              <w:right w:val="single" w:sz="4" w:space="0" w:color="auto"/>
            </w:tcBorders>
            <w:shd w:val="clear" w:color="auto" w:fill="C6EFCE"/>
            <w:noWrap/>
          </w:tcPr>
          <w:p w14:paraId="23CACD15"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135" w:type="dxa"/>
            <w:tcBorders>
              <w:top w:val="single" w:sz="4" w:space="0" w:color="auto"/>
              <w:left w:val="nil"/>
              <w:bottom w:val="single" w:sz="4" w:space="0" w:color="auto"/>
              <w:right w:val="single" w:sz="4" w:space="0" w:color="auto"/>
            </w:tcBorders>
            <w:shd w:val="clear" w:color="auto" w:fill="C6EFCE"/>
            <w:noWrap/>
          </w:tcPr>
          <w:p w14:paraId="362A556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Počet digitalizovaných kurzov odbornej prípravy (elektronické vzdelávanie)</w:t>
            </w:r>
          </w:p>
        </w:tc>
        <w:tc>
          <w:tcPr>
            <w:tcW w:w="924" w:type="dxa"/>
            <w:tcBorders>
              <w:top w:val="single" w:sz="4" w:space="0" w:color="auto"/>
              <w:left w:val="nil"/>
              <w:bottom w:val="single" w:sz="4" w:space="0" w:color="auto"/>
              <w:right w:val="single" w:sz="4" w:space="0" w:color="auto"/>
            </w:tcBorders>
            <w:shd w:val="clear" w:color="auto" w:fill="C6EFCE"/>
            <w:noWrap/>
          </w:tcPr>
          <w:p w14:paraId="111B21C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0</w:t>
            </w:r>
          </w:p>
        </w:tc>
        <w:tc>
          <w:tcPr>
            <w:tcW w:w="896" w:type="dxa"/>
            <w:tcBorders>
              <w:top w:val="single" w:sz="4" w:space="0" w:color="auto"/>
              <w:left w:val="nil"/>
              <w:bottom w:val="single" w:sz="4" w:space="0" w:color="auto"/>
              <w:right w:val="single" w:sz="4" w:space="0" w:color="auto"/>
            </w:tcBorders>
            <w:shd w:val="clear" w:color="auto" w:fill="C6EFCE"/>
            <w:noWrap/>
          </w:tcPr>
          <w:p w14:paraId="58EC264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250</w:t>
            </w:r>
          </w:p>
        </w:tc>
        <w:tc>
          <w:tcPr>
            <w:tcW w:w="846" w:type="dxa"/>
            <w:tcBorders>
              <w:top w:val="single" w:sz="4" w:space="0" w:color="auto"/>
              <w:left w:val="nil"/>
              <w:bottom w:val="single" w:sz="4" w:space="0" w:color="auto"/>
              <w:right w:val="single" w:sz="4" w:space="0" w:color="auto"/>
            </w:tcBorders>
            <w:shd w:val="clear" w:color="auto" w:fill="C6EFCE"/>
            <w:noWrap/>
          </w:tcPr>
          <w:p w14:paraId="7684B70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83" w:type="dxa"/>
            <w:tcBorders>
              <w:top w:val="single" w:sz="4" w:space="0" w:color="auto"/>
              <w:left w:val="nil"/>
              <w:bottom w:val="single" w:sz="4" w:space="0" w:color="auto"/>
              <w:right w:val="single" w:sz="4" w:space="0" w:color="auto"/>
            </w:tcBorders>
            <w:shd w:val="clear" w:color="auto" w:fill="C6EFCE"/>
            <w:noWrap/>
          </w:tcPr>
          <w:p w14:paraId="5C6F37F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4156" w:type="dxa"/>
            <w:tcBorders>
              <w:top w:val="single" w:sz="4" w:space="0" w:color="auto"/>
              <w:left w:val="nil"/>
              <w:bottom w:val="single" w:sz="4" w:space="0" w:color="auto"/>
              <w:right w:val="single" w:sz="4" w:space="0" w:color="auto"/>
            </w:tcBorders>
            <w:shd w:val="clear" w:color="auto" w:fill="C6EFCE"/>
            <w:noWrap/>
          </w:tcPr>
          <w:p w14:paraId="2A4832B8" w14:textId="4ABB7DA3"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Dokončenie digitalizácie najmenej 250 kurzov odbornej prípravy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rámci učňovskej prípravy DYPA (EPAS)</w:t>
            </w:r>
            <w:r w:rsidR="00083739" w:rsidRPr="00083739">
              <w:rPr>
                <w:rFonts w:ascii="Times New Roman" w:hAnsi="Times New Roman" w:cs="Times New Roman"/>
                <w:noProof/>
                <w:lang w:val="sk-SK"/>
              </w:rPr>
              <w:t>.</w:t>
            </w:r>
          </w:p>
          <w:p w14:paraId="2C45E38D" w14:textId="318083AC"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p w14:paraId="10376122" w14:textId="7DF1571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Cieľom opatrenia je </w:t>
            </w:r>
            <w:r w:rsidRPr="00083739">
              <w:rPr>
                <w:rFonts w:ascii="Times New Roman" w:hAnsi="Times New Roman" w:cs="Times New Roman"/>
                <w:noProof/>
                <w:lang w:val="sk-SK"/>
              </w:rPr>
              <w:t>zjednodušiť vzdelávacie procesy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začleniť nové metodiky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nástroje, ako sú platformy elektronického vzdelávania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digitalizovaný obsah odbornej prípravy, pre učňov aj školiteľov. </w:t>
            </w:r>
          </w:p>
        </w:tc>
      </w:tr>
      <w:tr w:rsidR="002D49B0" w:rsidRPr="00083739" w14:paraId="40A7A1E9" w14:textId="77777777">
        <w:trPr>
          <w:trHeight w:val="309"/>
          <w:jc w:val="center"/>
        </w:trPr>
        <w:tc>
          <w:tcPr>
            <w:tcW w:w="1116" w:type="dxa"/>
            <w:tcBorders>
              <w:top w:val="single" w:sz="4" w:space="0" w:color="auto"/>
              <w:left w:val="single" w:sz="4" w:space="0" w:color="auto"/>
              <w:bottom w:val="single" w:sz="4" w:space="0" w:color="auto"/>
              <w:right w:val="single" w:sz="4" w:space="0" w:color="auto"/>
            </w:tcBorders>
            <w:shd w:val="clear" w:color="auto" w:fill="C6EFCE"/>
            <w:noWrap/>
          </w:tcPr>
          <w:p w14:paraId="1059702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145a</w:t>
            </w:r>
          </w:p>
        </w:tc>
        <w:tc>
          <w:tcPr>
            <w:tcW w:w="1797" w:type="dxa"/>
            <w:tcBorders>
              <w:top w:val="single" w:sz="4" w:space="0" w:color="auto"/>
              <w:left w:val="nil"/>
              <w:bottom w:val="single" w:sz="4" w:space="0" w:color="auto"/>
              <w:right w:val="single" w:sz="4" w:space="0" w:color="auto"/>
            </w:tcBorders>
            <w:shd w:val="clear" w:color="auto" w:fill="C6EFCE"/>
            <w:noWrap/>
          </w:tcPr>
          <w:p w14:paraId="52302816" w14:textId="11A16E63"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9 – 3.2. Vzdelávanie, odborné vzdelávanie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príprava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zručnosti – 16794_Posilnenie systému učňovskej prípravy </w:t>
            </w:r>
          </w:p>
        </w:tc>
        <w:tc>
          <w:tcPr>
            <w:tcW w:w="1099" w:type="dxa"/>
            <w:tcBorders>
              <w:top w:val="single" w:sz="4" w:space="0" w:color="auto"/>
              <w:left w:val="nil"/>
              <w:bottom w:val="single" w:sz="4" w:space="0" w:color="auto"/>
              <w:right w:val="single" w:sz="4" w:space="0" w:color="auto"/>
            </w:tcBorders>
            <w:shd w:val="clear" w:color="auto" w:fill="C6EFCE"/>
            <w:noWrap/>
          </w:tcPr>
          <w:p w14:paraId="1C7EBC5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65" w:type="dxa"/>
            <w:tcBorders>
              <w:top w:val="single" w:sz="4" w:space="0" w:color="auto"/>
              <w:left w:val="nil"/>
              <w:bottom w:val="single" w:sz="4" w:space="0" w:color="auto"/>
              <w:right w:val="single" w:sz="4" w:space="0" w:color="auto"/>
            </w:tcBorders>
            <w:shd w:val="clear" w:color="auto" w:fill="C6EFCE"/>
            <w:noWrap/>
          </w:tcPr>
          <w:p w14:paraId="450D3CF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Právny rámec – vnútroštátny systém OVP</w:t>
            </w:r>
          </w:p>
        </w:tc>
        <w:tc>
          <w:tcPr>
            <w:tcW w:w="1471" w:type="dxa"/>
            <w:tcBorders>
              <w:top w:val="single" w:sz="4" w:space="0" w:color="auto"/>
              <w:left w:val="nil"/>
              <w:bottom w:val="single" w:sz="4" w:space="0" w:color="auto"/>
              <w:right w:val="single" w:sz="4" w:space="0" w:color="auto"/>
            </w:tcBorders>
            <w:shd w:val="clear" w:color="auto" w:fill="C6EFCE"/>
            <w:noWrap/>
          </w:tcPr>
          <w:p w14:paraId="27E888E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právnych predpisov.</w:t>
            </w:r>
          </w:p>
        </w:tc>
        <w:tc>
          <w:tcPr>
            <w:tcW w:w="1135" w:type="dxa"/>
            <w:tcBorders>
              <w:top w:val="single" w:sz="4" w:space="0" w:color="auto"/>
              <w:left w:val="nil"/>
              <w:bottom w:val="single" w:sz="4" w:space="0" w:color="auto"/>
              <w:right w:val="single" w:sz="4" w:space="0" w:color="auto"/>
            </w:tcBorders>
            <w:shd w:val="clear" w:color="auto" w:fill="C6EFCE"/>
            <w:noWrap/>
          </w:tcPr>
          <w:p w14:paraId="1ED8D019"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24" w:type="dxa"/>
            <w:tcBorders>
              <w:top w:val="single" w:sz="4" w:space="0" w:color="auto"/>
              <w:left w:val="nil"/>
              <w:bottom w:val="single" w:sz="4" w:space="0" w:color="auto"/>
              <w:right w:val="single" w:sz="4" w:space="0" w:color="auto"/>
            </w:tcBorders>
            <w:shd w:val="clear" w:color="auto" w:fill="C6EFCE"/>
            <w:noWrap/>
          </w:tcPr>
          <w:p w14:paraId="7EB4222D"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96" w:type="dxa"/>
            <w:tcBorders>
              <w:top w:val="single" w:sz="4" w:space="0" w:color="auto"/>
              <w:left w:val="nil"/>
              <w:bottom w:val="single" w:sz="4" w:space="0" w:color="auto"/>
              <w:right w:val="single" w:sz="4" w:space="0" w:color="auto"/>
            </w:tcBorders>
            <w:shd w:val="clear" w:color="auto" w:fill="C6EFCE"/>
            <w:noWrap/>
          </w:tcPr>
          <w:p w14:paraId="5F90030B"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6" w:type="dxa"/>
            <w:tcBorders>
              <w:top w:val="single" w:sz="4" w:space="0" w:color="auto"/>
              <w:left w:val="nil"/>
              <w:bottom w:val="single" w:sz="4" w:space="0" w:color="auto"/>
              <w:right w:val="single" w:sz="4" w:space="0" w:color="auto"/>
            </w:tcBorders>
            <w:shd w:val="clear" w:color="auto" w:fill="C6EFCE"/>
            <w:noWrap/>
          </w:tcPr>
          <w:p w14:paraId="32D1B00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83" w:type="dxa"/>
            <w:tcBorders>
              <w:top w:val="single" w:sz="4" w:space="0" w:color="auto"/>
              <w:left w:val="nil"/>
              <w:bottom w:val="single" w:sz="4" w:space="0" w:color="auto"/>
              <w:right w:val="single" w:sz="4" w:space="0" w:color="auto"/>
            </w:tcBorders>
            <w:shd w:val="clear" w:color="auto" w:fill="C6EFCE"/>
            <w:noWrap/>
          </w:tcPr>
          <w:p w14:paraId="315A35F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2024</w:t>
            </w:r>
          </w:p>
        </w:tc>
        <w:tc>
          <w:tcPr>
            <w:tcW w:w="4156" w:type="dxa"/>
            <w:tcBorders>
              <w:top w:val="single" w:sz="4" w:space="0" w:color="auto"/>
              <w:left w:val="nil"/>
              <w:bottom w:val="single" w:sz="4" w:space="0" w:color="auto"/>
              <w:right w:val="single" w:sz="4" w:space="0" w:color="auto"/>
            </w:tcBorders>
            <w:shd w:val="clear" w:color="auto" w:fill="C6EFCE"/>
            <w:noWrap/>
          </w:tcPr>
          <w:p w14:paraId="6CD4F428" w14:textId="09FB50D5"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zákona</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vnútroštátnom systéme OVP.</w:t>
            </w:r>
          </w:p>
        </w:tc>
      </w:tr>
      <w:tr w:rsidR="002D49B0" w:rsidRPr="00083739" w14:paraId="17059DC2" w14:textId="77777777">
        <w:trPr>
          <w:trHeight w:val="309"/>
          <w:jc w:val="center"/>
        </w:trPr>
        <w:tc>
          <w:tcPr>
            <w:tcW w:w="1116" w:type="dxa"/>
            <w:tcBorders>
              <w:top w:val="single" w:sz="4" w:space="0" w:color="auto"/>
              <w:left w:val="single" w:sz="4" w:space="0" w:color="auto"/>
              <w:bottom w:val="single" w:sz="4" w:space="0" w:color="auto"/>
              <w:right w:val="single" w:sz="4" w:space="0" w:color="auto"/>
            </w:tcBorders>
            <w:shd w:val="clear" w:color="auto" w:fill="C6EFCE"/>
            <w:noWrap/>
          </w:tcPr>
          <w:p w14:paraId="79FB396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145b</w:t>
            </w:r>
          </w:p>
        </w:tc>
        <w:tc>
          <w:tcPr>
            <w:tcW w:w="1797" w:type="dxa"/>
            <w:tcBorders>
              <w:top w:val="single" w:sz="4" w:space="0" w:color="auto"/>
              <w:left w:val="nil"/>
              <w:bottom w:val="single" w:sz="4" w:space="0" w:color="auto"/>
              <w:right w:val="single" w:sz="4" w:space="0" w:color="auto"/>
            </w:tcBorders>
            <w:shd w:val="clear" w:color="auto" w:fill="C6EFCE"/>
            <w:noWrap/>
          </w:tcPr>
          <w:p w14:paraId="35D591B0" w14:textId="77EBFE30"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9 – 3.2. Vzdelávanie,</w:t>
            </w:r>
            <w:r w:rsidRPr="00083739">
              <w:rPr>
                <w:rFonts w:ascii="Times New Roman" w:hAnsi="Times New Roman" w:cs="Times New Roman"/>
                <w:noProof/>
                <w:lang w:val="sk-SK"/>
              </w:rPr>
              <w:t xml:space="preserve"> odborné vzdelávanie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príprava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zručnosti – 16794_Posilnenie systému učňovskej prípravy </w:t>
            </w:r>
          </w:p>
        </w:tc>
        <w:tc>
          <w:tcPr>
            <w:tcW w:w="1099" w:type="dxa"/>
            <w:tcBorders>
              <w:top w:val="single" w:sz="4" w:space="0" w:color="auto"/>
              <w:left w:val="nil"/>
              <w:bottom w:val="single" w:sz="4" w:space="0" w:color="auto"/>
              <w:right w:val="single" w:sz="4" w:space="0" w:color="auto"/>
            </w:tcBorders>
            <w:shd w:val="clear" w:color="auto" w:fill="C6EFCE"/>
            <w:noWrap/>
          </w:tcPr>
          <w:p w14:paraId="5D42D73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65" w:type="dxa"/>
            <w:tcBorders>
              <w:top w:val="single" w:sz="4" w:space="0" w:color="auto"/>
              <w:left w:val="nil"/>
              <w:bottom w:val="single" w:sz="4" w:space="0" w:color="auto"/>
              <w:right w:val="single" w:sz="4" w:space="0" w:color="auto"/>
            </w:tcBorders>
            <w:shd w:val="clear" w:color="auto" w:fill="C6EFCE"/>
            <w:noWrap/>
          </w:tcPr>
          <w:p w14:paraId="68464CDD" w14:textId="0F22C901"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Kontrola kvality škôl odborného vzdelávania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prípravy, reforma učebných plánov, infraštruktúra OVP</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ďalšie projekty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 xml:space="preserve">rámci programu DYPA </w:t>
            </w:r>
          </w:p>
        </w:tc>
        <w:tc>
          <w:tcPr>
            <w:tcW w:w="1471" w:type="dxa"/>
            <w:tcBorders>
              <w:top w:val="single" w:sz="4" w:space="0" w:color="auto"/>
              <w:left w:val="nil"/>
              <w:bottom w:val="single" w:sz="4" w:space="0" w:color="auto"/>
              <w:right w:val="single" w:sz="4" w:space="0" w:color="auto"/>
            </w:tcBorders>
            <w:shd w:val="clear" w:color="auto" w:fill="C6EFCE"/>
            <w:noWrap/>
          </w:tcPr>
          <w:p w14:paraId="6BFFA0D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Správa DYPA potvr</w:t>
            </w:r>
            <w:r w:rsidRPr="00083739">
              <w:rPr>
                <w:rFonts w:ascii="Times New Roman" w:hAnsi="Times New Roman" w:cs="Times New Roman"/>
                <w:noProof/>
                <w:lang w:val="sk-SK"/>
              </w:rPr>
              <w:t>dzujúca dokončenie projektov</w:t>
            </w:r>
          </w:p>
        </w:tc>
        <w:tc>
          <w:tcPr>
            <w:tcW w:w="1135" w:type="dxa"/>
            <w:tcBorders>
              <w:top w:val="single" w:sz="4" w:space="0" w:color="auto"/>
              <w:left w:val="nil"/>
              <w:bottom w:val="single" w:sz="4" w:space="0" w:color="auto"/>
              <w:right w:val="single" w:sz="4" w:space="0" w:color="auto"/>
            </w:tcBorders>
            <w:shd w:val="clear" w:color="auto" w:fill="C6EFCE"/>
            <w:noWrap/>
          </w:tcPr>
          <w:p w14:paraId="48CB0B50"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24" w:type="dxa"/>
            <w:tcBorders>
              <w:top w:val="single" w:sz="4" w:space="0" w:color="auto"/>
              <w:left w:val="nil"/>
              <w:bottom w:val="single" w:sz="4" w:space="0" w:color="auto"/>
              <w:right w:val="single" w:sz="4" w:space="0" w:color="auto"/>
            </w:tcBorders>
            <w:shd w:val="clear" w:color="auto" w:fill="C6EFCE"/>
            <w:noWrap/>
          </w:tcPr>
          <w:p w14:paraId="307DCB6A"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96" w:type="dxa"/>
            <w:tcBorders>
              <w:top w:val="single" w:sz="4" w:space="0" w:color="auto"/>
              <w:left w:val="nil"/>
              <w:bottom w:val="single" w:sz="4" w:space="0" w:color="auto"/>
              <w:right w:val="single" w:sz="4" w:space="0" w:color="auto"/>
            </w:tcBorders>
            <w:shd w:val="clear" w:color="auto" w:fill="C6EFCE"/>
            <w:noWrap/>
          </w:tcPr>
          <w:p w14:paraId="64F162B2"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6" w:type="dxa"/>
            <w:tcBorders>
              <w:top w:val="single" w:sz="4" w:space="0" w:color="auto"/>
              <w:left w:val="nil"/>
              <w:bottom w:val="single" w:sz="4" w:space="0" w:color="auto"/>
              <w:right w:val="single" w:sz="4" w:space="0" w:color="auto"/>
            </w:tcBorders>
            <w:shd w:val="clear" w:color="auto" w:fill="C6EFCE"/>
            <w:noWrap/>
          </w:tcPr>
          <w:p w14:paraId="1B64218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83" w:type="dxa"/>
            <w:tcBorders>
              <w:top w:val="single" w:sz="4" w:space="0" w:color="auto"/>
              <w:left w:val="nil"/>
              <w:bottom w:val="single" w:sz="4" w:space="0" w:color="auto"/>
              <w:right w:val="single" w:sz="4" w:space="0" w:color="auto"/>
            </w:tcBorders>
            <w:shd w:val="clear" w:color="auto" w:fill="C6EFCE"/>
            <w:noWrap/>
          </w:tcPr>
          <w:p w14:paraId="6B6804B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4156" w:type="dxa"/>
            <w:tcBorders>
              <w:top w:val="single" w:sz="4" w:space="0" w:color="auto"/>
              <w:left w:val="nil"/>
              <w:bottom w:val="single" w:sz="4" w:space="0" w:color="auto"/>
              <w:right w:val="single" w:sz="4" w:space="0" w:color="auto"/>
            </w:tcBorders>
            <w:shd w:val="clear" w:color="auto" w:fill="C6EFCE"/>
            <w:noWrap/>
          </w:tcPr>
          <w:p w14:paraId="41D76363" w14:textId="77777777" w:rsidR="00083739" w:rsidRPr="00083739" w:rsidRDefault="00BF4125">
            <w:pPr>
              <w:pStyle w:val="P68B1DB1-paragraph26"/>
              <w:spacing w:before="0" w:beforeAutospacing="0" w:after="0" w:afterAutospacing="0"/>
              <w:textAlignment w:val="baseline"/>
              <w:rPr>
                <w:rFonts w:ascii="Times New Roman" w:hAnsi="Times New Roman"/>
                <w:noProof/>
                <w:lang w:val="sk-SK"/>
              </w:rPr>
            </w:pPr>
            <w:r w:rsidRPr="00083739">
              <w:rPr>
                <w:rFonts w:ascii="Times New Roman" w:hAnsi="Times New Roman"/>
                <w:noProof/>
                <w:lang w:val="sk-SK"/>
              </w:rPr>
              <w:t>Dokončenie týchto projektov:  1. posúdenie, prepracovanie</w:t>
            </w:r>
            <w:r w:rsidR="00083739" w:rsidRPr="00083739">
              <w:rPr>
                <w:rFonts w:ascii="Times New Roman" w:hAnsi="Times New Roman"/>
                <w:noProof/>
                <w:lang w:val="sk-SK"/>
              </w:rPr>
              <w:t xml:space="preserve"> a </w:t>
            </w:r>
            <w:r w:rsidRPr="00083739">
              <w:rPr>
                <w:rFonts w:ascii="Times New Roman" w:hAnsi="Times New Roman"/>
                <w:noProof/>
                <w:lang w:val="sk-SK"/>
              </w:rPr>
              <w:t>aktualizácia súčasných učebných osnov najmenej 34 programov odbornej prípravy</w:t>
            </w:r>
            <w:r w:rsidR="00083739" w:rsidRPr="00083739">
              <w:rPr>
                <w:rFonts w:ascii="Times New Roman" w:hAnsi="Times New Roman"/>
                <w:noProof/>
                <w:lang w:val="sk-SK"/>
              </w:rPr>
              <w:t xml:space="preserve"> s </w:t>
            </w:r>
            <w:r w:rsidRPr="00083739">
              <w:rPr>
                <w:rFonts w:ascii="Times New Roman" w:hAnsi="Times New Roman"/>
                <w:noProof/>
                <w:lang w:val="sk-SK"/>
              </w:rPr>
              <w:t>cieľom ďalej ich zosúladiť so skutočnými potrebami trhu práce;</w:t>
            </w:r>
          </w:p>
          <w:p w14:paraId="217994C1" w14:textId="77777777" w:rsidR="00083739" w:rsidRPr="00083739" w:rsidRDefault="00BF4125">
            <w:pPr>
              <w:pStyle w:val="P68B1DB1-paragraph26"/>
              <w:spacing w:before="0" w:beforeAutospacing="0" w:after="0" w:afterAutospacing="0"/>
              <w:rPr>
                <w:rFonts w:ascii="Times New Roman" w:hAnsi="Times New Roman"/>
                <w:noProof/>
                <w:lang w:val="sk-SK"/>
              </w:rPr>
            </w:pPr>
            <w:r w:rsidRPr="00083739">
              <w:rPr>
                <w:rFonts w:ascii="Times New Roman" w:hAnsi="Times New Roman"/>
                <w:noProof/>
                <w:lang w:val="sk-SK"/>
              </w:rPr>
              <w:t>2. obnovenie</w:t>
            </w:r>
            <w:r w:rsidR="00083739" w:rsidRPr="00083739">
              <w:rPr>
                <w:rFonts w:ascii="Times New Roman" w:hAnsi="Times New Roman"/>
                <w:noProof/>
                <w:lang w:val="sk-SK"/>
              </w:rPr>
              <w:t xml:space="preserve"> a </w:t>
            </w:r>
            <w:r w:rsidRPr="00083739">
              <w:rPr>
                <w:rFonts w:ascii="Times New Roman" w:hAnsi="Times New Roman"/>
                <w:noProof/>
                <w:lang w:val="sk-SK"/>
              </w:rPr>
              <w:t>modernizácia infraštruktúry OVP (aspoň 210 laboratórií</w:t>
            </w:r>
            <w:r w:rsidR="00083739" w:rsidRPr="00083739">
              <w:rPr>
                <w:rFonts w:ascii="Times New Roman" w:hAnsi="Times New Roman"/>
                <w:noProof/>
                <w:lang w:val="sk-SK"/>
              </w:rPr>
              <w:t xml:space="preserve"> a </w:t>
            </w:r>
            <w:r w:rsidRPr="00083739">
              <w:rPr>
                <w:rFonts w:ascii="Times New Roman" w:hAnsi="Times New Roman"/>
                <w:noProof/>
                <w:lang w:val="sk-SK"/>
              </w:rPr>
              <w:t>ich vybavenia);</w:t>
            </w:r>
          </w:p>
          <w:p w14:paraId="20474A7E" w14:textId="77777777" w:rsidR="00083739" w:rsidRPr="00083739" w:rsidRDefault="00BF4125">
            <w:pPr>
              <w:pStyle w:val="P68B1DB1-paragraph26"/>
              <w:spacing w:before="0" w:beforeAutospacing="0" w:after="0" w:afterAutospacing="0"/>
              <w:rPr>
                <w:rFonts w:ascii="Times New Roman" w:hAnsi="Times New Roman"/>
                <w:noProof/>
                <w:lang w:val="sk-SK"/>
              </w:rPr>
            </w:pPr>
            <w:r w:rsidRPr="00083739">
              <w:rPr>
                <w:rFonts w:ascii="Times New Roman" w:hAnsi="Times New Roman"/>
                <w:noProof/>
                <w:lang w:val="sk-SK"/>
              </w:rPr>
              <w:t>3. renovácia najmenej 25 budov EPAS</w:t>
            </w:r>
            <w:r w:rsidR="00083739" w:rsidRPr="00083739">
              <w:rPr>
                <w:rFonts w:ascii="Times New Roman" w:hAnsi="Times New Roman"/>
                <w:noProof/>
                <w:lang w:val="sk-SK"/>
              </w:rPr>
              <w:t xml:space="preserve"> s </w:t>
            </w:r>
            <w:r w:rsidRPr="00083739">
              <w:rPr>
                <w:rFonts w:ascii="Times New Roman" w:hAnsi="Times New Roman"/>
                <w:noProof/>
                <w:lang w:val="sk-SK"/>
              </w:rPr>
              <w:t>cieľom zlepšiť energetickú účinnosť</w:t>
            </w:r>
            <w:r w:rsidR="00083739" w:rsidRPr="00083739">
              <w:rPr>
                <w:rFonts w:ascii="Times New Roman" w:hAnsi="Times New Roman"/>
                <w:noProof/>
                <w:lang w:val="sk-SK"/>
              </w:rPr>
              <w:t xml:space="preserve"> a </w:t>
            </w:r>
            <w:r w:rsidRPr="00083739">
              <w:rPr>
                <w:rFonts w:ascii="Times New Roman" w:hAnsi="Times New Roman"/>
                <w:noProof/>
                <w:lang w:val="sk-SK"/>
              </w:rPr>
              <w:t>priestorovú funkčnosť;</w:t>
            </w:r>
          </w:p>
          <w:p w14:paraId="21D9C6CD" w14:textId="504C7592" w:rsidR="00083739" w:rsidRPr="00083739" w:rsidRDefault="00BF4125">
            <w:pPr>
              <w:pStyle w:val="P68B1DB1-paragraph26"/>
              <w:spacing w:before="0" w:beforeAutospacing="0" w:after="0" w:afterAutospacing="0"/>
              <w:rPr>
                <w:rFonts w:ascii="Times New Roman" w:hAnsi="Times New Roman"/>
                <w:noProof/>
                <w:lang w:val="sk-SK"/>
              </w:rPr>
            </w:pPr>
            <w:r w:rsidRPr="00083739">
              <w:rPr>
                <w:rFonts w:ascii="Times New Roman" w:hAnsi="Times New Roman"/>
                <w:noProof/>
                <w:lang w:val="sk-SK"/>
              </w:rPr>
              <w:t>Integrácia technológie virtuálnej reality do modulov každodenného vzd</w:t>
            </w:r>
            <w:r w:rsidRPr="00083739">
              <w:rPr>
                <w:rFonts w:ascii="Times New Roman" w:hAnsi="Times New Roman"/>
                <w:noProof/>
                <w:lang w:val="sk-SK"/>
              </w:rPr>
              <w:t>elávania</w:t>
            </w:r>
          </w:p>
          <w:p w14:paraId="2076D736" w14:textId="1FB946B1" w:rsidR="002D49B0" w:rsidRPr="00083739" w:rsidRDefault="00BF4125">
            <w:pPr>
              <w:pStyle w:val="P68B1DB1-paragraph26"/>
              <w:spacing w:before="0" w:beforeAutospacing="0" w:after="0" w:afterAutospacing="0"/>
              <w:rPr>
                <w:rFonts w:ascii="Times New Roman" w:hAnsi="Times New Roman"/>
                <w:noProof/>
                <w:szCs w:val="18"/>
                <w:lang w:val="sk-SK"/>
              </w:rPr>
            </w:pPr>
            <w:r w:rsidRPr="00083739">
              <w:rPr>
                <w:rFonts w:ascii="Times New Roman" w:hAnsi="Times New Roman"/>
                <w:noProof/>
                <w:lang w:val="sk-SK"/>
              </w:rPr>
              <w:t>Zriadenie rozsiahleho programu „odbornej prípravy školiteľov“ pre pedagogických pracovníkov DYPA (zahŕňajúceho najmenej 810 školiteľov);</w:t>
            </w:r>
          </w:p>
          <w:p w14:paraId="4162D3C4" w14:textId="77777777" w:rsidR="00083739" w:rsidRPr="00083739" w:rsidRDefault="00BF4125">
            <w:pPr>
              <w:pStyle w:val="P68B1DB1-paragraph26"/>
              <w:spacing w:before="0" w:beforeAutospacing="0" w:after="0" w:afterAutospacing="0"/>
              <w:rPr>
                <w:rFonts w:ascii="Times New Roman" w:hAnsi="Times New Roman"/>
                <w:noProof/>
                <w:lang w:val="sk-SK"/>
              </w:rPr>
            </w:pPr>
            <w:r w:rsidRPr="00083739">
              <w:rPr>
                <w:rFonts w:ascii="Times New Roman" w:hAnsi="Times New Roman"/>
                <w:noProof/>
                <w:lang w:val="sk-SK"/>
              </w:rPr>
              <w:t>6) Začatie/spustenie/zavedenie komunikačnej kampane na podporu systému učňovskej prípravy</w:t>
            </w:r>
            <w:r w:rsidR="00083739" w:rsidRPr="00083739">
              <w:rPr>
                <w:rFonts w:ascii="Times New Roman" w:hAnsi="Times New Roman"/>
                <w:noProof/>
                <w:lang w:val="sk-SK"/>
              </w:rPr>
              <w:t>.</w:t>
            </w:r>
          </w:p>
          <w:p w14:paraId="2CC3E1A1" w14:textId="2ECE74C7" w:rsidR="002D49B0" w:rsidRPr="00083739" w:rsidRDefault="002D49B0">
            <w:pPr>
              <w:pStyle w:val="paragraph"/>
              <w:spacing w:before="0" w:beforeAutospacing="0" w:after="0" w:afterAutospacing="0"/>
              <w:rPr>
                <w:noProof/>
                <w:color w:val="006100"/>
                <w:sz w:val="18"/>
                <w:szCs w:val="18"/>
                <w:lang w:val="sk-SK"/>
              </w:rPr>
            </w:pPr>
          </w:p>
          <w:p w14:paraId="71B3BA79" w14:textId="51E934A9"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Dokončené stavebné</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renovačné práce</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rámci projektu 3 musia</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priemere dosiahnuť aspoň strednú hĺbkovú obnovu vymedzenú</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odporúčaní Komisie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obnove budov (EÚ) 2019/786 alebo b)</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cieľom dosiahnuť</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priemere aspoň 30</w:t>
            </w:r>
            <w:r w:rsidR="00083739" w:rsidRPr="00083739">
              <w:rPr>
                <w:rFonts w:ascii="Times New Roman" w:hAnsi="Times New Roman" w:cs="Times New Roman"/>
                <w:noProof/>
                <w:lang w:val="sk-SK"/>
              </w:rPr>
              <w:t> %</w:t>
            </w:r>
            <w:r w:rsidRPr="00083739">
              <w:rPr>
                <w:rFonts w:ascii="Times New Roman" w:hAnsi="Times New Roman" w:cs="Times New Roman"/>
                <w:noProof/>
                <w:lang w:val="sk-SK"/>
              </w:rPr>
              <w:t xml:space="preserve"> zníženie priamych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nepriamych emisií skleníkových p</w:t>
            </w:r>
            <w:r w:rsidRPr="00083739">
              <w:rPr>
                <w:rFonts w:ascii="Times New Roman" w:hAnsi="Times New Roman" w:cs="Times New Roman"/>
                <w:noProof/>
                <w:lang w:val="sk-SK"/>
              </w:rPr>
              <w:t>lynov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porovnaní</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emisiami ex ante.</w:t>
            </w:r>
          </w:p>
        </w:tc>
      </w:tr>
      <w:tr w:rsidR="002D49B0" w:rsidRPr="00083739" w14:paraId="3E76C072" w14:textId="77777777">
        <w:trPr>
          <w:trHeight w:val="309"/>
          <w:jc w:val="center"/>
        </w:trPr>
        <w:tc>
          <w:tcPr>
            <w:tcW w:w="1116" w:type="dxa"/>
            <w:tcBorders>
              <w:top w:val="single" w:sz="4" w:space="0" w:color="auto"/>
              <w:left w:val="single" w:sz="4" w:space="0" w:color="auto"/>
              <w:bottom w:val="single" w:sz="4" w:space="0" w:color="auto"/>
              <w:right w:val="single" w:sz="4" w:space="0" w:color="auto"/>
            </w:tcBorders>
            <w:shd w:val="clear" w:color="auto" w:fill="C6EFCE"/>
            <w:noWrap/>
          </w:tcPr>
          <w:p w14:paraId="4D81E13C" w14:textId="77777777"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146</w:t>
            </w:r>
          </w:p>
        </w:tc>
        <w:tc>
          <w:tcPr>
            <w:tcW w:w="1797" w:type="dxa"/>
            <w:tcBorders>
              <w:top w:val="single" w:sz="4" w:space="0" w:color="auto"/>
              <w:left w:val="nil"/>
              <w:bottom w:val="single" w:sz="4" w:space="0" w:color="auto"/>
              <w:right w:val="single" w:sz="4" w:space="0" w:color="auto"/>
            </w:tcBorders>
            <w:shd w:val="clear" w:color="auto" w:fill="C6EFCE"/>
            <w:noWrap/>
          </w:tcPr>
          <w:p w14:paraId="0AAA98C3" w14:textId="423EA289"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9 – 3.2. Vzdelávanie, odborné vzdelávanie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príprava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zručnosti – 16792_Rekvalifikácia, rekvalifikácia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zvyšovanie úrovne zručností prostredníctvom reformovaného modelu odbornej prípravy (reforma odborného </w:t>
            </w:r>
            <w:r w:rsidRPr="00083739">
              <w:rPr>
                <w:rFonts w:ascii="Times New Roman" w:hAnsi="Times New Roman" w:cs="Times New Roman"/>
                <w:noProof/>
                <w:lang w:val="sk-SK"/>
              </w:rPr>
              <w:t>vzdelávania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odbornej prípravy)</w:t>
            </w:r>
          </w:p>
        </w:tc>
        <w:tc>
          <w:tcPr>
            <w:tcW w:w="1099" w:type="dxa"/>
            <w:tcBorders>
              <w:top w:val="single" w:sz="4" w:space="0" w:color="auto"/>
              <w:left w:val="nil"/>
              <w:bottom w:val="single" w:sz="4" w:space="0" w:color="auto"/>
              <w:right w:val="single" w:sz="4" w:space="0" w:color="auto"/>
            </w:tcBorders>
            <w:shd w:val="clear" w:color="auto" w:fill="C6EFCE"/>
            <w:noWrap/>
          </w:tcPr>
          <w:p w14:paraId="4DB31BC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65" w:type="dxa"/>
            <w:tcBorders>
              <w:top w:val="single" w:sz="4" w:space="0" w:color="auto"/>
              <w:left w:val="nil"/>
              <w:bottom w:val="single" w:sz="4" w:space="0" w:color="auto"/>
              <w:right w:val="single" w:sz="4" w:space="0" w:color="auto"/>
            </w:tcBorders>
            <w:shd w:val="clear" w:color="auto" w:fill="C6EFCE"/>
            <w:noWrap/>
          </w:tcPr>
          <w:p w14:paraId="6B3D57D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Systém kontroly kvality OVP,</w:t>
            </w:r>
          </w:p>
          <w:p w14:paraId="2B5FB5F0" w14:textId="77777777" w:rsidR="002D49B0" w:rsidRPr="00083739" w:rsidRDefault="00BF4125">
            <w:pPr>
              <w:pStyle w:val="P68B1DB1-Normal9"/>
              <w:spacing w:after="0" w:line="240" w:lineRule="auto"/>
              <w:rPr>
                <w:rFonts w:ascii="Times New Roman" w:hAnsi="Times New Roman" w:cs="Times New Roman"/>
                <w:noProof/>
                <w:szCs w:val="18"/>
                <w:lang w:val="sk-SK"/>
              </w:rPr>
            </w:pPr>
            <w:r w:rsidRPr="00083739">
              <w:rPr>
                <w:rFonts w:ascii="Times New Roman" w:hAnsi="Times New Roman" w:cs="Times New Roman"/>
                <w:noProof/>
                <w:lang w:val="sk-SK"/>
              </w:rPr>
              <w:t>aktualizácia modulov útvarov odborného vzdelávania verejných služieb zamestnanosti (DYPA),</w:t>
            </w:r>
          </w:p>
          <w:p w14:paraId="11D3822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digitálne kurzy,</w:t>
            </w:r>
          </w:p>
          <w:p w14:paraId="7A3483A1" w14:textId="1AE27FF4" w:rsidR="002D49B0" w:rsidRPr="00083739" w:rsidRDefault="00BF4125">
            <w:pPr>
              <w:pStyle w:val="P68B1DB1-Normal9"/>
              <w:spacing w:after="0" w:line="240" w:lineRule="auto"/>
              <w:rPr>
                <w:rFonts w:ascii="Times New Roman" w:hAnsi="Times New Roman" w:cs="Times New Roman"/>
                <w:noProof/>
                <w:szCs w:val="18"/>
                <w:lang w:val="sk-SK"/>
              </w:rPr>
            </w:pPr>
            <w:r w:rsidRPr="00083739">
              <w:rPr>
                <w:rFonts w:ascii="Times New Roman" w:hAnsi="Times New Roman" w:cs="Times New Roman"/>
                <w:noProof/>
                <w:lang w:val="sk-SK"/>
              </w:rPr>
              <w:t>dodávka vybavenia 49 laboratórií, sektorové programy odbornej prípravy</w:t>
            </w:r>
          </w:p>
          <w:p w14:paraId="4BAAAE8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w:t>
            </w:r>
          </w:p>
          <w:p w14:paraId="6DF722D3"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471" w:type="dxa"/>
            <w:tcBorders>
              <w:top w:val="single" w:sz="4" w:space="0" w:color="auto"/>
              <w:left w:val="nil"/>
              <w:bottom w:val="single" w:sz="4" w:space="0" w:color="auto"/>
              <w:right w:val="single" w:sz="4" w:space="0" w:color="auto"/>
            </w:tcBorders>
            <w:shd w:val="clear" w:color="auto" w:fill="C6EFCE"/>
            <w:noWrap/>
          </w:tcPr>
          <w:p w14:paraId="3CFFDD0F" w14:textId="0A5A76DF"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Správa národnej organizácie práce potvrdzujúca dokončenie projektov a, b, c, d</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e</w:t>
            </w:r>
          </w:p>
        </w:tc>
        <w:tc>
          <w:tcPr>
            <w:tcW w:w="1135" w:type="dxa"/>
            <w:tcBorders>
              <w:top w:val="single" w:sz="4" w:space="0" w:color="auto"/>
              <w:left w:val="nil"/>
              <w:bottom w:val="single" w:sz="4" w:space="0" w:color="auto"/>
              <w:right w:val="single" w:sz="4" w:space="0" w:color="auto"/>
            </w:tcBorders>
            <w:shd w:val="clear" w:color="auto" w:fill="C6EFCE"/>
            <w:noWrap/>
          </w:tcPr>
          <w:p w14:paraId="3ED04B36"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24" w:type="dxa"/>
            <w:tcBorders>
              <w:top w:val="single" w:sz="4" w:space="0" w:color="auto"/>
              <w:left w:val="nil"/>
              <w:bottom w:val="single" w:sz="4" w:space="0" w:color="auto"/>
              <w:right w:val="single" w:sz="4" w:space="0" w:color="auto"/>
            </w:tcBorders>
            <w:shd w:val="clear" w:color="auto" w:fill="C6EFCE"/>
            <w:noWrap/>
          </w:tcPr>
          <w:p w14:paraId="57E22A63"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96" w:type="dxa"/>
            <w:tcBorders>
              <w:top w:val="single" w:sz="4" w:space="0" w:color="auto"/>
              <w:left w:val="nil"/>
              <w:bottom w:val="single" w:sz="4" w:space="0" w:color="auto"/>
              <w:right w:val="single" w:sz="4" w:space="0" w:color="auto"/>
            </w:tcBorders>
            <w:shd w:val="clear" w:color="auto" w:fill="C6EFCE"/>
            <w:noWrap/>
          </w:tcPr>
          <w:p w14:paraId="1A80F4A7"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6" w:type="dxa"/>
            <w:tcBorders>
              <w:top w:val="single" w:sz="4" w:space="0" w:color="auto"/>
              <w:left w:val="nil"/>
              <w:bottom w:val="single" w:sz="4" w:space="0" w:color="auto"/>
              <w:right w:val="single" w:sz="4" w:space="0" w:color="auto"/>
            </w:tcBorders>
            <w:shd w:val="clear" w:color="auto" w:fill="C6EFCE"/>
            <w:noWrap/>
          </w:tcPr>
          <w:p w14:paraId="6036789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83" w:type="dxa"/>
            <w:tcBorders>
              <w:top w:val="single" w:sz="4" w:space="0" w:color="auto"/>
              <w:left w:val="nil"/>
              <w:bottom w:val="single" w:sz="4" w:space="0" w:color="auto"/>
              <w:right w:val="single" w:sz="4" w:space="0" w:color="auto"/>
            </w:tcBorders>
            <w:shd w:val="clear" w:color="auto" w:fill="C6EFCE"/>
            <w:noWrap/>
          </w:tcPr>
          <w:p w14:paraId="24BD357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4156" w:type="dxa"/>
            <w:tcBorders>
              <w:top w:val="single" w:sz="4" w:space="0" w:color="auto"/>
              <w:left w:val="nil"/>
              <w:bottom w:val="single" w:sz="4" w:space="0" w:color="auto"/>
              <w:right w:val="single" w:sz="4" w:space="0" w:color="auto"/>
            </w:tcBorders>
            <w:shd w:val="clear" w:color="auto" w:fill="C6EFCE"/>
            <w:noWrap/>
          </w:tcPr>
          <w:p w14:paraId="5E88BA79" w14:textId="77777777"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Dokončenie týchto projektov</w:t>
            </w:r>
            <w:r w:rsidR="00083739" w:rsidRPr="00083739">
              <w:rPr>
                <w:rFonts w:ascii="Times New Roman" w:hAnsi="Times New Roman" w:cs="Times New Roman"/>
                <w:noProof/>
                <w:lang w:val="sk-SK"/>
              </w:rPr>
              <w:t>:</w:t>
            </w:r>
          </w:p>
          <w:p w14:paraId="118391E7" w14:textId="3DD63A56"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a) Systém kontroly kvality OVP zameraný na zlepšenie kontroly kvality útvarov odbornej prípravy národnej org</w:t>
            </w:r>
            <w:r w:rsidRPr="00083739">
              <w:rPr>
                <w:rFonts w:ascii="Times New Roman" w:hAnsi="Times New Roman" w:cs="Times New Roman"/>
                <w:noProof/>
                <w:lang w:val="sk-SK"/>
              </w:rPr>
              <w:t>anizácie práce (DYPA)</w:t>
            </w:r>
          </w:p>
          <w:p w14:paraId="56795636" w14:textId="77777777" w:rsidR="00083739" w:rsidRPr="00083739" w:rsidRDefault="00BF4125">
            <w:pPr>
              <w:pStyle w:val="P68B1DB1-paragraph26"/>
              <w:spacing w:before="0" w:beforeAutospacing="0" w:after="0" w:afterAutospacing="0"/>
              <w:rPr>
                <w:rFonts w:ascii="Times New Roman" w:hAnsi="Times New Roman"/>
                <w:noProof/>
                <w:lang w:val="sk-SK"/>
              </w:rPr>
            </w:pPr>
            <w:r w:rsidRPr="00083739">
              <w:rPr>
                <w:rFonts w:ascii="Times New Roman" w:hAnsi="Times New Roman"/>
                <w:noProof/>
                <w:lang w:val="sk-SK"/>
              </w:rPr>
              <w:t>b) Ukončenie aktualizácie modulov odbornej prípravy útvarov odbornej prípravy verejných služieb zamestnanosti (DYPA) ako súčasť komplexnej reformy aktívnych politík trhu práce DYPA.</w:t>
            </w:r>
          </w:p>
          <w:p w14:paraId="34B7C558" w14:textId="77777777" w:rsidR="00083739" w:rsidRPr="00083739" w:rsidRDefault="00BF4125">
            <w:pPr>
              <w:pStyle w:val="P68B1DB1-paragraph26"/>
              <w:spacing w:before="0" w:beforeAutospacing="0" w:after="0" w:afterAutospacing="0"/>
              <w:rPr>
                <w:rFonts w:ascii="Times New Roman" w:hAnsi="Times New Roman"/>
                <w:noProof/>
                <w:lang w:val="sk-SK"/>
              </w:rPr>
            </w:pPr>
            <w:r w:rsidRPr="00083739">
              <w:rPr>
                <w:rFonts w:ascii="Times New Roman" w:hAnsi="Times New Roman"/>
                <w:noProof/>
                <w:lang w:val="sk-SK"/>
              </w:rPr>
              <w:t>C) Ukončenie vývoja digitálnych kurzov</w:t>
            </w:r>
          </w:p>
          <w:p w14:paraId="77C8214D" w14:textId="07ED468A" w:rsidR="00083739" w:rsidRPr="00083739" w:rsidRDefault="00BF4125">
            <w:pPr>
              <w:pStyle w:val="P68B1DB1-paragraph27"/>
              <w:spacing w:before="0" w:beforeAutospacing="0" w:after="0" w:afterAutospacing="0"/>
              <w:rPr>
                <w:rFonts w:ascii="Times New Roman" w:hAnsi="Times New Roman"/>
                <w:noProof/>
                <w:lang w:val="sk-SK"/>
              </w:rPr>
            </w:pPr>
            <w:r w:rsidRPr="00083739">
              <w:rPr>
                <w:rFonts w:ascii="Times New Roman" w:hAnsi="Times New Roman"/>
                <w:noProof/>
                <w:lang w:val="sk-SK"/>
              </w:rPr>
              <w:t>d) Nákup súvi</w:t>
            </w:r>
            <w:r w:rsidRPr="00083739">
              <w:rPr>
                <w:rFonts w:ascii="Times New Roman" w:hAnsi="Times New Roman"/>
                <w:noProof/>
                <w:lang w:val="sk-SK"/>
              </w:rPr>
              <w:t>siaceho vybavenia pre laboratóriá škôl odborného vzdelávania</w:t>
            </w:r>
            <w:r w:rsidR="00083739" w:rsidRPr="00083739">
              <w:rPr>
                <w:rFonts w:ascii="Times New Roman" w:hAnsi="Times New Roman"/>
                <w:noProof/>
                <w:lang w:val="sk-SK"/>
              </w:rPr>
              <w:t xml:space="preserve"> a </w:t>
            </w:r>
            <w:r w:rsidRPr="00083739">
              <w:rPr>
                <w:rFonts w:ascii="Times New Roman" w:hAnsi="Times New Roman"/>
                <w:noProof/>
                <w:lang w:val="sk-SK"/>
              </w:rPr>
              <w:t>prípravy</w:t>
            </w:r>
            <w:r w:rsidR="00083739" w:rsidRPr="00083739">
              <w:rPr>
                <w:rFonts w:ascii="Times New Roman" w:hAnsi="Times New Roman"/>
                <w:noProof/>
                <w:lang w:val="sk-SK"/>
              </w:rPr>
              <w:t>.</w:t>
            </w:r>
          </w:p>
          <w:p w14:paraId="0199EAE0" w14:textId="77777777" w:rsidR="00083739" w:rsidRPr="00083739" w:rsidRDefault="00BF4125">
            <w:pPr>
              <w:pStyle w:val="P68B1DB1-paragraph26"/>
              <w:spacing w:before="0" w:beforeAutospacing="0" w:after="0" w:afterAutospacing="0"/>
              <w:rPr>
                <w:rFonts w:ascii="Times New Roman" w:hAnsi="Times New Roman"/>
                <w:noProof/>
                <w:lang w:val="sk-SK"/>
              </w:rPr>
            </w:pPr>
            <w:r w:rsidRPr="00083739">
              <w:rPr>
                <w:rFonts w:ascii="Times New Roman" w:hAnsi="Times New Roman"/>
                <w:noProof/>
                <w:lang w:val="sk-SK"/>
              </w:rPr>
              <w:t>e) Ukončenie sektorových programov odbornej prípravy</w:t>
            </w:r>
            <w:r w:rsidR="00083739" w:rsidRPr="00083739">
              <w:rPr>
                <w:rFonts w:ascii="Times New Roman" w:hAnsi="Times New Roman"/>
                <w:noProof/>
                <w:lang w:val="sk-SK"/>
              </w:rPr>
              <w:t>.</w:t>
            </w:r>
          </w:p>
          <w:p w14:paraId="1416819B" w14:textId="53B27E08" w:rsidR="002D49B0" w:rsidRPr="00083739" w:rsidRDefault="002D49B0">
            <w:pPr>
              <w:spacing w:line="240" w:lineRule="auto"/>
              <w:rPr>
                <w:rFonts w:ascii="Times New Roman" w:hAnsi="Times New Roman" w:cs="Times New Roman"/>
                <w:noProof/>
                <w:sz w:val="18"/>
                <w:szCs w:val="18"/>
                <w:lang w:val="sk-SK"/>
              </w:rPr>
            </w:pPr>
          </w:p>
        </w:tc>
      </w:tr>
    </w:tbl>
    <w:p w14:paraId="6CC1A489" w14:textId="77777777" w:rsidR="002D49B0" w:rsidRPr="00083739" w:rsidRDefault="002D49B0">
      <w:pPr>
        <w:rPr>
          <w:rFonts w:ascii="Times New Roman" w:hAnsi="Times New Roman" w:cs="Times New Roman"/>
          <w:noProof/>
          <w:lang w:val="sk-SK"/>
        </w:rPr>
      </w:pPr>
    </w:p>
    <w:p w14:paraId="5BD214C7" w14:textId="77777777" w:rsidR="002D49B0" w:rsidRPr="00083739" w:rsidRDefault="002D49B0">
      <w:pPr>
        <w:rPr>
          <w:rFonts w:ascii="Times New Roman" w:hAnsi="Times New Roman" w:cs="Times New Roman"/>
          <w:noProof/>
          <w:lang w:val="sk-SK"/>
        </w:rPr>
      </w:pPr>
    </w:p>
    <w:p w14:paraId="2573FD9F" w14:textId="073C2EE2" w:rsidR="002D49B0" w:rsidRPr="00083739" w:rsidRDefault="00BF4125">
      <w:pPr>
        <w:pStyle w:val="P68B1DB1-Normal6"/>
        <w:keepNext/>
        <w:keepLines/>
        <w:spacing w:before="240" w:line="240" w:lineRule="auto"/>
        <w:jc w:val="both"/>
        <w:outlineLvl w:val="4"/>
        <w:rPr>
          <w:rFonts w:ascii="Times New Roman" w:eastAsia="Times New Roman" w:hAnsi="Times New Roman" w:cs="Times New Roman"/>
          <w:noProof/>
          <w:lang w:val="sk-SK"/>
        </w:rPr>
      </w:pPr>
      <w:r w:rsidRPr="00083739">
        <w:rPr>
          <w:rFonts w:ascii="Times New Roman" w:hAnsi="Times New Roman" w:cs="Times New Roman"/>
          <w:noProof/>
          <w:lang w:val="sk-SK"/>
        </w:rPr>
        <w:t>Skupina 12: Ministerstvo školstva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náboženských záležitostí – reformy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investície</w:t>
      </w:r>
    </w:p>
    <w:p w14:paraId="6DD582BE" w14:textId="400B0C12" w:rsidR="002D49B0" w:rsidRPr="00083739" w:rsidRDefault="00BF4125">
      <w:pPr>
        <w:pStyle w:val="P68B1DB1-Normal4"/>
        <w:numPr>
          <w:ilvl w:val="0"/>
          <w:numId w:val="42"/>
        </w:numPr>
        <w:spacing w:before="120" w:after="0" w:line="240" w:lineRule="auto"/>
        <w:jc w:val="both"/>
        <w:rPr>
          <w:rFonts w:cs="Times New Roman"/>
          <w:noProof/>
          <w:lang w:val="sk-SK"/>
        </w:rPr>
      </w:pPr>
      <w:r w:rsidRPr="00083739">
        <w:rPr>
          <w:rFonts w:cs="Times New Roman"/>
          <w:noProof/>
          <w:lang w:val="sk-SK"/>
        </w:rPr>
        <w:t>Modernizácia odborného vzdelávania</w:t>
      </w:r>
      <w:r w:rsidR="00083739" w:rsidRPr="00083739">
        <w:rPr>
          <w:rFonts w:cs="Times New Roman"/>
          <w:noProof/>
          <w:lang w:val="sk-SK"/>
        </w:rPr>
        <w:t xml:space="preserve"> a </w:t>
      </w:r>
      <w:r w:rsidRPr="00083739">
        <w:rPr>
          <w:rFonts w:cs="Times New Roman"/>
          <w:noProof/>
          <w:lang w:val="sk-SK"/>
        </w:rPr>
        <w:t>prípravy (OVP): Poskytovanie laboratórneho vybavenia laboratórnym centrám pre SAEK, EPAL, post-druhý ročník učňovskej prípravy</w:t>
      </w:r>
      <w:r w:rsidR="00083739" w:rsidRPr="00083739">
        <w:rPr>
          <w:rFonts w:cs="Times New Roman"/>
          <w:noProof/>
          <w:lang w:val="sk-SK"/>
        </w:rPr>
        <w:t xml:space="preserve"> a </w:t>
      </w:r>
      <w:r w:rsidRPr="00083739">
        <w:rPr>
          <w:rFonts w:cs="Times New Roman"/>
          <w:noProof/>
          <w:lang w:val="sk-SK"/>
        </w:rPr>
        <w:t>školy odbornej prípravy (ID: 16933)</w:t>
      </w:r>
    </w:p>
    <w:p w14:paraId="3305A5E4" w14:textId="251CCB60" w:rsidR="002D49B0" w:rsidRPr="00083739" w:rsidRDefault="00BF4125">
      <w:pPr>
        <w:pStyle w:val="P68B1DB1-Normal4"/>
        <w:numPr>
          <w:ilvl w:val="0"/>
          <w:numId w:val="42"/>
        </w:numPr>
        <w:spacing w:before="120" w:after="0" w:line="240" w:lineRule="auto"/>
        <w:jc w:val="both"/>
        <w:rPr>
          <w:rFonts w:cs="Times New Roman"/>
          <w:noProof/>
          <w:lang w:val="sk-SK"/>
        </w:rPr>
      </w:pPr>
      <w:r w:rsidRPr="00083739">
        <w:rPr>
          <w:rFonts w:cs="Times New Roman"/>
          <w:noProof/>
          <w:lang w:val="sk-SK"/>
        </w:rPr>
        <w:t>Modernizácia odborného vzdelávania</w:t>
      </w:r>
      <w:r w:rsidR="00083739" w:rsidRPr="00083739">
        <w:rPr>
          <w:rFonts w:cs="Times New Roman"/>
          <w:noProof/>
          <w:lang w:val="sk-SK"/>
        </w:rPr>
        <w:t xml:space="preserve"> a </w:t>
      </w:r>
      <w:r w:rsidRPr="00083739">
        <w:rPr>
          <w:rFonts w:cs="Times New Roman"/>
          <w:noProof/>
          <w:lang w:val="sk-SK"/>
        </w:rPr>
        <w:t>prípravy (ID: 16934)</w:t>
      </w:r>
    </w:p>
    <w:p w14:paraId="7AB9E0D5" w14:textId="5633A966" w:rsidR="002D49B0" w:rsidRPr="00083739" w:rsidRDefault="00BF4125">
      <w:pPr>
        <w:pStyle w:val="P68B1DB1-Normal4"/>
        <w:numPr>
          <w:ilvl w:val="0"/>
          <w:numId w:val="42"/>
        </w:numPr>
        <w:spacing w:before="120" w:after="0" w:line="240" w:lineRule="auto"/>
        <w:jc w:val="both"/>
        <w:rPr>
          <w:rFonts w:cs="Times New Roman"/>
          <w:noProof/>
          <w:lang w:val="sk-SK"/>
        </w:rPr>
      </w:pPr>
      <w:r w:rsidRPr="00083739">
        <w:rPr>
          <w:rFonts w:cs="Times New Roman"/>
          <w:noProof/>
          <w:lang w:val="sk-SK"/>
        </w:rPr>
        <w:t>Stratégia excelentnosti na univer</w:t>
      </w:r>
      <w:r w:rsidRPr="00083739">
        <w:rPr>
          <w:rFonts w:cs="Times New Roman"/>
          <w:noProof/>
          <w:lang w:val="sk-SK"/>
        </w:rPr>
        <w:t>zitách</w:t>
      </w:r>
      <w:r w:rsidR="00083739" w:rsidRPr="00083739">
        <w:rPr>
          <w:rFonts w:cs="Times New Roman"/>
          <w:noProof/>
          <w:lang w:val="sk-SK"/>
        </w:rPr>
        <w:t xml:space="preserve"> a </w:t>
      </w:r>
      <w:r w:rsidRPr="00083739">
        <w:rPr>
          <w:rFonts w:cs="Times New Roman"/>
          <w:noProof/>
          <w:lang w:val="sk-SK"/>
        </w:rPr>
        <w:t>inováciách (ID: 16289)</w:t>
      </w:r>
    </w:p>
    <w:p w14:paraId="47F356BF" w14:textId="77777777" w:rsidR="002D49B0" w:rsidRPr="00083739" w:rsidRDefault="00BF4125" w:rsidP="006B0378">
      <w:pPr>
        <w:pStyle w:val="P68B1DB1-Normal4"/>
        <w:numPr>
          <w:ilvl w:val="0"/>
          <w:numId w:val="42"/>
        </w:numPr>
        <w:spacing w:before="120" w:after="120" w:line="240" w:lineRule="auto"/>
        <w:ind w:right="279"/>
        <w:jc w:val="both"/>
        <w:rPr>
          <w:rFonts w:cs="Times New Roman"/>
          <w:noProof/>
          <w:lang w:val="sk-SK"/>
        </w:rPr>
      </w:pPr>
      <w:r w:rsidRPr="00083739">
        <w:rPr>
          <w:rFonts w:cs="Times New Roman"/>
          <w:noProof/>
          <w:lang w:val="sk-SK"/>
        </w:rPr>
        <w:t>Digitálna transformácia vzdelávania (ID: 16676)</w:t>
      </w:r>
    </w:p>
    <w:tbl>
      <w:tblPr>
        <w:tblW w:w="15722" w:type="dxa"/>
        <w:tblInd w:w="113" w:type="dxa"/>
        <w:tblLook w:val="04A0" w:firstRow="1" w:lastRow="0" w:firstColumn="1" w:lastColumn="0" w:noHBand="0" w:noVBand="1"/>
      </w:tblPr>
      <w:tblGrid>
        <w:gridCol w:w="1129"/>
        <w:gridCol w:w="1560"/>
        <w:gridCol w:w="1424"/>
        <w:gridCol w:w="1586"/>
        <w:gridCol w:w="1713"/>
        <w:gridCol w:w="1386"/>
        <w:gridCol w:w="957"/>
        <w:gridCol w:w="771"/>
        <w:gridCol w:w="1167"/>
        <w:gridCol w:w="720"/>
        <w:gridCol w:w="3309"/>
      </w:tblGrid>
      <w:tr w:rsidR="002D49B0" w:rsidRPr="00083739" w14:paraId="712E0243" w14:textId="77777777" w:rsidTr="006B0378">
        <w:trPr>
          <w:trHeight w:val="939"/>
          <w:tblHeader/>
        </w:trPr>
        <w:tc>
          <w:tcPr>
            <w:tcW w:w="112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D53B188"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Poradové číslo</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ECE8792"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Súvisiace opatrenie (reforma alebo investícia)</w:t>
            </w:r>
          </w:p>
        </w:tc>
        <w:tc>
          <w:tcPr>
            <w:tcW w:w="142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433CBBA"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Míľnik/cieľ</w:t>
            </w:r>
          </w:p>
        </w:tc>
        <w:tc>
          <w:tcPr>
            <w:tcW w:w="158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21B5066"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Názov</w:t>
            </w:r>
          </w:p>
        </w:tc>
        <w:tc>
          <w:tcPr>
            <w:tcW w:w="17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CE82ADF"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Kvalitatívne ukazovatele (pre míľniky)</w:t>
            </w:r>
          </w:p>
        </w:tc>
        <w:tc>
          <w:tcPr>
            <w:tcW w:w="3114" w:type="dxa"/>
            <w:gridSpan w:val="3"/>
            <w:tcBorders>
              <w:top w:val="single" w:sz="4" w:space="0" w:color="auto"/>
              <w:left w:val="single" w:sz="4" w:space="0" w:color="auto"/>
              <w:bottom w:val="single" w:sz="4" w:space="0" w:color="auto"/>
              <w:right w:val="single" w:sz="4" w:space="0" w:color="auto"/>
            </w:tcBorders>
            <w:shd w:val="clear" w:color="auto" w:fill="BDD7EE"/>
            <w:vAlign w:val="center"/>
            <w:hideMark/>
          </w:tcPr>
          <w:p w14:paraId="71C1BAB3"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Kvantitatívne ukazovatele (pre ciele)</w:t>
            </w:r>
          </w:p>
        </w:tc>
        <w:tc>
          <w:tcPr>
            <w:tcW w:w="1887" w:type="dxa"/>
            <w:gridSpan w:val="2"/>
            <w:tcBorders>
              <w:top w:val="single" w:sz="4" w:space="0" w:color="auto"/>
              <w:left w:val="nil"/>
              <w:bottom w:val="single" w:sz="4" w:space="0" w:color="auto"/>
              <w:right w:val="single" w:sz="4" w:space="0" w:color="auto"/>
            </w:tcBorders>
            <w:shd w:val="clear" w:color="auto" w:fill="BDD7EE"/>
            <w:vAlign w:val="center"/>
            <w:hideMark/>
          </w:tcPr>
          <w:p w14:paraId="30245173"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Orientačný harmonog</w:t>
            </w:r>
            <w:r w:rsidRPr="00083739">
              <w:rPr>
                <w:rFonts w:cs="Times New Roman"/>
                <w:noProof/>
                <w:lang w:val="sk-SK"/>
              </w:rPr>
              <w:t xml:space="preserve">ram dokončenia </w:t>
            </w:r>
          </w:p>
        </w:tc>
        <w:tc>
          <w:tcPr>
            <w:tcW w:w="330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C557C52" w14:textId="0EBEE037" w:rsidR="002D49B0" w:rsidRPr="00083739" w:rsidRDefault="00BF4125" w:rsidP="006B0378">
            <w:pPr>
              <w:pStyle w:val="P68B1DB1-Normal7"/>
              <w:spacing w:after="0" w:line="240" w:lineRule="auto"/>
              <w:ind w:right="298"/>
              <w:jc w:val="center"/>
              <w:rPr>
                <w:rFonts w:eastAsia="Times New Roman" w:cs="Times New Roman"/>
                <w:bCs/>
                <w:noProof/>
                <w:szCs w:val="18"/>
                <w:lang w:val="sk-SK"/>
              </w:rPr>
            </w:pPr>
            <w:r w:rsidRPr="00083739">
              <w:rPr>
                <w:rFonts w:cs="Times New Roman"/>
                <w:noProof/>
                <w:lang w:val="sk-SK"/>
              </w:rPr>
              <w:t>Opis každého míľnika</w:t>
            </w:r>
            <w:r w:rsidR="00083739" w:rsidRPr="00083739">
              <w:rPr>
                <w:rFonts w:cs="Times New Roman"/>
                <w:noProof/>
                <w:lang w:val="sk-SK"/>
              </w:rPr>
              <w:t xml:space="preserve"> a </w:t>
            </w:r>
            <w:r w:rsidRPr="00083739">
              <w:rPr>
                <w:rFonts w:cs="Times New Roman"/>
                <w:noProof/>
                <w:lang w:val="sk-SK"/>
              </w:rPr>
              <w:t>cieľa</w:t>
            </w:r>
          </w:p>
          <w:p w14:paraId="768F43EE" w14:textId="77777777" w:rsidR="002D49B0" w:rsidRPr="00083739" w:rsidRDefault="002D49B0">
            <w:pPr>
              <w:rPr>
                <w:rFonts w:ascii="Times New Roman" w:hAnsi="Times New Roman" w:cs="Times New Roman"/>
                <w:noProof/>
                <w:sz w:val="18"/>
                <w:lang w:val="sk-SK"/>
              </w:rPr>
            </w:pPr>
          </w:p>
        </w:tc>
      </w:tr>
      <w:tr w:rsidR="002D49B0" w:rsidRPr="00083739" w14:paraId="585D414C" w14:textId="77777777" w:rsidTr="006B0378">
        <w:trPr>
          <w:trHeight w:val="574"/>
          <w:tblHead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0D19A779"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2C3A8C6C"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424" w:type="dxa"/>
            <w:vMerge/>
            <w:tcBorders>
              <w:top w:val="single" w:sz="4" w:space="0" w:color="auto"/>
              <w:left w:val="single" w:sz="4" w:space="0" w:color="auto"/>
              <w:bottom w:val="single" w:sz="4" w:space="0" w:color="auto"/>
              <w:right w:val="single" w:sz="4" w:space="0" w:color="auto"/>
            </w:tcBorders>
            <w:vAlign w:val="center"/>
            <w:hideMark/>
          </w:tcPr>
          <w:p w14:paraId="5D29DF4D"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586" w:type="dxa"/>
            <w:vMerge/>
            <w:tcBorders>
              <w:top w:val="single" w:sz="4" w:space="0" w:color="auto"/>
              <w:left w:val="single" w:sz="4" w:space="0" w:color="auto"/>
              <w:bottom w:val="single" w:sz="4" w:space="0" w:color="auto"/>
              <w:right w:val="single" w:sz="4" w:space="0" w:color="auto"/>
            </w:tcBorders>
            <w:vAlign w:val="center"/>
            <w:hideMark/>
          </w:tcPr>
          <w:p w14:paraId="2A688589"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713" w:type="dxa"/>
            <w:vMerge/>
            <w:tcBorders>
              <w:top w:val="single" w:sz="4" w:space="0" w:color="auto"/>
              <w:left w:val="single" w:sz="4" w:space="0" w:color="auto"/>
              <w:bottom w:val="single" w:sz="4" w:space="0" w:color="auto"/>
              <w:right w:val="single" w:sz="4" w:space="0" w:color="auto"/>
            </w:tcBorders>
            <w:vAlign w:val="center"/>
            <w:hideMark/>
          </w:tcPr>
          <w:p w14:paraId="06D79637"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386"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17AA6D5C"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Merná jednotka</w:t>
            </w:r>
          </w:p>
        </w:tc>
        <w:tc>
          <w:tcPr>
            <w:tcW w:w="957"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003230CD"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Základná </w:t>
            </w:r>
          </w:p>
        </w:tc>
        <w:tc>
          <w:tcPr>
            <w:tcW w:w="771"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2086DBCD"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Cieľ </w:t>
            </w:r>
          </w:p>
        </w:tc>
        <w:tc>
          <w:tcPr>
            <w:tcW w:w="1167"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70AB0B35"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Štvrtina</w:t>
            </w:r>
          </w:p>
        </w:tc>
        <w:tc>
          <w:tcPr>
            <w:tcW w:w="720"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6CD9E045"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Rok</w:t>
            </w:r>
          </w:p>
        </w:tc>
        <w:tc>
          <w:tcPr>
            <w:tcW w:w="3309" w:type="dxa"/>
            <w:vMerge/>
            <w:tcBorders>
              <w:top w:val="single" w:sz="4" w:space="0" w:color="auto"/>
              <w:bottom w:val="single" w:sz="4" w:space="0" w:color="auto"/>
              <w:right w:val="single" w:sz="4" w:space="0" w:color="auto"/>
            </w:tcBorders>
            <w:vAlign w:val="center"/>
            <w:hideMark/>
          </w:tcPr>
          <w:p w14:paraId="7D7DA62F"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r>
      <w:tr w:rsidR="002D49B0" w:rsidRPr="00083739" w14:paraId="2003471B" w14:textId="77777777" w:rsidTr="006B0378">
        <w:trPr>
          <w:trHeight w:val="313"/>
        </w:trPr>
        <w:tc>
          <w:tcPr>
            <w:tcW w:w="1129" w:type="dxa"/>
            <w:tcBorders>
              <w:top w:val="single" w:sz="4" w:space="0" w:color="auto"/>
              <w:left w:val="single" w:sz="4" w:space="0" w:color="auto"/>
              <w:bottom w:val="single" w:sz="4" w:space="0" w:color="auto"/>
              <w:right w:val="single" w:sz="4" w:space="0" w:color="auto"/>
            </w:tcBorders>
            <w:shd w:val="clear" w:color="auto" w:fill="C6EFCE"/>
            <w:noWrap/>
          </w:tcPr>
          <w:p w14:paraId="0C9EF3ED" w14:textId="77777777"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147</w:t>
            </w:r>
          </w:p>
        </w:tc>
        <w:tc>
          <w:tcPr>
            <w:tcW w:w="1560" w:type="dxa"/>
            <w:tcBorders>
              <w:top w:val="single" w:sz="4" w:space="0" w:color="auto"/>
              <w:left w:val="nil"/>
              <w:bottom w:val="single" w:sz="4" w:space="0" w:color="auto"/>
              <w:right w:val="single" w:sz="4" w:space="0" w:color="auto"/>
            </w:tcBorders>
            <w:shd w:val="clear" w:color="auto" w:fill="C6EFCE"/>
            <w:noWrap/>
          </w:tcPr>
          <w:p w14:paraId="4900937A" w14:textId="7036700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9 – 3.2. Vzdelávanie, odborné vzdelávanie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príprava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zručnosti – 16289_Stratégia excelentnosti na univerzitách</w:t>
            </w:r>
            <w:r w:rsidR="00083739" w:rsidRPr="00083739">
              <w:rPr>
                <w:rFonts w:ascii="Times New Roman" w:hAnsi="Times New Roman" w:cs="Times New Roman"/>
                <w:noProof/>
                <w:lang w:val="sk-SK"/>
              </w:rPr>
              <w:t xml:space="preserve"> a v </w:t>
            </w:r>
            <w:r w:rsidRPr="00083739">
              <w:rPr>
                <w:rFonts w:ascii="Times New Roman" w:hAnsi="Times New Roman" w:cs="Times New Roman"/>
                <w:noProof/>
                <w:lang w:val="sk-SK"/>
              </w:rPr>
              <w:t>inováciách</w:t>
            </w:r>
          </w:p>
        </w:tc>
        <w:tc>
          <w:tcPr>
            <w:tcW w:w="1424" w:type="dxa"/>
            <w:tcBorders>
              <w:top w:val="single" w:sz="4" w:space="0" w:color="auto"/>
              <w:left w:val="nil"/>
              <w:bottom w:val="single" w:sz="4" w:space="0" w:color="auto"/>
              <w:right w:val="single" w:sz="4" w:space="0" w:color="auto"/>
            </w:tcBorders>
            <w:shd w:val="clear" w:color="auto" w:fill="C6EFCE"/>
            <w:noWrap/>
          </w:tcPr>
          <w:p w14:paraId="36269AF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586" w:type="dxa"/>
            <w:tcBorders>
              <w:top w:val="single" w:sz="4" w:space="0" w:color="auto"/>
              <w:left w:val="nil"/>
              <w:bottom w:val="single" w:sz="4" w:space="0" w:color="auto"/>
              <w:right w:val="single" w:sz="4" w:space="0" w:color="auto"/>
            </w:tcBorders>
            <w:shd w:val="clear" w:color="auto" w:fill="C6EFCE"/>
            <w:noWrap/>
          </w:tcPr>
          <w:p w14:paraId="0214DCCA" w14:textId="7A4CB7AB"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Rozhodnutia</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schvaľovaní univerzít excelentnosti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zoskupení excelentnosti</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výskumu</w:t>
            </w:r>
          </w:p>
        </w:tc>
        <w:tc>
          <w:tcPr>
            <w:tcW w:w="1713" w:type="dxa"/>
            <w:tcBorders>
              <w:top w:val="single" w:sz="4" w:space="0" w:color="auto"/>
              <w:left w:val="nil"/>
              <w:bottom w:val="single" w:sz="4" w:space="0" w:color="auto"/>
              <w:right w:val="single" w:sz="4" w:space="0" w:color="auto"/>
            </w:tcBorders>
            <w:shd w:val="clear" w:color="auto" w:fill="C6EFCE"/>
            <w:noWrap/>
          </w:tcPr>
          <w:p w14:paraId="7566F50A" w14:textId="667D0DCB" w:rsidR="002D49B0" w:rsidRPr="00083739" w:rsidRDefault="00BF4125">
            <w:pPr>
              <w:spacing w:after="0" w:line="240" w:lineRule="auto"/>
              <w:rPr>
                <w:rFonts w:ascii="Times New Roman" w:eastAsia="Times New Roman" w:hAnsi="Times New Roman" w:cs="Times New Roman"/>
                <w:noProof/>
                <w:color w:val="006100"/>
                <w:sz w:val="18"/>
                <w:szCs w:val="18"/>
                <w:lang w:val="sk-SK"/>
              </w:rPr>
            </w:pPr>
            <w:r w:rsidRPr="00083739">
              <w:rPr>
                <w:rFonts w:ascii="Times New Roman" w:hAnsi="Times New Roman" w:cs="Times New Roman"/>
                <w:noProof/>
                <w:color w:val="006100"/>
                <w:sz w:val="18"/>
                <w:szCs w:val="18"/>
                <w:lang w:val="sk-SK"/>
              </w:rPr>
              <w:t>Vydanie rozhodnutí</w:t>
            </w:r>
            <w:r w:rsidR="00083739" w:rsidRPr="00083739">
              <w:rPr>
                <w:rFonts w:ascii="Times New Roman" w:hAnsi="Times New Roman" w:cs="Times New Roman"/>
                <w:noProof/>
                <w:color w:val="006100"/>
                <w:sz w:val="18"/>
                <w:szCs w:val="18"/>
                <w:lang w:val="sk-SK"/>
              </w:rPr>
              <w:t xml:space="preserve"> o </w:t>
            </w:r>
            <w:r w:rsidRPr="00083739">
              <w:rPr>
                <w:rFonts w:ascii="Times New Roman" w:hAnsi="Times New Roman" w:cs="Times New Roman"/>
                <w:noProof/>
                <w:color w:val="006100"/>
                <w:sz w:val="18"/>
                <w:szCs w:val="18"/>
                <w:lang w:val="sk-SK"/>
              </w:rPr>
              <w:t>schválení ministerstvom</w:t>
            </w:r>
            <w:r w:rsidRPr="00083739">
              <w:rPr>
                <w:rFonts w:ascii="Times New Roman" w:hAnsi="Times New Roman" w:cs="Times New Roman"/>
                <w:noProof/>
                <w:lang w:val="sk-SK"/>
              </w:rPr>
              <w:t xml:space="preserve"> </w:t>
            </w:r>
            <w:r w:rsidRPr="00083739">
              <w:rPr>
                <w:rFonts w:ascii="Times New Roman" w:hAnsi="Times New Roman" w:cs="Times New Roman"/>
                <w:noProof/>
                <w:color w:val="006100"/>
                <w:sz w:val="18"/>
                <w:szCs w:val="18"/>
                <w:lang w:val="sk-SK"/>
              </w:rPr>
              <w:t>školstva, náboženských záležitostí</w:t>
            </w:r>
            <w:r w:rsidR="00083739" w:rsidRPr="00083739">
              <w:rPr>
                <w:rFonts w:ascii="Times New Roman" w:hAnsi="Times New Roman" w:cs="Times New Roman"/>
                <w:noProof/>
                <w:color w:val="006100"/>
                <w:sz w:val="18"/>
                <w:szCs w:val="18"/>
                <w:lang w:val="sk-SK"/>
              </w:rPr>
              <w:t xml:space="preserve"> a </w:t>
            </w:r>
            <w:r w:rsidRPr="00083739">
              <w:rPr>
                <w:rFonts w:ascii="Times New Roman" w:hAnsi="Times New Roman" w:cs="Times New Roman"/>
                <w:noProof/>
                <w:color w:val="006100"/>
                <w:sz w:val="18"/>
                <w:szCs w:val="18"/>
                <w:lang w:val="sk-SK"/>
              </w:rPr>
              <w:t>športu</w:t>
            </w:r>
          </w:p>
        </w:tc>
        <w:tc>
          <w:tcPr>
            <w:tcW w:w="1386" w:type="dxa"/>
            <w:tcBorders>
              <w:top w:val="single" w:sz="4" w:space="0" w:color="auto"/>
              <w:left w:val="nil"/>
              <w:bottom w:val="single" w:sz="4" w:space="0" w:color="auto"/>
              <w:right w:val="single" w:sz="4" w:space="0" w:color="auto"/>
            </w:tcBorders>
            <w:shd w:val="clear" w:color="auto" w:fill="C6EFCE"/>
            <w:noWrap/>
          </w:tcPr>
          <w:p w14:paraId="09D381AA"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57" w:type="dxa"/>
            <w:tcBorders>
              <w:top w:val="single" w:sz="4" w:space="0" w:color="auto"/>
              <w:left w:val="nil"/>
              <w:bottom w:val="single" w:sz="4" w:space="0" w:color="auto"/>
              <w:right w:val="single" w:sz="4" w:space="0" w:color="auto"/>
            </w:tcBorders>
            <w:shd w:val="clear" w:color="auto" w:fill="C6EFCE"/>
            <w:noWrap/>
          </w:tcPr>
          <w:p w14:paraId="12221913"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771" w:type="dxa"/>
            <w:tcBorders>
              <w:top w:val="single" w:sz="4" w:space="0" w:color="auto"/>
              <w:left w:val="nil"/>
              <w:bottom w:val="single" w:sz="4" w:space="0" w:color="auto"/>
              <w:right w:val="single" w:sz="4" w:space="0" w:color="auto"/>
            </w:tcBorders>
            <w:shd w:val="clear" w:color="auto" w:fill="C6EFCE"/>
            <w:noWrap/>
          </w:tcPr>
          <w:p w14:paraId="412897DD"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167" w:type="dxa"/>
            <w:tcBorders>
              <w:top w:val="single" w:sz="4" w:space="0" w:color="auto"/>
              <w:left w:val="nil"/>
              <w:bottom w:val="single" w:sz="4" w:space="0" w:color="auto"/>
              <w:right w:val="single" w:sz="4" w:space="0" w:color="auto"/>
            </w:tcBorders>
            <w:shd w:val="clear" w:color="auto" w:fill="C6EFCE"/>
            <w:noWrap/>
          </w:tcPr>
          <w:p w14:paraId="4D56C85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20" w:type="dxa"/>
            <w:tcBorders>
              <w:top w:val="single" w:sz="4" w:space="0" w:color="auto"/>
              <w:left w:val="nil"/>
              <w:bottom w:val="single" w:sz="4" w:space="0" w:color="auto"/>
              <w:right w:val="single" w:sz="4" w:space="0" w:color="auto"/>
            </w:tcBorders>
            <w:shd w:val="clear" w:color="auto" w:fill="C6EFCE"/>
            <w:noWrap/>
          </w:tcPr>
          <w:p w14:paraId="155056E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2023</w:t>
            </w:r>
          </w:p>
        </w:tc>
        <w:tc>
          <w:tcPr>
            <w:tcW w:w="3309" w:type="dxa"/>
            <w:tcBorders>
              <w:top w:val="single" w:sz="4" w:space="0" w:color="auto"/>
              <w:left w:val="nil"/>
              <w:bottom w:val="single" w:sz="4" w:space="0" w:color="auto"/>
              <w:right w:val="single" w:sz="4" w:space="0" w:color="auto"/>
            </w:tcBorders>
            <w:shd w:val="clear" w:color="auto" w:fill="C6EFCE"/>
            <w:noWrap/>
          </w:tcPr>
          <w:p w14:paraId="462360BE" w14:textId="5F30B255"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Vydanie rozhodnutí</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schválení zo strany ministerstva školstva,</w:t>
            </w:r>
            <w:r w:rsidRPr="00083739">
              <w:rPr>
                <w:rFonts w:ascii="Times New Roman" w:hAnsi="Times New Roman" w:cs="Times New Roman"/>
                <w:noProof/>
                <w:lang w:val="sk-SK"/>
              </w:rPr>
              <w:t xml:space="preserve"> náboženských záležitostí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športu vybraným univerzitám</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cieľom modernizovať</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zlepšiť svoju výskumnú</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vzdelávaciu infraštruktúru (napríklad vybavenie alebo výskumné laboratóriá), rozšíriť sa do nových výskumných oblastí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zlepšiť ponúkanú odbornú prípra</w:t>
            </w:r>
            <w:r w:rsidRPr="00083739">
              <w:rPr>
                <w:rFonts w:ascii="Times New Roman" w:hAnsi="Times New Roman" w:cs="Times New Roman"/>
                <w:noProof/>
                <w:lang w:val="sk-SK"/>
              </w:rPr>
              <w:t>vu.</w:t>
            </w:r>
          </w:p>
          <w:p w14:paraId="56433E07"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p w14:paraId="6CAF66AF" w14:textId="7561F17A"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Vydanie rozhodnutia </w:t>
            </w:r>
            <w:r w:rsidRPr="00083739">
              <w:rPr>
                <w:rFonts w:ascii="Times New Roman" w:hAnsi="Times New Roman" w:cs="Times New Roman"/>
                <w:noProof/>
                <w:szCs w:val="18"/>
                <w:lang w:val="sk-SK"/>
              </w:rPr>
              <w:t>ministerstva školstva, náboženských záležitostí</w:t>
            </w:r>
            <w:r w:rsidR="00083739" w:rsidRPr="00083739">
              <w:rPr>
                <w:rFonts w:ascii="Times New Roman" w:hAnsi="Times New Roman" w:cs="Times New Roman"/>
                <w:noProof/>
                <w:szCs w:val="18"/>
                <w:lang w:val="sk-SK"/>
              </w:rPr>
              <w:t xml:space="preserve"> a </w:t>
            </w:r>
            <w:r w:rsidRPr="00083739">
              <w:rPr>
                <w:rFonts w:ascii="Times New Roman" w:hAnsi="Times New Roman" w:cs="Times New Roman"/>
                <w:noProof/>
                <w:szCs w:val="18"/>
                <w:lang w:val="sk-SK"/>
              </w:rPr>
              <w:t>športu</w:t>
            </w:r>
            <w:r w:rsidR="00083739" w:rsidRPr="00083739">
              <w:rPr>
                <w:rFonts w:ascii="Times New Roman" w:hAnsi="Times New Roman" w:cs="Times New Roman"/>
                <w:noProof/>
                <w:szCs w:val="18"/>
                <w:lang w:val="sk-SK"/>
              </w:rPr>
              <w:t xml:space="preserve"> o </w:t>
            </w:r>
            <w:r w:rsidRPr="00083739">
              <w:rPr>
                <w:rFonts w:ascii="Times New Roman" w:hAnsi="Times New Roman" w:cs="Times New Roman"/>
                <w:noProof/>
                <w:lang w:val="sk-SK"/>
              </w:rPr>
              <w:t>schválení 70 spoločných výskumných projektov medzi univerzitami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súkromným sektorom</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rámci iniciatívy Klastre excelentnosti výskumu.</w:t>
            </w:r>
          </w:p>
        </w:tc>
      </w:tr>
      <w:tr w:rsidR="002D49B0" w:rsidRPr="00083739" w14:paraId="65DBA76F" w14:textId="77777777" w:rsidTr="006B0378">
        <w:trPr>
          <w:trHeight w:val="313"/>
        </w:trPr>
        <w:tc>
          <w:tcPr>
            <w:tcW w:w="1129" w:type="dxa"/>
            <w:tcBorders>
              <w:top w:val="nil"/>
              <w:left w:val="single" w:sz="4" w:space="0" w:color="auto"/>
              <w:bottom w:val="single" w:sz="4" w:space="0" w:color="auto"/>
              <w:right w:val="single" w:sz="4" w:space="0" w:color="auto"/>
            </w:tcBorders>
            <w:shd w:val="clear" w:color="auto" w:fill="C6EFCE"/>
            <w:noWrap/>
          </w:tcPr>
          <w:p w14:paraId="38CB904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148</w:t>
            </w:r>
          </w:p>
        </w:tc>
        <w:tc>
          <w:tcPr>
            <w:tcW w:w="1560" w:type="dxa"/>
            <w:tcBorders>
              <w:top w:val="nil"/>
              <w:left w:val="nil"/>
              <w:bottom w:val="single" w:sz="4" w:space="0" w:color="auto"/>
              <w:right w:val="single" w:sz="4" w:space="0" w:color="auto"/>
            </w:tcBorders>
            <w:shd w:val="clear" w:color="auto" w:fill="C6EFCE"/>
            <w:noWrap/>
          </w:tcPr>
          <w:p w14:paraId="746AD9D8" w14:textId="47D23352"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9 – 3.2. Vzdelávanie, odborné </w:t>
            </w:r>
            <w:r w:rsidRPr="00083739">
              <w:rPr>
                <w:rFonts w:ascii="Times New Roman" w:hAnsi="Times New Roman" w:cs="Times New Roman"/>
                <w:noProof/>
                <w:lang w:val="sk-SK"/>
              </w:rPr>
              <w:t>vzdelávanie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príprava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zručnosti – 16676_Digitálna transformácia vzdelávania</w:t>
            </w:r>
          </w:p>
        </w:tc>
        <w:tc>
          <w:tcPr>
            <w:tcW w:w="1424" w:type="dxa"/>
            <w:tcBorders>
              <w:top w:val="nil"/>
              <w:left w:val="nil"/>
              <w:bottom w:val="single" w:sz="4" w:space="0" w:color="auto"/>
              <w:right w:val="single" w:sz="4" w:space="0" w:color="auto"/>
            </w:tcBorders>
            <w:shd w:val="clear" w:color="auto" w:fill="C6EFCE"/>
            <w:noWrap/>
          </w:tcPr>
          <w:p w14:paraId="42341C7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Cieľ</w:t>
            </w:r>
          </w:p>
        </w:tc>
        <w:tc>
          <w:tcPr>
            <w:tcW w:w="1586" w:type="dxa"/>
            <w:tcBorders>
              <w:top w:val="nil"/>
              <w:left w:val="nil"/>
              <w:bottom w:val="single" w:sz="4" w:space="0" w:color="auto"/>
              <w:right w:val="single" w:sz="4" w:space="0" w:color="auto"/>
            </w:tcBorders>
            <w:shd w:val="clear" w:color="auto" w:fill="C6EFCE"/>
            <w:noWrap/>
          </w:tcPr>
          <w:p w14:paraId="6434075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inštalácie interaktívnych systémov</w:t>
            </w:r>
          </w:p>
        </w:tc>
        <w:tc>
          <w:tcPr>
            <w:tcW w:w="1713" w:type="dxa"/>
            <w:tcBorders>
              <w:top w:val="nil"/>
              <w:left w:val="nil"/>
              <w:bottom w:val="single" w:sz="4" w:space="0" w:color="auto"/>
              <w:right w:val="single" w:sz="4" w:space="0" w:color="auto"/>
            </w:tcBorders>
            <w:shd w:val="clear" w:color="auto" w:fill="C6EFCE"/>
            <w:noWrap/>
          </w:tcPr>
          <w:p w14:paraId="3B09C0B0"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386" w:type="dxa"/>
            <w:tcBorders>
              <w:top w:val="nil"/>
              <w:left w:val="nil"/>
              <w:bottom w:val="single" w:sz="4" w:space="0" w:color="auto"/>
              <w:right w:val="single" w:sz="4" w:space="0" w:color="auto"/>
            </w:tcBorders>
            <w:shd w:val="clear" w:color="auto" w:fill="C6EFCE"/>
            <w:noWrap/>
          </w:tcPr>
          <w:p w14:paraId="0031E8F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Počet nainštalovaných interaktívnych vzdelávacích systémov</w:t>
            </w:r>
          </w:p>
        </w:tc>
        <w:tc>
          <w:tcPr>
            <w:tcW w:w="957" w:type="dxa"/>
            <w:tcBorders>
              <w:top w:val="nil"/>
              <w:left w:val="nil"/>
              <w:bottom w:val="single" w:sz="4" w:space="0" w:color="auto"/>
              <w:right w:val="single" w:sz="4" w:space="0" w:color="auto"/>
            </w:tcBorders>
            <w:shd w:val="clear" w:color="auto" w:fill="C6EFCE"/>
            <w:noWrap/>
          </w:tcPr>
          <w:p w14:paraId="15C435F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0</w:t>
            </w:r>
          </w:p>
        </w:tc>
        <w:tc>
          <w:tcPr>
            <w:tcW w:w="771" w:type="dxa"/>
            <w:tcBorders>
              <w:top w:val="nil"/>
              <w:left w:val="nil"/>
              <w:bottom w:val="single" w:sz="4" w:space="0" w:color="auto"/>
              <w:right w:val="single" w:sz="4" w:space="0" w:color="auto"/>
            </w:tcBorders>
            <w:shd w:val="clear" w:color="auto" w:fill="C6EFCE"/>
            <w:noWrap/>
          </w:tcPr>
          <w:p w14:paraId="2355ED9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36 000</w:t>
            </w:r>
          </w:p>
        </w:tc>
        <w:tc>
          <w:tcPr>
            <w:tcW w:w="1167" w:type="dxa"/>
            <w:tcBorders>
              <w:top w:val="nil"/>
              <w:left w:val="nil"/>
              <w:bottom w:val="single" w:sz="4" w:space="0" w:color="auto"/>
              <w:right w:val="single" w:sz="4" w:space="0" w:color="auto"/>
            </w:tcBorders>
            <w:shd w:val="clear" w:color="auto" w:fill="C6EFCE"/>
            <w:noWrap/>
          </w:tcPr>
          <w:p w14:paraId="32897570" w14:textId="7D811FE8"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720" w:type="dxa"/>
            <w:tcBorders>
              <w:top w:val="nil"/>
              <w:left w:val="nil"/>
              <w:bottom w:val="single" w:sz="4" w:space="0" w:color="auto"/>
              <w:right w:val="single" w:sz="4" w:space="0" w:color="auto"/>
            </w:tcBorders>
            <w:shd w:val="clear" w:color="auto" w:fill="C6EFCE"/>
            <w:noWrap/>
          </w:tcPr>
          <w:p w14:paraId="5E6B07B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2024</w:t>
            </w:r>
          </w:p>
        </w:tc>
        <w:tc>
          <w:tcPr>
            <w:tcW w:w="3309" w:type="dxa"/>
            <w:tcBorders>
              <w:top w:val="nil"/>
              <w:left w:val="nil"/>
              <w:bottom w:val="single" w:sz="4" w:space="0" w:color="auto"/>
              <w:right w:val="single" w:sz="4" w:space="0" w:color="auto"/>
            </w:tcBorders>
            <w:shd w:val="clear" w:color="auto" w:fill="C6EFCE"/>
            <w:noWrap/>
          </w:tcPr>
          <w:p w14:paraId="4B1453B2" w14:textId="4E801BCA"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Inštalácia najmenej 36000 </w:t>
            </w:r>
            <w:r w:rsidRPr="00083739">
              <w:rPr>
                <w:rFonts w:ascii="Times New Roman" w:hAnsi="Times New Roman" w:cs="Times New Roman"/>
                <w:noProof/>
                <w:lang w:val="sk-SK"/>
              </w:rPr>
              <w:t>interaktívnych vzdelávacích systémov pre triedy základných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stredných škôl</w:t>
            </w:r>
          </w:p>
        </w:tc>
      </w:tr>
      <w:tr w:rsidR="002D49B0" w:rsidRPr="00083739" w14:paraId="570BE653" w14:textId="77777777" w:rsidTr="006B0378">
        <w:trPr>
          <w:trHeight w:val="313"/>
        </w:trPr>
        <w:tc>
          <w:tcPr>
            <w:tcW w:w="1129" w:type="dxa"/>
            <w:tcBorders>
              <w:top w:val="nil"/>
              <w:left w:val="single" w:sz="4" w:space="0" w:color="auto"/>
              <w:bottom w:val="single" w:sz="4" w:space="0" w:color="auto"/>
              <w:right w:val="single" w:sz="4" w:space="0" w:color="auto"/>
            </w:tcBorders>
            <w:shd w:val="clear" w:color="auto" w:fill="C6EFCE"/>
            <w:noWrap/>
          </w:tcPr>
          <w:p w14:paraId="36B32A0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148a</w:t>
            </w:r>
          </w:p>
        </w:tc>
        <w:tc>
          <w:tcPr>
            <w:tcW w:w="1560" w:type="dxa"/>
            <w:tcBorders>
              <w:top w:val="nil"/>
              <w:left w:val="nil"/>
              <w:bottom w:val="single" w:sz="4" w:space="0" w:color="auto"/>
              <w:right w:val="single" w:sz="4" w:space="0" w:color="auto"/>
            </w:tcBorders>
            <w:shd w:val="clear" w:color="auto" w:fill="C6EFCE"/>
            <w:noWrap/>
          </w:tcPr>
          <w:p w14:paraId="125F8305" w14:textId="1E9FBC94"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9 – 3.2. Vzdelávanie, odborné vzdelávanie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príprava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zručnosti – 16676_Digitálna transformácia vzdelávania</w:t>
            </w:r>
          </w:p>
        </w:tc>
        <w:tc>
          <w:tcPr>
            <w:tcW w:w="1424" w:type="dxa"/>
            <w:tcBorders>
              <w:top w:val="nil"/>
              <w:left w:val="nil"/>
              <w:bottom w:val="single" w:sz="4" w:space="0" w:color="auto"/>
              <w:right w:val="single" w:sz="4" w:space="0" w:color="auto"/>
            </w:tcBorders>
            <w:shd w:val="clear" w:color="auto" w:fill="C6EFCE"/>
            <w:noWrap/>
          </w:tcPr>
          <w:p w14:paraId="753206B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586" w:type="dxa"/>
            <w:tcBorders>
              <w:top w:val="nil"/>
              <w:left w:val="nil"/>
              <w:bottom w:val="single" w:sz="4" w:space="0" w:color="auto"/>
              <w:right w:val="single" w:sz="4" w:space="0" w:color="auto"/>
            </w:tcBorders>
            <w:shd w:val="clear" w:color="auto" w:fill="C6EFCE"/>
            <w:noWrap/>
          </w:tcPr>
          <w:p w14:paraId="1B37B721" w14:textId="631C0126"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Stratégia aktualizácie učebných plánov, racionalizácie </w:t>
            </w:r>
            <w:r w:rsidRPr="00083739">
              <w:rPr>
                <w:rFonts w:ascii="Times New Roman" w:hAnsi="Times New Roman" w:cs="Times New Roman"/>
                <w:noProof/>
                <w:lang w:val="sk-SK"/>
              </w:rPr>
              <w:t>služieb</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monitorovania výsledkov vzdelávania</w:t>
            </w:r>
          </w:p>
        </w:tc>
        <w:tc>
          <w:tcPr>
            <w:tcW w:w="1713" w:type="dxa"/>
            <w:tcBorders>
              <w:top w:val="nil"/>
              <w:left w:val="nil"/>
              <w:bottom w:val="single" w:sz="4" w:space="0" w:color="auto"/>
              <w:right w:val="single" w:sz="4" w:space="0" w:color="auto"/>
            </w:tcBorders>
            <w:shd w:val="clear" w:color="auto" w:fill="C6EFCE"/>
            <w:noWrap/>
          </w:tcPr>
          <w:p w14:paraId="43792629" w14:textId="7031FD1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Uverejnenie komplexnej reformnej stratégie na aktualizáciu učebných plánov, racionalizáciu služieb</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monitorovanie výsledkov vzdelávania</w:t>
            </w:r>
          </w:p>
        </w:tc>
        <w:tc>
          <w:tcPr>
            <w:tcW w:w="1386" w:type="dxa"/>
            <w:tcBorders>
              <w:top w:val="nil"/>
              <w:left w:val="nil"/>
              <w:bottom w:val="single" w:sz="4" w:space="0" w:color="auto"/>
              <w:right w:val="single" w:sz="4" w:space="0" w:color="auto"/>
            </w:tcBorders>
            <w:shd w:val="clear" w:color="auto" w:fill="C6EFCE"/>
            <w:noWrap/>
          </w:tcPr>
          <w:p w14:paraId="19B9BD14"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57" w:type="dxa"/>
            <w:tcBorders>
              <w:top w:val="nil"/>
              <w:left w:val="nil"/>
              <w:bottom w:val="single" w:sz="4" w:space="0" w:color="auto"/>
              <w:right w:val="single" w:sz="4" w:space="0" w:color="auto"/>
            </w:tcBorders>
            <w:shd w:val="clear" w:color="auto" w:fill="C6EFCE"/>
            <w:noWrap/>
          </w:tcPr>
          <w:p w14:paraId="05975500"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771" w:type="dxa"/>
            <w:tcBorders>
              <w:top w:val="nil"/>
              <w:left w:val="nil"/>
              <w:bottom w:val="single" w:sz="4" w:space="0" w:color="auto"/>
              <w:right w:val="single" w:sz="4" w:space="0" w:color="auto"/>
            </w:tcBorders>
            <w:shd w:val="clear" w:color="auto" w:fill="C6EFCE"/>
            <w:noWrap/>
          </w:tcPr>
          <w:p w14:paraId="19A4A556"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167" w:type="dxa"/>
            <w:tcBorders>
              <w:top w:val="nil"/>
              <w:left w:val="nil"/>
              <w:bottom w:val="single" w:sz="4" w:space="0" w:color="auto"/>
              <w:right w:val="single" w:sz="4" w:space="0" w:color="auto"/>
            </w:tcBorders>
            <w:shd w:val="clear" w:color="auto" w:fill="C6EFCE"/>
            <w:noWrap/>
          </w:tcPr>
          <w:p w14:paraId="5C67A0E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720" w:type="dxa"/>
            <w:tcBorders>
              <w:top w:val="nil"/>
              <w:left w:val="nil"/>
              <w:bottom w:val="single" w:sz="4" w:space="0" w:color="auto"/>
              <w:right w:val="single" w:sz="4" w:space="0" w:color="auto"/>
            </w:tcBorders>
            <w:shd w:val="clear" w:color="auto" w:fill="C6EFCE"/>
            <w:noWrap/>
          </w:tcPr>
          <w:p w14:paraId="0E94441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3309" w:type="dxa"/>
            <w:tcBorders>
              <w:top w:val="nil"/>
              <w:left w:val="nil"/>
              <w:bottom w:val="single" w:sz="4" w:space="0" w:color="auto"/>
              <w:right w:val="single" w:sz="4" w:space="0" w:color="auto"/>
            </w:tcBorders>
            <w:shd w:val="clear" w:color="auto" w:fill="C6EFCE"/>
            <w:noWrap/>
          </w:tcPr>
          <w:p w14:paraId="6903EF9A" w14:textId="3BC4322E" w:rsidR="002D49B0" w:rsidRPr="00083739" w:rsidRDefault="00BF4125">
            <w:pPr>
              <w:spacing w:after="0" w:line="240" w:lineRule="auto"/>
              <w:rPr>
                <w:rFonts w:ascii="Times New Roman" w:eastAsia="Times New Roman" w:hAnsi="Times New Roman" w:cs="Times New Roman"/>
                <w:noProof/>
                <w:color w:val="006100"/>
                <w:sz w:val="18"/>
                <w:szCs w:val="18"/>
                <w:lang w:val="sk-SK"/>
              </w:rPr>
            </w:pPr>
            <w:r w:rsidRPr="00083739">
              <w:rPr>
                <w:rFonts w:ascii="Times New Roman" w:hAnsi="Times New Roman" w:cs="Times New Roman"/>
                <w:noProof/>
                <w:color w:val="006100"/>
                <w:sz w:val="18"/>
                <w:lang w:val="sk-SK"/>
              </w:rPr>
              <w:t xml:space="preserve">Vypracovanie komplexnej reformnej stratégie na </w:t>
            </w:r>
            <w:r w:rsidRPr="00083739">
              <w:rPr>
                <w:rFonts w:ascii="Times New Roman" w:hAnsi="Times New Roman" w:cs="Times New Roman"/>
                <w:noProof/>
                <w:color w:val="006100"/>
                <w:sz w:val="18"/>
                <w:lang w:val="sk-SK"/>
              </w:rPr>
              <w:t>aktualizáciu učebných plánov, racionalizáciu služieb</w:t>
            </w:r>
            <w:r w:rsidR="00083739" w:rsidRPr="00083739">
              <w:rPr>
                <w:rFonts w:ascii="Times New Roman" w:hAnsi="Times New Roman" w:cs="Times New Roman"/>
                <w:noProof/>
                <w:color w:val="006100"/>
                <w:sz w:val="18"/>
                <w:lang w:val="sk-SK"/>
              </w:rPr>
              <w:t xml:space="preserve"> a </w:t>
            </w:r>
            <w:r w:rsidRPr="00083739">
              <w:rPr>
                <w:rFonts w:ascii="Times New Roman" w:hAnsi="Times New Roman" w:cs="Times New Roman"/>
                <w:noProof/>
                <w:color w:val="006100"/>
                <w:sz w:val="18"/>
                <w:lang w:val="sk-SK"/>
              </w:rPr>
              <w:t>monitorovanie výsledkov vzdelávania.</w:t>
            </w:r>
            <w:r w:rsidRPr="00083739">
              <w:rPr>
                <w:rStyle w:val="eop"/>
                <w:rFonts w:ascii="Times New Roman" w:hAnsi="Times New Roman" w:cs="Times New Roman"/>
                <w:noProof/>
                <w:color w:val="D13438"/>
                <w:sz w:val="20"/>
                <w:lang w:val="sk-SK"/>
              </w:rPr>
              <w:t xml:space="preserve"> </w:t>
            </w:r>
          </w:p>
        </w:tc>
      </w:tr>
      <w:tr w:rsidR="002D49B0" w:rsidRPr="00083739" w14:paraId="5A13E28B" w14:textId="77777777" w:rsidTr="006B0378">
        <w:trPr>
          <w:trHeight w:val="313"/>
        </w:trPr>
        <w:tc>
          <w:tcPr>
            <w:tcW w:w="1129" w:type="dxa"/>
            <w:tcBorders>
              <w:top w:val="nil"/>
              <w:left w:val="single" w:sz="4" w:space="0" w:color="auto"/>
              <w:bottom w:val="single" w:sz="4" w:space="0" w:color="auto"/>
              <w:right w:val="single" w:sz="4" w:space="0" w:color="auto"/>
            </w:tcBorders>
            <w:shd w:val="clear" w:color="auto" w:fill="C6EFCE"/>
            <w:noWrap/>
          </w:tcPr>
          <w:p w14:paraId="7E8FCFE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148b</w:t>
            </w:r>
          </w:p>
        </w:tc>
        <w:tc>
          <w:tcPr>
            <w:tcW w:w="1560" w:type="dxa"/>
            <w:tcBorders>
              <w:top w:val="nil"/>
              <w:left w:val="nil"/>
              <w:bottom w:val="single" w:sz="4" w:space="0" w:color="auto"/>
              <w:right w:val="single" w:sz="4" w:space="0" w:color="auto"/>
            </w:tcBorders>
            <w:shd w:val="clear" w:color="auto" w:fill="C6EFCE"/>
            <w:noWrap/>
          </w:tcPr>
          <w:p w14:paraId="6E278AE9" w14:textId="64CD6DE0"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9 – 3.2. Vzdelávanie, odborné vzdelávanie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príprava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zručnosti – 16676_Digitálna transformácia vzdelávania</w:t>
            </w:r>
          </w:p>
        </w:tc>
        <w:tc>
          <w:tcPr>
            <w:tcW w:w="1424" w:type="dxa"/>
            <w:tcBorders>
              <w:top w:val="nil"/>
              <w:left w:val="nil"/>
              <w:bottom w:val="single" w:sz="4" w:space="0" w:color="auto"/>
              <w:right w:val="single" w:sz="4" w:space="0" w:color="auto"/>
            </w:tcBorders>
            <w:shd w:val="clear" w:color="auto" w:fill="C6EFCE"/>
            <w:noWrap/>
          </w:tcPr>
          <w:p w14:paraId="7E08FD4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586" w:type="dxa"/>
            <w:tcBorders>
              <w:top w:val="nil"/>
              <w:left w:val="nil"/>
              <w:bottom w:val="single" w:sz="4" w:space="0" w:color="auto"/>
              <w:right w:val="single" w:sz="4" w:space="0" w:color="auto"/>
            </w:tcBorders>
            <w:shd w:val="clear" w:color="auto" w:fill="C6EFCE"/>
            <w:noWrap/>
          </w:tcPr>
          <w:p w14:paraId="39E8CD7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Digitálna transformácia vzdelávania</w:t>
            </w:r>
          </w:p>
        </w:tc>
        <w:tc>
          <w:tcPr>
            <w:tcW w:w="1713" w:type="dxa"/>
            <w:tcBorders>
              <w:top w:val="nil"/>
              <w:left w:val="nil"/>
              <w:bottom w:val="single" w:sz="4" w:space="0" w:color="auto"/>
              <w:right w:val="single" w:sz="4" w:space="0" w:color="auto"/>
            </w:tcBorders>
            <w:shd w:val="clear" w:color="auto" w:fill="C6EFCE"/>
            <w:noWrap/>
          </w:tcPr>
          <w:p w14:paraId="331FAEF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Správa ministerstva školstva potvrdzujúca dokončenie projektov</w:t>
            </w:r>
          </w:p>
        </w:tc>
        <w:tc>
          <w:tcPr>
            <w:tcW w:w="1386" w:type="dxa"/>
            <w:tcBorders>
              <w:top w:val="nil"/>
              <w:left w:val="nil"/>
              <w:bottom w:val="single" w:sz="4" w:space="0" w:color="auto"/>
              <w:right w:val="single" w:sz="4" w:space="0" w:color="auto"/>
            </w:tcBorders>
            <w:shd w:val="clear" w:color="auto" w:fill="C6EFCE"/>
            <w:noWrap/>
          </w:tcPr>
          <w:p w14:paraId="6187236C"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57" w:type="dxa"/>
            <w:tcBorders>
              <w:top w:val="nil"/>
              <w:left w:val="nil"/>
              <w:bottom w:val="single" w:sz="4" w:space="0" w:color="auto"/>
              <w:right w:val="single" w:sz="4" w:space="0" w:color="auto"/>
            </w:tcBorders>
            <w:shd w:val="clear" w:color="auto" w:fill="C6EFCE"/>
            <w:noWrap/>
          </w:tcPr>
          <w:p w14:paraId="1866D834"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771" w:type="dxa"/>
            <w:tcBorders>
              <w:top w:val="nil"/>
              <w:left w:val="nil"/>
              <w:bottom w:val="single" w:sz="4" w:space="0" w:color="auto"/>
              <w:right w:val="single" w:sz="4" w:space="0" w:color="auto"/>
            </w:tcBorders>
            <w:shd w:val="clear" w:color="auto" w:fill="C6EFCE"/>
            <w:noWrap/>
          </w:tcPr>
          <w:p w14:paraId="3C8100EF"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167" w:type="dxa"/>
            <w:tcBorders>
              <w:top w:val="nil"/>
              <w:left w:val="nil"/>
              <w:bottom w:val="single" w:sz="4" w:space="0" w:color="auto"/>
              <w:right w:val="single" w:sz="4" w:space="0" w:color="auto"/>
            </w:tcBorders>
            <w:shd w:val="clear" w:color="auto" w:fill="C6EFCE"/>
            <w:noWrap/>
          </w:tcPr>
          <w:p w14:paraId="3C0D939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20" w:type="dxa"/>
            <w:tcBorders>
              <w:top w:val="nil"/>
              <w:left w:val="nil"/>
              <w:bottom w:val="single" w:sz="4" w:space="0" w:color="auto"/>
              <w:right w:val="single" w:sz="4" w:space="0" w:color="auto"/>
            </w:tcBorders>
            <w:shd w:val="clear" w:color="auto" w:fill="C6EFCE"/>
            <w:noWrap/>
          </w:tcPr>
          <w:p w14:paraId="6FE3B54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3309" w:type="dxa"/>
            <w:tcBorders>
              <w:top w:val="nil"/>
              <w:left w:val="nil"/>
              <w:bottom w:val="single" w:sz="4" w:space="0" w:color="auto"/>
              <w:right w:val="single" w:sz="4" w:space="0" w:color="auto"/>
            </w:tcBorders>
            <w:shd w:val="clear" w:color="auto" w:fill="C6EFCE"/>
            <w:noWrap/>
          </w:tcPr>
          <w:p w14:paraId="2E44A1D7" w14:textId="77777777" w:rsidR="002D49B0" w:rsidRPr="00083739" w:rsidRDefault="00BF4125">
            <w:pPr>
              <w:pStyle w:val="P68B1DB1-paragraph28"/>
              <w:spacing w:before="0" w:beforeAutospacing="0" w:after="0" w:afterAutospacing="0"/>
              <w:textAlignment w:val="baseline"/>
              <w:rPr>
                <w:rFonts w:ascii="Times New Roman" w:hAnsi="Times New Roman" w:cs="Times New Roman"/>
                <w:noProof/>
                <w:lang w:val="sk-SK"/>
              </w:rPr>
            </w:pPr>
            <w:r w:rsidRPr="00083739">
              <w:rPr>
                <w:rFonts w:ascii="Times New Roman" w:hAnsi="Times New Roman" w:cs="Times New Roman"/>
                <w:noProof/>
                <w:lang w:val="sk-SK"/>
              </w:rPr>
              <w:t>Dokončenie týchto projektov:</w:t>
            </w:r>
          </w:p>
          <w:p w14:paraId="0CB4B6FF" w14:textId="01695A37" w:rsidR="002D49B0" w:rsidRPr="00083739" w:rsidRDefault="00BF4125">
            <w:pPr>
              <w:pStyle w:val="P68B1DB1-paragraph28"/>
              <w:spacing w:before="0" w:beforeAutospacing="0" w:after="0" w:afterAutospacing="0"/>
              <w:textAlignment w:val="baseline"/>
              <w:rPr>
                <w:rFonts w:ascii="Times New Roman" w:hAnsi="Times New Roman" w:cs="Times New Roman"/>
                <w:noProof/>
                <w:lang w:val="sk-SK"/>
              </w:rPr>
            </w:pPr>
            <w:r w:rsidRPr="00083739">
              <w:rPr>
                <w:rFonts w:ascii="Times New Roman" w:hAnsi="Times New Roman" w:cs="Times New Roman"/>
                <w:noProof/>
                <w:lang w:val="sk-SK"/>
              </w:rPr>
              <w:t>1. Transformácia konvenčných učebných osnov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vzdelávacieho obsahu na otvorené, interaktívne, digitálne prostredie</w:t>
            </w:r>
          </w:p>
          <w:p w14:paraId="5C220F56" w14:textId="77777777" w:rsidR="00083739" w:rsidRPr="00083739" w:rsidRDefault="00BF4125">
            <w:pPr>
              <w:pStyle w:val="P68B1DB1-paragraph28"/>
              <w:spacing w:before="0" w:beforeAutospacing="0" w:after="0" w:afterAutospacing="0"/>
              <w:textAlignment w:val="baseline"/>
              <w:rPr>
                <w:rFonts w:ascii="Times New Roman" w:hAnsi="Times New Roman" w:cs="Times New Roman"/>
                <w:noProof/>
                <w:lang w:val="sk-SK"/>
              </w:rPr>
            </w:pPr>
            <w:r w:rsidRPr="00083739">
              <w:rPr>
                <w:rFonts w:ascii="Times New Roman" w:hAnsi="Times New Roman" w:cs="Times New Roman"/>
                <w:noProof/>
                <w:lang w:val="sk-SK"/>
              </w:rPr>
              <w:t xml:space="preserve"> 2. Poskytovanie školského odborného poradenstva pomocou strojového učenia</w:t>
            </w:r>
          </w:p>
          <w:p w14:paraId="27318275" w14:textId="091A9711" w:rsidR="002D49B0" w:rsidRPr="00083739" w:rsidRDefault="00BF4125">
            <w:pPr>
              <w:pStyle w:val="P68B1DB1-paragraph28"/>
              <w:spacing w:before="0" w:beforeAutospacing="0" w:after="0" w:afterAutospacing="0"/>
              <w:textAlignment w:val="baseline"/>
              <w:rPr>
                <w:rFonts w:ascii="Times New Roman" w:hAnsi="Times New Roman" w:cs="Times New Roman"/>
                <w:noProof/>
                <w:lang w:val="sk-SK"/>
              </w:rPr>
            </w:pPr>
            <w:r w:rsidRPr="00083739">
              <w:rPr>
                <w:rFonts w:ascii="Times New Roman" w:hAnsi="Times New Roman" w:cs="Times New Roman"/>
                <w:noProof/>
                <w:lang w:val="sk-SK"/>
              </w:rPr>
              <w:t>3. Inštalácia najmenej 2930 interaktívnych vzdelávacích systémov pre triedy základných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stredných škôl</w:t>
            </w:r>
          </w:p>
          <w:p w14:paraId="74594F80" w14:textId="77777777" w:rsidR="00083739" w:rsidRPr="00083739" w:rsidRDefault="00BF4125">
            <w:pPr>
              <w:pStyle w:val="P68B1DB1-paragraph28"/>
              <w:spacing w:before="0" w:beforeAutospacing="0" w:after="0" w:afterAutospacing="0"/>
              <w:textAlignment w:val="baseline"/>
              <w:rPr>
                <w:rFonts w:ascii="Times New Roman" w:hAnsi="Times New Roman" w:cs="Times New Roman"/>
                <w:noProof/>
                <w:lang w:val="sk-SK"/>
              </w:rPr>
            </w:pPr>
            <w:r w:rsidRPr="00083739">
              <w:rPr>
                <w:rFonts w:ascii="Times New Roman" w:hAnsi="Times New Roman" w:cs="Times New Roman"/>
                <w:noProof/>
                <w:lang w:val="sk-SK"/>
              </w:rPr>
              <w:t>4. Poskytnutie najmenej 500000 poukážok študentom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učiteľom na nákup digitál</w:t>
            </w:r>
            <w:r w:rsidRPr="00083739">
              <w:rPr>
                <w:rFonts w:ascii="Times New Roman" w:hAnsi="Times New Roman" w:cs="Times New Roman"/>
                <w:noProof/>
                <w:lang w:val="sk-SK"/>
              </w:rPr>
              <w:t>neho vybavenia</w:t>
            </w:r>
          </w:p>
          <w:p w14:paraId="7ADE66CC" w14:textId="21B33DDF" w:rsidR="002D49B0" w:rsidRPr="00083739" w:rsidRDefault="00BF4125">
            <w:pPr>
              <w:pStyle w:val="P68B1DB1-paragraph28"/>
              <w:spacing w:before="0" w:beforeAutospacing="0" w:after="0" w:afterAutospacing="0"/>
              <w:textAlignment w:val="baseline"/>
              <w:rPr>
                <w:rFonts w:ascii="Times New Roman" w:hAnsi="Times New Roman" w:cs="Times New Roman"/>
                <w:noProof/>
                <w:lang w:val="sk-SK"/>
              </w:rPr>
            </w:pPr>
            <w:r w:rsidRPr="00083739">
              <w:rPr>
                <w:rFonts w:ascii="Times New Roman" w:hAnsi="Times New Roman" w:cs="Times New Roman"/>
                <w:noProof/>
                <w:lang w:val="sk-SK"/>
              </w:rPr>
              <w:t>5. Poskytovanie robotiky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vzdelávacej infraštruktúry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STEM verejným školám</w:t>
            </w:r>
          </w:p>
          <w:p w14:paraId="3A0FC69F" w14:textId="45FDA426" w:rsidR="002D49B0" w:rsidRPr="00083739" w:rsidRDefault="00BF4125">
            <w:pPr>
              <w:pStyle w:val="P68B1DB1-paragraph28"/>
              <w:spacing w:before="0" w:beforeAutospacing="0" w:after="0" w:afterAutospacing="0"/>
              <w:textAlignment w:val="baseline"/>
              <w:rPr>
                <w:rFonts w:ascii="Times New Roman" w:hAnsi="Times New Roman" w:cs="Times New Roman"/>
                <w:noProof/>
                <w:lang w:val="sk-SK"/>
              </w:rPr>
            </w:pPr>
            <w:r w:rsidRPr="00083739">
              <w:rPr>
                <w:rFonts w:ascii="Times New Roman" w:hAnsi="Times New Roman" w:cs="Times New Roman"/>
                <w:noProof/>
                <w:lang w:val="sk-SK"/>
              </w:rPr>
              <w:t>6. Poskytovanie digitálnych nástrojov pre študentov so zdravotným postihnutím alebo so špeciálnymi výchovno-vzdelávacími potrebami</w:t>
            </w:r>
          </w:p>
          <w:p w14:paraId="226E26B5" w14:textId="37BC8E6A" w:rsidR="002D49B0" w:rsidRPr="00083739" w:rsidRDefault="00BF4125">
            <w:pPr>
              <w:pStyle w:val="P68B1DB1-paragraph28"/>
              <w:spacing w:before="0" w:beforeAutospacing="0" w:after="0" w:afterAutospacing="0"/>
              <w:textAlignment w:val="baseline"/>
              <w:rPr>
                <w:rFonts w:ascii="Times New Roman" w:hAnsi="Times New Roman" w:cs="Times New Roman"/>
                <w:noProof/>
                <w:lang w:val="sk-SK"/>
              </w:rPr>
            </w:pPr>
            <w:r w:rsidRPr="00083739">
              <w:rPr>
                <w:rFonts w:ascii="Times New Roman" w:hAnsi="Times New Roman" w:cs="Times New Roman"/>
                <w:noProof/>
                <w:lang w:val="sk-SK"/>
              </w:rPr>
              <w:t>7. Rozvoj inovačných cent</w:t>
            </w:r>
            <w:r w:rsidRPr="00083739">
              <w:rPr>
                <w:rFonts w:ascii="Times New Roman" w:hAnsi="Times New Roman" w:cs="Times New Roman"/>
                <w:noProof/>
                <w:lang w:val="sk-SK"/>
              </w:rPr>
              <w:t>ier</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13 regionálnych riaditeľstvách</w:t>
            </w:r>
          </w:p>
          <w:p w14:paraId="78663964" w14:textId="77777777" w:rsidR="00083739" w:rsidRPr="00083739" w:rsidRDefault="00BF4125">
            <w:pPr>
              <w:pStyle w:val="P68B1DB1-paragraph28"/>
              <w:spacing w:before="0" w:beforeAutospacing="0" w:after="0" w:afterAutospacing="0"/>
              <w:textAlignment w:val="baseline"/>
              <w:rPr>
                <w:rFonts w:ascii="Times New Roman" w:hAnsi="Times New Roman" w:cs="Times New Roman"/>
                <w:noProof/>
                <w:lang w:val="sk-SK"/>
              </w:rPr>
            </w:pPr>
            <w:r w:rsidRPr="00083739">
              <w:rPr>
                <w:rFonts w:ascii="Times New Roman" w:hAnsi="Times New Roman" w:cs="Times New Roman"/>
                <w:noProof/>
                <w:lang w:val="sk-SK"/>
              </w:rPr>
              <w:t>8. Poskytovanie odbornej prípravy 120000 učiteľom vrátane 35000 špecializovaných učiteľov</w:t>
            </w:r>
          </w:p>
          <w:p w14:paraId="0DADA808" w14:textId="214BEA3F" w:rsidR="002D49B0" w:rsidRPr="00083739" w:rsidRDefault="00BF4125">
            <w:pPr>
              <w:pStyle w:val="P68B1DB1-paragraph28"/>
              <w:spacing w:before="0" w:beforeAutospacing="0" w:after="0" w:afterAutospacing="0"/>
              <w:textAlignment w:val="baseline"/>
              <w:rPr>
                <w:rFonts w:ascii="Times New Roman" w:hAnsi="Times New Roman" w:cs="Times New Roman"/>
                <w:b/>
                <w:noProof/>
                <w:sz w:val="22"/>
                <w:lang w:val="sk-SK"/>
              </w:rPr>
            </w:pPr>
            <w:r w:rsidRPr="00083739">
              <w:rPr>
                <w:rFonts w:ascii="Times New Roman" w:hAnsi="Times New Roman" w:cs="Times New Roman"/>
                <w:noProof/>
                <w:lang w:val="sk-SK"/>
              </w:rPr>
              <w:t>9. Modernizácia digitálnych služieb škôl</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univerzít</w:t>
            </w:r>
          </w:p>
        </w:tc>
      </w:tr>
      <w:tr w:rsidR="002D49B0" w:rsidRPr="00083739" w14:paraId="63733DEE" w14:textId="77777777" w:rsidTr="006B0378">
        <w:trPr>
          <w:trHeight w:val="313"/>
        </w:trPr>
        <w:tc>
          <w:tcPr>
            <w:tcW w:w="1129" w:type="dxa"/>
            <w:tcBorders>
              <w:top w:val="nil"/>
              <w:left w:val="single" w:sz="4" w:space="0" w:color="auto"/>
              <w:bottom w:val="single" w:sz="4" w:space="0" w:color="auto"/>
              <w:right w:val="single" w:sz="4" w:space="0" w:color="auto"/>
            </w:tcBorders>
            <w:shd w:val="clear" w:color="auto" w:fill="C6EFCE"/>
            <w:noWrap/>
          </w:tcPr>
          <w:p w14:paraId="47E6CBB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149</w:t>
            </w:r>
          </w:p>
        </w:tc>
        <w:tc>
          <w:tcPr>
            <w:tcW w:w="1560" w:type="dxa"/>
            <w:tcBorders>
              <w:top w:val="nil"/>
              <w:left w:val="nil"/>
              <w:bottom w:val="single" w:sz="4" w:space="0" w:color="auto"/>
              <w:right w:val="single" w:sz="4" w:space="0" w:color="auto"/>
            </w:tcBorders>
            <w:shd w:val="clear" w:color="auto" w:fill="C6EFCE"/>
            <w:noWrap/>
          </w:tcPr>
          <w:p w14:paraId="7C21B717" w14:textId="4A9F9EA0"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9 – 3.2. Vzdelávanie, odborné vzdelávanie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príprava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zručnosti – </w:t>
            </w:r>
            <w:r w:rsidRPr="00083739">
              <w:rPr>
                <w:rFonts w:ascii="Times New Roman" w:hAnsi="Times New Roman" w:cs="Times New Roman"/>
                <w:noProof/>
                <w:lang w:val="sk-SK"/>
              </w:rPr>
              <w:t>16933_Zlepšenie odborného vzdelávania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prípravy (OVP): Poskytovanie laboratórneho vybavenia laboratórnym centrám pre SAEK, EPAL, post-druhý ročník učňovskej prípravy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školy odbornej prípravy</w:t>
            </w:r>
          </w:p>
        </w:tc>
        <w:tc>
          <w:tcPr>
            <w:tcW w:w="1424" w:type="dxa"/>
            <w:tcBorders>
              <w:top w:val="nil"/>
              <w:left w:val="nil"/>
              <w:bottom w:val="single" w:sz="4" w:space="0" w:color="auto"/>
              <w:right w:val="single" w:sz="4" w:space="0" w:color="auto"/>
            </w:tcBorders>
            <w:shd w:val="clear" w:color="auto" w:fill="C6EFCE"/>
            <w:noWrap/>
          </w:tcPr>
          <w:p w14:paraId="3479F37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Cieľ</w:t>
            </w:r>
          </w:p>
        </w:tc>
        <w:tc>
          <w:tcPr>
            <w:tcW w:w="1586" w:type="dxa"/>
            <w:tcBorders>
              <w:top w:val="nil"/>
              <w:left w:val="nil"/>
              <w:bottom w:val="single" w:sz="4" w:space="0" w:color="auto"/>
              <w:right w:val="single" w:sz="4" w:space="0" w:color="auto"/>
            </w:tcBorders>
            <w:shd w:val="clear" w:color="auto" w:fill="C6EFCE"/>
            <w:noWrap/>
          </w:tcPr>
          <w:p w14:paraId="457E6E8E" w14:textId="3DE68109"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Modernizácia modernizácie laboratórnych centier odborného </w:t>
            </w:r>
            <w:r w:rsidRPr="00083739">
              <w:rPr>
                <w:rFonts w:ascii="Times New Roman" w:hAnsi="Times New Roman" w:cs="Times New Roman"/>
                <w:noProof/>
                <w:lang w:val="sk-SK"/>
              </w:rPr>
              <w:t>vzdelávania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prípravy</w:t>
            </w:r>
          </w:p>
        </w:tc>
        <w:tc>
          <w:tcPr>
            <w:tcW w:w="1713" w:type="dxa"/>
            <w:tcBorders>
              <w:top w:val="nil"/>
              <w:left w:val="nil"/>
              <w:bottom w:val="single" w:sz="4" w:space="0" w:color="auto"/>
              <w:right w:val="single" w:sz="4" w:space="0" w:color="auto"/>
            </w:tcBorders>
            <w:shd w:val="clear" w:color="auto" w:fill="C6EFCE"/>
            <w:noWrap/>
          </w:tcPr>
          <w:p w14:paraId="1E641242"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386" w:type="dxa"/>
            <w:tcBorders>
              <w:top w:val="nil"/>
              <w:left w:val="nil"/>
              <w:bottom w:val="single" w:sz="4" w:space="0" w:color="auto"/>
              <w:right w:val="single" w:sz="4" w:space="0" w:color="auto"/>
            </w:tcBorders>
            <w:shd w:val="clear" w:color="auto" w:fill="C6EFCE"/>
            <w:noWrap/>
          </w:tcPr>
          <w:p w14:paraId="001D2B32" w14:textId="0FCA81F2"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Počet laboratórií</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školách OVP, ktoré boli úplne modernizované</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obnovené</w:t>
            </w:r>
          </w:p>
        </w:tc>
        <w:tc>
          <w:tcPr>
            <w:tcW w:w="957" w:type="dxa"/>
            <w:tcBorders>
              <w:top w:val="nil"/>
              <w:left w:val="nil"/>
              <w:bottom w:val="single" w:sz="4" w:space="0" w:color="auto"/>
              <w:right w:val="single" w:sz="4" w:space="0" w:color="auto"/>
            </w:tcBorders>
            <w:shd w:val="clear" w:color="auto" w:fill="C6EFCE"/>
            <w:noWrap/>
          </w:tcPr>
          <w:p w14:paraId="7A0EDFF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0</w:t>
            </w:r>
          </w:p>
        </w:tc>
        <w:tc>
          <w:tcPr>
            <w:tcW w:w="771" w:type="dxa"/>
            <w:tcBorders>
              <w:top w:val="nil"/>
              <w:left w:val="nil"/>
              <w:bottom w:val="single" w:sz="4" w:space="0" w:color="auto"/>
              <w:right w:val="single" w:sz="4" w:space="0" w:color="auto"/>
            </w:tcBorders>
            <w:shd w:val="clear" w:color="auto" w:fill="C6EFCE"/>
            <w:noWrap/>
          </w:tcPr>
          <w:p w14:paraId="27B43AB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376</w:t>
            </w:r>
          </w:p>
        </w:tc>
        <w:tc>
          <w:tcPr>
            <w:tcW w:w="1167" w:type="dxa"/>
            <w:tcBorders>
              <w:top w:val="nil"/>
              <w:left w:val="nil"/>
              <w:bottom w:val="single" w:sz="4" w:space="0" w:color="auto"/>
              <w:right w:val="single" w:sz="4" w:space="0" w:color="auto"/>
            </w:tcBorders>
            <w:shd w:val="clear" w:color="auto" w:fill="C6EFCE"/>
            <w:noWrap/>
          </w:tcPr>
          <w:p w14:paraId="483E4BB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20" w:type="dxa"/>
            <w:tcBorders>
              <w:top w:val="nil"/>
              <w:left w:val="nil"/>
              <w:bottom w:val="single" w:sz="4" w:space="0" w:color="auto"/>
              <w:right w:val="single" w:sz="4" w:space="0" w:color="auto"/>
            </w:tcBorders>
            <w:shd w:val="clear" w:color="auto" w:fill="C6EFCE"/>
            <w:noWrap/>
          </w:tcPr>
          <w:p w14:paraId="18EA6F6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3309" w:type="dxa"/>
            <w:tcBorders>
              <w:top w:val="nil"/>
              <w:left w:val="nil"/>
              <w:bottom w:val="single" w:sz="4" w:space="0" w:color="auto"/>
              <w:right w:val="single" w:sz="4" w:space="0" w:color="auto"/>
            </w:tcBorders>
            <w:shd w:val="clear" w:color="auto" w:fill="C6EFCE"/>
            <w:noWrap/>
          </w:tcPr>
          <w:p w14:paraId="0428E56F" w14:textId="650E460B"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Dokončenie obnovy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úplnej technologickej modernizácie infraštruktúry laboratórneho vybavenia pre 376 laboratórií</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školách OVP</w:t>
            </w:r>
            <w:r w:rsidR="00083739" w:rsidRPr="00083739">
              <w:rPr>
                <w:rFonts w:ascii="Times New Roman" w:hAnsi="Times New Roman" w:cs="Times New Roman"/>
                <w:noProof/>
                <w:lang w:val="sk-SK"/>
              </w:rPr>
              <w:t>:</w:t>
            </w:r>
          </w:p>
          <w:p w14:paraId="282F97CA" w14:textId="3E66ADDE"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w:t>
            </w:r>
            <w:r w:rsidRPr="00083739">
              <w:rPr>
                <w:rFonts w:ascii="Times New Roman" w:hAnsi="Times New Roman" w:cs="Times New Roman"/>
                <w:noProof/>
                <w:lang w:val="sk-SK"/>
              </w:rPr>
              <w:t>Školy vyššieho odborného vzdelávania (SAEK)</w:t>
            </w:r>
          </w:p>
          <w:p w14:paraId="44DEE62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Odborné lyceumy (EPAL)</w:t>
            </w:r>
          </w:p>
          <w:p w14:paraId="362FD10A" w14:textId="42BCCA60"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Post-druhý ročník učňovskej prípravy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školách odborného vzdelávania.</w:t>
            </w:r>
          </w:p>
        </w:tc>
      </w:tr>
      <w:tr w:rsidR="002D49B0" w:rsidRPr="00083739" w14:paraId="49245BD3" w14:textId="77777777" w:rsidTr="006B0378">
        <w:trPr>
          <w:trHeight w:val="313"/>
        </w:trPr>
        <w:tc>
          <w:tcPr>
            <w:tcW w:w="1129" w:type="dxa"/>
            <w:tcBorders>
              <w:top w:val="nil"/>
              <w:left w:val="single" w:sz="4" w:space="0" w:color="auto"/>
              <w:bottom w:val="single" w:sz="4" w:space="0" w:color="auto"/>
              <w:right w:val="single" w:sz="4" w:space="0" w:color="auto"/>
            </w:tcBorders>
            <w:shd w:val="clear" w:color="auto" w:fill="C6EFCE"/>
            <w:noWrap/>
          </w:tcPr>
          <w:p w14:paraId="571BB05F" w14:textId="77777777"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150</w:t>
            </w:r>
          </w:p>
        </w:tc>
        <w:tc>
          <w:tcPr>
            <w:tcW w:w="1560" w:type="dxa"/>
            <w:tcBorders>
              <w:top w:val="nil"/>
              <w:left w:val="nil"/>
              <w:bottom w:val="single" w:sz="4" w:space="0" w:color="auto"/>
              <w:right w:val="single" w:sz="4" w:space="0" w:color="auto"/>
            </w:tcBorders>
            <w:shd w:val="clear" w:color="auto" w:fill="C6EFCE"/>
            <w:noWrap/>
          </w:tcPr>
          <w:p w14:paraId="5C4A0F57" w14:textId="1C4E12B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9 – 3.2. Vzdelávanie, odborné vzdelávanie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príprava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zručnosti – 16289_Stratégia excelentnosti</w:t>
            </w:r>
            <w:r w:rsidRPr="00083739">
              <w:rPr>
                <w:rFonts w:ascii="Times New Roman" w:hAnsi="Times New Roman" w:cs="Times New Roman"/>
                <w:noProof/>
                <w:lang w:val="sk-SK"/>
              </w:rPr>
              <w:t xml:space="preserve"> na univerzitách</w:t>
            </w:r>
            <w:r w:rsidR="00083739" w:rsidRPr="00083739">
              <w:rPr>
                <w:rFonts w:ascii="Times New Roman" w:hAnsi="Times New Roman" w:cs="Times New Roman"/>
                <w:noProof/>
                <w:lang w:val="sk-SK"/>
              </w:rPr>
              <w:t xml:space="preserve"> a v </w:t>
            </w:r>
            <w:r w:rsidRPr="00083739">
              <w:rPr>
                <w:rFonts w:ascii="Times New Roman" w:hAnsi="Times New Roman" w:cs="Times New Roman"/>
                <w:noProof/>
                <w:lang w:val="sk-SK"/>
              </w:rPr>
              <w:t>inováciách</w:t>
            </w:r>
          </w:p>
        </w:tc>
        <w:tc>
          <w:tcPr>
            <w:tcW w:w="1424" w:type="dxa"/>
            <w:tcBorders>
              <w:top w:val="nil"/>
              <w:left w:val="nil"/>
              <w:bottom w:val="single" w:sz="4" w:space="0" w:color="auto"/>
              <w:right w:val="single" w:sz="4" w:space="0" w:color="auto"/>
            </w:tcBorders>
            <w:shd w:val="clear" w:color="auto" w:fill="C6EFCE"/>
            <w:noWrap/>
          </w:tcPr>
          <w:p w14:paraId="203B6CD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586" w:type="dxa"/>
            <w:tcBorders>
              <w:top w:val="nil"/>
              <w:left w:val="nil"/>
              <w:bottom w:val="single" w:sz="4" w:space="0" w:color="auto"/>
              <w:right w:val="single" w:sz="4" w:space="0" w:color="auto"/>
            </w:tcBorders>
            <w:shd w:val="clear" w:color="auto" w:fill="C6EFCE"/>
            <w:noWrap/>
          </w:tcPr>
          <w:p w14:paraId="7897F173" w14:textId="5509DEB9"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všetkých projektov opatrenia Stratégia excelentnosti na univerzitách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inováciách</w:t>
            </w:r>
          </w:p>
          <w:p w14:paraId="7816BAF7"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713" w:type="dxa"/>
            <w:tcBorders>
              <w:top w:val="nil"/>
              <w:left w:val="nil"/>
              <w:bottom w:val="single" w:sz="4" w:space="0" w:color="auto"/>
              <w:right w:val="single" w:sz="4" w:space="0" w:color="auto"/>
            </w:tcBorders>
            <w:shd w:val="clear" w:color="auto" w:fill="C6EFCE"/>
            <w:noWrap/>
          </w:tcPr>
          <w:p w14:paraId="1B0F8F0B" w14:textId="2CEA628D"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Správa gréckeho úradu pre vysokoškolské vzdelávanie,</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ktorej sa potvrdzuje dokončenie všetkých projektov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rámci opatrenia</w:t>
            </w:r>
            <w:r w:rsidRPr="00083739">
              <w:rPr>
                <w:rFonts w:ascii="Times New Roman" w:hAnsi="Times New Roman" w:cs="Times New Roman"/>
                <w:noProof/>
                <w:lang w:val="sk-SK"/>
              </w:rPr>
              <w:t xml:space="preserve"> Stratégia excelentnosti na univerzitách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inováciách.</w:t>
            </w:r>
          </w:p>
        </w:tc>
        <w:tc>
          <w:tcPr>
            <w:tcW w:w="1386" w:type="dxa"/>
            <w:tcBorders>
              <w:top w:val="nil"/>
              <w:left w:val="nil"/>
              <w:bottom w:val="single" w:sz="4" w:space="0" w:color="auto"/>
              <w:right w:val="single" w:sz="4" w:space="0" w:color="auto"/>
            </w:tcBorders>
            <w:shd w:val="clear" w:color="auto" w:fill="C6EFCE"/>
            <w:noWrap/>
          </w:tcPr>
          <w:p w14:paraId="3EEF4F78"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57" w:type="dxa"/>
            <w:tcBorders>
              <w:top w:val="nil"/>
              <w:left w:val="nil"/>
              <w:bottom w:val="single" w:sz="4" w:space="0" w:color="auto"/>
              <w:right w:val="single" w:sz="4" w:space="0" w:color="auto"/>
            </w:tcBorders>
            <w:shd w:val="clear" w:color="auto" w:fill="C6EFCE"/>
            <w:noWrap/>
          </w:tcPr>
          <w:p w14:paraId="7DC88A74"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771" w:type="dxa"/>
            <w:tcBorders>
              <w:top w:val="nil"/>
              <w:left w:val="nil"/>
              <w:bottom w:val="single" w:sz="4" w:space="0" w:color="auto"/>
              <w:right w:val="single" w:sz="4" w:space="0" w:color="auto"/>
            </w:tcBorders>
            <w:shd w:val="clear" w:color="auto" w:fill="C6EFCE"/>
            <w:noWrap/>
          </w:tcPr>
          <w:p w14:paraId="11747882"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167" w:type="dxa"/>
            <w:tcBorders>
              <w:top w:val="nil"/>
              <w:left w:val="nil"/>
              <w:bottom w:val="single" w:sz="4" w:space="0" w:color="auto"/>
              <w:right w:val="single" w:sz="4" w:space="0" w:color="auto"/>
            </w:tcBorders>
            <w:shd w:val="clear" w:color="auto" w:fill="C6EFCE"/>
            <w:noWrap/>
          </w:tcPr>
          <w:p w14:paraId="3C3FCA2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20" w:type="dxa"/>
            <w:tcBorders>
              <w:top w:val="nil"/>
              <w:left w:val="nil"/>
              <w:bottom w:val="single" w:sz="4" w:space="0" w:color="auto"/>
              <w:right w:val="single" w:sz="4" w:space="0" w:color="auto"/>
            </w:tcBorders>
            <w:shd w:val="clear" w:color="auto" w:fill="C6EFCE"/>
            <w:noWrap/>
          </w:tcPr>
          <w:p w14:paraId="763AF31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3309" w:type="dxa"/>
            <w:tcBorders>
              <w:top w:val="nil"/>
              <w:left w:val="nil"/>
              <w:bottom w:val="single" w:sz="4" w:space="0" w:color="auto"/>
              <w:right w:val="single" w:sz="4" w:space="0" w:color="auto"/>
            </w:tcBorders>
            <w:shd w:val="clear" w:color="auto" w:fill="C6EFCE"/>
            <w:noWrap/>
          </w:tcPr>
          <w:p w14:paraId="4E8D7B2C" w14:textId="6D5DE03E"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všetkých projektov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rámci opatrenia Stratégia excelentnosti na univerzitách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inovácie:</w:t>
            </w:r>
          </w:p>
          <w:p w14:paraId="2D51893C" w14:textId="4369CD46"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a) Ukončenie 70 spoločných výskumných projektov (klastre excelentnosti</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w:t>
            </w:r>
            <w:r w:rsidRPr="00083739">
              <w:rPr>
                <w:rFonts w:ascii="Times New Roman" w:hAnsi="Times New Roman" w:cs="Times New Roman"/>
                <w:noProof/>
                <w:lang w:val="sk-SK"/>
              </w:rPr>
              <w:t>sti výskumu) pre akademických pracovníkov so spoločnosťami zo súkromného sektora.</w:t>
            </w:r>
          </w:p>
          <w:p w14:paraId="2C0A8722" w14:textId="1DB6804C" w:rsidR="002D49B0" w:rsidRPr="00083739" w:rsidRDefault="002D49B0">
            <w:pPr>
              <w:spacing w:after="0" w:line="240" w:lineRule="auto"/>
              <w:rPr>
                <w:rFonts w:ascii="Times New Roman" w:hAnsi="Times New Roman" w:cs="Times New Roman"/>
                <w:noProof/>
                <w:color w:val="006100"/>
                <w:sz w:val="18"/>
                <w:szCs w:val="18"/>
                <w:lang w:val="sk-SK"/>
              </w:rPr>
            </w:pPr>
          </w:p>
          <w:p w14:paraId="2B7A293C" w14:textId="0B10D8D3" w:rsidR="002D49B0" w:rsidRPr="00083739" w:rsidRDefault="00BF4125">
            <w:pPr>
              <w:pStyle w:val="P68B1DB1-Normal10"/>
              <w:spacing w:after="0" w:line="240" w:lineRule="auto"/>
              <w:rPr>
                <w:rFonts w:ascii="Times New Roman" w:hAnsi="Times New Roman" w:cs="Times New Roman"/>
                <w:noProof/>
                <w:lang w:val="sk-SK"/>
              </w:rPr>
            </w:pPr>
            <w:r w:rsidRPr="00083739">
              <w:rPr>
                <w:rFonts w:ascii="Times New Roman" w:hAnsi="Times New Roman" w:cs="Times New Roman"/>
                <w:noProof/>
                <w:lang w:val="sk-SK"/>
              </w:rPr>
              <w:t>b) dokončenie modernizácie výskumných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vzdelávacích infraštruktúr gréckych univerzít vybraných</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rámci opatrenia.</w:t>
            </w:r>
          </w:p>
          <w:p w14:paraId="04B4AE9D" w14:textId="77777777" w:rsidR="00083739" w:rsidRPr="00083739" w:rsidRDefault="00083739">
            <w:pPr>
              <w:pStyle w:val="P68B1DB1-Normal9"/>
              <w:spacing w:after="0" w:line="240" w:lineRule="auto"/>
              <w:rPr>
                <w:rFonts w:ascii="Times New Roman" w:hAnsi="Times New Roman" w:cs="Times New Roman"/>
                <w:noProof/>
                <w:lang w:val="sk-SK"/>
              </w:rPr>
            </w:pPr>
          </w:p>
          <w:p w14:paraId="1D5BA9C3" w14:textId="11BA5E48" w:rsidR="002D49B0" w:rsidRPr="00083739" w:rsidRDefault="00BF4125">
            <w:pPr>
              <w:pStyle w:val="P68B1DB1-Normal9"/>
              <w:spacing w:after="0"/>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C) Ukončenie digitálnej transformácie Národnej siete </w:t>
            </w:r>
            <w:r w:rsidRPr="00083739">
              <w:rPr>
                <w:rFonts w:ascii="Times New Roman" w:hAnsi="Times New Roman" w:cs="Times New Roman"/>
                <w:noProof/>
                <w:lang w:val="sk-SK"/>
              </w:rPr>
              <w:t>gréckych knižníc.</w:t>
            </w:r>
          </w:p>
          <w:p w14:paraId="76662EF5" w14:textId="35BF9EFD" w:rsidR="002D49B0" w:rsidRPr="00083739" w:rsidRDefault="00BF4125">
            <w:pPr>
              <w:pStyle w:val="P68B1DB1-Normal17"/>
              <w:spacing w:after="0"/>
              <w:rPr>
                <w:rFonts w:ascii="Times New Roman" w:hAnsi="Times New Roman" w:cs="Times New Roman"/>
                <w:noProof/>
                <w:lang w:val="sk-SK"/>
              </w:rPr>
            </w:pPr>
            <w:r w:rsidRPr="00083739">
              <w:rPr>
                <w:rFonts w:ascii="Times New Roman" w:hAnsi="Times New Roman" w:cs="Times New Roman"/>
                <w:noProof/>
                <w:lang w:val="sk-SK"/>
              </w:rPr>
              <w:t>d) Zriadenie spoločných a/alebo duálnych postgraduálnych študijných programov so zahraničnými univerzitami.</w:t>
            </w:r>
          </w:p>
        </w:tc>
      </w:tr>
      <w:tr w:rsidR="002D49B0" w:rsidRPr="00083739" w14:paraId="223F309B" w14:textId="77777777" w:rsidTr="006B0378">
        <w:trPr>
          <w:trHeight w:val="313"/>
        </w:trPr>
        <w:tc>
          <w:tcPr>
            <w:tcW w:w="1129" w:type="dxa"/>
            <w:tcBorders>
              <w:top w:val="single" w:sz="4" w:space="0" w:color="auto"/>
              <w:left w:val="single" w:sz="4" w:space="0" w:color="auto"/>
              <w:bottom w:val="single" w:sz="4" w:space="0" w:color="auto"/>
              <w:right w:val="single" w:sz="4" w:space="0" w:color="auto"/>
            </w:tcBorders>
            <w:shd w:val="clear" w:color="auto" w:fill="C6EFCE"/>
            <w:noWrap/>
          </w:tcPr>
          <w:p w14:paraId="37EB07F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152</w:t>
            </w:r>
          </w:p>
        </w:tc>
        <w:tc>
          <w:tcPr>
            <w:tcW w:w="1560" w:type="dxa"/>
            <w:tcBorders>
              <w:top w:val="single" w:sz="4" w:space="0" w:color="auto"/>
              <w:left w:val="nil"/>
              <w:bottom w:val="single" w:sz="4" w:space="0" w:color="auto"/>
              <w:right w:val="single" w:sz="4" w:space="0" w:color="auto"/>
            </w:tcBorders>
            <w:shd w:val="clear" w:color="auto" w:fill="C6EFCE"/>
            <w:noWrap/>
          </w:tcPr>
          <w:p w14:paraId="4E9D7801" w14:textId="6B30711E"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9 – 3.2. Vzdelávanie, odborné vzdelávanie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príprava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zručnosti – 16934_Zlepšenie odborného vzdelávania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prípravy</w:t>
            </w:r>
          </w:p>
        </w:tc>
        <w:tc>
          <w:tcPr>
            <w:tcW w:w="1424" w:type="dxa"/>
            <w:tcBorders>
              <w:top w:val="single" w:sz="4" w:space="0" w:color="auto"/>
              <w:left w:val="nil"/>
              <w:bottom w:val="single" w:sz="4" w:space="0" w:color="auto"/>
              <w:right w:val="single" w:sz="4" w:space="0" w:color="auto"/>
            </w:tcBorders>
            <w:shd w:val="clear" w:color="auto" w:fill="C6EFCE"/>
            <w:noWrap/>
          </w:tcPr>
          <w:p w14:paraId="0A11A01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586" w:type="dxa"/>
            <w:tcBorders>
              <w:top w:val="single" w:sz="4" w:space="0" w:color="auto"/>
              <w:left w:val="nil"/>
              <w:bottom w:val="single" w:sz="4" w:space="0" w:color="auto"/>
              <w:right w:val="single" w:sz="4" w:space="0" w:color="auto"/>
            </w:tcBorders>
            <w:shd w:val="clear" w:color="auto" w:fill="C6EFCE"/>
            <w:noWrap/>
          </w:tcPr>
          <w:p w14:paraId="6136A6FB" w14:textId="405D6593"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Modernizácia systému OVP SAEK, navrhovanie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vývoj modelu EPAL, dokončenie digitalizácie EOPPEP</w:t>
            </w:r>
          </w:p>
        </w:tc>
        <w:tc>
          <w:tcPr>
            <w:tcW w:w="1713" w:type="dxa"/>
            <w:tcBorders>
              <w:top w:val="single" w:sz="4" w:space="0" w:color="auto"/>
              <w:left w:val="nil"/>
              <w:bottom w:val="single" w:sz="4" w:space="0" w:color="auto"/>
              <w:right w:val="single" w:sz="4" w:space="0" w:color="auto"/>
            </w:tcBorders>
            <w:shd w:val="clear" w:color="auto" w:fill="C6EFCE"/>
            <w:noWrap/>
          </w:tcPr>
          <w:p w14:paraId="08B0E03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Správa ministerstva školstva potvrdzujúca dokončenie projektov</w:t>
            </w:r>
          </w:p>
        </w:tc>
        <w:tc>
          <w:tcPr>
            <w:tcW w:w="1386" w:type="dxa"/>
            <w:tcBorders>
              <w:top w:val="single" w:sz="4" w:space="0" w:color="auto"/>
              <w:left w:val="nil"/>
              <w:bottom w:val="single" w:sz="4" w:space="0" w:color="auto"/>
              <w:right w:val="single" w:sz="4" w:space="0" w:color="auto"/>
            </w:tcBorders>
            <w:shd w:val="clear" w:color="auto" w:fill="C6EFCE"/>
            <w:noWrap/>
          </w:tcPr>
          <w:p w14:paraId="0496B9E9"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57" w:type="dxa"/>
            <w:tcBorders>
              <w:top w:val="single" w:sz="4" w:space="0" w:color="auto"/>
              <w:left w:val="nil"/>
              <w:bottom w:val="single" w:sz="4" w:space="0" w:color="auto"/>
              <w:right w:val="single" w:sz="4" w:space="0" w:color="auto"/>
            </w:tcBorders>
            <w:shd w:val="clear" w:color="auto" w:fill="C6EFCE"/>
            <w:noWrap/>
          </w:tcPr>
          <w:p w14:paraId="2566D2E6"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771" w:type="dxa"/>
            <w:tcBorders>
              <w:top w:val="single" w:sz="4" w:space="0" w:color="auto"/>
              <w:left w:val="nil"/>
              <w:bottom w:val="single" w:sz="4" w:space="0" w:color="auto"/>
              <w:right w:val="single" w:sz="4" w:space="0" w:color="auto"/>
            </w:tcBorders>
            <w:shd w:val="clear" w:color="auto" w:fill="C6EFCE"/>
            <w:noWrap/>
          </w:tcPr>
          <w:p w14:paraId="74B57E52"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167" w:type="dxa"/>
            <w:tcBorders>
              <w:top w:val="single" w:sz="4" w:space="0" w:color="auto"/>
              <w:left w:val="nil"/>
              <w:bottom w:val="single" w:sz="4" w:space="0" w:color="auto"/>
              <w:right w:val="single" w:sz="4" w:space="0" w:color="auto"/>
            </w:tcBorders>
            <w:shd w:val="clear" w:color="auto" w:fill="C6EFCE"/>
            <w:noWrap/>
          </w:tcPr>
          <w:p w14:paraId="732BD4D2" w14:textId="77777777"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ŠTVRTÝ ŠTVRŤROK</w:t>
            </w:r>
          </w:p>
          <w:p w14:paraId="71BBF58A" w14:textId="20304745"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720" w:type="dxa"/>
            <w:tcBorders>
              <w:top w:val="single" w:sz="4" w:space="0" w:color="auto"/>
              <w:left w:val="nil"/>
              <w:bottom w:val="single" w:sz="4" w:space="0" w:color="auto"/>
              <w:right w:val="single" w:sz="4" w:space="0" w:color="auto"/>
            </w:tcBorders>
            <w:shd w:val="clear" w:color="auto" w:fill="C6EFCE"/>
            <w:noWrap/>
          </w:tcPr>
          <w:p w14:paraId="52C7A2B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3309" w:type="dxa"/>
            <w:tcBorders>
              <w:top w:val="single" w:sz="4" w:space="0" w:color="auto"/>
              <w:left w:val="nil"/>
              <w:bottom w:val="single" w:sz="4" w:space="0" w:color="auto"/>
              <w:right w:val="single" w:sz="4" w:space="0" w:color="auto"/>
            </w:tcBorders>
            <w:shd w:val="clear" w:color="auto" w:fill="C6EFCE"/>
            <w:noWrap/>
          </w:tcPr>
          <w:p w14:paraId="4FBB5DB7" w14:textId="7CD93D02"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Dokončenie týchto projektov zameraných na modernizáciu systému odborného</w:t>
            </w:r>
            <w:r w:rsidRPr="00083739">
              <w:rPr>
                <w:rFonts w:ascii="Times New Roman" w:hAnsi="Times New Roman" w:cs="Times New Roman"/>
                <w:noProof/>
                <w:lang w:val="sk-SK"/>
              </w:rPr>
              <w:t xml:space="preserve"> vzdelávania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prípravy:</w:t>
            </w:r>
          </w:p>
          <w:p w14:paraId="620717A3" w14:textId="053042B5"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1. Návrh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vypracovanie príručiek odbornej prípravy, programov odbornej prípravy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odbornej prípravy školiteľov pre 5 tematických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10 experimentálnych škôl vyššieho odborného vzdelávania (SAEK)</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renováciu budov pre 6 tematických/</w:t>
            </w:r>
            <w:r w:rsidRPr="00083739">
              <w:rPr>
                <w:rFonts w:ascii="Times New Roman" w:hAnsi="Times New Roman" w:cs="Times New Roman"/>
                <w:noProof/>
                <w:lang w:val="sk-SK"/>
              </w:rPr>
              <w:t>experimentálnych SAEK;</w:t>
            </w:r>
          </w:p>
          <w:p w14:paraId="5C65081E" w14:textId="6C5F2B71"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2. Návrh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vypracovanie učebných plánov, programov odbornej prípravy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odbornej prípravy školiteľov pre 25 modelových odborných lyceumov (vzor ΕPΑL)</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renováciu budov pre 21 model EPAL;</w:t>
            </w:r>
          </w:p>
          <w:p w14:paraId="2AF55EB6" w14:textId="09AD248B"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 Digitalizácia Národnej organizácie pre osved</w:t>
            </w:r>
            <w:r w:rsidRPr="00083739">
              <w:rPr>
                <w:rFonts w:ascii="Times New Roman" w:hAnsi="Times New Roman" w:cs="Times New Roman"/>
                <w:noProof/>
                <w:lang w:val="sk-SK"/>
              </w:rPr>
              <w:t>čovanie kvalifikácií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odborné poradenstvo (EOPPEP) vrátane vytvorenia platformy pre elektronické skúšky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platformy elektronického vzdelávania pre OVP.</w:t>
            </w:r>
          </w:p>
        </w:tc>
      </w:tr>
    </w:tbl>
    <w:p w14:paraId="69EE46B8" w14:textId="77777777" w:rsidR="002D49B0" w:rsidRPr="00083739" w:rsidRDefault="002D49B0">
      <w:pPr>
        <w:spacing w:before="120" w:after="120" w:line="240" w:lineRule="auto"/>
        <w:ind w:left="709"/>
        <w:jc w:val="both"/>
        <w:rPr>
          <w:rFonts w:ascii="Times New Roman" w:hAnsi="Times New Roman" w:cs="Times New Roman"/>
          <w:noProof/>
          <w:sz w:val="24"/>
          <w:lang w:val="sk-SK"/>
        </w:rPr>
        <w:sectPr w:rsidR="002D49B0" w:rsidRPr="00083739" w:rsidSect="00271D33">
          <w:headerReference w:type="even" r:id="rId163"/>
          <w:headerReference w:type="default" r:id="rId164"/>
          <w:footerReference w:type="even" r:id="rId165"/>
          <w:footerReference w:type="default" r:id="rId166"/>
          <w:headerReference w:type="first" r:id="rId167"/>
          <w:footerReference w:type="first" r:id="rId168"/>
          <w:pgSz w:w="16839" w:h="11907" w:orient="landscape"/>
          <w:pgMar w:top="720" w:right="720" w:bottom="720" w:left="720" w:header="709" w:footer="75" w:gutter="0"/>
          <w:cols w:space="720"/>
          <w:docGrid w:linePitch="360"/>
        </w:sectPr>
      </w:pPr>
    </w:p>
    <w:p w14:paraId="751BFBF3" w14:textId="77777777" w:rsidR="002D49B0" w:rsidRPr="00083739" w:rsidRDefault="00BF4125">
      <w:pPr>
        <w:pStyle w:val="P68B1DB1-Normal2"/>
        <w:spacing w:before="120" w:after="120" w:line="240" w:lineRule="auto"/>
        <w:ind w:firstLine="6"/>
        <w:jc w:val="both"/>
        <w:outlineLvl w:val="3"/>
        <w:rPr>
          <w:rFonts w:cs="Times New Roman"/>
          <w:bCs/>
          <w:noProof/>
          <w:lang w:val="sk-SK"/>
        </w:rPr>
      </w:pPr>
      <w:r w:rsidRPr="00083739">
        <w:rPr>
          <w:rFonts w:cs="Times New Roman"/>
          <w:noProof/>
          <w:lang w:val="sk-SK"/>
        </w:rPr>
        <w:t xml:space="preserve">J. ZLOŽKA 3.3: ZLEPŠENIE ODOLNOSTI, </w:t>
      </w:r>
      <w:r w:rsidRPr="00083739">
        <w:rPr>
          <w:rFonts w:cs="Times New Roman"/>
          <w:noProof/>
          <w:lang w:val="sk-SK"/>
        </w:rPr>
        <w:t>DOSTUPNOSTI A UDRŽATEĽNOSTI ZDRAVOTNEJ STAROSTLIVOSTI</w:t>
      </w:r>
    </w:p>
    <w:p w14:paraId="4D9D83D3" w14:textId="699D4EED"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Tento komponent gréckeho plánu obnovy</w:t>
      </w:r>
      <w:r w:rsidR="00083739" w:rsidRPr="00083739">
        <w:rPr>
          <w:rFonts w:cs="Times New Roman"/>
          <w:noProof/>
          <w:lang w:val="sk-SK"/>
        </w:rPr>
        <w:t xml:space="preserve"> a </w:t>
      </w:r>
      <w:r w:rsidRPr="00083739">
        <w:rPr>
          <w:rFonts w:cs="Times New Roman"/>
          <w:noProof/>
          <w:lang w:val="sk-SK"/>
        </w:rPr>
        <w:t>odolnosti sa zameriava na zvýšenie odolnosti systému zdravotnej starostlivosti prostredníctvom rôznych intervencií. Časť týchto opatrení sa zameriava na infraštru</w:t>
      </w:r>
      <w:r w:rsidRPr="00083739">
        <w:rPr>
          <w:rFonts w:cs="Times New Roman"/>
          <w:noProof/>
          <w:lang w:val="sk-SK"/>
        </w:rPr>
        <w:t>ktúru, fyzickú aj digitálnu,</w:t>
      </w:r>
      <w:r w:rsidR="00083739" w:rsidRPr="00083739">
        <w:rPr>
          <w:rFonts w:cs="Times New Roman"/>
          <w:noProof/>
          <w:lang w:val="sk-SK"/>
        </w:rPr>
        <w:t xml:space="preserve"> a </w:t>
      </w:r>
      <w:r w:rsidRPr="00083739">
        <w:rPr>
          <w:rFonts w:cs="Times New Roman"/>
          <w:noProof/>
          <w:lang w:val="sk-SK"/>
        </w:rPr>
        <w:t>operačné zlepšenia na modernizáciu</w:t>
      </w:r>
      <w:r w:rsidR="00083739" w:rsidRPr="00083739">
        <w:rPr>
          <w:rFonts w:cs="Times New Roman"/>
          <w:noProof/>
          <w:lang w:val="sk-SK"/>
        </w:rPr>
        <w:t xml:space="preserve"> a </w:t>
      </w:r>
      <w:r w:rsidRPr="00083739">
        <w:rPr>
          <w:rFonts w:cs="Times New Roman"/>
          <w:noProof/>
          <w:lang w:val="sk-SK"/>
        </w:rPr>
        <w:t>modernizáciu nemocničného systému</w:t>
      </w:r>
      <w:r w:rsidR="00083739" w:rsidRPr="00083739">
        <w:rPr>
          <w:rFonts w:cs="Times New Roman"/>
          <w:noProof/>
          <w:lang w:val="sk-SK"/>
        </w:rPr>
        <w:t xml:space="preserve"> a </w:t>
      </w:r>
      <w:r w:rsidRPr="00083739">
        <w:rPr>
          <w:rFonts w:cs="Times New Roman"/>
          <w:noProof/>
          <w:lang w:val="sk-SK"/>
        </w:rPr>
        <w:t>siete zdravotníckych centier. Iné sú zamerané na podporu</w:t>
      </w:r>
      <w:r w:rsidR="00083739" w:rsidRPr="00083739">
        <w:rPr>
          <w:rFonts w:cs="Times New Roman"/>
          <w:noProof/>
          <w:lang w:val="sk-SK"/>
        </w:rPr>
        <w:t xml:space="preserve"> a </w:t>
      </w:r>
      <w:r w:rsidRPr="00083739">
        <w:rPr>
          <w:rFonts w:cs="Times New Roman"/>
          <w:noProof/>
          <w:lang w:val="sk-SK"/>
        </w:rPr>
        <w:t>zlepšenie prístupu, efektívnosti</w:t>
      </w:r>
      <w:r w:rsidR="00083739" w:rsidRPr="00083739">
        <w:rPr>
          <w:rFonts w:cs="Times New Roman"/>
          <w:noProof/>
          <w:lang w:val="sk-SK"/>
        </w:rPr>
        <w:t xml:space="preserve"> a </w:t>
      </w:r>
      <w:r w:rsidRPr="00083739">
        <w:rPr>
          <w:rFonts w:cs="Times New Roman"/>
          <w:noProof/>
          <w:lang w:val="sk-SK"/>
        </w:rPr>
        <w:t>odolnosti sektora zdravotnej starostlivosti. Konkrétne zah</w:t>
      </w:r>
      <w:r w:rsidRPr="00083739">
        <w:rPr>
          <w:rFonts w:cs="Times New Roman"/>
          <w:noProof/>
          <w:lang w:val="sk-SK"/>
        </w:rPr>
        <w:t>ŕňajú opatrenia na posilnenie verejného zdravia</w:t>
      </w:r>
      <w:r w:rsidR="00083739" w:rsidRPr="00083739">
        <w:rPr>
          <w:rFonts w:cs="Times New Roman"/>
          <w:noProof/>
          <w:lang w:val="sk-SK"/>
        </w:rPr>
        <w:t xml:space="preserve"> a </w:t>
      </w:r>
      <w:r w:rsidRPr="00083739">
        <w:rPr>
          <w:rFonts w:cs="Times New Roman"/>
          <w:noProof/>
          <w:lang w:val="sk-SK"/>
        </w:rPr>
        <w:t>prevencie, na zvýšenie kapacity systému zdravotnej starostlivosti na poskytovanie služieb</w:t>
      </w:r>
      <w:r w:rsidR="00083739" w:rsidRPr="00083739">
        <w:rPr>
          <w:rFonts w:cs="Times New Roman"/>
          <w:noProof/>
          <w:lang w:val="sk-SK"/>
        </w:rPr>
        <w:t xml:space="preserve"> v </w:t>
      </w:r>
      <w:r w:rsidRPr="00083739">
        <w:rPr>
          <w:rFonts w:cs="Times New Roman"/>
          <w:noProof/>
          <w:lang w:val="sk-SK"/>
        </w:rPr>
        <w:t>oblasti duševného zdravia</w:t>
      </w:r>
      <w:r w:rsidR="00083739" w:rsidRPr="00083739">
        <w:rPr>
          <w:rFonts w:cs="Times New Roman"/>
          <w:noProof/>
          <w:lang w:val="sk-SK"/>
        </w:rPr>
        <w:t xml:space="preserve"> a </w:t>
      </w:r>
      <w:r w:rsidRPr="00083739">
        <w:rPr>
          <w:rFonts w:cs="Times New Roman"/>
          <w:noProof/>
          <w:lang w:val="sk-SK"/>
        </w:rPr>
        <w:t>domácej starostlivosti, na podporu prechodu na silnejší sektor primárnej zdravotnej st</w:t>
      </w:r>
      <w:r w:rsidRPr="00083739">
        <w:rPr>
          <w:rFonts w:cs="Times New Roman"/>
          <w:noProof/>
          <w:lang w:val="sk-SK"/>
        </w:rPr>
        <w:t>arostlivosti</w:t>
      </w:r>
      <w:r w:rsidR="00083739" w:rsidRPr="00083739">
        <w:rPr>
          <w:rFonts w:cs="Times New Roman"/>
          <w:noProof/>
          <w:lang w:val="sk-SK"/>
        </w:rPr>
        <w:t xml:space="preserve"> a </w:t>
      </w:r>
      <w:r w:rsidRPr="00083739">
        <w:rPr>
          <w:rFonts w:cs="Times New Roman"/>
          <w:noProof/>
          <w:lang w:val="sk-SK"/>
        </w:rPr>
        <w:t>na racionalizáciu farmaceutických výdavkov</w:t>
      </w:r>
      <w:r w:rsidR="00083739" w:rsidRPr="00083739">
        <w:rPr>
          <w:rFonts w:cs="Times New Roman"/>
          <w:noProof/>
          <w:lang w:val="sk-SK"/>
        </w:rPr>
        <w:t xml:space="preserve"> a </w:t>
      </w:r>
      <w:r w:rsidRPr="00083739">
        <w:rPr>
          <w:rFonts w:cs="Times New Roman"/>
          <w:noProof/>
          <w:lang w:val="sk-SK"/>
        </w:rPr>
        <w:t>podporu farmaceutického výskumu</w:t>
      </w:r>
      <w:r w:rsidR="00083739" w:rsidRPr="00083739">
        <w:rPr>
          <w:rFonts w:cs="Times New Roman"/>
          <w:noProof/>
          <w:lang w:val="sk-SK"/>
        </w:rPr>
        <w:t xml:space="preserve"> a </w:t>
      </w:r>
      <w:r w:rsidRPr="00083739">
        <w:rPr>
          <w:rFonts w:cs="Times New Roman"/>
          <w:noProof/>
          <w:lang w:val="sk-SK"/>
        </w:rPr>
        <w:t>vývoja. Cieľom plánu digitalizácie systémov</w:t>
      </w:r>
      <w:r w:rsidR="00083739" w:rsidRPr="00083739">
        <w:rPr>
          <w:rFonts w:cs="Times New Roman"/>
          <w:noProof/>
          <w:lang w:val="sk-SK"/>
        </w:rPr>
        <w:t xml:space="preserve"> a </w:t>
      </w:r>
      <w:r w:rsidRPr="00083739">
        <w:rPr>
          <w:rFonts w:cs="Times New Roman"/>
          <w:noProof/>
          <w:lang w:val="sk-SK"/>
        </w:rPr>
        <w:t>služieb zdravotnej starostlivosti je podporiť efektívnosť, zlepšiť prístup</w:t>
      </w:r>
      <w:r w:rsidR="00083739" w:rsidRPr="00083739">
        <w:rPr>
          <w:rFonts w:cs="Times New Roman"/>
          <w:noProof/>
          <w:lang w:val="sk-SK"/>
        </w:rPr>
        <w:t xml:space="preserve"> a </w:t>
      </w:r>
      <w:r w:rsidRPr="00083739">
        <w:rPr>
          <w:rFonts w:cs="Times New Roman"/>
          <w:noProof/>
          <w:lang w:val="sk-SK"/>
        </w:rPr>
        <w:t>zvýšiť celkovú transparentnosť</w:t>
      </w:r>
      <w:r w:rsidR="00083739" w:rsidRPr="00083739">
        <w:rPr>
          <w:rFonts w:cs="Times New Roman"/>
          <w:noProof/>
          <w:lang w:val="sk-SK"/>
        </w:rPr>
        <w:t xml:space="preserve"> a </w:t>
      </w:r>
      <w:r w:rsidRPr="00083739">
        <w:rPr>
          <w:rFonts w:cs="Times New Roman"/>
          <w:noProof/>
          <w:lang w:val="sk-SK"/>
        </w:rPr>
        <w:t>kvalit</w:t>
      </w:r>
      <w:r w:rsidRPr="00083739">
        <w:rPr>
          <w:rFonts w:cs="Times New Roman"/>
          <w:noProof/>
          <w:lang w:val="sk-SK"/>
        </w:rPr>
        <w:t>u verejných výdavkov</w:t>
      </w:r>
      <w:r w:rsidR="00083739" w:rsidRPr="00083739">
        <w:rPr>
          <w:rFonts w:cs="Times New Roman"/>
          <w:noProof/>
          <w:lang w:val="sk-SK"/>
        </w:rPr>
        <w:t xml:space="preserve"> v </w:t>
      </w:r>
      <w:r w:rsidRPr="00083739">
        <w:rPr>
          <w:rFonts w:cs="Times New Roman"/>
          <w:noProof/>
          <w:lang w:val="sk-SK"/>
        </w:rPr>
        <w:t>systéme. Očakáva sa, že žiadne opatrenie</w:t>
      </w:r>
      <w:r w:rsidR="00083739" w:rsidRPr="00083739">
        <w:rPr>
          <w:rFonts w:cs="Times New Roman"/>
          <w:noProof/>
          <w:lang w:val="sk-SK"/>
        </w:rPr>
        <w:t xml:space="preserve"> v </w:t>
      </w:r>
      <w:r w:rsidRPr="00083739">
        <w:rPr>
          <w:rFonts w:cs="Times New Roman"/>
          <w:noProof/>
          <w:lang w:val="sk-SK"/>
        </w:rPr>
        <w:t>tomto komponente výrazne nenaruší environmentálne ciele</w:t>
      </w:r>
      <w:r w:rsidR="00083739" w:rsidRPr="00083739">
        <w:rPr>
          <w:rFonts w:cs="Times New Roman"/>
          <w:noProof/>
          <w:lang w:val="sk-SK"/>
        </w:rPr>
        <w:t xml:space="preserve"> v </w:t>
      </w:r>
      <w:r w:rsidRPr="00083739">
        <w:rPr>
          <w:rFonts w:cs="Times New Roman"/>
          <w:noProof/>
          <w:lang w:val="sk-SK"/>
        </w:rPr>
        <w:t>zmysle článku 17 nariadenia (EÚ) 2020/852, pričom sa zohľadní opis opatrení</w:t>
      </w:r>
      <w:r w:rsidR="00083739" w:rsidRPr="00083739">
        <w:rPr>
          <w:rFonts w:cs="Times New Roman"/>
          <w:noProof/>
          <w:lang w:val="sk-SK"/>
        </w:rPr>
        <w:t xml:space="preserve"> a </w:t>
      </w:r>
      <w:r w:rsidRPr="00083739">
        <w:rPr>
          <w:rFonts w:cs="Times New Roman"/>
          <w:noProof/>
          <w:lang w:val="sk-SK"/>
        </w:rPr>
        <w:t>zmierňujúcich krokov stanovených</w:t>
      </w:r>
      <w:r w:rsidR="00083739" w:rsidRPr="00083739">
        <w:rPr>
          <w:rFonts w:cs="Times New Roman"/>
          <w:noProof/>
          <w:lang w:val="sk-SK"/>
        </w:rPr>
        <w:t xml:space="preserve"> v </w:t>
      </w:r>
      <w:r w:rsidRPr="00083739">
        <w:rPr>
          <w:rFonts w:cs="Times New Roman"/>
          <w:noProof/>
          <w:lang w:val="sk-SK"/>
        </w:rPr>
        <w:t>pláne podpory obnov</w:t>
      </w:r>
      <w:r w:rsidRPr="00083739">
        <w:rPr>
          <w:rFonts w:cs="Times New Roman"/>
          <w:noProof/>
          <w:lang w:val="sk-SK"/>
        </w:rPr>
        <w:t>y</w:t>
      </w:r>
      <w:r w:rsidR="00083739" w:rsidRPr="00083739">
        <w:rPr>
          <w:rFonts w:cs="Times New Roman"/>
          <w:noProof/>
          <w:lang w:val="sk-SK"/>
        </w:rPr>
        <w:t xml:space="preserve"> a </w:t>
      </w:r>
      <w:r w:rsidRPr="00083739">
        <w:rPr>
          <w:rFonts w:cs="Times New Roman"/>
          <w:noProof/>
          <w:lang w:val="sk-SK"/>
        </w:rPr>
        <w:t>odolnosti</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technickým usmernením „výrazne nenarušiť“ (2021/C58/01).</w:t>
      </w:r>
    </w:p>
    <w:p w14:paraId="2ED71AE2" w14:textId="6C9459BE" w:rsidR="002D49B0" w:rsidRPr="00083739" w:rsidRDefault="00BF4125">
      <w:pPr>
        <w:spacing w:before="120" w:after="120" w:line="240" w:lineRule="auto"/>
        <w:jc w:val="both"/>
        <w:rPr>
          <w:rFonts w:ascii="Times New Roman" w:hAnsi="Times New Roman" w:cs="Times New Roman"/>
          <w:b/>
          <w:bCs/>
          <w:i/>
          <w:iCs/>
          <w:noProof/>
          <w:color w:val="4F81BD"/>
          <w:sz w:val="24"/>
          <w:lang w:val="sk-SK"/>
        </w:rPr>
      </w:pPr>
      <w:r w:rsidRPr="00083739">
        <w:rPr>
          <w:rFonts w:ascii="Times New Roman" w:hAnsi="Times New Roman" w:cs="Times New Roman"/>
          <w:b/>
          <w:noProof/>
          <w:sz w:val="24"/>
          <w:u w:val="single"/>
          <w:lang w:val="sk-SK"/>
        </w:rPr>
        <w:t xml:space="preserve">J.1. </w:t>
      </w:r>
      <w:r w:rsidRPr="00083739">
        <w:rPr>
          <w:rFonts w:ascii="Times New Roman" w:hAnsi="Times New Roman" w:cs="Times New Roman"/>
          <w:noProof/>
          <w:lang w:val="sk-SK"/>
        </w:rPr>
        <w:t xml:space="preserve"> </w:t>
      </w:r>
      <w:r w:rsidRPr="00083739">
        <w:rPr>
          <w:rFonts w:ascii="Times New Roman" w:hAnsi="Times New Roman" w:cs="Times New Roman"/>
          <w:b/>
          <w:noProof/>
          <w:sz w:val="24"/>
          <w:u w:val="single"/>
          <w:lang w:val="sk-SK"/>
        </w:rPr>
        <w:t>Opis reforiem</w:t>
      </w:r>
      <w:r w:rsidR="00083739" w:rsidRPr="00083739">
        <w:rPr>
          <w:rFonts w:ascii="Times New Roman" w:hAnsi="Times New Roman" w:cs="Times New Roman"/>
          <w:b/>
          <w:noProof/>
          <w:sz w:val="24"/>
          <w:u w:val="single"/>
          <w:lang w:val="sk-SK"/>
        </w:rPr>
        <w:t xml:space="preserve"> a </w:t>
      </w:r>
      <w:r w:rsidRPr="00083739">
        <w:rPr>
          <w:rFonts w:ascii="Times New Roman" w:hAnsi="Times New Roman" w:cs="Times New Roman"/>
          <w:b/>
          <w:noProof/>
          <w:sz w:val="24"/>
          <w:u w:val="single"/>
          <w:lang w:val="sk-SK"/>
        </w:rPr>
        <w:t>investícií</w:t>
      </w:r>
      <w:r w:rsidR="00083739" w:rsidRPr="00083739">
        <w:rPr>
          <w:rFonts w:ascii="Times New Roman" w:hAnsi="Times New Roman" w:cs="Times New Roman"/>
          <w:b/>
          <w:noProof/>
          <w:sz w:val="24"/>
          <w:u w:val="single"/>
          <w:lang w:val="sk-SK"/>
        </w:rPr>
        <w:t xml:space="preserve"> v </w:t>
      </w:r>
      <w:r w:rsidRPr="00083739">
        <w:rPr>
          <w:rFonts w:ascii="Times New Roman" w:hAnsi="Times New Roman" w:cs="Times New Roman"/>
          <w:b/>
          <w:noProof/>
          <w:sz w:val="24"/>
          <w:u w:val="single"/>
          <w:lang w:val="sk-SK"/>
        </w:rPr>
        <w:t>rámci nenávratnej finančnej podpory</w:t>
      </w:r>
    </w:p>
    <w:p w14:paraId="0D2F12CB" w14:textId="594A7B31"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Reforma:</w:t>
      </w:r>
      <w:r w:rsidRPr="00083739">
        <w:rPr>
          <w:rFonts w:cs="Times New Roman"/>
          <w:noProof/>
          <w:lang w:val="sk-SK"/>
        </w:rPr>
        <w:t xml:space="preserve"> Reformy</w:t>
      </w:r>
      <w:r w:rsidR="00083739" w:rsidRPr="00083739">
        <w:rPr>
          <w:rFonts w:cs="Times New Roman"/>
          <w:noProof/>
          <w:lang w:val="sk-SK"/>
        </w:rPr>
        <w:t xml:space="preserve"> a </w:t>
      </w:r>
      <w:r w:rsidRPr="00083739">
        <w:rPr>
          <w:rFonts w:cs="Times New Roman"/>
          <w:noProof/>
          <w:lang w:val="sk-SK"/>
        </w:rPr>
        <w:t>urýchlenie investícií</w:t>
      </w:r>
      <w:r w:rsidR="00083739" w:rsidRPr="00083739">
        <w:rPr>
          <w:rFonts w:cs="Times New Roman"/>
          <w:noProof/>
          <w:lang w:val="sk-SK"/>
        </w:rPr>
        <w:t xml:space="preserve"> v </w:t>
      </w:r>
      <w:r w:rsidRPr="00083739">
        <w:rPr>
          <w:rFonts w:cs="Times New Roman"/>
          <w:noProof/>
          <w:lang w:val="sk-SK"/>
        </w:rPr>
        <w:t>sektore zdravotnej starostlivosti – Zníženie vrátenia prostr</w:t>
      </w:r>
      <w:r w:rsidRPr="00083739">
        <w:rPr>
          <w:rFonts w:cs="Times New Roman"/>
          <w:noProof/>
          <w:lang w:val="sk-SK"/>
        </w:rPr>
        <w:t>iedkov</w:t>
      </w:r>
      <w:r w:rsidR="00083739" w:rsidRPr="00083739">
        <w:rPr>
          <w:rFonts w:cs="Times New Roman"/>
          <w:noProof/>
          <w:lang w:val="sk-SK"/>
        </w:rPr>
        <w:t xml:space="preserve"> a </w:t>
      </w:r>
      <w:r w:rsidRPr="00083739">
        <w:rPr>
          <w:rFonts w:cs="Times New Roman"/>
          <w:noProof/>
          <w:lang w:val="sk-SK"/>
        </w:rPr>
        <w:t>racionalizácia výdavkov na zdravotnú starostlivosť (ID opatrenia: 16816)</w:t>
      </w:r>
    </w:p>
    <w:p w14:paraId="61F09C2F" w14:textId="4AA4CE01" w:rsidR="002D49B0" w:rsidRPr="00083739" w:rsidRDefault="00BF4125">
      <w:pPr>
        <w:pStyle w:val="P68B1DB1-Normal5"/>
        <w:spacing w:before="120" w:after="120" w:line="240" w:lineRule="auto"/>
        <w:jc w:val="both"/>
        <w:rPr>
          <w:rFonts w:cs="Times New Roman"/>
          <w:b/>
          <w:noProof/>
          <w:lang w:val="sk-SK"/>
        </w:rPr>
      </w:pPr>
      <w:r w:rsidRPr="00083739">
        <w:rPr>
          <w:rFonts w:cs="Times New Roman"/>
          <w:noProof/>
          <w:lang w:val="sk-SK"/>
        </w:rPr>
        <w:t>Reformou systému spätného vymáhania prostriedkov sa zavedie rozdelenie rizika pri výpočte spätného vymáhania prostriedkov stanovením záväzného cieľa zníženia spätného v</w:t>
      </w:r>
      <w:r w:rsidRPr="00083739">
        <w:rPr>
          <w:rFonts w:cs="Times New Roman"/>
          <w:noProof/>
          <w:lang w:val="sk-SK"/>
        </w:rPr>
        <w:t>rátenia prostriedkov</w:t>
      </w:r>
      <w:r w:rsidR="00083739" w:rsidRPr="00083739">
        <w:rPr>
          <w:rFonts w:cs="Times New Roman"/>
          <w:noProof/>
          <w:lang w:val="sk-SK"/>
        </w:rPr>
        <w:t xml:space="preserve"> v </w:t>
      </w:r>
      <w:r w:rsidRPr="00083739">
        <w:rPr>
          <w:rFonts w:cs="Times New Roman"/>
          <w:noProof/>
          <w:lang w:val="sk-SK"/>
        </w:rPr>
        <w:t>nasledujúcich rokoch, minimálneho zníženia súm spätného vymáhania</w:t>
      </w:r>
      <w:r w:rsidR="00083739" w:rsidRPr="00083739">
        <w:rPr>
          <w:rFonts w:cs="Times New Roman"/>
          <w:noProof/>
          <w:lang w:val="sk-SK"/>
        </w:rPr>
        <w:t xml:space="preserve"> o </w:t>
      </w:r>
      <w:r w:rsidRPr="00083739">
        <w:rPr>
          <w:rFonts w:cs="Times New Roman"/>
          <w:noProof/>
          <w:lang w:val="sk-SK"/>
        </w:rPr>
        <w:t>50 000 000 EUR (2022), 150 000 000 EUR (2023), 300 000 000 EUR (2024)</w:t>
      </w:r>
      <w:r w:rsidR="00083739" w:rsidRPr="00083739">
        <w:rPr>
          <w:rFonts w:cs="Times New Roman"/>
          <w:noProof/>
          <w:lang w:val="sk-SK"/>
        </w:rPr>
        <w:t xml:space="preserve"> a </w:t>
      </w:r>
      <w:r w:rsidRPr="00083739">
        <w:rPr>
          <w:rFonts w:cs="Times New Roman"/>
          <w:noProof/>
          <w:lang w:val="sk-SK"/>
        </w:rPr>
        <w:t>400 000 000 EUR (2025) oproti úrovniam</w:t>
      </w:r>
      <w:r w:rsidR="00083739" w:rsidRPr="00083739">
        <w:rPr>
          <w:rFonts w:cs="Times New Roman"/>
          <w:noProof/>
          <w:lang w:val="sk-SK"/>
        </w:rPr>
        <w:t xml:space="preserve"> z </w:t>
      </w:r>
      <w:r w:rsidRPr="00083739">
        <w:rPr>
          <w:rFonts w:cs="Times New Roman"/>
          <w:noProof/>
          <w:lang w:val="sk-SK"/>
        </w:rPr>
        <w:t>roku 2020, čo sa má dosiahnuť úplným presadzovaním p</w:t>
      </w:r>
      <w:r w:rsidRPr="00083739">
        <w:rPr>
          <w:rFonts w:cs="Times New Roman"/>
          <w:noProof/>
          <w:lang w:val="sk-SK"/>
        </w:rPr>
        <w:t>redtým prijatých</w:t>
      </w:r>
      <w:r w:rsidR="00083739" w:rsidRPr="00083739">
        <w:rPr>
          <w:rFonts w:cs="Times New Roman"/>
          <w:noProof/>
          <w:lang w:val="sk-SK"/>
        </w:rPr>
        <w:t xml:space="preserve"> a </w:t>
      </w:r>
      <w:r w:rsidRPr="00083739">
        <w:rPr>
          <w:rFonts w:cs="Times New Roman"/>
          <w:noProof/>
          <w:lang w:val="sk-SK"/>
        </w:rPr>
        <w:t>nových opatrení na zvýšenie efektívnosti</w:t>
      </w:r>
      <w:r w:rsidR="00083739" w:rsidRPr="00083739">
        <w:rPr>
          <w:rFonts w:cs="Times New Roman"/>
          <w:noProof/>
          <w:lang w:val="sk-SK"/>
        </w:rPr>
        <w:t xml:space="preserve"> a </w:t>
      </w:r>
      <w:r w:rsidRPr="00083739">
        <w:rPr>
          <w:rFonts w:cs="Times New Roman"/>
          <w:noProof/>
          <w:lang w:val="sk-SK"/>
        </w:rPr>
        <w:t>plne</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pravidlami EÚ</w:t>
      </w:r>
      <w:r w:rsidR="00083739" w:rsidRPr="00083739">
        <w:rPr>
          <w:rFonts w:cs="Times New Roman"/>
          <w:noProof/>
          <w:lang w:val="sk-SK"/>
        </w:rPr>
        <w:t xml:space="preserve"> v </w:t>
      </w:r>
      <w:r w:rsidRPr="00083739">
        <w:rPr>
          <w:rFonts w:cs="Times New Roman"/>
          <w:noProof/>
          <w:lang w:val="sk-SK"/>
        </w:rPr>
        <w:t>oblasti štátnej pomoci. Okrem toho sa</w:t>
      </w:r>
      <w:r w:rsidR="00083739" w:rsidRPr="00083739">
        <w:rPr>
          <w:rFonts w:cs="Times New Roman"/>
          <w:noProof/>
          <w:lang w:val="sk-SK"/>
        </w:rPr>
        <w:t xml:space="preserve"> v </w:t>
      </w:r>
      <w:r w:rsidRPr="00083739">
        <w:rPr>
          <w:rFonts w:cs="Times New Roman"/>
          <w:noProof/>
          <w:lang w:val="sk-SK"/>
        </w:rPr>
        <w:t>opatrení predpokladá financovanie klinického skúšania, výskumu</w:t>
      </w:r>
      <w:r w:rsidR="00083739" w:rsidRPr="00083739">
        <w:rPr>
          <w:rFonts w:cs="Times New Roman"/>
          <w:noProof/>
          <w:lang w:val="sk-SK"/>
        </w:rPr>
        <w:t xml:space="preserve"> a </w:t>
      </w:r>
      <w:r w:rsidRPr="00083739">
        <w:rPr>
          <w:rFonts w:cs="Times New Roman"/>
          <w:noProof/>
          <w:lang w:val="sk-SK"/>
        </w:rPr>
        <w:t>vývoja alebo iných investičných výdavkov zodpovedných spo</w:t>
      </w:r>
      <w:r w:rsidRPr="00083739">
        <w:rPr>
          <w:rFonts w:cs="Times New Roman"/>
          <w:noProof/>
          <w:lang w:val="sk-SK"/>
        </w:rPr>
        <w:t>ločností prostredníctvom čiastočnej kompenzácie ich záväzkov</w:t>
      </w:r>
      <w:r w:rsidR="00083739" w:rsidRPr="00083739">
        <w:rPr>
          <w:rFonts w:cs="Times New Roman"/>
          <w:noProof/>
          <w:lang w:val="sk-SK"/>
        </w:rPr>
        <w:t xml:space="preserve"> v </w:t>
      </w:r>
      <w:r w:rsidRPr="00083739">
        <w:rPr>
          <w:rFonts w:cs="Times New Roman"/>
          <w:noProof/>
          <w:lang w:val="sk-SK"/>
        </w:rPr>
        <w:t>súvislosti so spätným vymáhaním za rok 2021</w:t>
      </w:r>
      <w:r w:rsidR="00083739" w:rsidRPr="00083739">
        <w:rPr>
          <w:rFonts w:cs="Times New Roman"/>
          <w:noProof/>
          <w:lang w:val="sk-SK"/>
        </w:rPr>
        <w:t xml:space="preserve"> a </w:t>
      </w:r>
      <w:r w:rsidRPr="00083739">
        <w:rPr>
          <w:rFonts w:cs="Times New Roman"/>
          <w:noProof/>
          <w:lang w:val="sk-SK"/>
        </w:rPr>
        <w:t>nasledujúce roky. Implementácia reformy sa dokončí do 30</w:t>
      </w:r>
      <w:r w:rsidR="00083739" w:rsidRPr="00083739">
        <w:rPr>
          <w:rFonts w:cs="Times New Roman"/>
          <w:noProof/>
          <w:lang w:val="sk-SK"/>
        </w:rPr>
        <w:t>. júna</w:t>
      </w:r>
      <w:r w:rsidRPr="00083739">
        <w:rPr>
          <w:rFonts w:cs="Times New Roman"/>
          <w:noProof/>
          <w:lang w:val="sk-SK"/>
        </w:rPr>
        <w:t xml:space="preserve"> 2026.</w:t>
      </w:r>
    </w:p>
    <w:p w14:paraId="66A497E1" w14:textId="7777777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Reforma:</w:t>
      </w:r>
      <w:r w:rsidRPr="00083739">
        <w:rPr>
          <w:rFonts w:cs="Times New Roman"/>
          <w:noProof/>
          <w:lang w:val="sk-SK"/>
        </w:rPr>
        <w:t xml:space="preserve"> Reforma systému primárnej zdravotnej starostlivosti (ID opatrenia: 16</w:t>
      </w:r>
      <w:r w:rsidRPr="00083739">
        <w:rPr>
          <w:rFonts w:cs="Times New Roman"/>
          <w:noProof/>
          <w:lang w:val="sk-SK"/>
        </w:rPr>
        <w:t>755)</w:t>
      </w:r>
    </w:p>
    <w:p w14:paraId="4A1C568F" w14:textId="308B0534" w:rsidR="00083739" w:rsidRPr="00083739" w:rsidRDefault="00BF4125">
      <w:pPr>
        <w:pStyle w:val="P68B1DB1-Normal5"/>
        <w:spacing w:before="120" w:after="120" w:line="240" w:lineRule="auto"/>
        <w:jc w:val="both"/>
        <w:rPr>
          <w:rFonts w:cs="Times New Roman"/>
          <w:noProof/>
          <w:lang w:val="sk-SK"/>
        </w:rPr>
      </w:pPr>
      <w:r w:rsidRPr="00083739">
        <w:rPr>
          <w:rFonts w:cs="Times New Roman"/>
          <w:noProof/>
          <w:lang w:val="sk-SK"/>
        </w:rPr>
        <w:t>Cieľom reformy systému primárnej zdravotnej starostlivosti je modernizovať infraštruktúru</w:t>
      </w:r>
      <w:r w:rsidR="00083739" w:rsidRPr="00083739">
        <w:rPr>
          <w:rFonts w:cs="Times New Roman"/>
          <w:noProof/>
          <w:lang w:val="sk-SK"/>
        </w:rPr>
        <w:t xml:space="preserve"> a </w:t>
      </w:r>
      <w:r w:rsidRPr="00083739">
        <w:rPr>
          <w:rFonts w:cs="Times New Roman"/>
          <w:noProof/>
          <w:lang w:val="sk-SK"/>
        </w:rPr>
        <w:t>zdravotnícke vybavenie zdravotníckych stredísk</w:t>
      </w:r>
      <w:r w:rsidR="00083739" w:rsidRPr="00083739">
        <w:rPr>
          <w:rFonts w:cs="Times New Roman"/>
          <w:noProof/>
          <w:lang w:val="sk-SK"/>
        </w:rPr>
        <w:t xml:space="preserve"> a </w:t>
      </w:r>
      <w:r w:rsidRPr="00083739">
        <w:rPr>
          <w:rFonts w:cs="Times New Roman"/>
          <w:noProof/>
          <w:lang w:val="sk-SK"/>
        </w:rPr>
        <w:t>reorganizovať systém primárnej zdravotnej starostlivosti rekvalifikáciou zamestnancov, aby pôsobili ako staros</w:t>
      </w:r>
      <w:r w:rsidRPr="00083739">
        <w:rPr>
          <w:rFonts w:cs="Times New Roman"/>
          <w:noProof/>
          <w:lang w:val="sk-SK"/>
        </w:rPr>
        <w:t>tlivosť prvej línie.</w:t>
      </w:r>
      <w:r w:rsidR="00083739" w:rsidRPr="00083739">
        <w:rPr>
          <w:rFonts w:cs="Times New Roman"/>
          <w:noProof/>
          <w:lang w:val="sk-SK"/>
        </w:rPr>
        <w:t xml:space="preserve"> V </w:t>
      </w:r>
      <w:r w:rsidRPr="00083739">
        <w:rPr>
          <w:rFonts w:cs="Times New Roman"/>
          <w:noProof/>
          <w:lang w:val="sk-SK"/>
        </w:rPr>
        <w:t>rámci tejto reformy sa predpokladá 1) dokončenie modernizácie</w:t>
      </w:r>
      <w:r w:rsidR="00083739" w:rsidRPr="00083739">
        <w:rPr>
          <w:rFonts w:cs="Times New Roman"/>
          <w:noProof/>
          <w:lang w:val="sk-SK"/>
        </w:rPr>
        <w:t xml:space="preserve"> a </w:t>
      </w:r>
      <w:r w:rsidRPr="00083739">
        <w:rPr>
          <w:rFonts w:cs="Times New Roman"/>
          <w:noProof/>
          <w:lang w:val="sk-SK"/>
        </w:rPr>
        <w:t>energeticky účinných renovácií</w:t>
      </w:r>
      <w:r w:rsidR="00083739" w:rsidRPr="00083739">
        <w:rPr>
          <w:rFonts w:cs="Times New Roman"/>
          <w:noProof/>
          <w:lang w:val="sk-SK"/>
        </w:rPr>
        <w:t xml:space="preserve"> a </w:t>
      </w:r>
      <w:r w:rsidRPr="00083739">
        <w:rPr>
          <w:rFonts w:cs="Times New Roman"/>
          <w:noProof/>
          <w:lang w:val="sk-SK"/>
        </w:rPr>
        <w:t>nákup zdravotníckeho vybavenia pre najmenej 156 zdravotníckych stredísk</w:t>
      </w:r>
      <w:r w:rsidR="00083739" w:rsidRPr="00083739">
        <w:rPr>
          <w:rFonts w:cs="Times New Roman"/>
          <w:noProof/>
          <w:lang w:val="sk-SK"/>
        </w:rPr>
        <w:t xml:space="preserve"> v </w:t>
      </w:r>
      <w:r w:rsidRPr="00083739">
        <w:rPr>
          <w:rFonts w:cs="Times New Roman"/>
          <w:noProof/>
          <w:lang w:val="sk-SK"/>
        </w:rPr>
        <w:t>krajine, 2) vypracovanie plánu reformy primárnej zdravotnej st</w:t>
      </w:r>
      <w:r w:rsidRPr="00083739">
        <w:rPr>
          <w:rFonts w:cs="Times New Roman"/>
          <w:noProof/>
          <w:lang w:val="sk-SK"/>
        </w:rPr>
        <w:t>arostlivosti, pilotné vykonávanie mechanizmu postúpenia, odborná príprava zamestnancov zameraná na zlepšenie kapacity pracovnej sily PHC, rozvoj digitálnej platformy na posilnenie využívania údajov na informované rozhodovanie</w:t>
      </w:r>
      <w:r w:rsidR="00083739" w:rsidRPr="00083739">
        <w:rPr>
          <w:rFonts w:cs="Times New Roman"/>
          <w:noProof/>
          <w:lang w:val="sk-SK"/>
        </w:rPr>
        <w:t xml:space="preserve"> v </w:t>
      </w:r>
      <w:r w:rsidRPr="00083739">
        <w:rPr>
          <w:rFonts w:cs="Times New Roman"/>
          <w:noProof/>
          <w:lang w:val="sk-SK"/>
        </w:rPr>
        <w:t>oblasti PHC, 3) rozšírenie d</w:t>
      </w:r>
      <w:r w:rsidRPr="00083739">
        <w:rPr>
          <w:rFonts w:cs="Times New Roman"/>
          <w:noProof/>
          <w:lang w:val="sk-SK"/>
        </w:rPr>
        <w:t>ostupnosti aktívnych učebných osnov</w:t>
      </w:r>
      <w:r w:rsidR="00083739" w:rsidRPr="00083739">
        <w:rPr>
          <w:rFonts w:cs="Times New Roman"/>
          <w:noProof/>
          <w:lang w:val="sk-SK"/>
        </w:rPr>
        <w:t xml:space="preserve"> v </w:t>
      </w:r>
      <w:r w:rsidRPr="00083739">
        <w:rPr>
          <w:rFonts w:cs="Times New Roman"/>
          <w:noProof/>
          <w:lang w:val="sk-SK"/>
        </w:rPr>
        <w:t>oblasti rodinnej medicíny (ak sa už začali) tak, aby ich ponúkalo aspoň 75</w:t>
      </w:r>
      <w:r w:rsidR="00083739" w:rsidRPr="00083739">
        <w:rPr>
          <w:rFonts w:cs="Times New Roman"/>
          <w:noProof/>
          <w:lang w:val="sk-SK"/>
        </w:rPr>
        <w:t> %</w:t>
      </w:r>
      <w:r w:rsidRPr="00083739">
        <w:rPr>
          <w:rFonts w:cs="Times New Roman"/>
          <w:noProof/>
          <w:lang w:val="sk-SK"/>
        </w:rPr>
        <w:t xml:space="preserve"> zdravotníckych škôl,</w:t>
      </w:r>
      <w:r w:rsidR="00083739" w:rsidRPr="00083739">
        <w:rPr>
          <w:rFonts w:cs="Times New Roman"/>
          <w:noProof/>
          <w:lang w:val="sk-SK"/>
        </w:rPr>
        <w:t xml:space="preserve"> a </w:t>
      </w:r>
      <w:r w:rsidRPr="00083739">
        <w:rPr>
          <w:rFonts w:cs="Times New Roman"/>
          <w:noProof/>
          <w:lang w:val="sk-SK"/>
        </w:rPr>
        <w:t>zavedenie prvku rodinnej medicíny do všetkých lekárskych osnov do 4. štvrťroka 2022</w:t>
      </w:r>
      <w:r w:rsidR="00083739" w:rsidRPr="00083739">
        <w:rPr>
          <w:rFonts w:cs="Times New Roman"/>
          <w:noProof/>
          <w:lang w:val="sk-SK"/>
        </w:rPr>
        <w:t xml:space="preserve"> a </w:t>
      </w:r>
      <w:r w:rsidRPr="00083739">
        <w:rPr>
          <w:rFonts w:cs="Times New Roman"/>
          <w:noProof/>
          <w:lang w:val="sk-SK"/>
        </w:rPr>
        <w:t>4. podpora rozvoja integrovaného</w:t>
      </w:r>
      <w:r w:rsidRPr="00083739">
        <w:rPr>
          <w:rFonts w:cs="Times New Roman"/>
          <w:noProof/>
          <w:lang w:val="sk-SK"/>
        </w:rPr>
        <w:t xml:space="preserve"> systému starostlivosti vytvorením rámca pre riadenie chronických ochorení.  Očakáva sa, že toto opatrenie výrazne nenaruší environmentálne ciele</w:t>
      </w:r>
      <w:r w:rsidR="00083739" w:rsidRPr="00083739">
        <w:rPr>
          <w:rFonts w:cs="Times New Roman"/>
          <w:noProof/>
          <w:lang w:val="sk-SK"/>
        </w:rPr>
        <w:t xml:space="preserve"> v </w:t>
      </w:r>
      <w:r w:rsidRPr="00083739">
        <w:rPr>
          <w:rFonts w:cs="Times New Roman"/>
          <w:noProof/>
          <w:lang w:val="sk-SK"/>
        </w:rPr>
        <w:t>zmysle článku 17 nariadenia (EÚ) 2020/852, pričom sa zohľadní opis opatrenia</w:t>
      </w:r>
      <w:r w:rsidR="00083739" w:rsidRPr="00083739">
        <w:rPr>
          <w:rFonts w:cs="Times New Roman"/>
          <w:noProof/>
          <w:lang w:val="sk-SK"/>
        </w:rPr>
        <w:t xml:space="preserve"> a </w:t>
      </w:r>
      <w:r w:rsidRPr="00083739">
        <w:rPr>
          <w:rFonts w:cs="Times New Roman"/>
          <w:noProof/>
          <w:lang w:val="sk-SK"/>
        </w:rPr>
        <w:t>zmierňujúce kroky stanovené</w:t>
      </w:r>
      <w:r w:rsidR="00083739" w:rsidRPr="00083739">
        <w:rPr>
          <w:rFonts w:cs="Times New Roman"/>
          <w:noProof/>
          <w:lang w:val="sk-SK"/>
        </w:rPr>
        <w:t xml:space="preserve"> v </w:t>
      </w:r>
      <w:r w:rsidRPr="00083739">
        <w:rPr>
          <w:rFonts w:cs="Times New Roman"/>
          <w:noProof/>
          <w:lang w:val="sk-SK"/>
        </w:rPr>
        <w:t>pláne podpory obnovy</w:t>
      </w:r>
      <w:r w:rsidR="00083739" w:rsidRPr="00083739">
        <w:rPr>
          <w:rFonts w:cs="Times New Roman"/>
          <w:noProof/>
          <w:lang w:val="sk-SK"/>
        </w:rPr>
        <w:t xml:space="preserve"> a </w:t>
      </w:r>
      <w:r w:rsidRPr="00083739">
        <w:rPr>
          <w:rFonts w:cs="Times New Roman"/>
          <w:noProof/>
          <w:lang w:val="sk-SK"/>
        </w:rPr>
        <w:t>odolnosti</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technickým usmernením „výrazne nenarušiť“ (2021/C58/01)</w:t>
      </w:r>
      <w:r w:rsidR="00083739" w:rsidRPr="00083739">
        <w:rPr>
          <w:rFonts w:cs="Times New Roman"/>
          <w:noProof/>
          <w:lang w:val="sk-SK"/>
        </w:rPr>
        <w:t>.</w:t>
      </w:r>
    </w:p>
    <w:p w14:paraId="536386A7" w14:textId="78F5C559"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Konkrétne sa</w:t>
      </w:r>
      <w:r w:rsidR="00083739" w:rsidRPr="00083739">
        <w:rPr>
          <w:rFonts w:cs="Times New Roman"/>
          <w:noProof/>
          <w:lang w:val="sk-SK"/>
        </w:rPr>
        <w:t xml:space="preserve"> v </w:t>
      </w:r>
      <w:r w:rsidRPr="00083739">
        <w:rPr>
          <w:rFonts w:cs="Times New Roman"/>
          <w:noProof/>
          <w:lang w:val="sk-SK"/>
        </w:rPr>
        <w:t>tomto opatrení vyžaduje, aby hospodárske subjekty vykonávajúce stavebné práce zabezpečili, že najmenej 70</w:t>
      </w:r>
      <w:r w:rsidR="00083739" w:rsidRPr="00083739">
        <w:rPr>
          <w:rFonts w:cs="Times New Roman"/>
          <w:noProof/>
          <w:lang w:val="sk-SK"/>
        </w:rPr>
        <w:t> %</w:t>
      </w:r>
      <w:r w:rsidRPr="00083739">
        <w:rPr>
          <w:rFonts w:cs="Times New Roman"/>
          <w:noProof/>
          <w:lang w:val="sk-SK"/>
        </w:rPr>
        <w:t xml:space="preserve"> (hmotnosti) stavebného</w:t>
      </w:r>
      <w:r w:rsidR="00083739" w:rsidRPr="00083739">
        <w:rPr>
          <w:rFonts w:cs="Times New Roman"/>
          <w:noProof/>
          <w:lang w:val="sk-SK"/>
        </w:rPr>
        <w:t xml:space="preserve"> a </w:t>
      </w:r>
      <w:r w:rsidRPr="00083739">
        <w:rPr>
          <w:rFonts w:cs="Times New Roman"/>
          <w:noProof/>
          <w:lang w:val="sk-SK"/>
        </w:rPr>
        <w:t>demo</w:t>
      </w:r>
      <w:r w:rsidRPr="00083739">
        <w:rPr>
          <w:rFonts w:cs="Times New Roman"/>
          <w:noProof/>
          <w:lang w:val="sk-SK"/>
        </w:rPr>
        <w:t>lačného odpadu, ktorý nie je nebezpečný [okrem prirodzene sa vyskytujúceho materiálu uvedeného</w:t>
      </w:r>
      <w:r w:rsidR="00083739" w:rsidRPr="00083739">
        <w:rPr>
          <w:rFonts w:cs="Times New Roman"/>
          <w:noProof/>
          <w:lang w:val="sk-SK"/>
        </w:rPr>
        <w:t xml:space="preserve"> v </w:t>
      </w:r>
      <w:r w:rsidRPr="00083739">
        <w:rPr>
          <w:rFonts w:cs="Times New Roman"/>
          <w:noProof/>
          <w:lang w:val="sk-SK"/>
        </w:rPr>
        <w:t>kategórii 17 05 04</w:t>
      </w:r>
      <w:r w:rsidR="00083739" w:rsidRPr="00083739">
        <w:rPr>
          <w:rFonts w:cs="Times New Roman"/>
          <w:noProof/>
          <w:lang w:val="sk-SK"/>
        </w:rPr>
        <w:t xml:space="preserve"> v </w:t>
      </w:r>
      <w:r w:rsidRPr="00083739">
        <w:rPr>
          <w:rFonts w:cs="Times New Roman"/>
          <w:noProof/>
          <w:lang w:val="sk-SK"/>
        </w:rPr>
        <w:t>európskom zozname odpadov vytvorenom rozhodnutím 2000/532/ES</w:t>
      </w:r>
      <w:r w:rsidR="00083739" w:rsidRPr="00083739">
        <w:rPr>
          <w:rFonts w:cs="Times New Roman"/>
          <w:noProof/>
          <w:lang w:val="sk-SK"/>
        </w:rPr>
        <w:t xml:space="preserve"> z </w:t>
      </w:r>
      <w:r w:rsidRPr="00083739">
        <w:rPr>
          <w:rFonts w:cs="Times New Roman"/>
          <w:noProof/>
          <w:lang w:val="sk-SK"/>
        </w:rPr>
        <w:t>3</w:t>
      </w:r>
      <w:r w:rsidR="00083739" w:rsidRPr="00083739">
        <w:rPr>
          <w:rFonts w:cs="Times New Roman"/>
          <w:noProof/>
          <w:lang w:val="sk-SK"/>
        </w:rPr>
        <w:t>. mája</w:t>
      </w:r>
      <w:r w:rsidRPr="00083739">
        <w:rPr>
          <w:rFonts w:cs="Times New Roman"/>
          <w:noProof/>
          <w:lang w:val="sk-SK"/>
        </w:rPr>
        <w:t xml:space="preserve"> 2000, ktorým sa nahrádza rozhodnutie 94/3/ES, ktorým sa zavádza zoz</w:t>
      </w:r>
      <w:r w:rsidRPr="00083739">
        <w:rPr>
          <w:rFonts w:cs="Times New Roman"/>
          <w:noProof/>
          <w:lang w:val="sk-SK"/>
        </w:rPr>
        <w:t>nam odpadov podľa článku 1 písm. a) smernice Rady 75/442/EHS</w:t>
      </w:r>
      <w:r w:rsidR="00083739" w:rsidRPr="00083739">
        <w:rPr>
          <w:rFonts w:cs="Times New Roman"/>
          <w:noProof/>
          <w:lang w:val="sk-SK"/>
        </w:rPr>
        <w:t xml:space="preserve"> o </w:t>
      </w:r>
      <w:r w:rsidRPr="00083739">
        <w:rPr>
          <w:rFonts w:cs="Times New Roman"/>
          <w:noProof/>
          <w:lang w:val="sk-SK"/>
        </w:rPr>
        <w:t>odpade</w:t>
      </w:r>
      <w:r w:rsidR="00083739" w:rsidRPr="00083739">
        <w:rPr>
          <w:rFonts w:cs="Times New Roman"/>
          <w:noProof/>
          <w:lang w:val="sk-SK"/>
        </w:rPr>
        <w:t xml:space="preserve"> a </w:t>
      </w:r>
      <w:r w:rsidRPr="00083739">
        <w:rPr>
          <w:rFonts w:cs="Times New Roman"/>
          <w:noProof/>
          <w:lang w:val="sk-SK"/>
        </w:rPr>
        <w:t>rozhodnutia Rady 94/904/ES, ktorým sa vydáva zoznam nebezpečných odpadov podľa článku 1 ods. 4 smernice Rady 91/689/EHS</w:t>
      </w:r>
      <w:r w:rsidR="00083739" w:rsidRPr="00083739">
        <w:rPr>
          <w:rFonts w:cs="Times New Roman"/>
          <w:noProof/>
          <w:lang w:val="sk-SK"/>
        </w:rPr>
        <w:t xml:space="preserve"> o </w:t>
      </w:r>
      <w:r w:rsidRPr="00083739">
        <w:rPr>
          <w:rFonts w:cs="Times New Roman"/>
          <w:noProof/>
          <w:lang w:val="sk-SK"/>
        </w:rPr>
        <w:t>nebezpečných odpadoch [oznámeným pod číslom C(2000) 1147], vyt</w:t>
      </w:r>
      <w:r w:rsidRPr="00083739">
        <w:rPr>
          <w:rFonts w:cs="Times New Roman"/>
          <w:noProof/>
          <w:lang w:val="sk-SK"/>
        </w:rPr>
        <w:t>voreného na stavenisku sa pripraví na opätovné použitie, recykláciu</w:t>
      </w:r>
      <w:r w:rsidR="00083739" w:rsidRPr="00083739">
        <w:rPr>
          <w:rFonts w:cs="Times New Roman"/>
          <w:noProof/>
          <w:lang w:val="sk-SK"/>
        </w:rPr>
        <w:t xml:space="preserve"> a </w:t>
      </w:r>
      <w:r w:rsidRPr="00083739">
        <w:rPr>
          <w:rFonts w:cs="Times New Roman"/>
          <w:noProof/>
          <w:lang w:val="sk-SK"/>
        </w:rPr>
        <w:t>iné materiálové zhodnocovanie vrátane spätného zasypávania</w:t>
      </w:r>
      <w:r w:rsidR="00083739" w:rsidRPr="00083739">
        <w:rPr>
          <w:rFonts w:cs="Times New Roman"/>
          <w:noProof/>
          <w:lang w:val="sk-SK"/>
        </w:rPr>
        <w:t xml:space="preserve"> s </w:t>
      </w:r>
      <w:r w:rsidRPr="00083739">
        <w:rPr>
          <w:rFonts w:cs="Times New Roman"/>
          <w:noProof/>
          <w:lang w:val="sk-SK"/>
        </w:rPr>
        <w:t>použitím odpadu ako náhrady iných materiálov,</w:t>
      </w:r>
      <w:r w:rsidR="00083739" w:rsidRPr="00083739">
        <w:rPr>
          <w:rFonts w:cs="Times New Roman"/>
          <w:noProof/>
          <w:lang w:val="sk-SK"/>
        </w:rPr>
        <w:t xml:space="preserve"> a </w:t>
      </w:r>
      <w:r w:rsidRPr="00083739">
        <w:rPr>
          <w:rFonts w:cs="Times New Roman"/>
          <w:noProof/>
          <w:lang w:val="sk-SK"/>
        </w:rPr>
        <w:t>to</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hierarchiou odpadového hospodárstva</w:t>
      </w:r>
      <w:r w:rsidR="00083739" w:rsidRPr="00083739">
        <w:rPr>
          <w:rFonts w:cs="Times New Roman"/>
          <w:noProof/>
          <w:lang w:val="sk-SK"/>
        </w:rPr>
        <w:t xml:space="preserve"> a </w:t>
      </w:r>
      <w:r w:rsidRPr="00083739">
        <w:rPr>
          <w:rFonts w:cs="Times New Roman"/>
          <w:noProof/>
          <w:lang w:val="sk-SK"/>
        </w:rPr>
        <w:t>protokolom EÚ</w:t>
      </w:r>
      <w:r w:rsidR="00083739" w:rsidRPr="00083739">
        <w:rPr>
          <w:rFonts w:cs="Times New Roman"/>
          <w:noProof/>
          <w:lang w:val="sk-SK"/>
        </w:rPr>
        <w:t xml:space="preserve"> o </w:t>
      </w:r>
      <w:r w:rsidRPr="00083739">
        <w:rPr>
          <w:rFonts w:cs="Times New Roman"/>
          <w:noProof/>
          <w:lang w:val="sk-SK"/>
        </w:rPr>
        <w:t>nakladaní</w:t>
      </w:r>
      <w:r w:rsidRPr="00083739">
        <w:rPr>
          <w:rFonts w:cs="Times New Roman"/>
          <w:noProof/>
          <w:lang w:val="sk-SK"/>
        </w:rPr>
        <w:t xml:space="preserve"> so stavebným odpadom</w:t>
      </w:r>
      <w:r w:rsidR="00083739" w:rsidRPr="00083739">
        <w:rPr>
          <w:rFonts w:cs="Times New Roman"/>
          <w:noProof/>
          <w:lang w:val="sk-SK"/>
        </w:rPr>
        <w:t xml:space="preserve"> a </w:t>
      </w:r>
      <w:r w:rsidRPr="00083739">
        <w:rPr>
          <w:rFonts w:cs="Times New Roman"/>
          <w:noProof/>
          <w:lang w:val="sk-SK"/>
        </w:rPr>
        <w:t>odpadom</w:t>
      </w:r>
      <w:r w:rsidR="00083739" w:rsidRPr="00083739">
        <w:rPr>
          <w:rFonts w:cs="Times New Roman"/>
          <w:noProof/>
          <w:lang w:val="sk-SK"/>
        </w:rPr>
        <w:t xml:space="preserve"> z </w:t>
      </w:r>
      <w:r w:rsidRPr="00083739">
        <w:rPr>
          <w:rFonts w:cs="Times New Roman"/>
          <w:noProof/>
          <w:lang w:val="sk-SK"/>
        </w:rPr>
        <w:t>demolácie. Implementácia tejto reformy sa dokončí do 31</w:t>
      </w:r>
      <w:r w:rsidR="00083739" w:rsidRPr="00083739">
        <w:rPr>
          <w:rFonts w:cs="Times New Roman"/>
          <w:noProof/>
          <w:lang w:val="sk-SK"/>
        </w:rPr>
        <w:t>. decembra</w:t>
      </w:r>
      <w:r w:rsidRPr="00083739">
        <w:rPr>
          <w:rFonts w:cs="Times New Roman"/>
          <w:noProof/>
          <w:lang w:val="sk-SK"/>
        </w:rPr>
        <w:t xml:space="preserve"> 2025.</w:t>
      </w:r>
    </w:p>
    <w:p w14:paraId="2C318E6F" w14:textId="7777777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Reforma:</w:t>
      </w:r>
      <w:r w:rsidRPr="00083739">
        <w:rPr>
          <w:rFonts w:cs="Times New Roman"/>
          <w:noProof/>
          <w:lang w:val="sk-SK"/>
        </w:rPr>
        <w:t xml:space="preserve"> Vykonávanie národného programu prevencie verejného zdravia „Spiros Doxiadis“ (NPP) (ID opatrenia: 16783)</w:t>
      </w:r>
    </w:p>
    <w:p w14:paraId="04320308" w14:textId="41AAFAB6" w:rsidR="002D49B0" w:rsidRPr="00083739" w:rsidRDefault="00BF4125">
      <w:pPr>
        <w:pStyle w:val="P68B1DB1-Normal5"/>
        <w:spacing w:before="120" w:after="120" w:line="240" w:lineRule="auto"/>
        <w:jc w:val="both"/>
        <w:rPr>
          <w:rFonts w:cs="Times New Roman"/>
          <w:noProof/>
          <w:lang w:val="sk-SK"/>
        </w:rPr>
      </w:pPr>
      <w:r w:rsidRPr="00083739">
        <w:rPr>
          <w:rFonts w:cs="Times New Roman"/>
          <w:noProof/>
          <w:lang w:val="sk-SK"/>
        </w:rPr>
        <w:t>Cieľom reformy je zlepšiť kvalitu ži</w:t>
      </w:r>
      <w:r w:rsidRPr="00083739">
        <w:rPr>
          <w:rFonts w:cs="Times New Roman"/>
          <w:noProof/>
          <w:lang w:val="sk-SK"/>
        </w:rPr>
        <w:t>vota obyvateľstva</w:t>
      </w:r>
      <w:r w:rsidR="00083739" w:rsidRPr="00083739">
        <w:rPr>
          <w:rFonts w:cs="Times New Roman"/>
          <w:noProof/>
          <w:lang w:val="sk-SK"/>
        </w:rPr>
        <w:t xml:space="preserve"> a </w:t>
      </w:r>
      <w:r w:rsidRPr="00083739">
        <w:rPr>
          <w:rFonts w:cs="Times New Roman"/>
          <w:noProof/>
          <w:lang w:val="sk-SK"/>
        </w:rPr>
        <w:t>odolnosť systému zdravotnej starostlivosti vytvorením komplexného systému prevencie, primárnej</w:t>
      </w:r>
      <w:r w:rsidR="00083739" w:rsidRPr="00083739">
        <w:rPr>
          <w:rFonts w:cs="Times New Roman"/>
          <w:noProof/>
          <w:lang w:val="sk-SK"/>
        </w:rPr>
        <w:t xml:space="preserve"> a </w:t>
      </w:r>
      <w:r w:rsidRPr="00083739">
        <w:rPr>
          <w:rFonts w:cs="Times New Roman"/>
          <w:noProof/>
          <w:lang w:val="sk-SK"/>
        </w:rPr>
        <w:t>sekundárnej zdravotnej starostlivosti. Vzťahuje sa to na niekoľko prvkov na pilotnom základe,</w:t>
      </w:r>
      <w:r w:rsidR="00083739" w:rsidRPr="00083739">
        <w:rPr>
          <w:rFonts w:cs="Times New Roman"/>
          <w:noProof/>
          <w:lang w:val="sk-SK"/>
        </w:rPr>
        <w:t xml:space="preserve"> a </w:t>
      </w:r>
      <w:r w:rsidRPr="00083739">
        <w:rPr>
          <w:rFonts w:cs="Times New Roman"/>
          <w:noProof/>
          <w:lang w:val="sk-SK"/>
        </w:rPr>
        <w:t>to takto: (1a) intervencie na podporu teles</w:t>
      </w:r>
      <w:r w:rsidRPr="00083739">
        <w:rPr>
          <w:rFonts w:cs="Times New Roman"/>
          <w:noProof/>
          <w:lang w:val="sk-SK"/>
        </w:rPr>
        <w:t>ného cvičenia</w:t>
      </w:r>
      <w:r w:rsidR="00083739" w:rsidRPr="00083739">
        <w:rPr>
          <w:rFonts w:cs="Times New Roman"/>
          <w:noProof/>
          <w:lang w:val="sk-SK"/>
        </w:rPr>
        <w:t xml:space="preserve"> a </w:t>
      </w:r>
      <w:r w:rsidRPr="00083739">
        <w:rPr>
          <w:rFonts w:cs="Times New Roman"/>
          <w:noProof/>
          <w:lang w:val="sk-SK"/>
        </w:rPr>
        <w:t>zdravého stravovania prostredníctvom: a) legislatívny rámec pre stravovanie</w:t>
      </w:r>
      <w:r w:rsidR="00083739" w:rsidRPr="00083739">
        <w:rPr>
          <w:rFonts w:cs="Times New Roman"/>
          <w:noProof/>
          <w:lang w:val="sk-SK"/>
        </w:rPr>
        <w:t xml:space="preserve"> v </w:t>
      </w:r>
      <w:r w:rsidRPr="00083739">
        <w:rPr>
          <w:rFonts w:cs="Times New Roman"/>
          <w:noProof/>
          <w:lang w:val="sk-SK"/>
        </w:rPr>
        <w:t>oblasti zdravia</w:t>
      </w:r>
      <w:r w:rsidR="00083739" w:rsidRPr="00083739">
        <w:rPr>
          <w:rFonts w:cs="Times New Roman"/>
          <w:noProof/>
          <w:lang w:val="sk-SK"/>
        </w:rPr>
        <w:t xml:space="preserve"> a </w:t>
      </w:r>
      <w:r w:rsidRPr="00083739">
        <w:rPr>
          <w:rFonts w:cs="Times New Roman"/>
          <w:noProof/>
          <w:lang w:val="sk-SK"/>
        </w:rPr>
        <w:t>školské jedálne, b) systematická odborná príprava</w:t>
      </w:r>
      <w:r w:rsidR="00083739" w:rsidRPr="00083739">
        <w:rPr>
          <w:rFonts w:cs="Times New Roman"/>
          <w:noProof/>
          <w:lang w:val="sk-SK"/>
        </w:rPr>
        <w:t xml:space="preserve"> s </w:t>
      </w:r>
      <w:r w:rsidRPr="00083739">
        <w:rPr>
          <w:rFonts w:cs="Times New Roman"/>
          <w:noProof/>
          <w:lang w:val="sk-SK"/>
        </w:rPr>
        <w:t>využitím skúsenej odbornej prípravy</w:t>
      </w:r>
      <w:r w:rsidR="00083739" w:rsidRPr="00083739">
        <w:rPr>
          <w:rFonts w:cs="Times New Roman"/>
          <w:noProof/>
          <w:lang w:val="sk-SK"/>
        </w:rPr>
        <w:t xml:space="preserve"> v </w:t>
      </w:r>
      <w:r w:rsidRPr="00083739">
        <w:rPr>
          <w:rFonts w:cs="Times New Roman"/>
          <w:noProof/>
          <w:lang w:val="sk-SK"/>
        </w:rPr>
        <w:t>školských osnovách, c) komunitné akcie, d) zriadenie E</w:t>
      </w:r>
      <w:r w:rsidRPr="00083739">
        <w:rPr>
          <w:rFonts w:cs="Times New Roman"/>
          <w:noProof/>
          <w:lang w:val="sk-SK"/>
        </w:rPr>
        <w:t>urópskeho centra pre obezitu, e) podpora fyzickej aktivity, f) digitálne nástroje, g) osvetová kampaň, 1b) intervencie</w:t>
      </w:r>
      <w:r w:rsidR="00083739" w:rsidRPr="00083739">
        <w:rPr>
          <w:rFonts w:cs="Times New Roman"/>
          <w:noProof/>
          <w:lang w:val="sk-SK"/>
        </w:rPr>
        <w:t xml:space="preserve"> v </w:t>
      </w:r>
      <w:r w:rsidRPr="00083739">
        <w:rPr>
          <w:rFonts w:cs="Times New Roman"/>
          <w:noProof/>
          <w:lang w:val="sk-SK"/>
        </w:rPr>
        <w:t>oblasti zdravotnej gramotnosti zamerané na škodlivé dôsledky nadmerného požívania alkoholu, (1c) intervencie na predchádzanie psychosoc</w:t>
      </w:r>
      <w:r w:rsidRPr="00083739">
        <w:rPr>
          <w:rFonts w:cs="Times New Roman"/>
          <w:noProof/>
          <w:lang w:val="sk-SK"/>
        </w:rPr>
        <w:t>iálnym problémom</w:t>
      </w:r>
      <w:r w:rsidR="00083739" w:rsidRPr="00083739">
        <w:rPr>
          <w:rFonts w:cs="Times New Roman"/>
          <w:noProof/>
          <w:lang w:val="sk-SK"/>
        </w:rPr>
        <w:t xml:space="preserve"> u </w:t>
      </w:r>
      <w:r w:rsidRPr="00083739">
        <w:rPr>
          <w:rFonts w:cs="Times New Roman"/>
          <w:noProof/>
          <w:lang w:val="sk-SK"/>
        </w:rPr>
        <w:t>detí, (1d) intervencie</w:t>
      </w:r>
      <w:r w:rsidR="00083739" w:rsidRPr="00083739">
        <w:rPr>
          <w:rFonts w:cs="Times New Roman"/>
          <w:noProof/>
          <w:lang w:val="sk-SK"/>
        </w:rPr>
        <w:t xml:space="preserve"> v </w:t>
      </w:r>
      <w:r w:rsidRPr="00083739">
        <w:rPr>
          <w:rFonts w:cs="Times New Roman"/>
          <w:noProof/>
          <w:lang w:val="sk-SK"/>
        </w:rPr>
        <w:t>oblasti zubnej starostlivosti detí, (2a) populačný skríning na rakovinu prsníka, rakovinu krčka maternice, rakovinu hrubého čreva</w:t>
      </w:r>
      <w:r w:rsidR="00083739" w:rsidRPr="00083739">
        <w:rPr>
          <w:rFonts w:cs="Times New Roman"/>
          <w:noProof/>
          <w:lang w:val="sk-SK"/>
        </w:rPr>
        <w:t xml:space="preserve"> a </w:t>
      </w:r>
      <w:r w:rsidRPr="00083739">
        <w:rPr>
          <w:rFonts w:cs="Times New Roman"/>
          <w:noProof/>
          <w:lang w:val="sk-SK"/>
        </w:rPr>
        <w:t>konečníka</w:t>
      </w:r>
      <w:r w:rsidR="00083739" w:rsidRPr="00083739">
        <w:rPr>
          <w:rFonts w:cs="Times New Roman"/>
          <w:noProof/>
          <w:lang w:val="sk-SK"/>
        </w:rPr>
        <w:t xml:space="preserve"> a </w:t>
      </w:r>
      <w:r w:rsidRPr="00083739">
        <w:rPr>
          <w:rFonts w:cs="Times New Roman"/>
          <w:noProof/>
          <w:lang w:val="sk-SK"/>
        </w:rPr>
        <w:t>kardiovaskulárne ochorenia; 2b) intervencie</w:t>
      </w:r>
      <w:r w:rsidR="00083739" w:rsidRPr="00083739">
        <w:rPr>
          <w:rFonts w:cs="Times New Roman"/>
          <w:noProof/>
          <w:lang w:val="sk-SK"/>
        </w:rPr>
        <w:t xml:space="preserve"> v </w:t>
      </w:r>
      <w:r w:rsidRPr="00083739">
        <w:rPr>
          <w:rFonts w:cs="Times New Roman"/>
          <w:noProof/>
          <w:lang w:val="sk-SK"/>
        </w:rPr>
        <w:t>rámci vnútroštátneho p</w:t>
      </w:r>
      <w:r w:rsidRPr="00083739">
        <w:rPr>
          <w:rFonts w:cs="Times New Roman"/>
          <w:noProof/>
          <w:lang w:val="sk-SK"/>
        </w:rPr>
        <w:t>renatálneho skríningu vo vzdialených oblastiach</w:t>
      </w:r>
      <w:r w:rsidR="00083739" w:rsidRPr="00083739">
        <w:rPr>
          <w:rFonts w:cs="Times New Roman"/>
          <w:noProof/>
          <w:lang w:val="sk-SK"/>
        </w:rPr>
        <w:t xml:space="preserve"> a </w:t>
      </w:r>
      <w:r w:rsidRPr="00083739">
        <w:rPr>
          <w:rFonts w:cs="Times New Roman"/>
          <w:noProof/>
          <w:lang w:val="sk-SK"/>
        </w:rPr>
        <w:t>vnútroštátneho prenatálneho skríningu (3) funkčnej</w:t>
      </w:r>
      <w:r w:rsidR="00083739" w:rsidRPr="00083739">
        <w:rPr>
          <w:rFonts w:cs="Times New Roman"/>
          <w:noProof/>
          <w:lang w:val="sk-SK"/>
        </w:rPr>
        <w:t xml:space="preserve"> a </w:t>
      </w:r>
      <w:r w:rsidRPr="00083739">
        <w:rPr>
          <w:rFonts w:cs="Times New Roman"/>
          <w:noProof/>
          <w:lang w:val="sk-SK"/>
        </w:rPr>
        <w:t>operačnej modernizácie systému verejného zdravotníctva. Implementácia tejto reformy sa dokončí do 31</w:t>
      </w:r>
      <w:r w:rsidR="00083739" w:rsidRPr="00083739">
        <w:rPr>
          <w:rFonts w:cs="Times New Roman"/>
          <w:noProof/>
          <w:lang w:val="sk-SK"/>
        </w:rPr>
        <w:t>. decembra</w:t>
      </w:r>
      <w:r w:rsidRPr="00083739">
        <w:rPr>
          <w:rFonts w:cs="Times New Roman"/>
          <w:noProof/>
          <w:lang w:val="sk-SK"/>
        </w:rPr>
        <w:t xml:space="preserve"> 2025.</w:t>
      </w:r>
    </w:p>
    <w:p w14:paraId="0DAB010F" w14:textId="6E5D3769"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Reforma:</w:t>
      </w:r>
      <w:r w:rsidRPr="00083739">
        <w:rPr>
          <w:rFonts w:cs="Times New Roman"/>
          <w:noProof/>
          <w:lang w:val="sk-SK"/>
        </w:rPr>
        <w:t xml:space="preserve"> Reforma</w:t>
      </w:r>
      <w:r w:rsidR="00083739" w:rsidRPr="00083739">
        <w:rPr>
          <w:rFonts w:cs="Times New Roman"/>
          <w:noProof/>
          <w:lang w:val="sk-SK"/>
        </w:rPr>
        <w:t xml:space="preserve"> v </w:t>
      </w:r>
      <w:r w:rsidRPr="00083739">
        <w:rPr>
          <w:rFonts w:cs="Times New Roman"/>
          <w:noProof/>
          <w:lang w:val="sk-SK"/>
        </w:rPr>
        <w:t>oblasti duševného</w:t>
      </w:r>
      <w:r w:rsidRPr="00083739">
        <w:rPr>
          <w:rFonts w:cs="Times New Roman"/>
          <w:noProof/>
          <w:lang w:val="sk-SK"/>
        </w:rPr>
        <w:t xml:space="preserve"> zdravia</w:t>
      </w:r>
      <w:r w:rsidR="00083739" w:rsidRPr="00083739">
        <w:rPr>
          <w:rFonts w:cs="Times New Roman"/>
          <w:noProof/>
          <w:lang w:val="sk-SK"/>
        </w:rPr>
        <w:t xml:space="preserve"> a </w:t>
      </w:r>
      <w:r w:rsidRPr="00083739">
        <w:rPr>
          <w:rFonts w:cs="Times New Roman"/>
          <w:noProof/>
          <w:lang w:val="sk-SK"/>
        </w:rPr>
        <w:t>závislostí (ID opatrenia: 16820)</w:t>
      </w:r>
    </w:p>
    <w:p w14:paraId="745443EF" w14:textId="3A047A25" w:rsidR="002D49B0" w:rsidRPr="00083739" w:rsidRDefault="00BF4125">
      <w:pPr>
        <w:pStyle w:val="P68B1DB1-Normal5"/>
        <w:spacing w:before="120" w:after="120" w:line="240" w:lineRule="auto"/>
        <w:jc w:val="both"/>
        <w:rPr>
          <w:rFonts w:cs="Times New Roman"/>
          <w:noProof/>
          <w:lang w:val="sk-SK"/>
        </w:rPr>
      </w:pPr>
      <w:r w:rsidRPr="00083739">
        <w:rPr>
          <w:rFonts w:cs="Times New Roman"/>
          <w:noProof/>
          <w:lang w:val="sk-SK"/>
        </w:rPr>
        <w:t>Cieľom tejto reformy je zabezpečiť prístup ku kvalitným službám</w:t>
      </w:r>
      <w:r w:rsidR="00083739" w:rsidRPr="00083739">
        <w:rPr>
          <w:rFonts w:cs="Times New Roman"/>
          <w:noProof/>
          <w:lang w:val="sk-SK"/>
        </w:rPr>
        <w:t xml:space="preserve"> v </w:t>
      </w:r>
      <w:r w:rsidRPr="00083739">
        <w:rPr>
          <w:rFonts w:cs="Times New Roman"/>
          <w:noProof/>
          <w:lang w:val="sk-SK"/>
        </w:rPr>
        <w:t>oblasti duševného zdravia pre špecifické skupiny obyvateľstva trpiace duševnými chorobami</w:t>
      </w:r>
      <w:r w:rsidR="00083739" w:rsidRPr="00083739">
        <w:rPr>
          <w:rFonts w:cs="Times New Roman"/>
          <w:noProof/>
          <w:lang w:val="sk-SK"/>
        </w:rPr>
        <w:t xml:space="preserve"> a </w:t>
      </w:r>
      <w:r w:rsidRPr="00083739">
        <w:rPr>
          <w:rFonts w:cs="Times New Roman"/>
          <w:noProof/>
          <w:lang w:val="sk-SK"/>
        </w:rPr>
        <w:t>závislosťou, aby sa zabránilo ich marginalizácii alebo</w:t>
      </w:r>
      <w:r w:rsidRPr="00083739">
        <w:rPr>
          <w:rFonts w:cs="Times New Roman"/>
          <w:noProof/>
          <w:lang w:val="sk-SK"/>
        </w:rPr>
        <w:t xml:space="preserve"> inštitucionalizácii.  Pozostáva</w:t>
      </w:r>
      <w:r w:rsidR="00083739" w:rsidRPr="00083739">
        <w:rPr>
          <w:rFonts w:cs="Times New Roman"/>
          <w:noProof/>
          <w:lang w:val="sk-SK"/>
        </w:rPr>
        <w:t xml:space="preserve"> z </w:t>
      </w:r>
      <w:r w:rsidRPr="00083739">
        <w:rPr>
          <w:rFonts w:cs="Times New Roman"/>
          <w:noProof/>
          <w:lang w:val="sk-SK"/>
        </w:rPr>
        <w:t>rozšírenia služieb duševného zdravia prostredníctvom jednotiek duševného zdravia pre pacientov</w:t>
      </w:r>
      <w:r w:rsidR="00083739" w:rsidRPr="00083739">
        <w:rPr>
          <w:rFonts w:cs="Times New Roman"/>
          <w:noProof/>
          <w:lang w:val="sk-SK"/>
        </w:rPr>
        <w:t xml:space="preserve"> s </w:t>
      </w:r>
      <w:r w:rsidRPr="00083739">
        <w:rPr>
          <w:rFonts w:cs="Times New Roman"/>
          <w:noProof/>
          <w:lang w:val="sk-SK"/>
        </w:rPr>
        <w:t>demenciou</w:t>
      </w:r>
      <w:r w:rsidR="00083739" w:rsidRPr="00083739">
        <w:rPr>
          <w:rFonts w:cs="Times New Roman"/>
          <w:noProof/>
          <w:lang w:val="sk-SK"/>
        </w:rPr>
        <w:t xml:space="preserve"> a </w:t>
      </w:r>
      <w:r w:rsidRPr="00083739">
        <w:rPr>
          <w:rFonts w:cs="Times New Roman"/>
          <w:noProof/>
          <w:lang w:val="sk-SK"/>
        </w:rPr>
        <w:t>Alzheimerovou chorobou, ako aj pre pacientov</w:t>
      </w:r>
      <w:r w:rsidR="00083739" w:rsidRPr="00083739">
        <w:rPr>
          <w:rFonts w:cs="Times New Roman"/>
          <w:noProof/>
          <w:lang w:val="sk-SK"/>
        </w:rPr>
        <w:t xml:space="preserve"> s </w:t>
      </w:r>
      <w:r w:rsidRPr="00083739">
        <w:rPr>
          <w:rFonts w:cs="Times New Roman"/>
          <w:noProof/>
          <w:lang w:val="sk-SK"/>
        </w:rPr>
        <w:t>autizmom</w:t>
      </w:r>
      <w:r w:rsidR="00083739" w:rsidRPr="00083739">
        <w:rPr>
          <w:rFonts w:cs="Times New Roman"/>
          <w:noProof/>
          <w:lang w:val="sk-SK"/>
        </w:rPr>
        <w:t xml:space="preserve"> a </w:t>
      </w:r>
      <w:r w:rsidRPr="00083739">
        <w:rPr>
          <w:rFonts w:cs="Times New Roman"/>
          <w:noProof/>
          <w:lang w:val="sk-SK"/>
        </w:rPr>
        <w:t>pre pacientov vo vekovej skupine detí, dospievajúcich</w:t>
      </w:r>
      <w:r w:rsidR="00083739" w:rsidRPr="00083739">
        <w:rPr>
          <w:rFonts w:cs="Times New Roman"/>
          <w:noProof/>
          <w:lang w:val="sk-SK"/>
        </w:rPr>
        <w:t xml:space="preserve"> a </w:t>
      </w:r>
      <w:r w:rsidRPr="00083739">
        <w:rPr>
          <w:rFonts w:cs="Times New Roman"/>
          <w:noProof/>
          <w:lang w:val="sk-SK"/>
        </w:rPr>
        <w:t>mladých dospelých, ako aj zo služieb</w:t>
      </w:r>
      <w:r w:rsidR="00083739" w:rsidRPr="00083739">
        <w:rPr>
          <w:rFonts w:cs="Times New Roman"/>
          <w:noProof/>
          <w:lang w:val="sk-SK"/>
        </w:rPr>
        <w:t xml:space="preserve"> v </w:t>
      </w:r>
      <w:r w:rsidRPr="00083739">
        <w:rPr>
          <w:rFonts w:cs="Times New Roman"/>
          <w:noProof/>
          <w:lang w:val="sk-SK"/>
        </w:rPr>
        <w:t>oblasti duševného zdravia pre osoby so závislosťami. Sprevádza to vývoj webových aplikácií</w:t>
      </w:r>
      <w:r w:rsidR="00083739" w:rsidRPr="00083739">
        <w:rPr>
          <w:rFonts w:cs="Times New Roman"/>
          <w:noProof/>
          <w:lang w:val="sk-SK"/>
        </w:rPr>
        <w:t xml:space="preserve"> a </w:t>
      </w:r>
      <w:r w:rsidRPr="00083739">
        <w:rPr>
          <w:rFonts w:cs="Times New Roman"/>
          <w:noProof/>
          <w:lang w:val="sk-SK"/>
        </w:rPr>
        <w:t>digitalizácia služieb</w:t>
      </w:r>
      <w:r w:rsidR="00083739" w:rsidRPr="00083739">
        <w:rPr>
          <w:rFonts w:cs="Times New Roman"/>
          <w:noProof/>
          <w:lang w:val="sk-SK"/>
        </w:rPr>
        <w:t xml:space="preserve"> v </w:t>
      </w:r>
      <w:r w:rsidRPr="00083739">
        <w:rPr>
          <w:rFonts w:cs="Times New Roman"/>
          <w:noProof/>
          <w:lang w:val="sk-SK"/>
        </w:rPr>
        <w:t>oblasti duševného zdravia. Implementácia reformy sa dokončí do 31</w:t>
      </w:r>
      <w:r w:rsidR="00083739" w:rsidRPr="00083739">
        <w:rPr>
          <w:rFonts w:cs="Times New Roman"/>
          <w:noProof/>
          <w:lang w:val="sk-SK"/>
        </w:rPr>
        <w:t>. decembra</w:t>
      </w:r>
      <w:r w:rsidRPr="00083739">
        <w:rPr>
          <w:rFonts w:cs="Times New Roman"/>
          <w:noProof/>
          <w:lang w:val="sk-SK"/>
        </w:rPr>
        <w:t xml:space="preserve"> 2023.</w:t>
      </w:r>
    </w:p>
    <w:p w14:paraId="5FBF1D76" w14:textId="15BA1D20" w:rsidR="002D49B0" w:rsidRPr="00083739" w:rsidRDefault="00BF4125">
      <w:pPr>
        <w:pStyle w:val="P68B1DB1-Normal5"/>
        <w:spacing w:before="120" w:after="120" w:line="240" w:lineRule="auto"/>
        <w:jc w:val="both"/>
        <w:rPr>
          <w:rFonts w:cs="Times New Roman"/>
          <w:noProof/>
          <w:lang w:val="sk-SK"/>
        </w:rPr>
      </w:pPr>
      <w:r w:rsidRPr="00083739">
        <w:rPr>
          <w:rFonts w:cs="Times New Roman"/>
          <w:b/>
          <w:noProof/>
          <w:lang w:val="sk-SK"/>
        </w:rPr>
        <w:t>Reforma:</w:t>
      </w:r>
      <w:r w:rsidRPr="00083739">
        <w:rPr>
          <w:rFonts w:cs="Times New Roman"/>
          <w:noProof/>
          <w:lang w:val="sk-SK"/>
        </w:rPr>
        <w:t xml:space="preserve"> Organiz</w:t>
      </w:r>
      <w:r w:rsidRPr="00083739">
        <w:rPr>
          <w:rFonts w:cs="Times New Roman"/>
          <w:noProof/>
          <w:lang w:val="sk-SK"/>
        </w:rPr>
        <w:t>ačné reformy systému zdravotnej starostlivosti (ID opatrenia: 16756)</w:t>
      </w:r>
    </w:p>
    <w:p w14:paraId="41DA189A" w14:textId="0EF80435" w:rsidR="002D49B0" w:rsidRPr="00083739" w:rsidRDefault="00BF4125">
      <w:pPr>
        <w:pStyle w:val="P68B1DB1-Normal4"/>
        <w:spacing w:before="120" w:after="120" w:line="240" w:lineRule="auto"/>
        <w:jc w:val="both"/>
        <w:rPr>
          <w:rFonts w:cs="Times New Roman"/>
          <w:noProof/>
          <w:szCs w:val="24"/>
          <w:lang w:val="sk-SK"/>
        </w:rPr>
      </w:pPr>
      <w:r w:rsidRPr="00083739">
        <w:rPr>
          <w:rFonts w:cs="Times New Roman"/>
          <w:noProof/>
          <w:szCs w:val="24"/>
          <w:lang w:val="sk-SK"/>
        </w:rPr>
        <w:t>Cieľom tejto reformy je racionalizovať úhradu nemocničných lekárskych postupov 1) posilnením gréckeho inštitútu pre diagnostiku (DRG) (KETEKNY)</w:t>
      </w:r>
      <w:r w:rsidR="00083739" w:rsidRPr="00083739">
        <w:rPr>
          <w:rFonts w:cs="Times New Roman"/>
          <w:noProof/>
          <w:szCs w:val="24"/>
          <w:lang w:val="sk-SK"/>
        </w:rPr>
        <w:t xml:space="preserve"> a </w:t>
      </w:r>
      <w:r w:rsidRPr="00083739">
        <w:rPr>
          <w:rFonts w:cs="Times New Roman"/>
          <w:noProof/>
          <w:szCs w:val="24"/>
          <w:lang w:val="sk-SK"/>
        </w:rPr>
        <w:t>2. vytvorením rámca, ktorý zabezpečí zave</w:t>
      </w:r>
      <w:r w:rsidRPr="00083739">
        <w:rPr>
          <w:rFonts w:cs="Times New Roman"/>
          <w:noProof/>
          <w:szCs w:val="24"/>
          <w:lang w:val="sk-SK"/>
        </w:rPr>
        <w:t>denie spoľahlivých, kvalitných postupov</w:t>
      </w:r>
      <w:r w:rsidR="00083739" w:rsidRPr="00083739">
        <w:rPr>
          <w:rFonts w:cs="Times New Roman"/>
          <w:noProof/>
          <w:szCs w:val="24"/>
          <w:lang w:val="sk-SK"/>
        </w:rPr>
        <w:t xml:space="preserve"> a </w:t>
      </w:r>
      <w:r w:rsidRPr="00083739">
        <w:rPr>
          <w:rFonts w:cs="Times New Roman"/>
          <w:noProof/>
          <w:szCs w:val="24"/>
          <w:lang w:val="sk-SK"/>
        </w:rPr>
        <w:t>meraní výkonnosti týkajúcich sa starostlivosti</w:t>
      </w:r>
      <w:r w:rsidR="00083739" w:rsidRPr="00083739">
        <w:rPr>
          <w:rFonts w:cs="Times New Roman"/>
          <w:noProof/>
          <w:szCs w:val="24"/>
          <w:lang w:val="sk-SK"/>
        </w:rPr>
        <w:t xml:space="preserve"> o </w:t>
      </w:r>
      <w:r w:rsidRPr="00083739">
        <w:rPr>
          <w:rFonts w:cs="Times New Roman"/>
          <w:noProof/>
          <w:szCs w:val="24"/>
          <w:lang w:val="sk-SK"/>
        </w:rPr>
        <w:t>pacientov, zdravotných potrieb</w:t>
      </w:r>
      <w:r w:rsidR="00083739" w:rsidRPr="00083739">
        <w:rPr>
          <w:rFonts w:cs="Times New Roman"/>
          <w:noProof/>
          <w:szCs w:val="24"/>
          <w:lang w:val="sk-SK"/>
        </w:rPr>
        <w:t xml:space="preserve"> a </w:t>
      </w:r>
      <w:r w:rsidRPr="00083739">
        <w:rPr>
          <w:rFonts w:cs="Times New Roman"/>
          <w:noProof/>
          <w:szCs w:val="24"/>
          <w:lang w:val="sk-SK"/>
        </w:rPr>
        <w:t>poskytovania starostlivosti</w:t>
      </w:r>
      <w:r w:rsidR="00083739" w:rsidRPr="00083739">
        <w:rPr>
          <w:rFonts w:cs="Times New Roman"/>
          <w:noProof/>
          <w:szCs w:val="24"/>
          <w:lang w:val="sk-SK"/>
        </w:rPr>
        <w:t xml:space="preserve"> s </w:t>
      </w:r>
      <w:r w:rsidRPr="00083739">
        <w:rPr>
          <w:rFonts w:cs="Times New Roman"/>
          <w:noProof/>
          <w:szCs w:val="24"/>
          <w:lang w:val="sk-SK"/>
        </w:rPr>
        <w:t>cieľom podporiť grécku agentúru pre zabezpečenie kvality zdravotnej starostlivosti (ODIPY)</w:t>
      </w:r>
      <w:r w:rsidR="00083739" w:rsidRPr="00083739">
        <w:rPr>
          <w:rFonts w:cs="Times New Roman"/>
          <w:noProof/>
          <w:szCs w:val="24"/>
          <w:lang w:val="sk-SK"/>
        </w:rPr>
        <w:t xml:space="preserve"> a </w:t>
      </w:r>
      <w:r w:rsidRPr="00083739">
        <w:rPr>
          <w:rFonts w:cs="Times New Roman"/>
          <w:noProof/>
          <w:szCs w:val="24"/>
          <w:lang w:val="sk-SK"/>
        </w:rPr>
        <w:t>jej činno</w:t>
      </w:r>
      <w:r w:rsidRPr="00083739">
        <w:rPr>
          <w:rFonts w:cs="Times New Roman"/>
          <w:noProof/>
          <w:szCs w:val="24"/>
          <w:lang w:val="sk-SK"/>
        </w:rPr>
        <w:t>sti. Očakáva sa, že vytvorením národnej mapy zdravia,</w:t>
      </w:r>
      <w:r w:rsidR="00083739" w:rsidRPr="00083739">
        <w:rPr>
          <w:rFonts w:cs="Times New Roman"/>
          <w:noProof/>
          <w:szCs w:val="24"/>
          <w:lang w:val="sk-SK"/>
        </w:rPr>
        <w:t xml:space="preserve"> v </w:t>
      </w:r>
      <w:r w:rsidRPr="00083739">
        <w:rPr>
          <w:rFonts w:cs="Times New Roman"/>
          <w:noProof/>
          <w:szCs w:val="24"/>
          <w:lang w:val="sk-SK"/>
        </w:rPr>
        <w:t>ktorej sa zaznamená dopyt</w:t>
      </w:r>
      <w:r w:rsidR="00083739" w:rsidRPr="00083739">
        <w:rPr>
          <w:rFonts w:cs="Times New Roman"/>
          <w:noProof/>
          <w:szCs w:val="24"/>
          <w:lang w:val="sk-SK"/>
        </w:rPr>
        <w:t xml:space="preserve"> a </w:t>
      </w:r>
      <w:r w:rsidRPr="00083739">
        <w:rPr>
          <w:rFonts w:cs="Times New Roman"/>
          <w:noProof/>
          <w:szCs w:val="24"/>
          <w:lang w:val="sk-SK"/>
        </w:rPr>
        <w:t>ponuka služieb</w:t>
      </w:r>
      <w:r w:rsidR="00083739" w:rsidRPr="00083739">
        <w:rPr>
          <w:rFonts w:cs="Times New Roman"/>
          <w:noProof/>
          <w:szCs w:val="24"/>
          <w:lang w:val="sk-SK"/>
        </w:rPr>
        <w:t xml:space="preserve"> v </w:t>
      </w:r>
      <w:r w:rsidRPr="00083739">
        <w:rPr>
          <w:rFonts w:cs="Times New Roman"/>
          <w:noProof/>
          <w:szCs w:val="24"/>
          <w:lang w:val="sk-SK"/>
        </w:rPr>
        <w:t>systéme zdravotnej starostlivosti</w:t>
      </w:r>
      <w:r w:rsidR="00083739" w:rsidRPr="00083739">
        <w:rPr>
          <w:rFonts w:cs="Times New Roman"/>
          <w:noProof/>
          <w:szCs w:val="24"/>
          <w:lang w:val="sk-SK"/>
        </w:rPr>
        <w:t xml:space="preserve"> a </w:t>
      </w:r>
      <w:r w:rsidRPr="00083739">
        <w:rPr>
          <w:rFonts w:cs="Times New Roman"/>
          <w:noProof/>
          <w:szCs w:val="24"/>
          <w:lang w:val="sk-SK"/>
        </w:rPr>
        <w:t>vytvorí rámec pre hodnotenie kvality, sa zabezpečí väčšia transparentnosť</w:t>
      </w:r>
      <w:r w:rsidR="00083739" w:rsidRPr="00083739">
        <w:rPr>
          <w:rFonts w:cs="Times New Roman"/>
          <w:noProof/>
          <w:szCs w:val="24"/>
          <w:lang w:val="sk-SK"/>
        </w:rPr>
        <w:t xml:space="preserve"> a </w:t>
      </w:r>
      <w:r w:rsidRPr="00083739">
        <w:rPr>
          <w:rFonts w:cs="Times New Roman"/>
          <w:noProof/>
          <w:szCs w:val="24"/>
          <w:lang w:val="sk-SK"/>
        </w:rPr>
        <w:t xml:space="preserve">efektívnosť systému </w:t>
      </w:r>
      <w:r w:rsidRPr="00083739">
        <w:rPr>
          <w:rFonts w:cs="Times New Roman"/>
          <w:noProof/>
          <w:lang w:val="sk-SK"/>
        </w:rPr>
        <w:t>zdravotnej starost</w:t>
      </w:r>
      <w:r w:rsidRPr="00083739">
        <w:rPr>
          <w:rFonts w:cs="Times New Roman"/>
          <w:noProof/>
          <w:lang w:val="sk-SK"/>
        </w:rPr>
        <w:t>livosti. Okrem toho je reforma doplnená znížením čakacieho zoznamu pre volené chirurgické zákroky (prostredníctvom dokončenia 34000 popoludňajších chirurgických zákrokov (operácie vykonané po bežných otváracích hodinách národného systému zdravotnej starost</w:t>
      </w:r>
      <w:r w:rsidRPr="00083739">
        <w:rPr>
          <w:rFonts w:cs="Times New Roman"/>
          <w:noProof/>
          <w:lang w:val="sk-SK"/>
        </w:rPr>
        <w:t>livosti – NHS). Implementácia tejto reformy sa dokončí do 31</w:t>
      </w:r>
      <w:r w:rsidR="00083739" w:rsidRPr="00083739">
        <w:rPr>
          <w:rFonts w:cs="Times New Roman"/>
          <w:noProof/>
          <w:lang w:val="sk-SK"/>
        </w:rPr>
        <w:t>. decembra</w:t>
      </w:r>
      <w:r w:rsidRPr="00083739">
        <w:rPr>
          <w:rFonts w:cs="Times New Roman"/>
          <w:noProof/>
          <w:lang w:val="sk-SK"/>
        </w:rPr>
        <w:t xml:space="preserve"> 2025.</w:t>
      </w:r>
    </w:p>
    <w:p w14:paraId="66EE9287" w14:textId="354B105C" w:rsidR="002D49B0" w:rsidRPr="00083739" w:rsidRDefault="00BF4125">
      <w:pPr>
        <w:pStyle w:val="P68B1DB1-Normal5"/>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Zdravotnícka infraštruktúra (ID opatrenia: 16795)</w:t>
      </w:r>
    </w:p>
    <w:p w14:paraId="697822ED" w14:textId="43C53A2C"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Investícia pozostáva</w:t>
      </w:r>
      <w:r w:rsidR="00083739" w:rsidRPr="00083739">
        <w:rPr>
          <w:rFonts w:cs="Times New Roman"/>
          <w:noProof/>
          <w:lang w:val="sk-SK"/>
        </w:rPr>
        <w:t xml:space="preserve"> z </w:t>
      </w:r>
      <w:r w:rsidRPr="00083739">
        <w:rPr>
          <w:rFonts w:cs="Times New Roman"/>
          <w:noProof/>
          <w:lang w:val="sk-SK"/>
        </w:rPr>
        <w:t>komplexných intervencií na modernizáciu logistickej infraštruktúry nemocníc</w:t>
      </w:r>
      <w:r w:rsidR="00083739" w:rsidRPr="00083739">
        <w:rPr>
          <w:rFonts w:cs="Times New Roman"/>
          <w:noProof/>
          <w:lang w:val="sk-SK"/>
        </w:rPr>
        <w:t xml:space="preserve"> v </w:t>
      </w:r>
      <w:r w:rsidRPr="00083739">
        <w:rPr>
          <w:rFonts w:cs="Times New Roman"/>
          <w:noProof/>
          <w:lang w:val="sk-SK"/>
        </w:rPr>
        <w:t>celom Grécku vrá</w:t>
      </w:r>
      <w:r w:rsidRPr="00083739">
        <w:rPr>
          <w:rFonts w:cs="Times New Roman"/>
          <w:noProof/>
          <w:lang w:val="sk-SK"/>
        </w:rPr>
        <w:t>tane energeticky efektívnej obnovy budov</w:t>
      </w:r>
      <w:r w:rsidR="00083739" w:rsidRPr="00083739">
        <w:rPr>
          <w:rFonts w:cs="Times New Roman"/>
          <w:noProof/>
          <w:lang w:val="sk-SK"/>
        </w:rPr>
        <w:t xml:space="preserve"> a </w:t>
      </w:r>
      <w:r w:rsidRPr="00083739">
        <w:rPr>
          <w:rFonts w:cs="Times New Roman"/>
          <w:noProof/>
          <w:lang w:val="sk-SK"/>
        </w:rPr>
        <w:t>dodávok nového zdravotníckeho vybavenia. Investícia posilní zdravotníckych</w:t>
      </w:r>
      <w:r w:rsidR="00083739" w:rsidRPr="00083739">
        <w:rPr>
          <w:rFonts w:cs="Times New Roman"/>
          <w:noProof/>
          <w:lang w:val="sk-SK"/>
        </w:rPr>
        <w:t xml:space="preserve"> a </w:t>
      </w:r>
      <w:r w:rsidRPr="00083739">
        <w:rPr>
          <w:rFonts w:cs="Times New Roman"/>
          <w:noProof/>
          <w:lang w:val="sk-SK"/>
        </w:rPr>
        <w:t>ošetrovateľských pracovníkov národného systému zdravotnej starostlivosti nástrojmi potrebnými na zlepšenie kvality</w:t>
      </w:r>
      <w:r w:rsidR="00083739" w:rsidRPr="00083739">
        <w:rPr>
          <w:rFonts w:cs="Times New Roman"/>
          <w:noProof/>
          <w:lang w:val="sk-SK"/>
        </w:rPr>
        <w:t xml:space="preserve"> a </w:t>
      </w:r>
      <w:r w:rsidRPr="00083739">
        <w:rPr>
          <w:rFonts w:cs="Times New Roman"/>
          <w:noProof/>
          <w:lang w:val="sk-SK"/>
        </w:rPr>
        <w:t>účinnosti poskytova</w:t>
      </w:r>
      <w:r w:rsidRPr="00083739">
        <w:rPr>
          <w:rFonts w:cs="Times New Roman"/>
          <w:noProof/>
          <w:lang w:val="sk-SK"/>
        </w:rPr>
        <w:t>ných zdravotníckych služieb. Očakáva sa, že toto opatrenie výrazne nenaruší environmentálne ciele</w:t>
      </w:r>
      <w:r w:rsidR="00083739" w:rsidRPr="00083739">
        <w:rPr>
          <w:rFonts w:cs="Times New Roman"/>
          <w:noProof/>
          <w:lang w:val="sk-SK"/>
        </w:rPr>
        <w:t xml:space="preserve"> v </w:t>
      </w:r>
      <w:r w:rsidRPr="00083739">
        <w:rPr>
          <w:rFonts w:cs="Times New Roman"/>
          <w:noProof/>
          <w:lang w:val="sk-SK"/>
        </w:rPr>
        <w:t>zmysle článku 17 nariadenia (EÚ) 2020/852, pričom sa zohľadní opis opatrenia</w:t>
      </w:r>
      <w:r w:rsidR="00083739" w:rsidRPr="00083739">
        <w:rPr>
          <w:rFonts w:cs="Times New Roman"/>
          <w:noProof/>
          <w:lang w:val="sk-SK"/>
        </w:rPr>
        <w:t xml:space="preserve"> a </w:t>
      </w:r>
      <w:r w:rsidRPr="00083739">
        <w:rPr>
          <w:rFonts w:cs="Times New Roman"/>
          <w:noProof/>
          <w:lang w:val="sk-SK"/>
        </w:rPr>
        <w:t>zmierňujúce kroky stanovené</w:t>
      </w:r>
      <w:r w:rsidR="00083739" w:rsidRPr="00083739">
        <w:rPr>
          <w:rFonts w:cs="Times New Roman"/>
          <w:noProof/>
          <w:lang w:val="sk-SK"/>
        </w:rPr>
        <w:t xml:space="preserve"> v </w:t>
      </w:r>
      <w:r w:rsidRPr="00083739">
        <w:rPr>
          <w:rFonts w:cs="Times New Roman"/>
          <w:noProof/>
          <w:lang w:val="sk-SK"/>
        </w:rPr>
        <w:t>pláne podpory obnovy</w:t>
      </w:r>
      <w:r w:rsidR="00083739" w:rsidRPr="00083739">
        <w:rPr>
          <w:rFonts w:cs="Times New Roman"/>
          <w:noProof/>
          <w:lang w:val="sk-SK"/>
        </w:rPr>
        <w:t xml:space="preserve"> a </w:t>
      </w:r>
      <w:r w:rsidRPr="00083739">
        <w:rPr>
          <w:rFonts w:cs="Times New Roman"/>
          <w:noProof/>
          <w:lang w:val="sk-SK"/>
        </w:rPr>
        <w:t>odolnosti</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tec</w:t>
      </w:r>
      <w:r w:rsidRPr="00083739">
        <w:rPr>
          <w:rFonts w:cs="Times New Roman"/>
          <w:noProof/>
          <w:lang w:val="sk-SK"/>
        </w:rPr>
        <w:t>hnickým usmernením „výrazne nenarušiť“ (2021/C58/01). Konkrétne sa</w:t>
      </w:r>
      <w:r w:rsidR="00083739" w:rsidRPr="00083739">
        <w:rPr>
          <w:rFonts w:cs="Times New Roman"/>
          <w:noProof/>
          <w:lang w:val="sk-SK"/>
        </w:rPr>
        <w:t xml:space="preserve"> v </w:t>
      </w:r>
      <w:r w:rsidRPr="00083739">
        <w:rPr>
          <w:rFonts w:cs="Times New Roman"/>
          <w:noProof/>
          <w:lang w:val="sk-SK"/>
        </w:rPr>
        <w:t>tomto opatrení vyžaduje, aby hospodárske subjekty vykonávajúce stavebné práce zabezpečili, že najmenej 70</w:t>
      </w:r>
      <w:r w:rsidR="00083739" w:rsidRPr="00083739">
        <w:rPr>
          <w:rFonts w:cs="Times New Roman"/>
          <w:noProof/>
          <w:lang w:val="sk-SK"/>
        </w:rPr>
        <w:t> %</w:t>
      </w:r>
      <w:r w:rsidRPr="00083739">
        <w:rPr>
          <w:rFonts w:cs="Times New Roman"/>
          <w:noProof/>
          <w:lang w:val="sk-SK"/>
        </w:rPr>
        <w:t xml:space="preserve"> (hmotnosti) stavebného</w:t>
      </w:r>
      <w:r w:rsidR="00083739" w:rsidRPr="00083739">
        <w:rPr>
          <w:rFonts w:cs="Times New Roman"/>
          <w:noProof/>
          <w:lang w:val="sk-SK"/>
        </w:rPr>
        <w:t xml:space="preserve"> a </w:t>
      </w:r>
      <w:r w:rsidRPr="00083739">
        <w:rPr>
          <w:rFonts w:cs="Times New Roman"/>
          <w:noProof/>
          <w:lang w:val="sk-SK"/>
        </w:rPr>
        <w:t>demolačného odpadu, ktorý nie je nebezpečný [okrem pri</w:t>
      </w:r>
      <w:r w:rsidRPr="00083739">
        <w:rPr>
          <w:rFonts w:cs="Times New Roman"/>
          <w:noProof/>
          <w:lang w:val="sk-SK"/>
        </w:rPr>
        <w:t>rodzene sa vyskytujúceho materiálu uvedeného</w:t>
      </w:r>
      <w:r w:rsidR="00083739" w:rsidRPr="00083739">
        <w:rPr>
          <w:rFonts w:cs="Times New Roman"/>
          <w:noProof/>
          <w:lang w:val="sk-SK"/>
        </w:rPr>
        <w:t xml:space="preserve"> v </w:t>
      </w:r>
      <w:r w:rsidRPr="00083739">
        <w:rPr>
          <w:rFonts w:cs="Times New Roman"/>
          <w:noProof/>
          <w:lang w:val="sk-SK"/>
        </w:rPr>
        <w:t>kategórii 17 05 04</w:t>
      </w:r>
      <w:r w:rsidR="00083739" w:rsidRPr="00083739">
        <w:rPr>
          <w:rFonts w:cs="Times New Roman"/>
          <w:noProof/>
          <w:lang w:val="sk-SK"/>
        </w:rPr>
        <w:t xml:space="preserve"> v </w:t>
      </w:r>
      <w:r w:rsidRPr="00083739">
        <w:rPr>
          <w:rFonts w:cs="Times New Roman"/>
          <w:noProof/>
          <w:lang w:val="sk-SK"/>
        </w:rPr>
        <w:t>európskom zozname odpadov vytvorenom rozhodnutím 2000/532/ES</w:t>
      </w:r>
      <w:r w:rsidR="00083739" w:rsidRPr="00083739">
        <w:rPr>
          <w:rFonts w:cs="Times New Roman"/>
          <w:noProof/>
          <w:lang w:val="sk-SK"/>
        </w:rPr>
        <w:t xml:space="preserve"> z </w:t>
      </w:r>
      <w:r w:rsidRPr="00083739">
        <w:rPr>
          <w:rFonts w:cs="Times New Roman"/>
          <w:noProof/>
          <w:lang w:val="sk-SK"/>
        </w:rPr>
        <w:t>3</w:t>
      </w:r>
      <w:r w:rsidR="00083739" w:rsidRPr="00083739">
        <w:rPr>
          <w:rFonts w:cs="Times New Roman"/>
          <w:noProof/>
          <w:lang w:val="sk-SK"/>
        </w:rPr>
        <w:t>. mája</w:t>
      </w:r>
      <w:r w:rsidRPr="00083739">
        <w:rPr>
          <w:rFonts w:cs="Times New Roman"/>
          <w:noProof/>
          <w:lang w:val="sk-SK"/>
        </w:rPr>
        <w:t xml:space="preserve"> 2000, ktorým sa nahrádza rozhodnutie 94/3/ES, ktorým sa zavádza zoznam odpadov podľa článku 1 písm. a) smernice Rady </w:t>
      </w:r>
      <w:r w:rsidRPr="00083739">
        <w:rPr>
          <w:rFonts w:cs="Times New Roman"/>
          <w:noProof/>
          <w:lang w:val="sk-SK"/>
        </w:rPr>
        <w:t>75/442/EHS</w:t>
      </w:r>
      <w:r w:rsidR="00083739" w:rsidRPr="00083739">
        <w:rPr>
          <w:rFonts w:cs="Times New Roman"/>
          <w:noProof/>
          <w:lang w:val="sk-SK"/>
        </w:rPr>
        <w:t xml:space="preserve"> o </w:t>
      </w:r>
      <w:r w:rsidRPr="00083739">
        <w:rPr>
          <w:rFonts w:cs="Times New Roman"/>
          <w:noProof/>
          <w:lang w:val="sk-SK"/>
        </w:rPr>
        <w:t>odpade</w:t>
      </w:r>
      <w:r w:rsidR="00083739" w:rsidRPr="00083739">
        <w:rPr>
          <w:rFonts w:cs="Times New Roman"/>
          <w:noProof/>
          <w:lang w:val="sk-SK"/>
        </w:rPr>
        <w:t xml:space="preserve"> a </w:t>
      </w:r>
      <w:r w:rsidRPr="00083739">
        <w:rPr>
          <w:rFonts w:cs="Times New Roman"/>
          <w:noProof/>
          <w:lang w:val="sk-SK"/>
        </w:rPr>
        <w:t>rozhodnutia Rady 94/904/ES, ktorým sa vydáva zoznam nebezpečných odpadov podľa článku 1 ods. 4 smernice Rady 91/689/EHS</w:t>
      </w:r>
      <w:r w:rsidR="00083739" w:rsidRPr="00083739">
        <w:rPr>
          <w:rFonts w:cs="Times New Roman"/>
          <w:noProof/>
          <w:lang w:val="sk-SK"/>
        </w:rPr>
        <w:t xml:space="preserve"> o </w:t>
      </w:r>
      <w:r w:rsidRPr="00083739">
        <w:rPr>
          <w:rFonts w:cs="Times New Roman"/>
          <w:noProof/>
          <w:lang w:val="sk-SK"/>
        </w:rPr>
        <w:t>nebezpečných odpadoch [oznámeným pod číslom C(2000) 1147], vytvoreného na stavenisku sa pripraví na opätovné pou</w:t>
      </w:r>
      <w:r w:rsidRPr="00083739">
        <w:rPr>
          <w:rFonts w:cs="Times New Roman"/>
          <w:noProof/>
          <w:lang w:val="sk-SK"/>
        </w:rPr>
        <w:t>žitie, recykláciu</w:t>
      </w:r>
      <w:r w:rsidR="00083739" w:rsidRPr="00083739">
        <w:rPr>
          <w:rFonts w:cs="Times New Roman"/>
          <w:noProof/>
          <w:lang w:val="sk-SK"/>
        </w:rPr>
        <w:t xml:space="preserve"> a </w:t>
      </w:r>
      <w:r w:rsidRPr="00083739">
        <w:rPr>
          <w:rFonts w:cs="Times New Roman"/>
          <w:noProof/>
          <w:lang w:val="sk-SK"/>
        </w:rPr>
        <w:t>iné materiálové zhodnocovanie vrátane spätného zasypávania</w:t>
      </w:r>
      <w:r w:rsidR="00083739" w:rsidRPr="00083739">
        <w:rPr>
          <w:rFonts w:cs="Times New Roman"/>
          <w:noProof/>
          <w:lang w:val="sk-SK"/>
        </w:rPr>
        <w:t xml:space="preserve"> s </w:t>
      </w:r>
      <w:r w:rsidRPr="00083739">
        <w:rPr>
          <w:rFonts w:cs="Times New Roman"/>
          <w:noProof/>
          <w:lang w:val="sk-SK"/>
        </w:rPr>
        <w:t>použitím odpadu ako náhrady iných materiálov,</w:t>
      </w:r>
      <w:r w:rsidR="00083739" w:rsidRPr="00083739">
        <w:rPr>
          <w:rFonts w:cs="Times New Roman"/>
          <w:noProof/>
          <w:lang w:val="sk-SK"/>
        </w:rPr>
        <w:t xml:space="preserve"> a </w:t>
      </w:r>
      <w:r w:rsidRPr="00083739">
        <w:rPr>
          <w:rFonts w:cs="Times New Roman"/>
          <w:noProof/>
          <w:lang w:val="sk-SK"/>
        </w:rPr>
        <w:t>to</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hierarchiou odpadového hospodárstva</w:t>
      </w:r>
      <w:r w:rsidR="00083739" w:rsidRPr="00083739">
        <w:rPr>
          <w:rFonts w:cs="Times New Roman"/>
          <w:noProof/>
          <w:lang w:val="sk-SK"/>
        </w:rPr>
        <w:t xml:space="preserve"> a </w:t>
      </w:r>
      <w:r w:rsidRPr="00083739">
        <w:rPr>
          <w:rFonts w:cs="Times New Roman"/>
          <w:noProof/>
          <w:lang w:val="sk-SK"/>
        </w:rPr>
        <w:t>protokolom EÚ</w:t>
      </w:r>
      <w:r w:rsidR="00083739" w:rsidRPr="00083739">
        <w:rPr>
          <w:rFonts w:cs="Times New Roman"/>
          <w:noProof/>
          <w:lang w:val="sk-SK"/>
        </w:rPr>
        <w:t xml:space="preserve"> o </w:t>
      </w:r>
      <w:r w:rsidRPr="00083739">
        <w:rPr>
          <w:rFonts w:cs="Times New Roman"/>
          <w:noProof/>
          <w:lang w:val="sk-SK"/>
        </w:rPr>
        <w:t>nakladaní so stavebným odpadom</w:t>
      </w:r>
      <w:r w:rsidR="00083739" w:rsidRPr="00083739">
        <w:rPr>
          <w:rFonts w:cs="Times New Roman"/>
          <w:noProof/>
          <w:lang w:val="sk-SK"/>
        </w:rPr>
        <w:t xml:space="preserve"> a </w:t>
      </w:r>
      <w:r w:rsidRPr="00083739">
        <w:rPr>
          <w:rFonts w:cs="Times New Roman"/>
          <w:noProof/>
          <w:lang w:val="sk-SK"/>
        </w:rPr>
        <w:t>odpadom</w:t>
      </w:r>
      <w:r w:rsidR="00083739" w:rsidRPr="00083739">
        <w:rPr>
          <w:rFonts w:cs="Times New Roman"/>
          <w:noProof/>
          <w:lang w:val="sk-SK"/>
        </w:rPr>
        <w:t xml:space="preserve"> z </w:t>
      </w:r>
      <w:r w:rsidRPr="00083739">
        <w:rPr>
          <w:rFonts w:cs="Times New Roman"/>
          <w:noProof/>
          <w:lang w:val="sk-SK"/>
        </w:rPr>
        <w:t xml:space="preserve">demolácie. </w:t>
      </w:r>
      <w:r w:rsidRPr="00083739">
        <w:rPr>
          <w:rFonts w:cs="Times New Roman"/>
          <w:noProof/>
          <w:lang w:val="sk-SK"/>
        </w:rPr>
        <w:t>Realizácia investície sa ukončí do 31</w:t>
      </w:r>
      <w:r w:rsidR="00083739" w:rsidRPr="00083739">
        <w:rPr>
          <w:rFonts w:cs="Times New Roman"/>
          <w:noProof/>
          <w:lang w:val="sk-SK"/>
        </w:rPr>
        <w:t>. decembra</w:t>
      </w:r>
      <w:r w:rsidRPr="00083739">
        <w:rPr>
          <w:rFonts w:cs="Times New Roman"/>
          <w:noProof/>
          <w:lang w:val="sk-SK"/>
        </w:rPr>
        <w:t xml:space="preserve"> 2025.</w:t>
      </w:r>
    </w:p>
    <w:p w14:paraId="40E0CECA" w14:textId="7777777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Digitálna transformácia zdravia (DigHealth) (ID opatrenia: 16752)</w:t>
      </w:r>
    </w:p>
    <w:p w14:paraId="0B69FC6B" w14:textId="77CA252F" w:rsidR="002D49B0" w:rsidRPr="00083739" w:rsidRDefault="00BF4125">
      <w:pPr>
        <w:pStyle w:val="P68B1DB1-Normal5"/>
        <w:spacing w:before="120" w:after="120" w:line="240" w:lineRule="auto"/>
        <w:jc w:val="both"/>
        <w:rPr>
          <w:rFonts w:cs="Times New Roman"/>
          <w:noProof/>
          <w:lang w:val="sk-SK"/>
        </w:rPr>
      </w:pPr>
      <w:r w:rsidRPr="00083739">
        <w:rPr>
          <w:rFonts w:cs="Times New Roman"/>
          <w:noProof/>
          <w:lang w:val="sk-SK"/>
        </w:rPr>
        <w:t>Cieľom investície je optimalizovať kvalitu zdravotnej starostlivosti</w:t>
      </w:r>
      <w:r w:rsidR="00083739" w:rsidRPr="00083739">
        <w:rPr>
          <w:rFonts w:cs="Times New Roman"/>
          <w:noProof/>
          <w:lang w:val="sk-SK"/>
        </w:rPr>
        <w:t xml:space="preserve"> a </w:t>
      </w:r>
      <w:r w:rsidRPr="00083739">
        <w:rPr>
          <w:rFonts w:cs="Times New Roman"/>
          <w:noProof/>
          <w:lang w:val="sk-SK"/>
        </w:rPr>
        <w:t>bezpečnosť pacientov pomocou nových inovačných služie</w:t>
      </w:r>
      <w:r w:rsidRPr="00083739">
        <w:rPr>
          <w:rFonts w:cs="Times New Roman"/>
          <w:noProof/>
          <w:lang w:val="sk-SK"/>
        </w:rPr>
        <w:t>b</w:t>
      </w:r>
      <w:r w:rsidR="00083739" w:rsidRPr="00083739">
        <w:rPr>
          <w:rFonts w:cs="Times New Roman"/>
          <w:noProof/>
          <w:lang w:val="sk-SK"/>
        </w:rPr>
        <w:t xml:space="preserve"> a </w:t>
      </w:r>
      <w:r w:rsidRPr="00083739">
        <w:rPr>
          <w:rFonts w:cs="Times New Roman"/>
          <w:noProof/>
          <w:lang w:val="sk-SK"/>
        </w:rPr>
        <w:t>zároveň pomôcť kontrolovať výdavky na zdravotnú starostlivosť odrádzaním od nadmerného používania výrobkov, liekov, zlepšením riadenia nemocníc, skúseností pacientov, postupov verejného obstarávania</w:t>
      </w:r>
      <w:r w:rsidR="00083739" w:rsidRPr="00083739">
        <w:rPr>
          <w:rFonts w:cs="Times New Roman"/>
          <w:noProof/>
          <w:lang w:val="sk-SK"/>
        </w:rPr>
        <w:t xml:space="preserve"> a </w:t>
      </w:r>
      <w:r w:rsidRPr="00083739">
        <w:rPr>
          <w:rFonts w:cs="Times New Roman"/>
          <w:noProof/>
          <w:lang w:val="sk-SK"/>
        </w:rPr>
        <w:t>zlepšenia systémových funkcií, interoperability</w:t>
      </w:r>
      <w:r w:rsidR="00083739" w:rsidRPr="00083739">
        <w:rPr>
          <w:rFonts w:cs="Times New Roman"/>
          <w:noProof/>
          <w:lang w:val="sk-SK"/>
        </w:rPr>
        <w:t xml:space="preserve"> a </w:t>
      </w:r>
      <w:r w:rsidRPr="00083739">
        <w:rPr>
          <w:rFonts w:cs="Times New Roman"/>
          <w:noProof/>
          <w:lang w:val="sk-SK"/>
        </w:rPr>
        <w:t>d</w:t>
      </w:r>
      <w:r w:rsidRPr="00083739">
        <w:rPr>
          <w:rFonts w:cs="Times New Roman"/>
          <w:noProof/>
          <w:lang w:val="sk-SK"/>
        </w:rPr>
        <w:t>igitálnych kapacít EOPYY (Národná organizácia pre poskytovanie služieb zdravotnej starostlivosti). Investícia sa vzťahuje na realizáciu ôsmich čiastkových projektov: dokončenie</w:t>
      </w:r>
      <w:r w:rsidR="00083739" w:rsidRPr="00083739">
        <w:rPr>
          <w:rFonts w:cs="Times New Roman"/>
          <w:noProof/>
          <w:lang w:val="sk-SK"/>
        </w:rPr>
        <w:t xml:space="preserve"> a </w:t>
      </w:r>
      <w:r w:rsidRPr="00083739">
        <w:rPr>
          <w:rFonts w:cs="Times New Roman"/>
          <w:noProof/>
          <w:lang w:val="sk-SK"/>
        </w:rPr>
        <w:t>uvedenie do prevádzky národného digitálneho zdravotného záznamu, zavedenie pr</w:t>
      </w:r>
      <w:r w:rsidRPr="00083739">
        <w:rPr>
          <w:rFonts w:cs="Times New Roman"/>
          <w:noProof/>
          <w:lang w:val="sk-SK"/>
        </w:rPr>
        <w:t>ogramu digitálnej transformácie na liečbu rakoviny, rozšírenie kapacity národnej siete telemedicíny (EDIT), zlepšenie digitálnej pripravenosti nemocníc</w:t>
      </w:r>
      <w:r w:rsidR="00083739" w:rsidRPr="00083739">
        <w:rPr>
          <w:rFonts w:cs="Times New Roman"/>
          <w:noProof/>
          <w:lang w:val="sk-SK"/>
        </w:rPr>
        <w:t xml:space="preserve"> a </w:t>
      </w:r>
      <w:r w:rsidRPr="00083739">
        <w:rPr>
          <w:rFonts w:cs="Times New Roman"/>
          <w:noProof/>
          <w:lang w:val="sk-SK"/>
        </w:rPr>
        <w:t>digitálna transformácia EOPYY, služby na rozšírenie vytvárania</w:t>
      </w:r>
      <w:r w:rsidR="00083739" w:rsidRPr="00083739">
        <w:rPr>
          <w:rFonts w:cs="Times New Roman"/>
          <w:noProof/>
          <w:lang w:val="sk-SK"/>
        </w:rPr>
        <w:t xml:space="preserve"> a </w:t>
      </w:r>
      <w:r w:rsidRPr="00083739">
        <w:rPr>
          <w:rFonts w:cs="Times New Roman"/>
          <w:noProof/>
          <w:lang w:val="sk-SK"/>
        </w:rPr>
        <w:t>riadenia termínov</w:t>
      </w:r>
      <w:r w:rsidR="00083739" w:rsidRPr="00083739">
        <w:rPr>
          <w:rFonts w:cs="Times New Roman"/>
          <w:noProof/>
          <w:lang w:val="sk-SK"/>
        </w:rPr>
        <w:t xml:space="preserve"> v </w:t>
      </w:r>
      <w:r w:rsidRPr="00083739">
        <w:rPr>
          <w:rFonts w:cs="Times New Roman"/>
          <w:noProof/>
          <w:lang w:val="sk-SK"/>
        </w:rPr>
        <w:t>rámci národného p</w:t>
      </w:r>
      <w:r w:rsidRPr="00083739">
        <w:rPr>
          <w:rFonts w:cs="Times New Roman"/>
          <w:noProof/>
          <w:lang w:val="sk-SK"/>
        </w:rPr>
        <w:t>rogramu očkovania proti ochoreniu COVID-19, modernizácia infraštruktúry elektronického systému predpisovania liekov</w:t>
      </w:r>
      <w:r w:rsidR="00083739" w:rsidRPr="00083739">
        <w:rPr>
          <w:rFonts w:cs="Times New Roman"/>
          <w:noProof/>
          <w:lang w:val="sk-SK"/>
        </w:rPr>
        <w:t xml:space="preserve"> a </w:t>
      </w:r>
      <w:r w:rsidRPr="00083739">
        <w:rPr>
          <w:rFonts w:cs="Times New Roman"/>
          <w:noProof/>
          <w:lang w:val="sk-SK"/>
        </w:rPr>
        <w:t>služby vývoja</w:t>
      </w:r>
      <w:r w:rsidR="00083739" w:rsidRPr="00083739">
        <w:rPr>
          <w:rFonts w:cs="Times New Roman"/>
          <w:noProof/>
          <w:lang w:val="sk-SK"/>
        </w:rPr>
        <w:t xml:space="preserve"> a </w:t>
      </w:r>
      <w:r w:rsidRPr="00083739">
        <w:rPr>
          <w:rFonts w:cs="Times New Roman"/>
          <w:noProof/>
          <w:lang w:val="sk-SK"/>
        </w:rPr>
        <w:t>výroby informačných systémov IDIKA SA. Realizácia investície sa ukončí do 31</w:t>
      </w:r>
      <w:r w:rsidR="00083739" w:rsidRPr="00083739">
        <w:rPr>
          <w:rFonts w:cs="Times New Roman"/>
          <w:noProof/>
          <w:lang w:val="sk-SK"/>
        </w:rPr>
        <w:t>. decembra</w:t>
      </w:r>
      <w:r w:rsidRPr="00083739">
        <w:rPr>
          <w:rFonts w:cs="Times New Roman"/>
          <w:noProof/>
          <w:lang w:val="sk-SK"/>
        </w:rPr>
        <w:t xml:space="preserve"> 2025.</w:t>
      </w:r>
    </w:p>
    <w:p w14:paraId="7C0550F6" w14:textId="32F9D93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Zriadenie rádioterapeutického centra</w:t>
      </w:r>
      <w:r w:rsidR="00083739" w:rsidRPr="00083739">
        <w:rPr>
          <w:rFonts w:cs="Times New Roman"/>
          <w:noProof/>
          <w:lang w:val="sk-SK"/>
        </w:rPr>
        <w:t xml:space="preserve"> v </w:t>
      </w:r>
      <w:r w:rsidRPr="00083739">
        <w:rPr>
          <w:rFonts w:cs="Times New Roman"/>
          <w:noProof/>
          <w:lang w:val="sk-SK"/>
        </w:rPr>
        <w:t>Aténskej nemocnici</w:t>
      </w:r>
      <w:r w:rsidR="00083739" w:rsidRPr="00083739">
        <w:rPr>
          <w:rFonts w:cs="Times New Roman"/>
          <w:noProof/>
          <w:lang w:val="sk-SK"/>
        </w:rPr>
        <w:t xml:space="preserve"> s </w:t>
      </w:r>
      <w:r w:rsidRPr="00083739">
        <w:rPr>
          <w:rFonts w:cs="Times New Roman"/>
          <w:noProof/>
          <w:lang w:val="sk-SK"/>
        </w:rPr>
        <w:t>nákazlivými chorobami „Sotiria“ (ID opatrenia: 16757)</w:t>
      </w:r>
    </w:p>
    <w:p w14:paraId="72FFE121" w14:textId="693F4363" w:rsidR="002D49B0" w:rsidRPr="00083739" w:rsidRDefault="00BF4125">
      <w:pPr>
        <w:pStyle w:val="P68B1DB1-Normal5"/>
        <w:spacing w:before="120" w:after="120" w:line="240" w:lineRule="auto"/>
        <w:jc w:val="both"/>
        <w:rPr>
          <w:rFonts w:cs="Times New Roman"/>
          <w:noProof/>
          <w:lang w:val="sk-SK"/>
        </w:rPr>
      </w:pPr>
      <w:r w:rsidRPr="00083739">
        <w:rPr>
          <w:rFonts w:cs="Times New Roman"/>
          <w:noProof/>
          <w:lang w:val="sk-SK"/>
        </w:rPr>
        <w:t>Zriadenie</w:t>
      </w:r>
      <w:r w:rsidR="00083739" w:rsidRPr="00083739">
        <w:rPr>
          <w:rFonts w:cs="Times New Roman"/>
          <w:noProof/>
          <w:lang w:val="sk-SK"/>
        </w:rPr>
        <w:t xml:space="preserve"> a </w:t>
      </w:r>
      <w:r w:rsidRPr="00083739">
        <w:rPr>
          <w:rFonts w:cs="Times New Roman"/>
          <w:noProof/>
          <w:lang w:val="sk-SK"/>
        </w:rPr>
        <w:t>výstavba rádioterapeutického centra</w:t>
      </w:r>
      <w:r w:rsidR="00083739" w:rsidRPr="00083739">
        <w:rPr>
          <w:rFonts w:cs="Times New Roman"/>
          <w:noProof/>
          <w:lang w:val="sk-SK"/>
        </w:rPr>
        <w:t xml:space="preserve"> v </w:t>
      </w:r>
      <w:r w:rsidRPr="00083739">
        <w:rPr>
          <w:rFonts w:cs="Times New Roman"/>
          <w:noProof/>
          <w:lang w:val="sk-SK"/>
        </w:rPr>
        <w:t>nemocnici Sotiria pomôže uspokojiť potreby onkologických pacientov</w:t>
      </w:r>
      <w:r w:rsidR="00083739" w:rsidRPr="00083739">
        <w:rPr>
          <w:rFonts w:cs="Times New Roman"/>
          <w:noProof/>
          <w:lang w:val="sk-SK"/>
        </w:rPr>
        <w:t xml:space="preserve"> a </w:t>
      </w:r>
      <w:r w:rsidRPr="00083739">
        <w:rPr>
          <w:rFonts w:cs="Times New Roman"/>
          <w:noProof/>
          <w:lang w:val="sk-SK"/>
        </w:rPr>
        <w:t>zvýšený dopyt po rádio</w:t>
      </w:r>
      <w:r w:rsidRPr="00083739">
        <w:rPr>
          <w:rFonts w:cs="Times New Roman"/>
          <w:noProof/>
          <w:lang w:val="sk-SK"/>
        </w:rPr>
        <w:t>terapeutických oddeleniach</w:t>
      </w:r>
      <w:r w:rsidR="00083739" w:rsidRPr="00083739">
        <w:rPr>
          <w:rFonts w:cs="Times New Roman"/>
          <w:noProof/>
          <w:lang w:val="sk-SK"/>
        </w:rPr>
        <w:t xml:space="preserve"> v </w:t>
      </w:r>
      <w:r w:rsidRPr="00083739">
        <w:rPr>
          <w:rFonts w:cs="Times New Roman"/>
          <w:noProof/>
          <w:lang w:val="sk-SK"/>
        </w:rPr>
        <w:t>krajine. To zahŕňa vytvorenie nového oddelenia rádioterapie, novú infraštruktúru budov na umiestnenie ambulantného oddelenia, centier klinickej excelentnosti</w:t>
      </w:r>
      <w:r w:rsidR="00083739" w:rsidRPr="00083739">
        <w:rPr>
          <w:rFonts w:cs="Times New Roman"/>
          <w:noProof/>
          <w:lang w:val="sk-SK"/>
        </w:rPr>
        <w:t xml:space="preserve"> a </w:t>
      </w:r>
      <w:r w:rsidRPr="00083739">
        <w:rPr>
          <w:rFonts w:cs="Times New Roman"/>
          <w:noProof/>
          <w:lang w:val="sk-SK"/>
        </w:rPr>
        <w:t xml:space="preserve">špecializovaných jednotiek starostlivosti, prepojenie existujúcich </w:t>
      </w:r>
      <w:r w:rsidRPr="00083739">
        <w:rPr>
          <w:rFonts w:cs="Times New Roman"/>
          <w:noProof/>
          <w:lang w:val="sk-SK"/>
        </w:rPr>
        <w:t>budov (Mega Laikon</w:t>
      </w:r>
      <w:r w:rsidR="00083739" w:rsidRPr="00083739">
        <w:rPr>
          <w:rFonts w:cs="Times New Roman"/>
          <w:noProof/>
          <w:lang w:val="sk-SK"/>
        </w:rPr>
        <w:t xml:space="preserve"> a </w:t>
      </w:r>
      <w:r w:rsidRPr="00083739">
        <w:rPr>
          <w:rFonts w:cs="Times New Roman"/>
          <w:noProof/>
          <w:lang w:val="sk-SK"/>
        </w:rPr>
        <w:t>300 Andron);  renovácia kliník</w:t>
      </w:r>
      <w:r w:rsidR="00083739" w:rsidRPr="00083739">
        <w:rPr>
          <w:rFonts w:cs="Times New Roman"/>
          <w:noProof/>
          <w:lang w:val="sk-SK"/>
        </w:rPr>
        <w:t xml:space="preserve"> a </w:t>
      </w:r>
      <w:r w:rsidRPr="00083739">
        <w:rPr>
          <w:rFonts w:cs="Times New Roman"/>
          <w:noProof/>
          <w:lang w:val="sk-SK"/>
        </w:rPr>
        <w:t>nových laboratórií vrátane infraštruktúry</w:t>
      </w:r>
      <w:r w:rsidR="00083739" w:rsidRPr="00083739">
        <w:rPr>
          <w:rFonts w:cs="Times New Roman"/>
          <w:noProof/>
          <w:lang w:val="sk-SK"/>
        </w:rPr>
        <w:t xml:space="preserve"> a </w:t>
      </w:r>
      <w:r w:rsidRPr="00083739">
        <w:rPr>
          <w:rFonts w:cs="Times New Roman"/>
          <w:noProof/>
          <w:lang w:val="sk-SK"/>
        </w:rPr>
        <w:t>vybavenia. Očakáva sa, že toto opatrenie výrazne nenaruší environmentálne ciele</w:t>
      </w:r>
      <w:r w:rsidR="00083739" w:rsidRPr="00083739">
        <w:rPr>
          <w:rFonts w:cs="Times New Roman"/>
          <w:noProof/>
          <w:lang w:val="sk-SK"/>
        </w:rPr>
        <w:t xml:space="preserve"> v </w:t>
      </w:r>
      <w:r w:rsidRPr="00083739">
        <w:rPr>
          <w:rFonts w:cs="Times New Roman"/>
          <w:noProof/>
          <w:lang w:val="sk-SK"/>
        </w:rPr>
        <w:t>zmysle článku 17 nariadenia (EÚ) 2020/852, pričom sa zohľadní opis opatrenia</w:t>
      </w:r>
      <w:r w:rsidR="00083739" w:rsidRPr="00083739">
        <w:rPr>
          <w:rFonts w:cs="Times New Roman"/>
          <w:noProof/>
          <w:lang w:val="sk-SK"/>
        </w:rPr>
        <w:t xml:space="preserve"> a </w:t>
      </w:r>
      <w:r w:rsidRPr="00083739">
        <w:rPr>
          <w:rFonts w:cs="Times New Roman"/>
          <w:noProof/>
          <w:lang w:val="sk-SK"/>
        </w:rPr>
        <w:t>zmierňujúce kroky stanovené</w:t>
      </w:r>
      <w:r w:rsidR="00083739" w:rsidRPr="00083739">
        <w:rPr>
          <w:rFonts w:cs="Times New Roman"/>
          <w:noProof/>
          <w:lang w:val="sk-SK"/>
        </w:rPr>
        <w:t xml:space="preserve"> v </w:t>
      </w:r>
      <w:r w:rsidRPr="00083739">
        <w:rPr>
          <w:rFonts w:cs="Times New Roman"/>
          <w:noProof/>
          <w:lang w:val="sk-SK"/>
        </w:rPr>
        <w:t>pláne podpory obnovy</w:t>
      </w:r>
      <w:r w:rsidR="00083739" w:rsidRPr="00083739">
        <w:rPr>
          <w:rFonts w:cs="Times New Roman"/>
          <w:noProof/>
          <w:lang w:val="sk-SK"/>
        </w:rPr>
        <w:t xml:space="preserve"> a </w:t>
      </w:r>
      <w:r w:rsidRPr="00083739">
        <w:rPr>
          <w:rFonts w:cs="Times New Roman"/>
          <w:noProof/>
          <w:lang w:val="sk-SK"/>
        </w:rPr>
        <w:t>odolnosti</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technickým usmernením „výrazne nenarušiť“ (2021/C58/01). Konkrétne sa</w:t>
      </w:r>
      <w:r w:rsidR="00083739" w:rsidRPr="00083739">
        <w:rPr>
          <w:rFonts w:cs="Times New Roman"/>
          <w:noProof/>
          <w:lang w:val="sk-SK"/>
        </w:rPr>
        <w:t xml:space="preserve"> v </w:t>
      </w:r>
      <w:r w:rsidRPr="00083739">
        <w:rPr>
          <w:rFonts w:cs="Times New Roman"/>
          <w:noProof/>
          <w:lang w:val="sk-SK"/>
        </w:rPr>
        <w:t>tomto opatrení vyžaduje, aby hospodárske subjekty vykonávajúce stavebné práce zabezpečili, že najmenej 70</w:t>
      </w:r>
      <w:r w:rsidR="00083739" w:rsidRPr="00083739">
        <w:rPr>
          <w:rFonts w:cs="Times New Roman"/>
          <w:noProof/>
          <w:lang w:val="sk-SK"/>
        </w:rPr>
        <w:t> %</w:t>
      </w:r>
      <w:r w:rsidRPr="00083739">
        <w:rPr>
          <w:rFonts w:cs="Times New Roman"/>
          <w:noProof/>
          <w:lang w:val="sk-SK"/>
        </w:rPr>
        <w:t xml:space="preserve"> (hmotnosti) stavebného</w:t>
      </w:r>
      <w:r w:rsidR="00083739" w:rsidRPr="00083739">
        <w:rPr>
          <w:rFonts w:cs="Times New Roman"/>
          <w:noProof/>
          <w:lang w:val="sk-SK"/>
        </w:rPr>
        <w:t xml:space="preserve"> a </w:t>
      </w:r>
      <w:r w:rsidRPr="00083739">
        <w:rPr>
          <w:rFonts w:cs="Times New Roman"/>
          <w:noProof/>
          <w:lang w:val="sk-SK"/>
        </w:rPr>
        <w:t>demolačného odpadu, ktorý nie je nebezpečný [okrem prirodzene sa vyskytujúceho materiálu uvedeného</w:t>
      </w:r>
      <w:r w:rsidR="00083739" w:rsidRPr="00083739">
        <w:rPr>
          <w:rFonts w:cs="Times New Roman"/>
          <w:noProof/>
          <w:lang w:val="sk-SK"/>
        </w:rPr>
        <w:t xml:space="preserve"> v </w:t>
      </w:r>
      <w:r w:rsidRPr="00083739">
        <w:rPr>
          <w:rFonts w:cs="Times New Roman"/>
          <w:noProof/>
          <w:lang w:val="sk-SK"/>
        </w:rPr>
        <w:t>kategórii 17 05 04</w:t>
      </w:r>
      <w:r w:rsidR="00083739" w:rsidRPr="00083739">
        <w:rPr>
          <w:rFonts w:cs="Times New Roman"/>
          <w:noProof/>
          <w:lang w:val="sk-SK"/>
        </w:rPr>
        <w:t xml:space="preserve"> v </w:t>
      </w:r>
      <w:r w:rsidRPr="00083739">
        <w:rPr>
          <w:rFonts w:cs="Times New Roman"/>
          <w:noProof/>
          <w:lang w:val="sk-SK"/>
        </w:rPr>
        <w:t>európskom zozname odpadov vytvorenom rozhodnutím 2000/532/ES</w:t>
      </w:r>
      <w:r w:rsidR="00083739" w:rsidRPr="00083739">
        <w:rPr>
          <w:rFonts w:cs="Times New Roman"/>
          <w:noProof/>
          <w:lang w:val="sk-SK"/>
        </w:rPr>
        <w:t xml:space="preserve"> z </w:t>
      </w:r>
      <w:r w:rsidRPr="00083739">
        <w:rPr>
          <w:rFonts w:cs="Times New Roman"/>
          <w:noProof/>
          <w:lang w:val="sk-SK"/>
        </w:rPr>
        <w:t>3</w:t>
      </w:r>
      <w:r w:rsidR="00083739" w:rsidRPr="00083739">
        <w:rPr>
          <w:rFonts w:cs="Times New Roman"/>
          <w:noProof/>
          <w:lang w:val="sk-SK"/>
        </w:rPr>
        <w:t>. mája</w:t>
      </w:r>
      <w:r w:rsidRPr="00083739">
        <w:rPr>
          <w:rFonts w:cs="Times New Roman"/>
          <w:noProof/>
          <w:lang w:val="sk-SK"/>
        </w:rPr>
        <w:t xml:space="preserve"> 2000, ktorým sa nahrádza rozhodnutie 94/3/ES, ktorým sa zavádza zoznam odpadov podľa článku 1 písm. a) smernice Rady 75/442/EHS</w:t>
      </w:r>
      <w:r w:rsidR="00083739" w:rsidRPr="00083739">
        <w:rPr>
          <w:rFonts w:cs="Times New Roman"/>
          <w:noProof/>
          <w:lang w:val="sk-SK"/>
        </w:rPr>
        <w:t xml:space="preserve"> o </w:t>
      </w:r>
      <w:r w:rsidRPr="00083739">
        <w:rPr>
          <w:rFonts w:cs="Times New Roman"/>
          <w:noProof/>
          <w:lang w:val="sk-SK"/>
        </w:rPr>
        <w:t>odpade</w:t>
      </w:r>
      <w:r w:rsidR="00083739" w:rsidRPr="00083739">
        <w:rPr>
          <w:rFonts w:cs="Times New Roman"/>
          <w:noProof/>
          <w:lang w:val="sk-SK"/>
        </w:rPr>
        <w:t xml:space="preserve"> a </w:t>
      </w:r>
      <w:r w:rsidRPr="00083739">
        <w:rPr>
          <w:rFonts w:cs="Times New Roman"/>
          <w:noProof/>
          <w:lang w:val="sk-SK"/>
        </w:rPr>
        <w:t>rozhodnutia Rady 94/904/ES, ktorým sa vydáva zoznam nebezpečných odpadov podľa článku 1 ods. 4 smernice Rady 91/689/</w:t>
      </w:r>
      <w:r w:rsidRPr="00083739">
        <w:rPr>
          <w:rFonts w:cs="Times New Roman"/>
          <w:noProof/>
          <w:lang w:val="sk-SK"/>
        </w:rPr>
        <w:t>EHS</w:t>
      </w:r>
      <w:r w:rsidR="00083739" w:rsidRPr="00083739">
        <w:rPr>
          <w:rFonts w:cs="Times New Roman"/>
          <w:noProof/>
          <w:lang w:val="sk-SK"/>
        </w:rPr>
        <w:t xml:space="preserve"> o </w:t>
      </w:r>
      <w:r w:rsidRPr="00083739">
        <w:rPr>
          <w:rFonts w:cs="Times New Roman"/>
          <w:noProof/>
          <w:lang w:val="sk-SK"/>
        </w:rPr>
        <w:t>nebezpečných odpadoch [oznámeným pod číslom C(2000) 1147], vytvoreného na stavenisku sa pripraví na opätovné použitie, recykláciu</w:t>
      </w:r>
      <w:r w:rsidR="00083739" w:rsidRPr="00083739">
        <w:rPr>
          <w:rFonts w:cs="Times New Roman"/>
          <w:noProof/>
          <w:lang w:val="sk-SK"/>
        </w:rPr>
        <w:t xml:space="preserve"> a </w:t>
      </w:r>
      <w:r w:rsidRPr="00083739">
        <w:rPr>
          <w:rFonts w:cs="Times New Roman"/>
          <w:noProof/>
          <w:lang w:val="sk-SK"/>
        </w:rPr>
        <w:t>iné materiálové zhodnocovanie vrátane spätného zasypávania</w:t>
      </w:r>
      <w:r w:rsidR="00083739" w:rsidRPr="00083739">
        <w:rPr>
          <w:rFonts w:cs="Times New Roman"/>
          <w:noProof/>
          <w:lang w:val="sk-SK"/>
        </w:rPr>
        <w:t xml:space="preserve"> s </w:t>
      </w:r>
      <w:r w:rsidRPr="00083739">
        <w:rPr>
          <w:rFonts w:cs="Times New Roman"/>
          <w:noProof/>
          <w:lang w:val="sk-SK"/>
        </w:rPr>
        <w:t>použitím odpadu ako náhrady iných materiálov,</w:t>
      </w:r>
      <w:r w:rsidR="00083739" w:rsidRPr="00083739">
        <w:rPr>
          <w:rFonts w:cs="Times New Roman"/>
          <w:noProof/>
          <w:lang w:val="sk-SK"/>
        </w:rPr>
        <w:t xml:space="preserve"> a </w:t>
      </w:r>
      <w:r w:rsidRPr="00083739">
        <w:rPr>
          <w:rFonts w:cs="Times New Roman"/>
          <w:noProof/>
          <w:lang w:val="sk-SK"/>
        </w:rPr>
        <w:t>to</w:t>
      </w:r>
      <w:r w:rsidR="00083739" w:rsidRPr="00083739">
        <w:rPr>
          <w:rFonts w:cs="Times New Roman"/>
          <w:noProof/>
          <w:lang w:val="sk-SK"/>
        </w:rPr>
        <w:t xml:space="preserve"> v </w:t>
      </w:r>
      <w:r w:rsidRPr="00083739">
        <w:rPr>
          <w:rFonts w:cs="Times New Roman"/>
          <w:noProof/>
          <w:lang w:val="sk-SK"/>
        </w:rPr>
        <w:t>súla</w:t>
      </w:r>
      <w:r w:rsidRPr="00083739">
        <w:rPr>
          <w:rFonts w:cs="Times New Roman"/>
          <w:noProof/>
          <w:lang w:val="sk-SK"/>
        </w:rPr>
        <w:t>de</w:t>
      </w:r>
      <w:r w:rsidR="00083739" w:rsidRPr="00083739">
        <w:rPr>
          <w:rFonts w:cs="Times New Roman"/>
          <w:noProof/>
          <w:lang w:val="sk-SK"/>
        </w:rPr>
        <w:t xml:space="preserve"> s </w:t>
      </w:r>
      <w:r w:rsidRPr="00083739">
        <w:rPr>
          <w:rFonts w:cs="Times New Roman"/>
          <w:noProof/>
          <w:lang w:val="sk-SK"/>
        </w:rPr>
        <w:t>hierarchiou odpadového hospodárstva</w:t>
      </w:r>
      <w:r w:rsidR="00083739" w:rsidRPr="00083739">
        <w:rPr>
          <w:rFonts w:cs="Times New Roman"/>
          <w:noProof/>
          <w:lang w:val="sk-SK"/>
        </w:rPr>
        <w:t xml:space="preserve"> a </w:t>
      </w:r>
      <w:r w:rsidRPr="00083739">
        <w:rPr>
          <w:rFonts w:cs="Times New Roman"/>
          <w:noProof/>
          <w:lang w:val="sk-SK"/>
        </w:rPr>
        <w:t>protokolom EÚ</w:t>
      </w:r>
      <w:r w:rsidR="00083739" w:rsidRPr="00083739">
        <w:rPr>
          <w:rFonts w:cs="Times New Roman"/>
          <w:noProof/>
          <w:lang w:val="sk-SK"/>
        </w:rPr>
        <w:t xml:space="preserve"> o </w:t>
      </w:r>
      <w:r w:rsidRPr="00083739">
        <w:rPr>
          <w:rFonts w:cs="Times New Roman"/>
          <w:noProof/>
          <w:lang w:val="sk-SK"/>
        </w:rPr>
        <w:t>nakladaní so stavebným odpadom</w:t>
      </w:r>
      <w:r w:rsidR="00083739" w:rsidRPr="00083739">
        <w:rPr>
          <w:rFonts w:cs="Times New Roman"/>
          <w:noProof/>
          <w:lang w:val="sk-SK"/>
        </w:rPr>
        <w:t xml:space="preserve"> a </w:t>
      </w:r>
      <w:r w:rsidRPr="00083739">
        <w:rPr>
          <w:rFonts w:cs="Times New Roman"/>
          <w:noProof/>
          <w:lang w:val="sk-SK"/>
        </w:rPr>
        <w:t>odpadom</w:t>
      </w:r>
      <w:r w:rsidR="00083739" w:rsidRPr="00083739">
        <w:rPr>
          <w:rFonts w:cs="Times New Roman"/>
          <w:noProof/>
          <w:lang w:val="sk-SK"/>
        </w:rPr>
        <w:t xml:space="preserve"> z </w:t>
      </w:r>
      <w:r w:rsidRPr="00083739">
        <w:rPr>
          <w:rFonts w:cs="Times New Roman"/>
          <w:noProof/>
          <w:lang w:val="sk-SK"/>
        </w:rPr>
        <w:t>demolácie. Realizácia investície sa ukončí do 31</w:t>
      </w:r>
      <w:r w:rsidR="00083739" w:rsidRPr="00083739">
        <w:rPr>
          <w:rFonts w:cs="Times New Roman"/>
          <w:noProof/>
          <w:lang w:val="sk-SK"/>
        </w:rPr>
        <w:t>. decembra</w:t>
      </w:r>
      <w:r w:rsidRPr="00083739">
        <w:rPr>
          <w:rFonts w:cs="Times New Roman"/>
          <w:noProof/>
          <w:lang w:val="sk-SK"/>
        </w:rPr>
        <w:t xml:space="preserve"> 2025.</w:t>
      </w:r>
    </w:p>
    <w:p w14:paraId="5D6CA141" w14:textId="7EF8F2B9"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Zriadenie systémov domácej zdravotnej starostlivosti</w:t>
      </w:r>
      <w:r w:rsidR="00083739" w:rsidRPr="00083739">
        <w:rPr>
          <w:rFonts w:cs="Times New Roman"/>
          <w:noProof/>
          <w:lang w:val="sk-SK"/>
        </w:rPr>
        <w:t xml:space="preserve"> a </w:t>
      </w:r>
      <w:r w:rsidRPr="00083739">
        <w:rPr>
          <w:rFonts w:cs="Times New Roman"/>
          <w:noProof/>
          <w:lang w:val="sk-SK"/>
        </w:rPr>
        <w:t>nemocníc</w:t>
      </w:r>
      <w:r w:rsidR="00083739" w:rsidRPr="00083739">
        <w:rPr>
          <w:rFonts w:cs="Times New Roman"/>
          <w:noProof/>
          <w:lang w:val="sk-SK"/>
        </w:rPr>
        <w:t xml:space="preserve"> v </w:t>
      </w:r>
      <w:r w:rsidRPr="00083739">
        <w:rPr>
          <w:rFonts w:cs="Times New Roman"/>
          <w:noProof/>
          <w:lang w:val="sk-SK"/>
        </w:rPr>
        <w:t xml:space="preserve">domácnosti </w:t>
      </w:r>
      <w:r w:rsidRPr="00083739">
        <w:rPr>
          <w:rFonts w:cs="Times New Roman"/>
          <w:noProof/>
          <w:lang w:val="sk-SK"/>
        </w:rPr>
        <w:t>(ID opatrenia: 16753)</w:t>
      </w:r>
    </w:p>
    <w:p w14:paraId="2B73149B" w14:textId="599394AB"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Investícia sa týka zriadenia systému domácej starostlivosti pre cieľové skupiny pacientov</w:t>
      </w:r>
      <w:r w:rsidR="00083739" w:rsidRPr="00083739">
        <w:rPr>
          <w:rFonts w:cs="Times New Roman"/>
          <w:noProof/>
          <w:lang w:val="sk-SK"/>
        </w:rPr>
        <w:t xml:space="preserve"> s </w:t>
      </w:r>
      <w:r w:rsidRPr="00083739">
        <w:rPr>
          <w:rFonts w:cs="Times New Roman"/>
          <w:noProof/>
          <w:lang w:val="sk-SK"/>
        </w:rPr>
        <w:t>chronickým postihnutím. Domáca starostlivosť sa kombinuje</w:t>
      </w:r>
      <w:r w:rsidR="00083739" w:rsidRPr="00083739">
        <w:rPr>
          <w:rFonts w:cs="Times New Roman"/>
          <w:noProof/>
          <w:lang w:val="sk-SK"/>
        </w:rPr>
        <w:t xml:space="preserve"> s </w:t>
      </w:r>
      <w:r w:rsidRPr="00083739">
        <w:rPr>
          <w:rFonts w:cs="Times New Roman"/>
          <w:noProof/>
          <w:lang w:val="sk-SK"/>
        </w:rPr>
        <w:t>paralelnou organizovanou podporou zo strany jednotiek zdravotnej starostlivosti</w:t>
      </w:r>
      <w:r w:rsidR="00083739" w:rsidRPr="00083739">
        <w:rPr>
          <w:rFonts w:cs="Times New Roman"/>
          <w:noProof/>
          <w:lang w:val="sk-SK"/>
        </w:rPr>
        <w:t xml:space="preserve"> a </w:t>
      </w:r>
      <w:r w:rsidRPr="00083739">
        <w:rPr>
          <w:rFonts w:cs="Times New Roman"/>
          <w:noProof/>
          <w:lang w:val="sk-SK"/>
        </w:rPr>
        <w:t>týka sa detí, dospievajúcich</w:t>
      </w:r>
      <w:r w:rsidR="00083739" w:rsidRPr="00083739">
        <w:rPr>
          <w:rFonts w:cs="Times New Roman"/>
          <w:noProof/>
          <w:lang w:val="sk-SK"/>
        </w:rPr>
        <w:t xml:space="preserve"> a </w:t>
      </w:r>
      <w:r w:rsidRPr="00083739">
        <w:rPr>
          <w:rFonts w:cs="Times New Roman"/>
          <w:noProof/>
          <w:lang w:val="sk-SK"/>
        </w:rPr>
        <w:t>dospelých so závažnými chronickými zdravotnými problémami, ktoré spôsobujú dlhodobé alebo trvalé zdravotné postihnutie. Zlepšuje sa tým kvalita života pacientov</w:t>
      </w:r>
      <w:r w:rsidR="00083739" w:rsidRPr="00083739">
        <w:rPr>
          <w:rFonts w:cs="Times New Roman"/>
          <w:noProof/>
          <w:lang w:val="sk-SK"/>
        </w:rPr>
        <w:t xml:space="preserve"> a </w:t>
      </w:r>
      <w:r w:rsidRPr="00083739">
        <w:rPr>
          <w:rFonts w:cs="Times New Roman"/>
          <w:noProof/>
          <w:lang w:val="sk-SK"/>
        </w:rPr>
        <w:t>zároveň sa uvoľňujú zdroje pre národný systém zdravotnej staro</w:t>
      </w:r>
      <w:r w:rsidRPr="00083739">
        <w:rPr>
          <w:rFonts w:cs="Times New Roman"/>
          <w:noProof/>
          <w:lang w:val="sk-SK"/>
        </w:rPr>
        <w:t>stlivosti. Investíciou sa realizuje päť čiastkových projektov: 1. prieskum posúdenia potrieb zameraný na identifikáciu osvedčených postupov, zaznamenávanie potrieb</w:t>
      </w:r>
      <w:r w:rsidR="00083739" w:rsidRPr="00083739">
        <w:rPr>
          <w:rFonts w:cs="Times New Roman"/>
          <w:noProof/>
          <w:lang w:val="sk-SK"/>
        </w:rPr>
        <w:t xml:space="preserve"> a </w:t>
      </w:r>
      <w:r w:rsidRPr="00083739">
        <w:rPr>
          <w:rFonts w:cs="Times New Roman"/>
          <w:noProof/>
          <w:lang w:val="sk-SK"/>
        </w:rPr>
        <w:t>súčasnej situácie</w:t>
      </w:r>
      <w:r w:rsidR="00083739" w:rsidRPr="00083739">
        <w:rPr>
          <w:rFonts w:cs="Times New Roman"/>
          <w:noProof/>
          <w:lang w:val="sk-SK"/>
        </w:rPr>
        <w:t xml:space="preserve"> v </w:t>
      </w:r>
      <w:r w:rsidRPr="00083739">
        <w:rPr>
          <w:rFonts w:cs="Times New Roman"/>
          <w:noProof/>
          <w:lang w:val="sk-SK"/>
        </w:rPr>
        <w:t>Grécku</w:t>
      </w:r>
      <w:r w:rsidR="00083739" w:rsidRPr="00083739">
        <w:rPr>
          <w:rFonts w:cs="Times New Roman"/>
          <w:noProof/>
          <w:lang w:val="sk-SK"/>
        </w:rPr>
        <w:t xml:space="preserve"> a </w:t>
      </w:r>
      <w:r w:rsidRPr="00083739">
        <w:rPr>
          <w:rFonts w:cs="Times New Roman"/>
          <w:noProof/>
          <w:lang w:val="sk-SK"/>
        </w:rPr>
        <w:t>vypracovanie návrhu na inštitucionalizáciu domácej starostliv</w:t>
      </w:r>
      <w:r w:rsidRPr="00083739">
        <w:rPr>
          <w:rFonts w:cs="Times New Roman"/>
          <w:noProof/>
          <w:lang w:val="sk-SK"/>
        </w:rPr>
        <w:t>osti; 2. zavádzanie aplikácií telemedicíny ako monitorovacích nástrojov na podporu pacientov; 3. vytvorenie</w:t>
      </w:r>
      <w:r w:rsidR="00083739" w:rsidRPr="00083739">
        <w:rPr>
          <w:rFonts w:cs="Times New Roman"/>
          <w:noProof/>
          <w:lang w:val="sk-SK"/>
        </w:rPr>
        <w:t xml:space="preserve"> a </w:t>
      </w:r>
      <w:r w:rsidRPr="00083739">
        <w:rPr>
          <w:rFonts w:cs="Times New Roman"/>
          <w:noProof/>
          <w:lang w:val="sk-SK"/>
        </w:rPr>
        <w:t>zavedenie vnútroštátneho registra pacientov liečených domácou starostlivosťou; 4) stanovenie štandardizovaných terapeutických protokolov, ako aj n</w:t>
      </w:r>
      <w:r w:rsidRPr="00083739">
        <w:rPr>
          <w:rFonts w:cs="Times New Roman"/>
          <w:noProof/>
          <w:lang w:val="sk-SK"/>
        </w:rPr>
        <w:t>oriem kvality</w:t>
      </w:r>
      <w:r w:rsidR="00083739" w:rsidRPr="00083739">
        <w:rPr>
          <w:rFonts w:cs="Times New Roman"/>
          <w:noProof/>
          <w:lang w:val="sk-SK"/>
        </w:rPr>
        <w:t xml:space="preserve"> a </w:t>
      </w:r>
      <w:r w:rsidRPr="00083739">
        <w:rPr>
          <w:rFonts w:cs="Times New Roman"/>
          <w:noProof/>
          <w:lang w:val="sk-SK"/>
        </w:rPr>
        <w:t>bezpečnosti</w:t>
      </w:r>
      <w:r w:rsidR="00083739" w:rsidRPr="00083739">
        <w:rPr>
          <w:rFonts w:cs="Times New Roman"/>
          <w:noProof/>
          <w:lang w:val="sk-SK"/>
        </w:rPr>
        <w:t xml:space="preserve"> a </w:t>
      </w:r>
      <w:r w:rsidRPr="00083739">
        <w:rPr>
          <w:rFonts w:cs="Times New Roman"/>
          <w:noProof/>
          <w:lang w:val="sk-SK"/>
        </w:rPr>
        <w:t>5) zriadenie ôsmich referenčných lokalít (jednej</w:t>
      </w:r>
      <w:r w:rsidR="00083739" w:rsidRPr="00083739">
        <w:rPr>
          <w:rFonts w:cs="Times New Roman"/>
          <w:noProof/>
          <w:lang w:val="sk-SK"/>
        </w:rPr>
        <w:t xml:space="preserve"> v </w:t>
      </w:r>
      <w:r w:rsidRPr="00083739">
        <w:rPr>
          <w:rFonts w:cs="Times New Roman"/>
          <w:noProof/>
          <w:lang w:val="sk-SK"/>
        </w:rPr>
        <w:t>každom regionálnom zdravotníckom orgáne). Implementácia tejto investície sa dokončí do 30</w:t>
      </w:r>
      <w:r w:rsidR="00083739" w:rsidRPr="00083739">
        <w:rPr>
          <w:rFonts w:cs="Times New Roman"/>
          <w:noProof/>
          <w:lang w:val="sk-SK"/>
        </w:rPr>
        <w:t>. júna</w:t>
      </w:r>
      <w:r w:rsidRPr="00083739">
        <w:rPr>
          <w:rFonts w:cs="Times New Roman"/>
          <w:noProof/>
          <w:lang w:val="sk-SK"/>
        </w:rPr>
        <w:t xml:space="preserve"> 2025.</w:t>
      </w:r>
    </w:p>
    <w:p w14:paraId="538760D0" w14:textId="785099FC" w:rsidR="00083739"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Projekt výstavby budovy určenej na bunkové</w:t>
      </w:r>
      <w:r w:rsidR="00083739" w:rsidRPr="00083739">
        <w:rPr>
          <w:rFonts w:cs="Times New Roman"/>
          <w:noProof/>
          <w:lang w:val="sk-SK"/>
        </w:rPr>
        <w:t xml:space="preserve"> a </w:t>
      </w:r>
      <w:r w:rsidRPr="00083739">
        <w:rPr>
          <w:rFonts w:cs="Times New Roman"/>
          <w:noProof/>
          <w:lang w:val="sk-SK"/>
        </w:rPr>
        <w:t>genetické terapi</w:t>
      </w:r>
      <w:r w:rsidRPr="00083739">
        <w:rPr>
          <w:rFonts w:cs="Times New Roman"/>
          <w:noProof/>
          <w:lang w:val="sk-SK"/>
        </w:rPr>
        <w:t>e</w:t>
      </w:r>
      <w:r w:rsidR="00083739" w:rsidRPr="00083739">
        <w:rPr>
          <w:rFonts w:cs="Times New Roman"/>
          <w:noProof/>
          <w:lang w:val="sk-SK"/>
        </w:rPr>
        <w:t xml:space="preserve"> a </w:t>
      </w:r>
      <w:r w:rsidRPr="00083739">
        <w:rPr>
          <w:rFonts w:cs="Times New Roman"/>
          <w:noProof/>
          <w:lang w:val="sk-SK"/>
        </w:rPr>
        <w:t>hematologické klinikové laboratóriá</w:t>
      </w:r>
      <w:r w:rsidR="00083739" w:rsidRPr="00083739">
        <w:rPr>
          <w:rFonts w:cs="Times New Roman"/>
          <w:noProof/>
          <w:lang w:val="sk-SK"/>
        </w:rPr>
        <w:t xml:space="preserve"> v </w:t>
      </w:r>
      <w:r w:rsidRPr="00083739">
        <w:rPr>
          <w:rFonts w:cs="Times New Roman"/>
          <w:noProof/>
          <w:lang w:val="sk-SK"/>
        </w:rPr>
        <w:t>rámci všeobecnej nemocnice Solún „Papanikolaou“ (ID opatrenia: 16793)</w:t>
      </w:r>
      <w:r w:rsidR="00083739" w:rsidRPr="00083739">
        <w:rPr>
          <w:rFonts w:cs="Times New Roman"/>
          <w:noProof/>
          <w:lang w:val="sk-SK"/>
        </w:rPr>
        <w:t>.</w:t>
      </w:r>
    </w:p>
    <w:p w14:paraId="29DA33E7" w14:textId="660EB91B" w:rsidR="00083739"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Investícia predpokladá vytvorenie nových budov na umiestnenie laboratórií buniek</w:t>
      </w:r>
      <w:r w:rsidR="00083739" w:rsidRPr="00083739">
        <w:rPr>
          <w:rFonts w:cs="Times New Roman"/>
          <w:noProof/>
          <w:lang w:val="sk-SK"/>
        </w:rPr>
        <w:t xml:space="preserve"> a </w:t>
      </w:r>
      <w:r w:rsidRPr="00083739">
        <w:rPr>
          <w:rFonts w:cs="Times New Roman"/>
          <w:noProof/>
          <w:lang w:val="sk-SK"/>
        </w:rPr>
        <w:t>genetickej terapie</w:t>
      </w:r>
      <w:r w:rsidR="00083739" w:rsidRPr="00083739">
        <w:rPr>
          <w:rFonts w:cs="Times New Roman"/>
          <w:noProof/>
          <w:lang w:val="sk-SK"/>
        </w:rPr>
        <w:t xml:space="preserve"> a </w:t>
      </w:r>
      <w:r w:rsidRPr="00083739">
        <w:rPr>
          <w:rFonts w:cs="Times New Roman"/>
          <w:noProof/>
          <w:lang w:val="sk-SK"/>
        </w:rPr>
        <w:t>hematologickej kliniky</w:t>
      </w:r>
      <w:r w:rsidR="00083739" w:rsidRPr="00083739">
        <w:rPr>
          <w:rFonts w:cs="Times New Roman"/>
          <w:noProof/>
          <w:lang w:val="sk-SK"/>
        </w:rPr>
        <w:t xml:space="preserve"> v </w:t>
      </w:r>
      <w:r w:rsidRPr="00083739">
        <w:rPr>
          <w:rFonts w:cs="Times New Roman"/>
          <w:noProof/>
          <w:lang w:val="sk-SK"/>
        </w:rPr>
        <w:t xml:space="preserve">nemocnici </w:t>
      </w:r>
      <w:r w:rsidRPr="00083739">
        <w:rPr>
          <w:rFonts w:cs="Times New Roman"/>
          <w:noProof/>
          <w:lang w:val="sk-SK"/>
        </w:rPr>
        <w:t>Papanikolaou</w:t>
      </w:r>
      <w:r w:rsidR="00083739" w:rsidRPr="00083739">
        <w:rPr>
          <w:rFonts w:cs="Times New Roman"/>
          <w:noProof/>
          <w:lang w:val="sk-SK"/>
        </w:rPr>
        <w:t xml:space="preserve"> s </w:t>
      </w:r>
      <w:r w:rsidRPr="00083739">
        <w:rPr>
          <w:rFonts w:cs="Times New Roman"/>
          <w:noProof/>
          <w:lang w:val="sk-SK"/>
        </w:rPr>
        <w:t>cieľom udržať jej služby</w:t>
      </w:r>
      <w:r w:rsidR="00083739" w:rsidRPr="00083739">
        <w:rPr>
          <w:rFonts w:cs="Times New Roman"/>
          <w:noProof/>
          <w:lang w:val="sk-SK"/>
        </w:rPr>
        <w:t xml:space="preserve"> v </w:t>
      </w:r>
      <w:r w:rsidRPr="00083739">
        <w:rPr>
          <w:rFonts w:cs="Times New Roman"/>
          <w:noProof/>
          <w:lang w:val="sk-SK"/>
        </w:rPr>
        <w:t>súlade so zvýšenými požiadavkami starostlivosti</w:t>
      </w:r>
      <w:r w:rsidR="00083739" w:rsidRPr="00083739">
        <w:rPr>
          <w:rFonts w:cs="Times New Roman"/>
          <w:noProof/>
          <w:lang w:val="sk-SK"/>
        </w:rPr>
        <w:t xml:space="preserve"> o </w:t>
      </w:r>
      <w:r w:rsidRPr="00083739">
        <w:rPr>
          <w:rFonts w:cs="Times New Roman"/>
          <w:noProof/>
          <w:lang w:val="sk-SK"/>
        </w:rPr>
        <w:t>pacientov (malígne hematologické ochorenia)</w:t>
      </w:r>
      <w:r w:rsidR="00083739" w:rsidRPr="00083739">
        <w:rPr>
          <w:rFonts w:cs="Times New Roman"/>
          <w:noProof/>
          <w:lang w:val="sk-SK"/>
        </w:rPr>
        <w:t xml:space="preserve"> a </w:t>
      </w:r>
      <w:r w:rsidRPr="00083739">
        <w:rPr>
          <w:rFonts w:cs="Times New Roman"/>
          <w:noProof/>
          <w:lang w:val="sk-SK"/>
        </w:rPr>
        <w:t>rastúcim dopytom po moderných technológiách; takisto sa ním zmodernizuje existujúca budova na presun laboratórií</w:t>
      </w:r>
      <w:r w:rsidR="00083739" w:rsidRPr="00083739">
        <w:rPr>
          <w:rFonts w:cs="Times New Roman"/>
          <w:noProof/>
          <w:lang w:val="sk-SK"/>
        </w:rPr>
        <w:t xml:space="preserve"> a </w:t>
      </w:r>
      <w:r w:rsidRPr="00083739">
        <w:rPr>
          <w:rFonts w:cs="Times New Roman"/>
          <w:noProof/>
          <w:lang w:val="sk-SK"/>
        </w:rPr>
        <w:t>jed</w:t>
      </w:r>
      <w:r w:rsidRPr="00083739">
        <w:rPr>
          <w:rFonts w:cs="Times New Roman"/>
          <w:noProof/>
          <w:lang w:val="sk-SK"/>
        </w:rPr>
        <w:t>notky dennej starostlivosti. Novovybudovaná budova musí spĺňať požiadavky primárnej energie, ktoré sú aspoň</w:t>
      </w:r>
      <w:r w:rsidR="00083739" w:rsidRPr="00083739">
        <w:rPr>
          <w:rFonts w:cs="Times New Roman"/>
          <w:noProof/>
          <w:lang w:val="sk-SK"/>
        </w:rPr>
        <w:t xml:space="preserve"> o </w:t>
      </w:r>
      <w:r w:rsidRPr="00083739">
        <w:rPr>
          <w:rFonts w:cs="Times New Roman"/>
          <w:noProof/>
          <w:lang w:val="sk-SK"/>
        </w:rPr>
        <w:t>20</w:t>
      </w:r>
      <w:r w:rsidR="00083739" w:rsidRPr="00083739">
        <w:rPr>
          <w:rFonts w:cs="Times New Roman"/>
          <w:noProof/>
          <w:lang w:val="sk-SK"/>
        </w:rPr>
        <w:t> %</w:t>
      </w:r>
      <w:r w:rsidRPr="00083739">
        <w:rPr>
          <w:rFonts w:cs="Times New Roman"/>
          <w:noProof/>
          <w:lang w:val="sk-SK"/>
        </w:rPr>
        <w:t xml:space="preserve"> nižšie ako požiadavka na budovy</w:t>
      </w:r>
      <w:r w:rsidR="00083739" w:rsidRPr="00083739">
        <w:rPr>
          <w:rFonts w:cs="Times New Roman"/>
          <w:noProof/>
          <w:lang w:val="sk-SK"/>
        </w:rPr>
        <w:t xml:space="preserve"> s </w:t>
      </w:r>
      <w:r w:rsidRPr="00083739">
        <w:rPr>
          <w:rFonts w:cs="Times New Roman"/>
          <w:noProof/>
          <w:lang w:val="sk-SK"/>
        </w:rPr>
        <w:t>takmer nulovou spotrebou energie (budova</w:t>
      </w:r>
      <w:r w:rsidR="00083739" w:rsidRPr="00083739">
        <w:rPr>
          <w:rFonts w:cs="Times New Roman"/>
          <w:noProof/>
          <w:lang w:val="sk-SK"/>
        </w:rPr>
        <w:t xml:space="preserve"> s </w:t>
      </w:r>
      <w:r w:rsidRPr="00083739">
        <w:rPr>
          <w:rFonts w:cs="Times New Roman"/>
          <w:noProof/>
          <w:lang w:val="sk-SK"/>
        </w:rPr>
        <w:t>takmer nulovou spotrebou energie, vnútroštátne smernice). Očakáv</w:t>
      </w:r>
      <w:r w:rsidRPr="00083739">
        <w:rPr>
          <w:rFonts w:cs="Times New Roman"/>
          <w:noProof/>
          <w:lang w:val="sk-SK"/>
        </w:rPr>
        <w:t>a sa, že toto opatrenie výrazne nenaruší environmentálne ciele</w:t>
      </w:r>
      <w:r w:rsidR="00083739" w:rsidRPr="00083739">
        <w:rPr>
          <w:rFonts w:cs="Times New Roman"/>
          <w:noProof/>
          <w:lang w:val="sk-SK"/>
        </w:rPr>
        <w:t xml:space="preserve"> v </w:t>
      </w:r>
      <w:r w:rsidRPr="00083739">
        <w:rPr>
          <w:rFonts w:cs="Times New Roman"/>
          <w:noProof/>
          <w:lang w:val="sk-SK"/>
        </w:rPr>
        <w:t>zmysle článku 17 nariadenia (EÚ) 2020/852, pričom sa zohľadní opis opatrenia</w:t>
      </w:r>
      <w:r w:rsidR="00083739" w:rsidRPr="00083739">
        <w:rPr>
          <w:rFonts w:cs="Times New Roman"/>
          <w:noProof/>
          <w:lang w:val="sk-SK"/>
        </w:rPr>
        <w:t xml:space="preserve"> a </w:t>
      </w:r>
      <w:r w:rsidRPr="00083739">
        <w:rPr>
          <w:rFonts w:cs="Times New Roman"/>
          <w:noProof/>
          <w:lang w:val="sk-SK"/>
        </w:rPr>
        <w:t>zmierňujúce kroky stanovené</w:t>
      </w:r>
      <w:r w:rsidR="00083739" w:rsidRPr="00083739">
        <w:rPr>
          <w:rFonts w:cs="Times New Roman"/>
          <w:noProof/>
          <w:lang w:val="sk-SK"/>
        </w:rPr>
        <w:t xml:space="preserve"> v </w:t>
      </w:r>
      <w:r w:rsidRPr="00083739">
        <w:rPr>
          <w:rFonts w:cs="Times New Roman"/>
          <w:noProof/>
          <w:lang w:val="sk-SK"/>
        </w:rPr>
        <w:t>pláne podpory obnovy</w:t>
      </w:r>
      <w:r w:rsidR="00083739" w:rsidRPr="00083739">
        <w:rPr>
          <w:rFonts w:cs="Times New Roman"/>
          <w:noProof/>
          <w:lang w:val="sk-SK"/>
        </w:rPr>
        <w:t xml:space="preserve"> a </w:t>
      </w:r>
      <w:r w:rsidRPr="00083739">
        <w:rPr>
          <w:rFonts w:cs="Times New Roman"/>
          <w:noProof/>
          <w:lang w:val="sk-SK"/>
        </w:rPr>
        <w:t>odolnosti</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technickým usmernením „výrazne nenaruš</w:t>
      </w:r>
      <w:r w:rsidRPr="00083739">
        <w:rPr>
          <w:rFonts w:cs="Times New Roman"/>
          <w:noProof/>
          <w:lang w:val="sk-SK"/>
        </w:rPr>
        <w:t>iť“ (2021/C58/01)</w:t>
      </w:r>
      <w:r w:rsidR="00083739" w:rsidRPr="00083739">
        <w:rPr>
          <w:rFonts w:cs="Times New Roman"/>
          <w:noProof/>
          <w:lang w:val="sk-SK"/>
        </w:rPr>
        <w:t>.</w:t>
      </w:r>
    </w:p>
    <w:p w14:paraId="4C6213BC" w14:textId="7BE0A7A7"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Konkrétne sa</w:t>
      </w:r>
      <w:r w:rsidR="00083739" w:rsidRPr="00083739">
        <w:rPr>
          <w:rFonts w:cs="Times New Roman"/>
          <w:noProof/>
          <w:lang w:val="sk-SK"/>
        </w:rPr>
        <w:t xml:space="preserve"> v </w:t>
      </w:r>
      <w:r w:rsidRPr="00083739">
        <w:rPr>
          <w:rFonts w:cs="Times New Roman"/>
          <w:noProof/>
          <w:lang w:val="sk-SK"/>
        </w:rPr>
        <w:t>tomto opatrení vyžaduje, aby hospodárske subjekty vykonávajúce stavebné práce zabezpečili, že najmenej 70</w:t>
      </w:r>
      <w:r w:rsidR="00083739" w:rsidRPr="00083739">
        <w:rPr>
          <w:rFonts w:cs="Times New Roman"/>
          <w:noProof/>
          <w:lang w:val="sk-SK"/>
        </w:rPr>
        <w:t> %</w:t>
      </w:r>
      <w:r w:rsidRPr="00083739">
        <w:rPr>
          <w:rFonts w:cs="Times New Roman"/>
          <w:noProof/>
          <w:lang w:val="sk-SK"/>
        </w:rPr>
        <w:t xml:space="preserve"> (hmotnosti) stavebného</w:t>
      </w:r>
      <w:r w:rsidR="00083739" w:rsidRPr="00083739">
        <w:rPr>
          <w:rFonts w:cs="Times New Roman"/>
          <w:noProof/>
          <w:lang w:val="sk-SK"/>
        </w:rPr>
        <w:t xml:space="preserve"> a </w:t>
      </w:r>
      <w:r w:rsidRPr="00083739">
        <w:rPr>
          <w:rFonts w:cs="Times New Roman"/>
          <w:noProof/>
          <w:lang w:val="sk-SK"/>
        </w:rPr>
        <w:t xml:space="preserve">demolačného odpadu, ktorý nie je nebezpečný [okrem prirodzene sa vyskytujúceho materiálu </w:t>
      </w:r>
      <w:r w:rsidRPr="00083739">
        <w:rPr>
          <w:rFonts w:cs="Times New Roman"/>
          <w:noProof/>
          <w:lang w:val="sk-SK"/>
        </w:rPr>
        <w:t>uvedeného</w:t>
      </w:r>
      <w:r w:rsidR="00083739" w:rsidRPr="00083739">
        <w:rPr>
          <w:rFonts w:cs="Times New Roman"/>
          <w:noProof/>
          <w:lang w:val="sk-SK"/>
        </w:rPr>
        <w:t xml:space="preserve"> v </w:t>
      </w:r>
      <w:r w:rsidRPr="00083739">
        <w:rPr>
          <w:rFonts w:cs="Times New Roman"/>
          <w:noProof/>
          <w:lang w:val="sk-SK"/>
        </w:rPr>
        <w:t>kategórii 17 05 04</w:t>
      </w:r>
      <w:r w:rsidR="00083739" w:rsidRPr="00083739">
        <w:rPr>
          <w:rFonts w:cs="Times New Roman"/>
          <w:noProof/>
          <w:lang w:val="sk-SK"/>
        </w:rPr>
        <w:t xml:space="preserve"> v </w:t>
      </w:r>
      <w:r w:rsidRPr="00083739">
        <w:rPr>
          <w:rFonts w:cs="Times New Roman"/>
          <w:noProof/>
          <w:lang w:val="sk-SK"/>
        </w:rPr>
        <w:t>európskom zozname odpadov vytvorenom rozhodnutím 2000/532/ES</w:t>
      </w:r>
      <w:r w:rsidR="00083739" w:rsidRPr="00083739">
        <w:rPr>
          <w:rFonts w:cs="Times New Roman"/>
          <w:noProof/>
          <w:lang w:val="sk-SK"/>
        </w:rPr>
        <w:t xml:space="preserve"> z </w:t>
      </w:r>
      <w:r w:rsidRPr="00083739">
        <w:rPr>
          <w:rFonts w:cs="Times New Roman"/>
          <w:noProof/>
          <w:lang w:val="sk-SK"/>
        </w:rPr>
        <w:t>3</w:t>
      </w:r>
      <w:r w:rsidR="00083739" w:rsidRPr="00083739">
        <w:rPr>
          <w:rFonts w:cs="Times New Roman"/>
          <w:noProof/>
          <w:lang w:val="sk-SK"/>
        </w:rPr>
        <w:t>. mája</w:t>
      </w:r>
      <w:r w:rsidRPr="00083739">
        <w:rPr>
          <w:rFonts w:cs="Times New Roman"/>
          <w:noProof/>
          <w:lang w:val="sk-SK"/>
        </w:rPr>
        <w:t xml:space="preserve"> 2000, ktorým sa nahrádza rozhodnutie 94/3/ES, ktorým sa zavádza zoznam odpadov podľa článku 1 písm. a) smernice Rady 75/442/EHS</w:t>
      </w:r>
      <w:r w:rsidR="00083739" w:rsidRPr="00083739">
        <w:rPr>
          <w:rFonts w:cs="Times New Roman"/>
          <w:noProof/>
          <w:lang w:val="sk-SK"/>
        </w:rPr>
        <w:t xml:space="preserve"> o </w:t>
      </w:r>
      <w:r w:rsidRPr="00083739">
        <w:rPr>
          <w:rFonts w:cs="Times New Roman"/>
          <w:noProof/>
          <w:lang w:val="sk-SK"/>
        </w:rPr>
        <w:t>odpade</w:t>
      </w:r>
      <w:r w:rsidR="00083739" w:rsidRPr="00083739">
        <w:rPr>
          <w:rFonts w:cs="Times New Roman"/>
          <w:noProof/>
          <w:lang w:val="sk-SK"/>
        </w:rPr>
        <w:t xml:space="preserve"> a </w:t>
      </w:r>
      <w:r w:rsidRPr="00083739">
        <w:rPr>
          <w:rFonts w:cs="Times New Roman"/>
          <w:noProof/>
          <w:lang w:val="sk-SK"/>
        </w:rPr>
        <w:t>rozhodnutia R</w:t>
      </w:r>
      <w:r w:rsidRPr="00083739">
        <w:rPr>
          <w:rFonts w:cs="Times New Roman"/>
          <w:noProof/>
          <w:lang w:val="sk-SK"/>
        </w:rPr>
        <w:t>ady 94/904/ES, ktorým sa vydáva zoznam nebezpečných odpadov podľa článku 1 ods. 4 smernice Rady 91/689/EHS</w:t>
      </w:r>
      <w:r w:rsidR="00083739" w:rsidRPr="00083739">
        <w:rPr>
          <w:rFonts w:cs="Times New Roman"/>
          <w:noProof/>
          <w:lang w:val="sk-SK"/>
        </w:rPr>
        <w:t xml:space="preserve"> o </w:t>
      </w:r>
      <w:r w:rsidRPr="00083739">
        <w:rPr>
          <w:rFonts w:cs="Times New Roman"/>
          <w:noProof/>
          <w:lang w:val="sk-SK"/>
        </w:rPr>
        <w:t>nebezpečných odpadoch [oznámeným pod číslom C(2000) 1147], vytvoreného na stavenisku sa pripraví na opätovné použitie, recykláciu</w:t>
      </w:r>
      <w:r w:rsidR="00083739" w:rsidRPr="00083739">
        <w:rPr>
          <w:rFonts w:cs="Times New Roman"/>
          <w:noProof/>
          <w:lang w:val="sk-SK"/>
        </w:rPr>
        <w:t xml:space="preserve"> a </w:t>
      </w:r>
      <w:r w:rsidRPr="00083739">
        <w:rPr>
          <w:rFonts w:cs="Times New Roman"/>
          <w:noProof/>
          <w:lang w:val="sk-SK"/>
        </w:rPr>
        <w:t>iné materiálové</w:t>
      </w:r>
      <w:r w:rsidRPr="00083739">
        <w:rPr>
          <w:rFonts w:cs="Times New Roman"/>
          <w:noProof/>
          <w:lang w:val="sk-SK"/>
        </w:rPr>
        <w:t xml:space="preserve"> zhodnocovanie vrátane spätného zasypávania</w:t>
      </w:r>
      <w:r w:rsidR="00083739" w:rsidRPr="00083739">
        <w:rPr>
          <w:rFonts w:cs="Times New Roman"/>
          <w:noProof/>
          <w:lang w:val="sk-SK"/>
        </w:rPr>
        <w:t xml:space="preserve"> s </w:t>
      </w:r>
      <w:r w:rsidRPr="00083739">
        <w:rPr>
          <w:rFonts w:cs="Times New Roman"/>
          <w:noProof/>
          <w:lang w:val="sk-SK"/>
        </w:rPr>
        <w:t>použitím odpadu ako náhrady iných materiálov,</w:t>
      </w:r>
      <w:r w:rsidR="00083739" w:rsidRPr="00083739">
        <w:rPr>
          <w:rFonts w:cs="Times New Roman"/>
          <w:noProof/>
          <w:lang w:val="sk-SK"/>
        </w:rPr>
        <w:t xml:space="preserve"> a </w:t>
      </w:r>
      <w:r w:rsidRPr="00083739">
        <w:rPr>
          <w:rFonts w:cs="Times New Roman"/>
          <w:noProof/>
          <w:lang w:val="sk-SK"/>
        </w:rPr>
        <w:t>to</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hierarchiou odpadového hospodárstva</w:t>
      </w:r>
      <w:r w:rsidR="00083739" w:rsidRPr="00083739">
        <w:rPr>
          <w:rFonts w:cs="Times New Roman"/>
          <w:noProof/>
          <w:lang w:val="sk-SK"/>
        </w:rPr>
        <w:t xml:space="preserve"> a </w:t>
      </w:r>
      <w:r w:rsidRPr="00083739">
        <w:rPr>
          <w:rFonts w:cs="Times New Roman"/>
          <w:noProof/>
          <w:lang w:val="sk-SK"/>
        </w:rPr>
        <w:t>protokolom EÚ</w:t>
      </w:r>
      <w:r w:rsidR="00083739" w:rsidRPr="00083739">
        <w:rPr>
          <w:rFonts w:cs="Times New Roman"/>
          <w:noProof/>
          <w:lang w:val="sk-SK"/>
        </w:rPr>
        <w:t xml:space="preserve"> o </w:t>
      </w:r>
      <w:r w:rsidRPr="00083739">
        <w:rPr>
          <w:rFonts w:cs="Times New Roman"/>
          <w:noProof/>
          <w:lang w:val="sk-SK"/>
        </w:rPr>
        <w:t>nakladaní so stavebným odpadom</w:t>
      </w:r>
      <w:r w:rsidR="00083739" w:rsidRPr="00083739">
        <w:rPr>
          <w:rFonts w:cs="Times New Roman"/>
          <w:noProof/>
          <w:lang w:val="sk-SK"/>
        </w:rPr>
        <w:t xml:space="preserve"> a </w:t>
      </w:r>
      <w:r w:rsidRPr="00083739">
        <w:rPr>
          <w:rFonts w:cs="Times New Roman"/>
          <w:noProof/>
          <w:lang w:val="sk-SK"/>
        </w:rPr>
        <w:t>odpadom</w:t>
      </w:r>
      <w:r w:rsidR="00083739" w:rsidRPr="00083739">
        <w:rPr>
          <w:rFonts w:cs="Times New Roman"/>
          <w:noProof/>
          <w:lang w:val="sk-SK"/>
        </w:rPr>
        <w:t xml:space="preserve"> z </w:t>
      </w:r>
      <w:r w:rsidRPr="00083739">
        <w:rPr>
          <w:rFonts w:cs="Times New Roman"/>
          <w:noProof/>
          <w:lang w:val="sk-SK"/>
        </w:rPr>
        <w:t>demolácie. Realizácia investície sa ukončí do 31</w:t>
      </w:r>
      <w:r w:rsidR="00083739" w:rsidRPr="00083739">
        <w:rPr>
          <w:rFonts w:cs="Times New Roman"/>
          <w:noProof/>
          <w:lang w:val="sk-SK"/>
        </w:rPr>
        <w:t>. decembra</w:t>
      </w:r>
      <w:r w:rsidRPr="00083739">
        <w:rPr>
          <w:rFonts w:cs="Times New Roman"/>
          <w:noProof/>
          <w:lang w:val="sk-SK"/>
        </w:rPr>
        <w:t xml:space="preserve"> 2025.</w:t>
      </w:r>
    </w:p>
    <w:p w14:paraId="699BE258" w14:textId="7777777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Reforma:</w:t>
      </w:r>
      <w:r w:rsidRPr="00083739">
        <w:rPr>
          <w:rFonts w:cs="Times New Roman"/>
          <w:noProof/>
          <w:lang w:val="sk-SK"/>
        </w:rPr>
        <w:t xml:space="preserve"> Reforma osobného lekára (ID opatrenia: 16984)</w:t>
      </w:r>
    </w:p>
    <w:p w14:paraId="7B713A48" w14:textId="14DCEA7B" w:rsidR="002D49B0" w:rsidRPr="00083739" w:rsidRDefault="00BF4125">
      <w:pPr>
        <w:pStyle w:val="P68B1DB1-Default29"/>
        <w:jc w:val="both"/>
        <w:rPr>
          <w:rFonts w:cs="Times New Roman"/>
          <w:noProof/>
          <w:lang w:val="sk-SK"/>
        </w:rPr>
        <w:sectPr w:rsidR="002D49B0" w:rsidRPr="00083739" w:rsidSect="00271D33">
          <w:headerReference w:type="even" r:id="rId169"/>
          <w:headerReference w:type="default" r:id="rId170"/>
          <w:footerReference w:type="even" r:id="rId171"/>
          <w:footerReference w:type="default" r:id="rId172"/>
          <w:headerReference w:type="first" r:id="rId173"/>
          <w:footerReference w:type="first" r:id="rId174"/>
          <w:pgSz w:w="11907" w:h="16839"/>
          <w:pgMar w:top="1134" w:right="1417" w:bottom="1134" w:left="1417" w:header="709" w:footer="468" w:gutter="0"/>
          <w:cols w:space="720"/>
          <w:docGrid w:linePitch="360"/>
        </w:sectPr>
      </w:pPr>
      <w:r w:rsidRPr="00083739">
        <w:rPr>
          <w:rFonts w:cs="Times New Roman"/>
          <w:noProof/>
          <w:lang w:val="sk-SK"/>
        </w:rPr>
        <w:t>Cieľom reformy je zvýšiť počet osobných lekárov zapísaných</w:t>
      </w:r>
      <w:r w:rsidR="00083739" w:rsidRPr="00083739">
        <w:rPr>
          <w:rFonts w:cs="Times New Roman"/>
          <w:noProof/>
          <w:lang w:val="sk-SK"/>
        </w:rPr>
        <w:t xml:space="preserve"> v </w:t>
      </w:r>
      <w:r w:rsidRPr="00083739">
        <w:rPr>
          <w:rFonts w:cs="Times New Roman"/>
          <w:noProof/>
          <w:lang w:val="sk-SK"/>
        </w:rPr>
        <w:t>osobnom lekárskom systéme</w:t>
      </w:r>
      <w:r w:rsidR="00083739" w:rsidRPr="00083739">
        <w:rPr>
          <w:rFonts w:cs="Times New Roman"/>
          <w:noProof/>
          <w:lang w:val="sk-SK"/>
        </w:rPr>
        <w:t xml:space="preserve"> s </w:t>
      </w:r>
      <w:r w:rsidRPr="00083739">
        <w:rPr>
          <w:rFonts w:cs="Times New Roman"/>
          <w:noProof/>
          <w:lang w:val="sk-SK"/>
        </w:rPr>
        <w:t>cieľom dosiahnuť úplné pokrytie obyva</w:t>
      </w:r>
      <w:r w:rsidRPr="00083739">
        <w:rPr>
          <w:rFonts w:cs="Times New Roman"/>
          <w:noProof/>
          <w:lang w:val="sk-SK"/>
        </w:rPr>
        <w:t>teľstva</w:t>
      </w:r>
      <w:r w:rsidR="00083739" w:rsidRPr="00083739">
        <w:rPr>
          <w:rFonts w:cs="Times New Roman"/>
          <w:noProof/>
          <w:lang w:val="sk-SK"/>
        </w:rPr>
        <w:t xml:space="preserve"> a </w:t>
      </w:r>
      <w:r w:rsidRPr="00083739">
        <w:rPr>
          <w:rFonts w:cs="Times New Roman"/>
          <w:noProof/>
          <w:lang w:val="sk-SK"/>
        </w:rPr>
        <w:t>dokončiť registráciu obyvateľstva.  Reforma umožní rozšíriť počet dostupných osobných lekárov prijatím všetkých súčasných lekárov na vidieku ako osobných lekárov</w:t>
      </w:r>
      <w:r w:rsidR="00083739" w:rsidRPr="00083739">
        <w:rPr>
          <w:rFonts w:cs="Times New Roman"/>
          <w:noProof/>
          <w:lang w:val="sk-SK"/>
        </w:rPr>
        <w:t xml:space="preserve"> a </w:t>
      </w:r>
      <w:r w:rsidRPr="00083739">
        <w:rPr>
          <w:rFonts w:cs="Times New Roman"/>
          <w:noProof/>
          <w:lang w:val="sk-SK"/>
        </w:rPr>
        <w:t>vytvorením nových podobných pozícií vo všetkých mestských, prímestských</w:t>
      </w:r>
      <w:r w:rsidR="00083739" w:rsidRPr="00083739">
        <w:rPr>
          <w:rFonts w:cs="Times New Roman"/>
          <w:noProof/>
          <w:lang w:val="sk-SK"/>
        </w:rPr>
        <w:t xml:space="preserve"> a </w:t>
      </w:r>
      <w:r w:rsidRPr="00083739">
        <w:rPr>
          <w:rFonts w:cs="Times New Roman"/>
          <w:noProof/>
          <w:lang w:val="sk-SK"/>
        </w:rPr>
        <w:t>vidiecky</w:t>
      </w:r>
      <w:r w:rsidRPr="00083739">
        <w:rPr>
          <w:rFonts w:cs="Times New Roman"/>
          <w:noProof/>
          <w:lang w:val="sk-SK"/>
        </w:rPr>
        <w:t>ch oblastiach,</w:t>
      </w:r>
      <w:r w:rsidR="00083739" w:rsidRPr="00083739">
        <w:rPr>
          <w:rFonts w:cs="Times New Roman"/>
          <w:noProof/>
          <w:lang w:val="sk-SK"/>
        </w:rPr>
        <w:t xml:space="preserve"> v </w:t>
      </w:r>
      <w:r w:rsidRPr="00083739">
        <w:rPr>
          <w:rFonts w:cs="Times New Roman"/>
          <w:noProof/>
          <w:lang w:val="sk-SK"/>
        </w:rPr>
        <w:t>ktorých stále existuje nedostatok osobných lekárov. Zavedie sa stimulačný mechanizmus pre lekárov, aby sa stali osobami</w:t>
      </w:r>
      <w:r w:rsidR="00083739" w:rsidRPr="00083739">
        <w:rPr>
          <w:rFonts w:cs="Times New Roman"/>
          <w:noProof/>
          <w:lang w:val="sk-SK"/>
        </w:rPr>
        <w:t xml:space="preserve"> s </w:t>
      </w:r>
      <w:r w:rsidRPr="00083739">
        <w:rPr>
          <w:rFonts w:cs="Times New Roman"/>
          <w:noProof/>
          <w:lang w:val="sk-SK"/>
        </w:rPr>
        <w:t xml:space="preserve">pobytom vo všeobecnej/rodinnej medicíne alebo internej medicíne. Aktivuje sa systém založený na udržiavaní prístupu. </w:t>
      </w:r>
      <w:r w:rsidRPr="00083739">
        <w:rPr>
          <w:rFonts w:cs="Times New Roman"/>
          <w:noProof/>
          <w:lang w:val="sk-SK"/>
        </w:rPr>
        <w:t xml:space="preserve">Implementácia reformy sa dokončí do 2. štvrťroka 2025.  </w:t>
      </w:r>
    </w:p>
    <w:p w14:paraId="41D5E7E6" w14:textId="4747592C" w:rsidR="002D49B0" w:rsidRPr="00083739" w:rsidRDefault="00BF4125">
      <w:pPr>
        <w:pStyle w:val="P68B1DB1-Normal25"/>
        <w:spacing w:before="120" w:after="120" w:line="240" w:lineRule="auto"/>
        <w:jc w:val="both"/>
        <w:rPr>
          <w:rFonts w:cs="Times New Roman"/>
          <w:bCs/>
          <w:noProof/>
          <w:lang w:val="sk-SK"/>
        </w:rPr>
      </w:pPr>
      <w:r w:rsidRPr="00083739">
        <w:rPr>
          <w:rFonts w:cs="Times New Roman"/>
          <w:noProof/>
          <w:lang w:val="sk-SK"/>
        </w:rPr>
        <w:t>J.2. Míľniky, ciele, ukazovatele</w:t>
      </w:r>
      <w:r w:rsidR="00083739" w:rsidRPr="00083739">
        <w:rPr>
          <w:rFonts w:cs="Times New Roman"/>
          <w:noProof/>
          <w:lang w:val="sk-SK"/>
        </w:rPr>
        <w:t xml:space="preserve"> a </w:t>
      </w:r>
      <w:r w:rsidRPr="00083739">
        <w:rPr>
          <w:rFonts w:cs="Times New Roman"/>
          <w:noProof/>
          <w:lang w:val="sk-SK"/>
        </w:rPr>
        <w:t>harmonogram monitorovania</w:t>
      </w:r>
      <w:r w:rsidR="00083739" w:rsidRPr="00083739">
        <w:rPr>
          <w:rFonts w:cs="Times New Roman"/>
          <w:noProof/>
          <w:lang w:val="sk-SK"/>
        </w:rPr>
        <w:t xml:space="preserve"> a </w:t>
      </w:r>
      <w:r w:rsidRPr="00083739">
        <w:rPr>
          <w:rFonts w:cs="Times New Roman"/>
          <w:noProof/>
          <w:lang w:val="sk-SK"/>
        </w:rPr>
        <w:t>realizácie pre nenávratnú finančnú podporu</w:t>
      </w:r>
    </w:p>
    <w:p w14:paraId="462E3341" w14:textId="1F5E53A9" w:rsidR="002D49B0" w:rsidRPr="00083739" w:rsidRDefault="00BF4125">
      <w:pPr>
        <w:pStyle w:val="P68B1DB1-Normal6"/>
        <w:keepNext/>
        <w:keepLines/>
        <w:spacing w:before="40" w:after="0" w:line="240" w:lineRule="auto"/>
        <w:jc w:val="both"/>
        <w:outlineLvl w:val="4"/>
        <w:rPr>
          <w:rFonts w:ascii="Times New Roman" w:hAnsi="Times New Roman" w:cs="Times New Roman"/>
          <w:noProof/>
          <w:lang w:val="sk-SK"/>
        </w:rPr>
      </w:pPr>
      <w:r w:rsidRPr="00083739">
        <w:rPr>
          <w:rFonts w:ascii="Times New Roman" w:hAnsi="Times New Roman" w:cs="Times New Roman"/>
          <w:noProof/>
          <w:lang w:val="sk-SK"/>
        </w:rPr>
        <w:t>Kľúčová reforma 7: Reformy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urýchlenie investícií</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sektore zdravotnej starostlivosti –</w:t>
      </w:r>
      <w:r w:rsidRPr="00083739">
        <w:rPr>
          <w:rFonts w:ascii="Times New Roman" w:hAnsi="Times New Roman" w:cs="Times New Roman"/>
          <w:noProof/>
          <w:lang w:val="sk-SK"/>
        </w:rPr>
        <w:t xml:space="preserve"> zníženie spätného získania prostriedkov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racionalizácia výdavkov na zdravotnú starostlivosť (ID: 16816)</w:t>
      </w:r>
    </w:p>
    <w:p w14:paraId="75711023" w14:textId="77777777" w:rsidR="002D49B0" w:rsidRPr="00083739" w:rsidRDefault="002D49B0">
      <w:pPr>
        <w:keepNext/>
        <w:keepLines/>
        <w:spacing w:before="40" w:after="0" w:line="240" w:lineRule="auto"/>
        <w:jc w:val="both"/>
        <w:outlineLvl w:val="4"/>
        <w:rPr>
          <w:rFonts w:ascii="Times New Roman" w:eastAsia="Times New Roman" w:hAnsi="Times New Roman" w:cs="Times New Roman"/>
          <w:noProof/>
          <w:color w:val="365F91"/>
          <w:sz w:val="24"/>
          <w:lang w:val="sk-SK"/>
        </w:rPr>
      </w:pPr>
    </w:p>
    <w:tbl>
      <w:tblPr>
        <w:tblW w:w="15730" w:type="dxa"/>
        <w:jc w:val="center"/>
        <w:tblLook w:val="04A0" w:firstRow="1" w:lastRow="0" w:firstColumn="1" w:lastColumn="0" w:noHBand="0" w:noVBand="1"/>
      </w:tblPr>
      <w:tblGrid>
        <w:gridCol w:w="1027"/>
        <w:gridCol w:w="1396"/>
        <w:gridCol w:w="1115"/>
        <w:gridCol w:w="1350"/>
        <w:gridCol w:w="1717"/>
        <w:gridCol w:w="1396"/>
        <w:gridCol w:w="957"/>
        <w:gridCol w:w="764"/>
        <w:gridCol w:w="1167"/>
        <w:gridCol w:w="992"/>
        <w:gridCol w:w="4501"/>
      </w:tblGrid>
      <w:tr w:rsidR="002D49B0" w:rsidRPr="00083739" w14:paraId="347D3D0D" w14:textId="77777777">
        <w:trPr>
          <w:trHeight w:val="759"/>
          <w:tblHeader/>
          <w:jc w:val="center"/>
        </w:trPr>
        <w:tc>
          <w:tcPr>
            <w:tcW w:w="102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D851284"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Poradové číslo</w:t>
            </w:r>
          </w:p>
        </w:tc>
        <w:tc>
          <w:tcPr>
            <w:tcW w:w="137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52418E9"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Súvisiace opatrenie (reforma alebo investícia)</w:t>
            </w:r>
          </w:p>
        </w:tc>
        <w:tc>
          <w:tcPr>
            <w:tcW w:w="96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4DC7D03"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Míľnik/cieľ</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9B491D0"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Názov</w:t>
            </w:r>
          </w:p>
        </w:tc>
        <w:tc>
          <w:tcPr>
            <w:tcW w:w="171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F4ABB78"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Kvalitatívne ukazovatele (pre míľniky)</w:t>
            </w:r>
          </w:p>
        </w:tc>
        <w:tc>
          <w:tcPr>
            <w:tcW w:w="2828" w:type="dxa"/>
            <w:gridSpan w:val="3"/>
            <w:tcBorders>
              <w:top w:val="single" w:sz="4" w:space="0" w:color="auto"/>
              <w:left w:val="single" w:sz="4" w:space="0" w:color="auto"/>
              <w:bottom w:val="single" w:sz="4" w:space="0" w:color="auto"/>
              <w:right w:val="single" w:sz="4" w:space="0" w:color="auto"/>
            </w:tcBorders>
            <w:shd w:val="clear" w:color="auto" w:fill="BDD7EE"/>
            <w:vAlign w:val="center"/>
            <w:hideMark/>
          </w:tcPr>
          <w:p w14:paraId="0106BB72"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Kvantitatívne ukazovatele (pre</w:t>
            </w:r>
            <w:r w:rsidRPr="00083739">
              <w:rPr>
                <w:rFonts w:cs="Times New Roman"/>
                <w:noProof/>
                <w:lang w:val="sk-SK"/>
              </w:rPr>
              <w:t xml:space="preserve"> ciele)</w:t>
            </w:r>
          </w:p>
        </w:tc>
        <w:tc>
          <w:tcPr>
            <w:tcW w:w="1965" w:type="dxa"/>
            <w:gridSpan w:val="2"/>
            <w:tcBorders>
              <w:top w:val="single" w:sz="4" w:space="0" w:color="auto"/>
              <w:left w:val="nil"/>
              <w:bottom w:val="single" w:sz="4" w:space="0" w:color="auto"/>
              <w:right w:val="single" w:sz="4" w:space="0" w:color="auto"/>
            </w:tcBorders>
            <w:shd w:val="clear" w:color="auto" w:fill="BDD7EE"/>
            <w:vAlign w:val="center"/>
            <w:hideMark/>
          </w:tcPr>
          <w:p w14:paraId="7A51B783"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Orientačný harmonogram dokončenia </w:t>
            </w:r>
          </w:p>
        </w:tc>
        <w:tc>
          <w:tcPr>
            <w:tcW w:w="450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BFA1826" w14:textId="4E891210"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Opis každého míľnika</w:t>
            </w:r>
            <w:r w:rsidR="00083739" w:rsidRPr="00083739">
              <w:rPr>
                <w:rFonts w:cs="Times New Roman"/>
                <w:noProof/>
                <w:lang w:val="sk-SK"/>
              </w:rPr>
              <w:t xml:space="preserve"> a </w:t>
            </w:r>
            <w:r w:rsidRPr="00083739">
              <w:rPr>
                <w:rFonts w:cs="Times New Roman"/>
                <w:noProof/>
                <w:lang w:val="sk-SK"/>
              </w:rPr>
              <w:t>cieľa</w:t>
            </w:r>
          </w:p>
        </w:tc>
      </w:tr>
      <w:tr w:rsidR="002D49B0" w:rsidRPr="00083739" w14:paraId="5C01EF19" w14:textId="77777777">
        <w:trPr>
          <w:trHeight w:val="532"/>
          <w:tblHeader/>
          <w:jc w:val="center"/>
        </w:trPr>
        <w:tc>
          <w:tcPr>
            <w:tcW w:w="1027" w:type="dxa"/>
            <w:vMerge/>
            <w:tcBorders>
              <w:top w:val="single" w:sz="4" w:space="0" w:color="auto"/>
              <w:left w:val="single" w:sz="4" w:space="0" w:color="auto"/>
              <w:bottom w:val="single" w:sz="4" w:space="0" w:color="auto"/>
              <w:right w:val="single" w:sz="4" w:space="0" w:color="auto"/>
            </w:tcBorders>
            <w:vAlign w:val="center"/>
            <w:hideMark/>
          </w:tcPr>
          <w:p w14:paraId="439BEDFE"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376" w:type="dxa"/>
            <w:vMerge/>
            <w:tcBorders>
              <w:top w:val="single" w:sz="4" w:space="0" w:color="auto"/>
              <w:left w:val="single" w:sz="4" w:space="0" w:color="auto"/>
              <w:bottom w:val="single" w:sz="4" w:space="0" w:color="auto"/>
              <w:right w:val="single" w:sz="4" w:space="0" w:color="auto"/>
            </w:tcBorders>
            <w:vAlign w:val="center"/>
            <w:hideMark/>
          </w:tcPr>
          <w:p w14:paraId="5006140C"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966" w:type="dxa"/>
            <w:vMerge/>
            <w:tcBorders>
              <w:top w:val="single" w:sz="4" w:space="0" w:color="auto"/>
              <w:left w:val="single" w:sz="4" w:space="0" w:color="auto"/>
              <w:bottom w:val="single" w:sz="4" w:space="0" w:color="auto"/>
              <w:right w:val="single" w:sz="4" w:space="0" w:color="auto"/>
            </w:tcBorders>
            <w:vAlign w:val="center"/>
            <w:hideMark/>
          </w:tcPr>
          <w:p w14:paraId="143BE3FB"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58A5E2EF"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14:paraId="6EFFC0FD"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194"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649BA5C4"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Merná jednotka</w:t>
            </w:r>
          </w:p>
        </w:tc>
        <w:tc>
          <w:tcPr>
            <w:tcW w:w="870" w:type="dxa"/>
            <w:tcBorders>
              <w:top w:val="nil"/>
              <w:left w:val="nil"/>
              <w:bottom w:val="single" w:sz="4" w:space="0" w:color="auto"/>
              <w:right w:val="single" w:sz="4" w:space="0" w:color="auto"/>
            </w:tcBorders>
            <w:shd w:val="clear" w:color="auto" w:fill="BDD7EE"/>
            <w:vAlign w:val="center"/>
            <w:hideMark/>
          </w:tcPr>
          <w:p w14:paraId="423333C8"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Základná </w:t>
            </w:r>
          </w:p>
        </w:tc>
        <w:tc>
          <w:tcPr>
            <w:tcW w:w="764" w:type="dxa"/>
            <w:tcBorders>
              <w:top w:val="nil"/>
              <w:left w:val="nil"/>
              <w:bottom w:val="single" w:sz="4" w:space="0" w:color="auto"/>
              <w:right w:val="single" w:sz="4" w:space="0" w:color="auto"/>
            </w:tcBorders>
            <w:shd w:val="clear" w:color="auto" w:fill="BDD7EE"/>
            <w:vAlign w:val="center"/>
            <w:hideMark/>
          </w:tcPr>
          <w:p w14:paraId="415668DB"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Cieľ </w:t>
            </w:r>
          </w:p>
        </w:tc>
        <w:tc>
          <w:tcPr>
            <w:tcW w:w="973" w:type="dxa"/>
            <w:tcBorders>
              <w:top w:val="nil"/>
              <w:left w:val="nil"/>
              <w:bottom w:val="single" w:sz="4" w:space="0" w:color="auto"/>
              <w:right w:val="single" w:sz="4" w:space="0" w:color="auto"/>
            </w:tcBorders>
            <w:shd w:val="clear" w:color="auto" w:fill="BDD7EE"/>
            <w:vAlign w:val="center"/>
            <w:hideMark/>
          </w:tcPr>
          <w:p w14:paraId="2B01744C"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Štvrtina</w:t>
            </w:r>
          </w:p>
        </w:tc>
        <w:tc>
          <w:tcPr>
            <w:tcW w:w="992" w:type="dxa"/>
            <w:tcBorders>
              <w:top w:val="nil"/>
              <w:left w:val="nil"/>
              <w:bottom w:val="single" w:sz="4" w:space="0" w:color="auto"/>
              <w:right w:val="single" w:sz="4" w:space="0" w:color="auto"/>
            </w:tcBorders>
            <w:shd w:val="clear" w:color="auto" w:fill="BDD7EE"/>
            <w:vAlign w:val="center"/>
            <w:hideMark/>
          </w:tcPr>
          <w:p w14:paraId="71D7602C"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Rok</w:t>
            </w:r>
          </w:p>
        </w:tc>
        <w:tc>
          <w:tcPr>
            <w:tcW w:w="4501" w:type="dxa"/>
            <w:vMerge/>
            <w:tcBorders>
              <w:top w:val="single" w:sz="4" w:space="0" w:color="auto"/>
              <w:bottom w:val="single" w:sz="4" w:space="0" w:color="auto"/>
              <w:right w:val="single" w:sz="4" w:space="0" w:color="auto"/>
            </w:tcBorders>
            <w:vAlign w:val="center"/>
            <w:hideMark/>
          </w:tcPr>
          <w:p w14:paraId="6E916CA5"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r>
      <w:tr w:rsidR="002D49B0" w:rsidRPr="00083739" w14:paraId="60D60C94" w14:textId="77777777">
        <w:trPr>
          <w:trHeight w:val="309"/>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513E875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153</w:t>
            </w:r>
          </w:p>
        </w:tc>
        <w:tc>
          <w:tcPr>
            <w:tcW w:w="1376" w:type="dxa"/>
            <w:tcBorders>
              <w:top w:val="single" w:sz="4" w:space="0" w:color="auto"/>
              <w:left w:val="nil"/>
              <w:bottom w:val="single" w:sz="4" w:space="0" w:color="auto"/>
              <w:right w:val="single" w:sz="4" w:space="0" w:color="auto"/>
            </w:tcBorders>
            <w:shd w:val="clear" w:color="auto" w:fill="C6EFCE"/>
            <w:noWrap/>
          </w:tcPr>
          <w:p w14:paraId="66DB1F12" w14:textId="3F721D19"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10 – 3.3. Zlepšenie odolnosti, dostupnosti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udržateľnosti zdravotnej starostlivosti – 16816_Reformy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urýchlenie investícií</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sektore zdravotnej starostlivosti – Zníženie vrátenia prostriedkov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racionalizácia výdavkov na zdravotnú starostlivosť</w:t>
            </w:r>
          </w:p>
        </w:tc>
        <w:tc>
          <w:tcPr>
            <w:tcW w:w="966" w:type="dxa"/>
            <w:tcBorders>
              <w:top w:val="single" w:sz="4" w:space="0" w:color="auto"/>
              <w:left w:val="nil"/>
              <w:bottom w:val="single" w:sz="4" w:space="0" w:color="auto"/>
              <w:right w:val="single" w:sz="4" w:space="0" w:color="auto"/>
            </w:tcBorders>
            <w:shd w:val="clear" w:color="auto" w:fill="C6EFCE"/>
            <w:noWrap/>
          </w:tcPr>
          <w:p w14:paraId="7F43E92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50" w:type="dxa"/>
            <w:tcBorders>
              <w:top w:val="single" w:sz="4" w:space="0" w:color="auto"/>
              <w:left w:val="nil"/>
              <w:bottom w:val="single" w:sz="4" w:space="0" w:color="auto"/>
              <w:right w:val="single" w:sz="4" w:space="0" w:color="auto"/>
            </w:tcBorders>
            <w:shd w:val="clear" w:color="auto" w:fill="C6EFCE"/>
            <w:noWrap/>
          </w:tcPr>
          <w:p w14:paraId="6B54616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Spätné vrátenie prostriedkov – nadobudnutie účinnosti právnych predpisov</w:t>
            </w:r>
          </w:p>
        </w:tc>
        <w:tc>
          <w:tcPr>
            <w:tcW w:w="1717" w:type="dxa"/>
            <w:tcBorders>
              <w:top w:val="single" w:sz="4" w:space="0" w:color="auto"/>
              <w:left w:val="nil"/>
              <w:bottom w:val="single" w:sz="4" w:space="0" w:color="auto"/>
              <w:right w:val="single" w:sz="4" w:space="0" w:color="auto"/>
            </w:tcBorders>
            <w:shd w:val="clear" w:color="auto" w:fill="C6EFCE"/>
            <w:noWrap/>
          </w:tcPr>
          <w:p w14:paraId="1F2A4793" w14:textId="168A71C9"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Nadobudnutie účinnosti revidovaných právnych predpisov, </w:t>
            </w:r>
            <w:r w:rsidRPr="00083739">
              <w:rPr>
                <w:rFonts w:ascii="Times New Roman" w:hAnsi="Times New Roman" w:cs="Times New Roman"/>
                <w:noProof/>
                <w:lang w:val="sk-SK"/>
              </w:rPr>
              <w:t>ktorými sa zavádza rozdelenie rizika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záväzné ciele pre minimálne zníženie spätného vrátenia prostriedkov podľa harmonogramu uvedeného</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 xml:space="preserve">opise. </w:t>
            </w:r>
          </w:p>
        </w:tc>
        <w:tc>
          <w:tcPr>
            <w:tcW w:w="1194" w:type="dxa"/>
            <w:tcBorders>
              <w:top w:val="single" w:sz="4" w:space="0" w:color="auto"/>
              <w:left w:val="nil"/>
              <w:bottom w:val="single" w:sz="4" w:space="0" w:color="auto"/>
              <w:right w:val="single" w:sz="4" w:space="0" w:color="auto"/>
            </w:tcBorders>
            <w:shd w:val="clear" w:color="auto" w:fill="C6EFCE"/>
            <w:noWrap/>
          </w:tcPr>
          <w:p w14:paraId="34089610"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70" w:type="dxa"/>
            <w:tcBorders>
              <w:top w:val="nil"/>
              <w:left w:val="nil"/>
              <w:bottom w:val="single" w:sz="4" w:space="0" w:color="auto"/>
              <w:right w:val="single" w:sz="4" w:space="0" w:color="auto"/>
            </w:tcBorders>
            <w:shd w:val="clear" w:color="auto" w:fill="C6EFCE"/>
            <w:noWrap/>
          </w:tcPr>
          <w:p w14:paraId="4871BE7A"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764" w:type="dxa"/>
            <w:tcBorders>
              <w:top w:val="nil"/>
              <w:left w:val="nil"/>
              <w:bottom w:val="single" w:sz="4" w:space="0" w:color="auto"/>
              <w:right w:val="single" w:sz="4" w:space="0" w:color="auto"/>
            </w:tcBorders>
            <w:shd w:val="clear" w:color="auto" w:fill="C6EFCE"/>
            <w:noWrap/>
          </w:tcPr>
          <w:p w14:paraId="4EA51FEB"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73" w:type="dxa"/>
            <w:tcBorders>
              <w:top w:val="nil"/>
              <w:left w:val="nil"/>
              <w:bottom w:val="single" w:sz="4" w:space="0" w:color="auto"/>
              <w:right w:val="single" w:sz="4" w:space="0" w:color="auto"/>
            </w:tcBorders>
            <w:shd w:val="clear" w:color="auto" w:fill="C6EFCE"/>
            <w:noWrap/>
          </w:tcPr>
          <w:p w14:paraId="2FC64CC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TRETÍ ŠTVRŤROK</w:t>
            </w:r>
          </w:p>
        </w:tc>
        <w:tc>
          <w:tcPr>
            <w:tcW w:w="992" w:type="dxa"/>
            <w:tcBorders>
              <w:top w:val="nil"/>
              <w:left w:val="nil"/>
              <w:bottom w:val="single" w:sz="4" w:space="0" w:color="auto"/>
              <w:right w:val="single" w:sz="4" w:space="0" w:color="auto"/>
            </w:tcBorders>
            <w:shd w:val="clear" w:color="auto" w:fill="C6EFCE"/>
            <w:noWrap/>
          </w:tcPr>
          <w:p w14:paraId="657CDA1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2021</w:t>
            </w:r>
          </w:p>
        </w:tc>
        <w:tc>
          <w:tcPr>
            <w:tcW w:w="4501" w:type="dxa"/>
            <w:tcBorders>
              <w:top w:val="single" w:sz="4" w:space="0" w:color="auto"/>
              <w:left w:val="nil"/>
              <w:bottom w:val="single" w:sz="4" w:space="0" w:color="auto"/>
              <w:right w:val="single" w:sz="4" w:space="0" w:color="auto"/>
            </w:tcBorders>
            <w:shd w:val="clear" w:color="auto" w:fill="C6EFCE"/>
            <w:noWrap/>
          </w:tcPr>
          <w:p w14:paraId="01C7961A" w14:textId="7B0792F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právneho rámca (primárneho práva) pre rozdelenie rizika pri výpo</w:t>
            </w:r>
            <w:r w:rsidRPr="00083739">
              <w:rPr>
                <w:rFonts w:ascii="Times New Roman" w:hAnsi="Times New Roman" w:cs="Times New Roman"/>
                <w:noProof/>
                <w:lang w:val="sk-SK"/>
              </w:rPr>
              <w:t>čte spätného vrátenia prostriedkov stanovením záväzného cieľa zníženia spätného vrátenia prostriedkov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nasledujúcich rokoch. Cieľom reformy je minimálne zníženie súm spätne získaných prostriedkov</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50 000 000 EUR (2022), 150 000 000 EUR (2023), 300 000 00</w:t>
            </w:r>
            <w:r w:rsidRPr="00083739">
              <w:rPr>
                <w:rFonts w:ascii="Times New Roman" w:hAnsi="Times New Roman" w:cs="Times New Roman"/>
                <w:noProof/>
                <w:lang w:val="sk-SK"/>
              </w:rPr>
              <w:t>0 EUR (2024)</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400 000 000 EUR (2025) oproti úrovniam</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roku 2020. Pokiaľ sa to nedosiahne, rozdiel medzi cieľovým znížením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skutočným znížením za každý rok sa spätne nezíska od farmaceutického priemyslu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príslušnú sumu znáša štátny rozpočet až do výšky </w:t>
            </w:r>
            <w:r w:rsidRPr="00083739">
              <w:rPr>
                <w:rFonts w:ascii="Times New Roman" w:hAnsi="Times New Roman" w:cs="Times New Roman"/>
                <w:noProof/>
                <w:lang w:val="sk-SK"/>
              </w:rPr>
              <w:t>cieľového zníženia súm spätne získaných prostriedkov.</w:t>
            </w:r>
          </w:p>
        </w:tc>
      </w:tr>
      <w:tr w:rsidR="002D49B0" w:rsidRPr="00083739" w14:paraId="06CE5AEF" w14:textId="77777777">
        <w:trPr>
          <w:trHeight w:val="309"/>
          <w:jc w:val="center"/>
        </w:trPr>
        <w:tc>
          <w:tcPr>
            <w:tcW w:w="1027" w:type="dxa"/>
            <w:tcBorders>
              <w:top w:val="nil"/>
              <w:left w:val="single" w:sz="4" w:space="0" w:color="auto"/>
              <w:bottom w:val="single" w:sz="4" w:space="0" w:color="auto"/>
              <w:right w:val="single" w:sz="4" w:space="0" w:color="auto"/>
            </w:tcBorders>
            <w:shd w:val="clear" w:color="auto" w:fill="C6EFCE"/>
            <w:noWrap/>
          </w:tcPr>
          <w:p w14:paraId="0EAD7F4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154</w:t>
            </w:r>
          </w:p>
        </w:tc>
        <w:tc>
          <w:tcPr>
            <w:tcW w:w="1376" w:type="dxa"/>
            <w:tcBorders>
              <w:top w:val="nil"/>
              <w:left w:val="nil"/>
              <w:bottom w:val="single" w:sz="4" w:space="0" w:color="auto"/>
              <w:right w:val="single" w:sz="4" w:space="0" w:color="auto"/>
            </w:tcBorders>
            <w:shd w:val="clear" w:color="auto" w:fill="C6EFCE"/>
            <w:noWrap/>
          </w:tcPr>
          <w:p w14:paraId="30F7CA43" w14:textId="2F53430B"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10 – 3.3. Zlepšenie odolnosti, dostupnosti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udržateľnosti zdravotnej starostlivosti – 16816_Reformy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urýchlenie investícií</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sektore zdravotnej starostlivosti – Zníženie vrátenia prostriedkov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racionalizácia výdavkov na zdravotnú starostlivosť</w:t>
            </w:r>
          </w:p>
        </w:tc>
        <w:tc>
          <w:tcPr>
            <w:tcW w:w="966" w:type="dxa"/>
            <w:tcBorders>
              <w:top w:val="nil"/>
              <w:left w:val="nil"/>
              <w:bottom w:val="single" w:sz="4" w:space="0" w:color="auto"/>
              <w:right w:val="single" w:sz="4" w:space="0" w:color="auto"/>
            </w:tcBorders>
            <w:shd w:val="clear" w:color="auto" w:fill="C6EFCE"/>
            <w:noWrap/>
          </w:tcPr>
          <w:p w14:paraId="2D174A8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Cieľ</w:t>
            </w:r>
          </w:p>
        </w:tc>
        <w:tc>
          <w:tcPr>
            <w:tcW w:w="1350" w:type="dxa"/>
            <w:tcBorders>
              <w:top w:val="nil"/>
              <w:left w:val="nil"/>
              <w:bottom w:val="single" w:sz="4" w:space="0" w:color="auto"/>
              <w:right w:val="single" w:sz="4" w:space="0" w:color="auto"/>
            </w:tcBorders>
            <w:shd w:val="clear" w:color="auto" w:fill="C6EFCE"/>
            <w:noWrap/>
          </w:tcPr>
          <w:p w14:paraId="7192DCE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Zníženie vrátenia poskytnutých prostriedkov 50000000 – krok 1</w:t>
            </w:r>
          </w:p>
        </w:tc>
        <w:tc>
          <w:tcPr>
            <w:tcW w:w="1717" w:type="dxa"/>
            <w:tcBorders>
              <w:top w:val="nil"/>
              <w:left w:val="nil"/>
              <w:bottom w:val="single" w:sz="4" w:space="0" w:color="auto"/>
              <w:right w:val="single" w:sz="4" w:space="0" w:color="auto"/>
            </w:tcBorders>
            <w:shd w:val="clear" w:color="auto" w:fill="C6EFCE"/>
            <w:noWrap/>
          </w:tcPr>
          <w:p w14:paraId="2A309AA7"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194" w:type="dxa"/>
            <w:tcBorders>
              <w:top w:val="nil"/>
              <w:left w:val="nil"/>
              <w:bottom w:val="single" w:sz="4" w:space="0" w:color="auto"/>
              <w:right w:val="single" w:sz="4" w:space="0" w:color="auto"/>
            </w:tcBorders>
            <w:shd w:val="clear" w:color="auto" w:fill="C6EFCE"/>
            <w:noWrap/>
          </w:tcPr>
          <w:p w14:paraId="25A9B656" w14:textId="3B43D73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Zníženie sumy spätného vrátenia prostriedkov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porovnaní</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úrovňami</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roku 2020 (v mil. EUR)</w:t>
            </w:r>
          </w:p>
        </w:tc>
        <w:tc>
          <w:tcPr>
            <w:tcW w:w="870" w:type="dxa"/>
            <w:tcBorders>
              <w:top w:val="nil"/>
              <w:left w:val="nil"/>
              <w:bottom w:val="single" w:sz="4" w:space="0" w:color="auto"/>
              <w:right w:val="single" w:sz="4" w:space="0" w:color="auto"/>
            </w:tcBorders>
            <w:shd w:val="clear" w:color="auto" w:fill="C6EFCE"/>
            <w:noWrap/>
          </w:tcPr>
          <w:p w14:paraId="7AC4C78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0</w:t>
            </w:r>
          </w:p>
        </w:tc>
        <w:tc>
          <w:tcPr>
            <w:tcW w:w="764" w:type="dxa"/>
            <w:tcBorders>
              <w:top w:val="nil"/>
              <w:left w:val="nil"/>
              <w:bottom w:val="single" w:sz="4" w:space="0" w:color="auto"/>
              <w:right w:val="single" w:sz="4" w:space="0" w:color="auto"/>
            </w:tcBorders>
            <w:shd w:val="clear" w:color="auto" w:fill="C6EFCE"/>
            <w:noWrap/>
          </w:tcPr>
          <w:p w14:paraId="6A27480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50</w:t>
            </w:r>
          </w:p>
        </w:tc>
        <w:tc>
          <w:tcPr>
            <w:tcW w:w="973" w:type="dxa"/>
            <w:tcBorders>
              <w:top w:val="nil"/>
              <w:left w:val="nil"/>
              <w:bottom w:val="single" w:sz="4" w:space="0" w:color="auto"/>
              <w:right w:val="single" w:sz="4" w:space="0" w:color="auto"/>
            </w:tcBorders>
            <w:shd w:val="clear" w:color="auto" w:fill="C6EFCE"/>
            <w:noWrap/>
          </w:tcPr>
          <w:p w14:paraId="00041BF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992" w:type="dxa"/>
            <w:tcBorders>
              <w:top w:val="nil"/>
              <w:left w:val="nil"/>
              <w:bottom w:val="single" w:sz="4" w:space="0" w:color="auto"/>
              <w:right w:val="single" w:sz="4" w:space="0" w:color="auto"/>
            </w:tcBorders>
            <w:shd w:val="clear" w:color="auto" w:fill="C6EFCE"/>
            <w:noWrap/>
          </w:tcPr>
          <w:p w14:paraId="38B205F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2023</w:t>
            </w:r>
          </w:p>
        </w:tc>
        <w:tc>
          <w:tcPr>
            <w:tcW w:w="4501" w:type="dxa"/>
            <w:tcBorders>
              <w:top w:val="nil"/>
              <w:left w:val="nil"/>
              <w:bottom w:val="single" w:sz="4" w:space="0" w:color="auto"/>
              <w:right w:val="single" w:sz="4" w:space="0" w:color="auto"/>
            </w:tcBorders>
            <w:shd w:val="clear" w:color="auto" w:fill="C6EFCE"/>
            <w:noWrap/>
          </w:tcPr>
          <w:p w14:paraId="209B746E" w14:textId="5FDEDB45"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Presadzovať predtým</w:t>
            </w:r>
            <w:r w:rsidRPr="00083739">
              <w:rPr>
                <w:rFonts w:ascii="Times New Roman" w:hAnsi="Times New Roman" w:cs="Times New Roman"/>
                <w:noProof/>
                <w:lang w:val="sk-SK"/>
              </w:rPr>
              <w:t xml:space="preserve"> prijaté opatrenia na zvýšenie efektívnosti</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cieľom dosiahnuť zníženie vracania farmaceutických prostriedkov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roku 2022</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prípade ambulantných aj nemocničných liekov</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50 000 000 EUR</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porovnaní</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úrovňami</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roku 2020. Pokiaľ sa to nedosiahne, rozdiel me</w:t>
            </w:r>
            <w:r w:rsidRPr="00083739">
              <w:rPr>
                <w:rFonts w:ascii="Times New Roman" w:hAnsi="Times New Roman" w:cs="Times New Roman"/>
                <w:noProof/>
                <w:lang w:val="sk-SK"/>
              </w:rPr>
              <w:t>dzi cieľovým znížením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skutočným znížením za každý rok sa spätne nezíska od farmaceutického priemyslu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príslušnú sumu hradí štátny rozpočet do výšky 50 000 000 EUR. </w:t>
            </w:r>
          </w:p>
        </w:tc>
      </w:tr>
      <w:tr w:rsidR="002D49B0" w:rsidRPr="00083739" w14:paraId="6C6C1FD3" w14:textId="77777777">
        <w:trPr>
          <w:trHeight w:val="309"/>
          <w:jc w:val="center"/>
        </w:trPr>
        <w:tc>
          <w:tcPr>
            <w:tcW w:w="1027" w:type="dxa"/>
            <w:tcBorders>
              <w:top w:val="nil"/>
              <w:left w:val="single" w:sz="4" w:space="0" w:color="auto"/>
              <w:bottom w:val="single" w:sz="4" w:space="0" w:color="auto"/>
              <w:right w:val="single" w:sz="4" w:space="0" w:color="auto"/>
            </w:tcBorders>
            <w:shd w:val="clear" w:color="auto" w:fill="C6EFCE"/>
            <w:noWrap/>
          </w:tcPr>
          <w:p w14:paraId="3583346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155</w:t>
            </w:r>
          </w:p>
        </w:tc>
        <w:tc>
          <w:tcPr>
            <w:tcW w:w="1376" w:type="dxa"/>
            <w:tcBorders>
              <w:top w:val="nil"/>
              <w:left w:val="nil"/>
              <w:bottom w:val="single" w:sz="4" w:space="0" w:color="auto"/>
              <w:right w:val="single" w:sz="4" w:space="0" w:color="auto"/>
            </w:tcBorders>
            <w:shd w:val="clear" w:color="auto" w:fill="C6EFCE"/>
            <w:noWrap/>
          </w:tcPr>
          <w:p w14:paraId="057F1CE2" w14:textId="4CED4F3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10 – 3.3. Zlepšenie odolnosti, dostupnosti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udržateľnosti zdravotnej </w:t>
            </w:r>
            <w:r w:rsidRPr="00083739">
              <w:rPr>
                <w:rFonts w:ascii="Times New Roman" w:hAnsi="Times New Roman" w:cs="Times New Roman"/>
                <w:noProof/>
                <w:lang w:val="sk-SK"/>
              </w:rPr>
              <w:t>starostlivosti – 16816_Reformy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urýchlenie investícií</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sektore zdravotnej starostlivosti – Zníženie vrátenia prostriedkov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racionalizácia výdavkov na zdravotnú starostlivosť</w:t>
            </w:r>
          </w:p>
        </w:tc>
        <w:tc>
          <w:tcPr>
            <w:tcW w:w="966" w:type="dxa"/>
            <w:tcBorders>
              <w:top w:val="nil"/>
              <w:left w:val="nil"/>
              <w:bottom w:val="single" w:sz="4" w:space="0" w:color="auto"/>
              <w:right w:val="single" w:sz="4" w:space="0" w:color="auto"/>
            </w:tcBorders>
            <w:shd w:val="clear" w:color="auto" w:fill="C6EFCE"/>
            <w:noWrap/>
          </w:tcPr>
          <w:p w14:paraId="7883B11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Cieľ</w:t>
            </w:r>
          </w:p>
        </w:tc>
        <w:tc>
          <w:tcPr>
            <w:tcW w:w="1350" w:type="dxa"/>
            <w:tcBorders>
              <w:top w:val="nil"/>
              <w:left w:val="nil"/>
              <w:bottom w:val="single" w:sz="4" w:space="0" w:color="auto"/>
              <w:right w:val="single" w:sz="4" w:space="0" w:color="auto"/>
            </w:tcBorders>
            <w:shd w:val="clear" w:color="auto" w:fill="C6EFCE"/>
            <w:noWrap/>
          </w:tcPr>
          <w:p w14:paraId="6F2C9E0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Zníženie vrátenia poskytnutých prostriedkov 150000000 – krok 2</w:t>
            </w:r>
          </w:p>
        </w:tc>
        <w:tc>
          <w:tcPr>
            <w:tcW w:w="1717" w:type="dxa"/>
            <w:tcBorders>
              <w:top w:val="nil"/>
              <w:left w:val="nil"/>
              <w:bottom w:val="single" w:sz="4" w:space="0" w:color="auto"/>
              <w:right w:val="single" w:sz="4" w:space="0" w:color="auto"/>
            </w:tcBorders>
            <w:shd w:val="clear" w:color="auto" w:fill="C6EFCE"/>
            <w:noWrap/>
          </w:tcPr>
          <w:p w14:paraId="1DB7966A"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194" w:type="dxa"/>
            <w:tcBorders>
              <w:top w:val="nil"/>
              <w:left w:val="nil"/>
              <w:bottom w:val="single" w:sz="4" w:space="0" w:color="auto"/>
              <w:right w:val="single" w:sz="4" w:space="0" w:color="auto"/>
            </w:tcBorders>
            <w:shd w:val="clear" w:color="auto" w:fill="C6EFCE"/>
            <w:noWrap/>
          </w:tcPr>
          <w:p w14:paraId="27121D94" w14:textId="42CC76E3"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Zníženie </w:t>
            </w:r>
            <w:r w:rsidRPr="00083739">
              <w:rPr>
                <w:rFonts w:ascii="Times New Roman" w:hAnsi="Times New Roman" w:cs="Times New Roman"/>
                <w:noProof/>
                <w:lang w:val="sk-SK"/>
              </w:rPr>
              <w:t>sumy spätného vrátenia prostriedkov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porovnaní</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úrovňami</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roku 2020 (v mil. EUR)</w:t>
            </w:r>
          </w:p>
        </w:tc>
        <w:tc>
          <w:tcPr>
            <w:tcW w:w="870" w:type="dxa"/>
            <w:tcBorders>
              <w:top w:val="nil"/>
              <w:left w:val="nil"/>
              <w:bottom w:val="single" w:sz="4" w:space="0" w:color="auto"/>
              <w:right w:val="single" w:sz="4" w:space="0" w:color="auto"/>
            </w:tcBorders>
            <w:shd w:val="clear" w:color="auto" w:fill="C6EFCE"/>
            <w:noWrap/>
          </w:tcPr>
          <w:p w14:paraId="7D056BA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0</w:t>
            </w:r>
          </w:p>
        </w:tc>
        <w:tc>
          <w:tcPr>
            <w:tcW w:w="764" w:type="dxa"/>
            <w:tcBorders>
              <w:top w:val="nil"/>
              <w:left w:val="nil"/>
              <w:bottom w:val="single" w:sz="4" w:space="0" w:color="auto"/>
              <w:right w:val="single" w:sz="4" w:space="0" w:color="auto"/>
            </w:tcBorders>
            <w:shd w:val="clear" w:color="auto" w:fill="C6EFCE"/>
            <w:noWrap/>
          </w:tcPr>
          <w:p w14:paraId="54003BB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150</w:t>
            </w:r>
          </w:p>
        </w:tc>
        <w:tc>
          <w:tcPr>
            <w:tcW w:w="973" w:type="dxa"/>
            <w:tcBorders>
              <w:top w:val="nil"/>
              <w:left w:val="nil"/>
              <w:bottom w:val="single" w:sz="4" w:space="0" w:color="auto"/>
              <w:right w:val="single" w:sz="4" w:space="0" w:color="auto"/>
            </w:tcBorders>
            <w:shd w:val="clear" w:color="auto" w:fill="C6EFCE"/>
            <w:noWrap/>
          </w:tcPr>
          <w:p w14:paraId="2800998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992" w:type="dxa"/>
            <w:tcBorders>
              <w:top w:val="nil"/>
              <w:left w:val="nil"/>
              <w:bottom w:val="single" w:sz="4" w:space="0" w:color="auto"/>
              <w:right w:val="single" w:sz="4" w:space="0" w:color="auto"/>
            </w:tcBorders>
            <w:shd w:val="clear" w:color="auto" w:fill="C6EFCE"/>
            <w:noWrap/>
          </w:tcPr>
          <w:p w14:paraId="3A0F928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2024</w:t>
            </w:r>
          </w:p>
        </w:tc>
        <w:tc>
          <w:tcPr>
            <w:tcW w:w="4501" w:type="dxa"/>
            <w:tcBorders>
              <w:top w:val="nil"/>
              <w:left w:val="nil"/>
              <w:bottom w:val="single" w:sz="4" w:space="0" w:color="auto"/>
              <w:right w:val="single" w:sz="4" w:space="0" w:color="auto"/>
            </w:tcBorders>
            <w:shd w:val="clear" w:color="auto" w:fill="C6EFCE"/>
            <w:noWrap/>
          </w:tcPr>
          <w:p w14:paraId="02756338" w14:textId="785C8241"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Presadzovať predtým prijaté opatrenia na zvýšenie efektívnosti</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cieľom dosiahnuť zníženie spätného vymáhania farmaceutických prostriedkov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 xml:space="preserve">roku </w:t>
            </w:r>
            <w:r w:rsidRPr="00083739">
              <w:rPr>
                <w:rFonts w:ascii="Times New Roman" w:hAnsi="Times New Roman" w:cs="Times New Roman"/>
                <w:noProof/>
                <w:lang w:val="sk-SK"/>
              </w:rPr>
              <w:t>2023,</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to</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prípade ambulantných aj nemocničných liekov,</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150 000 000 EUR</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porovnaní</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úrovňami</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roku 2020, čím sa podporí odolnosť systému zdravotnej starostlivosti. Pokiaľ sa to nedosiahne, rozdiel medzi cieľovým znížením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skutočným znížením za každ</w:t>
            </w:r>
            <w:r w:rsidRPr="00083739">
              <w:rPr>
                <w:rFonts w:ascii="Times New Roman" w:hAnsi="Times New Roman" w:cs="Times New Roman"/>
                <w:noProof/>
                <w:lang w:val="sk-SK"/>
              </w:rPr>
              <w:t>ý rok sa spätne nezíska od farmaceutického priemyslu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príslušnú sumu hradí štátny rozpočet do výšky 150 000 000 EUR.</w:t>
            </w:r>
          </w:p>
        </w:tc>
      </w:tr>
      <w:tr w:rsidR="002D49B0" w:rsidRPr="00083739" w14:paraId="6681F9D6" w14:textId="77777777">
        <w:trPr>
          <w:trHeight w:val="309"/>
          <w:jc w:val="center"/>
        </w:trPr>
        <w:tc>
          <w:tcPr>
            <w:tcW w:w="1027" w:type="dxa"/>
            <w:tcBorders>
              <w:top w:val="nil"/>
              <w:left w:val="single" w:sz="4" w:space="0" w:color="auto"/>
              <w:bottom w:val="single" w:sz="4" w:space="0" w:color="auto"/>
              <w:right w:val="single" w:sz="4" w:space="0" w:color="auto"/>
            </w:tcBorders>
            <w:shd w:val="clear" w:color="auto" w:fill="C6EFCE"/>
            <w:noWrap/>
          </w:tcPr>
          <w:p w14:paraId="0B0DE29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156</w:t>
            </w:r>
          </w:p>
        </w:tc>
        <w:tc>
          <w:tcPr>
            <w:tcW w:w="1376" w:type="dxa"/>
            <w:tcBorders>
              <w:top w:val="nil"/>
              <w:left w:val="nil"/>
              <w:bottom w:val="single" w:sz="4" w:space="0" w:color="auto"/>
              <w:right w:val="single" w:sz="4" w:space="0" w:color="auto"/>
            </w:tcBorders>
            <w:shd w:val="clear" w:color="auto" w:fill="C6EFCE"/>
            <w:noWrap/>
          </w:tcPr>
          <w:p w14:paraId="2EBB35F1" w14:textId="4F9FAF66"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10 – 3.3. Zlepšenie odolnosti, dostupnosti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udržateľnosti zdravotnej starostlivosti – 16816_Reformy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urýchlenie investícií</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sektore zdravotnej starostlivosti – Zníženie vrátenia prostriedkov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racionalizácia výdavkov na zdravotnú starostlivosť</w:t>
            </w:r>
          </w:p>
        </w:tc>
        <w:tc>
          <w:tcPr>
            <w:tcW w:w="966" w:type="dxa"/>
            <w:tcBorders>
              <w:top w:val="nil"/>
              <w:left w:val="nil"/>
              <w:bottom w:val="single" w:sz="4" w:space="0" w:color="auto"/>
              <w:right w:val="single" w:sz="4" w:space="0" w:color="auto"/>
            </w:tcBorders>
            <w:shd w:val="clear" w:color="auto" w:fill="C6EFCE"/>
            <w:noWrap/>
          </w:tcPr>
          <w:p w14:paraId="5F112C0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Cieľ</w:t>
            </w:r>
          </w:p>
        </w:tc>
        <w:tc>
          <w:tcPr>
            <w:tcW w:w="1350" w:type="dxa"/>
            <w:tcBorders>
              <w:top w:val="nil"/>
              <w:left w:val="nil"/>
              <w:bottom w:val="single" w:sz="4" w:space="0" w:color="auto"/>
              <w:right w:val="single" w:sz="4" w:space="0" w:color="auto"/>
            </w:tcBorders>
            <w:shd w:val="clear" w:color="auto" w:fill="C6EFCE"/>
            <w:noWrap/>
          </w:tcPr>
          <w:p w14:paraId="30D2DB57" w14:textId="1B9F3D03"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Farmaceutický výskum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vývoj</w:t>
            </w:r>
          </w:p>
          <w:p w14:paraId="2435676F" w14:textId="39442998"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dôkaz</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investícii – krok 1</w:t>
            </w:r>
          </w:p>
        </w:tc>
        <w:tc>
          <w:tcPr>
            <w:tcW w:w="1717" w:type="dxa"/>
            <w:tcBorders>
              <w:top w:val="nil"/>
              <w:left w:val="nil"/>
              <w:bottom w:val="single" w:sz="4" w:space="0" w:color="auto"/>
              <w:right w:val="single" w:sz="4" w:space="0" w:color="auto"/>
            </w:tcBorders>
            <w:shd w:val="clear" w:color="auto" w:fill="C6EFCE"/>
            <w:noWrap/>
          </w:tcPr>
          <w:p w14:paraId="2FCDC419"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194" w:type="dxa"/>
            <w:tcBorders>
              <w:top w:val="nil"/>
              <w:left w:val="nil"/>
              <w:bottom w:val="single" w:sz="4" w:space="0" w:color="auto"/>
              <w:right w:val="single" w:sz="4" w:space="0" w:color="auto"/>
            </w:tcBorders>
            <w:shd w:val="clear" w:color="auto" w:fill="C6EFCE"/>
            <w:noWrap/>
          </w:tcPr>
          <w:p w14:paraId="03E8C47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Investície (v mil. EUR), ktoré sa uplatňujú prostredníctvom kompenzácií </w:t>
            </w:r>
            <w:r w:rsidRPr="00083739">
              <w:rPr>
                <w:rFonts w:ascii="Times New Roman" w:hAnsi="Times New Roman" w:cs="Times New Roman"/>
                <w:noProof/>
                <w:lang w:val="sk-SK"/>
              </w:rPr>
              <w:t>ekvivalentnej sumy so spätným vrátením prostriedkov</w:t>
            </w:r>
          </w:p>
        </w:tc>
        <w:tc>
          <w:tcPr>
            <w:tcW w:w="870" w:type="dxa"/>
            <w:tcBorders>
              <w:top w:val="nil"/>
              <w:left w:val="nil"/>
              <w:bottom w:val="single" w:sz="4" w:space="0" w:color="auto"/>
              <w:right w:val="single" w:sz="4" w:space="0" w:color="auto"/>
            </w:tcBorders>
            <w:shd w:val="clear" w:color="auto" w:fill="C6EFCE"/>
            <w:noWrap/>
          </w:tcPr>
          <w:p w14:paraId="13C57A06" w14:textId="026E86A3"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0</w:t>
            </w:r>
          </w:p>
        </w:tc>
        <w:tc>
          <w:tcPr>
            <w:tcW w:w="764" w:type="dxa"/>
            <w:tcBorders>
              <w:top w:val="nil"/>
              <w:left w:val="nil"/>
              <w:bottom w:val="single" w:sz="4" w:space="0" w:color="auto"/>
              <w:right w:val="single" w:sz="4" w:space="0" w:color="auto"/>
            </w:tcBorders>
            <w:shd w:val="clear" w:color="auto" w:fill="C6EFCE"/>
            <w:noWrap/>
          </w:tcPr>
          <w:p w14:paraId="19E6F087" w14:textId="652FD3DC"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117</w:t>
            </w:r>
          </w:p>
        </w:tc>
        <w:tc>
          <w:tcPr>
            <w:tcW w:w="973" w:type="dxa"/>
            <w:tcBorders>
              <w:top w:val="nil"/>
              <w:left w:val="nil"/>
              <w:bottom w:val="single" w:sz="4" w:space="0" w:color="auto"/>
              <w:right w:val="single" w:sz="4" w:space="0" w:color="auto"/>
            </w:tcBorders>
            <w:shd w:val="clear" w:color="auto" w:fill="C6EFCE"/>
            <w:noWrap/>
          </w:tcPr>
          <w:p w14:paraId="4BA6354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992" w:type="dxa"/>
            <w:tcBorders>
              <w:top w:val="nil"/>
              <w:left w:val="nil"/>
              <w:bottom w:val="single" w:sz="4" w:space="0" w:color="auto"/>
              <w:right w:val="single" w:sz="4" w:space="0" w:color="auto"/>
            </w:tcBorders>
            <w:shd w:val="clear" w:color="auto" w:fill="C6EFCE"/>
            <w:noWrap/>
          </w:tcPr>
          <w:p w14:paraId="42577EA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2024</w:t>
            </w:r>
          </w:p>
        </w:tc>
        <w:tc>
          <w:tcPr>
            <w:tcW w:w="4501" w:type="dxa"/>
            <w:tcBorders>
              <w:top w:val="nil"/>
              <w:left w:val="nil"/>
              <w:bottom w:val="single" w:sz="4" w:space="0" w:color="auto"/>
              <w:right w:val="single" w:sz="4" w:space="0" w:color="auto"/>
            </w:tcBorders>
            <w:shd w:val="clear" w:color="auto" w:fill="C6EFCE"/>
            <w:noWrap/>
          </w:tcPr>
          <w:p w14:paraId="31A37310" w14:textId="274F4BD2"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Realizovať investície do výskumu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vývoja liekov vo výške 117 000 000 EUR. Investície sa potvrdia tým, že príslušný orgán vydá potvrdenia</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 xml:space="preserve">spätnom započítaní vo výške 117 000 000 EUR. </w:t>
            </w:r>
            <w:r w:rsidRPr="00083739">
              <w:rPr>
                <w:rFonts w:ascii="Times New Roman" w:eastAsiaTheme="minorEastAsia" w:hAnsi="Times New Roman" w:cs="Times New Roman"/>
                <w:noProof/>
                <w:lang w:val="sk-SK"/>
              </w:rPr>
              <w:t xml:space="preserve"> </w:t>
            </w:r>
          </w:p>
        </w:tc>
      </w:tr>
      <w:tr w:rsidR="002D49B0" w:rsidRPr="00083739" w14:paraId="2DF6CB8E" w14:textId="77777777">
        <w:trPr>
          <w:trHeight w:val="309"/>
          <w:jc w:val="center"/>
        </w:trPr>
        <w:tc>
          <w:tcPr>
            <w:tcW w:w="1027" w:type="dxa"/>
            <w:tcBorders>
              <w:top w:val="nil"/>
              <w:left w:val="single" w:sz="4" w:space="0" w:color="auto"/>
              <w:bottom w:val="single" w:sz="4" w:space="0" w:color="auto"/>
              <w:right w:val="single" w:sz="4" w:space="0" w:color="auto"/>
            </w:tcBorders>
            <w:shd w:val="clear" w:color="auto" w:fill="C6EFCE"/>
            <w:noWrap/>
          </w:tcPr>
          <w:p w14:paraId="373B5A0C" w14:textId="136EF077" w:rsidR="002D49B0" w:rsidRPr="00083739" w:rsidRDefault="00BF4125">
            <w:pPr>
              <w:pStyle w:val="P68B1DB1-Normal10"/>
              <w:spacing w:line="240" w:lineRule="auto"/>
              <w:rPr>
                <w:rFonts w:ascii="Times New Roman" w:hAnsi="Times New Roman" w:cs="Times New Roman"/>
                <w:noProof/>
                <w:lang w:val="sk-SK"/>
              </w:rPr>
            </w:pPr>
            <w:r w:rsidRPr="00083739">
              <w:rPr>
                <w:rFonts w:ascii="Times New Roman" w:hAnsi="Times New Roman" w:cs="Times New Roman"/>
                <w:noProof/>
                <w:lang w:val="sk-SK"/>
              </w:rPr>
              <w:t>156a</w:t>
            </w:r>
          </w:p>
        </w:tc>
        <w:tc>
          <w:tcPr>
            <w:tcW w:w="1376" w:type="dxa"/>
            <w:tcBorders>
              <w:top w:val="nil"/>
              <w:left w:val="nil"/>
              <w:bottom w:val="single" w:sz="4" w:space="0" w:color="auto"/>
              <w:right w:val="single" w:sz="4" w:space="0" w:color="auto"/>
            </w:tcBorders>
            <w:shd w:val="clear" w:color="auto" w:fill="C6EFCE"/>
            <w:noWrap/>
          </w:tcPr>
          <w:p w14:paraId="14A1B16F" w14:textId="584772B0"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10 – 3.3. Zlepšenie odolnosti, dostupnosti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udržateľnosti zdravotnej starostlivosti – 16816_Reformy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urýchlenie investícií</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sektore zdravotnej starostlivosti – Zníženie vrátenia prostriedkov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racionalizácia výdavkov na zdravotnú starostlivosť</w:t>
            </w:r>
          </w:p>
        </w:tc>
        <w:tc>
          <w:tcPr>
            <w:tcW w:w="966" w:type="dxa"/>
            <w:tcBorders>
              <w:top w:val="nil"/>
              <w:left w:val="nil"/>
              <w:bottom w:val="single" w:sz="4" w:space="0" w:color="auto"/>
              <w:right w:val="single" w:sz="4" w:space="0" w:color="auto"/>
            </w:tcBorders>
            <w:shd w:val="clear" w:color="auto" w:fill="C6EFCE"/>
            <w:noWrap/>
          </w:tcPr>
          <w:p w14:paraId="1244A826" w14:textId="3B56B96D"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Cieľ</w:t>
            </w:r>
          </w:p>
        </w:tc>
        <w:tc>
          <w:tcPr>
            <w:tcW w:w="1350" w:type="dxa"/>
            <w:tcBorders>
              <w:top w:val="nil"/>
              <w:left w:val="nil"/>
              <w:bottom w:val="single" w:sz="4" w:space="0" w:color="auto"/>
              <w:right w:val="single" w:sz="4" w:space="0" w:color="auto"/>
            </w:tcBorders>
            <w:shd w:val="clear" w:color="auto" w:fill="C6EFCE"/>
            <w:noWrap/>
          </w:tcPr>
          <w:p w14:paraId="20B88CB2" w14:textId="6A47E243"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Farmaceutický výskum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vývoj</w:t>
            </w:r>
          </w:p>
          <w:p w14:paraId="12A5EDFB" w14:textId="4150365F"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dôkaz</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investícii – krok 2</w:t>
            </w:r>
          </w:p>
        </w:tc>
        <w:tc>
          <w:tcPr>
            <w:tcW w:w="1717" w:type="dxa"/>
            <w:tcBorders>
              <w:top w:val="nil"/>
              <w:left w:val="nil"/>
              <w:bottom w:val="single" w:sz="4" w:space="0" w:color="auto"/>
              <w:right w:val="single" w:sz="4" w:space="0" w:color="auto"/>
            </w:tcBorders>
            <w:shd w:val="clear" w:color="auto" w:fill="C6EFCE"/>
            <w:noWrap/>
          </w:tcPr>
          <w:p w14:paraId="26A213A9" w14:textId="0205C9DA"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194" w:type="dxa"/>
            <w:tcBorders>
              <w:top w:val="nil"/>
              <w:left w:val="nil"/>
              <w:bottom w:val="single" w:sz="4" w:space="0" w:color="auto"/>
              <w:right w:val="single" w:sz="4" w:space="0" w:color="auto"/>
            </w:tcBorders>
            <w:shd w:val="clear" w:color="auto" w:fill="C6EFCE"/>
            <w:noWrap/>
          </w:tcPr>
          <w:p w14:paraId="59595672" w14:textId="1A11388A"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Investície (v mil. EUR), ktoré sa uplatňujú prostredníctvom kompenzácií ekvivalentnej sumy so spätným vrátením prostriedkov</w:t>
            </w:r>
          </w:p>
        </w:tc>
        <w:tc>
          <w:tcPr>
            <w:tcW w:w="870" w:type="dxa"/>
            <w:tcBorders>
              <w:top w:val="nil"/>
              <w:left w:val="nil"/>
              <w:bottom w:val="single" w:sz="4" w:space="0" w:color="auto"/>
              <w:right w:val="single" w:sz="4" w:space="0" w:color="auto"/>
            </w:tcBorders>
            <w:shd w:val="clear" w:color="auto" w:fill="C6EFCE"/>
            <w:noWrap/>
          </w:tcPr>
          <w:p w14:paraId="13750E2B" w14:textId="66915D1E"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117</w:t>
            </w:r>
          </w:p>
        </w:tc>
        <w:tc>
          <w:tcPr>
            <w:tcW w:w="764" w:type="dxa"/>
            <w:tcBorders>
              <w:top w:val="nil"/>
              <w:left w:val="nil"/>
              <w:bottom w:val="single" w:sz="4" w:space="0" w:color="auto"/>
              <w:right w:val="single" w:sz="4" w:space="0" w:color="auto"/>
            </w:tcBorders>
            <w:shd w:val="clear" w:color="auto" w:fill="C6EFCE"/>
            <w:noWrap/>
          </w:tcPr>
          <w:p w14:paraId="03621B28" w14:textId="136A7120"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250</w:t>
            </w:r>
          </w:p>
        </w:tc>
        <w:tc>
          <w:tcPr>
            <w:tcW w:w="973" w:type="dxa"/>
            <w:tcBorders>
              <w:top w:val="nil"/>
              <w:left w:val="nil"/>
              <w:bottom w:val="single" w:sz="4" w:space="0" w:color="auto"/>
              <w:right w:val="single" w:sz="4" w:space="0" w:color="auto"/>
            </w:tcBorders>
            <w:shd w:val="clear" w:color="auto" w:fill="C6EFCE"/>
            <w:noWrap/>
          </w:tcPr>
          <w:p w14:paraId="7754B702" w14:textId="28B100CA"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 xml:space="preserve">ŠTVRTÝ </w:t>
            </w:r>
            <w:r w:rsidRPr="00083739">
              <w:rPr>
                <w:rFonts w:ascii="Times New Roman" w:hAnsi="Times New Roman" w:cs="Times New Roman"/>
                <w:noProof/>
                <w:lang w:val="sk-SK"/>
              </w:rPr>
              <w:t>ŠTVRŤROK</w:t>
            </w:r>
          </w:p>
        </w:tc>
        <w:tc>
          <w:tcPr>
            <w:tcW w:w="992" w:type="dxa"/>
            <w:tcBorders>
              <w:top w:val="nil"/>
              <w:left w:val="nil"/>
              <w:bottom w:val="single" w:sz="4" w:space="0" w:color="auto"/>
              <w:right w:val="single" w:sz="4" w:space="0" w:color="auto"/>
            </w:tcBorders>
            <w:shd w:val="clear" w:color="auto" w:fill="C6EFCE"/>
            <w:noWrap/>
          </w:tcPr>
          <w:p w14:paraId="2F6DBA71" w14:textId="60625BBB"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2025</w:t>
            </w:r>
          </w:p>
        </w:tc>
        <w:tc>
          <w:tcPr>
            <w:tcW w:w="4501" w:type="dxa"/>
            <w:tcBorders>
              <w:top w:val="nil"/>
              <w:left w:val="nil"/>
              <w:bottom w:val="single" w:sz="4" w:space="0" w:color="auto"/>
              <w:right w:val="single" w:sz="4" w:space="0" w:color="auto"/>
            </w:tcBorders>
            <w:shd w:val="clear" w:color="auto" w:fill="C6EFCE"/>
            <w:noWrap/>
          </w:tcPr>
          <w:p w14:paraId="2F846FA8" w14:textId="0542A385" w:rsidR="00083739" w:rsidRPr="00083739" w:rsidRDefault="00BF4125">
            <w:pPr>
              <w:pStyle w:val="P68B1DB1-Normal10"/>
              <w:spacing w:after="0" w:line="240" w:lineRule="auto"/>
              <w:rPr>
                <w:rFonts w:ascii="Times New Roman" w:hAnsi="Times New Roman" w:cs="Times New Roman"/>
                <w:noProof/>
                <w:lang w:val="sk-SK"/>
              </w:rPr>
            </w:pPr>
            <w:r w:rsidRPr="00083739">
              <w:rPr>
                <w:rFonts w:ascii="Times New Roman" w:hAnsi="Times New Roman" w:cs="Times New Roman"/>
                <w:noProof/>
                <w:lang w:val="sk-SK"/>
              </w:rPr>
              <w:t>Realizovať investície do výskumu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vývoja liekov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dodatočnej výške 133 000 000 EUR, aby sa dosiahla celková suma investícií vo výške 250 000 000 EUR (kumulatívny krok 1</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krok 2)</w:t>
            </w:r>
            <w:r w:rsidR="00083739" w:rsidRPr="00083739">
              <w:rPr>
                <w:rFonts w:ascii="Times New Roman" w:hAnsi="Times New Roman" w:cs="Times New Roman"/>
                <w:noProof/>
                <w:lang w:val="sk-SK"/>
              </w:rPr>
              <w:t>.</w:t>
            </w:r>
          </w:p>
          <w:p w14:paraId="7408F4D6" w14:textId="65A2BEF3" w:rsidR="002D49B0" w:rsidRPr="00083739" w:rsidRDefault="002D49B0">
            <w:pPr>
              <w:spacing w:after="0" w:line="240" w:lineRule="auto"/>
              <w:rPr>
                <w:rFonts w:ascii="Times New Roman" w:hAnsi="Times New Roman" w:cs="Times New Roman"/>
                <w:noProof/>
                <w:color w:val="006100"/>
                <w:sz w:val="18"/>
                <w:szCs w:val="18"/>
                <w:lang w:val="sk-SK"/>
              </w:rPr>
            </w:pPr>
          </w:p>
          <w:p w14:paraId="1E253F09" w14:textId="45217A71" w:rsidR="002D49B0" w:rsidRPr="00083739" w:rsidRDefault="00BF4125">
            <w:pPr>
              <w:pStyle w:val="P68B1DB1-Normal10"/>
              <w:spacing w:after="0" w:line="240" w:lineRule="auto"/>
              <w:rPr>
                <w:rFonts w:ascii="Times New Roman" w:hAnsi="Times New Roman" w:cs="Times New Roman"/>
                <w:noProof/>
                <w:lang w:val="sk-SK"/>
              </w:rPr>
            </w:pPr>
            <w:r w:rsidRPr="00083739">
              <w:rPr>
                <w:rFonts w:ascii="Times New Roman" w:hAnsi="Times New Roman" w:cs="Times New Roman"/>
                <w:noProof/>
                <w:lang w:val="sk-SK"/>
              </w:rPr>
              <w:t>Investície sa potvrdia tým, že príslušný orgán vydá potvrden</w:t>
            </w:r>
            <w:r w:rsidRPr="00083739">
              <w:rPr>
                <w:rFonts w:ascii="Times New Roman" w:hAnsi="Times New Roman" w:cs="Times New Roman"/>
                <w:noProof/>
                <w:lang w:val="sk-SK"/>
              </w:rPr>
              <w:t>ia</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spätnom započítaní</w:t>
            </w:r>
            <w:r w:rsidRPr="00083739">
              <w:rPr>
                <w:rFonts w:ascii="Times New Roman" w:eastAsiaTheme="minorEastAsia" w:hAnsi="Times New Roman" w:cs="Times New Roman"/>
                <w:noProof/>
                <w:lang w:val="sk-SK"/>
              </w:rPr>
              <w:t xml:space="preserve"> vo výške 133000000 </w:t>
            </w:r>
            <w:r w:rsidRPr="00083739">
              <w:rPr>
                <w:rFonts w:ascii="Times New Roman" w:hAnsi="Times New Roman" w:cs="Times New Roman"/>
                <w:noProof/>
                <w:lang w:val="sk-SK"/>
              </w:rPr>
              <w:t>EUR.</w:t>
            </w:r>
          </w:p>
        </w:tc>
      </w:tr>
      <w:tr w:rsidR="002D49B0" w:rsidRPr="00083739" w14:paraId="224371BA" w14:textId="77777777">
        <w:trPr>
          <w:trHeight w:val="309"/>
          <w:jc w:val="center"/>
        </w:trPr>
        <w:tc>
          <w:tcPr>
            <w:tcW w:w="1027" w:type="dxa"/>
            <w:tcBorders>
              <w:top w:val="nil"/>
              <w:left w:val="single" w:sz="4" w:space="0" w:color="auto"/>
              <w:bottom w:val="single" w:sz="4" w:space="0" w:color="auto"/>
              <w:right w:val="single" w:sz="4" w:space="0" w:color="auto"/>
            </w:tcBorders>
            <w:shd w:val="clear" w:color="auto" w:fill="C6EFCE"/>
            <w:noWrap/>
          </w:tcPr>
          <w:p w14:paraId="235A7C7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157</w:t>
            </w:r>
          </w:p>
        </w:tc>
        <w:tc>
          <w:tcPr>
            <w:tcW w:w="1376" w:type="dxa"/>
            <w:tcBorders>
              <w:top w:val="nil"/>
              <w:left w:val="nil"/>
              <w:bottom w:val="single" w:sz="4" w:space="0" w:color="auto"/>
              <w:right w:val="single" w:sz="4" w:space="0" w:color="auto"/>
            </w:tcBorders>
            <w:shd w:val="clear" w:color="auto" w:fill="C6EFCE"/>
            <w:noWrap/>
          </w:tcPr>
          <w:p w14:paraId="616555B1" w14:textId="31BE02ED"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10 – 3.3. Zlepšenie odolnosti, dostupnosti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udržateľnosti zdravotnej starostlivosti – 16816_Reformy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urýchlenie investícií</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sektore zdravotnej starostlivosti – Zníženie vrátenia prostriedkov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racionalizácia výdavkov na zdravotnú starostlivosť</w:t>
            </w:r>
          </w:p>
        </w:tc>
        <w:tc>
          <w:tcPr>
            <w:tcW w:w="966" w:type="dxa"/>
            <w:tcBorders>
              <w:top w:val="nil"/>
              <w:left w:val="nil"/>
              <w:bottom w:val="single" w:sz="4" w:space="0" w:color="auto"/>
              <w:right w:val="single" w:sz="4" w:space="0" w:color="auto"/>
            </w:tcBorders>
            <w:shd w:val="clear" w:color="auto" w:fill="C6EFCE"/>
            <w:noWrap/>
          </w:tcPr>
          <w:p w14:paraId="0795423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Cieľ</w:t>
            </w:r>
          </w:p>
        </w:tc>
        <w:tc>
          <w:tcPr>
            <w:tcW w:w="1350" w:type="dxa"/>
            <w:tcBorders>
              <w:top w:val="nil"/>
              <w:left w:val="nil"/>
              <w:bottom w:val="single" w:sz="4" w:space="0" w:color="auto"/>
              <w:right w:val="single" w:sz="4" w:space="0" w:color="auto"/>
            </w:tcBorders>
            <w:shd w:val="clear" w:color="auto" w:fill="C6EFCE"/>
            <w:noWrap/>
          </w:tcPr>
          <w:p w14:paraId="041911F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Zníženie vrátenia poskytnutých prostriedkov 300000000 – krok 3</w:t>
            </w:r>
          </w:p>
        </w:tc>
        <w:tc>
          <w:tcPr>
            <w:tcW w:w="1717" w:type="dxa"/>
            <w:tcBorders>
              <w:top w:val="nil"/>
              <w:left w:val="nil"/>
              <w:bottom w:val="single" w:sz="4" w:space="0" w:color="auto"/>
              <w:right w:val="single" w:sz="4" w:space="0" w:color="auto"/>
            </w:tcBorders>
            <w:shd w:val="clear" w:color="auto" w:fill="C6EFCE"/>
            <w:noWrap/>
          </w:tcPr>
          <w:p w14:paraId="50D2109C"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194" w:type="dxa"/>
            <w:tcBorders>
              <w:top w:val="nil"/>
              <w:left w:val="nil"/>
              <w:bottom w:val="single" w:sz="4" w:space="0" w:color="auto"/>
              <w:right w:val="single" w:sz="4" w:space="0" w:color="auto"/>
            </w:tcBorders>
            <w:shd w:val="clear" w:color="auto" w:fill="C6EFCE"/>
            <w:noWrap/>
          </w:tcPr>
          <w:p w14:paraId="25D40425" w14:textId="74850264"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Zníženie sumy spätného vrátenia prostriedkov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porovnaní</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úrovňami</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roku 2020 (v mil. EUR)</w:t>
            </w:r>
          </w:p>
        </w:tc>
        <w:tc>
          <w:tcPr>
            <w:tcW w:w="870" w:type="dxa"/>
            <w:tcBorders>
              <w:top w:val="nil"/>
              <w:left w:val="nil"/>
              <w:bottom w:val="single" w:sz="4" w:space="0" w:color="auto"/>
              <w:right w:val="single" w:sz="4" w:space="0" w:color="auto"/>
            </w:tcBorders>
            <w:shd w:val="clear" w:color="auto" w:fill="C6EFCE"/>
            <w:noWrap/>
          </w:tcPr>
          <w:p w14:paraId="51AFC041" w14:textId="629FF911"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0</w:t>
            </w:r>
          </w:p>
        </w:tc>
        <w:tc>
          <w:tcPr>
            <w:tcW w:w="764" w:type="dxa"/>
            <w:tcBorders>
              <w:top w:val="nil"/>
              <w:left w:val="nil"/>
              <w:bottom w:val="single" w:sz="4" w:space="0" w:color="auto"/>
              <w:right w:val="single" w:sz="4" w:space="0" w:color="auto"/>
            </w:tcBorders>
            <w:shd w:val="clear" w:color="auto" w:fill="C6EFCE"/>
            <w:noWrap/>
          </w:tcPr>
          <w:p w14:paraId="5E6F5C0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300</w:t>
            </w:r>
          </w:p>
        </w:tc>
        <w:tc>
          <w:tcPr>
            <w:tcW w:w="973" w:type="dxa"/>
            <w:tcBorders>
              <w:top w:val="nil"/>
              <w:left w:val="nil"/>
              <w:bottom w:val="single" w:sz="4" w:space="0" w:color="auto"/>
              <w:right w:val="single" w:sz="4" w:space="0" w:color="auto"/>
            </w:tcBorders>
            <w:shd w:val="clear" w:color="auto" w:fill="C6EFCE"/>
            <w:noWrap/>
          </w:tcPr>
          <w:p w14:paraId="712A26E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992" w:type="dxa"/>
            <w:tcBorders>
              <w:top w:val="nil"/>
              <w:left w:val="nil"/>
              <w:bottom w:val="single" w:sz="4" w:space="0" w:color="auto"/>
              <w:right w:val="single" w:sz="4" w:space="0" w:color="auto"/>
            </w:tcBorders>
            <w:shd w:val="clear" w:color="auto" w:fill="C6EFCE"/>
            <w:noWrap/>
          </w:tcPr>
          <w:p w14:paraId="7924164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4501" w:type="dxa"/>
            <w:tcBorders>
              <w:top w:val="nil"/>
              <w:left w:val="nil"/>
              <w:bottom w:val="single" w:sz="4" w:space="0" w:color="auto"/>
              <w:right w:val="single" w:sz="4" w:space="0" w:color="auto"/>
            </w:tcBorders>
            <w:shd w:val="clear" w:color="auto" w:fill="C6EFCE"/>
            <w:noWrap/>
          </w:tcPr>
          <w:p w14:paraId="7877AD62" w14:textId="0CCA39DB"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Presadzovať </w:t>
            </w:r>
            <w:r w:rsidRPr="00083739">
              <w:rPr>
                <w:rFonts w:ascii="Times New Roman" w:hAnsi="Times New Roman" w:cs="Times New Roman"/>
                <w:noProof/>
                <w:lang w:val="sk-SK"/>
              </w:rPr>
              <w:t>predtým prijaté opatrenia na zvýšenie efektívnosti</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cieľom dosiahnuť zníženie spätného vymáhania farmaceutických prostriedkov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roku 2024</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prípade ambulantných aj nemocničných liekov</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300 000 000 EUR</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porovnaní</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úrovňami</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roku 2020, čím sa podporí od</w:t>
            </w:r>
            <w:r w:rsidRPr="00083739">
              <w:rPr>
                <w:rFonts w:ascii="Times New Roman" w:hAnsi="Times New Roman" w:cs="Times New Roman"/>
                <w:noProof/>
                <w:lang w:val="sk-SK"/>
              </w:rPr>
              <w:t>olnosť systému zdravotnej starostlivosti. Pokiaľ sa to nedosiahne, rozdiel medzi cieľovým znížením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skutočným znížením za každý rok sa spätne nezíska od farmaceutického priemyslu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príslušnú sumu hradí štátny rozpočet do výšky 300 000 000 EUR.</w:t>
            </w:r>
          </w:p>
        </w:tc>
      </w:tr>
      <w:tr w:rsidR="002D49B0" w:rsidRPr="00083739" w14:paraId="5FDBBC2F" w14:textId="77777777">
        <w:trPr>
          <w:trHeight w:val="309"/>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106EC06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158</w:t>
            </w:r>
          </w:p>
        </w:tc>
        <w:tc>
          <w:tcPr>
            <w:tcW w:w="1376" w:type="dxa"/>
            <w:tcBorders>
              <w:top w:val="single" w:sz="4" w:space="0" w:color="auto"/>
              <w:left w:val="nil"/>
              <w:bottom w:val="single" w:sz="4" w:space="0" w:color="auto"/>
              <w:right w:val="single" w:sz="4" w:space="0" w:color="auto"/>
            </w:tcBorders>
            <w:shd w:val="clear" w:color="auto" w:fill="C6EFCE"/>
            <w:noWrap/>
          </w:tcPr>
          <w:p w14:paraId="03D8862B" w14:textId="24076184"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10 – </w:t>
            </w:r>
            <w:r w:rsidRPr="00083739">
              <w:rPr>
                <w:rFonts w:ascii="Times New Roman" w:hAnsi="Times New Roman" w:cs="Times New Roman"/>
                <w:noProof/>
                <w:lang w:val="sk-SK"/>
              </w:rPr>
              <w:t>3.3. Zlepšenie odolnosti, dostupnosti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udržateľnosti zdravotnej starostlivosti – 16816_Reformy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urýchlenie investícií</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sektore zdravotnej starostlivosti – Zníženie vrátenia prostriedkov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racionalizácia výdavkov na zdravotnú starostlivosť</w:t>
            </w:r>
          </w:p>
        </w:tc>
        <w:tc>
          <w:tcPr>
            <w:tcW w:w="966" w:type="dxa"/>
            <w:tcBorders>
              <w:top w:val="single" w:sz="4" w:space="0" w:color="auto"/>
              <w:left w:val="nil"/>
              <w:bottom w:val="single" w:sz="4" w:space="0" w:color="auto"/>
              <w:right w:val="single" w:sz="4" w:space="0" w:color="auto"/>
            </w:tcBorders>
            <w:shd w:val="clear" w:color="auto" w:fill="C6EFCE"/>
            <w:noWrap/>
          </w:tcPr>
          <w:p w14:paraId="249FC31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Cieľ</w:t>
            </w:r>
          </w:p>
        </w:tc>
        <w:tc>
          <w:tcPr>
            <w:tcW w:w="1350" w:type="dxa"/>
            <w:tcBorders>
              <w:top w:val="single" w:sz="4" w:space="0" w:color="auto"/>
              <w:left w:val="nil"/>
              <w:bottom w:val="single" w:sz="4" w:space="0" w:color="auto"/>
              <w:right w:val="single" w:sz="4" w:space="0" w:color="auto"/>
            </w:tcBorders>
            <w:shd w:val="clear" w:color="auto" w:fill="C6EFCE"/>
            <w:noWrap/>
          </w:tcPr>
          <w:p w14:paraId="200B136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Zníženie </w:t>
            </w:r>
            <w:r w:rsidRPr="00083739">
              <w:rPr>
                <w:rFonts w:ascii="Times New Roman" w:hAnsi="Times New Roman" w:cs="Times New Roman"/>
                <w:noProof/>
                <w:lang w:val="sk-SK"/>
              </w:rPr>
              <w:t>vrátenia poskytnutých prostriedkov 400000000 – krok 4</w:t>
            </w:r>
          </w:p>
        </w:tc>
        <w:tc>
          <w:tcPr>
            <w:tcW w:w="1717" w:type="dxa"/>
            <w:tcBorders>
              <w:top w:val="single" w:sz="4" w:space="0" w:color="auto"/>
              <w:left w:val="nil"/>
              <w:bottom w:val="single" w:sz="4" w:space="0" w:color="auto"/>
              <w:right w:val="single" w:sz="4" w:space="0" w:color="auto"/>
            </w:tcBorders>
            <w:shd w:val="clear" w:color="auto" w:fill="C6EFCE"/>
            <w:noWrap/>
          </w:tcPr>
          <w:p w14:paraId="63F53BE6"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194" w:type="dxa"/>
            <w:tcBorders>
              <w:top w:val="single" w:sz="4" w:space="0" w:color="auto"/>
              <w:left w:val="nil"/>
              <w:bottom w:val="single" w:sz="4" w:space="0" w:color="auto"/>
              <w:right w:val="single" w:sz="4" w:space="0" w:color="auto"/>
            </w:tcBorders>
            <w:shd w:val="clear" w:color="auto" w:fill="C6EFCE"/>
            <w:noWrap/>
          </w:tcPr>
          <w:p w14:paraId="5207D7B2" w14:textId="3BD6AD7E"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Zníženie sumy spätného vrátenia prostriedkov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porovnaní</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úrovňami</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roku 2020 (v mil. EUR)</w:t>
            </w:r>
          </w:p>
        </w:tc>
        <w:tc>
          <w:tcPr>
            <w:tcW w:w="870" w:type="dxa"/>
            <w:tcBorders>
              <w:top w:val="single" w:sz="4" w:space="0" w:color="auto"/>
              <w:left w:val="nil"/>
              <w:bottom w:val="single" w:sz="4" w:space="0" w:color="auto"/>
              <w:right w:val="single" w:sz="4" w:space="0" w:color="auto"/>
            </w:tcBorders>
            <w:shd w:val="clear" w:color="auto" w:fill="C6EFCE"/>
            <w:noWrap/>
          </w:tcPr>
          <w:p w14:paraId="11EAAC25" w14:textId="2E22E62E"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0</w:t>
            </w:r>
          </w:p>
        </w:tc>
        <w:tc>
          <w:tcPr>
            <w:tcW w:w="764" w:type="dxa"/>
            <w:tcBorders>
              <w:top w:val="single" w:sz="4" w:space="0" w:color="auto"/>
              <w:left w:val="nil"/>
              <w:bottom w:val="single" w:sz="4" w:space="0" w:color="auto"/>
              <w:right w:val="single" w:sz="4" w:space="0" w:color="auto"/>
            </w:tcBorders>
            <w:shd w:val="clear" w:color="auto" w:fill="C6EFCE"/>
            <w:noWrap/>
          </w:tcPr>
          <w:p w14:paraId="72DAD12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400</w:t>
            </w:r>
          </w:p>
        </w:tc>
        <w:tc>
          <w:tcPr>
            <w:tcW w:w="973" w:type="dxa"/>
            <w:tcBorders>
              <w:top w:val="single" w:sz="4" w:space="0" w:color="auto"/>
              <w:left w:val="nil"/>
              <w:bottom w:val="single" w:sz="4" w:space="0" w:color="auto"/>
              <w:right w:val="single" w:sz="4" w:space="0" w:color="auto"/>
            </w:tcBorders>
            <w:shd w:val="clear" w:color="auto" w:fill="C6EFCE"/>
            <w:noWrap/>
          </w:tcPr>
          <w:p w14:paraId="4F9754A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992" w:type="dxa"/>
            <w:tcBorders>
              <w:top w:val="single" w:sz="4" w:space="0" w:color="auto"/>
              <w:left w:val="nil"/>
              <w:bottom w:val="single" w:sz="4" w:space="0" w:color="auto"/>
              <w:right w:val="single" w:sz="4" w:space="0" w:color="auto"/>
            </w:tcBorders>
            <w:shd w:val="clear" w:color="auto" w:fill="C6EFCE"/>
            <w:noWrap/>
          </w:tcPr>
          <w:p w14:paraId="7B96A7F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2026</w:t>
            </w:r>
          </w:p>
        </w:tc>
        <w:tc>
          <w:tcPr>
            <w:tcW w:w="4501" w:type="dxa"/>
            <w:tcBorders>
              <w:top w:val="single" w:sz="4" w:space="0" w:color="auto"/>
              <w:left w:val="nil"/>
              <w:bottom w:val="single" w:sz="4" w:space="0" w:color="auto"/>
              <w:right w:val="single" w:sz="4" w:space="0" w:color="auto"/>
            </w:tcBorders>
            <w:shd w:val="clear" w:color="auto" w:fill="C6EFCE"/>
            <w:noWrap/>
          </w:tcPr>
          <w:p w14:paraId="5DB76648" w14:textId="59A3C77B"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Presadzovať predtým prijaté opatrenia na zvýšenie efektívnosti</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 xml:space="preserve">cieľom dosiahnuť </w:t>
            </w:r>
            <w:r w:rsidRPr="00083739">
              <w:rPr>
                <w:rFonts w:ascii="Times New Roman" w:hAnsi="Times New Roman" w:cs="Times New Roman"/>
                <w:noProof/>
                <w:lang w:val="sk-SK"/>
              </w:rPr>
              <w:t>zníženie spätného vymáhania farmaceutických prostriedkov do roku 2025</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prípade ambulantných aj nemocničných liekov</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400 000 000 EUR</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porovnaní</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úrovňami</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roku 2020, čím sa podporí odolnosť systému zdravotnej starostlivosti. Pokiaľ sa to nedosiahne, ro</w:t>
            </w:r>
            <w:r w:rsidRPr="00083739">
              <w:rPr>
                <w:rFonts w:ascii="Times New Roman" w:hAnsi="Times New Roman" w:cs="Times New Roman"/>
                <w:noProof/>
                <w:lang w:val="sk-SK"/>
              </w:rPr>
              <w:t>zdiel medzi cieľovým znížením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skutočným znížením za každý rok sa spätne nezíska od farmaceutického priemyslu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príslušnú sumu hradí štátny rozpočet do výšky 400 000 000 EUR.</w:t>
            </w:r>
          </w:p>
        </w:tc>
      </w:tr>
    </w:tbl>
    <w:p w14:paraId="4C0AC73B" w14:textId="77777777" w:rsidR="002D49B0" w:rsidRPr="00083739" w:rsidRDefault="002D49B0">
      <w:pPr>
        <w:spacing w:before="120" w:after="120" w:line="240" w:lineRule="auto"/>
        <w:ind w:left="709"/>
        <w:jc w:val="both"/>
        <w:rPr>
          <w:rFonts w:ascii="Times New Roman" w:hAnsi="Times New Roman" w:cs="Times New Roman"/>
          <w:noProof/>
          <w:sz w:val="24"/>
          <w:szCs w:val="24"/>
          <w:lang w:val="sk-SK"/>
        </w:rPr>
        <w:sectPr w:rsidR="002D49B0" w:rsidRPr="00083739" w:rsidSect="00271D33">
          <w:headerReference w:type="even" r:id="rId175"/>
          <w:headerReference w:type="default" r:id="rId176"/>
          <w:footerReference w:type="even" r:id="rId177"/>
          <w:footerReference w:type="default" r:id="rId178"/>
          <w:headerReference w:type="first" r:id="rId179"/>
          <w:footerReference w:type="first" r:id="rId180"/>
          <w:pgSz w:w="16839" w:h="11907" w:orient="landscape"/>
          <w:pgMar w:top="720" w:right="720" w:bottom="720" w:left="720" w:header="709" w:footer="217" w:gutter="0"/>
          <w:cols w:space="720"/>
          <w:docGrid w:linePitch="360"/>
        </w:sectPr>
      </w:pPr>
    </w:p>
    <w:p w14:paraId="5489EFFC" w14:textId="5DB0D55D" w:rsidR="002D49B0" w:rsidRPr="00083739" w:rsidRDefault="00BF4125">
      <w:pPr>
        <w:pStyle w:val="P68B1DB1-Normal6"/>
        <w:keepNext/>
        <w:keepLines/>
        <w:spacing w:before="40" w:after="0" w:line="240" w:lineRule="auto"/>
        <w:jc w:val="both"/>
        <w:outlineLvl w:val="4"/>
        <w:rPr>
          <w:rFonts w:ascii="Times New Roman" w:eastAsia="Times New Roman" w:hAnsi="Times New Roman" w:cs="Times New Roman"/>
          <w:noProof/>
          <w:lang w:val="sk-SK"/>
        </w:rPr>
      </w:pPr>
      <w:r w:rsidRPr="00083739">
        <w:rPr>
          <w:rFonts w:ascii="Times New Roman" w:hAnsi="Times New Roman" w:cs="Times New Roman"/>
          <w:noProof/>
          <w:lang w:val="sk-SK"/>
        </w:rPr>
        <w:t xml:space="preserve">Skupina 13: </w:t>
      </w:r>
      <w:r w:rsidRPr="00083739">
        <w:rPr>
          <w:rFonts w:ascii="Times New Roman" w:hAnsi="Times New Roman" w:cs="Times New Roman"/>
          <w:noProof/>
          <w:lang w:val="sk-SK"/>
        </w:rPr>
        <w:t>Zlepšenie odolnosti, dostupnosti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udržateľnosti zdravotnej starostlivosti</w:t>
      </w:r>
    </w:p>
    <w:p w14:paraId="4AC87050" w14:textId="24596D67" w:rsidR="002D49B0" w:rsidRPr="00083739" w:rsidRDefault="00BF4125">
      <w:pPr>
        <w:pStyle w:val="P68B1DB1-Normal4"/>
        <w:numPr>
          <w:ilvl w:val="0"/>
          <w:numId w:val="41"/>
        </w:numPr>
        <w:tabs>
          <w:tab w:val="left" w:pos="8364"/>
        </w:tabs>
        <w:spacing w:before="120" w:after="0" w:line="240" w:lineRule="auto"/>
        <w:jc w:val="both"/>
        <w:rPr>
          <w:rFonts w:cs="Times New Roman"/>
          <w:noProof/>
          <w:lang w:val="sk-SK"/>
        </w:rPr>
      </w:pPr>
      <w:r w:rsidRPr="00083739">
        <w:rPr>
          <w:rFonts w:cs="Times New Roman"/>
          <w:noProof/>
          <w:lang w:val="sk-SK"/>
        </w:rPr>
        <w:t>Organizačné reformy systému zdravotnej starostlivosti (ID: 16756)</w:t>
      </w:r>
    </w:p>
    <w:p w14:paraId="068977C5" w14:textId="78746F46" w:rsidR="002D49B0" w:rsidRPr="00083739" w:rsidRDefault="00BF4125">
      <w:pPr>
        <w:pStyle w:val="P68B1DB1-Normal4"/>
        <w:numPr>
          <w:ilvl w:val="0"/>
          <w:numId w:val="41"/>
        </w:numPr>
        <w:tabs>
          <w:tab w:val="left" w:pos="8364"/>
        </w:tabs>
        <w:spacing w:before="120" w:after="0" w:line="240" w:lineRule="auto"/>
        <w:jc w:val="both"/>
        <w:rPr>
          <w:rFonts w:cs="Times New Roman"/>
          <w:noProof/>
          <w:lang w:val="sk-SK"/>
        </w:rPr>
      </w:pPr>
      <w:r w:rsidRPr="00083739">
        <w:rPr>
          <w:rFonts w:cs="Times New Roman"/>
          <w:noProof/>
          <w:lang w:val="sk-SK"/>
        </w:rPr>
        <w:t>Reforma</w:t>
      </w:r>
      <w:r w:rsidR="00083739" w:rsidRPr="00083739">
        <w:rPr>
          <w:rFonts w:cs="Times New Roman"/>
          <w:noProof/>
          <w:lang w:val="sk-SK"/>
        </w:rPr>
        <w:t xml:space="preserve"> v </w:t>
      </w:r>
      <w:r w:rsidRPr="00083739">
        <w:rPr>
          <w:rFonts w:cs="Times New Roman"/>
          <w:noProof/>
          <w:lang w:val="sk-SK"/>
        </w:rPr>
        <w:t>oblasti duševného zdravia</w:t>
      </w:r>
      <w:r w:rsidR="00083739" w:rsidRPr="00083739">
        <w:rPr>
          <w:rFonts w:cs="Times New Roman"/>
          <w:noProof/>
          <w:lang w:val="sk-SK"/>
        </w:rPr>
        <w:t xml:space="preserve"> a </w:t>
      </w:r>
      <w:r w:rsidRPr="00083739">
        <w:rPr>
          <w:rFonts w:cs="Times New Roman"/>
          <w:noProof/>
          <w:lang w:val="sk-SK"/>
        </w:rPr>
        <w:t>závislostí (ID: 16820)</w:t>
      </w:r>
    </w:p>
    <w:p w14:paraId="62C477B6" w14:textId="77777777" w:rsidR="002D49B0" w:rsidRPr="00083739" w:rsidRDefault="00BF4125">
      <w:pPr>
        <w:pStyle w:val="P68B1DB1-Normal4"/>
        <w:numPr>
          <w:ilvl w:val="0"/>
          <w:numId w:val="41"/>
        </w:numPr>
        <w:tabs>
          <w:tab w:val="left" w:pos="8364"/>
        </w:tabs>
        <w:spacing w:before="120" w:after="0" w:line="240" w:lineRule="auto"/>
        <w:jc w:val="both"/>
        <w:rPr>
          <w:rFonts w:cs="Times New Roman"/>
          <w:noProof/>
          <w:lang w:val="sk-SK"/>
        </w:rPr>
      </w:pPr>
      <w:r w:rsidRPr="00083739">
        <w:rPr>
          <w:rFonts w:cs="Times New Roman"/>
          <w:noProof/>
          <w:lang w:val="sk-SK"/>
        </w:rPr>
        <w:t xml:space="preserve">Reforma systému primárnej zdravotnej starostlivosti </w:t>
      </w:r>
      <w:r w:rsidRPr="00083739">
        <w:rPr>
          <w:rFonts w:cs="Times New Roman"/>
          <w:noProof/>
          <w:lang w:val="sk-SK"/>
        </w:rPr>
        <w:t>(ID: 16755)</w:t>
      </w:r>
    </w:p>
    <w:p w14:paraId="26317555" w14:textId="77777777" w:rsidR="002D49B0" w:rsidRPr="00083739" w:rsidRDefault="00BF4125">
      <w:pPr>
        <w:pStyle w:val="P68B1DB1-Normal4"/>
        <w:numPr>
          <w:ilvl w:val="0"/>
          <w:numId w:val="41"/>
        </w:numPr>
        <w:tabs>
          <w:tab w:val="left" w:pos="8364"/>
        </w:tabs>
        <w:spacing w:before="120" w:after="120" w:line="240" w:lineRule="auto"/>
        <w:jc w:val="both"/>
        <w:rPr>
          <w:rFonts w:cs="Times New Roman"/>
          <w:noProof/>
          <w:lang w:val="sk-SK"/>
        </w:rPr>
      </w:pPr>
      <w:r w:rsidRPr="00083739">
        <w:rPr>
          <w:rFonts w:cs="Times New Roman"/>
          <w:noProof/>
          <w:lang w:val="sk-SK"/>
        </w:rPr>
        <w:t>Vykonávanie národného programu prevencie verejného zdravia „Spiros Doxiadis“ (ID: 16783)</w:t>
      </w:r>
    </w:p>
    <w:p w14:paraId="526F0D27" w14:textId="77777777" w:rsidR="002D49B0" w:rsidRPr="00083739" w:rsidRDefault="00BF4125">
      <w:pPr>
        <w:pStyle w:val="P68B1DB1-Normal4"/>
        <w:numPr>
          <w:ilvl w:val="0"/>
          <w:numId w:val="41"/>
        </w:numPr>
        <w:tabs>
          <w:tab w:val="left" w:pos="8364"/>
        </w:tabs>
        <w:spacing w:before="120" w:after="120" w:line="240" w:lineRule="auto"/>
        <w:jc w:val="both"/>
        <w:rPr>
          <w:rFonts w:cs="Times New Roman"/>
          <w:noProof/>
          <w:lang w:val="sk-SK"/>
        </w:rPr>
      </w:pPr>
      <w:r w:rsidRPr="00083739">
        <w:rPr>
          <w:rFonts w:cs="Times New Roman"/>
          <w:noProof/>
          <w:lang w:val="sk-SK"/>
        </w:rPr>
        <w:t>Reforma osobného lekára (ID: 16984)</w:t>
      </w:r>
    </w:p>
    <w:p w14:paraId="095871C1" w14:textId="77777777" w:rsidR="002D49B0" w:rsidRPr="00083739" w:rsidRDefault="002D49B0">
      <w:pPr>
        <w:tabs>
          <w:tab w:val="left" w:pos="8364"/>
        </w:tabs>
        <w:spacing w:before="120" w:after="120" w:line="240" w:lineRule="auto"/>
        <w:jc w:val="both"/>
        <w:rPr>
          <w:rFonts w:ascii="Times New Roman" w:hAnsi="Times New Roman" w:cs="Times New Roman"/>
          <w:noProof/>
          <w:sz w:val="24"/>
          <w:lang w:val="sk-SK"/>
        </w:rPr>
      </w:pPr>
    </w:p>
    <w:tbl>
      <w:tblPr>
        <w:tblpPr w:leftFromText="180" w:rightFromText="180" w:vertAnchor="text" w:tblpXSpec="center" w:tblpY="1"/>
        <w:tblOverlap w:val="neve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5"/>
        <w:gridCol w:w="1268"/>
        <w:gridCol w:w="1001"/>
        <w:gridCol w:w="1274"/>
        <w:gridCol w:w="2178"/>
        <w:gridCol w:w="1199"/>
        <w:gridCol w:w="960"/>
        <w:gridCol w:w="839"/>
        <w:gridCol w:w="960"/>
        <w:gridCol w:w="721"/>
        <w:gridCol w:w="4142"/>
      </w:tblGrid>
      <w:tr w:rsidR="002D49B0" w:rsidRPr="00083739" w14:paraId="6CD275FE" w14:textId="77777777">
        <w:trPr>
          <w:trHeight w:val="631"/>
          <w:tblHeader/>
        </w:trPr>
        <w:tc>
          <w:tcPr>
            <w:tcW w:w="320" w:type="pct"/>
            <w:vMerge w:val="restart"/>
            <w:shd w:val="clear" w:color="auto" w:fill="BDD7EE"/>
            <w:vAlign w:val="center"/>
            <w:hideMark/>
          </w:tcPr>
          <w:p w14:paraId="2110B1C3" w14:textId="77777777" w:rsidR="002D49B0" w:rsidRPr="00083739" w:rsidRDefault="00BF4125">
            <w:pPr>
              <w:pStyle w:val="P68B1DB1-Normal7"/>
              <w:spacing w:after="0" w:line="240" w:lineRule="auto"/>
              <w:ind w:right="-670"/>
              <w:rPr>
                <w:rFonts w:eastAsia="Times New Roman" w:cs="Times New Roman"/>
                <w:bCs/>
                <w:noProof/>
                <w:szCs w:val="18"/>
                <w:lang w:val="sk-SK"/>
              </w:rPr>
            </w:pPr>
            <w:r w:rsidRPr="00083739">
              <w:rPr>
                <w:rFonts w:cs="Times New Roman"/>
                <w:noProof/>
                <w:lang w:val="sk-SK"/>
              </w:rPr>
              <w:t>Poradové číslo</w:t>
            </w:r>
          </w:p>
        </w:tc>
        <w:tc>
          <w:tcPr>
            <w:tcW w:w="408" w:type="pct"/>
            <w:vMerge w:val="restart"/>
            <w:shd w:val="clear" w:color="auto" w:fill="BDD7EE"/>
            <w:vAlign w:val="center"/>
            <w:hideMark/>
          </w:tcPr>
          <w:p w14:paraId="1880459B" w14:textId="55B5A30B" w:rsidR="002D49B0" w:rsidRPr="00083739" w:rsidRDefault="00BF4125">
            <w:pPr>
              <w:pStyle w:val="P68B1DB1-Normal7"/>
              <w:spacing w:after="0" w:line="240" w:lineRule="auto"/>
              <w:ind w:right="-670"/>
              <w:rPr>
                <w:rFonts w:cs="Times New Roman"/>
                <w:noProof/>
                <w:lang w:val="sk-SK"/>
              </w:rPr>
            </w:pPr>
            <w:r w:rsidRPr="00083739">
              <w:rPr>
                <w:rFonts w:cs="Times New Roman"/>
                <w:noProof/>
                <w:lang w:val="sk-SK"/>
              </w:rPr>
              <w:t>Súvisiace</w:t>
            </w:r>
          </w:p>
          <w:p w14:paraId="0BFB14E4" w14:textId="77777777" w:rsidR="002D49B0" w:rsidRPr="00083739" w:rsidRDefault="00BF4125">
            <w:pPr>
              <w:pStyle w:val="P68B1DB1-Normal7"/>
              <w:spacing w:after="0" w:line="240" w:lineRule="auto"/>
              <w:ind w:right="-670"/>
              <w:rPr>
                <w:rFonts w:cs="Times New Roman"/>
                <w:noProof/>
                <w:lang w:val="sk-SK"/>
              </w:rPr>
            </w:pPr>
            <w:r w:rsidRPr="00083739">
              <w:rPr>
                <w:rFonts w:cs="Times New Roman"/>
                <w:noProof/>
                <w:lang w:val="sk-SK"/>
              </w:rPr>
              <w:t>Meraný</w:t>
            </w:r>
          </w:p>
          <w:p w14:paraId="3A5D308A" w14:textId="77777777" w:rsidR="002D49B0" w:rsidRPr="00083739" w:rsidRDefault="00BF4125">
            <w:pPr>
              <w:pStyle w:val="P68B1DB1-Normal7"/>
              <w:spacing w:after="0" w:line="240" w:lineRule="auto"/>
              <w:ind w:right="-670"/>
              <w:rPr>
                <w:rFonts w:eastAsia="Times New Roman" w:cs="Times New Roman"/>
                <w:bCs/>
                <w:noProof/>
                <w:szCs w:val="18"/>
                <w:lang w:val="sk-SK"/>
              </w:rPr>
            </w:pPr>
            <w:r w:rsidRPr="00083739">
              <w:rPr>
                <w:rFonts w:cs="Times New Roman"/>
                <w:noProof/>
                <w:lang w:val="sk-SK"/>
              </w:rPr>
              <w:t>(Reforma alebo investície)</w:t>
            </w:r>
          </w:p>
        </w:tc>
        <w:tc>
          <w:tcPr>
            <w:tcW w:w="322" w:type="pct"/>
            <w:vMerge w:val="restart"/>
            <w:shd w:val="clear" w:color="auto" w:fill="BDD7EE"/>
            <w:vAlign w:val="center"/>
            <w:hideMark/>
          </w:tcPr>
          <w:p w14:paraId="539A28D7" w14:textId="77777777" w:rsidR="00083739" w:rsidRPr="00083739" w:rsidRDefault="00BF4125">
            <w:pPr>
              <w:pStyle w:val="P68B1DB1-Normal7"/>
              <w:spacing w:after="0" w:line="240" w:lineRule="auto"/>
              <w:ind w:right="-670"/>
              <w:rPr>
                <w:rFonts w:cs="Times New Roman"/>
                <w:noProof/>
                <w:lang w:val="sk-SK"/>
              </w:rPr>
            </w:pPr>
            <w:r w:rsidRPr="00083739">
              <w:rPr>
                <w:rFonts w:cs="Times New Roman"/>
                <w:noProof/>
                <w:lang w:val="sk-SK"/>
              </w:rPr>
              <w:t>Míľnik/</w:t>
            </w:r>
          </w:p>
          <w:p w14:paraId="61BCA957" w14:textId="1C285D90" w:rsidR="002D49B0" w:rsidRPr="00083739" w:rsidRDefault="00BF4125">
            <w:pPr>
              <w:pStyle w:val="P68B1DB1-Normal7"/>
              <w:spacing w:after="0" w:line="240" w:lineRule="auto"/>
              <w:ind w:right="-670"/>
              <w:rPr>
                <w:rFonts w:eastAsia="Times New Roman" w:cs="Times New Roman"/>
                <w:bCs/>
                <w:noProof/>
                <w:szCs w:val="18"/>
                <w:lang w:val="sk-SK"/>
              </w:rPr>
            </w:pPr>
            <w:r w:rsidRPr="00083739">
              <w:rPr>
                <w:rFonts w:cs="Times New Roman"/>
                <w:noProof/>
                <w:lang w:val="sk-SK"/>
              </w:rPr>
              <w:t>Cieľ</w:t>
            </w:r>
          </w:p>
        </w:tc>
        <w:tc>
          <w:tcPr>
            <w:tcW w:w="410" w:type="pct"/>
            <w:vMerge w:val="restart"/>
            <w:shd w:val="clear" w:color="auto" w:fill="BDD7EE"/>
            <w:vAlign w:val="center"/>
            <w:hideMark/>
          </w:tcPr>
          <w:p w14:paraId="1DB95DA7" w14:textId="77777777" w:rsidR="002D49B0" w:rsidRPr="00083739" w:rsidRDefault="00BF4125">
            <w:pPr>
              <w:pStyle w:val="P68B1DB1-Normal7"/>
              <w:spacing w:after="0" w:line="240" w:lineRule="auto"/>
              <w:ind w:left="447" w:right="-670" w:hanging="447"/>
              <w:rPr>
                <w:rFonts w:eastAsia="Times New Roman" w:cs="Times New Roman"/>
                <w:bCs/>
                <w:noProof/>
                <w:szCs w:val="18"/>
                <w:lang w:val="sk-SK"/>
              </w:rPr>
            </w:pPr>
            <w:r w:rsidRPr="00083739">
              <w:rPr>
                <w:rFonts w:cs="Times New Roman"/>
                <w:noProof/>
                <w:lang w:val="sk-SK"/>
              </w:rPr>
              <w:t>Názov</w:t>
            </w:r>
          </w:p>
        </w:tc>
        <w:tc>
          <w:tcPr>
            <w:tcW w:w="701" w:type="pct"/>
            <w:vMerge w:val="restart"/>
            <w:shd w:val="clear" w:color="auto" w:fill="BDD7EE"/>
            <w:vAlign w:val="center"/>
            <w:hideMark/>
          </w:tcPr>
          <w:p w14:paraId="7347737F" w14:textId="77777777" w:rsidR="00083739" w:rsidRPr="00083739" w:rsidRDefault="00BF4125">
            <w:pPr>
              <w:pStyle w:val="P68B1DB1-Normal7"/>
              <w:spacing w:after="0" w:line="240" w:lineRule="auto"/>
              <w:ind w:left="447" w:right="-670" w:hanging="447"/>
              <w:rPr>
                <w:rFonts w:cs="Times New Roman"/>
                <w:noProof/>
                <w:lang w:val="sk-SK"/>
              </w:rPr>
            </w:pPr>
            <w:r w:rsidRPr="00083739">
              <w:rPr>
                <w:rFonts w:cs="Times New Roman"/>
                <w:noProof/>
                <w:lang w:val="sk-SK"/>
              </w:rPr>
              <w:t>Kvalitatívne ukazovatele</w:t>
            </w:r>
          </w:p>
          <w:p w14:paraId="6B4A8A7C" w14:textId="4BA77BDC" w:rsidR="002D49B0" w:rsidRPr="00083739" w:rsidRDefault="00BF4125">
            <w:pPr>
              <w:pStyle w:val="P68B1DB1-Normal7"/>
              <w:spacing w:after="0" w:line="240" w:lineRule="auto"/>
              <w:ind w:left="447" w:right="-670" w:hanging="447"/>
              <w:rPr>
                <w:rFonts w:eastAsia="Times New Roman" w:cs="Times New Roman"/>
                <w:bCs/>
                <w:noProof/>
                <w:szCs w:val="18"/>
                <w:lang w:val="sk-SK"/>
              </w:rPr>
            </w:pPr>
            <w:r w:rsidRPr="00083739">
              <w:rPr>
                <w:rFonts w:cs="Times New Roman"/>
                <w:noProof/>
                <w:lang w:val="sk-SK"/>
              </w:rPr>
              <w:t>(pre míľniky)</w:t>
            </w:r>
          </w:p>
        </w:tc>
        <w:tc>
          <w:tcPr>
            <w:tcW w:w="965" w:type="pct"/>
            <w:gridSpan w:val="3"/>
            <w:shd w:val="clear" w:color="auto" w:fill="BDD7EE"/>
            <w:vAlign w:val="center"/>
            <w:hideMark/>
          </w:tcPr>
          <w:p w14:paraId="25AFA771" w14:textId="15C6C650" w:rsidR="002D49B0" w:rsidRPr="00083739" w:rsidRDefault="00BF4125">
            <w:pPr>
              <w:pStyle w:val="P68B1DB1-Normal7"/>
              <w:spacing w:after="0" w:line="240" w:lineRule="auto"/>
              <w:ind w:right="-670"/>
              <w:jc w:val="center"/>
              <w:rPr>
                <w:rFonts w:cs="Times New Roman"/>
                <w:noProof/>
                <w:lang w:val="sk-SK"/>
              </w:rPr>
            </w:pPr>
            <w:r w:rsidRPr="00083739">
              <w:rPr>
                <w:rFonts w:cs="Times New Roman"/>
                <w:noProof/>
                <w:lang w:val="sk-SK"/>
              </w:rPr>
              <w:t>Kvantitatívne ukazovatele</w:t>
            </w:r>
          </w:p>
          <w:p w14:paraId="5EB75F35" w14:textId="77777777" w:rsidR="002D49B0" w:rsidRPr="00083739" w:rsidRDefault="00BF4125">
            <w:pPr>
              <w:pStyle w:val="P68B1DB1-Normal7"/>
              <w:spacing w:after="0" w:line="240" w:lineRule="auto"/>
              <w:ind w:right="-670"/>
              <w:jc w:val="center"/>
              <w:rPr>
                <w:rFonts w:eastAsia="Times New Roman" w:cs="Times New Roman"/>
                <w:bCs/>
                <w:noProof/>
                <w:szCs w:val="18"/>
                <w:lang w:val="sk-SK"/>
              </w:rPr>
            </w:pPr>
            <w:r w:rsidRPr="00083739">
              <w:rPr>
                <w:rFonts w:cs="Times New Roman"/>
                <w:noProof/>
                <w:lang w:val="sk-SK"/>
              </w:rPr>
              <w:t>(pre cieľové hodnoty)</w:t>
            </w:r>
          </w:p>
        </w:tc>
        <w:tc>
          <w:tcPr>
            <w:tcW w:w="541" w:type="pct"/>
            <w:gridSpan w:val="2"/>
            <w:shd w:val="clear" w:color="auto" w:fill="BDD7EE"/>
            <w:vAlign w:val="center"/>
            <w:hideMark/>
          </w:tcPr>
          <w:p w14:paraId="3BCC6732" w14:textId="77777777" w:rsidR="002D49B0" w:rsidRPr="00083739" w:rsidRDefault="00BF4125">
            <w:pPr>
              <w:pStyle w:val="P68B1DB1-Normal7"/>
              <w:spacing w:after="0" w:line="240" w:lineRule="auto"/>
              <w:ind w:right="-670"/>
              <w:rPr>
                <w:rFonts w:cs="Times New Roman"/>
                <w:noProof/>
                <w:lang w:val="sk-SK"/>
              </w:rPr>
            </w:pPr>
            <w:r w:rsidRPr="00083739">
              <w:rPr>
                <w:rFonts w:cs="Times New Roman"/>
                <w:noProof/>
                <w:lang w:val="sk-SK"/>
              </w:rPr>
              <w:t>Orientačný harmonogram</w:t>
            </w:r>
          </w:p>
          <w:p w14:paraId="2B9FB511" w14:textId="05B29FE4" w:rsidR="002D49B0" w:rsidRPr="00083739" w:rsidRDefault="00BF4125">
            <w:pPr>
              <w:pStyle w:val="P68B1DB1-Normal7"/>
              <w:spacing w:after="0" w:line="240" w:lineRule="auto"/>
              <w:ind w:right="-670"/>
              <w:rPr>
                <w:rFonts w:eastAsia="Times New Roman" w:cs="Times New Roman"/>
                <w:bCs/>
                <w:noProof/>
                <w:szCs w:val="18"/>
                <w:lang w:val="sk-SK"/>
              </w:rPr>
            </w:pPr>
            <w:r w:rsidRPr="00083739">
              <w:rPr>
                <w:rFonts w:cs="Times New Roman"/>
                <w:noProof/>
                <w:lang w:val="sk-SK"/>
              </w:rPr>
              <w:t xml:space="preserve"> na vyplnenie</w:t>
            </w:r>
          </w:p>
        </w:tc>
        <w:tc>
          <w:tcPr>
            <w:tcW w:w="1333" w:type="pct"/>
            <w:vMerge w:val="restart"/>
            <w:shd w:val="clear" w:color="auto" w:fill="BDD7EE"/>
            <w:vAlign w:val="center"/>
            <w:hideMark/>
          </w:tcPr>
          <w:p w14:paraId="28F22717" w14:textId="478300A7" w:rsidR="002D49B0" w:rsidRPr="00083739" w:rsidRDefault="00BF4125">
            <w:pPr>
              <w:pStyle w:val="P68B1DB1-Normal7"/>
              <w:spacing w:after="0" w:line="240" w:lineRule="auto"/>
              <w:ind w:right="-670"/>
              <w:jc w:val="center"/>
              <w:rPr>
                <w:rFonts w:eastAsia="Times New Roman" w:cs="Times New Roman"/>
                <w:bCs/>
                <w:noProof/>
                <w:szCs w:val="18"/>
                <w:lang w:val="sk-SK"/>
              </w:rPr>
            </w:pPr>
            <w:r w:rsidRPr="00083739">
              <w:rPr>
                <w:rFonts w:cs="Times New Roman"/>
                <w:noProof/>
                <w:lang w:val="sk-SK"/>
              </w:rPr>
              <w:t>Opis každého míľnika</w:t>
            </w:r>
            <w:r w:rsidR="00083739" w:rsidRPr="00083739">
              <w:rPr>
                <w:rFonts w:cs="Times New Roman"/>
                <w:noProof/>
                <w:lang w:val="sk-SK"/>
              </w:rPr>
              <w:t xml:space="preserve"> a </w:t>
            </w:r>
            <w:r w:rsidRPr="00083739">
              <w:rPr>
                <w:rFonts w:cs="Times New Roman"/>
                <w:noProof/>
                <w:lang w:val="sk-SK"/>
              </w:rPr>
              <w:t>cieľa</w:t>
            </w:r>
          </w:p>
        </w:tc>
      </w:tr>
      <w:tr w:rsidR="002D49B0" w:rsidRPr="00083739" w14:paraId="13AE0862" w14:textId="77777777">
        <w:trPr>
          <w:trHeight w:val="532"/>
          <w:tblHeader/>
        </w:trPr>
        <w:tc>
          <w:tcPr>
            <w:tcW w:w="320" w:type="pct"/>
            <w:vMerge/>
            <w:vAlign w:val="center"/>
            <w:hideMark/>
          </w:tcPr>
          <w:p w14:paraId="61058CE7"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408" w:type="pct"/>
            <w:vMerge/>
            <w:vAlign w:val="center"/>
            <w:hideMark/>
          </w:tcPr>
          <w:p w14:paraId="2CFB6F08"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322" w:type="pct"/>
            <w:vMerge/>
            <w:vAlign w:val="center"/>
            <w:hideMark/>
          </w:tcPr>
          <w:p w14:paraId="44DF5C13"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410" w:type="pct"/>
            <w:vMerge/>
            <w:vAlign w:val="center"/>
            <w:hideMark/>
          </w:tcPr>
          <w:p w14:paraId="47DC1A65"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701" w:type="pct"/>
            <w:vMerge/>
            <w:vAlign w:val="center"/>
            <w:hideMark/>
          </w:tcPr>
          <w:p w14:paraId="61ED7832"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386" w:type="pct"/>
            <w:shd w:val="clear" w:color="auto" w:fill="BDD7EE"/>
            <w:vAlign w:val="center"/>
            <w:hideMark/>
          </w:tcPr>
          <w:p w14:paraId="6E28F864"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Merná jednotka</w:t>
            </w:r>
          </w:p>
        </w:tc>
        <w:tc>
          <w:tcPr>
            <w:tcW w:w="309" w:type="pct"/>
            <w:shd w:val="clear" w:color="auto" w:fill="BDD7EE"/>
            <w:vAlign w:val="center"/>
            <w:hideMark/>
          </w:tcPr>
          <w:p w14:paraId="34CE198D"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Základná </w:t>
            </w:r>
          </w:p>
        </w:tc>
        <w:tc>
          <w:tcPr>
            <w:tcW w:w="270" w:type="pct"/>
            <w:shd w:val="clear" w:color="auto" w:fill="BDD7EE"/>
            <w:vAlign w:val="center"/>
            <w:hideMark/>
          </w:tcPr>
          <w:p w14:paraId="61B70E90"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Cieľ </w:t>
            </w:r>
          </w:p>
        </w:tc>
        <w:tc>
          <w:tcPr>
            <w:tcW w:w="309" w:type="pct"/>
            <w:shd w:val="clear" w:color="auto" w:fill="BDD7EE"/>
            <w:vAlign w:val="center"/>
            <w:hideMark/>
          </w:tcPr>
          <w:p w14:paraId="46B68A12"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Štvrtina</w:t>
            </w:r>
          </w:p>
        </w:tc>
        <w:tc>
          <w:tcPr>
            <w:tcW w:w="232" w:type="pct"/>
            <w:shd w:val="clear" w:color="auto" w:fill="BDD7EE"/>
            <w:vAlign w:val="center"/>
            <w:hideMark/>
          </w:tcPr>
          <w:p w14:paraId="63DBB39F"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Rok</w:t>
            </w:r>
          </w:p>
        </w:tc>
        <w:tc>
          <w:tcPr>
            <w:tcW w:w="1333" w:type="pct"/>
            <w:vMerge/>
            <w:vAlign w:val="center"/>
            <w:hideMark/>
          </w:tcPr>
          <w:p w14:paraId="7E86C7DB"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r>
      <w:tr w:rsidR="002D49B0" w:rsidRPr="00083739" w14:paraId="12989C1D" w14:textId="77777777">
        <w:trPr>
          <w:trHeight w:val="313"/>
        </w:trPr>
        <w:tc>
          <w:tcPr>
            <w:tcW w:w="320" w:type="pct"/>
            <w:shd w:val="clear" w:color="auto" w:fill="C6EFCE"/>
            <w:noWrap/>
          </w:tcPr>
          <w:p w14:paraId="168459C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159</w:t>
            </w:r>
          </w:p>
        </w:tc>
        <w:tc>
          <w:tcPr>
            <w:tcW w:w="408" w:type="pct"/>
            <w:shd w:val="clear" w:color="auto" w:fill="C6EFCE"/>
            <w:noWrap/>
          </w:tcPr>
          <w:p w14:paraId="6E747696" w14:textId="74DB02F0"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10 – 3.3. Zlepšenie odolnosti, dostupnosti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udržateľnosti zdravotnej starostlivosti –</w:t>
            </w:r>
            <w:r w:rsidRPr="00083739">
              <w:rPr>
                <w:rFonts w:ascii="Times New Roman" w:hAnsi="Times New Roman" w:cs="Times New Roman"/>
                <w:noProof/>
                <w:lang w:val="sk-SK"/>
              </w:rPr>
              <w:t xml:space="preserve"> 16755_Reforma systému primárnej zdravotnej starostlivosti</w:t>
            </w:r>
          </w:p>
        </w:tc>
        <w:tc>
          <w:tcPr>
            <w:tcW w:w="322" w:type="pct"/>
            <w:shd w:val="clear" w:color="auto" w:fill="C6EFCE"/>
            <w:noWrap/>
          </w:tcPr>
          <w:p w14:paraId="04F6562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410" w:type="pct"/>
            <w:shd w:val="clear" w:color="auto" w:fill="C6EFCE"/>
            <w:noWrap/>
          </w:tcPr>
          <w:p w14:paraId="7953BACE" w14:textId="7E8B933D"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Aktivácia učebných osnov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starostlivosti</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rodinu</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 xml:space="preserve">oblasti primárnej zdravotnej starostlivosti </w:t>
            </w:r>
          </w:p>
        </w:tc>
        <w:tc>
          <w:tcPr>
            <w:tcW w:w="701" w:type="pct"/>
            <w:shd w:val="clear" w:color="auto" w:fill="C6EFCE"/>
            <w:noWrap/>
          </w:tcPr>
          <w:p w14:paraId="1C326A39" w14:textId="2D5D4DE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Doklad</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začatí kurzov pre všetky novo aktivované akademické učebné osnovy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w:t>
            </w:r>
            <w:r w:rsidRPr="00083739">
              <w:rPr>
                <w:rFonts w:ascii="Times New Roman" w:hAnsi="Times New Roman" w:cs="Times New Roman"/>
                <w:noProof/>
                <w:lang w:val="sk-SK"/>
              </w:rPr>
              <w:t xml:space="preserve"> rodinnej medicíny</w:t>
            </w:r>
            <w:r w:rsidR="00083739" w:rsidRPr="00083739">
              <w:rPr>
                <w:rFonts w:ascii="Times New Roman" w:hAnsi="Times New Roman" w:cs="Times New Roman"/>
                <w:noProof/>
                <w:lang w:val="sk-SK"/>
              </w:rPr>
              <w:t xml:space="preserve"> a o </w:t>
            </w:r>
            <w:r w:rsidRPr="00083739">
              <w:rPr>
                <w:rFonts w:ascii="Times New Roman" w:hAnsi="Times New Roman" w:cs="Times New Roman"/>
                <w:noProof/>
                <w:lang w:val="sk-SK"/>
              </w:rPr>
              <w:t>začlenení modulu rodinnej medicíny do všetkých lekárskych osnov.</w:t>
            </w:r>
          </w:p>
          <w:p w14:paraId="5521CA13" w14:textId="77777777" w:rsidR="002D49B0" w:rsidRPr="00083739" w:rsidRDefault="002D49B0">
            <w:pPr>
              <w:spacing w:after="0" w:line="240" w:lineRule="auto"/>
              <w:rPr>
                <w:rFonts w:ascii="Times New Roman" w:hAnsi="Times New Roman" w:cs="Times New Roman"/>
                <w:noProof/>
                <w:color w:val="006100"/>
                <w:sz w:val="18"/>
                <w:szCs w:val="18"/>
                <w:lang w:val="sk-SK"/>
              </w:rPr>
            </w:pPr>
          </w:p>
        </w:tc>
        <w:tc>
          <w:tcPr>
            <w:tcW w:w="386" w:type="pct"/>
            <w:shd w:val="clear" w:color="auto" w:fill="C6EFCE"/>
            <w:noWrap/>
          </w:tcPr>
          <w:p w14:paraId="0C520BAE"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309" w:type="pct"/>
            <w:shd w:val="clear" w:color="auto" w:fill="C6EFCE"/>
            <w:noWrap/>
          </w:tcPr>
          <w:p w14:paraId="4296BE58"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270" w:type="pct"/>
            <w:shd w:val="clear" w:color="auto" w:fill="C6EFCE"/>
            <w:noWrap/>
          </w:tcPr>
          <w:p w14:paraId="2C110F49"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309" w:type="pct"/>
            <w:shd w:val="clear" w:color="auto" w:fill="C6EFCE"/>
            <w:noWrap/>
          </w:tcPr>
          <w:p w14:paraId="25842AC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232" w:type="pct"/>
            <w:shd w:val="clear" w:color="auto" w:fill="C6EFCE"/>
            <w:noWrap/>
          </w:tcPr>
          <w:p w14:paraId="5A69E42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2022</w:t>
            </w:r>
          </w:p>
        </w:tc>
        <w:tc>
          <w:tcPr>
            <w:tcW w:w="1333" w:type="pct"/>
            <w:shd w:val="clear" w:color="auto" w:fill="C6EFCE"/>
            <w:noWrap/>
          </w:tcPr>
          <w:p w14:paraId="2B63113A" w14:textId="5840D562"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Rozšíriť počet aktívnych akademických osnov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rodinnej medicíny aspoň na 75</w:t>
            </w:r>
            <w:r w:rsidR="00083739" w:rsidRPr="00083739">
              <w:rPr>
                <w:rFonts w:ascii="Times New Roman" w:hAnsi="Times New Roman" w:cs="Times New Roman"/>
                <w:noProof/>
                <w:lang w:val="sk-SK"/>
              </w:rPr>
              <w:t> %</w:t>
            </w:r>
            <w:r w:rsidRPr="00083739">
              <w:rPr>
                <w:rFonts w:ascii="Times New Roman" w:hAnsi="Times New Roman" w:cs="Times New Roman"/>
                <w:noProof/>
                <w:lang w:val="sk-SK"/>
              </w:rPr>
              <w:t xml:space="preserve"> zdravotníckych škôl</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Grécku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zahrnúť povinný modul</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rodinnej medicíny do všetkých lekárskych osnov. To zahŕňa dokumentáciu pre dotknuté univerzity,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ktorej sa zdôrazní nová architektúra diplomov: 1. novovytvorené učebné osnovy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2) začlenenie povinného modulu</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rodinnej medicíne do existujúcich uče</w:t>
            </w:r>
            <w:r w:rsidRPr="00083739">
              <w:rPr>
                <w:rFonts w:ascii="Times New Roman" w:hAnsi="Times New Roman" w:cs="Times New Roman"/>
                <w:noProof/>
                <w:lang w:val="sk-SK"/>
              </w:rPr>
              <w:t>bných osnov).</w:t>
            </w:r>
          </w:p>
        </w:tc>
      </w:tr>
      <w:tr w:rsidR="002D49B0" w:rsidRPr="00083739" w14:paraId="6D9971A0" w14:textId="77777777">
        <w:trPr>
          <w:trHeight w:val="313"/>
        </w:trPr>
        <w:tc>
          <w:tcPr>
            <w:tcW w:w="320" w:type="pct"/>
            <w:shd w:val="clear" w:color="auto" w:fill="C6EFCE"/>
            <w:noWrap/>
          </w:tcPr>
          <w:p w14:paraId="03A9C74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160</w:t>
            </w:r>
          </w:p>
        </w:tc>
        <w:tc>
          <w:tcPr>
            <w:tcW w:w="408" w:type="pct"/>
            <w:shd w:val="clear" w:color="auto" w:fill="C6EFCE"/>
            <w:noWrap/>
          </w:tcPr>
          <w:p w14:paraId="234F8262" w14:textId="29326771" w:rsidR="002D49B0" w:rsidRPr="00083739" w:rsidRDefault="00BF4125">
            <w:pPr>
              <w:pStyle w:val="P68B1DB1-Normal9"/>
              <w:spacing w:after="0" w:line="240" w:lineRule="auto"/>
              <w:rPr>
                <w:rFonts w:ascii="Times New Roman" w:eastAsia="Times New Roman" w:hAnsi="Times New Roman" w:cs="Times New Roman"/>
                <w:noProof/>
                <w:szCs w:val="18"/>
                <w:highlight w:val="yellow"/>
                <w:lang w:val="sk-SK"/>
              </w:rPr>
            </w:pPr>
            <w:r w:rsidRPr="00083739">
              <w:rPr>
                <w:rFonts w:ascii="Times New Roman" w:hAnsi="Times New Roman" w:cs="Times New Roman"/>
                <w:noProof/>
                <w:lang w:val="sk-SK"/>
              </w:rPr>
              <w:t>10 – 3.3. Zlepšenie odolnosti, dostupnosti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udržateľnosti zdravotnej starostlivosti – 16820_Reforma</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duševného zdravia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závislostí</w:t>
            </w:r>
          </w:p>
          <w:p w14:paraId="3C499FED"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322" w:type="pct"/>
            <w:shd w:val="clear" w:color="auto" w:fill="C6EFCE"/>
            <w:noWrap/>
          </w:tcPr>
          <w:p w14:paraId="6F89150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Cieľ</w:t>
            </w:r>
          </w:p>
        </w:tc>
        <w:tc>
          <w:tcPr>
            <w:tcW w:w="410" w:type="pct"/>
            <w:shd w:val="clear" w:color="auto" w:fill="C6EFCE"/>
            <w:noWrap/>
          </w:tcPr>
          <w:p w14:paraId="78F85D6B" w14:textId="3400197E"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Duševné zdravie – 50 jednotiek otvorených – krok 1</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2</w:t>
            </w:r>
          </w:p>
        </w:tc>
        <w:tc>
          <w:tcPr>
            <w:tcW w:w="701" w:type="pct"/>
            <w:shd w:val="clear" w:color="auto" w:fill="C6EFCE"/>
            <w:noWrap/>
          </w:tcPr>
          <w:p w14:paraId="6B24D4C5"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386" w:type="pct"/>
            <w:shd w:val="clear" w:color="auto" w:fill="C6EFCE"/>
            <w:noWrap/>
          </w:tcPr>
          <w:p w14:paraId="7F036FFD" w14:textId="46FB52C3"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Počet dokončených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funkčných </w:t>
            </w:r>
            <w:r w:rsidRPr="00083739">
              <w:rPr>
                <w:rFonts w:ascii="Times New Roman" w:hAnsi="Times New Roman" w:cs="Times New Roman"/>
                <w:noProof/>
                <w:lang w:val="sk-SK"/>
              </w:rPr>
              <w:t>jednotiek duševného zdravia</w:t>
            </w:r>
          </w:p>
        </w:tc>
        <w:tc>
          <w:tcPr>
            <w:tcW w:w="309" w:type="pct"/>
            <w:shd w:val="clear" w:color="auto" w:fill="C6EFCE"/>
            <w:noWrap/>
          </w:tcPr>
          <w:p w14:paraId="41EC48C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0</w:t>
            </w:r>
          </w:p>
        </w:tc>
        <w:tc>
          <w:tcPr>
            <w:tcW w:w="270" w:type="pct"/>
            <w:shd w:val="clear" w:color="auto" w:fill="C6EFCE"/>
            <w:noWrap/>
          </w:tcPr>
          <w:p w14:paraId="20B1BF1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50</w:t>
            </w:r>
          </w:p>
        </w:tc>
        <w:tc>
          <w:tcPr>
            <w:tcW w:w="309" w:type="pct"/>
            <w:shd w:val="clear" w:color="auto" w:fill="C6EFCE"/>
            <w:noWrap/>
          </w:tcPr>
          <w:p w14:paraId="5DFD587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232" w:type="pct"/>
            <w:shd w:val="clear" w:color="auto" w:fill="C6EFCE"/>
            <w:noWrap/>
          </w:tcPr>
          <w:p w14:paraId="5B375EB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2022</w:t>
            </w:r>
          </w:p>
        </w:tc>
        <w:tc>
          <w:tcPr>
            <w:tcW w:w="1333" w:type="pct"/>
            <w:shd w:val="clear" w:color="auto" w:fill="C6EFCE"/>
            <w:noWrap/>
          </w:tcPr>
          <w:p w14:paraId="76386C23" w14:textId="2B0A6721"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Zriadenie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plná prevádzka 50 jednotiek duševného zdravia (realizovaných prostredníctvom obnovy existujúcich jednotiek)</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podporou národného strategického plánu na podporu duševného zdravia (z celkového</w:t>
            </w:r>
            <w:r w:rsidRPr="00083739">
              <w:rPr>
                <w:rFonts w:ascii="Times New Roman" w:hAnsi="Times New Roman" w:cs="Times New Roman"/>
                <w:noProof/>
                <w:lang w:val="sk-SK"/>
              </w:rPr>
              <w:t xml:space="preserve"> počtu 106 jednotiek duševného zdravia)</w:t>
            </w:r>
          </w:p>
        </w:tc>
      </w:tr>
      <w:tr w:rsidR="002D49B0" w:rsidRPr="00083739" w14:paraId="290CE788" w14:textId="77777777">
        <w:trPr>
          <w:trHeight w:val="313"/>
        </w:trPr>
        <w:tc>
          <w:tcPr>
            <w:tcW w:w="320" w:type="pct"/>
            <w:shd w:val="clear" w:color="auto" w:fill="C6EFCE"/>
            <w:noWrap/>
          </w:tcPr>
          <w:p w14:paraId="6294C8C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162</w:t>
            </w:r>
          </w:p>
        </w:tc>
        <w:tc>
          <w:tcPr>
            <w:tcW w:w="408" w:type="pct"/>
            <w:shd w:val="clear" w:color="auto" w:fill="C6EFCE"/>
            <w:noWrap/>
          </w:tcPr>
          <w:p w14:paraId="00E6D3A2" w14:textId="5FC1162E"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10 – 3.3. Zlepšenie odolnosti, dostupnosti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udržateľnosti zdravotnej starostlivosti – 16820_Reforma</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duševného zdravia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závislostí</w:t>
            </w:r>
          </w:p>
        </w:tc>
        <w:tc>
          <w:tcPr>
            <w:tcW w:w="322" w:type="pct"/>
            <w:shd w:val="clear" w:color="auto" w:fill="C6EFCE"/>
            <w:noWrap/>
          </w:tcPr>
          <w:p w14:paraId="3251ABD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Cieľ</w:t>
            </w:r>
          </w:p>
        </w:tc>
        <w:tc>
          <w:tcPr>
            <w:tcW w:w="410" w:type="pct"/>
            <w:shd w:val="clear" w:color="auto" w:fill="C6EFCE"/>
            <w:noWrap/>
          </w:tcPr>
          <w:p w14:paraId="02395316" w14:textId="38970CFA"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Duševné zdravie – 106 jednotiek otvorených – krok 2</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2</w:t>
            </w:r>
          </w:p>
        </w:tc>
        <w:tc>
          <w:tcPr>
            <w:tcW w:w="701" w:type="pct"/>
            <w:shd w:val="clear" w:color="auto" w:fill="C6EFCE"/>
            <w:noWrap/>
          </w:tcPr>
          <w:p w14:paraId="6C353005"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386" w:type="pct"/>
            <w:shd w:val="clear" w:color="auto" w:fill="C6EFCE"/>
            <w:noWrap/>
          </w:tcPr>
          <w:p w14:paraId="4F801AC7" w14:textId="30ACA37A"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Počet </w:t>
            </w:r>
            <w:r w:rsidRPr="00083739">
              <w:rPr>
                <w:rFonts w:ascii="Times New Roman" w:hAnsi="Times New Roman" w:cs="Times New Roman"/>
                <w:noProof/>
                <w:lang w:val="sk-SK"/>
              </w:rPr>
              <w:t>zriadených alebo obnovených jednotiek duševného zdravia</w:t>
            </w:r>
          </w:p>
        </w:tc>
        <w:tc>
          <w:tcPr>
            <w:tcW w:w="309" w:type="pct"/>
            <w:shd w:val="clear" w:color="auto" w:fill="C6EFCE"/>
            <w:noWrap/>
          </w:tcPr>
          <w:p w14:paraId="00902D4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50</w:t>
            </w:r>
          </w:p>
        </w:tc>
        <w:tc>
          <w:tcPr>
            <w:tcW w:w="270" w:type="pct"/>
            <w:shd w:val="clear" w:color="auto" w:fill="C6EFCE"/>
            <w:noWrap/>
          </w:tcPr>
          <w:p w14:paraId="362575E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106</w:t>
            </w:r>
          </w:p>
          <w:p w14:paraId="5628DD7C"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309" w:type="pct"/>
            <w:shd w:val="clear" w:color="auto" w:fill="C6EFCE"/>
            <w:noWrap/>
          </w:tcPr>
          <w:p w14:paraId="78C5B6A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232" w:type="pct"/>
            <w:shd w:val="clear" w:color="auto" w:fill="C6EFCE"/>
            <w:noWrap/>
          </w:tcPr>
          <w:p w14:paraId="53FE533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2023</w:t>
            </w:r>
          </w:p>
        </w:tc>
        <w:tc>
          <w:tcPr>
            <w:tcW w:w="1333" w:type="pct"/>
            <w:shd w:val="clear" w:color="auto" w:fill="C6EFCE"/>
            <w:noWrap/>
          </w:tcPr>
          <w:p w14:paraId="5ECAE701" w14:textId="2D78B310"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Zriadenie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začiatok prevádzky 25 nových jednotiek duševného zdravia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obnova 31 existujúcich jednotiek duševného zdravia podporovaných národným strategickým plánom na pod</w:t>
            </w:r>
            <w:r w:rsidRPr="00083739">
              <w:rPr>
                <w:rFonts w:ascii="Times New Roman" w:hAnsi="Times New Roman" w:cs="Times New Roman"/>
                <w:noProof/>
                <w:lang w:val="sk-SK"/>
              </w:rPr>
              <w:t>poru duševného zdravia, ako aj vývoj webových aplikácií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digitalizácia služieb</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duševného zdravia (pozostávajúca</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digitálnej mapy jednotiek duševného zdravia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digitálnej platformy na dohľad nad neziskovými subjektmi poskytujúcimi služby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w:t>
            </w:r>
            <w:r w:rsidRPr="00083739">
              <w:rPr>
                <w:rFonts w:ascii="Times New Roman" w:hAnsi="Times New Roman" w:cs="Times New Roman"/>
                <w:noProof/>
                <w:lang w:val="sk-SK"/>
              </w:rPr>
              <w:t xml:space="preserve">ti duševného zdravia) </w:t>
            </w:r>
          </w:p>
        </w:tc>
      </w:tr>
      <w:tr w:rsidR="002D49B0" w:rsidRPr="00083739" w14:paraId="15FE7109" w14:textId="77777777">
        <w:trPr>
          <w:trHeight w:val="313"/>
        </w:trPr>
        <w:tc>
          <w:tcPr>
            <w:tcW w:w="320" w:type="pct"/>
            <w:shd w:val="clear" w:color="auto" w:fill="C6EFCE"/>
            <w:noWrap/>
          </w:tcPr>
          <w:p w14:paraId="6F1B21E6" w14:textId="77777777"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163</w:t>
            </w:r>
          </w:p>
        </w:tc>
        <w:tc>
          <w:tcPr>
            <w:tcW w:w="408" w:type="pct"/>
            <w:shd w:val="clear" w:color="auto" w:fill="C6EFCE"/>
            <w:noWrap/>
          </w:tcPr>
          <w:p w14:paraId="7EF0580E" w14:textId="0BF5F462"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10 – 3.3. Zlepšenie odolnosti, dostupnosti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udržateľnosti zdravotnej starostlivosti – 16756_Organizačné reformy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 xml:space="preserve">systéme zdravotnej starostlivosti </w:t>
            </w:r>
          </w:p>
        </w:tc>
        <w:tc>
          <w:tcPr>
            <w:tcW w:w="322" w:type="pct"/>
            <w:shd w:val="clear" w:color="auto" w:fill="C6EFCE"/>
            <w:noWrap/>
          </w:tcPr>
          <w:p w14:paraId="656F19A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410" w:type="pct"/>
            <w:shd w:val="clear" w:color="auto" w:fill="C6EFCE"/>
            <w:noWrap/>
          </w:tcPr>
          <w:p w14:paraId="72390724" w14:textId="0B488CAE" w:rsidR="002D49B0" w:rsidRPr="00083739" w:rsidRDefault="00BF4125">
            <w:pPr>
              <w:spacing w:after="0" w:line="240" w:lineRule="auto"/>
              <w:rPr>
                <w:rFonts w:ascii="Times New Roman" w:eastAsia="Times New Roman" w:hAnsi="Times New Roman" w:cs="Times New Roman"/>
                <w:noProof/>
                <w:color w:val="006100"/>
                <w:sz w:val="18"/>
                <w:szCs w:val="18"/>
                <w:lang w:val="sk-SK"/>
              </w:rPr>
            </w:pPr>
            <w:r w:rsidRPr="00083739">
              <w:rPr>
                <w:rFonts w:ascii="Times New Roman" w:hAnsi="Times New Roman" w:cs="Times New Roman"/>
                <w:noProof/>
                <w:color w:val="006100"/>
                <w:sz w:val="18"/>
                <w:lang w:val="sk-SK"/>
              </w:rPr>
              <w:t xml:space="preserve">Systém zdravotnej starostlivosti – dokončenie gréckeho inštitútu DRG </w:t>
            </w:r>
            <w:r w:rsidRPr="00083739">
              <w:rPr>
                <w:rFonts w:ascii="Times New Roman" w:hAnsi="Times New Roman" w:cs="Times New Roman"/>
                <w:noProof/>
                <w:color w:val="006100"/>
                <w:sz w:val="18"/>
                <w:lang w:val="sk-SK"/>
              </w:rPr>
              <w:t>KETEKNY</w:t>
            </w:r>
            <w:r w:rsidR="00083739" w:rsidRPr="00083739">
              <w:rPr>
                <w:rFonts w:ascii="Times New Roman" w:hAnsi="Times New Roman" w:cs="Times New Roman"/>
                <w:noProof/>
                <w:color w:val="006100"/>
                <w:sz w:val="18"/>
                <w:lang w:val="sk-SK"/>
              </w:rPr>
              <w:t xml:space="preserve"> a </w:t>
            </w:r>
            <w:r w:rsidRPr="00083739">
              <w:rPr>
                <w:rFonts w:ascii="Times New Roman" w:hAnsi="Times New Roman" w:cs="Times New Roman"/>
                <w:noProof/>
                <w:color w:val="006100"/>
                <w:sz w:val="18"/>
                <w:lang w:val="sk-SK"/>
              </w:rPr>
              <w:t>novej</w:t>
            </w:r>
            <w:r w:rsidRPr="00083739">
              <w:rPr>
                <w:rFonts w:ascii="Times New Roman" w:hAnsi="Times New Roman" w:cs="Times New Roman"/>
                <w:noProof/>
                <w:sz w:val="24"/>
                <w:lang w:val="sk-SK"/>
              </w:rPr>
              <w:t xml:space="preserve"> </w:t>
            </w:r>
            <w:r w:rsidRPr="00083739">
              <w:rPr>
                <w:rFonts w:ascii="Times New Roman" w:hAnsi="Times New Roman" w:cs="Times New Roman"/>
                <w:noProof/>
                <w:color w:val="006100"/>
                <w:sz w:val="18"/>
                <w:lang w:val="sk-SK"/>
              </w:rPr>
              <w:t>Agentúry pre zabezpečenie kvality zdravotnej starostlivosti ODIPY (okrem odbornej prípravy)</w:t>
            </w:r>
          </w:p>
        </w:tc>
        <w:tc>
          <w:tcPr>
            <w:tcW w:w="701" w:type="pct"/>
            <w:shd w:val="clear" w:color="auto" w:fill="C6EFCE"/>
            <w:noWrap/>
          </w:tcPr>
          <w:p w14:paraId="10D3F59B" w14:textId="1ABEF6EB"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Doklad</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dokončení podprojektov 1, 2, 3, pre KETEKNY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podprojektov 1, 2, 3 pre ODIPY predložením uvedených výstupov </w:t>
            </w:r>
          </w:p>
        </w:tc>
        <w:tc>
          <w:tcPr>
            <w:tcW w:w="386" w:type="pct"/>
            <w:shd w:val="clear" w:color="auto" w:fill="C6EFCE"/>
            <w:noWrap/>
          </w:tcPr>
          <w:p w14:paraId="2E81E2CC"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309" w:type="pct"/>
            <w:shd w:val="clear" w:color="auto" w:fill="C6EFCE"/>
            <w:noWrap/>
          </w:tcPr>
          <w:p w14:paraId="47E67B62"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270" w:type="pct"/>
            <w:shd w:val="clear" w:color="auto" w:fill="C6EFCE"/>
            <w:noWrap/>
          </w:tcPr>
          <w:p w14:paraId="70183F2E"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309" w:type="pct"/>
            <w:shd w:val="clear" w:color="auto" w:fill="C6EFCE"/>
            <w:noWrap/>
          </w:tcPr>
          <w:p w14:paraId="6D3CCD1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232" w:type="pct"/>
            <w:shd w:val="clear" w:color="auto" w:fill="C6EFCE"/>
            <w:noWrap/>
          </w:tcPr>
          <w:p w14:paraId="509484C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1333" w:type="pct"/>
            <w:shd w:val="clear" w:color="auto" w:fill="C6EFCE"/>
            <w:noWrap/>
          </w:tcPr>
          <w:p w14:paraId="6CB5D021" w14:textId="6116CCB1" w:rsidR="002D49B0" w:rsidRPr="00083739" w:rsidRDefault="00BF4125">
            <w:pPr>
              <w:spacing w:after="0" w:line="240" w:lineRule="auto"/>
              <w:rPr>
                <w:rFonts w:ascii="Times New Roman" w:eastAsia="Times New Roman" w:hAnsi="Times New Roman" w:cs="Times New Roman"/>
                <w:noProof/>
                <w:color w:val="006100"/>
                <w:sz w:val="18"/>
                <w:szCs w:val="18"/>
                <w:lang w:val="sk-SK"/>
              </w:rPr>
            </w:pPr>
            <w:r w:rsidRPr="00083739">
              <w:rPr>
                <w:rFonts w:ascii="Times New Roman" w:hAnsi="Times New Roman" w:cs="Times New Roman"/>
                <w:noProof/>
                <w:color w:val="006100"/>
                <w:sz w:val="18"/>
                <w:szCs w:val="18"/>
                <w:lang w:val="sk-SK"/>
              </w:rPr>
              <w:t>Dokonči</w:t>
            </w:r>
            <w:r w:rsidRPr="00083739">
              <w:rPr>
                <w:rFonts w:ascii="Times New Roman" w:hAnsi="Times New Roman" w:cs="Times New Roman"/>
                <w:noProof/>
                <w:color w:val="006100"/>
                <w:sz w:val="18"/>
                <w:szCs w:val="18"/>
                <w:lang w:val="sk-SK"/>
              </w:rPr>
              <w:t>ť rozšírenie interoperability, pilotný projekt Medzinárodnej klasifikácie chorôb (ICD)</w:t>
            </w:r>
            <w:r w:rsidR="00083739" w:rsidRPr="00083739">
              <w:rPr>
                <w:rFonts w:ascii="Times New Roman" w:hAnsi="Times New Roman" w:cs="Times New Roman"/>
                <w:noProof/>
                <w:color w:val="006100"/>
                <w:sz w:val="18"/>
                <w:szCs w:val="18"/>
                <w:lang w:val="sk-SK"/>
              </w:rPr>
              <w:t xml:space="preserve"> a </w:t>
            </w:r>
            <w:r w:rsidRPr="00083739">
              <w:rPr>
                <w:rFonts w:ascii="Times New Roman" w:hAnsi="Times New Roman" w:cs="Times New Roman"/>
                <w:noProof/>
                <w:color w:val="006100"/>
                <w:sz w:val="18"/>
                <w:szCs w:val="18"/>
                <w:lang w:val="sk-SK"/>
              </w:rPr>
              <w:t>gréckych zdravotníckych postupov (ETIP) pre konzultačné platformy pre medicínske kódovanie</w:t>
            </w:r>
            <w:r w:rsidR="00083739" w:rsidRPr="00083739">
              <w:rPr>
                <w:rFonts w:ascii="Times New Roman" w:hAnsi="Times New Roman" w:cs="Times New Roman"/>
                <w:noProof/>
                <w:color w:val="006100"/>
                <w:sz w:val="18"/>
                <w:szCs w:val="18"/>
                <w:lang w:val="sk-SK"/>
              </w:rPr>
              <w:t xml:space="preserve"> a </w:t>
            </w:r>
            <w:r w:rsidRPr="00083739">
              <w:rPr>
                <w:rFonts w:ascii="Times New Roman" w:hAnsi="Times New Roman" w:cs="Times New Roman"/>
                <w:noProof/>
                <w:color w:val="006100"/>
                <w:sz w:val="18"/>
                <w:szCs w:val="18"/>
                <w:lang w:val="sk-SK"/>
              </w:rPr>
              <w:t>pilotný projekt platformy na zber finančných</w:t>
            </w:r>
            <w:r w:rsidR="00083739" w:rsidRPr="00083739">
              <w:rPr>
                <w:rFonts w:ascii="Times New Roman" w:hAnsi="Times New Roman" w:cs="Times New Roman"/>
                <w:noProof/>
                <w:color w:val="006100"/>
                <w:sz w:val="18"/>
                <w:szCs w:val="18"/>
                <w:lang w:val="sk-SK"/>
              </w:rPr>
              <w:t xml:space="preserve"> a </w:t>
            </w:r>
            <w:r w:rsidRPr="00083739">
              <w:rPr>
                <w:rFonts w:ascii="Times New Roman" w:hAnsi="Times New Roman" w:cs="Times New Roman"/>
                <w:noProof/>
                <w:color w:val="006100"/>
                <w:sz w:val="18"/>
                <w:szCs w:val="18"/>
                <w:lang w:val="sk-SK"/>
              </w:rPr>
              <w:t xml:space="preserve">účtovných údajov </w:t>
            </w:r>
            <w:r w:rsidRPr="00083739">
              <w:rPr>
                <w:rFonts w:ascii="Times New Roman" w:hAnsi="Times New Roman" w:cs="Times New Roman"/>
                <w:noProof/>
                <w:color w:val="006100"/>
                <w:sz w:val="18"/>
                <w:szCs w:val="18"/>
                <w:lang w:val="sk-SK"/>
              </w:rPr>
              <w:t>(podprojekty 1, 2, 3 KETEKNY), ako aj národnú stratégiu</w:t>
            </w:r>
            <w:r w:rsidR="00083739" w:rsidRPr="00083739">
              <w:rPr>
                <w:rFonts w:ascii="Times New Roman" w:hAnsi="Times New Roman" w:cs="Times New Roman"/>
                <w:noProof/>
                <w:color w:val="006100"/>
                <w:sz w:val="18"/>
                <w:szCs w:val="18"/>
                <w:lang w:val="sk-SK"/>
              </w:rPr>
              <w:t xml:space="preserve"> a </w:t>
            </w:r>
            <w:r w:rsidRPr="00083739">
              <w:rPr>
                <w:rFonts w:ascii="Times New Roman" w:hAnsi="Times New Roman" w:cs="Times New Roman"/>
                <w:noProof/>
                <w:color w:val="006100"/>
                <w:sz w:val="18"/>
                <w:szCs w:val="18"/>
                <w:lang w:val="sk-SK"/>
              </w:rPr>
              <w:t>navrhovaný legislatívny rámec pre zabezpečenie kvality, bezpečnosť pacientov</w:t>
            </w:r>
            <w:r w:rsidR="00083739" w:rsidRPr="00083739">
              <w:rPr>
                <w:rFonts w:ascii="Times New Roman" w:hAnsi="Times New Roman" w:cs="Times New Roman"/>
                <w:noProof/>
                <w:color w:val="006100"/>
                <w:sz w:val="18"/>
                <w:szCs w:val="18"/>
                <w:lang w:val="sk-SK"/>
              </w:rPr>
              <w:t xml:space="preserve"> a </w:t>
            </w:r>
            <w:r w:rsidRPr="00083739">
              <w:rPr>
                <w:rFonts w:ascii="Times New Roman" w:hAnsi="Times New Roman" w:cs="Times New Roman"/>
                <w:noProof/>
                <w:color w:val="006100"/>
                <w:sz w:val="18"/>
                <w:szCs w:val="18"/>
                <w:lang w:val="sk-SK"/>
              </w:rPr>
              <w:t>zapojenie pacientov do poskytovania služieb zdravotnej starostlivosti; národná mapa zdravia; národná stratégia</w:t>
            </w:r>
            <w:r w:rsidR="00083739" w:rsidRPr="00083739">
              <w:rPr>
                <w:rFonts w:ascii="Times New Roman" w:hAnsi="Times New Roman" w:cs="Times New Roman"/>
                <w:noProof/>
                <w:color w:val="006100"/>
                <w:sz w:val="18"/>
                <w:szCs w:val="18"/>
                <w:lang w:val="sk-SK"/>
              </w:rPr>
              <w:t xml:space="preserve"> a </w:t>
            </w:r>
            <w:r w:rsidRPr="00083739">
              <w:rPr>
                <w:rFonts w:ascii="Times New Roman" w:hAnsi="Times New Roman" w:cs="Times New Roman"/>
                <w:noProof/>
                <w:color w:val="006100"/>
                <w:sz w:val="18"/>
                <w:szCs w:val="18"/>
                <w:lang w:val="sk-SK"/>
              </w:rPr>
              <w:t>navrho</w:t>
            </w:r>
            <w:r w:rsidRPr="00083739">
              <w:rPr>
                <w:rFonts w:ascii="Times New Roman" w:hAnsi="Times New Roman" w:cs="Times New Roman"/>
                <w:noProof/>
                <w:color w:val="006100"/>
                <w:sz w:val="18"/>
                <w:szCs w:val="18"/>
                <w:lang w:val="sk-SK"/>
              </w:rPr>
              <w:t>vaný legislatívny rámec pre kvalitu politík</w:t>
            </w:r>
            <w:r w:rsidR="00083739" w:rsidRPr="00083739">
              <w:rPr>
                <w:rFonts w:ascii="Times New Roman" w:hAnsi="Times New Roman" w:cs="Times New Roman"/>
                <w:noProof/>
                <w:color w:val="006100"/>
                <w:sz w:val="18"/>
                <w:szCs w:val="18"/>
                <w:lang w:val="sk-SK"/>
              </w:rPr>
              <w:t xml:space="preserve"> v </w:t>
            </w:r>
            <w:r w:rsidRPr="00083739">
              <w:rPr>
                <w:rFonts w:ascii="Times New Roman" w:hAnsi="Times New Roman" w:cs="Times New Roman"/>
                <w:noProof/>
                <w:color w:val="006100"/>
                <w:sz w:val="18"/>
                <w:szCs w:val="18"/>
                <w:lang w:val="sk-SK"/>
              </w:rPr>
              <w:t>oblasti starostlivosti</w:t>
            </w:r>
            <w:r w:rsidR="00083739" w:rsidRPr="00083739">
              <w:rPr>
                <w:rFonts w:ascii="Times New Roman" w:hAnsi="Times New Roman" w:cs="Times New Roman"/>
                <w:noProof/>
                <w:color w:val="006100"/>
                <w:sz w:val="18"/>
                <w:szCs w:val="18"/>
                <w:lang w:val="sk-SK"/>
              </w:rPr>
              <w:t xml:space="preserve"> a </w:t>
            </w:r>
            <w:r w:rsidRPr="00083739">
              <w:rPr>
                <w:rFonts w:ascii="Times New Roman" w:hAnsi="Times New Roman" w:cs="Times New Roman"/>
                <w:noProof/>
                <w:color w:val="006100"/>
                <w:sz w:val="18"/>
                <w:szCs w:val="18"/>
                <w:lang w:val="sk-SK"/>
              </w:rPr>
              <w:t>bezpečnosti.</w:t>
            </w:r>
          </w:p>
        </w:tc>
      </w:tr>
      <w:tr w:rsidR="002D49B0" w:rsidRPr="00083739" w14:paraId="267EC2C3" w14:textId="77777777">
        <w:trPr>
          <w:trHeight w:val="313"/>
        </w:trPr>
        <w:tc>
          <w:tcPr>
            <w:tcW w:w="320" w:type="pct"/>
            <w:shd w:val="clear" w:color="auto" w:fill="C6EFCE"/>
            <w:noWrap/>
          </w:tcPr>
          <w:p w14:paraId="5D43213D" w14:textId="77777777"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164</w:t>
            </w:r>
          </w:p>
        </w:tc>
        <w:tc>
          <w:tcPr>
            <w:tcW w:w="408" w:type="pct"/>
            <w:shd w:val="clear" w:color="auto" w:fill="C6EFCE"/>
            <w:noWrap/>
          </w:tcPr>
          <w:p w14:paraId="735EF920" w14:textId="16024D28"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10 – 3.3. Zlepšenie odolnosti, dostupnosti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udržateľnosti zdravotnej starostlivosti – 16756_Organizačné reformy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 xml:space="preserve">systéme zdravotnej starostlivosti </w:t>
            </w:r>
          </w:p>
        </w:tc>
        <w:tc>
          <w:tcPr>
            <w:tcW w:w="322" w:type="pct"/>
            <w:shd w:val="clear" w:color="auto" w:fill="C6EFCE"/>
            <w:noWrap/>
          </w:tcPr>
          <w:p w14:paraId="1D8823E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Cieľ</w:t>
            </w:r>
          </w:p>
        </w:tc>
        <w:tc>
          <w:tcPr>
            <w:tcW w:w="410" w:type="pct"/>
            <w:shd w:val="clear" w:color="auto" w:fill="C6EFCE"/>
            <w:noWrap/>
          </w:tcPr>
          <w:p w14:paraId="0AD648B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Systém </w:t>
            </w:r>
            <w:r w:rsidRPr="00083739">
              <w:rPr>
                <w:rFonts w:ascii="Times New Roman" w:hAnsi="Times New Roman" w:cs="Times New Roman"/>
                <w:noProof/>
                <w:lang w:val="sk-SK"/>
              </w:rPr>
              <w:t>zdravotnej starostlivosti – kompletná odborná príprava KETEKNY</w:t>
            </w:r>
          </w:p>
        </w:tc>
        <w:tc>
          <w:tcPr>
            <w:tcW w:w="701" w:type="pct"/>
            <w:shd w:val="clear" w:color="auto" w:fill="C6EFCE"/>
            <w:noWrap/>
          </w:tcPr>
          <w:p w14:paraId="59AF2D67"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386" w:type="pct"/>
            <w:shd w:val="clear" w:color="auto" w:fill="C6EFCE"/>
            <w:noWrap/>
          </w:tcPr>
          <w:p w14:paraId="306D9B5D" w14:textId="1F94D795"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Počet zdravotníckych pracovníkov, ktorí absolvovali programy odbornej prípravy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sú formálne certifikovaní</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klinickom kódovaní, vyúčtovaní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posudzovaní súladu</w:t>
            </w:r>
          </w:p>
        </w:tc>
        <w:tc>
          <w:tcPr>
            <w:tcW w:w="309" w:type="pct"/>
            <w:shd w:val="clear" w:color="auto" w:fill="C6EFCE"/>
            <w:noWrap/>
          </w:tcPr>
          <w:p w14:paraId="77EE1B8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0</w:t>
            </w:r>
          </w:p>
        </w:tc>
        <w:tc>
          <w:tcPr>
            <w:tcW w:w="270" w:type="pct"/>
            <w:shd w:val="clear" w:color="auto" w:fill="C6EFCE"/>
            <w:noWrap/>
          </w:tcPr>
          <w:p w14:paraId="04A39EC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4 500</w:t>
            </w:r>
          </w:p>
        </w:tc>
        <w:tc>
          <w:tcPr>
            <w:tcW w:w="309" w:type="pct"/>
            <w:shd w:val="clear" w:color="auto" w:fill="C6EFCE"/>
            <w:noWrap/>
          </w:tcPr>
          <w:p w14:paraId="140E245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232" w:type="pct"/>
            <w:shd w:val="clear" w:color="auto" w:fill="C6EFCE"/>
            <w:noWrap/>
          </w:tcPr>
          <w:p w14:paraId="7D93CE8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1333" w:type="pct"/>
            <w:shd w:val="clear" w:color="auto" w:fill="C6EFCE"/>
            <w:noWrap/>
          </w:tcPr>
          <w:p w14:paraId="2A66029B" w14:textId="4DE58E0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odbornej prípravy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certifikácie 4500 zdravotníckych pracovníkov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oblastiach klinického kódovania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vyúčtovania (podprojekt 4 KETEKNY)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posúdenia súladu na základe nového spoločného hodnotiaceho rámca (podprojekt 4 ODIPY) úmerne</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potrebám ide</w:t>
            </w:r>
            <w:r w:rsidRPr="00083739">
              <w:rPr>
                <w:rFonts w:ascii="Times New Roman" w:hAnsi="Times New Roman" w:cs="Times New Roman"/>
                <w:noProof/>
                <w:lang w:val="sk-SK"/>
              </w:rPr>
              <w:t>ntifikovaným pre KETEKNY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ODIPY.</w:t>
            </w:r>
          </w:p>
        </w:tc>
      </w:tr>
      <w:tr w:rsidR="002D49B0" w:rsidRPr="00083739" w14:paraId="58A80BB6" w14:textId="77777777">
        <w:trPr>
          <w:trHeight w:val="313"/>
        </w:trPr>
        <w:tc>
          <w:tcPr>
            <w:tcW w:w="320" w:type="pct"/>
            <w:shd w:val="clear" w:color="auto" w:fill="C6EFCE"/>
            <w:noWrap/>
          </w:tcPr>
          <w:p w14:paraId="68026D22" w14:textId="77777777" w:rsidR="002D49B0" w:rsidRPr="00083739" w:rsidRDefault="00BF4125">
            <w:pPr>
              <w:pStyle w:val="P68B1DB1-Normal10"/>
              <w:spacing w:after="0" w:line="240" w:lineRule="auto"/>
              <w:rPr>
                <w:rFonts w:ascii="Times New Roman" w:hAnsi="Times New Roman" w:cs="Times New Roman"/>
                <w:noProof/>
                <w:lang w:val="sk-SK"/>
              </w:rPr>
            </w:pPr>
            <w:r w:rsidRPr="00083739">
              <w:rPr>
                <w:rFonts w:ascii="Times New Roman" w:hAnsi="Times New Roman" w:cs="Times New Roman"/>
                <w:noProof/>
                <w:lang w:val="sk-SK"/>
              </w:rPr>
              <w:t>164a</w:t>
            </w:r>
          </w:p>
        </w:tc>
        <w:tc>
          <w:tcPr>
            <w:tcW w:w="408" w:type="pct"/>
            <w:shd w:val="clear" w:color="auto" w:fill="C6EFCE"/>
            <w:noWrap/>
          </w:tcPr>
          <w:p w14:paraId="40219754" w14:textId="31178DEC"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10 – 3.3. Zlepšenie odolnosti, dostupnosti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udržateľnosti zdravotnej starostlivosti – 16 756_Organizačné reformy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systéme zdravotnej starostlivosti</w:t>
            </w:r>
          </w:p>
        </w:tc>
        <w:tc>
          <w:tcPr>
            <w:tcW w:w="322" w:type="pct"/>
            <w:shd w:val="clear" w:color="auto" w:fill="C6EFCE"/>
            <w:noWrap/>
          </w:tcPr>
          <w:p w14:paraId="63B75385" w14:textId="77777777"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Cieľ</w:t>
            </w:r>
          </w:p>
        </w:tc>
        <w:tc>
          <w:tcPr>
            <w:tcW w:w="410" w:type="pct"/>
            <w:shd w:val="clear" w:color="auto" w:fill="C6EFCE"/>
            <w:noWrap/>
          </w:tcPr>
          <w:p w14:paraId="0B0C05A3" w14:textId="77777777"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Skrátenie čakacieho zoznamu chirurgických zákrokov</w:t>
            </w:r>
          </w:p>
        </w:tc>
        <w:tc>
          <w:tcPr>
            <w:tcW w:w="701" w:type="pct"/>
            <w:shd w:val="clear" w:color="auto" w:fill="C6EFCE"/>
            <w:noWrap/>
          </w:tcPr>
          <w:p w14:paraId="6740FC67"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386" w:type="pct"/>
            <w:shd w:val="clear" w:color="auto" w:fill="C6EFCE"/>
            <w:noWrap/>
          </w:tcPr>
          <w:p w14:paraId="431FF27B" w14:textId="413E5FD4"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 xml:space="preserve">Počet </w:t>
            </w:r>
            <w:r w:rsidRPr="00083739">
              <w:rPr>
                <w:rFonts w:ascii="Times New Roman" w:hAnsi="Times New Roman" w:cs="Times New Roman"/>
                <w:noProof/>
                <w:lang w:val="sk-SK"/>
              </w:rPr>
              <w:t>ukončených chirurgických zákrokov</w:t>
            </w:r>
            <w:r w:rsidR="00083739" w:rsidRPr="00083739">
              <w:rPr>
                <w:rFonts w:ascii="Times New Roman" w:hAnsi="Times New Roman" w:cs="Times New Roman"/>
                <w:noProof/>
                <w:lang w:val="sk-SK"/>
              </w:rPr>
              <w:t xml:space="preserve"> u </w:t>
            </w:r>
            <w:r w:rsidRPr="00083739">
              <w:rPr>
                <w:rFonts w:ascii="Times New Roman" w:hAnsi="Times New Roman" w:cs="Times New Roman"/>
                <w:noProof/>
                <w:lang w:val="sk-SK"/>
              </w:rPr>
              <w:t>pacientov, ktorí čakajú dlhšie ako štyri mesiace.</w:t>
            </w:r>
          </w:p>
        </w:tc>
        <w:tc>
          <w:tcPr>
            <w:tcW w:w="309" w:type="pct"/>
            <w:shd w:val="clear" w:color="auto" w:fill="C6EFCE"/>
            <w:noWrap/>
          </w:tcPr>
          <w:p w14:paraId="3BA62436" w14:textId="77777777"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0</w:t>
            </w:r>
          </w:p>
        </w:tc>
        <w:tc>
          <w:tcPr>
            <w:tcW w:w="270" w:type="pct"/>
            <w:shd w:val="clear" w:color="auto" w:fill="C6EFCE"/>
            <w:noWrap/>
          </w:tcPr>
          <w:p w14:paraId="6FC8090D" w14:textId="50A497CC"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34 000</w:t>
            </w:r>
          </w:p>
        </w:tc>
        <w:tc>
          <w:tcPr>
            <w:tcW w:w="309" w:type="pct"/>
            <w:shd w:val="clear" w:color="auto" w:fill="C6EFCE"/>
            <w:noWrap/>
          </w:tcPr>
          <w:p w14:paraId="681024F7" w14:textId="77777777"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ŠTVRTÝ ŠTVRŤROK</w:t>
            </w:r>
          </w:p>
        </w:tc>
        <w:tc>
          <w:tcPr>
            <w:tcW w:w="232" w:type="pct"/>
            <w:shd w:val="clear" w:color="auto" w:fill="C6EFCE"/>
            <w:noWrap/>
          </w:tcPr>
          <w:p w14:paraId="4E6711A3" w14:textId="77777777"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2025</w:t>
            </w:r>
          </w:p>
        </w:tc>
        <w:tc>
          <w:tcPr>
            <w:tcW w:w="1333" w:type="pct"/>
            <w:shd w:val="clear" w:color="auto" w:fill="C6EFCE"/>
            <w:noWrap/>
          </w:tcPr>
          <w:p w14:paraId="631C885C" w14:textId="502D5B47" w:rsidR="002D49B0" w:rsidRPr="00083739" w:rsidRDefault="00BF4125">
            <w:pPr>
              <w:pStyle w:val="P68B1DB1-Normal10"/>
              <w:spacing w:after="0" w:line="240" w:lineRule="auto"/>
              <w:rPr>
                <w:rFonts w:ascii="Times New Roman" w:hAnsi="Times New Roman" w:cs="Times New Roman"/>
                <w:noProof/>
                <w:lang w:val="sk-SK"/>
              </w:rPr>
            </w:pPr>
            <w:r w:rsidRPr="00083739">
              <w:rPr>
                <w:rFonts w:ascii="Times New Roman" w:hAnsi="Times New Roman" w:cs="Times New Roman"/>
                <w:noProof/>
                <w:lang w:val="sk-SK"/>
              </w:rPr>
              <w:t>Zníženie počtu nevybavených prípadov najmenej</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polovicu celkového počtu neukončených chirurgických zákrokov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 xml:space="preserve">prípade pacientov, ktorí </w:t>
            </w:r>
            <w:r w:rsidRPr="00083739">
              <w:rPr>
                <w:rFonts w:ascii="Times New Roman" w:hAnsi="Times New Roman" w:cs="Times New Roman"/>
                <w:noProof/>
                <w:lang w:val="sk-SK"/>
              </w:rPr>
              <w:t>čakali na jednotný digitálny zoznam seriorov dlhšie ako štyri mesiace (na základe stavu zoznamu</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16. októbru 2024). Zahŕňa to dokončenie 34000 chirurgických zákrokov pre pacientov, ktorí čakali dlhšie ako štyri mesiace, vrátane najmenej 26000 chirurgickýc</w:t>
            </w:r>
            <w:r w:rsidRPr="00083739">
              <w:rPr>
                <w:rFonts w:ascii="Times New Roman" w:hAnsi="Times New Roman" w:cs="Times New Roman"/>
                <w:noProof/>
                <w:lang w:val="sk-SK"/>
              </w:rPr>
              <w:t>h zákrokov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prípade pacientov, ktorí čakali dlhšie ako 8 mesiacov.</w:t>
            </w:r>
          </w:p>
        </w:tc>
      </w:tr>
      <w:tr w:rsidR="002D49B0" w:rsidRPr="00083739" w14:paraId="6450AAEB" w14:textId="77777777">
        <w:trPr>
          <w:trHeight w:val="313"/>
        </w:trPr>
        <w:tc>
          <w:tcPr>
            <w:tcW w:w="320" w:type="pct"/>
            <w:shd w:val="clear" w:color="auto" w:fill="C6EFCE"/>
            <w:noWrap/>
          </w:tcPr>
          <w:p w14:paraId="41D61A3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165</w:t>
            </w:r>
          </w:p>
        </w:tc>
        <w:tc>
          <w:tcPr>
            <w:tcW w:w="408" w:type="pct"/>
            <w:shd w:val="clear" w:color="auto" w:fill="C6EFCE"/>
            <w:noWrap/>
          </w:tcPr>
          <w:p w14:paraId="4DB956D3" w14:textId="4561C955"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10 – 3.3. Zlepšenie odolnosti, dostupnosti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udržateľnosti zdravotnej starostlivosti – 16783_Vykonávanie národného programu prevencie verejného zdravia „Spiros Doxiadis“ (NPP)</w:t>
            </w:r>
          </w:p>
          <w:p w14:paraId="5A44AD20" w14:textId="77777777" w:rsidR="002D49B0" w:rsidRPr="00083739" w:rsidRDefault="002D49B0">
            <w:pPr>
              <w:spacing w:after="0" w:line="240" w:lineRule="auto"/>
              <w:rPr>
                <w:rFonts w:ascii="Times New Roman" w:eastAsia="Times New Roman" w:hAnsi="Times New Roman" w:cs="Times New Roman"/>
                <w:noProof/>
                <w:color w:val="006100"/>
                <w:sz w:val="18"/>
                <w:szCs w:val="18"/>
                <w:highlight w:val="yellow"/>
                <w:lang w:val="sk-SK"/>
              </w:rPr>
            </w:pPr>
          </w:p>
          <w:p w14:paraId="17B2819D"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322" w:type="pct"/>
            <w:shd w:val="clear" w:color="auto" w:fill="C6EFCE"/>
            <w:noWrap/>
          </w:tcPr>
          <w:p w14:paraId="3623277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410" w:type="pct"/>
            <w:shd w:val="clear" w:color="auto" w:fill="C6EFCE"/>
            <w:noWrap/>
          </w:tcPr>
          <w:p w14:paraId="7DAE12B6" w14:textId="30B778A4"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Národný program prevencie verejného zdravia</w:t>
            </w:r>
            <w:r w:rsidRPr="00083739">
              <w:rPr>
                <w:rFonts w:ascii="Times New Roman" w:hAnsi="Times New Roman" w:cs="Times New Roman"/>
                <w:noProof/>
                <w:szCs w:val="18"/>
                <w:lang w:val="sk-SK"/>
              </w:rPr>
              <w:t xml:space="preserve">Spiros </w:t>
            </w:r>
            <w:r w:rsidRPr="00083739">
              <w:rPr>
                <w:rFonts w:ascii="Times New Roman" w:hAnsi="Times New Roman" w:cs="Times New Roman"/>
                <w:noProof/>
                <w:lang w:val="sk-SK"/>
              </w:rPr>
              <w:t>Doxiadis – všetky projekty dokončené</w:t>
            </w:r>
          </w:p>
        </w:tc>
        <w:tc>
          <w:tcPr>
            <w:tcW w:w="701" w:type="pct"/>
            <w:shd w:val="clear" w:color="auto" w:fill="C6EFCE"/>
            <w:noWrap/>
          </w:tcPr>
          <w:p w14:paraId="1A10D471" w14:textId="28C99B49"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Dôkaz</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dokončení všetkých projektov,</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čom svedčia správy za všetky oblasti (primárna, sekundárna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funkčná modernizácia systému verejného zdravotníctva) pokrýva</w:t>
            </w:r>
            <w:r w:rsidRPr="00083739">
              <w:rPr>
                <w:rFonts w:ascii="Times New Roman" w:hAnsi="Times New Roman" w:cs="Times New Roman"/>
                <w:noProof/>
                <w:lang w:val="sk-SK"/>
              </w:rPr>
              <w:t>júci všetky akcie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obyvateľstvo, na ktoré sa vzťahuje každá akcia.</w:t>
            </w:r>
          </w:p>
        </w:tc>
        <w:tc>
          <w:tcPr>
            <w:tcW w:w="386" w:type="pct"/>
            <w:shd w:val="clear" w:color="auto" w:fill="C6EFCE"/>
            <w:noWrap/>
          </w:tcPr>
          <w:p w14:paraId="12B2C480"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309" w:type="pct"/>
            <w:shd w:val="clear" w:color="auto" w:fill="C6EFCE"/>
            <w:noWrap/>
          </w:tcPr>
          <w:p w14:paraId="6F2926FB"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270" w:type="pct"/>
            <w:shd w:val="clear" w:color="auto" w:fill="C6EFCE"/>
            <w:noWrap/>
          </w:tcPr>
          <w:p w14:paraId="18C96C23"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309" w:type="pct"/>
            <w:shd w:val="clear" w:color="auto" w:fill="C6EFCE"/>
            <w:noWrap/>
          </w:tcPr>
          <w:p w14:paraId="0246456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232" w:type="pct"/>
            <w:shd w:val="clear" w:color="auto" w:fill="C6EFCE"/>
            <w:noWrap/>
          </w:tcPr>
          <w:p w14:paraId="5CE1F76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1333" w:type="pct"/>
            <w:shd w:val="clear" w:color="auto" w:fill="C6EFCE"/>
            <w:noWrap/>
          </w:tcPr>
          <w:p w14:paraId="5AA08CC2" w14:textId="77777777" w:rsidR="00083739" w:rsidRPr="00083739" w:rsidRDefault="00BF4125">
            <w:pPr>
              <w:pStyle w:val="P68B1DB1-Normal10"/>
              <w:spacing w:after="0" w:line="240" w:lineRule="auto"/>
              <w:rPr>
                <w:rFonts w:ascii="Times New Roman" w:hAnsi="Times New Roman" w:cs="Times New Roman"/>
                <w:noProof/>
                <w:lang w:val="sk-SK"/>
              </w:rPr>
            </w:pPr>
            <w:r w:rsidRPr="00083739">
              <w:rPr>
                <w:rFonts w:ascii="Times New Roman" w:hAnsi="Times New Roman" w:cs="Times New Roman"/>
                <w:noProof/>
                <w:lang w:val="sk-SK"/>
              </w:rPr>
              <w:t>Ukončenie</w:t>
            </w:r>
            <w:r w:rsidR="00083739" w:rsidRPr="00083739">
              <w:rPr>
                <w:rFonts w:ascii="Times New Roman" w:hAnsi="Times New Roman" w:cs="Times New Roman"/>
                <w:noProof/>
                <w:lang w:val="sk-SK"/>
              </w:rPr>
              <w:t>:</w:t>
            </w:r>
          </w:p>
          <w:p w14:paraId="74716FE2" w14:textId="77777777" w:rsidR="00083739" w:rsidRPr="00083739" w:rsidRDefault="00BF4125">
            <w:pPr>
              <w:pStyle w:val="P68B1DB1-Normal10"/>
              <w:spacing w:after="0" w:line="240" w:lineRule="auto"/>
              <w:rPr>
                <w:rFonts w:ascii="Times New Roman" w:hAnsi="Times New Roman" w:cs="Times New Roman"/>
                <w:noProof/>
                <w:lang w:val="sk-SK"/>
              </w:rPr>
            </w:pPr>
            <w:r w:rsidRPr="00083739">
              <w:rPr>
                <w:rFonts w:ascii="Times New Roman" w:hAnsi="Times New Roman" w:cs="Times New Roman"/>
                <w:noProof/>
                <w:lang w:val="sk-SK"/>
              </w:rPr>
              <w:t>1. Primárna prevencia</w:t>
            </w:r>
            <w:r w:rsidR="00083739" w:rsidRPr="00083739">
              <w:rPr>
                <w:rFonts w:ascii="Times New Roman" w:hAnsi="Times New Roman" w:cs="Times New Roman"/>
                <w:noProof/>
                <w:lang w:val="sk-SK"/>
              </w:rPr>
              <w:t>:</w:t>
            </w:r>
          </w:p>
          <w:p w14:paraId="01AECB37" w14:textId="5001FB94" w:rsidR="002D49B0" w:rsidRPr="00083739" w:rsidRDefault="00BF4125">
            <w:pPr>
              <w:pStyle w:val="P68B1DB1-Normal10"/>
              <w:spacing w:after="0" w:line="240" w:lineRule="auto"/>
              <w:ind w:left="720"/>
              <w:rPr>
                <w:rFonts w:ascii="Times New Roman" w:eastAsia="Times New Roman" w:hAnsi="Times New Roman" w:cs="Times New Roman"/>
                <w:noProof/>
                <w:lang w:val="sk-SK"/>
              </w:rPr>
            </w:pPr>
            <w:r w:rsidRPr="00083739">
              <w:rPr>
                <w:rFonts w:ascii="Times New Roman" w:hAnsi="Times New Roman" w:cs="Times New Roman"/>
                <w:noProof/>
                <w:lang w:val="sk-SK"/>
              </w:rPr>
              <w:t>I) intervencie na podporu telesného cvičenia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zdravého stravovania prostredníctvom: a) legislatívny rámec pre stravovanie</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zdravia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školské jedálne, b) systematická odborná príprava</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využitím skúsenej odbornej prípravy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školských osnovách, c) komunitné akcie, d) zriadenie Európskeho centra pre obezitu, e) podpora fyzickej aktivity, f) digitálne nástroje, g) informač</w:t>
            </w:r>
            <w:r w:rsidRPr="00083739">
              <w:rPr>
                <w:rFonts w:ascii="Times New Roman" w:hAnsi="Times New Roman" w:cs="Times New Roman"/>
                <w:noProof/>
                <w:lang w:val="sk-SK"/>
              </w:rPr>
              <w:t>ná kampaň,</w:t>
            </w:r>
          </w:p>
          <w:p w14:paraId="7731A460" w14:textId="77777777" w:rsidR="00083739" w:rsidRPr="00083739" w:rsidRDefault="00BF4125">
            <w:pPr>
              <w:pStyle w:val="P68B1DB1-Normal10"/>
              <w:spacing w:after="0" w:line="240" w:lineRule="auto"/>
              <w:ind w:left="720"/>
              <w:rPr>
                <w:rFonts w:ascii="Times New Roman" w:hAnsi="Times New Roman" w:cs="Times New Roman"/>
                <w:noProof/>
                <w:lang w:val="sk-SK"/>
              </w:rPr>
            </w:pPr>
            <w:r w:rsidRPr="00083739">
              <w:rPr>
                <w:rFonts w:ascii="Times New Roman" w:hAnsi="Times New Roman" w:cs="Times New Roman"/>
                <w:noProof/>
                <w:lang w:val="sk-SK"/>
              </w:rPr>
              <w:t>II) intervencie</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zdravotnej gramotnosti zamerané na škodlivé dôsledky nadmerného požívania alkoholu</w:t>
            </w:r>
          </w:p>
          <w:p w14:paraId="1BCB5723" w14:textId="77777777" w:rsidR="00083739" w:rsidRPr="00083739" w:rsidRDefault="00BF4125">
            <w:pPr>
              <w:pStyle w:val="P68B1DB1-Normal10"/>
              <w:spacing w:after="0" w:line="240" w:lineRule="auto"/>
              <w:ind w:left="720"/>
              <w:rPr>
                <w:rFonts w:ascii="Times New Roman" w:hAnsi="Times New Roman" w:cs="Times New Roman"/>
                <w:noProof/>
                <w:lang w:val="sk-SK"/>
              </w:rPr>
            </w:pPr>
            <w:r w:rsidRPr="00083739">
              <w:rPr>
                <w:rFonts w:ascii="Times New Roman" w:hAnsi="Times New Roman" w:cs="Times New Roman"/>
                <w:noProof/>
                <w:lang w:val="sk-SK"/>
              </w:rPr>
              <w:t>III) intervencie na prevenciu psychosociálnych problémov</w:t>
            </w:r>
            <w:r w:rsidR="00083739" w:rsidRPr="00083739">
              <w:rPr>
                <w:rFonts w:ascii="Times New Roman" w:hAnsi="Times New Roman" w:cs="Times New Roman"/>
                <w:noProof/>
                <w:lang w:val="sk-SK"/>
              </w:rPr>
              <w:t xml:space="preserve"> u </w:t>
            </w:r>
            <w:r w:rsidRPr="00083739">
              <w:rPr>
                <w:rFonts w:ascii="Times New Roman" w:hAnsi="Times New Roman" w:cs="Times New Roman"/>
                <w:noProof/>
                <w:lang w:val="sk-SK"/>
              </w:rPr>
              <w:t>detí</w:t>
            </w:r>
            <w:r w:rsidR="00083739" w:rsidRPr="00083739">
              <w:rPr>
                <w:rFonts w:ascii="Times New Roman" w:hAnsi="Times New Roman" w:cs="Times New Roman"/>
                <w:noProof/>
                <w:lang w:val="sk-SK"/>
              </w:rPr>
              <w:t xml:space="preserve"> a</w:t>
            </w:r>
          </w:p>
          <w:p w14:paraId="390D0063" w14:textId="467BF0A2" w:rsidR="002D49B0" w:rsidRPr="00083739" w:rsidRDefault="00BF4125">
            <w:pPr>
              <w:pStyle w:val="P68B1DB1-Normal10"/>
              <w:spacing w:after="0" w:line="240" w:lineRule="auto"/>
              <w:ind w:left="720"/>
              <w:rPr>
                <w:rFonts w:ascii="Times New Roman" w:eastAsia="Times New Roman" w:hAnsi="Times New Roman" w:cs="Times New Roman"/>
                <w:noProof/>
                <w:lang w:val="sk-SK"/>
              </w:rPr>
            </w:pPr>
            <w:r w:rsidRPr="00083739">
              <w:rPr>
                <w:rFonts w:ascii="Times New Roman" w:hAnsi="Times New Roman" w:cs="Times New Roman"/>
                <w:noProof/>
                <w:lang w:val="sk-SK"/>
              </w:rPr>
              <w:t>IV) zásahy do zubnej starostlivosti</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deti.</w:t>
            </w:r>
          </w:p>
          <w:p w14:paraId="25852F99" w14:textId="1E925FE6" w:rsidR="002D49B0" w:rsidRPr="00083739" w:rsidRDefault="002D49B0">
            <w:pPr>
              <w:spacing w:after="0" w:line="240" w:lineRule="auto"/>
              <w:rPr>
                <w:rFonts w:ascii="Times New Roman" w:hAnsi="Times New Roman" w:cs="Times New Roman"/>
                <w:noProof/>
                <w:color w:val="006100"/>
                <w:sz w:val="18"/>
                <w:szCs w:val="18"/>
                <w:lang w:val="sk-SK"/>
              </w:rPr>
            </w:pPr>
          </w:p>
          <w:p w14:paraId="6CE5715B" w14:textId="77777777" w:rsidR="00083739" w:rsidRPr="00083739" w:rsidRDefault="00BF4125">
            <w:pPr>
              <w:pStyle w:val="P68B1DB1-Normal10"/>
              <w:spacing w:after="0" w:line="240" w:lineRule="auto"/>
              <w:rPr>
                <w:rFonts w:ascii="Times New Roman" w:hAnsi="Times New Roman" w:cs="Times New Roman"/>
                <w:noProof/>
                <w:lang w:val="sk-SK"/>
              </w:rPr>
            </w:pPr>
            <w:r w:rsidRPr="00083739">
              <w:rPr>
                <w:rFonts w:ascii="Times New Roman" w:hAnsi="Times New Roman" w:cs="Times New Roman"/>
                <w:noProof/>
                <w:lang w:val="sk-SK"/>
              </w:rPr>
              <w:t>2. Sekundárna prevencia</w:t>
            </w:r>
            <w:r w:rsidR="00083739" w:rsidRPr="00083739">
              <w:rPr>
                <w:rFonts w:ascii="Times New Roman" w:hAnsi="Times New Roman" w:cs="Times New Roman"/>
                <w:noProof/>
                <w:lang w:val="sk-SK"/>
              </w:rPr>
              <w:t>:</w:t>
            </w:r>
          </w:p>
          <w:p w14:paraId="77C02771" w14:textId="77777777" w:rsidR="00083739" w:rsidRPr="00083739" w:rsidRDefault="00BF4125">
            <w:pPr>
              <w:pStyle w:val="P68B1DB1-Normal10"/>
              <w:spacing w:after="0" w:line="240" w:lineRule="auto"/>
              <w:ind w:left="720"/>
              <w:rPr>
                <w:rFonts w:ascii="Times New Roman" w:hAnsi="Times New Roman" w:cs="Times New Roman"/>
                <w:noProof/>
                <w:lang w:val="sk-SK"/>
              </w:rPr>
            </w:pPr>
            <w:r w:rsidRPr="00083739">
              <w:rPr>
                <w:rFonts w:ascii="Times New Roman" w:hAnsi="Times New Roman" w:cs="Times New Roman"/>
                <w:noProof/>
                <w:lang w:val="sk-SK"/>
              </w:rPr>
              <w:t>I) skríning populácie na rakovinu prsníka, rakovinu krčka maternice, rakovinu hrubého čreva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konečníka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kardiovaskulárne ochorenia,</w:t>
            </w:r>
          </w:p>
          <w:p w14:paraId="42D4B5CC" w14:textId="62DA9CD9" w:rsidR="002D49B0" w:rsidRPr="00083739" w:rsidRDefault="00BF4125">
            <w:pPr>
              <w:pStyle w:val="P68B1DB1-Normal10"/>
              <w:spacing w:after="0" w:line="240" w:lineRule="auto"/>
              <w:ind w:left="720"/>
              <w:rPr>
                <w:rFonts w:ascii="Times New Roman" w:eastAsia="Times New Roman" w:hAnsi="Times New Roman" w:cs="Times New Roman"/>
                <w:noProof/>
                <w:lang w:val="sk-SK"/>
              </w:rPr>
            </w:pPr>
            <w:r w:rsidRPr="00083739">
              <w:rPr>
                <w:rFonts w:ascii="Times New Roman" w:hAnsi="Times New Roman" w:cs="Times New Roman"/>
                <w:noProof/>
                <w:lang w:val="sk-SK"/>
              </w:rPr>
              <w:t>II) intervencie na prenatálny skríning</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odľahlých oblastiach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národný perinatálny skríning.</w:t>
            </w:r>
          </w:p>
          <w:p w14:paraId="5D4E314E" w14:textId="34C56C90" w:rsidR="002D49B0" w:rsidRPr="00083739" w:rsidRDefault="002D49B0">
            <w:pPr>
              <w:spacing w:after="0" w:line="240" w:lineRule="auto"/>
              <w:rPr>
                <w:rFonts w:ascii="Times New Roman" w:hAnsi="Times New Roman" w:cs="Times New Roman"/>
                <w:noProof/>
                <w:color w:val="006100"/>
                <w:sz w:val="18"/>
                <w:szCs w:val="18"/>
                <w:lang w:val="sk-SK"/>
              </w:rPr>
            </w:pPr>
          </w:p>
          <w:p w14:paraId="2523A38A" w14:textId="5B091B1D"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p w14:paraId="2145A932" w14:textId="0407C0BB" w:rsidR="002D49B0" w:rsidRPr="00083739" w:rsidRDefault="002D49B0">
            <w:pPr>
              <w:spacing w:after="0" w:line="240" w:lineRule="auto"/>
              <w:rPr>
                <w:rFonts w:ascii="Times New Roman" w:hAnsi="Times New Roman" w:cs="Times New Roman"/>
                <w:noProof/>
                <w:color w:val="006100"/>
                <w:sz w:val="18"/>
                <w:szCs w:val="18"/>
                <w:lang w:val="sk-SK"/>
              </w:rPr>
            </w:pPr>
          </w:p>
          <w:p w14:paraId="16CEA29C" w14:textId="77777777" w:rsidR="00083739" w:rsidRPr="00083739" w:rsidRDefault="00BF4125">
            <w:pPr>
              <w:pStyle w:val="P68B1DB1-Normal10"/>
              <w:spacing w:after="0" w:line="240" w:lineRule="auto"/>
              <w:rPr>
                <w:rFonts w:ascii="Times New Roman" w:hAnsi="Times New Roman" w:cs="Times New Roman"/>
                <w:noProof/>
                <w:lang w:val="sk-SK"/>
              </w:rPr>
            </w:pPr>
            <w:r w:rsidRPr="00083739">
              <w:rPr>
                <w:rFonts w:ascii="Times New Roman" w:hAnsi="Times New Roman" w:cs="Times New Roman"/>
                <w:noProof/>
                <w:lang w:val="sk-SK"/>
              </w:rPr>
              <w:t xml:space="preserve">3. Funkčná modernizácia </w:t>
            </w:r>
            <w:r w:rsidRPr="00083739">
              <w:rPr>
                <w:rFonts w:ascii="Times New Roman" w:hAnsi="Times New Roman" w:cs="Times New Roman"/>
                <w:noProof/>
                <w:lang w:val="sk-SK"/>
              </w:rPr>
              <w:t>systému verejného zdravia</w:t>
            </w:r>
            <w:r w:rsidR="00083739" w:rsidRPr="00083739">
              <w:rPr>
                <w:rFonts w:ascii="Times New Roman" w:hAnsi="Times New Roman" w:cs="Times New Roman"/>
                <w:noProof/>
                <w:lang w:val="sk-SK"/>
              </w:rPr>
              <w:t>:</w:t>
            </w:r>
          </w:p>
          <w:p w14:paraId="5F70C015" w14:textId="77777777" w:rsidR="00083739" w:rsidRPr="00083739" w:rsidRDefault="00BF4125">
            <w:pPr>
              <w:pStyle w:val="P68B1DB1-Normal10"/>
              <w:spacing w:after="0" w:line="240" w:lineRule="auto"/>
              <w:ind w:left="720"/>
              <w:rPr>
                <w:rFonts w:ascii="Times New Roman" w:hAnsi="Times New Roman" w:cs="Times New Roman"/>
                <w:noProof/>
                <w:lang w:val="sk-SK"/>
              </w:rPr>
            </w:pPr>
            <w:r w:rsidRPr="00083739">
              <w:rPr>
                <w:rFonts w:ascii="Times New Roman" w:hAnsi="Times New Roman" w:cs="Times New Roman"/>
                <w:noProof/>
                <w:lang w:val="sk-SK"/>
              </w:rPr>
              <w:t>I) funkčná reorganizácia systému monitorovania zdravia obyvateľstva,</w:t>
            </w:r>
          </w:p>
          <w:p w14:paraId="41B81A98" w14:textId="77777777" w:rsidR="00083739" w:rsidRPr="00083739" w:rsidRDefault="00BF4125">
            <w:pPr>
              <w:pStyle w:val="P68B1DB1-Normal10"/>
              <w:spacing w:after="0" w:line="240" w:lineRule="auto"/>
              <w:ind w:left="720"/>
              <w:rPr>
                <w:rFonts w:ascii="Times New Roman" w:hAnsi="Times New Roman" w:cs="Times New Roman"/>
                <w:noProof/>
                <w:lang w:val="sk-SK"/>
              </w:rPr>
            </w:pPr>
            <w:r w:rsidRPr="00083739">
              <w:rPr>
                <w:rFonts w:ascii="Times New Roman" w:hAnsi="Times New Roman" w:cs="Times New Roman"/>
                <w:noProof/>
                <w:lang w:val="sk-SK"/>
              </w:rPr>
              <w:t>II) efektívnosť</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účinnosť služieb verejného zdravotníctva,</w:t>
            </w:r>
          </w:p>
          <w:p w14:paraId="2DFDBD18" w14:textId="77777777" w:rsidR="00083739" w:rsidRPr="00083739" w:rsidRDefault="00BF4125">
            <w:pPr>
              <w:pStyle w:val="P68B1DB1-Normal10"/>
              <w:spacing w:after="0" w:line="240" w:lineRule="auto"/>
              <w:ind w:left="720"/>
              <w:rPr>
                <w:rFonts w:ascii="Times New Roman" w:hAnsi="Times New Roman" w:cs="Times New Roman"/>
                <w:noProof/>
                <w:lang w:val="sk-SK"/>
              </w:rPr>
            </w:pPr>
            <w:r w:rsidRPr="00083739">
              <w:rPr>
                <w:rFonts w:ascii="Times New Roman" w:hAnsi="Times New Roman" w:cs="Times New Roman"/>
                <w:noProof/>
                <w:lang w:val="sk-SK"/>
              </w:rPr>
              <w:t>III) účinnosť mechanizmov rýchlej reakcie na núdzové situácie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hrozby,</w:t>
            </w:r>
          </w:p>
          <w:p w14:paraId="5220CD45" w14:textId="77777777" w:rsidR="00083739" w:rsidRPr="00083739" w:rsidRDefault="00BF4125">
            <w:pPr>
              <w:pStyle w:val="P68B1DB1-Normal10"/>
              <w:spacing w:after="0" w:line="240" w:lineRule="auto"/>
              <w:ind w:left="720"/>
              <w:rPr>
                <w:rFonts w:ascii="Times New Roman" w:hAnsi="Times New Roman" w:cs="Times New Roman"/>
                <w:noProof/>
                <w:lang w:val="sk-SK"/>
              </w:rPr>
            </w:pPr>
            <w:r w:rsidRPr="00083739">
              <w:rPr>
                <w:rFonts w:ascii="Times New Roman" w:hAnsi="Times New Roman" w:cs="Times New Roman"/>
                <w:noProof/>
                <w:lang w:val="sk-SK"/>
              </w:rPr>
              <w:t>IV) Zlepšenie účinnosti envi</w:t>
            </w:r>
            <w:r w:rsidRPr="00083739">
              <w:rPr>
                <w:rFonts w:ascii="Times New Roman" w:hAnsi="Times New Roman" w:cs="Times New Roman"/>
                <w:noProof/>
                <w:lang w:val="sk-SK"/>
              </w:rPr>
              <w:t>ronmentálnych zdravotných mechanizmov,</w:t>
            </w:r>
          </w:p>
          <w:p w14:paraId="0C6B1D36" w14:textId="77777777" w:rsidR="00083739" w:rsidRPr="00083739" w:rsidRDefault="00BF4125">
            <w:pPr>
              <w:pStyle w:val="P68B1DB1-Normal10"/>
              <w:spacing w:after="0" w:line="240" w:lineRule="auto"/>
              <w:ind w:left="720"/>
              <w:rPr>
                <w:rFonts w:ascii="Times New Roman" w:hAnsi="Times New Roman" w:cs="Times New Roman"/>
                <w:noProof/>
                <w:lang w:val="sk-SK"/>
              </w:rPr>
            </w:pPr>
            <w:r w:rsidRPr="00083739">
              <w:rPr>
                <w:rFonts w:ascii="Times New Roman" w:hAnsi="Times New Roman" w:cs="Times New Roman"/>
                <w:noProof/>
                <w:lang w:val="sk-SK"/>
              </w:rPr>
              <w:t>v) zlepšenie kvality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vedeckej platnosti poskytovaných služieb,</w:t>
            </w:r>
          </w:p>
          <w:p w14:paraId="02730C85" w14:textId="4F6FBB23" w:rsidR="002D49B0" w:rsidRPr="00083739" w:rsidRDefault="00BF4125">
            <w:pPr>
              <w:pStyle w:val="P68B1DB1-Normal10"/>
              <w:spacing w:after="0" w:line="240" w:lineRule="auto"/>
              <w:ind w:left="720"/>
              <w:rPr>
                <w:rFonts w:ascii="Times New Roman" w:hAnsi="Times New Roman" w:cs="Times New Roman"/>
                <w:noProof/>
                <w:lang w:val="sk-SK"/>
              </w:rPr>
            </w:pPr>
            <w:r w:rsidRPr="00083739">
              <w:rPr>
                <w:rFonts w:ascii="Times New Roman" w:hAnsi="Times New Roman" w:cs="Times New Roman"/>
                <w:noProof/>
                <w:lang w:val="sk-SK"/>
              </w:rPr>
              <w:t>VI) Informatická organizácia pre verejné zdravie</w:t>
            </w:r>
          </w:p>
          <w:p w14:paraId="7B50C2DE" w14:textId="36EEC345"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w:t>
            </w:r>
          </w:p>
        </w:tc>
      </w:tr>
      <w:tr w:rsidR="002D49B0" w:rsidRPr="00083739" w14:paraId="29CF5AF0" w14:textId="77777777">
        <w:trPr>
          <w:trHeight w:val="313"/>
        </w:trPr>
        <w:tc>
          <w:tcPr>
            <w:tcW w:w="320" w:type="pct"/>
            <w:shd w:val="clear" w:color="auto" w:fill="C6EFCE"/>
            <w:noWrap/>
          </w:tcPr>
          <w:p w14:paraId="05B9E55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166</w:t>
            </w:r>
          </w:p>
        </w:tc>
        <w:tc>
          <w:tcPr>
            <w:tcW w:w="408" w:type="pct"/>
            <w:shd w:val="clear" w:color="auto" w:fill="C6EFCE"/>
            <w:noWrap/>
          </w:tcPr>
          <w:p w14:paraId="47A030FE" w14:textId="604DC921"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10 – 3.3. Zlepšenie odolnosti, dostupnosti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udržateľnosti zdravotnej starostlivosti – </w:t>
            </w:r>
            <w:r w:rsidRPr="00083739">
              <w:rPr>
                <w:rFonts w:ascii="Times New Roman" w:hAnsi="Times New Roman" w:cs="Times New Roman"/>
                <w:noProof/>
                <w:lang w:val="sk-SK"/>
              </w:rPr>
              <w:t>16755_Ekologické investície – Reforma systému primárnej zdravotnej starostlivosti</w:t>
            </w:r>
          </w:p>
        </w:tc>
        <w:tc>
          <w:tcPr>
            <w:tcW w:w="322" w:type="pct"/>
            <w:shd w:val="clear" w:color="auto" w:fill="C6EFCE"/>
            <w:noWrap/>
          </w:tcPr>
          <w:p w14:paraId="678459D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Cieľ</w:t>
            </w:r>
          </w:p>
        </w:tc>
        <w:tc>
          <w:tcPr>
            <w:tcW w:w="410" w:type="pct"/>
            <w:shd w:val="clear" w:color="auto" w:fill="C6EFCE"/>
            <w:noWrap/>
          </w:tcPr>
          <w:p w14:paraId="5B765CB9" w14:textId="1C327C3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PHC – plne renovované zdravotné strediská</w:t>
            </w:r>
          </w:p>
        </w:tc>
        <w:tc>
          <w:tcPr>
            <w:tcW w:w="701" w:type="pct"/>
            <w:shd w:val="clear" w:color="auto" w:fill="C6EFCE"/>
            <w:noWrap/>
          </w:tcPr>
          <w:p w14:paraId="66D00F14"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386" w:type="pct"/>
            <w:shd w:val="clear" w:color="auto" w:fill="C6EFCE"/>
            <w:noWrap/>
          </w:tcPr>
          <w:p w14:paraId="56DF655B" w14:textId="1787B7D1"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Počet zdravotných stredísk (aspoň),</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ktorých je renovácia infraštruktúry úplne dokončená</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centrá sú</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prevádzke</w:t>
            </w:r>
          </w:p>
        </w:tc>
        <w:tc>
          <w:tcPr>
            <w:tcW w:w="309" w:type="pct"/>
            <w:shd w:val="clear" w:color="auto" w:fill="C6EFCE"/>
            <w:noWrap/>
          </w:tcPr>
          <w:p w14:paraId="53402DE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0</w:t>
            </w:r>
          </w:p>
        </w:tc>
        <w:tc>
          <w:tcPr>
            <w:tcW w:w="270" w:type="pct"/>
            <w:shd w:val="clear" w:color="auto" w:fill="C6EFCE"/>
            <w:noWrap/>
          </w:tcPr>
          <w:p w14:paraId="602DA23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156</w:t>
            </w:r>
          </w:p>
        </w:tc>
        <w:tc>
          <w:tcPr>
            <w:tcW w:w="309" w:type="pct"/>
            <w:shd w:val="clear" w:color="auto" w:fill="C6EFCE"/>
            <w:noWrap/>
          </w:tcPr>
          <w:p w14:paraId="51B5647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w:t>
            </w:r>
            <w:r w:rsidRPr="00083739">
              <w:rPr>
                <w:rFonts w:ascii="Times New Roman" w:hAnsi="Times New Roman" w:cs="Times New Roman"/>
                <w:noProof/>
                <w:lang w:val="sk-SK"/>
              </w:rPr>
              <w:t xml:space="preserve"> ŠTVRŤROK</w:t>
            </w:r>
          </w:p>
        </w:tc>
        <w:tc>
          <w:tcPr>
            <w:tcW w:w="232" w:type="pct"/>
            <w:shd w:val="clear" w:color="auto" w:fill="C6EFCE"/>
            <w:noWrap/>
          </w:tcPr>
          <w:p w14:paraId="36DBD11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1333" w:type="pct"/>
            <w:shd w:val="clear" w:color="auto" w:fill="C6EFCE"/>
            <w:noWrap/>
          </w:tcPr>
          <w:p w14:paraId="62FF52EE" w14:textId="3B27F70F" w:rsidR="00083739" w:rsidRPr="00083739" w:rsidRDefault="00BF4125">
            <w:pPr>
              <w:pStyle w:val="P68B1DB1-Normal10"/>
              <w:spacing w:after="0" w:line="240" w:lineRule="auto"/>
              <w:rPr>
                <w:rFonts w:ascii="Times New Roman" w:hAnsi="Times New Roman" w:cs="Times New Roman"/>
                <w:noProof/>
                <w:lang w:val="sk-SK"/>
              </w:rPr>
            </w:pPr>
            <w:r w:rsidRPr="00083739">
              <w:rPr>
                <w:rFonts w:ascii="Times New Roman" w:hAnsi="Times New Roman" w:cs="Times New Roman"/>
                <w:noProof/>
                <w:lang w:val="sk-SK"/>
              </w:rPr>
              <w:t>Dokončenie obnovy infraštruktúry</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cieľom zlepšiť energetickú efektívnosť najmenej 156 zdravotníckych stredísk</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nákup zdravotníckeho vybavenia</w:t>
            </w:r>
            <w:r w:rsidR="00083739" w:rsidRPr="00083739">
              <w:rPr>
                <w:rFonts w:ascii="Times New Roman" w:hAnsi="Times New Roman" w:cs="Times New Roman"/>
                <w:noProof/>
                <w:lang w:val="sk-SK"/>
              </w:rPr>
              <w:t>.</w:t>
            </w:r>
          </w:p>
          <w:p w14:paraId="2EC981BC" w14:textId="5F9E9D24" w:rsidR="002D49B0" w:rsidRPr="00083739" w:rsidRDefault="002D49B0">
            <w:pPr>
              <w:spacing w:after="0" w:line="240" w:lineRule="auto"/>
              <w:rPr>
                <w:rFonts w:ascii="Times New Roman" w:hAnsi="Times New Roman" w:cs="Times New Roman"/>
                <w:noProof/>
                <w:color w:val="006100"/>
                <w:sz w:val="18"/>
                <w:szCs w:val="18"/>
                <w:lang w:val="sk-SK"/>
              </w:rPr>
            </w:pPr>
          </w:p>
          <w:p w14:paraId="00E0DBC6" w14:textId="77777777" w:rsidR="00083739" w:rsidRPr="00083739" w:rsidRDefault="00BF4125">
            <w:pPr>
              <w:pStyle w:val="P68B1DB1-Normal10"/>
              <w:spacing w:after="0" w:line="240" w:lineRule="auto"/>
              <w:rPr>
                <w:rFonts w:ascii="Times New Roman" w:hAnsi="Times New Roman" w:cs="Times New Roman"/>
                <w:noProof/>
                <w:lang w:val="sk-SK"/>
              </w:rPr>
            </w:pPr>
            <w:r w:rsidRPr="00083739">
              <w:rPr>
                <w:rFonts w:ascii="Times New Roman" w:hAnsi="Times New Roman" w:cs="Times New Roman"/>
                <w:noProof/>
                <w:lang w:val="sk-SK"/>
              </w:rPr>
              <w:t>Vypracovanie</w:t>
            </w:r>
            <w:r w:rsidRPr="00083739">
              <w:rPr>
                <w:rFonts w:ascii="Times New Roman" w:eastAsiaTheme="minorEastAsia" w:hAnsi="Times New Roman" w:cs="Times New Roman"/>
                <w:noProof/>
                <w:lang w:val="sk-SK"/>
              </w:rPr>
              <w:t xml:space="preserve">plánu </w:t>
            </w:r>
            <w:r w:rsidRPr="00083739">
              <w:rPr>
                <w:rFonts w:ascii="Times New Roman" w:hAnsi="Times New Roman" w:cs="Times New Roman"/>
                <w:noProof/>
                <w:lang w:val="sk-SK"/>
              </w:rPr>
              <w:t xml:space="preserve"> </w:t>
            </w:r>
            <w:r w:rsidRPr="00083739">
              <w:rPr>
                <w:rFonts w:ascii="Times New Roman" w:hAnsi="Times New Roman" w:cs="Times New Roman"/>
                <w:noProof/>
                <w:u w:val="single"/>
                <w:lang w:val="sk-SK"/>
              </w:rPr>
              <w:t>reformy primárnej zdravotnej starostlivosti, pilotné vykonávanie referenčnéh</w:t>
            </w:r>
            <w:r w:rsidRPr="00083739">
              <w:rPr>
                <w:rFonts w:ascii="Times New Roman" w:hAnsi="Times New Roman" w:cs="Times New Roman"/>
                <w:noProof/>
                <w:u w:val="single"/>
                <w:lang w:val="sk-SK"/>
              </w:rPr>
              <w:t>o mechanizmu, odborná príprava zamestnancov zameraná na zlepšenie kapacity pracovnej sily PHC, zavedenie digitálnej platformy na posilnenie využívania údajov na informované rozhodovanie</w:t>
            </w:r>
            <w:r w:rsidR="00083739" w:rsidRPr="00083739">
              <w:rPr>
                <w:rFonts w:ascii="Times New Roman" w:hAnsi="Times New Roman" w:cs="Times New Roman"/>
                <w:noProof/>
                <w:u w:val="single"/>
                <w:lang w:val="sk-SK"/>
              </w:rPr>
              <w:t xml:space="preserve"> v </w:t>
            </w:r>
            <w:r w:rsidRPr="00083739">
              <w:rPr>
                <w:rFonts w:ascii="Times New Roman" w:hAnsi="Times New Roman" w:cs="Times New Roman"/>
                <w:noProof/>
                <w:u w:val="single"/>
                <w:lang w:val="sk-SK"/>
              </w:rPr>
              <w:t>oblasti PHC</w:t>
            </w:r>
          </w:p>
          <w:p w14:paraId="5DBD669D" w14:textId="044C5EE3" w:rsidR="002D49B0" w:rsidRPr="00083739" w:rsidRDefault="002D49B0">
            <w:pPr>
              <w:spacing w:after="0" w:line="240" w:lineRule="auto"/>
              <w:rPr>
                <w:rFonts w:ascii="Times New Roman" w:hAnsi="Times New Roman" w:cs="Times New Roman"/>
                <w:noProof/>
                <w:color w:val="006100"/>
                <w:sz w:val="18"/>
                <w:szCs w:val="18"/>
                <w:lang w:val="sk-SK"/>
              </w:rPr>
            </w:pPr>
          </w:p>
          <w:p w14:paraId="5812BD44" w14:textId="77777777" w:rsidR="00083739" w:rsidRPr="00083739" w:rsidRDefault="00BF4125">
            <w:pPr>
              <w:pStyle w:val="P68B1DB1-Normal10"/>
              <w:spacing w:after="0" w:line="240" w:lineRule="auto"/>
              <w:rPr>
                <w:rFonts w:ascii="Times New Roman" w:hAnsi="Times New Roman" w:cs="Times New Roman"/>
                <w:noProof/>
                <w:lang w:val="sk-SK"/>
              </w:rPr>
            </w:pPr>
            <w:r w:rsidRPr="00083739">
              <w:rPr>
                <w:rFonts w:ascii="Times New Roman" w:hAnsi="Times New Roman" w:cs="Times New Roman"/>
                <w:noProof/>
                <w:lang w:val="sk-SK"/>
              </w:rPr>
              <w:t>Ukončenie rozširovania vzdelávania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odbornej prípravy </w:t>
            </w:r>
            <w:r w:rsidRPr="00083739">
              <w:rPr>
                <w:rFonts w:ascii="Times New Roman" w:hAnsi="Times New Roman" w:cs="Times New Roman"/>
                <w:noProof/>
                <w:lang w:val="sk-SK"/>
              </w:rPr>
              <w:t>zdravotníckych pracovníkov pre 10000 pracovníkov primárnej zdravotnej starostlivosti vrátane odbornej prípravy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nových technológií</w:t>
            </w:r>
          </w:p>
          <w:p w14:paraId="720887BE" w14:textId="4D5BDBF9" w:rsidR="002D49B0" w:rsidRPr="00083739" w:rsidRDefault="002D49B0">
            <w:pPr>
              <w:spacing w:after="0" w:line="240" w:lineRule="auto"/>
              <w:rPr>
                <w:rFonts w:ascii="Times New Roman" w:hAnsi="Times New Roman" w:cs="Times New Roman"/>
                <w:noProof/>
                <w:color w:val="006100"/>
                <w:sz w:val="18"/>
                <w:szCs w:val="18"/>
                <w:lang w:val="sk-SK"/>
              </w:rPr>
            </w:pPr>
          </w:p>
          <w:p w14:paraId="29F15179" w14:textId="39DA68F4"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Vývoj jednotiek manažmentu chronických chorôb</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312 zdravotných strediskách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decentralizovaných jednotkách primárn</w:t>
            </w:r>
            <w:r w:rsidRPr="00083739">
              <w:rPr>
                <w:rFonts w:ascii="Times New Roman" w:hAnsi="Times New Roman" w:cs="Times New Roman"/>
                <w:noProof/>
                <w:lang w:val="sk-SK"/>
              </w:rPr>
              <w:t>ej zdravotnej starostlivosti pridružených</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centrám zdravotnej starostlivosti primayry.</w:t>
            </w:r>
          </w:p>
        </w:tc>
      </w:tr>
      <w:tr w:rsidR="002D49B0" w:rsidRPr="00083739" w14:paraId="381D13CC" w14:textId="77777777">
        <w:trPr>
          <w:trHeight w:val="313"/>
        </w:trPr>
        <w:tc>
          <w:tcPr>
            <w:tcW w:w="320" w:type="pct"/>
            <w:shd w:val="clear" w:color="auto" w:fill="C6EFCE"/>
            <w:noWrap/>
          </w:tcPr>
          <w:p w14:paraId="12E063B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335</w:t>
            </w:r>
          </w:p>
        </w:tc>
        <w:tc>
          <w:tcPr>
            <w:tcW w:w="408" w:type="pct"/>
            <w:shd w:val="clear" w:color="auto" w:fill="C6EFCE"/>
            <w:noWrap/>
          </w:tcPr>
          <w:p w14:paraId="455DEB46" w14:textId="156006DE" w:rsidR="002D49B0" w:rsidRPr="00083739" w:rsidRDefault="00BF4125">
            <w:pPr>
              <w:spacing w:after="0" w:line="240" w:lineRule="auto"/>
              <w:rPr>
                <w:rFonts w:ascii="Times New Roman" w:eastAsia="Times New Roman" w:hAnsi="Times New Roman" w:cs="Times New Roman"/>
                <w:noProof/>
                <w:color w:val="006100"/>
                <w:sz w:val="18"/>
                <w:szCs w:val="18"/>
                <w:lang w:val="sk-SK"/>
              </w:rPr>
            </w:pPr>
            <w:r w:rsidRPr="00083739">
              <w:rPr>
                <w:rFonts w:ascii="Times New Roman" w:hAnsi="Times New Roman" w:cs="Times New Roman"/>
                <w:noProof/>
                <w:color w:val="006100"/>
                <w:sz w:val="18"/>
                <w:lang w:val="sk-SK"/>
              </w:rPr>
              <w:t>10 – 3.3. Zlepšenie odolnosti, dostupnosti</w:t>
            </w:r>
            <w:r w:rsidR="00083739" w:rsidRPr="00083739">
              <w:rPr>
                <w:rFonts w:ascii="Times New Roman" w:hAnsi="Times New Roman" w:cs="Times New Roman"/>
                <w:noProof/>
                <w:color w:val="006100"/>
                <w:sz w:val="18"/>
                <w:lang w:val="sk-SK"/>
              </w:rPr>
              <w:t xml:space="preserve"> a </w:t>
            </w:r>
            <w:r w:rsidRPr="00083739">
              <w:rPr>
                <w:rFonts w:ascii="Times New Roman" w:hAnsi="Times New Roman" w:cs="Times New Roman"/>
                <w:noProof/>
                <w:color w:val="006100"/>
                <w:sz w:val="18"/>
                <w:lang w:val="sk-SK"/>
              </w:rPr>
              <w:t>udržateľnosti zdravotnej starostlivosti – 16984_ Reforma osobného lekára</w:t>
            </w:r>
          </w:p>
        </w:tc>
        <w:tc>
          <w:tcPr>
            <w:tcW w:w="322" w:type="pct"/>
            <w:shd w:val="clear" w:color="auto" w:fill="C6EFCE"/>
            <w:noWrap/>
          </w:tcPr>
          <w:p w14:paraId="3F17B21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410" w:type="pct"/>
            <w:shd w:val="clear" w:color="auto" w:fill="C6EFCE"/>
            <w:noWrap/>
          </w:tcPr>
          <w:p w14:paraId="0B174DFC" w14:textId="77777777" w:rsidR="002D49B0" w:rsidRPr="00083739" w:rsidRDefault="00BF4125">
            <w:pPr>
              <w:spacing w:after="0" w:line="240" w:lineRule="auto"/>
              <w:rPr>
                <w:rFonts w:ascii="Times New Roman" w:eastAsia="Times New Roman" w:hAnsi="Times New Roman" w:cs="Times New Roman"/>
                <w:noProof/>
                <w:color w:val="006100"/>
                <w:sz w:val="18"/>
                <w:szCs w:val="18"/>
                <w:lang w:val="sk-SK"/>
              </w:rPr>
            </w:pPr>
            <w:r w:rsidRPr="00083739">
              <w:rPr>
                <w:rFonts w:ascii="Times New Roman" w:hAnsi="Times New Roman" w:cs="Times New Roman"/>
                <w:noProof/>
                <w:color w:val="006100"/>
                <w:sz w:val="18"/>
                <w:lang w:val="sk-SK"/>
              </w:rPr>
              <w:t>Reforma osobného lekára – nadobudnutie</w:t>
            </w:r>
            <w:r w:rsidRPr="00083739">
              <w:rPr>
                <w:rFonts w:ascii="Times New Roman" w:hAnsi="Times New Roman" w:cs="Times New Roman"/>
                <w:noProof/>
                <w:color w:val="006100"/>
                <w:sz w:val="18"/>
                <w:lang w:val="sk-SK"/>
              </w:rPr>
              <w:t xml:space="preserve"> účinnosti právnych predpisov</w:t>
            </w:r>
          </w:p>
        </w:tc>
        <w:tc>
          <w:tcPr>
            <w:tcW w:w="701" w:type="pct"/>
            <w:shd w:val="clear" w:color="auto" w:fill="C6EFCE"/>
            <w:noWrap/>
          </w:tcPr>
          <w:p w14:paraId="1817702D" w14:textId="34851380" w:rsidR="002D49B0" w:rsidRPr="00083739" w:rsidRDefault="00BF4125">
            <w:pPr>
              <w:spacing w:after="0" w:line="240" w:lineRule="auto"/>
              <w:rPr>
                <w:rFonts w:ascii="Times New Roman" w:eastAsia="Times New Roman" w:hAnsi="Times New Roman" w:cs="Times New Roman"/>
                <w:noProof/>
                <w:color w:val="006100"/>
                <w:sz w:val="18"/>
                <w:szCs w:val="18"/>
                <w:lang w:val="sk-SK"/>
              </w:rPr>
            </w:pPr>
            <w:r w:rsidRPr="00083739">
              <w:rPr>
                <w:rFonts w:ascii="Times New Roman" w:hAnsi="Times New Roman" w:cs="Times New Roman"/>
                <w:noProof/>
                <w:color w:val="006100"/>
                <w:sz w:val="18"/>
                <w:szCs w:val="18"/>
                <w:lang w:val="sk-SK"/>
              </w:rPr>
              <w:t>Nadobudnutie účinnosti právnych predpisov,</w:t>
            </w:r>
            <w:r w:rsidR="00083739" w:rsidRPr="00083739">
              <w:rPr>
                <w:rFonts w:ascii="Times New Roman" w:hAnsi="Times New Roman" w:cs="Times New Roman"/>
                <w:noProof/>
                <w:color w:val="006100"/>
                <w:sz w:val="18"/>
                <w:szCs w:val="18"/>
                <w:lang w:val="sk-SK"/>
              </w:rPr>
              <w:t xml:space="preserve"> v </w:t>
            </w:r>
            <w:r w:rsidRPr="00083739">
              <w:rPr>
                <w:rFonts w:ascii="Times New Roman" w:hAnsi="Times New Roman" w:cs="Times New Roman"/>
                <w:noProof/>
                <w:color w:val="006100"/>
                <w:sz w:val="18"/>
                <w:szCs w:val="18"/>
                <w:lang w:val="sk-SK"/>
              </w:rPr>
              <w:t>ktorých sa stanovujú kľúčové prvky zápisu vidieckych lekárov do osobného</w:t>
            </w:r>
            <w:r w:rsidRPr="00083739">
              <w:rPr>
                <w:rFonts w:ascii="Times New Roman" w:hAnsi="Times New Roman" w:cs="Times New Roman"/>
                <w:noProof/>
                <w:lang w:val="sk-SK"/>
              </w:rPr>
              <w:t xml:space="preserve"> </w:t>
            </w:r>
            <w:r w:rsidRPr="00083739">
              <w:rPr>
                <w:rFonts w:ascii="Times New Roman" w:hAnsi="Times New Roman" w:cs="Times New Roman"/>
                <w:noProof/>
                <w:color w:val="006100"/>
                <w:sz w:val="18"/>
                <w:szCs w:val="18"/>
                <w:lang w:val="sk-SK"/>
              </w:rPr>
              <w:t>systému lekárov, vytvorenie nových podobných pozícií</w:t>
            </w:r>
            <w:r w:rsidR="00083739" w:rsidRPr="00083739">
              <w:rPr>
                <w:rFonts w:ascii="Times New Roman" w:hAnsi="Times New Roman" w:cs="Times New Roman"/>
                <w:noProof/>
                <w:color w:val="006100"/>
                <w:sz w:val="18"/>
                <w:szCs w:val="18"/>
                <w:lang w:val="sk-SK"/>
              </w:rPr>
              <w:t xml:space="preserve"> v </w:t>
            </w:r>
            <w:r w:rsidRPr="00083739">
              <w:rPr>
                <w:rFonts w:ascii="Times New Roman" w:hAnsi="Times New Roman" w:cs="Times New Roman"/>
                <w:noProof/>
                <w:color w:val="006100"/>
                <w:sz w:val="18"/>
                <w:szCs w:val="18"/>
                <w:lang w:val="sk-SK"/>
              </w:rPr>
              <w:t>mestských, prímestských</w:t>
            </w:r>
            <w:r w:rsidR="00083739" w:rsidRPr="00083739">
              <w:rPr>
                <w:rFonts w:ascii="Times New Roman" w:hAnsi="Times New Roman" w:cs="Times New Roman"/>
                <w:noProof/>
                <w:color w:val="006100"/>
                <w:sz w:val="18"/>
                <w:szCs w:val="18"/>
                <w:lang w:val="sk-SK"/>
              </w:rPr>
              <w:t xml:space="preserve"> a </w:t>
            </w:r>
            <w:r w:rsidRPr="00083739">
              <w:rPr>
                <w:rFonts w:ascii="Times New Roman" w:hAnsi="Times New Roman" w:cs="Times New Roman"/>
                <w:noProof/>
                <w:color w:val="006100"/>
                <w:sz w:val="18"/>
                <w:szCs w:val="18"/>
                <w:lang w:val="sk-SK"/>
              </w:rPr>
              <w:t>vidieckych oblastiach</w:t>
            </w:r>
            <w:r w:rsidR="00083739" w:rsidRPr="00083739">
              <w:rPr>
                <w:rFonts w:ascii="Times New Roman" w:hAnsi="Times New Roman" w:cs="Times New Roman"/>
                <w:noProof/>
                <w:color w:val="006100"/>
                <w:sz w:val="18"/>
                <w:szCs w:val="18"/>
                <w:lang w:val="sk-SK"/>
              </w:rPr>
              <w:t xml:space="preserve"> a </w:t>
            </w:r>
            <w:r w:rsidRPr="00083739">
              <w:rPr>
                <w:rFonts w:ascii="Times New Roman" w:hAnsi="Times New Roman" w:cs="Times New Roman"/>
                <w:noProof/>
                <w:color w:val="006100"/>
                <w:sz w:val="18"/>
                <w:szCs w:val="18"/>
                <w:lang w:val="sk-SK"/>
              </w:rPr>
              <w:t>sti</w:t>
            </w:r>
            <w:r w:rsidRPr="00083739">
              <w:rPr>
                <w:rFonts w:ascii="Times New Roman" w:hAnsi="Times New Roman" w:cs="Times New Roman"/>
                <w:noProof/>
                <w:color w:val="006100"/>
                <w:sz w:val="18"/>
                <w:szCs w:val="18"/>
                <w:lang w:val="sk-SK"/>
              </w:rPr>
              <w:t>mulačný mechanizmus</w:t>
            </w:r>
          </w:p>
        </w:tc>
        <w:tc>
          <w:tcPr>
            <w:tcW w:w="386" w:type="pct"/>
            <w:shd w:val="clear" w:color="auto" w:fill="C6EFCE"/>
            <w:noWrap/>
          </w:tcPr>
          <w:p w14:paraId="56372798"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309" w:type="pct"/>
            <w:shd w:val="clear" w:color="auto" w:fill="C6EFCE"/>
            <w:noWrap/>
          </w:tcPr>
          <w:p w14:paraId="1CF6C35E"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270" w:type="pct"/>
            <w:shd w:val="clear" w:color="auto" w:fill="C6EFCE"/>
            <w:noWrap/>
          </w:tcPr>
          <w:p w14:paraId="41B1BC20"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309" w:type="pct"/>
            <w:shd w:val="clear" w:color="auto" w:fill="C6EFCE"/>
            <w:noWrap/>
          </w:tcPr>
          <w:p w14:paraId="5A8ADC5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PRVÝ ŠTVRŤROK</w:t>
            </w:r>
          </w:p>
        </w:tc>
        <w:tc>
          <w:tcPr>
            <w:tcW w:w="232" w:type="pct"/>
            <w:shd w:val="clear" w:color="auto" w:fill="C6EFCE"/>
            <w:noWrap/>
          </w:tcPr>
          <w:p w14:paraId="1C33986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2024</w:t>
            </w:r>
          </w:p>
        </w:tc>
        <w:tc>
          <w:tcPr>
            <w:tcW w:w="1333" w:type="pct"/>
            <w:shd w:val="clear" w:color="auto" w:fill="C6EFCE"/>
            <w:noWrap/>
          </w:tcPr>
          <w:p w14:paraId="1E8D91BF" w14:textId="3FC1222E" w:rsidR="002D49B0" w:rsidRPr="00083739" w:rsidRDefault="00BF4125">
            <w:pPr>
              <w:pStyle w:val="P68B1DB1-Normal10"/>
              <w:spacing w:before="120"/>
              <w:rPr>
                <w:rFonts w:ascii="Times New Roman" w:eastAsia="Times New Roman" w:hAnsi="Times New Roman" w:cs="Times New Roman"/>
                <w:noProof/>
                <w:lang w:val="sk-SK"/>
              </w:rPr>
            </w:pPr>
            <w:r w:rsidRPr="00083739">
              <w:rPr>
                <w:rFonts w:ascii="Times New Roman" w:hAnsi="Times New Roman" w:cs="Times New Roman"/>
                <w:noProof/>
                <w:lang w:val="sk-SK"/>
              </w:rPr>
              <w:t>Nadobudnú účinnosť právne predpisy,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ktorých sa stanovia kľúčové prvky registrácie lekárov na vidieku do osobného systému lekárov, vytvorenie nových podobných pozícií</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mestských, prímestských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vidieckych </w:t>
            </w:r>
            <w:r w:rsidRPr="00083739">
              <w:rPr>
                <w:rFonts w:ascii="Times New Roman" w:hAnsi="Times New Roman" w:cs="Times New Roman"/>
                <w:noProof/>
                <w:lang w:val="sk-SK"/>
              </w:rPr>
              <w:t>oblastiach,</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ktorých stále chýba osobný lekár,</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stimulačný mechanizmus pre lekárov, aby sa stali obyvateľmi všeobecnej/rodinnej medicíny alebo internej medicíny.</w:t>
            </w:r>
          </w:p>
        </w:tc>
      </w:tr>
      <w:tr w:rsidR="002D49B0" w:rsidRPr="00083739" w14:paraId="06067782" w14:textId="77777777">
        <w:trPr>
          <w:trHeight w:val="313"/>
        </w:trPr>
        <w:tc>
          <w:tcPr>
            <w:tcW w:w="320" w:type="pct"/>
            <w:shd w:val="clear" w:color="auto" w:fill="C6EFCE"/>
            <w:noWrap/>
          </w:tcPr>
          <w:p w14:paraId="4E8D478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336</w:t>
            </w:r>
          </w:p>
        </w:tc>
        <w:tc>
          <w:tcPr>
            <w:tcW w:w="408" w:type="pct"/>
            <w:shd w:val="clear" w:color="auto" w:fill="C6EFCE"/>
            <w:noWrap/>
          </w:tcPr>
          <w:p w14:paraId="1CFF199C" w14:textId="6170B434" w:rsidR="002D49B0" w:rsidRPr="00083739" w:rsidRDefault="00BF4125">
            <w:pPr>
              <w:spacing w:after="0" w:line="240" w:lineRule="auto"/>
              <w:rPr>
                <w:rFonts w:ascii="Times New Roman" w:eastAsia="Times New Roman" w:hAnsi="Times New Roman" w:cs="Times New Roman"/>
                <w:noProof/>
                <w:color w:val="006100"/>
                <w:sz w:val="18"/>
                <w:szCs w:val="18"/>
                <w:lang w:val="sk-SK"/>
              </w:rPr>
            </w:pPr>
            <w:r w:rsidRPr="00083739">
              <w:rPr>
                <w:rFonts w:ascii="Times New Roman" w:hAnsi="Times New Roman" w:cs="Times New Roman"/>
                <w:noProof/>
                <w:color w:val="006100"/>
                <w:sz w:val="18"/>
                <w:lang w:val="sk-SK"/>
              </w:rPr>
              <w:t>10 – 3.3. Zlepšenie odolnosti, dostupnosti</w:t>
            </w:r>
            <w:r w:rsidR="00083739" w:rsidRPr="00083739">
              <w:rPr>
                <w:rFonts w:ascii="Times New Roman" w:hAnsi="Times New Roman" w:cs="Times New Roman"/>
                <w:noProof/>
                <w:color w:val="006100"/>
                <w:sz w:val="18"/>
                <w:lang w:val="sk-SK"/>
              </w:rPr>
              <w:t xml:space="preserve"> a </w:t>
            </w:r>
            <w:r w:rsidRPr="00083739">
              <w:rPr>
                <w:rFonts w:ascii="Times New Roman" w:hAnsi="Times New Roman" w:cs="Times New Roman"/>
                <w:noProof/>
                <w:color w:val="006100"/>
                <w:sz w:val="18"/>
                <w:lang w:val="sk-SK"/>
              </w:rPr>
              <w:t xml:space="preserve">udržateľnosti zdravotnej starostlivosti – </w:t>
            </w:r>
            <w:r w:rsidRPr="00083739">
              <w:rPr>
                <w:rFonts w:ascii="Times New Roman" w:hAnsi="Times New Roman" w:cs="Times New Roman"/>
                <w:noProof/>
                <w:color w:val="006100"/>
                <w:sz w:val="18"/>
                <w:lang w:val="sk-SK"/>
              </w:rPr>
              <w:t>16984_ Reforma osobného lekára</w:t>
            </w:r>
          </w:p>
        </w:tc>
        <w:tc>
          <w:tcPr>
            <w:tcW w:w="322" w:type="pct"/>
            <w:shd w:val="clear" w:color="auto" w:fill="C6EFCE"/>
            <w:noWrap/>
          </w:tcPr>
          <w:p w14:paraId="0186354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410" w:type="pct"/>
            <w:shd w:val="clear" w:color="auto" w:fill="C6EFCE"/>
            <w:noWrap/>
          </w:tcPr>
          <w:p w14:paraId="14B71387" w14:textId="77777777" w:rsidR="002D49B0" w:rsidRPr="00083739" w:rsidRDefault="00BF4125">
            <w:pPr>
              <w:spacing w:after="0" w:line="240" w:lineRule="auto"/>
              <w:rPr>
                <w:rFonts w:ascii="Times New Roman" w:eastAsia="Times New Roman" w:hAnsi="Times New Roman" w:cs="Times New Roman"/>
                <w:noProof/>
                <w:color w:val="006100"/>
                <w:sz w:val="18"/>
                <w:szCs w:val="18"/>
                <w:lang w:val="sk-SK"/>
              </w:rPr>
            </w:pPr>
            <w:r w:rsidRPr="00083739">
              <w:rPr>
                <w:rFonts w:ascii="Times New Roman" w:hAnsi="Times New Roman" w:cs="Times New Roman"/>
                <w:noProof/>
                <w:color w:val="006100"/>
                <w:sz w:val="18"/>
                <w:lang w:val="sk-SK"/>
              </w:rPr>
              <w:t xml:space="preserve">Reforma osobného lekára – registrácia obyvateľstva </w:t>
            </w:r>
          </w:p>
        </w:tc>
        <w:tc>
          <w:tcPr>
            <w:tcW w:w="701" w:type="pct"/>
            <w:shd w:val="clear" w:color="auto" w:fill="C6EFCE"/>
            <w:noWrap/>
          </w:tcPr>
          <w:p w14:paraId="4E74EBFF" w14:textId="216E16C1"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100</w:t>
            </w:r>
            <w:r w:rsidR="00083739" w:rsidRPr="00083739">
              <w:rPr>
                <w:rFonts w:ascii="Times New Roman" w:hAnsi="Times New Roman" w:cs="Times New Roman"/>
                <w:noProof/>
                <w:lang w:val="sk-SK"/>
              </w:rPr>
              <w:t> %</w:t>
            </w:r>
            <w:r w:rsidRPr="00083739">
              <w:rPr>
                <w:rFonts w:ascii="Times New Roman" w:hAnsi="Times New Roman" w:cs="Times New Roman"/>
                <w:noProof/>
                <w:lang w:val="sk-SK"/>
              </w:rPr>
              <w:t xml:space="preserve"> registrácia obyvateľstva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aktivácia stráženia prístupu</w:t>
            </w:r>
          </w:p>
        </w:tc>
        <w:tc>
          <w:tcPr>
            <w:tcW w:w="386" w:type="pct"/>
            <w:shd w:val="clear" w:color="auto" w:fill="C6EFCE"/>
            <w:noWrap/>
          </w:tcPr>
          <w:p w14:paraId="768E85B0"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309" w:type="pct"/>
            <w:shd w:val="clear" w:color="auto" w:fill="C6EFCE"/>
            <w:noWrap/>
          </w:tcPr>
          <w:p w14:paraId="54ABB69C"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270" w:type="pct"/>
            <w:shd w:val="clear" w:color="auto" w:fill="C6EFCE"/>
            <w:noWrap/>
          </w:tcPr>
          <w:p w14:paraId="5A895A4F"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309" w:type="pct"/>
            <w:shd w:val="clear" w:color="auto" w:fill="C6EFCE"/>
            <w:noWrap/>
          </w:tcPr>
          <w:p w14:paraId="625A682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232" w:type="pct"/>
            <w:shd w:val="clear" w:color="auto" w:fill="C6EFCE"/>
            <w:noWrap/>
          </w:tcPr>
          <w:p w14:paraId="415AB01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1333" w:type="pct"/>
            <w:shd w:val="clear" w:color="auto" w:fill="C6EFCE"/>
            <w:noWrap/>
          </w:tcPr>
          <w:p w14:paraId="4F22D306" w14:textId="4885A0E2" w:rsidR="002D49B0" w:rsidRPr="00083739" w:rsidRDefault="00BF4125">
            <w:pPr>
              <w:spacing w:after="0" w:line="240" w:lineRule="auto"/>
              <w:rPr>
                <w:rFonts w:ascii="Times New Roman" w:eastAsia="Times New Roman" w:hAnsi="Times New Roman" w:cs="Times New Roman"/>
                <w:noProof/>
                <w:color w:val="006100"/>
                <w:sz w:val="18"/>
                <w:szCs w:val="18"/>
                <w:lang w:val="sk-SK"/>
              </w:rPr>
            </w:pPr>
            <w:r w:rsidRPr="00083739">
              <w:rPr>
                <w:rFonts w:ascii="Times New Roman" w:hAnsi="Times New Roman" w:cs="Times New Roman"/>
                <w:noProof/>
                <w:color w:val="006100"/>
                <w:sz w:val="18"/>
                <w:szCs w:val="18"/>
                <w:lang w:val="sk-SK"/>
              </w:rPr>
              <w:t>Všetci oprávnení občania musia byť zaregistrovaní</w:t>
            </w:r>
            <w:r w:rsidR="00083739" w:rsidRPr="00083739">
              <w:rPr>
                <w:rFonts w:ascii="Times New Roman" w:hAnsi="Times New Roman" w:cs="Times New Roman"/>
                <w:noProof/>
                <w:color w:val="006100"/>
                <w:sz w:val="18"/>
                <w:szCs w:val="18"/>
                <w:lang w:val="sk-SK"/>
              </w:rPr>
              <w:t xml:space="preserve"> u </w:t>
            </w:r>
            <w:r w:rsidRPr="00083739">
              <w:rPr>
                <w:rFonts w:ascii="Times New Roman" w:hAnsi="Times New Roman" w:cs="Times New Roman"/>
                <w:noProof/>
                <w:color w:val="006100"/>
                <w:sz w:val="18"/>
                <w:szCs w:val="18"/>
                <w:lang w:val="sk-SK"/>
              </w:rPr>
              <w:t>osobného</w:t>
            </w:r>
            <w:r w:rsidRPr="00083739">
              <w:rPr>
                <w:rFonts w:ascii="Times New Roman" w:hAnsi="Times New Roman" w:cs="Times New Roman"/>
                <w:noProof/>
                <w:lang w:val="sk-SK"/>
              </w:rPr>
              <w:t xml:space="preserve"> </w:t>
            </w:r>
            <w:r w:rsidRPr="00083739">
              <w:rPr>
                <w:rFonts w:ascii="Times New Roman" w:hAnsi="Times New Roman" w:cs="Times New Roman"/>
                <w:noProof/>
                <w:color w:val="006100"/>
                <w:sz w:val="18"/>
                <w:szCs w:val="18"/>
                <w:lang w:val="sk-SK"/>
              </w:rPr>
              <w:t xml:space="preserve">lekára. Systém </w:t>
            </w:r>
            <w:r w:rsidRPr="00083739">
              <w:rPr>
                <w:rFonts w:ascii="Times New Roman" w:hAnsi="Times New Roman" w:cs="Times New Roman"/>
                <w:noProof/>
                <w:color w:val="006100"/>
                <w:sz w:val="18"/>
                <w:szCs w:val="18"/>
                <w:lang w:val="sk-SK"/>
              </w:rPr>
              <w:t>založený na stráži prístupu sa aktivuje tak, ako je opísané</w:t>
            </w:r>
            <w:r w:rsidR="00083739" w:rsidRPr="00083739">
              <w:rPr>
                <w:rFonts w:ascii="Times New Roman" w:hAnsi="Times New Roman" w:cs="Times New Roman"/>
                <w:noProof/>
                <w:color w:val="006100"/>
                <w:sz w:val="18"/>
                <w:szCs w:val="18"/>
                <w:lang w:val="sk-SK"/>
              </w:rPr>
              <w:t xml:space="preserve"> v </w:t>
            </w:r>
            <w:r w:rsidRPr="00083739">
              <w:rPr>
                <w:rFonts w:ascii="Times New Roman" w:hAnsi="Times New Roman" w:cs="Times New Roman"/>
                <w:noProof/>
                <w:color w:val="006100"/>
                <w:sz w:val="18"/>
                <w:szCs w:val="18"/>
                <w:lang w:val="sk-SK"/>
              </w:rPr>
              <w:t>ministerskom rozhodnutí 64513 (GG B 6974/19 – 12 – 2024), podľa ktorého osobní lekári slúžia ako počiatočné kontaktné miesto</w:t>
            </w:r>
            <w:r w:rsidR="00083739" w:rsidRPr="00083739">
              <w:rPr>
                <w:rFonts w:ascii="Times New Roman" w:hAnsi="Times New Roman" w:cs="Times New Roman"/>
                <w:noProof/>
                <w:color w:val="006100"/>
                <w:sz w:val="18"/>
                <w:szCs w:val="18"/>
                <w:lang w:val="sk-SK"/>
              </w:rPr>
              <w:t xml:space="preserve"> a </w:t>
            </w:r>
            <w:r w:rsidRPr="00083739">
              <w:rPr>
                <w:rFonts w:ascii="Times New Roman" w:hAnsi="Times New Roman" w:cs="Times New Roman"/>
                <w:noProof/>
                <w:color w:val="006100"/>
                <w:sz w:val="18"/>
                <w:szCs w:val="18"/>
                <w:lang w:val="sk-SK"/>
              </w:rPr>
              <w:t>primárny koordinátor starostlivosti</w:t>
            </w:r>
            <w:r w:rsidR="00083739" w:rsidRPr="00083739">
              <w:rPr>
                <w:rFonts w:ascii="Times New Roman" w:hAnsi="Times New Roman" w:cs="Times New Roman"/>
                <w:noProof/>
                <w:color w:val="006100"/>
                <w:sz w:val="18"/>
                <w:szCs w:val="18"/>
                <w:lang w:val="sk-SK"/>
              </w:rPr>
              <w:t xml:space="preserve"> o </w:t>
            </w:r>
            <w:r w:rsidRPr="00083739">
              <w:rPr>
                <w:rFonts w:ascii="Times New Roman" w:hAnsi="Times New Roman" w:cs="Times New Roman"/>
                <w:noProof/>
                <w:color w:val="006100"/>
                <w:sz w:val="18"/>
                <w:szCs w:val="18"/>
                <w:lang w:val="sk-SK"/>
              </w:rPr>
              <w:t>pacienta</w:t>
            </w:r>
            <w:r w:rsidR="00083739" w:rsidRPr="00083739">
              <w:rPr>
                <w:rFonts w:ascii="Times New Roman" w:hAnsi="Times New Roman" w:cs="Times New Roman"/>
                <w:noProof/>
                <w:color w:val="006100"/>
                <w:sz w:val="18"/>
                <w:szCs w:val="18"/>
                <w:lang w:val="sk-SK"/>
              </w:rPr>
              <w:t xml:space="preserve"> a </w:t>
            </w:r>
            <w:r w:rsidRPr="00083739">
              <w:rPr>
                <w:rFonts w:ascii="Times New Roman" w:hAnsi="Times New Roman" w:cs="Times New Roman"/>
                <w:noProof/>
                <w:color w:val="006100"/>
                <w:sz w:val="18"/>
                <w:szCs w:val="18"/>
                <w:lang w:val="sk-SK"/>
              </w:rPr>
              <w:t>povoľujú pacientom</w:t>
            </w:r>
            <w:r w:rsidRPr="00083739">
              <w:rPr>
                <w:rFonts w:ascii="Times New Roman" w:hAnsi="Times New Roman" w:cs="Times New Roman"/>
                <w:noProof/>
                <w:color w:val="006100"/>
                <w:sz w:val="18"/>
                <w:szCs w:val="18"/>
                <w:lang w:val="sk-SK"/>
              </w:rPr>
              <w:t xml:space="preserve"> prístup</w:t>
            </w:r>
            <w:r w:rsidR="00083739" w:rsidRPr="00083739">
              <w:rPr>
                <w:rFonts w:ascii="Times New Roman" w:hAnsi="Times New Roman" w:cs="Times New Roman"/>
                <w:noProof/>
                <w:color w:val="006100"/>
                <w:sz w:val="18"/>
                <w:szCs w:val="18"/>
                <w:lang w:val="sk-SK"/>
              </w:rPr>
              <w:t xml:space="preserve"> k </w:t>
            </w:r>
            <w:r w:rsidRPr="00083739">
              <w:rPr>
                <w:rFonts w:ascii="Times New Roman" w:hAnsi="Times New Roman" w:cs="Times New Roman"/>
                <w:noProof/>
                <w:color w:val="006100"/>
                <w:sz w:val="18"/>
                <w:szCs w:val="18"/>
                <w:lang w:val="sk-SK"/>
              </w:rPr>
              <w:t>špecializovanej starostlivosti vo verejných štruktúrach sekundárnej</w:t>
            </w:r>
            <w:r w:rsidR="00083739" w:rsidRPr="00083739">
              <w:rPr>
                <w:rFonts w:ascii="Times New Roman" w:hAnsi="Times New Roman" w:cs="Times New Roman"/>
                <w:noProof/>
                <w:color w:val="006100"/>
                <w:sz w:val="18"/>
                <w:szCs w:val="18"/>
                <w:lang w:val="sk-SK"/>
              </w:rPr>
              <w:t xml:space="preserve"> a </w:t>
            </w:r>
            <w:r w:rsidRPr="00083739">
              <w:rPr>
                <w:rFonts w:ascii="Times New Roman" w:hAnsi="Times New Roman" w:cs="Times New Roman"/>
                <w:noProof/>
                <w:color w:val="006100"/>
                <w:sz w:val="18"/>
                <w:szCs w:val="18"/>
                <w:lang w:val="sk-SK"/>
              </w:rPr>
              <w:t>terciárnej zdravotnej starostlivosti</w:t>
            </w:r>
            <w:r w:rsidR="00083739" w:rsidRPr="00083739">
              <w:rPr>
                <w:rFonts w:ascii="Times New Roman" w:hAnsi="Times New Roman" w:cs="Times New Roman"/>
                <w:noProof/>
                <w:color w:val="006100"/>
                <w:sz w:val="18"/>
                <w:szCs w:val="18"/>
                <w:lang w:val="sk-SK"/>
              </w:rPr>
              <w:t xml:space="preserve"> s </w:t>
            </w:r>
            <w:r w:rsidRPr="00083739">
              <w:rPr>
                <w:rFonts w:ascii="Times New Roman" w:hAnsi="Times New Roman" w:cs="Times New Roman"/>
                <w:noProof/>
                <w:color w:val="006100"/>
                <w:sz w:val="18"/>
                <w:szCs w:val="18"/>
                <w:lang w:val="sk-SK"/>
              </w:rPr>
              <w:t>výnimkou naliehavých prípadov, keď sa uplatňuje príslušný proces triedenia pacientov.</w:t>
            </w:r>
          </w:p>
        </w:tc>
      </w:tr>
    </w:tbl>
    <w:p w14:paraId="41236009" w14:textId="77777777" w:rsidR="002D49B0" w:rsidRPr="00083739" w:rsidRDefault="00BF4125">
      <w:pPr>
        <w:pStyle w:val="P68B1DB1-Normal6"/>
        <w:keepNext/>
        <w:keepLines/>
        <w:spacing w:before="40" w:after="0" w:line="240" w:lineRule="auto"/>
        <w:jc w:val="both"/>
        <w:outlineLvl w:val="4"/>
        <w:rPr>
          <w:rFonts w:ascii="Times New Roman" w:hAnsi="Times New Roman" w:cs="Times New Roman"/>
          <w:noProof/>
          <w:color w:val="365F91" w:themeColor="accent1" w:themeShade="BF"/>
          <w:lang w:val="sk-SK"/>
        </w:rPr>
      </w:pPr>
      <w:r w:rsidRPr="00083739">
        <w:rPr>
          <w:rFonts w:ascii="Times New Roman" w:hAnsi="Times New Roman" w:cs="Times New Roman"/>
          <w:noProof/>
          <w:lang w:val="sk-SK"/>
        </w:rPr>
        <w:br/>
      </w:r>
    </w:p>
    <w:p w14:paraId="6154DDF6" w14:textId="77777777" w:rsidR="00083739" w:rsidRPr="00083739" w:rsidRDefault="00BF4125">
      <w:pPr>
        <w:pStyle w:val="P68B1DB1-Normal6"/>
        <w:keepNext/>
        <w:keepLines/>
        <w:spacing w:before="40" w:after="0" w:line="240" w:lineRule="auto"/>
        <w:jc w:val="both"/>
        <w:outlineLvl w:val="4"/>
        <w:rPr>
          <w:rFonts w:ascii="Times New Roman" w:hAnsi="Times New Roman" w:cs="Times New Roman"/>
          <w:noProof/>
          <w:lang w:val="sk-SK"/>
        </w:rPr>
      </w:pPr>
      <w:r w:rsidRPr="00083739">
        <w:rPr>
          <w:rFonts w:ascii="Times New Roman" w:hAnsi="Times New Roman" w:cs="Times New Roman"/>
          <w:noProof/>
          <w:lang w:val="sk-SK"/>
        </w:rPr>
        <w:t>Skupina 14:  Infraštruktúrne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digitálne </w:t>
      </w:r>
      <w:r w:rsidRPr="00083739">
        <w:rPr>
          <w:rFonts w:ascii="Times New Roman" w:hAnsi="Times New Roman" w:cs="Times New Roman"/>
          <w:noProof/>
          <w:lang w:val="sk-SK"/>
        </w:rPr>
        <w:t>opatrenia na modernizáciu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modernizáciu systému zdravotnej starostlivosti</w:t>
      </w:r>
    </w:p>
    <w:p w14:paraId="6F7D134E" w14:textId="61F3CEE4" w:rsidR="002D49B0" w:rsidRPr="00083739" w:rsidRDefault="00BF4125">
      <w:pPr>
        <w:pStyle w:val="P68B1DB1-Normal4"/>
        <w:numPr>
          <w:ilvl w:val="0"/>
          <w:numId w:val="39"/>
        </w:numPr>
        <w:spacing w:before="120" w:after="0" w:line="240" w:lineRule="auto"/>
        <w:jc w:val="both"/>
        <w:rPr>
          <w:rFonts w:cs="Times New Roman"/>
          <w:noProof/>
          <w:lang w:val="sk-SK"/>
        </w:rPr>
      </w:pPr>
      <w:r w:rsidRPr="00083739">
        <w:rPr>
          <w:rFonts w:cs="Times New Roman"/>
          <w:noProof/>
          <w:lang w:val="sk-SK"/>
        </w:rPr>
        <w:t>Digitálna transformácia zdravotníctva (ID: 16752)</w:t>
      </w:r>
    </w:p>
    <w:p w14:paraId="2C5A81F6" w14:textId="10B7059B" w:rsidR="002D49B0" w:rsidRPr="00083739" w:rsidRDefault="00BF4125">
      <w:pPr>
        <w:pStyle w:val="P68B1DB1-Normal4"/>
        <w:numPr>
          <w:ilvl w:val="0"/>
          <w:numId w:val="39"/>
        </w:numPr>
        <w:spacing w:before="120" w:after="0" w:line="240" w:lineRule="auto"/>
        <w:jc w:val="both"/>
        <w:rPr>
          <w:rFonts w:cs="Times New Roman"/>
          <w:noProof/>
          <w:lang w:val="sk-SK"/>
        </w:rPr>
      </w:pPr>
      <w:r w:rsidRPr="00083739">
        <w:rPr>
          <w:rFonts w:cs="Times New Roman"/>
          <w:noProof/>
          <w:szCs w:val="24"/>
          <w:lang w:val="sk-SK"/>
        </w:rPr>
        <w:t>Zdravotnícka infraštruktúra</w:t>
      </w:r>
      <w:r w:rsidRPr="00083739">
        <w:rPr>
          <w:rFonts w:cs="Times New Roman"/>
          <w:noProof/>
          <w:lang w:val="sk-SK"/>
        </w:rPr>
        <w:t xml:space="preserve"> (ID: 16795)</w:t>
      </w:r>
    </w:p>
    <w:p w14:paraId="27388021" w14:textId="75A9C432" w:rsidR="002D49B0" w:rsidRPr="00083739" w:rsidRDefault="00BF4125">
      <w:pPr>
        <w:pStyle w:val="P68B1DB1-Normal4"/>
        <w:numPr>
          <w:ilvl w:val="0"/>
          <w:numId w:val="39"/>
        </w:numPr>
        <w:spacing w:before="120" w:after="0" w:line="240" w:lineRule="auto"/>
        <w:jc w:val="both"/>
        <w:rPr>
          <w:rFonts w:cs="Times New Roman"/>
          <w:noProof/>
          <w:lang w:val="sk-SK"/>
        </w:rPr>
      </w:pPr>
      <w:r w:rsidRPr="00083739">
        <w:rPr>
          <w:rFonts w:cs="Times New Roman"/>
          <w:noProof/>
          <w:lang w:val="sk-SK"/>
        </w:rPr>
        <w:t>Zriadenie rádioterapeutického centra</w:t>
      </w:r>
      <w:r w:rsidR="00083739" w:rsidRPr="00083739">
        <w:rPr>
          <w:rFonts w:cs="Times New Roman"/>
          <w:noProof/>
          <w:lang w:val="sk-SK"/>
        </w:rPr>
        <w:t xml:space="preserve"> v </w:t>
      </w:r>
      <w:r w:rsidRPr="00083739">
        <w:rPr>
          <w:rFonts w:cs="Times New Roman"/>
          <w:noProof/>
          <w:lang w:val="sk-SK"/>
        </w:rPr>
        <w:t>Aténskej nemocnici</w:t>
      </w:r>
      <w:r w:rsidR="00083739" w:rsidRPr="00083739">
        <w:rPr>
          <w:rFonts w:cs="Times New Roman"/>
          <w:noProof/>
          <w:lang w:val="sk-SK"/>
        </w:rPr>
        <w:t xml:space="preserve"> s </w:t>
      </w:r>
      <w:r w:rsidRPr="00083739">
        <w:rPr>
          <w:rFonts w:cs="Times New Roman"/>
          <w:noProof/>
          <w:lang w:val="sk-SK"/>
        </w:rPr>
        <w:t>nákazlivými chorobami „Sotiria“</w:t>
      </w:r>
      <w:r w:rsidRPr="00083739">
        <w:rPr>
          <w:rFonts w:cs="Times New Roman"/>
          <w:noProof/>
          <w:lang w:val="sk-SK"/>
        </w:rPr>
        <w:t xml:space="preserve"> (ID: 16757)</w:t>
      </w:r>
    </w:p>
    <w:p w14:paraId="3D982996" w14:textId="6C0C8243" w:rsidR="002D49B0" w:rsidRPr="00083739" w:rsidRDefault="00BF4125">
      <w:pPr>
        <w:pStyle w:val="P68B1DB1-Normal4"/>
        <w:numPr>
          <w:ilvl w:val="0"/>
          <w:numId w:val="39"/>
        </w:numPr>
        <w:spacing w:before="120" w:after="0" w:line="240" w:lineRule="auto"/>
        <w:jc w:val="both"/>
        <w:rPr>
          <w:rFonts w:cs="Times New Roman"/>
          <w:noProof/>
          <w:lang w:val="sk-SK"/>
        </w:rPr>
      </w:pPr>
      <w:r w:rsidRPr="00083739">
        <w:rPr>
          <w:rFonts w:cs="Times New Roman"/>
          <w:noProof/>
          <w:lang w:val="sk-SK"/>
        </w:rPr>
        <w:t>Projekt výstavby budovy určenej pre hematologické klimatologické laboratóriá Cellular &amp; Gene Terapies</w:t>
      </w:r>
      <w:r w:rsidR="00083739" w:rsidRPr="00083739">
        <w:rPr>
          <w:rFonts w:cs="Times New Roman"/>
          <w:noProof/>
          <w:lang w:val="sk-SK"/>
        </w:rPr>
        <w:t xml:space="preserve"> v </w:t>
      </w:r>
      <w:r w:rsidRPr="00083739">
        <w:rPr>
          <w:rFonts w:cs="Times New Roman"/>
          <w:noProof/>
          <w:lang w:val="sk-SK"/>
        </w:rPr>
        <w:t>rámci všeobecnej nemocnice Solún „Papanikolaou“ (ID: 16793)</w:t>
      </w:r>
    </w:p>
    <w:p w14:paraId="118030CB" w14:textId="7D7155D8" w:rsidR="002D49B0" w:rsidRPr="00083739" w:rsidRDefault="00BF4125">
      <w:pPr>
        <w:pStyle w:val="P68B1DB1-Normal4"/>
        <w:numPr>
          <w:ilvl w:val="0"/>
          <w:numId w:val="39"/>
        </w:numPr>
        <w:spacing w:before="120" w:after="120" w:line="240" w:lineRule="auto"/>
        <w:jc w:val="both"/>
        <w:rPr>
          <w:rFonts w:cs="Times New Roman"/>
          <w:noProof/>
          <w:lang w:val="sk-SK"/>
        </w:rPr>
      </w:pPr>
      <w:r w:rsidRPr="00083739">
        <w:rPr>
          <w:rFonts w:cs="Times New Roman"/>
          <w:noProof/>
          <w:lang w:val="sk-SK"/>
        </w:rPr>
        <w:t>Zriadenie systémov domácej zdravotnej starostlivosti</w:t>
      </w:r>
      <w:r w:rsidR="00083739" w:rsidRPr="00083739">
        <w:rPr>
          <w:rFonts w:cs="Times New Roman"/>
          <w:noProof/>
          <w:lang w:val="sk-SK"/>
        </w:rPr>
        <w:t xml:space="preserve"> a </w:t>
      </w:r>
      <w:r w:rsidRPr="00083739">
        <w:rPr>
          <w:rFonts w:cs="Times New Roman"/>
          <w:noProof/>
          <w:lang w:val="sk-SK"/>
        </w:rPr>
        <w:t>nemocníc</w:t>
      </w:r>
      <w:r w:rsidR="00083739" w:rsidRPr="00083739">
        <w:rPr>
          <w:rFonts w:cs="Times New Roman"/>
          <w:noProof/>
          <w:lang w:val="sk-SK"/>
        </w:rPr>
        <w:t xml:space="preserve"> v </w:t>
      </w:r>
      <w:r w:rsidRPr="00083739">
        <w:rPr>
          <w:rFonts w:cs="Times New Roman"/>
          <w:noProof/>
          <w:lang w:val="sk-SK"/>
        </w:rPr>
        <w:t>domácnosti (I</w:t>
      </w:r>
      <w:r w:rsidRPr="00083739">
        <w:rPr>
          <w:rFonts w:cs="Times New Roman"/>
          <w:noProof/>
          <w:lang w:val="sk-SK"/>
        </w:rPr>
        <w:t>D: 16753)</w:t>
      </w:r>
    </w:p>
    <w:tbl>
      <w:tblPr>
        <w:tblW w:w="15893" w:type="dxa"/>
        <w:jc w:val="center"/>
        <w:tblLayout w:type="fixed"/>
        <w:tblLook w:val="04A0" w:firstRow="1" w:lastRow="0" w:firstColumn="1" w:lastColumn="0" w:noHBand="0" w:noVBand="1"/>
      </w:tblPr>
      <w:tblGrid>
        <w:gridCol w:w="1028"/>
        <w:gridCol w:w="1797"/>
        <w:gridCol w:w="1424"/>
        <w:gridCol w:w="1419"/>
        <w:gridCol w:w="1553"/>
        <w:gridCol w:w="866"/>
        <w:gridCol w:w="857"/>
        <w:gridCol w:w="659"/>
        <w:gridCol w:w="850"/>
        <w:gridCol w:w="709"/>
        <w:gridCol w:w="4731"/>
      </w:tblGrid>
      <w:tr w:rsidR="002D49B0" w:rsidRPr="00083739" w14:paraId="425F7D23" w14:textId="77777777">
        <w:trPr>
          <w:trHeight w:val="853"/>
          <w:tblHeader/>
          <w:jc w:val="center"/>
        </w:trPr>
        <w:tc>
          <w:tcPr>
            <w:tcW w:w="102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DDC924A"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Poradové číslo</w:t>
            </w:r>
          </w:p>
        </w:tc>
        <w:tc>
          <w:tcPr>
            <w:tcW w:w="179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1E52A14"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Súvisiace opatrenie (reforma alebo investícia)</w:t>
            </w:r>
          </w:p>
        </w:tc>
        <w:tc>
          <w:tcPr>
            <w:tcW w:w="142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F8C0B39"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Míľnik/cieľ</w:t>
            </w:r>
          </w:p>
        </w:tc>
        <w:tc>
          <w:tcPr>
            <w:tcW w:w="141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A9747E5"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Názov</w:t>
            </w:r>
          </w:p>
        </w:tc>
        <w:tc>
          <w:tcPr>
            <w:tcW w:w="155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8AE1340"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Kvalitatívne ukazovatele (pre míľniky)</w:t>
            </w:r>
          </w:p>
        </w:tc>
        <w:tc>
          <w:tcPr>
            <w:tcW w:w="2382" w:type="dxa"/>
            <w:gridSpan w:val="3"/>
            <w:tcBorders>
              <w:top w:val="single" w:sz="4" w:space="0" w:color="auto"/>
              <w:left w:val="single" w:sz="4" w:space="0" w:color="auto"/>
              <w:bottom w:val="single" w:sz="4" w:space="0" w:color="auto"/>
              <w:right w:val="single" w:sz="4" w:space="0" w:color="auto"/>
            </w:tcBorders>
            <w:shd w:val="clear" w:color="auto" w:fill="BDD7EE"/>
            <w:vAlign w:val="center"/>
            <w:hideMark/>
          </w:tcPr>
          <w:p w14:paraId="49257024"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Kvantitatívne ukazovatele (pre ciele)</w:t>
            </w:r>
          </w:p>
        </w:tc>
        <w:tc>
          <w:tcPr>
            <w:tcW w:w="1559" w:type="dxa"/>
            <w:gridSpan w:val="2"/>
            <w:tcBorders>
              <w:top w:val="single" w:sz="4" w:space="0" w:color="auto"/>
              <w:left w:val="nil"/>
              <w:bottom w:val="single" w:sz="4" w:space="0" w:color="auto"/>
              <w:right w:val="single" w:sz="4" w:space="0" w:color="auto"/>
            </w:tcBorders>
            <w:shd w:val="clear" w:color="auto" w:fill="BDD7EE"/>
            <w:vAlign w:val="center"/>
            <w:hideMark/>
          </w:tcPr>
          <w:p w14:paraId="3C4BF284"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Orientačný harmonogram dokončenia </w:t>
            </w:r>
          </w:p>
        </w:tc>
        <w:tc>
          <w:tcPr>
            <w:tcW w:w="473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8A378D6" w14:textId="497270C1"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Opis každého míľnika</w:t>
            </w:r>
            <w:r w:rsidR="00083739" w:rsidRPr="00083739">
              <w:rPr>
                <w:rFonts w:cs="Times New Roman"/>
                <w:noProof/>
                <w:lang w:val="sk-SK"/>
              </w:rPr>
              <w:t xml:space="preserve"> a </w:t>
            </w:r>
            <w:r w:rsidRPr="00083739">
              <w:rPr>
                <w:rFonts w:cs="Times New Roman"/>
                <w:noProof/>
                <w:lang w:val="sk-SK"/>
              </w:rPr>
              <w:t>cieľa</w:t>
            </w:r>
          </w:p>
        </w:tc>
      </w:tr>
      <w:tr w:rsidR="002D49B0" w:rsidRPr="00083739" w14:paraId="67D25494" w14:textId="77777777">
        <w:trPr>
          <w:trHeight w:val="626"/>
          <w:tblHeader/>
          <w:jc w:val="center"/>
        </w:trPr>
        <w:tc>
          <w:tcPr>
            <w:tcW w:w="1028" w:type="dxa"/>
            <w:vMerge/>
            <w:tcBorders>
              <w:top w:val="single" w:sz="4" w:space="0" w:color="auto"/>
              <w:left w:val="single" w:sz="4" w:space="0" w:color="auto"/>
              <w:bottom w:val="single" w:sz="4" w:space="0" w:color="auto"/>
              <w:right w:val="single" w:sz="4" w:space="0" w:color="auto"/>
            </w:tcBorders>
            <w:vAlign w:val="center"/>
            <w:hideMark/>
          </w:tcPr>
          <w:p w14:paraId="645087EC"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797" w:type="dxa"/>
            <w:vMerge/>
            <w:tcBorders>
              <w:top w:val="single" w:sz="4" w:space="0" w:color="auto"/>
              <w:left w:val="single" w:sz="4" w:space="0" w:color="auto"/>
              <w:bottom w:val="single" w:sz="4" w:space="0" w:color="auto"/>
              <w:right w:val="single" w:sz="4" w:space="0" w:color="auto"/>
            </w:tcBorders>
            <w:vAlign w:val="center"/>
            <w:hideMark/>
          </w:tcPr>
          <w:p w14:paraId="007B4B45"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424" w:type="dxa"/>
            <w:vMerge/>
            <w:tcBorders>
              <w:top w:val="single" w:sz="4" w:space="0" w:color="auto"/>
              <w:left w:val="single" w:sz="4" w:space="0" w:color="auto"/>
              <w:bottom w:val="single" w:sz="4" w:space="0" w:color="auto"/>
              <w:right w:val="single" w:sz="4" w:space="0" w:color="auto"/>
            </w:tcBorders>
            <w:vAlign w:val="center"/>
            <w:hideMark/>
          </w:tcPr>
          <w:p w14:paraId="15034413"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3957549C"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553" w:type="dxa"/>
            <w:vMerge/>
            <w:tcBorders>
              <w:top w:val="single" w:sz="4" w:space="0" w:color="auto"/>
              <w:left w:val="single" w:sz="4" w:space="0" w:color="auto"/>
              <w:bottom w:val="single" w:sz="4" w:space="0" w:color="auto"/>
              <w:right w:val="single" w:sz="4" w:space="0" w:color="auto"/>
            </w:tcBorders>
            <w:vAlign w:val="center"/>
            <w:hideMark/>
          </w:tcPr>
          <w:p w14:paraId="6655C37E"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866"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0339A0A1"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Merná jednotka</w:t>
            </w:r>
          </w:p>
        </w:tc>
        <w:tc>
          <w:tcPr>
            <w:tcW w:w="857" w:type="dxa"/>
            <w:tcBorders>
              <w:top w:val="nil"/>
              <w:left w:val="nil"/>
              <w:bottom w:val="single" w:sz="4" w:space="0" w:color="auto"/>
              <w:right w:val="single" w:sz="4" w:space="0" w:color="auto"/>
            </w:tcBorders>
            <w:shd w:val="clear" w:color="auto" w:fill="BDD7EE"/>
            <w:vAlign w:val="center"/>
            <w:hideMark/>
          </w:tcPr>
          <w:p w14:paraId="54D3EA86"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Základná </w:t>
            </w:r>
          </w:p>
        </w:tc>
        <w:tc>
          <w:tcPr>
            <w:tcW w:w="659" w:type="dxa"/>
            <w:tcBorders>
              <w:top w:val="nil"/>
              <w:left w:val="nil"/>
              <w:bottom w:val="single" w:sz="4" w:space="0" w:color="auto"/>
              <w:right w:val="single" w:sz="4" w:space="0" w:color="auto"/>
            </w:tcBorders>
            <w:shd w:val="clear" w:color="auto" w:fill="BDD7EE"/>
            <w:vAlign w:val="center"/>
            <w:hideMark/>
          </w:tcPr>
          <w:p w14:paraId="60D8ECB3"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Cieľ </w:t>
            </w:r>
          </w:p>
        </w:tc>
        <w:tc>
          <w:tcPr>
            <w:tcW w:w="850" w:type="dxa"/>
            <w:tcBorders>
              <w:top w:val="nil"/>
              <w:left w:val="nil"/>
              <w:bottom w:val="single" w:sz="4" w:space="0" w:color="auto"/>
              <w:right w:val="single" w:sz="4" w:space="0" w:color="auto"/>
            </w:tcBorders>
            <w:shd w:val="clear" w:color="auto" w:fill="BDD7EE"/>
            <w:vAlign w:val="center"/>
            <w:hideMark/>
          </w:tcPr>
          <w:p w14:paraId="7CFD6D95"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Štvrtina</w:t>
            </w:r>
          </w:p>
        </w:tc>
        <w:tc>
          <w:tcPr>
            <w:tcW w:w="709" w:type="dxa"/>
            <w:tcBorders>
              <w:top w:val="nil"/>
              <w:left w:val="nil"/>
              <w:bottom w:val="single" w:sz="4" w:space="0" w:color="auto"/>
              <w:right w:val="single" w:sz="4" w:space="0" w:color="auto"/>
            </w:tcBorders>
            <w:shd w:val="clear" w:color="auto" w:fill="BDD7EE"/>
            <w:vAlign w:val="center"/>
            <w:hideMark/>
          </w:tcPr>
          <w:p w14:paraId="2161F62D"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Rok</w:t>
            </w:r>
          </w:p>
        </w:tc>
        <w:tc>
          <w:tcPr>
            <w:tcW w:w="4731" w:type="dxa"/>
            <w:vMerge/>
            <w:tcBorders>
              <w:top w:val="single" w:sz="4" w:space="0" w:color="auto"/>
              <w:bottom w:val="single" w:sz="4" w:space="0" w:color="auto"/>
              <w:right w:val="single" w:sz="4" w:space="0" w:color="auto"/>
            </w:tcBorders>
            <w:vAlign w:val="center"/>
            <w:hideMark/>
          </w:tcPr>
          <w:p w14:paraId="462DD85D"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r>
      <w:tr w:rsidR="002D49B0" w:rsidRPr="00083739" w14:paraId="1C0F9D7B" w14:textId="77777777">
        <w:trPr>
          <w:trHeight w:val="313"/>
          <w:jc w:val="center"/>
        </w:trPr>
        <w:tc>
          <w:tcPr>
            <w:tcW w:w="1028" w:type="dxa"/>
            <w:tcBorders>
              <w:top w:val="single" w:sz="4" w:space="0" w:color="auto"/>
              <w:left w:val="single" w:sz="4" w:space="0" w:color="auto"/>
              <w:bottom w:val="single" w:sz="4" w:space="0" w:color="auto"/>
              <w:right w:val="single" w:sz="4" w:space="0" w:color="auto"/>
            </w:tcBorders>
            <w:shd w:val="clear" w:color="auto" w:fill="C6EFCE"/>
            <w:noWrap/>
          </w:tcPr>
          <w:p w14:paraId="0B03A81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167</w:t>
            </w:r>
          </w:p>
          <w:p w14:paraId="2653D9D7"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797" w:type="dxa"/>
            <w:tcBorders>
              <w:top w:val="single" w:sz="4" w:space="0" w:color="auto"/>
              <w:left w:val="nil"/>
              <w:bottom w:val="single" w:sz="4" w:space="0" w:color="auto"/>
              <w:right w:val="single" w:sz="4" w:space="0" w:color="auto"/>
            </w:tcBorders>
            <w:shd w:val="clear" w:color="auto" w:fill="C6EFCE"/>
            <w:noWrap/>
          </w:tcPr>
          <w:p w14:paraId="79D8C706" w14:textId="63BE67F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10 – 3.3. Zlepšenie odolnosti, dostupnosti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udržateľnosti zdravotnej starostlivosti – 16752_Digitálna transformácia zdravia (DigHealth)</w:t>
            </w:r>
          </w:p>
        </w:tc>
        <w:tc>
          <w:tcPr>
            <w:tcW w:w="1424" w:type="dxa"/>
            <w:tcBorders>
              <w:top w:val="single" w:sz="4" w:space="0" w:color="auto"/>
              <w:left w:val="nil"/>
              <w:bottom w:val="single" w:sz="4" w:space="0" w:color="auto"/>
              <w:right w:val="single" w:sz="4" w:space="0" w:color="auto"/>
            </w:tcBorders>
            <w:shd w:val="clear" w:color="auto" w:fill="C6EFCE"/>
            <w:noWrap/>
          </w:tcPr>
          <w:p w14:paraId="0C581AA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419" w:type="dxa"/>
            <w:tcBorders>
              <w:top w:val="single" w:sz="4" w:space="0" w:color="auto"/>
              <w:left w:val="nil"/>
              <w:bottom w:val="single" w:sz="4" w:space="0" w:color="auto"/>
              <w:right w:val="single" w:sz="4" w:space="0" w:color="auto"/>
            </w:tcBorders>
            <w:shd w:val="clear" w:color="auto" w:fill="C6EFCE"/>
            <w:noWrap/>
          </w:tcPr>
          <w:p w14:paraId="2B04557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Digitálna transformácia zdravotnej starostlivosti – národný digitálny </w:t>
            </w:r>
            <w:r w:rsidRPr="00083739">
              <w:rPr>
                <w:rFonts w:ascii="Times New Roman" w:hAnsi="Times New Roman" w:cs="Times New Roman"/>
                <w:noProof/>
                <w:lang w:val="sk-SK"/>
              </w:rPr>
              <w:t>zdravotný záznam (podprojekt 1)</w:t>
            </w:r>
          </w:p>
        </w:tc>
        <w:tc>
          <w:tcPr>
            <w:tcW w:w="1553" w:type="dxa"/>
            <w:tcBorders>
              <w:top w:val="single" w:sz="4" w:space="0" w:color="auto"/>
              <w:left w:val="nil"/>
              <w:bottom w:val="single" w:sz="4" w:space="0" w:color="auto"/>
              <w:right w:val="single" w:sz="4" w:space="0" w:color="auto"/>
            </w:tcBorders>
            <w:shd w:val="clear" w:color="auto" w:fill="C6EFCE"/>
            <w:noWrap/>
          </w:tcPr>
          <w:p w14:paraId="604F57F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Správa potvrdzujúca dokončenie všetkých hlavných prvkov podprojektu 1 (digitálny zdravotný záznam – pozri opis)</w:t>
            </w:r>
          </w:p>
        </w:tc>
        <w:tc>
          <w:tcPr>
            <w:tcW w:w="866" w:type="dxa"/>
            <w:tcBorders>
              <w:top w:val="single" w:sz="4" w:space="0" w:color="auto"/>
              <w:left w:val="nil"/>
              <w:bottom w:val="single" w:sz="4" w:space="0" w:color="auto"/>
              <w:right w:val="single" w:sz="4" w:space="0" w:color="auto"/>
            </w:tcBorders>
            <w:shd w:val="clear" w:color="auto" w:fill="C6EFCE"/>
            <w:noWrap/>
          </w:tcPr>
          <w:p w14:paraId="5EEDD513"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nil"/>
              <w:left w:val="nil"/>
              <w:bottom w:val="single" w:sz="4" w:space="0" w:color="auto"/>
              <w:right w:val="single" w:sz="4" w:space="0" w:color="auto"/>
            </w:tcBorders>
            <w:shd w:val="clear" w:color="auto" w:fill="C6EFCE"/>
            <w:noWrap/>
          </w:tcPr>
          <w:p w14:paraId="651424E6"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659" w:type="dxa"/>
            <w:tcBorders>
              <w:top w:val="nil"/>
              <w:left w:val="nil"/>
              <w:bottom w:val="single" w:sz="4" w:space="0" w:color="auto"/>
              <w:right w:val="single" w:sz="4" w:space="0" w:color="auto"/>
            </w:tcBorders>
            <w:shd w:val="clear" w:color="auto" w:fill="C6EFCE"/>
            <w:noWrap/>
          </w:tcPr>
          <w:p w14:paraId="50D87414"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0" w:type="dxa"/>
            <w:tcBorders>
              <w:top w:val="nil"/>
              <w:left w:val="nil"/>
              <w:bottom w:val="single" w:sz="4" w:space="0" w:color="auto"/>
              <w:right w:val="single" w:sz="4" w:space="0" w:color="auto"/>
            </w:tcBorders>
            <w:shd w:val="clear" w:color="auto" w:fill="C6EFCE"/>
            <w:noWrap/>
          </w:tcPr>
          <w:p w14:paraId="1AEA0C0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709" w:type="dxa"/>
            <w:tcBorders>
              <w:top w:val="nil"/>
              <w:left w:val="nil"/>
              <w:bottom w:val="single" w:sz="4" w:space="0" w:color="auto"/>
              <w:right w:val="single" w:sz="4" w:space="0" w:color="auto"/>
            </w:tcBorders>
            <w:shd w:val="clear" w:color="auto" w:fill="C6EFCE"/>
            <w:noWrap/>
          </w:tcPr>
          <w:p w14:paraId="1FDBCCB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2024</w:t>
            </w:r>
          </w:p>
        </w:tc>
        <w:tc>
          <w:tcPr>
            <w:tcW w:w="4731" w:type="dxa"/>
            <w:tcBorders>
              <w:top w:val="single" w:sz="4" w:space="0" w:color="auto"/>
              <w:left w:val="nil"/>
              <w:bottom w:val="single" w:sz="4" w:space="0" w:color="auto"/>
              <w:right w:val="single" w:sz="4" w:space="0" w:color="auto"/>
            </w:tcBorders>
            <w:shd w:val="clear" w:color="auto" w:fill="C6EFCE"/>
            <w:noWrap/>
          </w:tcPr>
          <w:p w14:paraId="4E4A8651" w14:textId="2382E211"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eastAsiaTheme="minorEastAsia" w:hAnsi="Times New Roman" w:cs="Times New Roman"/>
                <w:noProof/>
                <w:lang w:val="sk-SK"/>
              </w:rPr>
              <w:t>Dokončenie</w:t>
            </w:r>
            <w:r w:rsidR="00083739" w:rsidRPr="00083739">
              <w:rPr>
                <w:rFonts w:ascii="Times New Roman" w:eastAsiaTheme="minorEastAsia" w:hAnsi="Times New Roman" w:cs="Times New Roman"/>
                <w:noProof/>
                <w:lang w:val="sk-SK"/>
              </w:rPr>
              <w:t xml:space="preserve"> a </w:t>
            </w:r>
            <w:r w:rsidRPr="00083739">
              <w:rPr>
                <w:rFonts w:ascii="Times New Roman" w:eastAsiaTheme="minorEastAsia" w:hAnsi="Times New Roman" w:cs="Times New Roman"/>
                <w:noProof/>
                <w:lang w:val="sk-SK"/>
              </w:rPr>
              <w:t xml:space="preserve">uvedenie do prevádzky </w:t>
            </w:r>
            <w:r w:rsidRPr="00083739">
              <w:rPr>
                <w:rFonts w:ascii="Times New Roman" w:hAnsi="Times New Roman" w:cs="Times New Roman"/>
                <w:noProof/>
                <w:lang w:val="sk-SK"/>
              </w:rPr>
              <w:t xml:space="preserve">aspoň všetkých týchto prvkov podprojektu 1 na podporu </w:t>
            </w:r>
            <w:r w:rsidRPr="00083739">
              <w:rPr>
                <w:rFonts w:ascii="Times New Roman" w:hAnsi="Times New Roman" w:cs="Times New Roman"/>
                <w:noProof/>
                <w:lang w:val="sk-SK"/>
              </w:rPr>
              <w:t>digitálnej transformácie systému zdravotnej starostlivosti, ktorým sa sprevádzkujú vnútroštátne digitálne zdravotné záznamy: 1) klinické dokumenty, 2) terminologické služby, 3) vnútroštátny rámec interoperability elektronického zdravotníctva, 4) zhromažďov</w:t>
            </w:r>
            <w:r w:rsidRPr="00083739">
              <w:rPr>
                <w:rFonts w:ascii="Times New Roman" w:hAnsi="Times New Roman" w:cs="Times New Roman"/>
                <w:noProof/>
                <w:lang w:val="sk-SK"/>
              </w:rPr>
              <w:t>anie všetkých laboratórnych výsledkov do elektronického zdravotného záznamu, 5) zhromažďovanie listov</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vypúšťaní.</w:t>
            </w:r>
          </w:p>
        </w:tc>
      </w:tr>
      <w:tr w:rsidR="002D49B0" w:rsidRPr="00083739" w14:paraId="7FD0DEB5" w14:textId="77777777">
        <w:trPr>
          <w:trHeight w:val="313"/>
          <w:jc w:val="center"/>
        </w:trPr>
        <w:tc>
          <w:tcPr>
            <w:tcW w:w="1028" w:type="dxa"/>
            <w:tcBorders>
              <w:top w:val="nil"/>
              <w:left w:val="single" w:sz="4" w:space="0" w:color="auto"/>
              <w:bottom w:val="single" w:sz="4" w:space="0" w:color="auto"/>
              <w:right w:val="single" w:sz="4" w:space="0" w:color="auto"/>
            </w:tcBorders>
            <w:shd w:val="clear" w:color="auto" w:fill="C6EFCE"/>
            <w:noWrap/>
          </w:tcPr>
          <w:p w14:paraId="1E19392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168</w:t>
            </w:r>
          </w:p>
        </w:tc>
        <w:tc>
          <w:tcPr>
            <w:tcW w:w="1797" w:type="dxa"/>
            <w:tcBorders>
              <w:top w:val="nil"/>
              <w:left w:val="nil"/>
              <w:bottom w:val="single" w:sz="4" w:space="0" w:color="auto"/>
              <w:right w:val="single" w:sz="4" w:space="0" w:color="auto"/>
            </w:tcBorders>
            <w:shd w:val="clear" w:color="auto" w:fill="C6EFCE"/>
            <w:noWrap/>
          </w:tcPr>
          <w:p w14:paraId="48B31D62" w14:textId="590AEF43"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10 – 3.3. Zlepšenie odolnosti, dostupnosti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udržateľnosti zdravotnej starostlivosti – 16752_Digitálna transformácia zdravia (DigHealth)</w:t>
            </w:r>
          </w:p>
        </w:tc>
        <w:tc>
          <w:tcPr>
            <w:tcW w:w="1424" w:type="dxa"/>
            <w:tcBorders>
              <w:top w:val="nil"/>
              <w:left w:val="nil"/>
              <w:bottom w:val="single" w:sz="4" w:space="0" w:color="auto"/>
              <w:right w:val="single" w:sz="4" w:space="0" w:color="auto"/>
            </w:tcBorders>
            <w:shd w:val="clear" w:color="auto" w:fill="C6EFCE"/>
            <w:noWrap/>
          </w:tcPr>
          <w:p w14:paraId="1A7B0E9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419" w:type="dxa"/>
            <w:tcBorders>
              <w:top w:val="nil"/>
              <w:left w:val="nil"/>
              <w:bottom w:val="single" w:sz="4" w:space="0" w:color="auto"/>
              <w:right w:val="single" w:sz="4" w:space="0" w:color="auto"/>
            </w:tcBorders>
            <w:shd w:val="clear" w:color="auto" w:fill="C6EFCE"/>
            <w:noWrap/>
          </w:tcPr>
          <w:p w14:paraId="7DECB151" w14:textId="27BD94EF" w:rsidR="002D49B0" w:rsidRPr="00083739" w:rsidRDefault="00BF4125">
            <w:pPr>
              <w:spacing w:after="0" w:line="240" w:lineRule="auto"/>
              <w:rPr>
                <w:rFonts w:ascii="Times New Roman" w:hAnsi="Times New Roman" w:cs="Times New Roman"/>
                <w:noProof/>
                <w:sz w:val="18"/>
                <w:szCs w:val="18"/>
                <w:lang w:val="sk-SK"/>
              </w:rPr>
            </w:pPr>
            <w:r w:rsidRPr="00083739">
              <w:rPr>
                <w:rFonts w:ascii="Times New Roman" w:hAnsi="Times New Roman" w:cs="Times New Roman"/>
                <w:noProof/>
                <w:color w:val="006100"/>
                <w:sz w:val="18"/>
                <w:szCs w:val="18"/>
                <w:lang w:val="sk-SK"/>
              </w:rPr>
              <w:t>Digitálna transformácia</w:t>
            </w:r>
            <w:r w:rsidRPr="00083739">
              <w:rPr>
                <w:rFonts w:ascii="Times New Roman" w:hAnsi="Times New Roman" w:cs="Times New Roman"/>
                <w:noProof/>
                <w:sz w:val="20"/>
                <w:szCs w:val="20"/>
                <w:lang w:val="sk-SK"/>
              </w:rPr>
              <w:t xml:space="preserve"> </w:t>
            </w:r>
            <w:r w:rsidRPr="00083739">
              <w:rPr>
                <w:rFonts w:ascii="Times New Roman" w:eastAsiaTheme="minorEastAsia" w:hAnsi="Times New Roman" w:cs="Times New Roman"/>
                <w:noProof/>
                <w:color w:val="006100"/>
                <w:sz w:val="18"/>
                <w:szCs w:val="18"/>
                <w:lang w:val="sk-SK"/>
              </w:rPr>
              <w:t>– sú zavedené služby na rozšírenie tvorby termínov, modernizácia infraštruktúry elektronického systému predpisov</w:t>
            </w:r>
            <w:r w:rsidR="00083739" w:rsidRPr="00083739">
              <w:rPr>
                <w:rFonts w:ascii="Times New Roman" w:eastAsiaTheme="minorEastAsia" w:hAnsi="Times New Roman" w:cs="Times New Roman"/>
                <w:noProof/>
                <w:color w:val="006100"/>
                <w:sz w:val="18"/>
                <w:szCs w:val="18"/>
                <w:lang w:val="sk-SK"/>
              </w:rPr>
              <w:t xml:space="preserve"> a </w:t>
            </w:r>
            <w:r w:rsidRPr="00083739">
              <w:rPr>
                <w:rFonts w:ascii="Times New Roman" w:eastAsiaTheme="minorEastAsia" w:hAnsi="Times New Roman" w:cs="Times New Roman"/>
                <w:noProof/>
                <w:color w:val="006100"/>
                <w:sz w:val="18"/>
                <w:szCs w:val="18"/>
                <w:lang w:val="sk-SK"/>
              </w:rPr>
              <w:t>prevádzkové služby pre informačné systémy spoločnosti IDIKA SA</w:t>
            </w:r>
          </w:p>
        </w:tc>
        <w:tc>
          <w:tcPr>
            <w:tcW w:w="1553" w:type="dxa"/>
            <w:tcBorders>
              <w:top w:val="nil"/>
              <w:left w:val="nil"/>
              <w:bottom w:val="single" w:sz="4" w:space="0" w:color="auto"/>
              <w:right w:val="single" w:sz="4" w:space="0" w:color="auto"/>
            </w:tcBorders>
            <w:shd w:val="clear" w:color="auto" w:fill="C6EFCE"/>
            <w:noWrap/>
          </w:tcPr>
          <w:p w14:paraId="7C5B5C2B" w14:textId="40153663"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Osvedčenie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dokončení vydané</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súlade</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vnútroštátnymi právnymi predpismi</w:t>
            </w:r>
          </w:p>
        </w:tc>
        <w:tc>
          <w:tcPr>
            <w:tcW w:w="866" w:type="dxa"/>
            <w:tcBorders>
              <w:top w:val="nil"/>
              <w:left w:val="nil"/>
              <w:bottom w:val="single" w:sz="4" w:space="0" w:color="auto"/>
              <w:right w:val="single" w:sz="4" w:space="0" w:color="auto"/>
            </w:tcBorders>
            <w:shd w:val="clear" w:color="auto" w:fill="C6EFCE"/>
            <w:noWrap/>
          </w:tcPr>
          <w:p w14:paraId="57EBE59D"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nil"/>
              <w:left w:val="nil"/>
              <w:bottom w:val="single" w:sz="4" w:space="0" w:color="auto"/>
              <w:right w:val="single" w:sz="4" w:space="0" w:color="auto"/>
            </w:tcBorders>
            <w:shd w:val="clear" w:color="auto" w:fill="C6EFCE"/>
            <w:noWrap/>
          </w:tcPr>
          <w:p w14:paraId="0FD4ABF4"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659" w:type="dxa"/>
            <w:tcBorders>
              <w:top w:val="nil"/>
              <w:left w:val="nil"/>
              <w:bottom w:val="single" w:sz="4" w:space="0" w:color="auto"/>
              <w:right w:val="single" w:sz="4" w:space="0" w:color="auto"/>
            </w:tcBorders>
            <w:shd w:val="clear" w:color="auto" w:fill="C6EFCE"/>
            <w:noWrap/>
          </w:tcPr>
          <w:p w14:paraId="6CD5630A"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0" w:type="dxa"/>
            <w:tcBorders>
              <w:top w:val="nil"/>
              <w:left w:val="nil"/>
              <w:bottom w:val="single" w:sz="4" w:space="0" w:color="auto"/>
              <w:right w:val="single" w:sz="4" w:space="0" w:color="auto"/>
            </w:tcBorders>
            <w:shd w:val="clear" w:color="auto" w:fill="C6EFCE"/>
            <w:noWrap/>
          </w:tcPr>
          <w:p w14:paraId="514567B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709" w:type="dxa"/>
            <w:tcBorders>
              <w:top w:val="nil"/>
              <w:left w:val="nil"/>
              <w:bottom w:val="single" w:sz="4" w:space="0" w:color="auto"/>
              <w:right w:val="single" w:sz="4" w:space="0" w:color="auto"/>
            </w:tcBorders>
            <w:shd w:val="clear" w:color="auto" w:fill="C6EFCE"/>
            <w:noWrap/>
          </w:tcPr>
          <w:p w14:paraId="6EA81B9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4731" w:type="dxa"/>
            <w:tcBorders>
              <w:top w:val="nil"/>
              <w:left w:val="nil"/>
              <w:bottom w:val="single" w:sz="4" w:space="0" w:color="auto"/>
              <w:right w:val="single" w:sz="4" w:space="0" w:color="auto"/>
            </w:tcBorders>
            <w:shd w:val="clear" w:color="auto" w:fill="C6EFCE"/>
            <w:noWrap/>
          </w:tcPr>
          <w:p w14:paraId="004F4450" w14:textId="4F864A41" w:rsidR="002D49B0" w:rsidRPr="00083739" w:rsidRDefault="002D49B0">
            <w:pPr>
              <w:spacing w:after="0" w:line="240" w:lineRule="auto"/>
              <w:rPr>
                <w:rFonts w:ascii="Times New Roman" w:hAnsi="Times New Roman" w:cs="Times New Roman"/>
                <w:noProof/>
                <w:color w:val="006100"/>
                <w:sz w:val="18"/>
                <w:szCs w:val="18"/>
                <w:lang w:val="sk-SK"/>
              </w:rPr>
            </w:pPr>
          </w:p>
          <w:p w14:paraId="5A43695E" w14:textId="77777777" w:rsidR="00083739" w:rsidRPr="00083739" w:rsidRDefault="00BF4125">
            <w:pPr>
              <w:pStyle w:val="P68B1DB1-Normal10"/>
              <w:spacing w:after="0" w:line="240" w:lineRule="auto"/>
              <w:rPr>
                <w:rFonts w:ascii="Times New Roman" w:hAnsi="Times New Roman" w:cs="Times New Roman"/>
                <w:noProof/>
                <w:lang w:val="sk-SK"/>
              </w:rPr>
            </w:pPr>
            <w:r w:rsidRPr="00083739">
              <w:rPr>
                <w:rFonts w:ascii="Times New Roman" w:hAnsi="Times New Roman" w:cs="Times New Roman"/>
                <w:noProof/>
                <w:lang w:val="sk-SK"/>
              </w:rPr>
              <w:t>Malo by sa doplniť toto</w:t>
            </w:r>
            <w:r w:rsidR="00083739" w:rsidRPr="00083739">
              <w:rPr>
                <w:rFonts w:ascii="Times New Roman" w:hAnsi="Times New Roman" w:cs="Times New Roman"/>
                <w:noProof/>
                <w:lang w:val="sk-SK"/>
              </w:rPr>
              <w:t>:</w:t>
            </w:r>
          </w:p>
          <w:p w14:paraId="5FD58A17" w14:textId="4778AC1B" w:rsidR="002D49B0" w:rsidRPr="00083739" w:rsidRDefault="00BF4125">
            <w:pPr>
              <w:pStyle w:val="P68B1DB1-Normal30"/>
              <w:spacing w:after="0" w:line="240" w:lineRule="auto"/>
              <w:rPr>
                <w:rFonts w:ascii="Times New Roman" w:hAnsi="Times New Roman" w:cs="Times New Roman"/>
                <w:noProof/>
                <w:lang w:val="sk-SK"/>
              </w:rPr>
            </w:pPr>
            <w:r w:rsidRPr="00083739">
              <w:rPr>
                <w:rFonts w:ascii="Times New Roman" w:hAnsi="Times New Roman" w:cs="Times New Roman"/>
                <w:noProof/>
                <w:lang w:val="sk-SK"/>
              </w:rPr>
              <w:t>1. Služby na rozšírenie systému vytvárania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riadenia menovania</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rámci národného programu očkovania proti ochoreniu COVID-19</w:t>
            </w:r>
          </w:p>
          <w:p w14:paraId="5793AF53" w14:textId="77777777" w:rsidR="00083739" w:rsidRPr="00083739" w:rsidRDefault="00BF4125">
            <w:pPr>
              <w:pStyle w:val="P68B1DB1-Normal30"/>
              <w:spacing w:after="0" w:line="240" w:lineRule="auto"/>
              <w:rPr>
                <w:rFonts w:ascii="Times New Roman" w:hAnsi="Times New Roman" w:cs="Times New Roman"/>
                <w:noProof/>
                <w:lang w:val="sk-SK"/>
              </w:rPr>
            </w:pPr>
            <w:r w:rsidRPr="00083739">
              <w:rPr>
                <w:rFonts w:ascii="Times New Roman" w:hAnsi="Times New Roman" w:cs="Times New Roman"/>
                <w:noProof/>
                <w:lang w:val="sk-SK"/>
              </w:rPr>
              <w:t xml:space="preserve">2. Modernizácia infraštruktúry elektronického </w:t>
            </w:r>
            <w:r w:rsidRPr="00083739">
              <w:rPr>
                <w:rFonts w:ascii="Times New Roman" w:hAnsi="Times New Roman" w:cs="Times New Roman"/>
                <w:noProof/>
                <w:lang w:val="sk-SK"/>
              </w:rPr>
              <w:t>systému predpisovania</w:t>
            </w:r>
          </w:p>
          <w:p w14:paraId="28956B9D" w14:textId="0FD41E1B" w:rsidR="002D49B0" w:rsidRPr="00083739" w:rsidRDefault="00BF4125">
            <w:pPr>
              <w:pStyle w:val="P68B1DB1-Normal30"/>
              <w:spacing w:after="0" w:line="240" w:lineRule="auto"/>
              <w:rPr>
                <w:rFonts w:ascii="Times New Roman" w:hAnsi="Times New Roman" w:cs="Times New Roman"/>
                <w:noProof/>
                <w:lang w:val="sk-SK"/>
              </w:rPr>
            </w:pPr>
            <w:r w:rsidRPr="00083739">
              <w:rPr>
                <w:rFonts w:ascii="Times New Roman" w:hAnsi="Times New Roman" w:cs="Times New Roman"/>
                <w:noProof/>
                <w:lang w:val="sk-SK"/>
              </w:rPr>
              <w:t>3. Vývojové</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výrobné prevádzkové služby pre informačné systémy spoločnosti IDIKA SA</w:t>
            </w:r>
          </w:p>
          <w:p w14:paraId="42382ADB" w14:textId="75F9AB8D" w:rsidR="002D49B0" w:rsidRPr="00083739" w:rsidRDefault="002D49B0">
            <w:pPr>
              <w:spacing w:after="0" w:line="240" w:lineRule="auto"/>
              <w:rPr>
                <w:rFonts w:ascii="Times New Roman" w:hAnsi="Times New Roman" w:cs="Times New Roman"/>
                <w:noProof/>
                <w:color w:val="006100"/>
                <w:sz w:val="18"/>
                <w:szCs w:val="18"/>
                <w:lang w:val="sk-SK"/>
              </w:rPr>
            </w:pPr>
          </w:p>
        </w:tc>
      </w:tr>
      <w:tr w:rsidR="002D49B0" w:rsidRPr="00083739" w14:paraId="5026A36E" w14:textId="77777777">
        <w:trPr>
          <w:trHeight w:val="313"/>
          <w:jc w:val="center"/>
        </w:trPr>
        <w:tc>
          <w:tcPr>
            <w:tcW w:w="1028" w:type="dxa"/>
            <w:tcBorders>
              <w:top w:val="nil"/>
              <w:left w:val="single" w:sz="4" w:space="0" w:color="auto"/>
              <w:bottom w:val="single" w:sz="4" w:space="0" w:color="auto"/>
              <w:right w:val="single" w:sz="4" w:space="0" w:color="auto"/>
            </w:tcBorders>
            <w:shd w:val="clear" w:color="auto" w:fill="C6EFCE"/>
            <w:noWrap/>
          </w:tcPr>
          <w:p w14:paraId="0AFCCD1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169</w:t>
            </w:r>
          </w:p>
        </w:tc>
        <w:tc>
          <w:tcPr>
            <w:tcW w:w="1797" w:type="dxa"/>
            <w:tcBorders>
              <w:top w:val="nil"/>
              <w:left w:val="nil"/>
              <w:bottom w:val="single" w:sz="4" w:space="0" w:color="auto"/>
              <w:right w:val="single" w:sz="4" w:space="0" w:color="auto"/>
            </w:tcBorders>
            <w:shd w:val="clear" w:color="auto" w:fill="C6EFCE"/>
            <w:noWrap/>
          </w:tcPr>
          <w:p w14:paraId="1F542D8B" w14:textId="425CD906"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10 – 3.3. Zlepšenie odolnosti, dostupnosti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udržateľnosti zdravotnej starostlivosti – 16753_Zriadenie systémov domácej zdravotnej </w:t>
            </w:r>
            <w:r w:rsidRPr="00083739">
              <w:rPr>
                <w:rFonts w:ascii="Times New Roman" w:hAnsi="Times New Roman" w:cs="Times New Roman"/>
                <w:noProof/>
                <w:lang w:val="sk-SK"/>
              </w:rPr>
              <w:t>starostlivosti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nemocníc</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domácnosti</w:t>
            </w:r>
          </w:p>
        </w:tc>
        <w:tc>
          <w:tcPr>
            <w:tcW w:w="1424" w:type="dxa"/>
            <w:tcBorders>
              <w:top w:val="nil"/>
              <w:left w:val="nil"/>
              <w:bottom w:val="single" w:sz="4" w:space="0" w:color="auto"/>
              <w:right w:val="single" w:sz="4" w:space="0" w:color="auto"/>
            </w:tcBorders>
            <w:shd w:val="clear" w:color="auto" w:fill="C6EFCE"/>
            <w:noWrap/>
          </w:tcPr>
          <w:p w14:paraId="7B63E69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419" w:type="dxa"/>
            <w:tcBorders>
              <w:top w:val="nil"/>
              <w:left w:val="nil"/>
              <w:bottom w:val="single" w:sz="4" w:space="0" w:color="auto"/>
              <w:right w:val="single" w:sz="4" w:space="0" w:color="auto"/>
            </w:tcBorders>
            <w:shd w:val="clear" w:color="auto" w:fill="C6EFCE"/>
            <w:noWrap/>
          </w:tcPr>
          <w:p w14:paraId="4292186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Domáca starostlivosť – otvorenie jednotiek</w:t>
            </w:r>
          </w:p>
        </w:tc>
        <w:tc>
          <w:tcPr>
            <w:tcW w:w="1553" w:type="dxa"/>
            <w:tcBorders>
              <w:top w:val="nil"/>
              <w:left w:val="nil"/>
              <w:bottom w:val="single" w:sz="4" w:space="0" w:color="auto"/>
              <w:right w:val="single" w:sz="4" w:space="0" w:color="auto"/>
            </w:tcBorders>
            <w:shd w:val="clear" w:color="auto" w:fill="C6EFCE"/>
            <w:noWrap/>
          </w:tcPr>
          <w:p w14:paraId="79C00B40" w14:textId="075CF5DB"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Správy potvrdzujúce otvorenie 8 operačných jednotiek poskytujúcich domácu starostlivosť</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dokončenie všetkých príslušných čiastkových projektov</w:t>
            </w:r>
          </w:p>
        </w:tc>
        <w:tc>
          <w:tcPr>
            <w:tcW w:w="866" w:type="dxa"/>
            <w:tcBorders>
              <w:top w:val="nil"/>
              <w:left w:val="nil"/>
              <w:bottom w:val="single" w:sz="4" w:space="0" w:color="auto"/>
              <w:right w:val="single" w:sz="4" w:space="0" w:color="auto"/>
            </w:tcBorders>
            <w:shd w:val="clear" w:color="auto" w:fill="C6EFCE"/>
            <w:noWrap/>
          </w:tcPr>
          <w:p w14:paraId="577C878A"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nil"/>
              <w:left w:val="nil"/>
              <w:bottom w:val="single" w:sz="4" w:space="0" w:color="auto"/>
              <w:right w:val="single" w:sz="4" w:space="0" w:color="auto"/>
            </w:tcBorders>
            <w:shd w:val="clear" w:color="auto" w:fill="C6EFCE"/>
            <w:noWrap/>
          </w:tcPr>
          <w:p w14:paraId="5F68AB8C"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659" w:type="dxa"/>
            <w:tcBorders>
              <w:top w:val="nil"/>
              <w:left w:val="nil"/>
              <w:bottom w:val="single" w:sz="4" w:space="0" w:color="auto"/>
              <w:right w:val="single" w:sz="4" w:space="0" w:color="auto"/>
            </w:tcBorders>
            <w:shd w:val="clear" w:color="auto" w:fill="C6EFCE"/>
            <w:noWrap/>
          </w:tcPr>
          <w:p w14:paraId="4D8A01B6"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0" w:type="dxa"/>
            <w:tcBorders>
              <w:top w:val="nil"/>
              <w:left w:val="nil"/>
              <w:bottom w:val="single" w:sz="4" w:space="0" w:color="auto"/>
              <w:right w:val="single" w:sz="4" w:space="0" w:color="auto"/>
            </w:tcBorders>
            <w:shd w:val="clear" w:color="auto" w:fill="C6EFCE"/>
            <w:noWrap/>
          </w:tcPr>
          <w:p w14:paraId="4270738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709" w:type="dxa"/>
            <w:tcBorders>
              <w:top w:val="nil"/>
              <w:left w:val="nil"/>
              <w:bottom w:val="single" w:sz="4" w:space="0" w:color="auto"/>
              <w:right w:val="single" w:sz="4" w:space="0" w:color="auto"/>
            </w:tcBorders>
            <w:shd w:val="clear" w:color="auto" w:fill="C6EFCE"/>
            <w:noWrap/>
          </w:tcPr>
          <w:p w14:paraId="6F0C64F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4731" w:type="dxa"/>
            <w:tcBorders>
              <w:top w:val="nil"/>
              <w:left w:val="nil"/>
              <w:bottom w:val="single" w:sz="4" w:space="0" w:color="auto"/>
              <w:right w:val="single" w:sz="4" w:space="0" w:color="auto"/>
            </w:tcBorders>
            <w:shd w:val="clear" w:color="auto" w:fill="C6EFCE"/>
            <w:noWrap/>
          </w:tcPr>
          <w:p w14:paraId="498A6C03" w14:textId="72FDCBB4"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Zriadenie 8 personálnych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prevádzkových oddelení poskytujúcich domácu starostlivosť (2</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Aténach, 1</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Solúne, 1</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Alexandroupolise, 1</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Patre, 1</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Ioannine, 1</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Iraklione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1</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Larise)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dokončenie týchto podprojektov:</w:t>
            </w:r>
          </w:p>
          <w:p w14:paraId="111AA58B" w14:textId="77777777"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prieskum „súčasnej situácie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posúde</w:t>
            </w:r>
            <w:r w:rsidRPr="00083739">
              <w:rPr>
                <w:rFonts w:ascii="Times New Roman" w:hAnsi="Times New Roman" w:cs="Times New Roman"/>
                <w:noProof/>
                <w:lang w:val="sk-SK"/>
              </w:rPr>
              <w:t>nia potrieb“ (podprojekt 1)</w:t>
            </w:r>
          </w:p>
          <w:p w14:paraId="6E69C518" w14:textId="57B9E1D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b) aplikácia telemedicíny: zariadenia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vybavenie pre pilotné centrum domácej starostlivosti, ktoré sa má inštalovať</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sprevádzkovať, vrátane odbornej prípravy (podprojekt 2)</w:t>
            </w:r>
          </w:p>
          <w:p w14:paraId="6ABB0B7F" w14:textId="77986374"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C) vnútroštátny register pacientov liečených</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 xml:space="preserve">rámci </w:t>
            </w:r>
            <w:r w:rsidRPr="00083739">
              <w:rPr>
                <w:rFonts w:ascii="Times New Roman" w:hAnsi="Times New Roman" w:cs="Times New Roman"/>
                <w:noProof/>
                <w:lang w:val="sk-SK"/>
              </w:rPr>
              <w:t>domácej starostlivosti (podprojekt 3)</w:t>
            </w:r>
          </w:p>
          <w:p w14:paraId="24B508FD" w14:textId="292DAA4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 stanovenie štandardizovaných terapeutických protokolov, ako aj noriem kvality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bezpečnosti (podprojekt 4)</w:t>
            </w:r>
          </w:p>
        </w:tc>
      </w:tr>
      <w:tr w:rsidR="002D49B0" w:rsidRPr="00083739" w14:paraId="6503DCC0" w14:textId="77777777">
        <w:trPr>
          <w:trHeight w:val="313"/>
          <w:jc w:val="center"/>
        </w:trPr>
        <w:tc>
          <w:tcPr>
            <w:tcW w:w="1028" w:type="dxa"/>
            <w:tcBorders>
              <w:top w:val="nil"/>
              <w:left w:val="single" w:sz="4" w:space="0" w:color="auto"/>
              <w:bottom w:val="single" w:sz="4" w:space="0" w:color="auto"/>
              <w:right w:val="single" w:sz="4" w:space="0" w:color="auto"/>
            </w:tcBorders>
            <w:shd w:val="clear" w:color="auto" w:fill="C6EFCE"/>
            <w:noWrap/>
          </w:tcPr>
          <w:p w14:paraId="7558A4C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170</w:t>
            </w:r>
          </w:p>
        </w:tc>
        <w:tc>
          <w:tcPr>
            <w:tcW w:w="1797" w:type="dxa"/>
            <w:tcBorders>
              <w:top w:val="nil"/>
              <w:left w:val="nil"/>
              <w:bottom w:val="single" w:sz="4" w:space="0" w:color="auto"/>
              <w:right w:val="single" w:sz="4" w:space="0" w:color="auto"/>
            </w:tcBorders>
            <w:shd w:val="clear" w:color="auto" w:fill="C6EFCE"/>
            <w:noWrap/>
          </w:tcPr>
          <w:p w14:paraId="64B63CC2" w14:textId="4D731FBC"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10 – 3.3. Zlepšenie odolnosti, dostupnosti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udržateľnosti zdravotnej starostlivosti – 16795_ </w:t>
            </w:r>
            <w:r w:rsidRPr="00083739">
              <w:rPr>
                <w:rFonts w:ascii="Times New Roman" w:hAnsi="Times New Roman" w:cs="Times New Roman"/>
                <w:noProof/>
                <w:lang w:val="sk-SK"/>
              </w:rPr>
              <w:t>Infraštruktúra</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zdravia</w:t>
            </w:r>
          </w:p>
        </w:tc>
        <w:tc>
          <w:tcPr>
            <w:tcW w:w="1424" w:type="dxa"/>
            <w:tcBorders>
              <w:top w:val="nil"/>
              <w:left w:val="nil"/>
              <w:bottom w:val="single" w:sz="4" w:space="0" w:color="auto"/>
              <w:right w:val="single" w:sz="4" w:space="0" w:color="auto"/>
            </w:tcBorders>
            <w:shd w:val="clear" w:color="auto" w:fill="C6EFCE"/>
            <w:noWrap/>
          </w:tcPr>
          <w:p w14:paraId="3E45CFF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419" w:type="dxa"/>
            <w:tcBorders>
              <w:top w:val="nil"/>
              <w:left w:val="nil"/>
              <w:bottom w:val="single" w:sz="4" w:space="0" w:color="auto"/>
              <w:right w:val="single" w:sz="4" w:space="0" w:color="auto"/>
            </w:tcBorders>
            <w:shd w:val="clear" w:color="auto" w:fill="C6EFCE"/>
            <w:noWrap/>
          </w:tcPr>
          <w:p w14:paraId="1749243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modernizácie infraštruktúry NHS</w:t>
            </w:r>
          </w:p>
        </w:tc>
        <w:tc>
          <w:tcPr>
            <w:tcW w:w="1553" w:type="dxa"/>
            <w:tcBorders>
              <w:top w:val="nil"/>
              <w:left w:val="nil"/>
              <w:bottom w:val="single" w:sz="4" w:space="0" w:color="auto"/>
              <w:right w:val="single" w:sz="4" w:space="0" w:color="auto"/>
            </w:tcBorders>
            <w:shd w:val="clear" w:color="auto" w:fill="C6EFCE"/>
            <w:noWrap/>
          </w:tcPr>
          <w:p w14:paraId="6BFFC6EB" w14:textId="7E8550F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Správa potvrdzujúca dokončenie prác na infraštruktúre pre obnovu nemocnice NHS</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modernizáciu infraštruktúry.</w:t>
            </w:r>
          </w:p>
        </w:tc>
        <w:tc>
          <w:tcPr>
            <w:tcW w:w="866" w:type="dxa"/>
            <w:tcBorders>
              <w:top w:val="nil"/>
              <w:left w:val="nil"/>
              <w:bottom w:val="single" w:sz="4" w:space="0" w:color="auto"/>
              <w:right w:val="single" w:sz="4" w:space="0" w:color="auto"/>
            </w:tcBorders>
            <w:shd w:val="clear" w:color="auto" w:fill="C6EFCE"/>
            <w:noWrap/>
          </w:tcPr>
          <w:p w14:paraId="4E7F1D41"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nil"/>
              <w:left w:val="nil"/>
              <w:bottom w:val="single" w:sz="4" w:space="0" w:color="auto"/>
              <w:right w:val="single" w:sz="4" w:space="0" w:color="auto"/>
            </w:tcBorders>
            <w:shd w:val="clear" w:color="auto" w:fill="C6EFCE"/>
            <w:noWrap/>
          </w:tcPr>
          <w:p w14:paraId="7D92386D"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659" w:type="dxa"/>
            <w:tcBorders>
              <w:top w:val="nil"/>
              <w:left w:val="nil"/>
              <w:bottom w:val="single" w:sz="4" w:space="0" w:color="auto"/>
              <w:right w:val="single" w:sz="4" w:space="0" w:color="auto"/>
            </w:tcBorders>
            <w:shd w:val="clear" w:color="auto" w:fill="C6EFCE"/>
            <w:noWrap/>
          </w:tcPr>
          <w:p w14:paraId="6D8BAA6D"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0" w:type="dxa"/>
            <w:tcBorders>
              <w:top w:val="nil"/>
              <w:left w:val="nil"/>
              <w:bottom w:val="single" w:sz="4" w:space="0" w:color="auto"/>
              <w:right w:val="single" w:sz="4" w:space="0" w:color="auto"/>
            </w:tcBorders>
            <w:shd w:val="clear" w:color="auto" w:fill="C6EFCE"/>
            <w:noWrap/>
          </w:tcPr>
          <w:p w14:paraId="2216091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09" w:type="dxa"/>
            <w:tcBorders>
              <w:top w:val="nil"/>
              <w:left w:val="nil"/>
              <w:bottom w:val="single" w:sz="4" w:space="0" w:color="auto"/>
              <w:right w:val="single" w:sz="4" w:space="0" w:color="auto"/>
            </w:tcBorders>
            <w:shd w:val="clear" w:color="auto" w:fill="C6EFCE"/>
            <w:noWrap/>
          </w:tcPr>
          <w:p w14:paraId="42687E9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4731" w:type="dxa"/>
            <w:tcBorders>
              <w:top w:val="nil"/>
              <w:left w:val="nil"/>
              <w:bottom w:val="single" w:sz="4" w:space="0" w:color="auto"/>
              <w:right w:val="single" w:sz="4" w:space="0" w:color="auto"/>
            </w:tcBorders>
            <w:shd w:val="clear" w:color="auto" w:fill="C6EFCE"/>
            <w:noWrap/>
          </w:tcPr>
          <w:p w14:paraId="3DCC6322" w14:textId="726F387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výstavby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modernizácie </w:t>
            </w:r>
            <w:r w:rsidRPr="00083739">
              <w:rPr>
                <w:rFonts w:ascii="Times New Roman" w:hAnsi="Times New Roman" w:cs="Times New Roman"/>
                <w:noProof/>
                <w:lang w:val="sk-SK"/>
              </w:rPr>
              <w:t>infraštruktúry vrátane elektromechanickej</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elektrotechnickej infraštruktúry, ubytovacích zariadení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infraštruktúry so zariadeniami, zdravotníckeho vybavenia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zariadení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uzatváranie zmlúv na dohody</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úrovni poskytovaných služieb</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správu zariadení pre v</w:t>
            </w:r>
            <w:r w:rsidRPr="00083739">
              <w:rPr>
                <w:rFonts w:ascii="Times New Roman" w:hAnsi="Times New Roman" w:cs="Times New Roman"/>
                <w:noProof/>
                <w:lang w:val="sk-SK"/>
              </w:rPr>
              <w:t>šetkých 80 postihnutých nemocníc</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 xml:space="preserve">siedmich regiónoch. </w:t>
            </w:r>
          </w:p>
        </w:tc>
      </w:tr>
      <w:tr w:rsidR="002D49B0" w:rsidRPr="00083739" w14:paraId="6336E803" w14:textId="77777777">
        <w:trPr>
          <w:trHeight w:val="313"/>
          <w:jc w:val="center"/>
        </w:trPr>
        <w:tc>
          <w:tcPr>
            <w:tcW w:w="1028" w:type="dxa"/>
            <w:tcBorders>
              <w:top w:val="single" w:sz="4" w:space="0" w:color="auto"/>
              <w:left w:val="single" w:sz="4" w:space="0" w:color="auto"/>
              <w:bottom w:val="single" w:sz="4" w:space="0" w:color="auto"/>
              <w:right w:val="single" w:sz="4" w:space="0" w:color="auto"/>
            </w:tcBorders>
            <w:shd w:val="clear" w:color="auto" w:fill="C6EFCE"/>
            <w:noWrap/>
          </w:tcPr>
          <w:p w14:paraId="6038A3F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171</w:t>
            </w:r>
          </w:p>
        </w:tc>
        <w:tc>
          <w:tcPr>
            <w:tcW w:w="1797" w:type="dxa"/>
            <w:tcBorders>
              <w:top w:val="single" w:sz="4" w:space="0" w:color="auto"/>
              <w:left w:val="nil"/>
              <w:bottom w:val="single" w:sz="4" w:space="0" w:color="auto"/>
              <w:right w:val="single" w:sz="4" w:space="0" w:color="auto"/>
            </w:tcBorders>
            <w:shd w:val="clear" w:color="auto" w:fill="C6EFCE"/>
            <w:noWrap/>
          </w:tcPr>
          <w:p w14:paraId="77F6277E" w14:textId="62EB46E9"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10 – 3.3. Zlepšenie odolnosti, dostupnosti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udržateľnosti zdravotnej starostlivosti – 16757_Zriadenie rádioterapeutického centra</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Thorakci „Sotiria“</w:t>
            </w:r>
          </w:p>
          <w:p w14:paraId="39560FE6" w14:textId="725EA464"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Nemocnica pre choroby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Aténach</w:t>
            </w:r>
          </w:p>
        </w:tc>
        <w:tc>
          <w:tcPr>
            <w:tcW w:w="1424" w:type="dxa"/>
            <w:tcBorders>
              <w:top w:val="single" w:sz="4" w:space="0" w:color="auto"/>
              <w:left w:val="nil"/>
              <w:bottom w:val="single" w:sz="4" w:space="0" w:color="auto"/>
              <w:right w:val="single" w:sz="4" w:space="0" w:color="auto"/>
            </w:tcBorders>
            <w:shd w:val="clear" w:color="auto" w:fill="C6EFCE"/>
            <w:noWrap/>
          </w:tcPr>
          <w:p w14:paraId="35ACBF9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419" w:type="dxa"/>
            <w:tcBorders>
              <w:top w:val="single" w:sz="4" w:space="0" w:color="auto"/>
              <w:left w:val="nil"/>
              <w:bottom w:val="single" w:sz="4" w:space="0" w:color="auto"/>
              <w:right w:val="single" w:sz="4" w:space="0" w:color="auto"/>
            </w:tcBorders>
            <w:shd w:val="clear" w:color="auto" w:fill="C6EFCE"/>
            <w:noWrap/>
          </w:tcPr>
          <w:p w14:paraId="3F3F30A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Centrum rádioterapie Sotiria</w:t>
            </w:r>
          </w:p>
          <w:p w14:paraId="7639D82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w:t>
            </w:r>
          </w:p>
        </w:tc>
        <w:tc>
          <w:tcPr>
            <w:tcW w:w="1553" w:type="dxa"/>
            <w:tcBorders>
              <w:top w:val="single" w:sz="4" w:space="0" w:color="auto"/>
              <w:left w:val="nil"/>
              <w:bottom w:val="single" w:sz="4" w:space="0" w:color="auto"/>
              <w:right w:val="single" w:sz="4" w:space="0" w:color="auto"/>
            </w:tcBorders>
            <w:shd w:val="clear" w:color="auto" w:fill="C6EFCE"/>
            <w:noWrap/>
          </w:tcPr>
          <w:p w14:paraId="2426EC99" w14:textId="200E6613"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Správa potvrdzujúca dokončenie infraštruktúrnych prác na zriadenie rádioterapeutického strediska</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Thorakci „Sotiria“</w:t>
            </w:r>
          </w:p>
          <w:p w14:paraId="044F708B" w14:textId="2625216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Nemocnica pre choroby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Aténach.</w:t>
            </w:r>
          </w:p>
        </w:tc>
        <w:tc>
          <w:tcPr>
            <w:tcW w:w="866" w:type="dxa"/>
            <w:tcBorders>
              <w:top w:val="single" w:sz="4" w:space="0" w:color="auto"/>
              <w:left w:val="nil"/>
              <w:bottom w:val="single" w:sz="4" w:space="0" w:color="auto"/>
              <w:right w:val="single" w:sz="4" w:space="0" w:color="auto"/>
            </w:tcBorders>
            <w:shd w:val="clear" w:color="auto" w:fill="C6EFCE"/>
            <w:noWrap/>
          </w:tcPr>
          <w:p w14:paraId="769D387E"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single" w:sz="4" w:space="0" w:color="auto"/>
              <w:left w:val="nil"/>
              <w:bottom w:val="single" w:sz="4" w:space="0" w:color="auto"/>
              <w:right w:val="single" w:sz="4" w:space="0" w:color="auto"/>
            </w:tcBorders>
            <w:shd w:val="clear" w:color="auto" w:fill="C6EFCE"/>
            <w:noWrap/>
          </w:tcPr>
          <w:p w14:paraId="088D3C3A"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659" w:type="dxa"/>
            <w:tcBorders>
              <w:top w:val="single" w:sz="4" w:space="0" w:color="auto"/>
              <w:left w:val="nil"/>
              <w:bottom w:val="single" w:sz="4" w:space="0" w:color="auto"/>
              <w:right w:val="single" w:sz="4" w:space="0" w:color="auto"/>
            </w:tcBorders>
            <w:shd w:val="clear" w:color="auto" w:fill="C6EFCE"/>
            <w:noWrap/>
          </w:tcPr>
          <w:p w14:paraId="2D4C39B0"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0" w:type="dxa"/>
            <w:tcBorders>
              <w:top w:val="single" w:sz="4" w:space="0" w:color="auto"/>
              <w:left w:val="nil"/>
              <w:bottom w:val="single" w:sz="4" w:space="0" w:color="auto"/>
              <w:right w:val="single" w:sz="4" w:space="0" w:color="auto"/>
            </w:tcBorders>
            <w:shd w:val="clear" w:color="auto" w:fill="C6EFCE"/>
            <w:noWrap/>
          </w:tcPr>
          <w:p w14:paraId="604DECC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09" w:type="dxa"/>
            <w:tcBorders>
              <w:top w:val="single" w:sz="4" w:space="0" w:color="auto"/>
              <w:left w:val="nil"/>
              <w:bottom w:val="single" w:sz="4" w:space="0" w:color="auto"/>
              <w:right w:val="single" w:sz="4" w:space="0" w:color="auto"/>
            </w:tcBorders>
            <w:shd w:val="clear" w:color="auto" w:fill="C6EFCE"/>
            <w:noWrap/>
          </w:tcPr>
          <w:p w14:paraId="28807D7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4731" w:type="dxa"/>
            <w:tcBorders>
              <w:top w:val="single" w:sz="4" w:space="0" w:color="auto"/>
              <w:left w:val="nil"/>
              <w:bottom w:val="single" w:sz="4" w:space="0" w:color="auto"/>
              <w:right w:val="single" w:sz="4" w:space="0" w:color="auto"/>
            </w:tcBorders>
            <w:shd w:val="clear" w:color="auto" w:fill="C6EFCE"/>
            <w:noWrap/>
          </w:tcPr>
          <w:p w14:paraId="6459C712" w14:textId="1D699BF9"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Obsadenie</w:t>
            </w:r>
            <w:r w:rsidRPr="00083739">
              <w:rPr>
                <w:rFonts w:ascii="Times New Roman" w:eastAsiaTheme="minorEastAsia" w:hAnsi="Times New Roman" w:cs="Times New Roman"/>
                <w:noProof/>
                <w:lang w:val="sk-SK"/>
              </w:rPr>
              <w:t xml:space="preserve">nového rádioterapeutického </w:t>
            </w:r>
            <w:r w:rsidRPr="00083739">
              <w:rPr>
                <w:rFonts w:ascii="Times New Roman" w:eastAsiaTheme="minorEastAsia" w:hAnsi="Times New Roman" w:cs="Times New Roman"/>
                <w:noProof/>
                <w:lang w:val="sk-SK"/>
              </w:rPr>
              <w:t>oddelenia nemocnice Sotiria</w:t>
            </w:r>
            <w:r w:rsidR="00083739" w:rsidRPr="00083739">
              <w:rPr>
                <w:rFonts w:ascii="Times New Roman" w:eastAsiaTheme="minorEastAsia" w:hAnsi="Times New Roman" w:cs="Times New Roman"/>
                <w:noProof/>
                <w:lang w:val="sk-SK"/>
              </w:rPr>
              <w:t xml:space="preserve"> a </w:t>
            </w:r>
            <w:r w:rsidRPr="00083739">
              <w:rPr>
                <w:rFonts w:ascii="Times New Roman" w:eastAsiaTheme="minorEastAsia" w:hAnsi="Times New Roman" w:cs="Times New Roman"/>
                <w:noProof/>
                <w:lang w:val="sk-SK"/>
              </w:rPr>
              <w:t>novej infraštruktúry budov; modernizácia infraštruktúry;  most prepájajúci budovu „300 Andron (Men)“</w:t>
            </w:r>
            <w:r w:rsidR="00083739" w:rsidRPr="00083739">
              <w:rPr>
                <w:rFonts w:ascii="Times New Roman" w:eastAsiaTheme="minorEastAsia" w:hAnsi="Times New Roman" w:cs="Times New Roman"/>
                <w:noProof/>
                <w:lang w:val="sk-SK"/>
              </w:rPr>
              <w:t xml:space="preserve"> a </w:t>
            </w:r>
            <w:r w:rsidRPr="00083739">
              <w:rPr>
                <w:rFonts w:ascii="Times New Roman" w:eastAsiaTheme="minorEastAsia" w:hAnsi="Times New Roman" w:cs="Times New Roman"/>
                <w:noProof/>
                <w:lang w:val="sk-SK"/>
              </w:rPr>
              <w:t>existujúcu sieť mostov</w:t>
            </w:r>
            <w:r w:rsidR="00083739" w:rsidRPr="00083739">
              <w:rPr>
                <w:rFonts w:ascii="Times New Roman" w:eastAsiaTheme="minorEastAsia" w:hAnsi="Times New Roman" w:cs="Times New Roman"/>
                <w:noProof/>
                <w:lang w:val="sk-SK"/>
              </w:rPr>
              <w:t xml:space="preserve"> s </w:t>
            </w:r>
            <w:r w:rsidRPr="00083739">
              <w:rPr>
                <w:rFonts w:ascii="Times New Roman" w:eastAsiaTheme="minorEastAsia" w:hAnsi="Times New Roman" w:cs="Times New Roman"/>
                <w:noProof/>
                <w:lang w:val="sk-SK"/>
              </w:rPr>
              <w:t>viacúčelovou ICU, „MEGA. Laikon“</w:t>
            </w:r>
            <w:r w:rsidR="00083739" w:rsidRPr="00083739">
              <w:rPr>
                <w:rFonts w:ascii="Times New Roman" w:eastAsiaTheme="minorEastAsia" w:hAnsi="Times New Roman" w:cs="Times New Roman"/>
                <w:noProof/>
                <w:lang w:val="sk-SK"/>
              </w:rPr>
              <w:t xml:space="preserve"> a </w:t>
            </w:r>
            <w:r w:rsidRPr="00083739">
              <w:rPr>
                <w:rFonts w:ascii="Times New Roman" w:eastAsiaTheme="minorEastAsia" w:hAnsi="Times New Roman" w:cs="Times New Roman"/>
                <w:noProof/>
                <w:lang w:val="sk-SK"/>
              </w:rPr>
              <w:t>Surgické oddelenie; renovácia kliník</w:t>
            </w:r>
            <w:r w:rsidR="00083739" w:rsidRPr="00083739">
              <w:rPr>
                <w:rFonts w:ascii="Times New Roman" w:eastAsiaTheme="minorEastAsia" w:hAnsi="Times New Roman" w:cs="Times New Roman"/>
                <w:noProof/>
                <w:lang w:val="sk-SK"/>
              </w:rPr>
              <w:t xml:space="preserve"> a </w:t>
            </w:r>
            <w:r w:rsidRPr="00083739">
              <w:rPr>
                <w:rFonts w:ascii="Times New Roman" w:eastAsiaTheme="minorEastAsia" w:hAnsi="Times New Roman" w:cs="Times New Roman"/>
                <w:noProof/>
                <w:lang w:val="sk-SK"/>
              </w:rPr>
              <w:t>nového laboratórneho odd</w:t>
            </w:r>
            <w:r w:rsidRPr="00083739">
              <w:rPr>
                <w:rFonts w:ascii="Times New Roman" w:eastAsiaTheme="minorEastAsia" w:hAnsi="Times New Roman" w:cs="Times New Roman"/>
                <w:noProof/>
                <w:lang w:val="sk-SK"/>
              </w:rPr>
              <w:t xml:space="preserve">elenia. </w:t>
            </w:r>
          </w:p>
        </w:tc>
      </w:tr>
      <w:tr w:rsidR="002D49B0" w:rsidRPr="00083739" w14:paraId="19E54A6F" w14:textId="77777777">
        <w:trPr>
          <w:trHeight w:val="313"/>
          <w:jc w:val="center"/>
        </w:trPr>
        <w:tc>
          <w:tcPr>
            <w:tcW w:w="1028" w:type="dxa"/>
            <w:tcBorders>
              <w:top w:val="single" w:sz="4" w:space="0" w:color="auto"/>
              <w:left w:val="single" w:sz="4" w:space="0" w:color="auto"/>
              <w:bottom w:val="single" w:sz="4" w:space="0" w:color="auto"/>
              <w:right w:val="single" w:sz="4" w:space="0" w:color="auto"/>
            </w:tcBorders>
            <w:shd w:val="clear" w:color="auto" w:fill="C6EFCE"/>
            <w:noWrap/>
          </w:tcPr>
          <w:p w14:paraId="4C6F993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172</w:t>
            </w:r>
          </w:p>
        </w:tc>
        <w:tc>
          <w:tcPr>
            <w:tcW w:w="1797" w:type="dxa"/>
            <w:tcBorders>
              <w:top w:val="single" w:sz="4" w:space="0" w:color="auto"/>
              <w:left w:val="nil"/>
              <w:bottom w:val="single" w:sz="4" w:space="0" w:color="auto"/>
              <w:right w:val="single" w:sz="4" w:space="0" w:color="auto"/>
            </w:tcBorders>
            <w:shd w:val="clear" w:color="auto" w:fill="C6EFCE"/>
            <w:noWrap/>
          </w:tcPr>
          <w:p w14:paraId="705518C2" w14:textId="3D5ABD54"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10 – 3.3. Zlepšenie odolnosti, dostupnosti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udržateľnosti zdravotnej starostlivosti – 16793_Projekt výstavby budovy určenej na bunkové</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genetické terapie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hematologické klinikové laboratóriá</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 xml:space="preserve">rámci všeobecnej nemocnice Solún </w:t>
            </w:r>
            <w:r w:rsidRPr="00083739">
              <w:rPr>
                <w:rFonts w:ascii="Times New Roman" w:hAnsi="Times New Roman" w:cs="Times New Roman"/>
                <w:noProof/>
                <w:lang w:val="sk-SK"/>
              </w:rPr>
              <w:t>„Papanikolaou“</w:t>
            </w:r>
          </w:p>
        </w:tc>
        <w:tc>
          <w:tcPr>
            <w:tcW w:w="1424" w:type="dxa"/>
            <w:tcBorders>
              <w:top w:val="single" w:sz="4" w:space="0" w:color="auto"/>
              <w:left w:val="nil"/>
              <w:bottom w:val="single" w:sz="4" w:space="0" w:color="auto"/>
              <w:right w:val="single" w:sz="4" w:space="0" w:color="auto"/>
            </w:tcBorders>
            <w:shd w:val="clear" w:color="auto" w:fill="C6EFCE"/>
            <w:noWrap/>
          </w:tcPr>
          <w:p w14:paraId="0BA3C58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419" w:type="dxa"/>
            <w:tcBorders>
              <w:top w:val="single" w:sz="4" w:space="0" w:color="auto"/>
              <w:left w:val="nil"/>
              <w:bottom w:val="single" w:sz="4" w:space="0" w:color="auto"/>
              <w:right w:val="single" w:sz="4" w:space="0" w:color="auto"/>
            </w:tcBorders>
            <w:shd w:val="clear" w:color="auto" w:fill="C6EFCE"/>
            <w:noWrap/>
          </w:tcPr>
          <w:p w14:paraId="24DCEFF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nemocnice Papanikolau</w:t>
            </w:r>
          </w:p>
        </w:tc>
        <w:tc>
          <w:tcPr>
            <w:tcW w:w="1553" w:type="dxa"/>
            <w:tcBorders>
              <w:top w:val="single" w:sz="4" w:space="0" w:color="auto"/>
              <w:left w:val="nil"/>
              <w:bottom w:val="single" w:sz="4" w:space="0" w:color="auto"/>
              <w:right w:val="single" w:sz="4" w:space="0" w:color="auto"/>
            </w:tcBorders>
            <w:shd w:val="clear" w:color="auto" w:fill="C6EFCE"/>
            <w:noWrap/>
          </w:tcPr>
          <w:p w14:paraId="4AEE5AC7" w14:textId="62C51330"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Správa potvrdzujúca dokončenie prác na infraštruktúre na výstavbu budovy určenej na bunkovú</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génovú terapiu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hematologické klinikové laboratóriá</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 xml:space="preserve">rámci všeobecnej nemocnice Solún „Papanikolaou“. </w:t>
            </w:r>
          </w:p>
        </w:tc>
        <w:tc>
          <w:tcPr>
            <w:tcW w:w="866" w:type="dxa"/>
            <w:tcBorders>
              <w:top w:val="single" w:sz="4" w:space="0" w:color="auto"/>
              <w:left w:val="nil"/>
              <w:bottom w:val="single" w:sz="4" w:space="0" w:color="auto"/>
              <w:right w:val="single" w:sz="4" w:space="0" w:color="auto"/>
            </w:tcBorders>
            <w:shd w:val="clear" w:color="auto" w:fill="C6EFCE"/>
            <w:noWrap/>
          </w:tcPr>
          <w:p w14:paraId="351D56CA"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single" w:sz="4" w:space="0" w:color="auto"/>
              <w:left w:val="nil"/>
              <w:bottom w:val="single" w:sz="4" w:space="0" w:color="auto"/>
              <w:right w:val="single" w:sz="4" w:space="0" w:color="auto"/>
            </w:tcBorders>
            <w:shd w:val="clear" w:color="auto" w:fill="C6EFCE"/>
            <w:noWrap/>
          </w:tcPr>
          <w:p w14:paraId="41975CB3"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659" w:type="dxa"/>
            <w:tcBorders>
              <w:top w:val="single" w:sz="4" w:space="0" w:color="auto"/>
              <w:left w:val="nil"/>
              <w:bottom w:val="single" w:sz="4" w:space="0" w:color="auto"/>
              <w:right w:val="single" w:sz="4" w:space="0" w:color="auto"/>
            </w:tcBorders>
            <w:shd w:val="clear" w:color="auto" w:fill="C6EFCE"/>
            <w:noWrap/>
          </w:tcPr>
          <w:p w14:paraId="66CC0648"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0" w:type="dxa"/>
            <w:tcBorders>
              <w:top w:val="single" w:sz="4" w:space="0" w:color="auto"/>
              <w:left w:val="nil"/>
              <w:bottom w:val="single" w:sz="4" w:space="0" w:color="auto"/>
              <w:right w:val="single" w:sz="4" w:space="0" w:color="auto"/>
            </w:tcBorders>
            <w:shd w:val="clear" w:color="auto" w:fill="C6EFCE"/>
            <w:noWrap/>
          </w:tcPr>
          <w:p w14:paraId="3C19EE6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09" w:type="dxa"/>
            <w:tcBorders>
              <w:top w:val="single" w:sz="4" w:space="0" w:color="auto"/>
              <w:left w:val="nil"/>
              <w:bottom w:val="single" w:sz="4" w:space="0" w:color="auto"/>
              <w:right w:val="single" w:sz="4" w:space="0" w:color="auto"/>
            </w:tcBorders>
            <w:shd w:val="clear" w:color="auto" w:fill="C6EFCE"/>
            <w:noWrap/>
          </w:tcPr>
          <w:p w14:paraId="49DB644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4731" w:type="dxa"/>
            <w:tcBorders>
              <w:top w:val="single" w:sz="4" w:space="0" w:color="auto"/>
              <w:left w:val="nil"/>
              <w:bottom w:val="single" w:sz="4" w:space="0" w:color="auto"/>
              <w:right w:val="single" w:sz="4" w:space="0" w:color="auto"/>
            </w:tcBorders>
            <w:shd w:val="clear" w:color="auto" w:fill="C6EFCE"/>
            <w:noWrap/>
          </w:tcPr>
          <w:p w14:paraId="00A375A7" w14:textId="19359CC0"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novej trojposchodovej budovy na umiestnenie všetkých špecializovaných laboratórií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špeciálnej ošetrovateľskej jednotky; reštrukturalizácia prízemia existujúcej budovy tak, aby mal dostatočný priestor pre ambulantné kliniky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dennú starostlivosť pre nemocnicu Papanikolaou,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dosiahnutie dopytu po primárnej energii, ktorý je aspoň</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20</w:t>
            </w:r>
            <w:r w:rsidR="00083739" w:rsidRPr="00083739">
              <w:rPr>
                <w:rFonts w:ascii="Times New Roman" w:hAnsi="Times New Roman" w:cs="Times New Roman"/>
                <w:noProof/>
                <w:lang w:val="sk-SK"/>
              </w:rPr>
              <w:t> %</w:t>
            </w:r>
            <w:r w:rsidRPr="00083739">
              <w:rPr>
                <w:rFonts w:ascii="Times New Roman" w:hAnsi="Times New Roman" w:cs="Times New Roman"/>
                <w:noProof/>
                <w:lang w:val="sk-SK"/>
              </w:rPr>
              <w:t xml:space="preserve"> nižší ako požiadavka budovy</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takmer nulovou spotrebou energie (budova</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takmer nulovou spotrebou energie, vnútroštátne smernice).</w:t>
            </w:r>
          </w:p>
        </w:tc>
      </w:tr>
      <w:tr w:rsidR="002D49B0" w:rsidRPr="00083739" w14:paraId="40919628" w14:textId="77777777">
        <w:trPr>
          <w:trHeight w:val="313"/>
          <w:jc w:val="center"/>
        </w:trPr>
        <w:tc>
          <w:tcPr>
            <w:tcW w:w="1028" w:type="dxa"/>
            <w:tcBorders>
              <w:top w:val="single" w:sz="4" w:space="0" w:color="auto"/>
              <w:left w:val="single" w:sz="4" w:space="0" w:color="auto"/>
              <w:bottom w:val="single" w:sz="4" w:space="0" w:color="auto"/>
              <w:right w:val="single" w:sz="4" w:space="0" w:color="auto"/>
            </w:tcBorders>
            <w:shd w:val="clear" w:color="auto" w:fill="C6EFCE"/>
            <w:noWrap/>
          </w:tcPr>
          <w:p w14:paraId="0C6531B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173</w:t>
            </w:r>
          </w:p>
        </w:tc>
        <w:tc>
          <w:tcPr>
            <w:tcW w:w="1797" w:type="dxa"/>
            <w:tcBorders>
              <w:top w:val="single" w:sz="4" w:space="0" w:color="auto"/>
              <w:left w:val="nil"/>
              <w:bottom w:val="single" w:sz="4" w:space="0" w:color="auto"/>
              <w:right w:val="single" w:sz="4" w:space="0" w:color="auto"/>
            </w:tcBorders>
            <w:shd w:val="clear" w:color="auto" w:fill="C6EFCE"/>
            <w:noWrap/>
          </w:tcPr>
          <w:p w14:paraId="2131BB20" w14:textId="25DCD3D9"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10 –</w:t>
            </w:r>
            <w:r w:rsidRPr="00083739">
              <w:rPr>
                <w:rFonts w:ascii="Times New Roman" w:hAnsi="Times New Roman" w:cs="Times New Roman"/>
                <w:noProof/>
                <w:lang w:val="sk-SK"/>
              </w:rPr>
              <w:t xml:space="preserve"> 3.3. Zlepšenie odolnosti, dostupnosti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udržateľnosti zdravotnej starostlivosti – 16752_Digitálna transformácia zdravia (DigHealth)</w:t>
            </w:r>
          </w:p>
          <w:p w14:paraId="0BE470D7" w14:textId="77777777" w:rsidR="002D49B0" w:rsidRPr="00083739" w:rsidRDefault="002D49B0">
            <w:pPr>
              <w:spacing w:before="120" w:after="120" w:line="240" w:lineRule="auto"/>
              <w:jc w:val="center"/>
              <w:rPr>
                <w:rFonts w:ascii="Times New Roman" w:eastAsia="Times New Roman" w:hAnsi="Times New Roman" w:cs="Times New Roman"/>
                <w:noProof/>
                <w:sz w:val="18"/>
                <w:szCs w:val="18"/>
                <w:lang w:val="sk-SK"/>
              </w:rPr>
            </w:pPr>
          </w:p>
        </w:tc>
        <w:tc>
          <w:tcPr>
            <w:tcW w:w="1424" w:type="dxa"/>
            <w:tcBorders>
              <w:top w:val="single" w:sz="4" w:space="0" w:color="auto"/>
              <w:left w:val="nil"/>
              <w:bottom w:val="single" w:sz="4" w:space="0" w:color="auto"/>
              <w:right w:val="single" w:sz="4" w:space="0" w:color="auto"/>
            </w:tcBorders>
            <w:shd w:val="clear" w:color="auto" w:fill="C6EFCE"/>
            <w:noWrap/>
          </w:tcPr>
          <w:p w14:paraId="55C9986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419" w:type="dxa"/>
            <w:tcBorders>
              <w:top w:val="single" w:sz="4" w:space="0" w:color="auto"/>
              <w:left w:val="nil"/>
              <w:bottom w:val="single" w:sz="4" w:space="0" w:color="auto"/>
              <w:right w:val="single" w:sz="4" w:space="0" w:color="auto"/>
            </w:tcBorders>
            <w:shd w:val="clear" w:color="auto" w:fill="C6EFCE"/>
            <w:noWrap/>
          </w:tcPr>
          <w:p w14:paraId="31E84A4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Digitálna transformácia – všetky čiastkové projekty sú dokončené</w:t>
            </w:r>
          </w:p>
        </w:tc>
        <w:tc>
          <w:tcPr>
            <w:tcW w:w="1553" w:type="dxa"/>
            <w:tcBorders>
              <w:top w:val="single" w:sz="4" w:space="0" w:color="auto"/>
              <w:left w:val="nil"/>
              <w:bottom w:val="single" w:sz="4" w:space="0" w:color="auto"/>
              <w:right w:val="single" w:sz="4" w:space="0" w:color="auto"/>
            </w:tcBorders>
            <w:shd w:val="clear" w:color="auto" w:fill="C6EFCE"/>
            <w:noWrap/>
          </w:tcPr>
          <w:p w14:paraId="37772179" w14:textId="78E634B8"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Osvedčenie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dokončení vydané</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súlade</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vnútroštátnymi právnymi predpismi</w:t>
            </w:r>
          </w:p>
          <w:p w14:paraId="704BECF4"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66" w:type="dxa"/>
            <w:tcBorders>
              <w:top w:val="single" w:sz="4" w:space="0" w:color="auto"/>
              <w:left w:val="nil"/>
              <w:bottom w:val="single" w:sz="4" w:space="0" w:color="auto"/>
              <w:right w:val="single" w:sz="4" w:space="0" w:color="auto"/>
            </w:tcBorders>
            <w:shd w:val="clear" w:color="auto" w:fill="C6EFCE"/>
            <w:noWrap/>
          </w:tcPr>
          <w:p w14:paraId="2BCE5037"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single" w:sz="4" w:space="0" w:color="auto"/>
              <w:left w:val="nil"/>
              <w:bottom w:val="single" w:sz="4" w:space="0" w:color="auto"/>
              <w:right w:val="single" w:sz="4" w:space="0" w:color="auto"/>
            </w:tcBorders>
            <w:shd w:val="clear" w:color="auto" w:fill="C6EFCE"/>
            <w:noWrap/>
          </w:tcPr>
          <w:p w14:paraId="24E82653"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659" w:type="dxa"/>
            <w:tcBorders>
              <w:top w:val="single" w:sz="4" w:space="0" w:color="auto"/>
              <w:left w:val="nil"/>
              <w:bottom w:val="single" w:sz="4" w:space="0" w:color="auto"/>
              <w:right w:val="single" w:sz="4" w:space="0" w:color="auto"/>
            </w:tcBorders>
            <w:shd w:val="clear" w:color="auto" w:fill="C6EFCE"/>
            <w:noWrap/>
          </w:tcPr>
          <w:p w14:paraId="7912F78B"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0" w:type="dxa"/>
            <w:tcBorders>
              <w:top w:val="single" w:sz="4" w:space="0" w:color="auto"/>
              <w:left w:val="nil"/>
              <w:bottom w:val="single" w:sz="4" w:space="0" w:color="auto"/>
              <w:right w:val="single" w:sz="4" w:space="0" w:color="auto"/>
            </w:tcBorders>
            <w:shd w:val="clear" w:color="auto" w:fill="C6EFCE"/>
            <w:noWrap/>
          </w:tcPr>
          <w:p w14:paraId="67AF94F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09" w:type="dxa"/>
            <w:tcBorders>
              <w:top w:val="single" w:sz="4" w:space="0" w:color="auto"/>
              <w:left w:val="nil"/>
              <w:bottom w:val="single" w:sz="4" w:space="0" w:color="auto"/>
              <w:right w:val="single" w:sz="4" w:space="0" w:color="auto"/>
            </w:tcBorders>
            <w:shd w:val="clear" w:color="auto" w:fill="C6EFCE"/>
            <w:noWrap/>
          </w:tcPr>
          <w:p w14:paraId="55F1CEB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4731" w:type="dxa"/>
            <w:tcBorders>
              <w:top w:val="single" w:sz="4" w:space="0" w:color="auto"/>
              <w:left w:val="nil"/>
              <w:bottom w:val="single" w:sz="4" w:space="0" w:color="auto"/>
              <w:right w:val="single" w:sz="4" w:space="0" w:color="auto"/>
            </w:tcBorders>
            <w:shd w:val="clear" w:color="auto" w:fill="C6EFCE"/>
            <w:noWrap/>
          </w:tcPr>
          <w:p w14:paraId="38945BA2" w14:textId="4D4DDD88"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Ukončenie:</w:t>
            </w:r>
          </w:p>
          <w:p w14:paraId="252F59BE" w14:textId="77777777" w:rsidR="00083739" w:rsidRPr="00083739" w:rsidRDefault="00BF4125">
            <w:pPr>
              <w:pStyle w:val="P68B1DB1-Normal10"/>
              <w:spacing w:after="0" w:line="240" w:lineRule="auto"/>
              <w:rPr>
                <w:rFonts w:ascii="Times New Roman" w:eastAsiaTheme="minorEastAsia" w:hAnsi="Times New Roman" w:cs="Times New Roman"/>
                <w:noProof/>
                <w:lang w:val="sk-SK"/>
              </w:rPr>
            </w:pPr>
            <w:r w:rsidRPr="00083739">
              <w:rPr>
                <w:rFonts w:ascii="Times New Roman" w:hAnsi="Times New Roman" w:cs="Times New Roman"/>
                <w:noProof/>
                <w:lang w:val="sk-SK"/>
              </w:rPr>
              <w:t xml:space="preserve">a) národný digitálny zdravotný záznam pacienta </w:t>
            </w:r>
            <w:r w:rsidRPr="00083739">
              <w:rPr>
                <w:rFonts w:ascii="Times New Roman" w:eastAsiaTheme="minorEastAsia" w:hAnsi="Times New Roman" w:cs="Times New Roman"/>
                <w:noProof/>
                <w:lang w:val="sk-SK"/>
              </w:rPr>
              <w:t xml:space="preserve"> vrátane: Základná platforma na záznamy</w:t>
            </w:r>
            <w:r w:rsidR="00083739" w:rsidRPr="00083739">
              <w:rPr>
                <w:rFonts w:ascii="Times New Roman" w:eastAsiaTheme="minorEastAsia" w:hAnsi="Times New Roman" w:cs="Times New Roman"/>
                <w:noProof/>
                <w:lang w:val="sk-SK"/>
              </w:rPr>
              <w:t xml:space="preserve"> o </w:t>
            </w:r>
            <w:r w:rsidRPr="00083739">
              <w:rPr>
                <w:rFonts w:ascii="Times New Roman" w:eastAsiaTheme="minorEastAsia" w:hAnsi="Times New Roman" w:cs="Times New Roman"/>
                <w:noProof/>
                <w:lang w:val="sk-SK"/>
              </w:rPr>
              <w:t>pacientoch, subsystém identifikácie</w:t>
            </w:r>
            <w:r w:rsidR="00083739" w:rsidRPr="00083739">
              <w:rPr>
                <w:rFonts w:ascii="Times New Roman" w:eastAsiaTheme="minorEastAsia" w:hAnsi="Times New Roman" w:cs="Times New Roman"/>
                <w:noProof/>
                <w:lang w:val="sk-SK"/>
              </w:rPr>
              <w:t xml:space="preserve"> a </w:t>
            </w:r>
            <w:r w:rsidRPr="00083739">
              <w:rPr>
                <w:rFonts w:ascii="Times New Roman" w:eastAsiaTheme="minorEastAsia" w:hAnsi="Times New Roman" w:cs="Times New Roman"/>
                <w:noProof/>
                <w:lang w:val="sk-SK"/>
              </w:rPr>
              <w:t>autentifikácie používateľa, internetový portál systému, sub</w:t>
            </w:r>
            <w:r w:rsidRPr="00083739">
              <w:rPr>
                <w:rFonts w:ascii="Times New Roman" w:eastAsiaTheme="minorEastAsia" w:hAnsi="Times New Roman" w:cs="Times New Roman"/>
                <w:noProof/>
                <w:lang w:val="sk-SK"/>
              </w:rPr>
              <w:t>systém interoperability používateľského rozhrania používateľského rozhrania, integrácia údajov</w:t>
            </w:r>
            <w:r w:rsidR="00083739" w:rsidRPr="00083739">
              <w:rPr>
                <w:rFonts w:ascii="Times New Roman" w:eastAsiaTheme="minorEastAsia" w:hAnsi="Times New Roman" w:cs="Times New Roman"/>
                <w:noProof/>
                <w:lang w:val="sk-SK"/>
              </w:rPr>
              <w:t xml:space="preserve"> o </w:t>
            </w:r>
            <w:r w:rsidRPr="00083739">
              <w:rPr>
                <w:rFonts w:ascii="Times New Roman" w:eastAsiaTheme="minorEastAsia" w:hAnsi="Times New Roman" w:cs="Times New Roman"/>
                <w:noProof/>
                <w:lang w:val="sk-SK"/>
              </w:rPr>
              <w:t>primárnej zdravotnej starostlivosti, aplikácia súhlasu pacienta, subsystém BI</w:t>
            </w:r>
          </w:p>
          <w:p w14:paraId="2E8C3A2F" w14:textId="464D7932" w:rsidR="002D49B0" w:rsidRPr="00083739" w:rsidRDefault="002D49B0">
            <w:pPr>
              <w:spacing w:after="0" w:line="240" w:lineRule="auto"/>
              <w:rPr>
                <w:rFonts w:ascii="Times New Roman" w:hAnsi="Times New Roman" w:cs="Times New Roman"/>
                <w:noProof/>
                <w:color w:val="006100"/>
                <w:sz w:val="18"/>
                <w:szCs w:val="18"/>
                <w:lang w:val="sk-SK"/>
              </w:rPr>
            </w:pPr>
          </w:p>
          <w:p w14:paraId="6390D0C0" w14:textId="7839B720" w:rsidR="002D49B0" w:rsidRPr="00083739" w:rsidRDefault="00BF4125">
            <w:pPr>
              <w:pStyle w:val="P68B1DB1-Normal10"/>
              <w:spacing w:after="0" w:line="240" w:lineRule="auto"/>
              <w:rPr>
                <w:rFonts w:ascii="Times New Roman" w:hAnsi="Times New Roman" w:cs="Times New Roman"/>
                <w:noProof/>
                <w:lang w:val="sk-SK"/>
              </w:rPr>
            </w:pPr>
            <w:r w:rsidRPr="00083739">
              <w:rPr>
                <w:rFonts w:ascii="Times New Roman" w:hAnsi="Times New Roman" w:cs="Times New Roman"/>
                <w:noProof/>
                <w:lang w:val="sk-SK"/>
              </w:rPr>
              <w:t xml:space="preserve">b) program digitálnej transformácie na liečbu rakoviny vrátane: registre </w:t>
            </w:r>
            <w:r w:rsidRPr="00083739">
              <w:rPr>
                <w:rFonts w:ascii="Times New Roman" w:hAnsi="Times New Roman" w:cs="Times New Roman"/>
                <w:noProof/>
                <w:lang w:val="sk-SK"/>
              </w:rPr>
              <w:t>pacientov, informačný systém liečby rakoviny (vrátane terapeutických protokolov pre chemoterapiu,</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ktorých 36 sa už vyvíja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inštaluje systém najmenej</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8 nemocniciach), zavedenie/zavedenie národného onkologického registra,</w:t>
            </w:r>
          </w:p>
          <w:p w14:paraId="39AC948A" w14:textId="1AF8F0F2" w:rsidR="002D49B0" w:rsidRPr="00083739" w:rsidRDefault="002D49B0">
            <w:pPr>
              <w:spacing w:after="0" w:line="240" w:lineRule="auto"/>
              <w:rPr>
                <w:rFonts w:ascii="Times New Roman" w:hAnsi="Times New Roman" w:cs="Times New Roman"/>
                <w:noProof/>
                <w:color w:val="006100"/>
                <w:sz w:val="18"/>
                <w:szCs w:val="18"/>
                <w:lang w:val="sk-SK"/>
              </w:rPr>
            </w:pPr>
          </w:p>
          <w:p w14:paraId="27531113" w14:textId="77777777" w:rsidR="00083739" w:rsidRPr="00083739" w:rsidRDefault="00BF4125">
            <w:pPr>
              <w:pStyle w:val="P68B1DB1-Normal10"/>
              <w:spacing w:after="0" w:line="240" w:lineRule="auto"/>
              <w:rPr>
                <w:rFonts w:ascii="Times New Roman" w:hAnsi="Times New Roman" w:cs="Times New Roman"/>
                <w:noProof/>
                <w:lang w:val="sk-SK"/>
              </w:rPr>
            </w:pPr>
            <w:r w:rsidRPr="00083739">
              <w:rPr>
                <w:rFonts w:ascii="Times New Roman" w:hAnsi="Times New Roman" w:cs="Times New Roman"/>
                <w:noProof/>
                <w:lang w:val="sk-SK"/>
              </w:rPr>
              <w:t>C) rozšírenie kapacity národne</w:t>
            </w:r>
            <w:r w:rsidRPr="00083739">
              <w:rPr>
                <w:rFonts w:ascii="Times New Roman" w:hAnsi="Times New Roman" w:cs="Times New Roman"/>
                <w:noProof/>
                <w:lang w:val="sk-SK"/>
              </w:rPr>
              <w:t>j siete telemedicíny vrátane telemedicínskych staníc, novej infraštruktúry, nástrojov</w:t>
            </w:r>
          </w:p>
          <w:p w14:paraId="0F6A0647" w14:textId="24929B0D" w:rsidR="002D49B0" w:rsidRPr="00083739" w:rsidRDefault="002D49B0">
            <w:pPr>
              <w:spacing w:after="0" w:line="240" w:lineRule="auto"/>
              <w:rPr>
                <w:rFonts w:ascii="Times New Roman" w:hAnsi="Times New Roman" w:cs="Times New Roman"/>
                <w:noProof/>
                <w:color w:val="006100"/>
                <w:sz w:val="18"/>
                <w:szCs w:val="18"/>
                <w:lang w:val="sk-SK"/>
              </w:rPr>
            </w:pPr>
          </w:p>
          <w:p w14:paraId="235C983F" w14:textId="77777777" w:rsidR="00083739" w:rsidRPr="00083739" w:rsidRDefault="00BF4125">
            <w:pPr>
              <w:pStyle w:val="P68B1DB1-Normal10"/>
              <w:spacing w:after="0" w:line="240" w:lineRule="auto"/>
              <w:rPr>
                <w:rFonts w:ascii="Times New Roman" w:hAnsi="Times New Roman" w:cs="Times New Roman"/>
                <w:noProof/>
                <w:lang w:val="sk-SK"/>
              </w:rPr>
            </w:pPr>
            <w:r w:rsidRPr="00083739">
              <w:rPr>
                <w:rFonts w:ascii="Times New Roman" w:hAnsi="Times New Roman" w:cs="Times New Roman"/>
                <w:noProof/>
                <w:lang w:val="sk-SK"/>
              </w:rPr>
              <w:t>d) digitálna pripravenosť nemocníc vrátane: zriadenie systémov elektronických zdravotných záznamov, súpis zdravotníckeho vybavenia, interoperabilita DRG, elektronické ob</w:t>
            </w:r>
            <w:r w:rsidRPr="00083739">
              <w:rPr>
                <w:rFonts w:ascii="Times New Roman" w:hAnsi="Times New Roman" w:cs="Times New Roman"/>
                <w:noProof/>
                <w:lang w:val="sk-SK"/>
              </w:rPr>
              <w:t>jednávky pre hospitalizovaných pacientov</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cieľom uplatňovať ich</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existujúcich terapeutických protokoloch</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nemocničnom prostredí, implementácia interoperability</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národným systémom elektronického vymenúvania, digitálna modernizácia národného centra núdzo</w:t>
            </w:r>
            <w:r w:rsidRPr="00083739">
              <w:rPr>
                <w:rFonts w:ascii="Times New Roman" w:hAnsi="Times New Roman" w:cs="Times New Roman"/>
                <w:noProof/>
                <w:lang w:val="sk-SK"/>
              </w:rPr>
              <w:t>vej pomoci (EKAB)</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agentúry pre lieky (EOF),</w:t>
            </w:r>
          </w:p>
          <w:p w14:paraId="0A4C3C70" w14:textId="38C2C717" w:rsidR="002D49B0" w:rsidRPr="00083739" w:rsidRDefault="002D49B0">
            <w:pPr>
              <w:spacing w:after="0" w:line="240" w:lineRule="auto"/>
              <w:rPr>
                <w:rFonts w:ascii="Times New Roman" w:hAnsi="Times New Roman" w:cs="Times New Roman"/>
                <w:noProof/>
                <w:color w:val="006100"/>
                <w:sz w:val="18"/>
                <w:szCs w:val="18"/>
                <w:lang w:val="sk-SK"/>
              </w:rPr>
            </w:pPr>
          </w:p>
          <w:p w14:paraId="5B64AEC5" w14:textId="00C6C5EC"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e) integrovaný informačný systém EOPYY (Národná organizácia na poskytovanie zdravotníckych služieb), riadenie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monitorovanie výdavkov, digitálne služby pre poskytovateľov zdravotnej starostlivosti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občanov, </w:t>
            </w:r>
            <w:r w:rsidRPr="00083739">
              <w:rPr>
                <w:rFonts w:ascii="Times New Roman" w:hAnsi="Times New Roman" w:cs="Times New Roman"/>
                <w:noProof/>
                <w:lang w:val="sk-SK"/>
              </w:rPr>
              <w:t>správa údajov, analýza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interoperabilita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nákup 250 licencií na plánovanie podnikových zdrojov (ERP) pre systém finančného riadenia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zúčtovanie</w:t>
            </w:r>
          </w:p>
        </w:tc>
      </w:tr>
    </w:tbl>
    <w:p w14:paraId="5C6054FB" w14:textId="77777777" w:rsidR="002D49B0" w:rsidRPr="00083739" w:rsidRDefault="002D49B0">
      <w:pPr>
        <w:spacing w:before="120" w:after="120" w:line="240" w:lineRule="auto"/>
        <w:jc w:val="both"/>
        <w:rPr>
          <w:rFonts w:ascii="Times New Roman" w:hAnsi="Times New Roman" w:cs="Times New Roman"/>
          <w:noProof/>
          <w:sz w:val="24"/>
          <w:lang w:val="sk-SK"/>
        </w:rPr>
        <w:sectPr w:rsidR="002D49B0" w:rsidRPr="00083739" w:rsidSect="00271D33">
          <w:headerReference w:type="even" r:id="rId181"/>
          <w:headerReference w:type="default" r:id="rId182"/>
          <w:footerReference w:type="even" r:id="rId183"/>
          <w:footerReference w:type="default" r:id="rId184"/>
          <w:headerReference w:type="first" r:id="rId185"/>
          <w:footerReference w:type="first" r:id="rId186"/>
          <w:pgSz w:w="16839" w:h="11907" w:orient="landscape"/>
          <w:pgMar w:top="720" w:right="720" w:bottom="720" w:left="720" w:header="709" w:footer="217" w:gutter="0"/>
          <w:cols w:space="720"/>
          <w:docGrid w:linePitch="360"/>
        </w:sectPr>
      </w:pPr>
    </w:p>
    <w:p w14:paraId="76A8F673" w14:textId="2FCF02B1" w:rsidR="002D49B0" w:rsidRPr="00083739" w:rsidRDefault="00BF4125">
      <w:pPr>
        <w:pStyle w:val="P68B1DB1-Normal2"/>
        <w:spacing w:before="120" w:after="120" w:line="240" w:lineRule="auto"/>
        <w:ind w:firstLine="6"/>
        <w:jc w:val="both"/>
        <w:outlineLvl w:val="3"/>
        <w:rPr>
          <w:rFonts w:cs="Times New Roman"/>
          <w:noProof/>
          <w:szCs w:val="24"/>
          <w:lang w:val="sk-SK"/>
        </w:rPr>
      </w:pPr>
      <w:r w:rsidRPr="00083739">
        <w:rPr>
          <w:rFonts w:cs="Times New Roman"/>
          <w:noProof/>
          <w:lang w:val="sk-SK"/>
        </w:rPr>
        <w:t>K. KOMPONENT 3.4: ZLEPŠENIE PRÍSTUPU</w:t>
      </w:r>
      <w:r w:rsidR="00083739" w:rsidRPr="00083739">
        <w:rPr>
          <w:rFonts w:cs="Times New Roman"/>
          <w:noProof/>
          <w:lang w:val="sk-SK"/>
        </w:rPr>
        <w:t xml:space="preserve"> K </w:t>
      </w:r>
      <w:r w:rsidRPr="00083739">
        <w:rPr>
          <w:rFonts w:cs="Times New Roman"/>
          <w:noProof/>
          <w:lang w:val="sk-SK"/>
        </w:rPr>
        <w:t xml:space="preserve">ÚČINNÝM </w:t>
      </w:r>
      <w:r w:rsidRPr="00083739">
        <w:rPr>
          <w:rFonts w:cs="Times New Roman"/>
          <w:noProof/>
          <w:lang w:val="sk-SK"/>
        </w:rPr>
        <w:t>A INKLUZÍVNYM SOCIÁLNYM POLITIKÁM</w:t>
      </w:r>
    </w:p>
    <w:p w14:paraId="4B038EBD" w14:textId="04AC747C" w:rsidR="002D49B0" w:rsidRPr="00083739" w:rsidRDefault="00BF4125">
      <w:pPr>
        <w:pStyle w:val="P68B1DB1-Normal4"/>
        <w:spacing w:before="120" w:after="120" w:line="240" w:lineRule="auto"/>
        <w:jc w:val="both"/>
        <w:rPr>
          <w:rFonts w:cs="Times New Roman"/>
          <w:noProof/>
          <w:szCs w:val="24"/>
          <w:lang w:val="sk-SK"/>
        </w:rPr>
      </w:pPr>
      <w:r w:rsidRPr="00083739">
        <w:rPr>
          <w:rFonts w:cs="Times New Roman"/>
          <w:noProof/>
          <w:lang w:val="sk-SK"/>
        </w:rPr>
        <w:t>Cieľom tejto zložky gréckeho plánu obnovy</w:t>
      </w:r>
      <w:r w:rsidR="00083739" w:rsidRPr="00083739">
        <w:rPr>
          <w:rFonts w:cs="Times New Roman"/>
          <w:noProof/>
          <w:lang w:val="sk-SK"/>
        </w:rPr>
        <w:t xml:space="preserve"> a </w:t>
      </w:r>
      <w:r w:rsidRPr="00083739">
        <w:rPr>
          <w:rFonts w:cs="Times New Roman"/>
          <w:noProof/>
          <w:lang w:val="sk-SK"/>
        </w:rPr>
        <w:t>riešenia krízových situácií je podporovať sociálne začlenenie</w:t>
      </w:r>
      <w:r w:rsidR="00083739" w:rsidRPr="00083739">
        <w:rPr>
          <w:rFonts w:cs="Times New Roman"/>
          <w:noProof/>
          <w:lang w:val="sk-SK"/>
        </w:rPr>
        <w:t xml:space="preserve"> s </w:t>
      </w:r>
      <w:r w:rsidRPr="00083739">
        <w:rPr>
          <w:rFonts w:cs="Times New Roman"/>
          <w:noProof/>
          <w:lang w:val="sk-SK"/>
        </w:rPr>
        <w:t>osobitným zameraním na zraniteľné skupiny</w:t>
      </w:r>
      <w:r w:rsidR="00083739" w:rsidRPr="00083739">
        <w:rPr>
          <w:rFonts w:cs="Times New Roman"/>
          <w:noProof/>
          <w:lang w:val="sk-SK"/>
        </w:rPr>
        <w:t xml:space="preserve"> a </w:t>
      </w:r>
      <w:r w:rsidRPr="00083739">
        <w:rPr>
          <w:rFonts w:cs="Times New Roman"/>
          <w:noProof/>
          <w:lang w:val="sk-SK"/>
        </w:rPr>
        <w:t>zároveň podporovať účasť žien na trhu práce. Veľká časť zložky je veno</w:t>
      </w:r>
      <w:r w:rsidRPr="00083739">
        <w:rPr>
          <w:rFonts w:cs="Times New Roman"/>
          <w:noProof/>
          <w:lang w:val="sk-SK"/>
        </w:rPr>
        <w:t>vaná vzdelávaniu</w:t>
      </w:r>
      <w:r w:rsidR="00083739" w:rsidRPr="00083739">
        <w:rPr>
          <w:rFonts w:cs="Times New Roman"/>
          <w:noProof/>
          <w:lang w:val="sk-SK"/>
        </w:rPr>
        <w:t xml:space="preserve"> a </w:t>
      </w:r>
      <w:r w:rsidRPr="00083739">
        <w:rPr>
          <w:rFonts w:cs="Times New Roman"/>
          <w:noProof/>
          <w:lang w:val="sk-SK"/>
        </w:rPr>
        <w:t>starostlivosti</w:t>
      </w:r>
      <w:r w:rsidR="00083739" w:rsidRPr="00083739">
        <w:rPr>
          <w:rFonts w:cs="Times New Roman"/>
          <w:noProof/>
          <w:lang w:val="sk-SK"/>
        </w:rPr>
        <w:t xml:space="preserve"> v </w:t>
      </w:r>
      <w:r w:rsidRPr="00083739">
        <w:rPr>
          <w:rFonts w:cs="Times New Roman"/>
          <w:noProof/>
          <w:lang w:val="sk-SK"/>
        </w:rPr>
        <w:t>ranom detstve, najmä vo forme dotácií na vytvorenie 1000 nových jednotiek starostlivosti</w:t>
      </w:r>
      <w:r w:rsidR="00083739" w:rsidRPr="00083739">
        <w:rPr>
          <w:rFonts w:cs="Times New Roman"/>
          <w:noProof/>
          <w:lang w:val="sk-SK"/>
        </w:rPr>
        <w:t xml:space="preserve"> o </w:t>
      </w:r>
      <w:r w:rsidRPr="00083739">
        <w:rPr>
          <w:rFonts w:cs="Times New Roman"/>
          <w:noProof/>
          <w:lang w:val="sk-SK"/>
        </w:rPr>
        <w:t>deti</w:t>
      </w:r>
      <w:r w:rsidR="00083739" w:rsidRPr="00083739">
        <w:rPr>
          <w:rFonts w:cs="Times New Roman"/>
          <w:noProof/>
          <w:lang w:val="sk-SK"/>
        </w:rPr>
        <w:t xml:space="preserve"> v </w:t>
      </w:r>
      <w:r w:rsidRPr="00083739">
        <w:rPr>
          <w:rFonts w:cs="Times New Roman"/>
          <w:noProof/>
          <w:lang w:val="sk-SK"/>
        </w:rPr>
        <w:t>obciach. Plán takisto umožňuje aktivačné opatrenia na trhu práce pre zraniteľné skupiny vrátane príjemcov zaručeného minim</w:t>
      </w:r>
      <w:r w:rsidRPr="00083739">
        <w:rPr>
          <w:rFonts w:cs="Times New Roman"/>
          <w:noProof/>
          <w:lang w:val="sk-SK"/>
        </w:rPr>
        <w:t>álneho príjmu, utečencov, bezdomovcov, Rómov</w:t>
      </w:r>
      <w:r w:rsidR="00083739" w:rsidRPr="00083739">
        <w:rPr>
          <w:rFonts w:cs="Times New Roman"/>
          <w:noProof/>
          <w:lang w:val="sk-SK"/>
        </w:rPr>
        <w:t xml:space="preserve"> a </w:t>
      </w:r>
      <w:r w:rsidRPr="00083739">
        <w:rPr>
          <w:rFonts w:cs="Times New Roman"/>
          <w:noProof/>
          <w:lang w:val="sk-SK"/>
        </w:rPr>
        <w:t>ľudí trpiacich poruchami autistického spektra. Kľúčovými prvkami plánu sú aj rozsiahly program odbornej prípravy pre malé podniky</w:t>
      </w:r>
      <w:r w:rsidR="00083739" w:rsidRPr="00083739">
        <w:rPr>
          <w:rFonts w:cs="Times New Roman"/>
          <w:noProof/>
          <w:lang w:val="sk-SK"/>
        </w:rPr>
        <w:t xml:space="preserve"> v </w:t>
      </w:r>
      <w:r w:rsidRPr="00083739">
        <w:rPr>
          <w:rFonts w:cs="Times New Roman"/>
          <w:noProof/>
          <w:lang w:val="sk-SK"/>
        </w:rPr>
        <w:t>oblasti informovanosti</w:t>
      </w:r>
      <w:r w:rsidR="00083739" w:rsidRPr="00083739">
        <w:rPr>
          <w:rFonts w:cs="Times New Roman"/>
          <w:noProof/>
          <w:lang w:val="sk-SK"/>
        </w:rPr>
        <w:t xml:space="preserve"> o </w:t>
      </w:r>
      <w:r w:rsidRPr="00083739">
        <w:rPr>
          <w:rFonts w:cs="Times New Roman"/>
          <w:noProof/>
          <w:lang w:val="sk-SK"/>
        </w:rPr>
        <w:t>rozmanitosti</w:t>
      </w:r>
      <w:r w:rsidR="00083739" w:rsidRPr="00083739">
        <w:rPr>
          <w:rFonts w:cs="Times New Roman"/>
          <w:noProof/>
          <w:lang w:val="sk-SK"/>
        </w:rPr>
        <w:t xml:space="preserve"> a </w:t>
      </w:r>
      <w:r w:rsidRPr="00083739">
        <w:rPr>
          <w:rFonts w:cs="Times New Roman"/>
          <w:noProof/>
          <w:lang w:val="sk-SK"/>
        </w:rPr>
        <w:t xml:space="preserve">niekoľko malých pilotných projektov, </w:t>
      </w:r>
      <w:r w:rsidRPr="00083739">
        <w:rPr>
          <w:rFonts w:cs="Times New Roman"/>
          <w:noProof/>
          <w:lang w:val="sk-SK"/>
        </w:rPr>
        <w:t>ako je deinštitucionalizácia detí, podpora osôb so zdravotným postihnutím</w:t>
      </w:r>
      <w:r w:rsidR="00083739" w:rsidRPr="00083739">
        <w:rPr>
          <w:rFonts w:cs="Times New Roman"/>
          <w:noProof/>
          <w:lang w:val="sk-SK"/>
        </w:rPr>
        <w:t xml:space="preserve"> a </w:t>
      </w:r>
      <w:r w:rsidRPr="00083739">
        <w:rPr>
          <w:rFonts w:cs="Times New Roman"/>
          <w:noProof/>
          <w:lang w:val="sk-SK"/>
        </w:rPr>
        <w:t>sociálne bývanie.</w:t>
      </w:r>
      <w:r w:rsidRPr="00083739">
        <w:rPr>
          <w:rFonts w:cs="Times New Roman"/>
          <w:noProof/>
          <w:color w:val="000000"/>
          <w:shd w:val="clear" w:color="auto" w:fill="FFFFFF"/>
          <w:lang w:val="sk-SK"/>
        </w:rPr>
        <w:t xml:space="preserve"> Zložka je</w:t>
      </w:r>
      <w:r w:rsidR="00083739" w:rsidRPr="00083739">
        <w:rPr>
          <w:rFonts w:cs="Times New Roman"/>
          <w:noProof/>
          <w:color w:val="000000"/>
          <w:shd w:val="clear" w:color="auto" w:fill="FFFFFF"/>
          <w:lang w:val="sk-SK"/>
        </w:rPr>
        <w:t xml:space="preserve"> v </w:t>
      </w:r>
      <w:r w:rsidRPr="00083739">
        <w:rPr>
          <w:rFonts w:cs="Times New Roman"/>
          <w:noProof/>
          <w:color w:val="000000"/>
          <w:shd w:val="clear" w:color="auto" w:fill="FFFFFF"/>
          <w:lang w:val="sk-SK"/>
        </w:rPr>
        <w:t>súlade</w:t>
      </w:r>
      <w:r w:rsidR="00083739" w:rsidRPr="00083739">
        <w:rPr>
          <w:rFonts w:cs="Times New Roman"/>
          <w:noProof/>
          <w:color w:val="000000"/>
          <w:shd w:val="clear" w:color="auto" w:fill="FFFFFF"/>
          <w:lang w:val="sk-SK"/>
        </w:rPr>
        <w:t xml:space="preserve"> s </w:t>
      </w:r>
      <w:r w:rsidRPr="00083739">
        <w:rPr>
          <w:rFonts w:cs="Times New Roman"/>
          <w:noProof/>
          <w:color w:val="000000"/>
          <w:shd w:val="clear" w:color="auto" w:fill="FFFFFF"/>
          <w:lang w:val="sk-SK"/>
        </w:rPr>
        <w:t>odporúčaniami pre jednotlivé krajiny týkajúcimi sa trhu práce</w:t>
      </w:r>
      <w:r w:rsidR="00083739" w:rsidRPr="00083739">
        <w:rPr>
          <w:rFonts w:cs="Times New Roman"/>
          <w:noProof/>
          <w:color w:val="000000"/>
          <w:shd w:val="clear" w:color="auto" w:fill="FFFFFF"/>
          <w:lang w:val="sk-SK"/>
        </w:rPr>
        <w:t xml:space="preserve"> a </w:t>
      </w:r>
      <w:r w:rsidRPr="00083739">
        <w:rPr>
          <w:rFonts w:cs="Times New Roman"/>
          <w:noProof/>
          <w:color w:val="000000"/>
          <w:shd w:val="clear" w:color="auto" w:fill="FFFFFF"/>
          <w:lang w:val="sk-SK"/>
        </w:rPr>
        <w:t>sociálnej politiky (odporúčania pre jednotlivé krajiny č. 2 2020</w:t>
      </w:r>
      <w:r w:rsidR="00083739" w:rsidRPr="00083739">
        <w:rPr>
          <w:rFonts w:cs="Times New Roman"/>
          <w:noProof/>
          <w:color w:val="000000"/>
          <w:shd w:val="clear" w:color="auto" w:fill="FFFFFF"/>
          <w:lang w:val="sk-SK"/>
        </w:rPr>
        <w:t xml:space="preserve"> a </w:t>
      </w:r>
      <w:r w:rsidRPr="00083739">
        <w:rPr>
          <w:rFonts w:cs="Times New Roman"/>
          <w:noProof/>
          <w:color w:val="000000"/>
          <w:shd w:val="clear" w:color="auto" w:fill="FFFFFF"/>
          <w:lang w:val="sk-SK"/>
        </w:rPr>
        <w:t>1 2019)</w:t>
      </w:r>
      <w:r w:rsidR="00083739" w:rsidRPr="00083739">
        <w:rPr>
          <w:rFonts w:cs="Times New Roman"/>
          <w:noProof/>
          <w:color w:val="000000"/>
          <w:shd w:val="clear" w:color="auto" w:fill="FFFFFF"/>
          <w:lang w:val="sk-SK"/>
        </w:rPr>
        <w:t xml:space="preserve"> a </w:t>
      </w:r>
      <w:r w:rsidRPr="00083739">
        <w:rPr>
          <w:rFonts w:cs="Times New Roman"/>
          <w:noProof/>
          <w:color w:val="000000"/>
          <w:shd w:val="clear" w:color="auto" w:fill="FFFFFF"/>
          <w:lang w:val="sk-SK"/>
        </w:rPr>
        <w:t>investícií (odporúčania pre jednotlivé krajiny č. 3 2020</w:t>
      </w:r>
      <w:r w:rsidR="00083739" w:rsidRPr="00083739">
        <w:rPr>
          <w:rFonts w:cs="Times New Roman"/>
          <w:noProof/>
          <w:color w:val="000000"/>
          <w:shd w:val="clear" w:color="auto" w:fill="FFFFFF"/>
          <w:lang w:val="sk-SK"/>
        </w:rPr>
        <w:t xml:space="preserve"> a </w:t>
      </w:r>
      <w:r w:rsidRPr="00083739">
        <w:rPr>
          <w:rFonts w:cs="Times New Roman"/>
          <w:noProof/>
          <w:color w:val="000000"/>
          <w:shd w:val="clear" w:color="auto" w:fill="FFFFFF"/>
          <w:lang w:val="sk-SK"/>
        </w:rPr>
        <w:t xml:space="preserve">2 2019). </w:t>
      </w:r>
      <w:r w:rsidRPr="00083739">
        <w:rPr>
          <w:rFonts w:cs="Times New Roman"/>
          <w:noProof/>
          <w:lang w:val="sk-SK"/>
        </w:rPr>
        <w:t>Očakáva sa, že žiadne opatrenie</w:t>
      </w:r>
      <w:r w:rsidR="00083739" w:rsidRPr="00083739">
        <w:rPr>
          <w:rFonts w:cs="Times New Roman"/>
          <w:noProof/>
          <w:lang w:val="sk-SK"/>
        </w:rPr>
        <w:t xml:space="preserve"> v </w:t>
      </w:r>
      <w:r w:rsidRPr="00083739">
        <w:rPr>
          <w:rFonts w:cs="Times New Roman"/>
          <w:noProof/>
          <w:lang w:val="sk-SK"/>
        </w:rPr>
        <w:t>tomto komponente výrazne nenaruší environmentálne ciele</w:t>
      </w:r>
      <w:r w:rsidR="00083739" w:rsidRPr="00083739">
        <w:rPr>
          <w:rFonts w:cs="Times New Roman"/>
          <w:noProof/>
          <w:lang w:val="sk-SK"/>
        </w:rPr>
        <w:t xml:space="preserve"> v </w:t>
      </w:r>
      <w:r w:rsidRPr="00083739">
        <w:rPr>
          <w:rFonts w:cs="Times New Roman"/>
          <w:noProof/>
          <w:lang w:val="sk-SK"/>
        </w:rPr>
        <w:t>zmysle článku 17 nariadenia (EÚ) 2020/852, pričom sa zohľadní opis opatrení</w:t>
      </w:r>
      <w:r w:rsidR="00083739" w:rsidRPr="00083739">
        <w:rPr>
          <w:rFonts w:cs="Times New Roman"/>
          <w:noProof/>
          <w:lang w:val="sk-SK"/>
        </w:rPr>
        <w:t xml:space="preserve"> a </w:t>
      </w:r>
      <w:r w:rsidRPr="00083739">
        <w:rPr>
          <w:rFonts w:cs="Times New Roman"/>
          <w:noProof/>
          <w:lang w:val="sk-SK"/>
        </w:rPr>
        <w:t xml:space="preserve">zmierňujúcich </w:t>
      </w:r>
      <w:r w:rsidRPr="00083739">
        <w:rPr>
          <w:rFonts w:cs="Times New Roman"/>
          <w:noProof/>
          <w:lang w:val="sk-SK"/>
        </w:rPr>
        <w:t>krokov stanovených</w:t>
      </w:r>
      <w:r w:rsidR="00083739" w:rsidRPr="00083739">
        <w:rPr>
          <w:rFonts w:cs="Times New Roman"/>
          <w:noProof/>
          <w:lang w:val="sk-SK"/>
        </w:rPr>
        <w:t xml:space="preserve"> v </w:t>
      </w:r>
      <w:r w:rsidRPr="00083739">
        <w:rPr>
          <w:rFonts w:cs="Times New Roman"/>
          <w:noProof/>
          <w:lang w:val="sk-SK"/>
        </w:rPr>
        <w:t>pláne podpory obnovy</w:t>
      </w:r>
      <w:r w:rsidR="00083739" w:rsidRPr="00083739">
        <w:rPr>
          <w:rFonts w:cs="Times New Roman"/>
          <w:noProof/>
          <w:lang w:val="sk-SK"/>
        </w:rPr>
        <w:t xml:space="preserve"> a </w:t>
      </w:r>
      <w:r w:rsidRPr="00083739">
        <w:rPr>
          <w:rFonts w:cs="Times New Roman"/>
          <w:noProof/>
          <w:lang w:val="sk-SK"/>
        </w:rPr>
        <w:t>odolnosti</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technickým usmernením „výrazne nenarušiť“ (2021/C58/01).</w:t>
      </w:r>
    </w:p>
    <w:p w14:paraId="6287D754" w14:textId="2133B9A2" w:rsidR="002D49B0" w:rsidRPr="00083739" w:rsidRDefault="00BF4125">
      <w:pPr>
        <w:spacing w:before="120" w:after="120" w:line="240" w:lineRule="auto"/>
        <w:jc w:val="both"/>
        <w:rPr>
          <w:rFonts w:ascii="Times New Roman" w:hAnsi="Times New Roman" w:cs="Times New Roman"/>
          <w:b/>
          <w:i/>
          <w:noProof/>
          <w:color w:val="4F81BD"/>
          <w:sz w:val="24"/>
          <w:szCs w:val="24"/>
          <w:lang w:val="sk-SK"/>
        </w:rPr>
      </w:pPr>
      <w:r w:rsidRPr="00083739">
        <w:rPr>
          <w:rFonts w:ascii="Times New Roman" w:hAnsi="Times New Roman" w:cs="Times New Roman"/>
          <w:b/>
          <w:noProof/>
          <w:sz w:val="24"/>
          <w:u w:val="single"/>
          <w:lang w:val="sk-SK"/>
        </w:rPr>
        <w:t xml:space="preserve">K.1. </w:t>
      </w:r>
      <w:r w:rsidRPr="00083739">
        <w:rPr>
          <w:rFonts w:ascii="Times New Roman" w:hAnsi="Times New Roman" w:cs="Times New Roman"/>
          <w:noProof/>
          <w:lang w:val="sk-SK"/>
        </w:rPr>
        <w:t xml:space="preserve"> </w:t>
      </w:r>
      <w:r w:rsidRPr="00083739">
        <w:rPr>
          <w:rFonts w:ascii="Times New Roman" w:hAnsi="Times New Roman" w:cs="Times New Roman"/>
          <w:b/>
          <w:noProof/>
          <w:sz w:val="24"/>
          <w:u w:val="single"/>
          <w:lang w:val="sk-SK"/>
        </w:rPr>
        <w:t>Opis reforiem</w:t>
      </w:r>
      <w:r w:rsidR="00083739" w:rsidRPr="00083739">
        <w:rPr>
          <w:rFonts w:ascii="Times New Roman" w:hAnsi="Times New Roman" w:cs="Times New Roman"/>
          <w:b/>
          <w:noProof/>
          <w:sz w:val="24"/>
          <w:u w:val="single"/>
          <w:lang w:val="sk-SK"/>
        </w:rPr>
        <w:t xml:space="preserve"> a </w:t>
      </w:r>
      <w:r w:rsidRPr="00083739">
        <w:rPr>
          <w:rFonts w:ascii="Times New Roman" w:hAnsi="Times New Roman" w:cs="Times New Roman"/>
          <w:b/>
          <w:noProof/>
          <w:sz w:val="24"/>
          <w:u w:val="single"/>
          <w:lang w:val="sk-SK"/>
        </w:rPr>
        <w:t>investícií</w:t>
      </w:r>
      <w:r w:rsidR="00083739" w:rsidRPr="00083739">
        <w:rPr>
          <w:rFonts w:ascii="Times New Roman" w:hAnsi="Times New Roman" w:cs="Times New Roman"/>
          <w:b/>
          <w:noProof/>
          <w:sz w:val="24"/>
          <w:u w:val="single"/>
          <w:lang w:val="sk-SK"/>
        </w:rPr>
        <w:t xml:space="preserve"> v </w:t>
      </w:r>
      <w:r w:rsidRPr="00083739">
        <w:rPr>
          <w:rFonts w:ascii="Times New Roman" w:hAnsi="Times New Roman" w:cs="Times New Roman"/>
          <w:b/>
          <w:noProof/>
          <w:sz w:val="24"/>
          <w:u w:val="single"/>
          <w:lang w:val="sk-SK"/>
        </w:rPr>
        <w:t>rámci nenávratnej finančnej podpory</w:t>
      </w:r>
    </w:p>
    <w:p w14:paraId="105C9639" w14:textId="77777777" w:rsidR="002D49B0" w:rsidRPr="00083739" w:rsidRDefault="00BF4125">
      <w:pPr>
        <w:pStyle w:val="P68B1DB1-Normal4"/>
        <w:spacing w:before="120" w:after="120" w:line="240" w:lineRule="auto"/>
        <w:jc w:val="both"/>
        <w:rPr>
          <w:rFonts w:cs="Times New Roman"/>
          <w:noProof/>
          <w:szCs w:val="24"/>
          <w:lang w:val="sk-SK"/>
        </w:rPr>
      </w:pPr>
      <w:r w:rsidRPr="00083739">
        <w:rPr>
          <w:rFonts w:cs="Times New Roman"/>
          <w:b/>
          <w:noProof/>
          <w:lang w:val="sk-SK"/>
        </w:rPr>
        <w:t xml:space="preserve">Reforma: Ochrana </w:t>
      </w:r>
      <w:r w:rsidRPr="00083739">
        <w:rPr>
          <w:rFonts w:cs="Times New Roman"/>
          <w:noProof/>
          <w:lang w:val="sk-SK"/>
        </w:rPr>
        <w:t>dieťaťa (ID opatrenia: 16919)</w:t>
      </w:r>
    </w:p>
    <w:p w14:paraId="4AFBC0FA" w14:textId="0AEC7406" w:rsidR="002D49B0" w:rsidRPr="00083739" w:rsidRDefault="00BF4125">
      <w:pPr>
        <w:pStyle w:val="P68B1DB1-Normal4"/>
        <w:spacing w:before="120" w:after="120" w:line="240" w:lineRule="auto"/>
        <w:jc w:val="both"/>
        <w:rPr>
          <w:rFonts w:cs="Times New Roman"/>
          <w:noProof/>
          <w:szCs w:val="24"/>
          <w:lang w:val="sk-SK"/>
        </w:rPr>
      </w:pPr>
      <w:r w:rsidRPr="00083739">
        <w:rPr>
          <w:rFonts w:cs="Times New Roman"/>
          <w:noProof/>
          <w:lang w:val="sk-SK"/>
        </w:rPr>
        <w:t>Opatrenie pozost</w:t>
      </w:r>
      <w:r w:rsidRPr="00083739">
        <w:rPr>
          <w:rFonts w:cs="Times New Roman"/>
          <w:noProof/>
          <w:lang w:val="sk-SK"/>
        </w:rPr>
        <w:t>áva</w:t>
      </w:r>
      <w:r w:rsidR="00083739" w:rsidRPr="00083739">
        <w:rPr>
          <w:rFonts w:cs="Times New Roman"/>
          <w:noProof/>
          <w:lang w:val="sk-SK"/>
        </w:rPr>
        <w:t xml:space="preserve"> z </w:t>
      </w:r>
      <w:r w:rsidRPr="00083739">
        <w:rPr>
          <w:rFonts w:cs="Times New Roman"/>
          <w:noProof/>
          <w:lang w:val="sk-SK"/>
        </w:rPr>
        <w:t>investícií umožňujúcich a) presun mladých ľudí do 26 rokov</w:t>
      </w:r>
      <w:r w:rsidR="00083739" w:rsidRPr="00083739">
        <w:rPr>
          <w:rFonts w:cs="Times New Roman"/>
          <w:noProof/>
          <w:lang w:val="sk-SK"/>
        </w:rPr>
        <w:t xml:space="preserve"> z </w:t>
      </w:r>
      <w:r w:rsidRPr="00083739">
        <w:rPr>
          <w:rFonts w:cs="Times New Roman"/>
          <w:noProof/>
          <w:lang w:val="sk-SK"/>
        </w:rPr>
        <w:t>jednotiek ochrany detí do bytov</w:t>
      </w:r>
      <w:r w:rsidR="00083739" w:rsidRPr="00083739">
        <w:rPr>
          <w:rFonts w:cs="Times New Roman"/>
          <w:noProof/>
          <w:lang w:val="sk-SK"/>
        </w:rPr>
        <w:t xml:space="preserve"> s </w:t>
      </w:r>
      <w:r w:rsidRPr="00083739">
        <w:rPr>
          <w:rFonts w:cs="Times New Roman"/>
          <w:noProof/>
          <w:lang w:val="sk-SK"/>
        </w:rPr>
        <w:t>podporou nezávislého bývania</w:t>
      </w:r>
      <w:r w:rsidR="00083739" w:rsidRPr="00083739">
        <w:rPr>
          <w:rFonts w:cs="Times New Roman"/>
          <w:noProof/>
          <w:lang w:val="sk-SK"/>
        </w:rPr>
        <w:t xml:space="preserve"> s </w:t>
      </w:r>
      <w:r w:rsidRPr="00083739">
        <w:rPr>
          <w:rFonts w:cs="Times New Roman"/>
          <w:noProof/>
          <w:lang w:val="sk-SK"/>
        </w:rPr>
        <w:t>cieľom deinštitucionalizácie, budovania zručností</w:t>
      </w:r>
      <w:r w:rsidR="00083739" w:rsidRPr="00083739">
        <w:rPr>
          <w:rFonts w:cs="Times New Roman"/>
          <w:noProof/>
          <w:lang w:val="sk-SK"/>
        </w:rPr>
        <w:t xml:space="preserve"> a </w:t>
      </w:r>
      <w:r w:rsidRPr="00083739">
        <w:rPr>
          <w:rFonts w:cs="Times New Roman"/>
          <w:noProof/>
          <w:lang w:val="sk-SK"/>
        </w:rPr>
        <w:t>zlepšenia zamestnateľnosti;</w:t>
      </w:r>
      <w:r w:rsidR="00083739" w:rsidRPr="00083739">
        <w:rPr>
          <w:rFonts w:cs="Times New Roman"/>
          <w:noProof/>
          <w:lang w:val="sk-SK"/>
        </w:rPr>
        <w:t xml:space="preserve"> a </w:t>
      </w:r>
      <w:r w:rsidRPr="00083739">
        <w:rPr>
          <w:rFonts w:cs="Times New Roman"/>
          <w:noProof/>
          <w:lang w:val="sk-SK"/>
        </w:rPr>
        <w:t>b) vytvorenie centier tvorivej činnosti pr</w:t>
      </w:r>
      <w:r w:rsidRPr="00083739">
        <w:rPr>
          <w:rFonts w:cs="Times New Roman"/>
          <w:noProof/>
          <w:lang w:val="sk-SK"/>
        </w:rPr>
        <w:t>e deti vo veku 12 – 15 rokov</w:t>
      </w:r>
      <w:r w:rsidR="00083739" w:rsidRPr="00083739">
        <w:rPr>
          <w:rFonts w:cs="Times New Roman"/>
          <w:noProof/>
          <w:lang w:val="sk-SK"/>
        </w:rPr>
        <w:t xml:space="preserve"> v </w:t>
      </w:r>
      <w:r w:rsidRPr="00083739">
        <w:rPr>
          <w:rFonts w:cs="Times New Roman"/>
          <w:noProof/>
          <w:lang w:val="sk-SK"/>
        </w:rPr>
        <w:t>oblasti vedy, technológie, inžinierstva</w:t>
      </w:r>
      <w:r w:rsidR="00083739" w:rsidRPr="00083739">
        <w:rPr>
          <w:rFonts w:cs="Times New Roman"/>
          <w:noProof/>
          <w:lang w:val="sk-SK"/>
        </w:rPr>
        <w:t xml:space="preserve"> a </w:t>
      </w:r>
      <w:r w:rsidRPr="00083739">
        <w:rPr>
          <w:rFonts w:cs="Times New Roman"/>
          <w:noProof/>
          <w:lang w:val="sk-SK"/>
        </w:rPr>
        <w:t>matematiky (STEM). Implementácia reformy</w:t>
      </w:r>
      <w:r w:rsidR="00083739" w:rsidRPr="00083739">
        <w:rPr>
          <w:rFonts w:cs="Times New Roman"/>
          <w:noProof/>
          <w:lang w:val="sk-SK"/>
        </w:rPr>
        <w:t xml:space="preserve"> a </w:t>
      </w:r>
      <w:r w:rsidRPr="00083739">
        <w:rPr>
          <w:rFonts w:cs="Times New Roman"/>
          <w:noProof/>
          <w:lang w:val="sk-SK"/>
        </w:rPr>
        <w:t>investícií sa dokončí do 31</w:t>
      </w:r>
      <w:r w:rsidR="00083739" w:rsidRPr="00083739">
        <w:rPr>
          <w:rFonts w:cs="Times New Roman"/>
          <w:noProof/>
          <w:lang w:val="sk-SK"/>
        </w:rPr>
        <w:t>. decembra</w:t>
      </w:r>
      <w:r w:rsidRPr="00083739">
        <w:rPr>
          <w:rFonts w:cs="Times New Roman"/>
          <w:noProof/>
          <w:lang w:val="sk-SK"/>
        </w:rPr>
        <w:t xml:space="preserve"> 2025.</w:t>
      </w:r>
    </w:p>
    <w:p w14:paraId="37272078" w14:textId="7777777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Reforma:</w:t>
      </w:r>
      <w:r w:rsidRPr="00083739">
        <w:rPr>
          <w:rFonts w:cs="Times New Roman"/>
          <w:noProof/>
          <w:lang w:val="sk-SK"/>
        </w:rPr>
        <w:t xml:space="preserve"> Zdravotné postihnutie (ID opatrenia: 16904)</w:t>
      </w:r>
    </w:p>
    <w:p w14:paraId="731579C7" w14:textId="25204751"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Reforma pozostáva</w:t>
      </w:r>
      <w:r w:rsidR="00083739" w:rsidRPr="00083739">
        <w:rPr>
          <w:rFonts w:cs="Times New Roman"/>
          <w:noProof/>
          <w:lang w:val="sk-SK"/>
        </w:rPr>
        <w:t xml:space="preserve"> z </w:t>
      </w:r>
      <w:r w:rsidRPr="00083739">
        <w:rPr>
          <w:rFonts w:cs="Times New Roman"/>
          <w:noProof/>
          <w:lang w:val="sk-SK"/>
        </w:rPr>
        <w:t xml:space="preserve">dvoch čiastkových </w:t>
      </w:r>
      <w:r w:rsidRPr="00083739">
        <w:rPr>
          <w:rFonts w:cs="Times New Roman"/>
          <w:noProof/>
          <w:lang w:val="sk-SK"/>
        </w:rPr>
        <w:t>projektov zameraných na posilnenie sociálneho začlenenia, nezávislého života, zamestnateľnosti</w:t>
      </w:r>
      <w:r w:rsidR="00083739" w:rsidRPr="00083739">
        <w:rPr>
          <w:rFonts w:cs="Times New Roman"/>
          <w:noProof/>
          <w:lang w:val="sk-SK"/>
        </w:rPr>
        <w:t xml:space="preserve"> a </w:t>
      </w:r>
      <w:r w:rsidRPr="00083739">
        <w:rPr>
          <w:rFonts w:cs="Times New Roman"/>
          <w:noProof/>
          <w:lang w:val="sk-SK"/>
        </w:rPr>
        <w:t>intervencie</w:t>
      </w:r>
      <w:r w:rsidR="00083739" w:rsidRPr="00083739">
        <w:rPr>
          <w:rFonts w:cs="Times New Roman"/>
          <w:noProof/>
          <w:lang w:val="sk-SK"/>
        </w:rPr>
        <w:t xml:space="preserve"> v </w:t>
      </w:r>
      <w:r w:rsidRPr="00083739">
        <w:rPr>
          <w:rFonts w:cs="Times New Roman"/>
          <w:noProof/>
          <w:lang w:val="sk-SK"/>
        </w:rPr>
        <w:t>ranom detstve pre osoby so zdravotným postihnutím. Tieto podprojekty sa týkajú najmä a) zlepšenia nezávislého života osôb so zdravotným postihnut</w:t>
      </w:r>
      <w:r w:rsidRPr="00083739">
        <w:rPr>
          <w:rFonts w:cs="Times New Roman"/>
          <w:noProof/>
          <w:lang w:val="sk-SK"/>
        </w:rPr>
        <w:t>ím, prístupnosti</w:t>
      </w:r>
      <w:r w:rsidR="00083739" w:rsidRPr="00083739">
        <w:rPr>
          <w:rFonts w:cs="Times New Roman"/>
          <w:noProof/>
          <w:lang w:val="sk-SK"/>
        </w:rPr>
        <w:t xml:space="preserve"> a </w:t>
      </w:r>
      <w:r w:rsidRPr="00083739">
        <w:rPr>
          <w:rFonts w:cs="Times New Roman"/>
          <w:noProof/>
          <w:lang w:val="sk-SK"/>
        </w:rPr>
        <w:t>podpornej infraštruktúry pre osoby</w:t>
      </w:r>
      <w:r w:rsidR="00083739" w:rsidRPr="00083739">
        <w:rPr>
          <w:rFonts w:cs="Times New Roman"/>
          <w:noProof/>
          <w:lang w:val="sk-SK"/>
        </w:rPr>
        <w:t xml:space="preserve"> s </w:t>
      </w:r>
      <w:r w:rsidRPr="00083739">
        <w:rPr>
          <w:rFonts w:cs="Times New Roman"/>
          <w:noProof/>
          <w:lang w:val="sk-SK"/>
        </w:rPr>
        <w:t>mobilitou</w:t>
      </w:r>
      <w:r w:rsidR="00083739" w:rsidRPr="00083739">
        <w:rPr>
          <w:rFonts w:cs="Times New Roman"/>
          <w:noProof/>
          <w:lang w:val="sk-SK"/>
        </w:rPr>
        <w:t xml:space="preserve"> a </w:t>
      </w:r>
      <w:r w:rsidRPr="00083739">
        <w:rPr>
          <w:rFonts w:cs="Times New Roman"/>
          <w:noProof/>
          <w:lang w:val="sk-SK"/>
        </w:rPr>
        <w:t>zmyslovými poruchami, nezávislej pomoci pri živote pre osoby so zdravotným postihnutím vrátane procesu posudzovania oprávnenosti založeného na lekárskom aj funkčnom posúdení zdravotného po</w:t>
      </w:r>
      <w:r w:rsidRPr="00083739">
        <w:rPr>
          <w:rFonts w:cs="Times New Roman"/>
          <w:noProof/>
          <w:lang w:val="sk-SK"/>
        </w:rPr>
        <w:t>stihnutia multidisciplinárnou hodnotiacou komisiou: počiatočný pilotný program</w:t>
      </w:r>
      <w:r w:rsidR="00083739" w:rsidRPr="00083739">
        <w:rPr>
          <w:rFonts w:cs="Times New Roman"/>
          <w:noProof/>
          <w:lang w:val="sk-SK"/>
        </w:rPr>
        <w:t xml:space="preserve"> a </w:t>
      </w:r>
      <w:r w:rsidRPr="00083739">
        <w:rPr>
          <w:rFonts w:cs="Times New Roman"/>
          <w:noProof/>
          <w:lang w:val="sk-SK"/>
        </w:rPr>
        <w:t>následné zavedenie na vnútroštátnej úrovni; b) podpora intervencií</w:t>
      </w:r>
      <w:r w:rsidR="00083739" w:rsidRPr="00083739">
        <w:rPr>
          <w:rFonts w:cs="Times New Roman"/>
          <w:noProof/>
          <w:lang w:val="sk-SK"/>
        </w:rPr>
        <w:t xml:space="preserve"> v </w:t>
      </w:r>
      <w:r w:rsidRPr="00083739">
        <w:rPr>
          <w:rFonts w:cs="Times New Roman"/>
          <w:noProof/>
          <w:lang w:val="sk-SK"/>
        </w:rPr>
        <w:t>ranom detstve (pilotný program). Implementácia tejto reformy sa dokončí do 31</w:t>
      </w:r>
      <w:r w:rsidR="00083739" w:rsidRPr="00083739">
        <w:rPr>
          <w:rFonts w:cs="Times New Roman"/>
          <w:noProof/>
          <w:lang w:val="sk-SK"/>
        </w:rPr>
        <w:t>. decembra</w:t>
      </w:r>
      <w:r w:rsidRPr="00083739">
        <w:rPr>
          <w:rFonts w:cs="Times New Roman"/>
          <w:noProof/>
          <w:lang w:val="sk-SK"/>
        </w:rPr>
        <w:t xml:space="preserve"> 2025.</w:t>
      </w:r>
    </w:p>
    <w:p w14:paraId="7E018482" w14:textId="77777777" w:rsidR="002D49B0" w:rsidRPr="00083739" w:rsidRDefault="00BF4125">
      <w:pPr>
        <w:pStyle w:val="P68B1DB1-Normal4"/>
        <w:rPr>
          <w:rFonts w:cs="Times New Roman"/>
          <w:b/>
          <w:noProof/>
          <w:lang w:val="sk-SK"/>
        </w:rPr>
      </w:pPr>
      <w:r w:rsidRPr="00083739">
        <w:rPr>
          <w:rFonts w:cs="Times New Roman"/>
          <w:noProof/>
          <w:lang w:val="sk-SK"/>
        </w:rPr>
        <w:br w:type="page"/>
      </w:r>
    </w:p>
    <w:p w14:paraId="19EDAD7F" w14:textId="4F7CB390"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b/>
          <w:noProof/>
          <w:lang w:val="sk-SK"/>
        </w:rPr>
        <w:t>:</w:t>
      </w:r>
      <w:r w:rsidRPr="00083739">
        <w:rPr>
          <w:rFonts w:cs="Times New Roman"/>
          <w:noProof/>
          <w:lang w:val="sk-SK"/>
        </w:rPr>
        <w:t xml:space="preserve"> Sociálna integrácia (ID opatrenia: 16922)</w:t>
      </w:r>
    </w:p>
    <w:p w14:paraId="4E25B1AF" w14:textId="68508BF0"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Táto investícia pozostáva</w:t>
      </w:r>
      <w:r w:rsidR="00083739" w:rsidRPr="00083739">
        <w:rPr>
          <w:rFonts w:cs="Times New Roman"/>
          <w:noProof/>
          <w:lang w:val="sk-SK"/>
        </w:rPr>
        <w:t xml:space="preserve"> z </w:t>
      </w:r>
      <w:r w:rsidRPr="00083739">
        <w:rPr>
          <w:rFonts w:cs="Times New Roman"/>
          <w:noProof/>
          <w:lang w:val="sk-SK"/>
        </w:rPr>
        <w:t>troch čiastkových projektov:</w:t>
      </w:r>
    </w:p>
    <w:p w14:paraId="171E6A88" w14:textId="329E3D50" w:rsidR="002D49B0" w:rsidRPr="00083739" w:rsidRDefault="00BF4125">
      <w:pPr>
        <w:pStyle w:val="P68B1DB1-Normal4"/>
        <w:numPr>
          <w:ilvl w:val="0"/>
          <w:numId w:val="66"/>
        </w:numPr>
        <w:spacing w:before="120" w:after="120" w:line="240" w:lineRule="auto"/>
        <w:ind w:left="426" w:hanging="426"/>
        <w:jc w:val="both"/>
        <w:rPr>
          <w:rFonts w:cs="Times New Roman"/>
          <w:noProof/>
          <w:lang w:val="sk-SK"/>
        </w:rPr>
      </w:pPr>
      <w:r w:rsidRPr="00083739">
        <w:rPr>
          <w:rFonts w:cs="Times New Roman"/>
          <w:noProof/>
          <w:lang w:val="sk-SK"/>
        </w:rPr>
        <w:t>Sociálna reintegrácia najzraniteľnejších skupín sa zameriava na podporu najzraniteľnejších skupín (príjemcovia garantovaného minimálneho príjmu</w:t>
      </w:r>
      <w:r w:rsidR="00083739" w:rsidRPr="00083739">
        <w:rPr>
          <w:rFonts w:cs="Times New Roman"/>
          <w:noProof/>
          <w:lang w:val="sk-SK"/>
        </w:rPr>
        <w:t xml:space="preserve"> a </w:t>
      </w:r>
      <w:r w:rsidRPr="00083739">
        <w:rPr>
          <w:rFonts w:cs="Times New Roman"/>
          <w:noProof/>
          <w:lang w:val="sk-SK"/>
        </w:rPr>
        <w:t>bezdomovc</w:t>
      </w:r>
      <w:r w:rsidRPr="00083739">
        <w:rPr>
          <w:rFonts w:cs="Times New Roman"/>
          <w:noProof/>
          <w:lang w:val="sk-SK"/>
        </w:rPr>
        <w:t>i)</w:t>
      </w:r>
      <w:r w:rsidR="00083739" w:rsidRPr="00083739">
        <w:rPr>
          <w:rFonts w:cs="Times New Roman"/>
          <w:noProof/>
          <w:lang w:val="sk-SK"/>
        </w:rPr>
        <w:t xml:space="preserve"> s </w:t>
      </w:r>
      <w:r w:rsidRPr="00083739">
        <w:rPr>
          <w:rFonts w:cs="Times New Roman"/>
          <w:noProof/>
          <w:lang w:val="sk-SK"/>
        </w:rPr>
        <w:t>cieľom ich (opätovného) začlenenia do trhu práce.</w:t>
      </w:r>
    </w:p>
    <w:p w14:paraId="71E93DCB" w14:textId="2E2E1BD8" w:rsidR="00083739" w:rsidRPr="00083739" w:rsidRDefault="00BF4125">
      <w:pPr>
        <w:pStyle w:val="P68B1DB1-Normal4"/>
        <w:numPr>
          <w:ilvl w:val="0"/>
          <w:numId w:val="66"/>
        </w:numPr>
        <w:spacing w:before="120" w:after="120" w:line="240" w:lineRule="auto"/>
        <w:ind w:left="426" w:hanging="426"/>
        <w:jc w:val="both"/>
        <w:rPr>
          <w:rFonts w:cs="Times New Roman"/>
          <w:noProof/>
          <w:lang w:val="sk-SK"/>
        </w:rPr>
      </w:pPr>
      <w:r w:rsidRPr="00083739">
        <w:rPr>
          <w:rFonts w:cs="Times New Roman"/>
          <w:noProof/>
          <w:lang w:val="sk-SK"/>
        </w:rPr>
        <w:t>Digitálna odborná príprava starších ľudí</w:t>
      </w:r>
      <w:r w:rsidR="00083739" w:rsidRPr="00083739">
        <w:rPr>
          <w:rFonts w:cs="Times New Roman"/>
          <w:noProof/>
          <w:lang w:val="sk-SK"/>
        </w:rPr>
        <w:t xml:space="preserve"> a </w:t>
      </w:r>
      <w:r w:rsidRPr="00083739">
        <w:rPr>
          <w:rFonts w:cs="Times New Roman"/>
          <w:noProof/>
          <w:lang w:val="sk-SK"/>
        </w:rPr>
        <w:t>osôb so zdravotným postihnutím zahŕňa programy známosti, oboznamovania sa</w:t>
      </w:r>
      <w:r w:rsidR="00083739" w:rsidRPr="00083739">
        <w:rPr>
          <w:rFonts w:cs="Times New Roman"/>
          <w:noProof/>
          <w:lang w:val="sk-SK"/>
        </w:rPr>
        <w:t xml:space="preserve"> a </w:t>
      </w:r>
      <w:r w:rsidRPr="00083739">
        <w:rPr>
          <w:rFonts w:cs="Times New Roman"/>
          <w:noProof/>
          <w:lang w:val="sk-SK"/>
        </w:rPr>
        <w:t>vzdelávania starších ľudí</w:t>
      </w:r>
      <w:r w:rsidR="00083739" w:rsidRPr="00083739">
        <w:rPr>
          <w:rFonts w:cs="Times New Roman"/>
          <w:noProof/>
          <w:lang w:val="sk-SK"/>
        </w:rPr>
        <w:t xml:space="preserve"> a </w:t>
      </w:r>
      <w:r w:rsidRPr="00083739">
        <w:rPr>
          <w:rFonts w:cs="Times New Roman"/>
          <w:noProof/>
          <w:lang w:val="sk-SK"/>
        </w:rPr>
        <w:t>osôb so zdravotným postihnutím</w:t>
      </w:r>
      <w:r w:rsidR="00083739" w:rsidRPr="00083739">
        <w:rPr>
          <w:rFonts w:cs="Times New Roman"/>
          <w:noProof/>
          <w:lang w:val="sk-SK"/>
        </w:rPr>
        <w:t xml:space="preserve"> v </w:t>
      </w:r>
      <w:r w:rsidRPr="00083739">
        <w:rPr>
          <w:rFonts w:cs="Times New Roman"/>
          <w:noProof/>
          <w:lang w:val="sk-SK"/>
        </w:rPr>
        <w:t>oblasti nových techno</w:t>
      </w:r>
      <w:r w:rsidRPr="00083739">
        <w:rPr>
          <w:rFonts w:cs="Times New Roman"/>
          <w:noProof/>
          <w:lang w:val="sk-SK"/>
        </w:rPr>
        <w:t>lógií, najmä pokiaľ ide</w:t>
      </w:r>
      <w:r w:rsidR="00083739" w:rsidRPr="00083739">
        <w:rPr>
          <w:rFonts w:cs="Times New Roman"/>
          <w:noProof/>
          <w:lang w:val="sk-SK"/>
        </w:rPr>
        <w:t xml:space="preserve"> o </w:t>
      </w:r>
      <w:r w:rsidRPr="00083739">
        <w:rPr>
          <w:rFonts w:cs="Times New Roman"/>
          <w:noProof/>
          <w:lang w:val="sk-SK"/>
        </w:rPr>
        <w:t>digitálne informácie, komunikačné zručnosti</w:t>
      </w:r>
      <w:r w:rsidR="00083739" w:rsidRPr="00083739">
        <w:rPr>
          <w:rFonts w:cs="Times New Roman"/>
          <w:noProof/>
          <w:lang w:val="sk-SK"/>
        </w:rPr>
        <w:t xml:space="preserve"> a </w:t>
      </w:r>
      <w:r w:rsidRPr="00083739">
        <w:rPr>
          <w:rFonts w:cs="Times New Roman"/>
          <w:noProof/>
          <w:lang w:val="sk-SK"/>
        </w:rPr>
        <w:t>zručnosti</w:t>
      </w:r>
      <w:r w:rsidR="00083739" w:rsidRPr="00083739">
        <w:rPr>
          <w:rFonts w:cs="Times New Roman"/>
          <w:noProof/>
          <w:lang w:val="sk-SK"/>
        </w:rPr>
        <w:t xml:space="preserve"> v </w:t>
      </w:r>
      <w:r w:rsidRPr="00083739">
        <w:rPr>
          <w:rFonts w:cs="Times New Roman"/>
          <w:noProof/>
          <w:lang w:val="sk-SK"/>
        </w:rPr>
        <w:t>oblasti internetových</w:t>
      </w:r>
      <w:r w:rsidR="00083739" w:rsidRPr="00083739">
        <w:rPr>
          <w:rFonts w:cs="Times New Roman"/>
          <w:noProof/>
          <w:lang w:val="sk-SK"/>
        </w:rPr>
        <w:t xml:space="preserve"> a </w:t>
      </w:r>
      <w:r w:rsidRPr="00083739">
        <w:rPr>
          <w:rFonts w:cs="Times New Roman"/>
          <w:noProof/>
          <w:lang w:val="sk-SK"/>
        </w:rPr>
        <w:t>sociálnych médií (ako je vykonávanie elektronických platieb, podávanie žiadostí prostredníctvom digitálnych platforiem, používanie sociálnych médií)</w:t>
      </w:r>
      <w:r w:rsidR="00083739" w:rsidRPr="00083739">
        <w:rPr>
          <w:rFonts w:cs="Times New Roman"/>
          <w:noProof/>
          <w:lang w:val="sk-SK"/>
        </w:rPr>
        <w:t>.</w:t>
      </w:r>
    </w:p>
    <w:p w14:paraId="12145958" w14:textId="64DC48FF" w:rsidR="002D49B0" w:rsidRPr="00083739" w:rsidRDefault="00BF4125">
      <w:pPr>
        <w:pStyle w:val="P68B1DB1-Normal4"/>
        <w:numPr>
          <w:ilvl w:val="0"/>
          <w:numId w:val="66"/>
        </w:numPr>
        <w:spacing w:before="120" w:after="120" w:line="240" w:lineRule="auto"/>
        <w:ind w:left="426" w:hanging="426"/>
        <w:jc w:val="both"/>
        <w:rPr>
          <w:rFonts w:cs="Times New Roman"/>
          <w:noProof/>
          <w:lang w:val="sk-SK"/>
        </w:rPr>
      </w:pPr>
      <w:r w:rsidRPr="00083739">
        <w:rPr>
          <w:rFonts w:cs="Times New Roman"/>
          <w:noProof/>
          <w:lang w:val="sk-SK"/>
        </w:rPr>
        <w:t>Sociálne bývanie sa zameriava na poskytovanie podpory bývania najzraniteľnejším skupinám, ktoré sú ohrozené bezdomovectvom alebo ktorým bezdomovectvo čelí.</w:t>
      </w:r>
    </w:p>
    <w:p w14:paraId="31B4390C" w14:textId="1A90207E"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Implementácia tejto reformy sa dokončí do 31</w:t>
      </w:r>
      <w:r w:rsidR="00083739" w:rsidRPr="00083739">
        <w:rPr>
          <w:rFonts w:cs="Times New Roman"/>
          <w:noProof/>
          <w:lang w:val="sk-SK"/>
        </w:rPr>
        <w:t>. decembra</w:t>
      </w:r>
      <w:r w:rsidRPr="00083739">
        <w:rPr>
          <w:rFonts w:cs="Times New Roman"/>
          <w:noProof/>
          <w:lang w:val="sk-SK"/>
        </w:rPr>
        <w:t xml:space="preserve"> 2025.</w:t>
      </w:r>
    </w:p>
    <w:p w14:paraId="69FD3E0D" w14:textId="7777777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Digitálna transformácia systému sociálnej podpory (ID opatrenia: 16925)</w:t>
      </w:r>
    </w:p>
    <w:p w14:paraId="33425782" w14:textId="3CE722ED"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V rámci investície sa vyvinú digitálne nástroje, ktoré umožnia: 1) zjednodušenie prístupu občanov</w:t>
      </w:r>
      <w:r w:rsidR="00083739" w:rsidRPr="00083739">
        <w:rPr>
          <w:rFonts w:cs="Times New Roman"/>
          <w:noProof/>
          <w:lang w:val="sk-SK"/>
        </w:rPr>
        <w:t xml:space="preserve"> k </w:t>
      </w:r>
      <w:r w:rsidRPr="00083739">
        <w:rPr>
          <w:rFonts w:cs="Times New Roman"/>
          <w:noProof/>
          <w:lang w:val="sk-SK"/>
        </w:rPr>
        <w:t>službám</w:t>
      </w:r>
      <w:r w:rsidR="00083739" w:rsidRPr="00083739">
        <w:rPr>
          <w:rFonts w:cs="Times New Roman"/>
          <w:noProof/>
          <w:lang w:val="sk-SK"/>
        </w:rPr>
        <w:t xml:space="preserve"> a </w:t>
      </w:r>
      <w:r w:rsidRPr="00083739">
        <w:rPr>
          <w:rFonts w:cs="Times New Roman"/>
          <w:noProof/>
          <w:lang w:val="sk-SK"/>
        </w:rPr>
        <w:t>dávkam sociálnej starostlivosti</w:t>
      </w:r>
      <w:r w:rsidR="00083739" w:rsidRPr="00083739">
        <w:rPr>
          <w:rFonts w:cs="Times New Roman"/>
          <w:noProof/>
          <w:lang w:val="sk-SK"/>
        </w:rPr>
        <w:t xml:space="preserve"> s </w:t>
      </w:r>
      <w:r w:rsidRPr="00083739">
        <w:rPr>
          <w:rFonts w:cs="Times New Roman"/>
          <w:noProof/>
          <w:lang w:val="sk-SK"/>
        </w:rPr>
        <w:t>osobitným zameraním na osoby so zdravot</w:t>
      </w:r>
      <w:r w:rsidRPr="00083739">
        <w:rPr>
          <w:rFonts w:cs="Times New Roman"/>
          <w:noProof/>
          <w:lang w:val="sk-SK"/>
        </w:rPr>
        <w:t>ným postihnutím, 2) lepšia identifikácia potrieb, aby sa zabránilo plytvaniu zdrojmi</w:t>
      </w:r>
      <w:r w:rsidR="00083739" w:rsidRPr="00083739">
        <w:rPr>
          <w:rFonts w:cs="Times New Roman"/>
          <w:noProof/>
          <w:lang w:val="sk-SK"/>
        </w:rPr>
        <w:t xml:space="preserve"> a </w:t>
      </w:r>
      <w:r w:rsidRPr="00083739">
        <w:rPr>
          <w:rFonts w:cs="Times New Roman"/>
          <w:noProof/>
          <w:lang w:val="sk-SK"/>
        </w:rPr>
        <w:t>čo najspravodlivejšie prideľovanie rozpočtu na sociálnu pomoc, 3) účinnejšie monitorovanie verejných</w:t>
      </w:r>
      <w:r w:rsidR="00083739" w:rsidRPr="00083739">
        <w:rPr>
          <w:rFonts w:cs="Times New Roman"/>
          <w:noProof/>
          <w:lang w:val="sk-SK"/>
        </w:rPr>
        <w:t xml:space="preserve"> a </w:t>
      </w:r>
      <w:r w:rsidRPr="00083739">
        <w:rPr>
          <w:rFonts w:cs="Times New Roman"/>
          <w:noProof/>
          <w:lang w:val="sk-SK"/>
        </w:rPr>
        <w:t>súkromných poskytovateľov sociálnej starostlivosti.</w:t>
      </w:r>
    </w:p>
    <w:p w14:paraId="1323E774" w14:textId="4A84B241" w:rsidR="002D49B0" w:rsidRPr="00083739" w:rsidRDefault="00BF4125">
      <w:pPr>
        <w:pStyle w:val="P68B1DB1-Normal4"/>
        <w:spacing w:before="120" w:after="120" w:line="240" w:lineRule="auto"/>
        <w:jc w:val="both"/>
        <w:rPr>
          <w:rFonts w:cs="Times New Roman"/>
          <w:noProof/>
          <w:szCs w:val="24"/>
          <w:lang w:val="sk-SK"/>
        </w:rPr>
      </w:pPr>
      <w:r w:rsidRPr="00083739">
        <w:rPr>
          <w:rFonts w:cs="Times New Roman"/>
          <w:noProof/>
          <w:lang w:val="sk-SK"/>
        </w:rPr>
        <w:t>Investícia poz</w:t>
      </w:r>
      <w:r w:rsidRPr="00083739">
        <w:rPr>
          <w:rFonts w:cs="Times New Roman"/>
          <w:noProof/>
          <w:lang w:val="sk-SK"/>
        </w:rPr>
        <w:t>ostáva</w:t>
      </w:r>
      <w:r w:rsidR="00083739" w:rsidRPr="00083739">
        <w:rPr>
          <w:rFonts w:cs="Times New Roman"/>
          <w:noProof/>
          <w:lang w:val="sk-SK"/>
        </w:rPr>
        <w:t xml:space="preserve"> z </w:t>
      </w:r>
      <w:r w:rsidRPr="00083739">
        <w:rPr>
          <w:rFonts w:cs="Times New Roman"/>
          <w:noProof/>
          <w:lang w:val="sk-SK"/>
        </w:rPr>
        <w:t>týchto čiastkových projektov: a) zriadenie jednotného digitálneho portálu pre prístup</w:t>
      </w:r>
      <w:r w:rsidR="00083739" w:rsidRPr="00083739">
        <w:rPr>
          <w:rFonts w:cs="Times New Roman"/>
          <w:noProof/>
          <w:lang w:val="sk-SK"/>
        </w:rPr>
        <w:t xml:space="preserve"> k </w:t>
      </w:r>
      <w:r w:rsidRPr="00083739">
        <w:rPr>
          <w:rFonts w:cs="Times New Roman"/>
          <w:noProof/>
          <w:lang w:val="sk-SK"/>
        </w:rPr>
        <w:t>sociálnej ochrane, ktorý by integroval existujúce elektronické formuláre žiadostí</w:t>
      </w:r>
      <w:r w:rsidR="00083739" w:rsidRPr="00083739">
        <w:rPr>
          <w:rFonts w:cs="Times New Roman"/>
          <w:noProof/>
          <w:lang w:val="sk-SK"/>
        </w:rPr>
        <w:t xml:space="preserve"> o </w:t>
      </w:r>
      <w:r w:rsidRPr="00083739">
        <w:rPr>
          <w:rFonts w:cs="Times New Roman"/>
          <w:noProof/>
          <w:lang w:val="sk-SK"/>
        </w:rPr>
        <w:t>peňažné dávky sociálnej pomoci do jednotného digitálneho portálu; b) zriade</w:t>
      </w:r>
      <w:r w:rsidRPr="00083739">
        <w:rPr>
          <w:rFonts w:cs="Times New Roman"/>
          <w:noProof/>
          <w:lang w:val="sk-SK"/>
        </w:rPr>
        <w:t>nie jednotného národného portálu dávok pre osoby so zdravotným postihnutím, ktorý príjemcom umožní mať online prístup</w:t>
      </w:r>
      <w:r w:rsidR="00083739" w:rsidRPr="00083739">
        <w:rPr>
          <w:rFonts w:cs="Times New Roman"/>
          <w:noProof/>
          <w:lang w:val="sk-SK"/>
        </w:rPr>
        <w:t xml:space="preserve"> k </w:t>
      </w:r>
      <w:r w:rsidRPr="00083739">
        <w:rPr>
          <w:rFonts w:cs="Times New Roman"/>
          <w:noProof/>
          <w:lang w:val="sk-SK"/>
        </w:rPr>
        <w:t>osobným údajom</w:t>
      </w:r>
      <w:r w:rsidR="00083739" w:rsidRPr="00083739">
        <w:rPr>
          <w:rFonts w:cs="Times New Roman"/>
          <w:noProof/>
          <w:lang w:val="sk-SK"/>
        </w:rPr>
        <w:t xml:space="preserve"> a </w:t>
      </w:r>
      <w:r w:rsidRPr="00083739">
        <w:rPr>
          <w:rFonts w:cs="Times New Roman"/>
          <w:noProof/>
          <w:lang w:val="sk-SK"/>
        </w:rPr>
        <w:t>dávkam</w:t>
      </w:r>
      <w:r w:rsidR="00083739" w:rsidRPr="00083739">
        <w:rPr>
          <w:rFonts w:cs="Times New Roman"/>
          <w:noProof/>
          <w:lang w:val="sk-SK"/>
        </w:rPr>
        <w:t xml:space="preserve"> a </w:t>
      </w:r>
      <w:r w:rsidRPr="00083739">
        <w:rPr>
          <w:rFonts w:cs="Times New Roman"/>
          <w:noProof/>
          <w:lang w:val="sk-SK"/>
        </w:rPr>
        <w:t>vydávať potvrdenia; C) zriadenie preukazu pre osoby so zdravotným postihnutím; d) digitálna transformácia Jedn</w:t>
      </w:r>
      <w:r w:rsidRPr="00083739">
        <w:rPr>
          <w:rFonts w:cs="Times New Roman"/>
          <w:noProof/>
          <w:lang w:val="sk-SK"/>
        </w:rPr>
        <w:t>otného úradu pre platby sociálnych dávok (OPEKA); e) vytvorenie úplného súpisu verejného nehnuteľného majetku súvisiaceho so službami sociálnej ochrany. Realizácia investície sa ukončí do 31</w:t>
      </w:r>
      <w:r w:rsidR="00083739" w:rsidRPr="00083739">
        <w:rPr>
          <w:rFonts w:cs="Times New Roman"/>
          <w:noProof/>
          <w:lang w:val="sk-SK"/>
        </w:rPr>
        <w:t>. decembra</w:t>
      </w:r>
      <w:r w:rsidRPr="00083739">
        <w:rPr>
          <w:rFonts w:cs="Times New Roman"/>
          <w:noProof/>
          <w:lang w:val="sk-SK"/>
        </w:rPr>
        <w:t xml:space="preserve"> 2025.</w:t>
      </w:r>
    </w:p>
    <w:p w14:paraId="6372FCB8" w14:textId="7777777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Reforma:</w:t>
      </w:r>
      <w:r w:rsidRPr="00083739">
        <w:rPr>
          <w:rFonts w:cs="Times New Roman"/>
          <w:noProof/>
          <w:lang w:val="sk-SK"/>
        </w:rPr>
        <w:t xml:space="preserve"> Optimalizácia sociálnych prínosov (ID op</w:t>
      </w:r>
      <w:r w:rsidRPr="00083739">
        <w:rPr>
          <w:rFonts w:cs="Times New Roman"/>
          <w:noProof/>
          <w:lang w:val="sk-SK"/>
        </w:rPr>
        <w:t>atrenia: 16726)</w:t>
      </w:r>
    </w:p>
    <w:p w14:paraId="23FB6EA5" w14:textId="69387FCA" w:rsidR="00083739"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Reforma pozostáva</w:t>
      </w:r>
      <w:r w:rsidR="00083739" w:rsidRPr="00083739">
        <w:rPr>
          <w:rFonts w:cs="Times New Roman"/>
          <w:noProof/>
          <w:lang w:val="sk-SK"/>
        </w:rPr>
        <w:t xml:space="preserve"> z </w:t>
      </w:r>
      <w:r w:rsidRPr="00083739">
        <w:rPr>
          <w:rFonts w:cs="Times New Roman"/>
          <w:noProof/>
          <w:lang w:val="sk-SK"/>
        </w:rPr>
        <w:t>týchto zložiek</w:t>
      </w:r>
      <w:r w:rsidR="00083739" w:rsidRPr="00083739">
        <w:rPr>
          <w:rFonts w:cs="Times New Roman"/>
          <w:noProof/>
          <w:lang w:val="sk-SK"/>
        </w:rPr>
        <w:t>:</w:t>
      </w:r>
    </w:p>
    <w:p w14:paraId="4BCCA3AF" w14:textId="77777777" w:rsidR="00083739" w:rsidRPr="00083739" w:rsidRDefault="00BF4125">
      <w:pPr>
        <w:pStyle w:val="P68B1DB1-Normal4"/>
        <w:numPr>
          <w:ilvl w:val="0"/>
          <w:numId w:val="67"/>
        </w:numPr>
        <w:spacing w:before="120" w:after="120" w:line="240" w:lineRule="auto"/>
        <w:ind w:left="426" w:hanging="426"/>
        <w:jc w:val="both"/>
        <w:rPr>
          <w:rFonts w:cs="Times New Roman"/>
          <w:noProof/>
          <w:lang w:val="sk-SK"/>
        </w:rPr>
      </w:pPr>
      <w:r w:rsidRPr="00083739">
        <w:rPr>
          <w:rFonts w:cs="Times New Roman"/>
          <w:noProof/>
          <w:lang w:val="sk-SK"/>
        </w:rPr>
        <w:t>Zavedenie predplatených kariet na vyplácanie väčšiny sociálnych dávok poskytovaných Jednotným úradom pre platby sociálnych dávok (OPEKA)</w:t>
      </w:r>
      <w:r w:rsidR="00083739" w:rsidRPr="00083739">
        <w:rPr>
          <w:rFonts w:cs="Times New Roman"/>
          <w:noProof/>
          <w:lang w:val="sk-SK"/>
        </w:rPr>
        <w:t xml:space="preserve"> a </w:t>
      </w:r>
      <w:r w:rsidRPr="00083739">
        <w:rPr>
          <w:rFonts w:cs="Times New Roman"/>
          <w:noProof/>
          <w:lang w:val="sk-SK"/>
        </w:rPr>
        <w:t>verejnými službami zamestnanosti (DYPA)</w:t>
      </w:r>
    </w:p>
    <w:p w14:paraId="7AD2F9C0" w14:textId="77777777" w:rsidR="00083739" w:rsidRPr="00083739" w:rsidRDefault="00BF4125">
      <w:pPr>
        <w:pStyle w:val="P68B1DB1-Normal4"/>
        <w:numPr>
          <w:ilvl w:val="0"/>
          <w:numId w:val="67"/>
        </w:numPr>
        <w:spacing w:before="120" w:after="120" w:line="240" w:lineRule="auto"/>
        <w:ind w:left="426" w:hanging="426"/>
        <w:jc w:val="both"/>
        <w:rPr>
          <w:rFonts w:cs="Times New Roman"/>
          <w:noProof/>
          <w:lang w:val="sk-SK"/>
        </w:rPr>
      </w:pPr>
      <w:r w:rsidRPr="00083739">
        <w:rPr>
          <w:rFonts w:cs="Times New Roman"/>
          <w:noProof/>
          <w:lang w:val="sk-SK"/>
        </w:rPr>
        <w:t xml:space="preserve">Poskytovanie stimulov </w:t>
      </w:r>
      <w:r w:rsidRPr="00083739">
        <w:rPr>
          <w:rFonts w:cs="Times New Roman"/>
          <w:noProof/>
          <w:lang w:val="sk-SK"/>
        </w:rPr>
        <w:t>príjemcom na používanie predplatených kariet na nákup tovaru</w:t>
      </w:r>
      <w:r w:rsidR="00083739" w:rsidRPr="00083739">
        <w:rPr>
          <w:rFonts w:cs="Times New Roman"/>
          <w:noProof/>
          <w:lang w:val="sk-SK"/>
        </w:rPr>
        <w:t xml:space="preserve"> a </w:t>
      </w:r>
      <w:r w:rsidRPr="00083739">
        <w:rPr>
          <w:rFonts w:cs="Times New Roman"/>
          <w:noProof/>
          <w:lang w:val="sk-SK"/>
        </w:rPr>
        <w:t>služieb</w:t>
      </w:r>
    </w:p>
    <w:p w14:paraId="708BA280" w14:textId="163C9AF6"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Implementácia tejto reformy sa dokončí do 31</w:t>
      </w:r>
      <w:r w:rsidR="00083739" w:rsidRPr="00083739">
        <w:rPr>
          <w:rFonts w:cs="Times New Roman"/>
          <w:noProof/>
          <w:lang w:val="sk-SK"/>
        </w:rPr>
        <w:t>. decembra</w:t>
      </w:r>
      <w:r w:rsidRPr="00083739">
        <w:rPr>
          <w:rFonts w:cs="Times New Roman"/>
          <w:noProof/>
          <w:lang w:val="sk-SK"/>
        </w:rPr>
        <w:t xml:space="preserve"> 2025.</w:t>
      </w:r>
    </w:p>
    <w:p w14:paraId="37E5F825" w14:textId="0A833232"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Informovanosť</w:t>
      </w:r>
      <w:r w:rsidR="00083739" w:rsidRPr="00083739">
        <w:rPr>
          <w:rFonts w:cs="Times New Roman"/>
          <w:noProof/>
          <w:lang w:val="sk-SK"/>
        </w:rPr>
        <w:t xml:space="preserve"> o </w:t>
      </w:r>
      <w:r w:rsidRPr="00083739">
        <w:rPr>
          <w:rFonts w:cs="Times New Roman"/>
          <w:noProof/>
          <w:lang w:val="sk-SK"/>
        </w:rPr>
        <w:t>rozmanitosti (ID opatrenia: 16685)</w:t>
      </w:r>
    </w:p>
    <w:p w14:paraId="0F3154FA" w14:textId="6ED21F22" w:rsidR="00083739"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Investícia pozostáva</w:t>
      </w:r>
      <w:r w:rsidR="00083739" w:rsidRPr="00083739">
        <w:rPr>
          <w:rFonts w:cs="Times New Roman"/>
          <w:noProof/>
          <w:lang w:val="sk-SK"/>
        </w:rPr>
        <w:t xml:space="preserve"> z </w:t>
      </w:r>
      <w:r w:rsidRPr="00083739">
        <w:rPr>
          <w:rFonts w:cs="Times New Roman"/>
          <w:noProof/>
          <w:lang w:val="sk-SK"/>
        </w:rPr>
        <w:t>dvoch vzájomne prepojených podprojekto</w:t>
      </w:r>
      <w:r w:rsidRPr="00083739">
        <w:rPr>
          <w:rFonts w:cs="Times New Roman"/>
          <w:noProof/>
          <w:lang w:val="sk-SK"/>
        </w:rPr>
        <w:t>v, ktorých cieľom je zvýšiť informovanosť</w:t>
      </w:r>
      <w:r w:rsidR="00083739" w:rsidRPr="00083739">
        <w:rPr>
          <w:rFonts w:cs="Times New Roman"/>
          <w:noProof/>
          <w:lang w:val="sk-SK"/>
        </w:rPr>
        <w:t xml:space="preserve"> o </w:t>
      </w:r>
      <w:r w:rsidRPr="00083739">
        <w:rPr>
          <w:rFonts w:cs="Times New Roman"/>
          <w:noProof/>
          <w:lang w:val="sk-SK"/>
        </w:rPr>
        <w:t>rozmanitosti: a) rozvoj</w:t>
      </w:r>
      <w:r w:rsidR="00083739" w:rsidRPr="00083739">
        <w:rPr>
          <w:rFonts w:cs="Times New Roman"/>
          <w:noProof/>
          <w:lang w:val="sk-SK"/>
        </w:rPr>
        <w:t xml:space="preserve"> a </w:t>
      </w:r>
      <w:r w:rsidRPr="00083739">
        <w:rPr>
          <w:rFonts w:cs="Times New Roman"/>
          <w:noProof/>
          <w:lang w:val="sk-SK"/>
        </w:rPr>
        <w:t>poskytovanie programov odbornej prípravy</w:t>
      </w:r>
      <w:r w:rsidR="00083739" w:rsidRPr="00083739">
        <w:rPr>
          <w:rFonts w:cs="Times New Roman"/>
          <w:noProof/>
          <w:lang w:val="sk-SK"/>
        </w:rPr>
        <w:t xml:space="preserve"> v </w:t>
      </w:r>
      <w:r w:rsidRPr="00083739">
        <w:rPr>
          <w:rFonts w:cs="Times New Roman"/>
          <w:noProof/>
          <w:lang w:val="sk-SK"/>
        </w:rPr>
        <w:t>oblasti rozmanitosti pre zamestnancov</w:t>
      </w:r>
      <w:r w:rsidR="00083739" w:rsidRPr="00083739">
        <w:rPr>
          <w:rFonts w:cs="Times New Roman"/>
          <w:noProof/>
          <w:lang w:val="sk-SK"/>
        </w:rPr>
        <w:t xml:space="preserve"> v </w:t>
      </w:r>
      <w:r w:rsidRPr="00083739">
        <w:rPr>
          <w:rFonts w:cs="Times New Roman"/>
          <w:noProof/>
          <w:lang w:val="sk-SK"/>
        </w:rPr>
        <w:t>súkromnom sektore</w:t>
      </w:r>
      <w:r w:rsidR="00083739" w:rsidRPr="00083739">
        <w:rPr>
          <w:rFonts w:cs="Times New Roman"/>
          <w:noProof/>
          <w:lang w:val="sk-SK"/>
        </w:rPr>
        <w:t xml:space="preserve"> s </w:t>
      </w:r>
      <w:r w:rsidRPr="00083739">
        <w:rPr>
          <w:rFonts w:cs="Times New Roman"/>
          <w:noProof/>
          <w:lang w:val="sk-SK"/>
        </w:rPr>
        <w:t>cieľom bojovať proti diskriminácii všetkých rozmerov rozmanitosti na pracovisku;</w:t>
      </w:r>
      <w:r w:rsidR="00083739" w:rsidRPr="00083739">
        <w:rPr>
          <w:rFonts w:cs="Times New Roman"/>
          <w:noProof/>
          <w:lang w:val="sk-SK"/>
        </w:rPr>
        <w:t xml:space="preserve"> a </w:t>
      </w:r>
      <w:r w:rsidRPr="00083739">
        <w:rPr>
          <w:rFonts w:cs="Times New Roman"/>
          <w:noProof/>
          <w:lang w:val="sk-SK"/>
        </w:rPr>
        <w:t>b) vytvorenie konkrétneho mechanizmu na zber vhodných štatistických údajov týkajúcich sa rovnosti</w:t>
      </w:r>
      <w:r w:rsidR="00083739" w:rsidRPr="00083739">
        <w:rPr>
          <w:rFonts w:cs="Times New Roman"/>
          <w:noProof/>
          <w:lang w:val="sk-SK"/>
        </w:rPr>
        <w:t xml:space="preserve"> a </w:t>
      </w:r>
      <w:r w:rsidRPr="00083739">
        <w:rPr>
          <w:rFonts w:cs="Times New Roman"/>
          <w:noProof/>
          <w:lang w:val="sk-SK"/>
        </w:rPr>
        <w:t>diskriminácie</w:t>
      </w:r>
      <w:r w:rsidR="00083739" w:rsidRPr="00083739">
        <w:rPr>
          <w:rFonts w:cs="Times New Roman"/>
          <w:noProof/>
          <w:lang w:val="sk-SK"/>
        </w:rPr>
        <w:t>.</w:t>
      </w:r>
    </w:p>
    <w:p w14:paraId="6D2239AC" w14:textId="30B70F50" w:rsidR="002D49B0" w:rsidRPr="00083739" w:rsidRDefault="00BF4125">
      <w:pPr>
        <w:pStyle w:val="P68B1DB1-Normal4"/>
        <w:spacing w:before="120" w:after="120" w:line="240" w:lineRule="auto"/>
        <w:jc w:val="both"/>
        <w:rPr>
          <w:rFonts w:cs="Times New Roman"/>
          <w:b/>
          <w:noProof/>
          <w:lang w:val="sk-SK"/>
        </w:rPr>
      </w:pPr>
      <w:r w:rsidRPr="00083739">
        <w:rPr>
          <w:rFonts w:cs="Times New Roman"/>
          <w:noProof/>
          <w:lang w:val="sk-SK"/>
        </w:rPr>
        <w:t>Posilní sa úloha Strediska pre monitorovanie rovnosti, ktoré je operačnou zložkou ministerstva práce</w:t>
      </w:r>
      <w:r w:rsidR="00083739" w:rsidRPr="00083739">
        <w:rPr>
          <w:rFonts w:cs="Times New Roman"/>
          <w:noProof/>
          <w:lang w:val="sk-SK"/>
        </w:rPr>
        <w:t xml:space="preserve"> a </w:t>
      </w:r>
      <w:r w:rsidRPr="00083739">
        <w:rPr>
          <w:rFonts w:cs="Times New Roman"/>
          <w:noProof/>
          <w:lang w:val="sk-SK"/>
        </w:rPr>
        <w:t>sociálnych vecí,</w:t>
      </w:r>
      <w:r w:rsidR="00083739" w:rsidRPr="00083739">
        <w:rPr>
          <w:rFonts w:cs="Times New Roman"/>
          <w:noProof/>
          <w:lang w:val="sk-SK"/>
        </w:rPr>
        <w:t xml:space="preserve"> s </w:t>
      </w:r>
      <w:r w:rsidRPr="00083739">
        <w:rPr>
          <w:rFonts w:cs="Times New Roman"/>
          <w:noProof/>
          <w:lang w:val="sk-SK"/>
        </w:rPr>
        <w:t>cieľom vypracovať k</w:t>
      </w:r>
      <w:r w:rsidRPr="00083739">
        <w:rPr>
          <w:rFonts w:cs="Times New Roman"/>
          <w:noProof/>
          <w:lang w:val="sk-SK"/>
        </w:rPr>
        <w:t>omplexné správy,</w:t>
      </w:r>
      <w:r w:rsidR="00083739" w:rsidRPr="00083739">
        <w:rPr>
          <w:rFonts w:cs="Times New Roman"/>
          <w:noProof/>
          <w:lang w:val="sk-SK"/>
        </w:rPr>
        <w:t xml:space="preserve"> v </w:t>
      </w:r>
      <w:r w:rsidRPr="00083739">
        <w:rPr>
          <w:rFonts w:cs="Times New Roman"/>
          <w:noProof/>
          <w:lang w:val="sk-SK"/>
        </w:rPr>
        <w:t>ktorých sa posúdi súčasný stav rovnakých príležitostí. Okrem toho sa vytvorí mechanizmus certifikácie</w:t>
      </w:r>
      <w:r w:rsidR="00083739" w:rsidRPr="00083739">
        <w:rPr>
          <w:rFonts w:cs="Times New Roman"/>
          <w:noProof/>
          <w:lang w:val="sk-SK"/>
        </w:rPr>
        <w:t xml:space="preserve"> a </w:t>
      </w:r>
      <w:r w:rsidRPr="00083739">
        <w:rPr>
          <w:rFonts w:cs="Times New Roman"/>
          <w:noProof/>
          <w:lang w:val="sk-SK"/>
        </w:rPr>
        <w:t>systém udeľovania grantov pre podniky/organizácie podporujúce dobrú rozmanitosť</w:t>
      </w:r>
      <w:r w:rsidR="00083739" w:rsidRPr="00083739">
        <w:rPr>
          <w:rFonts w:cs="Times New Roman"/>
          <w:noProof/>
          <w:lang w:val="sk-SK"/>
        </w:rPr>
        <w:t xml:space="preserve"> a </w:t>
      </w:r>
      <w:r w:rsidRPr="00083739">
        <w:rPr>
          <w:rFonts w:cs="Times New Roman"/>
          <w:noProof/>
          <w:lang w:val="sk-SK"/>
        </w:rPr>
        <w:t>postupy začleňovania. Implementácia reformy</w:t>
      </w:r>
      <w:r w:rsidR="00083739" w:rsidRPr="00083739">
        <w:rPr>
          <w:rFonts w:cs="Times New Roman"/>
          <w:noProof/>
          <w:lang w:val="sk-SK"/>
        </w:rPr>
        <w:t xml:space="preserve"> a </w:t>
      </w:r>
      <w:r w:rsidRPr="00083739">
        <w:rPr>
          <w:rFonts w:cs="Times New Roman"/>
          <w:noProof/>
          <w:lang w:val="sk-SK"/>
        </w:rPr>
        <w:t>inves</w:t>
      </w:r>
      <w:r w:rsidRPr="00083739">
        <w:rPr>
          <w:rFonts w:cs="Times New Roman"/>
          <w:noProof/>
          <w:lang w:val="sk-SK"/>
        </w:rPr>
        <w:t>tície sa dokončia do 31</w:t>
      </w:r>
      <w:r w:rsidR="00083739" w:rsidRPr="00083739">
        <w:rPr>
          <w:rFonts w:cs="Times New Roman"/>
          <w:noProof/>
          <w:lang w:val="sk-SK"/>
        </w:rPr>
        <w:t>. marca</w:t>
      </w:r>
      <w:r w:rsidRPr="00083739">
        <w:rPr>
          <w:rFonts w:cs="Times New Roman"/>
          <w:noProof/>
          <w:lang w:val="sk-SK"/>
        </w:rPr>
        <w:t xml:space="preserve"> 2025.</w:t>
      </w:r>
    </w:p>
    <w:p w14:paraId="48DDA5A2" w14:textId="7777777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Podporovať integráciu utečencov do trhu práce (opatrenie ID: 16688)</w:t>
      </w:r>
    </w:p>
    <w:p w14:paraId="7A28241F" w14:textId="6FE11521" w:rsidR="002D49B0" w:rsidRPr="00083739" w:rsidRDefault="00BF4125">
      <w:pPr>
        <w:pStyle w:val="P68B1DB1-Normal4"/>
        <w:spacing w:before="120" w:after="0" w:line="240" w:lineRule="auto"/>
        <w:jc w:val="both"/>
        <w:rPr>
          <w:rFonts w:cs="Times New Roman"/>
          <w:noProof/>
          <w:szCs w:val="24"/>
          <w:lang w:val="sk-SK"/>
        </w:rPr>
      </w:pPr>
      <w:r w:rsidRPr="00083739">
        <w:rPr>
          <w:rFonts w:cs="Times New Roman"/>
          <w:noProof/>
          <w:lang w:val="sk-SK"/>
        </w:rPr>
        <w:t>Cieľom investície je podporiť integráciu utečencov do trhu práce. To sa dosiahne vykonávaním odbornej prípravy</w:t>
      </w:r>
      <w:r w:rsidR="00083739" w:rsidRPr="00083739">
        <w:rPr>
          <w:rFonts w:cs="Times New Roman"/>
          <w:noProof/>
          <w:lang w:val="sk-SK"/>
        </w:rPr>
        <w:t xml:space="preserve"> a </w:t>
      </w:r>
      <w:r w:rsidRPr="00083739">
        <w:rPr>
          <w:rFonts w:cs="Times New Roman"/>
          <w:noProof/>
          <w:lang w:val="sk-SK"/>
        </w:rPr>
        <w:t>stáží, ktoré pomôžu utečen</w:t>
      </w:r>
      <w:r w:rsidRPr="00083739">
        <w:rPr>
          <w:rFonts w:cs="Times New Roman"/>
          <w:noProof/>
          <w:lang w:val="sk-SK"/>
        </w:rPr>
        <w:t>com, konkrétnym utečencom vrátane osôb, ktorým bola priznaná medzinárodná ochrana (osobám</w:t>
      </w:r>
      <w:r w:rsidR="00083739" w:rsidRPr="00083739">
        <w:rPr>
          <w:rFonts w:cs="Times New Roman"/>
          <w:noProof/>
          <w:lang w:val="sk-SK"/>
        </w:rPr>
        <w:t xml:space="preserve"> s </w:t>
      </w:r>
      <w:r w:rsidRPr="00083739">
        <w:rPr>
          <w:rFonts w:cs="Times New Roman"/>
          <w:noProof/>
          <w:lang w:val="sk-SK"/>
        </w:rPr>
        <w:t>postavením medzinárodnej ochrany)</w:t>
      </w:r>
      <w:r w:rsidR="00083739" w:rsidRPr="00083739">
        <w:rPr>
          <w:rFonts w:cs="Times New Roman"/>
          <w:noProof/>
          <w:lang w:val="sk-SK"/>
        </w:rPr>
        <w:t xml:space="preserve"> s </w:t>
      </w:r>
      <w:r w:rsidRPr="00083739">
        <w:rPr>
          <w:rFonts w:cs="Times New Roman"/>
          <w:noProof/>
          <w:lang w:val="sk-SK"/>
        </w:rPr>
        <w:t>pobytom buď</w:t>
      </w:r>
      <w:r w:rsidR="00083739" w:rsidRPr="00083739">
        <w:rPr>
          <w:rFonts w:cs="Times New Roman"/>
          <w:noProof/>
          <w:lang w:val="sk-SK"/>
        </w:rPr>
        <w:t xml:space="preserve"> v </w:t>
      </w:r>
      <w:r w:rsidRPr="00083739">
        <w:rPr>
          <w:rFonts w:cs="Times New Roman"/>
          <w:noProof/>
          <w:lang w:val="sk-SK"/>
        </w:rPr>
        <w:t>ubytovacích zariadeniach ministerstva pre migráciu</w:t>
      </w:r>
      <w:r w:rsidR="00083739" w:rsidRPr="00083739">
        <w:rPr>
          <w:rFonts w:cs="Times New Roman"/>
          <w:noProof/>
          <w:lang w:val="sk-SK"/>
        </w:rPr>
        <w:t xml:space="preserve"> a </w:t>
      </w:r>
      <w:r w:rsidRPr="00083739">
        <w:rPr>
          <w:rFonts w:cs="Times New Roman"/>
          <w:noProof/>
          <w:lang w:val="sk-SK"/>
        </w:rPr>
        <w:t>azyl, alebo</w:t>
      </w:r>
      <w:r w:rsidR="00083739" w:rsidRPr="00083739">
        <w:rPr>
          <w:rFonts w:cs="Times New Roman"/>
          <w:noProof/>
          <w:lang w:val="sk-SK"/>
        </w:rPr>
        <w:t xml:space="preserve"> v </w:t>
      </w:r>
      <w:r w:rsidRPr="00083739">
        <w:rPr>
          <w:rFonts w:cs="Times New Roman"/>
          <w:noProof/>
          <w:lang w:val="sk-SK"/>
        </w:rPr>
        <w:t>mestskej oblasti, osobám požívajúcim dočasnú oc</w:t>
      </w:r>
      <w:r w:rsidRPr="00083739">
        <w:rPr>
          <w:rFonts w:cs="Times New Roman"/>
          <w:noProof/>
          <w:lang w:val="sk-SK"/>
        </w:rPr>
        <w:t>hranu,</w:t>
      </w:r>
      <w:r w:rsidR="00083739" w:rsidRPr="00083739">
        <w:rPr>
          <w:rFonts w:cs="Times New Roman"/>
          <w:noProof/>
          <w:lang w:val="sk-SK"/>
        </w:rPr>
        <w:t xml:space="preserve"> a </w:t>
      </w:r>
      <w:r w:rsidRPr="00083739">
        <w:rPr>
          <w:rFonts w:cs="Times New Roman"/>
          <w:noProof/>
          <w:lang w:val="sk-SK"/>
        </w:rPr>
        <w:t>teda aj Ukrajincom, osobám</w:t>
      </w:r>
      <w:r w:rsidR="00083739" w:rsidRPr="00083739">
        <w:rPr>
          <w:rFonts w:cs="Times New Roman"/>
          <w:noProof/>
          <w:lang w:val="sk-SK"/>
        </w:rPr>
        <w:t xml:space="preserve"> s </w:t>
      </w:r>
      <w:r w:rsidRPr="00083739">
        <w:rPr>
          <w:rFonts w:cs="Times New Roman"/>
          <w:noProof/>
          <w:lang w:val="sk-SK"/>
        </w:rPr>
        <w:t>oprávneným pobytom (legálnym migrantom)</w:t>
      </w:r>
      <w:r w:rsidR="00083739" w:rsidRPr="00083739">
        <w:rPr>
          <w:rFonts w:cs="Times New Roman"/>
          <w:noProof/>
          <w:lang w:val="sk-SK"/>
        </w:rPr>
        <w:t xml:space="preserve"> a </w:t>
      </w:r>
      <w:r w:rsidRPr="00083739">
        <w:rPr>
          <w:rFonts w:cs="Times New Roman"/>
          <w:noProof/>
          <w:lang w:val="sk-SK"/>
        </w:rPr>
        <w:t>žiadateľom</w:t>
      </w:r>
      <w:r w:rsidR="00083739" w:rsidRPr="00083739">
        <w:rPr>
          <w:rFonts w:cs="Times New Roman"/>
          <w:noProof/>
          <w:lang w:val="sk-SK"/>
        </w:rPr>
        <w:t xml:space="preserve"> o </w:t>
      </w:r>
      <w:r w:rsidRPr="00083739">
        <w:rPr>
          <w:rFonts w:cs="Times New Roman"/>
          <w:noProof/>
          <w:lang w:val="sk-SK"/>
        </w:rPr>
        <w:t>azyl</w:t>
      </w:r>
      <w:r w:rsidR="00083739" w:rsidRPr="00083739">
        <w:rPr>
          <w:rFonts w:cs="Times New Roman"/>
          <w:noProof/>
          <w:lang w:val="sk-SK"/>
        </w:rPr>
        <w:t xml:space="preserve"> v </w:t>
      </w:r>
      <w:r w:rsidRPr="00083739">
        <w:rPr>
          <w:rFonts w:cs="Times New Roman"/>
          <w:noProof/>
          <w:lang w:val="sk-SK"/>
        </w:rPr>
        <w:t>súvislosti</w:t>
      </w:r>
      <w:r w:rsidR="00083739" w:rsidRPr="00083739">
        <w:rPr>
          <w:rFonts w:cs="Times New Roman"/>
          <w:noProof/>
          <w:lang w:val="sk-SK"/>
        </w:rPr>
        <w:t xml:space="preserve"> s </w:t>
      </w:r>
      <w:r w:rsidRPr="00083739">
        <w:rPr>
          <w:rFonts w:cs="Times New Roman"/>
          <w:noProof/>
          <w:lang w:val="sk-SK"/>
        </w:rPr>
        <w:t>predintegráciou,</w:t>
      </w:r>
      <w:r w:rsidR="00083739" w:rsidRPr="00083739">
        <w:rPr>
          <w:rFonts w:cs="Times New Roman"/>
          <w:noProof/>
          <w:lang w:val="sk-SK"/>
        </w:rPr>
        <w:t xml:space="preserve"> s </w:t>
      </w:r>
      <w:r w:rsidRPr="00083739">
        <w:rPr>
          <w:rFonts w:cs="Times New Roman"/>
          <w:noProof/>
          <w:lang w:val="sk-SK"/>
        </w:rPr>
        <w:t>ich integráciou do trhu práce. Realizácia investície sa ukončí do 31</w:t>
      </w:r>
      <w:r w:rsidR="00083739" w:rsidRPr="00083739">
        <w:rPr>
          <w:rFonts w:cs="Times New Roman"/>
          <w:noProof/>
          <w:lang w:val="sk-SK"/>
        </w:rPr>
        <w:t>. decembra</w:t>
      </w:r>
      <w:r w:rsidRPr="00083739">
        <w:rPr>
          <w:rFonts w:cs="Times New Roman"/>
          <w:noProof/>
          <w:lang w:val="sk-SK"/>
        </w:rPr>
        <w:t xml:space="preserve"> 2025.</w:t>
      </w:r>
    </w:p>
    <w:p w14:paraId="70FEA528" w14:textId="03510BBF"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Digitálna transformácia pri</w:t>
      </w:r>
      <w:r w:rsidRPr="00083739">
        <w:rPr>
          <w:rFonts w:cs="Times New Roman"/>
          <w:noProof/>
          <w:lang w:val="sk-SK"/>
        </w:rPr>
        <w:t>sťahovaleckého</w:t>
      </w:r>
      <w:r w:rsidR="00083739" w:rsidRPr="00083739">
        <w:rPr>
          <w:rFonts w:cs="Times New Roman"/>
          <w:noProof/>
          <w:lang w:val="sk-SK"/>
        </w:rPr>
        <w:t xml:space="preserve"> a </w:t>
      </w:r>
      <w:r w:rsidRPr="00083739">
        <w:rPr>
          <w:rFonts w:cs="Times New Roman"/>
          <w:noProof/>
          <w:lang w:val="sk-SK"/>
        </w:rPr>
        <w:t>azylového systému (ID opatrenia: 16763)</w:t>
      </w:r>
    </w:p>
    <w:p w14:paraId="7412DEF2" w14:textId="3DB078E5"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Realizácia investície má za následok podstatne lepšiu kvalitu služieb pre dotknutých príjemcov. Prostredníctvom digitalizácie migračného</w:t>
      </w:r>
      <w:r w:rsidR="00083739" w:rsidRPr="00083739">
        <w:rPr>
          <w:rFonts w:cs="Times New Roman"/>
          <w:noProof/>
          <w:lang w:val="sk-SK"/>
        </w:rPr>
        <w:t xml:space="preserve"> a </w:t>
      </w:r>
      <w:r w:rsidRPr="00083739">
        <w:rPr>
          <w:rFonts w:cs="Times New Roman"/>
          <w:noProof/>
          <w:lang w:val="sk-SK"/>
        </w:rPr>
        <w:t>azylového systému sa riešia tieto kritické otázky:</w:t>
      </w:r>
    </w:p>
    <w:p w14:paraId="12FFEE04" w14:textId="30057BC9" w:rsidR="002D49B0" w:rsidRPr="00083739" w:rsidRDefault="00BF4125">
      <w:pPr>
        <w:pStyle w:val="P68B1DB1-Normal4"/>
        <w:numPr>
          <w:ilvl w:val="0"/>
          <w:numId w:val="68"/>
        </w:numPr>
        <w:spacing w:before="120" w:after="120" w:line="240" w:lineRule="auto"/>
        <w:ind w:left="426" w:hanging="426"/>
        <w:jc w:val="both"/>
        <w:rPr>
          <w:rFonts w:cs="Times New Roman"/>
          <w:noProof/>
          <w:lang w:val="sk-SK"/>
        </w:rPr>
      </w:pPr>
      <w:r w:rsidRPr="00083739">
        <w:rPr>
          <w:rFonts w:cs="Times New Roman"/>
          <w:noProof/>
          <w:lang w:val="sk-SK"/>
        </w:rPr>
        <w:t xml:space="preserve">Jednotné </w:t>
      </w:r>
      <w:r w:rsidRPr="00083739">
        <w:rPr>
          <w:rFonts w:cs="Times New Roman"/>
          <w:noProof/>
          <w:lang w:val="sk-SK"/>
        </w:rPr>
        <w:t>riadenie celého životného cyklu postupov súvisiacich</w:t>
      </w:r>
      <w:r w:rsidR="00083739" w:rsidRPr="00083739">
        <w:rPr>
          <w:rFonts w:cs="Times New Roman"/>
          <w:noProof/>
          <w:lang w:val="sk-SK"/>
        </w:rPr>
        <w:t xml:space="preserve"> s </w:t>
      </w:r>
      <w:r w:rsidRPr="00083739">
        <w:rPr>
          <w:rFonts w:cs="Times New Roman"/>
          <w:noProof/>
          <w:lang w:val="sk-SK"/>
        </w:rPr>
        <w:t>tokmi utečencov, od prvého prijatia až po dokončenie preskúmania prípadu týkajúceho sa azylu,</w:t>
      </w:r>
    </w:p>
    <w:p w14:paraId="7F5ACBEB" w14:textId="71D0D28D" w:rsidR="002D49B0" w:rsidRPr="00083739" w:rsidRDefault="00BF4125">
      <w:pPr>
        <w:pStyle w:val="P68B1DB1-Normal4"/>
        <w:numPr>
          <w:ilvl w:val="0"/>
          <w:numId w:val="68"/>
        </w:numPr>
        <w:spacing w:before="120" w:after="120" w:line="240" w:lineRule="auto"/>
        <w:ind w:left="426" w:hanging="426"/>
        <w:jc w:val="both"/>
        <w:rPr>
          <w:rFonts w:cs="Times New Roman"/>
          <w:noProof/>
          <w:lang w:val="sk-SK"/>
        </w:rPr>
      </w:pPr>
      <w:r w:rsidRPr="00083739">
        <w:rPr>
          <w:rFonts w:cs="Times New Roman"/>
          <w:noProof/>
          <w:lang w:val="sk-SK"/>
        </w:rPr>
        <w:t>Integrovaný zber informácií</w:t>
      </w:r>
      <w:r w:rsidR="00083739" w:rsidRPr="00083739">
        <w:rPr>
          <w:rFonts w:cs="Times New Roman"/>
          <w:noProof/>
          <w:lang w:val="sk-SK"/>
        </w:rPr>
        <w:t xml:space="preserve"> v </w:t>
      </w:r>
      <w:r w:rsidRPr="00083739">
        <w:rPr>
          <w:rFonts w:cs="Times New Roman"/>
          <w:noProof/>
          <w:lang w:val="sk-SK"/>
        </w:rPr>
        <w:t>reálnom čase všetkými zúčastnenými orgánmi,</w:t>
      </w:r>
    </w:p>
    <w:p w14:paraId="2663E563" w14:textId="77777777" w:rsidR="00083739" w:rsidRPr="00083739" w:rsidRDefault="00BF4125">
      <w:pPr>
        <w:pStyle w:val="P68B1DB1-Normal4"/>
        <w:numPr>
          <w:ilvl w:val="0"/>
          <w:numId w:val="68"/>
        </w:numPr>
        <w:spacing w:before="120" w:after="120" w:line="240" w:lineRule="auto"/>
        <w:ind w:left="426" w:hanging="426"/>
        <w:jc w:val="both"/>
        <w:rPr>
          <w:rFonts w:cs="Times New Roman"/>
          <w:noProof/>
          <w:lang w:val="sk-SK"/>
        </w:rPr>
      </w:pPr>
      <w:r w:rsidRPr="00083739">
        <w:rPr>
          <w:rFonts w:cs="Times New Roman"/>
          <w:noProof/>
          <w:lang w:val="sk-SK"/>
        </w:rPr>
        <w:t>Bezpečná</w:t>
      </w:r>
      <w:r w:rsidR="00083739" w:rsidRPr="00083739">
        <w:rPr>
          <w:rFonts w:cs="Times New Roman"/>
          <w:noProof/>
          <w:lang w:val="sk-SK"/>
        </w:rPr>
        <w:t xml:space="preserve"> a </w:t>
      </w:r>
      <w:r w:rsidRPr="00083739">
        <w:rPr>
          <w:rFonts w:cs="Times New Roman"/>
          <w:noProof/>
          <w:lang w:val="sk-SK"/>
        </w:rPr>
        <w:t>platná identifikácia o</w:t>
      </w:r>
      <w:r w:rsidRPr="00083739">
        <w:rPr>
          <w:rFonts w:cs="Times New Roman"/>
          <w:noProof/>
          <w:lang w:val="sk-SK"/>
        </w:rPr>
        <w:t>sôb vstupujúcich do krajiny prostredníctvom postupov zahŕňajúcich prijímanie biometrických údajov</w:t>
      </w:r>
      <w:r w:rsidR="00083739" w:rsidRPr="00083739">
        <w:rPr>
          <w:rFonts w:cs="Times New Roman"/>
          <w:noProof/>
          <w:lang w:val="sk-SK"/>
        </w:rPr>
        <w:t xml:space="preserve"> a </w:t>
      </w:r>
      <w:r w:rsidRPr="00083739">
        <w:rPr>
          <w:rFonts w:cs="Times New Roman"/>
          <w:noProof/>
          <w:lang w:val="sk-SK"/>
        </w:rPr>
        <w:t>vydanie „inteligentného“ preukazu totožnosti,</w:t>
      </w:r>
    </w:p>
    <w:p w14:paraId="4E07C3C7" w14:textId="77777777" w:rsidR="00083739" w:rsidRPr="00083739" w:rsidRDefault="00BF4125">
      <w:pPr>
        <w:pStyle w:val="P68B1DB1-Normal4"/>
        <w:numPr>
          <w:ilvl w:val="0"/>
          <w:numId w:val="68"/>
        </w:numPr>
        <w:spacing w:before="120" w:after="120" w:line="240" w:lineRule="auto"/>
        <w:ind w:left="426" w:hanging="426"/>
        <w:jc w:val="both"/>
        <w:rPr>
          <w:rFonts w:cs="Times New Roman"/>
          <w:noProof/>
          <w:lang w:val="sk-SK"/>
        </w:rPr>
      </w:pPr>
      <w:r w:rsidRPr="00083739">
        <w:rPr>
          <w:rFonts w:cs="Times New Roman"/>
          <w:noProof/>
          <w:lang w:val="sk-SK"/>
        </w:rPr>
        <w:t>Webovú</w:t>
      </w:r>
      <w:r w:rsidR="00083739" w:rsidRPr="00083739">
        <w:rPr>
          <w:rFonts w:cs="Times New Roman"/>
          <w:noProof/>
          <w:lang w:val="sk-SK"/>
        </w:rPr>
        <w:t xml:space="preserve"> a </w:t>
      </w:r>
      <w:r w:rsidRPr="00083739">
        <w:rPr>
          <w:rFonts w:cs="Times New Roman"/>
          <w:noProof/>
          <w:lang w:val="sk-SK"/>
        </w:rPr>
        <w:t>mobilnú aplikáciu na interakciu</w:t>
      </w:r>
      <w:r w:rsidR="00083739" w:rsidRPr="00083739">
        <w:rPr>
          <w:rFonts w:cs="Times New Roman"/>
          <w:noProof/>
          <w:lang w:val="sk-SK"/>
        </w:rPr>
        <w:t xml:space="preserve"> a </w:t>
      </w:r>
      <w:r w:rsidRPr="00083739">
        <w:rPr>
          <w:rFonts w:cs="Times New Roman"/>
          <w:noProof/>
          <w:lang w:val="sk-SK"/>
        </w:rPr>
        <w:t>komunikáciu</w:t>
      </w:r>
      <w:r w:rsidR="00083739" w:rsidRPr="00083739">
        <w:rPr>
          <w:rFonts w:cs="Times New Roman"/>
          <w:noProof/>
          <w:lang w:val="sk-SK"/>
        </w:rPr>
        <w:t xml:space="preserve"> s </w:t>
      </w:r>
      <w:r w:rsidRPr="00083739">
        <w:rPr>
          <w:rFonts w:cs="Times New Roman"/>
          <w:noProof/>
          <w:lang w:val="sk-SK"/>
        </w:rPr>
        <w:t>utečencami</w:t>
      </w:r>
      <w:r w:rsidR="00083739" w:rsidRPr="00083739">
        <w:rPr>
          <w:rFonts w:cs="Times New Roman"/>
          <w:noProof/>
          <w:lang w:val="sk-SK"/>
        </w:rPr>
        <w:t xml:space="preserve"> a</w:t>
      </w:r>
    </w:p>
    <w:p w14:paraId="1E49ED8C" w14:textId="6163D5A3" w:rsidR="002D49B0" w:rsidRPr="00083739" w:rsidRDefault="00BF4125">
      <w:pPr>
        <w:pStyle w:val="P68B1DB1-Normal4"/>
        <w:numPr>
          <w:ilvl w:val="0"/>
          <w:numId w:val="68"/>
        </w:numPr>
        <w:spacing w:before="120" w:after="120" w:line="240" w:lineRule="auto"/>
        <w:ind w:left="426" w:hanging="426"/>
        <w:jc w:val="both"/>
        <w:rPr>
          <w:rFonts w:cs="Times New Roman"/>
          <w:noProof/>
          <w:lang w:val="sk-SK"/>
        </w:rPr>
      </w:pPr>
      <w:r w:rsidRPr="00083739">
        <w:rPr>
          <w:rFonts w:cs="Times New Roman"/>
          <w:noProof/>
          <w:lang w:val="sk-SK"/>
        </w:rPr>
        <w:t xml:space="preserve"> Služby infraštruktúry kybernetickej bez</w:t>
      </w:r>
      <w:r w:rsidRPr="00083739">
        <w:rPr>
          <w:rFonts w:cs="Times New Roman"/>
          <w:noProof/>
          <w:lang w:val="sk-SK"/>
        </w:rPr>
        <w:t>pečnosti na ochranu informačných infraštruktúr ministerstva migrácie</w:t>
      </w:r>
      <w:r w:rsidR="00083739" w:rsidRPr="00083739">
        <w:rPr>
          <w:rFonts w:cs="Times New Roman"/>
          <w:noProof/>
          <w:lang w:val="sk-SK"/>
        </w:rPr>
        <w:t xml:space="preserve"> a </w:t>
      </w:r>
      <w:r w:rsidRPr="00083739">
        <w:rPr>
          <w:rFonts w:cs="Times New Roman"/>
          <w:noProof/>
          <w:lang w:val="sk-SK"/>
        </w:rPr>
        <w:t>azylu</w:t>
      </w:r>
    </w:p>
    <w:p w14:paraId="7696A563" w14:textId="3AB30CEF" w:rsidR="00083739" w:rsidRPr="00083739" w:rsidRDefault="00BF4125">
      <w:pPr>
        <w:pStyle w:val="P68B1DB1-Normal4"/>
        <w:jc w:val="both"/>
        <w:rPr>
          <w:rFonts w:cs="Times New Roman"/>
          <w:noProof/>
          <w:lang w:val="sk-SK"/>
        </w:rPr>
      </w:pPr>
      <w:r w:rsidRPr="00083739">
        <w:rPr>
          <w:rFonts w:cs="Times New Roman"/>
          <w:noProof/>
          <w:lang w:val="sk-SK"/>
        </w:rPr>
        <w:t>Investícia tiež umožní vytvorenie integrovaného systému hlásenia požiarov</w:t>
      </w:r>
      <w:r w:rsidR="00083739" w:rsidRPr="00083739">
        <w:rPr>
          <w:rFonts w:cs="Times New Roman"/>
          <w:noProof/>
          <w:lang w:val="sk-SK"/>
        </w:rPr>
        <w:t xml:space="preserve"> a </w:t>
      </w:r>
      <w:r w:rsidRPr="00083739">
        <w:rPr>
          <w:rFonts w:cs="Times New Roman"/>
          <w:noProof/>
          <w:lang w:val="sk-SK"/>
        </w:rPr>
        <w:t>včasného varovania</w:t>
      </w:r>
      <w:r w:rsidR="00083739" w:rsidRPr="00083739">
        <w:rPr>
          <w:rFonts w:cs="Times New Roman"/>
          <w:noProof/>
          <w:lang w:val="sk-SK"/>
        </w:rPr>
        <w:t xml:space="preserve"> v </w:t>
      </w:r>
      <w:r w:rsidRPr="00083739">
        <w:rPr>
          <w:rFonts w:cs="Times New Roman"/>
          <w:noProof/>
          <w:lang w:val="sk-SK"/>
        </w:rPr>
        <w:t>lesnej oblasti Vastria na ostrove Lesbos,</w:t>
      </w:r>
      <w:r w:rsidR="00083739" w:rsidRPr="00083739">
        <w:rPr>
          <w:rFonts w:cs="Times New Roman"/>
          <w:noProof/>
          <w:lang w:val="sk-SK"/>
        </w:rPr>
        <w:t xml:space="preserve"> v </w:t>
      </w:r>
      <w:r w:rsidRPr="00083739">
        <w:rPr>
          <w:rFonts w:cs="Times New Roman"/>
          <w:noProof/>
          <w:lang w:val="sk-SK"/>
        </w:rPr>
        <w:t>ktorej sa nachádza utečenecký tábor</w:t>
      </w:r>
      <w:r w:rsidR="00083739" w:rsidRPr="00083739">
        <w:rPr>
          <w:rFonts w:cs="Times New Roman"/>
          <w:noProof/>
          <w:lang w:val="sk-SK"/>
        </w:rPr>
        <w:t>.</w:t>
      </w:r>
    </w:p>
    <w:p w14:paraId="3A8CFD10" w14:textId="4A6EE895"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I</w:t>
      </w:r>
      <w:r w:rsidRPr="00083739">
        <w:rPr>
          <w:rFonts w:cs="Times New Roman"/>
          <w:noProof/>
          <w:lang w:val="sk-SK"/>
        </w:rPr>
        <w:t>mplementácia investície sa dokončí do 31</w:t>
      </w:r>
      <w:r w:rsidR="00083739" w:rsidRPr="00083739">
        <w:rPr>
          <w:rFonts w:cs="Times New Roman"/>
          <w:noProof/>
          <w:lang w:val="sk-SK"/>
        </w:rPr>
        <w:t>. decembra</w:t>
      </w:r>
      <w:r w:rsidRPr="00083739">
        <w:rPr>
          <w:rFonts w:cs="Times New Roman"/>
          <w:noProof/>
          <w:lang w:val="sk-SK"/>
        </w:rPr>
        <w:t xml:space="preserve"> 2024.</w:t>
      </w:r>
    </w:p>
    <w:p w14:paraId="4DD53085" w14:textId="77777777" w:rsidR="002D49B0" w:rsidRPr="00083739" w:rsidRDefault="002D49B0">
      <w:pPr>
        <w:spacing w:before="120" w:after="120" w:line="240" w:lineRule="auto"/>
        <w:jc w:val="both"/>
        <w:rPr>
          <w:rFonts w:ascii="Times New Roman" w:hAnsi="Times New Roman" w:cs="Times New Roman"/>
          <w:noProof/>
          <w:sz w:val="24"/>
          <w:lang w:val="sk-SK"/>
        </w:rPr>
      </w:pPr>
    </w:p>
    <w:p w14:paraId="06B332C4" w14:textId="6D83B051" w:rsidR="002D49B0" w:rsidRPr="00083739" w:rsidRDefault="00BF4125">
      <w:pPr>
        <w:spacing w:before="120" w:after="120" w:line="240" w:lineRule="auto"/>
        <w:jc w:val="both"/>
        <w:rPr>
          <w:rFonts w:ascii="Times New Roman" w:hAnsi="Times New Roman" w:cs="Times New Roman"/>
          <w:noProof/>
          <w:color w:val="000000" w:themeColor="text1"/>
          <w:sz w:val="24"/>
          <w:szCs w:val="24"/>
          <w:lang w:val="sk-SK"/>
        </w:rPr>
      </w:pPr>
      <w:r w:rsidRPr="00083739">
        <w:rPr>
          <w:rFonts w:ascii="Times New Roman" w:hAnsi="Times New Roman" w:cs="Times New Roman"/>
          <w:b/>
          <w:noProof/>
          <w:color w:val="000000" w:themeColor="text1"/>
          <w:sz w:val="24"/>
          <w:szCs w:val="24"/>
          <w:lang w:val="sk-SK"/>
        </w:rPr>
        <w:t>Reforma:</w:t>
      </w:r>
      <w:r w:rsidRPr="00083739">
        <w:rPr>
          <w:rFonts w:ascii="Times New Roman" w:hAnsi="Times New Roman" w:cs="Times New Roman"/>
          <w:noProof/>
          <w:color w:val="000000" w:themeColor="text1"/>
          <w:sz w:val="24"/>
          <w:szCs w:val="24"/>
          <w:lang w:val="sk-SK"/>
        </w:rPr>
        <w:t xml:space="preserve"> </w:t>
      </w:r>
      <w:r w:rsidRPr="00083739">
        <w:rPr>
          <w:rStyle w:val="normaltextrun"/>
          <w:rFonts w:ascii="Times New Roman" w:eastAsiaTheme="minorHAnsi" w:hAnsi="Times New Roman" w:cs="Times New Roman"/>
          <w:noProof/>
          <w:color w:val="000000" w:themeColor="text1"/>
          <w:sz w:val="24"/>
          <w:szCs w:val="24"/>
          <w:bdr w:val="none" w:sz="0" w:space="0" w:color="auto" w:frame="1"/>
          <w:lang w:val="sk-SK"/>
        </w:rPr>
        <w:t>Sociálne</w:t>
      </w:r>
      <w:r w:rsidR="00083739" w:rsidRPr="00083739">
        <w:rPr>
          <w:rFonts w:ascii="Times New Roman" w:hAnsi="Times New Roman" w:cs="Times New Roman"/>
          <w:noProof/>
          <w:color w:val="000000" w:themeColor="text1"/>
          <w:sz w:val="24"/>
          <w:szCs w:val="24"/>
          <w:lang w:val="sk-SK"/>
        </w:rPr>
        <w:t xml:space="preserve"> a </w:t>
      </w:r>
      <w:r w:rsidRPr="00083739">
        <w:rPr>
          <w:rFonts w:ascii="Times New Roman" w:hAnsi="Times New Roman" w:cs="Times New Roman"/>
          <w:noProof/>
          <w:color w:val="000000" w:themeColor="text1"/>
          <w:sz w:val="24"/>
          <w:szCs w:val="24"/>
          <w:lang w:val="sk-SK"/>
        </w:rPr>
        <w:t>cenovo dostupné bývanie (ID opatrenia: 16402)</w:t>
      </w:r>
    </w:p>
    <w:p w14:paraId="0243AE72" w14:textId="381CA250" w:rsidR="00083739" w:rsidRPr="00083739" w:rsidRDefault="00BF4125">
      <w:pPr>
        <w:pStyle w:val="paragraph"/>
        <w:jc w:val="both"/>
        <w:textAlignment w:val="baseline"/>
        <w:rPr>
          <w:noProof/>
          <w:lang w:val="sk-SK"/>
        </w:rPr>
      </w:pPr>
      <w:r w:rsidRPr="00083739">
        <w:rPr>
          <w:noProof/>
          <w:lang w:val="sk-SK"/>
        </w:rPr>
        <w:t>Cieľom reformy je zlepšiť prístup domácností</w:t>
      </w:r>
      <w:r w:rsidR="00083739" w:rsidRPr="00083739">
        <w:rPr>
          <w:noProof/>
          <w:lang w:val="sk-SK"/>
        </w:rPr>
        <w:t xml:space="preserve"> s </w:t>
      </w:r>
      <w:r w:rsidRPr="00083739">
        <w:rPr>
          <w:noProof/>
          <w:lang w:val="sk-SK"/>
        </w:rPr>
        <w:t>nízkymi príjmami</w:t>
      </w:r>
      <w:r w:rsidR="00083739" w:rsidRPr="00083739">
        <w:rPr>
          <w:noProof/>
          <w:lang w:val="sk-SK"/>
        </w:rPr>
        <w:t xml:space="preserve"> k </w:t>
      </w:r>
      <w:r w:rsidRPr="00083739">
        <w:rPr>
          <w:noProof/>
          <w:lang w:val="sk-SK"/>
        </w:rPr>
        <w:t>cenovo dostupnému</w:t>
      </w:r>
      <w:r w:rsidR="00083739" w:rsidRPr="00083739">
        <w:rPr>
          <w:noProof/>
          <w:lang w:val="sk-SK"/>
        </w:rPr>
        <w:t xml:space="preserve"> a </w:t>
      </w:r>
      <w:r w:rsidRPr="00083739">
        <w:rPr>
          <w:noProof/>
          <w:lang w:val="sk-SK"/>
        </w:rPr>
        <w:t>kvalitnému bývaniu</w:t>
      </w:r>
      <w:r w:rsidR="00083739" w:rsidRPr="00083739">
        <w:rPr>
          <w:noProof/>
          <w:lang w:val="sk-SK"/>
        </w:rPr>
        <w:t xml:space="preserve"> a </w:t>
      </w:r>
      <w:r w:rsidRPr="00083739">
        <w:rPr>
          <w:noProof/>
          <w:lang w:val="sk-SK"/>
        </w:rPr>
        <w:t xml:space="preserve">zvýšiť dostupnosť </w:t>
      </w:r>
      <w:r w:rsidRPr="00083739">
        <w:rPr>
          <w:noProof/>
          <w:lang w:val="sk-SK"/>
        </w:rPr>
        <w:t>sociálneho bývania pre zraniteľné skupiny. Reforma pozostáva</w:t>
      </w:r>
      <w:r w:rsidR="00083739" w:rsidRPr="00083739">
        <w:rPr>
          <w:noProof/>
          <w:lang w:val="sk-SK"/>
        </w:rPr>
        <w:t xml:space="preserve"> z </w:t>
      </w:r>
      <w:r w:rsidRPr="00083739">
        <w:rPr>
          <w:noProof/>
          <w:lang w:val="sk-SK"/>
        </w:rPr>
        <w:t>dvoch prvkov,</w:t>
      </w:r>
      <w:r w:rsidR="00083739" w:rsidRPr="00083739">
        <w:rPr>
          <w:noProof/>
          <w:lang w:val="sk-SK"/>
        </w:rPr>
        <w:t xml:space="preserve"> a </w:t>
      </w:r>
      <w:r w:rsidRPr="00083739">
        <w:rPr>
          <w:noProof/>
          <w:lang w:val="sk-SK"/>
        </w:rPr>
        <w:t>to i) prijatia národnej stratégie bývania</w:t>
      </w:r>
      <w:r w:rsidR="00083739" w:rsidRPr="00083739">
        <w:rPr>
          <w:noProof/>
          <w:lang w:val="sk-SK"/>
        </w:rPr>
        <w:t xml:space="preserve"> a </w:t>
      </w:r>
      <w:r w:rsidRPr="00083739">
        <w:rPr>
          <w:noProof/>
          <w:lang w:val="sk-SK"/>
        </w:rPr>
        <w:t>ii) legislatívnych zmien zákona č. 5006/2022</w:t>
      </w:r>
      <w:r w:rsidR="00083739" w:rsidRPr="00083739">
        <w:rPr>
          <w:noProof/>
          <w:lang w:val="sk-SK"/>
        </w:rPr>
        <w:t>.</w:t>
      </w:r>
    </w:p>
    <w:p w14:paraId="70336F0B" w14:textId="69AF1A4E" w:rsidR="00083739" w:rsidRPr="00083739" w:rsidRDefault="00BF4125">
      <w:pPr>
        <w:pStyle w:val="paragraph"/>
        <w:jc w:val="both"/>
        <w:textAlignment w:val="baseline"/>
        <w:rPr>
          <w:noProof/>
          <w:lang w:val="sk-SK"/>
        </w:rPr>
      </w:pPr>
      <w:r w:rsidRPr="00083739">
        <w:rPr>
          <w:noProof/>
          <w:lang w:val="sk-SK"/>
        </w:rPr>
        <w:t>Prvý prvok spočíva</w:t>
      </w:r>
      <w:r w:rsidR="00083739" w:rsidRPr="00083739">
        <w:rPr>
          <w:noProof/>
          <w:lang w:val="sk-SK"/>
        </w:rPr>
        <w:t xml:space="preserve"> v </w:t>
      </w:r>
      <w:r w:rsidRPr="00083739">
        <w:rPr>
          <w:noProof/>
          <w:lang w:val="sk-SK"/>
        </w:rPr>
        <w:t>prijatí národnej stratégie bývania, ktorá zahŕňa analýzu fungovani</w:t>
      </w:r>
      <w:r w:rsidRPr="00083739">
        <w:rPr>
          <w:noProof/>
          <w:lang w:val="sk-SK"/>
        </w:rPr>
        <w:t>a trhu</w:t>
      </w:r>
      <w:r w:rsidR="00083739" w:rsidRPr="00083739">
        <w:rPr>
          <w:noProof/>
          <w:lang w:val="sk-SK"/>
        </w:rPr>
        <w:t xml:space="preserve"> s </w:t>
      </w:r>
      <w:r w:rsidRPr="00083739">
        <w:rPr>
          <w:noProof/>
          <w:lang w:val="sk-SK"/>
        </w:rPr>
        <w:t>bývaním</w:t>
      </w:r>
      <w:r w:rsidR="00083739" w:rsidRPr="00083739">
        <w:rPr>
          <w:noProof/>
          <w:lang w:val="sk-SK"/>
        </w:rPr>
        <w:t xml:space="preserve"> a </w:t>
      </w:r>
      <w:r w:rsidRPr="00083739">
        <w:rPr>
          <w:noProof/>
          <w:lang w:val="sk-SK"/>
        </w:rPr>
        <w:t>podrobné mapovanie potrieb bývania podľa segmentov obyvateľstva (t. j. skupín obyvateľstva</w:t>
      </w:r>
      <w:r w:rsidR="00083739" w:rsidRPr="00083739">
        <w:rPr>
          <w:noProof/>
          <w:lang w:val="sk-SK"/>
        </w:rPr>
        <w:t xml:space="preserve"> s </w:t>
      </w:r>
      <w:r w:rsidRPr="00083739">
        <w:rPr>
          <w:noProof/>
          <w:lang w:val="sk-SK"/>
        </w:rPr>
        <w:t>odlišnými charatistickými charakteristikami, ako je vek, disponibilný príjem, zloženie rodiny, na regionálnej úrovni, vo vidieckych alebo mestsk</w:t>
      </w:r>
      <w:r w:rsidRPr="00083739">
        <w:rPr>
          <w:noProof/>
          <w:lang w:val="sk-SK"/>
        </w:rPr>
        <w:t>ých oblastiach, malých mestách alebo veľkých mestách) vrátane mladých ľudí</w:t>
      </w:r>
      <w:r w:rsidR="00083739" w:rsidRPr="00083739">
        <w:rPr>
          <w:noProof/>
          <w:lang w:val="sk-SK"/>
        </w:rPr>
        <w:t xml:space="preserve"> a </w:t>
      </w:r>
      <w:r w:rsidRPr="00083739">
        <w:rPr>
          <w:noProof/>
          <w:lang w:val="sk-SK"/>
        </w:rPr>
        <w:t>rodín</w:t>
      </w:r>
      <w:r w:rsidR="00083739" w:rsidRPr="00083739">
        <w:rPr>
          <w:noProof/>
          <w:lang w:val="sk-SK"/>
        </w:rPr>
        <w:t xml:space="preserve"> s </w:t>
      </w:r>
      <w:r w:rsidRPr="00083739">
        <w:rPr>
          <w:noProof/>
          <w:lang w:val="sk-SK"/>
        </w:rPr>
        <w:t>deťmi. Prijatie stratégie sa riadi procesom verejných konzultácií</w:t>
      </w:r>
      <w:r w:rsidR="00083739" w:rsidRPr="00083739">
        <w:rPr>
          <w:noProof/>
          <w:lang w:val="sk-SK"/>
        </w:rPr>
        <w:t>.</w:t>
      </w:r>
    </w:p>
    <w:p w14:paraId="7E6B6AC1" w14:textId="13BF763C" w:rsidR="00083739" w:rsidRPr="00083739" w:rsidRDefault="00BF4125">
      <w:pPr>
        <w:pStyle w:val="P68B1DB1-PlainText31"/>
        <w:jc w:val="both"/>
        <w:rPr>
          <w:noProof/>
          <w:lang w:val="sk-SK"/>
        </w:rPr>
      </w:pPr>
      <w:r w:rsidRPr="00083739">
        <w:rPr>
          <w:noProof/>
          <w:lang w:val="sk-SK"/>
        </w:rPr>
        <w:t>Druhým prvkom je zmena zákona č. 5006/2022. Cieľom legislatívnych zmien je zefektívniť recipročný výmenn</w:t>
      </w:r>
      <w:r w:rsidRPr="00083739">
        <w:rPr>
          <w:noProof/>
          <w:lang w:val="sk-SK"/>
        </w:rPr>
        <w:t>ý program</w:t>
      </w:r>
      <w:r w:rsidR="00083739" w:rsidRPr="00083739">
        <w:rPr>
          <w:noProof/>
          <w:lang w:val="sk-SK"/>
        </w:rPr>
        <w:t xml:space="preserve"> v </w:t>
      </w:r>
      <w:r w:rsidRPr="00083739">
        <w:rPr>
          <w:noProof/>
          <w:lang w:val="sk-SK"/>
        </w:rPr>
        <w:t>oblasti verejného majetku („Kinoniki antiparochi“)</w:t>
      </w:r>
      <w:r w:rsidR="00083739" w:rsidRPr="00083739">
        <w:rPr>
          <w:noProof/>
          <w:lang w:val="sk-SK"/>
        </w:rPr>
        <w:t xml:space="preserve"> a </w:t>
      </w:r>
      <w:r w:rsidRPr="00083739">
        <w:rPr>
          <w:noProof/>
          <w:lang w:val="sk-SK"/>
        </w:rPr>
        <w:t>motivovať realitných developerov</w:t>
      </w:r>
      <w:r w:rsidR="00083739" w:rsidRPr="00083739">
        <w:rPr>
          <w:noProof/>
          <w:lang w:val="sk-SK"/>
        </w:rPr>
        <w:t xml:space="preserve"> v </w:t>
      </w:r>
      <w:r w:rsidRPr="00083739">
        <w:rPr>
          <w:noProof/>
          <w:lang w:val="sk-SK"/>
        </w:rPr>
        <w:t>súkromnom sektore, aby investovali do sociálneho</w:t>
      </w:r>
      <w:r w:rsidR="00083739" w:rsidRPr="00083739">
        <w:rPr>
          <w:noProof/>
          <w:lang w:val="sk-SK"/>
        </w:rPr>
        <w:t xml:space="preserve"> a </w:t>
      </w:r>
      <w:r w:rsidRPr="00083739">
        <w:rPr>
          <w:noProof/>
          <w:lang w:val="sk-SK"/>
        </w:rPr>
        <w:t>cenovo dostupného bývania. Súkromní realitní developeri sa prostredníctvom transparentného</w:t>
      </w:r>
      <w:r w:rsidR="00083739" w:rsidRPr="00083739">
        <w:rPr>
          <w:noProof/>
          <w:lang w:val="sk-SK"/>
        </w:rPr>
        <w:t xml:space="preserve"> a </w:t>
      </w:r>
      <w:r w:rsidRPr="00083739">
        <w:rPr>
          <w:noProof/>
          <w:lang w:val="sk-SK"/>
        </w:rPr>
        <w:t>súťažného po</w:t>
      </w:r>
      <w:r w:rsidRPr="00083739">
        <w:rPr>
          <w:noProof/>
          <w:lang w:val="sk-SK"/>
        </w:rPr>
        <w:t>stupu vyzvú, aby uskutočnili vývoj alebo renováciu nehnuteľného majetku vo vlastníctve štátu</w:t>
      </w:r>
      <w:r w:rsidR="00083739" w:rsidRPr="00083739">
        <w:rPr>
          <w:noProof/>
          <w:lang w:val="sk-SK"/>
        </w:rPr>
        <w:t>.</w:t>
      </w:r>
    </w:p>
    <w:p w14:paraId="3000ACCA" w14:textId="0037F981" w:rsidR="002D49B0" w:rsidRPr="00083739" w:rsidRDefault="002D49B0">
      <w:pPr>
        <w:pStyle w:val="PlainText"/>
        <w:jc w:val="both"/>
        <w:rPr>
          <w:rFonts w:ascii="Times New Roman" w:eastAsia="Times New Roman" w:hAnsi="Times New Roman" w:cs="Times New Roman"/>
          <w:noProof/>
          <w:sz w:val="24"/>
          <w:szCs w:val="24"/>
          <w:lang w:val="sk-SK"/>
          <w14:ligatures w14:val="none"/>
        </w:rPr>
      </w:pPr>
    </w:p>
    <w:p w14:paraId="24F180C6" w14:textId="38C1605C" w:rsidR="002D49B0" w:rsidRPr="00083739" w:rsidRDefault="00BF4125">
      <w:pPr>
        <w:pStyle w:val="P68B1DB1-PlainText31"/>
        <w:jc w:val="both"/>
        <w:rPr>
          <w:noProof/>
          <w:lang w:val="sk-SK"/>
        </w:rPr>
      </w:pPr>
      <w:r w:rsidRPr="00083739">
        <w:rPr>
          <w:noProof/>
          <w:lang w:val="sk-SK"/>
        </w:rPr>
        <w:t>Reformou sa poskytnú stimuly pre realitných developerov zo súkromného sektora, aby investovali do novej výstavby alebo obnovy nehnuteľného majetku vo vlastníctve</w:t>
      </w:r>
      <w:r w:rsidRPr="00083739">
        <w:rPr>
          <w:noProof/>
          <w:lang w:val="sk-SK"/>
        </w:rPr>
        <w:t xml:space="preserve"> štátu,</w:t>
      </w:r>
      <w:r w:rsidR="00083739" w:rsidRPr="00083739">
        <w:rPr>
          <w:noProof/>
          <w:lang w:val="sk-SK"/>
        </w:rPr>
        <w:t xml:space="preserve"> a </w:t>
      </w:r>
      <w:r w:rsidRPr="00083739">
        <w:rPr>
          <w:noProof/>
          <w:lang w:val="sk-SK"/>
        </w:rPr>
        <w:t>to prevodom vlastníctva časti nehnuteľností, ktoré sa majú vybudovať,</w:t>
      </w:r>
      <w:r w:rsidR="00083739" w:rsidRPr="00083739">
        <w:rPr>
          <w:noProof/>
          <w:lang w:val="sk-SK"/>
        </w:rPr>
        <w:t xml:space="preserve"> a </w:t>
      </w:r>
      <w:r w:rsidRPr="00083739">
        <w:rPr>
          <w:noProof/>
          <w:lang w:val="sk-SK"/>
        </w:rPr>
        <w:t>možnosť ich využívať,</w:t>
      </w:r>
      <w:r w:rsidR="00083739" w:rsidRPr="00083739">
        <w:rPr>
          <w:noProof/>
          <w:lang w:val="sk-SK"/>
        </w:rPr>
        <w:t xml:space="preserve"> a </w:t>
      </w:r>
      <w:r w:rsidRPr="00083739">
        <w:rPr>
          <w:noProof/>
          <w:lang w:val="sk-SK"/>
        </w:rPr>
        <w:t>to aj na komerčné účely,</w:t>
      </w:r>
      <w:r w:rsidR="00083739" w:rsidRPr="00083739">
        <w:rPr>
          <w:noProof/>
          <w:lang w:val="sk-SK"/>
        </w:rPr>
        <w:t xml:space="preserve"> a </w:t>
      </w:r>
      <w:r w:rsidRPr="00083739">
        <w:rPr>
          <w:noProof/>
          <w:lang w:val="sk-SK"/>
        </w:rPr>
        <w:t>zároveň premeniť podiel nehnuteľností na sociálne</w:t>
      </w:r>
      <w:r w:rsidR="00083739" w:rsidRPr="00083739">
        <w:rPr>
          <w:noProof/>
          <w:lang w:val="sk-SK"/>
        </w:rPr>
        <w:t xml:space="preserve"> a </w:t>
      </w:r>
      <w:r w:rsidRPr="00083739">
        <w:rPr>
          <w:noProof/>
          <w:lang w:val="sk-SK"/>
        </w:rPr>
        <w:t>cenovo dostupné bývanie. Vykonávanie reformy sa ukončí do 31</w:t>
      </w:r>
      <w:r w:rsidR="00083739" w:rsidRPr="00083739">
        <w:rPr>
          <w:noProof/>
          <w:lang w:val="sk-SK"/>
        </w:rPr>
        <w:t>. marca</w:t>
      </w:r>
      <w:r w:rsidRPr="00083739">
        <w:rPr>
          <w:noProof/>
          <w:lang w:val="sk-SK"/>
        </w:rPr>
        <w:t xml:space="preserve"> 202</w:t>
      </w:r>
      <w:r w:rsidRPr="00083739">
        <w:rPr>
          <w:noProof/>
          <w:lang w:val="sk-SK"/>
        </w:rPr>
        <w:t>6.</w:t>
      </w:r>
    </w:p>
    <w:p w14:paraId="5FE5F907" w14:textId="77777777" w:rsidR="002D49B0" w:rsidRPr="00083739" w:rsidRDefault="002D49B0">
      <w:pPr>
        <w:spacing w:after="0" w:line="240" w:lineRule="auto"/>
        <w:rPr>
          <w:rFonts w:ascii="Times New Roman" w:eastAsiaTheme="minorHAnsi" w:hAnsi="Times New Roman" w:cs="Times New Roman"/>
          <w:noProof/>
          <w:sz w:val="24"/>
          <w:szCs w:val="24"/>
          <w:lang w:val="sk-SK"/>
        </w:rPr>
        <w:sectPr w:rsidR="002D49B0" w:rsidRPr="00083739" w:rsidSect="00FD006B">
          <w:headerReference w:type="even" r:id="rId187"/>
          <w:headerReference w:type="default" r:id="rId188"/>
          <w:footerReference w:type="even" r:id="rId189"/>
          <w:footerReference w:type="default" r:id="rId190"/>
          <w:headerReference w:type="first" r:id="rId191"/>
          <w:footerReference w:type="first" r:id="rId192"/>
          <w:pgSz w:w="11906" w:h="16838"/>
          <w:pgMar w:top="1417" w:right="1417" w:bottom="1417" w:left="1417" w:header="708" w:footer="708" w:gutter="0"/>
          <w:cols w:space="720"/>
        </w:sectPr>
      </w:pPr>
    </w:p>
    <w:p w14:paraId="6E898A49" w14:textId="0F7ABE5A" w:rsidR="002D49B0" w:rsidRPr="00083739" w:rsidRDefault="00BF4125">
      <w:pPr>
        <w:spacing w:before="120" w:after="120" w:line="240" w:lineRule="auto"/>
        <w:jc w:val="both"/>
        <w:rPr>
          <w:rFonts w:ascii="Times New Roman" w:hAnsi="Times New Roman" w:cs="Times New Roman"/>
          <w:b/>
          <w:bCs/>
          <w:noProof/>
          <w:sz w:val="24"/>
          <w:u w:val="single"/>
          <w:lang w:val="sk-SK"/>
        </w:rPr>
      </w:pPr>
      <w:r w:rsidRPr="00083739">
        <w:rPr>
          <w:rFonts w:ascii="Times New Roman" w:hAnsi="Times New Roman" w:cs="Times New Roman"/>
          <w:b/>
          <w:noProof/>
          <w:sz w:val="24"/>
          <w:u w:val="single"/>
          <w:lang w:val="sk-SK"/>
        </w:rPr>
        <w:t xml:space="preserve">K.2. </w:t>
      </w:r>
      <w:r w:rsidRPr="00083739">
        <w:rPr>
          <w:rFonts w:ascii="Times New Roman" w:hAnsi="Times New Roman" w:cs="Times New Roman"/>
          <w:noProof/>
          <w:lang w:val="sk-SK"/>
        </w:rPr>
        <w:t xml:space="preserve"> </w:t>
      </w:r>
      <w:r w:rsidRPr="00083739">
        <w:rPr>
          <w:rFonts w:ascii="Times New Roman" w:hAnsi="Times New Roman" w:cs="Times New Roman"/>
          <w:b/>
          <w:noProof/>
          <w:sz w:val="24"/>
          <w:u w:val="single"/>
          <w:lang w:val="sk-SK"/>
        </w:rPr>
        <w:t>Míľniky, ciele, ukazovatele</w:t>
      </w:r>
      <w:r w:rsidR="00083739" w:rsidRPr="00083739">
        <w:rPr>
          <w:rFonts w:ascii="Times New Roman" w:hAnsi="Times New Roman" w:cs="Times New Roman"/>
          <w:b/>
          <w:noProof/>
          <w:sz w:val="24"/>
          <w:u w:val="single"/>
          <w:lang w:val="sk-SK"/>
        </w:rPr>
        <w:t xml:space="preserve"> a </w:t>
      </w:r>
      <w:r w:rsidRPr="00083739">
        <w:rPr>
          <w:rFonts w:ascii="Times New Roman" w:hAnsi="Times New Roman" w:cs="Times New Roman"/>
          <w:b/>
          <w:noProof/>
          <w:sz w:val="24"/>
          <w:u w:val="single"/>
          <w:lang w:val="sk-SK"/>
        </w:rPr>
        <w:t>harmonogram monitorovania</w:t>
      </w:r>
      <w:r w:rsidR="00083739" w:rsidRPr="00083739">
        <w:rPr>
          <w:rFonts w:ascii="Times New Roman" w:hAnsi="Times New Roman" w:cs="Times New Roman"/>
          <w:b/>
          <w:noProof/>
          <w:sz w:val="24"/>
          <w:u w:val="single"/>
          <w:lang w:val="sk-SK"/>
        </w:rPr>
        <w:t xml:space="preserve"> a </w:t>
      </w:r>
      <w:r w:rsidRPr="00083739">
        <w:rPr>
          <w:rFonts w:ascii="Times New Roman" w:hAnsi="Times New Roman" w:cs="Times New Roman"/>
          <w:b/>
          <w:noProof/>
          <w:sz w:val="24"/>
          <w:u w:val="single"/>
          <w:lang w:val="sk-SK"/>
        </w:rPr>
        <w:t>realizácie pre nenávratnú finančnú podporu</w:t>
      </w:r>
    </w:p>
    <w:p w14:paraId="2D8B0E3A" w14:textId="60EE4A0A" w:rsidR="002D49B0" w:rsidRPr="00083739" w:rsidRDefault="00BF4125">
      <w:pPr>
        <w:pStyle w:val="P68B1DB1-Normal6"/>
        <w:keepNext/>
        <w:keepLines/>
        <w:spacing w:before="120" w:after="0" w:line="240" w:lineRule="auto"/>
        <w:jc w:val="both"/>
        <w:outlineLvl w:val="4"/>
        <w:rPr>
          <w:rFonts w:ascii="Times New Roman" w:eastAsia="Times New Roman" w:hAnsi="Times New Roman" w:cs="Times New Roman"/>
          <w:noProof/>
          <w:lang w:val="sk-SK"/>
        </w:rPr>
      </w:pPr>
      <w:r w:rsidRPr="00083739">
        <w:rPr>
          <w:rFonts w:ascii="Times New Roman" w:hAnsi="Times New Roman" w:cs="Times New Roman"/>
          <w:noProof/>
          <w:lang w:val="sk-SK"/>
        </w:rPr>
        <w:t>Skupina 15: Zlepšenie prístupu</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účinným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inkluzívnym sociálnym politikám</w:t>
      </w:r>
    </w:p>
    <w:p w14:paraId="4AAD9CB7" w14:textId="77777777" w:rsidR="002D49B0" w:rsidRPr="00083739" w:rsidRDefault="00BF4125">
      <w:pPr>
        <w:pStyle w:val="P68B1DB1-Normal4"/>
        <w:numPr>
          <w:ilvl w:val="0"/>
          <w:numId w:val="40"/>
        </w:numPr>
        <w:spacing w:before="120" w:after="0" w:line="240" w:lineRule="auto"/>
        <w:ind w:left="0"/>
        <w:jc w:val="both"/>
        <w:rPr>
          <w:rFonts w:cs="Times New Roman"/>
          <w:noProof/>
          <w:lang w:val="sk-SK"/>
        </w:rPr>
      </w:pPr>
      <w:r w:rsidRPr="00083739">
        <w:rPr>
          <w:rFonts w:cs="Times New Roman"/>
          <w:noProof/>
          <w:lang w:val="sk-SK"/>
        </w:rPr>
        <w:t xml:space="preserve">Ochrana detí </w:t>
      </w:r>
      <w:r w:rsidRPr="00083739">
        <w:rPr>
          <w:rFonts w:cs="Times New Roman"/>
          <w:noProof/>
          <w:lang w:val="sk-SK"/>
        </w:rPr>
        <w:t>(ID: 16919)</w:t>
      </w:r>
    </w:p>
    <w:p w14:paraId="0161E390" w14:textId="77777777" w:rsidR="002D49B0" w:rsidRPr="00083739" w:rsidRDefault="00BF4125">
      <w:pPr>
        <w:pStyle w:val="P68B1DB1-Normal4"/>
        <w:numPr>
          <w:ilvl w:val="0"/>
          <w:numId w:val="40"/>
        </w:numPr>
        <w:spacing w:before="120" w:after="0" w:line="240" w:lineRule="auto"/>
        <w:ind w:left="0" w:hanging="357"/>
        <w:jc w:val="both"/>
        <w:rPr>
          <w:rFonts w:cs="Times New Roman"/>
          <w:noProof/>
          <w:lang w:val="sk-SK"/>
        </w:rPr>
      </w:pPr>
      <w:r w:rsidRPr="00083739">
        <w:rPr>
          <w:rFonts w:cs="Times New Roman"/>
          <w:noProof/>
          <w:lang w:val="sk-SK"/>
        </w:rPr>
        <w:t>Zdravotné postihnutie (ID: 16904)</w:t>
      </w:r>
    </w:p>
    <w:p w14:paraId="2363BEF1" w14:textId="77777777" w:rsidR="002D49B0" w:rsidRPr="00083739" w:rsidRDefault="00BF4125">
      <w:pPr>
        <w:pStyle w:val="P68B1DB1-Normal4"/>
        <w:numPr>
          <w:ilvl w:val="0"/>
          <w:numId w:val="40"/>
        </w:numPr>
        <w:spacing w:before="120" w:after="0" w:line="240" w:lineRule="auto"/>
        <w:ind w:left="0" w:hanging="357"/>
        <w:jc w:val="both"/>
        <w:rPr>
          <w:rFonts w:cs="Times New Roman"/>
          <w:noProof/>
          <w:lang w:val="sk-SK"/>
        </w:rPr>
      </w:pPr>
      <w:r w:rsidRPr="00083739">
        <w:rPr>
          <w:rFonts w:cs="Times New Roman"/>
          <w:noProof/>
          <w:lang w:val="sk-SK"/>
        </w:rPr>
        <w:t>Optimalizácia sociálnych prínosov (16726)</w:t>
      </w:r>
    </w:p>
    <w:p w14:paraId="44A0DCCC" w14:textId="508448C3" w:rsidR="002D49B0" w:rsidRPr="00083739" w:rsidRDefault="00BF4125">
      <w:pPr>
        <w:pStyle w:val="P68B1DB1-Normal32"/>
        <w:numPr>
          <w:ilvl w:val="0"/>
          <w:numId w:val="40"/>
        </w:numPr>
        <w:spacing w:before="120" w:after="0" w:line="240" w:lineRule="auto"/>
        <w:ind w:left="0" w:hanging="357"/>
        <w:jc w:val="both"/>
        <w:rPr>
          <w:rFonts w:cs="Times New Roman"/>
          <w:noProof/>
          <w:lang w:val="sk-SK"/>
        </w:rPr>
      </w:pPr>
      <w:r w:rsidRPr="00083739">
        <w:rPr>
          <w:rFonts w:cs="Times New Roman"/>
          <w:noProof/>
          <w:lang w:val="sk-SK"/>
        </w:rPr>
        <w:t>Sociálne</w:t>
      </w:r>
      <w:r w:rsidR="00083739" w:rsidRPr="00083739">
        <w:rPr>
          <w:rFonts w:cs="Times New Roman"/>
          <w:noProof/>
          <w:lang w:val="sk-SK"/>
        </w:rPr>
        <w:t xml:space="preserve"> a </w:t>
      </w:r>
      <w:r w:rsidRPr="00083739">
        <w:rPr>
          <w:rFonts w:cs="Times New Roman"/>
          <w:noProof/>
          <w:lang w:val="sk-SK"/>
        </w:rPr>
        <w:t>cenovo dostupné bývanie (16402)</w:t>
      </w:r>
    </w:p>
    <w:p w14:paraId="6A435AC2" w14:textId="77777777" w:rsidR="002D49B0" w:rsidRPr="00083739" w:rsidRDefault="002D49B0">
      <w:pPr>
        <w:spacing w:before="120" w:after="0" w:line="240" w:lineRule="auto"/>
        <w:jc w:val="both"/>
        <w:rPr>
          <w:rFonts w:ascii="Times New Roman" w:hAnsi="Times New Roman" w:cs="Times New Roman"/>
          <w:noProof/>
          <w:sz w:val="24"/>
          <w:lang w:val="sk-SK"/>
        </w:rPr>
      </w:pPr>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276"/>
        <w:gridCol w:w="992"/>
        <w:gridCol w:w="1273"/>
        <w:gridCol w:w="1680"/>
        <w:gridCol w:w="1080"/>
        <w:gridCol w:w="960"/>
        <w:gridCol w:w="971"/>
        <w:gridCol w:w="1417"/>
        <w:gridCol w:w="709"/>
        <w:gridCol w:w="4384"/>
      </w:tblGrid>
      <w:tr w:rsidR="002D49B0" w:rsidRPr="00083739" w14:paraId="6C377CB6" w14:textId="77777777">
        <w:trPr>
          <w:trHeight w:val="616"/>
          <w:tblHeader/>
          <w:jc w:val="center"/>
        </w:trPr>
        <w:tc>
          <w:tcPr>
            <w:tcW w:w="1134" w:type="dxa"/>
            <w:vMerge w:val="restart"/>
            <w:shd w:val="clear" w:color="auto" w:fill="BDD7EE"/>
            <w:vAlign w:val="center"/>
            <w:hideMark/>
          </w:tcPr>
          <w:p w14:paraId="34FDA223" w14:textId="77777777" w:rsidR="002D49B0" w:rsidRPr="00083739" w:rsidRDefault="00BF4125">
            <w:pPr>
              <w:pStyle w:val="P68B1DB1-Normal7"/>
              <w:spacing w:before="120" w:after="0" w:line="240" w:lineRule="auto"/>
              <w:jc w:val="center"/>
              <w:rPr>
                <w:rFonts w:eastAsia="Times New Roman" w:cs="Times New Roman"/>
                <w:bCs/>
                <w:noProof/>
                <w:szCs w:val="18"/>
                <w:lang w:val="sk-SK"/>
              </w:rPr>
            </w:pPr>
            <w:r w:rsidRPr="00083739">
              <w:rPr>
                <w:rFonts w:cs="Times New Roman"/>
                <w:noProof/>
                <w:lang w:val="sk-SK"/>
              </w:rPr>
              <w:t>Poradové číslo</w:t>
            </w:r>
          </w:p>
        </w:tc>
        <w:tc>
          <w:tcPr>
            <w:tcW w:w="1276" w:type="dxa"/>
            <w:vMerge w:val="restart"/>
            <w:shd w:val="clear" w:color="auto" w:fill="BDD7EE"/>
            <w:vAlign w:val="center"/>
            <w:hideMark/>
          </w:tcPr>
          <w:p w14:paraId="0141F482" w14:textId="77777777" w:rsidR="002D49B0" w:rsidRPr="00083739" w:rsidRDefault="00BF4125">
            <w:pPr>
              <w:pStyle w:val="P68B1DB1-Normal7"/>
              <w:spacing w:before="120" w:after="0" w:line="240" w:lineRule="auto"/>
              <w:jc w:val="center"/>
              <w:rPr>
                <w:rFonts w:eastAsia="Times New Roman" w:cs="Times New Roman"/>
                <w:bCs/>
                <w:noProof/>
                <w:szCs w:val="18"/>
                <w:lang w:val="sk-SK"/>
              </w:rPr>
            </w:pPr>
            <w:r w:rsidRPr="00083739">
              <w:rPr>
                <w:rFonts w:cs="Times New Roman"/>
                <w:noProof/>
                <w:lang w:val="sk-SK"/>
              </w:rPr>
              <w:t>Súvisiace opatrenie (reforma alebo investícia)</w:t>
            </w:r>
          </w:p>
        </w:tc>
        <w:tc>
          <w:tcPr>
            <w:tcW w:w="992" w:type="dxa"/>
            <w:vMerge w:val="restart"/>
            <w:shd w:val="clear" w:color="auto" w:fill="BDD7EE"/>
            <w:vAlign w:val="center"/>
            <w:hideMark/>
          </w:tcPr>
          <w:p w14:paraId="5A4DBFE5" w14:textId="77777777" w:rsidR="002D49B0" w:rsidRPr="00083739" w:rsidRDefault="00BF4125">
            <w:pPr>
              <w:pStyle w:val="P68B1DB1-Normal7"/>
              <w:spacing w:before="120" w:after="0" w:line="240" w:lineRule="auto"/>
              <w:jc w:val="center"/>
              <w:rPr>
                <w:rFonts w:eastAsia="Times New Roman" w:cs="Times New Roman"/>
                <w:bCs/>
                <w:noProof/>
                <w:szCs w:val="18"/>
                <w:lang w:val="sk-SK"/>
              </w:rPr>
            </w:pPr>
            <w:r w:rsidRPr="00083739">
              <w:rPr>
                <w:rFonts w:cs="Times New Roman"/>
                <w:noProof/>
                <w:lang w:val="sk-SK"/>
              </w:rPr>
              <w:t>Míľnik/cieľ</w:t>
            </w:r>
          </w:p>
        </w:tc>
        <w:tc>
          <w:tcPr>
            <w:tcW w:w="1273" w:type="dxa"/>
            <w:vMerge w:val="restart"/>
            <w:shd w:val="clear" w:color="auto" w:fill="BDD7EE"/>
            <w:vAlign w:val="center"/>
            <w:hideMark/>
          </w:tcPr>
          <w:p w14:paraId="73C79586" w14:textId="77777777" w:rsidR="002D49B0" w:rsidRPr="00083739" w:rsidRDefault="00BF4125">
            <w:pPr>
              <w:pStyle w:val="P68B1DB1-Normal7"/>
              <w:spacing w:before="120" w:after="0" w:line="240" w:lineRule="auto"/>
              <w:jc w:val="center"/>
              <w:rPr>
                <w:rFonts w:eastAsia="Times New Roman" w:cs="Times New Roman"/>
                <w:bCs/>
                <w:noProof/>
                <w:szCs w:val="18"/>
                <w:lang w:val="sk-SK"/>
              </w:rPr>
            </w:pPr>
            <w:r w:rsidRPr="00083739">
              <w:rPr>
                <w:rFonts w:cs="Times New Roman"/>
                <w:noProof/>
                <w:lang w:val="sk-SK"/>
              </w:rPr>
              <w:t>Názov</w:t>
            </w:r>
          </w:p>
        </w:tc>
        <w:tc>
          <w:tcPr>
            <w:tcW w:w="1680" w:type="dxa"/>
            <w:vMerge w:val="restart"/>
            <w:shd w:val="clear" w:color="auto" w:fill="BDD7EE"/>
            <w:vAlign w:val="center"/>
            <w:hideMark/>
          </w:tcPr>
          <w:p w14:paraId="4AC0191C" w14:textId="77777777" w:rsidR="002D49B0" w:rsidRPr="00083739" w:rsidRDefault="00BF4125">
            <w:pPr>
              <w:pStyle w:val="P68B1DB1-Normal7"/>
              <w:spacing w:before="120" w:after="0" w:line="240" w:lineRule="auto"/>
              <w:jc w:val="center"/>
              <w:rPr>
                <w:rFonts w:eastAsia="Times New Roman" w:cs="Times New Roman"/>
                <w:bCs/>
                <w:noProof/>
                <w:szCs w:val="18"/>
                <w:lang w:val="sk-SK"/>
              </w:rPr>
            </w:pPr>
            <w:r w:rsidRPr="00083739">
              <w:rPr>
                <w:rFonts w:cs="Times New Roman"/>
                <w:noProof/>
                <w:lang w:val="sk-SK"/>
              </w:rPr>
              <w:t>Kvalitatívne ukazovatele (pre míľniky)</w:t>
            </w:r>
          </w:p>
        </w:tc>
        <w:tc>
          <w:tcPr>
            <w:tcW w:w="3011" w:type="dxa"/>
            <w:gridSpan w:val="3"/>
            <w:shd w:val="clear" w:color="auto" w:fill="BDD7EE"/>
            <w:vAlign w:val="center"/>
            <w:hideMark/>
          </w:tcPr>
          <w:p w14:paraId="46902282" w14:textId="77777777" w:rsidR="002D49B0" w:rsidRPr="00083739" w:rsidRDefault="00BF4125">
            <w:pPr>
              <w:pStyle w:val="P68B1DB1-Normal7"/>
              <w:spacing w:before="120" w:after="0" w:line="240" w:lineRule="auto"/>
              <w:jc w:val="center"/>
              <w:rPr>
                <w:rFonts w:eastAsia="Times New Roman" w:cs="Times New Roman"/>
                <w:bCs/>
                <w:noProof/>
                <w:szCs w:val="18"/>
                <w:lang w:val="sk-SK"/>
              </w:rPr>
            </w:pPr>
            <w:r w:rsidRPr="00083739">
              <w:rPr>
                <w:rFonts w:cs="Times New Roman"/>
                <w:noProof/>
                <w:lang w:val="sk-SK"/>
              </w:rPr>
              <w:t>Kvantitatívne ukazovatele (pre ciele)</w:t>
            </w:r>
          </w:p>
        </w:tc>
        <w:tc>
          <w:tcPr>
            <w:tcW w:w="2126" w:type="dxa"/>
            <w:gridSpan w:val="2"/>
            <w:shd w:val="clear" w:color="auto" w:fill="BDD7EE"/>
            <w:vAlign w:val="center"/>
            <w:hideMark/>
          </w:tcPr>
          <w:p w14:paraId="2288BF2D" w14:textId="77777777" w:rsidR="002D49B0" w:rsidRPr="00083739" w:rsidRDefault="00BF4125">
            <w:pPr>
              <w:pStyle w:val="P68B1DB1-Normal7"/>
              <w:spacing w:before="120" w:after="0" w:line="240" w:lineRule="auto"/>
              <w:jc w:val="center"/>
              <w:rPr>
                <w:rFonts w:eastAsia="Times New Roman" w:cs="Times New Roman"/>
                <w:bCs/>
                <w:noProof/>
                <w:szCs w:val="18"/>
                <w:lang w:val="sk-SK"/>
              </w:rPr>
            </w:pPr>
            <w:r w:rsidRPr="00083739">
              <w:rPr>
                <w:rFonts w:cs="Times New Roman"/>
                <w:noProof/>
                <w:lang w:val="sk-SK"/>
              </w:rPr>
              <w:t xml:space="preserve">Orientačný harmonogram dokončenia </w:t>
            </w:r>
          </w:p>
        </w:tc>
        <w:tc>
          <w:tcPr>
            <w:tcW w:w="4384" w:type="dxa"/>
            <w:vMerge w:val="restart"/>
            <w:shd w:val="clear" w:color="auto" w:fill="BDD7EE"/>
            <w:vAlign w:val="center"/>
            <w:hideMark/>
          </w:tcPr>
          <w:p w14:paraId="731AF50A" w14:textId="54059584" w:rsidR="002D49B0" w:rsidRPr="00083739" w:rsidRDefault="00BF4125">
            <w:pPr>
              <w:pStyle w:val="P68B1DB1-Normal7"/>
              <w:spacing w:before="120" w:after="0" w:line="240" w:lineRule="auto"/>
              <w:jc w:val="center"/>
              <w:rPr>
                <w:rFonts w:eastAsia="Times New Roman" w:cs="Times New Roman"/>
                <w:bCs/>
                <w:noProof/>
                <w:szCs w:val="18"/>
                <w:lang w:val="sk-SK"/>
              </w:rPr>
            </w:pPr>
            <w:r w:rsidRPr="00083739">
              <w:rPr>
                <w:rFonts w:cs="Times New Roman"/>
                <w:noProof/>
                <w:lang w:val="sk-SK"/>
              </w:rPr>
              <w:t>Opis každého míľnika</w:t>
            </w:r>
            <w:r w:rsidR="00083739" w:rsidRPr="00083739">
              <w:rPr>
                <w:rFonts w:cs="Times New Roman"/>
                <w:noProof/>
                <w:lang w:val="sk-SK"/>
              </w:rPr>
              <w:t xml:space="preserve"> a </w:t>
            </w:r>
            <w:r w:rsidRPr="00083739">
              <w:rPr>
                <w:rFonts w:cs="Times New Roman"/>
                <w:noProof/>
                <w:lang w:val="sk-SK"/>
              </w:rPr>
              <w:t>cieľa</w:t>
            </w:r>
          </w:p>
        </w:tc>
      </w:tr>
      <w:tr w:rsidR="002D49B0" w:rsidRPr="00083739" w14:paraId="3C49FF37" w14:textId="77777777">
        <w:trPr>
          <w:trHeight w:val="658"/>
          <w:tblHeader/>
          <w:jc w:val="center"/>
        </w:trPr>
        <w:tc>
          <w:tcPr>
            <w:tcW w:w="1134" w:type="dxa"/>
            <w:vMerge/>
            <w:vAlign w:val="center"/>
            <w:hideMark/>
          </w:tcPr>
          <w:p w14:paraId="27B84A87" w14:textId="77777777" w:rsidR="002D49B0" w:rsidRPr="00083739" w:rsidRDefault="002D49B0">
            <w:pPr>
              <w:spacing w:before="120" w:after="0" w:line="240" w:lineRule="auto"/>
              <w:rPr>
                <w:rFonts w:ascii="Times New Roman" w:eastAsia="Times New Roman" w:hAnsi="Times New Roman" w:cs="Times New Roman"/>
                <w:b/>
                <w:bCs/>
                <w:noProof/>
                <w:sz w:val="18"/>
                <w:szCs w:val="18"/>
                <w:lang w:val="sk-SK"/>
              </w:rPr>
            </w:pPr>
          </w:p>
        </w:tc>
        <w:tc>
          <w:tcPr>
            <w:tcW w:w="1276" w:type="dxa"/>
            <w:vMerge/>
            <w:vAlign w:val="center"/>
            <w:hideMark/>
          </w:tcPr>
          <w:p w14:paraId="640FF2FC" w14:textId="77777777" w:rsidR="002D49B0" w:rsidRPr="00083739" w:rsidRDefault="002D49B0">
            <w:pPr>
              <w:spacing w:before="120" w:after="0" w:line="240" w:lineRule="auto"/>
              <w:rPr>
                <w:rFonts w:ascii="Times New Roman" w:eastAsia="Times New Roman" w:hAnsi="Times New Roman" w:cs="Times New Roman"/>
                <w:b/>
                <w:bCs/>
                <w:noProof/>
                <w:sz w:val="18"/>
                <w:szCs w:val="18"/>
                <w:lang w:val="sk-SK"/>
              </w:rPr>
            </w:pPr>
          </w:p>
        </w:tc>
        <w:tc>
          <w:tcPr>
            <w:tcW w:w="992" w:type="dxa"/>
            <w:vMerge/>
            <w:vAlign w:val="center"/>
            <w:hideMark/>
          </w:tcPr>
          <w:p w14:paraId="52E9947F" w14:textId="77777777" w:rsidR="002D49B0" w:rsidRPr="00083739" w:rsidRDefault="002D49B0">
            <w:pPr>
              <w:spacing w:before="120" w:after="0" w:line="240" w:lineRule="auto"/>
              <w:rPr>
                <w:rFonts w:ascii="Times New Roman" w:eastAsia="Times New Roman" w:hAnsi="Times New Roman" w:cs="Times New Roman"/>
                <w:b/>
                <w:bCs/>
                <w:noProof/>
                <w:sz w:val="18"/>
                <w:szCs w:val="18"/>
                <w:lang w:val="sk-SK"/>
              </w:rPr>
            </w:pPr>
          </w:p>
        </w:tc>
        <w:tc>
          <w:tcPr>
            <w:tcW w:w="1273" w:type="dxa"/>
            <w:vMerge/>
            <w:vAlign w:val="center"/>
            <w:hideMark/>
          </w:tcPr>
          <w:p w14:paraId="65F2BC01" w14:textId="77777777" w:rsidR="002D49B0" w:rsidRPr="00083739" w:rsidRDefault="002D49B0">
            <w:pPr>
              <w:spacing w:before="120" w:after="0" w:line="240" w:lineRule="auto"/>
              <w:rPr>
                <w:rFonts w:ascii="Times New Roman" w:eastAsia="Times New Roman" w:hAnsi="Times New Roman" w:cs="Times New Roman"/>
                <w:b/>
                <w:bCs/>
                <w:noProof/>
                <w:sz w:val="18"/>
                <w:szCs w:val="18"/>
                <w:lang w:val="sk-SK"/>
              </w:rPr>
            </w:pPr>
          </w:p>
        </w:tc>
        <w:tc>
          <w:tcPr>
            <w:tcW w:w="1680" w:type="dxa"/>
            <w:vMerge/>
            <w:vAlign w:val="center"/>
            <w:hideMark/>
          </w:tcPr>
          <w:p w14:paraId="2C235379" w14:textId="77777777" w:rsidR="002D49B0" w:rsidRPr="00083739" w:rsidRDefault="002D49B0">
            <w:pPr>
              <w:spacing w:before="120" w:after="0" w:line="240" w:lineRule="auto"/>
              <w:rPr>
                <w:rFonts w:ascii="Times New Roman" w:eastAsia="Times New Roman" w:hAnsi="Times New Roman" w:cs="Times New Roman"/>
                <w:b/>
                <w:bCs/>
                <w:noProof/>
                <w:sz w:val="18"/>
                <w:szCs w:val="18"/>
                <w:lang w:val="sk-SK"/>
              </w:rPr>
            </w:pPr>
          </w:p>
        </w:tc>
        <w:tc>
          <w:tcPr>
            <w:tcW w:w="1080" w:type="dxa"/>
            <w:shd w:val="clear" w:color="auto" w:fill="BDD7EE"/>
            <w:vAlign w:val="center"/>
            <w:hideMark/>
          </w:tcPr>
          <w:p w14:paraId="62460C04" w14:textId="77777777" w:rsidR="002D49B0" w:rsidRPr="00083739" w:rsidRDefault="00BF4125">
            <w:pPr>
              <w:pStyle w:val="P68B1DB1-Normal7"/>
              <w:spacing w:before="120" w:after="0" w:line="240" w:lineRule="auto"/>
              <w:jc w:val="center"/>
              <w:rPr>
                <w:rFonts w:eastAsia="Times New Roman" w:cs="Times New Roman"/>
                <w:bCs/>
                <w:noProof/>
                <w:szCs w:val="18"/>
                <w:lang w:val="sk-SK"/>
              </w:rPr>
            </w:pPr>
            <w:r w:rsidRPr="00083739">
              <w:rPr>
                <w:rFonts w:cs="Times New Roman"/>
                <w:noProof/>
                <w:lang w:val="sk-SK"/>
              </w:rPr>
              <w:t>Merná jednotka</w:t>
            </w:r>
          </w:p>
        </w:tc>
        <w:tc>
          <w:tcPr>
            <w:tcW w:w="960" w:type="dxa"/>
            <w:shd w:val="clear" w:color="auto" w:fill="BDD7EE"/>
            <w:vAlign w:val="center"/>
            <w:hideMark/>
          </w:tcPr>
          <w:p w14:paraId="3447E519" w14:textId="77777777" w:rsidR="002D49B0" w:rsidRPr="00083739" w:rsidRDefault="00BF4125">
            <w:pPr>
              <w:pStyle w:val="P68B1DB1-Normal7"/>
              <w:spacing w:before="120" w:after="0" w:line="240" w:lineRule="auto"/>
              <w:jc w:val="center"/>
              <w:rPr>
                <w:rFonts w:eastAsia="Times New Roman" w:cs="Times New Roman"/>
                <w:bCs/>
                <w:noProof/>
                <w:szCs w:val="18"/>
                <w:lang w:val="sk-SK"/>
              </w:rPr>
            </w:pPr>
            <w:r w:rsidRPr="00083739">
              <w:rPr>
                <w:rFonts w:cs="Times New Roman"/>
                <w:noProof/>
                <w:lang w:val="sk-SK"/>
              </w:rPr>
              <w:t xml:space="preserve">Základná </w:t>
            </w:r>
          </w:p>
        </w:tc>
        <w:tc>
          <w:tcPr>
            <w:tcW w:w="971" w:type="dxa"/>
            <w:shd w:val="clear" w:color="auto" w:fill="BDD7EE"/>
            <w:vAlign w:val="center"/>
            <w:hideMark/>
          </w:tcPr>
          <w:p w14:paraId="452CBC49" w14:textId="77777777" w:rsidR="002D49B0" w:rsidRPr="00083739" w:rsidRDefault="00BF4125">
            <w:pPr>
              <w:pStyle w:val="P68B1DB1-Normal7"/>
              <w:spacing w:before="120" w:after="0" w:line="240" w:lineRule="auto"/>
              <w:jc w:val="center"/>
              <w:rPr>
                <w:rFonts w:eastAsia="Times New Roman" w:cs="Times New Roman"/>
                <w:bCs/>
                <w:noProof/>
                <w:szCs w:val="18"/>
                <w:lang w:val="sk-SK"/>
              </w:rPr>
            </w:pPr>
            <w:r w:rsidRPr="00083739">
              <w:rPr>
                <w:rFonts w:cs="Times New Roman"/>
                <w:noProof/>
                <w:lang w:val="sk-SK"/>
              </w:rPr>
              <w:t xml:space="preserve">Cieľ </w:t>
            </w:r>
          </w:p>
        </w:tc>
        <w:tc>
          <w:tcPr>
            <w:tcW w:w="1417" w:type="dxa"/>
            <w:shd w:val="clear" w:color="auto" w:fill="BDD7EE"/>
            <w:vAlign w:val="center"/>
            <w:hideMark/>
          </w:tcPr>
          <w:p w14:paraId="60400BF1" w14:textId="77777777" w:rsidR="002D49B0" w:rsidRPr="00083739" w:rsidRDefault="00BF4125">
            <w:pPr>
              <w:pStyle w:val="P68B1DB1-Normal7"/>
              <w:spacing w:before="120" w:after="0" w:line="240" w:lineRule="auto"/>
              <w:jc w:val="center"/>
              <w:rPr>
                <w:rFonts w:eastAsia="Times New Roman" w:cs="Times New Roman"/>
                <w:bCs/>
                <w:noProof/>
                <w:szCs w:val="18"/>
                <w:lang w:val="sk-SK"/>
              </w:rPr>
            </w:pPr>
            <w:r w:rsidRPr="00083739">
              <w:rPr>
                <w:rFonts w:cs="Times New Roman"/>
                <w:noProof/>
                <w:lang w:val="sk-SK"/>
              </w:rPr>
              <w:t>Štvrtina</w:t>
            </w:r>
          </w:p>
        </w:tc>
        <w:tc>
          <w:tcPr>
            <w:tcW w:w="709" w:type="dxa"/>
            <w:shd w:val="clear" w:color="auto" w:fill="BDD7EE"/>
            <w:vAlign w:val="center"/>
            <w:hideMark/>
          </w:tcPr>
          <w:p w14:paraId="14170B13" w14:textId="77777777" w:rsidR="002D49B0" w:rsidRPr="00083739" w:rsidRDefault="00BF4125">
            <w:pPr>
              <w:pStyle w:val="P68B1DB1-Normal7"/>
              <w:spacing w:before="120" w:after="0" w:line="240" w:lineRule="auto"/>
              <w:jc w:val="center"/>
              <w:rPr>
                <w:rFonts w:eastAsia="Times New Roman" w:cs="Times New Roman"/>
                <w:bCs/>
                <w:noProof/>
                <w:szCs w:val="18"/>
                <w:lang w:val="sk-SK"/>
              </w:rPr>
            </w:pPr>
            <w:r w:rsidRPr="00083739">
              <w:rPr>
                <w:rFonts w:cs="Times New Roman"/>
                <w:noProof/>
                <w:lang w:val="sk-SK"/>
              </w:rPr>
              <w:t>Rok</w:t>
            </w:r>
          </w:p>
        </w:tc>
        <w:tc>
          <w:tcPr>
            <w:tcW w:w="4384" w:type="dxa"/>
            <w:vMerge/>
            <w:vAlign w:val="center"/>
            <w:hideMark/>
          </w:tcPr>
          <w:p w14:paraId="5310884E" w14:textId="77777777" w:rsidR="002D49B0" w:rsidRPr="00083739" w:rsidRDefault="002D49B0">
            <w:pPr>
              <w:spacing w:before="120" w:after="0" w:line="240" w:lineRule="auto"/>
              <w:rPr>
                <w:rFonts w:ascii="Times New Roman" w:eastAsia="Times New Roman" w:hAnsi="Times New Roman" w:cs="Times New Roman"/>
                <w:b/>
                <w:bCs/>
                <w:noProof/>
                <w:sz w:val="18"/>
                <w:szCs w:val="18"/>
                <w:lang w:val="sk-SK"/>
              </w:rPr>
            </w:pPr>
          </w:p>
        </w:tc>
      </w:tr>
      <w:tr w:rsidR="002D49B0" w:rsidRPr="00083739" w14:paraId="0F7D73D3" w14:textId="77777777">
        <w:trPr>
          <w:trHeight w:val="313"/>
          <w:jc w:val="center"/>
        </w:trPr>
        <w:tc>
          <w:tcPr>
            <w:tcW w:w="1134" w:type="dxa"/>
            <w:shd w:val="clear" w:color="auto" w:fill="C6EFCE"/>
            <w:noWrap/>
          </w:tcPr>
          <w:p w14:paraId="7DD0A383"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174</w:t>
            </w:r>
          </w:p>
        </w:tc>
        <w:tc>
          <w:tcPr>
            <w:tcW w:w="1276" w:type="dxa"/>
            <w:shd w:val="clear" w:color="auto" w:fill="C6EFCE"/>
            <w:noWrap/>
          </w:tcPr>
          <w:p w14:paraId="481DE42E" w14:textId="11E12551"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11 – 3.4. Zlepšiť prístup</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účinným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inkluzívnym sociálnym politikám – 16904_disabi-lity</w:t>
            </w:r>
          </w:p>
        </w:tc>
        <w:tc>
          <w:tcPr>
            <w:tcW w:w="992" w:type="dxa"/>
            <w:shd w:val="clear" w:color="auto" w:fill="C6EFCE"/>
            <w:noWrap/>
          </w:tcPr>
          <w:p w14:paraId="3DC7A1D6"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273" w:type="dxa"/>
            <w:shd w:val="clear" w:color="auto" w:fill="C6EFCE"/>
            <w:noWrap/>
          </w:tcPr>
          <w:p w14:paraId="2E986283" w14:textId="7FCB3DB1"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Zákon</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zdravotnom postihnutí</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osobnej asistencie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zavedenie prvej fázy pilotného programu</w:t>
            </w:r>
          </w:p>
        </w:tc>
        <w:tc>
          <w:tcPr>
            <w:tcW w:w="1680" w:type="dxa"/>
            <w:shd w:val="clear" w:color="auto" w:fill="C6EFCE"/>
            <w:noWrap/>
          </w:tcPr>
          <w:p w14:paraId="27081847" w14:textId="73EB4DFE"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primárnych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sekundárnych právnych predpisov (odkaz na úradný vestník)</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uverejnenie oznámenia</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výzve na predkladanie žiadostí</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program osobnej asistencie.</w:t>
            </w:r>
          </w:p>
        </w:tc>
        <w:tc>
          <w:tcPr>
            <w:tcW w:w="1080" w:type="dxa"/>
            <w:shd w:val="clear" w:color="auto" w:fill="C6EFCE"/>
            <w:noWrap/>
          </w:tcPr>
          <w:p w14:paraId="7C9829B7" w14:textId="77777777" w:rsidR="002D49B0" w:rsidRPr="00083739" w:rsidRDefault="002D49B0">
            <w:pPr>
              <w:spacing w:before="120" w:after="0" w:line="240" w:lineRule="auto"/>
              <w:rPr>
                <w:rFonts w:ascii="Times New Roman" w:eastAsia="Times New Roman" w:hAnsi="Times New Roman" w:cs="Times New Roman"/>
                <w:noProof/>
                <w:color w:val="006100"/>
                <w:sz w:val="18"/>
                <w:szCs w:val="18"/>
                <w:lang w:val="sk-SK"/>
              </w:rPr>
            </w:pPr>
          </w:p>
        </w:tc>
        <w:tc>
          <w:tcPr>
            <w:tcW w:w="960" w:type="dxa"/>
            <w:shd w:val="clear" w:color="auto" w:fill="C6EFCE"/>
            <w:noWrap/>
          </w:tcPr>
          <w:p w14:paraId="74854E15" w14:textId="77777777" w:rsidR="002D49B0" w:rsidRPr="00083739" w:rsidRDefault="002D49B0">
            <w:pPr>
              <w:spacing w:before="120" w:after="0" w:line="240" w:lineRule="auto"/>
              <w:rPr>
                <w:rFonts w:ascii="Times New Roman" w:eastAsia="Times New Roman" w:hAnsi="Times New Roman" w:cs="Times New Roman"/>
                <w:noProof/>
                <w:color w:val="006100"/>
                <w:sz w:val="18"/>
                <w:szCs w:val="18"/>
                <w:lang w:val="sk-SK"/>
              </w:rPr>
            </w:pPr>
          </w:p>
        </w:tc>
        <w:tc>
          <w:tcPr>
            <w:tcW w:w="971" w:type="dxa"/>
            <w:shd w:val="clear" w:color="auto" w:fill="C6EFCE"/>
            <w:noWrap/>
          </w:tcPr>
          <w:p w14:paraId="39117E88" w14:textId="77777777" w:rsidR="002D49B0" w:rsidRPr="00083739" w:rsidRDefault="002D49B0">
            <w:pPr>
              <w:spacing w:before="120" w:after="0" w:line="240" w:lineRule="auto"/>
              <w:rPr>
                <w:rFonts w:ascii="Times New Roman" w:eastAsia="Times New Roman" w:hAnsi="Times New Roman" w:cs="Times New Roman"/>
                <w:noProof/>
                <w:color w:val="006100"/>
                <w:sz w:val="18"/>
                <w:szCs w:val="18"/>
                <w:lang w:val="sk-SK"/>
              </w:rPr>
            </w:pPr>
          </w:p>
        </w:tc>
        <w:tc>
          <w:tcPr>
            <w:tcW w:w="1417" w:type="dxa"/>
            <w:shd w:val="clear" w:color="auto" w:fill="C6EFCE"/>
            <w:noWrap/>
          </w:tcPr>
          <w:p w14:paraId="6F2FE778"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PRVÝ ŠTVRŤROK</w:t>
            </w:r>
          </w:p>
        </w:tc>
        <w:tc>
          <w:tcPr>
            <w:tcW w:w="709" w:type="dxa"/>
            <w:shd w:val="clear" w:color="auto" w:fill="C6EFCE"/>
            <w:noWrap/>
          </w:tcPr>
          <w:p w14:paraId="1BCFCC0D"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2022</w:t>
            </w:r>
          </w:p>
        </w:tc>
        <w:tc>
          <w:tcPr>
            <w:tcW w:w="4384" w:type="dxa"/>
            <w:shd w:val="clear" w:color="auto" w:fill="C6EFCE"/>
            <w:noWrap/>
          </w:tcPr>
          <w:p w14:paraId="0DD3C01B" w14:textId="3FC3FDB8"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Osobná asistencia: Nadobudnutie účinnosti zákona</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cieľom umožniť deinštitucionalizáciu starostlivosti</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osoby so zdravotným postihnutím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výzva na predkladanie žiadostí</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účasť na pilotnom projekte prvej f</w:t>
            </w:r>
            <w:r w:rsidRPr="00083739">
              <w:rPr>
                <w:rFonts w:ascii="Times New Roman" w:hAnsi="Times New Roman" w:cs="Times New Roman"/>
                <w:noProof/>
                <w:lang w:val="sk-SK"/>
              </w:rPr>
              <w:t>ázy vrátane procesu oprávnenosti založeného na lekárskom aj funkčnom posúdení zdravotného postihnutia multidisciplinárnou hodnotiacou komisiou</w:t>
            </w:r>
            <w:r w:rsidRPr="00083739">
              <w:rPr>
                <w:rFonts w:ascii="Times New Roman" w:hAnsi="Times New Roman" w:cs="Times New Roman"/>
                <w:noProof/>
                <w:u w:val="single"/>
                <w:lang w:val="sk-SK"/>
              </w:rPr>
              <w:t xml:space="preserve"> </w:t>
            </w:r>
            <w:r w:rsidRPr="00083739">
              <w:rPr>
                <w:rFonts w:ascii="Times New Roman" w:hAnsi="Times New Roman" w:cs="Times New Roman"/>
                <w:noProof/>
                <w:lang w:val="sk-SK"/>
              </w:rPr>
              <w:t xml:space="preserve"> </w:t>
            </w:r>
          </w:p>
        </w:tc>
      </w:tr>
      <w:tr w:rsidR="002D49B0" w:rsidRPr="00083739" w14:paraId="38F6EE63" w14:textId="77777777">
        <w:trPr>
          <w:trHeight w:val="313"/>
          <w:jc w:val="center"/>
        </w:trPr>
        <w:tc>
          <w:tcPr>
            <w:tcW w:w="1134" w:type="dxa"/>
            <w:shd w:val="clear" w:color="auto" w:fill="C6EFCE"/>
            <w:noWrap/>
          </w:tcPr>
          <w:p w14:paraId="5AD118FA"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174a</w:t>
            </w:r>
          </w:p>
        </w:tc>
        <w:tc>
          <w:tcPr>
            <w:tcW w:w="1276" w:type="dxa"/>
            <w:shd w:val="clear" w:color="auto" w:fill="C6EFCE"/>
            <w:noWrap/>
          </w:tcPr>
          <w:p w14:paraId="22B818EC" w14:textId="7F8300FE"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11 – 3.4. Zlepšiť prístup</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účinným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inkluzívnym sociálnym politikám – 16904_disabi-lity</w:t>
            </w:r>
          </w:p>
        </w:tc>
        <w:tc>
          <w:tcPr>
            <w:tcW w:w="992" w:type="dxa"/>
            <w:shd w:val="clear" w:color="auto" w:fill="C6EFCE"/>
            <w:noWrap/>
          </w:tcPr>
          <w:p w14:paraId="0BA0D102"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273" w:type="dxa"/>
            <w:shd w:val="clear" w:color="auto" w:fill="C6EFCE"/>
            <w:noWrap/>
          </w:tcPr>
          <w:p w14:paraId="337EE0D7" w14:textId="63D8E1A8" w:rsidR="002D49B0" w:rsidRPr="00083739" w:rsidRDefault="00BF4125">
            <w:pPr>
              <w:pStyle w:val="P68B1DB1-Normal9"/>
              <w:spacing w:before="120" w:after="0" w:line="240" w:lineRule="auto"/>
              <w:rPr>
                <w:rFonts w:ascii="Times New Roman" w:hAnsi="Times New Roman" w:cs="Times New Roman"/>
                <w:noProof/>
                <w:lang w:val="sk-SK"/>
              </w:rPr>
            </w:pPr>
            <w:r w:rsidRPr="00083739">
              <w:rPr>
                <w:rFonts w:ascii="Times New Roman" w:hAnsi="Times New Roman" w:cs="Times New Roman"/>
                <w:noProof/>
                <w:lang w:val="sk-SK"/>
              </w:rPr>
              <w:t>Dostupnosť</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podporná infraštruktúra, intervencie</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ranom detstve, vnútroštátne zavádzanie systému osobnej asistencie</w:t>
            </w:r>
          </w:p>
        </w:tc>
        <w:tc>
          <w:tcPr>
            <w:tcW w:w="1680" w:type="dxa"/>
            <w:shd w:val="clear" w:color="auto" w:fill="C6EFCE"/>
            <w:noWrap/>
          </w:tcPr>
          <w:p w14:paraId="25846AE7" w14:textId="5B58FA13"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 Správa ministerstva sociálnej súdržnosti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rodiny potvrdzujúca dokončenie projektov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a b; 2. Uverejnená výzva pre príjemcov </w:t>
            </w:r>
            <w:r w:rsidRPr="00083739">
              <w:rPr>
                <w:rFonts w:ascii="Times New Roman" w:hAnsi="Times New Roman" w:cs="Times New Roman"/>
                <w:noProof/>
                <w:lang w:val="sk-SK"/>
              </w:rPr>
              <w:t>vnútroštátneho zavádzania (systém osobnej pomoci pre osoby so zdravotným postihnutím).</w:t>
            </w:r>
          </w:p>
        </w:tc>
        <w:tc>
          <w:tcPr>
            <w:tcW w:w="1080" w:type="dxa"/>
            <w:shd w:val="clear" w:color="auto" w:fill="C6EFCE"/>
            <w:noWrap/>
          </w:tcPr>
          <w:p w14:paraId="6405EEBE" w14:textId="77777777" w:rsidR="002D49B0" w:rsidRPr="00083739" w:rsidRDefault="002D49B0">
            <w:pPr>
              <w:spacing w:before="120" w:after="0" w:line="240" w:lineRule="auto"/>
              <w:rPr>
                <w:rFonts w:ascii="Times New Roman" w:eastAsia="Times New Roman" w:hAnsi="Times New Roman" w:cs="Times New Roman"/>
                <w:noProof/>
                <w:color w:val="006100"/>
                <w:sz w:val="18"/>
                <w:szCs w:val="18"/>
                <w:lang w:val="sk-SK"/>
              </w:rPr>
            </w:pPr>
          </w:p>
        </w:tc>
        <w:tc>
          <w:tcPr>
            <w:tcW w:w="960" w:type="dxa"/>
            <w:shd w:val="clear" w:color="auto" w:fill="C6EFCE"/>
            <w:noWrap/>
          </w:tcPr>
          <w:p w14:paraId="52A4CC29" w14:textId="77777777" w:rsidR="002D49B0" w:rsidRPr="00083739" w:rsidRDefault="002D49B0">
            <w:pPr>
              <w:spacing w:before="120" w:after="0" w:line="240" w:lineRule="auto"/>
              <w:rPr>
                <w:rFonts w:ascii="Times New Roman" w:eastAsia="Times New Roman" w:hAnsi="Times New Roman" w:cs="Times New Roman"/>
                <w:noProof/>
                <w:color w:val="006100"/>
                <w:sz w:val="18"/>
                <w:szCs w:val="18"/>
                <w:lang w:val="sk-SK"/>
              </w:rPr>
            </w:pPr>
          </w:p>
        </w:tc>
        <w:tc>
          <w:tcPr>
            <w:tcW w:w="971" w:type="dxa"/>
            <w:shd w:val="clear" w:color="auto" w:fill="C6EFCE"/>
            <w:noWrap/>
          </w:tcPr>
          <w:p w14:paraId="17391245" w14:textId="77777777" w:rsidR="002D49B0" w:rsidRPr="00083739" w:rsidRDefault="002D49B0">
            <w:pPr>
              <w:spacing w:before="120" w:after="0" w:line="240" w:lineRule="auto"/>
              <w:rPr>
                <w:rFonts w:ascii="Times New Roman" w:eastAsia="Times New Roman" w:hAnsi="Times New Roman" w:cs="Times New Roman"/>
                <w:noProof/>
                <w:color w:val="006100"/>
                <w:sz w:val="18"/>
                <w:szCs w:val="18"/>
                <w:lang w:val="sk-SK"/>
              </w:rPr>
            </w:pPr>
          </w:p>
        </w:tc>
        <w:tc>
          <w:tcPr>
            <w:tcW w:w="1417" w:type="dxa"/>
            <w:shd w:val="clear" w:color="auto" w:fill="C6EFCE"/>
            <w:noWrap/>
          </w:tcPr>
          <w:p w14:paraId="037E9E96"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09" w:type="dxa"/>
            <w:shd w:val="clear" w:color="auto" w:fill="C6EFCE"/>
            <w:noWrap/>
          </w:tcPr>
          <w:p w14:paraId="2B9698D7"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4384" w:type="dxa"/>
            <w:shd w:val="clear" w:color="auto" w:fill="C6EFCE"/>
            <w:noWrap/>
          </w:tcPr>
          <w:p w14:paraId="01F271B6" w14:textId="77777777" w:rsidR="00083739" w:rsidRPr="00083739" w:rsidRDefault="00BF4125">
            <w:pPr>
              <w:pStyle w:val="P68B1DB1-Normal9"/>
              <w:spacing w:after="0" w:line="240" w:lineRule="auto"/>
              <w:textAlignment w:val="baseline"/>
              <w:rPr>
                <w:rFonts w:ascii="Times New Roman" w:hAnsi="Times New Roman" w:cs="Times New Roman"/>
                <w:noProof/>
                <w:lang w:val="sk-SK"/>
              </w:rPr>
            </w:pPr>
            <w:r w:rsidRPr="00083739">
              <w:rPr>
                <w:rFonts w:ascii="Times New Roman" w:hAnsi="Times New Roman" w:cs="Times New Roman"/>
                <w:noProof/>
                <w:lang w:val="sk-SK"/>
              </w:rPr>
              <w:t>1. Dokončenie týchto projektov</w:t>
            </w:r>
            <w:r w:rsidR="00083739" w:rsidRPr="00083739">
              <w:rPr>
                <w:rFonts w:ascii="Times New Roman" w:hAnsi="Times New Roman" w:cs="Times New Roman"/>
                <w:noProof/>
                <w:lang w:val="sk-SK"/>
              </w:rPr>
              <w:t>:</w:t>
            </w:r>
          </w:p>
          <w:p w14:paraId="3C9F84A3" w14:textId="36F9BE05" w:rsidR="00083739" w:rsidRPr="00083739" w:rsidRDefault="00BF4125">
            <w:pPr>
              <w:pStyle w:val="P68B1DB1-Normal9"/>
              <w:spacing w:after="0" w:line="240" w:lineRule="auto"/>
              <w:textAlignment w:val="baseline"/>
              <w:rPr>
                <w:rFonts w:ascii="Times New Roman" w:hAnsi="Times New Roman" w:cs="Times New Roman"/>
                <w:noProof/>
                <w:lang w:val="sk-SK"/>
              </w:rPr>
            </w:pPr>
            <w:r w:rsidRPr="00083739">
              <w:rPr>
                <w:rFonts w:ascii="Times New Roman" w:hAnsi="Times New Roman" w:cs="Times New Roman"/>
                <w:noProof/>
                <w:lang w:val="sk-SK"/>
              </w:rPr>
              <w:t>a) prístupnosť</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podporná infraštruktúra</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súkromných domoch, na pracoviskách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vo verejných budovách vybraných </w:t>
            </w:r>
            <w:r w:rsidRPr="00083739">
              <w:rPr>
                <w:rFonts w:ascii="Times New Roman" w:hAnsi="Times New Roman" w:cs="Times New Roman"/>
                <w:noProof/>
                <w:lang w:val="sk-SK"/>
              </w:rPr>
              <w:t>prostredníctvom výzvy na uľahčenie prístupu pre osoby</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mobilitou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zmyslovými poruchami</w:t>
            </w:r>
            <w:r w:rsidR="00083739" w:rsidRPr="00083739">
              <w:rPr>
                <w:rFonts w:ascii="Times New Roman" w:hAnsi="Times New Roman" w:cs="Times New Roman"/>
                <w:noProof/>
                <w:lang w:val="sk-SK"/>
              </w:rPr>
              <w:t>;</w:t>
            </w:r>
          </w:p>
          <w:p w14:paraId="5CE54B17" w14:textId="6BF8F2B1" w:rsidR="00083739" w:rsidRPr="00083739" w:rsidRDefault="00BF4125">
            <w:pPr>
              <w:spacing w:after="0" w:line="240" w:lineRule="auto"/>
              <w:textAlignment w:val="baseline"/>
              <w:rPr>
                <w:rFonts w:ascii="Times New Roman" w:hAnsi="Times New Roman" w:cs="Times New Roman"/>
                <w:noProof/>
                <w:color w:val="006100"/>
                <w:sz w:val="18"/>
                <w:szCs w:val="18"/>
                <w:lang w:val="sk-SK"/>
              </w:rPr>
            </w:pPr>
            <w:r w:rsidRPr="00083739">
              <w:rPr>
                <w:rFonts w:ascii="Times New Roman" w:hAnsi="Times New Roman" w:cs="Times New Roman"/>
                <w:noProof/>
                <w:color w:val="006100"/>
                <w:sz w:val="18"/>
                <w:szCs w:val="18"/>
                <w:lang w:val="sk-SK"/>
              </w:rPr>
              <w:t>b) intervencie</w:t>
            </w:r>
            <w:r w:rsidR="00083739" w:rsidRPr="00083739">
              <w:rPr>
                <w:rFonts w:ascii="Times New Roman" w:hAnsi="Times New Roman" w:cs="Times New Roman"/>
                <w:noProof/>
                <w:color w:val="006100"/>
                <w:sz w:val="18"/>
                <w:szCs w:val="18"/>
                <w:lang w:val="sk-SK"/>
              </w:rPr>
              <w:t xml:space="preserve"> v </w:t>
            </w:r>
            <w:r w:rsidRPr="00083739">
              <w:rPr>
                <w:rFonts w:ascii="Times New Roman" w:hAnsi="Times New Roman" w:cs="Times New Roman"/>
                <w:noProof/>
                <w:color w:val="006100"/>
                <w:sz w:val="18"/>
                <w:szCs w:val="18"/>
                <w:lang w:val="sk-SK"/>
              </w:rPr>
              <w:t>ranom detstve (terapeutické/vzdelávacie programy) pre deti, ktoré sa vyberú prostredníctvom výzvy</w:t>
            </w:r>
            <w:r w:rsidR="00083739" w:rsidRPr="00083739">
              <w:rPr>
                <w:rFonts w:ascii="Times New Roman" w:hAnsi="Times New Roman" w:cs="Times New Roman"/>
                <w:noProof/>
                <w:color w:val="006100"/>
                <w:sz w:val="18"/>
                <w:szCs w:val="18"/>
                <w:lang w:val="sk-SK"/>
              </w:rPr>
              <w:t>.</w:t>
            </w:r>
          </w:p>
          <w:p w14:paraId="2F848804" w14:textId="7B21DB41" w:rsidR="002D49B0" w:rsidRPr="00083739" w:rsidRDefault="002D49B0">
            <w:pPr>
              <w:spacing w:after="0" w:line="240" w:lineRule="auto"/>
              <w:textAlignment w:val="baseline"/>
              <w:rPr>
                <w:rFonts w:ascii="Times New Roman" w:hAnsi="Times New Roman" w:cs="Times New Roman"/>
                <w:noProof/>
                <w:color w:val="006100"/>
                <w:sz w:val="18"/>
                <w:lang w:val="sk-SK"/>
              </w:rPr>
            </w:pPr>
          </w:p>
          <w:p w14:paraId="35A2933A" w14:textId="093C6F32" w:rsidR="002D49B0" w:rsidRPr="00083739" w:rsidRDefault="00BF4125">
            <w:pPr>
              <w:pStyle w:val="P68B1DB1-Normal9"/>
              <w:spacing w:after="0" w:line="240" w:lineRule="auto"/>
              <w:textAlignment w:val="baseline"/>
              <w:rPr>
                <w:rFonts w:ascii="Times New Roman" w:hAnsi="Times New Roman" w:cs="Times New Roman"/>
                <w:noProof/>
                <w:sz w:val="20"/>
                <w:szCs w:val="20"/>
                <w:lang w:val="sk-SK"/>
              </w:rPr>
            </w:pPr>
            <w:r w:rsidRPr="00083739">
              <w:rPr>
                <w:rFonts w:ascii="Times New Roman" w:hAnsi="Times New Roman" w:cs="Times New Roman"/>
                <w:noProof/>
                <w:lang w:val="sk-SK"/>
              </w:rPr>
              <w:t xml:space="preserve">2.Vydanie výzvy príjemcom celoštátneho zavedenia </w:t>
            </w:r>
            <w:r w:rsidRPr="00083739">
              <w:rPr>
                <w:rFonts w:ascii="Times New Roman" w:hAnsi="Times New Roman" w:cs="Times New Roman"/>
                <w:noProof/>
                <w:lang w:val="sk-SK"/>
              </w:rPr>
              <w:t>systému osobnej asistencie</w:t>
            </w:r>
          </w:p>
        </w:tc>
      </w:tr>
      <w:tr w:rsidR="002D49B0" w:rsidRPr="00083739" w14:paraId="48E1F5AF" w14:textId="77777777">
        <w:trPr>
          <w:trHeight w:val="313"/>
          <w:jc w:val="center"/>
        </w:trPr>
        <w:tc>
          <w:tcPr>
            <w:tcW w:w="1134" w:type="dxa"/>
            <w:shd w:val="clear" w:color="auto" w:fill="C6EFCE"/>
            <w:noWrap/>
          </w:tcPr>
          <w:p w14:paraId="74242F64"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175</w:t>
            </w:r>
          </w:p>
        </w:tc>
        <w:tc>
          <w:tcPr>
            <w:tcW w:w="1276" w:type="dxa"/>
            <w:shd w:val="clear" w:color="auto" w:fill="C6EFCE"/>
            <w:noWrap/>
          </w:tcPr>
          <w:p w14:paraId="2B3B10F5" w14:textId="3D600D49"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11 – 3.4. Zlepšiť prístup</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účinným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inkluzívnym sociálnym politikám – 16726 Optimizácia sociálnych dávok</w:t>
            </w:r>
          </w:p>
        </w:tc>
        <w:tc>
          <w:tcPr>
            <w:tcW w:w="992" w:type="dxa"/>
            <w:shd w:val="clear" w:color="auto" w:fill="C6EFCE"/>
            <w:noWrap/>
          </w:tcPr>
          <w:p w14:paraId="140643C6"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273" w:type="dxa"/>
            <w:shd w:val="clear" w:color="auto" w:fill="C6EFCE"/>
            <w:noWrap/>
          </w:tcPr>
          <w:p w14:paraId="4F62C252"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Predplatené karty Optimizácie sociálnych dávok</w:t>
            </w:r>
          </w:p>
        </w:tc>
        <w:tc>
          <w:tcPr>
            <w:tcW w:w="1680" w:type="dxa"/>
            <w:shd w:val="clear" w:color="auto" w:fill="C6EFCE"/>
            <w:noWrap/>
          </w:tcPr>
          <w:p w14:paraId="1AC590E5" w14:textId="48D5058D"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Správa spoločností OPEKA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DYPA,</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 xml:space="preserve">ktorej sa potvrdzuje </w:t>
            </w:r>
            <w:r w:rsidRPr="00083739">
              <w:rPr>
                <w:rFonts w:ascii="Times New Roman" w:hAnsi="Times New Roman" w:cs="Times New Roman"/>
                <w:noProof/>
                <w:lang w:val="sk-SK"/>
              </w:rPr>
              <w:t>dokončenie zavedenia predplatených kariet na vyplácanie sociálnych dávok poskytovaných týmito dvoma službami</w:t>
            </w:r>
          </w:p>
        </w:tc>
        <w:tc>
          <w:tcPr>
            <w:tcW w:w="1080" w:type="dxa"/>
            <w:shd w:val="clear" w:color="auto" w:fill="C6EFCE"/>
            <w:noWrap/>
          </w:tcPr>
          <w:p w14:paraId="28545126" w14:textId="77777777" w:rsidR="002D49B0" w:rsidRPr="00083739" w:rsidRDefault="002D49B0">
            <w:pPr>
              <w:spacing w:before="120" w:after="0" w:line="240" w:lineRule="auto"/>
              <w:rPr>
                <w:rFonts w:ascii="Times New Roman" w:eastAsia="Times New Roman" w:hAnsi="Times New Roman" w:cs="Times New Roman"/>
                <w:noProof/>
                <w:color w:val="006100"/>
                <w:sz w:val="18"/>
                <w:szCs w:val="18"/>
                <w:lang w:val="sk-SK"/>
              </w:rPr>
            </w:pPr>
          </w:p>
        </w:tc>
        <w:tc>
          <w:tcPr>
            <w:tcW w:w="960" w:type="dxa"/>
            <w:shd w:val="clear" w:color="auto" w:fill="C6EFCE"/>
            <w:noWrap/>
          </w:tcPr>
          <w:p w14:paraId="45B9DBDF" w14:textId="77777777" w:rsidR="002D49B0" w:rsidRPr="00083739" w:rsidRDefault="002D49B0">
            <w:pPr>
              <w:spacing w:before="120" w:after="0" w:line="240" w:lineRule="auto"/>
              <w:rPr>
                <w:rFonts w:ascii="Times New Roman" w:eastAsia="Times New Roman" w:hAnsi="Times New Roman" w:cs="Times New Roman"/>
                <w:noProof/>
                <w:color w:val="006100"/>
                <w:sz w:val="18"/>
                <w:szCs w:val="18"/>
                <w:lang w:val="sk-SK"/>
              </w:rPr>
            </w:pPr>
          </w:p>
        </w:tc>
        <w:tc>
          <w:tcPr>
            <w:tcW w:w="971" w:type="dxa"/>
            <w:shd w:val="clear" w:color="auto" w:fill="C6EFCE"/>
            <w:noWrap/>
          </w:tcPr>
          <w:p w14:paraId="0634D547" w14:textId="77777777" w:rsidR="002D49B0" w:rsidRPr="00083739" w:rsidRDefault="002D49B0">
            <w:pPr>
              <w:spacing w:before="120" w:after="0" w:line="240" w:lineRule="auto"/>
              <w:rPr>
                <w:rFonts w:ascii="Times New Roman" w:eastAsia="Times New Roman" w:hAnsi="Times New Roman" w:cs="Times New Roman"/>
                <w:noProof/>
                <w:color w:val="006100"/>
                <w:sz w:val="18"/>
                <w:szCs w:val="18"/>
                <w:lang w:val="sk-SK"/>
              </w:rPr>
            </w:pPr>
          </w:p>
        </w:tc>
        <w:tc>
          <w:tcPr>
            <w:tcW w:w="1417" w:type="dxa"/>
            <w:shd w:val="clear" w:color="auto" w:fill="C6EFCE"/>
            <w:noWrap/>
          </w:tcPr>
          <w:p w14:paraId="33E6C169" w14:textId="12F8CCB3" w:rsidR="002D49B0" w:rsidRPr="00083739" w:rsidRDefault="00BF4125">
            <w:pPr>
              <w:pStyle w:val="P68B1DB1-Normal10"/>
              <w:spacing w:before="120"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ŠTVRTÝ ŠTVRŤROK</w:t>
            </w:r>
          </w:p>
        </w:tc>
        <w:tc>
          <w:tcPr>
            <w:tcW w:w="709" w:type="dxa"/>
            <w:shd w:val="clear" w:color="auto" w:fill="C6EFCE"/>
            <w:noWrap/>
          </w:tcPr>
          <w:p w14:paraId="3696B0F6"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2024</w:t>
            </w:r>
          </w:p>
        </w:tc>
        <w:tc>
          <w:tcPr>
            <w:tcW w:w="4384" w:type="dxa"/>
            <w:shd w:val="clear" w:color="auto" w:fill="C6EFCE"/>
            <w:noWrap/>
          </w:tcPr>
          <w:p w14:paraId="4E0FA2B6" w14:textId="2E201011"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Dokončenie zavedenia predplatených kariet na vyplácanie väčšiny sociálnych dávok poskytovaných Jednotným úradom pre platby </w:t>
            </w:r>
            <w:r w:rsidRPr="00083739">
              <w:rPr>
                <w:rFonts w:ascii="Times New Roman" w:hAnsi="Times New Roman" w:cs="Times New Roman"/>
                <w:noProof/>
                <w:lang w:val="sk-SK"/>
              </w:rPr>
              <w:t>sociálnych dávok (OPEKA)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verejnými službami zamestnanosti (DYPA)</w:t>
            </w:r>
          </w:p>
        </w:tc>
      </w:tr>
      <w:tr w:rsidR="002D49B0" w:rsidRPr="00083739" w14:paraId="53EF82FA" w14:textId="77777777">
        <w:trPr>
          <w:trHeight w:val="313"/>
          <w:jc w:val="center"/>
        </w:trPr>
        <w:tc>
          <w:tcPr>
            <w:tcW w:w="1134" w:type="dxa"/>
            <w:shd w:val="clear" w:color="auto" w:fill="C6EFCE"/>
            <w:noWrap/>
          </w:tcPr>
          <w:p w14:paraId="1F9B250D"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175a</w:t>
            </w:r>
          </w:p>
          <w:p w14:paraId="1DE91B79" w14:textId="77777777" w:rsidR="002D49B0" w:rsidRPr="00083739" w:rsidRDefault="002D49B0">
            <w:pPr>
              <w:spacing w:before="120" w:after="0" w:line="240" w:lineRule="auto"/>
              <w:rPr>
                <w:rFonts w:ascii="Times New Roman" w:eastAsia="Times New Roman" w:hAnsi="Times New Roman" w:cs="Times New Roman"/>
                <w:noProof/>
                <w:color w:val="006100"/>
                <w:sz w:val="18"/>
                <w:szCs w:val="18"/>
                <w:highlight w:val="cyan"/>
                <w:lang w:val="sk-SK"/>
              </w:rPr>
            </w:pPr>
          </w:p>
        </w:tc>
        <w:tc>
          <w:tcPr>
            <w:tcW w:w="1276" w:type="dxa"/>
            <w:shd w:val="clear" w:color="auto" w:fill="C6EFCE"/>
            <w:noWrap/>
          </w:tcPr>
          <w:p w14:paraId="12CFA9D5" w14:textId="0A367B1B"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11 – 3.4. Zlepšiť prístup</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účinným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inkluzívnym sociálnym politikám – 16726 Optimizácia sociálnych dávok</w:t>
            </w:r>
          </w:p>
        </w:tc>
        <w:tc>
          <w:tcPr>
            <w:tcW w:w="992" w:type="dxa"/>
            <w:shd w:val="clear" w:color="auto" w:fill="C6EFCE"/>
            <w:noWrap/>
          </w:tcPr>
          <w:p w14:paraId="43B2FEAF"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273" w:type="dxa"/>
            <w:shd w:val="clear" w:color="auto" w:fill="C6EFCE"/>
            <w:noWrap/>
          </w:tcPr>
          <w:p w14:paraId="44E16327"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Predplatené karty na optimalizáciu sociálnych dávok</w:t>
            </w:r>
          </w:p>
        </w:tc>
        <w:tc>
          <w:tcPr>
            <w:tcW w:w="1680" w:type="dxa"/>
            <w:shd w:val="clear" w:color="auto" w:fill="C6EFCE"/>
            <w:noWrap/>
          </w:tcPr>
          <w:p w14:paraId="15A5B85F"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Nadobudnutie </w:t>
            </w:r>
            <w:r w:rsidRPr="00083739">
              <w:rPr>
                <w:rFonts w:ascii="Times New Roman" w:hAnsi="Times New Roman" w:cs="Times New Roman"/>
                <w:noProof/>
                <w:lang w:val="sk-SK"/>
              </w:rPr>
              <w:t>účinnosti právnych predpisov.</w:t>
            </w:r>
          </w:p>
        </w:tc>
        <w:tc>
          <w:tcPr>
            <w:tcW w:w="1080" w:type="dxa"/>
            <w:shd w:val="clear" w:color="auto" w:fill="C6EFCE"/>
            <w:noWrap/>
          </w:tcPr>
          <w:p w14:paraId="119EC8E4" w14:textId="77777777" w:rsidR="002D49B0" w:rsidRPr="00083739" w:rsidRDefault="002D49B0">
            <w:pPr>
              <w:spacing w:before="120" w:after="0" w:line="240" w:lineRule="auto"/>
              <w:rPr>
                <w:rFonts w:ascii="Times New Roman" w:eastAsia="Times New Roman" w:hAnsi="Times New Roman" w:cs="Times New Roman"/>
                <w:noProof/>
                <w:color w:val="006100"/>
                <w:sz w:val="18"/>
                <w:szCs w:val="18"/>
                <w:lang w:val="sk-SK"/>
              </w:rPr>
            </w:pPr>
          </w:p>
        </w:tc>
        <w:tc>
          <w:tcPr>
            <w:tcW w:w="960" w:type="dxa"/>
            <w:shd w:val="clear" w:color="auto" w:fill="C6EFCE"/>
            <w:noWrap/>
          </w:tcPr>
          <w:p w14:paraId="138D8508" w14:textId="77777777" w:rsidR="002D49B0" w:rsidRPr="00083739" w:rsidRDefault="002D49B0">
            <w:pPr>
              <w:spacing w:before="120" w:after="0" w:line="240" w:lineRule="auto"/>
              <w:rPr>
                <w:rFonts w:ascii="Times New Roman" w:eastAsia="Times New Roman" w:hAnsi="Times New Roman" w:cs="Times New Roman"/>
                <w:noProof/>
                <w:color w:val="006100"/>
                <w:sz w:val="18"/>
                <w:szCs w:val="18"/>
                <w:lang w:val="sk-SK"/>
              </w:rPr>
            </w:pPr>
          </w:p>
        </w:tc>
        <w:tc>
          <w:tcPr>
            <w:tcW w:w="971" w:type="dxa"/>
            <w:shd w:val="clear" w:color="auto" w:fill="C6EFCE"/>
            <w:noWrap/>
          </w:tcPr>
          <w:p w14:paraId="37355235" w14:textId="77777777" w:rsidR="002D49B0" w:rsidRPr="00083739" w:rsidRDefault="002D49B0">
            <w:pPr>
              <w:spacing w:before="120" w:after="0" w:line="240" w:lineRule="auto"/>
              <w:rPr>
                <w:rFonts w:ascii="Times New Roman" w:eastAsia="Times New Roman" w:hAnsi="Times New Roman" w:cs="Times New Roman"/>
                <w:noProof/>
                <w:color w:val="006100"/>
                <w:sz w:val="18"/>
                <w:szCs w:val="18"/>
                <w:lang w:val="sk-SK"/>
              </w:rPr>
            </w:pPr>
          </w:p>
        </w:tc>
        <w:tc>
          <w:tcPr>
            <w:tcW w:w="1417" w:type="dxa"/>
            <w:shd w:val="clear" w:color="auto" w:fill="C6EFCE"/>
            <w:noWrap/>
          </w:tcPr>
          <w:p w14:paraId="139F8DFA" w14:textId="6DD1A01A" w:rsidR="002D49B0" w:rsidRPr="00083739" w:rsidRDefault="00BF4125">
            <w:pPr>
              <w:pStyle w:val="P68B1DB1-Normal10"/>
              <w:spacing w:before="120"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DRUHÝ ŠTVRŤROK</w:t>
            </w:r>
          </w:p>
        </w:tc>
        <w:tc>
          <w:tcPr>
            <w:tcW w:w="709" w:type="dxa"/>
            <w:shd w:val="clear" w:color="auto" w:fill="C6EFCE"/>
            <w:noWrap/>
          </w:tcPr>
          <w:p w14:paraId="6B1677AD"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2024</w:t>
            </w:r>
          </w:p>
          <w:p w14:paraId="57FA091A" w14:textId="77777777" w:rsidR="002D49B0" w:rsidRPr="00083739" w:rsidRDefault="002D49B0">
            <w:pPr>
              <w:spacing w:before="120" w:after="0" w:line="240" w:lineRule="auto"/>
              <w:rPr>
                <w:rFonts w:ascii="Times New Roman" w:eastAsia="Times New Roman" w:hAnsi="Times New Roman" w:cs="Times New Roman"/>
                <w:noProof/>
                <w:color w:val="006100"/>
                <w:sz w:val="18"/>
                <w:szCs w:val="18"/>
                <w:lang w:val="sk-SK"/>
              </w:rPr>
            </w:pPr>
          </w:p>
        </w:tc>
        <w:tc>
          <w:tcPr>
            <w:tcW w:w="4384" w:type="dxa"/>
            <w:shd w:val="clear" w:color="auto" w:fill="C6EFCE"/>
            <w:noWrap/>
          </w:tcPr>
          <w:p w14:paraId="2E3C21F5" w14:textId="6EA6DD7E" w:rsidR="002D49B0" w:rsidRPr="00083739" w:rsidRDefault="00BF4125">
            <w:pPr>
              <w:spacing w:before="120" w:after="0" w:line="240" w:lineRule="auto"/>
              <w:rPr>
                <w:rFonts w:ascii="Times New Roman" w:eastAsia="Times New Roman" w:hAnsi="Times New Roman" w:cs="Times New Roman"/>
                <w:noProof/>
                <w:color w:val="006100"/>
                <w:sz w:val="18"/>
                <w:szCs w:val="18"/>
                <w:lang w:val="sk-SK"/>
              </w:rPr>
            </w:pPr>
            <w:r w:rsidRPr="00083739">
              <w:rPr>
                <w:rFonts w:ascii="Times New Roman" w:hAnsi="Times New Roman" w:cs="Times New Roman"/>
                <w:noProof/>
                <w:color w:val="006100"/>
                <w:sz w:val="18"/>
                <w:lang w:val="sk-SK"/>
              </w:rPr>
              <w:t>Nadobudnutie účinnosti právnych predpisov, ktorými sa príjemcom poskytujú stimuly na používanie predplatených kariet na nákup tovaru</w:t>
            </w:r>
            <w:r w:rsidR="00083739" w:rsidRPr="00083739">
              <w:rPr>
                <w:rFonts w:ascii="Times New Roman" w:hAnsi="Times New Roman" w:cs="Times New Roman"/>
                <w:noProof/>
                <w:color w:val="006100"/>
                <w:sz w:val="18"/>
                <w:lang w:val="sk-SK"/>
              </w:rPr>
              <w:t xml:space="preserve"> a </w:t>
            </w:r>
            <w:r w:rsidRPr="00083739">
              <w:rPr>
                <w:rFonts w:ascii="Times New Roman" w:hAnsi="Times New Roman" w:cs="Times New Roman"/>
                <w:noProof/>
                <w:color w:val="006100"/>
                <w:sz w:val="18"/>
                <w:lang w:val="sk-SK"/>
              </w:rPr>
              <w:t>služieb</w:t>
            </w:r>
            <w:r w:rsidRPr="00083739">
              <w:rPr>
                <w:rStyle w:val="eop"/>
                <w:rFonts w:ascii="Times New Roman" w:hAnsi="Times New Roman" w:cs="Times New Roman"/>
                <w:noProof/>
                <w:color w:val="000000" w:themeColor="text1"/>
                <w:sz w:val="20"/>
                <w:lang w:val="sk-SK"/>
              </w:rPr>
              <w:t>.</w:t>
            </w:r>
          </w:p>
        </w:tc>
      </w:tr>
      <w:tr w:rsidR="002D49B0" w:rsidRPr="00083739" w14:paraId="2E19218F" w14:textId="77777777">
        <w:trPr>
          <w:trHeight w:val="313"/>
          <w:jc w:val="center"/>
        </w:trPr>
        <w:tc>
          <w:tcPr>
            <w:tcW w:w="1134" w:type="dxa"/>
            <w:shd w:val="clear" w:color="auto" w:fill="C6EFCE"/>
            <w:noWrap/>
          </w:tcPr>
          <w:p w14:paraId="26809BE5"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176</w:t>
            </w:r>
          </w:p>
        </w:tc>
        <w:tc>
          <w:tcPr>
            <w:tcW w:w="1276" w:type="dxa"/>
            <w:shd w:val="clear" w:color="auto" w:fill="C6EFCE"/>
            <w:noWrap/>
          </w:tcPr>
          <w:p w14:paraId="2EE96953" w14:textId="22DB92B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11 – 3.4. Zlepšiť prístup</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účinným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inkluzívnym </w:t>
            </w:r>
            <w:r w:rsidRPr="00083739">
              <w:rPr>
                <w:rFonts w:ascii="Times New Roman" w:hAnsi="Times New Roman" w:cs="Times New Roman"/>
                <w:noProof/>
                <w:lang w:val="sk-SK"/>
              </w:rPr>
              <w:t>sociálnym politikám – 16904_disabi-lity</w:t>
            </w:r>
          </w:p>
        </w:tc>
        <w:tc>
          <w:tcPr>
            <w:tcW w:w="992" w:type="dxa"/>
            <w:shd w:val="clear" w:color="auto" w:fill="C6EFCE"/>
            <w:noWrap/>
          </w:tcPr>
          <w:p w14:paraId="4B7A536B"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273" w:type="dxa"/>
            <w:shd w:val="clear" w:color="auto" w:fill="C6EFCE"/>
            <w:noWrap/>
          </w:tcPr>
          <w:p w14:paraId="2EDF078A" w14:textId="5E49078F"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druhej fázy posúdenia zdravotného postihnutia</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osobnej asistencie</w:t>
            </w:r>
          </w:p>
        </w:tc>
        <w:tc>
          <w:tcPr>
            <w:tcW w:w="1680" w:type="dxa"/>
            <w:shd w:val="clear" w:color="auto" w:fill="C6EFCE"/>
            <w:noWrap/>
          </w:tcPr>
          <w:p w14:paraId="3D31008A" w14:textId="3CAF5E40" w:rsidR="002D49B0" w:rsidRPr="00083739" w:rsidRDefault="00BF4125">
            <w:pPr>
              <w:pStyle w:val="P68B1DB1-Normal10"/>
              <w:spacing w:before="120"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Správa,</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ktorej sa potvrdzuje, že do dvoch pilotných programov boli priradení osobní asistenti aspoň pre 1500 príjemcov.</w:t>
            </w:r>
          </w:p>
          <w:p w14:paraId="1BEE8BF2" w14:textId="2A4465D5" w:rsidR="002D49B0" w:rsidRPr="00083739" w:rsidRDefault="002D49B0">
            <w:pPr>
              <w:spacing w:before="120" w:after="0" w:line="240" w:lineRule="auto"/>
              <w:rPr>
                <w:rFonts w:ascii="Times New Roman" w:eastAsia="Times New Roman" w:hAnsi="Times New Roman" w:cs="Times New Roman"/>
                <w:noProof/>
                <w:color w:val="006100"/>
                <w:sz w:val="18"/>
                <w:szCs w:val="18"/>
                <w:lang w:val="sk-SK"/>
              </w:rPr>
            </w:pPr>
          </w:p>
        </w:tc>
        <w:tc>
          <w:tcPr>
            <w:tcW w:w="1080" w:type="dxa"/>
            <w:shd w:val="clear" w:color="auto" w:fill="C6EFCE"/>
            <w:noWrap/>
          </w:tcPr>
          <w:p w14:paraId="297B8647" w14:textId="77777777" w:rsidR="002D49B0" w:rsidRPr="00083739" w:rsidRDefault="002D49B0">
            <w:pPr>
              <w:spacing w:before="120" w:after="0" w:line="240" w:lineRule="auto"/>
              <w:rPr>
                <w:rFonts w:ascii="Times New Roman" w:eastAsia="Times New Roman" w:hAnsi="Times New Roman" w:cs="Times New Roman"/>
                <w:noProof/>
                <w:color w:val="006100"/>
                <w:sz w:val="18"/>
                <w:szCs w:val="18"/>
                <w:lang w:val="sk-SK"/>
              </w:rPr>
            </w:pPr>
          </w:p>
        </w:tc>
        <w:tc>
          <w:tcPr>
            <w:tcW w:w="960" w:type="dxa"/>
            <w:shd w:val="clear" w:color="auto" w:fill="C6EFCE"/>
            <w:noWrap/>
          </w:tcPr>
          <w:p w14:paraId="02DB1096" w14:textId="77777777" w:rsidR="002D49B0" w:rsidRPr="00083739" w:rsidRDefault="002D49B0">
            <w:pPr>
              <w:spacing w:before="120" w:after="0" w:line="240" w:lineRule="auto"/>
              <w:rPr>
                <w:rFonts w:ascii="Times New Roman" w:eastAsia="Times New Roman" w:hAnsi="Times New Roman" w:cs="Times New Roman"/>
                <w:noProof/>
                <w:color w:val="006100"/>
                <w:sz w:val="18"/>
                <w:szCs w:val="18"/>
                <w:lang w:val="sk-SK"/>
              </w:rPr>
            </w:pPr>
          </w:p>
        </w:tc>
        <w:tc>
          <w:tcPr>
            <w:tcW w:w="971" w:type="dxa"/>
            <w:shd w:val="clear" w:color="auto" w:fill="C6EFCE"/>
            <w:noWrap/>
          </w:tcPr>
          <w:p w14:paraId="29180636" w14:textId="77777777" w:rsidR="002D49B0" w:rsidRPr="00083739" w:rsidRDefault="002D49B0">
            <w:pPr>
              <w:spacing w:before="120" w:after="0" w:line="240" w:lineRule="auto"/>
              <w:rPr>
                <w:rFonts w:ascii="Times New Roman" w:eastAsia="Times New Roman" w:hAnsi="Times New Roman" w:cs="Times New Roman"/>
                <w:noProof/>
                <w:color w:val="006100"/>
                <w:sz w:val="18"/>
                <w:szCs w:val="18"/>
                <w:lang w:val="sk-SK"/>
              </w:rPr>
            </w:pPr>
          </w:p>
        </w:tc>
        <w:tc>
          <w:tcPr>
            <w:tcW w:w="1417" w:type="dxa"/>
            <w:shd w:val="clear" w:color="auto" w:fill="C6EFCE"/>
            <w:noWrap/>
          </w:tcPr>
          <w:p w14:paraId="19B3168B"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09" w:type="dxa"/>
            <w:shd w:val="clear" w:color="auto" w:fill="C6EFCE"/>
            <w:noWrap/>
          </w:tcPr>
          <w:p w14:paraId="0674A393"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2024</w:t>
            </w:r>
          </w:p>
        </w:tc>
        <w:tc>
          <w:tcPr>
            <w:tcW w:w="4384" w:type="dxa"/>
            <w:shd w:val="clear" w:color="auto" w:fill="C6EFCE"/>
            <w:noWrap/>
          </w:tcPr>
          <w:p w14:paraId="66A6F530" w14:textId="058D309F"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pridelenia osobných asistentov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druhej fáze pilotného programu vrátane procesu hodnotenia funkčných postihnutí.</w:t>
            </w:r>
          </w:p>
        </w:tc>
      </w:tr>
      <w:tr w:rsidR="002D49B0" w:rsidRPr="00083739" w14:paraId="0A543B8D" w14:textId="77777777">
        <w:trPr>
          <w:trHeight w:val="313"/>
          <w:jc w:val="center"/>
        </w:trPr>
        <w:tc>
          <w:tcPr>
            <w:tcW w:w="1134" w:type="dxa"/>
            <w:shd w:val="clear" w:color="auto" w:fill="C6EFCE"/>
            <w:noWrap/>
          </w:tcPr>
          <w:p w14:paraId="29CE26A1"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178</w:t>
            </w:r>
          </w:p>
        </w:tc>
        <w:tc>
          <w:tcPr>
            <w:tcW w:w="1276" w:type="dxa"/>
            <w:shd w:val="clear" w:color="auto" w:fill="C6EFCE"/>
            <w:noWrap/>
          </w:tcPr>
          <w:p w14:paraId="64ACC40E" w14:textId="56D5F36C"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11 – 3.4. Zlepšiť prístup</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účinným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inkluzívnym sociálnym politikám – 16919_Ochrana detí</w:t>
            </w:r>
          </w:p>
        </w:tc>
        <w:tc>
          <w:tcPr>
            <w:tcW w:w="992" w:type="dxa"/>
            <w:shd w:val="clear" w:color="auto" w:fill="C6EFCE"/>
            <w:noWrap/>
          </w:tcPr>
          <w:p w14:paraId="52EA378F"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Cieľ</w:t>
            </w:r>
          </w:p>
        </w:tc>
        <w:tc>
          <w:tcPr>
            <w:tcW w:w="1273" w:type="dxa"/>
            <w:shd w:val="clear" w:color="auto" w:fill="C6EFCE"/>
            <w:noWrap/>
          </w:tcPr>
          <w:p w14:paraId="7E62470E" w14:textId="7206A54C"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Samostatné byty na deinštitúciu – prenájom osôb do 26 rokov </w:t>
            </w:r>
          </w:p>
        </w:tc>
        <w:tc>
          <w:tcPr>
            <w:tcW w:w="1680" w:type="dxa"/>
            <w:shd w:val="clear" w:color="auto" w:fill="C6EFCE"/>
            <w:noWrap/>
          </w:tcPr>
          <w:p w14:paraId="1B4CE9B0" w14:textId="77777777" w:rsidR="002D49B0" w:rsidRPr="00083739" w:rsidRDefault="002D49B0">
            <w:pPr>
              <w:spacing w:before="120" w:after="0" w:line="240" w:lineRule="auto"/>
              <w:rPr>
                <w:rFonts w:ascii="Times New Roman" w:eastAsia="Times New Roman" w:hAnsi="Times New Roman" w:cs="Times New Roman"/>
                <w:noProof/>
                <w:color w:val="006100"/>
                <w:sz w:val="18"/>
                <w:szCs w:val="18"/>
                <w:lang w:val="sk-SK"/>
              </w:rPr>
            </w:pPr>
          </w:p>
        </w:tc>
        <w:tc>
          <w:tcPr>
            <w:tcW w:w="1080" w:type="dxa"/>
            <w:shd w:val="clear" w:color="auto" w:fill="C6EFCE"/>
            <w:noWrap/>
          </w:tcPr>
          <w:p w14:paraId="70ADB351" w14:textId="495F8B79"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Počet osôb vo veku do 26 rokov umiestnených</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 xml:space="preserve">čiastočne závislých bytoch bytov </w:t>
            </w:r>
          </w:p>
        </w:tc>
        <w:tc>
          <w:tcPr>
            <w:tcW w:w="960" w:type="dxa"/>
            <w:shd w:val="clear" w:color="auto" w:fill="C6EFCE"/>
            <w:noWrap/>
          </w:tcPr>
          <w:p w14:paraId="52C514F9"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0</w:t>
            </w:r>
          </w:p>
        </w:tc>
        <w:tc>
          <w:tcPr>
            <w:tcW w:w="971" w:type="dxa"/>
            <w:shd w:val="clear" w:color="auto" w:fill="C6EFCE"/>
            <w:noWrap/>
          </w:tcPr>
          <w:p w14:paraId="6DC279AF"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200</w:t>
            </w:r>
          </w:p>
        </w:tc>
        <w:tc>
          <w:tcPr>
            <w:tcW w:w="1417" w:type="dxa"/>
            <w:shd w:val="clear" w:color="auto" w:fill="C6EFCE"/>
            <w:noWrap/>
          </w:tcPr>
          <w:p w14:paraId="58C3179F"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09" w:type="dxa"/>
            <w:shd w:val="clear" w:color="auto" w:fill="C6EFCE"/>
            <w:noWrap/>
          </w:tcPr>
          <w:p w14:paraId="4F6E2213" w14:textId="62C61025"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4384" w:type="dxa"/>
            <w:shd w:val="clear" w:color="auto" w:fill="C6EFCE"/>
            <w:noWrap/>
          </w:tcPr>
          <w:p w14:paraId="4F1E21A5" w14:textId="34600E8C"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Umiestnenie 200 osôb vo veku do 26 rokov, ktoré majú</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súčasnosti bydlisko</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ústavoch,</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bytoch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podporované bývanie.</w:t>
            </w:r>
          </w:p>
          <w:p w14:paraId="51FDA29D" w14:textId="64F9C719" w:rsidR="002D49B0" w:rsidRPr="00083739" w:rsidRDefault="002D49B0">
            <w:pPr>
              <w:spacing w:before="120" w:after="0" w:line="240" w:lineRule="auto"/>
              <w:rPr>
                <w:rFonts w:ascii="Times New Roman" w:eastAsia="Times New Roman" w:hAnsi="Times New Roman" w:cs="Times New Roman"/>
                <w:noProof/>
                <w:color w:val="006100"/>
                <w:sz w:val="18"/>
                <w:szCs w:val="18"/>
                <w:lang w:val="sk-SK"/>
              </w:rPr>
            </w:pPr>
          </w:p>
        </w:tc>
      </w:tr>
      <w:tr w:rsidR="002D49B0" w:rsidRPr="00083739" w14:paraId="0FDE11E9" w14:textId="77777777">
        <w:trPr>
          <w:trHeight w:val="313"/>
          <w:jc w:val="center"/>
        </w:trPr>
        <w:tc>
          <w:tcPr>
            <w:tcW w:w="1134" w:type="dxa"/>
            <w:shd w:val="clear" w:color="auto" w:fill="C6EFCE"/>
            <w:noWrap/>
          </w:tcPr>
          <w:p w14:paraId="5C7D53E2"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179</w:t>
            </w:r>
          </w:p>
        </w:tc>
        <w:tc>
          <w:tcPr>
            <w:tcW w:w="1276" w:type="dxa"/>
            <w:shd w:val="clear" w:color="auto" w:fill="C6EFCE"/>
            <w:noWrap/>
          </w:tcPr>
          <w:p w14:paraId="4F07DFC4" w14:textId="77A7C6D3"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11 – 3.4. Zlepšiť prístup</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účinným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inkluzívnym sociálnym politikám – 16904_disabi-lity</w:t>
            </w:r>
          </w:p>
        </w:tc>
        <w:tc>
          <w:tcPr>
            <w:tcW w:w="992" w:type="dxa"/>
            <w:shd w:val="clear" w:color="auto" w:fill="C6EFCE"/>
            <w:noWrap/>
          </w:tcPr>
          <w:p w14:paraId="7C2033CC"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273" w:type="dxa"/>
            <w:shd w:val="clear" w:color="auto" w:fill="C6EFCE"/>
            <w:noWrap/>
          </w:tcPr>
          <w:p w14:paraId="7A7011E4" w14:textId="244C58E5"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Vnútroštátne zavedenie systému osobnej asistencie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dokončenie druhej fázy posudzovania zdravotného postihnutia</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 xml:space="preserve">rámci </w:t>
            </w:r>
            <w:r w:rsidRPr="00083739">
              <w:rPr>
                <w:rFonts w:ascii="Times New Roman" w:hAnsi="Times New Roman" w:cs="Times New Roman"/>
                <w:noProof/>
                <w:lang w:val="sk-SK"/>
              </w:rPr>
              <w:t>osobnej asistencie – hodnotenie</w:t>
            </w:r>
          </w:p>
        </w:tc>
        <w:tc>
          <w:tcPr>
            <w:tcW w:w="1680" w:type="dxa"/>
            <w:shd w:val="clear" w:color="auto" w:fill="C6EFCE"/>
            <w:noWrap/>
          </w:tcPr>
          <w:p w14:paraId="386B508A" w14:textId="3F67CB32"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a) nadobudnutie účinnosti primárnych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sekundárnych právnych predpisov pre vnútroštátne zavádzanie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b) hodnotiaca správa pilotnej schémy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systému posudzovania so štatistikami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odporúčaniami. </w:t>
            </w:r>
          </w:p>
        </w:tc>
        <w:tc>
          <w:tcPr>
            <w:tcW w:w="1080" w:type="dxa"/>
            <w:shd w:val="clear" w:color="auto" w:fill="C6EFCE"/>
            <w:noWrap/>
          </w:tcPr>
          <w:p w14:paraId="07FD8997" w14:textId="77777777" w:rsidR="002D49B0" w:rsidRPr="00083739" w:rsidRDefault="002D49B0">
            <w:pPr>
              <w:spacing w:before="120" w:after="0" w:line="240" w:lineRule="auto"/>
              <w:rPr>
                <w:rFonts w:ascii="Times New Roman" w:eastAsia="Times New Roman" w:hAnsi="Times New Roman" w:cs="Times New Roman"/>
                <w:noProof/>
                <w:color w:val="006100"/>
                <w:sz w:val="18"/>
                <w:szCs w:val="18"/>
                <w:lang w:val="sk-SK"/>
              </w:rPr>
            </w:pPr>
          </w:p>
        </w:tc>
        <w:tc>
          <w:tcPr>
            <w:tcW w:w="960" w:type="dxa"/>
            <w:shd w:val="clear" w:color="auto" w:fill="C6EFCE"/>
            <w:noWrap/>
          </w:tcPr>
          <w:p w14:paraId="249415F6" w14:textId="77777777" w:rsidR="002D49B0" w:rsidRPr="00083739" w:rsidRDefault="002D49B0">
            <w:pPr>
              <w:spacing w:before="120" w:after="0" w:line="240" w:lineRule="auto"/>
              <w:rPr>
                <w:rFonts w:ascii="Times New Roman" w:eastAsia="Times New Roman" w:hAnsi="Times New Roman" w:cs="Times New Roman"/>
                <w:noProof/>
                <w:color w:val="006100"/>
                <w:sz w:val="18"/>
                <w:szCs w:val="18"/>
                <w:lang w:val="sk-SK"/>
              </w:rPr>
            </w:pPr>
          </w:p>
        </w:tc>
        <w:tc>
          <w:tcPr>
            <w:tcW w:w="971" w:type="dxa"/>
            <w:shd w:val="clear" w:color="auto" w:fill="C6EFCE"/>
            <w:noWrap/>
          </w:tcPr>
          <w:p w14:paraId="601B495E" w14:textId="77777777" w:rsidR="002D49B0" w:rsidRPr="00083739" w:rsidRDefault="002D49B0">
            <w:pPr>
              <w:spacing w:before="120" w:after="0" w:line="240" w:lineRule="auto"/>
              <w:rPr>
                <w:rFonts w:ascii="Times New Roman" w:eastAsia="Times New Roman" w:hAnsi="Times New Roman" w:cs="Times New Roman"/>
                <w:noProof/>
                <w:color w:val="006100"/>
                <w:sz w:val="18"/>
                <w:szCs w:val="18"/>
                <w:lang w:val="sk-SK"/>
              </w:rPr>
            </w:pPr>
          </w:p>
        </w:tc>
        <w:tc>
          <w:tcPr>
            <w:tcW w:w="1417" w:type="dxa"/>
            <w:shd w:val="clear" w:color="auto" w:fill="C6EFCE"/>
            <w:noWrap/>
          </w:tcPr>
          <w:p w14:paraId="11DA9489" w14:textId="4CC31C78"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09" w:type="dxa"/>
            <w:shd w:val="clear" w:color="auto" w:fill="C6EFCE"/>
            <w:noWrap/>
          </w:tcPr>
          <w:p w14:paraId="09810924"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4384" w:type="dxa"/>
            <w:shd w:val="clear" w:color="auto" w:fill="C6EFCE"/>
            <w:noWrap/>
          </w:tcPr>
          <w:p w14:paraId="3648547D" w14:textId="172B877F"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právnych predpisov, ktoré umožnia celoštátne zavedenie systému osobnej asistencie vrátane procesu lekárskeho</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funkčného hodnotenia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dokončenia hodnotiacej správy pilotného systému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systému hodnotenia so štatistikami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odporúčaniam</w:t>
            </w:r>
            <w:r w:rsidRPr="00083739">
              <w:rPr>
                <w:rFonts w:ascii="Times New Roman" w:hAnsi="Times New Roman" w:cs="Times New Roman"/>
                <w:noProof/>
                <w:lang w:val="sk-SK"/>
              </w:rPr>
              <w:t>i.</w:t>
            </w:r>
          </w:p>
        </w:tc>
      </w:tr>
      <w:tr w:rsidR="002D49B0" w:rsidRPr="00083739" w14:paraId="7E3E2402" w14:textId="77777777">
        <w:trPr>
          <w:trHeight w:val="313"/>
          <w:jc w:val="center"/>
        </w:trPr>
        <w:tc>
          <w:tcPr>
            <w:tcW w:w="1134" w:type="dxa"/>
            <w:shd w:val="clear" w:color="auto" w:fill="C6EFCE"/>
            <w:noWrap/>
          </w:tcPr>
          <w:p w14:paraId="40621045"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180a</w:t>
            </w:r>
          </w:p>
        </w:tc>
        <w:tc>
          <w:tcPr>
            <w:tcW w:w="1276" w:type="dxa"/>
            <w:shd w:val="clear" w:color="auto" w:fill="C6EFCE"/>
            <w:noWrap/>
          </w:tcPr>
          <w:p w14:paraId="0D170A6D" w14:textId="38762482" w:rsidR="002D49B0" w:rsidRPr="00083739" w:rsidRDefault="00BF4125">
            <w:pPr>
              <w:pStyle w:val="P68B1DB1-Normal33"/>
              <w:spacing w:before="120" w:after="0" w:line="240" w:lineRule="auto"/>
              <w:rPr>
                <w:rFonts w:ascii="Times New Roman" w:hAnsi="Times New Roman" w:cs="Times New Roman"/>
                <w:noProof/>
                <w:lang w:val="sk-SK"/>
              </w:rPr>
            </w:pPr>
            <w:r w:rsidRPr="00083739">
              <w:rPr>
                <w:rFonts w:ascii="Times New Roman" w:hAnsi="Times New Roman" w:cs="Times New Roman"/>
                <w:noProof/>
                <w:lang w:val="sk-SK"/>
              </w:rPr>
              <w:t>11 – 3.4. Zlepšiť prístup</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účinným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inkluzívnym sociálnym politikám – 16919_Ochrana detí</w:t>
            </w:r>
          </w:p>
        </w:tc>
        <w:tc>
          <w:tcPr>
            <w:tcW w:w="992" w:type="dxa"/>
            <w:shd w:val="clear" w:color="auto" w:fill="C6EFCE"/>
            <w:noWrap/>
          </w:tcPr>
          <w:p w14:paraId="47F7A587" w14:textId="77777777" w:rsidR="002D49B0" w:rsidRPr="00083739" w:rsidRDefault="00BF4125">
            <w:pPr>
              <w:pStyle w:val="P68B1DB1-Normal33"/>
              <w:spacing w:before="120" w:after="0" w:line="240" w:lineRule="auto"/>
              <w:rPr>
                <w:rFonts w:ascii="Times New Roman" w:hAnsi="Times New Roman" w:cs="Times New Roman"/>
                <w:noProof/>
                <w:lang w:val="sk-SK"/>
              </w:rPr>
            </w:pPr>
            <w:r w:rsidRPr="00083739">
              <w:rPr>
                <w:rFonts w:ascii="Times New Roman" w:hAnsi="Times New Roman" w:cs="Times New Roman"/>
                <w:noProof/>
                <w:lang w:val="sk-SK"/>
              </w:rPr>
              <w:t>Míľnik</w:t>
            </w:r>
          </w:p>
        </w:tc>
        <w:tc>
          <w:tcPr>
            <w:tcW w:w="1273" w:type="dxa"/>
            <w:shd w:val="clear" w:color="auto" w:fill="C6EFCE"/>
            <w:noWrap/>
          </w:tcPr>
          <w:p w14:paraId="02961326" w14:textId="77777777" w:rsidR="002D49B0" w:rsidRPr="00083739" w:rsidRDefault="00BF4125">
            <w:pPr>
              <w:pStyle w:val="P68B1DB1-Normal33"/>
              <w:spacing w:before="120" w:after="0" w:line="240" w:lineRule="auto"/>
              <w:rPr>
                <w:rFonts w:ascii="Times New Roman" w:hAnsi="Times New Roman" w:cs="Times New Roman"/>
                <w:noProof/>
                <w:lang w:val="sk-SK"/>
              </w:rPr>
            </w:pPr>
            <w:r w:rsidRPr="00083739">
              <w:rPr>
                <w:rFonts w:ascii="Times New Roman" w:hAnsi="Times New Roman" w:cs="Times New Roman"/>
                <w:noProof/>
                <w:lang w:val="sk-SK"/>
              </w:rPr>
              <w:t>Reforma učebných osnov</w:t>
            </w:r>
          </w:p>
        </w:tc>
        <w:tc>
          <w:tcPr>
            <w:tcW w:w="1680" w:type="dxa"/>
            <w:shd w:val="clear" w:color="auto" w:fill="C6EFCE"/>
            <w:noWrap/>
          </w:tcPr>
          <w:p w14:paraId="526949E2" w14:textId="2CB3F7FC" w:rsidR="002D49B0" w:rsidRPr="00083739" w:rsidRDefault="00BF4125">
            <w:pPr>
              <w:pStyle w:val="P68B1DB1-Normal33"/>
              <w:spacing w:before="120" w:after="0" w:line="240" w:lineRule="auto"/>
              <w:rPr>
                <w:rFonts w:ascii="Times New Roman" w:hAnsi="Times New Roman" w:cs="Times New Roman"/>
                <w:noProof/>
                <w:lang w:val="sk-SK"/>
              </w:rPr>
            </w:pPr>
            <w:r w:rsidRPr="00083739">
              <w:rPr>
                <w:rFonts w:ascii="Times New Roman" w:hAnsi="Times New Roman" w:cs="Times New Roman"/>
                <w:noProof/>
                <w:lang w:val="sk-SK"/>
              </w:rPr>
              <w:t>Správa ministerstva sociálnej súdržnosti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rodiny potvrdzujúca dokončenie projektu</w:t>
            </w:r>
          </w:p>
        </w:tc>
        <w:tc>
          <w:tcPr>
            <w:tcW w:w="1080" w:type="dxa"/>
            <w:shd w:val="clear" w:color="auto" w:fill="C6EFCE"/>
            <w:noWrap/>
          </w:tcPr>
          <w:p w14:paraId="2C443BF8" w14:textId="77777777" w:rsidR="002D49B0" w:rsidRPr="00083739" w:rsidRDefault="002D49B0">
            <w:pPr>
              <w:spacing w:before="120" w:after="0" w:line="240" w:lineRule="auto"/>
              <w:rPr>
                <w:rFonts w:ascii="Times New Roman" w:hAnsi="Times New Roman" w:cs="Times New Roman"/>
                <w:noProof/>
                <w:color w:val="006100"/>
                <w:sz w:val="18"/>
                <w:lang w:val="sk-SK"/>
              </w:rPr>
            </w:pPr>
          </w:p>
        </w:tc>
        <w:tc>
          <w:tcPr>
            <w:tcW w:w="960" w:type="dxa"/>
            <w:shd w:val="clear" w:color="auto" w:fill="C6EFCE"/>
            <w:noWrap/>
          </w:tcPr>
          <w:p w14:paraId="50BD73E8" w14:textId="77777777" w:rsidR="002D49B0" w:rsidRPr="00083739" w:rsidRDefault="002D49B0">
            <w:pPr>
              <w:spacing w:before="120" w:after="0" w:line="240" w:lineRule="auto"/>
              <w:rPr>
                <w:rFonts w:ascii="Times New Roman" w:hAnsi="Times New Roman" w:cs="Times New Roman"/>
                <w:noProof/>
                <w:color w:val="006100"/>
                <w:sz w:val="18"/>
                <w:lang w:val="sk-SK"/>
              </w:rPr>
            </w:pPr>
          </w:p>
        </w:tc>
        <w:tc>
          <w:tcPr>
            <w:tcW w:w="971" w:type="dxa"/>
            <w:shd w:val="clear" w:color="auto" w:fill="C6EFCE"/>
            <w:noWrap/>
          </w:tcPr>
          <w:p w14:paraId="0F146AD1" w14:textId="77777777" w:rsidR="002D49B0" w:rsidRPr="00083739" w:rsidRDefault="002D49B0">
            <w:pPr>
              <w:spacing w:before="120" w:after="0" w:line="240" w:lineRule="auto"/>
              <w:rPr>
                <w:rFonts w:ascii="Times New Roman" w:hAnsi="Times New Roman" w:cs="Times New Roman"/>
                <w:noProof/>
                <w:color w:val="006100"/>
                <w:sz w:val="18"/>
                <w:lang w:val="sk-SK"/>
              </w:rPr>
            </w:pPr>
          </w:p>
        </w:tc>
        <w:tc>
          <w:tcPr>
            <w:tcW w:w="1417" w:type="dxa"/>
            <w:shd w:val="clear" w:color="auto" w:fill="C6EFCE"/>
            <w:noWrap/>
          </w:tcPr>
          <w:p w14:paraId="1D529E1B" w14:textId="77777777" w:rsidR="002D49B0" w:rsidRPr="00083739" w:rsidRDefault="00BF4125">
            <w:pPr>
              <w:pStyle w:val="P68B1DB1-Normal33"/>
              <w:spacing w:before="120" w:after="0" w:line="240" w:lineRule="auto"/>
              <w:rPr>
                <w:rFonts w:ascii="Times New Roman" w:hAnsi="Times New Roman" w:cs="Times New Roman"/>
                <w:noProof/>
                <w:lang w:val="sk-SK"/>
              </w:rPr>
            </w:pPr>
            <w:r w:rsidRPr="00083739">
              <w:rPr>
                <w:rFonts w:ascii="Times New Roman" w:hAnsi="Times New Roman" w:cs="Times New Roman"/>
                <w:noProof/>
                <w:lang w:val="sk-SK"/>
              </w:rPr>
              <w:t>ŠTVRTÝ ŠTVRŤROK</w:t>
            </w:r>
          </w:p>
        </w:tc>
        <w:tc>
          <w:tcPr>
            <w:tcW w:w="709" w:type="dxa"/>
            <w:shd w:val="clear" w:color="auto" w:fill="C6EFCE"/>
            <w:noWrap/>
          </w:tcPr>
          <w:p w14:paraId="058844E8" w14:textId="77777777" w:rsidR="002D49B0" w:rsidRPr="00083739" w:rsidRDefault="00BF4125">
            <w:pPr>
              <w:pStyle w:val="P68B1DB1-Normal33"/>
              <w:spacing w:before="120" w:after="0" w:line="240" w:lineRule="auto"/>
              <w:rPr>
                <w:rFonts w:ascii="Times New Roman" w:hAnsi="Times New Roman" w:cs="Times New Roman"/>
                <w:noProof/>
                <w:lang w:val="sk-SK"/>
              </w:rPr>
            </w:pPr>
            <w:r w:rsidRPr="00083739">
              <w:rPr>
                <w:rFonts w:ascii="Times New Roman" w:hAnsi="Times New Roman" w:cs="Times New Roman"/>
                <w:noProof/>
                <w:lang w:val="sk-SK"/>
              </w:rPr>
              <w:t>2025</w:t>
            </w:r>
          </w:p>
        </w:tc>
        <w:tc>
          <w:tcPr>
            <w:tcW w:w="4384" w:type="dxa"/>
            <w:shd w:val="clear" w:color="auto" w:fill="C6EFCE"/>
            <w:noWrap/>
          </w:tcPr>
          <w:p w14:paraId="65EE3397" w14:textId="3F40E1F7" w:rsidR="002D49B0" w:rsidRPr="00083739" w:rsidRDefault="00BF4125">
            <w:pPr>
              <w:pStyle w:val="P68B1DB1-Normal33"/>
              <w:spacing w:after="0" w:line="240" w:lineRule="auto"/>
              <w:jc w:val="both"/>
              <w:textAlignment w:val="baseline"/>
              <w:rPr>
                <w:rFonts w:ascii="Times New Roman" w:hAnsi="Times New Roman" w:cs="Times New Roman"/>
                <w:noProof/>
                <w:lang w:val="sk-SK"/>
              </w:rPr>
            </w:pPr>
            <w:r w:rsidRPr="00083739">
              <w:rPr>
                <w:rFonts w:ascii="Times New Roman" w:hAnsi="Times New Roman" w:cs="Times New Roman"/>
                <w:noProof/>
                <w:lang w:val="sk-SK"/>
              </w:rPr>
              <w:t xml:space="preserve">Vytvorenie 100 </w:t>
            </w:r>
            <w:r w:rsidRPr="00083739">
              <w:rPr>
                <w:rFonts w:ascii="Times New Roman" w:hAnsi="Times New Roman" w:cs="Times New Roman"/>
                <w:noProof/>
                <w:lang w:val="sk-SK"/>
              </w:rPr>
              <w:t>centier tvorivých aktivít</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vedy, technológie, inžinierstva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matematiky (STEM) pre deti vo veku 12 – 15 rokov. </w:t>
            </w:r>
          </w:p>
        </w:tc>
      </w:tr>
      <w:tr w:rsidR="002D49B0" w:rsidRPr="00083739" w14:paraId="62FDF896" w14:textId="77777777">
        <w:trPr>
          <w:trHeight w:val="313"/>
          <w:jc w:val="center"/>
        </w:trPr>
        <w:tc>
          <w:tcPr>
            <w:tcW w:w="1134" w:type="dxa"/>
            <w:shd w:val="clear" w:color="auto" w:fill="C6EFCE"/>
            <w:noWrap/>
          </w:tcPr>
          <w:p w14:paraId="30F8601B" w14:textId="77777777" w:rsidR="002D49B0" w:rsidRPr="00083739" w:rsidRDefault="00BF4125">
            <w:pPr>
              <w:pStyle w:val="P68B1DB1-Normal33"/>
              <w:spacing w:before="120" w:after="0" w:line="240" w:lineRule="auto"/>
              <w:rPr>
                <w:rFonts w:ascii="Times New Roman" w:hAnsi="Times New Roman" w:cs="Times New Roman"/>
                <w:noProof/>
                <w:lang w:val="sk-SK"/>
              </w:rPr>
            </w:pPr>
            <w:r w:rsidRPr="00083739">
              <w:rPr>
                <w:rFonts w:ascii="Times New Roman" w:hAnsi="Times New Roman" w:cs="Times New Roman"/>
                <w:noProof/>
                <w:lang w:val="sk-SK"/>
              </w:rPr>
              <w:t>181</w:t>
            </w:r>
          </w:p>
        </w:tc>
        <w:tc>
          <w:tcPr>
            <w:tcW w:w="1276" w:type="dxa"/>
            <w:shd w:val="clear" w:color="auto" w:fill="C6EFCE"/>
            <w:noWrap/>
          </w:tcPr>
          <w:p w14:paraId="438BBD8E" w14:textId="2528C858" w:rsidR="002D49B0" w:rsidRPr="00083739" w:rsidRDefault="00BF4125">
            <w:pPr>
              <w:pStyle w:val="P68B1DB1-Normal33"/>
              <w:spacing w:before="120" w:after="0" w:line="240" w:lineRule="auto"/>
              <w:rPr>
                <w:rFonts w:ascii="Times New Roman" w:hAnsi="Times New Roman" w:cs="Times New Roman"/>
                <w:noProof/>
                <w:lang w:val="sk-SK"/>
              </w:rPr>
            </w:pPr>
            <w:r w:rsidRPr="00083739">
              <w:rPr>
                <w:rFonts w:ascii="Times New Roman" w:hAnsi="Times New Roman" w:cs="Times New Roman"/>
                <w:noProof/>
                <w:lang w:val="sk-SK"/>
              </w:rPr>
              <w:t>11 – 3.4 Zlepšiť prístup</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účinným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inkluzívnym sociálnym politikám – 16402_Sociálne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cenovo dostupné bývanie</w:t>
            </w:r>
          </w:p>
        </w:tc>
        <w:tc>
          <w:tcPr>
            <w:tcW w:w="992" w:type="dxa"/>
            <w:shd w:val="clear" w:color="auto" w:fill="C6EFCE"/>
            <w:noWrap/>
          </w:tcPr>
          <w:p w14:paraId="62F3D0F1" w14:textId="77777777" w:rsidR="002D49B0" w:rsidRPr="00083739" w:rsidRDefault="00BF4125">
            <w:pPr>
              <w:pStyle w:val="P68B1DB1-Normal33"/>
              <w:spacing w:before="120" w:after="0" w:line="240" w:lineRule="auto"/>
              <w:rPr>
                <w:rFonts w:ascii="Times New Roman" w:hAnsi="Times New Roman" w:cs="Times New Roman"/>
                <w:noProof/>
                <w:lang w:val="sk-SK"/>
              </w:rPr>
            </w:pPr>
            <w:r w:rsidRPr="00083739">
              <w:rPr>
                <w:rFonts w:ascii="Times New Roman" w:hAnsi="Times New Roman" w:cs="Times New Roman"/>
                <w:noProof/>
                <w:lang w:val="sk-SK"/>
              </w:rPr>
              <w:t>Míľnik</w:t>
            </w:r>
          </w:p>
        </w:tc>
        <w:tc>
          <w:tcPr>
            <w:tcW w:w="1273" w:type="dxa"/>
            <w:shd w:val="clear" w:color="auto" w:fill="C6EFCE"/>
            <w:noWrap/>
          </w:tcPr>
          <w:p w14:paraId="3EA39E05" w14:textId="77777777" w:rsidR="002D49B0" w:rsidRPr="00083739" w:rsidRDefault="00BF4125">
            <w:pPr>
              <w:pStyle w:val="P68B1DB1-Normal33"/>
              <w:spacing w:before="120" w:after="0" w:line="240" w:lineRule="auto"/>
              <w:rPr>
                <w:rFonts w:ascii="Times New Roman" w:hAnsi="Times New Roman" w:cs="Times New Roman"/>
                <w:noProof/>
                <w:lang w:val="sk-SK"/>
              </w:rPr>
            </w:pPr>
            <w:r w:rsidRPr="00083739">
              <w:rPr>
                <w:rFonts w:ascii="Times New Roman" w:hAnsi="Times New Roman" w:cs="Times New Roman"/>
                <w:noProof/>
                <w:lang w:val="sk-SK"/>
              </w:rPr>
              <w:t xml:space="preserve">Národné bývanie STRARTEGY </w:t>
            </w:r>
          </w:p>
        </w:tc>
        <w:tc>
          <w:tcPr>
            <w:tcW w:w="1680" w:type="dxa"/>
            <w:shd w:val="clear" w:color="auto" w:fill="C6EFCE"/>
            <w:noWrap/>
          </w:tcPr>
          <w:p w14:paraId="25F1F1F2" w14:textId="77777777" w:rsidR="002D49B0" w:rsidRPr="00083739" w:rsidRDefault="00BF4125">
            <w:pPr>
              <w:pStyle w:val="P68B1DB1-Normal33"/>
              <w:spacing w:before="120" w:after="0" w:line="240" w:lineRule="auto"/>
              <w:rPr>
                <w:rFonts w:ascii="Times New Roman" w:hAnsi="Times New Roman" w:cs="Times New Roman"/>
                <w:noProof/>
                <w:lang w:val="sk-SK"/>
              </w:rPr>
            </w:pPr>
            <w:r w:rsidRPr="00083739">
              <w:rPr>
                <w:rFonts w:ascii="Times New Roman" w:hAnsi="Times New Roman" w:cs="Times New Roman"/>
                <w:noProof/>
                <w:lang w:val="sk-SK"/>
              </w:rPr>
              <w:t>Schválenie stratégie bývania kabinetom ministrov</w:t>
            </w:r>
          </w:p>
        </w:tc>
        <w:tc>
          <w:tcPr>
            <w:tcW w:w="1080" w:type="dxa"/>
            <w:shd w:val="clear" w:color="auto" w:fill="C6EFCE"/>
            <w:noWrap/>
          </w:tcPr>
          <w:p w14:paraId="4DDB995F" w14:textId="77777777" w:rsidR="002D49B0" w:rsidRPr="00083739" w:rsidRDefault="002D49B0">
            <w:pPr>
              <w:spacing w:before="120" w:after="0" w:line="240" w:lineRule="auto"/>
              <w:rPr>
                <w:rFonts w:ascii="Times New Roman" w:hAnsi="Times New Roman" w:cs="Times New Roman"/>
                <w:noProof/>
                <w:color w:val="006100"/>
                <w:sz w:val="18"/>
                <w:lang w:val="sk-SK"/>
              </w:rPr>
            </w:pPr>
          </w:p>
        </w:tc>
        <w:tc>
          <w:tcPr>
            <w:tcW w:w="960" w:type="dxa"/>
            <w:shd w:val="clear" w:color="auto" w:fill="C6EFCE"/>
            <w:noWrap/>
          </w:tcPr>
          <w:p w14:paraId="7C979DC9" w14:textId="77777777" w:rsidR="002D49B0" w:rsidRPr="00083739" w:rsidRDefault="002D49B0">
            <w:pPr>
              <w:spacing w:before="120" w:after="0" w:line="240" w:lineRule="auto"/>
              <w:rPr>
                <w:rFonts w:ascii="Times New Roman" w:hAnsi="Times New Roman" w:cs="Times New Roman"/>
                <w:noProof/>
                <w:color w:val="006100"/>
                <w:sz w:val="18"/>
                <w:lang w:val="sk-SK"/>
              </w:rPr>
            </w:pPr>
          </w:p>
        </w:tc>
        <w:tc>
          <w:tcPr>
            <w:tcW w:w="971" w:type="dxa"/>
            <w:shd w:val="clear" w:color="auto" w:fill="C6EFCE"/>
            <w:noWrap/>
          </w:tcPr>
          <w:p w14:paraId="5F8D24C6" w14:textId="77777777" w:rsidR="002D49B0" w:rsidRPr="00083739" w:rsidRDefault="002D49B0">
            <w:pPr>
              <w:spacing w:before="120" w:after="0" w:line="240" w:lineRule="auto"/>
              <w:rPr>
                <w:rFonts w:ascii="Times New Roman" w:hAnsi="Times New Roman" w:cs="Times New Roman"/>
                <w:noProof/>
                <w:color w:val="006100"/>
                <w:sz w:val="18"/>
                <w:lang w:val="sk-SK"/>
              </w:rPr>
            </w:pPr>
          </w:p>
        </w:tc>
        <w:tc>
          <w:tcPr>
            <w:tcW w:w="1417" w:type="dxa"/>
            <w:shd w:val="clear" w:color="auto" w:fill="C6EFCE"/>
            <w:noWrap/>
          </w:tcPr>
          <w:p w14:paraId="44C8AA67" w14:textId="77777777" w:rsidR="002D49B0" w:rsidRPr="00083739" w:rsidRDefault="00BF4125">
            <w:pPr>
              <w:pStyle w:val="P68B1DB1-Normal33"/>
              <w:spacing w:before="120" w:after="0" w:line="240" w:lineRule="auto"/>
              <w:rPr>
                <w:rFonts w:ascii="Times New Roman" w:hAnsi="Times New Roman" w:cs="Times New Roman"/>
                <w:noProof/>
                <w:lang w:val="sk-SK"/>
              </w:rPr>
            </w:pPr>
            <w:r w:rsidRPr="00083739">
              <w:rPr>
                <w:rFonts w:ascii="Times New Roman" w:hAnsi="Times New Roman" w:cs="Times New Roman"/>
                <w:noProof/>
                <w:lang w:val="sk-SK"/>
              </w:rPr>
              <w:t>PRVÝ ŠTVRŤROK</w:t>
            </w:r>
          </w:p>
        </w:tc>
        <w:tc>
          <w:tcPr>
            <w:tcW w:w="709" w:type="dxa"/>
            <w:shd w:val="clear" w:color="auto" w:fill="C6EFCE"/>
            <w:noWrap/>
          </w:tcPr>
          <w:p w14:paraId="613E0F87" w14:textId="77777777" w:rsidR="002D49B0" w:rsidRPr="00083739" w:rsidRDefault="00BF4125">
            <w:pPr>
              <w:pStyle w:val="P68B1DB1-Normal33"/>
              <w:spacing w:before="120" w:after="0" w:line="240" w:lineRule="auto"/>
              <w:rPr>
                <w:rFonts w:ascii="Times New Roman" w:hAnsi="Times New Roman" w:cs="Times New Roman"/>
                <w:noProof/>
                <w:lang w:val="sk-SK"/>
              </w:rPr>
            </w:pPr>
            <w:r w:rsidRPr="00083739">
              <w:rPr>
                <w:rFonts w:ascii="Times New Roman" w:hAnsi="Times New Roman" w:cs="Times New Roman"/>
                <w:noProof/>
                <w:lang w:val="sk-SK"/>
              </w:rPr>
              <w:t>2026</w:t>
            </w:r>
          </w:p>
        </w:tc>
        <w:tc>
          <w:tcPr>
            <w:tcW w:w="4384" w:type="dxa"/>
            <w:shd w:val="clear" w:color="auto" w:fill="C6EFCE"/>
            <w:noWrap/>
          </w:tcPr>
          <w:p w14:paraId="24E68D47" w14:textId="77777777" w:rsidR="002D49B0" w:rsidRPr="00083739" w:rsidRDefault="00BF4125">
            <w:pPr>
              <w:pStyle w:val="P68B1DB1-Normal33"/>
              <w:spacing w:before="120" w:after="0" w:line="240" w:lineRule="auto"/>
              <w:rPr>
                <w:rFonts w:ascii="Times New Roman" w:hAnsi="Times New Roman" w:cs="Times New Roman"/>
                <w:noProof/>
                <w:lang w:val="sk-SK"/>
              </w:rPr>
            </w:pPr>
            <w:r w:rsidRPr="00083739">
              <w:rPr>
                <w:rFonts w:ascii="Times New Roman" w:hAnsi="Times New Roman" w:cs="Times New Roman"/>
                <w:noProof/>
                <w:lang w:val="sk-SK"/>
              </w:rPr>
              <w:t>Prijatie komplexnej národnej stratégie bývania, ktorá zahŕňa:</w:t>
            </w:r>
          </w:p>
          <w:p w14:paraId="3BC6B176" w14:textId="391D6E66" w:rsidR="002D49B0" w:rsidRPr="00083739" w:rsidRDefault="00BF4125">
            <w:pPr>
              <w:pStyle w:val="P68B1DB1-ListParagraph34"/>
              <w:numPr>
                <w:ilvl w:val="0"/>
                <w:numId w:val="92"/>
              </w:numPr>
              <w:spacing w:before="120" w:after="0" w:line="240" w:lineRule="auto"/>
              <w:ind w:left="414" w:hanging="357"/>
              <w:rPr>
                <w:rFonts w:ascii="Times New Roman" w:hAnsi="Times New Roman" w:cs="Times New Roman"/>
                <w:noProof/>
                <w:lang w:val="sk-SK"/>
              </w:rPr>
            </w:pPr>
            <w:r w:rsidRPr="00083739">
              <w:rPr>
                <w:rFonts w:ascii="Times New Roman" w:hAnsi="Times New Roman" w:cs="Times New Roman"/>
                <w:noProof/>
                <w:lang w:val="sk-SK"/>
              </w:rPr>
              <w:t>Analýza fungovania trhu</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bývaním.</w:t>
            </w:r>
          </w:p>
          <w:p w14:paraId="5092DF72" w14:textId="4AA38AF3" w:rsidR="002D49B0" w:rsidRPr="00083739" w:rsidRDefault="00BF4125">
            <w:pPr>
              <w:pStyle w:val="P68B1DB1-ListParagraph34"/>
              <w:numPr>
                <w:ilvl w:val="0"/>
                <w:numId w:val="92"/>
              </w:numPr>
              <w:spacing w:before="120" w:after="0" w:line="240" w:lineRule="auto"/>
              <w:ind w:left="414" w:hanging="357"/>
              <w:rPr>
                <w:rFonts w:ascii="Times New Roman" w:hAnsi="Times New Roman" w:cs="Times New Roman"/>
                <w:noProof/>
                <w:lang w:val="sk-SK"/>
              </w:rPr>
            </w:pPr>
            <w:r w:rsidRPr="00083739">
              <w:rPr>
                <w:rFonts w:ascii="Times New Roman" w:hAnsi="Times New Roman" w:cs="Times New Roman"/>
                <w:noProof/>
                <w:lang w:val="sk-SK"/>
              </w:rPr>
              <w:t xml:space="preserve">Mapovanie bytového fondu na regionálnej úrovni vrátane </w:t>
            </w:r>
            <w:r w:rsidRPr="00083739">
              <w:rPr>
                <w:rFonts w:ascii="Times New Roman" w:hAnsi="Times New Roman" w:cs="Times New Roman"/>
                <w:noProof/>
                <w:lang w:val="sk-SK"/>
              </w:rPr>
              <w:t>súkromných nehnuteľností, ktoré nie sú obývané,</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nehnuteľností vo vlastníctve štátu, ktoré sú alebo môžu byť</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dispozícii na účely sociálneho bývania, spolu</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analýzou vývoja cien bývania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jeho determinantov podporenou štatistickými údajmi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ukazovateľmi;</w:t>
            </w:r>
          </w:p>
          <w:p w14:paraId="19C38B14" w14:textId="18332BC4" w:rsidR="00083739" w:rsidRPr="00083739" w:rsidRDefault="00BF4125">
            <w:pPr>
              <w:pStyle w:val="P68B1DB1-ListParagraph34"/>
              <w:numPr>
                <w:ilvl w:val="0"/>
                <w:numId w:val="92"/>
              </w:numPr>
              <w:spacing w:before="120" w:after="0" w:line="240" w:lineRule="auto"/>
              <w:ind w:left="414" w:hanging="357"/>
              <w:rPr>
                <w:rFonts w:ascii="Times New Roman" w:hAnsi="Times New Roman" w:cs="Times New Roman"/>
                <w:noProof/>
                <w:lang w:val="sk-SK"/>
              </w:rPr>
            </w:pPr>
            <w:r w:rsidRPr="00083739">
              <w:rPr>
                <w:rFonts w:ascii="Times New Roman" w:hAnsi="Times New Roman" w:cs="Times New Roman"/>
                <w:noProof/>
                <w:lang w:val="sk-SK"/>
              </w:rPr>
              <w:t>Analýza potrieb bývania podľa segmentov obyvateľstva (t. j. skupín obyvateľstva</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odlišnými charakteristikami, ako je vek, disponibilný príjem, zloženie rodiny, na obecnej</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regionálnej úrovni, vo vidieckych alebo mestských oblastiach, malých</w:t>
            </w:r>
            <w:r w:rsidRPr="00083739">
              <w:rPr>
                <w:rFonts w:ascii="Times New Roman" w:hAnsi="Times New Roman" w:cs="Times New Roman"/>
                <w:noProof/>
                <w:lang w:val="sk-SK"/>
              </w:rPr>
              <w:t xml:space="preserve"> mestách alebo veľkých mestách)</w:t>
            </w:r>
            <w:r w:rsidR="00083739" w:rsidRPr="00083739">
              <w:rPr>
                <w:rFonts w:ascii="Times New Roman" w:hAnsi="Times New Roman" w:cs="Times New Roman"/>
                <w:noProof/>
                <w:lang w:val="sk-SK"/>
              </w:rPr>
              <w:t>;</w:t>
            </w:r>
          </w:p>
          <w:p w14:paraId="12140754" w14:textId="2BA38A1E" w:rsidR="00083739" w:rsidRPr="00083739" w:rsidRDefault="00BF4125">
            <w:pPr>
              <w:pStyle w:val="P68B1DB1-ListParagraph34"/>
              <w:numPr>
                <w:ilvl w:val="0"/>
                <w:numId w:val="92"/>
              </w:numPr>
              <w:spacing w:before="120" w:after="0" w:line="240" w:lineRule="auto"/>
              <w:ind w:left="414" w:hanging="357"/>
              <w:rPr>
                <w:rFonts w:ascii="Times New Roman" w:hAnsi="Times New Roman" w:cs="Times New Roman"/>
                <w:noProof/>
                <w:lang w:val="sk-SK"/>
              </w:rPr>
            </w:pPr>
            <w:r w:rsidRPr="00083739">
              <w:rPr>
                <w:rFonts w:ascii="Times New Roman" w:hAnsi="Times New Roman" w:cs="Times New Roman"/>
                <w:noProof/>
                <w:lang w:val="sk-SK"/>
              </w:rPr>
              <w:t>Podrobnosti</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rôznych vykonávacích politických opatreniach,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to aj pre každý zodpovedný orgán, rozpočet</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zdroj financovania, stanovenie priorít</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predpokladaných príjemcov</w:t>
            </w:r>
            <w:r w:rsidR="00083739" w:rsidRPr="00083739">
              <w:rPr>
                <w:rFonts w:ascii="Times New Roman" w:hAnsi="Times New Roman" w:cs="Times New Roman"/>
                <w:noProof/>
                <w:lang w:val="sk-SK"/>
              </w:rPr>
              <w:t>;</w:t>
            </w:r>
          </w:p>
          <w:p w14:paraId="6CF08A7E" w14:textId="2B9D633F" w:rsidR="002D49B0" w:rsidRPr="00083739" w:rsidRDefault="00BF4125">
            <w:pPr>
              <w:pStyle w:val="P68B1DB1-ListParagraph34"/>
              <w:numPr>
                <w:ilvl w:val="0"/>
                <w:numId w:val="92"/>
              </w:numPr>
              <w:spacing w:before="120" w:after="0" w:line="240" w:lineRule="auto"/>
              <w:ind w:left="414" w:hanging="357"/>
              <w:rPr>
                <w:rFonts w:ascii="Times New Roman" w:hAnsi="Times New Roman" w:cs="Times New Roman"/>
                <w:noProof/>
                <w:lang w:val="sk-SK"/>
              </w:rPr>
            </w:pPr>
            <w:r w:rsidRPr="00083739">
              <w:rPr>
                <w:rFonts w:ascii="Times New Roman" w:hAnsi="Times New Roman" w:cs="Times New Roman"/>
                <w:noProof/>
                <w:lang w:val="sk-SK"/>
              </w:rPr>
              <w:t xml:space="preserve">Opis riadiacej štruktúry, ktorá bude zodpovedná </w:t>
            </w:r>
            <w:r w:rsidRPr="00083739">
              <w:rPr>
                <w:rFonts w:ascii="Times New Roman" w:hAnsi="Times New Roman" w:cs="Times New Roman"/>
                <w:noProof/>
                <w:lang w:val="sk-SK"/>
              </w:rPr>
              <w:t>za vykonávanie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budúce aktualizácie stratégie,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opis harmonogramu vykonávania.</w:t>
            </w:r>
          </w:p>
        </w:tc>
      </w:tr>
      <w:tr w:rsidR="002D49B0" w:rsidRPr="00083739" w14:paraId="567C0EC7" w14:textId="77777777">
        <w:trPr>
          <w:trHeight w:val="313"/>
          <w:jc w:val="center"/>
        </w:trPr>
        <w:tc>
          <w:tcPr>
            <w:tcW w:w="1134" w:type="dxa"/>
            <w:shd w:val="clear" w:color="auto" w:fill="C6EFCE"/>
            <w:noWrap/>
          </w:tcPr>
          <w:p w14:paraId="4436733A" w14:textId="77777777" w:rsidR="002D49B0" w:rsidRPr="00083739" w:rsidRDefault="00BF4125">
            <w:pPr>
              <w:pStyle w:val="P68B1DB1-Normal9"/>
              <w:spacing w:before="120" w:after="0" w:line="240" w:lineRule="auto"/>
              <w:rPr>
                <w:rFonts w:ascii="Times New Roman" w:hAnsi="Times New Roman" w:cs="Times New Roman"/>
                <w:noProof/>
                <w:lang w:val="sk-SK"/>
              </w:rPr>
            </w:pPr>
            <w:r w:rsidRPr="00083739">
              <w:rPr>
                <w:rFonts w:ascii="Times New Roman" w:hAnsi="Times New Roman" w:cs="Times New Roman"/>
                <w:noProof/>
                <w:lang w:val="sk-SK"/>
              </w:rPr>
              <w:t>181a</w:t>
            </w:r>
          </w:p>
        </w:tc>
        <w:tc>
          <w:tcPr>
            <w:tcW w:w="1276" w:type="dxa"/>
            <w:shd w:val="clear" w:color="auto" w:fill="C6EFCE"/>
            <w:noWrap/>
          </w:tcPr>
          <w:p w14:paraId="77EF3EA6" w14:textId="5FA66BBC" w:rsidR="002D49B0" w:rsidRPr="00083739" w:rsidRDefault="00BF4125">
            <w:pPr>
              <w:pStyle w:val="P68B1DB1-Normal9"/>
              <w:spacing w:before="120" w:after="0" w:line="240" w:lineRule="auto"/>
              <w:rPr>
                <w:rFonts w:ascii="Times New Roman" w:hAnsi="Times New Roman" w:cs="Times New Roman"/>
                <w:noProof/>
                <w:lang w:val="sk-SK"/>
              </w:rPr>
            </w:pPr>
            <w:r w:rsidRPr="00083739">
              <w:rPr>
                <w:rFonts w:ascii="Times New Roman" w:hAnsi="Times New Roman" w:cs="Times New Roman"/>
                <w:noProof/>
                <w:lang w:val="sk-SK"/>
              </w:rPr>
              <w:t>11 – 3.4 Zlepšiť prístup</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účinným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inkluzívnym sociálnym politikám – 16402_Sociálne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cenovo dostupné bývanie </w:t>
            </w:r>
          </w:p>
        </w:tc>
        <w:tc>
          <w:tcPr>
            <w:tcW w:w="992" w:type="dxa"/>
            <w:shd w:val="clear" w:color="auto" w:fill="C6EFCE"/>
            <w:noWrap/>
          </w:tcPr>
          <w:p w14:paraId="30436A8E" w14:textId="77777777" w:rsidR="002D49B0" w:rsidRPr="00083739" w:rsidRDefault="00BF4125">
            <w:pPr>
              <w:pStyle w:val="P68B1DB1-Normal9"/>
              <w:spacing w:before="120" w:after="0" w:line="240" w:lineRule="auto"/>
              <w:rPr>
                <w:rFonts w:ascii="Times New Roman" w:hAnsi="Times New Roman" w:cs="Times New Roman"/>
                <w:noProof/>
                <w:lang w:val="sk-SK"/>
              </w:rPr>
            </w:pPr>
            <w:r w:rsidRPr="00083739">
              <w:rPr>
                <w:rFonts w:ascii="Times New Roman" w:hAnsi="Times New Roman" w:cs="Times New Roman"/>
                <w:noProof/>
                <w:lang w:val="sk-SK"/>
              </w:rPr>
              <w:t>Míľnik</w:t>
            </w:r>
          </w:p>
        </w:tc>
        <w:tc>
          <w:tcPr>
            <w:tcW w:w="1273" w:type="dxa"/>
            <w:shd w:val="clear" w:color="auto" w:fill="C6EFCE"/>
            <w:noWrap/>
          </w:tcPr>
          <w:p w14:paraId="255B93FE" w14:textId="77777777" w:rsidR="002D49B0" w:rsidRPr="00083739" w:rsidRDefault="00BF4125">
            <w:pPr>
              <w:pStyle w:val="P68B1DB1-Normal9"/>
              <w:spacing w:before="120" w:after="0" w:line="240" w:lineRule="auto"/>
              <w:rPr>
                <w:rFonts w:ascii="Times New Roman" w:hAnsi="Times New Roman" w:cs="Times New Roman"/>
                <w:noProof/>
                <w:lang w:val="sk-SK"/>
              </w:rPr>
            </w:pPr>
            <w:r w:rsidRPr="00083739">
              <w:rPr>
                <w:rFonts w:ascii="Times New Roman" w:hAnsi="Times New Roman" w:cs="Times New Roman"/>
                <w:noProof/>
                <w:lang w:val="sk-SK"/>
              </w:rPr>
              <w:t>Zmena zákona č. 5006/2022</w:t>
            </w:r>
          </w:p>
        </w:tc>
        <w:tc>
          <w:tcPr>
            <w:tcW w:w="1680" w:type="dxa"/>
            <w:shd w:val="clear" w:color="auto" w:fill="C6EFCE"/>
            <w:noWrap/>
          </w:tcPr>
          <w:p w14:paraId="454938E9" w14:textId="0521BBB1" w:rsidR="002D49B0" w:rsidRPr="00083739" w:rsidRDefault="00BF4125">
            <w:pPr>
              <w:pStyle w:val="P68B1DB1-Normal9"/>
              <w:spacing w:before="120" w:after="0" w:line="240" w:lineRule="auto"/>
              <w:rPr>
                <w:rFonts w:ascii="Times New Roman" w:hAnsi="Times New Roman" w:cs="Times New Roman"/>
                <w:noProof/>
                <w:lang w:val="sk-SK"/>
              </w:rPr>
            </w:pPr>
            <w:r w:rsidRPr="00083739">
              <w:rPr>
                <w:rFonts w:ascii="Times New Roman" w:hAnsi="Times New Roman" w:cs="Times New Roman"/>
                <w:noProof/>
                <w:lang w:val="sk-SK"/>
              </w:rPr>
              <w:t xml:space="preserve">Nadobudnutie účinnosti </w:t>
            </w:r>
            <w:r w:rsidRPr="00083739">
              <w:rPr>
                <w:rFonts w:ascii="Times New Roman" w:hAnsi="Times New Roman" w:cs="Times New Roman"/>
                <w:noProof/>
                <w:lang w:val="sk-SK"/>
              </w:rPr>
              <w:t>právnych predpisov, ktorými sa mení zákon</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 xml:space="preserve">bývaní 5006/2022 </w:t>
            </w:r>
          </w:p>
        </w:tc>
        <w:tc>
          <w:tcPr>
            <w:tcW w:w="1080" w:type="dxa"/>
            <w:shd w:val="clear" w:color="auto" w:fill="C6EFCE"/>
            <w:noWrap/>
          </w:tcPr>
          <w:p w14:paraId="251920FB" w14:textId="77777777" w:rsidR="002D49B0" w:rsidRPr="00083739" w:rsidRDefault="002D49B0">
            <w:pPr>
              <w:spacing w:before="120" w:after="0" w:line="240" w:lineRule="auto"/>
              <w:rPr>
                <w:rFonts w:ascii="Times New Roman" w:hAnsi="Times New Roman" w:cs="Times New Roman"/>
                <w:noProof/>
                <w:color w:val="006100"/>
                <w:sz w:val="18"/>
                <w:lang w:val="sk-SK"/>
              </w:rPr>
            </w:pPr>
          </w:p>
        </w:tc>
        <w:tc>
          <w:tcPr>
            <w:tcW w:w="960" w:type="dxa"/>
            <w:shd w:val="clear" w:color="auto" w:fill="C6EFCE"/>
            <w:noWrap/>
          </w:tcPr>
          <w:p w14:paraId="50130AF5" w14:textId="77777777" w:rsidR="002D49B0" w:rsidRPr="00083739" w:rsidRDefault="002D49B0">
            <w:pPr>
              <w:spacing w:before="120" w:after="0" w:line="240" w:lineRule="auto"/>
              <w:rPr>
                <w:rFonts w:ascii="Times New Roman" w:hAnsi="Times New Roman" w:cs="Times New Roman"/>
                <w:noProof/>
                <w:color w:val="006100"/>
                <w:sz w:val="18"/>
                <w:lang w:val="sk-SK"/>
              </w:rPr>
            </w:pPr>
          </w:p>
        </w:tc>
        <w:tc>
          <w:tcPr>
            <w:tcW w:w="971" w:type="dxa"/>
            <w:shd w:val="clear" w:color="auto" w:fill="C6EFCE"/>
            <w:noWrap/>
          </w:tcPr>
          <w:p w14:paraId="059847AD" w14:textId="77777777" w:rsidR="002D49B0" w:rsidRPr="00083739" w:rsidRDefault="002D49B0">
            <w:pPr>
              <w:spacing w:before="120" w:after="0" w:line="240" w:lineRule="auto"/>
              <w:rPr>
                <w:rFonts w:ascii="Times New Roman" w:hAnsi="Times New Roman" w:cs="Times New Roman"/>
                <w:noProof/>
                <w:color w:val="006100"/>
                <w:sz w:val="18"/>
                <w:lang w:val="sk-SK"/>
              </w:rPr>
            </w:pPr>
          </w:p>
        </w:tc>
        <w:tc>
          <w:tcPr>
            <w:tcW w:w="1417" w:type="dxa"/>
            <w:shd w:val="clear" w:color="auto" w:fill="C6EFCE"/>
            <w:noWrap/>
          </w:tcPr>
          <w:p w14:paraId="3E027630" w14:textId="77777777" w:rsidR="002D49B0" w:rsidRPr="00083739" w:rsidRDefault="00BF4125">
            <w:pPr>
              <w:pStyle w:val="P68B1DB1-Normal9"/>
              <w:spacing w:before="120" w:after="0" w:line="240" w:lineRule="auto"/>
              <w:rPr>
                <w:rFonts w:ascii="Times New Roman" w:hAnsi="Times New Roman" w:cs="Times New Roman"/>
                <w:noProof/>
                <w:lang w:val="sk-SK"/>
              </w:rPr>
            </w:pPr>
            <w:r w:rsidRPr="00083739">
              <w:rPr>
                <w:rFonts w:ascii="Times New Roman" w:hAnsi="Times New Roman" w:cs="Times New Roman"/>
                <w:noProof/>
                <w:lang w:val="sk-SK"/>
              </w:rPr>
              <w:t>PRVÝ ŠTVRŤROK</w:t>
            </w:r>
          </w:p>
        </w:tc>
        <w:tc>
          <w:tcPr>
            <w:tcW w:w="709" w:type="dxa"/>
            <w:shd w:val="clear" w:color="auto" w:fill="C6EFCE"/>
            <w:noWrap/>
          </w:tcPr>
          <w:p w14:paraId="7F7CEE12" w14:textId="77777777" w:rsidR="002D49B0" w:rsidRPr="00083739" w:rsidRDefault="00BF4125">
            <w:pPr>
              <w:pStyle w:val="P68B1DB1-Normal9"/>
              <w:spacing w:before="120" w:after="0" w:line="240" w:lineRule="auto"/>
              <w:rPr>
                <w:rFonts w:ascii="Times New Roman" w:hAnsi="Times New Roman" w:cs="Times New Roman"/>
                <w:noProof/>
                <w:lang w:val="sk-SK"/>
              </w:rPr>
            </w:pPr>
            <w:r w:rsidRPr="00083739">
              <w:rPr>
                <w:rFonts w:ascii="Times New Roman" w:hAnsi="Times New Roman" w:cs="Times New Roman"/>
                <w:noProof/>
                <w:lang w:val="sk-SK"/>
              </w:rPr>
              <w:t>2025</w:t>
            </w:r>
          </w:p>
        </w:tc>
        <w:tc>
          <w:tcPr>
            <w:tcW w:w="4384" w:type="dxa"/>
            <w:shd w:val="clear" w:color="auto" w:fill="C6EFCE"/>
            <w:noWrap/>
          </w:tcPr>
          <w:p w14:paraId="76C6122F" w14:textId="189AF5D2" w:rsidR="002D49B0" w:rsidRPr="00083739" w:rsidRDefault="00BF4125">
            <w:pPr>
              <w:pStyle w:val="P68B1DB1-Normal9"/>
              <w:rPr>
                <w:rFonts w:ascii="Times New Roman" w:hAnsi="Times New Roman" w:cs="Times New Roman"/>
                <w:noProof/>
                <w:lang w:val="sk-SK"/>
              </w:rPr>
            </w:pPr>
            <w:r w:rsidRPr="00083739">
              <w:rPr>
                <w:rFonts w:ascii="Times New Roman" w:hAnsi="Times New Roman" w:cs="Times New Roman"/>
                <w:noProof/>
                <w:lang w:val="sk-SK"/>
              </w:rPr>
              <w:t>Nadobudnutie účinnosti právnych predpisov, ktorými sa mení zákon č. 5006/2022</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 xml:space="preserve">cieľom poskytnúť developerom zo súkromného sektora, ktorí investujú do novej výstavby alebo </w:t>
            </w:r>
            <w:r w:rsidRPr="00083739">
              <w:rPr>
                <w:rFonts w:ascii="Times New Roman" w:hAnsi="Times New Roman" w:cs="Times New Roman"/>
                <w:noProof/>
                <w:lang w:val="sk-SK"/>
              </w:rPr>
              <w:t>obnovy štátom vlastnených nehnuteľností, možnosť získať vlastníctvo časti nehnuteľnosti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zároveň premeniť časť nehnuteľností na sociálne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cenovo dostupné bývanie.</w:t>
            </w:r>
          </w:p>
          <w:p w14:paraId="27B499C6" w14:textId="0F286A17" w:rsidR="002D49B0" w:rsidRPr="00083739" w:rsidRDefault="00BF4125">
            <w:pPr>
              <w:pStyle w:val="P68B1DB1-Normal9"/>
              <w:spacing w:before="120" w:after="0" w:line="240" w:lineRule="auto"/>
              <w:rPr>
                <w:rFonts w:ascii="Times New Roman" w:hAnsi="Times New Roman" w:cs="Times New Roman"/>
                <w:noProof/>
                <w:lang w:val="sk-SK"/>
              </w:rPr>
            </w:pPr>
            <w:r w:rsidRPr="00083739">
              <w:rPr>
                <w:rFonts w:ascii="Times New Roman" w:hAnsi="Times New Roman" w:cs="Times New Roman"/>
                <w:noProof/>
                <w:lang w:val="sk-SK"/>
              </w:rPr>
              <w:t>V zákone sa stanovia úlohy ministerstva sociálnej súdržnosti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rodinných vecí ako ústrednéh</w:t>
            </w:r>
            <w:r w:rsidRPr="00083739">
              <w:rPr>
                <w:rFonts w:ascii="Times New Roman" w:hAnsi="Times New Roman" w:cs="Times New Roman"/>
                <w:noProof/>
                <w:lang w:val="sk-SK"/>
              </w:rPr>
              <w:t>o orgánu pre správu recipročného výmenného programu verejného majetku („Kinoniki antiparochi“).</w:t>
            </w:r>
          </w:p>
        </w:tc>
      </w:tr>
    </w:tbl>
    <w:p w14:paraId="704FDDEE" w14:textId="77777777" w:rsidR="002D49B0" w:rsidRPr="00083739" w:rsidRDefault="002D49B0">
      <w:pPr>
        <w:spacing w:before="120" w:after="120" w:line="240" w:lineRule="auto"/>
        <w:jc w:val="both"/>
        <w:rPr>
          <w:rFonts w:ascii="Times New Roman" w:hAnsi="Times New Roman" w:cs="Times New Roman"/>
          <w:noProof/>
          <w:sz w:val="24"/>
          <w:szCs w:val="24"/>
          <w:lang w:val="sk-SK"/>
        </w:rPr>
      </w:pPr>
    </w:p>
    <w:p w14:paraId="4301D40B" w14:textId="2342A44B" w:rsidR="002D49B0" w:rsidRPr="00083739" w:rsidRDefault="00BF4125">
      <w:pPr>
        <w:pStyle w:val="P68B1DB1-Normal6"/>
        <w:keepNext/>
        <w:keepLines/>
        <w:spacing w:before="120" w:after="0" w:line="240" w:lineRule="auto"/>
        <w:jc w:val="both"/>
        <w:outlineLvl w:val="4"/>
        <w:rPr>
          <w:rFonts w:ascii="Times New Roman" w:eastAsia="Times New Roman" w:hAnsi="Times New Roman" w:cs="Times New Roman"/>
          <w:noProof/>
          <w:lang w:val="sk-SK"/>
        </w:rPr>
      </w:pPr>
      <w:r w:rsidRPr="00083739">
        <w:rPr>
          <w:rFonts w:ascii="Times New Roman" w:hAnsi="Times New Roman" w:cs="Times New Roman"/>
          <w:noProof/>
          <w:lang w:val="sk-SK"/>
        </w:rPr>
        <w:t>Skupina 16: Zlepšiť prístup</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účinným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inkluzívnym sociálnym politikám – migrácia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azyl</w:t>
      </w:r>
    </w:p>
    <w:p w14:paraId="38308915" w14:textId="40B609CD" w:rsidR="002D49B0" w:rsidRPr="00083739" w:rsidRDefault="00BF4125">
      <w:pPr>
        <w:pStyle w:val="P68B1DB1-Normal4"/>
        <w:numPr>
          <w:ilvl w:val="0"/>
          <w:numId w:val="38"/>
        </w:numPr>
        <w:spacing w:before="120" w:after="0" w:line="240" w:lineRule="auto"/>
        <w:ind w:left="0"/>
        <w:jc w:val="both"/>
        <w:rPr>
          <w:rFonts w:cs="Times New Roman"/>
          <w:noProof/>
          <w:lang w:val="sk-SK"/>
        </w:rPr>
      </w:pPr>
      <w:r w:rsidRPr="00083739">
        <w:rPr>
          <w:rFonts w:cs="Times New Roman"/>
          <w:noProof/>
          <w:lang w:val="sk-SK"/>
        </w:rPr>
        <w:t>Digitalizácia migračného</w:t>
      </w:r>
      <w:r w:rsidR="00083739" w:rsidRPr="00083739">
        <w:rPr>
          <w:rFonts w:cs="Times New Roman"/>
          <w:noProof/>
          <w:lang w:val="sk-SK"/>
        </w:rPr>
        <w:t xml:space="preserve"> a </w:t>
      </w:r>
      <w:r w:rsidRPr="00083739">
        <w:rPr>
          <w:rFonts w:cs="Times New Roman"/>
          <w:noProof/>
          <w:lang w:val="sk-SK"/>
        </w:rPr>
        <w:t>azylového systému (ID: 16763)</w:t>
      </w:r>
    </w:p>
    <w:p w14:paraId="3907B15D" w14:textId="77777777" w:rsidR="002D49B0" w:rsidRPr="00083739" w:rsidRDefault="00BF4125">
      <w:pPr>
        <w:pStyle w:val="P68B1DB1-Normal4"/>
        <w:numPr>
          <w:ilvl w:val="0"/>
          <w:numId w:val="38"/>
        </w:numPr>
        <w:spacing w:before="120" w:after="0" w:line="240" w:lineRule="auto"/>
        <w:ind w:left="0"/>
        <w:jc w:val="both"/>
        <w:rPr>
          <w:rFonts w:cs="Times New Roman"/>
          <w:noProof/>
          <w:lang w:val="sk-SK"/>
        </w:rPr>
      </w:pPr>
      <w:r w:rsidRPr="00083739">
        <w:rPr>
          <w:rFonts w:cs="Times New Roman"/>
          <w:noProof/>
          <w:lang w:val="sk-SK"/>
        </w:rPr>
        <w:t xml:space="preserve">Digitálna </w:t>
      </w:r>
      <w:r w:rsidRPr="00083739">
        <w:rPr>
          <w:rFonts w:cs="Times New Roman"/>
          <w:noProof/>
          <w:lang w:val="sk-SK"/>
        </w:rPr>
        <w:t>transformácia systému sociálnej podpory (ID: 16925)</w:t>
      </w:r>
    </w:p>
    <w:p w14:paraId="772C023E" w14:textId="3FFD99DC" w:rsidR="002D49B0" w:rsidRPr="00083739" w:rsidRDefault="00BF4125">
      <w:pPr>
        <w:pStyle w:val="P68B1DB1-Normal4"/>
        <w:numPr>
          <w:ilvl w:val="0"/>
          <w:numId w:val="38"/>
        </w:numPr>
        <w:spacing w:before="120" w:after="0" w:line="240" w:lineRule="auto"/>
        <w:ind w:left="0"/>
        <w:jc w:val="both"/>
        <w:rPr>
          <w:rFonts w:cs="Times New Roman"/>
          <w:noProof/>
          <w:lang w:val="sk-SK"/>
        </w:rPr>
      </w:pPr>
      <w:r w:rsidRPr="00083739">
        <w:rPr>
          <w:rFonts w:cs="Times New Roman"/>
          <w:noProof/>
          <w:lang w:val="sk-SK"/>
        </w:rPr>
        <w:t>Informovanosť</w:t>
      </w:r>
      <w:r w:rsidR="00083739" w:rsidRPr="00083739">
        <w:rPr>
          <w:rFonts w:cs="Times New Roman"/>
          <w:noProof/>
          <w:lang w:val="sk-SK"/>
        </w:rPr>
        <w:t xml:space="preserve"> o </w:t>
      </w:r>
      <w:r w:rsidRPr="00083739">
        <w:rPr>
          <w:rFonts w:cs="Times New Roman"/>
          <w:noProof/>
          <w:lang w:val="sk-SK"/>
        </w:rPr>
        <w:t>rozmanitosti (ID: 16685)</w:t>
      </w:r>
    </w:p>
    <w:p w14:paraId="6E5EECF9" w14:textId="77777777" w:rsidR="002D49B0" w:rsidRPr="00083739" w:rsidRDefault="00BF4125">
      <w:pPr>
        <w:pStyle w:val="P68B1DB1-Normal4"/>
        <w:numPr>
          <w:ilvl w:val="0"/>
          <w:numId w:val="38"/>
        </w:numPr>
        <w:spacing w:before="120" w:after="0" w:line="240" w:lineRule="auto"/>
        <w:ind w:left="0" w:hanging="357"/>
        <w:jc w:val="both"/>
        <w:rPr>
          <w:rFonts w:cs="Times New Roman"/>
          <w:noProof/>
          <w:lang w:val="sk-SK"/>
        </w:rPr>
      </w:pPr>
      <w:r w:rsidRPr="00083739">
        <w:rPr>
          <w:rFonts w:cs="Times New Roman"/>
          <w:noProof/>
          <w:lang w:val="sk-SK"/>
        </w:rPr>
        <w:t>Sociálna integrácia (ID: 16922)</w:t>
      </w:r>
    </w:p>
    <w:p w14:paraId="4AB5EE63" w14:textId="77777777" w:rsidR="002D49B0" w:rsidRPr="00083739" w:rsidRDefault="00BF4125">
      <w:pPr>
        <w:pStyle w:val="P68B1DB1-Normal4"/>
        <w:numPr>
          <w:ilvl w:val="0"/>
          <w:numId w:val="38"/>
        </w:numPr>
        <w:spacing w:before="120" w:after="120" w:line="240" w:lineRule="auto"/>
        <w:ind w:left="0"/>
        <w:jc w:val="both"/>
        <w:rPr>
          <w:rFonts w:cs="Times New Roman"/>
          <w:noProof/>
          <w:lang w:val="sk-SK"/>
        </w:rPr>
      </w:pPr>
      <w:r w:rsidRPr="00083739">
        <w:rPr>
          <w:rFonts w:cs="Times New Roman"/>
          <w:noProof/>
          <w:lang w:val="sk-SK"/>
        </w:rPr>
        <w:t>Podporovať integráciu utečencov do trhu práce (ID: 16688)</w:t>
      </w:r>
    </w:p>
    <w:p w14:paraId="40873564" w14:textId="77777777" w:rsidR="002D49B0" w:rsidRPr="00083739" w:rsidRDefault="002D49B0">
      <w:pPr>
        <w:spacing w:before="120" w:after="120" w:line="240" w:lineRule="auto"/>
        <w:jc w:val="both"/>
        <w:rPr>
          <w:rFonts w:ascii="Times New Roman" w:hAnsi="Times New Roman" w:cs="Times New Roman"/>
          <w:noProof/>
          <w:sz w:val="24"/>
          <w:lang w:val="sk-SK"/>
        </w:rPr>
      </w:pPr>
    </w:p>
    <w:tbl>
      <w:tblPr>
        <w:tblW w:w="15730" w:type="dxa"/>
        <w:jc w:val="center"/>
        <w:tblLook w:val="04A0" w:firstRow="1" w:lastRow="0" w:firstColumn="1" w:lastColumn="0" w:noHBand="0" w:noVBand="1"/>
      </w:tblPr>
      <w:tblGrid>
        <w:gridCol w:w="1027"/>
        <w:gridCol w:w="1586"/>
        <w:gridCol w:w="1115"/>
        <w:gridCol w:w="2107"/>
        <w:gridCol w:w="1786"/>
        <w:gridCol w:w="1506"/>
        <w:gridCol w:w="1035"/>
        <w:gridCol w:w="1097"/>
        <w:gridCol w:w="1167"/>
        <w:gridCol w:w="783"/>
        <w:gridCol w:w="3117"/>
      </w:tblGrid>
      <w:tr w:rsidR="002D49B0" w:rsidRPr="00083739" w14:paraId="27EF3995" w14:textId="77777777">
        <w:trPr>
          <w:trHeight w:val="927"/>
          <w:tblHeader/>
          <w:jc w:val="center"/>
        </w:trPr>
        <w:tc>
          <w:tcPr>
            <w:tcW w:w="102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E18069C" w14:textId="77777777" w:rsidR="002D49B0" w:rsidRPr="00083739" w:rsidRDefault="00BF4125">
            <w:pPr>
              <w:pStyle w:val="P68B1DB1-Normal7"/>
              <w:spacing w:before="120" w:after="0" w:line="240" w:lineRule="auto"/>
              <w:jc w:val="center"/>
              <w:rPr>
                <w:rFonts w:eastAsia="Times New Roman" w:cs="Times New Roman"/>
                <w:bCs/>
                <w:noProof/>
                <w:szCs w:val="18"/>
                <w:lang w:val="sk-SK"/>
              </w:rPr>
            </w:pPr>
            <w:r w:rsidRPr="00083739">
              <w:rPr>
                <w:rFonts w:cs="Times New Roman"/>
                <w:noProof/>
                <w:lang w:val="sk-SK"/>
              </w:rPr>
              <w:t>Poradové číslo</w:t>
            </w:r>
          </w:p>
        </w:tc>
        <w:tc>
          <w:tcPr>
            <w:tcW w:w="1582"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AC25AE0" w14:textId="77777777" w:rsidR="002D49B0" w:rsidRPr="00083739" w:rsidRDefault="00BF4125">
            <w:pPr>
              <w:pStyle w:val="P68B1DB1-Normal7"/>
              <w:spacing w:before="120" w:after="0" w:line="240" w:lineRule="auto"/>
              <w:jc w:val="center"/>
              <w:rPr>
                <w:rFonts w:eastAsia="Times New Roman" w:cs="Times New Roman"/>
                <w:bCs/>
                <w:noProof/>
                <w:szCs w:val="18"/>
                <w:lang w:val="sk-SK"/>
              </w:rPr>
            </w:pPr>
            <w:r w:rsidRPr="00083739">
              <w:rPr>
                <w:rFonts w:cs="Times New Roman"/>
                <w:noProof/>
                <w:lang w:val="sk-SK"/>
              </w:rPr>
              <w:t>Súvisiace opatrenie (reforma alebo investícia)</w:t>
            </w:r>
          </w:p>
        </w:tc>
        <w:tc>
          <w:tcPr>
            <w:tcW w:w="96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D2512CD" w14:textId="77777777" w:rsidR="002D49B0" w:rsidRPr="00083739" w:rsidRDefault="00BF4125">
            <w:pPr>
              <w:pStyle w:val="P68B1DB1-Normal7"/>
              <w:spacing w:before="120" w:after="0" w:line="240" w:lineRule="auto"/>
              <w:jc w:val="center"/>
              <w:rPr>
                <w:rFonts w:eastAsia="Times New Roman" w:cs="Times New Roman"/>
                <w:bCs/>
                <w:noProof/>
                <w:szCs w:val="18"/>
                <w:lang w:val="sk-SK"/>
              </w:rPr>
            </w:pPr>
            <w:r w:rsidRPr="00083739">
              <w:rPr>
                <w:rFonts w:cs="Times New Roman"/>
                <w:noProof/>
                <w:lang w:val="sk-SK"/>
              </w:rPr>
              <w:t>Míľnik/cieľ</w:t>
            </w:r>
          </w:p>
        </w:tc>
        <w:tc>
          <w:tcPr>
            <w:tcW w:w="210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24F0AA2" w14:textId="77777777" w:rsidR="002D49B0" w:rsidRPr="00083739" w:rsidRDefault="00BF4125">
            <w:pPr>
              <w:pStyle w:val="P68B1DB1-Normal7"/>
              <w:spacing w:before="120" w:after="0" w:line="240" w:lineRule="auto"/>
              <w:jc w:val="center"/>
              <w:rPr>
                <w:rFonts w:eastAsia="Times New Roman" w:cs="Times New Roman"/>
                <w:bCs/>
                <w:noProof/>
                <w:szCs w:val="18"/>
                <w:lang w:val="sk-SK"/>
              </w:rPr>
            </w:pPr>
            <w:r w:rsidRPr="00083739">
              <w:rPr>
                <w:rFonts w:cs="Times New Roman"/>
                <w:noProof/>
                <w:lang w:val="sk-SK"/>
              </w:rPr>
              <w:t>Názov</w:t>
            </w:r>
          </w:p>
        </w:tc>
        <w:tc>
          <w:tcPr>
            <w:tcW w:w="176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D579942" w14:textId="77777777" w:rsidR="002D49B0" w:rsidRPr="00083739" w:rsidRDefault="00BF4125">
            <w:pPr>
              <w:pStyle w:val="P68B1DB1-Normal7"/>
              <w:spacing w:before="120" w:after="0" w:line="240" w:lineRule="auto"/>
              <w:jc w:val="center"/>
              <w:rPr>
                <w:rFonts w:eastAsia="Times New Roman" w:cs="Times New Roman"/>
                <w:bCs/>
                <w:noProof/>
                <w:szCs w:val="18"/>
                <w:lang w:val="sk-SK"/>
              </w:rPr>
            </w:pPr>
            <w:r w:rsidRPr="00083739">
              <w:rPr>
                <w:rFonts w:cs="Times New Roman"/>
                <w:noProof/>
                <w:lang w:val="sk-SK"/>
              </w:rPr>
              <w:t>Kvalitatívne ukazovatele (pre míľniky)</w:t>
            </w:r>
          </w:p>
        </w:tc>
        <w:tc>
          <w:tcPr>
            <w:tcW w:w="3536" w:type="dxa"/>
            <w:gridSpan w:val="3"/>
            <w:tcBorders>
              <w:top w:val="single" w:sz="4" w:space="0" w:color="auto"/>
              <w:left w:val="single" w:sz="4" w:space="0" w:color="auto"/>
              <w:bottom w:val="single" w:sz="4" w:space="0" w:color="auto"/>
              <w:right w:val="single" w:sz="4" w:space="0" w:color="auto"/>
            </w:tcBorders>
            <w:shd w:val="clear" w:color="auto" w:fill="BDD7EE"/>
            <w:vAlign w:val="center"/>
            <w:hideMark/>
          </w:tcPr>
          <w:p w14:paraId="149F397F" w14:textId="77777777" w:rsidR="002D49B0" w:rsidRPr="00083739" w:rsidRDefault="00BF4125">
            <w:pPr>
              <w:pStyle w:val="P68B1DB1-Normal7"/>
              <w:spacing w:before="120" w:after="0" w:line="240" w:lineRule="auto"/>
              <w:jc w:val="center"/>
              <w:rPr>
                <w:rFonts w:eastAsia="Times New Roman" w:cs="Times New Roman"/>
                <w:bCs/>
                <w:noProof/>
                <w:szCs w:val="18"/>
                <w:lang w:val="sk-SK"/>
              </w:rPr>
            </w:pPr>
            <w:r w:rsidRPr="00083739">
              <w:rPr>
                <w:rFonts w:cs="Times New Roman"/>
                <w:noProof/>
                <w:lang w:val="sk-SK"/>
              </w:rPr>
              <w:t>Kvantitatívne ukazovatele (pre ciele)</w:t>
            </w:r>
          </w:p>
        </w:tc>
        <w:tc>
          <w:tcPr>
            <w:tcW w:w="1629" w:type="dxa"/>
            <w:gridSpan w:val="2"/>
            <w:tcBorders>
              <w:top w:val="single" w:sz="4" w:space="0" w:color="auto"/>
              <w:left w:val="nil"/>
              <w:bottom w:val="single" w:sz="4" w:space="0" w:color="auto"/>
              <w:right w:val="single" w:sz="4" w:space="0" w:color="auto"/>
            </w:tcBorders>
            <w:shd w:val="clear" w:color="auto" w:fill="BDD7EE"/>
            <w:vAlign w:val="center"/>
            <w:hideMark/>
          </w:tcPr>
          <w:p w14:paraId="3B6D7050" w14:textId="77777777" w:rsidR="002D49B0" w:rsidRPr="00083739" w:rsidRDefault="00BF4125">
            <w:pPr>
              <w:pStyle w:val="P68B1DB1-Normal7"/>
              <w:spacing w:before="120" w:after="0" w:line="240" w:lineRule="auto"/>
              <w:jc w:val="center"/>
              <w:rPr>
                <w:rFonts w:eastAsia="Times New Roman" w:cs="Times New Roman"/>
                <w:bCs/>
                <w:noProof/>
                <w:szCs w:val="18"/>
                <w:lang w:val="sk-SK"/>
              </w:rPr>
            </w:pPr>
            <w:r w:rsidRPr="00083739">
              <w:rPr>
                <w:rFonts w:cs="Times New Roman"/>
                <w:noProof/>
                <w:lang w:val="sk-SK"/>
              </w:rPr>
              <w:t xml:space="preserve">Orientačný harmonogram dokončenia </w:t>
            </w:r>
          </w:p>
        </w:tc>
        <w:tc>
          <w:tcPr>
            <w:tcW w:w="311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07A8939" w14:textId="592B6C43" w:rsidR="002D49B0" w:rsidRPr="00083739" w:rsidRDefault="00BF4125">
            <w:pPr>
              <w:pStyle w:val="P68B1DB1-Normal7"/>
              <w:spacing w:before="120" w:after="0" w:line="240" w:lineRule="auto"/>
              <w:jc w:val="center"/>
              <w:rPr>
                <w:rFonts w:eastAsia="Times New Roman" w:cs="Times New Roman"/>
                <w:bCs/>
                <w:noProof/>
                <w:szCs w:val="18"/>
                <w:lang w:val="sk-SK"/>
              </w:rPr>
            </w:pPr>
            <w:r w:rsidRPr="00083739">
              <w:rPr>
                <w:rFonts w:cs="Times New Roman"/>
                <w:noProof/>
                <w:lang w:val="sk-SK"/>
              </w:rPr>
              <w:t>Opis každého míľnika</w:t>
            </w:r>
            <w:r w:rsidR="00083739" w:rsidRPr="00083739">
              <w:rPr>
                <w:rFonts w:cs="Times New Roman"/>
                <w:noProof/>
                <w:lang w:val="sk-SK"/>
              </w:rPr>
              <w:t xml:space="preserve"> a </w:t>
            </w:r>
            <w:r w:rsidRPr="00083739">
              <w:rPr>
                <w:rFonts w:cs="Times New Roman"/>
                <w:noProof/>
                <w:lang w:val="sk-SK"/>
              </w:rPr>
              <w:t>cieľa</w:t>
            </w:r>
          </w:p>
        </w:tc>
      </w:tr>
      <w:tr w:rsidR="002D49B0" w:rsidRPr="00083739" w14:paraId="160467AD" w14:textId="77777777">
        <w:trPr>
          <w:trHeight w:val="654"/>
          <w:tblHeader/>
          <w:jc w:val="center"/>
        </w:trPr>
        <w:tc>
          <w:tcPr>
            <w:tcW w:w="1027" w:type="dxa"/>
            <w:vMerge/>
            <w:tcBorders>
              <w:top w:val="single" w:sz="4" w:space="0" w:color="auto"/>
              <w:left w:val="single" w:sz="4" w:space="0" w:color="auto"/>
              <w:bottom w:val="single" w:sz="4" w:space="0" w:color="auto"/>
              <w:right w:val="single" w:sz="4" w:space="0" w:color="auto"/>
            </w:tcBorders>
            <w:vAlign w:val="center"/>
            <w:hideMark/>
          </w:tcPr>
          <w:p w14:paraId="1F80D5EF" w14:textId="77777777" w:rsidR="002D49B0" w:rsidRPr="00083739" w:rsidRDefault="002D49B0">
            <w:pPr>
              <w:spacing w:before="120" w:after="0" w:line="240" w:lineRule="auto"/>
              <w:rPr>
                <w:rFonts w:ascii="Times New Roman" w:eastAsia="Times New Roman" w:hAnsi="Times New Roman" w:cs="Times New Roman"/>
                <w:b/>
                <w:noProof/>
                <w:sz w:val="18"/>
                <w:szCs w:val="18"/>
                <w:lang w:val="sk-SK"/>
              </w:rPr>
            </w:pPr>
          </w:p>
        </w:tc>
        <w:tc>
          <w:tcPr>
            <w:tcW w:w="1582" w:type="dxa"/>
            <w:vMerge/>
            <w:tcBorders>
              <w:top w:val="single" w:sz="4" w:space="0" w:color="auto"/>
              <w:left w:val="single" w:sz="4" w:space="0" w:color="auto"/>
              <w:bottom w:val="single" w:sz="4" w:space="0" w:color="auto"/>
              <w:right w:val="single" w:sz="4" w:space="0" w:color="auto"/>
            </w:tcBorders>
            <w:vAlign w:val="center"/>
            <w:hideMark/>
          </w:tcPr>
          <w:p w14:paraId="2C9BEC45" w14:textId="77777777" w:rsidR="002D49B0" w:rsidRPr="00083739" w:rsidRDefault="002D49B0">
            <w:pPr>
              <w:spacing w:before="120" w:after="0" w:line="240" w:lineRule="auto"/>
              <w:rPr>
                <w:rFonts w:ascii="Times New Roman" w:eastAsia="Times New Roman" w:hAnsi="Times New Roman" w:cs="Times New Roman"/>
                <w:b/>
                <w:noProof/>
                <w:sz w:val="18"/>
                <w:szCs w:val="18"/>
                <w:lang w:val="sk-SK"/>
              </w:rPr>
            </w:pPr>
          </w:p>
        </w:tc>
        <w:tc>
          <w:tcPr>
            <w:tcW w:w="966" w:type="dxa"/>
            <w:vMerge/>
            <w:tcBorders>
              <w:top w:val="single" w:sz="4" w:space="0" w:color="auto"/>
              <w:left w:val="single" w:sz="4" w:space="0" w:color="auto"/>
              <w:bottom w:val="single" w:sz="4" w:space="0" w:color="auto"/>
              <w:right w:val="single" w:sz="4" w:space="0" w:color="auto"/>
            </w:tcBorders>
            <w:vAlign w:val="center"/>
            <w:hideMark/>
          </w:tcPr>
          <w:p w14:paraId="74C3E09D" w14:textId="77777777" w:rsidR="002D49B0" w:rsidRPr="00083739" w:rsidRDefault="002D49B0">
            <w:pPr>
              <w:spacing w:before="120" w:after="0" w:line="240" w:lineRule="auto"/>
              <w:rPr>
                <w:rFonts w:ascii="Times New Roman" w:eastAsia="Times New Roman" w:hAnsi="Times New Roman" w:cs="Times New Roman"/>
                <w:b/>
                <w:noProof/>
                <w:sz w:val="18"/>
                <w:szCs w:val="18"/>
                <w:lang w:val="sk-SK"/>
              </w:rPr>
            </w:pPr>
          </w:p>
        </w:tc>
        <w:tc>
          <w:tcPr>
            <w:tcW w:w="2107" w:type="dxa"/>
            <w:vMerge/>
            <w:tcBorders>
              <w:top w:val="single" w:sz="4" w:space="0" w:color="auto"/>
              <w:left w:val="single" w:sz="4" w:space="0" w:color="auto"/>
              <w:bottom w:val="single" w:sz="4" w:space="0" w:color="auto"/>
              <w:right w:val="single" w:sz="4" w:space="0" w:color="auto"/>
            </w:tcBorders>
            <w:vAlign w:val="center"/>
            <w:hideMark/>
          </w:tcPr>
          <w:p w14:paraId="198CE72A" w14:textId="77777777" w:rsidR="002D49B0" w:rsidRPr="00083739" w:rsidRDefault="002D49B0">
            <w:pPr>
              <w:spacing w:before="120" w:after="0" w:line="240" w:lineRule="auto"/>
              <w:rPr>
                <w:rFonts w:ascii="Times New Roman" w:eastAsia="Times New Roman" w:hAnsi="Times New Roman" w:cs="Times New Roman"/>
                <w:b/>
                <w:noProof/>
                <w:sz w:val="18"/>
                <w:szCs w:val="18"/>
                <w:lang w:val="sk-SK"/>
              </w:rPr>
            </w:pPr>
          </w:p>
        </w:tc>
        <w:tc>
          <w:tcPr>
            <w:tcW w:w="1766" w:type="dxa"/>
            <w:vMerge/>
            <w:tcBorders>
              <w:top w:val="single" w:sz="4" w:space="0" w:color="auto"/>
              <w:left w:val="single" w:sz="4" w:space="0" w:color="auto"/>
              <w:bottom w:val="single" w:sz="4" w:space="0" w:color="auto"/>
              <w:right w:val="single" w:sz="4" w:space="0" w:color="auto"/>
            </w:tcBorders>
            <w:vAlign w:val="center"/>
            <w:hideMark/>
          </w:tcPr>
          <w:p w14:paraId="4D8D011C" w14:textId="77777777" w:rsidR="002D49B0" w:rsidRPr="00083739" w:rsidRDefault="002D49B0">
            <w:pPr>
              <w:spacing w:before="120" w:after="0" w:line="240" w:lineRule="auto"/>
              <w:rPr>
                <w:rFonts w:ascii="Times New Roman" w:eastAsia="Times New Roman" w:hAnsi="Times New Roman" w:cs="Times New Roman"/>
                <w:b/>
                <w:noProof/>
                <w:sz w:val="18"/>
                <w:szCs w:val="18"/>
                <w:lang w:val="sk-SK"/>
              </w:rPr>
            </w:pPr>
          </w:p>
        </w:tc>
        <w:tc>
          <w:tcPr>
            <w:tcW w:w="1404"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35707A9F" w14:textId="77777777" w:rsidR="002D49B0" w:rsidRPr="00083739" w:rsidRDefault="00BF4125">
            <w:pPr>
              <w:pStyle w:val="P68B1DB1-Normal7"/>
              <w:spacing w:before="120" w:after="0" w:line="240" w:lineRule="auto"/>
              <w:jc w:val="center"/>
              <w:rPr>
                <w:rFonts w:eastAsia="Times New Roman" w:cs="Times New Roman"/>
                <w:bCs/>
                <w:noProof/>
                <w:szCs w:val="18"/>
                <w:lang w:val="sk-SK"/>
              </w:rPr>
            </w:pPr>
            <w:r w:rsidRPr="00083739">
              <w:rPr>
                <w:rFonts w:cs="Times New Roman"/>
                <w:noProof/>
                <w:lang w:val="sk-SK"/>
              </w:rPr>
              <w:t>Merná jednotka</w:t>
            </w:r>
          </w:p>
        </w:tc>
        <w:tc>
          <w:tcPr>
            <w:tcW w:w="1035" w:type="dxa"/>
            <w:tcBorders>
              <w:top w:val="nil"/>
              <w:left w:val="nil"/>
              <w:bottom w:val="single" w:sz="4" w:space="0" w:color="auto"/>
              <w:right w:val="single" w:sz="4" w:space="0" w:color="auto"/>
            </w:tcBorders>
            <w:shd w:val="clear" w:color="auto" w:fill="BDD7EE"/>
            <w:vAlign w:val="center"/>
            <w:hideMark/>
          </w:tcPr>
          <w:p w14:paraId="371CEB5F" w14:textId="77777777" w:rsidR="002D49B0" w:rsidRPr="00083739" w:rsidRDefault="00BF4125">
            <w:pPr>
              <w:pStyle w:val="P68B1DB1-Normal7"/>
              <w:spacing w:before="120" w:after="0" w:line="240" w:lineRule="auto"/>
              <w:jc w:val="center"/>
              <w:rPr>
                <w:rFonts w:eastAsia="Times New Roman" w:cs="Times New Roman"/>
                <w:bCs/>
                <w:noProof/>
                <w:szCs w:val="18"/>
                <w:lang w:val="sk-SK"/>
              </w:rPr>
            </w:pPr>
            <w:r w:rsidRPr="00083739">
              <w:rPr>
                <w:rFonts w:cs="Times New Roman"/>
                <w:noProof/>
                <w:lang w:val="sk-SK"/>
              </w:rPr>
              <w:t xml:space="preserve">Základná </w:t>
            </w:r>
          </w:p>
        </w:tc>
        <w:tc>
          <w:tcPr>
            <w:tcW w:w="1097" w:type="dxa"/>
            <w:tcBorders>
              <w:top w:val="nil"/>
              <w:left w:val="nil"/>
              <w:bottom w:val="single" w:sz="4" w:space="0" w:color="auto"/>
              <w:right w:val="single" w:sz="4" w:space="0" w:color="auto"/>
            </w:tcBorders>
            <w:shd w:val="clear" w:color="auto" w:fill="BDD7EE"/>
            <w:vAlign w:val="center"/>
            <w:hideMark/>
          </w:tcPr>
          <w:p w14:paraId="6B7E6B88" w14:textId="77777777" w:rsidR="002D49B0" w:rsidRPr="00083739" w:rsidRDefault="00BF4125">
            <w:pPr>
              <w:pStyle w:val="P68B1DB1-Normal7"/>
              <w:spacing w:before="120" w:after="0" w:line="240" w:lineRule="auto"/>
              <w:jc w:val="center"/>
              <w:rPr>
                <w:rFonts w:eastAsia="Times New Roman" w:cs="Times New Roman"/>
                <w:bCs/>
                <w:noProof/>
                <w:szCs w:val="18"/>
                <w:lang w:val="sk-SK"/>
              </w:rPr>
            </w:pPr>
            <w:r w:rsidRPr="00083739">
              <w:rPr>
                <w:rFonts w:cs="Times New Roman"/>
                <w:noProof/>
                <w:lang w:val="sk-SK"/>
              </w:rPr>
              <w:t xml:space="preserve">Cieľ </w:t>
            </w:r>
          </w:p>
        </w:tc>
        <w:tc>
          <w:tcPr>
            <w:tcW w:w="846" w:type="dxa"/>
            <w:tcBorders>
              <w:top w:val="nil"/>
              <w:left w:val="nil"/>
              <w:bottom w:val="single" w:sz="4" w:space="0" w:color="auto"/>
              <w:right w:val="single" w:sz="4" w:space="0" w:color="auto"/>
            </w:tcBorders>
            <w:shd w:val="clear" w:color="auto" w:fill="BDD7EE"/>
            <w:vAlign w:val="center"/>
            <w:hideMark/>
          </w:tcPr>
          <w:p w14:paraId="6BF0404E" w14:textId="77777777" w:rsidR="002D49B0" w:rsidRPr="00083739" w:rsidRDefault="00BF4125">
            <w:pPr>
              <w:pStyle w:val="P68B1DB1-Normal7"/>
              <w:spacing w:before="120" w:after="0" w:line="240" w:lineRule="auto"/>
              <w:jc w:val="center"/>
              <w:rPr>
                <w:rFonts w:eastAsia="Times New Roman" w:cs="Times New Roman"/>
                <w:bCs/>
                <w:noProof/>
                <w:szCs w:val="18"/>
                <w:lang w:val="sk-SK"/>
              </w:rPr>
            </w:pPr>
            <w:r w:rsidRPr="00083739">
              <w:rPr>
                <w:rFonts w:cs="Times New Roman"/>
                <w:noProof/>
                <w:lang w:val="sk-SK"/>
              </w:rPr>
              <w:t>Štvrtina</w:t>
            </w:r>
          </w:p>
        </w:tc>
        <w:tc>
          <w:tcPr>
            <w:tcW w:w="783" w:type="dxa"/>
            <w:tcBorders>
              <w:top w:val="nil"/>
              <w:left w:val="nil"/>
              <w:bottom w:val="single" w:sz="4" w:space="0" w:color="auto"/>
              <w:right w:val="single" w:sz="4" w:space="0" w:color="auto"/>
            </w:tcBorders>
            <w:shd w:val="clear" w:color="auto" w:fill="BDD7EE"/>
            <w:vAlign w:val="center"/>
            <w:hideMark/>
          </w:tcPr>
          <w:p w14:paraId="7ADFF2EF" w14:textId="77777777" w:rsidR="002D49B0" w:rsidRPr="00083739" w:rsidRDefault="00BF4125">
            <w:pPr>
              <w:pStyle w:val="P68B1DB1-Normal7"/>
              <w:spacing w:before="120" w:after="0" w:line="240" w:lineRule="auto"/>
              <w:jc w:val="center"/>
              <w:rPr>
                <w:rFonts w:eastAsia="Times New Roman" w:cs="Times New Roman"/>
                <w:bCs/>
                <w:noProof/>
                <w:szCs w:val="18"/>
                <w:lang w:val="sk-SK"/>
              </w:rPr>
            </w:pPr>
            <w:r w:rsidRPr="00083739">
              <w:rPr>
                <w:rFonts w:cs="Times New Roman"/>
                <w:noProof/>
                <w:lang w:val="sk-SK"/>
              </w:rPr>
              <w:t>Rok</w:t>
            </w:r>
          </w:p>
        </w:tc>
        <w:tc>
          <w:tcPr>
            <w:tcW w:w="3117" w:type="dxa"/>
            <w:vMerge/>
            <w:tcBorders>
              <w:top w:val="single" w:sz="4" w:space="0" w:color="auto"/>
              <w:bottom w:val="single" w:sz="4" w:space="0" w:color="auto"/>
              <w:right w:val="single" w:sz="4" w:space="0" w:color="auto"/>
            </w:tcBorders>
            <w:vAlign w:val="center"/>
            <w:hideMark/>
          </w:tcPr>
          <w:p w14:paraId="7C77ABBD" w14:textId="77777777" w:rsidR="002D49B0" w:rsidRPr="00083739" w:rsidRDefault="002D49B0">
            <w:pPr>
              <w:spacing w:before="120" w:after="0" w:line="240" w:lineRule="auto"/>
              <w:rPr>
                <w:rFonts w:ascii="Times New Roman" w:eastAsia="Times New Roman" w:hAnsi="Times New Roman" w:cs="Times New Roman"/>
                <w:b/>
                <w:noProof/>
                <w:sz w:val="18"/>
                <w:szCs w:val="18"/>
                <w:lang w:val="sk-SK"/>
              </w:rPr>
            </w:pPr>
          </w:p>
        </w:tc>
      </w:tr>
      <w:tr w:rsidR="002D49B0" w:rsidRPr="00083739" w14:paraId="392210F3" w14:textId="77777777">
        <w:trPr>
          <w:trHeight w:val="309"/>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420A0E9F"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182</w:t>
            </w:r>
          </w:p>
        </w:tc>
        <w:tc>
          <w:tcPr>
            <w:tcW w:w="1582" w:type="dxa"/>
            <w:tcBorders>
              <w:top w:val="single" w:sz="4" w:space="0" w:color="auto"/>
              <w:left w:val="nil"/>
              <w:bottom w:val="single" w:sz="4" w:space="0" w:color="auto"/>
              <w:right w:val="single" w:sz="4" w:space="0" w:color="auto"/>
            </w:tcBorders>
            <w:shd w:val="clear" w:color="auto" w:fill="C6EFCE"/>
            <w:noWrap/>
          </w:tcPr>
          <w:p w14:paraId="16DFBB23" w14:textId="01EA4A0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11 – 3.4. Zlepšenie prístupu</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účinným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inkluzívnym sociálnym politikám – 16925_Digitálna transformácia systému sociálnej podpory</w:t>
            </w:r>
          </w:p>
        </w:tc>
        <w:tc>
          <w:tcPr>
            <w:tcW w:w="966" w:type="dxa"/>
            <w:tcBorders>
              <w:top w:val="single" w:sz="4" w:space="0" w:color="auto"/>
              <w:left w:val="nil"/>
              <w:bottom w:val="single" w:sz="4" w:space="0" w:color="auto"/>
              <w:right w:val="single" w:sz="4" w:space="0" w:color="auto"/>
            </w:tcBorders>
            <w:shd w:val="clear" w:color="auto" w:fill="C6EFCE"/>
            <w:noWrap/>
          </w:tcPr>
          <w:p w14:paraId="201AEB3C"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Cieľ</w:t>
            </w:r>
          </w:p>
        </w:tc>
        <w:tc>
          <w:tcPr>
            <w:tcW w:w="2107" w:type="dxa"/>
            <w:tcBorders>
              <w:top w:val="single" w:sz="4" w:space="0" w:color="auto"/>
              <w:left w:val="nil"/>
              <w:bottom w:val="single" w:sz="4" w:space="0" w:color="auto"/>
              <w:right w:val="single" w:sz="4" w:space="0" w:color="auto"/>
            </w:tcBorders>
            <w:shd w:val="clear" w:color="auto" w:fill="C6EFCE"/>
            <w:noWrap/>
          </w:tcPr>
          <w:p w14:paraId="43BF1525"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poskytovania preukazov riadiaceho orgánu pre osoby so zdravotným postihnutím</w:t>
            </w:r>
          </w:p>
        </w:tc>
        <w:tc>
          <w:tcPr>
            <w:tcW w:w="1766" w:type="dxa"/>
            <w:tcBorders>
              <w:top w:val="single" w:sz="4" w:space="0" w:color="auto"/>
              <w:left w:val="nil"/>
              <w:bottom w:val="single" w:sz="4" w:space="0" w:color="auto"/>
              <w:right w:val="single" w:sz="4" w:space="0" w:color="auto"/>
            </w:tcBorders>
            <w:shd w:val="clear" w:color="auto" w:fill="C6EFCE"/>
            <w:noWrap/>
          </w:tcPr>
          <w:p w14:paraId="149AF6B3" w14:textId="77777777" w:rsidR="002D49B0" w:rsidRPr="00083739" w:rsidRDefault="002D49B0">
            <w:pPr>
              <w:spacing w:before="120" w:after="0" w:line="240" w:lineRule="auto"/>
              <w:rPr>
                <w:rFonts w:ascii="Times New Roman" w:eastAsia="Times New Roman" w:hAnsi="Times New Roman" w:cs="Times New Roman"/>
                <w:noProof/>
                <w:color w:val="006100"/>
                <w:sz w:val="18"/>
                <w:szCs w:val="18"/>
                <w:lang w:val="sk-SK"/>
              </w:rPr>
            </w:pPr>
          </w:p>
        </w:tc>
        <w:tc>
          <w:tcPr>
            <w:tcW w:w="1404" w:type="dxa"/>
            <w:tcBorders>
              <w:top w:val="single" w:sz="4" w:space="0" w:color="auto"/>
              <w:left w:val="nil"/>
              <w:bottom w:val="single" w:sz="4" w:space="0" w:color="auto"/>
              <w:right w:val="single" w:sz="4" w:space="0" w:color="auto"/>
            </w:tcBorders>
            <w:shd w:val="clear" w:color="auto" w:fill="C6EFCE"/>
            <w:noWrap/>
          </w:tcPr>
          <w:p w14:paraId="17F6E4BB"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Počet preukazov osôb so zdravotným postihnutím poskytnutých prijímateľom</w:t>
            </w:r>
          </w:p>
        </w:tc>
        <w:tc>
          <w:tcPr>
            <w:tcW w:w="1035" w:type="dxa"/>
            <w:tcBorders>
              <w:top w:val="nil"/>
              <w:left w:val="nil"/>
              <w:bottom w:val="single" w:sz="4" w:space="0" w:color="auto"/>
              <w:right w:val="single" w:sz="4" w:space="0" w:color="auto"/>
            </w:tcBorders>
            <w:shd w:val="clear" w:color="auto" w:fill="C6EFCE"/>
            <w:noWrap/>
          </w:tcPr>
          <w:p w14:paraId="75B19A25"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0</w:t>
            </w:r>
          </w:p>
        </w:tc>
        <w:tc>
          <w:tcPr>
            <w:tcW w:w="1097" w:type="dxa"/>
            <w:tcBorders>
              <w:top w:val="nil"/>
              <w:left w:val="nil"/>
              <w:bottom w:val="single" w:sz="4" w:space="0" w:color="auto"/>
              <w:right w:val="single" w:sz="4" w:space="0" w:color="auto"/>
            </w:tcBorders>
            <w:shd w:val="clear" w:color="auto" w:fill="C6EFCE"/>
            <w:noWrap/>
          </w:tcPr>
          <w:p w14:paraId="397370D5"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80 000</w:t>
            </w:r>
          </w:p>
        </w:tc>
        <w:tc>
          <w:tcPr>
            <w:tcW w:w="846" w:type="dxa"/>
            <w:tcBorders>
              <w:top w:val="nil"/>
              <w:left w:val="nil"/>
              <w:bottom w:val="single" w:sz="4" w:space="0" w:color="auto"/>
              <w:right w:val="single" w:sz="4" w:space="0" w:color="auto"/>
            </w:tcBorders>
            <w:shd w:val="clear" w:color="auto" w:fill="C6EFCE"/>
            <w:noWrap/>
          </w:tcPr>
          <w:p w14:paraId="1CBC6ABB"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83" w:type="dxa"/>
            <w:tcBorders>
              <w:top w:val="nil"/>
              <w:left w:val="nil"/>
              <w:bottom w:val="single" w:sz="4" w:space="0" w:color="auto"/>
              <w:right w:val="single" w:sz="4" w:space="0" w:color="auto"/>
            </w:tcBorders>
            <w:shd w:val="clear" w:color="auto" w:fill="C6EFCE"/>
            <w:noWrap/>
          </w:tcPr>
          <w:p w14:paraId="03574920"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3117" w:type="dxa"/>
            <w:tcBorders>
              <w:top w:val="single" w:sz="4" w:space="0" w:color="auto"/>
              <w:left w:val="nil"/>
              <w:bottom w:val="single" w:sz="4" w:space="0" w:color="auto"/>
              <w:right w:val="single" w:sz="4" w:space="0" w:color="auto"/>
            </w:tcBorders>
            <w:shd w:val="clear" w:color="auto" w:fill="C6EFCE"/>
            <w:noWrap/>
          </w:tcPr>
          <w:p w14:paraId="469D0526" w14:textId="38BC14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doručenia 80000 preukazov osoby so zdravotným postihnutím prijímateľom zo strany riadiaceho orgánu.</w:t>
            </w:r>
          </w:p>
          <w:p w14:paraId="0C2FA67D" w14:textId="29F721EC" w:rsidR="00083739" w:rsidRPr="00083739" w:rsidRDefault="00BF4125">
            <w:pPr>
              <w:pStyle w:val="P68B1DB1-Normal9"/>
              <w:spacing w:before="120" w:after="0" w:line="240" w:lineRule="auto"/>
              <w:rPr>
                <w:rFonts w:ascii="Times New Roman" w:hAnsi="Times New Roman" w:cs="Times New Roman"/>
                <w:noProof/>
                <w:lang w:val="sk-SK"/>
              </w:rPr>
            </w:pPr>
            <w:r w:rsidRPr="00083739">
              <w:rPr>
                <w:rFonts w:ascii="Times New Roman" w:hAnsi="Times New Roman" w:cs="Times New Roman"/>
                <w:noProof/>
                <w:lang w:val="sk-SK"/>
              </w:rPr>
              <w:t>Preukazy osôb so zdravotným postihnutím zahŕňajú osobitné práva/dávky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uľahčujú osobám so zdravotným postihnutím</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ich každodennom živote</w:t>
            </w:r>
            <w:r w:rsidR="00083739" w:rsidRPr="00083739">
              <w:rPr>
                <w:rFonts w:ascii="Times New Roman" w:hAnsi="Times New Roman" w:cs="Times New Roman"/>
                <w:noProof/>
                <w:lang w:val="sk-SK"/>
              </w:rPr>
              <w:t>.</w:t>
            </w:r>
          </w:p>
          <w:p w14:paraId="5036E517" w14:textId="2722F500"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Prijatie výsledkov zmluvy (vypracovanie preukazov osoby so zdravotným postihnutím) manažérom/verejným obstarávateľom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potvrdenie riadiaceho orgánu</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doručení 80000 preukazov osoby so zdravotným postihnutím prijímateľom</w:t>
            </w:r>
          </w:p>
          <w:p w14:paraId="64FF81C3" w14:textId="77777777" w:rsidR="002D49B0" w:rsidRPr="00083739" w:rsidRDefault="002D49B0">
            <w:pPr>
              <w:spacing w:before="120" w:after="0" w:line="240" w:lineRule="auto"/>
              <w:rPr>
                <w:rFonts w:ascii="Times New Roman" w:eastAsia="Times New Roman" w:hAnsi="Times New Roman" w:cs="Times New Roman"/>
                <w:noProof/>
                <w:color w:val="006100"/>
                <w:sz w:val="18"/>
                <w:szCs w:val="18"/>
                <w:lang w:val="sk-SK"/>
              </w:rPr>
            </w:pPr>
          </w:p>
        </w:tc>
      </w:tr>
      <w:tr w:rsidR="002D49B0" w:rsidRPr="00083739" w14:paraId="7EBEE75B" w14:textId="77777777">
        <w:trPr>
          <w:trHeight w:val="309"/>
          <w:jc w:val="center"/>
        </w:trPr>
        <w:tc>
          <w:tcPr>
            <w:tcW w:w="1027" w:type="dxa"/>
            <w:tcBorders>
              <w:top w:val="nil"/>
              <w:left w:val="single" w:sz="4" w:space="0" w:color="auto"/>
              <w:bottom w:val="single" w:sz="4" w:space="0" w:color="auto"/>
              <w:right w:val="single" w:sz="4" w:space="0" w:color="auto"/>
            </w:tcBorders>
            <w:shd w:val="clear" w:color="auto" w:fill="C6EFCE"/>
            <w:noWrap/>
          </w:tcPr>
          <w:p w14:paraId="6AF0FE76"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182a</w:t>
            </w:r>
          </w:p>
        </w:tc>
        <w:tc>
          <w:tcPr>
            <w:tcW w:w="1582" w:type="dxa"/>
            <w:tcBorders>
              <w:top w:val="nil"/>
              <w:left w:val="nil"/>
              <w:bottom w:val="single" w:sz="4" w:space="0" w:color="auto"/>
              <w:right w:val="single" w:sz="4" w:space="0" w:color="auto"/>
            </w:tcBorders>
            <w:shd w:val="clear" w:color="auto" w:fill="C6EFCE"/>
            <w:noWrap/>
          </w:tcPr>
          <w:p w14:paraId="3A5ED9F2" w14:textId="2A9524F6"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11 </w:t>
            </w:r>
            <w:r w:rsidRPr="00083739">
              <w:rPr>
                <w:rFonts w:ascii="Times New Roman" w:hAnsi="Times New Roman" w:cs="Times New Roman"/>
                <w:noProof/>
                <w:lang w:val="sk-SK"/>
              </w:rPr>
              <w:t>– 3.4. Zlepšenie prístupu</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účinným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inkluzívnym sociálnym politikám – 16925_Digitálna transformácia systému sociálnej podpory</w:t>
            </w:r>
          </w:p>
        </w:tc>
        <w:tc>
          <w:tcPr>
            <w:tcW w:w="966" w:type="dxa"/>
            <w:tcBorders>
              <w:top w:val="nil"/>
              <w:left w:val="nil"/>
              <w:bottom w:val="single" w:sz="4" w:space="0" w:color="auto"/>
              <w:right w:val="single" w:sz="4" w:space="0" w:color="auto"/>
            </w:tcBorders>
            <w:shd w:val="clear" w:color="auto" w:fill="C6EFCE"/>
            <w:noWrap/>
          </w:tcPr>
          <w:p w14:paraId="63DBF41A"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2107" w:type="dxa"/>
            <w:tcBorders>
              <w:top w:val="nil"/>
              <w:left w:val="nil"/>
              <w:bottom w:val="single" w:sz="4" w:space="0" w:color="auto"/>
              <w:right w:val="single" w:sz="4" w:space="0" w:color="auto"/>
            </w:tcBorders>
            <w:shd w:val="clear" w:color="auto" w:fill="C6EFCE"/>
            <w:noWrap/>
          </w:tcPr>
          <w:p w14:paraId="08306576"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Jednotný portál digitálneho prístupu, digitálna odborná príprava, úplný súpis verejných nehnuteľností</w:t>
            </w:r>
          </w:p>
        </w:tc>
        <w:tc>
          <w:tcPr>
            <w:tcW w:w="1766" w:type="dxa"/>
            <w:tcBorders>
              <w:top w:val="nil"/>
              <w:left w:val="nil"/>
              <w:bottom w:val="single" w:sz="4" w:space="0" w:color="auto"/>
              <w:right w:val="single" w:sz="4" w:space="0" w:color="auto"/>
            </w:tcBorders>
            <w:shd w:val="clear" w:color="auto" w:fill="C6EFCE"/>
            <w:noWrap/>
          </w:tcPr>
          <w:p w14:paraId="43B11571" w14:textId="41C55268"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Správa ministerstva</w:t>
            </w:r>
            <w:r w:rsidRPr="00083739">
              <w:rPr>
                <w:rFonts w:ascii="Times New Roman" w:hAnsi="Times New Roman" w:cs="Times New Roman"/>
                <w:noProof/>
                <w:lang w:val="sk-SK"/>
              </w:rPr>
              <w:t xml:space="preserve"> sociálnych vecí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rodiny potvrdzujúca dokončenie projektov</w:t>
            </w:r>
          </w:p>
        </w:tc>
        <w:tc>
          <w:tcPr>
            <w:tcW w:w="1404" w:type="dxa"/>
            <w:tcBorders>
              <w:top w:val="nil"/>
              <w:left w:val="nil"/>
              <w:bottom w:val="single" w:sz="4" w:space="0" w:color="auto"/>
              <w:right w:val="single" w:sz="4" w:space="0" w:color="auto"/>
            </w:tcBorders>
            <w:shd w:val="clear" w:color="auto" w:fill="C6EFCE"/>
            <w:noWrap/>
          </w:tcPr>
          <w:p w14:paraId="7B906504" w14:textId="77777777" w:rsidR="002D49B0" w:rsidRPr="00083739" w:rsidRDefault="002D49B0">
            <w:pPr>
              <w:spacing w:before="120" w:after="0" w:line="240" w:lineRule="auto"/>
              <w:rPr>
                <w:rFonts w:ascii="Times New Roman" w:eastAsia="Times New Roman" w:hAnsi="Times New Roman" w:cs="Times New Roman"/>
                <w:noProof/>
                <w:color w:val="006100"/>
                <w:sz w:val="18"/>
                <w:szCs w:val="18"/>
                <w:lang w:val="sk-SK"/>
              </w:rPr>
            </w:pPr>
          </w:p>
        </w:tc>
        <w:tc>
          <w:tcPr>
            <w:tcW w:w="1035" w:type="dxa"/>
            <w:tcBorders>
              <w:top w:val="nil"/>
              <w:left w:val="nil"/>
              <w:bottom w:val="single" w:sz="4" w:space="0" w:color="auto"/>
              <w:right w:val="single" w:sz="4" w:space="0" w:color="auto"/>
            </w:tcBorders>
            <w:shd w:val="clear" w:color="auto" w:fill="C6EFCE"/>
            <w:noWrap/>
          </w:tcPr>
          <w:p w14:paraId="6D8049E7" w14:textId="77777777" w:rsidR="002D49B0" w:rsidRPr="00083739" w:rsidRDefault="002D49B0">
            <w:pPr>
              <w:spacing w:before="120" w:after="0" w:line="240" w:lineRule="auto"/>
              <w:rPr>
                <w:rFonts w:ascii="Times New Roman" w:eastAsia="Times New Roman" w:hAnsi="Times New Roman" w:cs="Times New Roman"/>
                <w:noProof/>
                <w:color w:val="006100"/>
                <w:sz w:val="18"/>
                <w:szCs w:val="18"/>
                <w:lang w:val="sk-SK"/>
              </w:rPr>
            </w:pPr>
          </w:p>
        </w:tc>
        <w:tc>
          <w:tcPr>
            <w:tcW w:w="1097" w:type="dxa"/>
            <w:tcBorders>
              <w:top w:val="nil"/>
              <w:left w:val="nil"/>
              <w:bottom w:val="single" w:sz="4" w:space="0" w:color="auto"/>
              <w:right w:val="single" w:sz="4" w:space="0" w:color="auto"/>
            </w:tcBorders>
            <w:shd w:val="clear" w:color="auto" w:fill="C6EFCE"/>
            <w:noWrap/>
          </w:tcPr>
          <w:p w14:paraId="6DA02212" w14:textId="77777777" w:rsidR="002D49B0" w:rsidRPr="00083739" w:rsidRDefault="002D49B0">
            <w:pPr>
              <w:spacing w:before="120" w:after="0" w:line="240" w:lineRule="auto"/>
              <w:rPr>
                <w:rFonts w:ascii="Times New Roman" w:eastAsia="Times New Roman" w:hAnsi="Times New Roman" w:cs="Times New Roman"/>
                <w:noProof/>
                <w:color w:val="006100"/>
                <w:sz w:val="18"/>
                <w:szCs w:val="18"/>
                <w:lang w:val="sk-SK"/>
              </w:rPr>
            </w:pPr>
          </w:p>
        </w:tc>
        <w:tc>
          <w:tcPr>
            <w:tcW w:w="846" w:type="dxa"/>
            <w:tcBorders>
              <w:top w:val="nil"/>
              <w:left w:val="nil"/>
              <w:bottom w:val="single" w:sz="4" w:space="0" w:color="auto"/>
              <w:right w:val="single" w:sz="4" w:space="0" w:color="auto"/>
            </w:tcBorders>
            <w:shd w:val="clear" w:color="auto" w:fill="C6EFCE"/>
            <w:noWrap/>
          </w:tcPr>
          <w:p w14:paraId="3347EFD2"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83" w:type="dxa"/>
            <w:tcBorders>
              <w:top w:val="nil"/>
              <w:left w:val="nil"/>
              <w:bottom w:val="single" w:sz="4" w:space="0" w:color="auto"/>
              <w:right w:val="single" w:sz="4" w:space="0" w:color="auto"/>
            </w:tcBorders>
            <w:shd w:val="clear" w:color="auto" w:fill="C6EFCE"/>
            <w:noWrap/>
          </w:tcPr>
          <w:p w14:paraId="69C818B0"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3117" w:type="dxa"/>
            <w:tcBorders>
              <w:top w:val="nil"/>
              <w:left w:val="nil"/>
              <w:bottom w:val="single" w:sz="4" w:space="0" w:color="auto"/>
              <w:right w:val="single" w:sz="4" w:space="0" w:color="auto"/>
            </w:tcBorders>
            <w:shd w:val="clear" w:color="auto" w:fill="C6EFCE"/>
            <w:noWrap/>
          </w:tcPr>
          <w:p w14:paraId="38F14337" w14:textId="77777777" w:rsidR="00083739" w:rsidRPr="00083739" w:rsidRDefault="00BF4125">
            <w:pPr>
              <w:pStyle w:val="P68B1DB1-Normal9"/>
              <w:spacing w:after="0" w:line="240" w:lineRule="auto"/>
              <w:jc w:val="both"/>
              <w:textAlignment w:val="baseline"/>
              <w:rPr>
                <w:rFonts w:ascii="Times New Roman" w:hAnsi="Times New Roman" w:cs="Times New Roman"/>
                <w:noProof/>
                <w:lang w:val="sk-SK"/>
              </w:rPr>
            </w:pPr>
            <w:r w:rsidRPr="00083739">
              <w:rPr>
                <w:rFonts w:ascii="Times New Roman" w:hAnsi="Times New Roman" w:cs="Times New Roman"/>
                <w:noProof/>
                <w:lang w:val="sk-SK"/>
              </w:rPr>
              <w:t>Dokončenie týchto opatrení</w:t>
            </w:r>
            <w:r w:rsidR="00083739" w:rsidRPr="00083739">
              <w:rPr>
                <w:rFonts w:ascii="Times New Roman" w:hAnsi="Times New Roman" w:cs="Times New Roman"/>
                <w:noProof/>
                <w:lang w:val="sk-SK"/>
              </w:rPr>
              <w:t>:</w:t>
            </w:r>
          </w:p>
          <w:p w14:paraId="575B1656" w14:textId="278B515A" w:rsidR="00083739" w:rsidRPr="00083739" w:rsidRDefault="00BF4125">
            <w:pPr>
              <w:pStyle w:val="P68B1DB1-Normal9"/>
              <w:spacing w:after="0" w:line="240" w:lineRule="auto"/>
              <w:jc w:val="both"/>
              <w:textAlignment w:val="baseline"/>
              <w:rPr>
                <w:rFonts w:ascii="Times New Roman" w:hAnsi="Times New Roman" w:cs="Times New Roman"/>
                <w:noProof/>
                <w:lang w:val="sk-SK"/>
              </w:rPr>
            </w:pPr>
            <w:r w:rsidRPr="00083739">
              <w:rPr>
                <w:rFonts w:ascii="Times New Roman" w:hAnsi="Times New Roman" w:cs="Times New Roman"/>
                <w:noProof/>
                <w:lang w:val="sk-SK"/>
              </w:rPr>
              <w:t>a) zriadenie jednotného digitálneho portálu pre prístup</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sociálnej ochrane, ktorý by integroval existujúce elektronické formuláre žiadostí</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peňažné dávky sociálnej pomoci do jedného digitálneho portálu</w:t>
            </w:r>
            <w:r w:rsidR="00083739" w:rsidRPr="00083739">
              <w:rPr>
                <w:rFonts w:ascii="Times New Roman" w:hAnsi="Times New Roman" w:cs="Times New Roman"/>
                <w:noProof/>
                <w:lang w:val="sk-SK"/>
              </w:rPr>
              <w:t>;</w:t>
            </w:r>
          </w:p>
          <w:p w14:paraId="096A1611" w14:textId="4DF4CAC9" w:rsidR="00083739" w:rsidRPr="00083739" w:rsidRDefault="00BF4125">
            <w:pPr>
              <w:pStyle w:val="P68B1DB1-Normal9"/>
              <w:spacing w:after="0" w:line="240" w:lineRule="auto"/>
              <w:jc w:val="both"/>
              <w:textAlignment w:val="baseline"/>
              <w:rPr>
                <w:rFonts w:ascii="Times New Roman" w:hAnsi="Times New Roman" w:cs="Times New Roman"/>
                <w:noProof/>
                <w:lang w:val="sk-SK"/>
              </w:rPr>
            </w:pPr>
            <w:r w:rsidRPr="00083739">
              <w:rPr>
                <w:rFonts w:ascii="Times New Roman" w:hAnsi="Times New Roman" w:cs="Times New Roman"/>
                <w:noProof/>
                <w:lang w:val="sk-SK"/>
              </w:rPr>
              <w:t>b) zriadenie jednotného národného portálu dávok pre osoby so zdravotným postihnutím, ktorý príjemcom umožní mať online prístup</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osobným údajom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dávkam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vydávať potvrdenia</w:t>
            </w:r>
            <w:r w:rsidR="00083739" w:rsidRPr="00083739">
              <w:rPr>
                <w:rFonts w:ascii="Times New Roman" w:hAnsi="Times New Roman" w:cs="Times New Roman"/>
                <w:noProof/>
                <w:lang w:val="sk-SK"/>
              </w:rPr>
              <w:t>;</w:t>
            </w:r>
          </w:p>
          <w:p w14:paraId="3B9CC2D7" w14:textId="5C74D707" w:rsidR="00083739" w:rsidRPr="00083739" w:rsidRDefault="00BF4125">
            <w:pPr>
              <w:pStyle w:val="P68B1DB1-Normal9"/>
              <w:spacing w:after="0" w:line="240" w:lineRule="auto"/>
              <w:jc w:val="both"/>
              <w:textAlignment w:val="baseline"/>
              <w:rPr>
                <w:rFonts w:ascii="Times New Roman" w:hAnsi="Times New Roman" w:cs="Times New Roman"/>
                <w:noProof/>
                <w:lang w:val="sk-SK"/>
              </w:rPr>
            </w:pPr>
            <w:r w:rsidRPr="00083739">
              <w:rPr>
                <w:rFonts w:ascii="Times New Roman" w:hAnsi="Times New Roman" w:cs="Times New Roman"/>
                <w:noProof/>
                <w:lang w:val="sk-SK"/>
              </w:rPr>
              <w:t>C) Vytvorenie úpln</w:t>
            </w:r>
            <w:r w:rsidRPr="00083739">
              <w:rPr>
                <w:rFonts w:ascii="Times New Roman" w:hAnsi="Times New Roman" w:cs="Times New Roman"/>
                <w:noProof/>
                <w:lang w:val="sk-SK"/>
              </w:rPr>
              <w:t>ého súpisu verejného nehnuteľného majetku súvisiaceho so službami sociálnej ochrany</w:t>
            </w:r>
            <w:r w:rsidR="00083739" w:rsidRPr="00083739">
              <w:rPr>
                <w:rFonts w:ascii="Times New Roman" w:hAnsi="Times New Roman" w:cs="Times New Roman"/>
                <w:noProof/>
                <w:lang w:val="sk-SK"/>
              </w:rPr>
              <w:t>.</w:t>
            </w:r>
          </w:p>
          <w:p w14:paraId="41C6B29C" w14:textId="1B12CF05" w:rsidR="002D49B0" w:rsidRPr="00083739" w:rsidRDefault="002D49B0">
            <w:pPr>
              <w:spacing w:before="120" w:after="0" w:line="240" w:lineRule="auto"/>
              <w:rPr>
                <w:rFonts w:ascii="Times New Roman" w:eastAsia="Times New Roman" w:hAnsi="Times New Roman" w:cs="Times New Roman"/>
                <w:noProof/>
                <w:color w:val="006100"/>
                <w:sz w:val="18"/>
                <w:szCs w:val="18"/>
                <w:lang w:val="sk-SK"/>
              </w:rPr>
            </w:pPr>
          </w:p>
        </w:tc>
      </w:tr>
      <w:tr w:rsidR="002D49B0" w:rsidRPr="00083739" w14:paraId="61DA1960" w14:textId="77777777">
        <w:trPr>
          <w:trHeight w:val="309"/>
          <w:jc w:val="center"/>
        </w:trPr>
        <w:tc>
          <w:tcPr>
            <w:tcW w:w="1027" w:type="dxa"/>
            <w:tcBorders>
              <w:top w:val="nil"/>
              <w:left w:val="single" w:sz="4" w:space="0" w:color="auto"/>
              <w:bottom w:val="single" w:sz="4" w:space="0" w:color="auto"/>
              <w:right w:val="single" w:sz="4" w:space="0" w:color="auto"/>
            </w:tcBorders>
            <w:shd w:val="clear" w:color="auto" w:fill="C6EFCE"/>
            <w:noWrap/>
          </w:tcPr>
          <w:p w14:paraId="7CBE8258"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183</w:t>
            </w:r>
          </w:p>
        </w:tc>
        <w:tc>
          <w:tcPr>
            <w:tcW w:w="1582" w:type="dxa"/>
            <w:tcBorders>
              <w:top w:val="nil"/>
              <w:left w:val="nil"/>
              <w:bottom w:val="single" w:sz="4" w:space="0" w:color="auto"/>
              <w:right w:val="single" w:sz="4" w:space="0" w:color="auto"/>
            </w:tcBorders>
            <w:shd w:val="clear" w:color="auto" w:fill="C6EFCE"/>
            <w:noWrap/>
          </w:tcPr>
          <w:p w14:paraId="339B6693" w14:textId="7D0B9151"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11 – 3.4. Zlepšenie prístupu</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účinným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inkluzívnym sociálnym politikám – 16922_Sociálna integrácia</w:t>
            </w:r>
          </w:p>
        </w:tc>
        <w:tc>
          <w:tcPr>
            <w:tcW w:w="966" w:type="dxa"/>
            <w:tcBorders>
              <w:top w:val="nil"/>
              <w:left w:val="nil"/>
              <w:bottom w:val="single" w:sz="4" w:space="0" w:color="auto"/>
              <w:right w:val="single" w:sz="4" w:space="0" w:color="auto"/>
            </w:tcBorders>
            <w:shd w:val="clear" w:color="auto" w:fill="C6EFCE"/>
            <w:noWrap/>
          </w:tcPr>
          <w:p w14:paraId="6BBAF1F0"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Cieľ</w:t>
            </w:r>
          </w:p>
        </w:tc>
        <w:tc>
          <w:tcPr>
            <w:tcW w:w="2107" w:type="dxa"/>
            <w:tcBorders>
              <w:top w:val="nil"/>
              <w:left w:val="nil"/>
              <w:bottom w:val="single" w:sz="4" w:space="0" w:color="auto"/>
              <w:right w:val="single" w:sz="4" w:space="0" w:color="auto"/>
            </w:tcBorders>
            <w:shd w:val="clear" w:color="auto" w:fill="C6EFCE"/>
            <w:noWrap/>
          </w:tcPr>
          <w:p w14:paraId="56696AA8" w14:textId="77777777" w:rsidR="00083739" w:rsidRPr="00083739" w:rsidRDefault="00BF4125">
            <w:pPr>
              <w:pStyle w:val="P68B1DB1-Normal9"/>
              <w:spacing w:before="120" w:after="0" w:line="240" w:lineRule="auto"/>
              <w:rPr>
                <w:rFonts w:ascii="Times New Roman" w:hAnsi="Times New Roman" w:cs="Times New Roman"/>
                <w:noProof/>
                <w:lang w:val="sk-SK"/>
              </w:rPr>
            </w:pPr>
            <w:r w:rsidRPr="00083739">
              <w:rPr>
                <w:rFonts w:ascii="Times New Roman" w:hAnsi="Times New Roman" w:cs="Times New Roman"/>
                <w:noProof/>
                <w:lang w:val="sk-SK"/>
              </w:rPr>
              <w:t>Sociálna integrácia – príjemcovia GMI bez domova</w:t>
            </w:r>
          </w:p>
          <w:p w14:paraId="25640EC5" w14:textId="47745EE6"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w:t>
            </w:r>
          </w:p>
        </w:tc>
        <w:tc>
          <w:tcPr>
            <w:tcW w:w="1766" w:type="dxa"/>
            <w:tcBorders>
              <w:top w:val="nil"/>
              <w:left w:val="nil"/>
              <w:bottom w:val="single" w:sz="4" w:space="0" w:color="auto"/>
              <w:right w:val="single" w:sz="4" w:space="0" w:color="auto"/>
            </w:tcBorders>
            <w:shd w:val="clear" w:color="auto" w:fill="C6EFCE"/>
            <w:noWrap/>
          </w:tcPr>
          <w:p w14:paraId="0A975EEE" w14:textId="77777777" w:rsidR="002D49B0" w:rsidRPr="00083739" w:rsidRDefault="002D49B0">
            <w:pPr>
              <w:spacing w:before="120" w:after="0" w:line="240" w:lineRule="auto"/>
              <w:rPr>
                <w:rFonts w:ascii="Times New Roman" w:eastAsia="Times New Roman" w:hAnsi="Times New Roman" w:cs="Times New Roman"/>
                <w:noProof/>
                <w:color w:val="006100"/>
                <w:sz w:val="18"/>
                <w:szCs w:val="18"/>
                <w:lang w:val="sk-SK"/>
              </w:rPr>
            </w:pPr>
          </w:p>
        </w:tc>
        <w:tc>
          <w:tcPr>
            <w:tcW w:w="1404" w:type="dxa"/>
            <w:tcBorders>
              <w:top w:val="nil"/>
              <w:left w:val="nil"/>
              <w:bottom w:val="single" w:sz="4" w:space="0" w:color="auto"/>
              <w:right w:val="single" w:sz="4" w:space="0" w:color="auto"/>
            </w:tcBorders>
            <w:shd w:val="clear" w:color="auto" w:fill="C6EFCE"/>
            <w:noWrap/>
          </w:tcPr>
          <w:p w14:paraId="6C218F40" w14:textId="15CE3FE9"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Počet príjemcov garantovaného minimálneho príjmu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bezdomovcov</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certifikovanou účasťou</w:t>
            </w:r>
          </w:p>
        </w:tc>
        <w:tc>
          <w:tcPr>
            <w:tcW w:w="1035" w:type="dxa"/>
            <w:tcBorders>
              <w:top w:val="nil"/>
              <w:left w:val="nil"/>
              <w:bottom w:val="single" w:sz="4" w:space="0" w:color="auto"/>
              <w:right w:val="single" w:sz="4" w:space="0" w:color="auto"/>
            </w:tcBorders>
            <w:shd w:val="clear" w:color="auto" w:fill="C6EFCE"/>
            <w:noWrap/>
          </w:tcPr>
          <w:p w14:paraId="5E816C54"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0</w:t>
            </w:r>
          </w:p>
        </w:tc>
        <w:tc>
          <w:tcPr>
            <w:tcW w:w="1097" w:type="dxa"/>
            <w:tcBorders>
              <w:top w:val="nil"/>
              <w:left w:val="nil"/>
              <w:bottom w:val="single" w:sz="4" w:space="0" w:color="auto"/>
              <w:right w:val="single" w:sz="4" w:space="0" w:color="auto"/>
            </w:tcBorders>
            <w:shd w:val="clear" w:color="auto" w:fill="C6EFCE"/>
            <w:noWrap/>
          </w:tcPr>
          <w:p w14:paraId="2625C9E1"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7 000</w:t>
            </w:r>
          </w:p>
        </w:tc>
        <w:tc>
          <w:tcPr>
            <w:tcW w:w="846" w:type="dxa"/>
            <w:tcBorders>
              <w:top w:val="nil"/>
              <w:left w:val="nil"/>
              <w:bottom w:val="single" w:sz="4" w:space="0" w:color="auto"/>
              <w:right w:val="single" w:sz="4" w:space="0" w:color="auto"/>
            </w:tcBorders>
            <w:shd w:val="clear" w:color="auto" w:fill="C6EFCE"/>
            <w:noWrap/>
          </w:tcPr>
          <w:p w14:paraId="12BE7DC7"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83" w:type="dxa"/>
            <w:tcBorders>
              <w:top w:val="nil"/>
              <w:left w:val="nil"/>
              <w:bottom w:val="single" w:sz="4" w:space="0" w:color="auto"/>
              <w:right w:val="single" w:sz="4" w:space="0" w:color="auto"/>
            </w:tcBorders>
            <w:shd w:val="clear" w:color="auto" w:fill="C6EFCE"/>
            <w:noWrap/>
          </w:tcPr>
          <w:p w14:paraId="30EC083F"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3117" w:type="dxa"/>
            <w:tcBorders>
              <w:top w:val="nil"/>
              <w:left w:val="nil"/>
              <w:bottom w:val="single" w:sz="4" w:space="0" w:color="auto"/>
              <w:right w:val="single" w:sz="4" w:space="0" w:color="auto"/>
            </w:tcBorders>
            <w:shd w:val="clear" w:color="auto" w:fill="C6EFCE"/>
            <w:noWrap/>
          </w:tcPr>
          <w:p w14:paraId="6A052144" w14:textId="5CD8B62A"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Úspešné ukončenie odbornej prípravy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začlenenie 7000 príjemcov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bezdomovcov so zaručeným minimálnym príjmom do programu na podporu </w:t>
            </w:r>
            <w:r w:rsidRPr="00083739">
              <w:rPr>
                <w:rFonts w:ascii="Times New Roman" w:hAnsi="Times New Roman" w:cs="Times New Roman"/>
                <w:noProof/>
                <w:lang w:val="sk-SK"/>
              </w:rPr>
              <w:t>zamestnanosti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osvedčenie národnej organizácie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 xml:space="preserve">nadobudnutých zručnostiach </w:t>
            </w:r>
          </w:p>
        </w:tc>
      </w:tr>
      <w:tr w:rsidR="002D49B0" w:rsidRPr="00083739" w14:paraId="6F2A59AC" w14:textId="77777777">
        <w:trPr>
          <w:trHeight w:val="309"/>
          <w:jc w:val="center"/>
        </w:trPr>
        <w:tc>
          <w:tcPr>
            <w:tcW w:w="1027" w:type="dxa"/>
            <w:tcBorders>
              <w:top w:val="nil"/>
              <w:left w:val="single" w:sz="4" w:space="0" w:color="auto"/>
              <w:bottom w:val="single" w:sz="4" w:space="0" w:color="auto"/>
              <w:right w:val="single" w:sz="4" w:space="0" w:color="auto"/>
            </w:tcBorders>
            <w:shd w:val="clear" w:color="auto" w:fill="C6EFCE"/>
            <w:noWrap/>
          </w:tcPr>
          <w:p w14:paraId="070C5264"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184</w:t>
            </w:r>
          </w:p>
        </w:tc>
        <w:tc>
          <w:tcPr>
            <w:tcW w:w="1582" w:type="dxa"/>
            <w:tcBorders>
              <w:top w:val="nil"/>
              <w:left w:val="nil"/>
              <w:bottom w:val="single" w:sz="4" w:space="0" w:color="auto"/>
              <w:right w:val="single" w:sz="4" w:space="0" w:color="auto"/>
            </w:tcBorders>
            <w:shd w:val="clear" w:color="auto" w:fill="C6EFCE"/>
            <w:noWrap/>
          </w:tcPr>
          <w:p w14:paraId="7EC189FC" w14:textId="77ABC061"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11 – 3.4. Zlepšiť prístup</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účinným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inkluzívnym sociálnym politikám – 16685_Informačná informovanosť</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rozmanitosti</w:t>
            </w:r>
          </w:p>
        </w:tc>
        <w:tc>
          <w:tcPr>
            <w:tcW w:w="966" w:type="dxa"/>
            <w:tcBorders>
              <w:top w:val="nil"/>
              <w:left w:val="nil"/>
              <w:bottom w:val="single" w:sz="4" w:space="0" w:color="auto"/>
              <w:right w:val="single" w:sz="4" w:space="0" w:color="auto"/>
            </w:tcBorders>
            <w:shd w:val="clear" w:color="auto" w:fill="C6EFCE"/>
            <w:noWrap/>
          </w:tcPr>
          <w:p w14:paraId="61D78992"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Cieľ</w:t>
            </w:r>
          </w:p>
        </w:tc>
        <w:tc>
          <w:tcPr>
            <w:tcW w:w="2107" w:type="dxa"/>
            <w:tcBorders>
              <w:top w:val="nil"/>
              <w:left w:val="nil"/>
              <w:bottom w:val="single" w:sz="4" w:space="0" w:color="auto"/>
              <w:right w:val="single" w:sz="4" w:space="0" w:color="auto"/>
            </w:tcBorders>
            <w:shd w:val="clear" w:color="auto" w:fill="C6EFCE"/>
            <w:noWrap/>
          </w:tcPr>
          <w:p w14:paraId="24C59E27" w14:textId="2F57F6C8"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Ukončenie odbornej prípravy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 xml:space="preserve">oblasti </w:t>
            </w:r>
            <w:r w:rsidRPr="00083739">
              <w:rPr>
                <w:rFonts w:ascii="Times New Roman" w:hAnsi="Times New Roman" w:cs="Times New Roman"/>
                <w:noProof/>
                <w:lang w:val="sk-SK"/>
              </w:rPr>
              <w:t>informovanosti</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 xml:space="preserve">rozmanitosti pre zamestnancov podnikov súkromného sektora </w:t>
            </w:r>
          </w:p>
        </w:tc>
        <w:tc>
          <w:tcPr>
            <w:tcW w:w="1766" w:type="dxa"/>
            <w:tcBorders>
              <w:top w:val="nil"/>
              <w:left w:val="nil"/>
              <w:bottom w:val="single" w:sz="4" w:space="0" w:color="auto"/>
              <w:right w:val="single" w:sz="4" w:space="0" w:color="auto"/>
            </w:tcBorders>
            <w:shd w:val="clear" w:color="auto" w:fill="C6EFCE"/>
            <w:noWrap/>
          </w:tcPr>
          <w:p w14:paraId="4C50F829" w14:textId="77777777" w:rsidR="002D49B0" w:rsidRPr="00083739" w:rsidRDefault="002D49B0">
            <w:pPr>
              <w:spacing w:before="120" w:after="0" w:line="240" w:lineRule="auto"/>
              <w:rPr>
                <w:rFonts w:ascii="Times New Roman" w:eastAsia="Times New Roman" w:hAnsi="Times New Roman" w:cs="Times New Roman"/>
                <w:noProof/>
                <w:color w:val="006100"/>
                <w:sz w:val="18"/>
                <w:szCs w:val="18"/>
                <w:lang w:val="sk-SK"/>
              </w:rPr>
            </w:pPr>
          </w:p>
        </w:tc>
        <w:tc>
          <w:tcPr>
            <w:tcW w:w="1404" w:type="dxa"/>
            <w:tcBorders>
              <w:top w:val="nil"/>
              <w:left w:val="nil"/>
              <w:bottom w:val="single" w:sz="4" w:space="0" w:color="auto"/>
              <w:right w:val="single" w:sz="4" w:space="0" w:color="auto"/>
            </w:tcBorders>
            <w:shd w:val="clear" w:color="auto" w:fill="C6EFCE"/>
            <w:noWrap/>
          </w:tcPr>
          <w:p w14:paraId="594D2D5C" w14:textId="7C2662B1"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Počet zamestnancov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podnikoch súkromného sektora</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certifikovanou účasťou na odbornej príprave</w:t>
            </w:r>
          </w:p>
        </w:tc>
        <w:tc>
          <w:tcPr>
            <w:tcW w:w="1035" w:type="dxa"/>
            <w:tcBorders>
              <w:top w:val="nil"/>
              <w:left w:val="nil"/>
              <w:bottom w:val="single" w:sz="4" w:space="0" w:color="auto"/>
              <w:right w:val="single" w:sz="4" w:space="0" w:color="auto"/>
            </w:tcBorders>
            <w:shd w:val="clear" w:color="auto" w:fill="C6EFCE"/>
            <w:noWrap/>
          </w:tcPr>
          <w:p w14:paraId="00D214EB"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0</w:t>
            </w:r>
          </w:p>
        </w:tc>
        <w:tc>
          <w:tcPr>
            <w:tcW w:w="1097" w:type="dxa"/>
            <w:tcBorders>
              <w:top w:val="nil"/>
              <w:left w:val="nil"/>
              <w:bottom w:val="single" w:sz="4" w:space="0" w:color="auto"/>
              <w:right w:val="single" w:sz="4" w:space="0" w:color="auto"/>
            </w:tcBorders>
            <w:shd w:val="clear" w:color="auto" w:fill="C6EFCE"/>
            <w:noWrap/>
          </w:tcPr>
          <w:p w14:paraId="16791D77"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80 000</w:t>
            </w:r>
          </w:p>
        </w:tc>
        <w:tc>
          <w:tcPr>
            <w:tcW w:w="846" w:type="dxa"/>
            <w:tcBorders>
              <w:top w:val="nil"/>
              <w:left w:val="nil"/>
              <w:bottom w:val="single" w:sz="4" w:space="0" w:color="auto"/>
              <w:right w:val="single" w:sz="4" w:space="0" w:color="auto"/>
            </w:tcBorders>
            <w:shd w:val="clear" w:color="auto" w:fill="C6EFCE"/>
            <w:noWrap/>
          </w:tcPr>
          <w:p w14:paraId="3F6C2A82"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TRETÍ ŠTVRŤROK</w:t>
            </w:r>
          </w:p>
        </w:tc>
        <w:tc>
          <w:tcPr>
            <w:tcW w:w="783" w:type="dxa"/>
            <w:tcBorders>
              <w:top w:val="nil"/>
              <w:left w:val="nil"/>
              <w:bottom w:val="single" w:sz="4" w:space="0" w:color="auto"/>
              <w:right w:val="single" w:sz="4" w:space="0" w:color="auto"/>
            </w:tcBorders>
            <w:shd w:val="clear" w:color="auto" w:fill="C6EFCE"/>
            <w:noWrap/>
          </w:tcPr>
          <w:p w14:paraId="33A79F1F"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2024</w:t>
            </w:r>
          </w:p>
        </w:tc>
        <w:tc>
          <w:tcPr>
            <w:tcW w:w="3117" w:type="dxa"/>
            <w:tcBorders>
              <w:top w:val="nil"/>
              <w:left w:val="nil"/>
              <w:bottom w:val="single" w:sz="4" w:space="0" w:color="auto"/>
              <w:right w:val="single" w:sz="4" w:space="0" w:color="auto"/>
            </w:tcBorders>
            <w:shd w:val="clear" w:color="auto" w:fill="C6EFCE"/>
            <w:noWrap/>
          </w:tcPr>
          <w:p w14:paraId="7259151A" w14:textId="0C47FA30" w:rsidR="00083739" w:rsidRPr="00083739" w:rsidRDefault="00BF4125">
            <w:pPr>
              <w:pStyle w:val="P68B1DB1-Normal9"/>
              <w:spacing w:before="120" w:after="0" w:line="240" w:lineRule="auto"/>
              <w:rPr>
                <w:rFonts w:ascii="Times New Roman" w:hAnsi="Times New Roman" w:cs="Times New Roman"/>
                <w:noProof/>
                <w:lang w:val="sk-SK"/>
              </w:rPr>
            </w:pPr>
            <w:r w:rsidRPr="00083739">
              <w:rPr>
                <w:rFonts w:ascii="Times New Roman" w:hAnsi="Times New Roman" w:cs="Times New Roman"/>
                <w:noProof/>
                <w:lang w:val="sk-SK"/>
              </w:rPr>
              <w:t>Dokončenie programu odbornej prípravy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 xml:space="preserve">oblasti </w:t>
            </w:r>
            <w:r w:rsidRPr="00083739">
              <w:rPr>
                <w:rFonts w:ascii="Times New Roman" w:hAnsi="Times New Roman" w:cs="Times New Roman"/>
                <w:noProof/>
                <w:lang w:val="sk-SK"/>
              </w:rPr>
              <w:t>rozmanitosti pre 80000 zamestnancov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podnikoch súkromného sektora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certifikácie</w:t>
            </w:r>
            <w:r w:rsidR="00083739" w:rsidRPr="00083739">
              <w:rPr>
                <w:rFonts w:ascii="Times New Roman" w:hAnsi="Times New Roman" w:cs="Times New Roman"/>
                <w:noProof/>
                <w:lang w:val="sk-SK"/>
              </w:rPr>
              <w:t>.</w:t>
            </w:r>
          </w:p>
          <w:p w14:paraId="78339D66" w14:textId="357C07FB"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Cieľom programu odbornej prípravy je zvýšiť informovanosť</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rôznych rozmeroch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prínosoch rozmanitosti. </w:t>
            </w:r>
          </w:p>
        </w:tc>
      </w:tr>
      <w:tr w:rsidR="002D49B0" w:rsidRPr="00083739" w14:paraId="4DA3D387" w14:textId="77777777">
        <w:trPr>
          <w:trHeight w:val="309"/>
          <w:jc w:val="center"/>
        </w:trPr>
        <w:tc>
          <w:tcPr>
            <w:tcW w:w="1027" w:type="dxa"/>
            <w:tcBorders>
              <w:top w:val="nil"/>
              <w:left w:val="single" w:sz="4" w:space="0" w:color="auto"/>
              <w:bottom w:val="single" w:sz="4" w:space="0" w:color="auto"/>
              <w:right w:val="single" w:sz="4" w:space="0" w:color="auto"/>
            </w:tcBorders>
            <w:shd w:val="clear" w:color="auto" w:fill="C6EFCE"/>
            <w:noWrap/>
          </w:tcPr>
          <w:p w14:paraId="46BF12FF"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184a</w:t>
            </w:r>
          </w:p>
        </w:tc>
        <w:tc>
          <w:tcPr>
            <w:tcW w:w="1582" w:type="dxa"/>
            <w:tcBorders>
              <w:top w:val="nil"/>
              <w:left w:val="nil"/>
              <w:bottom w:val="single" w:sz="4" w:space="0" w:color="auto"/>
              <w:right w:val="single" w:sz="4" w:space="0" w:color="auto"/>
            </w:tcBorders>
            <w:shd w:val="clear" w:color="auto" w:fill="C6EFCE"/>
            <w:noWrap/>
          </w:tcPr>
          <w:p w14:paraId="2B488FB0" w14:textId="3F8E74E6"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11 – 3.4. Zlepšiť prístup</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účinným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inkluzívnym sociálnym </w:t>
            </w:r>
            <w:r w:rsidRPr="00083739">
              <w:rPr>
                <w:rFonts w:ascii="Times New Roman" w:hAnsi="Times New Roman" w:cs="Times New Roman"/>
                <w:noProof/>
                <w:lang w:val="sk-SK"/>
              </w:rPr>
              <w:t>politikám – 16685_Informačná informovanosť</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rozmanitosti</w:t>
            </w:r>
          </w:p>
        </w:tc>
        <w:tc>
          <w:tcPr>
            <w:tcW w:w="966" w:type="dxa"/>
            <w:tcBorders>
              <w:top w:val="nil"/>
              <w:left w:val="nil"/>
              <w:bottom w:val="single" w:sz="4" w:space="0" w:color="auto"/>
              <w:right w:val="single" w:sz="4" w:space="0" w:color="auto"/>
            </w:tcBorders>
            <w:shd w:val="clear" w:color="auto" w:fill="C6EFCE"/>
            <w:noWrap/>
          </w:tcPr>
          <w:p w14:paraId="19BD1E9E"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2107" w:type="dxa"/>
            <w:tcBorders>
              <w:top w:val="nil"/>
              <w:left w:val="nil"/>
              <w:bottom w:val="single" w:sz="4" w:space="0" w:color="auto"/>
              <w:right w:val="single" w:sz="4" w:space="0" w:color="auto"/>
            </w:tcBorders>
            <w:shd w:val="clear" w:color="auto" w:fill="C6EFCE"/>
            <w:noWrap/>
          </w:tcPr>
          <w:p w14:paraId="074C5869" w14:textId="2064EEA4"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Pracovná skupina pre rovnosť</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diskrimináciu, Stredisko pre monitorovanie rovnosti, systém udeľovania grantov</w:t>
            </w:r>
          </w:p>
        </w:tc>
        <w:tc>
          <w:tcPr>
            <w:tcW w:w="1766" w:type="dxa"/>
            <w:tcBorders>
              <w:top w:val="nil"/>
              <w:left w:val="nil"/>
              <w:bottom w:val="single" w:sz="4" w:space="0" w:color="auto"/>
              <w:right w:val="single" w:sz="4" w:space="0" w:color="auto"/>
            </w:tcBorders>
            <w:shd w:val="clear" w:color="auto" w:fill="C6EFCE"/>
            <w:noWrap/>
          </w:tcPr>
          <w:p w14:paraId="16E872CA" w14:textId="0768B91F"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Správa ministerstva sociálnej súdržnosti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rodiny potvrdzujúca dokončenie </w:t>
            </w:r>
            <w:r w:rsidRPr="00083739">
              <w:rPr>
                <w:rFonts w:ascii="Times New Roman" w:hAnsi="Times New Roman" w:cs="Times New Roman"/>
                <w:noProof/>
                <w:lang w:val="sk-SK"/>
              </w:rPr>
              <w:t>projektov</w:t>
            </w:r>
          </w:p>
        </w:tc>
        <w:tc>
          <w:tcPr>
            <w:tcW w:w="1404" w:type="dxa"/>
            <w:tcBorders>
              <w:top w:val="nil"/>
              <w:left w:val="nil"/>
              <w:bottom w:val="single" w:sz="4" w:space="0" w:color="auto"/>
              <w:right w:val="single" w:sz="4" w:space="0" w:color="auto"/>
            </w:tcBorders>
            <w:shd w:val="clear" w:color="auto" w:fill="C6EFCE"/>
            <w:noWrap/>
          </w:tcPr>
          <w:p w14:paraId="6E885D29" w14:textId="77777777" w:rsidR="002D49B0" w:rsidRPr="00083739" w:rsidRDefault="002D49B0">
            <w:pPr>
              <w:spacing w:before="120" w:after="0" w:line="240" w:lineRule="auto"/>
              <w:rPr>
                <w:rFonts w:ascii="Times New Roman" w:eastAsia="Times New Roman" w:hAnsi="Times New Roman" w:cs="Times New Roman"/>
                <w:noProof/>
                <w:color w:val="006100"/>
                <w:sz w:val="18"/>
                <w:szCs w:val="18"/>
                <w:lang w:val="sk-SK"/>
              </w:rPr>
            </w:pPr>
          </w:p>
        </w:tc>
        <w:tc>
          <w:tcPr>
            <w:tcW w:w="1035" w:type="dxa"/>
            <w:tcBorders>
              <w:top w:val="nil"/>
              <w:left w:val="nil"/>
              <w:bottom w:val="single" w:sz="4" w:space="0" w:color="auto"/>
              <w:right w:val="single" w:sz="4" w:space="0" w:color="auto"/>
            </w:tcBorders>
            <w:shd w:val="clear" w:color="auto" w:fill="C6EFCE"/>
            <w:noWrap/>
          </w:tcPr>
          <w:p w14:paraId="006AED6D" w14:textId="77777777" w:rsidR="002D49B0" w:rsidRPr="00083739" w:rsidRDefault="002D49B0">
            <w:pPr>
              <w:spacing w:before="120" w:after="0" w:line="240" w:lineRule="auto"/>
              <w:rPr>
                <w:rFonts w:ascii="Times New Roman" w:eastAsia="Times New Roman" w:hAnsi="Times New Roman" w:cs="Times New Roman"/>
                <w:noProof/>
                <w:color w:val="006100"/>
                <w:sz w:val="18"/>
                <w:szCs w:val="18"/>
                <w:lang w:val="sk-SK"/>
              </w:rPr>
            </w:pPr>
          </w:p>
        </w:tc>
        <w:tc>
          <w:tcPr>
            <w:tcW w:w="1097" w:type="dxa"/>
            <w:tcBorders>
              <w:top w:val="nil"/>
              <w:left w:val="nil"/>
              <w:bottom w:val="single" w:sz="4" w:space="0" w:color="auto"/>
              <w:right w:val="single" w:sz="4" w:space="0" w:color="auto"/>
            </w:tcBorders>
            <w:shd w:val="clear" w:color="auto" w:fill="C6EFCE"/>
            <w:noWrap/>
          </w:tcPr>
          <w:p w14:paraId="21232812" w14:textId="77777777" w:rsidR="002D49B0" w:rsidRPr="00083739" w:rsidRDefault="002D49B0">
            <w:pPr>
              <w:spacing w:before="120" w:after="0" w:line="240" w:lineRule="auto"/>
              <w:rPr>
                <w:rFonts w:ascii="Times New Roman" w:eastAsia="Times New Roman" w:hAnsi="Times New Roman" w:cs="Times New Roman"/>
                <w:noProof/>
                <w:color w:val="006100"/>
                <w:sz w:val="18"/>
                <w:szCs w:val="18"/>
                <w:lang w:val="sk-SK"/>
              </w:rPr>
            </w:pPr>
          </w:p>
        </w:tc>
        <w:tc>
          <w:tcPr>
            <w:tcW w:w="846" w:type="dxa"/>
            <w:tcBorders>
              <w:top w:val="nil"/>
              <w:left w:val="nil"/>
              <w:bottom w:val="single" w:sz="4" w:space="0" w:color="auto"/>
              <w:right w:val="single" w:sz="4" w:space="0" w:color="auto"/>
            </w:tcBorders>
            <w:shd w:val="clear" w:color="auto" w:fill="C6EFCE"/>
            <w:noWrap/>
          </w:tcPr>
          <w:p w14:paraId="5CC4FA3A"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PRVÝ ŠTVRŤROK</w:t>
            </w:r>
          </w:p>
        </w:tc>
        <w:tc>
          <w:tcPr>
            <w:tcW w:w="783" w:type="dxa"/>
            <w:tcBorders>
              <w:top w:val="nil"/>
              <w:left w:val="nil"/>
              <w:bottom w:val="single" w:sz="4" w:space="0" w:color="auto"/>
              <w:right w:val="single" w:sz="4" w:space="0" w:color="auto"/>
            </w:tcBorders>
            <w:shd w:val="clear" w:color="auto" w:fill="C6EFCE"/>
            <w:noWrap/>
          </w:tcPr>
          <w:p w14:paraId="0BC0778D"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3117" w:type="dxa"/>
            <w:tcBorders>
              <w:top w:val="nil"/>
              <w:left w:val="nil"/>
              <w:bottom w:val="single" w:sz="4" w:space="0" w:color="auto"/>
              <w:right w:val="single" w:sz="4" w:space="0" w:color="auto"/>
            </w:tcBorders>
            <w:shd w:val="clear" w:color="auto" w:fill="C6EFCE"/>
            <w:noWrap/>
          </w:tcPr>
          <w:p w14:paraId="7467B612" w14:textId="2B8566A5" w:rsidR="00083739" w:rsidRPr="00083739" w:rsidRDefault="00BF4125">
            <w:pPr>
              <w:pStyle w:val="P68B1DB1-Normal9"/>
              <w:spacing w:before="120" w:after="0" w:line="240" w:lineRule="auto"/>
              <w:rPr>
                <w:rFonts w:ascii="Times New Roman" w:hAnsi="Times New Roman" w:cs="Times New Roman"/>
                <w:noProof/>
                <w:lang w:val="sk-SK"/>
              </w:rPr>
            </w:pPr>
            <w:r w:rsidRPr="00083739">
              <w:rPr>
                <w:rFonts w:ascii="Times New Roman" w:hAnsi="Times New Roman" w:cs="Times New Roman"/>
                <w:noProof/>
                <w:lang w:val="sk-SK"/>
              </w:rPr>
              <w:t>Zriadenie pracovnej skupiny na zber vhodných štatistických údajov týkajúcich sa rovnosti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diskriminácie</w:t>
            </w:r>
            <w:r w:rsidR="00083739" w:rsidRPr="00083739">
              <w:rPr>
                <w:rFonts w:ascii="Times New Roman" w:hAnsi="Times New Roman" w:cs="Times New Roman"/>
                <w:noProof/>
                <w:lang w:val="sk-SK"/>
              </w:rPr>
              <w:t>.</w:t>
            </w:r>
          </w:p>
          <w:p w14:paraId="2660C698" w14:textId="7490DC7E" w:rsidR="00083739" w:rsidRPr="00083739" w:rsidRDefault="00BF4125">
            <w:pPr>
              <w:pStyle w:val="P68B1DB1-Normal9"/>
              <w:spacing w:before="120" w:after="0" w:line="240" w:lineRule="auto"/>
              <w:rPr>
                <w:rFonts w:ascii="Times New Roman" w:hAnsi="Times New Roman" w:cs="Times New Roman"/>
                <w:noProof/>
                <w:lang w:val="sk-SK"/>
              </w:rPr>
            </w:pPr>
            <w:r w:rsidRPr="00083739">
              <w:rPr>
                <w:rFonts w:ascii="Times New Roman" w:hAnsi="Times New Roman" w:cs="Times New Roman"/>
                <w:noProof/>
                <w:lang w:val="sk-SK"/>
              </w:rPr>
              <w:t>Nadobudnutie účinnosti právnych predpisov na posilnenie úlohy strediska pre monitorovanie rovnosti</w:t>
            </w:r>
            <w:r w:rsidR="00083739" w:rsidRPr="00083739">
              <w:rPr>
                <w:rFonts w:ascii="Times New Roman" w:hAnsi="Times New Roman" w:cs="Times New Roman"/>
                <w:noProof/>
                <w:lang w:val="sk-SK"/>
              </w:rPr>
              <w:t>.</w:t>
            </w:r>
          </w:p>
          <w:p w14:paraId="652CA941" w14:textId="06D327B8"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Vytvorenie mechani</w:t>
            </w:r>
            <w:r w:rsidRPr="00083739">
              <w:rPr>
                <w:rFonts w:ascii="Times New Roman" w:hAnsi="Times New Roman" w:cs="Times New Roman"/>
                <w:noProof/>
                <w:lang w:val="sk-SK"/>
              </w:rPr>
              <w:t>zmu certifikácie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systému udeľovania grantov pre podniky/organizácie podporujúce dobrú rozmanitosť</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začlenenie.</w:t>
            </w:r>
          </w:p>
          <w:p w14:paraId="7D660391" w14:textId="77777777" w:rsidR="002D49B0" w:rsidRPr="00083739" w:rsidRDefault="002D49B0">
            <w:pPr>
              <w:spacing w:before="120" w:after="0" w:line="240" w:lineRule="auto"/>
              <w:rPr>
                <w:rFonts w:ascii="Times New Roman" w:eastAsia="Times New Roman" w:hAnsi="Times New Roman" w:cs="Times New Roman"/>
                <w:noProof/>
                <w:color w:val="006100"/>
                <w:sz w:val="18"/>
                <w:szCs w:val="18"/>
                <w:lang w:val="sk-SK"/>
              </w:rPr>
            </w:pPr>
          </w:p>
        </w:tc>
      </w:tr>
      <w:tr w:rsidR="002D49B0" w:rsidRPr="00083739" w14:paraId="190DB569" w14:textId="77777777">
        <w:trPr>
          <w:trHeight w:val="309"/>
          <w:jc w:val="center"/>
        </w:trPr>
        <w:tc>
          <w:tcPr>
            <w:tcW w:w="1027" w:type="dxa"/>
            <w:tcBorders>
              <w:top w:val="nil"/>
              <w:left w:val="single" w:sz="4" w:space="0" w:color="auto"/>
              <w:bottom w:val="single" w:sz="4" w:space="0" w:color="auto"/>
              <w:right w:val="single" w:sz="4" w:space="0" w:color="auto"/>
            </w:tcBorders>
            <w:shd w:val="clear" w:color="auto" w:fill="C6EFCE"/>
            <w:noWrap/>
          </w:tcPr>
          <w:p w14:paraId="20F6B3A4"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185</w:t>
            </w:r>
          </w:p>
        </w:tc>
        <w:tc>
          <w:tcPr>
            <w:tcW w:w="1582" w:type="dxa"/>
            <w:tcBorders>
              <w:top w:val="nil"/>
              <w:left w:val="nil"/>
              <w:bottom w:val="single" w:sz="4" w:space="0" w:color="auto"/>
              <w:right w:val="single" w:sz="4" w:space="0" w:color="auto"/>
            </w:tcBorders>
            <w:shd w:val="clear" w:color="auto" w:fill="C6EFCE"/>
            <w:noWrap/>
          </w:tcPr>
          <w:p w14:paraId="33566D00" w14:textId="58E33FBB"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11 – 3.4. Zlepšenie prístupu</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účinným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inkluzívnym sociálnym politikám – 16763_Digitálna transformácia prisťahovaleckého</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azylového </w:t>
            </w:r>
            <w:r w:rsidRPr="00083739">
              <w:rPr>
                <w:rFonts w:ascii="Times New Roman" w:hAnsi="Times New Roman" w:cs="Times New Roman"/>
                <w:noProof/>
                <w:lang w:val="sk-SK"/>
              </w:rPr>
              <w:t>systému</w:t>
            </w:r>
          </w:p>
        </w:tc>
        <w:tc>
          <w:tcPr>
            <w:tcW w:w="966" w:type="dxa"/>
            <w:tcBorders>
              <w:top w:val="nil"/>
              <w:left w:val="nil"/>
              <w:bottom w:val="single" w:sz="4" w:space="0" w:color="auto"/>
              <w:right w:val="single" w:sz="4" w:space="0" w:color="auto"/>
            </w:tcBorders>
            <w:shd w:val="clear" w:color="auto" w:fill="C6EFCE"/>
            <w:noWrap/>
          </w:tcPr>
          <w:p w14:paraId="15A06B59"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2107" w:type="dxa"/>
            <w:tcBorders>
              <w:top w:val="nil"/>
              <w:left w:val="nil"/>
              <w:bottom w:val="single" w:sz="4" w:space="0" w:color="auto"/>
              <w:right w:val="single" w:sz="4" w:space="0" w:color="auto"/>
            </w:tcBorders>
            <w:shd w:val="clear" w:color="auto" w:fill="C6EFCE"/>
            <w:noWrap/>
          </w:tcPr>
          <w:p w14:paraId="464300B6"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Digitalizácia migračného azylového systému</w:t>
            </w:r>
          </w:p>
        </w:tc>
        <w:tc>
          <w:tcPr>
            <w:tcW w:w="1766" w:type="dxa"/>
            <w:tcBorders>
              <w:top w:val="nil"/>
              <w:left w:val="nil"/>
              <w:bottom w:val="single" w:sz="4" w:space="0" w:color="auto"/>
              <w:right w:val="single" w:sz="4" w:space="0" w:color="auto"/>
            </w:tcBorders>
            <w:shd w:val="clear" w:color="auto" w:fill="C6EFCE"/>
            <w:noWrap/>
          </w:tcPr>
          <w:p w14:paraId="137F159F" w14:textId="51D3363F" w:rsidR="002D49B0" w:rsidRPr="00083739" w:rsidRDefault="00BF4125">
            <w:pPr>
              <w:pStyle w:val="P68B1DB1-Normal10"/>
              <w:spacing w:before="120"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Potvrdenie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prijatí výsledkov jednotlivých projektov projektovým manažérom/verejným obstarávateľom</w:t>
            </w:r>
          </w:p>
        </w:tc>
        <w:tc>
          <w:tcPr>
            <w:tcW w:w="1404" w:type="dxa"/>
            <w:tcBorders>
              <w:top w:val="nil"/>
              <w:left w:val="nil"/>
              <w:bottom w:val="single" w:sz="4" w:space="0" w:color="auto"/>
              <w:right w:val="single" w:sz="4" w:space="0" w:color="auto"/>
            </w:tcBorders>
            <w:shd w:val="clear" w:color="auto" w:fill="C6EFCE"/>
            <w:noWrap/>
          </w:tcPr>
          <w:p w14:paraId="0D6D1D87" w14:textId="77777777" w:rsidR="002D49B0" w:rsidRPr="00083739" w:rsidRDefault="002D49B0">
            <w:pPr>
              <w:spacing w:before="120" w:after="0" w:line="240" w:lineRule="auto"/>
              <w:rPr>
                <w:rFonts w:ascii="Times New Roman" w:eastAsia="Times New Roman" w:hAnsi="Times New Roman" w:cs="Times New Roman"/>
                <w:noProof/>
                <w:color w:val="006100"/>
                <w:sz w:val="18"/>
                <w:szCs w:val="18"/>
                <w:lang w:val="sk-SK"/>
              </w:rPr>
            </w:pPr>
          </w:p>
        </w:tc>
        <w:tc>
          <w:tcPr>
            <w:tcW w:w="1035" w:type="dxa"/>
            <w:tcBorders>
              <w:top w:val="nil"/>
              <w:left w:val="nil"/>
              <w:bottom w:val="single" w:sz="4" w:space="0" w:color="auto"/>
              <w:right w:val="single" w:sz="4" w:space="0" w:color="auto"/>
            </w:tcBorders>
            <w:shd w:val="clear" w:color="auto" w:fill="C6EFCE"/>
            <w:noWrap/>
          </w:tcPr>
          <w:p w14:paraId="2E127054" w14:textId="77777777" w:rsidR="002D49B0" w:rsidRPr="00083739" w:rsidRDefault="002D49B0">
            <w:pPr>
              <w:spacing w:before="120" w:after="0" w:line="240" w:lineRule="auto"/>
              <w:rPr>
                <w:rFonts w:ascii="Times New Roman" w:eastAsia="Times New Roman" w:hAnsi="Times New Roman" w:cs="Times New Roman"/>
                <w:noProof/>
                <w:color w:val="006100"/>
                <w:sz w:val="18"/>
                <w:szCs w:val="18"/>
                <w:lang w:val="sk-SK"/>
              </w:rPr>
            </w:pPr>
          </w:p>
        </w:tc>
        <w:tc>
          <w:tcPr>
            <w:tcW w:w="1097" w:type="dxa"/>
            <w:tcBorders>
              <w:top w:val="nil"/>
              <w:left w:val="nil"/>
              <w:bottom w:val="single" w:sz="4" w:space="0" w:color="auto"/>
              <w:right w:val="single" w:sz="4" w:space="0" w:color="auto"/>
            </w:tcBorders>
            <w:shd w:val="clear" w:color="auto" w:fill="C6EFCE"/>
            <w:noWrap/>
          </w:tcPr>
          <w:p w14:paraId="146C0768" w14:textId="77777777" w:rsidR="002D49B0" w:rsidRPr="00083739" w:rsidRDefault="002D49B0">
            <w:pPr>
              <w:spacing w:before="120" w:after="0" w:line="240" w:lineRule="auto"/>
              <w:rPr>
                <w:rFonts w:ascii="Times New Roman" w:eastAsia="Times New Roman" w:hAnsi="Times New Roman" w:cs="Times New Roman"/>
                <w:noProof/>
                <w:color w:val="006100"/>
                <w:sz w:val="18"/>
                <w:szCs w:val="18"/>
                <w:lang w:val="sk-SK"/>
              </w:rPr>
            </w:pPr>
          </w:p>
        </w:tc>
        <w:tc>
          <w:tcPr>
            <w:tcW w:w="846" w:type="dxa"/>
            <w:tcBorders>
              <w:top w:val="nil"/>
              <w:left w:val="nil"/>
              <w:bottom w:val="single" w:sz="4" w:space="0" w:color="auto"/>
              <w:right w:val="single" w:sz="4" w:space="0" w:color="auto"/>
            </w:tcBorders>
            <w:shd w:val="clear" w:color="auto" w:fill="C6EFCE"/>
            <w:noWrap/>
          </w:tcPr>
          <w:p w14:paraId="0F64DFCD"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83" w:type="dxa"/>
            <w:tcBorders>
              <w:top w:val="nil"/>
              <w:left w:val="nil"/>
              <w:bottom w:val="single" w:sz="4" w:space="0" w:color="auto"/>
              <w:right w:val="single" w:sz="4" w:space="0" w:color="auto"/>
            </w:tcBorders>
            <w:shd w:val="clear" w:color="auto" w:fill="C6EFCE"/>
            <w:noWrap/>
          </w:tcPr>
          <w:p w14:paraId="2BEA65BC"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2024</w:t>
            </w:r>
          </w:p>
        </w:tc>
        <w:tc>
          <w:tcPr>
            <w:tcW w:w="3117" w:type="dxa"/>
            <w:tcBorders>
              <w:top w:val="nil"/>
              <w:left w:val="nil"/>
              <w:bottom w:val="single" w:sz="4" w:space="0" w:color="auto"/>
              <w:right w:val="single" w:sz="4" w:space="0" w:color="auto"/>
            </w:tcBorders>
            <w:shd w:val="clear" w:color="auto" w:fill="C6EFCE"/>
            <w:noWrap/>
          </w:tcPr>
          <w:p w14:paraId="1B018BA5" w14:textId="012B9565" w:rsidR="002D49B0" w:rsidRPr="00083739" w:rsidRDefault="00BF4125">
            <w:pPr>
              <w:pStyle w:val="P68B1DB1-Normal9"/>
              <w:spacing w:before="120" w:after="0" w:line="240" w:lineRule="auto"/>
              <w:rPr>
                <w:rFonts w:ascii="Times New Roman" w:hAnsi="Times New Roman" w:cs="Times New Roman"/>
                <w:noProof/>
                <w:lang w:val="sk-SK"/>
              </w:rPr>
            </w:pPr>
            <w:r w:rsidRPr="00083739">
              <w:rPr>
                <w:rFonts w:ascii="Times New Roman" w:hAnsi="Times New Roman" w:cs="Times New Roman"/>
                <w:noProof/>
                <w:lang w:val="sk-SK"/>
              </w:rPr>
              <w:t>Dokončenie týchto projektov:</w:t>
            </w:r>
          </w:p>
          <w:p w14:paraId="66E3F543" w14:textId="7DD4929B" w:rsidR="002D49B0" w:rsidRPr="00083739" w:rsidRDefault="00BF4125">
            <w:pPr>
              <w:pStyle w:val="P68B1DB1-Normal9"/>
              <w:spacing w:before="120" w:after="0" w:line="240" w:lineRule="auto"/>
              <w:rPr>
                <w:rFonts w:ascii="Times New Roman" w:hAnsi="Times New Roman" w:cs="Times New Roman"/>
                <w:noProof/>
                <w:lang w:val="sk-SK"/>
              </w:rPr>
            </w:pPr>
            <w:r w:rsidRPr="00083739">
              <w:rPr>
                <w:rFonts w:ascii="Times New Roman" w:hAnsi="Times New Roman" w:cs="Times New Roman"/>
                <w:noProof/>
                <w:lang w:val="sk-SK"/>
              </w:rPr>
              <w:t>1. Digitalizácia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systém správy dokumentov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legálnej migrácie ministerstva pre migráciu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azyl.</w:t>
            </w:r>
          </w:p>
          <w:p w14:paraId="5A4DA1DB" w14:textId="030616C9"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 Vytvorenie integrovaných služieb digitálnej migrácie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služieb infraštruktúry kybernetickej bezpečnosti.</w:t>
            </w:r>
          </w:p>
          <w:p w14:paraId="0A5B9A50" w14:textId="1F496E02" w:rsidR="00083739" w:rsidRPr="00083739" w:rsidRDefault="00BF4125">
            <w:pPr>
              <w:pStyle w:val="P68B1DB1-Normal9"/>
              <w:spacing w:before="120" w:after="0" w:line="240" w:lineRule="auto"/>
              <w:rPr>
                <w:rFonts w:ascii="Times New Roman" w:hAnsi="Times New Roman" w:cs="Times New Roman"/>
                <w:noProof/>
                <w:lang w:val="sk-SK"/>
              </w:rPr>
            </w:pPr>
            <w:r w:rsidRPr="00083739">
              <w:rPr>
                <w:rFonts w:ascii="Times New Roman" w:hAnsi="Times New Roman" w:cs="Times New Roman"/>
                <w:noProof/>
                <w:lang w:val="sk-SK"/>
              </w:rPr>
              <w:t>3. Vytvorenie integrovaného systému hlásenia požiarov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včasného varovania</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lesnej o</w:t>
            </w:r>
            <w:r w:rsidRPr="00083739">
              <w:rPr>
                <w:rFonts w:ascii="Times New Roman" w:hAnsi="Times New Roman" w:cs="Times New Roman"/>
                <w:noProof/>
                <w:lang w:val="sk-SK"/>
              </w:rPr>
              <w:t>blasti Vastria na ostrove Lesbos,</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ktorom sa nachádza utečenecký tábor</w:t>
            </w:r>
            <w:r w:rsidR="00083739" w:rsidRPr="00083739">
              <w:rPr>
                <w:rFonts w:ascii="Times New Roman" w:hAnsi="Times New Roman" w:cs="Times New Roman"/>
                <w:noProof/>
                <w:lang w:val="sk-SK"/>
              </w:rPr>
              <w:t>.</w:t>
            </w:r>
          </w:p>
          <w:p w14:paraId="1B5D7EB0" w14:textId="3A3B8A5F" w:rsidR="002D49B0" w:rsidRPr="00083739" w:rsidRDefault="00BF4125">
            <w:pPr>
              <w:pStyle w:val="P68B1DB1-Normal9"/>
              <w:spacing w:before="120" w:after="0" w:line="240" w:lineRule="auto"/>
              <w:rPr>
                <w:rFonts w:ascii="Times New Roman" w:hAnsi="Times New Roman" w:cs="Times New Roman"/>
                <w:noProof/>
                <w:lang w:val="sk-SK"/>
              </w:rPr>
            </w:pPr>
            <w:r w:rsidRPr="00083739">
              <w:rPr>
                <w:rFonts w:ascii="Times New Roman" w:hAnsi="Times New Roman" w:cs="Times New Roman"/>
                <w:noProof/>
                <w:szCs w:val="18"/>
                <w:lang w:val="sk-SK"/>
              </w:rPr>
              <w:t xml:space="preserve">4. </w:t>
            </w:r>
            <w:r w:rsidRPr="00083739">
              <w:rPr>
                <w:rFonts w:ascii="Times New Roman" w:hAnsi="Times New Roman" w:cs="Times New Roman"/>
                <w:noProof/>
                <w:lang w:val="sk-SK"/>
              </w:rPr>
              <w:t>Vytvorenie systému riadenia žiadateľov</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azyl (Hyperion).</w:t>
            </w:r>
          </w:p>
          <w:p w14:paraId="2D0A76CC" w14:textId="387F59F9" w:rsidR="002D49B0" w:rsidRPr="00083739" w:rsidRDefault="00BF4125">
            <w:pPr>
              <w:pStyle w:val="P68B1DB1-Normal10"/>
              <w:spacing w:before="120" w:after="0" w:line="240" w:lineRule="auto"/>
              <w:rPr>
                <w:rFonts w:ascii="Times New Roman" w:hAnsi="Times New Roman" w:cs="Times New Roman"/>
                <w:noProof/>
                <w:lang w:val="sk-SK"/>
              </w:rPr>
            </w:pPr>
            <w:r w:rsidRPr="00083739">
              <w:rPr>
                <w:rFonts w:ascii="Times New Roman" w:hAnsi="Times New Roman" w:cs="Times New Roman"/>
                <w:noProof/>
                <w:lang w:val="sk-SK"/>
              </w:rPr>
              <w:t>5. Vytvorenie integrovaného digitálneho elektronického</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fyzického systému riadenia bezpečnosti (KENTAVROS).</w:t>
            </w:r>
          </w:p>
          <w:p w14:paraId="6F47301D" w14:textId="5DAAB02F" w:rsidR="002D49B0" w:rsidRPr="00083739" w:rsidRDefault="00BF4125">
            <w:pPr>
              <w:pStyle w:val="P68B1DB1-Normal10"/>
              <w:spacing w:before="120"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 xml:space="preserve">6. </w:t>
            </w:r>
            <w:r w:rsidRPr="00083739">
              <w:rPr>
                <w:rFonts w:ascii="Times New Roman" w:hAnsi="Times New Roman" w:cs="Times New Roman"/>
                <w:noProof/>
                <w:lang w:val="sk-SK"/>
              </w:rPr>
              <w:t>Poskytovanie vysokorýchlostného internetu do dočasných ubytovacích zariadení (REA)</w:t>
            </w:r>
          </w:p>
        </w:tc>
      </w:tr>
      <w:tr w:rsidR="002D49B0" w:rsidRPr="00083739" w14:paraId="0BCBFF2B" w14:textId="77777777">
        <w:trPr>
          <w:trHeight w:val="309"/>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3DF52DC6"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186</w:t>
            </w:r>
          </w:p>
        </w:tc>
        <w:tc>
          <w:tcPr>
            <w:tcW w:w="1582" w:type="dxa"/>
            <w:tcBorders>
              <w:top w:val="single" w:sz="4" w:space="0" w:color="auto"/>
              <w:left w:val="nil"/>
              <w:bottom w:val="single" w:sz="4" w:space="0" w:color="auto"/>
              <w:right w:val="single" w:sz="4" w:space="0" w:color="auto"/>
            </w:tcBorders>
            <w:shd w:val="clear" w:color="auto" w:fill="C6EFCE"/>
            <w:noWrap/>
          </w:tcPr>
          <w:p w14:paraId="01E9DA5A" w14:textId="35C69DB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11 – 3.4. Zlepšenie prístupu</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účinným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inkluzívnym sociálnym politikám – 16922_Sociálna integrácia</w:t>
            </w:r>
          </w:p>
        </w:tc>
        <w:tc>
          <w:tcPr>
            <w:tcW w:w="966" w:type="dxa"/>
            <w:tcBorders>
              <w:top w:val="single" w:sz="4" w:space="0" w:color="auto"/>
              <w:left w:val="nil"/>
              <w:bottom w:val="single" w:sz="4" w:space="0" w:color="auto"/>
              <w:right w:val="single" w:sz="4" w:space="0" w:color="auto"/>
            </w:tcBorders>
            <w:shd w:val="clear" w:color="auto" w:fill="C6EFCE"/>
            <w:noWrap/>
          </w:tcPr>
          <w:p w14:paraId="036A64DF"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Cieľ</w:t>
            </w:r>
          </w:p>
        </w:tc>
        <w:tc>
          <w:tcPr>
            <w:tcW w:w="2107" w:type="dxa"/>
            <w:tcBorders>
              <w:top w:val="single" w:sz="4" w:space="0" w:color="auto"/>
              <w:left w:val="nil"/>
              <w:bottom w:val="single" w:sz="4" w:space="0" w:color="auto"/>
              <w:right w:val="single" w:sz="4" w:space="0" w:color="auto"/>
            </w:tcBorders>
            <w:shd w:val="clear" w:color="auto" w:fill="C6EFCE"/>
            <w:noWrap/>
          </w:tcPr>
          <w:p w14:paraId="23AC7F01"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Dokončenie rekonštrukcie bytu na sociálne bývanie </w:t>
            </w:r>
          </w:p>
        </w:tc>
        <w:tc>
          <w:tcPr>
            <w:tcW w:w="1766" w:type="dxa"/>
            <w:tcBorders>
              <w:top w:val="single" w:sz="4" w:space="0" w:color="auto"/>
              <w:left w:val="nil"/>
              <w:bottom w:val="single" w:sz="4" w:space="0" w:color="auto"/>
              <w:right w:val="single" w:sz="4" w:space="0" w:color="auto"/>
            </w:tcBorders>
            <w:shd w:val="clear" w:color="auto" w:fill="C6EFCE"/>
            <w:noWrap/>
          </w:tcPr>
          <w:p w14:paraId="2B91187B" w14:textId="77777777" w:rsidR="002D49B0" w:rsidRPr="00083739" w:rsidRDefault="002D49B0">
            <w:pPr>
              <w:spacing w:before="120" w:after="0" w:line="240" w:lineRule="auto"/>
              <w:rPr>
                <w:rFonts w:ascii="Times New Roman" w:eastAsia="Times New Roman" w:hAnsi="Times New Roman" w:cs="Times New Roman"/>
                <w:noProof/>
                <w:color w:val="006100"/>
                <w:sz w:val="18"/>
                <w:szCs w:val="18"/>
                <w:lang w:val="sk-SK"/>
              </w:rPr>
            </w:pPr>
          </w:p>
        </w:tc>
        <w:tc>
          <w:tcPr>
            <w:tcW w:w="1404" w:type="dxa"/>
            <w:tcBorders>
              <w:top w:val="single" w:sz="4" w:space="0" w:color="auto"/>
              <w:left w:val="nil"/>
              <w:bottom w:val="single" w:sz="4" w:space="0" w:color="auto"/>
              <w:right w:val="single" w:sz="4" w:space="0" w:color="auto"/>
            </w:tcBorders>
            <w:shd w:val="clear" w:color="auto" w:fill="C6EFCE"/>
            <w:noWrap/>
          </w:tcPr>
          <w:p w14:paraId="7864EA14"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Počet </w:t>
            </w:r>
            <w:r w:rsidRPr="00083739">
              <w:rPr>
                <w:rFonts w:ascii="Times New Roman" w:hAnsi="Times New Roman" w:cs="Times New Roman"/>
                <w:noProof/>
                <w:lang w:val="sk-SK"/>
              </w:rPr>
              <w:t>renovovaných bytov pripravených na poskytnutie príjemcom</w:t>
            </w:r>
          </w:p>
        </w:tc>
        <w:tc>
          <w:tcPr>
            <w:tcW w:w="1035" w:type="dxa"/>
            <w:tcBorders>
              <w:top w:val="single" w:sz="4" w:space="0" w:color="auto"/>
              <w:left w:val="nil"/>
              <w:bottom w:val="single" w:sz="4" w:space="0" w:color="auto"/>
              <w:right w:val="single" w:sz="4" w:space="0" w:color="auto"/>
            </w:tcBorders>
            <w:shd w:val="clear" w:color="auto" w:fill="C6EFCE"/>
            <w:noWrap/>
          </w:tcPr>
          <w:p w14:paraId="5274FD15"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0</w:t>
            </w:r>
          </w:p>
        </w:tc>
        <w:tc>
          <w:tcPr>
            <w:tcW w:w="1097" w:type="dxa"/>
            <w:tcBorders>
              <w:top w:val="single" w:sz="4" w:space="0" w:color="auto"/>
              <w:left w:val="nil"/>
              <w:bottom w:val="single" w:sz="4" w:space="0" w:color="auto"/>
              <w:right w:val="single" w:sz="4" w:space="0" w:color="auto"/>
            </w:tcBorders>
            <w:shd w:val="clear" w:color="auto" w:fill="C6EFCE"/>
            <w:noWrap/>
          </w:tcPr>
          <w:p w14:paraId="6D1E01F1" w14:textId="7835E685"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50</w:t>
            </w:r>
          </w:p>
          <w:p w14:paraId="333D694C" w14:textId="77777777" w:rsidR="002D49B0" w:rsidRPr="00083739" w:rsidRDefault="002D49B0">
            <w:pPr>
              <w:spacing w:before="120" w:after="0" w:line="240" w:lineRule="auto"/>
              <w:rPr>
                <w:rFonts w:ascii="Times New Roman" w:eastAsia="Times New Roman" w:hAnsi="Times New Roman" w:cs="Times New Roman"/>
                <w:noProof/>
                <w:color w:val="006100"/>
                <w:sz w:val="18"/>
                <w:szCs w:val="18"/>
                <w:lang w:val="sk-SK"/>
              </w:rPr>
            </w:pPr>
          </w:p>
        </w:tc>
        <w:tc>
          <w:tcPr>
            <w:tcW w:w="846" w:type="dxa"/>
            <w:tcBorders>
              <w:top w:val="single" w:sz="4" w:space="0" w:color="auto"/>
              <w:left w:val="nil"/>
              <w:bottom w:val="single" w:sz="4" w:space="0" w:color="auto"/>
              <w:right w:val="single" w:sz="4" w:space="0" w:color="auto"/>
            </w:tcBorders>
            <w:shd w:val="clear" w:color="auto" w:fill="C6EFCE"/>
            <w:noWrap/>
          </w:tcPr>
          <w:p w14:paraId="55FD4E11" w14:textId="77777777" w:rsidR="002D49B0" w:rsidRPr="00083739" w:rsidRDefault="00BF4125">
            <w:pPr>
              <w:pStyle w:val="P68B1DB1-Normal9"/>
              <w:spacing w:before="120" w:after="0" w:line="240" w:lineRule="auto"/>
              <w:rPr>
                <w:rFonts w:ascii="Times New Roman" w:hAnsi="Times New Roman" w:cs="Times New Roman"/>
                <w:noProof/>
                <w:lang w:val="sk-SK"/>
              </w:rPr>
            </w:pPr>
            <w:r w:rsidRPr="00083739">
              <w:rPr>
                <w:rFonts w:ascii="Times New Roman" w:hAnsi="Times New Roman" w:cs="Times New Roman"/>
                <w:noProof/>
                <w:lang w:val="sk-SK"/>
              </w:rPr>
              <w:t>DRUHÝ ŠTVRŤROK</w:t>
            </w:r>
          </w:p>
        </w:tc>
        <w:tc>
          <w:tcPr>
            <w:tcW w:w="783" w:type="dxa"/>
            <w:tcBorders>
              <w:top w:val="single" w:sz="4" w:space="0" w:color="auto"/>
              <w:left w:val="nil"/>
              <w:bottom w:val="single" w:sz="4" w:space="0" w:color="auto"/>
              <w:right w:val="single" w:sz="4" w:space="0" w:color="auto"/>
            </w:tcBorders>
            <w:shd w:val="clear" w:color="auto" w:fill="C6EFCE"/>
            <w:noWrap/>
          </w:tcPr>
          <w:p w14:paraId="71A8CAA0" w14:textId="77777777" w:rsidR="002D49B0" w:rsidRPr="00083739" w:rsidRDefault="00BF4125">
            <w:pPr>
              <w:pStyle w:val="P68B1DB1-Normal9"/>
              <w:spacing w:before="120" w:after="0" w:line="240" w:lineRule="auto"/>
              <w:rPr>
                <w:rFonts w:ascii="Times New Roman" w:hAnsi="Times New Roman" w:cs="Times New Roman"/>
                <w:noProof/>
                <w:lang w:val="sk-SK"/>
              </w:rPr>
            </w:pPr>
            <w:r w:rsidRPr="00083739">
              <w:rPr>
                <w:rFonts w:ascii="Times New Roman" w:hAnsi="Times New Roman" w:cs="Times New Roman"/>
                <w:noProof/>
                <w:lang w:val="sk-SK"/>
              </w:rPr>
              <w:t>2025</w:t>
            </w:r>
          </w:p>
        </w:tc>
        <w:tc>
          <w:tcPr>
            <w:tcW w:w="3117" w:type="dxa"/>
            <w:tcBorders>
              <w:top w:val="single" w:sz="4" w:space="0" w:color="auto"/>
              <w:left w:val="nil"/>
              <w:bottom w:val="single" w:sz="4" w:space="0" w:color="auto"/>
              <w:right w:val="single" w:sz="4" w:space="0" w:color="auto"/>
            </w:tcBorders>
            <w:shd w:val="clear" w:color="auto" w:fill="C6EFCE"/>
            <w:noWrap/>
          </w:tcPr>
          <w:p w14:paraId="45D479EF" w14:textId="77777777" w:rsidR="00083739" w:rsidRPr="00083739" w:rsidRDefault="00BF4125">
            <w:pPr>
              <w:pStyle w:val="P68B1DB1-Normal9"/>
              <w:spacing w:before="120" w:after="0" w:line="240" w:lineRule="auto"/>
              <w:rPr>
                <w:rFonts w:ascii="Times New Roman" w:hAnsi="Times New Roman" w:cs="Times New Roman"/>
                <w:noProof/>
                <w:lang w:val="sk-SK"/>
              </w:rPr>
            </w:pPr>
            <w:r w:rsidRPr="00083739">
              <w:rPr>
                <w:rFonts w:ascii="Times New Roman" w:hAnsi="Times New Roman" w:cs="Times New Roman"/>
                <w:noProof/>
                <w:lang w:val="sk-SK"/>
              </w:rPr>
              <w:t>Dokončenie programu renovácie 50 bytov pre 175 príjemcov</w:t>
            </w:r>
            <w:r w:rsidR="00083739" w:rsidRPr="00083739">
              <w:rPr>
                <w:rFonts w:ascii="Times New Roman" w:hAnsi="Times New Roman" w:cs="Times New Roman"/>
                <w:noProof/>
                <w:lang w:val="sk-SK"/>
              </w:rPr>
              <w:t>.</w:t>
            </w:r>
          </w:p>
          <w:p w14:paraId="00BDC8C6" w14:textId="773BA276"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Cieľom opatrenia je poskytnúť podporu pri bývaní najzraniteľnejším skupinám, ktoré sú ohrozené bezdomovectvom alebo</w:t>
            </w:r>
            <w:r w:rsidRPr="00083739">
              <w:rPr>
                <w:rFonts w:ascii="Times New Roman" w:hAnsi="Times New Roman" w:cs="Times New Roman"/>
                <w:noProof/>
                <w:lang w:val="sk-SK"/>
              </w:rPr>
              <w:t xml:space="preserve"> ktorým bezdomovectvo čelí.</w:t>
            </w:r>
          </w:p>
        </w:tc>
      </w:tr>
      <w:tr w:rsidR="002D49B0" w:rsidRPr="00083739" w14:paraId="523A9EA2" w14:textId="77777777">
        <w:trPr>
          <w:trHeight w:val="309"/>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2C08C0AF"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186a</w:t>
            </w:r>
          </w:p>
        </w:tc>
        <w:tc>
          <w:tcPr>
            <w:tcW w:w="1582" w:type="dxa"/>
            <w:tcBorders>
              <w:top w:val="single" w:sz="4" w:space="0" w:color="auto"/>
              <w:left w:val="nil"/>
              <w:bottom w:val="single" w:sz="4" w:space="0" w:color="auto"/>
              <w:right w:val="single" w:sz="4" w:space="0" w:color="auto"/>
            </w:tcBorders>
            <w:shd w:val="clear" w:color="auto" w:fill="C6EFCE"/>
            <w:noWrap/>
          </w:tcPr>
          <w:p w14:paraId="66D4B10E" w14:textId="6E18EF91"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11 – 3.4. Zlepšenie prístupu</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účinným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inkluzívnym sociálnym politikám – 16922_Sociálna integrácia</w:t>
            </w:r>
          </w:p>
        </w:tc>
        <w:tc>
          <w:tcPr>
            <w:tcW w:w="966" w:type="dxa"/>
            <w:tcBorders>
              <w:top w:val="single" w:sz="4" w:space="0" w:color="auto"/>
              <w:left w:val="nil"/>
              <w:bottom w:val="single" w:sz="4" w:space="0" w:color="auto"/>
              <w:right w:val="single" w:sz="4" w:space="0" w:color="auto"/>
            </w:tcBorders>
            <w:shd w:val="clear" w:color="auto" w:fill="C6EFCE"/>
            <w:noWrap/>
          </w:tcPr>
          <w:p w14:paraId="0899667B"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2107" w:type="dxa"/>
            <w:tcBorders>
              <w:top w:val="single" w:sz="4" w:space="0" w:color="auto"/>
              <w:left w:val="nil"/>
              <w:bottom w:val="single" w:sz="4" w:space="0" w:color="auto"/>
              <w:right w:val="single" w:sz="4" w:space="0" w:color="auto"/>
            </w:tcBorders>
            <w:shd w:val="clear" w:color="auto" w:fill="C6EFCE"/>
            <w:noWrap/>
          </w:tcPr>
          <w:p w14:paraId="7FFD2631"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Sociálna integrácia zraniteľných skupín, digitálna odborná príprava</w:t>
            </w:r>
          </w:p>
        </w:tc>
        <w:tc>
          <w:tcPr>
            <w:tcW w:w="1766" w:type="dxa"/>
            <w:tcBorders>
              <w:top w:val="single" w:sz="4" w:space="0" w:color="auto"/>
              <w:left w:val="nil"/>
              <w:bottom w:val="single" w:sz="4" w:space="0" w:color="auto"/>
              <w:right w:val="single" w:sz="4" w:space="0" w:color="auto"/>
            </w:tcBorders>
            <w:shd w:val="clear" w:color="auto" w:fill="C6EFCE"/>
            <w:noWrap/>
          </w:tcPr>
          <w:p w14:paraId="2DAF17C5" w14:textId="467DA45E"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Správa ministerstva sociálnej súdržnosti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rodiny potvrdzujúca dokončenie projektu</w:t>
            </w:r>
          </w:p>
        </w:tc>
        <w:tc>
          <w:tcPr>
            <w:tcW w:w="1404" w:type="dxa"/>
            <w:tcBorders>
              <w:top w:val="single" w:sz="4" w:space="0" w:color="auto"/>
              <w:left w:val="nil"/>
              <w:bottom w:val="single" w:sz="4" w:space="0" w:color="auto"/>
              <w:right w:val="single" w:sz="4" w:space="0" w:color="auto"/>
            </w:tcBorders>
            <w:shd w:val="clear" w:color="auto" w:fill="C6EFCE"/>
            <w:noWrap/>
          </w:tcPr>
          <w:p w14:paraId="312F9EAF" w14:textId="77777777" w:rsidR="002D49B0" w:rsidRPr="00083739" w:rsidRDefault="002D49B0">
            <w:pPr>
              <w:spacing w:before="120" w:after="0" w:line="240" w:lineRule="auto"/>
              <w:rPr>
                <w:rFonts w:ascii="Times New Roman" w:eastAsia="Times New Roman" w:hAnsi="Times New Roman" w:cs="Times New Roman"/>
                <w:noProof/>
                <w:color w:val="006100"/>
                <w:sz w:val="18"/>
                <w:szCs w:val="18"/>
                <w:lang w:val="sk-SK"/>
              </w:rPr>
            </w:pPr>
          </w:p>
        </w:tc>
        <w:tc>
          <w:tcPr>
            <w:tcW w:w="1035" w:type="dxa"/>
            <w:tcBorders>
              <w:top w:val="single" w:sz="4" w:space="0" w:color="auto"/>
              <w:left w:val="nil"/>
              <w:bottom w:val="single" w:sz="4" w:space="0" w:color="auto"/>
              <w:right w:val="single" w:sz="4" w:space="0" w:color="auto"/>
            </w:tcBorders>
            <w:shd w:val="clear" w:color="auto" w:fill="C6EFCE"/>
            <w:noWrap/>
          </w:tcPr>
          <w:p w14:paraId="0AE7694F" w14:textId="77777777" w:rsidR="002D49B0" w:rsidRPr="00083739" w:rsidRDefault="002D49B0">
            <w:pPr>
              <w:spacing w:before="120" w:after="0" w:line="240" w:lineRule="auto"/>
              <w:rPr>
                <w:rFonts w:ascii="Times New Roman" w:eastAsia="Times New Roman" w:hAnsi="Times New Roman" w:cs="Times New Roman"/>
                <w:noProof/>
                <w:color w:val="006100"/>
                <w:sz w:val="18"/>
                <w:szCs w:val="18"/>
                <w:lang w:val="sk-SK"/>
              </w:rPr>
            </w:pPr>
          </w:p>
        </w:tc>
        <w:tc>
          <w:tcPr>
            <w:tcW w:w="1097" w:type="dxa"/>
            <w:tcBorders>
              <w:top w:val="single" w:sz="4" w:space="0" w:color="auto"/>
              <w:left w:val="nil"/>
              <w:bottom w:val="single" w:sz="4" w:space="0" w:color="auto"/>
              <w:right w:val="single" w:sz="4" w:space="0" w:color="auto"/>
            </w:tcBorders>
            <w:shd w:val="clear" w:color="auto" w:fill="C6EFCE"/>
            <w:noWrap/>
          </w:tcPr>
          <w:p w14:paraId="6ABFA4FC" w14:textId="77777777" w:rsidR="002D49B0" w:rsidRPr="00083739" w:rsidRDefault="002D49B0">
            <w:pPr>
              <w:spacing w:before="120" w:after="0" w:line="240" w:lineRule="auto"/>
              <w:rPr>
                <w:rFonts w:ascii="Times New Roman" w:eastAsia="Times New Roman" w:hAnsi="Times New Roman" w:cs="Times New Roman"/>
                <w:noProof/>
                <w:color w:val="006100"/>
                <w:sz w:val="18"/>
                <w:szCs w:val="18"/>
                <w:lang w:val="sk-SK"/>
              </w:rPr>
            </w:pPr>
          </w:p>
        </w:tc>
        <w:tc>
          <w:tcPr>
            <w:tcW w:w="846" w:type="dxa"/>
            <w:tcBorders>
              <w:top w:val="single" w:sz="4" w:space="0" w:color="auto"/>
              <w:left w:val="nil"/>
              <w:bottom w:val="single" w:sz="4" w:space="0" w:color="auto"/>
              <w:right w:val="single" w:sz="4" w:space="0" w:color="auto"/>
            </w:tcBorders>
            <w:shd w:val="clear" w:color="auto" w:fill="C6EFCE"/>
            <w:noWrap/>
          </w:tcPr>
          <w:p w14:paraId="5529349B"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83" w:type="dxa"/>
            <w:tcBorders>
              <w:top w:val="single" w:sz="4" w:space="0" w:color="auto"/>
              <w:left w:val="nil"/>
              <w:bottom w:val="single" w:sz="4" w:space="0" w:color="auto"/>
              <w:right w:val="single" w:sz="4" w:space="0" w:color="auto"/>
            </w:tcBorders>
            <w:shd w:val="clear" w:color="auto" w:fill="C6EFCE"/>
            <w:noWrap/>
          </w:tcPr>
          <w:p w14:paraId="28D40F14" w14:textId="77777777" w:rsidR="002D49B0" w:rsidRPr="00083739" w:rsidRDefault="00BF4125">
            <w:pPr>
              <w:pStyle w:val="P68B1DB1-Normal33"/>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3117" w:type="dxa"/>
            <w:tcBorders>
              <w:top w:val="single" w:sz="4" w:space="0" w:color="auto"/>
              <w:left w:val="nil"/>
              <w:bottom w:val="single" w:sz="4" w:space="0" w:color="auto"/>
              <w:right w:val="single" w:sz="4" w:space="0" w:color="auto"/>
            </w:tcBorders>
            <w:shd w:val="clear" w:color="auto" w:fill="C6EFCE"/>
            <w:noWrap/>
          </w:tcPr>
          <w:p w14:paraId="7CB8A263" w14:textId="6BFE1DC2" w:rsidR="002D49B0" w:rsidRPr="00083739" w:rsidRDefault="00BF4125">
            <w:pPr>
              <w:pStyle w:val="P68B1DB1-Normal35"/>
              <w:spacing w:before="120" w:after="0" w:line="240" w:lineRule="auto"/>
              <w:rPr>
                <w:rFonts w:ascii="Times New Roman" w:eastAsia="Times New Roman" w:hAnsi="Times New Roman" w:cs="Times New Roman"/>
                <w:noProof/>
                <w:color w:val="006100"/>
                <w:szCs w:val="18"/>
                <w:lang w:val="sk-SK"/>
              </w:rPr>
            </w:pPr>
            <w:r w:rsidRPr="00083739">
              <w:rPr>
                <w:rFonts w:ascii="Times New Roman" w:hAnsi="Times New Roman" w:cs="Times New Roman"/>
                <w:noProof/>
                <w:color w:val="006100"/>
                <w:lang w:val="sk-SK"/>
              </w:rPr>
              <w:t>Dokončenie digitálnej odbornej prípravy pre 3000 starších osôb</w:t>
            </w:r>
            <w:r w:rsidR="00083739" w:rsidRPr="00083739">
              <w:rPr>
                <w:rFonts w:ascii="Times New Roman" w:hAnsi="Times New Roman" w:cs="Times New Roman"/>
                <w:noProof/>
                <w:color w:val="006100"/>
                <w:lang w:val="sk-SK"/>
              </w:rPr>
              <w:t xml:space="preserve"> a </w:t>
            </w:r>
            <w:r w:rsidRPr="00083739">
              <w:rPr>
                <w:rFonts w:ascii="Times New Roman" w:hAnsi="Times New Roman" w:cs="Times New Roman"/>
                <w:noProof/>
                <w:color w:val="006100"/>
                <w:lang w:val="sk-SK"/>
              </w:rPr>
              <w:t>2400 osôb so zdravotným postihnutím.</w:t>
            </w:r>
            <w:r w:rsidRPr="00083739">
              <w:rPr>
                <w:rFonts w:ascii="Times New Roman" w:hAnsi="Times New Roman" w:cs="Times New Roman"/>
                <w:noProof/>
                <w:color w:val="881798"/>
                <w:lang w:val="sk-SK"/>
              </w:rPr>
              <w:t xml:space="preserve"> </w:t>
            </w:r>
          </w:p>
        </w:tc>
      </w:tr>
      <w:tr w:rsidR="002D49B0" w:rsidRPr="00083739" w14:paraId="26CD5582" w14:textId="77777777">
        <w:trPr>
          <w:trHeight w:val="309"/>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2DE491A2"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187</w:t>
            </w:r>
          </w:p>
        </w:tc>
        <w:tc>
          <w:tcPr>
            <w:tcW w:w="1582" w:type="dxa"/>
            <w:tcBorders>
              <w:top w:val="single" w:sz="4" w:space="0" w:color="auto"/>
              <w:left w:val="nil"/>
              <w:bottom w:val="single" w:sz="4" w:space="0" w:color="auto"/>
              <w:right w:val="single" w:sz="4" w:space="0" w:color="auto"/>
            </w:tcBorders>
            <w:shd w:val="clear" w:color="auto" w:fill="C6EFCE"/>
            <w:noWrap/>
          </w:tcPr>
          <w:p w14:paraId="5E618AC3" w14:textId="77777777" w:rsidR="00083739" w:rsidRPr="00083739" w:rsidRDefault="00BF4125">
            <w:pPr>
              <w:pStyle w:val="P68B1DB1-Normal9"/>
              <w:spacing w:before="120" w:after="120" w:line="240" w:lineRule="auto"/>
              <w:rPr>
                <w:rFonts w:ascii="Times New Roman" w:hAnsi="Times New Roman" w:cs="Times New Roman"/>
                <w:noProof/>
                <w:lang w:val="sk-SK"/>
              </w:rPr>
            </w:pPr>
            <w:r w:rsidRPr="00083739">
              <w:rPr>
                <w:rFonts w:ascii="Times New Roman" w:hAnsi="Times New Roman" w:cs="Times New Roman"/>
                <w:noProof/>
                <w:lang w:val="sk-SK"/>
              </w:rPr>
              <w:t>11 – 3.4. Zlepšiť prístup</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účinným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inkluzívnym sociálnym politikám – 16688: </w:t>
            </w:r>
            <w:r w:rsidRPr="00083739">
              <w:rPr>
                <w:rFonts w:ascii="Times New Roman" w:hAnsi="Times New Roman" w:cs="Times New Roman"/>
                <w:noProof/>
                <w:lang w:val="sk-SK"/>
              </w:rPr>
              <w:t>Podporovať integráciu utečencov do trhu práce</w:t>
            </w:r>
          </w:p>
          <w:p w14:paraId="6CEA5EE2" w14:textId="252D855A" w:rsidR="002D49B0" w:rsidRPr="00083739" w:rsidRDefault="002D49B0">
            <w:pPr>
              <w:spacing w:before="120" w:after="0" w:line="240" w:lineRule="auto"/>
              <w:rPr>
                <w:rFonts w:ascii="Times New Roman" w:eastAsia="Times New Roman" w:hAnsi="Times New Roman" w:cs="Times New Roman"/>
                <w:noProof/>
                <w:color w:val="006100"/>
                <w:sz w:val="18"/>
                <w:szCs w:val="18"/>
                <w:lang w:val="sk-SK"/>
              </w:rPr>
            </w:pPr>
          </w:p>
        </w:tc>
        <w:tc>
          <w:tcPr>
            <w:tcW w:w="966" w:type="dxa"/>
            <w:tcBorders>
              <w:top w:val="single" w:sz="4" w:space="0" w:color="auto"/>
              <w:left w:val="nil"/>
              <w:bottom w:val="single" w:sz="4" w:space="0" w:color="auto"/>
              <w:right w:val="single" w:sz="4" w:space="0" w:color="auto"/>
            </w:tcBorders>
            <w:shd w:val="clear" w:color="auto" w:fill="C6EFCE"/>
            <w:noWrap/>
          </w:tcPr>
          <w:p w14:paraId="7646E2A8"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Cieľ</w:t>
            </w:r>
          </w:p>
        </w:tc>
        <w:tc>
          <w:tcPr>
            <w:tcW w:w="2107" w:type="dxa"/>
            <w:tcBorders>
              <w:top w:val="single" w:sz="4" w:space="0" w:color="auto"/>
              <w:left w:val="nil"/>
              <w:bottom w:val="single" w:sz="4" w:space="0" w:color="auto"/>
              <w:right w:val="single" w:sz="4" w:space="0" w:color="auto"/>
            </w:tcBorders>
            <w:shd w:val="clear" w:color="auto" w:fill="C6EFCE"/>
            <w:noWrap/>
          </w:tcPr>
          <w:p w14:paraId="1872503A"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Integrácia utečencov na trhu práce</w:t>
            </w:r>
          </w:p>
        </w:tc>
        <w:tc>
          <w:tcPr>
            <w:tcW w:w="1766" w:type="dxa"/>
            <w:tcBorders>
              <w:top w:val="single" w:sz="4" w:space="0" w:color="auto"/>
              <w:left w:val="nil"/>
              <w:bottom w:val="single" w:sz="4" w:space="0" w:color="auto"/>
              <w:right w:val="single" w:sz="4" w:space="0" w:color="auto"/>
            </w:tcBorders>
            <w:shd w:val="clear" w:color="auto" w:fill="C6EFCE"/>
            <w:noWrap/>
          </w:tcPr>
          <w:p w14:paraId="747C8B06" w14:textId="77777777" w:rsidR="002D49B0" w:rsidRPr="00083739" w:rsidRDefault="002D49B0">
            <w:pPr>
              <w:spacing w:before="120" w:after="0" w:line="240" w:lineRule="auto"/>
              <w:rPr>
                <w:rFonts w:ascii="Times New Roman" w:eastAsia="Times New Roman" w:hAnsi="Times New Roman" w:cs="Times New Roman"/>
                <w:noProof/>
                <w:color w:val="006100"/>
                <w:sz w:val="18"/>
                <w:szCs w:val="18"/>
                <w:lang w:val="sk-SK"/>
              </w:rPr>
            </w:pPr>
          </w:p>
        </w:tc>
        <w:tc>
          <w:tcPr>
            <w:tcW w:w="1404" w:type="dxa"/>
            <w:tcBorders>
              <w:top w:val="single" w:sz="4" w:space="0" w:color="auto"/>
              <w:left w:val="nil"/>
              <w:bottom w:val="single" w:sz="4" w:space="0" w:color="auto"/>
              <w:right w:val="single" w:sz="4" w:space="0" w:color="auto"/>
            </w:tcBorders>
            <w:shd w:val="clear" w:color="auto" w:fill="C6EFCE"/>
            <w:noWrap/>
          </w:tcPr>
          <w:p w14:paraId="68EE49BB" w14:textId="34DC9DA0"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Počet utečencov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konkrétnych utečencov vrátane osôb, ktorým bola priznaná medzinárodná ochrana,</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pobytom buď</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ubytovacích zariadeniach ministerstva pre migráciu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azyl, alebo</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mestskej oblasti, osôb požívajúcich dočasnú ochranu,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teda aj Ukrajincov, osôb</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oprávneným pobytom (legálnych migrantov)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žiadateľov</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azyl</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súvislosti</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predintegráciou, ktorí absolvovali odbornú prípravu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stáže </w:t>
            </w:r>
          </w:p>
        </w:tc>
        <w:tc>
          <w:tcPr>
            <w:tcW w:w="1035" w:type="dxa"/>
            <w:tcBorders>
              <w:top w:val="single" w:sz="4" w:space="0" w:color="auto"/>
              <w:left w:val="nil"/>
              <w:bottom w:val="single" w:sz="4" w:space="0" w:color="auto"/>
              <w:right w:val="single" w:sz="4" w:space="0" w:color="auto"/>
            </w:tcBorders>
            <w:shd w:val="clear" w:color="auto" w:fill="C6EFCE"/>
            <w:noWrap/>
          </w:tcPr>
          <w:p w14:paraId="188F8226"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0</w:t>
            </w:r>
          </w:p>
        </w:tc>
        <w:tc>
          <w:tcPr>
            <w:tcW w:w="1097" w:type="dxa"/>
            <w:tcBorders>
              <w:top w:val="single" w:sz="4" w:space="0" w:color="auto"/>
              <w:left w:val="nil"/>
              <w:bottom w:val="single" w:sz="4" w:space="0" w:color="auto"/>
              <w:right w:val="single" w:sz="4" w:space="0" w:color="auto"/>
            </w:tcBorders>
            <w:shd w:val="clear" w:color="auto" w:fill="C6EFCE"/>
            <w:noWrap/>
          </w:tcPr>
          <w:p w14:paraId="54809EE8" w14:textId="0C830F4C"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3600</w:t>
            </w:r>
          </w:p>
        </w:tc>
        <w:tc>
          <w:tcPr>
            <w:tcW w:w="846" w:type="dxa"/>
            <w:tcBorders>
              <w:top w:val="single" w:sz="4" w:space="0" w:color="auto"/>
              <w:left w:val="nil"/>
              <w:bottom w:val="single" w:sz="4" w:space="0" w:color="auto"/>
              <w:right w:val="single" w:sz="4" w:space="0" w:color="auto"/>
            </w:tcBorders>
            <w:shd w:val="clear" w:color="auto" w:fill="C6EFCE"/>
            <w:noWrap/>
          </w:tcPr>
          <w:p w14:paraId="655CFF79"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83" w:type="dxa"/>
            <w:tcBorders>
              <w:top w:val="single" w:sz="4" w:space="0" w:color="auto"/>
              <w:left w:val="nil"/>
              <w:bottom w:val="single" w:sz="4" w:space="0" w:color="auto"/>
              <w:right w:val="single" w:sz="4" w:space="0" w:color="auto"/>
            </w:tcBorders>
            <w:shd w:val="clear" w:color="auto" w:fill="C6EFCE"/>
            <w:noWrap/>
          </w:tcPr>
          <w:p w14:paraId="3BC1B2F4" w14:textId="77777777"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3117" w:type="dxa"/>
            <w:tcBorders>
              <w:top w:val="single" w:sz="4" w:space="0" w:color="auto"/>
              <w:left w:val="nil"/>
              <w:bottom w:val="single" w:sz="4" w:space="0" w:color="auto"/>
              <w:right w:val="single" w:sz="4" w:space="0" w:color="auto"/>
            </w:tcBorders>
            <w:shd w:val="clear" w:color="auto" w:fill="C6EFCE"/>
            <w:noWrap/>
          </w:tcPr>
          <w:p w14:paraId="10FB06FF" w14:textId="31ACB3B3"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Ukončenie programov odbornej prípravy pre najmenej 3600 utečencov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konkrétnych utečencov vrátane osôb, ktorým bola priznaná medzinárodná ochrana,</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pobytom buď</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ubytovacích zariadeniach ministerstva pre migráciu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azyl, alebo</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mestskej oblasti, osô</w:t>
            </w:r>
            <w:r w:rsidRPr="00083739">
              <w:rPr>
                <w:rFonts w:ascii="Times New Roman" w:hAnsi="Times New Roman" w:cs="Times New Roman"/>
                <w:noProof/>
                <w:lang w:val="sk-SK"/>
              </w:rPr>
              <w:t>b požívajúcich dočasnú ochranu,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teda aj Ukrajincov, osôb</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oprávneným pobytom (legálnych migrantov)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žiadateľov</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azyl</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súvislosti</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predintegráciou,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1800 účastníkov absolvuje stáž.</w:t>
            </w:r>
          </w:p>
          <w:p w14:paraId="09481BA3" w14:textId="68D35B73" w:rsidR="002D49B0" w:rsidRPr="00083739" w:rsidRDefault="00BF4125">
            <w:pPr>
              <w:pStyle w:val="P68B1DB1-Normal9"/>
              <w:spacing w:before="120"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Správa Medzinárodnej organizácie pre migráciu (IOM)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ministerstva p</w:t>
            </w:r>
            <w:r w:rsidRPr="00083739">
              <w:rPr>
                <w:rFonts w:ascii="Times New Roman" w:hAnsi="Times New Roman" w:cs="Times New Roman"/>
                <w:noProof/>
                <w:lang w:val="sk-SK"/>
              </w:rPr>
              <w:t>re migráciu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azyl potvrdzujúca úspešné dokončenie projektu pre uvedený počet utečencov.</w:t>
            </w:r>
          </w:p>
          <w:p w14:paraId="2E58FC21" w14:textId="7F1CCAA7" w:rsidR="002D49B0" w:rsidRPr="00083739" w:rsidRDefault="002D49B0">
            <w:pPr>
              <w:spacing w:before="120" w:after="0" w:line="240" w:lineRule="auto"/>
              <w:rPr>
                <w:rFonts w:ascii="Times New Roman" w:eastAsia="Times New Roman" w:hAnsi="Times New Roman" w:cs="Times New Roman"/>
                <w:noProof/>
                <w:color w:val="006100"/>
                <w:sz w:val="18"/>
                <w:szCs w:val="18"/>
                <w:lang w:val="sk-SK"/>
              </w:rPr>
            </w:pPr>
          </w:p>
        </w:tc>
      </w:tr>
    </w:tbl>
    <w:p w14:paraId="6D7945FC" w14:textId="77777777" w:rsidR="002D49B0" w:rsidRPr="00083739" w:rsidRDefault="002D49B0">
      <w:pPr>
        <w:tabs>
          <w:tab w:val="left" w:pos="3423"/>
        </w:tabs>
        <w:spacing w:before="120" w:after="120" w:line="240" w:lineRule="auto"/>
        <w:jc w:val="both"/>
        <w:rPr>
          <w:rFonts w:ascii="Times New Roman" w:hAnsi="Times New Roman" w:cs="Times New Roman"/>
          <w:noProof/>
          <w:sz w:val="24"/>
          <w:lang w:val="sk-SK"/>
        </w:rPr>
        <w:sectPr w:rsidR="002D49B0" w:rsidRPr="00083739" w:rsidSect="00271D33">
          <w:headerReference w:type="even" r:id="rId193"/>
          <w:headerReference w:type="default" r:id="rId194"/>
          <w:footerReference w:type="even" r:id="rId195"/>
          <w:footerReference w:type="default" r:id="rId196"/>
          <w:headerReference w:type="first" r:id="rId197"/>
          <w:footerReference w:type="first" r:id="rId198"/>
          <w:pgSz w:w="16839" w:h="11907" w:orient="landscape"/>
          <w:pgMar w:top="720" w:right="720" w:bottom="720" w:left="720" w:header="709" w:footer="75" w:gutter="0"/>
          <w:cols w:space="720"/>
          <w:docGrid w:linePitch="360"/>
        </w:sectPr>
      </w:pPr>
    </w:p>
    <w:p w14:paraId="607ED7E5" w14:textId="77777777" w:rsidR="002D49B0" w:rsidRPr="00083739" w:rsidRDefault="002D49B0">
      <w:pPr>
        <w:spacing w:before="120" w:after="120" w:line="240" w:lineRule="auto"/>
        <w:ind w:left="709"/>
        <w:jc w:val="both"/>
        <w:rPr>
          <w:rFonts w:ascii="Times New Roman" w:hAnsi="Times New Roman" w:cs="Times New Roman"/>
          <w:noProof/>
          <w:sz w:val="24"/>
          <w:lang w:val="sk-SK"/>
        </w:rPr>
      </w:pPr>
    </w:p>
    <w:p w14:paraId="14D326DB" w14:textId="77777777" w:rsidR="00083739" w:rsidRPr="00083739" w:rsidRDefault="00BF4125">
      <w:pPr>
        <w:spacing w:before="120" w:after="120" w:line="240" w:lineRule="auto"/>
        <w:jc w:val="both"/>
        <w:rPr>
          <w:rFonts w:ascii="Times New Roman" w:hAnsi="Times New Roman" w:cs="Times New Roman"/>
          <w:b/>
          <w:noProof/>
          <w:sz w:val="24"/>
          <w:szCs w:val="24"/>
          <w:u w:val="single"/>
          <w:lang w:val="sk-SK"/>
        </w:rPr>
      </w:pPr>
      <w:r w:rsidRPr="00083739">
        <w:rPr>
          <w:rFonts w:ascii="Times New Roman" w:hAnsi="Times New Roman" w:cs="Times New Roman"/>
          <w:b/>
          <w:noProof/>
          <w:sz w:val="24"/>
          <w:szCs w:val="24"/>
          <w:u w:val="single"/>
          <w:lang w:val="sk-SK"/>
        </w:rPr>
        <w:t xml:space="preserve">K.3. </w:t>
      </w:r>
      <w:r w:rsidRPr="00083739">
        <w:rPr>
          <w:rFonts w:ascii="Times New Roman" w:hAnsi="Times New Roman" w:cs="Times New Roman"/>
          <w:noProof/>
          <w:lang w:val="sk-SK"/>
        </w:rPr>
        <w:t xml:space="preserve"> </w:t>
      </w:r>
      <w:r w:rsidRPr="00083739">
        <w:rPr>
          <w:rFonts w:ascii="Times New Roman" w:hAnsi="Times New Roman" w:cs="Times New Roman"/>
          <w:b/>
          <w:noProof/>
          <w:sz w:val="24"/>
          <w:szCs w:val="24"/>
          <w:u w:val="single"/>
          <w:lang w:val="sk-SK"/>
        </w:rPr>
        <w:t>Opis reforiem</w:t>
      </w:r>
      <w:r w:rsidR="00083739" w:rsidRPr="00083739">
        <w:rPr>
          <w:rFonts w:ascii="Times New Roman" w:hAnsi="Times New Roman" w:cs="Times New Roman"/>
          <w:b/>
          <w:noProof/>
          <w:sz w:val="24"/>
          <w:szCs w:val="24"/>
          <w:u w:val="single"/>
          <w:lang w:val="sk-SK"/>
        </w:rPr>
        <w:t xml:space="preserve"> a </w:t>
      </w:r>
      <w:r w:rsidRPr="00083739">
        <w:rPr>
          <w:rFonts w:ascii="Times New Roman" w:hAnsi="Times New Roman" w:cs="Times New Roman"/>
          <w:b/>
          <w:noProof/>
          <w:sz w:val="24"/>
          <w:szCs w:val="24"/>
          <w:u w:val="single"/>
          <w:lang w:val="sk-SK"/>
        </w:rPr>
        <w:t>investícií</w:t>
      </w:r>
      <w:r w:rsidR="00083739" w:rsidRPr="00083739">
        <w:rPr>
          <w:rFonts w:ascii="Times New Roman" w:hAnsi="Times New Roman" w:cs="Times New Roman"/>
          <w:b/>
          <w:noProof/>
          <w:sz w:val="24"/>
          <w:szCs w:val="24"/>
          <w:u w:val="single"/>
          <w:lang w:val="sk-SK"/>
        </w:rPr>
        <w:t xml:space="preserve"> v </w:t>
      </w:r>
      <w:r w:rsidRPr="00083739">
        <w:rPr>
          <w:rFonts w:ascii="Times New Roman" w:hAnsi="Times New Roman" w:cs="Times New Roman"/>
          <w:b/>
          <w:noProof/>
          <w:sz w:val="24"/>
          <w:szCs w:val="24"/>
          <w:u w:val="single"/>
          <w:lang w:val="sk-SK"/>
        </w:rPr>
        <w:t>rámci úverového financovania</w:t>
      </w:r>
    </w:p>
    <w:p w14:paraId="70935D10" w14:textId="086B3B6B"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Program cenovo dostupného bývania Môj domov II (opatrenie ID 16400)</w:t>
      </w:r>
    </w:p>
    <w:p w14:paraId="606624AC" w14:textId="49151259" w:rsidR="002D49B0" w:rsidRPr="00083739" w:rsidRDefault="00BF4125">
      <w:pPr>
        <w:pStyle w:val="P68B1DB1-Normal11"/>
        <w:spacing w:line="240" w:lineRule="auto"/>
        <w:jc w:val="both"/>
        <w:rPr>
          <w:rFonts w:ascii="Times New Roman" w:hAnsi="Times New Roman" w:cs="Times New Roman"/>
          <w:noProof/>
          <w:szCs w:val="24"/>
          <w:lang w:val="sk-SK"/>
        </w:rPr>
      </w:pPr>
      <w:r w:rsidRPr="00083739">
        <w:rPr>
          <w:rFonts w:ascii="Times New Roman" w:hAnsi="Times New Roman" w:cs="Times New Roman"/>
          <w:noProof/>
          <w:szCs w:val="24"/>
          <w:lang w:val="sk-SK"/>
        </w:rPr>
        <w:t>Toto opatrenie pozostáva</w:t>
      </w:r>
      <w:r w:rsidR="00083739" w:rsidRPr="00083739">
        <w:rPr>
          <w:rFonts w:ascii="Times New Roman" w:hAnsi="Times New Roman" w:cs="Times New Roman"/>
          <w:noProof/>
          <w:szCs w:val="24"/>
          <w:lang w:val="sk-SK"/>
        </w:rPr>
        <w:t xml:space="preserve"> z </w:t>
      </w:r>
      <w:r w:rsidRPr="00083739">
        <w:rPr>
          <w:rFonts w:ascii="Times New Roman" w:hAnsi="Times New Roman" w:cs="Times New Roman"/>
          <w:noProof/>
          <w:szCs w:val="24"/>
          <w:lang w:val="sk-SK"/>
        </w:rPr>
        <w:t>verejných investícií do nástroja „</w:t>
      </w:r>
      <w:r w:rsidRPr="00083739">
        <w:rPr>
          <w:rFonts w:ascii="Times New Roman" w:hAnsi="Times New Roman" w:cs="Times New Roman"/>
          <w:noProof/>
          <w:lang w:val="sk-SK"/>
        </w:rPr>
        <w:t>Môj domov</w:t>
      </w:r>
      <w:r w:rsidRPr="00083739">
        <w:rPr>
          <w:rFonts w:ascii="Times New Roman" w:hAnsi="Times New Roman" w:cs="Times New Roman"/>
          <w:noProof/>
          <w:szCs w:val="24"/>
          <w:lang w:val="sk-SK"/>
        </w:rPr>
        <w:t>II“</w:t>
      </w:r>
      <w:r w:rsidR="00083739" w:rsidRPr="00083739">
        <w:rPr>
          <w:rFonts w:ascii="Times New Roman" w:hAnsi="Times New Roman" w:cs="Times New Roman"/>
          <w:noProof/>
          <w:szCs w:val="24"/>
          <w:lang w:val="sk-SK"/>
        </w:rPr>
        <w:t xml:space="preserve"> s </w:t>
      </w:r>
      <w:r w:rsidRPr="00083739">
        <w:rPr>
          <w:rFonts w:ascii="Times New Roman" w:hAnsi="Times New Roman" w:cs="Times New Roman"/>
          <w:noProof/>
          <w:szCs w:val="24"/>
          <w:lang w:val="sk-SK"/>
        </w:rPr>
        <w:t>cieľom stimulovať súkromné investície</w:t>
      </w:r>
      <w:r w:rsidR="00083739" w:rsidRPr="00083739">
        <w:rPr>
          <w:rFonts w:ascii="Times New Roman" w:hAnsi="Times New Roman" w:cs="Times New Roman"/>
          <w:noProof/>
          <w:szCs w:val="24"/>
          <w:lang w:val="sk-SK"/>
        </w:rPr>
        <w:t xml:space="preserve"> a </w:t>
      </w:r>
      <w:r w:rsidRPr="00083739">
        <w:rPr>
          <w:rFonts w:ascii="Times New Roman" w:hAnsi="Times New Roman" w:cs="Times New Roman"/>
          <w:noProof/>
          <w:szCs w:val="24"/>
          <w:lang w:val="sk-SK"/>
        </w:rPr>
        <w:t>zlepšiť prístup</w:t>
      </w:r>
      <w:r w:rsidR="00083739" w:rsidRPr="00083739">
        <w:rPr>
          <w:rFonts w:ascii="Times New Roman" w:hAnsi="Times New Roman" w:cs="Times New Roman"/>
          <w:noProof/>
          <w:szCs w:val="24"/>
          <w:lang w:val="sk-SK"/>
        </w:rPr>
        <w:t xml:space="preserve"> k </w:t>
      </w:r>
      <w:r w:rsidRPr="00083739">
        <w:rPr>
          <w:rFonts w:ascii="Times New Roman" w:hAnsi="Times New Roman" w:cs="Times New Roman"/>
          <w:noProof/>
          <w:szCs w:val="24"/>
          <w:lang w:val="sk-SK"/>
        </w:rPr>
        <w:t>financovaniu</w:t>
      </w:r>
      <w:r w:rsidR="00083739" w:rsidRPr="00083739">
        <w:rPr>
          <w:rFonts w:ascii="Times New Roman" w:hAnsi="Times New Roman" w:cs="Times New Roman"/>
          <w:noProof/>
          <w:szCs w:val="24"/>
          <w:lang w:val="sk-SK"/>
        </w:rPr>
        <w:t xml:space="preserve"> v </w:t>
      </w:r>
      <w:r w:rsidRPr="00083739">
        <w:rPr>
          <w:rFonts w:ascii="Times New Roman" w:hAnsi="Times New Roman" w:cs="Times New Roman"/>
          <w:noProof/>
          <w:szCs w:val="24"/>
          <w:lang w:val="sk-SK"/>
        </w:rPr>
        <w:t xml:space="preserve">gréckom sektore bývania. Nástroj </w:t>
      </w:r>
      <w:r w:rsidRPr="00083739">
        <w:rPr>
          <w:rFonts w:ascii="Times New Roman" w:hAnsi="Times New Roman" w:cs="Times New Roman"/>
          <w:noProof/>
          <w:szCs w:val="24"/>
          <w:lang w:val="sk-SK"/>
        </w:rPr>
        <w:t>funguje tak, že poskytuje úvery priamo súkromnému sektoru. Na základe investícií Mechanizmu na podporu obnovy</w:t>
      </w:r>
      <w:r w:rsidR="00083739" w:rsidRPr="00083739">
        <w:rPr>
          <w:rFonts w:ascii="Times New Roman" w:hAnsi="Times New Roman" w:cs="Times New Roman"/>
          <w:noProof/>
          <w:szCs w:val="24"/>
          <w:lang w:val="sk-SK"/>
        </w:rPr>
        <w:t xml:space="preserve"> a </w:t>
      </w:r>
      <w:r w:rsidRPr="00083739">
        <w:rPr>
          <w:rFonts w:ascii="Times New Roman" w:hAnsi="Times New Roman" w:cs="Times New Roman"/>
          <w:noProof/>
          <w:szCs w:val="24"/>
          <w:lang w:val="sk-SK"/>
        </w:rPr>
        <w:t>odolnosti je cieľom nástroja</w:t>
      </w:r>
      <w:r w:rsidRPr="00083739">
        <w:rPr>
          <w:rFonts w:ascii="Times New Roman" w:hAnsi="Times New Roman" w:cs="Times New Roman"/>
          <w:noProof/>
          <w:lang w:val="sk-SK"/>
        </w:rPr>
        <w:t>Môj domov II spočiatku poskytnúť financovanie vo výške najmenej 1000 miliónov EUR.</w:t>
      </w:r>
    </w:p>
    <w:p w14:paraId="007FA177" w14:textId="77777777" w:rsidR="00083739" w:rsidRPr="00083739" w:rsidRDefault="00BF4125">
      <w:pPr>
        <w:pStyle w:val="P68B1DB1-Normal11"/>
        <w:spacing w:line="240" w:lineRule="auto"/>
        <w:jc w:val="both"/>
        <w:rPr>
          <w:rFonts w:ascii="Times New Roman" w:hAnsi="Times New Roman" w:cs="Times New Roman"/>
          <w:noProof/>
          <w:szCs w:val="24"/>
          <w:lang w:val="sk-SK"/>
        </w:rPr>
      </w:pPr>
      <w:r w:rsidRPr="00083739">
        <w:rPr>
          <w:rFonts w:ascii="Times New Roman" w:hAnsi="Times New Roman" w:cs="Times New Roman"/>
          <w:noProof/>
          <w:szCs w:val="24"/>
          <w:lang w:val="sk-SK"/>
        </w:rPr>
        <w:t>Nástroj „</w:t>
      </w:r>
      <w:r w:rsidRPr="00083739">
        <w:rPr>
          <w:rFonts w:ascii="Times New Roman" w:hAnsi="Times New Roman" w:cs="Times New Roman"/>
          <w:noProof/>
          <w:lang w:val="sk-SK"/>
        </w:rPr>
        <w:t>Môj domov</w:t>
      </w:r>
      <w:r w:rsidRPr="00083739">
        <w:rPr>
          <w:rFonts w:ascii="Times New Roman" w:hAnsi="Times New Roman" w:cs="Times New Roman"/>
          <w:noProof/>
          <w:szCs w:val="24"/>
          <w:lang w:val="sk-SK"/>
        </w:rPr>
        <w:t>II“ spravuje He</w:t>
      </w:r>
      <w:r w:rsidRPr="00083739">
        <w:rPr>
          <w:rFonts w:ascii="Times New Roman" w:hAnsi="Times New Roman" w:cs="Times New Roman"/>
          <w:noProof/>
          <w:szCs w:val="24"/>
          <w:lang w:val="sk-SK"/>
        </w:rPr>
        <w:t>lénska rozvojová banka ako implementujúci partner. Nástroj zahŕňa tento rad produktov</w:t>
      </w:r>
      <w:r w:rsidR="00083739" w:rsidRPr="00083739">
        <w:rPr>
          <w:rFonts w:ascii="Times New Roman" w:hAnsi="Times New Roman" w:cs="Times New Roman"/>
          <w:noProof/>
          <w:szCs w:val="24"/>
          <w:lang w:val="sk-SK"/>
        </w:rPr>
        <w:t>:</w:t>
      </w:r>
    </w:p>
    <w:p w14:paraId="2CCF35FA" w14:textId="37DC78C3" w:rsidR="002D49B0" w:rsidRPr="00083739" w:rsidRDefault="00BF4125">
      <w:pPr>
        <w:pStyle w:val="P68B1DB1-LegalNumPar212"/>
        <w:numPr>
          <w:ilvl w:val="1"/>
          <w:numId w:val="95"/>
        </w:numPr>
        <w:jc w:val="both"/>
        <w:rPr>
          <w:noProof/>
          <w:lang w:val="sk-SK"/>
        </w:rPr>
      </w:pPr>
      <w:r w:rsidRPr="00083739">
        <w:rPr>
          <w:noProof/>
          <w:lang w:val="sk-SK"/>
        </w:rPr>
        <w:t>Helénska rozvojová banka vyberie komerčné banky ako finančných sprostredkovateľov, ktorí sa na nástroji zúčastnia otvoreným, transparentným</w:t>
      </w:r>
      <w:r w:rsidR="00083739" w:rsidRPr="00083739">
        <w:rPr>
          <w:noProof/>
          <w:lang w:val="sk-SK"/>
        </w:rPr>
        <w:t xml:space="preserve"> a </w:t>
      </w:r>
      <w:r w:rsidRPr="00083739">
        <w:rPr>
          <w:noProof/>
          <w:lang w:val="sk-SK"/>
        </w:rPr>
        <w:t>nediskriminačným spôsobom p</w:t>
      </w:r>
      <w:r w:rsidRPr="00083739">
        <w:rPr>
          <w:noProof/>
          <w:lang w:val="sk-SK"/>
        </w:rPr>
        <w:t>rostredníctvom verejnej výzvy. Komerčné banky spolufinancujú úvery poskytnuté</w:t>
      </w:r>
      <w:r w:rsidR="00083739" w:rsidRPr="00083739">
        <w:rPr>
          <w:noProof/>
          <w:lang w:val="sk-SK"/>
        </w:rPr>
        <w:t xml:space="preserve"> v </w:t>
      </w:r>
      <w:r w:rsidRPr="00083739">
        <w:rPr>
          <w:noProof/>
          <w:lang w:val="sk-SK"/>
        </w:rPr>
        <w:t>rámci nástroja. Tieto pôžičky sa poskytnú jednotlivcom na nadobudnutie hlavného bydliska. Úverová štruktúra poskytuje 50</w:t>
      </w:r>
      <w:r w:rsidR="00083739" w:rsidRPr="00083739">
        <w:rPr>
          <w:noProof/>
          <w:lang w:val="sk-SK"/>
        </w:rPr>
        <w:t> %</w:t>
      </w:r>
      <w:r w:rsidRPr="00083739">
        <w:rPr>
          <w:noProof/>
          <w:lang w:val="sk-SK"/>
        </w:rPr>
        <w:t xml:space="preserve"> bezúročné financovanie</w:t>
      </w:r>
      <w:r w:rsidR="00083739" w:rsidRPr="00083739">
        <w:rPr>
          <w:noProof/>
          <w:lang w:val="sk-SK"/>
        </w:rPr>
        <w:t xml:space="preserve"> z </w:t>
      </w:r>
      <w:r w:rsidRPr="00083739">
        <w:rPr>
          <w:noProof/>
          <w:lang w:val="sk-SK"/>
        </w:rPr>
        <w:t>nástroja „My Home II“</w:t>
      </w:r>
      <w:r w:rsidR="00083739" w:rsidRPr="00083739">
        <w:rPr>
          <w:noProof/>
          <w:lang w:val="sk-SK"/>
        </w:rPr>
        <w:t xml:space="preserve"> a </w:t>
      </w:r>
      <w:r w:rsidRPr="00083739">
        <w:rPr>
          <w:noProof/>
          <w:lang w:val="sk-SK"/>
        </w:rPr>
        <w:t>50</w:t>
      </w:r>
      <w:r w:rsidR="00083739" w:rsidRPr="00083739">
        <w:rPr>
          <w:noProof/>
          <w:lang w:val="sk-SK"/>
        </w:rPr>
        <w:t> %</w:t>
      </w:r>
      <w:r w:rsidRPr="00083739">
        <w:rPr>
          <w:noProof/>
          <w:lang w:val="sk-SK"/>
        </w:rPr>
        <w:t xml:space="preserve"> financovanie zo strany zúčastnených bánk podľa trhových sadzieb.</w:t>
      </w:r>
    </w:p>
    <w:p w14:paraId="5F2F3C82" w14:textId="33ED7CB4" w:rsidR="002D49B0" w:rsidRPr="00083739" w:rsidRDefault="00BF4125">
      <w:pPr>
        <w:pStyle w:val="P68B1DB1-Normal11"/>
        <w:spacing w:line="240" w:lineRule="auto"/>
        <w:jc w:val="both"/>
        <w:rPr>
          <w:rFonts w:ascii="Times New Roman" w:hAnsi="Times New Roman" w:cs="Times New Roman"/>
          <w:noProof/>
          <w:szCs w:val="24"/>
          <w:lang w:val="sk-SK"/>
        </w:rPr>
      </w:pPr>
      <w:r w:rsidRPr="00083739">
        <w:rPr>
          <w:rFonts w:ascii="Times New Roman" w:hAnsi="Times New Roman" w:cs="Times New Roman"/>
          <w:noProof/>
          <w:szCs w:val="24"/>
          <w:lang w:val="sk-SK"/>
        </w:rPr>
        <w:t>S cieľom realizovať investície do nástroja „</w:t>
      </w:r>
      <w:r w:rsidRPr="00083739">
        <w:rPr>
          <w:rFonts w:ascii="Times New Roman" w:hAnsi="Times New Roman" w:cs="Times New Roman"/>
          <w:noProof/>
          <w:lang w:val="sk-SK"/>
        </w:rPr>
        <w:t>Môj domov II</w:t>
      </w:r>
      <w:r w:rsidRPr="00083739">
        <w:rPr>
          <w:rFonts w:ascii="Times New Roman" w:hAnsi="Times New Roman" w:cs="Times New Roman"/>
          <w:noProof/>
          <w:szCs w:val="24"/>
          <w:lang w:val="sk-SK"/>
        </w:rPr>
        <w:t>“, Grécko</w:t>
      </w:r>
      <w:r w:rsidR="00083739" w:rsidRPr="00083739">
        <w:rPr>
          <w:rFonts w:ascii="Times New Roman" w:hAnsi="Times New Roman" w:cs="Times New Roman"/>
          <w:noProof/>
          <w:szCs w:val="24"/>
          <w:lang w:val="sk-SK"/>
        </w:rPr>
        <w:t xml:space="preserve"> a </w:t>
      </w:r>
      <w:r w:rsidRPr="00083739">
        <w:rPr>
          <w:rFonts w:ascii="Times New Roman" w:hAnsi="Times New Roman" w:cs="Times New Roman"/>
          <w:noProof/>
          <w:szCs w:val="24"/>
          <w:lang w:val="sk-SK"/>
        </w:rPr>
        <w:t>Helénska rozvojová banka podpíšu vykonávaciu dohodu. Vykonávacia dohoda obsahuje tento obsah:</w:t>
      </w:r>
    </w:p>
    <w:p w14:paraId="3231227E" w14:textId="0051C711" w:rsidR="002D49B0" w:rsidRPr="00083739" w:rsidRDefault="00BF4125">
      <w:pPr>
        <w:pStyle w:val="P68B1DB1-LegalNumPar36"/>
        <w:numPr>
          <w:ilvl w:val="0"/>
          <w:numId w:val="97"/>
        </w:numPr>
        <w:jc w:val="both"/>
        <w:rPr>
          <w:rFonts w:ascii="Times New Roman" w:eastAsia="Times New Roman" w:hAnsi="Times New Roman" w:cs="Times New Roman"/>
          <w:noProof/>
          <w:szCs w:val="24"/>
          <w:lang w:val="sk-SK"/>
        </w:rPr>
      </w:pPr>
      <w:r w:rsidRPr="00083739">
        <w:rPr>
          <w:rFonts w:ascii="Times New Roman" w:hAnsi="Times New Roman" w:cs="Times New Roman"/>
          <w:noProof/>
          <w:szCs w:val="24"/>
          <w:lang w:val="sk-SK"/>
        </w:rPr>
        <w:t xml:space="preserve">Opis rozhodovacieho procesu </w:t>
      </w:r>
      <w:r w:rsidRPr="00083739">
        <w:rPr>
          <w:rFonts w:ascii="Times New Roman" w:hAnsi="Times New Roman" w:cs="Times New Roman"/>
          <w:noProof/>
          <w:szCs w:val="24"/>
          <w:lang w:val="sk-SK"/>
        </w:rPr>
        <w:t>nástroja „Môj domov</w:t>
      </w:r>
      <w:r w:rsidRPr="00083739">
        <w:rPr>
          <w:rFonts w:ascii="Times New Roman" w:hAnsi="Times New Roman" w:cs="Times New Roman"/>
          <w:noProof/>
          <w:lang w:val="sk-SK"/>
        </w:rPr>
        <w:t>II</w:t>
      </w:r>
      <w:r w:rsidRPr="00083739">
        <w:rPr>
          <w:rFonts w:ascii="Times New Roman" w:hAnsi="Times New Roman" w:cs="Times New Roman"/>
          <w:noProof/>
          <w:szCs w:val="24"/>
          <w:lang w:val="sk-SK"/>
        </w:rPr>
        <w:t>“. Konečné investičné rozhodnutie nástroja prijíma investičný výbor alebo iný príslušný rovnocenný riadiaci orgán</w:t>
      </w:r>
      <w:r w:rsidR="00083739" w:rsidRPr="00083739">
        <w:rPr>
          <w:rFonts w:ascii="Times New Roman" w:hAnsi="Times New Roman" w:cs="Times New Roman"/>
          <w:noProof/>
          <w:szCs w:val="24"/>
          <w:lang w:val="sk-SK"/>
        </w:rPr>
        <w:t xml:space="preserve"> a </w:t>
      </w:r>
      <w:r w:rsidRPr="00083739">
        <w:rPr>
          <w:rFonts w:ascii="Times New Roman" w:hAnsi="Times New Roman" w:cs="Times New Roman"/>
          <w:noProof/>
          <w:szCs w:val="24"/>
          <w:lang w:val="sk-SK"/>
        </w:rPr>
        <w:t>schvaľuje sa väčšinou hlasov členov, ktorí sú nezávislí od vlády.</w:t>
      </w:r>
    </w:p>
    <w:p w14:paraId="2204F865" w14:textId="25BEC80C" w:rsidR="002D49B0" w:rsidRPr="00083739" w:rsidRDefault="00BF4125">
      <w:pPr>
        <w:pStyle w:val="P68B1DB1-LegalNumPar13"/>
        <w:jc w:val="both"/>
        <w:rPr>
          <w:noProof/>
          <w:lang w:val="sk-SK"/>
        </w:rPr>
      </w:pPr>
      <w:r w:rsidRPr="00083739">
        <w:rPr>
          <w:noProof/>
          <w:lang w:val="sk-SK"/>
        </w:rPr>
        <w:t>Kľúčové požiadavky na finančné produkty,</w:t>
      </w:r>
      <w:r w:rsidRPr="00083739">
        <w:rPr>
          <w:b/>
          <w:noProof/>
          <w:lang w:val="sk-SK"/>
        </w:rPr>
        <w:t xml:space="preserve"> </w:t>
      </w:r>
      <w:r w:rsidRPr="00083739">
        <w:rPr>
          <w:noProof/>
          <w:lang w:val="sk-SK"/>
        </w:rPr>
        <w:t>ktoré zahŕňa</w:t>
      </w:r>
      <w:r w:rsidRPr="00083739">
        <w:rPr>
          <w:noProof/>
          <w:lang w:val="sk-SK"/>
        </w:rPr>
        <w:t>jú:</w:t>
      </w:r>
    </w:p>
    <w:p w14:paraId="33B9EC25" w14:textId="4B01E7A9" w:rsidR="002D49B0" w:rsidRPr="00083739" w:rsidRDefault="00BF4125">
      <w:pPr>
        <w:pStyle w:val="P68B1DB1-LegalNumPar212"/>
        <w:jc w:val="both"/>
        <w:rPr>
          <w:noProof/>
          <w:lang w:val="sk-SK"/>
        </w:rPr>
      </w:pPr>
      <w:r w:rsidRPr="00083739">
        <w:rPr>
          <w:noProof/>
          <w:lang w:val="sk-SK"/>
        </w:rPr>
        <w:t>Opis finančných produktov</w:t>
      </w:r>
      <w:r w:rsidR="00083739" w:rsidRPr="00083739">
        <w:rPr>
          <w:noProof/>
          <w:lang w:val="sk-SK"/>
        </w:rPr>
        <w:t xml:space="preserve"> a </w:t>
      </w:r>
      <w:r w:rsidRPr="00083739">
        <w:rPr>
          <w:noProof/>
          <w:lang w:val="sk-SK"/>
        </w:rPr>
        <w:t>oprávnených konečných príjemcov.</w:t>
      </w:r>
    </w:p>
    <w:p w14:paraId="7EA51CC8" w14:textId="77777777" w:rsidR="002D49B0" w:rsidRPr="00083739" w:rsidRDefault="00BF4125">
      <w:pPr>
        <w:pStyle w:val="P68B1DB1-LegalNumPar212"/>
        <w:jc w:val="both"/>
        <w:rPr>
          <w:noProof/>
          <w:lang w:val="sk-SK"/>
        </w:rPr>
      </w:pPr>
      <w:r w:rsidRPr="00083739">
        <w:rPr>
          <w:noProof/>
          <w:lang w:val="sk-SK"/>
        </w:rPr>
        <w:t>Požiadavka, aby všetky podporované investície boli ekonomicky životaschopné</w:t>
      </w:r>
      <w:r w:rsidRPr="00083739">
        <w:rPr>
          <w:b/>
          <w:noProof/>
          <w:lang w:val="sk-SK"/>
        </w:rPr>
        <w:t>.</w:t>
      </w:r>
    </w:p>
    <w:p w14:paraId="1F4E2097" w14:textId="41993358" w:rsidR="002D49B0" w:rsidRPr="00083739" w:rsidRDefault="00BF4125">
      <w:pPr>
        <w:pStyle w:val="P68B1DB1-LegalNumPar212"/>
        <w:jc w:val="both"/>
        <w:rPr>
          <w:noProof/>
          <w:lang w:val="sk-SK"/>
        </w:rPr>
      </w:pPr>
      <w:r w:rsidRPr="00083739">
        <w:rPr>
          <w:noProof/>
          <w:lang w:val="sk-SK"/>
        </w:rPr>
        <w:t>Požiadavka, aby koneční príjemcovia nástroja nedostali podporu</w:t>
      </w:r>
      <w:r w:rsidR="00083739" w:rsidRPr="00083739">
        <w:rPr>
          <w:noProof/>
          <w:lang w:val="sk-SK"/>
        </w:rPr>
        <w:t xml:space="preserve"> z </w:t>
      </w:r>
      <w:r w:rsidRPr="00083739">
        <w:rPr>
          <w:noProof/>
          <w:lang w:val="sk-SK"/>
        </w:rPr>
        <w:t>iných nástrojov Únie na pokrytie rovnakých náklad</w:t>
      </w:r>
      <w:r w:rsidRPr="00083739">
        <w:rPr>
          <w:noProof/>
          <w:lang w:val="sk-SK"/>
        </w:rPr>
        <w:t>ov.</w:t>
      </w:r>
    </w:p>
    <w:p w14:paraId="1345051E" w14:textId="55119102" w:rsidR="002D49B0" w:rsidRPr="00083739" w:rsidRDefault="00BF4125">
      <w:pPr>
        <w:pStyle w:val="P68B1DB1-LegalNumPar14"/>
        <w:jc w:val="both"/>
        <w:rPr>
          <w:rFonts w:ascii="Times New Roman" w:hAnsi="Times New Roman" w:cs="Times New Roman"/>
          <w:noProof/>
          <w:lang w:val="sk-SK"/>
        </w:rPr>
      </w:pPr>
      <w:r w:rsidRPr="00083739">
        <w:rPr>
          <w:rFonts w:ascii="Times New Roman" w:hAnsi="Times New Roman" w:cs="Times New Roman"/>
          <w:noProof/>
          <w:lang w:val="sk-SK"/>
        </w:rPr>
        <w:t>Suma, na ktorú sa vzťahuje vykonávacia dohoda, štruktúra poplatkov pre implementujúceho partnera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finančných sprostredkovateľov</w:t>
      </w:r>
      <w:r w:rsidR="00083739" w:rsidRPr="00083739">
        <w:rPr>
          <w:rFonts w:ascii="Times New Roman" w:hAnsi="Times New Roman" w:cs="Times New Roman"/>
          <w:noProof/>
          <w:lang w:val="sk-SK"/>
        </w:rPr>
        <w:t xml:space="preserve"> a </w:t>
      </w:r>
      <w:r w:rsidRPr="00083739">
        <w:rPr>
          <w:rFonts w:ascii="Times New Roman" w:eastAsia="Times New Roman" w:hAnsi="Times New Roman" w:cs="Times New Roman"/>
          <w:noProof/>
          <w:color w:val="000000" w:themeColor="text1"/>
          <w:lang w:val="sk-SK"/>
        </w:rPr>
        <w:t>požiadavka reinvestovať akékoľvek spätné toky podľa investičnej politiky mechanizmu, pokiaľ sa nepoužívajú na splácanie ú</w:t>
      </w:r>
      <w:r w:rsidRPr="00083739">
        <w:rPr>
          <w:rFonts w:ascii="Times New Roman" w:eastAsia="Times New Roman" w:hAnsi="Times New Roman" w:cs="Times New Roman"/>
          <w:noProof/>
          <w:color w:val="000000" w:themeColor="text1"/>
          <w:lang w:val="sk-SK"/>
        </w:rPr>
        <w:t>verov</w:t>
      </w:r>
      <w:r w:rsidR="00083739" w:rsidRPr="00083739">
        <w:rPr>
          <w:rFonts w:ascii="Times New Roman" w:eastAsia="Times New Roman" w:hAnsi="Times New Roman" w:cs="Times New Roman"/>
          <w:noProof/>
          <w:color w:val="000000" w:themeColor="text1"/>
          <w:lang w:val="sk-SK"/>
        </w:rPr>
        <w:t xml:space="preserve"> v </w:t>
      </w:r>
      <w:r w:rsidRPr="00083739">
        <w:rPr>
          <w:rFonts w:ascii="Times New Roman" w:eastAsia="Times New Roman" w:hAnsi="Times New Roman" w:cs="Times New Roman"/>
          <w:noProof/>
          <w:color w:val="000000" w:themeColor="text1"/>
          <w:lang w:val="sk-SK"/>
        </w:rPr>
        <w:t>rámci Mechanizmu na podporu obnovy</w:t>
      </w:r>
      <w:r w:rsidR="00083739" w:rsidRPr="00083739">
        <w:rPr>
          <w:rFonts w:ascii="Times New Roman" w:eastAsia="Times New Roman" w:hAnsi="Times New Roman" w:cs="Times New Roman"/>
          <w:noProof/>
          <w:color w:val="000000" w:themeColor="text1"/>
          <w:lang w:val="sk-SK"/>
        </w:rPr>
        <w:t xml:space="preserve"> a </w:t>
      </w:r>
      <w:r w:rsidRPr="00083739">
        <w:rPr>
          <w:rFonts w:ascii="Times New Roman" w:eastAsia="Times New Roman" w:hAnsi="Times New Roman" w:cs="Times New Roman"/>
          <w:noProof/>
          <w:color w:val="000000" w:themeColor="text1"/>
          <w:lang w:val="sk-SK"/>
        </w:rPr>
        <w:t>odolnosti</w:t>
      </w:r>
      <w:r w:rsidRPr="00083739">
        <w:rPr>
          <w:rFonts w:ascii="Times New Roman" w:hAnsi="Times New Roman" w:cs="Times New Roman"/>
          <w:noProof/>
          <w:lang w:val="sk-SK"/>
        </w:rPr>
        <w:t>.</w:t>
      </w:r>
    </w:p>
    <w:p w14:paraId="59E21595" w14:textId="6FF3C594" w:rsidR="002D49B0" w:rsidRPr="00083739" w:rsidRDefault="00BF4125">
      <w:pPr>
        <w:pStyle w:val="P68B1DB1-LegalNumPar13"/>
        <w:jc w:val="both"/>
        <w:rPr>
          <w:noProof/>
          <w:lang w:val="sk-SK"/>
        </w:rPr>
      </w:pPr>
      <w:r w:rsidRPr="00083739">
        <w:rPr>
          <w:noProof/>
          <w:lang w:val="sk-SK"/>
        </w:rPr>
        <w:t>Požiadavky na monitorovanie, audit</w:t>
      </w:r>
      <w:r w:rsidR="00083739" w:rsidRPr="00083739">
        <w:rPr>
          <w:noProof/>
          <w:lang w:val="sk-SK"/>
        </w:rPr>
        <w:t xml:space="preserve"> a </w:t>
      </w:r>
      <w:r w:rsidRPr="00083739">
        <w:rPr>
          <w:noProof/>
          <w:lang w:val="sk-SK"/>
        </w:rPr>
        <w:t>kontrolu vrátane opisu postupov implementujúceho partnera, ktorými sa zabezpečí predchádzanie podvodom, korupcii</w:t>
      </w:r>
      <w:r w:rsidR="00083739" w:rsidRPr="00083739">
        <w:rPr>
          <w:noProof/>
          <w:lang w:val="sk-SK"/>
        </w:rPr>
        <w:t xml:space="preserve"> a </w:t>
      </w:r>
      <w:r w:rsidRPr="00083739">
        <w:rPr>
          <w:noProof/>
          <w:lang w:val="sk-SK"/>
        </w:rPr>
        <w:t>konfliktom záujmov, ich odhaľovanie</w:t>
      </w:r>
      <w:r w:rsidR="00083739" w:rsidRPr="00083739">
        <w:rPr>
          <w:noProof/>
          <w:lang w:val="sk-SK"/>
        </w:rPr>
        <w:t xml:space="preserve"> a </w:t>
      </w:r>
      <w:r w:rsidRPr="00083739">
        <w:rPr>
          <w:noProof/>
          <w:lang w:val="sk-SK"/>
        </w:rPr>
        <w:t>náprava.</w:t>
      </w:r>
    </w:p>
    <w:p w14:paraId="3003F279" w14:textId="77777777" w:rsidR="002D49B0" w:rsidRPr="00083739" w:rsidRDefault="00BF4125">
      <w:pPr>
        <w:pStyle w:val="NormalWeb"/>
        <w:rPr>
          <w:rFonts w:eastAsiaTheme="minorHAnsi"/>
          <w:noProof/>
          <w:lang w:val="sk-SK"/>
        </w:rPr>
      </w:pPr>
      <w:r w:rsidRPr="00083739">
        <w:rPr>
          <w:noProof/>
          <w:lang w:val="sk-SK"/>
        </w:rPr>
        <w:br w:type="page"/>
      </w:r>
    </w:p>
    <w:p w14:paraId="3C47EDFE" w14:textId="364D7E1C" w:rsidR="00083739" w:rsidRPr="00083739" w:rsidRDefault="00BF4125">
      <w:pPr>
        <w:pStyle w:val="P68B1DB1-LegalNumPar13"/>
        <w:jc w:val="both"/>
        <w:rPr>
          <w:noProof/>
          <w:lang w:val="sk-SK"/>
        </w:rPr>
      </w:pPr>
      <w:r w:rsidRPr="00083739">
        <w:rPr>
          <w:noProof/>
          <w:lang w:val="sk-SK"/>
        </w:rPr>
        <w:t>Helénska rozvojová banka podpíše dohody</w:t>
      </w:r>
      <w:r w:rsidR="00083739" w:rsidRPr="00083739">
        <w:rPr>
          <w:noProof/>
          <w:lang w:val="sk-SK"/>
        </w:rPr>
        <w:t xml:space="preserve"> o </w:t>
      </w:r>
      <w:r w:rsidRPr="00083739">
        <w:rPr>
          <w:noProof/>
          <w:lang w:val="sk-SK"/>
        </w:rPr>
        <w:t>financovaní</w:t>
      </w:r>
      <w:r w:rsidR="00083739" w:rsidRPr="00083739">
        <w:rPr>
          <w:noProof/>
          <w:lang w:val="sk-SK"/>
        </w:rPr>
        <w:t xml:space="preserve"> s </w:t>
      </w:r>
      <w:r w:rsidRPr="00083739">
        <w:rPr>
          <w:noProof/>
          <w:lang w:val="sk-SK"/>
        </w:rPr>
        <w:t>finančnými sprostredkovateľmi</w:t>
      </w:r>
      <w:r w:rsidR="00083739" w:rsidRPr="00083739">
        <w:rPr>
          <w:noProof/>
          <w:lang w:val="sk-SK"/>
        </w:rPr>
        <w:t xml:space="preserve"> v </w:t>
      </w:r>
      <w:r w:rsidRPr="00083739">
        <w:rPr>
          <w:noProof/>
          <w:lang w:val="sk-SK"/>
        </w:rPr>
        <w:t>súlade</w:t>
      </w:r>
      <w:r w:rsidR="00083739" w:rsidRPr="00083739">
        <w:rPr>
          <w:noProof/>
          <w:lang w:val="sk-SK"/>
        </w:rPr>
        <w:t xml:space="preserve"> s </w:t>
      </w:r>
      <w:r w:rsidRPr="00083739">
        <w:rPr>
          <w:noProof/>
          <w:lang w:val="sk-SK"/>
        </w:rPr>
        <w:t>kľúčovými požiadavkami, ktoré sa poskytnú ako príloha</w:t>
      </w:r>
      <w:r w:rsidR="00083739" w:rsidRPr="00083739">
        <w:rPr>
          <w:noProof/>
          <w:lang w:val="sk-SK"/>
        </w:rPr>
        <w:t xml:space="preserve"> k </w:t>
      </w:r>
      <w:r w:rsidRPr="00083739">
        <w:rPr>
          <w:noProof/>
          <w:lang w:val="sk-SK"/>
        </w:rPr>
        <w:t>vykonávacej dohode. Kľúčové požiadavky dohôd</w:t>
      </w:r>
      <w:r w:rsidR="00083739" w:rsidRPr="00083739">
        <w:rPr>
          <w:noProof/>
          <w:lang w:val="sk-SK"/>
        </w:rPr>
        <w:t xml:space="preserve"> o </w:t>
      </w:r>
      <w:r w:rsidRPr="00083739">
        <w:rPr>
          <w:noProof/>
          <w:lang w:val="sk-SK"/>
        </w:rPr>
        <w:t>financovaní zahŕňajú všetky požiadavky, na základe ktor</w:t>
      </w:r>
      <w:r w:rsidRPr="00083739">
        <w:rPr>
          <w:noProof/>
          <w:lang w:val="sk-SK"/>
        </w:rPr>
        <w:t>ých nástroj funguje, vrátane</w:t>
      </w:r>
      <w:r w:rsidR="00083739" w:rsidRPr="00083739">
        <w:rPr>
          <w:noProof/>
          <w:lang w:val="sk-SK"/>
        </w:rPr>
        <w:t>:</w:t>
      </w:r>
    </w:p>
    <w:p w14:paraId="563D96AE" w14:textId="0947643A" w:rsidR="002D49B0" w:rsidRPr="00083739" w:rsidRDefault="00BF4125">
      <w:pPr>
        <w:pStyle w:val="P68B1DB1-LegalNumPar212"/>
        <w:numPr>
          <w:ilvl w:val="1"/>
          <w:numId w:val="95"/>
        </w:numPr>
        <w:jc w:val="both"/>
        <w:rPr>
          <w:noProof/>
          <w:lang w:val="sk-SK"/>
        </w:rPr>
      </w:pPr>
      <w:r w:rsidRPr="00083739">
        <w:rPr>
          <w:noProof/>
          <w:lang w:val="sk-SK"/>
        </w:rPr>
        <w:t>Konečné rozhodnutie</w:t>
      </w:r>
      <w:r w:rsidR="00083739" w:rsidRPr="00083739">
        <w:rPr>
          <w:noProof/>
          <w:lang w:val="sk-SK"/>
        </w:rPr>
        <w:t xml:space="preserve"> o </w:t>
      </w:r>
      <w:r w:rsidRPr="00083739">
        <w:rPr>
          <w:noProof/>
          <w:lang w:val="sk-SK"/>
        </w:rPr>
        <w:t>emisiách úverov prijímajú finanční sprostredkovatelia</w:t>
      </w:r>
      <w:r w:rsidR="00083739" w:rsidRPr="00083739">
        <w:rPr>
          <w:noProof/>
          <w:lang w:val="sk-SK"/>
        </w:rPr>
        <w:t xml:space="preserve"> v </w:t>
      </w:r>
      <w:r w:rsidRPr="00083739">
        <w:rPr>
          <w:noProof/>
          <w:lang w:val="sk-SK"/>
        </w:rPr>
        <w:t>súlade so svojimi politikami</w:t>
      </w:r>
      <w:r w:rsidR="00083739" w:rsidRPr="00083739">
        <w:rPr>
          <w:noProof/>
          <w:lang w:val="sk-SK"/>
        </w:rPr>
        <w:t xml:space="preserve"> a </w:t>
      </w:r>
      <w:r w:rsidRPr="00083739">
        <w:rPr>
          <w:noProof/>
          <w:lang w:val="sk-SK"/>
        </w:rPr>
        <w:t>postupmi nezávisle od vlády.</w:t>
      </w:r>
    </w:p>
    <w:p w14:paraId="49A0D40F" w14:textId="2B204868" w:rsidR="00083739" w:rsidRPr="00083739" w:rsidRDefault="00BF4125">
      <w:pPr>
        <w:pStyle w:val="P68B1DB1-LegalNumPar212"/>
        <w:numPr>
          <w:ilvl w:val="1"/>
          <w:numId w:val="95"/>
        </w:numPr>
        <w:jc w:val="both"/>
        <w:rPr>
          <w:noProof/>
          <w:lang w:val="sk-SK"/>
        </w:rPr>
      </w:pPr>
      <w:r w:rsidRPr="00083739">
        <w:rPr>
          <w:noProof/>
          <w:lang w:val="sk-SK"/>
        </w:rPr>
        <w:t>Povinnosť finančných sprostredkovateľov prijímať rozhodnutia</w:t>
      </w:r>
      <w:r w:rsidR="00083739" w:rsidRPr="00083739">
        <w:rPr>
          <w:noProof/>
          <w:lang w:val="sk-SK"/>
        </w:rPr>
        <w:t xml:space="preserve"> v </w:t>
      </w:r>
      <w:r w:rsidRPr="00083739">
        <w:rPr>
          <w:noProof/>
          <w:lang w:val="sk-SK"/>
        </w:rPr>
        <w:t xml:space="preserve">súlade </w:t>
      </w:r>
      <w:r w:rsidRPr="00083739">
        <w:rPr>
          <w:i/>
          <w:noProof/>
          <w:lang w:val="sk-SK"/>
        </w:rPr>
        <w:t>mutatis mutandis</w:t>
      </w:r>
      <w:r w:rsidR="00083739" w:rsidRPr="00083739">
        <w:rPr>
          <w:noProof/>
          <w:lang w:val="sk-SK"/>
        </w:rPr>
        <w:t xml:space="preserve"> s </w:t>
      </w:r>
      <w:r w:rsidRPr="00083739">
        <w:rPr>
          <w:noProof/>
          <w:lang w:val="sk-SK"/>
        </w:rPr>
        <w:t>požiadavkami investičnej politiky uvedenými vyššie</w:t>
      </w:r>
      <w:r w:rsidR="00083739" w:rsidRPr="00083739">
        <w:rPr>
          <w:noProof/>
          <w:lang w:val="sk-SK"/>
        </w:rPr>
        <w:t>.</w:t>
      </w:r>
    </w:p>
    <w:p w14:paraId="57E11EBD" w14:textId="38CEA276" w:rsidR="002D49B0" w:rsidRPr="00083739" w:rsidRDefault="00BF4125">
      <w:pPr>
        <w:pStyle w:val="P68B1DB1-LegalNumPar212"/>
        <w:numPr>
          <w:ilvl w:val="1"/>
          <w:numId w:val="95"/>
        </w:numPr>
        <w:jc w:val="both"/>
        <w:rPr>
          <w:noProof/>
          <w:lang w:val="sk-SK"/>
        </w:rPr>
      </w:pPr>
      <w:r w:rsidRPr="00083739">
        <w:rPr>
          <w:noProof/>
          <w:lang w:val="sk-SK"/>
        </w:rPr>
        <w:t>Požiadavky na monitorovanie, audit</w:t>
      </w:r>
      <w:r w:rsidR="00083739" w:rsidRPr="00083739">
        <w:rPr>
          <w:noProof/>
          <w:lang w:val="sk-SK"/>
        </w:rPr>
        <w:t xml:space="preserve"> a </w:t>
      </w:r>
      <w:r w:rsidRPr="00083739">
        <w:rPr>
          <w:noProof/>
          <w:lang w:val="sk-SK"/>
        </w:rPr>
        <w:t>kontrolu finančných sprostredkovateľov vrátane:</w:t>
      </w:r>
    </w:p>
    <w:p w14:paraId="72651724" w14:textId="62790D6D" w:rsidR="002D49B0" w:rsidRPr="00083739" w:rsidRDefault="00BF4125">
      <w:pPr>
        <w:pStyle w:val="P68B1DB1-LegalNumPar212"/>
        <w:numPr>
          <w:ilvl w:val="2"/>
          <w:numId w:val="96"/>
        </w:numPr>
        <w:jc w:val="both"/>
        <w:rPr>
          <w:noProof/>
          <w:lang w:val="sk-SK"/>
        </w:rPr>
      </w:pPr>
      <w:r w:rsidRPr="00083739">
        <w:rPr>
          <w:noProof/>
          <w:lang w:val="sk-SK"/>
        </w:rPr>
        <w:t>Opis monitorovacieho systému finančných sprostredkovateľov na podávanie správ</w:t>
      </w:r>
      <w:r w:rsidR="00083739" w:rsidRPr="00083739">
        <w:rPr>
          <w:noProof/>
          <w:lang w:val="sk-SK"/>
        </w:rPr>
        <w:t xml:space="preserve"> o </w:t>
      </w:r>
      <w:r w:rsidRPr="00083739">
        <w:rPr>
          <w:noProof/>
          <w:lang w:val="sk-SK"/>
        </w:rPr>
        <w:t>mobilizovaných investíciách.</w:t>
      </w:r>
    </w:p>
    <w:p w14:paraId="6553AEB5" w14:textId="6CC5CD1D" w:rsidR="00083739" w:rsidRPr="00083739" w:rsidRDefault="00BF4125">
      <w:pPr>
        <w:pStyle w:val="P68B1DB1-LegalNumPar212"/>
        <w:numPr>
          <w:ilvl w:val="2"/>
          <w:numId w:val="96"/>
        </w:numPr>
        <w:jc w:val="both"/>
        <w:rPr>
          <w:noProof/>
          <w:lang w:val="sk-SK"/>
        </w:rPr>
      </w:pPr>
      <w:r w:rsidRPr="00083739">
        <w:rPr>
          <w:noProof/>
          <w:lang w:val="sk-SK"/>
        </w:rPr>
        <w:t xml:space="preserve">Opis </w:t>
      </w:r>
      <w:r w:rsidRPr="00083739">
        <w:rPr>
          <w:noProof/>
          <w:lang w:val="sk-SK"/>
        </w:rPr>
        <w:t>postupov finančných sprostredkovateľov, ktorými sa zabezpečí predchádzanie podvodom, korupcii</w:t>
      </w:r>
      <w:r w:rsidR="00083739" w:rsidRPr="00083739">
        <w:rPr>
          <w:noProof/>
          <w:lang w:val="sk-SK"/>
        </w:rPr>
        <w:t xml:space="preserve"> a </w:t>
      </w:r>
      <w:r w:rsidRPr="00083739">
        <w:rPr>
          <w:noProof/>
          <w:lang w:val="sk-SK"/>
        </w:rPr>
        <w:t>konfliktom záujmov, ich odhaľovanie</w:t>
      </w:r>
      <w:r w:rsidR="00083739" w:rsidRPr="00083739">
        <w:rPr>
          <w:noProof/>
          <w:lang w:val="sk-SK"/>
        </w:rPr>
        <w:t xml:space="preserve"> a </w:t>
      </w:r>
      <w:r w:rsidRPr="00083739">
        <w:rPr>
          <w:noProof/>
          <w:lang w:val="sk-SK"/>
        </w:rPr>
        <w:t>náprava</w:t>
      </w:r>
      <w:r w:rsidR="00083739" w:rsidRPr="00083739">
        <w:rPr>
          <w:noProof/>
          <w:lang w:val="sk-SK"/>
        </w:rPr>
        <w:t>.</w:t>
      </w:r>
    </w:p>
    <w:p w14:paraId="48663898" w14:textId="15204FB2" w:rsidR="002D49B0" w:rsidRPr="00083739" w:rsidRDefault="00BF4125">
      <w:pPr>
        <w:pStyle w:val="P68B1DB1-LegalNumPar212"/>
        <w:numPr>
          <w:ilvl w:val="2"/>
          <w:numId w:val="96"/>
        </w:numPr>
        <w:jc w:val="both"/>
        <w:rPr>
          <w:noProof/>
          <w:lang w:val="sk-SK"/>
        </w:rPr>
      </w:pPr>
      <w:r w:rsidRPr="00083739">
        <w:rPr>
          <w:noProof/>
          <w:lang w:val="sk-SK"/>
        </w:rPr>
        <w:t>Povinnosť overiť oprávnenosť každej operácie</w:t>
      </w:r>
      <w:r w:rsidR="00083739" w:rsidRPr="00083739">
        <w:rPr>
          <w:noProof/>
          <w:lang w:val="sk-SK"/>
        </w:rPr>
        <w:t xml:space="preserve"> v </w:t>
      </w:r>
      <w:r w:rsidRPr="00083739">
        <w:rPr>
          <w:noProof/>
          <w:lang w:val="sk-SK"/>
        </w:rPr>
        <w:t>súlade</w:t>
      </w:r>
      <w:r w:rsidR="00083739" w:rsidRPr="00083739">
        <w:rPr>
          <w:noProof/>
          <w:lang w:val="sk-SK"/>
        </w:rPr>
        <w:t xml:space="preserve"> s </w:t>
      </w:r>
      <w:r w:rsidRPr="00083739">
        <w:rPr>
          <w:noProof/>
          <w:lang w:val="sk-SK"/>
        </w:rPr>
        <w:t xml:space="preserve">požiadavkami stanovenými vo vykonávacej dohode pred tým, </w:t>
      </w:r>
      <w:r w:rsidRPr="00083739">
        <w:rPr>
          <w:noProof/>
          <w:lang w:val="sk-SK"/>
        </w:rPr>
        <w:t>ako sa zaviaže financovať operáciu.</w:t>
      </w:r>
    </w:p>
    <w:p w14:paraId="13608282" w14:textId="40A9603C" w:rsidR="00083739" w:rsidRPr="00083739" w:rsidRDefault="00BF4125">
      <w:pPr>
        <w:pStyle w:val="P68B1DB1-LegalNumPar212"/>
        <w:numPr>
          <w:ilvl w:val="2"/>
          <w:numId w:val="96"/>
        </w:numPr>
        <w:jc w:val="both"/>
        <w:rPr>
          <w:noProof/>
          <w:lang w:val="sk-SK"/>
        </w:rPr>
      </w:pPr>
      <w:r w:rsidRPr="00083739">
        <w:rPr>
          <w:noProof/>
          <w:lang w:val="sk-SK"/>
        </w:rPr>
        <w:t>Povinnosť vykonávať ex post audity založené na riziku</w:t>
      </w:r>
      <w:r w:rsidR="00083739" w:rsidRPr="00083739">
        <w:rPr>
          <w:noProof/>
          <w:lang w:val="sk-SK"/>
        </w:rPr>
        <w:t xml:space="preserve"> v </w:t>
      </w:r>
      <w:r w:rsidRPr="00083739">
        <w:rPr>
          <w:noProof/>
          <w:lang w:val="sk-SK"/>
        </w:rPr>
        <w:t>súlade</w:t>
      </w:r>
      <w:r w:rsidR="00083739" w:rsidRPr="00083739">
        <w:rPr>
          <w:noProof/>
          <w:lang w:val="sk-SK"/>
        </w:rPr>
        <w:t xml:space="preserve"> s </w:t>
      </w:r>
      <w:r w:rsidRPr="00083739">
        <w:rPr>
          <w:noProof/>
          <w:lang w:val="sk-SK"/>
        </w:rPr>
        <w:t>plánom auditu finančných sprostredkovateľov. Týmito auditmi sa overia: I) že systémy kontroly sú účinné vrátane odhaľovania podvodov, korupcie</w:t>
      </w:r>
      <w:r w:rsidR="00083739" w:rsidRPr="00083739">
        <w:rPr>
          <w:noProof/>
          <w:lang w:val="sk-SK"/>
        </w:rPr>
        <w:t xml:space="preserve"> a </w:t>
      </w:r>
      <w:r w:rsidRPr="00083739">
        <w:rPr>
          <w:noProof/>
          <w:lang w:val="sk-SK"/>
        </w:rPr>
        <w:t xml:space="preserve">konfliktu </w:t>
      </w:r>
      <w:r w:rsidRPr="00083739">
        <w:rPr>
          <w:noProof/>
          <w:lang w:val="sk-SK"/>
        </w:rPr>
        <w:t>záujmov;</w:t>
      </w:r>
      <w:r w:rsidR="00083739" w:rsidRPr="00083739">
        <w:rPr>
          <w:noProof/>
          <w:lang w:val="sk-SK"/>
        </w:rPr>
        <w:t xml:space="preserve"> a </w:t>
      </w:r>
      <w:r w:rsidRPr="00083739">
        <w:rPr>
          <w:noProof/>
          <w:lang w:val="sk-SK"/>
        </w:rPr>
        <w:t>ii) aby sa dodržala požiadavka, aby koneční príjemcovia nástroja nedostali podporu</w:t>
      </w:r>
      <w:r w:rsidR="00083739" w:rsidRPr="00083739">
        <w:rPr>
          <w:noProof/>
          <w:lang w:val="sk-SK"/>
        </w:rPr>
        <w:t xml:space="preserve"> z </w:t>
      </w:r>
      <w:r w:rsidRPr="00083739">
        <w:rPr>
          <w:noProof/>
          <w:lang w:val="sk-SK"/>
        </w:rPr>
        <w:t>iných nástrojov Únie na pokrytie rovnakých nákladov. Auditom sa takisto overí zákonnosť transakcií</w:t>
      </w:r>
      <w:r w:rsidR="00083739" w:rsidRPr="00083739">
        <w:rPr>
          <w:noProof/>
          <w:lang w:val="sk-SK"/>
        </w:rPr>
        <w:t xml:space="preserve"> a </w:t>
      </w:r>
      <w:r w:rsidRPr="00083739">
        <w:rPr>
          <w:noProof/>
          <w:lang w:val="sk-SK"/>
        </w:rPr>
        <w:t>dodržiavanie podmienok platných dohôd</w:t>
      </w:r>
      <w:r w:rsidR="00083739" w:rsidRPr="00083739">
        <w:rPr>
          <w:noProof/>
          <w:lang w:val="sk-SK"/>
        </w:rPr>
        <w:t>.</w:t>
      </w:r>
    </w:p>
    <w:p w14:paraId="1A4849B5" w14:textId="43D54F1D" w:rsidR="002D49B0" w:rsidRPr="00083739" w:rsidRDefault="00BF4125">
      <w:pPr>
        <w:pStyle w:val="P68B1DB1-Normal15"/>
        <w:spacing w:before="120" w:after="120" w:line="240" w:lineRule="auto"/>
        <w:jc w:val="both"/>
        <w:rPr>
          <w:b/>
          <w:noProof/>
          <w:lang w:val="sk-SK"/>
        </w:rPr>
      </w:pPr>
      <w:r w:rsidRPr="00083739">
        <w:rPr>
          <w:noProof/>
          <w:lang w:val="sk-SK"/>
        </w:rPr>
        <w:t>Vykonávanie opatreni</w:t>
      </w:r>
      <w:r w:rsidRPr="00083739">
        <w:rPr>
          <w:noProof/>
          <w:lang w:val="sk-SK"/>
        </w:rPr>
        <w:t>a sa dokončí do 31</w:t>
      </w:r>
      <w:r w:rsidR="00083739" w:rsidRPr="00083739">
        <w:rPr>
          <w:noProof/>
          <w:lang w:val="sk-SK"/>
        </w:rPr>
        <w:t>. augusta</w:t>
      </w:r>
      <w:r w:rsidRPr="00083739">
        <w:rPr>
          <w:noProof/>
          <w:lang w:val="sk-SK"/>
        </w:rPr>
        <w:t xml:space="preserve"> 2026.</w:t>
      </w:r>
    </w:p>
    <w:p w14:paraId="03864EC4" w14:textId="77777777" w:rsidR="00083739" w:rsidRPr="00083739" w:rsidRDefault="00083739">
      <w:pPr>
        <w:pStyle w:val="P68B1DB1-Normal4"/>
        <w:spacing w:before="120" w:after="120" w:line="240" w:lineRule="auto"/>
        <w:ind w:firstLine="6"/>
        <w:jc w:val="both"/>
        <w:outlineLvl w:val="3"/>
        <w:rPr>
          <w:rFonts w:cs="Times New Roman"/>
          <w:noProof/>
          <w:lang w:val="sk-SK"/>
        </w:rPr>
      </w:pPr>
    </w:p>
    <w:p w14:paraId="488F8310" w14:textId="77777777" w:rsidR="002D49B0" w:rsidRPr="00083739" w:rsidRDefault="002D49B0">
      <w:pPr>
        <w:spacing w:before="120" w:after="120" w:line="240" w:lineRule="auto"/>
        <w:ind w:firstLine="6"/>
        <w:jc w:val="both"/>
        <w:outlineLvl w:val="3"/>
        <w:rPr>
          <w:rFonts w:ascii="Times New Roman" w:hAnsi="Times New Roman" w:cs="Times New Roman"/>
          <w:b/>
          <w:noProof/>
          <w:sz w:val="24"/>
          <w:lang w:val="sk-SK"/>
        </w:rPr>
      </w:pPr>
    </w:p>
    <w:p w14:paraId="44A3D275" w14:textId="77777777" w:rsidR="002D49B0" w:rsidRPr="00083739" w:rsidRDefault="002D49B0">
      <w:pPr>
        <w:spacing w:before="120" w:after="120" w:line="240" w:lineRule="auto"/>
        <w:jc w:val="both"/>
        <w:rPr>
          <w:rFonts w:ascii="Times New Roman" w:hAnsi="Times New Roman" w:cs="Times New Roman"/>
          <w:i/>
          <w:noProof/>
          <w:sz w:val="24"/>
          <w:u w:val="single"/>
          <w:lang w:val="sk-SK"/>
        </w:rPr>
      </w:pPr>
    </w:p>
    <w:p w14:paraId="5BCD9D95" w14:textId="77777777" w:rsidR="002D49B0" w:rsidRPr="00083739" w:rsidRDefault="002D49B0">
      <w:pPr>
        <w:spacing w:after="160" w:line="259" w:lineRule="auto"/>
        <w:ind w:left="709"/>
        <w:contextualSpacing/>
        <w:jc w:val="both"/>
        <w:rPr>
          <w:rFonts w:ascii="Times New Roman" w:hAnsi="Times New Roman" w:cs="Times New Roman"/>
          <w:noProof/>
          <w:lang w:val="sk-SK"/>
        </w:rPr>
      </w:pPr>
    </w:p>
    <w:p w14:paraId="42E3E486" w14:textId="77777777" w:rsidR="002D49B0" w:rsidRPr="00083739" w:rsidRDefault="002D49B0">
      <w:pPr>
        <w:spacing w:after="160" w:line="259" w:lineRule="auto"/>
        <w:ind w:left="709"/>
        <w:contextualSpacing/>
        <w:jc w:val="both"/>
        <w:rPr>
          <w:rFonts w:ascii="Times New Roman" w:hAnsi="Times New Roman" w:cs="Times New Roman"/>
          <w:noProof/>
          <w:lang w:val="sk-SK"/>
        </w:rPr>
        <w:sectPr w:rsidR="002D49B0" w:rsidRPr="00083739" w:rsidSect="004E363A">
          <w:headerReference w:type="even" r:id="rId199"/>
          <w:headerReference w:type="default" r:id="rId200"/>
          <w:footerReference w:type="even" r:id="rId201"/>
          <w:footerReference w:type="default" r:id="rId202"/>
          <w:headerReference w:type="first" r:id="rId203"/>
          <w:footerReference w:type="first" r:id="rId204"/>
          <w:pgSz w:w="11907" w:h="16839"/>
          <w:pgMar w:top="1134" w:right="1417" w:bottom="1134" w:left="1417" w:header="709" w:footer="326" w:gutter="0"/>
          <w:cols w:space="720"/>
          <w:docGrid w:linePitch="360"/>
        </w:sectPr>
      </w:pPr>
    </w:p>
    <w:p w14:paraId="5036C403" w14:textId="77777777" w:rsidR="00083739" w:rsidRPr="00083739" w:rsidRDefault="00BF4125">
      <w:pPr>
        <w:spacing w:before="120" w:after="120" w:line="240" w:lineRule="auto"/>
        <w:ind w:left="709"/>
        <w:jc w:val="both"/>
        <w:rPr>
          <w:rFonts w:ascii="Times New Roman" w:hAnsi="Times New Roman" w:cs="Times New Roman"/>
          <w:b/>
          <w:noProof/>
          <w:sz w:val="24"/>
          <w:u w:val="single"/>
          <w:lang w:val="sk-SK"/>
        </w:rPr>
      </w:pPr>
      <w:r w:rsidRPr="00083739">
        <w:rPr>
          <w:rFonts w:ascii="Times New Roman" w:hAnsi="Times New Roman" w:cs="Times New Roman"/>
          <w:b/>
          <w:noProof/>
          <w:sz w:val="24"/>
          <w:u w:val="single"/>
          <w:lang w:val="sk-SK"/>
        </w:rPr>
        <w:t xml:space="preserve">B.4. </w:t>
      </w:r>
      <w:r w:rsidRPr="00083739">
        <w:rPr>
          <w:rFonts w:ascii="Times New Roman" w:hAnsi="Times New Roman" w:cs="Times New Roman"/>
          <w:noProof/>
          <w:lang w:val="sk-SK"/>
        </w:rPr>
        <w:t xml:space="preserve"> </w:t>
      </w:r>
      <w:r w:rsidRPr="00083739">
        <w:rPr>
          <w:rFonts w:ascii="Times New Roman" w:hAnsi="Times New Roman" w:cs="Times New Roman"/>
          <w:b/>
          <w:noProof/>
          <w:sz w:val="24"/>
          <w:u w:val="single"/>
          <w:lang w:val="sk-SK"/>
        </w:rPr>
        <w:t>Míľniky, ciele, ukazovatele</w:t>
      </w:r>
      <w:r w:rsidR="00083739" w:rsidRPr="00083739">
        <w:rPr>
          <w:rFonts w:ascii="Times New Roman" w:hAnsi="Times New Roman" w:cs="Times New Roman"/>
          <w:b/>
          <w:noProof/>
          <w:sz w:val="24"/>
          <w:u w:val="single"/>
          <w:lang w:val="sk-SK"/>
        </w:rPr>
        <w:t xml:space="preserve"> a </w:t>
      </w:r>
      <w:r w:rsidRPr="00083739">
        <w:rPr>
          <w:rFonts w:ascii="Times New Roman" w:hAnsi="Times New Roman" w:cs="Times New Roman"/>
          <w:b/>
          <w:noProof/>
          <w:sz w:val="24"/>
          <w:u w:val="single"/>
          <w:lang w:val="sk-SK"/>
        </w:rPr>
        <w:t>harmonogram monitorovania</w:t>
      </w:r>
      <w:r w:rsidR="00083739" w:rsidRPr="00083739">
        <w:rPr>
          <w:rFonts w:ascii="Times New Roman" w:hAnsi="Times New Roman" w:cs="Times New Roman"/>
          <w:b/>
          <w:noProof/>
          <w:sz w:val="24"/>
          <w:u w:val="single"/>
          <w:lang w:val="sk-SK"/>
        </w:rPr>
        <w:t xml:space="preserve"> a </w:t>
      </w:r>
      <w:r w:rsidRPr="00083739">
        <w:rPr>
          <w:rFonts w:ascii="Times New Roman" w:hAnsi="Times New Roman" w:cs="Times New Roman"/>
          <w:b/>
          <w:noProof/>
          <w:sz w:val="24"/>
          <w:u w:val="single"/>
          <w:lang w:val="sk-SK"/>
        </w:rPr>
        <w:t>realizácie</w:t>
      </w:r>
      <w:r w:rsidR="00083739" w:rsidRPr="00083739">
        <w:rPr>
          <w:rFonts w:ascii="Times New Roman" w:hAnsi="Times New Roman" w:cs="Times New Roman"/>
          <w:b/>
          <w:noProof/>
          <w:sz w:val="24"/>
          <w:u w:val="single"/>
          <w:lang w:val="sk-SK"/>
        </w:rPr>
        <w:t xml:space="preserve"> v </w:t>
      </w:r>
      <w:r w:rsidRPr="00083739">
        <w:rPr>
          <w:rFonts w:ascii="Times New Roman" w:hAnsi="Times New Roman" w:cs="Times New Roman"/>
          <w:b/>
          <w:noProof/>
          <w:sz w:val="24"/>
          <w:u w:val="single"/>
          <w:lang w:val="sk-SK"/>
        </w:rPr>
        <w:t>súvislosti</w:t>
      </w:r>
      <w:r w:rsidR="00083739" w:rsidRPr="00083739">
        <w:rPr>
          <w:rFonts w:ascii="Times New Roman" w:hAnsi="Times New Roman" w:cs="Times New Roman"/>
          <w:b/>
          <w:noProof/>
          <w:sz w:val="24"/>
          <w:u w:val="single"/>
          <w:lang w:val="sk-SK"/>
        </w:rPr>
        <w:t xml:space="preserve"> s </w:t>
      </w:r>
      <w:r w:rsidRPr="00083739">
        <w:rPr>
          <w:rFonts w:ascii="Times New Roman" w:hAnsi="Times New Roman" w:cs="Times New Roman"/>
          <w:b/>
          <w:noProof/>
          <w:sz w:val="24"/>
          <w:u w:val="single"/>
          <w:lang w:val="sk-SK"/>
        </w:rPr>
        <w:t>úverom</w:t>
      </w:r>
    </w:p>
    <w:p w14:paraId="36A3AD02" w14:textId="79190737" w:rsidR="002D49B0" w:rsidRPr="00083739" w:rsidRDefault="00BF4125">
      <w:pPr>
        <w:pStyle w:val="P68B1DB1-Normal6"/>
        <w:keepNext/>
        <w:keepLines/>
        <w:spacing w:before="40" w:after="240" w:line="240" w:lineRule="auto"/>
        <w:jc w:val="both"/>
        <w:outlineLvl w:val="4"/>
        <w:rPr>
          <w:rFonts w:ascii="Times New Roman" w:eastAsia="Times New Roman" w:hAnsi="Times New Roman" w:cs="Times New Roman"/>
          <w:noProof/>
          <w:lang w:val="sk-SK"/>
        </w:rPr>
      </w:pPr>
      <w:r w:rsidRPr="00083739">
        <w:rPr>
          <w:rFonts w:ascii="Times New Roman" w:hAnsi="Times New Roman" w:cs="Times New Roman"/>
          <w:noProof/>
          <w:lang w:val="sk-SK"/>
        </w:rPr>
        <w:t>Program cenovo dostupného bývania Môj domov II (16400)</w:t>
      </w:r>
    </w:p>
    <w:tbl>
      <w:tblPr>
        <w:tblW w:w="15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701"/>
        <w:gridCol w:w="1070"/>
        <w:gridCol w:w="1320"/>
        <w:gridCol w:w="1440"/>
        <w:gridCol w:w="1080"/>
        <w:gridCol w:w="1200"/>
        <w:gridCol w:w="840"/>
        <w:gridCol w:w="1080"/>
        <w:gridCol w:w="840"/>
        <w:gridCol w:w="4608"/>
      </w:tblGrid>
      <w:tr w:rsidR="002D49B0" w:rsidRPr="00083739" w14:paraId="364DAC77" w14:textId="77777777">
        <w:trPr>
          <w:trHeight w:val="810"/>
          <w:tblHeader/>
          <w:jc w:val="center"/>
        </w:trPr>
        <w:tc>
          <w:tcPr>
            <w:tcW w:w="704" w:type="dxa"/>
            <w:vMerge w:val="restart"/>
            <w:shd w:val="clear" w:color="auto" w:fill="BDD7EE"/>
            <w:vAlign w:val="center"/>
            <w:hideMark/>
          </w:tcPr>
          <w:p w14:paraId="403104D0" w14:textId="77777777" w:rsidR="002D49B0" w:rsidRPr="00083739" w:rsidRDefault="00BF4125">
            <w:pPr>
              <w:pStyle w:val="P68B1DB1-Normal16"/>
              <w:spacing w:after="0" w:line="240" w:lineRule="auto"/>
              <w:jc w:val="center"/>
              <w:rPr>
                <w:rFonts w:eastAsia="Times New Roman" w:cs="Times New Roman"/>
                <w:noProof/>
                <w:szCs w:val="20"/>
                <w:lang w:val="sk-SK"/>
              </w:rPr>
            </w:pPr>
            <w:r w:rsidRPr="00083739">
              <w:rPr>
                <w:rFonts w:cs="Times New Roman"/>
                <w:noProof/>
                <w:lang w:val="sk-SK"/>
              </w:rPr>
              <w:t>Poradové číslo</w:t>
            </w:r>
          </w:p>
        </w:tc>
        <w:tc>
          <w:tcPr>
            <w:tcW w:w="1701" w:type="dxa"/>
            <w:vMerge w:val="restart"/>
            <w:shd w:val="clear" w:color="auto" w:fill="BDD7EE"/>
            <w:vAlign w:val="center"/>
            <w:hideMark/>
          </w:tcPr>
          <w:p w14:paraId="3392664C" w14:textId="77777777" w:rsidR="002D49B0" w:rsidRPr="00083739" w:rsidRDefault="00BF4125">
            <w:pPr>
              <w:pStyle w:val="P68B1DB1-Normal16"/>
              <w:spacing w:after="0" w:line="240" w:lineRule="auto"/>
              <w:jc w:val="center"/>
              <w:rPr>
                <w:rFonts w:eastAsia="Times New Roman" w:cs="Times New Roman"/>
                <w:noProof/>
                <w:szCs w:val="20"/>
                <w:lang w:val="sk-SK"/>
              </w:rPr>
            </w:pPr>
            <w:r w:rsidRPr="00083739">
              <w:rPr>
                <w:rFonts w:cs="Times New Roman"/>
                <w:noProof/>
                <w:lang w:val="sk-SK"/>
              </w:rPr>
              <w:t>Súvisiace opatrenie (reforma alebo investícia)</w:t>
            </w:r>
          </w:p>
        </w:tc>
        <w:tc>
          <w:tcPr>
            <w:tcW w:w="1070" w:type="dxa"/>
            <w:vMerge w:val="restart"/>
            <w:shd w:val="clear" w:color="auto" w:fill="BDD7EE"/>
            <w:vAlign w:val="center"/>
            <w:hideMark/>
          </w:tcPr>
          <w:p w14:paraId="126B3712" w14:textId="77777777" w:rsidR="002D49B0" w:rsidRPr="00083739" w:rsidRDefault="00BF4125">
            <w:pPr>
              <w:pStyle w:val="P68B1DB1-Normal16"/>
              <w:spacing w:after="0" w:line="240" w:lineRule="auto"/>
              <w:jc w:val="center"/>
              <w:rPr>
                <w:rFonts w:eastAsia="Times New Roman" w:cs="Times New Roman"/>
                <w:noProof/>
                <w:szCs w:val="20"/>
                <w:lang w:val="sk-SK"/>
              </w:rPr>
            </w:pPr>
            <w:r w:rsidRPr="00083739">
              <w:rPr>
                <w:rFonts w:cs="Times New Roman"/>
                <w:noProof/>
                <w:lang w:val="sk-SK"/>
              </w:rPr>
              <w:t>Míľnik/cieľ</w:t>
            </w:r>
          </w:p>
        </w:tc>
        <w:tc>
          <w:tcPr>
            <w:tcW w:w="1320" w:type="dxa"/>
            <w:vMerge w:val="restart"/>
            <w:shd w:val="clear" w:color="auto" w:fill="BDD7EE"/>
            <w:vAlign w:val="center"/>
            <w:hideMark/>
          </w:tcPr>
          <w:p w14:paraId="362C6FA0" w14:textId="77777777" w:rsidR="002D49B0" w:rsidRPr="00083739" w:rsidRDefault="00BF4125">
            <w:pPr>
              <w:pStyle w:val="P68B1DB1-Normal16"/>
              <w:spacing w:after="0" w:line="240" w:lineRule="auto"/>
              <w:jc w:val="center"/>
              <w:rPr>
                <w:rFonts w:eastAsia="Times New Roman" w:cs="Times New Roman"/>
                <w:noProof/>
                <w:szCs w:val="20"/>
                <w:lang w:val="sk-SK"/>
              </w:rPr>
            </w:pPr>
            <w:r w:rsidRPr="00083739">
              <w:rPr>
                <w:rFonts w:cs="Times New Roman"/>
                <w:noProof/>
                <w:lang w:val="sk-SK"/>
              </w:rPr>
              <w:t>Názov</w:t>
            </w:r>
          </w:p>
        </w:tc>
        <w:tc>
          <w:tcPr>
            <w:tcW w:w="1440" w:type="dxa"/>
            <w:vMerge w:val="restart"/>
            <w:shd w:val="clear" w:color="auto" w:fill="BDD7EE"/>
            <w:vAlign w:val="center"/>
            <w:hideMark/>
          </w:tcPr>
          <w:p w14:paraId="61C32EE8" w14:textId="77777777" w:rsidR="002D49B0" w:rsidRPr="00083739" w:rsidRDefault="00BF4125">
            <w:pPr>
              <w:pStyle w:val="P68B1DB1-Normal16"/>
              <w:spacing w:after="0" w:line="240" w:lineRule="auto"/>
              <w:jc w:val="center"/>
              <w:rPr>
                <w:rFonts w:eastAsia="Times New Roman" w:cs="Times New Roman"/>
                <w:noProof/>
                <w:szCs w:val="20"/>
                <w:lang w:val="sk-SK"/>
              </w:rPr>
            </w:pPr>
            <w:r w:rsidRPr="00083739">
              <w:rPr>
                <w:rFonts w:cs="Times New Roman"/>
                <w:noProof/>
                <w:lang w:val="sk-SK"/>
              </w:rPr>
              <w:t>Kvalitatívne ukazovatele (pre míľniky)</w:t>
            </w:r>
          </w:p>
        </w:tc>
        <w:tc>
          <w:tcPr>
            <w:tcW w:w="3120" w:type="dxa"/>
            <w:gridSpan w:val="3"/>
            <w:shd w:val="clear" w:color="auto" w:fill="BDD7EE"/>
            <w:vAlign w:val="center"/>
            <w:hideMark/>
          </w:tcPr>
          <w:p w14:paraId="17EB55B2" w14:textId="75398ACA" w:rsidR="002D49B0" w:rsidRPr="00083739" w:rsidRDefault="00BF4125">
            <w:pPr>
              <w:pStyle w:val="P68B1DB1-Normal16"/>
              <w:spacing w:after="0" w:line="240" w:lineRule="auto"/>
              <w:jc w:val="center"/>
              <w:rPr>
                <w:rFonts w:eastAsia="Times New Roman" w:cs="Times New Roman"/>
                <w:noProof/>
                <w:szCs w:val="20"/>
                <w:lang w:val="sk-SK"/>
              </w:rPr>
            </w:pPr>
            <w:r w:rsidRPr="00083739">
              <w:rPr>
                <w:rFonts w:cs="Times New Roman"/>
                <w:noProof/>
                <w:lang w:val="sk-SK"/>
              </w:rPr>
              <w:t>Kvantitatívne ukazovatele (pre ciele)</w:t>
            </w:r>
          </w:p>
        </w:tc>
        <w:tc>
          <w:tcPr>
            <w:tcW w:w="1920" w:type="dxa"/>
            <w:gridSpan w:val="2"/>
            <w:shd w:val="clear" w:color="auto" w:fill="BDD7EE"/>
            <w:vAlign w:val="center"/>
            <w:hideMark/>
          </w:tcPr>
          <w:p w14:paraId="3A435838" w14:textId="77777777" w:rsidR="002D49B0" w:rsidRPr="00083739" w:rsidRDefault="00BF4125">
            <w:pPr>
              <w:pStyle w:val="P68B1DB1-Normal16"/>
              <w:spacing w:after="0" w:line="240" w:lineRule="auto"/>
              <w:jc w:val="center"/>
              <w:rPr>
                <w:rFonts w:eastAsia="Times New Roman" w:cs="Times New Roman"/>
                <w:noProof/>
                <w:szCs w:val="20"/>
                <w:lang w:val="sk-SK"/>
              </w:rPr>
            </w:pPr>
            <w:r w:rsidRPr="00083739">
              <w:rPr>
                <w:rFonts w:cs="Times New Roman"/>
                <w:noProof/>
                <w:lang w:val="sk-SK"/>
              </w:rPr>
              <w:t>Orientačný harmonogram dokončenia</w:t>
            </w:r>
          </w:p>
        </w:tc>
        <w:tc>
          <w:tcPr>
            <w:tcW w:w="4608" w:type="dxa"/>
            <w:vMerge w:val="restart"/>
            <w:shd w:val="clear" w:color="auto" w:fill="BDD7EE"/>
            <w:vAlign w:val="center"/>
            <w:hideMark/>
          </w:tcPr>
          <w:p w14:paraId="449C2BEB" w14:textId="235877D3" w:rsidR="002D49B0" w:rsidRPr="00083739" w:rsidRDefault="00BF4125">
            <w:pPr>
              <w:pStyle w:val="P68B1DB1-Normal16"/>
              <w:spacing w:after="0" w:line="240" w:lineRule="auto"/>
              <w:jc w:val="center"/>
              <w:rPr>
                <w:rFonts w:eastAsia="Times New Roman" w:cs="Times New Roman"/>
                <w:noProof/>
                <w:szCs w:val="20"/>
                <w:lang w:val="sk-SK"/>
              </w:rPr>
            </w:pPr>
            <w:r w:rsidRPr="00083739">
              <w:rPr>
                <w:rFonts w:cs="Times New Roman"/>
                <w:noProof/>
                <w:lang w:val="sk-SK"/>
              </w:rPr>
              <w:t>Opis každého míľnika</w:t>
            </w:r>
            <w:r w:rsidR="00083739" w:rsidRPr="00083739">
              <w:rPr>
                <w:rFonts w:cs="Times New Roman"/>
                <w:noProof/>
                <w:lang w:val="sk-SK"/>
              </w:rPr>
              <w:t xml:space="preserve"> a </w:t>
            </w:r>
            <w:r w:rsidRPr="00083739">
              <w:rPr>
                <w:rFonts w:cs="Times New Roman"/>
                <w:noProof/>
                <w:lang w:val="sk-SK"/>
              </w:rPr>
              <w:t>cieľa</w:t>
            </w:r>
          </w:p>
        </w:tc>
      </w:tr>
      <w:tr w:rsidR="002D49B0" w:rsidRPr="00083739" w14:paraId="5DEB8C31" w14:textId="77777777">
        <w:trPr>
          <w:trHeight w:val="581"/>
          <w:tblHeader/>
          <w:jc w:val="center"/>
        </w:trPr>
        <w:tc>
          <w:tcPr>
            <w:tcW w:w="704" w:type="dxa"/>
            <w:vMerge/>
            <w:vAlign w:val="center"/>
            <w:hideMark/>
          </w:tcPr>
          <w:p w14:paraId="5CDE1FC1" w14:textId="77777777" w:rsidR="002D49B0" w:rsidRPr="00083739" w:rsidRDefault="002D49B0">
            <w:pPr>
              <w:spacing w:after="0" w:line="240" w:lineRule="auto"/>
              <w:rPr>
                <w:rFonts w:ascii="Times New Roman" w:eastAsia="Times New Roman" w:hAnsi="Times New Roman" w:cs="Times New Roman"/>
                <w:b/>
                <w:bCs/>
                <w:noProof/>
                <w:sz w:val="24"/>
                <w:szCs w:val="24"/>
                <w:lang w:val="sk-SK"/>
              </w:rPr>
            </w:pPr>
          </w:p>
        </w:tc>
        <w:tc>
          <w:tcPr>
            <w:tcW w:w="1701" w:type="dxa"/>
            <w:vMerge/>
            <w:vAlign w:val="center"/>
            <w:hideMark/>
          </w:tcPr>
          <w:p w14:paraId="507516BD" w14:textId="77777777" w:rsidR="002D49B0" w:rsidRPr="00083739" w:rsidRDefault="002D49B0">
            <w:pPr>
              <w:spacing w:after="0" w:line="240" w:lineRule="auto"/>
              <w:rPr>
                <w:rFonts w:ascii="Times New Roman" w:eastAsia="Times New Roman" w:hAnsi="Times New Roman" w:cs="Times New Roman"/>
                <w:b/>
                <w:bCs/>
                <w:noProof/>
                <w:sz w:val="24"/>
                <w:szCs w:val="24"/>
                <w:lang w:val="sk-SK"/>
              </w:rPr>
            </w:pPr>
          </w:p>
        </w:tc>
        <w:tc>
          <w:tcPr>
            <w:tcW w:w="1070" w:type="dxa"/>
            <w:vMerge/>
            <w:vAlign w:val="center"/>
            <w:hideMark/>
          </w:tcPr>
          <w:p w14:paraId="36F63284" w14:textId="77777777" w:rsidR="002D49B0" w:rsidRPr="00083739" w:rsidRDefault="002D49B0">
            <w:pPr>
              <w:spacing w:after="0" w:line="240" w:lineRule="auto"/>
              <w:rPr>
                <w:rFonts w:ascii="Times New Roman" w:eastAsia="Times New Roman" w:hAnsi="Times New Roman" w:cs="Times New Roman"/>
                <w:b/>
                <w:bCs/>
                <w:noProof/>
                <w:sz w:val="24"/>
                <w:szCs w:val="24"/>
                <w:lang w:val="sk-SK"/>
              </w:rPr>
            </w:pPr>
          </w:p>
        </w:tc>
        <w:tc>
          <w:tcPr>
            <w:tcW w:w="1320" w:type="dxa"/>
            <w:vMerge/>
            <w:vAlign w:val="center"/>
            <w:hideMark/>
          </w:tcPr>
          <w:p w14:paraId="1DFCD456" w14:textId="77777777" w:rsidR="002D49B0" w:rsidRPr="00083739" w:rsidRDefault="002D49B0">
            <w:pPr>
              <w:spacing w:after="0" w:line="240" w:lineRule="auto"/>
              <w:rPr>
                <w:rFonts w:ascii="Times New Roman" w:eastAsia="Times New Roman" w:hAnsi="Times New Roman" w:cs="Times New Roman"/>
                <w:b/>
                <w:bCs/>
                <w:noProof/>
                <w:sz w:val="24"/>
                <w:szCs w:val="24"/>
                <w:lang w:val="sk-SK"/>
              </w:rPr>
            </w:pPr>
          </w:p>
        </w:tc>
        <w:tc>
          <w:tcPr>
            <w:tcW w:w="1440" w:type="dxa"/>
            <w:vMerge/>
            <w:vAlign w:val="center"/>
            <w:hideMark/>
          </w:tcPr>
          <w:p w14:paraId="076AADAE" w14:textId="77777777" w:rsidR="002D49B0" w:rsidRPr="00083739" w:rsidRDefault="002D49B0">
            <w:pPr>
              <w:spacing w:after="0" w:line="240" w:lineRule="auto"/>
              <w:rPr>
                <w:rFonts w:ascii="Times New Roman" w:eastAsia="Times New Roman" w:hAnsi="Times New Roman" w:cs="Times New Roman"/>
                <w:b/>
                <w:bCs/>
                <w:noProof/>
                <w:sz w:val="24"/>
                <w:szCs w:val="24"/>
                <w:lang w:val="sk-SK"/>
              </w:rPr>
            </w:pPr>
          </w:p>
        </w:tc>
        <w:tc>
          <w:tcPr>
            <w:tcW w:w="1080" w:type="dxa"/>
            <w:shd w:val="clear" w:color="auto" w:fill="BDD7EE"/>
            <w:vAlign w:val="center"/>
            <w:hideMark/>
          </w:tcPr>
          <w:p w14:paraId="229595CC"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Merná jednotka</w:t>
            </w:r>
          </w:p>
        </w:tc>
        <w:tc>
          <w:tcPr>
            <w:tcW w:w="1200" w:type="dxa"/>
            <w:shd w:val="clear" w:color="auto" w:fill="BDD7EE"/>
            <w:vAlign w:val="center"/>
            <w:hideMark/>
          </w:tcPr>
          <w:p w14:paraId="5FA085AE"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Základná</w:t>
            </w:r>
          </w:p>
        </w:tc>
        <w:tc>
          <w:tcPr>
            <w:tcW w:w="840" w:type="dxa"/>
            <w:shd w:val="clear" w:color="auto" w:fill="BDD7EE"/>
            <w:vAlign w:val="center"/>
            <w:hideMark/>
          </w:tcPr>
          <w:p w14:paraId="2C35447F"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Cieľ</w:t>
            </w:r>
          </w:p>
        </w:tc>
        <w:tc>
          <w:tcPr>
            <w:tcW w:w="1080" w:type="dxa"/>
            <w:shd w:val="clear" w:color="auto" w:fill="BDD7EE"/>
            <w:vAlign w:val="center"/>
            <w:hideMark/>
          </w:tcPr>
          <w:p w14:paraId="12917F47"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Štvrtina</w:t>
            </w:r>
          </w:p>
        </w:tc>
        <w:tc>
          <w:tcPr>
            <w:tcW w:w="840" w:type="dxa"/>
            <w:shd w:val="clear" w:color="auto" w:fill="BDD7EE"/>
            <w:vAlign w:val="center"/>
            <w:hideMark/>
          </w:tcPr>
          <w:p w14:paraId="72CC70AD"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Rok</w:t>
            </w:r>
          </w:p>
        </w:tc>
        <w:tc>
          <w:tcPr>
            <w:tcW w:w="4608" w:type="dxa"/>
            <w:vMerge/>
            <w:vAlign w:val="center"/>
            <w:hideMark/>
          </w:tcPr>
          <w:p w14:paraId="280B8B4B" w14:textId="77777777" w:rsidR="002D49B0" w:rsidRPr="00083739" w:rsidRDefault="002D49B0">
            <w:pPr>
              <w:spacing w:after="0" w:line="240" w:lineRule="auto"/>
              <w:rPr>
                <w:rFonts w:ascii="Times New Roman" w:eastAsia="Times New Roman" w:hAnsi="Times New Roman" w:cs="Times New Roman"/>
                <w:b/>
                <w:bCs/>
                <w:noProof/>
                <w:sz w:val="24"/>
                <w:szCs w:val="24"/>
                <w:lang w:val="sk-SK"/>
              </w:rPr>
            </w:pPr>
          </w:p>
        </w:tc>
      </w:tr>
      <w:tr w:rsidR="002D49B0" w:rsidRPr="00083739" w14:paraId="141CA8E2" w14:textId="77777777">
        <w:trPr>
          <w:trHeight w:val="314"/>
          <w:jc w:val="center"/>
        </w:trPr>
        <w:tc>
          <w:tcPr>
            <w:tcW w:w="704" w:type="dxa"/>
            <w:shd w:val="clear" w:color="auto" w:fill="C6EFCE"/>
            <w:noWrap/>
          </w:tcPr>
          <w:p w14:paraId="40B95CB2" w14:textId="5733907A"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378</w:t>
            </w:r>
          </w:p>
        </w:tc>
        <w:tc>
          <w:tcPr>
            <w:tcW w:w="1701" w:type="dxa"/>
            <w:shd w:val="clear" w:color="auto" w:fill="C6EFCE"/>
            <w:noWrap/>
          </w:tcPr>
          <w:p w14:paraId="2225E910" w14:textId="6BEF2B62"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11 – 3.4. Zlepšiť prístup</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účinným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inkluzívnym sociálnym politikám – 16400_ Program cenovo dostupného bývania Môj domov II</w:t>
            </w:r>
          </w:p>
        </w:tc>
        <w:tc>
          <w:tcPr>
            <w:tcW w:w="1070" w:type="dxa"/>
            <w:shd w:val="clear" w:color="auto" w:fill="C6EFCE"/>
            <w:noWrap/>
          </w:tcPr>
          <w:p w14:paraId="236AE0D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20" w:type="dxa"/>
            <w:shd w:val="clear" w:color="auto" w:fill="C6EFCE"/>
            <w:noWrap/>
          </w:tcPr>
          <w:p w14:paraId="564012EF" w14:textId="771522A5"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Môj domov II – vykonávacia dohoda medzi Helénskou rozvojovou bankou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ministerstvom financií</w:t>
            </w:r>
          </w:p>
        </w:tc>
        <w:tc>
          <w:tcPr>
            <w:tcW w:w="1440" w:type="dxa"/>
            <w:shd w:val="clear" w:color="auto" w:fill="C6EFCE"/>
            <w:noWrap/>
          </w:tcPr>
          <w:p w14:paraId="73234691" w14:textId="63323F73"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platnosti vykonávacej dohody</w:t>
            </w:r>
          </w:p>
        </w:tc>
        <w:tc>
          <w:tcPr>
            <w:tcW w:w="1080" w:type="dxa"/>
            <w:shd w:val="clear" w:color="auto" w:fill="C6EFCE"/>
            <w:noWrap/>
          </w:tcPr>
          <w:p w14:paraId="2B573086"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200" w:type="dxa"/>
            <w:shd w:val="clear" w:color="auto" w:fill="C6EFCE"/>
            <w:noWrap/>
          </w:tcPr>
          <w:p w14:paraId="4AED444B"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0" w:type="dxa"/>
            <w:shd w:val="clear" w:color="auto" w:fill="C6EFCE"/>
            <w:noWrap/>
          </w:tcPr>
          <w:p w14:paraId="0B61D341"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80" w:type="dxa"/>
            <w:shd w:val="clear" w:color="auto" w:fill="C6EFCE"/>
            <w:noWrap/>
          </w:tcPr>
          <w:p w14:paraId="42F22E9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840" w:type="dxa"/>
            <w:shd w:val="clear" w:color="auto" w:fill="C6EFCE"/>
            <w:noWrap/>
          </w:tcPr>
          <w:p w14:paraId="5FF1553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2024</w:t>
            </w:r>
          </w:p>
        </w:tc>
        <w:tc>
          <w:tcPr>
            <w:tcW w:w="4608" w:type="dxa"/>
            <w:shd w:val="clear" w:color="auto" w:fill="C6EFCE"/>
            <w:noWrap/>
          </w:tcPr>
          <w:p w14:paraId="485F8922" w14:textId="7590D72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platnosti vykonávacej dohody.</w:t>
            </w:r>
          </w:p>
        </w:tc>
      </w:tr>
      <w:tr w:rsidR="002D49B0" w:rsidRPr="00083739" w14:paraId="56B7C5D2" w14:textId="77777777">
        <w:trPr>
          <w:trHeight w:val="314"/>
          <w:jc w:val="center"/>
        </w:trPr>
        <w:tc>
          <w:tcPr>
            <w:tcW w:w="704" w:type="dxa"/>
            <w:shd w:val="clear" w:color="auto" w:fill="C6EFCE"/>
            <w:noWrap/>
            <w:hideMark/>
          </w:tcPr>
          <w:p w14:paraId="009EB831" w14:textId="5CE7C07B"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379</w:t>
            </w:r>
          </w:p>
        </w:tc>
        <w:tc>
          <w:tcPr>
            <w:tcW w:w="1701" w:type="dxa"/>
            <w:shd w:val="clear" w:color="auto" w:fill="C6EFCE"/>
            <w:noWrap/>
            <w:hideMark/>
          </w:tcPr>
          <w:p w14:paraId="640CE0CD" w14:textId="09343FD8"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11 – 3.4. Zlepšiť prístup</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účinným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inkluzívnym sociálnym politikám – 16400_ Program cenovo dostupného bývania Môj domov II</w:t>
            </w:r>
          </w:p>
        </w:tc>
        <w:tc>
          <w:tcPr>
            <w:tcW w:w="1070" w:type="dxa"/>
            <w:shd w:val="clear" w:color="auto" w:fill="C6EFCE"/>
            <w:noWrap/>
          </w:tcPr>
          <w:p w14:paraId="5D1910BB" w14:textId="77777777" w:rsidR="002D49B0" w:rsidRPr="00083739" w:rsidRDefault="00BF4125">
            <w:pPr>
              <w:pStyle w:val="P68B1DB1-Normal17"/>
              <w:spacing w:after="0" w:line="240" w:lineRule="auto"/>
              <w:rPr>
                <w:rFonts w:ascii="Times New Roman" w:hAnsi="Times New Roman" w:cs="Times New Roman"/>
                <w:noProof/>
                <w:lang w:val="sk-SK"/>
              </w:rPr>
            </w:pPr>
            <w:r w:rsidRPr="00083739">
              <w:rPr>
                <w:rFonts w:ascii="Times New Roman" w:hAnsi="Times New Roman" w:cs="Times New Roman"/>
                <w:noProof/>
                <w:lang w:val="sk-SK"/>
              </w:rPr>
              <w:t>Cieľ</w:t>
            </w:r>
          </w:p>
        </w:tc>
        <w:tc>
          <w:tcPr>
            <w:tcW w:w="1320" w:type="dxa"/>
            <w:shd w:val="clear" w:color="auto" w:fill="C6EFCE"/>
            <w:noWrap/>
          </w:tcPr>
          <w:p w14:paraId="25A3CFB2" w14:textId="2F487B44"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Moje domovské II – </w:t>
            </w:r>
            <w:r w:rsidRPr="00083739">
              <w:rPr>
                <w:rFonts w:ascii="Times New Roman" w:eastAsia="Times New Roman" w:hAnsi="Times New Roman" w:cs="Times New Roman"/>
                <w:noProof/>
                <w:szCs w:val="18"/>
                <w:lang w:val="sk-SK"/>
              </w:rPr>
              <w:t>právne dohody podpísané</w:t>
            </w:r>
            <w:r w:rsidR="00083739" w:rsidRPr="00083739">
              <w:rPr>
                <w:rFonts w:ascii="Times New Roman" w:eastAsia="Times New Roman" w:hAnsi="Times New Roman" w:cs="Times New Roman"/>
                <w:noProof/>
                <w:szCs w:val="18"/>
                <w:lang w:val="sk-SK"/>
              </w:rPr>
              <w:t xml:space="preserve"> s </w:t>
            </w:r>
            <w:r w:rsidRPr="00083739">
              <w:rPr>
                <w:rFonts w:ascii="Times New Roman" w:eastAsia="Times New Roman" w:hAnsi="Times New Roman" w:cs="Times New Roman"/>
                <w:noProof/>
                <w:szCs w:val="18"/>
                <w:lang w:val="sk-SK"/>
              </w:rPr>
              <w:t>konečnými príjemcami – 50</w:t>
            </w:r>
            <w:r w:rsidR="00083739" w:rsidRPr="00083739">
              <w:rPr>
                <w:rFonts w:ascii="Times New Roman" w:eastAsia="Times New Roman" w:hAnsi="Times New Roman" w:cs="Times New Roman"/>
                <w:noProof/>
                <w:szCs w:val="18"/>
                <w:lang w:val="sk-SK"/>
              </w:rPr>
              <w:t> %</w:t>
            </w:r>
          </w:p>
        </w:tc>
        <w:tc>
          <w:tcPr>
            <w:tcW w:w="1440" w:type="dxa"/>
            <w:shd w:val="clear" w:color="auto" w:fill="C6EFCE"/>
            <w:noWrap/>
          </w:tcPr>
          <w:p w14:paraId="18639983"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80" w:type="dxa"/>
            <w:shd w:val="clear" w:color="auto" w:fill="C6EFCE"/>
            <w:noWrap/>
          </w:tcPr>
          <w:p w14:paraId="4004F2C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Percentuálny podiel (%)</w:t>
            </w:r>
          </w:p>
        </w:tc>
        <w:tc>
          <w:tcPr>
            <w:tcW w:w="1200" w:type="dxa"/>
            <w:shd w:val="clear" w:color="auto" w:fill="C6EFCE"/>
            <w:noWrap/>
          </w:tcPr>
          <w:p w14:paraId="18E1D0D9" w14:textId="45777DE2"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0</w:t>
            </w:r>
            <w:r w:rsidR="00083739" w:rsidRPr="00083739">
              <w:rPr>
                <w:rFonts w:ascii="Times New Roman" w:hAnsi="Times New Roman" w:cs="Times New Roman"/>
                <w:noProof/>
                <w:lang w:val="sk-SK"/>
              </w:rPr>
              <w:t> %</w:t>
            </w:r>
          </w:p>
        </w:tc>
        <w:tc>
          <w:tcPr>
            <w:tcW w:w="840" w:type="dxa"/>
            <w:shd w:val="clear" w:color="auto" w:fill="C6EFCE"/>
            <w:noWrap/>
          </w:tcPr>
          <w:p w14:paraId="2A15DC8A" w14:textId="70D4DF0E"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50</w:t>
            </w:r>
            <w:r w:rsidR="00083739" w:rsidRPr="00083739">
              <w:rPr>
                <w:rFonts w:ascii="Times New Roman" w:hAnsi="Times New Roman" w:cs="Times New Roman"/>
                <w:noProof/>
                <w:lang w:val="sk-SK"/>
              </w:rPr>
              <w:t> %</w:t>
            </w:r>
          </w:p>
        </w:tc>
        <w:tc>
          <w:tcPr>
            <w:tcW w:w="1080" w:type="dxa"/>
            <w:shd w:val="clear" w:color="auto" w:fill="C6EFCE"/>
            <w:noWrap/>
          </w:tcPr>
          <w:p w14:paraId="23BA6D7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840" w:type="dxa"/>
            <w:shd w:val="clear" w:color="auto" w:fill="C6EFCE"/>
            <w:noWrap/>
          </w:tcPr>
          <w:p w14:paraId="4205D46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4608" w:type="dxa"/>
            <w:shd w:val="clear" w:color="auto" w:fill="C6EFCE"/>
            <w:noWrap/>
          </w:tcPr>
          <w:p w14:paraId="74B173E3" w14:textId="4B8951CD"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Finanční sprostredkovatelia musia</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konečnými príjemcami uzavrieť právne dohody</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financovaní na sumu potrebnú na využitie aspoň</w:t>
            </w:r>
            <w:r w:rsidRPr="00083739">
              <w:rPr>
                <w:rFonts w:ascii="Times New Roman" w:hAnsi="Times New Roman" w:cs="Times New Roman"/>
                <w:noProof/>
                <w:lang w:val="sk-SK"/>
              </w:rPr>
              <w:t xml:space="preserve"> 50</w:t>
            </w:r>
            <w:r w:rsidR="00083739" w:rsidRPr="00083739">
              <w:rPr>
                <w:rFonts w:ascii="Times New Roman" w:hAnsi="Times New Roman" w:cs="Times New Roman"/>
                <w:noProof/>
                <w:lang w:val="sk-SK"/>
              </w:rPr>
              <w:t> %</w:t>
            </w:r>
            <w:r w:rsidRPr="00083739">
              <w:rPr>
                <w:rFonts w:ascii="Times New Roman" w:hAnsi="Times New Roman" w:cs="Times New Roman"/>
                <w:noProof/>
                <w:lang w:val="sk-SK"/>
              </w:rPr>
              <w:t xml:space="preserve"> investícií Mechanizmu na podporu obnovy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odolnosti do mechanizmu „Môj domov II“ (s prihliadnutím na poplatky za správu).</w:t>
            </w:r>
          </w:p>
        </w:tc>
      </w:tr>
      <w:tr w:rsidR="002D49B0" w:rsidRPr="00083739" w14:paraId="5EFFD68F" w14:textId="77777777">
        <w:trPr>
          <w:trHeight w:val="314"/>
          <w:jc w:val="center"/>
        </w:trPr>
        <w:tc>
          <w:tcPr>
            <w:tcW w:w="704" w:type="dxa"/>
            <w:shd w:val="clear" w:color="auto" w:fill="C6EFCE"/>
            <w:noWrap/>
          </w:tcPr>
          <w:p w14:paraId="632CFAF4" w14:textId="5B4EB790"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380</w:t>
            </w:r>
          </w:p>
        </w:tc>
        <w:tc>
          <w:tcPr>
            <w:tcW w:w="1701" w:type="dxa"/>
            <w:shd w:val="clear" w:color="auto" w:fill="C6EFCE"/>
            <w:noWrap/>
          </w:tcPr>
          <w:p w14:paraId="4FA45189" w14:textId="5DB1D438"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11 – 3.4. Zlepšiť prístup</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účinným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inkluzívnym sociálnym politikám – 16400_ Program cenovo dostupného bývania Môj domov </w:t>
            </w:r>
            <w:r w:rsidRPr="00083739">
              <w:rPr>
                <w:rFonts w:ascii="Times New Roman" w:hAnsi="Times New Roman" w:cs="Times New Roman"/>
                <w:noProof/>
                <w:lang w:val="sk-SK"/>
              </w:rPr>
              <w:t>II</w:t>
            </w:r>
          </w:p>
        </w:tc>
        <w:tc>
          <w:tcPr>
            <w:tcW w:w="1070" w:type="dxa"/>
            <w:shd w:val="clear" w:color="auto" w:fill="C6EFCE"/>
            <w:noWrap/>
          </w:tcPr>
          <w:p w14:paraId="6DD8C803" w14:textId="77777777" w:rsidR="002D49B0" w:rsidRPr="00083739" w:rsidRDefault="00BF4125">
            <w:pPr>
              <w:pStyle w:val="P68B1DB1-Normal17"/>
              <w:spacing w:after="0" w:line="240" w:lineRule="auto"/>
              <w:rPr>
                <w:rFonts w:ascii="Times New Roman" w:hAnsi="Times New Roman" w:cs="Times New Roman"/>
                <w:noProof/>
                <w:lang w:val="sk-SK"/>
              </w:rPr>
            </w:pPr>
            <w:r w:rsidRPr="00083739">
              <w:rPr>
                <w:rFonts w:ascii="Times New Roman" w:hAnsi="Times New Roman" w:cs="Times New Roman"/>
                <w:noProof/>
                <w:lang w:val="sk-SK"/>
              </w:rPr>
              <w:t>Cieľ</w:t>
            </w:r>
          </w:p>
        </w:tc>
        <w:tc>
          <w:tcPr>
            <w:tcW w:w="1320" w:type="dxa"/>
            <w:shd w:val="clear" w:color="auto" w:fill="C6EFCE"/>
            <w:noWrap/>
          </w:tcPr>
          <w:p w14:paraId="307E13BA" w14:textId="1335EF35"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Moje domovské II – </w:t>
            </w:r>
            <w:r w:rsidRPr="00083739">
              <w:rPr>
                <w:rFonts w:ascii="Times New Roman" w:eastAsia="Times New Roman" w:hAnsi="Times New Roman" w:cs="Times New Roman"/>
                <w:noProof/>
                <w:szCs w:val="18"/>
                <w:lang w:val="sk-SK"/>
              </w:rPr>
              <w:t>právne dohody podpísané</w:t>
            </w:r>
            <w:r w:rsidR="00083739" w:rsidRPr="00083739">
              <w:rPr>
                <w:rFonts w:ascii="Times New Roman" w:eastAsia="Times New Roman" w:hAnsi="Times New Roman" w:cs="Times New Roman"/>
                <w:noProof/>
                <w:szCs w:val="18"/>
                <w:lang w:val="sk-SK"/>
              </w:rPr>
              <w:t xml:space="preserve"> s </w:t>
            </w:r>
            <w:r w:rsidRPr="00083739">
              <w:rPr>
                <w:rFonts w:ascii="Times New Roman" w:eastAsia="Times New Roman" w:hAnsi="Times New Roman" w:cs="Times New Roman"/>
                <w:noProof/>
                <w:szCs w:val="18"/>
                <w:lang w:val="sk-SK"/>
              </w:rPr>
              <w:t>konečnými príjemcami – 100</w:t>
            </w:r>
            <w:r w:rsidR="00083739" w:rsidRPr="00083739">
              <w:rPr>
                <w:rFonts w:ascii="Times New Roman" w:eastAsia="Times New Roman" w:hAnsi="Times New Roman" w:cs="Times New Roman"/>
                <w:noProof/>
                <w:szCs w:val="18"/>
                <w:lang w:val="sk-SK"/>
              </w:rPr>
              <w:t> %</w:t>
            </w:r>
          </w:p>
        </w:tc>
        <w:tc>
          <w:tcPr>
            <w:tcW w:w="1440" w:type="dxa"/>
            <w:shd w:val="clear" w:color="auto" w:fill="C6EFCE"/>
            <w:noWrap/>
          </w:tcPr>
          <w:p w14:paraId="6FC78B21"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80" w:type="dxa"/>
            <w:shd w:val="clear" w:color="auto" w:fill="C6EFCE"/>
            <w:noWrap/>
          </w:tcPr>
          <w:p w14:paraId="5531528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Percentuálny podiel (%)</w:t>
            </w:r>
          </w:p>
        </w:tc>
        <w:tc>
          <w:tcPr>
            <w:tcW w:w="1200" w:type="dxa"/>
            <w:shd w:val="clear" w:color="auto" w:fill="C6EFCE"/>
            <w:noWrap/>
          </w:tcPr>
          <w:p w14:paraId="60388B84" w14:textId="3B923E2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50</w:t>
            </w:r>
            <w:r w:rsidR="00083739" w:rsidRPr="00083739">
              <w:rPr>
                <w:rFonts w:ascii="Times New Roman" w:hAnsi="Times New Roman" w:cs="Times New Roman"/>
                <w:noProof/>
                <w:lang w:val="sk-SK"/>
              </w:rPr>
              <w:t> %</w:t>
            </w:r>
          </w:p>
        </w:tc>
        <w:tc>
          <w:tcPr>
            <w:tcW w:w="840" w:type="dxa"/>
            <w:shd w:val="clear" w:color="auto" w:fill="C6EFCE"/>
            <w:noWrap/>
          </w:tcPr>
          <w:p w14:paraId="744D2BCE" w14:textId="53B22A4A"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100</w:t>
            </w:r>
            <w:r w:rsidR="00083739" w:rsidRPr="00083739">
              <w:rPr>
                <w:rFonts w:ascii="Times New Roman" w:hAnsi="Times New Roman" w:cs="Times New Roman"/>
                <w:noProof/>
                <w:lang w:val="sk-SK"/>
              </w:rPr>
              <w:t> %</w:t>
            </w:r>
          </w:p>
        </w:tc>
        <w:tc>
          <w:tcPr>
            <w:tcW w:w="1080" w:type="dxa"/>
            <w:shd w:val="clear" w:color="auto" w:fill="C6EFCE"/>
            <w:noWrap/>
          </w:tcPr>
          <w:p w14:paraId="4F966A6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840" w:type="dxa"/>
            <w:shd w:val="clear" w:color="auto" w:fill="C6EFCE"/>
            <w:noWrap/>
          </w:tcPr>
          <w:p w14:paraId="587CF94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2026</w:t>
            </w:r>
          </w:p>
        </w:tc>
        <w:tc>
          <w:tcPr>
            <w:tcW w:w="4608" w:type="dxa"/>
            <w:shd w:val="clear" w:color="auto" w:fill="C6EFCE"/>
            <w:noWrap/>
          </w:tcPr>
          <w:p w14:paraId="4D73653E" w14:textId="17232C16"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Finanční sprostredkovatelia musia</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konečnými príjemcami uzavrieť právne dohody</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 xml:space="preserve">financovaní na sumu potrebnú na </w:t>
            </w:r>
            <w:r w:rsidRPr="00083739">
              <w:rPr>
                <w:rFonts w:ascii="Times New Roman" w:hAnsi="Times New Roman" w:cs="Times New Roman"/>
                <w:noProof/>
                <w:lang w:val="sk-SK"/>
              </w:rPr>
              <w:t>využitie 100</w:t>
            </w:r>
            <w:r w:rsidR="00083739" w:rsidRPr="00083739">
              <w:rPr>
                <w:rFonts w:ascii="Times New Roman" w:hAnsi="Times New Roman" w:cs="Times New Roman"/>
                <w:noProof/>
                <w:lang w:val="sk-SK"/>
              </w:rPr>
              <w:t> %</w:t>
            </w:r>
            <w:r w:rsidRPr="00083739">
              <w:rPr>
                <w:rFonts w:ascii="Times New Roman" w:hAnsi="Times New Roman" w:cs="Times New Roman"/>
                <w:noProof/>
                <w:lang w:val="sk-SK"/>
              </w:rPr>
              <w:t xml:space="preserve"> investícií Mechanizmu na podporu obnovy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odolnosti do mechanizmu „Môj domov II“ (s prihliadnutím na poplatky za správu).</w:t>
            </w:r>
          </w:p>
        </w:tc>
      </w:tr>
      <w:tr w:rsidR="002D49B0" w:rsidRPr="00083739" w14:paraId="157787D8" w14:textId="77777777">
        <w:trPr>
          <w:trHeight w:val="314"/>
          <w:jc w:val="center"/>
        </w:trPr>
        <w:tc>
          <w:tcPr>
            <w:tcW w:w="704" w:type="dxa"/>
            <w:shd w:val="clear" w:color="auto" w:fill="C6EFCE"/>
            <w:noWrap/>
          </w:tcPr>
          <w:p w14:paraId="17D72064" w14:textId="10A7C5F7" w:rsidR="002D49B0" w:rsidRPr="00083739" w:rsidRDefault="00BF4125">
            <w:pPr>
              <w:pStyle w:val="P68B1DB1-Normal9"/>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381</w:t>
            </w:r>
          </w:p>
        </w:tc>
        <w:tc>
          <w:tcPr>
            <w:tcW w:w="1701" w:type="dxa"/>
            <w:shd w:val="clear" w:color="auto" w:fill="C6EFCE"/>
            <w:noWrap/>
          </w:tcPr>
          <w:p w14:paraId="33025A25" w14:textId="5411AB2A"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11 – 3.4. Zlepšiť prístup</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účinným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inkluzívnym sociálnym politikám – 16400_ Program cenovo dostupného bývania </w:t>
            </w:r>
            <w:r w:rsidRPr="00083739">
              <w:rPr>
                <w:rFonts w:ascii="Times New Roman" w:hAnsi="Times New Roman" w:cs="Times New Roman"/>
                <w:noProof/>
                <w:lang w:val="sk-SK"/>
              </w:rPr>
              <w:t>Môj domov II</w:t>
            </w:r>
          </w:p>
        </w:tc>
        <w:tc>
          <w:tcPr>
            <w:tcW w:w="1070" w:type="dxa"/>
            <w:shd w:val="clear" w:color="auto" w:fill="C6EFCE"/>
            <w:noWrap/>
          </w:tcPr>
          <w:p w14:paraId="7C4911A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20" w:type="dxa"/>
            <w:shd w:val="clear" w:color="auto" w:fill="C6EFCE"/>
            <w:noWrap/>
          </w:tcPr>
          <w:p w14:paraId="1A37608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Môj domov II – Ministerstvo financií dokončilo investíciu</w:t>
            </w:r>
          </w:p>
        </w:tc>
        <w:tc>
          <w:tcPr>
            <w:tcW w:w="1440" w:type="dxa"/>
            <w:shd w:val="clear" w:color="auto" w:fill="C6EFCE"/>
            <w:noWrap/>
          </w:tcPr>
          <w:p w14:paraId="597EF6AE" w14:textId="2871E8D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Osvedčenie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 xml:space="preserve">prevode </w:t>
            </w:r>
          </w:p>
        </w:tc>
        <w:tc>
          <w:tcPr>
            <w:tcW w:w="1080" w:type="dxa"/>
            <w:shd w:val="clear" w:color="auto" w:fill="C6EFCE"/>
            <w:noWrap/>
          </w:tcPr>
          <w:p w14:paraId="76CA50AB"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200" w:type="dxa"/>
            <w:shd w:val="clear" w:color="auto" w:fill="C6EFCE"/>
            <w:noWrap/>
          </w:tcPr>
          <w:p w14:paraId="4A8599B2"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0" w:type="dxa"/>
            <w:shd w:val="clear" w:color="auto" w:fill="C6EFCE"/>
            <w:noWrap/>
          </w:tcPr>
          <w:p w14:paraId="026618F6"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80" w:type="dxa"/>
            <w:shd w:val="clear" w:color="auto" w:fill="C6EFCE"/>
            <w:noWrap/>
          </w:tcPr>
          <w:p w14:paraId="21D839E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840" w:type="dxa"/>
            <w:shd w:val="clear" w:color="auto" w:fill="C6EFCE"/>
            <w:noWrap/>
          </w:tcPr>
          <w:p w14:paraId="7F3351E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2026</w:t>
            </w:r>
          </w:p>
        </w:tc>
        <w:tc>
          <w:tcPr>
            <w:tcW w:w="4608" w:type="dxa"/>
            <w:shd w:val="clear" w:color="auto" w:fill="C6EFCE"/>
            <w:noWrap/>
          </w:tcPr>
          <w:p w14:paraId="6ED8FD3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Grécko prevedie na tento nástroj sumu 1000 miliónov EUR Helénskej rozvojovej banke.</w:t>
            </w:r>
          </w:p>
        </w:tc>
      </w:tr>
    </w:tbl>
    <w:p w14:paraId="7C787F88" w14:textId="77777777" w:rsidR="002D49B0" w:rsidRPr="00083739" w:rsidRDefault="002D49B0">
      <w:pPr>
        <w:spacing w:before="120" w:after="120" w:line="240" w:lineRule="auto"/>
        <w:jc w:val="both"/>
        <w:rPr>
          <w:rFonts w:ascii="Times New Roman" w:hAnsi="Times New Roman" w:cs="Times New Roman"/>
          <w:noProof/>
          <w:sz w:val="24"/>
          <w:lang w:val="sk-SK"/>
        </w:rPr>
        <w:sectPr w:rsidR="002D49B0" w:rsidRPr="00083739" w:rsidSect="004E363A">
          <w:headerReference w:type="even" r:id="rId205"/>
          <w:headerReference w:type="default" r:id="rId206"/>
          <w:footerReference w:type="even" r:id="rId207"/>
          <w:footerReference w:type="default" r:id="rId208"/>
          <w:headerReference w:type="first" r:id="rId209"/>
          <w:footerReference w:type="first" r:id="rId210"/>
          <w:pgSz w:w="16839" w:h="11907" w:orient="landscape"/>
          <w:pgMar w:top="720" w:right="720" w:bottom="720" w:left="720" w:header="709" w:footer="75" w:gutter="0"/>
          <w:cols w:space="720"/>
          <w:docGrid w:linePitch="360"/>
        </w:sectPr>
      </w:pPr>
    </w:p>
    <w:p w14:paraId="35C18A87" w14:textId="77777777" w:rsidR="002D49B0" w:rsidRPr="00083739" w:rsidRDefault="00BF4125">
      <w:pPr>
        <w:pStyle w:val="P68B1DB1-Normal2"/>
        <w:spacing w:before="120" w:after="120" w:line="240" w:lineRule="auto"/>
        <w:ind w:firstLine="6"/>
        <w:jc w:val="both"/>
        <w:outlineLvl w:val="3"/>
        <w:rPr>
          <w:rFonts w:cs="Times New Roman"/>
          <w:noProof/>
          <w:szCs w:val="24"/>
          <w:lang w:val="sk-SK"/>
        </w:rPr>
      </w:pPr>
      <w:r w:rsidRPr="00083739">
        <w:rPr>
          <w:rFonts w:cs="Times New Roman"/>
          <w:noProof/>
          <w:lang w:val="sk-SK"/>
        </w:rPr>
        <w:t>L. KOMPONENT 4.1: ZABEZPEČIŤ, ABY BOLI DANE PRIAZNIVEJŠIE PRE RAST A ZLEPŠIŤ DAŇOVÚ SPRÁVU A VÝBER DANÍ</w:t>
      </w:r>
    </w:p>
    <w:p w14:paraId="5CEC3C46" w14:textId="4E866B46"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Tento komponent gréckeho plánu obnovy</w:t>
      </w:r>
      <w:r w:rsidR="00083739" w:rsidRPr="00083739">
        <w:rPr>
          <w:rFonts w:cs="Times New Roman"/>
          <w:noProof/>
          <w:lang w:val="sk-SK"/>
        </w:rPr>
        <w:t xml:space="preserve"> a </w:t>
      </w:r>
      <w:r w:rsidRPr="00083739">
        <w:rPr>
          <w:rFonts w:cs="Times New Roman"/>
          <w:noProof/>
          <w:lang w:val="sk-SK"/>
        </w:rPr>
        <w:t>odolnosti zahŕňa cielené reformy</w:t>
      </w:r>
      <w:r w:rsidR="00083739" w:rsidRPr="00083739">
        <w:rPr>
          <w:rFonts w:cs="Times New Roman"/>
          <w:noProof/>
          <w:lang w:val="sk-SK"/>
        </w:rPr>
        <w:t xml:space="preserve"> a </w:t>
      </w:r>
      <w:r w:rsidRPr="00083739">
        <w:rPr>
          <w:rFonts w:cs="Times New Roman"/>
          <w:noProof/>
          <w:lang w:val="sk-SK"/>
        </w:rPr>
        <w:t xml:space="preserve">investície na ďalšie zlepšovanie fungovania správy </w:t>
      </w:r>
      <w:r w:rsidRPr="00083739">
        <w:rPr>
          <w:rFonts w:cs="Times New Roman"/>
          <w:noProof/>
          <w:lang w:val="sk-SK"/>
        </w:rPr>
        <w:t>verejných príjmov</w:t>
      </w:r>
      <w:r w:rsidR="00083739" w:rsidRPr="00083739">
        <w:rPr>
          <w:rFonts w:cs="Times New Roman"/>
          <w:noProof/>
          <w:lang w:val="sk-SK"/>
        </w:rPr>
        <w:t xml:space="preserve"> a </w:t>
      </w:r>
      <w:r w:rsidRPr="00083739">
        <w:rPr>
          <w:rFonts w:cs="Times New Roman"/>
          <w:noProof/>
          <w:lang w:val="sk-SK"/>
        </w:rPr>
        <w:t>boj proti daňovým únikom. Po prvé, táto zložka zahŕňa reformy daňovej politiky</w:t>
      </w:r>
      <w:r w:rsidR="00083739" w:rsidRPr="00083739">
        <w:rPr>
          <w:rFonts w:cs="Times New Roman"/>
          <w:noProof/>
          <w:lang w:val="sk-SK"/>
        </w:rPr>
        <w:t xml:space="preserve"> s </w:t>
      </w:r>
      <w:r w:rsidRPr="00083739">
        <w:rPr>
          <w:rFonts w:cs="Times New Roman"/>
          <w:noProof/>
          <w:lang w:val="sk-SK"/>
        </w:rPr>
        <w:t>cieľom uľahčiť kodifikáciu daňových právnych predpisov, ako aj zaviesť stimuly na zlepšenie elektronických transakcií, podporu zelených</w:t>
      </w:r>
      <w:r w:rsidR="00083739" w:rsidRPr="00083739">
        <w:rPr>
          <w:rFonts w:cs="Times New Roman"/>
          <w:noProof/>
          <w:lang w:val="sk-SK"/>
        </w:rPr>
        <w:t xml:space="preserve"> a </w:t>
      </w:r>
      <w:r w:rsidRPr="00083739">
        <w:rPr>
          <w:rFonts w:cs="Times New Roman"/>
          <w:noProof/>
          <w:lang w:val="sk-SK"/>
        </w:rPr>
        <w:t>digitálnych súkro</w:t>
      </w:r>
      <w:r w:rsidRPr="00083739">
        <w:rPr>
          <w:rFonts w:cs="Times New Roman"/>
          <w:noProof/>
          <w:lang w:val="sk-SK"/>
        </w:rPr>
        <w:t>mných investícií</w:t>
      </w:r>
      <w:r w:rsidR="00083739" w:rsidRPr="00083739">
        <w:rPr>
          <w:rFonts w:cs="Times New Roman"/>
          <w:noProof/>
          <w:lang w:val="sk-SK"/>
        </w:rPr>
        <w:t xml:space="preserve"> a </w:t>
      </w:r>
      <w:r w:rsidRPr="00083739">
        <w:rPr>
          <w:rFonts w:cs="Times New Roman"/>
          <w:noProof/>
          <w:lang w:val="sk-SK"/>
        </w:rPr>
        <w:t>zvýšenie veľkosti podnikov. Po druhé, komponent obsahuje reformy</w:t>
      </w:r>
      <w:r w:rsidR="00083739" w:rsidRPr="00083739">
        <w:rPr>
          <w:rFonts w:cs="Times New Roman"/>
          <w:noProof/>
          <w:lang w:val="sk-SK"/>
        </w:rPr>
        <w:t xml:space="preserve"> a </w:t>
      </w:r>
      <w:r w:rsidRPr="00083739">
        <w:rPr>
          <w:rFonts w:cs="Times New Roman"/>
          <w:noProof/>
          <w:lang w:val="sk-SK"/>
        </w:rPr>
        <w:t>investície zamerané na transformáciu správy verejných príjmov prostredníctvom digitalizácie procesov</w:t>
      </w:r>
      <w:r w:rsidR="00083739" w:rsidRPr="00083739">
        <w:rPr>
          <w:rFonts w:cs="Times New Roman"/>
          <w:noProof/>
          <w:lang w:val="sk-SK"/>
        </w:rPr>
        <w:t xml:space="preserve"> a </w:t>
      </w:r>
      <w:r w:rsidRPr="00083739">
        <w:rPr>
          <w:rFonts w:cs="Times New Roman"/>
          <w:noProof/>
          <w:lang w:val="sk-SK"/>
        </w:rPr>
        <w:t>zavedenia legislatívnych iniciatív na boj proti prevádzačstvu</w:t>
      </w:r>
      <w:r w:rsidR="00083739" w:rsidRPr="00083739">
        <w:rPr>
          <w:rFonts w:cs="Times New Roman"/>
          <w:noProof/>
          <w:lang w:val="sk-SK"/>
        </w:rPr>
        <w:t xml:space="preserve"> a </w:t>
      </w:r>
      <w:r w:rsidRPr="00083739">
        <w:rPr>
          <w:rFonts w:cs="Times New Roman"/>
          <w:noProof/>
          <w:lang w:val="sk-SK"/>
        </w:rPr>
        <w:t xml:space="preserve">na </w:t>
      </w:r>
      <w:r w:rsidRPr="00083739">
        <w:rPr>
          <w:rFonts w:cs="Times New Roman"/>
          <w:noProof/>
          <w:lang w:val="sk-SK"/>
        </w:rPr>
        <w:t>podporu urýchlenia vracania DPH.</w:t>
      </w:r>
    </w:p>
    <w:p w14:paraId="6DD14476" w14:textId="01833A16"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Komponent prispieva</w:t>
      </w:r>
      <w:r w:rsidR="00083739" w:rsidRPr="00083739">
        <w:rPr>
          <w:rFonts w:cs="Times New Roman"/>
          <w:noProof/>
          <w:lang w:val="sk-SK"/>
        </w:rPr>
        <w:t xml:space="preserve"> k </w:t>
      </w:r>
      <w:r w:rsidRPr="00083739">
        <w:rPr>
          <w:rFonts w:cs="Times New Roman"/>
          <w:noProof/>
          <w:lang w:val="sk-SK"/>
        </w:rPr>
        <w:t>digitálnej transformácii nahradením</w:t>
      </w:r>
      <w:r w:rsidR="00083739" w:rsidRPr="00083739">
        <w:rPr>
          <w:rFonts w:cs="Times New Roman"/>
          <w:noProof/>
          <w:lang w:val="sk-SK"/>
        </w:rPr>
        <w:t xml:space="preserve"> a </w:t>
      </w:r>
      <w:r w:rsidRPr="00083739">
        <w:rPr>
          <w:rFonts w:cs="Times New Roman"/>
          <w:noProof/>
          <w:lang w:val="sk-SK"/>
        </w:rPr>
        <w:t>modernizáciou základných digitálnych systémov nezávislého orgánu pre verejné príjmy (IAPR), zavedením automatizovaných kancelárskych</w:t>
      </w:r>
      <w:r w:rsidR="00083739" w:rsidRPr="00083739">
        <w:rPr>
          <w:rFonts w:cs="Times New Roman"/>
          <w:noProof/>
          <w:lang w:val="sk-SK"/>
        </w:rPr>
        <w:t xml:space="preserve"> a </w:t>
      </w:r>
      <w:r w:rsidRPr="00083739">
        <w:rPr>
          <w:rFonts w:cs="Times New Roman"/>
          <w:noProof/>
          <w:lang w:val="sk-SK"/>
        </w:rPr>
        <w:t>pracovných procesov, digital</w:t>
      </w:r>
      <w:r w:rsidRPr="00083739">
        <w:rPr>
          <w:rFonts w:cs="Times New Roman"/>
          <w:noProof/>
          <w:lang w:val="sk-SK"/>
        </w:rPr>
        <w:t>izáciou auditov</w:t>
      </w:r>
      <w:r w:rsidR="00083739" w:rsidRPr="00083739">
        <w:rPr>
          <w:rFonts w:cs="Times New Roman"/>
          <w:noProof/>
          <w:lang w:val="sk-SK"/>
        </w:rPr>
        <w:t xml:space="preserve"> a </w:t>
      </w:r>
      <w:r w:rsidRPr="00083739">
        <w:rPr>
          <w:rFonts w:cs="Times New Roman"/>
          <w:noProof/>
          <w:lang w:val="sk-SK"/>
        </w:rPr>
        <w:t>kontrol, ako aj aktualizáciou</w:t>
      </w:r>
      <w:r w:rsidR="00083739" w:rsidRPr="00083739">
        <w:rPr>
          <w:rFonts w:cs="Times New Roman"/>
          <w:noProof/>
          <w:lang w:val="sk-SK"/>
        </w:rPr>
        <w:t xml:space="preserve"> a </w:t>
      </w:r>
      <w:r w:rsidRPr="00083739">
        <w:rPr>
          <w:rFonts w:cs="Times New Roman"/>
          <w:noProof/>
          <w:lang w:val="sk-SK"/>
        </w:rPr>
        <w:t>zlepšením elektronických služieb pre daňovníkov.</w:t>
      </w:r>
    </w:p>
    <w:p w14:paraId="103C4673" w14:textId="77777777" w:rsidR="002D49B0" w:rsidRPr="00083739" w:rsidRDefault="002D49B0">
      <w:pPr>
        <w:spacing w:before="120" w:after="120" w:line="240" w:lineRule="auto"/>
        <w:jc w:val="both"/>
        <w:rPr>
          <w:rFonts w:ascii="Times New Roman" w:hAnsi="Times New Roman" w:cs="Times New Roman"/>
          <w:noProof/>
          <w:sz w:val="24"/>
          <w:lang w:val="sk-SK"/>
        </w:rPr>
      </w:pPr>
    </w:p>
    <w:p w14:paraId="73676CAF" w14:textId="75887246" w:rsidR="002D49B0" w:rsidRPr="00083739" w:rsidRDefault="00BF4125">
      <w:pPr>
        <w:pStyle w:val="P68B1DB1-Normal4"/>
        <w:spacing w:before="120" w:after="120" w:line="240" w:lineRule="auto"/>
        <w:jc w:val="both"/>
        <w:rPr>
          <w:rFonts w:cs="Times New Roman"/>
          <w:noProof/>
          <w:szCs w:val="24"/>
          <w:lang w:val="sk-SK"/>
        </w:rPr>
      </w:pPr>
      <w:r w:rsidRPr="00083739">
        <w:rPr>
          <w:rFonts w:cs="Times New Roman"/>
          <w:noProof/>
          <w:lang w:val="sk-SK"/>
        </w:rPr>
        <w:t>Tento komponent podporuje riešenie odporúčaní pre danú krajinu týkajúcich sa verejných</w:t>
      </w:r>
      <w:r w:rsidR="00083739" w:rsidRPr="00083739">
        <w:rPr>
          <w:rFonts w:cs="Times New Roman"/>
          <w:noProof/>
          <w:lang w:val="sk-SK"/>
        </w:rPr>
        <w:t xml:space="preserve"> a </w:t>
      </w:r>
      <w:r w:rsidRPr="00083739">
        <w:rPr>
          <w:rFonts w:cs="Times New Roman"/>
          <w:noProof/>
          <w:lang w:val="sk-SK"/>
        </w:rPr>
        <w:t>súkromných investícií (odporúčanie pre Španielsko č. 3 2020), štruk</w:t>
      </w:r>
      <w:r w:rsidRPr="00083739">
        <w:rPr>
          <w:rFonts w:cs="Times New Roman"/>
          <w:noProof/>
          <w:lang w:val="sk-SK"/>
        </w:rPr>
        <w:t>turálnych reforiem na zlepšenie fungovania hospodárstva (odporúčanie pre Španielsko č. 4 2020)</w:t>
      </w:r>
      <w:r w:rsidR="00083739" w:rsidRPr="00083739">
        <w:rPr>
          <w:rFonts w:cs="Times New Roman"/>
          <w:noProof/>
          <w:lang w:val="sk-SK"/>
        </w:rPr>
        <w:t xml:space="preserve"> a </w:t>
      </w:r>
      <w:r w:rsidRPr="00083739">
        <w:rPr>
          <w:rFonts w:cs="Times New Roman"/>
          <w:noProof/>
          <w:lang w:val="sk-SK"/>
        </w:rPr>
        <w:t>daňovej politiky</w:t>
      </w:r>
      <w:r w:rsidR="00083739" w:rsidRPr="00083739">
        <w:rPr>
          <w:rFonts w:cs="Times New Roman"/>
          <w:noProof/>
          <w:lang w:val="sk-SK"/>
        </w:rPr>
        <w:t xml:space="preserve"> a </w:t>
      </w:r>
      <w:r w:rsidRPr="00083739">
        <w:rPr>
          <w:rFonts w:cs="Times New Roman"/>
          <w:noProof/>
          <w:lang w:val="sk-SK"/>
        </w:rPr>
        <w:t>daňovej správy (odporúčanie pre Španielsko č. 1 2022</w:t>
      </w:r>
      <w:r w:rsidR="00083739" w:rsidRPr="00083739">
        <w:rPr>
          <w:rFonts w:cs="Times New Roman"/>
          <w:noProof/>
          <w:lang w:val="sk-SK"/>
        </w:rPr>
        <w:t xml:space="preserve"> a </w:t>
      </w:r>
      <w:r w:rsidRPr="00083739">
        <w:rPr>
          <w:rFonts w:cs="Times New Roman"/>
          <w:noProof/>
          <w:lang w:val="sk-SK"/>
        </w:rPr>
        <w:t>odporúčanie pre danú krajinu č. 1 2023). Očakáva sa, že žiadne opatrenie</w:t>
      </w:r>
      <w:r w:rsidR="00083739" w:rsidRPr="00083739">
        <w:rPr>
          <w:rFonts w:cs="Times New Roman"/>
          <w:noProof/>
          <w:lang w:val="sk-SK"/>
        </w:rPr>
        <w:t xml:space="preserve"> v </w:t>
      </w:r>
      <w:r w:rsidRPr="00083739">
        <w:rPr>
          <w:rFonts w:cs="Times New Roman"/>
          <w:noProof/>
          <w:lang w:val="sk-SK"/>
        </w:rPr>
        <w:t>tomto komp</w:t>
      </w:r>
      <w:r w:rsidRPr="00083739">
        <w:rPr>
          <w:rFonts w:cs="Times New Roman"/>
          <w:noProof/>
          <w:lang w:val="sk-SK"/>
        </w:rPr>
        <w:t>onente výrazne nenaruší environmentálne ciele</w:t>
      </w:r>
      <w:r w:rsidR="00083739" w:rsidRPr="00083739">
        <w:rPr>
          <w:rFonts w:cs="Times New Roman"/>
          <w:noProof/>
          <w:lang w:val="sk-SK"/>
        </w:rPr>
        <w:t xml:space="preserve"> v </w:t>
      </w:r>
      <w:r w:rsidRPr="00083739">
        <w:rPr>
          <w:rFonts w:cs="Times New Roman"/>
          <w:noProof/>
          <w:lang w:val="sk-SK"/>
        </w:rPr>
        <w:t>zmysle článku 17 nariadenia (EÚ) 2020/852, pričom sa zohľadní opis opatrení</w:t>
      </w:r>
      <w:r w:rsidR="00083739" w:rsidRPr="00083739">
        <w:rPr>
          <w:rFonts w:cs="Times New Roman"/>
          <w:noProof/>
          <w:lang w:val="sk-SK"/>
        </w:rPr>
        <w:t xml:space="preserve"> a </w:t>
      </w:r>
      <w:r w:rsidRPr="00083739">
        <w:rPr>
          <w:rFonts w:cs="Times New Roman"/>
          <w:noProof/>
          <w:lang w:val="sk-SK"/>
        </w:rPr>
        <w:t>zmierňujúcich krokov stanovených</w:t>
      </w:r>
      <w:r w:rsidR="00083739" w:rsidRPr="00083739">
        <w:rPr>
          <w:rFonts w:cs="Times New Roman"/>
          <w:noProof/>
          <w:lang w:val="sk-SK"/>
        </w:rPr>
        <w:t xml:space="preserve"> v </w:t>
      </w:r>
      <w:r w:rsidRPr="00083739">
        <w:rPr>
          <w:rFonts w:cs="Times New Roman"/>
          <w:noProof/>
          <w:lang w:val="sk-SK"/>
        </w:rPr>
        <w:t>pláne podpory obnovy</w:t>
      </w:r>
      <w:r w:rsidR="00083739" w:rsidRPr="00083739">
        <w:rPr>
          <w:rFonts w:cs="Times New Roman"/>
          <w:noProof/>
          <w:lang w:val="sk-SK"/>
        </w:rPr>
        <w:t xml:space="preserve"> a </w:t>
      </w:r>
      <w:r w:rsidRPr="00083739">
        <w:rPr>
          <w:rFonts w:cs="Times New Roman"/>
          <w:noProof/>
          <w:lang w:val="sk-SK"/>
        </w:rPr>
        <w:t>odolnosti</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 xml:space="preserve">technickým usmernením „výrazne nenarušiť“ </w:t>
      </w:r>
      <w:r w:rsidRPr="00083739">
        <w:rPr>
          <w:rFonts w:cs="Times New Roman"/>
          <w:noProof/>
          <w:lang w:val="sk-SK"/>
        </w:rPr>
        <w:t>(2021/C58/01).</w:t>
      </w:r>
    </w:p>
    <w:p w14:paraId="61C17DA4" w14:textId="0258DA16" w:rsidR="002D49B0" w:rsidRPr="00083739" w:rsidRDefault="00BF4125">
      <w:pPr>
        <w:spacing w:before="120" w:after="120" w:line="240" w:lineRule="auto"/>
        <w:jc w:val="both"/>
        <w:rPr>
          <w:rFonts w:ascii="Times New Roman" w:hAnsi="Times New Roman" w:cs="Times New Roman"/>
          <w:b/>
          <w:bCs/>
          <w:i/>
          <w:iCs/>
          <w:noProof/>
          <w:color w:val="4F81BD"/>
          <w:sz w:val="24"/>
          <w:lang w:val="sk-SK"/>
        </w:rPr>
      </w:pPr>
      <w:r w:rsidRPr="00083739">
        <w:rPr>
          <w:rFonts w:ascii="Times New Roman" w:hAnsi="Times New Roman" w:cs="Times New Roman"/>
          <w:b/>
          <w:noProof/>
          <w:sz w:val="24"/>
          <w:u w:val="single"/>
          <w:lang w:val="sk-SK"/>
        </w:rPr>
        <w:t xml:space="preserve">L.1. </w:t>
      </w:r>
      <w:r w:rsidRPr="00083739">
        <w:rPr>
          <w:rFonts w:ascii="Times New Roman" w:hAnsi="Times New Roman" w:cs="Times New Roman"/>
          <w:noProof/>
          <w:lang w:val="sk-SK"/>
        </w:rPr>
        <w:t xml:space="preserve"> </w:t>
      </w:r>
      <w:r w:rsidRPr="00083739">
        <w:rPr>
          <w:rFonts w:ascii="Times New Roman" w:hAnsi="Times New Roman" w:cs="Times New Roman"/>
          <w:b/>
          <w:noProof/>
          <w:sz w:val="24"/>
          <w:u w:val="single"/>
          <w:lang w:val="sk-SK"/>
        </w:rPr>
        <w:t>Opis reforiem</w:t>
      </w:r>
      <w:r w:rsidR="00083739" w:rsidRPr="00083739">
        <w:rPr>
          <w:rFonts w:ascii="Times New Roman" w:hAnsi="Times New Roman" w:cs="Times New Roman"/>
          <w:b/>
          <w:noProof/>
          <w:sz w:val="24"/>
          <w:u w:val="single"/>
          <w:lang w:val="sk-SK"/>
        </w:rPr>
        <w:t xml:space="preserve"> a </w:t>
      </w:r>
      <w:r w:rsidRPr="00083739">
        <w:rPr>
          <w:rFonts w:ascii="Times New Roman" w:hAnsi="Times New Roman" w:cs="Times New Roman"/>
          <w:b/>
          <w:noProof/>
          <w:sz w:val="24"/>
          <w:u w:val="single"/>
          <w:lang w:val="sk-SK"/>
        </w:rPr>
        <w:t>investícií</w:t>
      </w:r>
      <w:r w:rsidR="00083739" w:rsidRPr="00083739">
        <w:rPr>
          <w:rFonts w:ascii="Times New Roman" w:hAnsi="Times New Roman" w:cs="Times New Roman"/>
          <w:b/>
          <w:noProof/>
          <w:sz w:val="24"/>
          <w:u w:val="single"/>
          <w:lang w:val="sk-SK"/>
        </w:rPr>
        <w:t xml:space="preserve"> v </w:t>
      </w:r>
      <w:r w:rsidRPr="00083739">
        <w:rPr>
          <w:rFonts w:ascii="Times New Roman" w:hAnsi="Times New Roman" w:cs="Times New Roman"/>
          <w:b/>
          <w:noProof/>
          <w:sz w:val="24"/>
          <w:u w:val="single"/>
          <w:lang w:val="sk-SK"/>
        </w:rPr>
        <w:t>rámci nenávratnej finančnej podpory</w:t>
      </w:r>
    </w:p>
    <w:p w14:paraId="56FDF762" w14:textId="77777777" w:rsidR="002D49B0" w:rsidRPr="00083739" w:rsidRDefault="00BF4125">
      <w:pPr>
        <w:pStyle w:val="P68B1DB1-Normal5"/>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Digitálna transformácia daňových auditov (ID opatrenia 16611)</w:t>
      </w:r>
    </w:p>
    <w:p w14:paraId="68085FA3" w14:textId="476E2CA8" w:rsidR="002D49B0" w:rsidRPr="00083739" w:rsidRDefault="00BF4125">
      <w:pPr>
        <w:pStyle w:val="P68B1DB1-Normal22"/>
        <w:spacing w:before="120" w:after="120" w:line="240" w:lineRule="auto"/>
        <w:jc w:val="both"/>
        <w:rPr>
          <w:rFonts w:ascii="Times New Roman" w:hAnsi="Times New Roman" w:cs="Times New Roman"/>
          <w:noProof/>
          <w:lang w:val="sk-SK"/>
        </w:rPr>
      </w:pPr>
      <w:r w:rsidRPr="00083739">
        <w:rPr>
          <w:rFonts w:ascii="Times New Roman" w:hAnsi="Times New Roman" w:cs="Times New Roman"/>
          <w:noProof/>
          <w:lang w:val="sk-SK"/>
        </w:rPr>
        <w:t>Cieľom investície je i) uľahčiť automatické vypĺňanie daňových priznaní; ii) zvýšiť účinnosť daň</w:t>
      </w:r>
      <w:r w:rsidRPr="00083739">
        <w:rPr>
          <w:rFonts w:ascii="Times New Roman" w:hAnsi="Times New Roman" w:cs="Times New Roman"/>
          <w:noProof/>
          <w:lang w:val="sk-SK"/>
        </w:rPr>
        <w:t>ových auditov; iii) zlepšiť výber verejných príjmov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iv) zvýšiť účinnosť daňových auditov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bojovať proti pašovaniu.</w:t>
      </w:r>
      <w:r w:rsidRPr="00083739">
        <w:rPr>
          <w:rFonts w:ascii="Times New Roman" w:eastAsiaTheme="minorEastAsia" w:hAnsi="Times New Roman" w:cs="Times New Roman"/>
          <w:noProof/>
          <w:lang w:val="sk-SK"/>
        </w:rPr>
        <w:t xml:space="preserve"> </w:t>
      </w:r>
      <w:r w:rsidRPr="00083739">
        <w:rPr>
          <w:rFonts w:ascii="Times New Roman" w:hAnsi="Times New Roman" w:cs="Times New Roman"/>
          <w:noProof/>
          <w:lang w:val="sk-SK"/>
        </w:rPr>
        <w:t>IAPR využíva nástroj myDATA na elektronickú evidenciu, elektronickú fakturáciu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prepojenie všetkých daňových pokladničných registrov so </w:t>
      </w:r>
      <w:r w:rsidRPr="00083739">
        <w:rPr>
          <w:rFonts w:ascii="Times New Roman" w:hAnsi="Times New Roman" w:cs="Times New Roman"/>
          <w:noProof/>
          <w:lang w:val="sk-SK"/>
        </w:rPr>
        <w:t>svojimi informačnými systémami. IAPR takisto zmodernizuje používanie svojich interných údajov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zavedie nástroje umelej inteligencie.  Projekt pozostáva</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prijatia silnej dátovej architektúry, vývoja spoločného úložiska metaúdajov, poskytovania vhodných so</w:t>
      </w:r>
      <w:r w:rsidRPr="00083739">
        <w:rPr>
          <w:rFonts w:ascii="Times New Roman" w:hAnsi="Times New Roman" w:cs="Times New Roman"/>
          <w:noProof/>
          <w:lang w:val="sk-SK"/>
        </w:rPr>
        <w:t>ftvérových riešení, vývoja techník</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nástrojov umelej inteligencie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využívania strojového učenia na ťažbu veľkých dát. Realizácia investície sa ukončí do 31</w:t>
      </w:r>
      <w:r w:rsidR="00083739" w:rsidRPr="00083739">
        <w:rPr>
          <w:rFonts w:ascii="Times New Roman" w:hAnsi="Times New Roman" w:cs="Times New Roman"/>
          <w:noProof/>
          <w:lang w:val="sk-SK"/>
        </w:rPr>
        <w:t>. decembra</w:t>
      </w:r>
      <w:r w:rsidRPr="00083739">
        <w:rPr>
          <w:rFonts w:ascii="Times New Roman" w:hAnsi="Times New Roman" w:cs="Times New Roman"/>
          <w:noProof/>
          <w:lang w:val="sk-SK"/>
        </w:rPr>
        <w:t xml:space="preserve"> 2025.</w:t>
      </w:r>
    </w:p>
    <w:p w14:paraId="2449E5C8" w14:textId="418FD50B"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Reforma:</w:t>
      </w:r>
      <w:r w:rsidRPr="00083739">
        <w:rPr>
          <w:rFonts w:cs="Times New Roman"/>
          <w:noProof/>
          <w:lang w:val="sk-SK"/>
        </w:rPr>
        <w:t xml:space="preserve"> Kodifikácia</w:t>
      </w:r>
      <w:r w:rsidR="00083739" w:rsidRPr="00083739">
        <w:rPr>
          <w:rFonts w:cs="Times New Roman"/>
          <w:noProof/>
          <w:lang w:val="sk-SK"/>
        </w:rPr>
        <w:t xml:space="preserve"> a </w:t>
      </w:r>
      <w:r w:rsidRPr="00083739">
        <w:rPr>
          <w:rFonts w:cs="Times New Roman"/>
          <w:noProof/>
          <w:lang w:val="sk-SK"/>
        </w:rPr>
        <w:t>zjednodušenie daňových právnych predpisov (ID opatrenia 166</w:t>
      </w:r>
      <w:r w:rsidRPr="00083739">
        <w:rPr>
          <w:rFonts w:cs="Times New Roman"/>
          <w:noProof/>
          <w:lang w:val="sk-SK"/>
        </w:rPr>
        <w:t>43)</w:t>
      </w:r>
    </w:p>
    <w:p w14:paraId="344BE403" w14:textId="638D207A" w:rsidR="00083739"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Ministerstvo financií</w:t>
      </w:r>
      <w:r w:rsidR="00083739" w:rsidRPr="00083739">
        <w:rPr>
          <w:rFonts w:cs="Times New Roman"/>
          <w:noProof/>
          <w:lang w:val="sk-SK"/>
        </w:rPr>
        <w:t xml:space="preserve"> a </w:t>
      </w:r>
      <w:r w:rsidRPr="00083739">
        <w:rPr>
          <w:rFonts w:cs="Times New Roman"/>
          <w:noProof/>
          <w:lang w:val="sk-SK"/>
        </w:rPr>
        <w:t>IAPR zjednodušia</w:t>
      </w:r>
      <w:r w:rsidR="00083739" w:rsidRPr="00083739">
        <w:rPr>
          <w:rFonts w:cs="Times New Roman"/>
          <w:noProof/>
          <w:lang w:val="sk-SK"/>
        </w:rPr>
        <w:t xml:space="preserve"> a </w:t>
      </w:r>
      <w:r w:rsidRPr="00083739">
        <w:rPr>
          <w:rFonts w:cs="Times New Roman"/>
          <w:noProof/>
          <w:lang w:val="sk-SK"/>
        </w:rPr>
        <w:t>aktualizujú právne predpisy týkajúce sa hlavných daňových kódexov, colného kódexu</w:t>
      </w:r>
      <w:r w:rsidR="00083739" w:rsidRPr="00083739">
        <w:rPr>
          <w:rFonts w:cs="Times New Roman"/>
          <w:noProof/>
          <w:lang w:val="sk-SK"/>
        </w:rPr>
        <w:t xml:space="preserve"> a </w:t>
      </w:r>
      <w:r w:rsidRPr="00083739">
        <w:rPr>
          <w:rFonts w:cs="Times New Roman"/>
          <w:noProof/>
          <w:lang w:val="sk-SK"/>
        </w:rPr>
        <w:t>všetkých príslušných sekundárnych právnych ustanovení</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najlepšími postupmi EÚ.</w:t>
      </w:r>
      <w:r w:rsidR="00083739" w:rsidRPr="00083739">
        <w:rPr>
          <w:rFonts w:cs="Times New Roman"/>
          <w:noProof/>
          <w:lang w:val="sk-SK"/>
        </w:rPr>
        <w:t xml:space="preserve"> V </w:t>
      </w:r>
      <w:r w:rsidRPr="00083739">
        <w:rPr>
          <w:rFonts w:cs="Times New Roman"/>
          <w:noProof/>
          <w:lang w:val="sk-SK"/>
        </w:rPr>
        <w:t>súlade so základným zákonom IAPR č</w:t>
      </w:r>
      <w:r w:rsidRPr="00083739">
        <w:rPr>
          <w:rFonts w:cs="Times New Roman"/>
          <w:noProof/>
          <w:lang w:val="sk-SK"/>
        </w:rPr>
        <w:t xml:space="preserve">. 4389/2016 preberá IAPR zodpovednosť </w:t>
      </w:r>
      <w:r w:rsidRPr="00083739">
        <w:rPr>
          <w:rFonts w:cs="Times New Roman"/>
          <w:noProof/>
          <w:color w:val="000000"/>
          <w:lang w:val="sk-SK"/>
        </w:rPr>
        <w:t>za</w:t>
      </w:r>
      <w:r w:rsidRPr="00083739">
        <w:rPr>
          <w:rFonts w:cs="Times New Roman"/>
          <w:noProof/>
          <w:lang w:val="sk-SK"/>
        </w:rPr>
        <w:t xml:space="preserve"> aktualizáciu</w:t>
      </w:r>
      <w:r w:rsidR="00083739" w:rsidRPr="00083739">
        <w:rPr>
          <w:rFonts w:cs="Times New Roman"/>
          <w:noProof/>
          <w:lang w:val="sk-SK"/>
        </w:rPr>
        <w:t xml:space="preserve"> a </w:t>
      </w:r>
      <w:r w:rsidRPr="00083739">
        <w:rPr>
          <w:rFonts w:cs="Times New Roman"/>
          <w:noProof/>
          <w:lang w:val="sk-SK"/>
        </w:rPr>
        <w:t>modernizáciu daňového poriadku, rozhodnutí guvernéra</w:t>
      </w:r>
      <w:r w:rsidR="00083739" w:rsidRPr="00083739">
        <w:rPr>
          <w:rFonts w:cs="Times New Roman"/>
          <w:noProof/>
          <w:lang w:val="sk-SK"/>
        </w:rPr>
        <w:t xml:space="preserve"> a </w:t>
      </w:r>
      <w:r w:rsidRPr="00083739">
        <w:rPr>
          <w:rFonts w:cs="Times New Roman"/>
          <w:noProof/>
          <w:lang w:val="sk-SK"/>
        </w:rPr>
        <w:t>obežníkov</w:t>
      </w:r>
      <w:r w:rsidR="00083739" w:rsidRPr="00083739">
        <w:rPr>
          <w:rFonts w:cs="Times New Roman"/>
          <w:noProof/>
          <w:lang w:val="sk-SK"/>
        </w:rPr>
        <w:t xml:space="preserve"> o </w:t>
      </w:r>
      <w:r w:rsidRPr="00083739">
        <w:rPr>
          <w:rFonts w:cs="Times New Roman"/>
          <w:noProof/>
          <w:lang w:val="sk-SK"/>
        </w:rPr>
        <w:t>správe príjmov vrátane vypracovania zmien potrebných na digitalizáciu</w:t>
      </w:r>
      <w:r w:rsidR="00083739" w:rsidRPr="00083739">
        <w:rPr>
          <w:rFonts w:cs="Times New Roman"/>
          <w:noProof/>
          <w:lang w:val="sk-SK"/>
        </w:rPr>
        <w:t xml:space="preserve"> a </w:t>
      </w:r>
      <w:r w:rsidRPr="00083739">
        <w:rPr>
          <w:rFonts w:cs="Times New Roman"/>
          <w:noProof/>
          <w:lang w:val="sk-SK"/>
        </w:rPr>
        <w:t>zjednodušenie daňovej správy</w:t>
      </w:r>
      <w:r w:rsidR="00083739" w:rsidRPr="00083739">
        <w:rPr>
          <w:rFonts w:cs="Times New Roman"/>
          <w:noProof/>
          <w:lang w:val="sk-SK"/>
        </w:rPr>
        <w:t>.</w:t>
      </w:r>
    </w:p>
    <w:p w14:paraId="3CC9623A" w14:textId="15FD5FAB" w:rsidR="002D49B0" w:rsidRPr="00083739" w:rsidRDefault="00BF4125">
      <w:pPr>
        <w:pStyle w:val="P68B1DB1-Normal4"/>
        <w:rPr>
          <w:rFonts w:cs="Times New Roman"/>
          <w:noProof/>
          <w:lang w:val="sk-SK"/>
        </w:rPr>
      </w:pPr>
      <w:r w:rsidRPr="00083739">
        <w:rPr>
          <w:rFonts w:cs="Times New Roman"/>
          <w:noProof/>
          <w:lang w:val="sk-SK"/>
        </w:rPr>
        <w:br w:type="page"/>
      </w:r>
    </w:p>
    <w:p w14:paraId="4200DCE8" w14:textId="5D9CAE26"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Ministerstvo financií</w:t>
      </w:r>
      <w:r w:rsidR="00083739" w:rsidRPr="00083739">
        <w:rPr>
          <w:rFonts w:cs="Times New Roman"/>
          <w:noProof/>
          <w:lang w:val="sk-SK"/>
        </w:rPr>
        <w:t xml:space="preserve"> a </w:t>
      </w:r>
      <w:r w:rsidRPr="00083739">
        <w:rPr>
          <w:rFonts w:cs="Times New Roman"/>
          <w:noProof/>
          <w:lang w:val="sk-SK"/>
        </w:rPr>
        <w:t xml:space="preserve">IAPR </w:t>
      </w:r>
      <w:r w:rsidRPr="00083739">
        <w:rPr>
          <w:rFonts w:cs="Times New Roman"/>
          <w:noProof/>
          <w:lang w:val="sk-SK"/>
        </w:rPr>
        <w:t>poskytnú aj systém správy obsahu</w:t>
      </w:r>
      <w:r w:rsidR="00083739" w:rsidRPr="00083739">
        <w:rPr>
          <w:rFonts w:cs="Times New Roman"/>
          <w:noProof/>
          <w:lang w:val="sk-SK"/>
        </w:rPr>
        <w:t xml:space="preserve"> a </w:t>
      </w:r>
      <w:r w:rsidRPr="00083739">
        <w:rPr>
          <w:rFonts w:cs="Times New Roman"/>
          <w:noProof/>
          <w:lang w:val="sk-SK"/>
        </w:rPr>
        <w:t>osobitné webové sídlo pre informácie</w:t>
      </w:r>
      <w:r w:rsidR="00083739" w:rsidRPr="00083739">
        <w:rPr>
          <w:rFonts w:cs="Times New Roman"/>
          <w:noProof/>
          <w:lang w:val="sk-SK"/>
        </w:rPr>
        <w:t xml:space="preserve"> o </w:t>
      </w:r>
      <w:r w:rsidRPr="00083739">
        <w:rPr>
          <w:rFonts w:cs="Times New Roman"/>
          <w:noProof/>
          <w:lang w:val="sk-SK"/>
        </w:rPr>
        <w:t>daňovníkoch, čím sa zvýši transparentnosť, právna istota, dodržiavanie daňových predpisov</w:t>
      </w:r>
      <w:r w:rsidR="00083739" w:rsidRPr="00083739">
        <w:rPr>
          <w:rFonts w:cs="Times New Roman"/>
          <w:noProof/>
          <w:lang w:val="sk-SK"/>
        </w:rPr>
        <w:t xml:space="preserve"> a </w:t>
      </w:r>
      <w:r w:rsidRPr="00083739">
        <w:rPr>
          <w:rFonts w:cs="Times New Roman"/>
          <w:noProof/>
          <w:lang w:val="sk-SK"/>
        </w:rPr>
        <w:t>podnikateľské prostredie. Implementácia tejto reformy sa dokončí do 31</w:t>
      </w:r>
      <w:r w:rsidR="00083739" w:rsidRPr="00083739">
        <w:rPr>
          <w:rFonts w:cs="Times New Roman"/>
          <w:noProof/>
          <w:lang w:val="sk-SK"/>
        </w:rPr>
        <w:t>. decembra</w:t>
      </w:r>
      <w:r w:rsidRPr="00083739">
        <w:rPr>
          <w:rFonts w:cs="Times New Roman"/>
          <w:noProof/>
          <w:lang w:val="sk-SK"/>
        </w:rPr>
        <w:t xml:space="preserve"> 2025.</w:t>
      </w:r>
    </w:p>
    <w:p w14:paraId="3627936A" w14:textId="7777777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Ref</w:t>
      </w:r>
      <w:r w:rsidRPr="00083739">
        <w:rPr>
          <w:rFonts w:cs="Times New Roman"/>
          <w:b/>
          <w:noProof/>
          <w:lang w:val="sk-SK"/>
        </w:rPr>
        <w:t>orma:</w:t>
      </w:r>
      <w:r w:rsidRPr="00083739">
        <w:rPr>
          <w:rFonts w:cs="Times New Roman"/>
          <w:noProof/>
          <w:lang w:val="sk-SK"/>
        </w:rPr>
        <w:t xml:space="preserve"> Podpora urýchlenia vrátenia DPH (identifikačné opatrenie 16610)</w:t>
      </w:r>
    </w:p>
    <w:p w14:paraId="274F08E6" w14:textId="2F692F57" w:rsidR="002D49B0" w:rsidRPr="00083739" w:rsidRDefault="00BF4125">
      <w:pPr>
        <w:pStyle w:val="P68B1DB1-Normal5"/>
        <w:spacing w:before="120" w:after="120" w:line="240" w:lineRule="auto"/>
        <w:jc w:val="both"/>
        <w:rPr>
          <w:rFonts w:cs="Times New Roman"/>
          <w:noProof/>
          <w:lang w:val="sk-SK"/>
        </w:rPr>
      </w:pPr>
      <w:r w:rsidRPr="00083739">
        <w:rPr>
          <w:rFonts w:cs="Times New Roman"/>
          <w:noProof/>
          <w:lang w:val="sk-SK"/>
        </w:rPr>
        <w:t>IAPR zjednoduší administratívne postupy vrátenia DPH pre podniky zavedením automatizovaných postupov vrátenia DPH, elektronickým predkladaním</w:t>
      </w:r>
      <w:r w:rsidR="00083739" w:rsidRPr="00083739">
        <w:rPr>
          <w:rFonts w:cs="Times New Roman"/>
          <w:noProof/>
          <w:lang w:val="sk-SK"/>
        </w:rPr>
        <w:t xml:space="preserve"> a </w:t>
      </w:r>
      <w:r w:rsidRPr="00083739">
        <w:rPr>
          <w:rFonts w:cs="Times New Roman"/>
          <w:noProof/>
          <w:lang w:val="sk-SK"/>
        </w:rPr>
        <w:t>uľahčením procesu analýzy rizika</w:t>
      </w:r>
      <w:r w:rsidR="00083739" w:rsidRPr="00083739">
        <w:rPr>
          <w:rFonts w:cs="Times New Roman"/>
          <w:noProof/>
          <w:lang w:val="sk-SK"/>
        </w:rPr>
        <w:t xml:space="preserve"> v </w:t>
      </w:r>
      <w:r w:rsidRPr="00083739">
        <w:rPr>
          <w:rFonts w:cs="Times New Roman"/>
          <w:noProof/>
          <w:lang w:val="sk-SK"/>
        </w:rPr>
        <w:t>prípade</w:t>
      </w:r>
      <w:r w:rsidRPr="00083739">
        <w:rPr>
          <w:rFonts w:cs="Times New Roman"/>
          <w:noProof/>
          <w:lang w:val="sk-SK"/>
        </w:rPr>
        <w:t xml:space="preserve"> žiadostí</w:t>
      </w:r>
      <w:r w:rsidR="00083739" w:rsidRPr="00083739">
        <w:rPr>
          <w:rFonts w:cs="Times New Roman"/>
          <w:noProof/>
          <w:lang w:val="sk-SK"/>
        </w:rPr>
        <w:t xml:space="preserve"> o </w:t>
      </w:r>
      <w:r w:rsidRPr="00083739">
        <w:rPr>
          <w:rFonts w:cs="Times New Roman"/>
          <w:noProof/>
          <w:lang w:val="sk-SK"/>
        </w:rPr>
        <w:t>vrátenie DPH. Cieľom nového procesu je obmedziť ľudský zásah prostredníctvom digitálnych transakcií</w:t>
      </w:r>
      <w:r w:rsidR="00083739" w:rsidRPr="00083739">
        <w:rPr>
          <w:rFonts w:cs="Times New Roman"/>
          <w:noProof/>
          <w:lang w:val="sk-SK"/>
        </w:rPr>
        <w:t xml:space="preserve"> a </w:t>
      </w:r>
      <w:r w:rsidRPr="00083739">
        <w:rPr>
          <w:rFonts w:cs="Times New Roman"/>
          <w:noProof/>
          <w:lang w:val="sk-SK"/>
        </w:rPr>
        <w:t>riešiť oneskorenia pri vracaní DPH. Reforma musí byť</w:t>
      </w:r>
      <w:r w:rsidR="00083739" w:rsidRPr="00083739">
        <w:rPr>
          <w:rFonts w:cs="Times New Roman"/>
          <w:noProof/>
          <w:lang w:val="sk-SK"/>
        </w:rPr>
        <w:t xml:space="preserve"> v </w:t>
      </w:r>
      <w:r w:rsidRPr="00083739">
        <w:rPr>
          <w:rFonts w:cs="Times New Roman"/>
          <w:noProof/>
          <w:lang w:val="sk-SK"/>
        </w:rPr>
        <w:t>súlade so smernicou</w:t>
      </w:r>
      <w:r w:rsidR="00083739" w:rsidRPr="00083739">
        <w:rPr>
          <w:rFonts w:cs="Times New Roman"/>
          <w:noProof/>
          <w:lang w:val="sk-SK"/>
        </w:rPr>
        <w:t xml:space="preserve"> o </w:t>
      </w:r>
      <w:r w:rsidRPr="00083739">
        <w:rPr>
          <w:rFonts w:cs="Times New Roman"/>
          <w:noProof/>
          <w:lang w:val="sk-SK"/>
        </w:rPr>
        <w:t>vrátení DPH (smernica Rady 2008/9/ES). Implementácia reformy sa d</w:t>
      </w:r>
      <w:r w:rsidRPr="00083739">
        <w:rPr>
          <w:rFonts w:cs="Times New Roman"/>
          <w:noProof/>
          <w:lang w:val="sk-SK"/>
        </w:rPr>
        <w:t>okončí do 31</w:t>
      </w:r>
      <w:r w:rsidR="00083739" w:rsidRPr="00083739">
        <w:rPr>
          <w:rFonts w:cs="Times New Roman"/>
          <w:noProof/>
          <w:lang w:val="sk-SK"/>
        </w:rPr>
        <w:t>. decembra</w:t>
      </w:r>
      <w:r w:rsidRPr="00083739">
        <w:rPr>
          <w:rFonts w:cs="Times New Roman"/>
          <w:noProof/>
          <w:lang w:val="sk-SK"/>
        </w:rPr>
        <w:t xml:space="preserve"> 2023.</w:t>
      </w:r>
    </w:p>
    <w:p w14:paraId="1E152CA9" w14:textId="7AE8CEAE"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Reforma:</w:t>
      </w:r>
      <w:r w:rsidRPr="00083739">
        <w:rPr>
          <w:rFonts w:cs="Times New Roman"/>
          <w:noProof/>
          <w:lang w:val="sk-SK"/>
        </w:rPr>
        <w:t xml:space="preserve"> Prijatie opatrení</w:t>
      </w:r>
      <w:r w:rsidR="00083739" w:rsidRPr="00083739">
        <w:rPr>
          <w:rFonts w:cs="Times New Roman"/>
          <w:noProof/>
          <w:lang w:val="sk-SK"/>
        </w:rPr>
        <w:t xml:space="preserve"> a </w:t>
      </w:r>
      <w:r w:rsidRPr="00083739">
        <w:rPr>
          <w:rFonts w:cs="Times New Roman"/>
          <w:noProof/>
          <w:lang w:val="sk-SK"/>
        </w:rPr>
        <w:t>stimulov na zvýšenie počtu elektronických transakcií (ID opatrenia 16616)</w:t>
      </w:r>
    </w:p>
    <w:p w14:paraId="2D5EFF5A" w14:textId="3B0DA148"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Cieľom reformy je znížiť administratívne zaťaženie podnikov</w:t>
      </w:r>
      <w:r w:rsidR="00083739" w:rsidRPr="00083739">
        <w:rPr>
          <w:rFonts w:cs="Times New Roman"/>
          <w:noProof/>
          <w:lang w:val="sk-SK"/>
        </w:rPr>
        <w:t xml:space="preserve"> a </w:t>
      </w:r>
      <w:r w:rsidRPr="00083739">
        <w:rPr>
          <w:rFonts w:cs="Times New Roman"/>
          <w:noProof/>
          <w:lang w:val="sk-SK"/>
        </w:rPr>
        <w:t>zlepšiť dodržiavanie daňových predpisov podporou elektronickýc</w:t>
      </w:r>
      <w:r w:rsidRPr="00083739">
        <w:rPr>
          <w:rFonts w:cs="Times New Roman"/>
          <w:noProof/>
          <w:lang w:val="sk-SK"/>
        </w:rPr>
        <w:t>h transakcií. IAPR využíva nástroj myDATA na elektronickú evidenciu, elektronickú fakturáciu</w:t>
      </w:r>
      <w:r w:rsidR="00083739" w:rsidRPr="00083739">
        <w:rPr>
          <w:rFonts w:cs="Times New Roman"/>
          <w:noProof/>
          <w:lang w:val="sk-SK"/>
        </w:rPr>
        <w:t xml:space="preserve"> a </w:t>
      </w:r>
      <w:r w:rsidRPr="00083739">
        <w:rPr>
          <w:rFonts w:cs="Times New Roman"/>
          <w:noProof/>
          <w:lang w:val="sk-SK"/>
        </w:rPr>
        <w:t>prepojenie všetkých daňových pokladničných registrov so svojimi IT systémami</w:t>
      </w:r>
      <w:r w:rsidR="00083739" w:rsidRPr="00083739">
        <w:rPr>
          <w:rFonts w:cs="Times New Roman"/>
          <w:noProof/>
          <w:lang w:val="sk-SK"/>
        </w:rPr>
        <w:t xml:space="preserve"> s </w:t>
      </w:r>
      <w:r w:rsidRPr="00083739">
        <w:rPr>
          <w:rFonts w:cs="Times New Roman"/>
          <w:noProof/>
          <w:lang w:val="sk-SK"/>
        </w:rPr>
        <w:t>cieľom uľahčiť automatické vypĺňanie daňových priznaní</w:t>
      </w:r>
      <w:r w:rsidR="00083739" w:rsidRPr="00083739">
        <w:rPr>
          <w:rFonts w:cs="Times New Roman"/>
          <w:noProof/>
          <w:lang w:val="sk-SK"/>
        </w:rPr>
        <w:t xml:space="preserve"> a </w:t>
      </w:r>
      <w:r w:rsidRPr="00083739">
        <w:rPr>
          <w:rFonts w:cs="Times New Roman"/>
          <w:noProof/>
          <w:lang w:val="sk-SK"/>
        </w:rPr>
        <w:t xml:space="preserve">zvýšiť účinnosť daňových </w:t>
      </w:r>
      <w:r w:rsidRPr="00083739">
        <w:rPr>
          <w:rFonts w:cs="Times New Roman"/>
          <w:noProof/>
          <w:lang w:val="sk-SK"/>
        </w:rPr>
        <w:t>auditov. Implementácia daňových stimulov reformy sa dokončí do 31</w:t>
      </w:r>
      <w:r w:rsidR="00083739" w:rsidRPr="00083739">
        <w:rPr>
          <w:rFonts w:cs="Times New Roman"/>
          <w:noProof/>
          <w:lang w:val="sk-SK"/>
        </w:rPr>
        <w:t>. decembra</w:t>
      </w:r>
      <w:r w:rsidRPr="00083739">
        <w:rPr>
          <w:rFonts w:cs="Times New Roman"/>
          <w:noProof/>
          <w:lang w:val="sk-SK"/>
        </w:rPr>
        <w:t xml:space="preserve"> 2023.</w:t>
      </w:r>
    </w:p>
    <w:p w14:paraId="3076DCC3" w14:textId="0FFE424E"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Reforma:</w:t>
      </w:r>
      <w:r w:rsidRPr="00083739">
        <w:rPr>
          <w:rFonts w:cs="Times New Roman"/>
          <w:noProof/>
          <w:lang w:val="sk-SK"/>
        </w:rPr>
        <w:t xml:space="preserve"> Superodpočítanie výdavkov MSP na ekologické hospodárstvo, energetiku</w:t>
      </w:r>
      <w:r w:rsidR="00083739" w:rsidRPr="00083739">
        <w:rPr>
          <w:rFonts w:cs="Times New Roman"/>
          <w:noProof/>
          <w:lang w:val="sk-SK"/>
        </w:rPr>
        <w:t xml:space="preserve"> a </w:t>
      </w:r>
      <w:r w:rsidRPr="00083739">
        <w:rPr>
          <w:rFonts w:cs="Times New Roman"/>
          <w:noProof/>
          <w:lang w:val="sk-SK"/>
        </w:rPr>
        <w:t>digitálnu transformáciu (ID opatrenia 16863)</w:t>
      </w:r>
    </w:p>
    <w:p w14:paraId="5B00001A" w14:textId="7E21CF9F"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Reforma pozostáva</w:t>
      </w:r>
      <w:r w:rsidR="00083739" w:rsidRPr="00083739">
        <w:rPr>
          <w:rFonts w:cs="Times New Roman"/>
          <w:noProof/>
          <w:lang w:val="sk-SK"/>
        </w:rPr>
        <w:t xml:space="preserve"> z </w:t>
      </w:r>
      <w:r w:rsidRPr="00083739">
        <w:rPr>
          <w:rFonts w:cs="Times New Roman"/>
          <w:noProof/>
          <w:lang w:val="sk-SK"/>
        </w:rPr>
        <w:t>daňových stimulov na superodp</w:t>
      </w:r>
      <w:r w:rsidRPr="00083739">
        <w:rPr>
          <w:rFonts w:cs="Times New Roman"/>
          <w:noProof/>
          <w:lang w:val="sk-SK"/>
        </w:rPr>
        <w:t>očítanie výdavkov</w:t>
      </w:r>
      <w:r w:rsidR="00083739" w:rsidRPr="00083739">
        <w:rPr>
          <w:rFonts w:cs="Times New Roman"/>
          <w:noProof/>
          <w:lang w:val="sk-SK"/>
        </w:rPr>
        <w:t xml:space="preserve"> s </w:t>
      </w:r>
      <w:r w:rsidRPr="00083739">
        <w:rPr>
          <w:rFonts w:cs="Times New Roman"/>
          <w:noProof/>
          <w:lang w:val="sk-SK"/>
        </w:rPr>
        <w:t>cieľom posilniť investície malých</w:t>
      </w:r>
      <w:r w:rsidR="00083739" w:rsidRPr="00083739">
        <w:rPr>
          <w:rFonts w:cs="Times New Roman"/>
          <w:noProof/>
          <w:lang w:val="sk-SK"/>
        </w:rPr>
        <w:t xml:space="preserve"> a </w:t>
      </w:r>
      <w:r w:rsidRPr="00083739">
        <w:rPr>
          <w:rFonts w:cs="Times New Roman"/>
          <w:noProof/>
          <w:lang w:val="sk-SK"/>
        </w:rPr>
        <w:t>stredných podnikov do zariadení súvisiacich</w:t>
      </w:r>
      <w:r w:rsidR="00083739" w:rsidRPr="00083739">
        <w:rPr>
          <w:rFonts w:cs="Times New Roman"/>
          <w:noProof/>
          <w:lang w:val="sk-SK"/>
        </w:rPr>
        <w:t xml:space="preserve"> s </w:t>
      </w:r>
      <w:r w:rsidRPr="00083739">
        <w:rPr>
          <w:rFonts w:cs="Times New Roman"/>
          <w:noProof/>
          <w:lang w:val="sk-SK"/>
        </w:rPr>
        <w:t>adaptáciou na zmenu klímy, podporou obehového hospodárstva</w:t>
      </w:r>
      <w:r w:rsidR="00083739" w:rsidRPr="00083739">
        <w:rPr>
          <w:rFonts w:cs="Times New Roman"/>
          <w:noProof/>
          <w:lang w:val="sk-SK"/>
        </w:rPr>
        <w:t xml:space="preserve"> a </w:t>
      </w:r>
      <w:r w:rsidRPr="00083739">
        <w:rPr>
          <w:rFonts w:cs="Times New Roman"/>
          <w:noProof/>
          <w:lang w:val="sk-SK"/>
        </w:rPr>
        <w:t>digitalizáciou. Musí byť plne</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pravidlami EÚ</w:t>
      </w:r>
      <w:r w:rsidR="00083739" w:rsidRPr="00083739">
        <w:rPr>
          <w:rFonts w:cs="Times New Roman"/>
          <w:noProof/>
          <w:lang w:val="sk-SK"/>
        </w:rPr>
        <w:t xml:space="preserve"> o </w:t>
      </w:r>
      <w:r w:rsidRPr="00083739">
        <w:rPr>
          <w:rFonts w:cs="Times New Roman"/>
          <w:noProof/>
          <w:lang w:val="sk-SK"/>
        </w:rPr>
        <w:t>štátnej pomoci. Implementácia daňový</w:t>
      </w:r>
      <w:r w:rsidRPr="00083739">
        <w:rPr>
          <w:rFonts w:cs="Times New Roman"/>
          <w:noProof/>
          <w:lang w:val="sk-SK"/>
        </w:rPr>
        <w:t>ch stimulov reformy sa dokončí do 31</w:t>
      </w:r>
      <w:r w:rsidR="00083739" w:rsidRPr="00083739">
        <w:rPr>
          <w:rFonts w:cs="Times New Roman"/>
          <w:noProof/>
          <w:lang w:val="sk-SK"/>
        </w:rPr>
        <w:t>. decembra</w:t>
      </w:r>
      <w:r w:rsidRPr="00083739">
        <w:rPr>
          <w:rFonts w:cs="Times New Roman"/>
          <w:noProof/>
          <w:lang w:val="sk-SK"/>
        </w:rPr>
        <w:t xml:space="preserve"> 2024.</w:t>
      </w:r>
    </w:p>
    <w:p w14:paraId="2A10C86D" w14:textId="4FD476D5"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Reforma:</w:t>
      </w:r>
      <w:r w:rsidRPr="00083739">
        <w:rPr>
          <w:rFonts w:cs="Times New Roman"/>
          <w:noProof/>
          <w:lang w:val="sk-SK"/>
        </w:rPr>
        <w:t xml:space="preserve"> Nový rámec boja proti pašovaniu, najmä</w:t>
      </w:r>
      <w:r w:rsidR="00083739" w:rsidRPr="00083739">
        <w:rPr>
          <w:rFonts w:cs="Times New Roman"/>
          <w:noProof/>
          <w:lang w:val="sk-SK"/>
        </w:rPr>
        <w:t xml:space="preserve"> v </w:t>
      </w:r>
      <w:r w:rsidRPr="00083739">
        <w:rPr>
          <w:rFonts w:cs="Times New Roman"/>
          <w:noProof/>
          <w:lang w:val="sk-SK"/>
        </w:rPr>
        <w:t>prípade výrobkov podliehajúcich spotrebnej dani (tabak, alkohol</w:t>
      </w:r>
      <w:r w:rsidR="00083739" w:rsidRPr="00083739">
        <w:rPr>
          <w:rFonts w:cs="Times New Roman"/>
          <w:noProof/>
          <w:lang w:val="sk-SK"/>
        </w:rPr>
        <w:t xml:space="preserve"> a </w:t>
      </w:r>
      <w:r w:rsidRPr="00083739">
        <w:rPr>
          <w:rFonts w:cs="Times New Roman"/>
          <w:noProof/>
          <w:lang w:val="sk-SK"/>
        </w:rPr>
        <w:t>energia) (ID opatrenia 16656)</w:t>
      </w:r>
    </w:p>
    <w:p w14:paraId="60E5D569" w14:textId="5C37DB03"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Cieľom reformy je podporiť boj proti pašovaniu, najmä</w:t>
      </w:r>
      <w:r w:rsidR="00083739" w:rsidRPr="00083739">
        <w:rPr>
          <w:rFonts w:cs="Times New Roman"/>
          <w:noProof/>
          <w:lang w:val="sk-SK"/>
        </w:rPr>
        <w:t xml:space="preserve"> v </w:t>
      </w:r>
      <w:r w:rsidRPr="00083739">
        <w:rPr>
          <w:rFonts w:cs="Times New Roman"/>
          <w:noProof/>
          <w:lang w:val="sk-SK"/>
        </w:rPr>
        <w:t>prípade výrobkov podliehajúcich spotrebnej dani (tabak, alkohol, energia), prostredníctvom modernizácie systémov sledovania ciel, audítorských procesov</w:t>
      </w:r>
      <w:r w:rsidR="00083739" w:rsidRPr="00083739">
        <w:rPr>
          <w:rFonts w:cs="Times New Roman"/>
          <w:noProof/>
          <w:lang w:val="sk-SK"/>
        </w:rPr>
        <w:t xml:space="preserve"> a </w:t>
      </w:r>
      <w:r w:rsidRPr="00083739">
        <w:rPr>
          <w:rFonts w:cs="Times New Roman"/>
          <w:noProof/>
          <w:lang w:val="sk-SK"/>
        </w:rPr>
        <w:t>vybavenia</w:t>
      </w:r>
      <w:r w:rsidR="00083739" w:rsidRPr="00083739">
        <w:rPr>
          <w:rFonts w:cs="Times New Roman"/>
          <w:noProof/>
          <w:lang w:val="sk-SK"/>
        </w:rPr>
        <w:t xml:space="preserve"> s </w:t>
      </w:r>
      <w:r w:rsidRPr="00083739">
        <w:rPr>
          <w:rFonts w:cs="Times New Roman"/>
          <w:noProof/>
          <w:lang w:val="sk-SK"/>
        </w:rPr>
        <w:t>cieľom zvýšiť účinnosť auditov nákladu. To si vyžaduje aj modernizáciu informačných systém</w:t>
      </w:r>
      <w:r w:rsidRPr="00083739">
        <w:rPr>
          <w:rFonts w:cs="Times New Roman"/>
          <w:noProof/>
          <w:lang w:val="sk-SK"/>
        </w:rPr>
        <w:t>ov IAPR potrebných na získanie informácií</w:t>
      </w:r>
      <w:r w:rsidR="00083739" w:rsidRPr="00083739">
        <w:rPr>
          <w:rFonts w:cs="Times New Roman"/>
          <w:noProof/>
          <w:lang w:val="sk-SK"/>
        </w:rPr>
        <w:t xml:space="preserve"> z </w:t>
      </w:r>
      <w:r w:rsidRPr="00083739">
        <w:rPr>
          <w:rFonts w:cs="Times New Roman"/>
          <w:noProof/>
          <w:lang w:val="sk-SK"/>
        </w:rPr>
        <w:t>európskych</w:t>
      </w:r>
      <w:r w:rsidR="00083739" w:rsidRPr="00083739">
        <w:rPr>
          <w:rFonts w:cs="Times New Roman"/>
          <w:noProof/>
          <w:lang w:val="sk-SK"/>
        </w:rPr>
        <w:t xml:space="preserve"> a </w:t>
      </w:r>
      <w:r w:rsidRPr="00083739">
        <w:rPr>
          <w:rFonts w:cs="Times New Roman"/>
          <w:noProof/>
          <w:lang w:val="sk-SK"/>
        </w:rPr>
        <w:t>vnútroštátnych databáz. Implementácia tejto reformy sa dokončí do 31</w:t>
      </w:r>
      <w:r w:rsidR="00083739" w:rsidRPr="00083739">
        <w:rPr>
          <w:rFonts w:cs="Times New Roman"/>
          <w:noProof/>
          <w:lang w:val="sk-SK"/>
        </w:rPr>
        <w:t>. decembra</w:t>
      </w:r>
      <w:r w:rsidRPr="00083739">
        <w:rPr>
          <w:rFonts w:cs="Times New Roman"/>
          <w:noProof/>
          <w:lang w:val="sk-SK"/>
        </w:rPr>
        <w:t xml:space="preserve"> 2025.</w:t>
      </w:r>
    </w:p>
    <w:p w14:paraId="6C3918D9" w14:textId="6AFF20AC"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 xml:space="preserve">Reforma: </w:t>
      </w:r>
      <w:r w:rsidRPr="00083739">
        <w:rPr>
          <w:rFonts w:cs="Times New Roman"/>
          <w:noProof/>
          <w:lang w:val="sk-SK"/>
        </w:rPr>
        <w:t>Online registračné pokladnice</w:t>
      </w:r>
      <w:r w:rsidR="00083739" w:rsidRPr="00083739">
        <w:rPr>
          <w:rFonts w:cs="Times New Roman"/>
          <w:noProof/>
          <w:lang w:val="sk-SK"/>
        </w:rPr>
        <w:t xml:space="preserve"> a </w:t>
      </w:r>
      <w:r w:rsidRPr="00083739">
        <w:rPr>
          <w:rFonts w:cs="Times New Roman"/>
          <w:noProof/>
          <w:lang w:val="sk-SK"/>
        </w:rPr>
        <w:t>POS (opatrenie ID 16614)</w:t>
      </w:r>
    </w:p>
    <w:p w14:paraId="657B38C3" w14:textId="58C09D9A" w:rsidR="002D49B0" w:rsidRPr="00083739" w:rsidRDefault="00BF4125">
      <w:pPr>
        <w:pStyle w:val="P68B1DB1-Normal5"/>
        <w:spacing w:before="120" w:after="120" w:line="240" w:lineRule="auto"/>
        <w:jc w:val="both"/>
        <w:rPr>
          <w:rFonts w:cs="Times New Roman"/>
          <w:noProof/>
          <w:lang w:val="sk-SK"/>
        </w:rPr>
      </w:pPr>
      <w:r w:rsidRPr="00083739">
        <w:rPr>
          <w:rFonts w:cs="Times New Roman"/>
          <w:noProof/>
          <w:lang w:val="sk-SK"/>
        </w:rPr>
        <w:t>IAPR vypracuje rámec na uľahčenie prepojenia reg</w:t>
      </w:r>
      <w:r w:rsidRPr="00083739">
        <w:rPr>
          <w:rFonts w:cs="Times New Roman"/>
          <w:noProof/>
          <w:lang w:val="sk-SK"/>
        </w:rPr>
        <w:t>istračných pokladníc</w:t>
      </w:r>
      <w:r w:rsidR="00083739" w:rsidRPr="00083739">
        <w:rPr>
          <w:rFonts w:cs="Times New Roman"/>
          <w:noProof/>
          <w:lang w:val="sk-SK"/>
        </w:rPr>
        <w:t xml:space="preserve"> s </w:t>
      </w:r>
      <w:r w:rsidRPr="00083739">
        <w:rPr>
          <w:rFonts w:cs="Times New Roman"/>
          <w:noProof/>
          <w:lang w:val="sk-SK"/>
        </w:rPr>
        <w:t>terminálmi na mieste predaja (POS)</w:t>
      </w:r>
      <w:r w:rsidR="00083739" w:rsidRPr="00083739">
        <w:rPr>
          <w:rFonts w:cs="Times New Roman"/>
          <w:noProof/>
          <w:lang w:val="sk-SK"/>
        </w:rPr>
        <w:t xml:space="preserve"> a </w:t>
      </w:r>
      <w:r w:rsidRPr="00083739">
        <w:rPr>
          <w:rFonts w:cs="Times New Roman"/>
          <w:noProof/>
          <w:lang w:val="sk-SK"/>
        </w:rPr>
        <w:t>ich informačnými systémami. Tento projekt zahŕňa: I) stanovenie špecifikácií na prepojenie registračných pokladníc</w:t>
      </w:r>
      <w:r w:rsidR="00083739" w:rsidRPr="00083739">
        <w:rPr>
          <w:rFonts w:cs="Times New Roman"/>
          <w:noProof/>
          <w:lang w:val="sk-SK"/>
        </w:rPr>
        <w:t xml:space="preserve"> s </w:t>
      </w:r>
      <w:r w:rsidRPr="00083739">
        <w:rPr>
          <w:rFonts w:cs="Times New Roman"/>
          <w:noProof/>
          <w:lang w:val="sk-SK"/>
        </w:rPr>
        <w:t>terminálmi POS</w:t>
      </w:r>
      <w:r w:rsidR="00083739" w:rsidRPr="00083739">
        <w:rPr>
          <w:rFonts w:cs="Times New Roman"/>
          <w:noProof/>
          <w:lang w:val="sk-SK"/>
        </w:rPr>
        <w:t xml:space="preserve"> s </w:t>
      </w:r>
      <w:r w:rsidRPr="00083739">
        <w:rPr>
          <w:rFonts w:cs="Times New Roman"/>
          <w:noProof/>
          <w:lang w:val="sk-SK"/>
        </w:rPr>
        <w:t>cieľom osvedčiť, že každá transakcia POS sa zaznamená do pokla</w:t>
      </w:r>
      <w:r w:rsidRPr="00083739">
        <w:rPr>
          <w:rFonts w:cs="Times New Roman"/>
          <w:noProof/>
          <w:lang w:val="sk-SK"/>
        </w:rPr>
        <w:t>dničného registra</w:t>
      </w:r>
      <w:r w:rsidR="00083739" w:rsidRPr="00083739">
        <w:rPr>
          <w:rFonts w:cs="Times New Roman"/>
          <w:noProof/>
          <w:lang w:val="sk-SK"/>
        </w:rPr>
        <w:t xml:space="preserve"> a </w:t>
      </w:r>
      <w:r w:rsidRPr="00083739">
        <w:rPr>
          <w:rFonts w:cs="Times New Roman"/>
          <w:noProof/>
          <w:lang w:val="sk-SK"/>
        </w:rPr>
        <w:t>vytvorené údaje sa</w:t>
      </w:r>
      <w:r w:rsidR="00083739" w:rsidRPr="00083739">
        <w:rPr>
          <w:rFonts w:cs="Times New Roman"/>
          <w:noProof/>
          <w:lang w:val="sk-SK"/>
        </w:rPr>
        <w:t xml:space="preserve"> v </w:t>
      </w:r>
      <w:r w:rsidRPr="00083739">
        <w:rPr>
          <w:rFonts w:cs="Times New Roman"/>
          <w:noProof/>
          <w:lang w:val="sk-SK"/>
        </w:rPr>
        <w:t>takmer reálnom čase prenesú do IAPR;</w:t>
      </w:r>
      <w:r w:rsidR="00083739" w:rsidRPr="00083739">
        <w:rPr>
          <w:rFonts w:cs="Times New Roman"/>
          <w:noProof/>
          <w:lang w:val="sk-SK"/>
        </w:rPr>
        <w:t xml:space="preserve"> a </w:t>
      </w:r>
      <w:r w:rsidRPr="00083739">
        <w:rPr>
          <w:rFonts w:cs="Times New Roman"/>
          <w:noProof/>
          <w:lang w:val="sk-SK"/>
        </w:rPr>
        <w:t>ii) rozvoja infraštruktúry</w:t>
      </w:r>
      <w:r w:rsidR="00083739" w:rsidRPr="00083739">
        <w:rPr>
          <w:rFonts w:cs="Times New Roman"/>
          <w:noProof/>
          <w:lang w:val="sk-SK"/>
        </w:rPr>
        <w:t xml:space="preserve"> a </w:t>
      </w:r>
      <w:r w:rsidRPr="00083739">
        <w:rPr>
          <w:rFonts w:cs="Times New Roman"/>
          <w:noProof/>
          <w:lang w:val="sk-SK"/>
        </w:rPr>
        <w:t>aplikácií na monitorovanie transakcií</w:t>
      </w:r>
      <w:r w:rsidR="00083739" w:rsidRPr="00083739">
        <w:rPr>
          <w:rFonts w:cs="Times New Roman"/>
          <w:noProof/>
          <w:lang w:val="sk-SK"/>
        </w:rPr>
        <w:t xml:space="preserve"> v </w:t>
      </w:r>
      <w:r w:rsidRPr="00083739">
        <w:rPr>
          <w:rFonts w:cs="Times New Roman"/>
          <w:noProof/>
          <w:lang w:val="sk-SK"/>
        </w:rPr>
        <w:t>pokladničnej evidencii</w:t>
      </w:r>
      <w:r w:rsidR="00083739" w:rsidRPr="00083739">
        <w:rPr>
          <w:rFonts w:cs="Times New Roman"/>
          <w:noProof/>
          <w:lang w:val="sk-SK"/>
        </w:rPr>
        <w:t xml:space="preserve"> a </w:t>
      </w:r>
      <w:r w:rsidRPr="00083739">
        <w:rPr>
          <w:rFonts w:cs="Times New Roman"/>
          <w:noProof/>
          <w:lang w:val="sk-SK"/>
        </w:rPr>
        <w:t>podpory kontrolného mechanizmu. Cieľom opatrenia po jeho dokončení je obmedziť pot</w:t>
      </w:r>
      <w:r w:rsidRPr="00083739">
        <w:rPr>
          <w:rFonts w:cs="Times New Roman"/>
          <w:noProof/>
          <w:lang w:val="sk-SK"/>
        </w:rPr>
        <w:t>enciál daňových únikov</w:t>
      </w:r>
      <w:r w:rsidR="00083739" w:rsidRPr="00083739">
        <w:rPr>
          <w:rFonts w:cs="Times New Roman"/>
          <w:noProof/>
          <w:lang w:val="sk-SK"/>
        </w:rPr>
        <w:t xml:space="preserve"> a v </w:t>
      </w:r>
      <w:r w:rsidRPr="00083739">
        <w:rPr>
          <w:rFonts w:cs="Times New Roman"/>
          <w:noProof/>
          <w:lang w:val="sk-SK"/>
        </w:rPr>
        <w:t>konečnom dôsledku znížiť výpadok príjmov</w:t>
      </w:r>
      <w:r w:rsidR="00083739" w:rsidRPr="00083739">
        <w:rPr>
          <w:rFonts w:cs="Times New Roman"/>
          <w:noProof/>
          <w:lang w:val="sk-SK"/>
        </w:rPr>
        <w:t xml:space="preserve"> z </w:t>
      </w:r>
      <w:r w:rsidRPr="00083739">
        <w:rPr>
          <w:rFonts w:cs="Times New Roman"/>
          <w:noProof/>
          <w:lang w:val="sk-SK"/>
        </w:rPr>
        <w:t>DPH. Implementácia tejto reformy sa dokončí do 30</w:t>
      </w:r>
      <w:r w:rsidR="00083739" w:rsidRPr="00083739">
        <w:rPr>
          <w:rFonts w:cs="Times New Roman"/>
          <w:noProof/>
          <w:lang w:val="sk-SK"/>
        </w:rPr>
        <w:t>. júna</w:t>
      </w:r>
      <w:r w:rsidRPr="00083739">
        <w:rPr>
          <w:rFonts w:cs="Times New Roman"/>
          <w:noProof/>
          <w:lang w:val="sk-SK"/>
        </w:rPr>
        <w:t xml:space="preserve"> 2024.</w:t>
      </w:r>
    </w:p>
    <w:p w14:paraId="433D7B77" w14:textId="6118C8E3"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Digitálna transformácia daňovej</w:t>
      </w:r>
      <w:r w:rsidR="00083739" w:rsidRPr="00083739">
        <w:rPr>
          <w:rFonts w:cs="Times New Roman"/>
          <w:noProof/>
          <w:lang w:val="sk-SK"/>
        </w:rPr>
        <w:t xml:space="preserve"> a </w:t>
      </w:r>
      <w:r w:rsidRPr="00083739">
        <w:rPr>
          <w:rFonts w:cs="Times New Roman"/>
          <w:noProof/>
          <w:lang w:val="sk-SK"/>
        </w:rPr>
        <w:t>colnej správy (ID opatrenia 16291)</w:t>
      </w:r>
    </w:p>
    <w:p w14:paraId="28B649EA" w14:textId="16A20FCA" w:rsidR="002D49B0" w:rsidRPr="00083739" w:rsidRDefault="00BF4125">
      <w:pPr>
        <w:pStyle w:val="P68B1DB1-Normal5"/>
        <w:spacing w:before="120" w:after="120" w:line="240" w:lineRule="auto"/>
        <w:jc w:val="both"/>
        <w:rPr>
          <w:rFonts w:cs="Times New Roman"/>
          <w:noProof/>
          <w:lang w:val="sk-SK"/>
        </w:rPr>
      </w:pPr>
      <w:r w:rsidRPr="00083739">
        <w:rPr>
          <w:rFonts w:cs="Times New Roman"/>
          <w:noProof/>
          <w:lang w:val="sk-SK"/>
        </w:rPr>
        <w:t>Cieľom investície je dosiahnuť digitálnu tr</w:t>
      </w:r>
      <w:r w:rsidRPr="00083739">
        <w:rPr>
          <w:rFonts w:cs="Times New Roman"/>
          <w:noProof/>
          <w:lang w:val="sk-SK"/>
        </w:rPr>
        <w:t>ansformáciu správy príjmov</w:t>
      </w:r>
      <w:r w:rsidR="00083739" w:rsidRPr="00083739">
        <w:rPr>
          <w:rFonts w:cs="Times New Roman"/>
          <w:noProof/>
          <w:lang w:val="sk-SK"/>
        </w:rPr>
        <w:t xml:space="preserve"> a </w:t>
      </w:r>
      <w:r w:rsidRPr="00083739">
        <w:rPr>
          <w:rFonts w:cs="Times New Roman"/>
          <w:noProof/>
          <w:lang w:val="sk-SK"/>
        </w:rPr>
        <w:t>služieb</w:t>
      </w:r>
      <w:r w:rsidR="00083739" w:rsidRPr="00083739">
        <w:rPr>
          <w:rFonts w:cs="Times New Roman"/>
          <w:noProof/>
          <w:lang w:val="sk-SK"/>
        </w:rPr>
        <w:t xml:space="preserve"> s </w:t>
      </w:r>
      <w:r w:rsidRPr="00083739">
        <w:rPr>
          <w:rFonts w:cs="Times New Roman"/>
          <w:noProof/>
          <w:lang w:val="sk-SK"/>
        </w:rPr>
        <w:t>cieľom posilniť schopnosť IAPR plniť svoje povinnosti ako úplne nezávislý orgán (v súlade so zákonom č. 4389/2016 umožňujúcim IAPR)</w:t>
      </w:r>
      <w:r w:rsidR="00083739" w:rsidRPr="00083739">
        <w:rPr>
          <w:rFonts w:cs="Times New Roman"/>
          <w:noProof/>
          <w:lang w:val="sk-SK"/>
        </w:rPr>
        <w:t xml:space="preserve"> a </w:t>
      </w:r>
      <w:r w:rsidRPr="00083739">
        <w:rPr>
          <w:rFonts w:cs="Times New Roman"/>
          <w:noProof/>
          <w:lang w:val="sk-SK"/>
        </w:rPr>
        <w:t>zlepšiť jeho celkovú výkonnosť. Touto investíciou sa konsoliduje 13 čiastkových pro</w:t>
      </w:r>
      <w:r w:rsidRPr="00083739">
        <w:rPr>
          <w:rFonts w:cs="Times New Roman"/>
          <w:noProof/>
          <w:lang w:val="sk-SK"/>
        </w:rPr>
        <w:t>jektov digitálnej infraštruktúry, ktoré má realizovať IAPR</w:t>
      </w:r>
      <w:r w:rsidR="00083739" w:rsidRPr="00083739">
        <w:rPr>
          <w:rFonts w:cs="Times New Roman"/>
          <w:noProof/>
          <w:lang w:val="sk-SK"/>
        </w:rPr>
        <w:t xml:space="preserve"> a </w:t>
      </w:r>
      <w:r w:rsidRPr="00083739">
        <w:rPr>
          <w:rFonts w:cs="Times New Roman"/>
          <w:noProof/>
          <w:lang w:val="sk-SK"/>
        </w:rPr>
        <w:t>ktoré sú rozdelené do štyroch oblastí intervencie:</w:t>
      </w:r>
    </w:p>
    <w:p w14:paraId="743E6CFF" w14:textId="74C855A7" w:rsidR="002D49B0" w:rsidRPr="00083739" w:rsidRDefault="00BF4125">
      <w:pPr>
        <w:pStyle w:val="P68B1DB1-ListParagraph19"/>
        <w:numPr>
          <w:ilvl w:val="0"/>
          <w:numId w:val="57"/>
        </w:numPr>
        <w:spacing w:before="120" w:after="120" w:line="240" w:lineRule="auto"/>
        <w:ind w:left="426" w:hanging="426"/>
        <w:jc w:val="both"/>
        <w:rPr>
          <w:rFonts w:cs="Times New Roman"/>
          <w:noProof/>
          <w:lang w:val="sk-SK"/>
        </w:rPr>
      </w:pPr>
      <w:r w:rsidRPr="00083739">
        <w:rPr>
          <w:rFonts w:cs="Times New Roman"/>
          <w:noProof/>
          <w:lang w:val="sk-SK"/>
        </w:rPr>
        <w:t>Nahradenie základných digitálnych systémov</w:t>
      </w:r>
      <w:r w:rsidR="00083739" w:rsidRPr="00083739">
        <w:rPr>
          <w:rFonts w:cs="Times New Roman"/>
          <w:noProof/>
          <w:lang w:val="sk-SK"/>
        </w:rPr>
        <w:t xml:space="preserve"> a </w:t>
      </w:r>
      <w:r w:rsidRPr="00083739">
        <w:rPr>
          <w:rFonts w:cs="Times New Roman"/>
          <w:noProof/>
          <w:lang w:val="sk-SK"/>
        </w:rPr>
        <w:t>rozšírenie funkčnosti poskytovania služieb vrátane zavedenia mechanizmov interoperability informačn</w:t>
      </w:r>
      <w:r w:rsidRPr="00083739">
        <w:rPr>
          <w:rFonts w:cs="Times New Roman"/>
          <w:noProof/>
          <w:lang w:val="sk-SK"/>
        </w:rPr>
        <w:t>ých systémov IAPR za informačné systémy bankových údajov;</w:t>
      </w:r>
    </w:p>
    <w:p w14:paraId="19E86E6C" w14:textId="1EFF926C" w:rsidR="002D49B0" w:rsidRPr="00083739" w:rsidRDefault="00BF4125">
      <w:pPr>
        <w:pStyle w:val="P68B1DB1-ListParagraph19"/>
        <w:numPr>
          <w:ilvl w:val="0"/>
          <w:numId w:val="57"/>
        </w:numPr>
        <w:spacing w:before="120" w:after="120" w:line="240" w:lineRule="auto"/>
        <w:ind w:left="426" w:hanging="426"/>
        <w:jc w:val="both"/>
        <w:rPr>
          <w:rFonts w:cs="Times New Roman"/>
          <w:noProof/>
          <w:lang w:val="sk-SK"/>
        </w:rPr>
      </w:pPr>
      <w:r w:rsidRPr="00083739">
        <w:rPr>
          <w:rFonts w:cs="Times New Roman"/>
          <w:noProof/>
          <w:lang w:val="sk-SK"/>
        </w:rPr>
        <w:t>Automatizácia kancelárskych</w:t>
      </w:r>
      <w:r w:rsidR="00083739" w:rsidRPr="00083739">
        <w:rPr>
          <w:rFonts w:cs="Times New Roman"/>
          <w:noProof/>
          <w:lang w:val="sk-SK"/>
        </w:rPr>
        <w:t xml:space="preserve"> a </w:t>
      </w:r>
      <w:r w:rsidRPr="00083739">
        <w:rPr>
          <w:rFonts w:cs="Times New Roman"/>
          <w:noProof/>
          <w:lang w:val="sk-SK"/>
        </w:rPr>
        <w:t>pracovných procesov;</w:t>
      </w:r>
    </w:p>
    <w:p w14:paraId="04E0DB69" w14:textId="13A6B139" w:rsidR="002D49B0" w:rsidRPr="00083739" w:rsidRDefault="00BF4125">
      <w:pPr>
        <w:pStyle w:val="P68B1DB1-ListParagraph19"/>
        <w:numPr>
          <w:ilvl w:val="0"/>
          <w:numId w:val="57"/>
        </w:numPr>
        <w:spacing w:before="120" w:after="120" w:line="240" w:lineRule="auto"/>
        <w:ind w:left="426" w:hanging="426"/>
        <w:jc w:val="both"/>
        <w:rPr>
          <w:rFonts w:cs="Times New Roman"/>
          <w:noProof/>
          <w:lang w:val="sk-SK"/>
        </w:rPr>
      </w:pPr>
      <w:r w:rsidRPr="00083739">
        <w:rPr>
          <w:rFonts w:cs="Times New Roman"/>
          <w:noProof/>
          <w:lang w:val="sk-SK"/>
        </w:rPr>
        <w:t>Digitalizácia auditov</w:t>
      </w:r>
      <w:r w:rsidR="00083739" w:rsidRPr="00083739">
        <w:rPr>
          <w:rFonts w:cs="Times New Roman"/>
          <w:noProof/>
          <w:lang w:val="sk-SK"/>
        </w:rPr>
        <w:t xml:space="preserve"> a </w:t>
      </w:r>
      <w:r w:rsidRPr="00083739">
        <w:rPr>
          <w:rFonts w:cs="Times New Roman"/>
          <w:noProof/>
          <w:lang w:val="sk-SK"/>
        </w:rPr>
        <w:t>kontrol;</w:t>
      </w:r>
      <w:r w:rsidR="00083739" w:rsidRPr="00083739">
        <w:rPr>
          <w:rFonts w:cs="Times New Roman"/>
          <w:noProof/>
          <w:lang w:val="sk-SK"/>
        </w:rPr>
        <w:t xml:space="preserve"> a </w:t>
      </w:r>
      <w:r w:rsidRPr="00083739">
        <w:rPr>
          <w:rFonts w:cs="Times New Roman"/>
          <w:noProof/>
          <w:lang w:val="sk-SK"/>
        </w:rPr>
        <w:t>zároveň</w:t>
      </w:r>
    </w:p>
    <w:p w14:paraId="414E0B22" w14:textId="77777777" w:rsidR="002D49B0" w:rsidRPr="00083739" w:rsidRDefault="00BF4125">
      <w:pPr>
        <w:pStyle w:val="P68B1DB1-ListParagraph19"/>
        <w:numPr>
          <w:ilvl w:val="0"/>
          <w:numId w:val="57"/>
        </w:numPr>
        <w:spacing w:before="120" w:after="120" w:line="240" w:lineRule="auto"/>
        <w:ind w:left="426" w:hanging="426"/>
        <w:jc w:val="both"/>
        <w:rPr>
          <w:rFonts w:cs="Times New Roman"/>
          <w:noProof/>
          <w:lang w:val="sk-SK"/>
        </w:rPr>
      </w:pPr>
      <w:r w:rsidRPr="00083739">
        <w:rPr>
          <w:rFonts w:cs="Times New Roman"/>
          <w:noProof/>
          <w:lang w:val="sk-SK"/>
        </w:rPr>
        <w:t>Modernizácia služieb daňových poplatníkov.</w:t>
      </w:r>
    </w:p>
    <w:p w14:paraId="6A0DF5D5" w14:textId="75FE9B47"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Realizácia investície sa ukončí do 31</w:t>
      </w:r>
      <w:r w:rsidR="00083739" w:rsidRPr="00083739">
        <w:rPr>
          <w:rFonts w:cs="Times New Roman"/>
          <w:noProof/>
          <w:lang w:val="sk-SK"/>
        </w:rPr>
        <w:t>. decembra</w:t>
      </w:r>
      <w:r w:rsidRPr="00083739">
        <w:rPr>
          <w:rFonts w:cs="Times New Roman"/>
          <w:noProof/>
          <w:lang w:val="sk-SK"/>
        </w:rPr>
        <w:t xml:space="preserve"> 2025.</w:t>
      </w:r>
    </w:p>
    <w:p w14:paraId="349CEE75" w14:textId="77777777" w:rsidR="002D49B0" w:rsidRPr="00083739" w:rsidRDefault="00BF4125">
      <w:pPr>
        <w:pStyle w:val="P68B1DB1-Normal4"/>
        <w:spacing w:before="120" w:after="120" w:line="240" w:lineRule="auto"/>
        <w:jc w:val="both"/>
        <w:rPr>
          <w:rFonts w:cs="Times New Roman"/>
          <w:noProof/>
          <w:szCs w:val="24"/>
          <w:lang w:val="sk-SK"/>
        </w:rPr>
      </w:pPr>
      <w:r w:rsidRPr="00083739">
        <w:rPr>
          <w:rFonts w:cs="Times New Roman"/>
          <w:b/>
          <w:noProof/>
          <w:lang w:val="sk-SK"/>
        </w:rPr>
        <w:t>Reforma:</w:t>
      </w:r>
      <w:r w:rsidRPr="00083739">
        <w:rPr>
          <w:rFonts w:cs="Times New Roman"/>
          <w:noProof/>
          <w:lang w:val="sk-SK"/>
        </w:rPr>
        <w:t xml:space="preserve"> Úpravy gréckeho rámca daňovej politiky (ID opatrenia: 16985)</w:t>
      </w:r>
    </w:p>
    <w:p w14:paraId="0374BE92" w14:textId="5F97CB8B" w:rsidR="002D49B0" w:rsidRPr="00083739" w:rsidRDefault="00BF4125">
      <w:pPr>
        <w:pStyle w:val="P68B1DB1-Normal4"/>
        <w:spacing w:before="120" w:after="120" w:line="240" w:lineRule="auto"/>
        <w:jc w:val="both"/>
        <w:rPr>
          <w:rFonts w:cs="Times New Roman"/>
          <w:noProof/>
          <w:szCs w:val="24"/>
          <w:lang w:val="sk-SK"/>
        </w:rPr>
      </w:pPr>
      <w:r w:rsidRPr="00083739">
        <w:rPr>
          <w:rFonts w:cs="Times New Roman"/>
          <w:noProof/>
          <w:lang w:val="sk-SK"/>
        </w:rPr>
        <w:t>Cieľom reformy je bojovať proti daňovým únikom</w:t>
      </w:r>
      <w:r w:rsidR="00083739" w:rsidRPr="00083739">
        <w:rPr>
          <w:rFonts w:cs="Times New Roman"/>
          <w:noProof/>
          <w:lang w:val="sk-SK"/>
        </w:rPr>
        <w:t xml:space="preserve"> a </w:t>
      </w:r>
      <w:r w:rsidRPr="00083739">
        <w:rPr>
          <w:rFonts w:cs="Times New Roman"/>
          <w:noProof/>
          <w:lang w:val="sk-SK"/>
        </w:rPr>
        <w:t>zlepšiť stimuly prostredníctvom podpory elektronických platieb</w:t>
      </w:r>
      <w:r w:rsidR="00083739" w:rsidRPr="00083739">
        <w:rPr>
          <w:rFonts w:cs="Times New Roman"/>
          <w:noProof/>
          <w:lang w:val="sk-SK"/>
        </w:rPr>
        <w:t xml:space="preserve"> a </w:t>
      </w:r>
      <w:r w:rsidRPr="00083739">
        <w:rPr>
          <w:rFonts w:cs="Times New Roman"/>
          <w:noProof/>
          <w:lang w:val="sk-SK"/>
        </w:rPr>
        <w:t>zlepšenia štruktúry daní pre samostatne zárobkovo činné osoby, ako aj po</w:t>
      </w:r>
      <w:r w:rsidRPr="00083739">
        <w:rPr>
          <w:rFonts w:cs="Times New Roman"/>
          <w:noProof/>
          <w:lang w:val="sk-SK"/>
        </w:rPr>
        <w:t>silniť prevádzkovú autonómiu daňovej správy. Touto reformou sa najmä: I) reforma zdaňovania samostatne zárobkovo činných osôb</w:t>
      </w:r>
      <w:r w:rsidR="00083739" w:rsidRPr="00083739">
        <w:rPr>
          <w:rFonts w:cs="Times New Roman"/>
          <w:noProof/>
          <w:lang w:val="sk-SK"/>
        </w:rPr>
        <w:t xml:space="preserve"> a </w:t>
      </w:r>
      <w:r w:rsidRPr="00083739">
        <w:rPr>
          <w:rFonts w:cs="Times New Roman"/>
          <w:noProof/>
          <w:lang w:val="sk-SK"/>
        </w:rPr>
        <w:t>kolkovej dane; II) bojovať proti daňovým únikom prostredníctvom rozšírenia povinného akceptovania elektronických platieb; III) s</w:t>
      </w:r>
      <w:r w:rsidRPr="00083739">
        <w:rPr>
          <w:rFonts w:cs="Times New Roman"/>
          <w:noProof/>
          <w:lang w:val="sk-SK"/>
        </w:rPr>
        <w:t>tanoviť nové požiadavky na vykazovanie údajov zasielaných daňovej správe</w:t>
      </w:r>
      <w:r w:rsidR="00083739" w:rsidRPr="00083739">
        <w:rPr>
          <w:rFonts w:cs="Times New Roman"/>
          <w:noProof/>
          <w:lang w:val="sk-SK"/>
        </w:rPr>
        <w:t xml:space="preserve"> a </w:t>
      </w:r>
      <w:r w:rsidRPr="00083739">
        <w:rPr>
          <w:rFonts w:cs="Times New Roman"/>
          <w:noProof/>
          <w:lang w:val="sk-SK"/>
        </w:rPr>
        <w:t>umožniť používanie týchto údajov na účely DPH</w:t>
      </w:r>
      <w:r w:rsidR="00083739" w:rsidRPr="00083739">
        <w:rPr>
          <w:rFonts w:cs="Times New Roman"/>
          <w:noProof/>
          <w:lang w:val="sk-SK"/>
        </w:rPr>
        <w:t xml:space="preserve"> a </w:t>
      </w:r>
      <w:r w:rsidRPr="00083739">
        <w:rPr>
          <w:rFonts w:cs="Times New Roman"/>
          <w:noProof/>
          <w:lang w:val="sk-SK"/>
        </w:rPr>
        <w:t>dane</w:t>
      </w:r>
      <w:r w:rsidR="00083739" w:rsidRPr="00083739">
        <w:rPr>
          <w:rFonts w:cs="Times New Roman"/>
          <w:noProof/>
          <w:lang w:val="sk-SK"/>
        </w:rPr>
        <w:t xml:space="preserve"> z </w:t>
      </w:r>
      <w:r w:rsidRPr="00083739">
        <w:rPr>
          <w:rFonts w:cs="Times New Roman"/>
          <w:noProof/>
          <w:lang w:val="sk-SK"/>
        </w:rPr>
        <w:t>príjmov;</w:t>
      </w:r>
      <w:r w:rsidR="00083739" w:rsidRPr="00083739">
        <w:rPr>
          <w:rFonts w:cs="Times New Roman"/>
          <w:noProof/>
          <w:lang w:val="sk-SK"/>
        </w:rPr>
        <w:t xml:space="preserve"> a </w:t>
      </w:r>
      <w:r w:rsidRPr="00083739">
        <w:rPr>
          <w:rFonts w:cs="Times New Roman"/>
          <w:noProof/>
          <w:lang w:val="sk-SK"/>
        </w:rPr>
        <w:t>iv) posilniť prevádzkovú autonómiu, odolnosť</w:t>
      </w:r>
      <w:r w:rsidR="00083739" w:rsidRPr="00083739">
        <w:rPr>
          <w:rFonts w:cs="Times New Roman"/>
          <w:noProof/>
          <w:lang w:val="sk-SK"/>
        </w:rPr>
        <w:t xml:space="preserve"> a </w:t>
      </w:r>
      <w:r w:rsidRPr="00083739">
        <w:rPr>
          <w:rFonts w:cs="Times New Roman"/>
          <w:noProof/>
          <w:lang w:val="sk-SK"/>
        </w:rPr>
        <w:t>úroveň zákazníckych služieb nezávislého orgánu pre verejné príjmy (I</w:t>
      </w:r>
      <w:r w:rsidRPr="00083739">
        <w:rPr>
          <w:rFonts w:cs="Times New Roman"/>
          <w:noProof/>
          <w:lang w:val="sk-SK"/>
        </w:rPr>
        <w:t>APR).</w:t>
      </w:r>
    </w:p>
    <w:p w14:paraId="30BFA621" w14:textId="38B66259"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Implementácia tejto reformy sa dokončí do 31</w:t>
      </w:r>
      <w:r w:rsidR="00083739" w:rsidRPr="00083739">
        <w:rPr>
          <w:rFonts w:cs="Times New Roman"/>
          <w:noProof/>
          <w:lang w:val="sk-SK"/>
        </w:rPr>
        <w:t>. decembra</w:t>
      </w:r>
      <w:r w:rsidRPr="00083739">
        <w:rPr>
          <w:rFonts w:cs="Times New Roman"/>
          <w:noProof/>
          <w:lang w:val="sk-SK"/>
        </w:rPr>
        <w:t xml:space="preserve"> 2024.</w:t>
      </w:r>
    </w:p>
    <w:p w14:paraId="43551794" w14:textId="77777777" w:rsidR="002D49B0" w:rsidRPr="00083739" w:rsidRDefault="002D49B0">
      <w:pPr>
        <w:spacing w:before="120" w:after="120" w:line="240" w:lineRule="auto"/>
        <w:ind w:left="709"/>
        <w:jc w:val="both"/>
        <w:rPr>
          <w:rFonts w:ascii="Times New Roman" w:hAnsi="Times New Roman" w:cs="Times New Roman"/>
          <w:i/>
          <w:iCs/>
          <w:noProof/>
          <w:color w:val="4F81BD"/>
          <w:sz w:val="24"/>
          <w:lang w:val="sk-SK"/>
        </w:rPr>
      </w:pPr>
    </w:p>
    <w:p w14:paraId="32766F92" w14:textId="77777777" w:rsidR="002D49B0" w:rsidRPr="00083739" w:rsidRDefault="002D49B0">
      <w:pPr>
        <w:spacing w:before="120" w:after="120" w:line="240" w:lineRule="auto"/>
        <w:ind w:left="709"/>
        <w:jc w:val="both"/>
        <w:rPr>
          <w:rFonts w:ascii="Times New Roman" w:hAnsi="Times New Roman" w:cs="Times New Roman"/>
          <w:noProof/>
          <w:sz w:val="24"/>
          <w:lang w:val="sk-SK"/>
        </w:rPr>
      </w:pPr>
    </w:p>
    <w:p w14:paraId="11303511" w14:textId="77777777" w:rsidR="002D49B0" w:rsidRPr="00083739" w:rsidRDefault="002D49B0">
      <w:pPr>
        <w:spacing w:before="120" w:after="120" w:line="240" w:lineRule="auto"/>
        <w:ind w:left="709"/>
        <w:jc w:val="both"/>
        <w:rPr>
          <w:rFonts w:ascii="Times New Roman" w:hAnsi="Times New Roman" w:cs="Times New Roman"/>
          <w:noProof/>
          <w:sz w:val="24"/>
          <w:lang w:val="sk-SK"/>
        </w:rPr>
        <w:sectPr w:rsidR="002D49B0" w:rsidRPr="00083739" w:rsidSect="00271D33">
          <w:headerReference w:type="even" r:id="rId211"/>
          <w:headerReference w:type="default" r:id="rId212"/>
          <w:footerReference w:type="even" r:id="rId213"/>
          <w:footerReference w:type="default" r:id="rId214"/>
          <w:headerReference w:type="first" r:id="rId215"/>
          <w:footerReference w:type="first" r:id="rId216"/>
          <w:pgSz w:w="11907" w:h="16839"/>
          <w:pgMar w:top="1134" w:right="1417" w:bottom="1134" w:left="1417" w:header="709" w:footer="468" w:gutter="0"/>
          <w:cols w:space="720"/>
          <w:docGrid w:linePitch="360"/>
        </w:sectPr>
      </w:pPr>
    </w:p>
    <w:p w14:paraId="01708A65" w14:textId="56817256" w:rsidR="002D49B0" w:rsidRPr="00083739" w:rsidRDefault="00BF4125">
      <w:pPr>
        <w:pStyle w:val="P68B1DB1-Normal25"/>
        <w:spacing w:before="120" w:after="120" w:line="240" w:lineRule="auto"/>
        <w:ind w:left="709"/>
        <w:jc w:val="both"/>
        <w:rPr>
          <w:rFonts w:cs="Times New Roman"/>
          <w:bCs/>
          <w:noProof/>
          <w:lang w:val="sk-SK"/>
        </w:rPr>
      </w:pPr>
      <w:r w:rsidRPr="00083739">
        <w:rPr>
          <w:rFonts w:cs="Times New Roman"/>
          <w:noProof/>
          <w:lang w:val="sk-SK"/>
        </w:rPr>
        <w:t>L.2. Míľniky, ciele, ukazovatele</w:t>
      </w:r>
      <w:r w:rsidR="00083739" w:rsidRPr="00083739">
        <w:rPr>
          <w:rFonts w:cs="Times New Roman"/>
          <w:noProof/>
          <w:lang w:val="sk-SK"/>
        </w:rPr>
        <w:t xml:space="preserve"> a </w:t>
      </w:r>
      <w:r w:rsidRPr="00083739">
        <w:rPr>
          <w:rFonts w:cs="Times New Roman"/>
          <w:noProof/>
          <w:lang w:val="sk-SK"/>
        </w:rPr>
        <w:t>harmonogram monitorovania</w:t>
      </w:r>
      <w:r w:rsidR="00083739" w:rsidRPr="00083739">
        <w:rPr>
          <w:rFonts w:cs="Times New Roman"/>
          <w:noProof/>
          <w:lang w:val="sk-SK"/>
        </w:rPr>
        <w:t xml:space="preserve"> a </w:t>
      </w:r>
      <w:r w:rsidRPr="00083739">
        <w:rPr>
          <w:rFonts w:cs="Times New Roman"/>
          <w:noProof/>
          <w:lang w:val="sk-SK"/>
        </w:rPr>
        <w:t>realizácie pre nenávratnú finančnú podporu</w:t>
      </w:r>
    </w:p>
    <w:p w14:paraId="557A0787" w14:textId="77777777" w:rsidR="002D49B0" w:rsidRPr="00083739" w:rsidRDefault="002D49B0">
      <w:pPr>
        <w:spacing w:before="120" w:after="120" w:line="240" w:lineRule="auto"/>
        <w:ind w:left="709"/>
        <w:jc w:val="both"/>
        <w:rPr>
          <w:rFonts w:ascii="Times New Roman" w:hAnsi="Times New Roman" w:cs="Times New Roman"/>
          <w:noProof/>
          <w:sz w:val="24"/>
          <w:szCs w:val="24"/>
          <w:lang w:val="sk-SK"/>
        </w:rPr>
      </w:pPr>
    </w:p>
    <w:p w14:paraId="457FA0C8" w14:textId="50F09A8A" w:rsidR="002D49B0" w:rsidRPr="00083739" w:rsidRDefault="00BF4125">
      <w:pPr>
        <w:pStyle w:val="P68B1DB1-Normal6"/>
        <w:keepNext/>
        <w:keepLines/>
        <w:spacing w:before="40" w:after="0" w:line="240" w:lineRule="auto"/>
        <w:jc w:val="both"/>
        <w:outlineLvl w:val="4"/>
        <w:rPr>
          <w:rFonts w:ascii="Times New Roman" w:hAnsi="Times New Roman" w:cs="Times New Roman"/>
          <w:noProof/>
          <w:lang w:val="sk-SK"/>
        </w:rPr>
      </w:pPr>
      <w:r w:rsidRPr="00083739">
        <w:rPr>
          <w:rFonts w:ascii="Times New Roman" w:hAnsi="Times New Roman" w:cs="Times New Roman"/>
          <w:noProof/>
          <w:lang w:val="sk-SK"/>
        </w:rPr>
        <w:t xml:space="preserve">Kľúčová reforma 8: </w:t>
      </w:r>
      <w:r w:rsidRPr="00083739">
        <w:rPr>
          <w:rFonts w:ascii="Times New Roman" w:hAnsi="Times New Roman" w:cs="Times New Roman"/>
          <w:noProof/>
          <w:lang w:val="sk-SK"/>
        </w:rPr>
        <w:t>Online registračné pokladnice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POS</w:t>
      </w:r>
    </w:p>
    <w:p w14:paraId="4C47FCAF" w14:textId="77777777" w:rsidR="002D49B0" w:rsidRPr="00083739" w:rsidRDefault="002D49B0">
      <w:pPr>
        <w:keepNext/>
        <w:keepLines/>
        <w:spacing w:before="40" w:after="0" w:line="240" w:lineRule="auto"/>
        <w:jc w:val="both"/>
        <w:outlineLvl w:val="4"/>
        <w:rPr>
          <w:rFonts w:ascii="Times New Roman" w:eastAsia="Times New Roman" w:hAnsi="Times New Roman" w:cs="Times New Roman"/>
          <w:noProof/>
          <w:color w:val="365F91"/>
          <w:sz w:val="24"/>
          <w:lang w:val="sk-SK"/>
        </w:rPr>
      </w:pPr>
    </w:p>
    <w:tbl>
      <w:tblPr>
        <w:tblW w:w="15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1289"/>
        <w:gridCol w:w="1115"/>
        <w:gridCol w:w="1550"/>
        <w:gridCol w:w="2363"/>
        <w:gridCol w:w="1200"/>
        <w:gridCol w:w="1200"/>
        <w:gridCol w:w="960"/>
        <w:gridCol w:w="1167"/>
        <w:gridCol w:w="840"/>
        <w:gridCol w:w="3396"/>
      </w:tblGrid>
      <w:tr w:rsidR="002D49B0" w:rsidRPr="00083739" w14:paraId="08D2C208" w14:textId="77777777">
        <w:trPr>
          <w:trHeight w:val="798"/>
          <w:tblHeader/>
          <w:jc w:val="center"/>
        </w:trPr>
        <w:tc>
          <w:tcPr>
            <w:tcW w:w="1027" w:type="dxa"/>
            <w:vMerge w:val="restart"/>
            <w:shd w:val="clear" w:color="auto" w:fill="BDD7EE"/>
            <w:vAlign w:val="center"/>
            <w:hideMark/>
          </w:tcPr>
          <w:p w14:paraId="00B5B239"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Poradové číslo</w:t>
            </w:r>
          </w:p>
        </w:tc>
        <w:tc>
          <w:tcPr>
            <w:tcW w:w="1289" w:type="dxa"/>
            <w:vMerge w:val="restart"/>
            <w:shd w:val="clear" w:color="auto" w:fill="BDD7EE"/>
            <w:vAlign w:val="center"/>
            <w:hideMark/>
          </w:tcPr>
          <w:p w14:paraId="5582F6B8"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Súvisiace opatrenie (reforma alebo investícia)</w:t>
            </w:r>
          </w:p>
        </w:tc>
        <w:tc>
          <w:tcPr>
            <w:tcW w:w="966" w:type="dxa"/>
            <w:vMerge w:val="restart"/>
            <w:shd w:val="clear" w:color="auto" w:fill="BDD7EE"/>
            <w:vAlign w:val="center"/>
            <w:hideMark/>
          </w:tcPr>
          <w:p w14:paraId="1C3FCBA9"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Míľnik/cieľ</w:t>
            </w:r>
          </w:p>
        </w:tc>
        <w:tc>
          <w:tcPr>
            <w:tcW w:w="1550" w:type="dxa"/>
            <w:vMerge w:val="restart"/>
            <w:shd w:val="clear" w:color="auto" w:fill="BDD7EE"/>
            <w:vAlign w:val="center"/>
            <w:hideMark/>
          </w:tcPr>
          <w:p w14:paraId="5674D707"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Názov</w:t>
            </w:r>
          </w:p>
        </w:tc>
        <w:tc>
          <w:tcPr>
            <w:tcW w:w="2363" w:type="dxa"/>
            <w:vMerge w:val="restart"/>
            <w:shd w:val="clear" w:color="auto" w:fill="BDD7EE"/>
            <w:vAlign w:val="center"/>
            <w:hideMark/>
          </w:tcPr>
          <w:p w14:paraId="5B6A1011" w14:textId="77777777" w:rsidR="002D49B0" w:rsidRPr="00083739" w:rsidRDefault="00BF4125">
            <w:pPr>
              <w:pStyle w:val="P68B1DB1-Normal37"/>
              <w:spacing w:after="0" w:line="240" w:lineRule="auto"/>
              <w:jc w:val="center"/>
              <w:rPr>
                <w:rFonts w:eastAsia="Times New Roman" w:cs="Times New Roman"/>
                <w:b/>
                <w:bCs/>
                <w:noProof/>
                <w:sz w:val="18"/>
                <w:szCs w:val="18"/>
                <w:lang w:val="sk-SK"/>
              </w:rPr>
            </w:pPr>
            <w:r w:rsidRPr="00083739">
              <w:rPr>
                <w:rFonts w:cs="Times New Roman"/>
                <w:b/>
                <w:noProof/>
                <w:sz w:val="18"/>
                <w:lang w:val="sk-SK"/>
              </w:rPr>
              <w:t xml:space="preserve">Kvalitatívne ukazovatele </w:t>
            </w:r>
            <w:r w:rsidRPr="00083739">
              <w:rPr>
                <w:rFonts w:cs="Times New Roman"/>
                <w:noProof/>
                <w:sz w:val="24"/>
                <w:lang w:val="sk-SK"/>
              </w:rPr>
              <w:t xml:space="preserve"> </w:t>
            </w:r>
            <w:r w:rsidRPr="00083739">
              <w:rPr>
                <w:rFonts w:cs="Times New Roman"/>
                <w:b/>
                <w:noProof/>
                <w:sz w:val="18"/>
                <w:lang w:val="sk-SK"/>
              </w:rPr>
              <w:t>(pre míľniky)</w:t>
            </w:r>
          </w:p>
        </w:tc>
        <w:tc>
          <w:tcPr>
            <w:tcW w:w="3360" w:type="dxa"/>
            <w:gridSpan w:val="3"/>
            <w:shd w:val="clear" w:color="auto" w:fill="BDD7EE"/>
            <w:vAlign w:val="center"/>
            <w:hideMark/>
          </w:tcPr>
          <w:p w14:paraId="0EF744EE" w14:textId="77777777" w:rsidR="002D49B0" w:rsidRPr="00083739" w:rsidRDefault="00BF4125">
            <w:pPr>
              <w:pStyle w:val="P68B1DB1-Normal37"/>
              <w:spacing w:after="0" w:line="240" w:lineRule="auto"/>
              <w:jc w:val="center"/>
              <w:rPr>
                <w:rFonts w:eastAsia="Times New Roman" w:cs="Times New Roman"/>
                <w:b/>
                <w:bCs/>
                <w:noProof/>
                <w:sz w:val="18"/>
                <w:szCs w:val="18"/>
                <w:lang w:val="sk-SK"/>
              </w:rPr>
            </w:pPr>
            <w:r w:rsidRPr="00083739">
              <w:rPr>
                <w:rFonts w:cs="Times New Roman"/>
                <w:b/>
                <w:noProof/>
                <w:sz w:val="18"/>
                <w:lang w:val="sk-SK"/>
              </w:rPr>
              <w:t xml:space="preserve">Kvantitatívne ukazovatele </w:t>
            </w:r>
            <w:r w:rsidRPr="00083739">
              <w:rPr>
                <w:rFonts w:cs="Times New Roman"/>
                <w:noProof/>
                <w:sz w:val="24"/>
                <w:lang w:val="sk-SK"/>
              </w:rPr>
              <w:t xml:space="preserve"> </w:t>
            </w:r>
            <w:r w:rsidRPr="00083739">
              <w:rPr>
                <w:rFonts w:cs="Times New Roman"/>
                <w:b/>
                <w:noProof/>
                <w:sz w:val="18"/>
                <w:lang w:val="sk-SK"/>
              </w:rPr>
              <w:t>(pre ciele)</w:t>
            </w:r>
          </w:p>
        </w:tc>
        <w:tc>
          <w:tcPr>
            <w:tcW w:w="1920" w:type="dxa"/>
            <w:gridSpan w:val="2"/>
            <w:shd w:val="clear" w:color="auto" w:fill="BDD7EE"/>
            <w:vAlign w:val="center"/>
            <w:hideMark/>
          </w:tcPr>
          <w:p w14:paraId="3F1C0F64"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Orientačný harmonogram dokončenia </w:t>
            </w:r>
          </w:p>
        </w:tc>
        <w:tc>
          <w:tcPr>
            <w:tcW w:w="3396" w:type="dxa"/>
            <w:vMerge w:val="restart"/>
            <w:shd w:val="clear" w:color="auto" w:fill="BDD7EE"/>
            <w:vAlign w:val="center"/>
            <w:hideMark/>
          </w:tcPr>
          <w:p w14:paraId="32873A42" w14:textId="0824332E"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Opis každého míľnika</w:t>
            </w:r>
            <w:r w:rsidR="00083739" w:rsidRPr="00083739">
              <w:rPr>
                <w:rFonts w:cs="Times New Roman"/>
                <w:noProof/>
                <w:lang w:val="sk-SK"/>
              </w:rPr>
              <w:t xml:space="preserve"> a </w:t>
            </w:r>
            <w:r w:rsidRPr="00083739">
              <w:rPr>
                <w:rFonts w:cs="Times New Roman"/>
                <w:noProof/>
                <w:lang w:val="sk-SK"/>
              </w:rPr>
              <w:t>cieľa</w:t>
            </w:r>
          </w:p>
        </w:tc>
      </w:tr>
      <w:tr w:rsidR="002D49B0" w:rsidRPr="00083739" w14:paraId="7708BAD7" w14:textId="77777777">
        <w:trPr>
          <w:trHeight w:val="441"/>
          <w:jc w:val="center"/>
        </w:trPr>
        <w:tc>
          <w:tcPr>
            <w:tcW w:w="1027" w:type="dxa"/>
            <w:vMerge/>
            <w:vAlign w:val="center"/>
            <w:hideMark/>
          </w:tcPr>
          <w:p w14:paraId="186A6E65" w14:textId="77777777" w:rsidR="002D49B0" w:rsidRPr="00083739" w:rsidRDefault="002D49B0">
            <w:pPr>
              <w:spacing w:after="0" w:line="240" w:lineRule="auto"/>
              <w:rPr>
                <w:rFonts w:ascii="Times New Roman" w:eastAsia="Times New Roman" w:hAnsi="Times New Roman" w:cs="Times New Roman"/>
                <w:b/>
                <w:noProof/>
                <w:sz w:val="18"/>
                <w:szCs w:val="18"/>
                <w:lang w:val="sk-SK"/>
              </w:rPr>
            </w:pPr>
          </w:p>
        </w:tc>
        <w:tc>
          <w:tcPr>
            <w:tcW w:w="1289" w:type="dxa"/>
            <w:vMerge/>
            <w:vAlign w:val="center"/>
            <w:hideMark/>
          </w:tcPr>
          <w:p w14:paraId="4619E917" w14:textId="77777777" w:rsidR="002D49B0" w:rsidRPr="00083739" w:rsidRDefault="002D49B0">
            <w:pPr>
              <w:spacing w:after="0" w:line="240" w:lineRule="auto"/>
              <w:rPr>
                <w:rFonts w:ascii="Times New Roman" w:eastAsia="Times New Roman" w:hAnsi="Times New Roman" w:cs="Times New Roman"/>
                <w:b/>
                <w:noProof/>
                <w:sz w:val="18"/>
                <w:szCs w:val="18"/>
                <w:lang w:val="sk-SK"/>
              </w:rPr>
            </w:pPr>
          </w:p>
        </w:tc>
        <w:tc>
          <w:tcPr>
            <w:tcW w:w="966" w:type="dxa"/>
            <w:vMerge/>
            <w:vAlign w:val="center"/>
            <w:hideMark/>
          </w:tcPr>
          <w:p w14:paraId="6B0FED5F" w14:textId="77777777" w:rsidR="002D49B0" w:rsidRPr="00083739" w:rsidRDefault="002D49B0">
            <w:pPr>
              <w:spacing w:after="0" w:line="240" w:lineRule="auto"/>
              <w:rPr>
                <w:rFonts w:ascii="Times New Roman" w:eastAsia="Times New Roman" w:hAnsi="Times New Roman" w:cs="Times New Roman"/>
                <w:b/>
                <w:noProof/>
                <w:sz w:val="18"/>
                <w:szCs w:val="18"/>
                <w:lang w:val="sk-SK"/>
              </w:rPr>
            </w:pPr>
          </w:p>
        </w:tc>
        <w:tc>
          <w:tcPr>
            <w:tcW w:w="1550" w:type="dxa"/>
            <w:vMerge/>
            <w:vAlign w:val="center"/>
            <w:hideMark/>
          </w:tcPr>
          <w:p w14:paraId="5D12436E" w14:textId="77777777" w:rsidR="002D49B0" w:rsidRPr="00083739" w:rsidRDefault="002D49B0">
            <w:pPr>
              <w:spacing w:after="0" w:line="240" w:lineRule="auto"/>
              <w:rPr>
                <w:rFonts w:ascii="Times New Roman" w:eastAsia="Times New Roman" w:hAnsi="Times New Roman" w:cs="Times New Roman"/>
                <w:b/>
                <w:noProof/>
                <w:sz w:val="18"/>
                <w:szCs w:val="18"/>
                <w:lang w:val="sk-SK"/>
              </w:rPr>
            </w:pPr>
          </w:p>
        </w:tc>
        <w:tc>
          <w:tcPr>
            <w:tcW w:w="2363" w:type="dxa"/>
            <w:vMerge/>
            <w:vAlign w:val="center"/>
            <w:hideMark/>
          </w:tcPr>
          <w:p w14:paraId="20B1BEC9" w14:textId="77777777" w:rsidR="002D49B0" w:rsidRPr="00083739" w:rsidRDefault="002D49B0">
            <w:pPr>
              <w:spacing w:after="0" w:line="240" w:lineRule="auto"/>
              <w:rPr>
                <w:rFonts w:ascii="Times New Roman" w:eastAsia="Times New Roman" w:hAnsi="Times New Roman" w:cs="Times New Roman"/>
                <w:b/>
                <w:noProof/>
                <w:sz w:val="18"/>
                <w:szCs w:val="18"/>
                <w:lang w:val="sk-SK"/>
              </w:rPr>
            </w:pPr>
          </w:p>
        </w:tc>
        <w:tc>
          <w:tcPr>
            <w:tcW w:w="1200" w:type="dxa"/>
            <w:shd w:val="clear" w:color="auto" w:fill="BDD7EE"/>
            <w:vAlign w:val="center"/>
            <w:hideMark/>
          </w:tcPr>
          <w:p w14:paraId="5DF0E71B"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Merná jednotka</w:t>
            </w:r>
          </w:p>
        </w:tc>
        <w:tc>
          <w:tcPr>
            <w:tcW w:w="1200" w:type="dxa"/>
            <w:shd w:val="clear" w:color="auto" w:fill="BDD7EE"/>
            <w:vAlign w:val="center"/>
            <w:hideMark/>
          </w:tcPr>
          <w:p w14:paraId="7DDED896"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Základná </w:t>
            </w:r>
          </w:p>
        </w:tc>
        <w:tc>
          <w:tcPr>
            <w:tcW w:w="960" w:type="dxa"/>
            <w:shd w:val="clear" w:color="auto" w:fill="BDD7EE"/>
            <w:vAlign w:val="center"/>
            <w:hideMark/>
          </w:tcPr>
          <w:p w14:paraId="6927F444"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Cieľ </w:t>
            </w:r>
          </w:p>
        </w:tc>
        <w:tc>
          <w:tcPr>
            <w:tcW w:w="1080" w:type="dxa"/>
            <w:shd w:val="clear" w:color="auto" w:fill="BDD7EE"/>
            <w:vAlign w:val="center"/>
            <w:hideMark/>
          </w:tcPr>
          <w:p w14:paraId="3CD2C59F"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Štvrtina</w:t>
            </w:r>
          </w:p>
        </w:tc>
        <w:tc>
          <w:tcPr>
            <w:tcW w:w="840" w:type="dxa"/>
            <w:shd w:val="clear" w:color="auto" w:fill="BDD7EE"/>
            <w:vAlign w:val="center"/>
            <w:hideMark/>
          </w:tcPr>
          <w:p w14:paraId="7CF43455"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Rok</w:t>
            </w:r>
          </w:p>
        </w:tc>
        <w:tc>
          <w:tcPr>
            <w:tcW w:w="3396" w:type="dxa"/>
            <w:vMerge/>
            <w:vAlign w:val="center"/>
            <w:hideMark/>
          </w:tcPr>
          <w:p w14:paraId="3F889D56" w14:textId="77777777" w:rsidR="002D49B0" w:rsidRPr="00083739" w:rsidRDefault="002D49B0">
            <w:pPr>
              <w:spacing w:after="0" w:line="240" w:lineRule="auto"/>
              <w:rPr>
                <w:rFonts w:ascii="Times New Roman" w:eastAsia="Times New Roman" w:hAnsi="Times New Roman" w:cs="Times New Roman"/>
                <w:b/>
                <w:noProof/>
                <w:sz w:val="18"/>
                <w:szCs w:val="18"/>
                <w:lang w:val="sk-SK"/>
              </w:rPr>
            </w:pPr>
          </w:p>
        </w:tc>
      </w:tr>
      <w:tr w:rsidR="002D49B0" w:rsidRPr="00083739" w14:paraId="280646F3" w14:textId="77777777">
        <w:trPr>
          <w:trHeight w:val="309"/>
          <w:jc w:val="center"/>
        </w:trPr>
        <w:tc>
          <w:tcPr>
            <w:tcW w:w="1027" w:type="dxa"/>
            <w:shd w:val="clear" w:color="auto" w:fill="C6EFCE"/>
            <w:noWrap/>
          </w:tcPr>
          <w:p w14:paraId="24F4B8B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188</w:t>
            </w:r>
          </w:p>
        </w:tc>
        <w:tc>
          <w:tcPr>
            <w:tcW w:w="1289" w:type="dxa"/>
            <w:shd w:val="clear" w:color="auto" w:fill="C6EFCE"/>
            <w:noWrap/>
          </w:tcPr>
          <w:p w14:paraId="5B5E88C3" w14:textId="47056ED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12 – 4.1. Zabezpečiť, aby dane boli priaznivejšie pre rast</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zlepšiť daňovú správu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výber daní – 16614_Online pokladničné registre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POS (reforma)</w:t>
            </w:r>
          </w:p>
        </w:tc>
        <w:tc>
          <w:tcPr>
            <w:tcW w:w="966" w:type="dxa"/>
            <w:shd w:val="clear" w:color="auto" w:fill="C6EFCE"/>
            <w:noWrap/>
          </w:tcPr>
          <w:p w14:paraId="54B1839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550" w:type="dxa"/>
            <w:shd w:val="clear" w:color="auto" w:fill="C6EFCE"/>
            <w:noWrap/>
          </w:tcPr>
          <w:p w14:paraId="3912477E" w14:textId="20064D3D"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Nezávislý orgán pre verejné príjmy </w:t>
            </w:r>
            <w:r w:rsidRPr="00083739">
              <w:rPr>
                <w:rFonts w:ascii="Times New Roman" w:hAnsi="Times New Roman" w:cs="Times New Roman"/>
                <w:noProof/>
                <w:lang w:val="sk-SK"/>
              </w:rPr>
              <w:t>(IAPR): Online registračné pokladnice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miesto predaja (POS) – nadobudnutie účinnosti právneho rámca</w:t>
            </w:r>
          </w:p>
        </w:tc>
        <w:tc>
          <w:tcPr>
            <w:tcW w:w="2363" w:type="dxa"/>
            <w:shd w:val="clear" w:color="auto" w:fill="C6EFCE"/>
            <w:noWrap/>
          </w:tcPr>
          <w:p w14:paraId="0D4D8E7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zákona</w:t>
            </w:r>
          </w:p>
        </w:tc>
        <w:tc>
          <w:tcPr>
            <w:tcW w:w="1200" w:type="dxa"/>
            <w:shd w:val="clear" w:color="auto" w:fill="C6EFCE"/>
            <w:noWrap/>
          </w:tcPr>
          <w:p w14:paraId="735FD920"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200" w:type="dxa"/>
            <w:shd w:val="clear" w:color="auto" w:fill="C6EFCE"/>
            <w:noWrap/>
          </w:tcPr>
          <w:p w14:paraId="3F1995AA"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60" w:type="dxa"/>
            <w:shd w:val="clear" w:color="auto" w:fill="C6EFCE"/>
            <w:noWrap/>
          </w:tcPr>
          <w:p w14:paraId="538F6A1B"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80" w:type="dxa"/>
            <w:shd w:val="clear" w:color="auto" w:fill="C6EFCE"/>
            <w:noWrap/>
          </w:tcPr>
          <w:p w14:paraId="3FE6755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PRVÝ ŠTVRŤROK</w:t>
            </w:r>
          </w:p>
        </w:tc>
        <w:tc>
          <w:tcPr>
            <w:tcW w:w="840" w:type="dxa"/>
            <w:shd w:val="clear" w:color="auto" w:fill="C6EFCE"/>
            <w:noWrap/>
          </w:tcPr>
          <w:p w14:paraId="0731255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2022</w:t>
            </w:r>
          </w:p>
        </w:tc>
        <w:tc>
          <w:tcPr>
            <w:tcW w:w="3396" w:type="dxa"/>
            <w:shd w:val="clear" w:color="auto" w:fill="C6EFCE"/>
            <w:noWrap/>
          </w:tcPr>
          <w:p w14:paraId="03712E35" w14:textId="5AD4D29E"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rozhodnutia nezávislého orgánu pre verejné príjmy</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technických požiadavkách (na</w:t>
            </w:r>
            <w:r w:rsidRPr="00083739">
              <w:rPr>
                <w:rFonts w:ascii="Times New Roman" w:hAnsi="Times New Roman" w:cs="Times New Roman"/>
                <w:noProof/>
                <w:lang w:val="sk-SK"/>
              </w:rPr>
              <w:t xml:space="preserve"> základe článku 12 zákona č. 4308/2014)</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spoločného ministerského rozhodnutia</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elektronickom prenose údajov nezávislému orgánu pre verejné príjmy (na základe článku 15 zákona č. 4174/2013),</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ktorom sa stanovia kľúčové prvky potrebné na prepojenie online</w:t>
            </w:r>
            <w:r w:rsidRPr="00083739">
              <w:rPr>
                <w:rFonts w:ascii="Times New Roman" w:hAnsi="Times New Roman" w:cs="Times New Roman"/>
                <w:noProof/>
                <w:lang w:val="sk-SK"/>
              </w:rPr>
              <w:t xml:space="preserve"> pokladničných registrov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systémov na mieste predaja (POS)</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nezávislým orgánom pre verejné príjmy vrátane opätovného preskúmania sankcií za pokladničné registre (článok 54 zákona č. 4174/2013).</w:t>
            </w:r>
          </w:p>
        </w:tc>
      </w:tr>
      <w:tr w:rsidR="002D49B0" w:rsidRPr="00083739" w14:paraId="54D5016D" w14:textId="77777777">
        <w:trPr>
          <w:trHeight w:val="309"/>
          <w:jc w:val="center"/>
        </w:trPr>
        <w:tc>
          <w:tcPr>
            <w:tcW w:w="1027" w:type="dxa"/>
            <w:shd w:val="clear" w:color="auto" w:fill="C6EFCE"/>
            <w:noWrap/>
          </w:tcPr>
          <w:p w14:paraId="13DCABC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189</w:t>
            </w:r>
          </w:p>
        </w:tc>
        <w:tc>
          <w:tcPr>
            <w:tcW w:w="1289" w:type="dxa"/>
            <w:shd w:val="clear" w:color="auto" w:fill="C6EFCE"/>
            <w:noWrap/>
          </w:tcPr>
          <w:p w14:paraId="13B5A591" w14:textId="19A2EFF1"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12 – 4.1. Zabezpečiť, aby dane boli priaznivejšie pre </w:t>
            </w:r>
            <w:r w:rsidRPr="00083739">
              <w:rPr>
                <w:rFonts w:ascii="Times New Roman" w:hAnsi="Times New Roman" w:cs="Times New Roman"/>
                <w:noProof/>
                <w:lang w:val="sk-SK"/>
              </w:rPr>
              <w:t>rast</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zlepšiť daňovú správu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výber daní – 16614_Online pokladničné registre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POS (reforma)</w:t>
            </w:r>
          </w:p>
        </w:tc>
        <w:tc>
          <w:tcPr>
            <w:tcW w:w="966" w:type="dxa"/>
            <w:shd w:val="clear" w:color="auto" w:fill="C6EFCE"/>
            <w:noWrap/>
          </w:tcPr>
          <w:p w14:paraId="3A9D63B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Cieľ</w:t>
            </w:r>
          </w:p>
        </w:tc>
        <w:tc>
          <w:tcPr>
            <w:tcW w:w="1550" w:type="dxa"/>
            <w:shd w:val="clear" w:color="auto" w:fill="C6EFCE"/>
            <w:noWrap/>
          </w:tcPr>
          <w:p w14:paraId="430784F3" w14:textId="5DC84D10"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Nezávislý orgán pre verejné príjmy: Online registračné pokladnice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predajné miesto (POS) – integrácia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prepojenie </w:t>
            </w:r>
          </w:p>
        </w:tc>
        <w:tc>
          <w:tcPr>
            <w:tcW w:w="2363" w:type="dxa"/>
            <w:shd w:val="clear" w:color="auto" w:fill="C6EFCE"/>
            <w:noWrap/>
          </w:tcPr>
          <w:p w14:paraId="128448D4" w14:textId="77777777" w:rsidR="002D49B0" w:rsidRPr="00083739" w:rsidRDefault="002D49B0">
            <w:pPr>
              <w:spacing w:after="0" w:line="240" w:lineRule="auto"/>
              <w:rPr>
                <w:rFonts w:ascii="Times New Roman" w:eastAsia="Times New Roman" w:hAnsi="Times New Roman" w:cs="Times New Roman"/>
                <w:noProof/>
                <w:color w:val="006100"/>
                <w:sz w:val="18"/>
                <w:szCs w:val="18"/>
                <w:highlight w:val="yellow"/>
                <w:lang w:val="sk-SK"/>
              </w:rPr>
            </w:pPr>
          </w:p>
        </w:tc>
        <w:tc>
          <w:tcPr>
            <w:tcW w:w="1200" w:type="dxa"/>
            <w:shd w:val="clear" w:color="auto" w:fill="C6EFCE"/>
            <w:noWrap/>
          </w:tcPr>
          <w:p w14:paraId="77EAABB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Počet registračných pokladníc</w:t>
            </w:r>
          </w:p>
        </w:tc>
        <w:tc>
          <w:tcPr>
            <w:tcW w:w="1200" w:type="dxa"/>
            <w:shd w:val="clear" w:color="auto" w:fill="C6EFCE"/>
            <w:noWrap/>
          </w:tcPr>
          <w:p w14:paraId="00CB000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0</w:t>
            </w:r>
          </w:p>
        </w:tc>
        <w:tc>
          <w:tcPr>
            <w:tcW w:w="960" w:type="dxa"/>
            <w:shd w:val="clear" w:color="auto" w:fill="C6EFCE"/>
            <w:noWrap/>
          </w:tcPr>
          <w:p w14:paraId="06CDA16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400 000</w:t>
            </w:r>
          </w:p>
        </w:tc>
        <w:tc>
          <w:tcPr>
            <w:tcW w:w="1080" w:type="dxa"/>
            <w:shd w:val="clear" w:color="auto" w:fill="C6EFCE"/>
            <w:noWrap/>
          </w:tcPr>
          <w:p w14:paraId="19B5CC7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840" w:type="dxa"/>
            <w:shd w:val="clear" w:color="auto" w:fill="C6EFCE"/>
            <w:noWrap/>
          </w:tcPr>
          <w:p w14:paraId="6E72446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2024</w:t>
            </w:r>
          </w:p>
        </w:tc>
        <w:tc>
          <w:tcPr>
            <w:tcW w:w="3396" w:type="dxa"/>
            <w:shd w:val="clear" w:color="auto" w:fill="C6EFCE"/>
            <w:noWrap/>
          </w:tcPr>
          <w:p w14:paraId="6FACA7A8" w14:textId="2BF8AFE1" w:rsidR="00083739" w:rsidRPr="00083739" w:rsidRDefault="00BF4125">
            <w:pPr>
              <w:pStyle w:val="P68B1DB1-Normal10"/>
              <w:spacing w:after="0" w:line="240" w:lineRule="auto"/>
              <w:rPr>
                <w:rFonts w:ascii="Times New Roman" w:hAnsi="Times New Roman" w:cs="Times New Roman"/>
                <w:noProof/>
                <w:lang w:val="sk-SK"/>
              </w:rPr>
            </w:pPr>
            <w:r w:rsidRPr="00083739">
              <w:rPr>
                <w:rFonts w:ascii="Times New Roman" w:hAnsi="Times New Roman" w:cs="Times New Roman"/>
                <w:noProof/>
                <w:lang w:val="sk-SK"/>
              </w:rPr>
              <w:t>Integrácia príslušného informačného systému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databázy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rámci platformy myDATA – všetky podniky podľa právneho rámca prepojili svoje online registračné pokladnice so systémami na mieste predaja</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nezávislým orgánom pre verejné príjmy</w:t>
            </w:r>
            <w:r w:rsidR="00083739" w:rsidRPr="00083739">
              <w:rPr>
                <w:rFonts w:ascii="Times New Roman" w:hAnsi="Times New Roman" w:cs="Times New Roman"/>
                <w:noProof/>
                <w:lang w:val="sk-SK"/>
              </w:rPr>
              <w:t>.</w:t>
            </w:r>
          </w:p>
          <w:p w14:paraId="0AFA29FA" w14:textId="75C708E1"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p w14:paraId="3A291345" w14:textId="152D71C2"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Správa nezávislého orgánu pre verejné príjmy,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ktorej sa potvrdzuje dokončenie reformy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uvádza sa celkový počet online registračných pokladníc, ktoré prepojili svoje systémy na mieste predaja</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nezávislým orgánom pre verejné príjmy. Prípustné registrač</w:t>
            </w:r>
            <w:r w:rsidRPr="00083739">
              <w:rPr>
                <w:rFonts w:ascii="Times New Roman" w:hAnsi="Times New Roman" w:cs="Times New Roman"/>
                <w:noProof/>
                <w:lang w:val="sk-SK"/>
              </w:rPr>
              <w:t>né pokladnice musia mať hodnotu najmenej 400000.</w:t>
            </w:r>
          </w:p>
        </w:tc>
      </w:tr>
    </w:tbl>
    <w:p w14:paraId="0AA497C1" w14:textId="77777777" w:rsidR="002D49B0" w:rsidRPr="00083739" w:rsidRDefault="002D49B0">
      <w:pPr>
        <w:spacing w:before="120" w:after="120" w:line="240" w:lineRule="auto"/>
        <w:ind w:left="709"/>
        <w:jc w:val="both"/>
        <w:rPr>
          <w:rFonts w:ascii="Times New Roman" w:hAnsi="Times New Roman" w:cs="Times New Roman"/>
          <w:noProof/>
          <w:sz w:val="24"/>
          <w:szCs w:val="24"/>
          <w:lang w:val="sk-SK"/>
        </w:rPr>
      </w:pPr>
    </w:p>
    <w:p w14:paraId="675E82D4" w14:textId="77777777" w:rsidR="002D49B0" w:rsidRPr="00083739" w:rsidRDefault="00BF4125">
      <w:pPr>
        <w:pStyle w:val="P68B1DB1-Normal6"/>
        <w:keepNext/>
        <w:keepLines/>
        <w:spacing w:before="40" w:after="0" w:line="240" w:lineRule="auto"/>
        <w:jc w:val="both"/>
        <w:outlineLvl w:val="4"/>
        <w:rPr>
          <w:rFonts w:ascii="Times New Roman" w:eastAsia="Times New Roman" w:hAnsi="Times New Roman" w:cs="Times New Roman"/>
          <w:noProof/>
          <w:lang w:val="sk-SK"/>
        </w:rPr>
      </w:pPr>
      <w:r w:rsidRPr="00083739">
        <w:rPr>
          <w:rFonts w:ascii="Times New Roman" w:hAnsi="Times New Roman" w:cs="Times New Roman"/>
          <w:noProof/>
          <w:lang w:val="sk-SK"/>
        </w:rPr>
        <w:t>Skupina 17: Opatrenia daňovej správy</w:t>
      </w:r>
    </w:p>
    <w:p w14:paraId="2FCDF64E" w14:textId="77777777" w:rsidR="002D49B0" w:rsidRPr="00083739" w:rsidRDefault="00BF4125">
      <w:pPr>
        <w:pStyle w:val="P68B1DB1-Normal4"/>
        <w:numPr>
          <w:ilvl w:val="0"/>
          <w:numId w:val="37"/>
        </w:numPr>
        <w:spacing w:before="120" w:after="0" w:line="240" w:lineRule="auto"/>
        <w:jc w:val="both"/>
        <w:rPr>
          <w:rFonts w:cs="Times New Roman"/>
          <w:noProof/>
          <w:lang w:val="sk-SK"/>
        </w:rPr>
      </w:pPr>
      <w:r w:rsidRPr="00083739">
        <w:rPr>
          <w:rFonts w:cs="Times New Roman"/>
          <w:noProof/>
          <w:lang w:val="sk-SK"/>
        </w:rPr>
        <w:t>Digitálna transformácia daňových auditov (ID: 16611)</w:t>
      </w:r>
    </w:p>
    <w:p w14:paraId="0B6EC869" w14:textId="77777777" w:rsidR="002D49B0" w:rsidRPr="00083739" w:rsidRDefault="00BF4125">
      <w:pPr>
        <w:pStyle w:val="P68B1DB1-Normal4"/>
        <w:numPr>
          <w:ilvl w:val="0"/>
          <w:numId w:val="37"/>
        </w:numPr>
        <w:spacing w:before="120" w:after="0" w:line="240" w:lineRule="auto"/>
        <w:jc w:val="both"/>
        <w:rPr>
          <w:rFonts w:cs="Times New Roman"/>
          <w:noProof/>
          <w:lang w:val="sk-SK"/>
        </w:rPr>
      </w:pPr>
      <w:r w:rsidRPr="00083739">
        <w:rPr>
          <w:rFonts w:cs="Times New Roman"/>
          <w:noProof/>
          <w:lang w:val="sk-SK"/>
        </w:rPr>
        <w:t>Podpora urýchlenia vrátenia DPH (ID: 16610)</w:t>
      </w:r>
    </w:p>
    <w:p w14:paraId="340B0EDB" w14:textId="2C208500" w:rsidR="002D49B0" w:rsidRPr="00083739" w:rsidRDefault="00BF4125">
      <w:pPr>
        <w:pStyle w:val="P68B1DB1-Normal4"/>
        <w:numPr>
          <w:ilvl w:val="0"/>
          <w:numId w:val="37"/>
        </w:numPr>
        <w:spacing w:before="120" w:after="0" w:line="240" w:lineRule="auto"/>
        <w:jc w:val="both"/>
        <w:rPr>
          <w:rFonts w:cs="Times New Roman"/>
          <w:noProof/>
          <w:lang w:val="sk-SK"/>
        </w:rPr>
      </w:pPr>
      <w:r w:rsidRPr="00083739">
        <w:rPr>
          <w:rFonts w:cs="Times New Roman"/>
          <w:noProof/>
          <w:lang w:val="sk-SK"/>
        </w:rPr>
        <w:t>Nový rámec boja proti pašovaniu, najmä</w:t>
      </w:r>
      <w:r w:rsidR="00083739" w:rsidRPr="00083739">
        <w:rPr>
          <w:rFonts w:cs="Times New Roman"/>
          <w:noProof/>
          <w:lang w:val="sk-SK"/>
        </w:rPr>
        <w:t xml:space="preserve"> v </w:t>
      </w:r>
      <w:r w:rsidRPr="00083739">
        <w:rPr>
          <w:rFonts w:cs="Times New Roman"/>
          <w:noProof/>
          <w:lang w:val="sk-SK"/>
        </w:rPr>
        <w:t xml:space="preserve">prípade výrobkov </w:t>
      </w:r>
      <w:r w:rsidRPr="00083739">
        <w:rPr>
          <w:rFonts w:cs="Times New Roman"/>
          <w:noProof/>
          <w:lang w:val="sk-SK"/>
        </w:rPr>
        <w:t>podliehajúcich spotrebnej dani (tabak, alkohol</w:t>
      </w:r>
      <w:r w:rsidR="00083739" w:rsidRPr="00083739">
        <w:rPr>
          <w:rFonts w:cs="Times New Roman"/>
          <w:noProof/>
          <w:lang w:val="sk-SK"/>
        </w:rPr>
        <w:t xml:space="preserve"> a </w:t>
      </w:r>
      <w:r w:rsidRPr="00083739">
        <w:rPr>
          <w:rFonts w:cs="Times New Roman"/>
          <w:noProof/>
          <w:lang w:val="sk-SK"/>
        </w:rPr>
        <w:t>energia) (ID: 16656)</w:t>
      </w:r>
    </w:p>
    <w:p w14:paraId="2745AF91" w14:textId="35F03802" w:rsidR="002D49B0" w:rsidRPr="00083739" w:rsidRDefault="00BF4125">
      <w:pPr>
        <w:pStyle w:val="P68B1DB1-Normal4"/>
        <w:numPr>
          <w:ilvl w:val="0"/>
          <w:numId w:val="37"/>
        </w:numPr>
        <w:spacing w:before="120" w:after="120" w:line="240" w:lineRule="auto"/>
        <w:jc w:val="both"/>
        <w:rPr>
          <w:rFonts w:cs="Times New Roman"/>
          <w:noProof/>
          <w:lang w:val="sk-SK"/>
        </w:rPr>
      </w:pPr>
      <w:r w:rsidRPr="00083739">
        <w:rPr>
          <w:rFonts w:cs="Times New Roman"/>
          <w:noProof/>
          <w:lang w:val="sk-SK"/>
        </w:rPr>
        <w:t>Digitálna transformácia daňovej</w:t>
      </w:r>
      <w:r w:rsidR="00083739" w:rsidRPr="00083739">
        <w:rPr>
          <w:rFonts w:cs="Times New Roman"/>
          <w:noProof/>
          <w:lang w:val="sk-SK"/>
        </w:rPr>
        <w:t xml:space="preserve"> a </w:t>
      </w:r>
      <w:r w:rsidRPr="00083739">
        <w:rPr>
          <w:rFonts w:cs="Times New Roman"/>
          <w:noProof/>
          <w:lang w:val="sk-SK"/>
        </w:rPr>
        <w:t>colnej správy (ID: 16291)</w:t>
      </w:r>
    </w:p>
    <w:p w14:paraId="376D1682" w14:textId="77777777" w:rsidR="002D49B0" w:rsidRPr="00083739" w:rsidRDefault="002D49B0">
      <w:pPr>
        <w:spacing w:before="120" w:after="120" w:line="240" w:lineRule="auto"/>
        <w:ind w:left="709"/>
        <w:jc w:val="both"/>
        <w:rPr>
          <w:rFonts w:ascii="Times New Roman" w:hAnsi="Times New Roman" w:cs="Times New Roman"/>
          <w:noProof/>
          <w:sz w:val="24"/>
          <w:szCs w:val="24"/>
          <w:lang w:val="sk-SK"/>
        </w:rPr>
      </w:pPr>
    </w:p>
    <w:tbl>
      <w:tblPr>
        <w:tblW w:w="15800" w:type="dxa"/>
        <w:jc w:val="center"/>
        <w:tblLook w:val="04A0" w:firstRow="1" w:lastRow="0" w:firstColumn="1" w:lastColumn="0" w:noHBand="0" w:noVBand="1"/>
      </w:tblPr>
      <w:tblGrid>
        <w:gridCol w:w="1027"/>
        <w:gridCol w:w="1533"/>
        <w:gridCol w:w="1115"/>
        <w:gridCol w:w="1356"/>
        <w:gridCol w:w="1926"/>
        <w:gridCol w:w="897"/>
        <w:gridCol w:w="957"/>
        <w:gridCol w:w="587"/>
        <w:gridCol w:w="1167"/>
        <w:gridCol w:w="694"/>
        <w:gridCol w:w="5173"/>
      </w:tblGrid>
      <w:tr w:rsidR="002D49B0" w:rsidRPr="00083739" w14:paraId="751C80CB" w14:textId="77777777">
        <w:trPr>
          <w:trHeight w:val="939"/>
          <w:tblHeader/>
          <w:jc w:val="center"/>
        </w:trPr>
        <w:tc>
          <w:tcPr>
            <w:tcW w:w="102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F0541FB"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Poradové číslo</w:t>
            </w:r>
          </w:p>
        </w:tc>
        <w:tc>
          <w:tcPr>
            <w:tcW w:w="153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7C12256"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Súvisiace opatrenie (reforma alebo investícia)</w:t>
            </w:r>
          </w:p>
        </w:tc>
        <w:tc>
          <w:tcPr>
            <w:tcW w:w="96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74F034E"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Míľnik/cieľ</w:t>
            </w:r>
          </w:p>
        </w:tc>
        <w:tc>
          <w:tcPr>
            <w:tcW w:w="132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D3E7470"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Názov</w:t>
            </w:r>
          </w:p>
        </w:tc>
        <w:tc>
          <w:tcPr>
            <w:tcW w:w="182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005FA3A" w14:textId="77777777" w:rsidR="002D49B0" w:rsidRPr="00083739" w:rsidRDefault="00BF4125">
            <w:pPr>
              <w:pStyle w:val="P68B1DB1-Normal37"/>
              <w:spacing w:after="0" w:line="240" w:lineRule="auto"/>
              <w:jc w:val="center"/>
              <w:rPr>
                <w:rFonts w:eastAsia="Times New Roman" w:cs="Times New Roman"/>
                <w:b/>
                <w:bCs/>
                <w:noProof/>
                <w:sz w:val="18"/>
                <w:szCs w:val="18"/>
                <w:lang w:val="sk-SK"/>
              </w:rPr>
            </w:pPr>
            <w:r w:rsidRPr="00083739">
              <w:rPr>
                <w:rFonts w:cs="Times New Roman"/>
                <w:b/>
                <w:noProof/>
                <w:sz w:val="18"/>
                <w:lang w:val="sk-SK"/>
              </w:rPr>
              <w:t xml:space="preserve">Kvalitatívne ukazovatele </w:t>
            </w:r>
            <w:r w:rsidRPr="00083739">
              <w:rPr>
                <w:rFonts w:cs="Times New Roman"/>
                <w:noProof/>
                <w:sz w:val="24"/>
                <w:lang w:val="sk-SK"/>
              </w:rPr>
              <w:t xml:space="preserve"> </w:t>
            </w:r>
            <w:r w:rsidRPr="00083739">
              <w:rPr>
                <w:rFonts w:cs="Times New Roman"/>
                <w:b/>
                <w:noProof/>
                <w:sz w:val="18"/>
                <w:lang w:val="sk-SK"/>
              </w:rPr>
              <w:t>(pre míľniky)</w:t>
            </w:r>
          </w:p>
        </w:tc>
        <w:tc>
          <w:tcPr>
            <w:tcW w:w="2410" w:type="dxa"/>
            <w:gridSpan w:val="3"/>
            <w:tcBorders>
              <w:top w:val="single" w:sz="4" w:space="0" w:color="auto"/>
              <w:left w:val="single" w:sz="4" w:space="0" w:color="auto"/>
              <w:bottom w:val="single" w:sz="4" w:space="0" w:color="auto"/>
              <w:right w:val="single" w:sz="4" w:space="0" w:color="auto"/>
            </w:tcBorders>
            <w:shd w:val="clear" w:color="auto" w:fill="BDD7EE"/>
            <w:vAlign w:val="center"/>
            <w:hideMark/>
          </w:tcPr>
          <w:p w14:paraId="605D618E" w14:textId="77777777" w:rsidR="002D49B0" w:rsidRPr="00083739" w:rsidRDefault="00BF4125">
            <w:pPr>
              <w:pStyle w:val="P68B1DB1-Normal37"/>
              <w:spacing w:after="0" w:line="240" w:lineRule="auto"/>
              <w:jc w:val="center"/>
              <w:rPr>
                <w:rFonts w:eastAsia="Times New Roman" w:cs="Times New Roman"/>
                <w:b/>
                <w:bCs/>
                <w:noProof/>
                <w:sz w:val="18"/>
                <w:szCs w:val="18"/>
                <w:lang w:val="sk-SK"/>
              </w:rPr>
            </w:pPr>
            <w:r w:rsidRPr="00083739">
              <w:rPr>
                <w:rFonts w:cs="Times New Roman"/>
                <w:b/>
                <w:noProof/>
                <w:sz w:val="18"/>
                <w:lang w:val="sk-SK"/>
              </w:rPr>
              <w:t xml:space="preserve">Kvantitatívne ukazovatele </w:t>
            </w:r>
            <w:r w:rsidRPr="00083739">
              <w:rPr>
                <w:rFonts w:cs="Times New Roman"/>
                <w:noProof/>
                <w:sz w:val="24"/>
                <w:lang w:val="sk-SK"/>
              </w:rPr>
              <w:t xml:space="preserve"> </w:t>
            </w:r>
            <w:r w:rsidRPr="00083739">
              <w:rPr>
                <w:rFonts w:cs="Times New Roman"/>
                <w:b/>
                <w:noProof/>
                <w:sz w:val="18"/>
                <w:lang w:val="sk-SK"/>
              </w:rPr>
              <w:t>(pre ciele)</w:t>
            </w:r>
          </w:p>
        </w:tc>
        <w:tc>
          <w:tcPr>
            <w:tcW w:w="1540" w:type="dxa"/>
            <w:gridSpan w:val="2"/>
            <w:tcBorders>
              <w:top w:val="single" w:sz="4" w:space="0" w:color="auto"/>
              <w:left w:val="nil"/>
              <w:bottom w:val="single" w:sz="4" w:space="0" w:color="auto"/>
              <w:right w:val="single" w:sz="4" w:space="0" w:color="auto"/>
            </w:tcBorders>
            <w:shd w:val="clear" w:color="auto" w:fill="BDD7EE"/>
            <w:vAlign w:val="center"/>
            <w:hideMark/>
          </w:tcPr>
          <w:p w14:paraId="7974604C"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Orientačný harmonogram dokončenia </w:t>
            </w:r>
          </w:p>
        </w:tc>
        <w:tc>
          <w:tcPr>
            <w:tcW w:w="517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09F2A0A" w14:textId="5BEEE474"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Opis každého míľnika</w:t>
            </w:r>
            <w:r w:rsidR="00083739" w:rsidRPr="00083739">
              <w:rPr>
                <w:rFonts w:cs="Times New Roman"/>
                <w:noProof/>
                <w:lang w:val="sk-SK"/>
              </w:rPr>
              <w:t xml:space="preserve"> a </w:t>
            </w:r>
            <w:r w:rsidRPr="00083739">
              <w:rPr>
                <w:rFonts w:cs="Times New Roman"/>
                <w:noProof/>
                <w:lang w:val="sk-SK"/>
              </w:rPr>
              <w:t>cieľa</w:t>
            </w:r>
          </w:p>
        </w:tc>
      </w:tr>
      <w:tr w:rsidR="002D49B0" w:rsidRPr="00083739" w14:paraId="42605750" w14:textId="77777777">
        <w:trPr>
          <w:trHeight w:val="674"/>
          <w:tblHeader/>
          <w:jc w:val="center"/>
        </w:trPr>
        <w:tc>
          <w:tcPr>
            <w:tcW w:w="1027" w:type="dxa"/>
            <w:vMerge/>
            <w:tcBorders>
              <w:top w:val="single" w:sz="4" w:space="0" w:color="auto"/>
              <w:left w:val="single" w:sz="4" w:space="0" w:color="auto"/>
              <w:bottom w:val="single" w:sz="4" w:space="0" w:color="auto"/>
              <w:right w:val="single" w:sz="4" w:space="0" w:color="auto"/>
            </w:tcBorders>
            <w:vAlign w:val="center"/>
            <w:hideMark/>
          </w:tcPr>
          <w:p w14:paraId="6185F0AB"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533" w:type="dxa"/>
            <w:vMerge/>
            <w:tcBorders>
              <w:top w:val="single" w:sz="4" w:space="0" w:color="auto"/>
              <w:left w:val="single" w:sz="4" w:space="0" w:color="auto"/>
              <w:bottom w:val="single" w:sz="4" w:space="0" w:color="auto"/>
              <w:right w:val="single" w:sz="4" w:space="0" w:color="auto"/>
            </w:tcBorders>
            <w:vAlign w:val="center"/>
            <w:hideMark/>
          </w:tcPr>
          <w:p w14:paraId="6A6EBE57"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969" w:type="dxa"/>
            <w:vMerge/>
            <w:tcBorders>
              <w:top w:val="single" w:sz="4" w:space="0" w:color="auto"/>
              <w:left w:val="single" w:sz="4" w:space="0" w:color="auto"/>
              <w:bottom w:val="single" w:sz="4" w:space="0" w:color="auto"/>
              <w:right w:val="single" w:sz="4" w:space="0" w:color="auto"/>
            </w:tcBorders>
            <w:vAlign w:val="center"/>
            <w:hideMark/>
          </w:tcPr>
          <w:p w14:paraId="3588F0DD"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14:paraId="618D1F48"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824" w:type="dxa"/>
            <w:vMerge/>
            <w:tcBorders>
              <w:top w:val="single" w:sz="4" w:space="0" w:color="auto"/>
              <w:left w:val="single" w:sz="4" w:space="0" w:color="auto"/>
              <w:bottom w:val="single" w:sz="4" w:space="0" w:color="auto"/>
              <w:right w:val="single" w:sz="4" w:space="0" w:color="auto"/>
            </w:tcBorders>
            <w:vAlign w:val="center"/>
            <w:hideMark/>
          </w:tcPr>
          <w:p w14:paraId="7DF5F48E"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866"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5FB3DEE6"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Merná jednotka</w:t>
            </w:r>
          </w:p>
        </w:tc>
        <w:tc>
          <w:tcPr>
            <w:tcW w:w="957" w:type="dxa"/>
            <w:tcBorders>
              <w:top w:val="single" w:sz="4" w:space="0" w:color="auto"/>
              <w:left w:val="nil"/>
              <w:bottom w:val="single" w:sz="4" w:space="0" w:color="auto"/>
              <w:right w:val="single" w:sz="4" w:space="0" w:color="auto"/>
            </w:tcBorders>
            <w:shd w:val="clear" w:color="auto" w:fill="BDD7EE"/>
            <w:vAlign w:val="center"/>
            <w:hideMark/>
          </w:tcPr>
          <w:p w14:paraId="127B0C60"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Základná </w:t>
            </w:r>
          </w:p>
        </w:tc>
        <w:tc>
          <w:tcPr>
            <w:tcW w:w="587" w:type="dxa"/>
            <w:tcBorders>
              <w:top w:val="single" w:sz="4" w:space="0" w:color="auto"/>
              <w:left w:val="nil"/>
              <w:bottom w:val="single" w:sz="4" w:space="0" w:color="auto"/>
              <w:right w:val="single" w:sz="4" w:space="0" w:color="auto"/>
            </w:tcBorders>
            <w:shd w:val="clear" w:color="auto" w:fill="BDD7EE"/>
            <w:vAlign w:val="center"/>
            <w:hideMark/>
          </w:tcPr>
          <w:p w14:paraId="15968B28"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Cieľ </w:t>
            </w:r>
          </w:p>
        </w:tc>
        <w:tc>
          <w:tcPr>
            <w:tcW w:w="846" w:type="dxa"/>
            <w:tcBorders>
              <w:top w:val="single" w:sz="4" w:space="0" w:color="auto"/>
              <w:left w:val="nil"/>
              <w:bottom w:val="single" w:sz="4" w:space="0" w:color="auto"/>
              <w:right w:val="single" w:sz="4" w:space="0" w:color="auto"/>
            </w:tcBorders>
            <w:shd w:val="clear" w:color="auto" w:fill="BDD7EE"/>
            <w:vAlign w:val="center"/>
            <w:hideMark/>
          </w:tcPr>
          <w:p w14:paraId="4B652D8F"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Štvrtina</w:t>
            </w:r>
          </w:p>
        </w:tc>
        <w:tc>
          <w:tcPr>
            <w:tcW w:w="694" w:type="dxa"/>
            <w:tcBorders>
              <w:top w:val="single" w:sz="4" w:space="0" w:color="auto"/>
              <w:left w:val="nil"/>
              <w:bottom w:val="single" w:sz="4" w:space="0" w:color="auto"/>
              <w:right w:val="single" w:sz="4" w:space="0" w:color="auto"/>
            </w:tcBorders>
            <w:shd w:val="clear" w:color="auto" w:fill="BDD7EE"/>
            <w:vAlign w:val="center"/>
            <w:hideMark/>
          </w:tcPr>
          <w:p w14:paraId="0391B15A"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Rok</w:t>
            </w:r>
          </w:p>
        </w:tc>
        <w:tc>
          <w:tcPr>
            <w:tcW w:w="5173" w:type="dxa"/>
            <w:vMerge/>
            <w:tcBorders>
              <w:top w:val="single" w:sz="4" w:space="0" w:color="auto"/>
              <w:bottom w:val="single" w:sz="4" w:space="0" w:color="auto"/>
              <w:right w:val="single" w:sz="4" w:space="0" w:color="auto"/>
            </w:tcBorders>
            <w:vAlign w:val="center"/>
            <w:hideMark/>
          </w:tcPr>
          <w:p w14:paraId="074D7A7A"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r>
      <w:tr w:rsidR="002D49B0" w:rsidRPr="00083739" w14:paraId="7246D486" w14:textId="77777777">
        <w:trPr>
          <w:trHeight w:val="313"/>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05026C5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190</w:t>
            </w:r>
          </w:p>
        </w:tc>
        <w:tc>
          <w:tcPr>
            <w:tcW w:w="1533" w:type="dxa"/>
            <w:tcBorders>
              <w:top w:val="single" w:sz="4" w:space="0" w:color="auto"/>
              <w:left w:val="nil"/>
              <w:bottom w:val="single" w:sz="4" w:space="0" w:color="auto"/>
              <w:right w:val="single" w:sz="4" w:space="0" w:color="auto"/>
            </w:tcBorders>
            <w:shd w:val="clear" w:color="auto" w:fill="C6EFCE"/>
            <w:noWrap/>
          </w:tcPr>
          <w:p w14:paraId="4903C629" w14:textId="29317CCF"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12 – 4.1. Zabezpečiť, aby dane boli priaznivejšie pre rast</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zlepšiť daňovú správu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výber daní –</w:t>
            </w:r>
            <w:r w:rsidRPr="00083739">
              <w:rPr>
                <w:rFonts w:ascii="Times New Roman" w:hAnsi="Times New Roman" w:cs="Times New Roman"/>
                <w:noProof/>
                <w:lang w:val="sk-SK"/>
              </w:rPr>
              <w:t xml:space="preserve"> 16656_Nový rámec pre boj proti pašovaniu, najmä pre výrobky podliehajúce spotrebným daniam (tabak, alkohol</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energia)</w:t>
            </w:r>
          </w:p>
        </w:tc>
        <w:tc>
          <w:tcPr>
            <w:tcW w:w="969" w:type="dxa"/>
            <w:tcBorders>
              <w:top w:val="single" w:sz="4" w:space="0" w:color="auto"/>
              <w:left w:val="nil"/>
              <w:bottom w:val="single" w:sz="4" w:space="0" w:color="auto"/>
              <w:right w:val="single" w:sz="4" w:space="0" w:color="auto"/>
            </w:tcBorders>
            <w:shd w:val="clear" w:color="auto" w:fill="C6EFCE"/>
            <w:noWrap/>
          </w:tcPr>
          <w:p w14:paraId="30D5EA5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24" w:type="dxa"/>
            <w:tcBorders>
              <w:top w:val="single" w:sz="4" w:space="0" w:color="auto"/>
              <w:left w:val="nil"/>
              <w:bottom w:val="single" w:sz="4" w:space="0" w:color="auto"/>
              <w:right w:val="single" w:sz="4" w:space="0" w:color="auto"/>
            </w:tcBorders>
            <w:shd w:val="clear" w:color="auto" w:fill="C6EFCE"/>
            <w:noWrap/>
          </w:tcPr>
          <w:p w14:paraId="198BBE1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Boj proti prevádzačstvu – plán regulačných rozhodnutí</w:t>
            </w:r>
          </w:p>
        </w:tc>
        <w:tc>
          <w:tcPr>
            <w:tcW w:w="1824" w:type="dxa"/>
            <w:tcBorders>
              <w:top w:val="single" w:sz="4" w:space="0" w:color="auto"/>
              <w:left w:val="nil"/>
              <w:bottom w:val="single" w:sz="4" w:space="0" w:color="auto"/>
              <w:right w:val="single" w:sz="4" w:space="0" w:color="auto"/>
            </w:tcBorders>
            <w:shd w:val="clear" w:color="auto" w:fill="C6EFCE"/>
            <w:noWrap/>
          </w:tcPr>
          <w:p w14:paraId="2108FBFC" w14:textId="2F2FE28B"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Správa nezávislého orgánu pre verejné príjmy, ktorá obsahuje plán </w:t>
            </w:r>
            <w:r w:rsidRPr="00083739">
              <w:rPr>
                <w:rFonts w:ascii="Times New Roman" w:hAnsi="Times New Roman" w:cs="Times New Roman"/>
                <w:noProof/>
                <w:lang w:val="sk-SK"/>
              </w:rPr>
              <w:t>rozhodnutí/obežníkov súvisiacich</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bojom proti prevádzačstvu.</w:t>
            </w:r>
          </w:p>
        </w:tc>
        <w:tc>
          <w:tcPr>
            <w:tcW w:w="866" w:type="dxa"/>
            <w:tcBorders>
              <w:top w:val="single" w:sz="4" w:space="0" w:color="auto"/>
              <w:left w:val="nil"/>
              <w:bottom w:val="single" w:sz="4" w:space="0" w:color="auto"/>
              <w:right w:val="single" w:sz="4" w:space="0" w:color="auto"/>
            </w:tcBorders>
            <w:shd w:val="clear" w:color="auto" w:fill="C6EFCE"/>
            <w:noWrap/>
          </w:tcPr>
          <w:p w14:paraId="70B7B4C8"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57" w:type="dxa"/>
            <w:tcBorders>
              <w:top w:val="nil"/>
              <w:left w:val="nil"/>
              <w:bottom w:val="single" w:sz="4" w:space="0" w:color="auto"/>
              <w:right w:val="single" w:sz="4" w:space="0" w:color="auto"/>
            </w:tcBorders>
            <w:shd w:val="clear" w:color="auto" w:fill="C6EFCE"/>
            <w:noWrap/>
          </w:tcPr>
          <w:p w14:paraId="529F4C60"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587" w:type="dxa"/>
            <w:tcBorders>
              <w:top w:val="nil"/>
              <w:left w:val="nil"/>
              <w:bottom w:val="single" w:sz="4" w:space="0" w:color="auto"/>
              <w:right w:val="single" w:sz="4" w:space="0" w:color="auto"/>
            </w:tcBorders>
            <w:shd w:val="clear" w:color="auto" w:fill="C6EFCE"/>
            <w:noWrap/>
          </w:tcPr>
          <w:p w14:paraId="4441D21F"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6" w:type="dxa"/>
            <w:tcBorders>
              <w:top w:val="nil"/>
              <w:left w:val="nil"/>
              <w:bottom w:val="single" w:sz="4" w:space="0" w:color="auto"/>
              <w:right w:val="single" w:sz="4" w:space="0" w:color="auto"/>
            </w:tcBorders>
            <w:shd w:val="clear" w:color="auto" w:fill="C6EFCE"/>
            <w:noWrap/>
          </w:tcPr>
          <w:p w14:paraId="2C26C18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PRVÝ ŠTVRŤROK</w:t>
            </w:r>
          </w:p>
        </w:tc>
        <w:tc>
          <w:tcPr>
            <w:tcW w:w="694" w:type="dxa"/>
            <w:tcBorders>
              <w:top w:val="nil"/>
              <w:left w:val="nil"/>
              <w:bottom w:val="single" w:sz="4" w:space="0" w:color="auto"/>
              <w:right w:val="single" w:sz="4" w:space="0" w:color="auto"/>
            </w:tcBorders>
            <w:shd w:val="clear" w:color="auto" w:fill="C6EFCE"/>
            <w:noWrap/>
          </w:tcPr>
          <w:p w14:paraId="65DB692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2022</w:t>
            </w:r>
          </w:p>
        </w:tc>
        <w:tc>
          <w:tcPr>
            <w:tcW w:w="5173" w:type="dxa"/>
            <w:tcBorders>
              <w:top w:val="single" w:sz="4" w:space="0" w:color="auto"/>
              <w:left w:val="single" w:sz="4" w:space="0" w:color="auto"/>
              <w:bottom w:val="single" w:sz="4" w:space="0" w:color="auto"/>
              <w:right w:val="single" w:sz="4" w:space="0" w:color="auto"/>
            </w:tcBorders>
            <w:shd w:val="clear" w:color="auto" w:fill="C6EFCE"/>
            <w:noWrap/>
          </w:tcPr>
          <w:p w14:paraId="2D5EDD55" w14:textId="7B6B5399"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Nezávislý orgán pre verejné príjmy prijme plán (vrátane harmonogramu) na vydávanie rozhodnutí/okruhov súvisiacich</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reformou právneho rámca pre boj proti prevádzačstvu.</w:t>
            </w:r>
          </w:p>
          <w:p w14:paraId="2B5DD4A1"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p w14:paraId="49B2FAA8" w14:textId="2F0B5FEB"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Ne</w:t>
            </w:r>
            <w:r w:rsidRPr="00083739">
              <w:rPr>
                <w:rFonts w:ascii="Times New Roman" w:hAnsi="Times New Roman" w:cs="Times New Roman"/>
                <w:noProof/>
                <w:lang w:val="sk-SK"/>
              </w:rPr>
              <w:t>závislý orgán pre verejné príjmy vydá správu</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pláne vydávania rozhodnutí/obežníkov,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ktorej podrobne opíše kroky potrebné na prepracovanie operačných informačných systémov ICISNET</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ELENXIS</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cieľom účinne uprednostniť riziká nesúladu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vytvoriť čo najle</w:t>
            </w:r>
            <w:r w:rsidRPr="00083739">
              <w:rPr>
                <w:rFonts w:ascii="Times New Roman" w:hAnsi="Times New Roman" w:cs="Times New Roman"/>
                <w:noProof/>
                <w:lang w:val="sk-SK"/>
              </w:rPr>
              <w:t>pšie profily auditu</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využitím informácií</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databáz Európskej únie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vnútroštátnych databáz.</w:t>
            </w:r>
          </w:p>
        </w:tc>
      </w:tr>
      <w:tr w:rsidR="002D49B0" w:rsidRPr="00083739" w14:paraId="77D4A3FB" w14:textId="77777777">
        <w:trPr>
          <w:trHeight w:val="313"/>
          <w:jc w:val="center"/>
        </w:trPr>
        <w:tc>
          <w:tcPr>
            <w:tcW w:w="1027" w:type="dxa"/>
            <w:tcBorders>
              <w:top w:val="nil"/>
              <w:left w:val="single" w:sz="4" w:space="0" w:color="auto"/>
              <w:bottom w:val="single" w:sz="4" w:space="0" w:color="auto"/>
              <w:right w:val="single" w:sz="4" w:space="0" w:color="auto"/>
            </w:tcBorders>
            <w:shd w:val="clear" w:color="auto" w:fill="C6EFCE"/>
            <w:noWrap/>
          </w:tcPr>
          <w:p w14:paraId="2253FC3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191</w:t>
            </w:r>
          </w:p>
        </w:tc>
        <w:tc>
          <w:tcPr>
            <w:tcW w:w="1533" w:type="dxa"/>
            <w:tcBorders>
              <w:top w:val="nil"/>
              <w:left w:val="nil"/>
              <w:bottom w:val="single" w:sz="4" w:space="0" w:color="auto"/>
              <w:right w:val="single" w:sz="4" w:space="0" w:color="auto"/>
            </w:tcBorders>
            <w:shd w:val="clear" w:color="auto" w:fill="C6EFCE"/>
            <w:noWrap/>
          </w:tcPr>
          <w:p w14:paraId="0AFE794F" w14:textId="66A3DF52"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12 – 4.1. Zabezpečiť, aby dane boli priaznivejšie pre rast</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zlepšiť daňovú správu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výber daní – 16656_Nový rámec pre boj proti pašovaniu, najmä pre výrobky </w:t>
            </w:r>
            <w:r w:rsidRPr="00083739">
              <w:rPr>
                <w:rFonts w:ascii="Times New Roman" w:hAnsi="Times New Roman" w:cs="Times New Roman"/>
                <w:noProof/>
                <w:lang w:val="sk-SK"/>
              </w:rPr>
              <w:t>podliehajúce spotrebným daniam (tabak, alkohol</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energia)</w:t>
            </w:r>
          </w:p>
        </w:tc>
        <w:tc>
          <w:tcPr>
            <w:tcW w:w="969" w:type="dxa"/>
            <w:tcBorders>
              <w:top w:val="nil"/>
              <w:left w:val="nil"/>
              <w:bottom w:val="single" w:sz="4" w:space="0" w:color="auto"/>
              <w:right w:val="single" w:sz="4" w:space="0" w:color="auto"/>
            </w:tcBorders>
            <w:shd w:val="clear" w:color="auto" w:fill="C6EFCE"/>
            <w:noWrap/>
          </w:tcPr>
          <w:p w14:paraId="5F80843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24" w:type="dxa"/>
            <w:tcBorders>
              <w:top w:val="nil"/>
              <w:left w:val="nil"/>
              <w:bottom w:val="single" w:sz="4" w:space="0" w:color="auto"/>
              <w:right w:val="single" w:sz="4" w:space="0" w:color="auto"/>
            </w:tcBorders>
            <w:shd w:val="clear" w:color="auto" w:fill="C6EFCE"/>
            <w:noWrap/>
          </w:tcPr>
          <w:p w14:paraId="605C4A5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Boj proti prevádzačstvu – nadobudnutie účinnosti regulačných rozhodnutí</w:t>
            </w:r>
          </w:p>
        </w:tc>
        <w:tc>
          <w:tcPr>
            <w:tcW w:w="1824" w:type="dxa"/>
            <w:tcBorders>
              <w:top w:val="nil"/>
              <w:left w:val="nil"/>
              <w:bottom w:val="single" w:sz="4" w:space="0" w:color="auto"/>
              <w:right w:val="single" w:sz="4" w:space="0" w:color="auto"/>
            </w:tcBorders>
            <w:shd w:val="clear" w:color="auto" w:fill="C6EFCE"/>
            <w:noWrap/>
          </w:tcPr>
          <w:p w14:paraId="4F9D56E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Regulačné rozhodnutia/obežníky nadobudli účinnosť.</w:t>
            </w:r>
          </w:p>
        </w:tc>
        <w:tc>
          <w:tcPr>
            <w:tcW w:w="866" w:type="dxa"/>
            <w:tcBorders>
              <w:top w:val="nil"/>
              <w:left w:val="nil"/>
              <w:bottom w:val="single" w:sz="4" w:space="0" w:color="auto"/>
              <w:right w:val="single" w:sz="4" w:space="0" w:color="auto"/>
            </w:tcBorders>
            <w:shd w:val="clear" w:color="auto" w:fill="C6EFCE"/>
            <w:noWrap/>
          </w:tcPr>
          <w:p w14:paraId="621ADD10"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57" w:type="dxa"/>
            <w:tcBorders>
              <w:top w:val="nil"/>
              <w:left w:val="nil"/>
              <w:bottom w:val="single" w:sz="4" w:space="0" w:color="auto"/>
              <w:right w:val="single" w:sz="4" w:space="0" w:color="auto"/>
            </w:tcBorders>
            <w:shd w:val="clear" w:color="auto" w:fill="C6EFCE"/>
            <w:noWrap/>
          </w:tcPr>
          <w:p w14:paraId="3B9F9B29"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587" w:type="dxa"/>
            <w:tcBorders>
              <w:top w:val="nil"/>
              <w:left w:val="nil"/>
              <w:bottom w:val="single" w:sz="4" w:space="0" w:color="auto"/>
              <w:right w:val="single" w:sz="4" w:space="0" w:color="auto"/>
            </w:tcBorders>
            <w:shd w:val="clear" w:color="auto" w:fill="C6EFCE"/>
            <w:noWrap/>
          </w:tcPr>
          <w:p w14:paraId="75104065"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6" w:type="dxa"/>
            <w:tcBorders>
              <w:top w:val="nil"/>
              <w:left w:val="nil"/>
              <w:bottom w:val="single" w:sz="4" w:space="0" w:color="auto"/>
              <w:right w:val="single" w:sz="4" w:space="0" w:color="auto"/>
            </w:tcBorders>
            <w:shd w:val="clear" w:color="auto" w:fill="C6EFCE"/>
            <w:noWrap/>
          </w:tcPr>
          <w:p w14:paraId="0B834DF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TRETÍ ŠTVRŤROK</w:t>
            </w:r>
          </w:p>
        </w:tc>
        <w:tc>
          <w:tcPr>
            <w:tcW w:w="694" w:type="dxa"/>
            <w:tcBorders>
              <w:top w:val="nil"/>
              <w:left w:val="nil"/>
              <w:bottom w:val="single" w:sz="4" w:space="0" w:color="auto"/>
              <w:right w:val="single" w:sz="4" w:space="0" w:color="auto"/>
            </w:tcBorders>
            <w:shd w:val="clear" w:color="auto" w:fill="C6EFCE"/>
            <w:noWrap/>
          </w:tcPr>
          <w:p w14:paraId="4753C0F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2022</w:t>
            </w:r>
          </w:p>
        </w:tc>
        <w:tc>
          <w:tcPr>
            <w:tcW w:w="5173" w:type="dxa"/>
            <w:tcBorders>
              <w:top w:val="single" w:sz="4" w:space="0" w:color="auto"/>
              <w:left w:val="nil"/>
              <w:bottom w:val="single" w:sz="4" w:space="0" w:color="auto"/>
              <w:right w:val="single" w:sz="4" w:space="0" w:color="auto"/>
            </w:tcBorders>
            <w:shd w:val="clear" w:color="auto" w:fill="C6EFCE"/>
            <w:noWrap/>
          </w:tcPr>
          <w:p w14:paraId="731DDC2D" w14:textId="4D8470DF"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Nadobudnutie účinnosti 15 regulačných </w:t>
            </w:r>
            <w:r w:rsidRPr="00083739">
              <w:rPr>
                <w:rFonts w:ascii="Times New Roman" w:hAnsi="Times New Roman" w:cs="Times New Roman"/>
                <w:noProof/>
                <w:lang w:val="sk-SK"/>
              </w:rPr>
              <w:t>rozhodnutí/obežníkov prijatých nezávislým orgánom pre verejné príjmy</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návrhu nového integrovaného systému na boj proti prevádzačstvu.</w:t>
            </w:r>
          </w:p>
          <w:p w14:paraId="5B94A980"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p w14:paraId="713776C7" w14:textId="57DFD011"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V súlade</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plánom stanoveným do 31</w:t>
            </w:r>
            <w:r w:rsidR="00083739" w:rsidRPr="00083739">
              <w:rPr>
                <w:rFonts w:ascii="Times New Roman" w:hAnsi="Times New Roman" w:cs="Times New Roman"/>
                <w:noProof/>
                <w:lang w:val="sk-SK"/>
              </w:rPr>
              <w:t>. marca</w:t>
            </w:r>
            <w:r w:rsidRPr="00083739">
              <w:rPr>
                <w:rFonts w:ascii="Times New Roman" w:hAnsi="Times New Roman" w:cs="Times New Roman"/>
                <w:noProof/>
                <w:lang w:val="sk-SK"/>
              </w:rPr>
              <w:t xml:space="preserve"> 2022 sa rozhodnutie/obežníky, ktoré nadobudnú účinnosť, týkajú prípravy nového</w:t>
            </w:r>
            <w:r w:rsidRPr="00083739">
              <w:rPr>
                <w:rFonts w:ascii="Times New Roman" w:hAnsi="Times New Roman" w:cs="Times New Roman"/>
                <w:noProof/>
                <w:lang w:val="sk-SK"/>
              </w:rPr>
              <w:t xml:space="preserve"> integrovaného systému, ktorý podporuje proces auditu monitorovaním colných transakcií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postupov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reálnom čase. Tento systém funguje tak, že sa zameriava na lepšie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rýchlejšie zacielenie trestného stíhania colných služieb</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centrálnym dohľadom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na mies</w:t>
            </w:r>
            <w:r w:rsidRPr="00083739">
              <w:rPr>
                <w:rFonts w:ascii="Times New Roman" w:hAnsi="Times New Roman" w:cs="Times New Roman"/>
                <w:noProof/>
                <w:lang w:val="sk-SK"/>
              </w:rPr>
              <w:t>tach veľkého záujmu.</w:t>
            </w:r>
          </w:p>
        </w:tc>
      </w:tr>
      <w:tr w:rsidR="002D49B0" w:rsidRPr="00083739" w14:paraId="48CAC185" w14:textId="77777777">
        <w:trPr>
          <w:trHeight w:val="313"/>
          <w:jc w:val="center"/>
        </w:trPr>
        <w:tc>
          <w:tcPr>
            <w:tcW w:w="1027" w:type="dxa"/>
            <w:tcBorders>
              <w:top w:val="nil"/>
              <w:left w:val="single" w:sz="4" w:space="0" w:color="auto"/>
              <w:bottom w:val="single" w:sz="4" w:space="0" w:color="auto"/>
              <w:right w:val="single" w:sz="4" w:space="0" w:color="auto"/>
            </w:tcBorders>
            <w:shd w:val="clear" w:color="auto" w:fill="C6EFCE"/>
            <w:noWrap/>
          </w:tcPr>
          <w:p w14:paraId="33A3BF6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192</w:t>
            </w:r>
          </w:p>
        </w:tc>
        <w:tc>
          <w:tcPr>
            <w:tcW w:w="1533" w:type="dxa"/>
            <w:tcBorders>
              <w:top w:val="nil"/>
              <w:left w:val="nil"/>
              <w:bottom w:val="single" w:sz="4" w:space="0" w:color="auto"/>
              <w:right w:val="single" w:sz="4" w:space="0" w:color="auto"/>
            </w:tcBorders>
            <w:shd w:val="clear" w:color="auto" w:fill="C6EFCE"/>
            <w:noWrap/>
          </w:tcPr>
          <w:p w14:paraId="2BF2CFED" w14:textId="138CFDF5" w:rsidR="002D49B0" w:rsidRPr="00083739" w:rsidRDefault="00BF4125">
            <w:pPr>
              <w:pStyle w:val="P68B1DB1-Normal9"/>
              <w:spacing w:after="0" w:line="240" w:lineRule="auto"/>
              <w:rPr>
                <w:rFonts w:ascii="Times New Roman" w:eastAsia="Times New Roman" w:hAnsi="Times New Roman" w:cs="Times New Roman"/>
                <w:noProof/>
                <w:szCs w:val="18"/>
                <w:highlight w:val="yellow"/>
                <w:lang w:val="sk-SK"/>
              </w:rPr>
            </w:pPr>
            <w:r w:rsidRPr="00083739">
              <w:rPr>
                <w:rFonts w:ascii="Times New Roman" w:hAnsi="Times New Roman" w:cs="Times New Roman"/>
                <w:noProof/>
                <w:lang w:val="sk-SK"/>
              </w:rPr>
              <w:t>12 – 4.1. Zabezpečiť, aby dane boli priaznivejšie pre rast</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zlepšiť daňovú správu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výber daní – 16611_Digitálna transformácia daňových auditov</w:t>
            </w:r>
          </w:p>
          <w:p w14:paraId="1D1F7417"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69" w:type="dxa"/>
            <w:tcBorders>
              <w:top w:val="nil"/>
              <w:left w:val="nil"/>
              <w:bottom w:val="single" w:sz="4" w:space="0" w:color="auto"/>
              <w:right w:val="single" w:sz="4" w:space="0" w:color="auto"/>
            </w:tcBorders>
            <w:shd w:val="clear" w:color="auto" w:fill="C6EFCE"/>
            <w:noWrap/>
          </w:tcPr>
          <w:p w14:paraId="5AB56AA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24" w:type="dxa"/>
            <w:tcBorders>
              <w:top w:val="nil"/>
              <w:left w:val="nil"/>
              <w:bottom w:val="single" w:sz="4" w:space="0" w:color="auto"/>
              <w:right w:val="single" w:sz="4" w:space="0" w:color="auto"/>
            </w:tcBorders>
            <w:shd w:val="clear" w:color="auto" w:fill="C6EFCE"/>
            <w:noWrap/>
          </w:tcPr>
          <w:p w14:paraId="7CC94967" w14:textId="076C8ECA"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Daňové audity – Mydata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bankové informácie</w:t>
            </w:r>
          </w:p>
        </w:tc>
        <w:tc>
          <w:tcPr>
            <w:tcW w:w="1824" w:type="dxa"/>
            <w:tcBorders>
              <w:top w:val="nil"/>
              <w:left w:val="nil"/>
              <w:bottom w:val="single" w:sz="4" w:space="0" w:color="auto"/>
              <w:right w:val="single" w:sz="4" w:space="0" w:color="auto"/>
            </w:tcBorders>
            <w:shd w:val="clear" w:color="auto" w:fill="C6EFCE"/>
            <w:noWrap/>
          </w:tcPr>
          <w:p w14:paraId="5111F239" w14:textId="3C5D6C4B"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Správa nezávislého orgánu pre </w:t>
            </w:r>
            <w:r w:rsidRPr="00083739">
              <w:rPr>
                <w:rFonts w:ascii="Times New Roman" w:hAnsi="Times New Roman" w:cs="Times New Roman"/>
                <w:noProof/>
                <w:lang w:val="sk-SK"/>
              </w:rPr>
              <w:t>verejné príjmy,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ktorej sa potvrdzuje:</w:t>
            </w:r>
          </w:p>
          <w:p w14:paraId="38864DA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a) Úplná aktivácia systému Mydata.</w:t>
            </w:r>
          </w:p>
          <w:p w14:paraId="135DA416" w14:textId="433E7B8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b) Dokončenie projektu prepojenia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využívania bankových informácií tretej strany nezávislým orgánom pre verejné príjmy.</w:t>
            </w:r>
          </w:p>
        </w:tc>
        <w:tc>
          <w:tcPr>
            <w:tcW w:w="866" w:type="dxa"/>
            <w:tcBorders>
              <w:top w:val="nil"/>
              <w:left w:val="nil"/>
              <w:bottom w:val="single" w:sz="4" w:space="0" w:color="auto"/>
              <w:right w:val="single" w:sz="4" w:space="0" w:color="auto"/>
            </w:tcBorders>
            <w:shd w:val="clear" w:color="auto" w:fill="C6EFCE"/>
            <w:noWrap/>
          </w:tcPr>
          <w:p w14:paraId="0A6C9E1D"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57" w:type="dxa"/>
            <w:tcBorders>
              <w:top w:val="nil"/>
              <w:left w:val="nil"/>
              <w:bottom w:val="single" w:sz="4" w:space="0" w:color="auto"/>
              <w:right w:val="single" w:sz="4" w:space="0" w:color="auto"/>
            </w:tcBorders>
            <w:shd w:val="clear" w:color="auto" w:fill="C6EFCE"/>
            <w:noWrap/>
          </w:tcPr>
          <w:p w14:paraId="03FA61E8"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587" w:type="dxa"/>
            <w:tcBorders>
              <w:top w:val="nil"/>
              <w:left w:val="nil"/>
              <w:bottom w:val="single" w:sz="4" w:space="0" w:color="auto"/>
              <w:right w:val="single" w:sz="4" w:space="0" w:color="auto"/>
            </w:tcBorders>
            <w:shd w:val="clear" w:color="auto" w:fill="C6EFCE"/>
            <w:noWrap/>
          </w:tcPr>
          <w:p w14:paraId="378AAA91"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6" w:type="dxa"/>
            <w:tcBorders>
              <w:top w:val="nil"/>
              <w:left w:val="nil"/>
              <w:bottom w:val="single" w:sz="4" w:space="0" w:color="auto"/>
              <w:right w:val="single" w:sz="4" w:space="0" w:color="auto"/>
            </w:tcBorders>
            <w:shd w:val="clear" w:color="auto" w:fill="C6EFCE"/>
            <w:noWrap/>
          </w:tcPr>
          <w:p w14:paraId="5DBE59B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694" w:type="dxa"/>
            <w:tcBorders>
              <w:top w:val="nil"/>
              <w:left w:val="nil"/>
              <w:bottom w:val="single" w:sz="4" w:space="0" w:color="auto"/>
              <w:right w:val="single" w:sz="4" w:space="0" w:color="auto"/>
            </w:tcBorders>
            <w:shd w:val="clear" w:color="auto" w:fill="C6EFCE"/>
            <w:noWrap/>
          </w:tcPr>
          <w:p w14:paraId="6A85721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2023</w:t>
            </w:r>
          </w:p>
        </w:tc>
        <w:tc>
          <w:tcPr>
            <w:tcW w:w="5173" w:type="dxa"/>
            <w:tcBorders>
              <w:top w:val="nil"/>
              <w:left w:val="nil"/>
              <w:bottom w:val="single" w:sz="4" w:space="0" w:color="auto"/>
              <w:right w:val="single" w:sz="4" w:space="0" w:color="auto"/>
            </w:tcBorders>
            <w:shd w:val="clear" w:color="auto" w:fill="C6EFCE"/>
            <w:noWrap/>
          </w:tcPr>
          <w:p w14:paraId="08A6C210" w14:textId="77777777"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Aktivácia</w:t>
            </w:r>
          </w:p>
          <w:p w14:paraId="5E9C68A6" w14:textId="1EBB0B21" w:rsidR="00083739" w:rsidRPr="00083739" w:rsidRDefault="00BF4125">
            <w:pPr>
              <w:pStyle w:val="P68B1DB1-ListParagraph20"/>
              <w:numPr>
                <w:ilvl w:val="0"/>
                <w:numId w:val="82"/>
              </w:numPr>
              <w:spacing w:after="0" w:line="240" w:lineRule="auto"/>
              <w:ind w:left="169" w:hanging="142"/>
              <w:rPr>
                <w:rFonts w:ascii="Times New Roman" w:hAnsi="Times New Roman" w:cs="Times New Roman"/>
                <w:noProof/>
                <w:lang w:val="sk-SK"/>
              </w:rPr>
            </w:pPr>
            <w:r w:rsidRPr="00083739">
              <w:rPr>
                <w:rFonts w:ascii="Times New Roman" w:hAnsi="Times New Roman" w:cs="Times New Roman"/>
                <w:noProof/>
                <w:lang w:val="sk-SK"/>
              </w:rPr>
              <w:t>Systém myDATA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jeho </w:t>
            </w:r>
            <w:r w:rsidRPr="00083739">
              <w:rPr>
                <w:rFonts w:ascii="Times New Roman" w:hAnsi="Times New Roman" w:cs="Times New Roman"/>
                <w:noProof/>
                <w:lang w:val="sk-SK"/>
              </w:rPr>
              <w:t>prepojenie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využívanie bankových informácií tretích strán</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cieľom zlepšiť dodržiavanie daňových pravidiel zo strany podnikov, uľahčiť automatické vypĺňanie daňových priznaní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zvýšiť účinnosť daňových auditov</w:t>
            </w:r>
            <w:r w:rsidR="00083739" w:rsidRPr="00083739">
              <w:rPr>
                <w:rFonts w:ascii="Times New Roman" w:hAnsi="Times New Roman" w:cs="Times New Roman"/>
                <w:noProof/>
                <w:lang w:val="sk-SK"/>
              </w:rPr>
              <w:t>.</w:t>
            </w:r>
          </w:p>
          <w:p w14:paraId="6ED28AC0" w14:textId="6D2C2F68" w:rsidR="00083739" w:rsidRPr="00083739" w:rsidRDefault="00BF4125">
            <w:pPr>
              <w:pStyle w:val="P68B1DB1-ListParagraph20"/>
              <w:numPr>
                <w:ilvl w:val="0"/>
                <w:numId w:val="82"/>
              </w:numPr>
              <w:spacing w:after="0" w:line="240" w:lineRule="auto"/>
              <w:ind w:left="169" w:hanging="142"/>
              <w:rPr>
                <w:rFonts w:ascii="Times New Roman" w:hAnsi="Times New Roman" w:cs="Times New Roman"/>
                <w:noProof/>
                <w:lang w:val="sk-SK"/>
              </w:rPr>
            </w:pPr>
            <w:r w:rsidRPr="00083739">
              <w:rPr>
                <w:rFonts w:ascii="Times New Roman" w:hAnsi="Times New Roman" w:cs="Times New Roman"/>
                <w:noProof/>
                <w:lang w:val="sk-SK"/>
              </w:rPr>
              <w:t>Nástroj myDATA pre elektronickú evidenciu, e</w:t>
            </w:r>
            <w:r w:rsidRPr="00083739">
              <w:rPr>
                <w:rFonts w:ascii="Times New Roman" w:hAnsi="Times New Roman" w:cs="Times New Roman"/>
                <w:noProof/>
                <w:lang w:val="sk-SK"/>
              </w:rPr>
              <w:t>lektronickú fakturáciu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prepojenie všetkých daňových pokladničných registrov so svojimi informačnými systémami. </w:t>
            </w:r>
            <w:r w:rsidR="00083739" w:rsidRPr="00083739">
              <w:rPr>
                <w:rFonts w:ascii="Times New Roman" w:hAnsi="Times New Roman" w:cs="Times New Roman"/>
                <w:noProof/>
                <w:lang w:val="sk-SK"/>
              </w:rPr>
              <w:t>.</w:t>
            </w:r>
          </w:p>
          <w:p w14:paraId="69003A55" w14:textId="31679BD8" w:rsidR="002D49B0" w:rsidRPr="00083739" w:rsidRDefault="002D49B0">
            <w:pPr>
              <w:spacing w:after="0" w:line="240" w:lineRule="auto"/>
              <w:ind w:left="27"/>
              <w:rPr>
                <w:rFonts w:ascii="Times New Roman" w:eastAsia="Times New Roman" w:hAnsi="Times New Roman" w:cs="Times New Roman"/>
                <w:noProof/>
                <w:color w:val="006100"/>
                <w:sz w:val="18"/>
                <w:szCs w:val="18"/>
                <w:lang w:val="sk-SK"/>
              </w:rPr>
            </w:pPr>
          </w:p>
        </w:tc>
      </w:tr>
      <w:tr w:rsidR="002D49B0" w:rsidRPr="00083739" w14:paraId="4B314D9D" w14:textId="77777777">
        <w:trPr>
          <w:trHeight w:val="313"/>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256EE1B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193</w:t>
            </w:r>
          </w:p>
        </w:tc>
        <w:tc>
          <w:tcPr>
            <w:tcW w:w="1533" w:type="dxa"/>
            <w:tcBorders>
              <w:top w:val="single" w:sz="4" w:space="0" w:color="auto"/>
              <w:left w:val="nil"/>
              <w:bottom w:val="single" w:sz="4" w:space="0" w:color="auto"/>
              <w:right w:val="single" w:sz="4" w:space="0" w:color="auto"/>
            </w:tcBorders>
            <w:shd w:val="clear" w:color="auto" w:fill="C6EFCE"/>
            <w:noWrap/>
          </w:tcPr>
          <w:p w14:paraId="29D5C727" w14:textId="6927D3FF"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12 – 4.1. Zabezpečiť, aby dane boli priaznivejšie pre rast</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zlepšiť daňovú správu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výber daní – 16610_Podpora urýchlenia vracania DPH</w:t>
            </w:r>
          </w:p>
        </w:tc>
        <w:tc>
          <w:tcPr>
            <w:tcW w:w="969" w:type="dxa"/>
            <w:tcBorders>
              <w:top w:val="single" w:sz="4" w:space="0" w:color="auto"/>
              <w:left w:val="nil"/>
              <w:bottom w:val="single" w:sz="4" w:space="0" w:color="auto"/>
              <w:right w:val="single" w:sz="4" w:space="0" w:color="auto"/>
            </w:tcBorders>
            <w:shd w:val="clear" w:color="auto" w:fill="C6EFCE"/>
            <w:noWrap/>
          </w:tcPr>
          <w:p w14:paraId="0945FA5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24" w:type="dxa"/>
            <w:tcBorders>
              <w:top w:val="single" w:sz="4" w:space="0" w:color="auto"/>
              <w:left w:val="nil"/>
              <w:bottom w:val="single" w:sz="4" w:space="0" w:color="auto"/>
              <w:right w:val="single" w:sz="4" w:space="0" w:color="auto"/>
            </w:tcBorders>
            <w:shd w:val="clear" w:color="auto" w:fill="C6EFCE"/>
            <w:noWrap/>
          </w:tcPr>
          <w:p w14:paraId="5CA08C0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Plne automatizované vrátenie DPH – spustenie informačného systému</w:t>
            </w:r>
          </w:p>
        </w:tc>
        <w:tc>
          <w:tcPr>
            <w:tcW w:w="1824" w:type="dxa"/>
            <w:tcBorders>
              <w:top w:val="single" w:sz="4" w:space="0" w:color="auto"/>
              <w:left w:val="nil"/>
              <w:bottom w:val="single" w:sz="4" w:space="0" w:color="auto"/>
              <w:right w:val="single" w:sz="4" w:space="0" w:color="auto"/>
            </w:tcBorders>
            <w:shd w:val="clear" w:color="auto" w:fill="C6EFCE"/>
            <w:noWrap/>
          </w:tcPr>
          <w:p w14:paraId="1629C962" w14:textId="79B4B4A0"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Správa nezávislého orgánu pre verejné príjmy,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ktorej sa potvrdzuje spustenie nového informačného systému.</w:t>
            </w:r>
          </w:p>
        </w:tc>
        <w:tc>
          <w:tcPr>
            <w:tcW w:w="866" w:type="dxa"/>
            <w:tcBorders>
              <w:top w:val="single" w:sz="4" w:space="0" w:color="auto"/>
              <w:left w:val="nil"/>
              <w:bottom w:val="single" w:sz="4" w:space="0" w:color="auto"/>
              <w:right w:val="single" w:sz="4" w:space="0" w:color="auto"/>
            </w:tcBorders>
            <w:shd w:val="clear" w:color="auto" w:fill="C6EFCE"/>
            <w:noWrap/>
          </w:tcPr>
          <w:p w14:paraId="5C1F7557"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57" w:type="dxa"/>
            <w:tcBorders>
              <w:top w:val="single" w:sz="4" w:space="0" w:color="auto"/>
              <w:left w:val="nil"/>
              <w:bottom w:val="single" w:sz="4" w:space="0" w:color="auto"/>
              <w:right w:val="single" w:sz="4" w:space="0" w:color="auto"/>
            </w:tcBorders>
            <w:shd w:val="clear" w:color="auto" w:fill="C6EFCE"/>
            <w:noWrap/>
          </w:tcPr>
          <w:p w14:paraId="3DE5620C"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587" w:type="dxa"/>
            <w:tcBorders>
              <w:top w:val="single" w:sz="4" w:space="0" w:color="auto"/>
              <w:left w:val="nil"/>
              <w:bottom w:val="single" w:sz="4" w:space="0" w:color="auto"/>
              <w:right w:val="single" w:sz="4" w:space="0" w:color="auto"/>
            </w:tcBorders>
            <w:shd w:val="clear" w:color="auto" w:fill="C6EFCE"/>
            <w:noWrap/>
          </w:tcPr>
          <w:p w14:paraId="23EF3F3A"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6" w:type="dxa"/>
            <w:tcBorders>
              <w:top w:val="single" w:sz="4" w:space="0" w:color="auto"/>
              <w:left w:val="nil"/>
              <w:bottom w:val="single" w:sz="4" w:space="0" w:color="auto"/>
              <w:right w:val="single" w:sz="4" w:space="0" w:color="auto"/>
            </w:tcBorders>
            <w:shd w:val="clear" w:color="auto" w:fill="C6EFCE"/>
            <w:noWrap/>
          </w:tcPr>
          <w:p w14:paraId="2C5957E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694" w:type="dxa"/>
            <w:tcBorders>
              <w:top w:val="single" w:sz="4" w:space="0" w:color="auto"/>
              <w:left w:val="nil"/>
              <w:bottom w:val="single" w:sz="4" w:space="0" w:color="auto"/>
              <w:right w:val="single" w:sz="4" w:space="0" w:color="auto"/>
            </w:tcBorders>
            <w:shd w:val="clear" w:color="auto" w:fill="C6EFCE"/>
            <w:noWrap/>
          </w:tcPr>
          <w:p w14:paraId="7A8D3B5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2023</w:t>
            </w:r>
          </w:p>
        </w:tc>
        <w:tc>
          <w:tcPr>
            <w:tcW w:w="5173" w:type="dxa"/>
            <w:tcBorders>
              <w:top w:val="single" w:sz="4" w:space="0" w:color="auto"/>
              <w:left w:val="nil"/>
              <w:bottom w:val="single" w:sz="4" w:space="0" w:color="auto"/>
              <w:right w:val="single" w:sz="4" w:space="0" w:color="auto"/>
            </w:tcBorders>
            <w:shd w:val="clear" w:color="auto" w:fill="C6EFCE"/>
            <w:noWrap/>
          </w:tcPr>
          <w:p w14:paraId="172A41F7" w14:textId="0522E22B"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Zavedenie plne automatizovaného postupu vrátenia </w:t>
            </w:r>
            <w:r w:rsidRPr="00083739">
              <w:rPr>
                <w:rFonts w:ascii="Times New Roman" w:hAnsi="Times New Roman" w:cs="Times New Roman"/>
                <w:noProof/>
                <w:lang w:val="sk-SK"/>
              </w:rPr>
              <w:t>DPH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IT platformy, ktoré umožnia elektronické vyplnenie všetkých žiadostí</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vrátenie dane, ak nepatria do kontrolovanej vzorky prostredníctvom procesu analýzy rizík (aspoň 90</w:t>
            </w:r>
            <w:r w:rsidR="00083739" w:rsidRPr="00083739">
              <w:rPr>
                <w:rFonts w:ascii="Times New Roman" w:hAnsi="Times New Roman" w:cs="Times New Roman"/>
                <w:noProof/>
                <w:lang w:val="sk-SK"/>
              </w:rPr>
              <w:t> %</w:t>
            </w:r>
            <w:r w:rsidRPr="00083739">
              <w:rPr>
                <w:rFonts w:ascii="Times New Roman" w:hAnsi="Times New Roman" w:cs="Times New Roman"/>
                <w:noProof/>
                <w:lang w:val="sk-SK"/>
              </w:rPr>
              <w:t xml:space="preserve"> všetkých žiadostí ročne).</w:t>
            </w:r>
          </w:p>
        </w:tc>
      </w:tr>
      <w:tr w:rsidR="002D49B0" w:rsidRPr="00083739" w14:paraId="132705E0" w14:textId="77777777">
        <w:trPr>
          <w:trHeight w:val="313"/>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3D7B524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195a</w:t>
            </w:r>
          </w:p>
        </w:tc>
        <w:tc>
          <w:tcPr>
            <w:tcW w:w="1533" w:type="dxa"/>
            <w:tcBorders>
              <w:top w:val="single" w:sz="4" w:space="0" w:color="auto"/>
              <w:left w:val="nil"/>
              <w:bottom w:val="single" w:sz="4" w:space="0" w:color="auto"/>
              <w:right w:val="single" w:sz="4" w:space="0" w:color="auto"/>
            </w:tcBorders>
            <w:shd w:val="clear" w:color="auto" w:fill="C6EFCE"/>
            <w:noWrap/>
          </w:tcPr>
          <w:p w14:paraId="5685EC1E" w14:textId="77777777"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 xml:space="preserve">12 – 4.1. Zabezpečiť, aby boli dane </w:t>
            </w:r>
            <w:r w:rsidRPr="00083739">
              <w:rPr>
                <w:rFonts w:ascii="Times New Roman" w:hAnsi="Times New Roman" w:cs="Times New Roman"/>
                <w:noProof/>
                <w:lang w:val="sk-SK"/>
              </w:rPr>
              <w:t>priaznivejšie pre rast</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zlepšiť daňovú správu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výber daní</w:t>
            </w:r>
          </w:p>
          <w:p w14:paraId="1960B6CB" w14:textId="006FA7D3"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16291_Digitálna transformácia daňovej</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colnej správy</w:t>
            </w:r>
          </w:p>
        </w:tc>
        <w:tc>
          <w:tcPr>
            <w:tcW w:w="969" w:type="dxa"/>
            <w:tcBorders>
              <w:top w:val="single" w:sz="4" w:space="0" w:color="auto"/>
              <w:left w:val="nil"/>
              <w:bottom w:val="single" w:sz="4" w:space="0" w:color="auto"/>
              <w:right w:val="single" w:sz="4" w:space="0" w:color="auto"/>
            </w:tcBorders>
            <w:shd w:val="clear" w:color="auto" w:fill="C6EFCE"/>
            <w:noWrap/>
          </w:tcPr>
          <w:p w14:paraId="2E51587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24" w:type="dxa"/>
            <w:tcBorders>
              <w:top w:val="single" w:sz="4" w:space="0" w:color="auto"/>
              <w:left w:val="nil"/>
              <w:bottom w:val="single" w:sz="4" w:space="0" w:color="auto"/>
              <w:right w:val="single" w:sz="4" w:space="0" w:color="auto"/>
            </w:tcBorders>
            <w:shd w:val="clear" w:color="auto" w:fill="C6EFCE"/>
            <w:noWrap/>
          </w:tcPr>
          <w:p w14:paraId="01BCD64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Realizácia čiastkových projektov</w:t>
            </w:r>
          </w:p>
        </w:tc>
        <w:tc>
          <w:tcPr>
            <w:tcW w:w="1824" w:type="dxa"/>
            <w:tcBorders>
              <w:top w:val="single" w:sz="4" w:space="0" w:color="auto"/>
              <w:left w:val="nil"/>
              <w:bottom w:val="single" w:sz="4" w:space="0" w:color="auto"/>
              <w:right w:val="single" w:sz="4" w:space="0" w:color="auto"/>
            </w:tcBorders>
            <w:shd w:val="clear" w:color="auto" w:fill="C6EFCE"/>
            <w:noWrap/>
          </w:tcPr>
          <w:p w14:paraId="447643D4" w14:textId="3680E440"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Správa nezávislého orgánu pre verejné príjmy,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 xml:space="preserve">ktorej sa potvrdzuje vykonávanie týchto dvoch </w:t>
            </w:r>
            <w:r w:rsidRPr="00083739">
              <w:rPr>
                <w:rFonts w:ascii="Times New Roman" w:hAnsi="Times New Roman" w:cs="Times New Roman"/>
                <w:noProof/>
                <w:lang w:val="sk-SK"/>
              </w:rPr>
              <w:t>čiastkových projektov.</w:t>
            </w:r>
          </w:p>
        </w:tc>
        <w:tc>
          <w:tcPr>
            <w:tcW w:w="866" w:type="dxa"/>
            <w:tcBorders>
              <w:top w:val="single" w:sz="4" w:space="0" w:color="auto"/>
              <w:left w:val="nil"/>
              <w:bottom w:val="single" w:sz="4" w:space="0" w:color="auto"/>
              <w:right w:val="single" w:sz="4" w:space="0" w:color="auto"/>
            </w:tcBorders>
            <w:shd w:val="clear" w:color="auto" w:fill="C6EFCE"/>
            <w:noWrap/>
          </w:tcPr>
          <w:p w14:paraId="0814FF87"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57" w:type="dxa"/>
            <w:tcBorders>
              <w:top w:val="single" w:sz="4" w:space="0" w:color="auto"/>
              <w:left w:val="nil"/>
              <w:bottom w:val="single" w:sz="4" w:space="0" w:color="auto"/>
              <w:right w:val="single" w:sz="4" w:space="0" w:color="auto"/>
            </w:tcBorders>
            <w:shd w:val="clear" w:color="auto" w:fill="C6EFCE"/>
            <w:noWrap/>
          </w:tcPr>
          <w:p w14:paraId="289B8A8D"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587" w:type="dxa"/>
            <w:tcBorders>
              <w:top w:val="single" w:sz="4" w:space="0" w:color="auto"/>
              <w:left w:val="nil"/>
              <w:bottom w:val="single" w:sz="4" w:space="0" w:color="auto"/>
              <w:right w:val="single" w:sz="4" w:space="0" w:color="auto"/>
            </w:tcBorders>
            <w:shd w:val="clear" w:color="auto" w:fill="C6EFCE"/>
            <w:noWrap/>
          </w:tcPr>
          <w:p w14:paraId="721F1903"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6" w:type="dxa"/>
            <w:tcBorders>
              <w:top w:val="single" w:sz="4" w:space="0" w:color="auto"/>
              <w:left w:val="nil"/>
              <w:bottom w:val="single" w:sz="4" w:space="0" w:color="auto"/>
              <w:right w:val="single" w:sz="4" w:space="0" w:color="auto"/>
            </w:tcBorders>
            <w:shd w:val="clear" w:color="auto" w:fill="C6EFCE"/>
            <w:noWrap/>
          </w:tcPr>
          <w:p w14:paraId="2E0F877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694" w:type="dxa"/>
            <w:tcBorders>
              <w:top w:val="single" w:sz="4" w:space="0" w:color="auto"/>
              <w:left w:val="nil"/>
              <w:bottom w:val="single" w:sz="4" w:space="0" w:color="auto"/>
              <w:right w:val="single" w:sz="4" w:space="0" w:color="auto"/>
            </w:tcBorders>
            <w:shd w:val="clear" w:color="auto" w:fill="C6EFCE"/>
            <w:noWrap/>
          </w:tcPr>
          <w:p w14:paraId="24CCD85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2024</w:t>
            </w:r>
          </w:p>
        </w:tc>
        <w:tc>
          <w:tcPr>
            <w:tcW w:w="5173" w:type="dxa"/>
            <w:tcBorders>
              <w:top w:val="single" w:sz="4" w:space="0" w:color="auto"/>
              <w:left w:val="nil"/>
              <w:bottom w:val="single" w:sz="4" w:space="0" w:color="auto"/>
              <w:right w:val="single" w:sz="4" w:space="0" w:color="auto"/>
            </w:tcBorders>
            <w:shd w:val="clear" w:color="auto" w:fill="C6EFCE"/>
            <w:noWrap/>
          </w:tcPr>
          <w:p w14:paraId="619461F6" w14:textId="6BFA65BA"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szCs w:val="18"/>
                <w:lang w:val="sk-SK"/>
              </w:rPr>
              <w:t>Dokončia</w:t>
            </w:r>
            <w:r w:rsidRPr="00083739">
              <w:rPr>
                <w:rFonts w:ascii="Times New Roman" w:hAnsi="Times New Roman" w:cs="Times New Roman"/>
                <w:noProof/>
                <w:lang w:val="sk-SK"/>
              </w:rPr>
              <w:t>sa tieto čiastkové projekty:</w:t>
            </w:r>
          </w:p>
          <w:p w14:paraId="147F0AD6"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p w14:paraId="68CF7FDE" w14:textId="475EC36E" w:rsidR="002D49B0" w:rsidRPr="00083739" w:rsidRDefault="00BF4125">
            <w:pPr>
              <w:pStyle w:val="P68B1DB1-ListParagraph20"/>
              <w:numPr>
                <w:ilvl w:val="0"/>
                <w:numId w:val="81"/>
              </w:numPr>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V oblasti intervencie „Náhrada základných digitálnych systémov, obnova zastaranej infraštruktúry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rozšírenie funkčnosti poskytovania služieb“: Integrovaný informačný syst</w:t>
            </w:r>
            <w:r w:rsidRPr="00083739">
              <w:rPr>
                <w:rFonts w:ascii="Times New Roman" w:hAnsi="Times New Roman" w:cs="Times New Roman"/>
                <w:noProof/>
                <w:lang w:val="sk-SK"/>
              </w:rPr>
              <w:t>ém Generálneho riaditeľstva pre finančné služby IAPR je funkčný.</w:t>
            </w:r>
          </w:p>
          <w:p w14:paraId="7B695677" w14:textId="49E6F322" w:rsidR="002D49B0" w:rsidRPr="00083739" w:rsidRDefault="00BF4125">
            <w:pPr>
              <w:pStyle w:val="P68B1DB1-ListParagraph38"/>
              <w:numPr>
                <w:ilvl w:val="0"/>
                <w:numId w:val="81"/>
              </w:numPr>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V rámci oblasti intervencie „Automatizácia kancelárskych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pracovných procesov“: Služby riadenia kancelárií/dodávanie zariadení pre IAPR musia byť funkčné.</w:t>
            </w:r>
          </w:p>
        </w:tc>
      </w:tr>
      <w:tr w:rsidR="002D49B0" w:rsidRPr="00083739" w14:paraId="4F383C2A" w14:textId="77777777">
        <w:trPr>
          <w:trHeight w:val="313"/>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5B19128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194</w:t>
            </w:r>
          </w:p>
        </w:tc>
        <w:tc>
          <w:tcPr>
            <w:tcW w:w="1533" w:type="dxa"/>
            <w:tcBorders>
              <w:top w:val="single" w:sz="4" w:space="0" w:color="auto"/>
              <w:left w:val="nil"/>
              <w:bottom w:val="single" w:sz="4" w:space="0" w:color="auto"/>
              <w:right w:val="single" w:sz="4" w:space="0" w:color="auto"/>
            </w:tcBorders>
            <w:shd w:val="clear" w:color="auto" w:fill="C6EFCE"/>
            <w:noWrap/>
          </w:tcPr>
          <w:p w14:paraId="6918CF11" w14:textId="77777777"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12 – 4.1. Zabezpečiť, aby boli</w:t>
            </w:r>
            <w:r w:rsidRPr="00083739">
              <w:rPr>
                <w:rFonts w:ascii="Times New Roman" w:hAnsi="Times New Roman" w:cs="Times New Roman"/>
                <w:noProof/>
                <w:lang w:val="sk-SK"/>
              </w:rPr>
              <w:t xml:space="preserve"> dane priaznivejšie pre rast</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zlepšiť daňovú správu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výber daní</w:t>
            </w:r>
          </w:p>
          <w:p w14:paraId="7D3473D8" w14:textId="6AC02A04"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16611_Digitálna transformácia daňových auditov</w:t>
            </w:r>
          </w:p>
        </w:tc>
        <w:tc>
          <w:tcPr>
            <w:tcW w:w="969" w:type="dxa"/>
            <w:tcBorders>
              <w:top w:val="single" w:sz="4" w:space="0" w:color="auto"/>
              <w:left w:val="nil"/>
              <w:bottom w:val="single" w:sz="4" w:space="0" w:color="auto"/>
              <w:right w:val="single" w:sz="4" w:space="0" w:color="auto"/>
            </w:tcBorders>
            <w:shd w:val="clear" w:color="auto" w:fill="C6EFCE"/>
            <w:noWrap/>
          </w:tcPr>
          <w:p w14:paraId="604D300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24" w:type="dxa"/>
            <w:tcBorders>
              <w:top w:val="single" w:sz="4" w:space="0" w:color="auto"/>
              <w:left w:val="nil"/>
              <w:bottom w:val="single" w:sz="4" w:space="0" w:color="auto"/>
              <w:right w:val="single" w:sz="4" w:space="0" w:color="auto"/>
            </w:tcBorders>
            <w:shd w:val="clear" w:color="auto" w:fill="C6EFCE"/>
            <w:noWrap/>
          </w:tcPr>
          <w:p w14:paraId="0C37B76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digitálnej transformácie daňových auditov</w:t>
            </w:r>
          </w:p>
        </w:tc>
        <w:tc>
          <w:tcPr>
            <w:tcW w:w="1824" w:type="dxa"/>
            <w:tcBorders>
              <w:top w:val="single" w:sz="4" w:space="0" w:color="auto"/>
              <w:left w:val="nil"/>
              <w:bottom w:val="single" w:sz="4" w:space="0" w:color="auto"/>
              <w:right w:val="single" w:sz="4" w:space="0" w:color="auto"/>
            </w:tcBorders>
            <w:shd w:val="clear" w:color="auto" w:fill="C6EFCE"/>
            <w:noWrap/>
          </w:tcPr>
          <w:p w14:paraId="508311B4" w14:textId="3FECB7B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Správa nezávislého orgánu pre verejné príjmy,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 xml:space="preserve">ktorej sa potvrdzuje sfunkčnenie </w:t>
            </w:r>
            <w:r w:rsidRPr="00083739">
              <w:rPr>
                <w:rFonts w:ascii="Times New Roman" w:hAnsi="Times New Roman" w:cs="Times New Roman"/>
                <w:noProof/>
                <w:lang w:val="sk-SK"/>
              </w:rPr>
              <w:t>systému podnikového spravodajstva/analytiky údajov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„ELEGXOSlive“.</w:t>
            </w:r>
          </w:p>
          <w:p w14:paraId="4F4AFDD5"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66" w:type="dxa"/>
            <w:tcBorders>
              <w:top w:val="single" w:sz="4" w:space="0" w:color="auto"/>
              <w:left w:val="nil"/>
              <w:bottom w:val="single" w:sz="4" w:space="0" w:color="auto"/>
              <w:right w:val="single" w:sz="4" w:space="0" w:color="auto"/>
            </w:tcBorders>
            <w:shd w:val="clear" w:color="auto" w:fill="C6EFCE"/>
            <w:noWrap/>
          </w:tcPr>
          <w:p w14:paraId="0AF8AD3F"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57" w:type="dxa"/>
            <w:tcBorders>
              <w:top w:val="single" w:sz="4" w:space="0" w:color="auto"/>
              <w:left w:val="nil"/>
              <w:bottom w:val="single" w:sz="4" w:space="0" w:color="auto"/>
              <w:right w:val="single" w:sz="4" w:space="0" w:color="auto"/>
            </w:tcBorders>
            <w:shd w:val="clear" w:color="auto" w:fill="C6EFCE"/>
            <w:noWrap/>
          </w:tcPr>
          <w:p w14:paraId="011B0DB3"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587" w:type="dxa"/>
            <w:tcBorders>
              <w:top w:val="single" w:sz="4" w:space="0" w:color="auto"/>
              <w:left w:val="nil"/>
              <w:bottom w:val="single" w:sz="4" w:space="0" w:color="auto"/>
              <w:right w:val="single" w:sz="4" w:space="0" w:color="auto"/>
            </w:tcBorders>
            <w:shd w:val="clear" w:color="auto" w:fill="C6EFCE"/>
            <w:noWrap/>
          </w:tcPr>
          <w:p w14:paraId="05E94E45"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6" w:type="dxa"/>
            <w:tcBorders>
              <w:top w:val="single" w:sz="4" w:space="0" w:color="auto"/>
              <w:left w:val="nil"/>
              <w:bottom w:val="single" w:sz="4" w:space="0" w:color="auto"/>
              <w:right w:val="single" w:sz="4" w:space="0" w:color="auto"/>
            </w:tcBorders>
            <w:shd w:val="clear" w:color="auto" w:fill="C6EFCE"/>
            <w:noWrap/>
          </w:tcPr>
          <w:p w14:paraId="626C500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694" w:type="dxa"/>
            <w:tcBorders>
              <w:top w:val="single" w:sz="4" w:space="0" w:color="auto"/>
              <w:left w:val="nil"/>
              <w:bottom w:val="single" w:sz="4" w:space="0" w:color="auto"/>
              <w:right w:val="single" w:sz="4" w:space="0" w:color="auto"/>
            </w:tcBorders>
            <w:shd w:val="clear" w:color="auto" w:fill="C6EFCE"/>
            <w:noWrap/>
          </w:tcPr>
          <w:p w14:paraId="70482E1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5173" w:type="dxa"/>
            <w:tcBorders>
              <w:top w:val="single" w:sz="4" w:space="0" w:color="auto"/>
              <w:left w:val="nil"/>
              <w:bottom w:val="single" w:sz="4" w:space="0" w:color="auto"/>
              <w:right w:val="single" w:sz="4" w:space="0" w:color="auto"/>
            </w:tcBorders>
            <w:shd w:val="clear" w:color="auto" w:fill="C6EFCE"/>
            <w:noWrap/>
          </w:tcPr>
          <w:p w14:paraId="31EC2268" w14:textId="7DD453A6" w:rsidR="00083739" w:rsidRPr="00083739" w:rsidRDefault="00BF4125">
            <w:pPr>
              <w:pStyle w:val="P68B1DB1-Normal10"/>
              <w:spacing w:after="0" w:line="240" w:lineRule="auto"/>
              <w:rPr>
                <w:rFonts w:ascii="Times New Roman" w:hAnsi="Times New Roman" w:cs="Times New Roman"/>
                <w:noProof/>
                <w:lang w:val="sk-SK"/>
              </w:rPr>
            </w:pPr>
            <w:r w:rsidRPr="00083739">
              <w:rPr>
                <w:rFonts w:ascii="Times New Roman" w:hAnsi="Times New Roman" w:cs="Times New Roman"/>
                <w:noProof/>
                <w:lang w:val="sk-SK"/>
              </w:rPr>
              <w:t>V súvislosti</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digitálnou transformáciou daňových auditov musia byť funkčné tieto systémy</w:t>
            </w:r>
            <w:r w:rsidR="00083739" w:rsidRPr="00083739">
              <w:rPr>
                <w:rFonts w:ascii="Times New Roman" w:hAnsi="Times New Roman" w:cs="Times New Roman"/>
                <w:noProof/>
                <w:lang w:val="sk-SK"/>
              </w:rPr>
              <w:t>:</w:t>
            </w:r>
          </w:p>
          <w:p w14:paraId="4708C757" w14:textId="7B2ABEF1"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p w14:paraId="00A68E27" w14:textId="77777777"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a) inštalácia, prepojenie so zdrojmi údajov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aktivácia podnikového spr</w:t>
            </w:r>
            <w:r w:rsidRPr="00083739">
              <w:rPr>
                <w:rFonts w:ascii="Times New Roman" w:hAnsi="Times New Roman" w:cs="Times New Roman"/>
                <w:noProof/>
                <w:lang w:val="sk-SK"/>
              </w:rPr>
              <w:t>avodajstva/systému analýzy údajov vrátane i) odhaľovania podozrivých daňových únikov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pašovania</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reálnom čase; II) profilovanie daňových poplatníkov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podobné profilovanie daňových poplatníkov; III) posúdenie rizika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hodnotenie rizika;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iv) prognózovan</w:t>
            </w:r>
            <w:r w:rsidRPr="00083739">
              <w:rPr>
                <w:rFonts w:ascii="Times New Roman" w:hAnsi="Times New Roman" w:cs="Times New Roman"/>
                <w:noProof/>
                <w:lang w:val="sk-SK"/>
              </w:rPr>
              <w:t>ie príjmov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dlhu;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zároveň</w:t>
            </w:r>
          </w:p>
          <w:p w14:paraId="048542E9" w14:textId="77CCA36D"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p w14:paraId="169E23E0" w14:textId="77777777" w:rsidR="00083739" w:rsidRPr="00083739" w:rsidRDefault="00BF4125">
            <w:pPr>
              <w:pStyle w:val="P68B1DB1-Normal10"/>
              <w:spacing w:after="0" w:line="240" w:lineRule="auto"/>
              <w:rPr>
                <w:rFonts w:ascii="Times New Roman" w:hAnsi="Times New Roman" w:cs="Times New Roman"/>
                <w:noProof/>
                <w:lang w:val="sk-SK"/>
              </w:rPr>
            </w:pPr>
            <w:r w:rsidRPr="00083739">
              <w:rPr>
                <w:rFonts w:ascii="Times New Roman" w:hAnsi="Times New Roman" w:cs="Times New Roman"/>
                <w:noProof/>
                <w:lang w:val="sk-SK"/>
              </w:rPr>
              <w:t>b) aktivácia systému Elenxis Live („ELEGXOSlive“)</w:t>
            </w:r>
            <w:r w:rsidR="00083739" w:rsidRPr="00083739">
              <w:rPr>
                <w:rFonts w:ascii="Times New Roman" w:hAnsi="Times New Roman" w:cs="Times New Roman"/>
                <w:noProof/>
                <w:lang w:val="sk-SK"/>
              </w:rPr>
              <w:t>.</w:t>
            </w:r>
          </w:p>
          <w:p w14:paraId="38271AB4" w14:textId="1E21ED6D"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r>
      <w:tr w:rsidR="002D49B0" w:rsidRPr="00083739" w14:paraId="5D3C3B56" w14:textId="77777777">
        <w:trPr>
          <w:trHeight w:val="313"/>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3B68E9C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195</w:t>
            </w:r>
          </w:p>
        </w:tc>
        <w:tc>
          <w:tcPr>
            <w:tcW w:w="1533" w:type="dxa"/>
            <w:tcBorders>
              <w:top w:val="single" w:sz="4" w:space="0" w:color="auto"/>
              <w:left w:val="nil"/>
              <w:bottom w:val="single" w:sz="4" w:space="0" w:color="auto"/>
              <w:right w:val="single" w:sz="4" w:space="0" w:color="auto"/>
            </w:tcBorders>
            <w:shd w:val="clear" w:color="auto" w:fill="C6EFCE"/>
            <w:noWrap/>
          </w:tcPr>
          <w:p w14:paraId="1D75C4BD" w14:textId="77777777"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12 – 4.1. Zabezpečiť, aby boli dane priaznivejšie pre rast</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zlepšiť daňovú správu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výber daní</w:t>
            </w:r>
          </w:p>
          <w:p w14:paraId="1CEBC538" w14:textId="10A823E5"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16291_Digitálna transformácia daňovej</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colnej správy</w:t>
            </w:r>
          </w:p>
        </w:tc>
        <w:tc>
          <w:tcPr>
            <w:tcW w:w="969" w:type="dxa"/>
            <w:tcBorders>
              <w:top w:val="single" w:sz="4" w:space="0" w:color="auto"/>
              <w:left w:val="nil"/>
              <w:bottom w:val="single" w:sz="4" w:space="0" w:color="auto"/>
              <w:right w:val="single" w:sz="4" w:space="0" w:color="auto"/>
            </w:tcBorders>
            <w:shd w:val="clear" w:color="auto" w:fill="C6EFCE"/>
            <w:noWrap/>
          </w:tcPr>
          <w:p w14:paraId="1BF9C53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24" w:type="dxa"/>
            <w:tcBorders>
              <w:top w:val="single" w:sz="4" w:space="0" w:color="auto"/>
              <w:left w:val="nil"/>
              <w:bottom w:val="single" w:sz="4" w:space="0" w:color="auto"/>
              <w:right w:val="single" w:sz="4" w:space="0" w:color="auto"/>
            </w:tcBorders>
            <w:shd w:val="clear" w:color="auto" w:fill="C6EFCE"/>
            <w:noWrap/>
          </w:tcPr>
          <w:p w14:paraId="580FC0F2" w14:textId="0B23B5D6"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w:t>
            </w:r>
            <w:r w:rsidRPr="00083739">
              <w:rPr>
                <w:rFonts w:ascii="Times New Roman" w:hAnsi="Times New Roman" w:cs="Times New Roman"/>
                <w:noProof/>
                <w:lang w:val="sk-SK"/>
              </w:rPr>
              <w:t xml:space="preserve"> prvej fázy výsledkov integrovaného daňového</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audítorského IT prostredia nezávislého orgánu pre verejné príjmy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rámci jeho digitálnej transformácie</w:t>
            </w:r>
          </w:p>
          <w:p w14:paraId="6F69E851"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p w14:paraId="4D02548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Realizácia čiastkových projektov </w:t>
            </w:r>
          </w:p>
        </w:tc>
        <w:tc>
          <w:tcPr>
            <w:tcW w:w="1824" w:type="dxa"/>
            <w:tcBorders>
              <w:top w:val="single" w:sz="4" w:space="0" w:color="auto"/>
              <w:left w:val="nil"/>
              <w:bottom w:val="single" w:sz="4" w:space="0" w:color="auto"/>
              <w:right w:val="single" w:sz="4" w:space="0" w:color="auto"/>
            </w:tcBorders>
            <w:shd w:val="clear" w:color="auto" w:fill="C6EFCE"/>
            <w:noWrap/>
          </w:tcPr>
          <w:p w14:paraId="6D727911" w14:textId="32CB60A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Správa nezávislého orgánu pre verejné príjmy,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 xml:space="preserve">ktorej sa potvrdzuje dokončenie prvej fázy výsledkov integrovaného IT prostredia. </w:t>
            </w:r>
          </w:p>
        </w:tc>
        <w:tc>
          <w:tcPr>
            <w:tcW w:w="866" w:type="dxa"/>
            <w:tcBorders>
              <w:top w:val="single" w:sz="4" w:space="0" w:color="auto"/>
              <w:left w:val="nil"/>
              <w:bottom w:val="single" w:sz="4" w:space="0" w:color="auto"/>
              <w:right w:val="single" w:sz="4" w:space="0" w:color="auto"/>
            </w:tcBorders>
            <w:shd w:val="clear" w:color="auto" w:fill="C6EFCE"/>
            <w:noWrap/>
          </w:tcPr>
          <w:p w14:paraId="5B9B64D4"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57" w:type="dxa"/>
            <w:tcBorders>
              <w:top w:val="single" w:sz="4" w:space="0" w:color="auto"/>
              <w:left w:val="nil"/>
              <w:bottom w:val="single" w:sz="4" w:space="0" w:color="auto"/>
              <w:right w:val="single" w:sz="4" w:space="0" w:color="auto"/>
            </w:tcBorders>
            <w:shd w:val="clear" w:color="auto" w:fill="C6EFCE"/>
            <w:noWrap/>
          </w:tcPr>
          <w:p w14:paraId="73780955"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587" w:type="dxa"/>
            <w:tcBorders>
              <w:top w:val="single" w:sz="4" w:space="0" w:color="auto"/>
              <w:left w:val="nil"/>
              <w:bottom w:val="single" w:sz="4" w:space="0" w:color="auto"/>
              <w:right w:val="single" w:sz="4" w:space="0" w:color="auto"/>
            </w:tcBorders>
            <w:shd w:val="clear" w:color="auto" w:fill="C6EFCE"/>
            <w:noWrap/>
          </w:tcPr>
          <w:p w14:paraId="5F0AE66E"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6" w:type="dxa"/>
            <w:tcBorders>
              <w:top w:val="single" w:sz="4" w:space="0" w:color="auto"/>
              <w:left w:val="nil"/>
              <w:bottom w:val="single" w:sz="4" w:space="0" w:color="auto"/>
              <w:right w:val="single" w:sz="4" w:space="0" w:color="auto"/>
            </w:tcBorders>
            <w:shd w:val="clear" w:color="auto" w:fill="C6EFCE"/>
            <w:noWrap/>
          </w:tcPr>
          <w:p w14:paraId="4037012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694" w:type="dxa"/>
            <w:tcBorders>
              <w:top w:val="single" w:sz="4" w:space="0" w:color="auto"/>
              <w:left w:val="nil"/>
              <w:bottom w:val="single" w:sz="4" w:space="0" w:color="auto"/>
              <w:right w:val="single" w:sz="4" w:space="0" w:color="auto"/>
            </w:tcBorders>
            <w:shd w:val="clear" w:color="auto" w:fill="C6EFCE"/>
            <w:noWrap/>
          </w:tcPr>
          <w:p w14:paraId="1934CE7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5173" w:type="dxa"/>
            <w:tcBorders>
              <w:top w:val="single" w:sz="4" w:space="0" w:color="auto"/>
              <w:left w:val="nil"/>
              <w:bottom w:val="single" w:sz="4" w:space="0" w:color="auto"/>
              <w:right w:val="single" w:sz="4" w:space="0" w:color="auto"/>
            </w:tcBorders>
            <w:shd w:val="clear" w:color="auto" w:fill="C6EFCE"/>
            <w:noWrap/>
          </w:tcPr>
          <w:p w14:paraId="78EC422A" w14:textId="00C29ACB" w:rsidR="00083739" w:rsidRPr="00083739" w:rsidRDefault="00BF4125">
            <w:pPr>
              <w:pStyle w:val="P68B1DB1-Normal10"/>
              <w:spacing w:after="0" w:line="240" w:lineRule="auto"/>
              <w:rPr>
                <w:rFonts w:ascii="Times New Roman" w:hAnsi="Times New Roman" w:cs="Times New Roman"/>
                <w:noProof/>
                <w:lang w:val="sk-SK"/>
              </w:rPr>
            </w:pPr>
            <w:r w:rsidRPr="00083739">
              <w:rPr>
                <w:rFonts w:ascii="Times New Roman" w:hAnsi="Times New Roman" w:cs="Times New Roman"/>
                <w:noProof/>
                <w:lang w:val="sk-SK"/>
              </w:rPr>
              <w:t>Dokončenie prvej fázy výstupov integrovaného IT prostredia (nahrádzajúce TAXIS, TAXISnet</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Elenxis). Tieto výsledky pozostávajú zo všetkých požadovan</w:t>
            </w:r>
            <w:r w:rsidRPr="00083739">
              <w:rPr>
                <w:rFonts w:ascii="Times New Roman" w:hAnsi="Times New Roman" w:cs="Times New Roman"/>
                <w:noProof/>
                <w:lang w:val="sk-SK"/>
              </w:rPr>
              <w:t>ých projektových štúdií, úplného prepracovania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realizácie databázy, poskytovania dátových rozhraní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zavádzania subsystémov prvej fázy (vrátane daňového registra, účtovníctva)</w:t>
            </w:r>
            <w:r w:rsidR="00083739" w:rsidRPr="00083739">
              <w:rPr>
                <w:rFonts w:ascii="Times New Roman" w:hAnsi="Times New Roman" w:cs="Times New Roman"/>
                <w:noProof/>
                <w:lang w:val="sk-SK"/>
              </w:rPr>
              <w:t>.</w:t>
            </w:r>
          </w:p>
          <w:p w14:paraId="61358CB5" w14:textId="4BD30178"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Dokončia sa tieto čiastkové projekty:</w:t>
            </w:r>
          </w:p>
          <w:p w14:paraId="5E63D91D"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p w14:paraId="378D13D0" w14:textId="0AFBE7B4"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intervencie „Náhrada zákl</w:t>
            </w:r>
            <w:r w:rsidRPr="00083739">
              <w:rPr>
                <w:rFonts w:ascii="Times New Roman" w:hAnsi="Times New Roman" w:cs="Times New Roman"/>
                <w:noProof/>
                <w:lang w:val="sk-SK"/>
              </w:rPr>
              <w:t>adných digitálnych systémov, obnova zastaranej infraštruktúry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rozšírenie funkčnosti poskytovania služieb“:</w:t>
            </w:r>
          </w:p>
          <w:p w14:paraId="7449E119" w14:textId="65D491C0"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Sprevádzkuje sa vývoj nového integrovaného informačného systému pre štátne chemické laboratórium Grécka;</w:t>
            </w:r>
          </w:p>
          <w:p w14:paraId="514D6222" w14:textId="4DD1F890"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 xml:space="preserve">Systém riadenia ľudských zdrojov pre IAPR </w:t>
            </w:r>
            <w:r w:rsidRPr="00083739">
              <w:rPr>
                <w:rFonts w:ascii="Times New Roman" w:hAnsi="Times New Roman" w:cs="Times New Roman"/>
                <w:noProof/>
                <w:lang w:val="sk-SK"/>
              </w:rPr>
              <w:t>musí byť funkčný;</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zároveň</w:t>
            </w:r>
          </w:p>
          <w:p w14:paraId="20BA9B7A" w14:textId="38E7D753"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Modernizácia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údržba informačných systémov IAPR musia byť funkčné;</w:t>
            </w:r>
          </w:p>
          <w:p w14:paraId="31EB6B17"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p w14:paraId="2F782E0B" w14:textId="7271932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rámci „Automatizácia kancelárskych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pracovných procesov“:</w:t>
            </w:r>
          </w:p>
          <w:p w14:paraId="308B29EC" w14:textId="373CD6D0"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 Služby riadenia kancelárií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softvér pre IAPR musia byť funkčné;</w:t>
            </w:r>
          </w:p>
          <w:p w14:paraId="65D418FA" w14:textId="7313552F"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 Služby riadenia kancelárií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softvér pre IAPR – Digitalizácia archívov musia byť funkčné;</w:t>
            </w:r>
          </w:p>
          <w:p w14:paraId="14CF0B49" w14:textId="76D906FD"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—Nástroje na riadenie IT služieb musia byť plne funkčné,</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zároveň</w:t>
            </w:r>
          </w:p>
          <w:p w14:paraId="65F0A88A" w14:textId="57E92A6E"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 Modernizácia digitálnych služieb správy verejných aktív – Konfiškované vozidlá musia byť</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prevádzke.</w:t>
            </w:r>
          </w:p>
          <w:p w14:paraId="5C7E98BD"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p w14:paraId="1373D197" w14:textId="0B06B190"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szCs w:val="18"/>
                <w:lang w:val="sk-SK"/>
              </w:rPr>
              <w:t>3.</w:t>
            </w:r>
            <w:r w:rsidR="00083739" w:rsidRPr="00083739">
              <w:rPr>
                <w:rFonts w:ascii="Times New Roman" w:hAnsi="Times New Roman" w:cs="Times New Roman"/>
                <w:noProof/>
                <w:szCs w:val="18"/>
                <w:lang w:val="sk-SK"/>
              </w:rPr>
              <w:t xml:space="preserve"> V </w:t>
            </w:r>
            <w:r w:rsidRPr="00083739">
              <w:rPr>
                <w:rFonts w:ascii="Times New Roman" w:hAnsi="Times New Roman" w:cs="Times New Roman"/>
                <w:noProof/>
                <w:szCs w:val="18"/>
                <w:lang w:val="sk-SK"/>
              </w:rPr>
              <w:t>rámci oblasti i</w:t>
            </w:r>
            <w:r w:rsidRPr="00083739">
              <w:rPr>
                <w:rFonts w:ascii="Times New Roman" w:hAnsi="Times New Roman" w:cs="Times New Roman"/>
                <w:noProof/>
                <w:szCs w:val="18"/>
                <w:lang w:val="sk-SK"/>
              </w:rPr>
              <w:t>ntervencie „Zlepšovanie služieb daňových poplatníkov“ – Rozšírenie – modernizácia servisných centier pre daňovníkov</w:t>
            </w:r>
            <w:r w:rsidR="00083739" w:rsidRPr="00083739">
              <w:rPr>
                <w:rFonts w:ascii="Times New Roman" w:hAnsi="Times New Roman" w:cs="Times New Roman"/>
                <w:noProof/>
                <w:szCs w:val="18"/>
                <w:lang w:val="sk-SK"/>
              </w:rPr>
              <w:t xml:space="preserve"> a </w:t>
            </w:r>
            <w:r w:rsidRPr="00083739">
              <w:rPr>
                <w:rFonts w:ascii="Times New Roman" w:hAnsi="Times New Roman" w:cs="Times New Roman"/>
                <w:noProof/>
                <w:szCs w:val="18"/>
                <w:lang w:val="sk-SK"/>
              </w:rPr>
              <w:t>služieb volacích centier; a</w:t>
            </w:r>
            <w:r w:rsidRPr="00083739">
              <w:rPr>
                <w:rFonts w:ascii="Times New Roman" w:hAnsi="Times New Roman" w:cs="Times New Roman"/>
                <w:noProof/>
                <w:lang w:val="sk-SK"/>
              </w:rPr>
              <w:t>– bezpečnosť údajov.</w:t>
            </w:r>
          </w:p>
        </w:tc>
      </w:tr>
      <w:tr w:rsidR="002D49B0" w:rsidRPr="00083739" w14:paraId="2A152007" w14:textId="77777777">
        <w:trPr>
          <w:trHeight w:val="739"/>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6ABD35E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196</w:t>
            </w:r>
          </w:p>
        </w:tc>
        <w:tc>
          <w:tcPr>
            <w:tcW w:w="1533" w:type="dxa"/>
            <w:tcBorders>
              <w:top w:val="single" w:sz="4" w:space="0" w:color="auto"/>
              <w:left w:val="nil"/>
              <w:bottom w:val="single" w:sz="4" w:space="0" w:color="auto"/>
              <w:right w:val="single" w:sz="4" w:space="0" w:color="auto"/>
            </w:tcBorders>
            <w:shd w:val="clear" w:color="auto" w:fill="C6EFCE"/>
            <w:noWrap/>
          </w:tcPr>
          <w:p w14:paraId="5F686E0D" w14:textId="77777777"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12 – 4.1. Zabezpečiť, aby boli dane priaznivejšie pre rast</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zlepšiť daňovú správu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výber daní</w:t>
            </w:r>
          </w:p>
          <w:p w14:paraId="089ADA0B" w14:textId="4A093CA5"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16291_Digitálna transformácia daňovej</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colnej správy</w:t>
            </w:r>
          </w:p>
        </w:tc>
        <w:tc>
          <w:tcPr>
            <w:tcW w:w="969" w:type="dxa"/>
            <w:tcBorders>
              <w:top w:val="single" w:sz="4" w:space="0" w:color="auto"/>
              <w:left w:val="nil"/>
              <w:bottom w:val="single" w:sz="4" w:space="0" w:color="auto"/>
              <w:right w:val="single" w:sz="4" w:space="0" w:color="auto"/>
            </w:tcBorders>
            <w:shd w:val="clear" w:color="auto" w:fill="C6EFCE"/>
            <w:noWrap/>
          </w:tcPr>
          <w:p w14:paraId="37AB8A9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24" w:type="dxa"/>
            <w:tcBorders>
              <w:top w:val="single" w:sz="4" w:space="0" w:color="auto"/>
              <w:left w:val="nil"/>
              <w:bottom w:val="single" w:sz="4" w:space="0" w:color="auto"/>
              <w:right w:val="single" w:sz="4" w:space="0" w:color="auto"/>
            </w:tcBorders>
            <w:shd w:val="clear" w:color="auto" w:fill="C6EFCE"/>
            <w:noWrap/>
          </w:tcPr>
          <w:p w14:paraId="4AEFF42E" w14:textId="761741D4"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Spustenie systému dohľadu nad úžitkovými vozidlami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kontajnermi</w:t>
            </w:r>
          </w:p>
          <w:p w14:paraId="72776D30"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p w14:paraId="6AA4BA8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Realizácia čiastkového projektu</w:t>
            </w:r>
          </w:p>
        </w:tc>
        <w:tc>
          <w:tcPr>
            <w:tcW w:w="1824" w:type="dxa"/>
            <w:tcBorders>
              <w:top w:val="single" w:sz="4" w:space="0" w:color="auto"/>
              <w:left w:val="nil"/>
              <w:bottom w:val="single" w:sz="4" w:space="0" w:color="auto"/>
              <w:right w:val="single" w:sz="4" w:space="0" w:color="auto"/>
            </w:tcBorders>
            <w:shd w:val="clear" w:color="auto" w:fill="C6EFCE"/>
            <w:noWrap/>
          </w:tcPr>
          <w:p w14:paraId="3B1AC524" w14:textId="77777777"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Správa nezávislého orgánu pre verejné príjmy,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ktorej sa potvrdzuje</w:t>
            </w:r>
          </w:p>
          <w:p w14:paraId="020BCD27" w14:textId="4452E4A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spustenie </w:t>
            </w:r>
            <w:r w:rsidRPr="00083739">
              <w:rPr>
                <w:rFonts w:ascii="Times New Roman" w:hAnsi="Times New Roman" w:cs="Times New Roman"/>
                <w:noProof/>
                <w:lang w:val="sk-SK"/>
              </w:rPr>
              <w:t>systému dohľadu nad úžitkovými vozidlami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kontajnermi.</w:t>
            </w:r>
          </w:p>
        </w:tc>
        <w:tc>
          <w:tcPr>
            <w:tcW w:w="866" w:type="dxa"/>
            <w:tcBorders>
              <w:top w:val="single" w:sz="4" w:space="0" w:color="auto"/>
              <w:left w:val="nil"/>
              <w:bottom w:val="single" w:sz="4" w:space="0" w:color="auto"/>
              <w:right w:val="single" w:sz="4" w:space="0" w:color="auto"/>
            </w:tcBorders>
            <w:shd w:val="clear" w:color="auto" w:fill="C6EFCE"/>
            <w:noWrap/>
          </w:tcPr>
          <w:p w14:paraId="19C9F536"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57" w:type="dxa"/>
            <w:tcBorders>
              <w:top w:val="single" w:sz="4" w:space="0" w:color="auto"/>
              <w:left w:val="nil"/>
              <w:bottom w:val="single" w:sz="4" w:space="0" w:color="auto"/>
              <w:right w:val="single" w:sz="4" w:space="0" w:color="auto"/>
            </w:tcBorders>
            <w:shd w:val="clear" w:color="auto" w:fill="C6EFCE"/>
            <w:noWrap/>
          </w:tcPr>
          <w:p w14:paraId="73D0DA41"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587" w:type="dxa"/>
            <w:tcBorders>
              <w:top w:val="single" w:sz="4" w:space="0" w:color="auto"/>
              <w:left w:val="nil"/>
              <w:bottom w:val="single" w:sz="4" w:space="0" w:color="auto"/>
              <w:right w:val="single" w:sz="4" w:space="0" w:color="auto"/>
            </w:tcBorders>
            <w:shd w:val="clear" w:color="auto" w:fill="C6EFCE"/>
            <w:noWrap/>
          </w:tcPr>
          <w:p w14:paraId="2E51E4F4"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6" w:type="dxa"/>
            <w:tcBorders>
              <w:top w:val="single" w:sz="4" w:space="0" w:color="auto"/>
              <w:left w:val="nil"/>
              <w:bottom w:val="single" w:sz="4" w:space="0" w:color="auto"/>
              <w:right w:val="single" w:sz="4" w:space="0" w:color="auto"/>
            </w:tcBorders>
            <w:shd w:val="clear" w:color="auto" w:fill="C6EFCE"/>
            <w:noWrap/>
          </w:tcPr>
          <w:p w14:paraId="16C9298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694" w:type="dxa"/>
            <w:tcBorders>
              <w:top w:val="single" w:sz="4" w:space="0" w:color="auto"/>
              <w:left w:val="nil"/>
              <w:bottom w:val="single" w:sz="4" w:space="0" w:color="auto"/>
              <w:right w:val="single" w:sz="4" w:space="0" w:color="auto"/>
            </w:tcBorders>
            <w:shd w:val="clear" w:color="auto" w:fill="C6EFCE"/>
            <w:noWrap/>
          </w:tcPr>
          <w:p w14:paraId="3E49EA9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5173" w:type="dxa"/>
            <w:tcBorders>
              <w:top w:val="single" w:sz="4" w:space="0" w:color="auto"/>
              <w:left w:val="nil"/>
              <w:bottom w:val="single" w:sz="4" w:space="0" w:color="auto"/>
              <w:right w:val="single" w:sz="4" w:space="0" w:color="auto"/>
            </w:tcBorders>
            <w:shd w:val="clear" w:color="auto" w:fill="C6EFCE"/>
            <w:noWrap/>
          </w:tcPr>
          <w:p w14:paraId="6A17F610" w14:textId="25236682" w:rsidR="00083739" w:rsidRPr="00083739" w:rsidRDefault="00BF4125">
            <w:pPr>
              <w:pStyle w:val="P68B1DB1-Normal10"/>
              <w:spacing w:after="0" w:line="240" w:lineRule="auto"/>
              <w:rPr>
                <w:rFonts w:ascii="Times New Roman" w:hAnsi="Times New Roman" w:cs="Times New Roman"/>
                <w:noProof/>
                <w:lang w:val="sk-SK"/>
              </w:rPr>
            </w:pPr>
            <w:r w:rsidRPr="00083739">
              <w:rPr>
                <w:rFonts w:ascii="Times New Roman" w:hAnsi="Times New Roman" w:cs="Times New Roman"/>
                <w:noProof/>
                <w:lang w:val="sk-SK"/>
              </w:rPr>
              <w:t>Dokončenie zavedenia systému dohľadu nad úžitkovými vozidlami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kontajnermi založeného na riešení sledovania GPS cez internet-Of-Things (IoT) na vykonávanie sledovacích operáci</w:t>
            </w:r>
            <w:r w:rsidRPr="00083739">
              <w:rPr>
                <w:rFonts w:ascii="Times New Roman" w:hAnsi="Times New Roman" w:cs="Times New Roman"/>
                <w:noProof/>
                <w:lang w:val="sk-SK"/>
              </w:rPr>
              <w:t>í podporujúcich digitálnu transformáciu nezávislého orgánu pre verejné príjmy prostredníctvom spustenia systému dohľadu nad úžitkovými vozidlami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kontajnermi</w:t>
            </w:r>
            <w:r w:rsidR="00083739" w:rsidRPr="00083739">
              <w:rPr>
                <w:rFonts w:ascii="Times New Roman" w:hAnsi="Times New Roman" w:cs="Times New Roman"/>
                <w:noProof/>
                <w:lang w:val="sk-SK"/>
              </w:rPr>
              <w:t>.</w:t>
            </w:r>
          </w:p>
          <w:p w14:paraId="28D4D33B" w14:textId="1AB342D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p w14:paraId="07B83ECD" w14:textId="26E73BF6"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Dokončí sa tento čiastkový projekt</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rámci oblasti intervencie „Digitalizácia auditov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kontrol</w:t>
            </w:r>
            <w:r w:rsidRPr="00083739">
              <w:rPr>
                <w:rFonts w:ascii="Times New Roman" w:hAnsi="Times New Roman" w:cs="Times New Roman"/>
                <w:noProof/>
                <w:lang w:val="sk-SK"/>
              </w:rPr>
              <w:t>“</w:t>
            </w:r>
            <w:r w:rsidRPr="00083739">
              <w:rPr>
                <w:rFonts w:ascii="Times New Roman" w:hAnsi="Times New Roman" w:cs="Times New Roman"/>
                <w:noProof/>
                <w:szCs w:val="18"/>
                <w:lang w:val="sk-SK"/>
              </w:rPr>
              <w:t>:</w:t>
            </w:r>
          </w:p>
          <w:p w14:paraId="424DF313"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p w14:paraId="4372E702" w14:textId="23D237C8"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 Systém riadenia podnikových rizík</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plán kontinuity činnosti pre IAPR musia byť funkčné.</w:t>
            </w:r>
          </w:p>
        </w:tc>
      </w:tr>
    </w:tbl>
    <w:p w14:paraId="2D90A432" w14:textId="77777777" w:rsidR="002D49B0" w:rsidRPr="00083739" w:rsidRDefault="00BF4125">
      <w:pPr>
        <w:pStyle w:val="P68B1DB1-Normal6"/>
        <w:keepNext/>
        <w:keepLines/>
        <w:spacing w:before="40" w:after="0" w:line="240" w:lineRule="auto"/>
        <w:jc w:val="both"/>
        <w:outlineLvl w:val="4"/>
        <w:rPr>
          <w:rFonts w:ascii="Times New Roman" w:eastAsia="Times New Roman" w:hAnsi="Times New Roman" w:cs="Times New Roman"/>
          <w:noProof/>
          <w:lang w:val="sk-SK"/>
        </w:rPr>
      </w:pPr>
      <w:r w:rsidRPr="00083739">
        <w:rPr>
          <w:rFonts w:ascii="Times New Roman" w:hAnsi="Times New Roman" w:cs="Times New Roman"/>
          <w:noProof/>
          <w:lang w:val="sk-SK"/>
        </w:rPr>
        <w:t>Skupina 18: Daňová politika</w:t>
      </w:r>
    </w:p>
    <w:p w14:paraId="20F7EB55" w14:textId="5E4C6607" w:rsidR="002D49B0" w:rsidRPr="00083739" w:rsidRDefault="00BF4125">
      <w:pPr>
        <w:pStyle w:val="P68B1DB1-Normal4"/>
        <w:numPr>
          <w:ilvl w:val="0"/>
          <w:numId w:val="36"/>
        </w:numPr>
        <w:spacing w:before="120" w:after="0" w:line="240" w:lineRule="auto"/>
        <w:jc w:val="both"/>
        <w:rPr>
          <w:rFonts w:cs="Times New Roman"/>
          <w:noProof/>
          <w:lang w:val="sk-SK"/>
        </w:rPr>
      </w:pPr>
      <w:r w:rsidRPr="00083739">
        <w:rPr>
          <w:rFonts w:cs="Times New Roman"/>
          <w:noProof/>
          <w:lang w:val="sk-SK"/>
        </w:rPr>
        <w:t>Kodifikácia</w:t>
      </w:r>
      <w:r w:rsidR="00083739" w:rsidRPr="00083739">
        <w:rPr>
          <w:rFonts w:cs="Times New Roman"/>
          <w:noProof/>
          <w:lang w:val="sk-SK"/>
        </w:rPr>
        <w:t xml:space="preserve"> a </w:t>
      </w:r>
      <w:r w:rsidRPr="00083739">
        <w:rPr>
          <w:rFonts w:cs="Times New Roman"/>
          <w:noProof/>
          <w:lang w:val="sk-SK"/>
        </w:rPr>
        <w:t>zjednodušenie daňových právnych predpisov, pravidiel</w:t>
      </w:r>
      <w:r w:rsidR="00083739" w:rsidRPr="00083739">
        <w:rPr>
          <w:rFonts w:cs="Times New Roman"/>
          <w:noProof/>
          <w:lang w:val="sk-SK"/>
        </w:rPr>
        <w:t xml:space="preserve"> a </w:t>
      </w:r>
      <w:r w:rsidRPr="00083739">
        <w:rPr>
          <w:rFonts w:cs="Times New Roman"/>
          <w:noProof/>
          <w:lang w:val="sk-SK"/>
        </w:rPr>
        <w:t>postupov (ID: 16643)</w:t>
      </w:r>
    </w:p>
    <w:p w14:paraId="620BD533" w14:textId="0E02DDD5" w:rsidR="002D49B0" w:rsidRPr="00083739" w:rsidRDefault="00BF4125">
      <w:pPr>
        <w:pStyle w:val="P68B1DB1-Normal4"/>
        <w:numPr>
          <w:ilvl w:val="0"/>
          <w:numId w:val="36"/>
        </w:numPr>
        <w:spacing w:before="120" w:after="0" w:line="240" w:lineRule="auto"/>
        <w:jc w:val="both"/>
        <w:rPr>
          <w:rFonts w:cs="Times New Roman"/>
          <w:noProof/>
          <w:lang w:val="sk-SK"/>
        </w:rPr>
      </w:pPr>
      <w:r w:rsidRPr="00083739">
        <w:rPr>
          <w:rFonts w:cs="Times New Roman"/>
          <w:noProof/>
          <w:lang w:val="sk-SK"/>
        </w:rPr>
        <w:t>Prijatie opatrení</w:t>
      </w:r>
      <w:r w:rsidR="00083739" w:rsidRPr="00083739">
        <w:rPr>
          <w:rFonts w:cs="Times New Roman"/>
          <w:noProof/>
          <w:lang w:val="sk-SK"/>
        </w:rPr>
        <w:t xml:space="preserve"> a </w:t>
      </w:r>
      <w:r w:rsidRPr="00083739">
        <w:rPr>
          <w:rFonts w:cs="Times New Roman"/>
          <w:noProof/>
          <w:lang w:val="sk-SK"/>
        </w:rPr>
        <w:t xml:space="preserve">stimulov na zvýšenie </w:t>
      </w:r>
      <w:r w:rsidRPr="00083739">
        <w:rPr>
          <w:rFonts w:cs="Times New Roman"/>
          <w:noProof/>
          <w:lang w:val="sk-SK"/>
        </w:rPr>
        <w:t>počtu elektronických transakcií (ID: 16616)</w:t>
      </w:r>
    </w:p>
    <w:p w14:paraId="7AFEDDA4" w14:textId="1B8A1F5C" w:rsidR="002D49B0" w:rsidRPr="00083739" w:rsidRDefault="00BF4125">
      <w:pPr>
        <w:pStyle w:val="P68B1DB1-Normal4"/>
        <w:numPr>
          <w:ilvl w:val="0"/>
          <w:numId w:val="36"/>
        </w:numPr>
        <w:spacing w:before="120" w:after="0" w:line="240" w:lineRule="auto"/>
        <w:jc w:val="both"/>
        <w:rPr>
          <w:rFonts w:cs="Times New Roman"/>
          <w:noProof/>
          <w:lang w:val="sk-SK"/>
        </w:rPr>
      </w:pPr>
      <w:r w:rsidRPr="00083739">
        <w:rPr>
          <w:rFonts w:cs="Times New Roman"/>
          <w:noProof/>
          <w:lang w:val="sk-SK"/>
        </w:rPr>
        <w:t>Super – odpočet výdavkov MSP na ekologické hospodárstvo, energetiku</w:t>
      </w:r>
      <w:r w:rsidR="00083739" w:rsidRPr="00083739">
        <w:rPr>
          <w:rFonts w:cs="Times New Roman"/>
          <w:noProof/>
          <w:lang w:val="sk-SK"/>
        </w:rPr>
        <w:t xml:space="preserve"> a </w:t>
      </w:r>
      <w:r w:rsidRPr="00083739">
        <w:rPr>
          <w:rFonts w:cs="Times New Roman"/>
          <w:noProof/>
          <w:lang w:val="sk-SK"/>
        </w:rPr>
        <w:t>digitalizáciu (ID: 16863)</w:t>
      </w:r>
    </w:p>
    <w:p w14:paraId="1E89CDCC" w14:textId="1F31E233" w:rsidR="002D49B0" w:rsidRPr="00083739" w:rsidRDefault="00BF4125">
      <w:pPr>
        <w:pStyle w:val="P68B1DB1-Normal4"/>
        <w:numPr>
          <w:ilvl w:val="0"/>
          <w:numId w:val="36"/>
        </w:numPr>
        <w:spacing w:before="120" w:after="120" w:line="240" w:lineRule="auto"/>
        <w:jc w:val="both"/>
        <w:rPr>
          <w:rFonts w:cs="Times New Roman"/>
          <w:noProof/>
          <w:lang w:val="sk-SK"/>
        </w:rPr>
      </w:pPr>
      <w:r w:rsidRPr="00083739">
        <w:rPr>
          <w:rFonts w:cs="Times New Roman"/>
          <w:noProof/>
          <w:lang w:val="sk-SK"/>
        </w:rPr>
        <w:t>Režim stimulov pre produktivitu</w:t>
      </w:r>
      <w:r w:rsidR="00083739" w:rsidRPr="00083739">
        <w:rPr>
          <w:rFonts w:cs="Times New Roman"/>
          <w:noProof/>
          <w:lang w:val="sk-SK"/>
        </w:rPr>
        <w:t xml:space="preserve"> a </w:t>
      </w:r>
      <w:r w:rsidRPr="00083739">
        <w:rPr>
          <w:rFonts w:cs="Times New Roman"/>
          <w:noProof/>
          <w:lang w:val="sk-SK"/>
        </w:rPr>
        <w:t>extroverziu podnikov (zvýšenie veľkosti podnikov) (ID: 16598)</w:t>
      </w:r>
    </w:p>
    <w:p w14:paraId="27A8D045" w14:textId="29AF9315" w:rsidR="002D49B0" w:rsidRPr="00083739" w:rsidRDefault="00BF4125">
      <w:pPr>
        <w:pStyle w:val="P68B1DB1-Normal4"/>
        <w:numPr>
          <w:ilvl w:val="0"/>
          <w:numId w:val="36"/>
        </w:numPr>
        <w:spacing w:before="120" w:after="120" w:line="240" w:lineRule="auto"/>
        <w:jc w:val="both"/>
        <w:rPr>
          <w:rFonts w:cs="Times New Roman"/>
          <w:noProof/>
          <w:lang w:val="sk-SK"/>
        </w:rPr>
      </w:pPr>
      <w:r w:rsidRPr="00083739">
        <w:rPr>
          <w:rFonts w:cs="Times New Roman"/>
          <w:noProof/>
          <w:lang w:val="sk-SK"/>
        </w:rPr>
        <w:t xml:space="preserve">Úpravy gréckeho </w:t>
      </w:r>
      <w:r w:rsidRPr="00083739">
        <w:rPr>
          <w:rFonts w:cs="Times New Roman"/>
          <w:noProof/>
          <w:lang w:val="sk-SK"/>
        </w:rPr>
        <w:t>rámca daňovej politiky (ID opatrenia: 16985</w:t>
      </w:r>
    </w:p>
    <w:tbl>
      <w:tblPr>
        <w:tblW w:w="15910" w:type="dxa"/>
        <w:jc w:val="center"/>
        <w:tblLook w:val="04A0" w:firstRow="1" w:lastRow="0" w:firstColumn="1" w:lastColumn="0" w:noHBand="0" w:noVBand="1"/>
      </w:tblPr>
      <w:tblGrid>
        <w:gridCol w:w="1027"/>
        <w:gridCol w:w="1876"/>
        <w:gridCol w:w="1115"/>
        <w:gridCol w:w="1476"/>
        <w:gridCol w:w="1984"/>
        <w:gridCol w:w="897"/>
        <w:gridCol w:w="957"/>
        <w:gridCol w:w="668"/>
        <w:gridCol w:w="1167"/>
        <w:gridCol w:w="708"/>
        <w:gridCol w:w="4830"/>
      </w:tblGrid>
      <w:tr w:rsidR="002D49B0" w:rsidRPr="00083739" w14:paraId="5427E5CF" w14:textId="77777777">
        <w:trPr>
          <w:trHeight w:val="773"/>
          <w:tblHeader/>
          <w:jc w:val="center"/>
        </w:trPr>
        <w:tc>
          <w:tcPr>
            <w:tcW w:w="102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6DA8CD8"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Poradové číslo</w:t>
            </w:r>
          </w:p>
        </w:tc>
        <w:tc>
          <w:tcPr>
            <w:tcW w:w="183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95A1463"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Súvisiace opatrenie (reforma alebo investícia)</w:t>
            </w:r>
          </w:p>
        </w:tc>
        <w:tc>
          <w:tcPr>
            <w:tcW w:w="96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FCCCC3E"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Míľnik/cieľ</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EC43BCA"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Názov</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936A959" w14:textId="77777777" w:rsidR="002D49B0" w:rsidRPr="00083739" w:rsidRDefault="00BF4125">
            <w:pPr>
              <w:pStyle w:val="P68B1DB1-Normal37"/>
              <w:spacing w:after="0" w:line="240" w:lineRule="auto"/>
              <w:jc w:val="center"/>
              <w:rPr>
                <w:rFonts w:eastAsia="Times New Roman" w:cs="Times New Roman"/>
                <w:b/>
                <w:bCs/>
                <w:noProof/>
                <w:sz w:val="18"/>
                <w:szCs w:val="18"/>
                <w:lang w:val="sk-SK"/>
              </w:rPr>
            </w:pPr>
            <w:r w:rsidRPr="00083739">
              <w:rPr>
                <w:rFonts w:cs="Times New Roman"/>
                <w:b/>
                <w:noProof/>
                <w:sz w:val="18"/>
                <w:lang w:val="sk-SK"/>
              </w:rPr>
              <w:t xml:space="preserve">Kvalitatívne ukazovatele </w:t>
            </w:r>
            <w:r w:rsidRPr="00083739">
              <w:rPr>
                <w:rFonts w:cs="Times New Roman"/>
                <w:noProof/>
                <w:sz w:val="24"/>
                <w:lang w:val="sk-SK"/>
              </w:rPr>
              <w:t xml:space="preserve"> </w:t>
            </w:r>
            <w:r w:rsidRPr="00083739">
              <w:rPr>
                <w:rFonts w:cs="Times New Roman"/>
                <w:b/>
                <w:noProof/>
                <w:sz w:val="18"/>
                <w:lang w:val="sk-SK"/>
              </w:rPr>
              <w:t>(pre míľniky)</w:t>
            </w:r>
          </w:p>
        </w:tc>
        <w:tc>
          <w:tcPr>
            <w:tcW w:w="2391" w:type="dxa"/>
            <w:gridSpan w:val="3"/>
            <w:tcBorders>
              <w:top w:val="single" w:sz="4" w:space="0" w:color="auto"/>
              <w:left w:val="single" w:sz="4" w:space="0" w:color="auto"/>
              <w:bottom w:val="single" w:sz="4" w:space="0" w:color="auto"/>
              <w:right w:val="single" w:sz="4" w:space="0" w:color="auto"/>
            </w:tcBorders>
            <w:shd w:val="clear" w:color="auto" w:fill="BDD7EE"/>
            <w:vAlign w:val="center"/>
            <w:hideMark/>
          </w:tcPr>
          <w:p w14:paraId="310B8390" w14:textId="77777777" w:rsidR="002D49B0" w:rsidRPr="00083739" w:rsidRDefault="00BF4125">
            <w:pPr>
              <w:pStyle w:val="P68B1DB1-Normal37"/>
              <w:spacing w:after="0" w:line="240" w:lineRule="auto"/>
              <w:jc w:val="center"/>
              <w:rPr>
                <w:rFonts w:eastAsia="Times New Roman" w:cs="Times New Roman"/>
                <w:b/>
                <w:bCs/>
                <w:noProof/>
                <w:sz w:val="18"/>
                <w:szCs w:val="18"/>
                <w:lang w:val="sk-SK"/>
              </w:rPr>
            </w:pPr>
            <w:r w:rsidRPr="00083739">
              <w:rPr>
                <w:rFonts w:cs="Times New Roman"/>
                <w:b/>
                <w:noProof/>
                <w:sz w:val="18"/>
                <w:lang w:val="sk-SK"/>
              </w:rPr>
              <w:t xml:space="preserve">Kvantitatívne ukazovatele </w:t>
            </w:r>
            <w:r w:rsidRPr="00083739">
              <w:rPr>
                <w:rFonts w:cs="Times New Roman"/>
                <w:noProof/>
                <w:sz w:val="24"/>
                <w:lang w:val="sk-SK"/>
              </w:rPr>
              <w:t xml:space="preserve"> </w:t>
            </w:r>
            <w:r w:rsidRPr="00083739">
              <w:rPr>
                <w:rFonts w:cs="Times New Roman"/>
                <w:b/>
                <w:noProof/>
                <w:sz w:val="18"/>
                <w:lang w:val="sk-SK"/>
              </w:rPr>
              <w:t>(pre ciele)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BDD7EE"/>
            <w:vAlign w:val="center"/>
            <w:hideMark/>
          </w:tcPr>
          <w:p w14:paraId="21C3090D"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Orientačný harmonogram dokončenia </w:t>
            </w:r>
          </w:p>
        </w:tc>
        <w:tc>
          <w:tcPr>
            <w:tcW w:w="483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3D3D22A" w14:textId="66F57CFD" w:rsidR="002D49B0" w:rsidRPr="00083739" w:rsidRDefault="00BF4125">
            <w:pPr>
              <w:pStyle w:val="P68B1DB1-Normal7"/>
              <w:spacing w:after="0" w:line="240" w:lineRule="auto"/>
              <w:jc w:val="center"/>
              <w:rPr>
                <w:rFonts w:cs="Times New Roman"/>
                <w:noProof/>
                <w:lang w:val="sk-SK"/>
              </w:rPr>
            </w:pPr>
            <w:r w:rsidRPr="00083739">
              <w:rPr>
                <w:rFonts w:cs="Times New Roman"/>
                <w:noProof/>
                <w:lang w:val="sk-SK"/>
              </w:rPr>
              <w:t xml:space="preserve">Opis každého </w:t>
            </w:r>
            <w:r w:rsidRPr="00083739">
              <w:rPr>
                <w:rFonts w:cs="Times New Roman"/>
                <w:noProof/>
                <w:lang w:val="sk-SK"/>
              </w:rPr>
              <w:t>míľnika</w:t>
            </w:r>
            <w:r w:rsidR="00083739" w:rsidRPr="00083739">
              <w:rPr>
                <w:rFonts w:cs="Times New Roman"/>
                <w:noProof/>
                <w:lang w:val="sk-SK"/>
              </w:rPr>
              <w:t xml:space="preserve"> a </w:t>
            </w:r>
            <w:r w:rsidRPr="00083739">
              <w:rPr>
                <w:rFonts w:cs="Times New Roman"/>
                <w:noProof/>
                <w:lang w:val="sk-SK"/>
              </w:rPr>
              <w:t>cieľa</w:t>
            </w:r>
          </w:p>
          <w:p w14:paraId="4F3DC5F5" w14:textId="77777777" w:rsidR="002D49B0" w:rsidRPr="00083739" w:rsidRDefault="002D49B0">
            <w:pPr>
              <w:rPr>
                <w:rFonts w:ascii="Times New Roman" w:hAnsi="Times New Roman" w:cs="Times New Roman"/>
                <w:b/>
                <w:noProof/>
                <w:sz w:val="18"/>
                <w:lang w:val="sk-SK"/>
              </w:rPr>
            </w:pPr>
          </w:p>
          <w:p w14:paraId="523EF41D" w14:textId="77777777" w:rsidR="002D49B0" w:rsidRPr="00083739" w:rsidRDefault="002D49B0">
            <w:pPr>
              <w:rPr>
                <w:rFonts w:ascii="Times New Roman" w:eastAsia="Times New Roman" w:hAnsi="Times New Roman" w:cs="Times New Roman"/>
                <w:noProof/>
                <w:sz w:val="18"/>
                <w:szCs w:val="18"/>
                <w:lang w:val="sk-SK"/>
              </w:rPr>
            </w:pPr>
          </w:p>
        </w:tc>
      </w:tr>
      <w:tr w:rsidR="002D49B0" w:rsidRPr="00083739" w14:paraId="38722A83" w14:textId="77777777">
        <w:trPr>
          <w:trHeight w:val="532"/>
          <w:tblHeader/>
          <w:jc w:val="center"/>
        </w:trPr>
        <w:tc>
          <w:tcPr>
            <w:tcW w:w="1027" w:type="dxa"/>
            <w:vMerge/>
            <w:tcBorders>
              <w:top w:val="single" w:sz="4" w:space="0" w:color="auto"/>
              <w:left w:val="single" w:sz="4" w:space="0" w:color="auto"/>
              <w:bottom w:val="single" w:sz="4" w:space="0" w:color="auto"/>
              <w:right w:val="single" w:sz="4" w:space="0" w:color="auto"/>
            </w:tcBorders>
            <w:vAlign w:val="center"/>
            <w:hideMark/>
          </w:tcPr>
          <w:p w14:paraId="19A817E9"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14:paraId="60A9F3B9"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966" w:type="dxa"/>
            <w:vMerge/>
            <w:tcBorders>
              <w:top w:val="single" w:sz="4" w:space="0" w:color="auto"/>
              <w:left w:val="single" w:sz="4" w:space="0" w:color="auto"/>
              <w:bottom w:val="single" w:sz="4" w:space="0" w:color="auto"/>
              <w:right w:val="single" w:sz="4" w:space="0" w:color="auto"/>
            </w:tcBorders>
            <w:vAlign w:val="center"/>
            <w:hideMark/>
          </w:tcPr>
          <w:p w14:paraId="72F7F53E"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14:paraId="2D884116"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F35C2AE"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866"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2C7A7750"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Merná jednotka</w:t>
            </w:r>
          </w:p>
        </w:tc>
        <w:tc>
          <w:tcPr>
            <w:tcW w:w="857"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713FF354"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Základná </w:t>
            </w:r>
          </w:p>
        </w:tc>
        <w:tc>
          <w:tcPr>
            <w:tcW w:w="668"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3D66D15B"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Cieľ </w:t>
            </w:r>
          </w:p>
        </w:tc>
        <w:tc>
          <w:tcPr>
            <w:tcW w:w="993"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2C7A6301"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Štvrtina</w:t>
            </w:r>
          </w:p>
        </w:tc>
        <w:tc>
          <w:tcPr>
            <w:tcW w:w="708"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6E34FA1F"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Rok</w:t>
            </w:r>
          </w:p>
        </w:tc>
        <w:tc>
          <w:tcPr>
            <w:tcW w:w="4830" w:type="dxa"/>
            <w:vMerge/>
            <w:tcBorders>
              <w:top w:val="single" w:sz="4" w:space="0" w:color="auto"/>
              <w:bottom w:val="single" w:sz="4" w:space="0" w:color="auto"/>
              <w:right w:val="single" w:sz="4" w:space="0" w:color="auto"/>
            </w:tcBorders>
            <w:vAlign w:val="center"/>
            <w:hideMark/>
          </w:tcPr>
          <w:p w14:paraId="016C7286"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r>
      <w:tr w:rsidR="002D49B0" w:rsidRPr="00083739" w14:paraId="1F86B6AB" w14:textId="77777777">
        <w:trPr>
          <w:trHeight w:val="313"/>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0ED5C76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197</w:t>
            </w:r>
          </w:p>
          <w:p w14:paraId="3A4F50E6"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835" w:type="dxa"/>
            <w:tcBorders>
              <w:top w:val="single" w:sz="4" w:space="0" w:color="auto"/>
              <w:left w:val="nil"/>
              <w:bottom w:val="single" w:sz="4" w:space="0" w:color="auto"/>
              <w:right w:val="single" w:sz="4" w:space="0" w:color="auto"/>
            </w:tcBorders>
            <w:shd w:val="clear" w:color="auto" w:fill="C6EFCE"/>
            <w:noWrap/>
          </w:tcPr>
          <w:p w14:paraId="0FDF4DEA" w14:textId="3D027EC4"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12 – 4.1. Zabezpečiť, aby dane boli priaznivejšie pre rast</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zlepšiť daňovú správu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výber daní – 16863_Super – odpočet výdavkov na ekologické hospodárstvo, energetiku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digitálnu </w:t>
            </w:r>
            <w:r w:rsidRPr="00083739">
              <w:rPr>
                <w:rFonts w:ascii="Times New Roman" w:hAnsi="Times New Roman" w:cs="Times New Roman"/>
                <w:noProof/>
                <w:lang w:val="sk-SK"/>
              </w:rPr>
              <w:t>transformáciu</w:t>
            </w:r>
          </w:p>
        </w:tc>
        <w:tc>
          <w:tcPr>
            <w:tcW w:w="966" w:type="dxa"/>
            <w:tcBorders>
              <w:top w:val="single" w:sz="4" w:space="0" w:color="auto"/>
              <w:left w:val="nil"/>
              <w:bottom w:val="single" w:sz="4" w:space="0" w:color="auto"/>
              <w:right w:val="single" w:sz="4" w:space="0" w:color="auto"/>
            </w:tcBorders>
            <w:shd w:val="clear" w:color="auto" w:fill="C6EFCE"/>
            <w:noWrap/>
          </w:tcPr>
          <w:p w14:paraId="04BCD2F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176" w:type="dxa"/>
            <w:tcBorders>
              <w:top w:val="single" w:sz="4" w:space="0" w:color="auto"/>
              <w:left w:val="nil"/>
              <w:bottom w:val="single" w:sz="4" w:space="0" w:color="auto"/>
              <w:right w:val="single" w:sz="4" w:space="0" w:color="auto"/>
            </w:tcBorders>
            <w:shd w:val="clear" w:color="auto" w:fill="C6EFCE"/>
            <w:noWrap/>
          </w:tcPr>
          <w:p w14:paraId="5AF70A9A" w14:textId="7F404A5F"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Superodpočítanie pre zelené</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digitálne investície MSP</w:t>
            </w:r>
          </w:p>
        </w:tc>
        <w:tc>
          <w:tcPr>
            <w:tcW w:w="1984" w:type="dxa"/>
            <w:tcBorders>
              <w:top w:val="single" w:sz="4" w:space="0" w:color="auto"/>
              <w:left w:val="nil"/>
              <w:bottom w:val="single" w:sz="4" w:space="0" w:color="auto"/>
              <w:right w:val="single" w:sz="4" w:space="0" w:color="auto"/>
            </w:tcBorders>
            <w:shd w:val="clear" w:color="auto" w:fill="C6EFCE"/>
            <w:noWrap/>
          </w:tcPr>
          <w:p w14:paraId="525E95DA" w14:textId="180A7E4B"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primárnych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sekundárnych právnych predpisov týkajúcich sa superodpočtu pre zelené</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digitálne investície MSP</w:t>
            </w:r>
          </w:p>
        </w:tc>
        <w:tc>
          <w:tcPr>
            <w:tcW w:w="866" w:type="dxa"/>
            <w:tcBorders>
              <w:top w:val="single" w:sz="4" w:space="0" w:color="auto"/>
              <w:left w:val="nil"/>
              <w:bottom w:val="single" w:sz="4" w:space="0" w:color="auto"/>
              <w:right w:val="single" w:sz="4" w:space="0" w:color="auto"/>
            </w:tcBorders>
            <w:shd w:val="clear" w:color="auto" w:fill="C6EFCE"/>
            <w:noWrap/>
          </w:tcPr>
          <w:p w14:paraId="11A7B938"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single" w:sz="4" w:space="0" w:color="auto"/>
              <w:left w:val="nil"/>
              <w:bottom w:val="single" w:sz="4" w:space="0" w:color="auto"/>
              <w:right w:val="single" w:sz="4" w:space="0" w:color="auto"/>
            </w:tcBorders>
            <w:shd w:val="clear" w:color="auto" w:fill="C6EFCE"/>
            <w:noWrap/>
          </w:tcPr>
          <w:p w14:paraId="6A7957D5"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668" w:type="dxa"/>
            <w:tcBorders>
              <w:top w:val="single" w:sz="4" w:space="0" w:color="auto"/>
              <w:left w:val="nil"/>
              <w:bottom w:val="single" w:sz="4" w:space="0" w:color="auto"/>
              <w:right w:val="single" w:sz="4" w:space="0" w:color="auto"/>
            </w:tcBorders>
            <w:shd w:val="clear" w:color="auto" w:fill="C6EFCE"/>
            <w:noWrap/>
          </w:tcPr>
          <w:p w14:paraId="4C2B72F3"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3" w:type="dxa"/>
            <w:tcBorders>
              <w:top w:val="single" w:sz="4" w:space="0" w:color="auto"/>
              <w:left w:val="nil"/>
              <w:bottom w:val="single" w:sz="4" w:space="0" w:color="auto"/>
              <w:right w:val="single" w:sz="4" w:space="0" w:color="auto"/>
            </w:tcBorders>
            <w:shd w:val="clear" w:color="auto" w:fill="C6EFCE"/>
            <w:noWrap/>
          </w:tcPr>
          <w:p w14:paraId="39E5B5A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08" w:type="dxa"/>
            <w:tcBorders>
              <w:top w:val="single" w:sz="4" w:space="0" w:color="auto"/>
              <w:left w:val="nil"/>
              <w:bottom w:val="single" w:sz="4" w:space="0" w:color="auto"/>
              <w:right w:val="single" w:sz="4" w:space="0" w:color="auto"/>
            </w:tcBorders>
            <w:shd w:val="clear" w:color="auto" w:fill="C6EFCE"/>
            <w:noWrap/>
          </w:tcPr>
          <w:p w14:paraId="3C77D98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2021</w:t>
            </w:r>
          </w:p>
        </w:tc>
        <w:tc>
          <w:tcPr>
            <w:tcW w:w="4830" w:type="dxa"/>
            <w:tcBorders>
              <w:top w:val="single" w:sz="4" w:space="0" w:color="auto"/>
              <w:left w:val="nil"/>
              <w:bottom w:val="single" w:sz="4" w:space="0" w:color="auto"/>
              <w:right w:val="single" w:sz="4" w:space="0" w:color="auto"/>
            </w:tcBorders>
            <w:shd w:val="clear" w:color="auto" w:fill="C6EFCE"/>
            <w:noWrap/>
          </w:tcPr>
          <w:p w14:paraId="5CE02F62" w14:textId="0736C91B"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Nadobudnutie účinnosti </w:t>
            </w:r>
            <w:r w:rsidRPr="00083739">
              <w:rPr>
                <w:rFonts w:ascii="Times New Roman" w:hAnsi="Times New Roman" w:cs="Times New Roman"/>
                <w:noProof/>
                <w:lang w:val="sk-SK"/>
              </w:rPr>
              <w:t>primárnych právnych predpisov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sekundárnych právnych predpisov na zavedenie superodpočtu na daňové účely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prípade oprávnených výdavkov MSP na zelené hospodárstvo</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investície do digitalizácie </w:t>
            </w:r>
          </w:p>
        </w:tc>
      </w:tr>
      <w:tr w:rsidR="002D49B0" w:rsidRPr="00083739" w14:paraId="6A6E5D5C" w14:textId="77777777">
        <w:trPr>
          <w:trHeight w:val="313"/>
          <w:jc w:val="center"/>
        </w:trPr>
        <w:tc>
          <w:tcPr>
            <w:tcW w:w="1027" w:type="dxa"/>
            <w:tcBorders>
              <w:top w:val="nil"/>
              <w:left w:val="single" w:sz="4" w:space="0" w:color="auto"/>
              <w:bottom w:val="single" w:sz="4" w:space="0" w:color="auto"/>
              <w:right w:val="single" w:sz="4" w:space="0" w:color="auto"/>
            </w:tcBorders>
            <w:shd w:val="clear" w:color="auto" w:fill="C6EFCE"/>
            <w:noWrap/>
          </w:tcPr>
          <w:p w14:paraId="0E1A7F7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198</w:t>
            </w:r>
          </w:p>
        </w:tc>
        <w:tc>
          <w:tcPr>
            <w:tcW w:w="1835" w:type="dxa"/>
            <w:tcBorders>
              <w:top w:val="nil"/>
              <w:left w:val="nil"/>
              <w:bottom w:val="single" w:sz="4" w:space="0" w:color="auto"/>
              <w:right w:val="single" w:sz="4" w:space="0" w:color="auto"/>
            </w:tcBorders>
            <w:shd w:val="clear" w:color="auto" w:fill="C6EFCE"/>
            <w:noWrap/>
          </w:tcPr>
          <w:p w14:paraId="29989455" w14:textId="23C23D74"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12 – 4.1. Zabezpečiť, aby dane boli priaznivejšie pre </w:t>
            </w:r>
            <w:r w:rsidRPr="00083739">
              <w:rPr>
                <w:rFonts w:ascii="Times New Roman" w:hAnsi="Times New Roman" w:cs="Times New Roman"/>
                <w:noProof/>
                <w:lang w:val="sk-SK"/>
              </w:rPr>
              <w:t>rast</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zlepšiť daňovú správu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výber daní – 16616_Prijatie opatrení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stimulov na zvýšenie počtu elektronických transakcií</w:t>
            </w:r>
          </w:p>
        </w:tc>
        <w:tc>
          <w:tcPr>
            <w:tcW w:w="966" w:type="dxa"/>
            <w:tcBorders>
              <w:top w:val="nil"/>
              <w:left w:val="nil"/>
              <w:bottom w:val="single" w:sz="4" w:space="0" w:color="auto"/>
              <w:right w:val="single" w:sz="4" w:space="0" w:color="auto"/>
            </w:tcBorders>
            <w:shd w:val="clear" w:color="auto" w:fill="C6EFCE"/>
            <w:noWrap/>
          </w:tcPr>
          <w:p w14:paraId="5D7F38C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176" w:type="dxa"/>
            <w:tcBorders>
              <w:top w:val="nil"/>
              <w:left w:val="nil"/>
              <w:bottom w:val="single" w:sz="4" w:space="0" w:color="auto"/>
              <w:right w:val="single" w:sz="4" w:space="0" w:color="auto"/>
            </w:tcBorders>
            <w:shd w:val="clear" w:color="auto" w:fill="C6EFCE"/>
            <w:noWrap/>
          </w:tcPr>
          <w:p w14:paraId="74B1F11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Právne predpisy na podporu elektronických transakcií</w:t>
            </w:r>
          </w:p>
        </w:tc>
        <w:tc>
          <w:tcPr>
            <w:tcW w:w="1984" w:type="dxa"/>
            <w:tcBorders>
              <w:top w:val="nil"/>
              <w:left w:val="nil"/>
              <w:bottom w:val="single" w:sz="4" w:space="0" w:color="auto"/>
              <w:right w:val="single" w:sz="4" w:space="0" w:color="auto"/>
            </w:tcBorders>
            <w:shd w:val="clear" w:color="auto" w:fill="C6EFCE"/>
            <w:noWrap/>
          </w:tcPr>
          <w:p w14:paraId="697B3EDF" w14:textId="6E7DCE3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primárnych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sekundárnych právnych predpisov posky</w:t>
            </w:r>
            <w:r w:rsidRPr="00083739">
              <w:rPr>
                <w:rFonts w:ascii="Times New Roman" w:hAnsi="Times New Roman" w:cs="Times New Roman"/>
                <w:noProof/>
                <w:lang w:val="sk-SK"/>
              </w:rPr>
              <w:t xml:space="preserve">tujúcich stimuly na zlepšenie elektronických transakcií </w:t>
            </w:r>
          </w:p>
        </w:tc>
        <w:tc>
          <w:tcPr>
            <w:tcW w:w="866" w:type="dxa"/>
            <w:tcBorders>
              <w:top w:val="nil"/>
              <w:left w:val="nil"/>
              <w:bottom w:val="single" w:sz="4" w:space="0" w:color="auto"/>
              <w:right w:val="single" w:sz="4" w:space="0" w:color="auto"/>
            </w:tcBorders>
            <w:shd w:val="clear" w:color="auto" w:fill="C6EFCE"/>
            <w:noWrap/>
          </w:tcPr>
          <w:p w14:paraId="3827D557"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nil"/>
              <w:left w:val="nil"/>
              <w:bottom w:val="single" w:sz="4" w:space="0" w:color="auto"/>
              <w:right w:val="single" w:sz="4" w:space="0" w:color="auto"/>
            </w:tcBorders>
            <w:shd w:val="clear" w:color="auto" w:fill="C6EFCE"/>
            <w:noWrap/>
          </w:tcPr>
          <w:p w14:paraId="6B304CC2"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668" w:type="dxa"/>
            <w:tcBorders>
              <w:top w:val="nil"/>
              <w:left w:val="nil"/>
              <w:bottom w:val="single" w:sz="4" w:space="0" w:color="auto"/>
              <w:right w:val="single" w:sz="4" w:space="0" w:color="auto"/>
            </w:tcBorders>
            <w:shd w:val="clear" w:color="auto" w:fill="C6EFCE"/>
            <w:noWrap/>
          </w:tcPr>
          <w:p w14:paraId="36FDACBB"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3" w:type="dxa"/>
            <w:tcBorders>
              <w:top w:val="nil"/>
              <w:left w:val="nil"/>
              <w:bottom w:val="single" w:sz="4" w:space="0" w:color="auto"/>
              <w:right w:val="single" w:sz="4" w:space="0" w:color="auto"/>
            </w:tcBorders>
            <w:shd w:val="clear" w:color="auto" w:fill="C6EFCE"/>
            <w:noWrap/>
          </w:tcPr>
          <w:p w14:paraId="3CD85E5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08" w:type="dxa"/>
            <w:tcBorders>
              <w:top w:val="nil"/>
              <w:left w:val="nil"/>
              <w:bottom w:val="single" w:sz="4" w:space="0" w:color="auto"/>
              <w:right w:val="single" w:sz="4" w:space="0" w:color="auto"/>
            </w:tcBorders>
            <w:shd w:val="clear" w:color="auto" w:fill="C6EFCE"/>
            <w:noWrap/>
          </w:tcPr>
          <w:p w14:paraId="53A7483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2021</w:t>
            </w:r>
          </w:p>
        </w:tc>
        <w:tc>
          <w:tcPr>
            <w:tcW w:w="4830" w:type="dxa"/>
            <w:tcBorders>
              <w:top w:val="nil"/>
              <w:left w:val="nil"/>
              <w:bottom w:val="single" w:sz="4" w:space="0" w:color="auto"/>
              <w:right w:val="single" w:sz="4" w:space="0" w:color="auto"/>
            </w:tcBorders>
            <w:shd w:val="clear" w:color="auto" w:fill="C6EFCE"/>
            <w:noWrap/>
          </w:tcPr>
          <w:p w14:paraId="5389D99E" w14:textId="066A7A7B"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zmeny primárneho</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sekundárneho právneho rámca, ktorým sa stanovujú osobitné stimuly na zlepšenie elektronických transakcií </w:t>
            </w:r>
          </w:p>
        </w:tc>
      </w:tr>
      <w:tr w:rsidR="002D49B0" w:rsidRPr="00083739" w14:paraId="14ED6130" w14:textId="77777777">
        <w:trPr>
          <w:trHeight w:val="313"/>
          <w:jc w:val="center"/>
        </w:trPr>
        <w:tc>
          <w:tcPr>
            <w:tcW w:w="1027" w:type="dxa"/>
            <w:tcBorders>
              <w:top w:val="nil"/>
              <w:left w:val="single" w:sz="4" w:space="0" w:color="auto"/>
              <w:bottom w:val="single" w:sz="4" w:space="0" w:color="auto"/>
              <w:right w:val="single" w:sz="4" w:space="0" w:color="auto"/>
            </w:tcBorders>
            <w:shd w:val="clear" w:color="auto" w:fill="C6EFCE"/>
            <w:noWrap/>
          </w:tcPr>
          <w:p w14:paraId="27007FE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199</w:t>
            </w:r>
          </w:p>
        </w:tc>
        <w:tc>
          <w:tcPr>
            <w:tcW w:w="1835" w:type="dxa"/>
            <w:tcBorders>
              <w:top w:val="nil"/>
              <w:left w:val="nil"/>
              <w:bottom w:val="single" w:sz="4" w:space="0" w:color="auto"/>
              <w:right w:val="single" w:sz="4" w:space="0" w:color="auto"/>
            </w:tcBorders>
            <w:shd w:val="clear" w:color="auto" w:fill="C6EFCE"/>
            <w:noWrap/>
          </w:tcPr>
          <w:p w14:paraId="59373621" w14:textId="1B25BE62"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12 – 4.1. Zabezpečiť, </w:t>
            </w:r>
            <w:r w:rsidRPr="00083739">
              <w:rPr>
                <w:rFonts w:ascii="Times New Roman" w:hAnsi="Times New Roman" w:cs="Times New Roman"/>
                <w:noProof/>
                <w:lang w:val="sk-SK"/>
              </w:rPr>
              <w:t>aby dane boli priaznivejšie pre rast</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zlepšiť daňovú správu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výber daní – 16643_Kodifikácia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zjednodušenie daňových právnych predpisov</w:t>
            </w:r>
          </w:p>
        </w:tc>
        <w:tc>
          <w:tcPr>
            <w:tcW w:w="966" w:type="dxa"/>
            <w:tcBorders>
              <w:top w:val="nil"/>
              <w:left w:val="nil"/>
              <w:bottom w:val="single" w:sz="4" w:space="0" w:color="auto"/>
              <w:right w:val="single" w:sz="4" w:space="0" w:color="auto"/>
            </w:tcBorders>
            <w:shd w:val="clear" w:color="auto" w:fill="C6EFCE"/>
            <w:noWrap/>
          </w:tcPr>
          <w:p w14:paraId="362463D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176" w:type="dxa"/>
            <w:tcBorders>
              <w:top w:val="nil"/>
              <w:left w:val="nil"/>
              <w:bottom w:val="single" w:sz="4" w:space="0" w:color="auto"/>
              <w:right w:val="single" w:sz="4" w:space="0" w:color="auto"/>
            </w:tcBorders>
            <w:shd w:val="clear" w:color="auto" w:fill="C6EFCE"/>
            <w:noWrap/>
          </w:tcPr>
          <w:p w14:paraId="2D16C60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Zoznam pre kodifikáciu daní</w:t>
            </w:r>
          </w:p>
        </w:tc>
        <w:tc>
          <w:tcPr>
            <w:tcW w:w="1984" w:type="dxa"/>
            <w:tcBorders>
              <w:top w:val="nil"/>
              <w:left w:val="nil"/>
              <w:bottom w:val="single" w:sz="4" w:space="0" w:color="auto"/>
              <w:right w:val="single" w:sz="4" w:space="0" w:color="auto"/>
            </w:tcBorders>
            <w:shd w:val="clear" w:color="auto" w:fill="C6EFCE"/>
            <w:noWrap/>
          </w:tcPr>
          <w:p w14:paraId="5DB81113" w14:textId="76AAFE45"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Uverejnenie sekundárnych právnych predpisov so zriadením výborov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harmonogramom </w:t>
            </w:r>
            <w:r w:rsidRPr="00083739">
              <w:rPr>
                <w:rFonts w:ascii="Times New Roman" w:hAnsi="Times New Roman" w:cs="Times New Roman"/>
                <w:noProof/>
                <w:lang w:val="sk-SK"/>
              </w:rPr>
              <w:t>daňovej kodifikácie.</w:t>
            </w:r>
          </w:p>
          <w:p w14:paraId="7973DC84"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66" w:type="dxa"/>
            <w:tcBorders>
              <w:top w:val="nil"/>
              <w:left w:val="nil"/>
              <w:bottom w:val="single" w:sz="4" w:space="0" w:color="auto"/>
              <w:right w:val="single" w:sz="4" w:space="0" w:color="auto"/>
            </w:tcBorders>
            <w:shd w:val="clear" w:color="auto" w:fill="C6EFCE"/>
            <w:noWrap/>
          </w:tcPr>
          <w:p w14:paraId="6CDFB341"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nil"/>
              <w:left w:val="nil"/>
              <w:bottom w:val="single" w:sz="4" w:space="0" w:color="auto"/>
              <w:right w:val="single" w:sz="4" w:space="0" w:color="auto"/>
            </w:tcBorders>
            <w:shd w:val="clear" w:color="auto" w:fill="C6EFCE"/>
            <w:noWrap/>
          </w:tcPr>
          <w:p w14:paraId="5CECB5D4"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668" w:type="dxa"/>
            <w:tcBorders>
              <w:top w:val="nil"/>
              <w:left w:val="nil"/>
              <w:bottom w:val="single" w:sz="4" w:space="0" w:color="auto"/>
              <w:right w:val="single" w:sz="4" w:space="0" w:color="auto"/>
            </w:tcBorders>
            <w:shd w:val="clear" w:color="auto" w:fill="C6EFCE"/>
            <w:noWrap/>
          </w:tcPr>
          <w:p w14:paraId="0008718B"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3" w:type="dxa"/>
            <w:tcBorders>
              <w:top w:val="nil"/>
              <w:left w:val="nil"/>
              <w:bottom w:val="single" w:sz="4" w:space="0" w:color="auto"/>
              <w:right w:val="single" w:sz="4" w:space="0" w:color="auto"/>
            </w:tcBorders>
            <w:shd w:val="clear" w:color="auto" w:fill="C6EFCE"/>
            <w:noWrap/>
          </w:tcPr>
          <w:p w14:paraId="5EF887B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TRETÍ ŠTVRŤROK</w:t>
            </w:r>
          </w:p>
        </w:tc>
        <w:tc>
          <w:tcPr>
            <w:tcW w:w="708" w:type="dxa"/>
            <w:tcBorders>
              <w:top w:val="nil"/>
              <w:left w:val="nil"/>
              <w:bottom w:val="single" w:sz="4" w:space="0" w:color="auto"/>
              <w:right w:val="single" w:sz="4" w:space="0" w:color="auto"/>
            </w:tcBorders>
            <w:shd w:val="clear" w:color="auto" w:fill="C6EFCE"/>
            <w:noWrap/>
          </w:tcPr>
          <w:p w14:paraId="7F7B1D0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2021</w:t>
            </w:r>
          </w:p>
        </w:tc>
        <w:tc>
          <w:tcPr>
            <w:tcW w:w="4830" w:type="dxa"/>
            <w:tcBorders>
              <w:top w:val="nil"/>
              <w:left w:val="nil"/>
              <w:bottom w:val="single" w:sz="4" w:space="0" w:color="auto"/>
              <w:right w:val="single" w:sz="4" w:space="0" w:color="auto"/>
            </w:tcBorders>
            <w:shd w:val="clear" w:color="auto" w:fill="C6EFCE"/>
            <w:noWrap/>
          </w:tcPr>
          <w:p w14:paraId="3115305E" w14:textId="463AC066"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Komplexný harmonogram plnenia</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daňovej kodifikácie vrátane zriadenia príslušných výborov, podrobného harmonogramu ministerstva financií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IAPR pre kodifikáciu daňových právnych predpisov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konzultačné opatrenia. </w:t>
            </w:r>
          </w:p>
        </w:tc>
      </w:tr>
      <w:tr w:rsidR="002D49B0" w:rsidRPr="00083739" w14:paraId="2DC6F0FB" w14:textId="77777777">
        <w:trPr>
          <w:trHeight w:val="313"/>
          <w:jc w:val="center"/>
        </w:trPr>
        <w:tc>
          <w:tcPr>
            <w:tcW w:w="1027" w:type="dxa"/>
            <w:tcBorders>
              <w:top w:val="nil"/>
              <w:left w:val="single" w:sz="4" w:space="0" w:color="auto"/>
              <w:bottom w:val="single" w:sz="4" w:space="0" w:color="auto"/>
              <w:right w:val="single" w:sz="4" w:space="0" w:color="auto"/>
            </w:tcBorders>
            <w:shd w:val="clear" w:color="auto" w:fill="C6EFCE"/>
            <w:noWrap/>
          </w:tcPr>
          <w:p w14:paraId="71B63C8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200</w:t>
            </w:r>
          </w:p>
        </w:tc>
        <w:tc>
          <w:tcPr>
            <w:tcW w:w="1835" w:type="dxa"/>
            <w:tcBorders>
              <w:top w:val="nil"/>
              <w:left w:val="nil"/>
              <w:bottom w:val="single" w:sz="4" w:space="0" w:color="auto"/>
              <w:right w:val="single" w:sz="4" w:space="0" w:color="auto"/>
            </w:tcBorders>
            <w:shd w:val="clear" w:color="auto" w:fill="C6EFCE"/>
            <w:noWrap/>
          </w:tcPr>
          <w:p w14:paraId="773C51C4" w14:textId="14C9204E"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18 – 4.7. Zlepšenie konkurencieschopnosti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podpora súkromných investícií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obchodu – 16598_Režim stimulov pre produktivitu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vylúčenie podnikov (zvýšenie veľkosti podnikov)</w:t>
            </w:r>
          </w:p>
        </w:tc>
        <w:tc>
          <w:tcPr>
            <w:tcW w:w="966" w:type="dxa"/>
            <w:tcBorders>
              <w:top w:val="nil"/>
              <w:left w:val="nil"/>
              <w:bottom w:val="single" w:sz="4" w:space="0" w:color="auto"/>
              <w:right w:val="single" w:sz="4" w:space="0" w:color="auto"/>
            </w:tcBorders>
            <w:shd w:val="clear" w:color="auto" w:fill="C6EFCE"/>
            <w:noWrap/>
          </w:tcPr>
          <w:p w14:paraId="6019C6D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176" w:type="dxa"/>
            <w:tcBorders>
              <w:top w:val="nil"/>
              <w:left w:val="nil"/>
              <w:bottom w:val="single" w:sz="4" w:space="0" w:color="auto"/>
              <w:right w:val="single" w:sz="4" w:space="0" w:color="auto"/>
            </w:tcBorders>
            <w:shd w:val="clear" w:color="auto" w:fill="C6EFCE"/>
            <w:noWrap/>
          </w:tcPr>
          <w:p w14:paraId="57EECD1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Návrh právneho predpisu na podporu extroverzie</w:t>
            </w:r>
            <w:r w:rsidRPr="00083739">
              <w:rPr>
                <w:rFonts w:ascii="Times New Roman" w:hAnsi="Times New Roman" w:cs="Times New Roman"/>
                <w:noProof/>
                <w:lang w:val="sk-SK"/>
              </w:rPr>
              <w:t xml:space="preserve"> podnikov</w:t>
            </w:r>
          </w:p>
        </w:tc>
        <w:tc>
          <w:tcPr>
            <w:tcW w:w="1984" w:type="dxa"/>
            <w:tcBorders>
              <w:top w:val="nil"/>
              <w:left w:val="nil"/>
              <w:bottom w:val="single" w:sz="4" w:space="0" w:color="auto"/>
              <w:right w:val="single" w:sz="4" w:space="0" w:color="auto"/>
            </w:tcBorders>
            <w:shd w:val="clear" w:color="auto" w:fill="C6EFCE"/>
            <w:noWrap/>
          </w:tcPr>
          <w:p w14:paraId="7F3F167D" w14:textId="4132A980"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Návrhy primárnych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sekundárnych právnych predpisov na podporu extroverzie podnikov. </w:t>
            </w:r>
          </w:p>
        </w:tc>
        <w:tc>
          <w:tcPr>
            <w:tcW w:w="866" w:type="dxa"/>
            <w:tcBorders>
              <w:top w:val="nil"/>
              <w:left w:val="nil"/>
              <w:bottom w:val="single" w:sz="4" w:space="0" w:color="auto"/>
              <w:right w:val="single" w:sz="4" w:space="0" w:color="auto"/>
            </w:tcBorders>
            <w:shd w:val="clear" w:color="auto" w:fill="C6EFCE"/>
            <w:noWrap/>
          </w:tcPr>
          <w:p w14:paraId="324EB485"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nil"/>
              <w:left w:val="nil"/>
              <w:bottom w:val="single" w:sz="4" w:space="0" w:color="auto"/>
              <w:right w:val="single" w:sz="4" w:space="0" w:color="auto"/>
            </w:tcBorders>
            <w:shd w:val="clear" w:color="auto" w:fill="C6EFCE"/>
            <w:noWrap/>
          </w:tcPr>
          <w:p w14:paraId="10701694"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668" w:type="dxa"/>
            <w:tcBorders>
              <w:top w:val="nil"/>
              <w:left w:val="nil"/>
              <w:bottom w:val="single" w:sz="4" w:space="0" w:color="auto"/>
              <w:right w:val="single" w:sz="4" w:space="0" w:color="auto"/>
            </w:tcBorders>
            <w:shd w:val="clear" w:color="auto" w:fill="C6EFCE"/>
            <w:noWrap/>
          </w:tcPr>
          <w:p w14:paraId="371EF173"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3" w:type="dxa"/>
            <w:tcBorders>
              <w:top w:val="nil"/>
              <w:left w:val="nil"/>
              <w:bottom w:val="single" w:sz="4" w:space="0" w:color="auto"/>
              <w:right w:val="single" w:sz="4" w:space="0" w:color="auto"/>
            </w:tcBorders>
            <w:shd w:val="clear" w:color="auto" w:fill="C6EFCE"/>
            <w:noWrap/>
          </w:tcPr>
          <w:p w14:paraId="39219FC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TRETÍ ŠTVRŤROK</w:t>
            </w:r>
          </w:p>
        </w:tc>
        <w:tc>
          <w:tcPr>
            <w:tcW w:w="708" w:type="dxa"/>
            <w:tcBorders>
              <w:top w:val="nil"/>
              <w:left w:val="nil"/>
              <w:bottom w:val="single" w:sz="4" w:space="0" w:color="auto"/>
              <w:right w:val="single" w:sz="4" w:space="0" w:color="auto"/>
            </w:tcBorders>
            <w:shd w:val="clear" w:color="auto" w:fill="C6EFCE"/>
            <w:noWrap/>
          </w:tcPr>
          <w:p w14:paraId="59FB1DF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2021</w:t>
            </w:r>
          </w:p>
        </w:tc>
        <w:tc>
          <w:tcPr>
            <w:tcW w:w="4830" w:type="dxa"/>
            <w:tcBorders>
              <w:top w:val="nil"/>
              <w:left w:val="nil"/>
              <w:bottom w:val="single" w:sz="4" w:space="0" w:color="auto"/>
              <w:right w:val="single" w:sz="4" w:space="0" w:color="auto"/>
            </w:tcBorders>
            <w:shd w:val="clear" w:color="auto" w:fill="C6EFCE"/>
            <w:noWrap/>
          </w:tcPr>
          <w:p w14:paraId="11BA2916" w14:textId="043E6C1F"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Návrhy na konzultačné účely primárnych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sekundárnych právnych predpisov, ktorými sa zabezpečuje zlepšenie právneho rámca</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daní,</w:t>
            </w:r>
            <w:r w:rsidRPr="00083739">
              <w:rPr>
                <w:rFonts w:ascii="Times New Roman" w:hAnsi="Times New Roman" w:cs="Times New Roman"/>
                <w:noProof/>
                <w:lang w:val="sk-SK"/>
              </w:rPr>
              <w:t xml:space="preserve"> financií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licencií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stimuly pre fúzie, konverzie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akvizície</w:t>
            </w:r>
          </w:p>
        </w:tc>
      </w:tr>
      <w:tr w:rsidR="002D49B0" w:rsidRPr="00083739" w14:paraId="21B03AF7" w14:textId="77777777">
        <w:trPr>
          <w:trHeight w:val="313"/>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4417ABA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201</w:t>
            </w:r>
          </w:p>
        </w:tc>
        <w:tc>
          <w:tcPr>
            <w:tcW w:w="1835" w:type="dxa"/>
            <w:tcBorders>
              <w:top w:val="single" w:sz="4" w:space="0" w:color="auto"/>
              <w:left w:val="nil"/>
              <w:bottom w:val="single" w:sz="4" w:space="0" w:color="auto"/>
              <w:right w:val="single" w:sz="4" w:space="0" w:color="auto"/>
            </w:tcBorders>
            <w:shd w:val="clear" w:color="auto" w:fill="C6EFCE"/>
            <w:noWrap/>
          </w:tcPr>
          <w:p w14:paraId="5B219AD5" w14:textId="657763F8"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18 – 4.7. Zlepšenie konkurencieschopnosti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podpora súkromných investícií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obchodu – 16598_Režim stimulov pre produktivitu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vylúčenie podnikov (zvýšenie veľkosti podnikov)</w:t>
            </w:r>
          </w:p>
        </w:tc>
        <w:tc>
          <w:tcPr>
            <w:tcW w:w="966" w:type="dxa"/>
            <w:tcBorders>
              <w:top w:val="single" w:sz="4" w:space="0" w:color="auto"/>
              <w:left w:val="nil"/>
              <w:bottom w:val="single" w:sz="4" w:space="0" w:color="auto"/>
              <w:right w:val="single" w:sz="4" w:space="0" w:color="auto"/>
            </w:tcBorders>
            <w:shd w:val="clear" w:color="auto" w:fill="C6EFCE"/>
            <w:noWrap/>
          </w:tcPr>
          <w:p w14:paraId="333DC3C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176" w:type="dxa"/>
            <w:tcBorders>
              <w:top w:val="single" w:sz="4" w:space="0" w:color="auto"/>
              <w:left w:val="nil"/>
              <w:bottom w:val="single" w:sz="4" w:space="0" w:color="auto"/>
              <w:right w:val="single" w:sz="4" w:space="0" w:color="auto"/>
            </w:tcBorders>
            <w:shd w:val="clear" w:color="auto" w:fill="C6EFCE"/>
            <w:noWrap/>
          </w:tcPr>
          <w:p w14:paraId="638D9B4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Právne</w:t>
            </w:r>
            <w:r w:rsidRPr="00083739">
              <w:rPr>
                <w:rFonts w:ascii="Times New Roman" w:hAnsi="Times New Roman" w:cs="Times New Roman"/>
                <w:noProof/>
                <w:lang w:val="sk-SK"/>
              </w:rPr>
              <w:t xml:space="preserve"> predpisy na podporu extroverzie podnikov</w:t>
            </w:r>
          </w:p>
        </w:tc>
        <w:tc>
          <w:tcPr>
            <w:tcW w:w="1984" w:type="dxa"/>
            <w:tcBorders>
              <w:top w:val="single" w:sz="4" w:space="0" w:color="auto"/>
              <w:left w:val="nil"/>
              <w:bottom w:val="single" w:sz="4" w:space="0" w:color="auto"/>
              <w:right w:val="single" w:sz="4" w:space="0" w:color="auto"/>
            </w:tcBorders>
            <w:shd w:val="clear" w:color="auto" w:fill="C6EFCE"/>
            <w:noWrap/>
          </w:tcPr>
          <w:p w14:paraId="4A8B3D7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právnych predpisov na podporu extroverzie podnikov</w:t>
            </w:r>
          </w:p>
        </w:tc>
        <w:tc>
          <w:tcPr>
            <w:tcW w:w="866" w:type="dxa"/>
            <w:tcBorders>
              <w:top w:val="single" w:sz="4" w:space="0" w:color="auto"/>
              <w:left w:val="nil"/>
              <w:bottom w:val="single" w:sz="4" w:space="0" w:color="auto"/>
              <w:right w:val="single" w:sz="4" w:space="0" w:color="auto"/>
            </w:tcBorders>
            <w:shd w:val="clear" w:color="auto" w:fill="C6EFCE"/>
            <w:noWrap/>
          </w:tcPr>
          <w:p w14:paraId="5AC231C2"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single" w:sz="4" w:space="0" w:color="auto"/>
              <w:left w:val="nil"/>
              <w:bottom w:val="single" w:sz="4" w:space="0" w:color="auto"/>
              <w:right w:val="single" w:sz="4" w:space="0" w:color="auto"/>
            </w:tcBorders>
            <w:shd w:val="clear" w:color="auto" w:fill="C6EFCE"/>
            <w:noWrap/>
          </w:tcPr>
          <w:p w14:paraId="66FBC168"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668" w:type="dxa"/>
            <w:tcBorders>
              <w:top w:val="single" w:sz="4" w:space="0" w:color="auto"/>
              <w:left w:val="nil"/>
              <w:bottom w:val="single" w:sz="4" w:space="0" w:color="auto"/>
              <w:right w:val="single" w:sz="4" w:space="0" w:color="auto"/>
            </w:tcBorders>
            <w:shd w:val="clear" w:color="auto" w:fill="C6EFCE"/>
            <w:noWrap/>
          </w:tcPr>
          <w:p w14:paraId="63379C21"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3" w:type="dxa"/>
            <w:tcBorders>
              <w:top w:val="single" w:sz="4" w:space="0" w:color="auto"/>
              <w:left w:val="nil"/>
              <w:bottom w:val="single" w:sz="4" w:space="0" w:color="auto"/>
              <w:right w:val="single" w:sz="4" w:space="0" w:color="auto"/>
            </w:tcBorders>
            <w:shd w:val="clear" w:color="auto" w:fill="C6EFCE"/>
            <w:noWrap/>
          </w:tcPr>
          <w:p w14:paraId="676D86A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PRVÝ ŠTVRŤROK</w:t>
            </w:r>
          </w:p>
        </w:tc>
        <w:tc>
          <w:tcPr>
            <w:tcW w:w="708" w:type="dxa"/>
            <w:tcBorders>
              <w:top w:val="single" w:sz="4" w:space="0" w:color="auto"/>
              <w:left w:val="nil"/>
              <w:bottom w:val="single" w:sz="4" w:space="0" w:color="auto"/>
              <w:right w:val="single" w:sz="4" w:space="0" w:color="auto"/>
            </w:tcBorders>
            <w:shd w:val="clear" w:color="auto" w:fill="C6EFCE"/>
            <w:noWrap/>
          </w:tcPr>
          <w:p w14:paraId="6FD3F81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2022</w:t>
            </w:r>
          </w:p>
        </w:tc>
        <w:tc>
          <w:tcPr>
            <w:tcW w:w="4830" w:type="dxa"/>
            <w:tcBorders>
              <w:top w:val="single" w:sz="4" w:space="0" w:color="auto"/>
              <w:left w:val="nil"/>
              <w:bottom w:val="single" w:sz="4" w:space="0" w:color="auto"/>
              <w:right w:val="single" w:sz="4" w:space="0" w:color="auto"/>
            </w:tcBorders>
            <w:shd w:val="clear" w:color="auto" w:fill="C6EFCE"/>
            <w:noWrap/>
          </w:tcPr>
          <w:p w14:paraId="31E10CAE" w14:textId="186C3295"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relatívnych zmien, ktorými sa poskytujú zlepšenia</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právnom rámci</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daní, financií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licencií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stimuly pre fúzie, konverzie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akvizície</w:t>
            </w:r>
          </w:p>
        </w:tc>
      </w:tr>
      <w:tr w:rsidR="002D49B0" w:rsidRPr="00083739" w14:paraId="7A13112D" w14:textId="77777777">
        <w:trPr>
          <w:trHeight w:val="313"/>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00D2E1B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w:t>
            </w:r>
          </w:p>
        </w:tc>
        <w:tc>
          <w:tcPr>
            <w:tcW w:w="1835" w:type="dxa"/>
            <w:tcBorders>
              <w:top w:val="single" w:sz="4" w:space="0" w:color="auto"/>
              <w:left w:val="nil"/>
              <w:bottom w:val="single" w:sz="4" w:space="0" w:color="auto"/>
              <w:right w:val="single" w:sz="4" w:space="0" w:color="auto"/>
            </w:tcBorders>
            <w:shd w:val="clear" w:color="auto" w:fill="C6EFCE"/>
            <w:noWrap/>
          </w:tcPr>
          <w:p w14:paraId="3529BDA3" w14:textId="7A2D0614"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 4.1. Zabezpečiť, aby dane boli priaznivejšie pre rast</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zlepšiť daňovú správu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výber daní – 16643_Kodifikácia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zjednodušenie daňových právnych predpisov</w:t>
            </w:r>
          </w:p>
        </w:tc>
        <w:tc>
          <w:tcPr>
            <w:tcW w:w="966" w:type="dxa"/>
            <w:tcBorders>
              <w:top w:val="single" w:sz="4" w:space="0" w:color="auto"/>
              <w:left w:val="nil"/>
              <w:bottom w:val="single" w:sz="4" w:space="0" w:color="auto"/>
              <w:right w:val="single" w:sz="4" w:space="0" w:color="auto"/>
            </w:tcBorders>
            <w:shd w:val="clear" w:color="auto" w:fill="C6EFCE"/>
            <w:noWrap/>
          </w:tcPr>
          <w:p w14:paraId="1D5CEAB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176" w:type="dxa"/>
            <w:tcBorders>
              <w:top w:val="single" w:sz="4" w:space="0" w:color="auto"/>
              <w:left w:val="nil"/>
              <w:bottom w:val="single" w:sz="4" w:space="0" w:color="auto"/>
              <w:right w:val="single" w:sz="4" w:space="0" w:color="auto"/>
            </w:tcBorders>
            <w:shd w:val="clear" w:color="auto" w:fill="C6EFCE"/>
            <w:noWrap/>
          </w:tcPr>
          <w:p w14:paraId="10A60F7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Zvýšenie kapacity pre daňovú </w:t>
            </w:r>
            <w:r w:rsidRPr="00083739">
              <w:rPr>
                <w:rFonts w:ascii="Times New Roman" w:hAnsi="Times New Roman" w:cs="Times New Roman"/>
                <w:noProof/>
                <w:lang w:val="sk-SK"/>
              </w:rPr>
              <w:t>kodifikáciu</w:t>
            </w:r>
          </w:p>
        </w:tc>
        <w:tc>
          <w:tcPr>
            <w:tcW w:w="1984" w:type="dxa"/>
            <w:tcBorders>
              <w:top w:val="single" w:sz="4" w:space="0" w:color="auto"/>
              <w:left w:val="nil"/>
              <w:bottom w:val="single" w:sz="4" w:space="0" w:color="auto"/>
              <w:right w:val="single" w:sz="4" w:space="0" w:color="auto"/>
            </w:tcBorders>
            <w:shd w:val="clear" w:color="auto" w:fill="C6EFCE"/>
            <w:noWrap/>
          </w:tcPr>
          <w:p w14:paraId="4DAB3BC7" w14:textId="736533CA"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Uverejnenie sekundárnych právnych predpisov pre zriadenie oddelenia pre daňovú kodifikáciu na Riaditeľstve ministerstva financií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poskytovania služieb</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IAPR.</w:t>
            </w:r>
          </w:p>
        </w:tc>
        <w:tc>
          <w:tcPr>
            <w:tcW w:w="866" w:type="dxa"/>
            <w:tcBorders>
              <w:top w:val="single" w:sz="4" w:space="0" w:color="auto"/>
              <w:left w:val="nil"/>
              <w:bottom w:val="single" w:sz="4" w:space="0" w:color="auto"/>
              <w:right w:val="single" w:sz="4" w:space="0" w:color="auto"/>
            </w:tcBorders>
            <w:shd w:val="clear" w:color="auto" w:fill="C6EFCE"/>
            <w:noWrap/>
          </w:tcPr>
          <w:p w14:paraId="3D211BB2"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single" w:sz="4" w:space="0" w:color="auto"/>
              <w:left w:val="nil"/>
              <w:bottom w:val="single" w:sz="4" w:space="0" w:color="auto"/>
              <w:right w:val="single" w:sz="4" w:space="0" w:color="auto"/>
            </w:tcBorders>
            <w:shd w:val="clear" w:color="auto" w:fill="C6EFCE"/>
            <w:noWrap/>
          </w:tcPr>
          <w:p w14:paraId="3A304817"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668" w:type="dxa"/>
            <w:tcBorders>
              <w:top w:val="single" w:sz="4" w:space="0" w:color="auto"/>
              <w:left w:val="nil"/>
              <w:bottom w:val="single" w:sz="4" w:space="0" w:color="auto"/>
              <w:right w:val="single" w:sz="4" w:space="0" w:color="auto"/>
            </w:tcBorders>
            <w:shd w:val="clear" w:color="auto" w:fill="C6EFCE"/>
            <w:noWrap/>
          </w:tcPr>
          <w:p w14:paraId="694A7EAF"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3" w:type="dxa"/>
            <w:tcBorders>
              <w:top w:val="single" w:sz="4" w:space="0" w:color="auto"/>
              <w:left w:val="nil"/>
              <w:bottom w:val="single" w:sz="4" w:space="0" w:color="auto"/>
              <w:right w:val="single" w:sz="4" w:space="0" w:color="auto"/>
            </w:tcBorders>
            <w:shd w:val="clear" w:color="auto" w:fill="C6EFCE"/>
            <w:noWrap/>
          </w:tcPr>
          <w:p w14:paraId="69EAE1B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708" w:type="dxa"/>
            <w:tcBorders>
              <w:top w:val="single" w:sz="4" w:space="0" w:color="auto"/>
              <w:left w:val="nil"/>
              <w:bottom w:val="single" w:sz="4" w:space="0" w:color="auto"/>
              <w:right w:val="single" w:sz="4" w:space="0" w:color="auto"/>
            </w:tcBorders>
            <w:shd w:val="clear" w:color="auto" w:fill="C6EFCE"/>
            <w:noWrap/>
          </w:tcPr>
          <w:p w14:paraId="72E29AD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2022</w:t>
            </w:r>
          </w:p>
        </w:tc>
        <w:tc>
          <w:tcPr>
            <w:tcW w:w="4830" w:type="dxa"/>
            <w:tcBorders>
              <w:top w:val="single" w:sz="4" w:space="0" w:color="auto"/>
              <w:left w:val="nil"/>
              <w:bottom w:val="single" w:sz="4" w:space="0" w:color="auto"/>
              <w:right w:val="single" w:sz="4" w:space="0" w:color="auto"/>
            </w:tcBorders>
            <w:shd w:val="clear" w:color="auto" w:fill="C6EFCE"/>
            <w:noWrap/>
          </w:tcPr>
          <w:p w14:paraId="7A5A6CF6" w14:textId="172A1CF0"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Zriadenie osobitnej daňovej jednotky na ministerstve financií</w:t>
            </w:r>
            <w:r w:rsidRPr="00083739">
              <w:rPr>
                <w:rFonts w:ascii="Times New Roman" w:hAnsi="Times New Roman" w:cs="Times New Roman"/>
                <w:noProof/>
                <w:lang w:val="sk-SK"/>
              </w:rPr>
              <w:t xml:space="preserve"> zodpovednej za konsolidáciu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konzistentnosť právnych predpisov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primárnej dane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ministerských rozhodnutí. Zriadenie riaditeľstva IAPR pre poskytovanie služieb, ktoré je okrem iného zodpovedné za konsolidáciu sekundárnych právnych predpisov, koo</w:t>
            </w:r>
            <w:r w:rsidRPr="00083739">
              <w:rPr>
                <w:rFonts w:ascii="Times New Roman" w:hAnsi="Times New Roman" w:cs="Times New Roman"/>
                <w:noProof/>
                <w:lang w:val="sk-SK"/>
              </w:rPr>
              <w:t>rdináciu právomocí IAPR týkajúcich sa daňového poriadku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aktualizáciu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vedenie verejnej daňovej databázy</w:t>
            </w:r>
          </w:p>
        </w:tc>
      </w:tr>
      <w:tr w:rsidR="002D49B0" w:rsidRPr="00083739" w14:paraId="57E7743A" w14:textId="77777777">
        <w:trPr>
          <w:trHeight w:val="313"/>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4886D64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203</w:t>
            </w:r>
          </w:p>
        </w:tc>
        <w:tc>
          <w:tcPr>
            <w:tcW w:w="1835" w:type="dxa"/>
            <w:tcBorders>
              <w:top w:val="single" w:sz="4" w:space="0" w:color="auto"/>
              <w:left w:val="nil"/>
              <w:bottom w:val="single" w:sz="4" w:space="0" w:color="auto"/>
              <w:right w:val="single" w:sz="4" w:space="0" w:color="auto"/>
            </w:tcBorders>
            <w:shd w:val="clear" w:color="auto" w:fill="C6EFCE"/>
            <w:noWrap/>
          </w:tcPr>
          <w:p w14:paraId="77D6F6B2" w14:textId="3E8DCB4B"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12 – 4.1. Zabezpečiť, aby dane boli priaznivejšie pre rast</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zlepšiť daňovú správu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výber daní – 16643_Kodifikácia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zjednodušenie daňových </w:t>
            </w:r>
            <w:r w:rsidRPr="00083739">
              <w:rPr>
                <w:rFonts w:ascii="Times New Roman" w:hAnsi="Times New Roman" w:cs="Times New Roman"/>
                <w:noProof/>
                <w:lang w:val="sk-SK"/>
              </w:rPr>
              <w:t>právnych predpisov</w:t>
            </w:r>
          </w:p>
        </w:tc>
        <w:tc>
          <w:tcPr>
            <w:tcW w:w="966" w:type="dxa"/>
            <w:tcBorders>
              <w:top w:val="single" w:sz="4" w:space="0" w:color="auto"/>
              <w:left w:val="nil"/>
              <w:bottom w:val="single" w:sz="4" w:space="0" w:color="auto"/>
              <w:right w:val="single" w:sz="4" w:space="0" w:color="auto"/>
            </w:tcBorders>
            <w:shd w:val="clear" w:color="auto" w:fill="C6EFCE"/>
            <w:noWrap/>
          </w:tcPr>
          <w:p w14:paraId="0CC2FE8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176" w:type="dxa"/>
            <w:tcBorders>
              <w:top w:val="single" w:sz="4" w:space="0" w:color="auto"/>
              <w:left w:val="nil"/>
              <w:bottom w:val="single" w:sz="4" w:space="0" w:color="auto"/>
              <w:right w:val="single" w:sz="4" w:space="0" w:color="auto"/>
            </w:tcBorders>
            <w:shd w:val="clear" w:color="auto" w:fill="C6EFCE"/>
            <w:noWrap/>
          </w:tcPr>
          <w:p w14:paraId="2FAA6DCF" w14:textId="48C6CC25"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Úprava dane</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príjmu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daňových poriadkov</w:t>
            </w:r>
          </w:p>
        </w:tc>
        <w:tc>
          <w:tcPr>
            <w:tcW w:w="1984" w:type="dxa"/>
            <w:tcBorders>
              <w:top w:val="single" w:sz="4" w:space="0" w:color="auto"/>
              <w:left w:val="nil"/>
              <w:bottom w:val="single" w:sz="4" w:space="0" w:color="auto"/>
              <w:right w:val="single" w:sz="4" w:space="0" w:color="auto"/>
            </w:tcBorders>
            <w:shd w:val="clear" w:color="auto" w:fill="C6EFCE"/>
            <w:noWrap/>
          </w:tcPr>
          <w:p w14:paraId="38437AF6" w14:textId="2249AC26"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kodifikovaných právnych predpisov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primárnej</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sekundárnej dane pre zákonník</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dani</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príjmov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zákon</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správe daní</w:t>
            </w:r>
          </w:p>
        </w:tc>
        <w:tc>
          <w:tcPr>
            <w:tcW w:w="866" w:type="dxa"/>
            <w:tcBorders>
              <w:top w:val="single" w:sz="4" w:space="0" w:color="auto"/>
              <w:left w:val="nil"/>
              <w:bottom w:val="single" w:sz="4" w:space="0" w:color="auto"/>
              <w:right w:val="single" w:sz="4" w:space="0" w:color="auto"/>
            </w:tcBorders>
            <w:shd w:val="clear" w:color="auto" w:fill="C6EFCE"/>
            <w:noWrap/>
          </w:tcPr>
          <w:p w14:paraId="0FD10444"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single" w:sz="4" w:space="0" w:color="auto"/>
              <w:left w:val="nil"/>
              <w:bottom w:val="single" w:sz="4" w:space="0" w:color="auto"/>
              <w:right w:val="single" w:sz="4" w:space="0" w:color="auto"/>
            </w:tcBorders>
            <w:shd w:val="clear" w:color="auto" w:fill="C6EFCE"/>
            <w:noWrap/>
          </w:tcPr>
          <w:p w14:paraId="609D5076"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668" w:type="dxa"/>
            <w:tcBorders>
              <w:top w:val="single" w:sz="4" w:space="0" w:color="auto"/>
              <w:left w:val="nil"/>
              <w:bottom w:val="single" w:sz="4" w:space="0" w:color="auto"/>
              <w:right w:val="single" w:sz="4" w:space="0" w:color="auto"/>
            </w:tcBorders>
            <w:shd w:val="clear" w:color="auto" w:fill="C6EFCE"/>
            <w:noWrap/>
          </w:tcPr>
          <w:p w14:paraId="0E249BB5"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3" w:type="dxa"/>
            <w:tcBorders>
              <w:top w:val="single" w:sz="4" w:space="0" w:color="auto"/>
              <w:left w:val="nil"/>
              <w:bottom w:val="single" w:sz="4" w:space="0" w:color="auto"/>
              <w:right w:val="single" w:sz="4" w:space="0" w:color="auto"/>
            </w:tcBorders>
            <w:shd w:val="clear" w:color="auto" w:fill="C6EFCE"/>
            <w:noWrap/>
          </w:tcPr>
          <w:p w14:paraId="2D76244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708" w:type="dxa"/>
            <w:tcBorders>
              <w:top w:val="single" w:sz="4" w:space="0" w:color="auto"/>
              <w:left w:val="nil"/>
              <w:bottom w:val="single" w:sz="4" w:space="0" w:color="auto"/>
              <w:right w:val="single" w:sz="4" w:space="0" w:color="auto"/>
            </w:tcBorders>
            <w:shd w:val="clear" w:color="auto" w:fill="C6EFCE"/>
            <w:noWrap/>
          </w:tcPr>
          <w:p w14:paraId="28599F9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2023</w:t>
            </w:r>
          </w:p>
        </w:tc>
        <w:tc>
          <w:tcPr>
            <w:tcW w:w="4830" w:type="dxa"/>
            <w:tcBorders>
              <w:top w:val="single" w:sz="4" w:space="0" w:color="auto"/>
              <w:left w:val="nil"/>
              <w:bottom w:val="single" w:sz="4" w:space="0" w:color="auto"/>
              <w:right w:val="single" w:sz="4" w:space="0" w:color="auto"/>
            </w:tcBorders>
            <w:shd w:val="clear" w:color="auto" w:fill="C6EFCE"/>
            <w:noWrap/>
          </w:tcPr>
          <w:p w14:paraId="114D2740" w14:textId="67F3FB72"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Nadobudnutie </w:t>
            </w:r>
            <w:r w:rsidRPr="00083739">
              <w:rPr>
                <w:rFonts w:ascii="Times New Roman" w:hAnsi="Times New Roman" w:cs="Times New Roman"/>
                <w:noProof/>
                <w:lang w:val="sk-SK"/>
              </w:rPr>
              <w:t>účinnosti kodifikovaného zákonníka</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dani</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príjmov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kódexu daňovej správy (primárne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sekundárne právne predpisy)</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cieľom zjednodušiť</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aktualizovať právne predpisy vzhľadom na digitalizáciu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najlepšie postupy EÚ</w:t>
            </w:r>
          </w:p>
        </w:tc>
      </w:tr>
      <w:tr w:rsidR="002D49B0" w:rsidRPr="00083739" w14:paraId="159BDF17" w14:textId="77777777">
        <w:trPr>
          <w:trHeight w:val="313"/>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6562B4D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204</w:t>
            </w:r>
          </w:p>
        </w:tc>
        <w:tc>
          <w:tcPr>
            <w:tcW w:w="1835" w:type="dxa"/>
            <w:tcBorders>
              <w:top w:val="single" w:sz="4" w:space="0" w:color="auto"/>
              <w:left w:val="nil"/>
              <w:bottom w:val="single" w:sz="4" w:space="0" w:color="auto"/>
              <w:right w:val="single" w:sz="4" w:space="0" w:color="auto"/>
            </w:tcBorders>
            <w:shd w:val="clear" w:color="auto" w:fill="C6EFCE"/>
            <w:noWrap/>
          </w:tcPr>
          <w:p w14:paraId="16C0081A" w14:textId="63A6968F"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12 – 4.1. Zabezpečiť, aby dane </w:t>
            </w:r>
            <w:r w:rsidRPr="00083739">
              <w:rPr>
                <w:rFonts w:ascii="Times New Roman" w:hAnsi="Times New Roman" w:cs="Times New Roman"/>
                <w:noProof/>
                <w:lang w:val="sk-SK"/>
              </w:rPr>
              <w:t>boli priaznivejšie pre rast</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zlepšiť daňovú správu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výber daní – 16643_Kodifikácia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zjednodušenie daňových právnych predpisov</w:t>
            </w:r>
          </w:p>
        </w:tc>
        <w:tc>
          <w:tcPr>
            <w:tcW w:w="966" w:type="dxa"/>
            <w:tcBorders>
              <w:top w:val="single" w:sz="4" w:space="0" w:color="auto"/>
              <w:left w:val="nil"/>
              <w:bottom w:val="single" w:sz="4" w:space="0" w:color="auto"/>
              <w:right w:val="single" w:sz="4" w:space="0" w:color="auto"/>
            </w:tcBorders>
            <w:shd w:val="clear" w:color="auto" w:fill="C6EFCE"/>
            <w:noWrap/>
          </w:tcPr>
          <w:p w14:paraId="6003942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176" w:type="dxa"/>
            <w:tcBorders>
              <w:top w:val="single" w:sz="4" w:space="0" w:color="auto"/>
              <w:left w:val="nil"/>
              <w:bottom w:val="single" w:sz="4" w:space="0" w:color="auto"/>
              <w:right w:val="single" w:sz="4" w:space="0" w:color="auto"/>
            </w:tcBorders>
            <w:shd w:val="clear" w:color="auto" w:fill="C6EFCE"/>
            <w:noWrap/>
          </w:tcPr>
          <w:p w14:paraId="04586E2C" w14:textId="319E88F6"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počiatočnej daňovej kodifikácie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informačného systému pre daňovníkov</w:t>
            </w:r>
          </w:p>
        </w:tc>
        <w:tc>
          <w:tcPr>
            <w:tcW w:w="1984" w:type="dxa"/>
            <w:tcBorders>
              <w:top w:val="single" w:sz="4" w:space="0" w:color="auto"/>
              <w:left w:val="nil"/>
              <w:bottom w:val="single" w:sz="4" w:space="0" w:color="auto"/>
              <w:right w:val="single" w:sz="4" w:space="0" w:color="auto"/>
            </w:tcBorders>
            <w:shd w:val="clear" w:color="auto" w:fill="C6EFCE"/>
            <w:noWrap/>
          </w:tcPr>
          <w:p w14:paraId="4F875012" w14:textId="53B0B720"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a</w:t>
            </w:r>
            <w:r w:rsidRPr="00083739">
              <w:rPr>
                <w:rFonts w:ascii="Times New Roman" w:hAnsi="Times New Roman" w:cs="Times New Roman"/>
                <w:i/>
                <w:noProof/>
                <w:lang w:val="sk-SK"/>
              </w:rPr>
              <w:t>:</w:t>
            </w:r>
            <w:r w:rsidRPr="00083739">
              <w:rPr>
                <w:rFonts w:ascii="Times New Roman" w:hAnsi="Times New Roman" w:cs="Times New Roman"/>
                <w:noProof/>
                <w:lang w:val="sk-SK"/>
              </w:rPr>
              <w:t xml:space="preserve"> Nadobudnutie účinnosti kodifikovaných právnych predpisov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primárnej</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sekundárnej dane</w:t>
            </w:r>
          </w:p>
          <w:p w14:paraId="1517A453"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p w14:paraId="0E58CA73" w14:textId="467594AB"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b: Dôkazy</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prijatí výsledkov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súvislosti so zriadením systému správy obsahu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špecializovaná webová stránka</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informáciami</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daňovníkoch.</w:t>
            </w:r>
          </w:p>
        </w:tc>
        <w:tc>
          <w:tcPr>
            <w:tcW w:w="866" w:type="dxa"/>
            <w:tcBorders>
              <w:top w:val="single" w:sz="4" w:space="0" w:color="auto"/>
              <w:left w:val="nil"/>
              <w:bottom w:val="single" w:sz="4" w:space="0" w:color="auto"/>
              <w:right w:val="single" w:sz="4" w:space="0" w:color="auto"/>
            </w:tcBorders>
            <w:shd w:val="clear" w:color="auto" w:fill="C6EFCE"/>
            <w:noWrap/>
          </w:tcPr>
          <w:p w14:paraId="7F5B46FC"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single" w:sz="4" w:space="0" w:color="auto"/>
              <w:left w:val="nil"/>
              <w:bottom w:val="single" w:sz="4" w:space="0" w:color="auto"/>
              <w:right w:val="single" w:sz="4" w:space="0" w:color="auto"/>
            </w:tcBorders>
            <w:shd w:val="clear" w:color="auto" w:fill="C6EFCE"/>
            <w:noWrap/>
          </w:tcPr>
          <w:p w14:paraId="6BBF2E00"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668" w:type="dxa"/>
            <w:tcBorders>
              <w:top w:val="single" w:sz="4" w:space="0" w:color="auto"/>
              <w:left w:val="nil"/>
              <w:bottom w:val="single" w:sz="4" w:space="0" w:color="auto"/>
              <w:right w:val="single" w:sz="4" w:space="0" w:color="auto"/>
            </w:tcBorders>
            <w:shd w:val="clear" w:color="auto" w:fill="C6EFCE"/>
            <w:noWrap/>
          </w:tcPr>
          <w:p w14:paraId="2054AAF7"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3" w:type="dxa"/>
            <w:tcBorders>
              <w:top w:val="single" w:sz="4" w:space="0" w:color="auto"/>
              <w:left w:val="nil"/>
              <w:bottom w:val="single" w:sz="4" w:space="0" w:color="auto"/>
              <w:right w:val="single" w:sz="4" w:space="0" w:color="auto"/>
            </w:tcBorders>
            <w:shd w:val="clear" w:color="auto" w:fill="C6EFCE"/>
            <w:noWrap/>
          </w:tcPr>
          <w:p w14:paraId="6B2F8E0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708" w:type="dxa"/>
            <w:tcBorders>
              <w:top w:val="single" w:sz="4" w:space="0" w:color="auto"/>
              <w:left w:val="nil"/>
              <w:bottom w:val="single" w:sz="4" w:space="0" w:color="auto"/>
              <w:right w:val="single" w:sz="4" w:space="0" w:color="auto"/>
            </w:tcBorders>
            <w:shd w:val="clear" w:color="auto" w:fill="C6EFCE"/>
            <w:noWrap/>
          </w:tcPr>
          <w:p w14:paraId="1A68D3F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2024</w:t>
            </w:r>
          </w:p>
        </w:tc>
        <w:tc>
          <w:tcPr>
            <w:tcW w:w="4830" w:type="dxa"/>
            <w:tcBorders>
              <w:top w:val="single" w:sz="4" w:space="0" w:color="auto"/>
              <w:left w:val="nil"/>
              <w:bottom w:val="single" w:sz="4" w:space="0" w:color="auto"/>
              <w:right w:val="single" w:sz="4" w:space="0" w:color="auto"/>
            </w:tcBorders>
            <w:shd w:val="clear" w:color="auto" w:fill="C6EFCE"/>
            <w:noWrap/>
          </w:tcPr>
          <w:p w14:paraId="4298D617" w14:textId="021FCE54"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a.Nadobudnutie účinnosti kodifikácie primárnych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sekundárnych právnych predpisov</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cieľom zjednodušiť</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aktualizovať právne predpisy vzhľadom na digitalizáciu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najlepšie postupy EÚ vrátane:</w:t>
            </w:r>
          </w:p>
          <w:p w14:paraId="7C5A1A00" w14:textId="77777777" w:rsidR="002D49B0" w:rsidRPr="00083739" w:rsidRDefault="00BF4125">
            <w:pPr>
              <w:pStyle w:val="P68B1DB1-Normal9"/>
              <w:numPr>
                <w:ilvl w:val="0"/>
                <w:numId w:val="45"/>
              </w:numPr>
              <w:spacing w:before="120" w:after="0" w:line="259" w:lineRule="auto"/>
              <w:contextualSpacing/>
              <w:jc w:val="both"/>
              <w:rPr>
                <w:rFonts w:ascii="Times New Roman" w:eastAsia="Times New Roman" w:hAnsi="Times New Roman" w:cs="Times New Roman"/>
                <w:noProof/>
                <w:szCs w:val="18"/>
                <w:lang w:val="sk-SK"/>
              </w:rPr>
            </w:pPr>
            <w:r w:rsidRPr="00083739">
              <w:rPr>
                <w:rFonts w:ascii="Times New Roman" w:hAnsi="Times New Roman" w:cs="Times New Roman"/>
                <w:noProof/>
                <w:lang w:val="sk-SK"/>
              </w:rPr>
              <w:t>Kód DPH</w:t>
            </w:r>
          </w:p>
          <w:p w14:paraId="27A4768D" w14:textId="77777777" w:rsidR="002D49B0" w:rsidRPr="00083739" w:rsidRDefault="00BF4125">
            <w:pPr>
              <w:pStyle w:val="P68B1DB1-Normal9"/>
              <w:numPr>
                <w:ilvl w:val="0"/>
                <w:numId w:val="45"/>
              </w:numPr>
              <w:spacing w:before="120" w:after="0" w:line="259" w:lineRule="auto"/>
              <w:contextualSpacing/>
              <w:jc w:val="both"/>
              <w:rPr>
                <w:rFonts w:ascii="Times New Roman" w:eastAsia="Times New Roman" w:hAnsi="Times New Roman" w:cs="Times New Roman"/>
                <w:noProof/>
                <w:szCs w:val="18"/>
                <w:lang w:val="sk-SK"/>
              </w:rPr>
            </w:pPr>
            <w:r w:rsidRPr="00083739">
              <w:rPr>
                <w:rFonts w:ascii="Times New Roman" w:hAnsi="Times New Roman" w:cs="Times New Roman"/>
                <w:noProof/>
                <w:lang w:val="sk-SK"/>
              </w:rPr>
              <w:t>Kolková daň</w:t>
            </w:r>
          </w:p>
          <w:p w14:paraId="6B64BF22" w14:textId="03AE5206" w:rsidR="002D49B0" w:rsidRPr="00083739" w:rsidRDefault="00BF4125">
            <w:pPr>
              <w:pStyle w:val="P68B1DB1-Normal9"/>
              <w:numPr>
                <w:ilvl w:val="0"/>
                <w:numId w:val="45"/>
              </w:numPr>
              <w:spacing w:before="120" w:after="0" w:line="259" w:lineRule="auto"/>
              <w:contextualSpacing/>
              <w:jc w:val="both"/>
              <w:rPr>
                <w:rFonts w:ascii="Times New Roman" w:eastAsia="Times New Roman" w:hAnsi="Times New Roman" w:cs="Times New Roman"/>
                <w:noProof/>
                <w:szCs w:val="18"/>
                <w:lang w:val="sk-SK"/>
              </w:rPr>
            </w:pPr>
            <w:r w:rsidRPr="00083739">
              <w:rPr>
                <w:rFonts w:ascii="Times New Roman" w:hAnsi="Times New Roman" w:cs="Times New Roman"/>
                <w:noProof/>
                <w:lang w:val="sk-SK"/>
              </w:rPr>
              <w:t>Dane</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nehnuteľností</w:t>
            </w:r>
          </w:p>
          <w:p w14:paraId="1305793C" w14:textId="77777777" w:rsidR="002D49B0" w:rsidRPr="00083739" w:rsidRDefault="00BF4125">
            <w:pPr>
              <w:pStyle w:val="P68B1DB1-Normal9"/>
              <w:numPr>
                <w:ilvl w:val="0"/>
                <w:numId w:val="45"/>
              </w:numPr>
              <w:spacing w:before="120" w:after="0" w:line="259" w:lineRule="auto"/>
              <w:contextualSpacing/>
              <w:jc w:val="both"/>
              <w:rPr>
                <w:rFonts w:ascii="Times New Roman" w:eastAsia="Times New Roman" w:hAnsi="Times New Roman" w:cs="Times New Roman"/>
                <w:noProof/>
                <w:szCs w:val="18"/>
                <w:lang w:val="sk-SK"/>
              </w:rPr>
            </w:pPr>
            <w:r w:rsidRPr="00083739">
              <w:rPr>
                <w:rFonts w:ascii="Times New Roman" w:hAnsi="Times New Roman" w:cs="Times New Roman"/>
                <w:noProof/>
                <w:lang w:val="sk-SK"/>
              </w:rPr>
              <w:t>Vymáhanie štátneho</w:t>
            </w:r>
            <w:r w:rsidRPr="00083739">
              <w:rPr>
                <w:rFonts w:ascii="Times New Roman" w:hAnsi="Times New Roman" w:cs="Times New Roman"/>
                <w:noProof/>
                <w:lang w:val="sk-SK"/>
              </w:rPr>
              <w:t xml:space="preserve"> dlhu (KEDE)</w:t>
            </w:r>
          </w:p>
          <w:p w14:paraId="5408AC44" w14:textId="77777777" w:rsidR="002D49B0" w:rsidRPr="00083739" w:rsidRDefault="00BF4125">
            <w:pPr>
              <w:pStyle w:val="P68B1DB1-Normal9"/>
              <w:numPr>
                <w:ilvl w:val="0"/>
                <w:numId w:val="45"/>
              </w:numPr>
              <w:spacing w:before="120" w:after="0" w:line="259" w:lineRule="auto"/>
              <w:contextualSpacing/>
              <w:jc w:val="both"/>
              <w:rPr>
                <w:rFonts w:ascii="Times New Roman" w:eastAsia="Times New Roman" w:hAnsi="Times New Roman" w:cs="Times New Roman"/>
                <w:noProof/>
                <w:szCs w:val="18"/>
                <w:lang w:val="sk-SK"/>
              </w:rPr>
            </w:pPr>
            <w:r w:rsidRPr="00083739">
              <w:rPr>
                <w:rFonts w:ascii="Times New Roman" w:hAnsi="Times New Roman" w:cs="Times New Roman"/>
                <w:noProof/>
                <w:lang w:val="sk-SK"/>
              </w:rPr>
              <w:t>Vnútroštátny colný kódex</w:t>
            </w:r>
          </w:p>
          <w:p w14:paraId="6BC592C1" w14:textId="0D9775D2"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vytvorenie systému riadenia obsahu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špecializovaného webového sídla pre informácie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daňovníkoch.</w:t>
            </w:r>
          </w:p>
        </w:tc>
      </w:tr>
      <w:tr w:rsidR="002D49B0" w:rsidRPr="00083739" w14:paraId="6480D293" w14:textId="77777777">
        <w:trPr>
          <w:trHeight w:val="313"/>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690FEF08" w14:textId="14FB8F32"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204a</w:t>
            </w:r>
          </w:p>
        </w:tc>
        <w:tc>
          <w:tcPr>
            <w:tcW w:w="1835" w:type="dxa"/>
            <w:tcBorders>
              <w:top w:val="single" w:sz="4" w:space="0" w:color="auto"/>
              <w:left w:val="nil"/>
              <w:bottom w:val="single" w:sz="4" w:space="0" w:color="auto"/>
              <w:right w:val="single" w:sz="4" w:space="0" w:color="auto"/>
            </w:tcBorders>
            <w:shd w:val="clear" w:color="auto" w:fill="C6EFCE"/>
            <w:noWrap/>
          </w:tcPr>
          <w:p w14:paraId="2351F7CD" w14:textId="78757398"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12 – 4.1. Zabezpečiť, aby dane boli priaznivejšie pre rast</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zlepšiť daňovú správu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výber daní – </w:t>
            </w:r>
            <w:r w:rsidRPr="00083739">
              <w:rPr>
                <w:rFonts w:ascii="Times New Roman" w:hAnsi="Times New Roman" w:cs="Times New Roman"/>
                <w:noProof/>
                <w:lang w:val="sk-SK"/>
              </w:rPr>
              <w:t>16643_Kodifikácia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zjednodušenie daňových právnych predpisov</w:t>
            </w:r>
          </w:p>
        </w:tc>
        <w:tc>
          <w:tcPr>
            <w:tcW w:w="966" w:type="dxa"/>
            <w:tcBorders>
              <w:top w:val="single" w:sz="4" w:space="0" w:color="auto"/>
              <w:left w:val="nil"/>
              <w:bottom w:val="single" w:sz="4" w:space="0" w:color="auto"/>
              <w:right w:val="single" w:sz="4" w:space="0" w:color="auto"/>
            </w:tcBorders>
            <w:shd w:val="clear" w:color="auto" w:fill="C6EFCE"/>
            <w:noWrap/>
          </w:tcPr>
          <w:p w14:paraId="1A9C2A8C" w14:textId="0FF7DADC"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Míľnik</w:t>
            </w:r>
          </w:p>
        </w:tc>
        <w:tc>
          <w:tcPr>
            <w:tcW w:w="1176" w:type="dxa"/>
            <w:tcBorders>
              <w:top w:val="single" w:sz="4" w:space="0" w:color="auto"/>
              <w:left w:val="nil"/>
              <w:bottom w:val="single" w:sz="4" w:space="0" w:color="auto"/>
              <w:right w:val="single" w:sz="4" w:space="0" w:color="auto"/>
            </w:tcBorders>
            <w:shd w:val="clear" w:color="auto" w:fill="C6EFCE"/>
            <w:noWrap/>
          </w:tcPr>
          <w:p w14:paraId="741903BD" w14:textId="5CD2833B"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Dokončenie informačného systému daňovníka</w:t>
            </w:r>
          </w:p>
        </w:tc>
        <w:tc>
          <w:tcPr>
            <w:tcW w:w="1984" w:type="dxa"/>
            <w:tcBorders>
              <w:top w:val="single" w:sz="4" w:space="0" w:color="auto"/>
              <w:left w:val="nil"/>
              <w:bottom w:val="single" w:sz="4" w:space="0" w:color="auto"/>
              <w:right w:val="single" w:sz="4" w:space="0" w:color="auto"/>
            </w:tcBorders>
            <w:shd w:val="clear" w:color="auto" w:fill="C6EFCE"/>
            <w:noWrap/>
          </w:tcPr>
          <w:p w14:paraId="7EB1636A" w14:textId="417CE481"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a. Uverejnenie sekundárnych právnych predpisov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komplexnej príručky</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odkazmi na systém správy obsahu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webové sídlo daňovníkov na používanie os</w:t>
            </w:r>
            <w:r w:rsidRPr="00083739">
              <w:rPr>
                <w:rFonts w:ascii="Times New Roman" w:hAnsi="Times New Roman" w:cs="Times New Roman"/>
                <w:noProof/>
                <w:lang w:val="sk-SK"/>
              </w:rPr>
              <w:t>obitnej webovej stránky od daňovníkov.</w:t>
            </w:r>
          </w:p>
        </w:tc>
        <w:tc>
          <w:tcPr>
            <w:tcW w:w="866" w:type="dxa"/>
            <w:tcBorders>
              <w:top w:val="single" w:sz="4" w:space="0" w:color="auto"/>
              <w:left w:val="nil"/>
              <w:bottom w:val="single" w:sz="4" w:space="0" w:color="auto"/>
              <w:right w:val="single" w:sz="4" w:space="0" w:color="auto"/>
            </w:tcBorders>
            <w:shd w:val="clear" w:color="auto" w:fill="C6EFCE"/>
            <w:noWrap/>
          </w:tcPr>
          <w:p w14:paraId="763FE027"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single" w:sz="4" w:space="0" w:color="auto"/>
              <w:left w:val="nil"/>
              <w:bottom w:val="single" w:sz="4" w:space="0" w:color="auto"/>
              <w:right w:val="single" w:sz="4" w:space="0" w:color="auto"/>
            </w:tcBorders>
            <w:shd w:val="clear" w:color="auto" w:fill="C6EFCE"/>
            <w:noWrap/>
          </w:tcPr>
          <w:p w14:paraId="0B8721BF"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668" w:type="dxa"/>
            <w:tcBorders>
              <w:top w:val="single" w:sz="4" w:space="0" w:color="auto"/>
              <w:left w:val="nil"/>
              <w:bottom w:val="single" w:sz="4" w:space="0" w:color="auto"/>
              <w:right w:val="single" w:sz="4" w:space="0" w:color="auto"/>
            </w:tcBorders>
            <w:shd w:val="clear" w:color="auto" w:fill="C6EFCE"/>
            <w:noWrap/>
          </w:tcPr>
          <w:p w14:paraId="5A264D50"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3" w:type="dxa"/>
            <w:tcBorders>
              <w:top w:val="single" w:sz="4" w:space="0" w:color="auto"/>
              <w:left w:val="nil"/>
              <w:bottom w:val="single" w:sz="4" w:space="0" w:color="auto"/>
              <w:right w:val="single" w:sz="4" w:space="0" w:color="auto"/>
            </w:tcBorders>
            <w:shd w:val="clear" w:color="auto" w:fill="C6EFCE"/>
            <w:noWrap/>
          </w:tcPr>
          <w:p w14:paraId="0A70E75C" w14:textId="756BA1FE"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ŠTVRTÝ ŠTVRŤROK</w:t>
            </w:r>
          </w:p>
        </w:tc>
        <w:tc>
          <w:tcPr>
            <w:tcW w:w="708" w:type="dxa"/>
            <w:tcBorders>
              <w:top w:val="single" w:sz="4" w:space="0" w:color="auto"/>
              <w:left w:val="nil"/>
              <w:bottom w:val="single" w:sz="4" w:space="0" w:color="auto"/>
              <w:right w:val="single" w:sz="4" w:space="0" w:color="auto"/>
            </w:tcBorders>
            <w:shd w:val="clear" w:color="auto" w:fill="C6EFCE"/>
            <w:noWrap/>
          </w:tcPr>
          <w:p w14:paraId="28685A1D" w14:textId="696C0A38"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2025</w:t>
            </w:r>
          </w:p>
        </w:tc>
        <w:tc>
          <w:tcPr>
            <w:tcW w:w="4830" w:type="dxa"/>
            <w:tcBorders>
              <w:top w:val="single" w:sz="4" w:space="0" w:color="auto"/>
              <w:left w:val="nil"/>
              <w:bottom w:val="single" w:sz="4" w:space="0" w:color="auto"/>
              <w:right w:val="single" w:sz="4" w:space="0" w:color="auto"/>
            </w:tcBorders>
            <w:shd w:val="clear" w:color="auto" w:fill="C6EFCE"/>
            <w:noWrap/>
          </w:tcPr>
          <w:p w14:paraId="4655CC06" w14:textId="435D085F" w:rsidR="002D49B0" w:rsidRPr="00083739" w:rsidRDefault="00BF4125">
            <w:pPr>
              <w:pStyle w:val="P68B1DB1-Normal9"/>
              <w:spacing w:after="0" w:line="240" w:lineRule="auto"/>
              <w:rPr>
                <w:rFonts w:ascii="Times New Roman" w:hAnsi="Times New Roman" w:cs="Times New Roman"/>
                <w:noProof/>
                <w:szCs w:val="18"/>
                <w:lang w:val="sk-SK"/>
              </w:rPr>
            </w:pPr>
            <w:r w:rsidRPr="00083739">
              <w:rPr>
                <w:rFonts w:ascii="Times New Roman" w:hAnsi="Times New Roman" w:cs="Times New Roman"/>
                <w:noProof/>
                <w:lang w:val="sk-SK"/>
              </w:rPr>
              <w:t>Nahrávanie právnych predpisov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primárnej</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sekundárnej dane do daňového poriadku, zákona</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dani</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príjmov, zákona</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DPH, kolkovej dane, dane</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 xml:space="preserve">nehnuteľností, výberu štátneho dlhu </w:t>
            </w:r>
            <w:r w:rsidRPr="00083739">
              <w:rPr>
                <w:rFonts w:ascii="Times New Roman" w:hAnsi="Times New Roman" w:cs="Times New Roman"/>
                <w:noProof/>
                <w:lang w:val="sk-SK"/>
              </w:rPr>
              <w:t>(KEDE)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vnútroštátneho colného kódexu do systému správy obsahu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jeho uverejnenie na osobitnom webovom sídle pre informácie daňovníka. Vytvorí sa komplexná príručka</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odkazmi na systém správy obsahu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webové sídlo daňovníkov, aby daňovníci mohli používať </w:t>
            </w:r>
            <w:r w:rsidRPr="00083739">
              <w:rPr>
                <w:rFonts w:ascii="Times New Roman" w:hAnsi="Times New Roman" w:cs="Times New Roman"/>
                <w:noProof/>
                <w:lang w:val="sk-SK"/>
              </w:rPr>
              <w:t>osobitné webové sídlo.</w:t>
            </w:r>
          </w:p>
        </w:tc>
      </w:tr>
      <w:tr w:rsidR="002D49B0" w:rsidRPr="00083739" w14:paraId="7DF38A18" w14:textId="77777777">
        <w:trPr>
          <w:trHeight w:val="313"/>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17CA3B4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337</w:t>
            </w:r>
          </w:p>
        </w:tc>
        <w:tc>
          <w:tcPr>
            <w:tcW w:w="1835" w:type="dxa"/>
            <w:tcBorders>
              <w:top w:val="single" w:sz="4" w:space="0" w:color="auto"/>
              <w:left w:val="nil"/>
              <w:bottom w:val="single" w:sz="4" w:space="0" w:color="auto"/>
              <w:right w:val="single" w:sz="4" w:space="0" w:color="auto"/>
            </w:tcBorders>
            <w:shd w:val="clear" w:color="auto" w:fill="C6EFCE"/>
            <w:noWrap/>
          </w:tcPr>
          <w:p w14:paraId="4450653D" w14:textId="5B1AFF52"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12 – 4.1. Zabezpečiť, aby boli dane priaznivejšie pre rast</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zlepšiť daňovú správu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výber daní – 16985_Úprava rámca daňovej politiky Grécka</w:t>
            </w:r>
          </w:p>
        </w:tc>
        <w:tc>
          <w:tcPr>
            <w:tcW w:w="966" w:type="dxa"/>
            <w:tcBorders>
              <w:top w:val="single" w:sz="4" w:space="0" w:color="auto"/>
              <w:left w:val="nil"/>
              <w:bottom w:val="single" w:sz="4" w:space="0" w:color="auto"/>
              <w:right w:val="single" w:sz="4" w:space="0" w:color="auto"/>
            </w:tcBorders>
            <w:shd w:val="clear" w:color="auto" w:fill="C6EFCE"/>
            <w:noWrap/>
          </w:tcPr>
          <w:p w14:paraId="5B489E3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176" w:type="dxa"/>
            <w:tcBorders>
              <w:top w:val="single" w:sz="4" w:space="0" w:color="auto"/>
              <w:left w:val="nil"/>
              <w:bottom w:val="single" w:sz="4" w:space="0" w:color="auto"/>
              <w:right w:val="single" w:sz="4" w:space="0" w:color="auto"/>
            </w:tcBorders>
            <w:shd w:val="clear" w:color="auto" w:fill="C6EFCE"/>
            <w:noWrap/>
          </w:tcPr>
          <w:p w14:paraId="0BEA81A5" w14:textId="672CF1CE"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Bojovať proti daňovým únikom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podporovať elektronické platby.</w:t>
            </w:r>
          </w:p>
        </w:tc>
        <w:tc>
          <w:tcPr>
            <w:tcW w:w="1984" w:type="dxa"/>
            <w:tcBorders>
              <w:top w:val="single" w:sz="4" w:space="0" w:color="auto"/>
              <w:left w:val="nil"/>
              <w:bottom w:val="single" w:sz="4" w:space="0" w:color="auto"/>
              <w:right w:val="single" w:sz="4" w:space="0" w:color="auto"/>
            </w:tcBorders>
            <w:shd w:val="clear" w:color="auto" w:fill="C6EFCE"/>
            <w:noWrap/>
          </w:tcPr>
          <w:p w14:paraId="3EC4CFCF" w14:textId="366416D2"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Revidovaný právny</w:t>
            </w:r>
            <w:r w:rsidRPr="00083739">
              <w:rPr>
                <w:rFonts w:ascii="Times New Roman" w:hAnsi="Times New Roman" w:cs="Times New Roman"/>
                <w:noProof/>
                <w:lang w:val="sk-SK"/>
              </w:rPr>
              <w:t xml:space="preserve"> rámec prijatý na podporu elektronických platieb, posilnenie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stanovenie nových požiadaviek na podávanie správ podľa myDATA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umožnenie používania databázy myDATA na účely DPH</w:t>
            </w:r>
            <w:r w:rsidR="00083739" w:rsidRPr="00083739">
              <w:rPr>
                <w:rFonts w:ascii="Times New Roman" w:hAnsi="Times New Roman" w:cs="Times New Roman"/>
                <w:noProof/>
                <w:lang w:val="sk-SK"/>
              </w:rPr>
              <w:t>.</w:t>
            </w:r>
          </w:p>
          <w:p w14:paraId="418A792E" w14:textId="358FFC95"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Kópia správy</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 xml:space="preserve">možnostiach reformy zdaňovania samostatne zárobkovo činných </w:t>
            </w:r>
            <w:r w:rsidRPr="00083739">
              <w:rPr>
                <w:rFonts w:ascii="Times New Roman" w:hAnsi="Times New Roman" w:cs="Times New Roman"/>
                <w:noProof/>
                <w:lang w:val="sk-SK"/>
              </w:rPr>
              <w:t>osôb.</w:t>
            </w:r>
          </w:p>
        </w:tc>
        <w:tc>
          <w:tcPr>
            <w:tcW w:w="866" w:type="dxa"/>
            <w:tcBorders>
              <w:top w:val="single" w:sz="4" w:space="0" w:color="auto"/>
              <w:left w:val="nil"/>
              <w:bottom w:val="single" w:sz="4" w:space="0" w:color="auto"/>
              <w:right w:val="single" w:sz="4" w:space="0" w:color="auto"/>
            </w:tcBorders>
            <w:shd w:val="clear" w:color="auto" w:fill="C6EFCE"/>
            <w:noWrap/>
          </w:tcPr>
          <w:p w14:paraId="7857BB0A"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single" w:sz="4" w:space="0" w:color="auto"/>
              <w:left w:val="nil"/>
              <w:bottom w:val="single" w:sz="4" w:space="0" w:color="auto"/>
              <w:right w:val="single" w:sz="4" w:space="0" w:color="auto"/>
            </w:tcBorders>
            <w:shd w:val="clear" w:color="auto" w:fill="C6EFCE"/>
            <w:noWrap/>
          </w:tcPr>
          <w:p w14:paraId="58AF6CF6"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668" w:type="dxa"/>
            <w:tcBorders>
              <w:top w:val="single" w:sz="4" w:space="0" w:color="auto"/>
              <w:left w:val="nil"/>
              <w:bottom w:val="single" w:sz="4" w:space="0" w:color="auto"/>
              <w:right w:val="single" w:sz="4" w:space="0" w:color="auto"/>
            </w:tcBorders>
            <w:shd w:val="clear" w:color="auto" w:fill="C6EFCE"/>
            <w:noWrap/>
          </w:tcPr>
          <w:p w14:paraId="5CF3FCCC"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3" w:type="dxa"/>
            <w:tcBorders>
              <w:top w:val="single" w:sz="4" w:space="0" w:color="auto"/>
              <w:left w:val="nil"/>
              <w:bottom w:val="single" w:sz="4" w:space="0" w:color="auto"/>
              <w:right w:val="single" w:sz="4" w:space="0" w:color="auto"/>
            </w:tcBorders>
            <w:shd w:val="clear" w:color="auto" w:fill="C6EFCE"/>
            <w:noWrap/>
          </w:tcPr>
          <w:p w14:paraId="1735F96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08" w:type="dxa"/>
            <w:tcBorders>
              <w:top w:val="single" w:sz="4" w:space="0" w:color="auto"/>
              <w:left w:val="nil"/>
              <w:bottom w:val="single" w:sz="4" w:space="0" w:color="auto"/>
              <w:right w:val="single" w:sz="4" w:space="0" w:color="auto"/>
            </w:tcBorders>
            <w:shd w:val="clear" w:color="auto" w:fill="C6EFCE"/>
            <w:noWrap/>
          </w:tcPr>
          <w:p w14:paraId="0CAC947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2023</w:t>
            </w:r>
          </w:p>
        </w:tc>
        <w:tc>
          <w:tcPr>
            <w:tcW w:w="4830" w:type="dxa"/>
            <w:tcBorders>
              <w:top w:val="single" w:sz="4" w:space="0" w:color="auto"/>
              <w:left w:val="nil"/>
              <w:bottom w:val="single" w:sz="4" w:space="0" w:color="auto"/>
              <w:right w:val="single" w:sz="4" w:space="0" w:color="auto"/>
            </w:tcBorders>
            <w:shd w:val="clear" w:color="auto" w:fill="C6EFCE"/>
            <w:noWrap/>
          </w:tcPr>
          <w:p w14:paraId="4D1E14AC" w14:textId="77777777" w:rsidR="00083739" w:rsidRPr="00083739" w:rsidRDefault="00BF4125">
            <w:pPr>
              <w:pStyle w:val="P68B1DB1-Normal10"/>
              <w:spacing w:after="0" w:line="240" w:lineRule="auto"/>
              <w:rPr>
                <w:rFonts w:ascii="Times New Roman" w:hAnsi="Times New Roman" w:cs="Times New Roman"/>
                <w:noProof/>
                <w:lang w:val="sk-SK"/>
              </w:rPr>
            </w:pPr>
            <w:r w:rsidRPr="00083739">
              <w:rPr>
                <w:rFonts w:ascii="Times New Roman" w:hAnsi="Times New Roman" w:cs="Times New Roman"/>
                <w:noProof/>
                <w:lang w:val="sk-SK"/>
              </w:rPr>
              <w:t>Nadobudnutie účinnosti primárnych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sekundárnych právnych predpisov</w:t>
            </w:r>
          </w:p>
          <w:p w14:paraId="19EFAEE4" w14:textId="0D09D431"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I) vo veľkej miere rozšíriť povinné akceptovanie priamych elektronických platieb na maloobchodnom trhu</w:t>
            </w:r>
            <w:r w:rsidR="00083739" w:rsidRPr="00083739">
              <w:rPr>
                <w:rFonts w:ascii="Times New Roman" w:hAnsi="Times New Roman" w:cs="Times New Roman"/>
                <w:noProof/>
                <w:lang w:val="sk-SK"/>
              </w:rPr>
              <w:t>;</w:t>
            </w:r>
          </w:p>
          <w:p w14:paraId="12AA66A8" w14:textId="6783627A" w:rsidR="00083739" w:rsidRPr="00083739" w:rsidRDefault="00BF4125">
            <w:pPr>
              <w:pStyle w:val="P68B1DB1-Normal10"/>
              <w:spacing w:after="0" w:line="240" w:lineRule="auto"/>
              <w:rPr>
                <w:rFonts w:ascii="Times New Roman" w:hAnsi="Times New Roman" w:cs="Times New Roman"/>
                <w:noProof/>
                <w:lang w:val="sk-SK"/>
              </w:rPr>
            </w:pPr>
            <w:r w:rsidRPr="00083739">
              <w:rPr>
                <w:rFonts w:ascii="Times New Roman" w:hAnsi="Times New Roman" w:cs="Times New Roman"/>
                <w:noProof/>
                <w:lang w:val="sk-SK"/>
              </w:rPr>
              <w:t>II) zosúladiť požiadavky na výmenu informácií pre posk</w:t>
            </w:r>
            <w:r w:rsidRPr="00083739">
              <w:rPr>
                <w:rFonts w:ascii="Times New Roman" w:hAnsi="Times New Roman" w:cs="Times New Roman"/>
                <w:noProof/>
                <w:lang w:val="sk-SK"/>
              </w:rPr>
              <w:t>ytovateľov platobných služieb</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definíciami Bank of Greece</w:t>
            </w:r>
            <w:r w:rsidR="00083739" w:rsidRPr="00083739">
              <w:rPr>
                <w:rFonts w:ascii="Times New Roman" w:hAnsi="Times New Roman" w:cs="Times New Roman"/>
                <w:noProof/>
                <w:lang w:val="sk-SK"/>
              </w:rPr>
              <w:t>;</w:t>
            </w:r>
          </w:p>
          <w:p w14:paraId="1629EC58" w14:textId="6FE640CC"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III) zaviesť nové oznamovacie povinnosti podľa myDATA pre podniky (vrátane samostatne zárobkovo činných osôb), ktoré sa majú uplatňovať pri daňových priznaniach</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DPH;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zároveň</w:t>
            </w:r>
          </w:p>
          <w:p w14:paraId="615CB1A6" w14:textId="0AB55F54"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IV) Dokončenie spr</w:t>
            </w:r>
            <w:r w:rsidRPr="00083739">
              <w:rPr>
                <w:rFonts w:ascii="Times New Roman" w:hAnsi="Times New Roman" w:cs="Times New Roman"/>
                <w:noProof/>
                <w:lang w:val="sk-SK"/>
              </w:rPr>
              <w:t>ávy</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možnostiach reformy zdaňovania samostatne zárobkovo činných osôb.</w:t>
            </w:r>
          </w:p>
          <w:p w14:paraId="3C182AA9"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p w14:paraId="06296AD1"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r>
      <w:tr w:rsidR="002D49B0" w:rsidRPr="00083739" w14:paraId="4415C7F1" w14:textId="77777777">
        <w:trPr>
          <w:trHeight w:val="313"/>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0305C77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338</w:t>
            </w:r>
          </w:p>
        </w:tc>
        <w:tc>
          <w:tcPr>
            <w:tcW w:w="1835" w:type="dxa"/>
            <w:tcBorders>
              <w:top w:val="single" w:sz="4" w:space="0" w:color="auto"/>
              <w:left w:val="nil"/>
              <w:bottom w:val="single" w:sz="4" w:space="0" w:color="auto"/>
              <w:right w:val="single" w:sz="4" w:space="0" w:color="auto"/>
            </w:tcBorders>
            <w:shd w:val="clear" w:color="auto" w:fill="C6EFCE"/>
            <w:noWrap/>
          </w:tcPr>
          <w:p w14:paraId="0FC0CBF6" w14:textId="49722712"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12 – 4.1. Zabezpečiť, aby boli dane priaznivejšie pre rast</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zlepšiť daňovú správu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výber daní – 16985_Úprava rámca daňovej politiky Grécka</w:t>
            </w:r>
          </w:p>
        </w:tc>
        <w:tc>
          <w:tcPr>
            <w:tcW w:w="966" w:type="dxa"/>
            <w:tcBorders>
              <w:top w:val="single" w:sz="4" w:space="0" w:color="auto"/>
              <w:left w:val="nil"/>
              <w:bottom w:val="single" w:sz="4" w:space="0" w:color="auto"/>
              <w:right w:val="single" w:sz="4" w:space="0" w:color="auto"/>
            </w:tcBorders>
            <w:shd w:val="clear" w:color="auto" w:fill="C6EFCE"/>
            <w:noWrap/>
          </w:tcPr>
          <w:p w14:paraId="725D5FA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176" w:type="dxa"/>
            <w:tcBorders>
              <w:top w:val="single" w:sz="4" w:space="0" w:color="auto"/>
              <w:left w:val="nil"/>
              <w:bottom w:val="single" w:sz="4" w:space="0" w:color="auto"/>
              <w:right w:val="single" w:sz="4" w:space="0" w:color="auto"/>
            </w:tcBorders>
            <w:shd w:val="clear" w:color="auto" w:fill="C6EFCE"/>
            <w:noWrap/>
          </w:tcPr>
          <w:p w14:paraId="032B7EDC" w14:textId="4B9B3764"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Reforma zdaňovania samostatne</w:t>
            </w:r>
            <w:r w:rsidRPr="00083739">
              <w:rPr>
                <w:rFonts w:ascii="Times New Roman" w:hAnsi="Times New Roman" w:cs="Times New Roman"/>
                <w:noProof/>
                <w:lang w:val="sk-SK"/>
              </w:rPr>
              <w:t xml:space="preserve"> zárobkovo činných osôb</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kolkovej dane.</w:t>
            </w:r>
          </w:p>
        </w:tc>
        <w:tc>
          <w:tcPr>
            <w:tcW w:w="1984" w:type="dxa"/>
            <w:tcBorders>
              <w:top w:val="single" w:sz="4" w:space="0" w:color="auto"/>
              <w:left w:val="nil"/>
              <w:bottom w:val="single" w:sz="4" w:space="0" w:color="auto"/>
              <w:right w:val="single" w:sz="4" w:space="0" w:color="auto"/>
            </w:tcBorders>
            <w:shd w:val="clear" w:color="auto" w:fill="C6EFCE"/>
            <w:noWrap/>
          </w:tcPr>
          <w:p w14:paraId="36AE74B2" w14:textId="1156885A"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Revidovaný právny rámec prijatý</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súvislosti so zdaňovaním samostatne zárobkovo činných osôb</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nahradením kolkovej dane digitálnou daňou.</w:t>
            </w:r>
          </w:p>
        </w:tc>
        <w:tc>
          <w:tcPr>
            <w:tcW w:w="866" w:type="dxa"/>
            <w:tcBorders>
              <w:top w:val="single" w:sz="4" w:space="0" w:color="auto"/>
              <w:left w:val="nil"/>
              <w:bottom w:val="single" w:sz="4" w:space="0" w:color="auto"/>
              <w:right w:val="single" w:sz="4" w:space="0" w:color="auto"/>
            </w:tcBorders>
            <w:shd w:val="clear" w:color="auto" w:fill="C6EFCE"/>
            <w:noWrap/>
          </w:tcPr>
          <w:p w14:paraId="5DBFA209"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single" w:sz="4" w:space="0" w:color="auto"/>
              <w:left w:val="nil"/>
              <w:bottom w:val="single" w:sz="4" w:space="0" w:color="auto"/>
              <w:right w:val="single" w:sz="4" w:space="0" w:color="auto"/>
            </w:tcBorders>
            <w:shd w:val="clear" w:color="auto" w:fill="C6EFCE"/>
            <w:noWrap/>
          </w:tcPr>
          <w:p w14:paraId="1BB82E28"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668" w:type="dxa"/>
            <w:tcBorders>
              <w:top w:val="single" w:sz="4" w:space="0" w:color="auto"/>
              <w:left w:val="nil"/>
              <w:bottom w:val="single" w:sz="4" w:space="0" w:color="auto"/>
              <w:right w:val="single" w:sz="4" w:space="0" w:color="auto"/>
            </w:tcBorders>
            <w:shd w:val="clear" w:color="auto" w:fill="C6EFCE"/>
            <w:noWrap/>
          </w:tcPr>
          <w:p w14:paraId="03CF63D1"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3" w:type="dxa"/>
            <w:tcBorders>
              <w:top w:val="single" w:sz="4" w:space="0" w:color="auto"/>
              <w:left w:val="nil"/>
              <w:bottom w:val="single" w:sz="4" w:space="0" w:color="auto"/>
              <w:right w:val="single" w:sz="4" w:space="0" w:color="auto"/>
            </w:tcBorders>
            <w:shd w:val="clear" w:color="auto" w:fill="C6EFCE"/>
            <w:noWrap/>
          </w:tcPr>
          <w:p w14:paraId="4634EDA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708" w:type="dxa"/>
            <w:tcBorders>
              <w:top w:val="single" w:sz="4" w:space="0" w:color="auto"/>
              <w:left w:val="nil"/>
              <w:bottom w:val="single" w:sz="4" w:space="0" w:color="auto"/>
              <w:right w:val="single" w:sz="4" w:space="0" w:color="auto"/>
            </w:tcBorders>
            <w:shd w:val="clear" w:color="auto" w:fill="C6EFCE"/>
            <w:noWrap/>
          </w:tcPr>
          <w:p w14:paraId="778D869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2024</w:t>
            </w:r>
          </w:p>
        </w:tc>
        <w:tc>
          <w:tcPr>
            <w:tcW w:w="4830" w:type="dxa"/>
            <w:tcBorders>
              <w:top w:val="single" w:sz="4" w:space="0" w:color="auto"/>
              <w:left w:val="nil"/>
              <w:bottom w:val="single" w:sz="4" w:space="0" w:color="auto"/>
              <w:right w:val="single" w:sz="4" w:space="0" w:color="auto"/>
            </w:tcBorders>
            <w:shd w:val="clear" w:color="auto" w:fill="C6EFCE"/>
            <w:noWrap/>
          </w:tcPr>
          <w:p w14:paraId="0B70484A" w14:textId="3B71F73D"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primárnych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sekundárnych </w:t>
            </w:r>
            <w:r w:rsidRPr="00083739">
              <w:rPr>
                <w:rFonts w:ascii="Times New Roman" w:hAnsi="Times New Roman" w:cs="Times New Roman"/>
                <w:noProof/>
                <w:lang w:val="sk-SK"/>
              </w:rPr>
              <w:t>právnych predpisov</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cieľom reformovať zdaňovanie samostatne zárobkovo činných osôb</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umožniť postupné znižovanie dane</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režijných nákladov samostatne zárobkovo činných osôb (τ,λος επιτηδεύματος). To zahŕňa stanovenie nových povinných požiadaviek na podáva</w:t>
            </w:r>
            <w:r w:rsidRPr="00083739">
              <w:rPr>
                <w:rFonts w:ascii="Times New Roman" w:hAnsi="Times New Roman" w:cs="Times New Roman"/>
                <w:noProof/>
                <w:lang w:val="sk-SK"/>
              </w:rPr>
              <w:t>nie správ</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tom, ako sa výdavky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príjmy deklarujú prostredníctvom databázy myDATA.</w:t>
            </w:r>
          </w:p>
          <w:p w14:paraId="6D91E9AA"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p w14:paraId="11BE1419" w14:textId="4B246E3F"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primárnych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sekundárnych právnych predpisov</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cieľom nahradiť existujúcu kolkovú daň novou digitálnou daňou.</w:t>
            </w:r>
          </w:p>
        </w:tc>
      </w:tr>
      <w:tr w:rsidR="002D49B0" w:rsidRPr="00083739" w14:paraId="39897E1F" w14:textId="77777777">
        <w:trPr>
          <w:trHeight w:val="313"/>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12A43F9F" w14:textId="2287EAB6"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339</w:t>
            </w:r>
          </w:p>
        </w:tc>
        <w:tc>
          <w:tcPr>
            <w:tcW w:w="1835" w:type="dxa"/>
            <w:tcBorders>
              <w:top w:val="single" w:sz="4" w:space="0" w:color="auto"/>
              <w:left w:val="nil"/>
              <w:bottom w:val="single" w:sz="4" w:space="0" w:color="auto"/>
              <w:right w:val="single" w:sz="4" w:space="0" w:color="auto"/>
            </w:tcBorders>
            <w:shd w:val="clear" w:color="auto" w:fill="C6EFCE"/>
            <w:noWrap/>
          </w:tcPr>
          <w:p w14:paraId="42296CC9" w14:textId="6AD540A2"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12 – 4.1. Zabezpečiť, aby boli </w:t>
            </w:r>
            <w:r w:rsidRPr="00083739">
              <w:rPr>
                <w:rFonts w:ascii="Times New Roman" w:hAnsi="Times New Roman" w:cs="Times New Roman"/>
                <w:noProof/>
                <w:lang w:val="sk-SK"/>
              </w:rPr>
              <w:t>dane priaznivejšie pre rast</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zlepšiť daňovú správu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výber daní – 16985_Úprava rámca daňovej politiky Grécka</w:t>
            </w:r>
          </w:p>
        </w:tc>
        <w:tc>
          <w:tcPr>
            <w:tcW w:w="966" w:type="dxa"/>
            <w:tcBorders>
              <w:top w:val="single" w:sz="4" w:space="0" w:color="auto"/>
              <w:left w:val="nil"/>
              <w:bottom w:val="single" w:sz="4" w:space="0" w:color="auto"/>
              <w:right w:val="single" w:sz="4" w:space="0" w:color="auto"/>
            </w:tcBorders>
            <w:shd w:val="clear" w:color="auto" w:fill="C6EFCE"/>
            <w:noWrap/>
          </w:tcPr>
          <w:p w14:paraId="4A3F336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176" w:type="dxa"/>
            <w:tcBorders>
              <w:top w:val="single" w:sz="4" w:space="0" w:color="auto"/>
              <w:left w:val="nil"/>
              <w:bottom w:val="single" w:sz="4" w:space="0" w:color="auto"/>
              <w:right w:val="single" w:sz="4" w:space="0" w:color="auto"/>
            </w:tcBorders>
            <w:shd w:val="clear" w:color="auto" w:fill="C6EFCE"/>
            <w:noWrap/>
          </w:tcPr>
          <w:p w14:paraId="75A5100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Posilniť prevádzkovú autonómiu nezávislého orgánu pre verejné príjmy (IAPR)</w:t>
            </w:r>
          </w:p>
        </w:tc>
        <w:tc>
          <w:tcPr>
            <w:tcW w:w="1984" w:type="dxa"/>
            <w:tcBorders>
              <w:top w:val="single" w:sz="4" w:space="0" w:color="auto"/>
              <w:left w:val="nil"/>
              <w:bottom w:val="single" w:sz="4" w:space="0" w:color="auto"/>
              <w:right w:val="single" w:sz="4" w:space="0" w:color="auto"/>
            </w:tcBorders>
            <w:shd w:val="clear" w:color="auto" w:fill="C6EFCE"/>
            <w:noWrap/>
          </w:tcPr>
          <w:p w14:paraId="58659DAF" w14:textId="0D77A804"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Revidovaný právny rámec na objasnenie právomocí IAPR</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ministerstva digitálnej správy.</w:t>
            </w:r>
          </w:p>
          <w:p w14:paraId="4D5F3032"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p w14:paraId="57C8BE0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Rozhodnutie IAPR, ktorým sa vymedzujú nové kľúčové ukazovatele výkonnosti pre IAPR.</w:t>
            </w:r>
          </w:p>
          <w:p w14:paraId="4B2F513C"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p w14:paraId="714C4F33" w14:textId="7489F0A6" w:rsidR="002D49B0" w:rsidRPr="00083739" w:rsidRDefault="00BF4125">
            <w:pPr>
              <w:pStyle w:val="P68B1DB1-Normal10"/>
              <w:spacing w:after="0" w:line="240" w:lineRule="auto"/>
              <w:rPr>
                <w:rFonts w:ascii="Times New Roman" w:hAnsi="Times New Roman" w:cs="Times New Roman"/>
                <w:noProof/>
                <w:lang w:val="sk-SK"/>
              </w:rPr>
            </w:pPr>
            <w:r w:rsidRPr="00083739">
              <w:rPr>
                <w:rFonts w:ascii="Times New Roman" w:hAnsi="Times New Roman" w:cs="Times New Roman"/>
                <w:noProof/>
                <w:lang w:val="sk-SK"/>
              </w:rPr>
              <w:t>Podpísanie dohody</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úrovni poskytovaných služieb vrátane povinnosti vypracovať výročnú správu</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 xml:space="preserve">vykonávaní počnúc nasledujúcim rokom. </w:t>
            </w:r>
          </w:p>
        </w:tc>
        <w:tc>
          <w:tcPr>
            <w:tcW w:w="866" w:type="dxa"/>
            <w:tcBorders>
              <w:top w:val="single" w:sz="4" w:space="0" w:color="auto"/>
              <w:left w:val="nil"/>
              <w:bottom w:val="single" w:sz="4" w:space="0" w:color="auto"/>
              <w:right w:val="single" w:sz="4" w:space="0" w:color="auto"/>
            </w:tcBorders>
            <w:shd w:val="clear" w:color="auto" w:fill="C6EFCE"/>
            <w:noWrap/>
          </w:tcPr>
          <w:p w14:paraId="178740A8"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single" w:sz="4" w:space="0" w:color="auto"/>
              <w:left w:val="nil"/>
              <w:bottom w:val="single" w:sz="4" w:space="0" w:color="auto"/>
              <w:right w:val="single" w:sz="4" w:space="0" w:color="auto"/>
            </w:tcBorders>
            <w:shd w:val="clear" w:color="auto" w:fill="C6EFCE"/>
            <w:noWrap/>
          </w:tcPr>
          <w:p w14:paraId="3AC81A83"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668" w:type="dxa"/>
            <w:tcBorders>
              <w:top w:val="single" w:sz="4" w:space="0" w:color="auto"/>
              <w:left w:val="nil"/>
              <w:bottom w:val="single" w:sz="4" w:space="0" w:color="auto"/>
              <w:right w:val="single" w:sz="4" w:space="0" w:color="auto"/>
            </w:tcBorders>
            <w:shd w:val="clear" w:color="auto" w:fill="C6EFCE"/>
            <w:noWrap/>
          </w:tcPr>
          <w:p w14:paraId="29ADF73F"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3" w:type="dxa"/>
            <w:tcBorders>
              <w:top w:val="single" w:sz="4" w:space="0" w:color="auto"/>
              <w:left w:val="nil"/>
              <w:bottom w:val="single" w:sz="4" w:space="0" w:color="auto"/>
              <w:right w:val="single" w:sz="4" w:space="0" w:color="auto"/>
            </w:tcBorders>
            <w:shd w:val="clear" w:color="auto" w:fill="C6EFCE"/>
            <w:noWrap/>
          </w:tcPr>
          <w:p w14:paraId="11F2F5B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708" w:type="dxa"/>
            <w:tcBorders>
              <w:top w:val="single" w:sz="4" w:space="0" w:color="auto"/>
              <w:left w:val="nil"/>
              <w:bottom w:val="single" w:sz="4" w:space="0" w:color="auto"/>
              <w:right w:val="single" w:sz="4" w:space="0" w:color="auto"/>
            </w:tcBorders>
            <w:shd w:val="clear" w:color="auto" w:fill="C6EFCE"/>
            <w:noWrap/>
          </w:tcPr>
          <w:p w14:paraId="30C85DE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2024</w:t>
            </w:r>
          </w:p>
        </w:tc>
        <w:tc>
          <w:tcPr>
            <w:tcW w:w="4830" w:type="dxa"/>
            <w:tcBorders>
              <w:top w:val="single" w:sz="4" w:space="0" w:color="auto"/>
              <w:left w:val="nil"/>
              <w:bottom w:val="single" w:sz="4" w:space="0" w:color="auto"/>
              <w:right w:val="single" w:sz="4" w:space="0" w:color="auto"/>
            </w:tcBorders>
            <w:shd w:val="clear" w:color="auto" w:fill="C6EFCE"/>
            <w:noWrap/>
          </w:tcPr>
          <w:p w14:paraId="11C7D950" w14:textId="1A0D70CD" w:rsidR="002D49B0" w:rsidRPr="00083739" w:rsidRDefault="00BF4125">
            <w:pPr>
              <w:pStyle w:val="P68B1DB1-Normal10"/>
              <w:spacing w:after="0" w:line="240" w:lineRule="auto"/>
              <w:rPr>
                <w:rFonts w:ascii="Times New Roman" w:hAnsi="Times New Roman" w:cs="Times New Roman"/>
                <w:noProof/>
                <w:lang w:val="sk-SK"/>
              </w:rPr>
            </w:pPr>
            <w:r w:rsidRPr="00083739">
              <w:rPr>
                <w:rFonts w:ascii="Times New Roman" w:hAnsi="Times New Roman" w:cs="Times New Roman"/>
                <w:noProof/>
                <w:lang w:val="sk-SK"/>
              </w:rPr>
              <w:t>Nadobudnutie účinnosti splnomocňujúcich právnych predpisov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podpísanie komplexnej dohody</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úrovni poskytovaných služieb,</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ktorej sa potvrdzujú povinnosti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rozdelenie zdrojov medzi IAPR</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ministerstvom digitálnej správy, pokiaľ ide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licencie na softvér výpočtovej techniky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úložiska, webové služby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správu databáz. Dohoda</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úrovni poskytovaných služieb obsahuje ustanovenie, aby oba orgány spoločne vypracovali výročnú správu</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vykonávaní počnúc nasledujúcim rokom.</w:t>
            </w:r>
          </w:p>
          <w:p w14:paraId="3AE89CD7"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p w14:paraId="2F7F165B" w14:textId="5EFE8974"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 xml:space="preserve">Rozhodnutie IAPR, </w:t>
            </w:r>
            <w:r w:rsidRPr="00083739">
              <w:rPr>
                <w:rFonts w:ascii="Times New Roman" w:hAnsi="Times New Roman" w:cs="Times New Roman"/>
                <w:noProof/>
                <w:lang w:val="sk-SK"/>
              </w:rPr>
              <w:t>ktorým sa vymedzujú nové kľúčové ukazovatele výkonnosti vrátane účinnosti auditu pre IAPR;</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ii) zaviesť ročný prieskum(-y) spokojnosti zákazníkov.</w:t>
            </w:r>
          </w:p>
        </w:tc>
      </w:tr>
      <w:tr w:rsidR="002D49B0" w:rsidRPr="00083739" w14:paraId="0DA09873" w14:textId="77777777">
        <w:trPr>
          <w:trHeight w:val="313"/>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6AB835A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340</w:t>
            </w:r>
          </w:p>
        </w:tc>
        <w:tc>
          <w:tcPr>
            <w:tcW w:w="1835" w:type="dxa"/>
            <w:tcBorders>
              <w:top w:val="single" w:sz="4" w:space="0" w:color="auto"/>
              <w:left w:val="nil"/>
              <w:bottom w:val="single" w:sz="4" w:space="0" w:color="auto"/>
              <w:right w:val="single" w:sz="4" w:space="0" w:color="auto"/>
            </w:tcBorders>
            <w:shd w:val="clear" w:color="auto" w:fill="C6EFCE"/>
            <w:noWrap/>
          </w:tcPr>
          <w:p w14:paraId="37EFA2C2" w14:textId="5FC4F9B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12 – 4.1. Zabezpečiť, aby boli dane priaznivejšie pre rast</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zlepšiť daňovú správu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výber daní – </w:t>
            </w:r>
            <w:r w:rsidRPr="00083739">
              <w:rPr>
                <w:rFonts w:ascii="Times New Roman" w:hAnsi="Times New Roman" w:cs="Times New Roman"/>
                <w:noProof/>
                <w:lang w:val="sk-SK"/>
              </w:rPr>
              <w:t>16985_Úprava rámca daňovej politiky Grécka</w:t>
            </w:r>
          </w:p>
        </w:tc>
        <w:tc>
          <w:tcPr>
            <w:tcW w:w="966" w:type="dxa"/>
            <w:tcBorders>
              <w:top w:val="single" w:sz="4" w:space="0" w:color="auto"/>
              <w:left w:val="nil"/>
              <w:bottom w:val="single" w:sz="4" w:space="0" w:color="auto"/>
              <w:right w:val="single" w:sz="4" w:space="0" w:color="auto"/>
            </w:tcBorders>
            <w:shd w:val="clear" w:color="auto" w:fill="C6EFCE"/>
            <w:noWrap/>
          </w:tcPr>
          <w:p w14:paraId="7F43CAC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176" w:type="dxa"/>
            <w:tcBorders>
              <w:top w:val="single" w:sz="4" w:space="0" w:color="auto"/>
              <w:left w:val="nil"/>
              <w:bottom w:val="single" w:sz="4" w:space="0" w:color="auto"/>
              <w:right w:val="single" w:sz="4" w:space="0" w:color="auto"/>
            </w:tcBorders>
            <w:shd w:val="clear" w:color="auto" w:fill="C6EFCE"/>
            <w:noWrap/>
          </w:tcPr>
          <w:p w14:paraId="66C85B56" w14:textId="35ADA37F"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Bojovať proti daňovým únikom prostredníctvom využívania databázy myDATA na účely dane</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 xml:space="preserve">príjmu. </w:t>
            </w:r>
          </w:p>
        </w:tc>
        <w:tc>
          <w:tcPr>
            <w:tcW w:w="1984" w:type="dxa"/>
            <w:tcBorders>
              <w:top w:val="single" w:sz="4" w:space="0" w:color="auto"/>
              <w:left w:val="nil"/>
              <w:bottom w:val="single" w:sz="4" w:space="0" w:color="auto"/>
              <w:right w:val="single" w:sz="4" w:space="0" w:color="auto"/>
            </w:tcBorders>
            <w:shd w:val="clear" w:color="auto" w:fill="C6EFCE"/>
            <w:noWrap/>
          </w:tcPr>
          <w:p w14:paraId="2F64E110" w14:textId="791F686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Revidovaný právny rámec prijatý</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cieľom stanoviť nové požiadavky na podávanie správ podľa myDATA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umožniť p</w:t>
            </w:r>
            <w:r w:rsidRPr="00083739">
              <w:rPr>
                <w:rFonts w:ascii="Times New Roman" w:hAnsi="Times New Roman" w:cs="Times New Roman"/>
                <w:noProof/>
                <w:lang w:val="sk-SK"/>
              </w:rPr>
              <w:t>oužívanie myDATA na účely dane</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príjmu.</w:t>
            </w:r>
          </w:p>
        </w:tc>
        <w:tc>
          <w:tcPr>
            <w:tcW w:w="866" w:type="dxa"/>
            <w:tcBorders>
              <w:top w:val="single" w:sz="4" w:space="0" w:color="auto"/>
              <w:left w:val="nil"/>
              <w:bottom w:val="single" w:sz="4" w:space="0" w:color="auto"/>
              <w:right w:val="single" w:sz="4" w:space="0" w:color="auto"/>
            </w:tcBorders>
            <w:shd w:val="clear" w:color="auto" w:fill="C6EFCE"/>
            <w:noWrap/>
          </w:tcPr>
          <w:p w14:paraId="4C1AEF17"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single" w:sz="4" w:space="0" w:color="auto"/>
              <w:left w:val="nil"/>
              <w:bottom w:val="single" w:sz="4" w:space="0" w:color="auto"/>
              <w:right w:val="single" w:sz="4" w:space="0" w:color="auto"/>
            </w:tcBorders>
            <w:shd w:val="clear" w:color="auto" w:fill="C6EFCE"/>
            <w:noWrap/>
          </w:tcPr>
          <w:p w14:paraId="40531BC0"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668" w:type="dxa"/>
            <w:tcBorders>
              <w:top w:val="single" w:sz="4" w:space="0" w:color="auto"/>
              <w:left w:val="nil"/>
              <w:bottom w:val="single" w:sz="4" w:space="0" w:color="auto"/>
              <w:right w:val="single" w:sz="4" w:space="0" w:color="auto"/>
            </w:tcBorders>
            <w:shd w:val="clear" w:color="auto" w:fill="C6EFCE"/>
            <w:noWrap/>
          </w:tcPr>
          <w:p w14:paraId="4F5C58C9"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3" w:type="dxa"/>
            <w:tcBorders>
              <w:top w:val="single" w:sz="4" w:space="0" w:color="auto"/>
              <w:left w:val="nil"/>
              <w:bottom w:val="single" w:sz="4" w:space="0" w:color="auto"/>
              <w:right w:val="single" w:sz="4" w:space="0" w:color="auto"/>
            </w:tcBorders>
            <w:shd w:val="clear" w:color="auto" w:fill="C6EFCE"/>
            <w:noWrap/>
          </w:tcPr>
          <w:p w14:paraId="24C6EE2A" w14:textId="4ADA19F9"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708" w:type="dxa"/>
            <w:tcBorders>
              <w:top w:val="single" w:sz="4" w:space="0" w:color="auto"/>
              <w:left w:val="nil"/>
              <w:bottom w:val="single" w:sz="4" w:space="0" w:color="auto"/>
              <w:right w:val="single" w:sz="4" w:space="0" w:color="auto"/>
            </w:tcBorders>
            <w:shd w:val="clear" w:color="auto" w:fill="C6EFCE"/>
            <w:noWrap/>
          </w:tcPr>
          <w:p w14:paraId="7EAB7E3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2024</w:t>
            </w:r>
          </w:p>
        </w:tc>
        <w:tc>
          <w:tcPr>
            <w:tcW w:w="4830" w:type="dxa"/>
            <w:tcBorders>
              <w:top w:val="single" w:sz="4" w:space="0" w:color="auto"/>
              <w:left w:val="nil"/>
              <w:bottom w:val="single" w:sz="4" w:space="0" w:color="auto"/>
              <w:right w:val="single" w:sz="4" w:space="0" w:color="auto"/>
            </w:tcBorders>
            <w:shd w:val="clear" w:color="auto" w:fill="C6EFCE"/>
            <w:noWrap/>
          </w:tcPr>
          <w:p w14:paraId="607CBEBF" w14:textId="77777777"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Nadobudnutie účinnosti primárnych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sekundárnych právnych predpisov</w:t>
            </w:r>
          </w:p>
          <w:p w14:paraId="028EC587" w14:textId="160BDF28"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umožnenie používania správ podľa databázy myDATA</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 xml:space="preserve">podnikoch (vrátane samostatne zárobkovo činných osôb) na účely daňových </w:t>
            </w:r>
            <w:r w:rsidRPr="00083739">
              <w:rPr>
                <w:rFonts w:ascii="Times New Roman" w:hAnsi="Times New Roman" w:cs="Times New Roman"/>
                <w:noProof/>
                <w:lang w:val="sk-SK"/>
              </w:rPr>
              <w:t>priznaní</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dani</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príjmu</w:t>
            </w:r>
            <w:r w:rsidR="00083739" w:rsidRPr="00083739">
              <w:rPr>
                <w:rFonts w:ascii="Times New Roman" w:hAnsi="Times New Roman" w:cs="Times New Roman"/>
                <w:noProof/>
                <w:lang w:val="sk-SK"/>
              </w:rPr>
              <w:t>.</w:t>
            </w:r>
          </w:p>
          <w:p w14:paraId="6C8C0CE4" w14:textId="1F650C1F"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w:t>
            </w:r>
          </w:p>
          <w:p w14:paraId="53D781EF"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r>
    </w:tbl>
    <w:p w14:paraId="084D627C" w14:textId="77777777" w:rsidR="002D49B0" w:rsidRPr="00083739" w:rsidRDefault="002D49B0">
      <w:pPr>
        <w:spacing w:before="120" w:after="120" w:line="240" w:lineRule="auto"/>
        <w:ind w:left="709"/>
        <w:jc w:val="both"/>
        <w:rPr>
          <w:rFonts w:ascii="Times New Roman" w:hAnsi="Times New Roman" w:cs="Times New Roman"/>
          <w:noProof/>
          <w:sz w:val="24"/>
          <w:lang w:val="sk-SK"/>
        </w:rPr>
        <w:sectPr w:rsidR="002D49B0" w:rsidRPr="00083739" w:rsidSect="00271D33">
          <w:headerReference w:type="even" r:id="rId217"/>
          <w:headerReference w:type="default" r:id="rId218"/>
          <w:footerReference w:type="even" r:id="rId219"/>
          <w:footerReference w:type="default" r:id="rId220"/>
          <w:headerReference w:type="first" r:id="rId221"/>
          <w:footerReference w:type="first" r:id="rId222"/>
          <w:pgSz w:w="16839" w:h="11907" w:orient="landscape"/>
          <w:pgMar w:top="720" w:right="720" w:bottom="720" w:left="720" w:header="709" w:footer="75" w:gutter="0"/>
          <w:cols w:space="720"/>
          <w:docGrid w:linePitch="360"/>
        </w:sectPr>
      </w:pPr>
    </w:p>
    <w:p w14:paraId="1BC7EF6A" w14:textId="77777777" w:rsidR="002D49B0" w:rsidRPr="00083739" w:rsidRDefault="00BF4125">
      <w:pPr>
        <w:pStyle w:val="P68B1DB1-Normal2"/>
        <w:spacing w:before="120" w:after="120" w:line="240" w:lineRule="auto"/>
        <w:ind w:firstLine="6"/>
        <w:jc w:val="both"/>
        <w:outlineLvl w:val="3"/>
        <w:rPr>
          <w:rFonts w:cs="Times New Roman"/>
          <w:bCs/>
          <w:noProof/>
          <w:lang w:val="sk-SK"/>
        </w:rPr>
      </w:pPr>
      <w:r w:rsidRPr="00083739">
        <w:rPr>
          <w:rFonts w:cs="Times New Roman"/>
          <w:noProof/>
          <w:lang w:val="sk-SK"/>
        </w:rPr>
        <w:t xml:space="preserve">M. KOMPONENT 4.2: MODERNIZOVAŤ VEREJNÚ SPRÁVU, A TO AJ URÝCHLENÍM REALIZÁCIE VEREJNÝCH INVESTÍCIÍ, ZLEPŠENÍM RÁMCA VEREJNÉHO OBSTARÁVANIA, OPATRENIAMI NA BUDOVANIE </w:t>
      </w:r>
      <w:r w:rsidRPr="00083739">
        <w:rPr>
          <w:rFonts w:cs="Times New Roman"/>
          <w:noProof/>
          <w:lang w:val="sk-SK"/>
        </w:rPr>
        <w:t>KAPACÍT A BOJOM PROTI KORUPCII</w:t>
      </w:r>
    </w:p>
    <w:p w14:paraId="60386A1B" w14:textId="618F01FF"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Tento komponent gréckeho plánu obnovy</w:t>
      </w:r>
      <w:r w:rsidR="00083739" w:rsidRPr="00083739">
        <w:rPr>
          <w:rFonts w:cs="Times New Roman"/>
          <w:noProof/>
          <w:lang w:val="sk-SK"/>
        </w:rPr>
        <w:t xml:space="preserve"> a </w:t>
      </w:r>
      <w:r w:rsidRPr="00083739">
        <w:rPr>
          <w:rFonts w:cs="Times New Roman"/>
          <w:noProof/>
          <w:lang w:val="sk-SK"/>
        </w:rPr>
        <w:t>odolnosti zahŕňa súbor rozsiahlych reforiem, ako aj investícií do fungovania verejnej správy</w:t>
      </w:r>
      <w:r w:rsidR="00083739" w:rsidRPr="00083739">
        <w:rPr>
          <w:rFonts w:cs="Times New Roman"/>
          <w:noProof/>
          <w:lang w:val="sk-SK"/>
        </w:rPr>
        <w:t xml:space="preserve"> s </w:t>
      </w:r>
      <w:r w:rsidRPr="00083739">
        <w:rPr>
          <w:rFonts w:cs="Times New Roman"/>
          <w:noProof/>
          <w:lang w:val="sk-SK"/>
        </w:rPr>
        <w:t>cieľom zlepšiť navrhovanie</w:t>
      </w:r>
      <w:r w:rsidR="00083739" w:rsidRPr="00083739">
        <w:rPr>
          <w:rFonts w:cs="Times New Roman"/>
          <w:noProof/>
          <w:lang w:val="sk-SK"/>
        </w:rPr>
        <w:t xml:space="preserve"> a </w:t>
      </w:r>
      <w:r w:rsidRPr="00083739">
        <w:rPr>
          <w:rFonts w:cs="Times New Roman"/>
          <w:noProof/>
          <w:lang w:val="sk-SK"/>
        </w:rPr>
        <w:t>vykonávanie politík. Komponent zahŕňa opatrenia na modernizác</w:t>
      </w:r>
      <w:r w:rsidRPr="00083739">
        <w:rPr>
          <w:rFonts w:cs="Times New Roman"/>
          <w:noProof/>
          <w:lang w:val="sk-SK"/>
        </w:rPr>
        <w:t>iu verejnej správy prostredníctvom osobitných opatrení na posilnenie plánovania</w:t>
      </w:r>
      <w:r w:rsidR="00083739" w:rsidRPr="00083739">
        <w:rPr>
          <w:rFonts w:cs="Times New Roman"/>
          <w:noProof/>
          <w:lang w:val="sk-SK"/>
        </w:rPr>
        <w:t xml:space="preserve"> a </w:t>
      </w:r>
      <w:r w:rsidRPr="00083739">
        <w:rPr>
          <w:rFonts w:cs="Times New Roman"/>
          <w:noProof/>
          <w:lang w:val="sk-SK"/>
        </w:rPr>
        <w:t>koordinácie politiky</w:t>
      </w:r>
      <w:r w:rsidR="00083739" w:rsidRPr="00083739">
        <w:rPr>
          <w:rFonts w:cs="Times New Roman"/>
          <w:noProof/>
          <w:lang w:val="sk-SK"/>
        </w:rPr>
        <w:t xml:space="preserve"> a </w:t>
      </w:r>
      <w:r w:rsidRPr="00083739">
        <w:rPr>
          <w:rFonts w:cs="Times New Roman"/>
          <w:noProof/>
          <w:lang w:val="sk-SK"/>
        </w:rPr>
        <w:t>riadenia ľudských zdrojov, ako aj na dokončenie národného katastra, od ktorého sa očakáva, že zabezpečí účinný systém katastra nehnuteľností</w:t>
      </w:r>
      <w:r w:rsidR="00083739" w:rsidRPr="00083739">
        <w:rPr>
          <w:rFonts w:cs="Times New Roman"/>
          <w:noProof/>
          <w:lang w:val="sk-SK"/>
        </w:rPr>
        <w:t xml:space="preserve"> a </w:t>
      </w:r>
      <w:r w:rsidRPr="00083739">
        <w:rPr>
          <w:rFonts w:cs="Times New Roman"/>
          <w:noProof/>
          <w:lang w:val="sk-SK"/>
        </w:rPr>
        <w:t>poskytne</w:t>
      </w:r>
      <w:r w:rsidRPr="00083739">
        <w:rPr>
          <w:rFonts w:cs="Times New Roman"/>
          <w:noProof/>
          <w:lang w:val="sk-SK"/>
        </w:rPr>
        <w:t xml:space="preserve"> právnu istotu</w:t>
      </w:r>
      <w:r w:rsidR="00083739" w:rsidRPr="00083739">
        <w:rPr>
          <w:rFonts w:cs="Times New Roman"/>
          <w:noProof/>
          <w:lang w:val="sk-SK"/>
        </w:rPr>
        <w:t xml:space="preserve"> v </w:t>
      </w:r>
      <w:r w:rsidRPr="00083739">
        <w:rPr>
          <w:rFonts w:cs="Times New Roman"/>
          <w:noProof/>
          <w:lang w:val="sk-SK"/>
        </w:rPr>
        <w:t>oblasti vlastníckych práv. Ďalšie opatrenia sú zamerané na riešenie nedostatočnej prípravy projektov na verejné investície (vrátane korupcie)</w:t>
      </w:r>
      <w:r w:rsidR="00083739" w:rsidRPr="00083739">
        <w:rPr>
          <w:rFonts w:cs="Times New Roman"/>
          <w:noProof/>
          <w:lang w:val="sk-SK"/>
        </w:rPr>
        <w:t xml:space="preserve"> a </w:t>
      </w:r>
      <w:r w:rsidRPr="00083739">
        <w:rPr>
          <w:rFonts w:cs="Times New Roman"/>
          <w:noProof/>
          <w:lang w:val="sk-SK"/>
        </w:rPr>
        <w:t>na ďalšie posilnenie oblasti riadenia verejných financií. Tieto reformy</w:t>
      </w:r>
      <w:r w:rsidR="00083739" w:rsidRPr="00083739">
        <w:rPr>
          <w:rFonts w:cs="Times New Roman"/>
          <w:noProof/>
          <w:lang w:val="sk-SK"/>
        </w:rPr>
        <w:t xml:space="preserve"> a </w:t>
      </w:r>
      <w:r w:rsidRPr="00083739">
        <w:rPr>
          <w:rFonts w:cs="Times New Roman"/>
          <w:noProof/>
          <w:lang w:val="sk-SK"/>
        </w:rPr>
        <w:t xml:space="preserve">investície podporujú </w:t>
      </w:r>
      <w:r w:rsidRPr="00083739">
        <w:rPr>
          <w:rFonts w:cs="Times New Roman"/>
          <w:noProof/>
          <w:lang w:val="sk-SK"/>
        </w:rPr>
        <w:t>riešenie výziev spojených</w:t>
      </w:r>
      <w:r w:rsidR="00083739" w:rsidRPr="00083739">
        <w:rPr>
          <w:rFonts w:cs="Times New Roman"/>
          <w:noProof/>
          <w:lang w:val="sk-SK"/>
        </w:rPr>
        <w:t xml:space="preserve"> s </w:t>
      </w:r>
      <w:r w:rsidRPr="00083739">
        <w:rPr>
          <w:rFonts w:cs="Times New Roman"/>
          <w:noProof/>
          <w:lang w:val="sk-SK"/>
        </w:rPr>
        <w:t>a) digitálnou verejnou správou. Tento komponent podporuje riešenie odporúčaní pre jednotlivé krajiny týkajúcich sa verejných</w:t>
      </w:r>
      <w:r w:rsidR="00083739" w:rsidRPr="00083739">
        <w:rPr>
          <w:rFonts w:cs="Times New Roman"/>
          <w:noProof/>
          <w:lang w:val="sk-SK"/>
        </w:rPr>
        <w:t xml:space="preserve"> a </w:t>
      </w:r>
      <w:r w:rsidRPr="00083739">
        <w:rPr>
          <w:rFonts w:cs="Times New Roman"/>
          <w:noProof/>
          <w:lang w:val="sk-SK"/>
        </w:rPr>
        <w:t xml:space="preserve">súkromných investícií (odporúčanie pre Španielsko č. 3 2020), štrukturálnych reforiem na zlepšenie </w:t>
      </w:r>
      <w:r w:rsidRPr="00083739">
        <w:rPr>
          <w:rFonts w:cs="Times New Roman"/>
          <w:noProof/>
          <w:lang w:val="sk-SK"/>
        </w:rPr>
        <w:t>fungovania hospodárstva (odporúčanie pre Španielsko č. 4 2020)</w:t>
      </w:r>
      <w:r w:rsidR="00083739" w:rsidRPr="00083739">
        <w:rPr>
          <w:rFonts w:cs="Times New Roman"/>
          <w:noProof/>
          <w:lang w:val="sk-SK"/>
        </w:rPr>
        <w:t xml:space="preserve"> a </w:t>
      </w:r>
      <w:r w:rsidRPr="00083739">
        <w:rPr>
          <w:rFonts w:cs="Times New Roman"/>
          <w:noProof/>
          <w:lang w:val="sk-SK"/>
        </w:rPr>
        <w:t>dokončenie zostávajúcej reformy katastra, ktorá sa vykonávala</w:t>
      </w:r>
      <w:r w:rsidR="00083739" w:rsidRPr="00083739">
        <w:rPr>
          <w:rFonts w:cs="Times New Roman"/>
          <w:noProof/>
          <w:lang w:val="sk-SK"/>
        </w:rPr>
        <w:t xml:space="preserve"> v </w:t>
      </w:r>
      <w:r w:rsidRPr="00083739">
        <w:rPr>
          <w:rFonts w:cs="Times New Roman"/>
          <w:noProof/>
          <w:lang w:val="sk-SK"/>
        </w:rPr>
        <w:t>rámci sprísneného dohľadu (odporúčanie pre Španielsko č. 3</w:t>
      </w:r>
      <w:r w:rsidR="00083739" w:rsidRPr="00083739">
        <w:rPr>
          <w:rFonts w:cs="Times New Roman"/>
          <w:noProof/>
          <w:lang w:val="sk-SK"/>
        </w:rPr>
        <w:t xml:space="preserve"> z </w:t>
      </w:r>
      <w:r w:rsidRPr="00083739">
        <w:rPr>
          <w:rFonts w:cs="Times New Roman"/>
          <w:noProof/>
          <w:lang w:val="sk-SK"/>
        </w:rPr>
        <w:t>roku 2022</w:t>
      </w:r>
      <w:r w:rsidR="00083739" w:rsidRPr="00083739">
        <w:rPr>
          <w:rFonts w:cs="Times New Roman"/>
          <w:noProof/>
          <w:lang w:val="sk-SK"/>
        </w:rPr>
        <w:t xml:space="preserve"> a </w:t>
      </w:r>
      <w:r w:rsidRPr="00083739">
        <w:rPr>
          <w:rFonts w:cs="Times New Roman"/>
          <w:noProof/>
          <w:lang w:val="sk-SK"/>
        </w:rPr>
        <w:t>odporúčanie pre jednotlivé krajiny č. 3</w:t>
      </w:r>
      <w:r w:rsidR="00083739" w:rsidRPr="00083739">
        <w:rPr>
          <w:rFonts w:cs="Times New Roman"/>
          <w:noProof/>
          <w:lang w:val="sk-SK"/>
        </w:rPr>
        <w:t xml:space="preserve"> z </w:t>
      </w:r>
      <w:r w:rsidRPr="00083739">
        <w:rPr>
          <w:rFonts w:cs="Times New Roman"/>
          <w:noProof/>
          <w:lang w:val="sk-SK"/>
        </w:rPr>
        <w:t xml:space="preserve">roku 2023). </w:t>
      </w:r>
      <w:r w:rsidRPr="00083739">
        <w:rPr>
          <w:rFonts w:cs="Times New Roman"/>
          <w:noProof/>
          <w:lang w:val="sk-SK"/>
        </w:rPr>
        <w:t>Očakáva sa, že žiadne opatrenie</w:t>
      </w:r>
      <w:r w:rsidR="00083739" w:rsidRPr="00083739">
        <w:rPr>
          <w:rFonts w:cs="Times New Roman"/>
          <w:noProof/>
          <w:lang w:val="sk-SK"/>
        </w:rPr>
        <w:t xml:space="preserve"> v </w:t>
      </w:r>
      <w:r w:rsidRPr="00083739">
        <w:rPr>
          <w:rFonts w:cs="Times New Roman"/>
          <w:noProof/>
          <w:lang w:val="sk-SK"/>
        </w:rPr>
        <w:t>tomto komponente výrazne nenaruší environmentálne ciele</w:t>
      </w:r>
      <w:r w:rsidR="00083739" w:rsidRPr="00083739">
        <w:rPr>
          <w:rFonts w:cs="Times New Roman"/>
          <w:noProof/>
          <w:lang w:val="sk-SK"/>
        </w:rPr>
        <w:t xml:space="preserve"> v </w:t>
      </w:r>
      <w:r w:rsidRPr="00083739">
        <w:rPr>
          <w:rFonts w:cs="Times New Roman"/>
          <w:noProof/>
          <w:lang w:val="sk-SK"/>
        </w:rPr>
        <w:t>zmysle článku 17 nariadenia (EÚ) 2020/852, pričom sa zohľadní opis opatrení</w:t>
      </w:r>
      <w:r w:rsidR="00083739" w:rsidRPr="00083739">
        <w:rPr>
          <w:rFonts w:cs="Times New Roman"/>
          <w:noProof/>
          <w:lang w:val="sk-SK"/>
        </w:rPr>
        <w:t xml:space="preserve"> a </w:t>
      </w:r>
      <w:r w:rsidRPr="00083739">
        <w:rPr>
          <w:rFonts w:cs="Times New Roman"/>
          <w:noProof/>
          <w:lang w:val="sk-SK"/>
        </w:rPr>
        <w:t>zmierňujúcich krokov stanovených</w:t>
      </w:r>
      <w:r w:rsidR="00083739" w:rsidRPr="00083739">
        <w:rPr>
          <w:rFonts w:cs="Times New Roman"/>
          <w:noProof/>
          <w:lang w:val="sk-SK"/>
        </w:rPr>
        <w:t xml:space="preserve"> v </w:t>
      </w:r>
      <w:r w:rsidRPr="00083739">
        <w:rPr>
          <w:rFonts w:cs="Times New Roman"/>
          <w:noProof/>
          <w:lang w:val="sk-SK"/>
        </w:rPr>
        <w:t>pláne podpory obnovy</w:t>
      </w:r>
      <w:r w:rsidR="00083739" w:rsidRPr="00083739">
        <w:rPr>
          <w:rFonts w:cs="Times New Roman"/>
          <w:noProof/>
          <w:lang w:val="sk-SK"/>
        </w:rPr>
        <w:t xml:space="preserve"> a </w:t>
      </w:r>
      <w:r w:rsidRPr="00083739">
        <w:rPr>
          <w:rFonts w:cs="Times New Roman"/>
          <w:noProof/>
          <w:lang w:val="sk-SK"/>
        </w:rPr>
        <w:t>odolnosti</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technic</w:t>
      </w:r>
      <w:r w:rsidRPr="00083739">
        <w:rPr>
          <w:rFonts w:cs="Times New Roman"/>
          <w:noProof/>
          <w:lang w:val="sk-SK"/>
        </w:rPr>
        <w:t>kým usmernením „výrazne nenarušiť“ (2021/C58/01).</w:t>
      </w:r>
    </w:p>
    <w:p w14:paraId="6F4B7B47" w14:textId="7DBD2B3B" w:rsidR="002D49B0" w:rsidRPr="00083739" w:rsidRDefault="00BF4125">
      <w:pPr>
        <w:spacing w:before="120" w:after="120" w:line="240" w:lineRule="auto"/>
        <w:jc w:val="both"/>
        <w:rPr>
          <w:rFonts w:ascii="Times New Roman" w:hAnsi="Times New Roman" w:cs="Times New Roman"/>
          <w:b/>
          <w:bCs/>
          <w:i/>
          <w:iCs/>
          <w:noProof/>
          <w:color w:val="4F81BD"/>
          <w:sz w:val="24"/>
          <w:lang w:val="sk-SK"/>
        </w:rPr>
      </w:pPr>
      <w:r w:rsidRPr="00083739">
        <w:rPr>
          <w:rFonts w:ascii="Times New Roman" w:hAnsi="Times New Roman" w:cs="Times New Roman"/>
          <w:b/>
          <w:noProof/>
          <w:sz w:val="24"/>
          <w:u w:val="single"/>
          <w:lang w:val="sk-SK"/>
        </w:rPr>
        <w:t xml:space="preserve">M.1. </w:t>
      </w:r>
      <w:r w:rsidRPr="00083739">
        <w:rPr>
          <w:rFonts w:ascii="Times New Roman" w:hAnsi="Times New Roman" w:cs="Times New Roman"/>
          <w:noProof/>
          <w:lang w:val="sk-SK"/>
        </w:rPr>
        <w:t xml:space="preserve"> </w:t>
      </w:r>
      <w:r w:rsidRPr="00083739">
        <w:rPr>
          <w:rFonts w:ascii="Times New Roman" w:hAnsi="Times New Roman" w:cs="Times New Roman"/>
          <w:b/>
          <w:noProof/>
          <w:sz w:val="24"/>
          <w:u w:val="single"/>
          <w:lang w:val="sk-SK"/>
        </w:rPr>
        <w:t>Opis reforiem</w:t>
      </w:r>
      <w:r w:rsidR="00083739" w:rsidRPr="00083739">
        <w:rPr>
          <w:rFonts w:ascii="Times New Roman" w:hAnsi="Times New Roman" w:cs="Times New Roman"/>
          <w:b/>
          <w:noProof/>
          <w:sz w:val="24"/>
          <w:u w:val="single"/>
          <w:lang w:val="sk-SK"/>
        </w:rPr>
        <w:t xml:space="preserve"> a </w:t>
      </w:r>
      <w:r w:rsidRPr="00083739">
        <w:rPr>
          <w:rFonts w:ascii="Times New Roman" w:hAnsi="Times New Roman" w:cs="Times New Roman"/>
          <w:b/>
          <w:noProof/>
          <w:sz w:val="24"/>
          <w:u w:val="single"/>
          <w:lang w:val="sk-SK"/>
        </w:rPr>
        <w:t>investícií</w:t>
      </w:r>
      <w:r w:rsidR="00083739" w:rsidRPr="00083739">
        <w:rPr>
          <w:rFonts w:ascii="Times New Roman" w:hAnsi="Times New Roman" w:cs="Times New Roman"/>
          <w:b/>
          <w:noProof/>
          <w:sz w:val="24"/>
          <w:u w:val="single"/>
          <w:lang w:val="sk-SK"/>
        </w:rPr>
        <w:t xml:space="preserve"> v </w:t>
      </w:r>
      <w:r w:rsidRPr="00083739">
        <w:rPr>
          <w:rFonts w:ascii="Times New Roman" w:hAnsi="Times New Roman" w:cs="Times New Roman"/>
          <w:b/>
          <w:noProof/>
          <w:sz w:val="24"/>
          <w:u w:val="single"/>
          <w:lang w:val="sk-SK"/>
        </w:rPr>
        <w:t>rámci nenávratnej finančnej podpory</w:t>
      </w:r>
    </w:p>
    <w:p w14:paraId="3DC53B18" w14:textId="7777777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Reforma:</w:t>
      </w:r>
      <w:r w:rsidRPr="00083739">
        <w:rPr>
          <w:rFonts w:cs="Times New Roman"/>
          <w:noProof/>
          <w:lang w:val="sk-SK"/>
        </w:rPr>
        <w:t xml:space="preserve"> Reforma verejnej správy (ID opatrenia 16972)</w:t>
      </w:r>
    </w:p>
    <w:p w14:paraId="5278DB90" w14:textId="24A37B3A"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Cieľom tejto reformy je pokračovať</w:t>
      </w:r>
      <w:r w:rsidR="00083739" w:rsidRPr="00083739">
        <w:rPr>
          <w:rFonts w:cs="Times New Roman"/>
          <w:noProof/>
          <w:lang w:val="sk-SK"/>
        </w:rPr>
        <w:t xml:space="preserve"> v </w:t>
      </w:r>
      <w:r w:rsidRPr="00083739">
        <w:rPr>
          <w:rFonts w:cs="Times New Roman"/>
          <w:noProof/>
          <w:lang w:val="sk-SK"/>
        </w:rPr>
        <w:t>úsilí</w:t>
      </w:r>
      <w:r w:rsidR="00083739" w:rsidRPr="00083739">
        <w:rPr>
          <w:rFonts w:cs="Times New Roman"/>
          <w:noProof/>
          <w:lang w:val="sk-SK"/>
        </w:rPr>
        <w:t xml:space="preserve"> o </w:t>
      </w:r>
      <w:r w:rsidRPr="00083739">
        <w:rPr>
          <w:rFonts w:cs="Times New Roman"/>
          <w:noProof/>
          <w:lang w:val="sk-SK"/>
        </w:rPr>
        <w:t>modernizáciu verejnej správy</w:t>
      </w:r>
      <w:r w:rsidR="00083739" w:rsidRPr="00083739">
        <w:rPr>
          <w:rFonts w:cs="Times New Roman"/>
          <w:noProof/>
          <w:lang w:val="sk-SK"/>
        </w:rPr>
        <w:t xml:space="preserve"> a </w:t>
      </w:r>
      <w:r w:rsidRPr="00083739">
        <w:rPr>
          <w:rFonts w:cs="Times New Roman"/>
          <w:noProof/>
          <w:lang w:val="sk-SK"/>
        </w:rPr>
        <w:t>investovať do jej ľudských zdrojov vykonávaním týchto opatrení:</w:t>
      </w:r>
    </w:p>
    <w:p w14:paraId="1BCDBAB0" w14:textId="194B2D2C" w:rsidR="00083739" w:rsidRPr="00083739" w:rsidRDefault="00BF4125">
      <w:pPr>
        <w:pStyle w:val="P68B1DB1-Normal4"/>
        <w:numPr>
          <w:ilvl w:val="0"/>
          <w:numId w:val="58"/>
        </w:numPr>
        <w:spacing w:before="120" w:after="120" w:line="240" w:lineRule="auto"/>
        <w:ind w:left="360"/>
        <w:jc w:val="both"/>
        <w:rPr>
          <w:rFonts w:cs="Times New Roman"/>
          <w:noProof/>
          <w:lang w:val="sk-SK"/>
        </w:rPr>
      </w:pPr>
      <w:r w:rsidRPr="00083739">
        <w:rPr>
          <w:rFonts w:cs="Times New Roman"/>
          <w:noProof/>
          <w:lang w:val="sk-SK"/>
        </w:rPr>
        <w:t>Nadobudnutie účinnosti revidovaného legislatívneho rámca</w:t>
      </w:r>
      <w:r w:rsidR="00083739" w:rsidRPr="00083739">
        <w:rPr>
          <w:rFonts w:cs="Times New Roman"/>
          <w:noProof/>
          <w:lang w:val="sk-SK"/>
        </w:rPr>
        <w:t xml:space="preserve"> s </w:t>
      </w:r>
      <w:r w:rsidRPr="00083739">
        <w:rPr>
          <w:rFonts w:cs="Times New Roman"/>
          <w:noProof/>
          <w:lang w:val="sk-SK"/>
        </w:rPr>
        <w:t>cieľom zefektívniť rozdelenie zodpovedností medzi ústrednú, regionálnu</w:t>
      </w:r>
      <w:r w:rsidR="00083739" w:rsidRPr="00083739">
        <w:rPr>
          <w:rFonts w:cs="Times New Roman"/>
          <w:noProof/>
          <w:lang w:val="sk-SK"/>
        </w:rPr>
        <w:t xml:space="preserve"> a </w:t>
      </w:r>
      <w:r w:rsidRPr="00083739">
        <w:rPr>
          <w:rFonts w:cs="Times New Roman"/>
          <w:noProof/>
          <w:lang w:val="sk-SK"/>
        </w:rPr>
        <w:t>miestnu úroveň</w:t>
      </w:r>
      <w:r w:rsidR="00083739" w:rsidRPr="00083739">
        <w:rPr>
          <w:rFonts w:cs="Times New Roman"/>
          <w:noProof/>
          <w:lang w:val="sk-SK"/>
        </w:rPr>
        <w:t xml:space="preserve"> a </w:t>
      </w:r>
      <w:r w:rsidRPr="00083739">
        <w:rPr>
          <w:rFonts w:cs="Times New Roman"/>
          <w:noProof/>
          <w:lang w:val="sk-SK"/>
        </w:rPr>
        <w:t>príslušné rámce riadenia</w:t>
      </w:r>
      <w:r w:rsidR="00083739" w:rsidRPr="00083739">
        <w:rPr>
          <w:rFonts w:cs="Times New Roman"/>
          <w:noProof/>
          <w:lang w:val="sk-SK"/>
        </w:rPr>
        <w:t>;</w:t>
      </w:r>
    </w:p>
    <w:p w14:paraId="41A08930" w14:textId="77777777" w:rsidR="00083739" w:rsidRPr="00083739" w:rsidRDefault="00BF4125">
      <w:pPr>
        <w:pStyle w:val="P68B1DB1-Normal4"/>
        <w:numPr>
          <w:ilvl w:val="0"/>
          <w:numId w:val="58"/>
        </w:numPr>
        <w:spacing w:before="120" w:after="120" w:line="240" w:lineRule="auto"/>
        <w:ind w:left="360"/>
        <w:jc w:val="both"/>
        <w:rPr>
          <w:rFonts w:cs="Times New Roman"/>
          <w:noProof/>
          <w:lang w:val="sk-SK"/>
        </w:rPr>
      </w:pPr>
      <w:r w:rsidRPr="00083739">
        <w:rPr>
          <w:rFonts w:cs="Times New Roman"/>
          <w:noProof/>
          <w:lang w:val="sk-SK"/>
        </w:rPr>
        <w:t>Uvedenie do prevá</w:t>
      </w:r>
      <w:r w:rsidRPr="00083739">
        <w:rPr>
          <w:rFonts w:cs="Times New Roman"/>
          <w:noProof/>
          <w:lang w:val="sk-SK"/>
        </w:rPr>
        <w:t>dzky informačného systému, ktorý podporuje rámec strategického plánovania pracovnej sily využívajúci umelú inteligenciu</w:t>
      </w:r>
      <w:r w:rsidR="00083739" w:rsidRPr="00083739">
        <w:rPr>
          <w:rFonts w:cs="Times New Roman"/>
          <w:noProof/>
          <w:lang w:val="sk-SK"/>
        </w:rPr>
        <w:t>;</w:t>
      </w:r>
    </w:p>
    <w:p w14:paraId="77C54B2B" w14:textId="3EC6E5ED" w:rsidR="002D49B0" w:rsidRPr="00083739" w:rsidRDefault="00BF4125">
      <w:pPr>
        <w:pStyle w:val="P68B1DB1-Normal4"/>
        <w:numPr>
          <w:ilvl w:val="0"/>
          <w:numId w:val="58"/>
        </w:numPr>
        <w:spacing w:before="120" w:after="120" w:line="240" w:lineRule="auto"/>
        <w:ind w:left="360"/>
        <w:jc w:val="both"/>
        <w:rPr>
          <w:rFonts w:cs="Times New Roman"/>
          <w:noProof/>
          <w:lang w:val="sk-SK"/>
        </w:rPr>
      </w:pPr>
      <w:r w:rsidRPr="00083739">
        <w:rPr>
          <w:rFonts w:cs="Times New Roman"/>
          <w:noProof/>
          <w:lang w:val="sk-SK"/>
        </w:rPr>
        <w:t>Legislatívna iniciatíva na urýchlenie postupov prijímania zamestnancov vo verejnom sektore na základe zákona č. 4765/2021</w:t>
      </w:r>
      <w:r w:rsidR="00083739" w:rsidRPr="00083739">
        <w:rPr>
          <w:rFonts w:cs="Times New Roman"/>
          <w:noProof/>
          <w:lang w:val="sk-SK"/>
        </w:rPr>
        <w:t xml:space="preserve"> a </w:t>
      </w:r>
      <w:r w:rsidRPr="00083739">
        <w:rPr>
          <w:rFonts w:cs="Times New Roman"/>
          <w:noProof/>
          <w:lang w:val="sk-SK"/>
        </w:rPr>
        <w:t>uvedenie do</w:t>
      </w:r>
      <w:r w:rsidRPr="00083739">
        <w:rPr>
          <w:rFonts w:cs="Times New Roman"/>
          <w:noProof/>
          <w:lang w:val="sk-SK"/>
        </w:rPr>
        <w:t xml:space="preserve"> prevádzky nového integrovaného informačného systému Najvyššej rady pre výber civilných pracovníkov (ASEP), aby bolo možné vykonávať digitálne výberové konania;</w:t>
      </w:r>
    </w:p>
    <w:p w14:paraId="30069063" w14:textId="20895CA1" w:rsidR="00083739" w:rsidRPr="00083739" w:rsidRDefault="00BF4125">
      <w:pPr>
        <w:pStyle w:val="P68B1DB1-Normal4"/>
        <w:numPr>
          <w:ilvl w:val="0"/>
          <w:numId w:val="58"/>
        </w:numPr>
        <w:spacing w:before="120" w:after="120" w:line="240" w:lineRule="auto"/>
        <w:ind w:left="360"/>
        <w:jc w:val="both"/>
        <w:rPr>
          <w:rFonts w:cs="Times New Roman"/>
          <w:noProof/>
          <w:lang w:val="sk-SK"/>
        </w:rPr>
      </w:pPr>
      <w:r w:rsidRPr="00083739">
        <w:rPr>
          <w:rFonts w:cs="Times New Roman"/>
          <w:noProof/>
          <w:lang w:val="sk-SK"/>
        </w:rPr>
        <w:t>Zvyšovanie úrovne zručností/rekvalifikácia vo verejnej správe ukončením odbornej prípravy pre š</w:t>
      </w:r>
      <w:r w:rsidRPr="00083739">
        <w:rPr>
          <w:rFonts w:cs="Times New Roman"/>
          <w:noProof/>
          <w:lang w:val="sk-SK"/>
        </w:rPr>
        <w:t>tátnych zamestnancov</w:t>
      </w:r>
      <w:r w:rsidR="00083739" w:rsidRPr="00083739">
        <w:rPr>
          <w:rFonts w:cs="Times New Roman"/>
          <w:noProof/>
          <w:lang w:val="sk-SK"/>
        </w:rPr>
        <w:t xml:space="preserve"> s </w:t>
      </w:r>
      <w:r w:rsidRPr="00083739">
        <w:rPr>
          <w:rFonts w:cs="Times New Roman"/>
          <w:noProof/>
          <w:lang w:val="sk-SK"/>
        </w:rPr>
        <w:t>najmenej 225000 účastníkmi</w:t>
      </w:r>
      <w:r w:rsidR="00083739" w:rsidRPr="00083739">
        <w:rPr>
          <w:rFonts w:cs="Times New Roman"/>
          <w:noProof/>
          <w:lang w:val="sk-SK"/>
        </w:rPr>
        <w:t>;</w:t>
      </w:r>
    </w:p>
    <w:p w14:paraId="7CE18E08" w14:textId="76932FD0" w:rsidR="002D49B0" w:rsidRPr="00083739" w:rsidRDefault="00BF4125">
      <w:pPr>
        <w:pStyle w:val="P68B1DB1-Normal4"/>
        <w:numPr>
          <w:ilvl w:val="0"/>
          <w:numId w:val="58"/>
        </w:numPr>
        <w:spacing w:before="120" w:after="120" w:line="240" w:lineRule="auto"/>
        <w:ind w:left="360"/>
        <w:jc w:val="both"/>
        <w:rPr>
          <w:rFonts w:cs="Times New Roman"/>
          <w:noProof/>
          <w:lang w:val="sk-SK"/>
        </w:rPr>
      </w:pPr>
      <w:r w:rsidRPr="00083739">
        <w:rPr>
          <w:rFonts w:cs="Times New Roman"/>
          <w:noProof/>
          <w:lang w:val="sk-SK"/>
        </w:rPr>
        <w:t>Zavedenie systému odmeňovania štátnych zamestnancov spojeného so systémom riadenia stanovovania cieľov, ktorý musí byť plne</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jednotnou mzdovou tabuľkou (zákon č. 4354/2015) bez toho, aby sa stano</w:t>
      </w:r>
      <w:r w:rsidRPr="00083739">
        <w:rPr>
          <w:rFonts w:cs="Times New Roman"/>
          <w:noProof/>
          <w:lang w:val="sk-SK"/>
        </w:rPr>
        <w:t>vila akákoľvek výnimka. Výsledky pilotnej schémy zameranej na až 6000 štátnych zamestnancov prispejú</w:t>
      </w:r>
      <w:r w:rsidR="00083739" w:rsidRPr="00083739">
        <w:rPr>
          <w:rFonts w:cs="Times New Roman"/>
          <w:noProof/>
          <w:lang w:val="sk-SK"/>
        </w:rPr>
        <w:t xml:space="preserve"> k </w:t>
      </w:r>
      <w:r w:rsidRPr="00083739">
        <w:rPr>
          <w:rFonts w:cs="Times New Roman"/>
          <w:noProof/>
          <w:lang w:val="sk-SK"/>
        </w:rPr>
        <w:t>rozsiahlejšej štúdii</w:t>
      </w:r>
      <w:r w:rsidR="00083739" w:rsidRPr="00083739">
        <w:rPr>
          <w:rFonts w:cs="Times New Roman"/>
          <w:noProof/>
          <w:lang w:val="sk-SK"/>
        </w:rPr>
        <w:t xml:space="preserve"> s </w:t>
      </w:r>
      <w:r w:rsidRPr="00083739">
        <w:rPr>
          <w:rFonts w:cs="Times New Roman"/>
          <w:noProof/>
          <w:lang w:val="sk-SK"/>
        </w:rPr>
        <w:t>cieľom poskytnúť usmernenia pri vytváraní systému odmeňovania, ktorý sa zavedie do 31</w:t>
      </w:r>
      <w:r w:rsidR="00083739" w:rsidRPr="00083739">
        <w:rPr>
          <w:rFonts w:cs="Times New Roman"/>
          <w:noProof/>
          <w:lang w:val="sk-SK"/>
        </w:rPr>
        <w:t>. decembra</w:t>
      </w:r>
      <w:r w:rsidRPr="00083739">
        <w:rPr>
          <w:rFonts w:cs="Times New Roman"/>
          <w:noProof/>
          <w:lang w:val="sk-SK"/>
        </w:rPr>
        <w:t xml:space="preserve"> 2023.</w:t>
      </w:r>
    </w:p>
    <w:p w14:paraId="7412C5E2" w14:textId="58ECA436"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 xml:space="preserve">Implementácia tejto reformy </w:t>
      </w:r>
      <w:r w:rsidRPr="00083739">
        <w:rPr>
          <w:rFonts w:cs="Times New Roman"/>
          <w:noProof/>
          <w:lang w:val="sk-SK"/>
        </w:rPr>
        <w:t>sa dokončí do 31</w:t>
      </w:r>
      <w:r w:rsidR="00083739" w:rsidRPr="00083739">
        <w:rPr>
          <w:rFonts w:cs="Times New Roman"/>
          <w:noProof/>
          <w:lang w:val="sk-SK"/>
        </w:rPr>
        <w:t>. decembra</w:t>
      </w:r>
      <w:r w:rsidRPr="00083739">
        <w:rPr>
          <w:rFonts w:cs="Times New Roman"/>
          <w:noProof/>
          <w:lang w:val="sk-SK"/>
        </w:rPr>
        <w:t xml:space="preserve"> 2025.</w:t>
      </w:r>
    </w:p>
    <w:p w14:paraId="0F3E6E68" w14:textId="24F0E8B1"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Reforma:</w:t>
      </w:r>
      <w:r w:rsidRPr="00083739">
        <w:rPr>
          <w:rFonts w:cs="Times New Roman"/>
          <w:noProof/>
          <w:lang w:val="sk-SK"/>
        </w:rPr>
        <w:t xml:space="preserve"> Boj proti nezákonnému obchodu</w:t>
      </w:r>
      <w:r w:rsidR="00083739" w:rsidRPr="00083739">
        <w:rPr>
          <w:rFonts w:cs="Times New Roman"/>
          <w:noProof/>
          <w:lang w:val="sk-SK"/>
        </w:rPr>
        <w:t xml:space="preserve"> a </w:t>
      </w:r>
      <w:r w:rsidRPr="00083739">
        <w:rPr>
          <w:rFonts w:cs="Times New Roman"/>
          <w:noProof/>
          <w:lang w:val="sk-SK"/>
        </w:rPr>
        <w:t>ochrana duševného vlastníctva (opatrenie ID 16703)</w:t>
      </w:r>
    </w:p>
    <w:p w14:paraId="691E56A2" w14:textId="74CA5859"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Cieľom reformy je posilniť reakciu na nezákonný obchod posilnením Medziagentúrnej jednotky pre kontrolu trhu (DIMEA) odbornou prípr</w:t>
      </w:r>
      <w:r w:rsidRPr="00083739">
        <w:rPr>
          <w:rFonts w:cs="Times New Roman"/>
          <w:noProof/>
          <w:lang w:val="sk-SK"/>
        </w:rPr>
        <w:t>avou zamestnancov, vhodnými IT systémami</w:t>
      </w:r>
      <w:r w:rsidR="00083739" w:rsidRPr="00083739">
        <w:rPr>
          <w:rFonts w:cs="Times New Roman"/>
          <w:noProof/>
          <w:lang w:val="sk-SK"/>
        </w:rPr>
        <w:t xml:space="preserve"> a </w:t>
      </w:r>
      <w:r w:rsidRPr="00083739">
        <w:rPr>
          <w:rFonts w:cs="Times New Roman"/>
          <w:noProof/>
          <w:lang w:val="sk-SK"/>
        </w:rPr>
        <w:t>vybavením. Implementácia tejto reformy sa dokončí do 31</w:t>
      </w:r>
      <w:r w:rsidR="00083739" w:rsidRPr="00083739">
        <w:rPr>
          <w:rFonts w:cs="Times New Roman"/>
          <w:noProof/>
          <w:lang w:val="sk-SK"/>
        </w:rPr>
        <w:t>. decembra</w:t>
      </w:r>
      <w:r w:rsidRPr="00083739">
        <w:rPr>
          <w:rFonts w:cs="Times New Roman"/>
          <w:noProof/>
          <w:lang w:val="sk-SK"/>
        </w:rPr>
        <w:t xml:space="preserve"> 2025.</w:t>
      </w:r>
    </w:p>
    <w:p w14:paraId="4BEE704C" w14:textId="7777777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Reforma:</w:t>
      </w:r>
      <w:r w:rsidRPr="00083739">
        <w:rPr>
          <w:rFonts w:cs="Times New Roman"/>
          <w:noProof/>
          <w:lang w:val="sk-SK"/>
        </w:rPr>
        <w:t xml:space="preserve"> Posilnenie vnútroštátneho protikorupčného rámca (ID 16952)</w:t>
      </w:r>
    </w:p>
    <w:p w14:paraId="1556FF95" w14:textId="18FD5EBA"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Cieľom tejto reformy je odhaľovať korupciu</w:t>
      </w:r>
      <w:r w:rsidR="00083739" w:rsidRPr="00083739">
        <w:rPr>
          <w:rFonts w:cs="Times New Roman"/>
          <w:noProof/>
          <w:lang w:val="sk-SK"/>
        </w:rPr>
        <w:t xml:space="preserve"> a </w:t>
      </w:r>
      <w:r w:rsidRPr="00083739">
        <w:rPr>
          <w:rFonts w:cs="Times New Roman"/>
          <w:noProof/>
          <w:lang w:val="sk-SK"/>
        </w:rPr>
        <w:t>predchádzať jej</w:t>
      </w:r>
      <w:r w:rsidR="00083739" w:rsidRPr="00083739">
        <w:rPr>
          <w:rFonts w:cs="Times New Roman"/>
          <w:noProof/>
          <w:lang w:val="sk-SK"/>
        </w:rPr>
        <w:t xml:space="preserve"> a </w:t>
      </w:r>
      <w:r w:rsidRPr="00083739">
        <w:rPr>
          <w:rFonts w:cs="Times New Roman"/>
          <w:noProof/>
          <w:lang w:val="sk-SK"/>
        </w:rPr>
        <w:t>pozostáva</w:t>
      </w:r>
      <w:r w:rsidR="00083739" w:rsidRPr="00083739">
        <w:rPr>
          <w:rFonts w:cs="Times New Roman"/>
          <w:noProof/>
          <w:lang w:val="sk-SK"/>
        </w:rPr>
        <w:t xml:space="preserve"> z </w:t>
      </w:r>
      <w:r w:rsidRPr="00083739">
        <w:rPr>
          <w:rFonts w:cs="Times New Roman"/>
          <w:noProof/>
          <w:lang w:val="sk-SK"/>
        </w:rPr>
        <w:t>týchto opatrení, ktoré má vykonať národný orgán pre transparentnosť: I) posilnenie rámca auditu na odhaľovanie podvodov</w:t>
      </w:r>
      <w:r w:rsidR="00083739" w:rsidRPr="00083739">
        <w:rPr>
          <w:rFonts w:cs="Times New Roman"/>
          <w:noProof/>
          <w:lang w:val="sk-SK"/>
        </w:rPr>
        <w:t xml:space="preserve"> a </w:t>
      </w:r>
      <w:r w:rsidRPr="00083739">
        <w:rPr>
          <w:rFonts w:cs="Times New Roman"/>
          <w:noProof/>
          <w:lang w:val="sk-SK"/>
        </w:rPr>
        <w:t>korupcie; II) regulačné zásahy</w:t>
      </w:r>
      <w:r w:rsidR="00083739" w:rsidRPr="00083739">
        <w:rPr>
          <w:rFonts w:cs="Times New Roman"/>
          <w:noProof/>
          <w:lang w:val="sk-SK"/>
        </w:rPr>
        <w:t xml:space="preserve"> v </w:t>
      </w:r>
      <w:r w:rsidRPr="00083739">
        <w:rPr>
          <w:rFonts w:cs="Times New Roman"/>
          <w:noProof/>
          <w:lang w:val="sk-SK"/>
        </w:rPr>
        <w:t>kľúčových oblastiach politiky, konkrétne ochrana oznamovateľov, lobizmus</w:t>
      </w:r>
      <w:r w:rsidR="00083739" w:rsidRPr="00083739">
        <w:rPr>
          <w:rFonts w:cs="Times New Roman"/>
          <w:noProof/>
          <w:lang w:val="sk-SK"/>
        </w:rPr>
        <w:t xml:space="preserve"> a </w:t>
      </w:r>
      <w:r w:rsidRPr="00083739">
        <w:rPr>
          <w:rFonts w:cs="Times New Roman"/>
          <w:noProof/>
          <w:lang w:val="sk-SK"/>
        </w:rPr>
        <w:t xml:space="preserve">konflikty záujmov; III) </w:t>
      </w:r>
      <w:r w:rsidRPr="00083739">
        <w:rPr>
          <w:rFonts w:cs="Times New Roman"/>
          <w:noProof/>
          <w:lang w:val="sk-SK"/>
        </w:rPr>
        <w:t>posilnenie systému vnútornej kontroly</w:t>
      </w:r>
      <w:r w:rsidR="00083739" w:rsidRPr="00083739">
        <w:rPr>
          <w:rFonts w:cs="Times New Roman"/>
          <w:noProof/>
          <w:lang w:val="sk-SK"/>
        </w:rPr>
        <w:t xml:space="preserve"> a </w:t>
      </w:r>
      <w:r w:rsidRPr="00083739">
        <w:rPr>
          <w:rFonts w:cs="Times New Roman"/>
          <w:noProof/>
          <w:lang w:val="sk-SK"/>
        </w:rPr>
        <w:t>vytvorenie vnútroštátnej siete poradcov pre integritu vo verejnej správe; IV) vypracovanie etických</w:t>
      </w:r>
      <w:r w:rsidR="00083739" w:rsidRPr="00083739">
        <w:rPr>
          <w:rFonts w:cs="Times New Roman"/>
          <w:noProof/>
          <w:lang w:val="sk-SK"/>
        </w:rPr>
        <w:t xml:space="preserve"> a </w:t>
      </w:r>
      <w:r w:rsidRPr="00083739">
        <w:rPr>
          <w:rFonts w:cs="Times New Roman"/>
          <w:noProof/>
          <w:lang w:val="sk-SK"/>
        </w:rPr>
        <w:t>deontologických kódexov</w:t>
      </w:r>
      <w:r w:rsidR="00083739" w:rsidRPr="00083739">
        <w:rPr>
          <w:rFonts w:cs="Times New Roman"/>
          <w:noProof/>
          <w:lang w:val="sk-SK"/>
        </w:rPr>
        <w:t xml:space="preserve"> a </w:t>
      </w:r>
      <w:r w:rsidRPr="00083739">
        <w:rPr>
          <w:rFonts w:cs="Times New Roman"/>
          <w:noProof/>
          <w:lang w:val="sk-SK"/>
        </w:rPr>
        <w:t>revízia disciplinárnych postupov; v) iniciatívy na zvýšenie informovanosti</w:t>
      </w:r>
      <w:r w:rsidR="00083739" w:rsidRPr="00083739">
        <w:rPr>
          <w:rFonts w:cs="Times New Roman"/>
          <w:noProof/>
          <w:lang w:val="sk-SK"/>
        </w:rPr>
        <w:t xml:space="preserve"> o </w:t>
      </w:r>
      <w:r w:rsidRPr="00083739">
        <w:rPr>
          <w:rFonts w:cs="Times New Roman"/>
          <w:noProof/>
          <w:lang w:val="sk-SK"/>
        </w:rPr>
        <w:t>podvodoch</w:t>
      </w:r>
      <w:r w:rsidR="00083739" w:rsidRPr="00083739">
        <w:rPr>
          <w:rFonts w:cs="Times New Roman"/>
          <w:noProof/>
          <w:lang w:val="sk-SK"/>
        </w:rPr>
        <w:t xml:space="preserve"> a </w:t>
      </w:r>
      <w:r w:rsidRPr="00083739">
        <w:rPr>
          <w:rFonts w:cs="Times New Roman"/>
          <w:noProof/>
          <w:lang w:val="sk-SK"/>
        </w:rPr>
        <w:t>korupcii; VI) prijatie národného protikorupčného akčného plánu na roky 2022 – 2025;</w:t>
      </w:r>
      <w:r w:rsidR="00083739" w:rsidRPr="00083739">
        <w:rPr>
          <w:rFonts w:cs="Times New Roman"/>
          <w:noProof/>
          <w:lang w:val="sk-SK"/>
        </w:rPr>
        <w:t xml:space="preserve"> a </w:t>
      </w:r>
      <w:r w:rsidRPr="00083739">
        <w:rPr>
          <w:rFonts w:cs="Times New Roman"/>
          <w:noProof/>
          <w:lang w:val="sk-SK"/>
        </w:rPr>
        <w:t>vii) projekty na financovanie digitálnych</w:t>
      </w:r>
      <w:r w:rsidR="00083739" w:rsidRPr="00083739">
        <w:rPr>
          <w:rFonts w:cs="Times New Roman"/>
          <w:noProof/>
          <w:lang w:val="sk-SK"/>
        </w:rPr>
        <w:t xml:space="preserve"> a </w:t>
      </w:r>
      <w:r w:rsidRPr="00083739">
        <w:rPr>
          <w:rFonts w:cs="Times New Roman"/>
          <w:noProof/>
          <w:lang w:val="sk-SK"/>
        </w:rPr>
        <w:t>infraštruktúrnych kapacít agentúry. Implementácia tejto reformy sa dokončí do 31</w:t>
      </w:r>
      <w:r w:rsidR="00083739" w:rsidRPr="00083739">
        <w:rPr>
          <w:rFonts w:cs="Times New Roman"/>
          <w:noProof/>
          <w:lang w:val="sk-SK"/>
        </w:rPr>
        <w:t>. decembra</w:t>
      </w:r>
      <w:r w:rsidRPr="00083739">
        <w:rPr>
          <w:rFonts w:cs="Times New Roman"/>
          <w:noProof/>
          <w:lang w:val="sk-SK"/>
        </w:rPr>
        <w:t xml:space="preserve"> 2025.</w:t>
      </w:r>
    </w:p>
    <w:p w14:paraId="4597C727" w14:textId="7777777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Reforma:</w:t>
      </w:r>
      <w:r w:rsidRPr="00083739">
        <w:rPr>
          <w:rFonts w:cs="Times New Roman"/>
          <w:noProof/>
          <w:lang w:val="sk-SK"/>
        </w:rPr>
        <w:t xml:space="preserve"> Posilniť sieť štá</w:t>
      </w:r>
      <w:r w:rsidRPr="00083739">
        <w:rPr>
          <w:rFonts w:cs="Times New Roman"/>
          <w:noProof/>
          <w:lang w:val="sk-SK"/>
        </w:rPr>
        <w:t>tnej pomoci (ID opatrenia 16701)</w:t>
      </w:r>
    </w:p>
    <w:p w14:paraId="6ABFFCB4" w14:textId="4D7CF855"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Touto reformou sa zreviduje grécky právny rámec štátnej pomoci</w:t>
      </w:r>
      <w:r w:rsidR="00083739" w:rsidRPr="00083739">
        <w:rPr>
          <w:rFonts w:cs="Times New Roman"/>
          <w:noProof/>
          <w:lang w:val="sk-SK"/>
        </w:rPr>
        <w:t xml:space="preserve"> a </w:t>
      </w:r>
      <w:r w:rsidRPr="00083739">
        <w:rPr>
          <w:rFonts w:cs="Times New Roman"/>
          <w:noProof/>
          <w:lang w:val="sk-SK"/>
        </w:rPr>
        <w:t>posilní sa kapacita siete jednotiek štátnej pomoci na ministerstvách,</w:t>
      </w:r>
      <w:r w:rsidR="00083739" w:rsidRPr="00083739">
        <w:rPr>
          <w:rFonts w:cs="Times New Roman"/>
          <w:noProof/>
          <w:lang w:val="sk-SK"/>
        </w:rPr>
        <w:t xml:space="preserve"> a </w:t>
      </w:r>
      <w:r w:rsidRPr="00083739">
        <w:rPr>
          <w:rFonts w:cs="Times New Roman"/>
          <w:noProof/>
          <w:lang w:val="sk-SK"/>
        </w:rPr>
        <w:t>to najmä prostredníctvom modernizácie centrálneho informačného systému štátnej pomoci,</w:t>
      </w:r>
      <w:r w:rsidRPr="00083739">
        <w:rPr>
          <w:rFonts w:cs="Times New Roman"/>
          <w:noProof/>
          <w:lang w:val="sk-SK"/>
        </w:rPr>
        <w:t xml:space="preserve"> ktorým sa zriadi digitálna knižnica prípadov štátnej pomoci, intranetová komunikačná platforma</w:t>
      </w:r>
      <w:r w:rsidR="00083739" w:rsidRPr="00083739">
        <w:rPr>
          <w:rFonts w:cs="Times New Roman"/>
          <w:noProof/>
          <w:lang w:val="sk-SK"/>
        </w:rPr>
        <w:t xml:space="preserve"> a </w:t>
      </w:r>
      <w:r w:rsidRPr="00083739">
        <w:rPr>
          <w:rFonts w:cs="Times New Roman"/>
          <w:noProof/>
          <w:lang w:val="sk-SK"/>
        </w:rPr>
        <w:t>nástroje na analýzu údajov. Implementácia tejto reformy sa dokončí do 31</w:t>
      </w:r>
      <w:r w:rsidR="00083739" w:rsidRPr="00083739">
        <w:rPr>
          <w:rFonts w:cs="Times New Roman"/>
          <w:noProof/>
          <w:lang w:val="sk-SK"/>
        </w:rPr>
        <w:t>. decembra</w:t>
      </w:r>
      <w:r w:rsidRPr="00083739">
        <w:rPr>
          <w:rFonts w:cs="Times New Roman"/>
          <w:noProof/>
          <w:lang w:val="sk-SK"/>
        </w:rPr>
        <w:t xml:space="preserve"> 2024.</w:t>
      </w:r>
    </w:p>
    <w:p w14:paraId="624E87EA" w14:textId="64676D7E"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Reforma:</w:t>
      </w:r>
      <w:r w:rsidRPr="00083739">
        <w:rPr>
          <w:rFonts w:cs="Times New Roman"/>
          <w:noProof/>
          <w:lang w:val="sk-SK"/>
        </w:rPr>
        <w:t xml:space="preserve"> Posilnenie rámca boja proti praniu špinavých peňazí</w:t>
      </w:r>
      <w:r w:rsidR="00083739" w:rsidRPr="00083739">
        <w:rPr>
          <w:rFonts w:cs="Times New Roman"/>
          <w:noProof/>
          <w:lang w:val="sk-SK"/>
        </w:rPr>
        <w:t xml:space="preserve"> a </w:t>
      </w:r>
      <w:r w:rsidRPr="00083739">
        <w:rPr>
          <w:rFonts w:cs="Times New Roman"/>
          <w:noProof/>
          <w:lang w:val="sk-SK"/>
        </w:rPr>
        <w:t>financovaniu terorizmu (ID opatrenia 16702)</w:t>
      </w:r>
    </w:p>
    <w:p w14:paraId="79C105E1" w14:textId="2CFBA943"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Reforma sa týka zriadenia digitálnej platformy na zber štatistických údajov</w:t>
      </w:r>
      <w:r w:rsidR="00083739" w:rsidRPr="00083739">
        <w:rPr>
          <w:rFonts w:cs="Times New Roman"/>
          <w:noProof/>
          <w:lang w:val="sk-SK"/>
        </w:rPr>
        <w:t xml:space="preserve"> v </w:t>
      </w:r>
      <w:r w:rsidRPr="00083739">
        <w:rPr>
          <w:rFonts w:cs="Times New Roman"/>
          <w:noProof/>
          <w:lang w:val="sk-SK"/>
        </w:rPr>
        <w:t>držbe justičných orgánov, orgánov dohľadu</w:t>
      </w:r>
      <w:r w:rsidR="00083739" w:rsidRPr="00083739">
        <w:rPr>
          <w:rFonts w:cs="Times New Roman"/>
          <w:noProof/>
          <w:lang w:val="sk-SK"/>
        </w:rPr>
        <w:t xml:space="preserve"> a </w:t>
      </w:r>
      <w:r w:rsidRPr="00083739">
        <w:rPr>
          <w:rFonts w:cs="Times New Roman"/>
          <w:noProof/>
          <w:lang w:val="sk-SK"/>
        </w:rPr>
        <w:t>orgánov presadzovania práva</w:t>
      </w:r>
      <w:r w:rsidR="00083739" w:rsidRPr="00083739">
        <w:rPr>
          <w:rFonts w:cs="Times New Roman"/>
          <w:noProof/>
          <w:lang w:val="sk-SK"/>
        </w:rPr>
        <w:t xml:space="preserve"> a </w:t>
      </w:r>
      <w:r w:rsidRPr="00083739">
        <w:rPr>
          <w:rFonts w:cs="Times New Roman"/>
          <w:noProof/>
          <w:lang w:val="sk-SK"/>
        </w:rPr>
        <w:t>zlepšenia centrálneho registra konečných užívateľov výhod</w:t>
      </w:r>
      <w:r w:rsidR="00083739" w:rsidRPr="00083739">
        <w:rPr>
          <w:rFonts w:cs="Times New Roman"/>
          <w:noProof/>
          <w:lang w:val="sk-SK"/>
        </w:rPr>
        <w:t xml:space="preserve"> s </w:t>
      </w:r>
      <w:r w:rsidRPr="00083739">
        <w:rPr>
          <w:rFonts w:cs="Times New Roman"/>
          <w:noProof/>
          <w:lang w:val="sk-SK"/>
        </w:rPr>
        <w:t>cieľom uľahčiť priamy prístup príslušných orgánov</w:t>
      </w:r>
      <w:r w:rsidR="00083739" w:rsidRPr="00083739">
        <w:rPr>
          <w:rFonts w:cs="Times New Roman"/>
          <w:noProof/>
          <w:lang w:val="sk-SK"/>
        </w:rPr>
        <w:t xml:space="preserve"> k </w:t>
      </w:r>
      <w:r w:rsidRPr="00083739">
        <w:rPr>
          <w:rFonts w:cs="Times New Roman"/>
          <w:noProof/>
          <w:lang w:val="sk-SK"/>
        </w:rPr>
        <w:t>informáciám</w:t>
      </w:r>
      <w:r w:rsidR="00083739" w:rsidRPr="00083739">
        <w:rPr>
          <w:rFonts w:cs="Times New Roman"/>
          <w:noProof/>
          <w:lang w:val="sk-SK"/>
        </w:rPr>
        <w:t xml:space="preserve"> o </w:t>
      </w:r>
      <w:r w:rsidRPr="00083739">
        <w:rPr>
          <w:rFonts w:cs="Times New Roman"/>
          <w:noProof/>
          <w:lang w:val="sk-SK"/>
        </w:rPr>
        <w:t>skutočnom vlastníctve. Implementácia tejto reformy sa dokončí do 30</w:t>
      </w:r>
      <w:r w:rsidR="00083739" w:rsidRPr="00083739">
        <w:rPr>
          <w:rFonts w:cs="Times New Roman"/>
          <w:noProof/>
          <w:lang w:val="sk-SK"/>
        </w:rPr>
        <w:t>. júna</w:t>
      </w:r>
      <w:r w:rsidRPr="00083739">
        <w:rPr>
          <w:rFonts w:cs="Times New Roman"/>
          <w:noProof/>
          <w:lang w:val="sk-SK"/>
        </w:rPr>
        <w:t xml:space="preserve"> 2024.</w:t>
      </w:r>
    </w:p>
    <w:p w14:paraId="7D0B7BD3" w14:textId="7777777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Reforma:</w:t>
      </w:r>
      <w:r w:rsidRPr="00083739">
        <w:rPr>
          <w:rFonts w:cs="Times New Roman"/>
          <w:noProof/>
          <w:lang w:val="sk-SK"/>
        </w:rPr>
        <w:t xml:space="preserve"> Reforma účtovníctva (identifikačné číslo opatrenia 16974)</w:t>
      </w:r>
    </w:p>
    <w:p w14:paraId="3C9A4DDB" w14:textId="64306085"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Reformou sa zavádza postupný prechod od upr</w:t>
      </w:r>
      <w:r w:rsidRPr="00083739">
        <w:rPr>
          <w:rFonts w:cs="Times New Roman"/>
          <w:noProof/>
          <w:lang w:val="sk-SK"/>
        </w:rPr>
        <w:t>avenej hotovosti</w:t>
      </w:r>
      <w:r w:rsidR="00083739" w:rsidRPr="00083739">
        <w:rPr>
          <w:rFonts w:cs="Times New Roman"/>
          <w:noProof/>
          <w:lang w:val="sk-SK"/>
        </w:rPr>
        <w:t xml:space="preserve"> k </w:t>
      </w:r>
      <w:r w:rsidRPr="00083739">
        <w:rPr>
          <w:rFonts w:cs="Times New Roman"/>
          <w:noProof/>
          <w:lang w:val="sk-SK"/>
        </w:rPr>
        <w:t>účtovaniu na základe časového rozlíšenia</w:t>
      </w:r>
      <w:r w:rsidR="00083739" w:rsidRPr="00083739">
        <w:rPr>
          <w:rFonts w:cs="Times New Roman"/>
          <w:noProof/>
          <w:lang w:val="sk-SK"/>
        </w:rPr>
        <w:t xml:space="preserve"> a </w:t>
      </w:r>
      <w:r w:rsidRPr="00083739">
        <w:rPr>
          <w:rFonts w:cs="Times New Roman"/>
          <w:noProof/>
          <w:lang w:val="sk-SK"/>
        </w:rPr>
        <w:t>konsolidovanému finančnému výkazníctvu</w:t>
      </w:r>
      <w:r w:rsidR="00083739" w:rsidRPr="00083739">
        <w:rPr>
          <w:rFonts w:cs="Times New Roman"/>
          <w:noProof/>
          <w:lang w:val="sk-SK"/>
        </w:rPr>
        <w:t xml:space="preserve"> v </w:t>
      </w:r>
      <w:r w:rsidRPr="00083739">
        <w:rPr>
          <w:rFonts w:cs="Times New Roman"/>
          <w:noProof/>
          <w:lang w:val="sk-SK"/>
        </w:rPr>
        <w:t>rámci verejnej správy. Zahŕňa prijatie akruálneho účtovníctva, odbornú prípravu príslušných zamestnancov</w:t>
      </w:r>
      <w:r w:rsidR="00083739" w:rsidRPr="00083739">
        <w:rPr>
          <w:rFonts w:cs="Times New Roman"/>
          <w:noProof/>
          <w:lang w:val="sk-SK"/>
        </w:rPr>
        <w:t xml:space="preserve"> a </w:t>
      </w:r>
      <w:r w:rsidRPr="00083739">
        <w:rPr>
          <w:rFonts w:cs="Times New Roman"/>
          <w:noProof/>
          <w:lang w:val="sk-SK"/>
        </w:rPr>
        <w:t>návrh</w:t>
      </w:r>
      <w:r w:rsidR="00083739" w:rsidRPr="00083739">
        <w:rPr>
          <w:rFonts w:cs="Times New Roman"/>
          <w:noProof/>
          <w:lang w:val="sk-SK"/>
        </w:rPr>
        <w:t xml:space="preserve"> a </w:t>
      </w:r>
      <w:r w:rsidRPr="00083739">
        <w:rPr>
          <w:rFonts w:cs="Times New Roman"/>
          <w:noProof/>
          <w:lang w:val="sk-SK"/>
        </w:rPr>
        <w:t>zavedenie vládneho plánovania podnikov</w:t>
      </w:r>
      <w:r w:rsidRPr="00083739">
        <w:rPr>
          <w:rFonts w:cs="Times New Roman"/>
          <w:noProof/>
          <w:lang w:val="sk-SK"/>
        </w:rPr>
        <w:t>ých zdrojov (GOV-ERP). Cieľom nového informačného systému je rozšírenie</w:t>
      </w:r>
      <w:r w:rsidR="00083739" w:rsidRPr="00083739">
        <w:rPr>
          <w:rFonts w:cs="Times New Roman"/>
          <w:noProof/>
          <w:lang w:val="sk-SK"/>
        </w:rPr>
        <w:t xml:space="preserve"> a </w:t>
      </w:r>
      <w:r w:rsidRPr="00083739">
        <w:rPr>
          <w:rFonts w:cs="Times New Roman"/>
          <w:noProof/>
          <w:lang w:val="sk-SK"/>
        </w:rPr>
        <w:t>technologická modernizácia súčasného integrovaného informačného systému fiškálnej politiky (OPSDP)</w:t>
      </w:r>
      <w:r w:rsidR="00083739" w:rsidRPr="00083739">
        <w:rPr>
          <w:rFonts w:cs="Times New Roman"/>
          <w:noProof/>
          <w:lang w:val="sk-SK"/>
        </w:rPr>
        <w:t xml:space="preserve"> s </w:t>
      </w:r>
      <w:r w:rsidRPr="00083739">
        <w:rPr>
          <w:rFonts w:cs="Times New Roman"/>
          <w:noProof/>
          <w:lang w:val="sk-SK"/>
        </w:rPr>
        <w:t>cieľom uspokojiť potreby riadenia verejných financií</w:t>
      </w:r>
      <w:r w:rsidR="00083739" w:rsidRPr="00083739">
        <w:rPr>
          <w:rFonts w:cs="Times New Roman"/>
          <w:noProof/>
          <w:lang w:val="sk-SK"/>
        </w:rPr>
        <w:t xml:space="preserve"> v </w:t>
      </w:r>
      <w:r w:rsidRPr="00083739">
        <w:rPr>
          <w:rFonts w:cs="Times New Roman"/>
          <w:noProof/>
          <w:lang w:val="sk-SK"/>
        </w:rPr>
        <w:t>ústrednej správe. Výsledko</w:t>
      </w:r>
      <w:r w:rsidRPr="00083739">
        <w:rPr>
          <w:rFonts w:cs="Times New Roman"/>
          <w:noProof/>
          <w:lang w:val="sk-SK"/>
        </w:rPr>
        <w:t>m bude nový integrovaný informačný systém finančného riadenia (GOV-ERP). Implementácia tejto reformy sa dokončí do 31</w:t>
      </w:r>
      <w:r w:rsidR="00083739" w:rsidRPr="00083739">
        <w:rPr>
          <w:rFonts w:cs="Times New Roman"/>
          <w:noProof/>
          <w:lang w:val="sk-SK"/>
        </w:rPr>
        <w:t>. decembra</w:t>
      </w:r>
      <w:r w:rsidRPr="00083739">
        <w:rPr>
          <w:rFonts w:cs="Times New Roman"/>
          <w:noProof/>
          <w:lang w:val="sk-SK"/>
        </w:rPr>
        <w:t xml:space="preserve"> 2025.</w:t>
      </w:r>
    </w:p>
    <w:p w14:paraId="06A99C4F" w14:textId="7777777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Reforma:</w:t>
      </w:r>
      <w:r w:rsidRPr="00083739">
        <w:rPr>
          <w:rFonts w:cs="Times New Roman"/>
          <w:noProof/>
          <w:lang w:val="sk-SK"/>
        </w:rPr>
        <w:t xml:space="preserve"> Moderný inštitucionálny rámec pre štátom vlastnené podniky (ID opatrenia 16657)</w:t>
      </w:r>
    </w:p>
    <w:p w14:paraId="33DE3CB2" w14:textId="56CE5DF3"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Touto reformou sa zavádza moderný</w:t>
      </w:r>
      <w:r w:rsidRPr="00083739">
        <w:rPr>
          <w:rFonts w:cs="Times New Roman"/>
          <w:noProof/>
          <w:lang w:val="sk-SK"/>
        </w:rPr>
        <w:t xml:space="preserve"> právny rámec pre fungovanie</w:t>
      </w:r>
      <w:r w:rsidR="00083739" w:rsidRPr="00083739">
        <w:rPr>
          <w:rFonts w:cs="Times New Roman"/>
          <w:noProof/>
          <w:lang w:val="sk-SK"/>
        </w:rPr>
        <w:t xml:space="preserve"> a </w:t>
      </w:r>
      <w:r w:rsidRPr="00083739">
        <w:rPr>
          <w:rFonts w:cs="Times New Roman"/>
          <w:noProof/>
          <w:lang w:val="sk-SK"/>
        </w:rPr>
        <w:t>riadenie verejných podnikov</w:t>
      </w:r>
      <w:r w:rsidR="00083739" w:rsidRPr="00083739">
        <w:rPr>
          <w:rFonts w:cs="Times New Roman"/>
          <w:noProof/>
          <w:lang w:val="sk-SK"/>
        </w:rPr>
        <w:t xml:space="preserve"> a </w:t>
      </w:r>
      <w:r w:rsidRPr="00083739">
        <w:rPr>
          <w:rFonts w:cs="Times New Roman"/>
          <w:noProof/>
          <w:lang w:val="sk-SK"/>
        </w:rPr>
        <w:t>organizácií. Vymedzuje usmernenia týkajúce sa správy</w:t>
      </w:r>
      <w:r w:rsidR="00083739" w:rsidRPr="00083739">
        <w:rPr>
          <w:rFonts w:cs="Times New Roman"/>
          <w:noProof/>
          <w:lang w:val="sk-SK"/>
        </w:rPr>
        <w:t xml:space="preserve"> a </w:t>
      </w:r>
      <w:r w:rsidRPr="00083739">
        <w:rPr>
          <w:rFonts w:cs="Times New Roman"/>
          <w:noProof/>
          <w:lang w:val="sk-SK"/>
        </w:rPr>
        <w:t>riadenia spoločností</w:t>
      </w:r>
      <w:r w:rsidR="00083739" w:rsidRPr="00083739">
        <w:rPr>
          <w:rFonts w:cs="Times New Roman"/>
          <w:noProof/>
          <w:lang w:val="sk-SK"/>
        </w:rPr>
        <w:t xml:space="preserve"> a </w:t>
      </w:r>
      <w:r w:rsidRPr="00083739">
        <w:rPr>
          <w:rFonts w:cs="Times New Roman"/>
          <w:noProof/>
          <w:lang w:val="sk-SK"/>
        </w:rPr>
        <w:t>osobitné pravidlá riadenia štátom vlastnených podnikov, ako je vymenovanie predsedu, výkonných riaditeľov</w:t>
      </w:r>
      <w:r w:rsidR="00083739" w:rsidRPr="00083739">
        <w:rPr>
          <w:rFonts w:cs="Times New Roman"/>
          <w:noProof/>
          <w:lang w:val="sk-SK"/>
        </w:rPr>
        <w:t xml:space="preserve"> a </w:t>
      </w:r>
      <w:r w:rsidRPr="00083739">
        <w:rPr>
          <w:rFonts w:cs="Times New Roman"/>
          <w:noProof/>
          <w:lang w:val="sk-SK"/>
        </w:rPr>
        <w:t>výkonných</w:t>
      </w:r>
      <w:r w:rsidRPr="00083739">
        <w:rPr>
          <w:rFonts w:cs="Times New Roman"/>
          <w:noProof/>
          <w:lang w:val="sk-SK"/>
        </w:rPr>
        <w:t xml:space="preserve"> riaditeľov správnou radou,</w:t>
      </w:r>
      <w:r w:rsidR="00083739" w:rsidRPr="00083739">
        <w:rPr>
          <w:rFonts w:cs="Times New Roman"/>
          <w:noProof/>
          <w:lang w:val="sk-SK"/>
        </w:rPr>
        <w:t xml:space="preserve"> a </w:t>
      </w:r>
      <w:r w:rsidRPr="00083739">
        <w:rPr>
          <w:rFonts w:cs="Times New Roman"/>
          <w:noProof/>
          <w:lang w:val="sk-SK"/>
        </w:rPr>
        <w:t>ustanovenia</w:t>
      </w:r>
      <w:r w:rsidR="00083739" w:rsidRPr="00083739">
        <w:rPr>
          <w:rFonts w:cs="Times New Roman"/>
          <w:noProof/>
          <w:lang w:val="sk-SK"/>
        </w:rPr>
        <w:t xml:space="preserve"> o </w:t>
      </w:r>
      <w:r w:rsidRPr="00083739">
        <w:rPr>
          <w:rFonts w:cs="Times New Roman"/>
          <w:noProof/>
          <w:lang w:val="sk-SK"/>
        </w:rPr>
        <w:t>zriadení výborov pre vnútorný audit</w:t>
      </w:r>
      <w:r w:rsidR="00083739" w:rsidRPr="00083739">
        <w:rPr>
          <w:rFonts w:cs="Times New Roman"/>
          <w:noProof/>
          <w:lang w:val="sk-SK"/>
        </w:rPr>
        <w:t xml:space="preserve"> s </w:t>
      </w:r>
      <w:r w:rsidRPr="00083739">
        <w:rPr>
          <w:rFonts w:cs="Times New Roman"/>
          <w:noProof/>
          <w:lang w:val="sk-SK"/>
        </w:rPr>
        <w:t>cieľom zabezpečiť transparentnosť. Reformou sa zriadi aj digitálny register na zaznamenávanie všetkých podnikov, organizácií</w:t>
      </w:r>
      <w:r w:rsidR="00083739" w:rsidRPr="00083739">
        <w:rPr>
          <w:rFonts w:cs="Times New Roman"/>
          <w:noProof/>
          <w:lang w:val="sk-SK"/>
        </w:rPr>
        <w:t xml:space="preserve"> a </w:t>
      </w:r>
      <w:r w:rsidRPr="00083739">
        <w:rPr>
          <w:rFonts w:cs="Times New Roman"/>
          <w:noProof/>
          <w:lang w:val="sk-SK"/>
        </w:rPr>
        <w:t>akýchkoľvek iných právnych subjektov,</w:t>
      </w:r>
      <w:r w:rsidR="00083739" w:rsidRPr="00083739">
        <w:rPr>
          <w:rFonts w:cs="Times New Roman"/>
          <w:noProof/>
          <w:lang w:val="sk-SK"/>
        </w:rPr>
        <w:t xml:space="preserve"> v </w:t>
      </w:r>
      <w:r w:rsidRPr="00083739">
        <w:rPr>
          <w:rFonts w:cs="Times New Roman"/>
          <w:noProof/>
          <w:lang w:val="sk-SK"/>
        </w:rPr>
        <w:t>ktorých</w:t>
      </w:r>
      <w:r w:rsidRPr="00083739">
        <w:rPr>
          <w:rFonts w:cs="Times New Roman"/>
          <w:noProof/>
          <w:lang w:val="sk-SK"/>
        </w:rPr>
        <w:t xml:space="preserve"> sa štát zúčastňuje, čím sa podporí účinné monitorovanie</w:t>
      </w:r>
      <w:r w:rsidR="00083739" w:rsidRPr="00083739">
        <w:rPr>
          <w:rFonts w:cs="Times New Roman"/>
          <w:noProof/>
          <w:lang w:val="sk-SK"/>
        </w:rPr>
        <w:t xml:space="preserve"> a </w:t>
      </w:r>
      <w:r w:rsidRPr="00083739">
        <w:rPr>
          <w:rFonts w:cs="Times New Roman"/>
          <w:noProof/>
          <w:lang w:val="sk-SK"/>
        </w:rPr>
        <w:t>kontrola účasti štátu. Implementácia tejto reformy sa dokončí do 31</w:t>
      </w:r>
      <w:r w:rsidR="00083739" w:rsidRPr="00083739">
        <w:rPr>
          <w:rFonts w:cs="Times New Roman"/>
          <w:noProof/>
          <w:lang w:val="sk-SK"/>
        </w:rPr>
        <w:t>. decembra</w:t>
      </w:r>
      <w:r w:rsidRPr="00083739">
        <w:rPr>
          <w:rFonts w:cs="Times New Roman"/>
          <w:noProof/>
          <w:lang w:val="sk-SK"/>
        </w:rPr>
        <w:t xml:space="preserve"> 2022.</w:t>
      </w:r>
    </w:p>
    <w:p w14:paraId="6FCB42C4" w14:textId="7777777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Reforma:</w:t>
      </w:r>
      <w:r w:rsidRPr="00083739">
        <w:rPr>
          <w:rFonts w:cs="Times New Roman"/>
          <w:noProof/>
          <w:lang w:val="sk-SK"/>
        </w:rPr>
        <w:t xml:space="preserve"> Účinný boj proti korupcii (ID 16978)</w:t>
      </w:r>
    </w:p>
    <w:p w14:paraId="63CD4BB1" w14:textId="766CA626"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Reformou sa vykoná séria zmien právneho rámca Grécka</w:t>
      </w:r>
      <w:r w:rsidR="00083739" w:rsidRPr="00083739">
        <w:rPr>
          <w:rFonts w:cs="Times New Roman"/>
          <w:noProof/>
          <w:lang w:val="sk-SK"/>
        </w:rPr>
        <w:t xml:space="preserve"> s </w:t>
      </w:r>
      <w:r w:rsidRPr="00083739">
        <w:rPr>
          <w:rFonts w:cs="Times New Roman"/>
          <w:noProof/>
          <w:lang w:val="sk-SK"/>
        </w:rPr>
        <w:t>cieľom zlepš</w:t>
      </w:r>
      <w:r w:rsidRPr="00083739">
        <w:rPr>
          <w:rFonts w:cs="Times New Roman"/>
          <w:noProof/>
          <w:lang w:val="sk-SK"/>
        </w:rPr>
        <w:t>iť právnu reakciu na korupciu. Konkrétne sa vzťahuje na štyri oblasti: I) majetkové priznania; II) ochrana osôb, ktoré nahlasujú porušenia práva Únie; III) Trestný zákon</w:t>
      </w:r>
      <w:r w:rsidR="00083739" w:rsidRPr="00083739">
        <w:rPr>
          <w:rFonts w:cs="Times New Roman"/>
          <w:noProof/>
          <w:lang w:val="sk-SK"/>
        </w:rPr>
        <w:t xml:space="preserve"> a </w:t>
      </w:r>
      <w:r w:rsidRPr="00083739">
        <w:rPr>
          <w:rFonts w:cs="Times New Roman"/>
          <w:noProof/>
          <w:lang w:val="sk-SK"/>
        </w:rPr>
        <w:t>trestný poriadok;</w:t>
      </w:r>
      <w:r w:rsidR="00083739" w:rsidRPr="00083739">
        <w:rPr>
          <w:rFonts w:cs="Times New Roman"/>
          <w:noProof/>
          <w:lang w:val="sk-SK"/>
        </w:rPr>
        <w:t xml:space="preserve"> a </w:t>
      </w:r>
      <w:r w:rsidRPr="00083739">
        <w:rPr>
          <w:rFonts w:cs="Times New Roman"/>
          <w:noProof/>
          <w:lang w:val="sk-SK"/>
        </w:rPr>
        <w:t xml:space="preserve">iv) </w:t>
      </w:r>
      <w:r w:rsidRPr="00083739">
        <w:rPr>
          <w:rFonts w:cs="Times New Roman"/>
          <w:noProof/>
          <w:color w:val="000000"/>
          <w:lang w:val="sk-SK"/>
        </w:rPr>
        <w:t>kodifikáciou právnych predpisov týkajúcich sa politických st</w:t>
      </w:r>
      <w:r w:rsidRPr="00083739">
        <w:rPr>
          <w:rFonts w:cs="Times New Roman"/>
          <w:noProof/>
          <w:color w:val="000000"/>
          <w:lang w:val="sk-SK"/>
        </w:rPr>
        <w:t>rán</w:t>
      </w:r>
      <w:r w:rsidRPr="00083739">
        <w:rPr>
          <w:rFonts w:cs="Times New Roman"/>
          <w:noProof/>
          <w:lang w:val="sk-SK"/>
        </w:rPr>
        <w:t>. Implementácia reformy sa dokončí do 30</w:t>
      </w:r>
      <w:r w:rsidR="00083739" w:rsidRPr="00083739">
        <w:rPr>
          <w:rFonts w:cs="Times New Roman"/>
          <w:noProof/>
          <w:lang w:val="sk-SK"/>
        </w:rPr>
        <w:t>. septembra</w:t>
      </w:r>
      <w:r w:rsidRPr="00083739">
        <w:rPr>
          <w:rFonts w:cs="Times New Roman"/>
          <w:noProof/>
          <w:lang w:val="sk-SK"/>
        </w:rPr>
        <w:t xml:space="preserve"> 2022.</w:t>
      </w:r>
    </w:p>
    <w:p w14:paraId="55DDB41E" w14:textId="1C092DAE"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Transformácia fiškálneho riadenia</w:t>
      </w:r>
      <w:r w:rsidR="00083739" w:rsidRPr="00083739">
        <w:rPr>
          <w:rFonts w:cs="Times New Roman"/>
          <w:noProof/>
          <w:lang w:val="sk-SK"/>
        </w:rPr>
        <w:t xml:space="preserve"> a </w:t>
      </w:r>
      <w:r w:rsidRPr="00083739">
        <w:rPr>
          <w:rFonts w:cs="Times New Roman"/>
          <w:noProof/>
          <w:lang w:val="sk-SK"/>
        </w:rPr>
        <w:t>dohľadu</w:t>
      </w:r>
      <w:r w:rsidR="00083739" w:rsidRPr="00083739">
        <w:rPr>
          <w:rFonts w:cs="Times New Roman"/>
          <w:noProof/>
          <w:lang w:val="sk-SK"/>
        </w:rPr>
        <w:t xml:space="preserve"> v </w:t>
      </w:r>
      <w:r w:rsidRPr="00083739">
        <w:rPr>
          <w:rFonts w:cs="Times New Roman"/>
          <w:noProof/>
          <w:lang w:val="sk-SK"/>
        </w:rPr>
        <w:t>oblasti správy</w:t>
      </w:r>
      <w:r w:rsidR="00083739" w:rsidRPr="00083739">
        <w:rPr>
          <w:rFonts w:cs="Times New Roman"/>
          <w:noProof/>
          <w:lang w:val="sk-SK"/>
        </w:rPr>
        <w:t xml:space="preserve"> a </w:t>
      </w:r>
      <w:r w:rsidRPr="00083739">
        <w:rPr>
          <w:rFonts w:cs="Times New Roman"/>
          <w:noProof/>
          <w:lang w:val="sk-SK"/>
        </w:rPr>
        <w:t>elektronickej fakturácie (ID opatrenia 16705)</w:t>
      </w:r>
    </w:p>
    <w:p w14:paraId="3553D58A" w14:textId="32CA5D8B"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Investícia zlepší efektívnosť riadenia verejných financií a) vytvorením na</w:t>
      </w:r>
      <w:r w:rsidRPr="00083739">
        <w:rPr>
          <w:rFonts w:cs="Times New Roman"/>
          <w:noProof/>
          <w:lang w:val="sk-SK"/>
        </w:rPr>
        <w:t>jmodernejšieho</w:t>
      </w:r>
      <w:r w:rsidR="00083739" w:rsidRPr="00083739">
        <w:rPr>
          <w:rFonts w:cs="Times New Roman"/>
          <w:noProof/>
          <w:lang w:val="sk-SK"/>
        </w:rPr>
        <w:t xml:space="preserve"> a </w:t>
      </w:r>
      <w:r w:rsidRPr="00083739">
        <w:rPr>
          <w:rFonts w:cs="Times New Roman"/>
          <w:noProof/>
          <w:lang w:val="sk-SK"/>
        </w:rPr>
        <w:t>funkčného vládneho systému plánovania podnikových zdrojov (ERP) pre ústrednú správu; b) urýchlenie zavádzania elektronickej fakturácie</w:t>
      </w:r>
      <w:r w:rsidR="00083739" w:rsidRPr="00083739">
        <w:rPr>
          <w:rFonts w:cs="Times New Roman"/>
          <w:noProof/>
          <w:lang w:val="sk-SK"/>
        </w:rPr>
        <w:t xml:space="preserve"> v </w:t>
      </w:r>
      <w:r w:rsidRPr="00083739">
        <w:rPr>
          <w:rFonts w:cs="Times New Roman"/>
          <w:noProof/>
          <w:lang w:val="sk-SK"/>
        </w:rPr>
        <w:t>postupoch verejného obstarávania po zadaní zákazky. Realizácia investície sa ukončí do 31</w:t>
      </w:r>
      <w:r w:rsidR="00083739" w:rsidRPr="00083739">
        <w:rPr>
          <w:rFonts w:cs="Times New Roman"/>
          <w:noProof/>
          <w:lang w:val="sk-SK"/>
        </w:rPr>
        <w:t>. decembra</w:t>
      </w:r>
      <w:r w:rsidRPr="00083739">
        <w:rPr>
          <w:rFonts w:cs="Times New Roman"/>
          <w:noProof/>
          <w:lang w:val="sk-SK"/>
        </w:rPr>
        <w:t xml:space="preserve"> 20</w:t>
      </w:r>
      <w:r w:rsidRPr="00083739">
        <w:rPr>
          <w:rFonts w:cs="Times New Roman"/>
          <w:noProof/>
          <w:lang w:val="sk-SK"/>
        </w:rPr>
        <w:t>25.</w:t>
      </w:r>
    </w:p>
    <w:p w14:paraId="6C33E586" w14:textId="401FFE9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Modernizácia gréckeho fondu vkladov</w:t>
      </w:r>
      <w:r w:rsidR="00083739" w:rsidRPr="00083739">
        <w:rPr>
          <w:rFonts w:cs="Times New Roman"/>
          <w:noProof/>
          <w:lang w:val="sk-SK"/>
        </w:rPr>
        <w:t xml:space="preserve"> a </w:t>
      </w:r>
      <w:r w:rsidRPr="00083739">
        <w:rPr>
          <w:rFonts w:cs="Times New Roman"/>
          <w:noProof/>
          <w:lang w:val="sk-SK"/>
        </w:rPr>
        <w:t>úverov na zásielky (opatrenie ID 16940)</w:t>
      </w:r>
    </w:p>
    <w:p w14:paraId="1DF93015" w14:textId="088E69F2"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Investícia zvýši prevádzkovú efektívnosť Helénskeho fondu pre vklady</w:t>
      </w:r>
      <w:r w:rsidR="00083739" w:rsidRPr="00083739">
        <w:rPr>
          <w:rFonts w:cs="Times New Roman"/>
          <w:noProof/>
          <w:lang w:val="sk-SK"/>
        </w:rPr>
        <w:t xml:space="preserve"> a </w:t>
      </w:r>
      <w:r w:rsidRPr="00083739">
        <w:rPr>
          <w:rFonts w:cs="Times New Roman"/>
          <w:noProof/>
          <w:lang w:val="sk-SK"/>
        </w:rPr>
        <w:t>úvery (CDLF) posilnením jeho digitálnych kapacít, konkrétne dokončením týchto čiastkových p</w:t>
      </w:r>
      <w:r w:rsidRPr="00083739">
        <w:rPr>
          <w:rFonts w:cs="Times New Roman"/>
          <w:noProof/>
          <w:lang w:val="sk-SK"/>
        </w:rPr>
        <w:t>rojektov: I) digitalizácia pôžičiek</w:t>
      </w:r>
      <w:r w:rsidR="00083739" w:rsidRPr="00083739">
        <w:rPr>
          <w:rFonts w:cs="Times New Roman"/>
          <w:noProof/>
          <w:lang w:val="sk-SK"/>
        </w:rPr>
        <w:t xml:space="preserve"> a </w:t>
      </w:r>
      <w:r w:rsidRPr="00083739">
        <w:rPr>
          <w:rFonts w:cs="Times New Roman"/>
          <w:noProof/>
          <w:lang w:val="sk-SK"/>
        </w:rPr>
        <w:t>súvisiacich spisov</w:t>
      </w:r>
      <w:r w:rsidR="00083739" w:rsidRPr="00083739">
        <w:rPr>
          <w:rFonts w:cs="Times New Roman"/>
          <w:noProof/>
          <w:lang w:val="sk-SK"/>
        </w:rPr>
        <w:t xml:space="preserve"> a </w:t>
      </w:r>
      <w:r w:rsidRPr="00083739">
        <w:rPr>
          <w:rFonts w:cs="Times New Roman"/>
          <w:noProof/>
          <w:lang w:val="sk-SK"/>
        </w:rPr>
        <w:t>archívov</w:t>
      </w:r>
      <w:r w:rsidR="00083739" w:rsidRPr="00083739">
        <w:rPr>
          <w:rFonts w:cs="Times New Roman"/>
          <w:noProof/>
          <w:lang w:val="sk-SK"/>
        </w:rPr>
        <w:t xml:space="preserve"> a </w:t>
      </w:r>
      <w:r w:rsidRPr="00083739">
        <w:rPr>
          <w:rFonts w:cs="Times New Roman"/>
          <w:noProof/>
          <w:lang w:val="sk-SK"/>
        </w:rPr>
        <w:t>začlenenie do nového systému správy dokumentov; II) zavedenie integrovaného informačného systému (IIS) iii) poskytovanie informačného systému pre plánovanie podnikových zdrojov (ERP); IV</w:t>
      </w:r>
      <w:r w:rsidRPr="00083739">
        <w:rPr>
          <w:rFonts w:cs="Times New Roman"/>
          <w:noProof/>
          <w:lang w:val="sk-SK"/>
        </w:rPr>
        <w:t>) poskytovanie riadených tlačiarenských služieb;</w:t>
      </w:r>
      <w:r w:rsidR="00083739" w:rsidRPr="00083739">
        <w:rPr>
          <w:rFonts w:cs="Times New Roman"/>
          <w:noProof/>
          <w:lang w:val="sk-SK"/>
        </w:rPr>
        <w:t xml:space="preserve"> a </w:t>
      </w:r>
      <w:r w:rsidRPr="00083739">
        <w:rPr>
          <w:rFonts w:cs="Times New Roman"/>
          <w:noProof/>
          <w:lang w:val="sk-SK"/>
        </w:rPr>
        <w:t>v) systém riadenia ľudských zdrojov (HRMS). Implementácia reformy sa dokončí do 30</w:t>
      </w:r>
      <w:r w:rsidR="00083739" w:rsidRPr="00083739">
        <w:rPr>
          <w:rFonts w:cs="Times New Roman"/>
          <w:noProof/>
          <w:lang w:val="sk-SK"/>
        </w:rPr>
        <w:t>. júna</w:t>
      </w:r>
      <w:r w:rsidRPr="00083739">
        <w:rPr>
          <w:rFonts w:cs="Times New Roman"/>
          <w:noProof/>
          <w:lang w:val="sk-SK"/>
        </w:rPr>
        <w:t xml:space="preserve"> 2025.</w:t>
      </w:r>
    </w:p>
    <w:p w14:paraId="7BB64667" w14:textId="7777777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Reforma:</w:t>
      </w:r>
      <w:r w:rsidRPr="00083739">
        <w:rPr>
          <w:rFonts w:cs="Times New Roman"/>
          <w:noProof/>
          <w:lang w:val="sk-SK"/>
        </w:rPr>
        <w:t xml:space="preserve"> Profesionalizácia oblasti verejného obstarávania (ID opatrenia 16711)</w:t>
      </w:r>
    </w:p>
    <w:p w14:paraId="1AB7E724" w14:textId="0EB4E7AE" w:rsidR="002D49B0" w:rsidRPr="00083739" w:rsidRDefault="00BF4125">
      <w:pPr>
        <w:pStyle w:val="P68B1DB1-Normal5"/>
        <w:spacing w:before="120" w:after="120" w:line="240" w:lineRule="auto"/>
        <w:jc w:val="both"/>
        <w:rPr>
          <w:rFonts w:cs="Times New Roman"/>
          <w:noProof/>
          <w:lang w:val="sk-SK"/>
        </w:rPr>
      </w:pPr>
      <w:r w:rsidRPr="00083739">
        <w:rPr>
          <w:rFonts w:cs="Times New Roman"/>
          <w:noProof/>
          <w:lang w:val="sk-SK"/>
        </w:rPr>
        <w:t>Cieľom reformy je zlepšiť rámec</w:t>
      </w:r>
      <w:r w:rsidRPr="00083739">
        <w:rPr>
          <w:rFonts w:cs="Times New Roman"/>
          <w:noProof/>
          <w:lang w:val="sk-SK"/>
        </w:rPr>
        <w:t xml:space="preserve"> verejného obstarávania</w:t>
      </w:r>
      <w:r w:rsidR="00083739" w:rsidRPr="00083739">
        <w:rPr>
          <w:rFonts w:cs="Times New Roman"/>
          <w:noProof/>
          <w:lang w:val="sk-SK"/>
        </w:rPr>
        <w:t xml:space="preserve"> v </w:t>
      </w:r>
      <w:r w:rsidRPr="00083739">
        <w:rPr>
          <w:rFonts w:cs="Times New Roman"/>
          <w:noProof/>
          <w:lang w:val="sk-SK"/>
        </w:rPr>
        <w:t>Grécku</w:t>
      </w:r>
      <w:r w:rsidR="00083739" w:rsidRPr="00083739">
        <w:rPr>
          <w:rFonts w:cs="Times New Roman"/>
          <w:noProof/>
          <w:lang w:val="sk-SK"/>
        </w:rPr>
        <w:t xml:space="preserve"> a </w:t>
      </w:r>
      <w:r w:rsidRPr="00083739">
        <w:rPr>
          <w:rFonts w:cs="Times New Roman"/>
          <w:noProof/>
          <w:lang w:val="sk-SK"/>
        </w:rPr>
        <w:t>podporiť riešenie súčasných nedostatkov. Reforma pozostáva</w:t>
      </w:r>
      <w:r w:rsidR="00083739" w:rsidRPr="00083739">
        <w:rPr>
          <w:rFonts w:cs="Times New Roman"/>
          <w:noProof/>
          <w:lang w:val="sk-SK"/>
        </w:rPr>
        <w:t xml:space="preserve"> z </w:t>
      </w:r>
      <w:r w:rsidRPr="00083739">
        <w:rPr>
          <w:rFonts w:cs="Times New Roman"/>
          <w:noProof/>
          <w:lang w:val="sk-SK"/>
        </w:rPr>
        <w:t>vykonávania všetkých štyroch pilierov národnej stratégie verejného obstarávania na roky 2021 – 2025: I) reforma regulačného rámca pre verejné obstarávanie vráta</w:t>
      </w:r>
      <w:r w:rsidRPr="00083739">
        <w:rPr>
          <w:rFonts w:cs="Times New Roman"/>
          <w:noProof/>
          <w:lang w:val="sk-SK"/>
        </w:rPr>
        <w:t>ne nadobudnutia účinnosti sekundárnych právnych predpisov</w:t>
      </w:r>
      <w:r w:rsidR="00083739" w:rsidRPr="00083739">
        <w:rPr>
          <w:rFonts w:cs="Times New Roman"/>
          <w:noProof/>
          <w:lang w:val="sk-SK"/>
        </w:rPr>
        <w:t xml:space="preserve"> s </w:t>
      </w:r>
      <w:r w:rsidRPr="00083739">
        <w:rPr>
          <w:rFonts w:cs="Times New Roman"/>
          <w:noProof/>
          <w:lang w:val="sk-SK"/>
        </w:rPr>
        <w:t>cieľom plne sfunkčniť nový právny rámec verejného obstarávania, opatrenia na ďalšie zjednodušenie</w:t>
      </w:r>
      <w:r w:rsidR="00083739" w:rsidRPr="00083739">
        <w:rPr>
          <w:rFonts w:cs="Times New Roman"/>
          <w:noProof/>
          <w:lang w:val="sk-SK"/>
        </w:rPr>
        <w:t xml:space="preserve"> a </w:t>
      </w:r>
      <w:r w:rsidRPr="00083739">
        <w:rPr>
          <w:rFonts w:cs="Times New Roman"/>
          <w:noProof/>
          <w:lang w:val="sk-SK"/>
        </w:rPr>
        <w:t>zlepšenie regulačného rámca</w:t>
      </w:r>
      <w:r w:rsidR="00083739" w:rsidRPr="00083739">
        <w:rPr>
          <w:rFonts w:cs="Times New Roman"/>
          <w:noProof/>
          <w:lang w:val="sk-SK"/>
        </w:rPr>
        <w:t xml:space="preserve"> a </w:t>
      </w:r>
      <w:r w:rsidRPr="00083739">
        <w:rPr>
          <w:rFonts w:cs="Times New Roman"/>
          <w:noProof/>
          <w:lang w:val="sk-SK"/>
        </w:rPr>
        <w:t>na zabezpečenie účinného vykonávania</w:t>
      </w:r>
      <w:r w:rsidR="00083739" w:rsidRPr="00083739">
        <w:rPr>
          <w:rFonts w:cs="Times New Roman"/>
          <w:noProof/>
          <w:lang w:val="sk-SK"/>
        </w:rPr>
        <w:t xml:space="preserve"> a </w:t>
      </w:r>
      <w:r w:rsidRPr="00083739">
        <w:rPr>
          <w:rFonts w:cs="Times New Roman"/>
          <w:noProof/>
          <w:lang w:val="sk-SK"/>
        </w:rPr>
        <w:t>odolnosti systému verejného</w:t>
      </w:r>
      <w:r w:rsidRPr="00083739">
        <w:rPr>
          <w:rFonts w:cs="Times New Roman"/>
          <w:noProof/>
          <w:lang w:val="sk-SK"/>
        </w:rPr>
        <w:t xml:space="preserve"> obstarávania; II) digitálna transformácia oblasti verejného obstarávania</w:t>
      </w:r>
      <w:r w:rsidR="00083739" w:rsidRPr="00083739">
        <w:rPr>
          <w:rFonts w:cs="Times New Roman"/>
          <w:noProof/>
          <w:lang w:val="sk-SK"/>
        </w:rPr>
        <w:t xml:space="preserve"> a </w:t>
      </w:r>
      <w:r w:rsidRPr="00083739">
        <w:rPr>
          <w:rFonts w:cs="Times New Roman"/>
          <w:noProof/>
          <w:lang w:val="sk-SK"/>
        </w:rPr>
        <w:t>plne elektronického obstarávania vrátane hodnotenia</w:t>
      </w:r>
      <w:r w:rsidR="00083739" w:rsidRPr="00083739">
        <w:rPr>
          <w:rFonts w:cs="Times New Roman"/>
          <w:noProof/>
          <w:lang w:val="sk-SK"/>
        </w:rPr>
        <w:t xml:space="preserve"> a </w:t>
      </w:r>
      <w:r w:rsidRPr="00083739">
        <w:rPr>
          <w:rFonts w:cs="Times New Roman"/>
          <w:noProof/>
          <w:lang w:val="sk-SK"/>
        </w:rPr>
        <w:t>prepracovania informačných systémov, analýzy údajov</w:t>
      </w:r>
      <w:r w:rsidR="00083739" w:rsidRPr="00083739">
        <w:rPr>
          <w:rFonts w:cs="Times New Roman"/>
          <w:noProof/>
          <w:lang w:val="sk-SK"/>
        </w:rPr>
        <w:t xml:space="preserve"> a </w:t>
      </w:r>
      <w:r w:rsidRPr="00083739">
        <w:rPr>
          <w:rFonts w:cs="Times New Roman"/>
          <w:noProof/>
          <w:lang w:val="sk-SK"/>
        </w:rPr>
        <w:t>synergií medzi verejným</w:t>
      </w:r>
      <w:r w:rsidR="00083739" w:rsidRPr="00083739">
        <w:rPr>
          <w:rFonts w:cs="Times New Roman"/>
          <w:noProof/>
          <w:lang w:val="sk-SK"/>
        </w:rPr>
        <w:t xml:space="preserve"> a </w:t>
      </w:r>
      <w:r w:rsidRPr="00083739">
        <w:rPr>
          <w:rFonts w:cs="Times New Roman"/>
          <w:noProof/>
          <w:lang w:val="sk-SK"/>
        </w:rPr>
        <w:t>súkromným sektorom (podporovaná akciami</w:t>
      </w:r>
      <w:r w:rsidR="00083739" w:rsidRPr="00083739">
        <w:rPr>
          <w:rFonts w:cs="Times New Roman"/>
          <w:noProof/>
          <w:lang w:val="sk-SK"/>
        </w:rPr>
        <w:t xml:space="preserve"> v </w:t>
      </w:r>
      <w:r w:rsidRPr="00083739">
        <w:rPr>
          <w:rFonts w:cs="Times New Roman"/>
          <w:noProof/>
          <w:lang w:val="sk-SK"/>
        </w:rPr>
        <w:t>rámc</w:t>
      </w:r>
      <w:r w:rsidRPr="00083739">
        <w:rPr>
          <w:rFonts w:cs="Times New Roman"/>
          <w:noProof/>
          <w:lang w:val="sk-SK"/>
        </w:rPr>
        <w:t>i opatrenia „16736 Nové systémy verejného obstarávania“); III) širšie strategické ciele</w:t>
      </w:r>
      <w:r w:rsidR="00083739" w:rsidRPr="00083739">
        <w:rPr>
          <w:rFonts w:cs="Times New Roman"/>
          <w:noProof/>
          <w:lang w:val="sk-SK"/>
        </w:rPr>
        <w:t xml:space="preserve"> a </w:t>
      </w:r>
      <w:r w:rsidRPr="00083739">
        <w:rPr>
          <w:rFonts w:cs="Times New Roman"/>
          <w:noProof/>
          <w:lang w:val="sk-SK"/>
        </w:rPr>
        <w:t>politické iniciatívy, napríklad zelené obstarávanie, obstarávanie2innovate, modernizácia infraštruktúry, prístup MSP</w:t>
      </w:r>
      <w:r w:rsidR="00083739" w:rsidRPr="00083739">
        <w:rPr>
          <w:rFonts w:cs="Times New Roman"/>
          <w:noProof/>
          <w:lang w:val="sk-SK"/>
        </w:rPr>
        <w:t xml:space="preserve"> k </w:t>
      </w:r>
      <w:r w:rsidRPr="00083739">
        <w:rPr>
          <w:rFonts w:cs="Times New Roman"/>
          <w:noProof/>
          <w:lang w:val="sk-SK"/>
        </w:rPr>
        <w:t>verejnému obstarávaniu, obstarávanie ako pákový</w:t>
      </w:r>
      <w:r w:rsidRPr="00083739">
        <w:rPr>
          <w:rFonts w:cs="Times New Roman"/>
          <w:noProof/>
          <w:lang w:val="sk-SK"/>
        </w:rPr>
        <w:t xml:space="preserve"> nástroj, efektívne využívanie zdrojov</w:t>
      </w:r>
      <w:r w:rsidR="00083739" w:rsidRPr="00083739">
        <w:rPr>
          <w:rFonts w:cs="Times New Roman"/>
          <w:noProof/>
          <w:lang w:val="sk-SK"/>
        </w:rPr>
        <w:t xml:space="preserve"> a </w:t>
      </w:r>
      <w:r w:rsidRPr="00083739">
        <w:rPr>
          <w:rFonts w:cs="Times New Roman"/>
          <w:noProof/>
          <w:lang w:val="sk-SK"/>
        </w:rPr>
        <w:t>sociálne obstarávanie); IV) rámec riadenia verejného obstarávania (dohľad, monitorovanie vykonávania, audit</w:t>
      </w:r>
      <w:r w:rsidR="00083739" w:rsidRPr="00083739">
        <w:rPr>
          <w:rFonts w:cs="Times New Roman"/>
          <w:noProof/>
          <w:lang w:val="sk-SK"/>
        </w:rPr>
        <w:t xml:space="preserve"> a </w:t>
      </w:r>
      <w:r w:rsidRPr="00083739">
        <w:rPr>
          <w:rFonts w:cs="Times New Roman"/>
          <w:noProof/>
          <w:lang w:val="sk-SK"/>
        </w:rPr>
        <w:t>profesionalizácia zamestnancov zapojených do verejného obstarávania).</w:t>
      </w:r>
    </w:p>
    <w:p w14:paraId="38653992" w14:textId="20B3100C"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Toto sa bude ďalej podporovať posky</w:t>
      </w:r>
      <w:r w:rsidRPr="00083739">
        <w:rPr>
          <w:rFonts w:cs="Times New Roman"/>
          <w:noProof/>
          <w:lang w:val="sk-SK"/>
        </w:rPr>
        <w:t>tovaním odbornej prípravy</w:t>
      </w:r>
      <w:r w:rsidR="00083739" w:rsidRPr="00083739">
        <w:rPr>
          <w:rFonts w:cs="Times New Roman"/>
          <w:noProof/>
          <w:lang w:val="sk-SK"/>
        </w:rPr>
        <w:t xml:space="preserve"> a </w:t>
      </w:r>
      <w:r w:rsidRPr="00083739">
        <w:rPr>
          <w:rFonts w:cs="Times New Roman"/>
          <w:noProof/>
          <w:lang w:val="sk-SK"/>
        </w:rPr>
        <w:t>usmernení pre štátnych zamestnancov zapojených do verejného obstarávania, prijatím certifikačných postupov pre týchto odborníkov, vytvorením odlišných odborných pracovných okruhov</w:t>
      </w:r>
      <w:r w:rsidR="00083739" w:rsidRPr="00083739">
        <w:rPr>
          <w:rFonts w:cs="Times New Roman"/>
          <w:noProof/>
          <w:lang w:val="sk-SK"/>
        </w:rPr>
        <w:t xml:space="preserve"> a </w:t>
      </w:r>
      <w:r w:rsidRPr="00083739">
        <w:rPr>
          <w:rFonts w:cs="Times New Roman"/>
          <w:noProof/>
          <w:lang w:val="sk-SK"/>
        </w:rPr>
        <w:t>prijatím balíka stimulov, kvalifikácií/postupu</w:t>
      </w:r>
      <w:r w:rsidRPr="00083739">
        <w:rPr>
          <w:rFonts w:cs="Times New Roman"/>
          <w:noProof/>
          <w:lang w:val="sk-SK"/>
        </w:rPr>
        <w:t xml:space="preserve"> kariérneho postupu pre týchto zamestnancov;</w:t>
      </w:r>
      <w:r w:rsidR="00083739" w:rsidRPr="00083739">
        <w:rPr>
          <w:rFonts w:cs="Times New Roman"/>
          <w:noProof/>
          <w:lang w:val="sk-SK"/>
        </w:rPr>
        <w:t xml:space="preserve"> a </w:t>
      </w:r>
      <w:r w:rsidRPr="00083739">
        <w:rPr>
          <w:rFonts w:cs="Times New Roman"/>
          <w:noProof/>
          <w:lang w:val="sk-SK"/>
        </w:rPr>
        <w:t>dokončenie hĺbkovej štúdie</w:t>
      </w:r>
      <w:r w:rsidR="00083739" w:rsidRPr="00083739">
        <w:rPr>
          <w:rFonts w:cs="Times New Roman"/>
          <w:noProof/>
          <w:lang w:val="sk-SK"/>
        </w:rPr>
        <w:t xml:space="preserve"> o </w:t>
      </w:r>
      <w:r w:rsidRPr="00083739">
        <w:rPr>
          <w:rFonts w:cs="Times New Roman"/>
          <w:noProof/>
          <w:lang w:val="sk-SK"/>
        </w:rPr>
        <w:t>reorganizácii štruktúr</w:t>
      </w:r>
      <w:r w:rsidR="00083739" w:rsidRPr="00083739">
        <w:rPr>
          <w:rFonts w:cs="Times New Roman"/>
          <w:noProof/>
          <w:lang w:val="sk-SK"/>
        </w:rPr>
        <w:t xml:space="preserve"> a </w:t>
      </w:r>
      <w:r w:rsidRPr="00083739">
        <w:rPr>
          <w:rFonts w:cs="Times New Roman"/>
          <w:noProof/>
          <w:lang w:val="sk-SK"/>
        </w:rPr>
        <w:t>zodpovedností Generálneho riaditeľstva pre verejné obstarávanie ministerstva rozvoja zodpovedného za vykonávanie centralizovaných postupov verejného obstar</w:t>
      </w:r>
      <w:r w:rsidRPr="00083739">
        <w:rPr>
          <w:rFonts w:cs="Times New Roman"/>
          <w:noProof/>
          <w:lang w:val="sk-SK"/>
        </w:rPr>
        <w:t>ávania na vnútroštátnej úrovni. Systém stimulov musí byť</w:t>
      </w:r>
      <w:r w:rsidR="00083739" w:rsidRPr="00083739">
        <w:rPr>
          <w:rFonts w:cs="Times New Roman"/>
          <w:noProof/>
          <w:lang w:val="sk-SK"/>
        </w:rPr>
        <w:t xml:space="preserve"> v </w:t>
      </w:r>
      <w:r w:rsidRPr="00083739">
        <w:rPr>
          <w:rFonts w:cs="Times New Roman"/>
          <w:noProof/>
          <w:lang w:val="sk-SK"/>
        </w:rPr>
        <w:t>plnom súlade</w:t>
      </w:r>
      <w:r w:rsidR="00083739" w:rsidRPr="00083739">
        <w:rPr>
          <w:rFonts w:cs="Times New Roman"/>
          <w:noProof/>
          <w:lang w:val="sk-SK"/>
        </w:rPr>
        <w:t xml:space="preserve"> s </w:t>
      </w:r>
      <w:r w:rsidRPr="00083739">
        <w:rPr>
          <w:rFonts w:cs="Times New Roman"/>
          <w:noProof/>
          <w:lang w:val="sk-SK"/>
        </w:rPr>
        <w:t>jednotnou mzdovou tabuľkou (zákon č. 4354/2015) bez stanovenia akejkoľvek výnimky. Implementácia tejto reformy sa dokončí do 31</w:t>
      </w:r>
      <w:r w:rsidR="00083739" w:rsidRPr="00083739">
        <w:rPr>
          <w:rFonts w:cs="Times New Roman"/>
          <w:noProof/>
          <w:lang w:val="sk-SK"/>
        </w:rPr>
        <w:t>. decembra</w:t>
      </w:r>
      <w:r w:rsidRPr="00083739">
        <w:rPr>
          <w:rFonts w:cs="Times New Roman"/>
          <w:noProof/>
          <w:lang w:val="sk-SK"/>
        </w:rPr>
        <w:t xml:space="preserve"> 2025.</w:t>
      </w:r>
    </w:p>
    <w:p w14:paraId="7749792E" w14:textId="28493028"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Reforma:</w:t>
      </w:r>
      <w:r w:rsidRPr="00083739">
        <w:rPr>
          <w:rFonts w:cs="Times New Roman"/>
          <w:noProof/>
          <w:lang w:val="sk-SK"/>
        </w:rPr>
        <w:t xml:space="preserve"> Zlepšenie plánovania</w:t>
      </w:r>
      <w:r w:rsidR="00083739" w:rsidRPr="00083739">
        <w:rPr>
          <w:rFonts w:cs="Times New Roman"/>
          <w:noProof/>
          <w:lang w:val="sk-SK"/>
        </w:rPr>
        <w:t xml:space="preserve"> a </w:t>
      </w:r>
      <w:r w:rsidRPr="00083739">
        <w:rPr>
          <w:rFonts w:cs="Times New Roman"/>
          <w:noProof/>
          <w:lang w:val="sk-SK"/>
        </w:rPr>
        <w:t>koordi</w:t>
      </w:r>
      <w:r w:rsidRPr="00083739">
        <w:rPr>
          <w:rFonts w:cs="Times New Roman"/>
          <w:noProof/>
          <w:lang w:val="sk-SK"/>
        </w:rPr>
        <w:t>nácie politík (ID opatrenia 16981)</w:t>
      </w:r>
    </w:p>
    <w:p w14:paraId="58BAD651" w14:textId="70F0D080"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Reformou sa posilní koordinácia politiky, plánovanie</w:t>
      </w:r>
      <w:r w:rsidR="00083739" w:rsidRPr="00083739">
        <w:rPr>
          <w:rFonts w:cs="Times New Roman"/>
          <w:noProof/>
          <w:lang w:val="sk-SK"/>
        </w:rPr>
        <w:t xml:space="preserve"> a </w:t>
      </w:r>
      <w:r w:rsidRPr="00083739">
        <w:rPr>
          <w:rFonts w:cs="Times New Roman"/>
          <w:noProof/>
          <w:lang w:val="sk-SK"/>
        </w:rPr>
        <w:t>rozvoj politiky ústrednej správy. Osobitnými opatreniami, ktoré sa majú vykonať, sú i) vytvorenie monitorovacieho mechanizmu na sledovanie pokroku, či boli prijaté se</w:t>
      </w:r>
      <w:r w:rsidRPr="00083739">
        <w:rPr>
          <w:rFonts w:cs="Times New Roman"/>
          <w:noProof/>
          <w:lang w:val="sk-SK"/>
        </w:rPr>
        <w:t>kundárne právne predpisy, ako sa stanovuje</w:t>
      </w:r>
      <w:r w:rsidR="00083739" w:rsidRPr="00083739">
        <w:rPr>
          <w:rFonts w:cs="Times New Roman"/>
          <w:noProof/>
          <w:lang w:val="sk-SK"/>
        </w:rPr>
        <w:t xml:space="preserve"> v </w:t>
      </w:r>
      <w:r w:rsidRPr="00083739">
        <w:rPr>
          <w:rFonts w:cs="Times New Roman"/>
          <w:noProof/>
          <w:lang w:val="sk-SK"/>
        </w:rPr>
        <w:t>primárnom práve; II) zriadenie elektronickej platformy na uľahčenie dokončenia posúdenia vplyvu, ktoré dopĺňa každý návrh zákona;</w:t>
      </w:r>
      <w:r w:rsidR="00083739" w:rsidRPr="00083739">
        <w:rPr>
          <w:rFonts w:cs="Times New Roman"/>
          <w:noProof/>
          <w:lang w:val="sk-SK"/>
        </w:rPr>
        <w:t xml:space="preserve"> a </w:t>
      </w:r>
      <w:r w:rsidRPr="00083739">
        <w:rPr>
          <w:rFonts w:cs="Times New Roman"/>
          <w:noProof/>
          <w:lang w:val="sk-SK"/>
        </w:rPr>
        <w:t>iii) spustenie programu odbornej prípravy</w:t>
      </w:r>
      <w:r w:rsidR="00083739" w:rsidRPr="00083739">
        <w:rPr>
          <w:rFonts w:cs="Times New Roman"/>
          <w:noProof/>
          <w:lang w:val="sk-SK"/>
        </w:rPr>
        <w:t xml:space="preserve"> a </w:t>
      </w:r>
      <w:r w:rsidRPr="00083739">
        <w:rPr>
          <w:rFonts w:cs="Times New Roman"/>
          <w:noProof/>
          <w:lang w:val="sk-SK"/>
        </w:rPr>
        <w:t>súvisiaceho akreditačného postupu z</w:t>
      </w:r>
      <w:r w:rsidRPr="00083739">
        <w:rPr>
          <w:rFonts w:cs="Times New Roman"/>
          <w:noProof/>
          <w:lang w:val="sk-SK"/>
        </w:rPr>
        <w:t>ameraného na štátnych zamestnancov</w:t>
      </w:r>
      <w:r w:rsidR="00083739" w:rsidRPr="00083739">
        <w:rPr>
          <w:rFonts w:cs="Times New Roman"/>
          <w:noProof/>
          <w:lang w:val="sk-SK"/>
        </w:rPr>
        <w:t xml:space="preserve"> s </w:t>
      </w:r>
      <w:r w:rsidRPr="00083739">
        <w:rPr>
          <w:rFonts w:cs="Times New Roman"/>
          <w:noProof/>
          <w:lang w:val="sk-SK"/>
        </w:rPr>
        <w:t>cieľom zlepšiť kvalitu pripravovaných posúdení vplyvu.</w:t>
      </w:r>
      <w:r w:rsidR="00083739" w:rsidRPr="00083739">
        <w:rPr>
          <w:rFonts w:cs="Times New Roman"/>
          <w:noProof/>
          <w:lang w:val="sk-SK"/>
        </w:rPr>
        <w:t xml:space="preserve"> V </w:t>
      </w:r>
      <w:r w:rsidRPr="00083739">
        <w:rPr>
          <w:rFonts w:cs="Times New Roman"/>
          <w:noProof/>
          <w:lang w:val="sk-SK"/>
        </w:rPr>
        <w:t>programe odbornej prípravy sa na jeho spustenie, ktoré sa uskutoční</w:t>
      </w:r>
      <w:r w:rsidR="00083739" w:rsidRPr="00083739">
        <w:rPr>
          <w:rFonts w:cs="Times New Roman"/>
          <w:noProof/>
          <w:lang w:val="sk-SK"/>
        </w:rPr>
        <w:t xml:space="preserve"> v </w:t>
      </w:r>
      <w:r w:rsidRPr="00083739">
        <w:rPr>
          <w:rFonts w:cs="Times New Roman"/>
          <w:noProof/>
          <w:lang w:val="sk-SK"/>
        </w:rPr>
        <w:t xml:space="preserve">4. štvrťroku 2022, zapíše najmenej 100 štátnych zamestnancov. Vykonávanie reformy sa ukončí </w:t>
      </w:r>
      <w:r w:rsidRPr="00083739">
        <w:rPr>
          <w:rFonts w:cs="Times New Roman"/>
          <w:noProof/>
          <w:lang w:val="sk-SK"/>
        </w:rPr>
        <w:t>do 30</w:t>
      </w:r>
      <w:r w:rsidR="00083739" w:rsidRPr="00083739">
        <w:rPr>
          <w:rFonts w:cs="Times New Roman"/>
          <w:noProof/>
          <w:lang w:val="sk-SK"/>
        </w:rPr>
        <w:t>. júna</w:t>
      </w:r>
      <w:r w:rsidRPr="00083739">
        <w:rPr>
          <w:rFonts w:cs="Times New Roman"/>
          <w:noProof/>
          <w:lang w:val="sk-SK"/>
        </w:rPr>
        <w:t xml:space="preserve"> 2023.</w:t>
      </w:r>
    </w:p>
    <w:p w14:paraId="12BCBDF7" w14:textId="7777777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Reforma:</w:t>
      </w:r>
      <w:r w:rsidRPr="00083739">
        <w:rPr>
          <w:rFonts w:cs="Times New Roman"/>
          <w:noProof/>
          <w:lang w:val="sk-SK"/>
        </w:rPr>
        <w:t xml:space="preserve"> Dokončenie národného katastra (ID opatrenia: 16986)</w:t>
      </w:r>
    </w:p>
    <w:p w14:paraId="6DD06CB7" w14:textId="7F2F859C" w:rsidR="002D49B0" w:rsidRPr="00083739" w:rsidRDefault="00BF4125">
      <w:pPr>
        <w:pStyle w:val="P68B1DB1-Normal4"/>
        <w:spacing w:before="120" w:after="120" w:line="240" w:lineRule="auto"/>
        <w:jc w:val="both"/>
        <w:rPr>
          <w:rFonts w:cs="Times New Roman"/>
          <w:noProof/>
          <w:szCs w:val="24"/>
          <w:lang w:val="sk-SK"/>
        </w:rPr>
      </w:pPr>
      <w:r w:rsidRPr="00083739">
        <w:rPr>
          <w:rFonts w:cs="Times New Roman"/>
          <w:noProof/>
          <w:lang w:val="sk-SK"/>
        </w:rPr>
        <w:t>Reformou sa dokončí národný kataster</w:t>
      </w:r>
      <w:r w:rsidR="00083739" w:rsidRPr="00083739">
        <w:rPr>
          <w:rFonts w:cs="Times New Roman"/>
          <w:noProof/>
          <w:lang w:val="sk-SK"/>
        </w:rPr>
        <w:t xml:space="preserve"> s </w:t>
      </w:r>
      <w:r w:rsidRPr="00083739">
        <w:rPr>
          <w:rFonts w:cs="Times New Roman"/>
          <w:noProof/>
          <w:lang w:val="sk-SK"/>
        </w:rPr>
        <w:t>cieľom zlepšiť podnikateľské prostredie Grécka zvýšením efektívnosti transakcií</w:t>
      </w:r>
      <w:r w:rsidR="00083739" w:rsidRPr="00083739">
        <w:rPr>
          <w:rFonts w:cs="Times New Roman"/>
          <w:noProof/>
          <w:lang w:val="sk-SK"/>
        </w:rPr>
        <w:t xml:space="preserve"> s </w:t>
      </w:r>
      <w:r w:rsidRPr="00083739">
        <w:rPr>
          <w:rFonts w:cs="Times New Roman"/>
          <w:noProof/>
          <w:lang w:val="sk-SK"/>
        </w:rPr>
        <w:t>nehnuteľnosťami</w:t>
      </w:r>
      <w:r w:rsidR="00083739" w:rsidRPr="00083739">
        <w:rPr>
          <w:rFonts w:cs="Times New Roman"/>
          <w:noProof/>
          <w:lang w:val="sk-SK"/>
        </w:rPr>
        <w:t xml:space="preserve"> a </w:t>
      </w:r>
      <w:r w:rsidRPr="00083739">
        <w:rPr>
          <w:rFonts w:cs="Times New Roman"/>
          <w:noProof/>
          <w:lang w:val="sk-SK"/>
        </w:rPr>
        <w:t>posilnením právnej istoty, pokiaľ ide</w:t>
      </w:r>
      <w:r w:rsidR="00083739" w:rsidRPr="00083739">
        <w:rPr>
          <w:rFonts w:cs="Times New Roman"/>
          <w:noProof/>
          <w:lang w:val="sk-SK"/>
        </w:rPr>
        <w:t xml:space="preserve"> o </w:t>
      </w:r>
      <w:r w:rsidRPr="00083739">
        <w:rPr>
          <w:rFonts w:cs="Times New Roman"/>
          <w:noProof/>
          <w:lang w:val="sk-SK"/>
        </w:rPr>
        <w:t>vlastnícke práva.</w:t>
      </w:r>
      <w:r w:rsidR="00083739" w:rsidRPr="00083739">
        <w:rPr>
          <w:rFonts w:cs="Times New Roman"/>
          <w:noProof/>
          <w:lang w:val="sk-SK"/>
        </w:rPr>
        <w:t xml:space="preserve"> K </w:t>
      </w:r>
      <w:r w:rsidRPr="00083739">
        <w:rPr>
          <w:rFonts w:cs="Times New Roman"/>
          <w:noProof/>
          <w:lang w:val="sk-SK"/>
        </w:rPr>
        <w:t>októbru 2023 je zmapovaných 76,93</w:t>
      </w:r>
      <w:r w:rsidR="00083739" w:rsidRPr="00083739">
        <w:rPr>
          <w:rFonts w:cs="Times New Roman"/>
          <w:noProof/>
          <w:lang w:val="sk-SK"/>
        </w:rPr>
        <w:t> %</w:t>
      </w:r>
      <w:r w:rsidRPr="00083739">
        <w:rPr>
          <w:rFonts w:cs="Times New Roman"/>
          <w:noProof/>
          <w:lang w:val="sk-SK"/>
        </w:rPr>
        <w:t xml:space="preserve"> vlastníckych práv</w:t>
      </w:r>
      <w:r w:rsidR="00083739" w:rsidRPr="00083739">
        <w:rPr>
          <w:rFonts w:cs="Times New Roman"/>
          <w:noProof/>
          <w:lang w:val="sk-SK"/>
        </w:rPr>
        <w:t xml:space="preserve"> v </w:t>
      </w:r>
      <w:r w:rsidRPr="00083739">
        <w:rPr>
          <w:rFonts w:cs="Times New Roman"/>
          <w:noProof/>
          <w:lang w:val="sk-SK"/>
        </w:rPr>
        <w:t>celom Grécku. Konkrétne sa reformou dokončí katastrálne mapovanie</w:t>
      </w:r>
      <w:r w:rsidR="00083739" w:rsidRPr="00083739">
        <w:rPr>
          <w:rFonts w:cs="Times New Roman"/>
          <w:noProof/>
          <w:lang w:val="sk-SK"/>
        </w:rPr>
        <w:t xml:space="preserve"> v </w:t>
      </w:r>
      <w:r w:rsidRPr="00083739">
        <w:rPr>
          <w:rFonts w:cs="Times New Roman"/>
          <w:noProof/>
          <w:lang w:val="sk-SK"/>
        </w:rPr>
        <w:t>celom Grécku, konkrétne prostredníctvom nahrávania na verejné zobrazenie vlastníckych práv, ktoré sa zbierajú</w:t>
      </w:r>
      <w:r w:rsidRPr="00083739">
        <w:rPr>
          <w:rFonts w:cs="Times New Roman"/>
          <w:noProof/>
          <w:lang w:val="sk-SK"/>
        </w:rPr>
        <w:t xml:space="preserve"> alebo spracúvajú. Reforma okrem toho povedie</w:t>
      </w:r>
      <w:r w:rsidR="00083739" w:rsidRPr="00083739">
        <w:rPr>
          <w:rFonts w:cs="Times New Roman"/>
          <w:noProof/>
          <w:lang w:val="sk-SK"/>
        </w:rPr>
        <w:t xml:space="preserve"> k </w:t>
      </w:r>
      <w:r w:rsidRPr="00083739">
        <w:rPr>
          <w:rFonts w:cs="Times New Roman"/>
          <w:noProof/>
          <w:lang w:val="sk-SK"/>
        </w:rPr>
        <w:t>úplnému prechodu zo starého systému registrácie majetku prostredníctvom starej štruktúry hypotekárnych úradov na novú agentúru „Hellenic Cadastre“.</w:t>
      </w:r>
      <w:r w:rsidR="00083739" w:rsidRPr="00083739">
        <w:rPr>
          <w:rFonts w:cs="Times New Roman"/>
          <w:noProof/>
          <w:lang w:val="sk-SK"/>
        </w:rPr>
        <w:t xml:space="preserve"> K </w:t>
      </w:r>
      <w:r w:rsidRPr="00083739">
        <w:rPr>
          <w:rFonts w:cs="Times New Roman"/>
          <w:noProof/>
          <w:lang w:val="sk-SK"/>
        </w:rPr>
        <w:t>31. októbru 2023 bolo zatvorených 165 starých hypotekárnyc</w:t>
      </w:r>
      <w:r w:rsidRPr="00083739">
        <w:rPr>
          <w:rFonts w:cs="Times New Roman"/>
          <w:noProof/>
          <w:lang w:val="sk-SK"/>
        </w:rPr>
        <w:t>h kancelárií</w:t>
      </w:r>
      <w:r w:rsidR="00083739" w:rsidRPr="00083739">
        <w:rPr>
          <w:rFonts w:cs="Times New Roman"/>
          <w:noProof/>
          <w:lang w:val="sk-SK"/>
        </w:rPr>
        <w:t xml:space="preserve"> a k </w:t>
      </w:r>
      <w:r w:rsidRPr="00083739">
        <w:rPr>
          <w:rFonts w:cs="Times New Roman"/>
          <w:noProof/>
          <w:lang w:val="sk-SK"/>
        </w:rPr>
        <w:t>1. novembru 2023 bolo otvorených</w:t>
      </w:r>
      <w:r w:rsidR="00083739" w:rsidRPr="00083739">
        <w:rPr>
          <w:rFonts w:cs="Times New Roman"/>
          <w:noProof/>
          <w:lang w:val="sk-SK"/>
        </w:rPr>
        <w:t xml:space="preserve"> a </w:t>
      </w:r>
      <w:r w:rsidRPr="00083739">
        <w:rPr>
          <w:rFonts w:cs="Times New Roman"/>
          <w:noProof/>
          <w:lang w:val="sk-SK"/>
        </w:rPr>
        <w:t>funkčných 14 regionálnych katastrálnych kancelárií</w:t>
      </w:r>
      <w:r w:rsidR="00083739" w:rsidRPr="00083739">
        <w:rPr>
          <w:rFonts w:cs="Times New Roman"/>
          <w:noProof/>
          <w:lang w:val="sk-SK"/>
        </w:rPr>
        <w:t xml:space="preserve"> a </w:t>
      </w:r>
      <w:r w:rsidRPr="00083739">
        <w:rPr>
          <w:rFonts w:cs="Times New Roman"/>
          <w:noProof/>
          <w:lang w:val="sk-SK"/>
        </w:rPr>
        <w:t>57 pobočiek. Reformou sa otvorí</w:t>
      </w:r>
      <w:r w:rsidR="00083739" w:rsidRPr="00083739">
        <w:rPr>
          <w:rFonts w:cs="Times New Roman"/>
          <w:noProof/>
          <w:lang w:val="sk-SK"/>
        </w:rPr>
        <w:t xml:space="preserve"> a </w:t>
      </w:r>
      <w:r w:rsidRPr="00083739">
        <w:rPr>
          <w:rFonts w:cs="Times New Roman"/>
          <w:noProof/>
          <w:lang w:val="sk-SK"/>
        </w:rPr>
        <w:t>sprevádzkuje všetkých 17 regionálnych katastrálnych úradov</w:t>
      </w:r>
      <w:r w:rsidR="00083739" w:rsidRPr="00083739">
        <w:rPr>
          <w:rFonts w:cs="Times New Roman"/>
          <w:noProof/>
          <w:lang w:val="sk-SK"/>
        </w:rPr>
        <w:t xml:space="preserve"> a </w:t>
      </w:r>
      <w:r w:rsidRPr="00083739">
        <w:rPr>
          <w:rFonts w:cs="Times New Roman"/>
          <w:noProof/>
          <w:lang w:val="sk-SK"/>
        </w:rPr>
        <w:t>75 pobočiek</w:t>
      </w:r>
      <w:r w:rsidR="00083739" w:rsidRPr="00083739">
        <w:rPr>
          <w:rFonts w:cs="Times New Roman"/>
          <w:noProof/>
          <w:lang w:val="sk-SK"/>
        </w:rPr>
        <w:t xml:space="preserve"> v </w:t>
      </w:r>
      <w:r w:rsidRPr="00083739">
        <w:rPr>
          <w:rFonts w:cs="Times New Roman"/>
          <w:noProof/>
          <w:lang w:val="sk-SK"/>
        </w:rPr>
        <w:t>Grécku</w:t>
      </w:r>
      <w:r w:rsidR="00083739" w:rsidRPr="00083739">
        <w:rPr>
          <w:rFonts w:cs="Times New Roman"/>
          <w:noProof/>
          <w:lang w:val="sk-SK"/>
        </w:rPr>
        <w:t xml:space="preserve"> v </w:t>
      </w:r>
      <w:r w:rsidRPr="00083739">
        <w:rPr>
          <w:rFonts w:cs="Times New Roman"/>
          <w:noProof/>
          <w:lang w:val="sk-SK"/>
        </w:rPr>
        <w:t>súlade so zákonom č. 4512/2018</w:t>
      </w:r>
      <w:r w:rsidR="00083739" w:rsidRPr="00083739">
        <w:rPr>
          <w:rFonts w:cs="Times New Roman"/>
          <w:noProof/>
          <w:lang w:val="sk-SK"/>
        </w:rPr>
        <w:t xml:space="preserve"> a </w:t>
      </w:r>
      <w:r w:rsidRPr="00083739">
        <w:rPr>
          <w:rFonts w:cs="Times New Roman"/>
          <w:noProof/>
          <w:lang w:val="sk-SK"/>
        </w:rPr>
        <w:t>zatvorí sa všetkých 388 starých hypotekárnych úradov. Implementácia reformy sa dokončí do 30</w:t>
      </w:r>
      <w:r w:rsidR="00083739" w:rsidRPr="00083739">
        <w:rPr>
          <w:rFonts w:cs="Times New Roman"/>
          <w:noProof/>
          <w:lang w:val="sk-SK"/>
        </w:rPr>
        <w:t>. júna</w:t>
      </w:r>
      <w:r w:rsidRPr="00083739">
        <w:rPr>
          <w:rFonts w:cs="Times New Roman"/>
          <w:noProof/>
          <w:lang w:val="sk-SK"/>
        </w:rPr>
        <w:t xml:space="preserve"> 2025.</w:t>
      </w:r>
    </w:p>
    <w:p w14:paraId="6FE7AD53" w14:textId="77777777" w:rsidR="002D49B0" w:rsidRPr="00083739" w:rsidRDefault="002D49B0">
      <w:pPr>
        <w:spacing w:before="120" w:after="120" w:line="240" w:lineRule="auto"/>
        <w:ind w:left="709"/>
        <w:jc w:val="both"/>
        <w:rPr>
          <w:rFonts w:ascii="Times New Roman" w:hAnsi="Times New Roman" w:cs="Times New Roman"/>
          <w:i/>
          <w:iCs/>
          <w:noProof/>
          <w:color w:val="4F81BD"/>
          <w:sz w:val="24"/>
          <w:lang w:val="sk-SK"/>
        </w:rPr>
      </w:pPr>
    </w:p>
    <w:p w14:paraId="25F14B4E" w14:textId="77777777" w:rsidR="002D49B0" w:rsidRPr="00083739" w:rsidRDefault="002D49B0">
      <w:pPr>
        <w:spacing w:before="120" w:after="120" w:line="240" w:lineRule="auto"/>
        <w:ind w:left="709"/>
        <w:jc w:val="both"/>
        <w:rPr>
          <w:rFonts w:ascii="Times New Roman" w:hAnsi="Times New Roman" w:cs="Times New Roman"/>
          <w:noProof/>
          <w:sz w:val="24"/>
          <w:lang w:val="sk-SK"/>
        </w:rPr>
      </w:pPr>
    </w:p>
    <w:p w14:paraId="34E2B672" w14:textId="77777777" w:rsidR="002D49B0" w:rsidRPr="00083739" w:rsidRDefault="002D49B0">
      <w:pPr>
        <w:spacing w:before="120" w:after="120" w:line="240" w:lineRule="auto"/>
        <w:ind w:left="709"/>
        <w:jc w:val="both"/>
        <w:rPr>
          <w:rFonts w:ascii="Times New Roman" w:hAnsi="Times New Roman" w:cs="Times New Roman"/>
          <w:noProof/>
          <w:sz w:val="24"/>
          <w:lang w:val="sk-SK"/>
        </w:rPr>
        <w:sectPr w:rsidR="002D49B0" w:rsidRPr="00083739" w:rsidSect="00271D33">
          <w:headerReference w:type="even" r:id="rId223"/>
          <w:headerReference w:type="default" r:id="rId224"/>
          <w:footerReference w:type="even" r:id="rId225"/>
          <w:footerReference w:type="default" r:id="rId226"/>
          <w:headerReference w:type="first" r:id="rId227"/>
          <w:footerReference w:type="first" r:id="rId228"/>
          <w:pgSz w:w="11907" w:h="16839"/>
          <w:pgMar w:top="1134" w:right="1417" w:bottom="1134" w:left="1417" w:header="709" w:footer="709" w:gutter="0"/>
          <w:cols w:space="720"/>
          <w:docGrid w:linePitch="360"/>
        </w:sectPr>
      </w:pPr>
    </w:p>
    <w:p w14:paraId="787DF559" w14:textId="0318C3C0" w:rsidR="002D49B0" w:rsidRPr="00083739" w:rsidRDefault="00BF4125">
      <w:pPr>
        <w:spacing w:before="120" w:after="120" w:line="240" w:lineRule="auto"/>
        <w:ind w:left="709"/>
        <w:jc w:val="both"/>
        <w:rPr>
          <w:rFonts w:ascii="Times New Roman" w:hAnsi="Times New Roman" w:cs="Times New Roman"/>
          <w:b/>
          <w:bCs/>
          <w:noProof/>
          <w:sz w:val="24"/>
          <w:u w:val="single"/>
          <w:lang w:val="sk-SK"/>
        </w:rPr>
      </w:pPr>
      <w:r w:rsidRPr="00083739">
        <w:rPr>
          <w:rFonts w:ascii="Times New Roman" w:hAnsi="Times New Roman" w:cs="Times New Roman"/>
          <w:b/>
          <w:noProof/>
          <w:sz w:val="24"/>
          <w:u w:val="single"/>
          <w:lang w:val="sk-SK"/>
        </w:rPr>
        <w:t xml:space="preserve">M.2. </w:t>
      </w:r>
      <w:r w:rsidRPr="00083739">
        <w:rPr>
          <w:rFonts w:ascii="Times New Roman" w:hAnsi="Times New Roman" w:cs="Times New Roman"/>
          <w:noProof/>
          <w:lang w:val="sk-SK"/>
        </w:rPr>
        <w:t xml:space="preserve"> </w:t>
      </w:r>
      <w:r w:rsidRPr="00083739">
        <w:rPr>
          <w:rFonts w:ascii="Times New Roman" w:hAnsi="Times New Roman" w:cs="Times New Roman"/>
          <w:b/>
          <w:noProof/>
          <w:sz w:val="24"/>
          <w:u w:val="single"/>
          <w:lang w:val="sk-SK"/>
        </w:rPr>
        <w:t>Míľniky, ciele, ukazovatele</w:t>
      </w:r>
      <w:r w:rsidR="00083739" w:rsidRPr="00083739">
        <w:rPr>
          <w:rFonts w:ascii="Times New Roman" w:hAnsi="Times New Roman" w:cs="Times New Roman"/>
          <w:b/>
          <w:noProof/>
          <w:sz w:val="24"/>
          <w:u w:val="single"/>
          <w:lang w:val="sk-SK"/>
        </w:rPr>
        <w:t xml:space="preserve"> a </w:t>
      </w:r>
      <w:r w:rsidRPr="00083739">
        <w:rPr>
          <w:rFonts w:ascii="Times New Roman" w:hAnsi="Times New Roman" w:cs="Times New Roman"/>
          <w:b/>
          <w:noProof/>
          <w:sz w:val="24"/>
          <w:u w:val="single"/>
          <w:lang w:val="sk-SK"/>
        </w:rPr>
        <w:t>harmonogram monitorovania</w:t>
      </w:r>
      <w:r w:rsidR="00083739" w:rsidRPr="00083739">
        <w:rPr>
          <w:rFonts w:ascii="Times New Roman" w:hAnsi="Times New Roman" w:cs="Times New Roman"/>
          <w:b/>
          <w:noProof/>
          <w:sz w:val="24"/>
          <w:u w:val="single"/>
          <w:lang w:val="sk-SK"/>
        </w:rPr>
        <w:t xml:space="preserve"> a </w:t>
      </w:r>
      <w:r w:rsidRPr="00083739">
        <w:rPr>
          <w:rFonts w:ascii="Times New Roman" w:hAnsi="Times New Roman" w:cs="Times New Roman"/>
          <w:b/>
          <w:noProof/>
          <w:sz w:val="24"/>
          <w:u w:val="single"/>
          <w:lang w:val="sk-SK"/>
        </w:rPr>
        <w:t xml:space="preserve">realizácie pre nenávratnú </w:t>
      </w:r>
      <w:r w:rsidRPr="00083739">
        <w:rPr>
          <w:rFonts w:ascii="Times New Roman" w:hAnsi="Times New Roman" w:cs="Times New Roman"/>
          <w:b/>
          <w:noProof/>
          <w:sz w:val="24"/>
          <w:u w:val="single"/>
          <w:lang w:val="sk-SK"/>
        </w:rPr>
        <w:t>finančnú podporu</w:t>
      </w:r>
    </w:p>
    <w:p w14:paraId="133A518B" w14:textId="77777777" w:rsidR="002D49B0" w:rsidRPr="00083739" w:rsidRDefault="002D49B0">
      <w:pPr>
        <w:rPr>
          <w:rFonts w:ascii="Times New Roman" w:hAnsi="Times New Roman" w:cs="Times New Roman"/>
          <w:noProof/>
          <w:lang w:val="sk-SK"/>
        </w:rPr>
      </w:pPr>
    </w:p>
    <w:p w14:paraId="0DA5E986" w14:textId="77777777" w:rsidR="00083739" w:rsidRPr="00083739" w:rsidRDefault="00BF4125">
      <w:pPr>
        <w:pStyle w:val="P68B1DB1-Normal6"/>
        <w:keepNext/>
        <w:keepLines/>
        <w:spacing w:before="40" w:after="0" w:line="240" w:lineRule="auto"/>
        <w:jc w:val="both"/>
        <w:outlineLvl w:val="4"/>
        <w:rPr>
          <w:rFonts w:ascii="Times New Roman" w:hAnsi="Times New Roman" w:cs="Times New Roman"/>
          <w:noProof/>
          <w:lang w:val="sk-SK"/>
        </w:rPr>
      </w:pPr>
      <w:r w:rsidRPr="00083739">
        <w:rPr>
          <w:rFonts w:ascii="Times New Roman" w:hAnsi="Times New Roman" w:cs="Times New Roman"/>
          <w:noProof/>
          <w:lang w:val="sk-SK"/>
        </w:rPr>
        <w:t>Kľúčová reforma 9: Reforma verejnej správy</w:t>
      </w:r>
    </w:p>
    <w:p w14:paraId="077C3510" w14:textId="1306F9B2" w:rsidR="002D49B0" w:rsidRPr="00083739" w:rsidRDefault="002D49B0">
      <w:pPr>
        <w:keepNext/>
        <w:keepLines/>
        <w:spacing w:before="40" w:after="0" w:line="240" w:lineRule="auto"/>
        <w:jc w:val="both"/>
        <w:outlineLvl w:val="4"/>
        <w:rPr>
          <w:rFonts w:ascii="Times New Roman" w:eastAsia="Times New Roman" w:hAnsi="Times New Roman" w:cs="Times New Roman"/>
          <w:noProof/>
          <w:color w:val="365F91"/>
          <w:sz w:val="24"/>
          <w:lang w:val="sk-SK"/>
        </w:rPr>
      </w:pPr>
    </w:p>
    <w:tbl>
      <w:tblPr>
        <w:tblW w:w="15871" w:type="dxa"/>
        <w:jc w:val="center"/>
        <w:tblLook w:val="04A0" w:firstRow="1" w:lastRow="0" w:firstColumn="1" w:lastColumn="0" w:noHBand="0" w:noVBand="1"/>
      </w:tblPr>
      <w:tblGrid>
        <w:gridCol w:w="1027"/>
        <w:gridCol w:w="1527"/>
        <w:gridCol w:w="1115"/>
        <w:gridCol w:w="1301"/>
        <w:gridCol w:w="1713"/>
        <w:gridCol w:w="1195"/>
        <w:gridCol w:w="957"/>
        <w:gridCol w:w="805"/>
        <w:gridCol w:w="1167"/>
        <w:gridCol w:w="827"/>
        <w:gridCol w:w="4819"/>
      </w:tblGrid>
      <w:tr w:rsidR="002D49B0" w:rsidRPr="00083739" w14:paraId="0E7454FB" w14:textId="77777777">
        <w:trPr>
          <w:trHeight w:val="648"/>
          <w:tblHeader/>
          <w:jc w:val="center"/>
        </w:trPr>
        <w:tc>
          <w:tcPr>
            <w:tcW w:w="102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30C52F2"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Poradové číslo</w:t>
            </w:r>
          </w:p>
        </w:tc>
        <w:tc>
          <w:tcPr>
            <w:tcW w:w="152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AD6E73A"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Súvisiace opatrenie (reforma alebo investícia)</w:t>
            </w:r>
          </w:p>
        </w:tc>
        <w:tc>
          <w:tcPr>
            <w:tcW w:w="96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17189B1"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Míľnik/cieľ</w:t>
            </w:r>
          </w:p>
        </w:tc>
        <w:tc>
          <w:tcPr>
            <w:tcW w:w="1289" w:type="dxa"/>
            <w:vMerge w:val="restart"/>
            <w:tcBorders>
              <w:top w:val="single" w:sz="4" w:space="0" w:color="auto"/>
              <w:left w:val="nil"/>
              <w:bottom w:val="single" w:sz="4" w:space="0" w:color="auto"/>
              <w:right w:val="single" w:sz="4" w:space="0" w:color="auto"/>
            </w:tcBorders>
            <w:shd w:val="clear" w:color="auto" w:fill="BDD7EE"/>
            <w:vAlign w:val="center"/>
            <w:hideMark/>
          </w:tcPr>
          <w:p w14:paraId="6BBC1B2C"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Názov</w:t>
            </w:r>
          </w:p>
        </w:tc>
        <w:tc>
          <w:tcPr>
            <w:tcW w:w="17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A6B58F4" w14:textId="77777777" w:rsidR="002D49B0" w:rsidRPr="00083739" w:rsidRDefault="00BF4125">
            <w:pPr>
              <w:pStyle w:val="P68B1DB1-Normal37"/>
              <w:spacing w:after="0" w:line="240" w:lineRule="auto"/>
              <w:jc w:val="center"/>
              <w:rPr>
                <w:rFonts w:eastAsia="Times New Roman" w:cs="Times New Roman"/>
                <w:b/>
                <w:bCs/>
                <w:noProof/>
                <w:sz w:val="18"/>
                <w:szCs w:val="18"/>
                <w:lang w:val="sk-SK"/>
              </w:rPr>
            </w:pPr>
            <w:r w:rsidRPr="00083739">
              <w:rPr>
                <w:rFonts w:cs="Times New Roman"/>
                <w:b/>
                <w:noProof/>
                <w:sz w:val="18"/>
                <w:lang w:val="sk-SK"/>
              </w:rPr>
              <w:t xml:space="preserve">Kvalitatívne ukazovatele </w:t>
            </w:r>
            <w:r w:rsidRPr="00083739">
              <w:rPr>
                <w:rFonts w:cs="Times New Roman"/>
                <w:noProof/>
                <w:sz w:val="24"/>
                <w:lang w:val="sk-SK"/>
              </w:rPr>
              <w:t xml:space="preserve"> </w:t>
            </w:r>
            <w:r w:rsidRPr="00083739">
              <w:rPr>
                <w:rFonts w:cs="Times New Roman"/>
                <w:b/>
                <w:noProof/>
                <w:sz w:val="18"/>
                <w:lang w:val="sk-SK"/>
              </w:rPr>
              <w:t>(pre míľniky)</w:t>
            </w:r>
          </w:p>
        </w:tc>
        <w:tc>
          <w:tcPr>
            <w:tcW w:w="2857" w:type="dxa"/>
            <w:gridSpan w:val="3"/>
            <w:tcBorders>
              <w:top w:val="single" w:sz="4" w:space="0" w:color="auto"/>
              <w:left w:val="nil"/>
              <w:bottom w:val="single" w:sz="4" w:space="0" w:color="auto"/>
              <w:right w:val="single" w:sz="4" w:space="0" w:color="auto"/>
            </w:tcBorders>
            <w:shd w:val="clear" w:color="auto" w:fill="BDD7EE"/>
            <w:vAlign w:val="center"/>
            <w:hideMark/>
          </w:tcPr>
          <w:p w14:paraId="734046C1" w14:textId="77777777" w:rsidR="002D49B0" w:rsidRPr="00083739" w:rsidRDefault="00BF4125">
            <w:pPr>
              <w:pStyle w:val="P68B1DB1-Normal37"/>
              <w:spacing w:after="0" w:line="240" w:lineRule="auto"/>
              <w:jc w:val="center"/>
              <w:rPr>
                <w:rFonts w:eastAsia="Times New Roman" w:cs="Times New Roman"/>
                <w:b/>
                <w:bCs/>
                <w:noProof/>
                <w:sz w:val="18"/>
                <w:szCs w:val="18"/>
                <w:lang w:val="sk-SK"/>
              </w:rPr>
            </w:pPr>
            <w:r w:rsidRPr="00083739">
              <w:rPr>
                <w:rFonts w:cs="Times New Roman"/>
                <w:b/>
                <w:noProof/>
                <w:sz w:val="18"/>
                <w:lang w:val="sk-SK"/>
              </w:rPr>
              <w:t xml:space="preserve">Kvantitatívne ukazovatele </w:t>
            </w:r>
            <w:r w:rsidRPr="00083739">
              <w:rPr>
                <w:rFonts w:cs="Times New Roman"/>
                <w:noProof/>
                <w:sz w:val="24"/>
                <w:lang w:val="sk-SK"/>
              </w:rPr>
              <w:t xml:space="preserve"> </w:t>
            </w:r>
            <w:r w:rsidRPr="00083739">
              <w:rPr>
                <w:rFonts w:cs="Times New Roman"/>
                <w:b/>
                <w:noProof/>
                <w:sz w:val="18"/>
                <w:lang w:val="sk-SK"/>
              </w:rPr>
              <w:t>(pre ciele)</w:t>
            </w:r>
          </w:p>
        </w:tc>
        <w:tc>
          <w:tcPr>
            <w:tcW w:w="1673" w:type="dxa"/>
            <w:gridSpan w:val="2"/>
            <w:tcBorders>
              <w:top w:val="single" w:sz="4" w:space="0" w:color="auto"/>
              <w:left w:val="nil"/>
              <w:bottom w:val="single" w:sz="4" w:space="0" w:color="auto"/>
              <w:right w:val="single" w:sz="4" w:space="0" w:color="auto"/>
            </w:tcBorders>
            <w:shd w:val="clear" w:color="auto" w:fill="BDD7EE"/>
            <w:vAlign w:val="center"/>
            <w:hideMark/>
          </w:tcPr>
          <w:p w14:paraId="03E74A36"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Orientačný harmonogram dokončenia </w:t>
            </w:r>
          </w:p>
        </w:tc>
        <w:tc>
          <w:tcPr>
            <w:tcW w:w="481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B16A2E7" w14:textId="52E0E5A0"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Opis každého míľnika</w:t>
            </w:r>
            <w:r w:rsidR="00083739" w:rsidRPr="00083739">
              <w:rPr>
                <w:rFonts w:cs="Times New Roman"/>
                <w:noProof/>
                <w:lang w:val="sk-SK"/>
              </w:rPr>
              <w:t xml:space="preserve"> a </w:t>
            </w:r>
            <w:r w:rsidRPr="00083739">
              <w:rPr>
                <w:rFonts w:cs="Times New Roman"/>
                <w:noProof/>
                <w:lang w:val="sk-SK"/>
              </w:rPr>
              <w:t>cieľa</w:t>
            </w:r>
          </w:p>
        </w:tc>
      </w:tr>
      <w:tr w:rsidR="002D49B0" w:rsidRPr="00083739" w14:paraId="1E25DE45" w14:textId="77777777">
        <w:trPr>
          <w:trHeight w:val="562"/>
          <w:tblHeader/>
          <w:jc w:val="center"/>
        </w:trPr>
        <w:tc>
          <w:tcPr>
            <w:tcW w:w="1027" w:type="dxa"/>
            <w:vMerge/>
            <w:tcBorders>
              <w:top w:val="single" w:sz="4" w:space="0" w:color="auto"/>
              <w:left w:val="single" w:sz="4" w:space="0" w:color="auto"/>
              <w:bottom w:val="single" w:sz="4" w:space="0" w:color="auto"/>
              <w:right w:val="single" w:sz="4" w:space="0" w:color="auto"/>
            </w:tcBorders>
            <w:vAlign w:val="center"/>
            <w:hideMark/>
          </w:tcPr>
          <w:p w14:paraId="1FECEB97"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527" w:type="dxa"/>
            <w:vMerge/>
            <w:tcBorders>
              <w:top w:val="single" w:sz="4" w:space="0" w:color="auto"/>
              <w:left w:val="single" w:sz="4" w:space="0" w:color="auto"/>
              <w:bottom w:val="single" w:sz="4" w:space="0" w:color="auto"/>
              <w:right w:val="single" w:sz="4" w:space="0" w:color="auto"/>
            </w:tcBorders>
            <w:vAlign w:val="center"/>
            <w:hideMark/>
          </w:tcPr>
          <w:p w14:paraId="5F16C17E"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966" w:type="dxa"/>
            <w:vMerge/>
            <w:tcBorders>
              <w:top w:val="single" w:sz="4" w:space="0" w:color="auto"/>
              <w:left w:val="single" w:sz="4" w:space="0" w:color="auto"/>
              <w:bottom w:val="single" w:sz="4" w:space="0" w:color="auto"/>
              <w:right w:val="single" w:sz="4" w:space="0" w:color="auto"/>
            </w:tcBorders>
            <w:vAlign w:val="center"/>
            <w:hideMark/>
          </w:tcPr>
          <w:p w14:paraId="0709DD1D"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289" w:type="dxa"/>
            <w:vMerge/>
            <w:tcBorders>
              <w:top w:val="single" w:sz="4" w:space="0" w:color="auto"/>
              <w:left w:val="single" w:sz="4" w:space="0" w:color="auto"/>
              <w:bottom w:val="single" w:sz="4" w:space="0" w:color="auto"/>
              <w:right w:val="single" w:sz="4" w:space="0" w:color="auto"/>
            </w:tcBorders>
            <w:vAlign w:val="center"/>
            <w:hideMark/>
          </w:tcPr>
          <w:p w14:paraId="207448F3"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713" w:type="dxa"/>
            <w:vMerge/>
            <w:tcBorders>
              <w:top w:val="single" w:sz="4" w:space="0" w:color="auto"/>
              <w:left w:val="single" w:sz="4" w:space="0" w:color="auto"/>
              <w:bottom w:val="single" w:sz="4" w:space="0" w:color="auto"/>
              <w:right w:val="single" w:sz="4" w:space="0" w:color="auto"/>
            </w:tcBorders>
            <w:vAlign w:val="center"/>
            <w:hideMark/>
          </w:tcPr>
          <w:p w14:paraId="281F5A96"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195"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55E2EAD5"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Merná jednotka</w:t>
            </w:r>
          </w:p>
        </w:tc>
        <w:tc>
          <w:tcPr>
            <w:tcW w:w="857" w:type="dxa"/>
            <w:tcBorders>
              <w:top w:val="nil"/>
              <w:left w:val="nil"/>
              <w:bottom w:val="single" w:sz="4" w:space="0" w:color="auto"/>
              <w:right w:val="single" w:sz="4" w:space="0" w:color="auto"/>
            </w:tcBorders>
            <w:shd w:val="clear" w:color="auto" w:fill="BDD7EE"/>
            <w:vAlign w:val="center"/>
            <w:hideMark/>
          </w:tcPr>
          <w:p w14:paraId="7D57CC03"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Základná </w:t>
            </w:r>
          </w:p>
        </w:tc>
        <w:tc>
          <w:tcPr>
            <w:tcW w:w="805" w:type="dxa"/>
            <w:tcBorders>
              <w:top w:val="nil"/>
              <w:left w:val="nil"/>
              <w:bottom w:val="single" w:sz="4" w:space="0" w:color="auto"/>
              <w:right w:val="single" w:sz="4" w:space="0" w:color="auto"/>
            </w:tcBorders>
            <w:shd w:val="clear" w:color="auto" w:fill="BDD7EE"/>
            <w:vAlign w:val="center"/>
            <w:hideMark/>
          </w:tcPr>
          <w:p w14:paraId="2C3A78BE"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Cieľ </w:t>
            </w:r>
          </w:p>
        </w:tc>
        <w:tc>
          <w:tcPr>
            <w:tcW w:w="846" w:type="dxa"/>
            <w:tcBorders>
              <w:top w:val="nil"/>
              <w:left w:val="nil"/>
              <w:bottom w:val="single" w:sz="4" w:space="0" w:color="auto"/>
              <w:right w:val="single" w:sz="4" w:space="0" w:color="auto"/>
            </w:tcBorders>
            <w:shd w:val="clear" w:color="auto" w:fill="BDD7EE"/>
            <w:vAlign w:val="center"/>
            <w:hideMark/>
          </w:tcPr>
          <w:p w14:paraId="5A36C8FE"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Štvrtina</w:t>
            </w:r>
          </w:p>
        </w:tc>
        <w:tc>
          <w:tcPr>
            <w:tcW w:w="827" w:type="dxa"/>
            <w:tcBorders>
              <w:top w:val="nil"/>
              <w:left w:val="nil"/>
              <w:bottom w:val="single" w:sz="4" w:space="0" w:color="auto"/>
              <w:right w:val="single" w:sz="4" w:space="0" w:color="auto"/>
            </w:tcBorders>
            <w:shd w:val="clear" w:color="auto" w:fill="BDD7EE"/>
            <w:vAlign w:val="center"/>
            <w:hideMark/>
          </w:tcPr>
          <w:p w14:paraId="02C9AC6B"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Rok</w:t>
            </w:r>
          </w:p>
        </w:tc>
        <w:tc>
          <w:tcPr>
            <w:tcW w:w="4819" w:type="dxa"/>
            <w:vMerge/>
            <w:tcBorders>
              <w:top w:val="single" w:sz="4" w:space="0" w:color="auto"/>
              <w:bottom w:val="single" w:sz="4" w:space="0" w:color="auto"/>
              <w:right w:val="single" w:sz="4" w:space="0" w:color="auto"/>
            </w:tcBorders>
            <w:vAlign w:val="center"/>
            <w:hideMark/>
          </w:tcPr>
          <w:p w14:paraId="0DE826D1"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r>
      <w:tr w:rsidR="002D49B0" w:rsidRPr="00083739" w14:paraId="5BEFEF1E" w14:textId="77777777">
        <w:trPr>
          <w:trHeight w:val="313"/>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2DCCCC5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205</w:t>
            </w:r>
          </w:p>
        </w:tc>
        <w:tc>
          <w:tcPr>
            <w:tcW w:w="1527" w:type="dxa"/>
            <w:tcBorders>
              <w:top w:val="single" w:sz="4" w:space="0" w:color="auto"/>
              <w:left w:val="nil"/>
              <w:bottom w:val="single" w:sz="4" w:space="0" w:color="auto"/>
              <w:right w:val="single" w:sz="4" w:space="0" w:color="auto"/>
            </w:tcBorders>
            <w:shd w:val="clear" w:color="auto" w:fill="C6EFCE"/>
            <w:noWrap/>
          </w:tcPr>
          <w:p w14:paraId="24C80631" w14:textId="7C40D89B"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13 – 4.2. Modernizácia verejnej správy,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to aj urýchlením realizácie verejných investícií, zlepšením rámca verejného obstarávania, opatreniami na budovanie kapacít</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bojom proti korupcii – 16972_Reforma verejnej správy</w:t>
            </w:r>
          </w:p>
        </w:tc>
        <w:tc>
          <w:tcPr>
            <w:tcW w:w="966" w:type="dxa"/>
            <w:tcBorders>
              <w:top w:val="single" w:sz="4" w:space="0" w:color="auto"/>
              <w:left w:val="nil"/>
              <w:bottom w:val="single" w:sz="4" w:space="0" w:color="auto"/>
              <w:right w:val="single" w:sz="4" w:space="0" w:color="auto"/>
            </w:tcBorders>
            <w:shd w:val="clear" w:color="auto" w:fill="C6EFCE"/>
            <w:noWrap/>
          </w:tcPr>
          <w:p w14:paraId="28A23E7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289" w:type="dxa"/>
            <w:tcBorders>
              <w:top w:val="single" w:sz="4" w:space="0" w:color="auto"/>
              <w:left w:val="nil"/>
              <w:bottom w:val="single" w:sz="4" w:space="0" w:color="auto"/>
              <w:right w:val="single" w:sz="4" w:space="0" w:color="auto"/>
            </w:tcBorders>
            <w:shd w:val="clear" w:color="auto" w:fill="C6EFCE"/>
            <w:noWrap/>
          </w:tcPr>
          <w:p w14:paraId="7342818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Verejná správa – spustenie systému odmeňovania výkonnosti</w:t>
            </w:r>
          </w:p>
          <w:p w14:paraId="59707B13"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713" w:type="dxa"/>
            <w:tcBorders>
              <w:top w:val="single" w:sz="4" w:space="0" w:color="auto"/>
              <w:left w:val="nil"/>
              <w:bottom w:val="single" w:sz="4" w:space="0" w:color="auto"/>
              <w:right w:val="single" w:sz="4" w:space="0" w:color="auto"/>
            </w:tcBorders>
            <w:shd w:val="clear" w:color="auto" w:fill="C6EFCE"/>
            <w:noWrap/>
          </w:tcPr>
          <w:p w14:paraId="4B2E702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Nadobudnutie účinnosti primárnych právnych predpisov, ktorými sa zriaďuje pilotný systém odmeňovania. </w:t>
            </w:r>
          </w:p>
        </w:tc>
        <w:tc>
          <w:tcPr>
            <w:tcW w:w="1195" w:type="dxa"/>
            <w:tcBorders>
              <w:top w:val="single" w:sz="4" w:space="0" w:color="auto"/>
              <w:left w:val="nil"/>
              <w:bottom w:val="single" w:sz="4" w:space="0" w:color="auto"/>
              <w:right w:val="single" w:sz="4" w:space="0" w:color="auto"/>
            </w:tcBorders>
            <w:shd w:val="clear" w:color="auto" w:fill="C6EFCE"/>
            <w:noWrap/>
          </w:tcPr>
          <w:p w14:paraId="4F906EDD"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nil"/>
              <w:left w:val="nil"/>
              <w:bottom w:val="single" w:sz="4" w:space="0" w:color="auto"/>
              <w:right w:val="single" w:sz="4" w:space="0" w:color="auto"/>
            </w:tcBorders>
            <w:shd w:val="clear" w:color="auto" w:fill="C6EFCE"/>
            <w:noWrap/>
          </w:tcPr>
          <w:p w14:paraId="72F9FC0F"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05" w:type="dxa"/>
            <w:tcBorders>
              <w:top w:val="nil"/>
              <w:left w:val="nil"/>
              <w:bottom w:val="single" w:sz="4" w:space="0" w:color="auto"/>
              <w:right w:val="single" w:sz="4" w:space="0" w:color="auto"/>
            </w:tcBorders>
            <w:shd w:val="clear" w:color="auto" w:fill="C6EFCE"/>
            <w:noWrap/>
          </w:tcPr>
          <w:p w14:paraId="7B47BB3D"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6" w:type="dxa"/>
            <w:tcBorders>
              <w:top w:val="nil"/>
              <w:left w:val="nil"/>
              <w:bottom w:val="single" w:sz="4" w:space="0" w:color="auto"/>
              <w:right w:val="single" w:sz="4" w:space="0" w:color="auto"/>
            </w:tcBorders>
            <w:shd w:val="clear" w:color="auto" w:fill="C6EFCE"/>
            <w:noWrap/>
          </w:tcPr>
          <w:p w14:paraId="09E713A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827" w:type="dxa"/>
            <w:tcBorders>
              <w:top w:val="nil"/>
              <w:left w:val="nil"/>
              <w:bottom w:val="single" w:sz="4" w:space="0" w:color="auto"/>
              <w:right w:val="single" w:sz="4" w:space="0" w:color="auto"/>
            </w:tcBorders>
            <w:shd w:val="clear" w:color="auto" w:fill="C6EFCE"/>
            <w:noWrap/>
          </w:tcPr>
          <w:p w14:paraId="00EA280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2022</w:t>
            </w:r>
          </w:p>
        </w:tc>
        <w:tc>
          <w:tcPr>
            <w:tcW w:w="4819" w:type="dxa"/>
            <w:tcBorders>
              <w:top w:val="single" w:sz="4" w:space="0" w:color="auto"/>
              <w:left w:val="nil"/>
              <w:bottom w:val="single" w:sz="4" w:space="0" w:color="auto"/>
              <w:right w:val="single" w:sz="4" w:space="0" w:color="auto"/>
            </w:tcBorders>
            <w:shd w:val="clear" w:color="auto" w:fill="C6EFCE"/>
            <w:noWrap/>
          </w:tcPr>
          <w:p w14:paraId="320DF154" w14:textId="179686EA"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w:t>
            </w:r>
            <w:r w:rsidRPr="00083739">
              <w:rPr>
                <w:rFonts w:ascii="Times New Roman" w:hAnsi="Times New Roman" w:cs="Times New Roman"/>
                <w:noProof/>
                <w:lang w:val="sk-SK"/>
              </w:rPr>
              <w:t>e účinnosti primárnych právnych predpisov na spustenie systému odmeňovania výkonnosti pre stanovený počet pilotných subjektov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až 6000 štátnych zamestnancov, ktoré sa premietnu do širšej reformy, ktorou sa zavedie systém riadenia stanovovania cieľov (pozr</w:t>
            </w:r>
            <w:r w:rsidRPr="00083739">
              <w:rPr>
                <w:rFonts w:ascii="Times New Roman" w:hAnsi="Times New Roman" w:cs="Times New Roman"/>
                <w:noProof/>
                <w:lang w:val="sk-SK"/>
              </w:rPr>
              <w:t>i čiastkový cieľ 4. štvrťrok 2023). Pilotný projekt sa vzťahuje na štátnych zamestnancov zapojených do vykonávania plánu obnovy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odolnosti. Kľúčové prvky systému musia byť</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súlade</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jednotnou mzdovou tabuľkou (zákon č. 4354/2015).</w:t>
            </w:r>
          </w:p>
        </w:tc>
      </w:tr>
      <w:tr w:rsidR="002D49B0" w:rsidRPr="00083739" w14:paraId="47E15C2D" w14:textId="77777777">
        <w:trPr>
          <w:trHeight w:val="313"/>
          <w:jc w:val="center"/>
        </w:trPr>
        <w:tc>
          <w:tcPr>
            <w:tcW w:w="1027" w:type="dxa"/>
            <w:tcBorders>
              <w:top w:val="nil"/>
              <w:left w:val="single" w:sz="4" w:space="0" w:color="auto"/>
              <w:bottom w:val="single" w:sz="4" w:space="0" w:color="auto"/>
              <w:right w:val="single" w:sz="4" w:space="0" w:color="auto"/>
            </w:tcBorders>
            <w:shd w:val="clear" w:color="auto" w:fill="C6EFCE"/>
            <w:noWrap/>
          </w:tcPr>
          <w:p w14:paraId="1EB541C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206</w:t>
            </w:r>
          </w:p>
        </w:tc>
        <w:tc>
          <w:tcPr>
            <w:tcW w:w="1527" w:type="dxa"/>
            <w:tcBorders>
              <w:top w:val="nil"/>
              <w:left w:val="nil"/>
              <w:bottom w:val="single" w:sz="4" w:space="0" w:color="auto"/>
              <w:right w:val="single" w:sz="4" w:space="0" w:color="auto"/>
            </w:tcBorders>
            <w:shd w:val="clear" w:color="auto" w:fill="C6EFCE"/>
            <w:noWrap/>
          </w:tcPr>
          <w:p w14:paraId="2AAA4D36" w14:textId="65EF8632"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13 – 4.2. </w:t>
            </w:r>
            <w:r w:rsidRPr="00083739">
              <w:rPr>
                <w:rFonts w:ascii="Times New Roman" w:hAnsi="Times New Roman" w:cs="Times New Roman"/>
                <w:noProof/>
                <w:lang w:val="sk-SK"/>
              </w:rPr>
              <w:t>Modernizácia verejnej správy,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to aj urýchlením realizácie verejných investícií, zlepšením rámca verejného obstarávania, opatreniami na budovanie kapacít</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bojom proti korupcii – 16972_Reforma verejnej správy</w:t>
            </w:r>
          </w:p>
        </w:tc>
        <w:tc>
          <w:tcPr>
            <w:tcW w:w="966" w:type="dxa"/>
            <w:tcBorders>
              <w:top w:val="nil"/>
              <w:left w:val="nil"/>
              <w:bottom w:val="single" w:sz="4" w:space="0" w:color="auto"/>
              <w:right w:val="single" w:sz="4" w:space="0" w:color="auto"/>
            </w:tcBorders>
            <w:shd w:val="clear" w:color="auto" w:fill="C6EFCE"/>
            <w:noWrap/>
          </w:tcPr>
          <w:p w14:paraId="6260CE2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289" w:type="dxa"/>
            <w:tcBorders>
              <w:top w:val="nil"/>
              <w:left w:val="nil"/>
              <w:bottom w:val="single" w:sz="4" w:space="0" w:color="auto"/>
              <w:right w:val="single" w:sz="4" w:space="0" w:color="auto"/>
            </w:tcBorders>
            <w:shd w:val="clear" w:color="auto" w:fill="C6EFCE"/>
            <w:noWrap/>
          </w:tcPr>
          <w:p w14:paraId="36D0CD1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Verejná správa – legislatívny rámec na </w:t>
            </w:r>
            <w:r w:rsidRPr="00083739">
              <w:rPr>
                <w:rFonts w:ascii="Times New Roman" w:hAnsi="Times New Roman" w:cs="Times New Roman"/>
                <w:noProof/>
                <w:lang w:val="sk-SK"/>
              </w:rPr>
              <w:t>objasnenie mandátov</w:t>
            </w:r>
          </w:p>
        </w:tc>
        <w:tc>
          <w:tcPr>
            <w:tcW w:w="1713" w:type="dxa"/>
            <w:tcBorders>
              <w:top w:val="nil"/>
              <w:left w:val="nil"/>
              <w:bottom w:val="single" w:sz="4" w:space="0" w:color="auto"/>
              <w:right w:val="single" w:sz="4" w:space="0" w:color="auto"/>
            </w:tcBorders>
            <w:shd w:val="clear" w:color="auto" w:fill="C6EFCE"/>
            <w:noWrap/>
          </w:tcPr>
          <w:p w14:paraId="0357A912" w14:textId="5222A7A5"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právnych ustanovení, ktorými sa upravuje legislatívny rámec subjektov verejnej správy na ústrednej, regionálnej</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miestnej úrovni. </w:t>
            </w:r>
          </w:p>
        </w:tc>
        <w:tc>
          <w:tcPr>
            <w:tcW w:w="1195" w:type="dxa"/>
            <w:tcBorders>
              <w:top w:val="nil"/>
              <w:left w:val="nil"/>
              <w:bottom w:val="single" w:sz="4" w:space="0" w:color="auto"/>
              <w:right w:val="single" w:sz="4" w:space="0" w:color="auto"/>
            </w:tcBorders>
            <w:shd w:val="clear" w:color="auto" w:fill="C6EFCE"/>
            <w:noWrap/>
          </w:tcPr>
          <w:p w14:paraId="54FDCB3D"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nil"/>
              <w:left w:val="nil"/>
              <w:bottom w:val="single" w:sz="4" w:space="0" w:color="auto"/>
              <w:right w:val="single" w:sz="4" w:space="0" w:color="auto"/>
            </w:tcBorders>
            <w:shd w:val="clear" w:color="auto" w:fill="C6EFCE"/>
            <w:noWrap/>
          </w:tcPr>
          <w:p w14:paraId="276AC9BD"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05" w:type="dxa"/>
            <w:tcBorders>
              <w:top w:val="nil"/>
              <w:left w:val="nil"/>
              <w:bottom w:val="single" w:sz="4" w:space="0" w:color="auto"/>
              <w:right w:val="single" w:sz="4" w:space="0" w:color="auto"/>
            </w:tcBorders>
            <w:shd w:val="clear" w:color="auto" w:fill="C6EFCE"/>
            <w:noWrap/>
          </w:tcPr>
          <w:p w14:paraId="46CA24B0"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6" w:type="dxa"/>
            <w:tcBorders>
              <w:top w:val="nil"/>
              <w:left w:val="nil"/>
              <w:bottom w:val="single" w:sz="4" w:space="0" w:color="auto"/>
              <w:right w:val="single" w:sz="4" w:space="0" w:color="auto"/>
            </w:tcBorders>
            <w:shd w:val="clear" w:color="auto" w:fill="C6EFCE"/>
            <w:noWrap/>
          </w:tcPr>
          <w:p w14:paraId="53EE434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TRETÍ ŠTVRŤROK</w:t>
            </w:r>
          </w:p>
        </w:tc>
        <w:tc>
          <w:tcPr>
            <w:tcW w:w="827" w:type="dxa"/>
            <w:tcBorders>
              <w:top w:val="nil"/>
              <w:left w:val="nil"/>
              <w:bottom w:val="single" w:sz="4" w:space="0" w:color="auto"/>
              <w:right w:val="single" w:sz="4" w:space="0" w:color="auto"/>
            </w:tcBorders>
            <w:shd w:val="clear" w:color="auto" w:fill="C6EFCE"/>
            <w:noWrap/>
          </w:tcPr>
          <w:p w14:paraId="76982F1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2022</w:t>
            </w:r>
          </w:p>
        </w:tc>
        <w:tc>
          <w:tcPr>
            <w:tcW w:w="4819" w:type="dxa"/>
            <w:tcBorders>
              <w:top w:val="nil"/>
              <w:left w:val="nil"/>
              <w:bottom w:val="single" w:sz="4" w:space="0" w:color="auto"/>
              <w:right w:val="single" w:sz="4" w:space="0" w:color="auto"/>
            </w:tcBorders>
            <w:shd w:val="clear" w:color="auto" w:fill="C6EFCE"/>
            <w:noWrap/>
          </w:tcPr>
          <w:p w14:paraId="4752A06D" w14:textId="22765CF6"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revidovaných primárnych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sekundárn</w:t>
            </w:r>
            <w:r w:rsidRPr="00083739">
              <w:rPr>
                <w:rFonts w:ascii="Times New Roman" w:hAnsi="Times New Roman" w:cs="Times New Roman"/>
                <w:noProof/>
                <w:lang w:val="sk-SK"/>
              </w:rPr>
              <w:t>ych právnych predpisov</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cieľom vytvoriť systém prideľovania viacúrovňového riadenia</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cieľom objasniť zodpovednosť medzi všetkými úrovňami verejnej správy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riešiť prekrývanie.</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revidovanom právnom rámci sa stanovia oblasti zodpovednosti každého subjektu</w:t>
            </w:r>
            <w:r w:rsidRPr="00083739">
              <w:rPr>
                <w:rFonts w:ascii="Times New Roman" w:hAnsi="Times New Roman" w:cs="Times New Roman"/>
                <w:noProof/>
                <w:lang w:val="sk-SK"/>
              </w:rPr>
              <w:t xml:space="preserve"> týkajúce sa plánovania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vykonávania vrátane funkcií, ako je zabezpečovanie zdrojov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zodpovednosť za monitorovanie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hodnotenie.</w:t>
            </w:r>
          </w:p>
        </w:tc>
      </w:tr>
      <w:tr w:rsidR="002D49B0" w:rsidRPr="00083739" w14:paraId="6350578F" w14:textId="77777777">
        <w:trPr>
          <w:trHeight w:val="313"/>
          <w:jc w:val="center"/>
        </w:trPr>
        <w:tc>
          <w:tcPr>
            <w:tcW w:w="1027" w:type="dxa"/>
            <w:tcBorders>
              <w:top w:val="nil"/>
              <w:left w:val="single" w:sz="4" w:space="0" w:color="auto"/>
              <w:bottom w:val="single" w:sz="4" w:space="0" w:color="auto"/>
              <w:right w:val="single" w:sz="4" w:space="0" w:color="auto"/>
            </w:tcBorders>
            <w:shd w:val="clear" w:color="auto" w:fill="C6EFCE"/>
            <w:noWrap/>
          </w:tcPr>
          <w:p w14:paraId="2B99F76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207</w:t>
            </w:r>
          </w:p>
        </w:tc>
        <w:tc>
          <w:tcPr>
            <w:tcW w:w="1527" w:type="dxa"/>
            <w:tcBorders>
              <w:top w:val="nil"/>
              <w:left w:val="nil"/>
              <w:bottom w:val="single" w:sz="4" w:space="0" w:color="auto"/>
              <w:right w:val="single" w:sz="4" w:space="0" w:color="auto"/>
            </w:tcBorders>
            <w:shd w:val="clear" w:color="auto" w:fill="C6EFCE"/>
            <w:noWrap/>
          </w:tcPr>
          <w:p w14:paraId="4CB3ED39" w14:textId="63E93344"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13 – 4.2. Modernizácia verejnej správy,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to aj urýchlením realizácie verejných investícií, zlepšením rámca verejného </w:t>
            </w:r>
            <w:r w:rsidRPr="00083739">
              <w:rPr>
                <w:rFonts w:ascii="Times New Roman" w:hAnsi="Times New Roman" w:cs="Times New Roman"/>
                <w:noProof/>
                <w:lang w:val="sk-SK"/>
              </w:rPr>
              <w:t>obstarávania, opatreniami na budovanie kapacít</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bojom proti korupcii – 16972_Reforma verejnej správy</w:t>
            </w:r>
          </w:p>
        </w:tc>
        <w:tc>
          <w:tcPr>
            <w:tcW w:w="966" w:type="dxa"/>
            <w:tcBorders>
              <w:top w:val="nil"/>
              <w:left w:val="nil"/>
              <w:bottom w:val="single" w:sz="4" w:space="0" w:color="auto"/>
              <w:right w:val="single" w:sz="4" w:space="0" w:color="auto"/>
            </w:tcBorders>
            <w:shd w:val="clear" w:color="auto" w:fill="C6EFCE"/>
            <w:noWrap/>
          </w:tcPr>
          <w:p w14:paraId="2DA08B4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289" w:type="dxa"/>
            <w:tcBorders>
              <w:top w:val="nil"/>
              <w:left w:val="nil"/>
              <w:bottom w:val="single" w:sz="4" w:space="0" w:color="auto"/>
              <w:right w:val="single" w:sz="4" w:space="0" w:color="auto"/>
            </w:tcBorders>
            <w:shd w:val="clear" w:color="auto" w:fill="C6EFCE"/>
            <w:noWrap/>
          </w:tcPr>
          <w:p w14:paraId="030B3DD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Verejná správa – nový systém odmeňovania</w:t>
            </w:r>
          </w:p>
        </w:tc>
        <w:tc>
          <w:tcPr>
            <w:tcW w:w="1713" w:type="dxa"/>
            <w:tcBorders>
              <w:top w:val="nil"/>
              <w:left w:val="nil"/>
              <w:bottom w:val="single" w:sz="4" w:space="0" w:color="auto"/>
              <w:right w:val="single" w:sz="4" w:space="0" w:color="auto"/>
            </w:tcBorders>
            <w:shd w:val="clear" w:color="auto" w:fill="C6EFCE"/>
            <w:noWrap/>
          </w:tcPr>
          <w:p w14:paraId="61512DC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primárnych právnych predpisov, ktorými sa zavádza systém odmeňovania.</w:t>
            </w:r>
          </w:p>
        </w:tc>
        <w:tc>
          <w:tcPr>
            <w:tcW w:w="1195" w:type="dxa"/>
            <w:tcBorders>
              <w:top w:val="nil"/>
              <w:left w:val="nil"/>
              <w:bottom w:val="single" w:sz="4" w:space="0" w:color="auto"/>
              <w:right w:val="single" w:sz="4" w:space="0" w:color="auto"/>
            </w:tcBorders>
            <w:shd w:val="clear" w:color="auto" w:fill="C6EFCE"/>
            <w:noWrap/>
          </w:tcPr>
          <w:p w14:paraId="02566472"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nil"/>
              <w:left w:val="nil"/>
              <w:bottom w:val="single" w:sz="4" w:space="0" w:color="auto"/>
              <w:right w:val="single" w:sz="4" w:space="0" w:color="auto"/>
            </w:tcBorders>
            <w:shd w:val="clear" w:color="auto" w:fill="C6EFCE"/>
            <w:noWrap/>
          </w:tcPr>
          <w:p w14:paraId="47582D86"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05" w:type="dxa"/>
            <w:tcBorders>
              <w:top w:val="nil"/>
              <w:left w:val="nil"/>
              <w:bottom w:val="single" w:sz="4" w:space="0" w:color="auto"/>
              <w:right w:val="single" w:sz="4" w:space="0" w:color="auto"/>
            </w:tcBorders>
            <w:shd w:val="clear" w:color="auto" w:fill="C6EFCE"/>
            <w:noWrap/>
          </w:tcPr>
          <w:p w14:paraId="1CD74BCB"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6" w:type="dxa"/>
            <w:tcBorders>
              <w:top w:val="nil"/>
              <w:left w:val="nil"/>
              <w:bottom w:val="single" w:sz="4" w:space="0" w:color="auto"/>
              <w:right w:val="single" w:sz="4" w:space="0" w:color="auto"/>
            </w:tcBorders>
            <w:shd w:val="clear" w:color="auto" w:fill="C6EFCE"/>
            <w:noWrap/>
          </w:tcPr>
          <w:p w14:paraId="0A837AA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ŠTVRTÝ </w:t>
            </w:r>
            <w:r w:rsidRPr="00083739">
              <w:rPr>
                <w:rFonts w:ascii="Times New Roman" w:hAnsi="Times New Roman" w:cs="Times New Roman"/>
                <w:noProof/>
                <w:lang w:val="sk-SK"/>
              </w:rPr>
              <w:t>ŠTVRŤROK</w:t>
            </w:r>
          </w:p>
        </w:tc>
        <w:tc>
          <w:tcPr>
            <w:tcW w:w="827" w:type="dxa"/>
            <w:tcBorders>
              <w:top w:val="nil"/>
              <w:left w:val="nil"/>
              <w:bottom w:val="single" w:sz="4" w:space="0" w:color="auto"/>
              <w:right w:val="single" w:sz="4" w:space="0" w:color="auto"/>
            </w:tcBorders>
            <w:shd w:val="clear" w:color="auto" w:fill="C6EFCE"/>
            <w:noWrap/>
          </w:tcPr>
          <w:p w14:paraId="7103F15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2023</w:t>
            </w:r>
          </w:p>
        </w:tc>
        <w:tc>
          <w:tcPr>
            <w:tcW w:w="4819" w:type="dxa"/>
            <w:tcBorders>
              <w:top w:val="nil"/>
              <w:left w:val="nil"/>
              <w:bottom w:val="single" w:sz="4" w:space="0" w:color="auto"/>
              <w:right w:val="single" w:sz="4" w:space="0" w:color="auto"/>
            </w:tcBorders>
            <w:shd w:val="clear" w:color="auto" w:fill="C6EFCE"/>
            <w:noWrap/>
          </w:tcPr>
          <w:p w14:paraId="3F4F6130" w14:textId="0A9F11EF"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primárnych právnych predpisov, ktorými sa zavádza systém riadenia stanovovania cieľov zameraný na spravodlivé</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konzistentné odmeňovanie verejných organizácií za dosiahnutie vopred stanovených cieľov. Kľúčové prvky syst</w:t>
            </w:r>
            <w:r w:rsidRPr="00083739">
              <w:rPr>
                <w:rFonts w:ascii="Times New Roman" w:hAnsi="Times New Roman" w:cs="Times New Roman"/>
                <w:noProof/>
                <w:lang w:val="sk-SK"/>
              </w:rPr>
              <w:t>ému musia byť</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súlade</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jednotnou mzdovou tabuľkou (zákon č. 4354/2015).</w:t>
            </w:r>
          </w:p>
        </w:tc>
      </w:tr>
      <w:tr w:rsidR="002D49B0" w:rsidRPr="00083739" w14:paraId="3A2D56EC" w14:textId="77777777">
        <w:trPr>
          <w:trHeight w:val="313"/>
          <w:jc w:val="center"/>
        </w:trPr>
        <w:tc>
          <w:tcPr>
            <w:tcW w:w="1027" w:type="dxa"/>
            <w:tcBorders>
              <w:top w:val="nil"/>
              <w:left w:val="single" w:sz="4" w:space="0" w:color="auto"/>
              <w:bottom w:val="single" w:sz="4" w:space="0" w:color="auto"/>
              <w:right w:val="single" w:sz="4" w:space="0" w:color="auto"/>
            </w:tcBorders>
            <w:shd w:val="clear" w:color="auto" w:fill="C6EFCE"/>
            <w:noWrap/>
          </w:tcPr>
          <w:p w14:paraId="1C3C031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208</w:t>
            </w:r>
          </w:p>
        </w:tc>
        <w:tc>
          <w:tcPr>
            <w:tcW w:w="1527" w:type="dxa"/>
            <w:tcBorders>
              <w:top w:val="nil"/>
              <w:left w:val="nil"/>
              <w:bottom w:val="single" w:sz="4" w:space="0" w:color="auto"/>
              <w:right w:val="single" w:sz="4" w:space="0" w:color="auto"/>
            </w:tcBorders>
            <w:shd w:val="clear" w:color="auto" w:fill="C6EFCE"/>
            <w:noWrap/>
          </w:tcPr>
          <w:p w14:paraId="454F1951" w14:textId="3BC7F1A5"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13 – 4.2. Modernizácia verejnej správy,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to aj urýchlením realizácie verejných investícií, zlepšením rámca verejného obstarávania, opatreniami na budovanie kapacít</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bojom </w:t>
            </w:r>
            <w:r w:rsidRPr="00083739">
              <w:rPr>
                <w:rFonts w:ascii="Times New Roman" w:hAnsi="Times New Roman" w:cs="Times New Roman"/>
                <w:noProof/>
                <w:lang w:val="sk-SK"/>
              </w:rPr>
              <w:t>proti korupcii – 16972_Reforma verejnej správy</w:t>
            </w:r>
          </w:p>
        </w:tc>
        <w:tc>
          <w:tcPr>
            <w:tcW w:w="966" w:type="dxa"/>
            <w:tcBorders>
              <w:top w:val="nil"/>
              <w:left w:val="nil"/>
              <w:bottom w:val="single" w:sz="4" w:space="0" w:color="auto"/>
              <w:right w:val="single" w:sz="4" w:space="0" w:color="auto"/>
            </w:tcBorders>
            <w:shd w:val="clear" w:color="auto" w:fill="C6EFCE"/>
            <w:noWrap/>
          </w:tcPr>
          <w:p w14:paraId="068B065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Cieľ</w:t>
            </w:r>
          </w:p>
        </w:tc>
        <w:tc>
          <w:tcPr>
            <w:tcW w:w="1289" w:type="dxa"/>
            <w:tcBorders>
              <w:top w:val="nil"/>
              <w:left w:val="nil"/>
              <w:bottom w:val="single" w:sz="4" w:space="0" w:color="auto"/>
              <w:right w:val="single" w:sz="4" w:space="0" w:color="auto"/>
            </w:tcBorders>
            <w:shd w:val="clear" w:color="auto" w:fill="C6EFCE"/>
            <w:noWrap/>
          </w:tcPr>
          <w:p w14:paraId="1E7F80F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Verejná správa – ukončenie odbornej prípravy pre štátnych zamestnancov</w:t>
            </w:r>
          </w:p>
          <w:p w14:paraId="1C8253A7"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p w14:paraId="4ECFE6B0" w14:textId="66029C0B"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akcií týkajúcich sa postupov prijímania zamestnancov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strategického plánovania pracovnej sily</w:t>
            </w:r>
          </w:p>
        </w:tc>
        <w:tc>
          <w:tcPr>
            <w:tcW w:w="1713" w:type="dxa"/>
            <w:tcBorders>
              <w:top w:val="nil"/>
              <w:left w:val="nil"/>
              <w:bottom w:val="single" w:sz="4" w:space="0" w:color="auto"/>
              <w:right w:val="single" w:sz="4" w:space="0" w:color="auto"/>
            </w:tcBorders>
            <w:shd w:val="clear" w:color="auto" w:fill="C6EFCE"/>
            <w:noWrap/>
          </w:tcPr>
          <w:p w14:paraId="18D1D08C"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195" w:type="dxa"/>
            <w:tcBorders>
              <w:top w:val="nil"/>
              <w:left w:val="nil"/>
              <w:bottom w:val="single" w:sz="4" w:space="0" w:color="auto"/>
              <w:right w:val="single" w:sz="4" w:space="0" w:color="auto"/>
            </w:tcBorders>
            <w:shd w:val="clear" w:color="auto" w:fill="C6EFCE"/>
            <w:noWrap/>
          </w:tcPr>
          <w:p w14:paraId="443A3FD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Počet účastníkov, ktorí </w:t>
            </w:r>
            <w:r w:rsidRPr="00083739">
              <w:rPr>
                <w:rFonts w:ascii="Times New Roman" w:hAnsi="Times New Roman" w:cs="Times New Roman"/>
                <w:noProof/>
                <w:lang w:val="sk-SK"/>
              </w:rPr>
              <w:t>dokončili programy odbornej prípravy.</w:t>
            </w:r>
          </w:p>
        </w:tc>
        <w:tc>
          <w:tcPr>
            <w:tcW w:w="857" w:type="dxa"/>
            <w:tcBorders>
              <w:top w:val="nil"/>
              <w:left w:val="nil"/>
              <w:bottom w:val="single" w:sz="4" w:space="0" w:color="auto"/>
              <w:right w:val="single" w:sz="4" w:space="0" w:color="auto"/>
            </w:tcBorders>
            <w:shd w:val="clear" w:color="auto" w:fill="C6EFCE"/>
            <w:noWrap/>
          </w:tcPr>
          <w:p w14:paraId="09AFB85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0</w:t>
            </w:r>
          </w:p>
        </w:tc>
        <w:tc>
          <w:tcPr>
            <w:tcW w:w="805" w:type="dxa"/>
            <w:tcBorders>
              <w:top w:val="nil"/>
              <w:left w:val="nil"/>
              <w:bottom w:val="single" w:sz="4" w:space="0" w:color="auto"/>
              <w:right w:val="single" w:sz="4" w:space="0" w:color="auto"/>
            </w:tcBorders>
            <w:shd w:val="clear" w:color="auto" w:fill="C6EFCE"/>
            <w:noWrap/>
          </w:tcPr>
          <w:p w14:paraId="353F4236" w14:textId="46947811"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225 000</w:t>
            </w:r>
          </w:p>
        </w:tc>
        <w:tc>
          <w:tcPr>
            <w:tcW w:w="846" w:type="dxa"/>
            <w:tcBorders>
              <w:top w:val="nil"/>
              <w:left w:val="nil"/>
              <w:bottom w:val="single" w:sz="4" w:space="0" w:color="auto"/>
              <w:right w:val="single" w:sz="4" w:space="0" w:color="auto"/>
            </w:tcBorders>
            <w:shd w:val="clear" w:color="auto" w:fill="C6EFCE"/>
            <w:noWrap/>
          </w:tcPr>
          <w:p w14:paraId="56DBE75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827" w:type="dxa"/>
            <w:tcBorders>
              <w:top w:val="nil"/>
              <w:left w:val="nil"/>
              <w:bottom w:val="single" w:sz="4" w:space="0" w:color="auto"/>
              <w:right w:val="single" w:sz="4" w:space="0" w:color="auto"/>
            </w:tcBorders>
            <w:shd w:val="clear" w:color="auto" w:fill="C6EFCE"/>
            <w:noWrap/>
          </w:tcPr>
          <w:p w14:paraId="4D46A04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4819" w:type="dxa"/>
            <w:tcBorders>
              <w:top w:val="nil"/>
              <w:left w:val="nil"/>
              <w:bottom w:val="single" w:sz="4" w:space="0" w:color="auto"/>
              <w:right w:val="single" w:sz="4" w:space="0" w:color="auto"/>
            </w:tcBorders>
            <w:shd w:val="clear" w:color="auto" w:fill="C6EFCE"/>
            <w:noWrap/>
          </w:tcPr>
          <w:p w14:paraId="07798F8E" w14:textId="03913F32"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Dokončenie odbornej prípravy zameranej na rekvalifikáciu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zvyšovanie úrovne zručností štátnych zamestnancov</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najmenej 225000 účastníkmi</w:t>
            </w:r>
            <w:r w:rsidR="00083739" w:rsidRPr="00083739">
              <w:rPr>
                <w:rFonts w:ascii="Times New Roman" w:hAnsi="Times New Roman" w:cs="Times New Roman"/>
                <w:noProof/>
                <w:lang w:val="sk-SK"/>
              </w:rPr>
              <w:t>.</w:t>
            </w:r>
          </w:p>
          <w:p w14:paraId="307601BC" w14:textId="7879829E"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Dokončenie opatrení zameraných na i) </w:t>
            </w:r>
            <w:r w:rsidRPr="00083739">
              <w:rPr>
                <w:rFonts w:ascii="Times New Roman" w:hAnsi="Times New Roman" w:cs="Times New Roman"/>
                <w:noProof/>
                <w:lang w:val="sk-SK"/>
              </w:rPr>
              <w:t>nadobudnutie účinnosti právnych predpisov na urýchlenie postupov prijímania zamestnancov vo verejnom sektore na základe zákona č. 4765/2021</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uvedenie do prevádzky nového informačného systému pre Najvyššiu radu pre výber civilných pracovníkov (ASEP);</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ii)</w:t>
            </w:r>
            <w:r w:rsidRPr="00083739">
              <w:rPr>
                <w:rFonts w:ascii="Times New Roman" w:hAnsi="Times New Roman" w:cs="Times New Roman"/>
                <w:noProof/>
                <w:lang w:val="sk-SK"/>
              </w:rPr>
              <w:t xml:space="preserve"> uvedenie do prevádzky informačného systému, ktorý podporuje rámec strategického plánovania pracovnej sily využívajúci umelú inteligenciu.</w:t>
            </w:r>
          </w:p>
        </w:tc>
      </w:tr>
    </w:tbl>
    <w:p w14:paraId="786C7C77" w14:textId="77777777" w:rsidR="002D49B0" w:rsidRPr="00083739" w:rsidRDefault="002D49B0">
      <w:pPr>
        <w:spacing w:before="120" w:after="120" w:line="240" w:lineRule="auto"/>
        <w:jc w:val="both"/>
        <w:rPr>
          <w:rFonts w:ascii="Times New Roman" w:hAnsi="Times New Roman" w:cs="Times New Roman"/>
          <w:noProof/>
          <w:sz w:val="24"/>
          <w:szCs w:val="24"/>
          <w:lang w:val="sk-SK"/>
        </w:rPr>
      </w:pPr>
    </w:p>
    <w:p w14:paraId="74EFCE2C" w14:textId="31388B48" w:rsidR="002D49B0" w:rsidRPr="00083739" w:rsidRDefault="00BF4125">
      <w:pPr>
        <w:pStyle w:val="P68B1DB1-Normal6"/>
        <w:keepNext/>
        <w:keepLines/>
        <w:spacing w:before="40" w:after="0" w:line="240" w:lineRule="auto"/>
        <w:jc w:val="both"/>
        <w:outlineLvl w:val="4"/>
        <w:rPr>
          <w:rFonts w:ascii="Times New Roman" w:eastAsia="Times New Roman" w:hAnsi="Times New Roman" w:cs="Times New Roman"/>
          <w:noProof/>
          <w:lang w:val="sk-SK"/>
        </w:rPr>
      </w:pPr>
      <w:r w:rsidRPr="00083739">
        <w:rPr>
          <w:rFonts w:ascii="Times New Roman" w:hAnsi="Times New Roman" w:cs="Times New Roman"/>
          <w:noProof/>
          <w:lang w:val="sk-SK"/>
        </w:rPr>
        <w:t>Skupina 19: Boj proti praniu špinavých peňazí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korupcii</w:t>
      </w:r>
    </w:p>
    <w:p w14:paraId="2EC57262" w14:textId="0A64ABD3" w:rsidR="002D49B0" w:rsidRPr="00083739" w:rsidRDefault="00BF4125">
      <w:pPr>
        <w:pStyle w:val="P68B1DB1-Normal4"/>
        <w:numPr>
          <w:ilvl w:val="0"/>
          <w:numId w:val="28"/>
        </w:numPr>
        <w:spacing w:before="120" w:after="0" w:line="240" w:lineRule="auto"/>
        <w:jc w:val="both"/>
        <w:rPr>
          <w:rFonts w:cs="Times New Roman"/>
          <w:noProof/>
          <w:lang w:val="sk-SK"/>
        </w:rPr>
      </w:pPr>
      <w:r w:rsidRPr="00083739">
        <w:rPr>
          <w:rFonts w:cs="Times New Roman"/>
          <w:noProof/>
          <w:lang w:val="sk-SK"/>
        </w:rPr>
        <w:t>Posilnenie rámca boja proti praniu špinavých peňazí</w:t>
      </w:r>
      <w:r w:rsidR="00083739" w:rsidRPr="00083739">
        <w:rPr>
          <w:rFonts w:cs="Times New Roman"/>
          <w:noProof/>
          <w:lang w:val="sk-SK"/>
        </w:rPr>
        <w:t xml:space="preserve"> a </w:t>
      </w:r>
      <w:r w:rsidRPr="00083739">
        <w:rPr>
          <w:rFonts w:cs="Times New Roman"/>
          <w:noProof/>
          <w:lang w:val="sk-SK"/>
        </w:rPr>
        <w:t>financovaniu terorizmu (ID: 16702)</w:t>
      </w:r>
    </w:p>
    <w:p w14:paraId="67C1F1F1" w14:textId="2155917F" w:rsidR="002D49B0" w:rsidRPr="00083739" w:rsidRDefault="00BF4125">
      <w:pPr>
        <w:pStyle w:val="P68B1DB1-Normal4"/>
        <w:numPr>
          <w:ilvl w:val="0"/>
          <w:numId w:val="28"/>
        </w:numPr>
        <w:spacing w:before="120" w:after="0" w:line="240" w:lineRule="auto"/>
        <w:jc w:val="both"/>
        <w:rPr>
          <w:rFonts w:cs="Times New Roman"/>
          <w:noProof/>
          <w:lang w:val="sk-SK"/>
        </w:rPr>
      </w:pPr>
      <w:r w:rsidRPr="00083739">
        <w:rPr>
          <w:rFonts w:cs="Times New Roman"/>
          <w:noProof/>
          <w:lang w:val="sk-SK"/>
        </w:rPr>
        <w:t>Boj proti nezákonnému obchodu</w:t>
      </w:r>
      <w:r w:rsidR="00083739" w:rsidRPr="00083739">
        <w:rPr>
          <w:rFonts w:cs="Times New Roman"/>
          <w:noProof/>
          <w:lang w:val="sk-SK"/>
        </w:rPr>
        <w:t xml:space="preserve"> a </w:t>
      </w:r>
      <w:r w:rsidRPr="00083739">
        <w:rPr>
          <w:rFonts w:cs="Times New Roman"/>
          <w:noProof/>
          <w:lang w:val="sk-SK"/>
        </w:rPr>
        <w:t>ochrana duševného vlastníctva (ID: 16703)</w:t>
      </w:r>
    </w:p>
    <w:p w14:paraId="166B8A50" w14:textId="77777777" w:rsidR="002D49B0" w:rsidRPr="00083739" w:rsidRDefault="00BF4125">
      <w:pPr>
        <w:pStyle w:val="P68B1DB1-Normal4"/>
        <w:numPr>
          <w:ilvl w:val="0"/>
          <w:numId w:val="28"/>
        </w:numPr>
        <w:spacing w:before="120" w:after="0" w:line="240" w:lineRule="auto"/>
        <w:jc w:val="both"/>
        <w:rPr>
          <w:rFonts w:cs="Times New Roman"/>
          <w:noProof/>
          <w:lang w:val="sk-SK"/>
        </w:rPr>
      </w:pPr>
      <w:r w:rsidRPr="00083739">
        <w:rPr>
          <w:rFonts w:cs="Times New Roman"/>
          <w:noProof/>
          <w:lang w:val="sk-SK"/>
        </w:rPr>
        <w:t>Posilnenie vnútroštátneho protikorupčného rámca (ID: 16952)</w:t>
      </w:r>
    </w:p>
    <w:p w14:paraId="36A5D7C9" w14:textId="77777777" w:rsidR="002D49B0" w:rsidRPr="00083739" w:rsidRDefault="00BF4125">
      <w:pPr>
        <w:pStyle w:val="P68B1DB1-Normal4"/>
        <w:numPr>
          <w:ilvl w:val="0"/>
          <w:numId w:val="28"/>
        </w:numPr>
        <w:spacing w:before="120" w:after="0" w:line="240" w:lineRule="auto"/>
        <w:jc w:val="both"/>
        <w:rPr>
          <w:rFonts w:cs="Times New Roman"/>
          <w:noProof/>
          <w:lang w:val="sk-SK"/>
        </w:rPr>
      </w:pPr>
      <w:r w:rsidRPr="00083739">
        <w:rPr>
          <w:rFonts w:cs="Times New Roman"/>
          <w:noProof/>
          <w:lang w:val="sk-SK"/>
        </w:rPr>
        <w:t>Účinný boj proti korupcii (ID: 16978)</w:t>
      </w:r>
    </w:p>
    <w:p w14:paraId="3D728563" w14:textId="577773AD" w:rsidR="002D49B0" w:rsidRPr="00083739" w:rsidRDefault="00BF4125">
      <w:pPr>
        <w:pStyle w:val="NormalWeb"/>
        <w:rPr>
          <w:noProof/>
          <w:lang w:val="sk-SK"/>
        </w:rPr>
      </w:pPr>
      <w:r w:rsidRPr="00083739">
        <w:rPr>
          <w:noProof/>
          <w:lang w:val="sk-SK"/>
        </w:rPr>
        <w:br w:type="page"/>
      </w:r>
    </w:p>
    <w:p w14:paraId="1C9D8779" w14:textId="77777777" w:rsidR="002D49B0" w:rsidRPr="00083739" w:rsidRDefault="002D49B0">
      <w:pPr>
        <w:spacing w:before="120" w:after="120" w:line="240" w:lineRule="auto"/>
        <w:jc w:val="both"/>
        <w:rPr>
          <w:rFonts w:ascii="Times New Roman" w:hAnsi="Times New Roman" w:cs="Times New Roman"/>
          <w:noProof/>
          <w:sz w:val="24"/>
          <w:szCs w:val="24"/>
          <w:lang w:val="sk-SK"/>
        </w:rPr>
      </w:pPr>
    </w:p>
    <w:tbl>
      <w:tblPr>
        <w:tblW w:w="15878" w:type="dxa"/>
        <w:jc w:val="center"/>
        <w:tblLook w:val="04A0" w:firstRow="1" w:lastRow="0" w:firstColumn="1" w:lastColumn="0" w:noHBand="0" w:noVBand="1"/>
      </w:tblPr>
      <w:tblGrid>
        <w:gridCol w:w="1027"/>
        <w:gridCol w:w="1797"/>
        <w:gridCol w:w="1115"/>
        <w:gridCol w:w="1393"/>
        <w:gridCol w:w="1534"/>
        <w:gridCol w:w="933"/>
        <w:gridCol w:w="957"/>
        <w:gridCol w:w="702"/>
        <w:gridCol w:w="1167"/>
        <w:gridCol w:w="708"/>
        <w:gridCol w:w="5110"/>
      </w:tblGrid>
      <w:tr w:rsidR="002D49B0" w:rsidRPr="00083739" w14:paraId="4EE2DDFE" w14:textId="77777777">
        <w:trPr>
          <w:trHeight w:val="774"/>
          <w:tblHeader/>
          <w:jc w:val="center"/>
        </w:trPr>
        <w:tc>
          <w:tcPr>
            <w:tcW w:w="1027"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6D740E23"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Poradové číslo</w:t>
            </w:r>
          </w:p>
        </w:tc>
        <w:tc>
          <w:tcPr>
            <w:tcW w:w="1797"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184F597E"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Súvisiace opatrenie (reforma </w:t>
            </w:r>
            <w:r w:rsidRPr="00083739">
              <w:rPr>
                <w:rFonts w:cs="Times New Roman"/>
                <w:noProof/>
                <w:lang w:val="sk-SK"/>
              </w:rPr>
              <w:t>alebo investícia)</w:t>
            </w:r>
          </w:p>
        </w:tc>
        <w:tc>
          <w:tcPr>
            <w:tcW w:w="966"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3728E528"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Míľnik/cieľ</w:t>
            </w:r>
          </w:p>
        </w:tc>
        <w:tc>
          <w:tcPr>
            <w:tcW w:w="1393" w:type="dxa"/>
            <w:vMerge w:val="restart"/>
            <w:tcBorders>
              <w:top w:val="single" w:sz="4" w:space="0" w:color="auto"/>
              <w:left w:val="nil"/>
              <w:bottom w:val="single" w:sz="4" w:space="0" w:color="000000"/>
              <w:right w:val="single" w:sz="4" w:space="0" w:color="auto"/>
            </w:tcBorders>
            <w:shd w:val="clear" w:color="auto" w:fill="BDD7EE"/>
            <w:vAlign w:val="center"/>
            <w:hideMark/>
          </w:tcPr>
          <w:p w14:paraId="36EBF3B8"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Názov</w:t>
            </w:r>
          </w:p>
        </w:tc>
        <w:tc>
          <w:tcPr>
            <w:tcW w:w="1534"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14F19890" w14:textId="77777777" w:rsidR="002D49B0" w:rsidRPr="00083739" w:rsidRDefault="00BF4125">
            <w:pPr>
              <w:pStyle w:val="P68B1DB1-Normal37"/>
              <w:spacing w:after="0" w:line="240" w:lineRule="auto"/>
              <w:jc w:val="center"/>
              <w:rPr>
                <w:rFonts w:eastAsia="Times New Roman" w:cs="Times New Roman"/>
                <w:b/>
                <w:bCs/>
                <w:noProof/>
                <w:sz w:val="18"/>
                <w:szCs w:val="18"/>
                <w:lang w:val="sk-SK"/>
              </w:rPr>
            </w:pPr>
            <w:r w:rsidRPr="00083739">
              <w:rPr>
                <w:rFonts w:cs="Times New Roman"/>
                <w:b/>
                <w:noProof/>
                <w:sz w:val="18"/>
                <w:lang w:val="sk-SK"/>
              </w:rPr>
              <w:t xml:space="preserve">Kvalitatívne ukazovatele </w:t>
            </w:r>
            <w:r w:rsidRPr="00083739">
              <w:rPr>
                <w:rFonts w:cs="Times New Roman"/>
                <w:noProof/>
                <w:sz w:val="24"/>
                <w:lang w:val="sk-SK"/>
              </w:rPr>
              <w:t xml:space="preserve"> </w:t>
            </w:r>
            <w:r w:rsidRPr="00083739">
              <w:rPr>
                <w:rFonts w:cs="Times New Roman"/>
                <w:b/>
                <w:noProof/>
                <w:sz w:val="18"/>
                <w:lang w:val="sk-SK"/>
              </w:rPr>
              <w:t>(pre míľniky)</w:t>
            </w:r>
          </w:p>
        </w:tc>
        <w:tc>
          <w:tcPr>
            <w:tcW w:w="2492" w:type="dxa"/>
            <w:gridSpan w:val="3"/>
            <w:tcBorders>
              <w:top w:val="single" w:sz="4" w:space="0" w:color="auto"/>
              <w:left w:val="nil"/>
              <w:bottom w:val="single" w:sz="4" w:space="0" w:color="auto"/>
              <w:right w:val="single" w:sz="4" w:space="0" w:color="auto"/>
            </w:tcBorders>
            <w:shd w:val="clear" w:color="auto" w:fill="BDD7EE"/>
            <w:vAlign w:val="center"/>
            <w:hideMark/>
          </w:tcPr>
          <w:p w14:paraId="13768111" w14:textId="77777777" w:rsidR="002D49B0" w:rsidRPr="00083739" w:rsidRDefault="00BF4125">
            <w:pPr>
              <w:pStyle w:val="P68B1DB1-Normal37"/>
              <w:spacing w:after="0" w:line="240" w:lineRule="auto"/>
              <w:jc w:val="center"/>
              <w:rPr>
                <w:rFonts w:eastAsia="Times New Roman" w:cs="Times New Roman"/>
                <w:b/>
                <w:bCs/>
                <w:noProof/>
                <w:sz w:val="18"/>
                <w:szCs w:val="18"/>
                <w:lang w:val="sk-SK"/>
              </w:rPr>
            </w:pPr>
            <w:r w:rsidRPr="00083739">
              <w:rPr>
                <w:rFonts w:cs="Times New Roman"/>
                <w:b/>
                <w:noProof/>
                <w:sz w:val="18"/>
                <w:lang w:val="sk-SK"/>
              </w:rPr>
              <w:t xml:space="preserve">Kvantitatívne ukazovatele </w:t>
            </w:r>
            <w:r w:rsidRPr="00083739">
              <w:rPr>
                <w:rFonts w:cs="Times New Roman"/>
                <w:noProof/>
                <w:sz w:val="24"/>
                <w:lang w:val="sk-SK"/>
              </w:rPr>
              <w:t xml:space="preserve"> </w:t>
            </w:r>
            <w:r w:rsidRPr="00083739">
              <w:rPr>
                <w:rFonts w:cs="Times New Roman"/>
                <w:b/>
                <w:noProof/>
                <w:sz w:val="18"/>
                <w:lang w:val="sk-SK"/>
              </w:rPr>
              <w:t>(pre ciele)</w:t>
            </w:r>
          </w:p>
        </w:tc>
        <w:tc>
          <w:tcPr>
            <w:tcW w:w="1559" w:type="dxa"/>
            <w:gridSpan w:val="2"/>
            <w:tcBorders>
              <w:top w:val="single" w:sz="4" w:space="0" w:color="auto"/>
              <w:left w:val="nil"/>
              <w:bottom w:val="single" w:sz="4" w:space="0" w:color="auto"/>
              <w:right w:val="single" w:sz="4" w:space="0" w:color="auto"/>
            </w:tcBorders>
            <w:shd w:val="clear" w:color="auto" w:fill="BDD7EE"/>
            <w:vAlign w:val="center"/>
            <w:hideMark/>
          </w:tcPr>
          <w:p w14:paraId="444217DB"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Orientačný harmonogram dokončenia </w:t>
            </w:r>
          </w:p>
        </w:tc>
        <w:tc>
          <w:tcPr>
            <w:tcW w:w="511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69A0C9E" w14:textId="333BBA1D"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Opis každého míľnika</w:t>
            </w:r>
            <w:r w:rsidR="00083739" w:rsidRPr="00083739">
              <w:rPr>
                <w:rFonts w:cs="Times New Roman"/>
                <w:noProof/>
                <w:lang w:val="sk-SK"/>
              </w:rPr>
              <w:t xml:space="preserve"> a </w:t>
            </w:r>
            <w:r w:rsidRPr="00083739">
              <w:rPr>
                <w:rFonts w:cs="Times New Roman"/>
                <w:noProof/>
                <w:lang w:val="sk-SK"/>
              </w:rPr>
              <w:t>cieľa</w:t>
            </w:r>
          </w:p>
        </w:tc>
      </w:tr>
      <w:tr w:rsidR="002D49B0" w:rsidRPr="00083739" w14:paraId="16E4C4A6" w14:textId="77777777">
        <w:trPr>
          <w:trHeight w:val="532"/>
          <w:jc w:val="center"/>
        </w:trPr>
        <w:tc>
          <w:tcPr>
            <w:tcW w:w="1027" w:type="dxa"/>
            <w:vMerge/>
            <w:tcBorders>
              <w:top w:val="single" w:sz="4" w:space="0" w:color="auto"/>
              <w:left w:val="single" w:sz="4" w:space="0" w:color="auto"/>
              <w:bottom w:val="single" w:sz="4" w:space="0" w:color="000000"/>
              <w:right w:val="single" w:sz="4" w:space="0" w:color="auto"/>
            </w:tcBorders>
            <w:vAlign w:val="center"/>
            <w:hideMark/>
          </w:tcPr>
          <w:p w14:paraId="706B35E2"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797" w:type="dxa"/>
            <w:vMerge/>
            <w:tcBorders>
              <w:top w:val="single" w:sz="4" w:space="0" w:color="auto"/>
              <w:left w:val="single" w:sz="4" w:space="0" w:color="auto"/>
              <w:bottom w:val="single" w:sz="4" w:space="0" w:color="000000"/>
              <w:right w:val="single" w:sz="4" w:space="0" w:color="auto"/>
            </w:tcBorders>
            <w:vAlign w:val="center"/>
            <w:hideMark/>
          </w:tcPr>
          <w:p w14:paraId="5BFF0C6C"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966" w:type="dxa"/>
            <w:vMerge/>
            <w:tcBorders>
              <w:top w:val="single" w:sz="4" w:space="0" w:color="auto"/>
              <w:left w:val="single" w:sz="4" w:space="0" w:color="auto"/>
              <w:bottom w:val="single" w:sz="4" w:space="0" w:color="000000"/>
              <w:right w:val="single" w:sz="4" w:space="0" w:color="auto"/>
            </w:tcBorders>
            <w:vAlign w:val="center"/>
            <w:hideMark/>
          </w:tcPr>
          <w:p w14:paraId="628C65AC"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393" w:type="dxa"/>
            <w:vMerge/>
            <w:tcBorders>
              <w:top w:val="single" w:sz="4" w:space="0" w:color="auto"/>
              <w:left w:val="nil"/>
              <w:bottom w:val="single" w:sz="4" w:space="0" w:color="000000"/>
              <w:right w:val="single" w:sz="4" w:space="0" w:color="auto"/>
            </w:tcBorders>
            <w:vAlign w:val="center"/>
            <w:hideMark/>
          </w:tcPr>
          <w:p w14:paraId="3F255A8A"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534" w:type="dxa"/>
            <w:vMerge/>
            <w:tcBorders>
              <w:top w:val="single" w:sz="4" w:space="0" w:color="auto"/>
              <w:left w:val="single" w:sz="4" w:space="0" w:color="auto"/>
              <w:bottom w:val="single" w:sz="4" w:space="0" w:color="000000"/>
              <w:right w:val="single" w:sz="4" w:space="0" w:color="auto"/>
            </w:tcBorders>
            <w:vAlign w:val="center"/>
            <w:hideMark/>
          </w:tcPr>
          <w:p w14:paraId="170F3EEC"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933" w:type="dxa"/>
            <w:tcBorders>
              <w:top w:val="nil"/>
              <w:left w:val="nil"/>
              <w:bottom w:val="single" w:sz="4" w:space="0" w:color="auto"/>
              <w:right w:val="single" w:sz="4" w:space="0" w:color="auto"/>
            </w:tcBorders>
            <w:shd w:val="clear" w:color="auto" w:fill="BDD7EE"/>
            <w:vAlign w:val="center"/>
            <w:hideMark/>
          </w:tcPr>
          <w:p w14:paraId="3EED8E98"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Merná jednotka</w:t>
            </w:r>
          </w:p>
        </w:tc>
        <w:tc>
          <w:tcPr>
            <w:tcW w:w="857" w:type="dxa"/>
            <w:tcBorders>
              <w:top w:val="nil"/>
              <w:left w:val="nil"/>
              <w:bottom w:val="single" w:sz="4" w:space="0" w:color="auto"/>
              <w:right w:val="single" w:sz="4" w:space="0" w:color="auto"/>
            </w:tcBorders>
            <w:shd w:val="clear" w:color="auto" w:fill="BDD7EE"/>
            <w:vAlign w:val="center"/>
            <w:hideMark/>
          </w:tcPr>
          <w:p w14:paraId="3A84332A"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Základná </w:t>
            </w:r>
          </w:p>
        </w:tc>
        <w:tc>
          <w:tcPr>
            <w:tcW w:w="702" w:type="dxa"/>
            <w:tcBorders>
              <w:top w:val="nil"/>
              <w:left w:val="nil"/>
              <w:bottom w:val="single" w:sz="4" w:space="0" w:color="auto"/>
              <w:right w:val="single" w:sz="4" w:space="0" w:color="auto"/>
            </w:tcBorders>
            <w:shd w:val="clear" w:color="auto" w:fill="BDD7EE"/>
            <w:vAlign w:val="center"/>
            <w:hideMark/>
          </w:tcPr>
          <w:p w14:paraId="7CAB92D8"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Cieľ </w:t>
            </w:r>
          </w:p>
        </w:tc>
        <w:tc>
          <w:tcPr>
            <w:tcW w:w="851" w:type="dxa"/>
            <w:tcBorders>
              <w:top w:val="nil"/>
              <w:left w:val="nil"/>
              <w:bottom w:val="single" w:sz="4" w:space="0" w:color="auto"/>
              <w:right w:val="single" w:sz="4" w:space="0" w:color="auto"/>
            </w:tcBorders>
            <w:shd w:val="clear" w:color="auto" w:fill="BDD7EE"/>
            <w:vAlign w:val="center"/>
            <w:hideMark/>
          </w:tcPr>
          <w:p w14:paraId="5D2D5856"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Štvrtina</w:t>
            </w:r>
          </w:p>
        </w:tc>
        <w:tc>
          <w:tcPr>
            <w:tcW w:w="708" w:type="dxa"/>
            <w:tcBorders>
              <w:top w:val="nil"/>
              <w:left w:val="nil"/>
              <w:bottom w:val="single" w:sz="4" w:space="0" w:color="auto"/>
              <w:right w:val="single" w:sz="4" w:space="0" w:color="auto"/>
            </w:tcBorders>
            <w:shd w:val="clear" w:color="auto" w:fill="BDD7EE"/>
            <w:vAlign w:val="center"/>
            <w:hideMark/>
          </w:tcPr>
          <w:p w14:paraId="2FA2BC6D"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Rok</w:t>
            </w:r>
          </w:p>
        </w:tc>
        <w:tc>
          <w:tcPr>
            <w:tcW w:w="5110" w:type="dxa"/>
            <w:vMerge/>
            <w:tcBorders>
              <w:top w:val="single" w:sz="4" w:space="0" w:color="auto"/>
              <w:left w:val="single" w:sz="4" w:space="0" w:color="auto"/>
              <w:bottom w:val="single" w:sz="4" w:space="0" w:color="auto"/>
              <w:right w:val="single" w:sz="4" w:space="0" w:color="auto"/>
            </w:tcBorders>
            <w:vAlign w:val="center"/>
            <w:hideMark/>
          </w:tcPr>
          <w:p w14:paraId="11236BA1"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r>
      <w:tr w:rsidR="002D49B0" w:rsidRPr="00083739" w14:paraId="3E136397" w14:textId="77777777">
        <w:trPr>
          <w:trHeight w:val="313"/>
          <w:jc w:val="center"/>
        </w:trPr>
        <w:tc>
          <w:tcPr>
            <w:tcW w:w="1027" w:type="dxa"/>
            <w:tcBorders>
              <w:top w:val="nil"/>
              <w:left w:val="single" w:sz="4" w:space="0" w:color="auto"/>
              <w:bottom w:val="single" w:sz="4" w:space="0" w:color="auto"/>
              <w:right w:val="single" w:sz="4" w:space="0" w:color="auto"/>
            </w:tcBorders>
            <w:shd w:val="clear" w:color="auto" w:fill="C6EFCE"/>
            <w:noWrap/>
          </w:tcPr>
          <w:p w14:paraId="6158E0E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209</w:t>
            </w:r>
          </w:p>
        </w:tc>
        <w:tc>
          <w:tcPr>
            <w:tcW w:w="1797" w:type="dxa"/>
            <w:tcBorders>
              <w:top w:val="nil"/>
              <w:left w:val="nil"/>
              <w:bottom w:val="single" w:sz="4" w:space="0" w:color="auto"/>
              <w:right w:val="single" w:sz="4" w:space="0" w:color="auto"/>
            </w:tcBorders>
            <w:shd w:val="clear" w:color="auto" w:fill="C6EFCE"/>
            <w:noWrap/>
          </w:tcPr>
          <w:p w14:paraId="29B80A01" w14:textId="31C46E95"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13 </w:t>
            </w:r>
            <w:r w:rsidRPr="00083739">
              <w:rPr>
                <w:rFonts w:ascii="Times New Roman" w:hAnsi="Times New Roman" w:cs="Times New Roman"/>
                <w:noProof/>
                <w:lang w:val="sk-SK"/>
              </w:rPr>
              <w:t>– 4.2. Modernizácia verejnej správy,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to aj urýchlením realizácie verejných investícií, zlepšením rámca verejného obstarávania, opatreniami na budovanie kapacít</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bojom proti korupcii – 16978_Efektívny boj proti korupcii</w:t>
            </w:r>
          </w:p>
        </w:tc>
        <w:tc>
          <w:tcPr>
            <w:tcW w:w="966" w:type="dxa"/>
            <w:tcBorders>
              <w:top w:val="nil"/>
              <w:left w:val="nil"/>
              <w:bottom w:val="single" w:sz="4" w:space="0" w:color="auto"/>
              <w:right w:val="single" w:sz="4" w:space="0" w:color="auto"/>
            </w:tcBorders>
            <w:shd w:val="clear" w:color="auto" w:fill="C6EFCE"/>
            <w:noWrap/>
          </w:tcPr>
          <w:p w14:paraId="1464A24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93" w:type="dxa"/>
            <w:tcBorders>
              <w:top w:val="nil"/>
              <w:left w:val="nil"/>
              <w:bottom w:val="single" w:sz="4" w:space="0" w:color="auto"/>
              <w:right w:val="single" w:sz="4" w:space="0" w:color="auto"/>
            </w:tcBorders>
            <w:shd w:val="clear" w:color="auto" w:fill="C6EFCE"/>
            <w:noWrap/>
          </w:tcPr>
          <w:p w14:paraId="73B2566E" w14:textId="5837A85D"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Majetkové priznania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polit</w:t>
            </w:r>
            <w:r w:rsidRPr="00083739">
              <w:rPr>
                <w:rFonts w:ascii="Times New Roman" w:hAnsi="Times New Roman" w:cs="Times New Roman"/>
                <w:noProof/>
                <w:lang w:val="sk-SK"/>
              </w:rPr>
              <w:t>ické strany</w:t>
            </w:r>
          </w:p>
        </w:tc>
        <w:tc>
          <w:tcPr>
            <w:tcW w:w="1534" w:type="dxa"/>
            <w:tcBorders>
              <w:top w:val="nil"/>
              <w:left w:val="nil"/>
              <w:bottom w:val="single" w:sz="4" w:space="0" w:color="auto"/>
              <w:right w:val="single" w:sz="4" w:space="0" w:color="auto"/>
            </w:tcBorders>
            <w:shd w:val="clear" w:color="auto" w:fill="C6EFCE"/>
            <w:noWrap/>
          </w:tcPr>
          <w:p w14:paraId="1BAAB59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nových právnych predpisov</w:t>
            </w:r>
          </w:p>
        </w:tc>
        <w:tc>
          <w:tcPr>
            <w:tcW w:w="933" w:type="dxa"/>
            <w:tcBorders>
              <w:top w:val="nil"/>
              <w:left w:val="nil"/>
              <w:bottom w:val="single" w:sz="4" w:space="0" w:color="auto"/>
              <w:right w:val="single" w:sz="4" w:space="0" w:color="auto"/>
            </w:tcBorders>
            <w:shd w:val="clear" w:color="auto" w:fill="C6EFCE"/>
            <w:noWrap/>
          </w:tcPr>
          <w:p w14:paraId="7F0556F7"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nil"/>
              <w:left w:val="nil"/>
              <w:bottom w:val="single" w:sz="4" w:space="0" w:color="auto"/>
              <w:right w:val="single" w:sz="4" w:space="0" w:color="auto"/>
            </w:tcBorders>
            <w:shd w:val="clear" w:color="auto" w:fill="C6EFCE"/>
            <w:noWrap/>
          </w:tcPr>
          <w:p w14:paraId="0AE63E44"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702" w:type="dxa"/>
            <w:tcBorders>
              <w:top w:val="nil"/>
              <w:left w:val="nil"/>
              <w:bottom w:val="single" w:sz="4" w:space="0" w:color="auto"/>
              <w:right w:val="single" w:sz="4" w:space="0" w:color="auto"/>
            </w:tcBorders>
            <w:shd w:val="clear" w:color="auto" w:fill="C6EFCE"/>
            <w:noWrap/>
          </w:tcPr>
          <w:p w14:paraId="3DEF65FC"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1" w:type="dxa"/>
            <w:tcBorders>
              <w:top w:val="nil"/>
              <w:left w:val="nil"/>
              <w:bottom w:val="single" w:sz="4" w:space="0" w:color="auto"/>
              <w:right w:val="single" w:sz="4" w:space="0" w:color="auto"/>
            </w:tcBorders>
            <w:shd w:val="clear" w:color="auto" w:fill="C6EFCE"/>
            <w:noWrap/>
          </w:tcPr>
          <w:p w14:paraId="24283FA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TRETÍ ŠTVRŤROK</w:t>
            </w:r>
          </w:p>
        </w:tc>
        <w:tc>
          <w:tcPr>
            <w:tcW w:w="708" w:type="dxa"/>
            <w:tcBorders>
              <w:top w:val="nil"/>
              <w:left w:val="nil"/>
              <w:bottom w:val="single" w:sz="4" w:space="0" w:color="auto"/>
              <w:right w:val="single" w:sz="4" w:space="0" w:color="auto"/>
            </w:tcBorders>
            <w:shd w:val="clear" w:color="auto" w:fill="C6EFCE"/>
            <w:noWrap/>
          </w:tcPr>
          <w:p w14:paraId="371DB71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2022</w:t>
            </w:r>
          </w:p>
        </w:tc>
        <w:tc>
          <w:tcPr>
            <w:tcW w:w="5110" w:type="dxa"/>
            <w:tcBorders>
              <w:top w:val="nil"/>
              <w:left w:val="nil"/>
              <w:bottom w:val="single" w:sz="4" w:space="0" w:color="auto"/>
              <w:right w:val="single" w:sz="4" w:space="0" w:color="auto"/>
            </w:tcBorders>
            <w:shd w:val="clear" w:color="auto" w:fill="C6EFCE"/>
            <w:noWrap/>
          </w:tcPr>
          <w:p w14:paraId="0A06B326" w14:textId="20065D96"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nových právnych predpisov týkajúcich sa: I) vyhlásenia</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majetku; II)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kodifikácia právnych predpisov</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 xml:space="preserve">politických stranách. </w:t>
            </w:r>
          </w:p>
        </w:tc>
      </w:tr>
      <w:tr w:rsidR="002D49B0" w:rsidRPr="00083739" w14:paraId="49850913" w14:textId="77777777">
        <w:trPr>
          <w:trHeight w:val="313"/>
          <w:jc w:val="center"/>
        </w:trPr>
        <w:tc>
          <w:tcPr>
            <w:tcW w:w="1027" w:type="dxa"/>
            <w:tcBorders>
              <w:top w:val="nil"/>
              <w:left w:val="single" w:sz="4" w:space="0" w:color="auto"/>
              <w:bottom w:val="single" w:sz="4" w:space="0" w:color="auto"/>
              <w:right w:val="single" w:sz="4" w:space="0" w:color="auto"/>
            </w:tcBorders>
            <w:shd w:val="clear" w:color="auto" w:fill="C6EFCE"/>
            <w:noWrap/>
          </w:tcPr>
          <w:p w14:paraId="08E066D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210</w:t>
            </w:r>
          </w:p>
        </w:tc>
        <w:tc>
          <w:tcPr>
            <w:tcW w:w="1797" w:type="dxa"/>
            <w:tcBorders>
              <w:top w:val="nil"/>
              <w:left w:val="nil"/>
              <w:bottom w:val="single" w:sz="4" w:space="0" w:color="auto"/>
              <w:right w:val="single" w:sz="4" w:space="0" w:color="auto"/>
            </w:tcBorders>
            <w:shd w:val="clear" w:color="auto" w:fill="C6EFCE"/>
            <w:noWrap/>
          </w:tcPr>
          <w:p w14:paraId="23D5BE17" w14:textId="46D7C160"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13 – 4.2. </w:t>
            </w:r>
            <w:r w:rsidRPr="00083739">
              <w:rPr>
                <w:rFonts w:ascii="Times New Roman" w:hAnsi="Times New Roman" w:cs="Times New Roman"/>
                <w:noProof/>
                <w:lang w:val="sk-SK"/>
              </w:rPr>
              <w:t>Modernizovať verejnú správu,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to aj urýchlením realizácie verejných investícií, zlepšením rámca verejného obstarávania, opatreniami na budovanie kapacít</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bojom proti korupcii – 16952_Posilnenie národného protikorupčného rámca prostredníctvom cielených in</w:t>
            </w:r>
            <w:r w:rsidRPr="00083739">
              <w:rPr>
                <w:rFonts w:ascii="Times New Roman" w:hAnsi="Times New Roman" w:cs="Times New Roman"/>
                <w:noProof/>
                <w:lang w:val="sk-SK"/>
              </w:rPr>
              <w:t>tervencií</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odhaľovania, prevencie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zvyšovania informovanosti</w:t>
            </w:r>
          </w:p>
        </w:tc>
        <w:tc>
          <w:tcPr>
            <w:tcW w:w="966" w:type="dxa"/>
            <w:tcBorders>
              <w:top w:val="nil"/>
              <w:left w:val="nil"/>
              <w:bottom w:val="single" w:sz="4" w:space="0" w:color="auto"/>
              <w:right w:val="single" w:sz="4" w:space="0" w:color="auto"/>
            </w:tcBorders>
            <w:shd w:val="clear" w:color="auto" w:fill="C6EFCE"/>
            <w:noWrap/>
          </w:tcPr>
          <w:p w14:paraId="59EA417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93" w:type="dxa"/>
            <w:tcBorders>
              <w:top w:val="nil"/>
              <w:left w:val="nil"/>
              <w:bottom w:val="single" w:sz="4" w:space="0" w:color="auto"/>
              <w:right w:val="single" w:sz="4" w:space="0" w:color="auto"/>
            </w:tcBorders>
            <w:shd w:val="clear" w:color="auto" w:fill="C6EFCE"/>
            <w:noWrap/>
          </w:tcPr>
          <w:p w14:paraId="0ADF16A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Národný protikorupčný akčný plán</w:t>
            </w:r>
          </w:p>
        </w:tc>
        <w:tc>
          <w:tcPr>
            <w:tcW w:w="1534" w:type="dxa"/>
            <w:tcBorders>
              <w:top w:val="nil"/>
              <w:left w:val="nil"/>
              <w:bottom w:val="single" w:sz="4" w:space="0" w:color="auto"/>
              <w:right w:val="single" w:sz="4" w:space="0" w:color="auto"/>
            </w:tcBorders>
            <w:shd w:val="clear" w:color="auto" w:fill="C6EFCE"/>
            <w:noWrap/>
          </w:tcPr>
          <w:p w14:paraId="2B75C28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Prijatie národného protikorupčného akčného plánu na roky 2022 – 2025 národným orgánom pre transparentnosť</w:t>
            </w:r>
          </w:p>
        </w:tc>
        <w:tc>
          <w:tcPr>
            <w:tcW w:w="933" w:type="dxa"/>
            <w:tcBorders>
              <w:top w:val="nil"/>
              <w:left w:val="nil"/>
              <w:bottom w:val="single" w:sz="4" w:space="0" w:color="auto"/>
              <w:right w:val="single" w:sz="4" w:space="0" w:color="auto"/>
            </w:tcBorders>
            <w:shd w:val="clear" w:color="auto" w:fill="C6EFCE"/>
            <w:noWrap/>
          </w:tcPr>
          <w:p w14:paraId="5FB4095C"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nil"/>
              <w:left w:val="nil"/>
              <w:bottom w:val="single" w:sz="4" w:space="0" w:color="auto"/>
              <w:right w:val="single" w:sz="4" w:space="0" w:color="auto"/>
            </w:tcBorders>
            <w:shd w:val="clear" w:color="auto" w:fill="C6EFCE"/>
            <w:noWrap/>
          </w:tcPr>
          <w:p w14:paraId="18D7EC3C"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702" w:type="dxa"/>
            <w:tcBorders>
              <w:top w:val="nil"/>
              <w:left w:val="nil"/>
              <w:bottom w:val="single" w:sz="4" w:space="0" w:color="auto"/>
              <w:right w:val="single" w:sz="4" w:space="0" w:color="auto"/>
            </w:tcBorders>
            <w:shd w:val="clear" w:color="auto" w:fill="C6EFCE"/>
            <w:noWrap/>
          </w:tcPr>
          <w:p w14:paraId="2E8E7D29"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1" w:type="dxa"/>
            <w:tcBorders>
              <w:top w:val="nil"/>
              <w:left w:val="nil"/>
              <w:bottom w:val="single" w:sz="4" w:space="0" w:color="auto"/>
              <w:right w:val="single" w:sz="4" w:space="0" w:color="auto"/>
            </w:tcBorders>
            <w:shd w:val="clear" w:color="auto" w:fill="C6EFCE"/>
            <w:noWrap/>
          </w:tcPr>
          <w:p w14:paraId="2B644CB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TRETÍ ŠTVRŤROK</w:t>
            </w:r>
          </w:p>
        </w:tc>
        <w:tc>
          <w:tcPr>
            <w:tcW w:w="708" w:type="dxa"/>
            <w:tcBorders>
              <w:top w:val="nil"/>
              <w:left w:val="nil"/>
              <w:bottom w:val="single" w:sz="4" w:space="0" w:color="auto"/>
              <w:right w:val="single" w:sz="4" w:space="0" w:color="auto"/>
            </w:tcBorders>
            <w:shd w:val="clear" w:color="auto" w:fill="C6EFCE"/>
            <w:noWrap/>
          </w:tcPr>
          <w:p w14:paraId="41DEB7A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2022</w:t>
            </w:r>
          </w:p>
        </w:tc>
        <w:tc>
          <w:tcPr>
            <w:tcW w:w="5110" w:type="dxa"/>
            <w:tcBorders>
              <w:top w:val="nil"/>
              <w:left w:val="nil"/>
              <w:bottom w:val="single" w:sz="4" w:space="0" w:color="auto"/>
              <w:right w:val="single" w:sz="4" w:space="0" w:color="auto"/>
            </w:tcBorders>
            <w:shd w:val="clear" w:color="auto" w:fill="C6EFCE"/>
            <w:noWrap/>
          </w:tcPr>
          <w:p w14:paraId="183878F5" w14:textId="3C1E4EF1"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Prijatie </w:t>
            </w:r>
            <w:r w:rsidRPr="00083739">
              <w:rPr>
                <w:rFonts w:ascii="Times New Roman" w:hAnsi="Times New Roman" w:cs="Times New Roman"/>
                <w:noProof/>
                <w:lang w:val="sk-SK"/>
              </w:rPr>
              <w:t>národného protikorupčného akčného plánu na roky 2022 – 2025 národným orgánom pre transparentnosť vrátane špecifikácie: I) opatrenia na zvýšenie transparentnosti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zodpovednosti vo verejnej správe; II) cielené intervencie na odhaľovanie korupcie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predchádz</w:t>
            </w:r>
            <w:r w:rsidRPr="00083739">
              <w:rPr>
                <w:rFonts w:ascii="Times New Roman" w:hAnsi="Times New Roman" w:cs="Times New Roman"/>
                <w:noProof/>
                <w:lang w:val="sk-SK"/>
              </w:rPr>
              <w:t>anie korupcii vo vysokorizikových oblastiach (vrátane napríklad zdravia, verejných financií, investícií); III) potrebné regulačné zásahy vo vybraných oblastiach politiky.</w:t>
            </w:r>
          </w:p>
        </w:tc>
      </w:tr>
      <w:tr w:rsidR="002D49B0" w:rsidRPr="00083739" w14:paraId="51B17C04" w14:textId="77777777">
        <w:trPr>
          <w:trHeight w:val="313"/>
          <w:jc w:val="center"/>
        </w:trPr>
        <w:tc>
          <w:tcPr>
            <w:tcW w:w="1027" w:type="dxa"/>
            <w:tcBorders>
              <w:top w:val="nil"/>
              <w:left w:val="single" w:sz="4" w:space="0" w:color="auto"/>
              <w:bottom w:val="single" w:sz="4" w:space="0" w:color="auto"/>
              <w:right w:val="single" w:sz="4" w:space="0" w:color="auto"/>
            </w:tcBorders>
            <w:shd w:val="clear" w:color="auto" w:fill="C6EFCE"/>
            <w:noWrap/>
          </w:tcPr>
          <w:p w14:paraId="0FB9EEF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211</w:t>
            </w:r>
          </w:p>
        </w:tc>
        <w:tc>
          <w:tcPr>
            <w:tcW w:w="1797" w:type="dxa"/>
            <w:tcBorders>
              <w:top w:val="nil"/>
              <w:left w:val="nil"/>
              <w:bottom w:val="single" w:sz="4" w:space="0" w:color="auto"/>
              <w:right w:val="single" w:sz="4" w:space="0" w:color="auto"/>
            </w:tcBorders>
            <w:shd w:val="clear" w:color="auto" w:fill="C6EFCE"/>
            <w:noWrap/>
          </w:tcPr>
          <w:p w14:paraId="6B11B4D3" w14:textId="74A6527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13 – 4.2. Modernizovať verejnú správu,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to aj urýchlením realizácie verejných </w:t>
            </w:r>
            <w:r w:rsidRPr="00083739">
              <w:rPr>
                <w:rFonts w:ascii="Times New Roman" w:hAnsi="Times New Roman" w:cs="Times New Roman"/>
                <w:noProof/>
                <w:lang w:val="sk-SK"/>
              </w:rPr>
              <w:t>investícií, zlepšením rámca verejného obstarávania, opatreniami na budovanie kapacít</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bojom proti korupcii – 16952_Posilnenie národného protikorupčného rámca prostredníctvom cielených intervencií</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odhaľovania, prevencie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zvyšovania informovanost</w:t>
            </w:r>
            <w:r w:rsidRPr="00083739">
              <w:rPr>
                <w:rFonts w:ascii="Times New Roman" w:hAnsi="Times New Roman" w:cs="Times New Roman"/>
                <w:noProof/>
                <w:lang w:val="sk-SK"/>
              </w:rPr>
              <w:t>i</w:t>
            </w:r>
          </w:p>
        </w:tc>
        <w:tc>
          <w:tcPr>
            <w:tcW w:w="966" w:type="dxa"/>
            <w:tcBorders>
              <w:top w:val="nil"/>
              <w:left w:val="nil"/>
              <w:bottom w:val="single" w:sz="4" w:space="0" w:color="auto"/>
              <w:right w:val="single" w:sz="4" w:space="0" w:color="auto"/>
            </w:tcBorders>
            <w:shd w:val="clear" w:color="auto" w:fill="C6EFCE"/>
            <w:noWrap/>
          </w:tcPr>
          <w:p w14:paraId="2152F1D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93" w:type="dxa"/>
            <w:tcBorders>
              <w:top w:val="nil"/>
              <w:left w:val="nil"/>
              <w:bottom w:val="single" w:sz="4" w:space="0" w:color="auto"/>
              <w:right w:val="single" w:sz="4" w:space="0" w:color="auto"/>
            </w:tcBorders>
            <w:shd w:val="clear" w:color="auto" w:fill="C6EFCE"/>
            <w:noWrap/>
          </w:tcPr>
          <w:p w14:paraId="0614DA97" w14:textId="05D81172"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Vykonávanie zákona</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vnútornej kontrole</w:t>
            </w:r>
          </w:p>
        </w:tc>
        <w:tc>
          <w:tcPr>
            <w:tcW w:w="1534" w:type="dxa"/>
            <w:tcBorders>
              <w:top w:val="nil"/>
              <w:left w:val="nil"/>
              <w:bottom w:val="single" w:sz="4" w:space="0" w:color="auto"/>
              <w:right w:val="single" w:sz="4" w:space="0" w:color="auto"/>
            </w:tcBorders>
            <w:shd w:val="clear" w:color="auto" w:fill="C6EFCE"/>
            <w:noWrap/>
          </w:tcPr>
          <w:p w14:paraId="691294A4" w14:textId="2CDFC69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Správa národného orgánu pre transparentnosť</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zriadení systémov vnútornej kontroly</w:t>
            </w:r>
          </w:p>
          <w:p w14:paraId="08DD43D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Vydané regulačné akty</w:t>
            </w:r>
          </w:p>
          <w:p w14:paraId="2B80C7B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 Vydané spoločné ministerské rozhodnutie </w:t>
            </w:r>
          </w:p>
        </w:tc>
        <w:tc>
          <w:tcPr>
            <w:tcW w:w="933" w:type="dxa"/>
            <w:tcBorders>
              <w:top w:val="nil"/>
              <w:left w:val="nil"/>
              <w:bottom w:val="single" w:sz="4" w:space="0" w:color="auto"/>
              <w:right w:val="single" w:sz="4" w:space="0" w:color="auto"/>
            </w:tcBorders>
            <w:shd w:val="clear" w:color="auto" w:fill="C6EFCE"/>
            <w:noWrap/>
          </w:tcPr>
          <w:p w14:paraId="067B19FE"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nil"/>
              <w:left w:val="nil"/>
              <w:bottom w:val="single" w:sz="4" w:space="0" w:color="auto"/>
              <w:right w:val="single" w:sz="4" w:space="0" w:color="auto"/>
            </w:tcBorders>
            <w:shd w:val="clear" w:color="auto" w:fill="C6EFCE"/>
            <w:noWrap/>
          </w:tcPr>
          <w:p w14:paraId="3BA0DC92"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702" w:type="dxa"/>
            <w:tcBorders>
              <w:top w:val="nil"/>
              <w:left w:val="nil"/>
              <w:bottom w:val="single" w:sz="4" w:space="0" w:color="auto"/>
              <w:right w:val="single" w:sz="4" w:space="0" w:color="auto"/>
            </w:tcBorders>
            <w:shd w:val="clear" w:color="auto" w:fill="C6EFCE"/>
            <w:noWrap/>
          </w:tcPr>
          <w:p w14:paraId="253AA8D4"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1" w:type="dxa"/>
            <w:tcBorders>
              <w:top w:val="nil"/>
              <w:left w:val="nil"/>
              <w:bottom w:val="single" w:sz="4" w:space="0" w:color="auto"/>
              <w:right w:val="single" w:sz="4" w:space="0" w:color="auto"/>
            </w:tcBorders>
            <w:shd w:val="clear" w:color="auto" w:fill="C6EFCE"/>
            <w:noWrap/>
          </w:tcPr>
          <w:p w14:paraId="566B940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08" w:type="dxa"/>
            <w:tcBorders>
              <w:top w:val="nil"/>
              <w:left w:val="nil"/>
              <w:bottom w:val="single" w:sz="4" w:space="0" w:color="auto"/>
              <w:right w:val="single" w:sz="4" w:space="0" w:color="auto"/>
            </w:tcBorders>
            <w:shd w:val="clear" w:color="auto" w:fill="C6EFCE"/>
            <w:noWrap/>
          </w:tcPr>
          <w:p w14:paraId="781B71B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2022</w:t>
            </w:r>
          </w:p>
        </w:tc>
        <w:tc>
          <w:tcPr>
            <w:tcW w:w="5110" w:type="dxa"/>
            <w:tcBorders>
              <w:top w:val="nil"/>
              <w:left w:val="nil"/>
              <w:bottom w:val="single" w:sz="4" w:space="0" w:color="auto"/>
              <w:right w:val="single" w:sz="4" w:space="0" w:color="auto"/>
            </w:tcBorders>
            <w:shd w:val="clear" w:color="auto" w:fill="C6EFCE"/>
            <w:noWrap/>
          </w:tcPr>
          <w:p w14:paraId="4FE56B44" w14:textId="14D736FA"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Vykonávanie nového zákona</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vnútorných kontrolách vo verejnej správe vrátane: I) zriadenie oddelení vnútorného auditu na príslušných ministerstvách; II) vydávanie regulačných aktov na zriadenie útvarov vnútorného auditu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výborov pre audit</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subjektoch miestnej samosprávy (1</w:t>
            </w:r>
            <w:r w:rsidR="00083739" w:rsidRPr="00083739">
              <w:rPr>
                <w:rFonts w:ascii="Times New Roman" w:hAnsi="Times New Roman" w:cs="Times New Roman"/>
                <w:noProof/>
                <w:lang w:val="sk-SK"/>
              </w:rPr>
              <w:t>. a </w:t>
            </w:r>
            <w:r w:rsidRPr="00083739">
              <w:rPr>
                <w:rFonts w:ascii="Times New Roman" w:hAnsi="Times New Roman" w:cs="Times New Roman"/>
                <w:noProof/>
                <w:lang w:val="sk-SK"/>
              </w:rPr>
              <w:t>2. st</w:t>
            </w:r>
            <w:r w:rsidRPr="00083739">
              <w:rPr>
                <w:rFonts w:ascii="Times New Roman" w:hAnsi="Times New Roman" w:cs="Times New Roman"/>
                <w:noProof/>
                <w:lang w:val="sk-SK"/>
              </w:rPr>
              <w:t>upeň</w:t>
            </w:r>
            <w:r w:rsidRPr="00083739">
              <w:rPr>
                <w:rFonts w:ascii="Times New Roman" w:hAnsi="Times New Roman" w:cs="Times New Roman"/>
                <w:noProof/>
                <w:vertAlign w:val="superscript"/>
                <w:lang w:val="sk-SK"/>
              </w:rPr>
              <w:t>)</w:t>
            </w:r>
            <w:r w:rsidRPr="00083739">
              <w:rPr>
                <w:rFonts w:ascii="Times New Roman" w:hAnsi="Times New Roman" w:cs="Times New Roman"/>
                <w:noProof/>
                <w:lang w:val="sk-SK"/>
              </w:rPr>
              <w:t>, univerzitách, nemocniciach – zdravotníckych jednotkách, nezávislých orgánoch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právnych subjektoch subjektov miestnej samosprávy; III) vydanie spoločného ministerského rozhodnutia,</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ktorom sa stanovia kritériá spolupráce oddelení vnútorného auditu</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externými odborníkmi.</w:t>
            </w:r>
          </w:p>
          <w:p w14:paraId="2F50F322"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p w14:paraId="4F8C3A9D" w14:textId="2E1428A1"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Národný orgán pre transparentnosť</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spolupráci</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ministerstvom vnútra poskytuje subjektom verejnej správy dohľad</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usmernenia</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cieľom zaviesť ucelený</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fungujúci systém vnútornej kontroly. Národný orgán pre transparentnosť uľahčí </w:t>
            </w:r>
            <w:r w:rsidRPr="00083739">
              <w:rPr>
                <w:rFonts w:ascii="Times New Roman" w:hAnsi="Times New Roman" w:cs="Times New Roman"/>
                <w:noProof/>
                <w:lang w:val="sk-SK"/>
              </w:rPr>
              <w:t>pilotné sebahodnotenie základných prvkov systému vnútornej kontroly. Grécky dvor audítorov zahrnul do svojho ročného pracovného plánu audity na posúdenie mechanizmov vnútornej kontroly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 xml:space="preserve">subjektoch verejnej správy. </w:t>
            </w:r>
          </w:p>
        </w:tc>
      </w:tr>
      <w:tr w:rsidR="002D49B0" w:rsidRPr="00083739" w14:paraId="6A9FDC4F" w14:textId="77777777">
        <w:trPr>
          <w:trHeight w:val="313"/>
          <w:jc w:val="center"/>
        </w:trPr>
        <w:tc>
          <w:tcPr>
            <w:tcW w:w="1027" w:type="dxa"/>
            <w:tcBorders>
              <w:top w:val="nil"/>
              <w:left w:val="single" w:sz="4" w:space="0" w:color="auto"/>
              <w:bottom w:val="single" w:sz="4" w:space="0" w:color="auto"/>
              <w:right w:val="single" w:sz="4" w:space="0" w:color="auto"/>
            </w:tcBorders>
            <w:shd w:val="clear" w:color="auto" w:fill="C6EFCE"/>
            <w:noWrap/>
          </w:tcPr>
          <w:p w14:paraId="7B88373B" w14:textId="37C83FAD"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211a</w:t>
            </w:r>
          </w:p>
        </w:tc>
        <w:tc>
          <w:tcPr>
            <w:tcW w:w="1797" w:type="dxa"/>
            <w:tcBorders>
              <w:top w:val="nil"/>
              <w:left w:val="nil"/>
              <w:bottom w:val="single" w:sz="4" w:space="0" w:color="auto"/>
              <w:right w:val="single" w:sz="4" w:space="0" w:color="auto"/>
            </w:tcBorders>
            <w:shd w:val="clear" w:color="auto" w:fill="C6EFCE"/>
            <w:noWrap/>
          </w:tcPr>
          <w:p w14:paraId="33BBBCD5" w14:textId="40DD3BC2"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 xml:space="preserve">13 – 4.2. Modernizovať verejnú </w:t>
            </w:r>
            <w:r w:rsidRPr="00083739">
              <w:rPr>
                <w:rFonts w:ascii="Times New Roman" w:hAnsi="Times New Roman" w:cs="Times New Roman"/>
                <w:noProof/>
                <w:lang w:val="sk-SK"/>
              </w:rPr>
              <w:t>správu,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to aj urýchlením realizácie verejných investícií, zlepšením rámca verejného obstarávania, opatreniami na budovanie kapacít</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bojom proti korupcii – 16952_Posilnenie národného protikorupčného rámca prostredníctvom cielených intervencií</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o</w:t>
            </w:r>
            <w:r w:rsidRPr="00083739">
              <w:rPr>
                <w:rFonts w:ascii="Times New Roman" w:hAnsi="Times New Roman" w:cs="Times New Roman"/>
                <w:noProof/>
                <w:lang w:val="sk-SK"/>
              </w:rPr>
              <w:t>dhaľovania, prevencie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zvyšovania informovanosti</w:t>
            </w:r>
          </w:p>
        </w:tc>
        <w:tc>
          <w:tcPr>
            <w:tcW w:w="966" w:type="dxa"/>
            <w:tcBorders>
              <w:top w:val="nil"/>
              <w:left w:val="nil"/>
              <w:bottom w:val="single" w:sz="4" w:space="0" w:color="auto"/>
              <w:right w:val="single" w:sz="4" w:space="0" w:color="auto"/>
            </w:tcBorders>
            <w:shd w:val="clear" w:color="auto" w:fill="C6EFCE"/>
            <w:noWrap/>
          </w:tcPr>
          <w:p w14:paraId="44480E85" w14:textId="44A6F54E"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Míľnik</w:t>
            </w:r>
          </w:p>
        </w:tc>
        <w:tc>
          <w:tcPr>
            <w:tcW w:w="1393" w:type="dxa"/>
            <w:tcBorders>
              <w:top w:val="nil"/>
              <w:left w:val="nil"/>
              <w:bottom w:val="single" w:sz="4" w:space="0" w:color="auto"/>
              <w:right w:val="single" w:sz="4" w:space="0" w:color="auto"/>
            </w:tcBorders>
            <w:shd w:val="clear" w:color="auto" w:fill="C6EFCE"/>
            <w:noWrap/>
          </w:tcPr>
          <w:p w14:paraId="1B61E7AD" w14:textId="5FA40A55"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Dokončenie projektov Národného úradu pre transparentnosť</w:t>
            </w:r>
          </w:p>
        </w:tc>
        <w:tc>
          <w:tcPr>
            <w:tcW w:w="1534" w:type="dxa"/>
            <w:tcBorders>
              <w:top w:val="nil"/>
              <w:left w:val="nil"/>
              <w:bottom w:val="single" w:sz="4" w:space="0" w:color="auto"/>
              <w:right w:val="single" w:sz="4" w:space="0" w:color="auto"/>
            </w:tcBorders>
            <w:shd w:val="clear" w:color="auto" w:fill="C6EFCE"/>
            <w:noWrap/>
          </w:tcPr>
          <w:p w14:paraId="160185C8" w14:textId="4A0C4B86"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Potvrdenie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prijatí</w:t>
            </w:r>
          </w:p>
        </w:tc>
        <w:tc>
          <w:tcPr>
            <w:tcW w:w="933" w:type="dxa"/>
            <w:tcBorders>
              <w:top w:val="nil"/>
              <w:left w:val="nil"/>
              <w:bottom w:val="single" w:sz="4" w:space="0" w:color="auto"/>
              <w:right w:val="single" w:sz="4" w:space="0" w:color="auto"/>
            </w:tcBorders>
            <w:shd w:val="clear" w:color="auto" w:fill="C6EFCE"/>
            <w:noWrap/>
          </w:tcPr>
          <w:p w14:paraId="53760A65"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nil"/>
              <w:left w:val="nil"/>
              <w:bottom w:val="single" w:sz="4" w:space="0" w:color="auto"/>
              <w:right w:val="single" w:sz="4" w:space="0" w:color="auto"/>
            </w:tcBorders>
            <w:shd w:val="clear" w:color="auto" w:fill="C6EFCE"/>
            <w:noWrap/>
          </w:tcPr>
          <w:p w14:paraId="72799C21"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702" w:type="dxa"/>
            <w:tcBorders>
              <w:top w:val="nil"/>
              <w:left w:val="nil"/>
              <w:bottom w:val="single" w:sz="4" w:space="0" w:color="auto"/>
              <w:right w:val="single" w:sz="4" w:space="0" w:color="auto"/>
            </w:tcBorders>
            <w:shd w:val="clear" w:color="auto" w:fill="C6EFCE"/>
            <w:noWrap/>
          </w:tcPr>
          <w:p w14:paraId="3E679D38"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1" w:type="dxa"/>
            <w:tcBorders>
              <w:top w:val="nil"/>
              <w:left w:val="nil"/>
              <w:bottom w:val="single" w:sz="4" w:space="0" w:color="auto"/>
              <w:right w:val="single" w:sz="4" w:space="0" w:color="auto"/>
            </w:tcBorders>
            <w:shd w:val="clear" w:color="auto" w:fill="C6EFCE"/>
            <w:noWrap/>
          </w:tcPr>
          <w:p w14:paraId="2807314E" w14:textId="1906AEBF"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ŠTVRTÝ ŠTVRŤROK</w:t>
            </w:r>
          </w:p>
        </w:tc>
        <w:tc>
          <w:tcPr>
            <w:tcW w:w="708" w:type="dxa"/>
            <w:tcBorders>
              <w:top w:val="nil"/>
              <w:left w:val="nil"/>
              <w:bottom w:val="single" w:sz="4" w:space="0" w:color="auto"/>
              <w:right w:val="single" w:sz="4" w:space="0" w:color="auto"/>
            </w:tcBorders>
            <w:shd w:val="clear" w:color="auto" w:fill="C6EFCE"/>
            <w:noWrap/>
          </w:tcPr>
          <w:p w14:paraId="36FB4D83" w14:textId="2F7EC384"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2025</w:t>
            </w:r>
          </w:p>
        </w:tc>
        <w:tc>
          <w:tcPr>
            <w:tcW w:w="5110" w:type="dxa"/>
            <w:tcBorders>
              <w:top w:val="nil"/>
              <w:left w:val="nil"/>
              <w:bottom w:val="single" w:sz="4" w:space="0" w:color="auto"/>
              <w:right w:val="single" w:sz="4" w:space="0" w:color="auto"/>
            </w:tcBorders>
            <w:shd w:val="clear" w:color="auto" w:fill="C6EFCE"/>
            <w:noWrap/>
          </w:tcPr>
          <w:p w14:paraId="61D95BB3" w14:textId="7778FCCC"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Dokončenie projektov týkajúcich sa digitálnych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infraštruktúrnych kapacít národného orgánu pre </w:t>
            </w:r>
            <w:r w:rsidRPr="00083739">
              <w:rPr>
                <w:rFonts w:ascii="Times New Roman" w:hAnsi="Times New Roman" w:cs="Times New Roman"/>
                <w:noProof/>
                <w:lang w:val="sk-SK"/>
              </w:rPr>
              <w:t>transparentnosť.</w:t>
            </w:r>
          </w:p>
        </w:tc>
      </w:tr>
      <w:tr w:rsidR="002D49B0" w:rsidRPr="00083739" w14:paraId="2960A67F" w14:textId="77777777">
        <w:trPr>
          <w:trHeight w:val="313"/>
          <w:jc w:val="center"/>
        </w:trPr>
        <w:tc>
          <w:tcPr>
            <w:tcW w:w="1027" w:type="dxa"/>
            <w:tcBorders>
              <w:top w:val="nil"/>
              <w:left w:val="single" w:sz="4" w:space="0" w:color="auto"/>
              <w:bottom w:val="single" w:sz="4" w:space="0" w:color="auto"/>
              <w:right w:val="single" w:sz="4" w:space="0" w:color="auto"/>
            </w:tcBorders>
            <w:shd w:val="clear" w:color="auto" w:fill="C6EFCE"/>
            <w:noWrap/>
          </w:tcPr>
          <w:p w14:paraId="20EF7D4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212</w:t>
            </w:r>
          </w:p>
        </w:tc>
        <w:tc>
          <w:tcPr>
            <w:tcW w:w="1797" w:type="dxa"/>
            <w:tcBorders>
              <w:top w:val="nil"/>
              <w:left w:val="nil"/>
              <w:bottom w:val="single" w:sz="4" w:space="0" w:color="auto"/>
              <w:right w:val="single" w:sz="4" w:space="0" w:color="auto"/>
            </w:tcBorders>
            <w:shd w:val="clear" w:color="auto" w:fill="C6EFCE"/>
            <w:noWrap/>
          </w:tcPr>
          <w:p w14:paraId="1EA59569" w14:textId="19D51398"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13 – 4.2. Modernizácia verejnej správy,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to aj urýchlením realizácie verejných investícií, zlepšením rámca verejného obstarávania, opatreniami na budovanie kapacít</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bojom proti korupcii – 16702_Posilnenie rámca boja proti praniu </w:t>
            </w:r>
            <w:r w:rsidRPr="00083739">
              <w:rPr>
                <w:rFonts w:ascii="Times New Roman" w:hAnsi="Times New Roman" w:cs="Times New Roman"/>
                <w:noProof/>
                <w:lang w:val="sk-SK"/>
              </w:rPr>
              <w:t>špinavých peňazí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financovaniu terorizmu</w:t>
            </w:r>
          </w:p>
        </w:tc>
        <w:tc>
          <w:tcPr>
            <w:tcW w:w="966" w:type="dxa"/>
            <w:tcBorders>
              <w:top w:val="nil"/>
              <w:left w:val="nil"/>
              <w:bottom w:val="single" w:sz="4" w:space="0" w:color="auto"/>
              <w:right w:val="single" w:sz="4" w:space="0" w:color="auto"/>
            </w:tcBorders>
            <w:shd w:val="clear" w:color="auto" w:fill="C6EFCE"/>
            <w:noWrap/>
          </w:tcPr>
          <w:p w14:paraId="5161B2B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93" w:type="dxa"/>
            <w:tcBorders>
              <w:top w:val="nil"/>
              <w:left w:val="nil"/>
              <w:bottom w:val="single" w:sz="4" w:space="0" w:color="auto"/>
              <w:right w:val="single" w:sz="4" w:space="0" w:color="auto"/>
            </w:tcBorders>
            <w:shd w:val="clear" w:color="auto" w:fill="C6EFCE"/>
            <w:noWrap/>
          </w:tcPr>
          <w:p w14:paraId="2C11DA98" w14:textId="013FE6E8"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Posilnený rámec boja proti praniu špinavých peňazí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financovaniu terorizmu</w:t>
            </w:r>
          </w:p>
        </w:tc>
        <w:tc>
          <w:tcPr>
            <w:tcW w:w="1534" w:type="dxa"/>
            <w:tcBorders>
              <w:top w:val="nil"/>
              <w:left w:val="nil"/>
              <w:bottom w:val="single" w:sz="4" w:space="0" w:color="auto"/>
              <w:right w:val="single" w:sz="4" w:space="0" w:color="auto"/>
            </w:tcBorders>
            <w:shd w:val="clear" w:color="auto" w:fill="C6EFCE"/>
            <w:noWrap/>
          </w:tcPr>
          <w:p w14:paraId="43FBB0F7" w14:textId="29D5B8CB"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Spustenie platformy na zber štatistických údajov; dokončenie zlepšení</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osobitnom registri konečných užívateľov výhod</w:t>
            </w:r>
          </w:p>
        </w:tc>
        <w:tc>
          <w:tcPr>
            <w:tcW w:w="933" w:type="dxa"/>
            <w:tcBorders>
              <w:top w:val="nil"/>
              <w:left w:val="nil"/>
              <w:bottom w:val="single" w:sz="4" w:space="0" w:color="auto"/>
              <w:right w:val="single" w:sz="4" w:space="0" w:color="auto"/>
            </w:tcBorders>
            <w:shd w:val="clear" w:color="auto" w:fill="C6EFCE"/>
            <w:noWrap/>
          </w:tcPr>
          <w:p w14:paraId="29C0D2F7" w14:textId="77777777" w:rsidR="002D49B0" w:rsidRPr="00083739" w:rsidRDefault="00BF4125">
            <w:pPr>
              <w:pStyle w:val="P68B1DB1-Normal4"/>
              <w:spacing w:after="0" w:line="240" w:lineRule="auto"/>
              <w:rPr>
                <w:rFonts w:eastAsia="Times New Roman" w:cs="Times New Roman"/>
                <w:noProof/>
                <w:color w:val="006100"/>
                <w:sz w:val="18"/>
                <w:szCs w:val="18"/>
                <w:lang w:val="sk-SK"/>
              </w:rPr>
            </w:pPr>
            <w:r w:rsidRPr="00083739">
              <w:rPr>
                <w:rFonts w:cs="Times New Roman"/>
                <w:noProof/>
                <w:lang w:val="sk-SK"/>
              </w:rPr>
              <w:t xml:space="preserve"> </w:t>
            </w:r>
          </w:p>
        </w:tc>
        <w:tc>
          <w:tcPr>
            <w:tcW w:w="857" w:type="dxa"/>
            <w:tcBorders>
              <w:top w:val="nil"/>
              <w:left w:val="nil"/>
              <w:bottom w:val="single" w:sz="4" w:space="0" w:color="auto"/>
              <w:right w:val="single" w:sz="4" w:space="0" w:color="auto"/>
            </w:tcBorders>
            <w:shd w:val="clear" w:color="auto" w:fill="C6EFCE"/>
            <w:noWrap/>
          </w:tcPr>
          <w:p w14:paraId="656A2266" w14:textId="77777777" w:rsidR="002D49B0" w:rsidRPr="00083739" w:rsidRDefault="00BF4125">
            <w:pPr>
              <w:pStyle w:val="P68B1DB1-Normal4"/>
              <w:spacing w:after="0" w:line="240" w:lineRule="auto"/>
              <w:rPr>
                <w:rFonts w:eastAsia="Times New Roman" w:cs="Times New Roman"/>
                <w:noProof/>
                <w:color w:val="006100"/>
                <w:sz w:val="18"/>
                <w:szCs w:val="18"/>
                <w:lang w:val="sk-SK"/>
              </w:rPr>
            </w:pPr>
            <w:r w:rsidRPr="00083739">
              <w:rPr>
                <w:rFonts w:cs="Times New Roman"/>
                <w:noProof/>
                <w:lang w:val="sk-SK"/>
              </w:rPr>
              <w:t xml:space="preserve"> </w:t>
            </w:r>
          </w:p>
        </w:tc>
        <w:tc>
          <w:tcPr>
            <w:tcW w:w="702" w:type="dxa"/>
            <w:tcBorders>
              <w:top w:val="nil"/>
              <w:left w:val="nil"/>
              <w:bottom w:val="single" w:sz="4" w:space="0" w:color="auto"/>
              <w:right w:val="single" w:sz="4" w:space="0" w:color="auto"/>
            </w:tcBorders>
            <w:shd w:val="clear" w:color="auto" w:fill="C6EFCE"/>
            <w:noWrap/>
          </w:tcPr>
          <w:p w14:paraId="33B686A3"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1" w:type="dxa"/>
            <w:tcBorders>
              <w:top w:val="nil"/>
              <w:left w:val="nil"/>
              <w:bottom w:val="single" w:sz="4" w:space="0" w:color="auto"/>
              <w:right w:val="single" w:sz="4" w:space="0" w:color="auto"/>
            </w:tcBorders>
            <w:shd w:val="clear" w:color="auto" w:fill="C6EFCE"/>
            <w:noWrap/>
          </w:tcPr>
          <w:p w14:paraId="7C57DE0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DRUHÝ </w:t>
            </w:r>
            <w:r w:rsidRPr="00083739">
              <w:rPr>
                <w:rFonts w:ascii="Times New Roman" w:hAnsi="Times New Roman" w:cs="Times New Roman"/>
                <w:noProof/>
                <w:lang w:val="sk-SK"/>
              </w:rPr>
              <w:t>ŠTVRŤROK</w:t>
            </w:r>
          </w:p>
        </w:tc>
        <w:tc>
          <w:tcPr>
            <w:tcW w:w="708" w:type="dxa"/>
            <w:tcBorders>
              <w:top w:val="nil"/>
              <w:left w:val="nil"/>
              <w:bottom w:val="single" w:sz="4" w:space="0" w:color="auto"/>
              <w:right w:val="single" w:sz="4" w:space="0" w:color="auto"/>
            </w:tcBorders>
            <w:shd w:val="clear" w:color="auto" w:fill="C6EFCE"/>
            <w:noWrap/>
          </w:tcPr>
          <w:p w14:paraId="51EE737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2024</w:t>
            </w:r>
          </w:p>
        </w:tc>
        <w:tc>
          <w:tcPr>
            <w:tcW w:w="5110" w:type="dxa"/>
            <w:tcBorders>
              <w:top w:val="nil"/>
              <w:left w:val="nil"/>
              <w:bottom w:val="single" w:sz="4" w:space="0" w:color="auto"/>
              <w:right w:val="single" w:sz="4" w:space="0" w:color="auto"/>
            </w:tcBorders>
            <w:shd w:val="clear" w:color="auto" w:fill="C6EFCE"/>
            <w:noWrap/>
          </w:tcPr>
          <w:p w14:paraId="43D04E82" w14:textId="4922B41D"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I) Spustenie platformy na zber štatistických údajov, ktoré majú</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dispozícii príslušné vnútroštátne orgány (t. j. justičné orgány, orgány dohľadu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orgány presadzovania práva); II) zlepšenie centrálneho registra konečných užívateľov výhod</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c</w:t>
            </w:r>
            <w:r w:rsidRPr="00083739">
              <w:rPr>
                <w:rFonts w:ascii="Times New Roman" w:hAnsi="Times New Roman" w:cs="Times New Roman"/>
                <w:noProof/>
                <w:lang w:val="sk-SK"/>
              </w:rPr>
              <w:t>ieľom uľahčiť priamy prístup príslušných orgánov</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takýmto informáciám; III) prepojenie centrálneho registra konečných užívateľov výhod</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príslušnými registrami členských štátov EÚ prostredníctvom príslušnej platformy EÚ.</w:t>
            </w:r>
          </w:p>
        </w:tc>
      </w:tr>
      <w:tr w:rsidR="002D49B0" w:rsidRPr="00083739" w14:paraId="558D4344" w14:textId="77777777">
        <w:trPr>
          <w:trHeight w:val="313"/>
          <w:jc w:val="center"/>
        </w:trPr>
        <w:tc>
          <w:tcPr>
            <w:tcW w:w="1027" w:type="dxa"/>
            <w:tcBorders>
              <w:top w:val="nil"/>
              <w:left w:val="single" w:sz="4" w:space="0" w:color="auto"/>
              <w:bottom w:val="single" w:sz="4" w:space="0" w:color="auto"/>
              <w:right w:val="single" w:sz="4" w:space="0" w:color="auto"/>
            </w:tcBorders>
            <w:shd w:val="clear" w:color="auto" w:fill="C6EFCE"/>
            <w:noWrap/>
          </w:tcPr>
          <w:p w14:paraId="7BE024B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213</w:t>
            </w:r>
          </w:p>
        </w:tc>
        <w:tc>
          <w:tcPr>
            <w:tcW w:w="1797" w:type="dxa"/>
            <w:tcBorders>
              <w:top w:val="nil"/>
              <w:left w:val="nil"/>
              <w:bottom w:val="single" w:sz="4" w:space="0" w:color="auto"/>
              <w:right w:val="single" w:sz="4" w:space="0" w:color="auto"/>
            </w:tcBorders>
            <w:shd w:val="clear" w:color="auto" w:fill="C6EFCE"/>
            <w:noWrap/>
          </w:tcPr>
          <w:p w14:paraId="60EE2EE4" w14:textId="1C287588"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13 – 4.2. Modernizácia </w:t>
            </w:r>
            <w:r w:rsidRPr="00083739">
              <w:rPr>
                <w:rFonts w:ascii="Times New Roman" w:hAnsi="Times New Roman" w:cs="Times New Roman"/>
                <w:noProof/>
                <w:lang w:val="sk-SK"/>
              </w:rPr>
              <w:t>verejnej správy,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to aj urýchlením realizácie verejných investícií, zlepšením rámca verejného obstarávania, opatreniami na budovanie kapacít</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bojom proti korupcii – 16703_Boj proti nezákonnému obchodu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ochrana duševného vlastníctva</w:t>
            </w:r>
          </w:p>
        </w:tc>
        <w:tc>
          <w:tcPr>
            <w:tcW w:w="966" w:type="dxa"/>
            <w:tcBorders>
              <w:top w:val="nil"/>
              <w:left w:val="nil"/>
              <w:bottom w:val="single" w:sz="4" w:space="0" w:color="auto"/>
              <w:right w:val="single" w:sz="4" w:space="0" w:color="auto"/>
            </w:tcBorders>
            <w:shd w:val="clear" w:color="auto" w:fill="C6EFCE"/>
            <w:noWrap/>
          </w:tcPr>
          <w:p w14:paraId="2C89BE9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93" w:type="dxa"/>
            <w:tcBorders>
              <w:top w:val="nil"/>
              <w:left w:val="nil"/>
              <w:bottom w:val="single" w:sz="4" w:space="0" w:color="auto"/>
              <w:right w:val="single" w:sz="4" w:space="0" w:color="auto"/>
            </w:tcBorders>
            <w:shd w:val="clear" w:color="auto" w:fill="C6EFCE"/>
            <w:noWrap/>
          </w:tcPr>
          <w:p w14:paraId="3B607D12" w14:textId="251347FB"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Boj proti nezá</w:t>
            </w:r>
            <w:r w:rsidRPr="00083739">
              <w:rPr>
                <w:rFonts w:ascii="Times New Roman" w:hAnsi="Times New Roman" w:cs="Times New Roman"/>
                <w:noProof/>
                <w:lang w:val="sk-SK"/>
              </w:rPr>
              <w:t>konnému obchodu – informačný systém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kontrolné stanice</w:t>
            </w:r>
          </w:p>
        </w:tc>
        <w:tc>
          <w:tcPr>
            <w:tcW w:w="1534" w:type="dxa"/>
            <w:tcBorders>
              <w:top w:val="nil"/>
              <w:left w:val="nil"/>
              <w:bottom w:val="single" w:sz="4" w:space="0" w:color="auto"/>
              <w:right w:val="single" w:sz="4" w:space="0" w:color="auto"/>
            </w:tcBorders>
            <w:shd w:val="clear" w:color="auto" w:fill="C6EFCE"/>
            <w:noWrap/>
          </w:tcPr>
          <w:p w14:paraId="7FAADE72" w14:textId="48C906CD"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IT systém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nové riadiace stanice sú</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prevádzke; odborná príprava zamestnancov je ukončená</w:t>
            </w:r>
          </w:p>
        </w:tc>
        <w:tc>
          <w:tcPr>
            <w:tcW w:w="933" w:type="dxa"/>
            <w:tcBorders>
              <w:top w:val="nil"/>
              <w:left w:val="nil"/>
              <w:bottom w:val="single" w:sz="4" w:space="0" w:color="auto"/>
              <w:right w:val="single" w:sz="4" w:space="0" w:color="auto"/>
            </w:tcBorders>
            <w:shd w:val="clear" w:color="auto" w:fill="C6EFCE"/>
            <w:noWrap/>
          </w:tcPr>
          <w:p w14:paraId="5924C37C"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nil"/>
              <w:left w:val="nil"/>
              <w:bottom w:val="single" w:sz="4" w:space="0" w:color="auto"/>
              <w:right w:val="single" w:sz="4" w:space="0" w:color="auto"/>
            </w:tcBorders>
            <w:shd w:val="clear" w:color="auto" w:fill="C6EFCE"/>
            <w:noWrap/>
          </w:tcPr>
          <w:p w14:paraId="726C407D"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702" w:type="dxa"/>
            <w:tcBorders>
              <w:top w:val="nil"/>
              <w:left w:val="nil"/>
              <w:bottom w:val="single" w:sz="4" w:space="0" w:color="auto"/>
              <w:right w:val="single" w:sz="4" w:space="0" w:color="auto"/>
            </w:tcBorders>
            <w:shd w:val="clear" w:color="auto" w:fill="C6EFCE"/>
            <w:noWrap/>
          </w:tcPr>
          <w:p w14:paraId="3DF2F073"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1" w:type="dxa"/>
            <w:tcBorders>
              <w:top w:val="nil"/>
              <w:left w:val="nil"/>
              <w:bottom w:val="single" w:sz="4" w:space="0" w:color="auto"/>
              <w:right w:val="single" w:sz="4" w:space="0" w:color="auto"/>
            </w:tcBorders>
            <w:shd w:val="clear" w:color="auto" w:fill="C6EFCE"/>
            <w:noWrap/>
          </w:tcPr>
          <w:p w14:paraId="2BFF3B2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708" w:type="dxa"/>
            <w:tcBorders>
              <w:top w:val="nil"/>
              <w:left w:val="nil"/>
              <w:bottom w:val="single" w:sz="4" w:space="0" w:color="auto"/>
              <w:right w:val="single" w:sz="4" w:space="0" w:color="auto"/>
            </w:tcBorders>
            <w:shd w:val="clear" w:color="auto" w:fill="C6EFCE"/>
            <w:noWrap/>
          </w:tcPr>
          <w:p w14:paraId="798C222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5110" w:type="dxa"/>
            <w:tcBorders>
              <w:top w:val="nil"/>
              <w:left w:val="nil"/>
              <w:bottom w:val="single" w:sz="4" w:space="0" w:color="auto"/>
              <w:right w:val="single" w:sz="4" w:space="0" w:color="auto"/>
            </w:tcBorders>
            <w:shd w:val="clear" w:color="auto" w:fill="C6EFCE"/>
            <w:noWrap/>
          </w:tcPr>
          <w:p w14:paraId="4EEA3647" w14:textId="616C25CA"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 xml:space="preserve">— Začiatok prevádzky informačného systému pre kontroly zamerané na boj proti </w:t>
            </w:r>
            <w:r w:rsidRPr="00083739">
              <w:rPr>
                <w:rFonts w:ascii="Times New Roman" w:hAnsi="Times New Roman" w:cs="Times New Roman"/>
                <w:noProof/>
                <w:lang w:val="sk-SK"/>
              </w:rPr>
              <w:t>obchodovaniu</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ľuďmi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kontrolu pohybu tovaru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služieb. Operačná kapacita medziagentúrnej jednotky pre kontrolu trhu (DIMEA) vrátane periférnej infraštruktúry sa posilní prostredníctvom logistického vybavenia</w:t>
            </w:r>
            <w:r w:rsidR="00083739" w:rsidRPr="00083739">
              <w:rPr>
                <w:rFonts w:ascii="Times New Roman" w:hAnsi="Times New Roman" w:cs="Times New Roman"/>
                <w:noProof/>
                <w:lang w:val="sk-SK"/>
              </w:rPr>
              <w:t>.</w:t>
            </w:r>
          </w:p>
          <w:p w14:paraId="1C0B2B60" w14:textId="5D84E8F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Dokončenie komponentu na zriadenie nových k</w:t>
            </w:r>
            <w:r w:rsidRPr="00083739">
              <w:rPr>
                <w:rFonts w:ascii="Times New Roman" w:hAnsi="Times New Roman" w:cs="Times New Roman"/>
                <w:noProof/>
                <w:lang w:val="sk-SK"/>
              </w:rPr>
              <w:t>ontrolných staníc na boj proti nezákonnému obchodu prostredníctvom 10 montovaných budov (ISOBOX).</w:t>
            </w:r>
          </w:p>
          <w:p w14:paraId="738BCEE6" w14:textId="53316E3F"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Dokončenie potrebnej odbornej prípravy zamestnancov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prevádzky IT systémov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vybavenia.</w:t>
            </w:r>
          </w:p>
        </w:tc>
      </w:tr>
    </w:tbl>
    <w:p w14:paraId="275A6F55" w14:textId="77777777" w:rsidR="002D49B0" w:rsidRPr="00083739" w:rsidRDefault="002D49B0">
      <w:pPr>
        <w:spacing w:before="120" w:after="120" w:line="240" w:lineRule="auto"/>
        <w:jc w:val="both"/>
        <w:rPr>
          <w:rFonts w:ascii="Times New Roman" w:hAnsi="Times New Roman" w:cs="Times New Roman"/>
          <w:noProof/>
          <w:sz w:val="24"/>
          <w:szCs w:val="24"/>
          <w:lang w:val="sk-SK"/>
        </w:rPr>
      </w:pPr>
    </w:p>
    <w:p w14:paraId="536DCB5F" w14:textId="77777777" w:rsidR="002D49B0" w:rsidRPr="00083739" w:rsidRDefault="00BF4125">
      <w:pPr>
        <w:pStyle w:val="P68B1DB1-Normal6"/>
        <w:keepNext/>
        <w:keepLines/>
        <w:spacing w:before="40" w:after="0" w:line="240" w:lineRule="auto"/>
        <w:jc w:val="both"/>
        <w:outlineLvl w:val="4"/>
        <w:rPr>
          <w:rFonts w:ascii="Times New Roman" w:eastAsia="Times New Roman" w:hAnsi="Times New Roman" w:cs="Times New Roman"/>
          <w:noProof/>
          <w:lang w:val="sk-SK"/>
        </w:rPr>
      </w:pPr>
      <w:r w:rsidRPr="00083739">
        <w:rPr>
          <w:rFonts w:ascii="Times New Roman" w:hAnsi="Times New Roman" w:cs="Times New Roman"/>
          <w:noProof/>
          <w:lang w:val="sk-SK"/>
        </w:rPr>
        <w:t>Skupina 20: Posilnenie verejnej správy</w:t>
      </w:r>
    </w:p>
    <w:p w14:paraId="361FDDE5" w14:textId="77777777" w:rsidR="002D49B0" w:rsidRPr="00083739" w:rsidRDefault="00BF4125">
      <w:pPr>
        <w:pStyle w:val="P68B1DB1-Normal4"/>
        <w:numPr>
          <w:ilvl w:val="0"/>
          <w:numId w:val="28"/>
        </w:numPr>
        <w:spacing w:before="120" w:after="0" w:line="240" w:lineRule="auto"/>
        <w:jc w:val="both"/>
        <w:rPr>
          <w:rFonts w:cs="Times New Roman"/>
          <w:noProof/>
          <w:lang w:val="sk-SK"/>
        </w:rPr>
      </w:pPr>
      <w:r w:rsidRPr="00083739">
        <w:rPr>
          <w:rFonts w:cs="Times New Roman"/>
          <w:noProof/>
          <w:lang w:val="sk-SK"/>
        </w:rPr>
        <w:t xml:space="preserve">GOV-ERP (ID: </w:t>
      </w:r>
      <w:r w:rsidRPr="00083739">
        <w:rPr>
          <w:rFonts w:cs="Times New Roman"/>
          <w:noProof/>
          <w:lang w:val="sk-SK"/>
        </w:rPr>
        <w:t>16705)</w:t>
      </w:r>
    </w:p>
    <w:p w14:paraId="7F90609F" w14:textId="77777777" w:rsidR="002D49B0" w:rsidRPr="00083739" w:rsidRDefault="00BF4125">
      <w:pPr>
        <w:pStyle w:val="P68B1DB1-Normal4"/>
        <w:numPr>
          <w:ilvl w:val="0"/>
          <w:numId w:val="28"/>
        </w:numPr>
        <w:spacing w:before="120" w:after="0" w:line="240" w:lineRule="auto"/>
        <w:jc w:val="both"/>
        <w:rPr>
          <w:rFonts w:cs="Times New Roman"/>
          <w:noProof/>
          <w:lang w:val="sk-SK"/>
        </w:rPr>
      </w:pPr>
      <w:r w:rsidRPr="00083739">
        <w:rPr>
          <w:rFonts w:cs="Times New Roman"/>
          <w:noProof/>
          <w:lang w:val="sk-SK"/>
        </w:rPr>
        <w:t>Reforma účtovníctva (ID: 16974)</w:t>
      </w:r>
    </w:p>
    <w:p w14:paraId="60D7AA12" w14:textId="77777777" w:rsidR="002D49B0" w:rsidRPr="00083739" w:rsidRDefault="00BF4125">
      <w:pPr>
        <w:pStyle w:val="P68B1DB1-Normal4"/>
        <w:numPr>
          <w:ilvl w:val="0"/>
          <w:numId w:val="28"/>
        </w:numPr>
        <w:spacing w:before="120" w:after="0" w:line="240" w:lineRule="auto"/>
        <w:jc w:val="both"/>
        <w:rPr>
          <w:rFonts w:cs="Times New Roman"/>
          <w:noProof/>
          <w:lang w:val="sk-SK"/>
        </w:rPr>
      </w:pPr>
      <w:r w:rsidRPr="00083739">
        <w:rPr>
          <w:rFonts w:cs="Times New Roman"/>
          <w:noProof/>
          <w:lang w:val="sk-SK"/>
        </w:rPr>
        <w:t>Moderný inštitucionálny rámec pre štátom vlastnené podniky (ID: 16657)</w:t>
      </w:r>
    </w:p>
    <w:p w14:paraId="4CA46D8C" w14:textId="77777777" w:rsidR="002D49B0" w:rsidRPr="00083739" w:rsidRDefault="00BF4125">
      <w:pPr>
        <w:pStyle w:val="P68B1DB1-Normal4"/>
        <w:numPr>
          <w:ilvl w:val="0"/>
          <w:numId w:val="28"/>
        </w:numPr>
        <w:spacing w:before="120" w:after="0" w:line="240" w:lineRule="auto"/>
        <w:jc w:val="both"/>
        <w:rPr>
          <w:rFonts w:cs="Times New Roman"/>
          <w:noProof/>
          <w:lang w:val="sk-SK"/>
        </w:rPr>
      </w:pPr>
      <w:r w:rsidRPr="00083739">
        <w:rPr>
          <w:rFonts w:cs="Times New Roman"/>
          <w:noProof/>
          <w:lang w:val="sk-SK"/>
        </w:rPr>
        <w:t>Posilniť sieť štátnej pomoci (ID: 16701)</w:t>
      </w:r>
    </w:p>
    <w:p w14:paraId="5B0B7B1C" w14:textId="230693F6" w:rsidR="002D49B0" w:rsidRPr="00083739" w:rsidRDefault="00BF4125">
      <w:pPr>
        <w:pStyle w:val="P68B1DB1-Normal4"/>
        <w:numPr>
          <w:ilvl w:val="0"/>
          <w:numId w:val="28"/>
        </w:numPr>
        <w:spacing w:before="120" w:after="0" w:line="240" w:lineRule="auto"/>
        <w:jc w:val="both"/>
        <w:rPr>
          <w:rFonts w:cs="Times New Roman"/>
          <w:noProof/>
          <w:lang w:val="sk-SK"/>
        </w:rPr>
      </w:pPr>
      <w:r w:rsidRPr="00083739">
        <w:rPr>
          <w:rFonts w:cs="Times New Roman"/>
          <w:noProof/>
          <w:lang w:val="sk-SK"/>
        </w:rPr>
        <w:t>Modernizácia gréckeho fondu vkladov</w:t>
      </w:r>
      <w:r w:rsidR="00083739" w:rsidRPr="00083739">
        <w:rPr>
          <w:rFonts w:cs="Times New Roman"/>
          <w:noProof/>
          <w:lang w:val="sk-SK"/>
        </w:rPr>
        <w:t xml:space="preserve"> a </w:t>
      </w:r>
      <w:r w:rsidRPr="00083739">
        <w:rPr>
          <w:rFonts w:cs="Times New Roman"/>
          <w:noProof/>
          <w:lang w:val="sk-SK"/>
        </w:rPr>
        <w:t>úverov na zásielky (ID: 16940)</w:t>
      </w:r>
    </w:p>
    <w:p w14:paraId="627EC68C" w14:textId="77777777" w:rsidR="002D49B0" w:rsidRPr="00083739" w:rsidRDefault="00BF4125">
      <w:pPr>
        <w:pStyle w:val="P68B1DB1-Normal4"/>
        <w:numPr>
          <w:ilvl w:val="0"/>
          <w:numId w:val="28"/>
        </w:numPr>
        <w:spacing w:before="120" w:after="0" w:line="240" w:lineRule="auto"/>
        <w:jc w:val="both"/>
        <w:rPr>
          <w:rFonts w:cs="Times New Roman"/>
          <w:noProof/>
          <w:lang w:val="sk-SK"/>
        </w:rPr>
      </w:pPr>
      <w:r w:rsidRPr="00083739">
        <w:rPr>
          <w:rFonts w:cs="Times New Roman"/>
          <w:noProof/>
          <w:lang w:val="sk-SK"/>
        </w:rPr>
        <w:t xml:space="preserve">Profesionalizácia oblasti verejného </w:t>
      </w:r>
      <w:r w:rsidRPr="00083739">
        <w:rPr>
          <w:rFonts w:cs="Times New Roman"/>
          <w:noProof/>
          <w:lang w:val="sk-SK"/>
        </w:rPr>
        <w:t>obstarávania (ID: 16711)</w:t>
      </w:r>
    </w:p>
    <w:p w14:paraId="3493DFD9" w14:textId="77777777" w:rsidR="002D49B0" w:rsidRPr="00083739" w:rsidRDefault="00BF4125">
      <w:pPr>
        <w:pStyle w:val="P68B1DB1-Normal4"/>
        <w:numPr>
          <w:ilvl w:val="0"/>
          <w:numId w:val="28"/>
        </w:numPr>
        <w:spacing w:before="120" w:after="0" w:line="240" w:lineRule="auto"/>
        <w:jc w:val="both"/>
        <w:rPr>
          <w:rFonts w:cs="Times New Roman"/>
          <w:noProof/>
          <w:lang w:val="sk-SK"/>
        </w:rPr>
      </w:pPr>
      <w:r w:rsidRPr="00083739">
        <w:rPr>
          <w:rFonts w:cs="Times New Roman"/>
          <w:noProof/>
          <w:lang w:val="sk-SK"/>
        </w:rPr>
        <w:t>Dokončenie národného katastra (ID: 16986)</w:t>
      </w:r>
    </w:p>
    <w:p w14:paraId="27FF4C65" w14:textId="77777777" w:rsidR="002D49B0" w:rsidRPr="00083739" w:rsidRDefault="002D49B0">
      <w:pPr>
        <w:spacing w:after="0" w:line="240" w:lineRule="auto"/>
        <w:ind w:left="720"/>
        <w:jc w:val="both"/>
        <w:rPr>
          <w:rFonts w:ascii="Times New Roman" w:hAnsi="Times New Roman" w:cs="Times New Roman"/>
          <w:noProof/>
          <w:sz w:val="24"/>
          <w:lang w:val="sk-SK"/>
        </w:rPr>
      </w:pPr>
    </w:p>
    <w:tbl>
      <w:tblPr>
        <w:tblW w:w="15871" w:type="dxa"/>
        <w:jc w:val="center"/>
        <w:tblLook w:val="04A0" w:firstRow="1" w:lastRow="0" w:firstColumn="1" w:lastColumn="0" w:noHBand="0" w:noVBand="1"/>
      </w:tblPr>
      <w:tblGrid>
        <w:gridCol w:w="1027"/>
        <w:gridCol w:w="2146"/>
        <w:gridCol w:w="1115"/>
        <w:gridCol w:w="1916"/>
        <w:gridCol w:w="1552"/>
        <w:gridCol w:w="1471"/>
        <w:gridCol w:w="1003"/>
        <w:gridCol w:w="876"/>
        <w:gridCol w:w="1167"/>
        <w:gridCol w:w="673"/>
        <w:gridCol w:w="3847"/>
      </w:tblGrid>
      <w:tr w:rsidR="002D49B0" w:rsidRPr="00083739" w14:paraId="4F5C4EA5" w14:textId="77777777">
        <w:trPr>
          <w:trHeight w:val="640"/>
          <w:tblHeader/>
          <w:jc w:val="center"/>
        </w:trPr>
        <w:tc>
          <w:tcPr>
            <w:tcW w:w="102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82279E3"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Poradové číslo</w:t>
            </w:r>
          </w:p>
        </w:tc>
        <w:tc>
          <w:tcPr>
            <w:tcW w:w="214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DAABFF9"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Súvisiace opatrenie (reforma alebo investícia)</w:t>
            </w:r>
          </w:p>
        </w:tc>
        <w:tc>
          <w:tcPr>
            <w:tcW w:w="106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A938A61"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Míľnik/cieľ</w:t>
            </w:r>
          </w:p>
        </w:tc>
        <w:tc>
          <w:tcPr>
            <w:tcW w:w="1712" w:type="dxa"/>
            <w:vMerge w:val="restart"/>
            <w:tcBorders>
              <w:top w:val="single" w:sz="4" w:space="0" w:color="auto"/>
              <w:left w:val="nil"/>
              <w:bottom w:val="single" w:sz="4" w:space="0" w:color="auto"/>
              <w:right w:val="single" w:sz="4" w:space="0" w:color="auto"/>
            </w:tcBorders>
            <w:shd w:val="clear" w:color="auto" w:fill="BDD7EE"/>
            <w:vAlign w:val="center"/>
            <w:hideMark/>
          </w:tcPr>
          <w:p w14:paraId="59305353"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Názov</w:t>
            </w:r>
          </w:p>
        </w:tc>
        <w:tc>
          <w:tcPr>
            <w:tcW w:w="1552"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DF977D0" w14:textId="77777777" w:rsidR="002D49B0" w:rsidRPr="00083739" w:rsidRDefault="00BF4125">
            <w:pPr>
              <w:pStyle w:val="P68B1DB1-Normal37"/>
              <w:spacing w:after="0" w:line="240" w:lineRule="auto"/>
              <w:jc w:val="center"/>
              <w:rPr>
                <w:rFonts w:eastAsia="Times New Roman" w:cs="Times New Roman"/>
                <w:b/>
                <w:bCs/>
                <w:noProof/>
                <w:sz w:val="18"/>
                <w:szCs w:val="18"/>
                <w:lang w:val="sk-SK"/>
              </w:rPr>
            </w:pPr>
            <w:r w:rsidRPr="00083739">
              <w:rPr>
                <w:rFonts w:cs="Times New Roman"/>
                <w:b/>
                <w:noProof/>
                <w:sz w:val="18"/>
                <w:lang w:val="sk-SK"/>
              </w:rPr>
              <w:t xml:space="preserve">Kvalitatívne ukazovatele </w:t>
            </w:r>
            <w:r w:rsidRPr="00083739">
              <w:rPr>
                <w:rFonts w:cs="Times New Roman"/>
                <w:noProof/>
                <w:sz w:val="24"/>
                <w:lang w:val="sk-SK"/>
              </w:rPr>
              <w:t xml:space="preserve"> </w:t>
            </w:r>
            <w:r w:rsidRPr="00083739">
              <w:rPr>
                <w:rFonts w:cs="Times New Roman"/>
                <w:b/>
                <w:noProof/>
                <w:sz w:val="18"/>
                <w:lang w:val="sk-SK"/>
              </w:rPr>
              <w:t>(pre míľniky)</w:t>
            </w:r>
          </w:p>
        </w:tc>
        <w:tc>
          <w:tcPr>
            <w:tcW w:w="3005" w:type="dxa"/>
            <w:gridSpan w:val="3"/>
            <w:tcBorders>
              <w:top w:val="single" w:sz="4" w:space="0" w:color="auto"/>
              <w:left w:val="nil"/>
              <w:bottom w:val="single" w:sz="4" w:space="0" w:color="auto"/>
              <w:right w:val="single" w:sz="4" w:space="0" w:color="auto"/>
            </w:tcBorders>
            <w:shd w:val="clear" w:color="auto" w:fill="BDD7EE"/>
            <w:vAlign w:val="center"/>
            <w:hideMark/>
          </w:tcPr>
          <w:p w14:paraId="5676262D" w14:textId="77777777" w:rsidR="002D49B0" w:rsidRPr="00083739" w:rsidRDefault="00BF4125">
            <w:pPr>
              <w:pStyle w:val="P68B1DB1-Normal37"/>
              <w:spacing w:after="0" w:line="240" w:lineRule="auto"/>
              <w:jc w:val="center"/>
              <w:rPr>
                <w:rFonts w:eastAsia="Times New Roman" w:cs="Times New Roman"/>
                <w:b/>
                <w:bCs/>
                <w:noProof/>
                <w:sz w:val="18"/>
                <w:szCs w:val="18"/>
                <w:lang w:val="sk-SK"/>
              </w:rPr>
            </w:pPr>
            <w:r w:rsidRPr="00083739">
              <w:rPr>
                <w:rFonts w:cs="Times New Roman"/>
                <w:b/>
                <w:noProof/>
                <w:sz w:val="18"/>
                <w:lang w:val="sk-SK"/>
              </w:rPr>
              <w:t xml:space="preserve">Kvantitatívne ukazovatele </w:t>
            </w:r>
            <w:r w:rsidRPr="00083739">
              <w:rPr>
                <w:rFonts w:cs="Times New Roman"/>
                <w:noProof/>
                <w:sz w:val="24"/>
                <w:lang w:val="sk-SK"/>
              </w:rPr>
              <w:t xml:space="preserve"> </w:t>
            </w:r>
            <w:r w:rsidRPr="00083739">
              <w:rPr>
                <w:rFonts w:cs="Times New Roman"/>
                <w:b/>
                <w:noProof/>
                <w:sz w:val="18"/>
                <w:lang w:val="sk-SK"/>
              </w:rPr>
              <w:t>(pre ciele)</w:t>
            </w:r>
          </w:p>
        </w:tc>
        <w:tc>
          <w:tcPr>
            <w:tcW w:w="1519" w:type="dxa"/>
            <w:gridSpan w:val="2"/>
            <w:tcBorders>
              <w:top w:val="single" w:sz="4" w:space="0" w:color="auto"/>
              <w:left w:val="nil"/>
              <w:bottom w:val="single" w:sz="4" w:space="0" w:color="auto"/>
              <w:right w:val="single" w:sz="4" w:space="0" w:color="auto"/>
            </w:tcBorders>
            <w:shd w:val="clear" w:color="auto" w:fill="BDD7EE"/>
            <w:vAlign w:val="center"/>
            <w:hideMark/>
          </w:tcPr>
          <w:p w14:paraId="0DA36E5B"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Orientačný harmonogram dokonč</w:t>
            </w:r>
            <w:r w:rsidRPr="00083739">
              <w:rPr>
                <w:rFonts w:cs="Times New Roman"/>
                <w:noProof/>
                <w:lang w:val="sk-SK"/>
              </w:rPr>
              <w:t xml:space="preserve">enia </w:t>
            </w:r>
          </w:p>
        </w:tc>
        <w:tc>
          <w:tcPr>
            <w:tcW w:w="384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1CD6303" w14:textId="60A63AF9"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Opis každého míľnika</w:t>
            </w:r>
            <w:r w:rsidR="00083739" w:rsidRPr="00083739">
              <w:rPr>
                <w:rFonts w:cs="Times New Roman"/>
                <w:noProof/>
                <w:lang w:val="sk-SK"/>
              </w:rPr>
              <w:t xml:space="preserve"> a </w:t>
            </w:r>
            <w:r w:rsidRPr="00083739">
              <w:rPr>
                <w:rFonts w:cs="Times New Roman"/>
                <w:noProof/>
                <w:lang w:val="sk-SK"/>
              </w:rPr>
              <w:t>cieľa</w:t>
            </w:r>
          </w:p>
        </w:tc>
      </w:tr>
      <w:tr w:rsidR="002D49B0" w:rsidRPr="00083739" w14:paraId="41F94AAD" w14:textId="77777777">
        <w:trPr>
          <w:trHeight w:val="554"/>
          <w:jc w:val="center"/>
        </w:trPr>
        <w:tc>
          <w:tcPr>
            <w:tcW w:w="1027" w:type="dxa"/>
            <w:vMerge/>
            <w:tcBorders>
              <w:top w:val="single" w:sz="4" w:space="0" w:color="auto"/>
              <w:left w:val="single" w:sz="4" w:space="0" w:color="auto"/>
              <w:bottom w:val="single" w:sz="4" w:space="0" w:color="auto"/>
              <w:right w:val="single" w:sz="4" w:space="0" w:color="auto"/>
            </w:tcBorders>
            <w:vAlign w:val="center"/>
            <w:hideMark/>
          </w:tcPr>
          <w:p w14:paraId="2341E0A4"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2146" w:type="dxa"/>
            <w:vMerge/>
            <w:tcBorders>
              <w:top w:val="single" w:sz="4" w:space="0" w:color="auto"/>
              <w:left w:val="single" w:sz="4" w:space="0" w:color="auto"/>
              <w:bottom w:val="single" w:sz="4" w:space="0" w:color="auto"/>
              <w:right w:val="single" w:sz="4" w:space="0" w:color="auto"/>
            </w:tcBorders>
            <w:vAlign w:val="center"/>
            <w:hideMark/>
          </w:tcPr>
          <w:p w14:paraId="3153BF1B"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063" w:type="dxa"/>
            <w:vMerge/>
            <w:tcBorders>
              <w:top w:val="single" w:sz="4" w:space="0" w:color="auto"/>
              <w:left w:val="single" w:sz="4" w:space="0" w:color="auto"/>
              <w:bottom w:val="single" w:sz="4" w:space="0" w:color="auto"/>
              <w:right w:val="single" w:sz="4" w:space="0" w:color="auto"/>
            </w:tcBorders>
            <w:vAlign w:val="center"/>
            <w:hideMark/>
          </w:tcPr>
          <w:p w14:paraId="74D74C3E"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712" w:type="dxa"/>
            <w:vMerge/>
            <w:tcBorders>
              <w:top w:val="single" w:sz="4" w:space="0" w:color="auto"/>
              <w:left w:val="single" w:sz="4" w:space="0" w:color="auto"/>
              <w:bottom w:val="single" w:sz="4" w:space="0" w:color="auto"/>
              <w:right w:val="single" w:sz="4" w:space="0" w:color="auto"/>
            </w:tcBorders>
            <w:vAlign w:val="center"/>
            <w:hideMark/>
          </w:tcPr>
          <w:p w14:paraId="0294D3C6"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552" w:type="dxa"/>
            <w:vMerge/>
            <w:tcBorders>
              <w:top w:val="single" w:sz="4" w:space="0" w:color="auto"/>
              <w:left w:val="single" w:sz="4" w:space="0" w:color="auto"/>
              <w:bottom w:val="single" w:sz="4" w:space="0" w:color="auto"/>
              <w:right w:val="single" w:sz="4" w:space="0" w:color="auto"/>
            </w:tcBorders>
            <w:vAlign w:val="center"/>
            <w:hideMark/>
          </w:tcPr>
          <w:p w14:paraId="228D001D"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126"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164A2052"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Merná jednotka</w:t>
            </w:r>
          </w:p>
        </w:tc>
        <w:tc>
          <w:tcPr>
            <w:tcW w:w="1003" w:type="dxa"/>
            <w:tcBorders>
              <w:top w:val="single" w:sz="4" w:space="0" w:color="auto"/>
              <w:left w:val="nil"/>
              <w:bottom w:val="single" w:sz="4" w:space="0" w:color="auto"/>
              <w:right w:val="single" w:sz="4" w:space="0" w:color="auto"/>
            </w:tcBorders>
            <w:shd w:val="clear" w:color="auto" w:fill="BDD7EE"/>
            <w:vAlign w:val="center"/>
            <w:hideMark/>
          </w:tcPr>
          <w:p w14:paraId="34C6B4B8"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Základná </w:t>
            </w:r>
          </w:p>
        </w:tc>
        <w:tc>
          <w:tcPr>
            <w:tcW w:w="876" w:type="dxa"/>
            <w:tcBorders>
              <w:top w:val="single" w:sz="4" w:space="0" w:color="auto"/>
              <w:left w:val="nil"/>
              <w:bottom w:val="single" w:sz="4" w:space="0" w:color="auto"/>
              <w:right w:val="single" w:sz="4" w:space="0" w:color="auto"/>
            </w:tcBorders>
            <w:shd w:val="clear" w:color="auto" w:fill="BDD7EE"/>
            <w:vAlign w:val="center"/>
            <w:hideMark/>
          </w:tcPr>
          <w:p w14:paraId="460FC2E5"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Cieľ </w:t>
            </w:r>
          </w:p>
        </w:tc>
        <w:tc>
          <w:tcPr>
            <w:tcW w:w="846" w:type="dxa"/>
            <w:tcBorders>
              <w:top w:val="single" w:sz="4" w:space="0" w:color="auto"/>
              <w:left w:val="nil"/>
              <w:bottom w:val="single" w:sz="4" w:space="0" w:color="auto"/>
              <w:right w:val="single" w:sz="4" w:space="0" w:color="auto"/>
            </w:tcBorders>
            <w:shd w:val="clear" w:color="auto" w:fill="BDD7EE"/>
            <w:vAlign w:val="center"/>
            <w:hideMark/>
          </w:tcPr>
          <w:p w14:paraId="65B4B30A"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Štvrtina</w:t>
            </w:r>
          </w:p>
        </w:tc>
        <w:tc>
          <w:tcPr>
            <w:tcW w:w="673" w:type="dxa"/>
            <w:tcBorders>
              <w:top w:val="single" w:sz="4" w:space="0" w:color="auto"/>
              <w:left w:val="nil"/>
              <w:bottom w:val="single" w:sz="4" w:space="0" w:color="auto"/>
              <w:right w:val="single" w:sz="4" w:space="0" w:color="auto"/>
            </w:tcBorders>
            <w:shd w:val="clear" w:color="auto" w:fill="BDD7EE"/>
            <w:vAlign w:val="center"/>
            <w:hideMark/>
          </w:tcPr>
          <w:p w14:paraId="60457D64"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Rok</w:t>
            </w:r>
          </w:p>
        </w:tc>
        <w:tc>
          <w:tcPr>
            <w:tcW w:w="3847" w:type="dxa"/>
            <w:vMerge/>
            <w:tcBorders>
              <w:top w:val="single" w:sz="4" w:space="0" w:color="auto"/>
              <w:bottom w:val="single" w:sz="4" w:space="0" w:color="auto"/>
              <w:right w:val="single" w:sz="4" w:space="0" w:color="auto"/>
            </w:tcBorders>
            <w:vAlign w:val="center"/>
            <w:hideMark/>
          </w:tcPr>
          <w:p w14:paraId="64E861B5"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r>
      <w:tr w:rsidR="002D49B0" w:rsidRPr="00083739" w14:paraId="21694752" w14:textId="77777777">
        <w:trPr>
          <w:trHeight w:val="309"/>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13B2943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214</w:t>
            </w:r>
          </w:p>
        </w:tc>
        <w:tc>
          <w:tcPr>
            <w:tcW w:w="2146" w:type="dxa"/>
            <w:tcBorders>
              <w:top w:val="single" w:sz="4" w:space="0" w:color="auto"/>
              <w:left w:val="nil"/>
              <w:bottom w:val="single" w:sz="4" w:space="0" w:color="auto"/>
              <w:right w:val="single" w:sz="4" w:space="0" w:color="auto"/>
            </w:tcBorders>
            <w:shd w:val="clear" w:color="auto" w:fill="C6EFCE"/>
            <w:noWrap/>
          </w:tcPr>
          <w:p w14:paraId="44ED7CEA" w14:textId="3770B348"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13 – 4.2. Modernizácia verejnej správy,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to aj urýchlením realizácie verejných investícií, zlepšením rámca verejného obstarávania, opatreniami na budovanie kapacít</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bojom proti korupcii – 16701_Posilnenie siete štátnej pomoci</w:t>
            </w:r>
          </w:p>
        </w:tc>
        <w:tc>
          <w:tcPr>
            <w:tcW w:w="1063" w:type="dxa"/>
            <w:tcBorders>
              <w:top w:val="single" w:sz="4" w:space="0" w:color="auto"/>
              <w:left w:val="nil"/>
              <w:bottom w:val="single" w:sz="4" w:space="0" w:color="auto"/>
              <w:right w:val="single" w:sz="4" w:space="0" w:color="auto"/>
            </w:tcBorders>
            <w:shd w:val="clear" w:color="auto" w:fill="C6EFCE"/>
            <w:noWrap/>
          </w:tcPr>
          <w:p w14:paraId="65DE02E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712" w:type="dxa"/>
            <w:tcBorders>
              <w:top w:val="single" w:sz="4" w:space="0" w:color="auto"/>
              <w:left w:val="nil"/>
              <w:bottom w:val="single" w:sz="4" w:space="0" w:color="auto"/>
              <w:right w:val="single" w:sz="4" w:space="0" w:color="auto"/>
            </w:tcBorders>
            <w:shd w:val="clear" w:color="auto" w:fill="C6EFCE"/>
            <w:noWrap/>
          </w:tcPr>
          <w:p w14:paraId="11227FB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Posilnená sieť štátnej pomoci</w:t>
            </w:r>
          </w:p>
        </w:tc>
        <w:tc>
          <w:tcPr>
            <w:tcW w:w="1552" w:type="dxa"/>
            <w:tcBorders>
              <w:top w:val="single" w:sz="4" w:space="0" w:color="auto"/>
              <w:left w:val="nil"/>
              <w:bottom w:val="single" w:sz="4" w:space="0" w:color="auto"/>
              <w:right w:val="single" w:sz="4" w:space="0" w:color="auto"/>
            </w:tcBorders>
            <w:shd w:val="clear" w:color="auto" w:fill="C6EFCE"/>
            <w:noWrap/>
          </w:tcPr>
          <w:p w14:paraId="73892AA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posilneného rámca štátnej pomoci</w:t>
            </w:r>
          </w:p>
        </w:tc>
        <w:tc>
          <w:tcPr>
            <w:tcW w:w="1126" w:type="dxa"/>
            <w:tcBorders>
              <w:top w:val="single" w:sz="4" w:space="0" w:color="auto"/>
              <w:left w:val="nil"/>
              <w:bottom w:val="single" w:sz="4" w:space="0" w:color="auto"/>
              <w:right w:val="single" w:sz="4" w:space="0" w:color="auto"/>
            </w:tcBorders>
            <w:shd w:val="clear" w:color="auto" w:fill="C6EFCE"/>
            <w:noWrap/>
          </w:tcPr>
          <w:p w14:paraId="7036067B"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03" w:type="dxa"/>
            <w:tcBorders>
              <w:top w:val="single" w:sz="4" w:space="0" w:color="auto"/>
              <w:left w:val="nil"/>
              <w:bottom w:val="single" w:sz="4" w:space="0" w:color="auto"/>
              <w:right w:val="single" w:sz="4" w:space="0" w:color="auto"/>
            </w:tcBorders>
            <w:shd w:val="clear" w:color="auto" w:fill="C6EFCE"/>
            <w:noWrap/>
          </w:tcPr>
          <w:p w14:paraId="63A39757"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76" w:type="dxa"/>
            <w:tcBorders>
              <w:top w:val="single" w:sz="4" w:space="0" w:color="auto"/>
              <w:left w:val="nil"/>
              <w:bottom w:val="single" w:sz="4" w:space="0" w:color="auto"/>
              <w:right w:val="single" w:sz="4" w:space="0" w:color="auto"/>
            </w:tcBorders>
            <w:shd w:val="clear" w:color="auto" w:fill="C6EFCE"/>
            <w:noWrap/>
          </w:tcPr>
          <w:p w14:paraId="15F1CBC9"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6" w:type="dxa"/>
            <w:tcBorders>
              <w:top w:val="single" w:sz="4" w:space="0" w:color="auto"/>
              <w:left w:val="nil"/>
              <w:bottom w:val="single" w:sz="4" w:space="0" w:color="auto"/>
              <w:right w:val="single" w:sz="4" w:space="0" w:color="auto"/>
            </w:tcBorders>
            <w:shd w:val="clear" w:color="auto" w:fill="C6EFCE"/>
            <w:noWrap/>
          </w:tcPr>
          <w:p w14:paraId="7823961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673" w:type="dxa"/>
            <w:tcBorders>
              <w:top w:val="single" w:sz="4" w:space="0" w:color="auto"/>
              <w:left w:val="nil"/>
              <w:bottom w:val="single" w:sz="4" w:space="0" w:color="auto"/>
              <w:right w:val="single" w:sz="4" w:space="0" w:color="auto"/>
            </w:tcBorders>
            <w:shd w:val="clear" w:color="auto" w:fill="C6EFCE"/>
            <w:noWrap/>
          </w:tcPr>
          <w:p w14:paraId="0840DEE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2022</w:t>
            </w:r>
          </w:p>
        </w:tc>
        <w:tc>
          <w:tcPr>
            <w:tcW w:w="3847" w:type="dxa"/>
            <w:tcBorders>
              <w:top w:val="single" w:sz="4" w:space="0" w:color="auto"/>
              <w:left w:val="nil"/>
              <w:bottom w:val="single" w:sz="4" w:space="0" w:color="auto"/>
              <w:right w:val="single" w:sz="4" w:space="0" w:color="auto"/>
            </w:tcBorders>
            <w:shd w:val="clear" w:color="auto" w:fill="C6EFCE"/>
            <w:noWrap/>
          </w:tcPr>
          <w:p w14:paraId="3BB4C7FF" w14:textId="39887962"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zmien právneho rámca</w:t>
            </w:r>
            <w:r w:rsidRPr="00083739">
              <w:rPr>
                <w:rFonts w:ascii="Times New Roman" w:hAnsi="Times New Roman" w:cs="Times New Roman"/>
                <w:noProof/>
                <w:lang w:val="sk-SK"/>
              </w:rPr>
              <w:t xml:space="preserve"> štátnej pomoci pre fungovanie centrálnej siete štátnej pomoci (CESANET)</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cieľom posilniť právomoci centrálnej jednotky štátnej pomoci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jednotiek decentralizovanej štátnej pomoci</w:t>
            </w:r>
          </w:p>
        </w:tc>
      </w:tr>
      <w:tr w:rsidR="002D49B0" w:rsidRPr="00083739" w14:paraId="43726A4E" w14:textId="77777777">
        <w:trPr>
          <w:trHeight w:val="309"/>
          <w:jc w:val="center"/>
        </w:trPr>
        <w:tc>
          <w:tcPr>
            <w:tcW w:w="1027" w:type="dxa"/>
            <w:tcBorders>
              <w:top w:val="nil"/>
              <w:left w:val="single" w:sz="4" w:space="0" w:color="auto"/>
              <w:bottom w:val="single" w:sz="4" w:space="0" w:color="auto"/>
              <w:right w:val="single" w:sz="4" w:space="0" w:color="auto"/>
            </w:tcBorders>
            <w:shd w:val="clear" w:color="auto" w:fill="C6EFCE"/>
            <w:noWrap/>
          </w:tcPr>
          <w:p w14:paraId="5EE1EBC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215</w:t>
            </w:r>
          </w:p>
        </w:tc>
        <w:tc>
          <w:tcPr>
            <w:tcW w:w="2146" w:type="dxa"/>
            <w:tcBorders>
              <w:top w:val="nil"/>
              <w:left w:val="nil"/>
              <w:bottom w:val="single" w:sz="4" w:space="0" w:color="auto"/>
              <w:right w:val="single" w:sz="4" w:space="0" w:color="auto"/>
            </w:tcBorders>
            <w:shd w:val="clear" w:color="auto" w:fill="C6EFCE"/>
            <w:noWrap/>
          </w:tcPr>
          <w:p w14:paraId="1C1F2D14" w14:textId="3B678B21"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13 – 4.2. Modernizácia verejnej správy,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to aj urýchlením realizácie </w:t>
            </w:r>
            <w:r w:rsidRPr="00083739">
              <w:rPr>
                <w:rFonts w:ascii="Times New Roman" w:hAnsi="Times New Roman" w:cs="Times New Roman"/>
                <w:noProof/>
                <w:lang w:val="sk-SK"/>
              </w:rPr>
              <w:t>verejných investícií, zlepšením rámca verejného obstarávania, opatreniami na budovanie kapacít</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bojom proti korupcii – 16981_Posilnenie plánovania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koordinácie politík</w:t>
            </w:r>
          </w:p>
        </w:tc>
        <w:tc>
          <w:tcPr>
            <w:tcW w:w="1063" w:type="dxa"/>
            <w:tcBorders>
              <w:top w:val="nil"/>
              <w:left w:val="nil"/>
              <w:bottom w:val="single" w:sz="4" w:space="0" w:color="auto"/>
              <w:right w:val="single" w:sz="4" w:space="0" w:color="auto"/>
            </w:tcBorders>
            <w:shd w:val="clear" w:color="auto" w:fill="C6EFCE"/>
            <w:noWrap/>
          </w:tcPr>
          <w:p w14:paraId="73110E7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712" w:type="dxa"/>
            <w:tcBorders>
              <w:top w:val="nil"/>
              <w:left w:val="nil"/>
              <w:bottom w:val="single" w:sz="4" w:space="0" w:color="auto"/>
              <w:right w:val="single" w:sz="4" w:space="0" w:color="auto"/>
            </w:tcBorders>
            <w:shd w:val="clear" w:color="auto" w:fill="C6EFCE"/>
            <w:noWrap/>
          </w:tcPr>
          <w:p w14:paraId="7063C509" w14:textId="5CF8D7F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Plánovanie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koordinácia politík – posúdenie vplyvu</w:t>
            </w:r>
          </w:p>
        </w:tc>
        <w:tc>
          <w:tcPr>
            <w:tcW w:w="1552" w:type="dxa"/>
            <w:tcBorders>
              <w:top w:val="nil"/>
              <w:left w:val="nil"/>
              <w:bottom w:val="single" w:sz="4" w:space="0" w:color="auto"/>
              <w:right w:val="single" w:sz="4" w:space="0" w:color="auto"/>
            </w:tcBorders>
            <w:shd w:val="clear" w:color="auto" w:fill="C6EFCE"/>
            <w:noWrap/>
          </w:tcPr>
          <w:p w14:paraId="3E8AEF4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Program odbornej prípravy s</w:t>
            </w:r>
            <w:r w:rsidRPr="00083739">
              <w:rPr>
                <w:rFonts w:ascii="Times New Roman" w:hAnsi="Times New Roman" w:cs="Times New Roman"/>
                <w:noProof/>
                <w:lang w:val="sk-SK"/>
              </w:rPr>
              <w:t>a začal so 100 zamestnancami verejnej správy, ktorí boli vybraní na účasť.</w:t>
            </w:r>
          </w:p>
        </w:tc>
        <w:tc>
          <w:tcPr>
            <w:tcW w:w="1126" w:type="dxa"/>
            <w:tcBorders>
              <w:top w:val="nil"/>
              <w:left w:val="nil"/>
              <w:bottom w:val="single" w:sz="4" w:space="0" w:color="auto"/>
              <w:right w:val="single" w:sz="4" w:space="0" w:color="auto"/>
            </w:tcBorders>
            <w:shd w:val="clear" w:color="auto" w:fill="C6EFCE"/>
            <w:noWrap/>
          </w:tcPr>
          <w:p w14:paraId="7309ED6D"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03" w:type="dxa"/>
            <w:tcBorders>
              <w:top w:val="nil"/>
              <w:left w:val="nil"/>
              <w:bottom w:val="single" w:sz="4" w:space="0" w:color="auto"/>
              <w:right w:val="single" w:sz="4" w:space="0" w:color="auto"/>
            </w:tcBorders>
            <w:shd w:val="clear" w:color="auto" w:fill="C6EFCE"/>
            <w:noWrap/>
          </w:tcPr>
          <w:p w14:paraId="5EE653C0"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76" w:type="dxa"/>
            <w:tcBorders>
              <w:top w:val="nil"/>
              <w:left w:val="nil"/>
              <w:bottom w:val="single" w:sz="4" w:space="0" w:color="auto"/>
              <w:right w:val="single" w:sz="4" w:space="0" w:color="auto"/>
            </w:tcBorders>
            <w:shd w:val="clear" w:color="auto" w:fill="C6EFCE"/>
            <w:noWrap/>
          </w:tcPr>
          <w:p w14:paraId="4527CEFB"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6" w:type="dxa"/>
            <w:tcBorders>
              <w:top w:val="nil"/>
              <w:left w:val="nil"/>
              <w:bottom w:val="single" w:sz="4" w:space="0" w:color="auto"/>
              <w:right w:val="single" w:sz="4" w:space="0" w:color="auto"/>
            </w:tcBorders>
            <w:shd w:val="clear" w:color="auto" w:fill="C6EFCE"/>
            <w:noWrap/>
          </w:tcPr>
          <w:p w14:paraId="233C520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673" w:type="dxa"/>
            <w:tcBorders>
              <w:top w:val="nil"/>
              <w:left w:val="nil"/>
              <w:bottom w:val="single" w:sz="4" w:space="0" w:color="auto"/>
              <w:right w:val="single" w:sz="4" w:space="0" w:color="auto"/>
            </w:tcBorders>
            <w:shd w:val="clear" w:color="auto" w:fill="C6EFCE"/>
            <w:noWrap/>
          </w:tcPr>
          <w:p w14:paraId="5C24482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2022</w:t>
            </w:r>
          </w:p>
        </w:tc>
        <w:tc>
          <w:tcPr>
            <w:tcW w:w="3847" w:type="dxa"/>
            <w:tcBorders>
              <w:top w:val="nil"/>
              <w:left w:val="nil"/>
              <w:bottom w:val="single" w:sz="4" w:space="0" w:color="auto"/>
              <w:right w:val="single" w:sz="4" w:space="0" w:color="auto"/>
            </w:tcBorders>
            <w:shd w:val="clear" w:color="auto" w:fill="C6EFCE"/>
            <w:noWrap/>
          </w:tcPr>
          <w:p w14:paraId="76F22B42" w14:textId="10FEABEA"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Po spustení elektronickej platformy na posúdenie vplyvu sa začne program odbornej prípravy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súvisiaci akreditačný postup, do ktorého sa zapíše najmenej 100 </w:t>
            </w:r>
            <w:r w:rsidRPr="00083739">
              <w:rPr>
                <w:rFonts w:ascii="Times New Roman" w:hAnsi="Times New Roman" w:cs="Times New Roman"/>
                <w:noProof/>
                <w:lang w:val="sk-SK"/>
              </w:rPr>
              <w:t>štátnych zamestnancov vrátane štátnych zamestnancov vybraných do „výkonných zložiek“ (zákon č. 4622/2019, článok 104),</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cieľom zlepšiť kvalitu pripravených posúdení vplyvu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uľahčiť používanie elektronickej platformy. </w:t>
            </w:r>
          </w:p>
        </w:tc>
      </w:tr>
      <w:tr w:rsidR="002D49B0" w:rsidRPr="00083739" w14:paraId="115239DB" w14:textId="77777777">
        <w:trPr>
          <w:trHeight w:val="309"/>
          <w:jc w:val="center"/>
        </w:trPr>
        <w:tc>
          <w:tcPr>
            <w:tcW w:w="1027" w:type="dxa"/>
            <w:tcBorders>
              <w:top w:val="nil"/>
              <w:left w:val="single" w:sz="4" w:space="0" w:color="auto"/>
              <w:bottom w:val="single" w:sz="4" w:space="0" w:color="auto"/>
              <w:right w:val="single" w:sz="4" w:space="0" w:color="auto"/>
            </w:tcBorders>
            <w:shd w:val="clear" w:color="auto" w:fill="C6EFCE"/>
            <w:noWrap/>
          </w:tcPr>
          <w:p w14:paraId="1764F866" w14:textId="77777777" w:rsidR="002D49B0" w:rsidRPr="00083739" w:rsidRDefault="00BF4125">
            <w:pPr>
              <w:pStyle w:val="P68B1DB1-Normal9"/>
              <w:spacing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216a</w:t>
            </w:r>
          </w:p>
        </w:tc>
        <w:tc>
          <w:tcPr>
            <w:tcW w:w="2146" w:type="dxa"/>
            <w:tcBorders>
              <w:top w:val="nil"/>
              <w:left w:val="nil"/>
              <w:bottom w:val="single" w:sz="4" w:space="0" w:color="auto"/>
              <w:right w:val="single" w:sz="4" w:space="0" w:color="auto"/>
            </w:tcBorders>
            <w:shd w:val="clear" w:color="auto" w:fill="C6EFCE"/>
            <w:noWrap/>
          </w:tcPr>
          <w:p w14:paraId="179A0E2A" w14:textId="14927325" w:rsidR="002D49B0" w:rsidRPr="00083739" w:rsidRDefault="00BF4125">
            <w:pPr>
              <w:pStyle w:val="P68B1DB1-Normal9"/>
              <w:spacing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13 – 4.2. Modernizácia </w:t>
            </w:r>
            <w:r w:rsidRPr="00083739">
              <w:rPr>
                <w:rFonts w:ascii="Times New Roman" w:hAnsi="Times New Roman" w:cs="Times New Roman"/>
                <w:noProof/>
                <w:lang w:val="sk-SK"/>
              </w:rPr>
              <w:t>verejnej správy,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to aj urýchlením realizácie verejných investícií, zlepšením rámca verejného obstarávania, opatreniami na budovanie kapacít</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bojom proti korupcii – 16711_Profesijná oblasť verejného obstarávania  </w:t>
            </w:r>
          </w:p>
        </w:tc>
        <w:tc>
          <w:tcPr>
            <w:tcW w:w="1063" w:type="dxa"/>
            <w:tcBorders>
              <w:top w:val="nil"/>
              <w:left w:val="nil"/>
              <w:bottom w:val="single" w:sz="4" w:space="0" w:color="auto"/>
              <w:right w:val="single" w:sz="4" w:space="0" w:color="auto"/>
            </w:tcBorders>
            <w:shd w:val="clear" w:color="auto" w:fill="C6EFCE"/>
            <w:noWrap/>
          </w:tcPr>
          <w:p w14:paraId="0C1E2213" w14:textId="77777777" w:rsidR="002D49B0" w:rsidRPr="00083739" w:rsidRDefault="00BF4125">
            <w:pPr>
              <w:pStyle w:val="P68B1DB1-Normal9"/>
              <w:spacing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712" w:type="dxa"/>
            <w:tcBorders>
              <w:top w:val="nil"/>
              <w:left w:val="nil"/>
              <w:bottom w:val="single" w:sz="4" w:space="0" w:color="auto"/>
              <w:right w:val="single" w:sz="4" w:space="0" w:color="auto"/>
            </w:tcBorders>
            <w:shd w:val="clear" w:color="auto" w:fill="C6EFCE"/>
            <w:noWrap/>
          </w:tcPr>
          <w:p w14:paraId="7B0DEAF2" w14:textId="77777777" w:rsidR="002D49B0" w:rsidRPr="00083739" w:rsidRDefault="00BF4125">
            <w:pPr>
              <w:pStyle w:val="P68B1DB1-Normal9"/>
              <w:spacing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Zmena národnej stratégie verejnéh</w:t>
            </w:r>
            <w:r w:rsidRPr="00083739">
              <w:rPr>
                <w:rFonts w:ascii="Times New Roman" w:hAnsi="Times New Roman" w:cs="Times New Roman"/>
                <w:noProof/>
                <w:lang w:val="sk-SK"/>
              </w:rPr>
              <w:t>o obstarávania na roky 2021 – 2025</w:t>
            </w:r>
          </w:p>
        </w:tc>
        <w:tc>
          <w:tcPr>
            <w:tcW w:w="1552" w:type="dxa"/>
            <w:tcBorders>
              <w:top w:val="nil"/>
              <w:left w:val="nil"/>
              <w:bottom w:val="single" w:sz="4" w:space="0" w:color="auto"/>
              <w:right w:val="single" w:sz="4" w:space="0" w:color="auto"/>
            </w:tcBorders>
            <w:shd w:val="clear" w:color="auto" w:fill="C6EFCE"/>
            <w:noWrap/>
          </w:tcPr>
          <w:p w14:paraId="5FFB4105" w14:textId="77777777" w:rsidR="002D49B0" w:rsidRPr="00083739" w:rsidRDefault="00BF4125">
            <w:pPr>
              <w:pStyle w:val="P68B1DB1-Normal9"/>
              <w:spacing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Zmena národnej stratégie verejného obstarávania nadobúda účinnosť prostredníctvom sekundárneho legislatívneho aktu.</w:t>
            </w:r>
          </w:p>
          <w:p w14:paraId="44FA4770" w14:textId="77777777" w:rsidR="002D49B0" w:rsidRPr="00083739" w:rsidRDefault="002D49B0">
            <w:pPr>
              <w:spacing w:line="240" w:lineRule="auto"/>
              <w:rPr>
                <w:rFonts w:ascii="Times New Roman" w:eastAsia="Times New Roman" w:hAnsi="Times New Roman" w:cs="Times New Roman"/>
                <w:noProof/>
                <w:color w:val="006100"/>
                <w:sz w:val="18"/>
                <w:szCs w:val="18"/>
                <w:lang w:val="sk-SK"/>
              </w:rPr>
            </w:pPr>
          </w:p>
        </w:tc>
        <w:tc>
          <w:tcPr>
            <w:tcW w:w="1126" w:type="dxa"/>
            <w:tcBorders>
              <w:top w:val="nil"/>
              <w:left w:val="nil"/>
              <w:bottom w:val="single" w:sz="4" w:space="0" w:color="auto"/>
              <w:right w:val="single" w:sz="4" w:space="0" w:color="auto"/>
            </w:tcBorders>
            <w:shd w:val="clear" w:color="auto" w:fill="C6EFCE"/>
            <w:noWrap/>
          </w:tcPr>
          <w:p w14:paraId="50937FBC" w14:textId="77777777" w:rsidR="002D49B0" w:rsidRPr="00083739" w:rsidRDefault="002D49B0">
            <w:pPr>
              <w:spacing w:line="240" w:lineRule="auto"/>
              <w:rPr>
                <w:rFonts w:ascii="Times New Roman" w:eastAsia="Times New Roman" w:hAnsi="Times New Roman" w:cs="Times New Roman"/>
                <w:noProof/>
                <w:color w:val="006100"/>
                <w:sz w:val="18"/>
                <w:szCs w:val="18"/>
                <w:lang w:val="sk-SK"/>
              </w:rPr>
            </w:pPr>
          </w:p>
        </w:tc>
        <w:tc>
          <w:tcPr>
            <w:tcW w:w="1003" w:type="dxa"/>
            <w:tcBorders>
              <w:top w:val="nil"/>
              <w:left w:val="nil"/>
              <w:bottom w:val="single" w:sz="4" w:space="0" w:color="auto"/>
              <w:right w:val="single" w:sz="4" w:space="0" w:color="auto"/>
            </w:tcBorders>
            <w:shd w:val="clear" w:color="auto" w:fill="C6EFCE"/>
            <w:noWrap/>
          </w:tcPr>
          <w:p w14:paraId="4598264A" w14:textId="77777777" w:rsidR="002D49B0" w:rsidRPr="00083739" w:rsidRDefault="002D49B0">
            <w:pPr>
              <w:spacing w:line="240" w:lineRule="auto"/>
              <w:rPr>
                <w:rFonts w:ascii="Times New Roman" w:eastAsia="Times New Roman" w:hAnsi="Times New Roman" w:cs="Times New Roman"/>
                <w:noProof/>
                <w:color w:val="006100"/>
                <w:sz w:val="18"/>
                <w:szCs w:val="18"/>
                <w:lang w:val="sk-SK"/>
              </w:rPr>
            </w:pPr>
          </w:p>
        </w:tc>
        <w:tc>
          <w:tcPr>
            <w:tcW w:w="876" w:type="dxa"/>
            <w:tcBorders>
              <w:top w:val="nil"/>
              <w:left w:val="nil"/>
              <w:bottom w:val="single" w:sz="4" w:space="0" w:color="auto"/>
              <w:right w:val="single" w:sz="4" w:space="0" w:color="auto"/>
            </w:tcBorders>
            <w:shd w:val="clear" w:color="auto" w:fill="C6EFCE"/>
            <w:noWrap/>
          </w:tcPr>
          <w:p w14:paraId="7901BA4C" w14:textId="77777777" w:rsidR="002D49B0" w:rsidRPr="00083739" w:rsidRDefault="002D49B0">
            <w:pPr>
              <w:spacing w:line="240" w:lineRule="auto"/>
              <w:rPr>
                <w:rFonts w:ascii="Times New Roman" w:eastAsia="Times New Roman" w:hAnsi="Times New Roman" w:cs="Times New Roman"/>
                <w:noProof/>
                <w:color w:val="006100"/>
                <w:sz w:val="18"/>
                <w:szCs w:val="18"/>
                <w:lang w:val="sk-SK"/>
              </w:rPr>
            </w:pPr>
          </w:p>
        </w:tc>
        <w:tc>
          <w:tcPr>
            <w:tcW w:w="846" w:type="dxa"/>
            <w:tcBorders>
              <w:top w:val="nil"/>
              <w:left w:val="nil"/>
              <w:bottom w:val="single" w:sz="4" w:space="0" w:color="auto"/>
              <w:right w:val="single" w:sz="4" w:space="0" w:color="auto"/>
            </w:tcBorders>
            <w:shd w:val="clear" w:color="auto" w:fill="C6EFCE"/>
            <w:noWrap/>
          </w:tcPr>
          <w:p w14:paraId="5254F882" w14:textId="77777777" w:rsidR="002D49B0" w:rsidRPr="00083739" w:rsidRDefault="00BF4125">
            <w:pPr>
              <w:pStyle w:val="P68B1DB1-Normal9"/>
              <w:spacing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673" w:type="dxa"/>
            <w:tcBorders>
              <w:top w:val="nil"/>
              <w:left w:val="nil"/>
              <w:bottom w:val="single" w:sz="4" w:space="0" w:color="auto"/>
              <w:right w:val="single" w:sz="4" w:space="0" w:color="auto"/>
            </w:tcBorders>
            <w:shd w:val="clear" w:color="auto" w:fill="C6EFCE"/>
            <w:noWrap/>
          </w:tcPr>
          <w:p w14:paraId="20CE79A8" w14:textId="77777777" w:rsidR="002D49B0" w:rsidRPr="00083739" w:rsidRDefault="00BF4125">
            <w:pPr>
              <w:pStyle w:val="P68B1DB1-Normal9"/>
              <w:spacing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2023</w:t>
            </w:r>
          </w:p>
        </w:tc>
        <w:tc>
          <w:tcPr>
            <w:tcW w:w="3847" w:type="dxa"/>
            <w:tcBorders>
              <w:top w:val="nil"/>
              <w:left w:val="nil"/>
              <w:bottom w:val="single" w:sz="4" w:space="0" w:color="auto"/>
              <w:right w:val="single" w:sz="4" w:space="0" w:color="auto"/>
            </w:tcBorders>
            <w:shd w:val="clear" w:color="auto" w:fill="C6EFCE"/>
            <w:noWrap/>
          </w:tcPr>
          <w:p w14:paraId="2C1DE11F" w14:textId="77777777" w:rsidR="002D49B0" w:rsidRPr="00083739" w:rsidRDefault="00BF4125">
            <w:pPr>
              <w:pStyle w:val="P68B1DB1-Normal9"/>
              <w:spacing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Nadobudnutie účinnosti zmenenej národnej stratégie verejného obstarávania na </w:t>
            </w:r>
            <w:r w:rsidRPr="00083739">
              <w:rPr>
                <w:rFonts w:ascii="Times New Roman" w:hAnsi="Times New Roman" w:cs="Times New Roman"/>
                <w:noProof/>
                <w:lang w:val="sk-SK"/>
              </w:rPr>
              <w:t>roky 2021 – 2025 prostredníctvom sekundárnych právnych predpisov</w:t>
            </w:r>
          </w:p>
        </w:tc>
      </w:tr>
      <w:tr w:rsidR="002D49B0" w:rsidRPr="00083739" w14:paraId="0CF8858B" w14:textId="77777777">
        <w:trPr>
          <w:trHeight w:val="309"/>
          <w:jc w:val="center"/>
        </w:trPr>
        <w:tc>
          <w:tcPr>
            <w:tcW w:w="1027" w:type="dxa"/>
            <w:tcBorders>
              <w:top w:val="nil"/>
              <w:left w:val="single" w:sz="4" w:space="0" w:color="auto"/>
              <w:bottom w:val="single" w:sz="4" w:space="0" w:color="auto"/>
              <w:right w:val="single" w:sz="4" w:space="0" w:color="auto"/>
            </w:tcBorders>
            <w:shd w:val="clear" w:color="auto" w:fill="C6EFCE"/>
            <w:noWrap/>
            <w:hideMark/>
          </w:tcPr>
          <w:p w14:paraId="1A824700" w14:textId="464F1E8A"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216</w:t>
            </w:r>
          </w:p>
        </w:tc>
        <w:tc>
          <w:tcPr>
            <w:tcW w:w="2146" w:type="dxa"/>
            <w:tcBorders>
              <w:top w:val="nil"/>
              <w:left w:val="nil"/>
              <w:bottom w:val="single" w:sz="4" w:space="0" w:color="auto"/>
              <w:right w:val="single" w:sz="4" w:space="0" w:color="auto"/>
            </w:tcBorders>
            <w:shd w:val="clear" w:color="auto" w:fill="C6EFCE"/>
            <w:noWrap/>
            <w:hideMark/>
          </w:tcPr>
          <w:p w14:paraId="12EA8692" w14:textId="0F721820"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13 – 4.2. Modernizácia verejnej správy,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to aj urýchlením realizácie verejných investícií, zlepšením rámca verejného obstarávania, opatreniami na budovanie kapacít</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bojom proti </w:t>
            </w:r>
            <w:r w:rsidRPr="00083739">
              <w:rPr>
                <w:rFonts w:ascii="Times New Roman" w:hAnsi="Times New Roman" w:cs="Times New Roman"/>
                <w:noProof/>
                <w:lang w:val="sk-SK"/>
              </w:rPr>
              <w:t>korupcii – 16711_Profesijná oblasť verejného obstarávania</w:t>
            </w:r>
          </w:p>
        </w:tc>
        <w:tc>
          <w:tcPr>
            <w:tcW w:w="1063" w:type="dxa"/>
            <w:tcBorders>
              <w:top w:val="nil"/>
              <w:left w:val="nil"/>
              <w:bottom w:val="single" w:sz="4" w:space="0" w:color="auto"/>
              <w:right w:val="single" w:sz="4" w:space="0" w:color="auto"/>
            </w:tcBorders>
            <w:shd w:val="clear" w:color="auto" w:fill="C6EFCE"/>
            <w:noWrap/>
            <w:hideMark/>
          </w:tcPr>
          <w:p w14:paraId="4A39520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712" w:type="dxa"/>
            <w:tcBorders>
              <w:top w:val="nil"/>
              <w:left w:val="nil"/>
              <w:bottom w:val="single" w:sz="4" w:space="0" w:color="auto"/>
              <w:right w:val="single" w:sz="4" w:space="0" w:color="auto"/>
            </w:tcBorders>
            <w:shd w:val="clear" w:color="auto" w:fill="C6EFCE"/>
            <w:noWrap/>
            <w:hideMark/>
          </w:tcPr>
          <w:p w14:paraId="140C98D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Profesionalizácia oblasti verejného obstarávania – nové právne predpisy</w:t>
            </w:r>
          </w:p>
        </w:tc>
        <w:tc>
          <w:tcPr>
            <w:tcW w:w="1552" w:type="dxa"/>
            <w:tcBorders>
              <w:top w:val="nil"/>
              <w:left w:val="nil"/>
              <w:bottom w:val="single" w:sz="4" w:space="0" w:color="auto"/>
              <w:right w:val="single" w:sz="4" w:space="0" w:color="auto"/>
            </w:tcBorders>
            <w:shd w:val="clear" w:color="auto" w:fill="C6EFCE"/>
            <w:noWrap/>
            <w:hideMark/>
          </w:tcPr>
          <w:p w14:paraId="4250D9E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Nadobudli účinnosť nové právne predpisy; dokončená hĺbková štúdia</w:t>
            </w:r>
          </w:p>
        </w:tc>
        <w:tc>
          <w:tcPr>
            <w:tcW w:w="1126" w:type="dxa"/>
            <w:tcBorders>
              <w:top w:val="nil"/>
              <w:left w:val="nil"/>
              <w:bottom w:val="single" w:sz="4" w:space="0" w:color="auto"/>
              <w:right w:val="single" w:sz="4" w:space="0" w:color="auto"/>
            </w:tcBorders>
            <w:shd w:val="clear" w:color="auto" w:fill="C6EFCE"/>
            <w:noWrap/>
            <w:hideMark/>
          </w:tcPr>
          <w:p w14:paraId="32C3822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 </w:t>
            </w:r>
          </w:p>
        </w:tc>
        <w:tc>
          <w:tcPr>
            <w:tcW w:w="1003" w:type="dxa"/>
            <w:tcBorders>
              <w:top w:val="nil"/>
              <w:left w:val="nil"/>
              <w:bottom w:val="single" w:sz="4" w:space="0" w:color="auto"/>
              <w:right w:val="single" w:sz="4" w:space="0" w:color="auto"/>
            </w:tcBorders>
            <w:shd w:val="clear" w:color="auto" w:fill="C6EFCE"/>
            <w:noWrap/>
            <w:hideMark/>
          </w:tcPr>
          <w:p w14:paraId="1164DDD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 </w:t>
            </w:r>
          </w:p>
        </w:tc>
        <w:tc>
          <w:tcPr>
            <w:tcW w:w="876" w:type="dxa"/>
            <w:tcBorders>
              <w:top w:val="nil"/>
              <w:left w:val="nil"/>
              <w:bottom w:val="single" w:sz="4" w:space="0" w:color="auto"/>
              <w:right w:val="single" w:sz="4" w:space="0" w:color="auto"/>
            </w:tcBorders>
            <w:shd w:val="clear" w:color="auto" w:fill="C6EFCE"/>
            <w:noWrap/>
            <w:hideMark/>
          </w:tcPr>
          <w:p w14:paraId="659F92D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 </w:t>
            </w:r>
          </w:p>
        </w:tc>
        <w:tc>
          <w:tcPr>
            <w:tcW w:w="846" w:type="dxa"/>
            <w:tcBorders>
              <w:top w:val="nil"/>
              <w:left w:val="nil"/>
              <w:bottom w:val="single" w:sz="4" w:space="0" w:color="auto"/>
              <w:right w:val="single" w:sz="4" w:space="0" w:color="auto"/>
            </w:tcBorders>
            <w:shd w:val="clear" w:color="auto" w:fill="C6EFCE"/>
            <w:noWrap/>
            <w:hideMark/>
          </w:tcPr>
          <w:p w14:paraId="35D1271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673" w:type="dxa"/>
            <w:tcBorders>
              <w:top w:val="nil"/>
              <w:left w:val="nil"/>
              <w:bottom w:val="single" w:sz="4" w:space="0" w:color="auto"/>
              <w:right w:val="single" w:sz="4" w:space="0" w:color="auto"/>
            </w:tcBorders>
            <w:shd w:val="clear" w:color="auto" w:fill="C6EFCE"/>
            <w:noWrap/>
            <w:hideMark/>
          </w:tcPr>
          <w:p w14:paraId="33D6315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2024</w:t>
            </w:r>
          </w:p>
        </w:tc>
        <w:tc>
          <w:tcPr>
            <w:tcW w:w="3847" w:type="dxa"/>
            <w:tcBorders>
              <w:top w:val="nil"/>
              <w:left w:val="nil"/>
              <w:bottom w:val="single" w:sz="4" w:space="0" w:color="auto"/>
              <w:right w:val="single" w:sz="4" w:space="0" w:color="auto"/>
            </w:tcBorders>
            <w:shd w:val="clear" w:color="auto" w:fill="C6EFCE"/>
            <w:noWrap/>
            <w:hideMark/>
          </w:tcPr>
          <w:p w14:paraId="3B2EC997" w14:textId="2ED86C3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I) Nadobudnutie účinnosti </w:t>
            </w:r>
            <w:r w:rsidRPr="00083739">
              <w:rPr>
                <w:rFonts w:ascii="Times New Roman" w:hAnsi="Times New Roman" w:cs="Times New Roman"/>
                <w:noProof/>
                <w:lang w:val="sk-SK"/>
              </w:rPr>
              <w:t>nových právnych predpisov, ktorými sa stanovujú profesionálne pracovné toky pre zamestnancov zaoberajúcich sa verejným obstarávaním, osobitné skupiny zručností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prijatie finančných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nefinančných stimulov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plnom súlade</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jednotnou mzdovou tabuľkou (zákon</w:t>
            </w:r>
            <w:r w:rsidRPr="00083739">
              <w:rPr>
                <w:rFonts w:ascii="Times New Roman" w:hAnsi="Times New Roman" w:cs="Times New Roman"/>
                <w:noProof/>
                <w:lang w:val="sk-SK"/>
              </w:rPr>
              <w:t xml:space="preserve"> č. 4354/2015) bez stanovenia akejkoľvek výnimky. Prijatie finančných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nefinančných stimulov môže mať oneskorené nadobudnutie účinnosti; II) Dokončenie hĺbkovej štúdie zameranej na reorganizáciu štruktúry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povinností Generálneho riaditeľstva pre verejné </w:t>
            </w:r>
            <w:r w:rsidRPr="00083739">
              <w:rPr>
                <w:rFonts w:ascii="Times New Roman" w:hAnsi="Times New Roman" w:cs="Times New Roman"/>
                <w:noProof/>
                <w:lang w:val="sk-SK"/>
              </w:rPr>
              <w:t>obstarávanie ministerstva rozvoja zodpovedného za vykonávanie centralizovaných postupov verejného obstarávania na vnútroštátnej úrovni.</w:t>
            </w:r>
          </w:p>
        </w:tc>
      </w:tr>
      <w:tr w:rsidR="002D49B0" w:rsidRPr="00083739" w14:paraId="61020C0A" w14:textId="77777777">
        <w:trPr>
          <w:trHeight w:val="309"/>
          <w:jc w:val="center"/>
        </w:trPr>
        <w:tc>
          <w:tcPr>
            <w:tcW w:w="1027" w:type="dxa"/>
            <w:tcBorders>
              <w:top w:val="nil"/>
              <w:left w:val="single" w:sz="4" w:space="0" w:color="auto"/>
              <w:bottom w:val="single" w:sz="4" w:space="0" w:color="auto"/>
              <w:right w:val="single" w:sz="4" w:space="0" w:color="auto"/>
            </w:tcBorders>
            <w:shd w:val="clear" w:color="auto" w:fill="C6EFCE"/>
            <w:noWrap/>
            <w:hideMark/>
          </w:tcPr>
          <w:p w14:paraId="3527D740" w14:textId="64536906"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217</w:t>
            </w:r>
          </w:p>
        </w:tc>
        <w:tc>
          <w:tcPr>
            <w:tcW w:w="2146" w:type="dxa"/>
            <w:tcBorders>
              <w:top w:val="nil"/>
              <w:left w:val="nil"/>
              <w:bottom w:val="single" w:sz="4" w:space="0" w:color="auto"/>
              <w:right w:val="single" w:sz="4" w:space="0" w:color="auto"/>
            </w:tcBorders>
            <w:shd w:val="clear" w:color="auto" w:fill="C6EFCE"/>
            <w:noWrap/>
            <w:hideMark/>
          </w:tcPr>
          <w:p w14:paraId="54797D1A" w14:textId="2772E3B4"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13 – 4.2. Modernizácia verejnej správy,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to aj urýchlením realizácie verejných investícií, zlepšením rámca </w:t>
            </w:r>
            <w:r w:rsidRPr="00083739">
              <w:rPr>
                <w:rFonts w:ascii="Times New Roman" w:hAnsi="Times New Roman" w:cs="Times New Roman"/>
                <w:noProof/>
                <w:lang w:val="sk-SK"/>
              </w:rPr>
              <w:t>verejného obstarávania, opatreniami na budovanie kapacít</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bojom proti korupcii – 16940_Modernizovať grécky fond pre vklady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úvery </w:t>
            </w:r>
          </w:p>
        </w:tc>
        <w:tc>
          <w:tcPr>
            <w:tcW w:w="1063" w:type="dxa"/>
            <w:tcBorders>
              <w:top w:val="nil"/>
              <w:left w:val="nil"/>
              <w:bottom w:val="single" w:sz="4" w:space="0" w:color="auto"/>
              <w:right w:val="single" w:sz="4" w:space="0" w:color="auto"/>
            </w:tcBorders>
            <w:shd w:val="clear" w:color="auto" w:fill="C6EFCE"/>
            <w:noWrap/>
            <w:hideMark/>
          </w:tcPr>
          <w:p w14:paraId="53C139E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712" w:type="dxa"/>
            <w:tcBorders>
              <w:top w:val="nil"/>
              <w:left w:val="nil"/>
              <w:bottom w:val="single" w:sz="4" w:space="0" w:color="auto"/>
              <w:right w:val="single" w:sz="4" w:space="0" w:color="auto"/>
            </w:tcBorders>
            <w:shd w:val="clear" w:color="auto" w:fill="C6EFCE"/>
            <w:noWrap/>
            <w:hideMark/>
          </w:tcPr>
          <w:p w14:paraId="36D6CBCD" w14:textId="0508B974"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všetkých čiastkových projektov Helénskeho fondu pre vklady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úvery</w:t>
            </w:r>
          </w:p>
        </w:tc>
        <w:tc>
          <w:tcPr>
            <w:tcW w:w="1552" w:type="dxa"/>
            <w:tcBorders>
              <w:top w:val="nil"/>
              <w:left w:val="nil"/>
              <w:bottom w:val="single" w:sz="4" w:space="0" w:color="auto"/>
              <w:right w:val="single" w:sz="4" w:space="0" w:color="auto"/>
            </w:tcBorders>
            <w:shd w:val="clear" w:color="auto" w:fill="C6EFCE"/>
            <w:noWrap/>
            <w:hideMark/>
          </w:tcPr>
          <w:p w14:paraId="6955477E" w14:textId="57D7DE7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Správa Helénskeho fondu pre zálohové</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úverové vklady,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ktorej sa potvrdzuje dokončenie čiastkových projektov.</w:t>
            </w:r>
          </w:p>
        </w:tc>
        <w:tc>
          <w:tcPr>
            <w:tcW w:w="1126" w:type="dxa"/>
            <w:tcBorders>
              <w:top w:val="nil"/>
              <w:left w:val="nil"/>
              <w:bottom w:val="single" w:sz="4" w:space="0" w:color="auto"/>
              <w:right w:val="single" w:sz="4" w:space="0" w:color="auto"/>
            </w:tcBorders>
            <w:shd w:val="clear" w:color="auto" w:fill="C6EFCE"/>
            <w:noWrap/>
            <w:hideMark/>
          </w:tcPr>
          <w:p w14:paraId="07A4ACAE"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03" w:type="dxa"/>
            <w:tcBorders>
              <w:top w:val="nil"/>
              <w:left w:val="nil"/>
              <w:bottom w:val="single" w:sz="4" w:space="0" w:color="auto"/>
              <w:right w:val="single" w:sz="4" w:space="0" w:color="auto"/>
            </w:tcBorders>
            <w:shd w:val="clear" w:color="auto" w:fill="C6EFCE"/>
            <w:noWrap/>
            <w:hideMark/>
          </w:tcPr>
          <w:p w14:paraId="5381450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 </w:t>
            </w:r>
          </w:p>
        </w:tc>
        <w:tc>
          <w:tcPr>
            <w:tcW w:w="876" w:type="dxa"/>
            <w:tcBorders>
              <w:top w:val="nil"/>
              <w:left w:val="nil"/>
              <w:bottom w:val="single" w:sz="4" w:space="0" w:color="auto"/>
              <w:right w:val="single" w:sz="4" w:space="0" w:color="auto"/>
            </w:tcBorders>
            <w:shd w:val="clear" w:color="auto" w:fill="C6EFCE"/>
            <w:noWrap/>
            <w:hideMark/>
          </w:tcPr>
          <w:p w14:paraId="2141479A"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6" w:type="dxa"/>
            <w:tcBorders>
              <w:top w:val="nil"/>
              <w:left w:val="nil"/>
              <w:bottom w:val="single" w:sz="4" w:space="0" w:color="auto"/>
              <w:right w:val="single" w:sz="4" w:space="0" w:color="auto"/>
            </w:tcBorders>
            <w:shd w:val="clear" w:color="auto" w:fill="C6EFCE"/>
            <w:noWrap/>
            <w:hideMark/>
          </w:tcPr>
          <w:p w14:paraId="6064ABA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673" w:type="dxa"/>
            <w:tcBorders>
              <w:top w:val="nil"/>
              <w:left w:val="nil"/>
              <w:bottom w:val="single" w:sz="4" w:space="0" w:color="auto"/>
              <w:right w:val="single" w:sz="4" w:space="0" w:color="auto"/>
            </w:tcBorders>
            <w:shd w:val="clear" w:color="auto" w:fill="C6EFCE"/>
            <w:noWrap/>
            <w:hideMark/>
          </w:tcPr>
          <w:p w14:paraId="111ABF5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3847" w:type="dxa"/>
            <w:tcBorders>
              <w:top w:val="nil"/>
              <w:left w:val="nil"/>
              <w:bottom w:val="single" w:sz="4" w:space="0" w:color="auto"/>
              <w:right w:val="single" w:sz="4" w:space="0" w:color="auto"/>
            </w:tcBorders>
            <w:shd w:val="clear" w:color="auto" w:fill="C6EFCE"/>
            <w:noWrap/>
            <w:hideMark/>
          </w:tcPr>
          <w:p w14:paraId="4A2AA4D3" w14:textId="38A14B68"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všetkých čiastkových projektov Helénskeho fondu vkladov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úverov na zásielky: I) digitalizácia archívu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systém správy dokumentov; II) integrovan</w:t>
            </w:r>
            <w:r w:rsidRPr="00083739">
              <w:rPr>
                <w:rFonts w:ascii="Times New Roman" w:hAnsi="Times New Roman" w:cs="Times New Roman"/>
                <w:noProof/>
                <w:lang w:val="sk-SK"/>
              </w:rPr>
              <w:t>ý informačný systém; III) Informačný systém ERP; IV) riadené tlačiarenské služby; v) Systém riadenia ľudských zdrojov.</w:t>
            </w:r>
          </w:p>
        </w:tc>
      </w:tr>
      <w:tr w:rsidR="002D49B0" w:rsidRPr="00083739" w14:paraId="0146CC1B" w14:textId="77777777">
        <w:trPr>
          <w:trHeight w:val="309"/>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hideMark/>
          </w:tcPr>
          <w:p w14:paraId="2694D039" w14:textId="6EF103A9"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218</w:t>
            </w:r>
          </w:p>
        </w:tc>
        <w:tc>
          <w:tcPr>
            <w:tcW w:w="2146" w:type="dxa"/>
            <w:tcBorders>
              <w:top w:val="single" w:sz="4" w:space="0" w:color="auto"/>
              <w:left w:val="single" w:sz="4" w:space="0" w:color="auto"/>
              <w:bottom w:val="single" w:sz="4" w:space="0" w:color="auto"/>
              <w:right w:val="single" w:sz="4" w:space="0" w:color="auto"/>
            </w:tcBorders>
            <w:shd w:val="clear" w:color="auto" w:fill="C6EFCE"/>
            <w:noWrap/>
            <w:hideMark/>
          </w:tcPr>
          <w:p w14:paraId="3604E676" w14:textId="18498D56"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13 – 4.2. Modernizácia verejnej správy,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to aj urýchlením realizácie verejných investícií, zlepšením rámca verejného obstarávania, </w:t>
            </w:r>
            <w:r w:rsidRPr="00083739">
              <w:rPr>
                <w:rFonts w:ascii="Times New Roman" w:hAnsi="Times New Roman" w:cs="Times New Roman"/>
                <w:noProof/>
                <w:lang w:val="sk-SK"/>
              </w:rPr>
              <w:t>opatreniami na budovanie kapacít</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bojom proti korupcii – 16711_Profesijná oblasť verejného obstarávania</w:t>
            </w:r>
          </w:p>
        </w:tc>
        <w:tc>
          <w:tcPr>
            <w:tcW w:w="1063" w:type="dxa"/>
            <w:tcBorders>
              <w:top w:val="single" w:sz="4" w:space="0" w:color="auto"/>
              <w:left w:val="single" w:sz="4" w:space="0" w:color="auto"/>
              <w:bottom w:val="single" w:sz="4" w:space="0" w:color="auto"/>
              <w:right w:val="single" w:sz="4" w:space="0" w:color="auto"/>
            </w:tcBorders>
            <w:shd w:val="clear" w:color="auto" w:fill="C6EFCE"/>
            <w:noWrap/>
            <w:hideMark/>
          </w:tcPr>
          <w:p w14:paraId="750A08D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712" w:type="dxa"/>
            <w:tcBorders>
              <w:top w:val="single" w:sz="4" w:space="0" w:color="auto"/>
              <w:left w:val="single" w:sz="4" w:space="0" w:color="auto"/>
              <w:bottom w:val="single" w:sz="4" w:space="0" w:color="auto"/>
              <w:right w:val="single" w:sz="4" w:space="0" w:color="auto"/>
            </w:tcBorders>
            <w:shd w:val="clear" w:color="auto" w:fill="C6EFCE"/>
            <w:noWrap/>
            <w:hideMark/>
          </w:tcPr>
          <w:p w14:paraId="1D02275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Vykonávanie národnej stratégie verejného obstarávania na roky 2021 – 2025</w:t>
            </w:r>
          </w:p>
        </w:tc>
        <w:tc>
          <w:tcPr>
            <w:tcW w:w="1552" w:type="dxa"/>
            <w:tcBorders>
              <w:top w:val="single" w:sz="4" w:space="0" w:color="auto"/>
              <w:left w:val="single" w:sz="4" w:space="0" w:color="auto"/>
              <w:bottom w:val="single" w:sz="4" w:space="0" w:color="auto"/>
              <w:right w:val="single" w:sz="4" w:space="0" w:color="auto"/>
            </w:tcBorders>
            <w:shd w:val="clear" w:color="auto" w:fill="C6EFCE"/>
            <w:noWrap/>
            <w:hideMark/>
          </w:tcPr>
          <w:p w14:paraId="76AC7C4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Plne implementovaná vnútroštátna stratégia verejného obstarávania</w:t>
            </w:r>
          </w:p>
        </w:tc>
        <w:tc>
          <w:tcPr>
            <w:tcW w:w="1126" w:type="dxa"/>
            <w:tcBorders>
              <w:top w:val="single" w:sz="4" w:space="0" w:color="auto"/>
              <w:left w:val="single" w:sz="4" w:space="0" w:color="auto"/>
              <w:bottom w:val="single" w:sz="4" w:space="0" w:color="auto"/>
              <w:right w:val="single" w:sz="4" w:space="0" w:color="auto"/>
            </w:tcBorders>
            <w:shd w:val="clear" w:color="auto" w:fill="C6EFCE"/>
            <w:noWrap/>
            <w:hideMark/>
          </w:tcPr>
          <w:p w14:paraId="5228FF7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 </w:t>
            </w:r>
          </w:p>
        </w:tc>
        <w:tc>
          <w:tcPr>
            <w:tcW w:w="1003" w:type="dxa"/>
            <w:tcBorders>
              <w:top w:val="single" w:sz="4" w:space="0" w:color="auto"/>
              <w:left w:val="single" w:sz="4" w:space="0" w:color="auto"/>
              <w:bottom w:val="single" w:sz="4" w:space="0" w:color="auto"/>
              <w:right w:val="single" w:sz="4" w:space="0" w:color="auto"/>
            </w:tcBorders>
            <w:shd w:val="clear" w:color="auto" w:fill="C6EFCE"/>
            <w:noWrap/>
            <w:hideMark/>
          </w:tcPr>
          <w:p w14:paraId="09DE721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 </w:t>
            </w:r>
          </w:p>
        </w:tc>
        <w:tc>
          <w:tcPr>
            <w:tcW w:w="876" w:type="dxa"/>
            <w:tcBorders>
              <w:top w:val="single" w:sz="4" w:space="0" w:color="auto"/>
              <w:left w:val="single" w:sz="4" w:space="0" w:color="auto"/>
              <w:bottom w:val="single" w:sz="4" w:space="0" w:color="auto"/>
              <w:right w:val="single" w:sz="4" w:space="0" w:color="auto"/>
            </w:tcBorders>
            <w:shd w:val="clear" w:color="auto" w:fill="C6EFCE"/>
            <w:noWrap/>
            <w:hideMark/>
          </w:tcPr>
          <w:p w14:paraId="35CBDD1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 </w:t>
            </w:r>
          </w:p>
        </w:tc>
        <w:tc>
          <w:tcPr>
            <w:tcW w:w="846" w:type="dxa"/>
            <w:tcBorders>
              <w:top w:val="single" w:sz="4" w:space="0" w:color="auto"/>
              <w:left w:val="single" w:sz="4" w:space="0" w:color="auto"/>
              <w:bottom w:val="single" w:sz="4" w:space="0" w:color="auto"/>
              <w:right w:val="single" w:sz="4" w:space="0" w:color="auto"/>
            </w:tcBorders>
            <w:shd w:val="clear" w:color="auto" w:fill="C6EFCE"/>
            <w:noWrap/>
            <w:hideMark/>
          </w:tcPr>
          <w:p w14:paraId="68ED4AB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673" w:type="dxa"/>
            <w:tcBorders>
              <w:top w:val="single" w:sz="4" w:space="0" w:color="auto"/>
              <w:left w:val="single" w:sz="4" w:space="0" w:color="auto"/>
              <w:bottom w:val="single" w:sz="4" w:space="0" w:color="auto"/>
              <w:right w:val="single" w:sz="4" w:space="0" w:color="auto"/>
            </w:tcBorders>
            <w:shd w:val="clear" w:color="auto" w:fill="C6EFCE"/>
            <w:noWrap/>
            <w:hideMark/>
          </w:tcPr>
          <w:p w14:paraId="7258316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3847" w:type="dxa"/>
            <w:tcBorders>
              <w:top w:val="single" w:sz="4" w:space="0" w:color="auto"/>
              <w:left w:val="single" w:sz="4" w:space="0" w:color="auto"/>
              <w:bottom w:val="single" w:sz="4" w:space="0" w:color="auto"/>
              <w:right w:val="single" w:sz="4" w:space="0" w:color="auto"/>
            </w:tcBorders>
            <w:shd w:val="clear" w:color="auto" w:fill="C6EFCE"/>
            <w:noWrap/>
            <w:hideMark/>
          </w:tcPr>
          <w:p w14:paraId="3C6B73D0" w14:textId="72F4F524"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Vykonávanie národnej stratégie verejného obstarávania vrátane: I) reforma regulačného rámca pre verejné obstarávanie; II) digitálna transformácia oblasti verejného obstarávania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plne elektronického obstarávania; III) dosahovanie šir</w:t>
            </w:r>
            <w:r w:rsidRPr="00083739">
              <w:rPr>
                <w:rFonts w:ascii="Times New Roman" w:hAnsi="Times New Roman" w:cs="Times New Roman"/>
                <w:noProof/>
                <w:lang w:val="sk-SK"/>
              </w:rPr>
              <w:t>ších strategických cieľov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politických iniciatív; IV) reforma rámca riadenia verejného obstarávania.</w:t>
            </w:r>
          </w:p>
        </w:tc>
      </w:tr>
      <w:tr w:rsidR="002D49B0" w:rsidRPr="00083739" w14:paraId="46CB1F7C" w14:textId="77777777">
        <w:trPr>
          <w:trHeight w:val="309"/>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1410DD9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219</w:t>
            </w:r>
          </w:p>
        </w:tc>
        <w:tc>
          <w:tcPr>
            <w:tcW w:w="2146" w:type="dxa"/>
            <w:tcBorders>
              <w:top w:val="single" w:sz="4" w:space="0" w:color="auto"/>
              <w:left w:val="nil"/>
              <w:bottom w:val="single" w:sz="4" w:space="0" w:color="auto"/>
              <w:right w:val="single" w:sz="4" w:space="0" w:color="auto"/>
            </w:tcBorders>
            <w:shd w:val="clear" w:color="auto" w:fill="C6EFCE"/>
            <w:noWrap/>
          </w:tcPr>
          <w:p w14:paraId="66126D2E" w14:textId="70F383A4"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13 – 4.2. Modernizácia verejnej správy,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to aj urýchlením realizácie verejných investícií, zlepšením rámca verejného obstarávania, opatreniami na </w:t>
            </w:r>
            <w:r w:rsidRPr="00083739">
              <w:rPr>
                <w:rFonts w:ascii="Times New Roman" w:hAnsi="Times New Roman" w:cs="Times New Roman"/>
                <w:noProof/>
                <w:lang w:val="sk-SK"/>
              </w:rPr>
              <w:t>budovanie kapacít</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bojom proti korupcii – 16974_Reforma účtovníctva</w:t>
            </w:r>
          </w:p>
        </w:tc>
        <w:tc>
          <w:tcPr>
            <w:tcW w:w="1063" w:type="dxa"/>
            <w:tcBorders>
              <w:top w:val="single" w:sz="4" w:space="0" w:color="auto"/>
              <w:left w:val="nil"/>
              <w:bottom w:val="single" w:sz="4" w:space="0" w:color="auto"/>
              <w:right w:val="single" w:sz="4" w:space="0" w:color="auto"/>
            </w:tcBorders>
            <w:shd w:val="clear" w:color="auto" w:fill="C6EFCE"/>
            <w:noWrap/>
          </w:tcPr>
          <w:p w14:paraId="6BF37C4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712" w:type="dxa"/>
            <w:tcBorders>
              <w:top w:val="single" w:sz="4" w:space="0" w:color="auto"/>
              <w:left w:val="nil"/>
              <w:bottom w:val="single" w:sz="4" w:space="0" w:color="auto"/>
              <w:right w:val="single" w:sz="4" w:space="0" w:color="auto"/>
            </w:tcBorders>
            <w:shd w:val="clear" w:color="auto" w:fill="C6EFCE"/>
            <w:noWrap/>
          </w:tcPr>
          <w:p w14:paraId="76F47E6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Reforma účtovníctva:</w:t>
            </w:r>
          </w:p>
          <w:p w14:paraId="1CA2D72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Konsolidované finančné výkazy</w:t>
            </w:r>
          </w:p>
        </w:tc>
        <w:tc>
          <w:tcPr>
            <w:tcW w:w="1552" w:type="dxa"/>
            <w:tcBorders>
              <w:top w:val="single" w:sz="4" w:space="0" w:color="auto"/>
              <w:left w:val="nil"/>
              <w:bottom w:val="single" w:sz="4" w:space="0" w:color="auto"/>
              <w:right w:val="single" w:sz="4" w:space="0" w:color="auto"/>
            </w:tcBorders>
            <w:shd w:val="clear" w:color="auto" w:fill="C6EFCE"/>
            <w:noWrap/>
          </w:tcPr>
          <w:p w14:paraId="2E254FA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Zostavovanie dokončených konsolidovaných účtovných závierok.</w:t>
            </w:r>
          </w:p>
        </w:tc>
        <w:tc>
          <w:tcPr>
            <w:tcW w:w="1126" w:type="dxa"/>
            <w:tcBorders>
              <w:top w:val="single" w:sz="4" w:space="0" w:color="auto"/>
              <w:left w:val="nil"/>
              <w:bottom w:val="single" w:sz="4" w:space="0" w:color="auto"/>
              <w:right w:val="single" w:sz="4" w:space="0" w:color="auto"/>
            </w:tcBorders>
            <w:shd w:val="clear" w:color="auto" w:fill="C6EFCE"/>
            <w:noWrap/>
          </w:tcPr>
          <w:p w14:paraId="686EB5DA"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03" w:type="dxa"/>
            <w:tcBorders>
              <w:top w:val="single" w:sz="4" w:space="0" w:color="auto"/>
              <w:left w:val="nil"/>
              <w:bottom w:val="single" w:sz="4" w:space="0" w:color="auto"/>
              <w:right w:val="single" w:sz="4" w:space="0" w:color="auto"/>
            </w:tcBorders>
            <w:shd w:val="clear" w:color="auto" w:fill="C6EFCE"/>
            <w:noWrap/>
          </w:tcPr>
          <w:p w14:paraId="7A435EC2"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76" w:type="dxa"/>
            <w:tcBorders>
              <w:top w:val="single" w:sz="4" w:space="0" w:color="auto"/>
              <w:left w:val="nil"/>
              <w:bottom w:val="single" w:sz="4" w:space="0" w:color="auto"/>
              <w:right w:val="single" w:sz="4" w:space="0" w:color="auto"/>
            </w:tcBorders>
            <w:shd w:val="clear" w:color="auto" w:fill="C6EFCE"/>
            <w:noWrap/>
          </w:tcPr>
          <w:p w14:paraId="05972E45"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6" w:type="dxa"/>
            <w:tcBorders>
              <w:top w:val="single" w:sz="4" w:space="0" w:color="auto"/>
              <w:left w:val="nil"/>
              <w:bottom w:val="single" w:sz="4" w:space="0" w:color="auto"/>
              <w:right w:val="single" w:sz="4" w:space="0" w:color="auto"/>
            </w:tcBorders>
            <w:shd w:val="clear" w:color="auto" w:fill="C6EFCE"/>
            <w:noWrap/>
          </w:tcPr>
          <w:p w14:paraId="13D6AED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673" w:type="dxa"/>
            <w:tcBorders>
              <w:top w:val="single" w:sz="4" w:space="0" w:color="auto"/>
              <w:left w:val="nil"/>
              <w:bottom w:val="single" w:sz="4" w:space="0" w:color="auto"/>
              <w:right w:val="single" w:sz="4" w:space="0" w:color="auto"/>
            </w:tcBorders>
            <w:shd w:val="clear" w:color="auto" w:fill="C6EFCE"/>
            <w:noWrap/>
          </w:tcPr>
          <w:p w14:paraId="2DFF04B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3847" w:type="dxa"/>
            <w:tcBorders>
              <w:top w:val="single" w:sz="4" w:space="0" w:color="auto"/>
              <w:left w:val="nil"/>
              <w:bottom w:val="single" w:sz="4" w:space="0" w:color="auto"/>
              <w:right w:val="single" w:sz="4" w:space="0" w:color="auto"/>
            </w:tcBorders>
            <w:shd w:val="clear" w:color="auto" w:fill="C6EFCE"/>
            <w:noWrap/>
          </w:tcPr>
          <w:p w14:paraId="2B63BAD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Zostavovanie konsolidovaných účtovných </w:t>
            </w:r>
            <w:r w:rsidRPr="00083739">
              <w:rPr>
                <w:rFonts w:ascii="Times New Roman" w:hAnsi="Times New Roman" w:cs="Times New Roman"/>
                <w:noProof/>
                <w:lang w:val="sk-SK"/>
              </w:rPr>
              <w:t>závierok za všetky subsektory verejnej správy vrátane miestnych samospráv.</w:t>
            </w:r>
          </w:p>
          <w:p w14:paraId="69252D38" w14:textId="77777777"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Na dosiahnutie týchto výsledkov sú potrebné tieto opatrenia</w:t>
            </w:r>
            <w:r w:rsidR="00083739" w:rsidRPr="00083739">
              <w:rPr>
                <w:rFonts w:ascii="Times New Roman" w:hAnsi="Times New Roman" w:cs="Times New Roman"/>
                <w:noProof/>
                <w:lang w:val="sk-SK"/>
              </w:rPr>
              <w:t>:</w:t>
            </w:r>
          </w:p>
          <w:p w14:paraId="7CB8E218" w14:textId="3CF7785B" w:rsidR="002D49B0" w:rsidRPr="00083739" w:rsidRDefault="00BF4125">
            <w:pPr>
              <w:pStyle w:val="P68B1DB1-Normal9"/>
              <w:numPr>
                <w:ilvl w:val="0"/>
                <w:numId w:val="46"/>
              </w:numPr>
              <w:spacing w:before="120" w:after="0" w:line="259" w:lineRule="auto"/>
              <w:ind w:left="229" w:hanging="229"/>
              <w:contextualSpacing/>
              <w:jc w:val="both"/>
              <w:rPr>
                <w:rFonts w:ascii="Times New Roman" w:hAnsi="Times New Roman" w:cs="Times New Roman"/>
                <w:noProof/>
                <w:lang w:val="sk-SK"/>
              </w:rPr>
            </w:pPr>
            <w:r w:rsidRPr="00083739">
              <w:rPr>
                <w:rFonts w:ascii="Times New Roman" w:hAnsi="Times New Roman" w:cs="Times New Roman"/>
                <w:noProof/>
                <w:lang w:val="sk-SK"/>
              </w:rPr>
              <w:t>Návrh, vykonávanie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fungovanie fiškálneho</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finančného riadenia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funkcie podávania správ ústrednej správy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zhromažďovanie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monitorovanie fiškálnych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finančných údajov všetkých ostatných subjektov verejnej správy mimo ústrednej správy, ktoré vydali finančné výkazy.</w:t>
            </w:r>
          </w:p>
          <w:p w14:paraId="5BC69BC4" w14:textId="5FC324E5" w:rsidR="002D49B0" w:rsidRPr="00083739" w:rsidRDefault="00BF4125">
            <w:pPr>
              <w:pStyle w:val="P68B1DB1-Normal9"/>
              <w:numPr>
                <w:ilvl w:val="0"/>
                <w:numId w:val="46"/>
              </w:numPr>
              <w:spacing w:before="120" w:after="0" w:line="259" w:lineRule="auto"/>
              <w:ind w:left="229" w:hanging="229"/>
              <w:contextualSpacing/>
              <w:jc w:val="both"/>
              <w:rPr>
                <w:rFonts w:ascii="Times New Roman" w:eastAsia="Times New Roman" w:hAnsi="Times New Roman" w:cs="Times New Roman"/>
                <w:noProof/>
                <w:szCs w:val="18"/>
                <w:lang w:val="sk-SK"/>
              </w:rPr>
            </w:pPr>
            <w:r w:rsidRPr="00083739">
              <w:rPr>
                <w:rFonts w:ascii="Times New Roman" w:hAnsi="Times New Roman" w:cs="Times New Roman"/>
                <w:noProof/>
                <w:lang w:val="sk-SK"/>
              </w:rPr>
              <w:t>Uviesť faktúru</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GOV-ERP</w:t>
            </w:r>
          </w:p>
          <w:p w14:paraId="6D52A184" w14:textId="7C8E880D" w:rsidR="002D49B0" w:rsidRPr="00083739" w:rsidRDefault="00BF4125">
            <w:pPr>
              <w:pStyle w:val="P68B1DB1-Normal9"/>
              <w:numPr>
                <w:ilvl w:val="0"/>
                <w:numId w:val="46"/>
              </w:numPr>
              <w:spacing w:before="120" w:after="0" w:line="259" w:lineRule="auto"/>
              <w:ind w:left="229" w:hanging="229"/>
              <w:contextualSpacing/>
              <w:jc w:val="both"/>
              <w:rPr>
                <w:rFonts w:ascii="Times New Roman" w:eastAsia="Times New Roman" w:hAnsi="Times New Roman" w:cs="Times New Roman"/>
                <w:noProof/>
                <w:szCs w:val="18"/>
                <w:lang w:val="sk-SK"/>
              </w:rPr>
            </w:pPr>
            <w:r w:rsidRPr="00083739">
              <w:rPr>
                <w:rFonts w:ascii="Times New Roman" w:hAnsi="Times New Roman" w:cs="Times New Roman"/>
                <w:noProof/>
                <w:lang w:val="sk-SK"/>
              </w:rPr>
              <w:t>Odborná príprava úradníkov subjektov finančných služieb</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otázkach týka</w:t>
            </w:r>
            <w:r w:rsidRPr="00083739">
              <w:rPr>
                <w:rFonts w:ascii="Times New Roman" w:hAnsi="Times New Roman" w:cs="Times New Roman"/>
                <w:noProof/>
                <w:lang w:val="sk-SK"/>
              </w:rPr>
              <w:t>júcich sa účtovného rámca verejnej správy (GGAF)</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riadenia verejných financií (PFM)</w:t>
            </w:r>
          </w:p>
          <w:p w14:paraId="160B33B3" w14:textId="77777777" w:rsidR="002D49B0" w:rsidRPr="00083739" w:rsidRDefault="00BF4125">
            <w:pPr>
              <w:pStyle w:val="P68B1DB1-Normal9"/>
              <w:numPr>
                <w:ilvl w:val="0"/>
                <w:numId w:val="46"/>
              </w:numPr>
              <w:spacing w:before="120" w:after="0" w:line="259" w:lineRule="auto"/>
              <w:ind w:left="229" w:hanging="229"/>
              <w:contextualSpacing/>
              <w:jc w:val="both"/>
              <w:rPr>
                <w:rFonts w:ascii="Times New Roman" w:eastAsia="Times New Roman" w:hAnsi="Times New Roman" w:cs="Times New Roman"/>
                <w:noProof/>
                <w:szCs w:val="18"/>
                <w:lang w:val="sk-SK"/>
              </w:rPr>
            </w:pPr>
            <w:r w:rsidRPr="00083739">
              <w:rPr>
                <w:rFonts w:ascii="Times New Roman" w:hAnsi="Times New Roman" w:cs="Times New Roman"/>
                <w:noProof/>
                <w:lang w:val="sk-SK"/>
              </w:rPr>
              <w:t>Zostavovať konsolidovanú účtovnú závierku.</w:t>
            </w:r>
          </w:p>
        </w:tc>
      </w:tr>
      <w:tr w:rsidR="002D49B0" w:rsidRPr="00083739" w14:paraId="780D1B02" w14:textId="77777777">
        <w:trPr>
          <w:trHeight w:val="309"/>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7983C07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220</w:t>
            </w:r>
          </w:p>
        </w:tc>
        <w:tc>
          <w:tcPr>
            <w:tcW w:w="2146" w:type="dxa"/>
            <w:tcBorders>
              <w:top w:val="single" w:sz="4" w:space="0" w:color="auto"/>
              <w:left w:val="nil"/>
              <w:bottom w:val="single" w:sz="4" w:space="0" w:color="auto"/>
              <w:right w:val="single" w:sz="4" w:space="0" w:color="auto"/>
            </w:tcBorders>
            <w:shd w:val="clear" w:color="auto" w:fill="C6EFCE"/>
            <w:noWrap/>
          </w:tcPr>
          <w:p w14:paraId="4E7CA9EB" w14:textId="2B6E6C5B"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13 – 4.2. Modernizácia verejnej správy,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to aj urýchlením realizácie verejných investícií, zlepšením rámca verejného </w:t>
            </w:r>
            <w:r w:rsidRPr="00083739">
              <w:rPr>
                <w:rFonts w:ascii="Times New Roman" w:hAnsi="Times New Roman" w:cs="Times New Roman"/>
                <w:noProof/>
                <w:lang w:val="sk-SK"/>
              </w:rPr>
              <w:t>obstarávania, opatreniami na budovanie kapacít</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bojom proti korupcii – 16705_Digitálna transformácia fiškálneho riadenia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dohľadu</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správy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elektronickej fakturácie</w:t>
            </w:r>
          </w:p>
        </w:tc>
        <w:tc>
          <w:tcPr>
            <w:tcW w:w="1063" w:type="dxa"/>
            <w:tcBorders>
              <w:top w:val="single" w:sz="4" w:space="0" w:color="auto"/>
              <w:left w:val="nil"/>
              <w:bottom w:val="single" w:sz="4" w:space="0" w:color="auto"/>
              <w:right w:val="single" w:sz="4" w:space="0" w:color="auto"/>
            </w:tcBorders>
            <w:shd w:val="clear" w:color="auto" w:fill="C6EFCE"/>
            <w:noWrap/>
          </w:tcPr>
          <w:p w14:paraId="1F8F77D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712" w:type="dxa"/>
            <w:tcBorders>
              <w:top w:val="single" w:sz="4" w:space="0" w:color="auto"/>
              <w:left w:val="nil"/>
              <w:bottom w:val="single" w:sz="4" w:space="0" w:color="auto"/>
              <w:right w:val="single" w:sz="4" w:space="0" w:color="auto"/>
            </w:tcBorders>
            <w:shd w:val="clear" w:color="auto" w:fill="C6EFCE"/>
            <w:noWrap/>
          </w:tcPr>
          <w:p w14:paraId="5DF6047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Plánovanie štátnych podnikových zdrojov (GOV-ERP)</w:t>
            </w:r>
          </w:p>
        </w:tc>
        <w:tc>
          <w:tcPr>
            <w:tcW w:w="1552" w:type="dxa"/>
            <w:tcBorders>
              <w:top w:val="single" w:sz="4" w:space="0" w:color="auto"/>
              <w:left w:val="nil"/>
              <w:bottom w:val="single" w:sz="4" w:space="0" w:color="auto"/>
              <w:right w:val="single" w:sz="4" w:space="0" w:color="auto"/>
            </w:tcBorders>
            <w:shd w:val="clear" w:color="auto" w:fill="C6EFCE"/>
            <w:noWrap/>
          </w:tcPr>
          <w:p w14:paraId="421554DE" w14:textId="3F979DDF"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IT systém je</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prevádzk</w:t>
            </w:r>
            <w:r w:rsidRPr="00083739">
              <w:rPr>
                <w:rFonts w:ascii="Times New Roman" w:hAnsi="Times New Roman" w:cs="Times New Roman"/>
                <w:noProof/>
                <w:lang w:val="sk-SK"/>
              </w:rPr>
              <w:t>e.</w:t>
            </w:r>
          </w:p>
        </w:tc>
        <w:tc>
          <w:tcPr>
            <w:tcW w:w="1126" w:type="dxa"/>
            <w:tcBorders>
              <w:top w:val="single" w:sz="4" w:space="0" w:color="auto"/>
              <w:left w:val="nil"/>
              <w:bottom w:val="single" w:sz="4" w:space="0" w:color="auto"/>
              <w:right w:val="single" w:sz="4" w:space="0" w:color="auto"/>
            </w:tcBorders>
            <w:shd w:val="clear" w:color="auto" w:fill="C6EFCE"/>
            <w:noWrap/>
          </w:tcPr>
          <w:p w14:paraId="47659F1E"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03" w:type="dxa"/>
            <w:tcBorders>
              <w:top w:val="single" w:sz="4" w:space="0" w:color="auto"/>
              <w:left w:val="nil"/>
              <w:bottom w:val="single" w:sz="4" w:space="0" w:color="auto"/>
              <w:right w:val="single" w:sz="4" w:space="0" w:color="auto"/>
            </w:tcBorders>
            <w:shd w:val="clear" w:color="auto" w:fill="C6EFCE"/>
            <w:noWrap/>
          </w:tcPr>
          <w:p w14:paraId="20960CE7"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76" w:type="dxa"/>
            <w:tcBorders>
              <w:top w:val="single" w:sz="4" w:space="0" w:color="auto"/>
              <w:left w:val="nil"/>
              <w:bottom w:val="single" w:sz="4" w:space="0" w:color="auto"/>
              <w:right w:val="single" w:sz="4" w:space="0" w:color="auto"/>
            </w:tcBorders>
            <w:shd w:val="clear" w:color="auto" w:fill="C6EFCE"/>
            <w:noWrap/>
          </w:tcPr>
          <w:p w14:paraId="3779CCF0"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6" w:type="dxa"/>
            <w:tcBorders>
              <w:top w:val="single" w:sz="4" w:space="0" w:color="auto"/>
              <w:left w:val="nil"/>
              <w:bottom w:val="single" w:sz="4" w:space="0" w:color="auto"/>
              <w:right w:val="single" w:sz="4" w:space="0" w:color="auto"/>
            </w:tcBorders>
            <w:shd w:val="clear" w:color="auto" w:fill="C6EFCE"/>
            <w:noWrap/>
          </w:tcPr>
          <w:p w14:paraId="56B7F6E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673" w:type="dxa"/>
            <w:tcBorders>
              <w:top w:val="single" w:sz="4" w:space="0" w:color="auto"/>
              <w:left w:val="nil"/>
              <w:bottom w:val="single" w:sz="4" w:space="0" w:color="auto"/>
              <w:right w:val="single" w:sz="4" w:space="0" w:color="auto"/>
            </w:tcBorders>
            <w:shd w:val="clear" w:color="auto" w:fill="C6EFCE"/>
            <w:noWrap/>
          </w:tcPr>
          <w:p w14:paraId="6A88662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3847" w:type="dxa"/>
            <w:tcBorders>
              <w:top w:val="single" w:sz="4" w:space="0" w:color="auto"/>
              <w:left w:val="nil"/>
              <w:bottom w:val="single" w:sz="4" w:space="0" w:color="auto"/>
              <w:right w:val="single" w:sz="4" w:space="0" w:color="auto"/>
            </w:tcBorders>
            <w:shd w:val="clear" w:color="auto" w:fill="C6EFCE"/>
            <w:noWrap/>
          </w:tcPr>
          <w:p w14:paraId="0DC36BF1" w14:textId="13BC7737" w:rsidR="002D49B0" w:rsidRPr="00083739" w:rsidRDefault="00BF4125">
            <w:pPr>
              <w:pStyle w:val="P68B1DB1-Normal9"/>
              <w:spacing w:after="0" w:line="240" w:lineRule="auto"/>
              <w:jc w:val="both"/>
              <w:rPr>
                <w:rFonts w:ascii="Times New Roman" w:eastAsia="Times New Roman" w:hAnsi="Times New Roman" w:cs="Times New Roman"/>
                <w:noProof/>
                <w:szCs w:val="18"/>
                <w:lang w:val="sk-SK"/>
              </w:rPr>
            </w:pPr>
            <w:r w:rsidRPr="00083739">
              <w:rPr>
                <w:rFonts w:ascii="Times New Roman" w:hAnsi="Times New Roman" w:cs="Times New Roman"/>
                <w:noProof/>
                <w:lang w:val="sk-SK"/>
              </w:rPr>
              <w:t>Uskutočniť digitálnu transformáciu rámca finančného riadenia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dohľadu prostredníctvom sfunkčnenia vládneho plánovania podnikových zdrojov (GOV-ERP), t. j. podporiť prípravu rozpočtu na rok 2027.</w:t>
            </w:r>
          </w:p>
          <w:p w14:paraId="31C999CD" w14:textId="77777777" w:rsidR="00083739" w:rsidRPr="00083739" w:rsidRDefault="00BF4125">
            <w:pPr>
              <w:pStyle w:val="P68B1DB1-Normal9"/>
              <w:spacing w:after="0" w:line="240" w:lineRule="auto"/>
              <w:jc w:val="both"/>
              <w:rPr>
                <w:rFonts w:ascii="Times New Roman" w:hAnsi="Times New Roman" w:cs="Times New Roman"/>
                <w:noProof/>
                <w:lang w:val="sk-SK"/>
              </w:rPr>
            </w:pPr>
            <w:r w:rsidRPr="00083739">
              <w:rPr>
                <w:rFonts w:ascii="Times New Roman" w:hAnsi="Times New Roman" w:cs="Times New Roman"/>
                <w:noProof/>
                <w:lang w:val="sk-SK"/>
              </w:rPr>
              <w:t xml:space="preserve">Aby sa dosiahol tento výsledok, </w:t>
            </w:r>
            <w:r w:rsidRPr="00083739">
              <w:rPr>
                <w:rFonts w:ascii="Times New Roman" w:hAnsi="Times New Roman" w:cs="Times New Roman"/>
                <w:noProof/>
                <w:lang w:val="sk-SK"/>
              </w:rPr>
              <w:t>dokončiť čiastkové projekty</w:t>
            </w:r>
            <w:r w:rsidR="00083739" w:rsidRPr="00083739">
              <w:rPr>
                <w:rFonts w:ascii="Times New Roman" w:hAnsi="Times New Roman" w:cs="Times New Roman"/>
                <w:noProof/>
                <w:lang w:val="sk-SK"/>
              </w:rPr>
              <w:t>:</w:t>
            </w:r>
          </w:p>
          <w:p w14:paraId="0327F8A6" w14:textId="18D14C50" w:rsidR="00083739" w:rsidRPr="00083739" w:rsidRDefault="00BF4125">
            <w:pPr>
              <w:pStyle w:val="P68B1DB1-Normal9"/>
              <w:spacing w:after="0" w:line="240" w:lineRule="auto"/>
              <w:jc w:val="both"/>
              <w:rPr>
                <w:rFonts w:ascii="Times New Roman" w:hAnsi="Times New Roman" w:cs="Times New Roman"/>
                <w:noProof/>
                <w:lang w:val="sk-SK"/>
              </w:rPr>
            </w:pPr>
            <w:r w:rsidRPr="00083739">
              <w:rPr>
                <w:rFonts w:ascii="Times New Roman" w:hAnsi="Times New Roman" w:cs="Times New Roman"/>
                <w:noProof/>
                <w:lang w:val="sk-SK"/>
              </w:rPr>
              <w:t>Prepojenie systémov ERP verejnej správy</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gréckou elektronickou faktúrou zabezpečením</w:t>
            </w:r>
            <w:r w:rsidR="00083739" w:rsidRPr="00083739">
              <w:rPr>
                <w:rFonts w:ascii="Times New Roman" w:hAnsi="Times New Roman" w:cs="Times New Roman"/>
                <w:noProof/>
                <w:lang w:val="sk-SK"/>
              </w:rPr>
              <w:t>:</w:t>
            </w:r>
          </w:p>
          <w:p w14:paraId="43B4F251" w14:textId="059558ED" w:rsidR="002D49B0" w:rsidRPr="00083739" w:rsidRDefault="00BF4125">
            <w:pPr>
              <w:pStyle w:val="P68B1DB1-Normal9"/>
              <w:spacing w:after="0" w:line="240" w:lineRule="auto"/>
              <w:jc w:val="both"/>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 Pripojiteľnosť systémov ERP</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sieti elektronických faktúr</w:t>
            </w:r>
          </w:p>
          <w:p w14:paraId="0FC0F1E8" w14:textId="7047495B" w:rsidR="002D49B0" w:rsidRPr="00083739" w:rsidRDefault="00BF4125">
            <w:pPr>
              <w:pStyle w:val="P68B1DB1-Normal9"/>
              <w:spacing w:after="0" w:line="240" w:lineRule="auto"/>
              <w:jc w:val="both"/>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 Pripojiteľnosť poskytovateľov služieb elektronickej fakturácie</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sieti elektroni</w:t>
            </w:r>
            <w:r w:rsidRPr="00083739">
              <w:rPr>
                <w:rFonts w:ascii="Times New Roman" w:hAnsi="Times New Roman" w:cs="Times New Roman"/>
                <w:noProof/>
                <w:lang w:val="sk-SK"/>
              </w:rPr>
              <w:t>ckých faktúr</w:t>
            </w:r>
          </w:p>
        </w:tc>
      </w:tr>
      <w:tr w:rsidR="002D49B0" w:rsidRPr="00083739" w14:paraId="42E37826" w14:textId="77777777">
        <w:trPr>
          <w:trHeight w:val="309"/>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29D211B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221</w:t>
            </w:r>
          </w:p>
        </w:tc>
        <w:tc>
          <w:tcPr>
            <w:tcW w:w="2146" w:type="dxa"/>
            <w:tcBorders>
              <w:top w:val="single" w:sz="4" w:space="0" w:color="auto"/>
              <w:left w:val="nil"/>
              <w:bottom w:val="single" w:sz="4" w:space="0" w:color="auto"/>
              <w:right w:val="single" w:sz="4" w:space="0" w:color="auto"/>
            </w:tcBorders>
            <w:shd w:val="clear" w:color="auto" w:fill="C6EFCE"/>
            <w:noWrap/>
          </w:tcPr>
          <w:p w14:paraId="7AFF5CCB" w14:textId="308E9BEA"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13 – 4.2. Modernizácia verejnej správy,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to aj urýchlením realizácie verejných investícií, zlepšením rámca verejného obstarávania, opatreniami na budovanie kapacít</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bojom proti korupcii – 16711_Profesijná oblasť verejného obstarávania</w:t>
            </w:r>
          </w:p>
        </w:tc>
        <w:tc>
          <w:tcPr>
            <w:tcW w:w="1063" w:type="dxa"/>
            <w:tcBorders>
              <w:top w:val="single" w:sz="4" w:space="0" w:color="auto"/>
              <w:left w:val="nil"/>
              <w:bottom w:val="single" w:sz="4" w:space="0" w:color="auto"/>
              <w:right w:val="single" w:sz="4" w:space="0" w:color="auto"/>
            </w:tcBorders>
            <w:shd w:val="clear" w:color="auto" w:fill="C6EFCE"/>
            <w:noWrap/>
          </w:tcPr>
          <w:p w14:paraId="3197CF7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Cieľ</w:t>
            </w:r>
          </w:p>
        </w:tc>
        <w:tc>
          <w:tcPr>
            <w:tcW w:w="1712" w:type="dxa"/>
            <w:tcBorders>
              <w:top w:val="single" w:sz="4" w:space="0" w:color="auto"/>
              <w:left w:val="nil"/>
              <w:bottom w:val="single" w:sz="4" w:space="0" w:color="auto"/>
              <w:right w:val="single" w:sz="4" w:space="0" w:color="auto"/>
            </w:tcBorders>
            <w:shd w:val="clear" w:color="auto" w:fill="C6EFCE"/>
            <w:noWrap/>
          </w:tcPr>
          <w:p w14:paraId="27FF85B7" w14:textId="5A776550"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programov zvyšovania úrovne zručností/rekvalifikácie</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verejného obstarávania</w:t>
            </w:r>
          </w:p>
        </w:tc>
        <w:tc>
          <w:tcPr>
            <w:tcW w:w="1552" w:type="dxa"/>
            <w:tcBorders>
              <w:top w:val="single" w:sz="4" w:space="0" w:color="auto"/>
              <w:left w:val="nil"/>
              <w:bottom w:val="single" w:sz="4" w:space="0" w:color="auto"/>
              <w:right w:val="single" w:sz="4" w:space="0" w:color="auto"/>
            </w:tcBorders>
            <w:shd w:val="clear" w:color="auto" w:fill="C6EFCE"/>
            <w:noWrap/>
          </w:tcPr>
          <w:p w14:paraId="10B983C4"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126" w:type="dxa"/>
            <w:tcBorders>
              <w:top w:val="single" w:sz="4" w:space="0" w:color="auto"/>
              <w:left w:val="nil"/>
              <w:bottom w:val="single" w:sz="4" w:space="0" w:color="auto"/>
              <w:right w:val="single" w:sz="4" w:space="0" w:color="auto"/>
            </w:tcBorders>
            <w:shd w:val="clear" w:color="auto" w:fill="C6EFCE"/>
            <w:noWrap/>
          </w:tcPr>
          <w:p w14:paraId="3800B837" w14:textId="2616E73D"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Počet vyškolených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certifikovaných štátnych zamestnancov</w:t>
            </w:r>
          </w:p>
        </w:tc>
        <w:tc>
          <w:tcPr>
            <w:tcW w:w="1003" w:type="dxa"/>
            <w:tcBorders>
              <w:top w:val="single" w:sz="4" w:space="0" w:color="auto"/>
              <w:left w:val="nil"/>
              <w:bottom w:val="single" w:sz="4" w:space="0" w:color="auto"/>
              <w:right w:val="single" w:sz="4" w:space="0" w:color="auto"/>
            </w:tcBorders>
            <w:shd w:val="clear" w:color="auto" w:fill="C6EFCE"/>
            <w:noWrap/>
          </w:tcPr>
          <w:p w14:paraId="0EA7F0C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0</w:t>
            </w:r>
          </w:p>
        </w:tc>
        <w:tc>
          <w:tcPr>
            <w:tcW w:w="876" w:type="dxa"/>
            <w:tcBorders>
              <w:top w:val="single" w:sz="4" w:space="0" w:color="auto"/>
              <w:left w:val="nil"/>
              <w:bottom w:val="single" w:sz="4" w:space="0" w:color="auto"/>
              <w:right w:val="single" w:sz="4" w:space="0" w:color="auto"/>
            </w:tcBorders>
            <w:shd w:val="clear" w:color="auto" w:fill="C6EFCE"/>
            <w:noWrap/>
          </w:tcPr>
          <w:p w14:paraId="5BCD7B4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6 000</w:t>
            </w:r>
          </w:p>
        </w:tc>
        <w:tc>
          <w:tcPr>
            <w:tcW w:w="846" w:type="dxa"/>
            <w:tcBorders>
              <w:top w:val="single" w:sz="4" w:space="0" w:color="auto"/>
              <w:left w:val="nil"/>
              <w:bottom w:val="single" w:sz="4" w:space="0" w:color="auto"/>
              <w:right w:val="single" w:sz="4" w:space="0" w:color="auto"/>
            </w:tcBorders>
            <w:shd w:val="clear" w:color="auto" w:fill="C6EFCE"/>
            <w:noWrap/>
          </w:tcPr>
          <w:p w14:paraId="74FF435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673" w:type="dxa"/>
            <w:tcBorders>
              <w:top w:val="single" w:sz="4" w:space="0" w:color="auto"/>
              <w:left w:val="nil"/>
              <w:bottom w:val="single" w:sz="4" w:space="0" w:color="auto"/>
              <w:right w:val="single" w:sz="4" w:space="0" w:color="auto"/>
            </w:tcBorders>
            <w:shd w:val="clear" w:color="auto" w:fill="C6EFCE"/>
            <w:noWrap/>
          </w:tcPr>
          <w:p w14:paraId="7FC70D5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3847" w:type="dxa"/>
            <w:tcBorders>
              <w:top w:val="single" w:sz="4" w:space="0" w:color="auto"/>
              <w:left w:val="nil"/>
              <w:bottom w:val="single" w:sz="4" w:space="0" w:color="auto"/>
              <w:right w:val="single" w:sz="4" w:space="0" w:color="auto"/>
            </w:tcBorders>
            <w:shd w:val="clear" w:color="auto" w:fill="C6EFCE"/>
            <w:noWrap/>
          </w:tcPr>
          <w:p w14:paraId="12578705" w14:textId="5C113B8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programov na zvyšovanie úrovne zručností/rekvalifikáciu</w:t>
            </w:r>
            <w:r w:rsidRPr="00083739">
              <w:rPr>
                <w:rFonts w:ascii="Times New Roman" w:hAnsi="Times New Roman" w:cs="Times New Roman"/>
                <w:noProof/>
                <w:lang w:val="sk-SK"/>
              </w:rPr>
              <w:t xml:space="preserve"> odborníkov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verejného obstarávania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udeľovanie osvedčení. </w:t>
            </w:r>
          </w:p>
        </w:tc>
      </w:tr>
      <w:tr w:rsidR="002D49B0" w:rsidRPr="00083739" w14:paraId="3DF4350B" w14:textId="77777777">
        <w:trPr>
          <w:trHeight w:val="309"/>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2B851F8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341</w:t>
            </w:r>
          </w:p>
        </w:tc>
        <w:tc>
          <w:tcPr>
            <w:tcW w:w="2146" w:type="dxa"/>
            <w:tcBorders>
              <w:top w:val="single" w:sz="4" w:space="0" w:color="auto"/>
              <w:left w:val="nil"/>
              <w:bottom w:val="single" w:sz="4" w:space="0" w:color="auto"/>
              <w:right w:val="single" w:sz="4" w:space="0" w:color="auto"/>
            </w:tcBorders>
            <w:shd w:val="clear" w:color="auto" w:fill="C6EFCE"/>
            <w:noWrap/>
          </w:tcPr>
          <w:p w14:paraId="2D1729BA" w14:textId="78542DAA"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13 – 4.2. Modernizácia verejnej správy,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to aj urýchlením realizácie verejných investícií, zlepšením rámca verejného obstarávania, opatreniami na budovanie kapacít</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bojom proti </w:t>
            </w:r>
            <w:r w:rsidRPr="00083739">
              <w:rPr>
                <w:rFonts w:ascii="Times New Roman" w:hAnsi="Times New Roman" w:cs="Times New Roman"/>
                <w:noProof/>
                <w:lang w:val="sk-SK"/>
              </w:rPr>
              <w:t>korupcii – 16986_Dokončenie národného katastra</w:t>
            </w:r>
          </w:p>
        </w:tc>
        <w:tc>
          <w:tcPr>
            <w:tcW w:w="1063" w:type="dxa"/>
            <w:tcBorders>
              <w:top w:val="single" w:sz="4" w:space="0" w:color="auto"/>
              <w:left w:val="nil"/>
              <w:bottom w:val="single" w:sz="4" w:space="0" w:color="auto"/>
              <w:right w:val="single" w:sz="4" w:space="0" w:color="auto"/>
            </w:tcBorders>
            <w:shd w:val="clear" w:color="auto" w:fill="C6EFCE"/>
            <w:noWrap/>
          </w:tcPr>
          <w:p w14:paraId="6CA89A7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Cieľ</w:t>
            </w:r>
          </w:p>
        </w:tc>
        <w:tc>
          <w:tcPr>
            <w:tcW w:w="1712" w:type="dxa"/>
            <w:tcBorders>
              <w:top w:val="single" w:sz="4" w:space="0" w:color="auto"/>
              <w:left w:val="nil"/>
              <w:bottom w:val="single" w:sz="4" w:space="0" w:color="auto"/>
              <w:right w:val="single" w:sz="4" w:space="0" w:color="auto"/>
            </w:tcBorders>
            <w:shd w:val="clear" w:color="auto" w:fill="C6EFCE"/>
            <w:noWrap/>
          </w:tcPr>
          <w:p w14:paraId="1B399AAC" w14:textId="67FDD2B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Katastrálne mapovanie – 85</w:t>
            </w:r>
            <w:r w:rsidR="00083739" w:rsidRPr="00083739">
              <w:rPr>
                <w:rFonts w:ascii="Times New Roman" w:hAnsi="Times New Roman" w:cs="Times New Roman"/>
                <w:noProof/>
                <w:lang w:val="sk-SK"/>
              </w:rPr>
              <w:t> %</w:t>
            </w:r>
            <w:r w:rsidRPr="00083739">
              <w:rPr>
                <w:rFonts w:ascii="Times New Roman" w:hAnsi="Times New Roman" w:cs="Times New Roman"/>
                <w:noProof/>
                <w:lang w:val="sk-SK"/>
              </w:rPr>
              <w:t xml:space="preserve"> dokončenie</w:t>
            </w:r>
          </w:p>
        </w:tc>
        <w:tc>
          <w:tcPr>
            <w:tcW w:w="1552" w:type="dxa"/>
            <w:tcBorders>
              <w:top w:val="single" w:sz="4" w:space="0" w:color="auto"/>
              <w:left w:val="nil"/>
              <w:bottom w:val="single" w:sz="4" w:space="0" w:color="auto"/>
              <w:right w:val="single" w:sz="4" w:space="0" w:color="auto"/>
            </w:tcBorders>
            <w:shd w:val="clear" w:color="auto" w:fill="C6EFCE"/>
            <w:noWrap/>
          </w:tcPr>
          <w:p w14:paraId="0BEF8630"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126" w:type="dxa"/>
            <w:tcBorders>
              <w:top w:val="single" w:sz="4" w:space="0" w:color="auto"/>
              <w:left w:val="nil"/>
              <w:bottom w:val="single" w:sz="4" w:space="0" w:color="auto"/>
              <w:right w:val="single" w:sz="4" w:space="0" w:color="auto"/>
            </w:tcBorders>
            <w:shd w:val="clear" w:color="auto" w:fill="C6EFCE"/>
            <w:noWrap/>
          </w:tcPr>
          <w:p w14:paraId="7EFBA0C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celkových vlastníckych práv nahratých na verejné zobrazenie podľa ustanovení zákona č. 2308/1995 zmeneného článkom 3 zákona č. 4821/2021</w:t>
            </w:r>
          </w:p>
        </w:tc>
        <w:tc>
          <w:tcPr>
            <w:tcW w:w="1003" w:type="dxa"/>
            <w:tcBorders>
              <w:top w:val="single" w:sz="4" w:space="0" w:color="auto"/>
              <w:left w:val="nil"/>
              <w:bottom w:val="single" w:sz="4" w:space="0" w:color="auto"/>
              <w:right w:val="single" w:sz="4" w:space="0" w:color="auto"/>
            </w:tcBorders>
            <w:shd w:val="clear" w:color="auto" w:fill="C6EFCE"/>
            <w:noWrap/>
          </w:tcPr>
          <w:p w14:paraId="1653B4C2" w14:textId="4BE89594"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79</w:t>
            </w:r>
            <w:r w:rsidR="00083739" w:rsidRPr="00083739">
              <w:rPr>
                <w:rFonts w:ascii="Times New Roman" w:hAnsi="Times New Roman" w:cs="Times New Roman"/>
                <w:noProof/>
                <w:lang w:val="sk-SK"/>
              </w:rPr>
              <w:t> %</w:t>
            </w:r>
          </w:p>
        </w:tc>
        <w:tc>
          <w:tcPr>
            <w:tcW w:w="876" w:type="dxa"/>
            <w:tcBorders>
              <w:top w:val="single" w:sz="4" w:space="0" w:color="auto"/>
              <w:left w:val="nil"/>
              <w:bottom w:val="single" w:sz="4" w:space="0" w:color="auto"/>
              <w:right w:val="single" w:sz="4" w:space="0" w:color="auto"/>
            </w:tcBorders>
            <w:shd w:val="clear" w:color="auto" w:fill="C6EFCE"/>
            <w:noWrap/>
          </w:tcPr>
          <w:p w14:paraId="244A2E73" w14:textId="2700D76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85</w:t>
            </w:r>
            <w:r w:rsidR="00083739" w:rsidRPr="00083739">
              <w:rPr>
                <w:rFonts w:ascii="Times New Roman" w:hAnsi="Times New Roman" w:cs="Times New Roman"/>
                <w:noProof/>
                <w:lang w:val="sk-SK"/>
              </w:rPr>
              <w:t> %</w:t>
            </w:r>
          </w:p>
        </w:tc>
        <w:tc>
          <w:tcPr>
            <w:tcW w:w="846" w:type="dxa"/>
            <w:tcBorders>
              <w:top w:val="single" w:sz="4" w:space="0" w:color="auto"/>
              <w:left w:val="nil"/>
              <w:bottom w:val="single" w:sz="4" w:space="0" w:color="auto"/>
              <w:right w:val="single" w:sz="4" w:space="0" w:color="auto"/>
            </w:tcBorders>
            <w:shd w:val="clear" w:color="auto" w:fill="C6EFCE"/>
            <w:noWrap/>
          </w:tcPr>
          <w:p w14:paraId="4CE4BF8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ŠTVRTÝ </w:t>
            </w:r>
            <w:r w:rsidRPr="00083739">
              <w:rPr>
                <w:rFonts w:ascii="Times New Roman" w:hAnsi="Times New Roman" w:cs="Times New Roman"/>
                <w:noProof/>
                <w:lang w:val="sk-SK"/>
              </w:rPr>
              <w:t>ŠTVRŤROK</w:t>
            </w:r>
          </w:p>
        </w:tc>
        <w:tc>
          <w:tcPr>
            <w:tcW w:w="673" w:type="dxa"/>
            <w:tcBorders>
              <w:top w:val="single" w:sz="4" w:space="0" w:color="auto"/>
              <w:left w:val="nil"/>
              <w:bottom w:val="single" w:sz="4" w:space="0" w:color="auto"/>
              <w:right w:val="single" w:sz="4" w:space="0" w:color="auto"/>
            </w:tcBorders>
            <w:shd w:val="clear" w:color="auto" w:fill="C6EFCE"/>
            <w:noWrap/>
          </w:tcPr>
          <w:p w14:paraId="7E9572E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2023</w:t>
            </w:r>
          </w:p>
        </w:tc>
        <w:tc>
          <w:tcPr>
            <w:tcW w:w="3847" w:type="dxa"/>
            <w:tcBorders>
              <w:top w:val="single" w:sz="4" w:space="0" w:color="auto"/>
              <w:left w:val="nil"/>
              <w:bottom w:val="single" w:sz="4" w:space="0" w:color="auto"/>
              <w:right w:val="single" w:sz="4" w:space="0" w:color="auto"/>
            </w:tcBorders>
            <w:shd w:val="clear" w:color="auto" w:fill="C6EFCE"/>
            <w:noWrap/>
          </w:tcPr>
          <w:p w14:paraId="46657988" w14:textId="4A445B70"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85</w:t>
            </w:r>
            <w:r w:rsidR="00083739" w:rsidRPr="00083739">
              <w:rPr>
                <w:rFonts w:ascii="Times New Roman" w:hAnsi="Times New Roman" w:cs="Times New Roman"/>
                <w:noProof/>
                <w:lang w:val="sk-SK"/>
              </w:rPr>
              <w:t> %</w:t>
            </w:r>
            <w:r w:rsidRPr="00083739">
              <w:rPr>
                <w:rFonts w:ascii="Times New Roman" w:hAnsi="Times New Roman" w:cs="Times New Roman"/>
                <w:noProof/>
                <w:lang w:val="sk-SK"/>
              </w:rPr>
              <w:t xml:space="preserve"> vlastníckych práv Grécka sa dostalo do fázy verejného vystavovania.</w:t>
            </w:r>
          </w:p>
        </w:tc>
      </w:tr>
      <w:tr w:rsidR="002D49B0" w:rsidRPr="00083739" w14:paraId="2D5D0495" w14:textId="77777777">
        <w:trPr>
          <w:trHeight w:val="309"/>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5CA3AA4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342</w:t>
            </w:r>
          </w:p>
        </w:tc>
        <w:tc>
          <w:tcPr>
            <w:tcW w:w="2146" w:type="dxa"/>
            <w:tcBorders>
              <w:top w:val="single" w:sz="4" w:space="0" w:color="auto"/>
              <w:left w:val="nil"/>
              <w:bottom w:val="single" w:sz="4" w:space="0" w:color="auto"/>
              <w:right w:val="single" w:sz="4" w:space="0" w:color="auto"/>
            </w:tcBorders>
            <w:shd w:val="clear" w:color="auto" w:fill="C6EFCE"/>
            <w:noWrap/>
          </w:tcPr>
          <w:p w14:paraId="0DC86A58" w14:textId="79A2762E"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13 – 4.2. Modernizácia verejnej správy,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to aj urýchlením realizácie verejných investícií, zlepšením rámca verejného obstarávania, opatreniami na budovanie kapacít</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bojom proti korupcii – 16986_Dokončenie národného katastra</w:t>
            </w:r>
          </w:p>
        </w:tc>
        <w:tc>
          <w:tcPr>
            <w:tcW w:w="1063" w:type="dxa"/>
            <w:tcBorders>
              <w:top w:val="single" w:sz="4" w:space="0" w:color="auto"/>
              <w:left w:val="nil"/>
              <w:bottom w:val="single" w:sz="4" w:space="0" w:color="auto"/>
              <w:right w:val="single" w:sz="4" w:space="0" w:color="auto"/>
            </w:tcBorders>
            <w:shd w:val="clear" w:color="auto" w:fill="C6EFCE"/>
            <w:noWrap/>
          </w:tcPr>
          <w:p w14:paraId="5CA471C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Cieľ</w:t>
            </w:r>
          </w:p>
        </w:tc>
        <w:tc>
          <w:tcPr>
            <w:tcW w:w="1712" w:type="dxa"/>
            <w:tcBorders>
              <w:top w:val="single" w:sz="4" w:space="0" w:color="auto"/>
              <w:left w:val="nil"/>
              <w:bottom w:val="single" w:sz="4" w:space="0" w:color="auto"/>
              <w:right w:val="single" w:sz="4" w:space="0" w:color="auto"/>
            </w:tcBorders>
            <w:shd w:val="clear" w:color="auto" w:fill="C6EFCE"/>
            <w:noWrap/>
          </w:tcPr>
          <w:p w14:paraId="2BAEE2C0" w14:textId="08C822D4"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Katastrálne mapovanie – 95</w:t>
            </w:r>
            <w:r w:rsidR="00083739" w:rsidRPr="00083739">
              <w:rPr>
                <w:rFonts w:ascii="Times New Roman" w:hAnsi="Times New Roman" w:cs="Times New Roman"/>
                <w:noProof/>
                <w:lang w:val="sk-SK"/>
              </w:rPr>
              <w:t> %</w:t>
            </w:r>
            <w:r w:rsidRPr="00083739">
              <w:rPr>
                <w:rFonts w:ascii="Times New Roman" w:hAnsi="Times New Roman" w:cs="Times New Roman"/>
                <w:noProof/>
                <w:lang w:val="sk-SK"/>
              </w:rPr>
              <w:t xml:space="preserve"> dokončenie</w:t>
            </w:r>
          </w:p>
        </w:tc>
        <w:tc>
          <w:tcPr>
            <w:tcW w:w="1552" w:type="dxa"/>
            <w:tcBorders>
              <w:top w:val="single" w:sz="4" w:space="0" w:color="auto"/>
              <w:left w:val="nil"/>
              <w:bottom w:val="single" w:sz="4" w:space="0" w:color="auto"/>
              <w:right w:val="single" w:sz="4" w:space="0" w:color="auto"/>
            </w:tcBorders>
            <w:shd w:val="clear" w:color="auto" w:fill="C6EFCE"/>
            <w:noWrap/>
          </w:tcPr>
          <w:p w14:paraId="6F3D9D57"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126" w:type="dxa"/>
            <w:tcBorders>
              <w:top w:val="single" w:sz="4" w:space="0" w:color="auto"/>
              <w:left w:val="nil"/>
              <w:bottom w:val="single" w:sz="4" w:space="0" w:color="auto"/>
              <w:right w:val="single" w:sz="4" w:space="0" w:color="auto"/>
            </w:tcBorders>
            <w:shd w:val="clear" w:color="auto" w:fill="C6EFCE"/>
            <w:noWrap/>
          </w:tcPr>
          <w:p w14:paraId="29C9F849" w14:textId="3DAE522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celkových vlastníckych práv nahratých na verejné zobrazenie podľa ustanovení zákona č. 2308/1995 zmeneného článkom 6 zákona č. 4821/2021</w:t>
            </w:r>
          </w:p>
        </w:tc>
        <w:tc>
          <w:tcPr>
            <w:tcW w:w="1003" w:type="dxa"/>
            <w:tcBorders>
              <w:top w:val="single" w:sz="4" w:space="0" w:color="auto"/>
              <w:left w:val="nil"/>
              <w:bottom w:val="single" w:sz="4" w:space="0" w:color="auto"/>
              <w:right w:val="single" w:sz="4" w:space="0" w:color="auto"/>
            </w:tcBorders>
            <w:shd w:val="clear" w:color="auto" w:fill="C6EFCE"/>
            <w:noWrap/>
          </w:tcPr>
          <w:p w14:paraId="4446CEBA" w14:textId="182E9F21"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85</w:t>
            </w:r>
            <w:r w:rsidR="00083739" w:rsidRPr="00083739">
              <w:rPr>
                <w:rFonts w:ascii="Times New Roman" w:hAnsi="Times New Roman" w:cs="Times New Roman"/>
                <w:noProof/>
                <w:lang w:val="sk-SK"/>
              </w:rPr>
              <w:t> %</w:t>
            </w:r>
          </w:p>
        </w:tc>
        <w:tc>
          <w:tcPr>
            <w:tcW w:w="876" w:type="dxa"/>
            <w:tcBorders>
              <w:top w:val="single" w:sz="4" w:space="0" w:color="auto"/>
              <w:left w:val="nil"/>
              <w:bottom w:val="single" w:sz="4" w:space="0" w:color="auto"/>
              <w:right w:val="single" w:sz="4" w:space="0" w:color="auto"/>
            </w:tcBorders>
            <w:shd w:val="clear" w:color="auto" w:fill="C6EFCE"/>
            <w:noWrap/>
          </w:tcPr>
          <w:p w14:paraId="6B7596FA" w14:textId="1A39C0EE"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95</w:t>
            </w:r>
            <w:r w:rsidR="00083739" w:rsidRPr="00083739">
              <w:rPr>
                <w:rFonts w:ascii="Times New Roman" w:hAnsi="Times New Roman" w:cs="Times New Roman"/>
                <w:noProof/>
                <w:lang w:val="sk-SK"/>
              </w:rPr>
              <w:t> %</w:t>
            </w:r>
          </w:p>
        </w:tc>
        <w:tc>
          <w:tcPr>
            <w:tcW w:w="846" w:type="dxa"/>
            <w:tcBorders>
              <w:top w:val="single" w:sz="4" w:space="0" w:color="auto"/>
              <w:left w:val="nil"/>
              <w:bottom w:val="single" w:sz="4" w:space="0" w:color="auto"/>
              <w:right w:val="single" w:sz="4" w:space="0" w:color="auto"/>
            </w:tcBorders>
            <w:shd w:val="clear" w:color="auto" w:fill="C6EFCE"/>
            <w:noWrap/>
          </w:tcPr>
          <w:p w14:paraId="192DD3C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673" w:type="dxa"/>
            <w:tcBorders>
              <w:top w:val="single" w:sz="4" w:space="0" w:color="auto"/>
              <w:left w:val="nil"/>
              <w:bottom w:val="single" w:sz="4" w:space="0" w:color="auto"/>
              <w:right w:val="single" w:sz="4" w:space="0" w:color="auto"/>
            </w:tcBorders>
            <w:shd w:val="clear" w:color="auto" w:fill="C6EFCE"/>
            <w:noWrap/>
          </w:tcPr>
          <w:p w14:paraId="0E21725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2024</w:t>
            </w:r>
          </w:p>
        </w:tc>
        <w:tc>
          <w:tcPr>
            <w:tcW w:w="3847" w:type="dxa"/>
            <w:tcBorders>
              <w:top w:val="single" w:sz="4" w:space="0" w:color="auto"/>
              <w:left w:val="nil"/>
              <w:bottom w:val="single" w:sz="4" w:space="0" w:color="auto"/>
              <w:right w:val="single" w:sz="4" w:space="0" w:color="auto"/>
            </w:tcBorders>
            <w:shd w:val="clear" w:color="auto" w:fill="C6EFCE"/>
            <w:noWrap/>
          </w:tcPr>
          <w:p w14:paraId="342C9501" w14:textId="24DBE406"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95</w:t>
            </w:r>
            <w:r w:rsidR="00083739" w:rsidRPr="00083739">
              <w:rPr>
                <w:rFonts w:ascii="Times New Roman" w:hAnsi="Times New Roman" w:cs="Times New Roman"/>
                <w:noProof/>
                <w:lang w:val="sk-SK"/>
              </w:rPr>
              <w:t> %</w:t>
            </w:r>
            <w:r w:rsidRPr="00083739">
              <w:rPr>
                <w:rFonts w:ascii="Times New Roman" w:hAnsi="Times New Roman" w:cs="Times New Roman"/>
                <w:noProof/>
                <w:lang w:val="sk-SK"/>
              </w:rPr>
              <w:t xml:space="preserve"> vlastníckych práv Grécka sa dostalo do fázy verejného vystavovania.</w:t>
            </w:r>
          </w:p>
        </w:tc>
      </w:tr>
      <w:tr w:rsidR="002D49B0" w:rsidRPr="00083739" w14:paraId="40FEB1F0" w14:textId="77777777">
        <w:trPr>
          <w:trHeight w:val="309"/>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64858AF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343</w:t>
            </w:r>
          </w:p>
        </w:tc>
        <w:tc>
          <w:tcPr>
            <w:tcW w:w="2146" w:type="dxa"/>
            <w:tcBorders>
              <w:top w:val="single" w:sz="4" w:space="0" w:color="auto"/>
              <w:left w:val="nil"/>
              <w:bottom w:val="single" w:sz="4" w:space="0" w:color="auto"/>
              <w:right w:val="single" w:sz="4" w:space="0" w:color="auto"/>
            </w:tcBorders>
            <w:shd w:val="clear" w:color="auto" w:fill="C6EFCE"/>
            <w:noWrap/>
          </w:tcPr>
          <w:p w14:paraId="72310077" w14:textId="5806F00D"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13 – 4.2. Modernizácia verejnej správy,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to aj urýchlením realizácie verejných investícií, zlepšením rámca verejného obstarávania, opatreniami na budovanie </w:t>
            </w:r>
            <w:r w:rsidRPr="00083739">
              <w:rPr>
                <w:rFonts w:ascii="Times New Roman" w:hAnsi="Times New Roman" w:cs="Times New Roman"/>
                <w:noProof/>
                <w:lang w:val="sk-SK"/>
              </w:rPr>
              <w:t>kapacít</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bojom proti korupcii – 16986_Dokončenie národného katastra </w:t>
            </w:r>
          </w:p>
        </w:tc>
        <w:tc>
          <w:tcPr>
            <w:tcW w:w="1063" w:type="dxa"/>
            <w:tcBorders>
              <w:top w:val="single" w:sz="4" w:space="0" w:color="auto"/>
              <w:left w:val="nil"/>
              <w:bottom w:val="single" w:sz="4" w:space="0" w:color="auto"/>
              <w:right w:val="single" w:sz="4" w:space="0" w:color="auto"/>
            </w:tcBorders>
            <w:shd w:val="clear" w:color="auto" w:fill="C6EFCE"/>
            <w:noWrap/>
          </w:tcPr>
          <w:p w14:paraId="5CEBD42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712" w:type="dxa"/>
            <w:tcBorders>
              <w:top w:val="single" w:sz="4" w:space="0" w:color="auto"/>
              <w:left w:val="nil"/>
              <w:bottom w:val="single" w:sz="4" w:space="0" w:color="auto"/>
              <w:right w:val="single" w:sz="4" w:space="0" w:color="auto"/>
            </w:tcBorders>
            <w:shd w:val="clear" w:color="auto" w:fill="C6EFCE"/>
            <w:noWrap/>
          </w:tcPr>
          <w:p w14:paraId="5E36F758" w14:textId="6393256B"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Prechod na novú organizačnú štruktúru gréckeho katastra – úplné dokončenie</w:t>
            </w:r>
          </w:p>
        </w:tc>
        <w:tc>
          <w:tcPr>
            <w:tcW w:w="1552" w:type="dxa"/>
            <w:tcBorders>
              <w:top w:val="single" w:sz="4" w:space="0" w:color="auto"/>
              <w:left w:val="nil"/>
              <w:bottom w:val="single" w:sz="4" w:space="0" w:color="auto"/>
              <w:right w:val="single" w:sz="4" w:space="0" w:color="auto"/>
            </w:tcBorders>
            <w:shd w:val="clear" w:color="auto" w:fill="C6EFCE"/>
            <w:noWrap/>
          </w:tcPr>
          <w:p w14:paraId="7DBBCB9F" w14:textId="6C684E5F" w:rsidR="002D49B0" w:rsidRPr="00083739" w:rsidRDefault="00BF4125">
            <w:pPr>
              <w:spacing w:after="0" w:line="240" w:lineRule="auto"/>
              <w:rPr>
                <w:rFonts w:ascii="Times New Roman" w:eastAsia="Times New Roman" w:hAnsi="Times New Roman" w:cs="Times New Roman"/>
                <w:noProof/>
                <w:color w:val="006100"/>
                <w:sz w:val="18"/>
                <w:szCs w:val="18"/>
                <w:lang w:val="sk-SK"/>
              </w:rPr>
            </w:pPr>
            <w:r w:rsidRPr="00083739">
              <w:rPr>
                <w:rFonts w:ascii="Times New Roman" w:hAnsi="Times New Roman" w:cs="Times New Roman"/>
                <w:noProof/>
                <w:color w:val="006100"/>
                <w:sz w:val="18"/>
                <w:lang w:val="sk-SK"/>
              </w:rPr>
              <w:t>Oficiálne rozhodnutia správnej rady gréckeho katastra</w:t>
            </w:r>
            <w:r w:rsidR="00083739" w:rsidRPr="00083739">
              <w:rPr>
                <w:rFonts w:ascii="Times New Roman" w:hAnsi="Times New Roman" w:cs="Times New Roman"/>
                <w:noProof/>
                <w:color w:val="006100"/>
                <w:sz w:val="18"/>
                <w:lang w:val="sk-SK"/>
              </w:rPr>
              <w:t xml:space="preserve"> o </w:t>
            </w:r>
            <w:r w:rsidRPr="00083739">
              <w:rPr>
                <w:rFonts w:ascii="Times New Roman" w:hAnsi="Times New Roman" w:cs="Times New Roman"/>
                <w:noProof/>
                <w:color w:val="006100"/>
                <w:sz w:val="18"/>
                <w:lang w:val="sk-SK"/>
              </w:rPr>
              <w:t>otvorení</w:t>
            </w:r>
            <w:r w:rsidR="00083739" w:rsidRPr="00083739">
              <w:rPr>
                <w:rFonts w:ascii="Times New Roman" w:hAnsi="Times New Roman" w:cs="Times New Roman"/>
                <w:noProof/>
                <w:color w:val="006100"/>
                <w:sz w:val="18"/>
                <w:lang w:val="sk-SK"/>
              </w:rPr>
              <w:t xml:space="preserve"> a </w:t>
            </w:r>
            <w:r w:rsidRPr="00083739">
              <w:rPr>
                <w:rFonts w:ascii="Times New Roman" w:hAnsi="Times New Roman" w:cs="Times New Roman"/>
                <w:noProof/>
                <w:color w:val="006100"/>
                <w:sz w:val="18"/>
                <w:lang w:val="sk-SK"/>
              </w:rPr>
              <w:t xml:space="preserve">sprevádzkovaní katastrálnych </w:t>
            </w:r>
            <w:r w:rsidRPr="00083739">
              <w:rPr>
                <w:rFonts w:ascii="Times New Roman" w:hAnsi="Times New Roman" w:cs="Times New Roman"/>
                <w:noProof/>
                <w:color w:val="006100"/>
                <w:sz w:val="18"/>
                <w:lang w:val="sk-SK"/>
              </w:rPr>
              <w:t>kancelárií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color w:val="006100"/>
                <w:sz w:val="18"/>
                <w:lang w:val="sk-SK"/>
              </w:rPr>
              <w:t>pobočiek na celom území Grécka</w:t>
            </w:r>
            <w:r w:rsidR="00083739" w:rsidRPr="00083739">
              <w:rPr>
                <w:rFonts w:ascii="Times New Roman" w:hAnsi="Times New Roman" w:cs="Times New Roman"/>
                <w:noProof/>
                <w:color w:val="006100"/>
                <w:sz w:val="18"/>
                <w:lang w:val="sk-SK"/>
              </w:rPr>
              <w:t xml:space="preserve"> a o </w:t>
            </w:r>
            <w:r w:rsidRPr="00083739">
              <w:rPr>
                <w:rFonts w:ascii="Times New Roman" w:hAnsi="Times New Roman" w:cs="Times New Roman"/>
                <w:noProof/>
                <w:color w:val="006100"/>
                <w:sz w:val="18"/>
                <w:lang w:val="sk-SK"/>
              </w:rPr>
              <w:t>zatvorení starých hypotekárnych úradov.</w:t>
            </w:r>
          </w:p>
        </w:tc>
        <w:tc>
          <w:tcPr>
            <w:tcW w:w="1126" w:type="dxa"/>
            <w:tcBorders>
              <w:top w:val="single" w:sz="4" w:space="0" w:color="auto"/>
              <w:left w:val="nil"/>
              <w:bottom w:val="single" w:sz="4" w:space="0" w:color="auto"/>
              <w:right w:val="single" w:sz="4" w:space="0" w:color="auto"/>
            </w:tcBorders>
            <w:shd w:val="clear" w:color="auto" w:fill="C6EFCE"/>
            <w:noWrap/>
          </w:tcPr>
          <w:p w14:paraId="287F9F1B"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03" w:type="dxa"/>
            <w:tcBorders>
              <w:top w:val="single" w:sz="4" w:space="0" w:color="auto"/>
              <w:left w:val="nil"/>
              <w:bottom w:val="single" w:sz="4" w:space="0" w:color="auto"/>
              <w:right w:val="single" w:sz="4" w:space="0" w:color="auto"/>
            </w:tcBorders>
            <w:shd w:val="clear" w:color="auto" w:fill="C6EFCE"/>
            <w:noWrap/>
          </w:tcPr>
          <w:p w14:paraId="43078A87"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76" w:type="dxa"/>
            <w:tcBorders>
              <w:top w:val="single" w:sz="4" w:space="0" w:color="auto"/>
              <w:left w:val="nil"/>
              <w:bottom w:val="single" w:sz="4" w:space="0" w:color="auto"/>
              <w:right w:val="single" w:sz="4" w:space="0" w:color="auto"/>
            </w:tcBorders>
            <w:shd w:val="clear" w:color="auto" w:fill="C6EFCE"/>
            <w:noWrap/>
          </w:tcPr>
          <w:p w14:paraId="135A2DF8"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6" w:type="dxa"/>
            <w:tcBorders>
              <w:top w:val="single" w:sz="4" w:space="0" w:color="auto"/>
              <w:left w:val="nil"/>
              <w:bottom w:val="single" w:sz="4" w:space="0" w:color="auto"/>
              <w:right w:val="single" w:sz="4" w:space="0" w:color="auto"/>
            </w:tcBorders>
            <w:shd w:val="clear" w:color="auto" w:fill="C6EFCE"/>
            <w:noWrap/>
          </w:tcPr>
          <w:p w14:paraId="05A23D2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673" w:type="dxa"/>
            <w:tcBorders>
              <w:top w:val="single" w:sz="4" w:space="0" w:color="auto"/>
              <w:left w:val="nil"/>
              <w:bottom w:val="single" w:sz="4" w:space="0" w:color="auto"/>
              <w:right w:val="single" w:sz="4" w:space="0" w:color="auto"/>
            </w:tcBorders>
            <w:shd w:val="clear" w:color="auto" w:fill="C6EFCE"/>
            <w:noWrap/>
          </w:tcPr>
          <w:p w14:paraId="3C11455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2024</w:t>
            </w:r>
          </w:p>
        </w:tc>
        <w:tc>
          <w:tcPr>
            <w:tcW w:w="3847" w:type="dxa"/>
            <w:tcBorders>
              <w:top w:val="single" w:sz="4" w:space="0" w:color="auto"/>
              <w:left w:val="nil"/>
              <w:bottom w:val="single" w:sz="4" w:space="0" w:color="auto"/>
              <w:right w:val="single" w:sz="4" w:space="0" w:color="auto"/>
            </w:tcBorders>
            <w:shd w:val="clear" w:color="auto" w:fill="C6EFCE"/>
            <w:noWrap/>
          </w:tcPr>
          <w:p w14:paraId="1041A25E" w14:textId="20567D8D"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Po prijatí oficiálnych rozhodnutí správnej rady gréckeho katastra sa dokončil prechod na novú organizačnú štruktúru gréckeho katastra. Konkrétne </w:t>
            </w:r>
            <w:r w:rsidRPr="00083739">
              <w:rPr>
                <w:rFonts w:ascii="Times New Roman" w:hAnsi="Times New Roman" w:cs="Times New Roman"/>
                <w:noProof/>
                <w:lang w:val="sk-SK"/>
              </w:rPr>
              <w:t>i) zostávajúce katastrálne úrady pre regióny Solún, Kréta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Dodekanézy sú otvorené</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funkčné; II) zvyšných 18 pobočiek je otvorených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funkčných;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iii) zvyšných 223 starých hypotekárnych kancelárií je zatvorených.</w:t>
            </w:r>
          </w:p>
        </w:tc>
      </w:tr>
      <w:tr w:rsidR="002D49B0" w:rsidRPr="00083739" w14:paraId="010F40F9" w14:textId="77777777">
        <w:trPr>
          <w:trHeight w:val="309"/>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05FD0A1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344</w:t>
            </w:r>
          </w:p>
        </w:tc>
        <w:tc>
          <w:tcPr>
            <w:tcW w:w="2146" w:type="dxa"/>
            <w:tcBorders>
              <w:top w:val="single" w:sz="4" w:space="0" w:color="auto"/>
              <w:left w:val="nil"/>
              <w:bottom w:val="single" w:sz="4" w:space="0" w:color="auto"/>
              <w:right w:val="single" w:sz="4" w:space="0" w:color="auto"/>
            </w:tcBorders>
            <w:shd w:val="clear" w:color="auto" w:fill="C6EFCE"/>
            <w:noWrap/>
          </w:tcPr>
          <w:p w14:paraId="5779269D" w14:textId="1DAD44EE"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13 – 4.2. Modernizácia verejnej </w:t>
            </w:r>
            <w:r w:rsidRPr="00083739">
              <w:rPr>
                <w:rFonts w:ascii="Times New Roman" w:hAnsi="Times New Roman" w:cs="Times New Roman"/>
                <w:noProof/>
                <w:lang w:val="sk-SK"/>
              </w:rPr>
              <w:t>správy,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to aj urýchlením realizácie verejných investícií, zlepšením rámca verejného obstarávania, opatreniami na budovanie kapacít</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bojom proti korupcii – 16986_Dokončenie národného katastra</w:t>
            </w:r>
          </w:p>
        </w:tc>
        <w:tc>
          <w:tcPr>
            <w:tcW w:w="1063" w:type="dxa"/>
            <w:tcBorders>
              <w:top w:val="single" w:sz="4" w:space="0" w:color="auto"/>
              <w:left w:val="nil"/>
              <w:bottom w:val="single" w:sz="4" w:space="0" w:color="auto"/>
              <w:right w:val="single" w:sz="4" w:space="0" w:color="auto"/>
            </w:tcBorders>
            <w:shd w:val="clear" w:color="auto" w:fill="C6EFCE"/>
            <w:noWrap/>
          </w:tcPr>
          <w:p w14:paraId="5DCB447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Cieľ</w:t>
            </w:r>
          </w:p>
        </w:tc>
        <w:tc>
          <w:tcPr>
            <w:tcW w:w="1712" w:type="dxa"/>
            <w:tcBorders>
              <w:top w:val="single" w:sz="4" w:space="0" w:color="auto"/>
              <w:left w:val="nil"/>
              <w:bottom w:val="single" w:sz="4" w:space="0" w:color="auto"/>
              <w:right w:val="single" w:sz="4" w:space="0" w:color="auto"/>
            </w:tcBorders>
            <w:shd w:val="clear" w:color="auto" w:fill="C6EFCE"/>
            <w:noWrap/>
          </w:tcPr>
          <w:p w14:paraId="5A0DF3C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Katastrálne mapovanie – úplné dokončenie</w:t>
            </w:r>
          </w:p>
        </w:tc>
        <w:tc>
          <w:tcPr>
            <w:tcW w:w="1552" w:type="dxa"/>
            <w:tcBorders>
              <w:top w:val="single" w:sz="4" w:space="0" w:color="auto"/>
              <w:left w:val="nil"/>
              <w:bottom w:val="single" w:sz="4" w:space="0" w:color="auto"/>
              <w:right w:val="single" w:sz="4" w:space="0" w:color="auto"/>
            </w:tcBorders>
            <w:shd w:val="clear" w:color="auto" w:fill="C6EFCE"/>
            <w:noWrap/>
          </w:tcPr>
          <w:p w14:paraId="644EDB42"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126" w:type="dxa"/>
            <w:tcBorders>
              <w:top w:val="single" w:sz="4" w:space="0" w:color="auto"/>
              <w:left w:val="nil"/>
              <w:bottom w:val="single" w:sz="4" w:space="0" w:color="auto"/>
              <w:right w:val="single" w:sz="4" w:space="0" w:color="auto"/>
            </w:tcBorders>
            <w:shd w:val="clear" w:color="auto" w:fill="C6EFCE"/>
            <w:noWrap/>
          </w:tcPr>
          <w:p w14:paraId="403E605F" w14:textId="2CF806A6"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 celkových </w:t>
            </w:r>
            <w:r w:rsidRPr="00083739">
              <w:rPr>
                <w:rFonts w:ascii="Times New Roman" w:hAnsi="Times New Roman" w:cs="Times New Roman"/>
                <w:noProof/>
                <w:lang w:val="sk-SK"/>
              </w:rPr>
              <w:t>vlastníckych práv nahratých na verejné zobrazenie podľa ustanovení zákona č. 2308/1995 zmeneného článkom 6 zákona č. 4821/2021</w:t>
            </w:r>
          </w:p>
        </w:tc>
        <w:tc>
          <w:tcPr>
            <w:tcW w:w="1003" w:type="dxa"/>
            <w:tcBorders>
              <w:top w:val="single" w:sz="4" w:space="0" w:color="auto"/>
              <w:left w:val="nil"/>
              <w:bottom w:val="single" w:sz="4" w:space="0" w:color="auto"/>
              <w:right w:val="single" w:sz="4" w:space="0" w:color="auto"/>
            </w:tcBorders>
            <w:shd w:val="clear" w:color="auto" w:fill="C6EFCE"/>
            <w:noWrap/>
          </w:tcPr>
          <w:p w14:paraId="3403FDD8" w14:textId="5A9DD6FB"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95</w:t>
            </w:r>
            <w:r w:rsidR="00083739" w:rsidRPr="00083739">
              <w:rPr>
                <w:rFonts w:ascii="Times New Roman" w:hAnsi="Times New Roman" w:cs="Times New Roman"/>
                <w:noProof/>
                <w:lang w:val="sk-SK"/>
              </w:rPr>
              <w:t> %</w:t>
            </w:r>
          </w:p>
        </w:tc>
        <w:tc>
          <w:tcPr>
            <w:tcW w:w="876" w:type="dxa"/>
            <w:tcBorders>
              <w:top w:val="single" w:sz="4" w:space="0" w:color="auto"/>
              <w:left w:val="nil"/>
              <w:bottom w:val="single" w:sz="4" w:space="0" w:color="auto"/>
              <w:right w:val="single" w:sz="4" w:space="0" w:color="auto"/>
            </w:tcBorders>
            <w:shd w:val="clear" w:color="auto" w:fill="C6EFCE"/>
            <w:noWrap/>
          </w:tcPr>
          <w:p w14:paraId="182E1F70" w14:textId="55A0E32E"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100</w:t>
            </w:r>
            <w:r w:rsidR="00083739" w:rsidRPr="00083739">
              <w:rPr>
                <w:rFonts w:ascii="Times New Roman" w:hAnsi="Times New Roman" w:cs="Times New Roman"/>
                <w:noProof/>
                <w:lang w:val="sk-SK"/>
              </w:rPr>
              <w:t> %</w:t>
            </w:r>
          </w:p>
        </w:tc>
        <w:tc>
          <w:tcPr>
            <w:tcW w:w="846" w:type="dxa"/>
            <w:tcBorders>
              <w:top w:val="single" w:sz="4" w:space="0" w:color="auto"/>
              <w:left w:val="nil"/>
              <w:bottom w:val="single" w:sz="4" w:space="0" w:color="auto"/>
              <w:right w:val="single" w:sz="4" w:space="0" w:color="auto"/>
            </w:tcBorders>
            <w:shd w:val="clear" w:color="auto" w:fill="C6EFCE"/>
            <w:noWrap/>
          </w:tcPr>
          <w:p w14:paraId="3C78C89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673" w:type="dxa"/>
            <w:tcBorders>
              <w:top w:val="single" w:sz="4" w:space="0" w:color="auto"/>
              <w:left w:val="nil"/>
              <w:bottom w:val="single" w:sz="4" w:space="0" w:color="auto"/>
              <w:right w:val="single" w:sz="4" w:space="0" w:color="auto"/>
            </w:tcBorders>
            <w:shd w:val="clear" w:color="auto" w:fill="C6EFCE"/>
            <w:noWrap/>
          </w:tcPr>
          <w:p w14:paraId="00B4AFA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3847" w:type="dxa"/>
            <w:tcBorders>
              <w:top w:val="single" w:sz="4" w:space="0" w:color="auto"/>
              <w:left w:val="nil"/>
              <w:bottom w:val="single" w:sz="4" w:space="0" w:color="auto"/>
              <w:right w:val="single" w:sz="4" w:space="0" w:color="auto"/>
            </w:tcBorders>
            <w:shd w:val="clear" w:color="auto" w:fill="C6EFCE"/>
            <w:noWrap/>
          </w:tcPr>
          <w:p w14:paraId="2EC2C513" w14:textId="516D93D9"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Dokončilo sa katastrálne mapovanie vlastníckych práv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Grécku, pričom všetky vlastnícke práva na c</w:t>
            </w:r>
            <w:r w:rsidRPr="00083739">
              <w:rPr>
                <w:rFonts w:ascii="Times New Roman" w:hAnsi="Times New Roman" w:cs="Times New Roman"/>
                <w:noProof/>
                <w:lang w:val="sk-SK"/>
              </w:rPr>
              <w:t>elom území Grécka sa dostali do fázy verejného zobrazovania.</w:t>
            </w:r>
          </w:p>
        </w:tc>
      </w:tr>
    </w:tbl>
    <w:p w14:paraId="48EFC02C" w14:textId="77777777" w:rsidR="002D49B0" w:rsidRPr="00083739" w:rsidRDefault="002D49B0">
      <w:pPr>
        <w:spacing w:before="120" w:after="120" w:line="240" w:lineRule="auto"/>
        <w:ind w:left="709"/>
        <w:jc w:val="both"/>
        <w:rPr>
          <w:rFonts w:ascii="Times New Roman" w:hAnsi="Times New Roman" w:cs="Times New Roman"/>
          <w:noProof/>
          <w:sz w:val="24"/>
          <w:szCs w:val="24"/>
          <w:lang w:val="sk-SK"/>
        </w:rPr>
      </w:pPr>
    </w:p>
    <w:p w14:paraId="6A77A2B0" w14:textId="77777777" w:rsidR="002D49B0" w:rsidRPr="00083739" w:rsidRDefault="002D49B0">
      <w:pPr>
        <w:spacing w:before="120" w:after="120" w:line="240" w:lineRule="auto"/>
        <w:ind w:left="709"/>
        <w:jc w:val="both"/>
        <w:rPr>
          <w:rFonts w:ascii="Times New Roman" w:hAnsi="Times New Roman" w:cs="Times New Roman"/>
          <w:noProof/>
          <w:sz w:val="24"/>
          <w:lang w:val="sk-SK"/>
        </w:rPr>
        <w:sectPr w:rsidR="002D49B0" w:rsidRPr="00083739" w:rsidSect="00271D33">
          <w:headerReference w:type="even" r:id="rId229"/>
          <w:headerReference w:type="default" r:id="rId230"/>
          <w:footerReference w:type="even" r:id="rId231"/>
          <w:footerReference w:type="default" r:id="rId232"/>
          <w:headerReference w:type="first" r:id="rId233"/>
          <w:footerReference w:type="first" r:id="rId234"/>
          <w:pgSz w:w="16839" w:h="11907" w:orient="landscape"/>
          <w:pgMar w:top="720" w:right="720" w:bottom="720" w:left="720" w:header="709" w:footer="0" w:gutter="0"/>
          <w:cols w:space="720"/>
          <w:docGrid w:linePitch="360"/>
        </w:sectPr>
      </w:pPr>
    </w:p>
    <w:p w14:paraId="0AA93CB1" w14:textId="77777777" w:rsidR="002D49B0" w:rsidRPr="00083739" w:rsidRDefault="00BF4125">
      <w:pPr>
        <w:pStyle w:val="P68B1DB1-Normal2"/>
        <w:spacing w:before="120" w:after="120" w:line="240" w:lineRule="auto"/>
        <w:ind w:firstLine="6"/>
        <w:jc w:val="both"/>
        <w:outlineLvl w:val="3"/>
        <w:rPr>
          <w:rFonts w:cs="Times New Roman"/>
          <w:bCs/>
          <w:noProof/>
          <w:lang w:val="sk-SK"/>
        </w:rPr>
      </w:pPr>
      <w:r w:rsidRPr="00083739">
        <w:rPr>
          <w:rFonts w:cs="Times New Roman"/>
          <w:noProof/>
          <w:lang w:val="sk-SK"/>
        </w:rPr>
        <w:t>POZN. KOMPONENT 4.3: ZLEPŠIŤ EFEKTÍVNOSŤ JUSTIČNÉHO SYSTÉMU</w:t>
      </w:r>
    </w:p>
    <w:p w14:paraId="198A045B" w14:textId="7BFD9B65"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Táto zložka gréckeho plánu obnovy</w:t>
      </w:r>
      <w:r w:rsidR="00083739" w:rsidRPr="00083739">
        <w:rPr>
          <w:rFonts w:cs="Times New Roman"/>
          <w:noProof/>
          <w:lang w:val="sk-SK"/>
        </w:rPr>
        <w:t xml:space="preserve"> a </w:t>
      </w:r>
      <w:r w:rsidRPr="00083739">
        <w:rPr>
          <w:rFonts w:cs="Times New Roman"/>
          <w:noProof/>
          <w:lang w:val="sk-SK"/>
        </w:rPr>
        <w:t xml:space="preserve">odolnosti zahŕňa niekoľko </w:t>
      </w:r>
      <w:r w:rsidRPr="00083739">
        <w:rPr>
          <w:rFonts w:cs="Times New Roman"/>
          <w:noProof/>
          <w:lang w:val="sk-SK"/>
        </w:rPr>
        <w:t>rozsiahlych reforiem, ako aj investície zamerané na zvýšenie účinnosti</w:t>
      </w:r>
      <w:r w:rsidR="00083739" w:rsidRPr="00083739">
        <w:rPr>
          <w:rFonts w:cs="Times New Roman"/>
          <w:noProof/>
          <w:lang w:val="sk-SK"/>
        </w:rPr>
        <w:t xml:space="preserve"> a </w:t>
      </w:r>
      <w:r w:rsidRPr="00083739">
        <w:rPr>
          <w:rFonts w:cs="Times New Roman"/>
          <w:noProof/>
          <w:lang w:val="sk-SK"/>
        </w:rPr>
        <w:t>efektívnosti gréckeho justičného systému zavedením ambicióznej revízie súdnej mapy krajiny, riešením potrieb</w:t>
      </w:r>
      <w:r w:rsidR="00083739" w:rsidRPr="00083739">
        <w:rPr>
          <w:rFonts w:cs="Times New Roman"/>
          <w:noProof/>
          <w:lang w:val="sk-SK"/>
        </w:rPr>
        <w:t xml:space="preserve"> v </w:t>
      </w:r>
      <w:r w:rsidRPr="00083739">
        <w:rPr>
          <w:rFonts w:cs="Times New Roman"/>
          <w:noProof/>
          <w:lang w:val="sk-SK"/>
        </w:rPr>
        <w:t>oblasti infraštruktúry, prijatím opatrení na zvýšenie digitálnych kapací</w:t>
      </w:r>
      <w:r w:rsidRPr="00083739">
        <w:rPr>
          <w:rFonts w:cs="Times New Roman"/>
          <w:noProof/>
          <w:lang w:val="sk-SK"/>
        </w:rPr>
        <w:t>t justičného systému, modernizáciou funkcie súdov, zriadením justičnej polície</w:t>
      </w:r>
      <w:r w:rsidR="00083739" w:rsidRPr="00083739">
        <w:rPr>
          <w:rFonts w:cs="Times New Roman"/>
          <w:noProof/>
          <w:lang w:val="sk-SK"/>
        </w:rPr>
        <w:t xml:space="preserve"> a </w:t>
      </w:r>
      <w:r w:rsidRPr="00083739">
        <w:rPr>
          <w:rFonts w:cs="Times New Roman"/>
          <w:noProof/>
          <w:lang w:val="sk-SK"/>
        </w:rPr>
        <w:t>rozšírením</w:t>
      </w:r>
      <w:r w:rsidR="00083739" w:rsidRPr="00083739">
        <w:rPr>
          <w:rFonts w:cs="Times New Roman"/>
          <w:noProof/>
          <w:lang w:val="sk-SK"/>
        </w:rPr>
        <w:t xml:space="preserve"> a </w:t>
      </w:r>
      <w:r w:rsidRPr="00083739">
        <w:rPr>
          <w:rFonts w:cs="Times New Roman"/>
          <w:noProof/>
          <w:lang w:val="sk-SK"/>
        </w:rPr>
        <w:t>modernizáciou vzdelávania (počiatočného aj celoživotného) sudcov</w:t>
      </w:r>
      <w:r w:rsidR="00083739" w:rsidRPr="00083739">
        <w:rPr>
          <w:rFonts w:cs="Times New Roman"/>
          <w:noProof/>
          <w:lang w:val="sk-SK"/>
        </w:rPr>
        <w:t xml:space="preserve"> a </w:t>
      </w:r>
      <w:r w:rsidRPr="00083739">
        <w:rPr>
          <w:rFonts w:cs="Times New Roman"/>
          <w:noProof/>
          <w:lang w:val="sk-SK"/>
        </w:rPr>
        <w:t>administratívnych pracovníkov. Očakáva sa, že opatreniami sa podporí riešenie výziev uvedených</w:t>
      </w:r>
      <w:r w:rsidR="00083739" w:rsidRPr="00083739">
        <w:rPr>
          <w:rFonts w:cs="Times New Roman"/>
          <w:noProof/>
          <w:lang w:val="sk-SK"/>
        </w:rPr>
        <w:t xml:space="preserve"> v </w:t>
      </w:r>
      <w:r w:rsidRPr="00083739">
        <w:rPr>
          <w:rFonts w:cs="Times New Roman"/>
          <w:noProof/>
          <w:lang w:val="sk-SK"/>
        </w:rPr>
        <w:t>odporúčaniach pre jednotlivé krajiny týkajúcich sa verejných</w:t>
      </w:r>
      <w:r w:rsidR="00083739" w:rsidRPr="00083739">
        <w:rPr>
          <w:rFonts w:cs="Times New Roman"/>
          <w:noProof/>
          <w:lang w:val="sk-SK"/>
        </w:rPr>
        <w:t xml:space="preserve"> a </w:t>
      </w:r>
      <w:r w:rsidRPr="00083739">
        <w:rPr>
          <w:rFonts w:cs="Times New Roman"/>
          <w:noProof/>
          <w:lang w:val="sk-SK"/>
        </w:rPr>
        <w:t>súkromných investícií (odporúčanie pre Španielsko č. 2 2019, odporúčanie pre jednotlivé krajiny č. 3 2020)</w:t>
      </w:r>
      <w:r w:rsidR="00083739" w:rsidRPr="00083739">
        <w:rPr>
          <w:rFonts w:cs="Times New Roman"/>
          <w:noProof/>
          <w:lang w:val="sk-SK"/>
        </w:rPr>
        <w:t xml:space="preserve"> a </w:t>
      </w:r>
      <w:r w:rsidRPr="00083739">
        <w:rPr>
          <w:rFonts w:cs="Times New Roman"/>
          <w:noProof/>
          <w:lang w:val="sk-SK"/>
        </w:rPr>
        <w:t>štrukturálnych reforiem na zlepšenie fungovania hospodárstva (odporúčanie pre Špan</w:t>
      </w:r>
      <w:r w:rsidRPr="00083739">
        <w:rPr>
          <w:rFonts w:cs="Times New Roman"/>
          <w:noProof/>
          <w:lang w:val="sk-SK"/>
        </w:rPr>
        <w:t>ielsko č. 4 2020). Očakáva sa, že žiadne opatrenie</w:t>
      </w:r>
      <w:r w:rsidR="00083739" w:rsidRPr="00083739">
        <w:rPr>
          <w:rFonts w:cs="Times New Roman"/>
          <w:noProof/>
          <w:lang w:val="sk-SK"/>
        </w:rPr>
        <w:t xml:space="preserve"> v </w:t>
      </w:r>
      <w:r w:rsidRPr="00083739">
        <w:rPr>
          <w:rFonts w:cs="Times New Roman"/>
          <w:noProof/>
          <w:lang w:val="sk-SK"/>
        </w:rPr>
        <w:t>tomto komponente výrazne nenaruší environmentálne ciele</w:t>
      </w:r>
      <w:r w:rsidR="00083739" w:rsidRPr="00083739">
        <w:rPr>
          <w:rFonts w:cs="Times New Roman"/>
          <w:noProof/>
          <w:lang w:val="sk-SK"/>
        </w:rPr>
        <w:t xml:space="preserve"> v </w:t>
      </w:r>
      <w:r w:rsidRPr="00083739">
        <w:rPr>
          <w:rFonts w:cs="Times New Roman"/>
          <w:noProof/>
          <w:lang w:val="sk-SK"/>
        </w:rPr>
        <w:t>zmysle článku 17 nariadenia (EÚ) 2020/852, pričom sa zohľadní opis opatrení</w:t>
      </w:r>
      <w:r w:rsidR="00083739" w:rsidRPr="00083739">
        <w:rPr>
          <w:rFonts w:cs="Times New Roman"/>
          <w:noProof/>
          <w:lang w:val="sk-SK"/>
        </w:rPr>
        <w:t xml:space="preserve"> a </w:t>
      </w:r>
      <w:r w:rsidRPr="00083739">
        <w:rPr>
          <w:rFonts w:cs="Times New Roman"/>
          <w:noProof/>
          <w:lang w:val="sk-SK"/>
        </w:rPr>
        <w:t>zmierňujúcich krokov stanovených</w:t>
      </w:r>
      <w:r w:rsidR="00083739" w:rsidRPr="00083739">
        <w:rPr>
          <w:rFonts w:cs="Times New Roman"/>
          <w:noProof/>
          <w:lang w:val="sk-SK"/>
        </w:rPr>
        <w:t xml:space="preserve"> v </w:t>
      </w:r>
      <w:r w:rsidRPr="00083739">
        <w:rPr>
          <w:rFonts w:cs="Times New Roman"/>
          <w:noProof/>
          <w:lang w:val="sk-SK"/>
        </w:rPr>
        <w:t>pláne podpory obnovy</w:t>
      </w:r>
      <w:r w:rsidR="00083739" w:rsidRPr="00083739">
        <w:rPr>
          <w:rFonts w:cs="Times New Roman"/>
          <w:noProof/>
          <w:lang w:val="sk-SK"/>
        </w:rPr>
        <w:t xml:space="preserve"> a </w:t>
      </w:r>
      <w:r w:rsidRPr="00083739">
        <w:rPr>
          <w:rFonts w:cs="Times New Roman"/>
          <w:noProof/>
          <w:lang w:val="sk-SK"/>
        </w:rPr>
        <w:t>odolnosti</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technickým usmernením „výrazne nenarušiť“ (2021/C58/01).</w:t>
      </w:r>
    </w:p>
    <w:p w14:paraId="5ED5D76C" w14:textId="5D4041A8" w:rsidR="002D49B0" w:rsidRPr="00083739" w:rsidRDefault="00BF4125">
      <w:pPr>
        <w:spacing w:before="120" w:after="120" w:line="240" w:lineRule="auto"/>
        <w:jc w:val="both"/>
        <w:rPr>
          <w:rFonts w:ascii="Times New Roman" w:hAnsi="Times New Roman" w:cs="Times New Roman"/>
          <w:b/>
          <w:bCs/>
          <w:i/>
          <w:iCs/>
          <w:noProof/>
          <w:color w:val="4F81BD"/>
          <w:sz w:val="24"/>
          <w:lang w:val="sk-SK"/>
        </w:rPr>
      </w:pPr>
      <w:r w:rsidRPr="00083739">
        <w:rPr>
          <w:rFonts w:ascii="Times New Roman" w:hAnsi="Times New Roman" w:cs="Times New Roman"/>
          <w:b/>
          <w:noProof/>
          <w:sz w:val="24"/>
          <w:u w:val="single"/>
          <w:lang w:val="sk-SK"/>
        </w:rPr>
        <w:t xml:space="preserve">N.1. </w:t>
      </w:r>
      <w:r w:rsidRPr="00083739">
        <w:rPr>
          <w:rFonts w:ascii="Times New Roman" w:hAnsi="Times New Roman" w:cs="Times New Roman"/>
          <w:noProof/>
          <w:lang w:val="sk-SK"/>
        </w:rPr>
        <w:t xml:space="preserve"> </w:t>
      </w:r>
      <w:r w:rsidRPr="00083739">
        <w:rPr>
          <w:rFonts w:ascii="Times New Roman" w:hAnsi="Times New Roman" w:cs="Times New Roman"/>
          <w:b/>
          <w:noProof/>
          <w:sz w:val="24"/>
          <w:u w:val="single"/>
          <w:lang w:val="sk-SK"/>
        </w:rPr>
        <w:t>Opis reforiem</w:t>
      </w:r>
      <w:r w:rsidR="00083739" w:rsidRPr="00083739">
        <w:rPr>
          <w:rFonts w:ascii="Times New Roman" w:hAnsi="Times New Roman" w:cs="Times New Roman"/>
          <w:b/>
          <w:noProof/>
          <w:sz w:val="24"/>
          <w:u w:val="single"/>
          <w:lang w:val="sk-SK"/>
        </w:rPr>
        <w:t xml:space="preserve"> a </w:t>
      </w:r>
      <w:r w:rsidRPr="00083739">
        <w:rPr>
          <w:rFonts w:ascii="Times New Roman" w:hAnsi="Times New Roman" w:cs="Times New Roman"/>
          <w:b/>
          <w:noProof/>
          <w:sz w:val="24"/>
          <w:u w:val="single"/>
          <w:lang w:val="sk-SK"/>
        </w:rPr>
        <w:t>investícií</w:t>
      </w:r>
      <w:r w:rsidR="00083739" w:rsidRPr="00083739">
        <w:rPr>
          <w:rFonts w:ascii="Times New Roman" w:hAnsi="Times New Roman" w:cs="Times New Roman"/>
          <w:b/>
          <w:noProof/>
          <w:sz w:val="24"/>
          <w:u w:val="single"/>
          <w:lang w:val="sk-SK"/>
        </w:rPr>
        <w:t xml:space="preserve"> v </w:t>
      </w:r>
      <w:r w:rsidRPr="00083739">
        <w:rPr>
          <w:rFonts w:ascii="Times New Roman" w:hAnsi="Times New Roman" w:cs="Times New Roman"/>
          <w:b/>
          <w:noProof/>
          <w:sz w:val="24"/>
          <w:u w:val="single"/>
          <w:lang w:val="sk-SK"/>
        </w:rPr>
        <w:t>rámci nenávratnej finančnej podpory</w:t>
      </w:r>
    </w:p>
    <w:p w14:paraId="4CB62532" w14:textId="45C7F75C"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 xml:space="preserve">Investície: </w:t>
      </w:r>
      <w:r w:rsidRPr="00083739">
        <w:rPr>
          <w:rFonts w:cs="Times New Roman"/>
          <w:noProof/>
          <w:lang w:val="sk-SK"/>
        </w:rPr>
        <w:t>Nové justičné budovy</w:t>
      </w:r>
      <w:r w:rsidR="00083739" w:rsidRPr="00083739">
        <w:rPr>
          <w:rFonts w:cs="Times New Roman"/>
          <w:noProof/>
          <w:lang w:val="sk-SK"/>
        </w:rPr>
        <w:t xml:space="preserve"> a </w:t>
      </w:r>
      <w:r w:rsidRPr="00083739">
        <w:rPr>
          <w:rFonts w:cs="Times New Roman"/>
          <w:noProof/>
          <w:color w:val="000000"/>
          <w:lang w:val="sk-SK"/>
        </w:rPr>
        <w:t>renovácie</w:t>
      </w:r>
      <w:r w:rsidRPr="00083739">
        <w:rPr>
          <w:rFonts w:cs="Times New Roman"/>
          <w:noProof/>
          <w:lang w:val="sk-SK"/>
        </w:rPr>
        <w:t xml:space="preserve"> (ID opatrenia 16292)</w:t>
      </w:r>
    </w:p>
    <w:p w14:paraId="02BDDCA3" w14:textId="2771F6E5"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Opatrenie pozostáva</w:t>
      </w:r>
      <w:r w:rsidR="00083739" w:rsidRPr="00083739">
        <w:rPr>
          <w:rFonts w:cs="Times New Roman"/>
          <w:noProof/>
          <w:lang w:val="sk-SK"/>
        </w:rPr>
        <w:t xml:space="preserve"> z </w:t>
      </w:r>
      <w:r w:rsidRPr="00083739">
        <w:rPr>
          <w:rFonts w:cs="Times New Roman"/>
          <w:noProof/>
          <w:lang w:val="sk-SK"/>
        </w:rPr>
        <w:t xml:space="preserve">cielenej investície do </w:t>
      </w:r>
      <w:r w:rsidRPr="00083739">
        <w:rPr>
          <w:rFonts w:cs="Times New Roman"/>
          <w:noProof/>
          <w:lang w:val="sk-SK"/>
        </w:rPr>
        <w:t>výstavby</w:t>
      </w:r>
      <w:r w:rsidR="00083739" w:rsidRPr="00083739">
        <w:rPr>
          <w:rFonts w:cs="Times New Roman"/>
          <w:noProof/>
          <w:lang w:val="sk-SK"/>
        </w:rPr>
        <w:t xml:space="preserve"> a </w:t>
      </w:r>
      <w:r w:rsidRPr="00083739">
        <w:rPr>
          <w:rFonts w:cs="Times New Roman"/>
          <w:noProof/>
          <w:lang w:val="sk-SK"/>
        </w:rPr>
        <w:t>renovácie budov, ktoré sú súčasťou súdneho systému</w:t>
      </w:r>
      <w:r w:rsidR="00083739" w:rsidRPr="00083739">
        <w:rPr>
          <w:rFonts w:cs="Times New Roman"/>
          <w:noProof/>
          <w:lang w:val="sk-SK"/>
        </w:rPr>
        <w:t xml:space="preserve"> a </w:t>
      </w:r>
      <w:r w:rsidRPr="00083739">
        <w:rPr>
          <w:rFonts w:cs="Times New Roman"/>
          <w:noProof/>
          <w:lang w:val="sk-SK"/>
        </w:rPr>
        <w:t>ktoré úzko súvisia</w:t>
      </w:r>
      <w:r w:rsidR="00083739" w:rsidRPr="00083739">
        <w:rPr>
          <w:rFonts w:cs="Times New Roman"/>
          <w:noProof/>
          <w:lang w:val="sk-SK"/>
        </w:rPr>
        <w:t xml:space="preserve"> s </w:t>
      </w:r>
      <w:r w:rsidRPr="00083739">
        <w:rPr>
          <w:rFonts w:cs="Times New Roman"/>
          <w:noProof/>
          <w:lang w:val="sk-SK"/>
        </w:rPr>
        <w:t>revíziou súdnej mapy,</w:t>
      </w:r>
      <w:r w:rsidR="00083739" w:rsidRPr="00083739">
        <w:rPr>
          <w:rFonts w:cs="Times New Roman"/>
          <w:noProof/>
          <w:lang w:val="sk-SK"/>
        </w:rPr>
        <w:t xml:space="preserve"> s </w:t>
      </w:r>
      <w:r w:rsidRPr="00083739">
        <w:rPr>
          <w:rFonts w:cs="Times New Roman"/>
          <w:noProof/>
          <w:lang w:val="sk-SK"/>
        </w:rPr>
        <w:t>cieľom maximalizovať efektívnosť súdnictva</w:t>
      </w:r>
      <w:r w:rsidR="00083739" w:rsidRPr="00083739">
        <w:rPr>
          <w:rFonts w:cs="Times New Roman"/>
          <w:noProof/>
          <w:lang w:val="sk-SK"/>
        </w:rPr>
        <w:t xml:space="preserve"> a </w:t>
      </w:r>
      <w:r w:rsidRPr="00083739">
        <w:rPr>
          <w:rFonts w:cs="Times New Roman"/>
          <w:noProof/>
          <w:lang w:val="sk-SK"/>
        </w:rPr>
        <w:t>zabrániť zbytočnému úsiliu</w:t>
      </w:r>
      <w:r w:rsidR="00083739" w:rsidRPr="00083739">
        <w:rPr>
          <w:rFonts w:cs="Times New Roman"/>
          <w:noProof/>
          <w:lang w:val="sk-SK"/>
        </w:rPr>
        <w:t xml:space="preserve"> a </w:t>
      </w:r>
      <w:r w:rsidRPr="00083739">
        <w:rPr>
          <w:rFonts w:cs="Times New Roman"/>
          <w:noProof/>
          <w:lang w:val="sk-SK"/>
        </w:rPr>
        <w:t>výdavkom. Všetky nehnuteľnosti, ktoré ministerstvo spravodlivosti vlastní</w:t>
      </w:r>
      <w:r w:rsidR="00083739" w:rsidRPr="00083739">
        <w:rPr>
          <w:rFonts w:cs="Times New Roman"/>
          <w:noProof/>
          <w:lang w:val="sk-SK"/>
        </w:rPr>
        <w:t xml:space="preserve"> a </w:t>
      </w:r>
      <w:r w:rsidRPr="00083739">
        <w:rPr>
          <w:rFonts w:cs="Times New Roman"/>
          <w:noProof/>
          <w:lang w:val="sk-SK"/>
        </w:rPr>
        <w:t>udeľuje súdnictvu, sa zaznamenávajú na existujúcej elektronickej platforme</w:t>
      </w:r>
      <w:r w:rsidR="00083739" w:rsidRPr="00083739">
        <w:rPr>
          <w:rFonts w:cs="Times New Roman"/>
          <w:noProof/>
          <w:lang w:val="sk-SK"/>
        </w:rPr>
        <w:t xml:space="preserve"> s </w:t>
      </w:r>
      <w:r w:rsidRPr="00083739">
        <w:rPr>
          <w:rFonts w:cs="Times New Roman"/>
          <w:noProof/>
          <w:lang w:val="sk-SK"/>
        </w:rPr>
        <w:t>cieľom uľahčiť monitorovanie</w:t>
      </w:r>
      <w:r w:rsidR="00083739" w:rsidRPr="00083739">
        <w:rPr>
          <w:rFonts w:cs="Times New Roman"/>
          <w:noProof/>
          <w:lang w:val="sk-SK"/>
        </w:rPr>
        <w:t xml:space="preserve"> a </w:t>
      </w:r>
      <w:r w:rsidRPr="00083739">
        <w:rPr>
          <w:rFonts w:cs="Times New Roman"/>
          <w:noProof/>
          <w:lang w:val="sk-SK"/>
        </w:rPr>
        <w:t>plánovanie. Všetky novovybudované budovy musia spĺňať požiadavky primárnej energie, ktoré sú aspoň</w:t>
      </w:r>
      <w:r w:rsidR="00083739" w:rsidRPr="00083739">
        <w:rPr>
          <w:rFonts w:cs="Times New Roman"/>
          <w:noProof/>
          <w:lang w:val="sk-SK"/>
        </w:rPr>
        <w:t xml:space="preserve"> o </w:t>
      </w:r>
      <w:r w:rsidRPr="00083739">
        <w:rPr>
          <w:rFonts w:cs="Times New Roman"/>
          <w:noProof/>
          <w:lang w:val="sk-SK"/>
        </w:rPr>
        <w:t>20</w:t>
      </w:r>
      <w:r w:rsidR="00083739" w:rsidRPr="00083739">
        <w:rPr>
          <w:rFonts w:cs="Times New Roman"/>
          <w:noProof/>
          <w:lang w:val="sk-SK"/>
        </w:rPr>
        <w:t> %</w:t>
      </w:r>
      <w:r w:rsidRPr="00083739">
        <w:rPr>
          <w:rFonts w:cs="Times New Roman"/>
          <w:noProof/>
          <w:lang w:val="sk-SK"/>
        </w:rPr>
        <w:t xml:space="preserve"> nižšie ako požiadavka na budovy</w:t>
      </w:r>
      <w:r w:rsidR="00083739" w:rsidRPr="00083739">
        <w:rPr>
          <w:rFonts w:cs="Times New Roman"/>
          <w:noProof/>
          <w:lang w:val="sk-SK"/>
        </w:rPr>
        <w:t xml:space="preserve"> s </w:t>
      </w:r>
      <w:r w:rsidRPr="00083739">
        <w:rPr>
          <w:rFonts w:cs="Times New Roman"/>
          <w:noProof/>
          <w:lang w:val="sk-SK"/>
        </w:rPr>
        <w:t>takme</w:t>
      </w:r>
      <w:r w:rsidRPr="00083739">
        <w:rPr>
          <w:rFonts w:cs="Times New Roman"/>
          <w:noProof/>
          <w:lang w:val="sk-SK"/>
        </w:rPr>
        <w:t>r nulovou spotrebou energie (budova</w:t>
      </w:r>
      <w:r w:rsidR="00083739" w:rsidRPr="00083739">
        <w:rPr>
          <w:rFonts w:cs="Times New Roman"/>
          <w:noProof/>
          <w:lang w:val="sk-SK"/>
        </w:rPr>
        <w:t xml:space="preserve"> s </w:t>
      </w:r>
      <w:r w:rsidRPr="00083739">
        <w:rPr>
          <w:rFonts w:cs="Times New Roman"/>
          <w:noProof/>
          <w:lang w:val="sk-SK"/>
        </w:rPr>
        <w:t>takmer nulovou spotrebou energie, vnútroštátne smernice). Očakáva sa, že toto opatrenie výrazne nenaruší environmentálne ciele</w:t>
      </w:r>
      <w:r w:rsidR="00083739" w:rsidRPr="00083739">
        <w:rPr>
          <w:rFonts w:cs="Times New Roman"/>
          <w:noProof/>
          <w:lang w:val="sk-SK"/>
        </w:rPr>
        <w:t xml:space="preserve"> v </w:t>
      </w:r>
      <w:r w:rsidRPr="00083739">
        <w:rPr>
          <w:rFonts w:cs="Times New Roman"/>
          <w:noProof/>
          <w:lang w:val="sk-SK"/>
        </w:rPr>
        <w:t>zmysle článku 17 nariadenia (EÚ) 2020/852, pričom sa zohľadní opis opatrenia</w:t>
      </w:r>
      <w:r w:rsidR="00083739" w:rsidRPr="00083739">
        <w:rPr>
          <w:rFonts w:cs="Times New Roman"/>
          <w:noProof/>
          <w:lang w:val="sk-SK"/>
        </w:rPr>
        <w:t xml:space="preserve"> a </w:t>
      </w:r>
      <w:r w:rsidRPr="00083739">
        <w:rPr>
          <w:rFonts w:cs="Times New Roman"/>
          <w:noProof/>
          <w:lang w:val="sk-SK"/>
        </w:rPr>
        <w:t>zmierňujúc</w:t>
      </w:r>
      <w:r w:rsidRPr="00083739">
        <w:rPr>
          <w:rFonts w:cs="Times New Roman"/>
          <w:noProof/>
          <w:lang w:val="sk-SK"/>
        </w:rPr>
        <w:t>e kroky stanovené</w:t>
      </w:r>
      <w:r w:rsidR="00083739" w:rsidRPr="00083739">
        <w:rPr>
          <w:rFonts w:cs="Times New Roman"/>
          <w:noProof/>
          <w:lang w:val="sk-SK"/>
        </w:rPr>
        <w:t xml:space="preserve"> v </w:t>
      </w:r>
      <w:r w:rsidRPr="00083739">
        <w:rPr>
          <w:rFonts w:cs="Times New Roman"/>
          <w:noProof/>
          <w:lang w:val="sk-SK"/>
        </w:rPr>
        <w:t>pláne podpory obnovy</w:t>
      </w:r>
      <w:r w:rsidR="00083739" w:rsidRPr="00083739">
        <w:rPr>
          <w:rFonts w:cs="Times New Roman"/>
          <w:noProof/>
          <w:lang w:val="sk-SK"/>
        </w:rPr>
        <w:t xml:space="preserve"> a </w:t>
      </w:r>
      <w:r w:rsidRPr="00083739">
        <w:rPr>
          <w:rFonts w:cs="Times New Roman"/>
          <w:noProof/>
          <w:lang w:val="sk-SK"/>
        </w:rPr>
        <w:t>odolnosti</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technickým usmernením „výrazne nenarušiť“ (2021/C58/01). Konkrétne sa</w:t>
      </w:r>
      <w:r w:rsidR="00083739" w:rsidRPr="00083739">
        <w:rPr>
          <w:rFonts w:cs="Times New Roman"/>
          <w:noProof/>
          <w:lang w:val="sk-SK"/>
        </w:rPr>
        <w:t xml:space="preserve"> v </w:t>
      </w:r>
      <w:r w:rsidRPr="00083739">
        <w:rPr>
          <w:rFonts w:cs="Times New Roman"/>
          <w:noProof/>
          <w:lang w:val="sk-SK"/>
        </w:rPr>
        <w:t>tomto opatrení vyžaduje, aby hospodárske subjekty vykonávajúce stavebné práce zabezpečili, že najmenej 70</w:t>
      </w:r>
      <w:r w:rsidR="00083739" w:rsidRPr="00083739">
        <w:rPr>
          <w:rFonts w:cs="Times New Roman"/>
          <w:noProof/>
          <w:lang w:val="sk-SK"/>
        </w:rPr>
        <w:t> %</w:t>
      </w:r>
      <w:r w:rsidRPr="00083739">
        <w:rPr>
          <w:rFonts w:cs="Times New Roman"/>
          <w:noProof/>
          <w:lang w:val="sk-SK"/>
        </w:rPr>
        <w:t xml:space="preserve"> (hmotnosti) </w:t>
      </w:r>
      <w:r w:rsidRPr="00083739">
        <w:rPr>
          <w:rFonts w:cs="Times New Roman"/>
          <w:noProof/>
          <w:lang w:val="sk-SK"/>
        </w:rPr>
        <w:t>stavebného</w:t>
      </w:r>
      <w:r w:rsidR="00083739" w:rsidRPr="00083739">
        <w:rPr>
          <w:rFonts w:cs="Times New Roman"/>
          <w:noProof/>
          <w:lang w:val="sk-SK"/>
        </w:rPr>
        <w:t xml:space="preserve"> a </w:t>
      </w:r>
      <w:r w:rsidRPr="00083739">
        <w:rPr>
          <w:rFonts w:cs="Times New Roman"/>
          <w:noProof/>
          <w:lang w:val="sk-SK"/>
        </w:rPr>
        <w:t>demolačného odpadu, ktorý nie je nebezpečný [okrem prirodzene sa vyskytujúceho materiálu uvedeného</w:t>
      </w:r>
      <w:r w:rsidR="00083739" w:rsidRPr="00083739">
        <w:rPr>
          <w:rFonts w:cs="Times New Roman"/>
          <w:noProof/>
          <w:lang w:val="sk-SK"/>
        </w:rPr>
        <w:t xml:space="preserve"> v </w:t>
      </w:r>
      <w:r w:rsidRPr="00083739">
        <w:rPr>
          <w:rFonts w:cs="Times New Roman"/>
          <w:noProof/>
          <w:lang w:val="sk-SK"/>
        </w:rPr>
        <w:t>kategórii 17 05 04</w:t>
      </w:r>
      <w:r w:rsidR="00083739" w:rsidRPr="00083739">
        <w:rPr>
          <w:rFonts w:cs="Times New Roman"/>
          <w:noProof/>
          <w:lang w:val="sk-SK"/>
        </w:rPr>
        <w:t xml:space="preserve"> v </w:t>
      </w:r>
      <w:r w:rsidRPr="00083739">
        <w:rPr>
          <w:rFonts w:cs="Times New Roman"/>
          <w:noProof/>
          <w:lang w:val="sk-SK"/>
        </w:rPr>
        <w:t>európskom zozname odpadov vytvorenom rozhodnutím 2000/532/ES</w:t>
      </w:r>
      <w:r w:rsidR="00083739" w:rsidRPr="00083739">
        <w:rPr>
          <w:rFonts w:cs="Times New Roman"/>
          <w:noProof/>
          <w:lang w:val="sk-SK"/>
        </w:rPr>
        <w:t xml:space="preserve"> z </w:t>
      </w:r>
      <w:r w:rsidRPr="00083739">
        <w:rPr>
          <w:rFonts w:cs="Times New Roman"/>
          <w:noProof/>
          <w:lang w:val="sk-SK"/>
        </w:rPr>
        <w:t>3</w:t>
      </w:r>
      <w:r w:rsidR="00083739" w:rsidRPr="00083739">
        <w:rPr>
          <w:rFonts w:cs="Times New Roman"/>
          <w:noProof/>
          <w:lang w:val="sk-SK"/>
        </w:rPr>
        <w:t>. mája</w:t>
      </w:r>
      <w:r w:rsidRPr="00083739">
        <w:rPr>
          <w:rFonts w:cs="Times New Roman"/>
          <w:noProof/>
          <w:lang w:val="sk-SK"/>
        </w:rPr>
        <w:t xml:space="preserve"> 2000, ktorým sa nahrádza</w:t>
      </w:r>
      <w:r w:rsidRPr="00083739">
        <w:rPr>
          <w:rFonts w:cs="Times New Roman"/>
          <w:noProof/>
          <w:lang w:val="sk-SK"/>
        </w:rPr>
        <w:t xml:space="preserve"> rozhodnutie 94/3/ES, ktorým sa zavádza zoznam odpadov podľa článku 1 písm. a) smernice Rady 75/442/EHS</w:t>
      </w:r>
      <w:r w:rsidR="00083739" w:rsidRPr="00083739">
        <w:rPr>
          <w:rFonts w:cs="Times New Roman"/>
          <w:noProof/>
          <w:lang w:val="sk-SK"/>
        </w:rPr>
        <w:t xml:space="preserve"> o </w:t>
      </w:r>
      <w:r w:rsidRPr="00083739">
        <w:rPr>
          <w:rFonts w:cs="Times New Roman"/>
          <w:noProof/>
          <w:lang w:val="sk-SK"/>
        </w:rPr>
        <w:t>odpade</w:t>
      </w:r>
      <w:r w:rsidR="00083739" w:rsidRPr="00083739">
        <w:rPr>
          <w:rFonts w:cs="Times New Roman"/>
          <w:noProof/>
          <w:lang w:val="sk-SK"/>
        </w:rPr>
        <w:t xml:space="preserve"> a </w:t>
      </w:r>
      <w:r w:rsidRPr="00083739">
        <w:rPr>
          <w:rFonts w:cs="Times New Roman"/>
          <w:noProof/>
          <w:lang w:val="sk-SK"/>
        </w:rPr>
        <w:t>rozhodnutia Rady 94/904/ES, ktorým sa vydáva zoznam nebezpečných odpadov podľa článku 1 ods. 4 smernice Rady 91/689/EHS</w:t>
      </w:r>
      <w:r w:rsidR="00083739" w:rsidRPr="00083739">
        <w:rPr>
          <w:rFonts w:cs="Times New Roman"/>
          <w:noProof/>
          <w:lang w:val="sk-SK"/>
        </w:rPr>
        <w:t xml:space="preserve"> o </w:t>
      </w:r>
      <w:r w:rsidRPr="00083739">
        <w:rPr>
          <w:rFonts w:cs="Times New Roman"/>
          <w:noProof/>
          <w:lang w:val="sk-SK"/>
        </w:rPr>
        <w:t>nebezpečných odpado</w:t>
      </w:r>
      <w:r w:rsidRPr="00083739">
        <w:rPr>
          <w:rFonts w:cs="Times New Roman"/>
          <w:noProof/>
          <w:lang w:val="sk-SK"/>
        </w:rPr>
        <w:t>ch [oznámeným pod číslom C(2000) 1147], vytvoreného na stavenisku sa pripraví na opätovné použitie, recykláciu</w:t>
      </w:r>
      <w:r w:rsidR="00083739" w:rsidRPr="00083739">
        <w:rPr>
          <w:rFonts w:cs="Times New Roman"/>
          <w:noProof/>
          <w:lang w:val="sk-SK"/>
        </w:rPr>
        <w:t xml:space="preserve"> a </w:t>
      </w:r>
      <w:r w:rsidRPr="00083739">
        <w:rPr>
          <w:rFonts w:cs="Times New Roman"/>
          <w:noProof/>
          <w:lang w:val="sk-SK"/>
        </w:rPr>
        <w:t>iné materiálové zhodnocovanie vrátane spätného zasypávania</w:t>
      </w:r>
      <w:r w:rsidR="00083739" w:rsidRPr="00083739">
        <w:rPr>
          <w:rFonts w:cs="Times New Roman"/>
          <w:noProof/>
          <w:lang w:val="sk-SK"/>
        </w:rPr>
        <w:t xml:space="preserve"> s </w:t>
      </w:r>
      <w:r w:rsidRPr="00083739">
        <w:rPr>
          <w:rFonts w:cs="Times New Roman"/>
          <w:noProof/>
          <w:lang w:val="sk-SK"/>
        </w:rPr>
        <w:t>použitím odpadu ako náhrady iných materiálov,</w:t>
      </w:r>
      <w:r w:rsidR="00083739" w:rsidRPr="00083739">
        <w:rPr>
          <w:rFonts w:cs="Times New Roman"/>
          <w:noProof/>
          <w:lang w:val="sk-SK"/>
        </w:rPr>
        <w:t xml:space="preserve"> a </w:t>
      </w:r>
      <w:r w:rsidRPr="00083739">
        <w:rPr>
          <w:rFonts w:cs="Times New Roman"/>
          <w:noProof/>
          <w:lang w:val="sk-SK"/>
        </w:rPr>
        <w:t>to</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hierarchiou odpadové</w:t>
      </w:r>
      <w:r w:rsidRPr="00083739">
        <w:rPr>
          <w:rFonts w:cs="Times New Roman"/>
          <w:noProof/>
          <w:lang w:val="sk-SK"/>
        </w:rPr>
        <w:t>ho hospodárstva</w:t>
      </w:r>
      <w:r w:rsidR="00083739" w:rsidRPr="00083739">
        <w:rPr>
          <w:rFonts w:cs="Times New Roman"/>
          <w:noProof/>
          <w:lang w:val="sk-SK"/>
        </w:rPr>
        <w:t xml:space="preserve"> a </w:t>
      </w:r>
      <w:r w:rsidRPr="00083739">
        <w:rPr>
          <w:rFonts w:cs="Times New Roman"/>
          <w:noProof/>
          <w:lang w:val="sk-SK"/>
        </w:rPr>
        <w:t>protokolom EÚ</w:t>
      </w:r>
      <w:r w:rsidR="00083739" w:rsidRPr="00083739">
        <w:rPr>
          <w:rFonts w:cs="Times New Roman"/>
          <w:noProof/>
          <w:lang w:val="sk-SK"/>
        </w:rPr>
        <w:t xml:space="preserve"> o </w:t>
      </w:r>
      <w:r w:rsidRPr="00083739">
        <w:rPr>
          <w:rFonts w:cs="Times New Roman"/>
          <w:noProof/>
          <w:lang w:val="sk-SK"/>
        </w:rPr>
        <w:t>nakladaní so stavebným odpadom</w:t>
      </w:r>
      <w:r w:rsidR="00083739" w:rsidRPr="00083739">
        <w:rPr>
          <w:rFonts w:cs="Times New Roman"/>
          <w:noProof/>
          <w:lang w:val="sk-SK"/>
        </w:rPr>
        <w:t xml:space="preserve"> a </w:t>
      </w:r>
      <w:r w:rsidRPr="00083739">
        <w:rPr>
          <w:rFonts w:cs="Times New Roman"/>
          <w:noProof/>
          <w:lang w:val="sk-SK"/>
        </w:rPr>
        <w:t>odpadom</w:t>
      </w:r>
      <w:r w:rsidR="00083739" w:rsidRPr="00083739">
        <w:rPr>
          <w:rFonts w:cs="Times New Roman"/>
          <w:noProof/>
          <w:lang w:val="sk-SK"/>
        </w:rPr>
        <w:t xml:space="preserve"> z </w:t>
      </w:r>
      <w:r w:rsidRPr="00083739">
        <w:rPr>
          <w:rFonts w:cs="Times New Roman"/>
          <w:noProof/>
          <w:lang w:val="sk-SK"/>
        </w:rPr>
        <w:t>demolácie. Realizácia investície sa ukončí do 31</w:t>
      </w:r>
      <w:r w:rsidR="00083739" w:rsidRPr="00083739">
        <w:rPr>
          <w:rFonts w:cs="Times New Roman"/>
          <w:noProof/>
          <w:lang w:val="sk-SK"/>
        </w:rPr>
        <w:t>. decembra</w:t>
      </w:r>
      <w:r w:rsidRPr="00083739">
        <w:rPr>
          <w:rFonts w:cs="Times New Roman"/>
          <w:noProof/>
          <w:lang w:val="sk-SK"/>
        </w:rPr>
        <w:t xml:space="preserve"> 2025.</w:t>
      </w:r>
    </w:p>
    <w:p w14:paraId="48C61B27" w14:textId="7777777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Reforma:</w:t>
      </w:r>
      <w:r w:rsidRPr="00083739">
        <w:rPr>
          <w:rFonts w:cs="Times New Roman"/>
          <w:noProof/>
          <w:lang w:val="sk-SK"/>
        </w:rPr>
        <w:t xml:space="preserve"> Digitálna transformácia justície (elektronická justícia) (opatrenie ID 16727)</w:t>
      </w:r>
    </w:p>
    <w:p w14:paraId="730C7B03" w14:textId="662C7A6D" w:rsidR="002D49B0" w:rsidRPr="00083739" w:rsidRDefault="00BF4125">
      <w:pPr>
        <w:spacing w:before="120" w:after="120" w:line="240" w:lineRule="auto"/>
        <w:jc w:val="both"/>
        <w:rPr>
          <w:rFonts w:ascii="Times New Roman" w:hAnsi="Times New Roman" w:cs="Times New Roman"/>
          <w:noProof/>
          <w:sz w:val="24"/>
          <w:lang w:val="sk-SK"/>
        </w:rPr>
      </w:pPr>
      <w:r w:rsidRPr="00083739">
        <w:rPr>
          <w:rFonts w:ascii="Times New Roman" w:hAnsi="Times New Roman" w:cs="Times New Roman"/>
          <w:noProof/>
          <w:sz w:val="24"/>
          <w:lang w:val="sk-SK"/>
        </w:rPr>
        <w:t>Digitálna transformácia gré</w:t>
      </w:r>
      <w:r w:rsidRPr="00083739">
        <w:rPr>
          <w:rFonts w:ascii="Times New Roman" w:hAnsi="Times New Roman" w:cs="Times New Roman"/>
          <w:noProof/>
          <w:sz w:val="24"/>
          <w:lang w:val="sk-SK"/>
        </w:rPr>
        <w:t>ckeho justičného systému sa vykonáva pod dohľadom ministerstva spravodlivosti</w:t>
      </w:r>
      <w:r w:rsidR="00083739" w:rsidRPr="00083739">
        <w:rPr>
          <w:rFonts w:ascii="Times New Roman" w:hAnsi="Times New Roman" w:cs="Times New Roman"/>
          <w:noProof/>
          <w:sz w:val="24"/>
          <w:lang w:val="sk-SK"/>
        </w:rPr>
        <w:t xml:space="preserve"> a </w:t>
      </w:r>
      <w:r w:rsidRPr="00083739">
        <w:rPr>
          <w:rFonts w:ascii="Times New Roman" w:hAnsi="Times New Roman" w:cs="Times New Roman"/>
          <w:noProof/>
          <w:sz w:val="24"/>
          <w:lang w:val="sk-SK"/>
        </w:rPr>
        <w:t>pozostáva zo súboru opatrení, ktorých cieľom je zvýšiť jeho IT kapacity, pokiaľ ide</w:t>
      </w:r>
      <w:r w:rsidR="00083739" w:rsidRPr="00083739">
        <w:rPr>
          <w:rFonts w:ascii="Times New Roman" w:hAnsi="Times New Roman" w:cs="Times New Roman"/>
          <w:noProof/>
          <w:sz w:val="24"/>
          <w:lang w:val="sk-SK"/>
        </w:rPr>
        <w:t xml:space="preserve"> o </w:t>
      </w:r>
      <w:r w:rsidRPr="00083739">
        <w:rPr>
          <w:rFonts w:ascii="Times New Roman" w:hAnsi="Times New Roman" w:cs="Times New Roman"/>
          <w:noProof/>
          <w:sz w:val="24"/>
          <w:lang w:val="sk-SK"/>
        </w:rPr>
        <w:t>digitalizáciu dokumentov, zlepšenie systému vedenia záznamov súdov, zjednodušenie, štandar</w:t>
      </w:r>
      <w:r w:rsidRPr="00083739">
        <w:rPr>
          <w:rFonts w:ascii="Times New Roman" w:hAnsi="Times New Roman" w:cs="Times New Roman"/>
          <w:noProof/>
          <w:sz w:val="24"/>
          <w:lang w:val="sk-SK"/>
        </w:rPr>
        <w:t>dizáciu</w:t>
      </w:r>
      <w:r w:rsidR="00083739" w:rsidRPr="00083739">
        <w:rPr>
          <w:rFonts w:ascii="Times New Roman" w:hAnsi="Times New Roman" w:cs="Times New Roman"/>
          <w:noProof/>
          <w:sz w:val="24"/>
          <w:lang w:val="sk-SK"/>
        </w:rPr>
        <w:t xml:space="preserve"> a </w:t>
      </w:r>
      <w:r w:rsidRPr="00083739">
        <w:rPr>
          <w:rFonts w:ascii="Times New Roman" w:hAnsi="Times New Roman" w:cs="Times New Roman"/>
          <w:noProof/>
          <w:sz w:val="24"/>
          <w:lang w:val="sk-SK"/>
        </w:rPr>
        <w:t>urýchlenie postupov prostredníctvom digitalizácie</w:t>
      </w:r>
      <w:r w:rsidR="00083739" w:rsidRPr="00083739">
        <w:rPr>
          <w:rFonts w:ascii="Times New Roman" w:hAnsi="Times New Roman" w:cs="Times New Roman"/>
          <w:noProof/>
          <w:sz w:val="24"/>
          <w:lang w:val="sk-SK"/>
        </w:rPr>
        <w:t xml:space="preserve"> a </w:t>
      </w:r>
      <w:r w:rsidRPr="00083739">
        <w:rPr>
          <w:rFonts w:ascii="Times New Roman" w:hAnsi="Times New Roman" w:cs="Times New Roman"/>
          <w:noProof/>
          <w:sz w:val="24"/>
          <w:lang w:val="sk-SK"/>
        </w:rPr>
        <w:t>interoperabilitu informačných systémov súdov</w:t>
      </w:r>
      <w:r w:rsidR="00083739" w:rsidRPr="00083739">
        <w:rPr>
          <w:rFonts w:ascii="Times New Roman" w:hAnsi="Times New Roman" w:cs="Times New Roman"/>
          <w:noProof/>
          <w:sz w:val="24"/>
          <w:lang w:val="sk-SK"/>
        </w:rPr>
        <w:t xml:space="preserve"> s </w:t>
      </w:r>
      <w:r w:rsidRPr="00083739">
        <w:rPr>
          <w:rFonts w:ascii="Times New Roman" w:hAnsi="Times New Roman" w:cs="Times New Roman"/>
          <w:noProof/>
          <w:sz w:val="24"/>
          <w:lang w:val="sk-SK"/>
        </w:rPr>
        <w:t>systémami ministerstva spravodlivosti, ako aj iných vnútroštátnych</w:t>
      </w:r>
      <w:r w:rsidR="00083739" w:rsidRPr="00083739">
        <w:rPr>
          <w:rFonts w:ascii="Times New Roman" w:hAnsi="Times New Roman" w:cs="Times New Roman"/>
          <w:noProof/>
          <w:sz w:val="24"/>
          <w:lang w:val="sk-SK"/>
        </w:rPr>
        <w:t xml:space="preserve"> a </w:t>
      </w:r>
      <w:r w:rsidRPr="00083739">
        <w:rPr>
          <w:rFonts w:ascii="Times New Roman" w:hAnsi="Times New Roman" w:cs="Times New Roman"/>
          <w:noProof/>
          <w:sz w:val="24"/>
          <w:lang w:val="sk-SK"/>
        </w:rPr>
        <w:t>medzinárodných orgánov a/alebo databáz. Táto reforma sa vzťahuje na občianske</w:t>
      </w:r>
      <w:r w:rsidR="00083739" w:rsidRPr="00083739">
        <w:rPr>
          <w:rFonts w:ascii="Times New Roman" w:hAnsi="Times New Roman" w:cs="Times New Roman"/>
          <w:noProof/>
          <w:sz w:val="24"/>
          <w:lang w:val="sk-SK"/>
        </w:rPr>
        <w:t xml:space="preserve"> a </w:t>
      </w:r>
      <w:r w:rsidRPr="00083739">
        <w:rPr>
          <w:rFonts w:ascii="Times New Roman" w:hAnsi="Times New Roman" w:cs="Times New Roman"/>
          <w:noProof/>
          <w:sz w:val="24"/>
          <w:lang w:val="sk-SK"/>
        </w:rPr>
        <w:t>trestné zložky súdnictva, ako aj na Dvor audítorov.</w:t>
      </w:r>
      <w:r w:rsidRPr="00083739">
        <w:rPr>
          <w:rFonts w:ascii="Times New Roman" w:hAnsi="Times New Roman" w:cs="Times New Roman"/>
          <w:noProof/>
          <w:lang w:val="sk-SK"/>
        </w:rPr>
        <w:t xml:space="preserve"> </w:t>
      </w:r>
      <w:r w:rsidRPr="00083739">
        <w:rPr>
          <w:rFonts w:ascii="Times New Roman" w:hAnsi="Times New Roman" w:cs="Times New Roman"/>
          <w:noProof/>
          <w:sz w:val="24"/>
          <w:lang w:val="sk-SK"/>
        </w:rPr>
        <w:t>Cieľom reformy je po dokončení poskytnúť sudcom</w:t>
      </w:r>
      <w:r w:rsidR="00083739" w:rsidRPr="00083739">
        <w:rPr>
          <w:rFonts w:ascii="Times New Roman" w:hAnsi="Times New Roman" w:cs="Times New Roman"/>
          <w:noProof/>
          <w:sz w:val="24"/>
          <w:lang w:val="sk-SK"/>
        </w:rPr>
        <w:t xml:space="preserve"> a </w:t>
      </w:r>
      <w:r w:rsidRPr="00083739">
        <w:rPr>
          <w:rFonts w:ascii="Times New Roman" w:hAnsi="Times New Roman" w:cs="Times New Roman"/>
          <w:noProof/>
          <w:sz w:val="24"/>
          <w:lang w:val="sk-SK"/>
        </w:rPr>
        <w:t>justičným pracovníkom nástroje</w:t>
      </w:r>
      <w:r w:rsidR="00083739" w:rsidRPr="00083739">
        <w:rPr>
          <w:rFonts w:ascii="Times New Roman" w:hAnsi="Times New Roman" w:cs="Times New Roman"/>
          <w:noProof/>
          <w:sz w:val="24"/>
          <w:lang w:val="sk-SK"/>
        </w:rPr>
        <w:t xml:space="preserve"> a </w:t>
      </w:r>
      <w:r w:rsidRPr="00083739">
        <w:rPr>
          <w:rFonts w:ascii="Times New Roman" w:hAnsi="Times New Roman" w:cs="Times New Roman"/>
          <w:noProof/>
          <w:sz w:val="24"/>
          <w:lang w:val="sk-SK"/>
        </w:rPr>
        <w:t>infraštruktúru, ktoré im umožnia zvýšiť efektívnosť riadenia záťaže</w:t>
      </w:r>
      <w:r w:rsidR="00083739" w:rsidRPr="00083739">
        <w:rPr>
          <w:rFonts w:ascii="Times New Roman" w:hAnsi="Times New Roman" w:cs="Times New Roman"/>
          <w:noProof/>
          <w:sz w:val="24"/>
          <w:lang w:val="sk-SK"/>
        </w:rPr>
        <w:t xml:space="preserve"> a </w:t>
      </w:r>
      <w:r w:rsidRPr="00083739">
        <w:rPr>
          <w:rFonts w:ascii="Times New Roman" w:hAnsi="Times New Roman" w:cs="Times New Roman"/>
          <w:noProof/>
          <w:sz w:val="24"/>
          <w:lang w:val="sk-SK"/>
        </w:rPr>
        <w:t xml:space="preserve">rýchlosť výkonu spravodlivosti bez toho, aby sa </w:t>
      </w:r>
      <w:r w:rsidRPr="00083739">
        <w:rPr>
          <w:rFonts w:ascii="Times New Roman" w:hAnsi="Times New Roman" w:cs="Times New Roman"/>
          <w:noProof/>
          <w:sz w:val="24"/>
          <w:lang w:val="sk-SK"/>
        </w:rPr>
        <w:t>ohrozila jej kvalita.</w:t>
      </w:r>
    </w:p>
    <w:p w14:paraId="40D81CBF" w14:textId="50B3BD10"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Implementácia tejto reformy sa dokončí do 31</w:t>
      </w:r>
      <w:r w:rsidR="00083739" w:rsidRPr="00083739">
        <w:rPr>
          <w:rFonts w:cs="Times New Roman"/>
          <w:noProof/>
          <w:lang w:val="sk-SK"/>
        </w:rPr>
        <w:t>. decembra</w:t>
      </w:r>
      <w:r w:rsidRPr="00083739">
        <w:rPr>
          <w:rFonts w:cs="Times New Roman"/>
          <w:noProof/>
          <w:lang w:val="sk-SK"/>
        </w:rPr>
        <w:t xml:space="preserve"> 2025.</w:t>
      </w:r>
    </w:p>
    <w:p w14:paraId="3DD3B290" w14:textId="3C58750A"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Reforma:</w:t>
      </w:r>
      <w:r w:rsidRPr="00083739">
        <w:rPr>
          <w:rFonts w:cs="Times New Roman"/>
          <w:noProof/>
          <w:lang w:val="sk-SK"/>
        </w:rPr>
        <w:t xml:space="preserve"> Zručnosti</w:t>
      </w:r>
      <w:r w:rsidR="00083739" w:rsidRPr="00083739">
        <w:rPr>
          <w:rFonts w:cs="Times New Roman"/>
          <w:noProof/>
          <w:lang w:val="sk-SK"/>
        </w:rPr>
        <w:t xml:space="preserve"> a </w:t>
      </w:r>
      <w:r w:rsidRPr="00083739">
        <w:rPr>
          <w:rFonts w:cs="Times New Roman"/>
          <w:noProof/>
          <w:lang w:val="sk-SK"/>
        </w:rPr>
        <w:t>digitálne zručnosti sudcov</w:t>
      </w:r>
      <w:r w:rsidR="00083739" w:rsidRPr="00083739">
        <w:rPr>
          <w:rFonts w:cs="Times New Roman"/>
          <w:noProof/>
          <w:lang w:val="sk-SK"/>
        </w:rPr>
        <w:t xml:space="preserve"> a </w:t>
      </w:r>
      <w:r w:rsidRPr="00083739">
        <w:rPr>
          <w:rFonts w:cs="Times New Roman"/>
          <w:noProof/>
          <w:lang w:val="sk-SK"/>
        </w:rPr>
        <w:t>justičných zamestnancov (justiční zamestnanci) (opatrenie ID 16733)</w:t>
      </w:r>
    </w:p>
    <w:p w14:paraId="33F6542E" w14:textId="15E980E4" w:rsidR="00083739"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Národná škola sudcov prechádza viacerými inštitucionáln</w:t>
      </w:r>
      <w:r w:rsidRPr="00083739">
        <w:rPr>
          <w:rFonts w:cs="Times New Roman"/>
          <w:noProof/>
          <w:lang w:val="sk-SK"/>
        </w:rPr>
        <w:t>ymi zmenami, pokiaľ ide</w:t>
      </w:r>
      <w:r w:rsidR="00083739" w:rsidRPr="00083739">
        <w:rPr>
          <w:rFonts w:cs="Times New Roman"/>
          <w:noProof/>
          <w:lang w:val="sk-SK"/>
        </w:rPr>
        <w:t xml:space="preserve"> o </w:t>
      </w:r>
      <w:r w:rsidRPr="00083739">
        <w:rPr>
          <w:rFonts w:cs="Times New Roman"/>
          <w:noProof/>
          <w:lang w:val="sk-SK"/>
        </w:rPr>
        <w:t>jej funkciu</w:t>
      </w:r>
      <w:r w:rsidR="00083739" w:rsidRPr="00083739">
        <w:rPr>
          <w:rFonts w:cs="Times New Roman"/>
          <w:noProof/>
          <w:lang w:val="sk-SK"/>
        </w:rPr>
        <w:t xml:space="preserve"> a </w:t>
      </w:r>
      <w:r w:rsidRPr="00083739">
        <w:rPr>
          <w:rFonts w:cs="Times New Roman"/>
          <w:noProof/>
          <w:lang w:val="sk-SK"/>
        </w:rPr>
        <w:t xml:space="preserve">vzdelávací program; </w:t>
      </w:r>
      <w:r w:rsidRPr="00083739">
        <w:rPr>
          <w:rFonts w:cs="Times New Roman"/>
          <w:noProof/>
          <w:color w:val="000000"/>
          <w:lang w:val="sk-SK"/>
        </w:rPr>
        <w:t>zrevidujú sa aj kritériá výberu kandidátov, aby sa</w:t>
      </w:r>
      <w:r w:rsidRPr="00083739">
        <w:rPr>
          <w:rFonts w:cs="Times New Roman"/>
          <w:noProof/>
          <w:lang w:val="sk-SK"/>
        </w:rPr>
        <w:t xml:space="preserve"> zabezpečilo selektívnejšie</w:t>
      </w:r>
      <w:r w:rsidR="00083739" w:rsidRPr="00083739">
        <w:rPr>
          <w:rFonts w:cs="Times New Roman"/>
          <w:noProof/>
          <w:lang w:val="sk-SK"/>
        </w:rPr>
        <w:t xml:space="preserve"> a </w:t>
      </w:r>
      <w:r w:rsidRPr="00083739">
        <w:rPr>
          <w:rFonts w:cs="Times New Roman"/>
          <w:noProof/>
          <w:lang w:val="sk-SK"/>
        </w:rPr>
        <w:t>konkurenčnejšie študijné prostredie, pričom sa prijmú ďalšie kategórie študentov (sudcovia zmierovacieho súdu</w:t>
      </w:r>
      <w:r w:rsidR="00083739" w:rsidRPr="00083739">
        <w:rPr>
          <w:rFonts w:cs="Times New Roman"/>
          <w:noProof/>
          <w:lang w:val="sk-SK"/>
        </w:rPr>
        <w:t xml:space="preserve"> a </w:t>
      </w:r>
      <w:r w:rsidRPr="00083739">
        <w:rPr>
          <w:rFonts w:cs="Times New Roman"/>
          <w:noProof/>
          <w:lang w:val="sk-SK"/>
        </w:rPr>
        <w:t xml:space="preserve">súd </w:t>
      </w:r>
      <w:r w:rsidRPr="00083739">
        <w:rPr>
          <w:rFonts w:cs="Times New Roman"/>
          <w:noProof/>
          <w:lang w:val="sk-SK"/>
        </w:rPr>
        <w:t>pre audit); ponúka aj ďalšie kurzy zamerané na poskytovanie nových zručností</w:t>
      </w:r>
      <w:r w:rsidR="00083739" w:rsidRPr="00083739">
        <w:rPr>
          <w:rFonts w:cs="Times New Roman"/>
          <w:noProof/>
          <w:lang w:val="sk-SK"/>
        </w:rPr>
        <w:t xml:space="preserve"> s </w:t>
      </w:r>
      <w:r w:rsidRPr="00083739">
        <w:rPr>
          <w:rFonts w:cs="Times New Roman"/>
          <w:noProof/>
          <w:lang w:val="sk-SK"/>
        </w:rPr>
        <w:t>dôrazom na manažérske</w:t>
      </w:r>
      <w:r w:rsidR="00083739" w:rsidRPr="00083739">
        <w:rPr>
          <w:rFonts w:cs="Times New Roman"/>
          <w:noProof/>
          <w:lang w:val="sk-SK"/>
        </w:rPr>
        <w:t xml:space="preserve"> a </w:t>
      </w:r>
      <w:r w:rsidRPr="00083739">
        <w:rPr>
          <w:rFonts w:cs="Times New Roman"/>
          <w:noProof/>
          <w:lang w:val="sk-SK"/>
        </w:rPr>
        <w:t xml:space="preserve">digitálne zručnosti, ako aj na témy relevantné pre výkon súdnych povinností podľa zákona č. 4871/2021; reforma zahŕňa poskytovanie povinnej celoživotnej </w:t>
      </w:r>
      <w:r w:rsidRPr="00083739">
        <w:rPr>
          <w:rFonts w:cs="Times New Roman"/>
          <w:noProof/>
          <w:lang w:val="sk-SK"/>
        </w:rPr>
        <w:t>odbornej prípravy sudcom</w:t>
      </w:r>
      <w:r w:rsidR="00083739" w:rsidRPr="00083739">
        <w:rPr>
          <w:rFonts w:cs="Times New Roman"/>
          <w:noProof/>
          <w:lang w:val="sk-SK"/>
        </w:rPr>
        <w:t xml:space="preserve"> v </w:t>
      </w:r>
      <w:r w:rsidRPr="00083739">
        <w:rPr>
          <w:rFonts w:cs="Times New Roman"/>
          <w:noProof/>
          <w:lang w:val="sk-SK"/>
        </w:rPr>
        <w:t>oblastiach nevyhnutných pre výkon ich povinností školiteľmi, ktorých vybrala aj Národná škola sudcov podľa zákona č. 4871/2021. Napokon sa</w:t>
      </w:r>
      <w:r w:rsidR="00083739" w:rsidRPr="00083739">
        <w:rPr>
          <w:rFonts w:cs="Times New Roman"/>
          <w:noProof/>
          <w:lang w:val="sk-SK"/>
        </w:rPr>
        <w:t xml:space="preserve"> v </w:t>
      </w:r>
      <w:r w:rsidRPr="00083739">
        <w:rPr>
          <w:rFonts w:cs="Times New Roman"/>
          <w:noProof/>
          <w:lang w:val="sk-SK"/>
        </w:rPr>
        <w:t>rámci Národnej školy sudcov vytvorí nový vzdelávací program pre súdnych úradníkov</w:t>
      </w:r>
      <w:r w:rsidR="00083739" w:rsidRPr="00083739">
        <w:rPr>
          <w:rFonts w:cs="Times New Roman"/>
          <w:noProof/>
          <w:lang w:val="sk-SK"/>
        </w:rPr>
        <w:t xml:space="preserve"> s </w:t>
      </w:r>
      <w:r w:rsidRPr="00083739">
        <w:rPr>
          <w:rFonts w:cs="Times New Roman"/>
          <w:noProof/>
          <w:lang w:val="sk-SK"/>
        </w:rPr>
        <w:t>cieľ</w:t>
      </w:r>
      <w:r w:rsidRPr="00083739">
        <w:rPr>
          <w:rFonts w:cs="Times New Roman"/>
          <w:noProof/>
          <w:lang w:val="sk-SK"/>
        </w:rPr>
        <w:t>om poskytovať odbornú prípravu</w:t>
      </w:r>
      <w:r w:rsidR="00083739" w:rsidRPr="00083739">
        <w:rPr>
          <w:rFonts w:cs="Times New Roman"/>
          <w:noProof/>
          <w:lang w:val="sk-SK"/>
        </w:rPr>
        <w:t xml:space="preserve"> a </w:t>
      </w:r>
      <w:r w:rsidRPr="00083739">
        <w:rPr>
          <w:rFonts w:cs="Times New Roman"/>
          <w:noProof/>
          <w:lang w:val="sk-SK"/>
        </w:rPr>
        <w:t>celoživotné vzdelávanie administratívnych pracovníkov na témy, ktoré sú nevyhnutné pre výkon ich povinností, riadenie</w:t>
      </w:r>
      <w:r w:rsidR="00083739" w:rsidRPr="00083739">
        <w:rPr>
          <w:rFonts w:cs="Times New Roman"/>
          <w:noProof/>
          <w:lang w:val="sk-SK"/>
        </w:rPr>
        <w:t xml:space="preserve"> a </w:t>
      </w:r>
      <w:r w:rsidRPr="00083739">
        <w:rPr>
          <w:rFonts w:cs="Times New Roman"/>
          <w:noProof/>
          <w:lang w:val="sk-SK"/>
        </w:rPr>
        <w:t>organizáciu ich služby, digitálne zručnosti, procesné</w:t>
      </w:r>
      <w:r w:rsidR="00083739" w:rsidRPr="00083739">
        <w:rPr>
          <w:rFonts w:cs="Times New Roman"/>
          <w:noProof/>
          <w:lang w:val="sk-SK"/>
        </w:rPr>
        <w:t xml:space="preserve"> a </w:t>
      </w:r>
      <w:r w:rsidRPr="00083739">
        <w:rPr>
          <w:rFonts w:cs="Times New Roman"/>
          <w:noProof/>
          <w:lang w:val="sk-SK"/>
        </w:rPr>
        <w:t>hmotné právo</w:t>
      </w:r>
      <w:r w:rsidR="00083739" w:rsidRPr="00083739">
        <w:rPr>
          <w:rFonts w:cs="Times New Roman"/>
          <w:noProof/>
          <w:lang w:val="sk-SK"/>
        </w:rPr>
        <w:t>.</w:t>
      </w:r>
    </w:p>
    <w:p w14:paraId="3738B9F4" w14:textId="46CBD3AA"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Implementácia tejto reformy sa do</w:t>
      </w:r>
      <w:r w:rsidRPr="00083739">
        <w:rPr>
          <w:rFonts w:cs="Times New Roman"/>
          <w:noProof/>
          <w:lang w:val="sk-SK"/>
        </w:rPr>
        <w:t>končí do 31</w:t>
      </w:r>
      <w:r w:rsidR="00083739" w:rsidRPr="00083739">
        <w:rPr>
          <w:rFonts w:cs="Times New Roman"/>
          <w:noProof/>
          <w:lang w:val="sk-SK"/>
        </w:rPr>
        <w:t>. decembra</w:t>
      </w:r>
      <w:r w:rsidRPr="00083739">
        <w:rPr>
          <w:rFonts w:cs="Times New Roman"/>
          <w:noProof/>
          <w:lang w:val="sk-SK"/>
        </w:rPr>
        <w:t xml:space="preserve"> 2024.</w:t>
      </w:r>
    </w:p>
    <w:p w14:paraId="164289E7" w14:textId="77777777" w:rsidR="002D49B0" w:rsidRPr="00083739" w:rsidRDefault="00BF4125">
      <w:pPr>
        <w:pStyle w:val="P68B1DB1-Normal5"/>
        <w:spacing w:before="120" w:after="120" w:line="240" w:lineRule="auto"/>
        <w:jc w:val="both"/>
        <w:rPr>
          <w:rFonts w:cs="Times New Roman"/>
          <w:noProof/>
          <w:lang w:val="sk-SK"/>
        </w:rPr>
      </w:pPr>
      <w:r w:rsidRPr="00083739">
        <w:rPr>
          <w:rFonts w:cs="Times New Roman"/>
          <w:b/>
          <w:noProof/>
          <w:lang w:val="sk-SK"/>
        </w:rPr>
        <w:t>Reforma:</w:t>
      </w:r>
      <w:r w:rsidRPr="00083739">
        <w:rPr>
          <w:rFonts w:cs="Times New Roman"/>
          <w:noProof/>
          <w:lang w:val="sk-SK"/>
        </w:rPr>
        <w:t xml:space="preserve"> Urýchlenie výkonu spravodlivosti (opatrenie ID 16575)</w:t>
      </w:r>
    </w:p>
    <w:p w14:paraId="587F1BB9" w14:textId="053A2653" w:rsidR="00083739"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Cieľom tejto reformy je urýchliť výkon spravodlivosti</w:t>
      </w:r>
      <w:r w:rsidR="00083739" w:rsidRPr="00083739">
        <w:rPr>
          <w:rFonts w:cs="Times New Roman"/>
          <w:noProof/>
          <w:lang w:val="sk-SK"/>
        </w:rPr>
        <w:t xml:space="preserve"> a </w:t>
      </w:r>
      <w:r w:rsidRPr="00083739">
        <w:rPr>
          <w:rFonts w:cs="Times New Roman"/>
          <w:noProof/>
          <w:lang w:val="sk-SK"/>
        </w:rPr>
        <w:t>prispieť</w:t>
      </w:r>
      <w:r w:rsidR="00083739" w:rsidRPr="00083739">
        <w:rPr>
          <w:rFonts w:cs="Times New Roman"/>
          <w:noProof/>
          <w:lang w:val="sk-SK"/>
        </w:rPr>
        <w:t xml:space="preserve"> k </w:t>
      </w:r>
      <w:r w:rsidRPr="00083739">
        <w:rPr>
          <w:rFonts w:cs="Times New Roman"/>
          <w:noProof/>
          <w:lang w:val="sk-SK"/>
        </w:rPr>
        <w:t>hospodárskej</w:t>
      </w:r>
      <w:r w:rsidR="00083739" w:rsidRPr="00083739">
        <w:rPr>
          <w:rFonts w:cs="Times New Roman"/>
          <w:noProof/>
          <w:lang w:val="sk-SK"/>
        </w:rPr>
        <w:t xml:space="preserve"> a </w:t>
      </w:r>
      <w:r w:rsidRPr="00083739">
        <w:rPr>
          <w:rFonts w:cs="Times New Roman"/>
          <w:noProof/>
          <w:lang w:val="sk-SK"/>
        </w:rPr>
        <w:t>inštitucionálnej transformácii krajiny. Najdôležitejším prvkom reformy je plánovaná</w:t>
      </w:r>
      <w:r w:rsidRPr="00083739">
        <w:rPr>
          <w:rFonts w:cs="Times New Roman"/>
          <w:noProof/>
          <w:lang w:val="sk-SK"/>
        </w:rPr>
        <w:t xml:space="preserve"> revízia súdnej mapy</w:t>
      </w:r>
      <w:r w:rsidR="00083739" w:rsidRPr="00083739">
        <w:rPr>
          <w:rFonts w:cs="Times New Roman"/>
          <w:noProof/>
          <w:lang w:val="sk-SK"/>
        </w:rPr>
        <w:t xml:space="preserve"> v </w:t>
      </w:r>
      <w:r w:rsidRPr="00083739">
        <w:rPr>
          <w:rFonts w:cs="Times New Roman"/>
          <w:noProof/>
          <w:lang w:val="sk-SK"/>
        </w:rPr>
        <w:t>celej krajine, ktorá povedie</w:t>
      </w:r>
      <w:r w:rsidR="00083739" w:rsidRPr="00083739">
        <w:rPr>
          <w:rFonts w:cs="Times New Roman"/>
          <w:noProof/>
          <w:lang w:val="sk-SK"/>
        </w:rPr>
        <w:t xml:space="preserve"> k </w:t>
      </w:r>
      <w:r w:rsidRPr="00083739">
        <w:rPr>
          <w:rFonts w:cs="Times New Roman"/>
          <w:noProof/>
          <w:lang w:val="sk-SK"/>
        </w:rPr>
        <w:t>racionálnej reorganizácii súdnych obvodov</w:t>
      </w:r>
      <w:r w:rsidR="00083739" w:rsidRPr="00083739">
        <w:rPr>
          <w:rFonts w:cs="Times New Roman"/>
          <w:noProof/>
          <w:lang w:val="sk-SK"/>
        </w:rPr>
        <w:t xml:space="preserve"> v </w:t>
      </w:r>
      <w:r w:rsidRPr="00083739">
        <w:rPr>
          <w:rFonts w:cs="Times New Roman"/>
          <w:noProof/>
          <w:lang w:val="sk-SK"/>
        </w:rPr>
        <w:t>Grécku</w:t>
      </w:r>
      <w:r w:rsidR="00083739" w:rsidRPr="00083739">
        <w:rPr>
          <w:rFonts w:cs="Times New Roman"/>
          <w:noProof/>
          <w:lang w:val="sk-SK"/>
        </w:rPr>
        <w:t xml:space="preserve"> a k </w:t>
      </w:r>
      <w:r w:rsidRPr="00083739">
        <w:rPr>
          <w:rFonts w:cs="Times New Roman"/>
          <w:noProof/>
          <w:lang w:val="sk-SK"/>
        </w:rPr>
        <w:t>vytvoreniu, zrušeniu alebo prerozdeleniu súdnych štruktúr</w:t>
      </w:r>
      <w:r w:rsidR="00083739" w:rsidRPr="00083739">
        <w:rPr>
          <w:rFonts w:cs="Times New Roman"/>
          <w:noProof/>
          <w:lang w:val="sk-SK"/>
        </w:rPr>
        <w:t xml:space="preserve"> v </w:t>
      </w:r>
      <w:r w:rsidRPr="00083739">
        <w:rPr>
          <w:rFonts w:cs="Times New Roman"/>
          <w:noProof/>
          <w:lang w:val="sk-SK"/>
        </w:rPr>
        <w:t>týchto okresoch na základe objektívnych kritérií</w:t>
      </w:r>
      <w:r w:rsidR="00083739" w:rsidRPr="00083739">
        <w:rPr>
          <w:rFonts w:cs="Times New Roman"/>
          <w:noProof/>
          <w:lang w:val="sk-SK"/>
        </w:rPr>
        <w:t xml:space="preserve"> a </w:t>
      </w:r>
      <w:r w:rsidRPr="00083739">
        <w:rPr>
          <w:rFonts w:cs="Times New Roman"/>
          <w:noProof/>
          <w:lang w:val="sk-SK"/>
        </w:rPr>
        <w:t xml:space="preserve">rozsiahleho zberu údajov týkajúcich </w:t>
      </w:r>
      <w:r w:rsidRPr="00083739">
        <w:rPr>
          <w:rFonts w:cs="Times New Roman"/>
          <w:noProof/>
          <w:lang w:val="sk-SK"/>
        </w:rPr>
        <w:t>sa všetkých súdov</w:t>
      </w:r>
      <w:r w:rsidR="00083739" w:rsidRPr="00083739">
        <w:rPr>
          <w:rFonts w:cs="Times New Roman"/>
          <w:noProof/>
          <w:lang w:val="sk-SK"/>
        </w:rPr>
        <w:t xml:space="preserve"> v </w:t>
      </w:r>
      <w:r w:rsidRPr="00083739">
        <w:rPr>
          <w:rFonts w:cs="Times New Roman"/>
          <w:noProof/>
          <w:lang w:val="sk-SK"/>
        </w:rPr>
        <w:t>celej krajine. Reforma súdnej mapy sa vzťahuje na všetky zložky súdnictva (občianske, trestné</w:t>
      </w:r>
      <w:r w:rsidR="00083739" w:rsidRPr="00083739">
        <w:rPr>
          <w:rFonts w:cs="Times New Roman"/>
          <w:noProof/>
          <w:lang w:val="sk-SK"/>
        </w:rPr>
        <w:t xml:space="preserve"> a </w:t>
      </w:r>
      <w:r w:rsidRPr="00083739">
        <w:rPr>
          <w:rFonts w:cs="Times New Roman"/>
          <w:noProof/>
          <w:lang w:val="sk-SK"/>
        </w:rPr>
        <w:t>správne). Ďalšie opatrenia sú zamerané na zvýšenie efektívnosti</w:t>
      </w:r>
      <w:r w:rsidR="00083739" w:rsidRPr="00083739">
        <w:rPr>
          <w:rFonts w:cs="Times New Roman"/>
          <w:noProof/>
          <w:lang w:val="sk-SK"/>
        </w:rPr>
        <w:t xml:space="preserve"> a </w:t>
      </w:r>
      <w:r w:rsidRPr="00083739">
        <w:rPr>
          <w:rFonts w:cs="Times New Roman"/>
          <w:noProof/>
          <w:lang w:val="sk-SK"/>
        </w:rPr>
        <w:t>účinnosti justície</w:t>
      </w:r>
      <w:r w:rsidR="00083739" w:rsidRPr="00083739">
        <w:rPr>
          <w:rFonts w:cs="Times New Roman"/>
          <w:noProof/>
          <w:lang w:val="sk-SK"/>
        </w:rPr>
        <w:t>:</w:t>
      </w:r>
    </w:p>
    <w:p w14:paraId="546F72F0" w14:textId="0161B656" w:rsidR="002D49B0" w:rsidRPr="00083739" w:rsidRDefault="00BF4125">
      <w:pPr>
        <w:pStyle w:val="P68B1DB1-Normal4"/>
        <w:numPr>
          <w:ilvl w:val="0"/>
          <w:numId w:val="59"/>
        </w:numPr>
        <w:spacing w:before="120" w:after="120" w:line="240" w:lineRule="auto"/>
        <w:ind w:left="360"/>
        <w:jc w:val="both"/>
        <w:rPr>
          <w:rFonts w:cs="Times New Roman"/>
          <w:noProof/>
          <w:lang w:val="sk-SK"/>
        </w:rPr>
      </w:pPr>
      <w:r w:rsidRPr="00083739">
        <w:rPr>
          <w:rFonts w:cs="Times New Roman"/>
          <w:noProof/>
          <w:lang w:val="sk-SK"/>
        </w:rPr>
        <w:t>vytvorenie justičnej polície na podporu</w:t>
      </w:r>
      <w:r w:rsidR="00083739" w:rsidRPr="00083739">
        <w:rPr>
          <w:rFonts w:cs="Times New Roman"/>
          <w:noProof/>
          <w:lang w:val="sk-SK"/>
        </w:rPr>
        <w:t xml:space="preserve"> a </w:t>
      </w:r>
      <w:r w:rsidRPr="00083739">
        <w:rPr>
          <w:rFonts w:cs="Times New Roman"/>
          <w:noProof/>
          <w:lang w:val="sk-SK"/>
        </w:rPr>
        <w:t xml:space="preserve">zlepšenie </w:t>
      </w:r>
      <w:r w:rsidRPr="00083739">
        <w:rPr>
          <w:rFonts w:cs="Times New Roman"/>
          <w:noProof/>
          <w:lang w:val="sk-SK"/>
        </w:rPr>
        <w:t>fungovania spravodlivosti prispievaním know-how</w:t>
      </w:r>
      <w:r w:rsidR="00083739" w:rsidRPr="00083739">
        <w:rPr>
          <w:rFonts w:cs="Times New Roman"/>
          <w:noProof/>
          <w:lang w:val="sk-SK"/>
        </w:rPr>
        <w:t xml:space="preserve"> k </w:t>
      </w:r>
      <w:r w:rsidRPr="00083739">
        <w:rPr>
          <w:rFonts w:cs="Times New Roman"/>
          <w:noProof/>
          <w:lang w:val="sk-SK"/>
        </w:rPr>
        <w:t>vyšetrovaniu komplexnej trestnej činnosti (vrátane finančnej trestnej činnosti, korupcie</w:t>
      </w:r>
      <w:r w:rsidR="00083739" w:rsidRPr="00083739">
        <w:rPr>
          <w:rFonts w:cs="Times New Roman"/>
          <w:noProof/>
          <w:lang w:val="sk-SK"/>
        </w:rPr>
        <w:t xml:space="preserve"> a </w:t>
      </w:r>
      <w:r w:rsidRPr="00083739">
        <w:rPr>
          <w:rFonts w:cs="Times New Roman"/>
          <w:noProof/>
          <w:lang w:val="sk-SK"/>
        </w:rPr>
        <w:t>prania špinavých peňazí)</w:t>
      </w:r>
      <w:r w:rsidR="00083739" w:rsidRPr="00083739">
        <w:rPr>
          <w:rFonts w:cs="Times New Roman"/>
          <w:noProof/>
          <w:lang w:val="sk-SK"/>
        </w:rPr>
        <w:t xml:space="preserve"> a </w:t>
      </w:r>
      <w:r w:rsidRPr="00083739">
        <w:rPr>
          <w:rFonts w:cs="Times New Roman"/>
          <w:noProof/>
          <w:lang w:val="sk-SK"/>
        </w:rPr>
        <w:t>poskytovaním širokej škály služieb justičnej pomoci (pomoc pri vykonávaní predbežných pr</w:t>
      </w:r>
      <w:r w:rsidRPr="00083739">
        <w:rPr>
          <w:rFonts w:cs="Times New Roman"/>
          <w:noProof/>
          <w:lang w:val="sk-SK"/>
        </w:rPr>
        <w:t>eskúmaní</w:t>
      </w:r>
      <w:r w:rsidR="00083739" w:rsidRPr="00083739">
        <w:rPr>
          <w:rFonts w:cs="Times New Roman"/>
          <w:noProof/>
          <w:lang w:val="sk-SK"/>
        </w:rPr>
        <w:t xml:space="preserve"> a </w:t>
      </w:r>
      <w:r w:rsidRPr="00083739">
        <w:rPr>
          <w:rFonts w:cs="Times New Roman"/>
          <w:noProof/>
          <w:lang w:val="sk-SK"/>
        </w:rPr>
        <w:t>vyšetrovaní, výkone rozsudkov</w:t>
      </w:r>
      <w:r w:rsidR="00083739" w:rsidRPr="00083739">
        <w:rPr>
          <w:rFonts w:cs="Times New Roman"/>
          <w:noProof/>
          <w:lang w:val="sk-SK"/>
        </w:rPr>
        <w:t xml:space="preserve"> a </w:t>
      </w:r>
      <w:r w:rsidRPr="00083739">
        <w:rPr>
          <w:rFonts w:cs="Times New Roman"/>
          <w:noProof/>
          <w:lang w:val="sk-SK"/>
        </w:rPr>
        <w:t>doručovaní písomností</w:t>
      </w:r>
      <w:r w:rsidR="00083739" w:rsidRPr="00083739">
        <w:rPr>
          <w:rFonts w:cs="Times New Roman"/>
          <w:noProof/>
          <w:lang w:val="sk-SK"/>
        </w:rPr>
        <w:t xml:space="preserve"> a </w:t>
      </w:r>
      <w:r w:rsidRPr="00083739">
        <w:rPr>
          <w:rFonts w:cs="Times New Roman"/>
          <w:noProof/>
          <w:lang w:val="sk-SK"/>
        </w:rPr>
        <w:t>procesných úkonov, vykonávaní zatykačov, výkone rozsudkov, udržiavaní súdneho príkazu, pomoci pri predkladaní žiadostí</w:t>
      </w:r>
      <w:r w:rsidR="00083739" w:rsidRPr="00083739">
        <w:rPr>
          <w:rFonts w:cs="Times New Roman"/>
          <w:noProof/>
          <w:lang w:val="sk-SK"/>
        </w:rPr>
        <w:t xml:space="preserve"> o </w:t>
      </w:r>
      <w:r w:rsidRPr="00083739">
        <w:rPr>
          <w:rFonts w:cs="Times New Roman"/>
          <w:noProof/>
          <w:lang w:val="sk-SK"/>
        </w:rPr>
        <w:t>justičnú pomoc alebo pri odpovedi na ne</w:t>
      </w:r>
      <w:r w:rsidR="00083739" w:rsidRPr="00083739">
        <w:rPr>
          <w:rFonts w:cs="Times New Roman"/>
          <w:noProof/>
          <w:lang w:val="sk-SK"/>
        </w:rPr>
        <w:t xml:space="preserve"> a </w:t>
      </w:r>
      <w:r w:rsidRPr="00083739">
        <w:rPr>
          <w:rFonts w:cs="Times New Roman"/>
          <w:noProof/>
          <w:lang w:val="sk-SK"/>
        </w:rPr>
        <w:t>vykonávaní mandátov, ktoré</w:t>
      </w:r>
      <w:r w:rsidRPr="00083739">
        <w:rPr>
          <w:rFonts w:cs="Times New Roman"/>
          <w:noProof/>
          <w:lang w:val="sk-SK"/>
        </w:rPr>
        <w:t xml:space="preserve"> jej zverili príslušné súdy</w:t>
      </w:r>
      <w:r w:rsidR="00083739" w:rsidRPr="00083739">
        <w:rPr>
          <w:rFonts w:cs="Times New Roman"/>
          <w:noProof/>
          <w:lang w:val="sk-SK"/>
        </w:rPr>
        <w:t xml:space="preserve"> a </w:t>
      </w:r>
      <w:r w:rsidRPr="00083739">
        <w:rPr>
          <w:rFonts w:cs="Times New Roman"/>
          <w:noProof/>
          <w:lang w:val="sk-SK"/>
        </w:rPr>
        <w:t>prokurátori), a</w:t>
      </w:r>
    </w:p>
    <w:p w14:paraId="3F82CABD" w14:textId="2C86AB50" w:rsidR="002D49B0" w:rsidRPr="00083739" w:rsidRDefault="00BF4125">
      <w:pPr>
        <w:pStyle w:val="P68B1DB1-Normal4"/>
        <w:numPr>
          <w:ilvl w:val="0"/>
          <w:numId w:val="59"/>
        </w:numPr>
        <w:spacing w:before="120" w:after="120" w:line="240" w:lineRule="auto"/>
        <w:ind w:left="360"/>
        <w:jc w:val="both"/>
        <w:rPr>
          <w:rFonts w:cs="Times New Roman"/>
          <w:noProof/>
          <w:lang w:val="sk-SK"/>
        </w:rPr>
      </w:pPr>
      <w:r w:rsidRPr="00083739">
        <w:rPr>
          <w:rFonts w:cs="Times New Roman"/>
          <w:noProof/>
          <w:lang w:val="sk-SK"/>
        </w:rPr>
        <w:t>zavedenie dočasného systému na poskytovanie finančných stimulov súdnym úradníkom na základe objektívne merateľných individuálnych ukazovateľov výkonnosti</w:t>
      </w:r>
      <w:r w:rsidR="00083739" w:rsidRPr="00083739">
        <w:rPr>
          <w:rFonts w:cs="Times New Roman"/>
          <w:noProof/>
          <w:lang w:val="sk-SK"/>
        </w:rPr>
        <w:t xml:space="preserve"> a v </w:t>
      </w:r>
      <w:r w:rsidRPr="00083739">
        <w:rPr>
          <w:rFonts w:cs="Times New Roman"/>
          <w:noProof/>
          <w:lang w:val="sk-SK"/>
        </w:rPr>
        <w:t>plnom súlade</w:t>
      </w:r>
      <w:r w:rsidR="00083739" w:rsidRPr="00083739">
        <w:rPr>
          <w:rFonts w:cs="Times New Roman"/>
          <w:noProof/>
          <w:lang w:val="sk-SK"/>
        </w:rPr>
        <w:t xml:space="preserve"> s </w:t>
      </w:r>
      <w:r w:rsidRPr="00083739">
        <w:rPr>
          <w:rFonts w:cs="Times New Roman"/>
          <w:noProof/>
          <w:lang w:val="sk-SK"/>
        </w:rPr>
        <w:t xml:space="preserve">jednotnou mzdovou tabuľkou (zákon č. </w:t>
      </w:r>
      <w:r w:rsidRPr="00083739">
        <w:rPr>
          <w:rFonts w:cs="Times New Roman"/>
          <w:noProof/>
          <w:lang w:val="sk-SK"/>
        </w:rPr>
        <w:t>4354/2015) bez stanovenia akejkoľvek výnimky,</w:t>
      </w:r>
      <w:r w:rsidR="00083739" w:rsidRPr="00083739">
        <w:rPr>
          <w:rFonts w:cs="Times New Roman"/>
          <w:noProof/>
          <w:lang w:val="sk-SK"/>
        </w:rPr>
        <w:t xml:space="preserve"> s </w:t>
      </w:r>
      <w:r w:rsidRPr="00083739">
        <w:rPr>
          <w:rFonts w:cs="Times New Roman"/>
          <w:noProof/>
          <w:lang w:val="sk-SK"/>
        </w:rPr>
        <w:t>cieľom urýchliť plnenie úloh</w:t>
      </w:r>
      <w:r w:rsidR="00083739" w:rsidRPr="00083739">
        <w:rPr>
          <w:rFonts w:cs="Times New Roman"/>
          <w:noProof/>
          <w:lang w:val="sk-SK"/>
        </w:rPr>
        <w:t xml:space="preserve"> a </w:t>
      </w:r>
      <w:r w:rsidRPr="00083739">
        <w:rPr>
          <w:rFonts w:cs="Times New Roman"/>
          <w:noProof/>
          <w:lang w:val="sk-SK"/>
        </w:rPr>
        <w:t>povinností súvisiacich so súdnou domou</w:t>
      </w:r>
      <w:r w:rsidR="00083739" w:rsidRPr="00083739">
        <w:rPr>
          <w:rFonts w:cs="Times New Roman"/>
          <w:noProof/>
          <w:lang w:val="sk-SK"/>
        </w:rPr>
        <w:t xml:space="preserve"> a </w:t>
      </w:r>
      <w:r w:rsidRPr="00083739">
        <w:rPr>
          <w:rFonts w:cs="Times New Roman"/>
          <w:noProof/>
          <w:lang w:val="sk-SK"/>
        </w:rPr>
        <w:t>odstrániť nevybavené súdne prípady.</w:t>
      </w:r>
    </w:p>
    <w:p w14:paraId="13B6A8D3" w14:textId="4E5D0452"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Na dokončenie reformy sa prijme súbor opatrení na zriadenie</w:t>
      </w:r>
      <w:r w:rsidR="00083739" w:rsidRPr="00083739">
        <w:rPr>
          <w:rFonts w:cs="Times New Roman"/>
          <w:noProof/>
          <w:lang w:val="sk-SK"/>
        </w:rPr>
        <w:t xml:space="preserve"> a </w:t>
      </w:r>
      <w:r w:rsidRPr="00083739">
        <w:rPr>
          <w:rFonts w:cs="Times New Roman"/>
          <w:noProof/>
          <w:lang w:val="sk-SK"/>
        </w:rPr>
        <w:t>posilnenie inštitúcií alternatívneho r</w:t>
      </w:r>
      <w:r w:rsidRPr="00083739">
        <w:rPr>
          <w:rFonts w:cs="Times New Roman"/>
          <w:noProof/>
          <w:lang w:val="sk-SK"/>
        </w:rPr>
        <w:t>iešenia sporov prostredníctvom poskytovania odbornej prípravy právnym poradcom alebo mediátorom</w:t>
      </w:r>
      <w:r w:rsidR="00083739" w:rsidRPr="00083739">
        <w:rPr>
          <w:rFonts w:cs="Times New Roman"/>
          <w:noProof/>
          <w:lang w:val="sk-SK"/>
        </w:rPr>
        <w:t xml:space="preserve"> a </w:t>
      </w:r>
      <w:r w:rsidRPr="00083739">
        <w:rPr>
          <w:rFonts w:cs="Times New Roman"/>
          <w:noProof/>
          <w:lang w:val="sk-SK"/>
        </w:rPr>
        <w:t>poskytovania finančných stimulov mediačným centrám na vytvorenie používateľsky ústretových digitálnych systémov.</w:t>
      </w:r>
    </w:p>
    <w:p w14:paraId="61775EC6" w14:textId="3CA722F6"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Napokon vytvorením nezávislého úradu na syste</w:t>
      </w:r>
      <w:r w:rsidRPr="00083739">
        <w:rPr>
          <w:rFonts w:cs="Times New Roman"/>
          <w:noProof/>
          <w:lang w:val="sk-SK"/>
        </w:rPr>
        <w:t>matické zhromažďovanie, spracúvanie, zhromažďovanie, prezentáciu</w:t>
      </w:r>
      <w:r w:rsidR="00083739" w:rsidRPr="00083739">
        <w:rPr>
          <w:rFonts w:cs="Times New Roman"/>
          <w:noProof/>
          <w:lang w:val="sk-SK"/>
        </w:rPr>
        <w:t xml:space="preserve"> a </w:t>
      </w:r>
      <w:r w:rsidRPr="00083739">
        <w:rPr>
          <w:rFonts w:cs="Times New Roman"/>
          <w:noProof/>
          <w:lang w:val="sk-SK"/>
        </w:rPr>
        <w:t>monitorovanie súdnych údajov sa zabezpečí riadny dohľad nad funkciou</w:t>
      </w:r>
      <w:r w:rsidR="00083739" w:rsidRPr="00083739">
        <w:rPr>
          <w:rFonts w:cs="Times New Roman"/>
          <w:noProof/>
          <w:lang w:val="sk-SK"/>
        </w:rPr>
        <w:t xml:space="preserve"> a </w:t>
      </w:r>
      <w:r w:rsidRPr="00083739">
        <w:rPr>
          <w:rFonts w:cs="Times New Roman"/>
          <w:noProof/>
          <w:lang w:val="sk-SK"/>
        </w:rPr>
        <w:t>výkonnosť justičného systému</w:t>
      </w:r>
      <w:r w:rsidR="00083739" w:rsidRPr="00083739">
        <w:rPr>
          <w:rFonts w:cs="Times New Roman"/>
          <w:noProof/>
          <w:lang w:val="sk-SK"/>
        </w:rPr>
        <w:t xml:space="preserve"> a </w:t>
      </w:r>
      <w:r w:rsidRPr="00083739">
        <w:rPr>
          <w:rFonts w:cs="Times New Roman"/>
          <w:noProof/>
          <w:lang w:val="sk-SK"/>
        </w:rPr>
        <w:t>ich monitorovanie.</w:t>
      </w:r>
    </w:p>
    <w:p w14:paraId="12C15302" w14:textId="1182AD89" w:rsidR="002D49B0" w:rsidRPr="00083739" w:rsidRDefault="00BF4125" w:rsidP="006B0378">
      <w:pPr>
        <w:pStyle w:val="P68B1DB1-Normal4"/>
        <w:spacing w:before="120" w:after="120" w:line="240" w:lineRule="auto"/>
        <w:jc w:val="both"/>
        <w:rPr>
          <w:rFonts w:cs="Times New Roman"/>
          <w:b/>
          <w:bCs/>
          <w:noProof/>
          <w:u w:val="single"/>
          <w:lang w:val="sk-SK"/>
        </w:rPr>
      </w:pPr>
      <w:r w:rsidRPr="00083739">
        <w:rPr>
          <w:rFonts w:cs="Times New Roman"/>
          <w:noProof/>
          <w:lang w:val="sk-SK"/>
        </w:rPr>
        <w:t>Vykonávanie reformy sa dokončí do 31</w:t>
      </w:r>
      <w:r w:rsidR="00083739" w:rsidRPr="00083739">
        <w:rPr>
          <w:rFonts w:cs="Times New Roman"/>
          <w:noProof/>
          <w:lang w:val="sk-SK"/>
        </w:rPr>
        <w:t>. decembra</w:t>
      </w:r>
      <w:r w:rsidRPr="00083739">
        <w:rPr>
          <w:rFonts w:cs="Times New Roman"/>
          <w:noProof/>
          <w:lang w:val="sk-SK"/>
        </w:rPr>
        <w:t xml:space="preserve"> 2025</w:t>
      </w:r>
      <w:r w:rsidR="00083739" w:rsidRPr="00083739">
        <w:rPr>
          <w:rFonts w:cs="Times New Roman"/>
          <w:noProof/>
          <w:lang w:val="sk-SK"/>
        </w:rPr>
        <w:t>.</w:t>
      </w:r>
    </w:p>
    <w:p w14:paraId="6A14AAA5" w14:textId="77777777" w:rsidR="002D49B0" w:rsidRPr="00083739" w:rsidRDefault="002D49B0">
      <w:pPr>
        <w:spacing w:before="120" w:after="120" w:line="240" w:lineRule="auto"/>
        <w:ind w:left="709"/>
        <w:jc w:val="both"/>
        <w:rPr>
          <w:rFonts w:ascii="Times New Roman" w:hAnsi="Times New Roman" w:cs="Times New Roman"/>
          <w:noProof/>
          <w:sz w:val="24"/>
          <w:lang w:val="sk-SK"/>
        </w:rPr>
        <w:sectPr w:rsidR="002D49B0" w:rsidRPr="00083739" w:rsidSect="00271D33">
          <w:headerReference w:type="even" r:id="rId235"/>
          <w:headerReference w:type="default" r:id="rId236"/>
          <w:footerReference w:type="even" r:id="rId237"/>
          <w:footerReference w:type="default" r:id="rId238"/>
          <w:headerReference w:type="first" r:id="rId239"/>
          <w:footerReference w:type="first" r:id="rId240"/>
          <w:pgSz w:w="11907" w:h="16839"/>
          <w:pgMar w:top="1134" w:right="1417" w:bottom="1134" w:left="1417" w:header="709" w:footer="326" w:gutter="0"/>
          <w:cols w:space="720"/>
          <w:docGrid w:linePitch="360"/>
        </w:sectPr>
      </w:pPr>
    </w:p>
    <w:p w14:paraId="35E36478" w14:textId="7886C129" w:rsidR="002D49B0" w:rsidRPr="00083739" w:rsidRDefault="00BF4125">
      <w:pPr>
        <w:spacing w:before="120" w:after="120" w:line="240" w:lineRule="auto"/>
        <w:ind w:left="709"/>
        <w:jc w:val="both"/>
        <w:rPr>
          <w:rFonts w:ascii="Times New Roman" w:hAnsi="Times New Roman" w:cs="Times New Roman"/>
          <w:b/>
          <w:bCs/>
          <w:noProof/>
          <w:sz w:val="24"/>
          <w:u w:val="single"/>
          <w:lang w:val="sk-SK"/>
        </w:rPr>
      </w:pPr>
      <w:r w:rsidRPr="00083739">
        <w:rPr>
          <w:rFonts w:ascii="Times New Roman" w:hAnsi="Times New Roman" w:cs="Times New Roman"/>
          <w:b/>
          <w:noProof/>
          <w:sz w:val="24"/>
          <w:u w:val="single"/>
          <w:lang w:val="sk-SK"/>
        </w:rPr>
        <w:t xml:space="preserve">N.2. </w:t>
      </w:r>
      <w:r w:rsidRPr="00083739">
        <w:rPr>
          <w:rFonts w:ascii="Times New Roman" w:hAnsi="Times New Roman" w:cs="Times New Roman"/>
          <w:noProof/>
          <w:lang w:val="sk-SK"/>
        </w:rPr>
        <w:t xml:space="preserve"> </w:t>
      </w:r>
      <w:r w:rsidRPr="00083739">
        <w:rPr>
          <w:rFonts w:ascii="Times New Roman" w:hAnsi="Times New Roman" w:cs="Times New Roman"/>
          <w:b/>
          <w:noProof/>
          <w:sz w:val="24"/>
          <w:u w:val="single"/>
          <w:lang w:val="sk-SK"/>
        </w:rPr>
        <w:t>Míľniky, ciele, ukazovatele</w:t>
      </w:r>
      <w:r w:rsidR="00083739" w:rsidRPr="00083739">
        <w:rPr>
          <w:rFonts w:ascii="Times New Roman" w:hAnsi="Times New Roman" w:cs="Times New Roman"/>
          <w:b/>
          <w:noProof/>
          <w:sz w:val="24"/>
          <w:u w:val="single"/>
          <w:lang w:val="sk-SK"/>
        </w:rPr>
        <w:t xml:space="preserve"> a </w:t>
      </w:r>
      <w:r w:rsidRPr="00083739">
        <w:rPr>
          <w:rFonts w:ascii="Times New Roman" w:hAnsi="Times New Roman" w:cs="Times New Roman"/>
          <w:b/>
          <w:noProof/>
          <w:sz w:val="24"/>
          <w:u w:val="single"/>
          <w:lang w:val="sk-SK"/>
        </w:rPr>
        <w:t>harmonogram monitorovania</w:t>
      </w:r>
      <w:r w:rsidR="00083739" w:rsidRPr="00083739">
        <w:rPr>
          <w:rFonts w:ascii="Times New Roman" w:hAnsi="Times New Roman" w:cs="Times New Roman"/>
          <w:b/>
          <w:noProof/>
          <w:sz w:val="24"/>
          <w:u w:val="single"/>
          <w:lang w:val="sk-SK"/>
        </w:rPr>
        <w:t xml:space="preserve"> a </w:t>
      </w:r>
      <w:r w:rsidRPr="00083739">
        <w:rPr>
          <w:rFonts w:ascii="Times New Roman" w:hAnsi="Times New Roman" w:cs="Times New Roman"/>
          <w:b/>
          <w:noProof/>
          <w:sz w:val="24"/>
          <w:u w:val="single"/>
          <w:lang w:val="sk-SK"/>
        </w:rPr>
        <w:t>realizácie pre nenávratnú finančnú podporu</w:t>
      </w:r>
    </w:p>
    <w:p w14:paraId="6F9211FA" w14:textId="77777777" w:rsidR="002D49B0" w:rsidRPr="00083739" w:rsidRDefault="002D49B0">
      <w:pPr>
        <w:rPr>
          <w:rFonts w:ascii="Times New Roman" w:hAnsi="Times New Roman" w:cs="Times New Roman"/>
          <w:noProof/>
          <w:lang w:val="sk-SK"/>
        </w:rPr>
      </w:pPr>
    </w:p>
    <w:p w14:paraId="51C8A179" w14:textId="77777777" w:rsidR="002D49B0" w:rsidRPr="00083739" w:rsidRDefault="00BF4125">
      <w:pPr>
        <w:pStyle w:val="P68B1DB1-Normal6"/>
        <w:keepNext/>
        <w:keepLines/>
        <w:spacing w:before="40" w:after="0" w:line="240" w:lineRule="auto"/>
        <w:jc w:val="both"/>
        <w:outlineLvl w:val="4"/>
        <w:rPr>
          <w:rFonts w:ascii="Times New Roman" w:eastAsia="Times New Roman" w:hAnsi="Times New Roman" w:cs="Times New Roman"/>
          <w:noProof/>
          <w:lang w:val="sk-SK"/>
        </w:rPr>
      </w:pPr>
      <w:r w:rsidRPr="00083739">
        <w:rPr>
          <w:rFonts w:ascii="Times New Roman" w:hAnsi="Times New Roman" w:cs="Times New Roman"/>
          <w:noProof/>
          <w:lang w:val="sk-SK"/>
        </w:rPr>
        <w:t>Skupina 21: Zvýšenie efektívnosti justičného systému</w:t>
      </w:r>
    </w:p>
    <w:p w14:paraId="18E79054" w14:textId="77777777"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Do tejto skupiny patria tieto opatrenia:</w:t>
      </w:r>
    </w:p>
    <w:p w14:paraId="0698932D" w14:textId="67405A12" w:rsidR="002D49B0" w:rsidRPr="00083739" w:rsidRDefault="00BF4125">
      <w:pPr>
        <w:pStyle w:val="P68B1DB1-Normal4"/>
        <w:numPr>
          <w:ilvl w:val="0"/>
          <w:numId w:val="23"/>
        </w:numPr>
        <w:spacing w:before="120" w:after="0" w:line="240" w:lineRule="auto"/>
        <w:jc w:val="both"/>
        <w:rPr>
          <w:rFonts w:cs="Times New Roman"/>
          <w:noProof/>
          <w:lang w:val="sk-SK"/>
        </w:rPr>
      </w:pPr>
      <w:r w:rsidRPr="00083739">
        <w:rPr>
          <w:rFonts w:cs="Times New Roman"/>
          <w:noProof/>
          <w:lang w:val="sk-SK"/>
        </w:rPr>
        <w:t xml:space="preserve">Nové </w:t>
      </w:r>
      <w:r w:rsidRPr="00083739">
        <w:rPr>
          <w:rFonts w:cs="Times New Roman"/>
          <w:noProof/>
          <w:lang w:val="sk-SK"/>
        </w:rPr>
        <w:t>budovy súdnictva</w:t>
      </w:r>
      <w:r w:rsidR="00083739" w:rsidRPr="00083739">
        <w:rPr>
          <w:rFonts w:cs="Times New Roman"/>
          <w:noProof/>
          <w:lang w:val="sk-SK"/>
        </w:rPr>
        <w:t xml:space="preserve"> a </w:t>
      </w:r>
      <w:r w:rsidRPr="00083739">
        <w:rPr>
          <w:rFonts w:cs="Times New Roman"/>
          <w:noProof/>
          <w:lang w:val="sk-SK"/>
        </w:rPr>
        <w:t>obnova (ID: 16292)</w:t>
      </w:r>
    </w:p>
    <w:p w14:paraId="2652E2B7" w14:textId="77777777" w:rsidR="002D49B0" w:rsidRPr="00083739" w:rsidRDefault="00BF4125">
      <w:pPr>
        <w:pStyle w:val="P68B1DB1-Normal4"/>
        <w:numPr>
          <w:ilvl w:val="0"/>
          <w:numId w:val="23"/>
        </w:numPr>
        <w:spacing w:before="120" w:after="0" w:line="240" w:lineRule="auto"/>
        <w:jc w:val="both"/>
        <w:rPr>
          <w:rFonts w:cs="Times New Roman"/>
          <w:noProof/>
          <w:lang w:val="sk-SK"/>
        </w:rPr>
      </w:pPr>
      <w:r w:rsidRPr="00083739">
        <w:rPr>
          <w:rFonts w:cs="Times New Roman"/>
          <w:noProof/>
          <w:lang w:val="sk-SK"/>
        </w:rPr>
        <w:t>Digitálna transformácia justície (elektronická justícia) (ID: 16727)</w:t>
      </w:r>
    </w:p>
    <w:p w14:paraId="54D05741" w14:textId="0FD23915" w:rsidR="002D49B0" w:rsidRPr="00083739" w:rsidRDefault="00BF4125">
      <w:pPr>
        <w:pStyle w:val="P68B1DB1-Normal4"/>
        <w:numPr>
          <w:ilvl w:val="0"/>
          <w:numId w:val="23"/>
        </w:numPr>
        <w:spacing w:before="120" w:after="120" w:line="240" w:lineRule="auto"/>
        <w:jc w:val="both"/>
        <w:rPr>
          <w:rFonts w:cs="Times New Roman"/>
          <w:noProof/>
          <w:lang w:val="sk-SK"/>
        </w:rPr>
      </w:pPr>
      <w:r w:rsidRPr="00083739">
        <w:rPr>
          <w:rFonts w:cs="Times New Roman"/>
          <w:noProof/>
          <w:lang w:val="sk-SK"/>
        </w:rPr>
        <w:t>Zručnosti</w:t>
      </w:r>
      <w:r w:rsidR="00083739" w:rsidRPr="00083739">
        <w:rPr>
          <w:rFonts w:cs="Times New Roman"/>
          <w:noProof/>
          <w:lang w:val="sk-SK"/>
        </w:rPr>
        <w:t xml:space="preserve"> a </w:t>
      </w:r>
      <w:r w:rsidRPr="00083739">
        <w:rPr>
          <w:rFonts w:cs="Times New Roman"/>
          <w:noProof/>
          <w:lang w:val="sk-SK"/>
        </w:rPr>
        <w:t>digitálne zručnosti sudcov</w:t>
      </w:r>
      <w:r w:rsidR="00083739" w:rsidRPr="00083739">
        <w:rPr>
          <w:rFonts w:cs="Times New Roman"/>
          <w:noProof/>
          <w:lang w:val="sk-SK"/>
        </w:rPr>
        <w:t xml:space="preserve"> a </w:t>
      </w:r>
      <w:r w:rsidRPr="00083739">
        <w:rPr>
          <w:rFonts w:cs="Times New Roman"/>
          <w:noProof/>
          <w:lang w:val="sk-SK"/>
        </w:rPr>
        <w:t>justičných zamestnancov (justiční zamestnanci) (ID: 16733)</w:t>
      </w:r>
    </w:p>
    <w:p w14:paraId="57B02B1C" w14:textId="77777777" w:rsidR="002D49B0" w:rsidRPr="00083739" w:rsidRDefault="00BF4125">
      <w:pPr>
        <w:pStyle w:val="P68B1DB1-Normal4"/>
        <w:numPr>
          <w:ilvl w:val="0"/>
          <w:numId w:val="23"/>
        </w:numPr>
        <w:spacing w:before="120" w:after="120" w:line="240" w:lineRule="auto"/>
        <w:jc w:val="both"/>
        <w:rPr>
          <w:rFonts w:cs="Times New Roman"/>
          <w:noProof/>
          <w:lang w:val="sk-SK"/>
        </w:rPr>
      </w:pPr>
      <w:r w:rsidRPr="00083739">
        <w:rPr>
          <w:rFonts w:cs="Times New Roman"/>
          <w:noProof/>
          <w:lang w:val="sk-SK"/>
        </w:rPr>
        <w:t>Urýchlenie výkonu spravodlivosti (ID: 16575)</w:t>
      </w:r>
    </w:p>
    <w:tbl>
      <w:tblPr>
        <w:tblW w:w="15730" w:type="dxa"/>
        <w:jc w:val="center"/>
        <w:tblLook w:val="04A0" w:firstRow="1" w:lastRow="0" w:firstColumn="1" w:lastColumn="0" w:noHBand="0" w:noVBand="1"/>
      </w:tblPr>
      <w:tblGrid>
        <w:gridCol w:w="1027"/>
        <w:gridCol w:w="1541"/>
        <w:gridCol w:w="1424"/>
        <w:gridCol w:w="1431"/>
        <w:gridCol w:w="1552"/>
        <w:gridCol w:w="1156"/>
        <w:gridCol w:w="957"/>
        <w:gridCol w:w="587"/>
        <w:gridCol w:w="1167"/>
        <w:gridCol w:w="622"/>
        <w:gridCol w:w="4885"/>
      </w:tblGrid>
      <w:tr w:rsidR="002D49B0" w:rsidRPr="00083739" w14:paraId="41F3A827" w14:textId="77777777">
        <w:trPr>
          <w:trHeight w:val="927"/>
          <w:tblHeader/>
          <w:jc w:val="center"/>
        </w:trPr>
        <w:tc>
          <w:tcPr>
            <w:tcW w:w="102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C72AA7D"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Pora</w:t>
            </w:r>
            <w:r w:rsidRPr="00083739">
              <w:rPr>
                <w:rFonts w:cs="Times New Roman"/>
                <w:noProof/>
                <w:lang w:val="sk-SK"/>
              </w:rPr>
              <w:t>dové číslo</w:t>
            </w:r>
          </w:p>
        </w:tc>
        <w:tc>
          <w:tcPr>
            <w:tcW w:w="154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60344AA"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Súvisiace opatrenie (reforma alebo investícia)</w:t>
            </w:r>
          </w:p>
        </w:tc>
        <w:tc>
          <w:tcPr>
            <w:tcW w:w="142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66E23FE"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Míľnik/cieľ</w:t>
            </w:r>
          </w:p>
        </w:tc>
        <w:tc>
          <w:tcPr>
            <w:tcW w:w="139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A67B963"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Názov</w:t>
            </w:r>
          </w:p>
        </w:tc>
        <w:tc>
          <w:tcPr>
            <w:tcW w:w="1552"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83FFD61" w14:textId="77777777" w:rsidR="002D49B0" w:rsidRPr="00083739" w:rsidRDefault="00BF4125">
            <w:pPr>
              <w:pStyle w:val="P68B1DB1-Normal37"/>
              <w:spacing w:after="0" w:line="240" w:lineRule="auto"/>
              <w:jc w:val="center"/>
              <w:rPr>
                <w:rFonts w:eastAsia="Times New Roman" w:cs="Times New Roman"/>
                <w:b/>
                <w:bCs/>
                <w:noProof/>
                <w:sz w:val="18"/>
                <w:szCs w:val="18"/>
                <w:lang w:val="sk-SK"/>
              </w:rPr>
            </w:pPr>
            <w:r w:rsidRPr="00083739">
              <w:rPr>
                <w:rFonts w:cs="Times New Roman"/>
                <w:b/>
                <w:noProof/>
                <w:sz w:val="18"/>
                <w:lang w:val="sk-SK"/>
              </w:rPr>
              <w:t xml:space="preserve">Kvalitatívne ukazovatele </w:t>
            </w:r>
            <w:r w:rsidRPr="00083739">
              <w:rPr>
                <w:rFonts w:cs="Times New Roman"/>
                <w:noProof/>
                <w:sz w:val="24"/>
                <w:lang w:val="sk-SK"/>
              </w:rPr>
              <w:t xml:space="preserve"> </w:t>
            </w:r>
            <w:r w:rsidRPr="00083739">
              <w:rPr>
                <w:rFonts w:cs="Times New Roman"/>
                <w:b/>
                <w:noProof/>
                <w:sz w:val="18"/>
                <w:lang w:val="sk-SK"/>
              </w:rPr>
              <w:t>(pre míľniky)</w:t>
            </w:r>
          </w:p>
        </w:tc>
        <w:tc>
          <w:tcPr>
            <w:tcW w:w="2436" w:type="dxa"/>
            <w:gridSpan w:val="3"/>
            <w:tcBorders>
              <w:top w:val="single" w:sz="4" w:space="0" w:color="auto"/>
              <w:left w:val="single" w:sz="4" w:space="0" w:color="auto"/>
              <w:bottom w:val="single" w:sz="4" w:space="0" w:color="auto"/>
              <w:right w:val="single" w:sz="4" w:space="0" w:color="auto"/>
            </w:tcBorders>
            <w:shd w:val="clear" w:color="auto" w:fill="BDD7EE"/>
            <w:vAlign w:val="center"/>
            <w:hideMark/>
          </w:tcPr>
          <w:p w14:paraId="49E85A2A" w14:textId="77777777" w:rsidR="002D49B0" w:rsidRPr="00083739" w:rsidRDefault="00BF4125">
            <w:pPr>
              <w:pStyle w:val="P68B1DB1-Normal37"/>
              <w:spacing w:after="0" w:line="240" w:lineRule="auto"/>
              <w:jc w:val="center"/>
              <w:rPr>
                <w:rFonts w:eastAsia="Times New Roman" w:cs="Times New Roman"/>
                <w:b/>
                <w:bCs/>
                <w:noProof/>
                <w:sz w:val="18"/>
                <w:szCs w:val="18"/>
                <w:lang w:val="sk-SK"/>
              </w:rPr>
            </w:pPr>
            <w:r w:rsidRPr="00083739">
              <w:rPr>
                <w:rFonts w:cs="Times New Roman"/>
                <w:b/>
                <w:noProof/>
                <w:sz w:val="18"/>
                <w:lang w:val="sk-SK"/>
              </w:rPr>
              <w:t xml:space="preserve">Kvantitatívne ukazovatele </w:t>
            </w:r>
            <w:r w:rsidRPr="00083739">
              <w:rPr>
                <w:rFonts w:cs="Times New Roman"/>
                <w:noProof/>
                <w:sz w:val="24"/>
                <w:lang w:val="sk-SK"/>
              </w:rPr>
              <w:t xml:space="preserve"> </w:t>
            </w:r>
            <w:r w:rsidRPr="00083739">
              <w:rPr>
                <w:rFonts w:cs="Times New Roman"/>
                <w:b/>
                <w:noProof/>
                <w:sz w:val="18"/>
                <w:lang w:val="sk-SK"/>
              </w:rPr>
              <w:t>(pre ciele)</w:t>
            </w:r>
          </w:p>
        </w:tc>
        <w:tc>
          <w:tcPr>
            <w:tcW w:w="1468" w:type="dxa"/>
            <w:gridSpan w:val="2"/>
            <w:tcBorders>
              <w:top w:val="single" w:sz="4" w:space="0" w:color="auto"/>
              <w:left w:val="nil"/>
              <w:bottom w:val="single" w:sz="4" w:space="0" w:color="auto"/>
              <w:right w:val="single" w:sz="4" w:space="0" w:color="auto"/>
            </w:tcBorders>
            <w:shd w:val="clear" w:color="auto" w:fill="BDD7EE"/>
            <w:vAlign w:val="center"/>
            <w:hideMark/>
          </w:tcPr>
          <w:p w14:paraId="71D7D4B2"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Orientačný harmonogram dokončenia</w:t>
            </w:r>
          </w:p>
        </w:tc>
        <w:tc>
          <w:tcPr>
            <w:tcW w:w="488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007AFE6" w14:textId="73F27389"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Opis každého míľnika</w:t>
            </w:r>
            <w:r w:rsidR="00083739" w:rsidRPr="00083739">
              <w:rPr>
                <w:rFonts w:cs="Times New Roman"/>
                <w:noProof/>
                <w:lang w:val="sk-SK"/>
              </w:rPr>
              <w:t xml:space="preserve"> a </w:t>
            </w:r>
            <w:r w:rsidRPr="00083739">
              <w:rPr>
                <w:rFonts w:cs="Times New Roman"/>
                <w:noProof/>
                <w:lang w:val="sk-SK"/>
              </w:rPr>
              <w:t>cieľa</w:t>
            </w:r>
          </w:p>
        </w:tc>
      </w:tr>
      <w:tr w:rsidR="002D49B0" w:rsidRPr="00083739" w14:paraId="6260C8FA" w14:textId="77777777">
        <w:trPr>
          <w:trHeight w:val="629"/>
          <w:tblHeader/>
          <w:jc w:val="center"/>
        </w:trPr>
        <w:tc>
          <w:tcPr>
            <w:tcW w:w="1027" w:type="dxa"/>
            <w:vMerge/>
            <w:tcBorders>
              <w:top w:val="single" w:sz="4" w:space="0" w:color="auto"/>
              <w:left w:val="single" w:sz="4" w:space="0" w:color="auto"/>
              <w:bottom w:val="single" w:sz="4" w:space="0" w:color="auto"/>
              <w:right w:val="single" w:sz="4" w:space="0" w:color="auto"/>
            </w:tcBorders>
            <w:hideMark/>
          </w:tcPr>
          <w:p w14:paraId="3B86B058"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541" w:type="dxa"/>
            <w:vMerge/>
            <w:tcBorders>
              <w:top w:val="single" w:sz="4" w:space="0" w:color="auto"/>
              <w:left w:val="single" w:sz="4" w:space="0" w:color="auto"/>
              <w:bottom w:val="single" w:sz="4" w:space="0" w:color="auto"/>
              <w:right w:val="single" w:sz="4" w:space="0" w:color="auto"/>
            </w:tcBorders>
            <w:hideMark/>
          </w:tcPr>
          <w:p w14:paraId="3927EEB8"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424" w:type="dxa"/>
            <w:vMerge/>
            <w:tcBorders>
              <w:top w:val="single" w:sz="4" w:space="0" w:color="auto"/>
              <w:left w:val="single" w:sz="4" w:space="0" w:color="auto"/>
              <w:bottom w:val="single" w:sz="4" w:space="0" w:color="auto"/>
              <w:right w:val="single" w:sz="4" w:space="0" w:color="auto"/>
            </w:tcBorders>
            <w:hideMark/>
          </w:tcPr>
          <w:p w14:paraId="4BFDDF03"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397" w:type="dxa"/>
            <w:vMerge/>
            <w:tcBorders>
              <w:top w:val="single" w:sz="4" w:space="0" w:color="auto"/>
              <w:left w:val="single" w:sz="4" w:space="0" w:color="auto"/>
              <w:bottom w:val="single" w:sz="4" w:space="0" w:color="auto"/>
              <w:right w:val="single" w:sz="4" w:space="0" w:color="auto"/>
            </w:tcBorders>
            <w:hideMark/>
          </w:tcPr>
          <w:p w14:paraId="65614B95"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552" w:type="dxa"/>
            <w:vMerge/>
            <w:tcBorders>
              <w:top w:val="single" w:sz="4" w:space="0" w:color="auto"/>
              <w:left w:val="single" w:sz="4" w:space="0" w:color="auto"/>
              <w:bottom w:val="single" w:sz="4" w:space="0" w:color="auto"/>
              <w:right w:val="single" w:sz="4" w:space="0" w:color="auto"/>
            </w:tcBorders>
            <w:hideMark/>
          </w:tcPr>
          <w:p w14:paraId="609D76A2"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992"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13DD0716"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Merná jednotka</w:t>
            </w:r>
          </w:p>
        </w:tc>
        <w:tc>
          <w:tcPr>
            <w:tcW w:w="857" w:type="dxa"/>
            <w:tcBorders>
              <w:top w:val="single" w:sz="4" w:space="0" w:color="auto"/>
              <w:left w:val="nil"/>
              <w:bottom w:val="single" w:sz="4" w:space="0" w:color="auto"/>
              <w:right w:val="single" w:sz="4" w:space="0" w:color="auto"/>
            </w:tcBorders>
            <w:shd w:val="clear" w:color="auto" w:fill="BDD7EE"/>
            <w:vAlign w:val="center"/>
            <w:hideMark/>
          </w:tcPr>
          <w:p w14:paraId="21658F7E"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Základná</w:t>
            </w:r>
          </w:p>
        </w:tc>
        <w:tc>
          <w:tcPr>
            <w:tcW w:w="587" w:type="dxa"/>
            <w:tcBorders>
              <w:top w:val="single" w:sz="4" w:space="0" w:color="auto"/>
              <w:left w:val="nil"/>
              <w:bottom w:val="single" w:sz="4" w:space="0" w:color="auto"/>
              <w:right w:val="single" w:sz="4" w:space="0" w:color="auto"/>
            </w:tcBorders>
            <w:shd w:val="clear" w:color="auto" w:fill="BDD7EE"/>
            <w:vAlign w:val="center"/>
            <w:hideMark/>
          </w:tcPr>
          <w:p w14:paraId="503E869A"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Cieľ</w:t>
            </w:r>
          </w:p>
        </w:tc>
        <w:tc>
          <w:tcPr>
            <w:tcW w:w="846" w:type="dxa"/>
            <w:tcBorders>
              <w:top w:val="single" w:sz="4" w:space="0" w:color="auto"/>
              <w:left w:val="nil"/>
              <w:bottom w:val="single" w:sz="4" w:space="0" w:color="auto"/>
              <w:right w:val="single" w:sz="4" w:space="0" w:color="auto"/>
            </w:tcBorders>
            <w:shd w:val="clear" w:color="auto" w:fill="BDD7EE"/>
            <w:vAlign w:val="center"/>
            <w:hideMark/>
          </w:tcPr>
          <w:p w14:paraId="09BE93C5"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Štvrtina</w:t>
            </w:r>
          </w:p>
        </w:tc>
        <w:tc>
          <w:tcPr>
            <w:tcW w:w="622" w:type="dxa"/>
            <w:tcBorders>
              <w:top w:val="single" w:sz="4" w:space="0" w:color="auto"/>
              <w:left w:val="nil"/>
              <w:bottom w:val="single" w:sz="4" w:space="0" w:color="auto"/>
              <w:right w:val="single" w:sz="4" w:space="0" w:color="auto"/>
            </w:tcBorders>
            <w:shd w:val="clear" w:color="auto" w:fill="BDD7EE"/>
            <w:vAlign w:val="center"/>
            <w:hideMark/>
          </w:tcPr>
          <w:p w14:paraId="6F37AD87"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Rok</w:t>
            </w:r>
          </w:p>
        </w:tc>
        <w:tc>
          <w:tcPr>
            <w:tcW w:w="4885" w:type="dxa"/>
            <w:vMerge/>
            <w:tcBorders>
              <w:top w:val="single" w:sz="4" w:space="0" w:color="auto"/>
              <w:left w:val="single" w:sz="4" w:space="0" w:color="auto"/>
              <w:bottom w:val="single" w:sz="4" w:space="0" w:color="auto"/>
              <w:right w:val="single" w:sz="4" w:space="0" w:color="auto"/>
            </w:tcBorders>
            <w:hideMark/>
          </w:tcPr>
          <w:p w14:paraId="46090064"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r>
      <w:tr w:rsidR="002D49B0" w:rsidRPr="00083739" w14:paraId="06B14A5E" w14:textId="77777777">
        <w:trPr>
          <w:trHeight w:val="309"/>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360B180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222</w:t>
            </w:r>
          </w:p>
        </w:tc>
        <w:tc>
          <w:tcPr>
            <w:tcW w:w="1541" w:type="dxa"/>
            <w:tcBorders>
              <w:top w:val="single" w:sz="4" w:space="0" w:color="auto"/>
              <w:left w:val="nil"/>
              <w:bottom w:val="single" w:sz="4" w:space="0" w:color="auto"/>
              <w:right w:val="single" w:sz="4" w:space="0" w:color="auto"/>
            </w:tcBorders>
            <w:shd w:val="clear" w:color="auto" w:fill="C6EFCE"/>
            <w:noWrap/>
          </w:tcPr>
          <w:p w14:paraId="62A6A6E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14 – 4.3. Zlepšiť efektívnosť justičného systému – 16292_Nové budovy súdnictva</w:t>
            </w:r>
          </w:p>
        </w:tc>
        <w:tc>
          <w:tcPr>
            <w:tcW w:w="1424" w:type="dxa"/>
            <w:tcBorders>
              <w:top w:val="single" w:sz="4" w:space="0" w:color="auto"/>
              <w:left w:val="nil"/>
              <w:bottom w:val="single" w:sz="4" w:space="0" w:color="auto"/>
              <w:right w:val="single" w:sz="4" w:space="0" w:color="auto"/>
            </w:tcBorders>
            <w:shd w:val="clear" w:color="auto" w:fill="C6EFCE"/>
            <w:noWrap/>
          </w:tcPr>
          <w:p w14:paraId="2E5CDEC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97" w:type="dxa"/>
            <w:tcBorders>
              <w:top w:val="single" w:sz="4" w:space="0" w:color="auto"/>
              <w:left w:val="nil"/>
              <w:bottom w:val="single" w:sz="4" w:space="0" w:color="auto"/>
              <w:right w:val="single" w:sz="4" w:space="0" w:color="auto"/>
            </w:tcBorders>
            <w:shd w:val="clear" w:color="auto" w:fill="C6EFCE"/>
            <w:noWrap/>
          </w:tcPr>
          <w:p w14:paraId="3BDA63D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Identifikácia – Oprávnené budovy</w:t>
            </w:r>
          </w:p>
        </w:tc>
        <w:tc>
          <w:tcPr>
            <w:tcW w:w="1552" w:type="dxa"/>
            <w:tcBorders>
              <w:top w:val="single" w:sz="4" w:space="0" w:color="auto"/>
              <w:left w:val="nil"/>
              <w:bottom w:val="single" w:sz="4" w:space="0" w:color="auto"/>
              <w:right w:val="single" w:sz="4" w:space="0" w:color="auto"/>
            </w:tcBorders>
            <w:shd w:val="clear" w:color="auto" w:fill="C6EFCE"/>
            <w:noWrap/>
          </w:tcPr>
          <w:p w14:paraId="4435CF4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Dokončenie zoznamu </w:t>
            </w:r>
          </w:p>
        </w:tc>
        <w:tc>
          <w:tcPr>
            <w:tcW w:w="992" w:type="dxa"/>
            <w:tcBorders>
              <w:top w:val="single" w:sz="4" w:space="0" w:color="auto"/>
              <w:left w:val="nil"/>
              <w:bottom w:val="single" w:sz="4" w:space="0" w:color="auto"/>
              <w:right w:val="single" w:sz="4" w:space="0" w:color="auto"/>
            </w:tcBorders>
            <w:shd w:val="clear" w:color="auto" w:fill="C6EFCE"/>
            <w:noWrap/>
          </w:tcPr>
          <w:p w14:paraId="5F5DC742"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single" w:sz="4" w:space="0" w:color="auto"/>
              <w:left w:val="nil"/>
              <w:bottom w:val="single" w:sz="4" w:space="0" w:color="auto"/>
              <w:right w:val="single" w:sz="4" w:space="0" w:color="auto"/>
            </w:tcBorders>
            <w:shd w:val="clear" w:color="auto" w:fill="C6EFCE"/>
            <w:noWrap/>
          </w:tcPr>
          <w:p w14:paraId="2BB22178"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587" w:type="dxa"/>
            <w:tcBorders>
              <w:top w:val="single" w:sz="4" w:space="0" w:color="auto"/>
              <w:left w:val="nil"/>
              <w:bottom w:val="single" w:sz="4" w:space="0" w:color="auto"/>
              <w:right w:val="single" w:sz="4" w:space="0" w:color="auto"/>
            </w:tcBorders>
            <w:shd w:val="clear" w:color="auto" w:fill="C6EFCE"/>
            <w:noWrap/>
          </w:tcPr>
          <w:p w14:paraId="6BBAC10C"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6" w:type="dxa"/>
            <w:tcBorders>
              <w:top w:val="single" w:sz="4" w:space="0" w:color="auto"/>
              <w:left w:val="nil"/>
              <w:bottom w:val="single" w:sz="4" w:space="0" w:color="auto"/>
              <w:right w:val="single" w:sz="4" w:space="0" w:color="auto"/>
            </w:tcBorders>
            <w:shd w:val="clear" w:color="auto" w:fill="C6EFCE"/>
            <w:noWrap/>
          </w:tcPr>
          <w:p w14:paraId="768CDBF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TRETÍ ŠTVRŤROK</w:t>
            </w:r>
          </w:p>
        </w:tc>
        <w:tc>
          <w:tcPr>
            <w:tcW w:w="622" w:type="dxa"/>
            <w:tcBorders>
              <w:top w:val="single" w:sz="4" w:space="0" w:color="auto"/>
              <w:left w:val="nil"/>
              <w:bottom w:val="single" w:sz="4" w:space="0" w:color="auto"/>
              <w:right w:val="single" w:sz="4" w:space="0" w:color="auto"/>
            </w:tcBorders>
            <w:shd w:val="clear" w:color="auto" w:fill="C6EFCE"/>
            <w:noWrap/>
          </w:tcPr>
          <w:p w14:paraId="14E0C28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2021</w:t>
            </w:r>
          </w:p>
        </w:tc>
        <w:tc>
          <w:tcPr>
            <w:tcW w:w="4885" w:type="dxa"/>
            <w:tcBorders>
              <w:top w:val="single" w:sz="4" w:space="0" w:color="auto"/>
              <w:left w:val="nil"/>
              <w:bottom w:val="single" w:sz="4" w:space="0" w:color="auto"/>
              <w:right w:val="single" w:sz="4" w:space="0" w:color="auto"/>
            </w:tcBorders>
            <w:shd w:val="clear" w:color="auto" w:fill="C6EFCE"/>
            <w:noWrap/>
          </w:tcPr>
          <w:p w14:paraId="0D94208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Zostavenie zoznamu budov, na ktoré sa nevzťahuje revízia súdnej mapy.</w:t>
            </w:r>
          </w:p>
        </w:tc>
      </w:tr>
      <w:tr w:rsidR="002D49B0" w:rsidRPr="00083739" w14:paraId="30E36FAB" w14:textId="77777777">
        <w:trPr>
          <w:trHeight w:val="309"/>
          <w:jc w:val="center"/>
        </w:trPr>
        <w:tc>
          <w:tcPr>
            <w:tcW w:w="1027" w:type="dxa"/>
            <w:tcBorders>
              <w:top w:val="nil"/>
              <w:left w:val="single" w:sz="4" w:space="0" w:color="auto"/>
              <w:bottom w:val="single" w:sz="4" w:space="0" w:color="auto"/>
              <w:right w:val="single" w:sz="4" w:space="0" w:color="auto"/>
            </w:tcBorders>
            <w:shd w:val="clear" w:color="auto" w:fill="C6EFCE"/>
            <w:noWrap/>
          </w:tcPr>
          <w:p w14:paraId="5A7EB1C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223</w:t>
            </w:r>
          </w:p>
        </w:tc>
        <w:tc>
          <w:tcPr>
            <w:tcW w:w="1541" w:type="dxa"/>
            <w:tcBorders>
              <w:top w:val="nil"/>
              <w:left w:val="nil"/>
              <w:bottom w:val="single" w:sz="4" w:space="0" w:color="auto"/>
              <w:right w:val="single" w:sz="4" w:space="0" w:color="auto"/>
            </w:tcBorders>
            <w:shd w:val="clear" w:color="auto" w:fill="C6EFCE"/>
            <w:noWrap/>
          </w:tcPr>
          <w:p w14:paraId="6FF242C5" w14:textId="77777777"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14 – 4.3. Zlepšiť efektívnosť justičného systému —</w:t>
            </w:r>
          </w:p>
          <w:p w14:paraId="66EC5888" w14:textId="3787CDE3"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16575 Urýchlenie výkonu spravodlivosti</w:t>
            </w:r>
          </w:p>
        </w:tc>
        <w:tc>
          <w:tcPr>
            <w:tcW w:w="1424" w:type="dxa"/>
            <w:tcBorders>
              <w:top w:val="nil"/>
              <w:left w:val="nil"/>
              <w:bottom w:val="single" w:sz="4" w:space="0" w:color="auto"/>
              <w:right w:val="single" w:sz="4" w:space="0" w:color="auto"/>
            </w:tcBorders>
            <w:shd w:val="clear" w:color="auto" w:fill="C6EFCE"/>
            <w:noWrap/>
          </w:tcPr>
          <w:p w14:paraId="140D465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97" w:type="dxa"/>
            <w:tcBorders>
              <w:top w:val="nil"/>
              <w:left w:val="nil"/>
              <w:bottom w:val="single" w:sz="4" w:space="0" w:color="auto"/>
              <w:right w:val="single" w:sz="4" w:space="0" w:color="auto"/>
            </w:tcBorders>
            <w:shd w:val="clear" w:color="auto" w:fill="C6EFCE"/>
            <w:noWrap/>
          </w:tcPr>
          <w:p w14:paraId="5C50C89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Technická podpora – Nástroj výkonu súdnictva</w:t>
            </w:r>
          </w:p>
        </w:tc>
        <w:tc>
          <w:tcPr>
            <w:tcW w:w="1552" w:type="dxa"/>
            <w:tcBorders>
              <w:top w:val="nil"/>
              <w:left w:val="nil"/>
              <w:bottom w:val="single" w:sz="4" w:space="0" w:color="auto"/>
              <w:right w:val="single" w:sz="4" w:space="0" w:color="auto"/>
            </w:tcBorders>
            <w:shd w:val="clear" w:color="auto" w:fill="C6EFCE"/>
            <w:noWrap/>
          </w:tcPr>
          <w:p w14:paraId="222BC67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Zadanie verejnej súťaže na technickú podporu</w:t>
            </w:r>
          </w:p>
        </w:tc>
        <w:tc>
          <w:tcPr>
            <w:tcW w:w="992" w:type="dxa"/>
            <w:tcBorders>
              <w:top w:val="nil"/>
              <w:left w:val="nil"/>
              <w:bottom w:val="single" w:sz="4" w:space="0" w:color="auto"/>
              <w:right w:val="single" w:sz="4" w:space="0" w:color="auto"/>
            </w:tcBorders>
            <w:shd w:val="clear" w:color="auto" w:fill="C6EFCE"/>
            <w:noWrap/>
          </w:tcPr>
          <w:p w14:paraId="0469578A"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nil"/>
              <w:left w:val="nil"/>
              <w:bottom w:val="single" w:sz="4" w:space="0" w:color="auto"/>
              <w:right w:val="single" w:sz="4" w:space="0" w:color="auto"/>
            </w:tcBorders>
            <w:shd w:val="clear" w:color="auto" w:fill="C6EFCE"/>
            <w:noWrap/>
          </w:tcPr>
          <w:p w14:paraId="58500539"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587" w:type="dxa"/>
            <w:tcBorders>
              <w:top w:val="nil"/>
              <w:left w:val="nil"/>
              <w:bottom w:val="single" w:sz="4" w:space="0" w:color="auto"/>
              <w:right w:val="single" w:sz="4" w:space="0" w:color="auto"/>
            </w:tcBorders>
            <w:shd w:val="clear" w:color="auto" w:fill="C6EFCE"/>
            <w:noWrap/>
          </w:tcPr>
          <w:p w14:paraId="10E54F79"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6" w:type="dxa"/>
            <w:tcBorders>
              <w:top w:val="nil"/>
              <w:left w:val="nil"/>
              <w:bottom w:val="single" w:sz="4" w:space="0" w:color="auto"/>
              <w:right w:val="single" w:sz="4" w:space="0" w:color="auto"/>
            </w:tcBorders>
            <w:shd w:val="clear" w:color="auto" w:fill="C6EFCE"/>
            <w:noWrap/>
          </w:tcPr>
          <w:p w14:paraId="4826A0C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TRETÍ ŠTVRŤROK</w:t>
            </w:r>
          </w:p>
        </w:tc>
        <w:tc>
          <w:tcPr>
            <w:tcW w:w="622" w:type="dxa"/>
            <w:tcBorders>
              <w:top w:val="nil"/>
              <w:left w:val="nil"/>
              <w:bottom w:val="single" w:sz="4" w:space="0" w:color="auto"/>
              <w:right w:val="single" w:sz="4" w:space="0" w:color="auto"/>
            </w:tcBorders>
            <w:shd w:val="clear" w:color="auto" w:fill="C6EFCE"/>
            <w:noWrap/>
          </w:tcPr>
          <w:p w14:paraId="0CF311F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2022</w:t>
            </w:r>
          </w:p>
        </w:tc>
        <w:tc>
          <w:tcPr>
            <w:tcW w:w="4885" w:type="dxa"/>
            <w:tcBorders>
              <w:top w:val="nil"/>
              <w:left w:val="nil"/>
              <w:bottom w:val="single" w:sz="4" w:space="0" w:color="auto"/>
              <w:right w:val="single" w:sz="4" w:space="0" w:color="auto"/>
            </w:tcBorders>
            <w:shd w:val="clear" w:color="auto" w:fill="C6EFCE"/>
            <w:noWrap/>
          </w:tcPr>
          <w:p w14:paraId="64050D7D" w14:textId="672CE27F"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Zadanie verejnej súťaže na technickú podporu </w:t>
            </w:r>
            <w:r w:rsidRPr="00083739">
              <w:rPr>
                <w:rFonts w:ascii="Times New Roman" w:hAnsi="Times New Roman" w:cs="Times New Roman"/>
                <w:noProof/>
                <w:lang w:val="sk-SK"/>
              </w:rPr>
              <w:t>na vývoj nástroja výkonnosti súdnictva na základe strategických cieľov, zavedenie objektívnych kľúčových ukazovateľov výkonnosti (čas na splnenie povinnosti, individuálna výkonnosť</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hľadiska času, komunikácia, motivácia atď.) podľa oddelení a/alebo kategó</w:t>
            </w:r>
            <w:r w:rsidRPr="00083739">
              <w:rPr>
                <w:rFonts w:ascii="Times New Roman" w:hAnsi="Times New Roman" w:cs="Times New Roman"/>
                <w:noProof/>
                <w:lang w:val="sk-SK"/>
              </w:rPr>
              <w:t>rií administratívnych pracovníkov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poskytovanie presných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objektívnych údajov</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prideľovaní prémií; prémie sú splatné</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prvom štvrťroku po skončení príslušného roka na základe výkonnosti za daný rok. Nástroj musí byť dočasný</w:t>
            </w:r>
            <w:r w:rsidR="00083739" w:rsidRPr="00083739">
              <w:rPr>
                <w:rFonts w:ascii="Times New Roman" w:hAnsi="Times New Roman" w:cs="Times New Roman"/>
                <w:noProof/>
                <w:lang w:val="sk-SK"/>
              </w:rPr>
              <w:t xml:space="preserve"> a v </w:t>
            </w:r>
            <w:r w:rsidRPr="00083739">
              <w:rPr>
                <w:rFonts w:ascii="Times New Roman" w:hAnsi="Times New Roman" w:cs="Times New Roman"/>
                <w:noProof/>
                <w:lang w:val="sk-SK"/>
              </w:rPr>
              <w:t>plnom súlade</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 xml:space="preserve">jednotnou </w:t>
            </w:r>
            <w:r w:rsidRPr="00083739">
              <w:rPr>
                <w:rFonts w:ascii="Times New Roman" w:hAnsi="Times New Roman" w:cs="Times New Roman"/>
                <w:noProof/>
                <w:lang w:val="sk-SK"/>
              </w:rPr>
              <w:t>mzdovou tabuľkou (zákon č. 4354/2015) bez toho, aby sa stanovila akákoľvek výnimka na odstránenie nahromadených súdnych sporov.</w:t>
            </w:r>
          </w:p>
        </w:tc>
      </w:tr>
      <w:tr w:rsidR="002D49B0" w:rsidRPr="00083739" w14:paraId="4633D58F" w14:textId="77777777">
        <w:tblPrEx>
          <w:tblLook w:val="0400" w:firstRow="0" w:lastRow="0" w:firstColumn="0" w:lastColumn="0" w:noHBand="0" w:noVBand="1"/>
        </w:tblPrEx>
        <w:trPr>
          <w:trHeight w:val="309"/>
          <w:jc w:val="center"/>
        </w:trPr>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tcPr>
          <w:p w14:paraId="203FC53F" w14:textId="77777777" w:rsidR="002D49B0" w:rsidRPr="00083739" w:rsidRDefault="00BF4125">
            <w:pPr>
              <w:pStyle w:val="P68B1DB1-Normal9"/>
              <w:spacing w:after="0" w:line="240" w:lineRule="auto"/>
              <w:rPr>
                <w:rFonts w:ascii="Times New Roman" w:hAnsi="Times New Roman" w:cs="Times New Roman"/>
                <w:noProof/>
                <w:szCs w:val="18"/>
                <w:lang w:val="sk-SK"/>
              </w:rPr>
            </w:pPr>
            <w:r w:rsidRPr="00083739">
              <w:rPr>
                <w:rFonts w:ascii="Times New Roman" w:hAnsi="Times New Roman" w:cs="Times New Roman"/>
                <w:noProof/>
                <w:lang w:val="sk-SK"/>
              </w:rPr>
              <w:t>224</w:t>
            </w:r>
          </w:p>
        </w:tc>
        <w:tc>
          <w:tcPr>
            <w:tcW w:w="1541" w:type="dxa"/>
            <w:tcBorders>
              <w:top w:val="single" w:sz="4" w:space="0" w:color="000000" w:themeColor="text1"/>
              <w:left w:val="nil"/>
              <w:bottom w:val="single" w:sz="4" w:space="0" w:color="000000" w:themeColor="text1"/>
              <w:right w:val="single" w:sz="4" w:space="0" w:color="000000" w:themeColor="text1"/>
            </w:tcBorders>
            <w:shd w:val="clear" w:color="auto" w:fill="C6EFCE"/>
          </w:tcPr>
          <w:p w14:paraId="497EB85C" w14:textId="47212699" w:rsidR="002D49B0" w:rsidRPr="00083739" w:rsidRDefault="00BF4125">
            <w:pPr>
              <w:pStyle w:val="P68B1DB1-Normal9"/>
              <w:spacing w:after="0" w:line="240" w:lineRule="auto"/>
              <w:rPr>
                <w:rFonts w:ascii="Times New Roman" w:hAnsi="Times New Roman" w:cs="Times New Roman"/>
                <w:noProof/>
                <w:szCs w:val="18"/>
                <w:lang w:val="sk-SK"/>
              </w:rPr>
            </w:pPr>
            <w:r w:rsidRPr="00083739">
              <w:rPr>
                <w:rFonts w:ascii="Times New Roman" w:hAnsi="Times New Roman" w:cs="Times New Roman"/>
                <w:noProof/>
                <w:lang w:val="sk-SK"/>
              </w:rPr>
              <w:t>14 – 4.3. Zlepšiť efektívnosť justičného systému – 16733_Zručnosti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digitálne zručnosti sudcov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justičných zamestnancov </w:t>
            </w:r>
            <w:r w:rsidRPr="00083739">
              <w:rPr>
                <w:rFonts w:ascii="Times New Roman" w:hAnsi="Times New Roman" w:cs="Times New Roman"/>
                <w:noProof/>
                <w:lang w:val="sk-SK"/>
              </w:rPr>
              <w:t>(justičný personál)</w:t>
            </w:r>
          </w:p>
        </w:tc>
        <w:tc>
          <w:tcPr>
            <w:tcW w:w="1424" w:type="dxa"/>
            <w:tcBorders>
              <w:top w:val="single" w:sz="4" w:space="0" w:color="000000" w:themeColor="text1"/>
              <w:left w:val="nil"/>
              <w:bottom w:val="single" w:sz="4" w:space="0" w:color="000000" w:themeColor="text1"/>
              <w:right w:val="single" w:sz="4" w:space="0" w:color="000000" w:themeColor="text1"/>
            </w:tcBorders>
            <w:shd w:val="clear" w:color="auto" w:fill="C6EFCE"/>
          </w:tcPr>
          <w:p w14:paraId="1D737D49" w14:textId="77777777" w:rsidR="002D49B0" w:rsidRPr="00083739" w:rsidRDefault="00BF4125">
            <w:pPr>
              <w:pStyle w:val="P68B1DB1-Normal9"/>
              <w:spacing w:after="0" w:line="240" w:lineRule="auto"/>
              <w:rPr>
                <w:rFonts w:ascii="Times New Roman" w:hAnsi="Times New Roman" w:cs="Times New Roman"/>
                <w:noProof/>
                <w:szCs w:val="18"/>
                <w:lang w:val="sk-SK"/>
              </w:rPr>
            </w:pPr>
            <w:r w:rsidRPr="00083739">
              <w:rPr>
                <w:rFonts w:ascii="Times New Roman" w:hAnsi="Times New Roman" w:cs="Times New Roman"/>
                <w:noProof/>
                <w:lang w:val="sk-SK"/>
              </w:rPr>
              <w:t>Cieľ</w:t>
            </w:r>
          </w:p>
        </w:tc>
        <w:tc>
          <w:tcPr>
            <w:tcW w:w="1397" w:type="dxa"/>
            <w:tcBorders>
              <w:top w:val="single" w:sz="4" w:space="0" w:color="000000" w:themeColor="text1"/>
              <w:left w:val="nil"/>
              <w:bottom w:val="single" w:sz="4" w:space="0" w:color="000000" w:themeColor="text1"/>
              <w:right w:val="single" w:sz="4" w:space="0" w:color="000000" w:themeColor="text1"/>
            </w:tcBorders>
            <w:shd w:val="clear" w:color="auto" w:fill="C6EFCE"/>
          </w:tcPr>
          <w:p w14:paraId="729A2784" w14:textId="75B7BF81" w:rsidR="002D49B0" w:rsidRPr="00083739" w:rsidRDefault="00BF4125">
            <w:pPr>
              <w:pStyle w:val="P68B1DB1-Normal9"/>
              <w:spacing w:after="0" w:line="240" w:lineRule="auto"/>
              <w:rPr>
                <w:rFonts w:ascii="Times New Roman" w:hAnsi="Times New Roman" w:cs="Times New Roman"/>
                <w:noProof/>
                <w:szCs w:val="18"/>
                <w:lang w:val="sk-SK"/>
              </w:rPr>
            </w:pPr>
            <w:r w:rsidRPr="00083739">
              <w:rPr>
                <w:rFonts w:ascii="Times New Roman" w:hAnsi="Times New Roman" w:cs="Times New Roman"/>
                <w:noProof/>
                <w:lang w:val="sk-SK"/>
              </w:rPr>
              <w:t>Odborná príprava – sudcovia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administratívni pracovníci</w:t>
            </w:r>
          </w:p>
        </w:tc>
        <w:tc>
          <w:tcPr>
            <w:tcW w:w="1552" w:type="dxa"/>
            <w:tcBorders>
              <w:top w:val="single" w:sz="4" w:space="0" w:color="000000" w:themeColor="text1"/>
              <w:left w:val="nil"/>
              <w:bottom w:val="single" w:sz="4" w:space="0" w:color="000000" w:themeColor="text1"/>
              <w:right w:val="single" w:sz="4" w:space="0" w:color="000000" w:themeColor="text1"/>
            </w:tcBorders>
            <w:shd w:val="clear" w:color="auto" w:fill="C6EFCE"/>
          </w:tcPr>
          <w:p w14:paraId="1EEAF688" w14:textId="77777777" w:rsidR="002D49B0" w:rsidRPr="00083739" w:rsidRDefault="002D49B0">
            <w:pPr>
              <w:spacing w:after="0" w:line="240" w:lineRule="auto"/>
              <w:rPr>
                <w:rFonts w:ascii="Times New Roman" w:hAnsi="Times New Roman" w:cs="Times New Roman"/>
                <w:noProof/>
                <w:color w:val="006100"/>
                <w:sz w:val="18"/>
                <w:szCs w:val="18"/>
                <w:lang w:val="sk-SK"/>
              </w:rPr>
            </w:pPr>
          </w:p>
          <w:p w14:paraId="37007162" w14:textId="77777777" w:rsidR="002D49B0" w:rsidRPr="00083739" w:rsidRDefault="002D49B0">
            <w:pPr>
              <w:spacing w:after="0" w:line="240" w:lineRule="auto"/>
              <w:rPr>
                <w:rFonts w:ascii="Times New Roman" w:hAnsi="Times New Roman" w:cs="Times New Roman"/>
                <w:noProof/>
                <w:color w:val="006100"/>
                <w:sz w:val="18"/>
                <w:szCs w:val="18"/>
                <w:lang w:val="sk-SK"/>
              </w:rPr>
            </w:pPr>
          </w:p>
        </w:tc>
        <w:tc>
          <w:tcPr>
            <w:tcW w:w="992" w:type="dxa"/>
            <w:tcBorders>
              <w:top w:val="single" w:sz="4" w:space="0" w:color="000000" w:themeColor="text1"/>
              <w:left w:val="nil"/>
              <w:bottom w:val="single" w:sz="4" w:space="0" w:color="000000" w:themeColor="text1"/>
              <w:right w:val="single" w:sz="4" w:space="0" w:color="000000" w:themeColor="text1"/>
            </w:tcBorders>
            <w:shd w:val="clear" w:color="auto" w:fill="C6EFCE"/>
          </w:tcPr>
          <w:p w14:paraId="270A9C5D" w14:textId="77777777" w:rsidR="002D49B0" w:rsidRPr="00083739" w:rsidRDefault="00BF4125">
            <w:pPr>
              <w:pStyle w:val="P68B1DB1-Normal9"/>
              <w:spacing w:after="0" w:line="240" w:lineRule="auto"/>
              <w:rPr>
                <w:rFonts w:ascii="Times New Roman" w:hAnsi="Times New Roman" w:cs="Times New Roman"/>
                <w:noProof/>
                <w:szCs w:val="18"/>
                <w:lang w:val="sk-SK"/>
              </w:rPr>
            </w:pPr>
            <w:r w:rsidRPr="00083739">
              <w:rPr>
                <w:rFonts w:ascii="Times New Roman" w:hAnsi="Times New Roman" w:cs="Times New Roman"/>
                <w:noProof/>
                <w:lang w:val="sk-SK"/>
              </w:rPr>
              <w:t>Počet sudcov zapísaných na vnútroštátnej škole sudcov</w:t>
            </w:r>
          </w:p>
        </w:tc>
        <w:tc>
          <w:tcPr>
            <w:tcW w:w="857" w:type="dxa"/>
            <w:tcBorders>
              <w:top w:val="single" w:sz="4" w:space="0" w:color="000000" w:themeColor="text1"/>
              <w:left w:val="nil"/>
              <w:bottom w:val="single" w:sz="4" w:space="0" w:color="000000" w:themeColor="text1"/>
              <w:right w:val="single" w:sz="4" w:space="0" w:color="000000" w:themeColor="text1"/>
            </w:tcBorders>
            <w:shd w:val="clear" w:color="auto" w:fill="C6EFCE"/>
          </w:tcPr>
          <w:p w14:paraId="5D1D5481" w14:textId="77777777" w:rsidR="002D49B0" w:rsidRPr="00083739" w:rsidRDefault="00BF4125">
            <w:pPr>
              <w:pStyle w:val="P68B1DB1-Normal9"/>
              <w:spacing w:after="0" w:line="240" w:lineRule="auto"/>
              <w:rPr>
                <w:rFonts w:ascii="Times New Roman" w:hAnsi="Times New Roman" w:cs="Times New Roman"/>
                <w:noProof/>
                <w:szCs w:val="18"/>
                <w:lang w:val="sk-SK"/>
              </w:rPr>
            </w:pPr>
            <w:r w:rsidRPr="00083739">
              <w:rPr>
                <w:rFonts w:ascii="Times New Roman" w:hAnsi="Times New Roman" w:cs="Times New Roman"/>
                <w:noProof/>
                <w:lang w:val="sk-SK"/>
              </w:rPr>
              <w:t>0</w:t>
            </w:r>
          </w:p>
        </w:tc>
        <w:tc>
          <w:tcPr>
            <w:tcW w:w="587" w:type="dxa"/>
            <w:tcBorders>
              <w:top w:val="single" w:sz="4" w:space="0" w:color="000000" w:themeColor="text1"/>
              <w:left w:val="nil"/>
              <w:bottom w:val="single" w:sz="4" w:space="0" w:color="000000" w:themeColor="text1"/>
              <w:right w:val="single" w:sz="4" w:space="0" w:color="000000" w:themeColor="text1"/>
            </w:tcBorders>
            <w:shd w:val="clear" w:color="auto" w:fill="C6EFCE"/>
          </w:tcPr>
          <w:p w14:paraId="493FC5F5" w14:textId="77777777" w:rsidR="002D49B0" w:rsidRPr="00083739" w:rsidRDefault="00BF4125">
            <w:pPr>
              <w:pStyle w:val="P68B1DB1-Normal9"/>
              <w:spacing w:after="0" w:line="240" w:lineRule="auto"/>
              <w:rPr>
                <w:rFonts w:ascii="Times New Roman" w:hAnsi="Times New Roman" w:cs="Times New Roman"/>
                <w:noProof/>
                <w:szCs w:val="18"/>
                <w:lang w:val="sk-SK"/>
              </w:rPr>
            </w:pPr>
            <w:r w:rsidRPr="00083739">
              <w:rPr>
                <w:rFonts w:ascii="Times New Roman" w:hAnsi="Times New Roman" w:cs="Times New Roman"/>
                <w:noProof/>
                <w:lang w:val="sk-SK"/>
              </w:rPr>
              <w:t>10</w:t>
            </w:r>
          </w:p>
        </w:tc>
        <w:tc>
          <w:tcPr>
            <w:tcW w:w="846" w:type="dxa"/>
            <w:tcBorders>
              <w:top w:val="single" w:sz="4" w:space="0" w:color="000000" w:themeColor="text1"/>
              <w:left w:val="nil"/>
              <w:bottom w:val="single" w:sz="4" w:space="0" w:color="000000" w:themeColor="text1"/>
              <w:right w:val="single" w:sz="4" w:space="0" w:color="000000" w:themeColor="text1"/>
            </w:tcBorders>
            <w:shd w:val="clear" w:color="auto" w:fill="C6EFCE"/>
          </w:tcPr>
          <w:p w14:paraId="2E9A33D4" w14:textId="77777777" w:rsidR="002D49B0" w:rsidRPr="00083739" w:rsidRDefault="00BF4125">
            <w:pPr>
              <w:pStyle w:val="P68B1DB1-Normal9"/>
              <w:spacing w:after="0" w:line="240" w:lineRule="auto"/>
              <w:rPr>
                <w:rFonts w:ascii="Times New Roman" w:hAnsi="Times New Roman" w:cs="Times New Roman"/>
                <w:noProof/>
                <w:szCs w:val="18"/>
                <w:lang w:val="sk-SK"/>
              </w:rPr>
            </w:pPr>
            <w:r w:rsidRPr="00083739">
              <w:rPr>
                <w:rFonts w:ascii="Times New Roman" w:hAnsi="Times New Roman" w:cs="Times New Roman"/>
                <w:noProof/>
                <w:lang w:val="sk-SK"/>
              </w:rPr>
              <w:t>PRVÝ ŠTVRŤROK</w:t>
            </w:r>
          </w:p>
        </w:tc>
        <w:tc>
          <w:tcPr>
            <w:tcW w:w="622" w:type="dxa"/>
            <w:tcBorders>
              <w:top w:val="single" w:sz="4" w:space="0" w:color="000000" w:themeColor="text1"/>
              <w:left w:val="nil"/>
              <w:bottom w:val="single" w:sz="4" w:space="0" w:color="000000" w:themeColor="text1"/>
              <w:right w:val="single" w:sz="4" w:space="0" w:color="000000" w:themeColor="text1"/>
            </w:tcBorders>
            <w:shd w:val="clear" w:color="auto" w:fill="C6EFCE"/>
          </w:tcPr>
          <w:p w14:paraId="6CC30E1A" w14:textId="77777777" w:rsidR="002D49B0" w:rsidRPr="00083739" w:rsidRDefault="00BF4125">
            <w:pPr>
              <w:pStyle w:val="P68B1DB1-Normal9"/>
              <w:spacing w:after="0" w:line="240" w:lineRule="auto"/>
              <w:rPr>
                <w:rFonts w:ascii="Times New Roman" w:hAnsi="Times New Roman" w:cs="Times New Roman"/>
                <w:noProof/>
                <w:szCs w:val="18"/>
                <w:lang w:val="sk-SK"/>
              </w:rPr>
            </w:pPr>
            <w:r w:rsidRPr="00083739">
              <w:rPr>
                <w:rFonts w:ascii="Times New Roman" w:hAnsi="Times New Roman" w:cs="Times New Roman"/>
                <w:noProof/>
                <w:lang w:val="sk-SK"/>
              </w:rPr>
              <w:t>2022</w:t>
            </w:r>
          </w:p>
        </w:tc>
        <w:tc>
          <w:tcPr>
            <w:tcW w:w="4885" w:type="dxa"/>
            <w:tcBorders>
              <w:top w:val="single" w:sz="4" w:space="0" w:color="000000" w:themeColor="text1"/>
              <w:left w:val="nil"/>
              <w:bottom w:val="single" w:sz="4" w:space="0" w:color="000000" w:themeColor="text1"/>
              <w:right w:val="single" w:sz="4" w:space="0" w:color="000000" w:themeColor="text1"/>
            </w:tcBorders>
            <w:shd w:val="clear" w:color="auto" w:fill="C6EFCE"/>
          </w:tcPr>
          <w:p w14:paraId="1200DD3B" w14:textId="77777777" w:rsidR="002D49B0" w:rsidRPr="00083739" w:rsidRDefault="00BF4125">
            <w:pPr>
              <w:pStyle w:val="P68B1DB1-Normal9"/>
              <w:spacing w:after="0" w:line="240" w:lineRule="auto"/>
              <w:rPr>
                <w:rFonts w:ascii="Times New Roman" w:hAnsi="Times New Roman" w:cs="Times New Roman"/>
                <w:noProof/>
                <w:sz w:val="24"/>
                <w:lang w:val="sk-SK"/>
              </w:rPr>
            </w:pPr>
            <w:r w:rsidRPr="00083739">
              <w:rPr>
                <w:rFonts w:ascii="Times New Roman" w:hAnsi="Times New Roman" w:cs="Times New Roman"/>
                <w:noProof/>
                <w:lang w:val="sk-SK"/>
              </w:rPr>
              <w:t xml:space="preserve">10 sudcov zmierovacieho súdu zapísaných na vnútroštátnej škole sudcov </w:t>
            </w:r>
          </w:p>
        </w:tc>
      </w:tr>
      <w:tr w:rsidR="002D49B0" w:rsidRPr="00083739" w14:paraId="14985EEB" w14:textId="77777777">
        <w:trPr>
          <w:trHeight w:val="309"/>
          <w:jc w:val="center"/>
        </w:trPr>
        <w:tc>
          <w:tcPr>
            <w:tcW w:w="1027" w:type="dxa"/>
            <w:tcBorders>
              <w:top w:val="nil"/>
              <w:left w:val="single" w:sz="4" w:space="0" w:color="auto"/>
              <w:bottom w:val="single" w:sz="4" w:space="0" w:color="auto"/>
              <w:right w:val="single" w:sz="4" w:space="0" w:color="auto"/>
            </w:tcBorders>
            <w:shd w:val="clear" w:color="auto" w:fill="C6EFCE"/>
            <w:noWrap/>
          </w:tcPr>
          <w:p w14:paraId="4D94A07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225</w:t>
            </w:r>
          </w:p>
        </w:tc>
        <w:tc>
          <w:tcPr>
            <w:tcW w:w="1541" w:type="dxa"/>
            <w:tcBorders>
              <w:top w:val="nil"/>
              <w:left w:val="nil"/>
              <w:bottom w:val="single" w:sz="4" w:space="0" w:color="auto"/>
              <w:right w:val="single" w:sz="4" w:space="0" w:color="auto"/>
            </w:tcBorders>
            <w:shd w:val="clear" w:color="auto" w:fill="C6EFCE"/>
            <w:noWrap/>
          </w:tcPr>
          <w:p w14:paraId="59DD0D6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14 – 4.3. Zlepšiť </w:t>
            </w:r>
            <w:r w:rsidRPr="00083739">
              <w:rPr>
                <w:rFonts w:ascii="Times New Roman" w:hAnsi="Times New Roman" w:cs="Times New Roman"/>
                <w:noProof/>
                <w:lang w:val="sk-SK"/>
              </w:rPr>
              <w:t>efektívnosť justičného systému – 16575 Urýchlenie výkonu spravodlivosti</w:t>
            </w:r>
          </w:p>
        </w:tc>
        <w:tc>
          <w:tcPr>
            <w:tcW w:w="1424" w:type="dxa"/>
            <w:tcBorders>
              <w:top w:val="nil"/>
              <w:left w:val="nil"/>
              <w:bottom w:val="single" w:sz="4" w:space="0" w:color="auto"/>
              <w:right w:val="single" w:sz="4" w:space="0" w:color="auto"/>
            </w:tcBorders>
            <w:shd w:val="clear" w:color="auto" w:fill="C6EFCE"/>
            <w:noWrap/>
          </w:tcPr>
          <w:p w14:paraId="10584B9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97" w:type="dxa"/>
            <w:tcBorders>
              <w:top w:val="nil"/>
              <w:left w:val="nil"/>
              <w:bottom w:val="single" w:sz="4" w:space="0" w:color="auto"/>
              <w:right w:val="single" w:sz="4" w:space="0" w:color="auto"/>
            </w:tcBorders>
            <w:shd w:val="clear" w:color="auto" w:fill="C6EFCE"/>
            <w:noWrap/>
          </w:tcPr>
          <w:p w14:paraId="2659910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Justičná polícia – sekundárne právne predpisy </w:t>
            </w:r>
          </w:p>
        </w:tc>
        <w:tc>
          <w:tcPr>
            <w:tcW w:w="1552" w:type="dxa"/>
            <w:tcBorders>
              <w:top w:val="nil"/>
              <w:left w:val="nil"/>
              <w:bottom w:val="single" w:sz="4" w:space="0" w:color="auto"/>
              <w:right w:val="single" w:sz="4" w:space="0" w:color="auto"/>
            </w:tcBorders>
            <w:shd w:val="clear" w:color="auto" w:fill="C6EFCE"/>
            <w:noWrap/>
          </w:tcPr>
          <w:p w14:paraId="551DFFA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právnych predpisov.</w:t>
            </w:r>
          </w:p>
        </w:tc>
        <w:tc>
          <w:tcPr>
            <w:tcW w:w="992" w:type="dxa"/>
            <w:tcBorders>
              <w:top w:val="nil"/>
              <w:left w:val="nil"/>
              <w:bottom w:val="single" w:sz="4" w:space="0" w:color="auto"/>
              <w:right w:val="single" w:sz="4" w:space="0" w:color="auto"/>
            </w:tcBorders>
            <w:shd w:val="clear" w:color="auto" w:fill="C6EFCE"/>
            <w:noWrap/>
          </w:tcPr>
          <w:p w14:paraId="7AE58D65"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nil"/>
              <w:left w:val="nil"/>
              <w:bottom w:val="single" w:sz="4" w:space="0" w:color="auto"/>
              <w:right w:val="single" w:sz="4" w:space="0" w:color="auto"/>
            </w:tcBorders>
            <w:shd w:val="clear" w:color="auto" w:fill="C6EFCE"/>
            <w:noWrap/>
          </w:tcPr>
          <w:p w14:paraId="536E52D4"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587" w:type="dxa"/>
            <w:tcBorders>
              <w:top w:val="nil"/>
              <w:left w:val="nil"/>
              <w:bottom w:val="single" w:sz="4" w:space="0" w:color="auto"/>
              <w:right w:val="single" w:sz="4" w:space="0" w:color="auto"/>
            </w:tcBorders>
            <w:shd w:val="clear" w:color="auto" w:fill="C6EFCE"/>
            <w:noWrap/>
          </w:tcPr>
          <w:p w14:paraId="4A6C61A9"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6" w:type="dxa"/>
            <w:tcBorders>
              <w:top w:val="nil"/>
              <w:left w:val="nil"/>
              <w:bottom w:val="single" w:sz="4" w:space="0" w:color="auto"/>
              <w:right w:val="single" w:sz="4" w:space="0" w:color="auto"/>
            </w:tcBorders>
            <w:shd w:val="clear" w:color="auto" w:fill="C6EFCE"/>
            <w:noWrap/>
          </w:tcPr>
          <w:p w14:paraId="3AEB77A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TRETÍ ŠTVRŤROK</w:t>
            </w:r>
          </w:p>
        </w:tc>
        <w:tc>
          <w:tcPr>
            <w:tcW w:w="622" w:type="dxa"/>
            <w:tcBorders>
              <w:top w:val="nil"/>
              <w:left w:val="nil"/>
              <w:bottom w:val="single" w:sz="4" w:space="0" w:color="auto"/>
              <w:right w:val="single" w:sz="4" w:space="0" w:color="auto"/>
            </w:tcBorders>
            <w:shd w:val="clear" w:color="auto" w:fill="C6EFCE"/>
            <w:noWrap/>
          </w:tcPr>
          <w:p w14:paraId="7659DA5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2022</w:t>
            </w:r>
          </w:p>
        </w:tc>
        <w:tc>
          <w:tcPr>
            <w:tcW w:w="4885" w:type="dxa"/>
            <w:tcBorders>
              <w:top w:val="nil"/>
              <w:left w:val="nil"/>
              <w:bottom w:val="single" w:sz="4" w:space="0" w:color="auto"/>
              <w:right w:val="single" w:sz="4" w:space="0" w:color="auto"/>
            </w:tcBorders>
            <w:shd w:val="clear" w:color="auto" w:fill="C6EFCE"/>
            <w:noWrap/>
          </w:tcPr>
          <w:p w14:paraId="70194C69" w14:textId="5555DCB8" w:rsidR="002D49B0" w:rsidRPr="00083739" w:rsidRDefault="00BF4125">
            <w:pPr>
              <w:pStyle w:val="P68B1DB1-Normal9"/>
              <w:spacing w:before="120" w:after="120" w:line="240" w:lineRule="auto"/>
              <w:jc w:val="both"/>
              <w:rPr>
                <w:rFonts w:ascii="Times New Roman" w:hAnsi="Times New Roman" w:cs="Times New Roman"/>
                <w:noProof/>
                <w:szCs w:val="18"/>
                <w:lang w:val="sk-SK"/>
              </w:rPr>
            </w:pPr>
            <w:r w:rsidRPr="00083739">
              <w:rPr>
                <w:rFonts w:ascii="Times New Roman" w:hAnsi="Times New Roman" w:cs="Times New Roman"/>
                <w:noProof/>
                <w:lang w:val="sk-SK"/>
              </w:rPr>
              <w:t xml:space="preserve">Nadobudnutie účinnosti všetkých sekundárnych právnych predpisov </w:t>
            </w:r>
            <w:r w:rsidRPr="00083739">
              <w:rPr>
                <w:rFonts w:ascii="Times New Roman" w:hAnsi="Times New Roman" w:cs="Times New Roman"/>
                <w:noProof/>
                <w:lang w:val="sk-SK"/>
              </w:rPr>
              <w:t>(podľa potreby vo forme prezidentských dekrétov alebo ministerských rozhodnutí) potrebných na úplné vykonávanie zákona</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justičnej polícii</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cieľom pomôcť pri práci justičných orgánov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orgánov prokuratúry:</w:t>
            </w:r>
          </w:p>
          <w:p w14:paraId="79501AED" w14:textId="0F3D482F" w:rsidR="00083739" w:rsidRPr="00083739" w:rsidRDefault="00BF4125">
            <w:pPr>
              <w:pStyle w:val="P68B1DB1-Normal9"/>
              <w:numPr>
                <w:ilvl w:val="0"/>
                <w:numId w:val="56"/>
              </w:numPr>
              <w:spacing w:before="120" w:after="0" w:line="240" w:lineRule="auto"/>
              <w:ind w:left="231" w:hanging="219"/>
              <w:jc w:val="both"/>
              <w:rPr>
                <w:rFonts w:ascii="Times New Roman" w:hAnsi="Times New Roman" w:cs="Times New Roman"/>
                <w:noProof/>
                <w:lang w:val="sk-SK"/>
              </w:rPr>
            </w:pPr>
            <w:r w:rsidRPr="00083739">
              <w:rPr>
                <w:rFonts w:ascii="Times New Roman" w:hAnsi="Times New Roman" w:cs="Times New Roman"/>
                <w:noProof/>
                <w:lang w:val="sk-SK"/>
              </w:rPr>
              <w:t>poskytovanie vedeckej</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technickej pomoci sudcom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prokurátorom vo veciach, ktoré si vyžadujú technické alebo odborné znalosti</w:t>
            </w:r>
            <w:r w:rsidR="00083739" w:rsidRPr="00083739">
              <w:rPr>
                <w:rFonts w:ascii="Times New Roman" w:hAnsi="Times New Roman" w:cs="Times New Roman"/>
                <w:noProof/>
                <w:lang w:val="sk-SK"/>
              </w:rPr>
              <w:t>;</w:t>
            </w:r>
          </w:p>
          <w:p w14:paraId="1A3AC4CF" w14:textId="5036BD58" w:rsidR="002D49B0" w:rsidRPr="00083739" w:rsidRDefault="00BF4125">
            <w:pPr>
              <w:pStyle w:val="P68B1DB1-Normal9"/>
              <w:numPr>
                <w:ilvl w:val="0"/>
                <w:numId w:val="56"/>
              </w:numPr>
              <w:spacing w:before="120" w:after="0" w:line="240" w:lineRule="auto"/>
              <w:ind w:left="231" w:hanging="219"/>
              <w:jc w:val="both"/>
              <w:rPr>
                <w:rFonts w:ascii="Times New Roman" w:hAnsi="Times New Roman" w:cs="Times New Roman"/>
                <w:noProof/>
                <w:szCs w:val="18"/>
                <w:lang w:val="sk-SK"/>
              </w:rPr>
            </w:pPr>
            <w:r w:rsidRPr="00083739">
              <w:rPr>
                <w:rFonts w:ascii="Times New Roman" w:hAnsi="Times New Roman" w:cs="Times New Roman"/>
                <w:noProof/>
                <w:lang w:val="sk-SK"/>
              </w:rPr>
              <w:t>vykonávanie predbežných preskúmaní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vyšetrovaní;</w:t>
            </w:r>
          </w:p>
          <w:p w14:paraId="5B9D06AC" w14:textId="77777777" w:rsidR="002D49B0" w:rsidRPr="00083739" w:rsidRDefault="00BF4125">
            <w:pPr>
              <w:pStyle w:val="P68B1DB1-Normal9"/>
              <w:numPr>
                <w:ilvl w:val="0"/>
                <w:numId w:val="56"/>
              </w:numPr>
              <w:spacing w:before="120" w:after="0" w:line="240" w:lineRule="auto"/>
              <w:ind w:left="231" w:hanging="219"/>
              <w:jc w:val="both"/>
              <w:rPr>
                <w:rFonts w:ascii="Times New Roman" w:hAnsi="Times New Roman" w:cs="Times New Roman"/>
                <w:noProof/>
                <w:szCs w:val="18"/>
                <w:lang w:val="sk-SK"/>
              </w:rPr>
            </w:pPr>
            <w:r w:rsidRPr="00083739">
              <w:rPr>
                <w:rFonts w:ascii="Times New Roman" w:hAnsi="Times New Roman" w:cs="Times New Roman"/>
                <w:noProof/>
                <w:lang w:val="sk-SK"/>
              </w:rPr>
              <w:t>vykonávanie zatýkacích rozkazov;</w:t>
            </w:r>
          </w:p>
          <w:p w14:paraId="3215EDA5" w14:textId="68568AE1" w:rsidR="002D49B0" w:rsidRPr="00083739" w:rsidRDefault="00BF4125">
            <w:pPr>
              <w:pStyle w:val="P68B1DB1-Normal9"/>
              <w:numPr>
                <w:ilvl w:val="0"/>
                <w:numId w:val="56"/>
              </w:numPr>
              <w:spacing w:before="120" w:after="0" w:line="240" w:lineRule="auto"/>
              <w:ind w:left="231" w:hanging="219"/>
              <w:jc w:val="both"/>
              <w:rPr>
                <w:rFonts w:ascii="Times New Roman" w:hAnsi="Times New Roman" w:cs="Times New Roman"/>
                <w:noProof/>
                <w:szCs w:val="18"/>
                <w:lang w:val="sk-SK"/>
              </w:rPr>
            </w:pPr>
            <w:r w:rsidRPr="00083739">
              <w:rPr>
                <w:rFonts w:ascii="Times New Roman" w:hAnsi="Times New Roman" w:cs="Times New Roman"/>
                <w:noProof/>
                <w:lang w:val="sk-SK"/>
              </w:rPr>
              <w:t>poskytovanie pomoci pri predkladaní žiadostí</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justičnú pomoc alebo pri odpovedaní na ne;</w:t>
            </w:r>
          </w:p>
          <w:p w14:paraId="0E4AA1C5" w14:textId="3C3D758C" w:rsidR="002D49B0" w:rsidRPr="00083739" w:rsidRDefault="00BF4125">
            <w:pPr>
              <w:pStyle w:val="P68B1DB1-Normal9"/>
              <w:numPr>
                <w:ilvl w:val="0"/>
                <w:numId w:val="56"/>
              </w:numPr>
              <w:spacing w:before="120" w:after="0" w:line="240" w:lineRule="auto"/>
              <w:ind w:left="231" w:hanging="219"/>
              <w:jc w:val="both"/>
              <w:rPr>
                <w:rFonts w:ascii="Times New Roman" w:hAnsi="Times New Roman" w:cs="Times New Roman"/>
                <w:noProof/>
                <w:szCs w:val="18"/>
                <w:lang w:val="sk-SK"/>
              </w:rPr>
            </w:pPr>
            <w:r w:rsidRPr="00083739">
              <w:rPr>
                <w:rFonts w:ascii="Times New Roman" w:hAnsi="Times New Roman" w:cs="Times New Roman"/>
                <w:noProof/>
                <w:lang w:val="sk-SK"/>
              </w:rPr>
              <w:t>doru</w:t>
            </w:r>
            <w:r w:rsidRPr="00083739">
              <w:rPr>
                <w:rFonts w:ascii="Times New Roman" w:hAnsi="Times New Roman" w:cs="Times New Roman"/>
                <w:noProof/>
                <w:lang w:val="sk-SK"/>
              </w:rPr>
              <w:t>čovanie písomností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procesných úkonov;</w:t>
            </w:r>
          </w:p>
          <w:p w14:paraId="602CB956" w14:textId="77777777" w:rsidR="002D49B0" w:rsidRPr="00083739" w:rsidRDefault="00BF4125">
            <w:pPr>
              <w:pStyle w:val="P68B1DB1-Normal9"/>
              <w:numPr>
                <w:ilvl w:val="0"/>
                <w:numId w:val="56"/>
              </w:numPr>
              <w:spacing w:before="120" w:after="0" w:line="240" w:lineRule="auto"/>
              <w:ind w:left="231" w:hanging="219"/>
              <w:jc w:val="both"/>
              <w:rPr>
                <w:rFonts w:ascii="Times New Roman" w:hAnsi="Times New Roman" w:cs="Times New Roman"/>
                <w:noProof/>
                <w:szCs w:val="18"/>
                <w:lang w:val="sk-SK"/>
              </w:rPr>
            </w:pPr>
            <w:r w:rsidRPr="00083739">
              <w:rPr>
                <w:rFonts w:ascii="Times New Roman" w:hAnsi="Times New Roman" w:cs="Times New Roman"/>
                <w:noProof/>
                <w:lang w:val="sk-SK"/>
              </w:rPr>
              <w:t>výkon rozsudkov;</w:t>
            </w:r>
          </w:p>
          <w:p w14:paraId="2ECF0FFB" w14:textId="728E6591" w:rsidR="002D49B0" w:rsidRPr="00083739" w:rsidRDefault="00BF4125">
            <w:pPr>
              <w:pStyle w:val="P68B1DB1-Normal9"/>
              <w:numPr>
                <w:ilvl w:val="0"/>
                <w:numId w:val="56"/>
              </w:numPr>
              <w:spacing w:before="120" w:after="0" w:line="240" w:lineRule="auto"/>
              <w:ind w:left="231" w:hanging="219"/>
              <w:jc w:val="both"/>
              <w:rPr>
                <w:rFonts w:ascii="Times New Roman" w:hAnsi="Times New Roman" w:cs="Times New Roman"/>
                <w:noProof/>
                <w:szCs w:val="18"/>
                <w:lang w:val="sk-SK"/>
              </w:rPr>
            </w:pPr>
            <w:r w:rsidRPr="00083739">
              <w:rPr>
                <w:rFonts w:ascii="Times New Roman" w:hAnsi="Times New Roman" w:cs="Times New Roman"/>
                <w:noProof/>
                <w:lang w:val="sk-SK"/>
              </w:rPr>
              <w:t>stráženie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udržiavanie poriadku</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súdnych priestoroch;</w:t>
            </w:r>
          </w:p>
          <w:p w14:paraId="58A4CDB3" w14:textId="0B171074" w:rsidR="002D49B0" w:rsidRPr="00083739" w:rsidRDefault="00BF4125">
            <w:pPr>
              <w:pStyle w:val="P68B1DB1-Normal9"/>
              <w:numPr>
                <w:ilvl w:val="0"/>
                <w:numId w:val="56"/>
              </w:numPr>
              <w:spacing w:before="120" w:after="0" w:line="240" w:lineRule="auto"/>
              <w:ind w:left="231" w:hanging="219"/>
              <w:jc w:val="both"/>
              <w:rPr>
                <w:rFonts w:ascii="Times New Roman" w:hAnsi="Times New Roman" w:cs="Times New Roman"/>
                <w:noProof/>
                <w:szCs w:val="18"/>
                <w:lang w:val="sk-SK"/>
              </w:rPr>
            </w:pPr>
            <w:r w:rsidRPr="00083739">
              <w:rPr>
                <w:rFonts w:ascii="Times New Roman" w:hAnsi="Times New Roman" w:cs="Times New Roman"/>
                <w:noProof/>
                <w:lang w:val="sk-SK"/>
              </w:rPr>
              <w:t>iné procesné úkony, ktoré jej zverili príslušné súdy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prokurátori</w:t>
            </w:r>
          </w:p>
          <w:p w14:paraId="45742ABD"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r>
      <w:tr w:rsidR="002D49B0" w:rsidRPr="00083739" w14:paraId="3358847F" w14:textId="77777777">
        <w:trPr>
          <w:trHeight w:val="309"/>
          <w:jc w:val="center"/>
        </w:trPr>
        <w:tc>
          <w:tcPr>
            <w:tcW w:w="1027" w:type="dxa"/>
            <w:tcBorders>
              <w:top w:val="nil"/>
              <w:left w:val="single" w:sz="4" w:space="0" w:color="auto"/>
              <w:bottom w:val="single" w:sz="4" w:space="0" w:color="auto"/>
              <w:right w:val="single" w:sz="4" w:space="0" w:color="auto"/>
            </w:tcBorders>
            <w:shd w:val="clear" w:color="auto" w:fill="C6EFCE"/>
            <w:noWrap/>
          </w:tcPr>
          <w:p w14:paraId="347E111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226</w:t>
            </w:r>
          </w:p>
        </w:tc>
        <w:tc>
          <w:tcPr>
            <w:tcW w:w="1541" w:type="dxa"/>
            <w:tcBorders>
              <w:top w:val="nil"/>
              <w:left w:val="nil"/>
              <w:bottom w:val="single" w:sz="4" w:space="0" w:color="auto"/>
              <w:right w:val="single" w:sz="4" w:space="0" w:color="auto"/>
            </w:tcBorders>
            <w:shd w:val="clear" w:color="auto" w:fill="C6EFCE"/>
            <w:noWrap/>
          </w:tcPr>
          <w:p w14:paraId="6361C61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14 – 4.3. Zlepšiť efektívnosť justičného systému – 16575 Urýchlenie </w:t>
            </w:r>
            <w:r w:rsidRPr="00083739">
              <w:rPr>
                <w:rFonts w:ascii="Times New Roman" w:hAnsi="Times New Roman" w:cs="Times New Roman"/>
                <w:noProof/>
                <w:lang w:val="sk-SK"/>
              </w:rPr>
              <w:t>výkonu spravodlivosti</w:t>
            </w:r>
          </w:p>
        </w:tc>
        <w:tc>
          <w:tcPr>
            <w:tcW w:w="1424" w:type="dxa"/>
            <w:tcBorders>
              <w:top w:val="nil"/>
              <w:left w:val="nil"/>
              <w:bottom w:val="single" w:sz="4" w:space="0" w:color="auto"/>
              <w:right w:val="single" w:sz="4" w:space="0" w:color="auto"/>
            </w:tcBorders>
            <w:shd w:val="clear" w:color="auto" w:fill="C6EFCE"/>
            <w:noWrap/>
          </w:tcPr>
          <w:p w14:paraId="38FA39E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97" w:type="dxa"/>
            <w:tcBorders>
              <w:top w:val="nil"/>
              <w:left w:val="nil"/>
              <w:bottom w:val="single" w:sz="4" w:space="0" w:color="auto"/>
              <w:right w:val="single" w:sz="4" w:space="0" w:color="auto"/>
            </w:tcBorders>
            <w:shd w:val="clear" w:color="auto" w:fill="C6EFCE"/>
            <w:noWrap/>
          </w:tcPr>
          <w:p w14:paraId="728D087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Súdna mapa – primárne právne predpisy – administratívne</w:t>
            </w:r>
          </w:p>
        </w:tc>
        <w:tc>
          <w:tcPr>
            <w:tcW w:w="1552" w:type="dxa"/>
            <w:tcBorders>
              <w:top w:val="nil"/>
              <w:left w:val="nil"/>
              <w:bottom w:val="single" w:sz="4" w:space="0" w:color="auto"/>
              <w:right w:val="single" w:sz="4" w:space="0" w:color="auto"/>
            </w:tcBorders>
            <w:shd w:val="clear" w:color="auto" w:fill="C6EFCE"/>
            <w:noWrap/>
          </w:tcPr>
          <w:p w14:paraId="2789E4F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právnych predpisov.</w:t>
            </w:r>
          </w:p>
        </w:tc>
        <w:tc>
          <w:tcPr>
            <w:tcW w:w="992" w:type="dxa"/>
            <w:tcBorders>
              <w:top w:val="nil"/>
              <w:left w:val="nil"/>
              <w:bottom w:val="single" w:sz="4" w:space="0" w:color="auto"/>
              <w:right w:val="single" w:sz="4" w:space="0" w:color="auto"/>
            </w:tcBorders>
            <w:shd w:val="clear" w:color="auto" w:fill="C6EFCE"/>
            <w:noWrap/>
          </w:tcPr>
          <w:p w14:paraId="7021B2C4"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nil"/>
              <w:left w:val="nil"/>
              <w:bottom w:val="single" w:sz="4" w:space="0" w:color="auto"/>
              <w:right w:val="single" w:sz="4" w:space="0" w:color="auto"/>
            </w:tcBorders>
            <w:shd w:val="clear" w:color="auto" w:fill="C6EFCE"/>
            <w:noWrap/>
          </w:tcPr>
          <w:p w14:paraId="57D3FDA4"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587" w:type="dxa"/>
            <w:tcBorders>
              <w:top w:val="nil"/>
              <w:left w:val="nil"/>
              <w:bottom w:val="single" w:sz="4" w:space="0" w:color="auto"/>
              <w:right w:val="single" w:sz="4" w:space="0" w:color="auto"/>
            </w:tcBorders>
            <w:shd w:val="clear" w:color="auto" w:fill="C6EFCE"/>
            <w:noWrap/>
          </w:tcPr>
          <w:p w14:paraId="7AB660E7"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6" w:type="dxa"/>
            <w:tcBorders>
              <w:top w:val="nil"/>
              <w:left w:val="nil"/>
              <w:bottom w:val="single" w:sz="4" w:space="0" w:color="auto"/>
              <w:right w:val="single" w:sz="4" w:space="0" w:color="auto"/>
            </w:tcBorders>
            <w:shd w:val="clear" w:color="auto" w:fill="C6EFCE"/>
            <w:noWrap/>
          </w:tcPr>
          <w:p w14:paraId="41B0867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622" w:type="dxa"/>
            <w:tcBorders>
              <w:top w:val="nil"/>
              <w:left w:val="nil"/>
              <w:bottom w:val="single" w:sz="4" w:space="0" w:color="auto"/>
              <w:right w:val="single" w:sz="4" w:space="0" w:color="auto"/>
            </w:tcBorders>
            <w:shd w:val="clear" w:color="auto" w:fill="C6EFCE"/>
            <w:noWrap/>
          </w:tcPr>
          <w:p w14:paraId="2C224EB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2022</w:t>
            </w:r>
          </w:p>
        </w:tc>
        <w:tc>
          <w:tcPr>
            <w:tcW w:w="4885" w:type="dxa"/>
            <w:tcBorders>
              <w:top w:val="nil"/>
              <w:left w:val="nil"/>
              <w:bottom w:val="single" w:sz="4" w:space="0" w:color="auto"/>
              <w:right w:val="single" w:sz="4" w:space="0" w:color="auto"/>
            </w:tcBorders>
            <w:shd w:val="clear" w:color="auto" w:fill="C6EFCE"/>
            <w:noWrap/>
          </w:tcPr>
          <w:p w14:paraId="3B331FD2" w14:textId="77777777" w:rsidR="002D49B0" w:rsidRPr="00083739" w:rsidRDefault="00BF4125">
            <w:pPr>
              <w:pStyle w:val="P68B1DB1-Normal9"/>
              <w:spacing w:after="0" w:line="240" w:lineRule="auto"/>
              <w:rPr>
                <w:rFonts w:ascii="Times New Roman" w:hAnsi="Times New Roman" w:cs="Times New Roman"/>
                <w:noProof/>
                <w:szCs w:val="18"/>
                <w:lang w:val="sk-SK"/>
              </w:rPr>
            </w:pPr>
            <w:r w:rsidRPr="00083739">
              <w:rPr>
                <w:rFonts w:ascii="Times New Roman" w:hAnsi="Times New Roman" w:cs="Times New Roman"/>
                <w:noProof/>
                <w:lang w:val="sk-SK"/>
              </w:rPr>
              <w:t xml:space="preserve">Nadobudnutie účinnosti primárneho práva na revíziu súdnej mapy pre správne súdnictvo. </w:t>
            </w:r>
          </w:p>
        </w:tc>
      </w:tr>
      <w:tr w:rsidR="002D49B0" w:rsidRPr="00083739" w14:paraId="5B6E9EB5" w14:textId="77777777">
        <w:trPr>
          <w:trHeight w:val="309"/>
          <w:jc w:val="center"/>
        </w:trPr>
        <w:tc>
          <w:tcPr>
            <w:tcW w:w="1027" w:type="dxa"/>
            <w:tcBorders>
              <w:top w:val="nil"/>
              <w:left w:val="single" w:sz="4" w:space="0" w:color="auto"/>
              <w:bottom w:val="single" w:sz="4" w:space="0" w:color="auto"/>
              <w:right w:val="single" w:sz="4" w:space="0" w:color="auto"/>
            </w:tcBorders>
            <w:shd w:val="clear" w:color="auto" w:fill="C6EFCE"/>
            <w:noWrap/>
          </w:tcPr>
          <w:p w14:paraId="65DFC15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227</w:t>
            </w:r>
          </w:p>
        </w:tc>
        <w:tc>
          <w:tcPr>
            <w:tcW w:w="1541" w:type="dxa"/>
            <w:tcBorders>
              <w:top w:val="nil"/>
              <w:left w:val="nil"/>
              <w:bottom w:val="single" w:sz="4" w:space="0" w:color="auto"/>
              <w:right w:val="single" w:sz="4" w:space="0" w:color="auto"/>
            </w:tcBorders>
            <w:shd w:val="clear" w:color="auto" w:fill="C6EFCE"/>
            <w:noWrap/>
          </w:tcPr>
          <w:p w14:paraId="540A2D0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14 – 4.3. </w:t>
            </w:r>
            <w:r w:rsidRPr="00083739">
              <w:rPr>
                <w:rFonts w:ascii="Times New Roman" w:hAnsi="Times New Roman" w:cs="Times New Roman"/>
                <w:noProof/>
                <w:lang w:val="sk-SK"/>
              </w:rPr>
              <w:t>Zlepšiť efektívnosť justičného systému – 16292_Nové budovy súdnictva</w:t>
            </w:r>
          </w:p>
        </w:tc>
        <w:tc>
          <w:tcPr>
            <w:tcW w:w="1424" w:type="dxa"/>
            <w:tcBorders>
              <w:top w:val="nil"/>
              <w:left w:val="nil"/>
              <w:bottom w:val="single" w:sz="4" w:space="0" w:color="auto"/>
              <w:right w:val="single" w:sz="4" w:space="0" w:color="auto"/>
            </w:tcBorders>
            <w:shd w:val="clear" w:color="auto" w:fill="C6EFCE"/>
            <w:noWrap/>
          </w:tcPr>
          <w:p w14:paraId="256F603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97" w:type="dxa"/>
            <w:tcBorders>
              <w:top w:val="nil"/>
              <w:left w:val="nil"/>
              <w:bottom w:val="single" w:sz="4" w:space="0" w:color="auto"/>
              <w:right w:val="single" w:sz="4" w:space="0" w:color="auto"/>
            </w:tcBorders>
            <w:shd w:val="clear" w:color="auto" w:fill="C6EFCE"/>
            <w:noWrap/>
          </w:tcPr>
          <w:p w14:paraId="3CCB91B9" w14:textId="178ED669"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Výstavba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obnova súdnych budov – Úprava zoznamu – Začatie ponúk</w:t>
            </w:r>
          </w:p>
        </w:tc>
        <w:tc>
          <w:tcPr>
            <w:tcW w:w="1552" w:type="dxa"/>
            <w:tcBorders>
              <w:top w:val="nil"/>
              <w:left w:val="nil"/>
              <w:bottom w:val="single" w:sz="4" w:space="0" w:color="auto"/>
              <w:right w:val="single" w:sz="4" w:space="0" w:color="auto"/>
            </w:tcBorders>
            <w:shd w:val="clear" w:color="auto" w:fill="C6EFCE"/>
            <w:noWrap/>
          </w:tcPr>
          <w:p w14:paraId="68A23B53" w14:textId="0AA9274F"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Zoznam projektov obnovy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súlade</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príslušným zákonom</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revízii súdnej mapy podľa míľnika 14 4.3/4. štvrťroka 2022,</w:t>
            </w:r>
            <w:r w:rsidRPr="00083739">
              <w:rPr>
                <w:rFonts w:ascii="Times New Roman" w:hAnsi="Times New Roman" w:cs="Times New Roman"/>
                <w:noProof/>
                <w:lang w:val="sk-SK"/>
              </w:rPr>
              <w:t xml:space="preserve"> vyhlasovanie verejných súťaží</w:t>
            </w:r>
          </w:p>
        </w:tc>
        <w:tc>
          <w:tcPr>
            <w:tcW w:w="992" w:type="dxa"/>
            <w:tcBorders>
              <w:top w:val="nil"/>
              <w:left w:val="nil"/>
              <w:bottom w:val="single" w:sz="4" w:space="0" w:color="auto"/>
              <w:right w:val="single" w:sz="4" w:space="0" w:color="auto"/>
            </w:tcBorders>
            <w:shd w:val="clear" w:color="auto" w:fill="C6EFCE"/>
            <w:noWrap/>
          </w:tcPr>
          <w:p w14:paraId="32CAC62E"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nil"/>
              <w:left w:val="nil"/>
              <w:bottom w:val="single" w:sz="4" w:space="0" w:color="auto"/>
              <w:right w:val="single" w:sz="4" w:space="0" w:color="auto"/>
            </w:tcBorders>
            <w:shd w:val="clear" w:color="auto" w:fill="C6EFCE"/>
            <w:noWrap/>
          </w:tcPr>
          <w:p w14:paraId="2821A330"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587" w:type="dxa"/>
            <w:tcBorders>
              <w:top w:val="nil"/>
              <w:left w:val="nil"/>
              <w:bottom w:val="single" w:sz="4" w:space="0" w:color="auto"/>
              <w:right w:val="single" w:sz="4" w:space="0" w:color="auto"/>
            </w:tcBorders>
            <w:shd w:val="clear" w:color="auto" w:fill="C6EFCE"/>
            <w:noWrap/>
          </w:tcPr>
          <w:p w14:paraId="2D7E1F10"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6" w:type="dxa"/>
            <w:tcBorders>
              <w:top w:val="nil"/>
              <w:left w:val="nil"/>
              <w:bottom w:val="single" w:sz="4" w:space="0" w:color="auto"/>
              <w:right w:val="single" w:sz="4" w:space="0" w:color="auto"/>
            </w:tcBorders>
            <w:shd w:val="clear" w:color="auto" w:fill="C6EFCE"/>
            <w:noWrap/>
          </w:tcPr>
          <w:p w14:paraId="5A7A6C3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622" w:type="dxa"/>
            <w:tcBorders>
              <w:top w:val="nil"/>
              <w:left w:val="nil"/>
              <w:bottom w:val="single" w:sz="4" w:space="0" w:color="auto"/>
              <w:right w:val="single" w:sz="4" w:space="0" w:color="auto"/>
            </w:tcBorders>
            <w:shd w:val="clear" w:color="auto" w:fill="C6EFCE"/>
            <w:noWrap/>
          </w:tcPr>
          <w:p w14:paraId="2597990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2022</w:t>
            </w:r>
          </w:p>
        </w:tc>
        <w:tc>
          <w:tcPr>
            <w:tcW w:w="4885" w:type="dxa"/>
            <w:tcBorders>
              <w:top w:val="nil"/>
              <w:left w:val="nil"/>
              <w:bottom w:val="single" w:sz="4" w:space="0" w:color="auto"/>
              <w:right w:val="single" w:sz="4" w:space="0" w:color="auto"/>
            </w:tcBorders>
            <w:shd w:val="clear" w:color="auto" w:fill="C6EFCE"/>
            <w:noWrap/>
          </w:tcPr>
          <w:p w14:paraId="43D5BFB0" w14:textId="0C61732E" w:rsidR="002D49B0" w:rsidRPr="00083739" w:rsidRDefault="00BF4125">
            <w:pPr>
              <w:pStyle w:val="P68B1DB1-Normal9"/>
              <w:spacing w:after="0" w:line="240" w:lineRule="auto"/>
              <w:rPr>
                <w:rFonts w:ascii="Times New Roman" w:hAnsi="Times New Roman" w:cs="Times New Roman"/>
                <w:noProof/>
                <w:szCs w:val="18"/>
                <w:lang w:val="sk-SK"/>
              </w:rPr>
            </w:pPr>
            <w:r w:rsidRPr="00083739">
              <w:rPr>
                <w:rFonts w:ascii="Times New Roman" w:hAnsi="Times New Roman" w:cs="Times New Roman"/>
                <w:noProof/>
                <w:lang w:val="sk-SK"/>
              </w:rPr>
              <w:t>Úprava zoznamu projektov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súlade</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revíziou súdnej mapy prijatej</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zákone.</w:t>
            </w:r>
          </w:p>
          <w:p w14:paraId="7A27943B" w14:textId="2778EE5D"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Vyhlasovanie verejných súťaží týkajúcich sa správnych súdov.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podmienkach verejnej súťaže sa stanoví, že novovybudované budo</w:t>
            </w:r>
            <w:r w:rsidRPr="00083739">
              <w:rPr>
                <w:rFonts w:ascii="Times New Roman" w:hAnsi="Times New Roman" w:cs="Times New Roman"/>
                <w:noProof/>
                <w:lang w:val="sk-SK"/>
              </w:rPr>
              <w:t>vy musia spĺňať požiadavku primárnej energie, ktorá je aspoň</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20</w:t>
            </w:r>
            <w:r w:rsidR="00083739" w:rsidRPr="00083739">
              <w:rPr>
                <w:rFonts w:ascii="Times New Roman" w:hAnsi="Times New Roman" w:cs="Times New Roman"/>
                <w:noProof/>
                <w:lang w:val="sk-SK"/>
              </w:rPr>
              <w:t> %</w:t>
            </w:r>
            <w:r w:rsidRPr="00083739">
              <w:rPr>
                <w:rFonts w:ascii="Times New Roman" w:hAnsi="Times New Roman" w:cs="Times New Roman"/>
                <w:noProof/>
                <w:lang w:val="sk-SK"/>
              </w:rPr>
              <w:t xml:space="preserve"> nižšia ako požiadavka na budovy</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takmer nulovou spotrebou energie (budova</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takmer nulovou spotrebou energie, vnútroštátne smernice).</w:t>
            </w:r>
          </w:p>
        </w:tc>
      </w:tr>
      <w:tr w:rsidR="002D49B0" w:rsidRPr="00083739" w14:paraId="67F3ECDF" w14:textId="77777777">
        <w:trPr>
          <w:trHeight w:val="309"/>
          <w:jc w:val="center"/>
        </w:trPr>
        <w:tc>
          <w:tcPr>
            <w:tcW w:w="1027" w:type="dxa"/>
            <w:tcBorders>
              <w:top w:val="nil"/>
              <w:left w:val="single" w:sz="4" w:space="0" w:color="auto"/>
              <w:bottom w:val="single" w:sz="4" w:space="0" w:color="auto"/>
              <w:right w:val="single" w:sz="4" w:space="0" w:color="auto"/>
            </w:tcBorders>
            <w:shd w:val="clear" w:color="auto" w:fill="C6EFCE"/>
            <w:noWrap/>
          </w:tcPr>
          <w:p w14:paraId="3DCB689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228</w:t>
            </w:r>
          </w:p>
        </w:tc>
        <w:tc>
          <w:tcPr>
            <w:tcW w:w="1541" w:type="dxa"/>
            <w:tcBorders>
              <w:top w:val="nil"/>
              <w:left w:val="nil"/>
              <w:bottom w:val="single" w:sz="4" w:space="0" w:color="auto"/>
              <w:right w:val="single" w:sz="4" w:space="0" w:color="auto"/>
            </w:tcBorders>
            <w:shd w:val="clear" w:color="auto" w:fill="C6EFCE"/>
            <w:noWrap/>
          </w:tcPr>
          <w:p w14:paraId="3F780C5F" w14:textId="2627C1DD"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14 – 4.3. Zlepšiť efektívnosť justičného systému</w:t>
            </w:r>
            <w:r w:rsidRPr="00083739">
              <w:rPr>
                <w:rFonts w:ascii="Times New Roman" w:hAnsi="Times New Roman" w:cs="Times New Roman"/>
                <w:noProof/>
                <w:lang w:val="sk-SK"/>
              </w:rPr>
              <w:t xml:space="preserve"> – 16733_Zručnosti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digitálne zručnosti sudcov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justičných zamestnancov (justičný personál)</w:t>
            </w:r>
          </w:p>
        </w:tc>
        <w:tc>
          <w:tcPr>
            <w:tcW w:w="1424" w:type="dxa"/>
            <w:tcBorders>
              <w:top w:val="nil"/>
              <w:left w:val="nil"/>
              <w:bottom w:val="single" w:sz="4" w:space="0" w:color="auto"/>
              <w:right w:val="single" w:sz="4" w:space="0" w:color="auto"/>
            </w:tcBorders>
            <w:shd w:val="clear" w:color="auto" w:fill="C6EFCE"/>
            <w:noWrap/>
          </w:tcPr>
          <w:p w14:paraId="7B7F761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Cieľ</w:t>
            </w:r>
          </w:p>
        </w:tc>
        <w:tc>
          <w:tcPr>
            <w:tcW w:w="1397" w:type="dxa"/>
            <w:tcBorders>
              <w:top w:val="nil"/>
              <w:left w:val="nil"/>
              <w:bottom w:val="single" w:sz="4" w:space="0" w:color="auto"/>
              <w:right w:val="single" w:sz="4" w:space="0" w:color="auto"/>
            </w:tcBorders>
            <w:shd w:val="clear" w:color="auto" w:fill="C6EFCE"/>
            <w:noWrap/>
          </w:tcPr>
          <w:p w14:paraId="63E271E6" w14:textId="1A14B7A4"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Odborná príprava – sudcovia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administratívni pracovníci</w:t>
            </w:r>
          </w:p>
        </w:tc>
        <w:tc>
          <w:tcPr>
            <w:tcW w:w="1552" w:type="dxa"/>
            <w:tcBorders>
              <w:top w:val="nil"/>
              <w:left w:val="nil"/>
              <w:bottom w:val="single" w:sz="4" w:space="0" w:color="auto"/>
              <w:right w:val="single" w:sz="4" w:space="0" w:color="auto"/>
            </w:tcBorders>
            <w:shd w:val="clear" w:color="auto" w:fill="C6EFCE"/>
            <w:noWrap/>
          </w:tcPr>
          <w:p w14:paraId="01387613"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2" w:type="dxa"/>
            <w:tcBorders>
              <w:top w:val="nil"/>
              <w:left w:val="nil"/>
              <w:bottom w:val="single" w:sz="4" w:space="0" w:color="auto"/>
              <w:right w:val="single" w:sz="4" w:space="0" w:color="auto"/>
            </w:tcBorders>
            <w:shd w:val="clear" w:color="auto" w:fill="C6EFCE"/>
            <w:noWrap/>
          </w:tcPr>
          <w:p w14:paraId="6E16717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Počet sudcov zapísaných na vnútroštátnej škole sudcov</w:t>
            </w:r>
          </w:p>
        </w:tc>
        <w:tc>
          <w:tcPr>
            <w:tcW w:w="857" w:type="dxa"/>
            <w:tcBorders>
              <w:top w:val="nil"/>
              <w:left w:val="nil"/>
              <w:bottom w:val="single" w:sz="4" w:space="0" w:color="auto"/>
              <w:right w:val="single" w:sz="4" w:space="0" w:color="auto"/>
            </w:tcBorders>
            <w:shd w:val="clear" w:color="auto" w:fill="C6EFCE"/>
            <w:noWrap/>
          </w:tcPr>
          <w:p w14:paraId="6E0CF09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10</w:t>
            </w:r>
          </w:p>
        </w:tc>
        <w:tc>
          <w:tcPr>
            <w:tcW w:w="587" w:type="dxa"/>
            <w:tcBorders>
              <w:top w:val="nil"/>
              <w:left w:val="nil"/>
              <w:bottom w:val="single" w:sz="4" w:space="0" w:color="auto"/>
              <w:right w:val="single" w:sz="4" w:space="0" w:color="auto"/>
            </w:tcBorders>
            <w:shd w:val="clear" w:color="auto" w:fill="C6EFCE"/>
            <w:noWrap/>
          </w:tcPr>
          <w:p w14:paraId="0178074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25</w:t>
            </w:r>
          </w:p>
        </w:tc>
        <w:tc>
          <w:tcPr>
            <w:tcW w:w="846" w:type="dxa"/>
            <w:tcBorders>
              <w:top w:val="nil"/>
              <w:left w:val="nil"/>
              <w:bottom w:val="single" w:sz="4" w:space="0" w:color="auto"/>
              <w:right w:val="single" w:sz="4" w:space="0" w:color="auto"/>
            </w:tcBorders>
            <w:shd w:val="clear" w:color="auto" w:fill="C6EFCE"/>
            <w:noWrap/>
          </w:tcPr>
          <w:p w14:paraId="74BB66C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PRVÝ ŠTVRŤROK</w:t>
            </w:r>
          </w:p>
        </w:tc>
        <w:tc>
          <w:tcPr>
            <w:tcW w:w="622" w:type="dxa"/>
            <w:tcBorders>
              <w:top w:val="nil"/>
              <w:left w:val="nil"/>
              <w:bottom w:val="single" w:sz="4" w:space="0" w:color="auto"/>
              <w:right w:val="single" w:sz="4" w:space="0" w:color="auto"/>
            </w:tcBorders>
            <w:shd w:val="clear" w:color="auto" w:fill="C6EFCE"/>
            <w:noWrap/>
          </w:tcPr>
          <w:p w14:paraId="546317D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2023</w:t>
            </w:r>
          </w:p>
        </w:tc>
        <w:tc>
          <w:tcPr>
            <w:tcW w:w="4885" w:type="dxa"/>
            <w:tcBorders>
              <w:top w:val="nil"/>
              <w:left w:val="nil"/>
              <w:bottom w:val="single" w:sz="4" w:space="0" w:color="auto"/>
              <w:right w:val="single" w:sz="4" w:space="0" w:color="auto"/>
            </w:tcBorders>
            <w:shd w:val="clear" w:color="auto" w:fill="C6EFCE"/>
            <w:noWrap/>
          </w:tcPr>
          <w:p w14:paraId="789785C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14 ďalších sudcov </w:t>
            </w:r>
            <w:r w:rsidRPr="00083739">
              <w:rPr>
                <w:rFonts w:ascii="Times New Roman" w:hAnsi="Times New Roman" w:cs="Times New Roman"/>
                <w:noProof/>
                <w:lang w:val="sk-SK"/>
              </w:rPr>
              <w:t>zmierovacích súdov zapísaných na vnútroštátnej škole sudcov, 1 sudca kontrolného súdu zapísaný na vnútroštátnej škole sudcov. Tým sa celkový počet sudcov zúčastňujúcich sa na odbornej príprave zvýši na 25.</w:t>
            </w:r>
          </w:p>
        </w:tc>
      </w:tr>
      <w:tr w:rsidR="002D49B0" w:rsidRPr="00083739" w14:paraId="1E9EA164" w14:textId="77777777">
        <w:trPr>
          <w:trHeight w:val="309"/>
          <w:jc w:val="center"/>
        </w:trPr>
        <w:tc>
          <w:tcPr>
            <w:tcW w:w="1027" w:type="dxa"/>
            <w:tcBorders>
              <w:top w:val="nil"/>
              <w:left w:val="single" w:sz="4" w:space="0" w:color="auto"/>
              <w:bottom w:val="single" w:sz="4" w:space="0" w:color="auto"/>
              <w:right w:val="single" w:sz="4" w:space="0" w:color="auto"/>
            </w:tcBorders>
            <w:shd w:val="clear" w:color="auto" w:fill="C6EFCE"/>
            <w:noWrap/>
          </w:tcPr>
          <w:p w14:paraId="13D30F3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229</w:t>
            </w:r>
          </w:p>
        </w:tc>
        <w:tc>
          <w:tcPr>
            <w:tcW w:w="1541" w:type="dxa"/>
            <w:tcBorders>
              <w:top w:val="nil"/>
              <w:left w:val="nil"/>
              <w:bottom w:val="single" w:sz="4" w:space="0" w:color="auto"/>
              <w:right w:val="single" w:sz="4" w:space="0" w:color="auto"/>
            </w:tcBorders>
            <w:shd w:val="clear" w:color="auto" w:fill="C6EFCE"/>
            <w:noWrap/>
          </w:tcPr>
          <w:p w14:paraId="47645913" w14:textId="77777777"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 xml:space="preserve"> 14 – 4.3. Zlepšiť efektívnosť justičného </w:t>
            </w:r>
            <w:r w:rsidRPr="00083739">
              <w:rPr>
                <w:rFonts w:ascii="Times New Roman" w:hAnsi="Times New Roman" w:cs="Times New Roman"/>
                <w:noProof/>
                <w:lang w:val="sk-SK"/>
              </w:rPr>
              <w:t>systému —</w:t>
            </w:r>
          </w:p>
          <w:p w14:paraId="4796950C" w14:textId="3BF88072"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16727 Digitálna transformácia justície (elektronická justícia)</w:t>
            </w:r>
          </w:p>
        </w:tc>
        <w:tc>
          <w:tcPr>
            <w:tcW w:w="1424" w:type="dxa"/>
            <w:tcBorders>
              <w:top w:val="nil"/>
              <w:left w:val="nil"/>
              <w:bottom w:val="single" w:sz="4" w:space="0" w:color="auto"/>
              <w:right w:val="single" w:sz="4" w:space="0" w:color="auto"/>
            </w:tcBorders>
            <w:shd w:val="clear" w:color="auto" w:fill="C6EFCE"/>
            <w:noWrap/>
          </w:tcPr>
          <w:p w14:paraId="76E0B6C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97" w:type="dxa"/>
            <w:tcBorders>
              <w:top w:val="nil"/>
              <w:left w:val="nil"/>
              <w:bottom w:val="single" w:sz="4" w:space="0" w:color="auto"/>
              <w:right w:val="single" w:sz="4" w:space="0" w:color="auto"/>
            </w:tcBorders>
            <w:shd w:val="clear" w:color="auto" w:fill="C6EFCE"/>
            <w:noWrap/>
          </w:tcPr>
          <w:p w14:paraId="25D13D86" w14:textId="4DBC0DAE"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Modernizácia systémov záznamov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informačných justičných systémov</w:t>
            </w:r>
          </w:p>
        </w:tc>
        <w:tc>
          <w:tcPr>
            <w:tcW w:w="1552" w:type="dxa"/>
            <w:tcBorders>
              <w:top w:val="nil"/>
              <w:left w:val="nil"/>
              <w:bottom w:val="single" w:sz="4" w:space="0" w:color="auto"/>
              <w:right w:val="single" w:sz="4" w:space="0" w:color="auto"/>
            </w:tcBorders>
            <w:shd w:val="clear" w:color="auto" w:fill="C6EFCE"/>
            <w:noWrap/>
          </w:tcPr>
          <w:p w14:paraId="673204EF" w14:textId="422AF87E"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Správy</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 xml:space="preserve">audite projektov na potvrdenie dodržiavania zmluvných záväzkov </w:t>
            </w:r>
          </w:p>
        </w:tc>
        <w:tc>
          <w:tcPr>
            <w:tcW w:w="992" w:type="dxa"/>
            <w:tcBorders>
              <w:top w:val="nil"/>
              <w:left w:val="nil"/>
              <w:bottom w:val="single" w:sz="4" w:space="0" w:color="auto"/>
              <w:right w:val="single" w:sz="4" w:space="0" w:color="auto"/>
            </w:tcBorders>
            <w:shd w:val="clear" w:color="auto" w:fill="C6EFCE"/>
            <w:noWrap/>
          </w:tcPr>
          <w:p w14:paraId="04F43B11"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nil"/>
              <w:left w:val="nil"/>
              <w:bottom w:val="single" w:sz="4" w:space="0" w:color="auto"/>
              <w:right w:val="single" w:sz="4" w:space="0" w:color="auto"/>
            </w:tcBorders>
            <w:shd w:val="clear" w:color="auto" w:fill="C6EFCE"/>
            <w:noWrap/>
          </w:tcPr>
          <w:p w14:paraId="288AA06B"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587" w:type="dxa"/>
            <w:tcBorders>
              <w:top w:val="nil"/>
              <w:left w:val="nil"/>
              <w:bottom w:val="single" w:sz="4" w:space="0" w:color="auto"/>
              <w:right w:val="single" w:sz="4" w:space="0" w:color="auto"/>
            </w:tcBorders>
            <w:shd w:val="clear" w:color="auto" w:fill="C6EFCE"/>
            <w:noWrap/>
          </w:tcPr>
          <w:p w14:paraId="6938E6E9"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6" w:type="dxa"/>
            <w:tcBorders>
              <w:top w:val="nil"/>
              <w:left w:val="nil"/>
              <w:bottom w:val="single" w:sz="4" w:space="0" w:color="auto"/>
              <w:right w:val="single" w:sz="4" w:space="0" w:color="auto"/>
            </w:tcBorders>
            <w:shd w:val="clear" w:color="auto" w:fill="C6EFCE"/>
            <w:noWrap/>
          </w:tcPr>
          <w:p w14:paraId="46FF61C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622" w:type="dxa"/>
            <w:tcBorders>
              <w:top w:val="nil"/>
              <w:left w:val="nil"/>
              <w:bottom w:val="single" w:sz="4" w:space="0" w:color="auto"/>
              <w:right w:val="single" w:sz="4" w:space="0" w:color="auto"/>
            </w:tcBorders>
            <w:shd w:val="clear" w:color="auto" w:fill="C6EFCE"/>
            <w:noWrap/>
          </w:tcPr>
          <w:p w14:paraId="4E56965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2023</w:t>
            </w:r>
          </w:p>
        </w:tc>
        <w:tc>
          <w:tcPr>
            <w:tcW w:w="4885" w:type="dxa"/>
            <w:tcBorders>
              <w:top w:val="nil"/>
              <w:left w:val="nil"/>
              <w:bottom w:val="single" w:sz="4" w:space="0" w:color="auto"/>
              <w:right w:val="single" w:sz="4" w:space="0" w:color="auto"/>
            </w:tcBorders>
            <w:shd w:val="clear" w:color="auto" w:fill="C6EFCE"/>
            <w:noWrap/>
          </w:tcPr>
          <w:p w14:paraId="6AD23DED" w14:textId="14A50532"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Prijatie </w:t>
            </w:r>
            <w:r w:rsidRPr="00083739">
              <w:rPr>
                <w:rFonts w:ascii="Times New Roman" w:hAnsi="Times New Roman" w:cs="Times New Roman"/>
                <w:noProof/>
                <w:lang w:val="sk-SK"/>
              </w:rPr>
              <w:t>úradného dôkazu prostredníctvom vhodnej dokumentácie (osvedčenia</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dokončení, protokoly</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kvalitatívnom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kvantitatívnom akceptovaní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vystavené faktúry)</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riadnom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včasnom plnení všetkých zmluvných záväzkov splatných</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dátumu predloženia externému audíto</w:t>
            </w:r>
            <w:r w:rsidRPr="00083739">
              <w:rPr>
                <w:rFonts w:ascii="Times New Roman" w:hAnsi="Times New Roman" w:cs="Times New Roman"/>
                <w:noProof/>
                <w:lang w:val="sk-SK"/>
              </w:rPr>
              <w:t>rovi</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súlade</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kalendármi projektov, ktoré sa vzťahujú na všetky prvky týchto dvoch podprojektov (systémy súdnych záznamov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modernizácia IT justičných systémov (OSDDY-PP, Dvor audítorov, národný register trestov),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to vhodnými prostriedkami (ako sú sprá</w:t>
            </w:r>
            <w:r w:rsidRPr="00083739">
              <w:rPr>
                <w:rFonts w:ascii="Times New Roman" w:hAnsi="Times New Roman" w:cs="Times New Roman"/>
                <w:noProof/>
                <w:lang w:val="sk-SK"/>
              </w:rPr>
              <w:t>vy</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audite projektov, osvedčenia</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kvalitatívnom/kvantitatívnej dodávke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dôkazy</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vyplatení).</w:t>
            </w:r>
          </w:p>
        </w:tc>
      </w:tr>
      <w:tr w:rsidR="002D49B0" w:rsidRPr="00083739" w14:paraId="5C09B514" w14:textId="77777777">
        <w:trPr>
          <w:trHeight w:val="309"/>
          <w:jc w:val="center"/>
        </w:trPr>
        <w:tc>
          <w:tcPr>
            <w:tcW w:w="1027" w:type="dxa"/>
            <w:tcBorders>
              <w:top w:val="nil"/>
              <w:left w:val="single" w:sz="4" w:space="0" w:color="auto"/>
              <w:bottom w:val="single" w:sz="4" w:space="0" w:color="auto"/>
              <w:right w:val="single" w:sz="4" w:space="0" w:color="auto"/>
            </w:tcBorders>
            <w:shd w:val="clear" w:color="auto" w:fill="C6EFCE"/>
            <w:noWrap/>
            <w:hideMark/>
          </w:tcPr>
          <w:p w14:paraId="46A2293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230</w:t>
            </w:r>
          </w:p>
        </w:tc>
        <w:tc>
          <w:tcPr>
            <w:tcW w:w="1541" w:type="dxa"/>
            <w:tcBorders>
              <w:top w:val="nil"/>
              <w:left w:val="nil"/>
              <w:bottom w:val="single" w:sz="4" w:space="0" w:color="auto"/>
              <w:right w:val="single" w:sz="4" w:space="0" w:color="auto"/>
            </w:tcBorders>
            <w:shd w:val="clear" w:color="auto" w:fill="C6EFCE"/>
            <w:noWrap/>
            <w:hideMark/>
          </w:tcPr>
          <w:p w14:paraId="4EE77446" w14:textId="77777777"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 14 – 4.3. Zlepšiť efektívnosť justičného systému —</w:t>
            </w:r>
          </w:p>
          <w:p w14:paraId="4CBBF5DD" w14:textId="6FBA0890"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16575 Urýchlenie výkonu spravodlivosti</w:t>
            </w:r>
          </w:p>
        </w:tc>
        <w:tc>
          <w:tcPr>
            <w:tcW w:w="1424" w:type="dxa"/>
            <w:tcBorders>
              <w:top w:val="nil"/>
              <w:left w:val="nil"/>
              <w:bottom w:val="single" w:sz="4" w:space="0" w:color="auto"/>
              <w:right w:val="single" w:sz="4" w:space="0" w:color="auto"/>
            </w:tcBorders>
            <w:shd w:val="clear" w:color="auto" w:fill="C6EFCE"/>
            <w:noWrap/>
            <w:hideMark/>
          </w:tcPr>
          <w:p w14:paraId="61D401E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Míľnik</w:t>
            </w:r>
          </w:p>
        </w:tc>
        <w:tc>
          <w:tcPr>
            <w:tcW w:w="1397" w:type="dxa"/>
            <w:tcBorders>
              <w:top w:val="nil"/>
              <w:left w:val="nil"/>
              <w:bottom w:val="single" w:sz="4" w:space="0" w:color="auto"/>
              <w:right w:val="single" w:sz="4" w:space="0" w:color="auto"/>
            </w:tcBorders>
            <w:shd w:val="clear" w:color="auto" w:fill="C6EFCE"/>
            <w:noWrap/>
            <w:hideMark/>
          </w:tcPr>
          <w:p w14:paraId="1D59632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Nadobudnutie účinnosti – nástroj výkonnosti súdnych </w:t>
            </w:r>
            <w:r w:rsidRPr="00083739">
              <w:rPr>
                <w:rFonts w:ascii="Times New Roman" w:hAnsi="Times New Roman" w:cs="Times New Roman"/>
                <w:noProof/>
                <w:lang w:val="sk-SK"/>
              </w:rPr>
              <w:t>úradníkov</w:t>
            </w:r>
          </w:p>
        </w:tc>
        <w:tc>
          <w:tcPr>
            <w:tcW w:w="1552" w:type="dxa"/>
            <w:tcBorders>
              <w:top w:val="nil"/>
              <w:left w:val="nil"/>
              <w:bottom w:val="single" w:sz="4" w:space="0" w:color="auto"/>
              <w:right w:val="single" w:sz="4" w:space="0" w:color="auto"/>
            </w:tcBorders>
            <w:shd w:val="clear" w:color="auto" w:fill="C6EFCE"/>
            <w:noWrap/>
            <w:hideMark/>
          </w:tcPr>
          <w:p w14:paraId="093E2C36" w14:textId="37EBC944"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primárnych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sekundárnych právnych predpisov</w:t>
            </w:r>
          </w:p>
        </w:tc>
        <w:tc>
          <w:tcPr>
            <w:tcW w:w="992" w:type="dxa"/>
            <w:tcBorders>
              <w:top w:val="nil"/>
              <w:left w:val="nil"/>
              <w:bottom w:val="single" w:sz="4" w:space="0" w:color="auto"/>
              <w:right w:val="single" w:sz="4" w:space="0" w:color="auto"/>
            </w:tcBorders>
            <w:shd w:val="clear" w:color="auto" w:fill="C6EFCE"/>
            <w:noWrap/>
            <w:hideMark/>
          </w:tcPr>
          <w:p w14:paraId="3132C0F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 </w:t>
            </w:r>
          </w:p>
        </w:tc>
        <w:tc>
          <w:tcPr>
            <w:tcW w:w="857" w:type="dxa"/>
            <w:tcBorders>
              <w:top w:val="nil"/>
              <w:left w:val="nil"/>
              <w:bottom w:val="single" w:sz="4" w:space="0" w:color="auto"/>
              <w:right w:val="single" w:sz="4" w:space="0" w:color="auto"/>
            </w:tcBorders>
            <w:shd w:val="clear" w:color="auto" w:fill="C6EFCE"/>
            <w:noWrap/>
            <w:hideMark/>
          </w:tcPr>
          <w:p w14:paraId="0321000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 </w:t>
            </w:r>
          </w:p>
        </w:tc>
        <w:tc>
          <w:tcPr>
            <w:tcW w:w="587" w:type="dxa"/>
            <w:tcBorders>
              <w:top w:val="nil"/>
              <w:left w:val="nil"/>
              <w:bottom w:val="single" w:sz="4" w:space="0" w:color="auto"/>
              <w:right w:val="single" w:sz="4" w:space="0" w:color="auto"/>
            </w:tcBorders>
            <w:shd w:val="clear" w:color="auto" w:fill="C6EFCE"/>
            <w:noWrap/>
            <w:hideMark/>
          </w:tcPr>
          <w:p w14:paraId="2409ABA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 </w:t>
            </w:r>
          </w:p>
        </w:tc>
        <w:tc>
          <w:tcPr>
            <w:tcW w:w="846" w:type="dxa"/>
            <w:tcBorders>
              <w:top w:val="nil"/>
              <w:left w:val="nil"/>
              <w:bottom w:val="single" w:sz="4" w:space="0" w:color="auto"/>
              <w:right w:val="single" w:sz="4" w:space="0" w:color="auto"/>
            </w:tcBorders>
            <w:shd w:val="clear" w:color="auto" w:fill="C6EFCE"/>
            <w:noWrap/>
            <w:hideMark/>
          </w:tcPr>
          <w:p w14:paraId="220C2E7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p w14:paraId="485E9C09"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622" w:type="dxa"/>
            <w:tcBorders>
              <w:top w:val="nil"/>
              <w:left w:val="nil"/>
              <w:bottom w:val="single" w:sz="4" w:space="0" w:color="auto"/>
              <w:right w:val="single" w:sz="4" w:space="0" w:color="auto"/>
            </w:tcBorders>
            <w:shd w:val="clear" w:color="auto" w:fill="C6EFCE"/>
            <w:noWrap/>
            <w:hideMark/>
          </w:tcPr>
          <w:p w14:paraId="7094F03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2023</w:t>
            </w:r>
          </w:p>
        </w:tc>
        <w:tc>
          <w:tcPr>
            <w:tcW w:w="4885" w:type="dxa"/>
            <w:tcBorders>
              <w:top w:val="nil"/>
              <w:left w:val="nil"/>
              <w:bottom w:val="single" w:sz="4" w:space="0" w:color="auto"/>
              <w:right w:val="single" w:sz="4" w:space="0" w:color="auto"/>
            </w:tcBorders>
            <w:shd w:val="clear" w:color="auto" w:fill="C6EFCE"/>
            <w:noWrap/>
            <w:hideMark/>
          </w:tcPr>
          <w:p w14:paraId="1CCF695C" w14:textId="7745FAD5"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primárnych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sekundárnych právnych predpisov na vytvorenie dočasného systému prémií, ktorý bude založený na vývoji nástroja výko</w:t>
            </w:r>
            <w:r w:rsidRPr="00083739">
              <w:rPr>
                <w:rFonts w:ascii="Times New Roman" w:hAnsi="Times New Roman" w:cs="Times New Roman"/>
                <w:noProof/>
                <w:lang w:val="sk-SK"/>
              </w:rPr>
              <w:t>nnosti súdnych úradníkov, ktorým sa stanovia strategické ciele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zavedú objektívne kľúčové ukazovatele výkonnosti (ako je čas na splnenie povinnosti, individuálna výkonnosť</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hľadiska času, komunikácie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motivácie) podľa oddelení a/alebo kategórie administ</w:t>
            </w:r>
            <w:r w:rsidRPr="00083739">
              <w:rPr>
                <w:rFonts w:ascii="Times New Roman" w:hAnsi="Times New Roman" w:cs="Times New Roman"/>
                <w:noProof/>
                <w:lang w:val="sk-SK"/>
              </w:rPr>
              <w:t>ratívnych pracovníkov,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poskytnú sa presné</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objektívne údaje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prideľovaní prémií; prémie, ktoré majú byť splatné</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prvom štvrťroku po skončení príslušného roka, na základe výsledkov za daný rok.</w:t>
            </w:r>
          </w:p>
        </w:tc>
      </w:tr>
      <w:tr w:rsidR="002D49B0" w:rsidRPr="00083739" w14:paraId="775137E5" w14:textId="77777777">
        <w:trPr>
          <w:trHeight w:val="309"/>
          <w:jc w:val="center"/>
        </w:trPr>
        <w:tc>
          <w:tcPr>
            <w:tcW w:w="1027" w:type="dxa"/>
            <w:tcBorders>
              <w:top w:val="nil"/>
              <w:left w:val="single" w:sz="4" w:space="0" w:color="auto"/>
              <w:bottom w:val="single" w:sz="4" w:space="0" w:color="auto"/>
              <w:right w:val="single" w:sz="4" w:space="0" w:color="auto"/>
            </w:tcBorders>
            <w:shd w:val="clear" w:color="auto" w:fill="C6EFCE"/>
            <w:noWrap/>
            <w:hideMark/>
          </w:tcPr>
          <w:p w14:paraId="7B74A51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231</w:t>
            </w:r>
          </w:p>
        </w:tc>
        <w:tc>
          <w:tcPr>
            <w:tcW w:w="1541" w:type="dxa"/>
            <w:tcBorders>
              <w:top w:val="nil"/>
              <w:left w:val="nil"/>
              <w:bottom w:val="single" w:sz="4" w:space="0" w:color="auto"/>
              <w:right w:val="single" w:sz="4" w:space="0" w:color="auto"/>
            </w:tcBorders>
            <w:shd w:val="clear" w:color="auto" w:fill="C6EFCE"/>
            <w:noWrap/>
            <w:hideMark/>
          </w:tcPr>
          <w:p w14:paraId="44EF5C7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 14 – 4.3. Zlepšiť efektívnosť justičného systému – </w:t>
            </w:r>
            <w:r w:rsidRPr="00083739">
              <w:rPr>
                <w:rFonts w:ascii="Times New Roman" w:hAnsi="Times New Roman" w:cs="Times New Roman"/>
                <w:noProof/>
                <w:lang w:val="sk-SK"/>
              </w:rPr>
              <w:t>16292_Nové budovy súdnictva</w:t>
            </w:r>
          </w:p>
        </w:tc>
        <w:tc>
          <w:tcPr>
            <w:tcW w:w="1424" w:type="dxa"/>
            <w:tcBorders>
              <w:top w:val="nil"/>
              <w:left w:val="nil"/>
              <w:bottom w:val="single" w:sz="4" w:space="0" w:color="auto"/>
              <w:right w:val="single" w:sz="4" w:space="0" w:color="auto"/>
            </w:tcBorders>
            <w:shd w:val="clear" w:color="auto" w:fill="C6EFCE"/>
            <w:noWrap/>
            <w:hideMark/>
          </w:tcPr>
          <w:p w14:paraId="2DBB491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Míľnik</w:t>
            </w:r>
          </w:p>
        </w:tc>
        <w:tc>
          <w:tcPr>
            <w:tcW w:w="1397" w:type="dxa"/>
            <w:tcBorders>
              <w:top w:val="nil"/>
              <w:left w:val="nil"/>
              <w:bottom w:val="single" w:sz="4" w:space="0" w:color="auto"/>
              <w:right w:val="single" w:sz="4" w:space="0" w:color="auto"/>
            </w:tcBorders>
            <w:shd w:val="clear" w:color="auto" w:fill="C6EFCE"/>
            <w:noWrap/>
            <w:hideMark/>
          </w:tcPr>
          <w:p w14:paraId="04EF43C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Zmluvy </w:t>
            </w:r>
          </w:p>
        </w:tc>
        <w:tc>
          <w:tcPr>
            <w:tcW w:w="1552" w:type="dxa"/>
            <w:tcBorders>
              <w:top w:val="nil"/>
              <w:left w:val="nil"/>
              <w:bottom w:val="single" w:sz="4" w:space="0" w:color="auto"/>
              <w:right w:val="single" w:sz="4" w:space="0" w:color="auto"/>
            </w:tcBorders>
            <w:shd w:val="clear" w:color="auto" w:fill="C6EFCE"/>
            <w:noWrap/>
            <w:hideMark/>
          </w:tcPr>
          <w:p w14:paraId="6A0910D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Zadávanie zmlúv</w:t>
            </w:r>
          </w:p>
        </w:tc>
        <w:tc>
          <w:tcPr>
            <w:tcW w:w="992" w:type="dxa"/>
            <w:tcBorders>
              <w:top w:val="nil"/>
              <w:left w:val="nil"/>
              <w:bottom w:val="single" w:sz="4" w:space="0" w:color="auto"/>
              <w:right w:val="single" w:sz="4" w:space="0" w:color="auto"/>
            </w:tcBorders>
            <w:shd w:val="clear" w:color="auto" w:fill="C6EFCE"/>
            <w:noWrap/>
            <w:hideMark/>
          </w:tcPr>
          <w:p w14:paraId="78D92F7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 </w:t>
            </w:r>
          </w:p>
        </w:tc>
        <w:tc>
          <w:tcPr>
            <w:tcW w:w="857" w:type="dxa"/>
            <w:tcBorders>
              <w:top w:val="nil"/>
              <w:left w:val="nil"/>
              <w:bottom w:val="single" w:sz="4" w:space="0" w:color="auto"/>
              <w:right w:val="single" w:sz="4" w:space="0" w:color="auto"/>
            </w:tcBorders>
            <w:shd w:val="clear" w:color="auto" w:fill="C6EFCE"/>
            <w:noWrap/>
            <w:hideMark/>
          </w:tcPr>
          <w:p w14:paraId="3EFE32F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 </w:t>
            </w:r>
          </w:p>
        </w:tc>
        <w:tc>
          <w:tcPr>
            <w:tcW w:w="587" w:type="dxa"/>
            <w:tcBorders>
              <w:top w:val="nil"/>
              <w:left w:val="nil"/>
              <w:bottom w:val="single" w:sz="4" w:space="0" w:color="auto"/>
              <w:right w:val="single" w:sz="4" w:space="0" w:color="auto"/>
            </w:tcBorders>
            <w:shd w:val="clear" w:color="auto" w:fill="C6EFCE"/>
            <w:noWrap/>
            <w:hideMark/>
          </w:tcPr>
          <w:p w14:paraId="38F5B54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 </w:t>
            </w:r>
          </w:p>
        </w:tc>
        <w:tc>
          <w:tcPr>
            <w:tcW w:w="846" w:type="dxa"/>
            <w:tcBorders>
              <w:top w:val="nil"/>
              <w:left w:val="nil"/>
              <w:bottom w:val="single" w:sz="4" w:space="0" w:color="auto"/>
              <w:right w:val="single" w:sz="4" w:space="0" w:color="auto"/>
            </w:tcBorders>
            <w:shd w:val="clear" w:color="auto" w:fill="C6EFCE"/>
            <w:noWrap/>
            <w:hideMark/>
          </w:tcPr>
          <w:p w14:paraId="45390BB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622" w:type="dxa"/>
            <w:tcBorders>
              <w:top w:val="nil"/>
              <w:left w:val="nil"/>
              <w:bottom w:val="single" w:sz="4" w:space="0" w:color="auto"/>
              <w:right w:val="single" w:sz="4" w:space="0" w:color="auto"/>
            </w:tcBorders>
            <w:shd w:val="clear" w:color="auto" w:fill="C6EFCE"/>
            <w:noWrap/>
            <w:hideMark/>
          </w:tcPr>
          <w:p w14:paraId="38831C8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2023</w:t>
            </w:r>
          </w:p>
        </w:tc>
        <w:tc>
          <w:tcPr>
            <w:tcW w:w="4885" w:type="dxa"/>
            <w:tcBorders>
              <w:top w:val="nil"/>
              <w:left w:val="nil"/>
              <w:bottom w:val="single" w:sz="4" w:space="0" w:color="auto"/>
              <w:right w:val="single" w:sz="4" w:space="0" w:color="auto"/>
            </w:tcBorders>
            <w:shd w:val="clear" w:color="auto" w:fill="C6EFCE"/>
            <w:noWrap/>
            <w:hideMark/>
          </w:tcPr>
          <w:p w14:paraId="18EB72D1" w14:textId="77777777" w:rsidR="002D49B0" w:rsidRPr="00083739" w:rsidRDefault="00BF4125">
            <w:pPr>
              <w:pStyle w:val="P68B1DB1-Normal9"/>
              <w:spacing w:after="0" w:line="240" w:lineRule="auto"/>
              <w:jc w:val="both"/>
              <w:rPr>
                <w:rFonts w:ascii="Times New Roman" w:hAnsi="Times New Roman" w:cs="Times New Roman"/>
                <w:noProof/>
                <w:szCs w:val="18"/>
                <w:lang w:val="sk-SK"/>
              </w:rPr>
            </w:pPr>
            <w:r w:rsidRPr="00083739">
              <w:rPr>
                <w:rFonts w:ascii="Times New Roman" w:hAnsi="Times New Roman" w:cs="Times New Roman"/>
                <w:noProof/>
                <w:lang w:val="sk-SK"/>
              </w:rPr>
              <w:t>Zadávanie zákaziek na stavebné projekty, ktoré nie sú ovplyvnené revíziou súdnej mapy.</w:t>
            </w:r>
          </w:p>
          <w:p w14:paraId="1BA07FBD" w14:textId="40066C5B"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V podmienkach zadania zákazky sa stanoví, že nové budovy, ktoré sa majú postaviť, </w:t>
            </w:r>
            <w:r w:rsidRPr="00083739">
              <w:rPr>
                <w:rFonts w:ascii="Times New Roman" w:hAnsi="Times New Roman" w:cs="Times New Roman"/>
                <w:noProof/>
                <w:lang w:val="sk-SK"/>
              </w:rPr>
              <w:t>musia spĺňať požiadavku primárnej energie, ktorá je aspoň</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20</w:t>
            </w:r>
            <w:r w:rsidR="00083739" w:rsidRPr="00083739">
              <w:rPr>
                <w:rFonts w:ascii="Times New Roman" w:hAnsi="Times New Roman" w:cs="Times New Roman"/>
                <w:noProof/>
                <w:lang w:val="sk-SK"/>
              </w:rPr>
              <w:t> %</w:t>
            </w:r>
            <w:r w:rsidRPr="00083739">
              <w:rPr>
                <w:rFonts w:ascii="Times New Roman" w:hAnsi="Times New Roman" w:cs="Times New Roman"/>
                <w:noProof/>
                <w:lang w:val="sk-SK"/>
              </w:rPr>
              <w:t xml:space="preserve"> nižšia ako požiadavka na budovy</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takmer nulovou spotrebou energie (budova</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takmer nulovou spotrebou energie, vnútroštátne smernice).</w:t>
            </w:r>
          </w:p>
        </w:tc>
      </w:tr>
      <w:tr w:rsidR="002D49B0" w:rsidRPr="00083739" w14:paraId="3F591817" w14:textId="77777777">
        <w:trPr>
          <w:trHeight w:val="309"/>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01DA3BE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232</w:t>
            </w:r>
          </w:p>
        </w:tc>
        <w:tc>
          <w:tcPr>
            <w:tcW w:w="1541" w:type="dxa"/>
            <w:tcBorders>
              <w:top w:val="single" w:sz="4" w:space="0" w:color="auto"/>
              <w:left w:val="nil"/>
              <w:bottom w:val="single" w:sz="4" w:space="0" w:color="auto"/>
              <w:right w:val="single" w:sz="4" w:space="0" w:color="auto"/>
            </w:tcBorders>
            <w:shd w:val="clear" w:color="auto" w:fill="C6EFCE"/>
            <w:noWrap/>
          </w:tcPr>
          <w:p w14:paraId="2C392CE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14 – 4.3. Zlepšiť efektívnosť justičného systému – </w:t>
            </w:r>
            <w:r w:rsidRPr="00083739">
              <w:rPr>
                <w:rFonts w:ascii="Times New Roman" w:hAnsi="Times New Roman" w:cs="Times New Roman"/>
                <w:noProof/>
                <w:lang w:val="sk-SK"/>
              </w:rPr>
              <w:t>16575 Urýchlenie výkonu spravodlivosti</w:t>
            </w:r>
          </w:p>
        </w:tc>
        <w:tc>
          <w:tcPr>
            <w:tcW w:w="1424" w:type="dxa"/>
            <w:tcBorders>
              <w:top w:val="single" w:sz="4" w:space="0" w:color="auto"/>
              <w:left w:val="nil"/>
              <w:bottom w:val="single" w:sz="4" w:space="0" w:color="auto"/>
              <w:right w:val="single" w:sz="4" w:space="0" w:color="auto"/>
            </w:tcBorders>
            <w:shd w:val="clear" w:color="auto" w:fill="C6EFCE"/>
            <w:noWrap/>
          </w:tcPr>
          <w:p w14:paraId="287BF91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97" w:type="dxa"/>
            <w:tcBorders>
              <w:top w:val="single" w:sz="4" w:space="0" w:color="auto"/>
              <w:left w:val="nil"/>
              <w:bottom w:val="single" w:sz="4" w:space="0" w:color="auto"/>
              <w:right w:val="single" w:sz="4" w:space="0" w:color="auto"/>
            </w:tcBorders>
            <w:shd w:val="clear" w:color="auto" w:fill="C6EFCE"/>
            <w:noWrap/>
          </w:tcPr>
          <w:p w14:paraId="371035DC" w14:textId="7A66D40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Revízia súdnej mapy – primárne právne predpisy – Občianske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trestné</w:t>
            </w:r>
          </w:p>
        </w:tc>
        <w:tc>
          <w:tcPr>
            <w:tcW w:w="1552" w:type="dxa"/>
            <w:tcBorders>
              <w:top w:val="single" w:sz="4" w:space="0" w:color="auto"/>
              <w:left w:val="nil"/>
              <w:bottom w:val="single" w:sz="4" w:space="0" w:color="auto"/>
              <w:right w:val="single" w:sz="4" w:space="0" w:color="auto"/>
            </w:tcBorders>
            <w:shd w:val="clear" w:color="auto" w:fill="C6EFCE"/>
            <w:noWrap/>
          </w:tcPr>
          <w:p w14:paraId="03EF037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právnych predpisov.</w:t>
            </w:r>
          </w:p>
        </w:tc>
        <w:tc>
          <w:tcPr>
            <w:tcW w:w="992" w:type="dxa"/>
            <w:tcBorders>
              <w:top w:val="single" w:sz="4" w:space="0" w:color="auto"/>
              <w:left w:val="nil"/>
              <w:bottom w:val="single" w:sz="4" w:space="0" w:color="auto"/>
              <w:right w:val="single" w:sz="4" w:space="0" w:color="auto"/>
            </w:tcBorders>
            <w:shd w:val="clear" w:color="auto" w:fill="C6EFCE"/>
            <w:noWrap/>
          </w:tcPr>
          <w:p w14:paraId="03652EE6"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single" w:sz="4" w:space="0" w:color="auto"/>
              <w:left w:val="nil"/>
              <w:bottom w:val="single" w:sz="4" w:space="0" w:color="auto"/>
              <w:right w:val="single" w:sz="4" w:space="0" w:color="auto"/>
            </w:tcBorders>
            <w:shd w:val="clear" w:color="auto" w:fill="C6EFCE"/>
            <w:noWrap/>
          </w:tcPr>
          <w:p w14:paraId="5BC4DD48"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587" w:type="dxa"/>
            <w:tcBorders>
              <w:top w:val="single" w:sz="4" w:space="0" w:color="auto"/>
              <w:left w:val="nil"/>
              <w:bottom w:val="single" w:sz="4" w:space="0" w:color="auto"/>
              <w:right w:val="single" w:sz="4" w:space="0" w:color="auto"/>
            </w:tcBorders>
            <w:shd w:val="clear" w:color="auto" w:fill="C6EFCE"/>
            <w:noWrap/>
          </w:tcPr>
          <w:p w14:paraId="2A6A080C"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6" w:type="dxa"/>
            <w:tcBorders>
              <w:top w:val="single" w:sz="4" w:space="0" w:color="auto"/>
              <w:left w:val="nil"/>
              <w:bottom w:val="single" w:sz="4" w:space="0" w:color="auto"/>
              <w:right w:val="single" w:sz="4" w:space="0" w:color="auto"/>
            </w:tcBorders>
            <w:shd w:val="clear" w:color="auto" w:fill="C6EFCE"/>
            <w:noWrap/>
          </w:tcPr>
          <w:p w14:paraId="40C3759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622" w:type="dxa"/>
            <w:tcBorders>
              <w:top w:val="single" w:sz="4" w:space="0" w:color="auto"/>
              <w:left w:val="nil"/>
              <w:bottom w:val="single" w:sz="4" w:space="0" w:color="auto"/>
              <w:right w:val="single" w:sz="4" w:space="0" w:color="auto"/>
            </w:tcBorders>
            <w:shd w:val="clear" w:color="auto" w:fill="C6EFCE"/>
            <w:noWrap/>
          </w:tcPr>
          <w:p w14:paraId="2584369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2023</w:t>
            </w:r>
          </w:p>
        </w:tc>
        <w:tc>
          <w:tcPr>
            <w:tcW w:w="4885" w:type="dxa"/>
            <w:tcBorders>
              <w:top w:val="single" w:sz="4" w:space="0" w:color="auto"/>
              <w:left w:val="nil"/>
              <w:bottom w:val="single" w:sz="4" w:space="0" w:color="auto"/>
              <w:right w:val="single" w:sz="4" w:space="0" w:color="auto"/>
            </w:tcBorders>
            <w:shd w:val="clear" w:color="auto" w:fill="C6EFCE"/>
            <w:noWrap/>
          </w:tcPr>
          <w:p w14:paraId="5C302DC7" w14:textId="4FFA3971" w:rsidR="002D49B0" w:rsidRPr="00083739" w:rsidRDefault="00BF4125">
            <w:pPr>
              <w:pStyle w:val="P68B1DB1-Normal9"/>
              <w:spacing w:after="0" w:line="240" w:lineRule="auto"/>
              <w:rPr>
                <w:rFonts w:ascii="Times New Roman" w:hAnsi="Times New Roman" w:cs="Times New Roman"/>
                <w:noProof/>
                <w:szCs w:val="18"/>
                <w:lang w:val="sk-SK"/>
              </w:rPr>
            </w:pPr>
            <w:r w:rsidRPr="00083739">
              <w:rPr>
                <w:rFonts w:ascii="Times New Roman" w:hAnsi="Times New Roman" w:cs="Times New Roman"/>
                <w:noProof/>
                <w:lang w:val="sk-SK"/>
              </w:rPr>
              <w:t xml:space="preserve">Nadobudnutie účinnosti primárnych právnych predpisov na revíziu súdnej </w:t>
            </w:r>
            <w:r w:rsidRPr="00083739">
              <w:rPr>
                <w:rFonts w:ascii="Times New Roman" w:hAnsi="Times New Roman" w:cs="Times New Roman"/>
                <w:noProof/>
                <w:lang w:val="sk-SK"/>
              </w:rPr>
              <w:t>mapy pre občianske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trestné súdnictvo.</w:t>
            </w:r>
          </w:p>
        </w:tc>
      </w:tr>
      <w:tr w:rsidR="002D49B0" w:rsidRPr="00083739" w14:paraId="484D7CF3" w14:textId="77777777">
        <w:trPr>
          <w:trHeight w:val="309"/>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57FDFA4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233</w:t>
            </w:r>
          </w:p>
        </w:tc>
        <w:tc>
          <w:tcPr>
            <w:tcW w:w="1541" w:type="dxa"/>
            <w:tcBorders>
              <w:top w:val="single" w:sz="4" w:space="0" w:color="auto"/>
              <w:left w:val="nil"/>
              <w:bottom w:val="single" w:sz="4" w:space="0" w:color="auto"/>
              <w:right w:val="single" w:sz="4" w:space="0" w:color="auto"/>
            </w:tcBorders>
            <w:shd w:val="clear" w:color="auto" w:fill="C6EFCE"/>
            <w:noWrap/>
          </w:tcPr>
          <w:p w14:paraId="457854E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14 – 4.3. Zlepšiť efektívnosť justičného systému – 16292_Nové budovy súdnictva</w:t>
            </w:r>
          </w:p>
        </w:tc>
        <w:tc>
          <w:tcPr>
            <w:tcW w:w="1424" w:type="dxa"/>
            <w:tcBorders>
              <w:top w:val="single" w:sz="4" w:space="0" w:color="auto"/>
              <w:left w:val="nil"/>
              <w:bottom w:val="single" w:sz="4" w:space="0" w:color="auto"/>
              <w:right w:val="single" w:sz="4" w:space="0" w:color="auto"/>
            </w:tcBorders>
            <w:shd w:val="clear" w:color="auto" w:fill="C6EFCE"/>
            <w:noWrap/>
          </w:tcPr>
          <w:p w14:paraId="345E289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97" w:type="dxa"/>
            <w:tcBorders>
              <w:top w:val="single" w:sz="4" w:space="0" w:color="auto"/>
              <w:left w:val="nil"/>
              <w:bottom w:val="single" w:sz="4" w:space="0" w:color="auto"/>
              <w:right w:val="single" w:sz="4" w:space="0" w:color="auto"/>
            </w:tcBorders>
            <w:shd w:val="clear" w:color="auto" w:fill="C6EFCE"/>
            <w:noWrap/>
          </w:tcPr>
          <w:p w14:paraId="1B4705D0" w14:textId="6D621AD6"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Výstavba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obnova súdnych budov – spustenie verejných súťaží</w:t>
            </w:r>
          </w:p>
        </w:tc>
        <w:tc>
          <w:tcPr>
            <w:tcW w:w="1552" w:type="dxa"/>
            <w:tcBorders>
              <w:top w:val="single" w:sz="4" w:space="0" w:color="auto"/>
              <w:left w:val="nil"/>
              <w:bottom w:val="single" w:sz="4" w:space="0" w:color="auto"/>
              <w:right w:val="single" w:sz="4" w:space="0" w:color="auto"/>
            </w:tcBorders>
            <w:shd w:val="clear" w:color="auto" w:fill="C6EFCE"/>
            <w:noWrap/>
          </w:tcPr>
          <w:p w14:paraId="0EB6CCD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Vyhlasovanie verejných súťaží</w:t>
            </w:r>
          </w:p>
        </w:tc>
        <w:tc>
          <w:tcPr>
            <w:tcW w:w="992" w:type="dxa"/>
            <w:tcBorders>
              <w:top w:val="single" w:sz="4" w:space="0" w:color="auto"/>
              <w:left w:val="nil"/>
              <w:bottom w:val="single" w:sz="4" w:space="0" w:color="auto"/>
              <w:right w:val="single" w:sz="4" w:space="0" w:color="auto"/>
            </w:tcBorders>
            <w:shd w:val="clear" w:color="auto" w:fill="C6EFCE"/>
            <w:noWrap/>
          </w:tcPr>
          <w:p w14:paraId="15DC0FA5"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single" w:sz="4" w:space="0" w:color="auto"/>
              <w:left w:val="nil"/>
              <w:bottom w:val="single" w:sz="4" w:space="0" w:color="auto"/>
              <w:right w:val="single" w:sz="4" w:space="0" w:color="auto"/>
            </w:tcBorders>
            <w:shd w:val="clear" w:color="auto" w:fill="C6EFCE"/>
            <w:noWrap/>
          </w:tcPr>
          <w:p w14:paraId="3650FCBE"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587" w:type="dxa"/>
            <w:tcBorders>
              <w:top w:val="single" w:sz="4" w:space="0" w:color="auto"/>
              <w:left w:val="nil"/>
              <w:bottom w:val="single" w:sz="4" w:space="0" w:color="auto"/>
              <w:right w:val="single" w:sz="4" w:space="0" w:color="auto"/>
            </w:tcBorders>
            <w:shd w:val="clear" w:color="auto" w:fill="C6EFCE"/>
            <w:noWrap/>
          </w:tcPr>
          <w:p w14:paraId="5BFCC9A8"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6" w:type="dxa"/>
            <w:tcBorders>
              <w:top w:val="single" w:sz="4" w:space="0" w:color="auto"/>
              <w:left w:val="nil"/>
              <w:bottom w:val="single" w:sz="4" w:space="0" w:color="auto"/>
              <w:right w:val="single" w:sz="4" w:space="0" w:color="auto"/>
            </w:tcBorders>
            <w:shd w:val="clear" w:color="auto" w:fill="C6EFCE"/>
            <w:noWrap/>
          </w:tcPr>
          <w:p w14:paraId="0BD11A8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622" w:type="dxa"/>
            <w:tcBorders>
              <w:top w:val="single" w:sz="4" w:space="0" w:color="auto"/>
              <w:left w:val="nil"/>
              <w:bottom w:val="single" w:sz="4" w:space="0" w:color="auto"/>
              <w:right w:val="single" w:sz="4" w:space="0" w:color="auto"/>
            </w:tcBorders>
            <w:shd w:val="clear" w:color="auto" w:fill="C6EFCE"/>
            <w:noWrap/>
          </w:tcPr>
          <w:p w14:paraId="6FF4A25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2023</w:t>
            </w:r>
          </w:p>
        </w:tc>
        <w:tc>
          <w:tcPr>
            <w:tcW w:w="4885" w:type="dxa"/>
            <w:tcBorders>
              <w:top w:val="single" w:sz="4" w:space="0" w:color="auto"/>
              <w:left w:val="nil"/>
              <w:bottom w:val="single" w:sz="4" w:space="0" w:color="auto"/>
              <w:right w:val="single" w:sz="4" w:space="0" w:color="auto"/>
            </w:tcBorders>
            <w:shd w:val="clear" w:color="auto" w:fill="C6EFCE"/>
            <w:noWrap/>
          </w:tcPr>
          <w:p w14:paraId="17049489" w14:textId="261ADA64" w:rsidR="002D49B0" w:rsidRPr="00083739" w:rsidRDefault="00BF4125">
            <w:pPr>
              <w:pStyle w:val="P68B1DB1-Normal9"/>
              <w:spacing w:after="0" w:line="240" w:lineRule="auto"/>
              <w:rPr>
                <w:rFonts w:ascii="Times New Roman" w:hAnsi="Times New Roman" w:cs="Times New Roman"/>
                <w:noProof/>
                <w:szCs w:val="18"/>
                <w:lang w:val="sk-SK"/>
              </w:rPr>
            </w:pPr>
            <w:r w:rsidRPr="00083739">
              <w:rPr>
                <w:rFonts w:ascii="Times New Roman" w:hAnsi="Times New Roman" w:cs="Times New Roman"/>
                <w:noProof/>
                <w:lang w:val="sk-SK"/>
              </w:rPr>
              <w:t xml:space="preserve">Úprava </w:t>
            </w:r>
            <w:r w:rsidRPr="00083739">
              <w:rPr>
                <w:rFonts w:ascii="Times New Roman" w:hAnsi="Times New Roman" w:cs="Times New Roman"/>
                <w:noProof/>
                <w:lang w:val="sk-SK"/>
              </w:rPr>
              <w:t>zoznamu projektov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súlade so zákonom</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revízii súdnej mapy.</w:t>
            </w:r>
          </w:p>
          <w:p w14:paraId="25C316C6" w14:textId="79AF5935" w:rsidR="002D49B0" w:rsidRPr="00083739" w:rsidRDefault="00BF4125">
            <w:pPr>
              <w:pStyle w:val="P68B1DB1-Normal9"/>
              <w:spacing w:after="0" w:line="240" w:lineRule="auto"/>
              <w:rPr>
                <w:rFonts w:ascii="Times New Roman" w:hAnsi="Times New Roman" w:cs="Times New Roman"/>
                <w:noProof/>
                <w:szCs w:val="18"/>
                <w:lang w:val="sk-SK"/>
              </w:rPr>
            </w:pPr>
            <w:r w:rsidRPr="00083739">
              <w:rPr>
                <w:rFonts w:ascii="Times New Roman" w:hAnsi="Times New Roman" w:cs="Times New Roman"/>
                <w:noProof/>
                <w:lang w:val="sk-SK"/>
              </w:rPr>
              <w:t>Vyhlásenie verejného obstarávania na projekty týkajúce sa civilných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trestnoprávnych súdov zaradených do revidovaného zoznamu renovácií.</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podmienkach verejnej súťaže sa stanoví, že nové budovy,</w:t>
            </w:r>
            <w:r w:rsidRPr="00083739">
              <w:rPr>
                <w:rFonts w:ascii="Times New Roman" w:hAnsi="Times New Roman" w:cs="Times New Roman"/>
                <w:noProof/>
                <w:lang w:val="sk-SK"/>
              </w:rPr>
              <w:t xml:space="preserve"> ktoré sa majú postaviť, musia spĺňať požiadavku primárnej energie, ktorá je aspoň</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20</w:t>
            </w:r>
            <w:r w:rsidR="00083739" w:rsidRPr="00083739">
              <w:rPr>
                <w:rFonts w:ascii="Times New Roman" w:hAnsi="Times New Roman" w:cs="Times New Roman"/>
                <w:noProof/>
                <w:lang w:val="sk-SK"/>
              </w:rPr>
              <w:t> %</w:t>
            </w:r>
            <w:r w:rsidRPr="00083739">
              <w:rPr>
                <w:rFonts w:ascii="Times New Roman" w:hAnsi="Times New Roman" w:cs="Times New Roman"/>
                <w:noProof/>
                <w:lang w:val="sk-SK"/>
              </w:rPr>
              <w:t xml:space="preserve"> nižšia ako požiadavka na budovy</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takmer nulovou spotrebou energie (budova</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takmer nulovou spotrebou energie, vnútroštátne smernice).</w:t>
            </w:r>
          </w:p>
        </w:tc>
      </w:tr>
      <w:tr w:rsidR="002D49B0" w:rsidRPr="00083739" w14:paraId="1F2CAF92" w14:textId="77777777">
        <w:trPr>
          <w:trHeight w:val="309"/>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5FBF5A0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234</w:t>
            </w:r>
          </w:p>
        </w:tc>
        <w:tc>
          <w:tcPr>
            <w:tcW w:w="1541" w:type="dxa"/>
            <w:tcBorders>
              <w:top w:val="single" w:sz="4" w:space="0" w:color="auto"/>
              <w:left w:val="nil"/>
              <w:bottom w:val="single" w:sz="4" w:space="0" w:color="auto"/>
              <w:right w:val="single" w:sz="4" w:space="0" w:color="auto"/>
            </w:tcBorders>
            <w:shd w:val="clear" w:color="auto" w:fill="C6EFCE"/>
            <w:noWrap/>
          </w:tcPr>
          <w:p w14:paraId="4AECCF8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14 – 4.3. Zlepšiť </w:t>
            </w:r>
            <w:r w:rsidRPr="00083739">
              <w:rPr>
                <w:rFonts w:ascii="Times New Roman" w:hAnsi="Times New Roman" w:cs="Times New Roman"/>
                <w:noProof/>
                <w:lang w:val="sk-SK"/>
              </w:rPr>
              <w:t>efektívnosť justičného systému – 16575 Urýchlenie výkonu spravodlivosti</w:t>
            </w:r>
          </w:p>
        </w:tc>
        <w:tc>
          <w:tcPr>
            <w:tcW w:w="1424" w:type="dxa"/>
            <w:tcBorders>
              <w:top w:val="single" w:sz="4" w:space="0" w:color="auto"/>
              <w:left w:val="nil"/>
              <w:bottom w:val="single" w:sz="4" w:space="0" w:color="auto"/>
              <w:right w:val="single" w:sz="4" w:space="0" w:color="auto"/>
            </w:tcBorders>
            <w:shd w:val="clear" w:color="auto" w:fill="C6EFCE"/>
            <w:noWrap/>
          </w:tcPr>
          <w:p w14:paraId="79E133F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97" w:type="dxa"/>
            <w:tcBorders>
              <w:top w:val="single" w:sz="4" w:space="0" w:color="auto"/>
              <w:left w:val="nil"/>
              <w:bottom w:val="single" w:sz="4" w:space="0" w:color="auto"/>
              <w:right w:val="single" w:sz="4" w:space="0" w:color="auto"/>
            </w:tcBorders>
            <w:shd w:val="clear" w:color="auto" w:fill="C6EFCE"/>
            <w:noWrap/>
          </w:tcPr>
          <w:p w14:paraId="4F9496F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Funkčná súdna polícia</w:t>
            </w:r>
          </w:p>
        </w:tc>
        <w:tc>
          <w:tcPr>
            <w:tcW w:w="1552" w:type="dxa"/>
            <w:tcBorders>
              <w:top w:val="single" w:sz="4" w:space="0" w:color="auto"/>
              <w:left w:val="nil"/>
              <w:bottom w:val="single" w:sz="4" w:space="0" w:color="auto"/>
              <w:right w:val="single" w:sz="4" w:space="0" w:color="auto"/>
            </w:tcBorders>
            <w:shd w:val="clear" w:color="auto" w:fill="C6EFCE"/>
            <w:noWrap/>
          </w:tcPr>
          <w:p w14:paraId="126FD5E7" w14:textId="5744D185"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Justičná polícia plne funkčná</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funkčná na ústrednej aj regionálnej úrovni</w:t>
            </w:r>
          </w:p>
        </w:tc>
        <w:tc>
          <w:tcPr>
            <w:tcW w:w="992" w:type="dxa"/>
            <w:tcBorders>
              <w:top w:val="single" w:sz="4" w:space="0" w:color="auto"/>
              <w:left w:val="nil"/>
              <w:bottom w:val="single" w:sz="4" w:space="0" w:color="auto"/>
              <w:right w:val="single" w:sz="4" w:space="0" w:color="auto"/>
            </w:tcBorders>
            <w:shd w:val="clear" w:color="auto" w:fill="C6EFCE"/>
            <w:noWrap/>
          </w:tcPr>
          <w:p w14:paraId="676DA86D"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single" w:sz="4" w:space="0" w:color="auto"/>
              <w:left w:val="nil"/>
              <w:bottom w:val="single" w:sz="4" w:space="0" w:color="auto"/>
              <w:right w:val="single" w:sz="4" w:space="0" w:color="auto"/>
            </w:tcBorders>
            <w:shd w:val="clear" w:color="auto" w:fill="C6EFCE"/>
            <w:noWrap/>
          </w:tcPr>
          <w:p w14:paraId="74E34F90"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587" w:type="dxa"/>
            <w:tcBorders>
              <w:top w:val="single" w:sz="4" w:space="0" w:color="auto"/>
              <w:left w:val="nil"/>
              <w:bottom w:val="single" w:sz="4" w:space="0" w:color="auto"/>
              <w:right w:val="single" w:sz="4" w:space="0" w:color="auto"/>
            </w:tcBorders>
            <w:shd w:val="clear" w:color="auto" w:fill="C6EFCE"/>
            <w:noWrap/>
          </w:tcPr>
          <w:p w14:paraId="4F702BB7"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6" w:type="dxa"/>
            <w:tcBorders>
              <w:top w:val="single" w:sz="4" w:space="0" w:color="auto"/>
              <w:left w:val="nil"/>
              <w:bottom w:val="single" w:sz="4" w:space="0" w:color="auto"/>
              <w:right w:val="single" w:sz="4" w:space="0" w:color="auto"/>
            </w:tcBorders>
            <w:shd w:val="clear" w:color="auto" w:fill="C6EFCE"/>
            <w:noWrap/>
          </w:tcPr>
          <w:p w14:paraId="1D49F49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622" w:type="dxa"/>
            <w:tcBorders>
              <w:top w:val="single" w:sz="4" w:space="0" w:color="auto"/>
              <w:left w:val="nil"/>
              <w:bottom w:val="single" w:sz="4" w:space="0" w:color="auto"/>
              <w:right w:val="single" w:sz="4" w:space="0" w:color="auto"/>
            </w:tcBorders>
            <w:shd w:val="clear" w:color="auto" w:fill="C6EFCE"/>
            <w:noWrap/>
          </w:tcPr>
          <w:p w14:paraId="3939B21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2024</w:t>
            </w:r>
          </w:p>
        </w:tc>
        <w:tc>
          <w:tcPr>
            <w:tcW w:w="4885" w:type="dxa"/>
            <w:tcBorders>
              <w:top w:val="single" w:sz="4" w:space="0" w:color="auto"/>
              <w:left w:val="nil"/>
              <w:bottom w:val="single" w:sz="4" w:space="0" w:color="auto"/>
              <w:right w:val="single" w:sz="4" w:space="0" w:color="auto"/>
            </w:tcBorders>
            <w:shd w:val="clear" w:color="auto" w:fill="C6EFCE"/>
            <w:noWrap/>
          </w:tcPr>
          <w:p w14:paraId="757185F3" w14:textId="762F9701" w:rsidR="002D49B0" w:rsidRPr="00083739" w:rsidRDefault="00BF4125">
            <w:pPr>
              <w:pStyle w:val="P68B1DB1-Normal9"/>
              <w:spacing w:before="120" w:after="0" w:line="240" w:lineRule="auto"/>
              <w:jc w:val="both"/>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Sfunkčnenie justičnej polície vo všetkých jej </w:t>
            </w:r>
            <w:r w:rsidRPr="00083739">
              <w:rPr>
                <w:rFonts w:ascii="Times New Roman" w:hAnsi="Times New Roman" w:cs="Times New Roman"/>
                <w:noProof/>
                <w:lang w:val="sk-SK"/>
              </w:rPr>
              <w:t>právomociach tak na úrovni ústrednej správy, ako aj na regionálnej úrovni</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rámci súdov</w:t>
            </w:r>
          </w:p>
        </w:tc>
      </w:tr>
      <w:tr w:rsidR="002D49B0" w:rsidRPr="00083739" w14:paraId="39184696" w14:textId="77777777">
        <w:trPr>
          <w:trHeight w:val="309"/>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105823E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235</w:t>
            </w:r>
          </w:p>
        </w:tc>
        <w:tc>
          <w:tcPr>
            <w:tcW w:w="1541" w:type="dxa"/>
            <w:tcBorders>
              <w:top w:val="single" w:sz="4" w:space="0" w:color="auto"/>
              <w:left w:val="nil"/>
              <w:bottom w:val="single" w:sz="4" w:space="0" w:color="auto"/>
              <w:right w:val="single" w:sz="4" w:space="0" w:color="auto"/>
            </w:tcBorders>
            <w:shd w:val="clear" w:color="auto" w:fill="C6EFCE"/>
            <w:noWrap/>
          </w:tcPr>
          <w:p w14:paraId="2066CAD6" w14:textId="3C1AB2C4"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14 – 4.3. Zlepšiť efektívnosť justičného systému – 16733_Zručnosti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digitálne zručnosti sudcov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justičných zamestnancov (justičný personál)</w:t>
            </w:r>
          </w:p>
        </w:tc>
        <w:tc>
          <w:tcPr>
            <w:tcW w:w="1424" w:type="dxa"/>
            <w:tcBorders>
              <w:top w:val="single" w:sz="4" w:space="0" w:color="auto"/>
              <w:left w:val="nil"/>
              <w:bottom w:val="single" w:sz="4" w:space="0" w:color="auto"/>
              <w:right w:val="single" w:sz="4" w:space="0" w:color="auto"/>
            </w:tcBorders>
            <w:shd w:val="clear" w:color="auto" w:fill="C6EFCE"/>
            <w:noWrap/>
          </w:tcPr>
          <w:p w14:paraId="22802CC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97" w:type="dxa"/>
            <w:tcBorders>
              <w:top w:val="single" w:sz="4" w:space="0" w:color="auto"/>
              <w:left w:val="nil"/>
              <w:bottom w:val="single" w:sz="4" w:space="0" w:color="auto"/>
              <w:right w:val="single" w:sz="4" w:space="0" w:color="auto"/>
            </w:tcBorders>
            <w:shd w:val="clear" w:color="auto" w:fill="C6EFCE"/>
            <w:noWrap/>
          </w:tcPr>
          <w:p w14:paraId="2A421772" w14:textId="6FC84AD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Odborná </w:t>
            </w:r>
            <w:r w:rsidRPr="00083739">
              <w:rPr>
                <w:rFonts w:ascii="Times New Roman" w:hAnsi="Times New Roman" w:cs="Times New Roman"/>
                <w:noProof/>
                <w:lang w:val="sk-SK"/>
              </w:rPr>
              <w:t>príprava – sudcovia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administratívni pracovníci</w:t>
            </w:r>
          </w:p>
        </w:tc>
        <w:tc>
          <w:tcPr>
            <w:tcW w:w="1552" w:type="dxa"/>
            <w:tcBorders>
              <w:top w:val="single" w:sz="4" w:space="0" w:color="auto"/>
              <w:left w:val="nil"/>
              <w:bottom w:val="single" w:sz="4" w:space="0" w:color="auto"/>
              <w:right w:val="single" w:sz="4" w:space="0" w:color="auto"/>
            </w:tcBorders>
            <w:shd w:val="clear" w:color="auto" w:fill="C6EFCE"/>
            <w:noWrap/>
          </w:tcPr>
          <w:p w14:paraId="48C02469" w14:textId="77777777"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Správa osvedčujúca</w:t>
            </w:r>
          </w:p>
          <w:p w14:paraId="0888EEB4" w14:textId="206473EE" w:rsidR="002D49B0" w:rsidRPr="00083739" w:rsidRDefault="00BF4125">
            <w:pPr>
              <w:pStyle w:val="P68B1DB1-Normal9"/>
              <w:spacing w:after="0" w:line="240" w:lineRule="auto"/>
              <w:rPr>
                <w:rFonts w:ascii="Times New Roman" w:hAnsi="Times New Roman" w:cs="Times New Roman"/>
                <w:noProof/>
                <w:szCs w:val="18"/>
                <w:lang w:val="sk-SK"/>
              </w:rPr>
            </w:pPr>
            <w:r w:rsidRPr="00083739">
              <w:rPr>
                <w:rFonts w:ascii="Times New Roman" w:hAnsi="Times New Roman" w:cs="Times New Roman"/>
                <w:noProof/>
                <w:lang w:val="sk-SK"/>
              </w:rPr>
              <w:t>Vykonávanie zmien vo vzdelávacom programe Národnej školy sudcov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zápis sudcov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úradníkov do celoživotného vzdelávania</w:t>
            </w:r>
          </w:p>
        </w:tc>
        <w:tc>
          <w:tcPr>
            <w:tcW w:w="992" w:type="dxa"/>
            <w:tcBorders>
              <w:top w:val="single" w:sz="4" w:space="0" w:color="auto"/>
              <w:left w:val="nil"/>
              <w:bottom w:val="single" w:sz="4" w:space="0" w:color="auto"/>
              <w:right w:val="single" w:sz="4" w:space="0" w:color="auto"/>
            </w:tcBorders>
            <w:shd w:val="clear" w:color="auto" w:fill="C6EFCE"/>
            <w:noWrap/>
          </w:tcPr>
          <w:p w14:paraId="083A1CBA"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single" w:sz="4" w:space="0" w:color="auto"/>
              <w:left w:val="nil"/>
              <w:bottom w:val="single" w:sz="4" w:space="0" w:color="auto"/>
              <w:right w:val="single" w:sz="4" w:space="0" w:color="auto"/>
            </w:tcBorders>
            <w:shd w:val="clear" w:color="auto" w:fill="C6EFCE"/>
            <w:noWrap/>
          </w:tcPr>
          <w:p w14:paraId="386CBAED"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587" w:type="dxa"/>
            <w:tcBorders>
              <w:top w:val="single" w:sz="4" w:space="0" w:color="auto"/>
              <w:left w:val="nil"/>
              <w:bottom w:val="single" w:sz="4" w:space="0" w:color="auto"/>
              <w:right w:val="single" w:sz="4" w:space="0" w:color="auto"/>
            </w:tcBorders>
            <w:shd w:val="clear" w:color="auto" w:fill="C6EFCE"/>
            <w:noWrap/>
          </w:tcPr>
          <w:p w14:paraId="3E4BE825"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6" w:type="dxa"/>
            <w:tcBorders>
              <w:top w:val="single" w:sz="4" w:space="0" w:color="auto"/>
              <w:left w:val="nil"/>
              <w:bottom w:val="single" w:sz="4" w:space="0" w:color="auto"/>
              <w:right w:val="single" w:sz="4" w:space="0" w:color="auto"/>
            </w:tcBorders>
            <w:shd w:val="clear" w:color="auto" w:fill="C6EFCE"/>
            <w:noWrap/>
          </w:tcPr>
          <w:p w14:paraId="0115A950" w14:textId="3EEE9192"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622" w:type="dxa"/>
            <w:tcBorders>
              <w:top w:val="single" w:sz="4" w:space="0" w:color="auto"/>
              <w:left w:val="nil"/>
              <w:bottom w:val="single" w:sz="4" w:space="0" w:color="auto"/>
              <w:right w:val="single" w:sz="4" w:space="0" w:color="auto"/>
            </w:tcBorders>
            <w:shd w:val="clear" w:color="auto" w:fill="C6EFCE"/>
            <w:noWrap/>
          </w:tcPr>
          <w:p w14:paraId="370D1BA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2024</w:t>
            </w:r>
          </w:p>
        </w:tc>
        <w:tc>
          <w:tcPr>
            <w:tcW w:w="4885" w:type="dxa"/>
            <w:tcBorders>
              <w:top w:val="single" w:sz="4" w:space="0" w:color="auto"/>
              <w:left w:val="nil"/>
              <w:bottom w:val="single" w:sz="4" w:space="0" w:color="auto"/>
              <w:right w:val="single" w:sz="4" w:space="0" w:color="auto"/>
            </w:tcBorders>
            <w:shd w:val="clear" w:color="auto" w:fill="C6EFCE"/>
            <w:noWrap/>
          </w:tcPr>
          <w:p w14:paraId="1F0D5D78" w14:textId="1A8B9C79"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Dokončenie projektov zahrnutých do reformy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zručností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digitálnych zručností sudcov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justičných zamestnancov</w:t>
            </w:r>
            <w:r w:rsidR="00083739" w:rsidRPr="00083739">
              <w:rPr>
                <w:rFonts w:ascii="Times New Roman" w:hAnsi="Times New Roman" w:cs="Times New Roman"/>
                <w:noProof/>
                <w:lang w:val="sk-SK"/>
              </w:rPr>
              <w:t>:</w:t>
            </w:r>
          </w:p>
          <w:p w14:paraId="4E854EB9" w14:textId="2B774F02" w:rsidR="002D49B0" w:rsidRPr="00083739" w:rsidRDefault="00BF4125">
            <w:pPr>
              <w:pStyle w:val="P68B1DB1-Normal9"/>
              <w:numPr>
                <w:ilvl w:val="0"/>
                <w:numId w:val="24"/>
              </w:numPr>
              <w:spacing w:before="120" w:after="0" w:line="240" w:lineRule="auto"/>
              <w:jc w:val="both"/>
              <w:rPr>
                <w:rFonts w:ascii="Times New Roman" w:hAnsi="Times New Roman" w:cs="Times New Roman"/>
                <w:noProof/>
                <w:szCs w:val="18"/>
                <w:lang w:val="sk-SK"/>
              </w:rPr>
            </w:pPr>
            <w:r w:rsidRPr="00083739">
              <w:rPr>
                <w:rFonts w:ascii="Times New Roman" w:hAnsi="Times New Roman" w:cs="Times New Roman"/>
                <w:noProof/>
                <w:lang w:val="sk-SK"/>
              </w:rPr>
              <w:t>7029 sudcov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administratívnych pracovníkov sa zúčastnilo na celoživotnom vzdelávaní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absolvovalo aspoň jedno školenie (seminár).</w:t>
            </w:r>
          </w:p>
          <w:p w14:paraId="6B29F422" w14:textId="541E7913" w:rsidR="002D49B0" w:rsidRPr="00083739" w:rsidRDefault="00BF4125">
            <w:pPr>
              <w:pStyle w:val="P68B1DB1-Normal9"/>
              <w:spacing w:before="120" w:after="0" w:line="240" w:lineRule="auto"/>
              <w:ind w:left="360"/>
              <w:jc w:val="both"/>
              <w:rPr>
                <w:rFonts w:ascii="Times New Roman" w:hAnsi="Times New Roman" w:cs="Times New Roman"/>
                <w:noProof/>
                <w:szCs w:val="18"/>
                <w:lang w:val="sk-SK"/>
              </w:rPr>
            </w:pPr>
            <w:r w:rsidRPr="00083739">
              <w:rPr>
                <w:rFonts w:ascii="Times New Roman" w:hAnsi="Times New Roman" w:cs="Times New Roman"/>
                <w:noProof/>
                <w:lang w:val="sk-SK"/>
              </w:rPr>
              <w:t>2. Vzdelávací program pre súdnych úradníkov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rám</w:t>
            </w:r>
            <w:r w:rsidRPr="00083739">
              <w:rPr>
                <w:rFonts w:ascii="Times New Roman" w:hAnsi="Times New Roman" w:cs="Times New Roman"/>
                <w:noProof/>
                <w:lang w:val="sk-SK"/>
              </w:rPr>
              <w:t>ci Národnej školy sudcov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prevádzke</w:t>
            </w:r>
          </w:p>
          <w:p w14:paraId="4387AFE4" w14:textId="0953E3F0" w:rsidR="002D49B0" w:rsidRPr="00083739" w:rsidRDefault="00BF4125">
            <w:pPr>
              <w:pStyle w:val="P68B1DB1-Normal9"/>
              <w:numPr>
                <w:ilvl w:val="0"/>
                <w:numId w:val="25"/>
              </w:numPr>
              <w:spacing w:before="120" w:after="0" w:line="240" w:lineRule="auto"/>
              <w:jc w:val="both"/>
              <w:rPr>
                <w:rFonts w:ascii="Times New Roman" w:hAnsi="Times New Roman" w:cs="Times New Roman"/>
                <w:noProof/>
                <w:szCs w:val="18"/>
                <w:lang w:val="sk-SK"/>
              </w:rPr>
            </w:pPr>
            <w:r w:rsidRPr="00083739">
              <w:rPr>
                <w:rFonts w:ascii="Times New Roman" w:hAnsi="Times New Roman" w:cs="Times New Roman"/>
                <w:noProof/>
                <w:lang w:val="sk-SK"/>
              </w:rPr>
              <w:t xml:space="preserve">Zmeny výberových kritérií </w:t>
            </w:r>
            <w:r w:rsidRPr="00083739">
              <w:rPr>
                <w:rFonts w:ascii="Times New Roman" w:hAnsi="Times New Roman" w:cs="Times New Roman"/>
                <w:noProof/>
                <w:u w:val="single"/>
                <w:lang w:val="sk-SK"/>
              </w:rPr>
              <w:t>podľa zákona č. 4871/2021</w:t>
            </w:r>
            <w:r w:rsidR="00083739" w:rsidRPr="00083739">
              <w:rPr>
                <w:rFonts w:ascii="Times New Roman" w:hAnsi="Times New Roman" w:cs="Times New Roman"/>
                <w:noProof/>
                <w:u w:val="single"/>
                <w:lang w:val="sk-SK"/>
              </w:rPr>
              <w:t xml:space="preserve"> a </w:t>
            </w:r>
            <w:r w:rsidRPr="00083739">
              <w:rPr>
                <w:rFonts w:ascii="Times New Roman" w:hAnsi="Times New Roman" w:cs="Times New Roman"/>
                <w:noProof/>
                <w:lang w:val="sk-SK"/>
              </w:rPr>
              <w:t>implementovaný vzdelávací program</w:t>
            </w:r>
          </w:p>
          <w:p w14:paraId="47739B43" w14:textId="2A42A21E" w:rsidR="002D49B0" w:rsidRPr="00083739" w:rsidRDefault="00BF4125">
            <w:pPr>
              <w:spacing w:before="120" w:after="0" w:line="240" w:lineRule="auto"/>
              <w:rPr>
                <w:rFonts w:ascii="Times New Roman" w:hAnsi="Times New Roman" w:cs="Times New Roman"/>
                <w:b/>
                <w:bCs/>
                <w:noProof/>
                <w:color w:val="006100"/>
                <w:sz w:val="18"/>
                <w:szCs w:val="18"/>
                <w:lang w:val="sk-SK"/>
              </w:rPr>
            </w:pPr>
            <w:r w:rsidRPr="00083739">
              <w:rPr>
                <w:rFonts w:ascii="Times New Roman" w:hAnsi="Times New Roman" w:cs="Times New Roman"/>
                <w:noProof/>
                <w:color w:val="006100"/>
                <w:sz w:val="18"/>
                <w:lang w:val="sk-SK"/>
              </w:rPr>
              <w:t>Zmeny vo vzdelávacom programe Národnej školy sudcov zamerané najmä na zlepšenie praktickej odbornej prípravy</w:t>
            </w:r>
            <w:r w:rsidR="00083739" w:rsidRPr="00083739">
              <w:rPr>
                <w:rFonts w:ascii="Times New Roman" w:hAnsi="Times New Roman" w:cs="Times New Roman"/>
                <w:noProof/>
                <w:color w:val="006100"/>
                <w:sz w:val="18"/>
                <w:lang w:val="sk-SK"/>
              </w:rPr>
              <w:t xml:space="preserve"> a </w:t>
            </w:r>
            <w:r w:rsidRPr="00083739">
              <w:rPr>
                <w:rFonts w:ascii="Times New Roman" w:hAnsi="Times New Roman" w:cs="Times New Roman"/>
                <w:noProof/>
                <w:color w:val="006100"/>
                <w:sz w:val="18"/>
                <w:lang w:val="sk-SK"/>
              </w:rPr>
              <w:t xml:space="preserve">ponúkanie kurzov podľa uvedeného zákona. </w:t>
            </w:r>
            <w:r w:rsidRPr="00083739">
              <w:rPr>
                <w:rFonts w:ascii="Times New Roman" w:hAnsi="Times New Roman" w:cs="Times New Roman"/>
                <w:noProof/>
                <w:sz w:val="24"/>
                <w:lang w:val="sk-SK"/>
              </w:rPr>
              <w:t xml:space="preserve"> </w:t>
            </w:r>
            <w:r w:rsidRPr="00083739">
              <w:rPr>
                <w:rFonts w:ascii="Times New Roman" w:hAnsi="Times New Roman" w:cs="Times New Roman"/>
                <w:noProof/>
                <w:color w:val="006100"/>
                <w:sz w:val="18"/>
                <w:lang w:val="sk-SK"/>
              </w:rPr>
              <w:t>Poskytovanie celoživotného vzdelávania sudcov</w:t>
            </w:r>
            <w:r w:rsidR="00083739" w:rsidRPr="00083739">
              <w:rPr>
                <w:rFonts w:ascii="Times New Roman" w:hAnsi="Times New Roman" w:cs="Times New Roman"/>
                <w:noProof/>
                <w:color w:val="006100"/>
                <w:sz w:val="18"/>
                <w:lang w:val="sk-SK"/>
              </w:rPr>
              <w:t xml:space="preserve"> a </w:t>
            </w:r>
            <w:r w:rsidRPr="00083739">
              <w:rPr>
                <w:rFonts w:ascii="Times New Roman" w:hAnsi="Times New Roman" w:cs="Times New Roman"/>
                <w:noProof/>
                <w:color w:val="006100"/>
                <w:sz w:val="18"/>
                <w:lang w:val="sk-SK"/>
              </w:rPr>
              <w:t>súdnych úradníkov</w:t>
            </w:r>
            <w:r w:rsidR="00083739" w:rsidRPr="00083739">
              <w:rPr>
                <w:rFonts w:ascii="Times New Roman" w:hAnsi="Times New Roman" w:cs="Times New Roman"/>
                <w:noProof/>
                <w:color w:val="006100"/>
                <w:sz w:val="18"/>
                <w:lang w:val="sk-SK"/>
              </w:rPr>
              <w:t xml:space="preserve"> v </w:t>
            </w:r>
            <w:r w:rsidRPr="00083739">
              <w:rPr>
                <w:rFonts w:ascii="Times New Roman" w:hAnsi="Times New Roman" w:cs="Times New Roman"/>
                <w:noProof/>
                <w:color w:val="006100"/>
                <w:sz w:val="18"/>
                <w:lang w:val="sk-SK"/>
              </w:rPr>
              <w:t>rôznych oblastiach podľa uvedeného zákona; pre sudcov je takáto odborná príprava predpokladom profesijného postupu.</w:t>
            </w:r>
            <w:r w:rsidRPr="00083739">
              <w:rPr>
                <w:rFonts w:ascii="Times New Roman" w:hAnsi="Times New Roman" w:cs="Times New Roman"/>
                <w:noProof/>
                <w:sz w:val="24"/>
                <w:lang w:val="sk-SK"/>
              </w:rPr>
              <w:t xml:space="preserve"> </w:t>
            </w:r>
          </w:p>
        </w:tc>
      </w:tr>
      <w:tr w:rsidR="002D49B0" w:rsidRPr="00083739" w14:paraId="27395684" w14:textId="77777777">
        <w:trPr>
          <w:trHeight w:val="309"/>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7358BBE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236</w:t>
            </w:r>
          </w:p>
        </w:tc>
        <w:tc>
          <w:tcPr>
            <w:tcW w:w="1541" w:type="dxa"/>
            <w:tcBorders>
              <w:top w:val="single" w:sz="4" w:space="0" w:color="auto"/>
              <w:left w:val="nil"/>
              <w:bottom w:val="single" w:sz="4" w:space="0" w:color="auto"/>
              <w:right w:val="single" w:sz="4" w:space="0" w:color="auto"/>
            </w:tcBorders>
            <w:shd w:val="clear" w:color="auto" w:fill="C6EFCE"/>
            <w:noWrap/>
          </w:tcPr>
          <w:p w14:paraId="2E2CD3A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14 – 4.3. Zlepšiť </w:t>
            </w:r>
            <w:r w:rsidRPr="00083739">
              <w:rPr>
                <w:rFonts w:ascii="Times New Roman" w:hAnsi="Times New Roman" w:cs="Times New Roman"/>
                <w:noProof/>
                <w:lang w:val="sk-SK"/>
              </w:rPr>
              <w:t>efektívnosť justičného systému – 16575 Urýchlenie výkonu spravodlivosti</w:t>
            </w:r>
          </w:p>
        </w:tc>
        <w:tc>
          <w:tcPr>
            <w:tcW w:w="1424" w:type="dxa"/>
            <w:tcBorders>
              <w:top w:val="single" w:sz="4" w:space="0" w:color="auto"/>
              <w:left w:val="nil"/>
              <w:bottom w:val="single" w:sz="4" w:space="0" w:color="auto"/>
              <w:right w:val="single" w:sz="4" w:space="0" w:color="auto"/>
            </w:tcBorders>
            <w:shd w:val="clear" w:color="auto" w:fill="C6EFCE"/>
            <w:noWrap/>
          </w:tcPr>
          <w:p w14:paraId="08C1500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97" w:type="dxa"/>
            <w:tcBorders>
              <w:top w:val="single" w:sz="4" w:space="0" w:color="auto"/>
              <w:left w:val="nil"/>
              <w:bottom w:val="single" w:sz="4" w:space="0" w:color="auto"/>
              <w:right w:val="single" w:sz="4" w:space="0" w:color="auto"/>
            </w:tcBorders>
            <w:shd w:val="clear" w:color="auto" w:fill="C6EFCE"/>
            <w:noWrap/>
          </w:tcPr>
          <w:p w14:paraId="7B277DD2" w14:textId="62FFAA06"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Revízia súdnej mapy – úplné vykonávanie</w:t>
            </w:r>
          </w:p>
        </w:tc>
        <w:tc>
          <w:tcPr>
            <w:tcW w:w="1552" w:type="dxa"/>
            <w:tcBorders>
              <w:top w:val="single" w:sz="4" w:space="0" w:color="auto"/>
              <w:left w:val="nil"/>
              <w:bottom w:val="single" w:sz="4" w:space="0" w:color="auto"/>
              <w:right w:val="single" w:sz="4" w:space="0" w:color="auto"/>
            </w:tcBorders>
            <w:shd w:val="clear" w:color="auto" w:fill="C6EFCE"/>
            <w:noWrap/>
          </w:tcPr>
          <w:p w14:paraId="3512CF5C" w14:textId="3CE242D7" w:rsidR="002D49B0" w:rsidRPr="00083739" w:rsidRDefault="00BF4125">
            <w:pPr>
              <w:pStyle w:val="P68B1DB1-Normal10"/>
              <w:spacing w:after="0" w:line="240" w:lineRule="auto"/>
              <w:rPr>
                <w:rFonts w:ascii="Times New Roman" w:hAnsi="Times New Roman" w:cs="Times New Roman"/>
                <w:noProof/>
                <w:lang w:val="sk-SK"/>
              </w:rPr>
            </w:pPr>
            <w:r w:rsidRPr="00083739">
              <w:rPr>
                <w:rFonts w:ascii="Times New Roman" w:hAnsi="Times New Roman" w:cs="Times New Roman"/>
                <w:noProof/>
                <w:lang w:val="sk-SK"/>
              </w:rPr>
              <w:t xml:space="preserve"> Osvedčenia správnych orgánov súdov, ktoré potvrdzujú sfunkčnenie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funkčnosť všetkých reformovaných subjektov.</w:t>
            </w:r>
          </w:p>
        </w:tc>
        <w:tc>
          <w:tcPr>
            <w:tcW w:w="992" w:type="dxa"/>
            <w:tcBorders>
              <w:top w:val="single" w:sz="4" w:space="0" w:color="auto"/>
              <w:left w:val="nil"/>
              <w:bottom w:val="single" w:sz="4" w:space="0" w:color="auto"/>
              <w:right w:val="single" w:sz="4" w:space="0" w:color="auto"/>
            </w:tcBorders>
            <w:shd w:val="clear" w:color="auto" w:fill="C6EFCE"/>
            <w:noWrap/>
          </w:tcPr>
          <w:p w14:paraId="2DA9CFD2"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single" w:sz="4" w:space="0" w:color="auto"/>
              <w:left w:val="nil"/>
              <w:bottom w:val="single" w:sz="4" w:space="0" w:color="auto"/>
              <w:right w:val="single" w:sz="4" w:space="0" w:color="auto"/>
            </w:tcBorders>
            <w:shd w:val="clear" w:color="auto" w:fill="C6EFCE"/>
            <w:noWrap/>
          </w:tcPr>
          <w:p w14:paraId="66966522"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587" w:type="dxa"/>
            <w:tcBorders>
              <w:top w:val="single" w:sz="4" w:space="0" w:color="auto"/>
              <w:left w:val="nil"/>
              <w:bottom w:val="single" w:sz="4" w:space="0" w:color="auto"/>
              <w:right w:val="single" w:sz="4" w:space="0" w:color="auto"/>
            </w:tcBorders>
            <w:shd w:val="clear" w:color="auto" w:fill="C6EFCE"/>
            <w:noWrap/>
          </w:tcPr>
          <w:p w14:paraId="32B2ABE2"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6" w:type="dxa"/>
            <w:tcBorders>
              <w:top w:val="single" w:sz="4" w:space="0" w:color="auto"/>
              <w:left w:val="nil"/>
              <w:bottom w:val="single" w:sz="4" w:space="0" w:color="auto"/>
              <w:right w:val="single" w:sz="4" w:space="0" w:color="auto"/>
            </w:tcBorders>
            <w:shd w:val="clear" w:color="auto" w:fill="C6EFCE"/>
            <w:noWrap/>
          </w:tcPr>
          <w:p w14:paraId="0B78D17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622" w:type="dxa"/>
            <w:tcBorders>
              <w:top w:val="single" w:sz="4" w:space="0" w:color="auto"/>
              <w:left w:val="nil"/>
              <w:bottom w:val="single" w:sz="4" w:space="0" w:color="auto"/>
              <w:right w:val="single" w:sz="4" w:space="0" w:color="auto"/>
            </w:tcBorders>
            <w:shd w:val="clear" w:color="auto" w:fill="C6EFCE"/>
            <w:noWrap/>
          </w:tcPr>
          <w:p w14:paraId="3508D6A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2024</w:t>
            </w:r>
          </w:p>
        </w:tc>
        <w:tc>
          <w:tcPr>
            <w:tcW w:w="4885" w:type="dxa"/>
            <w:tcBorders>
              <w:top w:val="single" w:sz="4" w:space="0" w:color="auto"/>
              <w:left w:val="nil"/>
              <w:bottom w:val="single" w:sz="4" w:space="0" w:color="auto"/>
              <w:right w:val="single" w:sz="4" w:space="0" w:color="auto"/>
            </w:tcBorders>
            <w:shd w:val="clear" w:color="auto" w:fill="C6EFCE"/>
            <w:noWrap/>
          </w:tcPr>
          <w:p w14:paraId="2F200B14" w14:textId="77777777" w:rsidR="002D49B0" w:rsidRPr="00083739" w:rsidRDefault="00BF4125">
            <w:pPr>
              <w:pStyle w:val="P68B1DB1-Normal9"/>
              <w:spacing w:after="0" w:line="240" w:lineRule="auto"/>
              <w:rPr>
                <w:rFonts w:ascii="Times New Roman" w:hAnsi="Times New Roman" w:cs="Times New Roman"/>
                <w:noProof/>
                <w:szCs w:val="18"/>
                <w:lang w:val="sk-SK"/>
              </w:rPr>
            </w:pPr>
            <w:r w:rsidRPr="00083739">
              <w:rPr>
                <w:rFonts w:ascii="Times New Roman" w:hAnsi="Times New Roman" w:cs="Times New Roman"/>
                <w:noProof/>
                <w:lang w:val="sk-SK"/>
              </w:rPr>
              <w:t>Revízia súdnej mapy</w:t>
            </w:r>
          </w:p>
          <w:p w14:paraId="7B55D780" w14:textId="12FF9DF7" w:rsidR="002D49B0" w:rsidRPr="00083739" w:rsidRDefault="00BF4125">
            <w:pPr>
              <w:pStyle w:val="P68B1DB1-Normal9"/>
              <w:spacing w:after="0" w:line="240" w:lineRule="auto"/>
              <w:rPr>
                <w:rFonts w:ascii="Times New Roman" w:hAnsi="Times New Roman" w:cs="Times New Roman"/>
                <w:noProof/>
                <w:szCs w:val="18"/>
                <w:lang w:val="sk-SK"/>
              </w:rPr>
            </w:pPr>
            <w:r w:rsidRPr="00083739">
              <w:rPr>
                <w:rFonts w:ascii="Times New Roman" w:hAnsi="Times New Roman" w:cs="Times New Roman"/>
                <w:noProof/>
                <w:lang w:val="sk-SK"/>
              </w:rPr>
              <w:t>Úplné vykonanie revízie máp súdnictva pre každé správne, občianske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trestné súdnictvo,</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čom svedčia úradné vyhlásenia príslušných správnych orgánov súdov potvrdzujúce sfunkčnenie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funkčnosť reformovaných subjektov.</w:t>
            </w:r>
          </w:p>
        </w:tc>
      </w:tr>
      <w:tr w:rsidR="002D49B0" w:rsidRPr="00083739" w14:paraId="0673FA95" w14:textId="77777777">
        <w:trPr>
          <w:trHeight w:val="309"/>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5DB8DA1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237</w:t>
            </w:r>
          </w:p>
        </w:tc>
        <w:tc>
          <w:tcPr>
            <w:tcW w:w="1541" w:type="dxa"/>
            <w:tcBorders>
              <w:top w:val="single" w:sz="4" w:space="0" w:color="auto"/>
              <w:left w:val="nil"/>
              <w:bottom w:val="single" w:sz="4" w:space="0" w:color="auto"/>
              <w:right w:val="single" w:sz="4" w:space="0" w:color="auto"/>
            </w:tcBorders>
            <w:shd w:val="clear" w:color="auto" w:fill="C6EFCE"/>
            <w:noWrap/>
          </w:tcPr>
          <w:p w14:paraId="1793CA4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14 – 4.3. </w:t>
            </w:r>
            <w:r w:rsidRPr="00083739">
              <w:rPr>
                <w:rFonts w:ascii="Times New Roman" w:hAnsi="Times New Roman" w:cs="Times New Roman"/>
                <w:noProof/>
                <w:lang w:val="sk-SK"/>
              </w:rPr>
              <w:t>Zlepšiť efektívnosť justičného systému – 16292_Nové budovy súdnictva</w:t>
            </w:r>
          </w:p>
        </w:tc>
        <w:tc>
          <w:tcPr>
            <w:tcW w:w="1424" w:type="dxa"/>
            <w:tcBorders>
              <w:top w:val="single" w:sz="4" w:space="0" w:color="auto"/>
              <w:left w:val="nil"/>
              <w:bottom w:val="single" w:sz="4" w:space="0" w:color="auto"/>
              <w:right w:val="single" w:sz="4" w:space="0" w:color="auto"/>
            </w:tcBorders>
            <w:shd w:val="clear" w:color="auto" w:fill="C6EFCE"/>
            <w:noWrap/>
          </w:tcPr>
          <w:p w14:paraId="1BC2B29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97" w:type="dxa"/>
            <w:tcBorders>
              <w:top w:val="single" w:sz="4" w:space="0" w:color="auto"/>
              <w:left w:val="nil"/>
              <w:bottom w:val="single" w:sz="4" w:space="0" w:color="auto"/>
              <w:right w:val="single" w:sz="4" w:space="0" w:color="auto"/>
            </w:tcBorders>
            <w:shd w:val="clear" w:color="auto" w:fill="C6EFCE"/>
            <w:noWrap/>
          </w:tcPr>
          <w:p w14:paraId="17496328" w14:textId="23FA6B22"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Stavebné</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renovačné práce – elektronická totožnosť – dokončenie </w:t>
            </w:r>
          </w:p>
        </w:tc>
        <w:tc>
          <w:tcPr>
            <w:tcW w:w="1552" w:type="dxa"/>
            <w:tcBorders>
              <w:top w:val="single" w:sz="4" w:space="0" w:color="auto"/>
              <w:left w:val="nil"/>
              <w:bottom w:val="single" w:sz="4" w:space="0" w:color="auto"/>
              <w:right w:val="single" w:sz="4" w:space="0" w:color="auto"/>
            </w:tcBorders>
            <w:shd w:val="clear" w:color="auto" w:fill="C6EFCE"/>
            <w:noWrap/>
          </w:tcPr>
          <w:p w14:paraId="5F8D57E6" w14:textId="0BAFC9B0"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Správa</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overení, či sú všetky stavebné projekty úplne dokončené</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odovzdané používateľom</w:t>
            </w:r>
            <w:r w:rsidR="00083739" w:rsidRPr="00083739">
              <w:rPr>
                <w:rFonts w:ascii="Times New Roman" w:hAnsi="Times New Roman" w:cs="Times New Roman"/>
                <w:noProof/>
                <w:lang w:val="sk-SK"/>
              </w:rPr>
              <w:t>.</w:t>
            </w:r>
          </w:p>
          <w:p w14:paraId="0E7A5B0D" w14:textId="534029B8" w:rsidR="002D49B0" w:rsidRPr="00083739" w:rsidRDefault="002D49B0">
            <w:pPr>
              <w:spacing w:after="0" w:line="240" w:lineRule="auto"/>
              <w:rPr>
                <w:rFonts w:ascii="Times New Roman" w:hAnsi="Times New Roman" w:cs="Times New Roman"/>
                <w:noProof/>
                <w:color w:val="006100"/>
                <w:sz w:val="18"/>
                <w:szCs w:val="18"/>
                <w:lang w:val="sk-SK"/>
              </w:rPr>
            </w:pPr>
          </w:p>
          <w:p w14:paraId="0703C77C" w14:textId="70BC477C" w:rsidR="002D49B0" w:rsidRPr="00083739" w:rsidRDefault="00BF4125">
            <w:pPr>
              <w:pStyle w:val="P68B1DB1-Normal9"/>
              <w:spacing w:after="0" w:line="240" w:lineRule="auto"/>
              <w:rPr>
                <w:rFonts w:ascii="Times New Roman" w:hAnsi="Times New Roman" w:cs="Times New Roman"/>
                <w:noProof/>
                <w:szCs w:val="18"/>
                <w:lang w:val="sk-SK"/>
              </w:rPr>
            </w:pPr>
            <w:r w:rsidRPr="00083739">
              <w:rPr>
                <w:rFonts w:ascii="Times New Roman" w:hAnsi="Times New Roman" w:cs="Times New Roman"/>
                <w:noProof/>
                <w:lang w:val="sk-SK"/>
              </w:rPr>
              <w:t xml:space="preserve">Elektronické </w:t>
            </w:r>
            <w:r w:rsidRPr="00083739">
              <w:rPr>
                <w:rFonts w:ascii="Times New Roman" w:hAnsi="Times New Roman" w:cs="Times New Roman"/>
                <w:noProof/>
                <w:lang w:val="sk-SK"/>
              </w:rPr>
              <w:t>osvedčenia</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totožnosti súdnych budov</w:t>
            </w:r>
          </w:p>
          <w:p w14:paraId="370897A5" w14:textId="77777777" w:rsidR="002D49B0" w:rsidRPr="00083739" w:rsidRDefault="002D49B0">
            <w:pPr>
              <w:spacing w:after="0" w:line="240" w:lineRule="auto"/>
              <w:rPr>
                <w:rFonts w:ascii="Times New Roman" w:hAnsi="Times New Roman" w:cs="Times New Roman"/>
                <w:noProof/>
                <w:color w:val="006100"/>
                <w:sz w:val="18"/>
                <w:szCs w:val="18"/>
                <w:lang w:val="sk-SK"/>
              </w:rPr>
            </w:pPr>
          </w:p>
        </w:tc>
        <w:tc>
          <w:tcPr>
            <w:tcW w:w="992" w:type="dxa"/>
            <w:tcBorders>
              <w:top w:val="single" w:sz="4" w:space="0" w:color="auto"/>
              <w:left w:val="nil"/>
              <w:bottom w:val="single" w:sz="4" w:space="0" w:color="auto"/>
              <w:right w:val="single" w:sz="4" w:space="0" w:color="auto"/>
            </w:tcBorders>
            <w:shd w:val="clear" w:color="auto" w:fill="C6EFCE"/>
            <w:noWrap/>
          </w:tcPr>
          <w:p w14:paraId="5FAE663D"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single" w:sz="4" w:space="0" w:color="auto"/>
              <w:left w:val="nil"/>
              <w:bottom w:val="single" w:sz="4" w:space="0" w:color="auto"/>
              <w:right w:val="single" w:sz="4" w:space="0" w:color="auto"/>
            </w:tcBorders>
            <w:shd w:val="clear" w:color="auto" w:fill="C6EFCE"/>
            <w:noWrap/>
          </w:tcPr>
          <w:p w14:paraId="40950F12"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587" w:type="dxa"/>
            <w:tcBorders>
              <w:top w:val="single" w:sz="4" w:space="0" w:color="auto"/>
              <w:left w:val="nil"/>
              <w:bottom w:val="single" w:sz="4" w:space="0" w:color="auto"/>
              <w:right w:val="single" w:sz="4" w:space="0" w:color="auto"/>
            </w:tcBorders>
            <w:shd w:val="clear" w:color="auto" w:fill="C6EFCE"/>
            <w:noWrap/>
          </w:tcPr>
          <w:p w14:paraId="3170085F"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6" w:type="dxa"/>
            <w:tcBorders>
              <w:top w:val="single" w:sz="4" w:space="0" w:color="auto"/>
              <w:left w:val="nil"/>
              <w:bottom w:val="single" w:sz="4" w:space="0" w:color="auto"/>
              <w:right w:val="single" w:sz="4" w:space="0" w:color="auto"/>
            </w:tcBorders>
            <w:shd w:val="clear" w:color="auto" w:fill="C6EFCE"/>
            <w:noWrap/>
          </w:tcPr>
          <w:p w14:paraId="31FDEE6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622" w:type="dxa"/>
            <w:tcBorders>
              <w:top w:val="single" w:sz="4" w:space="0" w:color="auto"/>
              <w:left w:val="nil"/>
              <w:bottom w:val="single" w:sz="4" w:space="0" w:color="auto"/>
              <w:right w:val="single" w:sz="4" w:space="0" w:color="auto"/>
            </w:tcBorders>
            <w:shd w:val="clear" w:color="auto" w:fill="C6EFCE"/>
            <w:noWrap/>
          </w:tcPr>
          <w:p w14:paraId="75AF4FE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4885" w:type="dxa"/>
            <w:tcBorders>
              <w:top w:val="single" w:sz="4" w:space="0" w:color="auto"/>
              <w:left w:val="nil"/>
              <w:bottom w:val="single" w:sz="4" w:space="0" w:color="auto"/>
              <w:right w:val="single" w:sz="4" w:space="0" w:color="auto"/>
            </w:tcBorders>
            <w:shd w:val="clear" w:color="auto" w:fill="C6EFCE"/>
            <w:noWrap/>
          </w:tcPr>
          <w:p w14:paraId="4E7D3733" w14:textId="33928943" w:rsidR="00083739" w:rsidRPr="00083739" w:rsidRDefault="00BF4125">
            <w:pPr>
              <w:pStyle w:val="P68B1DB1-Normal9"/>
              <w:spacing w:before="120" w:after="0" w:line="240" w:lineRule="auto"/>
              <w:jc w:val="both"/>
              <w:rPr>
                <w:rFonts w:ascii="Times New Roman" w:hAnsi="Times New Roman" w:cs="Times New Roman"/>
                <w:noProof/>
                <w:lang w:val="sk-SK"/>
              </w:rPr>
            </w:pPr>
            <w:r w:rsidRPr="00083739">
              <w:rPr>
                <w:rFonts w:ascii="Times New Roman" w:hAnsi="Times New Roman" w:cs="Times New Roman"/>
                <w:noProof/>
                <w:lang w:val="sk-SK"/>
              </w:rPr>
              <w:t>Dokončenie všetkých nových budov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renovácií</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súlade</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potrebami revidovanej súdnej mapy</w:t>
            </w:r>
            <w:r w:rsidR="00083739" w:rsidRPr="00083739">
              <w:rPr>
                <w:rFonts w:ascii="Times New Roman" w:hAnsi="Times New Roman" w:cs="Times New Roman"/>
                <w:noProof/>
                <w:lang w:val="sk-SK"/>
              </w:rPr>
              <w:t>.</w:t>
            </w:r>
          </w:p>
          <w:p w14:paraId="5C88C82B" w14:textId="225F6F69" w:rsidR="002D49B0" w:rsidRPr="00083739" w:rsidRDefault="00BF4125">
            <w:pPr>
              <w:pStyle w:val="P68B1DB1-Normal9"/>
              <w:spacing w:before="120" w:after="0" w:line="240" w:lineRule="auto"/>
              <w:jc w:val="both"/>
              <w:rPr>
                <w:rFonts w:ascii="Times New Roman" w:hAnsi="Times New Roman" w:cs="Times New Roman"/>
                <w:b/>
                <w:bCs/>
                <w:noProof/>
                <w:szCs w:val="18"/>
                <w:lang w:val="sk-SK"/>
              </w:rPr>
            </w:pPr>
            <w:r w:rsidRPr="00083739">
              <w:rPr>
                <w:rFonts w:ascii="Times New Roman" w:hAnsi="Times New Roman" w:cs="Times New Roman"/>
                <w:noProof/>
                <w:lang w:val="sk-SK"/>
              </w:rPr>
              <w:t>Elektronické osvedčenia</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 xml:space="preserve">totožnosti súdnych budov vydané prostredníctvom platformy elektronickej </w:t>
            </w:r>
            <w:r w:rsidRPr="00083739">
              <w:rPr>
                <w:rFonts w:ascii="Times New Roman" w:hAnsi="Times New Roman" w:cs="Times New Roman"/>
                <w:noProof/>
                <w:lang w:val="sk-SK"/>
              </w:rPr>
              <w:t>totožnosti.</w:t>
            </w:r>
          </w:p>
        </w:tc>
      </w:tr>
      <w:tr w:rsidR="002D49B0" w:rsidRPr="00083739" w14:paraId="664B706A" w14:textId="77777777">
        <w:trPr>
          <w:trHeight w:val="309"/>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2A60DB4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238</w:t>
            </w:r>
          </w:p>
        </w:tc>
        <w:tc>
          <w:tcPr>
            <w:tcW w:w="1541" w:type="dxa"/>
            <w:tcBorders>
              <w:top w:val="single" w:sz="4" w:space="0" w:color="auto"/>
              <w:left w:val="nil"/>
              <w:bottom w:val="single" w:sz="4" w:space="0" w:color="auto"/>
              <w:right w:val="single" w:sz="4" w:space="0" w:color="auto"/>
            </w:tcBorders>
            <w:shd w:val="clear" w:color="auto" w:fill="C6EFCE"/>
            <w:noWrap/>
          </w:tcPr>
          <w:p w14:paraId="60C81E2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14 – 4.3. Zlepšiť efektívnosť justičného systému – 16575 Urýchlenie výkonu spravodlivosti</w:t>
            </w:r>
          </w:p>
        </w:tc>
        <w:tc>
          <w:tcPr>
            <w:tcW w:w="1424" w:type="dxa"/>
            <w:tcBorders>
              <w:top w:val="single" w:sz="4" w:space="0" w:color="auto"/>
              <w:left w:val="nil"/>
              <w:bottom w:val="single" w:sz="4" w:space="0" w:color="auto"/>
              <w:right w:val="single" w:sz="4" w:space="0" w:color="auto"/>
            </w:tcBorders>
            <w:shd w:val="clear" w:color="auto" w:fill="C6EFCE"/>
            <w:noWrap/>
          </w:tcPr>
          <w:p w14:paraId="7838F02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97" w:type="dxa"/>
            <w:tcBorders>
              <w:top w:val="single" w:sz="4" w:space="0" w:color="auto"/>
              <w:left w:val="nil"/>
              <w:bottom w:val="single" w:sz="4" w:space="0" w:color="auto"/>
              <w:right w:val="single" w:sz="4" w:space="0" w:color="auto"/>
            </w:tcBorders>
            <w:shd w:val="clear" w:color="auto" w:fill="C6EFCE"/>
            <w:noWrap/>
          </w:tcPr>
          <w:p w14:paraId="3B627817" w14:textId="3C581C6B"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Odborná príprava</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mediácie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uvedenia do prevádzky jednotného digitálneho systému pre akreditované mediačné centrá</w:t>
            </w:r>
          </w:p>
        </w:tc>
        <w:tc>
          <w:tcPr>
            <w:tcW w:w="1552" w:type="dxa"/>
            <w:tcBorders>
              <w:top w:val="single" w:sz="4" w:space="0" w:color="auto"/>
              <w:left w:val="nil"/>
              <w:bottom w:val="single" w:sz="4" w:space="0" w:color="auto"/>
              <w:right w:val="single" w:sz="4" w:space="0" w:color="auto"/>
            </w:tcBorders>
            <w:shd w:val="clear" w:color="auto" w:fill="C6EFCE"/>
            <w:noWrap/>
          </w:tcPr>
          <w:p w14:paraId="4BA5D582" w14:textId="5490FDD7" w:rsidR="002D49B0" w:rsidRPr="00083739" w:rsidRDefault="00BF4125">
            <w:pPr>
              <w:pStyle w:val="P68B1DB1-Normal9"/>
              <w:spacing w:after="0" w:line="240" w:lineRule="auto"/>
              <w:rPr>
                <w:rFonts w:ascii="Times New Roman" w:hAnsi="Times New Roman" w:cs="Times New Roman"/>
                <w:noProof/>
                <w:szCs w:val="18"/>
                <w:lang w:val="sk-SK"/>
              </w:rPr>
            </w:pPr>
            <w:r w:rsidRPr="00083739">
              <w:rPr>
                <w:rFonts w:ascii="Times New Roman" w:hAnsi="Times New Roman" w:cs="Times New Roman"/>
                <w:noProof/>
                <w:lang w:val="sk-SK"/>
              </w:rPr>
              <w:t>Správa,</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 xml:space="preserve">ktorej </w:t>
            </w:r>
            <w:r w:rsidRPr="00083739">
              <w:rPr>
                <w:rFonts w:ascii="Times New Roman" w:hAnsi="Times New Roman" w:cs="Times New Roman"/>
                <w:noProof/>
                <w:lang w:val="sk-SK"/>
              </w:rPr>
              <w:t>sa potvrdzuje dokončenie odbornej prípravy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 xml:space="preserve">oblasti mediácie po uvedení do prevádzky jednotného digitálneho systému pre akreditované mediačné centrá  </w:t>
            </w:r>
          </w:p>
        </w:tc>
        <w:tc>
          <w:tcPr>
            <w:tcW w:w="992" w:type="dxa"/>
            <w:tcBorders>
              <w:top w:val="single" w:sz="4" w:space="0" w:color="auto"/>
              <w:left w:val="nil"/>
              <w:bottom w:val="single" w:sz="4" w:space="0" w:color="auto"/>
              <w:right w:val="single" w:sz="4" w:space="0" w:color="auto"/>
            </w:tcBorders>
            <w:shd w:val="clear" w:color="auto" w:fill="C6EFCE"/>
            <w:noWrap/>
          </w:tcPr>
          <w:p w14:paraId="33FCBD2F"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single" w:sz="4" w:space="0" w:color="auto"/>
              <w:left w:val="nil"/>
              <w:bottom w:val="single" w:sz="4" w:space="0" w:color="auto"/>
              <w:right w:val="single" w:sz="4" w:space="0" w:color="auto"/>
            </w:tcBorders>
            <w:shd w:val="clear" w:color="auto" w:fill="C6EFCE"/>
            <w:noWrap/>
          </w:tcPr>
          <w:p w14:paraId="01F28F91"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587" w:type="dxa"/>
            <w:tcBorders>
              <w:top w:val="single" w:sz="4" w:space="0" w:color="auto"/>
              <w:left w:val="nil"/>
              <w:bottom w:val="single" w:sz="4" w:space="0" w:color="auto"/>
              <w:right w:val="single" w:sz="4" w:space="0" w:color="auto"/>
            </w:tcBorders>
            <w:shd w:val="clear" w:color="auto" w:fill="C6EFCE"/>
            <w:noWrap/>
          </w:tcPr>
          <w:p w14:paraId="517A58D5"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6" w:type="dxa"/>
            <w:tcBorders>
              <w:top w:val="single" w:sz="4" w:space="0" w:color="auto"/>
              <w:left w:val="nil"/>
              <w:bottom w:val="single" w:sz="4" w:space="0" w:color="auto"/>
              <w:right w:val="single" w:sz="4" w:space="0" w:color="auto"/>
            </w:tcBorders>
            <w:shd w:val="clear" w:color="auto" w:fill="C6EFCE"/>
            <w:noWrap/>
          </w:tcPr>
          <w:p w14:paraId="5DAED53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622" w:type="dxa"/>
            <w:tcBorders>
              <w:top w:val="single" w:sz="4" w:space="0" w:color="auto"/>
              <w:left w:val="nil"/>
              <w:bottom w:val="single" w:sz="4" w:space="0" w:color="auto"/>
              <w:right w:val="single" w:sz="4" w:space="0" w:color="auto"/>
            </w:tcBorders>
            <w:shd w:val="clear" w:color="auto" w:fill="C6EFCE"/>
            <w:noWrap/>
          </w:tcPr>
          <w:p w14:paraId="1735CCA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4885" w:type="dxa"/>
            <w:tcBorders>
              <w:top w:val="single" w:sz="4" w:space="0" w:color="auto"/>
              <w:left w:val="nil"/>
              <w:bottom w:val="single" w:sz="4" w:space="0" w:color="auto"/>
              <w:right w:val="single" w:sz="4" w:space="0" w:color="auto"/>
            </w:tcBorders>
            <w:shd w:val="clear" w:color="auto" w:fill="C6EFCE"/>
            <w:noWrap/>
          </w:tcPr>
          <w:p w14:paraId="547DE9DC" w14:textId="0B7CAE5E"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Dokončenie odbornej prípravy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mediácie pre odborníkov pracujúcich</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práva a/alebo mediátorov, ktorí sa zúčastňujú na programe prostredníctvom výzvy</w:t>
            </w:r>
            <w:r w:rsidR="00083739" w:rsidRPr="00083739">
              <w:rPr>
                <w:rFonts w:ascii="Times New Roman" w:hAnsi="Times New Roman" w:cs="Times New Roman"/>
                <w:noProof/>
                <w:lang w:val="sk-SK"/>
              </w:rPr>
              <w:t>.</w:t>
            </w:r>
          </w:p>
          <w:p w14:paraId="31DC2A31" w14:textId="4882943E" w:rsidR="002D49B0" w:rsidRPr="00083739" w:rsidRDefault="00BF4125">
            <w:pPr>
              <w:pStyle w:val="P68B1DB1-Normal9"/>
              <w:spacing w:after="0" w:line="240" w:lineRule="auto"/>
              <w:rPr>
                <w:rFonts w:ascii="Times New Roman" w:hAnsi="Times New Roman" w:cs="Times New Roman"/>
                <w:b/>
                <w:noProof/>
                <w:szCs w:val="18"/>
                <w:lang w:val="sk-SK"/>
              </w:rPr>
            </w:pPr>
            <w:r w:rsidRPr="00083739">
              <w:rPr>
                <w:rFonts w:ascii="Times New Roman" w:hAnsi="Times New Roman" w:cs="Times New Roman"/>
                <w:noProof/>
                <w:lang w:val="sk-SK"/>
              </w:rPr>
              <w:t xml:space="preserve"> </w:t>
            </w:r>
            <w:r w:rsidRPr="00083739">
              <w:rPr>
                <w:rFonts w:ascii="Times New Roman" w:hAnsi="Times New Roman" w:cs="Times New Roman"/>
                <w:noProof/>
                <w:u w:val="single"/>
                <w:lang w:val="sk-SK"/>
              </w:rPr>
              <w:t>Uvedenie do prevádzky jednotného digitálneho systému pre akreditované mediačné centrá.</w:t>
            </w:r>
          </w:p>
        </w:tc>
      </w:tr>
      <w:tr w:rsidR="002D49B0" w:rsidRPr="00083739" w14:paraId="54F3E09C" w14:textId="77777777">
        <w:trPr>
          <w:trHeight w:val="309"/>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772491C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239</w:t>
            </w:r>
          </w:p>
        </w:tc>
        <w:tc>
          <w:tcPr>
            <w:tcW w:w="1541" w:type="dxa"/>
            <w:tcBorders>
              <w:top w:val="single" w:sz="4" w:space="0" w:color="auto"/>
              <w:left w:val="nil"/>
              <w:bottom w:val="single" w:sz="4" w:space="0" w:color="auto"/>
              <w:right w:val="single" w:sz="4" w:space="0" w:color="auto"/>
            </w:tcBorders>
            <w:shd w:val="clear" w:color="auto" w:fill="C6EFCE"/>
            <w:noWrap/>
          </w:tcPr>
          <w:p w14:paraId="50FAA35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14 – 4.3. Zlepšiť efektívnosť justičného systému – 16727_Digitálna </w:t>
            </w:r>
            <w:r w:rsidRPr="00083739">
              <w:rPr>
                <w:rFonts w:ascii="Times New Roman" w:hAnsi="Times New Roman" w:cs="Times New Roman"/>
                <w:noProof/>
                <w:lang w:val="sk-SK"/>
              </w:rPr>
              <w:t>transformácia justície (elektronická justícia)</w:t>
            </w:r>
          </w:p>
        </w:tc>
        <w:tc>
          <w:tcPr>
            <w:tcW w:w="1424" w:type="dxa"/>
            <w:tcBorders>
              <w:top w:val="single" w:sz="4" w:space="0" w:color="auto"/>
              <w:left w:val="nil"/>
              <w:bottom w:val="single" w:sz="4" w:space="0" w:color="auto"/>
              <w:right w:val="single" w:sz="4" w:space="0" w:color="auto"/>
            </w:tcBorders>
            <w:shd w:val="clear" w:color="auto" w:fill="C6EFCE"/>
            <w:noWrap/>
          </w:tcPr>
          <w:p w14:paraId="3A59253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97" w:type="dxa"/>
            <w:tcBorders>
              <w:top w:val="single" w:sz="4" w:space="0" w:color="auto"/>
              <w:left w:val="nil"/>
              <w:bottom w:val="single" w:sz="4" w:space="0" w:color="auto"/>
              <w:right w:val="single" w:sz="4" w:space="0" w:color="auto"/>
            </w:tcBorders>
            <w:shd w:val="clear" w:color="auto" w:fill="C6EFCE"/>
            <w:noWrap/>
          </w:tcPr>
          <w:p w14:paraId="08F64677" w14:textId="0F2BF7E1"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Vedenie záznamov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modernizácia IT</w:t>
            </w:r>
          </w:p>
        </w:tc>
        <w:tc>
          <w:tcPr>
            <w:tcW w:w="1552" w:type="dxa"/>
            <w:tcBorders>
              <w:top w:val="single" w:sz="4" w:space="0" w:color="auto"/>
              <w:left w:val="nil"/>
              <w:bottom w:val="single" w:sz="4" w:space="0" w:color="auto"/>
              <w:right w:val="single" w:sz="4" w:space="0" w:color="auto"/>
            </w:tcBorders>
            <w:shd w:val="clear" w:color="auto" w:fill="C6EFCE"/>
            <w:noWrap/>
          </w:tcPr>
          <w:p w14:paraId="6AFA0AA3" w14:textId="08D04558" w:rsidR="002D49B0" w:rsidRPr="00083739" w:rsidRDefault="00BF4125">
            <w:pPr>
              <w:pStyle w:val="P68B1DB1-Normal9"/>
              <w:spacing w:after="0" w:line="240" w:lineRule="auto"/>
              <w:rPr>
                <w:rFonts w:ascii="Times New Roman" w:hAnsi="Times New Roman" w:cs="Times New Roman"/>
                <w:noProof/>
                <w:szCs w:val="18"/>
                <w:lang w:val="sk-SK"/>
              </w:rPr>
            </w:pPr>
            <w:r w:rsidRPr="00083739">
              <w:rPr>
                <w:rFonts w:ascii="Times New Roman" w:hAnsi="Times New Roman" w:cs="Times New Roman"/>
                <w:noProof/>
                <w:lang w:val="sk-SK"/>
              </w:rPr>
              <w:t>Systémy uchovávania zvukových údajov plne funkčné na všetkých občianskych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trestných súdoch.</w:t>
            </w:r>
          </w:p>
          <w:p w14:paraId="1576ED07" w14:textId="77777777" w:rsidR="002D49B0" w:rsidRPr="00083739" w:rsidRDefault="002D49B0">
            <w:pPr>
              <w:spacing w:after="0" w:line="240" w:lineRule="auto"/>
              <w:rPr>
                <w:rFonts w:ascii="Times New Roman" w:hAnsi="Times New Roman" w:cs="Times New Roman"/>
                <w:noProof/>
                <w:color w:val="006100"/>
                <w:sz w:val="18"/>
                <w:szCs w:val="18"/>
                <w:lang w:val="sk-SK"/>
              </w:rPr>
            </w:pPr>
          </w:p>
          <w:p w14:paraId="0E6FE8E8" w14:textId="2687DC69" w:rsidR="002D49B0" w:rsidRPr="00083739" w:rsidRDefault="00BF4125">
            <w:pPr>
              <w:pStyle w:val="P68B1DB1-Normal9"/>
              <w:spacing w:after="0" w:line="240" w:lineRule="auto"/>
              <w:rPr>
                <w:rFonts w:ascii="Times New Roman" w:hAnsi="Times New Roman" w:cs="Times New Roman"/>
                <w:noProof/>
                <w:szCs w:val="18"/>
                <w:lang w:val="sk-SK"/>
              </w:rPr>
            </w:pPr>
            <w:r w:rsidRPr="00083739">
              <w:rPr>
                <w:rFonts w:ascii="Times New Roman" w:hAnsi="Times New Roman" w:cs="Times New Roman"/>
                <w:noProof/>
                <w:lang w:val="sk-SK"/>
              </w:rPr>
              <w:t>OSDDY-PP fáza II, OSDDY-DD, Dvor audítorov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projekty národných </w:t>
            </w:r>
            <w:r w:rsidRPr="00083739">
              <w:rPr>
                <w:rFonts w:ascii="Times New Roman" w:hAnsi="Times New Roman" w:cs="Times New Roman"/>
                <w:noProof/>
                <w:lang w:val="sk-SK"/>
              </w:rPr>
              <w:t>registrov trestov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plnej miere implementované, realizované</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funkčné.</w:t>
            </w:r>
          </w:p>
        </w:tc>
        <w:tc>
          <w:tcPr>
            <w:tcW w:w="992" w:type="dxa"/>
            <w:tcBorders>
              <w:top w:val="single" w:sz="4" w:space="0" w:color="auto"/>
              <w:left w:val="nil"/>
              <w:bottom w:val="single" w:sz="4" w:space="0" w:color="auto"/>
              <w:right w:val="single" w:sz="4" w:space="0" w:color="auto"/>
            </w:tcBorders>
            <w:shd w:val="clear" w:color="auto" w:fill="C6EFCE"/>
            <w:noWrap/>
          </w:tcPr>
          <w:p w14:paraId="7646CB11"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single" w:sz="4" w:space="0" w:color="auto"/>
              <w:left w:val="nil"/>
              <w:bottom w:val="single" w:sz="4" w:space="0" w:color="auto"/>
              <w:right w:val="single" w:sz="4" w:space="0" w:color="auto"/>
            </w:tcBorders>
            <w:shd w:val="clear" w:color="auto" w:fill="C6EFCE"/>
            <w:noWrap/>
          </w:tcPr>
          <w:p w14:paraId="14E953A0"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587" w:type="dxa"/>
            <w:tcBorders>
              <w:top w:val="single" w:sz="4" w:space="0" w:color="auto"/>
              <w:left w:val="nil"/>
              <w:bottom w:val="single" w:sz="4" w:space="0" w:color="auto"/>
              <w:right w:val="single" w:sz="4" w:space="0" w:color="auto"/>
            </w:tcBorders>
            <w:shd w:val="clear" w:color="auto" w:fill="C6EFCE"/>
            <w:noWrap/>
          </w:tcPr>
          <w:p w14:paraId="5639CBC2"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6" w:type="dxa"/>
            <w:tcBorders>
              <w:top w:val="single" w:sz="4" w:space="0" w:color="auto"/>
              <w:left w:val="nil"/>
              <w:bottom w:val="single" w:sz="4" w:space="0" w:color="auto"/>
              <w:right w:val="single" w:sz="4" w:space="0" w:color="auto"/>
            </w:tcBorders>
            <w:shd w:val="clear" w:color="auto" w:fill="C6EFCE"/>
            <w:noWrap/>
          </w:tcPr>
          <w:p w14:paraId="024AB8E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622" w:type="dxa"/>
            <w:tcBorders>
              <w:top w:val="single" w:sz="4" w:space="0" w:color="auto"/>
              <w:left w:val="nil"/>
              <w:bottom w:val="single" w:sz="4" w:space="0" w:color="auto"/>
              <w:right w:val="single" w:sz="4" w:space="0" w:color="auto"/>
            </w:tcBorders>
            <w:shd w:val="clear" w:color="auto" w:fill="C6EFCE"/>
            <w:noWrap/>
          </w:tcPr>
          <w:p w14:paraId="07A35CB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4885" w:type="dxa"/>
            <w:tcBorders>
              <w:top w:val="single" w:sz="4" w:space="0" w:color="auto"/>
              <w:left w:val="nil"/>
              <w:bottom w:val="single" w:sz="4" w:space="0" w:color="auto"/>
              <w:right w:val="single" w:sz="4" w:space="0" w:color="auto"/>
            </w:tcBorders>
            <w:shd w:val="clear" w:color="auto" w:fill="C6EFCE"/>
            <w:noWrap/>
          </w:tcPr>
          <w:p w14:paraId="2924905F" w14:textId="622CB05A"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Elektronická justícia: Prijatie výsledkov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súvislosti</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„modernizáciou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rozšírením informačných systémov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sektore justície“, pokiaľ ide o</w:t>
            </w:r>
            <w:r w:rsidR="00083739" w:rsidRPr="00083739">
              <w:rPr>
                <w:rFonts w:ascii="Times New Roman" w:hAnsi="Times New Roman" w:cs="Times New Roman"/>
                <w:noProof/>
                <w:lang w:val="sk-SK"/>
              </w:rPr>
              <w:t>:</w:t>
            </w:r>
          </w:p>
          <w:p w14:paraId="0C31A7E1" w14:textId="5EC79178" w:rsidR="002D49B0" w:rsidRPr="00083739" w:rsidRDefault="00BF4125">
            <w:pPr>
              <w:pStyle w:val="P68B1DB1-Normal9"/>
              <w:numPr>
                <w:ilvl w:val="0"/>
                <w:numId w:val="26"/>
              </w:numPr>
              <w:spacing w:before="120" w:after="0" w:line="240" w:lineRule="auto"/>
              <w:ind w:left="314"/>
              <w:jc w:val="both"/>
              <w:rPr>
                <w:rFonts w:ascii="Times New Roman" w:hAnsi="Times New Roman" w:cs="Times New Roman"/>
                <w:noProof/>
                <w:szCs w:val="18"/>
                <w:lang w:val="sk-SK"/>
              </w:rPr>
            </w:pPr>
            <w:r w:rsidRPr="00083739">
              <w:rPr>
                <w:rFonts w:ascii="Times New Roman" w:hAnsi="Times New Roman" w:cs="Times New Roman"/>
                <w:noProof/>
                <w:lang w:val="sk-SK"/>
              </w:rPr>
              <w:t>Modernizácia systém</w:t>
            </w:r>
            <w:r w:rsidRPr="00083739">
              <w:rPr>
                <w:rFonts w:ascii="Times New Roman" w:hAnsi="Times New Roman" w:cs="Times New Roman"/>
                <w:noProof/>
                <w:lang w:val="sk-SK"/>
              </w:rPr>
              <w:t>u vedenia záznamov súdov.</w:t>
            </w:r>
          </w:p>
          <w:p w14:paraId="680224EF" w14:textId="475E37FF" w:rsidR="002D49B0" w:rsidRPr="00083739" w:rsidRDefault="00BF4125">
            <w:pPr>
              <w:pStyle w:val="P68B1DB1-Normal9"/>
              <w:numPr>
                <w:ilvl w:val="0"/>
                <w:numId w:val="26"/>
              </w:numPr>
              <w:spacing w:before="120" w:after="0" w:line="259" w:lineRule="auto"/>
              <w:ind w:left="314"/>
              <w:contextualSpacing/>
              <w:jc w:val="both"/>
              <w:rPr>
                <w:rFonts w:ascii="Times New Roman" w:hAnsi="Times New Roman" w:cs="Times New Roman"/>
                <w:noProof/>
                <w:szCs w:val="18"/>
                <w:lang w:val="sk-SK"/>
              </w:rPr>
            </w:pPr>
            <w:r w:rsidRPr="00083739">
              <w:rPr>
                <w:rFonts w:ascii="Times New Roman" w:hAnsi="Times New Roman" w:cs="Times New Roman"/>
                <w:noProof/>
                <w:lang w:val="sk-SK"/>
              </w:rPr>
              <w:t>Modernizácia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podpora informačných systémov sektora spravodlivosti pre občianske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trestné súdy, audítorský súd</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vnútroštátny register trestov.</w:t>
            </w:r>
          </w:p>
          <w:p w14:paraId="354FE43E" w14:textId="023B5BC1"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Čiastkové projekty zahŕňajú: Modernizácia systému vedenia záznamov súdov – mod</w:t>
            </w:r>
            <w:r w:rsidRPr="00083739">
              <w:rPr>
                <w:rFonts w:ascii="Times New Roman" w:hAnsi="Times New Roman" w:cs="Times New Roman"/>
                <w:noProof/>
                <w:lang w:val="sk-SK"/>
              </w:rPr>
              <w:t>ernizácia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podporné služby pre „integrovaný systém správy súdnych prípadov pre občianske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trestné súdy (OSDDY-PP 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zavedenie systému na všetky občianske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trestné súdy krajiny (OSDDY-PP B).  — Modernizácia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podporné služby pre „Národný systém regist</w:t>
            </w:r>
            <w:r w:rsidRPr="00083739">
              <w:rPr>
                <w:rFonts w:ascii="Times New Roman" w:hAnsi="Times New Roman" w:cs="Times New Roman"/>
                <w:noProof/>
                <w:lang w:val="sk-SK"/>
              </w:rPr>
              <w:t>rov trestov (NCRIS) – Zlepšovanie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podporné služby pre systém správy prípadov (ďalej len „CMS“) gréckeho dvora audítorov (ELSYN)</w:t>
            </w:r>
          </w:p>
        </w:tc>
      </w:tr>
    </w:tbl>
    <w:p w14:paraId="3AC882BD" w14:textId="77777777" w:rsidR="002D49B0" w:rsidRPr="00083739" w:rsidRDefault="002D49B0">
      <w:pPr>
        <w:spacing w:before="120" w:after="120" w:line="240" w:lineRule="auto"/>
        <w:jc w:val="both"/>
        <w:rPr>
          <w:rFonts w:ascii="Times New Roman" w:hAnsi="Times New Roman" w:cs="Times New Roman"/>
          <w:noProof/>
          <w:sz w:val="24"/>
          <w:lang w:val="sk-SK"/>
        </w:rPr>
        <w:sectPr w:rsidR="002D49B0" w:rsidRPr="00083739" w:rsidSect="0030238F">
          <w:headerReference w:type="even" r:id="rId241"/>
          <w:headerReference w:type="default" r:id="rId242"/>
          <w:footerReference w:type="even" r:id="rId243"/>
          <w:footerReference w:type="default" r:id="rId244"/>
          <w:headerReference w:type="first" r:id="rId245"/>
          <w:footerReference w:type="first" r:id="rId246"/>
          <w:pgSz w:w="16839" w:h="11907" w:orient="landscape"/>
          <w:pgMar w:top="720" w:right="720" w:bottom="720" w:left="720" w:header="709" w:footer="212" w:gutter="0"/>
          <w:cols w:space="720"/>
          <w:docGrid w:linePitch="360"/>
        </w:sectPr>
      </w:pPr>
    </w:p>
    <w:p w14:paraId="394C5052" w14:textId="77777777" w:rsidR="002D49B0" w:rsidRPr="00083739" w:rsidRDefault="00BF4125">
      <w:pPr>
        <w:pStyle w:val="P68B1DB1-Normal2"/>
        <w:spacing w:before="120" w:after="120" w:line="240" w:lineRule="auto"/>
        <w:ind w:firstLine="6"/>
        <w:jc w:val="both"/>
        <w:outlineLvl w:val="3"/>
        <w:rPr>
          <w:rFonts w:cs="Times New Roman"/>
          <w:bCs/>
          <w:noProof/>
          <w:lang w:val="sk-SK"/>
        </w:rPr>
      </w:pPr>
      <w:r w:rsidRPr="00083739">
        <w:rPr>
          <w:rFonts w:cs="Times New Roman"/>
          <w:noProof/>
          <w:lang w:val="sk-SK"/>
        </w:rPr>
        <w:t xml:space="preserve">O. KOMPONENT 4.4: POSILNENIE FINANČNÉHO SEKTORA A KAPITÁLOVÝCH </w:t>
      </w:r>
      <w:r w:rsidRPr="00083739">
        <w:rPr>
          <w:rFonts w:cs="Times New Roman"/>
          <w:noProof/>
          <w:lang w:val="sk-SK"/>
        </w:rPr>
        <w:t>TRHOV</w:t>
      </w:r>
    </w:p>
    <w:p w14:paraId="1EA37F28" w14:textId="2F7DB200" w:rsidR="00083739"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Cieľom tohto komponentu gréckeho plánu obnovy</w:t>
      </w:r>
      <w:r w:rsidR="00083739" w:rsidRPr="00083739">
        <w:rPr>
          <w:rFonts w:cs="Times New Roman"/>
          <w:noProof/>
          <w:lang w:val="sk-SK"/>
        </w:rPr>
        <w:t xml:space="preserve"> a </w:t>
      </w:r>
      <w:r w:rsidRPr="00083739">
        <w:rPr>
          <w:rFonts w:cs="Times New Roman"/>
          <w:noProof/>
          <w:lang w:val="sk-SK"/>
        </w:rPr>
        <w:t>odolnosti je posilniť kapacitu finančného systému na podporu rozvoja hospodárstva prostredníctvom poskytovania financovania spoločnostiam</w:t>
      </w:r>
      <w:r w:rsidR="00083739" w:rsidRPr="00083739">
        <w:rPr>
          <w:rFonts w:cs="Times New Roman"/>
          <w:noProof/>
          <w:lang w:val="sk-SK"/>
        </w:rPr>
        <w:t xml:space="preserve"> a </w:t>
      </w:r>
      <w:r w:rsidRPr="00083739">
        <w:rPr>
          <w:rFonts w:cs="Times New Roman"/>
          <w:noProof/>
          <w:lang w:val="sk-SK"/>
        </w:rPr>
        <w:t>jednotlivcom na rozvoj nových činností. Podporuje riešenie vys</w:t>
      </w:r>
      <w:r w:rsidRPr="00083739">
        <w:rPr>
          <w:rFonts w:cs="Times New Roman"/>
          <w:noProof/>
          <w:lang w:val="sk-SK"/>
        </w:rPr>
        <w:t>okých problémových expozícií</w:t>
      </w:r>
      <w:r w:rsidR="00083739" w:rsidRPr="00083739">
        <w:rPr>
          <w:rFonts w:cs="Times New Roman"/>
          <w:noProof/>
          <w:lang w:val="sk-SK"/>
        </w:rPr>
        <w:t xml:space="preserve"> a </w:t>
      </w:r>
      <w:r w:rsidRPr="00083739">
        <w:rPr>
          <w:rFonts w:cs="Times New Roman"/>
          <w:noProof/>
          <w:lang w:val="sk-SK"/>
        </w:rPr>
        <w:t>nesplácaných úverov</w:t>
      </w:r>
      <w:r w:rsidR="00083739" w:rsidRPr="00083739">
        <w:rPr>
          <w:rFonts w:cs="Times New Roman"/>
          <w:noProof/>
          <w:lang w:val="sk-SK"/>
        </w:rPr>
        <w:t xml:space="preserve"> v </w:t>
      </w:r>
      <w:r w:rsidRPr="00083739">
        <w:rPr>
          <w:rFonts w:cs="Times New Roman"/>
          <w:noProof/>
          <w:lang w:val="sk-SK"/>
        </w:rPr>
        <w:t>gréckom bankovom sektore</w:t>
      </w:r>
      <w:r w:rsidR="00083739" w:rsidRPr="00083739">
        <w:rPr>
          <w:rFonts w:cs="Times New Roman"/>
          <w:noProof/>
          <w:lang w:val="sk-SK"/>
        </w:rPr>
        <w:t xml:space="preserve"> a </w:t>
      </w:r>
      <w:r w:rsidRPr="00083739">
        <w:rPr>
          <w:rFonts w:cs="Times New Roman"/>
          <w:noProof/>
          <w:lang w:val="sk-SK"/>
        </w:rPr>
        <w:t>zároveň zlepšuje prístup</w:t>
      </w:r>
      <w:r w:rsidR="00083739" w:rsidRPr="00083739">
        <w:rPr>
          <w:rFonts w:cs="Times New Roman"/>
          <w:noProof/>
          <w:lang w:val="sk-SK"/>
        </w:rPr>
        <w:t xml:space="preserve"> k </w:t>
      </w:r>
      <w:r w:rsidRPr="00083739">
        <w:rPr>
          <w:rFonts w:cs="Times New Roman"/>
          <w:noProof/>
          <w:lang w:val="sk-SK"/>
        </w:rPr>
        <w:t>informáciám</w:t>
      </w:r>
      <w:r w:rsidR="00083739" w:rsidRPr="00083739">
        <w:rPr>
          <w:rFonts w:cs="Times New Roman"/>
          <w:noProof/>
          <w:lang w:val="sk-SK"/>
        </w:rPr>
        <w:t xml:space="preserve"> o </w:t>
      </w:r>
      <w:r w:rsidRPr="00083739">
        <w:rPr>
          <w:rFonts w:cs="Times New Roman"/>
          <w:noProof/>
          <w:lang w:val="sk-SK"/>
        </w:rPr>
        <w:t>úverových profiloch spoločností</w:t>
      </w:r>
      <w:r w:rsidR="00083739" w:rsidRPr="00083739">
        <w:rPr>
          <w:rFonts w:cs="Times New Roman"/>
          <w:noProof/>
          <w:lang w:val="sk-SK"/>
        </w:rPr>
        <w:t xml:space="preserve"> a </w:t>
      </w:r>
      <w:r w:rsidRPr="00083739">
        <w:rPr>
          <w:rFonts w:cs="Times New Roman"/>
          <w:noProof/>
          <w:lang w:val="sk-SK"/>
        </w:rPr>
        <w:t>jednotlivcov na trhu</w:t>
      </w:r>
      <w:r w:rsidR="00083739" w:rsidRPr="00083739">
        <w:rPr>
          <w:rFonts w:cs="Times New Roman"/>
          <w:noProof/>
          <w:lang w:val="sk-SK"/>
        </w:rPr>
        <w:t>.</w:t>
      </w:r>
    </w:p>
    <w:p w14:paraId="3FCC4CB4" w14:textId="1DB91FD5" w:rsidR="00083739"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Komponent podporuje aj riešenie súkromnej zadlženosti</w:t>
      </w:r>
      <w:r w:rsidR="00083739" w:rsidRPr="00083739">
        <w:rPr>
          <w:rFonts w:cs="Times New Roman"/>
          <w:noProof/>
          <w:lang w:val="sk-SK"/>
        </w:rPr>
        <w:t xml:space="preserve"> a </w:t>
      </w:r>
      <w:r w:rsidRPr="00083739">
        <w:rPr>
          <w:rFonts w:cs="Times New Roman"/>
          <w:noProof/>
          <w:lang w:val="sk-SK"/>
        </w:rPr>
        <w:t>posilňuje kapitálové tr</w:t>
      </w:r>
      <w:r w:rsidRPr="00083739">
        <w:rPr>
          <w:rFonts w:cs="Times New Roman"/>
          <w:noProof/>
          <w:lang w:val="sk-SK"/>
        </w:rPr>
        <w:t>hy. Štrukturálne zmeny</w:t>
      </w:r>
      <w:r w:rsidR="00083739" w:rsidRPr="00083739">
        <w:rPr>
          <w:rFonts w:cs="Times New Roman"/>
          <w:noProof/>
          <w:lang w:val="sk-SK"/>
        </w:rPr>
        <w:t xml:space="preserve"> v </w:t>
      </w:r>
      <w:r w:rsidRPr="00083739">
        <w:rPr>
          <w:rFonts w:cs="Times New Roman"/>
          <w:noProof/>
          <w:lang w:val="sk-SK"/>
        </w:rPr>
        <w:t>týchto dvoch oblastiach prispejú</w:t>
      </w:r>
      <w:r w:rsidR="00083739" w:rsidRPr="00083739">
        <w:rPr>
          <w:rFonts w:cs="Times New Roman"/>
          <w:noProof/>
          <w:lang w:val="sk-SK"/>
        </w:rPr>
        <w:t xml:space="preserve"> k </w:t>
      </w:r>
      <w:r w:rsidRPr="00083739">
        <w:rPr>
          <w:rFonts w:cs="Times New Roman"/>
          <w:noProof/>
          <w:lang w:val="sk-SK"/>
        </w:rPr>
        <w:t>rastu</w:t>
      </w:r>
      <w:r w:rsidR="00083739" w:rsidRPr="00083739">
        <w:rPr>
          <w:rFonts w:cs="Times New Roman"/>
          <w:noProof/>
          <w:lang w:val="sk-SK"/>
        </w:rPr>
        <w:t xml:space="preserve"> a </w:t>
      </w:r>
      <w:r w:rsidRPr="00083739">
        <w:rPr>
          <w:rFonts w:cs="Times New Roman"/>
          <w:noProof/>
          <w:lang w:val="sk-SK"/>
        </w:rPr>
        <w:t>zvýšia hospodársku odolnosť Grécka vzhľadom na budúce otrasy</w:t>
      </w:r>
      <w:r w:rsidR="00083739" w:rsidRPr="00083739">
        <w:rPr>
          <w:rFonts w:cs="Times New Roman"/>
          <w:noProof/>
          <w:lang w:val="sk-SK"/>
        </w:rPr>
        <w:t>.</w:t>
      </w:r>
    </w:p>
    <w:p w14:paraId="25DCCED3" w14:textId="6786C7B5" w:rsidR="00083739"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Reformy</w:t>
      </w:r>
      <w:r w:rsidR="00083739" w:rsidRPr="00083739">
        <w:rPr>
          <w:rFonts w:cs="Times New Roman"/>
          <w:noProof/>
          <w:lang w:val="sk-SK"/>
        </w:rPr>
        <w:t xml:space="preserve"> v </w:t>
      </w:r>
      <w:r w:rsidRPr="00083739">
        <w:rPr>
          <w:rFonts w:cs="Times New Roman"/>
          <w:noProof/>
          <w:lang w:val="sk-SK"/>
        </w:rPr>
        <w:t>rámci tejto zložky pozostávajú z</w:t>
      </w:r>
      <w:r w:rsidR="00083739" w:rsidRPr="00083739">
        <w:rPr>
          <w:rFonts w:cs="Times New Roman"/>
          <w:noProof/>
          <w:lang w:val="sk-SK"/>
        </w:rPr>
        <w:t>:</w:t>
      </w:r>
    </w:p>
    <w:p w14:paraId="3BA9230E" w14:textId="77777777" w:rsidR="00083739" w:rsidRPr="00083739" w:rsidRDefault="00BF4125">
      <w:pPr>
        <w:pStyle w:val="P68B1DB1-Normal4"/>
        <w:numPr>
          <w:ilvl w:val="0"/>
          <w:numId w:val="60"/>
        </w:numPr>
        <w:spacing w:before="120" w:after="120" w:line="240" w:lineRule="auto"/>
        <w:ind w:left="360"/>
        <w:jc w:val="both"/>
        <w:rPr>
          <w:rFonts w:cs="Times New Roman"/>
          <w:noProof/>
          <w:lang w:val="sk-SK"/>
        </w:rPr>
      </w:pPr>
      <w:r w:rsidRPr="00083739">
        <w:rPr>
          <w:rFonts w:cs="Times New Roman"/>
          <w:noProof/>
          <w:lang w:val="sk-SK"/>
        </w:rPr>
        <w:t>Posilnený dohľad nad kapitálovým trhom</w:t>
      </w:r>
      <w:r w:rsidR="00083739" w:rsidRPr="00083739">
        <w:rPr>
          <w:rFonts w:cs="Times New Roman"/>
          <w:noProof/>
          <w:lang w:val="sk-SK"/>
        </w:rPr>
        <w:t xml:space="preserve"> a </w:t>
      </w:r>
      <w:r w:rsidRPr="00083739">
        <w:rPr>
          <w:rFonts w:cs="Times New Roman"/>
          <w:noProof/>
          <w:lang w:val="sk-SK"/>
        </w:rPr>
        <w:t>dôveryhodnosť</w:t>
      </w:r>
    </w:p>
    <w:p w14:paraId="77B86299" w14:textId="77777777" w:rsidR="00083739" w:rsidRPr="00083739" w:rsidRDefault="00BF4125">
      <w:pPr>
        <w:pStyle w:val="P68B1DB1-Normal4"/>
        <w:numPr>
          <w:ilvl w:val="0"/>
          <w:numId w:val="60"/>
        </w:numPr>
        <w:spacing w:before="120" w:after="120" w:line="240" w:lineRule="auto"/>
        <w:ind w:left="360"/>
        <w:jc w:val="both"/>
        <w:rPr>
          <w:rFonts w:cs="Times New Roman"/>
          <w:noProof/>
          <w:lang w:val="sk-SK"/>
        </w:rPr>
      </w:pPr>
      <w:r w:rsidRPr="00083739">
        <w:rPr>
          <w:rFonts w:cs="Times New Roman"/>
          <w:noProof/>
          <w:lang w:val="sk-SK"/>
        </w:rPr>
        <w:t>Posilnenie schopnosti finan</w:t>
      </w:r>
      <w:r w:rsidRPr="00083739">
        <w:rPr>
          <w:rFonts w:cs="Times New Roman"/>
          <w:noProof/>
          <w:lang w:val="sk-SK"/>
        </w:rPr>
        <w:t>čného systému prekonať výzvy</w:t>
      </w:r>
      <w:r w:rsidR="00083739" w:rsidRPr="00083739">
        <w:rPr>
          <w:rFonts w:cs="Times New Roman"/>
          <w:noProof/>
          <w:lang w:val="sk-SK"/>
        </w:rPr>
        <w:t xml:space="preserve"> z </w:t>
      </w:r>
      <w:r w:rsidRPr="00083739">
        <w:rPr>
          <w:rFonts w:cs="Times New Roman"/>
          <w:noProof/>
          <w:lang w:val="sk-SK"/>
        </w:rPr>
        <w:t>minulosti</w:t>
      </w:r>
      <w:r w:rsidR="00083739" w:rsidRPr="00083739">
        <w:rPr>
          <w:rFonts w:cs="Times New Roman"/>
          <w:noProof/>
          <w:lang w:val="sk-SK"/>
        </w:rPr>
        <w:t xml:space="preserve"> a </w:t>
      </w:r>
      <w:r w:rsidRPr="00083739">
        <w:rPr>
          <w:rFonts w:cs="Times New Roman"/>
          <w:noProof/>
          <w:lang w:val="sk-SK"/>
        </w:rPr>
        <w:t>financovať reálnu ekonomiku</w:t>
      </w:r>
    </w:p>
    <w:p w14:paraId="0AF236DB" w14:textId="77777777" w:rsidR="00083739" w:rsidRPr="00083739" w:rsidRDefault="00BF4125">
      <w:pPr>
        <w:pStyle w:val="P68B1DB1-Normal4"/>
        <w:numPr>
          <w:ilvl w:val="0"/>
          <w:numId w:val="60"/>
        </w:numPr>
        <w:spacing w:before="120" w:after="120" w:line="240" w:lineRule="auto"/>
        <w:ind w:left="360"/>
        <w:jc w:val="both"/>
        <w:rPr>
          <w:rFonts w:cs="Times New Roman"/>
          <w:noProof/>
          <w:lang w:val="sk-SK"/>
        </w:rPr>
      </w:pPr>
      <w:r w:rsidRPr="00083739">
        <w:rPr>
          <w:rFonts w:cs="Times New Roman"/>
          <w:noProof/>
          <w:lang w:val="sk-SK"/>
        </w:rPr>
        <w:t>Modernizácia digitálnej infraštruktúry potrebnej na vykonávanie nového jednotného rámca pre platobnú neschopnosť pre reštrukturalizáciu dlhu</w:t>
      </w:r>
      <w:r w:rsidR="00083739" w:rsidRPr="00083739">
        <w:rPr>
          <w:rFonts w:cs="Times New Roman"/>
          <w:noProof/>
          <w:lang w:val="sk-SK"/>
        </w:rPr>
        <w:t xml:space="preserve"> a </w:t>
      </w:r>
      <w:r w:rsidRPr="00083739">
        <w:rPr>
          <w:rFonts w:cs="Times New Roman"/>
          <w:noProof/>
          <w:lang w:val="sk-SK"/>
        </w:rPr>
        <w:t>druhú šancu</w:t>
      </w:r>
    </w:p>
    <w:p w14:paraId="00B0CF98" w14:textId="77AB8AA1" w:rsidR="00083739" w:rsidRPr="00083739" w:rsidRDefault="00BF4125">
      <w:pPr>
        <w:pStyle w:val="P68B1DB1-Normal22"/>
        <w:spacing w:before="120" w:after="120" w:line="240" w:lineRule="auto"/>
        <w:jc w:val="both"/>
        <w:rPr>
          <w:rFonts w:ascii="Times New Roman" w:hAnsi="Times New Roman" w:cs="Times New Roman"/>
          <w:noProof/>
          <w:lang w:val="sk-SK"/>
        </w:rPr>
      </w:pPr>
      <w:r w:rsidRPr="00083739">
        <w:rPr>
          <w:rFonts w:ascii="Times New Roman" w:hAnsi="Times New Roman" w:cs="Times New Roman"/>
          <w:noProof/>
          <w:lang w:val="sk-SK"/>
        </w:rPr>
        <w:t>Niektoré</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týchto reforiem zah</w:t>
      </w:r>
      <w:r w:rsidRPr="00083739">
        <w:rPr>
          <w:rFonts w:ascii="Times New Roman" w:hAnsi="Times New Roman" w:cs="Times New Roman"/>
          <w:noProof/>
          <w:lang w:val="sk-SK"/>
        </w:rPr>
        <w:t>ŕňajú opatrenia na riešenie informačných medzier, ktoré bránia úspešnému toku úverov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účinnému monitorovaniu rizík. Tieto pozostávajú z</w:t>
      </w:r>
      <w:r w:rsidRPr="00083739">
        <w:rPr>
          <w:rFonts w:ascii="Times New Roman" w:eastAsiaTheme="minorEastAsia" w:hAnsi="Times New Roman" w:cs="Times New Roman"/>
          <w:noProof/>
          <w:lang w:val="sk-SK"/>
        </w:rPr>
        <w:t xml:space="preserve">vytvorenia monitorovacieho registra súkromného dlhu, vývoja verejného informačného systému pre </w:t>
      </w:r>
      <w:r w:rsidRPr="00083739">
        <w:rPr>
          <w:rFonts w:ascii="Times New Roman" w:hAnsi="Times New Roman" w:cs="Times New Roman"/>
          <w:noProof/>
          <w:lang w:val="sk-SK"/>
        </w:rPr>
        <w:t>úverové ratingy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centrál</w:t>
      </w:r>
      <w:r w:rsidRPr="00083739">
        <w:rPr>
          <w:rFonts w:ascii="Times New Roman" w:hAnsi="Times New Roman" w:cs="Times New Roman"/>
          <w:noProof/>
          <w:lang w:val="sk-SK"/>
        </w:rPr>
        <w:t>neho úverového registra. Centrálny register úverov okrem toho prostredníctvom zberu príslušných údajov prispieva aj</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monitorovaniu vývoja rozširovania úverov strediskom pre monitorovanie rozširovania úverov. Tieto opatrenia prispievajú aj</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 xml:space="preserve">digitálnej </w:t>
      </w:r>
      <w:r w:rsidRPr="00083739">
        <w:rPr>
          <w:rFonts w:ascii="Times New Roman" w:hAnsi="Times New Roman" w:cs="Times New Roman"/>
          <w:noProof/>
          <w:lang w:val="sk-SK"/>
        </w:rPr>
        <w:t>transformácii gréckeho hospodárstva, keďže sa spoliehajú na informačné technológie</w:t>
      </w:r>
      <w:r w:rsidR="00083739" w:rsidRPr="00083739">
        <w:rPr>
          <w:rFonts w:ascii="Times New Roman" w:hAnsi="Times New Roman" w:cs="Times New Roman"/>
          <w:noProof/>
          <w:lang w:val="sk-SK"/>
        </w:rPr>
        <w:t>.</w:t>
      </w:r>
    </w:p>
    <w:p w14:paraId="64AC66A3" w14:textId="331DD50C"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Opatrenia</w:t>
      </w:r>
      <w:r w:rsidR="00083739" w:rsidRPr="00083739">
        <w:rPr>
          <w:rFonts w:cs="Times New Roman"/>
          <w:noProof/>
          <w:lang w:val="sk-SK"/>
        </w:rPr>
        <w:t xml:space="preserve"> v </w:t>
      </w:r>
      <w:r w:rsidRPr="00083739">
        <w:rPr>
          <w:rFonts w:cs="Times New Roman"/>
          <w:noProof/>
          <w:lang w:val="sk-SK"/>
        </w:rPr>
        <w:t>rámci tohto komponentu posilňujú hospodársku</w:t>
      </w:r>
      <w:r w:rsidR="00083739" w:rsidRPr="00083739">
        <w:rPr>
          <w:rFonts w:cs="Times New Roman"/>
          <w:noProof/>
          <w:lang w:val="sk-SK"/>
        </w:rPr>
        <w:t xml:space="preserve"> a </w:t>
      </w:r>
      <w:r w:rsidRPr="00083739">
        <w:rPr>
          <w:rFonts w:cs="Times New Roman"/>
          <w:noProof/>
          <w:lang w:val="sk-SK"/>
        </w:rPr>
        <w:t>inštitucionálnu odolnosť, posilňujú pripravenosť na krízy</w:t>
      </w:r>
      <w:r w:rsidR="00083739" w:rsidRPr="00083739">
        <w:rPr>
          <w:rFonts w:cs="Times New Roman"/>
          <w:noProof/>
          <w:lang w:val="sk-SK"/>
        </w:rPr>
        <w:t xml:space="preserve"> a </w:t>
      </w:r>
      <w:r w:rsidRPr="00083739">
        <w:rPr>
          <w:rFonts w:cs="Times New Roman"/>
          <w:noProof/>
          <w:lang w:val="sk-SK"/>
        </w:rPr>
        <w:t>inštitucionálne kapacity,</w:t>
      </w:r>
      <w:r w:rsidR="00083739" w:rsidRPr="00083739">
        <w:rPr>
          <w:rFonts w:cs="Times New Roman"/>
          <w:noProof/>
          <w:lang w:val="sk-SK"/>
        </w:rPr>
        <w:t xml:space="preserve"> a </w:t>
      </w:r>
      <w:r w:rsidRPr="00083739">
        <w:rPr>
          <w:rFonts w:cs="Times New Roman"/>
          <w:noProof/>
          <w:lang w:val="sk-SK"/>
        </w:rPr>
        <w:t xml:space="preserve">preto podporujú riešenie </w:t>
      </w:r>
      <w:r w:rsidRPr="00083739">
        <w:rPr>
          <w:rFonts w:cs="Times New Roman"/>
          <w:noProof/>
          <w:lang w:val="sk-SK"/>
        </w:rPr>
        <w:t>odporúčania pre danú krajinu týkajúceho sa štrukturálnych reforiem na zlepšenie fungovania hospodárstva (odporúčanie pre Španielsko č. 1 2019</w:t>
      </w:r>
      <w:r w:rsidR="00083739" w:rsidRPr="00083739">
        <w:rPr>
          <w:rFonts w:cs="Times New Roman"/>
          <w:noProof/>
          <w:lang w:val="sk-SK"/>
        </w:rPr>
        <w:t xml:space="preserve"> a </w:t>
      </w:r>
      <w:r w:rsidRPr="00083739">
        <w:rPr>
          <w:rFonts w:cs="Times New Roman"/>
          <w:noProof/>
          <w:lang w:val="sk-SK"/>
        </w:rPr>
        <w:t>odporúčanie pre jednotlivé krajiny č. 4 2020). Očakáva sa, že žiadne opatrenie</w:t>
      </w:r>
      <w:r w:rsidR="00083739" w:rsidRPr="00083739">
        <w:rPr>
          <w:rFonts w:cs="Times New Roman"/>
          <w:noProof/>
          <w:lang w:val="sk-SK"/>
        </w:rPr>
        <w:t xml:space="preserve"> v </w:t>
      </w:r>
      <w:r w:rsidRPr="00083739">
        <w:rPr>
          <w:rFonts w:cs="Times New Roman"/>
          <w:noProof/>
          <w:lang w:val="sk-SK"/>
        </w:rPr>
        <w:t>tomto komponente výrazne nenaru</w:t>
      </w:r>
      <w:r w:rsidRPr="00083739">
        <w:rPr>
          <w:rFonts w:cs="Times New Roman"/>
          <w:noProof/>
          <w:lang w:val="sk-SK"/>
        </w:rPr>
        <w:t>ší environmentálne ciele</w:t>
      </w:r>
      <w:r w:rsidR="00083739" w:rsidRPr="00083739">
        <w:rPr>
          <w:rFonts w:cs="Times New Roman"/>
          <w:noProof/>
          <w:lang w:val="sk-SK"/>
        </w:rPr>
        <w:t xml:space="preserve"> v </w:t>
      </w:r>
      <w:r w:rsidRPr="00083739">
        <w:rPr>
          <w:rFonts w:cs="Times New Roman"/>
          <w:noProof/>
          <w:lang w:val="sk-SK"/>
        </w:rPr>
        <w:t>zmysle článku 17 nariadenia (EÚ) 2020/852, pričom sa zohľadní opis opatrení</w:t>
      </w:r>
      <w:r w:rsidR="00083739" w:rsidRPr="00083739">
        <w:rPr>
          <w:rFonts w:cs="Times New Roman"/>
          <w:noProof/>
          <w:lang w:val="sk-SK"/>
        </w:rPr>
        <w:t xml:space="preserve"> a </w:t>
      </w:r>
      <w:r w:rsidRPr="00083739">
        <w:rPr>
          <w:rFonts w:cs="Times New Roman"/>
          <w:noProof/>
          <w:lang w:val="sk-SK"/>
        </w:rPr>
        <w:t>zmierňujúcich krokov stanovených</w:t>
      </w:r>
      <w:r w:rsidR="00083739" w:rsidRPr="00083739">
        <w:rPr>
          <w:rFonts w:cs="Times New Roman"/>
          <w:noProof/>
          <w:lang w:val="sk-SK"/>
        </w:rPr>
        <w:t xml:space="preserve"> v </w:t>
      </w:r>
      <w:r w:rsidRPr="00083739">
        <w:rPr>
          <w:rFonts w:cs="Times New Roman"/>
          <w:noProof/>
          <w:lang w:val="sk-SK"/>
        </w:rPr>
        <w:t>pláne podpory obnovy</w:t>
      </w:r>
      <w:r w:rsidR="00083739" w:rsidRPr="00083739">
        <w:rPr>
          <w:rFonts w:cs="Times New Roman"/>
          <w:noProof/>
          <w:lang w:val="sk-SK"/>
        </w:rPr>
        <w:t xml:space="preserve"> a </w:t>
      </w:r>
      <w:r w:rsidRPr="00083739">
        <w:rPr>
          <w:rFonts w:cs="Times New Roman"/>
          <w:noProof/>
          <w:lang w:val="sk-SK"/>
        </w:rPr>
        <w:t>odolnosti</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technickým usmernením „výrazne nenarušiť“ (2021/C58/01).</w:t>
      </w:r>
    </w:p>
    <w:p w14:paraId="44EA5E58" w14:textId="2C5F67BD" w:rsidR="002D49B0" w:rsidRPr="00083739" w:rsidRDefault="00BF4125">
      <w:pPr>
        <w:spacing w:before="120" w:after="120" w:line="240" w:lineRule="auto"/>
        <w:jc w:val="both"/>
        <w:rPr>
          <w:rFonts w:ascii="Times New Roman" w:hAnsi="Times New Roman" w:cs="Times New Roman"/>
          <w:b/>
          <w:bCs/>
          <w:i/>
          <w:iCs/>
          <w:noProof/>
          <w:color w:val="4F81BD"/>
          <w:sz w:val="24"/>
          <w:lang w:val="sk-SK"/>
        </w:rPr>
      </w:pPr>
      <w:r w:rsidRPr="00083739">
        <w:rPr>
          <w:rFonts w:ascii="Times New Roman" w:hAnsi="Times New Roman" w:cs="Times New Roman"/>
          <w:b/>
          <w:noProof/>
          <w:sz w:val="24"/>
          <w:u w:val="single"/>
          <w:lang w:val="sk-SK"/>
        </w:rPr>
        <w:t xml:space="preserve">O.1. </w:t>
      </w:r>
      <w:r w:rsidRPr="00083739">
        <w:rPr>
          <w:rFonts w:ascii="Times New Roman" w:hAnsi="Times New Roman" w:cs="Times New Roman"/>
          <w:noProof/>
          <w:lang w:val="sk-SK"/>
        </w:rPr>
        <w:t xml:space="preserve"> </w:t>
      </w:r>
      <w:r w:rsidRPr="00083739">
        <w:rPr>
          <w:rFonts w:ascii="Times New Roman" w:hAnsi="Times New Roman" w:cs="Times New Roman"/>
          <w:b/>
          <w:noProof/>
          <w:sz w:val="24"/>
          <w:u w:val="single"/>
          <w:lang w:val="sk-SK"/>
        </w:rPr>
        <w:t>Opis refo</w:t>
      </w:r>
      <w:r w:rsidRPr="00083739">
        <w:rPr>
          <w:rFonts w:ascii="Times New Roman" w:hAnsi="Times New Roman" w:cs="Times New Roman"/>
          <w:b/>
          <w:noProof/>
          <w:sz w:val="24"/>
          <w:u w:val="single"/>
          <w:lang w:val="sk-SK"/>
        </w:rPr>
        <w:t>riem</w:t>
      </w:r>
      <w:r w:rsidR="00083739" w:rsidRPr="00083739">
        <w:rPr>
          <w:rFonts w:ascii="Times New Roman" w:hAnsi="Times New Roman" w:cs="Times New Roman"/>
          <w:b/>
          <w:noProof/>
          <w:sz w:val="24"/>
          <w:u w:val="single"/>
          <w:lang w:val="sk-SK"/>
        </w:rPr>
        <w:t xml:space="preserve"> a </w:t>
      </w:r>
      <w:r w:rsidRPr="00083739">
        <w:rPr>
          <w:rFonts w:ascii="Times New Roman" w:hAnsi="Times New Roman" w:cs="Times New Roman"/>
          <w:b/>
          <w:noProof/>
          <w:sz w:val="24"/>
          <w:u w:val="single"/>
          <w:lang w:val="sk-SK"/>
        </w:rPr>
        <w:t>investícií</w:t>
      </w:r>
      <w:r w:rsidR="00083739" w:rsidRPr="00083739">
        <w:rPr>
          <w:rFonts w:ascii="Times New Roman" w:hAnsi="Times New Roman" w:cs="Times New Roman"/>
          <w:b/>
          <w:noProof/>
          <w:sz w:val="24"/>
          <w:u w:val="single"/>
          <w:lang w:val="sk-SK"/>
        </w:rPr>
        <w:t xml:space="preserve"> v </w:t>
      </w:r>
      <w:r w:rsidRPr="00083739">
        <w:rPr>
          <w:rFonts w:ascii="Times New Roman" w:hAnsi="Times New Roman" w:cs="Times New Roman"/>
          <w:b/>
          <w:noProof/>
          <w:sz w:val="24"/>
          <w:u w:val="single"/>
          <w:lang w:val="sk-SK"/>
        </w:rPr>
        <w:t>rámci nenávratnej finančnej podpory</w:t>
      </w:r>
    </w:p>
    <w:p w14:paraId="6E323BB8" w14:textId="348FDB2C"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Reforma:</w:t>
      </w:r>
      <w:r w:rsidRPr="00083739">
        <w:rPr>
          <w:rFonts w:cs="Times New Roman"/>
          <w:noProof/>
          <w:lang w:val="sk-SK"/>
        </w:rPr>
        <w:t xml:space="preserve"> Posilnený dohľad nad kapitálovým trhom</w:t>
      </w:r>
      <w:r w:rsidR="00083739" w:rsidRPr="00083739">
        <w:rPr>
          <w:rFonts w:cs="Times New Roman"/>
          <w:noProof/>
          <w:lang w:val="sk-SK"/>
        </w:rPr>
        <w:t xml:space="preserve"> a </w:t>
      </w:r>
      <w:r w:rsidRPr="00083739">
        <w:rPr>
          <w:rFonts w:cs="Times New Roman"/>
          <w:noProof/>
          <w:lang w:val="sk-SK"/>
        </w:rPr>
        <w:t>dôveryhodnosť (opatrenie ID 16581)</w:t>
      </w:r>
    </w:p>
    <w:p w14:paraId="1829F550" w14:textId="430C5CCF"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 xml:space="preserve">Cieľom reformy je posilniť dohľad nad kapitálovými trhmi 1) investovaním do digitálnej transformácie digitálnych </w:t>
      </w:r>
      <w:r w:rsidRPr="00083739">
        <w:rPr>
          <w:rFonts w:cs="Times New Roman"/>
          <w:noProof/>
          <w:lang w:val="sk-SK"/>
        </w:rPr>
        <w:t>kapacít Helénskej komisie pre kapitálové trhy (HCMC)</w:t>
      </w:r>
      <w:r w:rsidR="00083739" w:rsidRPr="00083739">
        <w:rPr>
          <w:rFonts w:cs="Times New Roman"/>
          <w:noProof/>
          <w:lang w:val="sk-SK"/>
        </w:rPr>
        <w:t xml:space="preserve"> a </w:t>
      </w:r>
      <w:r w:rsidRPr="00083739">
        <w:rPr>
          <w:rFonts w:cs="Times New Roman"/>
          <w:noProof/>
          <w:lang w:val="sk-SK"/>
        </w:rPr>
        <w:t>digitalizáciou jej vnútorných procesov</w:t>
      </w:r>
      <w:r w:rsidR="00083739" w:rsidRPr="00083739">
        <w:rPr>
          <w:rFonts w:cs="Times New Roman"/>
          <w:noProof/>
          <w:lang w:val="sk-SK"/>
        </w:rPr>
        <w:t xml:space="preserve"> a </w:t>
      </w:r>
      <w:r w:rsidRPr="00083739">
        <w:rPr>
          <w:rFonts w:cs="Times New Roman"/>
          <w:noProof/>
          <w:lang w:val="sk-SK"/>
        </w:rPr>
        <w:t>organizácie</w:t>
      </w:r>
      <w:r w:rsidR="00083739" w:rsidRPr="00083739">
        <w:rPr>
          <w:rFonts w:cs="Times New Roman"/>
          <w:noProof/>
          <w:lang w:val="sk-SK"/>
        </w:rPr>
        <w:t xml:space="preserve"> a </w:t>
      </w:r>
      <w:r w:rsidRPr="00083739">
        <w:rPr>
          <w:rFonts w:cs="Times New Roman"/>
          <w:noProof/>
          <w:lang w:val="sk-SK"/>
        </w:rPr>
        <w:t>2) kodifikáciou regulačného</w:t>
      </w:r>
      <w:r w:rsidR="00083739" w:rsidRPr="00083739">
        <w:rPr>
          <w:rFonts w:cs="Times New Roman"/>
          <w:noProof/>
          <w:lang w:val="sk-SK"/>
        </w:rPr>
        <w:t xml:space="preserve"> a </w:t>
      </w:r>
      <w:r w:rsidRPr="00083739">
        <w:rPr>
          <w:rFonts w:cs="Times New Roman"/>
          <w:noProof/>
          <w:lang w:val="sk-SK"/>
        </w:rPr>
        <w:t>legislatívneho rámca pre kapitálové trhy</w:t>
      </w:r>
      <w:r w:rsidR="00083739" w:rsidRPr="00083739">
        <w:rPr>
          <w:rFonts w:cs="Times New Roman"/>
          <w:noProof/>
          <w:lang w:val="sk-SK"/>
        </w:rPr>
        <w:t xml:space="preserve"> s </w:t>
      </w:r>
      <w:r w:rsidRPr="00083739">
        <w:rPr>
          <w:rFonts w:cs="Times New Roman"/>
          <w:noProof/>
          <w:lang w:val="sk-SK"/>
        </w:rPr>
        <w:t>cieľom posilniť kapacitu kapitálového trhu</w:t>
      </w:r>
      <w:r w:rsidR="00083739" w:rsidRPr="00083739">
        <w:rPr>
          <w:rFonts w:cs="Times New Roman"/>
          <w:noProof/>
          <w:lang w:val="sk-SK"/>
        </w:rPr>
        <w:t xml:space="preserve"> v </w:t>
      </w:r>
      <w:r w:rsidRPr="00083739">
        <w:rPr>
          <w:rFonts w:cs="Times New Roman"/>
          <w:noProof/>
          <w:lang w:val="sk-SK"/>
        </w:rPr>
        <w:t>oblasti dohľadu. Reforma nad</w:t>
      </w:r>
      <w:r w:rsidRPr="00083739">
        <w:rPr>
          <w:rFonts w:cs="Times New Roman"/>
          <w:noProof/>
          <w:lang w:val="sk-SK"/>
        </w:rPr>
        <w:t>obudne účinnosť do 1. štvrťroka 2021</w:t>
      </w:r>
      <w:r w:rsidR="00083739" w:rsidRPr="00083739">
        <w:rPr>
          <w:rFonts w:cs="Times New Roman"/>
          <w:noProof/>
          <w:lang w:val="sk-SK"/>
        </w:rPr>
        <w:t xml:space="preserve"> a </w:t>
      </w:r>
      <w:r w:rsidRPr="00083739">
        <w:rPr>
          <w:rFonts w:cs="Times New Roman"/>
          <w:noProof/>
          <w:lang w:val="sk-SK"/>
        </w:rPr>
        <w:t>investície do informačného systému do 31</w:t>
      </w:r>
      <w:r w:rsidR="00083739" w:rsidRPr="00083739">
        <w:rPr>
          <w:rFonts w:cs="Times New Roman"/>
          <w:noProof/>
          <w:lang w:val="sk-SK"/>
        </w:rPr>
        <w:t>. decembra</w:t>
      </w:r>
      <w:r w:rsidRPr="00083739">
        <w:rPr>
          <w:rFonts w:cs="Times New Roman"/>
          <w:noProof/>
          <w:lang w:val="sk-SK"/>
        </w:rPr>
        <w:t xml:space="preserve"> 2025.</w:t>
      </w:r>
    </w:p>
    <w:p w14:paraId="1CB4AE18" w14:textId="7F3A0304"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Reforma:</w:t>
      </w:r>
      <w:r w:rsidRPr="00083739">
        <w:rPr>
          <w:rFonts w:cs="Times New Roman"/>
          <w:noProof/>
          <w:lang w:val="sk-SK"/>
        </w:rPr>
        <w:t xml:space="preserve"> Posilnenie schopnosti finančného systému prekonať historické výzvy</w:t>
      </w:r>
      <w:r w:rsidR="00083739" w:rsidRPr="00083739">
        <w:rPr>
          <w:rFonts w:cs="Times New Roman"/>
          <w:noProof/>
          <w:lang w:val="sk-SK"/>
        </w:rPr>
        <w:t xml:space="preserve"> a </w:t>
      </w:r>
      <w:r w:rsidRPr="00083739">
        <w:rPr>
          <w:rFonts w:cs="Times New Roman"/>
          <w:noProof/>
          <w:lang w:val="sk-SK"/>
        </w:rPr>
        <w:t>financovať reálnu ekonomiku (opatrenie ID 16957)</w:t>
      </w:r>
    </w:p>
    <w:p w14:paraId="3C935C74" w14:textId="67738717" w:rsidR="00083739"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Cieľom tejto komplexnej reformy j</w:t>
      </w:r>
      <w:r w:rsidRPr="00083739">
        <w:rPr>
          <w:rFonts w:cs="Times New Roman"/>
          <w:noProof/>
          <w:lang w:val="sk-SK"/>
        </w:rPr>
        <w:t>e znížiť objem súkromného dlhu zlepšením procesu platobnej neschopnosti</w:t>
      </w:r>
      <w:r w:rsidR="00083739" w:rsidRPr="00083739">
        <w:rPr>
          <w:rFonts w:cs="Times New Roman"/>
          <w:noProof/>
          <w:lang w:val="sk-SK"/>
        </w:rPr>
        <w:t xml:space="preserve"> a </w:t>
      </w:r>
      <w:r w:rsidRPr="00083739">
        <w:rPr>
          <w:rFonts w:cs="Times New Roman"/>
          <w:noProof/>
          <w:lang w:val="sk-SK"/>
        </w:rPr>
        <w:t>posilnením postavenia trhu</w:t>
      </w:r>
      <w:r w:rsidR="00083739" w:rsidRPr="00083739">
        <w:rPr>
          <w:rFonts w:cs="Times New Roman"/>
          <w:noProof/>
          <w:lang w:val="sk-SK"/>
        </w:rPr>
        <w:t xml:space="preserve"> s </w:t>
      </w:r>
      <w:r w:rsidRPr="00083739">
        <w:rPr>
          <w:rFonts w:cs="Times New Roman"/>
          <w:noProof/>
          <w:lang w:val="sk-SK"/>
        </w:rPr>
        <w:t>nesplácanými úvermi, ako aj zabrániť budúcemu hromadeniu súkromného dlhu prostredníctvom odstránenia medzier</w:t>
      </w:r>
      <w:r w:rsidR="00083739" w:rsidRPr="00083739">
        <w:rPr>
          <w:rFonts w:cs="Times New Roman"/>
          <w:noProof/>
          <w:lang w:val="sk-SK"/>
        </w:rPr>
        <w:t xml:space="preserve"> v </w:t>
      </w:r>
      <w:r w:rsidRPr="00083739">
        <w:rPr>
          <w:rFonts w:cs="Times New Roman"/>
          <w:noProof/>
          <w:lang w:val="sk-SK"/>
        </w:rPr>
        <w:t>informáciách.  Reforma pozostáva</w:t>
      </w:r>
      <w:r w:rsidR="00083739" w:rsidRPr="00083739">
        <w:rPr>
          <w:rFonts w:cs="Times New Roman"/>
          <w:noProof/>
          <w:lang w:val="sk-SK"/>
        </w:rPr>
        <w:t xml:space="preserve"> z </w:t>
      </w:r>
      <w:r w:rsidRPr="00083739">
        <w:rPr>
          <w:rFonts w:cs="Times New Roman"/>
          <w:noProof/>
          <w:lang w:val="sk-SK"/>
        </w:rPr>
        <w:t xml:space="preserve">týchto </w:t>
      </w:r>
      <w:r w:rsidRPr="00083739">
        <w:rPr>
          <w:rFonts w:cs="Times New Roman"/>
          <w:noProof/>
          <w:lang w:val="sk-SK"/>
        </w:rPr>
        <w:t>častí</w:t>
      </w:r>
      <w:r w:rsidR="00083739" w:rsidRPr="00083739">
        <w:rPr>
          <w:rFonts w:cs="Times New Roman"/>
          <w:noProof/>
          <w:lang w:val="sk-SK"/>
        </w:rPr>
        <w:t>.</w:t>
      </w:r>
    </w:p>
    <w:p w14:paraId="713D01FE" w14:textId="1AC45286" w:rsidR="00083739" w:rsidRPr="00083739" w:rsidRDefault="00BF4125">
      <w:pPr>
        <w:pStyle w:val="P68B1DB1-ListParagraph39"/>
        <w:numPr>
          <w:ilvl w:val="0"/>
          <w:numId w:val="84"/>
        </w:numPr>
        <w:spacing w:before="120" w:after="240" w:line="240" w:lineRule="auto"/>
        <w:ind w:left="357" w:hanging="357"/>
        <w:contextualSpacing w:val="0"/>
        <w:jc w:val="both"/>
        <w:rPr>
          <w:rFonts w:cs="Times New Roman"/>
          <w:noProof/>
          <w:sz w:val="24"/>
          <w:lang w:val="sk-SK"/>
        </w:rPr>
      </w:pPr>
      <w:r w:rsidRPr="00083739">
        <w:rPr>
          <w:rFonts w:cs="Times New Roman"/>
          <w:noProof/>
          <w:sz w:val="24"/>
          <w:lang w:val="sk-SK"/>
        </w:rPr>
        <w:t>Po prvé, týka sa zlepšenia</w:t>
      </w:r>
      <w:r w:rsidRPr="00083739">
        <w:rPr>
          <w:rFonts w:cs="Times New Roman"/>
          <w:b/>
          <w:noProof/>
          <w:color w:val="000000" w:themeColor="text1"/>
          <w:sz w:val="24"/>
          <w:lang w:val="sk-SK"/>
        </w:rPr>
        <w:t xml:space="preserve"> procesu elektronickej aukcie</w:t>
      </w:r>
      <w:r w:rsidR="00083739" w:rsidRPr="00083739">
        <w:rPr>
          <w:rFonts w:cs="Times New Roman"/>
          <w:b/>
          <w:noProof/>
          <w:color w:val="000000" w:themeColor="text1"/>
          <w:sz w:val="24"/>
          <w:lang w:val="sk-SK"/>
        </w:rPr>
        <w:t xml:space="preserve"> a </w:t>
      </w:r>
      <w:r w:rsidRPr="00083739">
        <w:rPr>
          <w:rFonts w:cs="Times New Roman"/>
          <w:noProof/>
          <w:sz w:val="24"/>
          <w:lang w:val="sk-SK"/>
        </w:rPr>
        <w:t>rozšírenia dostupných informácií</w:t>
      </w:r>
      <w:r w:rsidR="00083739" w:rsidRPr="00083739">
        <w:rPr>
          <w:rFonts w:cs="Times New Roman"/>
          <w:noProof/>
          <w:sz w:val="24"/>
          <w:lang w:val="sk-SK"/>
        </w:rPr>
        <w:t xml:space="preserve"> o </w:t>
      </w:r>
      <w:r w:rsidRPr="00083739">
        <w:rPr>
          <w:rFonts w:cs="Times New Roman"/>
          <w:noProof/>
          <w:sz w:val="24"/>
          <w:lang w:val="sk-SK"/>
        </w:rPr>
        <w:t>dražených aktívach na platforme elektronických aukcií</w:t>
      </w:r>
      <w:r w:rsidR="00083739" w:rsidRPr="00083739">
        <w:rPr>
          <w:rFonts w:cs="Times New Roman"/>
          <w:noProof/>
          <w:sz w:val="24"/>
          <w:lang w:val="sk-SK"/>
        </w:rPr>
        <w:t>.</w:t>
      </w:r>
    </w:p>
    <w:p w14:paraId="457019F8" w14:textId="49048E2C" w:rsidR="002D49B0" w:rsidRPr="00083739" w:rsidRDefault="00BF4125">
      <w:pPr>
        <w:pStyle w:val="P68B1DB1-ListParagraph19"/>
        <w:numPr>
          <w:ilvl w:val="0"/>
          <w:numId w:val="84"/>
        </w:numPr>
        <w:spacing w:before="120" w:line="240" w:lineRule="auto"/>
        <w:ind w:left="357" w:hanging="357"/>
        <w:contextualSpacing w:val="0"/>
        <w:jc w:val="both"/>
        <w:rPr>
          <w:rFonts w:cs="Times New Roman"/>
          <w:noProof/>
          <w:lang w:val="sk-SK"/>
        </w:rPr>
      </w:pPr>
      <w:r w:rsidRPr="00083739">
        <w:rPr>
          <w:rFonts w:cs="Times New Roman"/>
          <w:noProof/>
          <w:lang w:val="sk-SK"/>
        </w:rPr>
        <w:t>Po druhé, týka sa dokončenia politických opatrení plánovaných</w:t>
      </w:r>
      <w:r w:rsidR="00083739" w:rsidRPr="00083739">
        <w:rPr>
          <w:rFonts w:cs="Times New Roman"/>
          <w:noProof/>
          <w:lang w:val="sk-SK"/>
        </w:rPr>
        <w:t xml:space="preserve"> v </w:t>
      </w:r>
      <w:r w:rsidRPr="00083739">
        <w:rPr>
          <w:rFonts w:cs="Times New Roman"/>
          <w:b/>
          <w:noProof/>
          <w:lang w:val="sk-SK"/>
        </w:rPr>
        <w:t xml:space="preserve">národnej stratégii pre riadenie </w:t>
      </w:r>
      <w:r w:rsidRPr="00083739">
        <w:rPr>
          <w:rFonts w:cs="Times New Roman"/>
          <w:b/>
          <w:noProof/>
          <w:lang w:val="sk-SK"/>
        </w:rPr>
        <w:t>súkromného</w:t>
      </w:r>
      <w:r w:rsidRPr="00083739">
        <w:rPr>
          <w:rFonts w:cs="Times New Roman"/>
          <w:noProof/>
          <w:lang w:val="sk-SK"/>
        </w:rPr>
        <w:t xml:space="preserve"> dlhu, najmä prostredníctvom:</w:t>
      </w:r>
    </w:p>
    <w:p w14:paraId="3F395AE6" w14:textId="257488C8" w:rsidR="00083739" w:rsidRPr="00083739" w:rsidRDefault="00BF4125">
      <w:pPr>
        <w:pStyle w:val="P68B1DB1-ListParagraph40"/>
        <w:numPr>
          <w:ilvl w:val="1"/>
          <w:numId w:val="84"/>
        </w:numPr>
        <w:spacing w:before="120" w:line="240" w:lineRule="auto"/>
        <w:jc w:val="both"/>
        <w:rPr>
          <w:rFonts w:cs="Times New Roman"/>
          <w:noProof/>
          <w:lang w:val="sk-SK"/>
        </w:rPr>
      </w:pPr>
      <w:r w:rsidRPr="00083739">
        <w:rPr>
          <w:rFonts w:cs="Times New Roman"/>
          <w:noProof/>
          <w:lang w:val="sk-SK"/>
        </w:rPr>
        <w:t>Zriadenie verejného informačného systému úverového ratingu</w:t>
      </w:r>
      <w:r w:rsidR="00083739" w:rsidRPr="00083739">
        <w:rPr>
          <w:rFonts w:cs="Times New Roman"/>
          <w:noProof/>
          <w:lang w:val="sk-SK"/>
        </w:rPr>
        <w:t xml:space="preserve"> s </w:t>
      </w:r>
      <w:r w:rsidRPr="00083739">
        <w:rPr>
          <w:rFonts w:cs="Times New Roman"/>
          <w:noProof/>
          <w:lang w:val="sk-SK"/>
        </w:rPr>
        <w:t>cieľom odstrániť informačnú asymetriu medzi subjektmi verejného sektora</w:t>
      </w:r>
      <w:r w:rsidR="00083739" w:rsidRPr="00083739">
        <w:rPr>
          <w:rFonts w:cs="Times New Roman"/>
          <w:noProof/>
          <w:lang w:val="sk-SK"/>
        </w:rPr>
        <w:t xml:space="preserve"> a </w:t>
      </w:r>
      <w:r w:rsidRPr="00083739">
        <w:rPr>
          <w:rFonts w:cs="Times New Roman"/>
          <w:noProof/>
          <w:lang w:val="sk-SK"/>
        </w:rPr>
        <w:t>bankami na základe údajov</w:t>
      </w:r>
      <w:r w:rsidR="00083739" w:rsidRPr="00083739">
        <w:rPr>
          <w:rFonts w:cs="Times New Roman"/>
          <w:noProof/>
          <w:lang w:val="sk-SK"/>
        </w:rPr>
        <w:t xml:space="preserve"> a </w:t>
      </w:r>
      <w:r w:rsidRPr="00083739">
        <w:rPr>
          <w:rFonts w:cs="Times New Roman"/>
          <w:noProof/>
          <w:lang w:val="sk-SK"/>
        </w:rPr>
        <w:t>informácií verejného sektora</w:t>
      </w:r>
      <w:r w:rsidR="00083739" w:rsidRPr="00083739">
        <w:rPr>
          <w:rFonts w:cs="Times New Roman"/>
          <w:noProof/>
          <w:lang w:val="sk-SK"/>
        </w:rPr>
        <w:t>.</w:t>
      </w:r>
    </w:p>
    <w:p w14:paraId="5671A411" w14:textId="3B2329F1" w:rsidR="002D49B0" w:rsidRPr="00083739" w:rsidRDefault="00BF4125">
      <w:pPr>
        <w:pStyle w:val="P68B1DB1-ListParagraph19"/>
        <w:numPr>
          <w:ilvl w:val="1"/>
          <w:numId w:val="84"/>
        </w:numPr>
        <w:spacing w:before="120" w:after="240" w:line="240" w:lineRule="auto"/>
        <w:contextualSpacing w:val="0"/>
        <w:jc w:val="both"/>
        <w:rPr>
          <w:rFonts w:cs="Times New Roman"/>
          <w:noProof/>
          <w:lang w:val="sk-SK"/>
        </w:rPr>
      </w:pPr>
      <w:r w:rsidRPr="00083739">
        <w:rPr>
          <w:rFonts w:cs="Times New Roman"/>
          <w:noProof/>
          <w:lang w:val="sk-SK"/>
        </w:rPr>
        <w:t xml:space="preserve">Spustenie informačného </w:t>
      </w:r>
      <w:r w:rsidRPr="00083739">
        <w:rPr>
          <w:rFonts w:cs="Times New Roman"/>
          <w:noProof/>
          <w:lang w:val="sk-SK"/>
        </w:rPr>
        <w:t xml:space="preserve">systému </w:t>
      </w:r>
      <w:r w:rsidRPr="00083739">
        <w:rPr>
          <w:rFonts w:cs="Times New Roman"/>
          <w:b/>
          <w:noProof/>
          <w:lang w:val="sk-SK"/>
        </w:rPr>
        <w:t>registra monitorovania  súkromného dlhu</w:t>
      </w:r>
      <w:r w:rsidRPr="00083739">
        <w:rPr>
          <w:rFonts w:cs="Times New Roman"/>
          <w:noProof/>
          <w:lang w:val="sk-SK"/>
        </w:rPr>
        <w:t>, ktorý zhromažďuje údaje od verejných</w:t>
      </w:r>
      <w:r w:rsidR="00083739" w:rsidRPr="00083739">
        <w:rPr>
          <w:rFonts w:cs="Times New Roman"/>
          <w:noProof/>
          <w:lang w:val="sk-SK"/>
        </w:rPr>
        <w:t xml:space="preserve"> a </w:t>
      </w:r>
      <w:r w:rsidRPr="00083739">
        <w:rPr>
          <w:rFonts w:cs="Times New Roman"/>
          <w:noProof/>
          <w:lang w:val="sk-SK"/>
        </w:rPr>
        <w:t>súkromných veriteľov, ako aj</w:t>
      </w:r>
      <w:r w:rsidR="00083739" w:rsidRPr="00083739">
        <w:rPr>
          <w:rFonts w:cs="Times New Roman"/>
          <w:noProof/>
          <w:lang w:val="sk-SK"/>
        </w:rPr>
        <w:t xml:space="preserve"> z </w:t>
      </w:r>
      <w:r w:rsidRPr="00083739">
        <w:rPr>
          <w:rFonts w:cs="Times New Roman"/>
          <w:noProof/>
          <w:lang w:val="sk-SK"/>
        </w:rPr>
        <w:t>iných relevantných zdrojov.</w:t>
      </w:r>
    </w:p>
    <w:p w14:paraId="60AFF79E" w14:textId="3B89AFD7" w:rsidR="002D49B0" w:rsidRPr="00083739" w:rsidRDefault="00BF4125">
      <w:pPr>
        <w:pStyle w:val="P68B1DB1-ListParagraph40"/>
        <w:numPr>
          <w:ilvl w:val="1"/>
          <w:numId w:val="84"/>
        </w:numPr>
        <w:spacing w:before="120" w:after="240" w:line="240" w:lineRule="auto"/>
        <w:jc w:val="both"/>
        <w:rPr>
          <w:rFonts w:cs="Times New Roman"/>
          <w:noProof/>
          <w:lang w:val="sk-SK"/>
        </w:rPr>
      </w:pPr>
      <w:r w:rsidRPr="00083739">
        <w:rPr>
          <w:rFonts w:cs="Times New Roman"/>
          <w:noProof/>
          <w:lang w:val="sk-SK"/>
        </w:rPr>
        <w:t>Podpora prehlbovania sekundárneho trhu</w:t>
      </w:r>
      <w:r w:rsidR="00083739" w:rsidRPr="00083739">
        <w:rPr>
          <w:rFonts w:cs="Times New Roman"/>
          <w:noProof/>
          <w:lang w:val="sk-SK"/>
        </w:rPr>
        <w:t xml:space="preserve"> s </w:t>
      </w:r>
      <w:r w:rsidRPr="00083739">
        <w:rPr>
          <w:rFonts w:cs="Times New Roman"/>
          <w:noProof/>
          <w:lang w:val="sk-SK"/>
        </w:rPr>
        <w:t xml:space="preserve">nesplácanými úvermi prostredníctvom zavedenia spoločnej transakčnej </w:t>
      </w:r>
      <w:r w:rsidRPr="00083739">
        <w:rPr>
          <w:rFonts w:cs="Times New Roman"/>
          <w:noProof/>
          <w:lang w:val="sk-SK"/>
        </w:rPr>
        <w:t>platformy pre nesplácané úvery</w:t>
      </w:r>
      <w:r w:rsidR="00083739" w:rsidRPr="00083739">
        <w:rPr>
          <w:rFonts w:cs="Times New Roman"/>
          <w:noProof/>
          <w:lang w:val="sk-SK"/>
        </w:rPr>
        <w:t xml:space="preserve"> a </w:t>
      </w:r>
      <w:r w:rsidRPr="00083739">
        <w:rPr>
          <w:rFonts w:cs="Times New Roman"/>
          <w:noProof/>
          <w:lang w:val="sk-SK"/>
        </w:rPr>
        <w:t>vytvorenia spoločných vzorov údajov.</w:t>
      </w:r>
    </w:p>
    <w:p w14:paraId="24449A6C" w14:textId="6BAF15B7" w:rsidR="00083739" w:rsidRPr="00083739" w:rsidRDefault="00BF4125">
      <w:pPr>
        <w:pStyle w:val="ListParagraph"/>
        <w:numPr>
          <w:ilvl w:val="0"/>
          <w:numId w:val="84"/>
        </w:numPr>
        <w:spacing w:before="120" w:after="120" w:line="240" w:lineRule="auto"/>
        <w:jc w:val="both"/>
        <w:rPr>
          <w:rFonts w:ascii="Times New Roman" w:hAnsi="Times New Roman" w:cs="Times New Roman"/>
          <w:noProof/>
          <w:sz w:val="24"/>
          <w:szCs w:val="24"/>
          <w:lang w:val="sk-SK"/>
        </w:rPr>
      </w:pPr>
      <w:r w:rsidRPr="00083739">
        <w:rPr>
          <w:rFonts w:ascii="Times New Roman" w:hAnsi="Times New Roman" w:cs="Times New Roman"/>
          <w:noProof/>
          <w:sz w:val="24"/>
          <w:szCs w:val="24"/>
          <w:lang w:val="sk-SK"/>
        </w:rPr>
        <w:t>Tretia čiastková reforma sa týka zriadenia</w:t>
      </w:r>
      <w:r w:rsidRPr="00083739">
        <w:rPr>
          <w:rFonts w:ascii="Times New Roman" w:hAnsi="Times New Roman" w:cs="Times New Roman"/>
          <w:b/>
          <w:noProof/>
          <w:sz w:val="24"/>
          <w:szCs w:val="24"/>
          <w:lang w:val="sk-SK"/>
        </w:rPr>
        <w:t xml:space="preserve"> centrálneho úverového registra (CCR)</w:t>
      </w:r>
      <w:r w:rsidRPr="00083739">
        <w:rPr>
          <w:rFonts w:ascii="Times New Roman" w:hAnsi="Times New Roman" w:cs="Times New Roman"/>
          <w:noProof/>
          <w:sz w:val="24"/>
          <w:szCs w:val="24"/>
          <w:lang w:val="sk-SK"/>
        </w:rPr>
        <w:t>,</w:t>
      </w:r>
      <w:r w:rsidRPr="00083739">
        <w:rPr>
          <w:rFonts w:ascii="Times New Roman" w:hAnsi="Times New Roman" w:cs="Times New Roman"/>
          <w:noProof/>
          <w:color w:val="000000"/>
          <w:sz w:val="24"/>
          <w:szCs w:val="24"/>
          <w:lang w:val="sk-SK"/>
        </w:rPr>
        <w:t>ktorý by dopĺňal systém ochrany aktív Hercules, čím by sa posilnil sekundárny trh</w:t>
      </w:r>
      <w:r w:rsidR="00083739" w:rsidRPr="00083739">
        <w:rPr>
          <w:rFonts w:ascii="Times New Roman" w:hAnsi="Times New Roman" w:cs="Times New Roman"/>
          <w:noProof/>
          <w:color w:val="000000"/>
          <w:sz w:val="24"/>
          <w:szCs w:val="24"/>
          <w:lang w:val="sk-SK"/>
        </w:rPr>
        <w:t xml:space="preserve"> s </w:t>
      </w:r>
      <w:r w:rsidRPr="00083739">
        <w:rPr>
          <w:rFonts w:ascii="Times New Roman" w:hAnsi="Times New Roman" w:cs="Times New Roman"/>
          <w:noProof/>
          <w:color w:val="000000"/>
          <w:sz w:val="24"/>
          <w:szCs w:val="24"/>
          <w:lang w:val="sk-SK"/>
        </w:rPr>
        <w:t xml:space="preserve">nesplácanými úvermi. </w:t>
      </w:r>
      <w:r w:rsidRPr="00083739">
        <w:rPr>
          <w:rFonts w:ascii="Times New Roman" w:hAnsi="Times New Roman" w:cs="Times New Roman"/>
          <w:noProof/>
          <w:color w:val="000000"/>
          <w:sz w:val="24"/>
          <w:szCs w:val="24"/>
          <w:lang w:val="sk-SK"/>
        </w:rPr>
        <w:t>CCR hosťuje Bank of Greece</w:t>
      </w:r>
      <w:r w:rsidR="00083739" w:rsidRPr="00083739">
        <w:rPr>
          <w:rFonts w:ascii="Times New Roman" w:hAnsi="Times New Roman" w:cs="Times New Roman"/>
          <w:noProof/>
          <w:color w:val="000000"/>
          <w:sz w:val="24"/>
          <w:szCs w:val="24"/>
          <w:lang w:val="sk-SK"/>
        </w:rPr>
        <w:t xml:space="preserve"> a </w:t>
      </w:r>
      <w:r w:rsidRPr="00083739">
        <w:rPr>
          <w:rFonts w:ascii="Times New Roman" w:hAnsi="Times New Roman" w:cs="Times New Roman"/>
          <w:noProof/>
          <w:color w:val="000000"/>
          <w:sz w:val="24"/>
          <w:szCs w:val="24"/>
          <w:lang w:val="sk-SK"/>
        </w:rPr>
        <w:t>zaznamenáva históriu platieb každého úveru klientov</w:t>
      </w:r>
      <w:r w:rsidR="00083739" w:rsidRPr="00083739">
        <w:rPr>
          <w:rFonts w:ascii="Times New Roman" w:hAnsi="Times New Roman" w:cs="Times New Roman"/>
          <w:noProof/>
          <w:color w:val="000000"/>
          <w:sz w:val="24"/>
          <w:szCs w:val="24"/>
          <w:lang w:val="sk-SK"/>
        </w:rPr>
        <w:t xml:space="preserve"> a </w:t>
      </w:r>
      <w:r w:rsidRPr="00083739">
        <w:rPr>
          <w:rFonts w:ascii="Times New Roman" w:hAnsi="Times New Roman" w:cs="Times New Roman"/>
          <w:noProof/>
          <w:color w:val="000000"/>
          <w:sz w:val="24"/>
          <w:szCs w:val="24"/>
          <w:lang w:val="sk-SK"/>
        </w:rPr>
        <w:t>druhy poskytnutého kolaterálu. CCR prostredníctvom zberu príslušných údajov prispieva aj</w:t>
      </w:r>
      <w:r w:rsidR="00083739" w:rsidRPr="00083739">
        <w:rPr>
          <w:rFonts w:ascii="Times New Roman" w:hAnsi="Times New Roman" w:cs="Times New Roman"/>
          <w:noProof/>
          <w:color w:val="000000"/>
          <w:sz w:val="24"/>
          <w:szCs w:val="24"/>
          <w:lang w:val="sk-SK"/>
        </w:rPr>
        <w:t xml:space="preserve"> k </w:t>
      </w:r>
      <w:r w:rsidRPr="00083739">
        <w:rPr>
          <w:rFonts w:ascii="Times New Roman" w:hAnsi="Times New Roman" w:cs="Times New Roman"/>
          <w:noProof/>
          <w:color w:val="000000"/>
          <w:sz w:val="24"/>
          <w:szCs w:val="24"/>
          <w:lang w:val="sk-SK"/>
        </w:rPr>
        <w:t>prevádzke</w:t>
      </w:r>
      <w:r w:rsidR="00083739" w:rsidRPr="00083739">
        <w:rPr>
          <w:rFonts w:ascii="Times New Roman" w:hAnsi="Times New Roman" w:cs="Times New Roman"/>
          <w:noProof/>
          <w:color w:val="000000"/>
          <w:sz w:val="24"/>
          <w:szCs w:val="24"/>
          <w:lang w:val="sk-SK"/>
        </w:rPr>
        <w:t xml:space="preserve"> a </w:t>
      </w:r>
      <w:r w:rsidRPr="00083739">
        <w:rPr>
          <w:rFonts w:ascii="Times New Roman" w:hAnsi="Times New Roman" w:cs="Times New Roman"/>
          <w:noProof/>
          <w:color w:val="000000"/>
          <w:sz w:val="24"/>
          <w:szCs w:val="24"/>
          <w:lang w:val="sk-SK"/>
        </w:rPr>
        <w:t>funkciám strediska pre monitorovanie rozšírenia úverov na monitorovani</w:t>
      </w:r>
      <w:r w:rsidRPr="00083739">
        <w:rPr>
          <w:rFonts w:ascii="Times New Roman" w:hAnsi="Times New Roman" w:cs="Times New Roman"/>
          <w:noProof/>
          <w:color w:val="000000"/>
          <w:sz w:val="24"/>
          <w:szCs w:val="24"/>
          <w:lang w:val="sk-SK"/>
        </w:rPr>
        <w:t xml:space="preserve">e vývoja rozširovania úverov. </w:t>
      </w:r>
      <w:r w:rsidRPr="00083739">
        <w:rPr>
          <w:rFonts w:ascii="Times New Roman" w:hAnsi="Times New Roman" w:cs="Times New Roman"/>
          <w:noProof/>
          <w:sz w:val="24"/>
          <w:szCs w:val="24"/>
          <w:lang w:val="sk-SK"/>
        </w:rPr>
        <w:t>CCR umožňuje prístup</w:t>
      </w:r>
      <w:r w:rsidR="00083739" w:rsidRPr="00083739">
        <w:rPr>
          <w:rFonts w:ascii="Times New Roman" w:hAnsi="Times New Roman" w:cs="Times New Roman"/>
          <w:noProof/>
          <w:sz w:val="24"/>
          <w:szCs w:val="24"/>
          <w:lang w:val="sk-SK"/>
        </w:rPr>
        <w:t xml:space="preserve"> k </w:t>
      </w:r>
      <w:r w:rsidRPr="00083739">
        <w:rPr>
          <w:rFonts w:ascii="Times New Roman" w:hAnsi="Times New Roman" w:cs="Times New Roman"/>
          <w:noProof/>
          <w:sz w:val="24"/>
          <w:szCs w:val="24"/>
          <w:lang w:val="sk-SK"/>
        </w:rPr>
        <w:t>úverovým informáciám, rieši zlyhania trhu</w:t>
      </w:r>
      <w:r w:rsidR="00083739" w:rsidRPr="00083739">
        <w:rPr>
          <w:rFonts w:ascii="Times New Roman" w:hAnsi="Times New Roman" w:cs="Times New Roman"/>
          <w:noProof/>
          <w:sz w:val="24"/>
          <w:szCs w:val="24"/>
          <w:lang w:val="sk-SK"/>
        </w:rPr>
        <w:t xml:space="preserve"> v </w:t>
      </w:r>
      <w:r w:rsidRPr="00083739">
        <w:rPr>
          <w:rFonts w:ascii="Times New Roman" w:hAnsi="Times New Roman" w:cs="Times New Roman"/>
          <w:noProof/>
          <w:sz w:val="24"/>
          <w:szCs w:val="24"/>
          <w:lang w:val="sk-SK"/>
        </w:rPr>
        <w:t>dôsledku asymetrických informácií,</w:t>
      </w:r>
      <w:r w:rsidR="00083739" w:rsidRPr="00083739">
        <w:rPr>
          <w:rFonts w:ascii="Times New Roman" w:hAnsi="Times New Roman" w:cs="Times New Roman"/>
          <w:noProof/>
          <w:sz w:val="24"/>
          <w:szCs w:val="24"/>
          <w:lang w:val="sk-SK"/>
        </w:rPr>
        <w:t xml:space="preserve"> a </w:t>
      </w:r>
      <w:r w:rsidRPr="00083739">
        <w:rPr>
          <w:rFonts w:ascii="Times New Roman" w:hAnsi="Times New Roman" w:cs="Times New Roman"/>
          <w:noProof/>
          <w:sz w:val="24"/>
          <w:szCs w:val="24"/>
          <w:lang w:val="sk-SK"/>
        </w:rPr>
        <w:t>tým uľahčuje prístup</w:t>
      </w:r>
      <w:r w:rsidR="00083739" w:rsidRPr="00083739">
        <w:rPr>
          <w:rFonts w:ascii="Times New Roman" w:hAnsi="Times New Roman" w:cs="Times New Roman"/>
          <w:noProof/>
          <w:sz w:val="24"/>
          <w:szCs w:val="24"/>
          <w:lang w:val="sk-SK"/>
        </w:rPr>
        <w:t xml:space="preserve"> k </w:t>
      </w:r>
      <w:r w:rsidRPr="00083739">
        <w:rPr>
          <w:rFonts w:ascii="Times New Roman" w:hAnsi="Times New Roman" w:cs="Times New Roman"/>
          <w:noProof/>
          <w:sz w:val="24"/>
          <w:szCs w:val="24"/>
          <w:lang w:val="sk-SK"/>
        </w:rPr>
        <w:t>úverom</w:t>
      </w:r>
      <w:r w:rsidR="00083739" w:rsidRPr="00083739">
        <w:rPr>
          <w:rFonts w:ascii="Times New Roman" w:hAnsi="Times New Roman" w:cs="Times New Roman"/>
          <w:noProof/>
          <w:sz w:val="24"/>
          <w:szCs w:val="24"/>
          <w:lang w:val="sk-SK"/>
        </w:rPr>
        <w:t>.</w:t>
      </w:r>
    </w:p>
    <w:p w14:paraId="5ABE4403" w14:textId="14908B87" w:rsidR="002D49B0" w:rsidRPr="00083739" w:rsidRDefault="00BF4125">
      <w:pPr>
        <w:pStyle w:val="P68B1DB1-ListParagraph41"/>
        <w:numPr>
          <w:ilvl w:val="0"/>
          <w:numId w:val="84"/>
        </w:numPr>
        <w:spacing w:before="120" w:after="120" w:line="240" w:lineRule="auto"/>
        <w:jc w:val="both"/>
        <w:rPr>
          <w:rFonts w:cs="Times New Roman"/>
          <w:noProof/>
          <w:lang w:val="sk-SK"/>
        </w:rPr>
      </w:pPr>
      <w:r w:rsidRPr="00083739">
        <w:rPr>
          <w:rFonts w:cs="Times New Roman"/>
          <w:noProof/>
          <w:lang w:val="sk-SK"/>
        </w:rPr>
        <w:t>Cieľom reformy je aj urýchlenie vybavovania námietok proti exekučnému konaniu</w:t>
      </w:r>
      <w:r w:rsidR="00083739" w:rsidRPr="00083739">
        <w:rPr>
          <w:rFonts w:cs="Times New Roman"/>
          <w:noProof/>
          <w:lang w:val="sk-SK"/>
        </w:rPr>
        <w:t xml:space="preserve"> a </w:t>
      </w:r>
      <w:r w:rsidRPr="00083739">
        <w:rPr>
          <w:rFonts w:cs="Times New Roman"/>
          <w:noProof/>
          <w:lang w:val="sk-SK"/>
        </w:rPr>
        <w:t>zefektívnen</w:t>
      </w:r>
      <w:r w:rsidRPr="00083739">
        <w:rPr>
          <w:rFonts w:cs="Times New Roman"/>
          <w:noProof/>
          <w:lang w:val="sk-SK"/>
        </w:rPr>
        <w:t>ie súdnych konaní prostredníctvom zavedenia cielených zmien Občianskeho súdneho poriadku, ako je okrem iného a) uplatňovanie rýchlejších</w:t>
      </w:r>
      <w:r w:rsidR="00083739" w:rsidRPr="00083739">
        <w:rPr>
          <w:rFonts w:cs="Times New Roman"/>
          <w:noProof/>
          <w:lang w:val="sk-SK"/>
        </w:rPr>
        <w:t xml:space="preserve"> a </w:t>
      </w:r>
      <w:r w:rsidRPr="00083739">
        <w:rPr>
          <w:rFonts w:cs="Times New Roman"/>
          <w:noProof/>
          <w:lang w:val="sk-SK"/>
        </w:rPr>
        <w:t>pružnejších pravidiel stanovených</w:t>
      </w:r>
      <w:r w:rsidR="00083739" w:rsidRPr="00083739">
        <w:rPr>
          <w:rFonts w:cs="Times New Roman"/>
          <w:noProof/>
          <w:lang w:val="sk-SK"/>
        </w:rPr>
        <w:t xml:space="preserve"> v </w:t>
      </w:r>
      <w:r w:rsidRPr="00083739">
        <w:rPr>
          <w:rFonts w:cs="Times New Roman"/>
          <w:noProof/>
          <w:lang w:val="sk-SK"/>
        </w:rPr>
        <w:t>konaní</w:t>
      </w:r>
      <w:r w:rsidR="00083739" w:rsidRPr="00083739">
        <w:rPr>
          <w:rFonts w:cs="Times New Roman"/>
          <w:noProof/>
          <w:lang w:val="sk-SK"/>
        </w:rPr>
        <w:t xml:space="preserve"> o </w:t>
      </w:r>
      <w:r w:rsidRPr="00083739">
        <w:rPr>
          <w:rFonts w:cs="Times New Roman"/>
          <w:noProof/>
          <w:lang w:val="sk-SK"/>
        </w:rPr>
        <w:t>predbežných opatreniach tým, že sa prispôsobí konkrétnym exekučným konan</w:t>
      </w:r>
      <w:r w:rsidRPr="00083739">
        <w:rPr>
          <w:rFonts w:cs="Times New Roman"/>
          <w:noProof/>
          <w:lang w:val="sk-SK"/>
        </w:rPr>
        <w:t>iam (sudy vyžadujúce úplné dôkazy, ktoré umožňujú právo na odvolanie)</w:t>
      </w:r>
      <w:r w:rsidR="00083739" w:rsidRPr="00083739">
        <w:rPr>
          <w:rFonts w:cs="Times New Roman"/>
          <w:noProof/>
          <w:lang w:val="sk-SK"/>
        </w:rPr>
        <w:t xml:space="preserve"> s </w:t>
      </w:r>
      <w:r w:rsidRPr="00083739">
        <w:rPr>
          <w:rFonts w:cs="Times New Roman"/>
          <w:noProof/>
          <w:lang w:val="sk-SK"/>
        </w:rPr>
        <w:t>cieľom dosiahnuť urýchlenie</w:t>
      </w:r>
      <w:r w:rsidR="00083739" w:rsidRPr="00083739">
        <w:rPr>
          <w:rFonts w:cs="Times New Roman"/>
          <w:noProof/>
          <w:lang w:val="sk-SK"/>
        </w:rPr>
        <w:t xml:space="preserve"> a </w:t>
      </w:r>
      <w:r w:rsidRPr="00083739">
        <w:rPr>
          <w:rFonts w:cs="Times New Roman"/>
          <w:noProof/>
          <w:lang w:val="sk-SK"/>
        </w:rPr>
        <w:t>zefektívnenie riešenia prípadov (námietky); b) oddelenie hmotnoprávnych námietok pred aukciou namierených proti vlastníckemu titulu/platobnému príkazu (čl</w:t>
      </w:r>
      <w:r w:rsidRPr="00083739">
        <w:rPr>
          <w:rFonts w:cs="Times New Roman"/>
          <w:noProof/>
          <w:lang w:val="sk-SK"/>
        </w:rPr>
        <w:t>ánok 632</w:t>
      </w:r>
      <w:r w:rsidR="00083739" w:rsidRPr="00083739">
        <w:rPr>
          <w:rFonts w:cs="Times New Roman"/>
          <w:noProof/>
          <w:lang w:val="sk-SK"/>
        </w:rPr>
        <w:t xml:space="preserve"> a </w:t>
      </w:r>
      <w:r w:rsidRPr="00083739">
        <w:rPr>
          <w:rFonts w:cs="Times New Roman"/>
          <w:noProof/>
          <w:lang w:val="sk-SK"/>
        </w:rPr>
        <w:t>nasl. CCP)</w:t>
      </w:r>
      <w:r w:rsidR="00083739" w:rsidRPr="00083739">
        <w:rPr>
          <w:rFonts w:cs="Times New Roman"/>
          <w:noProof/>
          <w:lang w:val="sk-SK"/>
        </w:rPr>
        <w:t xml:space="preserve"> z </w:t>
      </w:r>
      <w:r w:rsidRPr="00083739">
        <w:rPr>
          <w:rFonts w:cs="Times New Roman"/>
          <w:noProof/>
          <w:lang w:val="sk-SK"/>
        </w:rPr>
        <w:t>námietok počas exekučného konania, ktoré vyvolávajú procesné otázky po doručení exekučného titulu (článok 933 OSP); C) zmeny</w:t>
      </w:r>
      <w:r w:rsidR="00083739" w:rsidRPr="00083739">
        <w:rPr>
          <w:rFonts w:cs="Times New Roman"/>
          <w:noProof/>
          <w:lang w:val="sk-SK"/>
        </w:rPr>
        <w:t xml:space="preserve"> v </w:t>
      </w:r>
      <w:r w:rsidRPr="00083739">
        <w:rPr>
          <w:rFonts w:cs="Times New Roman"/>
          <w:noProof/>
          <w:lang w:val="sk-SK"/>
        </w:rPr>
        <w:t>územnej pôsobnosti súdov, pokiaľ ide</w:t>
      </w:r>
      <w:r w:rsidR="00083739" w:rsidRPr="00083739">
        <w:rPr>
          <w:rFonts w:cs="Times New Roman"/>
          <w:noProof/>
          <w:lang w:val="sk-SK"/>
        </w:rPr>
        <w:t xml:space="preserve"> o </w:t>
      </w:r>
      <w:r w:rsidRPr="00083739">
        <w:rPr>
          <w:rFonts w:cs="Times New Roman"/>
          <w:noProof/>
          <w:lang w:val="sk-SK"/>
        </w:rPr>
        <w:t>súdne konanie</w:t>
      </w:r>
      <w:r w:rsidR="00083739" w:rsidRPr="00083739">
        <w:rPr>
          <w:rFonts w:cs="Times New Roman"/>
          <w:noProof/>
          <w:lang w:val="sk-SK"/>
        </w:rPr>
        <w:t xml:space="preserve"> v </w:t>
      </w:r>
      <w:r w:rsidRPr="00083739">
        <w:rPr>
          <w:rFonts w:cs="Times New Roman"/>
          <w:noProof/>
          <w:lang w:val="sk-SK"/>
        </w:rPr>
        <w:t>sporoch súvisiacich</w:t>
      </w:r>
      <w:r w:rsidR="00083739" w:rsidRPr="00083739">
        <w:rPr>
          <w:rFonts w:cs="Times New Roman"/>
          <w:noProof/>
          <w:lang w:val="sk-SK"/>
        </w:rPr>
        <w:t xml:space="preserve"> s </w:t>
      </w:r>
      <w:r w:rsidRPr="00083739">
        <w:rPr>
          <w:rFonts w:cs="Times New Roman"/>
          <w:noProof/>
          <w:lang w:val="sk-SK"/>
        </w:rPr>
        <w:t>výkonom (dohoda</w:t>
      </w:r>
      <w:r w:rsidR="00083739" w:rsidRPr="00083739">
        <w:rPr>
          <w:rFonts w:cs="Times New Roman"/>
          <w:noProof/>
          <w:lang w:val="sk-SK"/>
        </w:rPr>
        <w:t xml:space="preserve"> o </w:t>
      </w:r>
      <w:r w:rsidRPr="00083739">
        <w:rPr>
          <w:rFonts w:cs="Times New Roman"/>
          <w:noProof/>
          <w:lang w:val="sk-SK"/>
        </w:rPr>
        <w:t>právomoci)</w:t>
      </w:r>
      <w:r w:rsidRPr="00083739">
        <w:rPr>
          <w:rFonts w:cs="Times New Roman"/>
          <w:noProof/>
          <w:lang w:val="sk-SK"/>
        </w:rPr>
        <w:t>. Podľa vopred vymedzenej doložky obsiahnutej</w:t>
      </w:r>
      <w:r w:rsidR="00083739" w:rsidRPr="00083739">
        <w:rPr>
          <w:rFonts w:cs="Times New Roman"/>
          <w:noProof/>
          <w:lang w:val="sk-SK"/>
        </w:rPr>
        <w:t xml:space="preserve"> v </w:t>
      </w:r>
      <w:r w:rsidRPr="00083739">
        <w:rPr>
          <w:rFonts w:cs="Times New Roman"/>
          <w:noProof/>
          <w:lang w:val="sk-SK"/>
        </w:rPr>
        <w:t>zmluvách, ktoré úverové/finančné inštitúcie zvyčajne podpisujú</w:t>
      </w:r>
      <w:r w:rsidR="00083739" w:rsidRPr="00083739">
        <w:rPr>
          <w:rFonts w:cs="Times New Roman"/>
          <w:noProof/>
          <w:lang w:val="sk-SK"/>
        </w:rPr>
        <w:t xml:space="preserve"> s </w:t>
      </w:r>
      <w:r w:rsidRPr="00083739">
        <w:rPr>
          <w:rFonts w:cs="Times New Roman"/>
          <w:noProof/>
          <w:lang w:val="sk-SK"/>
        </w:rPr>
        <w:t>dlžníkmi, je Súd prvého stupňa</w:t>
      </w:r>
      <w:r w:rsidR="00083739" w:rsidRPr="00083739">
        <w:rPr>
          <w:rFonts w:cs="Times New Roman"/>
          <w:noProof/>
          <w:lang w:val="sk-SK"/>
        </w:rPr>
        <w:t xml:space="preserve"> v </w:t>
      </w:r>
      <w:r w:rsidRPr="00083739">
        <w:rPr>
          <w:rFonts w:cs="Times New Roman"/>
          <w:noProof/>
          <w:lang w:val="sk-SK"/>
        </w:rPr>
        <w:t>Aténach príslušným súdom pre takmer všetky exekučné konania</w:t>
      </w:r>
      <w:r w:rsidR="00083739" w:rsidRPr="00083739">
        <w:rPr>
          <w:rFonts w:cs="Times New Roman"/>
          <w:noProof/>
          <w:lang w:val="sk-SK"/>
        </w:rPr>
        <w:t xml:space="preserve"> v </w:t>
      </w:r>
      <w:r w:rsidRPr="00083739">
        <w:rPr>
          <w:rFonts w:cs="Times New Roman"/>
          <w:noProof/>
          <w:lang w:val="sk-SK"/>
        </w:rPr>
        <w:t>celej krajine – bez ohľadu</w:t>
      </w:r>
      <w:r w:rsidRPr="00083739">
        <w:rPr>
          <w:rFonts w:cs="Times New Roman"/>
          <w:noProof/>
          <w:lang w:val="sk-SK"/>
        </w:rPr>
        <w:t xml:space="preserve"> na to, kde sa majetok nachádza. Zrušenie tohto ustanovenia by zbavilo ústredný súd značného zaťaženia</w:t>
      </w:r>
      <w:r w:rsidR="00083739" w:rsidRPr="00083739">
        <w:rPr>
          <w:rFonts w:cs="Times New Roman"/>
          <w:noProof/>
          <w:lang w:val="sk-SK"/>
        </w:rPr>
        <w:t xml:space="preserve"> a </w:t>
      </w:r>
      <w:r w:rsidRPr="00083739">
        <w:rPr>
          <w:rFonts w:cs="Times New Roman"/>
          <w:noProof/>
          <w:lang w:val="sk-SK"/>
        </w:rPr>
        <w:t>d) prijatie zákona, ktorým sa vytvorí mechanizmus na získanie dátumov pojednávania</w:t>
      </w:r>
      <w:r w:rsidR="00083739" w:rsidRPr="00083739">
        <w:rPr>
          <w:rFonts w:cs="Times New Roman"/>
          <w:noProof/>
          <w:lang w:val="sk-SK"/>
        </w:rPr>
        <w:t xml:space="preserve"> v </w:t>
      </w:r>
      <w:r w:rsidRPr="00083739">
        <w:rPr>
          <w:rFonts w:cs="Times New Roman"/>
          <w:noProof/>
          <w:lang w:val="sk-SK"/>
        </w:rPr>
        <w:t>prebiehajúcich likvidačných veciach</w:t>
      </w:r>
      <w:r w:rsidR="00083739" w:rsidRPr="00083739">
        <w:rPr>
          <w:rFonts w:cs="Times New Roman"/>
          <w:noProof/>
          <w:lang w:val="sk-SK"/>
        </w:rPr>
        <w:t xml:space="preserve"> v </w:t>
      </w:r>
      <w:r w:rsidRPr="00083739">
        <w:rPr>
          <w:rFonts w:cs="Times New Roman"/>
          <w:noProof/>
          <w:lang w:val="sk-SK"/>
        </w:rPr>
        <w:t>kratšom časovom horizonte, s</w:t>
      </w:r>
      <w:r w:rsidRPr="00083739">
        <w:rPr>
          <w:rFonts w:cs="Times New Roman"/>
          <w:noProof/>
          <w:lang w:val="sk-SK"/>
        </w:rPr>
        <w:t>a zameriava na riešenie problému nahromadených nevybavených vecí, ako aj na vytvorenie senátov ad hoc, ktoré sa budú zaoberať na súdoch, ktoré čelia najťažšej záťaži.</w:t>
      </w:r>
    </w:p>
    <w:p w14:paraId="7FC39182" w14:textId="664E0994" w:rsidR="002D49B0" w:rsidRPr="00083739" w:rsidRDefault="00BF4125">
      <w:pPr>
        <w:pStyle w:val="P68B1DB1-Normal4"/>
        <w:spacing w:before="120" w:after="120" w:line="240" w:lineRule="auto"/>
        <w:jc w:val="both"/>
        <w:rPr>
          <w:rFonts w:cs="Times New Roman"/>
          <w:noProof/>
          <w:szCs w:val="24"/>
          <w:lang w:val="sk-SK"/>
        </w:rPr>
      </w:pPr>
      <w:r w:rsidRPr="00083739">
        <w:rPr>
          <w:rFonts w:cs="Times New Roman"/>
          <w:noProof/>
          <w:lang w:val="sk-SK"/>
        </w:rPr>
        <w:t>Vykonávanie celkovej reformy sa dokončí do 31</w:t>
      </w:r>
      <w:r w:rsidR="00083739" w:rsidRPr="00083739">
        <w:rPr>
          <w:rFonts w:cs="Times New Roman"/>
          <w:noProof/>
          <w:lang w:val="sk-SK"/>
        </w:rPr>
        <w:t>. decembra</w:t>
      </w:r>
      <w:r w:rsidRPr="00083739">
        <w:rPr>
          <w:rFonts w:cs="Times New Roman"/>
          <w:noProof/>
          <w:lang w:val="sk-SK"/>
        </w:rPr>
        <w:t xml:space="preserve"> 2025.</w:t>
      </w:r>
    </w:p>
    <w:p w14:paraId="0CB23731" w14:textId="69E3805C"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Reforma:</w:t>
      </w:r>
      <w:r w:rsidRPr="00083739">
        <w:rPr>
          <w:rFonts w:cs="Times New Roman"/>
          <w:noProof/>
          <w:lang w:val="sk-SK"/>
        </w:rPr>
        <w:t xml:space="preserve"> Modernizácia digit</w:t>
      </w:r>
      <w:r w:rsidRPr="00083739">
        <w:rPr>
          <w:rFonts w:cs="Times New Roman"/>
          <w:noProof/>
          <w:lang w:val="sk-SK"/>
        </w:rPr>
        <w:t>álnej infraštruktúry potrebnej na vykonávanie nového jednotného rámca pre platobnú neschopnosť pre reštrukturalizáciu dlhu</w:t>
      </w:r>
      <w:r w:rsidR="00083739" w:rsidRPr="00083739">
        <w:rPr>
          <w:rFonts w:cs="Times New Roman"/>
          <w:noProof/>
          <w:lang w:val="sk-SK"/>
        </w:rPr>
        <w:t xml:space="preserve"> a </w:t>
      </w:r>
      <w:r w:rsidRPr="00083739">
        <w:rPr>
          <w:rFonts w:cs="Times New Roman"/>
          <w:noProof/>
          <w:lang w:val="sk-SK"/>
        </w:rPr>
        <w:t>druhú šancu (ID 16580)</w:t>
      </w:r>
    </w:p>
    <w:p w14:paraId="2BFC1C28" w14:textId="18B11F79"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Cieľom reformy je modernizovať potrebnú digitálnu infraštruktúru potrebnú na podporu postupov včasného varov</w:t>
      </w:r>
      <w:r w:rsidRPr="00083739">
        <w:rPr>
          <w:rFonts w:cs="Times New Roman"/>
          <w:noProof/>
          <w:lang w:val="sk-SK"/>
        </w:rPr>
        <w:t>ania</w:t>
      </w:r>
      <w:r w:rsidR="00083739" w:rsidRPr="00083739">
        <w:rPr>
          <w:rFonts w:cs="Times New Roman"/>
          <w:noProof/>
          <w:lang w:val="sk-SK"/>
        </w:rPr>
        <w:t xml:space="preserve"> a </w:t>
      </w:r>
      <w:r w:rsidRPr="00083739">
        <w:rPr>
          <w:rFonts w:cs="Times New Roman"/>
          <w:noProof/>
          <w:lang w:val="sk-SK"/>
        </w:rPr>
        <w:t>preventívnej reštrukturalizácie dlhu poskytovaných prostredníctvom nového jednotného/kodifikovaného právneho rámca pre riadenie dlhu jednotlivcov</w:t>
      </w:r>
      <w:r w:rsidR="00083739" w:rsidRPr="00083739">
        <w:rPr>
          <w:rFonts w:cs="Times New Roman"/>
          <w:noProof/>
          <w:lang w:val="sk-SK"/>
        </w:rPr>
        <w:t xml:space="preserve"> a </w:t>
      </w:r>
      <w:r w:rsidRPr="00083739">
        <w:rPr>
          <w:rFonts w:cs="Times New Roman"/>
          <w:noProof/>
          <w:lang w:val="sk-SK"/>
        </w:rPr>
        <w:t>právnických osôb;</w:t>
      </w:r>
    </w:p>
    <w:p w14:paraId="01D0FDB5" w14:textId="5321CD57"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Táto reforma sa dokončí do 31</w:t>
      </w:r>
      <w:r w:rsidR="00083739" w:rsidRPr="00083739">
        <w:rPr>
          <w:rFonts w:cs="Times New Roman"/>
          <w:noProof/>
          <w:lang w:val="sk-SK"/>
        </w:rPr>
        <w:t>. decembra</w:t>
      </w:r>
      <w:r w:rsidRPr="00083739">
        <w:rPr>
          <w:rFonts w:cs="Times New Roman"/>
          <w:noProof/>
          <w:lang w:val="sk-SK"/>
        </w:rPr>
        <w:t xml:space="preserve"> 2025.</w:t>
      </w:r>
    </w:p>
    <w:p w14:paraId="49A1ADB1" w14:textId="77777777" w:rsidR="002D49B0" w:rsidRPr="00083739" w:rsidRDefault="002D49B0">
      <w:pPr>
        <w:spacing w:before="120" w:after="120" w:line="240" w:lineRule="auto"/>
        <w:ind w:left="709"/>
        <w:jc w:val="both"/>
        <w:rPr>
          <w:rFonts w:ascii="Times New Roman" w:hAnsi="Times New Roman" w:cs="Times New Roman"/>
          <w:b/>
          <w:bCs/>
          <w:noProof/>
          <w:sz w:val="24"/>
          <w:u w:val="single"/>
          <w:lang w:val="sk-SK"/>
        </w:rPr>
      </w:pPr>
    </w:p>
    <w:p w14:paraId="3EB69964" w14:textId="77777777" w:rsidR="002D49B0" w:rsidRPr="00083739" w:rsidRDefault="002D49B0">
      <w:pPr>
        <w:spacing w:before="120" w:after="120" w:line="240" w:lineRule="auto"/>
        <w:ind w:left="709"/>
        <w:jc w:val="both"/>
        <w:rPr>
          <w:rFonts w:ascii="Times New Roman" w:hAnsi="Times New Roman" w:cs="Times New Roman"/>
          <w:noProof/>
          <w:sz w:val="24"/>
          <w:lang w:val="sk-SK"/>
        </w:rPr>
        <w:sectPr w:rsidR="002D49B0" w:rsidRPr="00083739" w:rsidSect="00271D33">
          <w:headerReference w:type="even" r:id="rId247"/>
          <w:headerReference w:type="default" r:id="rId248"/>
          <w:footerReference w:type="even" r:id="rId249"/>
          <w:footerReference w:type="default" r:id="rId250"/>
          <w:headerReference w:type="first" r:id="rId251"/>
          <w:footerReference w:type="first" r:id="rId252"/>
          <w:pgSz w:w="11907" w:h="16839"/>
          <w:pgMar w:top="1134" w:right="1417" w:bottom="1134" w:left="1417" w:header="709" w:footer="327" w:gutter="0"/>
          <w:cols w:space="720"/>
          <w:docGrid w:linePitch="360"/>
        </w:sectPr>
      </w:pPr>
    </w:p>
    <w:p w14:paraId="7E276698" w14:textId="4B9317C4" w:rsidR="002D49B0" w:rsidRPr="00083739" w:rsidRDefault="00BF4125">
      <w:pPr>
        <w:spacing w:before="120" w:after="120" w:line="240" w:lineRule="auto"/>
        <w:ind w:left="709"/>
        <w:jc w:val="both"/>
        <w:rPr>
          <w:rFonts w:ascii="Times New Roman" w:hAnsi="Times New Roman" w:cs="Times New Roman"/>
          <w:b/>
          <w:bCs/>
          <w:noProof/>
          <w:sz w:val="24"/>
          <w:u w:val="single"/>
          <w:lang w:val="sk-SK"/>
        </w:rPr>
      </w:pPr>
      <w:r w:rsidRPr="00083739">
        <w:rPr>
          <w:rFonts w:ascii="Times New Roman" w:hAnsi="Times New Roman" w:cs="Times New Roman"/>
          <w:b/>
          <w:noProof/>
          <w:sz w:val="24"/>
          <w:u w:val="single"/>
          <w:lang w:val="sk-SK"/>
        </w:rPr>
        <w:t xml:space="preserve">O.2. </w:t>
      </w:r>
      <w:r w:rsidRPr="00083739">
        <w:rPr>
          <w:rFonts w:ascii="Times New Roman" w:hAnsi="Times New Roman" w:cs="Times New Roman"/>
          <w:noProof/>
          <w:lang w:val="sk-SK"/>
        </w:rPr>
        <w:t xml:space="preserve"> </w:t>
      </w:r>
      <w:r w:rsidRPr="00083739">
        <w:rPr>
          <w:rFonts w:ascii="Times New Roman" w:hAnsi="Times New Roman" w:cs="Times New Roman"/>
          <w:b/>
          <w:noProof/>
          <w:sz w:val="24"/>
          <w:u w:val="single"/>
          <w:lang w:val="sk-SK"/>
        </w:rPr>
        <w:t>Míľniky, ciele, ukazovatele</w:t>
      </w:r>
      <w:r w:rsidR="00083739" w:rsidRPr="00083739">
        <w:rPr>
          <w:rFonts w:ascii="Times New Roman" w:hAnsi="Times New Roman" w:cs="Times New Roman"/>
          <w:b/>
          <w:noProof/>
          <w:sz w:val="24"/>
          <w:u w:val="single"/>
          <w:lang w:val="sk-SK"/>
        </w:rPr>
        <w:t xml:space="preserve"> a </w:t>
      </w:r>
      <w:r w:rsidRPr="00083739">
        <w:rPr>
          <w:rFonts w:ascii="Times New Roman" w:hAnsi="Times New Roman" w:cs="Times New Roman"/>
          <w:b/>
          <w:noProof/>
          <w:sz w:val="24"/>
          <w:u w:val="single"/>
          <w:lang w:val="sk-SK"/>
        </w:rPr>
        <w:t>harmonogram monitorovania</w:t>
      </w:r>
      <w:r w:rsidR="00083739" w:rsidRPr="00083739">
        <w:rPr>
          <w:rFonts w:ascii="Times New Roman" w:hAnsi="Times New Roman" w:cs="Times New Roman"/>
          <w:b/>
          <w:noProof/>
          <w:sz w:val="24"/>
          <w:u w:val="single"/>
          <w:lang w:val="sk-SK"/>
        </w:rPr>
        <w:t xml:space="preserve"> a </w:t>
      </w:r>
      <w:r w:rsidRPr="00083739">
        <w:rPr>
          <w:rFonts w:ascii="Times New Roman" w:hAnsi="Times New Roman" w:cs="Times New Roman"/>
          <w:b/>
          <w:noProof/>
          <w:sz w:val="24"/>
          <w:u w:val="single"/>
          <w:lang w:val="sk-SK"/>
        </w:rPr>
        <w:t>realizácie pre nenávratnú finančnú podporu</w:t>
      </w:r>
    </w:p>
    <w:p w14:paraId="4897CA2E" w14:textId="77777777" w:rsidR="002D49B0" w:rsidRPr="00083739" w:rsidRDefault="002D49B0">
      <w:pPr>
        <w:rPr>
          <w:rFonts w:ascii="Times New Roman" w:hAnsi="Times New Roman" w:cs="Times New Roman"/>
          <w:noProof/>
          <w:lang w:val="sk-SK"/>
        </w:rPr>
      </w:pPr>
    </w:p>
    <w:p w14:paraId="02343562" w14:textId="56672F40" w:rsidR="002D49B0" w:rsidRPr="00083739" w:rsidRDefault="00BF4125">
      <w:pPr>
        <w:pStyle w:val="P68B1DB1-Normal6"/>
        <w:keepNext/>
        <w:keepLines/>
        <w:spacing w:before="40" w:after="0" w:line="240" w:lineRule="auto"/>
        <w:jc w:val="both"/>
        <w:outlineLvl w:val="4"/>
        <w:rPr>
          <w:rFonts w:ascii="Times New Roman" w:eastAsia="Times New Roman" w:hAnsi="Times New Roman" w:cs="Times New Roman"/>
          <w:noProof/>
          <w:lang w:val="sk-SK"/>
        </w:rPr>
      </w:pPr>
      <w:r w:rsidRPr="00083739">
        <w:rPr>
          <w:rFonts w:ascii="Times New Roman" w:hAnsi="Times New Roman" w:cs="Times New Roman"/>
          <w:noProof/>
          <w:lang w:val="sk-SK"/>
        </w:rPr>
        <w:t>Skupina 22: Posilnenie finančného sektora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kapitálových trhov</w:t>
      </w:r>
    </w:p>
    <w:p w14:paraId="27F0AEF2" w14:textId="6096CB47" w:rsidR="002D49B0" w:rsidRPr="00083739" w:rsidRDefault="00BF4125">
      <w:pPr>
        <w:pStyle w:val="P68B1DB1-Normal4"/>
        <w:numPr>
          <w:ilvl w:val="0"/>
          <w:numId w:val="35"/>
        </w:numPr>
        <w:spacing w:before="120" w:after="0" w:line="240" w:lineRule="auto"/>
        <w:jc w:val="both"/>
        <w:rPr>
          <w:rFonts w:cs="Times New Roman"/>
          <w:noProof/>
          <w:lang w:val="sk-SK"/>
        </w:rPr>
      </w:pPr>
      <w:r w:rsidRPr="00083739">
        <w:rPr>
          <w:rFonts w:cs="Times New Roman"/>
          <w:noProof/>
          <w:lang w:val="sk-SK"/>
        </w:rPr>
        <w:t>Posilnený dohľad nad kapitálovým trhom</w:t>
      </w:r>
      <w:r w:rsidR="00083739" w:rsidRPr="00083739">
        <w:rPr>
          <w:rFonts w:cs="Times New Roman"/>
          <w:noProof/>
          <w:lang w:val="sk-SK"/>
        </w:rPr>
        <w:t xml:space="preserve"> a </w:t>
      </w:r>
      <w:r w:rsidRPr="00083739">
        <w:rPr>
          <w:rFonts w:cs="Times New Roman"/>
          <w:noProof/>
          <w:lang w:val="sk-SK"/>
        </w:rPr>
        <w:t xml:space="preserve">dôveryhodnosť (ID: </w:t>
      </w:r>
      <w:r w:rsidRPr="00083739">
        <w:rPr>
          <w:rFonts w:cs="Times New Roman"/>
          <w:noProof/>
          <w:lang w:val="sk-SK"/>
        </w:rPr>
        <w:t>16581)</w:t>
      </w:r>
    </w:p>
    <w:p w14:paraId="57743230" w14:textId="13372E36" w:rsidR="002D49B0" w:rsidRPr="00083739" w:rsidRDefault="00BF4125">
      <w:pPr>
        <w:pStyle w:val="P68B1DB1-Normal4"/>
        <w:numPr>
          <w:ilvl w:val="0"/>
          <w:numId w:val="35"/>
        </w:numPr>
        <w:spacing w:before="120" w:after="0" w:line="240" w:lineRule="auto"/>
        <w:jc w:val="both"/>
        <w:rPr>
          <w:rFonts w:cs="Times New Roman"/>
          <w:noProof/>
          <w:lang w:val="sk-SK"/>
        </w:rPr>
      </w:pPr>
      <w:r w:rsidRPr="00083739">
        <w:rPr>
          <w:rFonts w:cs="Times New Roman"/>
          <w:noProof/>
          <w:lang w:val="sk-SK"/>
        </w:rPr>
        <w:t>Posilnenie schopnosti finančného systému prekonať historické výzvy</w:t>
      </w:r>
      <w:r w:rsidR="00083739" w:rsidRPr="00083739">
        <w:rPr>
          <w:rFonts w:cs="Times New Roman"/>
          <w:noProof/>
          <w:lang w:val="sk-SK"/>
        </w:rPr>
        <w:t xml:space="preserve"> a </w:t>
      </w:r>
      <w:r w:rsidRPr="00083739">
        <w:rPr>
          <w:rFonts w:cs="Times New Roman"/>
          <w:noProof/>
          <w:lang w:val="sk-SK"/>
        </w:rPr>
        <w:t>financovať reálnu ekonomiku (ID: 16957)</w:t>
      </w:r>
    </w:p>
    <w:p w14:paraId="1FB635BA" w14:textId="2C4B8FED" w:rsidR="002D49B0" w:rsidRPr="00083739" w:rsidRDefault="00BF4125">
      <w:pPr>
        <w:pStyle w:val="P68B1DB1-Normal4"/>
        <w:numPr>
          <w:ilvl w:val="0"/>
          <w:numId w:val="35"/>
        </w:numPr>
        <w:spacing w:before="120" w:after="0" w:line="240" w:lineRule="auto"/>
        <w:jc w:val="both"/>
        <w:rPr>
          <w:rFonts w:cs="Times New Roman"/>
          <w:noProof/>
          <w:lang w:val="sk-SK"/>
        </w:rPr>
      </w:pPr>
      <w:r w:rsidRPr="00083739">
        <w:rPr>
          <w:rFonts w:cs="Times New Roman"/>
          <w:noProof/>
          <w:lang w:val="sk-SK"/>
        </w:rPr>
        <w:t>Vykonávanie nového jednotného rámca pre platobnú neschopnosť pre reštrukturalizáciu dlhu</w:t>
      </w:r>
      <w:r w:rsidR="00083739" w:rsidRPr="00083739">
        <w:rPr>
          <w:rFonts w:cs="Times New Roman"/>
          <w:noProof/>
          <w:lang w:val="sk-SK"/>
        </w:rPr>
        <w:t xml:space="preserve"> a </w:t>
      </w:r>
      <w:r w:rsidRPr="00083739">
        <w:rPr>
          <w:rFonts w:cs="Times New Roman"/>
          <w:noProof/>
          <w:lang w:val="sk-SK"/>
        </w:rPr>
        <w:t>druhú šancu (ID: 16580)</w:t>
      </w:r>
    </w:p>
    <w:p w14:paraId="2C37F5B1" w14:textId="77777777" w:rsidR="002D49B0" w:rsidRPr="00083739" w:rsidRDefault="002D49B0">
      <w:pPr>
        <w:spacing w:before="120" w:after="120" w:line="240" w:lineRule="auto"/>
        <w:ind w:left="720"/>
        <w:jc w:val="both"/>
        <w:rPr>
          <w:rFonts w:ascii="Times New Roman" w:hAnsi="Times New Roman" w:cs="Times New Roman"/>
          <w:noProof/>
          <w:sz w:val="24"/>
          <w:lang w:val="sk-SK"/>
        </w:rPr>
      </w:pPr>
    </w:p>
    <w:tbl>
      <w:tblPr>
        <w:tblW w:w="15889" w:type="dxa"/>
        <w:jc w:val="center"/>
        <w:tblLook w:val="04A0" w:firstRow="1" w:lastRow="0" w:firstColumn="1" w:lastColumn="0" w:noHBand="0" w:noVBand="1"/>
      </w:tblPr>
      <w:tblGrid>
        <w:gridCol w:w="1027"/>
        <w:gridCol w:w="1942"/>
        <w:gridCol w:w="1115"/>
        <w:gridCol w:w="1466"/>
        <w:gridCol w:w="1576"/>
        <w:gridCol w:w="968"/>
        <w:gridCol w:w="957"/>
        <w:gridCol w:w="587"/>
        <w:gridCol w:w="1167"/>
        <w:gridCol w:w="673"/>
        <w:gridCol w:w="5194"/>
      </w:tblGrid>
      <w:tr w:rsidR="002D49B0" w:rsidRPr="00083739" w14:paraId="280ADEFD" w14:textId="77777777">
        <w:trPr>
          <w:trHeight w:val="695"/>
          <w:tblHeader/>
          <w:jc w:val="center"/>
        </w:trPr>
        <w:tc>
          <w:tcPr>
            <w:tcW w:w="102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9D947F6"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Poradové číslo</w:t>
            </w:r>
          </w:p>
        </w:tc>
        <w:tc>
          <w:tcPr>
            <w:tcW w:w="1942"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FAA9F35"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Súvisiace</w:t>
            </w:r>
            <w:r w:rsidRPr="00083739">
              <w:rPr>
                <w:rFonts w:cs="Times New Roman"/>
                <w:noProof/>
                <w:lang w:val="sk-SK"/>
              </w:rPr>
              <w:t xml:space="preserve"> opatrenie (reforma alebo investícia)</w:t>
            </w:r>
          </w:p>
        </w:tc>
        <w:tc>
          <w:tcPr>
            <w:tcW w:w="96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FAA6B06"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Míľnik/cieľ</w:t>
            </w:r>
          </w:p>
        </w:tc>
        <w:tc>
          <w:tcPr>
            <w:tcW w:w="1253" w:type="dxa"/>
            <w:vMerge w:val="restart"/>
            <w:tcBorders>
              <w:top w:val="single" w:sz="4" w:space="0" w:color="auto"/>
              <w:left w:val="nil"/>
              <w:bottom w:val="single" w:sz="4" w:space="0" w:color="auto"/>
              <w:right w:val="single" w:sz="4" w:space="0" w:color="auto"/>
            </w:tcBorders>
            <w:shd w:val="clear" w:color="auto" w:fill="BDD7EE"/>
            <w:vAlign w:val="center"/>
            <w:hideMark/>
          </w:tcPr>
          <w:p w14:paraId="77D8BCE9"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Názov</w:t>
            </w:r>
          </w:p>
        </w:tc>
        <w:tc>
          <w:tcPr>
            <w:tcW w:w="157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0D44109" w14:textId="77777777" w:rsidR="002D49B0" w:rsidRPr="00083739" w:rsidRDefault="00BF4125">
            <w:pPr>
              <w:pStyle w:val="P68B1DB1-Normal37"/>
              <w:spacing w:after="0" w:line="240" w:lineRule="auto"/>
              <w:jc w:val="center"/>
              <w:rPr>
                <w:rFonts w:eastAsia="Times New Roman" w:cs="Times New Roman"/>
                <w:b/>
                <w:bCs/>
                <w:noProof/>
                <w:sz w:val="18"/>
                <w:szCs w:val="18"/>
                <w:lang w:val="sk-SK"/>
              </w:rPr>
            </w:pPr>
            <w:r w:rsidRPr="00083739">
              <w:rPr>
                <w:rFonts w:cs="Times New Roman"/>
                <w:b/>
                <w:noProof/>
                <w:sz w:val="18"/>
                <w:lang w:val="sk-SK"/>
              </w:rPr>
              <w:t xml:space="preserve">Kvalitatívne ukazovatele </w:t>
            </w:r>
            <w:r w:rsidRPr="00083739">
              <w:rPr>
                <w:rFonts w:cs="Times New Roman"/>
                <w:noProof/>
                <w:sz w:val="24"/>
                <w:lang w:val="sk-SK"/>
              </w:rPr>
              <w:t xml:space="preserve"> </w:t>
            </w:r>
            <w:r w:rsidRPr="00083739">
              <w:rPr>
                <w:rFonts w:cs="Times New Roman"/>
                <w:b/>
                <w:noProof/>
                <w:sz w:val="18"/>
                <w:lang w:val="sk-SK"/>
              </w:rPr>
              <w:t>(pre míľniky)</w:t>
            </w:r>
          </w:p>
        </w:tc>
        <w:tc>
          <w:tcPr>
            <w:tcW w:w="2412" w:type="dxa"/>
            <w:gridSpan w:val="3"/>
            <w:tcBorders>
              <w:top w:val="single" w:sz="4" w:space="0" w:color="auto"/>
              <w:left w:val="nil"/>
              <w:bottom w:val="single" w:sz="4" w:space="0" w:color="auto"/>
              <w:right w:val="single" w:sz="4" w:space="0" w:color="auto"/>
            </w:tcBorders>
            <w:shd w:val="clear" w:color="auto" w:fill="BDD7EE"/>
            <w:vAlign w:val="center"/>
            <w:hideMark/>
          </w:tcPr>
          <w:p w14:paraId="79CFE2FD" w14:textId="77777777" w:rsidR="002D49B0" w:rsidRPr="00083739" w:rsidRDefault="00BF4125">
            <w:pPr>
              <w:pStyle w:val="P68B1DB1-Normal37"/>
              <w:spacing w:after="0" w:line="240" w:lineRule="auto"/>
              <w:jc w:val="center"/>
              <w:rPr>
                <w:rFonts w:eastAsia="Times New Roman" w:cs="Times New Roman"/>
                <w:b/>
                <w:bCs/>
                <w:noProof/>
                <w:sz w:val="18"/>
                <w:szCs w:val="18"/>
                <w:lang w:val="sk-SK"/>
              </w:rPr>
            </w:pPr>
            <w:r w:rsidRPr="00083739">
              <w:rPr>
                <w:rFonts w:cs="Times New Roman"/>
                <w:b/>
                <w:noProof/>
                <w:sz w:val="18"/>
                <w:lang w:val="sk-SK"/>
              </w:rPr>
              <w:t xml:space="preserve">Kvantitatívne ukazovatele </w:t>
            </w:r>
            <w:r w:rsidRPr="00083739">
              <w:rPr>
                <w:rFonts w:cs="Times New Roman"/>
                <w:noProof/>
                <w:sz w:val="24"/>
                <w:lang w:val="sk-SK"/>
              </w:rPr>
              <w:t xml:space="preserve"> </w:t>
            </w:r>
            <w:r w:rsidRPr="00083739">
              <w:rPr>
                <w:rFonts w:cs="Times New Roman"/>
                <w:b/>
                <w:noProof/>
                <w:sz w:val="18"/>
                <w:lang w:val="sk-SK"/>
              </w:rPr>
              <w:t>(pre ciele)</w:t>
            </w:r>
          </w:p>
        </w:tc>
        <w:tc>
          <w:tcPr>
            <w:tcW w:w="1519" w:type="dxa"/>
            <w:gridSpan w:val="2"/>
            <w:tcBorders>
              <w:top w:val="single" w:sz="4" w:space="0" w:color="auto"/>
              <w:left w:val="nil"/>
              <w:bottom w:val="single" w:sz="4" w:space="0" w:color="auto"/>
              <w:right w:val="single" w:sz="4" w:space="0" w:color="auto"/>
            </w:tcBorders>
            <w:shd w:val="clear" w:color="auto" w:fill="BDD7EE"/>
            <w:vAlign w:val="center"/>
            <w:hideMark/>
          </w:tcPr>
          <w:p w14:paraId="3743F341"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Orientačný harmonogram dokončenia </w:t>
            </w:r>
          </w:p>
        </w:tc>
        <w:tc>
          <w:tcPr>
            <w:tcW w:w="519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4D7DB75" w14:textId="6AE9D3AF"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Opis každého míľnika</w:t>
            </w:r>
            <w:r w:rsidR="00083739" w:rsidRPr="00083739">
              <w:rPr>
                <w:rFonts w:cs="Times New Roman"/>
                <w:noProof/>
                <w:lang w:val="sk-SK"/>
              </w:rPr>
              <w:t xml:space="preserve"> a </w:t>
            </w:r>
            <w:r w:rsidRPr="00083739">
              <w:rPr>
                <w:rFonts w:cs="Times New Roman"/>
                <w:noProof/>
                <w:lang w:val="sk-SK"/>
              </w:rPr>
              <w:t>cieľa</w:t>
            </w:r>
          </w:p>
        </w:tc>
      </w:tr>
      <w:tr w:rsidR="002D49B0" w:rsidRPr="00083739" w14:paraId="647FAA56" w14:textId="77777777">
        <w:trPr>
          <w:trHeight w:val="610"/>
          <w:tblHeader/>
          <w:jc w:val="center"/>
        </w:trPr>
        <w:tc>
          <w:tcPr>
            <w:tcW w:w="1027" w:type="dxa"/>
            <w:vMerge/>
            <w:tcBorders>
              <w:top w:val="single" w:sz="4" w:space="0" w:color="auto"/>
              <w:left w:val="single" w:sz="4" w:space="0" w:color="auto"/>
              <w:bottom w:val="single" w:sz="4" w:space="0" w:color="auto"/>
              <w:right w:val="single" w:sz="4" w:space="0" w:color="auto"/>
            </w:tcBorders>
            <w:vAlign w:val="center"/>
            <w:hideMark/>
          </w:tcPr>
          <w:p w14:paraId="44194E53"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942" w:type="dxa"/>
            <w:vMerge/>
            <w:tcBorders>
              <w:top w:val="single" w:sz="4" w:space="0" w:color="auto"/>
              <w:left w:val="single" w:sz="4" w:space="0" w:color="auto"/>
              <w:bottom w:val="single" w:sz="4" w:space="0" w:color="auto"/>
              <w:right w:val="single" w:sz="4" w:space="0" w:color="auto"/>
            </w:tcBorders>
            <w:vAlign w:val="center"/>
            <w:hideMark/>
          </w:tcPr>
          <w:p w14:paraId="19DEABC2"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966" w:type="dxa"/>
            <w:vMerge/>
            <w:tcBorders>
              <w:top w:val="single" w:sz="4" w:space="0" w:color="auto"/>
              <w:left w:val="single" w:sz="4" w:space="0" w:color="auto"/>
              <w:bottom w:val="single" w:sz="4" w:space="0" w:color="auto"/>
              <w:right w:val="single" w:sz="4" w:space="0" w:color="auto"/>
            </w:tcBorders>
            <w:vAlign w:val="center"/>
            <w:hideMark/>
          </w:tcPr>
          <w:p w14:paraId="0E6FF0A5"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253" w:type="dxa"/>
            <w:vMerge/>
            <w:tcBorders>
              <w:top w:val="single" w:sz="4" w:space="0" w:color="auto"/>
              <w:left w:val="single" w:sz="4" w:space="0" w:color="auto"/>
              <w:bottom w:val="single" w:sz="4" w:space="0" w:color="auto"/>
              <w:right w:val="single" w:sz="4" w:space="0" w:color="auto"/>
            </w:tcBorders>
            <w:vAlign w:val="center"/>
            <w:hideMark/>
          </w:tcPr>
          <w:p w14:paraId="776FA222"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576" w:type="dxa"/>
            <w:vMerge/>
            <w:tcBorders>
              <w:top w:val="single" w:sz="4" w:space="0" w:color="auto"/>
              <w:left w:val="single" w:sz="4" w:space="0" w:color="auto"/>
              <w:bottom w:val="single" w:sz="4" w:space="0" w:color="auto"/>
              <w:right w:val="single" w:sz="4" w:space="0" w:color="auto"/>
            </w:tcBorders>
            <w:vAlign w:val="center"/>
            <w:hideMark/>
          </w:tcPr>
          <w:p w14:paraId="10ABFB66"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968"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30D83413"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Merná jednotka</w:t>
            </w:r>
          </w:p>
        </w:tc>
        <w:tc>
          <w:tcPr>
            <w:tcW w:w="857" w:type="dxa"/>
            <w:tcBorders>
              <w:top w:val="nil"/>
              <w:left w:val="nil"/>
              <w:bottom w:val="single" w:sz="4" w:space="0" w:color="auto"/>
              <w:right w:val="single" w:sz="4" w:space="0" w:color="auto"/>
            </w:tcBorders>
            <w:shd w:val="clear" w:color="auto" w:fill="BDD7EE"/>
            <w:vAlign w:val="center"/>
            <w:hideMark/>
          </w:tcPr>
          <w:p w14:paraId="71528355"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Základná </w:t>
            </w:r>
          </w:p>
        </w:tc>
        <w:tc>
          <w:tcPr>
            <w:tcW w:w="587" w:type="dxa"/>
            <w:tcBorders>
              <w:top w:val="nil"/>
              <w:left w:val="nil"/>
              <w:bottom w:val="single" w:sz="4" w:space="0" w:color="auto"/>
              <w:right w:val="single" w:sz="4" w:space="0" w:color="auto"/>
            </w:tcBorders>
            <w:shd w:val="clear" w:color="auto" w:fill="BDD7EE"/>
            <w:vAlign w:val="center"/>
            <w:hideMark/>
          </w:tcPr>
          <w:p w14:paraId="05854A32"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Cieľ </w:t>
            </w:r>
          </w:p>
        </w:tc>
        <w:tc>
          <w:tcPr>
            <w:tcW w:w="846" w:type="dxa"/>
            <w:tcBorders>
              <w:top w:val="nil"/>
              <w:left w:val="nil"/>
              <w:bottom w:val="single" w:sz="4" w:space="0" w:color="auto"/>
              <w:right w:val="single" w:sz="4" w:space="0" w:color="auto"/>
            </w:tcBorders>
            <w:shd w:val="clear" w:color="auto" w:fill="BDD7EE"/>
            <w:vAlign w:val="center"/>
            <w:hideMark/>
          </w:tcPr>
          <w:p w14:paraId="657C0C72"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Štvrtina</w:t>
            </w:r>
          </w:p>
        </w:tc>
        <w:tc>
          <w:tcPr>
            <w:tcW w:w="673" w:type="dxa"/>
            <w:tcBorders>
              <w:top w:val="nil"/>
              <w:left w:val="nil"/>
              <w:bottom w:val="single" w:sz="4" w:space="0" w:color="auto"/>
              <w:right w:val="single" w:sz="4" w:space="0" w:color="auto"/>
            </w:tcBorders>
            <w:shd w:val="clear" w:color="auto" w:fill="BDD7EE"/>
            <w:vAlign w:val="center"/>
            <w:hideMark/>
          </w:tcPr>
          <w:p w14:paraId="62F658AA"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Rok</w:t>
            </w:r>
          </w:p>
        </w:tc>
        <w:tc>
          <w:tcPr>
            <w:tcW w:w="5194" w:type="dxa"/>
            <w:vMerge/>
            <w:tcBorders>
              <w:top w:val="single" w:sz="4" w:space="0" w:color="auto"/>
              <w:bottom w:val="single" w:sz="4" w:space="0" w:color="auto"/>
              <w:right w:val="single" w:sz="4" w:space="0" w:color="auto"/>
            </w:tcBorders>
            <w:vAlign w:val="center"/>
            <w:hideMark/>
          </w:tcPr>
          <w:p w14:paraId="1FB45723"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r>
      <w:tr w:rsidR="002D49B0" w:rsidRPr="00083739" w14:paraId="14AD02F2" w14:textId="77777777">
        <w:trPr>
          <w:trHeight w:val="309"/>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10B6902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240</w:t>
            </w:r>
          </w:p>
        </w:tc>
        <w:tc>
          <w:tcPr>
            <w:tcW w:w="1942" w:type="dxa"/>
            <w:tcBorders>
              <w:top w:val="single" w:sz="4" w:space="0" w:color="auto"/>
              <w:left w:val="nil"/>
              <w:bottom w:val="single" w:sz="4" w:space="0" w:color="auto"/>
              <w:right w:val="single" w:sz="4" w:space="0" w:color="auto"/>
            </w:tcBorders>
            <w:shd w:val="clear" w:color="auto" w:fill="C6EFCE"/>
            <w:noWrap/>
          </w:tcPr>
          <w:p w14:paraId="46C57CD0" w14:textId="18110158"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15 – 4.4. Posilnenie finančného sektora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kapitálových trhov – 16581_Posilnený dohľad nad kapitálovým trhom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dôveryhodnosť</w:t>
            </w:r>
          </w:p>
        </w:tc>
        <w:tc>
          <w:tcPr>
            <w:tcW w:w="966" w:type="dxa"/>
            <w:tcBorders>
              <w:top w:val="single" w:sz="4" w:space="0" w:color="auto"/>
              <w:left w:val="nil"/>
              <w:bottom w:val="single" w:sz="4" w:space="0" w:color="auto"/>
              <w:right w:val="single" w:sz="4" w:space="0" w:color="auto"/>
            </w:tcBorders>
            <w:shd w:val="clear" w:color="auto" w:fill="C6EFCE"/>
            <w:noWrap/>
          </w:tcPr>
          <w:p w14:paraId="2152246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253" w:type="dxa"/>
            <w:tcBorders>
              <w:top w:val="single" w:sz="4" w:space="0" w:color="auto"/>
              <w:left w:val="nil"/>
              <w:bottom w:val="single" w:sz="4" w:space="0" w:color="auto"/>
              <w:right w:val="single" w:sz="4" w:space="0" w:color="auto"/>
            </w:tcBorders>
            <w:shd w:val="clear" w:color="auto" w:fill="C6EFCE"/>
            <w:noWrap/>
          </w:tcPr>
          <w:p w14:paraId="674C8D3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Kapitálové trhy, dohľad, digitalizácia procesov dohľadu, únia kapitálových trhov (CMU)</w:t>
            </w:r>
          </w:p>
        </w:tc>
        <w:tc>
          <w:tcPr>
            <w:tcW w:w="1576" w:type="dxa"/>
            <w:tcBorders>
              <w:top w:val="single" w:sz="4" w:space="0" w:color="auto"/>
              <w:left w:val="nil"/>
              <w:bottom w:val="single" w:sz="4" w:space="0" w:color="auto"/>
              <w:right w:val="single" w:sz="4" w:space="0" w:color="auto"/>
            </w:tcBorders>
            <w:shd w:val="clear" w:color="auto" w:fill="C6EFCE"/>
            <w:noWrap/>
          </w:tcPr>
          <w:p w14:paraId="7ED351F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právnych predpi</w:t>
            </w:r>
            <w:r w:rsidRPr="00083739">
              <w:rPr>
                <w:rFonts w:ascii="Times New Roman" w:hAnsi="Times New Roman" w:cs="Times New Roman"/>
                <w:noProof/>
                <w:lang w:val="sk-SK"/>
              </w:rPr>
              <w:t>sov (odkaz na úradný vestník)</w:t>
            </w:r>
          </w:p>
        </w:tc>
        <w:tc>
          <w:tcPr>
            <w:tcW w:w="968" w:type="dxa"/>
            <w:tcBorders>
              <w:top w:val="single" w:sz="4" w:space="0" w:color="auto"/>
              <w:left w:val="nil"/>
              <w:bottom w:val="single" w:sz="4" w:space="0" w:color="auto"/>
              <w:right w:val="single" w:sz="4" w:space="0" w:color="auto"/>
            </w:tcBorders>
            <w:shd w:val="clear" w:color="auto" w:fill="C6EFCE"/>
            <w:noWrap/>
          </w:tcPr>
          <w:p w14:paraId="0BFC9E1E"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nil"/>
              <w:left w:val="nil"/>
              <w:bottom w:val="single" w:sz="4" w:space="0" w:color="auto"/>
              <w:right w:val="single" w:sz="4" w:space="0" w:color="auto"/>
            </w:tcBorders>
            <w:shd w:val="clear" w:color="auto" w:fill="C6EFCE"/>
            <w:noWrap/>
          </w:tcPr>
          <w:p w14:paraId="754AA4A9"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587" w:type="dxa"/>
            <w:tcBorders>
              <w:top w:val="nil"/>
              <w:left w:val="nil"/>
              <w:bottom w:val="single" w:sz="4" w:space="0" w:color="auto"/>
              <w:right w:val="single" w:sz="4" w:space="0" w:color="auto"/>
            </w:tcBorders>
            <w:shd w:val="clear" w:color="auto" w:fill="C6EFCE"/>
            <w:noWrap/>
          </w:tcPr>
          <w:p w14:paraId="4B9BD756"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6" w:type="dxa"/>
            <w:tcBorders>
              <w:top w:val="nil"/>
              <w:left w:val="nil"/>
              <w:bottom w:val="single" w:sz="4" w:space="0" w:color="auto"/>
              <w:right w:val="single" w:sz="4" w:space="0" w:color="auto"/>
            </w:tcBorders>
            <w:shd w:val="clear" w:color="auto" w:fill="C6EFCE"/>
            <w:noWrap/>
          </w:tcPr>
          <w:p w14:paraId="34A0E67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673" w:type="dxa"/>
            <w:tcBorders>
              <w:top w:val="nil"/>
              <w:left w:val="nil"/>
              <w:bottom w:val="single" w:sz="4" w:space="0" w:color="auto"/>
              <w:right w:val="single" w:sz="4" w:space="0" w:color="auto"/>
            </w:tcBorders>
            <w:shd w:val="clear" w:color="auto" w:fill="C6EFCE"/>
            <w:noWrap/>
          </w:tcPr>
          <w:p w14:paraId="1BB6567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2021</w:t>
            </w:r>
          </w:p>
        </w:tc>
        <w:tc>
          <w:tcPr>
            <w:tcW w:w="5194" w:type="dxa"/>
            <w:tcBorders>
              <w:top w:val="single" w:sz="4" w:space="0" w:color="auto"/>
              <w:left w:val="nil"/>
              <w:bottom w:val="single" w:sz="4" w:space="0" w:color="auto"/>
              <w:right w:val="single" w:sz="4" w:space="0" w:color="auto"/>
            </w:tcBorders>
            <w:shd w:val="clear" w:color="auto" w:fill="C6EFCE"/>
            <w:noWrap/>
          </w:tcPr>
          <w:p w14:paraId="3D20215F" w14:textId="7E25BD62" w:rsidR="002D49B0" w:rsidRPr="00083739" w:rsidRDefault="00BF4125">
            <w:pPr>
              <w:pStyle w:val="P68B1DB1-Normal9"/>
              <w:spacing w:before="120" w:after="120" w:line="240" w:lineRule="auto"/>
              <w:jc w:val="both"/>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nového zákona</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Helénskej komisii pre kapitálový trh, ktorým sa zmenia vnútorné postupy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organizácia. </w:t>
            </w:r>
          </w:p>
        </w:tc>
      </w:tr>
      <w:tr w:rsidR="002D49B0" w:rsidRPr="00083739" w14:paraId="413C46B7" w14:textId="77777777">
        <w:trPr>
          <w:trHeight w:val="309"/>
          <w:jc w:val="center"/>
        </w:trPr>
        <w:tc>
          <w:tcPr>
            <w:tcW w:w="1027" w:type="dxa"/>
            <w:tcBorders>
              <w:top w:val="nil"/>
              <w:left w:val="single" w:sz="4" w:space="0" w:color="auto"/>
              <w:bottom w:val="single" w:sz="4" w:space="0" w:color="auto"/>
              <w:right w:val="single" w:sz="4" w:space="0" w:color="auto"/>
            </w:tcBorders>
            <w:shd w:val="clear" w:color="auto" w:fill="C6EFCE"/>
            <w:noWrap/>
          </w:tcPr>
          <w:p w14:paraId="4C56B1B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241</w:t>
            </w:r>
          </w:p>
        </w:tc>
        <w:tc>
          <w:tcPr>
            <w:tcW w:w="1942" w:type="dxa"/>
            <w:tcBorders>
              <w:top w:val="nil"/>
              <w:left w:val="nil"/>
              <w:bottom w:val="single" w:sz="4" w:space="0" w:color="auto"/>
              <w:right w:val="single" w:sz="4" w:space="0" w:color="auto"/>
            </w:tcBorders>
            <w:shd w:val="clear" w:color="auto" w:fill="C6EFCE"/>
            <w:noWrap/>
          </w:tcPr>
          <w:p w14:paraId="34EB9A7C" w14:textId="6645F0AD"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15 – 4.4. Posilnenie finančného sektora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kapitálových trhov – </w:t>
            </w:r>
            <w:r w:rsidRPr="00083739">
              <w:rPr>
                <w:rFonts w:ascii="Times New Roman" w:hAnsi="Times New Roman" w:cs="Times New Roman"/>
                <w:noProof/>
                <w:lang w:val="sk-SK"/>
              </w:rPr>
              <w:t>16580_Vykonávanie nového jednotného rámca pre platobnú neschopnosť pre reštrukturalizáciu dlhu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druhú šancu</w:t>
            </w:r>
          </w:p>
        </w:tc>
        <w:tc>
          <w:tcPr>
            <w:tcW w:w="966" w:type="dxa"/>
            <w:tcBorders>
              <w:top w:val="nil"/>
              <w:left w:val="nil"/>
              <w:bottom w:val="single" w:sz="4" w:space="0" w:color="auto"/>
              <w:right w:val="single" w:sz="4" w:space="0" w:color="auto"/>
            </w:tcBorders>
            <w:shd w:val="clear" w:color="auto" w:fill="C6EFCE"/>
            <w:noWrap/>
          </w:tcPr>
          <w:p w14:paraId="4D924FF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253" w:type="dxa"/>
            <w:tcBorders>
              <w:top w:val="nil"/>
              <w:left w:val="nil"/>
              <w:bottom w:val="single" w:sz="4" w:space="0" w:color="auto"/>
              <w:right w:val="single" w:sz="4" w:space="0" w:color="auto"/>
            </w:tcBorders>
            <w:shd w:val="clear" w:color="auto" w:fill="C6EFCE"/>
            <w:noWrap/>
          </w:tcPr>
          <w:p w14:paraId="0112135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Dohľad, digitalizácia procesov dohľadu, únia kapitálových trhov, preventívna reštrukturalizácia dlhu</w:t>
            </w:r>
          </w:p>
        </w:tc>
        <w:tc>
          <w:tcPr>
            <w:tcW w:w="1576" w:type="dxa"/>
            <w:tcBorders>
              <w:top w:val="nil"/>
              <w:left w:val="nil"/>
              <w:bottom w:val="single" w:sz="4" w:space="0" w:color="auto"/>
              <w:right w:val="single" w:sz="4" w:space="0" w:color="auto"/>
            </w:tcBorders>
            <w:shd w:val="clear" w:color="auto" w:fill="C6EFCE"/>
            <w:noWrap/>
          </w:tcPr>
          <w:p w14:paraId="2D7DBAD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Správy potvrdzujúce sprevádzkovanie uve</w:t>
            </w:r>
            <w:r w:rsidRPr="00083739">
              <w:rPr>
                <w:rFonts w:ascii="Times New Roman" w:hAnsi="Times New Roman" w:cs="Times New Roman"/>
                <w:noProof/>
                <w:lang w:val="sk-SK"/>
              </w:rPr>
              <w:t>dených systémov vrátane prípadných odkazov na webové sídla</w:t>
            </w:r>
          </w:p>
        </w:tc>
        <w:tc>
          <w:tcPr>
            <w:tcW w:w="968" w:type="dxa"/>
            <w:tcBorders>
              <w:top w:val="nil"/>
              <w:left w:val="nil"/>
              <w:bottom w:val="single" w:sz="4" w:space="0" w:color="auto"/>
              <w:right w:val="single" w:sz="4" w:space="0" w:color="auto"/>
            </w:tcBorders>
            <w:shd w:val="clear" w:color="auto" w:fill="C6EFCE"/>
            <w:noWrap/>
          </w:tcPr>
          <w:p w14:paraId="4B74AA36"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nil"/>
              <w:left w:val="nil"/>
              <w:bottom w:val="single" w:sz="4" w:space="0" w:color="auto"/>
              <w:right w:val="single" w:sz="4" w:space="0" w:color="auto"/>
            </w:tcBorders>
            <w:shd w:val="clear" w:color="auto" w:fill="C6EFCE"/>
            <w:noWrap/>
          </w:tcPr>
          <w:p w14:paraId="55B2A721"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587" w:type="dxa"/>
            <w:tcBorders>
              <w:top w:val="nil"/>
              <w:left w:val="nil"/>
              <w:bottom w:val="single" w:sz="4" w:space="0" w:color="auto"/>
              <w:right w:val="single" w:sz="4" w:space="0" w:color="auto"/>
            </w:tcBorders>
            <w:shd w:val="clear" w:color="auto" w:fill="C6EFCE"/>
            <w:noWrap/>
          </w:tcPr>
          <w:p w14:paraId="41C2867D"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6" w:type="dxa"/>
            <w:tcBorders>
              <w:top w:val="nil"/>
              <w:left w:val="nil"/>
              <w:bottom w:val="single" w:sz="4" w:space="0" w:color="auto"/>
              <w:right w:val="single" w:sz="4" w:space="0" w:color="auto"/>
            </w:tcBorders>
            <w:shd w:val="clear" w:color="auto" w:fill="C6EFCE"/>
            <w:noWrap/>
          </w:tcPr>
          <w:p w14:paraId="5EAE39A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673" w:type="dxa"/>
            <w:tcBorders>
              <w:top w:val="nil"/>
              <w:left w:val="nil"/>
              <w:bottom w:val="single" w:sz="4" w:space="0" w:color="auto"/>
              <w:right w:val="single" w:sz="4" w:space="0" w:color="auto"/>
            </w:tcBorders>
            <w:shd w:val="clear" w:color="auto" w:fill="C6EFCE"/>
            <w:noWrap/>
          </w:tcPr>
          <w:p w14:paraId="5CE6D07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5194" w:type="dxa"/>
            <w:tcBorders>
              <w:top w:val="nil"/>
              <w:left w:val="nil"/>
              <w:bottom w:val="single" w:sz="4" w:space="0" w:color="auto"/>
              <w:right w:val="single" w:sz="4" w:space="0" w:color="auto"/>
            </w:tcBorders>
            <w:shd w:val="clear" w:color="auto" w:fill="C6EFCE"/>
            <w:noWrap/>
          </w:tcPr>
          <w:p w14:paraId="1DD8A81F" w14:textId="2FC712BC" w:rsidR="002D49B0" w:rsidRPr="00083739" w:rsidRDefault="00BF4125">
            <w:pPr>
              <w:pStyle w:val="P68B1DB1-Normal9"/>
              <w:spacing w:after="0" w:line="240" w:lineRule="auto"/>
              <w:rPr>
                <w:rFonts w:ascii="Times New Roman" w:hAnsi="Times New Roman" w:cs="Times New Roman"/>
                <w:noProof/>
                <w:szCs w:val="18"/>
                <w:lang w:val="sk-SK"/>
              </w:rPr>
            </w:pPr>
            <w:r w:rsidRPr="00083739">
              <w:rPr>
                <w:rFonts w:ascii="Times New Roman" w:hAnsi="Times New Roman" w:cs="Times New Roman"/>
                <w:noProof/>
                <w:lang w:val="sk-SK"/>
              </w:rPr>
              <w:t>Modernizácia mechanizmu včasného varovania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preventívnej reštrukturalizácie dlhu, ktorý jednotlivcom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podnikom umožní vyhnúť sa nadmernej zadlženosti, ako aj riešiť vyrovn</w:t>
            </w:r>
            <w:r w:rsidRPr="00083739">
              <w:rPr>
                <w:rFonts w:ascii="Times New Roman" w:hAnsi="Times New Roman" w:cs="Times New Roman"/>
                <w:noProof/>
                <w:lang w:val="sk-SK"/>
              </w:rPr>
              <w:t>anie dlhu využitím mimosúdnych postupov.</w:t>
            </w:r>
          </w:p>
          <w:p w14:paraId="1BB671E6" w14:textId="78606CCD"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Dodávateľ zmodernizuje informačné systémy včasného varovania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preventívnej reštrukturalizácie dlhu, ktoré prevádzkuje ministerstvo financií/SecPD po posúdení ich prevádzky.</w:t>
            </w:r>
          </w:p>
        </w:tc>
      </w:tr>
      <w:tr w:rsidR="002D49B0" w:rsidRPr="00083739" w14:paraId="58732F84" w14:textId="77777777">
        <w:trPr>
          <w:trHeight w:val="309"/>
          <w:jc w:val="center"/>
        </w:trPr>
        <w:tc>
          <w:tcPr>
            <w:tcW w:w="1027" w:type="dxa"/>
            <w:tcBorders>
              <w:top w:val="nil"/>
              <w:left w:val="single" w:sz="4" w:space="0" w:color="auto"/>
              <w:bottom w:val="single" w:sz="4" w:space="0" w:color="auto"/>
              <w:right w:val="single" w:sz="4" w:space="0" w:color="auto"/>
            </w:tcBorders>
            <w:shd w:val="clear" w:color="auto" w:fill="C6EFCE"/>
            <w:noWrap/>
          </w:tcPr>
          <w:p w14:paraId="4071C33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243</w:t>
            </w:r>
          </w:p>
        </w:tc>
        <w:tc>
          <w:tcPr>
            <w:tcW w:w="1942" w:type="dxa"/>
            <w:tcBorders>
              <w:top w:val="nil"/>
              <w:left w:val="nil"/>
              <w:bottom w:val="single" w:sz="4" w:space="0" w:color="auto"/>
              <w:right w:val="single" w:sz="4" w:space="0" w:color="auto"/>
            </w:tcBorders>
            <w:shd w:val="clear" w:color="auto" w:fill="C6EFCE"/>
            <w:noWrap/>
          </w:tcPr>
          <w:p w14:paraId="675B85B9" w14:textId="0CCAFED3"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15 – 4.4. Posilnenie finančného </w:t>
            </w:r>
            <w:r w:rsidRPr="00083739">
              <w:rPr>
                <w:rFonts w:ascii="Times New Roman" w:hAnsi="Times New Roman" w:cs="Times New Roman"/>
                <w:noProof/>
                <w:lang w:val="sk-SK"/>
              </w:rPr>
              <w:t>sektora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kapitálových trhov – 16581_Posilnený dohľad nad kapitálovým trhom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dôveryhodnosť</w:t>
            </w:r>
          </w:p>
        </w:tc>
        <w:tc>
          <w:tcPr>
            <w:tcW w:w="966" w:type="dxa"/>
            <w:tcBorders>
              <w:top w:val="nil"/>
              <w:left w:val="nil"/>
              <w:bottom w:val="single" w:sz="4" w:space="0" w:color="auto"/>
              <w:right w:val="single" w:sz="4" w:space="0" w:color="auto"/>
            </w:tcBorders>
            <w:shd w:val="clear" w:color="auto" w:fill="C6EFCE"/>
            <w:noWrap/>
          </w:tcPr>
          <w:p w14:paraId="3D25FB8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253" w:type="dxa"/>
            <w:tcBorders>
              <w:top w:val="nil"/>
              <w:left w:val="nil"/>
              <w:bottom w:val="single" w:sz="4" w:space="0" w:color="auto"/>
              <w:right w:val="single" w:sz="4" w:space="0" w:color="auto"/>
            </w:tcBorders>
            <w:shd w:val="clear" w:color="auto" w:fill="C6EFCE"/>
            <w:noWrap/>
          </w:tcPr>
          <w:p w14:paraId="752E298D" w14:textId="7C163AF0"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Digitalizácia procesu dohľadu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organizácia Helénskej komisie pre kapitálový trh</w:t>
            </w:r>
          </w:p>
        </w:tc>
        <w:tc>
          <w:tcPr>
            <w:tcW w:w="1576" w:type="dxa"/>
            <w:tcBorders>
              <w:top w:val="nil"/>
              <w:left w:val="nil"/>
              <w:bottom w:val="single" w:sz="4" w:space="0" w:color="auto"/>
              <w:right w:val="single" w:sz="4" w:space="0" w:color="auto"/>
            </w:tcBorders>
            <w:shd w:val="clear" w:color="auto" w:fill="C6EFCE"/>
            <w:noWrap/>
          </w:tcPr>
          <w:p w14:paraId="06FCEE14" w14:textId="5BBE3FB1"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Správa</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digitalizácii procesu dohľadu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organizácie Helénskej komisie pre </w:t>
            </w:r>
            <w:r w:rsidRPr="00083739">
              <w:rPr>
                <w:rFonts w:ascii="Times New Roman" w:hAnsi="Times New Roman" w:cs="Times New Roman"/>
                <w:noProof/>
                <w:lang w:val="sk-SK"/>
              </w:rPr>
              <w:t>kapitálový trh</w:t>
            </w:r>
          </w:p>
        </w:tc>
        <w:tc>
          <w:tcPr>
            <w:tcW w:w="968" w:type="dxa"/>
            <w:tcBorders>
              <w:top w:val="nil"/>
              <w:left w:val="nil"/>
              <w:bottom w:val="single" w:sz="4" w:space="0" w:color="auto"/>
              <w:right w:val="single" w:sz="4" w:space="0" w:color="auto"/>
            </w:tcBorders>
            <w:shd w:val="clear" w:color="auto" w:fill="C6EFCE"/>
            <w:noWrap/>
          </w:tcPr>
          <w:p w14:paraId="30461F74"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nil"/>
              <w:left w:val="nil"/>
              <w:bottom w:val="single" w:sz="4" w:space="0" w:color="auto"/>
              <w:right w:val="single" w:sz="4" w:space="0" w:color="auto"/>
            </w:tcBorders>
            <w:shd w:val="clear" w:color="auto" w:fill="C6EFCE"/>
            <w:noWrap/>
          </w:tcPr>
          <w:p w14:paraId="0D3162BC"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587" w:type="dxa"/>
            <w:tcBorders>
              <w:top w:val="nil"/>
              <w:left w:val="nil"/>
              <w:bottom w:val="single" w:sz="4" w:space="0" w:color="auto"/>
              <w:right w:val="single" w:sz="4" w:space="0" w:color="auto"/>
            </w:tcBorders>
            <w:shd w:val="clear" w:color="auto" w:fill="C6EFCE"/>
            <w:noWrap/>
          </w:tcPr>
          <w:p w14:paraId="3AA5859D"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6" w:type="dxa"/>
            <w:tcBorders>
              <w:top w:val="nil"/>
              <w:left w:val="nil"/>
              <w:bottom w:val="single" w:sz="4" w:space="0" w:color="auto"/>
              <w:right w:val="single" w:sz="4" w:space="0" w:color="auto"/>
            </w:tcBorders>
            <w:shd w:val="clear" w:color="auto" w:fill="C6EFCE"/>
            <w:noWrap/>
          </w:tcPr>
          <w:p w14:paraId="7B039E2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673" w:type="dxa"/>
            <w:tcBorders>
              <w:top w:val="nil"/>
              <w:left w:val="nil"/>
              <w:bottom w:val="single" w:sz="4" w:space="0" w:color="auto"/>
              <w:right w:val="single" w:sz="4" w:space="0" w:color="auto"/>
            </w:tcBorders>
            <w:shd w:val="clear" w:color="auto" w:fill="C6EFCE"/>
            <w:noWrap/>
          </w:tcPr>
          <w:p w14:paraId="54D7B20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5194" w:type="dxa"/>
            <w:tcBorders>
              <w:top w:val="nil"/>
              <w:left w:val="nil"/>
              <w:bottom w:val="single" w:sz="4" w:space="0" w:color="auto"/>
              <w:right w:val="single" w:sz="4" w:space="0" w:color="auto"/>
            </w:tcBorders>
            <w:shd w:val="clear" w:color="auto" w:fill="C6EFCE"/>
            <w:noWrap/>
          </w:tcPr>
          <w:p w14:paraId="71D6CC94" w14:textId="59C792F3" w:rsidR="002D49B0" w:rsidRPr="00083739" w:rsidRDefault="00BF4125">
            <w:pPr>
              <w:pStyle w:val="P68B1DB1-Normal10"/>
              <w:spacing w:before="120" w:after="0" w:line="240" w:lineRule="auto"/>
              <w:jc w:val="both"/>
              <w:rPr>
                <w:rFonts w:ascii="Times New Roman" w:eastAsia="Times New Roman" w:hAnsi="Times New Roman" w:cs="Times New Roman"/>
                <w:noProof/>
                <w:lang w:val="sk-SK"/>
              </w:rPr>
            </w:pPr>
            <w:r w:rsidRPr="00083739">
              <w:rPr>
                <w:rFonts w:ascii="Times New Roman" w:hAnsi="Times New Roman" w:cs="Times New Roman"/>
                <w:noProof/>
                <w:lang w:val="sk-SK"/>
              </w:rPr>
              <w:t>1. Vypracovanie plánu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aktualizácia postupov kybernetickej bezpečnosti na základe tohto plánu, 2. Zriadenie alebo nadobudnutie IT infraštruktúry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aplikácií na systematické prijímanie, uchovávanie, vyhľadávanie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riadenie transakcií</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údajmi</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akciovom trhu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pomocnými informáciami na tvorbu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riadenie upozornení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správ</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audite; 3. Zavedenie rozsiahleho informačného systému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integrácia všetkých údajov, ktoré</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súčasnosti (a</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budúcnosti) zbierajú zamestnanci Hel</w:t>
            </w:r>
            <w:r w:rsidRPr="00083739">
              <w:rPr>
                <w:rFonts w:ascii="Times New Roman" w:hAnsi="Times New Roman" w:cs="Times New Roman"/>
                <w:noProof/>
                <w:lang w:val="sk-SK"/>
              </w:rPr>
              <w:t>énskej komisie pre kapitálové trhy, čo umožní viacrozmernú analýzu, preskúmanie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prehľad súčasných trhových podmienok, čo umožní doladenie postupov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intervencií; 4. kodifikácia regulačného</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legislatívneho rámca pre kapitálové trhy</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cieľom posilniť kapa</w:t>
            </w:r>
            <w:r w:rsidRPr="00083739">
              <w:rPr>
                <w:rFonts w:ascii="Times New Roman" w:hAnsi="Times New Roman" w:cs="Times New Roman"/>
                <w:noProof/>
                <w:lang w:val="sk-SK"/>
              </w:rPr>
              <w:t>citu kapitálového trhu</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 xml:space="preserve">oblasti dohľadu. </w:t>
            </w:r>
          </w:p>
        </w:tc>
      </w:tr>
      <w:tr w:rsidR="002D49B0" w:rsidRPr="00083739" w14:paraId="083FCCC5" w14:textId="77777777">
        <w:trPr>
          <w:trHeight w:val="309"/>
          <w:jc w:val="center"/>
        </w:trPr>
        <w:tc>
          <w:tcPr>
            <w:tcW w:w="1027" w:type="dxa"/>
            <w:tcBorders>
              <w:top w:val="nil"/>
              <w:left w:val="single" w:sz="4" w:space="0" w:color="auto"/>
              <w:bottom w:val="single" w:sz="4" w:space="0" w:color="auto"/>
              <w:right w:val="single" w:sz="4" w:space="0" w:color="auto"/>
            </w:tcBorders>
            <w:shd w:val="clear" w:color="auto" w:fill="C6EFCE"/>
            <w:noWrap/>
          </w:tcPr>
          <w:p w14:paraId="55F2CE91" w14:textId="77777777"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244a</w:t>
            </w:r>
          </w:p>
        </w:tc>
        <w:tc>
          <w:tcPr>
            <w:tcW w:w="1942" w:type="dxa"/>
            <w:tcBorders>
              <w:top w:val="nil"/>
              <w:left w:val="nil"/>
              <w:bottom w:val="single" w:sz="4" w:space="0" w:color="auto"/>
              <w:right w:val="single" w:sz="4" w:space="0" w:color="auto"/>
            </w:tcBorders>
            <w:shd w:val="clear" w:color="auto" w:fill="C6EFCE"/>
            <w:noWrap/>
          </w:tcPr>
          <w:p w14:paraId="5EEB74EE" w14:textId="2B571910"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15 – 4.4. Posilnenie finančného sektora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kapitálových trhov – 16957_Posilnenie kapacity finančného systému</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cieľom prekonať výzvy</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minulosti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financovať reálnu ekonomiku</w:t>
            </w:r>
          </w:p>
        </w:tc>
        <w:tc>
          <w:tcPr>
            <w:tcW w:w="966" w:type="dxa"/>
            <w:tcBorders>
              <w:top w:val="nil"/>
              <w:left w:val="nil"/>
              <w:bottom w:val="single" w:sz="4" w:space="0" w:color="auto"/>
              <w:right w:val="single" w:sz="4" w:space="0" w:color="auto"/>
            </w:tcBorders>
            <w:shd w:val="clear" w:color="auto" w:fill="C6EFCE"/>
            <w:noWrap/>
          </w:tcPr>
          <w:p w14:paraId="09F1A9A7" w14:textId="77777777"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Míľnik</w:t>
            </w:r>
          </w:p>
        </w:tc>
        <w:tc>
          <w:tcPr>
            <w:tcW w:w="1253" w:type="dxa"/>
            <w:tcBorders>
              <w:top w:val="nil"/>
              <w:left w:val="nil"/>
              <w:bottom w:val="single" w:sz="4" w:space="0" w:color="auto"/>
              <w:right w:val="single" w:sz="4" w:space="0" w:color="auto"/>
            </w:tcBorders>
            <w:shd w:val="clear" w:color="auto" w:fill="C6EFCE"/>
            <w:noWrap/>
          </w:tcPr>
          <w:p w14:paraId="17062152" w14:textId="77777777"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 xml:space="preserve">Elektronické aukcie na </w:t>
            </w:r>
            <w:r w:rsidRPr="00083739">
              <w:rPr>
                <w:rFonts w:ascii="Times New Roman" w:hAnsi="Times New Roman" w:cs="Times New Roman"/>
                <w:noProof/>
                <w:lang w:val="sk-SK"/>
              </w:rPr>
              <w:t>vymáhanie dlhu</w:t>
            </w:r>
          </w:p>
        </w:tc>
        <w:tc>
          <w:tcPr>
            <w:tcW w:w="1576" w:type="dxa"/>
            <w:tcBorders>
              <w:top w:val="nil"/>
              <w:left w:val="nil"/>
              <w:bottom w:val="single" w:sz="4" w:space="0" w:color="auto"/>
              <w:right w:val="single" w:sz="4" w:space="0" w:color="auto"/>
            </w:tcBorders>
            <w:shd w:val="clear" w:color="auto" w:fill="C6EFCE"/>
            <w:noWrap/>
          </w:tcPr>
          <w:p w14:paraId="6138FC5C" w14:textId="77777777"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 xml:space="preserve">Nadobudnutie účinnosti právnych predpisov. </w:t>
            </w:r>
          </w:p>
        </w:tc>
        <w:tc>
          <w:tcPr>
            <w:tcW w:w="968" w:type="dxa"/>
            <w:tcBorders>
              <w:top w:val="nil"/>
              <w:left w:val="nil"/>
              <w:bottom w:val="single" w:sz="4" w:space="0" w:color="auto"/>
              <w:right w:val="single" w:sz="4" w:space="0" w:color="auto"/>
            </w:tcBorders>
            <w:shd w:val="clear" w:color="auto" w:fill="C6EFCE"/>
            <w:noWrap/>
          </w:tcPr>
          <w:p w14:paraId="623650C1" w14:textId="77777777" w:rsidR="002D49B0" w:rsidRPr="00083739" w:rsidRDefault="002D49B0">
            <w:pPr>
              <w:spacing w:after="0" w:line="240" w:lineRule="auto"/>
              <w:rPr>
                <w:rFonts w:ascii="Times New Roman" w:hAnsi="Times New Roman" w:cs="Times New Roman"/>
                <w:noProof/>
                <w:color w:val="006100"/>
                <w:sz w:val="18"/>
                <w:lang w:val="sk-SK"/>
              </w:rPr>
            </w:pPr>
          </w:p>
        </w:tc>
        <w:tc>
          <w:tcPr>
            <w:tcW w:w="857" w:type="dxa"/>
            <w:tcBorders>
              <w:top w:val="nil"/>
              <w:left w:val="nil"/>
              <w:bottom w:val="single" w:sz="4" w:space="0" w:color="auto"/>
              <w:right w:val="single" w:sz="4" w:space="0" w:color="auto"/>
            </w:tcBorders>
            <w:shd w:val="clear" w:color="auto" w:fill="C6EFCE"/>
            <w:noWrap/>
          </w:tcPr>
          <w:p w14:paraId="58C4D534" w14:textId="77777777" w:rsidR="002D49B0" w:rsidRPr="00083739" w:rsidRDefault="002D49B0">
            <w:pPr>
              <w:spacing w:after="0" w:line="240" w:lineRule="auto"/>
              <w:rPr>
                <w:rFonts w:ascii="Times New Roman" w:hAnsi="Times New Roman" w:cs="Times New Roman"/>
                <w:noProof/>
                <w:color w:val="006100"/>
                <w:sz w:val="18"/>
                <w:lang w:val="sk-SK"/>
              </w:rPr>
            </w:pPr>
          </w:p>
        </w:tc>
        <w:tc>
          <w:tcPr>
            <w:tcW w:w="587" w:type="dxa"/>
            <w:tcBorders>
              <w:top w:val="nil"/>
              <w:left w:val="nil"/>
              <w:bottom w:val="single" w:sz="4" w:space="0" w:color="auto"/>
              <w:right w:val="single" w:sz="4" w:space="0" w:color="auto"/>
            </w:tcBorders>
            <w:shd w:val="clear" w:color="auto" w:fill="C6EFCE"/>
            <w:noWrap/>
          </w:tcPr>
          <w:p w14:paraId="1234049C" w14:textId="77777777" w:rsidR="002D49B0" w:rsidRPr="00083739" w:rsidRDefault="002D49B0">
            <w:pPr>
              <w:spacing w:after="0" w:line="240" w:lineRule="auto"/>
              <w:rPr>
                <w:rFonts w:ascii="Times New Roman" w:hAnsi="Times New Roman" w:cs="Times New Roman"/>
                <w:noProof/>
                <w:color w:val="006100"/>
                <w:sz w:val="18"/>
                <w:lang w:val="sk-SK"/>
              </w:rPr>
            </w:pPr>
          </w:p>
        </w:tc>
        <w:tc>
          <w:tcPr>
            <w:tcW w:w="846" w:type="dxa"/>
            <w:tcBorders>
              <w:top w:val="nil"/>
              <w:left w:val="nil"/>
              <w:bottom w:val="single" w:sz="4" w:space="0" w:color="auto"/>
              <w:right w:val="single" w:sz="4" w:space="0" w:color="auto"/>
            </w:tcBorders>
            <w:shd w:val="clear" w:color="auto" w:fill="C6EFCE"/>
            <w:noWrap/>
          </w:tcPr>
          <w:p w14:paraId="70A18A8B" w14:textId="77777777"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DRUHÝ ŠTVRŤROK</w:t>
            </w:r>
          </w:p>
        </w:tc>
        <w:tc>
          <w:tcPr>
            <w:tcW w:w="673" w:type="dxa"/>
            <w:tcBorders>
              <w:top w:val="nil"/>
              <w:left w:val="nil"/>
              <w:bottom w:val="single" w:sz="4" w:space="0" w:color="auto"/>
              <w:right w:val="single" w:sz="4" w:space="0" w:color="auto"/>
            </w:tcBorders>
            <w:shd w:val="clear" w:color="auto" w:fill="C6EFCE"/>
            <w:noWrap/>
          </w:tcPr>
          <w:p w14:paraId="004CE758" w14:textId="77777777"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2024</w:t>
            </w:r>
          </w:p>
        </w:tc>
        <w:tc>
          <w:tcPr>
            <w:tcW w:w="5194" w:type="dxa"/>
            <w:tcBorders>
              <w:top w:val="nil"/>
              <w:left w:val="nil"/>
              <w:bottom w:val="single" w:sz="4" w:space="0" w:color="auto"/>
              <w:right w:val="single" w:sz="4" w:space="0" w:color="auto"/>
            </w:tcBorders>
            <w:shd w:val="clear" w:color="auto" w:fill="C6EFCE"/>
            <w:noWrap/>
          </w:tcPr>
          <w:p w14:paraId="2153BD5D" w14:textId="2D858BFD"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Prijatie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nadobudnutie účinnosti právnych predpisov</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cieľom:</w:t>
            </w:r>
          </w:p>
          <w:p w14:paraId="24945A93" w14:textId="01120A36" w:rsidR="002D49B0" w:rsidRPr="00083739" w:rsidRDefault="00BF4125">
            <w:pPr>
              <w:pStyle w:val="P68B1DB1-ListParagraph20"/>
              <w:numPr>
                <w:ilvl w:val="0"/>
                <w:numId w:val="89"/>
              </w:numPr>
              <w:spacing w:after="0" w:line="240" w:lineRule="auto"/>
              <w:ind w:left="670" w:hanging="310"/>
              <w:rPr>
                <w:rFonts w:ascii="Times New Roman" w:hAnsi="Times New Roman" w:cs="Times New Roman"/>
                <w:noProof/>
                <w:lang w:val="sk-SK"/>
              </w:rPr>
            </w:pPr>
            <w:r w:rsidRPr="00083739">
              <w:rPr>
                <w:rFonts w:ascii="Times New Roman" w:hAnsi="Times New Roman" w:cs="Times New Roman"/>
                <w:noProof/>
                <w:lang w:val="sk-SK"/>
              </w:rPr>
              <w:t>Rozšíriť dostupné informácie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 xml:space="preserve">vydraženom majetku na platforme elektronických aukcií vrátane príslušných </w:t>
            </w:r>
            <w:r w:rsidRPr="00083739">
              <w:rPr>
                <w:rFonts w:ascii="Times New Roman" w:hAnsi="Times New Roman" w:cs="Times New Roman"/>
                <w:noProof/>
                <w:lang w:val="sk-SK"/>
              </w:rPr>
              <w:t>informácií dostupných vo verejných archívoch notárov;</w:t>
            </w:r>
          </w:p>
          <w:p w14:paraId="6A638DB2" w14:textId="1B6FC53F" w:rsidR="002D49B0" w:rsidRPr="00083739" w:rsidRDefault="00BF4125">
            <w:pPr>
              <w:pStyle w:val="P68B1DB1-ListParagraph20"/>
              <w:numPr>
                <w:ilvl w:val="0"/>
                <w:numId w:val="89"/>
              </w:numPr>
              <w:spacing w:after="0" w:line="240" w:lineRule="auto"/>
              <w:ind w:left="670" w:hanging="310"/>
              <w:rPr>
                <w:rFonts w:ascii="Times New Roman" w:hAnsi="Times New Roman" w:cs="Times New Roman"/>
                <w:noProof/>
                <w:lang w:val="sk-SK"/>
              </w:rPr>
            </w:pPr>
            <w:r w:rsidRPr="00083739">
              <w:rPr>
                <w:rFonts w:ascii="Times New Roman" w:hAnsi="Times New Roman" w:cs="Times New Roman"/>
                <w:noProof/>
                <w:lang w:val="sk-SK"/>
              </w:rPr>
              <w:t>Odstránenie odrádzajúcich faktorov spôsobených dlhmi po lehote splatnosti súvisiacimi</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majetkom (napr. účty za verejné služby).</w:t>
            </w:r>
          </w:p>
        </w:tc>
      </w:tr>
      <w:tr w:rsidR="002D49B0" w:rsidRPr="00083739" w14:paraId="41300807" w14:textId="77777777">
        <w:trPr>
          <w:trHeight w:val="309"/>
          <w:jc w:val="center"/>
        </w:trPr>
        <w:tc>
          <w:tcPr>
            <w:tcW w:w="1027" w:type="dxa"/>
            <w:tcBorders>
              <w:top w:val="nil"/>
              <w:left w:val="single" w:sz="4" w:space="0" w:color="auto"/>
              <w:bottom w:val="single" w:sz="4" w:space="0" w:color="auto"/>
              <w:right w:val="single" w:sz="4" w:space="0" w:color="auto"/>
            </w:tcBorders>
            <w:shd w:val="clear" w:color="auto" w:fill="C6EFCE"/>
            <w:noWrap/>
          </w:tcPr>
          <w:p w14:paraId="129F52A6" w14:textId="77777777"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244b</w:t>
            </w:r>
          </w:p>
        </w:tc>
        <w:tc>
          <w:tcPr>
            <w:tcW w:w="1942" w:type="dxa"/>
            <w:tcBorders>
              <w:top w:val="nil"/>
              <w:left w:val="nil"/>
              <w:bottom w:val="single" w:sz="4" w:space="0" w:color="auto"/>
              <w:right w:val="single" w:sz="4" w:space="0" w:color="auto"/>
            </w:tcBorders>
            <w:shd w:val="clear" w:color="auto" w:fill="C6EFCE"/>
            <w:noWrap/>
          </w:tcPr>
          <w:p w14:paraId="05325CCF" w14:textId="0C3937CE"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15 – 4.4. Posilnenie finančného sektora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kapitálových trhov – </w:t>
            </w:r>
            <w:r w:rsidRPr="00083739">
              <w:rPr>
                <w:rFonts w:ascii="Times New Roman" w:hAnsi="Times New Roman" w:cs="Times New Roman"/>
                <w:noProof/>
                <w:lang w:val="sk-SK"/>
              </w:rPr>
              <w:t>16957_Posilnenie kapacity finančného systému</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cieľom prekonať výzvy</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minulosti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financovať reálnu ekonomiku</w:t>
            </w:r>
          </w:p>
        </w:tc>
        <w:tc>
          <w:tcPr>
            <w:tcW w:w="966" w:type="dxa"/>
            <w:tcBorders>
              <w:top w:val="nil"/>
              <w:left w:val="nil"/>
              <w:bottom w:val="single" w:sz="4" w:space="0" w:color="auto"/>
              <w:right w:val="single" w:sz="4" w:space="0" w:color="auto"/>
            </w:tcBorders>
            <w:shd w:val="clear" w:color="auto" w:fill="C6EFCE"/>
            <w:noWrap/>
          </w:tcPr>
          <w:p w14:paraId="781F3502" w14:textId="77777777"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Míľnik</w:t>
            </w:r>
          </w:p>
        </w:tc>
        <w:tc>
          <w:tcPr>
            <w:tcW w:w="1253" w:type="dxa"/>
            <w:tcBorders>
              <w:top w:val="nil"/>
              <w:left w:val="nil"/>
              <w:bottom w:val="single" w:sz="4" w:space="0" w:color="auto"/>
              <w:right w:val="single" w:sz="4" w:space="0" w:color="auto"/>
            </w:tcBorders>
            <w:shd w:val="clear" w:color="auto" w:fill="C6EFCE"/>
            <w:noWrap/>
          </w:tcPr>
          <w:p w14:paraId="60417653" w14:textId="77777777"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 xml:space="preserve">Zadávanie zákaziek na opatrenia finančného sektora </w:t>
            </w:r>
          </w:p>
        </w:tc>
        <w:tc>
          <w:tcPr>
            <w:tcW w:w="1576" w:type="dxa"/>
            <w:tcBorders>
              <w:top w:val="nil"/>
              <w:left w:val="nil"/>
              <w:bottom w:val="single" w:sz="4" w:space="0" w:color="auto"/>
              <w:right w:val="single" w:sz="4" w:space="0" w:color="auto"/>
            </w:tcBorders>
            <w:shd w:val="clear" w:color="auto" w:fill="C6EFCE"/>
            <w:noWrap/>
          </w:tcPr>
          <w:p w14:paraId="4A653DDF" w14:textId="28BBC754"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Oznámenie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zadaní zákazky</w:t>
            </w:r>
          </w:p>
        </w:tc>
        <w:tc>
          <w:tcPr>
            <w:tcW w:w="968" w:type="dxa"/>
            <w:tcBorders>
              <w:top w:val="nil"/>
              <w:left w:val="nil"/>
              <w:bottom w:val="single" w:sz="4" w:space="0" w:color="auto"/>
              <w:right w:val="single" w:sz="4" w:space="0" w:color="auto"/>
            </w:tcBorders>
            <w:shd w:val="clear" w:color="auto" w:fill="C6EFCE"/>
            <w:noWrap/>
          </w:tcPr>
          <w:p w14:paraId="2903672F" w14:textId="77777777" w:rsidR="002D49B0" w:rsidRPr="00083739" w:rsidRDefault="002D49B0">
            <w:pPr>
              <w:spacing w:after="0" w:line="240" w:lineRule="auto"/>
              <w:rPr>
                <w:rFonts w:ascii="Times New Roman" w:hAnsi="Times New Roman" w:cs="Times New Roman"/>
                <w:noProof/>
                <w:color w:val="006100"/>
                <w:sz w:val="18"/>
                <w:lang w:val="sk-SK"/>
              </w:rPr>
            </w:pPr>
          </w:p>
        </w:tc>
        <w:tc>
          <w:tcPr>
            <w:tcW w:w="857" w:type="dxa"/>
            <w:tcBorders>
              <w:top w:val="nil"/>
              <w:left w:val="nil"/>
              <w:bottom w:val="single" w:sz="4" w:space="0" w:color="auto"/>
              <w:right w:val="single" w:sz="4" w:space="0" w:color="auto"/>
            </w:tcBorders>
            <w:shd w:val="clear" w:color="auto" w:fill="C6EFCE"/>
            <w:noWrap/>
          </w:tcPr>
          <w:p w14:paraId="029A4162" w14:textId="77777777" w:rsidR="002D49B0" w:rsidRPr="00083739" w:rsidRDefault="002D49B0">
            <w:pPr>
              <w:spacing w:after="0" w:line="240" w:lineRule="auto"/>
              <w:rPr>
                <w:rFonts w:ascii="Times New Roman" w:hAnsi="Times New Roman" w:cs="Times New Roman"/>
                <w:noProof/>
                <w:color w:val="006100"/>
                <w:sz w:val="18"/>
                <w:lang w:val="sk-SK"/>
              </w:rPr>
            </w:pPr>
          </w:p>
        </w:tc>
        <w:tc>
          <w:tcPr>
            <w:tcW w:w="587" w:type="dxa"/>
            <w:tcBorders>
              <w:top w:val="nil"/>
              <w:left w:val="nil"/>
              <w:bottom w:val="single" w:sz="4" w:space="0" w:color="auto"/>
              <w:right w:val="single" w:sz="4" w:space="0" w:color="auto"/>
            </w:tcBorders>
            <w:shd w:val="clear" w:color="auto" w:fill="C6EFCE"/>
            <w:noWrap/>
          </w:tcPr>
          <w:p w14:paraId="72CAEEC4" w14:textId="77777777" w:rsidR="002D49B0" w:rsidRPr="00083739" w:rsidRDefault="002D49B0">
            <w:pPr>
              <w:spacing w:after="0" w:line="240" w:lineRule="auto"/>
              <w:rPr>
                <w:rFonts w:ascii="Times New Roman" w:hAnsi="Times New Roman" w:cs="Times New Roman"/>
                <w:noProof/>
                <w:color w:val="006100"/>
                <w:sz w:val="18"/>
                <w:lang w:val="sk-SK"/>
              </w:rPr>
            </w:pPr>
          </w:p>
        </w:tc>
        <w:tc>
          <w:tcPr>
            <w:tcW w:w="846" w:type="dxa"/>
            <w:tcBorders>
              <w:top w:val="nil"/>
              <w:left w:val="nil"/>
              <w:bottom w:val="single" w:sz="4" w:space="0" w:color="auto"/>
              <w:right w:val="single" w:sz="4" w:space="0" w:color="auto"/>
            </w:tcBorders>
            <w:shd w:val="clear" w:color="auto" w:fill="C6EFCE"/>
            <w:noWrap/>
          </w:tcPr>
          <w:p w14:paraId="6E36CED0" w14:textId="77777777"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DRUHÝ ŠTVRŤROK</w:t>
            </w:r>
          </w:p>
        </w:tc>
        <w:tc>
          <w:tcPr>
            <w:tcW w:w="673" w:type="dxa"/>
            <w:tcBorders>
              <w:top w:val="nil"/>
              <w:left w:val="nil"/>
              <w:bottom w:val="single" w:sz="4" w:space="0" w:color="auto"/>
              <w:right w:val="single" w:sz="4" w:space="0" w:color="auto"/>
            </w:tcBorders>
            <w:shd w:val="clear" w:color="auto" w:fill="C6EFCE"/>
            <w:noWrap/>
          </w:tcPr>
          <w:p w14:paraId="47A8EAD6" w14:textId="77777777"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2024</w:t>
            </w:r>
          </w:p>
        </w:tc>
        <w:tc>
          <w:tcPr>
            <w:tcW w:w="5194" w:type="dxa"/>
            <w:tcBorders>
              <w:top w:val="nil"/>
              <w:left w:val="nil"/>
              <w:bottom w:val="single" w:sz="4" w:space="0" w:color="auto"/>
              <w:right w:val="single" w:sz="4" w:space="0" w:color="auto"/>
            </w:tcBorders>
            <w:shd w:val="clear" w:color="auto" w:fill="C6EFCE"/>
            <w:noWrap/>
          </w:tcPr>
          <w:p w14:paraId="3645F586" w14:textId="77777777"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Zadanie zákazky na:</w:t>
            </w:r>
          </w:p>
          <w:p w14:paraId="36C6C8E2" w14:textId="77777777" w:rsidR="00083739" w:rsidRPr="00083739" w:rsidRDefault="00BF4125">
            <w:pPr>
              <w:pStyle w:val="P68B1DB1-ListParagraph38"/>
              <w:numPr>
                <w:ilvl w:val="0"/>
                <w:numId w:val="85"/>
              </w:numPr>
              <w:spacing w:after="0" w:line="240" w:lineRule="auto"/>
              <w:rPr>
                <w:rFonts w:ascii="Times New Roman" w:eastAsiaTheme="minorEastAsia" w:hAnsi="Times New Roman" w:cs="Times New Roman"/>
                <w:noProof/>
                <w:lang w:val="sk-SK"/>
              </w:rPr>
            </w:pPr>
            <w:r w:rsidRPr="00083739">
              <w:rPr>
                <w:rFonts w:ascii="Times New Roman" w:hAnsi="Times New Roman" w:cs="Times New Roman"/>
                <w:noProof/>
                <w:lang w:val="sk-SK"/>
              </w:rPr>
              <w:t xml:space="preserve">Vývoj verejného </w:t>
            </w:r>
            <w:r w:rsidRPr="00083739">
              <w:rPr>
                <w:rFonts w:ascii="Times New Roman" w:eastAsiaTheme="minorEastAsia" w:hAnsi="Times New Roman" w:cs="Times New Roman"/>
                <w:noProof/>
                <w:lang w:val="sk-SK"/>
              </w:rPr>
              <w:t>informačného systému úverového ratingu</w:t>
            </w:r>
            <w:r w:rsidR="00083739" w:rsidRPr="00083739">
              <w:rPr>
                <w:rFonts w:ascii="Times New Roman" w:eastAsiaTheme="minorEastAsia" w:hAnsi="Times New Roman" w:cs="Times New Roman"/>
                <w:noProof/>
                <w:lang w:val="sk-SK"/>
              </w:rPr>
              <w:t>;</w:t>
            </w:r>
          </w:p>
          <w:p w14:paraId="6775F045" w14:textId="16C8F760" w:rsidR="002D49B0" w:rsidRPr="00083739" w:rsidRDefault="00BF4125">
            <w:pPr>
              <w:pStyle w:val="P68B1DB1-ListParagraph20"/>
              <w:numPr>
                <w:ilvl w:val="0"/>
                <w:numId w:val="85"/>
              </w:numPr>
              <w:spacing w:after="0" w:line="240" w:lineRule="auto"/>
              <w:rPr>
                <w:rFonts w:ascii="Times New Roman" w:hAnsi="Times New Roman" w:cs="Times New Roman"/>
                <w:noProof/>
                <w:lang w:val="sk-SK"/>
              </w:rPr>
            </w:pPr>
            <w:r w:rsidRPr="00083739">
              <w:rPr>
                <w:rFonts w:ascii="Times New Roman" w:hAnsi="Times New Roman" w:cs="Times New Roman"/>
                <w:noProof/>
                <w:lang w:val="sk-SK"/>
              </w:rPr>
              <w:t>Vytvorenie registra monitorovania súkromného dlhu;</w:t>
            </w:r>
          </w:p>
          <w:p w14:paraId="328F7D01" w14:textId="77777777" w:rsidR="002D49B0" w:rsidRPr="00083739" w:rsidRDefault="00BF4125">
            <w:pPr>
              <w:pStyle w:val="P68B1DB1-ListParagraph20"/>
              <w:numPr>
                <w:ilvl w:val="0"/>
                <w:numId w:val="85"/>
              </w:numPr>
              <w:spacing w:after="0" w:line="240" w:lineRule="auto"/>
              <w:rPr>
                <w:rFonts w:ascii="Times New Roman" w:hAnsi="Times New Roman" w:cs="Times New Roman"/>
                <w:noProof/>
                <w:lang w:val="sk-SK"/>
              </w:rPr>
            </w:pPr>
            <w:r w:rsidRPr="00083739">
              <w:rPr>
                <w:rFonts w:ascii="Times New Roman" w:hAnsi="Times New Roman" w:cs="Times New Roman"/>
                <w:noProof/>
                <w:lang w:val="sk-SK"/>
              </w:rPr>
              <w:t>Vývoj centrálneho úverového registra.</w:t>
            </w:r>
          </w:p>
          <w:p w14:paraId="45BB6575" w14:textId="77777777" w:rsidR="002D49B0" w:rsidRPr="00083739" w:rsidRDefault="002D49B0">
            <w:pPr>
              <w:spacing w:after="0" w:line="240" w:lineRule="auto"/>
              <w:rPr>
                <w:rFonts w:ascii="Times New Roman" w:hAnsi="Times New Roman" w:cs="Times New Roman"/>
                <w:noProof/>
                <w:color w:val="006100"/>
                <w:sz w:val="18"/>
                <w:lang w:val="sk-SK"/>
              </w:rPr>
            </w:pPr>
          </w:p>
        </w:tc>
      </w:tr>
      <w:tr w:rsidR="002D49B0" w:rsidRPr="00083739" w14:paraId="3C491FF7" w14:textId="77777777">
        <w:trPr>
          <w:trHeight w:val="309"/>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6AB0DC2B" w14:textId="77777777"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244c</w:t>
            </w:r>
          </w:p>
        </w:tc>
        <w:tc>
          <w:tcPr>
            <w:tcW w:w="1942" w:type="dxa"/>
            <w:tcBorders>
              <w:top w:val="single" w:sz="4" w:space="0" w:color="auto"/>
              <w:left w:val="single" w:sz="4" w:space="0" w:color="auto"/>
              <w:bottom w:val="single" w:sz="4" w:space="0" w:color="auto"/>
              <w:right w:val="single" w:sz="4" w:space="0" w:color="auto"/>
            </w:tcBorders>
            <w:shd w:val="clear" w:color="auto" w:fill="C6EFCE"/>
            <w:noWrap/>
          </w:tcPr>
          <w:p w14:paraId="1DFB3F7B" w14:textId="3BBF6F9A"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15 – 4.4. Posilnenie finančného sektora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kapitálových trhov – 16957_Posilnenie kapacity finančného systému</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 xml:space="preserve">cieľom </w:t>
            </w:r>
            <w:r w:rsidRPr="00083739">
              <w:rPr>
                <w:rFonts w:ascii="Times New Roman" w:hAnsi="Times New Roman" w:cs="Times New Roman"/>
                <w:noProof/>
                <w:lang w:val="sk-SK"/>
              </w:rPr>
              <w:t>prekonať výzvy</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minulosti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financovať reálnu ekonomiku</w:t>
            </w:r>
          </w:p>
        </w:tc>
        <w:tc>
          <w:tcPr>
            <w:tcW w:w="966" w:type="dxa"/>
            <w:tcBorders>
              <w:top w:val="single" w:sz="4" w:space="0" w:color="auto"/>
              <w:left w:val="single" w:sz="4" w:space="0" w:color="auto"/>
              <w:bottom w:val="single" w:sz="4" w:space="0" w:color="auto"/>
              <w:right w:val="single" w:sz="4" w:space="0" w:color="auto"/>
            </w:tcBorders>
            <w:shd w:val="clear" w:color="auto" w:fill="C6EFCE"/>
            <w:noWrap/>
          </w:tcPr>
          <w:p w14:paraId="4ABF0DB3" w14:textId="77777777"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Míľnik</w:t>
            </w:r>
          </w:p>
        </w:tc>
        <w:tc>
          <w:tcPr>
            <w:tcW w:w="1253" w:type="dxa"/>
            <w:tcBorders>
              <w:top w:val="single" w:sz="4" w:space="0" w:color="auto"/>
              <w:left w:val="single" w:sz="4" w:space="0" w:color="auto"/>
              <w:bottom w:val="single" w:sz="4" w:space="0" w:color="auto"/>
              <w:right w:val="single" w:sz="4" w:space="0" w:color="auto"/>
            </w:tcBorders>
            <w:shd w:val="clear" w:color="auto" w:fill="C6EFCE"/>
            <w:noWrap/>
          </w:tcPr>
          <w:p w14:paraId="1E7D78D3" w14:textId="77777777"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Dokončenie politických opatrení národnej stratégie pre správu súkromného dlhu, zriadenie centrálneho registra úverov</w:t>
            </w:r>
          </w:p>
        </w:tc>
        <w:tc>
          <w:tcPr>
            <w:tcW w:w="1576" w:type="dxa"/>
            <w:tcBorders>
              <w:top w:val="single" w:sz="4" w:space="0" w:color="auto"/>
              <w:left w:val="single" w:sz="4" w:space="0" w:color="auto"/>
              <w:bottom w:val="single" w:sz="4" w:space="0" w:color="auto"/>
              <w:right w:val="single" w:sz="4" w:space="0" w:color="auto"/>
            </w:tcBorders>
            <w:shd w:val="clear" w:color="auto" w:fill="C6EFCE"/>
            <w:noWrap/>
          </w:tcPr>
          <w:p w14:paraId="4E91069A" w14:textId="1389C94A"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Správa,</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ktorej sa potvrdzuje, že všetky opatrenia sú dokončené,</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prípade</w:t>
            </w:r>
            <w:r w:rsidRPr="00083739">
              <w:rPr>
                <w:rFonts w:ascii="Times New Roman" w:hAnsi="Times New Roman" w:cs="Times New Roman"/>
                <w:noProof/>
                <w:lang w:val="sk-SK"/>
              </w:rPr>
              <w:t xml:space="preserve"> potreby vrátane nadobudnutia účinnosti príslušných právnych predpisov</w:t>
            </w:r>
          </w:p>
        </w:tc>
        <w:tc>
          <w:tcPr>
            <w:tcW w:w="968" w:type="dxa"/>
            <w:tcBorders>
              <w:top w:val="single" w:sz="4" w:space="0" w:color="auto"/>
              <w:left w:val="single" w:sz="4" w:space="0" w:color="auto"/>
              <w:bottom w:val="single" w:sz="4" w:space="0" w:color="auto"/>
              <w:right w:val="single" w:sz="4" w:space="0" w:color="auto"/>
            </w:tcBorders>
            <w:shd w:val="clear" w:color="auto" w:fill="C6EFCE"/>
            <w:noWrap/>
          </w:tcPr>
          <w:p w14:paraId="2CB71485" w14:textId="77777777" w:rsidR="002D49B0" w:rsidRPr="00083739" w:rsidRDefault="002D49B0">
            <w:pPr>
              <w:spacing w:after="0" w:line="240" w:lineRule="auto"/>
              <w:rPr>
                <w:rFonts w:ascii="Times New Roman" w:hAnsi="Times New Roman" w:cs="Times New Roman"/>
                <w:noProof/>
                <w:color w:val="006100"/>
                <w:sz w:val="18"/>
                <w:lang w:val="sk-SK"/>
              </w:rPr>
            </w:pPr>
          </w:p>
        </w:tc>
        <w:tc>
          <w:tcPr>
            <w:tcW w:w="857" w:type="dxa"/>
            <w:tcBorders>
              <w:top w:val="single" w:sz="4" w:space="0" w:color="auto"/>
              <w:left w:val="single" w:sz="4" w:space="0" w:color="auto"/>
              <w:bottom w:val="single" w:sz="4" w:space="0" w:color="auto"/>
              <w:right w:val="single" w:sz="4" w:space="0" w:color="auto"/>
            </w:tcBorders>
            <w:shd w:val="clear" w:color="auto" w:fill="C6EFCE"/>
            <w:noWrap/>
          </w:tcPr>
          <w:p w14:paraId="069AEC3D" w14:textId="77777777" w:rsidR="002D49B0" w:rsidRPr="00083739" w:rsidRDefault="002D49B0">
            <w:pPr>
              <w:spacing w:after="0" w:line="240" w:lineRule="auto"/>
              <w:rPr>
                <w:rFonts w:ascii="Times New Roman" w:hAnsi="Times New Roman" w:cs="Times New Roman"/>
                <w:noProof/>
                <w:color w:val="006100"/>
                <w:sz w:val="18"/>
                <w:lang w:val="sk-SK"/>
              </w:rPr>
            </w:pPr>
          </w:p>
        </w:tc>
        <w:tc>
          <w:tcPr>
            <w:tcW w:w="587" w:type="dxa"/>
            <w:tcBorders>
              <w:top w:val="single" w:sz="4" w:space="0" w:color="auto"/>
              <w:left w:val="single" w:sz="4" w:space="0" w:color="auto"/>
              <w:bottom w:val="single" w:sz="4" w:space="0" w:color="auto"/>
              <w:right w:val="single" w:sz="4" w:space="0" w:color="auto"/>
            </w:tcBorders>
            <w:shd w:val="clear" w:color="auto" w:fill="C6EFCE"/>
            <w:noWrap/>
          </w:tcPr>
          <w:p w14:paraId="0065A34D" w14:textId="77777777" w:rsidR="002D49B0" w:rsidRPr="00083739" w:rsidRDefault="002D49B0">
            <w:pPr>
              <w:spacing w:after="0" w:line="240" w:lineRule="auto"/>
              <w:rPr>
                <w:rFonts w:ascii="Times New Roman" w:hAnsi="Times New Roman" w:cs="Times New Roman"/>
                <w:noProof/>
                <w:color w:val="006100"/>
                <w:sz w:val="18"/>
                <w:lang w:val="sk-SK"/>
              </w:rPr>
            </w:pPr>
          </w:p>
        </w:tc>
        <w:tc>
          <w:tcPr>
            <w:tcW w:w="846" w:type="dxa"/>
            <w:tcBorders>
              <w:top w:val="single" w:sz="4" w:space="0" w:color="auto"/>
              <w:left w:val="single" w:sz="4" w:space="0" w:color="auto"/>
              <w:bottom w:val="single" w:sz="4" w:space="0" w:color="auto"/>
              <w:right w:val="single" w:sz="4" w:space="0" w:color="auto"/>
            </w:tcBorders>
            <w:shd w:val="clear" w:color="auto" w:fill="C6EFCE"/>
            <w:noWrap/>
          </w:tcPr>
          <w:p w14:paraId="56366ADB" w14:textId="77777777"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ŠTVRTÝ ŠTVRŤROK</w:t>
            </w:r>
          </w:p>
        </w:tc>
        <w:tc>
          <w:tcPr>
            <w:tcW w:w="673" w:type="dxa"/>
            <w:tcBorders>
              <w:top w:val="single" w:sz="4" w:space="0" w:color="auto"/>
              <w:left w:val="single" w:sz="4" w:space="0" w:color="auto"/>
              <w:bottom w:val="single" w:sz="4" w:space="0" w:color="auto"/>
              <w:right w:val="single" w:sz="4" w:space="0" w:color="auto"/>
            </w:tcBorders>
            <w:shd w:val="clear" w:color="auto" w:fill="C6EFCE"/>
            <w:noWrap/>
          </w:tcPr>
          <w:p w14:paraId="00AE4202" w14:textId="77777777"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2025</w:t>
            </w:r>
          </w:p>
        </w:tc>
        <w:tc>
          <w:tcPr>
            <w:tcW w:w="5194" w:type="dxa"/>
            <w:tcBorders>
              <w:top w:val="single" w:sz="4" w:space="0" w:color="auto"/>
              <w:left w:val="single" w:sz="4" w:space="0" w:color="auto"/>
              <w:bottom w:val="single" w:sz="4" w:space="0" w:color="auto"/>
              <w:right w:val="single" w:sz="4" w:space="0" w:color="auto"/>
            </w:tcBorders>
            <w:shd w:val="clear" w:color="auto" w:fill="C6EFCE"/>
            <w:noWrap/>
          </w:tcPr>
          <w:p w14:paraId="3B995C2E" w14:textId="77777777" w:rsidR="00083739" w:rsidRPr="00083739" w:rsidRDefault="00BF4125">
            <w:pPr>
              <w:pStyle w:val="P68B1DB1-ListParagraph20"/>
              <w:numPr>
                <w:ilvl w:val="0"/>
                <w:numId w:val="87"/>
              </w:numPr>
              <w:spacing w:after="0" w:line="240" w:lineRule="auto"/>
              <w:ind w:left="113" w:hanging="142"/>
              <w:rPr>
                <w:rFonts w:ascii="Times New Roman" w:hAnsi="Times New Roman" w:cs="Times New Roman"/>
                <w:noProof/>
                <w:lang w:val="sk-SK"/>
              </w:rPr>
            </w:pPr>
            <w:r w:rsidRPr="00083739">
              <w:rPr>
                <w:rFonts w:ascii="Times New Roman" w:hAnsi="Times New Roman" w:cs="Times New Roman"/>
                <w:noProof/>
                <w:lang w:val="sk-SK"/>
              </w:rPr>
              <w:t xml:space="preserve"> Dokončenie politických opatrení plánovaných</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národnej stratégii pre riadenie súkromného dlhu, najmä prostredníctvom:</w:t>
            </w:r>
          </w:p>
          <w:p w14:paraId="4B002710" w14:textId="7A12BAE8" w:rsidR="002D49B0" w:rsidRPr="00083739" w:rsidRDefault="002D49B0">
            <w:pPr>
              <w:spacing w:after="0" w:line="240" w:lineRule="auto"/>
              <w:rPr>
                <w:rFonts w:ascii="Times New Roman" w:hAnsi="Times New Roman" w:cs="Times New Roman"/>
                <w:noProof/>
                <w:color w:val="006100"/>
                <w:sz w:val="18"/>
                <w:lang w:val="sk-SK"/>
              </w:rPr>
            </w:pPr>
          </w:p>
          <w:p w14:paraId="53A7621F" w14:textId="4B518C5B" w:rsidR="00083739" w:rsidRPr="00083739" w:rsidRDefault="00BF4125">
            <w:pPr>
              <w:pStyle w:val="P68B1DB1-ListParagraph38"/>
              <w:numPr>
                <w:ilvl w:val="1"/>
                <w:numId w:val="88"/>
              </w:numPr>
              <w:spacing w:after="0" w:line="240" w:lineRule="auto"/>
              <w:ind w:left="397" w:hanging="284"/>
              <w:rPr>
                <w:rFonts w:ascii="Times New Roman" w:hAnsi="Times New Roman" w:cs="Times New Roman"/>
                <w:noProof/>
                <w:lang w:val="sk-SK"/>
              </w:rPr>
            </w:pPr>
            <w:r w:rsidRPr="00083739">
              <w:rPr>
                <w:rFonts w:ascii="Times New Roman" w:hAnsi="Times New Roman" w:cs="Times New Roman"/>
                <w:noProof/>
                <w:lang w:val="sk-SK"/>
              </w:rPr>
              <w:t>Zriadenie informačného systému Publi</w:t>
            </w:r>
            <w:r w:rsidRPr="00083739">
              <w:rPr>
                <w:rFonts w:ascii="Times New Roman" w:eastAsiaTheme="minorEastAsia" w:hAnsi="Times New Roman" w:cs="Times New Roman"/>
                <w:noProof/>
                <w:lang w:val="sk-SK"/>
              </w:rPr>
              <w:t>c Cre</w:t>
            </w:r>
            <w:r w:rsidRPr="00083739">
              <w:rPr>
                <w:rFonts w:ascii="Times New Roman" w:eastAsiaTheme="minorEastAsia" w:hAnsi="Times New Roman" w:cs="Times New Roman"/>
                <w:noProof/>
                <w:lang w:val="sk-SK"/>
              </w:rPr>
              <w:t>dit Rating System (PCRIS). Zahŕňa</w:t>
            </w:r>
            <w:r w:rsidRPr="00083739">
              <w:rPr>
                <w:rFonts w:ascii="Times New Roman" w:hAnsi="Times New Roman" w:cs="Times New Roman"/>
                <w:noProof/>
                <w:lang w:val="sk-SK"/>
              </w:rPr>
              <w:t>vývoj informačného systému, ktorý obsahuje centrálnu databázu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jednotný systém úverového ratingu na hodnotenie úverovej bonity dlžníkov (jednotlivcov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právnických osôb) na základe údajov verejného sektora</w:t>
            </w:r>
            <w:r w:rsidR="00083739" w:rsidRPr="00083739">
              <w:rPr>
                <w:rFonts w:ascii="Times New Roman" w:hAnsi="Times New Roman" w:cs="Times New Roman"/>
                <w:noProof/>
                <w:lang w:val="sk-SK"/>
              </w:rPr>
              <w:t>.</w:t>
            </w:r>
          </w:p>
          <w:p w14:paraId="4C46B697" w14:textId="6953EC91" w:rsidR="002D49B0" w:rsidRPr="00083739" w:rsidRDefault="002D49B0">
            <w:pPr>
              <w:spacing w:after="0" w:line="240" w:lineRule="auto"/>
              <w:rPr>
                <w:rFonts w:ascii="Times New Roman" w:hAnsi="Times New Roman" w:cs="Times New Roman"/>
                <w:noProof/>
                <w:color w:val="006100"/>
                <w:sz w:val="18"/>
                <w:lang w:val="sk-SK"/>
              </w:rPr>
            </w:pPr>
          </w:p>
          <w:p w14:paraId="4FD793D3" w14:textId="2D3D455E" w:rsidR="002D49B0" w:rsidRPr="00083739" w:rsidRDefault="00BF4125">
            <w:pPr>
              <w:pStyle w:val="P68B1DB1-ListParagraph20"/>
              <w:numPr>
                <w:ilvl w:val="1"/>
                <w:numId w:val="88"/>
              </w:numPr>
              <w:spacing w:after="0" w:line="240" w:lineRule="auto"/>
              <w:ind w:left="397" w:hanging="284"/>
              <w:rPr>
                <w:rFonts w:ascii="Times New Roman" w:hAnsi="Times New Roman" w:cs="Times New Roman"/>
                <w:noProof/>
                <w:lang w:val="sk-SK"/>
              </w:rPr>
            </w:pPr>
            <w:r w:rsidRPr="00083739">
              <w:rPr>
                <w:rFonts w:ascii="Times New Roman" w:hAnsi="Times New Roman" w:cs="Times New Roman"/>
                <w:noProof/>
                <w:lang w:val="sk-SK"/>
              </w:rPr>
              <w:t xml:space="preserve">Spustenie </w:t>
            </w:r>
            <w:r w:rsidRPr="00083739">
              <w:rPr>
                <w:rFonts w:ascii="Times New Roman" w:hAnsi="Times New Roman" w:cs="Times New Roman"/>
                <w:noProof/>
                <w:lang w:val="sk-SK"/>
              </w:rPr>
              <w:t>informačného systému pre register monitorovania súkromného dlhu, ktorý zhromažďuje údaje od verejných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súkromných veriteľov, ako aj</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iných relevantných zdrojov.</w:t>
            </w:r>
          </w:p>
          <w:p w14:paraId="1C4EDEBF" w14:textId="77777777" w:rsidR="002D49B0" w:rsidRPr="00083739" w:rsidRDefault="002D49B0">
            <w:pPr>
              <w:spacing w:after="0" w:line="240" w:lineRule="auto"/>
              <w:rPr>
                <w:rFonts w:ascii="Times New Roman" w:hAnsi="Times New Roman" w:cs="Times New Roman"/>
                <w:noProof/>
                <w:color w:val="006100"/>
                <w:sz w:val="18"/>
                <w:lang w:val="sk-SK"/>
              </w:rPr>
            </w:pPr>
          </w:p>
          <w:p w14:paraId="618AAD89" w14:textId="129D7EB7" w:rsidR="00083739" w:rsidRPr="00083739" w:rsidRDefault="00BF4125">
            <w:pPr>
              <w:pStyle w:val="P68B1DB1-ListParagraph20"/>
              <w:numPr>
                <w:ilvl w:val="1"/>
                <w:numId w:val="88"/>
              </w:numPr>
              <w:spacing w:after="0" w:line="240" w:lineRule="auto"/>
              <w:ind w:left="397" w:hanging="284"/>
              <w:rPr>
                <w:rFonts w:ascii="Times New Roman" w:hAnsi="Times New Roman" w:cs="Times New Roman"/>
                <w:noProof/>
                <w:lang w:val="sk-SK"/>
              </w:rPr>
            </w:pPr>
            <w:r w:rsidRPr="00083739">
              <w:rPr>
                <w:rFonts w:ascii="Times New Roman" w:hAnsi="Times New Roman" w:cs="Times New Roman"/>
                <w:noProof/>
                <w:lang w:val="sk-SK"/>
              </w:rPr>
              <w:t>Uľahčenie transakcií</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nesplácanými úvermi prostredníctvom týchto opatrení</w:t>
            </w:r>
            <w:r w:rsidR="00083739" w:rsidRPr="00083739">
              <w:rPr>
                <w:rFonts w:ascii="Times New Roman" w:hAnsi="Times New Roman" w:cs="Times New Roman"/>
                <w:noProof/>
                <w:lang w:val="sk-SK"/>
              </w:rPr>
              <w:t>:</w:t>
            </w:r>
          </w:p>
          <w:p w14:paraId="7E30E708" w14:textId="2C34A19B" w:rsidR="002D49B0" w:rsidRPr="00083739" w:rsidRDefault="00BF4125">
            <w:pPr>
              <w:pStyle w:val="P68B1DB1-ListParagraph38"/>
              <w:numPr>
                <w:ilvl w:val="0"/>
                <w:numId w:val="86"/>
              </w:numPr>
              <w:spacing w:after="0" w:line="240" w:lineRule="auto"/>
              <w:ind w:left="851" w:hanging="567"/>
              <w:rPr>
                <w:rFonts w:ascii="Times New Roman" w:hAnsi="Times New Roman" w:cs="Times New Roman"/>
                <w:noProof/>
                <w:lang w:val="sk-SK"/>
              </w:rPr>
            </w:pPr>
            <w:r w:rsidRPr="00083739">
              <w:rPr>
                <w:rFonts w:ascii="Times New Roman" w:hAnsi="Times New Roman" w:cs="Times New Roman"/>
                <w:noProof/>
                <w:lang w:val="sk-SK"/>
              </w:rPr>
              <w:t>Vytvorenie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podpora používania spoločného vzoru údajov pre transakcie</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nesplácanými úvermi vrátane nesplácaných úverov, ktoré sa po reštrukturalizácii opätovne splácajú, ktorý by dopĺňal existujúci vzor EBA;</w:t>
            </w:r>
          </w:p>
          <w:p w14:paraId="351C0CE0" w14:textId="7EDCCCED" w:rsidR="002D49B0" w:rsidRPr="00083739" w:rsidRDefault="00BF4125">
            <w:pPr>
              <w:pStyle w:val="P68B1DB1-ListParagraph20"/>
              <w:numPr>
                <w:ilvl w:val="0"/>
                <w:numId w:val="86"/>
              </w:numPr>
              <w:spacing w:after="0" w:line="240" w:lineRule="auto"/>
              <w:ind w:left="851" w:hanging="567"/>
              <w:rPr>
                <w:rFonts w:ascii="Times New Roman" w:hAnsi="Times New Roman" w:cs="Times New Roman"/>
                <w:noProof/>
                <w:lang w:val="sk-SK"/>
              </w:rPr>
            </w:pPr>
            <w:r w:rsidRPr="00083739">
              <w:rPr>
                <w:rFonts w:ascii="Times New Roman" w:hAnsi="Times New Roman" w:cs="Times New Roman"/>
                <w:noProof/>
                <w:lang w:val="sk-SK"/>
              </w:rPr>
              <w:t>Vytvorenie spoločného vzoru na preverovanie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hodnotenie po</w:t>
            </w:r>
            <w:r w:rsidRPr="00083739">
              <w:rPr>
                <w:rFonts w:ascii="Times New Roman" w:hAnsi="Times New Roman" w:cs="Times New Roman"/>
                <w:noProof/>
                <w:lang w:val="sk-SK"/>
              </w:rPr>
              <w:t>rtfólia;</w:t>
            </w:r>
          </w:p>
          <w:p w14:paraId="1026C7AB" w14:textId="14964BB8" w:rsidR="002D49B0" w:rsidRPr="00083739" w:rsidRDefault="00BF4125">
            <w:pPr>
              <w:pStyle w:val="P68B1DB1-ListParagraph20"/>
              <w:numPr>
                <w:ilvl w:val="0"/>
                <w:numId w:val="86"/>
              </w:numPr>
              <w:spacing w:after="0" w:line="240" w:lineRule="auto"/>
              <w:ind w:left="851" w:hanging="567"/>
              <w:rPr>
                <w:rFonts w:ascii="Times New Roman" w:hAnsi="Times New Roman" w:cs="Times New Roman"/>
                <w:noProof/>
                <w:lang w:val="sk-SK"/>
              </w:rPr>
            </w:pPr>
            <w:r w:rsidRPr="00083739">
              <w:rPr>
                <w:rFonts w:ascii="Times New Roman" w:hAnsi="Times New Roman" w:cs="Times New Roman"/>
                <w:noProof/>
                <w:lang w:val="sk-SK"/>
              </w:rPr>
              <w:t>Spustenie transakčnej platformy pre portfóliá nesplácaných úverov</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cieľom pomôcť predávajúcim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kupujúcim vymieňať si informácie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predkladať ponuky efektívnym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dôverným spôsobom, pričom sa zohľadnia existujúce riešenia na trhu.</w:t>
            </w:r>
          </w:p>
          <w:p w14:paraId="3AC699E1" w14:textId="77777777" w:rsidR="002D49B0" w:rsidRPr="00083739" w:rsidRDefault="002D49B0">
            <w:pPr>
              <w:pStyle w:val="ListParagraph"/>
              <w:spacing w:after="0" w:line="240" w:lineRule="auto"/>
              <w:ind w:left="851"/>
              <w:rPr>
                <w:rFonts w:ascii="Times New Roman" w:hAnsi="Times New Roman" w:cs="Times New Roman"/>
                <w:noProof/>
                <w:color w:val="006100"/>
                <w:sz w:val="18"/>
                <w:lang w:val="sk-SK"/>
              </w:rPr>
            </w:pPr>
          </w:p>
          <w:p w14:paraId="6BC36CD1" w14:textId="3E42A07E" w:rsidR="00083739" w:rsidRPr="00083739" w:rsidRDefault="00BF4125">
            <w:pPr>
              <w:pStyle w:val="P68B1DB1-ListParagraph38"/>
              <w:numPr>
                <w:ilvl w:val="0"/>
                <w:numId w:val="87"/>
              </w:numPr>
              <w:spacing w:after="0" w:line="240" w:lineRule="auto"/>
              <w:ind w:left="113" w:hanging="142"/>
              <w:rPr>
                <w:rFonts w:ascii="Times New Roman" w:hAnsi="Times New Roman" w:cs="Times New Roman"/>
                <w:noProof/>
                <w:lang w:val="sk-SK"/>
              </w:rPr>
            </w:pPr>
            <w:r w:rsidRPr="00083739">
              <w:rPr>
                <w:rFonts w:ascii="Times New Roman" w:hAnsi="Times New Roman" w:cs="Times New Roman"/>
                <w:noProof/>
                <w:lang w:val="sk-SK"/>
              </w:rPr>
              <w:t xml:space="preserve"> Zriadenie cent</w:t>
            </w:r>
            <w:r w:rsidRPr="00083739">
              <w:rPr>
                <w:rFonts w:ascii="Times New Roman" w:hAnsi="Times New Roman" w:cs="Times New Roman"/>
                <w:noProof/>
                <w:lang w:val="sk-SK"/>
              </w:rPr>
              <w:t>rálneho úverového registra (CCR)</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spustenie potrebnej IT infraštruktúry ako vnútroštátnej databázy spravovanej Bank of Greece (BoG), ktorá zaznamenáva históriu platieb každého úveru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druhy poskytnutého kolaterálu. CCR prostredníctvom zberu príslušných úd</w:t>
            </w:r>
            <w:r w:rsidRPr="00083739">
              <w:rPr>
                <w:rFonts w:ascii="Times New Roman" w:hAnsi="Times New Roman" w:cs="Times New Roman"/>
                <w:noProof/>
                <w:lang w:val="sk-SK"/>
              </w:rPr>
              <w:t>ajov prispieva aj</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prevádzke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funkciám strediska pre monitorovanie rozšírenia úverov na monitorovanie vývoja rozširovania úverov. Správna rada koná ako prevádzkovateľ údajov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zabezpečuje zavedenie prísnych protokolov bezpečnosti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ochrany údajov</w:t>
            </w:r>
            <w:r w:rsidR="00083739" w:rsidRPr="00083739">
              <w:rPr>
                <w:rFonts w:ascii="Times New Roman" w:hAnsi="Times New Roman" w:cs="Times New Roman"/>
                <w:noProof/>
                <w:lang w:val="sk-SK"/>
              </w:rPr>
              <w:t>.</w:t>
            </w:r>
          </w:p>
          <w:p w14:paraId="31E3FA80" w14:textId="7EA5D85E" w:rsidR="002D49B0" w:rsidRPr="00083739" w:rsidRDefault="00BF4125">
            <w:pPr>
              <w:pStyle w:val="P68B1DB1-ListParagraph38"/>
              <w:numPr>
                <w:ilvl w:val="0"/>
                <w:numId w:val="87"/>
              </w:numPr>
              <w:spacing w:after="0" w:line="240" w:lineRule="auto"/>
              <w:ind w:left="113" w:hanging="142"/>
              <w:rPr>
                <w:rFonts w:ascii="Times New Roman" w:hAnsi="Times New Roman" w:cs="Times New Roman"/>
                <w:noProof/>
                <w:lang w:val="sk-SK"/>
              </w:rPr>
            </w:pPr>
            <w:r w:rsidRPr="00083739">
              <w:rPr>
                <w:rFonts w:ascii="Times New Roman" w:hAnsi="Times New Roman" w:cs="Times New Roman"/>
                <w:noProof/>
                <w:lang w:val="sk-SK"/>
              </w:rPr>
              <w:t xml:space="preserve"> Nadob</w:t>
            </w:r>
            <w:r w:rsidRPr="00083739">
              <w:rPr>
                <w:rFonts w:ascii="Times New Roman" w:hAnsi="Times New Roman" w:cs="Times New Roman"/>
                <w:noProof/>
                <w:lang w:val="sk-SK"/>
              </w:rPr>
              <w:t>udnutie účinnosti právnych predpisov</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vybavovaní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správe prípadov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zníženie počtu nevybavených prípadov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exekučných konaniach určených na zefektívnenie postupov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urýchlenie riešenia prípadov prostredníctvom zmien Občianskeho súdneho poriadku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vytvorenie mechanizmu na zmenu termínu pojednávania pre námietky „pred aukciou“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 aukcii“.</w:t>
            </w:r>
          </w:p>
          <w:p w14:paraId="4CB0F8E4" w14:textId="77777777" w:rsidR="002D49B0" w:rsidRPr="00083739" w:rsidRDefault="002D49B0">
            <w:pPr>
              <w:spacing w:after="0" w:line="240" w:lineRule="auto"/>
              <w:rPr>
                <w:rFonts w:ascii="Times New Roman" w:hAnsi="Times New Roman" w:cs="Times New Roman"/>
                <w:noProof/>
                <w:color w:val="006100"/>
                <w:sz w:val="18"/>
                <w:lang w:val="sk-SK"/>
              </w:rPr>
            </w:pPr>
          </w:p>
        </w:tc>
      </w:tr>
    </w:tbl>
    <w:p w14:paraId="4FE84E92" w14:textId="77777777" w:rsidR="002D49B0" w:rsidRPr="00083739" w:rsidRDefault="002D49B0">
      <w:pPr>
        <w:spacing w:before="120" w:after="120" w:line="240" w:lineRule="auto"/>
        <w:ind w:left="709"/>
        <w:jc w:val="both"/>
        <w:rPr>
          <w:rFonts w:ascii="Times New Roman" w:hAnsi="Times New Roman" w:cs="Times New Roman"/>
          <w:noProof/>
          <w:sz w:val="24"/>
          <w:lang w:val="sk-SK"/>
        </w:rPr>
        <w:sectPr w:rsidR="002D49B0" w:rsidRPr="00083739" w:rsidSect="00271D33">
          <w:headerReference w:type="even" r:id="rId253"/>
          <w:headerReference w:type="default" r:id="rId254"/>
          <w:footerReference w:type="even" r:id="rId255"/>
          <w:footerReference w:type="default" r:id="rId256"/>
          <w:headerReference w:type="first" r:id="rId257"/>
          <w:footerReference w:type="first" r:id="rId258"/>
          <w:pgSz w:w="16839" w:h="11907" w:orient="landscape"/>
          <w:pgMar w:top="720" w:right="720" w:bottom="720" w:left="720" w:header="709" w:footer="501" w:gutter="0"/>
          <w:cols w:space="720"/>
          <w:docGrid w:linePitch="360"/>
        </w:sectPr>
      </w:pPr>
    </w:p>
    <w:p w14:paraId="1E1B0B69" w14:textId="77777777" w:rsidR="002D49B0" w:rsidRPr="00083739" w:rsidRDefault="00BF4125">
      <w:pPr>
        <w:pStyle w:val="P68B1DB1-Normal2"/>
        <w:spacing w:before="120" w:after="120" w:line="240" w:lineRule="auto"/>
        <w:ind w:firstLine="6"/>
        <w:jc w:val="both"/>
        <w:outlineLvl w:val="3"/>
        <w:rPr>
          <w:rFonts w:cs="Times New Roman"/>
          <w:bCs/>
          <w:noProof/>
          <w:lang w:val="sk-SK"/>
        </w:rPr>
      </w:pPr>
      <w:r w:rsidRPr="00083739">
        <w:rPr>
          <w:rFonts w:cs="Times New Roman"/>
          <w:noProof/>
          <w:lang w:val="sk-SK"/>
        </w:rPr>
        <w:t>P. KOMPONENT 4.5: PODPORIŤ VÝSKUM A INOVÁCIE</w:t>
      </w:r>
    </w:p>
    <w:p w14:paraId="0E9182DB" w14:textId="0C2761E3"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Kľúčovými cieľmi tohto</w:t>
      </w:r>
      <w:r w:rsidRPr="00083739">
        <w:rPr>
          <w:rFonts w:cs="Times New Roman"/>
          <w:noProof/>
          <w:lang w:val="sk-SK"/>
        </w:rPr>
        <w:t xml:space="preserve"> komponentu gréckeho plánu obnovy</w:t>
      </w:r>
      <w:r w:rsidR="00083739" w:rsidRPr="00083739">
        <w:rPr>
          <w:rFonts w:cs="Times New Roman"/>
          <w:noProof/>
          <w:lang w:val="sk-SK"/>
        </w:rPr>
        <w:t xml:space="preserve"> a </w:t>
      </w:r>
      <w:r w:rsidRPr="00083739">
        <w:rPr>
          <w:rFonts w:cs="Times New Roman"/>
          <w:noProof/>
          <w:lang w:val="sk-SK"/>
        </w:rPr>
        <w:t>odolnosti je zvýšiť verejné</w:t>
      </w:r>
      <w:r w:rsidR="00083739" w:rsidRPr="00083739">
        <w:rPr>
          <w:rFonts w:cs="Times New Roman"/>
          <w:noProof/>
          <w:lang w:val="sk-SK"/>
        </w:rPr>
        <w:t xml:space="preserve"> a </w:t>
      </w:r>
      <w:r w:rsidRPr="00083739">
        <w:rPr>
          <w:rFonts w:cs="Times New Roman"/>
          <w:noProof/>
          <w:lang w:val="sk-SK"/>
        </w:rPr>
        <w:t>súkromné investície do výskumu</w:t>
      </w:r>
      <w:r w:rsidR="00083739" w:rsidRPr="00083739">
        <w:rPr>
          <w:rFonts w:cs="Times New Roman"/>
          <w:noProof/>
          <w:lang w:val="sk-SK"/>
        </w:rPr>
        <w:t xml:space="preserve"> a </w:t>
      </w:r>
      <w:r w:rsidRPr="00083739">
        <w:rPr>
          <w:rFonts w:cs="Times New Roman"/>
          <w:noProof/>
          <w:lang w:val="sk-SK"/>
        </w:rPr>
        <w:t>vývoja, posilniť väzby medzi vedou</w:t>
      </w:r>
      <w:r w:rsidR="00083739" w:rsidRPr="00083739">
        <w:rPr>
          <w:rFonts w:cs="Times New Roman"/>
          <w:noProof/>
          <w:lang w:val="sk-SK"/>
        </w:rPr>
        <w:t xml:space="preserve"> a </w:t>
      </w:r>
      <w:r w:rsidRPr="00083739">
        <w:rPr>
          <w:rFonts w:cs="Times New Roman"/>
          <w:noProof/>
          <w:lang w:val="sk-SK"/>
        </w:rPr>
        <w:t>podnikmi</w:t>
      </w:r>
      <w:r w:rsidR="00083739" w:rsidRPr="00083739">
        <w:rPr>
          <w:rFonts w:cs="Times New Roman"/>
          <w:noProof/>
          <w:lang w:val="sk-SK"/>
        </w:rPr>
        <w:t xml:space="preserve"> a </w:t>
      </w:r>
      <w:r w:rsidRPr="00083739">
        <w:rPr>
          <w:rFonts w:cs="Times New Roman"/>
          <w:noProof/>
          <w:lang w:val="sk-SK"/>
        </w:rPr>
        <w:t>vytvoriť priekopnícku infraštruktúru</w:t>
      </w:r>
      <w:r w:rsidR="00083739" w:rsidRPr="00083739">
        <w:rPr>
          <w:rFonts w:cs="Times New Roman"/>
          <w:noProof/>
          <w:lang w:val="sk-SK"/>
        </w:rPr>
        <w:t xml:space="preserve"> v </w:t>
      </w:r>
      <w:r w:rsidRPr="00083739">
        <w:rPr>
          <w:rFonts w:cs="Times New Roman"/>
          <w:noProof/>
          <w:lang w:val="sk-SK"/>
        </w:rPr>
        <w:t>oblasti výskumu</w:t>
      </w:r>
      <w:r w:rsidR="00083739" w:rsidRPr="00083739">
        <w:rPr>
          <w:rFonts w:cs="Times New Roman"/>
          <w:noProof/>
          <w:lang w:val="sk-SK"/>
        </w:rPr>
        <w:t xml:space="preserve"> a </w:t>
      </w:r>
      <w:r w:rsidRPr="00083739">
        <w:rPr>
          <w:rFonts w:cs="Times New Roman"/>
          <w:noProof/>
          <w:lang w:val="sk-SK"/>
        </w:rPr>
        <w:t>vývoja</w:t>
      </w:r>
      <w:r w:rsidR="00083739" w:rsidRPr="00083739">
        <w:rPr>
          <w:rFonts w:cs="Times New Roman"/>
          <w:noProof/>
          <w:lang w:val="sk-SK"/>
        </w:rPr>
        <w:t xml:space="preserve"> s </w:t>
      </w:r>
      <w:r w:rsidRPr="00083739">
        <w:rPr>
          <w:rFonts w:cs="Times New Roman"/>
          <w:noProof/>
          <w:lang w:val="sk-SK"/>
        </w:rPr>
        <w:t>cieľom zlepšiť výkonnosť Grécka</w:t>
      </w:r>
      <w:r w:rsidR="00083739" w:rsidRPr="00083739">
        <w:rPr>
          <w:rFonts w:cs="Times New Roman"/>
          <w:noProof/>
          <w:lang w:val="sk-SK"/>
        </w:rPr>
        <w:t xml:space="preserve"> v </w:t>
      </w:r>
      <w:r w:rsidRPr="00083739">
        <w:rPr>
          <w:rFonts w:cs="Times New Roman"/>
          <w:noProof/>
          <w:lang w:val="sk-SK"/>
        </w:rPr>
        <w:t xml:space="preserve">oblasti </w:t>
      </w:r>
      <w:r w:rsidRPr="00083739">
        <w:rPr>
          <w:rFonts w:cs="Times New Roman"/>
          <w:noProof/>
          <w:lang w:val="sk-SK"/>
        </w:rPr>
        <w:t>výskumu</w:t>
      </w:r>
      <w:r w:rsidR="00083739" w:rsidRPr="00083739">
        <w:rPr>
          <w:rFonts w:cs="Times New Roman"/>
          <w:noProof/>
          <w:lang w:val="sk-SK"/>
        </w:rPr>
        <w:t xml:space="preserve"> a </w:t>
      </w:r>
      <w:r w:rsidRPr="00083739">
        <w:rPr>
          <w:rFonts w:cs="Times New Roman"/>
          <w:noProof/>
          <w:lang w:val="sk-SK"/>
        </w:rPr>
        <w:t>inovácií. Očakáva sa, že sa to dosiahne prostredníctvom cielených reforiem</w:t>
      </w:r>
      <w:r w:rsidR="00083739" w:rsidRPr="00083739">
        <w:rPr>
          <w:rFonts w:cs="Times New Roman"/>
          <w:noProof/>
          <w:lang w:val="sk-SK"/>
        </w:rPr>
        <w:t xml:space="preserve"> a </w:t>
      </w:r>
      <w:r w:rsidRPr="00083739">
        <w:rPr>
          <w:rFonts w:cs="Times New Roman"/>
          <w:noProof/>
          <w:lang w:val="sk-SK"/>
        </w:rPr>
        <w:t>investícií na zvýšenie verejných</w:t>
      </w:r>
      <w:r w:rsidR="00083739" w:rsidRPr="00083739">
        <w:rPr>
          <w:rFonts w:cs="Times New Roman"/>
          <w:noProof/>
          <w:lang w:val="sk-SK"/>
        </w:rPr>
        <w:t xml:space="preserve"> a </w:t>
      </w:r>
      <w:r w:rsidRPr="00083739">
        <w:rPr>
          <w:rFonts w:cs="Times New Roman"/>
          <w:noProof/>
          <w:lang w:val="sk-SK"/>
        </w:rPr>
        <w:t>súkromných výdavkov na výskum</w:t>
      </w:r>
      <w:r w:rsidR="00083739" w:rsidRPr="00083739">
        <w:rPr>
          <w:rFonts w:cs="Times New Roman"/>
          <w:noProof/>
          <w:lang w:val="sk-SK"/>
        </w:rPr>
        <w:t xml:space="preserve"> a </w:t>
      </w:r>
      <w:r w:rsidRPr="00083739">
        <w:rPr>
          <w:rFonts w:cs="Times New Roman"/>
          <w:noProof/>
          <w:lang w:val="sk-SK"/>
        </w:rPr>
        <w:t>vývoj, modernizáciu výskumných infraštruktúr krajiny, podporu financovania výskumu, zvýšenie internaci</w:t>
      </w:r>
      <w:r w:rsidRPr="00083739">
        <w:rPr>
          <w:rFonts w:cs="Times New Roman"/>
          <w:noProof/>
          <w:lang w:val="sk-SK"/>
        </w:rPr>
        <w:t>onalizácie gréckeho výskumného ekosystému</w:t>
      </w:r>
      <w:r w:rsidR="00083739" w:rsidRPr="00083739">
        <w:rPr>
          <w:rFonts w:cs="Times New Roman"/>
          <w:noProof/>
          <w:lang w:val="sk-SK"/>
        </w:rPr>
        <w:t xml:space="preserve"> a </w:t>
      </w:r>
      <w:r w:rsidRPr="00083739">
        <w:rPr>
          <w:rFonts w:cs="Times New Roman"/>
          <w:noProof/>
          <w:lang w:val="sk-SK"/>
        </w:rPr>
        <w:t>rozvoj výskumnej spolupráce. Komponent zahŕňa aj vývoj informačného systému civilnej ochrany, ktorý</w:t>
      </w:r>
      <w:r w:rsidR="00083739" w:rsidRPr="00083739">
        <w:rPr>
          <w:rFonts w:cs="Times New Roman"/>
          <w:noProof/>
          <w:lang w:val="sk-SK"/>
        </w:rPr>
        <w:t xml:space="preserve"> v </w:t>
      </w:r>
      <w:r w:rsidRPr="00083739">
        <w:rPr>
          <w:rFonts w:cs="Times New Roman"/>
          <w:noProof/>
          <w:lang w:val="sk-SK"/>
        </w:rPr>
        <w:t>reálnom čase informuje príslušné orgány</w:t>
      </w:r>
      <w:r w:rsidR="00083739" w:rsidRPr="00083739">
        <w:rPr>
          <w:rFonts w:cs="Times New Roman"/>
          <w:noProof/>
          <w:lang w:val="sk-SK"/>
        </w:rPr>
        <w:t xml:space="preserve"> o </w:t>
      </w:r>
      <w:r w:rsidRPr="00083739">
        <w:rPr>
          <w:rFonts w:cs="Times New Roman"/>
          <w:noProof/>
          <w:lang w:val="sk-SK"/>
        </w:rPr>
        <w:t>fyzických javoch</w:t>
      </w:r>
      <w:r w:rsidR="00083739" w:rsidRPr="00083739">
        <w:rPr>
          <w:rFonts w:cs="Times New Roman"/>
          <w:noProof/>
          <w:lang w:val="sk-SK"/>
        </w:rPr>
        <w:t xml:space="preserve"> a </w:t>
      </w:r>
      <w:r w:rsidRPr="00083739">
        <w:rPr>
          <w:rFonts w:cs="Times New Roman"/>
          <w:noProof/>
          <w:lang w:val="sk-SK"/>
        </w:rPr>
        <w:t>prírodných katastrofách</w:t>
      </w:r>
      <w:r w:rsidR="00083739" w:rsidRPr="00083739">
        <w:rPr>
          <w:rFonts w:cs="Times New Roman"/>
          <w:noProof/>
          <w:lang w:val="sk-SK"/>
        </w:rPr>
        <w:t xml:space="preserve"> a </w:t>
      </w:r>
      <w:r w:rsidRPr="00083739">
        <w:rPr>
          <w:rFonts w:cs="Times New Roman"/>
          <w:noProof/>
          <w:lang w:val="sk-SK"/>
        </w:rPr>
        <w:t>zároveň podporuje ich s</w:t>
      </w:r>
      <w:r w:rsidRPr="00083739">
        <w:rPr>
          <w:rFonts w:cs="Times New Roman"/>
          <w:noProof/>
          <w:lang w:val="sk-SK"/>
        </w:rPr>
        <w:t>poluprácu. Táto investícia uľahčí aj digitálnu transformáciu prostredníctvom rozvoja pokročilých digitálnych technológií</w:t>
      </w:r>
      <w:r w:rsidR="00083739" w:rsidRPr="00083739">
        <w:rPr>
          <w:rFonts w:cs="Times New Roman"/>
          <w:noProof/>
          <w:lang w:val="sk-SK"/>
        </w:rPr>
        <w:t xml:space="preserve"> a </w:t>
      </w:r>
      <w:r w:rsidRPr="00083739">
        <w:rPr>
          <w:rFonts w:cs="Times New Roman"/>
          <w:noProof/>
          <w:lang w:val="sk-SK"/>
        </w:rPr>
        <w:t>digitalizácie metód civilnej ochrany, ako aj podporí zelenú transformáciu zmiernením vplyvu zmien klímy</w:t>
      </w:r>
      <w:r w:rsidR="00083739" w:rsidRPr="00083739">
        <w:rPr>
          <w:rFonts w:cs="Times New Roman"/>
          <w:noProof/>
          <w:lang w:val="sk-SK"/>
        </w:rPr>
        <w:t xml:space="preserve"> s </w:t>
      </w:r>
      <w:r w:rsidRPr="00083739">
        <w:rPr>
          <w:rFonts w:cs="Times New Roman"/>
          <w:noProof/>
          <w:lang w:val="sk-SK"/>
        </w:rPr>
        <w:t>cieľom zabezpečiť civilnú o</w:t>
      </w:r>
      <w:r w:rsidRPr="00083739">
        <w:rPr>
          <w:rFonts w:cs="Times New Roman"/>
          <w:noProof/>
          <w:lang w:val="sk-SK"/>
        </w:rPr>
        <w:t>chranu. Komponent podporuje riešenie odporúčaní pre jednotlivé krajiny týkajúcich sa verejných</w:t>
      </w:r>
      <w:r w:rsidR="00083739" w:rsidRPr="00083739">
        <w:rPr>
          <w:rFonts w:cs="Times New Roman"/>
          <w:noProof/>
          <w:lang w:val="sk-SK"/>
        </w:rPr>
        <w:t xml:space="preserve"> a </w:t>
      </w:r>
      <w:r w:rsidRPr="00083739">
        <w:rPr>
          <w:rFonts w:cs="Times New Roman"/>
          <w:noProof/>
          <w:lang w:val="sk-SK"/>
        </w:rPr>
        <w:t>súkromných investícií (odporúčanie pre Španielsko č. 2 2019</w:t>
      </w:r>
      <w:r w:rsidR="00083739" w:rsidRPr="00083739">
        <w:rPr>
          <w:rFonts w:cs="Times New Roman"/>
          <w:noProof/>
          <w:lang w:val="sk-SK"/>
        </w:rPr>
        <w:t xml:space="preserve"> a </w:t>
      </w:r>
      <w:r w:rsidRPr="00083739">
        <w:rPr>
          <w:rFonts w:cs="Times New Roman"/>
          <w:noProof/>
          <w:lang w:val="sk-SK"/>
        </w:rPr>
        <w:t>odporúčanie pre jednotlivé krajiny č. 3 2020). Očakáva sa, že žiadne opatrenie</w:t>
      </w:r>
      <w:r w:rsidR="00083739" w:rsidRPr="00083739">
        <w:rPr>
          <w:rFonts w:cs="Times New Roman"/>
          <w:noProof/>
          <w:lang w:val="sk-SK"/>
        </w:rPr>
        <w:t xml:space="preserve"> v </w:t>
      </w:r>
      <w:r w:rsidRPr="00083739">
        <w:rPr>
          <w:rFonts w:cs="Times New Roman"/>
          <w:noProof/>
          <w:lang w:val="sk-SK"/>
        </w:rPr>
        <w:t>tomto komponente</w:t>
      </w:r>
      <w:r w:rsidRPr="00083739">
        <w:rPr>
          <w:rFonts w:cs="Times New Roman"/>
          <w:noProof/>
          <w:lang w:val="sk-SK"/>
        </w:rPr>
        <w:t xml:space="preserve"> výrazne nenaruší environmentálne ciele</w:t>
      </w:r>
      <w:r w:rsidR="00083739" w:rsidRPr="00083739">
        <w:rPr>
          <w:rFonts w:cs="Times New Roman"/>
          <w:noProof/>
          <w:lang w:val="sk-SK"/>
        </w:rPr>
        <w:t xml:space="preserve"> v </w:t>
      </w:r>
      <w:r w:rsidRPr="00083739">
        <w:rPr>
          <w:rFonts w:cs="Times New Roman"/>
          <w:noProof/>
          <w:lang w:val="sk-SK"/>
        </w:rPr>
        <w:t>zmysle článku 17 nariadenia (EÚ) 2020/852, pričom sa zohľadní opis opatrení</w:t>
      </w:r>
      <w:r w:rsidR="00083739" w:rsidRPr="00083739">
        <w:rPr>
          <w:rFonts w:cs="Times New Roman"/>
          <w:noProof/>
          <w:lang w:val="sk-SK"/>
        </w:rPr>
        <w:t xml:space="preserve"> a </w:t>
      </w:r>
      <w:r w:rsidRPr="00083739">
        <w:rPr>
          <w:rFonts w:cs="Times New Roman"/>
          <w:noProof/>
          <w:lang w:val="sk-SK"/>
        </w:rPr>
        <w:t>zmierňujúcich krokov stanovených</w:t>
      </w:r>
      <w:r w:rsidR="00083739" w:rsidRPr="00083739">
        <w:rPr>
          <w:rFonts w:cs="Times New Roman"/>
          <w:noProof/>
          <w:lang w:val="sk-SK"/>
        </w:rPr>
        <w:t xml:space="preserve"> v </w:t>
      </w:r>
      <w:r w:rsidRPr="00083739">
        <w:rPr>
          <w:rFonts w:cs="Times New Roman"/>
          <w:noProof/>
          <w:lang w:val="sk-SK"/>
        </w:rPr>
        <w:t>pláne podpory obnovy</w:t>
      </w:r>
      <w:r w:rsidR="00083739" w:rsidRPr="00083739">
        <w:rPr>
          <w:rFonts w:cs="Times New Roman"/>
          <w:noProof/>
          <w:lang w:val="sk-SK"/>
        </w:rPr>
        <w:t xml:space="preserve"> a </w:t>
      </w:r>
      <w:r w:rsidRPr="00083739">
        <w:rPr>
          <w:rFonts w:cs="Times New Roman"/>
          <w:noProof/>
          <w:lang w:val="sk-SK"/>
        </w:rPr>
        <w:t>odolnosti</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technickým usmernením „výrazne nenarušiť“ (2021/C58/01).</w:t>
      </w:r>
    </w:p>
    <w:p w14:paraId="7F55B883" w14:textId="65C1DFE5" w:rsidR="002D49B0" w:rsidRPr="00083739" w:rsidRDefault="00BF4125">
      <w:pPr>
        <w:spacing w:before="120" w:after="120" w:line="240" w:lineRule="auto"/>
        <w:jc w:val="both"/>
        <w:rPr>
          <w:rFonts w:ascii="Times New Roman" w:hAnsi="Times New Roman" w:cs="Times New Roman"/>
          <w:b/>
          <w:i/>
          <w:noProof/>
          <w:color w:val="4F81BD"/>
          <w:sz w:val="24"/>
          <w:lang w:val="sk-SK"/>
        </w:rPr>
      </w:pPr>
      <w:r w:rsidRPr="00083739">
        <w:rPr>
          <w:rFonts w:ascii="Times New Roman" w:hAnsi="Times New Roman" w:cs="Times New Roman"/>
          <w:b/>
          <w:noProof/>
          <w:sz w:val="24"/>
          <w:u w:val="single"/>
          <w:lang w:val="sk-SK"/>
        </w:rPr>
        <w:t xml:space="preserve">P.1. </w:t>
      </w:r>
      <w:r w:rsidRPr="00083739">
        <w:rPr>
          <w:rFonts w:ascii="Times New Roman" w:hAnsi="Times New Roman" w:cs="Times New Roman"/>
          <w:noProof/>
          <w:lang w:val="sk-SK"/>
        </w:rPr>
        <w:t xml:space="preserve"> </w:t>
      </w:r>
      <w:r w:rsidRPr="00083739">
        <w:rPr>
          <w:rFonts w:ascii="Times New Roman" w:hAnsi="Times New Roman" w:cs="Times New Roman"/>
          <w:b/>
          <w:noProof/>
          <w:sz w:val="24"/>
          <w:u w:val="single"/>
          <w:lang w:val="sk-SK"/>
        </w:rPr>
        <w:t>Opis reforiem</w:t>
      </w:r>
      <w:r w:rsidR="00083739" w:rsidRPr="00083739">
        <w:rPr>
          <w:rFonts w:ascii="Times New Roman" w:hAnsi="Times New Roman" w:cs="Times New Roman"/>
          <w:b/>
          <w:noProof/>
          <w:sz w:val="24"/>
          <w:u w:val="single"/>
          <w:lang w:val="sk-SK"/>
        </w:rPr>
        <w:t xml:space="preserve"> a </w:t>
      </w:r>
      <w:r w:rsidRPr="00083739">
        <w:rPr>
          <w:rFonts w:ascii="Times New Roman" w:hAnsi="Times New Roman" w:cs="Times New Roman"/>
          <w:b/>
          <w:noProof/>
          <w:sz w:val="24"/>
          <w:u w:val="single"/>
          <w:lang w:val="sk-SK"/>
        </w:rPr>
        <w:t>investícií</w:t>
      </w:r>
      <w:r w:rsidR="00083739" w:rsidRPr="00083739">
        <w:rPr>
          <w:rFonts w:ascii="Times New Roman" w:hAnsi="Times New Roman" w:cs="Times New Roman"/>
          <w:b/>
          <w:noProof/>
          <w:sz w:val="24"/>
          <w:u w:val="single"/>
          <w:lang w:val="sk-SK"/>
        </w:rPr>
        <w:t xml:space="preserve"> v </w:t>
      </w:r>
      <w:r w:rsidRPr="00083739">
        <w:rPr>
          <w:rFonts w:ascii="Times New Roman" w:hAnsi="Times New Roman" w:cs="Times New Roman"/>
          <w:b/>
          <w:noProof/>
          <w:sz w:val="24"/>
          <w:u w:val="single"/>
          <w:lang w:val="sk-SK"/>
        </w:rPr>
        <w:t>rámci nenávratnej finančnej podpory</w:t>
      </w:r>
    </w:p>
    <w:p w14:paraId="16947932" w14:textId="6664986F"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Vytvorenie – rozšírenie – modernizácia infraštruktúry výskumných centier pod dohľadom Generálneho sekretariátu pre výskum</w:t>
      </w:r>
      <w:r w:rsidR="00083739" w:rsidRPr="00083739">
        <w:rPr>
          <w:rFonts w:cs="Times New Roman"/>
          <w:noProof/>
          <w:lang w:val="sk-SK"/>
        </w:rPr>
        <w:t xml:space="preserve"> a </w:t>
      </w:r>
      <w:r w:rsidRPr="00083739">
        <w:rPr>
          <w:rFonts w:cs="Times New Roman"/>
          <w:noProof/>
          <w:lang w:val="sk-SK"/>
        </w:rPr>
        <w:t>inováciu (GSRI) (opatrenie ID 16624)</w:t>
      </w:r>
    </w:p>
    <w:p w14:paraId="377BF353" w14:textId="1B8C85B2" w:rsidR="00083739"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 xml:space="preserve">Investícia </w:t>
      </w:r>
      <w:r w:rsidRPr="00083739">
        <w:rPr>
          <w:rFonts w:cs="Times New Roman"/>
          <w:noProof/>
          <w:lang w:val="sk-SK"/>
        </w:rPr>
        <w:t>zahŕňa modernizáciu infraštruktúry a/alebo vybavenia 11 výskumných centier</w:t>
      </w:r>
      <w:r w:rsidR="00083739" w:rsidRPr="00083739">
        <w:rPr>
          <w:rFonts w:cs="Times New Roman"/>
          <w:noProof/>
          <w:lang w:val="sk-SK"/>
        </w:rPr>
        <w:t xml:space="preserve"> s </w:t>
      </w:r>
      <w:r w:rsidRPr="00083739">
        <w:rPr>
          <w:rFonts w:cs="Times New Roman"/>
          <w:noProof/>
          <w:lang w:val="sk-SK"/>
        </w:rPr>
        <w:t>cieľom posilniť ich výskumné kapacity</w:t>
      </w:r>
      <w:r w:rsidR="00083739" w:rsidRPr="00083739">
        <w:rPr>
          <w:rFonts w:cs="Times New Roman"/>
          <w:noProof/>
          <w:lang w:val="sk-SK"/>
        </w:rPr>
        <w:t xml:space="preserve"> a </w:t>
      </w:r>
      <w:r w:rsidRPr="00083739">
        <w:rPr>
          <w:rFonts w:cs="Times New Roman"/>
          <w:noProof/>
          <w:lang w:val="sk-SK"/>
        </w:rPr>
        <w:t>kapacity</w:t>
      </w:r>
      <w:r w:rsidR="00083739" w:rsidRPr="00083739">
        <w:rPr>
          <w:rFonts w:cs="Times New Roman"/>
          <w:noProof/>
          <w:lang w:val="sk-SK"/>
        </w:rPr>
        <w:t xml:space="preserve"> v </w:t>
      </w:r>
      <w:r w:rsidRPr="00083739">
        <w:rPr>
          <w:rFonts w:cs="Times New Roman"/>
          <w:noProof/>
          <w:lang w:val="sk-SK"/>
        </w:rPr>
        <w:t>dôležitých vedeckých</w:t>
      </w:r>
      <w:r w:rsidR="00083739" w:rsidRPr="00083739">
        <w:rPr>
          <w:rFonts w:cs="Times New Roman"/>
          <w:noProof/>
          <w:lang w:val="sk-SK"/>
        </w:rPr>
        <w:t xml:space="preserve"> a </w:t>
      </w:r>
      <w:r w:rsidRPr="00083739">
        <w:rPr>
          <w:rFonts w:cs="Times New Roman"/>
          <w:noProof/>
          <w:lang w:val="sk-SK"/>
        </w:rPr>
        <w:t>technologických oblastiach. Investícia sa týka najmä týchto výskumných centier: Nadácia pre výskum</w:t>
      </w:r>
      <w:r w:rsidR="00083739" w:rsidRPr="00083739">
        <w:rPr>
          <w:rFonts w:cs="Times New Roman"/>
          <w:noProof/>
          <w:lang w:val="sk-SK"/>
        </w:rPr>
        <w:t xml:space="preserve"> a </w:t>
      </w:r>
      <w:r w:rsidRPr="00083739">
        <w:rPr>
          <w:rFonts w:cs="Times New Roman"/>
          <w:noProof/>
          <w:lang w:val="sk-SK"/>
        </w:rPr>
        <w:t>tech</w:t>
      </w:r>
      <w:r w:rsidRPr="00083739">
        <w:rPr>
          <w:rFonts w:cs="Times New Roman"/>
          <w:noProof/>
          <w:lang w:val="sk-SK"/>
        </w:rPr>
        <w:t>nológie Hellas; Výskumné</w:t>
      </w:r>
      <w:r w:rsidR="00083739" w:rsidRPr="00083739">
        <w:rPr>
          <w:rFonts w:cs="Times New Roman"/>
          <w:noProof/>
          <w:lang w:val="sk-SK"/>
        </w:rPr>
        <w:t xml:space="preserve"> a </w:t>
      </w:r>
      <w:r w:rsidRPr="00083739">
        <w:rPr>
          <w:rFonts w:cs="Times New Roman"/>
          <w:noProof/>
          <w:lang w:val="sk-SK"/>
        </w:rPr>
        <w:t>inovačné centrum mechanizmu Athena; BSRC Fleming; Centrum pre výskum</w:t>
      </w:r>
      <w:r w:rsidR="00083739" w:rsidRPr="00083739">
        <w:rPr>
          <w:rFonts w:cs="Times New Roman"/>
          <w:noProof/>
          <w:lang w:val="sk-SK"/>
        </w:rPr>
        <w:t xml:space="preserve"> a </w:t>
      </w:r>
      <w:r w:rsidRPr="00083739">
        <w:rPr>
          <w:rFonts w:cs="Times New Roman"/>
          <w:noProof/>
          <w:lang w:val="sk-SK"/>
        </w:rPr>
        <w:t>technológie Hellas; Národná grécka výskumná nadácia; Akadémia Nadácie pre biomedicínsky výskum</w:t>
      </w:r>
      <w:r w:rsidR="00083739" w:rsidRPr="00083739">
        <w:rPr>
          <w:rFonts w:cs="Times New Roman"/>
          <w:noProof/>
          <w:lang w:val="sk-SK"/>
        </w:rPr>
        <w:t xml:space="preserve"> v </w:t>
      </w:r>
      <w:r w:rsidRPr="00083739">
        <w:rPr>
          <w:rFonts w:cs="Times New Roman"/>
          <w:noProof/>
          <w:lang w:val="sk-SK"/>
        </w:rPr>
        <w:t>Aténach; Národné monitorovacie stredisko</w:t>
      </w:r>
      <w:r w:rsidR="00083739" w:rsidRPr="00083739">
        <w:rPr>
          <w:rFonts w:cs="Times New Roman"/>
          <w:noProof/>
          <w:lang w:val="sk-SK"/>
        </w:rPr>
        <w:t xml:space="preserve"> v </w:t>
      </w:r>
      <w:r w:rsidRPr="00083739">
        <w:rPr>
          <w:rFonts w:cs="Times New Roman"/>
          <w:noProof/>
          <w:lang w:val="sk-SK"/>
        </w:rPr>
        <w:t>Aténach; Grécke ce</w:t>
      </w:r>
      <w:r w:rsidRPr="00083739">
        <w:rPr>
          <w:rFonts w:cs="Times New Roman"/>
          <w:noProof/>
          <w:lang w:val="sk-SK"/>
        </w:rPr>
        <w:t>ntrum pre morský výskum; Helénsky Pasteurov inštitút; Národné centrum sociálneho výskumu; Grécka komisia pre atómovú energiu</w:t>
      </w:r>
      <w:r w:rsidR="00083739" w:rsidRPr="00083739">
        <w:rPr>
          <w:rFonts w:cs="Times New Roman"/>
          <w:noProof/>
          <w:lang w:val="sk-SK"/>
        </w:rPr>
        <w:t>.</w:t>
      </w:r>
    </w:p>
    <w:p w14:paraId="11979D02" w14:textId="102FB853" w:rsidR="002D49B0" w:rsidRPr="00083739" w:rsidRDefault="00BF4125">
      <w:pPr>
        <w:pStyle w:val="P68B1DB1-Normal5"/>
        <w:spacing w:before="120" w:after="120" w:line="240" w:lineRule="auto"/>
        <w:jc w:val="both"/>
        <w:rPr>
          <w:rFonts w:cs="Times New Roman"/>
          <w:noProof/>
          <w:lang w:val="sk-SK"/>
        </w:rPr>
      </w:pPr>
      <w:r w:rsidRPr="00083739">
        <w:rPr>
          <w:rFonts w:cs="Times New Roman"/>
          <w:noProof/>
          <w:lang w:val="sk-SK"/>
        </w:rPr>
        <w:t>S cieľom zabezpečiť, aby opatrenie bolo</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technickými usmerneniami „výrazne nenarušiť“ (2021/C58/01), kritériá oprávnenos</w:t>
      </w:r>
      <w:r w:rsidRPr="00083739">
        <w:rPr>
          <w:rFonts w:cs="Times New Roman"/>
          <w:noProof/>
          <w:lang w:val="sk-SK"/>
        </w:rPr>
        <w:t>ti uvedené</w:t>
      </w:r>
      <w:r w:rsidR="00083739" w:rsidRPr="00083739">
        <w:rPr>
          <w:rFonts w:cs="Times New Roman"/>
          <w:noProof/>
          <w:lang w:val="sk-SK"/>
        </w:rPr>
        <w:t xml:space="preserve"> v </w:t>
      </w:r>
      <w:r w:rsidRPr="00083739">
        <w:rPr>
          <w:rFonts w:cs="Times New Roman"/>
          <w:noProof/>
          <w:lang w:val="sk-SK"/>
        </w:rPr>
        <w:t>zadávacích podmienkach pre výzvy na predkladanie projektov nezahŕňajú tento zoznam činností:</w:t>
      </w:r>
      <w:r w:rsidRPr="00083739">
        <w:rPr>
          <w:rFonts w:cs="Times New Roman"/>
          <w:noProof/>
          <w:color w:val="FF0000"/>
          <w:lang w:val="sk-SK"/>
        </w:rPr>
        <w:t xml:space="preserve"> </w:t>
      </w:r>
      <w:r w:rsidRPr="00083739">
        <w:rPr>
          <w:rFonts w:cs="Times New Roman"/>
          <w:noProof/>
          <w:lang w:val="sk-SK"/>
        </w:rPr>
        <w:t>I) činnosti súvisiace</w:t>
      </w:r>
      <w:r w:rsidR="00083739" w:rsidRPr="00083739">
        <w:rPr>
          <w:rFonts w:cs="Times New Roman"/>
          <w:noProof/>
          <w:lang w:val="sk-SK"/>
        </w:rPr>
        <w:t xml:space="preserve"> s </w:t>
      </w:r>
      <w:r w:rsidRPr="00083739">
        <w:rPr>
          <w:rFonts w:cs="Times New Roman"/>
          <w:noProof/>
          <w:lang w:val="sk-SK"/>
        </w:rPr>
        <w:t>fosílnymi palivami vrátane následného použitia</w:t>
      </w:r>
      <w:r w:rsidRPr="00083739">
        <w:rPr>
          <w:rFonts w:cs="Times New Roman"/>
          <w:noProof/>
          <w:lang w:val="sk-SK"/>
        </w:rPr>
        <w:footnoteReference w:id="15"/>
      </w:r>
      <w:r w:rsidRPr="00083739">
        <w:rPr>
          <w:rFonts w:cs="Times New Roman"/>
          <w:noProof/>
          <w:lang w:val="sk-SK"/>
        </w:rPr>
        <w:t>; II) činností</w:t>
      </w:r>
      <w:r w:rsidR="00083739" w:rsidRPr="00083739">
        <w:rPr>
          <w:rFonts w:cs="Times New Roman"/>
          <w:noProof/>
          <w:lang w:val="sk-SK"/>
        </w:rPr>
        <w:t xml:space="preserve"> v </w:t>
      </w:r>
      <w:r w:rsidRPr="00083739">
        <w:rPr>
          <w:rFonts w:cs="Times New Roman"/>
          <w:noProof/>
          <w:lang w:val="sk-SK"/>
        </w:rPr>
        <w:t>rámci systému EÚ na obchodovanie</w:t>
      </w:r>
      <w:r w:rsidR="00083739" w:rsidRPr="00083739">
        <w:rPr>
          <w:rFonts w:cs="Times New Roman"/>
          <w:noProof/>
          <w:lang w:val="sk-SK"/>
        </w:rPr>
        <w:t xml:space="preserve"> s </w:t>
      </w:r>
      <w:r w:rsidRPr="00083739">
        <w:rPr>
          <w:rFonts w:cs="Times New Roman"/>
          <w:noProof/>
          <w:lang w:val="sk-SK"/>
        </w:rPr>
        <w:t xml:space="preserve">emisiami (ETS), ktorými sa </w:t>
      </w:r>
      <w:r w:rsidRPr="00083739">
        <w:rPr>
          <w:rFonts w:cs="Times New Roman"/>
          <w:noProof/>
          <w:lang w:val="sk-SK"/>
        </w:rPr>
        <w:t>dosahujú predpokladané emisie skleníkových plynov, ktoré nie sú nižšie ako príslušné referenčné hodnoty</w:t>
      </w:r>
      <w:r w:rsidRPr="00083739">
        <w:rPr>
          <w:rFonts w:cs="Times New Roman"/>
          <w:noProof/>
          <w:lang w:val="sk-SK"/>
        </w:rPr>
        <w:footnoteReference w:id="16"/>
      </w:r>
      <w:r w:rsidRPr="00083739">
        <w:rPr>
          <w:rFonts w:cs="Times New Roman"/>
          <w:noProof/>
          <w:lang w:val="sk-SK"/>
        </w:rPr>
        <w:t>; III) činnosti súvisiace so skládkami odpadov, spaľovňami</w:t>
      </w:r>
      <w:r w:rsidRPr="00083739">
        <w:rPr>
          <w:rFonts w:cs="Times New Roman"/>
          <w:noProof/>
          <w:lang w:val="sk-SK"/>
        </w:rPr>
        <w:footnoteReference w:id="17"/>
      </w:r>
      <w:r w:rsidR="00083739" w:rsidRPr="00083739">
        <w:rPr>
          <w:rFonts w:cs="Times New Roman"/>
          <w:noProof/>
          <w:lang w:val="sk-SK"/>
        </w:rPr>
        <w:t xml:space="preserve"> a </w:t>
      </w:r>
      <w:r w:rsidRPr="00083739">
        <w:rPr>
          <w:rFonts w:cs="Times New Roman"/>
          <w:noProof/>
          <w:lang w:val="sk-SK"/>
        </w:rPr>
        <w:t>mechanickými biologickými čistiarňami</w:t>
      </w:r>
      <w:r w:rsidRPr="00083739">
        <w:rPr>
          <w:rFonts w:cs="Times New Roman"/>
          <w:noProof/>
          <w:lang w:val="sk-SK"/>
        </w:rPr>
        <w:footnoteReference w:id="18"/>
      </w:r>
      <w:r w:rsidRPr="00083739">
        <w:rPr>
          <w:rFonts w:cs="Times New Roman"/>
          <w:noProof/>
          <w:lang w:val="sk-SK"/>
        </w:rPr>
        <w:t>;</w:t>
      </w:r>
      <w:r w:rsidR="00083739" w:rsidRPr="00083739">
        <w:rPr>
          <w:rFonts w:cs="Times New Roman"/>
          <w:noProof/>
          <w:lang w:val="sk-SK"/>
        </w:rPr>
        <w:t xml:space="preserve"> a </w:t>
      </w:r>
      <w:r w:rsidRPr="00083739">
        <w:rPr>
          <w:rFonts w:cs="Times New Roman"/>
          <w:noProof/>
          <w:lang w:val="sk-SK"/>
        </w:rPr>
        <w:t>iv) činnosti, pri ktorých dlhodobé zneškodňovani</w:t>
      </w:r>
      <w:r w:rsidRPr="00083739">
        <w:rPr>
          <w:rFonts w:cs="Times New Roman"/>
          <w:noProof/>
          <w:lang w:val="sk-SK"/>
        </w:rPr>
        <w:t>e odpadu môže poškodiť životné prostredie.</w:t>
      </w:r>
      <w:r w:rsidR="00083739" w:rsidRPr="00083739">
        <w:rPr>
          <w:rFonts w:cs="Times New Roman"/>
          <w:noProof/>
          <w:lang w:val="sk-SK"/>
        </w:rPr>
        <w:t xml:space="preserve"> V </w:t>
      </w:r>
      <w:r w:rsidRPr="00083739">
        <w:rPr>
          <w:rFonts w:cs="Times New Roman"/>
          <w:noProof/>
          <w:lang w:val="sk-SK"/>
        </w:rPr>
        <w:t>zadávacích podmienkach sa okrem toho vyžaduje, aby sa mohli vybrať len tie činnosti, ktoré sú</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príslušnými právnymi predpismi EÚ</w:t>
      </w:r>
      <w:r w:rsidR="00083739" w:rsidRPr="00083739">
        <w:rPr>
          <w:rFonts w:cs="Times New Roman"/>
          <w:noProof/>
          <w:lang w:val="sk-SK"/>
        </w:rPr>
        <w:t xml:space="preserve"> a </w:t>
      </w:r>
      <w:r w:rsidRPr="00083739">
        <w:rPr>
          <w:rFonts w:cs="Times New Roman"/>
          <w:noProof/>
          <w:lang w:val="sk-SK"/>
        </w:rPr>
        <w:t>vnútroštátnymi právnymi predpismi</w:t>
      </w:r>
      <w:r w:rsidR="00083739" w:rsidRPr="00083739">
        <w:rPr>
          <w:rFonts w:cs="Times New Roman"/>
          <w:noProof/>
          <w:lang w:val="sk-SK"/>
        </w:rPr>
        <w:t xml:space="preserve"> v </w:t>
      </w:r>
      <w:r w:rsidRPr="00083739">
        <w:rPr>
          <w:rFonts w:cs="Times New Roman"/>
          <w:noProof/>
          <w:lang w:val="sk-SK"/>
        </w:rPr>
        <w:t>oblasti životného prostredia.</w:t>
      </w:r>
    </w:p>
    <w:p w14:paraId="1282F50B" w14:textId="2837DB2C"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Real</w:t>
      </w:r>
      <w:r w:rsidRPr="00083739">
        <w:rPr>
          <w:rFonts w:cs="Times New Roman"/>
          <w:noProof/>
          <w:lang w:val="sk-SK"/>
        </w:rPr>
        <w:t>izácia investície sa ukončí do 31</w:t>
      </w:r>
      <w:r w:rsidR="00083739" w:rsidRPr="00083739">
        <w:rPr>
          <w:rFonts w:cs="Times New Roman"/>
          <w:noProof/>
          <w:lang w:val="sk-SK"/>
        </w:rPr>
        <w:t>. decembra</w:t>
      </w:r>
      <w:r w:rsidRPr="00083739">
        <w:rPr>
          <w:rFonts w:cs="Times New Roman"/>
          <w:noProof/>
          <w:lang w:val="sk-SK"/>
        </w:rPr>
        <w:t xml:space="preserve"> 2025.</w:t>
      </w:r>
    </w:p>
    <w:p w14:paraId="44FF6D0E" w14:textId="68940C7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Základný</w:t>
      </w:r>
      <w:r w:rsidR="00083739" w:rsidRPr="00083739">
        <w:rPr>
          <w:rFonts w:cs="Times New Roman"/>
          <w:noProof/>
          <w:lang w:val="sk-SK"/>
        </w:rPr>
        <w:t xml:space="preserve"> a </w:t>
      </w:r>
      <w:r w:rsidRPr="00083739">
        <w:rPr>
          <w:rFonts w:cs="Times New Roman"/>
          <w:noProof/>
          <w:lang w:val="sk-SK"/>
        </w:rPr>
        <w:t>aplikovaný výskum (ID opatrenia 16618)</w:t>
      </w:r>
    </w:p>
    <w:p w14:paraId="13FF914D" w14:textId="07B225AB" w:rsidR="00083739"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Investícia pozostáva zo siedmich čiastkových projektov: I) poskytovanie horizontálneho financovania základného výskumu; II) finančná podpora hla</w:t>
      </w:r>
      <w:r w:rsidRPr="00083739">
        <w:rPr>
          <w:rFonts w:cs="Times New Roman"/>
          <w:noProof/>
          <w:lang w:val="sk-SK"/>
        </w:rPr>
        <w:t>vných výskumných projektov</w:t>
      </w:r>
      <w:r w:rsidR="00083739" w:rsidRPr="00083739">
        <w:rPr>
          <w:rFonts w:cs="Times New Roman"/>
          <w:noProof/>
          <w:lang w:val="sk-SK"/>
        </w:rPr>
        <w:t xml:space="preserve"> v </w:t>
      </w:r>
      <w:r w:rsidRPr="00083739">
        <w:rPr>
          <w:rFonts w:cs="Times New Roman"/>
          <w:noProof/>
          <w:lang w:val="sk-SK"/>
        </w:rPr>
        <w:t>interdisciplinárnych sektoroch</w:t>
      </w:r>
      <w:r w:rsidR="00083739" w:rsidRPr="00083739">
        <w:rPr>
          <w:rFonts w:cs="Times New Roman"/>
          <w:noProof/>
          <w:lang w:val="sk-SK"/>
        </w:rPr>
        <w:t xml:space="preserve"> s </w:t>
      </w:r>
      <w:r w:rsidRPr="00083739">
        <w:rPr>
          <w:rFonts w:cs="Times New Roman"/>
          <w:noProof/>
          <w:lang w:val="sk-SK"/>
        </w:rPr>
        <w:t>praktickým využitím pre grécke hospodárstvo; III) finančná podpora aplikovaného výskumu</w:t>
      </w:r>
      <w:r w:rsidR="00083739" w:rsidRPr="00083739">
        <w:rPr>
          <w:rFonts w:cs="Times New Roman"/>
          <w:noProof/>
          <w:lang w:val="sk-SK"/>
        </w:rPr>
        <w:t xml:space="preserve"> v </w:t>
      </w:r>
      <w:r w:rsidRPr="00083739">
        <w:rPr>
          <w:rFonts w:cs="Times New Roman"/>
          <w:noProof/>
          <w:lang w:val="sk-SK"/>
        </w:rPr>
        <w:t>oblasti presnej medicíny; IV) poskytovanie finančných prostriedkov pre výskumné</w:t>
      </w:r>
      <w:r w:rsidR="00083739" w:rsidRPr="00083739">
        <w:rPr>
          <w:rFonts w:cs="Times New Roman"/>
          <w:noProof/>
          <w:lang w:val="sk-SK"/>
        </w:rPr>
        <w:t xml:space="preserve"> a </w:t>
      </w:r>
      <w:r w:rsidRPr="00083739">
        <w:rPr>
          <w:rFonts w:cs="Times New Roman"/>
          <w:noProof/>
          <w:lang w:val="sk-SK"/>
        </w:rPr>
        <w:t>vývojové centrum bezpi</w:t>
      </w:r>
      <w:r w:rsidRPr="00083739">
        <w:rPr>
          <w:rFonts w:cs="Times New Roman"/>
          <w:noProof/>
          <w:lang w:val="sk-SK"/>
        </w:rPr>
        <w:t>lotných systémov na podporu aplikovaného výskumu dronov; v) zriadenie aplikovaného inštitútu pre výskum</w:t>
      </w:r>
      <w:r w:rsidR="00083739" w:rsidRPr="00083739">
        <w:rPr>
          <w:rFonts w:cs="Times New Roman"/>
          <w:noProof/>
          <w:lang w:val="sk-SK"/>
        </w:rPr>
        <w:t xml:space="preserve"> a </w:t>
      </w:r>
      <w:r w:rsidRPr="00083739">
        <w:rPr>
          <w:rFonts w:cs="Times New Roman"/>
          <w:noProof/>
          <w:lang w:val="sk-SK"/>
        </w:rPr>
        <w:t>inovácie</w:t>
      </w:r>
      <w:r w:rsidR="00083739" w:rsidRPr="00083739">
        <w:rPr>
          <w:rFonts w:cs="Times New Roman"/>
          <w:noProof/>
          <w:lang w:val="sk-SK"/>
        </w:rPr>
        <w:t xml:space="preserve"> v </w:t>
      </w:r>
      <w:r w:rsidRPr="00083739">
        <w:rPr>
          <w:rFonts w:cs="Times New Roman"/>
          <w:noProof/>
          <w:lang w:val="sk-SK"/>
        </w:rPr>
        <w:t>oblasti umelej inteligencie, spracovania údajov</w:t>
      </w:r>
      <w:r w:rsidR="00083739" w:rsidRPr="00083739">
        <w:rPr>
          <w:rFonts w:cs="Times New Roman"/>
          <w:noProof/>
          <w:lang w:val="sk-SK"/>
        </w:rPr>
        <w:t xml:space="preserve"> a </w:t>
      </w:r>
      <w:r w:rsidRPr="00083739">
        <w:rPr>
          <w:rFonts w:cs="Times New Roman"/>
          <w:noProof/>
          <w:lang w:val="sk-SK"/>
        </w:rPr>
        <w:t>vývoja algoritmov; VI) finančná podpora na poskytovanie trhovo transformačných technológi</w:t>
      </w:r>
      <w:r w:rsidRPr="00083739">
        <w:rPr>
          <w:rFonts w:cs="Times New Roman"/>
          <w:noProof/>
          <w:lang w:val="sk-SK"/>
        </w:rPr>
        <w:t>í udržateľných materiálov; VII) finančná podpora účasti na európskych partnerstvách, konkrétne na Euro-HPC (vysokovýkonná výpočtová technika)</w:t>
      </w:r>
      <w:r w:rsidR="00083739" w:rsidRPr="00083739">
        <w:rPr>
          <w:rFonts w:cs="Times New Roman"/>
          <w:noProof/>
          <w:lang w:val="sk-SK"/>
        </w:rPr>
        <w:t xml:space="preserve"> a </w:t>
      </w:r>
      <w:r w:rsidRPr="00083739">
        <w:rPr>
          <w:rFonts w:cs="Times New Roman"/>
          <w:noProof/>
          <w:lang w:val="sk-SK"/>
        </w:rPr>
        <w:t>kľúčových digitálnych technológiách. Cieľom investície je vytvoriť subjekty na podporu aplikovaného výskumu</w:t>
      </w:r>
      <w:r w:rsidR="00083739" w:rsidRPr="00083739">
        <w:rPr>
          <w:rFonts w:cs="Times New Roman"/>
          <w:noProof/>
          <w:lang w:val="sk-SK"/>
        </w:rPr>
        <w:t xml:space="preserve"> z </w:t>
      </w:r>
      <w:r w:rsidRPr="00083739">
        <w:rPr>
          <w:rFonts w:cs="Times New Roman"/>
          <w:noProof/>
          <w:lang w:val="sk-SK"/>
        </w:rPr>
        <w:t>dl</w:t>
      </w:r>
      <w:r w:rsidRPr="00083739">
        <w:rPr>
          <w:rFonts w:cs="Times New Roman"/>
          <w:noProof/>
          <w:lang w:val="sk-SK"/>
        </w:rPr>
        <w:t>hodobého hľadiska</w:t>
      </w:r>
      <w:r w:rsidR="00083739" w:rsidRPr="00083739">
        <w:rPr>
          <w:rFonts w:cs="Times New Roman"/>
          <w:noProof/>
          <w:lang w:val="sk-SK"/>
        </w:rPr>
        <w:t xml:space="preserve"> a </w:t>
      </w:r>
      <w:r w:rsidRPr="00083739">
        <w:rPr>
          <w:rFonts w:cs="Times New Roman"/>
          <w:noProof/>
          <w:lang w:val="sk-SK"/>
        </w:rPr>
        <w:t>presadzovať inovačný ekosystém špičkových technológií prostredníctvom financovania interdisciplinárnych činností</w:t>
      </w:r>
      <w:r w:rsidR="00083739" w:rsidRPr="00083739">
        <w:rPr>
          <w:rFonts w:cs="Times New Roman"/>
          <w:noProof/>
          <w:lang w:val="sk-SK"/>
        </w:rPr>
        <w:t xml:space="preserve"> v </w:t>
      </w:r>
      <w:r w:rsidRPr="00083739">
        <w:rPr>
          <w:rFonts w:cs="Times New Roman"/>
          <w:noProof/>
          <w:lang w:val="sk-SK"/>
        </w:rPr>
        <w:t>oblasti výskumu</w:t>
      </w:r>
      <w:r w:rsidR="00083739" w:rsidRPr="00083739">
        <w:rPr>
          <w:rFonts w:cs="Times New Roman"/>
          <w:noProof/>
          <w:lang w:val="sk-SK"/>
        </w:rPr>
        <w:t xml:space="preserve"> a </w:t>
      </w:r>
      <w:r w:rsidRPr="00083739">
        <w:rPr>
          <w:rFonts w:cs="Times New Roman"/>
          <w:noProof/>
          <w:lang w:val="sk-SK"/>
        </w:rPr>
        <w:t>vývoja</w:t>
      </w:r>
      <w:r w:rsidR="00083739" w:rsidRPr="00083739">
        <w:rPr>
          <w:rFonts w:cs="Times New Roman"/>
          <w:noProof/>
          <w:lang w:val="sk-SK"/>
        </w:rPr>
        <w:t xml:space="preserve"> s </w:t>
      </w:r>
      <w:r w:rsidRPr="00083739">
        <w:rPr>
          <w:rFonts w:cs="Times New Roman"/>
          <w:noProof/>
          <w:lang w:val="sk-SK"/>
        </w:rPr>
        <w:t>dôsledkami pre priemysel. Realizácia investície sa ukončí do 31</w:t>
      </w:r>
      <w:r w:rsidR="00083739" w:rsidRPr="00083739">
        <w:rPr>
          <w:rFonts w:cs="Times New Roman"/>
          <w:noProof/>
          <w:lang w:val="sk-SK"/>
        </w:rPr>
        <w:t>. decembra</w:t>
      </w:r>
      <w:r w:rsidRPr="00083739">
        <w:rPr>
          <w:rFonts w:cs="Times New Roman"/>
          <w:noProof/>
          <w:lang w:val="sk-SK"/>
        </w:rPr>
        <w:t xml:space="preserve"> 2025</w:t>
      </w:r>
      <w:r w:rsidR="00083739" w:rsidRPr="00083739">
        <w:rPr>
          <w:rFonts w:cs="Times New Roman"/>
          <w:noProof/>
          <w:lang w:val="sk-SK"/>
        </w:rPr>
        <w:t>.</w:t>
      </w:r>
    </w:p>
    <w:p w14:paraId="399B7FC3" w14:textId="2932915E"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T.</w:t>
      </w:r>
      <w:r w:rsidRPr="00083739">
        <w:rPr>
          <w:rFonts w:cs="Times New Roman"/>
          <w:noProof/>
          <w:vertAlign w:val="superscript"/>
          <w:lang w:val="sk-SK"/>
        </w:rPr>
        <w:t>2</w:t>
      </w:r>
      <w:r w:rsidRPr="00083739">
        <w:rPr>
          <w:rFonts w:cs="Times New Roman"/>
          <w:noProof/>
          <w:lang w:val="sk-SK"/>
        </w:rPr>
        <w:t>ORAX: Trellis Holistic &amp; Hybrid Prevádzkový rugizovaný autonómny eXemplárny systém (ID opatrenia 16654)</w:t>
      </w:r>
    </w:p>
    <w:p w14:paraId="1D813A40" w14:textId="51EB7D42"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color w:val="000000"/>
          <w:lang w:val="sk-SK"/>
        </w:rPr>
        <w:t>Investícia zahŕňa vývoj informačného systému „ďalšej generácie“, od ktorého sa očakáva, že kombinuje rôzne typy</w:t>
      </w:r>
      <w:r w:rsidR="00083739" w:rsidRPr="00083739">
        <w:rPr>
          <w:rFonts w:cs="Times New Roman"/>
          <w:noProof/>
          <w:color w:val="000000"/>
          <w:lang w:val="sk-SK"/>
        </w:rPr>
        <w:t xml:space="preserve"> a </w:t>
      </w:r>
      <w:r w:rsidRPr="00083739">
        <w:rPr>
          <w:rFonts w:cs="Times New Roman"/>
          <w:noProof/>
          <w:color w:val="000000"/>
          <w:lang w:val="sk-SK"/>
        </w:rPr>
        <w:t>formy kolaboratívnych infraštruktúr</w:t>
      </w:r>
      <w:r w:rsidR="00083739" w:rsidRPr="00083739">
        <w:rPr>
          <w:rFonts w:cs="Times New Roman"/>
          <w:noProof/>
          <w:color w:val="000000"/>
          <w:lang w:val="sk-SK"/>
        </w:rPr>
        <w:t xml:space="preserve"> s </w:t>
      </w:r>
      <w:r w:rsidRPr="00083739">
        <w:rPr>
          <w:rFonts w:cs="Times New Roman"/>
          <w:noProof/>
          <w:color w:val="000000"/>
          <w:lang w:val="sk-SK"/>
        </w:rPr>
        <w:t>cieľom zlepšiť rozhodovanie inštitúcií</w:t>
      </w:r>
      <w:r w:rsidR="00083739" w:rsidRPr="00083739">
        <w:rPr>
          <w:rFonts w:cs="Times New Roman"/>
          <w:noProof/>
          <w:color w:val="000000"/>
          <w:lang w:val="sk-SK"/>
        </w:rPr>
        <w:t xml:space="preserve"> v </w:t>
      </w:r>
      <w:r w:rsidRPr="00083739">
        <w:rPr>
          <w:rFonts w:cs="Times New Roman"/>
          <w:noProof/>
          <w:color w:val="000000"/>
          <w:lang w:val="sk-SK"/>
        </w:rPr>
        <w:t xml:space="preserve">reálnom čase. Systém sa skladá </w:t>
      </w:r>
      <w:r w:rsidR="00083739" w:rsidRPr="00083739">
        <w:rPr>
          <w:rFonts w:cs="Times New Roman"/>
          <w:noProof/>
          <w:color w:val="000000"/>
          <w:lang w:val="sk-SK"/>
        </w:rPr>
        <w:t xml:space="preserve"> z </w:t>
      </w:r>
      <w:r w:rsidRPr="00083739">
        <w:rPr>
          <w:rFonts w:cs="Times New Roman"/>
          <w:noProof/>
          <w:color w:val="000000"/>
          <w:lang w:val="sk-SK"/>
        </w:rPr>
        <w:t>najmodernejších technológií, ako je umelá inteligencia,</w:t>
      </w:r>
      <w:r w:rsidR="00083739" w:rsidRPr="00083739">
        <w:rPr>
          <w:rFonts w:cs="Times New Roman"/>
          <w:noProof/>
          <w:color w:val="000000"/>
          <w:lang w:val="sk-SK"/>
        </w:rPr>
        <w:t xml:space="preserve"> a </w:t>
      </w:r>
      <w:r w:rsidRPr="00083739">
        <w:rPr>
          <w:rFonts w:cs="Times New Roman"/>
          <w:noProof/>
          <w:color w:val="000000"/>
          <w:lang w:val="sk-SK"/>
        </w:rPr>
        <w:t>je navrhnutý tak, aby</w:t>
      </w:r>
      <w:r w:rsidR="00083739" w:rsidRPr="00083739">
        <w:rPr>
          <w:rFonts w:cs="Times New Roman"/>
          <w:noProof/>
          <w:color w:val="000000"/>
          <w:lang w:val="sk-SK"/>
        </w:rPr>
        <w:t xml:space="preserve"> z </w:t>
      </w:r>
      <w:r w:rsidRPr="00083739">
        <w:rPr>
          <w:rFonts w:cs="Times New Roman"/>
          <w:noProof/>
          <w:color w:val="000000"/>
          <w:lang w:val="sk-SK"/>
        </w:rPr>
        <w:t>dlhodobého hľadiska spĺňal potreby rozmanitej škály koncových používateľov.</w:t>
      </w:r>
      <w:r w:rsidRPr="00083739">
        <w:rPr>
          <w:rFonts w:cs="Times New Roman"/>
          <w:noProof/>
          <w:lang w:val="sk-SK"/>
        </w:rPr>
        <w:t xml:space="preserve"> Očakáva sa, že prisp</w:t>
      </w:r>
      <w:r w:rsidRPr="00083739">
        <w:rPr>
          <w:rFonts w:cs="Times New Roman"/>
          <w:noProof/>
          <w:lang w:val="sk-SK"/>
        </w:rPr>
        <w:t>eje</w:t>
      </w:r>
      <w:r w:rsidR="00083739" w:rsidRPr="00083739">
        <w:rPr>
          <w:rFonts w:cs="Times New Roman"/>
          <w:noProof/>
          <w:lang w:val="sk-SK"/>
        </w:rPr>
        <w:t xml:space="preserve"> k </w:t>
      </w:r>
      <w:r w:rsidRPr="00083739">
        <w:rPr>
          <w:rFonts w:cs="Times New Roman"/>
          <w:noProof/>
          <w:lang w:val="sk-SK"/>
        </w:rPr>
        <w:t>riadeniu hraníc, boju proti trestnej činnosti</w:t>
      </w:r>
      <w:r w:rsidR="00083739" w:rsidRPr="00083739">
        <w:rPr>
          <w:rFonts w:cs="Times New Roman"/>
          <w:noProof/>
          <w:lang w:val="sk-SK"/>
        </w:rPr>
        <w:t xml:space="preserve"> a </w:t>
      </w:r>
      <w:r w:rsidRPr="00083739">
        <w:rPr>
          <w:rFonts w:cs="Times New Roman"/>
          <w:noProof/>
          <w:lang w:val="sk-SK"/>
        </w:rPr>
        <w:t>terorizmu, kybernetickej bezpečnosti, ochrane</w:t>
      </w:r>
      <w:r w:rsidR="00083739" w:rsidRPr="00083739">
        <w:rPr>
          <w:rFonts w:cs="Times New Roman"/>
          <w:noProof/>
          <w:lang w:val="sk-SK"/>
        </w:rPr>
        <w:t xml:space="preserve"> a </w:t>
      </w:r>
      <w:r w:rsidRPr="00083739">
        <w:rPr>
          <w:rFonts w:cs="Times New Roman"/>
          <w:noProof/>
          <w:lang w:val="sk-SK"/>
        </w:rPr>
        <w:t>odolnosti kritickej infraštruktúry, pátraniu</w:t>
      </w:r>
      <w:r w:rsidR="00083739" w:rsidRPr="00083739">
        <w:rPr>
          <w:rFonts w:cs="Times New Roman"/>
          <w:noProof/>
          <w:lang w:val="sk-SK"/>
        </w:rPr>
        <w:t xml:space="preserve"> a </w:t>
      </w:r>
      <w:r w:rsidRPr="00083739">
        <w:rPr>
          <w:rFonts w:cs="Times New Roman"/>
          <w:noProof/>
          <w:lang w:val="sk-SK"/>
        </w:rPr>
        <w:t>záchrane</w:t>
      </w:r>
      <w:r w:rsidR="00083739" w:rsidRPr="00083739">
        <w:rPr>
          <w:rFonts w:cs="Times New Roman"/>
          <w:noProof/>
          <w:lang w:val="sk-SK"/>
        </w:rPr>
        <w:t xml:space="preserve"> a </w:t>
      </w:r>
      <w:r w:rsidRPr="00083739">
        <w:rPr>
          <w:rFonts w:cs="Times New Roman"/>
          <w:noProof/>
          <w:lang w:val="sk-SK"/>
        </w:rPr>
        <w:t>odolnosti voči katastrofám. Realizácia investície sa ukončí do 31</w:t>
      </w:r>
      <w:r w:rsidR="00083739" w:rsidRPr="00083739">
        <w:rPr>
          <w:rFonts w:cs="Times New Roman"/>
          <w:noProof/>
          <w:lang w:val="sk-SK"/>
        </w:rPr>
        <w:t>. decembra</w:t>
      </w:r>
      <w:r w:rsidRPr="00083739">
        <w:rPr>
          <w:rFonts w:cs="Times New Roman"/>
          <w:noProof/>
          <w:lang w:val="sk-SK"/>
        </w:rPr>
        <w:t xml:space="preserve"> 2025.</w:t>
      </w:r>
    </w:p>
    <w:p w14:paraId="01A47DFF" w14:textId="7777777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Vý</w:t>
      </w:r>
      <w:r w:rsidRPr="00083739">
        <w:rPr>
          <w:rFonts w:cs="Times New Roman"/>
          <w:noProof/>
          <w:lang w:val="sk-SK"/>
        </w:rPr>
        <w:t>skum – Vytvoriť – Inovácia (ID opatrenia 16971)</w:t>
      </w:r>
    </w:p>
    <w:p w14:paraId="1E8263D3" w14:textId="437FA807"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Cieľom investície je podporiť 36 návrhov projektov, ktoré sa hodnotia</w:t>
      </w:r>
      <w:r w:rsidR="00083739" w:rsidRPr="00083739">
        <w:rPr>
          <w:rFonts w:cs="Times New Roman"/>
          <w:noProof/>
          <w:lang w:val="sk-SK"/>
        </w:rPr>
        <w:t xml:space="preserve"> s </w:t>
      </w:r>
      <w:r w:rsidRPr="00083739">
        <w:rPr>
          <w:rFonts w:cs="Times New Roman"/>
          <w:noProof/>
          <w:lang w:val="sk-SK"/>
        </w:rPr>
        <w:t>veľmi vysokým hodnotením</w:t>
      </w:r>
      <w:r w:rsidR="00083739" w:rsidRPr="00083739">
        <w:rPr>
          <w:rFonts w:cs="Times New Roman"/>
          <w:noProof/>
          <w:lang w:val="sk-SK"/>
        </w:rPr>
        <w:t xml:space="preserve"> v </w:t>
      </w:r>
      <w:r w:rsidRPr="00083739">
        <w:rPr>
          <w:rFonts w:cs="Times New Roman"/>
          <w:noProof/>
          <w:lang w:val="sk-SK"/>
        </w:rPr>
        <w:t>rámci kritéria „excelentnosti“</w:t>
      </w:r>
      <w:r w:rsidR="00083739" w:rsidRPr="00083739">
        <w:rPr>
          <w:rFonts w:cs="Times New Roman"/>
          <w:noProof/>
          <w:lang w:val="sk-SK"/>
        </w:rPr>
        <w:t xml:space="preserve"> v </w:t>
      </w:r>
      <w:r w:rsidRPr="00083739">
        <w:rPr>
          <w:rFonts w:cs="Times New Roman"/>
          <w:noProof/>
          <w:lang w:val="sk-SK"/>
        </w:rPr>
        <w:t>sektoroch inteligentnej špecializácie (RIS3), ale neboli financované</w:t>
      </w:r>
      <w:r w:rsidR="00083739" w:rsidRPr="00083739">
        <w:rPr>
          <w:rFonts w:cs="Times New Roman"/>
          <w:noProof/>
          <w:lang w:val="sk-SK"/>
        </w:rPr>
        <w:t xml:space="preserve"> v </w:t>
      </w:r>
      <w:r w:rsidRPr="00083739">
        <w:rPr>
          <w:rFonts w:cs="Times New Roman"/>
          <w:noProof/>
          <w:lang w:val="sk-SK"/>
        </w:rPr>
        <w:t>rámci</w:t>
      </w:r>
      <w:r w:rsidRPr="00083739">
        <w:rPr>
          <w:rFonts w:cs="Times New Roman"/>
          <w:noProof/>
          <w:lang w:val="sk-SK"/>
        </w:rPr>
        <w:t xml:space="preserve"> programu HORIZON 2020</w:t>
      </w:r>
      <w:r w:rsidR="00083739" w:rsidRPr="00083739">
        <w:rPr>
          <w:rFonts w:cs="Times New Roman"/>
          <w:noProof/>
          <w:lang w:val="sk-SK"/>
        </w:rPr>
        <w:t xml:space="preserve"> z </w:t>
      </w:r>
      <w:r w:rsidRPr="00083739">
        <w:rPr>
          <w:rFonts w:cs="Times New Roman"/>
          <w:noProof/>
          <w:lang w:val="sk-SK"/>
        </w:rPr>
        <w:t>dôvodu rozpočtových obmedzení. Investícia podporuje vybrané návrhy financovaním</w:t>
      </w:r>
      <w:r w:rsidR="00083739" w:rsidRPr="00083739">
        <w:rPr>
          <w:rFonts w:cs="Times New Roman"/>
          <w:noProof/>
          <w:lang w:val="sk-SK"/>
        </w:rPr>
        <w:t xml:space="preserve"> a </w:t>
      </w:r>
      <w:r w:rsidRPr="00083739">
        <w:rPr>
          <w:rFonts w:cs="Times New Roman"/>
          <w:noProof/>
          <w:lang w:val="sk-SK"/>
        </w:rPr>
        <w:t>očakáva sa, že priláka spolufinancovanie zo súkromného sektora posilnením prepojenia medzi verejným vedeckým sektorom</w:t>
      </w:r>
      <w:r w:rsidR="00083739" w:rsidRPr="00083739">
        <w:rPr>
          <w:rFonts w:cs="Times New Roman"/>
          <w:noProof/>
          <w:lang w:val="sk-SK"/>
        </w:rPr>
        <w:t xml:space="preserve"> a </w:t>
      </w:r>
      <w:r w:rsidRPr="00083739">
        <w:rPr>
          <w:rFonts w:cs="Times New Roman"/>
          <w:noProof/>
          <w:lang w:val="sk-SK"/>
        </w:rPr>
        <w:t xml:space="preserve">podnikmi. Na financovanie sú </w:t>
      </w:r>
      <w:r w:rsidRPr="00083739">
        <w:rPr>
          <w:rFonts w:cs="Times New Roman"/>
          <w:noProof/>
          <w:lang w:val="sk-SK"/>
        </w:rPr>
        <w:t>oprávnené tieto sektory: I) životné prostredie</w:t>
      </w:r>
      <w:r w:rsidR="00083739" w:rsidRPr="00083739">
        <w:rPr>
          <w:rFonts w:cs="Times New Roman"/>
          <w:noProof/>
          <w:lang w:val="sk-SK"/>
        </w:rPr>
        <w:t xml:space="preserve"> a </w:t>
      </w:r>
      <w:r w:rsidRPr="00083739">
        <w:rPr>
          <w:rFonts w:cs="Times New Roman"/>
          <w:noProof/>
          <w:lang w:val="sk-SK"/>
        </w:rPr>
        <w:t xml:space="preserve">trvalo udržateľný rozvoj; II) energia; III) </w:t>
      </w:r>
      <w:r w:rsidRPr="00083739">
        <w:rPr>
          <w:rFonts w:cs="Times New Roman"/>
          <w:noProof/>
          <w:color w:val="000000"/>
          <w:lang w:val="sk-SK"/>
        </w:rPr>
        <w:t>informačné</w:t>
      </w:r>
      <w:r w:rsidR="00083739" w:rsidRPr="00083739">
        <w:rPr>
          <w:rFonts w:cs="Times New Roman"/>
          <w:noProof/>
          <w:color w:val="000000"/>
          <w:lang w:val="sk-SK"/>
        </w:rPr>
        <w:t xml:space="preserve"> a </w:t>
      </w:r>
      <w:r w:rsidRPr="00083739">
        <w:rPr>
          <w:rFonts w:cs="Times New Roman"/>
          <w:noProof/>
          <w:color w:val="000000"/>
          <w:lang w:val="sk-SK"/>
        </w:rPr>
        <w:t>komunikačné technológie;</w:t>
      </w:r>
      <w:r w:rsidRPr="00083739">
        <w:rPr>
          <w:rFonts w:cs="Times New Roman"/>
          <w:noProof/>
          <w:lang w:val="sk-SK"/>
        </w:rPr>
        <w:t xml:space="preserve"> IV) zdravie</w:t>
      </w:r>
      <w:r w:rsidR="00083739" w:rsidRPr="00083739">
        <w:rPr>
          <w:rFonts w:cs="Times New Roman"/>
          <w:noProof/>
          <w:lang w:val="sk-SK"/>
        </w:rPr>
        <w:t xml:space="preserve"> a </w:t>
      </w:r>
      <w:r w:rsidRPr="00083739">
        <w:rPr>
          <w:rFonts w:cs="Times New Roman"/>
          <w:noProof/>
          <w:lang w:val="sk-SK"/>
        </w:rPr>
        <w:t>farmaceutika; v) doprava</w:t>
      </w:r>
      <w:r w:rsidR="00083739" w:rsidRPr="00083739">
        <w:rPr>
          <w:rFonts w:cs="Times New Roman"/>
          <w:noProof/>
          <w:lang w:val="sk-SK"/>
        </w:rPr>
        <w:t xml:space="preserve"> a </w:t>
      </w:r>
      <w:r w:rsidRPr="00083739">
        <w:rPr>
          <w:rFonts w:cs="Times New Roman"/>
          <w:noProof/>
          <w:lang w:val="sk-SK"/>
        </w:rPr>
        <w:t>dodávateľský reťazec; VI) agropotravinársky</w:t>
      </w:r>
      <w:r w:rsidR="00083739" w:rsidRPr="00083739">
        <w:rPr>
          <w:rFonts w:cs="Times New Roman"/>
          <w:noProof/>
          <w:lang w:val="sk-SK"/>
        </w:rPr>
        <w:t xml:space="preserve"> a </w:t>
      </w:r>
      <w:r w:rsidRPr="00083739">
        <w:rPr>
          <w:rFonts w:cs="Times New Roman"/>
          <w:noProof/>
          <w:lang w:val="sk-SK"/>
        </w:rPr>
        <w:t>potravinársky priemysel; VII) materiál</w:t>
      </w:r>
      <w:r w:rsidRPr="00083739">
        <w:rPr>
          <w:rFonts w:cs="Times New Roman"/>
          <w:noProof/>
          <w:lang w:val="sk-SK"/>
        </w:rPr>
        <w:t>y</w:t>
      </w:r>
      <w:r w:rsidR="00083739" w:rsidRPr="00083739">
        <w:rPr>
          <w:rFonts w:cs="Times New Roman"/>
          <w:noProof/>
          <w:lang w:val="sk-SK"/>
        </w:rPr>
        <w:t xml:space="preserve"> a </w:t>
      </w:r>
      <w:r w:rsidRPr="00083739">
        <w:rPr>
          <w:rFonts w:cs="Times New Roman"/>
          <w:noProof/>
          <w:lang w:val="sk-SK"/>
        </w:rPr>
        <w:t>konštrukcia;</w:t>
      </w:r>
      <w:r w:rsidR="00083739" w:rsidRPr="00083739">
        <w:rPr>
          <w:rFonts w:cs="Times New Roman"/>
          <w:noProof/>
          <w:lang w:val="sk-SK"/>
        </w:rPr>
        <w:t xml:space="preserve"> a </w:t>
      </w:r>
      <w:r w:rsidRPr="00083739">
        <w:rPr>
          <w:rFonts w:cs="Times New Roman"/>
          <w:noProof/>
          <w:lang w:val="sk-SK"/>
        </w:rPr>
        <w:t>viii) cestovný ruch, kultúra</w:t>
      </w:r>
      <w:r w:rsidR="00083739" w:rsidRPr="00083739">
        <w:rPr>
          <w:rFonts w:cs="Times New Roman"/>
          <w:noProof/>
          <w:lang w:val="sk-SK"/>
        </w:rPr>
        <w:t xml:space="preserve"> a </w:t>
      </w:r>
      <w:r w:rsidRPr="00083739">
        <w:rPr>
          <w:rFonts w:cs="Times New Roman"/>
          <w:noProof/>
          <w:lang w:val="sk-SK"/>
        </w:rPr>
        <w:t>kreatívny priemysel. Realizácia investície sa ukončí do 31</w:t>
      </w:r>
      <w:r w:rsidR="00083739" w:rsidRPr="00083739">
        <w:rPr>
          <w:rFonts w:cs="Times New Roman"/>
          <w:noProof/>
          <w:lang w:val="sk-SK"/>
        </w:rPr>
        <w:t>. decembra</w:t>
      </w:r>
      <w:r w:rsidRPr="00083739">
        <w:rPr>
          <w:rFonts w:cs="Times New Roman"/>
          <w:noProof/>
          <w:lang w:val="sk-SK"/>
        </w:rPr>
        <w:t xml:space="preserve"> 2025.</w:t>
      </w:r>
    </w:p>
    <w:p w14:paraId="0B3C545F" w14:textId="7777777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„Známka excelentnosti“ programu Horizont 2020: financovanie špičkových inovačných spoločností (ID opatrenia 16622)</w:t>
      </w:r>
    </w:p>
    <w:p w14:paraId="247D80C4" w14:textId="15C874B1"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I</w:t>
      </w:r>
      <w:r w:rsidRPr="00083739">
        <w:rPr>
          <w:rFonts w:cs="Times New Roman"/>
          <w:noProof/>
          <w:lang w:val="sk-SK"/>
        </w:rPr>
        <w:t>nvestícia sa týka 12 návrhov projektov malých</w:t>
      </w:r>
      <w:r w:rsidR="00083739" w:rsidRPr="00083739">
        <w:rPr>
          <w:rFonts w:cs="Times New Roman"/>
          <w:noProof/>
          <w:lang w:val="sk-SK"/>
        </w:rPr>
        <w:t xml:space="preserve"> a </w:t>
      </w:r>
      <w:r w:rsidRPr="00083739">
        <w:rPr>
          <w:rFonts w:cs="Times New Roman"/>
          <w:noProof/>
          <w:lang w:val="sk-SK"/>
        </w:rPr>
        <w:t>stredných podnikov, ktoré získali značku kvality HORIZON 2020 „Známka excelentnosti“</w:t>
      </w:r>
      <w:r w:rsidR="00083739" w:rsidRPr="00083739">
        <w:rPr>
          <w:rFonts w:cs="Times New Roman"/>
          <w:noProof/>
          <w:lang w:val="sk-SK"/>
        </w:rPr>
        <w:t xml:space="preserve"> a </w:t>
      </w:r>
      <w:r w:rsidRPr="00083739">
        <w:rPr>
          <w:rFonts w:cs="Times New Roman"/>
          <w:noProof/>
          <w:lang w:val="sk-SK"/>
        </w:rPr>
        <w:t>sú oprávnené na grant, ale nie sú financované</w:t>
      </w:r>
      <w:r w:rsidR="00083739" w:rsidRPr="00083739">
        <w:rPr>
          <w:rFonts w:cs="Times New Roman"/>
          <w:noProof/>
          <w:lang w:val="sk-SK"/>
        </w:rPr>
        <w:t xml:space="preserve"> v </w:t>
      </w:r>
      <w:r w:rsidRPr="00083739">
        <w:rPr>
          <w:rFonts w:cs="Times New Roman"/>
          <w:noProof/>
          <w:lang w:val="sk-SK"/>
        </w:rPr>
        <w:t>rámci programu HORIZON 2020</w:t>
      </w:r>
      <w:r w:rsidR="00083739" w:rsidRPr="00083739">
        <w:rPr>
          <w:rFonts w:cs="Times New Roman"/>
          <w:noProof/>
          <w:lang w:val="sk-SK"/>
        </w:rPr>
        <w:t xml:space="preserve"> z </w:t>
      </w:r>
      <w:r w:rsidRPr="00083739">
        <w:rPr>
          <w:rFonts w:cs="Times New Roman"/>
          <w:noProof/>
          <w:lang w:val="sk-SK"/>
        </w:rPr>
        <w:t>dôvodu rozpočtových obmedzení. Investície p</w:t>
      </w:r>
      <w:r w:rsidRPr="00083739">
        <w:rPr>
          <w:rFonts w:cs="Times New Roman"/>
          <w:noProof/>
          <w:lang w:val="sk-SK"/>
        </w:rPr>
        <w:t>odporujú tieto návrhy</w:t>
      </w:r>
      <w:r w:rsidR="00083739" w:rsidRPr="00083739">
        <w:rPr>
          <w:rFonts w:cs="Times New Roman"/>
          <w:noProof/>
          <w:lang w:val="sk-SK"/>
        </w:rPr>
        <w:t xml:space="preserve"> a </w:t>
      </w:r>
      <w:r w:rsidRPr="00083739">
        <w:rPr>
          <w:rFonts w:cs="Times New Roman"/>
          <w:noProof/>
          <w:lang w:val="sk-SK"/>
        </w:rPr>
        <w:t>dopĺňajú súkromné financovanie zo strany príjemcov. Na financovanie sú oprávnené tieto sektory: I) životné prostredie</w:t>
      </w:r>
      <w:r w:rsidR="00083739" w:rsidRPr="00083739">
        <w:rPr>
          <w:rFonts w:cs="Times New Roman"/>
          <w:noProof/>
          <w:lang w:val="sk-SK"/>
        </w:rPr>
        <w:t xml:space="preserve"> a </w:t>
      </w:r>
      <w:r w:rsidRPr="00083739">
        <w:rPr>
          <w:rFonts w:cs="Times New Roman"/>
          <w:noProof/>
          <w:lang w:val="sk-SK"/>
        </w:rPr>
        <w:t xml:space="preserve">trvalo udržateľný rozvoj; II) energia; III) </w:t>
      </w:r>
      <w:r w:rsidRPr="00083739">
        <w:rPr>
          <w:rFonts w:cs="Times New Roman"/>
          <w:noProof/>
          <w:color w:val="000000"/>
          <w:lang w:val="sk-SK"/>
        </w:rPr>
        <w:t>informačné</w:t>
      </w:r>
      <w:r w:rsidR="00083739" w:rsidRPr="00083739">
        <w:rPr>
          <w:rFonts w:cs="Times New Roman"/>
          <w:noProof/>
          <w:color w:val="000000"/>
          <w:lang w:val="sk-SK"/>
        </w:rPr>
        <w:t xml:space="preserve"> a </w:t>
      </w:r>
      <w:r w:rsidRPr="00083739">
        <w:rPr>
          <w:rFonts w:cs="Times New Roman"/>
          <w:noProof/>
          <w:color w:val="000000"/>
          <w:lang w:val="sk-SK"/>
        </w:rPr>
        <w:t>komunikačné technológie;</w:t>
      </w:r>
      <w:r w:rsidRPr="00083739">
        <w:rPr>
          <w:rFonts w:cs="Times New Roman"/>
          <w:noProof/>
          <w:lang w:val="sk-SK"/>
        </w:rPr>
        <w:t xml:space="preserve"> IV) zdravie</w:t>
      </w:r>
      <w:r w:rsidR="00083739" w:rsidRPr="00083739">
        <w:rPr>
          <w:rFonts w:cs="Times New Roman"/>
          <w:noProof/>
          <w:lang w:val="sk-SK"/>
        </w:rPr>
        <w:t xml:space="preserve"> a </w:t>
      </w:r>
      <w:r w:rsidRPr="00083739">
        <w:rPr>
          <w:rFonts w:cs="Times New Roman"/>
          <w:noProof/>
          <w:lang w:val="sk-SK"/>
        </w:rPr>
        <w:t>farmaceutika; v)</w:t>
      </w:r>
      <w:r w:rsidRPr="00083739">
        <w:rPr>
          <w:rFonts w:cs="Times New Roman"/>
          <w:noProof/>
          <w:lang w:val="sk-SK"/>
        </w:rPr>
        <w:t xml:space="preserve"> doprava</w:t>
      </w:r>
      <w:r w:rsidR="00083739" w:rsidRPr="00083739">
        <w:rPr>
          <w:rFonts w:cs="Times New Roman"/>
          <w:noProof/>
          <w:lang w:val="sk-SK"/>
        </w:rPr>
        <w:t xml:space="preserve"> a </w:t>
      </w:r>
      <w:r w:rsidRPr="00083739">
        <w:rPr>
          <w:rFonts w:cs="Times New Roman"/>
          <w:noProof/>
          <w:lang w:val="sk-SK"/>
        </w:rPr>
        <w:t>dodávateľský reťazec; VI) agropotravinársky</w:t>
      </w:r>
      <w:r w:rsidR="00083739" w:rsidRPr="00083739">
        <w:rPr>
          <w:rFonts w:cs="Times New Roman"/>
          <w:noProof/>
          <w:lang w:val="sk-SK"/>
        </w:rPr>
        <w:t xml:space="preserve"> a </w:t>
      </w:r>
      <w:r w:rsidRPr="00083739">
        <w:rPr>
          <w:rFonts w:cs="Times New Roman"/>
          <w:noProof/>
          <w:lang w:val="sk-SK"/>
        </w:rPr>
        <w:t>potravinársky priemysel;</w:t>
      </w:r>
      <w:r w:rsidR="00083739" w:rsidRPr="00083739">
        <w:rPr>
          <w:rFonts w:cs="Times New Roman"/>
          <w:noProof/>
          <w:lang w:val="sk-SK"/>
        </w:rPr>
        <w:t xml:space="preserve"> a </w:t>
      </w:r>
      <w:r w:rsidRPr="00083739">
        <w:rPr>
          <w:rFonts w:cs="Times New Roman"/>
          <w:noProof/>
          <w:lang w:val="sk-SK"/>
        </w:rPr>
        <w:t>vii) materiálov</w:t>
      </w:r>
      <w:r w:rsidR="00083739" w:rsidRPr="00083739">
        <w:rPr>
          <w:rFonts w:cs="Times New Roman"/>
          <w:noProof/>
          <w:lang w:val="sk-SK"/>
        </w:rPr>
        <w:t xml:space="preserve"> a </w:t>
      </w:r>
      <w:r w:rsidRPr="00083739">
        <w:rPr>
          <w:rFonts w:cs="Times New Roman"/>
          <w:noProof/>
          <w:lang w:val="sk-SK"/>
        </w:rPr>
        <w:t>konštrukcie. Realizácia investície sa ukončí do 31</w:t>
      </w:r>
      <w:r w:rsidR="00083739" w:rsidRPr="00083739">
        <w:rPr>
          <w:rFonts w:cs="Times New Roman"/>
          <w:noProof/>
          <w:lang w:val="sk-SK"/>
        </w:rPr>
        <w:t>. decembra</w:t>
      </w:r>
      <w:r w:rsidRPr="00083739">
        <w:rPr>
          <w:rFonts w:cs="Times New Roman"/>
          <w:noProof/>
          <w:lang w:val="sk-SK"/>
        </w:rPr>
        <w:t xml:space="preserve"> 2025.</w:t>
      </w:r>
    </w:p>
    <w:p w14:paraId="7DC19C87" w14:textId="5A22162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Reforma:</w:t>
      </w:r>
      <w:r w:rsidRPr="00083739">
        <w:rPr>
          <w:rFonts w:cs="Times New Roman"/>
          <w:noProof/>
          <w:lang w:val="sk-SK"/>
        </w:rPr>
        <w:t xml:space="preserve"> Extroverzia Výskumného</w:t>
      </w:r>
      <w:r w:rsidR="00083739" w:rsidRPr="00083739">
        <w:rPr>
          <w:rFonts w:cs="Times New Roman"/>
          <w:noProof/>
          <w:lang w:val="sk-SK"/>
        </w:rPr>
        <w:t xml:space="preserve"> a </w:t>
      </w:r>
      <w:r w:rsidRPr="00083739">
        <w:rPr>
          <w:rFonts w:cs="Times New Roman"/>
          <w:noProof/>
          <w:lang w:val="sk-SK"/>
        </w:rPr>
        <w:t>inovačného ekosystému Grécka (ID 16621)</w:t>
      </w:r>
    </w:p>
    <w:p w14:paraId="079EEDE1" w14:textId="6DFBB791"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Reforma zahŕň</w:t>
      </w:r>
      <w:r w:rsidRPr="00083739">
        <w:rPr>
          <w:rFonts w:cs="Times New Roman"/>
          <w:noProof/>
          <w:lang w:val="sk-SK"/>
        </w:rPr>
        <w:t>a podporu</w:t>
      </w:r>
      <w:r w:rsidR="00083739" w:rsidRPr="00083739">
        <w:rPr>
          <w:rFonts w:cs="Times New Roman"/>
          <w:noProof/>
          <w:lang w:val="sk-SK"/>
        </w:rPr>
        <w:t xml:space="preserve"> a </w:t>
      </w:r>
      <w:r w:rsidRPr="00083739">
        <w:rPr>
          <w:rFonts w:cs="Times New Roman"/>
          <w:noProof/>
          <w:lang w:val="sk-SK"/>
        </w:rPr>
        <w:t>globálnu propagáciu národného ekosystému startupov</w:t>
      </w:r>
      <w:r w:rsidR="00083739" w:rsidRPr="00083739">
        <w:rPr>
          <w:rFonts w:cs="Times New Roman"/>
          <w:noProof/>
          <w:lang w:val="sk-SK"/>
        </w:rPr>
        <w:t xml:space="preserve"> a </w:t>
      </w:r>
      <w:r w:rsidRPr="00083739">
        <w:rPr>
          <w:rFonts w:cs="Times New Roman"/>
          <w:noProof/>
          <w:lang w:val="sk-SK"/>
        </w:rPr>
        <w:t>inovácií, ako aj podporu procesu vývoja, údržby</w:t>
      </w:r>
      <w:r w:rsidR="00083739" w:rsidRPr="00083739">
        <w:rPr>
          <w:rFonts w:cs="Times New Roman"/>
          <w:noProof/>
          <w:lang w:val="sk-SK"/>
        </w:rPr>
        <w:t xml:space="preserve"> a </w:t>
      </w:r>
      <w:r w:rsidRPr="00083739">
        <w:rPr>
          <w:rFonts w:cs="Times New Roman"/>
          <w:noProof/>
          <w:lang w:val="sk-SK"/>
        </w:rPr>
        <w:t>modernizácie softvéru. Tieto opatrenia sa vykonajú prostredníctvom ELEVATE Greece, ktorý prevádzkuje digitálny portál, ktorý umožňuje vnútroš</w:t>
      </w:r>
      <w:r w:rsidRPr="00083739">
        <w:rPr>
          <w:rFonts w:cs="Times New Roman"/>
          <w:noProof/>
          <w:lang w:val="sk-SK"/>
        </w:rPr>
        <w:t>tátnym startupom zaregistrovať sa</w:t>
      </w:r>
      <w:r w:rsidR="00083739" w:rsidRPr="00083739">
        <w:rPr>
          <w:rFonts w:cs="Times New Roman"/>
          <w:noProof/>
          <w:lang w:val="sk-SK"/>
        </w:rPr>
        <w:t xml:space="preserve"> a </w:t>
      </w:r>
      <w:r w:rsidRPr="00083739">
        <w:rPr>
          <w:rFonts w:cs="Times New Roman"/>
          <w:noProof/>
          <w:lang w:val="sk-SK"/>
        </w:rPr>
        <w:t>získať vládnu akreditáciu ako „startupy“. Implementácia tejto reformy sa dokončí do 31</w:t>
      </w:r>
      <w:r w:rsidR="00083739" w:rsidRPr="00083739">
        <w:rPr>
          <w:rFonts w:cs="Times New Roman"/>
          <w:noProof/>
          <w:lang w:val="sk-SK"/>
        </w:rPr>
        <w:t>. decembra</w:t>
      </w:r>
      <w:r w:rsidRPr="00083739">
        <w:rPr>
          <w:rFonts w:cs="Times New Roman"/>
          <w:noProof/>
          <w:lang w:val="sk-SK"/>
        </w:rPr>
        <w:t xml:space="preserve"> 2025.</w:t>
      </w:r>
    </w:p>
    <w:p w14:paraId="77189226" w14:textId="77777777" w:rsidR="002D49B0" w:rsidRPr="00083739" w:rsidRDefault="002D49B0">
      <w:pPr>
        <w:spacing w:before="120" w:after="120" w:line="240" w:lineRule="auto"/>
        <w:ind w:left="709"/>
        <w:jc w:val="both"/>
        <w:rPr>
          <w:rFonts w:ascii="Times New Roman" w:hAnsi="Times New Roman" w:cs="Times New Roman"/>
          <w:noProof/>
          <w:sz w:val="24"/>
          <w:lang w:val="sk-SK"/>
        </w:rPr>
      </w:pPr>
    </w:p>
    <w:p w14:paraId="139105A2" w14:textId="77777777" w:rsidR="002D49B0" w:rsidRPr="00083739" w:rsidRDefault="002D49B0">
      <w:pPr>
        <w:spacing w:before="120" w:after="120" w:line="240" w:lineRule="auto"/>
        <w:ind w:left="709"/>
        <w:jc w:val="both"/>
        <w:rPr>
          <w:rFonts w:ascii="Times New Roman" w:hAnsi="Times New Roman" w:cs="Times New Roman"/>
          <w:noProof/>
          <w:sz w:val="24"/>
          <w:lang w:val="sk-SK"/>
        </w:rPr>
        <w:sectPr w:rsidR="002D49B0" w:rsidRPr="00083739" w:rsidSect="00271D33">
          <w:headerReference w:type="even" r:id="rId259"/>
          <w:headerReference w:type="default" r:id="rId260"/>
          <w:footerReference w:type="even" r:id="rId261"/>
          <w:footerReference w:type="default" r:id="rId262"/>
          <w:headerReference w:type="first" r:id="rId263"/>
          <w:footerReference w:type="first" r:id="rId264"/>
          <w:pgSz w:w="11907" w:h="16839"/>
          <w:pgMar w:top="1134" w:right="1417" w:bottom="1134" w:left="1417" w:header="709" w:footer="468" w:gutter="0"/>
          <w:cols w:space="720"/>
          <w:docGrid w:linePitch="360"/>
        </w:sectPr>
      </w:pPr>
    </w:p>
    <w:p w14:paraId="3D91D4D8" w14:textId="2D2C5890" w:rsidR="002D49B0" w:rsidRPr="00083739" w:rsidRDefault="00BF4125">
      <w:pPr>
        <w:spacing w:before="120" w:after="120" w:line="240" w:lineRule="auto"/>
        <w:ind w:left="709"/>
        <w:jc w:val="both"/>
        <w:rPr>
          <w:rFonts w:ascii="Times New Roman" w:hAnsi="Times New Roman" w:cs="Times New Roman"/>
          <w:b/>
          <w:bCs/>
          <w:noProof/>
          <w:sz w:val="24"/>
          <w:u w:val="single"/>
          <w:lang w:val="sk-SK"/>
        </w:rPr>
      </w:pPr>
      <w:r w:rsidRPr="00083739">
        <w:rPr>
          <w:rFonts w:ascii="Times New Roman" w:hAnsi="Times New Roman" w:cs="Times New Roman"/>
          <w:b/>
          <w:noProof/>
          <w:sz w:val="24"/>
          <w:u w:val="single"/>
          <w:lang w:val="sk-SK"/>
        </w:rPr>
        <w:t xml:space="preserve">P.2. </w:t>
      </w:r>
      <w:r w:rsidRPr="00083739">
        <w:rPr>
          <w:rFonts w:ascii="Times New Roman" w:hAnsi="Times New Roman" w:cs="Times New Roman"/>
          <w:noProof/>
          <w:lang w:val="sk-SK"/>
        </w:rPr>
        <w:t xml:space="preserve"> </w:t>
      </w:r>
      <w:r w:rsidRPr="00083739">
        <w:rPr>
          <w:rFonts w:ascii="Times New Roman" w:hAnsi="Times New Roman" w:cs="Times New Roman"/>
          <w:b/>
          <w:noProof/>
          <w:sz w:val="24"/>
          <w:u w:val="single"/>
          <w:lang w:val="sk-SK"/>
        </w:rPr>
        <w:t>Míľniky, ciele, ukazovatele</w:t>
      </w:r>
      <w:r w:rsidR="00083739" w:rsidRPr="00083739">
        <w:rPr>
          <w:rFonts w:ascii="Times New Roman" w:hAnsi="Times New Roman" w:cs="Times New Roman"/>
          <w:b/>
          <w:noProof/>
          <w:sz w:val="24"/>
          <w:u w:val="single"/>
          <w:lang w:val="sk-SK"/>
        </w:rPr>
        <w:t xml:space="preserve"> a </w:t>
      </w:r>
      <w:r w:rsidRPr="00083739">
        <w:rPr>
          <w:rFonts w:ascii="Times New Roman" w:hAnsi="Times New Roman" w:cs="Times New Roman"/>
          <w:b/>
          <w:noProof/>
          <w:sz w:val="24"/>
          <w:u w:val="single"/>
          <w:lang w:val="sk-SK"/>
        </w:rPr>
        <w:t xml:space="preserve">harmonogram </w:t>
      </w:r>
      <w:r w:rsidRPr="00083739">
        <w:rPr>
          <w:rFonts w:ascii="Times New Roman" w:hAnsi="Times New Roman" w:cs="Times New Roman"/>
          <w:b/>
          <w:noProof/>
          <w:sz w:val="24"/>
          <w:u w:val="single"/>
          <w:lang w:val="sk-SK"/>
        </w:rPr>
        <w:t>monitorovania</w:t>
      </w:r>
      <w:r w:rsidR="00083739" w:rsidRPr="00083739">
        <w:rPr>
          <w:rFonts w:ascii="Times New Roman" w:hAnsi="Times New Roman" w:cs="Times New Roman"/>
          <w:b/>
          <w:noProof/>
          <w:sz w:val="24"/>
          <w:u w:val="single"/>
          <w:lang w:val="sk-SK"/>
        </w:rPr>
        <w:t xml:space="preserve"> a </w:t>
      </w:r>
      <w:r w:rsidRPr="00083739">
        <w:rPr>
          <w:rFonts w:ascii="Times New Roman" w:hAnsi="Times New Roman" w:cs="Times New Roman"/>
          <w:b/>
          <w:noProof/>
          <w:sz w:val="24"/>
          <w:u w:val="single"/>
          <w:lang w:val="sk-SK"/>
        </w:rPr>
        <w:t>realizácie pre nenávratnú finančnú podporu</w:t>
      </w:r>
    </w:p>
    <w:p w14:paraId="1E9F36C4" w14:textId="77777777" w:rsidR="002D49B0" w:rsidRPr="00083739" w:rsidRDefault="002D49B0">
      <w:pPr>
        <w:rPr>
          <w:rFonts w:ascii="Times New Roman" w:hAnsi="Times New Roman" w:cs="Times New Roman"/>
          <w:noProof/>
          <w:lang w:val="sk-SK"/>
        </w:rPr>
      </w:pPr>
    </w:p>
    <w:p w14:paraId="5D04BDF1" w14:textId="6D8CB08A" w:rsidR="002D49B0" w:rsidRPr="00083739" w:rsidRDefault="00BF4125">
      <w:pPr>
        <w:pStyle w:val="P68B1DB1-Normal6"/>
        <w:keepNext/>
        <w:keepLines/>
        <w:spacing w:before="40" w:after="0" w:line="240" w:lineRule="auto"/>
        <w:jc w:val="both"/>
        <w:outlineLvl w:val="4"/>
        <w:rPr>
          <w:rFonts w:ascii="Times New Roman" w:eastAsia="Times New Roman" w:hAnsi="Times New Roman" w:cs="Times New Roman"/>
          <w:noProof/>
          <w:lang w:val="sk-SK"/>
        </w:rPr>
      </w:pPr>
      <w:r w:rsidRPr="00083739">
        <w:rPr>
          <w:rFonts w:ascii="Times New Roman" w:hAnsi="Times New Roman" w:cs="Times New Roman"/>
          <w:noProof/>
          <w:lang w:val="sk-SK"/>
        </w:rPr>
        <w:t>Skupina 23: Podporiť výskum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inovácie</w:t>
      </w:r>
    </w:p>
    <w:p w14:paraId="19F79DFF" w14:textId="24B8DBC9" w:rsidR="002D49B0" w:rsidRPr="00083739" w:rsidRDefault="00BF4125">
      <w:pPr>
        <w:pStyle w:val="P68B1DB1-Normal4"/>
        <w:numPr>
          <w:ilvl w:val="0"/>
          <w:numId w:val="34"/>
        </w:numPr>
        <w:spacing w:before="120" w:after="0" w:line="240" w:lineRule="auto"/>
        <w:jc w:val="both"/>
        <w:rPr>
          <w:rFonts w:cs="Times New Roman"/>
          <w:noProof/>
          <w:lang w:val="sk-SK"/>
        </w:rPr>
      </w:pPr>
      <w:r w:rsidRPr="00083739">
        <w:rPr>
          <w:rFonts w:cs="Times New Roman"/>
          <w:noProof/>
          <w:lang w:val="sk-SK"/>
        </w:rPr>
        <w:t>Vytvorenie – rozšírenie – modernizácia infraštruktúry výskumných centier pod dohľadom Generálneho sekretariátu pre výskum</w:t>
      </w:r>
      <w:r w:rsidR="00083739" w:rsidRPr="00083739">
        <w:rPr>
          <w:rFonts w:cs="Times New Roman"/>
          <w:noProof/>
          <w:lang w:val="sk-SK"/>
        </w:rPr>
        <w:t xml:space="preserve"> a </w:t>
      </w:r>
      <w:r w:rsidRPr="00083739">
        <w:rPr>
          <w:rFonts w:cs="Times New Roman"/>
          <w:noProof/>
          <w:lang w:val="sk-SK"/>
        </w:rPr>
        <w:t>technológie (GSRT) (ID: 16624)</w:t>
      </w:r>
    </w:p>
    <w:p w14:paraId="4B74F223" w14:textId="0BB813C4" w:rsidR="002D49B0" w:rsidRPr="00083739" w:rsidRDefault="00BF4125">
      <w:pPr>
        <w:pStyle w:val="P68B1DB1-Normal4"/>
        <w:numPr>
          <w:ilvl w:val="0"/>
          <w:numId w:val="34"/>
        </w:numPr>
        <w:spacing w:before="120" w:after="0" w:line="240" w:lineRule="auto"/>
        <w:jc w:val="both"/>
        <w:rPr>
          <w:rFonts w:cs="Times New Roman"/>
          <w:noProof/>
          <w:lang w:val="sk-SK"/>
        </w:rPr>
      </w:pPr>
      <w:r w:rsidRPr="00083739">
        <w:rPr>
          <w:rFonts w:cs="Times New Roman"/>
          <w:noProof/>
          <w:lang w:val="sk-SK"/>
        </w:rPr>
        <w:t>Základný</w:t>
      </w:r>
      <w:r w:rsidR="00083739" w:rsidRPr="00083739">
        <w:rPr>
          <w:rFonts w:cs="Times New Roman"/>
          <w:noProof/>
          <w:lang w:val="sk-SK"/>
        </w:rPr>
        <w:t xml:space="preserve"> a </w:t>
      </w:r>
      <w:r w:rsidRPr="00083739">
        <w:rPr>
          <w:rFonts w:cs="Times New Roman"/>
          <w:noProof/>
          <w:lang w:val="sk-SK"/>
        </w:rPr>
        <w:t>aplikovaný výskum (ID: 16618)</w:t>
      </w:r>
    </w:p>
    <w:p w14:paraId="607A12E3" w14:textId="77777777" w:rsidR="002D49B0" w:rsidRPr="00083739" w:rsidRDefault="00BF4125">
      <w:pPr>
        <w:pStyle w:val="P68B1DB1-Normal4"/>
        <w:numPr>
          <w:ilvl w:val="0"/>
          <w:numId w:val="34"/>
        </w:numPr>
        <w:spacing w:before="120" w:after="0" w:line="240" w:lineRule="auto"/>
        <w:jc w:val="both"/>
        <w:rPr>
          <w:rFonts w:cs="Times New Roman"/>
          <w:noProof/>
          <w:lang w:val="sk-SK"/>
        </w:rPr>
      </w:pPr>
      <w:r w:rsidRPr="00083739">
        <w:rPr>
          <w:rFonts w:cs="Times New Roman"/>
          <w:noProof/>
          <w:lang w:val="sk-SK"/>
        </w:rPr>
        <w:t>T. 2 ORAX: Trellis Holistic &amp; Hybrid Operational Ruggedised Autonómny eXemplary system (ID: 16654)</w:t>
      </w:r>
    </w:p>
    <w:p w14:paraId="46337711" w14:textId="77777777" w:rsidR="002D49B0" w:rsidRPr="00083739" w:rsidRDefault="00BF4125">
      <w:pPr>
        <w:pStyle w:val="P68B1DB1-Normal4"/>
        <w:numPr>
          <w:ilvl w:val="0"/>
          <w:numId w:val="34"/>
        </w:numPr>
        <w:spacing w:before="120" w:after="0" w:line="240" w:lineRule="auto"/>
        <w:jc w:val="both"/>
        <w:rPr>
          <w:rFonts w:cs="Times New Roman"/>
          <w:noProof/>
          <w:lang w:val="sk-SK"/>
        </w:rPr>
      </w:pPr>
      <w:r w:rsidRPr="00083739">
        <w:rPr>
          <w:rFonts w:cs="Times New Roman"/>
          <w:noProof/>
          <w:lang w:val="sk-SK"/>
        </w:rPr>
        <w:t>Výskum – Vytvoriť – Inovácia (ID: 16971)</w:t>
      </w:r>
    </w:p>
    <w:p w14:paraId="3F6B9088" w14:textId="77777777" w:rsidR="002D49B0" w:rsidRPr="00083739" w:rsidRDefault="00BF4125">
      <w:pPr>
        <w:pStyle w:val="P68B1DB1-Normal4"/>
        <w:numPr>
          <w:ilvl w:val="0"/>
          <w:numId w:val="34"/>
        </w:numPr>
        <w:spacing w:before="120" w:after="0" w:line="240" w:lineRule="auto"/>
        <w:jc w:val="both"/>
        <w:rPr>
          <w:rFonts w:cs="Times New Roman"/>
          <w:noProof/>
          <w:lang w:val="sk-SK"/>
        </w:rPr>
      </w:pPr>
      <w:r w:rsidRPr="00083739">
        <w:rPr>
          <w:rFonts w:cs="Times New Roman"/>
          <w:noProof/>
          <w:lang w:val="sk-SK"/>
        </w:rPr>
        <w:t>„Známka excelentnosti“ programu Horizont 2020: financovanie špičkových inov</w:t>
      </w:r>
      <w:r w:rsidRPr="00083739">
        <w:rPr>
          <w:rFonts w:cs="Times New Roman"/>
          <w:noProof/>
          <w:lang w:val="sk-SK"/>
        </w:rPr>
        <w:t>ačných spoločností (ID: 16622)</w:t>
      </w:r>
    </w:p>
    <w:p w14:paraId="1C948494" w14:textId="7DF44207" w:rsidR="002D49B0" w:rsidRPr="00083739" w:rsidRDefault="00BF4125">
      <w:pPr>
        <w:pStyle w:val="P68B1DB1-Normal4"/>
        <w:numPr>
          <w:ilvl w:val="0"/>
          <w:numId w:val="34"/>
        </w:numPr>
        <w:spacing w:before="120" w:after="120" w:line="240" w:lineRule="auto"/>
        <w:jc w:val="both"/>
        <w:rPr>
          <w:rFonts w:cs="Times New Roman"/>
          <w:noProof/>
          <w:lang w:val="sk-SK"/>
        </w:rPr>
      </w:pPr>
      <w:r w:rsidRPr="00083739">
        <w:rPr>
          <w:rFonts w:cs="Times New Roman"/>
          <w:noProof/>
          <w:lang w:val="sk-SK"/>
        </w:rPr>
        <w:t>Extroverzia Výskumného</w:t>
      </w:r>
      <w:r w:rsidR="00083739" w:rsidRPr="00083739">
        <w:rPr>
          <w:rFonts w:cs="Times New Roman"/>
          <w:noProof/>
          <w:lang w:val="sk-SK"/>
        </w:rPr>
        <w:t xml:space="preserve"> a </w:t>
      </w:r>
      <w:r w:rsidRPr="00083739">
        <w:rPr>
          <w:rFonts w:cs="Times New Roman"/>
          <w:noProof/>
          <w:lang w:val="sk-SK"/>
        </w:rPr>
        <w:t>inovačného ekosystému Grécka (ID: 16621)</w:t>
      </w:r>
    </w:p>
    <w:tbl>
      <w:tblPr>
        <w:tblW w:w="16018" w:type="dxa"/>
        <w:jc w:val="center"/>
        <w:tblLayout w:type="fixed"/>
        <w:tblLook w:val="04A0" w:firstRow="1" w:lastRow="0" w:firstColumn="1" w:lastColumn="0" w:noHBand="0" w:noVBand="1"/>
      </w:tblPr>
      <w:tblGrid>
        <w:gridCol w:w="1110"/>
        <w:gridCol w:w="2055"/>
        <w:gridCol w:w="1094"/>
        <w:gridCol w:w="1794"/>
        <w:gridCol w:w="1774"/>
        <w:gridCol w:w="960"/>
        <w:gridCol w:w="960"/>
        <w:gridCol w:w="607"/>
        <w:gridCol w:w="992"/>
        <w:gridCol w:w="707"/>
        <w:gridCol w:w="3965"/>
      </w:tblGrid>
      <w:tr w:rsidR="002D49B0" w:rsidRPr="00083739" w14:paraId="4FDEA420" w14:textId="77777777">
        <w:trPr>
          <w:trHeight w:val="740"/>
          <w:tblHeader/>
          <w:jc w:val="center"/>
        </w:trPr>
        <w:tc>
          <w:tcPr>
            <w:tcW w:w="111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8AEED12"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Poradové číslo</w:t>
            </w:r>
          </w:p>
        </w:tc>
        <w:tc>
          <w:tcPr>
            <w:tcW w:w="205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9C99412"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Súvisiace opatrenie (reforma alebo investícia)</w:t>
            </w:r>
          </w:p>
        </w:tc>
        <w:tc>
          <w:tcPr>
            <w:tcW w:w="109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54249CA"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Míľnik/cieľ</w:t>
            </w:r>
          </w:p>
        </w:tc>
        <w:tc>
          <w:tcPr>
            <w:tcW w:w="1794" w:type="dxa"/>
            <w:vMerge w:val="restart"/>
            <w:tcBorders>
              <w:top w:val="single" w:sz="4" w:space="0" w:color="auto"/>
              <w:left w:val="nil"/>
              <w:bottom w:val="single" w:sz="4" w:space="0" w:color="auto"/>
              <w:right w:val="single" w:sz="4" w:space="0" w:color="auto"/>
            </w:tcBorders>
            <w:shd w:val="clear" w:color="auto" w:fill="BDD7EE"/>
            <w:vAlign w:val="center"/>
            <w:hideMark/>
          </w:tcPr>
          <w:p w14:paraId="5B15764A"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Názov</w:t>
            </w:r>
          </w:p>
        </w:tc>
        <w:tc>
          <w:tcPr>
            <w:tcW w:w="177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167DFA7"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Kvalitatívne ukazovatele (pre míľniky)</w:t>
            </w:r>
          </w:p>
        </w:tc>
        <w:tc>
          <w:tcPr>
            <w:tcW w:w="2527" w:type="dxa"/>
            <w:gridSpan w:val="3"/>
            <w:tcBorders>
              <w:top w:val="single" w:sz="4" w:space="0" w:color="auto"/>
              <w:left w:val="nil"/>
              <w:bottom w:val="single" w:sz="4" w:space="0" w:color="auto"/>
              <w:right w:val="single" w:sz="4" w:space="0" w:color="auto"/>
            </w:tcBorders>
            <w:shd w:val="clear" w:color="auto" w:fill="BDD7EE"/>
            <w:vAlign w:val="center"/>
            <w:hideMark/>
          </w:tcPr>
          <w:p w14:paraId="68FC03A6"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Kvantitatívne ukazovatele (pre ciele)</w:t>
            </w:r>
          </w:p>
        </w:tc>
        <w:tc>
          <w:tcPr>
            <w:tcW w:w="1699" w:type="dxa"/>
            <w:gridSpan w:val="2"/>
            <w:tcBorders>
              <w:top w:val="single" w:sz="4" w:space="0" w:color="auto"/>
              <w:left w:val="nil"/>
              <w:bottom w:val="single" w:sz="4" w:space="0" w:color="auto"/>
              <w:right w:val="single" w:sz="4" w:space="0" w:color="auto"/>
            </w:tcBorders>
            <w:shd w:val="clear" w:color="auto" w:fill="BDD7EE"/>
            <w:vAlign w:val="center"/>
            <w:hideMark/>
          </w:tcPr>
          <w:p w14:paraId="2724EC6B"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Orientačný harmonogram dokončenia </w:t>
            </w:r>
          </w:p>
        </w:tc>
        <w:tc>
          <w:tcPr>
            <w:tcW w:w="396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E8E9B0A" w14:textId="7B264F5F"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Opis každého míľnika</w:t>
            </w:r>
            <w:r w:rsidR="00083739" w:rsidRPr="00083739">
              <w:rPr>
                <w:rFonts w:cs="Times New Roman"/>
                <w:noProof/>
                <w:lang w:val="sk-SK"/>
              </w:rPr>
              <w:t xml:space="preserve"> a </w:t>
            </w:r>
            <w:r w:rsidRPr="00083739">
              <w:rPr>
                <w:rFonts w:cs="Times New Roman"/>
                <w:noProof/>
                <w:lang w:val="sk-SK"/>
              </w:rPr>
              <w:t>cieľa</w:t>
            </w:r>
          </w:p>
        </w:tc>
      </w:tr>
      <w:tr w:rsidR="002D49B0" w:rsidRPr="00083739" w14:paraId="12A15BDD" w14:textId="77777777">
        <w:trPr>
          <w:trHeight w:val="526"/>
          <w:tblHeader/>
          <w:jc w:val="center"/>
        </w:trPr>
        <w:tc>
          <w:tcPr>
            <w:tcW w:w="1110" w:type="dxa"/>
            <w:vMerge/>
            <w:tcBorders>
              <w:top w:val="single" w:sz="4" w:space="0" w:color="auto"/>
              <w:left w:val="single" w:sz="4" w:space="0" w:color="auto"/>
              <w:bottom w:val="single" w:sz="4" w:space="0" w:color="auto"/>
              <w:right w:val="single" w:sz="4" w:space="0" w:color="auto"/>
            </w:tcBorders>
            <w:vAlign w:val="center"/>
            <w:hideMark/>
          </w:tcPr>
          <w:p w14:paraId="2B4B4322"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2055" w:type="dxa"/>
            <w:vMerge/>
            <w:tcBorders>
              <w:top w:val="single" w:sz="4" w:space="0" w:color="auto"/>
              <w:left w:val="single" w:sz="4" w:space="0" w:color="auto"/>
              <w:bottom w:val="single" w:sz="4" w:space="0" w:color="auto"/>
              <w:right w:val="single" w:sz="4" w:space="0" w:color="auto"/>
            </w:tcBorders>
            <w:vAlign w:val="center"/>
            <w:hideMark/>
          </w:tcPr>
          <w:p w14:paraId="015B2B39"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14:paraId="2195E235"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794" w:type="dxa"/>
            <w:vMerge/>
            <w:tcBorders>
              <w:top w:val="single" w:sz="4" w:space="0" w:color="auto"/>
              <w:left w:val="single" w:sz="4" w:space="0" w:color="auto"/>
              <w:bottom w:val="single" w:sz="4" w:space="0" w:color="auto"/>
              <w:right w:val="single" w:sz="4" w:space="0" w:color="auto"/>
            </w:tcBorders>
            <w:vAlign w:val="center"/>
            <w:hideMark/>
          </w:tcPr>
          <w:p w14:paraId="0E13BD16"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774" w:type="dxa"/>
            <w:vMerge/>
            <w:tcBorders>
              <w:top w:val="single" w:sz="4" w:space="0" w:color="auto"/>
              <w:left w:val="single" w:sz="4" w:space="0" w:color="auto"/>
              <w:bottom w:val="single" w:sz="4" w:space="0" w:color="auto"/>
              <w:right w:val="single" w:sz="4" w:space="0" w:color="auto"/>
            </w:tcBorders>
            <w:vAlign w:val="center"/>
            <w:hideMark/>
          </w:tcPr>
          <w:p w14:paraId="2649ABF4"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960"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73567F40"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Merná jednotka</w:t>
            </w:r>
          </w:p>
        </w:tc>
        <w:tc>
          <w:tcPr>
            <w:tcW w:w="960" w:type="dxa"/>
            <w:tcBorders>
              <w:top w:val="nil"/>
              <w:left w:val="nil"/>
              <w:bottom w:val="single" w:sz="4" w:space="0" w:color="auto"/>
              <w:right w:val="single" w:sz="4" w:space="0" w:color="auto"/>
            </w:tcBorders>
            <w:shd w:val="clear" w:color="auto" w:fill="BDD7EE"/>
            <w:vAlign w:val="center"/>
            <w:hideMark/>
          </w:tcPr>
          <w:p w14:paraId="585CA702"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 xml:space="preserve">Základná </w:t>
            </w:r>
          </w:p>
        </w:tc>
        <w:tc>
          <w:tcPr>
            <w:tcW w:w="607" w:type="dxa"/>
            <w:tcBorders>
              <w:top w:val="nil"/>
              <w:left w:val="nil"/>
              <w:bottom w:val="single" w:sz="4" w:space="0" w:color="auto"/>
              <w:right w:val="single" w:sz="4" w:space="0" w:color="auto"/>
            </w:tcBorders>
            <w:shd w:val="clear" w:color="auto" w:fill="BDD7EE"/>
            <w:vAlign w:val="center"/>
            <w:hideMark/>
          </w:tcPr>
          <w:p w14:paraId="757FD768"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 xml:space="preserve">Cieľ </w:t>
            </w:r>
          </w:p>
        </w:tc>
        <w:tc>
          <w:tcPr>
            <w:tcW w:w="992" w:type="dxa"/>
            <w:tcBorders>
              <w:top w:val="nil"/>
              <w:left w:val="nil"/>
              <w:bottom w:val="single" w:sz="4" w:space="0" w:color="auto"/>
              <w:right w:val="single" w:sz="4" w:space="0" w:color="auto"/>
            </w:tcBorders>
            <w:shd w:val="clear" w:color="auto" w:fill="BDD7EE"/>
            <w:vAlign w:val="center"/>
            <w:hideMark/>
          </w:tcPr>
          <w:p w14:paraId="4477AF43"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Štvrtina</w:t>
            </w:r>
          </w:p>
        </w:tc>
        <w:tc>
          <w:tcPr>
            <w:tcW w:w="707" w:type="dxa"/>
            <w:tcBorders>
              <w:top w:val="nil"/>
              <w:left w:val="nil"/>
              <w:bottom w:val="single" w:sz="4" w:space="0" w:color="auto"/>
              <w:right w:val="single" w:sz="4" w:space="0" w:color="auto"/>
            </w:tcBorders>
            <w:shd w:val="clear" w:color="auto" w:fill="BDD7EE"/>
            <w:vAlign w:val="center"/>
            <w:hideMark/>
          </w:tcPr>
          <w:p w14:paraId="3E8B6832"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Rok</w:t>
            </w:r>
          </w:p>
        </w:tc>
        <w:tc>
          <w:tcPr>
            <w:tcW w:w="3965" w:type="dxa"/>
            <w:vMerge/>
            <w:tcBorders>
              <w:top w:val="single" w:sz="4" w:space="0" w:color="auto"/>
              <w:bottom w:val="single" w:sz="4" w:space="0" w:color="auto"/>
              <w:right w:val="single" w:sz="4" w:space="0" w:color="auto"/>
            </w:tcBorders>
            <w:vAlign w:val="center"/>
            <w:hideMark/>
          </w:tcPr>
          <w:p w14:paraId="05290B40"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r>
      <w:tr w:rsidR="002D49B0" w:rsidRPr="00083739" w14:paraId="796AE372" w14:textId="77777777">
        <w:trPr>
          <w:trHeight w:val="309"/>
          <w:jc w:val="center"/>
        </w:trPr>
        <w:tc>
          <w:tcPr>
            <w:tcW w:w="1110" w:type="dxa"/>
            <w:tcBorders>
              <w:top w:val="single" w:sz="4" w:space="0" w:color="auto"/>
              <w:left w:val="single" w:sz="4" w:space="0" w:color="auto"/>
              <w:bottom w:val="single" w:sz="4" w:space="0" w:color="auto"/>
              <w:right w:val="single" w:sz="4" w:space="0" w:color="auto"/>
            </w:tcBorders>
            <w:shd w:val="clear" w:color="auto" w:fill="C6EFCE"/>
            <w:noWrap/>
          </w:tcPr>
          <w:p w14:paraId="534DD6F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245</w:t>
            </w:r>
          </w:p>
        </w:tc>
        <w:tc>
          <w:tcPr>
            <w:tcW w:w="2055" w:type="dxa"/>
            <w:tcBorders>
              <w:top w:val="single" w:sz="4" w:space="0" w:color="auto"/>
              <w:left w:val="nil"/>
              <w:bottom w:val="single" w:sz="4" w:space="0" w:color="auto"/>
              <w:right w:val="single" w:sz="4" w:space="0" w:color="auto"/>
            </w:tcBorders>
            <w:shd w:val="clear" w:color="auto" w:fill="C6EFCE"/>
            <w:noWrap/>
          </w:tcPr>
          <w:p w14:paraId="6C3BDB73" w14:textId="7FE64F0A"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16 – 4.5. Podpora výskumu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inovácií – 16618_Základný</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aplikovaný výskum</w:t>
            </w:r>
          </w:p>
        </w:tc>
        <w:tc>
          <w:tcPr>
            <w:tcW w:w="1094" w:type="dxa"/>
            <w:tcBorders>
              <w:top w:val="single" w:sz="4" w:space="0" w:color="auto"/>
              <w:left w:val="nil"/>
              <w:bottom w:val="single" w:sz="4" w:space="0" w:color="auto"/>
              <w:right w:val="single" w:sz="4" w:space="0" w:color="auto"/>
            </w:tcBorders>
            <w:shd w:val="clear" w:color="auto" w:fill="C6EFCE"/>
            <w:noWrap/>
          </w:tcPr>
          <w:p w14:paraId="4F5ECD4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794" w:type="dxa"/>
            <w:tcBorders>
              <w:top w:val="single" w:sz="4" w:space="0" w:color="auto"/>
              <w:left w:val="nil"/>
              <w:bottom w:val="single" w:sz="4" w:space="0" w:color="auto"/>
              <w:right w:val="single" w:sz="4" w:space="0" w:color="auto"/>
            </w:tcBorders>
            <w:shd w:val="clear" w:color="auto" w:fill="C6EFCE"/>
            <w:noWrap/>
          </w:tcPr>
          <w:p w14:paraId="02F6ED00" w14:textId="7B976BBB"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Právne predpisy</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základnom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aplikovanom výskume</w:t>
            </w:r>
          </w:p>
        </w:tc>
        <w:tc>
          <w:tcPr>
            <w:tcW w:w="1774" w:type="dxa"/>
            <w:tcBorders>
              <w:top w:val="single" w:sz="4" w:space="0" w:color="auto"/>
              <w:left w:val="nil"/>
              <w:bottom w:val="single" w:sz="4" w:space="0" w:color="auto"/>
              <w:right w:val="single" w:sz="4" w:space="0" w:color="auto"/>
            </w:tcBorders>
            <w:shd w:val="clear" w:color="auto" w:fill="C6EFCE"/>
            <w:noWrap/>
          </w:tcPr>
          <w:p w14:paraId="55EECD4D" w14:textId="36667C91"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právnych predpisov (primárne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sekundárne akty, ktorými sa zriaďujú právne subjekty)</w:t>
            </w:r>
          </w:p>
        </w:tc>
        <w:tc>
          <w:tcPr>
            <w:tcW w:w="960" w:type="dxa"/>
            <w:tcBorders>
              <w:top w:val="single" w:sz="4" w:space="0" w:color="auto"/>
              <w:left w:val="nil"/>
              <w:bottom w:val="single" w:sz="4" w:space="0" w:color="auto"/>
              <w:right w:val="single" w:sz="4" w:space="0" w:color="auto"/>
            </w:tcBorders>
            <w:shd w:val="clear" w:color="auto" w:fill="C6EFCE"/>
            <w:noWrap/>
          </w:tcPr>
          <w:p w14:paraId="4546D492"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60" w:type="dxa"/>
            <w:tcBorders>
              <w:top w:val="nil"/>
              <w:left w:val="nil"/>
              <w:bottom w:val="single" w:sz="4" w:space="0" w:color="auto"/>
              <w:right w:val="single" w:sz="4" w:space="0" w:color="auto"/>
            </w:tcBorders>
            <w:shd w:val="clear" w:color="auto" w:fill="C6EFCE"/>
            <w:noWrap/>
          </w:tcPr>
          <w:p w14:paraId="4955CE77"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607" w:type="dxa"/>
            <w:tcBorders>
              <w:top w:val="nil"/>
              <w:left w:val="nil"/>
              <w:bottom w:val="single" w:sz="4" w:space="0" w:color="auto"/>
              <w:right w:val="single" w:sz="4" w:space="0" w:color="auto"/>
            </w:tcBorders>
            <w:shd w:val="clear" w:color="auto" w:fill="C6EFCE"/>
            <w:noWrap/>
          </w:tcPr>
          <w:p w14:paraId="7BDE7482"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2" w:type="dxa"/>
            <w:tcBorders>
              <w:top w:val="nil"/>
              <w:left w:val="nil"/>
              <w:bottom w:val="single" w:sz="4" w:space="0" w:color="auto"/>
              <w:right w:val="single" w:sz="4" w:space="0" w:color="auto"/>
            </w:tcBorders>
            <w:shd w:val="clear" w:color="auto" w:fill="C6EFCE"/>
            <w:noWrap/>
          </w:tcPr>
          <w:p w14:paraId="202891C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PRVÝ ŠTVRŤROK</w:t>
            </w:r>
          </w:p>
        </w:tc>
        <w:tc>
          <w:tcPr>
            <w:tcW w:w="707" w:type="dxa"/>
            <w:tcBorders>
              <w:top w:val="nil"/>
              <w:left w:val="nil"/>
              <w:bottom w:val="single" w:sz="4" w:space="0" w:color="auto"/>
              <w:right w:val="single" w:sz="4" w:space="0" w:color="auto"/>
            </w:tcBorders>
            <w:shd w:val="clear" w:color="auto" w:fill="C6EFCE"/>
            <w:noWrap/>
          </w:tcPr>
          <w:p w14:paraId="4F6DE83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2022</w:t>
            </w:r>
          </w:p>
        </w:tc>
        <w:tc>
          <w:tcPr>
            <w:tcW w:w="3965" w:type="dxa"/>
            <w:tcBorders>
              <w:top w:val="single" w:sz="4" w:space="0" w:color="auto"/>
              <w:left w:val="nil"/>
              <w:bottom w:val="single" w:sz="4" w:space="0" w:color="auto"/>
              <w:right w:val="single" w:sz="4" w:space="0" w:color="auto"/>
            </w:tcBorders>
            <w:shd w:val="clear" w:color="auto" w:fill="C6EFCE"/>
            <w:noWrap/>
          </w:tcPr>
          <w:p w14:paraId="46738803" w14:textId="566D29FA"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revidovaného právneho rámca pre základný</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aplikovaný výskum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vydávanie sekundárnych aktov, ktorými sa</w:t>
            </w:r>
            <w:r w:rsidRPr="00083739">
              <w:rPr>
                <w:rFonts w:ascii="Times New Roman" w:hAnsi="Times New Roman" w:cs="Times New Roman"/>
                <w:noProof/>
                <w:lang w:val="sk-SK"/>
              </w:rPr>
              <w:t xml:space="preserve"> zriaďujú právne subjekty.</w:t>
            </w:r>
          </w:p>
          <w:p w14:paraId="5935ADBC"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p w14:paraId="184A06B0" w14:textId="25305F72"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Právny rámec: a) nanovo vymedziť oblasti výskumu pre výzvy na financovanie</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rámci aktualizovanej národnej stratégie pre inteligentnú špecializáciu (RIS3); b) vytvoriť novú štruktúru riadenia</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cieľom zlepšiť riadenie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koordiná</w:t>
            </w:r>
            <w:r w:rsidRPr="00083739">
              <w:rPr>
                <w:rFonts w:ascii="Times New Roman" w:hAnsi="Times New Roman" w:cs="Times New Roman"/>
                <w:noProof/>
                <w:lang w:val="sk-SK"/>
              </w:rPr>
              <w:t>ciu týchto projektov;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c) stanoviť právne postavenie nových výskumných subjektov</w:t>
            </w:r>
            <w:r w:rsidR="00083739" w:rsidRPr="00083739">
              <w:rPr>
                <w:rFonts w:ascii="Times New Roman" w:hAnsi="Times New Roman" w:cs="Times New Roman"/>
                <w:noProof/>
                <w:lang w:val="sk-SK"/>
              </w:rPr>
              <w:t>.</w:t>
            </w:r>
          </w:p>
          <w:p w14:paraId="50BD9C3D" w14:textId="2AD714E9"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p w14:paraId="151FA0DC" w14:textId="5FDDFB14"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Oblasti výskumu nanovo vymedzia Národná rada pre výskum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inováciu (NCRI)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Generálny sekretariát pre výskum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inováciu ministerstva rozvoja (GSRI).</w:t>
            </w:r>
          </w:p>
        </w:tc>
      </w:tr>
      <w:tr w:rsidR="002D49B0" w:rsidRPr="00083739" w14:paraId="33839893" w14:textId="77777777">
        <w:trPr>
          <w:trHeight w:val="309"/>
          <w:jc w:val="center"/>
        </w:trPr>
        <w:tc>
          <w:tcPr>
            <w:tcW w:w="1110" w:type="dxa"/>
            <w:tcBorders>
              <w:top w:val="nil"/>
              <w:left w:val="single" w:sz="4" w:space="0" w:color="auto"/>
              <w:bottom w:val="single" w:sz="4" w:space="0" w:color="auto"/>
              <w:right w:val="single" w:sz="4" w:space="0" w:color="auto"/>
            </w:tcBorders>
            <w:shd w:val="clear" w:color="auto" w:fill="C6EFCE"/>
            <w:noWrap/>
          </w:tcPr>
          <w:p w14:paraId="14A4903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246</w:t>
            </w:r>
          </w:p>
        </w:tc>
        <w:tc>
          <w:tcPr>
            <w:tcW w:w="2055" w:type="dxa"/>
            <w:tcBorders>
              <w:top w:val="nil"/>
              <w:left w:val="nil"/>
              <w:bottom w:val="single" w:sz="4" w:space="0" w:color="auto"/>
              <w:right w:val="single" w:sz="4" w:space="0" w:color="auto"/>
            </w:tcBorders>
            <w:shd w:val="clear" w:color="auto" w:fill="C6EFCE"/>
            <w:noWrap/>
          </w:tcPr>
          <w:p w14:paraId="083D54F1" w14:textId="3718C916"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16 – 4.5. Podpora </w:t>
            </w:r>
            <w:r w:rsidRPr="00083739">
              <w:rPr>
                <w:rFonts w:ascii="Times New Roman" w:hAnsi="Times New Roman" w:cs="Times New Roman"/>
                <w:noProof/>
                <w:lang w:val="sk-SK"/>
              </w:rPr>
              <w:t>výskumu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inovácií – 16624_Vytvorenie – Rozšírenie – modernizácia infraštruktúr výskumných centier pod dohľadom Generálneho sekretariátu pre výskum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inováciu (GSRI)</w:t>
            </w:r>
          </w:p>
        </w:tc>
        <w:tc>
          <w:tcPr>
            <w:tcW w:w="1094" w:type="dxa"/>
            <w:tcBorders>
              <w:top w:val="nil"/>
              <w:left w:val="nil"/>
              <w:bottom w:val="single" w:sz="4" w:space="0" w:color="auto"/>
              <w:right w:val="single" w:sz="4" w:space="0" w:color="auto"/>
            </w:tcBorders>
            <w:shd w:val="clear" w:color="auto" w:fill="C6EFCE"/>
            <w:noWrap/>
          </w:tcPr>
          <w:p w14:paraId="33F0558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794" w:type="dxa"/>
            <w:tcBorders>
              <w:top w:val="nil"/>
              <w:left w:val="nil"/>
              <w:bottom w:val="single" w:sz="4" w:space="0" w:color="auto"/>
              <w:right w:val="single" w:sz="4" w:space="0" w:color="auto"/>
            </w:tcBorders>
            <w:shd w:val="clear" w:color="auto" w:fill="C6EFCE"/>
            <w:noWrap/>
          </w:tcPr>
          <w:p w14:paraId="260EDE5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Výzva na predkladanie návrhov pre výskumné centrá</w:t>
            </w:r>
          </w:p>
        </w:tc>
        <w:tc>
          <w:tcPr>
            <w:tcW w:w="1774" w:type="dxa"/>
            <w:tcBorders>
              <w:top w:val="nil"/>
              <w:left w:val="nil"/>
              <w:bottom w:val="single" w:sz="4" w:space="0" w:color="auto"/>
              <w:right w:val="single" w:sz="4" w:space="0" w:color="auto"/>
            </w:tcBorders>
            <w:shd w:val="clear" w:color="auto" w:fill="C6EFCE"/>
            <w:noWrap/>
          </w:tcPr>
          <w:p w14:paraId="23735F9B" w14:textId="5B7169DE"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Uverejnená výzva na predkladanie </w:t>
            </w:r>
            <w:r w:rsidRPr="00083739">
              <w:rPr>
                <w:rFonts w:ascii="Times New Roman" w:hAnsi="Times New Roman" w:cs="Times New Roman"/>
                <w:noProof/>
                <w:lang w:val="sk-SK"/>
              </w:rPr>
              <w:t>návrhov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špecifikácie verejnej súťaže</w:t>
            </w:r>
          </w:p>
        </w:tc>
        <w:tc>
          <w:tcPr>
            <w:tcW w:w="960" w:type="dxa"/>
            <w:tcBorders>
              <w:top w:val="nil"/>
              <w:left w:val="nil"/>
              <w:bottom w:val="single" w:sz="4" w:space="0" w:color="auto"/>
              <w:right w:val="single" w:sz="4" w:space="0" w:color="auto"/>
            </w:tcBorders>
            <w:shd w:val="clear" w:color="auto" w:fill="C6EFCE"/>
            <w:noWrap/>
          </w:tcPr>
          <w:p w14:paraId="1C278E29"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60" w:type="dxa"/>
            <w:tcBorders>
              <w:top w:val="nil"/>
              <w:left w:val="nil"/>
              <w:bottom w:val="single" w:sz="4" w:space="0" w:color="auto"/>
              <w:right w:val="single" w:sz="4" w:space="0" w:color="auto"/>
            </w:tcBorders>
            <w:shd w:val="clear" w:color="auto" w:fill="C6EFCE"/>
            <w:noWrap/>
          </w:tcPr>
          <w:p w14:paraId="34856DFF"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607" w:type="dxa"/>
            <w:tcBorders>
              <w:top w:val="nil"/>
              <w:left w:val="nil"/>
              <w:bottom w:val="single" w:sz="4" w:space="0" w:color="auto"/>
              <w:right w:val="single" w:sz="4" w:space="0" w:color="auto"/>
            </w:tcBorders>
            <w:shd w:val="clear" w:color="auto" w:fill="C6EFCE"/>
            <w:noWrap/>
          </w:tcPr>
          <w:p w14:paraId="7DD9A4D4"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2" w:type="dxa"/>
            <w:tcBorders>
              <w:top w:val="nil"/>
              <w:left w:val="nil"/>
              <w:bottom w:val="single" w:sz="4" w:space="0" w:color="auto"/>
              <w:right w:val="single" w:sz="4" w:space="0" w:color="auto"/>
            </w:tcBorders>
            <w:shd w:val="clear" w:color="auto" w:fill="C6EFCE"/>
            <w:noWrap/>
          </w:tcPr>
          <w:p w14:paraId="2195470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PRVÝ ŠTVRŤROK</w:t>
            </w:r>
          </w:p>
        </w:tc>
        <w:tc>
          <w:tcPr>
            <w:tcW w:w="707" w:type="dxa"/>
            <w:tcBorders>
              <w:top w:val="nil"/>
              <w:left w:val="nil"/>
              <w:bottom w:val="single" w:sz="4" w:space="0" w:color="auto"/>
              <w:right w:val="single" w:sz="4" w:space="0" w:color="auto"/>
            </w:tcBorders>
            <w:shd w:val="clear" w:color="auto" w:fill="C6EFCE"/>
            <w:noWrap/>
          </w:tcPr>
          <w:p w14:paraId="76D20A7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2022</w:t>
            </w:r>
          </w:p>
        </w:tc>
        <w:tc>
          <w:tcPr>
            <w:tcW w:w="3965" w:type="dxa"/>
            <w:tcBorders>
              <w:top w:val="nil"/>
              <w:left w:val="nil"/>
              <w:bottom w:val="single" w:sz="4" w:space="0" w:color="auto"/>
              <w:right w:val="single" w:sz="4" w:space="0" w:color="auto"/>
            </w:tcBorders>
            <w:shd w:val="clear" w:color="auto" w:fill="C6EFCE"/>
            <w:noWrap/>
          </w:tcPr>
          <w:p w14:paraId="72E76E69" w14:textId="64B90E2F"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Vyhlásenie výzvy na predkladanie návrhov na vytvorenie – rozšírenie – modernizácia infraštruktúry výskumných centier vrátane uverejnenia špecifikácií verejného obstarávania, ktorými sa zabezpečí,</w:t>
            </w:r>
            <w:r w:rsidRPr="00083739">
              <w:rPr>
                <w:rFonts w:ascii="Times New Roman" w:hAnsi="Times New Roman" w:cs="Times New Roman"/>
                <w:noProof/>
                <w:lang w:val="sk-SK"/>
              </w:rPr>
              <w:t xml:space="preserve"> aby vybrané žiadosti boli</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súlade</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technickými usmerneniami Do No No Significant Harm Technical Guidance (2021/C58/01) prostredníctvom použitia zoznamu vylúčených subjektov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požiadavky súladu</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príslušnými právnymi predpismi EÚ</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vnútroštátnymi právnym</w:t>
            </w:r>
            <w:r w:rsidRPr="00083739">
              <w:rPr>
                <w:rFonts w:ascii="Times New Roman" w:hAnsi="Times New Roman" w:cs="Times New Roman"/>
                <w:noProof/>
                <w:lang w:val="sk-SK"/>
              </w:rPr>
              <w:t>i predpismi</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životného prostredia.</w:t>
            </w:r>
          </w:p>
        </w:tc>
      </w:tr>
      <w:tr w:rsidR="002D49B0" w:rsidRPr="00083739" w14:paraId="346D1E71" w14:textId="77777777">
        <w:trPr>
          <w:trHeight w:val="309"/>
          <w:jc w:val="center"/>
        </w:trPr>
        <w:tc>
          <w:tcPr>
            <w:tcW w:w="1110" w:type="dxa"/>
            <w:tcBorders>
              <w:top w:val="nil"/>
              <w:left w:val="single" w:sz="4" w:space="0" w:color="auto"/>
              <w:bottom w:val="single" w:sz="4" w:space="0" w:color="auto"/>
              <w:right w:val="single" w:sz="4" w:space="0" w:color="auto"/>
            </w:tcBorders>
            <w:shd w:val="clear" w:color="auto" w:fill="C6EFCE"/>
            <w:noWrap/>
          </w:tcPr>
          <w:p w14:paraId="5A80FE9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247</w:t>
            </w:r>
          </w:p>
        </w:tc>
        <w:tc>
          <w:tcPr>
            <w:tcW w:w="2055" w:type="dxa"/>
            <w:tcBorders>
              <w:top w:val="nil"/>
              <w:left w:val="nil"/>
              <w:bottom w:val="single" w:sz="4" w:space="0" w:color="auto"/>
              <w:right w:val="single" w:sz="4" w:space="0" w:color="auto"/>
            </w:tcBorders>
            <w:shd w:val="clear" w:color="auto" w:fill="C6EFCE"/>
            <w:noWrap/>
          </w:tcPr>
          <w:p w14:paraId="21B2DF3D" w14:textId="23240C20"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16 – 4.5. Podpora výskumu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inovácií – 16624_Vytvorenie – Rozšírenie – modernizácia infraštruktúr výskumných centier pod dohľadom Generálneho sekretariátu pre výskum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inováciu (GSRI)</w:t>
            </w:r>
          </w:p>
        </w:tc>
        <w:tc>
          <w:tcPr>
            <w:tcW w:w="1094" w:type="dxa"/>
            <w:tcBorders>
              <w:top w:val="nil"/>
              <w:left w:val="nil"/>
              <w:bottom w:val="single" w:sz="4" w:space="0" w:color="auto"/>
              <w:right w:val="single" w:sz="4" w:space="0" w:color="auto"/>
            </w:tcBorders>
            <w:shd w:val="clear" w:color="auto" w:fill="C6EFCE"/>
            <w:noWrap/>
          </w:tcPr>
          <w:p w14:paraId="662AE37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794" w:type="dxa"/>
            <w:tcBorders>
              <w:top w:val="nil"/>
              <w:left w:val="nil"/>
              <w:bottom w:val="single" w:sz="4" w:space="0" w:color="auto"/>
              <w:right w:val="single" w:sz="4" w:space="0" w:color="auto"/>
            </w:tcBorders>
            <w:shd w:val="clear" w:color="auto" w:fill="C6EFCE"/>
            <w:noWrap/>
          </w:tcPr>
          <w:p w14:paraId="1665A1A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Zadávanie </w:t>
            </w:r>
            <w:r w:rsidRPr="00083739">
              <w:rPr>
                <w:rFonts w:ascii="Times New Roman" w:hAnsi="Times New Roman" w:cs="Times New Roman"/>
                <w:noProof/>
                <w:lang w:val="sk-SK"/>
              </w:rPr>
              <w:t>zákaziek na výskumné centrá – stavebné práce</w:t>
            </w:r>
          </w:p>
        </w:tc>
        <w:tc>
          <w:tcPr>
            <w:tcW w:w="1774" w:type="dxa"/>
            <w:tcBorders>
              <w:top w:val="nil"/>
              <w:left w:val="nil"/>
              <w:bottom w:val="single" w:sz="4" w:space="0" w:color="auto"/>
              <w:right w:val="single" w:sz="4" w:space="0" w:color="auto"/>
            </w:tcBorders>
            <w:shd w:val="clear" w:color="auto" w:fill="C6EFCE"/>
            <w:noWrap/>
          </w:tcPr>
          <w:p w14:paraId="53F65CF4" w14:textId="3A89D798"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Oznámenie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zadaní zákaziek na stavebné práce</w:t>
            </w:r>
          </w:p>
        </w:tc>
        <w:tc>
          <w:tcPr>
            <w:tcW w:w="960" w:type="dxa"/>
            <w:tcBorders>
              <w:top w:val="nil"/>
              <w:left w:val="nil"/>
              <w:bottom w:val="single" w:sz="4" w:space="0" w:color="auto"/>
              <w:right w:val="single" w:sz="4" w:space="0" w:color="auto"/>
            </w:tcBorders>
            <w:shd w:val="clear" w:color="auto" w:fill="C6EFCE"/>
            <w:noWrap/>
          </w:tcPr>
          <w:p w14:paraId="2D58D0B6"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60" w:type="dxa"/>
            <w:tcBorders>
              <w:top w:val="nil"/>
              <w:left w:val="nil"/>
              <w:bottom w:val="single" w:sz="4" w:space="0" w:color="auto"/>
              <w:right w:val="single" w:sz="4" w:space="0" w:color="auto"/>
            </w:tcBorders>
            <w:shd w:val="clear" w:color="auto" w:fill="C6EFCE"/>
            <w:noWrap/>
          </w:tcPr>
          <w:p w14:paraId="434BA850"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607" w:type="dxa"/>
            <w:tcBorders>
              <w:top w:val="nil"/>
              <w:left w:val="nil"/>
              <w:bottom w:val="single" w:sz="4" w:space="0" w:color="auto"/>
              <w:right w:val="single" w:sz="4" w:space="0" w:color="auto"/>
            </w:tcBorders>
            <w:shd w:val="clear" w:color="auto" w:fill="C6EFCE"/>
            <w:noWrap/>
          </w:tcPr>
          <w:p w14:paraId="4884E8DE"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2" w:type="dxa"/>
            <w:tcBorders>
              <w:top w:val="nil"/>
              <w:left w:val="nil"/>
              <w:bottom w:val="single" w:sz="4" w:space="0" w:color="auto"/>
              <w:right w:val="single" w:sz="4" w:space="0" w:color="auto"/>
            </w:tcBorders>
            <w:shd w:val="clear" w:color="auto" w:fill="C6EFCE"/>
            <w:noWrap/>
          </w:tcPr>
          <w:p w14:paraId="2DE6646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PRVÝ ŠTVRŤROK</w:t>
            </w:r>
          </w:p>
        </w:tc>
        <w:tc>
          <w:tcPr>
            <w:tcW w:w="707" w:type="dxa"/>
            <w:tcBorders>
              <w:top w:val="nil"/>
              <w:left w:val="nil"/>
              <w:bottom w:val="single" w:sz="4" w:space="0" w:color="auto"/>
              <w:right w:val="single" w:sz="4" w:space="0" w:color="auto"/>
            </w:tcBorders>
            <w:shd w:val="clear" w:color="auto" w:fill="C6EFCE"/>
            <w:noWrap/>
          </w:tcPr>
          <w:p w14:paraId="7AA61EB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2024</w:t>
            </w:r>
          </w:p>
        </w:tc>
        <w:tc>
          <w:tcPr>
            <w:tcW w:w="3965" w:type="dxa"/>
            <w:tcBorders>
              <w:top w:val="nil"/>
              <w:left w:val="nil"/>
              <w:bottom w:val="single" w:sz="4" w:space="0" w:color="auto"/>
              <w:right w:val="single" w:sz="4" w:space="0" w:color="auto"/>
            </w:tcBorders>
            <w:shd w:val="clear" w:color="auto" w:fill="C6EFCE"/>
            <w:noWrap/>
          </w:tcPr>
          <w:p w14:paraId="51F4B914" w14:textId="0C6505CA"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Oznámenie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zadaní zákaziek na stavebné práce týkajúce sa týchto výskumných centier: Nadácia pre výskum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technológie Hellas; Výskumné</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inovačné centrum mechanizmu Athena; BSRC Fleming; Centrum pre výskum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technológie Hellas; Národná grécka výskumná nadácia; Akadémia Nadácie pre biomedicínsky výskum</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Aténach; Národné monitorovacie stredisko</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Aténach; Grécke centrum pre morský výskum; He</w:t>
            </w:r>
            <w:r w:rsidRPr="00083739">
              <w:rPr>
                <w:rFonts w:ascii="Times New Roman" w:hAnsi="Times New Roman" w:cs="Times New Roman"/>
                <w:noProof/>
                <w:lang w:val="sk-SK"/>
              </w:rPr>
              <w:t>lénsky Pasteurov inštitút.</w:t>
            </w:r>
          </w:p>
        </w:tc>
      </w:tr>
      <w:tr w:rsidR="002D49B0" w:rsidRPr="00083739" w14:paraId="63E9C2F5" w14:textId="77777777">
        <w:trPr>
          <w:trHeight w:val="309"/>
          <w:jc w:val="center"/>
        </w:trPr>
        <w:tc>
          <w:tcPr>
            <w:tcW w:w="1110" w:type="dxa"/>
            <w:tcBorders>
              <w:top w:val="nil"/>
              <w:left w:val="single" w:sz="4" w:space="0" w:color="auto"/>
              <w:bottom w:val="single" w:sz="4" w:space="0" w:color="auto"/>
              <w:right w:val="single" w:sz="4" w:space="0" w:color="auto"/>
            </w:tcBorders>
            <w:shd w:val="clear" w:color="auto" w:fill="C6EFCE"/>
            <w:noWrap/>
          </w:tcPr>
          <w:p w14:paraId="5935974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247a</w:t>
            </w:r>
          </w:p>
        </w:tc>
        <w:tc>
          <w:tcPr>
            <w:tcW w:w="2055" w:type="dxa"/>
            <w:tcBorders>
              <w:top w:val="nil"/>
              <w:left w:val="nil"/>
              <w:bottom w:val="single" w:sz="4" w:space="0" w:color="auto"/>
              <w:right w:val="single" w:sz="4" w:space="0" w:color="auto"/>
            </w:tcBorders>
            <w:shd w:val="clear" w:color="auto" w:fill="C6EFCE"/>
            <w:noWrap/>
          </w:tcPr>
          <w:p w14:paraId="77F9BB3C" w14:textId="0D394584"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16 – 4.5. Podpora výskumu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inovácií – 16624_Vytvorenie – Rozšírenie – modernizácia infraštruktúr výskumných centier pod dohľadom Generálneho sekretariátu pre výskum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inováciu (GSRI)</w:t>
            </w:r>
          </w:p>
        </w:tc>
        <w:tc>
          <w:tcPr>
            <w:tcW w:w="1094" w:type="dxa"/>
            <w:tcBorders>
              <w:top w:val="nil"/>
              <w:left w:val="nil"/>
              <w:bottom w:val="single" w:sz="4" w:space="0" w:color="auto"/>
              <w:right w:val="single" w:sz="4" w:space="0" w:color="auto"/>
            </w:tcBorders>
            <w:shd w:val="clear" w:color="auto" w:fill="C6EFCE"/>
            <w:noWrap/>
          </w:tcPr>
          <w:p w14:paraId="4290E65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794" w:type="dxa"/>
            <w:tcBorders>
              <w:top w:val="nil"/>
              <w:left w:val="nil"/>
              <w:bottom w:val="single" w:sz="4" w:space="0" w:color="auto"/>
              <w:right w:val="single" w:sz="4" w:space="0" w:color="auto"/>
            </w:tcBorders>
            <w:shd w:val="clear" w:color="auto" w:fill="C6EFCE"/>
            <w:noWrap/>
          </w:tcPr>
          <w:p w14:paraId="4BE11655" w14:textId="6BDDB799"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Zadávanie zákaziek na</w:t>
            </w:r>
            <w:r w:rsidRPr="00083739">
              <w:rPr>
                <w:rFonts w:ascii="Times New Roman" w:hAnsi="Times New Roman" w:cs="Times New Roman"/>
                <w:noProof/>
                <w:lang w:val="sk-SK"/>
              </w:rPr>
              <w:t xml:space="preserve"> výskumné centrá – nákupy zariadení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budov </w:t>
            </w:r>
          </w:p>
        </w:tc>
        <w:tc>
          <w:tcPr>
            <w:tcW w:w="1774" w:type="dxa"/>
            <w:tcBorders>
              <w:top w:val="nil"/>
              <w:left w:val="nil"/>
              <w:bottom w:val="single" w:sz="4" w:space="0" w:color="auto"/>
              <w:right w:val="single" w:sz="4" w:space="0" w:color="auto"/>
            </w:tcBorders>
            <w:shd w:val="clear" w:color="auto" w:fill="C6EFCE"/>
            <w:noWrap/>
          </w:tcPr>
          <w:p w14:paraId="15229159" w14:textId="343A13ED"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Oznámenie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zadaní zákaziek na nákup zariadení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budov</w:t>
            </w:r>
          </w:p>
        </w:tc>
        <w:tc>
          <w:tcPr>
            <w:tcW w:w="960" w:type="dxa"/>
            <w:tcBorders>
              <w:top w:val="nil"/>
              <w:left w:val="nil"/>
              <w:bottom w:val="single" w:sz="4" w:space="0" w:color="auto"/>
              <w:right w:val="single" w:sz="4" w:space="0" w:color="auto"/>
            </w:tcBorders>
            <w:shd w:val="clear" w:color="auto" w:fill="C6EFCE"/>
            <w:noWrap/>
          </w:tcPr>
          <w:p w14:paraId="6A2ECE55"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60" w:type="dxa"/>
            <w:tcBorders>
              <w:top w:val="nil"/>
              <w:left w:val="nil"/>
              <w:bottom w:val="single" w:sz="4" w:space="0" w:color="auto"/>
              <w:right w:val="single" w:sz="4" w:space="0" w:color="auto"/>
            </w:tcBorders>
            <w:shd w:val="clear" w:color="auto" w:fill="C6EFCE"/>
            <w:noWrap/>
          </w:tcPr>
          <w:p w14:paraId="20AE8C44"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607" w:type="dxa"/>
            <w:tcBorders>
              <w:top w:val="nil"/>
              <w:left w:val="nil"/>
              <w:bottom w:val="single" w:sz="4" w:space="0" w:color="auto"/>
              <w:right w:val="single" w:sz="4" w:space="0" w:color="auto"/>
            </w:tcBorders>
            <w:shd w:val="clear" w:color="auto" w:fill="C6EFCE"/>
            <w:noWrap/>
          </w:tcPr>
          <w:p w14:paraId="6347CA11"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2" w:type="dxa"/>
            <w:tcBorders>
              <w:top w:val="nil"/>
              <w:left w:val="nil"/>
              <w:bottom w:val="single" w:sz="4" w:space="0" w:color="auto"/>
              <w:right w:val="single" w:sz="4" w:space="0" w:color="auto"/>
            </w:tcBorders>
            <w:shd w:val="clear" w:color="auto" w:fill="C6EFCE"/>
            <w:noWrap/>
          </w:tcPr>
          <w:p w14:paraId="541FE55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TRETÍ ŠTVRŤROK</w:t>
            </w:r>
          </w:p>
        </w:tc>
        <w:tc>
          <w:tcPr>
            <w:tcW w:w="707" w:type="dxa"/>
            <w:tcBorders>
              <w:top w:val="nil"/>
              <w:left w:val="nil"/>
              <w:bottom w:val="single" w:sz="4" w:space="0" w:color="auto"/>
              <w:right w:val="single" w:sz="4" w:space="0" w:color="auto"/>
            </w:tcBorders>
            <w:shd w:val="clear" w:color="auto" w:fill="C6EFCE"/>
            <w:noWrap/>
          </w:tcPr>
          <w:p w14:paraId="66AD008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2024</w:t>
            </w:r>
          </w:p>
        </w:tc>
        <w:tc>
          <w:tcPr>
            <w:tcW w:w="3965" w:type="dxa"/>
            <w:tcBorders>
              <w:top w:val="nil"/>
              <w:left w:val="nil"/>
              <w:bottom w:val="single" w:sz="4" w:space="0" w:color="auto"/>
              <w:right w:val="single" w:sz="4" w:space="0" w:color="auto"/>
            </w:tcBorders>
            <w:shd w:val="clear" w:color="auto" w:fill="C6EFCE"/>
            <w:noWrap/>
          </w:tcPr>
          <w:p w14:paraId="15FB4744" w14:textId="1BF000C9"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Oznámenie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zadaní zákaziek na: I) vybavenie týchto výskumných centier: Nadácia pre výskum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technológie Hellas; Výskumné</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inovačné </w:t>
            </w:r>
            <w:r w:rsidRPr="00083739">
              <w:rPr>
                <w:rFonts w:ascii="Times New Roman" w:hAnsi="Times New Roman" w:cs="Times New Roman"/>
                <w:noProof/>
                <w:lang w:val="sk-SK"/>
              </w:rPr>
              <w:t>centrum mechanizmu Athena; BSRC Fleming; Centrum pre výskum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technológie Hellas; Národná grécka výskumná nadácia; Akadémia Nadácie pre biomedicínsky výskum</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Aténach; Národné monitorovacie stredisko</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Aténach; Grécke centrum pre morský výskum; Helénsky Pa</w:t>
            </w:r>
            <w:r w:rsidRPr="00083739">
              <w:rPr>
                <w:rFonts w:ascii="Times New Roman" w:hAnsi="Times New Roman" w:cs="Times New Roman"/>
                <w:noProof/>
                <w:lang w:val="sk-SK"/>
              </w:rPr>
              <w:t>steurov inštitút; Národné centrum sociálneho výskumu; Grécka komisia pre atómovú energiu; II) nákupy budov pre tieto výskumné centrá: Výskumné</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inovačné centrum mechanizmu Athena; Národné monitorovacie stredisko</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 xml:space="preserve">Aténach; Národné centrum sociálneho </w:t>
            </w:r>
            <w:r w:rsidRPr="00083739">
              <w:rPr>
                <w:rFonts w:ascii="Times New Roman" w:hAnsi="Times New Roman" w:cs="Times New Roman"/>
                <w:noProof/>
                <w:lang w:val="sk-SK"/>
              </w:rPr>
              <w:t>výskumu.</w:t>
            </w:r>
          </w:p>
        </w:tc>
      </w:tr>
      <w:tr w:rsidR="002D49B0" w:rsidRPr="00083739" w14:paraId="6CE0DD48" w14:textId="77777777">
        <w:trPr>
          <w:trHeight w:val="309"/>
          <w:jc w:val="center"/>
        </w:trPr>
        <w:tc>
          <w:tcPr>
            <w:tcW w:w="1110" w:type="dxa"/>
            <w:tcBorders>
              <w:top w:val="nil"/>
              <w:left w:val="single" w:sz="4" w:space="0" w:color="auto"/>
              <w:bottom w:val="single" w:sz="4" w:space="0" w:color="auto"/>
              <w:right w:val="single" w:sz="4" w:space="0" w:color="auto"/>
            </w:tcBorders>
            <w:shd w:val="clear" w:color="auto" w:fill="C6EFCE"/>
            <w:noWrap/>
          </w:tcPr>
          <w:p w14:paraId="19E9273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248</w:t>
            </w:r>
          </w:p>
        </w:tc>
        <w:tc>
          <w:tcPr>
            <w:tcW w:w="2055" w:type="dxa"/>
            <w:tcBorders>
              <w:top w:val="nil"/>
              <w:left w:val="nil"/>
              <w:bottom w:val="single" w:sz="4" w:space="0" w:color="auto"/>
              <w:right w:val="single" w:sz="4" w:space="0" w:color="auto"/>
            </w:tcBorders>
            <w:shd w:val="clear" w:color="auto" w:fill="C6EFCE"/>
            <w:noWrap/>
          </w:tcPr>
          <w:p w14:paraId="20934121" w14:textId="755577C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16 – 4.5. Podpora výskumu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inovácií – 16654_ TH2ORAX: Trellis Holistic &amp; Hybrid Prevádzkový riadený autonómny eXemplárny systém</w:t>
            </w:r>
          </w:p>
        </w:tc>
        <w:tc>
          <w:tcPr>
            <w:tcW w:w="1094" w:type="dxa"/>
            <w:tcBorders>
              <w:top w:val="nil"/>
              <w:left w:val="nil"/>
              <w:bottom w:val="single" w:sz="4" w:space="0" w:color="auto"/>
              <w:right w:val="single" w:sz="4" w:space="0" w:color="auto"/>
            </w:tcBorders>
            <w:shd w:val="clear" w:color="auto" w:fill="C6EFCE"/>
            <w:noWrap/>
          </w:tcPr>
          <w:p w14:paraId="4C364D0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794" w:type="dxa"/>
            <w:tcBorders>
              <w:top w:val="nil"/>
              <w:left w:val="nil"/>
              <w:bottom w:val="single" w:sz="4" w:space="0" w:color="auto"/>
              <w:right w:val="single" w:sz="4" w:space="0" w:color="auto"/>
            </w:tcBorders>
            <w:shd w:val="clear" w:color="auto" w:fill="C6EFCE"/>
            <w:noWrap/>
          </w:tcPr>
          <w:p w14:paraId="5A35EEA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Zadávanie zákaziek pre TH2ORAX</w:t>
            </w:r>
          </w:p>
        </w:tc>
        <w:tc>
          <w:tcPr>
            <w:tcW w:w="1774" w:type="dxa"/>
            <w:tcBorders>
              <w:top w:val="nil"/>
              <w:left w:val="nil"/>
              <w:bottom w:val="single" w:sz="4" w:space="0" w:color="auto"/>
              <w:right w:val="single" w:sz="4" w:space="0" w:color="auto"/>
            </w:tcBorders>
            <w:shd w:val="clear" w:color="auto" w:fill="C6EFCE"/>
            <w:noWrap/>
          </w:tcPr>
          <w:p w14:paraId="6211E9E4" w14:textId="003CB4DE"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Oznámenie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zadaní zákazky</w:t>
            </w:r>
          </w:p>
        </w:tc>
        <w:tc>
          <w:tcPr>
            <w:tcW w:w="960" w:type="dxa"/>
            <w:tcBorders>
              <w:top w:val="nil"/>
              <w:left w:val="nil"/>
              <w:bottom w:val="single" w:sz="4" w:space="0" w:color="auto"/>
              <w:right w:val="single" w:sz="4" w:space="0" w:color="auto"/>
            </w:tcBorders>
            <w:shd w:val="clear" w:color="auto" w:fill="C6EFCE"/>
            <w:noWrap/>
          </w:tcPr>
          <w:p w14:paraId="6446AC83"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60" w:type="dxa"/>
            <w:tcBorders>
              <w:top w:val="nil"/>
              <w:left w:val="nil"/>
              <w:bottom w:val="single" w:sz="4" w:space="0" w:color="auto"/>
              <w:right w:val="single" w:sz="4" w:space="0" w:color="auto"/>
            </w:tcBorders>
            <w:shd w:val="clear" w:color="auto" w:fill="C6EFCE"/>
            <w:noWrap/>
          </w:tcPr>
          <w:p w14:paraId="065511E2"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607" w:type="dxa"/>
            <w:tcBorders>
              <w:top w:val="nil"/>
              <w:left w:val="nil"/>
              <w:bottom w:val="single" w:sz="4" w:space="0" w:color="auto"/>
              <w:right w:val="single" w:sz="4" w:space="0" w:color="auto"/>
            </w:tcBorders>
            <w:shd w:val="clear" w:color="auto" w:fill="C6EFCE"/>
            <w:noWrap/>
          </w:tcPr>
          <w:p w14:paraId="089BBAFC"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2" w:type="dxa"/>
            <w:tcBorders>
              <w:top w:val="nil"/>
              <w:left w:val="nil"/>
              <w:bottom w:val="single" w:sz="4" w:space="0" w:color="auto"/>
              <w:right w:val="single" w:sz="4" w:space="0" w:color="auto"/>
            </w:tcBorders>
            <w:shd w:val="clear" w:color="auto" w:fill="C6EFCE"/>
            <w:noWrap/>
          </w:tcPr>
          <w:p w14:paraId="59610BA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707" w:type="dxa"/>
            <w:tcBorders>
              <w:top w:val="nil"/>
              <w:left w:val="nil"/>
              <w:bottom w:val="single" w:sz="4" w:space="0" w:color="auto"/>
              <w:right w:val="single" w:sz="4" w:space="0" w:color="auto"/>
            </w:tcBorders>
            <w:shd w:val="clear" w:color="auto" w:fill="C6EFCE"/>
            <w:noWrap/>
          </w:tcPr>
          <w:p w14:paraId="7B08985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2024</w:t>
            </w:r>
          </w:p>
        </w:tc>
        <w:tc>
          <w:tcPr>
            <w:tcW w:w="3965" w:type="dxa"/>
            <w:tcBorders>
              <w:top w:val="nil"/>
              <w:left w:val="nil"/>
              <w:bottom w:val="single" w:sz="4" w:space="0" w:color="auto"/>
              <w:right w:val="single" w:sz="4" w:space="0" w:color="auto"/>
            </w:tcBorders>
            <w:shd w:val="clear" w:color="auto" w:fill="C6EFCE"/>
            <w:noWrap/>
          </w:tcPr>
          <w:p w14:paraId="13C88AC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Zadanie zákaziek na </w:t>
            </w:r>
            <w:r w:rsidRPr="00083739">
              <w:rPr>
                <w:rFonts w:ascii="Times New Roman" w:hAnsi="Times New Roman" w:cs="Times New Roman"/>
                <w:noProof/>
                <w:lang w:val="sk-SK"/>
              </w:rPr>
              <w:t>projekt TH2ORAX.</w:t>
            </w:r>
          </w:p>
          <w:p w14:paraId="3EEB8883" w14:textId="2C0E1A88"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Za účinné vykonávanie procesu hodnotenia zodpovedá ministerstvo rozvoja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investícií spolu</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Generálnym sekretariátom pre výskum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inováciu (GSRI). Zákazka (zákazky) sa zadá na základe pomeru najlepšej cenovej kvality. </w:t>
            </w:r>
          </w:p>
        </w:tc>
      </w:tr>
      <w:tr w:rsidR="002D49B0" w:rsidRPr="00083739" w14:paraId="520FCB66" w14:textId="77777777">
        <w:trPr>
          <w:trHeight w:val="309"/>
          <w:jc w:val="center"/>
        </w:trPr>
        <w:tc>
          <w:tcPr>
            <w:tcW w:w="1110" w:type="dxa"/>
            <w:tcBorders>
              <w:top w:val="single" w:sz="4" w:space="0" w:color="auto"/>
              <w:left w:val="single" w:sz="4" w:space="0" w:color="auto"/>
              <w:bottom w:val="single" w:sz="4" w:space="0" w:color="auto"/>
              <w:right w:val="single" w:sz="4" w:space="0" w:color="auto"/>
            </w:tcBorders>
            <w:shd w:val="clear" w:color="auto" w:fill="C6EFCE"/>
            <w:noWrap/>
          </w:tcPr>
          <w:p w14:paraId="09960F3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249</w:t>
            </w:r>
          </w:p>
        </w:tc>
        <w:tc>
          <w:tcPr>
            <w:tcW w:w="2055" w:type="dxa"/>
            <w:tcBorders>
              <w:top w:val="single" w:sz="4" w:space="0" w:color="auto"/>
              <w:left w:val="nil"/>
              <w:bottom w:val="single" w:sz="4" w:space="0" w:color="auto"/>
              <w:right w:val="single" w:sz="4" w:space="0" w:color="auto"/>
            </w:tcBorders>
            <w:shd w:val="clear" w:color="auto" w:fill="C6EFCE"/>
            <w:noWrap/>
          </w:tcPr>
          <w:p w14:paraId="5CD36935" w14:textId="1B90901E"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16 – 4.5. </w:t>
            </w:r>
            <w:r w:rsidRPr="00083739">
              <w:rPr>
                <w:rFonts w:ascii="Times New Roman" w:hAnsi="Times New Roman" w:cs="Times New Roman"/>
                <w:noProof/>
                <w:lang w:val="sk-SK"/>
              </w:rPr>
              <w:t>Podpora výskumu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inovácií – 16624_Vytvorenie – Rozšírenie – modernizácia infraštruktúr výskumných centier pod dohľadom Generálneho sekretariátu pre výskum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inováciu (GSRI)</w:t>
            </w:r>
          </w:p>
        </w:tc>
        <w:tc>
          <w:tcPr>
            <w:tcW w:w="1094" w:type="dxa"/>
            <w:tcBorders>
              <w:top w:val="single" w:sz="4" w:space="0" w:color="auto"/>
              <w:left w:val="nil"/>
              <w:bottom w:val="single" w:sz="4" w:space="0" w:color="auto"/>
              <w:right w:val="single" w:sz="4" w:space="0" w:color="auto"/>
            </w:tcBorders>
            <w:shd w:val="clear" w:color="auto" w:fill="C6EFCE"/>
            <w:noWrap/>
          </w:tcPr>
          <w:p w14:paraId="3577EC1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794" w:type="dxa"/>
            <w:tcBorders>
              <w:top w:val="single" w:sz="4" w:space="0" w:color="auto"/>
              <w:left w:val="nil"/>
              <w:bottom w:val="single" w:sz="4" w:space="0" w:color="auto"/>
              <w:right w:val="single" w:sz="4" w:space="0" w:color="auto"/>
            </w:tcBorders>
            <w:shd w:val="clear" w:color="auto" w:fill="C6EFCE"/>
            <w:noWrap/>
          </w:tcPr>
          <w:p w14:paraId="54AA413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projektov výskumných centier</w:t>
            </w:r>
          </w:p>
        </w:tc>
        <w:tc>
          <w:tcPr>
            <w:tcW w:w="1774" w:type="dxa"/>
            <w:tcBorders>
              <w:top w:val="single" w:sz="4" w:space="0" w:color="auto"/>
              <w:left w:val="nil"/>
              <w:bottom w:val="single" w:sz="4" w:space="0" w:color="auto"/>
              <w:right w:val="single" w:sz="4" w:space="0" w:color="auto"/>
            </w:tcBorders>
            <w:shd w:val="clear" w:color="auto" w:fill="C6EFCE"/>
            <w:noWrap/>
          </w:tcPr>
          <w:p w14:paraId="2295DB84" w14:textId="50A7FFBB"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Správa Generálneho sekretariátu pre</w:t>
            </w:r>
            <w:r w:rsidRPr="00083739">
              <w:rPr>
                <w:rFonts w:ascii="Times New Roman" w:hAnsi="Times New Roman" w:cs="Times New Roman"/>
                <w:noProof/>
                <w:lang w:val="sk-SK"/>
              </w:rPr>
              <w:t xml:space="preserve"> výskum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inováciu (GSRI),</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ktorej sa potvrdzuje, že projekty sú dokončené</w:t>
            </w:r>
          </w:p>
        </w:tc>
        <w:tc>
          <w:tcPr>
            <w:tcW w:w="960" w:type="dxa"/>
            <w:tcBorders>
              <w:top w:val="single" w:sz="4" w:space="0" w:color="auto"/>
              <w:left w:val="nil"/>
              <w:bottom w:val="single" w:sz="4" w:space="0" w:color="auto"/>
              <w:right w:val="single" w:sz="4" w:space="0" w:color="auto"/>
            </w:tcBorders>
            <w:shd w:val="clear" w:color="auto" w:fill="C6EFCE"/>
            <w:noWrap/>
          </w:tcPr>
          <w:p w14:paraId="6A131152"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60" w:type="dxa"/>
            <w:tcBorders>
              <w:top w:val="single" w:sz="4" w:space="0" w:color="auto"/>
              <w:left w:val="nil"/>
              <w:bottom w:val="single" w:sz="4" w:space="0" w:color="auto"/>
              <w:right w:val="single" w:sz="4" w:space="0" w:color="auto"/>
            </w:tcBorders>
            <w:shd w:val="clear" w:color="auto" w:fill="C6EFCE"/>
            <w:noWrap/>
          </w:tcPr>
          <w:p w14:paraId="788C63BB"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607" w:type="dxa"/>
            <w:tcBorders>
              <w:top w:val="single" w:sz="4" w:space="0" w:color="auto"/>
              <w:left w:val="nil"/>
              <w:bottom w:val="single" w:sz="4" w:space="0" w:color="auto"/>
              <w:right w:val="single" w:sz="4" w:space="0" w:color="auto"/>
            </w:tcBorders>
            <w:shd w:val="clear" w:color="auto" w:fill="C6EFCE"/>
            <w:noWrap/>
          </w:tcPr>
          <w:p w14:paraId="3CDB012F"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2" w:type="dxa"/>
            <w:tcBorders>
              <w:top w:val="single" w:sz="4" w:space="0" w:color="auto"/>
              <w:left w:val="nil"/>
              <w:bottom w:val="single" w:sz="4" w:space="0" w:color="auto"/>
              <w:right w:val="single" w:sz="4" w:space="0" w:color="auto"/>
            </w:tcBorders>
            <w:shd w:val="clear" w:color="auto" w:fill="C6EFCE"/>
            <w:noWrap/>
          </w:tcPr>
          <w:p w14:paraId="38C9327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07" w:type="dxa"/>
            <w:tcBorders>
              <w:top w:val="single" w:sz="4" w:space="0" w:color="auto"/>
              <w:left w:val="nil"/>
              <w:bottom w:val="single" w:sz="4" w:space="0" w:color="auto"/>
              <w:right w:val="single" w:sz="4" w:space="0" w:color="auto"/>
            </w:tcBorders>
            <w:shd w:val="clear" w:color="auto" w:fill="C6EFCE"/>
            <w:noWrap/>
          </w:tcPr>
          <w:p w14:paraId="19A25A5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3965" w:type="dxa"/>
            <w:tcBorders>
              <w:top w:val="single" w:sz="4" w:space="0" w:color="auto"/>
              <w:left w:val="nil"/>
              <w:bottom w:val="single" w:sz="4" w:space="0" w:color="auto"/>
              <w:right w:val="single" w:sz="4" w:space="0" w:color="auto"/>
            </w:tcBorders>
            <w:shd w:val="clear" w:color="auto" w:fill="C6EFCE"/>
            <w:noWrap/>
          </w:tcPr>
          <w:p w14:paraId="046FDA21" w14:textId="747A0571"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všetkých čiastkových projektov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 xml:space="preserve">rámci vytvárania – Rozšírenie – modernizácia infraštruktúry výskumných centier pod dohľadom GSRI, konkrétne: </w:t>
            </w:r>
            <w:r w:rsidRPr="00083739">
              <w:rPr>
                <w:rFonts w:ascii="Times New Roman" w:hAnsi="Times New Roman" w:cs="Times New Roman"/>
                <w:noProof/>
                <w:lang w:val="sk-SK"/>
              </w:rPr>
              <w:t>Nadácia pre výskum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technológie Hellas; Výskumné</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inovačné centrum mechanizmu Athena; BSRC Fleming; Centrum pre výskum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technológie Hellas; Národná grécka výskumná nadácia; Akadémia Nadácie pre biomedicínsky výskum</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Aténach; Národné monitorovacie stred</w:t>
            </w:r>
            <w:r w:rsidRPr="00083739">
              <w:rPr>
                <w:rFonts w:ascii="Times New Roman" w:hAnsi="Times New Roman" w:cs="Times New Roman"/>
                <w:noProof/>
                <w:lang w:val="sk-SK"/>
              </w:rPr>
              <w:t>isko</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Aténach; Grécke centrum pre morský výskum; Helénsky Pasteurov inštitút; Národné centrum sociálneho výskumu; Grécka komisia pre atómovú energiu.</w:t>
            </w:r>
          </w:p>
        </w:tc>
      </w:tr>
      <w:tr w:rsidR="002D49B0" w:rsidRPr="00083739" w14:paraId="4CDCADE3" w14:textId="77777777">
        <w:trPr>
          <w:trHeight w:val="309"/>
          <w:jc w:val="center"/>
        </w:trPr>
        <w:tc>
          <w:tcPr>
            <w:tcW w:w="1110" w:type="dxa"/>
            <w:tcBorders>
              <w:top w:val="single" w:sz="4" w:space="0" w:color="auto"/>
              <w:left w:val="single" w:sz="4" w:space="0" w:color="auto"/>
              <w:bottom w:val="single" w:sz="4" w:space="0" w:color="auto"/>
              <w:right w:val="single" w:sz="4" w:space="0" w:color="auto"/>
            </w:tcBorders>
            <w:shd w:val="clear" w:color="auto" w:fill="C6EFCE"/>
            <w:noWrap/>
          </w:tcPr>
          <w:p w14:paraId="42FAF6B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250</w:t>
            </w:r>
          </w:p>
        </w:tc>
        <w:tc>
          <w:tcPr>
            <w:tcW w:w="2055" w:type="dxa"/>
            <w:tcBorders>
              <w:top w:val="single" w:sz="4" w:space="0" w:color="auto"/>
              <w:left w:val="nil"/>
              <w:bottom w:val="single" w:sz="4" w:space="0" w:color="auto"/>
              <w:right w:val="single" w:sz="4" w:space="0" w:color="auto"/>
            </w:tcBorders>
            <w:shd w:val="clear" w:color="auto" w:fill="C6EFCE"/>
            <w:noWrap/>
          </w:tcPr>
          <w:p w14:paraId="30D7FBE9" w14:textId="4FB60AE1"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16 – 4.5. Podpora výskumu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inovácií – 16618_Základný</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aplikovaný výskum</w:t>
            </w:r>
          </w:p>
        </w:tc>
        <w:tc>
          <w:tcPr>
            <w:tcW w:w="1094" w:type="dxa"/>
            <w:tcBorders>
              <w:top w:val="single" w:sz="4" w:space="0" w:color="auto"/>
              <w:left w:val="nil"/>
              <w:bottom w:val="single" w:sz="4" w:space="0" w:color="auto"/>
              <w:right w:val="single" w:sz="4" w:space="0" w:color="auto"/>
            </w:tcBorders>
            <w:shd w:val="clear" w:color="auto" w:fill="C6EFCE"/>
            <w:noWrap/>
          </w:tcPr>
          <w:p w14:paraId="68E7F84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794" w:type="dxa"/>
            <w:tcBorders>
              <w:top w:val="single" w:sz="4" w:space="0" w:color="auto"/>
              <w:left w:val="nil"/>
              <w:bottom w:val="single" w:sz="4" w:space="0" w:color="auto"/>
              <w:right w:val="single" w:sz="4" w:space="0" w:color="auto"/>
            </w:tcBorders>
            <w:shd w:val="clear" w:color="auto" w:fill="C6EFCE"/>
            <w:noWrap/>
          </w:tcPr>
          <w:p w14:paraId="262CA572" w14:textId="59981BC2"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Dokončenie </w:t>
            </w:r>
            <w:r w:rsidRPr="00083739">
              <w:rPr>
                <w:rFonts w:ascii="Times New Roman" w:hAnsi="Times New Roman" w:cs="Times New Roman"/>
                <w:noProof/>
                <w:lang w:val="sk-SK"/>
              </w:rPr>
              <w:t>základných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aplikovaných výskumných projektov</w:t>
            </w:r>
          </w:p>
        </w:tc>
        <w:tc>
          <w:tcPr>
            <w:tcW w:w="1774" w:type="dxa"/>
            <w:tcBorders>
              <w:top w:val="single" w:sz="4" w:space="0" w:color="auto"/>
              <w:left w:val="nil"/>
              <w:bottom w:val="single" w:sz="4" w:space="0" w:color="auto"/>
              <w:right w:val="single" w:sz="4" w:space="0" w:color="auto"/>
            </w:tcBorders>
            <w:shd w:val="clear" w:color="auto" w:fill="C6EFCE"/>
            <w:noWrap/>
          </w:tcPr>
          <w:p w14:paraId="19D3BE3D" w14:textId="7ED14066"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Správa Generálneho sekretariátu pre výskum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inováciu (GSRI),</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ktorej sa potvrdzuje, že projekty sú dokončené</w:t>
            </w:r>
          </w:p>
        </w:tc>
        <w:tc>
          <w:tcPr>
            <w:tcW w:w="960" w:type="dxa"/>
            <w:tcBorders>
              <w:top w:val="single" w:sz="4" w:space="0" w:color="auto"/>
              <w:left w:val="nil"/>
              <w:bottom w:val="single" w:sz="4" w:space="0" w:color="auto"/>
              <w:right w:val="single" w:sz="4" w:space="0" w:color="auto"/>
            </w:tcBorders>
            <w:shd w:val="clear" w:color="auto" w:fill="C6EFCE"/>
            <w:noWrap/>
          </w:tcPr>
          <w:p w14:paraId="6B35E9FF"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60" w:type="dxa"/>
            <w:tcBorders>
              <w:top w:val="single" w:sz="4" w:space="0" w:color="auto"/>
              <w:left w:val="nil"/>
              <w:bottom w:val="single" w:sz="4" w:space="0" w:color="auto"/>
              <w:right w:val="single" w:sz="4" w:space="0" w:color="auto"/>
            </w:tcBorders>
            <w:shd w:val="clear" w:color="auto" w:fill="C6EFCE"/>
            <w:noWrap/>
          </w:tcPr>
          <w:p w14:paraId="0E5ED28D"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607" w:type="dxa"/>
            <w:tcBorders>
              <w:top w:val="single" w:sz="4" w:space="0" w:color="auto"/>
              <w:left w:val="nil"/>
              <w:bottom w:val="single" w:sz="4" w:space="0" w:color="auto"/>
              <w:right w:val="single" w:sz="4" w:space="0" w:color="auto"/>
            </w:tcBorders>
            <w:shd w:val="clear" w:color="auto" w:fill="C6EFCE"/>
            <w:noWrap/>
          </w:tcPr>
          <w:p w14:paraId="66C028E3"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2" w:type="dxa"/>
            <w:tcBorders>
              <w:top w:val="single" w:sz="4" w:space="0" w:color="auto"/>
              <w:left w:val="nil"/>
              <w:bottom w:val="single" w:sz="4" w:space="0" w:color="auto"/>
              <w:right w:val="single" w:sz="4" w:space="0" w:color="auto"/>
            </w:tcBorders>
            <w:shd w:val="clear" w:color="auto" w:fill="C6EFCE"/>
            <w:noWrap/>
          </w:tcPr>
          <w:p w14:paraId="74ED791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07" w:type="dxa"/>
            <w:tcBorders>
              <w:top w:val="single" w:sz="4" w:space="0" w:color="auto"/>
              <w:left w:val="nil"/>
              <w:bottom w:val="single" w:sz="4" w:space="0" w:color="auto"/>
              <w:right w:val="single" w:sz="4" w:space="0" w:color="auto"/>
            </w:tcBorders>
            <w:shd w:val="clear" w:color="auto" w:fill="C6EFCE"/>
            <w:noWrap/>
          </w:tcPr>
          <w:p w14:paraId="554C0F8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3965" w:type="dxa"/>
            <w:tcBorders>
              <w:top w:val="single" w:sz="4" w:space="0" w:color="auto"/>
              <w:left w:val="nil"/>
              <w:bottom w:val="single" w:sz="4" w:space="0" w:color="auto"/>
              <w:right w:val="single" w:sz="4" w:space="0" w:color="auto"/>
            </w:tcBorders>
            <w:shd w:val="clear" w:color="auto" w:fill="C6EFCE"/>
            <w:noWrap/>
          </w:tcPr>
          <w:p w14:paraId="75C22536" w14:textId="10331699"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Dokončenie nasledujúcich čiastkových projektov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 xml:space="preserve">rámci základného </w:t>
            </w:r>
            <w:r w:rsidRPr="00083739">
              <w:rPr>
                <w:rFonts w:ascii="Times New Roman" w:hAnsi="Times New Roman" w:cs="Times New Roman"/>
                <w:noProof/>
                <w:lang w:val="sk-SK"/>
              </w:rPr>
              <w:t>aplikovaného výskumného opatrenia: Financovanie základného výskumu; Hlavné výskumné projekty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náročných interdisciplinárnych sektoroch; zriadenie aplikovaného inštitútu pre výskum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inovácie</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umelej inteligencie, spracovania údajov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vývoja algor</w:t>
            </w:r>
            <w:r w:rsidRPr="00083739">
              <w:rPr>
                <w:rFonts w:ascii="Times New Roman" w:hAnsi="Times New Roman" w:cs="Times New Roman"/>
                <w:noProof/>
                <w:lang w:val="sk-SK"/>
              </w:rPr>
              <w:t>itmov; dodávanie technológií udržateľných materiálov, ktoré možno transformovať na trh; účasť na európskych partnerstvách pre vysokovýkonnú výpočtovú techniku (Euro-HPC)</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kľúčové digitálne technológie; aplikovaný výskum</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vývoja dronov (financovan</w:t>
            </w:r>
            <w:r w:rsidRPr="00083739">
              <w:rPr>
                <w:rFonts w:ascii="Times New Roman" w:hAnsi="Times New Roman" w:cs="Times New Roman"/>
                <w:noProof/>
                <w:lang w:val="sk-SK"/>
              </w:rPr>
              <w:t>ie výskumného</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vývojového centra bezpilotných systémov); aplikovaný výskum</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presnej medicíny.</w:t>
            </w:r>
          </w:p>
          <w:p w14:paraId="61FD48BF" w14:textId="479D3BE1"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r>
      <w:tr w:rsidR="002D49B0" w:rsidRPr="00083739" w14:paraId="262857A9" w14:textId="77777777">
        <w:trPr>
          <w:trHeight w:val="309"/>
          <w:jc w:val="center"/>
        </w:trPr>
        <w:tc>
          <w:tcPr>
            <w:tcW w:w="1110" w:type="dxa"/>
            <w:tcBorders>
              <w:top w:val="single" w:sz="4" w:space="0" w:color="auto"/>
              <w:left w:val="single" w:sz="4" w:space="0" w:color="auto"/>
              <w:bottom w:val="single" w:sz="4" w:space="0" w:color="auto"/>
              <w:right w:val="single" w:sz="4" w:space="0" w:color="auto"/>
            </w:tcBorders>
            <w:shd w:val="clear" w:color="auto" w:fill="C6EFCE"/>
            <w:noWrap/>
          </w:tcPr>
          <w:p w14:paraId="4907C9E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251</w:t>
            </w:r>
          </w:p>
        </w:tc>
        <w:tc>
          <w:tcPr>
            <w:tcW w:w="2055" w:type="dxa"/>
            <w:tcBorders>
              <w:top w:val="single" w:sz="4" w:space="0" w:color="auto"/>
              <w:left w:val="nil"/>
              <w:bottom w:val="single" w:sz="4" w:space="0" w:color="auto"/>
              <w:right w:val="single" w:sz="4" w:space="0" w:color="auto"/>
            </w:tcBorders>
            <w:shd w:val="clear" w:color="auto" w:fill="C6EFCE"/>
            <w:noWrap/>
          </w:tcPr>
          <w:p w14:paraId="4AD8DCEF" w14:textId="1B186A6D"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16 – 4.5. Podpora výskumu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inovácií – 16654_TH 2 ORAX: Trellis Holistic &amp; Hybrid Prevádzkový riadený autonómny eXemplárny systém</w:t>
            </w:r>
          </w:p>
        </w:tc>
        <w:tc>
          <w:tcPr>
            <w:tcW w:w="1094" w:type="dxa"/>
            <w:tcBorders>
              <w:top w:val="single" w:sz="4" w:space="0" w:color="auto"/>
              <w:left w:val="nil"/>
              <w:bottom w:val="single" w:sz="4" w:space="0" w:color="auto"/>
              <w:right w:val="single" w:sz="4" w:space="0" w:color="auto"/>
            </w:tcBorders>
            <w:shd w:val="clear" w:color="auto" w:fill="C6EFCE"/>
            <w:noWrap/>
          </w:tcPr>
          <w:p w14:paraId="7CA0A3F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794" w:type="dxa"/>
            <w:tcBorders>
              <w:top w:val="single" w:sz="4" w:space="0" w:color="auto"/>
              <w:left w:val="nil"/>
              <w:bottom w:val="single" w:sz="4" w:space="0" w:color="auto"/>
              <w:right w:val="single" w:sz="4" w:space="0" w:color="auto"/>
            </w:tcBorders>
            <w:shd w:val="clear" w:color="auto" w:fill="C6EFCE"/>
            <w:noWrap/>
          </w:tcPr>
          <w:p w14:paraId="39C0726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projektu TH2ORAX</w:t>
            </w:r>
          </w:p>
        </w:tc>
        <w:tc>
          <w:tcPr>
            <w:tcW w:w="1774" w:type="dxa"/>
            <w:tcBorders>
              <w:top w:val="single" w:sz="4" w:space="0" w:color="auto"/>
              <w:left w:val="nil"/>
              <w:bottom w:val="single" w:sz="4" w:space="0" w:color="auto"/>
              <w:right w:val="single" w:sz="4" w:space="0" w:color="auto"/>
            </w:tcBorders>
            <w:shd w:val="clear" w:color="auto" w:fill="C6EFCE"/>
            <w:noWrap/>
          </w:tcPr>
          <w:p w14:paraId="26F1FAE4" w14:textId="25FA8E1A"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Správa Generálneho sekretariátu pre výskum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inováciu (GSRI),</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ktorej sa potvrdzuje, že projekt je dokončený</w:t>
            </w:r>
          </w:p>
        </w:tc>
        <w:tc>
          <w:tcPr>
            <w:tcW w:w="960" w:type="dxa"/>
            <w:tcBorders>
              <w:top w:val="single" w:sz="4" w:space="0" w:color="auto"/>
              <w:left w:val="nil"/>
              <w:bottom w:val="single" w:sz="4" w:space="0" w:color="auto"/>
              <w:right w:val="single" w:sz="4" w:space="0" w:color="auto"/>
            </w:tcBorders>
            <w:shd w:val="clear" w:color="auto" w:fill="C6EFCE"/>
            <w:noWrap/>
          </w:tcPr>
          <w:p w14:paraId="2C32C104"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60" w:type="dxa"/>
            <w:tcBorders>
              <w:top w:val="single" w:sz="4" w:space="0" w:color="auto"/>
              <w:left w:val="nil"/>
              <w:bottom w:val="single" w:sz="4" w:space="0" w:color="auto"/>
              <w:right w:val="single" w:sz="4" w:space="0" w:color="auto"/>
            </w:tcBorders>
            <w:shd w:val="clear" w:color="auto" w:fill="C6EFCE"/>
            <w:noWrap/>
          </w:tcPr>
          <w:p w14:paraId="3223752B"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607" w:type="dxa"/>
            <w:tcBorders>
              <w:top w:val="single" w:sz="4" w:space="0" w:color="auto"/>
              <w:left w:val="nil"/>
              <w:bottom w:val="single" w:sz="4" w:space="0" w:color="auto"/>
              <w:right w:val="single" w:sz="4" w:space="0" w:color="auto"/>
            </w:tcBorders>
            <w:shd w:val="clear" w:color="auto" w:fill="C6EFCE"/>
            <w:noWrap/>
          </w:tcPr>
          <w:p w14:paraId="1552CDBD"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2" w:type="dxa"/>
            <w:tcBorders>
              <w:top w:val="single" w:sz="4" w:space="0" w:color="auto"/>
              <w:left w:val="nil"/>
              <w:bottom w:val="single" w:sz="4" w:space="0" w:color="auto"/>
              <w:right w:val="single" w:sz="4" w:space="0" w:color="auto"/>
            </w:tcBorders>
            <w:shd w:val="clear" w:color="auto" w:fill="C6EFCE"/>
            <w:noWrap/>
          </w:tcPr>
          <w:p w14:paraId="24AB7A5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07" w:type="dxa"/>
            <w:tcBorders>
              <w:top w:val="single" w:sz="4" w:space="0" w:color="auto"/>
              <w:left w:val="nil"/>
              <w:bottom w:val="single" w:sz="4" w:space="0" w:color="auto"/>
              <w:right w:val="single" w:sz="4" w:space="0" w:color="auto"/>
            </w:tcBorders>
            <w:shd w:val="clear" w:color="auto" w:fill="C6EFCE"/>
            <w:noWrap/>
          </w:tcPr>
          <w:p w14:paraId="61813BA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3965" w:type="dxa"/>
            <w:tcBorders>
              <w:top w:val="single" w:sz="4" w:space="0" w:color="auto"/>
              <w:left w:val="nil"/>
              <w:bottom w:val="single" w:sz="4" w:space="0" w:color="auto"/>
              <w:right w:val="single" w:sz="4" w:space="0" w:color="auto"/>
            </w:tcBorders>
            <w:shd w:val="clear" w:color="auto" w:fill="C6EFCE"/>
            <w:noWrap/>
          </w:tcPr>
          <w:p w14:paraId="35DABD5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projektu TH2ORAX</w:t>
            </w:r>
          </w:p>
          <w:p w14:paraId="239F024F" w14:textId="7ACFF6BA" w:rsidR="002D49B0" w:rsidRPr="00083739" w:rsidRDefault="00BF4125">
            <w:pPr>
              <w:pStyle w:val="P68B1DB1-Normal9"/>
              <w:pBdr>
                <w:top w:val="nil"/>
                <w:left w:val="nil"/>
                <w:bottom w:val="nil"/>
                <w:right w:val="nil"/>
                <w:between w:val="nil"/>
              </w:pBdr>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Prostredníctvom vytvorenia celostnej platformy, ktorá bude </w:t>
            </w:r>
            <w:r w:rsidRPr="00083739">
              <w:rPr>
                <w:rFonts w:ascii="Times New Roman" w:hAnsi="Times New Roman" w:cs="Times New Roman"/>
                <w:noProof/>
                <w:lang w:val="sk-SK"/>
              </w:rPr>
              <w:t>poskytovať situačné povedomie, sa dokončia rozhodovacie spôsobilosti na zlepšenie koordinácie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synchronizácie všetkých relevantných príslušných orgánov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reálnom čase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24 hodín denne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7 dní</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týždni pre celé grécke územie na interdisciplinárnej</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medzir</w:t>
            </w:r>
            <w:r w:rsidRPr="00083739">
              <w:rPr>
                <w:rFonts w:ascii="Times New Roman" w:hAnsi="Times New Roman" w:cs="Times New Roman"/>
                <w:noProof/>
                <w:lang w:val="sk-SK"/>
              </w:rPr>
              <w:t>ezortnej úrovni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GSRI vydá súvisiacu správu</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dokončení.</w:t>
            </w:r>
          </w:p>
        </w:tc>
      </w:tr>
      <w:tr w:rsidR="002D49B0" w:rsidRPr="00083739" w14:paraId="3148C17F" w14:textId="77777777">
        <w:trPr>
          <w:trHeight w:val="309"/>
          <w:jc w:val="center"/>
        </w:trPr>
        <w:tc>
          <w:tcPr>
            <w:tcW w:w="1110" w:type="dxa"/>
            <w:tcBorders>
              <w:top w:val="single" w:sz="4" w:space="0" w:color="auto"/>
              <w:left w:val="single" w:sz="4" w:space="0" w:color="auto"/>
              <w:bottom w:val="single" w:sz="4" w:space="0" w:color="auto"/>
              <w:right w:val="single" w:sz="4" w:space="0" w:color="auto"/>
            </w:tcBorders>
            <w:shd w:val="clear" w:color="auto" w:fill="C6EFCE"/>
            <w:noWrap/>
          </w:tcPr>
          <w:p w14:paraId="74B7A26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252</w:t>
            </w:r>
          </w:p>
        </w:tc>
        <w:tc>
          <w:tcPr>
            <w:tcW w:w="2055" w:type="dxa"/>
            <w:tcBorders>
              <w:top w:val="single" w:sz="4" w:space="0" w:color="auto"/>
              <w:left w:val="nil"/>
              <w:bottom w:val="single" w:sz="4" w:space="0" w:color="auto"/>
              <w:right w:val="single" w:sz="4" w:space="0" w:color="auto"/>
            </w:tcBorders>
            <w:shd w:val="clear" w:color="auto" w:fill="C6EFCE"/>
            <w:noWrap/>
          </w:tcPr>
          <w:p w14:paraId="43DDD8C7" w14:textId="09DE4870"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16 – 4.5. Podpora výskumu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inovácií – 16971_Výskum – Vytvorenie – Inovácia</w:t>
            </w:r>
          </w:p>
        </w:tc>
        <w:tc>
          <w:tcPr>
            <w:tcW w:w="1094" w:type="dxa"/>
            <w:tcBorders>
              <w:top w:val="single" w:sz="4" w:space="0" w:color="auto"/>
              <w:left w:val="nil"/>
              <w:bottom w:val="single" w:sz="4" w:space="0" w:color="auto"/>
              <w:right w:val="single" w:sz="4" w:space="0" w:color="auto"/>
            </w:tcBorders>
            <w:shd w:val="clear" w:color="auto" w:fill="C6EFCE"/>
            <w:noWrap/>
          </w:tcPr>
          <w:p w14:paraId="30D22D4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794" w:type="dxa"/>
            <w:tcBorders>
              <w:top w:val="single" w:sz="4" w:space="0" w:color="auto"/>
              <w:left w:val="nil"/>
              <w:bottom w:val="single" w:sz="4" w:space="0" w:color="auto"/>
              <w:right w:val="single" w:sz="4" w:space="0" w:color="auto"/>
            </w:tcBorders>
            <w:shd w:val="clear" w:color="auto" w:fill="C6EFCE"/>
            <w:noWrap/>
          </w:tcPr>
          <w:p w14:paraId="0A1FAE4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Ukončenie výskumu – Vytvoriť – Inovačné projekty</w:t>
            </w:r>
          </w:p>
        </w:tc>
        <w:tc>
          <w:tcPr>
            <w:tcW w:w="1774" w:type="dxa"/>
            <w:tcBorders>
              <w:top w:val="single" w:sz="4" w:space="0" w:color="auto"/>
              <w:left w:val="nil"/>
              <w:bottom w:val="single" w:sz="4" w:space="0" w:color="auto"/>
              <w:right w:val="single" w:sz="4" w:space="0" w:color="auto"/>
            </w:tcBorders>
            <w:shd w:val="clear" w:color="auto" w:fill="C6EFCE"/>
            <w:noWrap/>
          </w:tcPr>
          <w:p w14:paraId="7C6C7C3A" w14:textId="666CE19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Správa Generálneho sekretariátu pre výskum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inováciu (GSRI),</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ktorej sa potvrdzuje, že projekty sú dokončené</w:t>
            </w:r>
          </w:p>
        </w:tc>
        <w:tc>
          <w:tcPr>
            <w:tcW w:w="960" w:type="dxa"/>
            <w:tcBorders>
              <w:top w:val="single" w:sz="4" w:space="0" w:color="auto"/>
              <w:left w:val="nil"/>
              <w:bottom w:val="single" w:sz="4" w:space="0" w:color="auto"/>
              <w:right w:val="single" w:sz="4" w:space="0" w:color="auto"/>
            </w:tcBorders>
            <w:shd w:val="clear" w:color="auto" w:fill="C6EFCE"/>
            <w:noWrap/>
          </w:tcPr>
          <w:p w14:paraId="68E6B900"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60" w:type="dxa"/>
            <w:tcBorders>
              <w:top w:val="single" w:sz="4" w:space="0" w:color="auto"/>
              <w:left w:val="nil"/>
              <w:bottom w:val="single" w:sz="4" w:space="0" w:color="auto"/>
              <w:right w:val="single" w:sz="4" w:space="0" w:color="auto"/>
            </w:tcBorders>
            <w:shd w:val="clear" w:color="auto" w:fill="C6EFCE"/>
            <w:noWrap/>
          </w:tcPr>
          <w:p w14:paraId="76541F9F"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607" w:type="dxa"/>
            <w:tcBorders>
              <w:top w:val="single" w:sz="4" w:space="0" w:color="auto"/>
              <w:left w:val="nil"/>
              <w:bottom w:val="single" w:sz="4" w:space="0" w:color="auto"/>
              <w:right w:val="single" w:sz="4" w:space="0" w:color="auto"/>
            </w:tcBorders>
            <w:shd w:val="clear" w:color="auto" w:fill="C6EFCE"/>
            <w:noWrap/>
          </w:tcPr>
          <w:p w14:paraId="144E02D0"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2" w:type="dxa"/>
            <w:tcBorders>
              <w:top w:val="single" w:sz="4" w:space="0" w:color="auto"/>
              <w:left w:val="nil"/>
              <w:bottom w:val="single" w:sz="4" w:space="0" w:color="auto"/>
              <w:right w:val="single" w:sz="4" w:space="0" w:color="auto"/>
            </w:tcBorders>
            <w:shd w:val="clear" w:color="auto" w:fill="C6EFCE"/>
            <w:noWrap/>
          </w:tcPr>
          <w:p w14:paraId="0FCE965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07" w:type="dxa"/>
            <w:tcBorders>
              <w:top w:val="single" w:sz="4" w:space="0" w:color="auto"/>
              <w:left w:val="nil"/>
              <w:bottom w:val="single" w:sz="4" w:space="0" w:color="auto"/>
              <w:right w:val="single" w:sz="4" w:space="0" w:color="auto"/>
            </w:tcBorders>
            <w:shd w:val="clear" w:color="auto" w:fill="C6EFCE"/>
            <w:noWrap/>
          </w:tcPr>
          <w:p w14:paraId="036A6AF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3965" w:type="dxa"/>
            <w:tcBorders>
              <w:top w:val="single" w:sz="4" w:space="0" w:color="auto"/>
              <w:left w:val="nil"/>
              <w:bottom w:val="single" w:sz="4" w:space="0" w:color="auto"/>
              <w:right w:val="single" w:sz="4" w:space="0" w:color="auto"/>
            </w:tcBorders>
            <w:shd w:val="clear" w:color="auto" w:fill="C6EFCE"/>
            <w:noWrap/>
          </w:tcPr>
          <w:p w14:paraId="249633AA" w14:textId="228E2D49"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všetkých oprávnených projektov opatrenia „Vytvoriť inovácie“</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týchto sektoroch: I) životné prostredie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trvalo udržateľný rozvoj; II) energia; III) informačné</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komunikačné technológie; IV) zdravie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farmaceutika; v) doprava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dodávateľský reťazec; VI) agropotravinársky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potravinársky priemysel; VII) materiály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konštrukcia;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viii) cestovný ruch, kultúra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kreatívny priemysel.</w:t>
            </w:r>
          </w:p>
        </w:tc>
      </w:tr>
      <w:tr w:rsidR="002D49B0" w:rsidRPr="00083739" w14:paraId="44C7CB73" w14:textId="77777777">
        <w:trPr>
          <w:trHeight w:val="309"/>
          <w:jc w:val="center"/>
        </w:trPr>
        <w:tc>
          <w:tcPr>
            <w:tcW w:w="1110" w:type="dxa"/>
            <w:tcBorders>
              <w:top w:val="single" w:sz="4" w:space="0" w:color="auto"/>
              <w:left w:val="single" w:sz="4" w:space="0" w:color="auto"/>
              <w:bottom w:val="single" w:sz="4" w:space="0" w:color="auto"/>
              <w:right w:val="single" w:sz="4" w:space="0" w:color="auto"/>
            </w:tcBorders>
            <w:shd w:val="clear" w:color="auto" w:fill="C6EFCE"/>
            <w:noWrap/>
          </w:tcPr>
          <w:p w14:paraId="4F33FC9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253</w:t>
            </w:r>
          </w:p>
        </w:tc>
        <w:tc>
          <w:tcPr>
            <w:tcW w:w="2055" w:type="dxa"/>
            <w:tcBorders>
              <w:top w:val="single" w:sz="4" w:space="0" w:color="auto"/>
              <w:left w:val="nil"/>
              <w:bottom w:val="single" w:sz="4" w:space="0" w:color="auto"/>
              <w:right w:val="single" w:sz="4" w:space="0" w:color="auto"/>
            </w:tcBorders>
            <w:shd w:val="clear" w:color="auto" w:fill="C6EFCE"/>
            <w:noWrap/>
          </w:tcPr>
          <w:p w14:paraId="186D92A2" w14:textId="1290D479"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16 – 4.5. Podpora výskumu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inovácií – 16621_Extroverzia Výskumného</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inovačného ekosystému Grécka</w:t>
            </w:r>
          </w:p>
        </w:tc>
        <w:tc>
          <w:tcPr>
            <w:tcW w:w="1094" w:type="dxa"/>
            <w:tcBorders>
              <w:top w:val="single" w:sz="4" w:space="0" w:color="auto"/>
              <w:left w:val="nil"/>
              <w:bottom w:val="single" w:sz="4" w:space="0" w:color="auto"/>
              <w:right w:val="single" w:sz="4" w:space="0" w:color="auto"/>
            </w:tcBorders>
            <w:shd w:val="clear" w:color="auto" w:fill="C6EFCE"/>
            <w:noWrap/>
          </w:tcPr>
          <w:p w14:paraId="3E9F14A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794" w:type="dxa"/>
            <w:tcBorders>
              <w:top w:val="single" w:sz="4" w:space="0" w:color="auto"/>
              <w:left w:val="nil"/>
              <w:bottom w:val="single" w:sz="4" w:space="0" w:color="auto"/>
              <w:right w:val="single" w:sz="4" w:space="0" w:color="auto"/>
            </w:tcBorders>
            <w:shd w:val="clear" w:color="auto" w:fill="C6EFCE"/>
            <w:noWrap/>
          </w:tcPr>
          <w:p w14:paraId="77E87FFE" w14:textId="37DB29F5"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extroverzie projektov ekosystémov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výskumu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inovácií</w:t>
            </w:r>
          </w:p>
        </w:tc>
        <w:tc>
          <w:tcPr>
            <w:tcW w:w="1774" w:type="dxa"/>
            <w:tcBorders>
              <w:top w:val="single" w:sz="4" w:space="0" w:color="auto"/>
              <w:left w:val="nil"/>
              <w:bottom w:val="single" w:sz="4" w:space="0" w:color="auto"/>
              <w:right w:val="single" w:sz="4" w:space="0" w:color="auto"/>
            </w:tcBorders>
            <w:shd w:val="clear" w:color="auto" w:fill="C6EFCE"/>
            <w:noWrap/>
          </w:tcPr>
          <w:p w14:paraId="2D8322FE" w14:textId="1817636F"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Správa Generálneho sekretariátu pre výskum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inováciu (GSRI),</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ktorej sa potvrdzuje, že projekty sú dok</w:t>
            </w:r>
            <w:r w:rsidRPr="00083739">
              <w:rPr>
                <w:rFonts w:ascii="Times New Roman" w:hAnsi="Times New Roman" w:cs="Times New Roman"/>
                <w:noProof/>
                <w:lang w:val="sk-SK"/>
              </w:rPr>
              <w:t>ončené</w:t>
            </w:r>
          </w:p>
        </w:tc>
        <w:tc>
          <w:tcPr>
            <w:tcW w:w="960" w:type="dxa"/>
            <w:tcBorders>
              <w:top w:val="single" w:sz="4" w:space="0" w:color="auto"/>
              <w:left w:val="nil"/>
              <w:bottom w:val="single" w:sz="4" w:space="0" w:color="auto"/>
              <w:right w:val="single" w:sz="4" w:space="0" w:color="auto"/>
            </w:tcBorders>
            <w:shd w:val="clear" w:color="auto" w:fill="C6EFCE"/>
            <w:noWrap/>
          </w:tcPr>
          <w:p w14:paraId="1AE23D85"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60" w:type="dxa"/>
            <w:tcBorders>
              <w:top w:val="single" w:sz="4" w:space="0" w:color="auto"/>
              <w:left w:val="nil"/>
              <w:bottom w:val="single" w:sz="4" w:space="0" w:color="auto"/>
              <w:right w:val="single" w:sz="4" w:space="0" w:color="auto"/>
            </w:tcBorders>
            <w:shd w:val="clear" w:color="auto" w:fill="C6EFCE"/>
            <w:noWrap/>
          </w:tcPr>
          <w:p w14:paraId="745EE996"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607" w:type="dxa"/>
            <w:tcBorders>
              <w:top w:val="single" w:sz="4" w:space="0" w:color="auto"/>
              <w:left w:val="nil"/>
              <w:bottom w:val="single" w:sz="4" w:space="0" w:color="auto"/>
              <w:right w:val="single" w:sz="4" w:space="0" w:color="auto"/>
            </w:tcBorders>
            <w:shd w:val="clear" w:color="auto" w:fill="C6EFCE"/>
            <w:noWrap/>
          </w:tcPr>
          <w:p w14:paraId="78340A43"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2" w:type="dxa"/>
            <w:tcBorders>
              <w:top w:val="single" w:sz="4" w:space="0" w:color="auto"/>
              <w:left w:val="nil"/>
              <w:bottom w:val="single" w:sz="4" w:space="0" w:color="auto"/>
              <w:right w:val="single" w:sz="4" w:space="0" w:color="auto"/>
            </w:tcBorders>
            <w:shd w:val="clear" w:color="auto" w:fill="C6EFCE"/>
            <w:noWrap/>
          </w:tcPr>
          <w:p w14:paraId="7F7AA66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07" w:type="dxa"/>
            <w:tcBorders>
              <w:top w:val="single" w:sz="4" w:space="0" w:color="auto"/>
              <w:left w:val="nil"/>
              <w:bottom w:val="single" w:sz="4" w:space="0" w:color="auto"/>
              <w:right w:val="single" w:sz="4" w:space="0" w:color="auto"/>
            </w:tcBorders>
            <w:shd w:val="clear" w:color="auto" w:fill="C6EFCE"/>
            <w:noWrap/>
          </w:tcPr>
          <w:p w14:paraId="1F4E6CD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3965" w:type="dxa"/>
            <w:tcBorders>
              <w:top w:val="single" w:sz="4" w:space="0" w:color="auto"/>
              <w:left w:val="nil"/>
              <w:bottom w:val="single" w:sz="4" w:space="0" w:color="auto"/>
              <w:right w:val="single" w:sz="4" w:space="0" w:color="auto"/>
            </w:tcBorders>
            <w:shd w:val="clear" w:color="auto" w:fill="C6EFCE"/>
            <w:noWrap/>
          </w:tcPr>
          <w:p w14:paraId="1EB299ED" w14:textId="786BC989"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týchto čiastkových projektov extroverzie opatrenia pre ekosystém výskumu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inovácií: podpora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celosvetová propagácia národného ekosystému startupov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inovácií; podpora procesu vývoja, údržby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modernizácie </w:t>
            </w:r>
            <w:r w:rsidRPr="00083739">
              <w:rPr>
                <w:rFonts w:ascii="Times New Roman" w:hAnsi="Times New Roman" w:cs="Times New Roman"/>
                <w:noProof/>
                <w:lang w:val="sk-SK"/>
              </w:rPr>
              <w:t>softvéru.</w:t>
            </w:r>
          </w:p>
        </w:tc>
      </w:tr>
      <w:tr w:rsidR="002D49B0" w:rsidRPr="00083739" w14:paraId="25A0013C" w14:textId="77777777">
        <w:trPr>
          <w:trHeight w:val="309"/>
          <w:jc w:val="center"/>
        </w:trPr>
        <w:tc>
          <w:tcPr>
            <w:tcW w:w="1110" w:type="dxa"/>
            <w:tcBorders>
              <w:top w:val="single" w:sz="4" w:space="0" w:color="auto"/>
              <w:left w:val="single" w:sz="4" w:space="0" w:color="auto"/>
              <w:bottom w:val="single" w:sz="4" w:space="0" w:color="auto"/>
              <w:right w:val="single" w:sz="4" w:space="0" w:color="auto"/>
            </w:tcBorders>
            <w:shd w:val="clear" w:color="auto" w:fill="C6EFCE"/>
            <w:noWrap/>
          </w:tcPr>
          <w:p w14:paraId="3FD4D70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346</w:t>
            </w:r>
          </w:p>
        </w:tc>
        <w:tc>
          <w:tcPr>
            <w:tcW w:w="2055" w:type="dxa"/>
            <w:tcBorders>
              <w:top w:val="single" w:sz="4" w:space="0" w:color="auto"/>
              <w:left w:val="nil"/>
              <w:bottom w:val="single" w:sz="4" w:space="0" w:color="auto"/>
              <w:right w:val="single" w:sz="4" w:space="0" w:color="auto"/>
            </w:tcBorders>
            <w:shd w:val="clear" w:color="auto" w:fill="C6EFCE"/>
            <w:noWrap/>
          </w:tcPr>
          <w:p w14:paraId="63497EEE" w14:textId="05F48F4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16 – 4.5. Podpora výskumu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inovácií – 16622_HORIZON 2020 „Známka excelentnosti“: financovanie špičkových inovačných spoločností</w:t>
            </w:r>
          </w:p>
        </w:tc>
        <w:tc>
          <w:tcPr>
            <w:tcW w:w="1094" w:type="dxa"/>
            <w:tcBorders>
              <w:top w:val="single" w:sz="4" w:space="0" w:color="auto"/>
              <w:left w:val="nil"/>
              <w:bottom w:val="single" w:sz="4" w:space="0" w:color="auto"/>
              <w:right w:val="single" w:sz="4" w:space="0" w:color="auto"/>
            </w:tcBorders>
            <w:shd w:val="clear" w:color="auto" w:fill="C6EFCE"/>
            <w:noWrap/>
          </w:tcPr>
          <w:p w14:paraId="15975F6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794" w:type="dxa"/>
            <w:tcBorders>
              <w:top w:val="single" w:sz="4" w:space="0" w:color="auto"/>
              <w:left w:val="nil"/>
              <w:bottom w:val="single" w:sz="4" w:space="0" w:color="auto"/>
              <w:right w:val="single" w:sz="4" w:space="0" w:color="auto"/>
            </w:tcBorders>
            <w:shd w:val="clear" w:color="auto" w:fill="C6EFCE"/>
            <w:noWrap/>
          </w:tcPr>
          <w:p w14:paraId="6B34D92C" w14:textId="57159396"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projektov realizovaných malými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strednými podnikmi</w:t>
            </w:r>
          </w:p>
        </w:tc>
        <w:tc>
          <w:tcPr>
            <w:tcW w:w="1774" w:type="dxa"/>
            <w:tcBorders>
              <w:top w:val="single" w:sz="4" w:space="0" w:color="auto"/>
              <w:left w:val="nil"/>
              <w:bottom w:val="single" w:sz="4" w:space="0" w:color="auto"/>
              <w:right w:val="single" w:sz="4" w:space="0" w:color="auto"/>
            </w:tcBorders>
            <w:shd w:val="clear" w:color="auto" w:fill="C6EFCE"/>
            <w:noWrap/>
          </w:tcPr>
          <w:p w14:paraId="657C617F" w14:textId="343CAB3E"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Správa Generálneho sekretariátu pre výskum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inováciu (GSRI),</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ktorej sa potvrdzuje, že projekty sú dokončené</w:t>
            </w:r>
          </w:p>
        </w:tc>
        <w:tc>
          <w:tcPr>
            <w:tcW w:w="960" w:type="dxa"/>
            <w:tcBorders>
              <w:top w:val="single" w:sz="4" w:space="0" w:color="auto"/>
              <w:left w:val="nil"/>
              <w:bottom w:val="single" w:sz="4" w:space="0" w:color="auto"/>
              <w:right w:val="single" w:sz="4" w:space="0" w:color="auto"/>
            </w:tcBorders>
            <w:shd w:val="clear" w:color="auto" w:fill="C6EFCE"/>
            <w:noWrap/>
          </w:tcPr>
          <w:p w14:paraId="6FB5305B"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60" w:type="dxa"/>
            <w:tcBorders>
              <w:top w:val="single" w:sz="4" w:space="0" w:color="auto"/>
              <w:left w:val="nil"/>
              <w:bottom w:val="single" w:sz="4" w:space="0" w:color="auto"/>
              <w:right w:val="single" w:sz="4" w:space="0" w:color="auto"/>
            </w:tcBorders>
            <w:shd w:val="clear" w:color="auto" w:fill="C6EFCE"/>
            <w:noWrap/>
          </w:tcPr>
          <w:p w14:paraId="150D107E"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607" w:type="dxa"/>
            <w:tcBorders>
              <w:top w:val="single" w:sz="4" w:space="0" w:color="auto"/>
              <w:left w:val="nil"/>
              <w:bottom w:val="single" w:sz="4" w:space="0" w:color="auto"/>
              <w:right w:val="single" w:sz="4" w:space="0" w:color="auto"/>
            </w:tcBorders>
            <w:shd w:val="clear" w:color="auto" w:fill="C6EFCE"/>
            <w:noWrap/>
          </w:tcPr>
          <w:p w14:paraId="313E67F3"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2" w:type="dxa"/>
            <w:tcBorders>
              <w:top w:val="single" w:sz="4" w:space="0" w:color="auto"/>
              <w:left w:val="nil"/>
              <w:bottom w:val="single" w:sz="4" w:space="0" w:color="auto"/>
              <w:right w:val="single" w:sz="4" w:space="0" w:color="auto"/>
            </w:tcBorders>
            <w:shd w:val="clear" w:color="auto" w:fill="C6EFCE"/>
            <w:noWrap/>
          </w:tcPr>
          <w:p w14:paraId="4226954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07" w:type="dxa"/>
            <w:tcBorders>
              <w:top w:val="single" w:sz="4" w:space="0" w:color="auto"/>
              <w:left w:val="nil"/>
              <w:bottom w:val="single" w:sz="4" w:space="0" w:color="auto"/>
              <w:right w:val="single" w:sz="4" w:space="0" w:color="auto"/>
            </w:tcBorders>
            <w:shd w:val="clear" w:color="auto" w:fill="C6EFCE"/>
            <w:noWrap/>
          </w:tcPr>
          <w:p w14:paraId="5D39303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3965" w:type="dxa"/>
            <w:tcBorders>
              <w:top w:val="single" w:sz="4" w:space="0" w:color="auto"/>
              <w:left w:val="nil"/>
              <w:bottom w:val="single" w:sz="4" w:space="0" w:color="auto"/>
              <w:right w:val="single" w:sz="4" w:space="0" w:color="auto"/>
            </w:tcBorders>
            <w:shd w:val="clear" w:color="auto" w:fill="C6EFCE"/>
            <w:noWrap/>
          </w:tcPr>
          <w:p w14:paraId="75FA7D26" w14:textId="1F8A0B02"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oprávnených projektov opatrenia vykonávaného malými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strednými podnikmi.</w:t>
            </w:r>
          </w:p>
        </w:tc>
      </w:tr>
    </w:tbl>
    <w:p w14:paraId="6215DEDB" w14:textId="77777777" w:rsidR="002D49B0" w:rsidRPr="00083739" w:rsidRDefault="002D49B0">
      <w:pPr>
        <w:spacing w:before="120" w:after="120" w:line="240" w:lineRule="auto"/>
        <w:ind w:left="709"/>
        <w:jc w:val="both"/>
        <w:rPr>
          <w:rFonts w:ascii="Times New Roman" w:hAnsi="Times New Roman" w:cs="Times New Roman"/>
          <w:noProof/>
          <w:sz w:val="24"/>
          <w:lang w:val="sk-SK"/>
        </w:rPr>
        <w:sectPr w:rsidR="002D49B0" w:rsidRPr="00083739" w:rsidSect="00271D33">
          <w:headerReference w:type="even" r:id="rId265"/>
          <w:headerReference w:type="default" r:id="rId266"/>
          <w:footerReference w:type="even" r:id="rId267"/>
          <w:footerReference w:type="default" r:id="rId268"/>
          <w:headerReference w:type="first" r:id="rId269"/>
          <w:footerReference w:type="first" r:id="rId270"/>
          <w:pgSz w:w="16839" w:h="11907" w:orient="landscape"/>
          <w:pgMar w:top="720" w:right="720" w:bottom="720" w:left="720" w:header="709" w:footer="709" w:gutter="0"/>
          <w:cols w:space="720"/>
          <w:docGrid w:linePitch="360"/>
        </w:sectPr>
      </w:pPr>
    </w:p>
    <w:p w14:paraId="7C13567D" w14:textId="77777777" w:rsidR="002D49B0" w:rsidRPr="00083739" w:rsidRDefault="00BF4125">
      <w:pPr>
        <w:pStyle w:val="P68B1DB1-Normal2"/>
        <w:spacing w:before="120" w:after="120" w:line="240" w:lineRule="auto"/>
        <w:ind w:firstLine="6"/>
        <w:jc w:val="both"/>
        <w:outlineLvl w:val="3"/>
        <w:rPr>
          <w:rFonts w:cs="Times New Roman"/>
          <w:bCs/>
          <w:noProof/>
          <w:lang w:val="sk-SK"/>
        </w:rPr>
      </w:pPr>
      <w:r w:rsidRPr="00083739">
        <w:rPr>
          <w:rFonts w:cs="Times New Roman"/>
          <w:noProof/>
          <w:lang w:val="sk-SK"/>
        </w:rPr>
        <w:t xml:space="preserve">Q. KOMPONENT </w:t>
      </w:r>
      <w:r w:rsidRPr="00083739">
        <w:rPr>
          <w:rFonts w:cs="Times New Roman"/>
          <w:noProof/>
          <w:lang w:val="sk-SK"/>
        </w:rPr>
        <w:t>4.6: MODERNIZÁCIA A ZVÝŠENIE ODOLNOSTI KĽÚČOVÝCH HOSPODÁRSKYCH ODVETVÍ</w:t>
      </w:r>
    </w:p>
    <w:p w14:paraId="0CE9FEF0" w14:textId="3C04CA02" w:rsidR="002D49B0" w:rsidRPr="00083739" w:rsidRDefault="00BF4125">
      <w:pPr>
        <w:pStyle w:val="P68B1DB1-Normal4"/>
        <w:spacing w:before="120" w:after="120" w:line="240" w:lineRule="auto"/>
        <w:jc w:val="both"/>
        <w:rPr>
          <w:rFonts w:cs="Times New Roman"/>
          <w:noProof/>
          <w:szCs w:val="24"/>
          <w:lang w:val="sk-SK"/>
        </w:rPr>
      </w:pPr>
      <w:r w:rsidRPr="00083739">
        <w:rPr>
          <w:rFonts w:cs="Times New Roman"/>
          <w:noProof/>
          <w:lang w:val="sk-SK"/>
        </w:rPr>
        <w:t>Tento komponent gréckeho plánu obnovy</w:t>
      </w:r>
      <w:r w:rsidR="00083739" w:rsidRPr="00083739">
        <w:rPr>
          <w:rFonts w:cs="Times New Roman"/>
          <w:noProof/>
          <w:lang w:val="sk-SK"/>
        </w:rPr>
        <w:t xml:space="preserve"> a </w:t>
      </w:r>
      <w:r w:rsidRPr="00083739">
        <w:rPr>
          <w:rFonts w:cs="Times New Roman"/>
          <w:noProof/>
          <w:lang w:val="sk-SK"/>
        </w:rPr>
        <w:t>odolnosti zahŕňa cielené reformy</w:t>
      </w:r>
      <w:r w:rsidR="00083739" w:rsidRPr="00083739">
        <w:rPr>
          <w:rFonts w:cs="Times New Roman"/>
          <w:noProof/>
          <w:lang w:val="sk-SK"/>
        </w:rPr>
        <w:t xml:space="preserve"> a </w:t>
      </w:r>
      <w:r w:rsidRPr="00083739">
        <w:rPr>
          <w:rFonts w:cs="Times New Roman"/>
          <w:noProof/>
          <w:lang w:val="sk-SK"/>
        </w:rPr>
        <w:t>investície na zlepšenie konkurencieschopnosti kľúčových odvetví gréckeho hospodárstva, konkrétne cestovného ru</w:t>
      </w:r>
      <w:r w:rsidRPr="00083739">
        <w:rPr>
          <w:rFonts w:cs="Times New Roman"/>
          <w:noProof/>
          <w:lang w:val="sk-SK"/>
        </w:rPr>
        <w:t>chu</w:t>
      </w:r>
      <w:r w:rsidR="00083739" w:rsidRPr="00083739">
        <w:rPr>
          <w:rFonts w:cs="Times New Roman"/>
          <w:noProof/>
          <w:lang w:val="sk-SK"/>
        </w:rPr>
        <w:t xml:space="preserve"> a </w:t>
      </w:r>
      <w:r w:rsidRPr="00083739">
        <w:rPr>
          <w:rFonts w:cs="Times New Roman"/>
          <w:noProof/>
          <w:lang w:val="sk-SK"/>
        </w:rPr>
        <w:t>kultúry, poľnohospodárstva, výroby</w:t>
      </w:r>
      <w:r w:rsidR="00083739" w:rsidRPr="00083739">
        <w:rPr>
          <w:rFonts w:cs="Times New Roman"/>
          <w:noProof/>
          <w:lang w:val="sk-SK"/>
        </w:rPr>
        <w:t xml:space="preserve"> a </w:t>
      </w:r>
      <w:r w:rsidRPr="00083739">
        <w:rPr>
          <w:rFonts w:cs="Times New Roman"/>
          <w:noProof/>
          <w:lang w:val="sk-SK"/>
        </w:rPr>
        <w:t>akvakultúry. Komponent zahŕňa aj investície do dopravnej infraštruktúry zamerané na zlepšenie prepojenosti</w:t>
      </w:r>
      <w:r w:rsidR="00083739" w:rsidRPr="00083739">
        <w:rPr>
          <w:rFonts w:cs="Times New Roman"/>
          <w:noProof/>
          <w:lang w:val="sk-SK"/>
        </w:rPr>
        <w:t xml:space="preserve"> a </w:t>
      </w:r>
      <w:r w:rsidRPr="00083739">
        <w:rPr>
          <w:rFonts w:cs="Times New Roman"/>
          <w:noProof/>
          <w:lang w:val="sk-SK"/>
        </w:rPr>
        <w:t>bezpečnosti cestnej premávky. Cestovný ruch sa podporuje investíciami do tematického cestovného ruchu</w:t>
      </w:r>
      <w:r w:rsidR="00083739" w:rsidRPr="00083739">
        <w:rPr>
          <w:rFonts w:cs="Times New Roman"/>
          <w:noProof/>
          <w:lang w:val="sk-SK"/>
        </w:rPr>
        <w:t xml:space="preserve"> s </w:t>
      </w:r>
      <w:r w:rsidRPr="00083739">
        <w:rPr>
          <w:rFonts w:cs="Times New Roman"/>
          <w:noProof/>
          <w:lang w:val="sk-SK"/>
        </w:rPr>
        <w:t>cieľom preskúmať nové trhy cestovného ruchu. Komponent ďalej zahŕňa investície do kultúry</w:t>
      </w:r>
      <w:r w:rsidR="00083739" w:rsidRPr="00083739">
        <w:rPr>
          <w:rFonts w:cs="Times New Roman"/>
          <w:noProof/>
          <w:lang w:val="sk-SK"/>
        </w:rPr>
        <w:t xml:space="preserve"> s </w:t>
      </w:r>
      <w:r w:rsidRPr="00083739">
        <w:rPr>
          <w:rFonts w:cs="Times New Roman"/>
          <w:noProof/>
          <w:lang w:val="sk-SK"/>
        </w:rPr>
        <w:t>cieľom zlepšiť konkurencieschopnosť</w:t>
      </w:r>
      <w:r w:rsidR="00083739" w:rsidRPr="00083739">
        <w:rPr>
          <w:rFonts w:cs="Times New Roman"/>
          <w:noProof/>
          <w:lang w:val="sk-SK"/>
        </w:rPr>
        <w:t xml:space="preserve"> a </w:t>
      </w:r>
      <w:r w:rsidRPr="00083739">
        <w:rPr>
          <w:rFonts w:cs="Times New Roman"/>
          <w:noProof/>
          <w:lang w:val="sk-SK"/>
        </w:rPr>
        <w:t>odolnosť odvetvia</w:t>
      </w:r>
      <w:r w:rsidR="00083739" w:rsidRPr="00083739">
        <w:rPr>
          <w:rFonts w:cs="Times New Roman"/>
          <w:noProof/>
          <w:lang w:val="sk-SK"/>
        </w:rPr>
        <w:t xml:space="preserve"> a </w:t>
      </w:r>
      <w:r w:rsidRPr="00083739">
        <w:rPr>
          <w:rFonts w:cs="Times New Roman"/>
          <w:noProof/>
          <w:lang w:val="sk-SK"/>
        </w:rPr>
        <w:t>lepšie využiť jeho prepojenia</w:t>
      </w:r>
      <w:r w:rsidR="00083739" w:rsidRPr="00083739">
        <w:rPr>
          <w:rFonts w:cs="Times New Roman"/>
          <w:noProof/>
          <w:lang w:val="sk-SK"/>
        </w:rPr>
        <w:t xml:space="preserve"> s </w:t>
      </w:r>
      <w:r w:rsidRPr="00083739">
        <w:rPr>
          <w:rFonts w:cs="Times New Roman"/>
          <w:noProof/>
          <w:lang w:val="sk-SK"/>
        </w:rPr>
        <w:t>cestovným ruchom. Investície do poľnohospodárstva zvyšujú efektívnosť výro</w:t>
      </w:r>
      <w:r w:rsidRPr="00083739">
        <w:rPr>
          <w:rFonts w:cs="Times New Roman"/>
          <w:noProof/>
          <w:lang w:val="sk-SK"/>
        </w:rPr>
        <w:t>bných metód, podporujú organizácie výrobcov</w:t>
      </w:r>
      <w:r w:rsidR="00083739" w:rsidRPr="00083739">
        <w:rPr>
          <w:rFonts w:cs="Times New Roman"/>
          <w:noProof/>
          <w:lang w:val="sk-SK"/>
        </w:rPr>
        <w:t xml:space="preserve"> a </w:t>
      </w:r>
      <w:r w:rsidRPr="00083739">
        <w:rPr>
          <w:rFonts w:cs="Times New Roman"/>
          <w:noProof/>
          <w:lang w:val="sk-SK"/>
        </w:rPr>
        <w:t>družstvá</w:t>
      </w:r>
      <w:r w:rsidR="00083739" w:rsidRPr="00083739">
        <w:rPr>
          <w:rFonts w:cs="Times New Roman"/>
          <w:noProof/>
          <w:lang w:val="sk-SK"/>
        </w:rPr>
        <w:t xml:space="preserve"> a </w:t>
      </w:r>
      <w:r w:rsidRPr="00083739">
        <w:rPr>
          <w:rFonts w:cs="Times New Roman"/>
          <w:noProof/>
          <w:lang w:val="sk-SK"/>
        </w:rPr>
        <w:t>podporujú presmerovanie na výrobky</w:t>
      </w:r>
      <w:r w:rsidR="00083739" w:rsidRPr="00083739">
        <w:rPr>
          <w:rFonts w:cs="Times New Roman"/>
          <w:noProof/>
          <w:lang w:val="sk-SK"/>
        </w:rPr>
        <w:t xml:space="preserve"> s </w:t>
      </w:r>
      <w:r w:rsidRPr="00083739">
        <w:rPr>
          <w:rFonts w:cs="Times New Roman"/>
          <w:noProof/>
          <w:lang w:val="sk-SK"/>
        </w:rPr>
        <w:t>vyššou pridanou hodnotou. Komponent zahŕňa aj hĺbkovú reformu železničného sektora</w:t>
      </w:r>
      <w:r w:rsidR="00083739" w:rsidRPr="00083739">
        <w:rPr>
          <w:rFonts w:cs="Times New Roman"/>
          <w:noProof/>
          <w:lang w:val="sk-SK"/>
        </w:rPr>
        <w:t xml:space="preserve"> s </w:t>
      </w:r>
      <w:r w:rsidRPr="00083739">
        <w:rPr>
          <w:rFonts w:cs="Times New Roman"/>
          <w:noProof/>
          <w:lang w:val="sk-SK"/>
        </w:rPr>
        <w:t>cieľom zvýšiť jeho efektívnosť</w:t>
      </w:r>
      <w:r w:rsidR="00083739" w:rsidRPr="00083739">
        <w:rPr>
          <w:rFonts w:cs="Times New Roman"/>
          <w:noProof/>
          <w:lang w:val="sk-SK"/>
        </w:rPr>
        <w:t xml:space="preserve"> a </w:t>
      </w:r>
      <w:r w:rsidRPr="00083739">
        <w:rPr>
          <w:rFonts w:cs="Times New Roman"/>
          <w:noProof/>
          <w:lang w:val="sk-SK"/>
        </w:rPr>
        <w:t>konkurencieschopnosť. Tieto investície podpo</w:t>
      </w:r>
      <w:r w:rsidRPr="00083739">
        <w:rPr>
          <w:rFonts w:cs="Times New Roman"/>
          <w:noProof/>
          <w:lang w:val="sk-SK"/>
        </w:rPr>
        <w:t>rujú hladké fungovanie vnútorného trhu</w:t>
      </w:r>
      <w:r w:rsidR="00083739" w:rsidRPr="00083739">
        <w:rPr>
          <w:rFonts w:cs="Times New Roman"/>
          <w:noProof/>
          <w:lang w:val="sk-SK"/>
        </w:rPr>
        <w:t xml:space="preserve"> a </w:t>
      </w:r>
      <w:r w:rsidRPr="00083739">
        <w:rPr>
          <w:rFonts w:cs="Times New Roman"/>
          <w:noProof/>
          <w:lang w:val="sk-SK"/>
        </w:rPr>
        <w:t>rozvoj udržateľného dopravného systému. Komponent podporuje riešenie odporúčaní pre jednotlivé krajiny týkajúcich sa verejných</w:t>
      </w:r>
      <w:r w:rsidR="00083739" w:rsidRPr="00083739">
        <w:rPr>
          <w:rFonts w:cs="Times New Roman"/>
          <w:noProof/>
          <w:lang w:val="sk-SK"/>
        </w:rPr>
        <w:t xml:space="preserve"> a </w:t>
      </w:r>
      <w:r w:rsidRPr="00083739">
        <w:rPr>
          <w:rFonts w:cs="Times New Roman"/>
          <w:noProof/>
          <w:lang w:val="sk-SK"/>
        </w:rPr>
        <w:t>súkromných investícií (odporúčanie pre Španielsko č. 2 2019</w:t>
      </w:r>
      <w:r w:rsidR="00083739" w:rsidRPr="00083739">
        <w:rPr>
          <w:rFonts w:cs="Times New Roman"/>
          <w:noProof/>
          <w:lang w:val="sk-SK"/>
        </w:rPr>
        <w:t xml:space="preserve"> a </w:t>
      </w:r>
      <w:r w:rsidRPr="00083739">
        <w:rPr>
          <w:rFonts w:cs="Times New Roman"/>
          <w:noProof/>
          <w:lang w:val="sk-SK"/>
        </w:rPr>
        <w:t>odporúčanie pre jednotli</w:t>
      </w:r>
      <w:r w:rsidRPr="00083739">
        <w:rPr>
          <w:rFonts w:cs="Times New Roman"/>
          <w:noProof/>
          <w:lang w:val="sk-SK"/>
        </w:rPr>
        <w:t>vé krajiny č. 3 2020). Očakáva sa, že žiadne opatrenie</w:t>
      </w:r>
      <w:r w:rsidR="00083739" w:rsidRPr="00083739">
        <w:rPr>
          <w:rFonts w:cs="Times New Roman"/>
          <w:noProof/>
          <w:lang w:val="sk-SK"/>
        </w:rPr>
        <w:t xml:space="preserve"> v </w:t>
      </w:r>
      <w:r w:rsidRPr="00083739">
        <w:rPr>
          <w:rFonts w:cs="Times New Roman"/>
          <w:noProof/>
          <w:lang w:val="sk-SK"/>
        </w:rPr>
        <w:t>tomto komponente výrazne nenaruší environmentálne ciele</w:t>
      </w:r>
      <w:r w:rsidR="00083739" w:rsidRPr="00083739">
        <w:rPr>
          <w:rFonts w:cs="Times New Roman"/>
          <w:noProof/>
          <w:lang w:val="sk-SK"/>
        </w:rPr>
        <w:t xml:space="preserve"> v </w:t>
      </w:r>
      <w:r w:rsidRPr="00083739">
        <w:rPr>
          <w:rFonts w:cs="Times New Roman"/>
          <w:noProof/>
          <w:lang w:val="sk-SK"/>
        </w:rPr>
        <w:t>zmysle článku 17 nariadenia (EÚ) 2020/852, pričom sa zohľadní opis opatrení</w:t>
      </w:r>
      <w:r w:rsidR="00083739" w:rsidRPr="00083739">
        <w:rPr>
          <w:rFonts w:cs="Times New Roman"/>
          <w:noProof/>
          <w:lang w:val="sk-SK"/>
        </w:rPr>
        <w:t xml:space="preserve"> a </w:t>
      </w:r>
      <w:r w:rsidRPr="00083739">
        <w:rPr>
          <w:rFonts w:cs="Times New Roman"/>
          <w:noProof/>
          <w:lang w:val="sk-SK"/>
        </w:rPr>
        <w:t>zmierňujúcich krokov stanovených</w:t>
      </w:r>
      <w:r w:rsidR="00083739" w:rsidRPr="00083739">
        <w:rPr>
          <w:rFonts w:cs="Times New Roman"/>
          <w:noProof/>
          <w:lang w:val="sk-SK"/>
        </w:rPr>
        <w:t xml:space="preserve"> v </w:t>
      </w:r>
      <w:r w:rsidRPr="00083739">
        <w:rPr>
          <w:rFonts w:cs="Times New Roman"/>
          <w:noProof/>
          <w:lang w:val="sk-SK"/>
        </w:rPr>
        <w:t>pláne podpory obnovy</w:t>
      </w:r>
      <w:r w:rsidR="00083739" w:rsidRPr="00083739">
        <w:rPr>
          <w:rFonts w:cs="Times New Roman"/>
          <w:noProof/>
          <w:lang w:val="sk-SK"/>
        </w:rPr>
        <w:t xml:space="preserve"> a </w:t>
      </w:r>
      <w:r w:rsidRPr="00083739">
        <w:rPr>
          <w:rFonts w:cs="Times New Roman"/>
          <w:noProof/>
          <w:lang w:val="sk-SK"/>
        </w:rPr>
        <w:t>odoln</w:t>
      </w:r>
      <w:r w:rsidRPr="00083739">
        <w:rPr>
          <w:rFonts w:cs="Times New Roman"/>
          <w:noProof/>
          <w:lang w:val="sk-SK"/>
        </w:rPr>
        <w:t>osti</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technickým usmernením „výrazne nenarušiť“ (2021/C58/01).</w:t>
      </w:r>
    </w:p>
    <w:p w14:paraId="07E5E4AE" w14:textId="41342717" w:rsidR="002D49B0" w:rsidRPr="00083739" w:rsidRDefault="00BF4125">
      <w:pPr>
        <w:spacing w:before="120" w:after="120" w:line="240" w:lineRule="auto"/>
        <w:jc w:val="both"/>
        <w:rPr>
          <w:rFonts w:ascii="Times New Roman" w:hAnsi="Times New Roman" w:cs="Times New Roman"/>
          <w:b/>
          <w:bCs/>
          <w:noProof/>
          <w:sz w:val="24"/>
          <w:u w:val="single"/>
          <w:lang w:val="sk-SK"/>
        </w:rPr>
      </w:pPr>
      <w:r w:rsidRPr="00083739">
        <w:rPr>
          <w:rFonts w:ascii="Times New Roman" w:hAnsi="Times New Roman" w:cs="Times New Roman"/>
          <w:b/>
          <w:noProof/>
          <w:sz w:val="24"/>
          <w:u w:val="single"/>
          <w:lang w:val="sk-SK"/>
        </w:rPr>
        <w:t xml:space="preserve">OTÁZKA Č. 1. </w:t>
      </w:r>
      <w:r w:rsidRPr="00083739">
        <w:rPr>
          <w:rFonts w:ascii="Times New Roman" w:hAnsi="Times New Roman" w:cs="Times New Roman"/>
          <w:noProof/>
          <w:lang w:val="sk-SK"/>
        </w:rPr>
        <w:t xml:space="preserve"> </w:t>
      </w:r>
      <w:r w:rsidRPr="00083739">
        <w:rPr>
          <w:rFonts w:ascii="Times New Roman" w:hAnsi="Times New Roman" w:cs="Times New Roman"/>
          <w:b/>
          <w:noProof/>
          <w:sz w:val="24"/>
          <w:u w:val="single"/>
          <w:lang w:val="sk-SK"/>
        </w:rPr>
        <w:t>Opis reforiem</w:t>
      </w:r>
      <w:r w:rsidR="00083739" w:rsidRPr="00083739">
        <w:rPr>
          <w:rFonts w:ascii="Times New Roman" w:hAnsi="Times New Roman" w:cs="Times New Roman"/>
          <w:b/>
          <w:noProof/>
          <w:sz w:val="24"/>
          <w:u w:val="single"/>
          <w:lang w:val="sk-SK"/>
        </w:rPr>
        <w:t xml:space="preserve"> a </w:t>
      </w:r>
      <w:r w:rsidRPr="00083739">
        <w:rPr>
          <w:rFonts w:ascii="Times New Roman" w:hAnsi="Times New Roman" w:cs="Times New Roman"/>
          <w:b/>
          <w:noProof/>
          <w:sz w:val="24"/>
          <w:u w:val="single"/>
          <w:lang w:val="sk-SK"/>
        </w:rPr>
        <w:t>investícií</w:t>
      </w:r>
      <w:r w:rsidR="00083739" w:rsidRPr="00083739">
        <w:rPr>
          <w:rFonts w:ascii="Times New Roman" w:hAnsi="Times New Roman" w:cs="Times New Roman"/>
          <w:b/>
          <w:noProof/>
          <w:sz w:val="24"/>
          <w:u w:val="single"/>
          <w:lang w:val="sk-SK"/>
        </w:rPr>
        <w:t xml:space="preserve"> v </w:t>
      </w:r>
      <w:r w:rsidRPr="00083739">
        <w:rPr>
          <w:rFonts w:ascii="Times New Roman" w:hAnsi="Times New Roman" w:cs="Times New Roman"/>
          <w:b/>
          <w:noProof/>
          <w:sz w:val="24"/>
          <w:u w:val="single"/>
          <w:lang w:val="sk-SK"/>
        </w:rPr>
        <w:t>rámci nenávratnej finančnej podpory</w:t>
      </w:r>
    </w:p>
    <w:p w14:paraId="19829020" w14:textId="7777777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Modernizácia bezpečnosti cestnej premávky (ID opatrenia 16631)</w:t>
      </w:r>
    </w:p>
    <w:p w14:paraId="40DFD5D8" w14:textId="195ACB5A"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Investícia zahŕňa zlepšenie b</w:t>
      </w:r>
      <w:r w:rsidRPr="00083739">
        <w:rPr>
          <w:rFonts w:cs="Times New Roman"/>
          <w:noProof/>
          <w:lang w:val="sk-SK"/>
        </w:rPr>
        <w:t>ezpečnosti cestných sietí</w:t>
      </w:r>
      <w:r w:rsidR="00083739" w:rsidRPr="00083739">
        <w:rPr>
          <w:rFonts w:cs="Times New Roman"/>
          <w:noProof/>
          <w:lang w:val="sk-SK"/>
        </w:rPr>
        <w:t xml:space="preserve"> v </w:t>
      </w:r>
      <w:r w:rsidRPr="00083739">
        <w:rPr>
          <w:rFonts w:cs="Times New Roman"/>
          <w:noProof/>
          <w:lang w:val="sk-SK"/>
        </w:rPr>
        <w:t>celej krajine</w:t>
      </w:r>
      <w:r w:rsidR="00083739" w:rsidRPr="00083739">
        <w:rPr>
          <w:rFonts w:cs="Times New Roman"/>
          <w:noProof/>
          <w:lang w:val="sk-SK"/>
        </w:rPr>
        <w:t xml:space="preserve"> s </w:t>
      </w:r>
      <w:r w:rsidRPr="00083739">
        <w:rPr>
          <w:rFonts w:cs="Times New Roman"/>
          <w:noProof/>
          <w:lang w:val="sk-SK"/>
        </w:rPr>
        <w:t>cieľom znížiť počet dopravných nehôd zahŕňajúcich zásahy na viac ako 7780 nebezpečných miestach</w:t>
      </w:r>
      <w:r w:rsidR="00083739" w:rsidRPr="00083739">
        <w:rPr>
          <w:rFonts w:cs="Times New Roman"/>
          <w:noProof/>
          <w:lang w:val="sk-SK"/>
        </w:rPr>
        <w:t xml:space="preserve"> v </w:t>
      </w:r>
      <w:r w:rsidRPr="00083739">
        <w:rPr>
          <w:rFonts w:cs="Times New Roman"/>
          <w:noProof/>
          <w:lang w:val="sk-SK"/>
        </w:rPr>
        <w:t>celej sieti. Očakáva sa, že toto opatrenie výrazne nenaruší environmentálne ciele</w:t>
      </w:r>
      <w:r w:rsidR="00083739" w:rsidRPr="00083739">
        <w:rPr>
          <w:rFonts w:cs="Times New Roman"/>
          <w:noProof/>
          <w:lang w:val="sk-SK"/>
        </w:rPr>
        <w:t xml:space="preserve"> v </w:t>
      </w:r>
      <w:r w:rsidRPr="00083739">
        <w:rPr>
          <w:rFonts w:cs="Times New Roman"/>
          <w:noProof/>
          <w:lang w:val="sk-SK"/>
        </w:rPr>
        <w:t>zmysle článku 17 nariadenia (E</w:t>
      </w:r>
      <w:r w:rsidRPr="00083739">
        <w:rPr>
          <w:rFonts w:cs="Times New Roman"/>
          <w:noProof/>
          <w:lang w:val="sk-SK"/>
        </w:rPr>
        <w:t>Ú) 2020/852, pričom sa zohľadní opis opatrenia</w:t>
      </w:r>
      <w:r w:rsidR="00083739" w:rsidRPr="00083739">
        <w:rPr>
          <w:rFonts w:cs="Times New Roman"/>
          <w:noProof/>
          <w:lang w:val="sk-SK"/>
        </w:rPr>
        <w:t xml:space="preserve"> a </w:t>
      </w:r>
      <w:r w:rsidRPr="00083739">
        <w:rPr>
          <w:rFonts w:cs="Times New Roman"/>
          <w:noProof/>
          <w:lang w:val="sk-SK"/>
        </w:rPr>
        <w:t>zmierňujúce kroky stanovené</w:t>
      </w:r>
      <w:r w:rsidR="00083739" w:rsidRPr="00083739">
        <w:rPr>
          <w:rFonts w:cs="Times New Roman"/>
          <w:noProof/>
          <w:lang w:val="sk-SK"/>
        </w:rPr>
        <w:t xml:space="preserve"> v </w:t>
      </w:r>
      <w:r w:rsidRPr="00083739">
        <w:rPr>
          <w:rFonts w:cs="Times New Roman"/>
          <w:noProof/>
          <w:lang w:val="sk-SK"/>
        </w:rPr>
        <w:t>pláne podpory obnovy</w:t>
      </w:r>
      <w:r w:rsidR="00083739" w:rsidRPr="00083739">
        <w:rPr>
          <w:rFonts w:cs="Times New Roman"/>
          <w:noProof/>
          <w:lang w:val="sk-SK"/>
        </w:rPr>
        <w:t xml:space="preserve"> a </w:t>
      </w:r>
      <w:r w:rsidRPr="00083739">
        <w:rPr>
          <w:rFonts w:cs="Times New Roman"/>
          <w:noProof/>
          <w:lang w:val="sk-SK"/>
        </w:rPr>
        <w:t>odolnosti</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technickým usmernením „výrazne nenarušiť“ (2021/C58/01). Opatrenie predovšetkým podlieha posudzovaniu vplyvov na životné prostredie (</w:t>
      </w:r>
      <w:r w:rsidRPr="00083739">
        <w:rPr>
          <w:rFonts w:cs="Times New Roman"/>
          <w:noProof/>
          <w:lang w:val="sk-SK"/>
        </w:rPr>
        <w:t>EIA) podľa smernice 2011/92/EÚ</w:t>
      </w:r>
      <w:r w:rsidR="00083739" w:rsidRPr="00083739">
        <w:rPr>
          <w:rFonts w:cs="Times New Roman"/>
          <w:noProof/>
          <w:lang w:val="sk-SK"/>
        </w:rPr>
        <w:t xml:space="preserve"> s </w:t>
      </w:r>
      <w:r w:rsidRPr="00083739">
        <w:rPr>
          <w:rFonts w:cs="Times New Roman"/>
          <w:noProof/>
          <w:lang w:val="sk-SK"/>
        </w:rPr>
        <w:t>cieľom zabezpečiť, aby sa do projektu začlenila zásada „výrazne nenarušiť“</w:t>
      </w:r>
      <w:r w:rsidR="00083739" w:rsidRPr="00083739">
        <w:rPr>
          <w:rFonts w:cs="Times New Roman"/>
          <w:noProof/>
          <w:lang w:val="sk-SK"/>
        </w:rPr>
        <w:t xml:space="preserve"> a </w:t>
      </w:r>
      <w:r w:rsidRPr="00083739">
        <w:rPr>
          <w:rFonts w:cs="Times New Roman"/>
          <w:noProof/>
          <w:lang w:val="sk-SK"/>
        </w:rPr>
        <w:t>aby sa dôsledne dodržiavala vo fázach výstavby, prevádzky</w:t>
      </w:r>
      <w:r w:rsidR="00083739" w:rsidRPr="00083739">
        <w:rPr>
          <w:rFonts w:cs="Times New Roman"/>
          <w:noProof/>
          <w:lang w:val="sk-SK"/>
        </w:rPr>
        <w:t xml:space="preserve"> a </w:t>
      </w:r>
      <w:r w:rsidRPr="00083739">
        <w:rPr>
          <w:rFonts w:cs="Times New Roman"/>
          <w:noProof/>
          <w:lang w:val="sk-SK"/>
        </w:rPr>
        <w:t>vyraďovania infraštruktúry</w:t>
      </w:r>
      <w:r w:rsidR="00083739" w:rsidRPr="00083739">
        <w:rPr>
          <w:rFonts w:cs="Times New Roman"/>
          <w:noProof/>
          <w:lang w:val="sk-SK"/>
        </w:rPr>
        <w:t xml:space="preserve"> z </w:t>
      </w:r>
      <w:r w:rsidRPr="00083739">
        <w:rPr>
          <w:rFonts w:cs="Times New Roman"/>
          <w:noProof/>
          <w:lang w:val="sk-SK"/>
        </w:rPr>
        <w:t>prevádzky. Realizácia investície sa ukončí do 31</w:t>
      </w:r>
      <w:r w:rsidR="00083739" w:rsidRPr="00083739">
        <w:rPr>
          <w:rFonts w:cs="Times New Roman"/>
          <w:noProof/>
          <w:lang w:val="sk-SK"/>
        </w:rPr>
        <w:t>. decembra</w:t>
      </w:r>
      <w:r w:rsidRPr="00083739">
        <w:rPr>
          <w:rFonts w:cs="Times New Roman"/>
          <w:noProof/>
          <w:lang w:val="sk-SK"/>
        </w:rPr>
        <w:t xml:space="preserve"> 2025.</w:t>
      </w:r>
    </w:p>
    <w:p w14:paraId="661B9E7A" w14:textId="2C7AB2B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Diaľnica E-65</w:t>
      </w:r>
      <w:r w:rsidR="00083739" w:rsidRPr="00083739">
        <w:rPr>
          <w:rFonts w:cs="Times New Roman"/>
          <w:noProof/>
          <w:lang w:val="sk-SK"/>
        </w:rPr>
        <w:t xml:space="preserve"> v </w:t>
      </w:r>
      <w:r w:rsidRPr="00083739">
        <w:rPr>
          <w:rFonts w:cs="Times New Roman"/>
          <w:noProof/>
          <w:lang w:val="sk-SK"/>
        </w:rPr>
        <w:t>strednom Grécku: Trikala – Egnatia (ID opatrenia 16628)</w:t>
      </w:r>
    </w:p>
    <w:p w14:paraId="66386DB5" w14:textId="77777777" w:rsidR="00083739"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Táto investícia zahŕňa úplnú výstavbu (hlavná cesta, obslužné cesty/spojovacie cesty</w:t>
      </w:r>
      <w:r w:rsidR="00083739" w:rsidRPr="00083739">
        <w:rPr>
          <w:rFonts w:cs="Times New Roman"/>
          <w:noProof/>
          <w:lang w:val="sk-SK"/>
        </w:rPr>
        <w:t xml:space="preserve"> a </w:t>
      </w:r>
      <w:r w:rsidRPr="00083739">
        <w:rPr>
          <w:rFonts w:cs="Times New Roman"/>
          <w:noProof/>
          <w:lang w:val="sk-SK"/>
        </w:rPr>
        <w:t>doplnkové práce)</w:t>
      </w:r>
      <w:r w:rsidR="00083739" w:rsidRPr="00083739">
        <w:rPr>
          <w:rFonts w:cs="Times New Roman"/>
          <w:noProof/>
          <w:lang w:val="sk-SK"/>
        </w:rPr>
        <w:t xml:space="preserve"> s </w:t>
      </w:r>
      <w:r w:rsidRPr="00083739">
        <w:rPr>
          <w:rFonts w:cs="Times New Roman"/>
          <w:noProof/>
          <w:lang w:val="sk-SK"/>
        </w:rPr>
        <w:t>celkovou dĺžkou 70 km severného úseku diaľnice E65, konkré</w:t>
      </w:r>
      <w:r w:rsidRPr="00083739">
        <w:rPr>
          <w:rFonts w:cs="Times New Roman"/>
          <w:noProof/>
          <w:lang w:val="sk-SK"/>
        </w:rPr>
        <w:t>tne úseku Trikala – Egnatia. Očakáva sa, že toto opatrenie výrazne nenaruší environmentálne ciele</w:t>
      </w:r>
      <w:r w:rsidR="00083739" w:rsidRPr="00083739">
        <w:rPr>
          <w:rFonts w:cs="Times New Roman"/>
          <w:noProof/>
          <w:lang w:val="sk-SK"/>
        </w:rPr>
        <w:t xml:space="preserve"> v </w:t>
      </w:r>
      <w:r w:rsidRPr="00083739">
        <w:rPr>
          <w:rFonts w:cs="Times New Roman"/>
          <w:noProof/>
          <w:lang w:val="sk-SK"/>
        </w:rPr>
        <w:t>zmysle článku 17 nariadenia (EÚ) 2020/852, pričom sa zohľadní opis opatrenia</w:t>
      </w:r>
      <w:r w:rsidR="00083739" w:rsidRPr="00083739">
        <w:rPr>
          <w:rFonts w:cs="Times New Roman"/>
          <w:noProof/>
          <w:lang w:val="sk-SK"/>
        </w:rPr>
        <w:t xml:space="preserve"> a </w:t>
      </w:r>
      <w:r w:rsidRPr="00083739">
        <w:rPr>
          <w:rFonts w:cs="Times New Roman"/>
          <w:noProof/>
          <w:lang w:val="sk-SK"/>
        </w:rPr>
        <w:t>zmierňujúce kroky stanovené</w:t>
      </w:r>
      <w:r w:rsidR="00083739" w:rsidRPr="00083739">
        <w:rPr>
          <w:rFonts w:cs="Times New Roman"/>
          <w:noProof/>
          <w:lang w:val="sk-SK"/>
        </w:rPr>
        <w:t xml:space="preserve"> v </w:t>
      </w:r>
      <w:r w:rsidRPr="00083739">
        <w:rPr>
          <w:rFonts w:cs="Times New Roman"/>
          <w:noProof/>
          <w:lang w:val="sk-SK"/>
        </w:rPr>
        <w:t>pláne podpory obnovy</w:t>
      </w:r>
      <w:r w:rsidR="00083739" w:rsidRPr="00083739">
        <w:rPr>
          <w:rFonts w:cs="Times New Roman"/>
          <w:noProof/>
          <w:lang w:val="sk-SK"/>
        </w:rPr>
        <w:t xml:space="preserve"> a </w:t>
      </w:r>
      <w:r w:rsidRPr="00083739">
        <w:rPr>
          <w:rFonts w:cs="Times New Roman"/>
          <w:noProof/>
          <w:lang w:val="sk-SK"/>
        </w:rPr>
        <w:t>odolnosti</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t</w:t>
      </w:r>
      <w:r w:rsidRPr="00083739">
        <w:rPr>
          <w:rFonts w:cs="Times New Roman"/>
          <w:noProof/>
          <w:lang w:val="sk-SK"/>
        </w:rPr>
        <w:t>echnickým usmernením „výrazne nenarušiť“ (2021/C58/01). Opatrenie predovšetkým podlieha posudzovaniu vplyvov na životné prostredie (EIA) podľa smernice 2011/92/EÚ,</w:t>
      </w:r>
    </w:p>
    <w:p w14:paraId="791764CD" w14:textId="6CF0A009" w:rsidR="002D49B0" w:rsidRPr="00083739" w:rsidRDefault="00BF4125">
      <w:pPr>
        <w:pStyle w:val="P68B1DB1-Normal4"/>
        <w:rPr>
          <w:rFonts w:cs="Times New Roman"/>
          <w:noProof/>
          <w:lang w:val="sk-SK"/>
        </w:rPr>
      </w:pPr>
      <w:r w:rsidRPr="00083739">
        <w:rPr>
          <w:rFonts w:cs="Times New Roman"/>
          <w:noProof/>
          <w:lang w:val="sk-SK"/>
        </w:rPr>
        <w:br w:type="page"/>
      </w:r>
    </w:p>
    <w:p w14:paraId="4C9B9472" w14:textId="3D662B12" w:rsidR="002D49B0" w:rsidRPr="00083739" w:rsidRDefault="00BF4125">
      <w:pPr>
        <w:pStyle w:val="P68B1DB1-Normal4"/>
        <w:spacing w:before="120" w:after="120" w:line="240" w:lineRule="auto"/>
        <w:jc w:val="both"/>
        <w:rPr>
          <w:rFonts w:cs="Times New Roman"/>
          <w:noProof/>
          <w:szCs w:val="24"/>
          <w:highlight w:val="green"/>
          <w:lang w:val="sk-SK"/>
        </w:rPr>
      </w:pPr>
      <w:r w:rsidRPr="00083739">
        <w:rPr>
          <w:rFonts w:cs="Times New Roman"/>
          <w:noProof/>
          <w:lang w:val="sk-SK"/>
        </w:rPr>
        <w:t>na zabezpečenie súladu so zásadou „výrazne nenarušiť“ sa do projektu začlení</w:t>
      </w:r>
      <w:r w:rsidR="00083739" w:rsidRPr="00083739">
        <w:rPr>
          <w:rFonts w:cs="Times New Roman"/>
          <w:noProof/>
          <w:lang w:val="sk-SK"/>
        </w:rPr>
        <w:t xml:space="preserve"> a </w:t>
      </w:r>
      <w:r w:rsidRPr="00083739">
        <w:rPr>
          <w:rFonts w:cs="Times New Roman"/>
          <w:noProof/>
          <w:lang w:val="sk-SK"/>
        </w:rPr>
        <w:t>bude sa prí</w:t>
      </w:r>
      <w:r w:rsidRPr="00083739">
        <w:rPr>
          <w:rFonts w:cs="Times New Roman"/>
          <w:noProof/>
          <w:lang w:val="sk-SK"/>
        </w:rPr>
        <w:t>sne dodržiavať vo fázach výstavby, prevádzky</w:t>
      </w:r>
      <w:r w:rsidR="00083739" w:rsidRPr="00083739">
        <w:rPr>
          <w:rFonts w:cs="Times New Roman"/>
          <w:noProof/>
          <w:lang w:val="sk-SK"/>
        </w:rPr>
        <w:t xml:space="preserve"> a </w:t>
      </w:r>
      <w:r w:rsidRPr="00083739">
        <w:rPr>
          <w:rFonts w:cs="Times New Roman"/>
          <w:noProof/>
          <w:lang w:val="sk-SK"/>
        </w:rPr>
        <w:t>vyraďovania infraštruktúry</w:t>
      </w:r>
      <w:r w:rsidR="00083739" w:rsidRPr="00083739">
        <w:rPr>
          <w:rFonts w:cs="Times New Roman"/>
          <w:noProof/>
          <w:lang w:val="sk-SK"/>
        </w:rPr>
        <w:t xml:space="preserve"> z </w:t>
      </w:r>
      <w:r w:rsidRPr="00083739">
        <w:rPr>
          <w:rFonts w:cs="Times New Roman"/>
          <w:noProof/>
          <w:lang w:val="sk-SK"/>
        </w:rPr>
        <w:t>prevádzky. Realizácia investície sa ukončí do 31</w:t>
      </w:r>
      <w:r w:rsidR="00083739" w:rsidRPr="00083739">
        <w:rPr>
          <w:rFonts w:cs="Times New Roman"/>
          <w:noProof/>
          <w:lang w:val="sk-SK"/>
        </w:rPr>
        <w:t>. decembra</w:t>
      </w:r>
      <w:r w:rsidRPr="00083739">
        <w:rPr>
          <w:rFonts w:cs="Times New Roman"/>
          <w:noProof/>
          <w:lang w:val="sk-SK"/>
        </w:rPr>
        <w:t xml:space="preserve"> 2025.</w:t>
      </w:r>
    </w:p>
    <w:p w14:paraId="079AC95C" w14:textId="7777777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Cretan Northern Highway (severná diaľnica Cretan) (ukazovateľ.Α.Κ.) (opatrenie ID 16630)</w:t>
      </w:r>
    </w:p>
    <w:p w14:paraId="582B9022" w14:textId="72EDE308" w:rsidR="002D49B0" w:rsidRPr="00083739" w:rsidRDefault="00BF4125">
      <w:pPr>
        <w:pStyle w:val="P68B1DB1-Normal4"/>
        <w:spacing w:before="120" w:after="120" w:line="240" w:lineRule="auto"/>
        <w:jc w:val="both"/>
        <w:rPr>
          <w:rFonts w:cs="Times New Roman"/>
          <w:noProof/>
          <w:szCs w:val="24"/>
          <w:highlight w:val="green"/>
          <w:lang w:val="sk-SK"/>
        </w:rPr>
      </w:pPr>
      <w:r w:rsidRPr="00083739">
        <w:rPr>
          <w:rFonts w:cs="Times New Roman"/>
          <w:noProof/>
          <w:lang w:val="sk-SK"/>
        </w:rPr>
        <w:t xml:space="preserve">Investícia sa </w:t>
      </w:r>
      <w:r w:rsidRPr="00083739">
        <w:rPr>
          <w:rFonts w:cs="Times New Roman"/>
          <w:noProof/>
          <w:lang w:val="sk-SK"/>
        </w:rPr>
        <w:t>týka výstavby kretánskej severnej diaľnice (BOAK), ktorá spája štyri veľké mestá Kréta (Chania, Rethymnon, Heraklion</w:t>
      </w:r>
      <w:r w:rsidR="00083739" w:rsidRPr="00083739">
        <w:rPr>
          <w:rFonts w:cs="Times New Roman"/>
          <w:noProof/>
          <w:lang w:val="sk-SK"/>
        </w:rPr>
        <w:t xml:space="preserve"> a </w:t>
      </w:r>
      <w:r w:rsidRPr="00083739">
        <w:rPr>
          <w:rFonts w:cs="Times New Roman"/>
          <w:noProof/>
          <w:lang w:val="sk-SK"/>
        </w:rPr>
        <w:t>Agios Nikolaos)</w:t>
      </w:r>
      <w:r w:rsidR="00083739" w:rsidRPr="00083739">
        <w:rPr>
          <w:rFonts w:cs="Times New Roman"/>
          <w:noProof/>
          <w:lang w:val="sk-SK"/>
        </w:rPr>
        <w:t xml:space="preserve"> a </w:t>
      </w:r>
      <w:r w:rsidRPr="00083739">
        <w:rPr>
          <w:rFonts w:cs="Times New Roman"/>
          <w:noProof/>
          <w:lang w:val="sk-SK"/>
        </w:rPr>
        <w:t>je súčasťou transeurópskej dopravnej siete (TEN-T). Investícia pozostáva</w:t>
      </w:r>
      <w:r w:rsidR="00083739" w:rsidRPr="00083739">
        <w:rPr>
          <w:rFonts w:cs="Times New Roman"/>
          <w:noProof/>
          <w:lang w:val="sk-SK"/>
        </w:rPr>
        <w:t xml:space="preserve"> z </w:t>
      </w:r>
      <w:r w:rsidRPr="00083739">
        <w:rPr>
          <w:rFonts w:cs="Times New Roman"/>
          <w:noProof/>
          <w:lang w:val="sk-SK"/>
        </w:rPr>
        <w:t>troch čiastkových projektov. Podprojekt 1 za</w:t>
      </w:r>
      <w:r w:rsidRPr="00083739">
        <w:rPr>
          <w:rFonts w:cs="Times New Roman"/>
          <w:noProof/>
          <w:lang w:val="sk-SK"/>
        </w:rPr>
        <w:t>hŕňa segment od Chania po Heraklion, je spoplatnená diaľnica</w:t>
      </w:r>
      <w:r w:rsidR="00083739" w:rsidRPr="00083739">
        <w:rPr>
          <w:rFonts w:cs="Times New Roman"/>
          <w:noProof/>
          <w:lang w:val="sk-SK"/>
        </w:rPr>
        <w:t xml:space="preserve"> s </w:t>
      </w:r>
      <w:r w:rsidRPr="00083739">
        <w:rPr>
          <w:rFonts w:cs="Times New Roman"/>
          <w:noProof/>
          <w:lang w:val="sk-SK"/>
        </w:rPr>
        <w:t>dĺžkou približne 163 km, ktorá sa vybuduje</w:t>
      </w:r>
      <w:r w:rsidR="00083739" w:rsidRPr="00083739">
        <w:rPr>
          <w:rFonts w:cs="Times New Roman"/>
          <w:noProof/>
          <w:lang w:val="sk-SK"/>
        </w:rPr>
        <w:t xml:space="preserve"> a </w:t>
      </w:r>
      <w:r w:rsidRPr="00083739">
        <w:rPr>
          <w:rFonts w:cs="Times New Roman"/>
          <w:noProof/>
          <w:lang w:val="sk-SK"/>
        </w:rPr>
        <w:t>prevádzkuje na základe koncesnej zmluvy.</w:t>
      </w:r>
      <w:r w:rsidR="00083739" w:rsidRPr="00083739">
        <w:rPr>
          <w:rFonts w:cs="Times New Roman"/>
          <w:noProof/>
          <w:lang w:val="sk-SK"/>
        </w:rPr>
        <w:t xml:space="preserve"> Z </w:t>
      </w:r>
      <w:r w:rsidRPr="00083739">
        <w:rPr>
          <w:rFonts w:cs="Times New Roman"/>
          <w:noProof/>
          <w:lang w:val="sk-SK"/>
        </w:rPr>
        <w:t>tohto opatrenia sa financuje niekoľko konkrétnych vopred vymedzených prác. Podprojekt 2 zahŕňa segment</w:t>
      </w:r>
      <w:r w:rsidR="00083739" w:rsidRPr="00083739">
        <w:rPr>
          <w:rFonts w:cs="Times New Roman"/>
          <w:noProof/>
          <w:lang w:val="sk-SK"/>
        </w:rPr>
        <w:t xml:space="preserve"> z </w:t>
      </w:r>
      <w:r w:rsidRPr="00083739">
        <w:rPr>
          <w:rFonts w:cs="Times New Roman"/>
          <w:noProof/>
          <w:lang w:val="sk-SK"/>
        </w:rPr>
        <w:t>Hersonissos-Neapoli</w:t>
      </w:r>
      <w:r w:rsidR="00083739" w:rsidRPr="00083739">
        <w:rPr>
          <w:rFonts w:cs="Times New Roman"/>
          <w:noProof/>
          <w:lang w:val="sk-SK"/>
        </w:rPr>
        <w:t xml:space="preserve"> s </w:t>
      </w:r>
      <w:r w:rsidRPr="00083739">
        <w:rPr>
          <w:rFonts w:cs="Times New Roman"/>
          <w:noProof/>
          <w:lang w:val="sk-SK"/>
        </w:rPr>
        <w:t>dĺžkou približne 22,5 km, ktorý sa vybuduje na základe dohody</w:t>
      </w:r>
      <w:r w:rsidR="00083739" w:rsidRPr="00083739">
        <w:rPr>
          <w:rFonts w:cs="Times New Roman"/>
          <w:noProof/>
          <w:lang w:val="sk-SK"/>
        </w:rPr>
        <w:t xml:space="preserve"> o </w:t>
      </w:r>
      <w:r w:rsidRPr="00083739">
        <w:rPr>
          <w:rFonts w:cs="Times New Roman"/>
          <w:noProof/>
          <w:lang w:val="sk-SK"/>
        </w:rPr>
        <w:t>verejno-súkromnom partnerstve,</w:t>
      </w:r>
      <w:r w:rsidR="00083739" w:rsidRPr="00083739">
        <w:rPr>
          <w:rFonts w:cs="Times New Roman"/>
          <w:noProof/>
          <w:lang w:val="sk-SK"/>
        </w:rPr>
        <w:t xml:space="preserve"> a </w:t>
      </w:r>
      <w:r w:rsidRPr="00083739">
        <w:rPr>
          <w:rFonts w:cs="Times New Roman"/>
          <w:noProof/>
          <w:lang w:val="sk-SK"/>
        </w:rPr>
        <w:t>podprojekt 3 zahŕňa segment Neapolis – Agios Nikolaos</w:t>
      </w:r>
      <w:r w:rsidR="00083739" w:rsidRPr="00083739">
        <w:rPr>
          <w:rFonts w:cs="Times New Roman"/>
          <w:noProof/>
          <w:lang w:val="sk-SK"/>
        </w:rPr>
        <w:t xml:space="preserve"> s </w:t>
      </w:r>
      <w:r w:rsidRPr="00083739">
        <w:rPr>
          <w:rFonts w:cs="Times New Roman"/>
          <w:noProof/>
          <w:lang w:val="sk-SK"/>
        </w:rPr>
        <w:t>dĺžkou približne 14 km, ktorý sa vybuduje ako projekt verejných prác. Cieľom diaľ</w:t>
      </w:r>
      <w:r w:rsidRPr="00083739">
        <w:rPr>
          <w:rFonts w:cs="Times New Roman"/>
          <w:noProof/>
          <w:lang w:val="sk-SK"/>
        </w:rPr>
        <w:t>nice je zlepšiť prístupnosť medzi veľkými mestami Kréty</w:t>
      </w:r>
      <w:r w:rsidR="00083739" w:rsidRPr="00083739">
        <w:rPr>
          <w:rFonts w:cs="Times New Roman"/>
          <w:noProof/>
          <w:lang w:val="sk-SK"/>
        </w:rPr>
        <w:t xml:space="preserve"> a </w:t>
      </w:r>
      <w:r w:rsidRPr="00083739">
        <w:rPr>
          <w:rFonts w:cs="Times New Roman"/>
          <w:noProof/>
          <w:lang w:val="sk-SK"/>
        </w:rPr>
        <w:t>všetkými veľkými prístavmi</w:t>
      </w:r>
      <w:r w:rsidR="00083739" w:rsidRPr="00083739">
        <w:rPr>
          <w:rFonts w:cs="Times New Roman"/>
          <w:noProof/>
          <w:lang w:val="sk-SK"/>
        </w:rPr>
        <w:t xml:space="preserve"> a </w:t>
      </w:r>
      <w:r w:rsidRPr="00083739">
        <w:rPr>
          <w:rFonts w:cs="Times New Roman"/>
          <w:noProof/>
          <w:lang w:val="sk-SK"/>
        </w:rPr>
        <w:t>letiskami ostrova, skrátiť čas cestovania, zvýšiť úroveň služieb</w:t>
      </w:r>
      <w:r w:rsidR="00083739" w:rsidRPr="00083739">
        <w:rPr>
          <w:rFonts w:cs="Times New Roman"/>
          <w:noProof/>
          <w:lang w:val="sk-SK"/>
        </w:rPr>
        <w:t xml:space="preserve"> a </w:t>
      </w:r>
      <w:r w:rsidRPr="00083739">
        <w:rPr>
          <w:rFonts w:cs="Times New Roman"/>
          <w:noProof/>
          <w:lang w:val="sk-SK"/>
        </w:rPr>
        <w:t>bezpečnosti cestnej premávky</w:t>
      </w:r>
      <w:r w:rsidR="00083739" w:rsidRPr="00083739">
        <w:rPr>
          <w:rFonts w:cs="Times New Roman"/>
          <w:noProof/>
          <w:lang w:val="sk-SK"/>
        </w:rPr>
        <w:t xml:space="preserve"> a </w:t>
      </w:r>
      <w:r w:rsidRPr="00083739">
        <w:rPr>
          <w:rFonts w:cs="Times New Roman"/>
          <w:noProof/>
          <w:lang w:val="sk-SK"/>
        </w:rPr>
        <w:t>posilniť regionálne dopravné činnosti pre osobnú aj nákladnú dopravu. O</w:t>
      </w:r>
      <w:r w:rsidRPr="00083739">
        <w:rPr>
          <w:rFonts w:cs="Times New Roman"/>
          <w:noProof/>
          <w:lang w:val="sk-SK"/>
        </w:rPr>
        <w:t>čakáva sa, že toto opatrenie výrazne nenaruší environmentálne ciele</w:t>
      </w:r>
      <w:r w:rsidR="00083739" w:rsidRPr="00083739">
        <w:rPr>
          <w:rFonts w:cs="Times New Roman"/>
          <w:noProof/>
          <w:lang w:val="sk-SK"/>
        </w:rPr>
        <w:t xml:space="preserve"> v </w:t>
      </w:r>
      <w:r w:rsidRPr="00083739">
        <w:rPr>
          <w:rFonts w:cs="Times New Roman"/>
          <w:noProof/>
          <w:lang w:val="sk-SK"/>
        </w:rPr>
        <w:t>zmysle článku 17 nariadenia (EÚ) 2020/852, pričom sa zohľadní opis opatrenia</w:t>
      </w:r>
      <w:r w:rsidR="00083739" w:rsidRPr="00083739">
        <w:rPr>
          <w:rFonts w:cs="Times New Roman"/>
          <w:noProof/>
          <w:lang w:val="sk-SK"/>
        </w:rPr>
        <w:t xml:space="preserve"> a </w:t>
      </w:r>
      <w:r w:rsidRPr="00083739">
        <w:rPr>
          <w:rFonts w:cs="Times New Roman"/>
          <w:noProof/>
          <w:lang w:val="sk-SK"/>
        </w:rPr>
        <w:t>zmierňujúce kroky stanovené</w:t>
      </w:r>
      <w:r w:rsidR="00083739" w:rsidRPr="00083739">
        <w:rPr>
          <w:rFonts w:cs="Times New Roman"/>
          <w:noProof/>
          <w:lang w:val="sk-SK"/>
        </w:rPr>
        <w:t xml:space="preserve"> v </w:t>
      </w:r>
      <w:r w:rsidRPr="00083739">
        <w:rPr>
          <w:rFonts w:cs="Times New Roman"/>
          <w:noProof/>
          <w:lang w:val="sk-SK"/>
        </w:rPr>
        <w:t>pláne podpory obnovy</w:t>
      </w:r>
      <w:r w:rsidR="00083739" w:rsidRPr="00083739">
        <w:rPr>
          <w:rFonts w:cs="Times New Roman"/>
          <w:noProof/>
          <w:lang w:val="sk-SK"/>
        </w:rPr>
        <w:t xml:space="preserve"> a </w:t>
      </w:r>
      <w:r w:rsidRPr="00083739">
        <w:rPr>
          <w:rFonts w:cs="Times New Roman"/>
          <w:noProof/>
          <w:lang w:val="sk-SK"/>
        </w:rPr>
        <w:t>odolnosti</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technickým usmernením „výrazne ne</w:t>
      </w:r>
      <w:r w:rsidRPr="00083739">
        <w:rPr>
          <w:rFonts w:cs="Times New Roman"/>
          <w:noProof/>
          <w:lang w:val="sk-SK"/>
        </w:rPr>
        <w:t>narušiť“ (2021/C58/01). Opatrenie predovšetkým podlieha posudzovaniu vplyvov na životné prostredie (EIA) podľa smernice 2011/92/EÚ</w:t>
      </w:r>
      <w:r w:rsidR="00083739" w:rsidRPr="00083739">
        <w:rPr>
          <w:rFonts w:cs="Times New Roman"/>
          <w:noProof/>
          <w:lang w:val="sk-SK"/>
        </w:rPr>
        <w:t xml:space="preserve"> s </w:t>
      </w:r>
      <w:r w:rsidRPr="00083739">
        <w:rPr>
          <w:rFonts w:cs="Times New Roman"/>
          <w:noProof/>
          <w:lang w:val="sk-SK"/>
        </w:rPr>
        <w:t>cieľom zabezpečiť, aby sa do projektu začlenila zásada „výrazne nenarušiť“</w:t>
      </w:r>
      <w:r w:rsidR="00083739" w:rsidRPr="00083739">
        <w:rPr>
          <w:rFonts w:cs="Times New Roman"/>
          <w:noProof/>
          <w:lang w:val="sk-SK"/>
        </w:rPr>
        <w:t xml:space="preserve"> a </w:t>
      </w:r>
      <w:r w:rsidRPr="00083739">
        <w:rPr>
          <w:rFonts w:cs="Times New Roman"/>
          <w:noProof/>
          <w:lang w:val="sk-SK"/>
        </w:rPr>
        <w:t>aby sa dôsledne dodržiavala vo fázach výstavby</w:t>
      </w:r>
      <w:r w:rsidRPr="00083739">
        <w:rPr>
          <w:rFonts w:cs="Times New Roman"/>
          <w:noProof/>
          <w:lang w:val="sk-SK"/>
        </w:rPr>
        <w:t>, prevádzky</w:t>
      </w:r>
      <w:r w:rsidR="00083739" w:rsidRPr="00083739">
        <w:rPr>
          <w:rFonts w:cs="Times New Roman"/>
          <w:noProof/>
          <w:lang w:val="sk-SK"/>
        </w:rPr>
        <w:t xml:space="preserve"> a </w:t>
      </w:r>
      <w:r w:rsidRPr="00083739">
        <w:rPr>
          <w:rFonts w:cs="Times New Roman"/>
          <w:noProof/>
          <w:lang w:val="sk-SK"/>
        </w:rPr>
        <w:t>vyraďovania infraštruktúry</w:t>
      </w:r>
      <w:r w:rsidR="00083739" w:rsidRPr="00083739">
        <w:rPr>
          <w:rFonts w:cs="Times New Roman"/>
          <w:noProof/>
          <w:lang w:val="sk-SK"/>
        </w:rPr>
        <w:t xml:space="preserve"> z </w:t>
      </w:r>
      <w:r w:rsidRPr="00083739">
        <w:rPr>
          <w:rFonts w:cs="Times New Roman"/>
          <w:noProof/>
          <w:lang w:val="sk-SK"/>
        </w:rPr>
        <w:t>prevádzky. Implementácia časti investície financovanej</w:t>
      </w:r>
      <w:r w:rsidR="00083739" w:rsidRPr="00083739">
        <w:rPr>
          <w:rFonts w:cs="Times New Roman"/>
          <w:noProof/>
          <w:lang w:val="sk-SK"/>
        </w:rPr>
        <w:t xml:space="preserve"> z </w:t>
      </w:r>
      <w:r w:rsidRPr="00083739">
        <w:rPr>
          <w:rFonts w:cs="Times New Roman"/>
          <w:noProof/>
          <w:lang w:val="sk-SK"/>
        </w:rPr>
        <w:t>Mechanizmu na podporu obnovy</w:t>
      </w:r>
      <w:r w:rsidR="00083739" w:rsidRPr="00083739">
        <w:rPr>
          <w:rFonts w:cs="Times New Roman"/>
          <w:noProof/>
          <w:lang w:val="sk-SK"/>
        </w:rPr>
        <w:t xml:space="preserve"> a </w:t>
      </w:r>
      <w:r w:rsidRPr="00083739">
        <w:rPr>
          <w:rFonts w:cs="Times New Roman"/>
          <w:noProof/>
          <w:lang w:val="sk-SK"/>
        </w:rPr>
        <w:t>odolnosti sa dokončí do 31</w:t>
      </w:r>
      <w:r w:rsidR="00083739" w:rsidRPr="00083739">
        <w:rPr>
          <w:rFonts w:cs="Times New Roman"/>
          <w:noProof/>
          <w:lang w:val="sk-SK"/>
        </w:rPr>
        <w:t>. decembra</w:t>
      </w:r>
      <w:r w:rsidRPr="00083739">
        <w:rPr>
          <w:rFonts w:cs="Times New Roman"/>
          <w:noProof/>
          <w:lang w:val="sk-SK"/>
        </w:rPr>
        <w:t xml:space="preserve"> 2025.</w:t>
      </w:r>
    </w:p>
    <w:p w14:paraId="1A454DA8" w14:textId="477EEEBA"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Inteligentná infraštruktúra so zameraním na životné prostredie</w:t>
      </w:r>
      <w:r w:rsidR="00083739" w:rsidRPr="00083739">
        <w:rPr>
          <w:rFonts w:cs="Times New Roman"/>
          <w:noProof/>
          <w:lang w:val="sk-SK"/>
        </w:rPr>
        <w:t xml:space="preserve"> a </w:t>
      </w:r>
      <w:r w:rsidRPr="00083739">
        <w:rPr>
          <w:rFonts w:cs="Times New Roman"/>
          <w:noProof/>
          <w:lang w:val="sk-SK"/>
        </w:rPr>
        <w:t>kultú</w:t>
      </w:r>
      <w:r w:rsidRPr="00083739">
        <w:rPr>
          <w:rFonts w:cs="Times New Roman"/>
          <w:noProof/>
          <w:lang w:val="sk-SK"/>
        </w:rPr>
        <w:t>ru (ID opatrenia 16960)</w:t>
      </w:r>
    </w:p>
    <w:p w14:paraId="6FC0EFAF" w14:textId="46043C17" w:rsidR="002D49B0" w:rsidRPr="00083739" w:rsidRDefault="00BF4125">
      <w:pPr>
        <w:pStyle w:val="P68B1DB1-Normal5"/>
        <w:spacing w:before="120" w:after="120" w:line="240" w:lineRule="auto"/>
        <w:jc w:val="both"/>
        <w:rPr>
          <w:rFonts w:cs="Times New Roman"/>
          <w:noProof/>
          <w:lang w:val="sk-SK"/>
        </w:rPr>
      </w:pPr>
      <w:r w:rsidRPr="00083739">
        <w:rPr>
          <w:rFonts w:cs="Times New Roman"/>
          <w:noProof/>
          <w:lang w:val="sk-SK"/>
        </w:rPr>
        <w:t>Investícia zahŕňa tieto digitálne projekty</w:t>
      </w:r>
      <w:r w:rsidR="00083739" w:rsidRPr="00083739">
        <w:rPr>
          <w:rFonts w:cs="Times New Roman"/>
          <w:noProof/>
          <w:lang w:val="sk-SK"/>
        </w:rPr>
        <w:t xml:space="preserve"> v </w:t>
      </w:r>
      <w:r w:rsidRPr="00083739">
        <w:rPr>
          <w:rFonts w:cs="Times New Roman"/>
          <w:noProof/>
          <w:lang w:val="sk-SK"/>
        </w:rPr>
        <w:t>oblasti životného prostredia</w:t>
      </w:r>
      <w:r w:rsidR="00083739" w:rsidRPr="00083739">
        <w:rPr>
          <w:rFonts w:cs="Times New Roman"/>
          <w:noProof/>
          <w:lang w:val="sk-SK"/>
        </w:rPr>
        <w:t xml:space="preserve"> a </w:t>
      </w:r>
      <w:r w:rsidRPr="00083739">
        <w:rPr>
          <w:rFonts w:cs="Times New Roman"/>
          <w:noProof/>
          <w:lang w:val="sk-SK"/>
        </w:rPr>
        <w:t>kultúry: 1. zriadenie informačného systému na vymedzenie vodných tokov</w:t>
      </w:r>
      <w:r w:rsidR="00083739" w:rsidRPr="00083739">
        <w:rPr>
          <w:rFonts w:cs="Times New Roman"/>
          <w:noProof/>
          <w:lang w:val="sk-SK"/>
        </w:rPr>
        <w:t xml:space="preserve"> s </w:t>
      </w:r>
      <w:r w:rsidRPr="00083739">
        <w:rPr>
          <w:rFonts w:cs="Times New Roman"/>
          <w:noProof/>
          <w:lang w:val="sk-SK"/>
        </w:rPr>
        <w:t>cieľom prispieť</w:t>
      </w:r>
      <w:r w:rsidR="00083739" w:rsidRPr="00083739">
        <w:rPr>
          <w:rFonts w:cs="Times New Roman"/>
          <w:noProof/>
          <w:lang w:val="sk-SK"/>
        </w:rPr>
        <w:t xml:space="preserve"> k </w:t>
      </w:r>
      <w:r w:rsidRPr="00083739">
        <w:rPr>
          <w:rFonts w:cs="Times New Roman"/>
          <w:noProof/>
          <w:lang w:val="sk-SK"/>
        </w:rPr>
        <w:t>ochrane prírody</w:t>
      </w:r>
      <w:r w:rsidR="00083739" w:rsidRPr="00083739">
        <w:rPr>
          <w:rFonts w:cs="Times New Roman"/>
          <w:noProof/>
          <w:lang w:val="sk-SK"/>
        </w:rPr>
        <w:t xml:space="preserve"> a </w:t>
      </w:r>
      <w:r w:rsidRPr="00083739">
        <w:rPr>
          <w:rFonts w:cs="Times New Roman"/>
          <w:noProof/>
          <w:lang w:val="sk-SK"/>
        </w:rPr>
        <w:t>biodiverzity, 2) zriadenie digitálnej banky pre</w:t>
      </w:r>
      <w:r w:rsidRPr="00083739">
        <w:rPr>
          <w:rFonts w:cs="Times New Roman"/>
          <w:noProof/>
          <w:lang w:val="sk-SK"/>
        </w:rPr>
        <w:t xml:space="preserve"> transakcie týkajúce sa pomeru budov</w:t>
      </w:r>
      <w:r w:rsidR="00083739" w:rsidRPr="00083739">
        <w:rPr>
          <w:rFonts w:cs="Times New Roman"/>
          <w:noProof/>
          <w:lang w:val="sk-SK"/>
        </w:rPr>
        <w:t xml:space="preserve"> k </w:t>
      </w:r>
      <w:r w:rsidRPr="00083739">
        <w:rPr>
          <w:rFonts w:cs="Times New Roman"/>
          <w:noProof/>
          <w:lang w:val="sk-SK"/>
        </w:rPr>
        <w:t>pozemkom, 3) vypracovanie jednotnej digitálnej mapy, 4) zlepšenie vnútroštátnych systémov merania</w:t>
      </w:r>
      <w:r w:rsidR="00083739" w:rsidRPr="00083739">
        <w:rPr>
          <w:rFonts w:cs="Times New Roman"/>
          <w:noProof/>
          <w:lang w:val="sk-SK"/>
        </w:rPr>
        <w:t xml:space="preserve"> a </w:t>
      </w:r>
      <w:r w:rsidRPr="00083739">
        <w:rPr>
          <w:rFonts w:cs="Times New Roman"/>
          <w:noProof/>
          <w:lang w:val="sk-SK"/>
        </w:rPr>
        <w:t>monitorovania látok znečisťujúcich ovzdušie</w:t>
      </w:r>
      <w:r w:rsidR="00083739" w:rsidRPr="00083739">
        <w:rPr>
          <w:rFonts w:cs="Times New Roman"/>
          <w:noProof/>
          <w:lang w:val="sk-SK"/>
        </w:rPr>
        <w:t xml:space="preserve"> a </w:t>
      </w:r>
      <w:r w:rsidRPr="00083739">
        <w:rPr>
          <w:rFonts w:cs="Times New Roman"/>
          <w:noProof/>
          <w:lang w:val="sk-SK"/>
        </w:rPr>
        <w:t>znečistenia morí</w:t>
      </w:r>
      <w:r w:rsidR="00083739" w:rsidRPr="00083739">
        <w:rPr>
          <w:rFonts w:cs="Times New Roman"/>
          <w:noProof/>
          <w:lang w:val="sk-SK"/>
        </w:rPr>
        <w:t xml:space="preserve"> s </w:t>
      </w:r>
      <w:r w:rsidRPr="00083739">
        <w:rPr>
          <w:rFonts w:cs="Times New Roman"/>
          <w:noProof/>
          <w:lang w:val="sk-SK"/>
        </w:rPr>
        <w:t>cieľom prispieť</w:t>
      </w:r>
      <w:r w:rsidR="00083739" w:rsidRPr="00083739">
        <w:rPr>
          <w:rFonts w:cs="Times New Roman"/>
          <w:noProof/>
          <w:lang w:val="sk-SK"/>
        </w:rPr>
        <w:t xml:space="preserve"> k </w:t>
      </w:r>
      <w:r w:rsidRPr="00083739">
        <w:rPr>
          <w:rFonts w:cs="Times New Roman"/>
          <w:noProof/>
          <w:lang w:val="sk-SK"/>
        </w:rPr>
        <w:t>zlepšeniu kvality ovzdušia</w:t>
      </w:r>
      <w:r w:rsidR="00083739" w:rsidRPr="00083739">
        <w:rPr>
          <w:rFonts w:cs="Times New Roman"/>
          <w:noProof/>
          <w:lang w:val="sk-SK"/>
        </w:rPr>
        <w:t xml:space="preserve"> a k </w:t>
      </w:r>
      <w:r w:rsidRPr="00083739">
        <w:rPr>
          <w:rFonts w:cs="Times New Roman"/>
          <w:noProof/>
          <w:lang w:val="sk-SK"/>
        </w:rPr>
        <w:t>och</w:t>
      </w:r>
      <w:r w:rsidRPr="00083739">
        <w:rPr>
          <w:rFonts w:cs="Times New Roman"/>
          <w:noProof/>
          <w:lang w:val="sk-SK"/>
        </w:rPr>
        <w:t>rane morského prostredia, 5) zriadenie interaktívnych digitálnych služieb</w:t>
      </w:r>
      <w:r w:rsidR="00083739" w:rsidRPr="00083739">
        <w:rPr>
          <w:rFonts w:cs="Times New Roman"/>
          <w:noProof/>
          <w:lang w:val="sk-SK"/>
        </w:rPr>
        <w:t xml:space="preserve"> a </w:t>
      </w:r>
      <w:r w:rsidRPr="00083739">
        <w:rPr>
          <w:rFonts w:cs="Times New Roman"/>
          <w:noProof/>
          <w:lang w:val="sk-SK"/>
        </w:rPr>
        <w:t>produkcie digitálneho obsahu na podporu kultúrnych výstav</w:t>
      </w:r>
      <w:r w:rsidR="00083739" w:rsidRPr="00083739">
        <w:rPr>
          <w:rFonts w:cs="Times New Roman"/>
          <w:noProof/>
          <w:lang w:val="sk-SK"/>
        </w:rPr>
        <w:t xml:space="preserve"> s </w:t>
      </w:r>
      <w:r w:rsidRPr="00083739">
        <w:rPr>
          <w:rFonts w:cs="Times New Roman"/>
          <w:noProof/>
          <w:lang w:val="sk-SK"/>
        </w:rPr>
        <w:t>rozšírenou</w:t>
      </w:r>
      <w:r w:rsidR="00083739" w:rsidRPr="00083739">
        <w:rPr>
          <w:rFonts w:cs="Times New Roman"/>
          <w:noProof/>
          <w:lang w:val="sk-SK"/>
        </w:rPr>
        <w:t xml:space="preserve"> a </w:t>
      </w:r>
      <w:r w:rsidRPr="00083739">
        <w:rPr>
          <w:rFonts w:cs="Times New Roman"/>
          <w:noProof/>
          <w:lang w:val="sk-SK"/>
        </w:rPr>
        <w:t>virtuálnou realitou pre múzeá</w:t>
      </w:r>
      <w:r w:rsidR="00083739" w:rsidRPr="00083739">
        <w:rPr>
          <w:rFonts w:cs="Times New Roman"/>
          <w:noProof/>
          <w:lang w:val="sk-SK"/>
        </w:rPr>
        <w:t xml:space="preserve"> a </w:t>
      </w:r>
      <w:r w:rsidRPr="00083739">
        <w:rPr>
          <w:rFonts w:cs="Times New Roman"/>
          <w:noProof/>
          <w:lang w:val="sk-SK"/>
        </w:rPr>
        <w:t>6. sledovanie nezákonnej výstavby</w:t>
      </w:r>
      <w:r w:rsidR="00083739" w:rsidRPr="00083739">
        <w:rPr>
          <w:rFonts w:cs="Times New Roman"/>
          <w:noProof/>
          <w:lang w:val="sk-SK"/>
        </w:rPr>
        <w:t xml:space="preserve"> a </w:t>
      </w:r>
      <w:r w:rsidRPr="00083739">
        <w:rPr>
          <w:rFonts w:cs="Times New Roman"/>
          <w:noProof/>
          <w:lang w:val="sk-SK"/>
        </w:rPr>
        <w:t>výstavby. Realizácia investície sa ukon</w:t>
      </w:r>
      <w:r w:rsidRPr="00083739">
        <w:rPr>
          <w:rFonts w:cs="Times New Roman"/>
          <w:noProof/>
          <w:lang w:val="sk-SK"/>
        </w:rPr>
        <w:t>čí do 31</w:t>
      </w:r>
      <w:r w:rsidR="00083739" w:rsidRPr="00083739">
        <w:rPr>
          <w:rFonts w:cs="Times New Roman"/>
          <w:noProof/>
          <w:lang w:val="sk-SK"/>
        </w:rPr>
        <w:t>. decembra</w:t>
      </w:r>
      <w:r w:rsidRPr="00083739">
        <w:rPr>
          <w:rFonts w:cs="Times New Roman"/>
          <w:noProof/>
          <w:lang w:val="sk-SK"/>
        </w:rPr>
        <w:t xml:space="preserve"> 2025.</w:t>
      </w:r>
    </w:p>
    <w:p w14:paraId="57B7FB9E" w14:textId="7777777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Obnova prístupnosti po ničivých účinkoch búrky „DANIEL“ (opatrenie ID 16999)</w:t>
      </w:r>
    </w:p>
    <w:p w14:paraId="483CBDBB" w14:textId="1BCC69D1"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Táto investícia zahŕňa obnovu škôd na cestnej</w:t>
      </w:r>
      <w:r w:rsidR="00083739" w:rsidRPr="00083739">
        <w:rPr>
          <w:rFonts w:cs="Times New Roman"/>
          <w:noProof/>
          <w:lang w:val="sk-SK"/>
        </w:rPr>
        <w:t xml:space="preserve"> a </w:t>
      </w:r>
      <w:r w:rsidRPr="00083739">
        <w:rPr>
          <w:rFonts w:cs="Times New Roman"/>
          <w:noProof/>
          <w:lang w:val="sk-SK"/>
        </w:rPr>
        <w:t>železničnej sieti</w:t>
      </w:r>
      <w:r w:rsidR="00083739" w:rsidRPr="00083739">
        <w:rPr>
          <w:rFonts w:cs="Times New Roman"/>
          <w:noProof/>
          <w:lang w:val="sk-SK"/>
        </w:rPr>
        <w:t xml:space="preserve"> a </w:t>
      </w:r>
      <w:r w:rsidRPr="00083739">
        <w:rPr>
          <w:rFonts w:cs="Times New Roman"/>
          <w:noProof/>
          <w:lang w:val="sk-SK"/>
        </w:rPr>
        <w:t>sprievodné technické práce</w:t>
      </w:r>
      <w:r w:rsidR="00083739" w:rsidRPr="00083739">
        <w:rPr>
          <w:rFonts w:cs="Times New Roman"/>
          <w:noProof/>
          <w:lang w:val="sk-SK"/>
        </w:rPr>
        <w:t xml:space="preserve"> v </w:t>
      </w:r>
      <w:r w:rsidRPr="00083739">
        <w:rPr>
          <w:rFonts w:cs="Times New Roman"/>
          <w:noProof/>
          <w:lang w:val="sk-SK"/>
        </w:rPr>
        <w:t>oblastiach postihnutých búrkou „DANIEL“ pri s</w:t>
      </w:r>
      <w:r w:rsidRPr="00083739">
        <w:rPr>
          <w:rFonts w:cs="Times New Roman"/>
          <w:noProof/>
          <w:lang w:val="sk-SK"/>
        </w:rPr>
        <w:t>účasnom zabezpečení funkčnosti, bezpečnosti</w:t>
      </w:r>
      <w:r w:rsidR="00083739" w:rsidRPr="00083739">
        <w:rPr>
          <w:rFonts w:cs="Times New Roman"/>
          <w:noProof/>
          <w:lang w:val="sk-SK"/>
        </w:rPr>
        <w:t xml:space="preserve"> a </w:t>
      </w:r>
      <w:r w:rsidRPr="00083739">
        <w:rPr>
          <w:rFonts w:cs="Times New Roman"/>
          <w:noProof/>
          <w:lang w:val="sk-SK"/>
        </w:rPr>
        <w:t>odolnosti proti zmene klímy. Investícia pozostáva</w:t>
      </w:r>
      <w:r w:rsidR="00083739" w:rsidRPr="00083739">
        <w:rPr>
          <w:rFonts w:cs="Times New Roman"/>
          <w:noProof/>
          <w:lang w:val="sk-SK"/>
        </w:rPr>
        <w:t xml:space="preserve"> z </w:t>
      </w:r>
      <w:r w:rsidRPr="00083739">
        <w:rPr>
          <w:rFonts w:cs="Times New Roman"/>
          <w:noProof/>
          <w:lang w:val="sk-SK"/>
        </w:rPr>
        <w:t>dvoch čiastkových projektov:</w:t>
      </w:r>
    </w:p>
    <w:p w14:paraId="5D4786E6" w14:textId="77777777" w:rsidR="002D49B0" w:rsidRPr="00083739" w:rsidRDefault="00BF4125">
      <w:pPr>
        <w:pStyle w:val="P68B1DB1-ListParagraph19"/>
        <w:numPr>
          <w:ilvl w:val="0"/>
          <w:numId w:val="83"/>
        </w:numPr>
        <w:spacing w:before="120" w:after="120" w:line="240" w:lineRule="auto"/>
        <w:jc w:val="both"/>
        <w:rPr>
          <w:rFonts w:cs="Times New Roman"/>
          <w:noProof/>
          <w:lang w:val="sk-SK"/>
        </w:rPr>
      </w:pPr>
      <w:r w:rsidRPr="00083739">
        <w:rPr>
          <w:rFonts w:cs="Times New Roman"/>
          <w:noProof/>
          <w:lang w:val="sk-SK"/>
        </w:rPr>
        <w:t>Obnova cestnej siete</w:t>
      </w:r>
    </w:p>
    <w:p w14:paraId="1C0F08D6" w14:textId="459C997E"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Rehabilitačné zásahy na 200 miestach regionálnej cestnej siete</w:t>
      </w:r>
      <w:r w:rsidR="00083739" w:rsidRPr="00083739">
        <w:rPr>
          <w:rFonts w:cs="Times New Roman"/>
          <w:noProof/>
          <w:lang w:val="sk-SK"/>
        </w:rPr>
        <w:t xml:space="preserve"> v </w:t>
      </w:r>
      <w:r w:rsidRPr="00083739">
        <w:rPr>
          <w:rFonts w:cs="Times New Roman"/>
          <w:noProof/>
          <w:lang w:val="sk-SK"/>
        </w:rPr>
        <w:t>prefektúrach Larissa, Magnesia, Trikala, Ka</w:t>
      </w:r>
      <w:r w:rsidRPr="00083739">
        <w:rPr>
          <w:rFonts w:cs="Times New Roman"/>
          <w:noProof/>
          <w:lang w:val="sk-SK"/>
        </w:rPr>
        <w:t>rditsa, Fthiotida</w:t>
      </w:r>
      <w:r w:rsidR="00083739" w:rsidRPr="00083739">
        <w:rPr>
          <w:rFonts w:cs="Times New Roman"/>
          <w:noProof/>
          <w:lang w:val="sk-SK"/>
        </w:rPr>
        <w:t xml:space="preserve"> a </w:t>
      </w:r>
      <w:r w:rsidRPr="00083739">
        <w:rPr>
          <w:rFonts w:cs="Times New Roman"/>
          <w:noProof/>
          <w:lang w:val="sk-SK"/>
        </w:rPr>
        <w:t>Evia, ktoré zahŕňajú sprievodné technické práce na mostoch, ktoré utrpeli škodu na svojich konštrukciách</w:t>
      </w:r>
      <w:r w:rsidR="00083739" w:rsidRPr="00083739">
        <w:rPr>
          <w:rFonts w:cs="Times New Roman"/>
          <w:noProof/>
          <w:lang w:val="sk-SK"/>
        </w:rPr>
        <w:t xml:space="preserve"> a </w:t>
      </w:r>
      <w:r w:rsidRPr="00083739">
        <w:rPr>
          <w:rFonts w:cs="Times New Roman"/>
          <w:noProof/>
          <w:lang w:val="sk-SK"/>
        </w:rPr>
        <w:t>ktoré je potrebné opraviť.</w:t>
      </w:r>
    </w:p>
    <w:p w14:paraId="480E53E7" w14:textId="77777777" w:rsidR="002D49B0" w:rsidRPr="00083739" w:rsidRDefault="00BF4125">
      <w:pPr>
        <w:pStyle w:val="P68B1DB1-Normal4"/>
        <w:rPr>
          <w:rFonts w:cs="Times New Roman"/>
          <w:noProof/>
          <w:lang w:val="sk-SK"/>
        </w:rPr>
      </w:pPr>
      <w:r w:rsidRPr="00083739">
        <w:rPr>
          <w:rFonts w:cs="Times New Roman"/>
          <w:noProof/>
          <w:lang w:val="sk-SK"/>
        </w:rPr>
        <w:br w:type="page"/>
      </w:r>
    </w:p>
    <w:p w14:paraId="07D2C712" w14:textId="77777777" w:rsidR="002D49B0" w:rsidRPr="00083739" w:rsidRDefault="00BF4125">
      <w:pPr>
        <w:pStyle w:val="P68B1DB1-ListParagraph19"/>
        <w:numPr>
          <w:ilvl w:val="0"/>
          <w:numId w:val="83"/>
        </w:numPr>
        <w:spacing w:before="120" w:after="120" w:line="240" w:lineRule="auto"/>
        <w:jc w:val="both"/>
        <w:rPr>
          <w:rFonts w:cs="Times New Roman"/>
          <w:noProof/>
          <w:lang w:val="sk-SK"/>
        </w:rPr>
      </w:pPr>
      <w:r w:rsidRPr="00083739">
        <w:rPr>
          <w:rFonts w:cs="Times New Roman"/>
          <w:noProof/>
          <w:lang w:val="sk-SK"/>
        </w:rPr>
        <w:t>Obnova železničnej siete</w:t>
      </w:r>
    </w:p>
    <w:p w14:paraId="0C9DCF06" w14:textId="0F819107" w:rsidR="00083739" w:rsidRPr="00083739" w:rsidRDefault="00BF4125">
      <w:pPr>
        <w:pStyle w:val="P68B1DB1-Normal5"/>
        <w:spacing w:before="120" w:after="120" w:line="240" w:lineRule="auto"/>
        <w:jc w:val="both"/>
        <w:rPr>
          <w:rFonts w:cs="Times New Roman"/>
          <w:noProof/>
          <w:lang w:val="sk-SK"/>
        </w:rPr>
      </w:pPr>
      <w:r w:rsidRPr="00083739">
        <w:rPr>
          <w:rFonts w:cs="Times New Roman"/>
          <w:noProof/>
          <w:lang w:val="sk-SK"/>
        </w:rPr>
        <w:t>Obnova železničnej siete na úsekoch od Domokosu po Krannona</w:t>
      </w:r>
      <w:r w:rsidRPr="00083739">
        <w:rPr>
          <w:rFonts w:cs="Times New Roman"/>
          <w:noProof/>
          <w:lang w:val="sk-SK"/>
        </w:rPr>
        <w:t xml:space="preserve"> hlavnej osi Atény – Solún</w:t>
      </w:r>
      <w:r w:rsidR="00083739" w:rsidRPr="00083739">
        <w:rPr>
          <w:rFonts w:cs="Times New Roman"/>
          <w:noProof/>
          <w:lang w:val="sk-SK"/>
        </w:rPr>
        <w:t xml:space="preserve"> a v </w:t>
      </w:r>
      <w:r w:rsidRPr="00083739">
        <w:rPr>
          <w:rFonts w:cs="Times New Roman"/>
          <w:noProof/>
          <w:lang w:val="sk-SK"/>
        </w:rPr>
        <w:t>dvoch ďalších osiach (trasa Palofarsalos – Kalambaka</w:t>
      </w:r>
      <w:r w:rsidR="00083739" w:rsidRPr="00083739">
        <w:rPr>
          <w:rFonts w:cs="Times New Roman"/>
          <w:noProof/>
          <w:lang w:val="sk-SK"/>
        </w:rPr>
        <w:t xml:space="preserve"> a </w:t>
      </w:r>
      <w:r w:rsidRPr="00083739">
        <w:rPr>
          <w:rFonts w:cs="Times New Roman"/>
          <w:noProof/>
          <w:lang w:val="sk-SK"/>
        </w:rPr>
        <w:t>Pelion) vrátane</w:t>
      </w:r>
      <w:r w:rsidRPr="00083739">
        <w:rPr>
          <w:rFonts w:cs="Times New Roman"/>
          <w:noProof/>
          <w:color w:val="2B579A"/>
          <w:lang w:val="sk-SK"/>
        </w:rPr>
        <w:t xml:space="preserve"> </w:t>
      </w:r>
      <w:r w:rsidRPr="00083739">
        <w:rPr>
          <w:rFonts w:cs="Times New Roman"/>
          <w:noProof/>
          <w:lang w:val="sk-SK"/>
        </w:rPr>
        <w:t>opravy poškodených železničných tratí, sprievodných technických prác na mostoch, ktoré utrpeli škody,</w:t>
      </w:r>
      <w:r w:rsidR="00083739" w:rsidRPr="00083739">
        <w:rPr>
          <w:rFonts w:cs="Times New Roman"/>
          <w:noProof/>
          <w:lang w:val="sk-SK"/>
        </w:rPr>
        <w:t xml:space="preserve"> a </w:t>
      </w:r>
      <w:r w:rsidRPr="00083739">
        <w:rPr>
          <w:rFonts w:cs="Times New Roman"/>
          <w:noProof/>
          <w:lang w:val="sk-SK"/>
        </w:rPr>
        <w:t>opravy</w:t>
      </w:r>
      <w:r w:rsidR="00083739" w:rsidRPr="00083739">
        <w:rPr>
          <w:rFonts w:cs="Times New Roman"/>
          <w:noProof/>
          <w:lang w:val="sk-SK"/>
        </w:rPr>
        <w:t xml:space="preserve"> a </w:t>
      </w:r>
      <w:r w:rsidRPr="00083739">
        <w:rPr>
          <w:rFonts w:cs="Times New Roman"/>
          <w:noProof/>
          <w:lang w:val="sk-SK"/>
        </w:rPr>
        <w:t>obnovy železničnej siete</w:t>
      </w:r>
      <w:r w:rsidR="00083739" w:rsidRPr="00083739">
        <w:rPr>
          <w:rFonts w:cs="Times New Roman"/>
          <w:noProof/>
          <w:lang w:val="sk-SK"/>
        </w:rPr>
        <w:t xml:space="preserve"> v </w:t>
      </w:r>
      <w:r w:rsidRPr="00083739">
        <w:rPr>
          <w:rFonts w:cs="Times New Roman"/>
          <w:noProof/>
          <w:lang w:val="sk-SK"/>
        </w:rPr>
        <w:t>staniciach</w:t>
      </w:r>
      <w:r w:rsidR="00083739" w:rsidRPr="00083739">
        <w:rPr>
          <w:rFonts w:cs="Times New Roman"/>
          <w:noProof/>
          <w:lang w:val="sk-SK"/>
        </w:rPr>
        <w:t>.</w:t>
      </w:r>
    </w:p>
    <w:p w14:paraId="51FF52BE" w14:textId="13B2D607" w:rsidR="00083739"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Vy</w:t>
      </w:r>
      <w:r w:rsidRPr="00083739">
        <w:rPr>
          <w:rFonts w:cs="Times New Roman"/>
          <w:noProof/>
          <w:lang w:val="sk-SK"/>
        </w:rPr>
        <w:t>pracuje sa plán obstarávania investícií do bezpečnosti železníc podporovaných</w:t>
      </w:r>
      <w:r w:rsidR="00083739" w:rsidRPr="00083739">
        <w:rPr>
          <w:rFonts w:cs="Times New Roman"/>
          <w:noProof/>
          <w:lang w:val="sk-SK"/>
        </w:rPr>
        <w:t xml:space="preserve"> v </w:t>
      </w:r>
      <w:r w:rsidRPr="00083739">
        <w:rPr>
          <w:rFonts w:cs="Times New Roman"/>
          <w:noProof/>
          <w:lang w:val="sk-SK"/>
        </w:rPr>
        <w:t>rámci politiky súdržnosti EÚ</w:t>
      </w:r>
      <w:r w:rsidR="00083739" w:rsidRPr="00083739">
        <w:rPr>
          <w:rFonts w:cs="Times New Roman"/>
          <w:noProof/>
          <w:lang w:val="sk-SK"/>
        </w:rPr>
        <w:t xml:space="preserve"> a </w:t>
      </w:r>
      <w:r w:rsidRPr="00083739">
        <w:rPr>
          <w:rFonts w:cs="Times New Roman"/>
          <w:noProof/>
          <w:lang w:val="sk-SK"/>
        </w:rPr>
        <w:t>pravidelnej údržby, ktoré, hoci sa nevykonávajú</w:t>
      </w:r>
      <w:r w:rsidR="00083739" w:rsidRPr="00083739">
        <w:rPr>
          <w:rFonts w:cs="Times New Roman"/>
          <w:noProof/>
          <w:lang w:val="sk-SK"/>
        </w:rPr>
        <w:t xml:space="preserve"> s </w:t>
      </w:r>
      <w:r w:rsidRPr="00083739">
        <w:rPr>
          <w:rFonts w:cs="Times New Roman"/>
          <w:noProof/>
          <w:lang w:val="sk-SK"/>
        </w:rPr>
        <w:t>podporou Mechanizmu na podporu obnovy</w:t>
      </w:r>
      <w:r w:rsidR="00083739" w:rsidRPr="00083739">
        <w:rPr>
          <w:rFonts w:cs="Times New Roman"/>
          <w:noProof/>
          <w:lang w:val="sk-SK"/>
        </w:rPr>
        <w:t xml:space="preserve"> a </w:t>
      </w:r>
      <w:r w:rsidRPr="00083739">
        <w:rPr>
          <w:rFonts w:cs="Times New Roman"/>
          <w:noProof/>
          <w:lang w:val="sk-SK"/>
        </w:rPr>
        <w:t>odolnosti, sú potrebné na obnovenie bezpečnej prevádzky</w:t>
      </w:r>
      <w:r w:rsidRPr="00083739">
        <w:rPr>
          <w:rFonts w:cs="Times New Roman"/>
          <w:noProof/>
          <w:lang w:val="sk-SK"/>
        </w:rPr>
        <w:t xml:space="preserve"> železničnej siete</w:t>
      </w:r>
      <w:r w:rsidR="00083739" w:rsidRPr="00083739">
        <w:rPr>
          <w:rFonts w:cs="Times New Roman"/>
          <w:noProof/>
          <w:lang w:val="sk-SK"/>
        </w:rPr>
        <w:t>.</w:t>
      </w:r>
    </w:p>
    <w:p w14:paraId="6B9E73A5" w14:textId="38EFA773" w:rsidR="002D49B0" w:rsidRPr="00083739" w:rsidRDefault="00BF4125">
      <w:pPr>
        <w:pStyle w:val="P68B1DB1-Normal5"/>
        <w:spacing w:before="120" w:after="120" w:line="240" w:lineRule="auto"/>
        <w:jc w:val="both"/>
        <w:rPr>
          <w:rFonts w:cs="Times New Roman"/>
          <w:noProof/>
          <w:lang w:val="sk-SK"/>
        </w:rPr>
      </w:pPr>
      <w:r w:rsidRPr="00083739">
        <w:rPr>
          <w:rFonts w:cs="Times New Roman"/>
          <w:noProof/>
          <w:color w:val="000000" w:themeColor="text1"/>
          <w:lang w:val="sk-SK"/>
        </w:rPr>
        <w:t>Očakáva sa, že toto opatrenie výrazne nenaruší environmentálne ciele</w:t>
      </w:r>
      <w:r w:rsidR="00083739" w:rsidRPr="00083739">
        <w:rPr>
          <w:rFonts w:cs="Times New Roman"/>
          <w:noProof/>
          <w:color w:val="000000" w:themeColor="text1"/>
          <w:lang w:val="sk-SK"/>
        </w:rPr>
        <w:t xml:space="preserve"> v </w:t>
      </w:r>
      <w:r w:rsidRPr="00083739">
        <w:rPr>
          <w:rFonts w:cs="Times New Roman"/>
          <w:noProof/>
          <w:color w:val="000000" w:themeColor="text1"/>
          <w:lang w:val="sk-SK"/>
        </w:rPr>
        <w:t>zmysle článku 17 nariadenia (EÚ) 2020/852, pričom sa zohľadní opis opatrenia</w:t>
      </w:r>
      <w:r w:rsidR="00083739" w:rsidRPr="00083739">
        <w:rPr>
          <w:rFonts w:cs="Times New Roman"/>
          <w:noProof/>
          <w:color w:val="000000" w:themeColor="text1"/>
          <w:lang w:val="sk-SK"/>
        </w:rPr>
        <w:t xml:space="preserve"> a </w:t>
      </w:r>
      <w:r w:rsidRPr="00083739">
        <w:rPr>
          <w:rFonts w:cs="Times New Roman"/>
          <w:noProof/>
          <w:color w:val="000000" w:themeColor="text1"/>
          <w:lang w:val="sk-SK"/>
        </w:rPr>
        <w:t>zmierňujúce kroky stanovené</w:t>
      </w:r>
      <w:r w:rsidR="00083739" w:rsidRPr="00083739">
        <w:rPr>
          <w:rFonts w:cs="Times New Roman"/>
          <w:noProof/>
          <w:color w:val="000000" w:themeColor="text1"/>
          <w:lang w:val="sk-SK"/>
        </w:rPr>
        <w:t xml:space="preserve"> v </w:t>
      </w:r>
      <w:r w:rsidRPr="00083739">
        <w:rPr>
          <w:rFonts w:cs="Times New Roman"/>
          <w:noProof/>
          <w:color w:val="000000" w:themeColor="text1"/>
          <w:lang w:val="sk-SK"/>
        </w:rPr>
        <w:t>pláne podpory obnovy</w:t>
      </w:r>
      <w:r w:rsidR="00083739" w:rsidRPr="00083739">
        <w:rPr>
          <w:rFonts w:cs="Times New Roman"/>
          <w:noProof/>
          <w:color w:val="000000" w:themeColor="text1"/>
          <w:lang w:val="sk-SK"/>
        </w:rPr>
        <w:t xml:space="preserve"> a </w:t>
      </w:r>
      <w:r w:rsidRPr="00083739">
        <w:rPr>
          <w:rFonts w:cs="Times New Roman"/>
          <w:noProof/>
          <w:color w:val="000000" w:themeColor="text1"/>
          <w:lang w:val="sk-SK"/>
        </w:rPr>
        <w:t>odolnosti</w:t>
      </w:r>
      <w:r w:rsidR="00083739" w:rsidRPr="00083739">
        <w:rPr>
          <w:rFonts w:cs="Times New Roman"/>
          <w:noProof/>
          <w:color w:val="000000" w:themeColor="text1"/>
          <w:lang w:val="sk-SK"/>
        </w:rPr>
        <w:t xml:space="preserve"> v </w:t>
      </w:r>
      <w:r w:rsidRPr="00083739">
        <w:rPr>
          <w:rFonts w:cs="Times New Roman"/>
          <w:noProof/>
          <w:color w:val="000000" w:themeColor="text1"/>
          <w:lang w:val="sk-SK"/>
        </w:rPr>
        <w:t>súlade</w:t>
      </w:r>
      <w:r w:rsidR="00083739" w:rsidRPr="00083739">
        <w:rPr>
          <w:rFonts w:cs="Times New Roman"/>
          <w:noProof/>
          <w:color w:val="000000" w:themeColor="text1"/>
          <w:lang w:val="sk-SK"/>
        </w:rPr>
        <w:t xml:space="preserve"> s </w:t>
      </w:r>
      <w:r w:rsidRPr="00083739">
        <w:rPr>
          <w:rFonts w:cs="Times New Roman"/>
          <w:noProof/>
          <w:color w:val="000000" w:themeColor="text1"/>
          <w:lang w:val="sk-SK"/>
        </w:rPr>
        <w:t>technickým u</w:t>
      </w:r>
      <w:r w:rsidRPr="00083739">
        <w:rPr>
          <w:rFonts w:cs="Times New Roman"/>
          <w:noProof/>
          <w:color w:val="000000" w:themeColor="text1"/>
          <w:lang w:val="sk-SK"/>
        </w:rPr>
        <w:t xml:space="preserve">smernením „výrazne nenarušiť“ (2021/C58/01). </w:t>
      </w:r>
      <w:r w:rsidRPr="00083739">
        <w:rPr>
          <w:rFonts w:cs="Times New Roman"/>
          <w:noProof/>
          <w:lang w:val="sk-SK"/>
        </w:rPr>
        <w:t>Realizácia investície sa ukončí do 31</w:t>
      </w:r>
      <w:r w:rsidR="00083739" w:rsidRPr="00083739">
        <w:rPr>
          <w:rFonts w:cs="Times New Roman"/>
          <w:noProof/>
          <w:lang w:val="sk-SK"/>
        </w:rPr>
        <w:t>. decembra</w:t>
      </w:r>
      <w:r w:rsidRPr="00083739">
        <w:rPr>
          <w:rFonts w:cs="Times New Roman"/>
          <w:noProof/>
          <w:lang w:val="sk-SK"/>
        </w:rPr>
        <w:t xml:space="preserve"> 2025.</w:t>
      </w:r>
    </w:p>
    <w:p w14:paraId="38C77FCC" w14:textId="7777777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Modernizácia prímestskej železničnej trate Západnej Atika (ID opatrenia 16892)</w:t>
      </w:r>
    </w:p>
    <w:p w14:paraId="587E7C84" w14:textId="25B9B530" w:rsidR="002D49B0" w:rsidRPr="00083739" w:rsidRDefault="00BF4125">
      <w:pPr>
        <w:pStyle w:val="P68B1DB1-Normal5"/>
        <w:spacing w:before="120" w:after="120" w:line="240" w:lineRule="auto"/>
        <w:jc w:val="both"/>
        <w:rPr>
          <w:rFonts w:cs="Times New Roman"/>
          <w:noProof/>
          <w:lang w:val="sk-SK"/>
        </w:rPr>
      </w:pPr>
      <w:r w:rsidRPr="00083739">
        <w:rPr>
          <w:rFonts w:cs="Times New Roman"/>
          <w:noProof/>
          <w:lang w:val="sk-SK"/>
        </w:rPr>
        <w:t>Táto investícia zahŕňa výstavbu časti predmestskej železničnej pob</w:t>
      </w:r>
      <w:r w:rsidRPr="00083739">
        <w:rPr>
          <w:rFonts w:cs="Times New Roman"/>
          <w:noProof/>
          <w:lang w:val="sk-SK"/>
        </w:rPr>
        <w:t>očky západne od Atén, od Ano Liossia po začiatok úseku</w:t>
      </w:r>
      <w:r w:rsidR="00083739" w:rsidRPr="00083739">
        <w:rPr>
          <w:rFonts w:cs="Times New Roman"/>
          <w:noProof/>
          <w:lang w:val="sk-SK"/>
        </w:rPr>
        <w:t xml:space="preserve"> v </w:t>
      </w:r>
      <w:r w:rsidRPr="00083739">
        <w:rPr>
          <w:rFonts w:cs="Times New Roman"/>
          <w:noProof/>
          <w:lang w:val="sk-SK"/>
        </w:rPr>
        <w:t>ELPE Elefsina</w:t>
      </w:r>
      <w:r w:rsidR="00083739" w:rsidRPr="00083739">
        <w:rPr>
          <w:rFonts w:cs="Times New Roman"/>
          <w:noProof/>
          <w:lang w:val="sk-SK"/>
        </w:rPr>
        <w:t xml:space="preserve"> a </w:t>
      </w:r>
      <w:r w:rsidRPr="00083739">
        <w:rPr>
          <w:rFonts w:cs="Times New Roman"/>
          <w:noProof/>
          <w:lang w:val="sk-SK"/>
        </w:rPr>
        <w:t>od konca úseku ELPE Elefsina po novú stanicu Megara. Cieľom rozšírenia železničnej dopravy je prispieť</w:t>
      </w:r>
      <w:r w:rsidR="00083739" w:rsidRPr="00083739">
        <w:rPr>
          <w:rFonts w:cs="Times New Roman"/>
          <w:noProof/>
          <w:lang w:val="sk-SK"/>
        </w:rPr>
        <w:t xml:space="preserve"> k </w:t>
      </w:r>
      <w:r w:rsidRPr="00083739">
        <w:rPr>
          <w:rFonts w:cs="Times New Roman"/>
          <w:noProof/>
          <w:lang w:val="sk-SK"/>
        </w:rPr>
        <w:t>hospodárskej, sociálnej</w:t>
      </w:r>
      <w:r w:rsidR="00083739" w:rsidRPr="00083739">
        <w:rPr>
          <w:rFonts w:cs="Times New Roman"/>
          <w:noProof/>
          <w:lang w:val="sk-SK"/>
        </w:rPr>
        <w:t xml:space="preserve"> a </w:t>
      </w:r>
      <w:r w:rsidRPr="00083739">
        <w:rPr>
          <w:rFonts w:cs="Times New Roman"/>
          <w:noProof/>
          <w:lang w:val="sk-SK"/>
        </w:rPr>
        <w:t>územnej súdržnosti</w:t>
      </w:r>
      <w:r w:rsidR="00083739" w:rsidRPr="00083739">
        <w:rPr>
          <w:rFonts w:cs="Times New Roman"/>
          <w:noProof/>
          <w:lang w:val="sk-SK"/>
        </w:rPr>
        <w:t xml:space="preserve"> a </w:t>
      </w:r>
      <w:r w:rsidRPr="00083739">
        <w:rPr>
          <w:rFonts w:cs="Times New Roman"/>
          <w:noProof/>
          <w:lang w:val="sk-SK"/>
        </w:rPr>
        <w:t>podporiť prepojenosť</w:t>
      </w:r>
      <w:r w:rsidR="00083739" w:rsidRPr="00083739">
        <w:rPr>
          <w:rFonts w:cs="Times New Roman"/>
          <w:noProof/>
          <w:lang w:val="sk-SK"/>
        </w:rPr>
        <w:t xml:space="preserve"> v </w:t>
      </w:r>
      <w:r w:rsidRPr="00083739">
        <w:rPr>
          <w:rFonts w:cs="Times New Roman"/>
          <w:noProof/>
          <w:lang w:val="sk-SK"/>
        </w:rPr>
        <w:t>oblasti,</w:t>
      </w:r>
      <w:r w:rsidR="00083739" w:rsidRPr="00083739">
        <w:rPr>
          <w:rFonts w:cs="Times New Roman"/>
          <w:noProof/>
          <w:lang w:val="sk-SK"/>
        </w:rPr>
        <w:t xml:space="preserve"> v </w:t>
      </w:r>
      <w:r w:rsidRPr="00083739">
        <w:rPr>
          <w:rFonts w:cs="Times New Roman"/>
          <w:noProof/>
          <w:lang w:val="sk-SK"/>
        </w:rPr>
        <w:t>ktorej má odvetvie logistiky značný potenciál. Očakáva sa, že toto opatrenie výrazne nenaruší environmentálne ciele</w:t>
      </w:r>
      <w:r w:rsidR="00083739" w:rsidRPr="00083739">
        <w:rPr>
          <w:rFonts w:cs="Times New Roman"/>
          <w:noProof/>
          <w:lang w:val="sk-SK"/>
        </w:rPr>
        <w:t xml:space="preserve"> v </w:t>
      </w:r>
      <w:r w:rsidRPr="00083739">
        <w:rPr>
          <w:rFonts w:cs="Times New Roman"/>
          <w:noProof/>
          <w:lang w:val="sk-SK"/>
        </w:rPr>
        <w:t>zmysle článku 17 nariadenia (EÚ) 2020/852, pričom sa zohľadní opis opatrenia</w:t>
      </w:r>
      <w:r w:rsidR="00083739" w:rsidRPr="00083739">
        <w:rPr>
          <w:rFonts w:cs="Times New Roman"/>
          <w:noProof/>
          <w:lang w:val="sk-SK"/>
        </w:rPr>
        <w:t xml:space="preserve"> a </w:t>
      </w:r>
      <w:r w:rsidRPr="00083739">
        <w:rPr>
          <w:rFonts w:cs="Times New Roman"/>
          <w:noProof/>
          <w:lang w:val="sk-SK"/>
        </w:rPr>
        <w:t>zmierňujúce kroky stanovené</w:t>
      </w:r>
      <w:r w:rsidR="00083739" w:rsidRPr="00083739">
        <w:rPr>
          <w:rFonts w:cs="Times New Roman"/>
          <w:noProof/>
          <w:lang w:val="sk-SK"/>
        </w:rPr>
        <w:t xml:space="preserve"> v </w:t>
      </w:r>
      <w:r w:rsidRPr="00083739">
        <w:rPr>
          <w:rFonts w:cs="Times New Roman"/>
          <w:noProof/>
          <w:lang w:val="sk-SK"/>
        </w:rPr>
        <w:t>pláne podpory obnovy</w:t>
      </w:r>
      <w:r w:rsidR="00083739" w:rsidRPr="00083739">
        <w:rPr>
          <w:rFonts w:cs="Times New Roman"/>
          <w:noProof/>
          <w:lang w:val="sk-SK"/>
        </w:rPr>
        <w:t xml:space="preserve"> a </w:t>
      </w:r>
      <w:r w:rsidRPr="00083739">
        <w:rPr>
          <w:rFonts w:cs="Times New Roman"/>
          <w:noProof/>
          <w:lang w:val="sk-SK"/>
        </w:rPr>
        <w:t>odo</w:t>
      </w:r>
      <w:r w:rsidRPr="00083739">
        <w:rPr>
          <w:rFonts w:cs="Times New Roman"/>
          <w:noProof/>
          <w:lang w:val="sk-SK"/>
        </w:rPr>
        <w:t>lnosti</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technickým usmernením „výrazne nenarušiť“ (2021/C58/01). Opatrenie predovšetkým podlieha posudzovaniu vplyvov na životné prostredie (EIA) podľa smernice 2011/92/EÚ</w:t>
      </w:r>
      <w:r w:rsidR="00083739" w:rsidRPr="00083739">
        <w:rPr>
          <w:rFonts w:cs="Times New Roman"/>
          <w:noProof/>
          <w:lang w:val="sk-SK"/>
        </w:rPr>
        <w:t xml:space="preserve"> s </w:t>
      </w:r>
      <w:r w:rsidRPr="00083739">
        <w:rPr>
          <w:rFonts w:cs="Times New Roman"/>
          <w:noProof/>
          <w:lang w:val="sk-SK"/>
        </w:rPr>
        <w:t>cieľom zabezpečiť, aby sa do projektu začlenila zásada „výrazne nenaruši</w:t>
      </w:r>
      <w:r w:rsidRPr="00083739">
        <w:rPr>
          <w:rFonts w:cs="Times New Roman"/>
          <w:noProof/>
          <w:lang w:val="sk-SK"/>
        </w:rPr>
        <w:t>ť“</w:t>
      </w:r>
      <w:r w:rsidR="00083739" w:rsidRPr="00083739">
        <w:rPr>
          <w:rFonts w:cs="Times New Roman"/>
          <w:noProof/>
          <w:lang w:val="sk-SK"/>
        </w:rPr>
        <w:t xml:space="preserve"> a </w:t>
      </w:r>
      <w:r w:rsidRPr="00083739">
        <w:rPr>
          <w:rFonts w:cs="Times New Roman"/>
          <w:noProof/>
          <w:lang w:val="sk-SK"/>
        </w:rPr>
        <w:t>aby sa dôsledne dodržiavala vo fázach výstavby, prevádzky</w:t>
      </w:r>
      <w:r w:rsidR="00083739" w:rsidRPr="00083739">
        <w:rPr>
          <w:rFonts w:cs="Times New Roman"/>
          <w:noProof/>
          <w:lang w:val="sk-SK"/>
        </w:rPr>
        <w:t xml:space="preserve"> a </w:t>
      </w:r>
      <w:r w:rsidRPr="00083739">
        <w:rPr>
          <w:rFonts w:cs="Times New Roman"/>
          <w:noProof/>
          <w:lang w:val="sk-SK"/>
        </w:rPr>
        <w:t>vyraďovania infraštruktúry</w:t>
      </w:r>
      <w:r w:rsidR="00083739" w:rsidRPr="00083739">
        <w:rPr>
          <w:rFonts w:cs="Times New Roman"/>
          <w:noProof/>
          <w:lang w:val="sk-SK"/>
        </w:rPr>
        <w:t xml:space="preserve"> z </w:t>
      </w:r>
      <w:r w:rsidRPr="00083739">
        <w:rPr>
          <w:rFonts w:cs="Times New Roman"/>
          <w:noProof/>
          <w:lang w:val="sk-SK"/>
        </w:rPr>
        <w:t>prevádzky. Realizácia investície sa ukončí do 31</w:t>
      </w:r>
      <w:r w:rsidR="00083739" w:rsidRPr="00083739">
        <w:rPr>
          <w:rFonts w:cs="Times New Roman"/>
          <w:noProof/>
          <w:lang w:val="sk-SK"/>
        </w:rPr>
        <w:t>. decembra</w:t>
      </w:r>
      <w:r w:rsidRPr="00083739">
        <w:rPr>
          <w:rFonts w:cs="Times New Roman"/>
          <w:noProof/>
          <w:lang w:val="sk-SK"/>
        </w:rPr>
        <w:t xml:space="preserve"> 2025.</w:t>
      </w:r>
    </w:p>
    <w:p w14:paraId="077BB1C4" w14:textId="7777777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Vykonávanie prác agentúry EASA na nápravu súladu (ID opatrenia 16833)</w:t>
      </w:r>
    </w:p>
    <w:p w14:paraId="2F5F6F91" w14:textId="369D20AB" w:rsidR="002D49B0" w:rsidRPr="00083739" w:rsidRDefault="00BF4125">
      <w:pPr>
        <w:pStyle w:val="P68B1DB1-Normal5"/>
        <w:spacing w:before="120" w:after="120" w:line="240" w:lineRule="auto"/>
        <w:jc w:val="both"/>
        <w:rPr>
          <w:rFonts w:cs="Times New Roman"/>
          <w:noProof/>
          <w:lang w:val="sk-SK"/>
        </w:rPr>
      </w:pPr>
      <w:r w:rsidRPr="00083739">
        <w:rPr>
          <w:rFonts w:cs="Times New Roman"/>
          <w:noProof/>
          <w:lang w:val="sk-SK"/>
        </w:rPr>
        <w:t>Táto investícia</w:t>
      </w:r>
      <w:r w:rsidRPr="00083739">
        <w:rPr>
          <w:rFonts w:cs="Times New Roman"/>
          <w:noProof/>
          <w:lang w:val="sk-SK"/>
        </w:rPr>
        <w:t xml:space="preserve"> zahŕňa modernizáciu 13 regionálnych letísk</w:t>
      </w:r>
      <w:r w:rsidR="00083739" w:rsidRPr="00083739">
        <w:rPr>
          <w:rFonts w:cs="Times New Roman"/>
          <w:noProof/>
          <w:lang w:val="sk-SK"/>
        </w:rPr>
        <w:t xml:space="preserve"> s </w:t>
      </w:r>
      <w:r w:rsidRPr="00083739">
        <w:rPr>
          <w:rFonts w:cs="Times New Roman"/>
          <w:noProof/>
          <w:lang w:val="sk-SK"/>
        </w:rPr>
        <w:t>cieľom riešiť odchýlky a/alebo nesúlad</w:t>
      </w:r>
      <w:r w:rsidR="00083739" w:rsidRPr="00083739">
        <w:rPr>
          <w:rFonts w:cs="Times New Roman"/>
          <w:noProof/>
          <w:lang w:val="sk-SK"/>
        </w:rPr>
        <w:t xml:space="preserve"> v </w:t>
      </w:r>
      <w:r w:rsidRPr="00083739">
        <w:rPr>
          <w:rFonts w:cs="Times New Roman"/>
          <w:noProof/>
          <w:lang w:val="sk-SK"/>
        </w:rPr>
        <w:t>rámci súčasných hraníc letísk podľa nových certifikačných špecifikácií Európskej agentúry pre bezpečnosť letectva (EASA), ktoré predstavujú zmluvný záväzok štátu. Invest</w:t>
      </w:r>
      <w:r w:rsidRPr="00083739">
        <w:rPr>
          <w:rFonts w:cs="Times New Roman"/>
          <w:noProof/>
          <w:lang w:val="sk-SK"/>
        </w:rPr>
        <w:t>ícia povedie rozhodnutím gréckeho úradu civilného letectva (HCAA)</w:t>
      </w:r>
      <w:r w:rsidR="00083739" w:rsidRPr="00083739">
        <w:rPr>
          <w:rFonts w:cs="Times New Roman"/>
          <w:noProof/>
          <w:lang w:val="sk-SK"/>
        </w:rPr>
        <w:t xml:space="preserve"> k </w:t>
      </w:r>
      <w:r w:rsidRPr="00083739">
        <w:rPr>
          <w:rFonts w:cs="Times New Roman"/>
          <w:noProof/>
          <w:lang w:val="sk-SK"/>
        </w:rPr>
        <w:t>odňatiu 169 dokumentov</w:t>
      </w:r>
      <w:r w:rsidR="00083739" w:rsidRPr="00083739">
        <w:rPr>
          <w:rFonts w:cs="Times New Roman"/>
          <w:noProof/>
          <w:lang w:val="sk-SK"/>
        </w:rPr>
        <w:t xml:space="preserve"> o </w:t>
      </w:r>
      <w:r w:rsidRPr="00083739">
        <w:rPr>
          <w:rFonts w:cs="Times New Roman"/>
          <w:noProof/>
          <w:lang w:val="sk-SK"/>
        </w:rPr>
        <w:t>prijatí odchýlky</w:t>
      </w:r>
      <w:r w:rsidR="00083739" w:rsidRPr="00083739">
        <w:rPr>
          <w:rFonts w:cs="Times New Roman"/>
          <w:noProof/>
          <w:lang w:val="sk-SK"/>
        </w:rPr>
        <w:t xml:space="preserve"> a </w:t>
      </w:r>
      <w:r w:rsidRPr="00083739">
        <w:rPr>
          <w:rFonts w:cs="Times New Roman"/>
          <w:noProof/>
          <w:lang w:val="sk-SK"/>
        </w:rPr>
        <w:t>opatreniach (DAAD)</w:t>
      </w:r>
      <w:r w:rsidR="00083739" w:rsidRPr="00083739">
        <w:rPr>
          <w:rFonts w:cs="Times New Roman"/>
          <w:noProof/>
          <w:lang w:val="sk-SK"/>
        </w:rPr>
        <w:t xml:space="preserve"> v </w:t>
      </w:r>
      <w:r w:rsidRPr="00083739">
        <w:rPr>
          <w:rFonts w:cs="Times New Roman"/>
          <w:noProof/>
          <w:lang w:val="sk-SK"/>
        </w:rPr>
        <w:t>rámci súčasných hraníc letiska</w:t>
      </w:r>
      <w:r w:rsidR="00083739" w:rsidRPr="00083739">
        <w:rPr>
          <w:rFonts w:cs="Times New Roman"/>
          <w:noProof/>
          <w:lang w:val="sk-SK"/>
        </w:rPr>
        <w:t xml:space="preserve"> s </w:t>
      </w:r>
      <w:r w:rsidRPr="00083739">
        <w:rPr>
          <w:rFonts w:cs="Times New Roman"/>
          <w:noProof/>
          <w:lang w:val="sk-SK"/>
        </w:rPr>
        <w:t>cieľom dosiahnuť, aby tieto letiská boli</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nariadením Európskeho parlamentu</w:t>
      </w:r>
      <w:r w:rsidR="00083739" w:rsidRPr="00083739">
        <w:rPr>
          <w:rFonts w:cs="Times New Roman"/>
          <w:noProof/>
          <w:lang w:val="sk-SK"/>
        </w:rPr>
        <w:t xml:space="preserve"> a </w:t>
      </w:r>
      <w:r w:rsidRPr="00083739">
        <w:rPr>
          <w:rFonts w:cs="Times New Roman"/>
          <w:noProof/>
          <w:lang w:val="sk-SK"/>
        </w:rPr>
        <w:t>Rad</w:t>
      </w:r>
      <w:r w:rsidRPr="00083739">
        <w:rPr>
          <w:rFonts w:cs="Times New Roman"/>
          <w:noProof/>
          <w:lang w:val="sk-SK"/>
        </w:rPr>
        <w:t>y (EÚ) 2018/1139 zo 4</w:t>
      </w:r>
      <w:r w:rsidR="00083739" w:rsidRPr="00083739">
        <w:rPr>
          <w:rFonts w:cs="Times New Roman"/>
          <w:noProof/>
          <w:lang w:val="sk-SK"/>
        </w:rPr>
        <w:t>. júla</w:t>
      </w:r>
      <w:r w:rsidRPr="00083739">
        <w:rPr>
          <w:rFonts w:cs="Times New Roman"/>
          <w:noProof/>
          <w:lang w:val="sk-SK"/>
        </w:rPr>
        <w:t xml:space="preserve"> 2018</w:t>
      </w:r>
      <w:r w:rsidR="00083739" w:rsidRPr="00083739">
        <w:rPr>
          <w:rFonts w:cs="Times New Roman"/>
          <w:noProof/>
          <w:lang w:val="sk-SK"/>
        </w:rPr>
        <w:t xml:space="preserve"> o </w:t>
      </w:r>
      <w:r w:rsidRPr="00083739">
        <w:rPr>
          <w:rFonts w:cs="Times New Roman"/>
          <w:noProof/>
          <w:lang w:val="sk-SK"/>
        </w:rPr>
        <w:t>spoločných pravidlách</w:t>
      </w:r>
      <w:r w:rsidR="00083739" w:rsidRPr="00083739">
        <w:rPr>
          <w:rFonts w:cs="Times New Roman"/>
          <w:noProof/>
          <w:lang w:val="sk-SK"/>
        </w:rPr>
        <w:t xml:space="preserve"> v </w:t>
      </w:r>
      <w:r w:rsidRPr="00083739">
        <w:rPr>
          <w:rFonts w:cs="Times New Roman"/>
          <w:noProof/>
          <w:lang w:val="sk-SK"/>
        </w:rPr>
        <w:t>oblasti civilného letectva</w:t>
      </w:r>
      <w:r w:rsidR="00083739" w:rsidRPr="00083739">
        <w:rPr>
          <w:rFonts w:cs="Times New Roman"/>
          <w:noProof/>
          <w:lang w:val="sk-SK"/>
        </w:rPr>
        <w:t xml:space="preserve"> a o </w:t>
      </w:r>
      <w:r w:rsidRPr="00083739">
        <w:rPr>
          <w:rFonts w:cs="Times New Roman"/>
          <w:noProof/>
          <w:lang w:val="sk-SK"/>
        </w:rPr>
        <w:t>zriadení Agentúry Európskej únie pre bezpečnosť letectva. Očakáva sa, že toto opatrenie výrazne nenaruší environmentálne ciele</w:t>
      </w:r>
      <w:r w:rsidR="00083739" w:rsidRPr="00083739">
        <w:rPr>
          <w:rFonts w:cs="Times New Roman"/>
          <w:noProof/>
          <w:lang w:val="sk-SK"/>
        </w:rPr>
        <w:t xml:space="preserve"> v </w:t>
      </w:r>
      <w:r w:rsidRPr="00083739">
        <w:rPr>
          <w:rFonts w:cs="Times New Roman"/>
          <w:noProof/>
          <w:lang w:val="sk-SK"/>
        </w:rPr>
        <w:t>zmysle článku 17 nariadenia (EÚ) 2020</w:t>
      </w:r>
      <w:r w:rsidRPr="00083739">
        <w:rPr>
          <w:rFonts w:cs="Times New Roman"/>
          <w:noProof/>
          <w:lang w:val="sk-SK"/>
        </w:rPr>
        <w:t>/852, pričom sa zohľadní opis opatrenia</w:t>
      </w:r>
      <w:r w:rsidR="00083739" w:rsidRPr="00083739">
        <w:rPr>
          <w:rFonts w:cs="Times New Roman"/>
          <w:noProof/>
          <w:lang w:val="sk-SK"/>
        </w:rPr>
        <w:t xml:space="preserve"> a </w:t>
      </w:r>
      <w:r w:rsidRPr="00083739">
        <w:rPr>
          <w:rFonts w:cs="Times New Roman"/>
          <w:noProof/>
          <w:lang w:val="sk-SK"/>
        </w:rPr>
        <w:t>zmierňujúce kroky stanovené</w:t>
      </w:r>
      <w:r w:rsidR="00083739" w:rsidRPr="00083739">
        <w:rPr>
          <w:rFonts w:cs="Times New Roman"/>
          <w:noProof/>
          <w:lang w:val="sk-SK"/>
        </w:rPr>
        <w:t xml:space="preserve"> v </w:t>
      </w:r>
      <w:r w:rsidRPr="00083739">
        <w:rPr>
          <w:rFonts w:cs="Times New Roman"/>
          <w:noProof/>
          <w:lang w:val="sk-SK"/>
        </w:rPr>
        <w:t>pláne podpory obnovy</w:t>
      </w:r>
      <w:r w:rsidR="00083739" w:rsidRPr="00083739">
        <w:rPr>
          <w:rFonts w:cs="Times New Roman"/>
          <w:noProof/>
          <w:lang w:val="sk-SK"/>
        </w:rPr>
        <w:t xml:space="preserve"> a </w:t>
      </w:r>
      <w:r w:rsidRPr="00083739">
        <w:rPr>
          <w:rFonts w:cs="Times New Roman"/>
          <w:noProof/>
          <w:lang w:val="sk-SK"/>
        </w:rPr>
        <w:t>odolnosti</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technickým usmernením „výrazne nenarušiť“ (2021/C58/01). Konkrétne sa</w:t>
      </w:r>
      <w:r w:rsidR="00083739" w:rsidRPr="00083739">
        <w:rPr>
          <w:rFonts w:cs="Times New Roman"/>
          <w:noProof/>
          <w:lang w:val="sk-SK"/>
        </w:rPr>
        <w:t xml:space="preserve"> v </w:t>
      </w:r>
      <w:r w:rsidRPr="00083739">
        <w:rPr>
          <w:rFonts w:cs="Times New Roman"/>
          <w:noProof/>
          <w:lang w:val="sk-SK"/>
        </w:rPr>
        <w:t>tomto opatrení vyžaduje, aby hospodárske subjekty vykonávajúce stave</w:t>
      </w:r>
      <w:r w:rsidRPr="00083739">
        <w:rPr>
          <w:rFonts w:cs="Times New Roman"/>
          <w:noProof/>
          <w:lang w:val="sk-SK"/>
        </w:rPr>
        <w:t>bné práce zabezpečili, že najmenej 70</w:t>
      </w:r>
      <w:r w:rsidR="00083739" w:rsidRPr="00083739">
        <w:rPr>
          <w:rFonts w:cs="Times New Roman"/>
          <w:noProof/>
          <w:lang w:val="sk-SK"/>
        </w:rPr>
        <w:t> %</w:t>
      </w:r>
      <w:r w:rsidRPr="00083739">
        <w:rPr>
          <w:rFonts w:cs="Times New Roman"/>
          <w:noProof/>
          <w:lang w:val="sk-SK"/>
        </w:rPr>
        <w:t xml:space="preserve"> (hmotnosti) stavebného</w:t>
      </w:r>
      <w:r w:rsidR="00083739" w:rsidRPr="00083739">
        <w:rPr>
          <w:rFonts w:cs="Times New Roman"/>
          <w:noProof/>
          <w:lang w:val="sk-SK"/>
        </w:rPr>
        <w:t xml:space="preserve"> a </w:t>
      </w:r>
      <w:r w:rsidRPr="00083739">
        <w:rPr>
          <w:rFonts w:cs="Times New Roman"/>
          <w:noProof/>
          <w:lang w:val="sk-SK"/>
        </w:rPr>
        <w:t>demolačného odpadu, ktorý nie je nebezpečný [okrem prirodzene sa vyskytujúceho materiálu uvedeného</w:t>
      </w:r>
      <w:r w:rsidR="00083739" w:rsidRPr="00083739">
        <w:rPr>
          <w:rFonts w:cs="Times New Roman"/>
          <w:noProof/>
          <w:lang w:val="sk-SK"/>
        </w:rPr>
        <w:t xml:space="preserve"> v </w:t>
      </w:r>
      <w:r w:rsidRPr="00083739">
        <w:rPr>
          <w:rFonts w:cs="Times New Roman"/>
          <w:noProof/>
          <w:lang w:val="sk-SK"/>
        </w:rPr>
        <w:t>kategórii 17 05 04</w:t>
      </w:r>
      <w:r w:rsidR="00083739" w:rsidRPr="00083739">
        <w:rPr>
          <w:rFonts w:cs="Times New Roman"/>
          <w:noProof/>
          <w:lang w:val="sk-SK"/>
        </w:rPr>
        <w:t xml:space="preserve"> v </w:t>
      </w:r>
      <w:r w:rsidRPr="00083739">
        <w:rPr>
          <w:rFonts w:cs="Times New Roman"/>
          <w:noProof/>
          <w:lang w:val="sk-SK"/>
        </w:rPr>
        <w:t>európskom zozname odpadov vytvorenom rozhodnutím 2000/532/ES</w:t>
      </w:r>
      <w:r w:rsidR="00083739" w:rsidRPr="00083739">
        <w:rPr>
          <w:rFonts w:cs="Times New Roman"/>
          <w:noProof/>
          <w:lang w:val="sk-SK"/>
        </w:rPr>
        <w:t xml:space="preserve"> z </w:t>
      </w:r>
      <w:r w:rsidRPr="00083739">
        <w:rPr>
          <w:rFonts w:cs="Times New Roman"/>
          <w:noProof/>
          <w:lang w:val="sk-SK"/>
        </w:rPr>
        <w:t>3</w:t>
      </w:r>
      <w:r w:rsidR="00083739" w:rsidRPr="00083739">
        <w:rPr>
          <w:rFonts w:cs="Times New Roman"/>
          <w:noProof/>
          <w:lang w:val="sk-SK"/>
        </w:rPr>
        <w:t>. mája</w:t>
      </w:r>
      <w:r w:rsidRPr="00083739">
        <w:rPr>
          <w:rFonts w:cs="Times New Roman"/>
          <w:noProof/>
          <w:lang w:val="sk-SK"/>
        </w:rPr>
        <w:t xml:space="preserve"> 2000, ktorým sa nahrádza rozhodnutie 94/3/ES, ktorým sa zavádza zoznam odpadov podľa článku 1 písm. a) smernice Rady 75/442/EHS</w:t>
      </w:r>
      <w:r w:rsidR="00083739" w:rsidRPr="00083739">
        <w:rPr>
          <w:rFonts w:cs="Times New Roman"/>
          <w:noProof/>
          <w:lang w:val="sk-SK"/>
        </w:rPr>
        <w:t xml:space="preserve"> o </w:t>
      </w:r>
      <w:r w:rsidRPr="00083739">
        <w:rPr>
          <w:rFonts w:cs="Times New Roman"/>
          <w:noProof/>
          <w:lang w:val="sk-SK"/>
        </w:rPr>
        <w:t>odpade</w:t>
      </w:r>
      <w:r w:rsidR="00083739" w:rsidRPr="00083739">
        <w:rPr>
          <w:rFonts w:cs="Times New Roman"/>
          <w:noProof/>
          <w:lang w:val="sk-SK"/>
        </w:rPr>
        <w:t xml:space="preserve"> a </w:t>
      </w:r>
      <w:r w:rsidRPr="00083739">
        <w:rPr>
          <w:rFonts w:cs="Times New Roman"/>
          <w:noProof/>
          <w:lang w:val="sk-SK"/>
        </w:rPr>
        <w:t>rozhodnutia Rady 94/904/ES, ktorým sa vydáva zoznam nebezpečných odpadov podľa článku 1 ods. 4 smernice Rady 9</w:t>
      </w:r>
      <w:r w:rsidRPr="00083739">
        <w:rPr>
          <w:rFonts w:cs="Times New Roman"/>
          <w:noProof/>
          <w:lang w:val="sk-SK"/>
        </w:rPr>
        <w:t>1/689/EHS</w:t>
      </w:r>
      <w:r w:rsidR="00083739" w:rsidRPr="00083739">
        <w:rPr>
          <w:rFonts w:cs="Times New Roman"/>
          <w:noProof/>
          <w:lang w:val="sk-SK"/>
        </w:rPr>
        <w:t xml:space="preserve"> o </w:t>
      </w:r>
      <w:r w:rsidRPr="00083739">
        <w:rPr>
          <w:rFonts w:cs="Times New Roman"/>
          <w:noProof/>
          <w:lang w:val="sk-SK"/>
        </w:rPr>
        <w:t>nebezpečných odpadoch [oznámeným pod číslom C(2000) 1147], vytvoreného na stavenisku sa pripraví na opätovné použitie, recykláciu</w:t>
      </w:r>
      <w:r w:rsidR="00083739" w:rsidRPr="00083739">
        <w:rPr>
          <w:rFonts w:cs="Times New Roman"/>
          <w:noProof/>
          <w:lang w:val="sk-SK"/>
        </w:rPr>
        <w:t xml:space="preserve"> a </w:t>
      </w:r>
      <w:r w:rsidRPr="00083739">
        <w:rPr>
          <w:rFonts w:cs="Times New Roman"/>
          <w:noProof/>
          <w:lang w:val="sk-SK"/>
        </w:rPr>
        <w:t>iné materiálové zhodnocovanie vrátane spätného zasypávania</w:t>
      </w:r>
      <w:r w:rsidR="00083739" w:rsidRPr="00083739">
        <w:rPr>
          <w:rFonts w:cs="Times New Roman"/>
          <w:noProof/>
          <w:lang w:val="sk-SK"/>
        </w:rPr>
        <w:t xml:space="preserve"> s </w:t>
      </w:r>
      <w:r w:rsidRPr="00083739">
        <w:rPr>
          <w:rFonts w:cs="Times New Roman"/>
          <w:noProof/>
          <w:lang w:val="sk-SK"/>
        </w:rPr>
        <w:t>použitím odpadu ako náhrady iných materiálov,</w:t>
      </w:r>
      <w:r w:rsidR="00083739" w:rsidRPr="00083739">
        <w:rPr>
          <w:rFonts w:cs="Times New Roman"/>
          <w:noProof/>
          <w:lang w:val="sk-SK"/>
        </w:rPr>
        <w:t xml:space="preserve"> a </w:t>
      </w:r>
      <w:r w:rsidRPr="00083739">
        <w:rPr>
          <w:rFonts w:cs="Times New Roman"/>
          <w:noProof/>
          <w:lang w:val="sk-SK"/>
        </w:rPr>
        <w:t>to</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hierarchiou odpadového hospodárstva</w:t>
      </w:r>
      <w:r w:rsidR="00083739" w:rsidRPr="00083739">
        <w:rPr>
          <w:rFonts w:cs="Times New Roman"/>
          <w:noProof/>
          <w:lang w:val="sk-SK"/>
        </w:rPr>
        <w:t xml:space="preserve"> a </w:t>
      </w:r>
      <w:r w:rsidRPr="00083739">
        <w:rPr>
          <w:rFonts w:cs="Times New Roman"/>
          <w:noProof/>
          <w:lang w:val="sk-SK"/>
        </w:rPr>
        <w:t>protokolom EÚ</w:t>
      </w:r>
      <w:r w:rsidR="00083739" w:rsidRPr="00083739">
        <w:rPr>
          <w:rFonts w:cs="Times New Roman"/>
          <w:noProof/>
          <w:lang w:val="sk-SK"/>
        </w:rPr>
        <w:t xml:space="preserve"> o </w:t>
      </w:r>
      <w:r w:rsidRPr="00083739">
        <w:rPr>
          <w:rFonts w:cs="Times New Roman"/>
          <w:noProof/>
          <w:lang w:val="sk-SK"/>
        </w:rPr>
        <w:t>nakladaní so stavebným odpadom</w:t>
      </w:r>
      <w:r w:rsidR="00083739" w:rsidRPr="00083739">
        <w:rPr>
          <w:rFonts w:cs="Times New Roman"/>
          <w:noProof/>
          <w:lang w:val="sk-SK"/>
        </w:rPr>
        <w:t xml:space="preserve"> a </w:t>
      </w:r>
      <w:r w:rsidRPr="00083739">
        <w:rPr>
          <w:rFonts w:cs="Times New Roman"/>
          <w:noProof/>
          <w:lang w:val="sk-SK"/>
        </w:rPr>
        <w:t>odpadom</w:t>
      </w:r>
      <w:r w:rsidR="00083739" w:rsidRPr="00083739">
        <w:rPr>
          <w:rFonts w:cs="Times New Roman"/>
          <w:noProof/>
          <w:lang w:val="sk-SK"/>
        </w:rPr>
        <w:t xml:space="preserve"> z </w:t>
      </w:r>
      <w:r w:rsidRPr="00083739">
        <w:rPr>
          <w:rFonts w:cs="Times New Roman"/>
          <w:noProof/>
          <w:lang w:val="sk-SK"/>
        </w:rPr>
        <w:t>demolácie. Realizácia investície sa ukončí do 31</w:t>
      </w:r>
      <w:r w:rsidR="00083739" w:rsidRPr="00083739">
        <w:rPr>
          <w:rFonts w:cs="Times New Roman"/>
          <w:noProof/>
          <w:lang w:val="sk-SK"/>
        </w:rPr>
        <w:t>. decembra</w:t>
      </w:r>
      <w:r w:rsidRPr="00083739">
        <w:rPr>
          <w:rFonts w:cs="Times New Roman"/>
          <w:noProof/>
          <w:lang w:val="sk-SK"/>
        </w:rPr>
        <w:t xml:space="preserve"> 2025.</w:t>
      </w:r>
    </w:p>
    <w:p w14:paraId="7B47CC76" w14:textId="7777777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Inteligentné mosty (ID opatrenia 16949)</w:t>
      </w:r>
    </w:p>
    <w:p w14:paraId="0C7BD351" w14:textId="0D429E48" w:rsidR="002D49B0" w:rsidRPr="00083739" w:rsidRDefault="00BF4125">
      <w:pPr>
        <w:spacing w:before="120" w:after="120" w:line="240" w:lineRule="auto"/>
        <w:jc w:val="both"/>
        <w:rPr>
          <w:rFonts w:ascii="Times New Roman" w:hAnsi="Times New Roman" w:cs="Times New Roman"/>
          <w:noProof/>
          <w:sz w:val="24"/>
          <w:szCs w:val="24"/>
          <w:lang w:val="sk-SK"/>
        </w:rPr>
      </w:pPr>
      <w:r w:rsidRPr="00083739">
        <w:rPr>
          <w:rFonts w:ascii="Times New Roman" w:hAnsi="Times New Roman" w:cs="Times New Roman"/>
          <w:noProof/>
          <w:sz w:val="24"/>
          <w:lang w:val="sk-SK"/>
        </w:rPr>
        <w:t>Investícia pozostáva</w:t>
      </w:r>
      <w:r w:rsidR="00083739" w:rsidRPr="00083739">
        <w:rPr>
          <w:rFonts w:ascii="Times New Roman" w:hAnsi="Times New Roman" w:cs="Times New Roman"/>
          <w:noProof/>
          <w:sz w:val="24"/>
          <w:lang w:val="sk-SK"/>
        </w:rPr>
        <w:t xml:space="preserve"> z </w:t>
      </w:r>
      <w:r w:rsidRPr="00083739">
        <w:rPr>
          <w:rFonts w:ascii="Times New Roman" w:hAnsi="Times New Roman" w:cs="Times New Roman"/>
          <w:noProof/>
          <w:sz w:val="24"/>
          <w:lang w:val="sk-SK"/>
        </w:rPr>
        <w:t>dvoch fá</w:t>
      </w:r>
      <w:r w:rsidRPr="00083739">
        <w:rPr>
          <w:rFonts w:ascii="Times New Roman" w:hAnsi="Times New Roman" w:cs="Times New Roman"/>
          <w:noProof/>
          <w:sz w:val="24"/>
          <w:lang w:val="sk-SK"/>
        </w:rPr>
        <w:t>z. Cieľom fázy I investície je vybaviť mosty špeciálnymi systémami na meranie zaťaženia</w:t>
      </w:r>
      <w:r w:rsidR="00083739" w:rsidRPr="00083739">
        <w:rPr>
          <w:rFonts w:ascii="Times New Roman" w:hAnsi="Times New Roman" w:cs="Times New Roman"/>
          <w:noProof/>
          <w:sz w:val="24"/>
          <w:lang w:val="sk-SK"/>
        </w:rPr>
        <w:t xml:space="preserve"> a </w:t>
      </w:r>
      <w:r w:rsidRPr="00083739">
        <w:rPr>
          <w:rFonts w:ascii="Times New Roman" w:hAnsi="Times New Roman" w:cs="Times New Roman"/>
          <w:noProof/>
          <w:sz w:val="24"/>
          <w:lang w:val="sk-SK"/>
        </w:rPr>
        <w:t>snímačmi alebo optickými vláknami, ktoré merajú posun mostov</w:t>
      </w:r>
      <w:r w:rsidR="00083739" w:rsidRPr="00083739">
        <w:rPr>
          <w:rFonts w:ascii="Times New Roman" w:hAnsi="Times New Roman" w:cs="Times New Roman"/>
          <w:noProof/>
          <w:sz w:val="24"/>
          <w:lang w:val="sk-SK"/>
        </w:rPr>
        <w:t xml:space="preserve"> v </w:t>
      </w:r>
      <w:r w:rsidRPr="00083739">
        <w:rPr>
          <w:rFonts w:ascii="Times New Roman" w:hAnsi="Times New Roman" w:cs="Times New Roman"/>
          <w:noProof/>
          <w:sz w:val="24"/>
          <w:lang w:val="sk-SK"/>
        </w:rPr>
        <w:t>reálnom čase. Tieto informácie sa zaznamenávajú</w:t>
      </w:r>
      <w:r w:rsidR="00083739" w:rsidRPr="00083739">
        <w:rPr>
          <w:rFonts w:ascii="Times New Roman" w:hAnsi="Times New Roman" w:cs="Times New Roman"/>
          <w:noProof/>
          <w:sz w:val="24"/>
          <w:lang w:val="sk-SK"/>
        </w:rPr>
        <w:t xml:space="preserve"> a </w:t>
      </w:r>
      <w:r w:rsidRPr="00083739">
        <w:rPr>
          <w:rFonts w:ascii="Times New Roman" w:hAnsi="Times New Roman" w:cs="Times New Roman"/>
          <w:noProof/>
          <w:sz w:val="24"/>
          <w:lang w:val="sk-SK"/>
        </w:rPr>
        <w:t>spracúvajú pomocou špeciálnych algoritmov na vyhodnot</w:t>
      </w:r>
      <w:r w:rsidRPr="00083739">
        <w:rPr>
          <w:rFonts w:ascii="Times New Roman" w:hAnsi="Times New Roman" w:cs="Times New Roman"/>
          <w:noProof/>
          <w:sz w:val="24"/>
          <w:lang w:val="sk-SK"/>
        </w:rPr>
        <w:t>enie štrukturálnej zraniteľnosti mostov. Cieľom tejto investície je zlepšiť úroveň bezpečnosti mostov</w:t>
      </w:r>
      <w:r w:rsidR="00083739" w:rsidRPr="00083739">
        <w:rPr>
          <w:rFonts w:ascii="Times New Roman" w:hAnsi="Times New Roman" w:cs="Times New Roman"/>
          <w:noProof/>
          <w:sz w:val="24"/>
          <w:lang w:val="sk-SK"/>
        </w:rPr>
        <w:t xml:space="preserve"> a </w:t>
      </w:r>
      <w:r w:rsidRPr="00083739">
        <w:rPr>
          <w:rFonts w:ascii="Times New Roman" w:hAnsi="Times New Roman" w:cs="Times New Roman"/>
          <w:noProof/>
          <w:sz w:val="24"/>
          <w:lang w:val="sk-SK"/>
        </w:rPr>
        <w:t>predchádzať nehodám pri prechode ťažkých vozidiel alebo rizikám súvisiacim so zmenou klímy. Cieľom fázy II investície je</w:t>
      </w:r>
      <w:r w:rsidRPr="00083739">
        <w:rPr>
          <w:rFonts w:ascii="Times New Roman" w:hAnsi="Times New Roman" w:cs="Times New Roman"/>
          <w:noProof/>
          <w:lang w:val="sk-SK"/>
        </w:rPr>
        <w:t xml:space="preserve"> </w:t>
      </w:r>
      <w:r w:rsidRPr="00083739">
        <w:rPr>
          <w:rFonts w:ascii="Times New Roman" w:hAnsi="Times New Roman" w:cs="Times New Roman"/>
          <w:noProof/>
          <w:sz w:val="24"/>
          <w:lang w:val="sk-SK"/>
        </w:rPr>
        <w:t xml:space="preserve">vybaviť mosty bezdrôtovými </w:t>
      </w:r>
      <w:r w:rsidRPr="00083739">
        <w:rPr>
          <w:rFonts w:ascii="Times New Roman" w:hAnsi="Times New Roman" w:cs="Times New Roman"/>
          <w:noProof/>
          <w:sz w:val="24"/>
          <w:lang w:val="sk-SK"/>
        </w:rPr>
        <w:t>snímačmi napájanými solárnymi panelmi. Realizácia investície sa ukončí do 31</w:t>
      </w:r>
      <w:r w:rsidR="00083739" w:rsidRPr="00083739">
        <w:rPr>
          <w:rFonts w:ascii="Times New Roman" w:hAnsi="Times New Roman" w:cs="Times New Roman"/>
          <w:noProof/>
          <w:sz w:val="24"/>
          <w:lang w:val="sk-SK"/>
        </w:rPr>
        <w:t>. decembra</w:t>
      </w:r>
      <w:r w:rsidRPr="00083739">
        <w:rPr>
          <w:rFonts w:ascii="Times New Roman" w:hAnsi="Times New Roman" w:cs="Times New Roman"/>
          <w:noProof/>
          <w:sz w:val="24"/>
          <w:lang w:val="sk-SK"/>
        </w:rPr>
        <w:t xml:space="preserve"> 2025.</w:t>
      </w:r>
    </w:p>
    <w:p w14:paraId="05667510" w14:textId="7777777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Digitálna transformácia Helénskej železničnej organizácie (ID opatrenia 16959)</w:t>
      </w:r>
    </w:p>
    <w:p w14:paraId="46A5A7DA" w14:textId="683E1A62" w:rsidR="002D49B0" w:rsidRPr="00083739" w:rsidRDefault="00BF4125">
      <w:pPr>
        <w:pStyle w:val="P68B1DB1-Normal5"/>
        <w:spacing w:before="120" w:after="120" w:line="240" w:lineRule="auto"/>
        <w:jc w:val="both"/>
        <w:rPr>
          <w:rFonts w:cs="Times New Roman"/>
          <w:noProof/>
          <w:lang w:val="sk-SK"/>
        </w:rPr>
      </w:pPr>
      <w:r w:rsidRPr="00083739">
        <w:rPr>
          <w:rFonts w:cs="Times New Roman"/>
          <w:noProof/>
          <w:lang w:val="sk-SK"/>
        </w:rPr>
        <w:t>Investícia zahŕňa modernizáciu infraštruktúr</w:t>
      </w:r>
      <w:r w:rsidR="00083739" w:rsidRPr="00083739">
        <w:rPr>
          <w:rFonts w:cs="Times New Roman"/>
          <w:noProof/>
          <w:lang w:val="sk-SK"/>
        </w:rPr>
        <w:t xml:space="preserve"> a </w:t>
      </w:r>
      <w:r w:rsidRPr="00083739">
        <w:rPr>
          <w:rFonts w:cs="Times New Roman"/>
          <w:noProof/>
          <w:lang w:val="sk-SK"/>
        </w:rPr>
        <w:t>služieb Helénskej železni</w:t>
      </w:r>
      <w:r w:rsidRPr="00083739">
        <w:rPr>
          <w:rFonts w:cs="Times New Roman"/>
          <w:noProof/>
          <w:lang w:val="sk-SK"/>
        </w:rPr>
        <w:t>čnej organizácie (OSE) prostredníctvom vývoja týchto systémov</w:t>
      </w:r>
      <w:r w:rsidR="00083739" w:rsidRPr="00083739">
        <w:rPr>
          <w:rFonts w:cs="Times New Roman"/>
          <w:noProof/>
          <w:lang w:val="sk-SK"/>
        </w:rPr>
        <w:t xml:space="preserve"> a </w:t>
      </w:r>
      <w:r w:rsidRPr="00083739">
        <w:rPr>
          <w:rFonts w:cs="Times New Roman"/>
          <w:noProof/>
          <w:lang w:val="sk-SK"/>
        </w:rPr>
        <w:t>služieb: a) riadenie cestovných lístkov</w:t>
      </w:r>
      <w:r w:rsidR="00083739" w:rsidRPr="00083739">
        <w:rPr>
          <w:rFonts w:cs="Times New Roman"/>
          <w:noProof/>
          <w:lang w:val="sk-SK"/>
        </w:rPr>
        <w:t xml:space="preserve"> a </w:t>
      </w:r>
      <w:r w:rsidRPr="00083739">
        <w:rPr>
          <w:rFonts w:cs="Times New Roman"/>
          <w:noProof/>
          <w:lang w:val="sk-SK"/>
        </w:rPr>
        <w:t>telematické systémy, b) infraštruktúra pre inteligentné stanice, c) zákaznícke služby, d) vysokorýchlostný internet vo vlakoch</w:t>
      </w:r>
      <w:r w:rsidR="00083739" w:rsidRPr="00083739">
        <w:rPr>
          <w:rFonts w:cs="Times New Roman"/>
          <w:noProof/>
          <w:lang w:val="sk-SK"/>
        </w:rPr>
        <w:t xml:space="preserve"> a </w:t>
      </w:r>
      <w:r w:rsidRPr="00083739">
        <w:rPr>
          <w:rFonts w:cs="Times New Roman"/>
          <w:noProof/>
          <w:lang w:val="sk-SK"/>
        </w:rPr>
        <w:t>staniciach, e) telema</w:t>
      </w:r>
      <w:r w:rsidRPr="00083739">
        <w:rPr>
          <w:rFonts w:cs="Times New Roman"/>
          <w:noProof/>
          <w:lang w:val="sk-SK"/>
        </w:rPr>
        <w:t>tický systém vozidiel</w:t>
      </w:r>
      <w:r w:rsidR="00083739" w:rsidRPr="00083739">
        <w:rPr>
          <w:rFonts w:cs="Times New Roman"/>
          <w:noProof/>
          <w:lang w:val="sk-SK"/>
        </w:rPr>
        <w:t xml:space="preserve"> a </w:t>
      </w:r>
      <w:r w:rsidRPr="00083739">
        <w:rPr>
          <w:rFonts w:cs="Times New Roman"/>
          <w:noProof/>
          <w:lang w:val="sk-SK"/>
        </w:rPr>
        <w:t>f) modernizácia bezpečnostnej infraštruktúry desiatich železničných tunelov pomocou inteligentných systémov. Realizácia investície sa ukončí do 31</w:t>
      </w:r>
      <w:r w:rsidR="00083739" w:rsidRPr="00083739">
        <w:rPr>
          <w:rFonts w:cs="Times New Roman"/>
          <w:noProof/>
          <w:lang w:val="sk-SK"/>
        </w:rPr>
        <w:t>. decembra</w:t>
      </w:r>
      <w:r w:rsidRPr="00083739">
        <w:rPr>
          <w:rFonts w:cs="Times New Roman"/>
          <w:noProof/>
          <w:lang w:val="sk-SK"/>
        </w:rPr>
        <w:t xml:space="preserve"> 2025.</w:t>
      </w:r>
    </w:p>
    <w:p w14:paraId="5C252325" w14:textId="0A3B13F1"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Reforma:</w:t>
      </w:r>
      <w:r w:rsidRPr="00083739">
        <w:rPr>
          <w:rFonts w:cs="Times New Roman"/>
          <w:noProof/>
          <w:lang w:val="sk-SK"/>
        </w:rPr>
        <w:t xml:space="preserve"> Digitálny integrovaný systém riadenia programov na správu te</w:t>
      </w:r>
      <w:r w:rsidRPr="00083739">
        <w:rPr>
          <w:rFonts w:cs="Times New Roman"/>
          <w:noProof/>
          <w:lang w:val="sk-SK"/>
        </w:rPr>
        <w:t>chnických prác</w:t>
      </w:r>
      <w:r w:rsidR="00083739" w:rsidRPr="00083739">
        <w:rPr>
          <w:rFonts w:cs="Times New Roman"/>
          <w:noProof/>
          <w:lang w:val="sk-SK"/>
        </w:rPr>
        <w:t xml:space="preserve"> a </w:t>
      </w:r>
      <w:r w:rsidRPr="00083739">
        <w:rPr>
          <w:rFonts w:cs="Times New Roman"/>
          <w:noProof/>
          <w:lang w:val="sk-SK"/>
        </w:rPr>
        <w:t>štrukturálnych aktív ministerstva infraštruktúry</w:t>
      </w:r>
      <w:r w:rsidR="00083739" w:rsidRPr="00083739">
        <w:rPr>
          <w:rFonts w:cs="Times New Roman"/>
          <w:noProof/>
          <w:lang w:val="sk-SK"/>
        </w:rPr>
        <w:t xml:space="preserve"> a </w:t>
      </w:r>
      <w:r w:rsidRPr="00083739">
        <w:rPr>
          <w:rFonts w:cs="Times New Roman"/>
          <w:noProof/>
          <w:lang w:val="sk-SK"/>
        </w:rPr>
        <w:t>dopravy (ID 16937)</w:t>
      </w:r>
    </w:p>
    <w:p w14:paraId="17C23130" w14:textId="2839ECBC"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Reformou sa zavedie najmodernejší informačný systém správy portfólia</w:t>
      </w:r>
      <w:r w:rsidR="00083739" w:rsidRPr="00083739">
        <w:rPr>
          <w:rFonts w:cs="Times New Roman"/>
          <w:noProof/>
          <w:lang w:val="sk-SK"/>
        </w:rPr>
        <w:t xml:space="preserve"> s </w:t>
      </w:r>
      <w:r w:rsidRPr="00083739">
        <w:rPr>
          <w:rFonts w:cs="Times New Roman"/>
          <w:noProof/>
          <w:lang w:val="sk-SK"/>
        </w:rPr>
        <w:t>cieľom poskytnúť ministerstvu infraštruktúry</w:t>
      </w:r>
      <w:r w:rsidR="00083739" w:rsidRPr="00083739">
        <w:rPr>
          <w:rFonts w:cs="Times New Roman"/>
          <w:noProof/>
          <w:lang w:val="sk-SK"/>
        </w:rPr>
        <w:t xml:space="preserve"> a </w:t>
      </w:r>
      <w:r w:rsidRPr="00083739">
        <w:rPr>
          <w:rFonts w:cs="Times New Roman"/>
          <w:noProof/>
          <w:lang w:val="sk-SK"/>
        </w:rPr>
        <w:t>dopravy nástroj na monitorovanie, riadenie</w:t>
      </w:r>
      <w:r w:rsidR="00083739" w:rsidRPr="00083739">
        <w:rPr>
          <w:rFonts w:cs="Times New Roman"/>
          <w:noProof/>
          <w:lang w:val="sk-SK"/>
        </w:rPr>
        <w:t xml:space="preserve"> a </w:t>
      </w:r>
      <w:r w:rsidRPr="00083739">
        <w:rPr>
          <w:rFonts w:cs="Times New Roman"/>
          <w:noProof/>
          <w:lang w:val="sk-SK"/>
        </w:rPr>
        <w:t>správu</w:t>
      </w:r>
      <w:r w:rsidRPr="00083739">
        <w:rPr>
          <w:rFonts w:cs="Times New Roman"/>
          <w:noProof/>
          <w:lang w:val="sk-SK"/>
        </w:rPr>
        <w:t xml:space="preserve"> jeho portfólia technických prác</w:t>
      </w:r>
      <w:r w:rsidR="00083739" w:rsidRPr="00083739">
        <w:rPr>
          <w:rFonts w:cs="Times New Roman"/>
          <w:noProof/>
          <w:lang w:val="sk-SK"/>
        </w:rPr>
        <w:t xml:space="preserve"> a </w:t>
      </w:r>
      <w:r w:rsidRPr="00083739">
        <w:rPr>
          <w:rFonts w:cs="Times New Roman"/>
          <w:noProof/>
          <w:lang w:val="sk-SK"/>
        </w:rPr>
        <w:t>aktív. Systém poskytuje presné informácie</w:t>
      </w:r>
      <w:r w:rsidR="00083739" w:rsidRPr="00083739">
        <w:rPr>
          <w:rFonts w:cs="Times New Roman"/>
          <w:noProof/>
          <w:lang w:val="sk-SK"/>
        </w:rPr>
        <w:t xml:space="preserve"> v </w:t>
      </w:r>
      <w:r w:rsidRPr="00083739">
        <w:rPr>
          <w:rFonts w:cs="Times New Roman"/>
          <w:noProof/>
          <w:lang w:val="sk-SK"/>
        </w:rPr>
        <w:t>reálnom čase</w:t>
      </w:r>
      <w:r w:rsidR="00083739" w:rsidRPr="00083739">
        <w:rPr>
          <w:rFonts w:cs="Times New Roman"/>
          <w:noProof/>
          <w:lang w:val="sk-SK"/>
        </w:rPr>
        <w:t xml:space="preserve"> o </w:t>
      </w:r>
      <w:r w:rsidRPr="00083739">
        <w:rPr>
          <w:rFonts w:cs="Times New Roman"/>
          <w:noProof/>
          <w:lang w:val="sk-SK"/>
        </w:rPr>
        <w:t>výsledkoch, nákladoch</w:t>
      </w:r>
      <w:r w:rsidR="00083739" w:rsidRPr="00083739">
        <w:rPr>
          <w:rFonts w:cs="Times New Roman"/>
          <w:noProof/>
          <w:lang w:val="sk-SK"/>
        </w:rPr>
        <w:t xml:space="preserve"> a </w:t>
      </w:r>
      <w:r w:rsidRPr="00083739">
        <w:rPr>
          <w:rFonts w:cs="Times New Roman"/>
          <w:noProof/>
          <w:lang w:val="sk-SK"/>
        </w:rPr>
        <w:t>harmonograme počas celého životného cyklu vykonaných prác. Realizácia investície sa ukončí do 31</w:t>
      </w:r>
      <w:r w:rsidR="00083739" w:rsidRPr="00083739">
        <w:rPr>
          <w:rFonts w:cs="Times New Roman"/>
          <w:noProof/>
          <w:lang w:val="sk-SK"/>
        </w:rPr>
        <w:t>. decembra</w:t>
      </w:r>
      <w:r w:rsidRPr="00083739">
        <w:rPr>
          <w:rFonts w:cs="Times New Roman"/>
          <w:noProof/>
          <w:lang w:val="sk-SK"/>
        </w:rPr>
        <w:t xml:space="preserve"> 2025.</w:t>
      </w:r>
    </w:p>
    <w:p w14:paraId="0FE5C3C0" w14:textId="1A3E9FE6"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Reforma:</w:t>
      </w:r>
      <w:r w:rsidRPr="00083739">
        <w:rPr>
          <w:rFonts w:cs="Times New Roman"/>
          <w:noProof/>
          <w:lang w:val="sk-SK"/>
        </w:rPr>
        <w:t xml:space="preserve"> Zjednodušenie po</w:t>
      </w:r>
      <w:r w:rsidRPr="00083739">
        <w:rPr>
          <w:rFonts w:cs="Times New Roman"/>
          <w:noProof/>
          <w:lang w:val="sk-SK"/>
        </w:rPr>
        <w:t>stupov ministerstva infraštruktúry</w:t>
      </w:r>
      <w:r w:rsidR="00083739" w:rsidRPr="00083739">
        <w:rPr>
          <w:rFonts w:cs="Times New Roman"/>
          <w:noProof/>
          <w:lang w:val="sk-SK"/>
        </w:rPr>
        <w:t xml:space="preserve"> a </w:t>
      </w:r>
      <w:r w:rsidRPr="00083739">
        <w:rPr>
          <w:rFonts w:cs="Times New Roman"/>
          <w:noProof/>
          <w:lang w:val="sk-SK"/>
        </w:rPr>
        <w:t>dopravy (ID opatrenia 16786)</w:t>
      </w:r>
    </w:p>
    <w:p w14:paraId="7C9350E6" w14:textId="78CDB5D6" w:rsidR="002D49B0" w:rsidRPr="00083739" w:rsidRDefault="00BF4125">
      <w:pPr>
        <w:pStyle w:val="P68B1DB1-Normal5"/>
        <w:spacing w:before="120" w:after="120" w:line="240" w:lineRule="auto"/>
        <w:jc w:val="both"/>
        <w:rPr>
          <w:rFonts w:cs="Times New Roman"/>
          <w:noProof/>
          <w:lang w:val="sk-SK"/>
        </w:rPr>
      </w:pPr>
      <w:r w:rsidRPr="00083739">
        <w:rPr>
          <w:rFonts w:cs="Times New Roman"/>
          <w:noProof/>
          <w:lang w:val="sk-SK"/>
        </w:rPr>
        <w:t>Táto reforma zahŕňa digitalizáciu služieb poskytovaných ministerstvom infraštruktúry</w:t>
      </w:r>
      <w:r w:rsidR="00083739" w:rsidRPr="00083739">
        <w:rPr>
          <w:rFonts w:cs="Times New Roman"/>
          <w:noProof/>
          <w:lang w:val="sk-SK"/>
        </w:rPr>
        <w:t xml:space="preserve"> a </w:t>
      </w:r>
      <w:r w:rsidRPr="00083739">
        <w:rPr>
          <w:rFonts w:cs="Times New Roman"/>
          <w:noProof/>
          <w:lang w:val="sk-SK"/>
        </w:rPr>
        <w:t>dopravy</w:t>
      </w:r>
      <w:r w:rsidR="00083739" w:rsidRPr="00083739">
        <w:rPr>
          <w:rFonts w:cs="Times New Roman"/>
          <w:noProof/>
          <w:lang w:val="sk-SK"/>
        </w:rPr>
        <w:t xml:space="preserve"> s </w:t>
      </w:r>
      <w:r w:rsidRPr="00083739">
        <w:rPr>
          <w:rFonts w:cs="Times New Roman"/>
          <w:noProof/>
          <w:lang w:val="sk-SK"/>
        </w:rPr>
        <w:t>cieľom zmierniť administratívnu záťaž</w:t>
      </w:r>
      <w:r w:rsidR="00083739" w:rsidRPr="00083739">
        <w:rPr>
          <w:rFonts w:cs="Times New Roman"/>
          <w:noProof/>
          <w:lang w:val="sk-SK"/>
        </w:rPr>
        <w:t xml:space="preserve"> a </w:t>
      </w:r>
      <w:r w:rsidRPr="00083739">
        <w:rPr>
          <w:rFonts w:cs="Times New Roman"/>
          <w:noProof/>
          <w:lang w:val="sk-SK"/>
        </w:rPr>
        <w:t>zjednodušiť procesy vo verejnom sektore. Zahŕňa a) vy</w:t>
      </w:r>
      <w:r w:rsidRPr="00083739">
        <w:rPr>
          <w:rFonts w:cs="Times New Roman"/>
          <w:noProof/>
          <w:lang w:val="sk-SK"/>
        </w:rPr>
        <w:t>dávanie, nahradenie</w:t>
      </w:r>
      <w:r w:rsidR="00083739" w:rsidRPr="00083739">
        <w:rPr>
          <w:rFonts w:cs="Times New Roman"/>
          <w:noProof/>
          <w:lang w:val="sk-SK"/>
        </w:rPr>
        <w:t xml:space="preserve"> a </w:t>
      </w:r>
      <w:r w:rsidRPr="00083739">
        <w:rPr>
          <w:rFonts w:cs="Times New Roman"/>
          <w:noProof/>
          <w:lang w:val="sk-SK"/>
        </w:rPr>
        <w:t>obnovenie vodičských preukazov, b) postupy týkajúce sa prevodu vozidiel, c) vydávanie dopravných preukazov</w:t>
      </w:r>
      <w:r w:rsidR="00083739" w:rsidRPr="00083739">
        <w:rPr>
          <w:rFonts w:cs="Times New Roman"/>
          <w:noProof/>
          <w:lang w:val="sk-SK"/>
        </w:rPr>
        <w:t xml:space="preserve"> a </w:t>
      </w:r>
      <w:r w:rsidRPr="00083739">
        <w:rPr>
          <w:rFonts w:cs="Times New Roman"/>
          <w:noProof/>
          <w:lang w:val="sk-SK"/>
        </w:rPr>
        <w:t>tabuliek</w:t>
      </w:r>
      <w:r w:rsidR="00083739" w:rsidRPr="00083739">
        <w:rPr>
          <w:rFonts w:cs="Times New Roman"/>
          <w:noProof/>
          <w:lang w:val="sk-SK"/>
        </w:rPr>
        <w:t xml:space="preserve"> a </w:t>
      </w:r>
      <w:r w:rsidRPr="00083739">
        <w:rPr>
          <w:rFonts w:cs="Times New Roman"/>
          <w:noProof/>
          <w:lang w:val="sk-SK"/>
        </w:rPr>
        <w:t>d) skúšky vodičských preukazov. Implementácia tejto reformy sa dokončí do 31</w:t>
      </w:r>
      <w:r w:rsidR="00083739" w:rsidRPr="00083739">
        <w:rPr>
          <w:rFonts w:cs="Times New Roman"/>
          <w:noProof/>
          <w:lang w:val="sk-SK"/>
        </w:rPr>
        <w:t>. decembra</w:t>
      </w:r>
      <w:r w:rsidRPr="00083739">
        <w:rPr>
          <w:rFonts w:cs="Times New Roman"/>
          <w:noProof/>
          <w:lang w:val="sk-SK"/>
        </w:rPr>
        <w:t xml:space="preserve"> 2024.</w:t>
      </w:r>
    </w:p>
    <w:p w14:paraId="3A937194" w14:textId="56C3F6BF"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Reforma:</w:t>
      </w:r>
      <w:r w:rsidRPr="00083739">
        <w:rPr>
          <w:rFonts w:cs="Times New Roman"/>
          <w:noProof/>
          <w:lang w:val="sk-SK"/>
        </w:rPr>
        <w:t xml:space="preserve"> Reforma </w:t>
      </w:r>
      <w:r w:rsidRPr="00083739">
        <w:rPr>
          <w:rFonts w:cs="Times New Roman"/>
          <w:noProof/>
          <w:lang w:val="sk-SK"/>
        </w:rPr>
        <w:t>práce</w:t>
      </w:r>
      <w:r w:rsidR="00083739" w:rsidRPr="00083739">
        <w:rPr>
          <w:rFonts w:cs="Times New Roman"/>
          <w:noProof/>
          <w:lang w:val="sk-SK"/>
        </w:rPr>
        <w:t xml:space="preserve"> v </w:t>
      </w:r>
      <w:r w:rsidRPr="00083739">
        <w:rPr>
          <w:rFonts w:cs="Times New Roman"/>
          <w:noProof/>
          <w:lang w:val="sk-SK"/>
        </w:rPr>
        <w:t>kultúrnom sektore (ID 16715)</w:t>
      </w:r>
    </w:p>
    <w:p w14:paraId="1BAF1D9B" w14:textId="24FC7172" w:rsidR="002D49B0" w:rsidRPr="00083739" w:rsidRDefault="00BF4125">
      <w:pPr>
        <w:pStyle w:val="P68B1DB1-Normal4"/>
        <w:spacing w:before="120" w:after="120" w:line="240" w:lineRule="auto"/>
        <w:jc w:val="both"/>
        <w:rPr>
          <w:rFonts w:cs="Times New Roman"/>
          <w:b/>
          <w:noProof/>
          <w:lang w:val="sk-SK"/>
        </w:rPr>
      </w:pPr>
      <w:r w:rsidRPr="00083739">
        <w:rPr>
          <w:rFonts w:cs="Times New Roman"/>
          <w:noProof/>
          <w:lang w:val="sk-SK"/>
        </w:rPr>
        <w:t>Touto reformou sa zavedú právne predpisy</w:t>
      </w:r>
      <w:r w:rsidR="00083739" w:rsidRPr="00083739">
        <w:rPr>
          <w:rFonts w:cs="Times New Roman"/>
          <w:noProof/>
          <w:lang w:val="sk-SK"/>
        </w:rPr>
        <w:t xml:space="preserve"> v </w:t>
      </w:r>
      <w:r w:rsidRPr="00083739">
        <w:rPr>
          <w:rFonts w:cs="Times New Roman"/>
          <w:noProof/>
          <w:lang w:val="sk-SK"/>
        </w:rPr>
        <w:t>oblasti práce</w:t>
      </w:r>
      <w:r w:rsidR="00083739" w:rsidRPr="00083739">
        <w:rPr>
          <w:rFonts w:cs="Times New Roman"/>
          <w:noProof/>
          <w:lang w:val="sk-SK"/>
        </w:rPr>
        <w:t xml:space="preserve"> a </w:t>
      </w:r>
      <w:r w:rsidRPr="00083739">
        <w:rPr>
          <w:rFonts w:cs="Times New Roman"/>
          <w:noProof/>
          <w:lang w:val="sk-SK"/>
        </w:rPr>
        <w:t>sociálneho zabezpečenia pre kultúrny</w:t>
      </w:r>
      <w:r w:rsidR="00083739" w:rsidRPr="00083739">
        <w:rPr>
          <w:rFonts w:cs="Times New Roman"/>
          <w:noProof/>
          <w:lang w:val="sk-SK"/>
        </w:rPr>
        <w:t xml:space="preserve"> a </w:t>
      </w:r>
      <w:r w:rsidRPr="00083739">
        <w:rPr>
          <w:rFonts w:cs="Times New Roman"/>
          <w:noProof/>
          <w:lang w:val="sk-SK"/>
        </w:rPr>
        <w:t>kreatívny sektor</w:t>
      </w:r>
      <w:r w:rsidR="00083739" w:rsidRPr="00083739">
        <w:rPr>
          <w:rFonts w:cs="Times New Roman"/>
          <w:noProof/>
          <w:lang w:val="sk-SK"/>
        </w:rPr>
        <w:t xml:space="preserve"> s </w:t>
      </w:r>
      <w:r w:rsidRPr="00083739">
        <w:rPr>
          <w:rFonts w:cs="Times New Roman"/>
          <w:noProof/>
          <w:lang w:val="sk-SK"/>
        </w:rPr>
        <w:t>cieľom zvýšiť podiel deklarovanej práce</w:t>
      </w:r>
      <w:r w:rsidR="00083739" w:rsidRPr="00083739">
        <w:rPr>
          <w:rFonts w:cs="Times New Roman"/>
          <w:noProof/>
          <w:lang w:val="sk-SK"/>
        </w:rPr>
        <w:t xml:space="preserve"> v </w:t>
      </w:r>
      <w:r w:rsidRPr="00083739">
        <w:rPr>
          <w:rFonts w:cs="Times New Roman"/>
          <w:noProof/>
          <w:lang w:val="sk-SK"/>
        </w:rPr>
        <w:t>tomto odvetví</w:t>
      </w:r>
      <w:r w:rsidR="00083739" w:rsidRPr="00083739">
        <w:rPr>
          <w:rFonts w:cs="Times New Roman"/>
          <w:noProof/>
          <w:lang w:val="sk-SK"/>
        </w:rPr>
        <w:t xml:space="preserve"> a </w:t>
      </w:r>
      <w:r w:rsidRPr="00083739">
        <w:rPr>
          <w:rFonts w:cs="Times New Roman"/>
          <w:noProof/>
          <w:lang w:val="sk-SK"/>
        </w:rPr>
        <w:t>podporiť odborníkov</w:t>
      </w:r>
      <w:r w:rsidR="00083739" w:rsidRPr="00083739">
        <w:rPr>
          <w:rFonts w:cs="Times New Roman"/>
          <w:noProof/>
          <w:lang w:val="sk-SK"/>
        </w:rPr>
        <w:t xml:space="preserve"> v </w:t>
      </w:r>
      <w:r w:rsidRPr="00083739">
        <w:rPr>
          <w:rFonts w:cs="Times New Roman"/>
          <w:noProof/>
          <w:lang w:val="sk-SK"/>
        </w:rPr>
        <w:t>tomto odvetví</w:t>
      </w:r>
      <w:r w:rsidR="00083739" w:rsidRPr="00083739">
        <w:rPr>
          <w:rFonts w:cs="Times New Roman"/>
          <w:noProof/>
          <w:lang w:val="sk-SK"/>
        </w:rPr>
        <w:t xml:space="preserve"> a </w:t>
      </w:r>
      <w:r w:rsidRPr="00083739">
        <w:rPr>
          <w:rFonts w:cs="Times New Roman"/>
          <w:noProof/>
          <w:lang w:val="sk-SK"/>
        </w:rPr>
        <w:t>chráni</w:t>
      </w:r>
      <w:r w:rsidRPr="00083739">
        <w:rPr>
          <w:rFonts w:cs="Times New Roman"/>
          <w:noProof/>
          <w:lang w:val="sk-SK"/>
        </w:rPr>
        <w:t>ť ich práva duševného vlastníctva. Cieľom tejto reformy je zvýšiť odolnosť kultúrneho</w:t>
      </w:r>
      <w:r w:rsidR="00083739" w:rsidRPr="00083739">
        <w:rPr>
          <w:rFonts w:cs="Times New Roman"/>
          <w:noProof/>
          <w:lang w:val="sk-SK"/>
        </w:rPr>
        <w:t xml:space="preserve"> a </w:t>
      </w:r>
      <w:r w:rsidRPr="00083739">
        <w:rPr>
          <w:rFonts w:cs="Times New Roman"/>
          <w:noProof/>
          <w:lang w:val="sk-SK"/>
        </w:rPr>
        <w:t>kreatívneho sektora. Implementácia reformy sa dokončí do 30</w:t>
      </w:r>
      <w:r w:rsidR="00083739" w:rsidRPr="00083739">
        <w:rPr>
          <w:rFonts w:cs="Times New Roman"/>
          <w:noProof/>
          <w:lang w:val="sk-SK"/>
        </w:rPr>
        <w:t>. septembra</w:t>
      </w:r>
      <w:r w:rsidRPr="00083739">
        <w:rPr>
          <w:rFonts w:cs="Times New Roman"/>
          <w:noProof/>
          <w:lang w:val="sk-SK"/>
        </w:rPr>
        <w:t xml:space="preserve"> 2022.</w:t>
      </w:r>
      <w:r w:rsidRPr="00083739">
        <w:rPr>
          <w:rFonts w:cs="Times New Roman"/>
          <w:noProof/>
          <w:lang w:val="sk-SK"/>
        </w:rPr>
        <w:br w:type="page"/>
      </w:r>
    </w:p>
    <w:p w14:paraId="513ACE6E" w14:textId="68B5A606"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Kultúra ako hnacia sila rastu (ID opatrenia 16293)</w:t>
      </w:r>
    </w:p>
    <w:p w14:paraId="580E2043" w14:textId="43A31CB2"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 xml:space="preserve">Celkovým cieľom investície </w:t>
      </w:r>
      <w:r w:rsidRPr="00083739">
        <w:rPr>
          <w:rFonts w:cs="Times New Roman"/>
          <w:noProof/>
          <w:lang w:val="sk-SK"/>
        </w:rPr>
        <w:t>je podporovať prínos kultúry</w:t>
      </w:r>
      <w:r w:rsidR="00083739" w:rsidRPr="00083739">
        <w:rPr>
          <w:rFonts w:cs="Times New Roman"/>
          <w:noProof/>
          <w:lang w:val="sk-SK"/>
        </w:rPr>
        <w:t xml:space="preserve"> k </w:t>
      </w:r>
      <w:r w:rsidRPr="00083739">
        <w:rPr>
          <w:rFonts w:cs="Times New Roman"/>
          <w:noProof/>
          <w:lang w:val="sk-SK"/>
        </w:rPr>
        <w:t>inteligentnému</w:t>
      </w:r>
      <w:r w:rsidR="00083739" w:rsidRPr="00083739">
        <w:rPr>
          <w:rFonts w:cs="Times New Roman"/>
          <w:noProof/>
          <w:lang w:val="sk-SK"/>
        </w:rPr>
        <w:t xml:space="preserve"> a </w:t>
      </w:r>
      <w:r w:rsidRPr="00083739">
        <w:rPr>
          <w:rFonts w:cs="Times New Roman"/>
          <w:noProof/>
          <w:lang w:val="sk-SK"/>
        </w:rPr>
        <w:t>udržateľnému rastu</w:t>
      </w:r>
      <w:r w:rsidR="00083739" w:rsidRPr="00083739">
        <w:rPr>
          <w:rFonts w:cs="Times New Roman"/>
          <w:noProof/>
          <w:lang w:val="sk-SK"/>
        </w:rPr>
        <w:t xml:space="preserve"> a </w:t>
      </w:r>
      <w:r w:rsidRPr="00083739">
        <w:rPr>
          <w:rFonts w:cs="Times New Roman"/>
          <w:noProof/>
          <w:lang w:val="sk-SK"/>
        </w:rPr>
        <w:t>hospodárskej, sociálnej</w:t>
      </w:r>
      <w:r w:rsidR="00083739" w:rsidRPr="00083739">
        <w:rPr>
          <w:rFonts w:cs="Times New Roman"/>
          <w:noProof/>
          <w:lang w:val="sk-SK"/>
        </w:rPr>
        <w:t xml:space="preserve"> a </w:t>
      </w:r>
      <w:r w:rsidRPr="00083739">
        <w:rPr>
          <w:rFonts w:cs="Times New Roman"/>
          <w:noProof/>
          <w:lang w:val="sk-SK"/>
        </w:rPr>
        <w:t>územnej súdržnosti. Pozostáva zo šiestich čiastkových projektov:</w:t>
      </w:r>
    </w:p>
    <w:p w14:paraId="30F87D10" w14:textId="6CDA7114" w:rsidR="002D49B0" w:rsidRPr="00083739" w:rsidRDefault="00BF4125">
      <w:pPr>
        <w:pStyle w:val="P68B1DB1-Normal4"/>
        <w:numPr>
          <w:ilvl w:val="0"/>
          <w:numId w:val="65"/>
        </w:numPr>
        <w:spacing w:before="120" w:after="120" w:line="240" w:lineRule="auto"/>
        <w:ind w:left="360"/>
        <w:jc w:val="both"/>
        <w:rPr>
          <w:rFonts w:cs="Times New Roman"/>
          <w:noProof/>
          <w:lang w:val="sk-SK"/>
        </w:rPr>
      </w:pPr>
      <w:r w:rsidRPr="00083739">
        <w:rPr>
          <w:rFonts w:cs="Times New Roman"/>
          <w:noProof/>
          <w:lang w:val="sk-SK"/>
        </w:rPr>
        <w:t>poskytovanie podpory regionálnym stratégiám kultúrneho</w:t>
      </w:r>
      <w:r w:rsidR="00083739" w:rsidRPr="00083739">
        <w:rPr>
          <w:rFonts w:cs="Times New Roman"/>
          <w:noProof/>
          <w:lang w:val="sk-SK"/>
        </w:rPr>
        <w:t xml:space="preserve"> a </w:t>
      </w:r>
      <w:r w:rsidRPr="00083739">
        <w:rPr>
          <w:rFonts w:cs="Times New Roman"/>
          <w:noProof/>
          <w:lang w:val="sk-SK"/>
        </w:rPr>
        <w:t xml:space="preserve">kreatívneho priemyslu, poskytovanie </w:t>
      </w:r>
      <w:r w:rsidRPr="00083739">
        <w:rPr>
          <w:rFonts w:cs="Times New Roman"/>
          <w:noProof/>
          <w:lang w:val="sk-SK"/>
        </w:rPr>
        <w:t>podpory miestnym remeselným ekosystémom, vytváranie ekosystému regionálneho rastu zameraného na kultúru, zdôrazňovanie funkčnej</w:t>
      </w:r>
      <w:r w:rsidR="00083739" w:rsidRPr="00083739">
        <w:rPr>
          <w:rFonts w:cs="Times New Roman"/>
          <w:noProof/>
          <w:lang w:val="sk-SK"/>
        </w:rPr>
        <w:t xml:space="preserve"> a </w:t>
      </w:r>
      <w:r w:rsidRPr="00083739">
        <w:rPr>
          <w:rFonts w:cs="Times New Roman"/>
          <w:noProof/>
          <w:lang w:val="sk-SK"/>
        </w:rPr>
        <w:t>organickej medzisektorovej pridanej hodnoty kultúrneho</w:t>
      </w:r>
      <w:r w:rsidR="00083739" w:rsidRPr="00083739">
        <w:rPr>
          <w:rFonts w:cs="Times New Roman"/>
          <w:noProof/>
          <w:lang w:val="sk-SK"/>
        </w:rPr>
        <w:t xml:space="preserve"> a </w:t>
      </w:r>
      <w:r w:rsidRPr="00083739">
        <w:rPr>
          <w:rFonts w:cs="Times New Roman"/>
          <w:noProof/>
          <w:lang w:val="sk-SK"/>
        </w:rPr>
        <w:t>kreatívneho priemyslu, vytváranie pracovných miest, zavádzanie udržat</w:t>
      </w:r>
      <w:r w:rsidRPr="00083739">
        <w:rPr>
          <w:rFonts w:cs="Times New Roman"/>
          <w:noProof/>
          <w:lang w:val="sk-SK"/>
        </w:rPr>
        <w:t>eľných finančných činností, rozvoj „skúšobného hospodárstva“ atď. Podpora zahŕňa rozvoj</w:t>
      </w:r>
      <w:r w:rsidR="00083739" w:rsidRPr="00083739">
        <w:rPr>
          <w:rFonts w:cs="Times New Roman"/>
          <w:noProof/>
          <w:lang w:val="sk-SK"/>
        </w:rPr>
        <w:t xml:space="preserve"> a </w:t>
      </w:r>
      <w:r w:rsidRPr="00083739">
        <w:rPr>
          <w:rFonts w:cs="Times New Roman"/>
          <w:noProof/>
          <w:lang w:val="sk-SK"/>
        </w:rPr>
        <w:t>modernizáciu kultúrnych miestností, služieb</w:t>
      </w:r>
      <w:r w:rsidR="00083739" w:rsidRPr="00083739">
        <w:rPr>
          <w:rFonts w:cs="Times New Roman"/>
          <w:noProof/>
          <w:lang w:val="sk-SK"/>
        </w:rPr>
        <w:t xml:space="preserve"> a </w:t>
      </w:r>
      <w:r w:rsidRPr="00083739">
        <w:rPr>
          <w:rFonts w:cs="Times New Roman"/>
          <w:noProof/>
          <w:lang w:val="sk-SK"/>
        </w:rPr>
        <w:t>skúseností, zvyšovanie úrovne zručností pracovnej sily, rozvoj miestnych kultúrnych trás, podporu tvorivosti</w:t>
      </w:r>
      <w:r w:rsidR="00083739" w:rsidRPr="00083739">
        <w:rPr>
          <w:rFonts w:cs="Times New Roman"/>
          <w:noProof/>
          <w:lang w:val="sk-SK"/>
        </w:rPr>
        <w:t xml:space="preserve"> a </w:t>
      </w:r>
      <w:r w:rsidRPr="00083739">
        <w:rPr>
          <w:rFonts w:cs="Times New Roman"/>
          <w:noProof/>
          <w:lang w:val="sk-SK"/>
        </w:rPr>
        <w:t>inovácie,</w:t>
      </w:r>
      <w:r w:rsidRPr="00083739">
        <w:rPr>
          <w:rFonts w:cs="Times New Roman"/>
          <w:noProof/>
          <w:lang w:val="sk-SK"/>
        </w:rPr>
        <w:t xml:space="preserve"> financovanie energeticky účinných obnov</w:t>
      </w:r>
      <w:r w:rsidR="00083739" w:rsidRPr="00083739">
        <w:rPr>
          <w:rFonts w:cs="Times New Roman"/>
          <w:noProof/>
          <w:lang w:val="sk-SK"/>
        </w:rPr>
        <w:t xml:space="preserve"> a </w:t>
      </w:r>
      <w:r w:rsidRPr="00083739">
        <w:rPr>
          <w:rFonts w:cs="Times New Roman"/>
          <w:noProof/>
          <w:lang w:val="sk-SK"/>
        </w:rPr>
        <w:t>opatrení</w:t>
      </w:r>
      <w:r w:rsidR="00083739" w:rsidRPr="00083739">
        <w:rPr>
          <w:rFonts w:cs="Times New Roman"/>
          <w:noProof/>
          <w:lang w:val="sk-SK"/>
        </w:rPr>
        <w:t xml:space="preserve"> v </w:t>
      </w:r>
      <w:r w:rsidRPr="00083739">
        <w:rPr>
          <w:rFonts w:cs="Times New Roman"/>
          <w:noProof/>
          <w:lang w:val="sk-SK"/>
        </w:rPr>
        <w:t>oblasti energetickej efektívnosti týkajúcich sa verejnej infraštruktúry atď.</w:t>
      </w:r>
    </w:p>
    <w:p w14:paraId="47E296AB" w14:textId="56CD21FC" w:rsidR="002D49B0" w:rsidRPr="00083739" w:rsidRDefault="00BF4125">
      <w:pPr>
        <w:pStyle w:val="P68B1DB1-Normal4"/>
        <w:numPr>
          <w:ilvl w:val="0"/>
          <w:numId w:val="65"/>
        </w:numPr>
        <w:spacing w:before="120" w:after="120" w:line="240" w:lineRule="auto"/>
        <w:ind w:left="360"/>
        <w:jc w:val="both"/>
        <w:rPr>
          <w:rFonts w:cs="Times New Roman"/>
          <w:noProof/>
          <w:lang w:val="sk-SK"/>
        </w:rPr>
      </w:pPr>
      <w:r w:rsidRPr="00083739">
        <w:rPr>
          <w:rFonts w:cs="Times New Roman"/>
          <w:noProof/>
          <w:lang w:val="sk-SK"/>
        </w:rPr>
        <w:t>rozšírenie využívania archeologických nálezísk</w:t>
      </w:r>
      <w:r w:rsidR="00083739" w:rsidRPr="00083739">
        <w:rPr>
          <w:rFonts w:cs="Times New Roman"/>
          <w:noProof/>
          <w:lang w:val="sk-SK"/>
        </w:rPr>
        <w:t xml:space="preserve"> a </w:t>
      </w:r>
      <w:r w:rsidRPr="00083739">
        <w:rPr>
          <w:rFonts w:cs="Times New Roman"/>
          <w:noProof/>
          <w:lang w:val="sk-SK"/>
        </w:rPr>
        <w:t>pamiatok ako miest na podujatia,</w:t>
      </w:r>
    </w:p>
    <w:p w14:paraId="5ABAFF60" w14:textId="12121F17" w:rsidR="002D49B0" w:rsidRPr="00083739" w:rsidRDefault="00BF4125">
      <w:pPr>
        <w:pStyle w:val="P68B1DB1-Normal4"/>
        <w:numPr>
          <w:ilvl w:val="0"/>
          <w:numId w:val="65"/>
        </w:numPr>
        <w:spacing w:before="120" w:after="120" w:line="240" w:lineRule="auto"/>
        <w:ind w:left="360"/>
        <w:jc w:val="both"/>
        <w:rPr>
          <w:rFonts w:cs="Times New Roman"/>
          <w:noProof/>
          <w:lang w:val="sk-SK"/>
        </w:rPr>
      </w:pPr>
      <w:r w:rsidRPr="00083739">
        <w:rPr>
          <w:rFonts w:cs="Times New Roman"/>
          <w:noProof/>
          <w:lang w:val="sk-SK"/>
        </w:rPr>
        <w:t>poskytovanie podpory digitálnej transformác</w:t>
      </w:r>
      <w:r w:rsidRPr="00083739">
        <w:rPr>
          <w:rFonts w:cs="Times New Roman"/>
          <w:noProof/>
          <w:lang w:val="sk-SK"/>
        </w:rPr>
        <w:t>ii kultúrneho</w:t>
      </w:r>
      <w:r w:rsidR="00083739" w:rsidRPr="00083739">
        <w:rPr>
          <w:rFonts w:cs="Times New Roman"/>
          <w:noProof/>
          <w:lang w:val="sk-SK"/>
        </w:rPr>
        <w:t xml:space="preserve"> a </w:t>
      </w:r>
      <w:r w:rsidRPr="00083739">
        <w:rPr>
          <w:rFonts w:cs="Times New Roman"/>
          <w:noProof/>
          <w:lang w:val="sk-SK"/>
        </w:rPr>
        <w:t>kreatívneho priemyslu</w:t>
      </w:r>
      <w:r w:rsidR="00083739" w:rsidRPr="00083739">
        <w:rPr>
          <w:rFonts w:cs="Times New Roman"/>
          <w:noProof/>
          <w:lang w:val="sk-SK"/>
        </w:rPr>
        <w:t xml:space="preserve"> a </w:t>
      </w:r>
      <w:r w:rsidRPr="00083739">
        <w:rPr>
          <w:rFonts w:cs="Times New Roman"/>
          <w:noProof/>
          <w:lang w:val="sk-SK"/>
        </w:rPr>
        <w:t>rozvoju digitálnych modelov kultúrnej produkcie</w:t>
      </w:r>
      <w:r w:rsidR="00083739" w:rsidRPr="00083739">
        <w:rPr>
          <w:rFonts w:cs="Times New Roman"/>
          <w:noProof/>
          <w:lang w:val="sk-SK"/>
        </w:rPr>
        <w:t xml:space="preserve"> a </w:t>
      </w:r>
      <w:r w:rsidRPr="00083739">
        <w:rPr>
          <w:rFonts w:cs="Times New Roman"/>
          <w:noProof/>
          <w:lang w:val="sk-SK"/>
        </w:rPr>
        <w:t>distribúcie,</w:t>
      </w:r>
    </w:p>
    <w:p w14:paraId="52E3FD3C" w14:textId="05EDB8D7" w:rsidR="002D49B0" w:rsidRPr="00083739" w:rsidRDefault="00BF4125">
      <w:pPr>
        <w:pStyle w:val="P68B1DB1-Normal4"/>
        <w:numPr>
          <w:ilvl w:val="0"/>
          <w:numId w:val="65"/>
        </w:numPr>
        <w:spacing w:before="120" w:after="120" w:line="240" w:lineRule="auto"/>
        <w:ind w:left="360"/>
        <w:jc w:val="both"/>
        <w:rPr>
          <w:rFonts w:cs="Times New Roman"/>
          <w:noProof/>
          <w:lang w:val="sk-SK"/>
        </w:rPr>
      </w:pPr>
      <w:r w:rsidRPr="00083739">
        <w:rPr>
          <w:rFonts w:cs="Times New Roman"/>
          <w:noProof/>
          <w:lang w:val="sk-SK"/>
        </w:rPr>
        <w:t>podpora filmového priemyslu ako hnacej sily rastu</w:t>
      </w:r>
      <w:r w:rsidR="00083739" w:rsidRPr="00083739">
        <w:rPr>
          <w:rFonts w:cs="Times New Roman"/>
          <w:noProof/>
          <w:lang w:val="sk-SK"/>
        </w:rPr>
        <w:t xml:space="preserve"> a </w:t>
      </w:r>
      <w:r w:rsidRPr="00083739">
        <w:rPr>
          <w:rFonts w:cs="Times New Roman"/>
          <w:noProof/>
          <w:lang w:val="sk-SK"/>
        </w:rPr>
        <w:t>tvorivosti a</w:t>
      </w:r>
    </w:p>
    <w:p w14:paraId="2930498A" w14:textId="1843C0BD" w:rsidR="00083739" w:rsidRPr="00083739" w:rsidRDefault="00BF4125">
      <w:pPr>
        <w:pStyle w:val="P68B1DB1-Normal4"/>
        <w:numPr>
          <w:ilvl w:val="0"/>
          <w:numId w:val="65"/>
        </w:numPr>
        <w:spacing w:before="120" w:after="120" w:line="240" w:lineRule="auto"/>
        <w:ind w:left="360"/>
        <w:jc w:val="both"/>
        <w:rPr>
          <w:rFonts w:cs="Times New Roman"/>
          <w:noProof/>
          <w:lang w:val="sk-SK"/>
        </w:rPr>
      </w:pPr>
      <w:r w:rsidRPr="00083739">
        <w:rPr>
          <w:rFonts w:cs="Times New Roman"/>
          <w:noProof/>
          <w:lang w:val="sk-SK"/>
        </w:rPr>
        <w:t>podpora gréckej kultúrnej značky</w:t>
      </w:r>
      <w:r w:rsidR="00083739" w:rsidRPr="00083739">
        <w:rPr>
          <w:rFonts w:cs="Times New Roman"/>
          <w:noProof/>
          <w:lang w:val="sk-SK"/>
        </w:rPr>
        <w:t xml:space="preserve"> a </w:t>
      </w:r>
      <w:r w:rsidRPr="00083739">
        <w:rPr>
          <w:rFonts w:cs="Times New Roman"/>
          <w:noProof/>
          <w:lang w:val="sk-SK"/>
        </w:rPr>
        <w:t>obchodu</w:t>
      </w:r>
      <w:r w:rsidR="00083739" w:rsidRPr="00083739">
        <w:rPr>
          <w:rFonts w:cs="Times New Roman"/>
          <w:noProof/>
          <w:lang w:val="sk-SK"/>
        </w:rPr>
        <w:t>.</w:t>
      </w:r>
    </w:p>
    <w:p w14:paraId="5BD1477A" w14:textId="6EB31A3A"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 xml:space="preserve">Očakáva sa, že toto opatrenie výrazne </w:t>
      </w:r>
      <w:r w:rsidRPr="00083739">
        <w:rPr>
          <w:rFonts w:cs="Times New Roman"/>
          <w:noProof/>
          <w:lang w:val="sk-SK"/>
        </w:rPr>
        <w:t>nenaruší environmentálne ciele</w:t>
      </w:r>
      <w:r w:rsidR="00083739" w:rsidRPr="00083739">
        <w:rPr>
          <w:rFonts w:cs="Times New Roman"/>
          <w:noProof/>
          <w:lang w:val="sk-SK"/>
        </w:rPr>
        <w:t xml:space="preserve"> v </w:t>
      </w:r>
      <w:r w:rsidRPr="00083739">
        <w:rPr>
          <w:rFonts w:cs="Times New Roman"/>
          <w:noProof/>
          <w:lang w:val="sk-SK"/>
        </w:rPr>
        <w:t>zmysle článku 17 nariadenia (EÚ) 2020/852, pričom sa zohľadní opis opatrenia</w:t>
      </w:r>
      <w:r w:rsidR="00083739" w:rsidRPr="00083739">
        <w:rPr>
          <w:rFonts w:cs="Times New Roman"/>
          <w:noProof/>
          <w:lang w:val="sk-SK"/>
        </w:rPr>
        <w:t xml:space="preserve"> a </w:t>
      </w:r>
      <w:r w:rsidRPr="00083739">
        <w:rPr>
          <w:rFonts w:cs="Times New Roman"/>
          <w:noProof/>
          <w:lang w:val="sk-SK"/>
        </w:rPr>
        <w:t>zmierňujúce kroky stanovené</w:t>
      </w:r>
      <w:r w:rsidR="00083739" w:rsidRPr="00083739">
        <w:rPr>
          <w:rFonts w:cs="Times New Roman"/>
          <w:noProof/>
          <w:lang w:val="sk-SK"/>
        </w:rPr>
        <w:t xml:space="preserve"> v </w:t>
      </w:r>
      <w:r w:rsidRPr="00083739">
        <w:rPr>
          <w:rFonts w:cs="Times New Roman"/>
          <w:noProof/>
          <w:lang w:val="sk-SK"/>
        </w:rPr>
        <w:t>pláne podpory obnovy</w:t>
      </w:r>
      <w:r w:rsidR="00083739" w:rsidRPr="00083739">
        <w:rPr>
          <w:rFonts w:cs="Times New Roman"/>
          <w:noProof/>
          <w:lang w:val="sk-SK"/>
        </w:rPr>
        <w:t xml:space="preserve"> a </w:t>
      </w:r>
      <w:r w:rsidRPr="00083739">
        <w:rPr>
          <w:rFonts w:cs="Times New Roman"/>
          <w:noProof/>
          <w:lang w:val="sk-SK"/>
        </w:rPr>
        <w:t>odolnosti</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technickým usmernením „výrazne nenarušiť“ (2021/C58/01). Najmä čiastko</w:t>
      </w:r>
      <w:r w:rsidRPr="00083739">
        <w:rPr>
          <w:rFonts w:cs="Times New Roman"/>
          <w:noProof/>
          <w:lang w:val="sk-SK"/>
        </w:rPr>
        <w:t>vý projekt týkajúci sa výstavby prístupových ciest podlieha posudzovaniu vplyvov na životné prostredie (EIA) podľa smernice 2011/92/EÚ, aby sa zabezpečil súlad so zásadou „výrazne nenarušiť“ do projektu</w:t>
      </w:r>
      <w:r w:rsidR="00083739" w:rsidRPr="00083739">
        <w:rPr>
          <w:rFonts w:cs="Times New Roman"/>
          <w:noProof/>
          <w:lang w:val="sk-SK"/>
        </w:rPr>
        <w:t xml:space="preserve"> a </w:t>
      </w:r>
      <w:r w:rsidRPr="00083739">
        <w:rPr>
          <w:rFonts w:cs="Times New Roman"/>
          <w:noProof/>
          <w:lang w:val="sk-SK"/>
        </w:rPr>
        <w:t>prísne sa dodržiaval vo fázach výstavby, prevádzky</w:t>
      </w:r>
      <w:r w:rsidR="00083739" w:rsidRPr="00083739">
        <w:rPr>
          <w:rFonts w:cs="Times New Roman"/>
          <w:noProof/>
          <w:lang w:val="sk-SK"/>
        </w:rPr>
        <w:t xml:space="preserve"> a </w:t>
      </w:r>
      <w:r w:rsidRPr="00083739">
        <w:rPr>
          <w:rFonts w:cs="Times New Roman"/>
          <w:noProof/>
          <w:lang w:val="sk-SK"/>
        </w:rPr>
        <w:t>vyraďovania infraštruktúry</w:t>
      </w:r>
      <w:r w:rsidR="00083739" w:rsidRPr="00083739">
        <w:rPr>
          <w:rFonts w:cs="Times New Roman"/>
          <w:noProof/>
          <w:lang w:val="sk-SK"/>
        </w:rPr>
        <w:t xml:space="preserve"> z </w:t>
      </w:r>
      <w:r w:rsidRPr="00083739">
        <w:rPr>
          <w:rFonts w:cs="Times New Roman"/>
          <w:noProof/>
          <w:lang w:val="sk-SK"/>
        </w:rPr>
        <w:t>prevádzky. Realizácia investície sa ukončí do 31</w:t>
      </w:r>
      <w:r w:rsidR="00083739" w:rsidRPr="00083739">
        <w:rPr>
          <w:rFonts w:cs="Times New Roman"/>
          <w:noProof/>
          <w:lang w:val="sk-SK"/>
        </w:rPr>
        <w:t>. decembra</w:t>
      </w:r>
      <w:r w:rsidRPr="00083739">
        <w:rPr>
          <w:rFonts w:cs="Times New Roman"/>
          <w:noProof/>
          <w:lang w:val="sk-SK"/>
        </w:rPr>
        <w:t xml:space="preserve"> 2025.</w:t>
      </w:r>
    </w:p>
    <w:p w14:paraId="06B00211" w14:textId="7777777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Múzeum podmorských starožitností (ID opatrenia 16486)</w:t>
      </w:r>
    </w:p>
    <w:p w14:paraId="294C0B7C" w14:textId="700E84D0" w:rsidR="002D49B0" w:rsidRPr="00083739" w:rsidRDefault="00BF4125">
      <w:pPr>
        <w:pStyle w:val="P68B1DB1-Normal5"/>
        <w:spacing w:before="120" w:after="120" w:line="240" w:lineRule="auto"/>
        <w:jc w:val="both"/>
        <w:rPr>
          <w:rFonts w:cs="Times New Roman"/>
          <w:noProof/>
          <w:lang w:val="sk-SK"/>
        </w:rPr>
      </w:pPr>
      <w:r w:rsidRPr="00083739">
        <w:rPr>
          <w:rFonts w:cs="Times New Roman"/>
          <w:noProof/>
          <w:lang w:val="sk-SK"/>
        </w:rPr>
        <w:t>Táto investícia obnoví prostredníctvom energeticky efektívnej obnovy priemyselnú budovu na Pir</w:t>
      </w:r>
      <w:r w:rsidRPr="00083739">
        <w:rPr>
          <w:rFonts w:cs="Times New Roman"/>
          <w:noProof/>
          <w:lang w:val="sk-SK"/>
        </w:rPr>
        <w:t>eu</w:t>
      </w:r>
      <w:r w:rsidR="00083739" w:rsidRPr="00083739">
        <w:rPr>
          <w:rFonts w:cs="Times New Roman"/>
          <w:noProof/>
          <w:lang w:val="sk-SK"/>
        </w:rPr>
        <w:t xml:space="preserve"> a </w:t>
      </w:r>
      <w:r w:rsidRPr="00083739">
        <w:rPr>
          <w:rFonts w:cs="Times New Roman"/>
          <w:noProof/>
          <w:lang w:val="sk-SK"/>
        </w:rPr>
        <w:t>znovu ju otvorí ako múzeum podmorských starožitností. Cieľom investície je vytvoriť pridanú hodnotu</w:t>
      </w:r>
      <w:r w:rsidR="00083739" w:rsidRPr="00083739">
        <w:rPr>
          <w:rFonts w:cs="Times New Roman"/>
          <w:noProof/>
          <w:lang w:val="sk-SK"/>
        </w:rPr>
        <w:t xml:space="preserve"> z </w:t>
      </w:r>
      <w:r w:rsidRPr="00083739">
        <w:rPr>
          <w:rFonts w:cs="Times New Roman"/>
          <w:noProof/>
          <w:lang w:val="sk-SK"/>
        </w:rPr>
        <w:t>hľadiska kultúry</w:t>
      </w:r>
      <w:r w:rsidR="00083739" w:rsidRPr="00083739">
        <w:rPr>
          <w:rFonts w:cs="Times New Roman"/>
          <w:noProof/>
          <w:lang w:val="sk-SK"/>
        </w:rPr>
        <w:t xml:space="preserve"> a </w:t>
      </w:r>
      <w:r w:rsidRPr="00083739">
        <w:rPr>
          <w:rFonts w:cs="Times New Roman"/>
          <w:noProof/>
          <w:lang w:val="sk-SK"/>
        </w:rPr>
        <w:t>cestovného ruchu pre prístavné mesto Pireus</w:t>
      </w:r>
      <w:r w:rsidR="00083739" w:rsidRPr="00083739">
        <w:rPr>
          <w:rFonts w:cs="Times New Roman"/>
          <w:noProof/>
          <w:lang w:val="sk-SK"/>
        </w:rPr>
        <w:t xml:space="preserve"> a </w:t>
      </w:r>
      <w:r w:rsidRPr="00083739">
        <w:rPr>
          <w:rFonts w:cs="Times New Roman"/>
          <w:noProof/>
          <w:lang w:val="sk-SK"/>
        </w:rPr>
        <w:t>širšiu oblasť Atén. Očakáva sa, že toto opatrenie výrazne nenaruší environmentálne c</w:t>
      </w:r>
      <w:r w:rsidRPr="00083739">
        <w:rPr>
          <w:rFonts w:cs="Times New Roman"/>
          <w:noProof/>
          <w:lang w:val="sk-SK"/>
        </w:rPr>
        <w:t>iele</w:t>
      </w:r>
      <w:r w:rsidR="00083739" w:rsidRPr="00083739">
        <w:rPr>
          <w:rFonts w:cs="Times New Roman"/>
          <w:noProof/>
          <w:lang w:val="sk-SK"/>
        </w:rPr>
        <w:t xml:space="preserve"> v </w:t>
      </w:r>
      <w:r w:rsidRPr="00083739">
        <w:rPr>
          <w:rFonts w:cs="Times New Roman"/>
          <w:noProof/>
          <w:lang w:val="sk-SK"/>
        </w:rPr>
        <w:t>zmysle článku 17 nariadenia (EÚ) 2020/852, pričom sa zohľadní opis opatrenia</w:t>
      </w:r>
      <w:r w:rsidR="00083739" w:rsidRPr="00083739">
        <w:rPr>
          <w:rFonts w:cs="Times New Roman"/>
          <w:noProof/>
          <w:lang w:val="sk-SK"/>
        </w:rPr>
        <w:t xml:space="preserve"> a </w:t>
      </w:r>
      <w:r w:rsidRPr="00083739">
        <w:rPr>
          <w:rFonts w:cs="Times New Roman"/>
          <w:noProof/>
          <w:lang w:val="sk-SK"/>
        </w:rPr>
        <w:t>zmierňujúce kroky stanovené</w:t>
      </w:r>
      <w:r w:rsidR="00083739" w:rsidRPr="00083739">
        <w:rPr>
          <w:rFonts w:cs="Times New Roman"/>
          <w:noProof/>
          <w:lang w:val="sk-SK"/>
        </w:rPr>
        <w:t xml:space="preserve"> v </w:t>
      </w:r>
      <w:r w:rsidRPr="00083739">
        <w:rPr>
          <w:rFonts w:cs="Times New Roman"/>
          <w:noProof/>
          <w:lang w:val="sk-SK"/>
        </w:rPr>
        <w:t>pláne podpory obnovy</w:t>
      </w:r>
      <w:r w:rsidR="00083739" w:rsidRPr="00083739">
        <w:rPr>
          <w:rFonts w:cs="Times New Roman"/>
          <w:noProof/>
          <w:lang w:val="sk-SK"/>
        </w:rPr>
        <w:t xml:space="preserve"> a </w:t>
      </w:r>
      <w:r w:rsidRPr="00083739">
        <w:rPr>
          <w:rFonts w:cs="Times New Roman"/>
          <w:noProof/>
          <w:lang w:val="sk-SK"/>
        </w:rPr>
        <w:t>odolnosti</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technickým usmernením „výrazne nenarušiť“ (2021/C58/01). Konkrétne sa</w:t>
      </w:r>
      <w:r w:rsidR="00083739" w:rsidRPr="00083739">
        <w:rPr>
          <w:rFonts w:cs="Times New Roman"/>
          <w:noProof/>
          <w:lang w:val="sk-SK"/>
        </w:rPr>
        <w:t xml:space="preserve"> v </w:t>
      </w:r>
      <w:r w:rsidRPr="00083739">
        <w:rPr>
          <w:rFonts w:cs="Times New Roman"/>
          <w:noProof/>
          <w:lang w:val="sk-SK"/>
        </w:rPr>
        <w:t>tomto opatrení vyžaduje,</w:t>
      </w:r>
      <w:r w:rsidRPr="00083739">
        <w:rPr>
          <w:rFonts w:cs="Times New Roman"/>
          <w:noProof/>
          <w:lang w:val="sk-SK"/>
        </w:rPr>
        <w:t xml:space="preserve"> aby hospodárske subjekty vykonávajúce stavebné práce zabezpečili, že najmenej 70</w:t>
      </w:r>
      <w:r w:rsidR="00083739" w:rsidRPr="00083739">
        <w:rPr>
          <w:rFonts w:cs="Times New Roman"/>
          <w:noProof/>
          <w:lang w:val="sk-SK"/>
        </w:rPr>
        <w:t> %</w:t>
      </w:r>
      <w:r w:rsidRPr="00083739">
        <w:rPr>
          <w:rFonts w:cs="Times New Roman"/>
          <w:noProof/>
          <w:lang w:val="sk-SK"/>
        </w:rPr>
        <w:t xml:space="preserve"> (hmotnosti) stavebného</w:t>
      </w:r>
      <w:r w:rsidR="00083739" w:rsidRPr="00083739">
        <w:rPr>
          <w:rFonts w:cs="Times New Roman"/>
          <w:noProof/>
          <w:lang w:val="sk-SK"/>
        </w:rPr>
        <w:t xml:space="preserve"> a </w:t>
      </w:r>
      <w:r w:rsidRPr="00083739">
        <w:rPr>
          <w:rFonts w:cs="Times New Roman"/>
          <w:noProof/>
          <w:lang w:val="sk-SK"/>
        </w:rPr>
        <w:t>demolačného odpadu, ktorý nie je nebezpečný [okrem prirodzene sa vyskytujúceho materiálu uvedeného</w:t>
      </w:r>
      <w:r w:rsidR="00083739" w:rsidRPr="00083739">
        <w:rPr>
          <w:rFonts w:cs="Times New Roman"/>
          <w:noProof/>
          <w:lang w:val="sk-SK"/>
        </w:rPr>
        <w:t xml:space="preserve"> v </w:t>
      </w:r>
      <w:r w:rsidRPr="00083739">
        <w:rPr>
          <w:rFonts w:cs="Times New Roman"/>
          <w:noProof/>
          <w:lang w:val="sk-SK"/>
        </w:rPr>
        <w:t>kategórii 17 05 04</w:t>
      </w:r>
      <w:r w:rsidR="00083739" w:rsidRPr="00083739">
        <w:rPr>
          <w:rFonts w:cs="Times New Roman"/>
          <w:noProof/>
          <w:lang w:val="sk-SK"/>
        </w:rPr>
        <w:t xml:space="preserve"> v </w:t>
      </w:r>
      <w:r w:rsidRPr="00083739">
        <w:rPr>
          <w:rFonts w:cs="Times New Roman"/>
          <w:noProof/>
          <w:lang w:val="sk-SK"/>
        </w:rPr>
        <w:t>európskom zozname odpadov</w:t>
      </w:r>
      <w:r w:rsidRPr="00083739">
        <w:rPr>
          <w:rFonts w:cs="Times New Roman"/>
          <w:noProof/>
          <w:lang w:val="sk-SK"/>
        </w:rPr>
        <w:t xml:space="preserve"> vytvorenom rozhodnutím 2000/532/ES</w:t>
      </w:r>
      <w:r w:rsidR="00083739" w:rsidRPr="00083739">
        <w:rPr>
          <w:rFonts w:cs="Times New Roman"/>
          <w:noProof/>
          <w:lang w:val="sk-SK"/>
        </w:rPr>
        <w:t xml:space="preserve"> z </w:t>
      </w:r>
      <w:r w:rsidRPr="00083739">
        <w:rPr>
          <w:rFonts w:cs="Times New Roman"/>
          <w:noProof/>
          <w:lang w:val="sk-SK"/>
        </w:rPr>
        <w:t>3</w:t>
      </w:r>
      <w:r w:rsidR="00083739" w:rsidRPr="00083739">
        <w:rPr>
          <w:rFonts w:cs="Times New Roman"/>
          <w:noProof/>
          <w:lang w:val="sk-SK"/>
        </w:rPr>
        <w:t>. mája</w:t>
      </w:r>
      <w:r w:rsidRPr="00083739">
        <w:rPr>
          <w:rFonts w:cs="Times New Roman"/>
          <w:noProof/>
          <w:lang w:val="sk-SK"/>
        </w:rPr>
        <w:t xml:space="preserve"> 2000, ktorým sa nahrádza rozhodnutie 94/3/ES, ktorým sa zavádza zoznam odpadov podľa článku 1 písm. a) smernice Rady 75/442/EHS</w:t>
      </w:r>
      <w:r w:rsidR="00083739" w:rsidRPr="00083739">
        <w:rPr>
          <w:rFonts w:cs="Times New Roman"/>
          <w:noProof/>
          <w:lang w:val="sk-SK"/>
        </w:rPr>
        <w:t xml:space="preserve"> o </w:t>
      </w:r>
      <w:r w:rsidRPr="00083739">
        <w:rPr>
          <w:rFonts w:cs="Times New Roman"/>
          <w:noProof/>
          <w:lang w:val="sk-SK"/>
        </w:rPr>
        <w:t>odpade</w:t>
      </w:r>
      <w:r w:rsidR="00083739" w:rsidRPr="00083739">
        <w:rPr>
          <w:rFonts w:cs="Times New Roman"/>
          <w:noProof/>
          <w:lang w:val="sk-SK"/>
        </w:rPr>
        <w:t xml:space="preserve"> a </w:t>
      </w:r>
      <w:r w:rsidRPr="00083739">
        <w:rPr>
          <w:rFonts w:cs="Times New Roman"/>
          <w:noProof/>
          <w:lang w:val="sk-SK"/>
        </w:rPr>
        <w:t xml:space="preserve">rozhodnutia Rady 94/904/ES, ktorým sa vydáva zoznam nebezpečných </w:t>
      </w:r>
      <w:r w:rsidRPr="00083739">
        <w:rPr>
          <w:rFonts w:cs="Times New Roman"/>
          <w:noProof/>
          <w:lang w:val="sk-SK"/>
        </w:rPr>
        <w:t>odpadov podľa článku 1 ods. 4 smernice Rady 91/689/EHS</w:t>
      </w:r>
      <w:r w:rsidR="00083739" w:rsidRPr="00083739">
        <w:rPr>
          <w:rFonts w:cs="Times New Roman"/>
          <w:noProof/>
          <w:lang w:val="sk-SK"/>
        </w:rPr>
        <w:t xml:space="preserve"> o </w:t>
      </w:r>
      <w:r w:rsidRPr="00083739">
        <w:rPr>
          <w:rFonts w:cs="Times New Roman"/>
          <w:noProof/>
          <w:lang w:val="sk-SK"/>
        </w:rPr>
        <w:t>nebezpečných odpadoch [oznámeným pod číslom C(2000) 1147], vytvoreného na stavenisku sa pripraví na opätovné použitie, recykláciu</w:t>
      </w:r>
      <w:r w:rsidR="00083739" w:rsidRPr="00083739">
        <w:rPr>
          <w:rFonts w:cs="Times New Roman"/>
          <w:noProof/>
          <w:lang w:val="sk-SK"/>
        </w:rPr>
        <w:t xml:space="preserve"> a </w:t>
      </w:r>
      <w:r w:rsidRPr="00083739">
        <w:rPr>
          <w:rFonts w:cs="Times New Roman"/>
          <w:noProof/>
          <w:lang w:val="sk-SK"/>
        </w:rPr>
        <w:t>iné materiálové zhodnocovanie vrátane spätného zasypávania</w:t>
      </w:r>
      <w:r w:rsidR="00083739" w:rsidRPr="00083739">
        <w:rPr>
          <w:rFonts w:cs="Times New Roman"/>
          <w:noProof/>
          <w:lang w:val="sk-SK"/>
        </w:rPr>
        <w:t xml:space="preserve"> s </w:t>
      </w:r>
      <w:r w:rsidRPr="00083739">
        <w:rPr>
          <w:rFonts w:cs="Times New Roman"/>
          <w:noProof/>
          <w:lang w:val="sk-SK"/>
        </w:rPr>
        <w:t>použit</w:t>
      </w:r>
      <w:r w:rsidRPr="00083739">
        <w:rPr>
          <w:rFonts w:cs="Times New Roman"/>
          <w:noProof/>
          <w:lang w:val="sk-SK"/>
        </w:rPr>
        <w:t>ím odpadu ako náhrady iných materiálov,</w:t>
      </w:r>
      <w:r w:rsidR="00083739" w:rsidRPr="00083739">
        <w:rPr>
          <w:rFonts w:cs="Times New Roman"/>
          <w:noProof/>
          <w:lang w:val="sk-SK"/>
        </w:rPr>
        <w:t xml:space="preserve"> a </w:t>
      </w:r>
      <w:r w:rsidRPr="00083739">
        <w:rPr>
          <w:rFonts w:cs="Times New Roman"/>
          <w:noProof/>
          <w:lang w:val="sk-SK"/>
        </w:rPr>
        <w:t>to</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hierarchiou odpadového hospodárstva</w:t>
      </w:r>
      <w:r w:rsidR="00083739" w:rsidRPr="00083739">
        <w:rPr>
          <w:rFonts w:cs="Times New Roman"/>
          <w:noProof/>
          <w:lang w:val="sk-SK"/>
        </w:rPr>
        <w:t xml:space="preserve"> a </w:t>
      </w:r>
      <w:r w:rsidRPr="00083739">
        <w:rPr>
          <w:rFonts w:cs="Times New Roman"/>
          <w:noProof/>
          <w:lang w:val="sk-SK"/>
        </w:rPr>
        <w:t>protokolom EÚ</w:t>
      </w:r>
      <w:r w:rsidR="00083739" w:rsidRPr="00083739">
        <w:rPr>
          <w:rFonts w:cs="Times New Roman"/>
          <w:noProof/>
          <w:lang w:val="sk-SK"/>
        </w:rPr>
        <w:t xml:space="preserve"> o </w:t>
      </w:r>
      <w:r w:rsidRPr="00083739">
        <w:rPr>
          <w:rFonts w:cs="Times New Roman"/>
          <w:noProof/>
          <w:lang w:val="sk-SK"/>
        </w:rPr>
        <w:t>nakladaní so stavebným odpadom</w:t>
      </w:r>
      <w:r w:rsidR="00083739" w:rsidRPr="00083739">
        <w:rPr>
          <w:rFonts w:cs="Times New Roman"/>
          <w:noProof/>
          <w:lang w:val="sk-SK"/>
        </w:rPr>
        <w:t xml:space="preserve"> a </w:t>
      </w:r>
      <w:r w:rsidRPr="00083739">
        <w:rPr>
          <w:rFonts w:cs="Times New Roman"/>
          <w:noProof/>
          <w:lang w:val="sk-SK"/>
        </w:rPr>
        <w:t>odpadom</w:t>
      </w:r>
      <w:r w:rsidR="00083739" w:rsidRPr="00083739">
        <w:rPr>
          <w:rFonts w:cs="Times New Roman"/>
          <w:noProof/>
          <w:lang w:val="sk-SK"/>
        </w:rPr>
        <w:t xml:space="preserve"> z </w:t>
      </w:r>
      <w:r w:rsidRPr="00083739">
        <w:rPr>
          <w:rFonts w:cs="Times New Roman"/>
          <w:noProof/>
          <w:lang w:val="sk-SK"/>
        </w:rPr>
        <w:t>demolácie. Realizácia investície sa ukončí do 31</w:t>
      </w:r>
      <w:r w:rsidR="00083739" w:rsidRPr="00083739">
        <w:rPr>
          <w:rFonts w:cs="Times New Roman"/>
          <w:noProof/>
          <w:lang w:val="sk-SK"/>
        </w:rPr>
        <w:t>. decembra</w:t>
      </w:r>
      <w:r w:rsidRPr="00083739">
        <w:rPr>
          <w:rFonts w:cs="Times New Roman"/>
          <w:noProof/>
          <w:lang w:val="sk-SK"/>
        </w:rPr>
        <w:t xml:space="preserve"> 2025.</w:t>
      </w:r>
    </w:p>
    <w:p w14:paraId="65616E8F" w14:textId="39DD4756"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Využívanie „učení</w:t>
      </w:r>
      <w:r w:rsidR="00083739" w:rsidRPr="00083739">
        <w:rPr>
          <w:rFonts w:cs="Times New Roman"/>
          <w:noProof/>
          <w:lang w:val="sk-SK"/>
        </w:rPr>
        <w:t xml:space="preserve"> o </w:t>
      </w:r>
      <w:r w:rsidRPr="00083739">
        <w:rPr>
          <w:rFonts w:cs="Times New Roman"/>
          <w:noProof/>
          <w:lang w:val="sk-SK"/>
        </w:rPr>
        <w:t>predpi</w:t>
      </w:r>
      <w:r w:rsidRPr="00083739">
        <w:rPr>
          <w:rFonts w:cs="Times New Roman"/>
          <w:noProof/>
          <w:lang w:val="sk-SK"/>
        </w:rPr>
        <w:t>sovaní“, podpora sociálnej súdržnosti</w:t>
      </w:r>
      <w:r w:rsidR="00083739" w:rsidRPr="00083739">
        <w:rPr>
          <w:rFonts w:cs="Times New Roman"/>
          <w:noProof/>
          <w:lang w:val="sk-SK"/>
        </w:rPr>
        <w:t xml:space="preserve"> a </w:t>
      </w:r>
      <w:r w:rsidRPr="00083739">
        <w:rPr>
          <w:rFonts w:cs="Times New Roman"/>
          <w:noProof/>
          <w:lang w:val="sk-SK"/>
        </w:rPr>
        <w:t>využívanie striebornej ekonomiky (opatrenie ID 16735)</w:t>
      </w:r>
    </w:p>
    <w:p w14:paraId="65DB4DF9" w14:textId="234DC87C"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Cieľom investície je prilákať návštevníkov vo veku 65 rokov</w:t>
      </w:r>
      <w:r w:rsidR="00083739" w:rsidRPr="00083739">
        <w:rPr>
          <w:rFonts w:cs="Times New Roman"/>
          <w:noProof/>
          <w:lang w:val="sk-SK"/>
        </w:rPr>
        <w:t xml:space="preserve"> a </w:t>
      </w:r>
      <w:r w:rsidRPr="00083739">
        <w:rPr>
          <w:rFonts w:cs="Times New Roman"/>
          <w:noProof/>
          <w:lang w:val="sk-SK"/>
        </w:rPr>
        <w:t>viac, ako aj návštevníkov so zdravotným postihnutím na kultúrne miesta, ako sú múzeá, divadlá, festi</w:t>
      </w:r>
      <w:r w:rsidRPr="00083739">
        <w:rPr>
          <w:rFonts w:cs="Times New Roman"/>
          <w:noProof/>
          <w:lang w:val="sk-SK"/>
        </w:rPr>
        <w:t>valy, archeologické náleziská</w:t>
      </w:r>
      <w:r w:rsidR="00083739" w:rsidRPr="00083739">
        <w:rPr>
          <w:rFonts w:cs="Times New Roman"/>
          <w:noProof/>
          <w:lang w:val="sk-SK"/>
        </w:rPr>
        <w:t xml:space="preserve"> a </w:t>
      </w:r>
      <w:r w:rsidRPr="00083739">
        <w:rPr>
          <w:rFonts w:cs="Times New Roman"/>
          <w:noProof/>
          <w:lang w:val="sk-SK"/>
        </w:rPr>
        <w:t>pamiatky, zlepšením fyzického prístupu na tieto miesta</w:t>
      </w:r>
      <w:r w:rsidR="00083739" w:rsidRPr="00083739">
        <w:rPr>
          <w:rFonts w:cs="Times New Roman"/>
          <w:noProof/>
          <w:lang w:val="sk-SK"/>
        </w:rPr>
        <w:t xml:space="preserve"> a </w:t>
      </w:r>
      <w:r w:rsidRPr="00083739">
        <w:rPr>
          <w:rFonts w:cs="Times New Roman"/>
          <w:noProof/>
          <w:lang w:val="sk-SK"/>
        </w:rPr>
        <w:t>vývojom systémov prehliadky so sprievodcom so sluchovými</w:t>
      </w:r>
      <w:r w:rsidR="00083739" w:rsidRPr="00083739">
        <w:rPr>
          <w:rFonts w:cs="Times New Roman"/>
          <w:noProof/>
          <w:lang w:val="sk-SK"/>
        </w:rPr>
        <w:t xml:space="preserve"> a </w:t>
      </w:r>
      <w:r w:rsidRPr="00083739">
        <w:rPr>
          <w:rFonts w:cs="Times New Roman"/>
          <w:noProof/>
          <w:lang w:val="sk-SK"/>
        </w:rPr>
        <w:t>vizuálnymi pomôckami. Investícia musí byť plne</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gréckou stratégiou pre osoby so zdravotným postihn</w:t>
      </w:r>
      <w:r w:rsidRPr="00083739">
        <w:rPr>
          <w:rFonts w:cs="Times New Roman"/>
          <w:noProof/>
          <w:lang w:val="sk-SK"/>
        </w:rPr>
        <w:t>utím, ktorá už prebieha. Okrem toho sa investíciou podporia programy umenia na lekársky predpis“ opísané Svetovou zdravotníckou organizáciou, ktoré využívajú umenie</w:t>
      </w:r>
      <w:r w:rsidR="00083739" w:rsidRPr="00083739">
        <w:rPr>
          <w:rFonts w:cs="Times New Roman"/>
          <w:noProof/>
          <w:lang w:val="sk-SK"/>
        </w:rPr>
        <w:t xml:space="preserve"> a </w:t>
      </w:r>
      <w:r w:rsidRPr="00083739">
        <w:rPr>
          <w:rFonts w:cs="Times New Roman"/>
          <w:noProof/>
          <w:lang w:val="sk-SK"/>
        </w:rPr>
        <w:t>kultúru ako neoddeliteľnú súčasť lekárskej podpory, najmä</w:t>
      </w:r>
      <w:r w:rsidR="00083739" w:rsidRPr="00083739">
        <w:rPr>
          <w:rFonts w:cs="Times New Roman"/>
          <w:noProof/>
          <w:lang w:val="sk-SK"/>
        </w:rPr>
        <w:t xml:space="preserve"> v </w:t>
      </w:r>
      <w:r w:rsidRPr="00083739">
        <w:rPr>
          <w:rFonts w:cs="Times New Roman"/>
          <w:noProof/>
          <w:lang w:val="sk-SK"/>
        </w:rPr>
        <w:t>oblasti duševného zdravia. Re</w:t>
      </w:r>
      <w:r w:rsidRPr="00083739">
        <w:rPr>
          <w:rFonts w:cs="Times New Roman"/>
          <w:noProof/>
          <w:lang w:val="sk-SK"/>
        </w:rPr>
        <w:t>alizácia investície sa ukončí do 31</w:t>
      </w:r>
      <w:r w:rsidR="00083739" w:rsidRPr="00083739">
        <w:rPr>
          <w:rFonts w:cs="Times New Roman"/>
          <w:noProof/>
          <w:lang w:val="sk-SK"/>
        </w:rPr>
        <w:t>. decembra</w:t>
      </w:r>
      <w:r w:rsidRPr="00083739">
        <w:rPr>
          <w:rFonts w:cs="Times New Roman"/>
          <w:noProof/>
          <w:lang w:val="sk-SK"/>
        </w:rPr>
        <w:t xml:space="preserve"> 2025.</w:t>
      </w:r>
    </w:p>
    <w:p w14:paraId="294B241F" w14:textId="004BECE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Modernizácia infraštruktúry, obnova vybavenia</w:t>
      </w:r>
      <w:r w:rsidR="00083739" w:rsidRPr="00083739">
        <w:rPr>
          <w:rFonts w:cs="Times New Roman"/>
          <w:noProof/>
          <w:lang w:val="sk-SK"/>
        </w:rPr>
        <w:t xml:space="preserve"> a </w:t>
      </w:r>
      <w:r w:rsidRPr="00083739">
        <w:rPr>
          <w:rFonts w:cs="Times New Roman"/>
          <w:noProof/>
          <w:lang w:val="sk-SK"/>
        </w:rPr>
        <w:t>modernizácia kvality služieb poskytovaných obchodmi HOCRED – bývalé úložiská ARF (na mieste</w:t>
      </w:r>
      <w:r w:rsidR="00083739" w:rsidRPr="00083739">
        <w:rPr>
          <w:rFonts w:cs="Times New Roman"/>
          <w:noProof/>
          <w:lang w:val="sk-SK"/>
        </w:rPr>
        <w:t xml:space="preserve"> a </w:t>
      </w:r>
      <w:r w:rsidRPr="00083739">
        <w:rPr>
          <w:rFonts w:cs="Times New Roman"/>
          <w:noProof/>
          <w:lang w:val="sk-SK"/>
        </w:rPr>
        <w:t>elektronicky) (ID opatrenia 16536)</w:t>
      </w:r>
    </w:p>
    <w:p w14:paraId="42B58ADC" w14:textId="35550C44"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Táto investícia</w:t>
      </w:r>
      <w:r w:rsidRPr="00083739">
        <w:rPr>
          <w:rFonts w:cs="Times New Roman"/>
          <w:noProof/>
          <w:lang w:val="sk-SK"/>
        </w:rPr>
        <w:t xml:space="preserve"> zahŕňa opatrenia</w:t>
      </w:r>
      <w:r w:rsidR="00083739" w:rsidRPr="00083739">
        <w:rPr>
          <w:rFonts w:cs="Times New Roman"/>
          <w:noProof/>
          <w:lang w:val="sk-SK"/>
        </w:rPr>
        <w:t xml:space="preserve"> v </w:t>
      </w:r>
      <w:r w:rsidRPr="00083739">
        <w:rPr>
          <w:rFonts w:cs="Times New Roman"/>
          <w:noProof/>
          <w:lang w:val="sk-SK"/>
        </w:rPr>
        <w:t>oblasti energetickej efektívnosti, renovácie, výstavbu obchodov</w:t>
      </w:r>
      <w:r w:rsidR="00083739" w:rsidRPr="00083739">
        <w:rPr>
          <w:rFonts w:cs="Times New Roman"/>
          <w:noProof/>
          <w:lang w:val="sk-SK"/>
        </w:rPr>
        <w:t xml:space="preserve"> a </w:t>
      </w:r>
      <w:r w:rsidRPr="00083739">
        <w:rPr>
          <w:rFonts w:cs="Times New Roman"/>
          <w:noProof/>
          <w:lang w:val="sk-SK"/>
        </w:rPr>
        <w:t>dielní</w:t>
      </w:r>
      <w:r w:rsidR="00083739" w:rsidRPr="00083739">
        <w:rPr>
          <w:rFonts w:cs="Times New Roman"/>
          <w:noProof/>
          <w:lang w:val="sk-SK"/>
        </w:rPr>
        <w:t xml:space="preserve"> a </w:t>
      </w:r>
      <w:r w:rsidRPr="00083739">
        <w:rPr>
          <w:rFonts w:cs="Times New Roman"/>
          <w:noProof/>
          <w:lang w:val="sk-SK"/>
        </w:rPr>
        <w:t>poskytovanie vybavenia pre fyzické</w:t>
      </w:r>
      <w:r w:rsidR="00083739" w:rsidRPr="00083739">
        <w:rPr>
          <w:rFonts w:cs="Times New Roman"/>
          <w:noProof/>
          <w:lang w:val="sk-SK"/>
        </w:rPr>
        <w:t xml:space="preserve"> a </w:t>
      </w:r>
      <w:r w:rsidRPr="00083739">
        <w:rPr>
          <w:rFonts w:cs="Times New Roman"/>
          <w:noProof/>
          <w:lang w:val="sk-SK"/>
        </w:rPr>
        <w:t>online obchody</w:t>
      </w:r>
      <w:r w:rsidR="00083739" w:rsidRPr="00083739">
        <w:rPr>
          <w:rFonts w:cs="Times New Roman"/>
          <w:noProof/>
          <w:lang w:val="sk-SK"/>
        </w:rPr>
        <w:t xml:space="preserve"> a </w:t>
      </w:r>
      <w:r w:rsidRPr="00083739">
        <w:rPr>
          <w:rFonts w:cs="Times New Roman"/>
          <w:noProof/>
          <w:lang w:val="sk-SK"/>
        </w:rPr>
        <w:t>zvyšovanie kvality služieb poskytovaných Helénskou organizáciou pre rozvoj kultúrnych zdrojov (HOCRED), kto</w:t>
      </w:r>
      <w:r w:rsidRPr="00083739">
        <w:rPr>
          <w:rFonts w:cs="Times New Roman"/>
          <w:noProof/>
          <w:lang w:val="sk-SK"/>
        </w:rPr>
        <w:t>rá zbiera výnosy</w:t>
      </w:r>
      <w:r w:rsidR="00083739" w:rsidRPr="00083739">
        <w:rPr>
          <w:rFonts w:cs="Times New Roman"/>
          <w:noProof/>
          <w:lang w:val="sk-SK"/>
        </w:rPr>
        <w:t xml:space="preserve"> z </w:t>
      </w:r>
      <w:r w:rsidRPr="00083739">
        <w:rPr>
          <w:rFonts w:cs="Times New Roman"/>
          <w:noProof/>
          <w:lang w:val="sk-SK"/>
        </w:rPr>
        <w:t>archeologických nálezísk, historických pamiatok, pamiatok</w:t>
      </w:r>
      <w:r w:rsidR="00083739" w:rsidRPr="00083739">
        <w:rPr>
          <w:rFonts w:cs="Times New Roman"/>
          <w:noProof/>
          <w:lang w:val="sk-SK"/>
        </w:rPr>
        <w:t xml:space="preserve"> a </w:t>
      </w:r>
      <w:r w:rsidRPr="00083739">
        <w:rPr>
          <w:rFonts w:cs="Times New Roman"/>
          <w:noProof/>
          <w:lang w:val="sk-SK"/>
        </w:rPr>
        <w:t>archeologických múzeí</w:t>
      </w:r>
      <w:r w:rsidR="00083739" w:rsidRPr="00083739">
        <w:rPr>
          <w:rFonts w:cs="Times New Roman"/>
          <w:noProof/>
          <w:lang w:val="sk-SK"/>
        </w:rPr>
        <w:t xml:space="preserve"> v </w:t>
      </w:r>
      <w:r w:rsidRPr="00083739">
        <w:rPr>
          <w:rFonts w:cs="Times New Roman"/>
          <w:noProof/>
          <w:lang w:val="sk-SK"/>
        </w:rPr>
        <w:t>Grécku</w:t>
      </w:r>
      <w:r w:rsidR="00083739" w:rsidRPr="00083739">
        <w:rPr>
          <w:rFonts w:cs="Times New Roman"/>
          <w:noProof/>
          <w:lang w:val="sk-SK"/>
        </w:rPr>
        <w:t xml:space="preserve"> a </w:t>
      </w:r>
      <w:r w:rsidRPr="00083739">
        <w:rPr>
          <w:rFonts w:cs="Times New Roman"/>
          <w:noProof/>
          <w:lang w:val="sk-SK"/>
        </w:rPr>
        <w:t>spravuje tieto zdroje na podporu gréckeho kultúrneho dedičstva. Očakáva sa, že toto opatrenie výrazne nenaruší environmentálne ciele</w:t>
      </w:r>
      <w:r w:rsidR="00083739" w:rsidRPr="00083739">
        <w:rPr>
          <w:rFonts w:cs="Times New Roman"/>
          <w:noProof/>
          <w:lang w:val="sk-SK"/>
        </w:rPr>
        <w:t xml:space="preserve"> v </w:t>
      </w:r>
      <w:r w:rsidRPr="00083739">
        <w:rPr>
          <w:rFonts w:cs="Times New Roman"/>
          <w:noProof/>
          <w:lang w:val="sk-SK"/>
        </w:rPr>
        <w:t xml:space="preserve">zmysle </w:t>
      </w:r>
      <w:r w:rsidRPr="00083739">
        <w:rPr>
          <w:rFonts w:cs="Times New Roman"/>
          <w:noProof/>
          <w:lang w:val="sk-SK"/>
        </w:rPr>
        <w:t>článku 17 nariadenia (EÚ) 2020/852, pričom sa zohľadní opis opatrenia</w:t>
      </w:r>
      <w:r w:rsidR="00083739" w:rsidRPr="00083739">
        <w:rPr>
          <w:rFonts w:cs="Times New Roman"/>
          <w:noProof/>
          <w:lang w:val="sk-SK"/>
        </w:rPr>
        <w:t xml:space="preserve"> a </w:t>
      </w:r>
      <w:r w:rsidRPr="00083739">
        <w:rPr>
          <w:rFonts w:cs="Times New Roman"/>
          <w:noProof/>
          <w:lang w:val="sk-SK"/>
        </w:rPr>
        <w:t>zmierňujúce kroky stanovené</w:t>
      </w:r>
      <w:r w:rsidR="00083739" w:rsidRPr="00083739">
        <w:rPr>
          <w:rFonts w:cs="Times New Roman"/>
          <w:noProof/>
          <w:lang w:val="sk-SK"/>
        </w:rPr>
        <w:t xml:space="preserve"> v </w:t>
      </w:r>
      <w:r w:rsidRPr="00083739">
        <w:rPr>
          <w:rFonts w:cs="Times New Roman"/>
          <w:noProof/>
          <w:lang w:val="sk-SK"/>
        </w:rPr>
        <w:t>pláne podpory obnovy</w:t>
      </w:r>
      <w:r w:rsidR="00083739" w:rsidRPr="00083739">
        <w:rPr>
          <w:rFonts w:cs="Times New Roman"/>
          <w:noProof/>
          <w:lang w:val="sk-SK"/>
        </w:rPr>
        <w:t xml:space="preserve"> a </w:t>
      </w:r>
      <w:r w:rsidRPr="00083739">
        <w:rPr>
          <w:rFonts w:cs="Times New Roman"/>
          <w:noProof/>
          <w:lang w:val="sk-SK"/>
        </w:rPr>
        <w:t>odolnosti</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technickým usmernením „výrazne nenarušiť“ (2021/C58/01). Konkrétne sa</w:t>
      </w:r>
      <w:r w:rsidR="00083739" w:rsidRPr="00083739">
        <w:rPr>
          <w:rFonts w:cs="Times New Roman"/>
          <w:noProof/>
          <w:lang w:val="sk-SK"/>
        </w:rPr>
        <w:t xml:space="preserve"> v </w:t>
      </w:r>
      <w:r w:rsidRPr="00083739">
        <w:rPr>
          <w:rFonts w:cs="Times New Roman"/>
          <w:noProof/>
          <w:lang w:val="sk-SK"/>
        </w:rPr>
        <w:t>tomto opatrení vyžaduje, aby hospodárs</w:t>
      </w:r>
      <w:r w:rsidRPr="00083739">
        <w:rPr>
          <w:rFonts w:cs="Times New Roman"/>
          <w:noProof/>
          <w:lang w:val="sk-SK"/>
        </w:rPr>
        <w:t>ke subjekty vykonávajúce stavebné práce zabezpečili, že najmenej 70</w:t>
      </w:r>
      <w:r w:rsidR="00083739" w:rsidRPr="00083739">
        <w:rPr>
          <w:rFonts w:cs="Times New Roman"/>
          <w:noProof/>
          <w:lang w:val="sk-SK"/>
        </w:rPr>
        <w:t> %</w:t>
      </w:r>
      <w:r w:rsidRPr="00083739">
        <w:rPr>
          <w:rFonts w:cs="Times New Roman"/>
          <w:noProof/>
          <w:lang w:val="sk-SK"/>
        </w:rPr>
        <w:t xml:space="preserve"> (hmotnosti) stavebného</w:t>
      </w:r>
      <w:r w:rsidR="00083739" w:rsidRPr="00083739">
        <w:rPr>
          <w:rFonts w:cs="Times New Roman"/>
          <w:noProof/>
          <w:lang w:val="sk-SK"/>
        </w:rPr>
        <w:t xml:space="preserve"> a </w:t>
      </w:r>
      <w:r w:rsidRPr="00083739">
        <w:rPr>
          <w:rFonts w:cs="Times New Roman"/>
          <w:noProof/>
          <w:lang w:val="sk-SK"/>
        </w:rPr>
        <w:t>demolačného odpadu, ktorý nie je nebezpečný [okrem prirodzene sa vyskytujúceho materiálu uvedeného</w:t>
      </w:r>
      <w:r w:rsidR="00083739" w:rsidRPr="00083739">
        <w:rPr>
          <w:rFonts w:cs="Times New Roman"/>
          <w:noProof/>
          <w:lang w:val="sk-SK"/>
        </w:rPr>
        <w:t xml:space="preserve"> v </w:t>
      </w:r>
      <w:r w:rsidRPr="00083739">
        <w:rPr>
          <w:rFonts w:cs="Times New Roman"/>
          <w:noProof/>
          <w:lang w:val="sk-SK"/>
        </w:rPr>
        <w:t>kategórii 17 05 04</w:t>
      </w:r>
      <w:r w:rsidR="00083739" w:rsidRPr="00083739">
        <w:rPr>
          <w:rFonts w:cs="Times New Roman"/>
          <w:noProof/>
          <w:lang w:val="sk-SK"/>
        </w:rPr>
        <w:t xml:space="preserve"> v </w:t>
      </w:r>
      <w:r w:rsidRPr="00083739">
        <w:rPr>
          <w:rFonts w:cs="Times New Roman"/>
          <w:noProof/>
          <w:lang w:val="sk-SK"/>
        </w:rPr>
        <w:t>európskom zozname odpadov vytvorenom ro</w:t>
      </w:r>
      <w:r w:rsidRPr="00083739">
        <w:rPr>
          <w:rFonts w:cs="Times New Roman"/>
          <w:noProof/>
          <w:lang w:val="sk-SK"/>
        </w:rPr>
        <w:t>zhodnutím 2000/532/ES</w:t>
      </w:r>
      <w:r w:rsidR="00083739" w:rsidRPr="00083739">
        <w:rPr>
          <w:rFonts w:cs="Times New Roman"/>
          <w:noProof/>
          <w:lang w:val="sk-SK"/>
        </w:rPr>
        <w:t xml:space="preserve"> z </w:t>
      </w:r>
      <w:r w:rsidRPr="00083739">
        <w:rPr>
          <w:rFonts w:cs="Times New Roman"/>
          <w:noProof/>
          <w:lang w:val="sk-SK"/>
        </w:rPr>
        <w:t>3</w:t>
      </w:r>
      <w:r w:rsidR="00083739" w:rsidRPr="00083739">
        <w:rPr>
          <w:rFonts w:cs="Times New Roman"/>
          <w:noProof/>
          <w:lang w:val="sk-SK"/>
        </w:rPr>
        <w:t>. mája</w:t>
      </w:r>
      <w:r w:rsidRPr="00083739">
        <w:rPr>
          <w:rFonts w:cs="Times New Roman"/>
          <w:noProof/>
          <w:lang w:val="sk-SK"/>
        </w:rPr>
        <w:t xml:space="preserve"> 2000, ktorým sa nahrádza rozhodnutie 94/3/ES, ktorým sa zavádza zoznam odpadov podľa článku 1 písm. a) smernice Rady 75/442/EHS</w:t>
      </w:r>
      <w:r w:rsidR="00083739" w:rsidRPr="00083739">
        <w:rPr>
          <w:rFonts w:cs="Times New Roman"/>
          <w:noProof/>
          <w:lang w:val="sk-SK"/>
        </w:rPr>
        <w:t xml:space="preserve"> o </w:t>
      </w:r>
      <w:r w:rsidRPr="00083739">
        <w:rPr>
          <w:rFonts w:cs="Times New Roman"/>
          <w:noProof/>
          <w:lang w:val="sk-SK"/>
        </w:rPr>
        <w:t>odpade</w:t>
      </w:r>
      <w:r w:rsidR="00083739" w:rsidRPr="00083739">
        <w:rPr>
          <w:rFonts w:cs="Times New Roman"/>
          <w:noProof/>
          <w:lang w:val="sk-SK"/>
        </w:rPr>
        <w:t xml:space="preserve"> a </w:t>
      </w:r>
      <w:r w:rsidRPr="00083739">
        <w:rPr>
          <w:rFonts w:cs="Times New Roman"/>
          <w:noProof/>
          <w:lang w:val="sk-SK"/>
        </w:rPr>
        <w:t>rozhodnutia Rady 94/904/ES, ktorým sa vydáva zoznam nebezpečných odpadov podľa článku</w:t>
      </w:r>
      <w:r w:rsidRPr="00083739">
        <w:rPr>
          <w:rFonts w:cs="Times New Roman"/>
          <w:noProof/>
          <w:lang w:val="sk-SK"/>
        </w:rPr>
        <w:t xml:space="preserve"> 1 ods. 4 smernice Rady 91/689/EHS</w:t>
      </w:r>
      <w:r w:rsidR="00083739" w:rsidRPr="00083739">
        <w:rPr>
          <w:rFonts w:cs="Times New Roman"/>
          <w:noProof/>
          <w:lang w:val="sk-SK"/>
        </w:rPr>
        <w:t xml:space="preserve"> o </w:t>
      </w:r>
      <w:r w:rsidRPr="00083739">
        <w:rPr>
          <w:rFonts w:cs="Times New Roman"/>
          <w:noProof/>
          <w:lang w:val="sk-SK"/>
        </w:rPr>
        <w:t>nebezpečných odpadoch [oznámeným pod číslom C(2000) 1147], vytvoreného na stavenisku sa pripraví na opätovné použitie, recykláciu</w:t>
      </w:r>
      <w:r w:rsidR="00083739" w:rsidRPr="00083739">
        <w:rPr>
          <w:rFonts w:cs="Times New Roman"/>
          <w:noProof/>
          <w:lang w:val="sk-SK"/>
        </w:rPr>
        <w:t xml:space="preserve"> a </w:t>
      </w:r>
      <w:r w:rsidRPr="00083739">
        <w:rPr>
          <w:rFonts w:cs="Times New Roman"/>
          <w:noProof/>
          <w:lang w:val="sk-SK"/>
        </w:rPr>
        <w:t>iné materiálové zhodnocovanie vrátane spätného zasypávania</w:t>
      </w:r>
      <w:r w:rsidR="00083739" w:rsidRPr="00083739">
        <w:rPr>
          <w:rFonts w:cs="Times New Roman"/>
          <w:noProof/>
          <w:lang w:val="sk-SK"/>
        </w:rPr>
        <w:t xml:space="preserve"> s </w:t>
      </w:r>
      <w:r w:rsidRPr="00083739">
        <w:rPr>
          <w:rFonts w:cs="Times New Roman"/>
          <w:noProof/>
          <w:lang w:val="sk-SK"/>
        </w:rPr>
        <w:t>použitím odpadu ako náhrad</w:t>
      </w:r>
      <w:r w:rsidRPr="00083739">
        <w:rPr>
          <w:rFonts w:cs="Times New Roman"/>
          <w:noProof/>
          <w:lang w:val="sk-SK"/>
        </w:rPr>
        <w:t>y iných materiálov,</w:t>
      </w:r>
      <w:r w:rsidR="00083739" w:rsidRPr="00083739">
        <w:rPr>
          <w:rFonts w:cs="Times New Roman"/>
          <w:noProof/>
          <w:lang w:val="sk-SK"/>
        </w:rPr>
        <w:t xml:space="preserve"> a </w:t>
      </w:r>
      <w:r w:rsidRPr="00083739">
        <w:rPr>
          <w:rFonts w:cs="Times New Roman"/>
          <w:noProof/>
          <w:lang w:val="sk-SK"/>
        </w:rPr>
        <w:t>to</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hierarchiou odpadového hospodárstva</w:t>
      </w:r>
      <w:r w:rsidR="00083739" w:rsidRPr="00083739">
        <w:rPr>
          <w:rFonts w:cs="Times New Roman"/>
          <w:noProof/>
          <w:lang w:val="sk-SK"/>
        </w:rPr>
        <w:t xml:space="preserve"> a </w:t>
      </w:r>
      <w:r w:rsidRPr="00083739">
        <w:rPr>
          <w:rFonts w:cs="Times New Roman"/>
          <w:noProof/>
          <w:lang w:val="sk-SK"/>
        </w:rPr>
        <w:t>protokolom EÚ</w:t>
      </w:r>
      <w:r w:rsidR="00083739" w:rsidRPr="00083739">
        <w:rPr>
          <w:rFonts w:cs="Times New Roman"/>
          <w:noProof/>
          <w:lang w:val="sk-SK"/>
        </w:rPr>
        <w:t xml:space="preserve"> o </w:t>
      </w:r>
      <w:r w:rsidRPr="00083739">
        <w:rPr>
          <w:rFonts w:cs="Times New Roman"/>
          <w:noProof/>
          <w:lang w:val="sk-SK"/>
        </w:rPr>
        <w:t>nakladaní so stavebným odpadom</w:t>
      </w:r>
      <w:r w:rsidR="00083739" w:rsidRPr="00083739">
        <w:rPr>
          <w:rFonts w:cs="Times New Roman"/>
          <w:noProof/>
          <w:lang w:val="sk-SK"/>
        </w:rPr>
        <w:t xml:space="preserve"> a </w:t>
      </w:r>
      <w:r w:rsidRPr="00083739">
        <w:rPr>
          <w:rFonts w:cs="Times New Roman"/>
          <w:noProof/>
          <w:lang w:val="sk-SK"/>
        </w:rPr>
        <w:t>odpadom</w:t>
      </w:r>
      <w:r w:rsidR="00083739" w:rsidRPr="00083739">
        <w:rPr>
          <w:rFonts w:cs="Times New Roman"/>
          <w:noProof/>
          <w:lang w:val="sk-SK"/>
        </w:rPr>
        <w:t xml:space="preserve"> z </w:t>
      </w:r>
      <w:r w:rsidRPr="00083739">
        <w:rPr>
          <w:rFonts w:cs="Times New Roman"/>
          <w:noProof/>
          <w:lang w:val="sk-SK"/>
        </w:rPr>
        <w:t>demolácie. Realizácia investície sa ukončí do 31</w:t>
      </w:r>
      <w:r w:rsidR="00083739" w:rsidRPr="00083739">
        <w:rPr>
          <w:rFonts w:cs="Times New Roman"/>
          <w:noProof/>
          <w:lang w:val="sk-SK"/>
        </w:rPr>
        <w:t>. decembra</w:t>
      </w:r>
      <w:r w:rsidRPr="00083739">
        <w:rPr>
          <w:rFonts w:cs="Times New Roman"/>
          <w:noProof/>
          <w:lang w:val="sk-SK"/>
        </w:rPr>
        <w:t xml:space="preserve"> 2025.</w:t>
      </w:r>
    </w:p>
    <w:p w14:paraId="499CEC58" w14:textId="227319BE"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Ochrana kultúrnych pamiatok</w:t>
      </w:r>
      <w:r w:rsidR="00083739" w:rsidRPr="00083739">
        <w:rPr>
          <w:rFonts w:cs="Times New Roman"/>
          <w:noProof/>
          <w:lang w:val="sk-SK"/>
        </w:rPr>
        <w:t xml:space="preserve"> a </w:t>
      </w:r>
      <w:r w:rsidRPr="00083739">
        <w:rPr>
          <w:rFonts w:cs="Times New Roman"/>
          <w:noProof/>
          <w:lang w:val="sk-SK"/>
        </w:rPr>
        <w:t xml:space="preserve">archeologických </w:t>
      </w:r>
      <w:r w:rsidRPr="00083739">
        <w:rPr>
          <w:rFonts w:cs="Times New Roman"/>
          <w:noProof/>
          <w:lang w:val="sk-SK"/>
        </w:rPr>
        <w:t>nálezísk pred zmenou klímy (ID 16433)</w:t>
      </w:r>
    </w:p>
    <w:p w14:paraId="2423BE51" w14:textId="144B568E"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Táto investícia zahŕňa vypracovanie plánov adaptácie na zmenu klímy pre lokality kultúrneho dedičstva. Cieľom je chrániť kultúrne dedičstvo Grécka, zlepšiť jeho odolnosť voči zmene klímy,</w:t>
      </w:r>
      <w:r w:rsidR="00083739" w:rsidRPr="00083739">
        <w:rPr>
          <w:rFonts w:cs="Times New Roman"/>
          <w:noProof/>
          <w:lang w:val="sk-SK"/>
        </w:rPr>
        <w:t xml:space="preserve"> a </w:t>
      </w:r>
      <w:r w:rsidRPr="00083739">
        <w:rPr>
          <w:rFonts w:cs="Times New Roman"/>
          <w:noProof/>
          <w:lang w:val="sk-SK"/>
        </w:rPr>
        <w:t>tým udržať prínos lokalít ku</w:t>
      </w:r>
      <w:r w:rsidRPr="00083739">
        <w:rPr>
          <w:rFonts w:cs="Times New Roman"/>
          <w:noProof/>
          <w:lang w:val="sk-SK"/>
        </w:rPr>
        <w:t>ltúrneho dedičstva</w:t>
      </w:r>
      <w:r w:rsidR="00083739" w:rsidRPr="00083739">
        <w:rPr>
          <w:rFonts w:cs="Times New Roman"/>
          <w:noProof/>
          <w:lang w:val="sk-SK"/>
        </w:rPr>
        <w:t xml:space="preserve"> k </w:t>
      </w:r>
      <w:r w:rsidRPr="00083739">
        <w:rPr>
          <w:rFonts w:cs="Times New Roman"/>
          <w:noProof/>
          <w:lang w:val="sk-SK"/>
        </w:rPr>
        <w:t>hospodárskej činnosti. Investícia zahŕňa priestorové</w:t>
      </w:r>
      <w:r w:rsidR="00083739" w:rsidRPr="00083739">
        <w:rPr>
          <w:rFonts w:cs="Times New Roman"/>
          <w:noProof/>
          <w:lang w:val="sk-SK"/>
        </w:rPr>
        <w:t xml:space="preserve"> a </w:t>
      </w:r>
      <w:r w:rsidRPr="00083739">
        <w:rPr>
          <w:rFonts w:cs="Times New Roman"/>
          <w:noProof/>
          <w:lang w:val="sk-SK"/>
        </w:rPr>
        <w:t>časové posúdenia klimatických rizík</w:t>
      </w:r>
      <w:r w:rsidR="00083739" w:rsidRPr="00083739">
        <w:rPr>
          <w:rFonts w:cs="Times New Roman"/>
          <w:noProof/>
          <w:lang w:val="sk-SK"/>
        </w:rPr>
        <w:t xml:space="preserve"> a </w:t>
      </w:r>
      <w:r w:rsidRPr="00083739">
        <w:rPr>
          <w:rFonts w:cs="Times New Roman"/>
          <w:noProof/>
          <w:lang w:val="sk-SK"/>
        </w:rPr>
        <w:t>identifikáciu zraniteľných miest, ktorým čelia lokality kultúrneho dedičstva. Realizácia investície sa ukončí do 31</w:t>
      </w:r>
      <w:r w:rsidR="00083739" w:rsidRPr="00083739">
        <w:rPr>
          <w:rFonts w:cs="Times New Roman"/>
          <w:noProof/>
          <w:lang w:val="sk-SK"/>
        </w:rPr>
        <w:t>. decembra</w:t>
      </w:r>
      <w:r w:rsidRPr="00083739">
        <w:rPr>
          <w:rFonts w:cs="Times New Roman"/>
          <w:noProof/>
          <w:lang w:val="sk-SK"/>
        </w:rPr>
        <w:t xml:space="preserve"> 2025.</w:t>
      </w:r>
    </w:p>
    <w:p w14:paraId="0A48F4CF" w14:textId="7777777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b/>
          <w:noProof/>
          <w:lang w:val="sk-SK"/>
        </w:rPr>
        <w:t>:</w:t>
      </w:r>
      <w:r w:rsidRPr="00083739">
        <w:rPr>
          <w:rFonts w:cs="Times New Roman"/>
          <w:noProof/>
          <w:lang w:val="sk-SK"/>
        </w:rPr>
        <w:t xml:space="preserve"> Modernizácia vysokoškolského umeleckého vzdelávania (opatrenie ID 16725)</w:t>
      </w:r>
    </w:p>
    <w:p w14:paraId="2BE45256" w14:textId="746863AF"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Investícia modernizuje štátne inštitúcie vysokoškolského vzdelávania</w:t>
      </w:r>
      <w:r w:rsidR="00083739" w:rsidRPr="00083739">
        <w:rPr>
          <w:rFonts w:cs="Times New Roman"/>
          <w:noProof/>
          <w:lang w:val="sk-SK"/>
        </w:rPr>
        <w:t xml:space="preserve"> v </w:t>
      </w:r>
      <w:r w:rsidRPr="00083739">
        <w:rPr>
          <w:rFonts w:cs="Times New Roman"/>
          <w:noProof/>
          <w:lang w:val="sk-SK"/>
        </w:rPr>
        <w:t>Grécku</w:t>
      </w:r>
      <w:r w:rsidR="00083739" w:rsidRPr="00083739">
        <w:rPr>
          <w:rFonts w:cs="Times New Roman"/>
          <w:noProof/>
          <w:lang w:val="sk-SK"/>
        </w:rPr>
        <w:t xml:space="preserve"> a </w:t>
      </w:r>
      <w:r w:rsidRPr="00083739">
        <w:rPr>
          <w:rFonts w:cs="Times New Roman"/>
          <w:noProof/>
          <w:lang w:val="sk-SK"/>
        </w:rPr>
        <w:t>je sprevádzaná preskúmaním</w:t>
      </w:r>
      <w:r w:rsidR="00083739" w:rsidRPr="00083739">
        <w:rPr>
          <w:rFonts w:cs="Times New Roman"/>
          <w:noProof/>
          <w:lang w:val="sk-SK"/>
        </w:rPr>
        <w:t xml:space="preserve"> a </w:t>
      </w:r>
      <w:r w:rsidRPr="00083739">
        <w:rPr>
          <w:rFonts w:cs="Times New Roman"/>
          <w:noProof/>
          <w:lang w:val="sk-SK"/>
        </w:rPr>
        <w:t xml:space="preserve">aktualizáciou všetkých učebných plánov vysokoškolského umenia. Okrem </w:t>
      </w:r>
      <w:r w:rsidRPr="00083739">
        <w:rPr>
          <w:rFonts w:cs="Times New Roman"/>
          <w:noProof/>
          <w:lang w:val="sk-SK"/>
        </w:rPr>
        <w:t>toho sa očakáva, že investícia podporí školy umeleckého vzdelávania modernizáciou ich fyzickej</w:t>
      </w:r>
      <w:r w:rsidR="00083739" w:rsidRPr="00083739">
        <w:rPr>
          <w:rFonts w:cs="Times New Roman"/>
          <w:noProof/>
          <w:lang w:val="sk-SK"/>
        </w:rPr>
        <w:t xml:space="preserve"> a </w:t>
      </w:r>
      <w:r w:rsidRPr="00083739">
        <w:rPr>
          <w:rFonts w:cs="Times New Roman"/>
          <w:noProof/>
          <w:lang w:val="sk-SK"/>
        </w:rPr>
        <w:t>technickej infraštruktúry.</w:t>
      </w:r>
    </w:p>
    <w:p w14:paraId="71377C5D" w14:textId="77777777"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Investícia zahŕňa:</w:t>
      </w:r>
    </w:p>
    <w:p w14:paraId="78AAF4CB" w14:textId="7EBCBC26" w:rsidR="002D49B0" w:rsidRPr="00083739" w:rsidRDefault="00BF4125">
      <w:pPr>
        <w:pStyle w:val="P68B1DB1-Normal4"/>
        <w:numPr>
          <w:ilvl w:val="0"/>
          <w:numId w:val="61"/>
        </w:numPr>
        <w:spacing w:before="120" w:after="120" w:line="240" w:lineRule="auto"/>
        <w:ind w:left="360"/>
        <w:jc w:val="both"/>
        <w:rPr>
          <w:rFonts w:cs="Times New Roman"/>
          <w:noProof/>
          <w:lang w:val="sk-SK"/>
        </w:rPr>
      </w:pPr>
      <w:r w:rsidRPr="00083739">
        <w:rPr>
          <w:rFonts w:cs="Times New Roman"/>
          <w:noProof/>
          <w:lang w:val="sk-SK"/>
        </w:rPr>
        <w:t>aktualizáciu učebných osnov</w:t>
      </w:r>
      <w:r w:rsidR="00083739" w:rsidRPr="00083739">
        <w:rPr>
          <w:rFonts w:cs="Times New Roman"/>
          <w:noProof/>
          <w:lang w:val="sk-SK"/>
        </w:rPr>
        <w:t xml:space="preserve"> v </w:t>
      </w:r>
      <w:r w:rsidRPr="00083739">
        <w:rPr>
          <w:rFonts w:cs="Times New Roman"/>
          <w:noProof/>
          <w:lang w:val="sk-SK"/>
        </w:rPr>
        <w:t>kontexte európskeho sektorového kvalifikačného rámca,</w:t>
      </w:r>
    </w:p>
    <w:p w14:paraId="517DF712" w14:textId="6542952A" w:rsidR="002D49B0" w:rsidRPr="00083739" w:rsidRDefault="00BF4125">
      <w:pPr>
        <w:pStyle w:val="P68B1DB1-Normal4"/>
        <w:numPr>
          <w:ilvl w:val="0"/>
          <w:numId w:val="61"/>
        </w:numPr>
        <w:spacing w:before="120" w:after="120" w:line="240" w:lineRule="auto"/>
        <w:ind w:left="360"/>
        <w:jc w:val="both"/>
        <w:rPr>
          <w:rFonts w:cs="Times New Roman"/>
          <w:noProof/>
          <w:szCs w:val="24"/>
          <w:lang w:val="sk-SK"/>
        </w:rPr>
      </w:pPr>
      <w:r w:rsidRPr="00083739">
        <w:rPr>
          <w:rFonts w:cs="Times New Roman"/>
          <w:noProof/>
          <w:lang w:val="sk-SK"/>
        </w:rPr>
        <w:t>zriadenie Univerzity výkonnýc</w:t>
      </w:r>
      <w:r w:rsidRPr="00083739">
        <w:rPr>
          <w:rFonts w:cs="Times New Roman"/>
          <w:noProof/>
          <w:lang w:val="sk-SK"/>
        </w:rPr>
        <w:t>h umení a</w:t>
      </w:r>
    </w:p>
    <w:p w14:paraId="687C59F5" w14:textId="1CB9AD64" w:rsidR="002D49B0" w:rsidRPr="00083739" w:rsidRDefault="00BF4125">
      <w:pPr>
        <w:pStyle w:val="P68B1DB1-Normal4"/>
        <w:numPr>
          <w:ilvl w:val="0"/>
          <w:numId w:val="61"/>
        </w:numPr>
        <w:spacing w:before="120" w:after="120" w:line="240" w:lineRule="auto"/>
        <w:ind w:left="360"/>
        <w:jc w:val="both"/>
        <w:rPr>
          <w:rFonts w:cs="Times New Roman"/>
          <w:noProof/>
          <w:szCs w:val="24"/>
          <w:lang w:val="sk-SK"/>
        </w:rPr>
      </w:pPr>
      <w:r w:rsidRPr="00083739">
        <w:rPr>
          <w:rFonts w:cs="Times New Roman"/>
          <w:noProof/>
          <w:lang w:val="sk-SK"/>
        </w:rPr>
        <w:t>Modernizácia fyzických</w:t>
      </w:r>
      <w:r w:rsidR="00083739" w:rsidRPr="00083739">
        <w:rPr>
          <w:rFonts w:cs="Times New Roman"/>
          <w:noProof/>
          <w:lang w:val="sk-SK"/>
        </w:rPr>
        <w:t xml:space="preserve"> a </w:t>
      </w:r>
      <w:r w:rsidRPr="00083739">
        <w:rPr>
          <w:rFonts w:cs="Times New Roman"/>
          <w:noProof/>
          <w:lang w:val="sk-SK"/>
        </w:rPr>
        <w:t>technických infraštruktúr hlavných špičkových vzdelávacích inštitúcií.</w:t>
      </w:r>
    </w:p>
    <w:p w14:paraId="059405D7" w14:textId="38EF10C1"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Realizácia investície sa ukončí do 31</w:t>
      </w:r>
      <w:r w:rsidR="00083739" w:rsidRPr="00083739">
        <w:rPr>
          <w:rFonts w:cs="Times New Roman"/>
          <w:noProof/>
          <w:lang w:val="sk-SK"/>
        </w:rPr>
        <w:t>. decembra</w:t>
      </w:r>
      <w:r w:rsidRPr="00083739">
        <w:rPr>
          <w:rFonts w:cs="Times New Roman"/>
          <w:noProof/>
          <w:lang w:val="sk-SK"/>
        </w:rPr>
        <w:t xml:space="preserve"> 2025.</w:t>
      </w:r>
    </w:p>
    <w:p w14:paraId="1AB0C9EC" w14:textId="4700A9A3"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Kultúrne trasy na emblematických archeologických lokalitách</w:t>
      </w:r>
      <w:r w:rsidR="00083739" w:rsidRPr="00083739">
        <w:rPr>
          <w:rFonts w:cs="Times New Roman"/>
          <w:noProof/>
          <w:lang w:val="sk-SK"/>
        </w:rPr>
        <w:t xml:space="preserve"> a </w:t>
      </w:r>
      <w:r w:rsidRPr="00083739">
        <w:rPr>
          <w:rFonts w:cs="Times New Roman"/>
          <w:noProof/>
          <w:lang w:val="sk-SK"/>
        </w:rPr>
        <w:t>pamiatkach (ID opatren</w:t>
      </w:r>
      <w:r w:rsidRPr="00083739">
        <w:rPr>
          <w:rFonts w:cs="Times New Roman"/>
          <w:noProof/>
          <w:lang w:val="sk-SK"/>
        </w:rPr>
        <w:t>ia 16485)</w:t>
      </w:r>
    </w:p>
    <w:p w14:paraId="0B3F1AC9" w14:textId="4C708239"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V rámci tejto investície sa navrhne päť symbolických kultúrnych trás</w:t>
      </w:r>
      <w:r w:rsidR="00083739" w:rsidRPr="00083739">
        <w:rPr>
          <w:rFonts w:cs="Times New Roman"/>
          <w:noProof/>
          <w:lang w:val="sk-SK"/>
        </w:rPr>
        <w:t xml:space="preserve"> s </w:t>
      </w:r>
      <w:r w:rsidRPr="00083739">
        <w:rPr>
          <w:rFonts w:cs="Times New Roman"/>
          <w:noProof/>
          <w:lang w:val="sk-SK"/>
        </w:rPr>
        <w:t>tematickými naratívmi pokrývajúcimi všetky obdobia gréckej histórie. Očakáva sa, že trasy budú geograficky rozmiestnené po celej krajine. Investícia zahŕňa aj zachovanie</w:t>
      </w:r>
      <w:r w:rsidR="00083739" w:rsidRPr="00083739">
        <w:rPr>
          <w:rFonts w:cs="Times New Roman"/>
          <w:noProof/>
          <w:lang w:val="sk-SK"/>
        </w:rPr>
        <w:t xml:space="preserve"> a </w:t>
      </w:r>
      <w:r w:rsidRPr="00083739">
        <w:rPr>
          <w:rFonts w:cs="Times New Roman"/>
          <w:noProof/>
          <w:lang w:val="sk-SK"/>
        </w:rPr>
        <w:t>obnovu vybraných pamiatok, modernizáciu služieb</w:t>
      </w:r>
      <w:r w:rsidR="00083739" w:rsidRPr="00083739">
        <w:rPr>
          <w:rFonts w:cs="Times New Roman"/>
          <w:noProof/>
          <w:lang w:val="sk-SK"/>
        </w:rPr>
        <w:t xml:space="preserve"> a </w:t>
      </w:r>
      <w:r w:rsidRPr="00083739">
        <w:rPr>
          <w:rFonts w:cs="Times New Roman"/>
          <w:noProof/>
          <w:lang w:val="sk-SK"/>
        </w:rPr>
        <w:t>infraštruktúry, vývoj interaktívnych digitálnych aplikácií</w:t>
      </w:r>
      <w:r w:rsidR="00083739" w:rsidRPr="00083739">
        <w:rPr>
          <w:rFonts w:cs="Times New Roman"/>
          <w:noProof/>
          <w:lang w:val="sk-SK"/>
        </w:rPr>
        <w:t xml:space="preserve"> a </w:t>
      </w:r>
      <w:r w:rsidRPr="00083739">
        <w:rPr>
          <w:rFonts w:cs="Times New Roman"/>
          <w:noProof/>
          <w:lang w:val="sk-SK"/>
        </w:rPr>
        <w:t>začlenenie umenia</w:t>
      </w:r>
      <w:r w:rsidR="00083739" w:rsidRPr="00083739">
        <w:rPr>
          <w:rFonts w:cs="Times New Roman"/>
          <w:noProof/>
          <w:lang w:val="sk-SK"/>
        </w:rPr>
        <w:t xml:space="preserve"> a </w:t>
      </w:r>
      <w:r w:rsidRPr="00083739">
        <w:rPr>
          <w:rFonts w:cs="Times New Roman"/>
          <w:noProof/>
          <w:lang w:val="sk-SK"/>
        </w:rPr>
        <w:t>kultúrnych podujatí. Pamiatky</w:t>
      </w:r>
      <w:r w:rsidR="00083739" w:rsidRPr="00083739">
        <w:rPr>
          <w:rFonts w:cs="Times New Roman"/>
          <w:noProof/>
          <w:lang w:val="sk-SK"/>
        </w:rPr>
        <w:t xml:space="preserve"> a </w:t>
      </w:r>
      <w:r w:rsidRPr="00083739">
        <w:rPr>
          <w:rFonts w:cs="Times New Roman"/>
          <w:noProof/>
          <w:lang w:val="sk-SK"/>
        </w:rPr>
        <w:t>lokality zahrnuté do trás vytvárajú synergie</w:t>
      </w:r>
      <w:r w:rsidR="00083739" w:rsidRPr="00083739">
        <w:rPr>
          <w:rFonts w:cs="Times New Roman"/>
          <w:noProof/>
          <w:lang w:val="sk-SK"/>
        </w:rPr>
        <w:t xml:space="preserve"> s </w:t>
      </w:r>
      <w:r w:rsidRPr="00083739">
        <w:rPr>
          <w:rFonts w:cs="Times New Roman"/>
          <w:noProof/>
          <w:lang w:val="sk-SK"/>
        </w:rPr>
        <w:t>turistickými destináciami,</w:t>
      </w:r>
      <w:r w:rsidR="00083739" w:rsidRPr="00083739">
        <w:rPr>
          <w:rFonts w:cs="Times New Roman"/>
          <w:noProof/>
          <w:lang w:val="sk-SK"/>
        </w:rPr>
        <w:t xml:space="preserve"> a </w:t>
      </w:r>
      <w:r w:rsidRPr="00083739">
        <w:rPr>
          <w:rFonts w:cs="Times New Roman"/>
          <w:noProof/>
          <w:lang w:val="sk-SK"/>
        </w:rPr>
        <w:t xml:space="preserve">teda pôsobia ako </w:t>
      </w:r>
      <w:r w:rsidRPr="00083739">
        <w:rPr>
          <w:rFonts w:cs="Times New Roman"/>
          <w:noProof/>
          <w:lang w:val="sk-SK"/>
        </w:rPr>
        <w:t>hnacia sila udržateľného rastu</w:t>
      </w:r>
      <w:r w:rsidR="00083739" w:rsidRPr="00083739">
        <w:rPr>
          <w:rFonts w:cs="Times New Roman"/>
          <w:noProof/>
          <w:lang w:val="sk-SK"/>
        </w:rPr>
        <w:t xml:space="preserve"> a </w:t>
      </w:r>
      <w:r w:rsidRPr="00083739">
        <w:rPr>
          <w:rFonts w:cs="Times New Roman"/>
          <w:noProof/>
          <w:lang w:val="sk-SK"/>
        </w:rPr>
        <w:t>hospodárskej, sociálnej</w:t>
      </w:r>
      <w:r w:rsidR="00083739" w:rsidRPr="00083739">
        <w:rPr>
          <w:rFonts w:cs="Times New Roman"/>
          <w:noProof/>
          <w:lang w:val="sk-SK"/>
        </w:rPr>
        <w:t xml:space="preserve"> a </w:t>
      </w:r>
      <w:r w:rsidRPr="00083739">
        <w:rPr>
          <w:rFonts w:cs="Times New Roman"/>
          <w:noProof/>
          <w:lang w:val="sk-SK"/>
        </w:rPr>
        <w:t>územnej súdržnosti. Realizácia investície sa ukončí do 31</w:t>
      </w:r>
      <w:r w:rsidR="00083739" w:rsidRPr="00083739">
        <w:rPr>
          <w:rFonts w:cs="Times New Roman"/>
          <w:noProof/>
          <w:lang w:val="sk-SK"/>
        </w:rPr>
        <w:t>. decembra</w:t>
      </w:r>
      <w:r w:rsidRPr="00083739">
        <w:rPr>
          <w:rFonts w:cs="Times New Roman"/>
          <w:noProof/>
          <w:lang w:val="sk-SK"/>
        </w:rPr>
        <w:t xml:space="preserve"> 2025.</w:t>
      </w:r>
    </w:p>
    <w:p w14:paraId="0EF33F67" w14:textId="7777777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Obnova – zachovanie – Posilnenie pamiatok Acropolis (opatrenie ID 16435)</w:t>
      </w:r>
    </w:p>
    <w:p w14:paraId="24D4169B" w14:textId="2F1DE8E8"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Investícia zahŕňa ochranu Akropolis at</w:t>
      </w:r>
      <w:r w:rsidRPr="00083739">
        <w:rPr>
          <w:rFonts w:cs="Times New Roman"/>
          <w:noProof/>
          <w:lang w:val="sk-SK"/>
        </w:rPr>
        <w:t>énskych pamiatok pred zmenou klímy</w:t>
      </w:r>
      <w:r w:rsidR="00083739" w:rsidRPr="00083739">
        <w:rPr>
          <w:rFonts w:cs="Times New Roman"/>
          <w:noProof/>
          <w:lang w:val="sk-SK"/>
        </w:rPr>
        <w:t xml:space="preserve"> a </w:t>
      </w:r>
      <w:r w:rsidRPr="00083739">
        <w:rPr>
          <w:rFonts w:cs="Times New Roman"/>
          <w:noProof/>
          <w:lang w:val="sk-SK"/>
        </w:rPr>
        <w:t>zahŕňa renovačné práce pre Parthenon</w:t>
      </w:r>
      <w:r w:rsidR="00083739" w:rsidRPr="00083739">
        <w:rPr>
          <w:rFonts w:cs="Times New Roman"/>
          <w:noProof/>
          <w:lang w:val="sk-SK"/>
        </w:rPr>
        <w:t xml:space="preserve"> a </w:t>
      </w:r>
      <w:r w:rsidRPr="00083739">
        <w:rPr>
          <w:rFonts w:cs="Times New Roman"/>
          <w:noProof/>
          <w:lang w:val="sk-SK"/>
        </w:rPr>
        <w:t>múry, zachovanie špecifických častí všetkých pamiatok Akropolisu, konsolidáciu</w:t>
      </w:r>
      <w:r w:rsidR="00083739" w:rsidRPr="00083739">
        <w:rPr>
          <w:rFonts w:cs="Times New Roman"/>
          <w:noProof/>
          <w:lang w:val="sk-SK"/>
        </w:rPr>
        <w:t xml:space="preserve"> a </w:t>
      </w:r>
      <w:r w:rsidRPr="00083739">
        <w:rPr>
          <w:rFonts w:cs="Times New Roman"/>
          <w:noProof/>
          <w:lang w:val="sk-SK"/>
        </w:rPr>
        <w:t>stabilizáciu horninových masív</w:t>
      </w:r>
      <w:r w:rsidR="00083739" w:rsidRPr="00083739">
        <w:rPr>
          <w:rFonts w:cs="Times New Roman"/>
          <w:noProof/>
          <w:lang w:val="sk-SK"/>
        </w:rPr>
        <w:t xml:space="preserve"> a </w:t>
      </w:r>
      <w:r w:rsidRPr="00083739">
        <w:rPr>
          <w:rFonts w:cs="Times New Roman"/>
          <w:noProof/>
          <w:lang w:val="sk-SK"/>
        </w:rPr>
        <w:t>zlepšenie dostupnosti návštevníkov. Realizácia investície sa ukonč</w:t>
      </w:r>
      <w:r w:rsidRPr="00083739">
        <w:rPr>
          <w:rFonts w:cs="Times New Roman"/>
          <w:noProof/>
          <w:lang w:val="sk-SK"/>
        </w:rPr>
        <w:t>í do 31</w:t>
      </w:r>
      <w:r w:rsidR="00083739" w:rsidRPr="00083739">
        <w:rPr>
          <w:rFonts w:cs="Times New Roman"/>
          <w:noProof/>
          <w:lang w:val="sk-SK"/>
        </w:rPr>
        <w:t>. decembra</w:t>
      </w:r>
      <w:r w:rsidRPr="00083739">
        <w:rPr>
          <w:rFonts w:cs="Times New Roman"/>
          <w:noProof/>
          <w:lang w:val="sk-SK"/>
        </w:rPr>
        <w:t xml:space="preserve"> 2025.</w:t>
      </w:r>
    </w:p>
    <w:p w14:paraId="7773F705" w14:textId="7777777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Rozvoj cestovného ruchu (ID opatrenia 16931)</w:t>
      </w:r>
    </w:p>
    <w:p w14:paraId="36D87C4B" w14:textId="46E467FF"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Cieľom tejto investície je predĺžiť turistickú sezónu</w:t>
      </w:r>
      <w:r w:rsidR="00083739" w:rsidRPr="00083739">
        <w:rPr>
          <w:rFonts w:cs="Times New Roman"/>
          <w:noProof/>
          <w:lang w:val="sk-SK"/>
        </w:rPr>
        <w:t xml:space="preserve"> v </w:t>
      </w:r>
      <w:r w:rsidRPr="00083739">
        <w:rPr>
          <w:rFonts w:cs="Times New Roman"/>
          <w:noProof/>
          <w:lang w:val="sk-SK"/>
        </w:rPr>
        <w:t>Grécku aj po letných mesiacoch</w:t>
      </w:r>
      <w:r w:rsidR="00083739" w:rsidRPr="00083739">
        <w:rPr>
          <w:rFonts w:cs="Times New Roman"/>
          <w:noProof/>
          <w:lang w:val="sk-SK"/>
        </w:rPr>
        <w:t xml:space="preserve"> a </w:t>
      </w:r>
      <w:r w:rsidRPr="00083739">
        <w:rPr>
          <w:rFonts w:cs="Times New Roman"/>
          <w:noProof/>
          <w:lang w:val="sk-SK"/>
        </w:rPr>
        <w:t>podporiť alternatívne formy cestovného ruchu, čo prispeje</w:t>
      </w:r>
      <w:r w:rsidR="00083739" w:rsidRPr="00083739">
        <w:rPr>
          <w:rFonts w:cs="Times New Roman"/>
          <w:noProof/>
          <w:lang w:val="sk-SK"/>
        </w:rPr>
        <w:t xml:space="preserve"> k </w:t>
      </w:r>
      <w:r w:rsidRPr="00083739">
        <w:rPr>
          <w:rFonts w:cs="Times New Roman"/>
          <w:noProof/>
          <w:lang w:val="sk-SK"/>
        </w:rPr>
        <w:t xml:space="preserve">hospodárskej odolnosti, </w:t>
      </w:r>
      <w:r w:rsidRPr="00083739">
        <w:rPr>
          <w:rFonts w:cs="Times New Roman"/>
          <w:noProof/>
          <w:lang w:val="sk-SK"/>
        </w:rPr>
        <w:t>udržateľnému rastu</w:t>
      </w:r>
      <w:r w:rsidR="00083739" w:rsidRPr="00083739">
        <w:rPr>
          <w:rFonts w:cs="Times New Roman"/>
          <w:noProof/>
          <w:lang w:val="sk-SK"/>
        </w:rPr>
        <w:t xml:space="preserve"> a </w:t>
      </w:r>
      <w:r w:rsidRPr="00083739">
        <w:rPr>
          <w:rFonts w:cs="Times New Roman"/>
          <w:noProof/>
          <w:lang w:val="sk-SK"/>
        </w:rPr>
        <w:t>sociálnej</w:t>
      </w:r>
      <w:r w:rsidR="00083739" w:rsidRPr="00083739">
        <w:rPr>
          <w:rFonts w:cs="Times New Roman"/>
          <w:noProof/>
          <w:lang w:val="sk-SK"/>
        </w:rPr>
        <w:t xml:space="preserve"> a </w:t>
      </w:r>
      <w:r w:rsidRPr="00083739">
        <w:rPr>
          <w:rFonts w:cs="Times New Roman"/>
          <w:noProof/>
          <w:lang w:val="sk-SK"/>
        </w:rPr>
        <w:t>územnej súdržnosti. Investícia pozostáva</w:t>
      </w:r>
      <w:r w:rsidR="00083739" w:rsidRPr="00083739">
        <w:rPr>
          <w:rFonts w:cs="Times New Roman"/>
          <w:noProof/>
          <w:lang w:val="sk-SK"/>
        </w:rPr>
        <w:t xml:space="preserve"> z </w:t>
      </w:r>
      <w:r w:rsidRPr="00083739">
        <w:rPr>
          <w:rFonts w:cs="Times New Roman"/>
          <w:noProof/>
          <w:lang w:val="sk-SK"/>
        </w:rPr>
        <w:t>dvoch častí:</w:t>
      </w:r>
    </w:p>
    <w:p w14:paraId="2A251E4B" w14:textId="25455A91" w:rsidR="002D49B0" w:rsidRPr="00083739" w:rsidRDefault="00BF4125">
      <w:pPr>
        <w:pStyle w:val="P68B1DB1-Normal4"/>
        <w:numPr>
          <w:ilvl w:val="0"/>
          <w:numId w:val="62"/>
        </w:numPr>
        <w:spacing w:before="120" w:after="120" w:line="240" w:lineRule="auto"/>
        <w:ind w:left="360"/>
        <w:jc w:val="both"/>
        <w:rPr>
          <w:rFonts w:cs="Times New Roman"/>
          <w:noProof/>
          <w:lang w:val="sk-SK"/>
        </w:rPr>
      </w:pPr>
      <w:r w:rsidRPr="00083739">
        <w:rPr>
          <w:rFonts w:cs="Times New Roman"/>
          <w:noProof/>
          <w:lang w:val="sk-SK"/>
        </w:rPr>
        <w:t>Ekologický rozvoj: rozvoj horského cestovného ruchu, ktorý zahŕňa energeticky efektívnu obnovu verejnej</w:t>
      </w:r>
      <w:r w:rsidR="00083739" w:rsidRPr="00083739">
        <w:rPr>
          <w:rFonts w:cs="Times New Roman"/>
          <w:noProof/>
          <w:lang w:val="sk-SK"/>
        </w:rPr>
        <w:t xml:space="preserve"> a </w:t>
      </w:r>
      <w:r w:rsidRPr="00083739">
        <w:rPr>
          <w:rFonts w:cs="Times New Roman"/>
          <w:noProof/>
          <w:lang w:val="sk-SK"/>
        </w:rPr>
        <w:t>súkromnej infraštruktúry</w:t>
      </w:r>
      <w:r w:rsidR="00083739" w:rsidRPr="00083739">
        <w:rPr>
          <w:rFonts w:cs="Times New Roman"/>
          <w:noProof/>
          <w:lang w:val="sk-SK"/>
        </w:rPr>
        <w:t xml:space="preserve"> a </w:t>
      </w:r>
      <w:r w:rsidRPr="00083739">
        <w:rPr>
          <w:rFonts w:cs="Times New Roman"/>
          <w:noProof/>
          <w:lang w:val="sk-SK"/>
        </w:rPr>
        <w:t>inštaláciu kapacity nových obnovit</w:t>
      </w:r>
      <w:r w:rsidRPr="00083739">
        <w:rPr>
          <w:rFonts w:cs="Times New Roman"/>
          <w:noProof/>
          <w:lang w:val="sk-SK"/>
        </w:rPr>
        <w:t>eľných zdrojov energie, cestovný ruch</w:t>
      </w:r>
      <w:r w:rsidR="00083739" w:rsidRPr="00083739">
        <w:rPr>
          <w:rFonts w:cs="Times New Roman"/>
          <w:noProof/>
          <w:lang w:val="sk-SK"/>
        </w:rPr>
        <w:t xml:space="preserve"> v </w:t>
      </w:r>
      <w:r w:rsidRPr="00083739">
        <w:rPr>
          <w:rFonts w:cs="Times New Roman"/>
          <w:noProof/>
          <w:lang w:val="sk-SK"/>
        </w:rPr>
        <w:t>oblasti zdravia</w:t>
      </w:r>
      <w:r w:rsidR="00083739" w:rsidRPr="00083739">
        <w:rPr>
          <w:rFonts w:cs="Times New Roman"/>
          <w:noProof/>
          <w:lang w:val="sk-SK"/>
        </w:rPr>
        <w:t xml:space="preserve"> a </w:t>
      </w:r>
      <w:r w:rsidRPr="00083739">
        <w:rPr>
          <w:rFonts w:cs="Times New Roman"/>
          <w:noProof/>
          <w:lang w:val="sk-SK"/>
        </w:rPr>
        <w:t>wellness, agroturistiku</w:t>
      </w:r>
      <w:r w:rsidR="00083739" w:rsidRPr="00083739">
        <w:rPr>
          <w:rFonts w:cs="Times New Roman"/>
          <w:noProof/>
          <w:lang w:val="sk-SK"/>
        </w:rPr>
        <w:t xml:space="preserve"> a </w:t>
      </w:r>
      <w:r w:rsidRPr="00083739">
        <w:rPr>
          <w:rFonts w:cs="Times New Roman"/>
          <w:noProof/>
          <w:lang w:val="sk-SK"/>
        </w:rPr>
        <w:t>gastronómiu.</w:t>
      </w:r>
    </w:p>
    <w:p w14:paraId="70DC5ED2" w14:textId="6287927B" w:rsidR="002D49B0" w:rsidRPr="00083739" w:rsidRDefault="00BF4125">
      <w:pPr>
        <w:pStyle w:val="P68B1DB1-Normal4"/>
        <w:numPr>
          <w:ilvl w:val="0"/>
          <w:numId w:val="62"/>
        </w:numPr>
        <w:spacing w:before="120" w:after="120" w:line="240" w:lineRule="auto"/>
        <w:ind w:left="360"/>
        <w:jc w:val="both"/>
        <w:rPr>
          <w:rFonts w:cs="Times New Roman"/>
          <w:noProof/>
          <w:szCs w:val="24"/>
          <w:lang w:val="sk-SK"/>
        </w:rPr>
      </w:pPr>
      <w:r w:rsidRPr="00083739">
        <w:rPr>
          <w:rFonts w:cs="Times New Roman"/>
          <w:noProof/>
          <w:lang w:val="sk-SK"/>
        </w:rPr>
        <w:t>Modrý rozvoj: modernizácia infraštruktúry turistických prístavov prostredníctvom opatrení na zvýšenie energetickej efektívnosti existujúcich alebo nových budov</w:t>
      </w:r>
      <w:r w:rsidR="00083739" w:rsidRPr="00083739">
        <w:rPr>
          <w:rFonts w:cs="Times New Roman"/>
          <w:noProof/>
          <w:lang w:val="sk-SK"/>
        </w:rPr>
        <w:t xml:space="preserve"> a </w:t>
      </w:r>
      <w:r w:rsidRPr="00083739">
        <w:rPr>
          <w:rFonts w:cs="Times New Roman"/>
          <w:noProof/>
          <w:lang w:val="sk-SK"/>
        </w:rPr>
        <w:t>intervencií na zlepšenie infraštruktúry</w:t>
      </w:r>
      <w:r w:rsidR="00083739" w:rsidRPr="00083739">
        <w:rPr>
          <w:rFonts w:cs="Times New Roman"/>
          <w:noProof/>
          <w:lang w:val="sk-SK"/>
        </w:rPr>
        <w:t xml:space="preserve"> a </w:t>
      </w:r>
      <w:r w:rsidRPr="00083739">
        <w:rPr>
          <w:rFonts w:cs="Times New Roman"/>
          <w:noProof/>
          <w:lang w:val="sk-SK"/>
        </w:rPr>
        <w:t>služieb ponúkaných</w:t>
      </w:r>
      <w:r w:rsidR="00083739" w:rsidRPr="00083739">
        <w:rPr>
          <w:rFonts w:cs="Times New Roman"/>
          <w:noProof/>
          <w:lang w:val="sk-SK"/>
        </w:rPr>
        <w:t xml:space="preserve"> v </w:t>
      </w:r>
      <w:r w:rsidRPr="00083739">
        <w:rPr>
          <w:rFonts w:cs="Times New Roman"/>
          <w:noProof/>
          <w:lang w:val="sk-SK"/>
        </w:rPr>
        <w:t>prístavoch, prístupnosti pláží pre starších ľudí</w:t>
      </w:r>
      <w:r w:rsidR="00083739" w:rsidRPr="00083739">
        <w:rPr>
          <w:rFonts w:cs="Times New Roman"/>
          <w:noProof/>
          <w:lang w:val="sk-SK"/>
        </w:rPr>
        <w:t xml:space="preserve"> a </w:t>
      </w:r>
      <w:r w:rsidRPr="00083739">
        <w:rPr>
          <w:rFonts w:cs="Times New Roman"/>
          <w:noProof/>
          <w:lang w:val="sk-SK"/>
        </w:rPr>
        <w:t>osoby so zdravotným postihnutím</w:t>
      </w:r>
      <w:r w:rsidR="00083739" w:rsidRPr="00083739">
        <w:rPr>
          <w:rFonts w:cs="Times New Roman"/>
          <w:noProof/>
          <w:lang w:val="sk-SK"/>
        </w:rPr>
        <w:t xml:space="preserve"> a </w:t>
      </w:r>
      <w:r w:rsidRPr="00083739">
        <w:rPr>
          <w:rFonts w:cs="Times New Roman"/>
          <w:noProof/>
          <w:lang w:val="sk-SK"/>
        </w:rPr>
        <w:t>na podporu rozvoja potápacieho</w:t>
      </w:r>
      <w:r w:rsidR="00083739" w:rsidRPr="00083739">
        <w:rPr>
          <w:rFonts w:cs="Times New Roman"/>
          <w:noProof/>
          <w:lang w:val="sk-SK"/>
        </w:rPr>
        <w:t xml:space="preserve"> a </w:t>
      </w:r>
      <w:r w:rsidRPr="00083739">
        <w:rPr>
          <w:rFonts w:cs="Times New Roman"/>
          <w:noProof/>
          <w:lang w:val="sk-SK"/>
        </w:rPr>
        <w:t>podmorského cestovného ruchu.</w:t>
      </w:r>
    </w:p>
    <w:p w14:paraId="61B3DE25" w14:textId="351F8142" w:rsidR="002D49B0" w:rsidRPr="00083739" w:rsidRDefault="00BF4125">
      <w:pPr>
        <w:pStyle w:val="P68B1DB1-Normal5"/>
        <w:spacing w:before="120" w:after="120" w:line="240" w:lineRule="auto"/>
        <w:jc w:val="both"/>
        <w:rPr>
          <w:rFonts w:cs="Times New Roman"/>
          <w:noProof/>
          <w:highlight w:val="green"/>
          <w:lang w:val="sk-SK"/>
        </w:rPr>
      </w:pPr>
      <w:r w:rsidRPr="00083739">
        <w:rPr>
          <w:rFonts w:cs="Times New Roman"/>
          <w:noProof/>
          <w:lang w:val="sk-SK"/>
        </w:rPr>
        <w:t>S cieľom zabezpečiť, aby opatrenie bolo</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technickými usmerneniami „výrazne nenarušiť“ (2021/C58/01), kritériá oprávnenosti uvedené</w:t>
      </w:r>
      <w:r w:rsidR="00083739" w:rsidRPr="00083739">
        <w:rPr>
          <w:rFonts w:cs="Times New Roman"/>
          <w:noProof/>
          <w:lang w:val="sk-SK"/>
        </w:rPr>
        <w:t xml:space="preserve"> v </w:t>
      </w:r>
      <w:r w:rsidRPr="00083739">
        <w:rPr>
          <w:rFonts w:cs="Times New Roman"/>
          <w:noProof/>
          <w:lang w:val="sk-SK"/>
        </w:rPr>
        <w:t>zadávacích podmienkach pre výzvy na predkladanie projektov nezahŕňajú tento zoznam činností:</w:t>
      </w:r>
      <w:r w:rsidRPr="00083739">
        <w:rPr>
          <w:rFonts w:cs="Times New Roman"/>
          <w:noProof/>
          <w:color w:val="FF0000"/>
          <w:lang w:val="sk-SK"/>
        </w:rPr>
        <w:t xml:space="preserve"> </w:t>
      </w:r>
      <w:r w:rsidRPr="00083739">
        <w:rPr>
          <w:rFonts w:cs="Times New Roman"/>
          <w:noProof/>
          <w:lang w:val="sk-SK"/>
        </w:rPr>
        <w:t>I) činnosti súvisiace</w:t>
      </w:r>
      <w:r w:rsidR="00083739" w:rsidRPr="00083739">
        <w:rPr>
          <w:rFonts w:cs="Times New Roman"/>
          <w:noProof/>
          <w:lang w:val="sk-SK"/>
        </w:rPr>
        <w:t xml:space="preserve"> s </w:t>
      </w:r>
      <w:r w:rsidRPr="00083739">
        <w:rPr>
          <w:rFonts w:cs="Times New Roman"/>
          <w:noProof/>
          <w:lang w:val="sk-SK"/>
        </w:rPr>
        <w:t xml:space="preserve">fosílnymi palivami vrátane následného </w:t>
      </w:r>
      <w:r w:rsidRPr="00083739">
        <w:rPr>
          <w:rFonts w:cs="Times New Roman"/>
          <w:noProof/>
          <w:lang w:val="sk-SK"/>
        </w:rPr>
        <w:t>použitia</w:t>
      </w:r>
      <w:r w:rsidRPr="00083739">
        <w:rPr>
          <w:rFonts w:cs="Times New Roman"/>
          <w:noProof/>
          <w:lang w:val="sk-SK"/>
        </w:rPr>
        <w:footnoteReference w:id="19"/>
      </w:r>
      <w:r w:rsidRPr="00083739">
        <w:rPr>
          <w:rFonts w:cs="Times New Roman"/>
          <w:noProof/>
          <w:lang w:val="sk-SK"/>
        </w:rPr>
        <w:t>; II) činností</w:t>
      </w:r>
      <w:r w:rsidR="00083739" w:rsidRPr="00083739">
        <w:rPr>
          <w:rFonts w:cs="Times New Roman"/>
          <w:noProof/>
          <w:lang w:val="sk-SK"/>
        </w:rPr>
        <w:t xml:space="preserve"> v </w:t>
      </w:r>
      <w:r w:rsidRPr="00083739">
        <w:rPr>
          <w:rFonts w:cs="Times New Roman"/>
          <w:noProof/>
          <w:lang w:val="sk-SK"/>
        </w:rPr>
        <w:t>rámci systému EÚ na obchodovanie</w:t>
      </w:r>
      <w:r w:rsidR="00083739" w:rsidRPr="00083739">
        <w:rPr>
          <w:rFonts w:cs="Times New Roman"/>
          <w:noProof/>
          <w:lang w:val="sk-SK"/>
        </w:rPr>
        <w:t xml:space="preserve"> s </w:t>
      </w:r>
      <w:r w:rsidRPr="00083739">
        <w:rPr>
          <w:rFonts w:cs="Times New Roman"/>
          <w:noProof/>
          <w:lang w:val="sk-SK"/>
        </w:rPr>
        <w:t>emisiami (ETS), ktorými sa dosahujú predpokladané emisie skleníkových plynov, ktoré nie sú nižšie ako príslušné referenčné hodnoty</w:t>
      </w:r>
      <w:r w:rsidRPr="00083739">
        <w:rPr>
          <w:rFonts w:cs="Times New Roman"/>
          <w:noProof/>
          <w:lang w:val="sk-SK"/>
        </w:rPr>
        <w:footnoteReference w:id="20"/>
      </w:r>
      <w:r w:rsidRPr="00083739">
        <w:rPr>
          <w:rFonts w:cs="Times New Roman"/>
          <w:noProof/>
          <w:lang w:val="sk-SK"/>
        </w:rPr>
        <w:t>; III) činnosti súvisiace so skládkami odpadov, spaľovňami</w:t>
      </w:r>
      <w:r w:rsidRPr="00083739">
        <w:rPr>
          <w:rFonts w:cs="Times New Roman"/>
          <w:noProof/>
          <w:lang w:val="sk-SK"/>
        </w:rPr>
        <w:footnoteReference w:id="21"/>
      </w:r>
      <w:r w:rsidR="00083739" w:rsidRPr="00083739">
        <w:rPr>
          <w:rFonts w:cs="Times New Roman"/>
          <w:noProof/>
          <w:lang w:val="sk-SK"/>
        </w:rPr>
        <w:t xml:space="preserve"> a </w:t>
      </w:r>
      <w:r w:rsidRPr="00083739">
        <w:rPr>
          <w:rFonts w:cs="Times New Roman"/>
          <w:noProof/>
          <w:lang w:val="sk-SK"/>
        </w:rPr>
        <w:t>mechanickými biologickými čistiarňami</w:t>
      </w:r>
      <w:r w:rsidRPr="00083739">
        <w:rPr>
          <w:rFonts w:cs="Times New Roman"/>
          <w:noProof/>
          <w:lang w:val="sk-SK"/>
        </w:rPr>
        <w:footnoteReference w:id="22"/>
      </w:r>
      <w:r w:rsidRPr="00083739">
        <w:rPr>
          <w:rFonts w:cs="Times New Roman"/>
          <w:noProof/>
          <w:lang w:val="sk-SK"/>
        </w:rPr>
        <w:t>;</w:t>
      </w:r>
      <w:r w:rsidR="00083739" w:rsidRPr="00083739">
        <w:rPr>
          <w:rFonts w:cs="Times New Roman"/>
          <w:noProof/>
          <w:lang w:val="sk-SK"/>
        </w:rPr>
        <w:t xml:space="preserve"> a </w:t>
      </w:r>
      <w:r w:rsidRPr="00083739">
        <w:rPr>
          <w:rFonts w:cs="Times New Roman"/>
          <w:noProof/>
          <w:lang w:val="sk-SK"/>
        </w:rPr>
        <w:t>iv) činnosti, pri ktorých dlhodobé zneškodňovanie odpadu môže poškodiť životné prostredie.</w:t>
      </w:r>
      <w:r w:rsidR="00083739" w:rsidRPr="00083739">
        <w:rPr>
          <w:rFonts w:cs="Times New Roman"/>
          <w:noProof/>
          <w:lang w:val="sk-SK"/>
        </w:rPr>
        <w:t xml:space="preserve"> V </w:t>
      </w:r>
      <w:r w:rsidRPr="00083739">
        <w:rPr>
          <w:rFonts w:cs="Times New Roman"/>
          <w:noProof/>
          <w:lang w:val="sk-SK"/>
        </w:rPr>
        <w:t>zadávacích podmienkach sa okrem toho vyžaduje, aby sa mohli vybrať len tie činnosti, ktoré sú</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príslušnými práv</w:t>
      </w:r>
      <w:r w:rsidRPr="00083739">
        <w:rPr>
          <w:rFonts w:cs="Times New Roman"/>
          <w:noProof/>
          <w:lang w:val="sk-SK"/>
        </w:rPr>
        <w:t>nymi predpismi EÚ</w:t>
      </w:r>
      <w:r w:rsidR="00083739" w:rsidRPr="00083739">
        <w:rPr>
          <w:rFonts w:cs="Times New Roman"/>
          <w:noProof/>
          <w:lang w:val="sk-SK"/>
        </w:rPr>
        <w:t xml:space="preserve"> a </w:t>
      </w:r>
      <w:r w:rsidRPr="00083739">
        <w:rPr>
          <w:rFonts w:cs="Times New Roman"/>
          <w:noProof/>
          <w:lang w:val="sk-SK"/>
        </w:rPr>
        <w:t>vnútroštátnymi právnymi predpismi</w:t>
      </w:r>
      <w:r w:rsidR="00083739" w:rsidRPr="00083739">
        <w:rPr>
          <w:rFonts w:cs="Times New Roman"/>
          <w:noProof/>
          <w:lang w:val="sk-SK"/>
        </w:rPr>
        <w:t xml:space="preserve"> v </w:t>
      </w:r>
      <w:r w:rsidRPr="00083739">
        <w:rPr>
          <w:rFonts w:cs="Times New Roman"/>
          <w:noProof/>
          <w:lang w:val="sk-SK"/>
        </w:rPr>
        <w:t>oblasti životného prostredia. Realizácia investície sa ukončí do 31</w:t>
      </w:r>
      <w:r w:rsidR="00083739" w:rsidRPr="00083739">
        <w:rPr>
          <w:rFonts w:cs="Times New Roman"/>
          <w:noProof/>
          <w:lang w:val="sk-SK"/>
        </w:rPr>
        <w:t>. decembra</w:t>
      </w:r>
      <w:r w:rsidRPr="00083739">
        <w:rPr>
          <w:rFonts w:cs="Times New Roman"/>
          <w:noProof/>
          <w:lang w:val="sk-SK"/>
        </w:rPr>
        <w:t xml:space="preserve"> 2025.</w:t>
      </w:r>
    </w:p>
    <w:p w14:paraId="188574A7" w14:textId="7C0EEC98"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Rekvalifikácia</w:t>
      </w:r>
      <w:r w:rsidR="00083739" w:rsidRPr="00083739">
        <w:rPr>
          <w:rFonts w:cs="Times New Roman"/>
          <w:noProof/>
          <w:lang w:val="sk-SK"/>
        </w:rPr>
        <w:t xml:space="preserve"> a </w:t>
      </w:r>
      <w:r w:rsidRPr="00083739">
        <w:rPr>
          <w:rFonts w:cs="Times New Roman"/>
          <w:noProof/>
          <w:lang w:val="sk-SK"/>
        </w:rPr>
        <w:t>zvyšovanie úrovne zručností</w:t>
      </w:r>
      <w:r w:rsidR="00083739" w:rsidRPr="00083739">
        <w:rPr>
          <w:rFonts w:cs="Times New Roman"/>
          <w:noProof/>
          <w:lang w:val="sk-SK"/>
        </w:rPr>
        <w:t xml:space="preserve"> v </w:t>
      </w:r>
      <w:r w:rsidRPr="00083739">
        <w:rPr>
          <w:rFonts w:cs="Times New Roman"/>
          <w:noProof/>
          <w:lang w:val="sk-SK"/>
        </w:rPr>
        <w:t>cestovnom ruchu (opatrenie ID 16921)</w:t>
      </w:r>
    </w:p>
    <w:p w14:paraId="52D8F4EC" w14:textId="79EF1C9D"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Investícia zahŕňa zv</w:t>
      </w:r>
      <w:r w:rsidRPr="00083739">
        <w:rPr>
          <w:rFonts w:cs="Times New Roman"/>
          <w:noProof/>
          <w:lang w:val="sk-SK"/>
        </w:rPr>
        <w:t>yšovanie úrovne zručností</w:t>
      </w:r>
      <w:r w:rsidR="00083739" w:rsidRPr="00083739">
        <w:rPr>
          <w:rFonts w:cs="Times New Roman"/>
          <w:noProof/>
          <w:lang w:val="sk-SK"/>
        </w:rPr>
        <w:t xml:space="preserve"> a </w:t>
      </w:r>
      <w:r w:rsidRPr="00083739">
        <w:rPr>
          <w:rFonts w:cs="Times New Roman"/>
          <w:noProof/>
          <w:lang w:val="sk-SK"/>
        </w:rPr>
        <w:t>rekvalifikáciu sezónnych pracovníkov, dlhodobo nezamestnaných, ako aj pracovníkov</w:t>
      </w:r>
      <w:r w:rsidR="00083739" w:rsidRPr="00083739">
        <w:rPr>
          <w:rFonts w:cs="Times New Roman"/>
          <w:noProof/>
          <w:lang w:val="sk-SK"/>
        </w:rPr>
        <w:t xml:space="preserve"> v </w:t>
      </w:r>
      <w:r w:rsidRPr="00083739">
        <w:rPr>
          <w:rFonts w:cs="Times New Roman"/>
          <w:noProof/>
          <w:lang w:val="sk-SK"/>
        </w:rPr>
        <w:t>odvetví cestovného ruchu, ktorých pracovná zmluva bola počas pandémie pozastavená. Rekvalifikačné programy zahŕňajú niekoľko špecializácií</w:t>
      </w:r>
      <w:r w:rsidR="00083739" w:rsidRPr="00083739">
        <w:rPr>
          <w:rFonts w:cs="Times New Roman"/>
          <w:noProof/>
          <w:lang w:val="sk-SK"/>
        </w:rPr>
        <w:t xml:space="preserve"> a </w:t>
      </w:r>
      <w:r w:rsidRPr="00083739">
        <w:rPr>
          <w:rFonts w:cs="Times New Roman"/>
          <w:noProof/>
          <w:lang w:val="sk-SK"/>
        </w:rPr>
        <w:t>rie</w:t>
      </w:r>
      <w:r w:rsidRPr="00083739">
        <w:rPr>
          <w:rFonts w:cs="Times New Roman"/>
          <w:noProof/>
          <w:lang w:val="sk-SK"/>
        </w:rPr>
        <w:t>šia budúce potreby odvetvia</w:t>
      </w:r>
      <w:r w:rsidR="00083739" w:rsidRPr="00083739">
        <w:rPr>
          <w:rFonts w:cs="Times New Roman"/>
          <w:noProof/>
          <w:lang w:val="sk-SK"/>
        </w:rPr>
        <w:t xml:space="preserve"> v </w:t>
      </w:r>
      <w:r w:rsidRPr="00083739">
        <w:rPr>
          <w:rFonts w:cs="Times New Roman"/>
          <w:noProof/>
          <w:lang w:val="sk-SK"/>
        </w:rPr>
        <w:t>období po pandémii COVID-19. Implementácia tejto investície sa dokončí do 30</w:t>
      </w:r>
      <w:r w:rsidR="00083739" w:rsidRPr="00083739">
        <w:rPr>
          <w:rFonts w:cs="Times New Roman"/>
          <w:noProof/>
          <w:lang w:val="sk-SK"/>
        </w:rPr>
        <w:t>. júna</w:t>
      </w:r>
      <w:r w:rsidRPr="00083739">
        <w:rPr>
          <w:rFonts w:cs="Times New Roman"/>
          <w:noProof/>
          <w:lang w:val="sk-SK"/>
        </w:rPr>
        <w:t xml:space="preserve"> 2025.</w:t>
      </w:r>
    </w:p>
    <w:p w14:paraId="6838DBCC" w14:textId="7777777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Nové priemyselné parky (ID opatrenia 16634)</w:t>
      </w:r>
    </w:p>
    <w:p w14:paraId="685507AF" w14:textId="06AA55CE"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Investícia zahŕňa poskytnutie finančnej pomoci na a) zriadenie nových priemyselný</w:t>
      </w:r>
      <w:r w:rsidRPr="00083739">
        <w:rPr>
          <w:rFonts w:cs="Times New Roman"/>
          <w:noProof/>
          <w:lang w:val="sk-SK"/>
        </w:rPr>
        <w:t>ch parkov novej generácie, b) rozšírenie existujúcich priemyselných parkov</w:t>
      </w:r>
      <w:r w:rsidR="00083739" w:rsidRPr="00083739">
        <w:rPr>
          <w:rFonts w:cs="Times New Roman"/>
          <w:noProof/>
          <w:lang w:val="sk-SK"/>
        </w:rPr>
        <w:t xml:space="preserve"> s </w:t>
      </w:r>
      <w:r w:rsidRPr="00083739">
        <w:rPr>
          <w:rFonts w:cs="Times New Roman"/>
          <w:noProof/>
          <w:lang w:val="sk-SK"/>
        </w:rPr>
        <w:t>cieľom zvýšiť ich pripravenosť na prechod na sieťovú infraštruktúru 5G</w:t>
      </w:r>
      <w:r w:rsidR="00083739" w:rsidRPr="00083739">
        <w:rPr>
          <w:rFonts w:cs="Times New Roman"/>
          <w:noProof/>
          <w:lang w:val="sk-SK"/>
        </w:rPr>
        <w:t xml:space="preserve"> a </w:t>
      </w:r>
      <w:r w:rsidRPr="00083739">
        <w:rPr>
          <w:rFonts w:cs="Times New Roman"/>
          <w:noProof/>
          <w:lang w:val="sk-SK"/>
        </w:rPr>
        <w:t>ultravysokú šírku pásma</w:t>
      </w:r>
      <w:r w:rsidR="00083739" w:rsidRPr="00083739">
        <w:rPr>
          <w:rFonts w:cs="Times New Roman"/>
          <w:noProof/>
          <w:lang w:val="sk-SK"/>
        </w:rPr>
        <w:t xml:space="preserve"> a </w:t>
      </w:r>
      <w:r w:rsidRPr="00083739">
        <w:rPr>
          <w:rFonts w:cs="Times New Roman"/>
          <w:noProof/>
          <w:lang w:val="sk-SK"/>
        </w:rPr>
        <w:t>využívanie obnoviteľných zdrojov energie, inteligentné riadenie energie</w:t>
      </w:r>
      <w:r w:rsidR="00083739" w:rsidRPr="00083739">
        <w:rPr>
          <w:rFonts w:cs="Times New Roman"/>
          <w:noProof/>
          <w:lang w:val="sk-SK"/>
        </w:rPr>
        <w:t xml:space="preserve"> a </w:t>
      </w:r>
      <w:r w:rsidRPr="00083739">
        <w:rPr>
          <w:rFonts w:cs="Times New Roman"/>
          <w:noProof/>
          <w:lang w:val="sk-SK"/>
        </w:rPr>
        <w:t>zásahy</w:t>
      </w:r>
      <w:r w:rsidR="00083739" w:rsidRPr="00083739">
        <w:rPr>
          <w:rFonts w:cs="Times New Roman"/>
          <w:noProof/>
          <w:lang w:val="sk-SK"/>
        </w:rPr>
        <w:t xml:space="preserve"> v </w:t>
      </w:r>
      <w:r w:rsidRPr="00083739">
        <w:rPr>
          <w:rFonts w:cs="Times New Roman"/>
          <w:noProof/>
          <w:lang w:val="sk-SK"/>
        </w:rPr>
        <w:t>oblasti úspor energie</w:t>
      </w:r>
      <w:r w:rsidR="00083739" w:rsidRPr="00083739">
        <w:rPr>
          <w:rFonts w:cs="Times New Roman"/>
          <w:noProof/>
          <w:lang w:val="sk-SK"/>
        </w:rPr>
        <w:t xml:space="preserve"> a </w:t>
      </w:r>
      <w:r w:rsidRPr="00083739">
        <w:rPr>
          <w:rFonts w:cs="Times New Roman"/>
          <w:noProof/>
          <w:lang w:val="sk-SK"/>
        </w:rPr>
        <w:t>infraštruktúru obehového hospodárstva</w:t>
      </w:r>
      <w:r w:rsidR="00083739" w:rsidRPr="00083739">
        <w:rPr>
          <w:rFonts w:cs="Times New Roman"/>
          <w:noProof/>
          <w:lang w:val="sk-SK"/>
        </w:rPr>
        <w:t xml:space="preserve"> a </w:t>
      </w:r>
      <w:r w:rsidRPr="00083739">
        <w:rPr>
          <w:rFonts w:cs="Times New Roman"/>
          <w:noProof/>
          <w:lang w:val="sk-SK"/>
        </w:rPr>
        <w:t>c) transformáciu oblastí</w:t>
      </w:r>
      <w:r w:rsidR="00083739" w:rsidRPr="00083739">
        <w:rPr>
          <w:rFonts w:cs="Times New Roman"/>
          <w:noProof/>
          <w:lang w:val="sk-SK"/>
        </w:rPr>
        <w:t xml:space="preserve"> s </w:t>
      </w:r>
      <w:r w:rsidRPr="00083739">
        <w:rPr>
          <w:rFonts w:cs="Times New Roman"/>
          <w:noProof/>
          <w:lang w:val="sk-SK"/>
        </w:rPr>
        <w:t>vysokou priemyselnou koncentráciou na ekologické</w:t>
      </w:r>
      <w:r w:rsidR="00083739" w:rsidRPr="00083739">
        <w:rPr>
          <w:rFonts w:cs="Times New Roman"/>
          <w:noProof/>
          <w:lang w:val="sk-SK"/>
        </w:rPr>
        <w:t xml:space="preserve"> a </w:t>
      </w:r>
      <w:r w:rsidRPr="00083739">
        <w:rPr>
          <w:rFonts w:cs="Times New Roman"/>
          <w:noProof/>
          <w:lang w:val="sk-SK"/>
        </w:rPr>
        <w:t>digitalizované priemyselné parky. Opatrenie zahŕňa aj reformu regulačného rámca pre priemyselné parky vrátane r</w:t>
      </w:r>
      <w:r w:rsidRPr="00083739">
        <w:rPr>
          <w:rFonts w:cs="Times New Roman"/>
          <w:noProof/>
          <w:lang w:val="sk-SK"/>
        </w:rPr>
        <w:t>iešenia právnych neistôt, riešenia otázok správy</w:t>
      </w:r>
      <w:r w:rsidR="00083739" w:rsidRPr="00083739">
        <w:rPr>
          <w:rFonts w:cs="Times New Roman"/>
          <w:noProof/>
          <w:lang w:val="sk-SK"/>
        </w:rPr>
        <w:t xml:space="preserve"> a </w:t>
      </w:r>
      <w:r w:rsidRPr="00083739">
        <w:rPr>
          <w:rFonts w:cs="Times New Roman"/>
          <w:noProof/>
          <w:lang w:val="sk-SK"/>
        </w:rPr>
        <w:t>poskytovania účinných stimulov na riešenie neformálnych priemyselných koncentrácií. Realizácia investície sa ukončí do 31</w:t>
      </w:r>
      <w:r w:rsidR="00083739" w:rsidRPr="00083739">
        <w:rPr>
          <w:rFonts w:cs="Times New Roman"/>
          <w:noProof/>
          <w:lang w:val="sk-SK"/>
        </w:rPr>
        <w:t>. decembra</w:t>
      </w:r>
      <w:r w:rsidRPr="00083739">
        <w:rPr>
          <w:rFonts w:cs="Times New Roman"/>
          <w:noProof/>
          <w:lang w:val="sk-SK"/>
        </w:rPr>
        <w:t xml:space="preserve"> 2025.</w:t>
      </w:r>
    </w:p>
    <w:p w14:paraId="2114B7F7" w14:textId="281B52B2"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Finančná podpora pozostáva</w:t>
      </w:r>
      <w:r w:rsidR="00083739" w:rsidRPr="00083739">
        <w:rPr>
          <w:rFonts w:cs="Times New Roman"/>
          <w:noProof/>
          <w:lang w:val="sk-SK"/>
        </w:rPr>
        <w:t xml:space="preserve"> z </w:t>
      </w:r>
      <w:r w:rsidRPr="00083739">
        <w:rPr>
          <w:rFonts w:cs="Times New Roman"/>
          <w:noProof/>
          <w:lang w:val="sk-SK"/>
        </w:rPr>
        <w:t>investícií do a) infraštruktúry na zri</w:t>
      </w:r>
      <w:r w:rsidRPr="00083739">
        <w:rPr>
          <w:rFonts w:cs="Times New Roman"/>
          <w:noProof/>
          <w:lang w:val="sk-SK"/>
        </w:rPr>
        <w:t>adenie parkov novej generácie (vrátane nadobúdania pozemkov)</w:t>
      </w:r>
      <w:r w:rsidR="00083739" w:rsidRPr="00083739">
        <w:rPr>
          <w:rFonts w:cs="Times New Roman"/>
          <w:noProof/>
          <w:lang w:val="sk-SK"/>
        </w:rPr>
        <w:t xml:space="preserve"> s </w:t>
      </w:r>
      <w:r w:rsidRPr="00083739">
        <w:rPr>
          <w:rFonts w:cs="Times New Roman"/>
          <w:noProof/>
          <w:lang w:val="sk-SK"/>
        </w:rPr>
        <w:t>osobitnými kritériami energetickej efektívnosti pri výstavbe nových budov</w:t>
      </w:r>
      <w:r w:rsidR="00083739" w:rsidRPr="00083739">
        <w:rPr>
          <w:rFonts w:cs="Times New Roman"/>
          <w:noProof/>
          <w:lang w:val="sk-SK"/>
        </w:rPr>
        <w:t xml:space="preserve"> a </w:t>
      </w:r>
      <w:r w:rsidRPr="00083739">
        <w:rPr>
          <w:rFonts w:cs="Times New Roman"/>
          <w:noProof/>
          <w:lang w:val="sk-SK"/>
        </w:rPr>
        <w:t>energetickej efektívnosti</w:t>
      </w:r>
      <w:r w:rsidR="00083739" w:rsidRPr="00083739">
        <w:rPr>
          <w:rFonts w:cs="Times New Roman"/>
          <w:noProof/>
          <w:lang w:val="sk-SK"/>
        </w:rPr>
        <w:t xml:space="preserve"> a </w:t>
      </w:r>
      <w:r w:rsidRPr="00083739">
        <w:rPr>
          <w:rFonts w:cs="Times New Roman"/>
          <w:noProof/>
          <w:lang w:val="sk-SK"/>
        </w:rPr>
        <w:t>demonštračných projektov vo veľkých podnikoch</w:t>
      </w:r>
      <w:r w:rsidR="00083739" w:rsidRPr="00083739">
        <w:rPr>
          <w:rFonts w:cs="Times New Roman"/>
          <w:noProof/>
          <w:lang w:val="sk-SK"/>
        </w:rPr>
        <w:t xml:space="preserve"> a </w:t>
      </w:r>
      <w:r w:rsidRPr="00083739">
        <w:rPr>
          <w:rFonts w:cs="Times New Roman"/>
          <w:noProof/>
          <w:lang w:val="sk-SK"/>
        </w:rPr>
        <w:t>podporných opatrení, b) infraštruktúry na</w:t>
      </w:r>
      <w:r w:rsidRPr="00083739">
        <w:rPr>
          <w:rFonts w:cs="Times New Roman"/>
          <w:noProof/>
          <w:lang w:val="sk-SK"/>
        </w:rPr>
        <w:t xml:space="preserve"> digitálnu transformáciu</w:t>
      </w:r>
      <w:r w:rsidR="00083739" w:rsidRPr="00083739">
        <w:rPr>
          <w:rFonts w:cs="Times New Roman"/>
          <w:noProof/>
          <w:lang w:val="sk-SK"/>
        </w:rPr>
        <w:t xml:space="preserve"> a </w:t>
      </w:r>
      <w:r w:rsidRPr="00083739">
        <w:rPr>
          <w:rFonts w:cs="Times New Roman"/>
          <w:noProof/>
          <w:lang w:val="sk-SK"/>
        </w:rPr>
        <w:t>vytvorenie inteligentných priemyselných oblastí, c) slnečnej energie</w:t>
      </w:r>
      <w:r w:rsidR="00083739" w:rsidRPr="00083739">
        <w:rPr>
          <w:rFonts w:cs="Times New Roman"/>
          <w:noProof/>
          <w:lang w:val="sk-SK"/>
        </w:rPr>
        <w:t xml:space="preserve"> z </w:t>
      </w:r>
      <w:r w:rsidRPr="00083739">
        <w:rPr>
          <w:rFonts w:cs="Times New Roman"/>
          <w:noProof/>
          <w:lang w:val="sk-SK"/>
        </w:rPr>
        <w:t>obnoviteľných zdrojov, d) vodného hospodárstva</w:t>
      </w:r>
      <w:r w:rsidR="00083739" w:rsidRPr="00083739">
        <w:rPr>
          <w:rFonts w:cs="Times New Roman"/>
          <w:noProof/>
          <w:lang w:val="sk-SK"/>
        </w:rPr>
        <w:t xml:space="preserve"> a </w:t>
      </w:r>
      <w:r w:rsidRPr="00083739">
        <w:rPr>
          <w:rFonts w:cs="Times New Roman"/>
          <w:noProof/>
          <w:lang w:val="sk-SK"/>
        </w:rPr>
        <w:t>ochrany vodných zdrojov (investície musia mať priemerný index úniku</w:t>
      </w:r>
      <w:r w:rsidR="00083739" w:rsidRPr="00083739">
        <w:rPr>
          <w:rFonts w:cs="Times New Roman"/>
          <w:noProof/>
          <w:lang w:val="sk-SK"/>
        </w:rPr>
        <w:t xml:space="preserve"> v </w:t>
      </w:r>
      <w:r w:rsidRPr="00083739">
        <w:rPr>
          <w:rFonts w:cs="Times New Roman"/>
          <w:noProof/>
          <w:lang w:val="sk-SK"/>
        </w:rPr>
        <w:t>infraštruktúre (ILI) &amp; = 1,5), e) systé</w:t>
      </w:r>
      <w:r w:rsidRPr="00083739">
        <w:rPr>
          <w:rFonts w:cs="Times New Roman"/>
          <w:noProof/>
          <w:lang w:val="sk-SK"/>
        </w:rPr>
        <w:t>my zberu</w:t>
      </w:r>
      <w:r w:rsidR="00083739" w:rsidRPr="00083739">
        <w:rPr>
          <w:rFonts w:cs="Times New Roman"/>
          <w:noProof/>
          <w:lang w:val="sk-SK"/>
        </w:rPr>
        <w:t xml:space="preserve"> a </w:t>
      </w:r>
      <w:r w:rsidRPr="00083739">
        <w:rPr>
          <w:rFonts w:cs="Times New Roman"/>
          <w:noProof/>
          <w:lang w:val="sk-SK"/>
        </w:rPr>
        <w:t>čistenia odpadových vôd spĺňajúce kritériá energetickej efektívnosti, f) elektromobilita (vývoj čerpacích sietí pre elektrické alebo vodíkové vozidlá alebo čerpacie stanice pre biometán</w:t>
      </w:r>
      <w:r w:rsidR="00083739" w:rsidRPr="00083739">
        <w:rPr>
          <w:rFonts w:cs="Times New Roman"/>
          <w:noProof/>
          <w:lang w:val="sk-SK"/>
        </w:rPr>
        <w:t xml:space="preserve"> v </w:t>
      </w:r>
      <w:r w:rsidRPr="00083739">
        <w:rPr>
          <w:rFonts w:cs="Times New Roman"/>
          <w:noProof/>
          <w:lang w:val="sk-SK"/>
        </w:rPr>
        <w:t>doprave), g) projekty na obnovu priemyselných lokalít</w:t>
      </w:r>
      <w:r w:rsidR="00083739" w:rsidRPr="00083739">
        <w:rPr>
          <w:rFonts w:cs="Times New Roman"/>
          <w:noProof/>
          <w:lang w:val="sk-SK"/>
        </w:rPr>
        <w:t xml:space="preserve"> a </w:t>
      </w:r>
      <w:r w:rsidRPr="00083739">
        <w:rPr>
          <w:rFonts w:cs="Times New Roman"/>
          <w:noProof/>
          <w:lang w:val="sk-SK"/>
        </w:rPr>
        <w:t>k</w:t>
      </w:r>
      <w:r w:rsidRPr="00083739">
        <w:rPr>
          <w:rFonts w:cs="Times New Roman"/>
          <w:noProof/>
          <w:lang w:val="sk-SK"/>
        </w:rPr>
        <w:t>ontaminovanej pôdy. Výstavba novej budovy musí byť</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dopytom po primárnej energii, ktorý je aspoň</w:t>
      </w:r>
      <w:r w:rsidR="00083739" w:rsidRPr="00083739">
        <w:rPr>
          <w:rFonts w:cs="Times New Roman"/>
          <w:noProof/>
          <w:lang w:val="sk-SK"/>
        </w:rPr>
        <w:t xml:space="preserve"> o </w:t>
      </w:r>
      <w:r w:rsidRPr="00083739">
        <w:rPr>
          <w:rFonts w:cs="Times New Roman"/>
          <w:noProof/>
          <w:lang w:val="sk-SK"/>
        </w:rPr>
        <w:t>20</w:t>
      </w:r>
      <w:r w:rsidR="00083739" w:rsidRPr="00083739">
        <w:rPr>
          <w:rFonts w:cs="Times New Roman"/>
          <w:noProof/>
          <w:lang w:val="sk-SK"/>
        </w:rPr>
        <w:t> %</w:t>
      </w:r>
      <w:r w:rsidRPr="00083739">
        <w:rPr>
          <w:rFonts w:cs="Times New Roman"/>
          <w:noProof/>
          <w:lang w:val="sk-SK"/>
        </w:rPr>
        <w:t xml:space="preserve"> nižší ako požiadavka na budovy</w:t>
      </w:r>
      <w:r w:rsidR="00083739" w:rsidRPr="00083739">
        <w:rPr>
          <w:rFonts w:cs="Times New Roman"/>
          <w:noProof/>
          <w:lang w:val="sk-SK"/>
        </w:rPr>
        <w:t xml:space="preserve"> s </w:t>
      </w:r>
      <w:r w:rsidRPr="00083739">
        <w:rPr>
          <w:rFonts w:cs="Times New Roman"/>
          <w:noProof/>
          <w:lang w:val="sk-SK"/>
        </w:rPr>
        <w:t>takmer nulovou spotrebou energie (budova</w:t>
      </w:r>
      <w:r w:rsidR="00083739" w:rsidRPr="00083739">
        <w:rPr>
          <w:rFonts w:cs="Times New Roman"/>
          <w:noProof/>
          <w:lang w:val="sk-SK"/>
        </w:rPr>
        <w:t xml:space="preserve"> s </w:t>
      </w:r>
      <w:r w:rsidRPr="00083739">
        <w:rPr>
          <w:rFonts w:cs="Times New Roman"/>
          <w:noProof/>
          <w:lang w:val="sk-SK"/>
        </w:rPr>
        <w:t>takmer nulovou spotrebou energie, vnútroštátne smernice).</w:t>
      </w:r>
      <w:r w:rsidR="00083739" w:rsidRPr="00083739">
        <w:rPr>
          <w:rFonts w:cs="Times New Roman"/>
          <w:noProof/>
          <w:lang w:val="sk-SK"/>
        </w:rPr>
        <w:t xml:space="preserve"> V </w:t>
      </w:r>
      <w:r w:rsidRPr="00083739">
        <w:rPr>
          <w:rFonts w:cs="Times New Roman"/>
          <w:noProof/>
          <w:lang w:val="sk-SK"/>
        </w:rPr>
        <w:t>prípad</w:t>
      </w:r>
      <w:r w:rsidRPr="00083739">
        <w:rPr>
          <w:rFonts w:cs="Times New Roman"/>
          <w:noProof/>
          <w:lang w:val="sk-SK"/>
        </w:rPr>
        <w:t>e výstavby systémov odpadových vôd medzi koncovými bodmi musí mať opatrenie nulovú čistú spotrebu energie</w:t>
      </w:r>
      <w:r w:rsidR="00083739" w:rsidRPr="00083739">
        <w:rPr>
          <w:rFonts w:cs="Times New Roman"/>
          <w:noProof/>
          <w:lang w:val="sk-SK"/>
        </w:rPr>
        <w:t xml:space="preserve"> a v </w:t>
      </w:r>
      <w:r w:rsidRPr="00083739">
        <w:rPr>
          <w:rFonts w:cs="Times New Roman"/>
          <w:noProof/>
          <w:lang w:val="sk-SK"/>
        </w:rPr>
        <w:t>prípade obnovy systémov odpadových vôd medzi koncovými bodmi musí viesť</w:t>
      </w:r>
      <w:r w:rsidR="00083739" w:rsidRPr="00083739">
        <w:rPr>
          <w:rFonts w:cs="Times New Roman"/>
          <w:noProof/>
          <w:lang w:val="sk-SK"/>
        </w:rPr>
        <w:t xml:space="preserve"> k </w:t>
      </w:r>
      <w:r w:rsidRPr="00083739">
        <w:rPr>
          <w:rFonts w:cs="Times New Roman"/>
          <w:noProof/>
          <w:lang w:val="sk-SK"/>
        </w:rPr>
        <w:t>zníženiu priemernej spotreby energie aspoň</w:t>
      </w:r>
      <w:r w:rsidR="00083739" w:rsidRPr="00083739">
        <w:rPr>
          <w:rFonts w:cs="Times New Roman"/>
          <w:noProof/>
          <w:lang w:val="sk-SK"/>
        </w:rPr>
        <w:t xml:space="preserve"> o </w:t>
      </w:r>
      <w:r w:rsidRPr="00083739">
        <w:rPr>
          <w:rFonts w:cs="Times New Roman"/>
          <w:noProof/>
          <w:lang w:val="sk-SK"/>
        </w:rPr>
        <w:t>10</w:t>
      </w:r>
      <w:r w:rsidR="00083739" w:rsidRPr="00083739">
        <w:rPr>
          <w:rFonts w:cs="Times New Roman"/>
          <w:noProof/>
          <w:lang w:val="sk-SK"/>
        </w:rPr>
        <w:t> %</w:t>
      </w:r>
      <w:r w:rsidRPr="00083739">
        <w:rPr>
          <w:rFonts w:cs="Times New Roman"/>
          <w:noProof/>
          <w:lang w:val="sk-SK"/>
        </w:rPr>
        <w:t xml:space="preserve"> (výlučne opatreniami e</w:t>
      </w:r>
      <w:r w:rsidRPr="00083739">
        <w:rPr>
          <w:rFonts w:cs="Times New Roman"/>
          <w:noProof/>
          <w:lang w:val="sk-SK"/>
        </w:rPr>
        <w:t>nergetickej efektívnosti,</w:t>
      </w:r>
      <w:r w:rsidR="00083739" w:rsidRPr="00083739">
        <w:rPr>
          <w:rFonts w:cs="Times New Roman"/>
          <w:noProof/>
          <w:lang w:val="sk-SK"/>
        </w:rPr>
        <w:t xml:space="preserve"> a </w:t>
      </w:r>
      <w:r w:rsidRPr="00083739">
        <w:rPr>
          <w:rFonts w:cs="Times New Roman"/>
          <w:noProof/>
          <w:lang w:val="sk-SK"/>
        </w:rPr>
        <w:t>nie podstatnými zmenami alebo zmenami zaťaženia). Investície do elektromobility musia byť</w:t>
      </w:r>
      <w:r w:rsidR="00083739" w:rsidRPr="00083739">
        <w:rPr>
          <w:rFonts w:cs="Times New Roman"/>
          <w:noProof/>
          <w:lang w:val="sk-SK"/>
        </w:rPr>
        <w:t xml:space="preserve"> v </w:t>
      </w:r>
      <w:r w:rsidRPr="00083739">
        <w:rPr>
          <w:rFonts w:cs="Times New Roman"/>
          <w:noProof/>
          <w:lang w:val="sk-SK"/>
        </w:rPr>
        <w:t>súlade so smernicou (EÚ) 2018/2001</w:t>
      </w:r>
      <w:r w:rsidR="00083739" w:rsidRPr="00083739">
        <w:rPr>
          <w:rFonts w:cs="Times New Roman"/>
          <w:noProof/>
          <w:lang w:val="sk-SK"/>
        </w:rPr>
        <w:t xml:space="preserve"> a </w:t>
      </w:r>
      <w:r w:rsidRPr="00083739">
        <w:rPr>
          <w:rFonts w:cs="Times New Roman"/>
          <w:noProof/>
          <w:lang w:val="sk-SK"/>
        </w:rPr>
        <w:t>musia sa týkať alternatívnych palív pre dopravu.</w:t>
      </w:r>
    </w:p>
    <w:p w14:paraId="32E24E15" w14:textId="41F90B83" w:rsidR="002D49B0" w:rsidRPr="00083739" w:rsidRDefault="00BF4125">
      <w:pPr>
        <w:pStyle w:val="P68B1DB1-Normal5"/>
        <w:spacing w:before="120" w:after="120" w:line="240" w:lineRule="auto"/>
        <w:jc w:val="both"/>
        <w:rPr>
          <w:rFonts w:cs="Times New Roman"/>
          <w:noProof/>
          <w:highlight w:val="green"/>
          <w:lang w:val="sk-SK"/>
        </w:rPr>
      </w:pPr>
      <w:r w:rsidRPr="00083739">
        <w:rPr>
          <w:rFonts w:cs="Times New Roman"/>
          <w:noProof/>
          <w:lang w:val="sk-SK"/>
        </w:rPr>
        <w:t>S cieľom zabezpečiť, aby opatrenie bolo</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technickými usmerneniami „výrazne nenarušiť“ (2021/C58/01), kritériá oprávnenosti uvedené</w:t>
      </w:r>
      <w:r w:rsidR="00083739" w:rsidRPr="00083739">
        <w:rPr>
          <w:rFonts w:cs="Times New Roman"/>
          <w:noProof/>
          <w:lang w:val="sk-SK"/>
        </w:rPr>
        <w:t xml:space="preserve"> v </w:t>
      </w:r>
      <w:r w:rsidRPr="00083739">
        <w:rPr>
          <w:rFonts w:cs="Times New Roman"/>
          <w:noProof/>
          <w:lang w:val="sk-SK"/>
        </w:rPr>
        <w:t>zadávacích podmienkach pre výzvy na predkladanie projektov nezahŕňajú tento zoznam činností:</w:t>
      </w:r>
      <w:r w:rsidRPr="00083739">
        <w:rPr>
          <w:rFonts w:cs="Times New Roman"/>
          <w:noProof/>
          <w:color w:val="FF0000"/>
          <w:lang w:val="sk-SK"/>
        </w:rPr>
        <w:t xml:space="preserve"> </w:t>
      </w:r>
      <w:r w:rsidRPr="00083739">
        <w:rPr>
          <w:rFonts w:cs="Times New Roman"/>
          <w:noProof/>
          <w:lang w:val="sk-SK"/>
        </w:rPr>
        <w:t>I) činnosti súvisiace</w:t>
      </w:r>
      <w:r w:rsidR="00083739" w:rsidRPr="00083739">
        <w:rPr>
          <w:rFonts w:cs="Times New Roman"/>
          <w:noProof/>
          <w:lang w:val="sk-SK"/>
        </w:rPr>
        <w:t xml:space="preserve"> s </w:t>
      </w:r>
      <w:r w:rsidRPr="00083739">
        <w:rPr>
          <w:rFonts w:cs="Times New Roman"/>
          <w:noProof/>
          <w:lang w:val="sk-SK"/>
        </w:rPr>
        <w:t>fosílnymi palivami vrátane následného použitia</w:t>
      </w:r>
      <w:r w:rsidRPr="00083739">
        <w:rPr>
          <w:rFonts w:cs="Times New Roman"/>
          <w:noProof/>
          <w:lang w:val="sk-SK"/>
        </w:rPr>
        <w:footnoteReference w:id="23"/>
      </w:r>
      <w:r w:rsidRPr="00083739">
        <w:rPr>
          <w:rFonts w:cs="Times New Roman"/>
          <w:noProof/>
          <w:lang w:val="sk-SK"/>
        </w:rPr>
        <w:t>; II) činností</w:t>
      </w:r>
      <w:r w:rsidR="00083739" w:rsidRPr="00083739">
        <w:rPr>
          <w:rFonts w:cs="Times New Roman"/>
          <w:noProof/>
          <w:lang w:val="sk-SK"/>
        </w:rPr>
        <w:t xml:space="preserve"> v </w:t>
      </w:r>
      <w:r w:rsidRPr="00083739">
        <w:rPr>
          <w:rFonts w:cs="Times New Roman"/>
          <w:noProof/>
          <w:lang w:val="sk-SK"/>
        </w:rPr>
        <w:t>rámci systému EÚ na obchodovanie</w:t>
      </w:r>
      <w:r w:rsidR="00083739" w:rsidRPr="00083739">
        <w:rPr>
          <w:rFonts w:cs="Times New Roman"/>
          <w:noProof/>
          <w:lang w:val="sk-SK"/>
        </w:rPr>
        <w:t xml:space="preserve"> s </w:t>
      </w:r>
      <w:r w:rsidRPr="00083739">
        <w:rPr>
          <w:rFonts w:cs="Times New Roman"/>
          <w:noProof/>
          <w:lang w:val="sk-SK"/>
        </w:rPr>
        <w:t>emisiami (ETS), ktorými sa dosahujú predpokladané emisie skleníkových plynov, ktoré nie sú nižšie ako príslušné referenčné hodnoty</w:t>
      </w:r>
      <w:r w:rsidRPr="00083739">
        <w:rPr>
          <w:rFonts w:cs="Times New Roman"/>
          <w:noProof/>
          <w:lang w:val="sk-SK"/>
        </w:rPr>
        <w:footnoteReference w:id="24"/>
      </w:r>
      <w:r w:rsidRPr="00083739">
        <w:rPr>
          <w:rFonts w:cs="Times New Roman"/>
          <w:noProof/>
          <w:lang w:val="sk-SK"/>
        </w:rPr>
        <w:t>; III) činnosti súvisiace so skládkami odpadov, spaľovňami</w:t>
      </w:r>
      <w:r w:rsidRPr="00083739">
        <w:rPr>
          <w:rFonts w:cs="Times New Roman"/>
          <w:noProof/>
          <w:lang w:val="sk-SK"/>
        </w:rPr>
        <w:footnoteReference w:id="25"/>
      </w:r>
      <w:r w:rsidR="00083739" w:rsidRPr="00083739">
        <w:rPr>
          <w:rFonts w:cs="Times New Roman"/>
          <w:noProof/>
          <w:lang w:val="sk-SK"/>
        </w:rPr>
        <w:t xml:space="preserve"> a </w:t>
      </w:r>
      <w:r w:rsidRPr="00083739">
        <w:rPr>
          <w:rFonts w:cs="Times New Roman"/>
          <w:noProof/>
          <w:lang w:val="sk-SK"/>
        </w:rPr>
        <w:t>mechanický</w:t>
      </w:r>
      <w:r w:rsidRPr="00083739">
        <w:rPr>
          <w:rFonts w:cs="Times New Roman"/>
          <w:noProof/>
          <w:lang w:val="sk-SK"/>
        </w:rPr>
        <w:t>mi biologickými čistiarňami</w:t>
      </w:r>
      <w:r w:rsidRPr="00083739">
        <w:rPr>
          <w:rFonts w:cs="Times New Roman"/>
          <w:noProof/>
          <w:lang w:val="sk-SK"/>
        </w:rPr>
        <w:footnoteReference w:id="26"/>
      </w:r>
      <w:r w:rsidRPr="00083739">
        <w:rPr>
          <w:rFonts w:cs="Times New Roman"/>
          <w:noProof/>
          <w:lang w:val="sk-SK"/>
        </w:rPr>
        <w:t>;</w:t>
      </w:r>
      <w:r w:rsidR="00083739" w:rsidRPr="00083739">
        <w:rPr>
          <w:rFonts w:cs="Times New Roman"/>
          <w:noProof/>
          <w:lang w:val="sk-SK"/>
        </w:rPr>
        <w:t xml:space="preserve"> a </w:t>
      </w:r>
      <w:r w:rsidRPr="00083739">
        <w:rPr>
          <w:rFonts w:cs="Times New Roman"/>
          <w:noProof/>
          <w:lang w:val="sk-SK"/>
        </w:rPr>
        <w:t>iv) činnosti, pri ktorých dlhodobé zneškodňovanie odpadu môže poškodiť životné prostredie.</w:t>
      </w:r>
      <w:r w:rsidR="00083739" w:rsidRPr="00083739">
        <w:rPr>
          <w:rFonts w:cs="Times New Roman"/>
          <w:noProof/>
          <w:lang w:val="sk-SK"/>
        </w:rPr>
        <w:t xml:space="preserve"> V </w:t>
      </w:r>
      <w:r w:rsidRPr="00083739">
        <w:rPr>
          <w:rFonts w:cs="Times New Roman"/>
          <w:noProof/>
          <w:lang w:val="sk-SK"/>
        </w:rPr>
        <w:t>zadávacích podmienkach sa okrem toho vyžaduje, aby sa mohli vybrať len tie činnosti, ktoré sú</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 xml:space="preserve">príslušnými právnymi </w:t>
      </w:r>
      <w:r w:rsidRPr="00083739">
        <w:rPr>
          <w:rFonts w:cs="Times New Roman"/>
          <w:noProof/>
          <w:lang w:val="sk-SK"/>
        </w:rPr>
        <w:t>predpismi EÚ</w:t>
      </w:r>
      <w:r w:rsidR="00083739" w:rsidRPr="00083739">
        <w:rPr>
          <w:rFonts w:cs="Times New Roman"/>
          <w:noProof/>
          <w:lang w:val="sk-SK"/>
        </w:rPr>
        <w:t xml:space="preserve"> a </w:t>
      </w:r>
      <w:r w:rsidRPr="00083739">
        <w:rPr>
          <w:rFonts w:cs="Times New Roman"/>
          <w:noProof/>
          <w:lang w:val="sk-SK"/>
        </w:rPr>
        <w:t>vnútroštátnymi právnymi predpismi</w:t>
      </w:r>
      <w:r w:rsidR="00083739" w:rsidRPr="00083739">
        <w:rPr>
          <w:rFonts w:cs="Times New Roman"/>
          <w:noProof/>
          <w:lang w:val="sk-SK"/>
        </w:rPr>
        <w:t xml:space="preserve"> v </w:t>
      </w:r>
      <w:r w:rsidRPr="00083739">
        <w:rPr>
          <w:rFonts w:cs="Times New Roman"/>
          <w:noProof/>
          <w:lang w:val="sk-SK"/>
        </w:rPr>
        <w:t>oblasti životného prostredia.</w:t>
      </w:r>
    </w:p>
    <w:p w14:paraId="5F429544" w14:textId="7777777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Zrýchlenie inteligentnej výroby (ID opatrenia 16721)</w:t>
      </w:r>
    </w:p>
    <w:p w14:paraId="186538E2" w14:textId="57928731"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Investícia zahŕňa finančnú podporu pre malé</w:t>
      </w:r>
      <w:r w:rsidR="00083739" w:rsidRPr="00083739">
        <w:rPr>
          <w:rFonts w:cs="Times New Roman"/>
          <w:noProof/>
          <w:lang w:val="sk-SK"/>
        </w:rPr>
        <w:t xml:space="preserve"> a </w:t>
      </w:r>
      <w:r w:rsidRPr="00083739">
        <w:rPr>
          <w:rFonts w:cs="Times New Roman"/>
          <w:noProof/>
          <w:lang w:val="sk-SK"/>
        </w:rPr>
        <w:t>stredné podniky</w:t>
      </w:r>
      <w:r w:rsidR="00083739" w:rsidRPr="00083739">
        <w:rPr>
          <w:rFonts w:cs="Times New Roman"/>
          <w:noProof/>
          <w:lang w:val="sk-SK"/>
        </w:rPr>
        <w:t xml:space="preserve"> v </w:t>
      </w:r>
      <w:r w:rsidRPr="00083739">
        <w:rPr>
          <w:rFonts w:cs="Times New Roman"/>
          <w:noProof/>
          <w:lang w:val="sk-SK"/>
        </w:rPr>
        <w:t>priemyselnom odvetví na modernizáciu ich výrob</w:t>
      </w:r>
      <w:r w:rsidRPr="00083739">
        <w:rPr>
          <w:rFonts w:cs="Times New Roman"/>
          <w:noProof/>
          <w:lang w:val="sk-SK"/>
        </w:rPr>
        <w:t>ných zariadení</w:t>
      </w:r>
      <w:r w:rsidR="00083739" w:rsidRPr="00083739">
        <w:rPr>
          <w:rFonts w:cs="Times New Roman"/>
          <w:noProof/>
          <w:lang w:val="sk-SK"/>
        </w:rPr>
        <w:t xml:space="preserve"> a </w:t>
      </w:r>
      <w:r w:rsidRPr="00083739">
        <w:rPr>
          <w:rFonts w:cs="Times New Roman"/>
          <w:noProof/>
          <w:lang w:val="sk-SK"/>
        </w:rPr>
        <w:t>infraštruktúry najmodernejšími inteligentnými technológiami</w:t>
      </w:r>
      <w:r w:rsidR="00083739" w:rsidRPr="00083739">
        <w:rPr>
          <w:rFonts w:cs="Times New Roman"/>
          <w:noProof/>
          <w:lang w:val="sk-SK"/>
        </w:rPr>
        <w:t xml:space="preserve"> s </w:t>
      </w:r>
      <w:r w:rsidRPr="00083739">
        <w:rPr>
          <w:rFonts w:cs="Times New Roman"/>
          <w:noProof/>
          <w:lang w:val="sk-SK"/>
        </w:rPr>
        <w:t>nízkym vplyvom na životné prostredie. Opatrením sa podporujú aj priemyselné schémy</w:t>
      </w:r>
      <w:r w:rsidR="00083739" w:rsidRPr="00083739">
        <w:rPr>
          <w:rFonts w:cs="Times New Roman"/>
          <w:noProof/>
          <w:lang w:val="sk-SK"/>
        </w:rPr>
        <w:t xml:space="preserve"> a </w:t>
      </w:r>
      <w:r w:rsidRPr="00083739">
        <w:rPr>
          <w:rFonts w:cs="Times New Roman"/>
          <w:noProof/>
          <w:lang w:val="sk-SK"/>
        </w:rPr>
        <w:t>zoskupenia podnikov</w:t>
      </w:r>
      <w:r w:rsidR="00083739" w:rsidRPr="00083739">
        <w:rPr>
          <w:rFonts w:cs="Times New Roman"/>
          <w:noProof/>
          <w:lang w:val="sk-SK"/>
        </w:rPr>
        <w:t xml:space="preserve"> v </w:t>
      </w:r>
      <w:r w:rsidRPr="00083739">
        <w:rPr>
          <w:rFonts w:cs="Times New Roman"/>
          <w:noProof/>
          <w:lang w:val="sk-SK"/>
        </w:rPr>
        <w:t>dôležitých priemyselných hodnotových reťazcoch, ktoré podporujú konkur</w:t>
      </w:r>
      <w:r w:rsidRPr="00083739">
        <w:rPr>
          <w:rFonts w:cs="Times New Roman"/>
          <w:noProof/>
          <w:lang w:val="sk-SK"/>
        </w:rPr>
        <w:t>encieschopnosť gréckeho priemyslu</w:t>
      </w:r>
      <w:r w:rsidR="00083739" w:rsidRPr="00083739">
        <w:rPr>
          <w:rFonts w:cs="Times New Roman"/>
          <w:noProof/>
          <w:lang w:val="sk-SK"/>
        </w:rPr>
        <w:t xml:space="preserve"> a </w:t>
      </w:r>
      <w:r w:rsidRPr="00083739">
        <w:rPr>
          <w:rFonts w:cs="Times New Roman"/>
          <w:noProof/>
          <w:lang w:val="sk-SK"/>
        </w:rPr>
        <w:t>jeho prechod na Priemysel 4.0. Finančná podpora zahŕňa investície týkajúce sa digitalizácie výrobných liniek, automatizácie</w:t>
      </w:r>
      <w:r w:rsidR="00083739" w:rsidRPr="00083739">
        <w:rPr>
          <w:rFonts w:cs="Times New Roman"/>
          <w:noProof/>
          <w:lang w:val="sk-SK"/>
        </w:rPr>
        <w:t xml:space="preserve"> a </w:t>
      </w:r>
      <w:r w:rsidRPr="00083739">
        <w:rPr>
          <w:rFonts w:cs="Times New Roman"/>
          <w:noProof/>
          <w:lang w:val="sk-SK"/>
        </w:rPr>
        <w:t>prepojenia dodávateľských reťazcov, navrhovania</w:t>
      </w:r>
      <w:r w:rsidR="00083739" w:rsidRPr="00083739">
        <w:rPr>
          <w:rFonts w:cs="Times New Roman"/>
          <w:noProof/>
          <w:lang w:val="sk-SK"/>
        </w:rPr>
        <w:t xml:space="preserve"> a </w:t>
      </w:r>
      <w:r w:rsidRPr="00083739">
        <w:rPr>
          <w:rFonts w:cs="Times New Roman"/>
          <w:noProof/>
          <w:lang w:val="sk-SK"/>
        </w:rPr>
        <w:t>výroby inteligentných produktov</w:t>
      </w:r>
      <w:r w:rsidR="00083739" w:rsidRPr="00083739">
        <w:rPr>
          <w:rFonts w:cs="Times New Roman"/>
          <w:noProof/>
          <w:lang w:val="sk-SK"/>
        </w:rPr>
        <w:t xml:space="preserve"> a </w:t>
      </w:r>
      <w:r w:rsidRPr="00083739">
        <w:rPr>
          <w:rFonts w:cs="Times New Roman"/>
          <w:noProof/>
          <w:lang w:val="sk-SK"/>
        </w:rPr>
        <w:t>služieb, z</w:t>
      </w:r>
      <w:r w:rsidRPr="00083739">
        <w:rPr>
          <w:rFonts w:cs="Times New Roman"/>
          <w:noProof/>
          <w:lang w:val="sk-SK"/>
        </w:rPr>
        <w:t>avádzania inteligentných výrobných technológií</w:t>
      </w:r>
      <w:r w:rsidR="00083739" w:rsidRPr="00083739">
        <w:rPr>
          <w:rFonts w:cs="Times New Roman"/>
          <w:noProof/>
          <w:lang w:val="sk-SK"/>
        </w:rPr>
        <w:t xml:space="preserve"> v </w:t>
      </w:r>
      <w:r w:rsidRPr="00083739">
        <w:rPr>
          <w:rFonts w:cs="Times New Roman"/>
          <w:noProof/>
          <w:lang w:val="sk-SK"/>
        </w:rPr>
        <w:t>mechanických zariadeniach ultravysokorýchlostnej siete/5G, laboratórnych</w:t>
      </w:r>
      <w:r w:rsidR="00083739" w:rsidRPr="00083739">
        <w:rPr>
          <w:rFonts w:cs="Times New Roman"/>
          <w:noProof/>
          <w:lang w:val="sk-SK"/>
        </w:rPr>
        <w:t xml:space="preserve"> a </w:t>
      </w:r>
      <w:r w:rsidRPr="00083739">
        <w:rPr>
          <w:rFonts w:cs="Times New Roman"/>
          <w:noProof/>
          <w:lang w:val="sk-SK"/>
        </w:rPr>
        <w:t>výrobných zariadení, zariadení na kontrolu kvality, IKT</w:t>
      </w:r>
      <w:r w:rsidR="00083739" w:rsidRPr="00083739">
        <w:rPr>
          <w:rFonts w:cs="Times New Roman"/>
          <w:noProof/>
          <w:lang w:val="sk-SK"/>
        </w:rPr>
        <w:t xml:space="preserve"> a </w:t>
      </w:r>
      <w:r w:rsidRPr="00083739">
        <w:rPr>
          <w:rFonts w:cs="Times New Roman"/>
          <w:noProof/>
          <w:lang w:val="sk-SK"/>
        </w:rPr>
        <w:t>softvérových zariadení, softvérových licencií, cloudových licencií, implem</w:t>
      </w:r>
      <w:r w:rsidRPr="00083739">
        <w:rPr>
          <w:rFonts w:cs="Times New Roman"/>
          <w:noProof/>
          <w:lang w:val="sk-SK"/>
        </w:rPr>
        <w:t>entačných služieb pre novú IT infraštruktúru</w:t>
      </w:r>
      <w:r w:rsidR="00083739" w:rsidRPr="00083739">
        <w:rPr>
          <w:rFonts w:cs="Times New Roman"/>
          <w:noProof/>
          <w:lang w:val="sk-SK"/>
        </w:rPr>
        <w:t xml:space="preserve"> a </w:t>
      </w:r>
      <w:r w:rsidRPr="00083739">
        <w:rPr>
          <w:rFonts w:cs="Times New Roman"/>
          <w:noProof/>
          <w:lang w:val="sk-SK"/>
        </w:rPr>
        <w:t>S/W, služieb</w:t>
      </w:r>
      <w:r w:rsidR="00083739" w:rsidRPr="00083739">
        <w:rPr>
          <w:rFonts w:cs="Times New Roman"/>
          <w:noProof/>
          <w:lang w:val="sk-SK"/>
        </w:rPr>
        <w:t xml:space="preserve"> v </w:t>
      </w:r>
      <w:r w:rsidRPr="00083739">
        <w:rPr>
          <w:rFonts w:cs="Times New Roman"/>
          <w:noProof/>
          <w:lang w:val="sk-SK"/>
        </w:rPr>
        <w:t>oblasti bezpečnosti IT, dizajnu výrobkov, duševného vlastníctva, patentov</w:t>
      </w:r>
      <w:r w:rsidR="00083739" w:rsidRPr="00083739">
        <w:rPr>
          <w:rFonts w:cs="Times New Roman"/>
          <w:noProof/>
          <w:lang w:val="sk-SK"/>
        </w:rPr>
        <w:t xml:space="preserve"> a </w:t>
      </w:r>
      <w:r w:rsidRPr="00083739">
        <w:rPr>
          <w:rFonts w:cs="Times New Roman"/>
          <w:noProof/>
          <w:lang w:val="sk-SK"/>
        </w:rPr>
        <w:t>nákladov na certifikáciu. Realizácia investície sa ukončí do 31</w:t>
      </w:r>
      <w:r w:rsidR="00083739" w:rsidRPr="00083739">
        <w:rPr>
          <w:rFonts w:cs="Times New Roman"/>
          <w:noProof/>
          <w:lang w:val="sk-SK"/>
        </w:rPr>
        <w:t>. decembra</w:t>
      </w:r>
      <w:r w:rsidRPr="00083739">
        <w:rPr>
          <w:rFonts w:cs="Times New Roman"/>
          <w:noProof/>
          <w:lang w:val="sk-SK"/>
        </w:rPr>
        <w:t xml:space="preserve"> 2025.</w:t>
      </w:r>
    </w:p>
    <w:p w14:paraId="7E43EE25" w14:textId="21C2415F" w:rsidR="002D49B0" w:rsidRPr="00083739" w:rsidRDefault="00BF4125">
      <w:pPr>
        <w:pStyle w:val="P68B1DB1-Normal5"/>
        <w:spacing w:before="120" w:after="120" w:line="240" w:lineRule="auto"/>
        <w:jc w:val="both"/>
        <w:rPr>
          <w:rFonts w:cs="Times New Roman"/>
          <w:noProof/>
          <w:highlight w:val="green"/>
          <w:lang w:val="sk-SK"/>
        </w:rPr>
      </w:pPr>
      <w:r w:rsidRPr="00083739">
        <w:rPr>
          <w:rFonts w:cs="Times New Roman"/>
          <w:noProof/>
          <w:lang w:val="sk-SK"/>
        </w:rPr>
        <w:t>S cieľom zabezpečiť, aby opatrenie bol</w:t>
      </w:r>
      <w:r w:rsidRPr="00083739">
        <w:rPr>
          <w:rFonts w:cs="Times New Roman"/>
          <w:noProof/>
          <w:lang w:val="sk-SK"/>
        </w:rPr>
        <w:t>o</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technickými usmerneniami „výrazne nenarušiť“ (2021/C58/01), kritériá oprávnenosti uvedené</w:t>
      </w:r>
      <w:r w:rsidR="00083739" w:rsidRPr="00083739">
        <w:rPr>
          <w:rFonts w:cs="Times New Roman"/>
          <w:noProof/>
          <w:lang w:val="sk-SK"/>
        </w:rPr>
        <w:t xml:space="preserve"> v </w:t>
      </w:r>
      <w:r w:rsidRPr="00083739">
        <w:rPr>
          <w:rFonts w:cs="Times New Roman"/>
          <w:noProof/>
          <w:lang w:val="sk-SK"/>
        </w:rPr>
        <w:t>zadávacích podmienkach pre výzvy na predkladanie projektov nezahŕňajú tento zoznam činností:</w:t>
      </w:r>
      <w:r w:rsidRPr="00083739">
        <w:rPr>
          <w:rFonts w:cs="Times New Roman"/>
          <w:noProof/>
          <w:color w:val="FF0000"/>
          <w:lang w:val="sk-SK"/>
        </w:rPr>
        <w:t xml:space="preserve"> </w:t>
      </w:r>
      <w:r w:rsidRPr="00083739">
        <w:rPr>
          <w:rFonts w:cs="Times New Roman"/>
          <w:noProof/>
          <w:lang w:val="sk-SK"/>
        </w:rPr>
        <w:t>I) činnosti súvisiace</w:t>
      </w:r>
      <w:r w:rsidR="00083739" w:rsidRPr="00083739">
        <w:rPr>
          <w:rFonts w:cs="Times New Roman"/>
          <w:noProof/>
          <w:lang w:val="sk-SK"/>
        </w:rPr>
        <w:t xml:space="preserve"> s </w:t>
      </w:r>
      <w:r w:rsidRPr="00083739">
        <w:rPr>
          <w:rFonts w:cs="Times New Roman"/>
          <w:noProof/>
          <w:lang w:val="sk-SK"/>
        </w:rPr>
        <w:t>fosílnymi palivami vrátane následn</w:t>
      </w:r>
      <w:r w:rsidRPr="00083739">
        <w:rPr>
          <w:rFonts w:cs="Times New Roman"/>
          <w:noProof/>
          <w:lang w:val="sk-SK"/>
        </w:rPr>
        <w:t>ého použitia</w:t>
      </w:r>
      <w:r w:rsidRPr="00083739">
        <w:rPr>
          <w:rFonts w:cs="Times New Roman"/>
          <w:noProof/>
          <w:lang w:val="sk-SK"/>
        </w:rPr>
        <w:footnoteReference w:id="27"/>
      </w:r>
      <w:r w:rsidRPr="00083739">
        <w:rPr>
          <w:rFonts w:cs="Times New Roman"/>
          <w:noProof/>
          <w:lang w:val="sk-SK"/>
        </w:rPr>
        <w:t>; II) činností</w:t>
      </w:r>
      <w:r w:rsidR="00083739" w:rsidRPr="00083739">
        <w:rPr>
          <w:rFonts w:cs="Times New Roman"/>
          <w:noProof/>
          <w:lang w:val="sk-SK"/>
        </w:rPr>
        <w:t xml:space="preserve"> v </w:t>
      </w:r>
      <w:r w:rsidRPr="00083739">
        <w:rPr>
          <w:rFonts w:cs="Times New Roman"/>
          <w:noProof/>
          <w:lang w:val="sk-SK"/>
        </w:rPr>
        <w:t>rámci systému EÚ na obchodovanie</w:t>
      </w:r>
      <w:r w:rsidR="00083739" w:rsidRPr="00083739">
        <w:rPr>
          <w:rFonts w:cs="Times New Roman"/>
          <w:noProof/>
          <w:lang w:val="sk-SK"/>
        </w:rPr>
        <w:t xml:space="preserve"> s </w:t>
      </w:r>
      <w:r w:rsidRPr="00083739">
        <w:rPr>
          <w:rFonts w:cs="Times New Roman"/>
          <w:noProof/>
          <w:lang w:val="sk-SK"/>
        </w:rPr>
        <w:t>emisiami (ETS), ktorými sa dosahujú predpokladané emisie skleníkových plynov, ktoré nie sú nižšie ako príslušné referenčné hodnoty</w:t>
      </w:r>
      <w:r w:rsidRPr="00083739">
        <w:rPr>
          <w:rFonts w:cs="Times New Roman"/>
          <w:noProof/>
          <w:lang w:val="sk-SK"/>
        </w:rPr>
        <w:footnoteReference w:id="28"/>
      </w:r>
      <w:r w:rsidRPr="00083739">
        <w:rPr>
          <w:rFonts w:cs="Times New Roman"/>
          <w:noProof/>
          <w:lang w:val="sk-SK"/>
        </w:rPr>
        <w:t>; III) činnosti súvisiace so skládkami odpadov, spaľovňami</w:t>
      </w:r>
      <w:r w:rsidRPr="00083739">
        <w:rPr>
          <w:rFonts w:cs="Times New Roman"/>
          <w:noProof/>
          <w:lang w:val="sk-SK"/>
        </w:rPr>
        <w:footnoteReference w:id="29"/>
      </w:r>
      <w:r w:rsidR="00083739" w:rsidRPr="00083739">
        <w:rPr>
          <w:rFonts w:cs="Times New Roman"/>
          <w:noProof/>
          <w:lang w:val="sk-SK"/>
        </w:rPr>
        <w:t xml:space="preserve"> a </w:t>
      </w:r>
      <w:r w:rsidRPr="00083739">
        <w:rPr>
          <w:rFonts w:cs="Times New Roman"/>
          <w:noProof/>
          <w:lang w:val="sk-SK"/>
        </w:rPr>
        <w:t>mechanickými biologickými čistiarňami</w:t>
      </w:r>
      <w:r w:rsidRPr="00083739">
        <w:rPr>
          <w:rFonts w:cs="Times New Roman"/>
          <w:noProof/>
          <w:lang w:val="sk-SK"/>
        </w:rPr>
        <w:footnoteReference w:id="30"/>
      </w:r>
      <w:r w:rsidRPr="00083739">
        <w:rPr>
          <w:rFonts w:cs="Times New Roman"/>
          <w:noProof/>
          <w:lang w:val="sk-SK"/>
        </w:rPr>
        <w:t>;</w:t>
      </w:r>
      <w:r w:rsidR="00083739" w:rsidRPr="00083739">
        <w:rPr>
          <w:rFonts w:cs="Times New Roman"/>
          <w:noProof/>
          <w:lang w:val="sk-SK"/>
        </w:rPr>
        <w:t xml:space="preserve"> a </w:t>
      </w:r>
      <w:r w:rsidRPr="00083739">
        <w:rPr>
          <w:rFonts w:cs="Times New Roman"/>
          <w:noProof/>
          <w:lang w:val="sk-SK"/>
        </w:rPr>
        <w:t>iv) činnosti, pri ktorých dlhodobé zneškodňovanie odpadu môže poškodiť životné prostredie.</w:t>
      </w:r>
      <w:r w:rsidR="00083739" w:rsidRPr="00083739">
        <w:rPr>
          <w:rFonts w:cs="Times New Roman"/>
          <w:noProof/>
          <w:lang w:val="sk-SK"/>
        </w:rPr>
        <w:t xml:space="preserve"> V </w:t>
      </w:r>
      <w:r w:rsidRPr="00083739">
        <w:rPr>
          <w:rFonts w:cs="Times New Roman"/>
          <w:noProof/>
          <w:lang w:val="sk-SK"/>
        </w:rPr>
        <w:t>zadávacích podmienkach sa okrem toho vyžaduje, aby sa mohli vybrať len tie činnosti, ktoré sú</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príslušnými p</w:t>
      </w:r>
      <w:r w:rsidRPr="00083739">
        <w:rPr>
          <w:rFonts w:cs="Times New Roman"/>
          <w:noProof/>
          <w:lang w:val="sk-SK"/>
        </w:rPr>
        <w:t>rávnymi predpismi EÚ</w:t>
      </w:r>
      <w:r w:rsidR="00083739" w:rsidRPr="00083739">
        <w:rPr>
          <w:rFonts w:cs="Times New Roman"/>
          <w:noProof/>
          <w:lang w:val="sk-SK"/>
        </w:rPr>
        <w:t xml:space="preserve"> a </w:t>
      </w:r>
      <w:r w:rsidRPr="00083739">
        <w:rPr>
          <w:rFonts w:cs="Times New Roman"/>
          <w:noProof/>
          <w:lang w:val="sk-SK"/>
        </w:rPr>
        <w:t>vnútroštátnymi právnymi predpismi</w:t>
      </w:r>
      <w:r w:rsidR="00083739" w:rsidRPr="00083739">
        <w:rPr>
          <w:rFonts w:cs="Times New Roman"/>
          <w:noProof/>
          <w:lang w:val="sk-SK"/>
        </w:rPr>
        <w:t xml:space="preserve"> v </w:t>
      </w:r>
      <w:r w:rsidRPr="00083739">
        <w:rPr>
          <w:rFonts w:cs="Times New Roman"/>
          <w:noProof/>
          <w:lang w:val="sk-SK"/>
        </w:rPr>
        <w:t>oblasti životného prostredia.</w:t>
      </w:r>
    </w:p>
    <w:p w14:paraId="3C062484" w14:textId="17C2A27D"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Hospodárska transformácia</w:t>
      </w:r>
      <w:r w:rsidR="00083739" w:rsidRPr="00083739">
        <w:rPr>
          <w:rFonts w:cs="Times New Roman"/>
          <w:noProof/>
          <w:lang w:val="sk-SK"/>
        </w:rPr>
        <w:t xml:space="preserve"> v </w:t>
      </w:r>
      <w:r w:rsidRPr="00083739">
        <w:rPr>
          <w:rFonts w:cs="Times New Roman"/>
          <w:noProof/>
          <w:lang w:val="sk-SK"/>
        </w:rPr>
        <w:t>poľnohospodárskom sektore (ID opatrenia 16626)</w:t>
      </w:r>
    </w:p>
    <w:p w14:paraId="60028EA0" w14:textId="16263103" w:rsidR="00083739"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Investícia pozostáva</w:t>
      </w:r>
      <w:r w:rsidR="00083739" w:rsidRPr="00083739">
        <w:rPr>
          <w:rFonts w:cs="Times New Roman"/>
          <w:noProof/>
          <w:lang w:val="sk-SK"/>
        </w:rPr>
        <w:t xml:space="preserve"> z </w:t>
      </w:r>
      <w:r w:rsidRPr="00083739">
        <w:rPr>
          <w:rFonts w:cs="Times New Roman"/>
          <w:noProof/>
          <w:lang w:val="sk-SK"/>
        </w:rPr>
        <w:t>týchto piatich opatrení na posilnenie</w:t>
      </w:r>
      <w:r w:rsidR="00083739" w:rsidRPr="00083739">
        <w:rPr>
          <w:rFonts w:cs="Times New Roman"/>
          <w:noProof/>
          <w:lang w:val="sk-SK"/>
        </w:rPr>
        <w:t xml:space="preserve"> a </w:t>
      </w:r>
      <w:r w:rsidRPr="00083739">
        <w:rPr>
          <w:rFonts w:cs="Times New Roman"/>
          <w:noProof/>
          <w:lang w:val="sk-SK"/>
        </w:rPr>
        <w:t>podporu rozvoja p</w:t>
      </w:r>
      <w:r w:rsidRPr="00083739">
        <w:rPr>
          <w:rFonts w:cs="Times New Roman"/>
          <w:noProof/>
          <w:lang w:val="sk-SK"/>
        </w:rPr>
        <w:t>oľnohospodárskeho sektora</w:t>
      </w:r>
      <w:r w:rsidR="00083739" w:rsidRPr="00083739">
        <w:rPr>
          <w:rFonts w:cs="Times New Roman"/>
          <w:noProof/>
          <w:lang w:val="sk-SK"/>
        </w:rPr>
        <w:t xml:space="preserve"> v </w:t>
      </w:r>
      <w:r w:rsidRPr="00083739">
        <w:rPr>
          <w:rFonts w:cs="Times New Roman"/>
          <w:noProof/>
          <w:lang w:val="sk-SK"/>
        </w:rPr>
        <w:t>Grécku: a) inovácie</w:t>
      </w:r>
      <w:r w:rsidR="00083739" w:rsidRPr="00083739">
        <w:rPr>
          <w:rFonts w:cs="Times New Roman"/>
          <w:noProof/>
          <w:lang w:val="sk-SK"/>
        </w:rPr>
        <w:t xml:space="preserve"> a </w:t>
      </w:r>
      <w:r w:rsidRPr="00083739">
        <w:rPr>
          <w:rFonts w:cs="Times New Roman"/>
          <w:noProof/>
          <w:lang w:val="sk-SK"/>
        </w:rPr>
        <w:t>zelená transformácia</w:t>
      </w:r>
      <w:r w:rsidR="00083739" w:rsidRPr="00083739">
        <w:rPr>
          <w:rFonts w:cs="Times New Roman"/>
          <w:noProof/>
          <w:lang w:val="sk-SK"/>
        </w:rPr>
        <w:t xml:space="preserve"> v </w:t>
      </w:r>
      <w:r w:rsidRPr="00083739">
        <w:rPr>
          <w:rFonts w:cs="Times New Roman"/>
          <w:noProof/>
          <w:lang w:val="sk-SK"/>
        </w:rPr>
        <w:t>oblasti spracovania poľnohospodárskych výrobkov, b) modernizácia primárneho sektora, c) rozvoj ekologického cestovného ruchu, d) reštrukturalizácia pestovania</w:t>
      </w:r>
      <w:r w:rsidR="00083739" w:rsidRPr="00083739">
        <w:rPr>
          <w:rFonts w:cs="Times New Roman"/>
          <w:noProof/>
          <w:lang w:val="sk-SK"/>
        </w:rPr>
        <w:t xml:space="preserve"> a </w:t>
      </w:r>
      <w:r w:rsidRPr="00083739">
        <w:rPr>
          <w:rFonts w:cs="Times New Roman"/>
          <w:noProof/>
          <w:lang w:val="sk-SK"/>
        </w:rPr>
        <w:t>e) zlepšenie genetické</w:t>
      </w:r>
      <w:r w:rsidRPr="00083739">
        <w:rPr>
          <w:rFonts w:cs="Times New Roman"/>
          <w:noProof/>
          <w:lang w:val="sk-SK"/>
        </w:rPr>
        <w:t>ho vývoja zvierat. Vyhradená časť investícií podľa písmen a), c)</w:t>
      </w:r>
      <w:r w:rsidR="00083739" w:rsidRPr="00083739">
        <w:rPr>
          <w:rFonts w:cs="Times New Roman"/>
          <w:noProof/>
          <w:lang w:val="sk-SK"/>
        </w:rPr>
        <w:t xml:space="preserve"> a </w:t>
      </w:r>
      <w:r w:rsidRPr="00083739">
        <w:rPr>
          <w:rFonts w:cs="Times New Roman"/>
          <w:noProof/>
          <w:lang w:val="sk-SK"/>
        </w:rPr>
        <w:t>d) poskytuje podporu na energetickú modernizáciu výrobných jednotiek</w:t>
      </w:r>
      <w:r w:rsidR="00083739" w:rsidRPr="00083739">
        <w:rPr>
          <w:rFonts w:cs="Times New Roman"/>
          <w:noProof/>
          <w:lang w:val="sk-SK"/>
        </w:rPr>
        <w:t xml:space="preserve"> a </w:t>
      </w:r>
      <w:r w:rsidRPr="00083739">
        <w:rPr>
          <w:rFonts w:cs="Times New Roman"/>
          <w:noProof/>
          <w:lang w:val="sk-SK"/>
        </w:rPr>
        <w:t>budov, mechanické zariadenia</w:t>
      </w:r>
      <w:r w:rsidR="00083739" w:rsidRPr="00083739">
        <w:rPr>
          <w:rFonts w:cs="Times New Roman"/>
          <w:noProof/>
          <w:lang w:val="sk-SK"/>
        </w:rPr>
        <w:t xml:space="preserve"> s </w:t>
      </w:r>
      <w:r w:rsidRPr="00083739">
        <w:rPr>
          <w:rFonts w:cs="Times New Roman"/>
          <w:noProof/>
          <w:lang w:val="sk-SK"/>
        </w:rPr>
        <w:t>nízkou spotrebou energie na modernizáciu existujúcich výrobných jednotiek, projekty týk</w:t>
      </w:r>
      <w:r w:rsidRPr="00083739">
        <w:rPr>
          <w:rFonts w:cs="Times New Roman"/>
          <w:noProof/>
          <w:lang w:val="sk-SK"/>
        </w:rPr>
        <w:t>ajúce sa nakladania</w:t>
      </w:r>
      <w:r w:rsidR="00083739" w:rsidRPr="00083739">
        <w:rPr>
          <w:rFonts w:cs="Times New Roman"/>
          <w:noProof/>
          <w:lang w:val="sk-SK"/>
        </w:rPr>
        <w:t xml:space="preserve"> s </w:t>
      </w:r>
      <w:r w:rsidRPr="00083739">
        <w:rPr>
          <w:rFonts w:cs="Times New Roman"/>
          <w:noProof/>
          <w:lang w:val="sk-SK"/>
        </w:rPr>
        <w:t>odpadom</w:t>
      </w:r>
      <w:r w:rsidR="00083739" w:rsidRPr="00083739">
        <w:rPr>
          <w:rFonts w:cs="Times New Roman"/>
          <w:noProof/>
          <w:lang w:val="sk-SK"/>
        </w:rPr>
        <w:t xml:space="preserve"> a </w:t>
      </w:r>
      <w:r w:rsidRPr="00083739">
        <w:rPr>
          <w:rFonts w:cs="Times New Roman"/>
          <w:noProof/>
          <w:lang w:val="sk-SK"/>
        </w:rPr>
        <w:t>riadenia emisií plynných znečisťujúcich látok na ochranu životného prostredia, zavádzanie nových technológií na monitorovanie vysledovateľnosti, výrobných procesov šetrných</w:t>
      </w:r>
      <w:r w:rsidR="00083739" w:rsidRPr="00083739">
        <w:rPr>
          <w:rFonts w:cs="Times New Roman"/>
          <w:noProof/>
          <w:lang w:val="sk-SK"/>
        </w:rPr>
        <w:t xml:space="preserve"> k </w:t>
      </w:r>
      <w:r w:rsidRPr="00083739">
        <w:rPr>
          <w:rFonts w:cs="Times New Roman"/>
          <w:noProof/>
          <w:lang w:val="sk-SK"/>
        </w:rPr>
        <w:t>životnému prostrediu</w:t>
      </w:r>
      <w:r w:rsidR="00083739" w:rsidRPr="00083739">
        <w:rPr>
          <w:rFonts w:cs="Times New Roman"/>
          <w:noProof/>
          <w:lang w:val="sk-SK"/>
        </w:rPr>
        <w:t xml:space="preserve"> a </w:t>
      </w:r>
      <w:r w:rsidRPr="00083739">
        <w:rPr>
          <w:rFonts w:cs="Times New Roman"/>
          <w:noProof/>
          <w:lang w:val="sk-SK"/>
        </w:rPr>
        <w:t>efektívneho využívania zdr</w:t>
      </w:r>
      <w:r w:rsidRPr="00083739">
        <w:rPr>
          <w:rFonts w:cs="Times New Roman"/>
          <w:noProof/>
          <w:lang w:val="sk-SK"/>
        </w:rPr>
        <w:t>ojov</w:t>
      </w:r>
      <w:r w:rsidR="00083739" w:rsidRPr="00083739">
        <w:rPr>
          <w:rFonts w:cs="Times New Roman"/>
          <w:noProof/>
          <w:lang w:val="sk-SK"/>
        </w:rPr>
        <w:t xml:space="preserve"> a </w:t>
      </w:r>
      <w:r w:rsidRPr="00083739">
        <w:rPr>
          <w:rFonts w:cs="Times New Roman"/>
          <w:noProof/>
          <w:lang w:val="sk-SK"/>
        </w:rPr>
        <w:t>analýzu trhu, strategickú spoluprácu</w:t>
      </w:r>
      <w:r w:rsidR="00083739" w:rsidRPr="00083739">
        <w:rPr>
          <w:rFonts w:cs="Times New Roman"/>
          <w:noProof/>
          <w:lang w:val="sk-SK"/>
        </w:rPr>
        <w:t xml:space="preserve"> a </w:t>
      </w:r>
      <w:r w:rsidRPr="00083739">
        <w:rPr>
          <w:rFonts w:cs="Times New Roman"/>
          <w:noProof/>
          <w:lang w:val="sk-SK"/>
        </w:rPr>
        <w:t>vytváranie dodávateľských reťazcov</w:t>
      </w:r>
      <w:r w:rsidR="00083739" w:rsidRPr="00083739">
        <w:rPr>
          <w:rFonts w:cs="Times New Roman"/>
          <w:noProof/>
          <w:lang w:val="sk-SK"/>
        </w:rPr>
        <w:t xml:space="preserve"> s </w:t>
      </w:r>
      <w:r w:rsidRPr="00083739">
        <w:rPr>
          <w:rFonts w:cs="Times New Roman"/>
          <w:noProof/>
          <w:lang w:val="sk-SK"/>
        </w:rPr>
        <w:t>vysokou hodnotou, ktoré sa zameriavajú predovšetkým na prepojenie odvetví hospodárstva (poľnohospodárstvo – proces – cestovný ruch). Touto investíciou sa podporia aj prostri</w:t>
      </w:r>
      <w:r w:rsidRPr="00083739">
        <w:rPr>
          <w:rFonts w:cs="Times New Roman"/>
          <w:noProof/>
          <w:lang w:val="sk-SK"/>
        </w:rPr>
        <w:t>edky dopravy šetrné</w:t>
      </w:r>
      <w:r w:rsidR="00083739" w:rsidRPr="00083739">
        <w:rPr>
          <w:rFonts w:cs="Times New Roman"/>
          <w:noProof/>
          <w:lang w:val="sk-SK"/>
        </w:rPr>
        <w:t xml:space="preserve"> k </w:t>
      </w:r>
      <w:r w:rsidRPr="00083739">
        <w:rPr>
          <w:rFonts w:cs="Times New Roman"/>
          <w:noProof/>
          <w:lang w:val="sk-SK"/>
        </w:rPr>
        <w:t>životnému prostrediu, rozvoj nových obnoviteľných zdrojov energie, opatrenia na prispôsobenie sa zmene klímy</w:t>
      </w:r>
      <w:r w:rsidR="00083739" w:rsidRPr="00083739">
        <w:rPr>
          <w:rFonts w:cs="Times New Roman"/>
          <w:noProof/>
          <w:lang w:val="sk-SK"/>
        </w:rPr>
        <w:t xml:space="preserve"> a </w:t>
      </w:r>
      <w:r w:rsidRPr="00083739">
        <w:rPr>
          <w:rFonts w:cs="Times New Roman"/>
          <w:noProof/>
          <w:lang w:val="sk-SK"/>
        </w:rPr>
        <w:t>preventívne opatrenia</w:t>
      </w:r>
      <w:r w:rsidR="00083739" w:rsidRPr="00083739">
        <w:rPr>
          <w:rFonts w:cs="Times New Roman"/>
          <w:noProof/>
          <w:lang w:val="sk-SK"/>
        </w:rPr>
        <w:t xml:space="preserve"> a </w:t>
      </w:r>
      <w:r w:rsidRPr="00083739">
        <w:rPr>
          <w:rFonts w:cs="Times New Roman"/>
          <w:noProof/>
          <w:lang w:val="sk-SK"/>
        </w:rPr>
        <w:t>riadenie rizík súvisiacich</w:t>
      </w:r>
      <w:r w:rsidR="00083739" w:rsidRPr="00083739">
        <w:rPr>
          <w:rFonts w:cs="Times New Roman"/>
          <w:noProof/>
          <w:lang w:val="sk-SK"/>
        </w:rPr>
        <w:t xml:space="preserve"> s </w:t>
      </w:r>
      <w:r w:rsidRPr="00083739">
        <w:rPr>
          <w:rFonts w:cs="Times New Roman"/>
          <w:noProof/>
          <w:lang w:val="sk-SK"/>
        </w:rPr>
        <w:t>klímou, ochrana biodiverzity, prírodné dedičstvo</w:t>
      </w:r>
      <w:r w:rsidR="00083739" w:rsidRPr="00083739">
        <w:rPr>
          <w:rFonts w:cs="Times New Roman"/>
          <w:noProof/>
          <w:lang w:val="sk-SK"/>
        </w:rPr>
        <w:t xml:space="preserve"> a </w:t>
      </w:r>
      <w:r w:rsidRPr="00083739">
        <w:rPr>
          <w:rFonts w:cs="Times New Roman"/>
          <w:noProof/>
          <w:lang w:val="sk-SK"/>
        </w:rPr>
        <w:t>zdroje</w:t>
      </w:r>
      <w:r w:rsidR="00083739" w:rsidRPr="00083739">
        <w:rPr>
          <w:rFonts w:cs="Times New Roman"/>
          <w:noProof/>
          <w:lang w:val="sk-SK"/>
        </w:rPr>
        <w:t>.</w:t>
      </w:r>
    </w:p>
    <w:p w14:paraId="53B979C3" w14:textId="1C49B0CB" w:rsidR="002D49B0" w:rsidRPr="00083739" w:rsidRDefault="00BF4125">
      <w:pPr>
        <w:pStyle w:val="P68B1DB1-Normal5"/>
        <w:spacing w:before="120" w:after="120" w:line="240" w:lineRule="auto"/>
        <w:jc w:val="both"/>
        <w:rPr>
          <w:rFonts w:cs="Times New Roman"/>
          <w:noProof/>
          <w:lang w:val="sk-SK"/>
        </w:rPr>
      </w:pPr>
      <w:r w:rsidRPr="00083739">
        <w:rPr>
          <w:rFonts w:cs="Times New Roman"/>
          <w:noProof/>
          <w:lang w:val="sk-SK"/>
        </w:rPr>
        <w:t xml:space="preserve">S cieľom </w:t>
      </w:r>
      <w:r w:rsidRPr="00083739">
        <w:rPr>
          <w:rFonts w:cs="Times New Roman"/>
          <w:noProof/>
          <w:lang w:val="sk-SK"/>
        </w:rPr>
        <w:t>zabezpečiť, aby opatrenie bolo</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technickými usmerneniami „výrazne nenarušiť“ (2021/C58/01), kritériá oprávnenosti uvedené</w:t>
      </w:r>
      <w:r w:rsidR="00083739" w:rsidRPr="00083739">
        <w:rPr>
          <w:rFonts w:cs="Times New Roman"/>
          <w:noProof/>
          <w:lang w:val="sk-SK"/>
        </w:rPr>
        <w:t xml:space="preserve"> v </w:t>
      </w:r>
      <w:r w:rsidRPr="00083739">
        <w:rPr>
          <w:rFonts w:cs="Times New Roman"/>
          <w:noProof/>
          <w:lang w:val="sk-SK"/>
        </w:rPr>
        <w:t>zadávacích podmienkach pre výzvy na predkladanie projektov nezahŕňajú tento zoznam činností:</w:t>
      </w:r>
      <w:r w:rsidRPr="00083739">
        <w:rPr>
          <w:rFonts w:cs="Times New Roman"/>
          <w:noProof/>
          <w:color w:val="FF0000"/>
          <w:lang w:val="sk-SK"/>
        </w:rPr>
        <w:t xml:space="preserve"> </w:t>
      </w:r>
      <w:r w:rsidRPr="00083739">
        <w:rPr>
          <w:rFonts w:cs="Times New Roman"/>
          <w:noProof/>
          <w:lang w:val="sk-SK"/>
        </w:rPr>
        <w:t>I) činnosti súvisiace</w:t>
      </w:r>
      <w:r w:rsidR="00083739" w:rsidRPr="00083739">
        <w:rPr>
          <w:rFonts w:cs="Times New Roman"/>
          <w:noProof/>
          <w:lang w:val="sk-SK"/>
        </w:rPr>
        <w:t xml:space="preserve"> s </w:t>
      </w:r>
      <w:r w:rsidRPr="00083739">
        <w:rPr>
          <w:rFonts w:cs="Times New Roman"/>
          <w:noProof/>
          <w:lang w:val="sk-SK"/>
        </w:rPr>
        <w:t>fosíl</w:t>
      </w:r>
      <w:r w:rsidRPr="00083739">
        <w:rPr>
          <w:rFonts w:cs="Times New Roman"/>
          <w:noProof/>
          <w:lang w:val="sk-SK"/>
        </w:rPr>
        <w:t>nymi palivami vrátane následného použitia</w:t>
      </w:r>
      <w:r w:rsidRPr="00083739">
        <w:rPr>
          <w:rFonts w:cs="Times New Roman"/>
          <w:noProof/>
          <w:lang w:val="sk-SK"/>
        </w:rPr>
        <w:footnoteReference w:id="31"/>
      </w:r>
      <w:r w:rsidRPr="00083739">
        <w:rPr>
          <w:rFonts w:cs="Times New Roman"/>
          <w:noProof/>
          <w:lang w:val="sk-SK"/>
        </w:rPr>
        <w:t>; II) činností</w:t>
      </w:r>
      <w:r w:rsidR="00083739" w:rsidRPr="00083739">
        <w:rPr>
          <w:rFonts w:cs="Times New Roman"/>
          <w:noProof/>
          <w:lang w:val="sk-SK"/>
        </w:rPr>
        <w:t xml:space="preserve"> v </w:t>
      </w:r>
      <w:r w:rsidRPr="00083739">
        <w:rPr>
          <w:rFonts w:cs="Times New Roman"/>
          <w:noProof/>
          <w:lang w:val="sk-SK"/>
        </w:rPr>
        <w:t>rámci systému EÚ na obchodovanie</w:t>
      </w:r>
      <w:r w:rsidR="00083739" w:rsidRPr="00083739">
        <w:rPr>
          <w:rFonts w:cs="Times New Roman"/>
          <w:noProof/>
          <w:lang w:val="sk-SK"/>
        </w:rPr>
        <w:t xml:space="preserve"> s </w:t>
      </w:r>
      <w:r w:rsidRPr="00083739">
        <w:rPr>
          <w:rFonts w:cs="Times New Roman"/>
          <w:noProof/>
          <w:lang w:val="sk-SK"/>
        </w:rPr>
        <w:t>emisiami (ETS), ktorými sa dosahujú predpokladané emisie skleníkových plynov, ktoré nie sú nižšie ako príslušné referenčné hodnoty</w:t>
      </w:r>
      <w:r w:rsidRPr="00083739">
        <w:rPr>
          <w:rFonts w:cs="Times New Roman"/>
          <w:noProof/>
          <w:lang w:val="sk-SK"/>
        </w:rPr>
        <w:footnoteReference w:id="32"/>
      </w:r>
      <w:r w:rsidRPr="00083739">
        <w:rPr>
          <w:rFonts w:cs="Times New Roman"/>
          <w:noProof/>
          <w:lang w:val="sk-SK"/>
        </w:rPr>
        <w:t>; III) činnosti súvisiace so sk</w:t>
      </w:r>
      <w:r w:rsidRPr="00083739">
        <w:rPr>
          <w:rFonts w:cs="Times New Roman"/>
          <w:noProof/>
          <w:lang w:val="sk-SK"/>
        </w:rPr>
        <w:t>ládkami odpadov, spaľovňami</w:t>
      </w:r>
      <w:r w:rsidRPr="00083739">
        <w:rPr>
          <w:rFonts w:cs="Times New Roman"/>
          <w:noProof/>
          <w:lang w:val="sk-SK"/>
        </w:rPr>
        <w:footnoteReference w:id="33"/>
      </w:r>
      <w:r w:rsidR="00083739" w:rsidRPr="00083739">
        <w:rPr>
          <w:rFonts w:cs="Times New Roman"/>
          <w:noProof/>
          <w:lang w:val="sk-SK"/>
        </w:rPr>
        <w:t xml:space="preserve"> a </w:t>
      </w:r>
      <w:r w:rsidRPr="00083739">
        <w:rPr>
          <w:rFonts w:cs="Times New Roman"/>
          <w:noProof/>
          <w:lang w:val="sk-SK"/>
        </w:rPr>
        <w:t>mechanickými biologickými čistiarňami</w:t>
      </w:r>
      <w:r w:rsidRPr="00083739">
        <w:rPr>
          <w:rFonts w:cs="Times New Roman"/>
          <w:noProof/>
          <w:lang w:val="sk-SK"/>
        </w:rPr>
        <w:footnoteReference w:id="34"/>
      </w:r>
      <w:r w:rsidRPr="00083739">
        <w:rPr>
          <w:rFonts w:cs="Times New Roman"/>
          <w:noProof/>
          <w:lang w:val="sk-SK"/>
        </w:rPr>
        <w:t>;</w:t>
      </w:r>
      <w:r w:rsidR="00083739" w:rsidRPr="00083739">
        <w:rPr>
          <w:rFonts w:cs="Times New Roman"/>
          <w:noProof/>
          <w:lang w:val="sk-SK"/>
        </w:rPr>
        <w:t xml:space="preserve"> a </w:t>
      </w:r>
      <w:r w:rsidRPr="00083739">
        <w:rPr>
          <w:rFonts w:cs="Times New Roman"/>
          <w:noProof/>
          <w:lang w:val="sk-SK"/>
        </w:rPr>
        <w:t>iv) činnosti, pri ktorých dlhodobé zneškodňovanie odpadu môže poškodiť životné prostredie.</w:t>
      </w:r>
      <w:r w:rsidR="00083739" w:rsidRPr="00083739">
        <w:rPr>
          <w:rFonts w:cs="Times New Roman"/>
          <w:noProof/>
          <w:lang w:val="sk-SK"/>
        </w:rPr>
        <w:t xml:space="preserve"> V </w:t>
      </w:r>
      <w:r w:rsidRPr="00083739">
        <w:rPr>
          <w:rFonts w:cs="Times New Roman"/>
          <w:noProof/>
          <w:lang w:val="sk-SK"/>
        </w:rPr>
        <w:t>zadávacích podmienkach sa okrem toho vyžaduje, aby sa mohli vybrať len tie činnosti, ktoré</w:t>
      </w:r>
      <w:r w:rsidRPr="00083739">
        <w:rPr>
          <w:rFonts w:cs="Times New Roman"/>
          <w:noProof/>
          <w:lang w:val="sk-SK"/>
        </w:rPr>
        <w:t xml:space="preserve"> sú</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príslušnými právnymi predpismi EÚ</w:t>
      </w:r>
      <w:r w:rsidR="00083739" w:rsidRPr="00083739">
        <w:rPr>
          <w:rFonts w:cs="Times New Roman"/>
          <w:noProof/>
          <w:lang w:val="sk-SK"/>
        </w:rPr>
        <w:t xml:space="preserve"> a </w:t>
      </w:r>
      <w:r w:rsidRPr="00083739">
        <w:rPr>
          <w:rFonts w:cs="Times New Roman"/>
          <w:noProof/>
          <w:lang w:val="sk-SK"/>
        </w:rPr>
        <w:t>vnútroštátnymi právnymi predpismi</w:t>
      </w:r>
      <w:r w:rsidR="00083739" w:rsidRPr="00083739">
        <w:rPr>
          <w:rFonts w:cs="Times New Roman"/>
          <w:noProof/>
          <w:lang w:val="sk-SK"/>
        </w:rPr>
        <w:t xml:space="preserve"> v </w:t>
      </w:r>
      <w:r w:rsidRPr="00083739">
        <w:rPr>
          <w:rFonts w:cs="Times New Roman"/>
          <w:noProof/>
          <w:lang w:val="sk-SK"/>
        </w:rPr>
        <w:t>oblasti životného prostredia. Realizácia investície sa ukončí do 31</w:t>
      </w:r>
      <w:r w:rsidR="00083739" w:rsidRPr="00083739">
        <w:rPr>
          <w:rFonts w:cs="Times New Roman"/>
          <w:noProof/>
          <w:lang w:val="sk-SK"/>
        </w:rPr>
        <w:t>. decembra</w:t>
      </w:r>
      <w:r w:rsidRPr="00083739">
        <w:rPr>
          <w:rFonts w:cs="Times New Roman"/>
          <w:noProof/>
          <w:lang w:val="sk-SK"/>
        </w:rPr>
        <w:t xml:space="preserve"> 2025.</w:t>
      </w:r>
    </w:p>
    <w:p w14:paraId="4876BEA1" w14:textId="7777777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Digitálna transformácia agropotravinárskeho sektora (ID opatrenia 16653)</w:t>
      </w:r>
    </w:p>
    <w:p w14:paraId="0E7C0D4B" w14:textId="09FF31CF" w:rsidR="002D49B0" w:rsidRPr="00083739" w:rsidRDefault="00BF4125">
      <w:pPr>
        <w:pStyle w:val="P68B1DB1-Normal4"/>
        <w:spacing w:before="120" w:after="120" w:line="240" w:lineRule="auto"/>
        <w:jc w:val="both"/>
        <w:rPr>
          <w:rFonts w:cs="Times New Roman"/>
          <w:noProof/>
          <w:szCs w:val="24"/>
          <w:lang w:val="sk-SK"/>
        </w:rPr>
      </w:pPr>
      <w:r w:rsidRPr="00083739">
        <w:rPr>
          <w:rFonts w:cs="Times New Roman"/>
          <w:noProof/>
          <w:lang w:val="sk-SK"/>
        </w:rPr>
        <w:t>Investícia podporí prijatie inovačných technológií</w:t>
      </w:r>
      <w:r w:rsidR="00083739" w:rsidRPr="00083739">
        <w:rPr>
          <w:rFonts w:cs="Times New Roman"/>
          <w:noProof/>
          <w:lang w:val="sk-SK"/>
        </w:rPr>
        <w:t xml:space="preserve"> v </w:t>
      </w:r>
      <w:r w:rsidRPr="00083739">
        <w:rPr>
          <w:rFonts w:cs="Times New Roman"/>
          <w:noProof/>
          <w:lang w:val="sk-SK"/>
        </w:rPr>
        <w:t>gréckom poľnohospodárskom sektore, kontrolu falšovania gréckych výrobkov, uľahčí prístup gréckych potravinových výrobkov na zahraničné trhy, ako aj rozvoj nových poľnohospodársko-potravinárskych poznatko</w:t>
      </w:r>
      <w:r w:rsidRPr="00083739">
        <w:rPr>
          <w:rFonts w:cs="Times New Roman"/>
          <w:noProof/>
          <w:lang w:val="sk-SK"/>
        </w:rPr>
        <w:t>v</w:t>
      </w:r>
      <w:r w:rsidR="00083739" w:rsidRPr="00083739">
        <w:rPr>
          <w:rFonts w:cs="Times New Roman"/>
          <w:noProof/>
          <w:lang w:val="sk-SK"/>
        </w:rPr>
        <w:t xml:space="preserve"> v </w:t>
      </w:r>
      <w:r w:rsidRPr="00083739">
        <w:rPr>
          <w:rFonts w:cs="Times New Roman"/>
          <w:noProof/>
          <w:lang w:val="sk-SK"/>
        </w:rPr>
        <w:t>Grécku</w:t>
      </w:r>
      <w:r w:rsidR="00083739" w:rsidRPr="00083739">
        <w:rPr>
          <w:rFonts w:cs="Times New Roman"/>
          <w:noProof/>
          <w:lang w:val="sk-SK"/>
        </w:rPr>
        <w:t xml:space="preserve"> a </w:t>
      </w:r>
      <w:r w:rsidRPr="00083739">
        <w:rPr>
          <w:rFonts w:cs="Times New Roman"/>
          <w:noProof/>
          <w:lang w:val="sk-SK"/>
        </w:rPr>
        <w:t>zavedenie najlepších postupov. Investícia zahŕňa intervencie a) na podporu digitálnej transformácie odvetvia poľnohospodárstva, ako je rozvoj rozsiahlej otvorenej digitálnej infraštruktúry</w:t>
      </w:r>
      <w:r w:rsidR="00083739" w:rsidRPr="00083739">
        <w:rPr>
          <w:rFonts w:cs="Times New Roman"/>
          <w:noProof/>
          <w:lang w:val="sk-SK"/>
        </w:rPr>
        <w:t xml:space="preserve"> s </w:t>
      </w:r>
      <w:r w:rsidRPr="00083739">
        <w:rPr>
          <w:rFonts w:cs="Times New Roman"/>
          <w:noProof/>
          <w:lang w:val="sk-SK"/>
        </w:rPr>
        <w:t>cloudovou infraštruktúrou</w:t>
      </w:r>
      <w:r w:rsidR="00083739" w:rsidRPr="00083739">
        <w:rPr>
          <w:rFonts w:cs="Times New Roman"/>
          <w:noProof/>
          <w:lang w:val="sk-SK"/>
        </w:rPr>
        <w:t xml:space="preserve"> a </w:t>
      </w:r>
      <w:r w:rsidRPr="00083739">
        <w:rPr>
          <w:rFonts w:cs="Times New Roman"/>
          <w:noProof/>
          <w:lang w:val="sk-SK"/>
        </w:rPr>
        <w:t>rozsiahlymi spracovateľs</w:t>
      </w:r>
      <w:r w:rsidRPr="00083739">
        <w:rPr>
          <w:rFonts w:cs="Times New Roman"/>
          <w:noProof/>
          <w:lang w:val="sk-SK"/>
        </w:rPr>
        <w:t>kými kapacitami satelitných</w:t>
      </w:r>
      <w:r w:rsidR="00083739" w:rsidRPr="00083739">
        <w:rPr>
          <w:rFonts w:cs="Times New Roman"/>
          <w:noProof/>
          <w:lang w:val="sk-SK"/>
        </w:rPr>
        <w:t xml:space="preserve"> a </w:t>
      </w:r>
      <w:r w:rsidRPr="00083739">
        <w:rPr>
          <w:rFonts w:cs="Times New Roman"/>
          <w:noProof/>
          <w:lang w:val="sk-SK"/>
        </w:rPr>
        <w:t>leteckých údajov,</w:t>
      </w:r>
      <w:r w:rsidR="00083739" w:rsidRPr="00083739">
        <w:rPr>
          <w:rFonts w:cs="Times New Roman"/>
          <w:noProof/>
          <w:lang w:val="sk-SK"/>
        </w:rPr>
        <w:t xml:space="preserve"> a </w:t>
      </w:r>
      <w:r w:rsidRPr="00083739">
        <w:rPr>
          <w:rFonts w:cs="Times New Roman"/>
          <w:noProof/>
          <w:lang w:val="sk-SK"/>
        </w:rPr>
        <w:t>b) na podporu obchodu</w:t>
      </w:r>
      <w:r w:rsidR="00083739" w:rsidRPr="00083739">
        <w:rPr>
          <w:rFonts w:cs="Times New Roman"/>
          <w:noProof/>
          <w:lang w:val="sk-SK"/>
        </w:rPr>
        <w:t xml:space="preserve"> s </w:t>
      </w:r>
      <w:r w:rsidRPr="00083739">
        <w:rPr>
          <w:rFonts w:cs="Times New Roman"/>
          <w:noProof/>
          <w:lang w:val="sk-SK"/>
        </w:rPr>
        <w:t>gréckymi poľnohospodárskymi výrobkami, živočíšnym chovom</w:t>
      </w:r>
      <w:r w:rsidR="00083739" w:rsidRPr="00083739">
        <w:rPr>
          <w:rFonts w:cs="Times New Roman"/>
          <w:noProof/>
          <w:lang w:val="sk-SK"/>
        </w:rPr>
        <w:t xml:space="preserve"> a </w:t>
      </w:r>
      <w:r w:rsidRPr="00083739">
        <w:rPr>
          <w:rFonts w:cs="Times New Roman"/>
          <w:noProof/>
          <w:lang w:val="sk-SK"/>
        </w:rPr>
        <w:t>rybolovom uľahčením vydávania vývozných osvedčení, vytvorením systému riadenia údajov</w:t>
      </w:r>
      <w:r w:rsidR="00083739" w:rsidRPr="00083739">
        <w:rPr>
          <w:rFonts w:cs="Times New Roman"/>
          <w:noProof/>
          <w:lang w:val="sk-SK"/>
        </w:rPr>
        <w:t xml:space="preserve"> o </w:t>
      </w:r>
      <w:r w:rsidRPr="00083739">
        <w:rPr>
          <w:rFonts w:cs="Times New Roman"/>
          <w:noProof/>
          <w:lang w:val="sk-SK"/>
        </w:rPr>
        <w:t>dovoze</w:t>
      </w:r>
      <w:r w:rsidR="00083739" w:rsidRPr="00083739">
        <w:rPr>
          <w:rFonts w:cs="Times New Roman"/>
          <w:noProof/>
          <w:lang w:val="sk-SK"/>
        </w:rPr>
        <w:t xml:space="preserve"> a </w:t>
      </w:r>
      <w:r w:rsidRPr="00083739">
        <w:rPr>
          <w:rFonts w:cs="Times New Roman"/>
          <w:noProof/>
          <w:lang w:val="sk-SK"/>
        </w:rPr>
        <w:t>obchode</w:t>
      </w:r>
      <w:r w:rsidR="00083739" w:rsidRPr="00083739">
        <w:rPr>
          <w:rFonts w:cs="Times New Roman"/>
          <w:noProof/>
          <w:lang w:val="sk-SK"/>
        </w:rPr>
        <w:t xml:space="preserve"> v </w:t>
      </w:r>
      <w:r w:rsidRPr="00083739">
        <w:rPr>
          <w:rFonts w:cs="Times New Roman"/>
          <w:noProof/>
          <w:lang w:val="sk-SK"/>
        </w:rPr>
        <w:t xml:space="preserve">rámci </w:t>
      </w:r>
      <w:r w:rsidRPr="00083739">
        <w:rPr>
          <w:rFonts w:cs="Times New Roman"/>
          <w:noProof/>
          <w:lang w:val="sk-SK"/>
        </w:rPr>
        <w:t>Spoločenstva</w:t>
      </w:r>
      <w:r w:rsidR="00083739" w:rsidRPr="00083739">
        <w:rPr>
          <w:rFonts w:cs="Times New Roman"/>
          <w:noProof/>
          <w:lang w:val="sk-SK"/>
        </w:rPr>
        <w:t xml:space="preserve"> a </w:t>
      </w:r>
      <w:r w:rsidRPr="00083739">
        <w:rPr>
          <w:rFonts w:cs="Times New Roman"/>
          <w:noProof/>
          <w:lang w:val="sk-SK"/>
        </w:rPr>
        <w:t>podnikového informačného systému pre dovoz</w:t>
      </w:r>
      <w:r w:rsidR="00083739" w:rsidRPr="00083739">
        <w:rPr>
          <w:rFonts w:cs="Times New Roman"/>
          <w:noProof/>
          <w:lang w:val="sk-SK"/>
        </w:rPr>
        <w:t xml:space="preserve"> a </w:t>
      </w:r>
      <w:r w:rsidRPr="00083739">
        <w:rPr>
          <w:rFonts w:cs="Times New Roman"/>
          <w:noProof/>
          <w:lang w:val="sk-SK"/>
        </w:rPr>
        <w:t>obchod</w:t>
      </w:r>
      <w:r w:rsidR="00083739" w:rsidRPr="00083739">
        <w:rPr>
          <w:rFonts w:cs="Times New Roman"/>
          <w:noProof/>
          <w:lang w:val="sk-SK"/>
        </w:rPr>
        <w:t xml:space="preserve"> a </w:t>
      </w:r>
      <w:r w:rsidRPr="00083739">
        <w:rPr>
          <w:rFonts w:cs="Times New Roman"/>
          <w:noProof/>
          <w:lang w:val="sk-SK"/>
        </w:rPr>
        <w:t>vytvorením vonkajšieho portálu na propagáciu gréckych agropotravinových</w:t>
      </w:r>
      <w:r w:rsidR="00083739" w:rsidRPr="00083739">
        <w:rPr>
          <w:rFonts w:cs="Times New Roman"/>
          <w:noProof/>
          <w:lang w:val="sk-SK"/>
        </w:rPr>
        <w:t xml:space="preserve"> a </w:t>
      </w:r>
      <w:r w:rsidRPr="00083739">
        <w:rPr>
          <w:rFonts w:cs="Times New Roman"/>
          <w:noProof/>
          <w:lang w:val="sk-SK"/>
        </w:rPr>
        <w:t>poľnohospodárskych výrobkov. Implementácia reformy sa dokončí do 30</w:t>
      </w:r>
      <w:r w:rsidR="00083739" w:rsidRPr="00083739">
        <w:rPr>
          <w:rFonts w:cs="Times New Roman"/>
          <w:noProof/>
          <w:lang w:val="sk-SK"/>
        </w:rPr>
        <w:t>. júna</w:t>
      </w:r>
      <w:r w:rsidRPr="00083739">
        <w:rPr>
          <w:rFonts w:cs="Times New Roman"/>
          <w:noProof/>
          <w:lang w:val="sk-SK"/>
        </w:rPr>
        <w:t xml:space="preserve"> 2025.</w:t>
      </w:r>
    </w:p>
    <w:p w14:paraId="4816B1D0" w14:textId="01226093"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Návrhy opatrení</w:t>
      </w:r>
      <w:r w:rsidR="00083739" w:rsidRPr="00083739">
        <w:rPr>
          <w:rFonts w:cs="Times New Roman"/>
          <w:noProof/>
          <w:lang w:val="sk-SK"/>
        </w:rPr>
        <w:t xml:space="preserve"> v </w:t>
      </w:r>
      <w:r w:rsidRPr="00083739">
        <w:rPr>
          <w:rFonts w:cs="Times New Roman"/>
          <w:noProof/>
          <w:lang w:val="sk-SK"/>
        </w:rPr>
        <w:t>odv</w:t>
      </w:r>
      <w:r w:rsidRPr="00083739">
        <w:rPr>
          <w:rFonts w:cs="Times New Roman"/>
          <w:noProof/>
          <w:lang w:val="sk-SK"/>
        </w:rPr>
        <w:t>etví akvakultúry (ID opatrenia 16584)</w:t>
      </w:r>
    </w:p>
    <w:p w14:paraId="29B061EA" w14:textId="4D4A2DB2"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Tieto investície zahŕňajú inovačné riešenia</w:t>
      </w:r>
      <w:r w:rsidR="00083739" w:rsidRPr="00083739">
        <w:rPr>
          <w:rFonts w:cs="Times New Roman"/>
          <w:noProof/>
          <w:lang w:val="sk-SK"/>
        </w:rPr>
        <w:t xml:space="preserve"> v </w:t>
      </w:r>
      <w:r w:rsidRPr="00083739">
        <w:rPr>
          <w:rFonts w:cs="Times New Roman"/>
          <w:noProof/>
          <w:lang w:val="sk-SK"/>
        </w:rPr>
        <w:t>oblasti vybavenia, výskum, prenos know-how</w:t>
      </w:r>
      <w:r w:rsidR="00083739" w:rsidRPr="00083739">
        <w:rPr>
          <w:rFonts w:cs="Times New Roman"/>
          <w:noProof/>
          <w:lang w:val="sk-SK"/>
        </w:rPr>
        <w:t xml:space="preserve"> a </w:t>
      </w:r>
      <w:r w:rsidRPr="00083739">
        <w:rPr>
          <w:rFonts w:cs="Times New Roman"/>
          <w:noProof/>
          <w:lang w:val="sk-SK"/>
        </w:rPr>
        <w:t>odbornú prípravu ľudských zdrojov</w:t>
      </w:r>
      <w:r w:rsidR="00083739" w:rsidRPr="00083739">
        <w:rPr>
          <w:rFonts w:cs="Times New Roman"/>
          <w:noProof/>
          <w:lang w:val="sk-SK"/>
        </w:rPr>
        <w:t xml:space="preserve"> s </w:t>
      </w:r>
      <w:r w:rsidRPr="00083739">
        <w:rPr>
          <w:rFonts w:cs="Times New Roman"/>
          <w:noProof/>
          <w:lang w:val="sk-SK"/>
        </w:rPr>
        <w:t>cieľom modernizovať</w:t>
      </w:r>
      <w:r w:rsidR="00083739" w:rsidRPr="00083739">
        <w:rPr>
          <w:rFonts w:cs="Times New Roman"/>
          <w:noProof/>
          <w:lang w:val="sk-SK"/>
        </w:rPr>
        <w:t xml:space="preserve"> a </w:t>
      </w:r>
      <w:r w:rsidRPr="00083739">
        <w:rPr>
          <w:rFonts w:cs="Times New Roman"/>
          <w:noProof/>
          <w:lang w:val="sk-SK"/>
        </w:rPr>
        <w:t>diverzifikovať produkciu akvakultúry. Vytvára aj genetickú rezervu ma</w:t>
      </w:r>
      <w:r w:rsidRPr="00083739">
        <w:rPr>
          <w:rFonts w:cs="Times New Roman"/>
          <w:noProof/>
          <w:lang w:val="sk-SK"/>
        </w:rPr>
        <w:t>teriálu pre ohrozené druhy</w:t>
      </w:r>
      <w:r w:rsidR="00083739" w:rsidRPr="00083739">
        <w:rPr>
          <w:rFonts w:cs="Times New Roman"/>
          <w:noProof/>
          <w:lang w:val="sk-SK"/>
        </w:rPr>
        <w:t xml:space="preserve"> a </w:t>
      </w:r>
      <w:r w:rsidRPr="00083739">
        <w:rPr>
          <w:rFonts w:cs="Times New Roman"/>
          <w:noProof/>
          <w:lang w:val="sk-SK"/>
        </w:rPr>
        <w:t>komerčné druhy sladkovodných rýb. Cieľom investície je podporiť výrobné procesy šetrné</w:t>
      </w:r>
      <w:r w:rsidR="00083739" w:rsidRPr="00083739">
        <w:rPr>
          <w:rFonts w:cs="Times New Roman"/>
          <w:noProof/>
          <w:lang w:val="sk-SK"/>
        </w:rPr>
        <w:t xml:space="preserve"> k </w:t>
      </w:r>
      <w:r w:rsidRPr="00083739">
        <w:rPr>
          <w:rFonts w:cs="Times New Roman"/>
          <w:noProof/>
          <w:lang w:val="sk-SK"/>
        </w:rPr>
        <w:t>životnému prostrediu</w:t>
      </w:r>
      <w:r w:rsidR="00083739" w:rsidRPr="00083739">
        <w:rPr>
          <w:rFonts w:cs="Times New Roman"/>
          <w:noProof/>
          <w:lang w:val="sk-SK"/>
        </w:rPr>
        <w:t xml:space="preserve"> a </w:t>
      </w:r>
      <w:r w:rsidRPr="00083739">
        <w:rPr>
          <w:rFonts w:cs="Times New Roman"/>
          <w:noProof/>
          <w:lang w:val="sk-SK"/>
        </w:rPr>
        <w:t>efektívne využívanie zdrojov, čo povedie</w:t>
      </w:r>
      <w:r w:rsidR="00083739" w:rsidRPr="00083739">
        <w:rPr>
          <w:rFonts w:cs="Times New Roman"/>
          <w:noProof/>
          <w:lang w:val="sk-SK"/>
        </w:rPr>
        <w:t xml:space="preserve"> k </w:t>
      </w:r>
      <w:r w:rsidRPr="00083739">
        <w:rPr>
          <w:rFonts w:cs="Times New Roman"/>
          <w:noProof/>
          <w:lang w:val="sk-SK"/>
        </w:rPr>
        <w:t>zvýšeniu obchodu</w:t>
      </w:r>
      <w:r w:rsidR="00083739" w:rsidRPr="00083739">
        <w:rPr>
          <w:rFonts w:cs="Times New Roman"/>
          <w:noProof/>
          <w:lang w:val="sk-SK"/>
        </w:rPr>
        <w:t xml:space="preserve"> a </w:t>
      </w:r>
      <w:r w:rsidRPr="00083739">
        <w:rPr>
          <w:rFonts w:cs="Times New Roman"/>
          <w:noProof/>
          <w:lang w:val="sk-SK"/>
        </w:rPr>
        <w:t>tvorbe pracovných miest</w:t>
      </w:r>
      <w:r w:rsidR="00083739" w:rsidRPr="00083739">
        <w:rPr>
          <w:rFonts w:cs="Times New Roman"/>
          <w:noProof/>
          <w:lang w:val="sk-SK"/>
        </w:rPr>
        <w:t xml:space="preserve"> v </w:t>
      </w:r>
      <w:r w:rsidRPr="00083739">
        <w:rPr>
          <w:rFonts w:cs="Times New Roman"/>
          <w:noProof/>
          <w:lang w:val="sk-SK"/>
        </w:rPr>
        <w:t>tomto odvetví. Realizácia i</w:t>
      </w:r>
      <w:r w:rsidRPr="00083739">
        <w:rPr>
          <w:rFonts w:cs="Times New Roman"/>
          <w:noProof/>
          <w:lang w:val="sk-SK"/>
        </w:rPr>
        <w:t>nvestície sa ukončí do 31</w:t>
      </w:r>
      <w:r w:rsidR="00083739" w:rsidRPr="00083739">
        <w:rPr>
          <w:rFonts w:cs="Times New Roman"/>
          <w:noProof/>
          <w:lang w:val="sk-SK"/>
        </w:rPr>
        <w:t>. decembra</w:t>
      </w:r>
      <w:r w:rsidRPr="00083739">
        <w:rPr>
          <w:rFonts w:cs="Times New Roman"/>
          <w:noProof/>
          <w:lang w:val="sk-SK"/>
        </w:rPr>
        <w:t xml:space="preserve"> 2025.</w:t>
      </w:r>
    </w:p>
    <w:p w14:paraId="6EA91051" w14:textId="7777777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Modernizácia intervencií pre regionálne prístavy (ID opatrenia 16975)</w:t>
      </w:r>
    </w:p>
    <w:p w14:paraId="66E3EA1C" w14:textId="5F3D2259" w:rsidR="002D49B0" w:rsidRPr="00083739" w:rsidRDefault="00BF4125">
      <w:pPr>
        <w:pStyle w:val="P68B1DB1-Normal5"/>
        <w:spacing w:before="120" w:after="120" w:line="240" w:lineRule="auto"/>
        <w:jc w:val="both"/>
        <w:rPr>
          <w:rFonts w:cs="Times New Roman"/>
          <w:noProof/>
          <w:lang w:val="sk-SK"/>
        </w:rPr>
      </w:pPr>
      <w:r w:rsidRPr="00083739">
        <w:rPr>
          <w:rFonts w:cs="Times New Roman"/>
          <w:noProof/>
          <w:lang w:val="sk-SK"/>
        </w:rPr>
        <w:t>Investícia zahŕňa intervencie na modernizáciu regionálnych prístavov</w:t>
      </w:r>
      <w:r w:rsidR="00083739" w:rsidRPr="00083739">
        <w:rPr>
          <w:rFonts w:cs="Times New Roman"/>
          <w:noProof/>
          <w:lang w:val="sk-SK"/>
        </w:rPr>
        <w:t xml:space="preserve"> s </w:t>
      </w:r>
      <w:r w:rsidRPr="00083739">
        <w:rPr>
          <w:rFonts w:cs="Times New Roman"/>
          <w:noProof/>
          <w:lang w:val="sk-SK"/>
        </w:rPr>
        <w:t xml:space="preserve">cieľom podporiť miestny hospodársky rozvoj vrátane rozvoja </w:t>
      </w:r>
      <w:r w:rsidRPr="00083739">
        <w:rPr>
          <w:rFonts w:cs="Times New Roman"/>
          <w:noProof/>
          <w:lang w:val="sk-SK"/>
        </w:rPr>
        <w:t>cestovného ruchu. Zásahy sa vykonávajú</w:t>
      </w:r>
      <w:r w:rsidR="00083739" w:rsidRPr="00083739">
        <w:rPr>
          <w:rFonts w:cs="Times New Roman"/>
          <w:noProof/>
          <w:lang w:val="sk-SK"/>
        </w:rPr>
        <w:t xml:space="preserve"> v </w:t>
      </w:r>
      <w:r w:rsidRPr="00083739">
        <w:rPr>
          <w:rFonts w:cs="Times New Roman"/>
          <w:noProof/>
          <w:lang w:val="sk-SK"/>
        </w:rPr>
        <w:t>trinástich prístavoch</w:t>
      </w:r>
      <w:r w:rsidR="00083739" w:rsidRPr="00083739">
        <w:rPr>
          <w:rFonts w:cs="Times New Roman"/>
          <w:noProof/>
          <w:lang w:val="sk-SK"/>
        </w:rPr>
        <w:t xml:space="preserve"> v </w:t>
      </w:r>
      <w:r w:rsidRPr="00083739">
        <w:rPr>
          <w:rFonts w:cs="Times New Roman"/>
          <w:noProof/>
          <w:lang w:val="sk-SK"/>
        </w:rPr>
        <w:t>celej krajine</w:t>
      </w:r>
      <w:r w:rsidR="00083739" w:rsidRPr="00083739">
        <w:rPr>
          <w:rFonts w:cs="Times New Roman"/>
          <w:noProof/>
          <w:lang w:val="sk-SK"/>
        </w:rPr>
        <w:t xml:space="preserve"> a </w:t>
      </w:r>
      <w:r w:rsidRPr="00083739">
        <w:rPr>
          <w:rFonts w:cs="Times New Roman"/>
          <w:noProof/>
          <w:lang w:val="sk-SK"/>
        </w:rPr>
        <w:t>pozostávajú zo zlepšení infraštruktúry, ako je modernizácia</w:t>
      </w:r>
      <w:r w:rsidR="00083739" w:rsidRPr="00083739">
        <w:rPr>
          <w:rFonts w:cs="Times New Roman"/>
          <w:noProof/>
          <w:lang w:val="sk-SK"/>
        </w:rPr>
        <w:t xml:space="preserve"> a </w:t>
      </w:r>
      <w:r w:rsidRPr="00083739">
        <w:rPr>
          <w:rFonts w:cs="Times New Roman"/>
          <w:noProof/>
          <w:lang w:val="sk-SK"/>
        </w:rPr>
        <w:t>obnova prístavných hrádzí na uľahčenie nalodenia, zlomy vĺn, inštalácia plávajúcich mól, oprava mól</w:t>
      </w:r>
      <w:r w:rsidR="00083739" w:rsidRPr="00083739">
        <w:rPr>
          <w:rFonts w:cs="Times New Roman"/>
          <w:noProof/>
          <w:lang w:val="sk-SK"/>
        </w:rPr>
        <w:t xml:space="preserve"> v </w:t>
      </w:r>
      <w:r w:rsidRPr="00083739">
        <w:rPr>
          <w:rFonts w:cs="Times New Roman"/>
          <w:noProof/>
          <w:lang w:val="sk-SK"/>
        </w:rPr>
        <w:t>dôsledku pr</w:t>
      </w:r>
      <w:r w:rsidRPr="00083739">
        <w:rPr>
          <w:rFonts w:cs="Times New Roman"/>
          <w:noProof/>
          <w:lang w:val="sk-SK"/>
        </w:rPr>
        <w:t>oblémov so sedimentáciou, výstavba servisných ramp, nábreží</w:t>
      </w:r>
      <w:r w:rsidR="00083739" w:rsidRPr="00083739">
        <w:rPr>
          <w:rFonts w:cs="Times New Roman"/>
          <w:noProof/>
          <w:lang w:val="sk-SK"/>
        </w:rPr>
        <w:t xml:space="preserve"> a </w:t>
      </w:r>
      <w:r w:rsidRPr="00083739">
        <w:rPr>
          <w:rFonts w:cs="Times New Roman"/>
          <w:noProof/>
          <w:lang w:val="sk-SK"/>
        </w:rPr>
        <w:t>práce na ochranu pobrežia, obnova povodia prístavu po rozsiahlych záplavách. Očakáva sa, že toto opatrenie výrazne nenaruší environmentálne ciele</w:t>
      </w:r>
      <w:r w:rsidR="00083739" w:rsidRPr="00083739">
        <w:rPr>
          <w:rFonts w:cs="Times New Roman"/>
          <w:noProof/>
          <w:lang w:val="sk-SK"/>
        </w:rPr>
        <w:t xml:space="preserve"> v </w:t>
      </w:r>
      <w:r w:rsidRPr="00083739">
        <w:rPr>
          <w:rFonts w:cs="Times New Roman"/>
          <w:noProof/>
          <w:lang w:val="sk-SK"/>
        </w:rPr>
        <w:t>zmysle článku 17 nariadenia (EÚ) 2020/852, pri</w:t>
      </w:r>
      <w:r w:rsidRPr="00083739">
        <w:rPr>
          <w:rFonts w:cs="Times New Roman"/>
          <w:noProof/>
          <w:lang w:val="sk-SK"/>
        </w:rPr>
        <w:t>čom sa zohľadní opis opatrenia</w:t>
      </w:r>
      <w:r w:rsidR="00083739" w:rsidRPr="00083739">
        <w:rPr>
          <w:rFonts w:cs="Times New Roman"/>
          <w:noProof/>
          <w:lang w:val="sk-SK"/>
        </w:rPr>
        <w:t xml:space="preserve"> a </w:t>
      </w:r>
      <w:r w:rsidRPr="00083739">
        <w:rPr>
          <w:rFonts w:cs="Times New Roman"/>
          <w:noProof/>
          <w:lang w:val="sk-SK"/>
        </w:rPr>
        <w:t>zmierňujúce kroky stanovené</w:t>
      </w:r>
      <w:r w:rsidR="00083739" w:rsidRPr="00083739">
        <w:rPr>
          <w:rFonts w:cs="Times New Roman"/>
          <w:noProof/>
          <w:lang w:val="sk-SK"/>
        </w:rPr>
        <w:t xml:space="preserve"> v </w:t>
      </w:r>
      <w:r w:rsidRPr="00083739">
        <w:rPr>
          <w:rFonts w:cs="Times New Roman"/>
          <w:noProof/>
          <w:lang w:val="sk-SK"/>
        </w:rPr>
        <w:t>pláne podpory obnovy</w:t>
      </w:r>
      <w:r w:rsidR="00083739" w:rsidRPr="00083739">
        <w:rPr>
          <w:rFonts w:cs="Times New Roman"/>
          <w:noProof/>
          <w:lang w:val="sk-SK"/>
        </w:rPr>
        <w:t xml:space="preserve"> a </w:t>
      </w:r>
      <w:r w:rsidRPr="00083739">
        <w:rPr>
          <w:rFonts w:cs="Times New Roman"/>
          <w:noProof/>
          <w:lang w:val="sk-SK"/>
        </w:rPr>
        <w:t>odolnosti</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 xml:space="preserve">technickým usmernením „výrazne nenarušiť“ (2021/C58/01). Opatrenie predovšetkým podlieha posudzovaniu vplyvov na životné prostredie (EIA) podľa </w:t>
      </w:r>
      <w:r w:rsidRPr="00083739">
        <w:rPr>
          <w:rFonts w:cs="Times New Roman"/>
          <w:noProof/>
          <w:lang w:val="sk-SK"/>
        </w:rPr>
        <w:t>smernice 2011/92/EÚ</w:t>
      </w:r>
      <w:r w:rsidR="00083739" w:rsidRPr="00083739">
        <w:rPr>
          <w:rFonts w:cs="Times New Roman"/>
          <w:noProof/>
          <w:lang w:val="sk-SK"/>
        </w:rPr>
        <w:t xml:space="preserve"> s </w:t>
      </w:r>
      <w:r w:rsidRPr="00083739">
        <w:rPr>
          <w:rFonts w:cs="Times New Roman"/>
          <w:noProof/>
          <w:lang w:val="sk-SK"/>
        </w:rPr>
        <w:t>cieľom zabezpečiť, aby sa do projektu začlenila zásada „výrazne nenarušiť“</w:t>
      </w:r>
      <w:r w:rsidR="00083739" w:rsidRPr="00083739">
        <w:rPr>
          <w:rFonts w:cs="Times New Roman"/>
          <w:noProof/>
          <w:lang w:val="sk-SK"/>
        </w:rPr>
        <w:t xml:space="preserve"> a </w:t>
      </w:r>
      <w:r w:rsidRPr="00083739">
        <w:rPr>
          <w:rFonts w:cs="Times New Roman"/>
          <w:noProof/>
          <w:lang w:val="sk-SK"/>
        </w:rPr>
        <w:t>aby sa dôsledne dodržiavala vo fázach výstavby, prevádzky</w:t>
      </w:r>
      <w:r w:rsidR="00083739" w:rsidRPr="00083739">
        <w:rPr>
          <w:rFonts w:cs="Times New Roman"/>
          <w:noProof/>
          <w:lang w:val="sk-SK"/>
        </w:rPr>
        <w:t xml:space="preserve"> a </w:t>
      </w:r>
      <w:r w:rsidRPr="00083739">
        <w:rPr>
          <w:rFonts w:cs="Times New Roman"/>
          <w:noProof/>
          <w:lang w:val="sk-SK"/>
        </w:rPr>
        <w:t>vyraďovania infraštruktúry</w:t>
      </w:r>
      <w:r w:rsidR="00083739" w:rsidRPr="00083739">
        <w:rPr>
          <w:rFonts w:cs="Times New Roman"/>
          <w:noProof/>
          <w:lang w:val="sk-SK"/>
        </w:rPr>
        <w:t xml:space="preserve"> z </w:t>
      </w:r>
      <w:r w:rsidRPr="00083739">
        <w:rPr>
          <w:rFonts w:cs="Times New Roman"/>
          <w:noProof/>
          <w:lang w:val="sk-SK"/>
        </w:rPr>
        <w:t>prevádzky. Realizácia investície sa ukončí do 31</w:t>
      </w:r>
      <w:r w:rsidR="00083739" w:rsidRPr="00083739">
        <w:rPr>
          <w:rFonts w:cs="Times New Roman"/>
          <w:noProof/>
          <w:lang w:val="sk-SK"/>
        </w:rPr>
        <w:t>. decembra</w:t>
      </w:r>
      <w:r w:rsidRPr="00083739">
        <w:rPr>
          <w:rFonts w:cs="Times New Roman"/>
          <w:noProof/>
          <w:lang w:val="sk-SK"/>
        </w:rPr>
        <w:t xml:space="preserve"> 2025.</w:t>
      </w:r>
    </w:p>
    <w:p w14:paraId="50992995" w14:textId="7777777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w:t>
      </w:r>
      <w:r w:rsidRPr="00083739">
        <w:rPr>
          <w:rFonts w:cs="Times New Roman"/>
          <w:b/>
          <w:noProof/>
          <w:lang w:val="sk-SK"/>
        </w:rPr>
        <w:t>estície:</w:t>
      </w:r>
      <w:r w:rsidRPr="00083739">
        <w:rPr>
          <w:rFonts w:cs="Times New Roman"/>
          <w:noProof/>
          <w:lang w:val="sk-SK"/>
        </w:rPr>
        <w:t xml:space="preserve"> Hlavný plán obnovy gréckeho vozového parku osobnej lodnej dopravy (ID opatrenia 16944)</w:t>
      </w:r>
    </w:p>
    <w:p w14:paraId="1EDD2B2C" w14:textId="44DAC6ED" w:rsidR="002D49B0" w:rsidRPr="00083739" w:rsidRDefault="00BF4125">
      <w:pPr>
        <w:pStyle w:val="P68B1DB1-Normal4"/>
        <w:spacing w:before="120" w:after="120" w:line="240" w:lineRule="auto"/>
        <w:jc w:val="both"/>
        <w:rPr>
          <w:rFonts w:cs="Times New Roman"/>
          <w:noProof/>
          <w:szCs w:val="24"/>
          <w:lang w:val="sk-SK"/>
        </w:rPr>
      </w:pPr>
      <w:r w:rsidRPr="00083739">
        <w:rPr>
          <w:rFonts w:cs="Times New Roman"/>
          <w:noProof/>
          <w:lang w:val="sk-SK"/>
        </w:rPr>
        <w:t>Investícia pozostáva</w:t>
      </w:r>
      <w:r w:rsidR="00083739" w:rsidRPr="00083739">
        <w:rPr>
          <w:rFonts w:cs="Times New Roman"/>
          <w:noProof/>
          <w:lang w:val="sk-SK"/>
        </w:rPr>
        <w:t xml:space="preserve"> z </w:t>
      </w:r>
      <w:r w:rsidRPr="00083739">
        <w:rPr>
          <w:rFonts w:cs="Times New Roman"/>
          <w:noProof/>
          <w:lang w:val="sk-SK"/>
        </w:rPr>
        <w:t>prípravy podrobnej štúdie, stratégie</w:t>
      </w:r>
      <w:r w:rsidR="00083739" w:rsidRPr="00083739">
        <w:rPr>
          <w:rFonts w:cs="Times New Roman"/>
          <w:noProof/>
          <w:lang w:val="sk-SK"/>
        </w:rPr>
        <w:t xml:space="preserve"> a </w:t>
      </w:r>
      <w:r w:rsidRPr="00083739">
        <w:rPr>
          <w:rFonts w:cs="Times New Roman"/>
          <w:noProof/>
          <w:lang w:val="sk-SK"/>
        </w:rPr>
        <w:t>rozvoja mechanizmu financovania postupnej obnovy flotily osobných lodí krajiny.</w:t>
      </w:r>
      <w:r w:rsidR="00083739" w:rsidRPr="00083739">
        <w:rPr>
          <w:rFonts w:cs="Times New Roman"/>
          <w:noProof/>
          <w:lang w:val="sk-SK"/>
        </w:rPr>
        <w:t xml:space="preserve"> V </w:t>
      </w:r>
      <w:r w:rsidRPr="00083739">
        <w:rPr>
          <w:rFonts w:cs="Times New Roman"/>
          <w:noProof/>
          <w:lang w:val="sk-SK"/>
        </w:rPr>
        <w:t>štúdii sa vymedz</w:t>
      </w:r>
      <w:r w:rsidRPr="00083739">
        <w:rPr>
          <w:rFonts w:cs="Times New Roman"/>
          <w:noProof/>
          <w:lang w:val="sk-SK"/>
        </w:rPr>
        <w:t>ia príslušné potreby modernizácie plavidiel</w:t>
      </w:r>
      <w:r w:rsidR="00083739" w:rsidRPr="00083739">
        <w:rPr>
          <w:rFonts w:cs="Times New Roman"/>
          <w:noProof/>
          <w:lang w:val="sk-SK"/>
        </w:rPr>
        <w:t xml:space="preserve"> a </w:t>
      </w:r>
      <w:r w:rsidRPr="00083739">
        <w:rPr>
          <w:rFonts w:cs="Times New Roman"/>
          <w:noProof/>
          <w:lang w:val="sk-SK"/>
        </w:rPr>
        <w:t>horizont investície, finančné potreby prevádzkovateľov</w:t>
      </w:r>
      <w:r w:rsidR="00083739" w:rsidRPr="00083739">
        <w:rPr>
          <w:rFonts w:cs="Times New Roman"/>
          <w:noProof/>
          <w:lang w:val="sk-SK"/>
        </w:rPr>
        <w:t xml:space="preserve"> a </w:t>
      </w:r>
      <w:r w:rsidRPr="00083739">
        <w:rPr>
          <w:rFonts w:cs="Times New Roman"/>
          <w:noProof/>
          <w:lang w:val="sk-SK"/>
        </w:rPr>
        <w:t>potenciálne príjmy, ktoré sa získajú prostredníctvom plánu obnovy, vymedzí sa obnova infraštruktúry, ktorá by sa mala uskutočniť</w:t>
      </w:r>
      <w:r w:rsidR="00083739" w:rsidRPr="00083739">
        <w:rPr>
          <w:rFonts w:cs="Times New Roman"/>
          <w:noProof/>
          <w:lang w:val="sk-SK"/>
        </w:rPr>
        <w:t xml:space="preserve"> v </w:t>
      </w:r>
      <w:r w:rsidRPr="00083739">
        <w:rPr>
          <w:rFonts w:cs="Times New Roman"/>
          <w:noProof/>
          <w:lang w:val="sk-SK"/>
        </w:rPr>
        <w:t>prístavoch</w:t>
      </w:r>
      <w:r w:rsidR="00083739" w:rsidRPr="00083739">
        <w:rPr>
          <w:rFonts w:cs="Times New Roman"/>
          <w:noProof/>
          <w:lang w:val="sk-SK"/>
        </w:rPr>
        <w:t xml:space="preserve"> s </w:t>
      </w:r>
      <w:r w:rsidRPr="00083739">
        <w:rPr>
          <w:rFonts w:cs="Times New Roman"/>
          <w:noProof/>
          <w:lang w:val="sk-SK"/>
        </w:rPr>
        <w:t>cieľom po</w:t>
      </w:r>
      <w:r w:rsidRPr="00083739">
        <w:rPr>
          <w:rFonts w:cs="Times New Roman"/>
          <w:noProof/>
          <w:lang w:val="sk-SK"/>
        </w:rPr>
        <w:t>dporiť prevádzku nových plavidiel,</w:t>
      </w:r>
      <w:r w:rsidR="00083739" w:rsidRPr="00083739">
        <w:rPr>
          <w:rFonts w:cs="Times New Roman"/>
          <w:noProof/>
          <w:lang w:val="sk-SK"/>
        </w:rPr>
        <w:t xml:space="preserve"> a </w:t>
      </w:r>
      <w:r w:rsidRPr="00083739">
        <w:rPr>
          <w:rFonts w:cs="Times New Roman"/>
          <w:noProof/>
          <w:lang w:val="sk-SK"/>
        </w:rPr>
        <w:t>vytvorí sa mechanizmus financovania na uľahčenie prístupu prevádzkovateľov</w:t>
      </w:r>
      <w:r w:rsidR="00083739" w:rsidRPr="00083739">
        <w:rPr>
          <w:rFonts w:cs="Times New Roman"/>
          <w:noProof/>
          <w:lang w:val="sk-SK"/>
        </w:rPr>
        <w:t xml:space="preserve"> k </w:t>
      </w:r>
      <w:r w:rsidRPr="00083739">
        <w:rPr>
          <w:rFonts w:cs="Times New Roman"/>
          <w:noProof/>
          <w:lang w:val="sk-SK"/>
        </w:rPr>
        <w:t>financovaniu. Implementácia tejto investície sa dokončí do 30</w:t>
      </w:r>
      <w:r w:rsidR="00083739" w:rsidRPr="00083739">
        <w:rPr>
          <w:rFonts w:cs="Times New Roman"/>
          <w:noProof/>
          <w:lang w:val="sk-SK"/>
        </w:rPr>
        <w:t>. júna</w:t>
      </w:r>
      <w:r w:rsidRPr="00083739">
        <w:rPr>
          <w:rFonts w:cs="Times New Roman"/>
          <w:noProof/>
          <w:lang w:val="sk-SK"/>
        </w:rPr>
        <w:t xml:space="preserve"> 2025.</w:t>
      </w:r>
    </w:p>
    <w:p w14:paraId="25CDFBFF" w14:textId="0C953DA0"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Reforma:</w:t>
      </w:r>
      <w:r w:rsidRPr="00083739">
        <w:rPr>
          <w:rFonts w:cs="Times New Roman"/>
          <w:noProof/>
          <w:lang w:val="sk-SK"/>
        </w:rPr>
        <w:t xml:space="preserve"> Organizačná reforma</w:t>
      </w:r>
      <w:r w:rsidR="00083739" w:rsidRPr="00083739">
        <w:rPr>
          <w:rFonts w:cs="Times New Roman"/>
          <w:noProof/>
          <w:lang w:val="sk-SK"/>
        </w:rPr>
        <w:t xml:space="preserve"> v </w:t>
      </w:r>
      <w:r w:rsidRPr="00083739">
        <w:rPr>
          <w:rFonts w:cs="Times New Roman"/>
          <w:noProof/>
          <w:lang w:val="sk-SK"/>
        </w:rPr>
        <w:t>železničnom sektore (ID opatrenia 169</w:t>
      </w:r>
      <w:r w:rsidRPr="00083739">
        <w:rPr>
          <w:rFonts w:cs="Times New Roman"/>
          <w:noProof/>
          <w:lang w:val="sk-SK"/>
        </w:rPr>
        <w:t>82)</w:t>
      </w:r>
    </w:p>
    <w:p w14:paraId="6A492446" w14:textId="77777777"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Hlavné akcie projektu sú:</w:t>
      </w:r>
    </w:p>
    <w:p w14:paraId="13018BF1" w14:textId="45C6175E" w:rsidR="002D49B0" w:rsidRPr="00083739" w:rsidRDefault="00BF4125">
      <w:pPr>
        <w:pStyle w:val="P68B1DB1-Normal4"/>
        <w:numPr>
          <w:ilvl w:val="0"/>
          <w:numId w:val="63"/>
        </w:numPr>
        <w:spacing w:before="120" w:after="120" w:line="240" w:lineRule="auto"/>
        <w:ind w:left="360"/>
        <w:jc w:val="both"/>
        <w:rPr>
          <w:rFonts w:cs="Times New Roman"/>
          <w:noProof/>
          <w:lang w:val="sk-SK"/>
        </w:rPr>
      </w:pPr>
      <w:r w:rsidRPr="00083739">
        <w:rPr>
          <w:rFonts w:cs="Times New Roman"/>
          <w:noProof/>
          <w:lang w:val="sk-SK"/>
        </w:rPr>
        <w:t>Prijatie plánu</w:t>
      </w:r>
      <w:r w:rsidR="00083739" w:rsidRPr="00083739">
        <w:rPr>
          <w:rFonts w:cs="Times New Roman"/>
          <w:noProof/>
          <w:lang w:val="sk-SK"/>
        </w:rPr>
        <w:t xml:space="preserve"> s </w:t>
      </w:r>
      <w:r w:rsidRPr="00083739">
        <w:rPr>
          <w:rFonts w:cs="Times New Roman"/>
          <w:noProof/>
          <w:lang w:val="sk-SK"/>
        </w:rPr>
        <w:t>krokmi na úplnú reorganizáciu spoločností OSE</w:t>
      </w:r>
      <w:r w:rsidR="00083739" w:rsidRPr="00083739">
        <w:rPr>
          <w:rFonts w:cs="Times New Roman"/>
          <w:noProof/>
          <w:lang w:val="sk-SK"/>
        </w:rPr>
        <w:t xml:space="preserve"> a </w:t>
      </w:r>
      <w:r w:rsidRPr="00083739">
        <w:rPr>
          <w:rFonts w:cs="Times New Roman"/>
          <w:noProof/>
          <w:lang w:val="sk-SK"/>
        </w:rPr>
        <w:t>ERGOSE.</w:t>
      </w:r>
    </w:p>
    <w:p w14:paraId="3D624F5A" w14:textId="77777777" w:rsidR="002D49B0" w:rsidRPr="00083739" w:rsidRDefault="00BF4125">
      <w:pPr>
        <w:pStyle w:val="P68B1DB1-Normal4"/>
        <w:numPr>
          <w:ilvl w:val="0"/>
          <w:numId w:val="63"/>
        </w:numPr>
        <w:spacing w:before="120" w:after="120" w:line="240" w:lineRule="auto"/>
        <w:ind w:left="360"/>
        <w:jc w:val="both"/>
        <w:rPr>
          <w:rFonts w:cs="Times New Roman"/>
          <w:noProof/>
          <w:lang w:val="sk-SK"/>
        </w:rPr>
      </w:pPr>
      <w:r w:rsidRPr="00083739">
        <w:rPr>
          <w:rFonts w:cs="Times New Roman"/>
          <w:noProof/>
          <w:lang w:val="sk-SK"/>
        </w:rPr>
        <w:t>Nábor špecializovaného poradcu na pomoc pri vykonávaní reformy</w:t>
      </w:r>
    </w:p>
    <w:p w14:paraId="7F8B0F60" w14:textId="12F8A29A" w:rsidR="002D49B0" w:rsidRPr="00083739" w:rsidRDefault="00BF4125">
      <w:pPr>
        <w:pStyle w:val="P68B1DB1-Normal4"/>
        <w:numPr>
          <w:ilvl w:val="0"/>
          <w:numId w:val="63"/>
        </w:numPr>
        <w:spacing w:before="120" w:after="120" w:line="240" w:lineRule="auto"/>
        <w:ind w:left="360"/>
        <w:jc w:val="both"/>
        <w:rPr>
          <w:rFonts w:cs="Times New Roman"/>
          <w:noProof/>
          <w:szCs w:val="24"/>
          <w:lang w:val="sk-SK"/>
        </w:rPr>
      </w:pPr>
      <w:r w:rsidRPr="00083739">
        <w:rPr>
          <w:rFonts w:cs="Times New Roman"/>
          <w:noProof/>
          <w:lang w:val="sk-SK"/>
        </w:rPr>
        <w:t>Nadobudnutie účinnosti primárnych</w:t>
      </w:r>
      <w:r w:rsidR="00083739" w:rsidRPr="00083739">
        <w:rPr>
          <w:rFonts w:cs="Times New Roman"/>
          <w:noProof/>
          <w:lang w:val="sk-SK"/>
        </w:rPr>
        <w:t xml:space="preserve"> a </w:t>
      </w:r>
      <w:r w:rsidRPr="00083739">
        <w:rPr>
          <w:rFonts w:cs="Times New Roman"/>
          <w:noProof/>
          <w:lang w:val="sk-SK"/>
        </w:rPr>
        <w:t xml:space="preserve">sekundárnych právnych predpisov týkajúcich sa reformy </w:t>
      </w:r>
      <w:r w:rsidRPr="00083739">
        <w:rPr>
          <w:rFonts w:cs="Times New Roman"/>
          <w:noProof/>
          <w:lang w:val="sk-SK"/>
        </w:rPr>
        <w:t>týchto dvoch spoločností, ktoré im umožnia rozvíjať, prevádzkovať</w:t>
      </w:r>
      <w:r w:rsidR="00083739" w:rsidRPr="00083739">
        <w:rPr>
          <w:rFonts w:cs="Times New Roman"/>
          <w:noProof/>
          <w:lang w:val="sk-SK"/>
        </w:rPr>
        <w:t xml:space="preserve"> a </w:t>
      </w:r>
      <w:r w:rsidRPr="00083739">
        <w:rPr>
          <w:rFonts w:cs="Times New Roman"/>
          <w:noProof/>
          <w:lang w:val="sk-SK"/>
        </w:rPr>
        <w:t>udržiavať modernú železničnú sieť.</w:t>
      </w:r>
    </w:p>
    <w:p w14:paraId="274B886E" w14:textId="17D6B0A9" w:rsidR="00083739" w:rsidRPr="00083739" w:rsidRDefault="00BF4125">
      <w:pPr>
        <w:pStyle w:val="P68B1DB1-Normal4"/>
        <w:numPr>
          <w:ilvl w:val="0"/>
          <w:numId w:val="63"/>
        </w:numPr>
        <w:spacing w:before="120" w:after="120" w:line="240" w:lineRule="auto"/>
        <w:ind w:left="360"/>
        <w:jc w:val="both"/>
        <w:rPr>
          <w:rFonts w:cs="Times New Roman"/>
          <w:noProof/>
          <w:lang w:val="sk-SK"/>
        </w:rPr>
      </w:pPr>
      <w:r w:rsidRPr="00083739">
        <w:rPr>
          <w:rFonts w:cs="Times New Roman"/>
          <w:noProof/>
          <w:lang w:val="sk-SK"/>
        </w:rPr>
        <w:t>Vykonávanie reformy vymedzenej</w:t>
      </w:r>
      <w:r w:rsidR="00083739" w:rsidRPr="00083739">
        <w:rPr>
          <w:rFonts w:cs="Times New Roman"/>
          <w:noProof/>
          <w:lang w:val="sk-SK"/>
        </w:rPr>
        <w:t xml:space="preserve"> v </w:t>
      </w:r>
      <w:r w:rsidRPr="00083739">
        <w:rPr>
          <w:rFonts w:cs="Times New Roman"/>
          <w:noProof/>
          <w:lang w:val="sk-SK"/>
        </w:rPr>
        <w:t>primárnych</w:t>
      </w:r>
      <w:r w:rsidR="00083739" w:rsidRPr="00083739">
        <w:rPr>
          <w:rFonts w:cs="Times New Roman"/>
          <w:noProof/>
          <w:lang w:val="sk-SK"/>
        </w:rPr>
        <w:t xml:space="preserve"> a </w:t>
      </w:r>
      <w:r w:rsidRPr="00083739">
        <w:rPr>
          <w:rFonts w:cs="Times New Roman"/>
          <w:noProof/>
          <w:lang w:val="sk-SK"/>
        </w:rPr>
        <w:t>sekundárnych právnych predpisoch</w:t>
      </w:r>
      <w:r w:rsidR="00083739" w:rsidRPr="00083739">
        <w:rPr>
          <w:rFonts w:cs="Times New Roman"/>
          <w:noProof/>
          <w:lang w:val="sk-SK"/>
        </w:rPr>
        <w:t>.</w:t>
      </w:r>
    </w:p>
    <w:p w14:paraId="03B471EA" w14:textId="22EF0411" w:rsidR="002D49B0" w:rsidRPr="00083739" w:rsidRDefault="00BF4125">
      <w:pPr>
        <w:pStyle w:val="P68B1DB1-Normal4"/>
        <w:spacing w:before="120" w:after="120" w:line="240" w:lineRule="auto"/>
        <w:jc w:val="both"/>
        <w:rPr>
          <w:rFonts w:eastAsia="Times New Roman" w:cs="Times New Roman"/>
          <w:noProof/>
          <w:szCs w:val="24"/>
          <w:lang w:val="sk-SK"/>
        </w:rPr>
      </w:pPr>
      <w:r w:rsidRPr="00083739">
        <w:rPr>
          <w:rFonts w:cs="Times New Roman"/>
          <w:noProof/>
          <w:lang w:val="sk-SK"/>
        </w:rPr>
        <w:t>Reorganizácia sa môže uskutočniť prostredníctvom úplnej integrácie ERGOSE</w:t>
      </w:r>
      <w:r w:rsidR="00083739" w:rsidRPr="00083739">
        <w:rPr>
          <w:rFonts w:cs="Times New Roman"/>
          <w:noProof/>
          <w:lang w:val="sk-SK"/>
        </w:rPr>
        <w:t xml:space="preserve"> s </w:t>
      </w:r>
      <w:r w:rsidRPr="00083739">
        <w:rPr>
          <w:rFonts w:cs="Times New Roman"/>
          <w:noProof/>
          <w:lang w:val="sk-SK"/>
        </w:rPr>
        <w:t>OSE.</w:t>
      </w:r>
    </w:p>
    <w:p w14:paraId="3C82E318" w14:textId="20574E8F" w:rsidR="002D49B0" w:rsidRPr="00083739" w:rsidRDefault="00BF4125">
      <w:pPr>
        <w:pStyle w:val="P68B1DB1-Normal4"/>
        <w:spacing w:before="120" w:after="120" w:line="240" w:lineRule="auto"/>
        <w:jc w:val="both"/>
        <w:rPr>
          <w:rFonts w:cs="Times New Roman"/>
          <w:noProof/>
          <w:szCs w:val="24"/>
          <w:lang w:val="sk-SK"/>
        </w:rPr>
      </w:pPr>
      <w:r w:rsidRPr="00083739">
        <w:rPr>
          <w:rFonts w:cs="Times New Roman"/>
          <w:noProof/>
          <w:lang w:val="sk-SK"/>
        </w:rPr>
        <w:t>Implementácia tejto reformy sa dokončí do 31</w:t>
      </w:r>
      <w:r w:rsidR="00083739" w:rsidRPr="00083739">
        <w:rPr>
          <w:rFonts w:cs="Times New Roman"/>
          <w:noProof/>
          <w:lang w:val="sk-SK"/>
        </w:rPr>
        <w:t>. decembra</w:t>
      </w:r>
      <w:r w:rsidRPr="00083739">
        <w:rPr>
          <w:rFonts w:cs="Times New Roman"/>
          <w:noProof/>
          <w:lang w:val="sk-SK"/>
        </w:rPr>
        <w:t xml:space="preserve"> 2025. Cieľom reformy je zvýšiť bezpečnosť, efektívnosť, integráciu, modernosť</w:t>
      </w:r>
      <w:r w:rsidR="00083739" w:rsidRPr="00083739">
        <w:rPr>
          <w:rFonts w:cs="Times New Roman"/>
          <w:noProof/>
          <w:lang w:val="sk-SK"/>
        </w:rPr>
        <w:t xml:space="preserve"> a </w:t>
      </w:r>
      <w:r w:rsidRPr="00083739">
        <w:rPr>
          <w:rFonts w:cs="Times New Roman"/>
          <w:noProof/>
          <w:lang w:val="sk-SK"/>
        </w:rPr>
        <w:t>schopnosť gréckeho železničného sektora reagovať na dopyt zákazníkov. Reforma sa podporí viacnásobnou rámcovou zm</w:t>
      </w:r>
      <w:r w:rsidRPr="00083739">
        <w:rPr>
          <w:rFonts w:cs="Times New Roman"/>
          <w:noProof/>
          <w:lang w:val="sk-SK"/>
        </w:rPr>
        <w:t>luvou</w:t>
      </w:r>
      <w:r w:rsidR="00083739" w:rsidRPr="00083739">
        <w:rPr>
          <w:rFonts w:cs="Times New Roman"/>
          <w:noProof/>
          <w:lang w:val="sk-SK"/>
        </w:rPr>
        <w:t xml:space="preserve"> o </w:t>
      </w:r>
      <w:r w:rsidRPr="00083739">
        <w:rPr>
          <w:rFonts w:cs="Times New Roman"/>
          <w:noProof/>
          <w:lang w:val="sk-SK"/>
        </w:rPr>
        <w:t>reštrukturalizácii sektora železničnej infraštruktúry</w:t>
      </w:r>
      <w:r w:rsidR="00083739" w:rsidRPr="00083739">
        <w:rPr>
          <w:rFonts w:cs="Times New Roman"/>
          <w:noProof/>
          <w:lang w:val="sk-SK"/>
        </w:rPr>
        <w:t xml:space="preserve"> v </w:t>
      </w:r>
      <w:r w:rsidRPr="00083739">
        <w:rPr>
          <w:rFonts w:cs="Times New Roman"/>
          <w:noProof/>
          <w:lang w:val="sk-SK"/>
        </w:rPr>
        <w:t>Grécku.</w:t>
      </w:r>
    </w:p>
    <w:p w14:paraId="044ED555" w14:textId="7777777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Reforma:</w:t>
      </w:r>
      <w:r w:rsidRPr="00083739">
        <w:rPr>
          <w:rFonts w:cs="Times New Roman"/>
          <w:noProof/>
          <w:lang w:val="sk-SK"/>
        </w:rPr>
        <w:t xml:space="preserve"> Zmena právneho rámca na prilákanie strategických investícií (ID opatrenia 16593)</w:t>
      </w:r>
    </w:p>
    <w:p w14:paraId="5FBAD19B" w14:textId="5D1B3A76" w:rsidR="00083739" w:rsidRPr="00083739" w:rsidRDefault="00BF4125">
      <w:pPr>
        <w:pStyle w:val="P68B1DB1-Normal5"/>
        <w:spacing w:before="120" w:after="120" w:line="240" w:lineRule="auto"/>
        <w:jc w:val="both"/>
        <w:rPr>
          <w:rFonts w:cs="Times New Roman"/>
          <w:noProof/>
          <w:lang w:val="sk-SK"/>
        </w:rPr>
      </w:pPr>
      <w:r w:rsidRPr="00083739">
        <w:rPr>
          <w:rFonts w:cs="Times New Roman"/>
          <w:noProof/>
          <w:lang w:val="sk-SK"/>
        </w:rPr>
        <w:t>Cieľom reformy je propagovať Grécko ako atraktívnu destináciu pre potenciálnych investorov. Re</w:t>
      </w:r>
      <w:r w:rsidRPr="00083739">
        <w:rPr>
          <w:rFonts w:cs="Times New Roman"/>
          <w:noProof/>
          <w:lang w:val="sk-SK"/>
        </w:rPr>
        <w:t>formou sa zreviduje právny rámec na prilákanie strategických investícií</w:t>
      </w:r>
      <w:r w:rsidR="00083739" w:rsidRPr="00083739">
        <w:rPr>
          <w:rFonts w:cs="Times New Roman"/>
          <w:noProof/>
          <w:lang w:val="sk-SK"/>
        </w:rPr>
        <w:t xml:space="preserve"> a v </w:t>
      </w:r>
      <w:r w:rsidRPr="00083739">
        <w:rPr>
          <w:rFonts w:cs="Times New Roman"/>
          <w:noProof/>
          <w:lang w:val="sk-SK"/>
        </w:rPr>
        <w:t>jednom právnom akte sa zjednotia ustanovenia dvoch rôznych zákonov 3894/2010</w:t>
      </w:r>
      <w:r w:rsidR="00083739" w:rsidRPr="00083739">
        <w:rPr>
          <w:rFonts w:cs="Times New Roman"/>
          <w:noProof/>
          <w:lang w:val="sk-SK"/>
        </w:rPr>
        <w:t xml:space="preserve"> a </w:t>
      </w:r>
      <w:r w:rsidRPr="00083739">
        <w:rPr>
          <w:rFonts w:cs="Times New Roman"/>
          <w:noProof/>
          <w:lang w:val="sk-SK"/>
        </w:rPr>
        <w:t>4608/2019, čím sa právny rámec pre strategické investície sprístupní potenciálnym investorom. Vytvorí</w:t>
      </w:r>
      <w:r w:rsidRPr="00083739">
        <w:rPr>
          <w:rFonts w:cs="Times New Roman"/>
          <w:noProof/>
          <w:lang w:val="sk-SK"/>
        </w:rPr>
        <w:t xml:space="preserve"> novú kategóriu strategických investícií</w:t>
      </w:r>
      <w:r w:rsidR="00083739" w:rsidRPr="00083739">
        <w:rPr>
          <w:rFonts w:cs="Times New Roman"/>
          <w:noProof/>
          <w:lang w:val="sk-SK"/>
        </w:rPr>
        <w:t xml:space="preserve"> s </w:t>
      </w:r>
      <w:r w:rsidRPr="00083739">
        <w:rPr>
          <w:rFonts w:cs="Times New Roman"/>
          <w:noProof/>
          <w:lang w:val="sk-SK"/>
        </w:rPr>
        <w:t>dodatočnými stimulmi, zjednoduší</w:t>
      </w:r>
      <w:r w:rsidR="00083739" w:rsidRPr="00083739">
        <w:rPr>
          <w:rFonts w:cs="Times New Roman"/>
          <w:noProof/>
          <w:lang w:val="sk-SK"/>
        </w:rPr>
        <w:t xml:space="preserve"> a </w:t>
      </w:r>
      <w:r w:rsidRPr="00083739">
        <w:rPr>
          <w:rFonts w:cs="Times New Roman"/>
          <w:noProof/>
          <w:lang w:val="sk-SK"/>
        </w:rPr>
        <w:t>konsoliduje postup udeľovania licencií prostredníctvom jednotného kontaktného miesta</w:t>
      </w:r>
      <w:r w:rsidR="00083739" w:rsidRPr="00083739">
        <w:rPr>
          <w:rFonts w:cs="Times New Roman"/>
          <w:noProof/>
          <w:lang w:val="sk-SK"/>
        </w:rPr>
        <w:t xml:space="preserve"> a </w:t>
      </w:r>
      <w:r w:rsidRPr="00083739">
        <w:rPr>
          <w:rFonts w:cs="Times New Roman"/>
          <w:noProof/>
          <w:lang w:val="sk-SK"/>
        </w:rPr>
        <w:t>zahrnie nové oblasti hospodárskej činnosti</w:t>
      </w:r>
      <w:r w:rsidR="00083739" w:rsidRPr="00083739">
        <w:rPr>
          <w:rFonts w:cs="Times New Roman"/>
          <w:noProof/>
          <w:lang w:val="sk-SK"/>
        </w:rPr>
        <w:t xml:space="preserve"> a </w:t>
      </w:r>
      <w:r w:rsidRPr="00083739">
        <w:rPr>
          <w:rFonts w:cs="Times New Roman"/>
          <w:noProof/>
          <w:lang w:val="sk-SK"/>
        </w:rPr>
        <w:t>potenciálne dôležité projekty spoločného európ</w:t>
      </w:r>
      <w:r w:rsidRPr="00083739">
        <w:rPr>
          <w:rFonts w:cs="Times New Roman"/>
          <w:noProof/>
          <w:lang w:val="sk-SK"/>
        </w:rPr>
        <w:t>skeho záujmu do existujúceho regulačného rámca (zákon č. 3894/2010</w:t>
      </w:r>
      <w:r w:rsidR="00083739" w:rsidRPr="00083739">
        <w:rPr>
          <w:rFonts w:cs="Times New Roman"/>
          <w:noProof/>
          <w:lang w:val="sk-SK"/>
        </w:rPr>
        <w:t xml:space="preserve"> a </w:t>
      </w:r>
      <w:r w:rsidRPr="00083739">
        <w:rPr>
          <w:rFonts w:cs="Times New Roman"/>
          <w:noProof/>
          <w:lang w:val="sk-SK"/>
        </w:rPr>
        <w:t>zákon č. 4608/2019)</w:t>
      </w:r>
      <w:r w:rsidR="00083739" w:rsidRPr="00083739">
        <w:rPr>
          <w:rFonts w:cs="Times New Roman"/>
          <w:noProof/>
          <w:lang w:val="sk-SK"/>
        </w:rPr>
        <w:t>.</w:t>
      </w:r>
    </w:p>
    <w:p w14:paraId="5F5AC78A" w14:textId="173FCC16" w:rsidR="002D49B0" w:rsidRPr="00083739" w:rsidRDefault="00BF4125">
      <w:pPr>
        <w:pStyle w:val="P68B1DB1-Normal5"/>
        <w:spacing w:before="120" w:after="120" w:line="240" w:lineRule="auto"/>
        <w:jc w:val="both"/>
        <w:rPr>
          <w:rFonts w:cs="Times New Roman"/>
          <w:noProof/>
          <w:lang w:val="sk-SK"/>
        </w:rPr>
      </w:pPr>
      <w:r w:rsidRPr="00083739">
        <w:rPr>
          <w:rFonts w:cs="Times New Roman"/>
          <w:noProof/>
          <w:lang w:val="sk-SK"/>
        </w:rPr>
        <w:t>Hlavnými kritériami na to, aby sa investícia charakterizovala ako príkladná investícia veľkého významu, je podporovať inovácie alebo šírenie technológií, ekologické h</w:t>
      </w:r>
      <w:r w:rsidRPr="00083739">
        <w:rPr>
          <w:rFonts w:cs="Times New Roman"/>
          <w:noProof/>
          <w:lang w:val="sk-SK"/>
        </w:rPr>
        <w:t>ospodárstvo a/alebo výrazne podporovať konkurencieschopnosť gréckeho hospodárstva na medzinárodnej úrovni. Charakterizácia projektov si nevyžaduje minimálnu sumu investičných nákladov ani minimálny počet ročných pracovných kvót. Medzirezortný výbor pre str</w:t>
      </w:r>
      <w:r w:rsidRPr="00083739">
        <w:rPr>
          <w:rFonts w:cs="Times New Roman"/>
          <w:noProof/>
          <w:lang w:val="sk-SK"/>
        </w:rPr>
        <w:t>ategické investície prijme konečné rozhodnutie</w:t>
      </w:r>
      <w:r w:rsidR="00083739" w:rsidRPr="00083739">
        <w:rPr>
          <w:rFonts w:cs="Times New Roman"/>
          <w:noProof/>
          <w:lang w:val="sk-SK"/>
        </w:rPr>
        <w:t xml:space="preserve"> o </w:t>
      </w:r>
      <w:r w:rsidRPr="00083739">
        <w:rPr>
          <w:rFonts w:cs="Times New Roman"/>
          <w:noProof/>
          <w:lang w:val="sk-SK"/>
        </w:rPr>
        <w:t>kvalifikácii investície ako emblematickej investície veľkého významu</w:t>
      </w:r>
      <w:r w:rsidR="00083739" w:rsidRPr="00083739">
        <w:rPr>
          <w:rFonts w:cs="Times New Roman"/>
          <w:noProof/>
          <w:lang w:val="sk-SK"/>
        </w:rPr>
        <w:t xml:space="preserve"> a o </w:t>
      </w:r>
      <w:r w:rsidRPr="00083739">
        <w:rPr>
          <w:rFonts w:cs="Times New Roman"/>
          <w:noProof/>
          <w:lang w:val="sk-SK"/>
        </w:rPr>
        <w:t>osobitných stimuloch, na ktoré má investícia nárok. Implementácia tejto reformy sa dokončí do 31</w:t>
      </w:r>
      <w:r w:rsidR="00083739" w:rsidRPr="00083739">
        <w:rPr>
          <w:rFonts w:cs="Times New Roman"/>
          <w:noProof/>
          <w:lang w:val="sk-SK"/>
        </w:rPr>
        <w:t>. decembra</w:t>
      </w:r>
      <w:r w:rsidRPr="00083739">
        <w:rPr>
          <w:rFonts w:cs="Times New Roman"/>
          <w:noProof/>
          <w:lang w:val="sk-SK"/>
        </w:rPr>
        <w:t xml:space="preserve"> 2025.</w:t>
      </w:r>
    </w:p>
    <w:p w14:paraId="5C25C6AB" w14:textId="2DBFA235" w:rsidR="00083739" w:rsidRPr="00083739" w:rsidRDefault="00BF4125">
      <w:pPr>
        <w:pStyle w:val="P68B1DB1-Normal5"/>
        <w:spacing w:before="120" w:after="120" w:line="240" w:lineRule="auto"/>
        <w:jc w:val="both"/>
        <w:rPr>
          <w:rFonts w:cs="Times New Roman"/>
          <w:noProof/>
          <w:lang w:val="sk-SK"/>
        </w:rPr>
      </w:pPr>
      <w:r w:rsidRPr="00083739">
        <w:rPr>
          <w:rFonts w:cs="Times New Roman"/>
          <w:noProof/>
          <w:lang w:val="sk-SK"/>
        </w:rPr>
        <w:t xml:space="preserve">Investície oprávnené </w:t>
      </w:r>
      <w:r w:rsidRPr="00083739">
        <w:rPr>
          <w:rFonts w:cs="Times New Roman"/>
          <w:noProof/>
          <w:lang w:val="sk-SK"/>
        </w:rPr>
        <w:t>na financovanie zahŕňajú projekty, ktoré podporujú inovácie alebo šírenie technológií, využívanie obnoviteľných zdrojov energie</w:t>
      </w:r>
      <w:r w:rsidR="00083739" w:rsidRPr="00083739">
        <w:rPr>
          <w:rFonts w:cs="Times New Roman"/>
          <w:noProof/>
          <w:lang w:val="sk-SK"/>
        </w:rPr>
        <w:t xml:space="preserve"> a </w:t>
      </w:r>
      <w:r w:rsidRPr="00083739">
        <w:rPr>
          <w:rFonts w:cs="Times New Roman"/>
          <w:noProof/>
          <w:lang w:val="sk-SK"/>
        </w:rPr>
        <w:t>prechod na nízkouhlíkové hospodárstvo a/alebo ktoré významne podporujú konkurencieschopnosť gréckeho hospodárstva na medzináro</w:t>
      </w:r>
      <w:r w:rsidRPr="00083739">
        <w:rPr>
          <w:rFonts w:cs="Times New Roman"/>
          <w:noProof/>
          <w:lang w:val="sk-SK"/>
        </w:rPr>
        <w:t>dnej úrovni</w:t>
      </w:r>
      <w:r w:rsidR="00083739" w:rsidRPr="00083739">
        <w:rPr>
          <w:rFonts w:cs="Times New Roman"/>
          <w:noProof/>
          <w:lang w:val="sk-SK"/>
        </w:rPr>
        <w:t>.</w:t>
      </w:r>
    </w:p>
    <w:p w14:paraId="4C8FECA5" w14:textId="161FF86F" w:rsidR="002D49B0" w:rsidRPr="00083739" w:rsidRDefault="00BF4125">
      <w:pPr>
        <w:pStyle w:val="P68B1DB1-Normal5"/>
        <w:spacing w:before="120" w:after="120" w:line="240" w:lineRule="auto"/>
        <w:jc w:val="both"/>
        <w:rPr>
          <w:rFonts w:cs="Times New Roman"/>
          <w:iCs/>
          <w:noProof/>
          <w:highlight w:val="green"/>
          <w:lang w:val="sk-SK"/>
        </w:rPr>
      </w:pPr>
      <w:r w:rsidRPr="00083739">
        <w:rPr>
          <w:rFonts w:cs="Times New Roman"/>
          <w:noProof/>
          <w:lang w:val="sk-SK"/>
        </w:rPr>
        <w:t>S cieľom zabezpečiť, aby opatrenie bolo</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technickými usmerneniami „výrazne nenarušiť“ (2021/C58/01), kritériá oprávnenosti obsiahnuté</w:t>
      </w:r>
      <w:r w:rsidR="00083739" w:rsidRPr="00083739">
        <w:rPr>
          <w:rFonts w:cs="Times New Roman"/>
          <w:noProof/>
          <w:lang w:val="sk-SK"/>
        </w:rPr>
        <w:t xml:space="preserve"> v </w:t>
      </w:r>
      <w:r w:rsidRPr="00083739">
        <w:rPr>
          <w:rFonts w:cs="Times New Roman"/>
          <w:noProof/>
          <w:lang w:val="sk-SK"/>
        </w:rPr>
        <w:t>právnom rámci na prilákanie strategických investícií nezahŕňajú tento zoznam činností:</w:t>
      </w:r>
      <w:r w:rsidRPr="00083739">
        <w:rPr>
          <w:rFonts w:cs="Times New Roman"/>
          <w:noProof/>
          <w:color w:val="FF0000"/>
          <w:lang w:val="sk-SK"/>
        </w:rPr>
        <w:t xml:space="preserve"> </w:t>
      </w:r>
      <w:r w:rsidRPr="00083739">
        <w:rPr>
          <w:rFonts w:cs="Times New Roman"/>
          <w:noProof/>
          <w:lang w:val="sk-SK"/>
        </w:rPr>
        <w:t xml:space="preserve">I) </w:t>
      </w:r>
      <w:r w:rsidRPr="00083739">
        <w:rPr>
          <w:rFonts w:cs="Times New Roman"/>
          <w:noProof/>
          <w:lang w:val="sk-SK"/>
        </w:rPr>
        <w:t>činnosti súvisiace</w:t>
      </w:r>
      <w:r w:rsidR="00083739" w:rsidRPr="00083739">
        <w:rPr>
          <w:rFonts w:cs="Times New Roman"/>
          <w:noProof/>
          <w:lang w:val="sk-SK"/>
        </w:rPr>
        <w:t xml:space="preserve"> s </w:t>
      </w:r>
      <w:r w:rsidRPr="00083739">
        <w:rPr>
          <w:rFonts w:cs="Times New Roman"/>
          <w:noProof/>
          <w:lang w:val="sk-SK"/>
        </w:rPr>
        <w:t>fosílnymi palivami vrátane následného použitia</w:t>
      </w:r>
      <w:r w:rsidRPr="00083739">
        <w:rPr>
          <w:rFonts w:cs="Times New Roman"/>
          <w:noProof/>
          <w:lang w:val="sk-SK"/>
        </w:rPr>
        <w:footnoteReference w:id="35"/>
      </w:r>
      <w:r w:rsidRPr="00083739">
        <w:rPr>
          <w:rFonts w:cs="Times New Roman"/>
          <w:noProof/>
          <w:lang w:val="sk-SK"/>
        </w:rPr>
        <w:t>; II) činností</w:t>
      </w:r>
      <w:r w:rsidR="00083739" w:rsidRPr="00083739">
        <w:rPr>
          <w:rFonts w:cs="Times New Roman"/>
          <w:noProof/>
          <w:lang w:val="sk-SK"/>
        </w:rPr>
        <w:t xml:space="preserve"> v </w:t>
      </w:r>
      <w:r w:rsidRPr="00083739">
        <w:rPr>
          <w:rFonts w:cs="Times New Roman"/>
          <w:noProof/>
          <w:lang w:val="sk-SK"/>
        </w:rPr>
        <w:t>rámci systému EÚ na obchodovanie</w:t>
      </w:r>
      <w:r w:rsidR="00083739" w:rsidRPr="00083739">
        <w:rPr>
          <w:rFonts w:cs="Times New Roman"/>
          <w:noProof/>
          <w:lang w:val="sk-SK"/>
        </w:rPr>
        <w:t xml:space="preserve"> s </w:t>
      </w:r>
      <w:r w:rsidRPr="00083739">
        <w:rPr>
          <w:rFonts w:cs="Times New Roman"/>
          <w:noProof/>
          <w:lang w:val="sk-SK"/>
        </w:rPr>
        <w:t>emisiami (ETS), ktorými sa dosahujú predpokladané emisie skleníkových plynov, ktoré nie sú nižšie ako príslušné referenčné hodnoty</w:t>
      </w:r>
      <w:r w:rsidRPr="00083739">
        <w:rPr>
          <w:rFonts w:cs="Times New Roman"/>
          <w:noProof/>
          <w:lang w:val="sk-SK"/>
        </w:rPr>
        <w:footnoteReference w:id="36"/>
      </w:r>
      <w:r w:rsidRPr="00083739">
        <w:rPr>
          <w:rFonts w:cs="Times New Roman"/>
          <w:noProof/>
          <w:lang w:val="sk-SK"/>
        </w:rPr>
        <w:t>; III</w:t>
      </w:r>
      <w:r w:rsidRPr="00083739">
        <w:rPr>
          <w:rFonts w:cs="Times New Roman"/>
          <w:noProof/>
          <w:lang w:val="sk-SK"/>
        </w:rPr>
        <w:t>) činnosti súvisiace so skládkami odpadov, spaľovňami</w:t>
      </w:r>
      <w:r w:rsidRPr="00083739">
        <w:rPr>
          <w:rFonts w:cs="Times New Roman"/>
          <w:noProof/>
          <w:lang w:val="sk-SK"/>
        </w:rPr>
        <w:footnoteReference w:id="37"/>
      </w:r>
      <w:r w:rsidR="00083739" w:rsidRPr="00083739">
        <w:rPr>
          <w:rFonts w:cs="Times New Roman"/>
          <w:noProof/>
          <w:lang w:val="sk-SK"/>
        </w:rPr>
        <w:t xml:space="preserve"> a </w:t>
      </w:r>
      <w:r w:rsidRPr="00083739">
        <w:rPr>
          <w:rFonts w:cs="Times New Roman"/>
          <w:noProof/>
          <w:lang w:val="sk-SK"/>
        </w:rPr>
        <w:t>mechanickými biologickými čistiarňami</w:t>
      </w:r>
      <w:r w:rsidRPr="00083739">
        <w:rPr>
          <w:rFonts w:cs="Times New Roman"/>
          <w:noProof/>
          <w:lang w:val="sk-SK"/>
        </w:rPr>
        <w:footnoteReference w:id="38"/>
      </w:r>
      <w:r w:rsidRPr="00083739">
        <w:rPr>
          <w:rFonts w:cs="Times New Roman"/>
          <w:noProof/>
          <w:lang w:val="sk-SK"/>
        </w:rPr>
        <w:t>;</w:t>
      </w:r>
      <w:r w:rsidR="00083739" w:rsidRPr="00083739">
        <w:rPr>
          <w:rFonts w:cs="Times New Roman"/>
          <w:noProof/>
          <w:lang w:val="sk-SK"/>
        </w:rPr>
        <w:t xml:space="preserve"> a </w:t>
      </w:r>
      <w:r w:rsidRPr="00083739">
        <w:rPr>
          <w:rFonts w:cs="Times New Roman"/>
          <w:noProof/>
          <w:lang w:val="sk-SK"/>
        </w:rPr>
        <w:t>iv) činnosti, pri ktorých dlhodobé zneškodňovanie odpadu môže poškodiť životné prostredie.</w:t>
      </w:r>
      <w:r w:rsidR="00083739" w:rsidRPr="00083739">
        <w:rPr>
          <w:rFonts w:cs="Times New Roman"/>
          <w:noProof/>
          <w:lang w:val="sk-SK"/>
        </w:rPr>
        <w:t xml:space="preserve"> V </w:t>
      </w:r>
      <w:r w:rsidRPr="00083739">
        <w:rPr>
          <w:rFonts w:cs="Times New Roman"/>
          <w:noProof/>
          <w:lang w:val="sk-SK"/>
        </w:rPr>
        <w:t>zadávacích podmienkach sa okrem toho vyžaduje, aby sa mohli vybr</w:t>
      </w:r>
      <w:r w:rsidRPr="00083739">
        <w:rPr>
          <w:rFonts w:cs="Times New Roman"/>
          <w:noProof/>
          <w:lang w:val="sk-SK"/>
        </w:rPr>
        <w:t>ať len tie činnosti, ktoré sú</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príslušnými právnymi predpismi EÚ</w:t>
      </w:r>
      <w:r w:rsidR="00083739" w:rsidRPr="00083739">
        <w:rPr>
          <w:rFonts w:cs="Times New Roman"/>
          <w:noProof/>
          <w:lang w:val="sk-SK"/>
        </w:rPr>
        <w:t xml:space="preserve"> a </w:t>
      </w:r>
      <w:r w:rsidRPr="00083739">
        <w:rPr>
          <w:rFonts w:cs="Times New Roman"/>
          <w:noProof/>
          <w:lang w:val="sk-SK"/>
        </w:rPr>
        <w:t>vnútroštátnymi právnymi predpismi</w:t>
      </w:r>
      <w:r w:rsidR="00083739" w:rsidRPr="00083739">
        <w:rPr>
          <w:rFonts w:cs="Times New Roman"/>
          <w:noProof/>
          <w:lang w:val="sk-SK"/>
        </w:rPr>
        <w:t xml:space="preserve"> v </w:t>
      </w:r>
      <w:r w:rsidRPr="00083739">
        <w:rPr>
          <w:rFonts w:cs="Times New Roman"/>
          <w:noProof/>
          <w:lang w:val="sk-SK"/>
        </w:rPr>
        <w:t>oblasti životného prostredia.</w:t>
      </w:r>
    </w:p>
    <w:p w14:paraId="5F0E864F" w14:textId="4C4586DF" w:rsidR="002D49B0" w:rsidRPr="00083739" w:rsidRDefault="002D49B0">
      <w:pPr>
        <w:spacing w:before="120" w:after="120" w:line="240" w:lineRule="auto"/>
        <w:jc w:val="both"/>
        <w:rPr>
          <w:rFonts w:ascii="Times New Roman" w:hAnsi="Times New Roman" w:cs="Times New Roman"/>
          <w:noProof/>
          <w:sz w:val="24"/>
          <w:lang w:val="sk-SK"/>
        </w:rPr>
      </w:pPr>
    </w:p>
    <w:p w14:paraId="4B435ED6" w14:textId="77777777" w:rsidR="002D49B0" w:rsidRPr="00083739" w:rsidRDefault="002D49B0">
      <w:pPr>
        <w:spacing w:before="120" w:after="120" w:line="240" w:lineRule="auto"/>
        <w:ind w:left="709"/>
        <w:jc w:val="both"/>
        <w:rPr>
          <w:rFonts w:ascii="Times New Roman" w:hAnsi="Times New Roman" w:cs="Times New Roman"/>
          <w:b/>
          <w:noProof/>
          <w:sz w:val="24"/>
          <w:u w:val="single"/>
          <w:lang w:val="sk-SK"/>
        </w:rPr>
      </w:pPr>
    </w:p>
    <w:p w14:paraId="17DCA531" w14:textId="77777777" w:rsidR="002D49B0" w:rsidRPr="00083739" w:rsidRDefault="002D49B0">
      <w:pPr>
        <w:spacing w:before="120" w:after="120" w:line="240" w:lineRule="auto"/>
        <w:ind w:left="709"/>
        <w:jc w:val="both"/>
        <w:rPr>
          <w:rFonts w:ascii="Times New Roman" w:hAnsi="Times New Roman" w:cs="Times New Roman"/>
          <w:noProof/>
          <w:sz w:val="24"/>
          <w:lang w:val="sk-SK"/>
        </w:rPr>
        <w:sectPr w:rsidR="002D49B0" w:rsidRPr="00083739" w:rsidSect="00271D33">
          <w:headerReference w:type="even" r:id="rId271"/>
          <w:headerReference w:type="default" r:id="rId272"/>
          <w:footerReference w:type="even" r:id="rId273"/>
          <w:footerReference w:type="default" r:id="rId274"/>
          <w:headerReference w:type="first" r:id="rId275"/>
          <w:footerReference w:type="first" r:id="rId276"/>
          <w:pgSz w:w="11907" w:h="16839"/>
          <w:pgMar w:top="1134" w:right="1417" w:bottom="1134" w:left="1417" w:header="709" w:footer="327" w:gutter="0"/>
          <w:cols w:space="720"/>
          <w:docGrid w:linePitch="360"/>
        </w:sectPr>
      </w:pPr>
    </w:p>
    <w:p w14:paraId="06E3B4F6" w14:textId="77777777" w:rsidR="00083739" w:rsidRPr="00083739" w:rsidRDefault="00BF4125">
      <w:pPr>
        <w:spacing w:before="120" w:after="120" w:line="240" w:lineRule="auto"/>
        <w:ind w:left="709"/>
        <w:jc w:val="both"/>
        <w:rPr>
          <w:rFonts w:ascii="Times New Roman" w:hAnsi="Times New Roman" w:cs="Times New Roman"/>
          <w:b/>
          <w:noProof/>
          <w:color w:val="2B579A"/>
          <w:sz w:val="24"/>
          <w:u w:val="single"/>
          <w:shd w:val="clear" w:color="auto" w:fill="E6E6E6"/>
          <w:lang w:val="sk-SK"/>
        </w:rPr>
      </w:pPr>
      <w:r w:rsidRPr="00083739">
        <w:rPr>
          <w:rFonts w:ascii="Times New Roman" w:hAnsi="Times New Roman" w:cs="Times New Roman"/>
          <w:b/>
          <w:noProof/>
          <w:sz w:val="24"/>
          <w:u w:val="single"/>
          <w:lang w:val="sk-SK"/>
        </w:rPr>
        <w:t xml:space="preserve">OTÁZKA Č. 2. </w:t>
      </w:r>
      <w:r w:rsidRPr="00083739">
        <w:rPr>
          <w:rFonts w:ascii="Times New Roman" w:hAnsi="Times New Roman" w:cs="Times New Roman"/>
          <w:noProof/>
          <w:lang w:val="sk-SK"/>
        </w:rPr>
        <w:t xml:space="preserve"> </w:t>
      </w:r>
      <w:r w:rsidRPr="00083739">
        <w:rPr>
          <w:rFonts w:ascii="Times New Roman" w:hAnsi="Times New Roman" w:cs="Times New Roman"/>
          <w:b/>
          <w:noProof/>
          <w:sz w:val="24"/>
          <w:u w:val="single"/>
          <w:lang w:val="sk-SK"/>
        </w:rPr>
        <w:t>Míľniky, ciele, ukazovatele</w:t>
      </w:r>
      <w:r w:rsidR="00083739" w:rsidRPr="00083739">
        <w:rPr>
          <w:rFonts w:ascii="Times New Roman" w:hAnsi="Times New Roman" w:cs="Times New Roman"/>
          <w:b/>
          <w:noProof/>
          <w:sz w:val="24"/>
          <w:u w:val="single"/>
          <w:lang w:val="sk-SK"/>
        </w:rPr>
        <w:t xml:space="preserve"> a </w:t>
      </w:r>
      <w:r w:rsidRPr="00083739">
        <w:rPr>
          <w:rFonts w:ascii="Times New Roman" w:hAnsi="Times New Roman" w:cs="Times New Roman"/>
          <w:b/>
          <w:noProof/>
          <w:sz w:val="24"/>
          <w:u w:val="single"/>
          <w:lang w:val="sk-SK"/>
        </w:rPr>
        <w:t>harmonogram monitorovania</w:t>
      </w:r>
      <w:r w:rsidR="00083739" w:rsidRPr="00083739">
        <w:rPr>
          <w:rFonts w:ascii="Times New Roman" w:hAnsi="Times New Roman" w:cs="Times New Roman"/>
          <w:b/>
          <w:noProof/>
          <w:sz w:val="24"/>
          <w:u w:val="single"/>
          <w:lang w:val="sk-SK"/>
        </w:rPr>
        <w:t xml:space="preserve"> a </w:t>
      </w:r>
      <w:r w:rsidRPr="00083739">
        <w:rPr>
          <w:rFonts w:ascii="Times New Roman" w:hAnsi="Times New Roman" w:cs="Times New Roman"/>
          <w:b/>
          <w:noProof/>
          <w:sz w:val="24"/>
          <w:u w:val="single"/>
          <w:lang w:val="sk-SK"/>
        </w:rPr>
        <w:t>realizácie pre nenávratnú finančnú podporu</w:t>
      </w:r>
    </w:p>
    <w:p w14:paraId="26FEEDC1" w14:textId="15A8C6EA" w:rsidR="002D49B0" w:rsidRPr="00083739" w:rsidRDefault="00BF4125">
      <w:pPr>
        <w:pStyle w:val="P68B1DB1-Normal6"/>
        <w:keepNext/>
        <w:keepLines/>
        <w:spacing w:before="40" w:after="240" w:line="240" w:lineRule="auto"/>
        <w:jc w:val="both"/>
        <w:outlineLvl w:val="4"/>
        <w:rPr>
          <w:rFonts w:ascii="Times New Roman" w:eastAsia="Times New Roman" w:hAnsi="Times New Roman" w:cs="Times New Roman"/>
          <w:noProof/>
          <w:lang w:val="sk-SK"/>
        </w:rPr>
      </w:pPr>
      <w:r w:rsidRPr="00083739">
        <w:rPr>
          <w:rFonts w:ascii="Times New Roman" w:hAnsi="Times New Roman" w:cs="Times New Roman"/>
          <w:noProof/>
          <w:lang w:val="sk-SK"/>
        </w:rPr>
        <w:t>Najvyššia investícia 6: Diaľnica E-65</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strednom Grécku: Trikala – Egnatia sekcia</w:t>
      </w:r>
    </w:p>
    <w:tbl>
      <w:tblPr>
        <w:tblW w:w="15817" w:type="dxa"/>
        <w:jc w:val="center"/>
        <w:tblLook w:val="04A0" w:firstRow="1" w:lastRow="0" w:firstColumn="1" w:lastColumn="0" w:noHBand="0" w:noVBand="1"/>
      </w:tblPr>
      <w:tblGrid>
        <w:gridCol w:w="1027"/>
        <w:gridCol w:w="1296"/>
        <w:gridCol w:w="1115"/>
        <w:gridCol w:w="1137"/>
        <w:gridCol w:w="1713"/>
        <w:gridCol w:w="1230"/>
        <w:gridCol w:w="957"/>
        <w:gridCol w:w="851"/>
        <w:gridCol w:w="1167"/>
        <w:gridCol w:w="851"/>
        <w:gridCol w:w="5042"/>
      </w:tblGrid>
      <w:tr w:rsidR="002D49B0" w:rsidRPr="00083739" w14:paraId="287D2160" w14:textId="77777777">
        <w:trPr>
          <w:trHeight w:val="810"/>
          <w:tblHeader/>
          <w:jc w:val="center"/>
        </w:trPr>
        <w:tc>
          <w:tcPr>
            <w:tcW w:w="102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CF3C002"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Poradové číslo</w:t>
            </w:r>
          </w:p>
        </w:tc>
        <w:tc>
          <w:tcPr>
            <w:tcW w:w="129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E19DDB9"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Súvisiace opatrenie (reforma alebo investícia)</w:t>
            </w:r>
          </w:p>
        </w:tc>
        <w:tc>
          <w:tcPr>
            <w:tcW w:w="96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15BE99B"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Míľnik/cieľ</w:t>
            </w:r>
          </w:p>
        </w:tc>
        <w:tc>
          <w:tcPr>
            <w:tcW w:w="1137" w:type="dxa"/>
            <w:vMerge w:val="restart"/>
            <w:tcBorders>
              <w:top w:val="single" w:sz="4" w:space="0" w:color="auto"/>
              <w:left w:val="nil"/>
              <w:bottom w:val="single" w:sz="4" w:space="0" w:color="auto"/>
              <w:right w:val="single" w:sz="4" w:space="0" w:color="auto"/>
            </w:tcBorders>
            <w:shd w:val="clear" w:color="auto" w:fill="BDD7EE"/>
            <w:vAlign w:val="center"/>
            <w:hideMark/>
          </w:tcPr>
          <w:p w14:paraId="4E1DD29F"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Názov</w:t>
            </w:r>
          </w:p>
        </w:tc>
        <w:tc>
          <w:tcPr>
            <w:tcW w:w="17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9260C81"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 xml:space="preserve">Kvalitatívne </w:t>
            </w:r>
            <w:r w:rsidRPr="00083739">
              <w:rPr>
                <w:rFonts w:cs="Times New Roman"/>
                <w:noProof/>
                <w:lang w:val="sk-SK"/>
              </w:rPr>
              <w:t>ukazovatele (pre míľniky)</w:t>
            </w:r>
          </w:p>
        </w:tc>
        <w:tc>
          <w:tcPr>
            <w:tcW w:w="2938" w:type="dxa"/>
            <w:gridSpan w:val="3"/>
            <w:tcBorders>
              <w:top w:val="single" w:sz="4" w:space="0" w:color="auto"/>
              <w:left w:val="nil"/>
              <w:bottom w:val="single" w:sz="4" w:space="0" w:color="auto"/>
              <w:right w:val="single" w:sz="4" w:space="0" w:color="auto"/>
            </w:tcBorders>
            <w:shd w:val="clear" w:color="auto" w:fill="BDD7EE"/>
            <w:vAlign w:val="center"/>
            <w:hideMark/>
          </w:tcPr>
          <w:p w14:paraId="73BA9C88"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Kvantitatívne ukazovatele (pre ciele)</w:t>
            </w:r>
          </w:p>
        </w:tc>
        <w:tc>
          <w:tcPr>
            <w:tcW w:w="1701" w:type="dxa"/>
            <w:gridSpan w:val="2"/>
            <w:tcBorders>
              <w:top w:val="single" w:sz="4" w:space="0" w:color="auto"/>
              <w:left w:val="nil"/>
              <w:bottom w:val="single" w:sz="4" w:space="0" w:color="auto"/>
              <w:right w:val="single" w:sz="4" w:space="0" w:color="auto"/>
            </w:tcBorders>
            <w:shd w:val="clear" w:color="auto" w:fill="BDD7EE"/>
            <w:vAlign w:val="center"/>
            <w:hideMark/>
          </w:tcPr>
          <w:p w14:paraId="59140E48"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 xml:space="preserve">Orientačný harmonogram dokončenia </w:t>
            </w:r>
          </w:p>
        </w:tc>
        <w:tc>
          <w:tcPr>
            <w:tcW w:w="5042"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174CA2D" w14:textId="0DA3A728"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Opis každého míľnika</w:t>
            </w:r>
            <w:r w:rsidR="00083739" w:rsidRPr="00083739">
              <w:rPr>
                <w:rFonts w:cs="Times New Roman"/>
                <w:noProof/>
                <w:lang w:val="sk-SK"/>
              </w:rPr>
              <w:t xml:space="preserve"> a </w:t>
            </w:r>
            <w:r w:rsidRPr="00083739">
              <w:rPr>
                <w:rFonts w:cs="Times New Roman"/>
                <w:noProof/>
                <w:lang w:val="sk-SK"/>
              </w:rPr>
              <w:t>cieľa</w:t>
            </w:r>
          </w:p>
        </w:tc>
      </w:tr>
      <w:tr w:rsidR="002D49B0" w:rsidRPr="00083739" w14:paraId="0E496B6E" w14:textId="77777777">
        <w:trPr>
          <w:trHeight w:val="440"/>
          <w:tblHeader/>
          <w:jc w:val="center"/>
        </w:trPr>
        <w:tc>
          <w:tcPr>
            <w:tcW w:w="1027" w:type="dxa"/>
            <w:vMerge/>
            <w:tcBorders>
              <w:top w:val="single" w:sz="4" w:space="0" w:color="auto"/>
              <w:left w:val="single" w:sz="4" w:space="0" w:color="auto"/>
              <w:bottom w:val="single" w:sz="4" w:space="0" w:color="auto"/>
              <w:right w:val="single" w:sz="4" w:space="0" w:color="auto"/>
            </w:tcBorders>
            <w:vAlign w:val="center"/>
            <w:hideMark/>
          </w:tcPr>
          <w:p w14:paraId="6376319F"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293" w:type="dxa"/>
            <w:vMerge/>
            <w:tcBorders>
              <w:top w:val="single" w:sz="4" w:space="0" w:color="auto"/>
              <w:left w:val="single" w:sz="4" w:space="0" w:color="auto"/>
              <w:bottom w:val="single" w:sz="4" w:space="0" w:color="auto"/>
              <w:right w:val="single" w:sz="4" w:space="0" w:color="auto"/>
            </w:tcBorders>
            <w:vAlign w:val="center"/>
            <w:hideMark/>
          </w:tcPr>
          <w:p w14:paraId="485A811F"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966" w:type="dxa"/>
            <w:vMerge/>
            <w:tcBorders>
              <w:top w:val="single" w:sz="4" w:space="0" w:color="auto"/>
              <w:left w:val="single" w:sz="4" w:space="0" w:color="auto"/>
              <w:bottom w:val="single" w:sz="4" w:space="0" w:color="auto"/>
              <w:right w:val="single" w:sz="4" w:space="0" w:color="auto"/>
            </w:tcBorders>
            <w:vAlign w:val="center"/>
            <w:hideMark/>
          </w:tcPr>
          <w:p w14:paraId="53184C5D"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137" w:type="dxa"/>
            <w:vMerge/>
            <w:tcBorders>
              <w:top w:val="single" w:sz="4" w:space="0" w:color="auto"/>
              <w:left w:val="single" w:sz="4" w:space="0" w:color="auto"/>
              <w:bottom w:val="single" w:sz="4" w:space="0" w:color="auto"/>
              <w:right w:val="single" w:sz="4" w:space="0" w:color="auto"/>
            </w:tcBorders>
            <w:vAlign w:val="center"/>
            <w:hideMark/>
          </w:tcPr>
          <w:p w14:paraId="66367E46"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713" w:type="dxa"/>
            <w:vMerge/>
            <w:tcBorders>
              <w:top w:val="single" w:sz="4" w:space="0" w:color="auto"/>
              <w:left w:val="single" w:sz="4" w:space="0" w:color="auto"/>
              <w:bottom w:val="single" w:sz="4" w:space="0" w:color="auto"/>
              <w:right w:val="single" w:sz="4" w:space="0" w:color="auto"/>
            </w:tcBorders>
            <w:vAlign w:val="center"/>
            <w:hideMark/>
          </w:tcPr>
          <w:p w14:paraId="5397323F"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230"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6A6F8D86"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Merná jednotka</w:t>
            </w:r>
          </w:p>
        </w:tc>
        <w:tc>
          <w:tcPr>
            <w:tcW w:w="857" w:type="dxa"/>
            <w:tcBorders>
              <w:top w:val="nil"/>
              <w:left w:val="nil"/>
              <w:bottom w:val="single" w:sz="4" w:space="0" w:color="auto"/>
              <w:right w:val="single" w:sz="4" w:space="0" w:color="auto"/>
            </w:tcBorders>
            <w:shd w:val="clear" w:color="auto" w:fill="BDD7EE"/>
            <w:vAlign w:val="center"/>
            <w:hideMark/>
          </w:tcPr>
          <w:p w14:paraId="54954A6F"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 xml:space="preserve">Základná </w:t>
            </w:r>
          </w:p>
        </w:tc>
        <w:tc>
          <w:tcPr>
            <w:tcW w:w="851" w:type="dxa"/>
            <w:tcBorders>
              <w:top w:val="nil"/>
              <w:left w:val="nil"/>
              <w:bottom w:val="single" w:sz="4" w:space="0" w:color="auto"/>
              <w:right w:val="single" w:sz="4" w:space="0" w:color="auto"/>
            </w:tcBorders>
            <w:shd w:val="clear" w:color="auto" w:fill="BDD7EE"/>
            <w:vAlign w:val="center"/>
            <w:hideMark/>
          </w:tcPr>
          <w:p w14:paraId="7E556EB8"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 xml:space="preserve">Cieľ </w:t>
            </w:r>
          </w:p>
        </w:tc>
        <w:tc>
          <w:tcPr>
            <w:tcW w:w="850" w:type="dxa"/>
            <w:tcBorders>
              <w:top w:val="nil"/>
              <w:left w:val="nil"/>
              <w:bottom w:val="single" w:sz="4" w:space="0" w:color="auto"/>
              <w:right w:val="single" w:sz="4" w:space="0" w:color="auto"/>
            </w:tcBorders>
            <w:shd w:val="clear" w:color="auto" w:fill="BDD7EE"/>
            <w:vAlign w:val="center"/>
            <w:hideMark/>
          </w:tcPr>
          <w:p w14:paraId="2E85865A"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Štvrtina</w:t>
            </w:r>
          </w:p>
        </w:tc>
        <w:tc>
          <w:tcPr>
            <w:tcW w:w="851" w:type="dxa"/>
            <w:tcBorders>
              <w:top w:val="nil"/>
              <w:left w:val="nil"/>
              <w:bottom w:val="single" w:sz="4" w:space="0" w:color="auto"/>
              <w:right w:val="single" w:sz="4" w:space="0" w:color="auto"/>
            </w:tcBorders>
            <w:shd w:val="clear" w:color="auto" w:fill="BDD7EE"/>
            <w:vAlign w:val="center"/>
            <w:hideMark/>
          </w:tcPr>
          <w:p w14:paraId="537FE7C3"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Rok</w:t>
            </w:r>
          </w:p>
        </w:tc>
        <w:tc>
          <w:tcPr>
            <w:tcW w:w="5042" w:type="dxa"/>
            <w:vMerge/>
            <w:tcBorders>
              <w:top w:val="single" w:sz="4" w:space="0" w:color="auto"/>
              <w:bottom w:val="single" w:sz="4" w:space="0" w:color="auto"/>
              <w:right w:val="single" w:sz="4" w:space="0" w:color="auto"/>
            </w:tcBorders>
            <w:vAlign w:val="center"/>
            <w:hideMark/>
          </w:tcPr>
          <w:p w14:paraId="6CEAFF1A"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r>
      <w:tr w:rsidR="002D49B0" w:rsidRPr="00083739" w14:paraId="69BE7749" w14:textId="77777777">
        <w:trPr>
          <w:trHeight w:val="313"/>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31AB0C7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254</w:t>
            </w:r>
          </w:p>
        </w:tc>
        <w:tc>
          <w:tcPr>
            <w:tcW w:w="1293" w:type="dxa"/>
            <w:tcBorders>
              <w:top w:val="single" w:sz="4" w:space="0" w:color="auto"/>
              <w:left w:val="nil"/>
              <w:bottom w:val="single" w:sz="4" w:space="0" w:color="auto"/>
              <w:right w:val="single" w:sz="4" w:space="0" w:color="auto"/>
            </w:tcBorders>
            <w:shd w:val="clear" w:color="auto" w:fill="C6EFCE"/>
            <w:noWrap/>
          </w:tcPr>
          <w:p w14:paraId="0A0AF3BA" w14:textId="5A5D1842"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17 – 4.6. Modernizácia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zlepšenie odolnosti kľúčových hospodárskych </w:t>
            </w:r>
            <w:r w:rsidRPr="00083739">
              <w:rPr>
                <w:rFonts w:ascii="Times New Roman" w:hAnsi="Times New Roman" w:cs="Times New Roman"/>
                <w:noProof/>
                <w:lang w:val="sk-SK"/>
              </w:rPr>
              <w:t>odvetví – 16628_stredné Grécko – diaľnica E-65: Trikala – Egnatia sekcia</w:t>
            </w:r>
          </w:p>
        </w:tc>
        <w:tc>
          <w:tcPr>
            <w:tcW w:w="966" w:type="dxa"/>
            <w:tcBorders>
              <w:top w:val="single" w:sz="4" w:space="0" w:color="auto"/>
              <w:left w:val="nil"/>
              <w:bottom w:val="single" w:sz="4" w:space="0" w:color="auto"/>
              <w:right w:val="single" w:sz="4" w:space="0" w:color="auto"/>
            </w:tcBorders>
            <w:shd w:val="clear" w:color="auto" w:fill="C6EFCE"/>
            <w:noWrap/>
          </w:tcPr>
          <w:p w14:paraId="6134D1A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137" w:type="dxa"/>
            <w:tcBorders>
              <w:top w:val="single" w:sz="4" w:space="0" w:color="auto"/>
              <w:left w:val="nil"/>
              <w:bottom w:val="single" w:sz="4" w:space="0" w:color="auto"/>
              <w:right w:val="single" w:sz="4" w:space="0" w:color="auto"/>
            </w:tcBorders>
            <w:shd w:val="clear" w:color="auto" w:fill="C6EFCE"/>
            <w:noWrap/>
          </w:tcPr>
          <w:p w14:paraId="425BDE84" w14:textId="69DE9A71"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Začiatok stavebných prác</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E-65</w:t>
            </w:r>
          </w:p>
        </w:tc>
        <w:tc>
          <w:tcPr>
            <w:tcW w:w="1713" w:type="dxa"/>
            <w:tcBorders>
              <w:top w:val="single" w:sz="4" w:space="0" w:color="auto"/>
              <w:left w:val="nil"/>
              <w:bottom w:val="single" w:sz="4" w:space="0" w:color="auto"/>
              <w:right w:val="single" w:sz="4" w:space="0" w:color="auto"/>
            </w:tcBorders>
            <w:shd w:val="clear" w:color="auto" w:fill="C6EFCE"/>
            <w:noWrap/>
          </w:tcPr>
          <w:p w14:paraId="5974488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Správa nezávislého inžiniera, ktorú ratifikovalo ministerstvo infraštruktúry</w:t>
            </w:r>
          </w:p>
        </w:tc>
        <w:tc>
          <w:tcPr>
            <w:tcW w:w="1230" w:type="dxa"/>
            <w:tcBorders>
              <w:top w:val="single" w:sz="4" w:space="0" w:color="auto"/>
              <w:left w:val="nil"/>
              <w:bottom w:val="single" w:sz="4" w:space="0" w:color="auto"/>
              <w:right w:val="single" w:sz="4" w:space="0" w:color="auto"/>
            </w:tcBorders>
            <w:shd w:val="clear" w:color="auto" w:fill="C6EFCE"/>
            <w:noWrap/>
          </w:tcPr>
          <w:p w14:paraId="5D0FC720"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nil"/>
              <w:left w:val="nil"/>
              <w:bottom w:val="single" w:sz="4" w:space="0" w:color="auto"/>
              <w:right w:val="single" w:sz="4" w:space="0" w:color="auto"/>
            </w:tcBorders>
            <w:shd w:val="clear" w:color="auto" w:fill="C6EFCE"/>
            <w:noWrap/>
          </w:tcPr>
          <w:p w14:paraId="4156ED2B"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1" w:type="dxa"/>
            <w:tcBorders>
              <w:top w:val="nil"/>
              <w:left w:val="nil"/>
              <w:bottom w:val="single" w:sz="4" w:space="0" w:color="auto"/>
              <w:right w:val="single" w:sz="4" w:space="0" w:color="auto"/>
            </w:tcBorders>
            <w:shd w:val="clear" w:color="auto" w:fill="C6EFCE"/>
            <w:noWrap/>
          </w:tcPr>
          <w:p w14:paraId="3ED55C98"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0" w:type="dxa"/>
            <w:tcBorders>
              <w:top w:val="nil"/>
              <w:left w:val="nil"/>
              <w:bottom w:val="single" w:sz="4" w:space="0" w:color="auto"/>
              <w:right w:val="single" w:sz="4" w:space="0" w:color="auto"/>
            </w:tcBorders>
            <w:shd w:val="clear" w:color="auto" w:fill="C6EFCE"/>
            <w:noWrap/>
          </w:tcPr>
          <w:p w14:paraId="1A4E021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851" w:type="dxa"/>
            <w:tcBorders>
              <w:top w:val="nil"/>
              <w:left w:val="nil"/>
              <w:bottom w:val="single" w:sz="4" w:space="0" w:color="auto"/>
              <w:right w:val="single" w:sz="4" w:space="0" w:color="auto"/>
            </w:tcBorders>
            <w:shd w:val="clear" w:color="auto" w:fill="C6EFCE"/>
            <w:noWrap/>
          </w:tcPr>
          <w:p w14:paraId="3DB41D0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2022</w:t>
            </w:r>
          </w:p>
        </w:tc>
        <w:tc>
          <w:tcPr>
            <w:tcW w:w="5042" w:type="dxa"/>
            <w:tcBorders>
              <w:top w:val="single" w:sz="4" w:space="0" w:color="auto"/>
              <w:left w:val="nil"/>
              <w:bottom w:val="single" w:sz="4" w:space="0" w:color="auto"/>
              <w:right w:val="single" w:sz="4" w:space="0" w:color="auto"/>
            </w:tcBorders>
            <w:shd w:val="clear" w:color="auto" w:fill="C6EFCE"/>
            <w:noWrap/>
          </w:tcPr>
          <w:p w14:paraId="41C97C9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Začiatok stavebných prác na diaľnici E-65 </w:t>
            </w:r>
            <w:r w:rsidRPr="00083739">
              <w:rPr>
                <w:rFonts w:ascii="Times New Roman" w:hAnsi="Times New Roman" w:cs="Times New Roman"/>
                <w:noProof/>
                <w:lang w:val="sk-SK"/>
              </w:rPr>
              <w:t>Stredné Grécko: Trikala – Egnatia</w:t>
            </w:r>
          </w:p>
        </w:tc>
      </w:tr>
      <w:tr w:rsidR="002D49B0" w:rsidRPr="00083739" w14:paraId="6122BC97" w14:textId="77777777">
        <w:trPr>
          <w:trHeight w:val="313"/>
          <w:jc w:val="center"/>
        </w:trPr>
        <w:tc>
          <w:tcPr>
            <w:tcW w:w="1027" w:type="dxa"/>
            <w:tcBorders>
              <w:top w:val="nil"/>
              <w:left w:val="single" w:sz="4" w:space="0" w:color="auto"/>
              <w:bottom w:val="single" w:sz="4" w:space="0" w:color="auto"/>
              <w:right w:val="single" w:sz="4" w:space="0" w:color="auto"/>
            </w:tcBorders>
            <w:shd w:val="clear" w:color="auto" w:fill="C6EFCE"/>
            <w:noWrap/>
            <w:hideMark/>
          </w:tcPr>
          <w:p w14:paraId="7397600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256</w:t>
            </w:r>
          </w:p>
        </w:tc>
        <w:tc>
          <w:tcPr>
            <w:tcW w:w="1293" w:type="dxa"/>
            <w:tcBorders>
              <w:top w:val="nil"/>
              <w:left w:val="nil"/>
              <w:bottom w:val="single" w:sz="4" w:space="0" w:color="auto"/>
              <w:right w:val="single" w:sz="4" w:space="0" w:color="auto"/>
            </w:tcBorders>
            <w:shd w:val="clear" w:color="auto" w:fill="C6EFCE"/>
            <w:noWrap/>
            <w:hideMark/>
          </w:tcPr>
          <w:p w14:paraId="114C818E" w14:textId="69AE34B0"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17 – 4.6. Modernizácia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zlepšenie odolnosti kľúčových hospodárskych odvetví – 16628_stredné Grécko – diaľnica E-65: Trikala – Egnatia sekcia</w:t>
            </w:r>
          </w:p>
        </w:tc>
        <w:tc>
          <w:tcPr>
            <w:tcW w:w="966" w:type="dxa"/>
            <w:tcBorders>
              <w:top w:val="nil"/>
              <w:left w:val="nil"/>
              <w:bottom w:val="single" w:sz="4" w:space="0" w:color="auto"/>
              <w:right w:val="single" w:sz="4" w:space="0" w:color="auto"/>
            </w:tcBorders>
            <w:shd w:val="clear" w:color="auto" w:fill="C6EFCE"/>
            <w:noWrap/>
            <w:hideMark/>
          </w:tcPr>
          <w:p w14:paraId="3F12EC4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137" w:type="dxa"/>
            <w:tcBorders>
              <w:top w:val="nil"/>
              <w:left w:val="nil"/>
              <w:bottom w:val="single" w:sz="4" w:space="0" w:color="auto"/>
              <w:right w:val="single" w:sz="4" w:space="0" w:color="auto"/>
            </w:tcBorders>
            <w:shd w:val="clear" w:color="auto" w:fill="C6EFCE"/>
            <w:noWrap/>
            <w:hideMark/>
          </w:tcPr>
          <w:p w14:paraId="53FFCC9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Práce e-65 – dokončenie</w:t>
            </w:r>
          </w:p>
        </w:tc>
        <w:tc>
          <w:tcPr>
            <w:tcW w:w="1713" w:type="dxa"/>
            <w:tcBorders>
              <w:top w:val="nil"/>
              <w:left w:val="nil"/>
              <w:bottom w:val="single" w:sz="4" w:space="0" w:color="auto"/>
              <w:right w:val="single" w:sz="4" w:space="0" w:color="auto"/>
            </w:tcBorders>
            <w:shd w:val="clear" w:color="auto" w:fill="C6EFCE"/>
            <w:noWrap/>
            <w:hideMark/>
          </w:tcPr>
          <w:p w14:paraId="1757AFEB" w14:textId="0B7B5125"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 dokončenie prác</w:t>
            </w:r>
          </w:p>
        </w:tc>
        <w:tc>
          <w:tcPr>
            <w:tcW w:w="1230" w:type="dxa"/>
            <w:tcBorders>
              <w:top w:val="nil"/>
              <w:left w:val="nil"/>
              <w:bottom w:val="single" w:sz="4" w:space="0" w:color="auto"/>
              <w:right w:val="single" w:sz="4" w:space="0" w:color="auto"/>
            </w:tcBorders>
            <w:shd w:val="clear" w:color="auto" w:fill="C6EFCE"/>
            <w:noWrap/>
            <w:hideMark/>
          </w:tcPr>
          <w:p w14:paraId="1A048AAA"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nil"/>
              <w:left w:val="nil"/>
              <w:bottom w:val="single" w:sz="4" w:space="0" w:color="auto"/>
              <w:right w:val="single" w:sz="4" w:space="0" w:color="auto"/>
            </w:tcBorders>
            <w:shd w:val="clear" w:color="auto" w:fill="C6EFCE"/>
            <w:noWrap/>
            <w:hideMark/>
          </w:tcPr>
          <w:p w14:paraId="3B484964"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1" w:type="dxa"/>
            <w:tcBorders>
              <w:top w:val="nil"/>
              <w:left w:val="nil"/>
              <w:bottom w:val="single" w:sz="4" w:space="0" w:color="auto"/>
              <w:right w:val="single" w:sz="4" w:space="0" w:color="auto"/>
            </w:tcBorders>
            <w:shd w:val="clear" w:color="auto" w:fill="C6EFCE"/>
            <w:noWrap/>
            <w:hideMark/>
          </w:tcPr>
          <w:p w14:paraId="5F344C8E"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0" w:type="dxa"/>
            <w:tcBorders>
              <w:top w:val="nil"/>
              <w:left w:val="nil"/>
              <w:bottom w:val="single" w:sz="4" w:space="0" w:color="auto"/>
              <w:right w:val="single" w:sz="4" w:space="0" w:color="auto"/>
            </w:tcBorders>
            <w:shd w:val="clear" w:color="auto" w:fill="C6EFCE"/>
            <w:noWrap/>
            <w:hideMark/>
          </w:tcPr>
          <w:p w14:paraId="7469CB8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851" w:type="dxa"/>
            <w:tcBorders>
              <w:top w:val="nil"/>
              <w:left w:val="nil"/>
              <w:bottom w:val="single" w:sz="4" w:space="0" w:color="auto"/>
              <w:right w:val="single" w:sz="4" w:space="0" w:color="auto"/>
            </w:tcBorders>
            <w:shd w:val="clear" w:color="auto" w:fill="C6EFCE"/>
            <w:noWrap/>
            <w:hideMark/>
          </w:tcPr>
          <w:p w14:paraId="19B137F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5042" w:type="dxa"/>
            <w:tcBorders>
              <w:top w:val="nil"/>
              <w:left w:val="nil"/>
              <w:bottom w:val="single" w:sz="4" w:space="0" w:color="auto"/>
              <w:right w:val="single" w:sz="4" w:space="0" w:color="auto"/>
            </w:tcBorders>
            <w:shd w:val="clear" w:color="auto" w:fill="C6EFCE"/>
            <w:noWrap/>
            <w:hideMark/>
          </w:tcPr>
          <w:p w14:paraId="3EBC840D" w14:textId="7196A8F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projektu vrátane náhodných prác (ako sú všetky mýtne stanice, osvetlenie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bezpečnostné opatrenia potrebné na certifikáciu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fungovanie diaľnice).</w:t>
            </w:r>
          </w:p>
        </w:tc>
      </w:tr>
    </w:tbl>
    <w:p w14:paraId="2C9C1C24" w14:textId="77777777" w:rsidR="002D49B0" w:rsidRPr="00083739" w:rsidRDefault="00BF4125">
      <w:pPr>
        <w:pStyle w:val="P68B1DB1-Normal6"/>
        <w:keepNext/>
        <w:keepLines/>
        <w:spacing w:before="240" w:after="240" w:line="240" w:lineRule="auto"/>
        <w:jc w:val="both"/>
        <w:outlineLvl w:val="4"/>
        <w:rPr>
          <w:rFonts w:ascii="Times New Roman" w:eastAsia="Times New Roman" w:hAnsi="Times New Roman" w:cs="Times New Roman"/>
          <w:noProof/>
          <w:lang w:val="sk-SK"/>
        </w:rPr>
      </w:pPr>
      <w:r w:rsidRPr="00083739">
        <w:rPr>
          <w:rFonts w:ascii="Times New Roman" w:hAnsi="Times New Roman" w:cs="Times New Roman"/>
          <w:noProof/>
          <w:lang w:val="sk-SK"/>
        </w:rPr>
        <w:t>Najvyššia investícia 7: Modernizácia bezpečnosti cestnej premávky</w:t>
      </w:r>
    </w:p>
    <w:tbl>
      <w:tblPr>
        <w:tblW w:w="15333" w:type="dxa"/>
        <w:tblInd w:w="113" w:type="dxa"/>
        <w:tblLayout w:type="fixed"/>
        <w:tblLook w:val="04A0" w:firstRow="1" w:lastRow="0" w:firstColumn="1" w:lastColumn="0" w:noHBand="0" w:noVBand="1"/>
      </w:tblPr>
      <w:tblGrid>
        <w:gridCol w:w="1094"/>
        <w:gridCol w:w="1405"/>
        <w:gridCol w:w="1182"/>
        <w:gridCol w:w="1163"/>
        <w:gridCol w:w="1559"/>
        <w:gridCol w:w="709"/>
        <w:gridCol w:w="857"/>
        <w:gridCol w:w="587"/>
        <w:gridCol w:w="846"/>
        <w:gridCol w:w="690"/>
        <w:gridCol w:w="5241"/>
      </w:tblGrid>
      <w:tr w:rsidR="002D49B0" w:rsidRPr="00083739" w14:paraId="15BC920B" w14:textId="77777777">
        <w:trPr>
          <w:trHeight w:val="835"/>
          <w:tblHeader/>
        </w:trPr>
        <w:tc>
          <w:tcPr>
            <w:tcW w:w="109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BF06538"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Poradové číslo</w:t>
            </w:r>
          </w:p>
        </w:tc>
        <w:tc>
          <w:tcPr>
            <w:tcW w:w="140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06814DF"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 xml:space="preserve">Súvisiace </w:t>
            </w:r>
            <w:r w:rsidRPr="00083739">
              <w:rPr>
                <w:rFonts w:cs="Times New Roman"/>
                <w:noProof/>
                <w:lang w:val="sk-SK"/>
              </w:rPr>
              <w:t>opatrenie (reforma alebo investícia)</w:t>
            </w:r>
          </w:p>
        </w:tc>
        <w:tc>
          <w:tcPr>
            <w:tcW w:w="1182"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3F58ED8"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Míľnik/cieľ</w:t>
            </w:r>
          </w:p>
        </w:tc>
        <w:tc>
          <w:tcPr>
            <w:tcW w:w="1163" w:type="dxa"/>
            <w:vMerge w:val="restart"/>
            <w:tcBorders>
              <w:top w:val="single" w:sz="4" w:space="0" w:color="auto"/>
              <w:left w:val="nil"/>
              <w:bottom w:val="single" w:sz="4" w:space="0" w:color="auto"/>
              <w:right w:val="single" w:sz="4" w:space="0" w:color="auto"/>
            </w:tcBorders>
            <w:shd w:val="clear" w:color="auto" w:fill="BDD7EE"/>
            <w:vAlign w:val="center"/>
            <w:hideMark/>
          </w:tcPr>
          <w:p w14:paraId="3E75DA86"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Názov</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A4D094A"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Kvalitatívne ukazovatele (pre míľniky)</w:t>
            </w:r>
          </w:p>
        </w:tc>
        <w:tc>
          <w:tcPr>
            <w:tcW w:w="2153" w:type="dxa"/>
            <w:gridSpan w:val="3"/>
            <w:tcBorders>
              <w:top w:val="single" w:sz="4" w:space="0" w:color="auto"/>
              <w:left w:val="nil"/>
              <w:bottom w:val="single" w:sz="4" w:space="0" w:color="auto"/>
              <w:right w:val="single" w:sz="4" w:space="0" w:color="auto"/>
            </w:tcBorders>
            <w:shd w:val="clear" w:color="auto" w:fill="BDD7EE"/>
            <w:vAlign w:val="center"/>
            <w:hideMark/>
          </w:tcPr>
          <w:p w14:paraId="086A4815"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Kvantitatívne ukazovatele (pre ciele)</w:t>
            </w:r>
          </w:p>
        </w:tc>
        <w:tc>
          <w:tcPr>
            <w:tcW w:w="1536" w:type="dxa"/>
            <w:gridSpan w:val="2"/>
            <w:tcBorders>
              <w:top w:val="single" w:sz="4" w:space="0" w:color="auto"/>
              <w:left w:val="nil"/>
              <w:bottom w:val="single" w:sz="4" w:space="0" w:color="auto"/>
              <w:right w:val="single" w:sz="4" w:space="0" w:color="auto"/>
            </w:tcBorders>
            <w:shd w:val="clear" w:color="auto" w:fill="BDD7EE"/>
            <w:vAlign w:val="center"/>
            <w:hideMark/>
          </w:tcPr>
          <w:p w14:paraId="705C0C31"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 xml:space="preserve">Orientačný harmonogram dokončenia </w:t>
            </w:r>
          </w:p>
        </w:tc>
        <w:tc>
          <w:tcPr>
            <w:tcW w:w="524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64CA758" w14:textId="42356C18"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Opis každého míľnika</w:t>
            </w:r>
            <w:r w:rsidR="00083739" w:rsidRPr="00083739">
              <w:rPr>
                <w:rFonts w:cs="Times New Roman"/>
                <w:noProof/>
                <w:lang w:val="sk-SK"/>
              </w:rPr>
              <w:t xml:space="preserve"> a </w:t>
            </w:r>
            <w:r w:rsidRPr="00083739">
              <w:rPr>
                <w:rFonts w:cs="Times New Roman"/>
                <w:noProof/>
                <w:lang w:val="sk-SK"/>
              </w:rPr>
              <w:t>cieľa</w:t>
            </w:r>
          </w:p>
        </w:tc>
      </w:tr>
      <w:tr w:rsidR="002D49B0" w:rsidRPr="00083739" w14:paraId="6F0347DA" w14:textId="77777777">
        <w:trPr>
          <w:trHeight w:val="594"/>
          <w:tblHeader/>
        </w:trPr>
        <w:tc>
          <w:tcPr>
            <w:tcW w:w="1094" w:type="dxa"/>
            <w:vMerge/>
            <w:tcBorders>
              <w:top w:val="single" w:sz="4" w:space="0" w:color="auto"/>
              <w:left w:val="single" w:sz="4" w:space="0" w:color="auto"/>
              <w:bottom w:val="single" w:sz="4" w:space="0" w:color="auto"/>
              <w:right w:val="single" w:sz="4" w:space="0" w:color="auto"/>
            </w:tcBorders>
            <w:vAlign w:val="center"/>
            <w:hideMark/>
          </w:tcPr>
          <w:p w14:paraId="7E3B76E0"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405" w:type="dxa"/>
            <w:vMerge/>
            <w:tcBorders>
              <w:top w:val="single" w:sz="4" w:space="0" w:color="auto"/>
              <w:left w:val="single" w:sz="4" w:space="0" w:color="auto"/>
              <w:bottom w:val="single" w:sz="4" w:space="0" w:color="auto"/>
              <w:right w:val="single" w:sz="4" w:space="0" w:color="auto"/>
            </w:tcBorders>
            <w:vAlign w:val="center"/>
            <w:hideMark/>
          </w:tcPr>
          <w:p w14:paraId="4A4C6922"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182" w:type="dxa"/>
            <w:vMerge/>
            <w:tcBorders>
              <w:top w:val="single" w:sz="4" w:space="0" w:color="auto"/>
              <w:left w:val="single" w:sz="4" w:space="0" w:color="auto"/>
              <w:bottom w:val="single" w:sz="4" w:space="0" w:color="auto"/>
              <w:right w:val="single" w:sz="4" w:space="0" w:color="auto"/>
            </w:tcBorders>
            <w:vAlign w:val="center"/>
            <w:hideMark/>
          </w:tcPr>
          <w:p w14:paraId="706A1DA2"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163" w:type="dxa"/>
            <w:vMerge/>
            <w:tcBorders>
              <w:top w:val="single" w:sz="4" w:space="0" w:color="auto"/>
              <w:left w:val="single" w:sz="4" w:space="0" w:color="auto"/>
              <w:bottom w:val="single" w:sz="4" w:space="0" w:color="auto"/>
              <w:right w:val="single" w:sz="4" w:space="0" w:color="auto"/>
            </w:tcBorders>
            <w:vAlign w:val="center"/>
            <w:hideMark/>
          </w:tcPr>
          <w:p w14:paraId="31FFB95A"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A7681F2"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709"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6F63E8FE"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Merná jednotka</w:t>
            </w:r>
          </w:p>
        </w:tc>
        <w:tc>
          <w:tcPr>
            <w:tcW w:w="857" w:type="dxa"/>
            <w:tcBorders>
              <w:top w:val="nil"/>
              <w:left w:val="nil"/>
              <w:bottom w:val="single" w:sz="4" w:space="0" w:color="auto"/>
              <w:right w:val="single" w:sz="4" w:space="0" w:color="auto"/>
            </w:tcBorders>
            <w:shd w:val="clear" w:color="auto" w:fill="BDD7EE"/>
            <w:vAlign w:val="center"/>
            <w:hideMark/>
          </w:tcPr>
          <w:p w14:paraId="66EE4E6F"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 xml:space="preserve">Základná </w:t>
            </w:r>
          </w:p>
        </w:tc>
        <w:tc>
          <w:tcPr>
            <w:tcW w:w="587" w:type="dxa"/>
            <w:tcBorders>
              <w:top w:val="nil"/>
              <w:left w:val="nil"/>
              <w:bottom w:val="single" w:sz="4" w:space="0" w:color="auto"/>
              <w:right w:val="single" w:sz="4" w:space="0" w:color="auto"/>
            </w:tcBorders>
            <w:shd w:val="clear" w:color="auto" w:fill="BDD7EE"/>
            <w:vAlign w:val="center"/>
            <w:hideMark/>
          </w:tcPr>
          <w:p w14:paraId="5F43E365"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 xml:space="preserve">Cieľ </w:t>
            </w:r>
          </w:p>
        </w:tc>
        <w:tc>
          <w:tcPr>
            <w:tcW w:w="846" w:type="dxa"/>
            <w:tcBorders>
              <w:top w:val="nil"/>
              <w:left w:val="nil"/>
              <w:bottom w:val="single" w:sz="4" w:space="0" w:color="auto"/>
              <w:right w:val="single" w:sz="4" w:space="0" w:color="auto"/>
            </w:tcBorders>
            <w:shd w:val="clear" w:color="auto" w:fill="BDD7EE"/>
            <w:vAlign w:val="center"/>
            <w:hideMark/>
          </w:tcPr>
          <w:p w14:paraId="4A77892F"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Štvrtina</w:t>
            </w:r>
          </w:p>
        </w:tc>
        <w:tc>
          <w:tcPr>
            <w:tcW w:w="690" w:type="dxa"/>
            <w:tcBorders>
              <w:top w:val="nil"/>
              <w:left w:val="nil"/>
              <w:bottom w:val="single" w:sz="4" w:space="0" w:color="auto"/>
              <w:right w:val="single" w:sz="4" w:space="0" w:color="auto"/>
            </w:tcBorders>
            <w:shd w:val="clear" w:color="auto" w:fill="BDD7EE"/>
            <w:vAlign w:val="center"/>
            <w:hideMark/>
          </w:tcPr>
          <w:p w14:paraId="66D6B4B3"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Rok</w:t>
            </w:r>
          </w:p>
        </w:tc>
        <w:tc>
          <w:tcPr>
            <w:tcW w:w="5241" w:type="dxa"/>
            <w:vMerge/>
            <w:tcBorders>
              <w:top w:val="single" w:sz="4" w:space="0" w:color="auto"/>
              <w:bottom w:val="single" w:sz="4" w:space="0" w:color="auto"/>
              <w:right w:val="single" w:sz="4" w:space="0" w:color="auto"/>
            </w:tcBorders>
            <w:vAlign w:val="center"/>
            <w:hideMark/>
          </w:tcPr>
          <w:p w14:paraId="55DF350E"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r>
      <w:tr w:rsidR="002D49B0" w:rsidRPr="00083739" w14:paraId="261E0463" w14:textId="77777777">
        <w:trPr>
          <w:trHeight w:val="313"/>
        </w:trPr>
        <w:tc>
          <w:tcPr>
            <w:tcW w:w="1094" w:type="dxa"/>
            <w:tcBorders>
              <w:top w:val="single" w:sz="4" w:space="0" w:color="auto"/>
              <w:left w:val="single" w:sz="4" w:space="0" w:color="auto"/>
              <w:bottom w:val="single" w:sz="4" w:space="0" w:color="auto"/>
              <w:right w:val="single" w:sz="4" w:space="0" w:color="auto"/>
            </w:tcBorders>
            <w:shd w:val="clear" w:color="auto" w:fill="C6EFCE"/>
            <w:noWrap/>
          </w:tcPr>
          <w:p w14:paraId="6BE87A5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257</w:t>
            </w:r>
          </w:p>
        </w:tc>
        <w:tc>
          <w:tcPr>
            <w:tcW w:w="1405" w:type="dxa"/>
            <w:tcBorders>
              <w:top w:val="single" w:sz="4" w:space="0" w:color="auto"/>
              <w:left w:val="nil"/>
              <w:bottom w:val="single" w:sz="4" w:space="0" w:color="auto"/>
              <w:right w:val="single" w:sz="4" w:space="0" w:color="auto"/>
            </w:tcBorders>
            <w:shd w:val="clear" w:color="auto" w:fill="C6EFCE"/>
            <w:noWrap/>
          </w:tcPr>
          <w:p w14:paraId="50AB51DF" w14:textId="5F3A3233"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17 –</w:t>
            </w:r>
            <w:r w:rsidRPr="00083739">
              <w:rPr>
                <w:rFonts w:ascii="Times New Roman" w:hAnsi="Times New Roman" w:cs="Times New Roman"/>
                <w:noProof/>
                <w:lang w:val="sk-SK"/>
              </w:rPr>
              <w:t xml:space="preserve"> 4.6. Modernizácia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zlepšenie odolnosti kľúčových hospodárskych odvetví – 16631_modernizácia bezpečnosti cestnej premávky</w:t>
            </w:r>
          </w:p>
        </w:tc>
        <w:tc>
          <w:tcPr>
            <w:tcW w:w="1182" w:type="dxa"/>
            <w:tcBorders>
              <w:top w:val="single" w:sz="4" w:space="0" w:color="auto"/>
              <w:left w:val="nil"/>
              <w:bottom w:val="single" w:sz="4" w:space="0" w:color="auto"/>
              <w:right w:val="single" w:sz="4" w:space="0" w:color="auto"/>
            </w:tcBorders>
            <w:shd w:val="clear" w:color="auto" w:fill="C6EFCE"/>
            <w:noWrap/>
          </w:tcPr>
          <w:p w14:paraId="5770BD3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163" w:type="dxa"/>
            <w:tcBorders>
              <w:top w:val="single" w:sz="4" w:space="0" w:color="auto"/>
              <w:left w:val="nil"/>
              <w:bottom w:val="single" w:sz="4" w:space="0" w:color="auto"/>
              <w:right w:val="single" w:sz="4" w:space="0" w:color="auto"/>
            </w:tcBorders>
            <w:shd w:val="clear" w:color="auto" w:fill="C6EFCE"/>
            <w:noWrap/>
          </w:tcPr>
          <w:p w14:paraId="1B18B636" w14:textId="4228E076"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Zadanie zákazky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bezpečnosti cestnej premávky – prvý súbor zákaziek</w:t>
            </w:r>
          </w:p>
        </w:tc>
        <w:tc>
          <w:tcPr>
            <w:tcW w:w="1559" w:type="dxa"/>
            <w:tcBorders>
              <w:top w:val="single" w:sz="4" w:space="0" w:color="auto"/>
              <w:left w:val="nil"/>
              <w:bottom w:val="single" w:sz="4" w:space="0" w:color="auto"/>
              <w:right w:val="single" w:sz="4" w:space="0" w:color="auto"/>
            </w:tcBorders>
            <w:shd w:val="clear" w:color="auto" w:fill="C6EFCE"/>
            <w:noWrap/>
          </w:tcPr>
          <w:p w14:paraId="1E13026C" w14:textId="7F49E1E0"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Oznámenie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zadaní zákaziek na najmenej 2300 mies</w:t>
            </w:r>
            <w:r w:rsidRPr="00083739">
              <w:rPr>
                <w:rFonts w:ascii="Times New Roman" w:hAnsi="Times New Roman" w:cs="Times New Roman"/>
                <w:noProof/>
                <w:lang w:val="sk-SK"/>
              </w:rPr>
              <w:t>t.</w:t>
            </w:r>
          </w:p>
        </w:tc>
        <w:tc>
          <w:tcPr>
            <w:tcW w:w="709" w:type="dxa"/>
            <w:tcBorders>
              <w:top w:val="single" w:sz="4" w:space="0" w:color="auto"/>
              <w:left w:val="nil"/>
              <w:bottom w:val="single" w:sz="4" w:space="0" w:color="auto"/>
              <w:right w:val="single" w:sz="4" w:space="0" w:color="auto"/>
            </w:tcBorders>
            <w:shd w:val="clear" w:color="auto" w:fill="C6EFCE"/>
            <w:noWrap/>
          </w:tcPr>
          <w:p w14:paraId="5A50A3AD"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nil"/>
              <w:left w:val="nil"/>
              <w:bottom w:val="single" w:sz="4" w:space="0" w:color="auto"/>
              <w:right w:val="single" w:sz="4" w:space="0" w:color="auto"/>
            </w:tcBorders>
            <w:shd w:val="clear" w:color="auto" w:fill="C6EFCE"/>
            <w:noWrap/>
          </w:tcPr>
          <w:p w14:paraId="62A417C3"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587" w:type="dxa"/>
            <w:tcBorders>
              <w:top w:val="nil"/>
              <w:left w:val="nil"/>
              <w:bottom w:val="single" w:sz="4" w:space="0" w:color="auto"/>
              <w:right w:val="single" w:sz="4" w:space="0" w:color="auto"/>
            </w:tcBorders>
            <w:shd w:val="clear" w:color="auto" w:fill="C6EFCE"/>
            <w:noWrap/>
          </w:tcPr>
          <w:p w14:paraId="4C306D9B"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6" w:type="dxa"/>
            <w:tcBorders>
              <w:top w:val="nil"/>
              <w:left w:val="nil"/>
              <w:bottom w:val="single" w:sz="4" w:space="0" w:color="auto"/>
              <w:right w:val="single" w:sz="4" w:space="0" w:color="auto"/>
            </w:tcBorders>
            <w:shd w:val="clear" w:color="auto" w:fill="C6EFCE"/>
            <w:noWrap/>
          </w:tcPr>
          <w:p w14:paraId="78E99E0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690" w:type="dxa"/>
            <w:tcBorders>
              <w:top w:val="nil"/>
              <w:left w:val="nil"/>
              <w:bottom w:val="single" w:sz="4" w:space="0" w:color="auto"/>
              <w:right w:val="single" w:sz="4" w:space="0" w:color="auto"/>
            </w:tcBorders>
            <w:shd w:val="clear" w:color="auto" w:fill="C6EFCE"/>
            <w:noWrap/>
          </w:tcPr>
          <w:p w14:paraId="355FB69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2023</w:t>
            </w:r>
          </w:p>
        </w:tc>
        <w:tc>
          <w:tcPr>
            <w:tcW w:w="5241" w:type="dxa"/>
            <w:tcBorders>
              <w:top w:val="nil"/>
              <w:left w:val="nil"/>
              <w:bottom w:val="single" w:sz="4" w:space="0" w:color="auto"/>
              <w:right w:val="single" w:sz="4" w:space="0" w:color="auto"/>
            </w:tcBorders>
            <w:shd w:val="clear" w:color="auto" w:fill="C6EFCE"/>
            <w:noWrap/>
          </w:tcPr>
          <w:p w14:paraId="33ECFFCC" w14:textId="3B718A3D"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Zákazky zadané na najmenej 2300 miest, ktoré zabezpečujú a) zlepšenie bezpečnosti cestnej premávky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 xml:space="preserve">rámci programu „Program na zlepšenie bezpečnosti cestnej premávky (PEVOA)“ na približne 7000 nebezpečných miestach; b) menšie </w:t>
            </w:r>
            <w:r w:rsidRPr="00083739">
              <w:rPr>
                <w:rFonts w:ascii="Times New Roman" w:hAnsi="Times New Roman" w:cs="Times New Roman"/>
                <w:noProof/>
                <w:lang w:val="sk-SK"/>
              </w:rPr>
              <w:t>zlepšenia na zvyšných 2 500 km</w:t>
            </w:r>
          </w:p>
        </w:tc>
      </w:tr>
      <w:tr w:rsidR="002D49B0" w:rsidRPr="00083739" w14:paraId="70110F73" w14:textId="77777777">
        <w:trPr>
          <w:trHeight w:val="313"/>
        </w:trPr>
        <w:tc>
          <w:tcPr>
            <w:tcW w:w="1094" w:type="dxa"/>
            <w:tcBorders>
              <w:top w:val="nil"/>
              <w:left w:val="single" w:sz="4" w:space="0" w:color="auto"/>
              <w:bottom w:val="single" w:sz="4" w:space="0" w:color="auto"/>
              <w:right w:val="single" w:sz="4" w:space="0" w:color="auto"/>
            </w:tcBorders>
            <w:shd w:val="clear" w:color="auto" w:fill="C6EFCE"/>
            <w:noWrap/>
          </w:tcPr>
          <w:p w14:paraId="689B042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258</w:t>
            </w:r>
          </w:p>
        </w:tc>
        <w:tc>
          <w:tcPr>
            <w:tcW w:w="1405" w:type="dxa"/>
            <w:tcBorders>
              <w:top w:val="nil"/>
              <w:left w:val="nil"/>
              <w:bottom w:val="single" w:sz="4" w:space="0" w:color="auto"/>
              <w:right w:val="single" w:sz="4" w:space="0" w:color="auto"/>
            </w:tcBorders>
            <w:shd w:val="clear" w:color="auto" w:fill="C6EFCE"/>
            <w:noWrap/>
          </w:tcPr>
          <w:p w14:paraId="1DFC5E16" w14:textId="0A0C1F96"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17 – 4.6. Modernizácia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zlepšenie odolnosti kľúčových hospodárskych odvetví – 16631_modernizácia bezpečnosti cestnej premávky</w:t>
            </w:r>
          </w:p>
        </w:tc>
        <w:tc>
          <w:tcPr>
            <w:tcW w:w="1182" w:type="dxa"/>
            <w:tcBorders>
              <w:top w:val="nil"/>
              <w:left w:val="nil"/>
              <w:bottom w:val="single" w:sz="4" w:space="0" w:color="auto"/>
              <w:right w:val="single" w:sz="4" w:space="0" w:color="auto"/>
            </w:tcBorders>
            <w:shd w:val="clear" w:color="auto" w:fill="C6EFCE"/>
            <w:noWrap/>
          </w:tcPr>
          <w:p w14:paraId="75B231C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163" w:type="dxa"/>
            <w:tcBorders>
              <w:top w:val="nil"/>
              <w:left w:val="nil"/>
              <w:bottom w:val="single" w:sz="4" w:space="0" w:color="auto"/>
              <w:right w:val="single" w:sz="4" w:space="0" w:color="auto"/>
            </w:tcBorders>
            <w:shd w:val="clear" w:color="auto" w:fill="C6EFCE"/>
            <w:noWrap/>
          </w:tcPr>
          <w:p w14:paraId="502BA90E" w14:textId="2A8074C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Zadávanie zákaziek</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bezpečnosti cestnej premávky – všetky zákazky</w:t>
            </w:r>
          </w:p>
        </w:tc>
        <w:tc>
          <w:tcPr>
            <w:tcW w:w="1559" w:type="dxa"/>
            <w:tcBorders>
              <w:top w:val="nil"/>
              <w:left w:val="nil"/>
              <w:bottom w:val="single" w:sz="4" w:space="0" w:color="auto"/>
              <w:right w:val="single" w:sz="4" w:space="0" w:color="auto"/>
            </w:tcBorders>
            <w:shd w:val="clear" w:color="auto" w:fill="C6EFCE"/>
            <w:noWrap/>
          </w:tcPr>
          <w:p w14:paraId="36016650" w14:textId="5635663E"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Oznámenie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zadaní 100</w:t>
            </w:r>
            <w:r w:rsidR="00083739" w:rsidRPr="00083739">
              <w:rPr>
                <w:rFonts w:ascii="Times New Roman" w:hAnsi="Times New Roman" w:cs="Times New Roman"/>
                <w:noProof/>
                <w:lang w:val="sk-SK"/>
              </w:rPr>
              <w:t> %</w:t>
            </w:r>
            <w:r w:rsidRPr="00083739">
              <w:rPr>
                <w:rFonts w:ascii="Times New Roman" w:hAnsi="Times New Roman" w:cs="Times New Roman"/>
                <w:noProof/>
                <w:lang w:val="sk-SK"/>
              </w:rPr>
              <w:t xml:space="preserve"> zákaziek</w:t>
            </w:r>
          </w:p>
        </w:tc>
        <w:tc>
          <w:tcPr>
            <w:tcW w:w="709" w:type="dxa"/>
            <w:tcBorders>
              <w:top w:val="nil"/>
              <w:left w:val="nil"/>
              <w:bottom w:val="single" w:sz="4" w:space="0" w:color="auto"/>
              <w:right w:val="single" w:sz="4" w:space="0" w:color="auto"/>
            </w:tcBorders>
            <w:shd w:val="clear" w:color="auto" w:fill="C6EFCE"/>
            <w:noWrap/>
          </w:tcPr>
          <w:p w14:paraId="6EBED7F0"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nil"/>
              <w:left w:val="nil"/>
              <w:bottom w:val="single" w:sz="4" w:space="0" w:color="auto"/>
              <w:right w:val="single" w:sz="4" w:space="0" w:color="auto"/>
            </w:tcBorders>
            <w:shd w:val="clear" w:color="auto" w:fill="C6EFCE"/>
            <w:noWrap/>
          </w:tcPr>
          <w:p w14:paraId="2A6EF9F7"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587" w:type="dxa"/>
            <w:tcBorders>
              <w:top w:val="nil"/>
              <w:left w:val="nil"/>
              <w:bottom w:val="single" w:sz="4" w:space="0" w:color="auto"/>
              <w:right w:val="single" w:sz="4" w:space="0" w:color="auto"/>
            </w:tcBorders>
            <w:shd w:val="clear" w:color="auto" w:fill="C6EFCE"/>
            <w:noWrap/>
          </w:tcPr>
          <w:p w14:paraId="7E78423B"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6" w:type="dxa"/>
            <w:tcBorders>
              <w:top w:val="nil"/>
              <w:left w:val="nil"/>
              <w:bottom w:val="single" w:sz="4" w:space="0" w:color="auto"/>
              <w:right w:val="single" w:sz="4" w:space="0" w:color="auto"/>
            </w:tcBorders>
            <w:shd w:val="clear" w:color="auto" w:fill="C6EFCE"/>
            <w:noWrap/>
          </w:tcPr>
          <w:p w14:paraId="6691D8E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690" w:type="dxa"/>
            <w:tcBorders>
              <w:top w:val="nil"/>
              <w:left w:val="nil"/>
              <w:bottom w:val="single" w:sz="4" w:space="0" w:color="auto"/>
              <w:right w:val="single" w:sz="4" w:space="0" w:color="auto"/>
            </w:tcBorders>
            <w:shd w:val="clear" w:color="auto" w:fill="C6EFCE"/>
            <w:noWrap/>
          </w:tcPr>
          <w:p w14:paraId="043AFF5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2024</w:t>
            </w:r>
          </w:p>
        </w:tc>
        <w:tc>
          <w:tcPr>
            <w:tcW w:w="5241" w:type="dxa"/>
            <w:tcBorders>
              <w:top w:val="nil"/>
              <w:left w:val="nil"/>
              <w:bottom w:val="single" w:sz="4" w:space="0" w:color="auto"/>
              <w:right w:val="single" w:sz="4" w:space="0" w:color="auto"/>
            </w:tcBorders>
            <w:shd w:val="clear" w:color="auto" w:fill="C6EFCE"/>
            <w:noWrap/>
          </w:tcPr>
          <w:p w14:paraId="66629C3F" w14:textId="6436F9A2"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Zákazky zadané na a) zlepšenie bezpečnosti cestnej premávky na najmenej 7780 nebezpečných miestach; b) infraštruktúra inteligentného osvetlenia pre 31938 stĺpov</w:t>
            </w:r>
          </w:p>
        </w:tc>
      </w:tr>
      <w:tr w:rsidR="002D49B0" w:rsidRPr="00083739" w14:paraId="59177803" w14:textId="77777777">
        <w:trPr>
          <w:trHeight w:val="313"/>
        </w:trPr>
        <w:tc>
          <w:tcPr>
            <w:tcW w:w="1094" w:type="dxa"/>
            <w:tcBorders>
              <w:top w:val="nil"/>
              <w:left w:val="single" w:sz="4" w:space="0" w:color="auto"/>
              <w:bottom w:val="single" w:sz="4" w:space="0" w:color="auto"/>
              <w:right w:val="single" w:sz="4" w:space="0" w:color="auto"/>
            </w:tcBorders>
            <w:shd w:val="clear" w:color="auto" w:fill="C6EFCE"/>
            <w:noWrap/>
            <w:hideMark/>
          </w:tcPr>
          <w:p w14:paraId="598AA490" w14:textId="77777777"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259</w:t>
            </w:r>
          </w:p>
          <w:p w14:paraId="46F89B15" w14:textId="77777777" w:rsidR="002D49B0" w:rsidRPr="00083739" w:rsidRDefault="002D49B0">
            <w:pPr>
              <w:rPr>
                <w:rFonts w:ascii="Times New Roman" w:eastAsia="Times New Roman" w:hAnsi="Times New Roman" w:cs="Times New Roman"/>
                <w:noProof/>
                <w:sz w:val="18"/>
                <w:szCs w:val="18"/>
                <w:lang w:val="sk-SK"/>
              </w:rPr>
            </w:pPr>
          </w:p>
        </w:tc>
        <w:tc>
          <w:tcPr>
            <w:tcW w:w="1405" w:type="dxa"/>
            <w:tcBorders>
              <w:top w:val="nil"/>
              <w:left w:val="nil"/>
              <w:bottom w:val="single" w:sz="4" w:space="0" w:color="auto"/>
              <w:right w:val="single" w:sz="4" w:space="0" w:color="auto"/>
            </w:tcBorders>
            <w:shd w:val="clear" w:color="auto" w:fill="C6EFCE"/>
            <w:noWrap/>
            <w:hideMark/>
          </w:tcPr>
          <w:p w14:paraId="4A625D14" w14:textId="2698D112"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17 – 4.6. Modernizácia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zlepšenie odolnosti kľúčových hospodárskych odvetví – 16631_modernizácia bezpečnosti cestnej premávky</w:t>
            </w:r>
          </w:p>
        </w:tc>
        <w:tc>
          <w:tcPr>
            <w:tcW w:w="1182" w:type="dxa"/>
            <w:tcBorders>
              <w:top w:val="nil"/>
              <w:left w:val="nil"/>
              <w:bottom w:val="single" w:sz="4" w:space="0" w:color="auto"/>
              <w:right w:val="single" w:sz="4" w:space="0" w:color="auto"/>
            </w:tcBorders>
            <w:shd w:val="clear" w:color="auto" w:fill="C6EFCE"/>
            <w:noWrap/>
            <w:hideMark/>
          </w:tcPr>
          <w:p w14:paraId="3A99AA0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163" w:type="dxa"/>
            <w:tcBorders>
              <w:top w:val="nil"/>
              <w:left w:val="nil"/>
              <w:bottom w:val="single" w:sz="4" w:space="0" w:color="auto"/>
              <w:right w:val="single" w:sz="4" w:space="0" w:color="auto"/>
            </w:tcBorders>
            <w:shd w:val="clear" w:color="auto" w:fill="C6EFCE"/>
            <w:noWrap/>
            <w:hideMark/>
          </w:tcPr>
          <w:p w14:paraId="341D69C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projektu bezpečnosti cestnej premávky</w:t>
            </w:r>
          </w:p>
        </w:tc>
        <w:tc>
          <w:tcPr>
            <w:tcW w:w="1559" w:type="dxa"/>
            <w:tcBorders>
              <w:top w:val="nil"/>
              <w:left w:val="nil"/>
              <w:bottom w:val="single" w:sz="4" w:space="0" w:color="auto"/>
              <w:right w:val="single" w:sz="4" w:space="0" w:color="auto"/>
            </w:tcBorders>
            <w:shd w:val="clear" w:color="auto" w:fill="C6EFCE"/>
            <w:noWrap/>
            <w:hideMark/>
          </w:tcPr>
          <w:p w14:paraId="676F9B7B" w14:textId="070C1159" w:rsidR="002D49B0" w:rsidRPr="00083739" w:rsidRDefault="00BF4125">
            <w:pPr>
              <w:pStyle w:val="P68B1DB1-Normal9"/>
              <w:spacing w:after="0" w:line="240" w:lineRule="auto"/>
              <w:rPr>
                <w:rFonts w:ascii="Times New Roman" w:eastAsia="Times New Roman" w:hAnsi="Times New Roman" w:cs="Times New Roman"/>
                <w:noProof/>
                <w:szCs w:val="18"/>
                <w:highlight w:val="yellow"/>
                <w:lang w:val="sk-SK"/>
              </w:rPr>
            </w:pPr>
            <w:r w:rsidRPr="00083739">
              <w:rPr>
                <w:rFonts w:ascii="Times New Roman" w:hAnsi="Times New Roman" w:cs="Times New Roman"/>
                <w:noProof/>
                <w:lang w:val="sk-SK"/>
              </w:rPr>
              <w:t>dokončenie prác</w:t>
            </w:r>
          </w:p>
        </w:tc>
        <w:tc>
          <w:tcPr>
            <w:tcW w:w="709" w:type="dxa"/>
            <w:tcBorders>
              <w:top w:val="nil"/>
              <w:left w:val="nil"/>
              <w:bottom w:val="single" w:sz="4" w:space="0" w:color="auto"/>
              <w:right w:val="single" w:sz="4" w:space="0" w:color="auto"/>
            </w:tcBorders>
            <w:shd w:val="clear" w:color="auto" w:fill="C6EFCE"/>
            <w:noWrap/>
            <w:hideMark/>
          </w:tcPr>
          <w:p w14:paraId="3FACB39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 </w:t>
            </w:r>
          </w:p>
        </w:tc>
        <w:tc>
          <w:tcPr>
            <w:tcW w:w="857" w:type="dxa"/>
            <w:tcBorders>
              <w:top w:val="nil"/>
              <w:left w:val="nil"/>
              <w:bottom w:val="single" w:sz="4" w:space="0" w:color="auto"/>
              <w:right w:val="single" w:sz="4" w:space="0" w:color="auto"/>
            </w:tcBorders>
            <w:shd w:val="clear" w:color="auto" w:fill="C6EFCE"/>
            <w:noWrap/>
            <w:hideMark/>
          </w:tcPr>
          <w:p w14:paraId="5F73B0D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 </w:t>
            </w:r>
          </w:p>
        </w:tc>
        <w:tc>
          <w:tcPr>
            <w:tcW w:w="587" w:type="dxa"/>
            <w:tcBorders>
              <w:top w:val="nil"/>
              <w:left w:val="nil"/>
              <w:bottom w:val="single" w:sz="4" w:space="0" w:color="auto"/>
              <w:right w:val="single" w:sz="4" w:space="0" w:color="auto"/>
            </w:tcBorders>
            <w:shd w:val="clear" w:color="auto" w:fill="C6EFCE"/>
            <w:noWrap/>
            <w:hideMark/>
          </w:tcPr>
          <w:p w14:paraId="7454901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 </w:t>
            </w:r>
          </w:p>
        </w:tc>
        <w:tc>
          <w:tcPr>
            <w:tcW w:w="846" w:type="dxa"/>
            <w:tcBorders>
              <w:top w:val="nil"/>
              <w:left w:val="nil"/>
              <w:bottom w:val="single" w:sz="4" w:space="0" w:color="auto"/>
              <w:right w:val="single" w:sz="4" w:space="0" w:color="auto"/>
            </w:tcBorders>
            <w:shd w:val="clear" w:color="auto" w:fill="C6EFCE"/>
            <w:noWrap/>
            <w:hideMark/>
          </w:tcPr>
          <w:p w14:paraId="6B285D4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 </w:t>
            </w:r>
          </w:p>
        </w:tc>
        <w:tc>
          <w:tcPr>
            <w:tcW w:w="690" w:type="dxa"/>
            <w:tcBorders>
              <w:top w:val="nil"/>
              <w:left w:val="nil"/>
              <w:bottom w:val="single" w:sz="4" w:space="0" w:color="auto"/>
              <w:right w:val="single" w:sz="4" w:space="0" w:color="auto"/>
            </w:tcBorders>
            <w:shd w:val="clear" w:color="auto" w:fill="C6EFCE"/>
            <w:noWrap/>
            <w:hideMark/>
          </w:tcPr>
          <w:p w14:paraId="068E688C" w14:textId="3C33992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5241" w:type="dxa"/>
            <w:tcBorders>
              <w:top w:val="nil"/>
              <w:left w:val="nil"/>
              <w:bottom w:val="single" w:sz="4" w:space="0" w:color="auto"/>
              <w:right w:val="single" w:sz="4" w:space="0" w:color="auto"/>
            </w:tcBorders>
            <w:shd w:val="clear" w:color="auto" w:fill="C6EFCE"/>
            <w:noWrap/>
            <w:hideMark/>
          </w:tcPr>
          <w:p w14:paraId="204D85EC" w14:textId="4A545821"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projektu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dosiahnutie a) zlepšenia bezpečnosti cestnej premávky na najmenej 7780 nebezpečných miestach; b) 31938 osvetľovacích stĺpov</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inteligentným vedením</w:t>
            </w:r>
          </w:p>
        </w:tc>
      </w:tr>
    </w:tbl>
    <w:p w14:paraId="7463FDA7" w14:textId="77777777" w:rsidR="002D49B0" w:rsidRPr="00083739" w:rsidRDefault="00BF4125">
      <w:pPr>
        <w:pStyle w:val="P68B1DB1-Normal6"/>
        <w:keepNext/>
        <w:keepLines/>
        <w:spacing w:before="240" w:after="240" w:line="240" w:lineRule="auto"/>
        <w:jc w:val="both"/>
        <w:outlineLvl w:val="4"/>
        <w:rPr>
          <w:rFonts w:ascii="Times New Roman" w:eastAsia="Times New Roman" w:hAnsi="Times New Roman" w:cs="Times New Roman"/>
          <w:noProof/>
          <w:lang w:val="sk-SK"/>
        </w:rPr>
      </w:pPr>
      <w:r w:rsidRPr="00083739">
        <w:rPr>
          <w:rFonts w:ascii="Times New Roman" w:hAnsi="Times New Roman" w:cs="Times New Roman"/>
          <w:noProof/>
          <w:lang w:val="sk-SK"/>
        </w:rPr>
        <w:t>Najvyššia investícia 8: Cretan Northern Highway (severná diaľnica Cretan)</w:t>
      </w:r>
    </w:p>
    <w:tbl>
      <w:tblPr>
        <w:tblW w:w="15618" w:type="dxa"/>
        <w:jc w:val="center"/>
        <w:tblLook w:val="04A0" w:firstRow="1" w:lastRow="0" w:firstColumn="1" w:lastColumn="0" w:noHBand="0" w:noVBand="1"/>
      </w:tblPr>
      <w:tblGrid>
        <w:gridCol w:w="1129"/>
        <w:gridCol w:w="1296"/>
        <w:gridCol w:w="1115"/>
        <w:gridCol w:w="1137"/>
        <w:gridCol w:w="1368"/>
        <w:gridCol w:w="1700"/>
        <w:gridCol w:w="1249"/>
        <w:gridCol w:w="838"/>
        <w:gridCol w:w="1233"/>
        <w:gridCol w:w="852"/>
        <w:gridCol w:w="3894"/>
      </w:tblGrid>
      <w:tr w:rsidR="002D49B0" w:rsidRPr="00083739" w14:paraId="12E7C184" w14:textId="77777777">
        <w:trPr>
          <w:trHeight w:val="939"/>
          <w:tblHeader/>
          <w:jc w:val="center"/>
        </w:trPr>
        <w:tc>
          <w:tcPr>
            <w:tcW w:w="112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B06E575"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Poradové číslo</w:t>
            </w:r>
          </w:p>
        </w:tc>
        <w:tc>
          <w:tcPr>
            <w:tcW w:w="1252"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29D81AA"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 xml:space="preserve">Súvisiace </w:t>
            </w:r>
            <w:r w:rsidRPr="00083739">
              <w:rPr>
                <w:rFonts w:cs="Times New Roman"/>
                <w:noProof/>
                <w:lang w:val="sk-SK"/>
              </w:rPr>
              <w:t>opatrenie (reforma alebo investícia)</w:t>
            </w:r>
          </w:p>
        </w:tc>
        <w:tc>
          <w:tcPr>
            <w:tcW w:w="96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F840729"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Míľnik/cieľ</w:t>
            </w:r>
          </w:p>
        </w:tc>
        <w:tc>
          <w:tcPr>
            <w:tcW w:w="113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71396C5"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Názov</w:t>
            </w:r>
          </w:p>
        </w:tc>
        <w:tc>
          <w:tcPr>
            <w:tcW w:w="136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58BEC77"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Kvalitatívne ukazovatele (pre míľniky)</w:t>
            </w:r>
          </w:p>
        </w:tc>
        <w:tc>
          <w:tcPr>
            <w:tcW w:w="3787" w:type="dxa"/>
            <w:gridSpan w:val="3"/>
            <w:tcBorders>
              <w:top w:val="single" w:sz="4" w:space="0" w:color="auto"/>
              <w:left w:val="single" w:sz="4" w:space="0" w:color="auto"/>
              <w:bottom w:val="single" w:sz="4" w:space="0" w:color="auto"/>
              <w:right w:val="single" w:sz="4" w:space="0" w:color="auto"/>
            </w:tcBorders>
            <w:shd w:val="clear" w:color="auto" w:fill="BDD7EE"/>
            <w:vAlign w:val="center"/>
            <w:hideMark/>
          </w:tcPr>
          <w:p w14:paraId="73FB7675"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Kvantitatívne ukazovatele (pre ciele)</w:t>
            </w:r>
          </w:p>
        </w:tc>
        <w:tc>
          <w:tcPr>
            <w:tcW w:w="2085" w:type="dxa"/>
            <w:gridSpan w:val="2"/>
            <w:tcBorders>
              <w:top w:val="single" w:sz="4" w:space="0" w:color="auto"/>
              <w:left w:val="nil"/>
              <w:bottom w:val="single" w:sz="4" w:space="0" w:color="auto"/>
              <w:right w:val="single" w:sz="4" w:space="0" w:color="auto"/>
            </w:tcBorders>
            <w:shd w:val="clear" w:color="auto" w:fill="BDD7EE"/>
            <w:vAlign w:val="center"/>
            <w:hideMark/>
          </w:tcPr>
          <w:p w14:paraId="10FC4F8E"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 xml:space="preserve">Orientačný harmonogram dokončenia </w:t>
            </w:r>
          </w:p>
        </w:tc>
        <w:tc>
          <w:tcPr>
            <w:tcW w:w="389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A84C78A" w14:textId="603DF36F"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Opis každého míľnika</w:t>
            </w:r>
            <w:r w:rsidR="00083739" w:rsidRPr="00083739">
              <w:rPr>
                <w:rFonts w:cs="Times New Roman"/>
                <w:noProof/>
                <w:lang w:val="sk-SK"/>
              </w:rPr>
              <w:t xml:space="preserve"> a </w:t>
            </w:r>
            <w:r w:rsidRPr="00083739">
              <w:rPr>
                <w:rFonts w:cs="Times New Roman"/>
                <w:noProof/>
                <w:lang w:val="sk-SK"/>
              </w:rPr>
              <w:t>cieľa</w:t>
            </w:r>
          </w:p>
        </w:tc>
      </w:tr>
      <w:tr w:rsidR="002D49B0" w:rsidRPr="00083739" w14:paraId="33F08BA6" w14:textId="77777777">
        <w:trPr>
          <w:trHeight w:val="431"/>
          <w:tblHeader/>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5FF7AA43"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252" w:type="dxa"/>
            <w:vMerge/>
            <w:tcBorders>
              <w:top w:val="single" w:sz="4" w:space="0" w:color="auto"/>
              <w:left w:val="single" w:sz="4" w:space="0" w:color="auto"/>
              <w:bottom w:val="single" w:sz="4" w:space="0" w:color="auto"/>
              <w:right w:val="single" w:sz="4" w:space="0" w:color="auto"/>
            </w:tcBorders>
            <w:vAlign w:val="center"/>
            <w:hideMark/>
          </w:tcPr>
          <w:p w14:paraId="3B4BA6DB"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966" w:type="dxa"/>
            <w:vMerge/>
            <w:tcBorders>
              <w:top w:val="single" w:sz="4" w:space="0" w:color="auto"/>
              <w:left w:val="single" w:sz="4" w:space="0" w:color="auto"/>
              <w:bottom w:val="single" w:sz="4" w:space="0" w:color="auto"/>
              <w:right w:val="single" w:sz="4" w:space="0" w:color="auto"/>
            </w:tcBorders>
            <w:vAlign w:val="center"/>
            <w:hideMark/>
          </w:tcPr>
          <w:p w14:paraId="604CE338"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137" w:type="dxa"/>
            <w:vMerge/>
            <w:tcBorders>
              <w:top w:val="single" w:sz="4" w:space="0" w:color="auto"/>
              <w:left w:val="single" w:sz="4" w:space="0" w:color="auto"/>
              <w:bottom w:val="single" w:sz="4" w:space="0" w:color="auto"/>
              <w:right w:val="single" w:sz="4" w:space="0" w:color="auto"/>
            </w:tcBorders>
            <w:vAlign w:val="center"/>
            <w:hideMark/>
          </w:tcPr>
          <w:p w14:paraId="00B5B603"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368" w:type="dxa"/>
            <w:vMerge/>
            <w:tcBorders>
              <w:top w:val="single" w:sz="4" w:space="0" w:color="auto"/>
              <w:left w:val="single" w:sz="4" w:space="0" w:color="auto"/>
              <w:bottom w:val="single" w:sz="4" w:space="0" w:color="auto"/>
              <w:right w:val="single" w:sz="4" w:space="0" w:color="auto"/>
            </w:tcBorders>
            <w:vAlign w:val="center"/>
            <w:hideMark/>
          </w:tcPr>
          <w:p w14:paraId="56143C53"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700"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615B0E93"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Merná jednotka</w:t>
            </w:r>
          </w:p>
        </w:tc>
        <w:tc>
          <w:tcPr>
            <w:tcW w:w="1249" w:type="dxa"/>
            <w:tcBorders>
              <w:top w:val="nil"/>
              <w:left w:val="nil"/>
              <w:bottom w:val="single" w:sz="4" w:space="0" w:color="auto"/>
              <w:right w:val="single" w:sz="4" w:space="0" w:color="auto"/>
            </w:tcBorders>
            <w:shd w:val="clear" w:color="auto" w:fill="BDD7EE"/>
            <w:vAlign w:val="center"/>
            <w:hideMark/>
          </w:tcPr>
          <w:p w14:paraId="7D4AFB36"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 xml:space="preserve">Základná </w:t>
            </w:r>
          </w:p>
        </w:tc>
        <w:tc>
          <w:tcPr>
            <w:tcW w:w="838" w:type="dxa"/>
            <w:tcBorders>
              <w:top w:val="nil"/>
              <w:left w:val="nil"/>
              <w:bottom w:val="single" w:sz="4" w:space="0" w:color="auto"/>
              <w:right w:val="single" w:sz="4" w:space="0" w:color="auto"/>
            </w:tcBorders>
            <w:shd w:val="clear" w:color="auto" w:fill="BDD7EE"/>
            <w:vAlign w:val="center"/>
            <w:hideMark/>
          </w:tcPr>
          <w:p w14:paraId="40943057"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 xml:space="preserve">Cieľ </w:t>
            </w:r>
          </w:p>
        </w:tc>
        <w:tc>
          <w:tcPr>
            <w:tcW w:w="1233" w:type="dxa"/>
            <w:tcBorders>
              <w:top w:val="nil"/>
              <w:left w:val="nil"/>
              <w:bottom w:val="single" w:sz="4" w:space="0" w:color="auto"/>
              <w:right w:val="single" w:sz="4" w:space="0" w:color="auto"/>
            </w:tcBorders>
            <w:shd w:val="clear" w:color="auto" w:fill="BDD7EE"/>
            <w:vAlign w:val="center"/>
            <w:hideMark/>
          </w:tcPr>
          <w:p w14:paraId="100F5ED6"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Štvrtina</w:t>
            </w:r>
          </w:p>
        </w:tc>
        <w:tc>
          <w:tcPr>
            <w:tcW w:w="852" w:type="dxa"/>
            <w:tcBorders>
              <w:top w:val="nil"/>
              <w:left w:val="nil"/>
              <w:bottom w:val="single" w:sz="4" w:space="0" w:color="auto"/>
              <w:right w:val="single" w:sz="4" w:space="0" w:color="auto"/>
            </w:tcBorders>
            <w:shd w:val="clear" w:color="auto" w:fill="BDD7EE"/>
            <w:vAlign w:val="center"/>
            <w:hideMark/>
          </w:tcPr>
          <w:p w14:paraId="38B5FA6E"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Rok</w:t>
            </w:r>
          </w:p>
        </w:tc>
        <w:tc>
          <w:tcPr>
            <w:tcW w:w="3894" w:type="dxa"/>
            <w:vMerge/>
            <w:tcBorders>
              <w:top w:val="single" w:sz="4" w:space="0" w:color="auto"/>
              <w:bottom w:val="single" w:sz="4" w:space="0" w:color="auto"/>
              <w:right w:val="single" w:sz="4" w:space="0" w:color="auto"/>
            </w:tcBorders>
            <w:vAlign w:val="center"/>
            <w:hideMark/>
          </w:tcPr>
          <w:p w14:paraId="38551AC3"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r>
      <w:tr w:rsidR="002D49B0" w:rsidRPr="00083739" w14:paraId="31D253DB" w14:textId="77777777">
        <w:trPr>
          <w:trHeight w:val="2161"/>
          <w:jc w:val="center"/>
        </w:trPr>
        <w:tc>
          <w:tcPr>
            <w:tcW w:w="1129" w:type="dxa"/>
            <w:tcBorders>
              <w:top w:val="single" w:sz="4" w:space="0" w:color="auto"/>
              <w:left w:val="single" w:sz="4" w:space="0" w:color="auto"/>
              <w:bottom w:val="single" w:sz="4" w:space="0" w:color="auto"/>
              <w:right w:val="single" w:sz="4" w:space="0" w:color="auto"/>
            </w:tcBorders>
            <w:shd w:val="clear" w:color="auto" w:fill="C6EFCE"/>
            <w:noWrap/>
          </w:tcPr>
          <w:p w14:paraId="2E2A2CD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260</w:t>
            </w:r>
          </w:p>
        </w:tc>
        <w:tc>
          <w:tcPr>
            <w:tcW w:w="1252" w:type="dxa"/>
            <w:tcBorders>
              <w:top w:val="single" w:sz="4" w:space="0" w:color="auto"/>
              <w:left w:val="nil"/>
              <w:bottom w:val="single" w:sz="4" w:space="0" w:color="auto"/>
              <w:right w:val="single" w:sz="4" w:space="0" w:color="auto"/>
            </w:tcBorders>
            <w:shd w:val="clear" w:color="auto" w:fill="C6EFCE"/>
            <w:noWrap/>
          </w:tcPr>
          <w:p w14:paraId="2307A753" w14:textId="704747E6"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17 –</w:t>
            </w:r>
            <w:r w:rsidRPr="00083739">
              <w:rPr>
                <w:rFonts w:ascii="Times New Roman" w:hAnsi="Times New Roman" w:cs="Times New Roman"/>
                <w:noProof/>
                <w:lang w:val="sk-SK"/>
              </w:rPr>
              <w:t xml:space="preserve"> 4.6. Modernizácia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zlepšenie odolnosti kľúčových hospodárskych odvetví – 16630_Cretan Northern Highway (severná diaľnica).</w:t>
            </w:r>
          </w:p>
        </w:tc>
        <w:tc>
          <w:tcPr>
            <w:tcW w:w="966" w:type="dxa"/>
            <w:tcBorders>
              <w:top w:val="single" w:sz="4" w:space="0" w:color="auto"/>
              <w:left w:val="nil"/>
              <w:bottom w:val="single" w:sz="4" w:space="0" w:color="auto"/>
              <w:right w:val="single" w:sz="4" w:space="0" w:color="auto"/>
            </w:tcBorders>
            <w:shd w:val="clear" w:color="auto" w:fill="C6EFCE"/>
            <w:noWrap/>
          </w:tcPr>
          <w:p w14:paraId="77AAE5D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137" w:type="dxa"/>
            <w:tcBorders>
              <w:top w:val="single" w:sz="4" w:space="0" w:color="auto"/>
              <w:left w:val="nil"/>
              <w:bottom w:val="single" w:sz="4" w:space="0" w:color="auto"/>
              <w:right w:val="single" w:sz="4" w:space="0" w:color="auto"/>
            </w:tcBorders>
            <w:shd w:val="clear" w:color="auto" w:fill="C6EFCE"/>
            <w:noWrap/>
          </w:tcPr>
          <w:p w14:paraId="7240E011" w14:textId="1F0656C3"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Oznámenie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zadaní zákaziek na tri podprojekty BOAK</w:t>
            </w:r>
          </w:p>
        </w:tc>
        <w:tc>
          <w:tcPr>
            <w:tcW w:w="1368" w:type="dxa"/>
            <w:tcBorders>
              <w:top w:val="single" w:sz="4" w:space="0" w:color="auto"/>
              <w:left w:val="nil"/>
              <w:bottom w:val="single" w:sz="4" w:space="0" w:color="auto"/>
              <w:right w:val="single" w:sz="4" w:space="0" w:color="auto"/>
            </w:tcBorders>
            <w:shd w:val="clear" w:color="auto" w:fill="C6EFCE"/>
            <w:noWrap/>
          </w:tcPr>
          <w:p w14:paraId="3DE0E064" w14:textId="66828F35"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Oznámenie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zadaní zákazky</w:t>
            </w:r>
          </w:p>
        </w:tc>
        <w:tc>
          <w:tcPr>
            <w:tcW w:w="1700" w:type="dxa"/>
            <w:tcBorders>
              <w:top w:val="single" w:sz="4" w:space="0" w:color="auto"/>
              <w:left w:val="nil"/>
              <w:bottom w:val="single" w:sz="4" w:space="0" w:color="auto"/>
              <w:right w:val="single" w:sz="4" w:space="0" w:color="auto"/>
            </w:tcBorders>
            <w:shd w:val="clear" w:color="auto" w:fill="C6EFCE"/>
            <w:noWrap/>
          </w:tcPr>
          <w:p w14:paraId="770D2BAD"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249" w:type="dxa"/>
            <w:tcBorders>
              <w:top w:val="nil"/>
              <w:left w:val="nil"/>
              <w:bottom w:val="single" w:sz="4" w:space="0" w:color="auto"/>
              <w:right w:val="single" w:sz="4" w:space="0" w:color="auto"/>
            </w:tcBorders>
            <w:shd w:val="clear" w:color="auto" w:fill="C6EFCE"/>
            <w:noWrap/>
          </w:tcPr>
          <w:p w14:paraId="4F517366"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38" w:type="dxa"/>
            <w:tcBorders>
              <w:top w:val="nil"/>
              <w:left w:val="nil"/>
              <w:bottom w:val="single" w:sz="4" w:space="0" w:color="auto"/>
              <w:right w:val="single" w:sz="4" w:space="0" w:color="auto"/>
            </w:tcBorders>
            <w:shd w:val="clear" w:color="auto" w:fill="C6EFCE"/>
            <w:noWrap/>
          </w:tcPr>
          <w:p w14:paraId="02C4EB19"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233" w:type="dxa"/>
            <w:tcBorders>
              <w:top w:val="nil"/>
              <w:left w:val="nil"/>
              <w:bottom w:val="single" w:sz="4" w:space="0" w:color="auto"/>
              <w:right w:val="single" w:sz="4" w:space="0" w:color="auto"/>
            </w:tcBorders>
            <w:shd w:val="clear" w:color="auto" w:fill="C6EFCE"/>
            <w:noWrap/>
          </w:tcPr>
          <w:p w14:paraId="577BC5C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852" w:type="dxa"/>
            <w:tcBorders>
              <w:top w:val="nil"/>
              <w:left w:val="nil"/>
              <w:bottom w:val="single" w:sz="4" w:space="0" w:color="auto"/>
              <w:right w:val="single" w:sz="4" w:space="0" w:color="auto"/>
            </w:tcBorders>
            <w:shd w:val="clear" w:color="auto" w:fill="C6EFCE"/>
            <w:noWrap/>
          </w:tcPr>
          <w:p w14:paraId="425FE0E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2023</w:t>
            </w:r>
          </w:p>
        </w:tc>
        <w:tc>
          <w:tcPr>
            <w:tcW w:w="3894" w:type="dxa"/>
            <w:tcBorders>
              <w:top w:val="single" w:sz="4" w:space="0" w:color="auto"/>
              <w:left w:val="nil"/>
              <w:bottom w:val="single" w:sz="4" w:space="0" w:color="auto"/>
              <w:right w:val="single" w:sz="4" w:space="0" w:color="auto"/>
            </w:tcBorders>
            <w:shd w:val="clear" w:color="auto" w:fill="C6EFCE"/>
            <w:noWrap/>
          </w:tcPr>
          <w:p w14:paraId="7344CF51" w14:textId="4770FE6D"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Oznámenie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 xml:space="preserve">zadaní </w:t>
            </w:r>
            <w:r w:rsidRPr="00083739">
              <w:rPr>
                <w:rFonts w:ascii="Times New Roman" w:hAnsi="Times New Roman" w:cs="Times New Roman"/>
                <w:noProof/>
                <w:lang w:val="sk-SK"/>
              </w:rPr>
              <w:t>zákazky na a) koncesnú zmluvu; b) verejno-súkromné partnerstvo;</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c) verejné práce.</w:t>
            </w:r>
          </w:p>
        </w:tc>
      </w:tr>
      <w:tr w:rsidR="002D49B0" w:rsidRPr="00083739" w14:paraId="44F500C6" w14:textId="77777777">
        <w:trPr>
          <w:trHeight w:val="313"/>
          <w:jc w:val="center"/>
        </w:trPr>
        <w:tc>
          <w:tcPr>
            <w:tcW w:w="1129" w:type="dxa"/>
            <w:tcBorders>
              <w:top w:val="nil"/>
              <w:left w:val="single" w:sz="4" w:space="0" w:color="auto"/>
              <w:bottom w:val="single" w:sz="4" w:space="0" w:color="auto"/>
              <w:right w:val="single" w:sz="4" w:space="0" w:color="auto"/>
            </w:tcBorders>
            <w:shd w:val="clear" w:color="auto" w:fill="C6EFCE"/>
            <w:noWrap/>
            <w:hideMark/>
          </w:tcPr>
          <w:p w14:paraId="36C610C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262</w:t>
            </w:r>
          </w:p>
        </w:tc>
        <w:tc>
          <w:tcPr>
            <w:tcW w:w="1252" w:type="dxa"/>
            <w:tcBorders>
              <w:top w:val="nil"/>
              <w:left w:val="nil"/>
              <w:bottom w:val="single" w:sz="4" w:space="0" w:color="auto"/>
              <w:right w:val="single" w:sz="4" w:space="0" w:color="auto"/>
            </w:tcBorders>
            <w:shd w:val="clear" w:color="auto" w:fill="C6EFCE"/>
            <w:noWrap/>
            <w:hideMark/>
          </w:tcPr>
          <w:p w14:paraId="677E4CDA" w14:textId="51957CD6"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17 – 4.6. Modernizácia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zlepšenie odolnosti kľúčových hospodárskych odvetví – 16630_Cretan Northern Highway (severná diaľnica).</w:t>
            </w:r>
          </w:p>
        </w:tc>
        <w:tc>
          <w:tcPr>
            <w:tcW w:w="966" w:type="dxa"/>
            <w:tcBorders>
              <w:top w:val="nil"/>
              <w:left w:val="nil"/>
              <w:bottom w:val="single" w:sz="4" w:space="0" w:color="auto"/>
              <w:right w:val="single" w:sz="4" w:space="0" w:color="auto"/>
            </w:tcBorders>
            <w:shd w:val="clear" w:color="auto" w:fill="C6EFCE"/>
            <w:noWrap/>
            <w:hideMark/>
          </w:tcPr>
          <w:p w14:paraId="735727A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137" w:type="dxa"/>
            <w:tcBorders>
              <w:top w:val="nil"/>
              <w:left w:val="nil"/>
              <w:bottom w:val="single" w:sz="4" w:space="0" w:color="auto"/>
              <w:right w:val="single" w:sz="4" w:space="0" w:color="auto"/>
            </w:tcBorders>
            <w:shd w:val="clear" w:color="auto" w:fill="C6EFCE"/>
            <w:noWrap/>
            <w:hideMark/>
          </w:tcPr>
          <w:p w14:paraId="71981C8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projektu BOAK</w:t>
            </w:r>
          </w:p>
        </w:tc>
        <w:tc>
          <w:tcPr>
            <w:tcW w:w="1368" w:type="dxa"/>
            <w:tcBorders>
              <w:top w:val="nil"/>
              <w:left w:val="nil"/>
              <w:bottom w:val="single" w:sz="4" w:space="0" w:color="auto"/>
              <w:right w:val="single" w:sz="4" w:space="0" w:color="auto"/>
            </w:tcBorders>
            <w:shd w:val="clear" w:color="auto" w:fill="C6EFCE"/>
            <w:noWrap/>
            <w:hideMark/>
          </w:tcPr>
          <w:p w14:paraId="738C8877" w14:textId="00630969"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Dokončenie prác </w:t>
            </w:r>
          </w:p>
        </w:tc>
        <w:tc>
          <w:tcPr>
            <w:tcW w:w="1700" w:type="dxa"/>
            <w:tcBorders>
              <w:top w:val="nil"/>
              <w:left w:val="nil"/>
              <w:bottom w:val="single" w:sz="4" w:space="0" w:color="auto"/>
              <w:right w:val="single" w:sz="4" w:space="0" w:color="auto"/>
            </w:tcBorders>
            <w:shd w:val="clear" w:color="auto" w:fill="C6EFCE"/>
            <w:noWrap/>
            <w:hideMark/>
          </w:tcPr>
          <w:p w14:paraId="715C3A6F"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249" w:type="dxa"/>
            <w:tcBorders>
              <w:top w:val="nil"/>
              <w:left w:val="nil"/>
              <w:bottom w:val="single" w:sz="4" w:space="0" w:color="auto"/>
              <w:right w:val="single" w:sz="4" w:space="0" w:color="auto"/>
            </w:tcBorders>
            <w:shd w:val="clear" w:color="auto" w:fill="C6EFCE"/>
            <w:noWrap/>
            <w:hideMark/>
          </w:tcPr>
          <w:p w14:paraId="7A3AA23E"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38" w:type="dxa"/>
            <w:tcBorders>
              <w:top w:val="nil"/>
              <w:left w:val="nil"/>
              <w:bottom w:val="single" w:sz="4" w:space="0" w:color="auto"/>
              <w:right w:val="single" w:sz="4" w:space="0" w:color="auto"/>
            </w:tcBorders>
            <w:shd w:val="clear" w:color="auto" w:fill="C6EFCE"/>
            <w:noWrap/>
            <w:hideMark/>
          </w:tcPr>
          <w:p w14:paraId="366F1059"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233" w:type="dxa"/>
            <w:tcBorders>
              <w:top w:val="nil"/>
              <w:left w:val="nil"/>
              <w:bottom w:val="single" w:sz="4" w:space="0" w:color="auto"/>
              <w:right w:val="single" w:sz="4" w:space="0" w:color="auto"/>
            </w:tcBorders>
            <w:shd w:val="clear" w:color="auto" w:fill="C6EFCE"/>
            <w:noWrap/>
            <w:hideMark/>
          </w:tcPr>
          <w:p w14:paraId="5DD2E87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852" w:type="dxa"/>
            <w:tcBorders>
              <w:top w:val="nil"/>
              <w:left w:val="nil"/>
              <w:bottom w:val="single" w:sz="4" w:space="0" w:color="auto"/>
              <w:right w:val="single" w:sz="4" w:space="0" w:color="auto"/>
            </w:tcBorders>
            <w:shd w:val="clear" w:color="auto" w:fill="C6EFCE"/>
            <w:noWrap/>
            <w:hideMark/>
          </w:tcPr>
          <w:p w14:paraId="7F2E128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3894" w:type="dxa"/>
            <w:tcBorders>
              <w:top w:val="nil"/>
              <w:left w:val="nil"/>
              <w:bottom w:val="single" w:sz="4" w:space="0" w:color="auto"/>
              <w:right w:val="single" w:sz="4" w:space="0" w:color="auto"/>
            </w:tcBorders>
            <w:shd w:val="clear" w:color="auto" w:fill="C6EFCE"/>
            <w:noWrap/>
            <w:hideMark/>
          </w:tcPr>
          <w:p w14:paraId="228EA264" w14:textId="11059B9E" w:rsidR="002D49B0" w:rsidRPr="00083739" w:rsidRDefault="00BF4125">
            <w:pPr>
              <w:spacing w:after="0" w:line="240" w:lineRule="auto"/>
              <w:rPr>
                <w:rFonts w:ascii="Times New Roman" w:hAnsi="Times New Roman" w:cs="Times New Roman"/>
                <w:noProof/>
                <w:color w:val="006100"/>
                <w:sz w:val="18"/>
                <w:szCs w:val="18"/>
                <w:lang w:val="sk-SK"/>
              </w:rPr>
            </w:pPr>
            <w:r w:rsidRPr="00083739">
              <w:rPr>
                <w:rFonts w:ascii="Times New Roman" w:hAnsi="Times New Roman" w:cs="Times New Roman"/>
                <w:noProof/>
                <w:color w:val="006100"/>
                <w:sz w:val="18"/>
                <w:szCs w:val="18"/>
                <w:lang w:val="sk-SK"/>
              </w:rPr>
              <w:t>Tretí čiastkový projekt: (Neapolis-Agios Nikolaos) dokončený</w:t>
            </w:r>
            <w:r w:rsidR="00083739" w:rsidRPr="00083739">
              <w:rPr>
                <w:rFonts w:ascii="Times New Roman" w:hAnsi="Times New Roman" w:cs="Times New Roman"/>
                <w:noProof/>
                <w:color w:val="006100"/>
                <w:sz w:val="18"/>
                <w:szCs w:val="18"/>
                <w:lang w:val="sk-SK"/>
              </w:rPr>
              <w:t xml:space="preserve"> a v </w:t>
            </w:r>
            <w:r w:rsidRPr="00083739">
              <w:rPr>
                <w:rFonts w:ascii="Times New Roman" w:hAnsi="Times New Roman" w:cs="Times New Roman"/>
                <w:noProof/>
                <w:color w:val="006100"/>
                <w:sz w:val="18"/>
                <w:szCs w:val="18"/>
                <w:lang w:val="sk-SK"/>
              </w:rPr>
              <w:t>prevádzke. Druhý čiastkový projekt: (Hersonisos – Neapolis) dokončenie:</w:t>
            </w:r>
            <w:r w:rsidRPr="00083739">
              <w:rPr>
                <w:rFonts w:ascii="Times New Roman" w:hAnsi="Times New Roman" w:cs="Times New Roman"/>
                <w:noProof/>
                <w:lang w:val="sk-SK"/>
              </w:rPr>
              <w:t xml:space="preserve"> </w:t>
            </w:r>
            <w:r w:rsidRPr="00083739">
              <w:rPr>
                <w:rFonts w:ascii="Times New Roman" w:hAnsi="Times New Roman" w:cs="Times New Roman"/>
                <w:noProof/>
                <w:color w:val="006100"/>
                <w:sz w:val="18"/>
                <w:szCs w:val="18"/>
                <w:lang w:val="sk-SK"/>
              </w:rPr>
              <w:t>všetky návrhy</w:t>
            </w:r>
            <w:r w:rsidR="00083739" w:rsidRPr="00083739">
              <w:rPr>
                <w:rFonts w:ascii="Times New Roman" w:hAnsi="Times New Roman" w:cs="Times New Roman"/>
                <w:noProof/>
                <w:color w:val="006100"/>
                <w:sz w:val="18"/>
                <w:szCs w:val="18"/>
                <w:lang w:val="sk-SK"/>
              </w:rPr>
              <w:t xml:space="preserve"> a </w:t>
            </w:r>
            <w:r w:rsidRPr="00083739">
              <w:rPr>
                <w:rFonts w:ascii="Times New Roman" w:hAnsi="Times New Roman" w:cs="Times New Roman"/>
                <w:noProof/>
                <w:color w:val="006100"/>
                <w:sz w:val="18"/>
                <w:szCs w:val="18"/>
                <w:lang w:val="sk-SK"/>
              </w:rPr>
              <w:t>vyšetrovania týkajúce sa podprojektu,</w:t>
            </w:r>
          </w:p>
          <w:p w14:paraId="26F8E2A0" w14:textId="77777777" w:rsidR="00083739" w:rsidRPr="00083739" w:rsidRDefault="00BF4125">
            <w:pPr>
              <w:spacing w:after="0" w:line="240" w:lineRule="auto"/>
              <w:rPr>
                <w:rFonts w:ascii="Times New Roman" w:hAnsi="Times New Roman" w:cs="Times New Roman"/>
                <w:noProof/>
                <w:color w:val="006100"/>
                <w:sz w:val="18"/>
                <w:szCs w:val="18"/>
                <w:lang w:val="sk-SK"/>
              </w:rPr>
            </w:pPr>
            <w:r w:rsidRPr="00083739">
              <w:rPr>
                <w:rFonts w:ascii="Times New Roman" w:hAnsi="Times New Roman" w:cs="Times New Roman"/>
                <w:noProof/>
                <w:color w:val="006100"/>
                <w:sz w:val="18"/>
                <w:szCs w:val="18"/>
                <w:lang w:val="sk-SK"/>
              </w:rPr>
              <w:t>a)</w:t>
            </w:r>
            <w:r w:rsidRPr="00083739">
              <w:rPr>
                <w:rFonts w:ascii="Times New Roman" w:hAnsi="Times New Roman" w:cs="Times New Roman"/>
                <w:noProof/>
                <w:lang w:val="sk-SK"/>
              </w:rPr>
              <w:t xml:space="preserve"> </w:t>
            </w:r>
            <w:r w:rsidRPr="00083739">
              <w:rPr>
                <w:rFonts w:ascii="Times New Roman" w:hAnsi="Times New Roman" w:cs="Times New Roman"/>
                <w:noProof/>
                <w:color w:val="006100"/>
                <w:sz w:val="18"/>
                <w:szCs w:val="18"/>
                <w:lang w:val="sk-SK"/>
              </w:rPr>
              <w:t>Fáza A</w:t>
            </w:r>
            <w:r w:rsidR="00083739" w:rsidRPr="00083739">
              <w:rPr>
                <w:rFonts w:ascii="Times New Roman" w:hAnsi="Times New Roman" w:cs="Times New Roman"/>
                <w:noProof/>
                <w:color w:val="006100"/>
                <w:sz w:val="18"/>
                <w:szCs w:val="18"/>
                <w:lang w:val="sk-SK"/>
              </w:rPr>
              <w:t xml:space="preserve"> a </w:t>
            </w:r>
            <w:r w:rsidRPr="00083739">
              <w:rPr>
                <w:rFonts w:ascii="Times New Roman" w:hAnsi="Times New Roman" w:cs="Times New Roman"/>
                <w:noProof/>
                <w:color w:val="006100"/>
                <w:sz w:val="18"/>
                <w:szCs w:val="18"/>
                <w:lang w:val="sk-SK"/>
              </w:rPr>
              <w:t xml:space="preserve">fáza B </w:t>
            </w:r>
            <w:r w:rsidRPr="00083739">
              <w:rPr>
                <w:rFonts w:ascii="Times New Roman" w:hAnsi="Times New Roman" w:cs="Times New Roman"/>
                <w:noProof/>
                <w:color w:val="006100"/>
                <w:sz w:val="18"/>
                <w:szCs w:val="18"/>
                <w:lang w:val="sk-SK"/>
              </w:rPr>
              <w:t>hĺbenia</w:t>
            </w:r>
            <w:r w:rsidR="00083739" w:rsidRPr="00083739">
              <w:rPr>
                <w:rFonts w:ascii="Times New Roman" w:hAnsi="Times New Roman" w:cs="Times New Roman"/>
                <w:noProof/>
                <w:color w:val="006100"/>
                <w:sz w:val="18"/>
                <w:szCs w:val="18"/>
                <w:lang w:val="sk-SK"/>
              </w:rPr>
              <w:t xml:space="preserve"> a </w:t>
            </w:r>
            <w:r w:rsidRPr="00083739">
              <w:rPr>
                <w:rFonts w:ascii="Times New Roman" w:hAnsi="Times New Roman" w:cs="Times New Roman"/>
                <w:noProof/>
                <w:color w:val="006100"/>
                <w:sz w:val="18"/>
                <w:szCs w:val="18"/>
                <w:lang w:val="sk-SK"/>
              </w:rPr>
              <w:t>dočasných podporných prác tunelov T1</w:t>
            </w:r>
            <w:r w:rsidR="00083739" w:rsidRPr="00083739">
              <w:rPr>
                <w:rFonts w:ascii="Times New Roman" w:hAnsi="Times New Roman" w:cs="Times New Roman"/>
                <w:noProof/>
                <w:color w:val="006100"/>
                <w:sz w:val="18"/>
                <w:szCs w:val="18"/>
                <w:lang w:val="sk-SK"/>
              </w:rPr>
              <w:t xml:space="preserve"> a </w:t>
            </w:r>
            <w:r w:rsidRPr="00083739">
              <w:rPr>
                <w:rFonts w:ascii="Times New Roman" w:hAnsi="Times New Roman" w:cs="Times New Roman"/>
                <w:noProof/>
                <w:color w:val="006100"/>
                <w:sz w:val="18"/>
                <w:szCs w:val="18"/>
                <w:lang w:val="sk-SK"/>
              </w:rPr>
              <w:t>T2</w:t>
            </w:r>
          </w:p>
          <w:p w14:paraId="3323D14A" w14:textId="68A1EC73" w:rsidR="002D49B0" w:rsidRPr="00083739" w:rsidRDefault="00BF4125">
            <w:pPr>
              <w:spacing w:after="0" w:line="240" w:lineRule="auto"/>
              <w:rPr>
                <w:rFonts w:ascii="Times New Roman" w:hAnsi="Times New Roman" w:cs="Times New Roman"/>
                <w:noProof/>
                <w:color w:val="006100"/>
                <w:sz w:val="18"/>
                <w:szCs w:val="18"/>
                <w:lang w:val="sk-SK"/>
              </w:rPr>
            </w:pPr>
            <w:r w:rsidRPr="00083739">
              <w:rPr>
                <w:rFonts w:ascii="Times New Roman" w:hAnsi="Times New Roman" w:cs="Times New Roman"/>
                <w:noProof/>
                <w:color w:val="006100"/>
                <w:sz w:val="18"/>
                <w:szCs w:val="18"/>
                <w:lang w:val="sk-SK"/>
              </w:rPr>
              <w:t>b)</w:t>
            </w:r>
            <w:r w:rsidRPr="00083739">
              <w:rPr>
                <w:rFonts w:ascii="Times New Roman" w:hAnsi="Times New Roman" w:cs="Times New Roman"/>
                <w:noProof/>
                <w:lang w:val="sk-SK"/>
              </w:rPr>
              <w:t xml:space="preserve"> </w:t>
            </w:r>
            <w:r w:rsidRPr="00083739">
              <w:rPr>
                <w:rFonts w:ascii="Times New Roman" w:hAnsi="Times New Roman" w:cs="Times New Roman"/>
                <w:noProof/>
                <w:color w:val="006100"/>
                <w:sz w:val="18"/>
                <w:szCs w:val="18"/>
                <w:lang w:val="sk-SK"/>
              </w:rPr>
              <w:t>most C6. .</w:t>
            </w:r>
          </w:p>
          <w:p w14:paraId="258975F9" w14:textId="317E48D5" w:rsidR="002D49B0" w:rsidRPr="00083739" w:rsidRDefault="00083739">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 xml:space="preserve"> V prípade prvého podprojektu (Chania-Heraklion) sa musia dokončiť tieto práce:</w:t>
            </w:r>
          </w:p>
          <w:p w14:paraId="257F9C76"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p w14:paraId="60FF9C11" w14:textId="5FD571A6" w:rsidR="002D49B0" w:rsidRPr="00083739" w:rsidRDefault="00BF4125">
            <w:pPr>
              <w:pStyle w:val="P68B1DB1-Normal10"/>
              <w:spacing w:after="0" w:line="240" w:lineRule="auto"/>
              <w:rPr>
                <w:rFonts w:ascii="Times New Roman" w:hAnsi="Times New Roman" w:cs="Times New Roman"/>
                <w:noProof/>
                <w:lang w:val="sk-SK"/>
              </w:rPr>
            </w:pPr>
            <w:r w:rsidRPr="00083739">
              <w:rPr>
                <w:rFonts w:ascii="Times New Roman" w:hAnsi="Times New Roman" w:cs="Times New Roman"/>
                <w:noProof/>
                <w:lang w:val="sk-SK"/>
              </w:rPr>
              <w:t xml:space="preserve">1. Všetky práce na existujúcich priechodoch okrem elektromechanických inštalácií (ako sú diaľničné </w:t>
            </w:r>
            <w:r w:rsidRPr="00083739">
              <w:rPr>
                <w:rFonts w:ascii="Times New Roman" w:hAnsi="Times New Roman" w:cs="Times New Roman"/>
                <w:noProof/>
                <w:lang w:val="sk-SK"/>
              </w:rPr>
              <w:t>osvetľovacie stĺpy, reflexné značenia, napájacie káble):</w:t>
            </w:r>
          </w:p>
          <w:p w14:paraId="49131A68" w14:textId="511703A6" w:rsidR="002D49B0" w:rsidRPr="00083739" w:rsidRDefault="00BF4125">
            <w:pPr>
              <w:pStyle w:val="P68B1DB1-Normal10"/>
              <w:spacing w:after="0" w:line="240" w:lineRule="auto"/>
              <w:rPr>
                <w:rFonts w:ascii="Times New Roman" w:hAnsi="Times New Roman" w:cs="Times New Roman"/>
                <w:noProof/>
                <w:lang w:val="sk-SK"/>
              </w:rPr>
            </w:pPr>
            <w:r w:rsidRPr="00083739">
              <w:rPr>
                <w:rFonts w:ascii="Times New Roman" w:hAnsi="Times New Roman" w:cs="Times New Roman"/>
                <w:noProof/>
                <w:lang w:val="sk-SK"/>
              </w:rPr>
              <w:t>Chania Bypass (1Y,2Y), dĺžka úsekov: 8,0 km,</w:t>
            </w:r>
          </w:p>
          <w:p w14:paraId="6544AD1B" w14:textId="77777777" w:rsidR="00083739" w:rsidRPr="00083739" w:rsidRDefault="00BF4125">
            <w:pPr>
              <w:pStyle w:val="P68B1DB1-Normal10"/>
              <w:spacing w:after="0" w:line="240" w:lineRule="auto"/>
              <w:rPr>
                <w:rFonts w:ascii="Times New Roman" w:hAnsi="Times New Roman" w:cs="Times New Roman"/>
                <w:noProof/>
                <w:lang w:val="sk-SK"/>
              </w:rPr>
            </w:pPr>
            <w:r w:rsidRPr="00083739">
              <w:rPr>
                <w:rFonts w:ascii="Times New Roman" w:hAnsi="Times New Roman" w:cs="Times New Roman"/>
                <w:noProof/>
                <w:lang w:val="sk-SK"/>
              </w:rPr>
              <w:t>b) Rethymnon Bypass (10Y,11Y), dĺžka častí: 6,8 km</w:t>
            </w:r>
            <w:r w:rsidR="00083739" w:rsidRPr="00083739">
              <w:rPr>
                <w:rFonts w:ascii="Times New Roman" w:hAnsi="Times New Roman" w:cs="Times New Roman"/>
                <w:noProof/>
                <w:lang w:val="sk-SK"/>
              </w:rPr>
              <w:t xml:space="preserve"> a</w:t>
            </w:r>
          </w:p>
          <w:p w14:paraId="76FFC05C" w14:textId="351AEEB7" w:rsidR="00083739" w:rsidRPr="00083739" w:rsidRDefault="00BF4125">
            <w:pPr>
              <w:pStyle w:val="P68B1DB1-Normal10"/>
              <w:spacing w:after="0" w:line="240" w:lineRule="auto"/>
              <w:rPr>
                <w:rFonts w:ascii="Times New Roman" w:hAnsi="Times New Roman" w:cs="Times New Roman"/>
                <w:noProof/>
                <w:lang w:val="sk-SK"/>
              </w:rPr>
            </w:pPr>
            <w:r w:rsidRPr="00083739">
              <w:rPr>
                <w:rFonts w:ascii="Times New Roman" w:hAnsi="Times New Roman" w:cs="Times New Roman"/>
                <w:noProof/>
                <w:lang w:val="sk-SK"/>
              </w:rPr>
              <w:t>C) Heraklion Bypass (23Y), dĺžka prierezu: 8,5 km</w:t>
            </w:r>
            <w:r w:rsidR="00083739" w:rsidRPr="00083739">
              <w:rPr>
                <w:rFonts w:ascii="Times New Roman" w:hAnsi="Times New Roman" w:cs="Times New Roman"/>
                <w:noProof/>
                <w:lang w:val="sk-SK"/>
              </w:rPr>
              <w:t>.</w:t>
            </w:r>
          </w:p>
          <w:p w14:paraId="244ECC77" w14:textId="31E04F40" w:rsidR="002D49B0" w:rsidRPr="00083739" w:rsidRDefault="00BF4125">
            <w:pPr>
              <w:pStyle w:val="P68B1DB1-Normal10"/>
              <w:spacing w:after="0" w:line="240" w:lineRule="auto"/>
              <w:rPr>
                <w:rFonts w:ascii="Times New Roman" w:hAnsi="Times New Roman" w:cs="Times New Roman"/>
                <w:noProof/>
                <w:lang w:val="sk-SK"/>
              </w:rPr>
            </w:pPr>
            <w:r w:rsidRPr="00083739">
              <w:rPr>
                <w:rFonts w:ascii="Times New Roman" w:hAnsi="Times New Roman" w:cs="Times New Roman"/>
                <w:noProof/>
                <w:lang w:val="sk-SK"/>
              </w:rPr>
              <w:t>Práce</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geografickej jednotke 23Y nezahŕňajú výsta</w:t>
            </w:r>
            <w:r w:rsidRPr="00083739">
              <w:rPr>
                <w:rFonts w:ascii="Times New Roman" w:hAnsi="Times New Roman" w:cs="Times New Roman"/>
                <w:noProof/>
                <w:lang w:val="sk-SK"/>
              </w:rPr>
              <w:t>vbu tunela Kako Oros.</w:t>
            </w:r>
          </w:p>
          <w:p w14:paraId="7E06B928" w14:textId="798AF565" w:rsidR="002D49B0" w:rsidRPr="00083739" w:rsidRDefault="00BF4125">
            <w:pPr>
              <w:pStyle w:val="P68B1DB1-Normal10"/>
              <w:spacing w:after="0" w:line="240" w:lineRule="auto"/>
              <w:rPr>
                <w:rFonts w:ascii="Times New Roman" w:hAnsi="Times New Roman" w:cs="Times New Roman"/>
                <w:noProof/>
                <w:lang w:val="sk-SK"/>
              </w:rPr>
            </w:pPr>
            <w:r w:rsidRPr="00083739">
              <w:rPr>
                <w:rFonts w:ascii="Times New Roman" w:hAnsi="Times New Roman" w:cs="Times New Roman"/>
                <w:noProof/>
                <w:lang w:val="sk-SK"/>
              </w:rPr>
              <w:t>2. Výkopové práce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dočasné podporné práce</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celkovej dĺžke 600 m</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tuneli T1 (sekcia Souda – Vrisses, pododdiel 4N, I/C Plataniou – I/C Východné aptéry).</w:t>
            </w:r>
          </w:p>
          <w:p w14:paraId="52AC6F3B" w14:textId="7C61C370" w:rsidR="002D49B0" w:rsidRPr="00083739" w:rsidRDefault="00BF4125">
            <w:pPr>
              <w:pStyle w:val="P68B1DB1-Normal10"/>
              <w:spacing w:after="0" w:line="240" w:lineRule="auto"/>
              <w:rPr>
                <w:rFonts w:ascii="Times New Roman" w:hAnsi="Times New Roman" w:cs="Times New Roman"/>
                <w:noProof/>
                <w:lang w:val="sk-SK"/>
              </w:rPr>
            </w:pPr>
            <w:r w:rsidRPr="00083739">
              <w:rPr>
                <w:rFonts w:ascii="Times New Roman" w:hAnsi="Times New Roman" w:cs="Times New Roman"/>
                <w:noProof/>
                <w:lang w:val="sk-SK"/>
              </w:rPr>
              <w:t>3. Zásahy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bezpečnosti cestnej premávky na 280 miestach.</w:t>
            </w:r>
          </w:p>
          <w:p w14:paraId="63E0DFC2" w14:textId="2AF55575"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r>
    </w:tbl>
    <w:p w14:paraId="6C9A29C7" w14:textId="327ECE26" w:rsidR="002D49B0" w:rsidRPr="00083739" w:rsidRDefault="002D49B0">
      <w:pPr>
        <w:spacing w:before="120" w:after="0" w:line="240" w:lineRule="auto"/>
        <w:jc w:val="both"/>
        <w:rPr>
          <w:rFonts w:ascii="Times New Roman" w:hAnsi="Times New Roman" w:cs="Times New Roman"/>
          <w:noProof/>
          <w:sz w:val="24"/>
          <w:lang w:val="sk-SK"/>
        </w:rPr>
      </w:pPr>
    </w:p>
    <w:p w14:paraId="45B767A3" w14:textId="77777777" w:rsidR="002D49B0" w:rsidRPr="00083739" w:rsidRDefault="00BF4125">
      <w:pPr>
        <w:pStyle w:val="P68B1DB1-Normal18"/>
        <w:rPr>
          <w:noProof/>
          <w:lang w:val="sk-SK"/>
        </w:rPr>
      </w:pPr>
      <w:r w:rsidRPr="00083739">
        <w:rPr>
          <w:noProof/>
          <w:lang w:val="sk-SK"/>
        </w:rPr>
        <w:br w:type="page"/>
      </w:r>
    </w:p>
    <w:p w14:paraId="65A9B05E" w14:textId="77777777" w:rsidR="002D49B0" w:rsidRPr="00083739" w:rsidRDefault="00BF4125">
      <w:pPr>
        <w:pStyle w:val="P68B1DB1-Normal6"/>
        <w:keepNext/>
        <w:keepLines/>
        <w:spacing w:before="40" w:after="0" w:line="240" w:lineRule="auto"/>
        <w:jc w:val="both"/>
        <w:outlineLvl w:val="4"/>
        <w:rPr>
          <w:rFonts w:ascii="Times New Roman" w:eastAsia="Times New Roman" w:hAnsi="Times New Roman" w:cs="Times New Roman"/>
          <w:noProof/>
          <w:lang w:val="sk-SK"/>
        </w:rPr>
      </w:pPr>
      <w:r w:rsidRPr="00083739">
        <w:rPr>
          <w:rFonts w:ascii="Times New Roman" w:hAnsi="Times New Roman" w:cs="Times New Roman"/>
          <w:noProof/>
          <w:lang w:val="sk-SK"/>
        </w:rPr>
        <w:t xml:space="preserve">Skupina </w:t>
      </w:r>
      <w:r w:rsidRPr="00083739">
        <w:rPr>
          <w:rFonts w:ascii="Times New Roman" w:hAnsi="Times New Roman" w:cs="Times New Roman"/>
          <w:noProof/>
          <w:lang w:val="sk-SK"/>
        </w:rPr>
        <w:t>24: Infraštruktúra</w:t>
      </w:r>
    </w:p>
    <w:p w14:paraId="39DFE59C" w14:textId="77777777" w:rsidR="002D49B0" w:rsidRPr="00083739" w:rsidRDefault="002D49B0">
      <w:pPr>
        <w:spacing w:before="120" w:after="0" w:line="240" w:lineRule="auto"/>
        <w:jc w:val="both"/>
        <w:rPr>
          <w:rFonts w:ascii="Times New Roman" w:hAnsi="Times New Roman" w:cs="Times New Roman"/>
          <w:noProof/>
          <w:sz w:val="24"/>
          <w:lang w:val="sk-SK"/>
        </w:rPr>
      </w:pPr>
    </w:p>
    <w:p w14:paraId="5D7854E2" w14:textId="77777777" w:rsidR="002D49B0" w:rsidRPr="00083739" w:rsidRDefault="00BF4125">
      <w:pPr>
        <w:pStyle w:val="P68B1DB1-Normal42"/>
        <w:spacing w:after="0" w:line="240" w:lineRule="auto"/>
        <w:rPr>
          <w:rFonts w:cs="Times New Roman"/>
          <w:noProof/>
          <w:sz w:val="28"/>
          <w:szCs w:val="28"/>
          <w:lang w:val="sk-SK"/>
        </w:rPr>
      </w:pPr>
      <w:r w:rsidRPr="00083739">
        <w:rPr>
          <w:rFonts w:cs="Times New Roman"/>
          <w:noProof/>
          <w:lang w:val="sk-SK"/>
        </w:rPr>
        <w:t>Podskupina 1 (digitálna transformácia)</w:t>
      </w:r>
    </w:p>
    <w:p w14:paraId="6C5D3951" w14:textId="71F5F3EF" w:rsidR="002D49B0" w:rsidRPr="00083739" w:rsidRDefault="00BF4125">
      <w:pPr>
        <w:pStyle w:val="P68B1DB1-Normal37"/>
        <w:numPr>
          <w:ilvl w:val="0"/>
          <w:numId w:val="32"/>
        </w:numPr>
        <w:spacing w:before="120" w:after="0" w:line="240" w:lineRule="auto"/>
        <w:jc w:val="both"/>
        <w:rPr>
          <w:rFonts w:cs="Times New Roman"/>
          <w:noProof/>
          <w:lang w:val="sk-SK"/>
        </w:rPr>
      </w:pPr>
      <w:r w:rsidRPr="00083739">
        <w:rPr>
          <w:rFonts w:cs="Times New Roman"/>
          <w:noProof/>
          <w:lang w:val="sk-SK"/>
        </w:rPr>
        <w:t>Inteligentná infraštruktúra</w:t>
      </w:r>
      <w:r w:rsidR="00083739" w:rsidRPr="00083739">
        <w:rPr>
          <w:rFonts w:cs="Times New Roman"/>
          <w:noProof/>
          <w:lang w:val="sk-SK"/>
        </w:rPr>
        <w:t xml:space="preserve"> s </w:t>
      </w:r>
      <w:r w:rsidRPr="00083739">
        <w:rPr>
          <w:rFonts w:cs="Times New Roman"/>
          <w:noProof/>
          <w:lang w:val="sk-SK"/>
        </w:rPr>
        <w:t>environmentálnym</w:t>
      </w:r>
      <w:r w:rsidR="00083739" w:rsidRPr="00083739">
        <w:rPr>
          <w:rFonts w:cs="Times New Roman"/>
          <w:noProof/>
          <w:lang w:val="sk-SK"/>
        </w:rPr>
        <w:t xml:space="preserve"> a </w:t>
      </w:r>
      <w:r w:rsidRPr="00083739">
        <w:rPr>
          <w:rFonts w:cs="Times New Roman"/>
          <w:noProof/>
          <w:lang w:val="sk-SK"/>
        </w:rPr>
        <w:t>kultúrnym zameraním (ID: 16960)</w:t>
      </w:r>
    </w:p>
    <w:p w14:paraId="4F6CC2C0" w14:textId="77777777" w:rsidR="002D49B0" w:rsidRPr="00083739" w:rsidRDefault="00BF4125">
      <w:pPr>
        <w:pStyle w:val="P68B1DB1-Normal37"/>
        <w:numPr>
          <w:ilvl w:val="0"/>
          <w:numId w:val="32"/>
        </w:numPr>
        <w:spacing w:before="120" w:after="0" w:line="240" w:lineRule="auto"/>
        <w:jc w:val="both"/>
        <w:rPr>
          <w:rFonts w:cs="Times New Roman"/>
          <w:noProof/>
          <w:lang w:val="sk-SK"/>
        </w:rPr>
      </w:pPr>
      <w:r w:rsidRPr="00083739">
        <w:rPr>
          <w:rFonts w:cs="Times New Roman"/>
          <w:noProof/>
          <w:lang w:val="sk-SK"/>
        </w:rPr>
        <w:t>Inteligentné mosty (ID: 16949)</w:t>
      </w:r>
    </w:p>
    <w:p w14:paraId="1A781000" w14:textId="1250648A" w:rsidR="002D49B0" w:rsidRPr="00083739" w:rsidRDefault="00BF4125">
      <w:pPr>
        <w:pStyle w:val="P68B1DB1-Normal37"/>
        <w:numPr>
          <w:ilvl w:val="0"/>
          <w:numId w:val="32"/>
        </w:numPr>
        <w:spacing w:before="120" w:after="0" w:line="240" w:lineRule="auto"/>
        <w:ind w:left="714" w:hanging="357"/>
        <w:jc w:val="both"/>
        <w:rPr>
          <w:rFonts w:cs="Times New Roman"/>
          <w:noProof/>
          <w:lang w:val="sk-SK"/>
        </w:rPr>
      </w:pPr>
      <w:r w:rsidRPr="00083739">
        <w:rPr>
          <w:rFonts w:cs="Times New Roman"/>
          <w:noProof/>
          <w:lang w:val="sk-SK"/>
        </w:rPr>
        <w:t>Zjednodušenie postupov ministerstva infraštruktúry</w:t>
      </w:r>
      <w:r w:rsidR="00083739" w:rsidRPr="00083739">
        <w:rPr>
          <w:rFonts w:cs="Times New Roman"/>
          <w:noProof/>
          <w:lang w:val="sk-SK"/>
        </w:rPr>
        <w:t xml:space="preserve"> a </w:t>
      </w:r>
      <w:r w:rsidRPr="00083739">
        <w:rPr>
          <w:rFonts w:cs="Times New Roman"/>
          <w:noProof/>
          <w:lang w:val="sk-SK"/>
        </w:rPr>
        <w:t>dopravy (ID: 16786)</w:t>
      </w:r>
    </w:p>
    <w:p w14:paraId="0B0A9816" w14:textId="08EBB8A1" w:rsidR="002D49B0" w:rsidRPr="00083739" w:rsidRDefault="00BF4125">
      <w:pPr>
        <w:pStyle w:val="P68B1DB1-Normal37"/>
        <w:numPr>
          <w:ilvl w:val="0"/>
          <w:numId w:val="32"/>
        </w:numPr>
        <w:spacing w:before="120" w:after="120" w:line="240" w:lineRule="auto"/>
        <w:jc w:val="both"/>
        <w:rPr>
          <w:rFonts w:cs="Times New Roman"/>
          <w:noProof/>
          <w:lang w:val="sk-SK"/>
        </w:rPr>
      </w:pPr>
      <w:r w:rsidRPr="00083739">
        <w:rPr>
          <w:rFonts w:cs="Times New Roman"/>
          <w:noProof/>
          <w:lang w:val="sk-SK"/>
        </w:rPr>
        <w:t>Digitálny in</w:t>
      </w:r>
      <w:r w:rsidRPr="00083739">
        <w:rPr>
          <w:rFonts w:cs="Times New Roman"/>
          <w:noProof/>
          <w:lang w:val="sk-SK"/>
        </w:rPr>
        <w:t>tegrovaný systém riadenia programov na správu technických prác</w:t>
      </w:r>
      <w:r w:rsidR="00083739" w:rsidRPr="00083739">
        <w:rPr>
          <w:rFonts w:cs="Times New Roman"/>
          <w:noProof/>
          <w:lang w:val="sk-SK"/>
        </w:rPr>
        <w:t xml:space="preserve"> a </w:t>
      </w:r>
      <w:r w:rsidRPr="00083739">
        <w:rPr>
          <w:rFonts w:cs="Times New Roman"/>
          <w:noProof/>
          <w:lang w:val="sk-SK"/>
        </w:rPr>
        <w:t>štrukturálnych aktív ministerstva infraštruktúry</w:t>
      </w:r>
      <w:r w:rsidR="00083739" w:rsidRPr="00083739">
        <w:rPr>
          <w:rFonts w:cs="Times New Roman"/>
          <w:noProof/>
          <w:lang w:val="sk-SK"/>
        </w:rPr>
        <w:t xml:space="preserve"> a </w:t>
      </w:r>
      <w:r w:rsidRPr="00083739">
        <w:rPr>
          <w:rFonts w:cs="Times New Roman"/>
          <w:noProof/>
          <w:lang w:val="sk-SK"/>
        </w:rPr>
        <w:t>dopravy (ID:16937)</w:t>
      </w:r>
    </w:p>
    <w:p w14:paraId="30792D6E" w14:textId="3CF5A9BE" w:rsidR="002D49B0" w:rsidRPr="00083739" w:rsidRDefault="00BF4125">
      <w:pPr>
        <w:pStyle w:val="P68B1DB1-Normal42"/>
        <w:spacing w:after="0" w:line="240" w:lineRule="auto"/>
        <w:rPr>
          <w:rFonts w:cs="Times New Roman"/>
          <w:noProof/>
          <w:sz w:val="28"/>
          <w:szCs w:val="28"/>
          <w:lang w:val="sk-SK"/>
        </w:rPr>
      </w:pPr>
      <w:r w:rsidRPr="00083739">
        <w:rPr>
          <w:rFonts w:cs="Times New Roman"/>
          <w:noProof/>
          <w:lang w:val="sk-SK"/>
        </w:rPr>
        <w:t>Podskupina 2 (železnice</w:t>
      </w:r>
      <w:r w:rsidR="00083739" w:rsidRPr="00083739">
        <w:rPr>
          <w:rFonts w:cs="Times New Roman"/>
          <w:noProof/>
          <w:lang w:val="sk-SK"/>
        </w:rPr>
        <w:t xml:space="preserve"> a </w:t>
      </w:r>
      <w:r w:rsidRPr="00083739">
        <w:rPr>
          <w:rFonts w:cs="Times New Roman"/>
          <w:noProof/>
          <w:lang w:val="sk-SK"/>
        </w:rPr>
        <w:t>letiská)</w:t>
      </w:r>
    </w:p>
    <w:p w14:paraId="33D09999" w14:textId="77777777" w:rsidR="002D49B0" w:rsidRPr="00083739" w:rsidRDefault="00BF4125">
      <w:pPr>
        <w:pStyle w:val="P68B1DB1-Normal37"/>
        <w:numPr>
          <w:ilvl w:val="0"/>
          <w:numId w:val="33"/>
        </w:numPr>
        <w:spacing w:before="120" w:after="0" w:line="240" w:lineRule="auto"/>
        <w:jc w:val="both"/>
        <w:rPr>
          <w:rFonts w:cs="Times New Roman"/>
          <w:noProof/>
          <w:lang w:val="sk-SK"/>
        </w:rPr>
      </w:pPr>
      <w:r w:rsidRPr="00083739">
        <w:rPr>
          <w:rFonts w:cs="Times New Roman"/>
          <w:noProof/>
          <w:lang w:val="sk-SK"/>
        </w:rPr>
        <w:t>Obnova prístupnosti po ničivých účinkoch búrky „DANIEL“ (opatrenie ID 16999)</w:t>
      </w:r>
    </w:p>
    <w:p w14:paraId="64A144BE" w14:textId="31057B33" w:rsidR="002D49B0" w:rsidRPr="00083739" w:rsidRDefault="00BF4125">
      <w:pPr>
        <w:pStyle w:val="P68B1DB1-Normal37"/>
        <w:numPr>
          <w:ilvl w:val="0"/>
          <w:numId w:val="33"/>
        </w:numPr>
        <w:spacing w:before="120" w:after="0" w:line="240" w:lineRule="auto"/>
        <w:jc w:val="both"/>
        <w:rPr>
          <w:rFonts w:cs="Times New Roman"/>
          <w:noProof/>
          <w:lang w:val="sk-SK"/>
        </w:rPr>
      </w:pPr>
      <w:r w:rsidRPr="00083739">
        <w:rPr>
          <w:rFonts w:cs="Times New Roman"/>
          <w:noProof/>
          <w:lang w:val="sk-SK"/>
        </w:rPr>
        <w:t>Organizač</w:t>
      </w:r>
      <w:r w:rsidRPr="00083739">
        <w:rPr>
          <w:rFonts w:cs="Times New Roman"/>
          <w:noProof/>
          <w:lang w:val="sk-SK"/>
        </w:rPr>
        <w:t>ná reforma</w:t>
      </w:r>
      <w:r w:rsidR="00083739" w:rsidRPr="00083739">
        <w:rPr>
          <w:rFonts w:cs="Times New Roman"/>
          <w:noProof/>
          <w:lang w:val="sk-SK"/>
        </w:rPr>
        <w:t xml:space="preserve"> v </w:t>
      </w:r>
      <w:r w:rsidRPr="00083739">
        <w:rPr>
          <w:rFonts w:cs="Times New Roman"/>
          <w:noProof/>
          <w:lang w:val="sk-SK"/>
        </w:rPr>
        <w:t>železničnom sektore (ID: 16982)</w:t>
      </w:r>
    </w:p>
    <w:p w14:paraId="19D715C7" w14:textId="77777777" w:rsidR="002D49B0" w:rsidRPr="00083739" w:rsidRDefault="00BF4125">
      <w:pPr>
        <w:pStyle w:val="P68B1DB1-Normal37"/>
        <w:numPr>
          <w:ilvl w:val="0"/>
          <w:numId w:val="33"/>
        </w:numPr>
        <w:spacing w:before="120" w:after="0" w:line="240" w:lineRule="auto"/>
        <w:jc w:val="both"/>
        <w:rPr>
          <w:rFonts w:cs="Times New Roman"/>
          <w:noProof/>
          <w:lang w:val="sk-SK"/>
        </w:rPr>
      </w:pPr>
      <w:r w:rsidRPr="00083739">
        <w:rPr>
          <w:rFonts w:cs="Times New Roman"/>
          <w:noProof/>
          <w:lang w:val="sk-SK"/>
        </w:rPr>
        <w:t>Digitálna transformácia Helénskej železničnej organizácie (ID: 16959)</w:t>
      </w:r>
    </w:p>
    <w:p w14:paraId="6B6B2438" w14:textId="77777777" w:rsidR="002D49B0" w:rsidRPr="00083739" w:rsidRDefault="00BF4125">
      <w:pPr>
        <w:pStyle w:val="P68B1DB1-Normal37"/>
        <w:numPr>
          <w:ilvl w:val="0"/>
          <w:numId w:val="33"/>
        </w:numPr>
        <w:spacing w:before="120" w:after="0" w:line="240" w:lineRule="auto"/>
        <w:jc w:val="both"/>
        <w:rPr>
          <w:rFonts w:cs="Times New Roman"/>
          <w:noProof/>
          <w:lang w:val="sk-SK"/>
        </w:rPr>
      </w:pPr>
      <w:r w:rsidRPr="00083739">
        <w:rPr>
          <w:rFonts w:cs="Times New Roman"/>
          <w:noProof/>
          <w:lang w:val="sk-SK"/>
        </w:rPr>
        <w:t>Modernizácia prímestskej železničnej trate západnej Atika (ID: 16892)</w:t>
      </w:r>
    </w:p>
    <w:p w14:paraId="085969A4" w14:textId="77777777" w:rsidR="002D49B0" w:rsidRPr="00083739" w:rsidRDefault="00BF4125">
      <w:pPr>
        <w:pStyle w:val="P68B1DB1-Normal37"/>
        <w:numPr>
          <w:ilvl w:val="0"/>
          <w:numId w:val="33"/>
        </w:numPr>
        <w:spacing w:before="120" w:after="0" w:line="240" w:lineRule="auto"/>
        <w:jc w:val="both"/>
        <w:rPr>
          <w:rFonts w:cs="Times New Roman"/>
          <w:noProof/>
          <w:lang w:val="sk-SK"/>
        </w:rPr>
      </w:pPr>
      <w:r w:rsidRPr="00083739">
        <w:rPr>
          <w:rFonts w:cs="Times New Roman"/>
          <w:noProof/>
          <w:lang w:val="sk-SK"/>
        </w:rPr>
        <w:t>Program EASA na zabezpečenie súladu (ID: 16833)</w:t>
      </w:r>
    </w:p>
    <w:p w14:paraId="69365E44" w14:textId="77777777" w:rsidR="002D49B0" w:rsidRPr="00083739" w:rsidRDefault="002D49B0">
      <w:pPr>
        <w:spacing w:before="120" w:after="0" w:line="240" w:lineRule="auto"/>
        <w:jc w:val="both"/>
        <w:rPr>
          <w:rFonts w:ascii="Times New Roman" w:hAnsi="Times New Roman" w:cs="Times New Roman"/>
          <w:noProof/>
          <w:lang w:val="sk-SK"/>
        </w:rPr>
      </w:pPr>
    </w:p>
    <w:tbl>
      <w:tblPr>
        <w:tblW w:w="16013" w:type="dxa"/>
        <w:jc w:val="center"/>
        <w:tblLook w:val="04A0" w:firstRow="1" w:lastRow="0" w:firstColumn="1" w:lastColumn="0" w:noHBand="0" w:noVBand="1"/>
      </w:tblPr>
      <w:tblGrid>
        <w:gridCol w:w="1027"/>
        <w:gridCol w:w="2229"/>
        <w:gridCol w:w="1134"/>
        <w:gridCol w:w="1842"/>
        <w:gridCol w:w="2127"/>
        <w:gridCol w:w="992"/>
        <w:gridCol w:w="957"/>
        <w:gridCol w:w="844"/>
        <w:gridCol w:w="1167"/>
        <w:gridCol w:w="713"/>
        <w:gridCol w:w="3402"/>
      </w:tblGrid>
      <w:tr w:rsidR="002D49B0" w:rsidRPr="00083739" w14:paraId="19C7DB0C" w14:textId="77777777">
        <w:trPr>
          <w:trHeight w:val="659"/>
          <w:tblHeader/>
          <w:jc w:val="center"/>
        </w:trPr>
        <w:tc>
          <w:tcPr>
            <w:tcW w:w="102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5CB3E8D"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Poradové číslo</w:t>
            </w:r>
          </w:p>
        </w:tc>
        <w:tc>
          <w:tcPr>
            <w:tcW w:w="222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12B9DFC"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Súvisiace opatrenie (reforma alebo investícia)</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158A291"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Míľnik/cieľ</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0615C3D"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Názov</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21C2F2F"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Kvalitatívne ukazovatele (pre míľniky)</w:t>
            </w:r>
          </w:p>
        </w:tc>
        <w:tc>
          <w:tcPr>
            <w:tcW w:w="2693" w:type="dxa"/>
            <w:gridSpan w:val="3"/>
            <w:tcBorders>
              <w:top w:val="single" w:sz="4" w:space="0" w:color="auto"/>
              <w:left w:val="single" w:sz="4" w:space="0" w:color="auto"/>
              <w:bottom w:val="single" w:sz="4" w:space="0" w:color="auto"/>
              <w:right w:val="single" w:sz="4" w:space="0" w:color="auto"/>
            </w:tcBorders>
            <w:shd w:val="clear" w:color="auto" w:fill="BDD7EE"/>
            <w:vAlign w:val="center"/>
            <w:hideMark/>
          </w:tcPr>
          <w:p w14:paraId="7E4AD931"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Kvantitatívne ukazovatele (pre ciele)</w:t>
            </w:r>
          </w:p>
        </w:tc>
        <w:tc>
          <w:tcPr>
            <w:tcW w:w="1559" w:type="dxa"/>
            <w:gridSpan w:val="2"/>
            <w:tcBorders>
              <w:top w:val="single" w:sz="4" w:space="0" w:color="auto"/>
              <w:left w:val="nil"/>
              <w:bottom w:val="single" w:sz="4" w:space="0" w:color="auto"/>
              <w:right w:val="single" w:sz="4" w:space="0" w:color="auto"/>
            </w:tcBorders>
            <w:shd w:val="clear" w:color="auto" w:fill="BDD7EE"/>
            <w:vAlign w:val="center"/>
            <w:hideMark/>
          </w:tcPr>
          <w:p w14:paraId="187B2118"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 xml:space="preserve">Orientačný harmonogram dokončenia </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6B14599" w14:textId="6B5CDDF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Opis každého míľnika</w:t>
            </w:r>
            <w:r w:rsidR="00083739" w:rsidRPr="00083739">
              <w:rPr>
                <w:rFonts w:cs="Times New Roman"/>
                <w:noProof/>
                <w:lang w:val="sk-SK"/>
              </w:rPr>
              <w:t xml:space="preserve"> a </w:t>
            </w:r>
            <w:r w:rsidRPr="00083739">
              <w:rPr>
                <w:rFonts w:cs="Times New Roman"/>
                <w:noProof/>
                <w:lang w:val="sk-SK"/>
              </w:rPr>
              <w:t>cieľa</w:t>
            </w:r>
          </w:p>
        </w:tc>
      </w:tr>
      <w:tr w:rsidR="002D49B0" w:rsidRPr="00083739" w14:paraId="02B87BC3" w14:textId="77777777">
        <w:trPr>
          <w:trHeight w:val="701"/>
          <w:tblHeader/>
          <w:jc w:val="center"/>
        </w:trPr>
        <w:tc>
          <w:tcPr>
            <w:tcW w:w="1027" w:type="dxa"/>
            <w:vMerge/>
            <w:tcBorders>
              <w:top w:val="single" w:sz="4" w:space="0" w:color="auto"/>
              <w:left w:val="single" w:sz="4" w:space="0" w:color="auto"/>
              <w:bottom w:val="single" w:sz="4" w:space="0" w:color="auto"/>
              <w:right w:val="single" w:sz="4" w:space="0" w:color="auto"/>
            </w:tcBorders>
            <w:vAlign w:val="center"/>
            <w:hideMark/>
          </w:tcPr>
          <w:p w14:paraId="232B1462"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2229" w:type="dxa"/>
            <w:vMerge/>
            <w:tcBorders>
              <w:top w:val="single" w:sz="4" w:space="0" w:color="auto"/>
              <w:left w:val="single" w:sz="4" w:space="0" w:color="auto"/>
              <w:bottom w:val="single" w:sz="4" w:space="0" w:color="auto"/>
              <w:right w:val="single" w:sz="4" w:space="0" w:color="auto"/>
            </w:tcBorders>
            <w:vAlign w:val="center"/>
            <w:hideMark/>
          </w:tcPr>
          <w:p w14:paraId="46B9AFD8"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C9BCCCE"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600CE4C8"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69B1C6B6"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992"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64213032"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Merná jednotka</w:t>
            </w:r>
          </w:p>
        </w:tc>
        <w:tc>
          <w:tcPr>
            <w:tcW w:w="857"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6842E692"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 xml:space="preserve">Základná </w:t>
            </w:r>
          </w:p>
        </w:tc>
        <w:tc>
          <w:tcPr>
            <w:tcW w:w="844"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69946B45"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 xml:space="preserve">Cieľ </w:t>
            </w:r>
          </w:p>
        </w:tc>
        <w:tc>
          <w:tcPr>
            <w:tcW w:w="846"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7DE4160C"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Štvrtina</w:t>
            </w:r>
          </w:p>
        </w:tc>
        <w:tc>
          <w:tcPr>
            <w:tcW w:w="713"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322EBE59"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Rok</w:t>
            </w:r>
          </w:p>
        </w:tc>
        <w:tc>
          <w:tcPr>
            <w:tcW w:w="3402" w:type="dxa"/>
            <w:vMerge/>
            <w:tcBorders>
              <w:top w:val="single" w:sz="4" w:space="0" w:color="auto"/>
              <w:bottom w:val="single" w:sz="4" w:space="0" w:color="auto"/>
              <w:right w:val="single" w:sz="4" w:space="0" w:color="auto"/>
            </w:tcBorders>
            <w:vAlign w:val="center"/>
            <w:hideMark/>
          </w:tcPr>
          <w:p w14:paraId="46493D10"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r>
      <w:tr w:rsidR="002D49B0" w:rsidRPr="00083739" w14:paraId="0313E29F" w14:textId="77777777">
        <w:trPr>
          <w:trHeight w:val="313"/>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7A709F5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263</w:t>
            </w:r>
          </w:p>
        </w:tc>
        <w:tc>
          <w:tcPr>
            <w:tcW w:w="2229" w:type="dxa"/>
            <w:tcBorders>
              <w:top w:val="single" w:sz="4" w:space="0" w:color="auto"/>
              <w:left w:val="nil"/>
              <w:bottom w:val="single" w:sz="4" w:space="0" w:color="auto"/>
              <w:right w:val="single" w:sz="4" w:space="0" w:color="auto"/>
            </w:tcBorders>
            <w:shd w:val="clear" w:color="auto" w:fill="C6EFCE"/>
            <w:noWrap/>
          </w:tcPr>
          <w:p w14:paraId="4D9E7D1E" w14:textId="259B6D43"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17 – 4.6. Modernizácia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zlepšenie odolnosti kľúčových hospodárskych odvetví – 16982_Organizačná reforma</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železničnom sektore</w:t>
            </w:r>
          </w:p>
        </w:tc>
        <w:tc>
          <w:tcPr>
            <w:tcW w:w="1134" w:type="dxa"/>
            <w:tcBorders>
              <w:top w:val="single" w:sz="4" w:space="0" w:color="auto"/>
              <w:left w:val="nil"/>
              <w:bottom w:val="single" w:sz="4" w:space="0" w:color="auto"/>
              <w:right w:val="single" w:sz="4" w:space="0" w:color="auto"/>
            </w:tcBorders>
            <w:shd w:val="clear" w:color="auto" w:fill="C6EFCE"/>
            <w:noWrap/>
          </w:tcPr>
          <w:p w14:paraId="5432B9A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842" w:type="dxa"/>
            <w:tcBorders>
              <w:top w:val="single" w:sz="4" w:space="0" w:color="auto"/>
              <w:left w:val="nil"/>
              <w:bottom w:val="single" w:sz="4" w:space="0" w:color="auto"/>
              <w:right w:val="single" w:sz="4" w:space="0" w:color="auto"/>
            </w:tcBorders>
            <w:shd w:val="clear" w:color="auto" w:fill="C6EFCE"/>
            <w:noWrap/>
          </w:tcPr>
          <w:p w14:paraId="3908CF4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Plán reformy železníc</w:t>
            </w:r>
          </w:p>
        </w:tc>
        <w:tc>
          <w:tcPr>
            <w:tcW w:w="2127" w:type="dxa"/>
            <w:tcBorders>
              <w:top w:val="single" w:sz="4" w:space="0" w:color="auto"/>
              <w:left w:val="nil"/>
              <w:bottom w:val="single" w:sz="4" w:space="0" w:color="auto"/>
              <w:right w:val="single" w:sz="4" w:space="0" w:color="auto"/>
            </w:tcBorders>
            <w:shd w:val="clear" w:color="auto" w:fill="C6EFCE"/>
            <w:noWrap/>
          </w:tcPr>
          <w:p w14:paraId="2205871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Plán</w:t>
            </w:r>
          </w:p>
        </w:tc>
        <w:tc>
          <w:tcPr>
            <w:tcW w:w="992" w:type="dxa"/>
            <w:tcBorders>
              <w:top w:val="single" w:sz="4" w:space="0" w:color="auto"/>
              <w:left w:val="nil"/>
              <w:bottom w:val="single" w:sz="4" w:space="0" w:color="auto"/>
              <w:right w:val="single" w:sz="4" w:space="0" w:color="auto"/>
            </w:tcBorders>
            <w:shd w:val="clear" w:color="auto" w:fill="C6EFCE"/>
            <w:noWrap/>
          </w:tcPr>
          <w:p w14:paraId="491BD664"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single" w:sz="4" w:space="0" w:color="auto"/>
              <w:left w:val="nil"/>
              <w:bottom w:val="single" w:sz="4" w:space="0" w:color="auto"/>
              <w:right w:val="single" w:sz="4" w:space="0" w:color="auto"/>
            </w:tcBorders>
            <w:shd w:val="clear" w:color="auto" w:fill="C6EFCE"/>
            <w:noWrap/>
          </w:tcPr>
          <w:p w14:paraId="4BFCA926"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4" w:type="dxa"/>
            <w:tcBorders>
              <w:top w:val="single" w:sz="4" w:space="0" w:color="auto"/>
              <w:left w:val="nil"/>
              <w:bottom w:val="single" w:sz="4" w:space="0" w:color="auto"/>
              <w:right w:val="single" w:sz="4" w:space="0" w:color="auto"/>
            </w:tcBorders>
            <w:shd w:val="clear" w:color="auto" w:fill="C6EFCE"/>
            <w:noWrap/>
          </w:tcPr>
          <w:p w14:paraId="36F1E315"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6" w:type="dxa"/>
            <w:tcBorders>
              <w:top w:val="single" w:sz="4" w:space="0" w:color="auto"/>
              <w:left w:val="nil"/>
              <w:bottom w:val="single" w:sz="4" w:space="0" w:color="auto"/>
              <w:right w:val="single" w:sz="4" w:space="0" w:color="auto"/>
            </w:tcBorders>
            <w:shd w:val="clear" w:color="auto" w:fill="C6EFCE"/>
            <w:noWrap/>
          </w:tcPr>
          <w:p w14:paraId="78A1730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TRETÍ ŠTVRŤROK</w:t>
            </w:r>
          </w:p>
        </w:tc>
        <w:tc>
          <w:tcPr>
            <w:tcW w:w="713" w:type="dxa"/>
            <w:tcBorders>
              <w:top w:val="single" w:sz="4" w:space="0" w:color="auto"/>
              <w:left w:val="nil"/>
              <w:bottom w:val="single" w:sz="4" w:space="0" w:color="auto"/>
              <w:right w:val="single" w:sz="4" w:space="0" w:color="auto"/>
            </w:tcBorders>
            <w:shd w:val="clear" w:color="auto" w:fill="C6EFCE"/>
            <w:noWrap/>
          </w:tcPr>
          <w:p w14:paraId="64C6713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2021</w:t>
            </w:r>
          </w:p>
        </w:tc>
        <w:tc>
          <w:tcPr>
            <w:tcW w:w="3402" w:type="dxa"/>
            <w:tcBorders>
              <w:top w:val="single" w:sz="4" w:space="0" w:color="auto"/>
              <w:left w:val="nil"/>
              <w:bottom w:val="single" w:sz="4" w:space="0" w:color="auto"/>
              <w:right w:val="single" w:sz="4" w:space="0" w:color="auto"/>
            </w:tcBorders>
            <w:shd w:val="clear" w:color="auto" w:fill="C6EFCE"/>
            <w:noWrap/>
          </w:tcPr>
          <w:p w14:paraId="2BF22220" w14:textId="6ECFE122"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Druhá podskupina: Príprava plánu</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 xml:space="preserve">krokmi na úplnú reorganizáciu </w:t>
            </w:r>
            <w:r w:rsidRPr="00083739">
              <w:rPr>
                <w:rFonts w:ascii="Times New Roman" w:hAnsi="Times New Roman" w:cs="Times New Roman"/>
                <w:noProof/>
                <w:lang w:val="sk-SK"/>
              </w:rPr>
              <w:t>spoločností OSE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ERGOSE.</w:t>
            </w:r>
          </w:p>
        </w:tc>
      </w:tr>
      <w:tr w:rsidR="002D49B0" w:rsidRPr="00083739" w14:paraId="70A09876" w14:textId="77777777">
        <w:trPr>
          <w:trHeight w:val="313"/>
          <w:jc w:val="center"/>
        </w:trPr>
        <w:tc>
          <w:tcPr>
            <w:tcW w:w="1027" w:type="dxa"/>
            <w:tcBorders>
              <w:top w:val="nil"/>
              <w:left w:val="single" w:sz="4" w:space="0" w:color="auto"/>
              <w:bottom w:val="single" w:sz="4" w:space="0" w:color="auto"/>
              <w:right w:val="single" w:sz="4" w:space="0" w:color="auto"/>
            </w:tcBorders>
            <w:shd w:val="clear" w:color="auto" w:fill="C6EFCE"/>
            <w:noWrap/>
          </w:tcPr>
          <w:p w14:paraId="2CE99BB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264</w:t>
            </w:r>
          </w:p>
        </w:tc>
        <w:tc>
          <w:tcPr>
            <w:tcW w:w="2229" w:type="dxa"/>
            <w:tcBorders>
              <w:top w:val="nil"/>
              <w:left w:val="nil"/>
              <w:bottom w:val="single" w:sz="4" w:space="0" w:color="auto"/>
              <w:right w:val="single" w:sz="4" w:space="0" w:color="auto"/>
            </w:tcBorders>
            <w:shd w:val="clear" w:color="auto" w:fill="C6EFCE"/>
            <w:noWrap/>
          </w:tcPr>
          <w:p w14:paraId="1906BC68" w14:textId="79BED893"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17 – 4.6. Modernizácia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zlepšenie odolnosti kľúčových hospodárskych odvetví – 16982_Organizačná reforma</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železničnom sektore</w:t>
            </w:r>
          </w:p>
        </w:tc>
        <w:tc>
          <w:tcPr>
            <w:tcW w:w="1134" w:type="dxa"/>
            <w:tcBorders>
              <w:top w:val="nil"/>
              <w:left w:val="nil"/>
              <w:bottom w:val="single" w:sz="4" w:space="0" w:color="auto"/>
              <w:right w:val="single" w:sz="4" w:space="0" w:color="auto"/>
            </w:tcBorders>
            <w:shd w:val="clear" w:color="auto" w:fill="C6EFCE"/>
            <w:noWrap/>
          </w:tcPr>
          <w:p w14:paraId="3276A9D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842" w:type="dxa"/>
            <w:tcBorders>
              <w:top w:val="nil"/>
              <w:left w:val="nil"/>
              <w:bottom w:val="single" w:sz="4" w:space="0" w:color="auto"/>
              <w:right w:val="single" w:sz="4" w:space="0" w:color="auto"/>
            </w:tcBorders>
            <w:shd w:val="clear" w:color="auto" w:fill="C6EFCE"/>
            <w:noWrap/>
          </w:tcPr>
          <w:p w14:paraId="0D5F5316" w14:textId="18A18F4A"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Zákon</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reforme železníc</w:t>
            </w:r>
          </w:p>
        </w:tc>
        <w:tc>
          <w:tcPr>
            <w:tcW w:w="2127" w:type="dxa"/>
            <w:tcBorders>
              <w:top w:val="nil"/>
              <w:left w:val="nil"/>
              <w:bottom w:val="single" w:sz="4" w:space="0" w:color="auto"/>
              <w:right w:val="single" w:sz="4" w:space="0" w:color="auto"/>
            </w:tcBorders>
            <w:shd w:val="clear" w:color="auto" w:fill="C6EFCE"/>
            <w:noWrap/>
          </w:tcPr>
          <w:p w14:paraId="1D0337A1" w14:textId="4BDE6A29"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primárnych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sekundárnych právnych predpisov </w:t>
            </w:r>
          </w:p>
        </w:tc>
        <w:tc>
          <w:tcPr>
            <w:tcW w:w="992" w:type="dxa"/>
            <w:tcBorders>
              <w:top w:val="nil"/>
              <w:left w:val="nil"/>
              <w:bottom w:val="single" w:sz="4" w:space="0" w:color="auto"/>
              <w:right w:val="single" w:sz="4" w:space="0" w:color="auto"/>
            </w:tcBorders>
            <w:shd w:val="clear" w:color="auto" w:fill="C6EFCE"/>
            <w:noWrap/>
          </w:tcPr>
          <w:p w14:paraId="1F79DDA7"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nil"/>
              <w:left w:val="nil"/>
              <w:bottom w:val="single" w:sz="4" w:space="0" w:color="auto"/>
              <w:right w:val="single" w:sz="4" w:space="0" w:color="auto"/>
            </w:tcBorders>
            <w:shd w:val="clear" w:color="auto" w:fill="C6EFCE"/>
            <w:noWrap/>
          </w:tcPr>
          <w:p w14:paraId="2139120F"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4" w:type="dxa"/>
            <w:tcBorders>
              <w:top w:val="nil"/>
              <w:left w:val="nil"/>
              <w:bottom w:val="single" w:sz="4" w:space="0" w:color="auto"/>
              <w:right w:val="single" w:sz="4" w:space="0" w:color="auto"/>
            </w:tcBorders>
            <w:shd w:val="clear" w:color="auto" w:fill="C6EFCE"/>
            <w:noWrap/>
          </w:tcPr>
          <w:p w14:paraId="25767A61"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6" w:type="dxa"/>
            <w:tcBorders>
              <w:top w:val="nil"/>
              <w:left w:val="nil"/>
              <w:bottom w:val="single" w:sz="4" w:space="0" w:color="auto"/>
              <w:right w:val="single" w:sz="4" w:space="0" w:color="auto"/>
            </w:tcBorders>
            <w:shd w:val="clear" w:color="auto" w:fill="C6EFCE"/>
            <w:noWrap/>
          </w:tcPr>
          <w:p w14:paraId="4D41A62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713" w:type="dxa"/>
            <w:tcBorders>
              <w:top w:val="nil"/>
              <w:left w:val="nil"/>
              <w:bottom w:val="single" w:sz="4" w:space="0" w:color="auto"/>
              <w:right w:val="single" w:sz="4" w:space="0" w:color="auto"/>
            </w:tcBorders>
            <w:shd w:val="clear" w:color="auto" w:fill="C6EFCE"/>
            <w:noWrap/>
          </w:tcPr>
          <w:p w14:paraId="6A908BA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2022</w:t>
            </w:r>
          </w:p>
        </w:tc>
        <w:tc>
          <w:tcPr>
            <w:tcW w:w="3402" w:type="dxa"/>
            <w:tcBorders>
              <w:top w:val="nil"/>
              <w:left w:val="nil"/>
              <w:bottom w:val="single" w:sz="4" w:space="0" w:color="auto"/>
              <w:right w:val="single" w:sz="4" w:space="0" w:color="auto"/>
            </w:tcBorders>
            <w:shd w:val="clear" w:color="auto" w:fill="C6EFCE"/>
            <w:noWrap/>
          </w:tcPr>
          <w:p w14:paraId="464B2D56" w14:textId="3D8246F2"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Druhá podskupina: Organizačná reforma</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železničnom sektore;</w:t>
            </w:r>
          </w:p>
          <w:p w14:paraId="4D170CA4"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p w14:paraId="084CC599"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p w14:paraId="04454624" w14:textId="59A1FACB"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primárnych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sekundárnych právnych predpisov týkajúcich sa reformy týchto dvoch spoločností, ktoré im umožnia </w:t>
            </w:r>
            <w:r w:rsidRPr="00083739">
              <w:rPr>
                <w:rFonts w:ascii="Times New Roman" w:hAnsi="Times New Roman" w:cs="Times New Roman"/>
                <w:noProof/>
                <w:lang w:val="sk-SK"/>
              </w:rPr>
              <w:t>rozvíjať, prevádzkovať</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udržiavať modernú železničnú sieť.</w:t>
            </w:r>
          </w:p>
        </w:tc>
      </w:tr>
      <w:tr w:rsidR="002D49B0" w:rsidRPr="00083739" w14:paraId="48A8CD7B" w14:textId="77777777">
        <w:trPr>
          <w:trHeight w:val="313"/>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752CBD4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267</w:t>
            </w:r>
          </w:p>
        </w:tc>
        <w:tc>
          <w:tcPr>
            <w:tcW w:w="2229" w:type="dxa"/>
            <w:tcBorders>
              <w:top w:val="single" w:sz="4" w:space="0" w:color="auto"/>
              <w:left w:val="nil"/>
              <w:bottom w:val="single" w:sz="4" w:space="0" w:color="auto"/>
              <w:right w:val="single" w:sz="4" w:space="0" w:color="auto"/>
            </w:tcBorders>
            <w:shd w:val="clear" w:color="auto" w:fill="C6EFCE"/>
            <w:noWrap/>
          </w:tcPr>
          <w:p w14:paraId="506643EE" w14:textId="614EAD5F"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17 – 4.6. Modernizácia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zlepšenie odolnosti kľúčových hospodárskych odvetví – 16833_Vykonávanie prác EASA na nápravu súladu</w:t>
            </w:r>
          </w:p>
        </w:tc>
        <w:tc>
          <w:tcPr>
            <w:tcW w:w="1134" w:type="dxa"/>
            <w:tcBorders>
              <w:top w:val="single" w:sz="4" w:space="0" w:color="auto"/>
              <w:left w:val="nil"/>
              <w:bottom w:val="single" w:sz="4" w:space="0" w:color="auto"/>
              <w:right w:val="single" w:sz="4" w:space="0" w:color="auto"/>
            </w:tcBorders>
            <w:shd w:val="clear" w:color="auto" w:fill="C6EFCE"/>
            <w:noWrap/>
          </w:tcPr>
          <w:p w14:paraId="7E48D41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842" w:type="dxa"/>
            <w:tcBorders>
              <w:top w:val="single" w:sz="4" w:space="0" w:color="auto"/>
              <w:left w:val="nil"/>
              <w:bottom w:val="single" w:sz="4" w:space="0" w:color="auto"/>
              <w:right w:val="single" w:sz="4" w:space="0" w:color="auto"/>
            </w:tcBorders>
            <w:shd w:val="clear" w:color="auto" w:fill="C6EFCE"/>
            <w:noWrap/>
          </w:tcPr>
          <w:p w14:paraId="4AFDF70F" w14:textId="4A15D95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Oznámenie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zadaní zákazky za práce Agentúry Európskej únie</w:t>
            </w:r>
            <w:r w:rsidRPr="00083739">
              <w:rPr>
                <w:rFonts w:ascii="Times New Roman" w:hAnsi="Times New Roman" w:cs="Times New Roman"/>
                <w:noProof/>
                <w:lang w:val="sk-SK"/>
              </w:rPr>
              <w:t xml:space="preserve"> pre bezpečnosť letectva (EASA) na regionálnych letiskách</w:t>
            </w:r>
          </w:p>
        </w:tc>
        <w:tc>
          <w:tcPr>
            <w:tcW w:w="2127" w:type="dxa"/>
            <w:tcBorders>
              <w:top w:val="single" w:sz="4" w:space="0" w:color="auto"/>
              <w:left w:val="nil"/>
              <w:bottom w:val="single" w:sz="4" w:space="0" w:color="auto"/>
              <w:right w:val="single" w:sz="4" w:space="0" w:color="auto"/>
            </w:tcBorders>
            <w:shd w:val="clear" w:color="auto" w:fill="C6EFCE"/>
            <w:noWrap/>
          </w:tcPr>
          <w:p w14:paraId="0BFBDFFB" w14:textId="1BBCCF3B"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Oznámenie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zadaní zákazky</w:t>
            </w:r>
          </w:p>
        </w:tc>
        <w:tc>
          <w:tcPr>
            <w:tcW w:w="992" w:type="dxa"/>
            <w:tcBorders>
              <w:top w:val="single" w:sz="4" w:space="0" w:color="auto"/>
              <w:left w:val="nil"/>
              <w:bottom w:val="single" w:sz="4" w:space="0" w:color="auto"/>
              <w:right w:val="single" w:sz="4" w:space="0" w:color="auto"/>
            </w:tcBorders>
            <w:shd w:val="clear" w:color="auto" w:fill="C6EFCE"/>
            <w:noWrap/>
          </w:tcPr>
          <w:p w14:paraId="58CC5861"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single" w:sz="4" w:space="0" w:color="auto"/>
              <w:left w:val="nil"/>
              <w:bottom w:val="single" w:sz="4" w:space="0" w:color="auto"/>
              <w:right w:val="single" w:sz="4" w:space="0" w:color="auto"/>
            </w:tcBorders>
            <w:shd w:val="clear" w:color="auto" w:fill="C6EFCE"/>
            <w:noWrap/>
          </w:tcPr>
          <w:p w14:paraId="326763EC"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4" w:type="dxa"/>
            <w:tcBorders>
              <w:top w:val="single" w:sz="4" w:space="0" w:color="auto"/>
              <w:left w:val="nil"/>
              <w:bottom w:val="single" w:sz="4" w:space="0" w:color="auto"/>
              <w:right w:val="single" w:sz="4" w:space="0" w:color="auto"/>
            </w:tcBorders>
            <w:shd w:val="clear" w:color="auto" w:fill="C6EFCE"/>
            <w:noWrap/>
          </w:tcPr>
          <w:p w14:paraId="437110AD"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6" w:type="dxa"/>
            <w:tcBorders>
              <w:top w:val="single" w:sz="4" w:space="0" w:color="auto"/>
              <w:left w:val="nil"/>
              <w:bottom w:val="single" w:sz="4" w:space="0" w:color="auto"/>
              <w:right w:val="single" w:sz="4" w:space="0" w:color="auto"/>
            </w:tcBorders>
            <w:shd w:val="clear" w:color="auto" w:fill="C6EFCE"/>
            <w:noWrap/>
          </w:tcPr>
          <w:p w14:paraId="6399A2A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713" w:type="dxa"/>
            <w:tcBorders>
              <w:top w:val="single" w:sz="4" w:space="0" w:color="auto"/>
              <w:left w:val="nil"/>
              <w:bottom w:val="single" w:sz="4" w:space="0" w:color="auto"/>
              <w:right w:val="single" w:sz="4" w:space="0" w:color="auto"/>
            </w:tcBorders>
            <w:shd w:val="clear" w:color="auto" w:fill="C6EFCE"/>
            <w:noWrap/>
          </w:tcPr>
          <w:p w14:paraId="18029AE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2023</w:t>
            </w:r>
          </w:p>
        </w:tc>
        <w:tc>
          <w:tcPr>
            <w:tcW w:w="3402" w:type="dxa"/>
            <w:tcBorders>
              <w:top w:val="single" w:sz="4" w:space="0" w:color="auto"/>
              <w:left w:val="nil"/>
              <w:bottom w:val="single" w:sz="4" w:space="0" w:color="auto"/>
              <w:right w:val="single" w:sz="4" w:space="0" w:color="auto"/>
            </w:tcBorders>
            <w:shd w:val="clear" w:color="auto" w:fill="C6EFCE"/>
            <w:noWrap/>
          </w:tcPr>
          <w:p w14:paraId="36FDFB91" w14:textId="4FC3BC34"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Druhá podskupina: Program súladu Agentúry Európskej únie pre bezpečnosť letectva (EASA): Všetky zmluvy</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 xml:space="preserve">opravárenských prácach na 13 regionálnych </w:t>
            </w:r>
            <w:r w:rsidRPr="00083739">
              <w:rPr>
                <w:rFonts w:ascii="Times New Roman" w:hAnsi="Times New Roman" w:cs="Times New Roman"/>
                <w:noProof/>
                <w:lang w:val="sk-SK"/>
              </w:rPr>
              <w:t>letiskách</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cieľom dosiahnuť súlad</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novým podpísaným nariadením (EÚ) 2018/1139.</w:t>
            </w:r>
          </w:p>
        </w:tc>
      </w:tr>
      <w:tr w:rsidR="002D49B0" w:rsidRPr="00083739" w14:paraId="518131E6" w14:textId="77777777">
        <w:trPr>
          <w:trHeight w:val="313"/>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0EDFBF6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268</w:t>
            </w:r>
          </w:p>
        </w:tc>
        <w:tc>
          <w:tcPr>
            <w:tcW w:w="2229" w:type="dxa"/>
            <w:tcBorders>
              <w:top w:val="single" w:sz="4" w:space="0" w:color="auto"/>
              <w:left w:val="nil"/>
              <w:bottom w:val="single" w:sz="4" w:space="0" w:color="auto"/>
              <w:right w:val="single" w:sz="4" w:space="0" w:color="auto"/>
            </w:tcBorders>
            <w:shd w:val="clear" w:color="auto" w:fill="C6EFCE"/>
            <w:noWrap/>
          </w:tcPr>
          <w:p w14:paraId="38BF86F9" w14:textId="0988D7CD"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17 – 4.6. Modernizácia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zlepšenie odolnosti kľúčových hospodárskych odvetví – 16982_Organizačná reforma</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železničnom sektore</w:t>
            </w:r>
          </w:p>
        </w:tc>
        <w:tc>
          <w:tcPr>
            <w:tcW w:w="1134" w:type="dxa"/>
            <w:tcBorders>
              <w:top w:val="single" w:sz="4" w:space="0" w:color="auto"/>
              <w:left w:val="nil"/>
              <w:bottom w:val="single" w:sz="4" w:space="0" w:color="auto"/>
              <w:right w:val="single" w:sz="4" w:space="0" w:color="auto"/>
            </w:tcBorders>
            <w:shd w:val="clear" w:color="auto" w:fill="C6EFCE"/>
            <w:noWrap/>
          </w:tcPr>
          <w:p w14:paraId="26A9D82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842" w:type="dxa"/>
            <w:tcBorders>
              <w:top w:val="single" w:sz="4" w:space="0" w:color="auto"/>
              <w:left w:val="nil"/>
              <w:bottom w:val="single" w:sz="4" w:space="0" w:color="auto"/>
              <w:right w:val="single" w:sz="4" w:space="0" w:color="auto"/>
            </w:tcBorders>
            <w:shd w:val="clear" w:color="auto" w:fill="C6EFCE"/>
            <w:noWrap/>
          </w:tcPr>
          <w:p w14:paraId="5CD5ED8A" w14:textId="20DC2B38"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Realizačný plán gréckych železníc</w:t>
            </w:r>
          </w:p>
        </w:tc>
        <w:tc>
          <w:tcPr>
            <w:tcW w:w="2127" w:type="dxa"/>
            <w:tcBorders>
              <w:top w:val="single" w:sz="4" w:space="0" w:color="auto"/>
              <w:left w:val="nil"/>
              <w:bottom w:val="single" w:sz="4" w:space="0" w:color="auto"/>
              <w:right w:val="single" w:sz="4" w:space="0" w:color="auto"/>
            </w:tcBorders>
            <w:shd w:val="clear" w:color="auto" w:fill="C6EFCE"/>
            <w:noWrap/>
          </w:tcPr>
          <w:p w14:paraId="412CFB74" w14:textId="77777777" w:rsidR="00083739" w:rsidRPr="00083739" w:rsidRDefault="00BF4125">
            <w:pPr>
              <w:pStyle w:val="P68B1DB1-Normal10"/>
              <w:spacing w:after="0" w:line="240" w:lineRule="auto"/>
              <w:rPr>
                <w:rFonts w:ascii="Times New Roman" w:hAnsi="Times New Roman" w:cs="Times New Roman"/>
                <w:noProof/>
                <w:lang w:val="sk-SK"/>
              </w:rPr>
            </w:pPr>
            <w:r w:rsidRPr="00083739">
              <w:rPr>
                <w:rFonts w:ascii="Times New Roman" w:hAnsi="Times New Roman" w:cs="Times New Roman"/>
                <w:noProof/>
                <w:lang w:val="sk-SK"/>
              </w:rPr>
              <w:t>Uverejnený implementačný plán pre grécke železnice</w:t>
            </w:r>
          </w:p>
          <w:p w14:paraId="188534AF" w14:textId="16B1E1B8"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p w14:paraId="4942CA02"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p w14:paraId="224C7D8E"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2" w:type="dxa"/>
            <w:tcBorders>
              <w:top w:val="single" w:sz="4" w:space="0" w:color="auto"/>
              <w:left w:val="nil"/>
              <w:bottom w:val="single" w:sz="4" w:space="0" w:color="auto"/>
              <w:right w:val="single" w:sz="4" w:space="0" w:color="auto"/>
            </w:tcBorders>
            <w:shd w:val="clear" w:color="auto" w:fill="C6EFCE"/>
            <w:noWrap/>
          </w:tcPr>
          <w:p w14:paraId="6B79675B"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single" w:sz="4" w:space="0" w:color="auto"/>
              <w:left w:val="nil"/>
              <w:bottom w:val="single" w:sz="4" w:space="0" w:color="auto"/>
              <w:right w:val="single" w:sz="4" w:space="0" w:color="auto"/>
            </w:tcBorders>
            <w:shd w:val="clear" w:color="auto" w:fill="C6EFCE"/>
            <w:noWrap/>
          </w:tcPr>
          <w:p w14:paraId="2B7F05CC"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4" w:type="dxa"/>
            <w:tcBorders>
              <w:top w:val="single" w:sz="4" w:space="0" w:color="auto"/>
              <w:left w:val="nil"/>
              <w:bottom w:val="single" w:sz="4" w:space="0" w:color="auto"/>
              <w:right w:val="single" w:sz="4" w:space="0" w:color="auto"/>
            </w:tcBorders>
            <w:shd w:val="clear" w:color="auto" w:fill="C6EFCE"/>
            <w:noWrap/>
          </w:tcPr>
          <w:p w14:paraId="430E20C7"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6" w:type="dxa"/>
            <w:tcBorders>
              <w:top w:val="single" w:sz="4" w:space="0" w:color="auto"/>
              <w:left w:val="nil"/>
              <w:bottom w:val="single" w:sz="4" w:space="0" w:color="auto"/>
              <w:right w:val="single" w:sz="4" w:space="0" w:color="auto"/>
            </w:tcBorders>
            <w:shd w:val="clear" w:color="auto" w:fill="C6EFCE"/>
            <w:noWrap/>
          </w:tcPr>
          <w:p w14:paraId="100C389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p w14:paraId="3FE347C7"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713" w:type="dxa"/>
            <w:tcBorders>
              <w:top w:val="single" w:sz="4" w:space="0" w:color="auto"/>
              <w:left w:val="nil"/>
              <w:bottom w:val="single" w:sz="4" w:space="0" w:color="auto"/>
              <w:right w:val="single" w:sz="4" w:space="0" w:color="auto"/>
            </w:tcBorders>
            <w:shd w:val="clear" w:color="auto" w:fill="C6EFCE"/>
            <w:noWrap/>
          </w:tcPr>
          <w:p w14:paraId="0D45781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2024</w:t>
            </w:r>
          </w:p>
        </w:tc>
        <w:tc>
          <w:tcPr>
            <w:tcW w:w="3402" w:type="dxa"/>
            <w:tcBorders>
              <w:top w:val="single" w:sz="4" w:space="0" w:color="auto"/>
              <w:left w:val="nil"/>
              <w:bottom w:val="single" w:sz="4" w:space="0" w:color="auto"/>
              <w:right w:val="single" w:sz="4" w:space="0" w:color="auto"/>
            </w:tcBorders>
            <w:shd w:val="clear" w:color="auto" w:fill="C6EFCE"/>
            <w:noWrap/>
          </w:tcPr>
          <w:p w14:paraId="16EC43BD" w14:textId="77777777" w:rsidR="00083739" w:rsidRPr="00083739" w:rsidRDefault="00BF4125">
            <w:pPr>
              <w:pStyle w:val="P68B1DB1-Normal10"/>
              <w:spacing w:after="0" w:line="240" w:lineRule="auto"/>
              <w:rPr>
                <w:rFonts w:ascii="Times New Roman" w:hAnsi="Times New Roman" w:cs="Times New Roman"/>
                <w:noProof/>
                <w:lang w:val="sk-SK"/>
              </w:rPr>
            </w:pPr>
            <w:r w:rsidRPr="00083739">
              <w:rPr>
                <w:rFonts w:ascii="Times New Roman" w:hAnsi="Times New Roman" w:cs="Times New Roman"/>
                <w:noProof/>
                <w:lang w:val="sk-SK"/>
              </w:rPr>
              <w:t>Uverejnenie vykonávacieho plánu pre novú spoločnosť pre zjednotenú železničnú infraštruktúru (grécke železnice)</w:t>
            </w:r>
          </w:p>
          <w:p w14:paraId="30449126" w14:textId="75B7600A"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r>
      <w:tr w:rsidR="002D49B0" w:rsidRPr="00083739" w14:paraId="44C22EF2" w14:textId="77777777">
        <w:trPr>
          <w:trHeight w:val="313"/>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64642F40" w14:textId="77777777" w:rsidR="002D49B0" w:rsidRPr="00083739" w:rsidRDefault="00BF4125">
            <w:pPr>
              <w:pStyle w:val="P68B1DB1-Normal9"/>
              <w:spacing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268a</w:t>
            </w:r>
          </w:p>
        </w:tc>
        <w:tc>
          <w:tcPr>
            <w:tcW w:w="2229" w:type="dxa"/>
            <w:tcBorders>
              <w:top w:val="single" w:sz="4" w:space="0" w:color="auto"/>
              <w:left w:val="nil"/>
              <w:bottom w:val="single" w:sz="4" w:space="0" w:color="auto"/>
              <w:right w:val="single" w:sz="4" w:space="0" w:color="auto"/>
            </w:tcBorders>
            <w:shd w:val="clear" w:color="auto" w:fill="C6EFCE"/>
            <w:noWrap/>
          </w:tcPr>
          <w:p w14:paraId="72759D43" w14:textId="583E675D"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17 – 4.6. Modernizácia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zlepšenie odolnosti kľúčových </w:t>
            </w:r>
            <w:r w:rsidRPr="00083739">
              <w:rPr>
                <w:rFonts w:ascii="Times New Roman" w:hAnsi="Times New Roman" w:cs="Times New Roman"/>
                <w:noProof/>
                <w:lang w:val="sk-SK"/>
              </w:rPr>
              <w:t>hospodárskych odvetví – 16982_Organizačná reforma</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železničnom sektore</w:t>
            </w:r>
          </w:p>
          <w:p w14:paraId="251F0C93" w14:textId="77777777" w:rsidR="002D49B0" w:rsidRPr="00083739" w:rsidRDefault="002D49B0">
            <w:pPr>
              <w:spacing w:line="240" w:lineRule="auto"/>
              <w:rPr>
                <w:rFonts w:ascii="Times New Roman" w:eastAsia="Times New Roman" w:hAnsi="Times New Roman" w:cs="Times New Roman"/>
                <w:noProof/>
                <w:color w:val="006100"/>
                <w:sz w:val="18"/>
                <w:szCs w:val="18"/>
                <w:lang w:val="sk-SK"/>
              </w:rPr>
            </w:pPr>
          </w:p>
        </w:tc>
        <w:tc>
          <w:tcPr>
            <w:tcW w:w="1134" w:type="dxa"/>
            <w:tcBorders>
              <w:top w:val="single" w:sz="4" w:space="0" w:color="auto"/>
              <w:left w:val="nil"/>
              <w:bottom w:val="single" w:sz="4" w:space="0" w:color="auto"/>
              <w:right w:val="single" w:sz="4" w:space="0" w:color="auto"/>
            </w:tcBorders>
            <w:shd w:val="clear" w:color="auto" w:fill="C6EFCE"/>
            <w:noWrap/>
          </w:tcPr>
          <w:p w14:paraId="33323959" w14:textId="77777777" w:rsidR="002D49B0" w:rsidRPr="00083739" w:rsidRDefault="00BF4125">
            <w:pPr>
              <w:pStyle w:val="P68B1DB1-Normal9"/>
              <w:spacing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842" w:type="dxa"/>
            <w:tcBorders>
              <w:top w:val="single" w:sz="4" w:space="0" w:color="auto"/>
              <w:left w:val="nil"/>
              <w:bottom w:val="single" w:sz="4" w:space="0" w:color="auto"/>
              <w:right w:val="single" w:sz="4" w:space="0" w:color="auto"/>
            </w:tcBorders>
            <w:shd w:val="clear" w:color="auto" w:fill="C6EFCE"/>
            <w:noWrap/>
          </w:tcPr>
          <w:p w14:paraId="28CECBEC" w14:textId="20D3FA67" w:rsidR="002D49B0" w:rsidRPr="00083739" w:rsidRDefault="00BF4125">
            <w:pPr>
              <w:pStyle w:val="P68B1DB1-Normal10"/>
              <w:spacing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Právne predpisy pre grécke železnice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uzavretie dohody pre technického manažéra</w:t>
            </w:r>
          </w:p>
        </w:tc>
        <w:tc>
          <w:tcPr>
            <w:tcW w:w="2127" w:type="dxa"/>
            <w:tcBorders>
              <w:top w:val="single" w:sz="4" w:space="0" w:color="auto"/>
              <w:left w:val="nil"/>
              <w:bottom w:val="single" w:sz="4" w:space="0" w:color="auto"/>
              <w:right w:val="single" w:sz="4" w:space="0" w:color="auto"/>
            </w:tcBorders>
            <w:shd w:val="clear" w:color="auto" w:fill="C6EFCE"/>
            <w:noWrap/>
          </w:tcPr>
          <w:p w14:paraId="2071E63E" w14:textId="72099218" w:rsidR="002D49B0" w:rsidRPr="00083739" w:rsidRDefault="00BF4125">
            <w:pPr>
              <w:pStyle w:val="P68B1DB1-Normal10"/>
              <w:spacing w:line="240" w:lineRule="auto"/>
              <w:rPr>
                <w:rFonts w:ascii="Times New Roman" w:hAnsi="Times New Roman" w:cs="Times New Roman"/>
                <w:noProof/>
                <w:lang w:val="sk-SK"/>
              </w:rPr>
            </w:pPr>
            <w:r w:rsidRPr="00083739">
              <w:rPr>
                <w:rFonts w:ascii="Times New Roman" w:hAnsi="Times New Roman" w:cs="Times New Roman"/>
                <w:noProof/>
                <w:lang w:val="sk-SK"/>
              </w:rPr>
              <w:t>Kópia právnych predpisov pre grécke železnice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uzavretie dohody pre technického manažéra </w:t>
            </w:r>
            <w:r w:rsidRPr="00083739">
              <w:rPr>
                <w:rFonts w:ascii="Times New Roman" w:hAnsi="Times New Roman" w:cs="Times New Roman"/>
                <w:noProof/>
                <w:lang w:val="sk-SK"/>
              </w:rPr>
              <w:t>prostredníctvom priamej dohody</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 xml:space="preserve">členským štátom EÚ alebo verejným obstarávateľom členského štátu EÚ </w:t>
            </w:r>
          </w:p>
        </w:tc>
        <w:tc>
          <w:tcPr>
            <w:tcW w:w="992" w:type="dxa"/>
            <w:tcBorders>
              <w:top w:val="single" w:sz="4" w:space="0" w:color="auto"/>
              <w:left w:val="nil"/>
              <w:bottom w:val="single" w:sz="4" w:space="0" w:color="auto"/>
              <w:right w:val="single" w:sz="4" w:space="0" w:color="auto"/>
            </w:tcBorders>
            <w:shd w:val="clear" w:color="auto" w:fill="C6EFCE"/>
            <w:noWrap/>
          </w:tcPr>
          <w:p w14:paraId="4C9A9344" w14:textId="77777777" w:rsidR="002D49B0" w:rsidRPr="00083739" w:rsidRDefault="002D49B0">
            <w:pPr>
              <w:spacing w:line="240" w:lineRule="auto"/>
              <w:rPr>
                <w:rFonts w:ascii="Times New Roman" w:eastAsia="Times New Roman" w:hAnsi="Times New Roman" w:cs="Times New Roman"/>
                <w:noProof/>
                <w:color w:val="006100"/>
                <w:sz w:val="18"/>
                <w:szCs w:val="18"/>
                <w:lang w:val="sk-SK"/>
              </w:rPr>
            </w:pPr>
          </w:p>
        </w:tc>
        <w:tc>
          <w:tcPr>
            <w:tcW w:w="857" w:type="dxa"/>
            <w:tcBorders>
              <w:top w:val="single" w:sz="4" w:space="0" w:color="auto"/>
              <w:left w:val="nil"/>
              <w:bottom w:val="single" w:sz="4" w:space="0" w:color="auto"/>
              <w:right w:val="single" w:sz="4" w:space="0" w:color="auto"/>
            </w:tcBorders>
            <w:shd w:val="clear" w:color="auto" w:fill="C6EFCE"/>
            <w:noWrap/>
          </w:tcPr>
          <w:p w14:paraId="61108120" w14:textId="77777777" w:rsidR="002D49B0" w:rsidRPr="00083739" w:rsidRDefault="002D49B0">
            <w:pPr>
              <w:spacing w:line="240" w:lineRule="auto"/>
              <w:rPr>
                <w:rFonts w:ascii="Times New Roman" w:eastAsia="Times New Roman" w:hAnsi="Times New Roman" w:cs="Times New Roman"/>
                <w:noProof/>
                <w:color w:val="006100"/>
                <w:sz w:val="18"/>
                <w:szCs w:val="18"/>
                <w:lang w:val="sk-SK"/>
              </w:rPr>
            </w:pPr>
          </w:p>
        </w:tc>
        <w:tc>
          <w:tcPr>
            <w:tcW w:w="844" w:type="dxa"/>
            <w:tcBorders>
              <w:top w:val="single" w:sz="4" w:space="0" w:color="auto"/>
              <w:left w:val="nil"/>
              <w:bottom w:val="single" w:sz="4" w:space="0" w:color="auto"/>
              <w:right w:val="single" w:sz="4" w:space="0" w:color="auto"/>
            </w:tcBorders>
            <w:shd w:val="clear" w:color="auto" w:fill="C6EFCE"/>
            <w:noWrap/>
          </w:tcPr>
          <w:p w14:paraId="51369844" w14:textId="77777777" w:rsidR="002D49B0" w:rsidRPr="00083739" w:rsidRDefault="002D49B0">
            <w:pPr>
              <w:spacing w:line="240" w:lineRule="auto"/>
              <w:rPr>
                <w:rFonts w:ascii="Times New Roman" w:eastAsia="Times New Roman" w:hAnsi="Times New Roman" w:cs="Times New Roman"/>
                <w:noProof/>
                <w:color w:val="006100"/>
                <w:sz w:val="18"/>
                <w:szCs w:val="18"/>
                <w:lang w:val="sk-SK"/>
              </w:rPr>
            </w:pPr>
          </w:p>
        </w:tc>
        <w:tc>
          <w:tcPr>
            <w:tcW w:w="846" w:type="dxa"/>
            <w:tcBorders>
              <w:top w:val="single" w:sz="4" w:space="0" w:color="auto"/>
              <w:left w:val="nil"/>
              <w:bottom w:val="single" w:sz="4" w:space="0" w:color="auto"/>
              <w:right w:val="single" w:sz="4" w:space="0" w:color="auto"/>
            </w:tcBorders>
            <w:shd w:val="clear" w:color="auto" w:fill="C6EFCE"/>
            <w:noWrap/>
          </w:tcPr>
          <w:p w14:paraId="367C5B45" w14:textId="77777777" w:rsidR="002D49B0" w:rsidRPr="00083739" w:rsidRDefault="00BF4125">
            <w:pPr>
              <w:pStyle w:val="P68B1DB1-Normal9"/>
              <w:spacing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13" w:type="dxa"/>
            <w:tcBorders>
              <w:top w:val="single" w:sz="4" w:space="0" w:color="auto"/>
              <w:left w:val="nil"/>
              <w:bottom w:val="single" w:sz="4" w:space="0" w:color="auto"/>
              <w:right w:val="single" w:sz="4" w:space="0" w:color="auto"/>
            </w:tcBorders>
            <w:shd w:val="clear" w:color="auto" w:fill="C6EFCE"/>
            <w:noWrap/>
          </w:tcPr>
          <w:p w14:paraId="5BC6357D" w14:textId="77777777" w:rsidR="002D49B0" w:rsidRPr="00083739" w:rsidRDefault="00BF4125">
            <w:pPr>
              <w:pStyle w:val="P68B1DB1-Normal9"/>
              <w:spacing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2024</w:t>
            </w:r>
          </w:p>
        </w:tc>
        <w:tc>
          <w:tcPr>
            <w:tcW w:w="3402" w:type="dxa"/>
            <w:tcBorders>
              <w:top w:val="single" w:sz="4" w:space="0" w:color="auto"/>
              <w:left w:val="nil"/>
              <w:bottom w:val="single" w:sz="4" w:space="0" w:color="auto"/>
              <w:right w:val="single" w:sz="4" w:space="0" w:color="auto"/>
            </w:tcBorders>
            <w:shd w:val="clear" w:color="auto" w:fill="C6EFCE"/>
            <w:noWrap/>
          </w:tcPr>
          <w:p w14:paraId="5DFEEAEE" w14:textId="265E6514" w:rsidR="002D49B0" w:rsidRPr="00083739" w:rsidRDefault="00BF4125">
            <w:pPr>
              <w:pStyle w:val="P68B1DB1-Normal10"/>
              <w:spacing w:after="0"/>
              <w:rPr>
                <w:rFonts w:ascii="Times New Roman" w:hAnsi="Times New Roman" w:cs="Times New Roman"/>
                <w:noProof/>
                <w:lang w:val="sk-SK"/>
              </w:rPr>
            </w:pPr>
            <w:r w:rsidRPr="00083739">
              <w:rPr>
                <w:rFonts w:ascii="Times New Roman" w:hAnsi="Times New Roman" w:cs="Times New Roman"/>
                <w:noProof/>
                <w:lang w:val="sk-SK"/>
              </w:rPr>
              <w:t>Nadobudnutie účinnosti zmien zákona č. 4974/2022</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sekundárnych právnych predpisov pre novú zjednotenú nezávislú železničnú infraš</w:t>
            </w:r>
            <w:r w:rsidRPr="00083739">
              <w:rPr>
                <w:rFonts w:ascii="Times New Roman" w:hAnsi="Times New Roman" w:cs="Times New Roman"/>
                <w:noProof/>
                <w:lang w:val="sk-SK"/>
              </w:rPr>
              <w:t>truktúru, ktorej jadrom je spoločnosť OSE („grécke železnice“), ktorá zahŕňa ERGOSE. Nová spoločnosť prevezme celkovú zodpovednosť za otázky bezpečnosti železničnej infraštruktúry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bude plne spolupracovať so železničnými podnikmi pri vykonávaní opatrení n</w:t>
            </w:r>
            <w:r w:rsidRPr="00083739">
              <w:rPr>
                <w:rFonts w:ascii="Times New Roman" w:hAnsi="Times New Roman" w:cs="Times New Roman"/>
                <w:noProof/>
                <w:lang w:val="sk-SK"/>
              </w:rPr>
              <w:t>a kontrolu rizík.</w:t>
            </w:r>
          </w:p>
          <w:p w14:paraId="1787833B" w14:textId="40B94437" w:rsidR="002D49B0" w:rsidRPr="00083739" w:rsidRDefault="00BF4125">
            <w:pPr>
              <w:pStyle w:val="P68B1DB1-Normal10"/>
              <w:spacing w:after="0"/>
              <w:rPr>
                <w:rFonts w:ascii="Times New Roman" w:eastAsia="Times New Roman" w:hAnsi="Times New Roman" w:cs="Times New Roman"/>
                <w:noProof/>
                <w:lang w:val="sk-SK"/>
              </w:rPr>
            </w:pPr>
            <w:r w:rsidRPr="00083739">
              <w:rPr>
                <w:rFonts w:ascii="Times New Roman" w:hAnsi="Times New Roman" w:cs="Times New Roman"/>
                <w:noProof/>
                <w:lang w:val="sk-SK"/>
              </w:rPr>
              <w:t>Súbežne so začatím procesu vymenovania technického manažéra na podporu prevádzkového zriadenia novej spoločnosti, ktorý sa má dosiahnuť uzavretím priamej dohody</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 xml:space="preserve">členským štátom EÚ alebo verejným obstarávateľom členského štátu EÚ.  </w:t>
            </w:r>
          </w:p>
        </w:tc>
      </w:tr>
      <w:tr w:rsidR="002D49B0" w:rsidRPr="00083739" w14:paraId="1D3A1CF1" w14:textId="77777777">
        <w:trPr>
          <w:trHeight w:val="313"/>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688FE2D0" w14:textId="77777777" w:rsidR="002D49B0" w:rsidRPr="00083739" w:rsidRDefault="00BF4125">
            <w:pPr>
              <w:pStyle w:val="P68B1DB1-Normal9"/>
              <w:spacing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268b</w:t>
            </w:r>
          </w:p>
        </w:tc>
        <w:tc>
          <w:tcPr>
            <w:tcW w:w="2229" w:type="dxa"/>
            <w:tcBorders>
              <w:top w:val="single" w:sz="4" w:space="0" w:color="auto"/>
              <w:left w:val="nil"/>
              <w:bottom w:val="single" w:sz="4" w:space="0" w:color="auto"/>
              <w:right w:val="single" w:sz="4" w:space="0" w:color="auto"/>
            </w:tcBorders>
            <w:shd w:val="clear" w:color="auto" w:fill="C6EFCE"/>
            <w:noWrap/>
          </w:tcPr>
          <w:p w14:paraId="72FD2ACA" w14:textId="75BF9F1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17 – 4.6. Modernizácia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zlepšenie odolnosti kľúčových hospodárskych odvetví – 16982_Organizačná reforma</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železničnom sektore</w:t>
            </w:r>
          </w:p>
          <w:p w14:paraId="755F706E" w14:textId="77777777" w:rsidR="002D49B0" w:rsidRPr="00083739" w:rsidRDefault="002D49B0">
            <w:pPr>
              <w:spacing w:line="240" w:lineRule="auto"/>
              <w:rPr>
                <w:rFonts w:ascii="Times New Roman" w:eastAsia="Times New Roman" w:hAnsi="Times New Roman" w:cs="Times New Roman"/>
                <w:noProof/>
                <w:color w:val="006100"/>
                <w:sz w:val="18"/>
                <w:szCs w:val="18"/>
                <w:lang w:val="sk-SK"/>
              </w:rPr>
            </w:pPr>
          </w:p>
        </w:tc>
        <w:tc>
          <w:tcPr>
            <w:tcW w:w="1134" w:type="dxa"/>
            <w:tcBorders>
              <w:top w:val="single" w:sz="4" w:space="0" w:color="auto"/>
              <w:left w:val="nil"/>
              <w:bottom w:val="single" w:sz="4" w:space="0" w:color="auto"/>
              <w:right w:val="single" w:sz="4" w:space="0" w:color="auto"/>
            </w:tcBorders>
            <w:shd w:val="clear" w:color="auto" w:fill="C6EFCE"/>
            <w:noWrap/>
          </w:tcPr>
          <w:p w14:paraId="69691F46" w14:textId="77777777" w:rsidR="002D49B0" w:rsidRPr="00083739" w:rsidRDefault="00BF4125">
            <w:pPr>
              <w:pStyle w:val="P68B1DB1-Normal9"/>
              <w:spacing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842" w:type="dxa"/>
            <w:tcBorders>
              <w:top w:val="single" w:sz="4" w:space="0" w:color="auto"/>
              <w:left w:val="nil"/>
              <w:bottom w:val="single" w:sz="4" w:space="0" w:color="auto"/>
              <w:right w:val="single" w:sz="4" w:space="0" w:color="auto"/>
            </w:tcBorders>
            <w:shd w:val="clear" w:color="auto" w:fill="C6EFCE"/>
            <w:noWrap/>
          </w:tcPr>
          <w:p w14:paraId="00E1AF41" w14:textId="5EB810C4" w:rsidR="002D49B0" w:rsidRPr="00083739" w:rsidRDefault="00BF4125">
            <w:pPr>
              <w:pStyle w:val="P68B1DB1-Normal10"/>
              <w:spacing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Prijatie viacročného investičného programu, podpísanie novej zmluvnej dohody</w:t>
            </w:r>
          </w:p>
          <w:p w14:paraId="6D0CF686" w14:textId="77777777" w:rsidR="002D49B0" w:rsidRPr="00083739" w:rsidRDefault="002D49B0">
            <w:pPr>
              <w:spacing w:line="240" w:lineRule="auto"/>
              <w:rPr>
                <w:rFonts w:ascii="Times New Roman" w:eastAsia="Times New Roman" w:hAnsi="Times New Roman" w:cs="Times New Roman"/>
                <w:noProof/>
                <w:color w:val="006100"/>
                <w:sz w:val="18"/>
                <w:szCs w:val="18"/>
                <w:lang w:val="sk-SK"/>
              </w:rPr>
            </w:pPr>
          </w:p>
        </w:tc>
        <w:tc>
          <w:tcPr>
            <w:tcW w:w="2127" w:type="dxa"/>
            <w:tcBorders>
              <w:top w:val="single" w:sz="4" w:space="0" w:color="auto"/>
              <w:left w:val="nil"/>
              <w:bottom w:val="single" w:sz="4" w:space="0" w:color="auto"/>
              <w:right w:val="single" w:sz="4" w:space="0" w:color="auto"/>
            </w:tcBorders>
            <w:shd w:val="clear" w:color="auto" w:fill="C6EFCE"/>
            <w:noWrap/>
          </w:tcPr>
          <w:p w14:paraId="255A6F70" w14:textId="6BF2F6BC" w:rsidR="002D49B0" w:rsidRPr="00083739" w:rsidRDefault="00BF4125">
            <w:pPr>
              <w:pStyle w:val="P68B1DB1-Normal10"/>
              <w:spacing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 xml:space="preserve">Kópia schváleného predstavenstvom </w:t>
            </w:r>
            <w:r w:rsidRPr="00083739">
              <w:rPr>
                <w:rFonts w:ascii="Times New Roman" w:hAnsi="Times New Roman" w:cs="Times New Roman"/>
                <w:noProof/>
                <w:lang w:val="sk-SK"/>
              </w:rPr>
              <w:t>gréckych železníc, viacročný investičný program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kópia podpísanej novej zmluvnej dohody</w:t>
            </w:r>
          </w:p>
          <w:p w14:paraId="1971EB57" w14:textId="77777777" w:rsidR="002D49B0" w:rsidRPr="00083739" w:rsidRDefault="002D49B0">
            <w:pPr>
              <w:spacing w:line="240" w:lineRule="auto"/>
              <w:rPr>
                <w:rFonts w:ascii="Times New Roman" w:eastAsia="Times New Roman" w:hAnsi="Times New Roman" w:cs="Times New Roman"/>
                <w:noProof/>
                <w:color w:val="006100"/>
                <w:sz w:val="18"/>
                <w:szCs w:val="18"/>
                <w:lang w:val="sk-SK"/>
              </w:rPr>
            </w:pPr>
          </w:p>
        </w:tc>
        <w:tc>
          <w:tcPr>
            <w:tcW w:w="992" w:type="dxa"/>
            <w:tcBorders>
              <w:top w:val="single" w:sz="4" w:space="0" w:color="auto"/>
              <w:left w:val="nil"/>
              <w:bottom w:val="single" w:sz="4" w:space="0" w:color="auto"/>
              <w:right w:val="single" w:sz="4" w:space="0" w:color="auto"/>
            </w:tcBorders>
            <w:shd w:val="clear" w:color="auto" w:fill="C6EFCE"/>
            <w:noWrap/>
          </w:tcPr>
          <w:p w14:paraId="425E1F4E" w14:textId="77777777" w:rsidR="002D49B0" w:rsidRPr="00083739" w:rsidRDefault="002D49B0">
            <w:pPr>
              <w:spacing w:line="240" w:lineRule="auto"/>
              <w:rPr>
                <w:rFonts w:ascii="Times New Roman" w:eastAsia="Times New Roman" w:hAnsi="Times New Roman" w:cs="Times New Roman"/>
                <w:noProof/>
                <w:color w:val="006100"/>
                <w:sz w:val="18"/>
                <w:szCs w:val="18"/>
                <w:lang w:val="sk-SK"/>
              </w:rPr>
            </w:pPr>
          </w:p>
        </w:tc>
        <w:tc>
          <w:tcPr>
            <w:tcW w:w="857" w:type="dxa"/>
            <w:tcBorders>
              <w:top w:val="single" w:sz="4" w:space="0" w:color="auto"/>
              <w:left w:val="nil"/>
              <w:bottom w:val="single" w:sz="4" w:space="0" w:color="auto"/>
              <w:right w:val="single" w:sz="4" w:space="0" w:color="auto"/>
            </w:tcBorders>
            <w:shd w:val="clear" w:color="auto" w:fill="C6EFCE"/>
            <w:noWrap/>
          </w:tcPr>
          <w:p w14:paraId="2FE3BDBE" w14:textId="77777777" w:rsidR="002D49B0" w:rsidRPr="00083739" w:rsidRDefault="002D49B0">
            <w:pPr>
              <w:spacing w:line="240" w:lineRule="auto"/>
              <w:rPr>
                <w:rFonts w:ascii="Times New Roman" w:eastAsia="Times New Roman" w:hAnsi="Times New Roman" w:cs="Times New Roman"/>
                <w:noProof/>
                <w:color w:val="006100"/>
                <w:sz w:val="18"/>
                <w:szCs w:val="18"/>
                <w:lang w:val="sk-SK"/>
              </w:rPr>
            </w:pPr>
          </w:p>
        </w:tc>
        <w:tc>
          <w:tcPr>
            <w:tcW w:w="844" w:type="dxa"/>
            <w:tcBorders>
              <w:top w:val="single" w:sz="4" w:space="0" w:color="auto"/>
              <w:left w:val="nil"/>
              <w:bottom w:val="single" w:sz="4" w:space="0" w:color="auto"/>
              <w:right w:val="single" w:sz="4" w:space="0" w:color="auto"/>
            </w:tcBorders>
            <w:shd w:val="clear" w:color="auto" w:fill="C6EFCE"/>
            <w:noWrap/>
          </w:tcPr>
          <w:p w14:paraId="4EF2E3A9" w14:textId="77777777" w:rsidR="002D49B0" w:rsidRPr="00083739" w:rsidRDefault="002D49B0">
            <w:pPr>
              <w:spacing w:line="240" w:lineRule="auto"/>
              <w:rPr>
                <w:rFonts w:ascii="Times New Roman" w:eastAsia="Times New Roman" w:hAnsi="Times New Roman" w:cs="Times New Roman"/>
                <w:noProof/>
                <w:color w:val="006100"/>
                <w:sz w:val="18"/>
                <w:szCs w:val="18"/>
                <w:lang w:val="sk-SK"/>
              </w:rPr>
            </w:pPr>
          </w:p>
        </w:tc>
        <w:tc>
          <w:tcPr>
            <w:tcW w:w="846" w:type="dxa"/>
            <w:tcBorders>
              <w:top w:val="single" w:sz="4" w:space="0" w:color="auto"/>
              <w:left w:val="nil"/>
              <w:bottom w:val="single" w:sz="4" w:space="0" w:color="auto"/>
              <w:right w:val="single" w:sz="4" w:space="0" w:color="auto"/>
            </w:tcBorders>
            <w:shd w:val="clear" w:color="auto" w:fill="C6EFCE"/>
            <w:noWrap/>
          </w:tcPr>
          <w:p w14:paraId="5714A8BA" w14:textId="77777777" w:rsidR="002D49B0" w:rsidRPr="00083739" w:rsidRDefault="00BF4125">
            <w:pPr>
              <w:pStyle w:val="P68B1DB1-Normal9"/>
              <w:spacing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713" w:type="dxa"/>
            <w:tcBorders>
              <w:top w:val="single" w:sz="4" w:space="0" w:color="auto"/>
              <w:left w:val="nil"/>
              <w:bottom w:val="single" w:sz="4" w:space="0" w:color="auto"/>
              <w:right w:val="single" w:sz="4" w:space="0" w:color="auto"/>
            </w:tcBorders>
            <w:shd w:val="clear" w:color="auto" w:fill="C6EFCE"/>
            <w:noWrap/>
          </w:tcPr>
          <w:p w14:paraId="4E99DBB5" w14:textId="77777777" w:rsidR="002D49B0" w:rsidRPr="00083739" w:rsidRDefault="00BF4125">
            <w:pPr>
              <w:pStyle w:val="P68B1DB1-Normal9"/>
              <w:spacing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3402" w:type="dxa"/>
            <w:tcBorders>
              <w:top w:val="single" w:sz="4" w:space="0" w:color="auto"/>
              <w:left w:val="nil"/>
              <w:bottom w:val="single" w:sz="4" w:space="0" w:color="auto"/>
              <w:right w:val="single" w:sz="4" w:space="0" w:color="auto"/>
            </w:tcBorders>
            <w:shd w:val="clear" w:color="auto" w:fill="C6EFCE"/>
            <w:noWrap/>
          </w:tcPr>
          <w:p w14:paraId="7F8E9D6B" w14:textId="3E8DF85D" w:rsidR="002D49B0" w:rsidRPr="00083739" w:rsidRDefault="00BF4125">
            <w:pPr>
              <w:pStyle w:val="P68B1DB1-Normal10"/>
              <w:spacing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Prijatie viacročného programu</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očakávanými strategickými investíciami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údržbárskymi prácami predstavenstvom gréckych železníc; podpísanie </w:t>
            </w:r>
            <w:r w:rsidRPr="00083739">
              <w:rPr>
                <w:rFonts w:ascii="Times New Roman" w:hAnsi="Times New Roman" w:cs="Times New Roman"/>
                <w:noProof/>
                <w:lang w:val="sk-SK"/>
              </w:rPr>
              <w:t>zmluvnej dohody podľa smernice EÚ 34/2022</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konkrétnymi míľnikmi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kľúčovými ukazovateľmi výkonnosti vrátane dokončenia investícií do kľúčových bezpečnostných systémov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infraštruktúr, pravidelnej údržby, spokojnosti zákazníkov, posilnenia kvality náboru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správy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riadenia spoločnosti.</w:t>
            </w:r>
          </w:p>
        </w:tc>
      </w:tr>
      <w:tr w:rsidR="002D49B0" w:rsidRPr="00083739" w14:paraId="05CF0E40" w14:textId="77777777">
        <w:trPr>
          <w:trHeight w:val="313"/>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597501D2" w14:textId="77777777" w:rsidR="002D49B0" w:rsidRPr="00083739" w:rsidRDefault="00BF4125">
            <w:pPr>
              <w:pStyle w:val="P68B1DB1-Normal9"/>
              <w:spacing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268c</w:t>
            </w:r>
          </w:p>
        </w:tc>
        <w:tc>
          <w:tcPr>
            <w:tcW w:w="2229" w:type="dxa"/>
            <w:tcBorders>
              <w:top w:val="single" w:sz="4" w:space="0" w:color="auto"/>
              <w:left w:val="nil"/>
              <w:bottom w:val="single" w:sz="4" w:space="0" w:color="auto"/>
              <w:right w:val="single" w:sz="4" w:space="0" w:color="auto"/>
            </w:tcBorders>
            <w:shd w:val="clear" w:color="auto" w:fill="C6EFCE"/>
            <w:noWrap/>
          </w:tcPr>
          <w:p w14:paraId="78D3BEEF" w14:textId="6085487B"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17 – 4.6. Modernizácia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zlepšenie odolnosti kľúčových hospodárskych odvetví – 16982_Organizačná reforma</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železničnom sektore</w:t>
            </w:r>
          </w:p>
          <w:p w14:paraId="6E50DB5F" w14:textId="77777777" w:rsidR="002D49B0" w:rsidRPr="00083739" w:rsidRDefault="002D49B0">
            <w:pPr>
              <w:spacing w:line="240" w:lineRule="auto"/>
              <w:rPr>
                <w:rFonts w:ascii="Times New Roman" w:eastAsia="Times New Roman" w:hAnsi="Times New Roman" w:cs="Times New Roman"/>
                <w:noProof/>
                <w:color w:val="006100"/>
                <w:sz w:val="18"/>
                <w:szCs w:val="18"/>
                <w:lang w:val="sk-SK"/>
              </w:rPr>
            </w:pPr>
          </w:p>
        </w:tc>
        <w:tc>
          <w:tcPr>
            <w:tcW w:w="1134" w:type="dxa"/>
            <w:tcBorders>
              <w:top w:val="single" w:sz="4" w:space="0" w:color="auto"/>
              <w:left w:val="nil"/>
              <w:bottom w:val="single" w:sz="4" w:space="0" w:color="auto"/>
              <w:right w:val="single" w:sz="4" w:space="0" w:color="auto"/>
            </w:tcBorders>
            <w:shd w:val="clear" w:color="auto" w:fill="C6EFCE"/>
            <w:noWrap/>
          </w:tcPr>
          <w:p w14:paraId="2EFCB1CA" w14:textId="77777777" w:rsidR="002D49B0" w:rsidRPr="00083739" w:rsidRDefault="00BF4125">
            <w:pPr>
              <w:pStyle w:val="P68B1DB1-Normal9"/>
              <w:spacing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842" w:type="dxa"/>
            <w:tcBorders>
              <w:top w:val="single" w:sz="4" w:space="0" w:color="auto"/>
              <w:left w:val="nil"/>
              <w:bottom w:val="single" w:sz="4" w:space="0" w:color="auto"/>
              <w:right w:val="single" w:sz="4" w:space="0" w:color="auto"/>
            </w:tcBorders>
            <w:shd w:val="clear" w:color="auto" w:fill="C6EFCE"/>
            <w:noWrap/>
          </w:tcPr>
          <w:p w14:paraId="2F3D69FA" w14:textId="77777777" w:rsidR="002D49B0" w:rsidRPr="00083739" w:rsidRDefault="00BF4125">
            <w:pPr>
              <w:pStyle w:val="P68B1DB1-Normal9"/>
              <w:spacing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Finalizácia organizačnej reformy železničnej dopravy</w:t>
            </w:r>
          </w:p>
          <w:p w14:paraId="62175C42" w14:textId="77777777" w:rsidR="002D49B0" w:rsidRPr="00083739" w:rsidRDefault="002D49B0">
            <w:pPr>
              <w:spacing w:line="240" w:lineRule="auto"/>
              <w:rPr>
                <w:rFonts w:ascii="Times New Roman" w:eastAsia="Times New Roman" w:hAnsi="Times New Roman" w:cs="Times New Roman"/>
                <w:noProof/>
                <w:color w:val="006100"/>
                <w:sz w:val="18"/>
                <w:szCs w:val="18"/>
                <w:lang w:val="sk-SK"/>
              </w:rPr>
            </w:pPr>
          </w:p>
        </w:tc>
        <w:tc>
          <w:tcPr>
            <w:tcW w:w="2127" w:type="dxa"/>
            <w:tcBorders>
              <w:top w:val="single" w:sz="4" w:space="0" w:color="auto"/>
              <w:left w:val="nil"/>
              <w:bottom w:val="single" w:sz="4" w:space="0" w:color="auto"/>
              <w:right w:val="single" w:sz="4" w:space="0" w:color="auto"/>
            </w:tcBorders>
            <w:shd w:val="clear" w:color="auto" w:fill="C6EFCE"/>
            <w:noWrap/>
          </w:tcPr>
          <w:p w14:paraId="353B31E9" w14:textId="0BFD30E9" w:rsidR="002D49B0" w:rsidRPr="00083739" w:rsidRDefault="00BF4125">
            <w:pPr>
              <w:pStyle w:val="P68B1DB1-Normal10"/>
              <w:spacing w:line="240" w:lineRule="auto"/>
              <w:rPr>
                <w:rFonts w:ascii="Times New Roman" w:hAnsi="Times New Roman" w:cs="Times New Roman"/>
                <w:noProof/>
                <w:lang w:val="sk-SK"/>
              </w:rPr>
            </w:pPr>
            <w:r w:rsidRPr="00083739">
              <w:rPr>
                <w:rFonts w:ascii="Times New Roman" w:hAnsi="Times New Roman" w:cs="Times New Roman"/>
                <w:noProof/>
                <w:lang w:val="sk-SK"/>
              </w:rPr>
              <w:t xml:space="preserve">Správa potvrdzujúca úplné </w:t>
            </w:r>
            <w:r w:rsidRPr="00083739">
              <w:rPr>
                <w:rFonts w:ascii="Times New Roman" w:hAnsi="Times New Roman" w:cs="Times New Roman"/>
                <w:noProof/>
                <w:lang w:val="sk-SK"/>
              </w:rPr>
              <w:t>sprevádzkovanie gréckych železníc</w:t>
            </w:r>
          </w:p>
        </w:tc>
        <w:tc>
          <w:tcPr>
            <w:tcW w:w="992" w:type="dxa"/>
            <w:tcBorders>
              <w:top w:val="single" w:sz="4" w:space="0" w:color="auto"/>
              <w:left w:val="nil"/>
              <w:bottom w:val="single" w:sz="4" w:space="0" w:color="auto"/>
              <w:right w:val="single" w:sz="4" w:space="0" w:color="auto"/>
            </w:tcBorders>
            <w:shd w:val="clear" w:color="auto" w:fill="C6EFCE"/>
            <w:noWrap/>
          </w:tcPr>
          <w:p w14:paraId="3AF67AA2" w14:textId="77777777" w:rsidR="002D49B0" w:rsidRPr="00083739" w:rsidRDefault="002D49B0">
            <w:pPr>
              <w:spacing w:line="240" w:lineRule="auto"/>
              <w:rPr>
                <w:rFonts w:ascii="Times New Roman" w:eastAsia="Times New Roman" w:hAnsi="Times New Roman" w:cs="Times New Roman"/>
                <w:noProof/>
                <w:color w:val="006100"/>
                <w:sz w:val="18"/>
                <w:szCs w:val="18"/>
                <w:lang w:val="sk-SK"/>
              </w:rPr>
            </w:pPr>
          </w:p>
        </w:tc>
        <w:tc>
          <w:tcPr>
            <w:tcW w:w="857" w:type="dxa"/>
            <w:tcBorders>
              <w:top w:val="single" w:sz="4" w:space="0" w:color="auto"/>
              <w:left w:val="nil"/>
              <w:bottom w:val="single" w:sz="4" w:space="0" w:color="auto"/>
              <w:right w:val="single" w:sz="4" w:space="0" w:color="auto"/>
            </w:tcBorders>
            <w:shd w:val="clear" w:color="auto" w:fill="C6EFCE"/>
            <w:noWrap/>
          </w:tcPr>
          <w:p w14:paraId="1CCB5B2A" w14:textId="77777777" w:rsidR="002D49B0" w:rsidRPr="00083739" w:rsidRDefault="002D49B0">
            <w:pPr>
              <w:spacing w:line="240" w:lineRule="auto"/>
              <w:rPr>
                <w:rFonts w:ascii="Times New Roman" w:eastAsia="Times New Roman" w:hAnsi="Times New Roman" w:cs="Times New Roman"/>
                <w:noProof/>
                <w:color w:val="006100"/>
                <w:sz w:val="18"/>
                <w:szCs w:val="18"/>
                <w:lang w:val="sk-SK"/>
              </w:rPr>
            </w:pPr>
          </w:p>
        </w:tc>
        <w:tc>
          <w:tcPr>
            <w:tcW w:w="844" w:type="dxa"/>
            <w:tcBorders>
              <w:top w:val="single" w:sz="4" w:space="0" w:color="auto"/>
              <w:left w:val="nil"/>
              <w:bottom w:val="single" w:sz="4" w:space="0" w:color="auto"/>
              <w:right w:val="single" w:sz="4" w:space="0" w:color="auto"/>
            </w:tcBorders>
            <w:shd w:val="clear" w:color="auto" w:fill="C6EFCE"/>
            <w:noWrap/>
          </w:tcPr>
          <w:p w14:paraId="40752A95" w14:textId="77777777" w:rsidR="002D49B0" w:rsidRPr="00083739" w:rsidRDefault="002D49B0">
            <w:pPr>
              <w:spacing w:line="240" w:lineRule="auto"/>
              <w:rPr>
                <w:rFonts w:ascii="Times New Roman" w:eastAsia="Times New Roman" w:hAnsi="Times New Roman" w:cs="Times New Roman"/>
                <w:noProof/>
                <w:color w:val="006100"/>
                <w:sz w:val="18"/>
                <w:szCs w:val="18"/>
                <w:lang w:val="sk-SK"/>
              </w:rPr>
            </w:pPr>
          </w:p>
        </w:tc>
        <w:tc>
          <w:tcPr>
            <w:tcW w:w="846" w:type="dxa"/>
            <w:tcBorders>
              <w:top w:val="single" w:sz="4" w:space="0" w:color="auto"/>
              <w:left w:val="nil"/>
              <w:bottom w:val="single" w:sz="4" w:space="0" w:color="auto"/>
              <w:right w:val="single" w:sz="4" w:space="0" w:color="auto"/>
            </w:tcBorders>
            <w:shd w:val="clear" w:color="auto" w:fill="C6EFCE"/>
            <w:noWrap/>
          </w:tcPr>
          <w:p w14:paraId="69EF652D" w14:textId="77777777" w:rsidR="002D49B0" w:rsidRPr="00083739" w:rsidRDefault="00BF4125">
            <w:pPr>
              <w:pStyle w:val="P68B1DB1-Normal9"/>
              <w:spacing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13" w:type="dxa"/>
            <w:tcBorders>
              <w:top w:val="single" w:sz="4" w:space="0" w:color="auto"/>
              <w:left w:val="nil"/>
              <w:bottom w:val="single" w:sz="4" w:space="0" w:color="auto"/>
              <w:right w:val="single" w:sz="4" w:space="0" w:color="auto"/>
            </w:tcBorders>
            <w:shd w:val="clear" w:color="auto" w:fill="C6EFCE"/>
            <w:noWrap/>
          </w:tcPr>
          <w:p w14:paraId="20096164" w14:textId="77777777" w:rsidR="002D49B0" w:rsidRPr="00083739" w:rsidRDefault="00BF4125">
            <w:pPr>
              <w:pStyle w:val="P68B1DB1-Normal9"/>
              <w:spacing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3402" w:type="dxa"/>
            <w:tcBorders>
              <w:top w:val="single" w:sz="4" w:space="0" w:color="auto"/>
              <w:left w:val="nil"/>
              <w:bottom w:val="single" w:sz="4" w:space="0" w:color="auto"/>
              <w:right w:val="single" w:sz="4" w:space="0" w:color="auto"/>
            </w:tcBorders>
            <w:shd w:val="clear" w:color="auto" w:fill="C6EFCE"/>
            <w:noWrap/>
          </w:tcPr>
          <w:p w14:paraId="22E9FE57" w14:textId="0D3597D3" w:rsidR="002D49B0" w:rsidRPr="00083739" w:rsidRDefault="00BF4125">
            <w:pPr>
              <w:pStyle w:val="P68B1DB1-Normal10"/>
              <w:spacing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Dokončenie organizačnej reformy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železničnom sektore. Nová zlúčená železničná infraštruktúra musí byť plne funkčná.</w:t>
            </w:r>
          </w:p>
        </w:tc>
      </w:tr>
      <w:tr w:rsidR="002D49B0" w:rsidRPr="00083739" w14:paraId="1E79EC06" w14:textId="77777777">
        <w:trPr>
          <w:trHeight w:val="313"/>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73625B0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269</w:t>
            </w:r>
          </w:p>
        </w:tc>
        <w:tc>
          <w:tcPr>
            <w:tcW w:w="2229" w:type="dxa"/>
            <w:tcBorders>
              <w:top w:val="single" w:sz="4" w:space="0" w:color="auto"/>
              <w:left w:val="nil"/>
              <w:bottom w:val="single" w:sz="4" w:space="0" w:color="auto"/>
              <w:right w:val="single" w:sz="4" w:space="0" w:color="auto"/>
            </w:tcBorders>
            <w:shd w:val="clear" w:color="auto" w:fill="C6EFCE"/>
            <w:noWrap/>
          </w:tcPr>
          <w:p w14:paraId="7DB1ACE5" w14:textId="77777777"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17 – 4.6. Modernizovať</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zlepšiť odolnosť kľúčových hospodárskych odvetví —</w:t>
            </w:r>
          </w:p>
          <w:p w14:paraId="1F5A6160" w14:textId="00EF76EA"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16833_Vykonávanie prác agentúry EASA na nápravu súladu</w:t>
            </w:r>
          </w:p>
        </w:tc>
        <w:tc>
          <w:tcPr>
            <w:tcW w:w="1134" w:type="dxa"/>
            <w:tcBorders>
              <w:top w:val="single" w:sz="4" w:space="0" w:color="auto"/>
              <w:left w:val="nil"/>
              <w:bottom w:val="single" w:sz="4" w:space="0" w:color="auto"/>
              <w:right w:val="single" w:sz="4" w:space="0" w:color="auto"/>
            </w:tcBorders>
            <w:shd w:val="clear" w:color="auto" w:fill="C6EFCE"/>
            <w:noWrap/>
          </w:tcPr>
          <w:p w14:paraId="69565F9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842" w:type="dxa"/>
            <w:tcBorders>
              <w:top w:val="single" w:sz="4" w:space="0" w:color="auto"/>
              <w:left w:val="nil"/>
              <w:bottom w:val="single" w:sz="4" w:space="0" w:color="auto"/>
              <w:right w:val="single" w:sz="4" w:space="0" w:color="auto"/>
            </w:tcBorders>
            <w:shd w:val="clear" w:color="auto" w:fill="C6EFCE"/>
            <w:noWrap/>
          </w:tcPr>
          <w:p w14:paraId="319D004A" w14:textId="3534916A"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 xml:space="preserve">Dokončenie prác agentúry EASA na nápravu súladu </w:t>
            </w:r>
          </w:p>
        </w:tc>
        <w:tc>
          <w:tcPr>
            <w:tcW w:w="2127" w:type="dxa"/>
            <w:tcBorders>
              <w:top w:val="single" w:sz="4" w:space="0" w:color="auto"/>
              <w:left w:val="nil"/>
              <w:bottom w:val="single" w:sz="4" w:space="0" w:color="auto"/>
              <w:right w:val="single" w:sz="4" w:space="0" w:color="auto"/>
            </w:tcBorders>
            <w:shd w:val="clear" w:color="auto" w:fill="C6EFCE"/>
            <w:noWrap/>
          </w:tcPr>
          <w:p w14:paraId="6F20DCB7" w14:textId="4F7C2DED" w:rsidR="002D49B0" w:rsidRPr="00083739" w:rsidRDefault="00BF4125">
            <w:pPr>
              <w:pStyle w:val="P68B1DB1-Normal10"/>
              <w:spacing w:after="0" w:line="240" w:lineRule="auto"/>
              <w:rPr>
                <w:rFonts w:ascii="Times New Roman" w:hAnsi="Times New Roman" w:cs="Times New Roman"/>
                <w:noProof/>
                <w:lang w:val="sk-SK"/>
              </w:rPr>
            </w:pPr>
            <w:r w:rsidRPr="00083739">
              <w:rPr>
                <w:rFonts w:ascii="Times New Roman" w:hAnsi="Times New Roman" w:cs="Times New Roman"/>
                <w:noProof/>
                <w:lang w:val="sk-SK"/>
              </w:rPr>
              <w:t>Rozhodnutia gréckeho úradu civilného letectva (HCAA)</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stiahnutí 169 dokumentov</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prijatí odchýlky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opatreniach (DAAD)</w:t>
            </w:r>
          </w:p>
        </w:tc>
        <w:tc>
          <w:tcPr>
            <w:tcW w:w="992" w:type="dxa"/>
            <w:tcBorders>
              <w:top w:val="single" w:sz="4" w:space="0" w:color="auto"/>
              <w:left w:val="nil"/>
              <w:bottom w:val="single" w:sz="4" w:space="0" w:color="auto"/>
              <w:right w:val="single" w:sz="4" w:space="0" w:color="auto"/>
            </w:tcBorders>
            <w:shd w:val="clear" w:color="auto" w:fill="C6EFCE"/>
            <w:noWrap/>
          </w:tcPr>
          <w:p w14:paraId="5AC03D68"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single" w:sz="4" w:space="0" w:color="auto"/>
              <w:left w:val="nil"/>
              <w:bottom w:val="single" w:sz="4" w:space="0" w:color="auto"/>
              <w:right w:val="single" w:sz="4" w:space="0" w:color="auto"/>
            </w:tcBorders>
            <w:shd w:val="clear" w:color="auto" w:fill="C6EFCE"/>
            <w:noWrap/>
          </w:tcPr>
          <w:p w14:paraId="1C00B266"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4" w:type="dxa"/>
            <w:tcBorders>
              <w:top w:val="single" w:sz="4" w:space="0" w:color="auto"/>
              <w:left w:val="nil"/>
              <w:bottom w:val="single" w:sz="4" w:space="0" w:color="auto"/>
              <w:right w:val="single" w:sz="4" w:space="0" w:color="auto"/>
            </w:tcBorders>
            <w:shd w:val="clear" w:color="auto" w:fill="C6EFCE"/>
            <w:noWrap/>
          </w:tcPr>
          <w:p w14:paraId="61C8B0F2"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6" w:type="dxa"/>
            <w:tcBorders>
              <w:top w:val="single" w:sz="4" w:space="0" w:color="auto"/>
              <w:left w:val="nil"/>
              <w:bottom w:val="single" w:sz="4" w:space="0" w:color="auto"/>
              <w:right w:val="single" w:sz="4" w:space="0" w:color="auto"/>
            </w:tcBorders>
            <w:shd w:val="clear" w:color="auto" w:fill="C6EFCE"/>
            <w:noWrap/>
          </w:tcPr>
          <w:p w14:paraId="6B390F1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13" w:type="dxa"/>
            <w:tcBorders>
              <w:top w:val="single" w:sz="4" w:space="0" w:color="auto"/>
              <w:left w:val="nil"/>
              <w:bottom w:val="single" w:sz="4" w:space="0" w:color="auto"/>
              <w:right w:val="single" w:sz="4" w:space="0" w:color="auto"/>
            </w:tcBorders>
            <w:shd w:val="clear" w:color="auto" w:fill="C6EFCE"/>
            <w:noWrap/>
          </w:tcPr>
          <w:p w14:paraId="0705347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3402" w:type="dxa"/>
            <w:tcBorders>
              <w:top w:val="single" w:sz="4" w:space="0" w:color="auto"/>
              <w:left w:val="nil"/>
              <w:bottom w:val="single" w:sz="4" w:space="0" w:color="auto"/>
              <w:right w:val="single" w:sz="4" w:space="0" w:color="auto"/>
            </w:tcBorders>
            <w:shd w:val="clear" w:color="auto" w:fill="C6EFCE"/>
            <w:noWrap/>
          </w:tcPr>
          <w:p w14:paraId="6DBA4870" w14:textId="6D4890AE"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Všetky ozdravné práce</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rámci súčasných hraníc 13 letísk sa musia dokončiť</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príslušné dokumenty</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prijatí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opatreniach pri odchýlke (DAAD) sa zrušia rozhodnutiami gréckeho úradu civilného letectva (HCAA).</w:t>
            </w:r>
          </w:p>
        </w:tc>
      </w:tr>
      <w:tr w:rsidR="002D49B0" w:rsidRPr="00083739" w14:paraId="47B834D1" w14:textId="77777777">
        <w:trPr>
          <w:trHeight w:val="313"/>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4660550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271</w:t>
            </w:r>
          </w:p>
        </w:tc>
        <w:tc>
          <w:tcPr>
            <w:tcW w:w="2229" w:type="dxa"/>
            <w:tcBorders>
              <w:top w:val="single" w:sz="4" w:space="0" w:color="auto"/>
              <w:left w:val="nil"/>
              <w:bottom w:val="single" w:sz="4" w:space="0" w:color="auto"/>
              <w:right w:val="single" w:sz="4" w:space="0" w:color="auto"/>
            </w:tcBorders>
            <w:shd w:val="clear" w:color="auto" w:fill="C6EFCE"/>
            <w:noWrap/>
          </w:tcPr>
          <w:p w14:paraId="78ABE0BC" w14:textId="15A328AC" w:rsidR="002D49B0" w:rsidRPr="00083739" w:rsidRDefault="00BF4125">
            <w:pPr>
              <w:pStyle w:val="P68B1DB1-Normal9"/>
              <w:spacing w:after="0" w:line="240" w:lineRule="auto"/>
              <w:rPr>
                <w:rFonts w:ascii="Times New Roman" w:eastAsia="Times New Roman" w:hAnsi="Times New Roman" w:cs="Times New Roman"/>
                <w:noProof/>
                <w:szCs w:val="18"/>
                <w:highlight w:val="yellow"/>
                <w:lang w:val="sk-SK"/>
              </w:rPr>
            </w:pPr>
            <w:r w:rsidRPr="00083739">
              <w:rPr>
                <w:rFonts w:ascii="Times New Roman" w:hAnsi="Times New Roman" w:cs="Times New Roman"/>
                <w:noProof/>
                <w:lang w:val="sk-SK"/>
              </w:rPr>
              <w:t>17 – 4.6. Modernizácia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zlepšenie odolnosti kľúčových hospodárskych odvetví – 16892_Zmodernizácia prímestskej železničnej dopravy západnej Atika</w:t>
            </w:r>
          </w:p>
        </w:tc>
        <w:tc>
          <w:tcPr>
            <w:tcW w:w="1134" w:type="dxa"/>
            <w:tcBorders>
              <w:top w:val="single" w:sz="4" w:space="0" w:color="auto"/>
              <w:left w:val="nil"/>
              <w:bottom w:val="single" w:sz="4" w:space="0" w:color="auto"/>
              <w:right w:val="single" w:sz="4" w:space="0" w:color="auto"/>
            </w:tcBorders>
            <w:shd w:val="clear" w:color="auto" w:fill="C6EFCE"/>
            <w:noWrap/>
          </w:tcPr>
          <w:p w14:paraId="74D986A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842" w:type="dxa"/>
            <w:tcBorders>
              <w:top w:val="single" w:sz="4" w:space="0" w:color="auto"/>
              <w:left w:val="nil"/>
              <w:bottom w:val="single" w:sz="4" w:space="0" w:color="auto"/>
              <w:right w:val="single" w:sz="4" w:space="0" w:color="auto"/>
            </w:tcBorders>
            <w:shd w:val="clear" w:color="auto" w:fill="C6EFCE"/>
            <w:noWrap/>
          </w:tcPr>
          <w:p w14:paraId="580FA655" w14:textId="77E3AA9D" w:rsidR="002D49B0" w:rsidRPr="00083739" w:rsidRDefault="00BF4125">
            <w:pPr>
              <w:pStyle w:val="P68B1DB1-Normal30"/>
              <w:spacing w:after="0" w:line="240" w:lineRule="auto"/>
              <w:rPr>
                <w:rFonts w:ascii="Times New Roman" w:hAnsi="Times New Roman" w:cs="Times New Roman"/>
                <w:noProof/>
                <w:sz w:val="24"/>
                <w:szCs w:val="24"/>
                <w:lang w:val="sk-SK"/>
              </w:rPr>
            </w:pPr>
            <w:r w:rsidRPr="00083739">
              <w:rPr>
                <w:rFonts w:ascii="Times New Roman" w:hAnsi="Times New Roman" w:cs="Times New Roman"/>
                <w:noProof/>
                <w:lang w:val="sk-SK"/>
              </w:rPr>
              <w:t>Dokončenie časti železničnej trate západná Atika od Ano Liossia po začiatok úseku</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ELPE Elefsina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od konca úseku ELPE Elefsina</w:t>
            </w:r>
            <w:r w:rsidRPr="00083739">
              <w:rPr>
                <w:rFonts w:ascii="Times New Roman" w:hAnsi="Times New Roman" w:cs="Times New Roman"/>
                <w:noProof/>
                <w:lang w:val="sk-SK"/>
              </w:rPr>
              <w:t xml:space="preserve"> po novú stanicu Megara</w:t>
            </w:r>
          </w:p>
        </w:tc>
        <w:tc>
          <w:tcPr>
            <w:tcW w:w="2127" w:type="dxa"/>
            <w:tcBorders>
              <w:top w:val="single" w:sz="4" w:space="0" w:color="auto"/>
              <w:left w:val="nil"/>
              <w:bottom w:val="single" w:sz="4" w:space="0" w:color="auto"/>
              <w:right w:val="single" w:sz="4" w:space="0" w:color="auto"/>
            </w:tcBorders>
            <w:shd w:val="clear" w:color="auto" w:fill="C6EFCE"/>
            <w:noWrap/>
          </w:tcPr>
          <w:p w14:paraId="6B6CF9D8" w14:textId="3C557360" w:rsidR="002D49B0" w:rsidRPr="00083739" w:rsidRDefault="00BF4125">
            <w:pPr>
              <w:pStyle w:val="P68B1DB1-Normal10"/>
              <w:spacing w:after="0" w:line="240" w:lineRule="auto"/>
              <w:rPr>
                <w:rFonts w:ascii="Times New Roman" w:hAnsi="Times New Roman" w:cs="Times New Roman"/>
                <w:noProof/>
                <w:lang w:val="sk-SK"/>
              </w:rPr>
            </w:pPr>
            <w:r w:rsidRPr="00083739">
              <w:rPr>
                <w:rFonts w:ascii="Times New Roman" w:hAnsi="Times New Roman" w:cs="Times New Roman"/>
                <w:noProof/>
                <w:lang w:val="sk-SK"/>
              </w:rPr>
              <w:t>Dokončenie prác</w:t>
            </w:r>
          </w:p>
        </w:tc>
        <w:tc>
          <w:tcPr>
            <w:tcW w:w="992" w:type="dxa"/>
            <w:tcBorders>
              <w:top w:val="single" w:sz="4" w:space="0" w:color="auto"/>
              <w:left w:val="nil"/>
              <w:bottom w:val="single" w:sz="4" w:space="0" w:color="auto"/>
              <w:right w:val="single" w:sz="4" w:space="0" w:color="auto"/>
            </w:tcBorders>
            <w:shd w:val="clear" w:color="auto" w:fill="C6EFCE"/>
            <w:noWrap/>
          </w:tcPr>
          <w:p w14:paraId="4EB9D40C"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single" w:sz="4" w:space="0" w:color="auto"/>
              <w:left w:val="nil"/>
              <w:bottom w:val="single" w:sz="4" w:space="0" w:color="auto"/>
              <w:right w:val="single" w:sz="4" w:space="0" w:color="auto"/>
            </w:tcBorders>
            <w:shd w:val="clear" w:color="auto" w:fill="C6EFCE"/>
            <w:noWrap/>
          </w:tcPr>
          <w:p w14:paraId="4A089E82"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4" w:type="dxa"/>
            <w:tcBorders>
              <w:top w:val="single" w:sz="4" w:space="0" w:color="auto"/>
              <w:left w:val="nil"/>
              <w:bottom w:val="single" w:sz="4" w:space="0" w:color="auto"/>
              <w:right w:val="single" w:sz="4" w:space="0" w:color="auto"/>
            </w:tcBorders>
            <w:shd w:val="clear" w:color="auto" w:fill="C6EFCE"/>
            <w:noWrap/>
          </w:tcPr>
          <w:p w14:paraId="47B5CC60"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6" w:type="dxa"/>
            <w:tcBorders>
              <w:top w:val="single" w:sz="4" w:space="0" w:color="auto"/>
              <w:left w:val="nil"/>
              <w:bottom w:val="single" w:sz="4" w:space="0" w:color="auto"/>
              <w:right w:val="single" w:sz="4" w:space="0" w:color="auto"/>
            </w:tcBorders>
            <w:shd w:val="clear" w:color="auto" w:fill="C6EFCE"/>
            <w:noWrap/>
          </w:tcPr>
          <w:p w14:paraId="246E4EF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13" w:type="dxa"/>
            <w:tcBorders>
              <w:top w:val="single" w:sz="4" w:space="0" w:color="auto"/>
              <w:left w:val="nil"/>
              <w:bottom w:val="single" w:sz="4" w:space="0" w:color="auto"/>
              <w:right w:val="single" w:sz="4" w:space="0" w:color="auto"/>
            </w:tcBorders>
            <w:shd w:val="clear" w:color="auto" w:fill="C6EFCE"/>
            <w:noWrap/>
          </w:tcPr>
          <w:p w14:paraId="36D886F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3402" w:type="dxa"/>
            <w:tcBorders>
              <w:top w:val="single" w:sz="4" w:space="0" w:color="auto"/>
              <w:left w:val="nil"/>
              <w:bottom w:val="single" w:sz="4" w:space="0" w:color="auto"/>
              <w:right w:val="single" w:sz="4" w:space="0" w:color="auto"/>
            </w:tcBorders>
            <w:shd w:val="clear" w:color="auto" w:fill="C6EFCE"/>
            <w:noWrap/>
          </w:tcPr>
          <w:p w14:paraId="2BBE89C6" w14:textId="2D5668D6" w:rsidR="002D49B0" w:rsidRPr="00083739" w:rsidRDefault="00BF4125">
            <w:pPr>
              <w:spacing w:after="0" w:line="240" w:lineRule="auto"/>
              <w:rPr>
                <w:rFonts w:ascii="Times New Roman" w:eastAsia="Times New Roman" w:hAnsi="Times New Roman" w:cs="Times New Roman"/>
                <w:noProof/>
                <w:color w:val="006100"/>
                <w:sz w:val="18"/>
                <w:szCs w:val="18"/>
                <w:lang w:val="sk-SK"/>
              </w:rPr>
            </w:pPr>
            <w:r w:rsidRPr="00083739">
              <w:rPr>
                <w:rFonts w:ascii="Times New Roman" w:hAnsi="Times New Roman" w:cs="Times New Roman"/>
                <w:noProof/>
                <w:color w:val="006100"/>
                <w:sz w:val="18"/>
                <w:szCs w:val="18"/>
                <w:lang w:val="sk-SK"/>
              </w:rPr>
              <w:t>Dokončenie infraštruktúrnych</w:t>
            </w:r>
            <w:r w:rsidR="00083739" w:rsidRPr="00083739">
              <w:rPr>
                <w:rFonts w:ascii="Times New Roman" w:hAnsi="Times New Roman" w:cs="Times New Roman"/>
                <w:noProof/>
                <w:color w:val="006100"/>
                <w:sz w:val="18"/>
                <w:szCs w:val="18"/>
                <w:lang w:val="sk-SK"/>
              </w:rPr>
              <w:t xml:space="preserve"> a </w:t>
            </w:r>
            <w:r w:rsidRPr="00083739">
              <w:rPr>
                <w:rFonts w:ascii="Times New Roman" w:hAnsi="Times New Roman" w:cs="Times New Roman"/>
                <w:noProof/>
                <w:color w:val="006100"/>
                <w:sz w:val="18"/>
                <w:szCs w:val="18"/>
                <w:lang w:val="sk-SK"/>
              </w:rPr>
              <w:t>nadstavbových prác, elektrifikácie, signalizačných</w:t>
            </w:r>
            <w:r w:rsidR="00083739" w:rsidRPr="00083739">
              <w:rPr>
                <w:rFonts w:ascii="Times New Roman" w:hAnsi="Times New Roman" w:cs="Times New Roman"/>
                <w:noProof/>
                <w:color w:val="006100"/>
                <w:sz w:val="18"/>
                <w:szCs w:val="18"/>
                <w:lang w:val="sk-SK"/>
              </w:rPr>
              <w:t xml:space="preserve"> a </w:t>
            </w:r>
            <w:r w:rsidRPr="00083739">
              <w:rPr>
                <w:rFonts w:ascii="Times New Roman" w:hAnsi="Times New Roman" w:cs="Times New Roman"/>
                <w:noProof/>
                <w:color w:val="006100"/>
                <w:sz w:val="18"/>
                <w:szCs w:val="18"/>
                <w:lang w:val="sk-SK"/>
              </w:rPr>
              <w:t>telekomunikačných systémov (okrem informačného systému pre cestujúcich)</w:t>
            </w:r>
            <w:r w:rsidR="00083739" w:rsidRPr="00083739">
              <w:rPr>
                <w:rFonts w:ascii="Times New Roman" w:hAnsi="Times New Roman" w:cs="Times New Roman"/>
                <w:noProof/>
                <w:color w:val="006100"/>
                <w:sz w:val="18"/>
                <w:szCs w:val="18"/>
                <w:lang w:val="sk-SK"/>
              </w:rPr>
              <w:t xml:space="preserve"> v </w:t>
            </w:r>
            <w:r w:rsidRPr="00083739">
              <w:rPr>
                <w:rFonts w:ascii="Times New Roman" w:hAnsi="Times New Roman" w:cs="Times New Roman"/>
                <w:noProof/>
                <w:color w:val="006100"/>
                <w:sz w:val="18"/>
                <w:szCs w:val="18"/>
                <w:lang w:val="sk-SK"/>
              </w:rPr>
              <w:t xml:space="preserve">časti prímestskej železničnej </w:t>
            </w:r>
            <w:r w:rsidRPr="00083739">
              <w:rPr>
                <w:rFonts w:ascii="Times New Roman" w:hAnsi="Times New Roman" w:cs="Times New Roman"/>
                <w:noProof/>
                <w:color w:val="006100"/>
                <w:sz w:val="18"/>
                <w:szCs w:val="18"/>
                <w:lang w:val="sk-SK"/>
              </w:rPr>
              <w:t>trate západná Atika</w:t>
            </w:r>
            <w:r w:rsidRPr="00083739">
              <w:rPr>
                <w:rFonts w:ascii="Times New Roman" w:hAnsi="Times New Roman" w:cs="Times New Roman"/>
                <w:noProof/>
                <w:sz w:val="24"/>
                <w:szCs w:val="24"/>
                <w:lang w:val="sk-SK"/>
              </w:rPr>
              <w:t xml:space="preserve"> </w:t>
            </w:r>
            <w:r w:rsidRPr="00083739">
              <w:rPr>
                <w:rFonts w:ascii="Times New Roman" w:hAnsi="Times New Roman" w:cs="Times New Roman"/>
                <w:noProof/>
                <w:color w:val="006100"/>
                <w:sz w:val="18"/>
                <w:szCs w:val="18"/>
                <w:lang w:val="sk-SK"/>
              </w:rPr>
              <w:t xml:space="preserve">od Ano Liossia </w:t>
            </w:r>
            <w:r w:rsidRPr="00083739">
              <w:rPr>
                <w:rFonts w:ascii="Times New Roman" w:eastAsiaTheme="minorEastAsia" w:hAnsi="Times New Roman" w:cs="Times New Roman"/>
                <w:noProof/>
                <w:color w:val="006100"/>
                <w:sz w:val="18"/>
                <w:szCs w:val="18"/>
                <w:lang w:val="sk-SK"/>
              </w:rPr>
              <w:t>po začiatok úseku ELPE Elefsina</w:t>
            </w:r>
            <w:r w:rsidR="00083739" w:rsidRPr="00083739">
              <w:rPr>
                <w:rFonts w:ascii="Times New Roman" w:eastAsiaTheme="minorEastAsia" w:hAnsi="Times New Roman" w:cs="Times New Roman"/>
                <w:noProof/>
                <w:color w:val="006100"/>
                <w:sz w:val="18"/>
                <w:szCs w:val="18"/>
                <w:lang w:val="sk-SK"/>
              </w:rPr>
              <w:t xml:space="preserve"> a </w:t>
            </w:r>
            <w:r w:rsidRPr="00083739">
              <w:rPr>
                <w:rFonts w:ascii="Times New Roman" w:eastAsiaTheme="minorEastAsia" w:hAnsi="Times New Roman" w:cs="Times New Roman"/>
                <w:noProof/>
                <w:color w:val="006100"/>
                <w:sz w:val="18"/>
                <w:szCs w:val="18"/>
                <w:lang w:val="sk-SK"/>
              </w:rPr>
              <w:t xml:space="preserve">od konca úseku ELPE Elefsina po novú </w:t>
            </w:r>
            <w:r w:rsidRPr="00083739">
              <w:rPr>
                <w:rFonts w:ascii="Times New Roman" w:hAnsi="Times New Roman" w:cs="Times New Roman"/>
                <w:noProof/>
                <w:color w:val="006100"/>
                <w:sz w:val="18"/>
                <w:szCs w:val="18"/>
                <w:lang w:val="sk-SK"/>
              </w:rPr>
              <w:t xml:space="preserve">stanicu Megara. </w:t>
            </w:r>
          </w:p>
        </w:tc>
      </w:tr>
      <w:tr w:rsidR="002D49B0" w:rsidRPr="00083739" w14:paraId="7DF54C7F" w14:textId="77777777">
        <w:trPr>
          <w:trHeight w:val="796"/>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00CEFF2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272</w:t>
            </w:r>
          </w:p>
        </w:tc>
        <w:tc>
          <w:tcPr>
            <w:tcW w:w="2229" w:type="dxa"/>
            <w:tcBorders>
              <w:top w:val="single" w:sz="4" w:space="0" w:color="auto"/>
              <w:left w:val="nil"/>
              <w:bottom w:val="single" w:sz="4" w:space="0" w:color="auto"/>
              <w:right w:val="single" w:sz="4" w:space="0" w:color="auto"/>
            </w:tcBorders>
            <w:shd w:val="clear" w:color="auto" w:fill="C6EFCE"/>
            <w:noWrap/>
          </w:tcPr>
          <w:p w14:paraId="70E828EA" w14:textId="1CC03D4D"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17 – 4.6. Modernizácia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zlepšenie odolnosti kľúčových hospodárskych odvetví – 16949_Inteligentné mosty</w:t>
            </w:r>
          </w:p>
        </w:tc>
        <w:tc>
          <w:tcPr>
            <w:tcW w:w="1134" w:type="dxa"/>
            <w:tcBorders>
              <w:top w:val="single" w:sz="4" w:space="0" w:color="auto"/>
              <w:left w:val="nil"/>
              <w:bottom w:val="single" w:sz="4" w:space="0" w:color="auto"/>
              <w:right w:val="single" w:sz="4" w:space="0" w:color="auto"/>
            </w:tcBorders>
            <w:shd w:val="clear" w:color="auto" w:fill="C6EFCE"/>
            <w:noWrap/>
          </w:tcPr>
          <w:p w14:paraId="157681E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842" w:type="dxa"/>
            <w:tcBorders>
              <w:top w:val="single" w:sz="4" w:space="0" w:color="auto"/>
              <w:left w:val="nil"/>
              <w:bottom w:val="single" w:sz="4" w:space="0" w:color="auto"/>
              <w:right w:val="single" w:sz="4" w:space="0" w:color="auto"/>
            </w:tcBorders>
            <w:shd w:val="clear" w:color="auto" w:fill="C6EFCE"/>
            <w:noWrap/>
          </w:tcPr>
          <w:p w14:paraId="7E62868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Dokončenie </w:t>
            </w:r>
            <w:r w:rsidRPr="00083739">
              <w:rPr>
                <w:rFonts w:ascii="Times New Roman" w:hAnsi="Times New Roman" w:cs="Times New Roman"/>
                <w:noProof/>
                <w:lang w:val="sk-SK"/>
              </w:rPr>
              <w:t>projektu inteligentných mostov I. fáza</w:t>
            </w:r>
          </w:p>
        </w:tc>
        <w:tc>
          <w:tcPr>
            <w:tcW w:w="2127" w:type="dxa"/>
            <w:tcBorders>
              <w:top w:val="single" w:sz="4" w:space="0" w:color="auto"/>
              <w:left w:val="nil"/>
              <w:bottom w:val="single" w:sz="4" w:space="0" w:color="auto"/>
              <w:right w:val="single" w:sz="4" w:space="0" w:color="auto"/>
            </w:tcBorders>
            <w:shd w:val="clear" w:color="auto" w:fill="C6EFCE"/>
            <w:noWrap/>
          </w:tcPr>
          <w:p w14:paraId="24CF1247" w14:textId="3F0B8334"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prác</w:t>
            </w:r>
          </w:p>
        </w:tc>
        <w:tc>
          <w:tcPr>
            <w:tcW w:w="992" w:type="dxa"/>
            <w:tcBorders>
              <w:top w:val="single" w:sz="4" w:space="0" w:color="auto"/>
              <w:left w:val="nil"/>
              <w:bottom w:val="single" w:sz="4" w:space="0" w:color="auto"/>
              <w:right w:val="single" w:sz="4" w:space="0" w:color="auto"/>
            </w:tcBorders>
            <w:shd w:val="clear" w:color="auto" w:fill="C6EFCE"/>
            <w:noWrap/>
          </w:tcPr>
          <w:p w14:paraId="36FCFABF"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single" w:sz="4" w:space="0" w:color="auto"/>
              <w:left w:val="nil"/>
              <w:bottom w:val="single" w:sz="4" w:space="0" w:color="auto"/>
              <w:right w:val="single" w:sz="4" w:space="0" w:color="auto"/>
            </w:tcBorders>
            <w:shd w:val="clear" w:color="auto" w:fill="C6EFCE"/>
            <w:noWrap/>
          </w:tcPr>
          <w:p w14:paraId="222C39C5"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4" w:type="dxa"/>
            <w:tcBorders>
              <w:top w:val="single" w:sz="4" w:space="0" w:color="auto"/>
              <w:left w:val="nil"/>
              <w:bottom w:val="single" w:sz="4" w:space="0" w:color="auto"/>
              <w:right w:val="single" w:sz="4" w:space="0" w:color="auto"/>
            </w:tcBorders>
            <w:shd w:val="clear" w:color="auto" w:fill="C6EFCE"/>
            <w:noWrap/>
          </w:tcPr>
          <w:p w14:paraId="15B0FFE1"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6" w:type="dxa"/>
            <w:tcBorders>
              <w:top w:val="single" w:sz="4" w:space="0" w:color="auto"/>
              <w:left w:val="nil"/>
              <w:bottom w:val="single" w:sz="4" w:space="0" w:color="auto"/>
              <w:right w:val="single" w:sz="4" w:space="0" w:color="auto"/>
            </w:tcBorders>
            <w:shd w:val="clear" w:color="auto" w:fill="C6EFCE"/>
            <w:noWrap/>
          </w:tcPr>
          <w:p w14:paraId="42550EE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13" w:type="dxa"/>
            <w:tcBorders>
              <w:top w:val="single" w:sz="4" w:space="0" w:color="auto"/>
              <w:left w:val="nil"/>
              <w:bottom w:val="single" w:sz="4" w:space="0" w:color="auto"/>
              <w:right w:val="single" w:sz="4" w:space="0" w:color="auto"/>
            </w:tcBorders>
            <w:shd w:val="clear" w:color="auto" w:fill="C6EFCE"/>
            <w:noWrap/>
          </w:tcPr>
          <w:p w14:paraId="5429047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3402" w:type="dxa"/>
            <w:tcBorders>
              <w:top w:val="single" w:sz="4" w:space="0" w:color="auto"/>
              <w:left w:val="nil"/>
              <w:bottom w:val="single" w:sz="4" w:space="0" w:color="auto"/>
              <w:right w:val="single" w:sz="4" w:space="0" w:color="auto"/>
            </w:tcBorders>
            <w:shd w:val="clear" w:color="auto" w:fill="C6EFCE"/>
            <w:noWrap/>
          </w:tcPr>
          <w:p w14:paraId="449E0A1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Podskupina 1: Dokončenie projektu inteligentných mostov I. fáza, ktorým sa poskytuje inteligentná preventívna údržba mostov vo viacerých regiónoch krajiny.</w:t>
            </w:r>
          </w:p>
        </w:tc>
      </w:tr>
      <w:tr w:rsidR="002D49B0" w:rsidRPr="00083739" w14:paraId="37A4843D" w14:textId="77777777">
        <w:trPr>
          <w:trHeight w:val="313"/>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46849CE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272a</w:t>
            </w:r>
          </w:p>
        </w:tc>
        <w:tc>
          <w:tcPr>
            <w:tcW w:w="2229" w:type="dxa"/>
            <w:tcBorders>
              <w:top w:val="single" w:sz="4" w:space="0" w:color="auto"/>
              <w:left w:val="nil"/>
              <w:bottom w:val="single" w:sz="4" w:space="0" w:color="auto"/>
              <w:right w:val="single" w:sz="4" w:space="0" w:color="auto"/>
            </w:tcBorders>
            <w:shd w:val="clear" w:color="auto" w:fill="C6EFCE"/>
            <w:noWrap/>
          </w:tcPr>
          <w:p w14:paraId="4BFBDD02" w14:textId="1082A97A"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17 – 4.6. </w:t>
            </w:r>
            <w:r w:rsidRPr="00083739">
              <w:rPr>
                <w:rFonts w:ascii="Times New Roman" w:hAnsi="Times New Roman" w:cs="Times New Roman"/>
                <w:noProof/>
                <w:lang w:val="sk-SK"/>
              </w:rPr>
              <w:t>Modernizácia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zlepšenie odolnosti kľúčových hospodárskych odvetví – 16949_Inteligentné mosty</w:t>
            </w:r>
          </w:p>
        </w:tc>
        <w:tc>
          <w:tcPr>
            <w:tcW w:w="1134" w:type="dxa"/>
            <w:tcBorders>
              <w:top w:val="single" w:sz="4" w:space="0" w:color="auto"/>
              <w:left w:val="nil"/>
              <w:bottom w:val="single" w:sz="4" w:space="0" w:color="auto"/>
              <w:right w:val="single" w:sz="4" w:space="0" w:color="auto"/>
            </w:tcBorders>
            <w:shd w:val="clear" w:color="auto" w:fill="C6EFCE"/>
            <w:noWrap/>
          </w:tcPr>
          <w:p w14:paraId="185A653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842" w:type="dxa"/>
            <w:tcBorders>
              <w:top w:val="single" w:sz="4" w:space="0" w:color="auto"/>
              <w:left w:val="nil"/>
              <w:bottom w:val="single" w:sz="4" w:space="0" w:color="auto"/>
              <w:right w:val="single" w:sz="4" w:space="0" w:color="auto"/>
            </w:tcBorders>
            <w:shd w:val="clear" w:color="auto" w:fill="C6EFCE"/>
            <w:noWrap/>
          </w:tcPr>
          <w:p w14:paraId="5EEA313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projektu inteligentných mostov, fáza II</w:t>
            </w:r>
          </w:p>
        </w:tc>
        <w:tc>
          <w:tcPr>
            <w:tcW w:w="2127" w:type="dxa"/>
            <w:tcBorders>
              <w:top w:val="single" w:sz="4" w:space="0" w:color="auto"/>
              <w:left w:val="nil"/>
              <w:bottom w:val="single" w:sz="4" w:space="0" w:color="auto"/>
              <w:right w:val="single" w:sz="4" w:space="0" w:color="auto"/>
            </w:tcBorders>
            <w:shd w:val="clear" w:color="auto" w:fill="C6EFCE"/>
            <w:noWrap/>
          </w:tcPr>
          <w:p w14:paraId="596E1DCF" w14:textId="142EF3C9"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Dokončenie prác </w:t>
            </w:r>
          </w:p>
        </w:tc>
        <w:tc>
          <w:tcPr>
            <w:tcW w:w="992" w:type="dxa"/>
            <w:tcBorders>
              <w:top w:val="single" w:sz="4" w:space="0" w:color="auto"/>
              <w:left w:val="nil"/>
              <w:bottom w:val="single" w:sz="4" w:space="0" w:color="auto"/>
              <w:right w:val="single" w:sz="4" w:space="0" w:color="auto"/>
            </w:tcBorders>
            <w:shd w:val="clear" w:color="auto" w:fill="C6EFCE"/>
            <w:noWrap/>
          </w:tcPr>
          <w:p w14:paraId="707A7573"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single" w:sz="4" w:space="0" w:color="auto"/>
              <w:left w:val="nil"/>
              <w:bottom w:val="single" w:sz="4" w:space="0" w:color="auto"/>
              <w:right w:val="single" w:sz="4" w:space="0" w:color="auto"/>
            </w:tcBorders>
            <w:shd w:val="clear" w:color="auto" w:fill="C6EFCE"/>
            <w:noWrap/>
          </w:tcPr>
          <w:p w14:paraId="24F8A228"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4" w:type="dxa"/>
            <w:tcBorders>
              <w:top w:val="single" w:sz="4" w:space="0" w:color="auto"/>
              <w:left w:val="nil"/>
              <w:bottom w:val="single" w:sz="4" w:space="0" w:color="auto"/>
              <w:right w:val="single" w:sz="4" w:space="0" w:color="auto"/>
            </w:tcBorders>
            <w:shd w:val="clear" w:color="auto" w:fill="C6EFCE"/>
            <w:noWrap/>
          </w:tcPr>
          <w:p w14:paraId="7171A93A"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6" w:type="dxa"/>
            <w:tcBorders>
              <w:top w:val="single" w:sz="4" w:space="0" w:color="auto"/>
              <w:left w:val="nil"/>
              <w:bottom w:val="single" w:sz="4" w:space="0" w:color="auto"/>
              <w:right w:val="single" w:sz="4" w:space="0" w:color="auto"/>
            </w:tcBorders>
            <w:shd w:val="clear" w:color="auto" w:fill="C6EFCE"/>
            <w:noWrap/>
          </w:tcPr>
          <w:p w14:paraId="307607F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TRETÍ ŠTVRŤROK</w:t>
            </w:r>
          </w:p>
        </w:tc>
        <w:tc>
          <w:tcPr>
            <w:tcW w:w="713" w:type="dxa"/>
            <w:tcBorders>
              <w:top w:val="single" w:sz="4" w:space="0" w:color="auto"/>
              <w:left w:val="nil"/>
              <w:bottom w:val="single" w:sz="4" w:space="0" w:color="auto"/>
              <w:right w:val="single" w:sz="4" w:space="0" w:color="auto"/>
            </w:tcBorders>
            <w:shd w:val="clear" w:color="auto" w:fill="C6EFCE"/>
            <w:noWrap/>
          </w:tcPr>
          <w:p w14:paraId="3B1C45C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3402" w:type="dxa"/>
            <w:tcBorders>
              <w:top w:val="single" w:sz="4" w:space="0" w:color="auto"/>
              <w:left w:val="nil"/>
              <w:bottom w:val="single" w:sz="4" w:space="0" w:color="auto"/>
              <w:right w:val="single" w:sz="4" w:space="0" w:color="auto"/>
            </w:tcBorders>
            <w:shd w:val="clear" w:color="auto" w:fill="C6EFCE"/>
            <w:noWrap/>
          </w:tcPr>
          <w:p w14:paraId="46AEB6B8" w14:textId="79EFED5B"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Dokončenie projektu inteligentných mostov vo fáze II, ktorý </w:t>
            </w:r>
            <w:r w:rsidRPr="00083739">
              <w:rPr>
                <w:rFonts w:ascii="Times New Roman" w:hAnsi="Times New Roman" w:cs="Times New Roman"/>
                <w:noProof/>
                <w:lang w:val="sk-SK"/>
              </w:rPr>
              <w:t>poskytuje mosty</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 xml:space="preserve">bezdrôtovými snímačmi poháňanými solárnymi panelmi. </w:t>
            </w:r>
          </w:p>
        </w:tc>
      </w:tr>
      <w:tr w:rsidR="002D49B0" w:rsidRPr="00083739" w14:paraId="25FCFD1F" w14:textId="77777777">
        <w:trPr>
          <w:trHeight w:val="313"/>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3D71F85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274</w:t>
            </w:r>
          </w:p>
        </w:tc>
        <w:tc>
          <w:tcPr>
            <w:tcW w:w="2229" w:type="dxa"/>
            <w:tcBorders>
              <w:top w:val="single" w:sz="4" w:space="0" w:color="auto"/>
              <w:left w:val="nil"/>
              <w:bottom w:val="single" w:sz="4" w:space="0" w:color="auto"/>
              <w:right w:val="single" w:sz="4" w:space="0" w:color="auto"/>
            </w:tcBorders>
            <w:shd w:val="clear" w:color="auto" w:fill="C6EFCE"/>
            <w:noWrap/>
          </w:tcPr>
          <w:p w14:paraId="585210AE" w14:textId="135DA009"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17 – 4.6. Modernizácia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zlepšenie odolnosti kľúčových hospodárskych odvetví – 16959_Digitálna transformácia Helénskej železničnej organizácie</w:t>
            </w:r>
          </w:p>
        </w:tc>
        <w:tc>
          <w:tcPr>
            <w:tcW w:w="1134" w:type="dxa"/>
            <w:tcBorders>
              <w:top w:val="single" w:sz="4" w:space="0" w:color="auto"/>
              <w:left w:val="nil"/>
              <w:bottom w:val="single" w:sz="4" w:space="0" w:color="auto"/>
              <w:right w:val="single" w:sz="4" w:space="0" w:color="auto"/>
            </w:tcBorders>
            <w:shd w:val="clear" w:color="auto" w:fill="C6EFCE"/>
            <w:noWrap/>
          </w:tcPr>
          <w:p w14:paraId="5F56B79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842" w:type="dxa"/>
            <w:tcBorders>
              <w:top w:val="single" w:sz="4" w:space="0" w:color="auto"/>
              <w:left w:val="nil"/>
              <w:bottom w:val="single" w:sz="4" w:space="0" w:color="auto"/>
              <w:right w:val="single" w:sz="4" w:space="0" w:color="auto"/>
            </w:tcBorders>
            <w:shd w:val="clear" w:color="auto" w:fill="C6EFCE"/>
            <w:noWrap/>
          </w:tcPr>
          <w:p w14:paraId="1CCD96D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Dokončenie digitálnej </w:t>
            </w:r>
            <w:r w:rsidRPr="00083739">
              <w:rPr>
                <w:rFonts w:ascii="Times New Roman" w:hAnsi="Times New Roman" w:cs="Times New Roman"/>
                <w:noProof/>
                <w:lang w:val="sk-SK"/>
              </w:rPr>
              <w:t>transformácie projektu OSE</w:t>
            </w:r>
          </w:p>
        </w:tc>
        <w:tc>
          <w:tcPr>
            <w:tcW w:w="2127" w:type="dxa"/>
            <w:tcBorders>
              <w:top w:val="single" w:sz="4" w:space="0" w:color="auto"/>
              <w:left w:val="nil"/>
              <w:bottom w:val="single" w:sz="4" w:space="0" w:color="auto"/>
              <w:right w:val="single" w:sz="4" w:space="0" w:color="auto"/>
            </w:tcBorders>
            <w:shd w:val="clear" w:color="auto" w:fill="C6EFCE"/>
            <w:noWrap/>
          </w:tcPr>
          <w:p w14:paraId="16206311" w14:textId="35D0FEC6"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Správa spoločnosti OSE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dokončení.</w:t>
            </w:r>
          </w:p>
          <w:p w14:paraId="7385360D"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p w14:paraId="58777760"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2" w:type="dxa"/>
            <w:tcBorders>
              <w:top w:val="single" w:sz="4" w:space="0" w:color="auto"/>
              <w:left w:val="nil"/>
              <w:bottom w:val="single" w:sz="4" w:space="0" w:color="auto"/>
              <w:right w:val="single" w:sz="4" w:space="0" w:color="auto"/>
            </w:tcBorders>
            <w:shd w:val="clear" w:color="auto" w:fill="C6EFCE"/>
            <w:noWrap/>
          </w:tcPr>
          <w:p w14:paraId="7A2B7204"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single" w:sz="4" w:space="0" w:color="auto"/>
              <w:left w:val="nil"/>
              <w:bottom w:val="single" w:sz="4" w:space="0" w:color="auto"/>
              <w:right w:val="single" w:sz="4" w:space="0" w:color="auto"/>
            </w:tcBorders>
            <w:shd w:val="clear" w:color="auto" w:fill="C6EFCE"/>
            <w:noWrap/>
          </w:tcPr>
          <w:p w14:paraId="6FC202FA"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4" w:type="dxa"/>
            <w:tcBorders>
              <w:top w:val="single" w:sz="4" w:space="0" w:color="auto"/>
              <w:left w:val="nil"/>
              <w:bottom w:val="single" w:sz="4" w:space="0" w:color="auto"/>
              <w:right w:val="single" w:sz="4" w:space="0" w:color="auto"/>
            </w:tcBorders>
            <w:shd w:val="clear" w:color="auto" w:fill="C6EFCE"/>
            <w:noWrap/>
          </w:tcPr>
          <w:p w14:paraId="00F93705"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6" w:type="dxa"/>
            <w:tcBorders>
              <w:top w:val="single" w:sz="4" w:space="0" w:color="auto"/>
              <w:left w:val="nil"/>
              <w:bottom w:val="single" w:sz="4" w:space="0" w:color="auto"/>
              <w:right w:val="single" w:sz="4" w:space="0" w:color="auto"/>
            </w:tcBorders>
            <w:shd w:val="clear" w:color="auto" w:fill="C6EFCE"/>
            <w:noWrap/>
          </w:tcPr>
          <w:p w14:paraId="73C07A9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13" w:type="dxa"/>
            <w:tcBorders>
              <w:top w:val="single" w:sz="4" w:space="0" w:color="auto"/>
              <w:left w:val="nil"/>
              <w:bottom w:val="single" w:sz="4" w:space="0" w:color="auto"/>
              <w:right w:val="single" w:sz="4" w:space="0" w:color="auto"/>
            </w:tcBorders>
            <w:shd w:val="clear" w:color="auto" w:fill="C6EFCE"/>
            <w:noWrap/>
          </w:tcPr>
          <w:p w14:paraId="3A2B6FB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3402" w:type="dxa"/>
            <w:tcBorders>
              <w:top w:val="single" w:sz="4" w:space="0" w:color="auto"/>
              <w:left w:val="nil"/>
              <w:bottom w:val="single" w:sz="4" w:space="0" w:color="auto"/>
              <w:right w:val="single" w:sz="4" w:space="0" w:color="auto"/>
            </w:tcBorders>
            <w:shd w:val="clear" w:color="auto" w:fill="C6EFCE"/>
            <w:noWrap/>
          </w:tcPr>
          <w:p w14:paraId="29ED5397" w14:textId="77777777"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Dokončenie projektu digitalizácie OSE</w:t>
            </w:r>
            <w:r w:rsidR="00083739" w:rsidRPr="00083739">
              <w:rPr>
                <w:rFonts w:ascii="Times New Roman" w:hAnsi="Times New Roman" w:cs="Times New Roman"/>
                <w:noProof/>
                <w:lang w:val="sk-SK"/>
              </w:rPr>
              <w:t>:</w:t>
            </w:r>
          </w:p>
          <w:p w14:paraId="79890866" w14:textId="37F67556"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1. Systém správy cestovných lístkov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telematického systému;</w:t>
            </w:r>
          </w:p>
          <w:p w14:paraId="1914329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 2. Infraštruktúra inteligentných staníc;</w:t>
            </w:r>
          </w:p>
          <w:p w14:paraId="36E6406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 3. Služby zákazníckej praxe;</w:t>
            </w:r>
          </w:p>
          <w:p w14:paraId="3A414599" w14:textId="601FEBE4"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 4. Realizácia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prevádzka telekomunikačnej siete pre vysokorýchlostný internet na vlakoch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staniciach;</w:t>
            </w:r>
          </w:p>
          <w:p w14:paraId="7517CF6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5. OSE Telematický systém vozidla</w:t>
            </w:r>
          </w:p>
          <w:p w14:paraId="591C9042" w14:textId="77777777" w:rsidR="00083739" w:rsidRPr="00083739" w:rsidRDefault="00BF4125">
            <w:pPr>
              <w:pStyle w:val="P68B1DB1-Normal10"/>
              <w:spacing w:after="0" w:line="240" w:lineRule="auto"/>
              <w:rPr>
                <w:rFonts w:ascii="Times New Roman" w:hAnsi="Times New Roman" w:cs="Times New Roman"/>
                <w:noProof/>
                <w:lang w:val="sk-SK"/>
              </w:rPr>
            </w:pPr>
            <w:r w:rsidRPr="00083739">
              <w:rPr>
                <w:rFonts w:ascii="Times New Roman" w:hAnsi="Times New Roman" w:cs="Times New Roman"/>
                <w:noProof/>
                <w:lang w:val="sk-SK"/>
              </w:rPr>
              <w:t xml:space="preserve"> Inštalačné služby</w:t>
            </w:r>
            <w:r w:rsidR="00083739" w:rsidRPr="00083739">
              <w:rPr>
                <w:rFonts w:ascii="Times New Roman" w:hAnsi="Times New Roman" w:cs="Times New Roman"/>
                <w:noProof/>
                <w:lang w:val="sk-SK"/>
              </w:rPr>
              <w:t>;</w:t>
            </w:r>
          </w:p>
          <w:p w14:paraId="1C5C4216" w14:textId="55C2F8E3"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6. Služby odbornej prípravy;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zároveň</w:t>
            </w:r>
          </w:p>
          <w:p w14:paraId="43E792F1" w14:textId="21435AA6" w:rsidR="002D49B0" w:rsidRPr="00083739" w:rsidRDefault="00BF4125">
            <w:pPr>
              <w:pStyle w:val="P68B1DB1-Normal30"/>
              <w:spacing w:after="0" w:line="240" w:lineRule="auto"/>
              <w:rPr>
                <w:rFonts w:ascii="Times New Roman" w:hAnsi="Times New Roman" w:cs="Times New Roman"/>
                <w:noProof/>
                <w:lang w:val="sk-SK"/>
              </w:rPr>
            </w:pPr>
            <w:r w:rsidRPr="00083739">
              <w:rPr>
                <w:rFonts w:ascii="Times New Roman" w:hAnsi="Times New Roman" w:cs="Times New Roman"/>
                <w:noProof/>
                <w:lang w:val="sk-SK"/>
              </w:rPr>
              <w:t>7. Dokončenie modernizácie b</w:t>
            </w:r>
            <w:r w:rsidRPr="00083739">
              <w:rPr>
                <w:rFonts w:ascii="Times New Roman" w:hAnsi="Times New Roman" w:cs="Times New Roman"/>
                <w:noProof/>
                <w:lang w:val="sk-SK"/>
              </w:rPr>
              <w:t>ezpečnostnej infraštruktúry desiatich železničných tunelov pomocou inteligentných systémov.</w:t>
            </w:r>
          </w:p>
        </w:tc>
      </w:tr>
      <w:tr w:rsidR="002D49B0" w:rsidRPr="00083739" w14:paraId="7F9D61AE" w14:textId="77777777">
        <w:trPr>
          <w:trHeight w:val="313"/>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7587525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275</w:t>
            </w:r>
          </w:p>
        </w:tc>
        <w:tc>
          <w:tcPr>
            <w:tcW w:w="2229" w:type="dxa"/>
            <w:tcBorders>
              <w:top w:val="single" w:sz="4" w:space="0" w:color="auto"/>
              <w:left w:val="nil"/>
              <w:bottom w:val="single" w:sz="4" w:space="0" w:color="auto"/>
              <w:right w:val="single" w:sz="4" w:space="0" w:color="auto"/>
            </w:tcBorders>
            <w:shd w:val="clear" w:color="auto" w:fill="C6EFCE"/>
            <w:noWrap/>
          </w:tcPr>
          <w:p w14:paraId="636FE49F" w14:textId="58BAF3CE"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17 – 4.6. Modernizácia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zlepšenie odolnosti kľúčových hospodárskych odvetví – 16960_Inteligentná infraštruktúra so zameraním na životné prostredie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kultúru</w:t>
            </w:r>
          </w:p>
        </w:tc>
        <w:tc>
          <w:tcPr>
            <w:tcW w:w="1134" w:type="dxa"/>
            <w:tcBorders>
              <w:top w:val="single" w:sz="4" w:space="0" w:color="auto"/>
              <w:left w:val="nil"/>
              <w:bottom w:val="single" w:sz="4" w:space="0" w:color="auto"/>
              <w:right w:val="single" w:sz="4" w:space="0" w:color="auto"/>
            </w:tcBorders>
            <w:shd w:val="clear" w:color="auto" w:fill="C6EFCE"/>
            <w:noWrap/>
          </w:tcPr>
          <w:p w14:paraId="56A286F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842" w:type="dxa"/>
            <w:tcBorders>
              <w:top w:val="single" w:sz="4" w:space="0" w:color="auto"/>
              <w:left w:val="nil"/>
              <w:bottom w:val="single" w:sz="4" w:space="0" w:color="auto"/>
              <w:right w:val="single" w:sz="4" w:space="0" w:color="auto"/>
            </w:tcBorders>
            <w:shd w:val="clear" w:color="auto" w:fill="C6EFCE"/>
            <w:noWrap/>
          </w:tcPr>
          <w:p w14:paraId="3421B94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projektu inteligentnej infraštruktúry</w:t>
            </w:r>
          </w:p>
        </w:tc>
        <w:tc>
          <w:tcPr>
            <w:tcW w:w="2127" w:type="dxa"/>
            <w:tcBorders>
              <w:top w:val="single" w:sz="4" w:space="0" w:color="auto"/>
              <w:left w:val="nil"/>
              <w:bottom w:val="single" w:sz="4" w:space="0" w:color="auto"/>
              <w:right w:val="single" w:sz="4" w:space="0" w:color="auto"/>
            </w:tcBorders>
            <w:shd w:val="clear" w:color="auto" w:fill="C6EFCE"/>
            <w:noWrap/>
          </w:tcPr>
          <w:p w14:paraId="0CCEC8EB" w14:textId="4AD52E4E"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čiastkových projektov</w:t>
            </w:r>
          </w:p>
        </w:tc>
        <w:tc>
          <w:tcPr>
            <w:tcW w:w="992" w:type="dxa"/>
            <w:tcBorders>
              <w:top w:val="single" w:sz="4" w:space="0" w:color="auto"/>
              <w:left w:val="nil"/>
              <w:bottom w:val="single" w:sz="4" w:space="0" w:color="auto"/>
              <w:right w:val="single" w:sz="4" w:space="0" w:color="auto"/>
            </w:tcBorders>
            <w:shd w:val="clear" w:color="auto" w:fill="C6EFCE"/>
            <w:noWrap/>
          </w:tcPr>
          <w:p w14:paraId="73FEA234"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single" w:sz="4" w:space="0" w:color="auto"/>
              <w:left w:val="nil"/>
              <w:bottom w:val="single" w:sz="4" w:space="0" w:color="auto"/>
              <w:right w:val="single" w:sz="4" w:space="0" w:color="auto"/>
            </w:tcBorders>
            <w:shd w:val="clear" w:color="auto" w:fill="C6EFCE"/>
            <w:noWrap/>
          </w:tcPr>
          <w:p w14:paraId="0AA1A5FF"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4" w:type="dxa"/>
            <w:tcBorders>
              <w:top w:val="single" w:sz="4" w:space="0" w:color="auto"/>
              <w:left w:val="nil"/>
              <w:bottom w:val="single" w:sz="4" w:space="0" w:color="auto"/>
              <w:right w:val="single" w:sz="4" w:space="0" w:color="auto"/>
            </w:tcBorders>
            <w:shd w:val="clear" w:color="auto" w:fill="C6EFCE"/>
            <w:noWrap/>
          </w:tcPr>
          <w:p w14:paraId="7669D9E9"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6" w:type="dxa"/>
            <w:tcBorders>
              <w:top w:val="single" w:sz="4" w:space="0" w:color="auto"/>
              <w:left w:val="nil"/>
              <w:bottom w:val="single" w:sz="4" w:space="0" w:color="auto"/>
              <w:right w:val="single" w:sz="4" w:space="0" w:color="auto"/>
            </w:tcBorders>
            <w:shd w:val="clear" w:color="auto" w:fill="C6EFCE"/>
            <w:noWrap/>
          </w:tcPr>
          <w:p w14:paraId="55D9BB4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13" w:type="dxa"/>
            <w:tcBorders>
              <w:top w:val="single" w:sz="4" w:space="0" w:color="auto"/>
              <w:left w:val="nil"/>
              <w:bottom w:val="single" w:sz="4" w:space="0" w:color="auto"/>
              <w:right w:val="single" w:sz="4" w:space="0" w:color="auto"/>
            </w:tcBorders>
            <w:shd w:val="clear" w:color="auto" w:fill="C6EFCE"/>
            <w:noWrap/>
          </w:tcPr>
          <w:p w14:paraId="1CF2618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3402" w:type="dxa"/>
            <w:tcBorders>
              <w:top w:val="single" w:sz="4" w:space="0" w:color="auto"/>
              <w:left w:val="nil"/>
              <w:bottom w:val="single" w:sz="4" w:space="0" w:color="auto"/>
              <w:right w:val="single" w:sz="4" w:space="0" w:color="auto"/>
            </w:tcBorders>
            <w:shd w:val="clear" w:color="auto" w:fill="C6EFCE"/>
            <w:noWrap/>
          </w:tcPr>
          <w:p w14:paraId="1994E7A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Všetky čiastkové projekty dokončené:</w:t>
            </w:r>
          </w:p>
          <w:p w14:paraId="00883A41" w14:textId="759F34F9"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 Informačný systém pre vymedzenie vodných tokov</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cieľom prispieť</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ochrane prírody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biodiverzity;</w:t>
            </w:r>
          </w:p>
          <w:p w14:paraId="052F8CC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 Transakcie Digitálnej banky na výstavbu poľa;</w:t>
            </w:r>
          </w:p>
          <w:p w14:paraId="0C37AA5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 Jednotná digitálna mapa;</w:t>
            </w:r>
          </w:p>
          <w:p w14:paraId="4E8EDC53" w14:textId="251D0E15"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4. Digitálne opatrenia na meranie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monitorovanie látok znečisťujúcich ovzdušie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znečisťovania morí na optimalizáciu </w:t>
            </w:r>
            <w:r w:rsidRPr="00083739">
              <w:rPr>
                <w:rFonts w:ascii="Times New Roman" w:eastAsia="Times New Roman" w:hAnsi="Times New Roman" w:cs="Times New Roman"/>
                <w:noProof/>
                <w:szCs w:val="18"/>
                <w:lang w:val="sk-SK"/>
              </w:rPr>
              <w:t>vnútroštátnych monitorovacích systémov</w:t>
            </w:r>
            <w:r w:rsidR="00083739" w:rsidRPr="00083739">
              <w:rPr>
                <w:rFonts w:ascii="Times New Roman" w:eastAsia="Times New Roman" w:hAnsi="Times New Roman" w:cs="Times New Roman"/>
                <w:noProof/>
                <w:szCs w:val="18"/>
                <w:lang w:val="sk-SK"/>
              </w:rPr>
              <w:t xml:space="preserve"> v </w:t>
            </w:r>
            <w:r w:rsidRPr="00083739">
              <w:rPr>
                <w:rFonts w:ascii="Times New Roman" w:eastAsia="Times New Roman" w:hAnsi="Times New Roman" w:cs="Times New Roman"/>
                <w:noProof/>
                <w:szCs w:val="18"/>
                <w:lang w:val="sk-SK"/>
              </w:rPr>
              <w:t>súlade</w:t>
            </w:r>
            <w:r w:rsidR="00083739" w:rsidRPr="00083739">
              <w:rPr>
                <w:rFonts w:ascii="Times New Roman" w:eastAsia="Times New Roman" w:hAnsi="Times New Roman" w:cs="Times New Roman"/>
                <w:noProof/>
                <w:szCs w:val="18"/>
                <w:lang w:val="sk-SK"/>
              </w:rPr>
              <w:t xml:space="preserve"> s </w:t>
            </w:r>
            <w:r w:rsidRPr="00083739">
              <w:rPr>
                <w:rFonts w:ascii="Times New Roman" w:eastAsia="Times New Roman" w:hAnsi="Times New Roman" w:cs="Times New Roman"/>
                <w:noProof/>
                <w:szCs w:val="18"/>
                <w:lang w:val="sk-SK"/>
              </w:rPr>
              <w:t>požiadavkam</w:t>
            </w:r>
            <w:r w:rsidRPr="00083739">
              <w:rPr>
                <w:rFonts w:ascii="Times New Roman" w:eastAsia="Times New Roman" w:hAnsi="Times New Roman" w:cs="Times New Roman"/>
                <w:noProof/>
                <w:szCs w:val="18"/>
                <w:lang w:val="sk-SK"/>
              </w:rPr>
              <w:t>i právnych predpisov EÚ</w:t>
            </w:r>
            <w:r w:rsidRPr="00083739">
              <w:rPr>
                <w:rFonts w:ascii="Times New Roman" w:hAnsi="Times New Roman" w:cs="Times New Roman"/>
                <w:noProof/>
                <w:lang w:val="sk-SK"/>
              </w:rPr>
              <w:t>;</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zároveň</w:t>
            </w:r>
          </w:p>
          <w:p w14:paraId="38443994" w14:textId="495E7626"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5. Inteligentná infraštruktúra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rozvoj interaktívnych digitálnych služieb</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tvorby digitálneho obsahu na podporu kultúrnych výstav</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rozšírenou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virtuálnou realitou pre múzeá;</w:t>
            </w:r>
          </w:p>
          <w:p w14:paraId="59A73B5E" w14:textId="12EC7AB4" w:rsidR="002D49B0" w:rsidRPr="00083739" w:rsidRDefault="00BF4125">
            <w:pPr>
              <w:pStyle w:val="P68B1DB1-Normal17"/>
              <w:spacing w:after="0" w:line="240" w:lineRule="auto"/>
              <w:rPr>
                <w:rFonts w:ascii="Times New Roman" w:hAnsi="Times New Roman" w:cs="Times New Roman"/>
                <w:noProof/>
                <w:lang w:val="sk-SK"/>
              </w:rPr>
            </w:pPr>
            <w:r w:rsidRPr="00083739">
              <w:rPr>
                <w:rFonts w:ascii="Times New Roman" w:hAnsi="Times New Roman" w:cs="Times New Roman"/>
                <w:noProof/>
                <w:lang w:val="sk-SK"/>
              </w:rPr>
              <w:t>6. Sledovanie nezákonnej výstavby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výstavby.</w:t>
            </w:r>
          </w:p>
        </w:tc>
      </w:tr>
      <w:tr w:rsidR="002D49B0" w:rsidRPr="00083739" w14:paraId="20812AC3" w14:textId="77777777">
        <w:trPr>
          <w:trHeight w:val="313"/>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53B95CE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276</w:t>
            </w:r>
          </w:p>
        </w:tc>
        <w:tc>
          <w:tcPr>
            <w:tcW w:w="2229" w:type="dxa"/>
            <w:tcBorders>
              <w:top w:val="single" w:sz="4" w:space="0" w:color="auto"/>
              <w:left w:val="nil"/>
              <w:bottom w:val="single" w:sz="4" w:space="0" w:color="auto"/>
              <w:right w:val="single" w:sz="4" w:space="0" w:color="auto"/>
            </w:tcBorders>
            <w:shd w:val="clear" w:color="auto" w:fill="C6EFCE"/>
            <w:noWrap/>
          </w:tcPr>
          <w:p w14:paraId="092ECEBC" w14:textId="0A3F12F1"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17 – 4.6. Modernizácia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zlepšenie odolnosti kľúčových hospodárskych odvetví – 16937_Digitálny integrovaný systém riadenia programov pre správu technických prác</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štrukturálnych aktív ministerstva infraštruktúry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dopravy</w:t>
            </w:r>
          </w:p>
        </w:tc>
        <w:tc>
          <w:tcPr>
            <w:tcW w:w="1134" w:type="dxa"/>
            <w:tcBorders>
              <w:top w:val="single" w:sz="4" w:space="0" w:color="auto"/>
              <w:left w:val="nil"/>
              <w:bottom w:val="single" w:sz="4" w:space="0" w:color="auto"/>
              <w:right w:val="single" w:sz="4" w:space="0" w:color="auto"/>
            </w:tcBorders>
            <w:shd w:val="clear" w:color="auto" w:fill="C6EFCE"/>
            <w:noWrap/>
          </w:tcPr>
          <w:p w14:paraId="63BDC59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842" w:type="dxa"/>
            <w:tcBorders>
              <w:top w:val="single" w:sz="4" w:space="0" w:color="auto"/>
              <w:left w:val="nil"/>
              <w:bottom w:val="single" w:sz="4" w:space="0" w:color="auto"/>
              <w:right w:val="single" w:sz="4" w:space="0" w:color="auto"/>
            </w:tcBorders>
            <w:shd w:val="clear" w:color="auto" w:fill="C6EFCE"/>
            <w:noWrap/>
          </w:tcPr>
          <w:p w14:paraId="0251C35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Ukončenie </w:t>
            </w:r>
            <w:r w:rsidRPr="00083739">
              <w:rPr>
                <w:rFonts w:ascii="Times New Roman" w:hAnsi="Times New Roman" w:cs="Times New Roman"/>
                <w:noProof/>
                <w:lang w:val="sk-SK"/>
              </w:rPr>
              <w:t>PMIS pre ministerstvo infraštruktúry</w:t>
            </w:r>
          </w:p>
        </w:tc>
        <w:tc>
          <w:tcPr>
            <w:tcW w:w="2127" w:type="dxa"/>
            <w:tcBorders>
              <w:top w:val="single" w:sz="4" w:space="0" w:color="auto"/>
              <w:left w:val="nil"/>
              <w:bottom w:val="single" w:sz="4" w:space="0" w:color="auto"/>
              <w:right w:val="single" w:sz="4" w:space="0" w:color="auto"/>
            </w:tcBorders>
            <w:shd w:val="clear" w:color="auto" w:fill="C6EFCE"/>
            <w:noWrap/>
          </w:tcPr>
          <w:p w14:paraId="15BEBA45" w14:textId="579EFA3F"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Správa</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dokončení ministerstva infraštruktúry</w:t>
            </w:r>
          </w:p>
        </w:tc>
        <w:tc>
          <w:tcPr>
            <w:tcW w:w="992" w:type="dxa"/>
            <w:tcBorders>
              <w:top w:val="single" w:sz="4" w:space="0" w:color="auto"/>
              <w:left w:val="nil"/>
              <w:bottom w:val="single" w:sz="4" w:space="0" w:color="auto"/>
              <w:right w:val="single" w:sz="4" w:space="0" w:color="auto"/>
            </w:tcBorders>
            <w:shd w:val="clear" w:color="auto" w:fill="C6EFCE"/>
            <w:noWrap/>
          </w:tcPr>
          <w:p w14:paraId="50FC9341"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single" w:sz="4" w:space="0" w:color="auto"/>
              <w:left w:val="nil"/>
              <w:bottom w:val="single" w:sz="4" w:space="0" w:color="auto"/>
              <w:right w:val="single" w:sz="4" w:space="0" w:color="auto"/>
            </w:tcBorders>
            <w:shd w:val="clear" w:color="auto" w:fill="C6EFCE"/>
            <w:noWrap/>
          </w:tcPr>
          <w:p w14:paraId="04A9F936"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4" w:type="dxa"/>
            <w:tcBorders>
              <w:top w:val="single" w:sz="4" w:space="0" w:color="auto"/>
              <w:left w:val="nil"/>
              <w:bottom w:val="single" w:sz="4" w:space="0" w:color="auto"/>
              <w:right w:val="single" w:sz="4" w:space="0" w:color="auto"/>
            </w:tcBorders>
            <w:shd w:val="clear" w:color="auto" w:fill="C6EFCE"/>
            <w:noWrap/>
          </w:tcPr>
          <w:p w14:paraId="07CA42DE"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6" w:type="dxa"/>
            <w:tcBorders>
              <w:top w:val="single" w:sz="4" w:space="0" w:color="auto"/>
              <w:left w:val="nil"/>
              <w:bottom w:val="single" w:sz="4" w:space="0" w:color="auto"/>
              <w:right w:val="single" w:sz="4" w:space="0" w:color="auto"/>
            </w:tcBorders>
            <w:shd w:val="clear" w:color="auto" w:fill="C6EFCE"/>
            <w:noWrap/>
          </w:tcPr>
          <w:p w14:paraId="7574059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13" w:type="dxa"/>
            <w:tcBorders>
              <w:top w:val="single" w:sz="4" w:space="0" w:color="auto"/>
              <w:left w:val="nil"/>
              <w:bottom w:val="single" w:sz="4" w:space="0" w:color="auto"/>
              <w:right w:val="single" w:sz="4" w:space="0" w:color="auto"/>
            </w:tcBorders>
            <w:shd w:val="clear" w:color="auto" w:fill="C6EFCE"/>
            <w:noWrap/>
          </w:tcPr>
          <w:p w14:paraId="7F07E5A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3402" w:type="dxa"/>
            <w:tcBorders>
              <w:top w:val="single" w:sz="4" w:space="0" w:color="auto"/>
              <w:left w:val="nil"/>
              <w:bottom w:val="single" w:sz="4" w:space="0" w:color="auto"/>
              <w:right w:val="single" w:sz="4" w:space="0" w:color="auto"/>
            </w:tcBorders>
            <w:shd w:val="clear" w:color="auto" w:fill="C6EFCE"/>
            <w:noWrap/>
          </w:tcPr>
          <w:p w14:paraId="6D02D3B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Poskytovanie najmodernejšieho informačného systému riadenia portfólia (Portfolio Management Information System) pre ministerstvo infraštruktúry.</w:t>
            </w:r>
          </w:p>
        </w:tc>
      </w:tr>
      <w:tr w:rsidR="002D49B0" w:rsidRPr="00083739" w14:paraId="2802CD26" w14:textId="77777777">
        <w:trPr>
          <w:trHeight w:val="313"/>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16524A7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277</w:t>
            </w:r>
          </w:p>
        </w:tc>
        <w:tc>
          <w:tcPr>
            <w:tcW w:w="2229" w:type="dxa"/>
            <w:tcBorders>
              <w:top w:val="single" w:sz="4" w:space="0" w:color="auto"/>
              <w:left w:val="single" w:sz="4" w:space="0" w:color="auto"/>
              <w:bottom w:val="single" w:sz="4" w:space="0" w:color="auto"/>
              <w:right w:val="single" w:sz="4" w:space="0" w:color="auto"/>
            </w:tcBorders>
            <w:shd w:val="clear" w:color="auto" w:fill="C6EFCE"/>
            <w:noWrap/>
          </w:tcPr>
          <w:p w14:paraId="6E007A78" w14:textId="0161C075"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17 – 4.6. Modernizácia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zlepšenie odolnosti kľúčových hospodárskych odvetví – 16786_Zjednodušenie postupov ministerstva infraštruktúry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dopravy</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Pr>
          <w:p w14:paraId="23673E5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842" w:type="dxa"/>
            <w:tcBorders>
              <w:top w:val="single" w:sz="4" w:space="0" w:color="auto"/>
              <w:left w:val="single" w:sz="4" w:space="0" w:color="auto"/>
              <w:bottom w:val="single" w:sz="4" w:space="0" w:color="auto"/>
              <w:right w:val="single" w:sz="4" w:space="0" w:color="auto"/>
            </w:tcBorders>
            <w:shd w:val="clear" w:color="auto" w:fill="C6EFCE"/>
            <w:noWrap/>
          </w:tcPr>
          <w:p w14:paraId="4AD0377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Zjednodušenie postupov pre ministerstvo dopravy</w:t>
            </w:r>
          </w:p>
        </w:tc>
        <w:tc>
          <w:tcPr>
            <w:tcW w:w="2127" w:type="dxa"/>
            <w:tcBorders>
              <w:top w:val="single" w:sz="4" w:space="0" w:color="auto"/>
              <w:left w:val="single" w:sz="4" w:space="0" w:color="auto"/>
              <w:bottom w:val="single" w:sz="4" w:space="0" w:color="auto"/>
              <w:right w:val="single" w:sz="4" w:space="0" w:color="auto"/>
            </w:tcBorders>
            <w:shd w:val="clear" w:color="auto" w:fill="C6EFCE"/>
            <w:noWrap/>
          </w:tcPr>
          <w:p w14:paraId="30EDE871" w14:textId="6FE5FB15"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Správa</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dokončení ministerstva infraštruktúry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do</w:t>
            </w:r>
            <w:r w:rsidRPr="00083739">
              <w:rPr>
                <w:rFonts w:ascii="Times New Roman" w:hAnsi="Times New Roman" w:cs="Times New Roman"/>
                <w:noProof/>
                <w:lang w:val="sk-SK"/>
              </w:rPr>
              <w:t>pravy</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31FB00B5"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single" w:sz="4" w:space="0" w:color="auto"/>
              <w:left w:val="single" w:sz="4" w:space="0" w:color="auto"/>
              <w:bottom w:val="single" w:sz="4" w:space="0" w:color="auto"/>
              <w:right w:val="single" w:sz="4" w:space="0" w:color="auto"/>
            </w:tcBorders>
            <w:shd w:val="clear" w:color="auto" w:fill="C6EFCE"/>
            <w:noWrap/>
          </w:tcPr>
          <w:p w14:paraId="0556E870"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4" w:type="dxa"/>
            <w:tcBorders>
              <w:top w:val="single" w:sz="4" w:space="0" w:color="auto"/>
              <w:left w:val="single" w:sz="4" w:space="0" w:color="auto"/>
              <w:bottom w:val="single" w:sz="4" w:space="0" w:color="auto"/>
              <w:right w:val="single" w:sz="4" w:space="0" w:color="auto"/>
            </w:tcBorders>
            <w:shd w:val="clear" w:color="auto" w:fill="C6EFCE"/>
            <w:noWrap/>
          </w:tcPr>
          <w:p w14:paraId="721FCB81"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6" w:type="dxa"/>
            <w:tcBorders>
              <w:top w:val="single" w:sz="4" w:space="0" w:color="auto"/>
              <w:left w:val="single" w:sz="4" w:space="0" w:color="auto"/>
              <w:bottom w:val="single" w:sz="4" w:space="0" w:color="auto"/>
              <w:right w:val="single" w:sz="4" w:space="0" w:color="auto"/>
            </w:tcBorders>
            <w:shd w:val="clear" w:color="auto" w:fill="C6EFCE"/>
            <w:noWrap/>
          </w:tcPr>
          <w:p w14:paraId="48CF044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13" w:type="dxa"/>
            <w:tcBorders>
              <w:top w:val="single" w:sz="4" w:space="0" w:color="auto"/>
              <w:left w:val="single" w:sz="4" w:space="0" w:color="auto"/>
              <w:bottom w:val="single" w:sz="4" w:space="0" w:color="auto"/>
              <w:right w:val="single" w:sz="4" w:space="0" w:color="auto"/>
            </w:tcBorders>
            <w:shd w:val="clear" w:color="auto" w:fill="C6EFCE"/>
            <w:noWrap/>
          </w:tcPr>
          <w:p w14:paraId="48E31D23" w14:textId="203398FF"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2024</w:t>
            </w:r>
          </w:p>
        </w:tc>
        <w:tc>
          <w:tcPr>
            <w:tcW w:w="3402" w:type="dxa"/>
            <w:tcBorders>
              <w:top w:val="single" w:sz="4" w:space="0" w:color="auto"/>
              <w:left w:val="single" w:sz="4" w:space="0" w:color="auto"/>
              <w:bottom w:val="single" w:sz="4" w:space="0" w:color="auto"/>
              <w:right w:val="single" w:sz="4" w:space="0" w:color="auto"/>
            </w:tcBorders>
            <w:shd w:val="clear" w:color="auto" w:fill="C6EFCE"/>
            <w:noWrap/>
          </w:tcPr>
          <w:p w14:paraId="4BE1944B" w14:textId="3DE9ADF0"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Realizovať digitálnu transformáciu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zjednodušiť postupy.</w:t>
            </w:r>
          </w:p>
        </w:tc>
      </w:tr>
      <w:tr w:rsidR="002D49B0" w:rsidRPr="00083739" w14:paraId="6AF6CE6B" w14:textId="77777777">
        <w:trPr>
          <w:trHeight w:val="313"/>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0E8504B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349</w:t>
            </w:r>
          </w:p>
          <w:p w14:paraId="2012DF7C"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p w14:paraId="0F146D52"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2229" w:type="dxa"/>
            <w:tcBorders>
              <w:top w:val="single" w:sz="4" w:space="0" w:color="auto"/>
              <w:left w:val="nil"/>
              <w:bottom w:val="single" w:sz="4" w:space="0" w:color="auto"/>
              <w:right w:val="single" w:sz="4" w:space="0" w:color="auto"/>
            </w:tcBorders>
            <w:shd w:val="clear" w:color="auto" w:fill="C6EFCE"/>
            <w:noWrap/>
          </w:tcPr>
          <w:p w14:paraId="72DFF530" w14:textId="77777777"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4.6. Modernizácia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zlepšenie odolnosti kľúčových hospodárskych odvetví – 16999_Obnova prístupnosti po ničivých účinkoch búrky „DANIEL“</w:t>
            </w:r>
          </w:p>
          <w:p w14:paraId="658C53C6" w14:textId="09A0A4D3"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p w14:paraId="5376B0AA"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134" w:type="dxa"/>
            <w:tcBorders>
              <w:top w:val="single" w:sz="4" w:space="0" w:color="auto"/>
              <w:left w:val="nil"/>
              <w:bottom w:val="single" w:sz="4" w:space="0" w:color="auto"/>
              <w:right w:val="single" w:sz="4" w:space="0" w:color="auto"/>
            </w:tcBorders>
            <w:shd w:val="clear" w:color="auto" w:fill="C6EFCE"/>
            <w:noWrap/>
          </w:tcPr>
          <w:p w14:paraId="0B644C8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842" w:type="dxa"/>
            <w:tcBorders>
              <w:top w:val="single" w:sz="4" w:space="0" w:color="auto"/>
              <w:left w:val="nil"/>
              <w:bottom w:val="single" w:sz="4" w:space="0" w:color="auto"/>
              <w:right w:val="single" w:sz="4" w:space="0" w:color="auto"/>
            </w:tcBorders>
            <w:shd w:val="clear" w:color="auto" w:fill="C6EFCE"/>
            <w:noWrap/>
          </w:tcPr>
          <w:p w14:paraId="21D826D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Dokončené </w:t>
            </w:r>
            <w:r w:rsidRPr="00083739">
              <w:rPr>
                <w:rFonts w:ascii="Times New Roman" w:hAnsi="Times New Roman" w:cs="Times New Roman"/>
                <w:noProof/>
                <w:lang w:val="sk-SK"/>
              </w:rPr>
              <w:t>projekty obnovy ciest</w:t>
            </w:r>
          </w:p>
          <w:p w14:paraId="7C57CDFD"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p w14:paraId="4F865DB8"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2127" w:type="dxa"/>
            <w:tcBorders>
              <w:top w:val="single" w:sz="4" w:space="0" w:color="auto"/>
              <w:left w:val="nil"/>
              <w:bottom w:val="single" w:sz="4" w:space="0" w:color="auto"/>
              <w:right w:val="single" w:sz="4" w:space="0" w:color="auto"/>
            </w:tcBorders>
            <w:shd w:val="clear" w:color="auto" w:fill="C6EFCE"/>
            <w:noWrap/>
          </w:tcPr>
          <w:p w14:paraId="7D5CDF62" w14:textId="30CF98F8"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Dokončenie prác</w:t>
            </w:r>
          </w:p>
          <w:p w14:paraId="6EF2AE9B"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2" w:type="dxa"/>
            <w:tcBorders>
              <w:top w:val="single" w:sz="4" w:space="0" w:color="auto"/>
              <w:left w:val="nil"/>
              <w:bottom w:val="single" w:sz="4" w:space="0" w:color="auto"/>
              <w:right w:val="single" w:sz="4" w:space="0" w:color="auto"/>
            </w:tcBorders>
            <w:shd w:val="clear" w:color="auto" w:fill="C6EFCE"/>
            <w:noWrap/>
          </w:tcPr>
          <w:p w14:paraId="6F2161D3"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single" w:sz="4" w:space="0" w:color="auto"/>
              <w:left w:val="nil"/>
              <w:bottom w:val="single" w:sz="4" w:space="0" w:color="auto"/>
              <w:right w:val="single" w:sz="4" w:space="0" w:color="auto"/>
            </w:tcBorders>
            <w:shd w:val="clear" w:color="auto" w:fill="C6EFCE"/>
            <w:noWrap/>
          </w:tcPr>
          <w:p w14:paraId="6EB2BCAF"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4" w:type="dxa"/>
            <w:tcBorders>
              <w:top w:val="single" w:sz="4" w:space="0" w:color="auto"/>
              <w:left w:val="nil"/>
              <w:bottom w:val="single" w:sz="4" w:space="0" w:color="auto"/>
              <w:right w:val="single" w:sz="4" w:space="0" w:color="auto"/>
            </w:tcBorders>
            <w:shd w:val="clear" w:color="auto" w:fill="C6EFCE"/>
            <w:noWrap/>
          </w:tcPr>
          <w:p w14:paraId="59FD681B"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6" w:type="dxa"/>
            <w:tcBorders>
              <w:top w:val="single" w:sz="4" w:space="0" w:color="auto"/>
              <w:left w:val="nil"/>
              <w:bottom w:val="single" w:sz="4" w:space="0" w:color="auto"/>
              <w:right w:val="single" w:sz="4" w:space="0" w:color="auto"/>
            </w:tcBorders>
            <w:shd w:val="clear" w:color="auto" w:fill="C6EFCE"/>
            <w:noWrap/>
          </w:tcPr>
          <w:p w14:paraId="698FA84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13" w:type="dxa"/>
            <w:tcBorders>
              <w:top w:val="single" w:sz="4" w:space="0" w:color="auto"/>
              <w:left w:val="nil"/>
              <w:bottom w:val="single" w:sz="4" w:space="0" w:color="auto"/>
              <w:right w:val="single" w:sz="4" w:space="0" w:color="auto"/>
            </w:tcBorders>
            <w:shd w:val="clear" w:color="auto" w:fill="C6EFCE"/>
            <w:noWrap/>
          </w:tcPr>
          <w:p w14:paraId="4736944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3402" w:type="dxa"/>
            <w:tcBorders>
              <w:top w:val="single" w:sz="4" w:space="0" w:color="auto"/>
              <w:left w:val="nil"/>
              <w:bottom w:val="single" w:sz="4" w:space="0" w:color="auto"/>
              <w:right w:val="single" w:sz="4" w:space="0" w:color="auto"/>
            </w:tcBorders>
            <w:shd w:val="clear" w:color="auto" w:fill="C6EFCE"/>
            <w:noWrap/>
          </w:tcPr>
          <w:p w14:paraId="6D51F026" w14:textId="60530691" w:rsidR="00083739" w:rsidRPr="00083739" w:rsidRDefault="00BF4125">
            <w:pPr>
              <w:pStyle w:val="P68B1DB1-Normal10"/>
              <w:spacing w:after="0" w:line="240" w:lineRule="auto"/>
              <w:rPr>
                <w:rFonts w:ascii="Times New Roman" w:hAnsi="Times New Roman" w:cs="Times New Roman"/>
                <w:noProof/>
                <w:lang w:val="sk-SK"/>
              </w:rPr>
            </w:pPr>
            <w:r w:rsidRPr="00083739">
              <w:rPr>
                <w:rFonts w:ascii="Times New Roman" w:hAnsi="Times New Roman" w:cs="Times New Roman"/>
                <w:noProof/>
                <w:lang w:val="sk-SK"/>
              </w:rPr>
              <w:t>Dokončenie prác na obnove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odolnosti cestnej siete</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oblastiach postihnutých búrkou „DANIEL“</w:t>
            </w:r>
            <w:r w:rsidR="00083739" w:rsidRPr="00083739">
              <w:rPr>
                <w:rFonts w:ascii="Times New Roman" w:hAnsi="Times New Roman" w:cs="Times New Roman"/>
                <w:noProof/>
                <w:lang w:val="sk-SK"/>
              </w:rPr>
              <w:t>.</w:t>
            </w:r>
          </w:p>
          <w:p w14:paraId="2000C13F" w14:textId="4C838A00"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p w14:paraId="58024AA7"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r>
      <w:tr w:rsidR="002D49B0" w:rsidRPr="00083739" w14:paraId="22B9A193" w14:textId="77777777">
        <w:trPr>
          <w:trHeight w:val="313"/>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tcPr>
          <w:p w14:paraId="1959D25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350</w:t>
            </w:r>
          </w:p>
          <w:p w14:paraId="25E703A3"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2229" w:type="dxa"/>
            <w:tcBorders>
              <w:top w:val="single" w:sz="4" w:space="0" w:color="auto"/>
              <w:left w:val="nil"/>
              <w:bottom w:val="single" w:sz="4" w:space="0" w:color="auto"/>
              <w:right w:val="single" w:sz="4" w:space="0" w:color="auto"/>
            </w:tcBorders>
            <w:shd w:val="clear" w:color="auto" w:fill="C6EFCE"/>
          </w:tcPr>
          <w:p w14:paraId="416EBDE2" w14:textId="77777777"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 xml:space="preserve"> — 4.6. Modernizácia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zlepšenie odolnosti kľúčových hospodárskych odvetví – 16999_Obnova prístupnosti po ničivých účinkoch búrky „DANIEL“</w:t>
            </w:r>
          </w:p>
          <w:p w14:paraId="09779665" w14:textId="14CE17AB"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134" w:type="dxa"/>
            <w:tcBorders>
              <w:top w:val="single" w:sz="4" w:space="0" w:color="auto"/>
              <w:left w:val="nil"/>
              <w:bottom w:val="single" w:sz="4" w:space="0" w:color="auto"/>
              <w:right w:val="single" w:sz="4" w:space="0" w:color="auto"/>
            </w:tcBorders>
            <w:shd w:val="clear" w:color="auto" w:fill="C6EFCE"/>
          </w:tcPr>
          <w:p w14:paraId="4BD15DA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842" w:type="dxa"/>
            <w:tcBorders>
              <w:top w:val="single" w:sz="4" w:space="0" w:color="auto"/>
              <w:left w:val="nil"/>
              <w:bottom w:val="single" w:sz="4" w:space="0" w:color="auto"/>
              <w:right w:val="single" w:sz="4" w:space="0" w:color="auto"/>
            </w:tcBorders>
            <w:shd w:val="clear" w:color="auto" w:fill="C6EFCE"/>
          </w:tcPr>
          <w:p w14:paraId="3A03D6D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Dokončené projekty obnovy železníc</w:t>
            </w:r>
          </w:p>
          <w:p w14:paraId="4056E9C0"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2127" w:type="dxa"/>
            <w:tcBorders>
              <w:top w:val="single" w:sz="4" w:space="0" w:color="auto"/>
              <w:left w:val="nil"/>
              <w:bottom w:val="single" w:sz="4" w:space="0" w:color="auto"/>
              <w:right w:val="single" w:sz="4" w:space="0" w:color="auto"/>
            </w:tcBorders>
            <w:shd w:val="clear" w:color="auto" w:fill="C6EFCE"/>
          </w:tcPr>
          <w:p w14:paraId="61524231" w14:textId="136D4C9E"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Dokončenie prác</w:t>
            </w:r>
          </w:p>
          <w:p w14:paraId="2BC22AAB"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p w14:paraId="52EBA5EE"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2" w:type="dxa"/>
            <w:tcBorders>
              <w:top w:val="single" w:sz="4" w:space="0" w:color="auto"/>
              <w:left w:val="nil"/>
              <w:bottom w:val="single" w:sz="4" w:space="0" w:color="auto"/>
              <w:right w:val="single" w:sz="4" w:space="0" w:color="auto"/>
            </w:tcBorders>
            <w:shd w:val="clear" w:color="auto" w:fill="C6EFCE"/>
          </w:tcPr>
          <w:p w14:paraId="35498410"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single" w:sz="4" w:space="0" w:color="auto"/>
              <w:left w:val="nil"/>
              <w:bottom w:val="single" w:sz="4" w:space="0" w:color="auto"/>
              <w:right w:val="single" w:sz="4" w:space="0" w:color="auto"/>
            </w:tcBorders>
            <w:shd w:val="clear" w:color="auto" w:fill="C6EFCE"/>
          </w:tcPr>
          <w:p w14:paraId="605C232A"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4" w:type="dxa"/>
            <w:tcBorders>
              <w:top w:val="single" w:sz="4" w:space="0" w:color="auto"/>
              <w:left w:val="nil"/>
              <w:bottom w:val="single" w:sz="4" w:space="0" w:color="auto"/>
              <w:right w:val="single" w:sz="4" w:space="0" w:color="auto"/>
            </w:tcBorders>
            <w:shd w:val="clear" w:color="auto" w:fill="C6EFCE"/>
          </w:tcPr>
          <w:p w14:paraId="49BDFBCB"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6" w:type="dxa"/>
            <w:tcBorders>
              <w:top w:val="single" w:sz="4" w:space="0" w:color="auto"/>
              <w:left w:val="nil"/>
              <w:bottom w:val="single" w:sz="4" w:space="0" w:color="auto"/>
              <w:right w:val="single" w:sz="4" w:space="0" w:color="auto"/>
            </w:tcBorders>
            <w:shd w:val="clear" w:color="auto" w:fill="C6EFCE"/>
          </w:tcPr>
          <w:p w14:paraId="1871660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13" w:type="dxa"/>
            <w:tcBorders>
              <w:top w:val="single" w:sz="4" w:space="0" w:color="auto"/>
              <w:left w:val="nil"/>
              <w:bottom w:val="single" w:sz="4" w:space="0" w:color="auto"/>
              <w:right w:val="single" w:sz="4" w:space="0" w:color="auto"/>
            </w:tcBorders>
            <w:shd w:val="clear" w:color="auto" w:fill="C6EFCE"/>
          </w:tcPr>
          <w:p w14:paraId="5164C94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3402" w:type="dxa"/>
            <w:tcBorders>
              <w:top w:val="single" w:sz="4" w:space="0" w:color="auto"/>
              <w:left w:val="nil"/>
              <w:bottom w:val="single" w:sz="4" w:space="0" w:color="auto"/>
              <w:right w:val="single" w:sz="4" w:space="0" w:color="auto"/>
            </w:tcBorders>
            <w:shd w:val="clear" w:color="auto" w:fill="C6EFCE"/>
          </w:tcPr>
          <w:p w14:paraId="17A17CE4" w14:textId="4CCCA2CD" w:rsidR="00083739" w:rsidRPr="00083739" w:rsidRDefault="00BF4125">
            <w:pPr>
              <w:spacing w:after="0" w:line="240" w:lineRule="auto"/>
              <w:rPr>
                <w:rFonts w:ascii="Times New Roman" w:hAnsi="Times New Roman" w:cs="Times New Roman"/>
                <w:noProof/>
                <w:color w:val="006100"/>
                <w:sz w:val="18"/>
                <w:szCs w:val="18"/>
                <w:lang w:val="sk-SK"/>
              </w:rPr>
            </w:pPr>
            <w:r w:rsidRPr="00083739">
              <w:rPr>
                <w:rFonts w:ascii="Times New Roman" w:hAnsi="Times New Roman" w:cs="Times New Roman"/>
                <w:noProof/>
                <w:color w:val="006100"/>
                <w:sz w:val="18"/>
                <w:szCs w:val="18"/>
                <w:lang w:val="sk-SK"/>
              </w:rPr>
              <w:t>Dokončenie prác na obnove</w:t>
            </w:r>
            <w:r w:rsidR="00083739" w:rsidRPr="00083739">
              <w:rPr>
                <w:rFonts w:ascii="Times New Roman" w:hAnsi="Times New Roman" w:cs="Times New Roman"/>
                <w:noProof/>
                <w:color w:val="006100"/>
                <w:sz w:val="18"/>
                <w:szCs w:val="18"/>
                <w:lang w:val="sk-SK"/>
              </w:rPr>
              <w:t xml:space="preserve"> a </w:t>
            </w:r>
            <w:r w:rsidRPr="00083739">
              <w:rPr>
                <w:rFonts w:ascii="Times New Roman" w:hAnsi="Times New Roman" w:cs="Times New Roman"/>
                <w:noProof/>
                <w:color w:val="006100"/>
                <w:sz w:val="18"/>
                <w:szCs w:val="18"/>
                <w:lang w:val="sk-SK"/>
              </w:rPr>
              <w:t xml:space="preserve">odolnosti železničnej </w:t>
            </w:r>
            <w:r w:rsidRPr="00083739">
              <w:rPr>
                <w:rFonts w:ascii="Times New Roman" w:hAnsi="Times New Roman" w:cs="Times New Roman"/>
                <w:noProof/>
                <w:color w:val="006100"/>
                <w:sz w:val="18"/>
                <w:szCs w:val="18"/>
                <w:lang w:val="sk-SK"/>
              </w:rPr>
              <w:t>siete</w:t>
            </w:r>
            <w:r w:rsidR="00083739" w:rsidRPr="00083739">
              <w:rPr>
                <w:rFonts w:ascii="Times New Roman" w:eastAsiaTheme="minorEastAsia" w:hAnsi="Times New Roman" w:cs="Times New Roman"/>
                <w:noProof/>
                <w:color w:val="006100"/>
                <w:sz w:val="18"/>
                <w:szCs w:val="18"/>
                <w:lang w:val="sk-SK"/>
              </w:rPr>
              <w:t xml:space="preserve"> v </w:t>
            </w:r>
            <w:r w:rsidRPr="00083739">
              <w:rPr>
                <w:rFonts w:ascii="Times New Roman" w:hAnsi="Times New Roman" w:cs="Times New Roman"/>
                <w:noProof/>
                <w:color w:val="006100"/>
                <w:sz w:val="18"/>
                <w:szCs w:val="18"/>
                <w:lang w:val="sk-SK"/>
              </w:rPr>
              <w:t>oblastiach postihnutých búrkou „DANIEL“</w:t>
            </w:r>
            <w:r w:rsidR="00083739" w:rsidRPr="00083739">
              <w:rPr>
                <w:rFonts w:ascii="Times New Roman" w:hAnsi="Times New Roman" w:cs="Times New Roman"/>
                <w:noProof/>
                <w:color w:val="006100"/>
                <w:sz w:val="18"/>
                <w:szCs w:val="18"/>
                <w:lang w:val="sk-SK"/>
              </w:rPr>
              <w:t xml:space="preserve"> a </w:t>
            </w:r>
            <w:r w:rsidRPr="00083739">
              <w:rPr>
                <w:rFonts w:ascii="Times New Roman" w:hAnsi="Times New Roman" w:cs="Times New Roman"/>
                <w:noProof/>
                <w:color w:val="006100"/>
                <w:sz w:val="18"/>
                <w:szCs w:val="18"/>
                <w:lang w:val="sk-SK"/>
              </w:rPr>
              <w:t>konkrétne úsekov hlavnej osi Atény – Solún, Paleofarsalos – Kalambaka</w:t>
            </w:r>
            <w:r w:rsidR="00083739" w:rsidRPr="00083739">
              <w:rPr>
                <w:rFonts w:ascii="Times New Roman" w:hAnsi="Times New Roman" w:cs="Times New Roman"/>
                <w:noProof/>
                <w:sz w:val="24"/>
                <w:szCs w:val="24"/>
                <w:lang w:val="sk-SK"/>
              </w:rPr>
              <w:t xml:space="preserve"> a </w:t>
            </w:r>
            <w:r w:rsidRPr="00083739">
              <w:rPr>
                <w:rFonts w:ascii="Times New Roman" w:eastAsiaTheme="minorEastAsia" w:hAnsi="Times New Roman" w:cs="Times New Roman"/>
                <w:noProof/>
                <w:color w:val="006100"/>
                <w:sz w:val="18"/>
                <w:szCs w:val="18"/>
                <w:lang w:val="sk-SK"/>
              </w:rPr>
              <w:t>Pelion od Domokos po Krannona</w:t>
            </w:r>
            <w:r w:rsidR="00083739" w:rsidRPr="00083739">
              <w:rPr>
                <w:rFonts w:ascii="Times New Roman" w:hAnsi="Times New Roman" w:cs="Times New Roman"/>
                <w:noProof/>
                <w:color w:val="006100"/>
                <w:sz w:val="18"/>
                <w:szCs w:val="18"/>
                <w:lang w:val="sk-SK"/>
              </w:rPr>
              <w:t>.</w:t>
            </w:r>
          </w:p>
          <w:p w14:paraId="3D82E050" w14:textId="2FAD2CEF" w:rsidR="00083739" w:rsidRPr="00083739" w:rsidRDefault="00BF4125">
            <w:pPr>
              <w:pStyle w:val="P68B1DB1-Normal10"/>
              <w:spacing w:after="0" w:line="240" w:lineRule="auto"/>
              <w:rPr>
                <w:rFonts w:ascii="Times New Roman" w:hAnsi="Times New Roman" w:cs="Times New Roman"/>
                <w:noProof/>
                <w:lang w:val="sk-SK"/>
              </w:rPr>
            </w:pPr>
            <w:r w:rsidRPr="00083739">
              <w:rPr>
                <w:rFonts w:ascii="Times New Roman" w:hAnsi="Times New Roman" w:cs="Times New Roman"/>
                <w:noProof/>
                <w:lang w:val="sk-SK"/>
              </w:rPr>
              <w:t>Vypracovanie plánu obstarávania pre všetky sprievodné investície do bezpečnosti železníc</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pre </w:t>
            </w:r>
            <w:r w:rsidRPr="00083739">
              <w:rPr>
                <w:rFonts w:ascii="Times New Roman" w:hAnsi="Times New Roman" w:cs="Times New Roman"/>
                <w:noProof/>
                <w:lang w:val="sk-SK"/>
              </w:rPr>
              <w:t>pravidelnú údržbu</w:t>
            </w:r>
            <w:r w:rsidR="00083739" w:rsidRPr="00083739">
              <w:rPr>
                <w:rFonts w:ascii="Times New Roman" w:hAnsi="Times New Roman" w:cs="Times New Roman"/>
                <w:noProof/>
                <w:lang w:val="sk-SK"/>
              </w:rPr>
              <w:t>.</w:t>
            </w:r>
          </w:p>
          <w:p w14:paraId="1346EB32" w14:textId="2940FEFC" w:rsidR="002D49B0" w:rsidRPr="00083739" w:rsidRDefault="002D49B0">
            <w:pPr>
              <w:spacing w:after="0" w:line="240" w:lineRule="auto"/>
              <w:rPr>
                <w:rFonts w:ascii="Times New Roman" w:hAnsi="Times New Roman" w:cs="Times New Roman"/>
                <w:noProof/>
                <w:color w:val="006100"/>
                <w:sz w:val="18"/>
                <w:szCs w:val="18"/>
                <w:lang w:val="sk-SK"/>
              </w:rPr>
            </w:pPr>
          </w:p>
        </w:tc>
      </w:tr>
    </w:tbl>
    <w:p w14:paraId="46785806" w14:textId="77777777" w:rsidR="002D49B0" w:rsidRPr="00083739" w:rsidRDefault="002D49B0">
      <w:pPr>
        <w:spacing w:before="120" w:after="0" w:line="240" w:lineRule="auto"/>
        <w:jc w:val="both"/>
        <w:rPr>
          <w:rFonts w:ascii="Times New Roman" w:hAnsi="Times New Roman" w:cs="Times New Roman"/>
          <w:noProof/>
          <w:sz w:val="24"/>
          <w:szCs w:val="24"/>
          <w:lang w:val="sk-SK"/>
        </w:rPr>
      </w:pPr>
    </w:p>
    <w:p w14:paraId="11D5ACEF" w14:textId="77777777" w:rsidR="002D49B0" w:rsidRPr="00083739" w:rsidRDefault="00BF4125">
      <w:pPr>
        <w:pStyle w:val="P68B1DB1-Normal6"/>
        <w:keepNext/>
        <w:keepLines/>
        <w:spacing w:before="40" w:after="0" w:line="240" w:lineRule="auto"/>
        <w:jc w:val="both"/>
        <w:outlineLvl w:val="4"/>
        <w:rPr>
          <w:rFonts w:ascii="Times New Roman" w:eastAsia="Times New Roman" w:hAnsi="Times New Roman" w:cs="Times New Roman"/>
          <w:noProof/>
          <w:lang w:val="sk-SK"/>
        </w:rPr>
      </w:pPr>
      <w:r w:rsidRPr="00083739">
        <w:rPr>
          <w:rFonts w:ascii="Times New Roman" w:hAnsi="Times New Roman" w:cs="Times New Roman"/>
          <w:noProof/>
          <w:lang w:val="sk-SK"/>
        </w:rPr>
        <w:t>Skupina 25: Kultúra</w:t>
      </w:r>
    </w:p>
    <w:p w14:paraId="4D57FCA1" w14:textId="2AF84C68" w:rsidR="002D49B0" w:rsidRPr="00083739" w:rsidRDefault="00BF4125">
      <w:pPr>
        <w:pStyle w:val="P68B1DB1-Normal4"/>
        <w:numPr>
          <w:ilvl w:val="0"/>
          <w:numId w:val="31"/>
        </w:numPr>
        <w:spacing w:before="120" w:after="0" w:line="240" w:lineRule="auto"/>
        <w:jc w:val="both"/>
        <w:rPr>
          <w:rFonts w:cs="Times New Roman"/>
          <w:noProof/>
          <w:lang w:val="sk-SK"/>
        </w:rPr>
      </w:pPr>
      <w:r w:rsidRPr="00083739">
        <w:rPr>
          <w:rFonts w:cs="Times New Roman"/>
          <w:noProof/>
          <w:lang w:val="sk-SK"/>
        </w:rPr>
        <w:t>Reforma práce</w:t>
      </w:r>
      <w:r w:rsidR="00083739" w:rsidRPr="00083739">
        <w:rPr>
          <w:rFonts w:cs="Times New Roman"/>
          <w:noProof/>
          <w:lang w:val="sk-SK"/>
        </w:rPr>
        <w:t xml:space="preserve"> v </w:t>
      </w:r>
      <w:r w:rsidRPr="00083739">
        <w:rPr>
          <w:rFonts w:cs="Times New Roman"/>
          <w:noProof/>
          <w:lang w:val="sk-SK"/>
        </w:rPr>
        <w:t>kultúrnom sektore (ID:16715)</w:t>
      </w:r>
    </w:p>
    <w:p w14:paraId="438381FB" w14:textId="77777777" w:rsidR="002D49B0" w:rsidRPr="00083739" w:rsidRDefault="00BF4125">
      <w:pPr>
        <w:pStyle w:val="P68B1DB1-Normal4"/>
        <w:numPr>
          <w:ilvl w:val="0"/>
          <w:numId w:val="31"/>
        </w:numPr>
        <w:spacing w:before="120" w:after="0" w:line="240" w:lineRule="auto"/>
        <w:jc w:val="both"/>
        <w:rPr>
          <w:rFonts w:cs="Times New Roman"/>
          <w:noProof/>
          <w:lang w:val="sk-SK"/>
        </w:rPr>
      </w:pPr>
      <w:r w:rsidRPr="00083739">
        <w:rPr>
          <w:rFonts w:cs="Times New Roman"/>
          <w:noProof/>
          <w:lang w:val="sk-SK"/>
        </w:rPr>
        <w:t>Kultúra ako hnacia sila rastu (ID: 16293)</w:t>
      </w:r>
    </w:p>
    <w:p w14:paraId="271E5DB1" w14:textId="77777777" w:rsidR="002D49B0" w:rsidRPr="00083739" w:rsidRDefault="00BF4125">
      <w:pPr>
        <w:pStyle w:val="P68B1DB1-Normal4"/>
        <w:numPr>
          <w:ilvl w:val="0"/>
          <w:numId w:val="31"/>
        </w:numPr>
        <w:spacing w:before="120" w:after="0" w:line="240" w:lineRule="auto"/>
        <w:jc w:val="both"/>
        <w:rPr>
          <w:rFonts w:cs="Times New Roman"/>
          <w:noProof/>
          <w:lang w:val="sk-SK"/>
        </w:rPr>
      </w:pPr>
      <w:r w:rsidRPr="00083739">
        <w:rPr>
          <w:rFonts w:cs="Times New Roman"/>
          <w:noProof/>
          <w:lang w:val="sk-SK"/>
        </w:rPr>
        <w:t>Múzeum podmorských starožitností (ID: 16486)</w:t>
      </w:r>
    </w:p>
    <w:p w14:paraId="52FD0B2B" w14:textId="507285B7" w:rsidR="002D49B0" w:rsidRPr="00083739" w:rsidRDefault="00BF4125">
      <w:pPr>
        <w:pStyle w:val="P68B1DB1-Normal4"/>
        <w:numPr>
          <w:ilvl w:val="0"/>
          <w:numId w:val="31"/>
        </w:numPr>
        <w:spacing w:before="120" w:after="0" w:line="240" w:lineRule="auto"/>
        <w:jc w:val="both"/>
        <w:rPr>
          <w:rFonts w:cs="Times New Roman"/>
          <w:noProof/>
          <w:lang w:val="sk-SK"/>
        </w:rPr>
      </w:pPr>
      <w:r w:rsidRPr="00083739">
        <w:rPr>
          <w:rFonts w:cs="Times New Roman"/>
          <w:noProof/>
          <w:lang w:val="sk-SK"/>
        </w:rPr>
        <w:t>Využívanie „učení</w:t>
      </w:r>
      <w:r w:rsidR="00083739" w:rsidRPr="00083739">
        <w:rPr>
          <w:rFonts w:cs="Times New Roman"/>
          <w:noProof/>
          <w:lang w:val="sk-SK"/>
        </w:rPr>
        <w:t xml:space="preserve"> o </w:t>
      </w:r>
      <w:r w:rsidRPr="00083739">
        <w:rPr>
          <w:rFonts w:cs="Times New Roman"/>
          <w:noProof/>
          <w:lang w:val="sk-SK"/>
        </w:rPr>
        <w:t>predpisovaní“, podpora sociálnej súdržnosti</w:t>
      </w:r>
      <w:r w:rsidR="00083739" w:rsidRPr="00083739">
        <w:rPr>
          <w:rFonts w:cs="Times New Roman"/>
          <w:noProof/>
          <w:lang w:val="sk-SK"/>
        </w:rPr>
        <w:t xml:space="preserve"> a </w:t>
      </w:r>
      <w:r w:rsidRPr="00083739">
        <w:rPr>
          <w:rFonts w:cs="Times New Roman"/>
          <w:noProof/>
          <w:lang w:val="sk-SK"/>
        </w:rPr>
        <w:t xml:space="preserve">využívanie </w:t>
      </w:r>
      <w:r w:rsidRPr="00083739">
        <w:rPr>
          <w:rFonts w:cs="Times New Roman"/>
          <w:noProof/>
          <w:lang w:val="sk-SK"/>
        </w:rPr>
        <w:t>striebornej ekonomiky (ID: 16735)</w:t>
      </w:r>
    </w:p>
    <w:p w14:paraId="50A24F7B" w14:textId="655689A8" w:rsidR="002D49B0" w:rsidRPr="00083739" w:rsidRDefault="00BF4125">
      <w:pPr>
        <w:pStyle w:val="P68B1DB1-Normal4"/>
        <w:numPr>
          <w:ilvl w:val="0"/>
          <w:numId w:val="31"/>
        </w:numPr>
        <w:spacing w:before="120" w:after="0" w:line="240" w:lineRule="auto"/>
        <w:jc w:val="both"/>
        <w:rPr>
          <w:rFonts w:cs="Times New Roman"/>
          <w:noProof/>
          <w:lang w:val="sk-SK"/>
        </w:rPr>
      </w:pPr>
      <w:r w:rsidRPr="00083739">
        <w:rPr>
          <w:rFonts w:cs="Times New Roman"/>
          <w:noProof/>
          <w:lang w:val="sk-SK"/>
        </w:rPr>
        <w:t>Modernizácia infraštruktúry, obnova vybavenia</w:t>
      </w:r>
      <w:r w:rsidR="00083739" w:rsidRPr="00083739">
        <w:rPr>
          <w:rFonts w:cs="Times New Roman"/>
          <w:noProof/>
          <w:lang w:val="sk-SK"/>
        </w:rPr>
        <w:t xml:space="preserve"> a </w:t>
      </w:r>
      <w:r w:rsidRPr="00083739">
        <w:rPr>
          <w:rFonts w:cs="Times New Roman"/>
          <w:noProof/>
          <w:lang w:val="sk-SK"/>
        </w:rPr>
        <w:t>modernizácia kvality služieb, ktoré poskytuje HOCRED (ID: 16536)</w:t>
      </w:r>
    </w:p>
    <w:p w14:paraId="7DCFF9DF" w14:textId="4A014446" w:rsidR="002D49B0" w:rsidRPr="00083739" w:rsidRDefault="00BF4125">
      <w:pPr>
        <w:pStyle w:val="P68B1DB1-Normal4"/>
        <w:numPr>
          <w:ilvl w:val="0"/>
          <w:numId w:val="31"/>
        </w:numPr>
        <w:spacing w:before="120" w:after="0" w:line="240" w:lineRule="auto"/>
        <w:jc w:val="both"/>
        <w:rPr>
          <w:rFonts w:cs="Times New Roman"/>
          <w:noProof/>
          <w:lang w:val="sk-SK"/>
        </w:rPr>
      </w:pPr>
      <w:r w:rsidRPr="00083739">
        <w:rPr>
          <w:rFonts w:cs="Times New Roman"/>
          <w:noProof/>
          <w:lang w:val="sk-SK"/>
        </w:rPr>
        <w:t>Ochrana kultúrnych pamiatok</w:t>
      </w:r>
      <w:r w:rsidR="00083739" w:rsidRPr="00083739">
        <w:rPr>
          <w:rFonts w:cs="Times New Roman"/>
          <w:noProof/>
          <w:lang w:val="sk-SK"/>
        </w:rPr>
        <w:t xml:space="preserve"> a </w:t>
      </w:r>
      <w:r w:rsidRPr="00083739">
        <w:rPr>
          <w:rFonts w:cs="Times New Roman"/>
          <w:noProof/>
          <w:lang w:val="sk-SK"/>
        </w:rPr>
        <w:t>archeologických nálezísk pred zmenou klímy (2. skupina) (ID: 16433)</w:t>
      </w:r>
    </w:p>
    <w:p w14:paraId="2EB1D833" w14:textId="77777777" w:rsidR="002D49B0" w:rsidRPr="00083739" w:rsidRDefault="00BF4125">
      <w:pPr>
        <w:pStyle w:val="P68B1DB1-Normal4"/>
        <w:numPr>
          <w:ilvl w:val="0"/>
          <w:numId w:val="31"/>
        </w:numPr>
        <w:spacing w:before="120" w:after="0" w:line="240" w:lineRule="auto"/>
        <w:jc w:val="both"/>
        <w:rPr>
          <w:rFonts w:cs="Times New Roman"/>
          <w:noProof/>
          <w:lang w:val="sk-SK"/>
        </w:rPr>
      </w:pPr>
      <w:r w:rsidRPr="00083739">
        <w:rPr>
          <w:rFonts w:cs="Times New Roman"/>
          <w:noProof/>
          <w:lang w:val="sk-SK"/>
        </w:rPr>
        <w:t>Modernizáci</w:t>
      </w:r>
      <w:r w:rsidRPr="00083739">
        <w:rPr>
          <w:rFonts w:cs="Times New Roman"/>
          <w:noProof/>
          <w:lang w:val="sk-SK"/>
        </w:rPr>
        <w:t>a vysokoškolského umeleckého vzdelávania (ID: 16725)</w:t>
      </w:r>
    </w:p>
    <w:p w14:paraId="77BFDD7D" w14:textId="32D023A8" w:rsidR="002D49B0" w:rsidRPr="00083739" w:rsidRDefault="00BF4125">
      <w:pPr>
        <w:pStyle w:val="P68B1DB1-Normal4"/>
        <w:numPr>
          <w:ilvl w:val="0"/>
          <w:numId w:val="31"/>
        </w:numPr>
        <w:spacing w:before="120" w:after="0" w:line="240" w:lineRule="auto"/>
        <w:jc w:val="both"/>
        <w:rPr>
          <w:rFonts w:cs="Times New Roman"/>
          <w:noProof/>
          <w:lang w:val="sk-SK"/>
        </w:rPr>
      </w:pPr>
      <w:r w:rsidRPr="00083739">
        <w:rPr>
          <w:rFonts w:cs="Times New Roman"/>
          <w:noProof/>
          <w:lang w:val="sk-SK"/>
        </w:rPr>
        <w:t>Kultúrne trasy na emblematických archeologických miestach</w:t>
      </w:r>
      <w:r w:rsidR="00083739" w:rsidRPr="00083739">
        <w:rPr>
          <w:rFonts w:cs="Times New Roman"/>
          <w:noProof/>
          <w:lang w:val="sk-SK"/>
        </w:rPr>
        <w:t xml:space="preserve"> a </w:t>
      </w:r>
      <w:r w:rsidRPr="00083739">
        <w:rPr>
          <w:rFonts w:cs="Times New Roman"/>
          <w:noProof/>
          <w:lang w:val="sk-SK"/>
        </w:rPr>
        <w:t>pamiatkach (ID: 16485)</w:t>
      </w:r>
    </w:p>
    <w:p w14:paraId="16A0F0C2" w14:textId="77777777" w:rsidR="002D49B0" w:rsidRPr="00083739" w:rsidRDefault="00BF4125">
      <w:pPr>
        <w:pStyle w:val="P68B1DB1-Normal4"/>
        <w:numPr>
          <w:ilvl w:val="0"/>
          <w:numId w:val="31"/>
        </w:numPr>
        <w:spacing w:before="120" w:after="0" w:line="240" w:lineRule="auto"/>
        <w:jc w:val="both"/>
        <w:rPr>
          <w:rFonts w:cs="Times New Roman"/>
          <w:noProof/>
          <w:lang w:val="sk-SK"/>
        </w:rPr>
      </w:pPr>
      <w:r w:rsidRPr="00083739">
        <w:rPr>
          <w:rFonts w:cs="Times New Roman"/>
          <w:noProof/>
          <w:lang w:val="sk-SK"/>
        </w:rPr>
        <w:t>Obnova – zachovanie – Posilnenie pamiatok akropolisu (ID: 16435)</w:t>
      </w:r>
    </w:p>
    <w:p w14:paraId="37410F21" w14:textId="77777777" w:rsidR="002D49B0" w:rsidRPr="00083739" w:rsidRDefault="002D49B0">
      <w:pPr>
        <w:spacing w:before="120" w:after="0" w:line="240" w:lineRule="auto"/>
        <w:jc w:val="both"/>
        <w:rPr>
          <w:rFonts w:ascii="Times New Roman" w:hAnsi="Times New Roman" w:cs="Times New Roman"/>
          <w:noProof/>
          <w:sz w:val="24"/>
          <w:lang w:val="sk-SK"/>
        </w:rPr>
      </w:pPr>
    </w:p>
    <w:tbl>
      <w:tblPr>
        <w:tblW w:w="15871" w:type="dxa"/>
        <w:jc w:val="center"/>
        <w:tblLook w:val="04A0" w:firstRow="1" w:lastRow="0" w:firstColumn="1" w:lastColumn="0" w:noHBand="0" w:noVBand="1"/>
      </w:tblPr>
      <w:tblGrid>
        <w:gridCol w:w="1027"/>
        <w:gridCol w:w="1726"/>
        <w:gridCol w:w="1115"/>
        <w:gridCol w:w="1457"/>
        <w:gridCol w:w="2035"/>
        <w:gridCol w:w="1397"/>
        <w:gridCol w:w="1058"/>
        <w:gridCol w:w="992"/>
        <w:gridCol w:w="1167"/>
        <w:gridCol w:w="851"/>
        <w:gridCol w:w="3950"/>
      </w:tblGrid>
      <w:tr w:rsidR="002D49B0" w:rsidRPr="00083739" w14:paraId="27D7AC8F" w14:textId="77777777">
        <w:trPr>
          <w:trHeight w:val="615"/>
          <w:tblHeader/>
          <w:jc w:val="center"/>
        </w:trPr>
        <w:tc>
          <w:tcPr>
            <w:tcW w:w="102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5EE37DC"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Poradové číslo</w:t>
            </w:r>
          </w:p>
        </w:tc>
        <w:tc>
          <w:tcPr>
            <w:tcW w:w="161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EE1C8B7"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Súvisiace opatrenie (reforma alebo inve</w:t>
            </w:r>
            <w:r w:rsidRPr="00083739">
              <w:rPr>
                <w:rFonts w:cs="Times New Roman"/>
                <w:noProof/>
                <w:lang w:val="sk-SK"/>
              </w:rPr>
              <w:t>stícia)</w:t>
            </w:r>
          </w:p>
        </w:tc>
        <w:tc>
          <w:tcPr>
            <w:tcW w:w="100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6DDED7F"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Míľnik/cieľ</w:t>
            </w:r>
          </w:p>
        </w:tc>
        <w:tc>
          <w:tcPr>
            <w:tcW w:w="129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AECF2E3"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Názov</w:t>
            </w:r>
          </w:p>
        </w:tc>
        <w:tc>
          <w:tcPr>
            <w:tcW w:w="154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F2EA875"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Kvalitatívne ukazovatele (pre míľniky)</w:t>
            </w:r>
          </w:p>
        </w:tc>
        <w:tc>
          <w:tcPr>
            <w:tcW w:w="3447" w:type="dxa"/>
            <w:gridSpan w:val="3"/>
            <w:tcBorders>
              <w:top w:val="single" w:sz="4" w:space="0" w:color="auto"/>
              <w:left w:val="single" w:sz="4" w:space="0" w:color="auto"/>
              <w:bottom w:val="single" w:sz="4" w:space="0" w:color="auto"/>
              <w:right w:val="single" w:sz="4" w:space="0" w:color="auto"/>
            </w:tcBorders>
            <w:shd w:val="clear" w:color="auto" w:fill="BDD7EE"/>
            <w:vAlign w:val="center"/>
            <w:hideMark/>
          </w:tcPr>
          <w:p w14:paraId="1C0180F9"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Kvantitatívne ukazovatele (pre ciele)</w:t>
            </w:r>
          </w:p>
        </w:tc>
        <w:tc>
          <w:tcPr>
            <w:tcW w:w="1985" w:type="dxa"/>
            <w:gridSpan w:val="2"/>
            <w:tcBorders>
              <w:top w:val="single" w:sz="4" w:space="0" w:color="auto"/>
              <w:left w:val="nil"/>
              <w:bottom w:val="single" w:sz="4" w:space="0" w:color="auto"/>
              <w:right w:val="single" w:sz="4" w:space="0" w:color="auto"/>
            </w:tcBorders>
            <w:shd w:val="clear" w:color="auto" w:fill="BDD7EE"/>
            <w:vAlign w:val="center"/>
            <w:hideMark/>
          </w:tcPr>
          <w:p w14:paraId="00BD9C97"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 xml:space="preserve">Orientačný harmonogram dokončenia </w:t>
            </w:r>
          </w:p>
        </w:tc>
        <w:tc>
          <w:tcPr>
            <w:tcW w:w="395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52CEEF4" w14:textId="493EC485"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Opis každého míľnika</w:t>
            </w:r>
            <w:r w:rsidR="00083739" w:rsidRPr="00083739">
              <w:rPr>
                <w:rFonts w:cs="Times New Roman"/>
                <w:noProof/>
                <w:lang w:val="sk-SK"/>
              </w:rPr>
              <w:t xml:space="preserve"> a </w:t>
            </w:r>
            <w:r w:rsidRPr="00083739">
              <w:rPr>
                <w:rFonts w:cs="Times New Roman"/>
                <w:noProof/>
                <w:lang w:val="sk-SK"/>
              </w:rPr>
              <w:t>cieľa</w:t>
            </w:r>
          </w:p>
        </w:tc>
      </w:tr>
      <w:tr w:rsidR="002D49B0" w:rsidRPr="00083739" w14:paraId="2CB459D7" w14:textId="77777777">
        <w:trPr>
          <w:trHeight w:val="516"/>
          <w:tblHeader/>
          <w:jc w:val="center"/>
        </w:trPr>
        <w:tc>
          <w:tcPr>
            <w:tcW w:w="1027" w:type="dxa"/>
            <w:vMerge/>
            <w:tcBorders>
              <w:top w:val="single" w:sz="4" w:space="0" w:color="auto"/>
              <w:left w:val="single" w:sz="4" w:space="0" w:color="auto"/>
              <w:bottom w:val="single" w:sz="4" w:space="0" w:color="auto"/>
              <w:right w:val="single" w:sz="4" w:space="0" w:color="auto"/>
            </w:tcBorders>
            <w:vAlign w:val="center"/>
            <w:hideMark/>
          </w:tcPr>
          <w:p w14:paraId="1803A57A"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615" w:type="dxa"/>
            <w:vMerge/>
            <w:tcBorders>
              <w:top w:val="single" w:sz="4" w:space="0" w:color="auto"/>
              <w:left w:val="single" w:sz="4" w:space="0" w:color="auto"/>
              <w:bottom w:val="single" w:sz="4" w:space="0" w:color="auto"/>
              <w:right w:val="single" w:sz="4" w:space="0" w:color="auto"/>
            </w:tcBorders>
            <w:vAlign w:val="center"/>
            <w:hideMark/>
          </w:tcPr>
          <w:p w14:paraId="5EF0045C"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008" w:type="dxa"/>
            <w:vMerge/>
            <w:tcBorders>
              <w:top w:val="single" w:sz="4" w:space="0" w:color="auto"/>
              <w:left w:val="single" w:sz="4" w:space="0" w:color="auto"/>
              <w:bottom w:val="single" w:sz="4" w:space="0" w:color="auto"/>
              <w:right w:val="single" w:sz="4" w:space="0" w:color="auto"/>
            </w:tcBorders>
            <w:vAlign w:val="center"/>
            <w:hideMark/>
          </w:tcPr>
          <w:p w14:paraId="38E4271C"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290" w:type="dxa"/>
            <w:vMerge/>
            <w:tcBorders>
              <w:top w:val="single" w:sz="4" w:space="0" w:color="auto"/>
              <w:left w:val="single" w:sz="4" w:space="0" w:color="auto"/>
              <w:bottom w:val="single" w:sz="4" w:space="0" w:color="auto"/>
              <w:right w:val="single" w:sz="4" w:space="0" w:color="auto"/>
            </w:tcBorders>
            <w:vAlign w:val="center"/>
            <w:hideMark/>
          </w:tcPr>
          <w:p w14:paraId="23BD2BB3"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549" w:type="dxa"/>
            <w:vMerge/>
            <w:tcBorders>
              <w:top w:val="single" w:sz="4" w:space="0" w:color="auto"/>
              <w:left w:val="single" w:sz="4" w:space="0" w:color="auto"/>
              <w:bottom w:val="single" w:sz="4" w:space="0" w:color="auto"/>
              <w:right w:val="single" w:sz="4" w:space="0" w:color="auto"/>
            </w:tcBorders>
            <w:vAlign w:val="center"/>
            <w:hideMark/>
          </w:tcPr>
          <w:p w14:paraId="2B42334B"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397"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25B67FBE"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Merná jednotka</w:t>
            </w:r>
          </w:p>
        </w:tc>
        <w:tc>
          <w:tcPr>
            <w:tcW w:w="1058"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654F580A"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 xml:space="preserve">Základná </w:t>
            </w:r>
          </w:p>
        </w:tc>
        <w:tc>
          <w:tcPr>
            <w:tcW w:w="992"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2FF1646E"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 xml:space="preserve">Cieľ </w:t>
            </w:r>
          </w:p>
        </w:tc>
        <w:tc>
          <w:tcPr>
            <w:tcW w:w="1134"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5AA69FE8"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Štvrtina</w:t>
            </w:r>
          </w:p>
        </w:tc>
        <w:tc>
          <w:tcPr>
            <w:tcW w:w="851"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45518037"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Rok</w:t>
            </w:r>
          </w:p>
        </w:tc>
        <w:tc>
          <w:tcPr>
            <w:tcW w:w="3950" w:type="dxa"/>
            <w:vMerge/>
            <w:tcBorders>
              <w:top w:val="single" w:sz="4" w:space="0" w:color="auto"/>
              <w:left w:val="single" w:sz="4" w:space="0" w:color="auto"/>
              <w:bottom w:val="single" w:sz="4" w:space="0" w:color="auto"/>
              <w:right w:val="single" w:sz="4" w:space="0" w:color="auto"/>
            </w:tcBorders>
            <w:vAlign w:val="center"/>
            <w:hideMark/>
          </w:tcPr>
          <w:p w14:paraId="62B09E43"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r>
      <w:tr w:rsidR="002D49B0" w:rsidRPr="00083739" w14:paraId="199CE1B8" w14:textId="77777777">
        <w:trPr>
          <w:trHeight w:val="313"/>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1DE75D5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278</w:t>
            </w:r>
          </w:p>
        </w:tc>
        <w:tc>
          <w:tcPr>
            <w:tcW w:w="1615" w:type="dxa"/>
            <w:tcBorders>
              <w:top w:val="single" w:sz="4" w:space="0" w:color="auto"/>
              <w:left w:val="nil"/>
              <w:bottom w:val="single" w:sz="4" w:space="0" w:color="auto"/>
              <w:right w:val="single" w:sz="4" w:space="0" w:color="auto"/>
            </w:tcBorders>
            <w:shd w:val="clear" w:color="auto" w:fill="C6EFCE"/>
            <w:noWrap/>
          </w:tcPr>
          <w:p w14:paraId="4FF53424" w14:textId="68C9DAA6"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17 – 4.6. Modernizácia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zlepšenie odolnosti kľúčových hospodárskych odvetví – 16715_Reforma laboratória</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kultúrnom sektore</w:t>
            </w:r>
          </w:p>
        </w:tc>
        <w:tc>
          <w:tcPr>
            <w:tcW w:w="1008" w:type="dxa"/>
            <w:tcBorders>
              <w:top w:val="single" w:sz="4" w:space="0" w:color="auto"/>
              <w:left w:val="nil"/>
              <w:bottom w:val="single" w:sz="4" w:space="0" w:color="auto"/>
              <w:right w:val="single" w:sz="4" w:space="0" w:color="auto"/>
            </w:tcBorders>
            <w:shd w:val="clear" w:color="auto" w:fill="C6EFCE"/>
            <w:noWrap/>
          </w:tcPr>
          <w:p w14:paraId="0CDE18E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290" w:type="dxa"/>
            <w:tcBorders>
              <w:top w:val="single" w:sz="4" w:space="0" w:color="auto"/>
              <w:left w:val="nil"/>
              <w:bottom w:val="single" w:sz="4" w:space="0" w:color="auto"/>
              <w:right w:val="single" w:sz="4" w:space="0" w:color="auto"/>
            </w:tcBorders>
            <w:shd w:val="clear" w:color="auto" w:fill="C6EFCE"/>
            <w:noWrap/>
          </w:tcPr>
          <w:p w14:paraId="3F6D345F" w14:textId="20401079"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Právne predpisy týkajúce sa reformy práce</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kultúrnom sektore</w:t>
            </w:r>
          </w:p>
        </w:tc>
        <w:tc>
          <w:tcPr>
            <w:tcW w:w="1549" w:type="dxa"/>
            <w:tcBorders>
              <w:top w:val="single" w:sz="4" w:space="0" w:color="auto"/>
              <w:left w:val="nil"/>
              <w:bottom w:val="single" w:sz="4" w:space="0" w:color="auto"/>
              <w:right w:val="single" w:sz="4" w:space="0" w:color="auto"/>
            </w:tcBorders>
            <w:shd w:val="clear" w:color="auto" w:fill="C6EFCE"/>
            <w:noWrap/>
          </w:tcPr>
          <w:p w14:paraId="5B7F0909" w14:textId="200EE8EA"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právnych predpisov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sekundárnych právnych predpisov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vytvorenie systému na dôveryhodné hodnotenie postavenia „profesionála</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tvorivosti alebo kultúry“</w:t>
            </w:r>
          </w:p>
        </w:tc>
        <w:tc>
          <w:tcPr>
            <w:tcW w:w="1397" w:type="dxa"/>
            <w:tcBorders>
              <w:top w:val="single" w:sz="4" w:space="0" w:color="auto"/>
              <w:left w:val="nil"/>
              <w:bottom w:val="single" w:sz="4" w:space="0" w:color="auto"/>
              <w:right w:val="single" w:sz="4" w:space="0" w:color="auto"/>
            </w:tcBorders>
            <w:shd w:val="clear" w:color="auto" w:fill="C6EFCE"/>
            <w:noWrap/>
          </w:tcPr>
          <w:p w14:paraId="338A8705"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58" w:type="dxa"/>
            <w:tcBorders>
              <w:top w:val="single" w:sz="4" w:space="0" w:color="auto"/>
              <w:left w:val="nil"/>
              <w:bottom w:val="single" w:sz="4" w:space="0" w:color="auto"/>
              <w:right w:val="single" w:sz="4" w:space="0" w:color="auto"/>
            </w:tcBorders>
            <w:shd w:val="clear" w:color="auto" w:fill="C6EFCE"/>
            <w:noWrap/>
          </w:tcPr>
          <w:p w14:paraId="646AA21B"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2" w:type="dxa"/>
            <w:tcBorders>
              <w:top w:val="single" w:sz="4" w:space="0" w:color="auto"/>
              <w:left w:val="nil"/>
              <w:bottom w:val="single" w:sz="4" w:space="0" w:color="auto"/>
              <w:right w:val="single" w:sz="4" w:space="0" w:color="auto"/>
            </w:tcBorders>
            <w:shd w:val="clear" w:color="auto" w:fill="C6EFCE"/>
            <w:noWrap/>
          </w:tcPr>
          <w:p w14:paraId="69D9D719"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134" w:type="dxa"/>
            <w:tcBorders>
              <w:top w:val="single" w:sz="4" w:space="0" w:color="auto"/>
              <w:left w:val="nil"/>
              <w:bottom w:val="single" w:sz="4" w:space="0" w:color="auto"/>
              <w:right w:val="single" w:sz="4" w:space="0" w:color="auto"/>
            </w:tcBorders>
            <w:shd w:val="clear" w:color="auto" w:fill="C6EFCE"/>
            <w:noWrap/>
          </w:tcPr>
          <w:p w14:paraId="651DCC7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TRETÍ ŠTVRŤROK</w:t>
            </w:r>
          </w:p>
        </w:tc>
        <w:tc>
          <w:tcPr>
            <w:tcW w:w="851" w:type="dxa"/>
            <w:tcBorders>
              <w:top w:val="single" w:sz="4" w:space="0" w:color="auto"/>
              <w:left w:val="nil"/>
              <w:bottom w:val="single" w:sz="4" w:space="0" w:color="auto"/>
              <w:right w:val="single" w:sz="4" w:space="0" w:color="auto"/>
            </w:tcBorders>
            <w:shd w:val="clear" w:color="auto" w:fill="C6EFCE"/>
            <w:noWrap/>
          </w:tcPr>
          <w:p w14:paraId="433B0BF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2022</w:t>
            </w:r>
          </w:p>
        </w:tc>
        <w:tc>
          <w:tcPr>
            <w:tcW w:w="3950" w:type="dxa"/>
            <w:tcBorders>
              <w:top w:val="single" w:sz="4" w:space="0" w:color="auto"/>
              <w:left w:val="nil"/>
              <w:bottom w:val="single" w:sz="4" w:space="0" w:color="auto"/>
              <w:right w:val="single" w:sz="4" w:space="0" w:color="auto"/>
            </w:tcBorders>
            <w:shd w:val="clear" w:color="auto" w:fill="C6EFCE"/>
            <w:noWrap/>
          </w:tcPr>
          <w:p w14:paraId="4B47B94F" w14:textId="30C7C9EA"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právnych predpisov týkajúcich sa reformy práce</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odvetví kultúry vrátane vymedzenia postavenia „profesio</w:t>
            </w:r>
            <w:r w:rsidRPr="00083739">
              <w:rPr>
                <w:rFonts w:ascii="Times New Roman" w:hAnsi="Times New Roman" w:cs="Times New Roman"/>
                <w:noProof/>
                <w:lang w:val="sk-SK"/>
              </w:rPr>
              <w:t>nálov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tvorivosti alebo kultúry“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primeraných daňových stimulov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stimulov sociálneho zabezpečenia.</w:t>
            </w:r>
          </w:p>
        </w:tc>
      </w:tr>
      <w:tr w:rsidR="002D49B0" w:rsidRPr="00083739" w14:paraId="3585EB1E" w14:textId="77777777">
        <w:trPr>
          <w:trHeight w:val="313"/>
          <w:jc w:val="center"/>
        </w:trPr>
        <w:tc>
          <w:tcPr>
            <w:tcW w:w="1027" w:type="dxa"/>
            <w:tcBorders>
              <w:top w:val="nil"/>
              <w:left w:val="single" w:sz="4" w:space="0" w:color="auto"/>
              <w:bottom w:val="single" w:sz="4" w:space="0" w:color="auto"/>
              <w:right w:val="single" w:sz="4" w:space="0" w:color="auto"/>
            </w:tcBorders>
            <w:shd w:val="clear" w:color="auto" w:fill="C6EFCE"/>
            <w:noWrap/>
          </w:tcPr>
          <w:p w14:paraId="328C1767" w14:textId="77777777"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279</w:t>
            </w:r>
          </w:p>
        </w:tc>
        <w:tc>
          <w:tcPr>
            <w:tcW w:w="1615" w:type="dxa"/>
            <w:tcBorders>
              <w:top w:val="nil"/>
              <w:left w:val="nil"/>
              <w:bottom w:val="single" w:sz="4" w:space="0" w:color="auto"/>
              <w:right w:val="single" w:sz="4" w:space="0" w:color="auto"/>
            </w:tcBorders>
            <w:shd w:val="clear" w:color="auto" w:fill="C6EFCE"/>
            <w:noWrap/>
          </w:tcPr>
          <w:p w14:paraId="436A8FCD" w14:textId="587F8CF0"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17 – 4.6. Modernizácia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zlepšenie odolnosti kľúčových hospodárskych odvetví – 16486_Museum podmorských starožitností</w:t>
            </w:r>
          </w:p>
        </w:tc>
        <w:tc>
          <w:tcPr>
            <w:tcW w:w="1008" w:type="dxa"/>
            <w:tcBorders>
              <w:top w:val="nil"/>
              <w:left w:val="nil"/>
              <w:bottom w:val="single" w:sz="4" w:space="0" w:color="auto"/>
              <w:right w:val="single" w:sz="4" w:space="0" w:color="auto"/>
            </w:tcBorders>
            <w:shd w:val="clear" w:color="auto" w:fill="C6EFCE"/>
            <w:noWrap/>
          </w:tcPr>
          <w:p w14:paraId="6A1B8CF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290" w:type="dxa"/>
            <w:tcBorders>
              <w:top w:val="nil"/>
              <w:left w:val="nil"/>
              <w:bottom w:val="single" w:sz="4" w:space="0" w:color="auto"/>
              <w:right w:val="single" w:sz="4" w:space="0" w:color="auto"/>
            </w:tcBorders>
            <w:shd w:val="clear" w:color="auto" w:fill="C6EFCE"/>
            <w:noWrap/>
          </w:tcPr>
          <w:p w14:paraId="3DFB528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Zadanie zákazky </w:t>
            </w:r>
            <w:r w:rsidRPr="00083739">
              <w:rPr>
                <w:rFonts w:ascii="Times New Roman" w:hAnsi="Times New Roman" w:cs="Times New Roman"/>
                <w:noProof/>
                <w:lang w:val="sk-SK"/>
              </w:rPr>
              <w:t>na múzeum podmorských starožitností</w:t>
            </w:r>
          </w:p>
        </w:tc>
        <w:tc>
          <w:tcPr>
            <w:tcW w:w="1549" w:type="dxa"/>
            <w:tcBorders>
              <w:top w:val="nil"/>
              <w:left w:val="nil"/>
              <w:bottom w:val="single" w:sz="4" w:space="0" w:color="auto"/>
              <w:right w:val="single" w:sz="4" w:space="0" w:color="auto"/>
            </w:tcBorders>
            <w:shd w:val="clear" w:color="auto" w:fill="C6EFCE"/>
            <w:noWrap/>
          </w:tcPr>
          <w:p w14:paraId="6D9A7988" w14:textId="090EBF1A"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szCs w:val="18"/>
                <w:lang w:val="sk-SK"/>
              </w:rPr>
              <w:t>Oznámenie</w:t>
            </w:r>
            <w:r w:rsidR="00083739" w:rsidRPr="00083739">
              <w:rPr>
                <w:rFonts w:ascii="Times New Roman" w:hAnsi="Times New Roman" w:cs="Times New Roman"/>
                <w:noProof/>
                <w:szCs w:val="18"/>
                <w:lang w:val="sk-SK"/>
              </w:rPr>
              <w:t xml:space="preserve"> o </w:t>
            </w:r>
            <w:r w:rsidRPr="00083739">
              <w:rPr>
                <w:rFonts w:ascii="Times New Roman" w:hAnsi="Times New Roman" w:cs="Times New Roman"/>
                <w:noProof/>
                <w:szCs w:val="18"/>
                <w:lang w:val="sk-SK"/>
              </w:rPr>
              <w:t>zadaní zákazky pre múzeum podmorských starožitností</w:t>
            </w:r>
            <w:r w:rsidRPr="00083739">
              <w:rPr>
                <w:rFonts w:ascii="Times New Roman" w:hAnsi="Times New Roman" w:cs="Times New Roman"/>
                <w:noProof/>
                <w:lang w:val="sk-SK"/>
              </w:rPr>
              <w:t xml:space="preserve">a </w:t>
            </w:r>
            <w:r w:rsidRPr="00083739">
              <w:rPr>
                <w:rFonts w:ascii="Times New Roman" w:eastAsiaTheme="minorEastAsia" w:hAnsi="Times New Roman" w:cs="Times New Roman"/>
                <w:noProof/>
                <w:szCs w:val="18"/>
                <w:lang w:val="sk-SK"/>
              </w:rPr>
              <w:t xml:space="preserve"> technické</w:t>
            </w:r>
            <w:r w:rsidRPr="00083739">
              <w:rPr>
                <w:rFonts w:ascii="Times New Roman" w:hAnsi="Times New Roman" w:cs="Times New Roman"/>
                <w:noProof/>
                <w:lang w:val="sk-SK"/>
              </w:rPr>
              <w:t xml:space="preserve"> špecifikácie</w:t>
            </w:r>
            <w:r w:rsidRPr="00083739">
              <w:rPr>
                <w:rFonts w:ascii="Times New Roman" w:eastAsiaTheme="minorEastAsia" w:hAnsi="Times New Roman" w:cs="Times New Roman"/>
                <w:noProof/>
                <w:szCs w:val="18"/>
                <w:lang w:val="sk-SK"/>
              </w:rPr>
              <w:t>uverejnené</w:t>
            </w:r>
            <w:r w:rsidRPr="00083739">
              <w:rPr>
                <w:rFonts w:ascii="Times New Roman" w:hAnsi="Times New Roman" w:cs="Times New Roman"/>
                <w:noProof/>
                <w:szCs w:val="18"/>
                <w:lang w:val="sk-SK"/>
              </w:rPr>
              <w:t>na Múzeu podmorských starožitností</w:t>
            </w:r>
          </w:p>
        </w:tc>
        <w:tc>
          <w:tcPr>
            <w:tcW w:w="1397" w:type="dxa"/>
            <w:tcBorders>
              <w:top w:val="nil"/>
              <w:left w:val="nil"/>
              <w:bottom w:val="single" w:sz="4" w:space="0" w:color="auto"/>
              <w:right w:val="single" w:sz="4" w:space="0" w:color="auto"/>
            </w:tcBorders>
            <w:shd w:val="clear" w:color="auto" w:fill="C6EFCE"/>
            <w:noWrap/>
          </w:tcPr>
          <w:p w14:paraId="5A354AD8"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58" w:type="dxa"/>
            <w:tcBorders>
              <w:top w:val="nil"/>
              <w:left w:val="nil"/>
              <w:bottom w:val="single" w:sz="4" w:space="0" w:color="auto"/>
              <w:right w:val="single" w:sz="4" w:space="0" w:color="auto"/>
            </w:tcBorders>
            <w:shd w:val="clear" w:color="auto" w:fill="C6EFCE"/>
            <w:noWrap/>
          </w:tcPr>
          <w:p w14:paraId="498524CC"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2" w:type="dxa"/>
            <w:tcBorders>
              <w:top w:val="nil"/>
              <w:left w:val="nil"/>
              <w:bottom w:val="single" w:sz="4" w:space="0" w:color="auto"/>
              <w:right w:val="single" w:sz="4" w:space="0" w:color="auto"/>
            </w:tcBorders>
            <w:shd w:val="clear" w:color="auto" w:fill="C6EFCE"/>
            <w:noWrap/>
          </w:tcPr>
          <w:p w14:paraId="13E18845"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134" w:type="dxa"/>
            <w:tcBorders>
              <w:top w:val="nil"/>
              <w:left w:val="nil"/>
              <w:bottom w:val="single" w:sz="4" w:space="0" w:color="auto"/>
              <w:right w:val="single" w:sz="4" w:space="0" w:color="auto"/>
            </w:tcBorders>
            <w:shd w:val="clear" w:color="auto" w:fill="C6EFCE"/>
            <w:noWrap/>
          </w:tcPr>
          <w:p w14:paraId="4E35709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851" w:type="dxa"/>
            <w:tcBorders>
              <w:top w:val="nil"/>
              <w:left w:val="nil"/>
              <w:bottom w:val="single" w:sz="4" w:space="0" w:color="auto"/>
              <w:right w:val="single" w:sz="4" w:space="0" w:color="auto"/>
            </w:tcBorders>
            <w:shd w:val="clear" w:color="auto" w:fill="C6EFCE"/>
            <w:noWrap/>
          </w:tcPr>
          <w:p w14:paraId="732D538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2023</w:t>
            </w:r>
          </w:p>
        </w:tc>
        <w:tc>
          <w:tcPr>
            <w:tcW w:w="3950" w:type="dxa"/>
            <w:tcBorders>
              <w:top w:val="nil"/>
              <w:left w:val="nil"/>
              <w:bottom w:val="single" w:sz="4" w:space="0" w:color="auto"/>
              <w:right w:val="single" w:sz="4" w:space="0" w:color="auto"/>
            </w:tcBorders>
            <w:shd w:val="clear" w:color="auto" w:fill="C6EFCE"/>
            <w:noWrap/>
          </w:tcPr>
          <w:p w14:paraId="2CEA59D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Zadanie zákazky na múzeum podmorských starožitností. </w:t>
            </w:r>
          </w:p>
        </w:tc>
      </w:tr>
      <w:tr w:rsidR="002D49B0" w:rsidRPr="00083739" w14:paraId="3444DCE6" w14:textId="77777777">
        <w:trPr>
          <w:trHeight w:val="313"/>
          <w:jc w:val="center"/>
        </w:trPr>
        <w:tc>
          <w:tcPr>
            <w:tcW w:w="1027" w:type="dxa"/>
            <w:tcBorders>
              <w:top w:val="nil"/>
              <w:left w:val="single" w:sz="4" w:space="0" w:color="auto"/>
              <w:bottom w:val="single" w:sz="4" w:space="0" w:color="auto"/>
              <w:right w:val="single" w:sz="4" w:space="0" w:color="auto"/>
            </w:tcBorders>
            <w:shd w:val="clear" w:color="auto" w:fill="C6EFCE"/>
            <w:noWrap/>
          </w:tcPr>
          <w:p w14:paraId="6D99BF7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280</w:t>
            </w:r>
          </w:p>
        </w:tc>
        <w:tc>
          <w:tcPr>
            <w:tcW w:w="1615" w:type="dxa"/>
            <w:tcBorders>
              <w:top w:val="nil"/>
              <w:left w:val="nil"/>
              <w:bottom w:val="single" w:sz="4" w:space="0" w:color="auto"/>
              <w:right w:val="single" w:sz="4" w:space="0" w:color="auto"/>
            </w:tcBorders>
            <w:shd w:val="clear" w:color="auto" w:fill="C6EFCE"/>
            <w:noWrap/>
          </w:tcPr>
          <w:p w14:paraId="3E52B203" w14:textId="57BD9B48"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17 –</w:t>
            </w:r>
            <w:r w:rsidRPr="00083739">
              <w:rPr>
                <w:rFonts w:ascii="Times New Roman" w:hAnsi="Times New Roman" w:cs="Times New Roman"/>
                <w:noProof/>
                <w:lang w:val="sk-SK"/>
              </w:rPr>
              <w:t xml:space="preserve"> 4.6. Modernizácia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zlepšenie odolnosti kľúčových hospodárskych odvetví – 16293_Kultúra ako hnacia sila rastu</w:t>
            </w:r>
          </w:p>
        </w:tc>
        <w:tc>
          <w:tcPr>
            <w:tcW w:w="1008" w:type="dxa"/>
            <w:tcBorders>
              <w:top w:val="nil"/>
              <w:left w:val="nil"/>
              <w:bottom w:val="single" w:sz="4" w:space="0" w:color="auto"/>
              <w:right w:val="single" w:sz="4" w:space="0" w:color="auto"/>
            </w:tcBorders>
            <w:shd w:val="clear" w:color="auto" w:fill="C6EFCE"/>
            <w:noWrap/>
          </w:tcPr>
          <w:p w14:paraId="0583F41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290" w:type="dxa"/>
            <w:tcBorders>
              <w:top w:val="nil"/>
              <w:left w:val="nil"/>
              <w:bottom w:val="single" w:sz="4" w:space="0" w:color="auto"/>
              <w:right w:val="single" w:sz="4" w:space="0" w:color="auto"/>
            </w:tcBorders>
            <w:shd w:val="clear" w:color="auto" w:fill="C6EFCE"/>
            <w:noWrap/>
          </w:tcPr>
          <w:p w14:paraId="32379F0C" w14:textId="780CC088"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Súčasná grécka kultúrna značka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platforma</w:t>
            </w:r>
          </w:p>
        </w:tc>
        <w:tc>
          <w:tcPr>
            <w:tcW w:w="1549" w:type="dxa"/>
            <w:tcBorders>
              <w:top w:val="nil"/>
              <w:left w:val="nil"/>
              <w:bottom w:val="single" w:sz="4" w:space="0" w:color="auto"/>
              <w:right w:val="single" w:sz="4" w:space="0" w:color="auto"/>
            </w:tcBorders>
            <w:shd w:val="clear" w:color="auto" w:fill="C6EFCE"/>
            <w:noWrap/>
          </w:tcPr>
          <w:p w14:paraId="1ADD6BE6" w14:textId="554DBC5A"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Správa</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 xml:space="preserve">súčasných gréckych kultúrnych značkách, platforme zeleného dizajnu, gréckej hudobnej </w:t>
            </w:r>
            <w:r w:rsidRPr="00083739">
              <w:rPr>
                <w:rFonts w:ascii="Times New Roman" w:hAnsi="Times New Roman" w:cs="Times New Roman"/>
                <w:noProof/>
                <w:lang w:val="sk-SK"/>
              </w:rPr>
              <w:t>databáze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oživení gréckeho programu prekladu literatúry.</w:t>
            </w:r>
          </w:p>
        </w:tc>
        <w:tc>
          <w:tcPr>
            <w:tcW w:w="1397" w:type="dxa"/>
            <w:tcBorders>
              <w:top w:val="nil"/>
              <w:left w:val="nil"/>
              <w:bottom w:val="single" w:sz="4" w:space="0" w:color="auto"/>
              <w:right w:val="single" w:sz="4" w:space="0" w:color="auto"/>
            </w:tcBorders>
            <w:shd w:val="clear" w:color="auto" w:fill="C6EFCE"/>
            <w:noWrap/>
          </w:tcPr>
          <w:p w14:paraId="3B81168B"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58" w:type="dxa"/>
            <w:tcBorders>
              <w:top w:val="nil"/>
              <w:left w:val="nil"/>
              <w:bottom w:val="single" w:sz="4" w:space="0" w:color="auto"/>
              <w:right w:val="single" w:sz="4" w:space="0" w:color="auto"/>
            </w:tcBorders>
            <w:shd w:val="clear" w:color="auto" w:fill="C6EFCE"/>
            <w:noWrap/>
          </w:tcPr>
          <w:p w14:paraId="624AB0FB"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2" w:type="dxa"/>
            <w:tcBorders>
              <w:top w:val="nil"/>
              <w:left w:val="nil"/>
              <w:bottom w:val="single" w:sz="4" w:space="0" w:color="auto"/>
              <w:right w:val="single" w:sz="4" w:space="0" w:color="auto"/>
            </w:tcBorders>
            <w:shd w:val="clear" w:color="auto" w:fill="C6EFCE"/>
            <w:noWrap/>
          </w:tcPr>
          <w:p w14:paraId="667468E5"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134" w:type="dxa"/>
            <w:tcBorders>
              <w:top w:val="nil"/>
              <w:left w:val="nil"/>
              <w:bottom w:val="single" w:sz="4" w:space="0" w:color="auto"/>
              <w:right w:val="single" w:sz="4" w:space="0" w:color="auto"/>
            </w:tcBorders>
            <w:shd w:val="clear" w:color="auto" w:fill="C6EFCE"/>
            <w:noWrap/>
          </w:tcPr>
          <w:p w14:paraId="1AE8FF9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851" w:type="dxa"/>
            <w:tcBorders>
              <w:top w:val="nil"/>
              <w:left w:val="nil"/>
              <w:bottom w:val="single" w:sz="4" w:space="0" w:color="auto"/>
              <w:right w:val="single" w:sz="4" w:space="0" w:color="auto"/>
            </w:tcBorders>
            <w:shd w:val="clear" w:color="auto" w:fill="C6EFCE"/>
            <w:noWrap/>
          </w:tcPr>
          <w:p w14:paraId="77A335D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2024</w:t>
            </w:r>
          </w:p>
        </w:tc>
        <w:tc>
          <w:tcPr>
            <w:tcW w:w="3950" w:type="dxa"/>
            <w:tcBorders>
              <w:top w:val="nil"/>
              <w:left w:val="nil"/>
              <w:bottom w:val="single" w:sz="4" w:space="0" w:color="auto"/>
              <w:right w:val="single" w:sz="4" w:space="0" w:color="auto"/>
            </w:tcBorders>
            <w:shd w:val="clear" w:color="auto" w:fill="C6EFCE"/>
            <w:noWrap/>
          </w:tcPr>
          <w:p w14:paraId="4B55C3C9" w14:textId="7DC9D942"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Kultúra ako hnacia sila rastu: Moderné grécke označenie kultúry vyvinuté, zriadené gréckou platformou pre dizajn, gréckou hudobnou databázou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aktualizovaným programom grécke</w:t>
            </w:r>
            <w:r w:rsidRPr="00083739">
              <w:rPr>
                <w:rFonts w:ascii="Times New Roman" w:hAnsi="Times New Roman" w:cs="Times New Roman"/>
                <w:noProof/>
                <w:lang w:val="sk-SK"/>
              </w:rPr>
              <w:t xml:space="preserve">ho prekladu literatúry. </w:t>
            </w:r>
          </w:p>
        </w:tc>
      </w:tr>
      <w:tr w:rsidR="002D49B0" w:rsidRPr="00083739" w14:paraId="61BDB7AB" w14:textId="77777777">
        <w:trPr>
          <w:trHeight w:val="313"/>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50DB261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283</w:t>
            </w:r>
          </w:p>
        </w:tc>
        <w:tc>
          <w:tcPr>
            <w:tcW w:w="1615" w:type="dxa"/>
            <w:tcBorders>
              <w:top w:val="single" w:sz="4" w:space="0" w:color="auto"/>
              <w:left w:val="nil"/>
              <w:bottom w:val="single" w:sz="4" w:space="0" w:color="auto"/>
              <w:right w:val="single" w:sz="4" w:space="0" w:color="auto"/>
            </w:tcBorders>
            <w:shd w:val="clear" w:color="auto" w:fill="C6EFCE"/>
            <w:noWrap/>
          </w:tcPr>
          <w:p w14:paraId="02512596" w14:textId="06E75728"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17 – 4.6. Modernizácia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zlepšenie odolnosti kľúčových hospodárskych odvetví – 16293_Kultúra ako hnacia sila rastu</w:t>
            </w:r>
          </w:p>
        </w:tc>
        <w:tc>
          <w:tcPr>
            <w:tcW w:w="1008" w:type="dxa"/>
            <w:tcBorders>
              <w:top w:val="single" w:sz="4" w:space="0" w:color="auto"/>
              <w:left w:val="nil"/>
              <w:bottom w:val="single" w:sz="4" w:space="0" w:color="auto"/>
              <w:right w:val="single" w:sz="4" w:space="0" w:color="auto"/>
            </w:tcBorders>
            <w:shd w:val="clear" w:color="auto" w:fill="C6EFCE"/>
            <w:noWrap/>
          </w:tcPr>
          <w:p w14:paraId="7E1BAE2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290" w:type="dxa"/>
            <w:tcBorders>
              <w:top w:val="single" w:sz="4" w:space="0" w:color="auto"/>
              <w:left w:val="nil"/>
              <w:bottom w:val="single" w:sz="4" w:space="0" w:color="auto"/>
              <w:right w:val="single" w:sz="4" w:space="0" w:color="auto"/>
            </w:tcBorders>
            <w:shd w:val="clear" w:color="auto" w:fill="C6EFCE"/>
            <w:noWrap/>
          </w:tcPr>
          <w:p w14:paraId="06F5E78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Kultúra ako hnacia sila rastu</w:t>
            </w:r>
          </w:p>
        </w:tc>
        <w:tc>
          <w:tcPr>
            <w:tcW w:w="1549" w:type="dxa"/>
            <w:tcBorders>
              <w:top w:val="single" w:sz="4" w:space="0" w:color="auto"/>
              <w:left w:val="nil"/>
              <w:bottom w:val="single" w:sz="4" w:space="0" w:color="auto"/>
              <w:right w:val="single" w:sz="4" w:space="0" w:color="auto"/>
            </w:tcBorders>
            <w:shd w:val="clear" w:color="auto" w:fill="C6EFCE"/>
            <w:noWrap/>
          </w:tcPr>
          <w:p w14:paraId="22BF8467" w14:textId="55C6470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Správy</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ukončení všetkých čiastkových projektov vrátane dokladov</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platbe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výsledkoch auditov investícií, osvedčenia príjemcov</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dokončení investícií</w:t>
            </w:r>
          </w:p>
        </w:tc>
        <w:tc>
          <w:tcPr>
            <w:tcW w:w="1397" w:type="dxa"/>
            <w:tcBorders>
              <w:top w:val="single" w:sz="4" w:space="0" w:color="auto"/>
              <w:left w:val="nil"/>
              <w:bottom w:val="single" w:sz="4" w:space="0" w:color="auto"/>
              <w:right w:val="single" w:sz="4" w:space="0" w:color="auto"/>
            </w:tcBorders>
            <w:shd w:val="clear" w:color="auto" w:fill="C6EFCE"/>
            <w:noWrap/>
          </w:tcPr>
          <w:p w14:paraId="284727E7"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58" w:type="dxa"/>
            <w:tcBorders>
              <w:top w:val="single" w:sz="4" w:space="0" w:color="auto"/>
              <w:left w:val="nil"/>
              <w:bottom w:val="single" w:sz="4" w:space="0" w:color="auto"/>
              <w:right w:val="single" w:sz="4" w:space="0" w:color="auto"/>
            </w:tcBorders>
            <w:shd w:val="clear" w:color="auto" w:fill="C6EFCE"/>
            <w:noWrap/>
          </w:tcPr>
          <w:p w14:paraId="4CD2A381"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2" w:type="dxa"/>
            <w:tcBorders>
              <w:top w:val="single" w:sz="4" w:space="0" w:color="auto"/>
              <w:left w:val="nil"/>
              <w:bottom w:val="single" w:sz="4" w:space="0" w:color="auto"/>
              <w:right w:val="single" w:sz="4" w:space="0" w:color="auto"/>
            </w:tcBorders>
            <w:shd w:val="clear" w:color="auto" w:fill="C6EFCE"/>
            <w:noWrap/>
          </w:tcPr>
          <w:p w14:paraId="47D77CDB"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134" w:type="dxa"/>
            <w:tcBorders>
              <w:top w:val="single" w:sz="4" w:space="0" w:color="auto"/>
              <w:left w:val="nil"/>
              <w:bottom w:val="single" w:sz="4" w:space="0" w:color="auto"/>
              <w:right w:val="single" w:sz="4" w:space="0" w:color="auto"/>
            </w:tcBorders>
            <w:shd w:val="clear" w:color="auto" w:fill="C6EFCE"/>
            <w:noWrap/>
          </w:tcPr>
          <w:p w14:paraId="30DDB41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851" w:type="dxa"/>
            <w:tcBorders>
              <w:top w:val="single" w:sz="4" w:space="0" w:color="auto"/>
              <w:left w:val="nil"/>
              <w:bottom w:val="single" w:sz="4" w:space="0" w:color="auto"/>
              <w:right w:val="single" w:sz="4" w:space="0" w:color="auto"/>
            </w:tcBorders>
            <w:shd w:val="clear" w:color="auto" w:fill="C6EFCE"/>
            <w:noWrap/>
          </w:tcPr>
          <w:p w14:paraId="44531B6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3950" w:type="dxa"/>
            <w:tcBorders>
              <w:top w:val="single" w:sz="4" w:space="0" w:color="auto"/>
              <w:left w:val="nil"/>
              <w:bottom w:val="single" w:sz="4" w:space="0" w:color="auto"/>
              <w:right w:val="single" w:sz="4" w:space="0" w:color="auto"/>
            </w:tcBorders>
            <w:shd w:val="clear" w:color="auto" w:fill="C6EFCE"/>
            <w:noWrap/>
          </w:tcPr>
          <w:p w14:paraId="434FA6C5" w14:textId="2FD30E53"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 xml:space="preserve">Dokončenie programu Kultúra ako hnacej sily rastu </w:t>
            </w:r>
            <w:sdt>
              <w:sdtPr>
                <w:rPr>
                  <w:rFonts w:ascii="Times New Roman" w:eastAsia="Times New Roman" w:hAnsi="Times New Roman" w:cs="Times New Roman"/>
                  <w:noProof/>
                  <w:szCs w:val="18"/>
                  <w:shd w:val="clear" w:color="auto" w:fill="E6E6E6"/>
                  <w:lang w:val="sk-SK"/>
                </w:rPr>
                <w:tag w:val="goog_rdk_42"/>
                <w:id w:val="660356159"/>
              </w:sdtPr>
              <w:sdtEndPr/>
              <w:sdtContent>
                <w:r w:rsidRPr="00083739">
                  <w:rPr>
                    <w:rFonts w:ascii="Times New Roman" w:hAnsi="Times New Roman" w:cs="Times New Roman"/>
                    <w:noProof/>
                    <w:lang w:val="sk-SK"/>
                  </w:rPr>
                  <w:t>finalizácie všetkých príslušných čiastkových projektov</w:t>
                </w:r>
              </w:sdtContent>
            </w:sdt>
            <w:r w:rsidRPr="00083739">
              <w:rPr>
                <w:rFonts w:ascii="Times New Roman" w:hAnsi="Times New Roman" w:cs="Times New Roman"/>
                <w:noProof/>
                <w:lang w:val="sk-SK"/>
              </w:rPr>
              <w:t xml:space="preserve">: poskytovanie podpory na vykonávanie pilotných </w:t>
            </w:r>
            <w:r w:rsidRPr="00083739">
              <w:rPr>
                <w:rFonts w:ascii="Times New Roman" w:hAnsi="Times New Roman" w:cs="Times New Roman"/>
                <w:noProof/>
                <w:lang w:val="sk-SK"/>
              </w:rPr>
              <w:t>projektov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rámci vybraných regionálnych stratégií kultúrneho</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kreatívneho priemyslu, modernizácia infraštruktúry kultúrnych pamiatok, poskytovanie seminárov pre odborníkov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kultúrneho</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kreatívneho priemyslu; poskytovanie podpory miestnym remese</w:t>
            </w:r>
            <w:r w:rsidRPr="00083739">
              <w:rPr>
                <w:rFonts w:ascii="Times New Roman" w:hAnsi="Times New Roman" w:cs="Times New Roman"/>
                <w:noProof/>
                <w:lang w:val="sk-SK"/>
              </w:rPr>
              <w:t>lným ekosystémom prostredníctvom zlepšenia infraštruktúry, poskytovania programov odbornej prípravy, mapovania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rozvoja integrovanej národnej stratégie remesiel podľa regiónov; rozšírenie využívania archeologických nálezísk</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pamiatok ako miest na podujat</w:t>
            </w:r>
            <w:r w:rsidRPr="00083739">
              <w:rPr>
                <w:rFonts w:ascii="Times New Roman" w:hAnsi="Times New Roman" w:cs="Times New Roman"/>
                <w:noProof/>
                <w:lang w:val="sk-SK"/>
              </w:rPr>
              <w:t>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to modernizáciou vybraných archeologických nálezísk</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pamiatok, zlepšením ich digitálnej infraštruktúry; propagácia filmového priemyslu poskytovaním finančnej podpory na výrobu vybraných gréckych filmov; posilnenie gréckej kultúrnej značky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vývozu,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to aj rozvojom digitálneho materiálu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podporou súčasnej gréckej platformy kultúry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všetkých súvisiacich podplatforiem, poskytovanie finančnej podpory na účasť</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propagáciu gréckej produkcie</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zahraničí.</w:t>
            </w:r>
          </w:p>
        </w:tc>
      </w:tr>
      <w:tr w:rsidR="002D49B0" w:rsidRPr="00083739" w14:paraId="7ACB620B" w14:textId="77777777">
        <w:trPr>
          <w:trHeight w:val="313"/>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463C0EB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284</w:t>
            </w:r>
          </w:p>
        </w:tc>
        <w:tc>
          <w:tcPr>
            <w:tcW w:w="1615" w:type="dxa"/>
            <w:tcBorders>
              <w:top w:val="single" w:sz="4" w:space="0" w:color="auto"/>
              <w:left w:val="nil"/>
              <w:bottom w:val="single" w:sz="4" w:space="0" w:color="auto"/>
              <w:right w:val="single" w:sz="4" w:space="0" w:color="auto"/>
            </w:tcBorders>
            <w:shd w:val="clear" w:color="auto" w:fill="C6EFCE"/>
            <w:noWrap/>
          </w:tcPr>
          <w:p w14:paraId="090E268E" w14:textId="1C83553A"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17 – 4.6. Modernizácia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zlepšenie odolnosti</w:t>
            </w:r>
            <w:r w:rsidRPr="00083739">
              <w:rPr>
                <w:rFonts w:ascii="Times New Roman" w:hAnsi="Times New Roman" w:cs="Times New Roman"/>
                <w:noProof/>
                <w:lang w:val="sk-SK"/>
              </w:rPr>
              <w:t xml:space="preserve"> kľúčových hospodárskych odvetví – 16536_modernizácia infraštruktúry, obnova vybavenia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zvýšenie kvality služieb poskytovaných obchodmi HOCRED – bývalé úložiská ARF (na mieste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elektronicky)</w:t>
            </w:r>
          </w:p>
        </w:tc>
        <w:tc>
          <w:tcPr>
            <w:tcW w:w="1008" w:type="dxa"/>
            <w:tcBorders>
              <w:top w:val="single" w:sz="4" w:space="0" w:color="auto"/>
              <w:left w:val="nil"/>
              <w:bottom w:val="single" w:sz="4" w:space="0" w:color="auto"/>
              <w:right w:val="single" w:sz="4" w:space="0" w:color="auto"/>
            </w:tcBorders>
            <w:shd w:val="clear" w:color="auto" w:fill="C6EFCE"/>
            <w:noWrap/>
          </w:tcPr>
          <w:p w14:paraId="7EE9CA6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290" w:type="dxa"/>
            <w:tcBorders>
              <w:top w:val="single" w:sz="4" w:space="0" w:color="auto"/>
              <w:left w:val="nil"/>
              <w:bottom w:val="single" w:sz="4" w:space="0" w:color="auto"/>
              <w:right w:val="single" w:sz="4" w:space="0" w:color="auto"/>
            </w:tcBorders>
            <w:shd w:val="clear" w:color="auto" w:fill="C6EFCE"/>
            <w:noWrap/>
          </w:tcPr>
          <w:p w14:paraId="6A06FA2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Modernizácia Helénskej organizácie pre rozvoj kultúrnych</w:t>
            </w:r>
            <w:r w:rsidRPr="00083739">
              <w:rPr>
                <w:rFonts w:ascii="Times New Roman" w:hAnsi="Times New Roman" w:cs="Times New Roman"/>
                <w:noProof/>
                <w:lang w:val="sk-SK"/>
              </w:rPr>
              <w:t xml:space="preserve"> zdrojov (HOCRED) </w:t>
            </w:r>
          </w:p>
        </w:tc>
        <w:tc>
          <w:tcPr>
            <w:tcW w:w="1549" w:type="dxa"/>
            <w:tcBorders>
              <w:top w:val="single" w:sz="4" w:space="0" w:color="auto"/>
              <w:left w:val="nil"/>
              <w:bottom w:val="single" w:sz="4" w:space="0" w:color="auto"/>
              <w:right w:val="single" w:sz="4" w:space="0" w:color="auto"/>
            </w:tcBorders>
            <w:shd w:val="clear" w:color="auto" w:fill="C6EFCE"/>
            <w:noWrap/>
          </w:tcPr>
          <w:p w14:paraId="28B7AC78" w14:textId="63F6CE03"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Správy</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dokončení vrátane dokladov</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platbe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výsledkov auditov investícií, osvedčenie príjemcov</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dokončení investícií.</w:t>
            </w:r>
          </w:p>
        </w:tc>
        <w:tc>
          <w:tcPr>
            <w:tcW w:w="1397" w:type="dxa"/>
            <w:tcBorders>
              <w:top w:val="single" w:sz="4" w:space="0" w:color="auto"/>
              <w:left w:val="nil"/>
              <w:bottom w:val="single" w:sz="4" w:space="0" w:color="auto"/>
              <w:right w:val="single" w:sz="4" w:space="0" w:color="auto"/>
            </w:tcBorders>
            <w:shd w:val="clear" w:color="auto" w:fill="C6EFCE"/>
            <w:noWrap/>
          </w:tcPr>
          <w:p w14:paraId="29604C90"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58" w:type="dxa"/>
            <w:tcBorders>
              <w:top w:val="single" w:sz="4" w:space="0" w:color="auto"/>
              <w:left w:val="nil"/>
              <w:bottom w:val="single" w:sz="4" w:space="0" w:color="auto"/>
              <w:right w:val="single" w:sz="4" w:space="0" w:color="auto"/>
            </w:tcBorders>
            <w:shd w:val="clear" w:color="auto" w:fill="C6EFCE"/>
            <w:noWrap/>
          </w:tcPr>
          <w:p w14:paraId="6E660966"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2" w:type="dxa"/>
            <w:tcBorders>
              <w:top w:val="single" w:sz="4" w:space="0" w:color="auto"/>
              <w:left w:val="nil"/>
              <w:bottom w:val="single" w:sz="4" w:space="0" w:color="auto"/>
              <w:right w:val="single" w:sz="4" w:space="0" w:color="auto"/>
            </w:tcBorders>
            <w:shd w:val="clear" w:color="auto" w:fill="C6EFCE"/>
            <w:noWrap/>
          </w:tcPr>
          <w:p w14:paraId="5B838D22"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134" w:type="dxa"/>
            <w:tcBorders>
              <w:top w:val="single" w:sz="4" w:space="0" w:color="auto"/>
              <w:left w:val="nil"/>
              <w:bottom w:val="single" w:sz="4" w:space="0" w:color="auto"/>
              <w:right w:val="single" w:sz="4" w:space="0" w:color="auto"/>
            </w:tcBorders>
            <w:shd w:val="clear" w:color="auto" w:fill="C6EFCE"/>
            <w:noWrap/>
          </w:tcPr>
          <w:p w14:paraId="60CA2D9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851" w:type="dxa"/>
            <w:tcBorders>
              <w:top w:val="single" w:sz="4" w:space="0" w:color="auto"/>
              <w:left w:val="nil"/>
              <w:bottom w:val="single" w:sz="4" w:space="0" w:color="auto"/>
              <w:right w:val="single" w:sz="4" w:space="0" w:color="auto"/>
            </w:tcBorders>
            <w:shd w:val="clear" w:color="auto" w:fill="C6EFCE"/>
            <w:noWrap/>
          </w:tcPr>
          <w:p w14:paraId="4743C45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3950" w:type="dxa"/>
            <w:tcBorders>
              <w:top w:val="single" w:sz="4" w:space="0" w:color="auto"/>
              <w:left w:val="nil"/>
              <w:bottom w:val="single" w:sz="4" w:space="0" w:color="auto"/>
              <w:right w:val="single" w:sz="4" w:space="0" w:color="auto"/>
            </w:tcBorders>
            <w:shd w:val="clear" w:color="auto" w:fill="C6EFCE"/>
            <w:noWrap/>
          </w:tcPr>
          <w:p w14:paraId="0DCFDFDA" w14:textId="3AFB9CEE" w:rsidR="002D49B0" w:rsidRPr="00083739" w:rsidRDefault="00BF4125">
            <w:pPr>
              <w:pStyle w:val="P68B1DB1-Normal43"/>
              <w:spacing w:after="0" w:line="240" w:lineRule="auto"/>
              <w:rPr>
                <w:rFonts w:ascii="Times New Roman" w:hAnsi="Times New Roman" w:cs="Times New Roman"/>
                <w:noProof/>
                <w:color w:val="006100"/>
                <w:lang w:val="sk-SK"/>
              </w:rPr>
            </w:pPr>
            <w:r w:rsidRPr="00083739">
              <w:rPr>
                <w:rFonts w:ascii="Times New Roman" w:hAnsi="Times New Roman" w:cs="Times New Roman"/>
                <w:noProof/>
                <w:color w:val="006100"/>
                <w:lang w:val="sk-SK"/>
              </w:rPr>
              <w:t xml:space="preserve">Zlepšenie operácií Helénskej organizácie pre rozvoj kultúrnych zdrojov (HOCRED) vrátane </w:t>
            </w:r>
            <w:r w:rsidRPr="00083739">
              <w:rPr>
                <w:rFonts w:ascii="Times New Roman" w:hAnsi="Times New Roman" w:cs="Times New Roman"/>
                <w:noProof/>
                <w:color w:val="006100"/>
                <w:lang w:val="sk-SK"/>
              </w:rPr>
              <w:t>obnovy zameranej na energetickú efektívnosť, výstavby</w:t>
            </w:r>
            <w:r w:rsidR="00083739" w:rsidRPr="00083739">
              <w:rPr>
                <w:rFonts w:ascii="Times New Roman" w:hAnsi="Times New Roman" w:cs="Times New Roman"/>
                <w:noProof/>
                <w:color w:val="006100"/>
                <w:lang w:val="sk-SK"/>
              </w:rPr>
              <w:t xml:space="preserve"> a </w:t>
            </w:r>
            <w:r w:rsidRPr="00083739">
              <w:rPr>
                <w:rFonts w:ascii="Times New Roman" w:hAnsi="Times New Roman" w:cs="Times New Roman"/>
                <w:noProof/>
                <w:color w:val="006100"/>
                <w:lang w:val="sk-SK"/>
              </w:rPr>
              <w:t>modernizácie infraštruktúry</w:t>
            </w:r>
            <w:r w:rsidR="00083739" w:rsidRPr="00083739">
              <w:rPr>
                <w:rFonts w:ascii="Times New Roman" w:hAnsi="Times New Roman" w:cs="Times New Roman"/>
                <w:noProof/>
                <w:color w:val="006100"/>
                <w:lang w:val="sk-SK"/>
              </w:rPr>
              <w:t xml:space="preserve"> a </w:t>
            </w:r>
            <w:r w:rsidRPr="00083739">
              <w:rPr>
                <w:rFonts w:ascii="Times New Roman" w:hAnsi="Times New Roman" w:cs="Times New Roman"/>
                <w:noProof/>
                <w:color w:val="006100"/>
                <w:lang w:val="sk-SK"/>
              </w:rPr>
              <w:t>poskytovania vybavenia pre fyzické</w:t>
            </w:r>
            <w:r w:rsidR="00083739" w:rsidRPr="00083739">
              <w:rPr>
                <w:rFonts w:ascii="Times New Roman" w:hAnsi="Times New Roman" w:cs="Times New Roman"/>
                <w:noProof/>
                <w:color w:val="006100"/>
                <w:lang w:val="sk-SK"/>
              </w:rPr>
              <w:t xml:space="preserve"> a </w:t>
            </w:r>
            <w:r w:rsidRPr="00083739">
              <w:rPr>
                <w:rFonts w:ascii="Times New Roman" w:hAnsi="Times New Roman" w:cs="Times New Roman"/>
                <w:noProof/>
                <w:color w:val="006100"/>
                <w:lang w:val="sk-SK"/>
              </w:rPr>
              <w:t>online obchody</w:t>
            </w:r>
            <w:r w:rsidR="00083739" w:rsidRPr="00083739">
              <w:rPr>
                <w:rFonts w:ascii="Times New Roman" w:hAnsi="Times New Roman" w:cs="Times New Roman"/>
                <w:noProof/>
                <w:color w:val="006100"/>
                <w:lang w:val="sk-SK"/>
              </w:rPr>
              <w:t xml:space="preserve"> a </w:t>
            </w:r>
            <w:r w:rsidRPr="00083739">
              <w:rPr>
                <w:rFonts w:ascii="Times New Roman" w:hAnsi="Times New Roman" w:cs="Times New Roman"/>
                <w:noProof/>
                <w:color w:val="006100"/>
                <w:lang w:val="sk-SK"/>
              </w:rPr>
              <w:t>modernizácie kvality služieb.</w:t>
            </w:r>
            <w:r w:rsidRPr="00083739">
              <w:rPr>
                <w:rFonts w:ascii="Times New Roman" w:hAnsi="Times New Roman" w:cs="Times New Roman"/>
                <w:noProof/>
                <w:lang w:val="sk-SK"/>
              </w:rPr>
              <w:t xml:space="preserve"> </w:t>
            </w:r>
          </w:p>
        </w:tc>
      </w:tr>
      <w:tr w:rsidR="002D49B0" w:rsidRPr="00083739" w14:paraId="58F1908A" w14:textId="77777777">
        <w:trPr>
          <w:trHeight w:val="313"/>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677D348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285</w:t>
            </w:r>
          </w:p>
        </w:tc>
        <w:tc>
          <w:tcPr>
            <w:tcW w:w="1615" w:type="dxa"/>
            <w:tcBorders>
              <w:top w:val="single" w:sz="4" w:space="0" w:color="auto"/>
              <w:left w:val="nil"/>
              <w:bottom w:val="single" w:sz="4" w:space="0" w:color="auto"/>
              <w:right w:val="single" w:sz="4" w:space="0" w:color="auto"/>
            </w:tcBorders>
            <w:shd w:val="clear" w:color="auto" w:fill="C6EFCE"/>
            <w:noWrap/>
          </w:tcPr>
          <w:p w14:paraId="49544A73" w14:textId="266E3B9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17 – 4.6. Modernizácia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zlepšenie odolnosti kľúčových hospodárskych odvetví – </w:t>
            </w:r>
            <w:r w:rsidRPr="00083739">
              <w:rPr>
                <w:rFonts w:ascii="Times New Roman" w:hAnsi="Times New Roman" w:cs="Times New Roman"/>
                <w:noProof/>
                <w:lang w:val="sk-SK"/>
              </w:rPr>
              <w:t>16725_Zlepšenie vysokoškolského vzdelávania</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umenia</w:t>
            </w:r>
          </w:p>
        </w:tc>
        <w:tc>
          <w:tcPr>
            <w:tcW w:w="1008" w:type="dxa"/>
            <w:tcBorders>
              <w:top w:val="single" w:sz="4" w:space="0" w:color="auto"/>
              <w:left w:val="nil"/>
              <w:bottom w:val="single" w:sz="4" w:space="0" w:color="auto"/>
              <w:right w:val="single" w:sz="4" w:space="0" w:color="auto"/>
            </w:tcBorders>
            <w:shd w:val="clear" w:color="auto" w:fill="C6EFCE"/>
            <w:noWrap/>
          </w:tcPr>
          <w:p w14:paraId="41B8F4D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290" w:type="dxa"/>
            <w:tcBorders>
              <w:top w:val="single" w:sz="4" w:space="0" w:color="auto"/>
              <w:left w:val="nil"/>
              <w:bottom w:val="single" w:sz="4" w:space="0" w:color="auto"/>
              <w:right w:val="single" w:sz="4" w:space="0" w:color="auto"/>
            </w:tcBorders>
            <w:shd w:val="clear" w:color="auto" w:fill="C6EFCE"/>
            <w:noWrap/>
          </w:tcPr>
          <w:p w14:paraId="6F95DED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Modernizácia vysokoškolského umeleckého vzdelávania</w:t>
            </w:r>
          </w:p>
        </w:tc>
        <w:tc>
          <w:tcPr>
            <w:tcW w:w="1549" w:type="dxa"/>
            <w:tcBorders>
              <w:top w:val="single" w:sz="4" w:space="0" w:color="auto"/>
              <w:left w:val="nil"/>
              <w:bottom w:val="single" w:sz="4" w:space="0" w:color="auto"/>
              <w:right w:val="single" w:sz="4" w:space="0" w:color="auto"/>
            </w:tcBorders>
            <w:shd w:val="clear" w:color="auto" w:fill="C6EFCE"/>
            <w:noWrap/>
          </w:tcPr>
          <w:p w14:paraId="4230E747" w14:textId="77777777"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Správa</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dokončení vrátane</w:t>
            </w:r>
          </w:p>
          <w:p w14:paraId="256FEA30" w14:textId="19F7602A"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a) doklady</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platbe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výsledky auditov investícií, osvedčenie príjemcov</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dokončení investícií;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zároveň</w:t>
            </w:r>
          </w:p>
          <w:p w14:paraId="5177E809" w14:textId="00357F0D"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b) </w:t>
            </w:r>
            <w:r w:rsidRPr="00083739">
              <w:rPr>
                <w:rFonts w:ascii="Times New Roman" w:hAnsi="Times New Roman" w:cs="Times New Roman"/>
                <w:noProof/>
                <w:lang w:val="sk-SK"/>
              </w:rPr>
              <w:t>zdokumentované revízie právneho rámca</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odkazmi na úradný vestník.</w:t>
            </w:r>
          </w:p>
        </w:tc>
        <w:tc>
          <w:tcPr>
            <w:tcW w:w="1397" w:type="dxa"/>
            <w:tcBorders>
              <w:top w:val="single" w:sz="4" w:space="0" w:color="auto"/>
              <w:left w:val="nil"/>
              <w:bottom w:val="single" w:sz="4" w:space="0" w:color="auto"/>
              <w:right w:val="single" w:sz="4" w:space="0" w:color="auto"/>
            </w:tcBorders>
            <w:shd w:val="clear" w:color="auto" w:fill="C6EFCE"/>
            <w:noWrap/>
          </w:tcPr>
          <w:p w14:paraId="000D8EBE"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58" w:type="dxa"/>
            <w:tcBorders>
              <w:top w:val="single" w:sz="4" w:space="0" w:color="auto"/>
              <w:left w:val="nil"/>
              <w:bottom w:val="single" w:sz="4" w:space="0" w:color="auto"/>
              <w:right w:val="single" w:sz="4" w:space="0" w:color="auto"/>
            </w:tcBorders>
            <w:shd w:val="clear" w:color="auto" w:fill="C6EFCE"/>
            <w:noWrap/>
          </w:tcPr>
          <w:p w14:paraId="2329D0F6"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2" w:type="dxa"/>
            <w:tcBorders>
              <w:top w:val="single" w:sz="4" w:space="0" w:color="auto"/>
              <w:left w:val="nil"/>
              <w:bottom w:val="single" w:sz="4" w:space="0" w:color="auto"/>
              <w:right w:val="single" w:sz="4" w:space="0" w:color="auto"/>
            </w:tcBorders>
            <w:shd w:val="clear" w:color="auto" w:fill="C6EFCE"/>
            <w:noWrap/>
          </w:tcPr>
          <w:p w14:paraId="16424137"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134" w:type="dxa"/>
            <w:tcBorders>
              <w:top w:val="single" w:sz="4" w:space="0" w:color="auto"/>
              <w:left w:val="nil"/>
              <w:bottom w:val="single" w:sz="4" w:space="0" w:color="auto"/>
              <w:right w:val="single" w:sz="4" w:space="0" w:color="auto"/>
            </w:tcBorders>
            <w:shd w:val="clear" w:color="auto" w:fill="C6EFCE"/>
            <w:noWrap/>
          </w:tcPr>
          <w:p w14:paraId="06CCA5E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851" w:type="dxa"/>
            <w:tcBorders>
              <w:top w:val="single" w:sz="4" w:space="0" w:color="auto"/>
              <w:left w:val="nil"/>
              <w:bottom w:val="single" w:sz="4" w:space="0" w:color="auto"/>
              <w:right w:val="single" w:sz="4" w:space="0" w:color="auto"/>
            </w:tcBorders>
            <w:shd w:val="clear" w:color="auto" w:fill="C6EFCE"/>
            <w:noWrap/>
          </w:tcPr>
          <w:p w14:paraId="7405A7B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3950" w:type="dxa"/>
            <w:tcBorders>
              <w:top w:val="single" w:sz="4" w:space="0" w:color="auto"/>
              <w:left w:val="nil"/>
              <w:bottom w:val="single" w:sz="4" w:space="0" w:color="auto"/>
              <w:right w:val="single" w:sz="4" w:space="0" w:color="auto"/>
            </w:tcBorders>
            <w:shd w:val="clear" w:color="auto" w:fill="C6EFCE"/>
            <w:noWrap/>
          </w:tcPr>
          <w:p w14:paraId="17FF3F84" w14:textId="4472F6FC" w:rsidR="002D49B0" w:rsidRPr="00083739" w:rsidRDefault="00BF4125">
            <w:pPr>
              <w:pStyle w:val="P68B1DB1-Normal9"/>
              <w:spacing w:after="0" w:line="240" w:lineRule="auto"/>
              <w:rPr>
                <w:rFonts w:ascii="Times New Roman" w:eastAsiaTheme="minorEastAsia" w:hAnsi="Times New Roman" w:cs="Times New Roman"/>
                <w:noProof/>
                <w:szCs w:val="18"/>
                <w:lang w:val="sk-SK"/>
              </w:rPr>
            </w:pPr>
            <w:r w:rsidRPr="00083739">
              <w:rPr>
                <w:rFonts w:ascii="Times New Roman" w:hAnsi="Times New Roman" w:cs="Times New Roman"/>
                <w:noProof/>
                <w:lang w:val="sk-SK"/>
              </w:rPr>
              <w:t>Nadobudnutie účinnosti právnych predpisov na a) zriadenie Univerzity umeleckého umenia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b) preskúmanie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aktualizáciu učebných osnov tejto inštitúcie vysokoškolskéh</w:t>
            </w:r>
            <w:r w:rsidRPr="00083739">
              <w:rPr>
                <w:rFonts w:ascii="Times New Roman" w:hAnsi="Times New Roman" w:cs="Times New Roman"/>
                <w:noProof/>
                <w:lang w:val="sk-SK"/>
              </w:rPr>
              <w:t>o vzdelávania</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umenia.</w:t>
            </w:r>
          </w:p>
          <w:p w14:paraId="36347B81" w14:textId="77777777" w:rsidR="002D49B0" w:rsidRPr="00083739" w:rsidRDefault="002D49B0">
            <w:pPr>
              <w:spacing w:after="0" w:line="240" w:lineRule="auto"/>
              <w:rPr>
                <w:rFonts w:ascii="Times New Roman" w:eastAsiaTheme="minorEastAsia" w:hAnsi="Times New Roman" w:cs="Times New Roman"/>
                <w:noProof/>
                <w:color w:val="006100"/>
                <w:sz w:val="18"/>
                <w:szCs w:val="18"/>
                <w:lang w:val="sk-SK"/>
              </w:rPr>
            </w:pPr>
          </w:p>
          <w:p w14:paraId="57CA4964" w14:textId="299C4065" w:rsidR="00083739" w:rsidRPr="00083739" w:rsidRDefault="00BF4125">
            <w:pPr>
              <w:pStyle w:val="P68B1DB1-Normal33"/>
              <w:spacing w:after="0" w:line="240" w:lineRule="auto"/>
              <w:rPr>
                <w:rFonts w:ascii="Times New Roman" w:hAnsi="Times New Roman" w:cs="Times New Roman"/>
                <w:noProof/>
                <w:lang w:val="sk-SK"/>
              </w:rPr>
            </w:pPr>
            <w:r w:rsidRPr="00083739">
              <w:rPr>
                <w:rFonts w:ascii="Times New Roman" w:hAnsi="Times New Roman" w:cs="Times New Roman"/>
                <w:noProof/>
                <w:lang w:val="sk-SK"/>
              </w:rPr>
              <w:t>Dokončenie modernizácie budovy Národnej školy tanca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Štátneho konzervačného strediska Solún</w:t>
            </w:r>
            <w:r w:rsidR="00083739" w:rsidRPr="00083739">
              <w:rPr>
                <w:rFonts w:ascii="Times New Roman" w:hAnsi="Times New Roman" w:cs="Times New Roman"/>
                <w:noProof/>
                <w:lang w:val="sk-SK"/>
              </w:rPr>
              <w:t>.</w:t>
            </w:r>
          </w:p>
          <w:p w14:paraId="4B7464D1" w14:textId="52C12C38" w:rsidR="002D49B0" w:rsidRPr="00083739" w:rsidRDefault="002D49B0">
            <w:pPr>
              <w:spacing w:after="0" w:line="240" w:lineRule="auto"/>
              <w:rPr>
                <w:rFonts w:ascii="Times New Roman" w:eastAsiaTheme="minorEastAsia" w:hAnsi="Times New Roman" w:cs="Times New Roman"/>
                <w:noProof/>
                <w:color w:val="006100"/>
                <w:sz w:val="18"/>
                <w:szCs w:val="18"/>
                <w:lang w:val="sk-SK"/>
              </w:rPr>
            </w:pPr>
          </w:p>
          <w:p w14:paraId="4B4C926C" w14:textId="138A4B5C" w:rsidR="002D49B0" w:rsidRPr="00083739" w:rsidRDefault="00BF4125">
            <w:pPr>
              <w:pStyle w:val="P68B1DB1-Normal33"/>
              <w:spacing w:after="0" w:line="240" w:lineRule="auto"/>
              <w:rPr>
                <w:rFonts w:ascii="Times New Roman" w:eastAsiaTheme="minorEastAsia" w:hAnsi="Times New Roman" w:cs="Times New Roman"/>
                <w:noProof/>
                <w:szCs w:val="18"/>
                <w:lang w:val="sk-SK"/>
              </w:rPr>
            </w:pPr>
            <w:r w:rsidRPr="00083739">
              <w:rPr>
                <w:rFonts w:ascii="Times New Roman" w:hAnsi="Times New Roman" w:cs="Times New Roman"/>
                <w:noProof/>
                <w:lang w:val="sk-SK"/>
              </w:rPr>
              <w:t>Dokončenie modernizácie hlavných štátnych vzdelávacích inštitúcií</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umenia (Škola národného divadla</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 xml:space="preserve">Drame, Štátne </w:t>
            </w:r>
            <w:r w:rsidRPr="00083739">
              <w:rPr>
                <w:rFonts w:ascii="Times New Roman" w:hAnsi="Times New Roman" w:cs="Times New Roman"/>
                <w:noProof/>
                <w:lang w:val="sk-SK"/>
              </w:rPr>
              <w:t>divadlo severného Grécka, Vysoká škola mravných remesiel</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Tinose)</w:t>
            </w:r>
          </w:p>
          <w:p w14:paraId="539A13AC" w14:textId="77777777" w:rsidR="002D49B0" w:rsidRPr="00083739" w:rsidRDefault="002D49B0">
            <w:pPr>
              <w:spacing w:after="0" w:line="240" w:lineRule="auto"/>
              <w:rPr>
                <w:rFonts w:ascii="Times New Roman" w:hAnsi="Times New Roman" w:cs="Times New Roman"/>
                <w:noProof/>
                <w:color w:val="006100"/>
                <w:sz w:val="18"/>
                <w:lang w:val="sk-SK"/>
              </w:rPr>
            </w:pPr>
          </w:p>
        </w:tc>
      </w:tr>
      <w:tr w:rsidR="002D49B0" w:rsidRPr="00083739" w14:paraId="603E410E" w14:textId="77777777">
        <w:trPr>
          <w:trHeight w:val="313"/>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4642DCE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287</w:t>
            </w:r>
          </w:p>
        </w:tc>
        <w:tc>
          <w:tcPr>
            <w:tcW w:w="1615" w:type="dxa"/>
            <w:tcBorders>
              <w:top w:val="single" w:sz="4" w:space="0" w:color="auto"/>
              <w:left w:val="nil"/>
              <w:bottom w:val="single" w:sz="4" w:space="0" w:color="auto"/>
              <w:right w:val="single" w:sz="4" w:space="0" w:color="auto"/>
            </w:tcBorders>
            <w:shd w:val="clear" w:color="auto" w:fill="C6EFCE"/>
            <w:noWrap/>
          </w:tcPr>
          <w:p w14:paraId="0E21F499" w14:textId="5FD35F68"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17 – 4.6. Modernizácia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zlepšenie odolnosti kľúčových hospodárskych odvetví – 16486_Museum podmorských starožitností</w:t>
            </w:r>
          </w:p>
        </w:tc>
        <w:tc>
          <w:tcPr>
            <w:tcW w:w="1008" w:type="dxa"/>
            <w:tcBorders>
              <w:top w:val="single" w:sz="4" w:space="0" w:color="auto"/>
              <w:left w:val="nil"/>
              <w:bottom w:val="single" w:sz="4" w:space="0" w:color="auto"/>
              <w:right w:val="single" w:sz="4" w:space="0" w:color="auto"/>
            </w:tcBorders>
            <w:shd w:val="clear" w:color="auto" w:fill="C6EFCE"/>
            <w:noWrap/>
          </w:tcPr>
          <w:p w14:paraId="47B1412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290" w:type="dxa"/>
            <w:tcBorders>
              <w:top w:val="single" w:sz="4" w:space="0" w:color="auto"/>
              <w:left w:val="nil"/>
              <w:bottom w:val="single" w:sz="4" w:space="0" w:color="auto"/>
              <w:right w:val="single" w:sz="4" w:space="0" w:color="auto"/>
            </w:tcBorders>
            <w:shd w:val="clear" w:color="auto" w:fill="C6EFCE"/>
            <w:noWrap/>
          </w:tcPr>
          <w:p w14:paraId="761DA8D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Múzeum podmorských starožitností</w:t>
            </w:r>
          </w:p>
        </w:tc>
        <w:tc>
          <w:tcPr>
            <w:tcW w:w="1549" w:type="dxa"/>
            <w:tcBorders>
              <w:top w:val="single" w:sz="4" w:space="0" w:color="auto"/>
              <w:left w:val="nil"/>
              <w:bottom w:val="single" w:sz="4" w:space="0" w:color="auto"/>
              <w:right w:val="single" w:sz="4" w:space="0" w:color="auto"/>
            </w:tcBorders>
            <w:shd w:val="clear" w:color="auto" w:fill="C6EFCE"/>
            <w:noWrap/>
          </w:tcPr>
          <w:p w14:paraId="58436205" w14:textId="77777777"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Správa</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 xml:space="preserve">dokončení </w:t>
            </w:r>
            <w:r w:rsidRPr="00083739">
              <w:rPr>
                <w:rFonts w:ascii="Times New Roman" w:hAnsi="Times New Roman" w:cs="Times New Roman"/>
                <w:noProof/>
                <w:lang w:val="sk-SK"/>
              </w:rPr>
              <w:t>vrátane</w:t>
            </w:r>
          </w:p>
          <w:p w14:paraId="2E74026D" w14:textId="69255539"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(1a) Certifikácia dokončenia investície;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zároveň</w:t>
            </w:r>
          </w:p>
          <w:p w14:paraId="338DD9B4" w14:textId="361F3DCA"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(1b) Certifikácia prác na stálych výstavných priestoroch, konzervačné práce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dokumentácia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publikácie podporujúce výstavu.</w:t>
            </w:r>
          </w:p>
        </w:tc>
        <w:tc>
          <w:tcPr>
            <w:tcW w:w="1397" w:type="dxa"/>
            <w:tcBorders>
              <w:top w:val="single" w:sz="4" w:space="0" w:color="auto"/>
              <w:left w:val="nil"/>
              <w:bottom w:val="single" w:sz="4" w:space="0" w:color="auto"/>
              <w:right w:val="single" w:sz="4" w:space="0" w:color="auto"/>
            </w:tcBorders>
            <w:shd w:val="clear" w:color="auto" w:fill="C6EFCE"/>
            <w:noWrap/>
          </w:tcPr>
          <w:p w14:paraId="63E59A84"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58" w:type="dxa"/>
            <w:tcBorders>
              <w:top w:val="single" w:sz="4" w:space="0" w:color="auto"/>
              <w:left w:val="nil"/>
              <w:bottom w:val="single" w:sz="4" w:space="0" w:color="auto"/>
              <w:right w:val="single" w:sz="4" w:space="0" w:color="auto"/>
            </w:tcBorders>
            <w:shd w:val="clear" w:color="auto" w:fill="C6EFCE"/>
            <w:noWrap/>
          </w:tcPr>
          <w:p w14:paraId="7A65A8C5"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2" w:type="dxa"/>
            <w:tcBorders>
              <w:top w:val="single" w:sz="4" w:space="0" w:color="auto"/>
              <w:left w:val="nil"/>
              <w:bottom w:val="single" w:sz="4" w:space="0" w:color="auto"/>
              <w:right w:val="single" w:sz="4" w:space="0" w:color="auto"/>
            </w:tcBorders>
            <w:shd w:val="clear" w:color="auto" w:fill="C6EFCE"/>
            <w:noWrap/>
          </w:tcPr>
          <w:p w14:paraId="29088035"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134" w:type="dxa"/>
            <w:tcBorders>
              <w:top w:val="single" w:sz="4" w:space="0" w:color="auto"/>
              <w:left w:val="nil"/>
              <w:bottom w:val="single" w:sz="4" w:space="0" w:color="auto"/>
              <w:right w:val="single" w:sz="4" w:space="0" w:color="auto"/>
            </w:tcBorders>
            <w:shd w:val="clear" w:color="auto" w:fill="C6EFCE"/>
            <w:noWrap/>
          </w:tcPr>
          <w:p w14:paraId="462B47C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851" w:type="dxa"/>
            <w:tcBorders>
              <w:top w:val="single" w:sz="4" w:space="0" w:color="auto"/>
              <w:left w:val="nil"/>
              <w:bottom w:val="single" w:sz="4" w:space="0" w:color="auto"/>
              <w:right w:val="single" w:sz="4" w:space="0" w:color="auto"/>
            </w:tcBorders>
            <w:shd w:val="clear" w:color="auto" w:fill="C6EFCE"/>
            <w:noWrap/>
          </w:tcPr>
          <w:p w14:paraId="056E2F1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3950" w:type="dxa"/>
            <w:tcBorders>
              <w:top w:val="single" w:sz="4" w:space="0" w:color="auto"/>
              <w:left w:val="nil"/>
              <w:bottom w:val="single" w:sz="4" w:space="0" w:color="auto"/>
              <w:right w:val="single" w:sz="4" w:space="0" w:color="auto"/>
            </w:tcBorders>
            <w:shd w:val="clear" w:color="auto" w:fill="C6EFCE"/>
            <w:noWrap/>
          </w:tcPr>
          <w:p w14:paraId="1CF7B240" w14:textId="77777777"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Dokončenie múzea podmorských starožitností: (1a)</w:t>
            </w:r>
            <w:r w:rsidRPr="00083739">
              <w:rPr>
                <w:rFonts w:ascii="Times New Roman" w:hAnsi="Times New Roman" w:cs="Times New Roman"/>
                <w:noProof/>
                <w:lang w:val="sk-SK"/>
              </w:rPr>
              <w:t xml:space="preserve"> dokončenie prác zameraných na energetickú efektívnosť</w:t>
            </w:r>
            <w:r w:rsidR="00083739" w:rsidRPr="00083739">
              <w:rPr>
                <w:rFonts w:ascii="Times New Roman" w:hAnsi="Times New Roman" w:cs="Times New Roman"/>
                <w:noProof/>
                <w:lang w:val="sk-SK"/>
              </w:rPr>
              <w:t xml:space="preserve"> a</w:t>
            </w:r>
          </w:p>
          <w:p w14:paraId="7B5AAA25" w14:textId="2C142C64" w:rsidR="002D49B0" w:rsidRPr="00083739" w:rsidRDefault="00BF4125">
            <w:pPr>
              <w:spacing w:after="0" w:line="240" w:lineRule="auto"/>
              <w:rPr>
                <w:rFonts w:ascii="Times New Roman" w:eastAsia="Times New Roman" w:hAnsi="Times New Roman" w:cs="Times New Roman"/>
                <w:noProof/>
                <w:color w:val="006100"/>
                <w:sz w:val="18"/>
                <w:szCs w:val="18"/>
                <w:lang w:val="sk-SK"/>
              </w:rPr>
            </w:pPr>
            <w:r w:rsidRPr="00083739">
              <w:rPr>
                <w:rFonts w:ascii="Times New Roman" w:hAnsi="Times New Roman" w:cs="Times New Roman"/>
                <w:noProof/>
                <w:color w:val="006100"/>
                <w:sz w:val="18"/>
                <w:lang w:val="sk-SK"/>
              </w:rPr>
              <w:t>(1b) organizácia stálej výstavy, ktorá</w:t>
            </w:r>
            <w:r w:rsidRPr="00083739">
              <w:rPr>
                <w:rFonts w:ascii="Times New Roman" w:hAnsi="Times New Roman" w:cs="Times New Roman"/>
                <w:noProof/>
                <w:sz w:val="24"/>
                <w:lang w:val="sk-SK"/>
              </w:rPr>
              <w:t xml:space="preserve"> </w:t>
            </w:r>
            <w:r w:rsidRPr="00083739">
              <w:rPr>
                <w:rFonts w:ascii="Times New Roman" w:hAnsi="Times New Roman" w:cs="Times New Roman"/>
                <w:noProof/>
                <w:color w:val="006100"/>
                <w:sz w:val="18"/>
                <w:lang w:val="sk-SK"/>
              </w:rPr>
              <w:t>vytvára významnú pridanú hodnotu pre cestovný ruch</w:t>
            </w:r>
            <w:r w:rsidR="00083739" w:rsidRPr="00083739">
              <w:rPr>
                <w:rFonts w:ascii="Times New Roman" w:hAnsi="Times New Roman" w:cs="Times New Roman"/>
                <w:noProof/>
                <w:color w:val="006100"/>
                <w:sz w:val="18"/>
                <w:lang w:val="sk-SK"/>
              </w:rPr>
              <w:t xml:space="preserve"> a </w:t>
            </w:r>
            <w:r w:rsidRPr="00083739">
              <w:rPr>
                <w:rFonts w:ascii="Times New Roman" w:hAnsi="Times New Roman" w:cs="Times New Roman"/>
                <w:noProof/>
                <w:color w:val="006100"/>
                <w:sz w:val="18"/>
                <w:lang w:val="sk-SK"/>
              </w:rPr>
              <w:t>kultúru pre Pireus</w:t>
            </w:r>
            <w:r w:rsidR="00083739" w:rsidRPr="00083739">
              <w:rPr>
                <w:rFonts w:ascii="Times New Roman" w:hAnsi="Times New Roman" w:cs="Times New Roman"/>
                <w:noProof/>
                <w:color w:val="006100"/>
                <w:sz w:val="18"/>
                <w:lang w:val="sk-SK"/>
              </w:rPr>
              <w:t xml:space="preserve"> a </w:t>
            </w:r>
            <w:r w:rsidRPr="00083739">
              <w:rPr>
                <w:rFonts w:ascii="Times New Roman" w:hAnsi="Times New Roman" w:cs="Times New Roman"/>
                <w:noProof/>
                <w:color w:val="006100"/>
                <w:sz w:val="18"/>
                <w:lang w:val="sk-SK"/>
              </w:rPr>
              <w:t>širšiu oblasť Atén.</w:t>
            </w:r>
          </w:p>
        </w:tc>
      </w:tr>
      <w:tr w:rsidR="002D49B0" w:rsidRPr="00083739" w14:paraId="366FF075" w14:textId="77777777">
        <w:trPr>
          <w:trHeight w:val="313"/>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4F529A6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288</w:t>
            </w:r>
          </w:p>
        </w:tc>
        <w:tc>
          <w:tcPr>
            <w:tcW w:w="1615" w:type="dxa"/>
            <w:tcBorders>
              <w:top w:val="single" w:sz="4" w:space="0" w:color="auto"/>
              <w:left w:val="nil"/>
              <w:bottom w:val="single" w:sz="4" w:space="0" w:color="auto"/>
              <w:right w:val="single" w:sz="4" w:space="0" w:color="auto"/>
            </w:tcBorders>
            <w:shd w:val="clear" w:color="auto" w:fill="C6EFCE"/>
            <w:noWrap/>
          </w:tcPr>
          <w:p w14:paraId="2EFAB6AA" w14:textId="3C53F8F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17 – 4.6. Modernizácia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zlepšenie odolnosti kľúčových </w:t>
            </w:r>
            <w:r w:rsidRPr="00083739">
              <w:rPr>
                <w:rFonts w:ascii="Times New Roman" w:hAnsi="Times New Roman" w:cs="Times New Roman"/>
                <w:noProof/>
                <w:lang w:val="sk-SK"/>
              </w:rPr>
              <w:t>hospodárskych odvetví – 16485_Kultúrne trasy na emblematických archeologických lokalitách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pamiatkach</w:t>
            </w:r>
          </w:p>
        </w:tc>
        <w:tc>
          <w:tcPr>
            <w:tcW w:w="1008" w:type="dxa"/>
            <w:tcBorders>
              <w:top w:val="single" w:sz="4" w:space="0" w:color="auto"/>
              <w:left w:val="nil"/>
              <w:bottom w:val="single" w:sz="4" w:space="0" w:color="auto"/>
              <w:right w:val="single" w:sz="4" w:space="0" w:color="auto"/>
            </w:tcBorders>
            <w:shd w:val="clear" w:color="auto" w:fill="C6EFCE"/>
            <w:noWrap/>
          </w:tcPr>
          <w:p w14:paraId="633E6FA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290" w:type="dxa"/>
            <w:tcBorders>
              <w:top w:val="single" w:sz="4" w:space="0" w:color="auto"/>
              <w:left w:val="nil"/>
              <w:bottom w:val="single" w:sz="4" w:space="0" w:color="auto"/>
              <w:right w:val="single" w:sz="4" w:space="0" w:color="auto"/>
            </w:tcBorders>
            <w:shd w:val="clear" w:color="auto" w:fill="C6EFCE"/>
            <w:noWrap/>
          </w:tcPr>
          <w:p w14:paraId="6D4E0F9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Kultúrne trasy na emblematických archeologických lokalitách</w:t>
            </w:r>
          </w:p>
        </w:tc>
        <w:tc>
          <w:tcPr>
            <w:tcW w:w="1549" w:type="dxa"/>
            <w:tcBorders>
              <w:top w:val="single" w:sz="4" w:space="0" w:color="auto"/>
              <w:left w:val="nil"/>
              <w:bottom w:val="single" w:sz="4" w:space="0" w:color="auto"/>
              <w:right w:val="single" w:sz="4" w:space="0" w:color="auto"/>
            </w:tcBorders>
            <w:shd w:val="clear" w:color="auto" w:fill="C6EFCE"/>
            <w:noWrap/>
          </w:tcPr>
          <w:p w14:paraId="66B9F1D8" w14:textId="72167AD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Správa</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dokončení vrátane certifikácie prijímateľov</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dokončení investícií.</w:t>
            </w:r>
          </w:p>
        </w:tc>
        <w:tc>
          <w:tcPr>
            <w:tcW w:w="1397" w:type="dxa"/>
            <w:tcBorders>
              <w:top w:val="single" w:sz="4" w:space="0" w:color="auto"/>
              <w:left w:val="nil"/>
              <w:bottom w:val="single" w:sz="4" w:space="0" w:color="auto"/>
              <w:right w:val="single" w:sz="4" w:space="0" w:color="auto"/>
            </w:tcBorders>
            <w:shd w:val="clear" w:color="auto" w:fill="C6EFCE"/>
            <w:noWrap/>
          </w:tcPr>
          <w:p w14:paraId="067FD665"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58" w:type="dxa"/>
            <w:tcBorders>
              <w:top w:val="single" w:sz="4" w:space="0" w:color="auto"/>
              <w:left w:val="nil"/>
              <w:bottom w:val="single" w:sz="4" w:space="0" w:color="auto"/>
              <w:right w:val="single" w:sz="4" w:space="0" w:color="auto"/>
            </w:tcBorders>
            <w:shd w:val="clear" w:color="auto" w:fill="C6EFCE"/>
            <w:noWrap/>
          </w:tcPr>
          <w:p w14:paraId="71509BE2"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2" w:type="dxa"/>
            <w:tcBorders>
              <w:top w:val="single" w:sz="4" w:space="0" w:color="auto"/>
              <w:left w:val="nil"/>
              <w:bottom w:val="single" w:sz="4" w:space="0" w:color="auto"/>
              <w:right w:val="single" w:sz="4" w:space="0" w:color="auto"/>
            </w:tcBorders>
            <w:shd w:val="clear" w:color="auto" w:fill="C6EFCE"/>
            <w:noWrap/>
          </w:tcPr>
          <w:p w14:paraId="3C7919F9"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134" w:type="dxa"/>
            <w:tcBorders>
              <w:top w:val="single" w:sz="4" w:space="0" w:color="auto"/>
              <w:left w:val="nil"/>
              <w:bottom w:val="single" w:sz="4" w:space="0" w:color="auto"/>
              <w:right w:val="single" w:sz="4" w:space="0" w:color="auto"/>
            </w:tcBorders>
            <w:shd w:val="clear" w:color="auto" w:fill="C6EFCE"/>
            <w:noWrap/>
          </w:tcPr>
          <w:p w14:paraId="0CE63C7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w:t>
            </w:r>
            <w:r w:rsidRPr="00083739">
              <w:rPr>
                <w:rFonts w:ascii="Times New Roman" w:hAnsi="Times New Roman" w:cs="Times New Roman"/>
                <w:noProof/>
                <w:lang w:val="sk-SK"/>
              </w:rPr>
              <w:t xml:space="preserve"> ŠTVRŤROK</w:t>
            </w:r>
          </w:p>
        </w:tc>
        <w:tc>
          <w:tcPr>
            <w:tcW w:w="851" w:type="dxa"/>
            <w:tcBorders>
              <w:top w:val="single" w:sz="4" w:space="0" w:color="auto"/>
              <w:left w:val="nil"/>
              <w:bottom w:val="single" w:sz="4" w:space="0" w:color="auto"/>
              <w:right w:val="single" w:sz="4" w:space="0" w:color="auto"/>
            </w:tcBorders>
            <w:shd w:val="clear" w:color="auto" w:fill="C6EFCE"/>
            <w:noWrap/>
          </w:tcPr>
          <w:p w14:paraId="77A9DD3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3950" w:type="dxa"/>
            <w:tcBorders>
              <w:top w:val="single" w:sz="4" w:space="0" w:color="auto"/>
              <w:left w:val="nil"/>
              <w:bottom w:val="single" w:sz="4" w:space="0" w:color="auto"/>
              <w:right w:val="single" w:sz="4" w:space="0" w:color="auto"/>
            </w:tcBorders>
            <w:shd w:val="clear" w:color="auto" w:fill="C6EFCE"/>
            <w:noWrap/>
          </w:tcPr>
          <w:p w14:paraId="4A97A3B3" w14:textId="0030A394"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Ukončenie kultúrnych trás: poskytovanie piatich geograficky rozšírených kultúrnych trás</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tematickými naratívmi</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gréckej histórie vrátane zachovania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obnovy vybraných pamiatok, modernizácie služieb</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infraštruktúry, vývoja interaktívnych d</w:t>
            </w:r>
            <w:r w:rsidRPr="00083739">
              <w:rPr>
                <w:rFonts w:ascii="Times New Roman" w:hAnsi="Times New Roman" w:cs="Times New Roman"/>
                <w:noProof/>
                <w:lang w:val="sk-SK"/>
              </w:rPr>
              <w:t>igitálnych aplikácií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začlenenia umenia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kultúrnych podujatí.</w:t>
            </w:r>
          </w:p>
        </w:tc>
      </w:tr>
      <w:tr w:rsidR="002D49B0" w:rsidRPr="00083739" w14:paraId="00FF62EB" w14:textId="77777777">
        <w:trPr>
          <w:trHeight w:val="313"/>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7F687797" w14:textId="5620F6A8"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289</w:t>
            </w:r>
          </w:p>
        </w:tc>
        <w:tc>
          <w:tcPr>
            <w:tcW w:w="1615" w:type="dxa"/>
            <w:tcBorders>
              <w:top w:val="single" w:sz="4" w:space="0" w:color="auto"/>
              <w:left w:val="nil"/>
              <w:bottom w:val="single" w:sz="4" w:space="0" w:color="auto"/>
              <w:right w:val="single" w:sz="4" w:space="0" w:color="auto"/>
            </w:tcBorders>
            <w:shd w:val="clear" w:color="auto" w:fill="C6EFCE"/>
            <w:noWrap/>
          </w:tcPr>
          <w:p w14:paraId="65C0D9CF" w14:textId="6CE7EE06"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17 – 4.6. Modernizácia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zlepšenie odolnosti kľúčových hospodárskych odvetví – 16735_Využívanie „umelcov na predpis“, podpora sociálnej súdržnosti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využívanie striebornej ekonomiky</w:t>
            </w:r>
          </w:p>
        </w:tc>
        <w:tc>
          <w:tcPr>
            <w:tcW w:w="1008" w:type="dxa"/>
            <w:tcBorders>
              <w:top w:val="single" w:sz="4" w:space="0" w:color="auto"/>
              <w:left w:val="nil"/>
              <w:bottom w:val="single" w:sz="4" w:space="0" w:color="auto"/>
              <w:right w:val="single" w:sz="4" w:space="0" w:color="auto"/>
            </w:tcBorders>
            <w:shd w:val="clear" w:color="auto" w:fill="C6EFCE"/>
            <w:noWrap/>
          </w:tcPr>
          <w:p w14:paraId="3270C11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290" w:type="dxa"/>
            <w:tcBorders>
              <w:top w:val="single" w:sz="4" w:space="0" w:color="auto"/>
              <w:left w:val="nil"/>
              <w:bottom w:val="single" w:sz="4" w:space="0" w:color="auto"/>
              <w:right w:val="single" w:sz="4" w:space="0" w:color="auto"/>
            </w:tcBorders>
            <w:shd w:val="clear" w:color="auto" w:fill="C6EFCE"/>
            <w:noWrap/>
          </w:tcPr>
          <w:p w14:paraId="2AABDECE" w14:textId="7C21E3D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Používanie „umelca</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predpisovaní“,</w:t>
            </w:r>
          </w:p>
        </w:tc>
        <w:tc>
          <w:tcPr>
            <w:tcW w:w="1549" w:type="dxa"/>
            <w:tcBorders>
              <w:top w:val="single" w:sz="4" w:space="0" w:color="auto"/>
              <w:left w:val="nil"/>
              <w:bottom w:val="single" w:sz="4" w:space="0" w:color="auto"/>
              <w:right w:val="single" w:sz="4" w:space="0" w:color="auto"/>
            </w:tcBorders>
            <w:shd w:val="clear" w:color="auto" w:fill="C6EFCE"/>
            <w:noWrap/>
          </w:tcPr>
          <w:p w14:paraId="1E8F43B4" w14:textId="1E2F3862"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Správa</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dokončení vrátane certifikácie prijímateľov</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dokončení investícií.</w:t>
            </w:r>
          </w:p>
        </w:tc>
        <w:tc>
          <w:tcPr>
            <w:tcW w:w="1397" w:type="dxa"/>
            <w:tcBorders>
              <w:top w:val="single" w:sz="4" w:space="0" w:color="auto"/>
              <w:left w:val="nil"/>
              <w:bottom w:val="single" w:sz="4" w:space="0" w:color="auto"/>
              <w:right w:val="single" w:sz="4" w:space="0" w:color="auto"/>
            </w:tcBorders>
            <w:shd w:val="clear" w:color="auto" w:fill="C6EFCE"/>
            <w:noWrap/>
          </w:tcPr>
          <w:p w14:paraId="79251313"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58" w:type="dxa"/>
            <w:tcBorders>
              <w:top w:val="single" w:sz="4" w:space="0" w:color="auto"/>
              <w:left w:val="nil"/>
              <w:bottom w:val="single" w:sz="4" w:space="0" w:color="auto"/>
              <w:right w:val="single" w:sz="4" w:space="0" w:color="auto"/>
            </w:tcBorders>
            <w:shd w:val="clear" w:color="auto" w:fill="C6EFCE"/>
            <w:noWrap/>
          </w:tcPr>
          <w:p w14:paraId="1E59B312"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2" w:type="dxa"/>
            <w:tcBorders>
              <w:top w:val="single" w:sz="4" w:space="0" w:color="auto"/>
              <w:left w:val="nil"/>
              <w:bottom w:val="single" w:sz="4" w:space="0" w:color="auto"/>
              <w:right w:val="single" w:sz="4" w:space="0" w:color="auto"/>
            </w:tcBorders>
            <w:shd w:val="clear" w:color="auto" w:fill="C6EFCE"/>
            <w:noWrap/>
          </w:tcPr>
          <w:p w14:paraId="7237740E"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134" w:type="dxa"/>
            <w:tcBorders>
              <w:top w:val="single" w:sz="4" w:space="0" w:color="auto"/>
              <w:left w:val="nil"/>
              <w:bottom w:val="single" w:sz="4" w:space="0" w:color="auto"/>
              <w:right w:val="single" w:sz="4" w:space="0" w:color="auto"/>
            </w:tcBorders>
            <w:shd w:val="clear" w:color="auto" w:fill="C6EFCE"/>
            <w:noWrap/>
          </w:tcPr>
          <w:p w14:paraId="546C37F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851" w:type="dxa"/>
            <w:tcBorders>
              <w:top w:val="single" w:sz="4" w:space="0" w:color="auto"/>
              <w:left w:val="nil"/>
              <w:bottom w:val="single" w:sz="4" w:space="0" w:color="auto"/>
              <w:right w:val="single" w:sz="4" w:space="0" w:color="auto"/>
            </w:tcBorders>
            <w:shd w:val="clear" w:color="auto" w:fill="C6EFCE"/>
            <w:noWrap/>
          </w:tcPr>
          <w:p w14:paraId="56ABFAB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3950" w:type="dxa"/>
            <w:tcBorders>
              <w:top w:val="single" w:sz="4" w:space="0" w:color="auto"/>
              <w:left w:val="nil"/>
              <w:bottom w:val="single" w:sz="4" w:space="0" w:color="auto"/>
              <w:right w:val="single" w:sz="4" w:space="0" w:color="auto"/>
            </w:tcBorders>
            <w:shd w:val="clear" w:color="auto" w:fill="C6EFCE"/>
            <w:noWrap/>
          </w:tcPr>
          <w:p w14:paraId="1EBEEFBE" w14:textId="283234F1"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zlepšení infraštruktúry vo vybraných lokalitách</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cieľom zlepšiť fyzický prístup</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poskytnúť systémy </w:t>
            </w:r>
            <w:r w:rsidRPr="00083739">
              <w:rPr>
                <w:rFonts w:ascii="Times New Roman" w:hAnsi="Times New Roman" w:cs="Times New Roman"/>
                <w:noProof/>
                <w:lang w:val="sk-SK"/>
              </w:rPr>
              <w:t>prehliadky so sprievodcom so sluchovými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vizuálnymi pomôckami kultúrnym priestorom, ako sú múzeá, divadlá, festivaly, archeologické náleziská;</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dokončenie vývoja digitálneho portálu pre návštevníkov so zdravotným postihnutím. Dokončenie článkov</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predpis</w:t>
            </w:r>
            <w:r w:rsidRPr="00083739">
              <w:rPr>
                <w:rFonts w:ascii="Times New Roman" w:hAnsi="Times New Roman" w:cs="Times New Roman"/>
                <w:noProof/>
                <w:lang w:val="sk-SK"/>
              </w:rPr>
              <w:t>ovom predpise vrátane podpory intervencií, ktoré využívajú umenie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kultúru na pomoc pri zotavení sa</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problémov duševného zdravia, poskytovanie programov odbornej prípravy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seminárov pre odborníkov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tomto odvetví.</w:t>
            </w:r>
          </w:p>
          <w:p w14:paraId="1DFFFFA7"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r>
      <w:tr w:rsidR="002D49B0" w:rsidRPr="00083739" w14:paraId="28BFEDA6" w14:textId="77777777">
        <w:trPr>
          <w:trHeight w:val="313"/>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60827C2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290</w:t>
            </w:r>
          </w:p>
        </w:tc>
        <w:tc>
          <w:tcPr>
            <w:tcW w:w="1615" w:type="dxa"/>
            <w:tcBorders>
              <w:top w:val="single" w:sz="4" w:space="0" w:color="auto"/>
              <w:left w:val="nil"/>
              <w:bottom w:val="single" w:sz="4" w:space="0" w:color="auto"/>
              <w:right w:val="single" w:sz="4" w:space="0" w:color="auto"/>
            </w:tcBorders>
            <w:shd w:val="clear" w:color="auto" w:fill="C6EFCE"/>
            <w:noWrap/>
          </w:tcPr>
          <w:p w14:paraId="08E1D983" w14:textId="1B5863A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17 – 4.6. Modernizácia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zlepšenie odolnosti kľúčových hospodárskych odvetví – 16433_Ochrana kultúrnych pamiatok</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archeologických nálezísk pred zmenou klímy</w:t>
            </w:r>
          </w:p>
        </w:tc>
        <w:tc>
          <w:tcPr>
            <w:tcW w:w="1008" w:type="dxa"/>
            <w:tcBorders>
              <w:top w:val="single" w:sz="4" w:space="0" w:color="auto"/>
              <w:left w:val="nil"/>
              <w:bottom w:val="single" w:sz="4" w:space="0" w:color="auto"/>
              <w:right w:val="single" w:sz="4" w:space="0" w:color="auto"/>
            </w:tcBorders>
            <w:shd w:val="clear" w:color="auto" w:fill="C6EFCE"/>
            <w:noWrap/>
          </w:tcPr>
          <w:p w14:paraId="5B62206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Míľnik </w:t>
            </w:r>
          </w:p>
        </w:tc>
        <w:tc>
          <w:tcPr>
            <w:tcW w:w="1290" w:type="dxa"/>
            <w:tcBorders>
              <w:top w:val="single" w:sz="4" w:space="0" w:color="auto"/>
              <w:left w:val="nil"/>
              <w:bottom w:val="single" w:sz="4" w:space="0" w:color="auto"/>
              <w:right w:val="single" w:sz="4" w:space="0" w:color="auto"/>
            </w:tcBorders>
            <w:shd w:val="clear" w:color="auto" w:fill="C6EFCE"/>
            <w:noWrap/>
          </w:tcPr>
          <w:p w14:paraId="5E81D08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Ochrana kultúrnych pamiatok pred zmenou klímy</w:t>
            </w:r>
          </w:p>
        </w:tc>
        <w:tc>
          <w:tcPr>
            <w:tcW w:w="1549" w:type="dxa"/>
            <w:tcBorders>
              <w:top w:val="single" w:sz="4" w:space="0" w:color="auto"/>
              <w:left w:val="nil"/>
              <w:bottom w:val="single" w:sz="4" w:space="0" w:color="auto"/>
              <w:right w:val="single" w:sz="4" w:space="0" w:color="auto"/>
            </w:tcBorders>
            <w:shd w:val="clear" w:color="auto" w:fill="C6EFCE"/>
            <w:noWrap/>
          </w:tcPr>
          <w:p w14:paraId="3529C554" w14:textId="44A9DE86"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Správa</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ukončení vrátane kópií plánov adaptácie na zmenu klímy, potv</w:t>
            </w:r>
            <w:r w:rsidRPr="00083739">
              <w:rPr>
                <w:rFonts w:ascii="Times New Roman" w:hAnsi="Times New Roman" w:cs="Times New Roman"/>
                <w:noProof/>
                <w:lang w:val="sk-SK"/>
              </w:rPr>
              <w:t>rdení</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platbe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výsledkov auditov certifikácie investícií</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 xml:space="preserve">dokončení investícií </w:t>
            </w:r>
          </w:p>
        </w:tc>
        <w:tc>
          <w:tcPr>
            <w:tcW w:w="1397" w:type="dxa"/>
            <w:tcBorders>
              <w:top w:val="single" w:sz="4" w:space="0" w:color="auto"/>
              <w:left w:val="nil"/>
              <w:bottom w:val="single" w:sz="4" w:space="0" w:color="auto"/>
              <w:right w:val="single" w:sz="4" w:space="0" w:color="auto"/>
            </w:tcBorders>
            <w:shd w:val="clear" w:color="auto" w:fill="C6EFCE"/>
            <w:noWrap/>
          </w:tcPr>
          <w:p w14:paraId="1E83EBC7"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58" w:type="dxa"/>
            <w:tcBorders>
              <w:top w:val="single" w:sz="4" w:space="0" w:color="auto"/>
              <w:left w:val="nil"/>
              <w:bottom w:val="single" w:sz="4" w:space="0" w:color="auto"/>
              <w:right w:val="single" w:sz="4" w:space="0" w:color="auto"/>
            </w:tcBorders>
            <w:shd w:val="clear" w:color="auto" w:fill="C6EFCE"/>
            <w:noWrap/>
          </w:tcPr>
          <w:p w14:paraId="45F8F6FA"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2" w:type="dxa"/>
            <w:tcBorders>
              <w:top w:val="single" w:sz="4" w:space="0" w:color="auto"/>
              <w:left w:val="nil"/>
              <w:bottom w:val="single" w:sz="4" w:space="0" w:color="auto"/>
              <w:right w:val="single" w:sz="4" w:space="0" w:color="auto"/>
            </w:tcBorders>
            <w:shd w:val="clear" w:color="auto" w:fill="C6EFCE"/>
            <w:noWrap/>
          </w:tcPr>
          <w:p w14:paraId="7B27ABCF"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134" w:type="dxa"/>
            <w:tcBorders>
              <w:top w:val="single" w:sz="4" w:space="0" w:color="auto"/>
              <w:left w:val="nil"/>
              <w:bottom w:val="single" w:sz="4" w:space="0" w:color="auto"/>
              <w:right w:val="single" w:sz="4" w:space="0" w:color="auto"/>
            </w:tcBorders>
            <w:shd w:val="clear" w:color="auto" w:fill="C6EFCE"/>
            <w:noWrap/>
          </w:tcPr>
          <w:p w14:paraId="3BF71FF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851" w:type="dxa"/>
            <w:tcBorders>
              <w:top w:val="single" w:sz="4" w:space="0" w:color="auto"/>
              <w:left w:val="nil"/>
              <w:bottom w:val="single" w:sz="4" w:space="0" w:color="auto"/>
              <w:right w:val="single" w:sz="4" w:space="0" w:color="auto"/>
            </w:tcBorders>
            <w:shd w:val="clear" w:color="auto" w:fill="C6EFCE"/>
            <w:noWrap/>
          </w:tcPr>
          <w:p w14:paraId="1292BCB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3950" w:type="dxa"/>
            <w:tcBorders>
              <w:top w:val="single" w:sz="4" w:space="0" w:color="auto"/>
              <w:left w:val="nil"/>
              <w:bottom w:val="single" w:sz="4" w:space="0" w:color="auto"/>
              <w:right w:val="single" w:sz="4" w:space="0" w:color="auto"/>
            </w:tcBorders>
            <w:shd w:val="clear" w:color="auto" w:fill="C6EFCE"/>
            <w:noWrap/>
          </w:tcPr>
          <w:p w14:paraId="225EC533" w14:textId="296A3C60"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Dokončenie ochrany kultúrnych pamiatok pred zmenou klímy vrátane vypracovania plánov adaptácie na zmenu klímy pre lokality kultúrneho dedičstva, čím </w:t>
            </w:r>
            <w:r w:rsidRPr="00083739">
              <w:rPr>
                <w:rFonts w:ascii="Times New Roman" w:hAnsi="Times New Roman" w:cs="Times New Roman"/>
                <w:noProof/>
                <w:lang w:val="sk-SK"/>
              </w:rPr>
              <w:t>sa zachová prínos lokalít kultúrneho dedičstva</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hospodárskej činnosti vrátane priestorových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časových posúdení klimatických rizík</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identifikácie zraniteľných miest, ktorým čelia lokality kultúrneho dedičstva.</w:t>
            </w:r>
          </w:p>
        </w:tc>
      </w:tr>
      <w:tr w:rsidR="002D49B0" w:rsidRPr="00083739" w14:paraId="6CCCF39E" w14:textId="77777777">
        <w:trPr>
          <w:trHeight w:val="313"/>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660CD50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291</w:t>
            </w:r>
          </w:p>
        </w:tc>
        <w:tc>
          <w:tcPr>
            <w:tcW w:w="1615" w:type="dxa"/>
            <w:tcBorders>
              <w:top w:val="single" w:sz="4" w:space="0" w:color="auto"/>
              <w:left w:val="nil"/>
              <w:bottom w:val="single" w:sz="4" w:space="0" w:color="auto"/>
              <w:right w:val="single" w:sz="4" w:space="0" w:color="auto"/>
            </w:tcBorders>
            <w:shd w:val="clear" w:color="auto" w:fill="C6EFCE"/>
            <w:noWrap/>
          </w:tcPr>
          <w:p w14:paraId="1554E0E2" w14:textId="32180F4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17 – 4.6. Modernizácia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zlepšenie odolnosti kľúčových hospodárskych odvetví – 16435_Obnova – Ochrana – Posilnenie pamiatok Acropolis</w:t>
            </w:r>
          </w:p>
        </w:tc>
        <w:tc>
          <w:tcPr>
            <w:tcW w:w="1008" w:type="dxa"/>
            <w:tcBorders>
              <w:top w:val="single" w:sz="4" w:space="0" w:color="auto"/>
              <w:left w:val="nil"/>
              <w:bottom w:val="single" w:sz="4" w:space="0" w:color="auto"/>
              <w:right w:val="single" w:sz="4" w:space="0" w:color="auto"/>
            </w:tcBorders>
            <w:shd w:val="clear" w:color="auto" w:fill="C6EFCE"/>
            <w:noWrap/>
          </w:tcPr>
          <w:p w14:paraId="7443FD3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p w14:paraId="6F551864"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290" w:type="dxa"/>
            <w:tcBorders>
              <w:top w:val="single" w:sz="4" w:space="0" w:color="auto"/>
              <w:left w:val="nil"/>
              <w:bottom w:val="single" w:sz="4" w:space="0" w:color="auto"/>
              <w:right w:val="single" w:sz="4" w:space="0" w:color="auto"/>
            </w:tcBorders>
            <w:shd w:val="clear" w:color="auto" w:fill="C6EFCE"/>
            <w:noWrap/>
          </w:tcPr>
          <w:p w14:paraId="2E959B3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Obnova – ochrana – zlepšenie akropolisu</w:t>
            </w:r>
          </w:p>
        </w:tc>
        <w:tc>
          <w:tcPr>
            <w:tcW w:w="1549" w:type="dxa"/>
            <w:tcBorders>
              <w:top w:val="single" w:sz="4" w:space="0" w:color="auto"/>
              <w:left w:val="nil"/>
              <w:bottom w:val="single" w:sz="4" w:space="0" w:color="auto"/>
              <w:right w:val="single" w:sz="4" w:space="0" w:color="auto"/>
            </w:tcBorders>
            <w:shd w:val="clear" w:color="auto" w:fill="C6EFCE"/>
            <w:noWrap/>
          </w:tcPr>
          <w:p w14:paraId="3C7002DE" w14:textId="390CBEB2"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Správa</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dokončení vrátane dokladov</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platbe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výsledkov auditov investícií, osvedčenia</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dokončení</w:t>
            </w:r>
            <w:r w:rsidRPr="00083739">
              <w:rPr>
                <w:rFonts w:ascii="Times New Roman" w:hAnsi="Times New Roman" w:cs="Times New Roman"/>
                <w:noProof/>
                <w:lang w:val="sk-SK"/>
              </w:rPr>
              <w:t xml:space="preserve"> investícií.</w:t>
            </w:r>
          </w:p>
        </w:tc>
        <w:tc>
          <w:tcPr>
            <w:tcW w:w="1397" w:type="dxa"/>
            <w:tcBorders>
              <w:top w:val="single" w:sz="4" w:space="0" w:color="auto"/>
              <w:left w:val="nil"/>
              <w:bottom w:val="single" w:sz="4" w:space="0" w:color="auto"/>
              <w:right w:val="single" w:sz="4" w:space="0" w:color="auto"/>
            </w:tcBorders>
            <w:shd w:val="clear" w:color="auto" w:fill="C6EFCE"/>
            <w:noWrap/>
          </w:tcPr>
          <w:p w14:paraId="302AC47C"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58" w:type="dxa"/>
            <w:tcBorders>
              <w:top w:val="single" w:sz="4" w:space="0" w:color="auto"/>
              <w:left w:val="nil"/>
              <w:bottom w:val="single" w:sz="4" w:space="0" w:color="auto"/>
              <w:right w:val="single" w:sz="4" w:space="0" w:color="auto"/>
            </w:tcBorders>
            <w:shd w:val="clear" w:color="auto" w:fill="C6EFCE"/>
            <w:noWrap/>
          </w:tcPr>
          <w:p w14:paraId="73C0879C"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2" w:type="dxa"/>
            <w:tcBorders>
              <w:top w:val="single" w:sz="4" w:space="0" w:color="auto"/>
              <w:left w:val="nil"/>
              <w:bottom w:val="single" w:sz="4" w:space="0" w:color="auto"/>
              <w:right w:val="single" w:sz="4" w:space="0" w:color="auto"/>
            </w:tcBorders>
            <w:shd w:val="clear" w:color="auto" w:fill="C6EFCE"/>
            <w:noWrap/>
          </w:tcPr>
          <w:p w14:paraId="3C1F5F36"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134" w:type="dxa"/>
            <w:tcBorders>
              <w:top w:val="single" w:sz="4" w:space="0" w:color="auto"/>
              <w:left w:val="nil"/>
              <w:bottom w:val="single" w:sz="4" w:space="0" w:color="auto"/>
              <w:right w:val="single" w:sz="4" w:space="0" w:color="auto"/>
            </w:tcBorders>
            <w:shd w:val="clear" w:color="auto" w:fill="C6EFCE"/>
            <w:noWrap/>
          </w:tcPr>
          <w:p w14:paraId="1A94780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851" w:type="dxa"/>
            <w:tcBorders>
              <w:top w:val="single" w:sz="4" w:space="0" w:color="auto"/>
              <w:left w:val="nil"/>
              <w:bottom w:val="single" w:sz="4" w:space="0" w:color="auto"/>
              <w:right w:val="single" w:sz="4" w:space="0" w:color="auto"/>
            </w:tcBorders>
            <w:shd w:val="clear" w:color="auto" w:fill="C6EFCE"/>
            <w:noWrap/>
          </w:tcPr>
          <w:p w14:paraId="4CCE77F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3950" w:type="dxa"/>
            <w:tcBorders>
              <w:top w:val="single" w:sz="4" w:space="0" w:color="auto"/>
              <w:left w:val="nil"/>
              <w:bottom w:val="single" w:sz="4" w:space="0" w:color="auto"/>
              <w:right w:val="single" w:sz="4" w:space="0" w:color="auto"/>
            </w:tcBorders>
            <w:shd w:val="clear" w:color="auto" w:fill="C6EFCE"/>
            <w:noWrap/>
          </w:tcPr>
          <w:p w14:paraId="27DD387E" w14:textId="63133EED"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obnovy pamiatok Akropolis</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cieľom zachovať pamiatku proti zmene klímy vrátane renovačných prác pre Parthenon</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múry, ochrany špecifických častí lokality, konsolidácie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stabilizácie horninových masív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vylep</w:t>
            </w:r>
            <w:r w:rsidRPr="00083739">
              <w:rPr>
                <w:rFonts w:ascii="Times New Roman" w:hAnsi="Times New Roman" w:cs="Times New Roman"/>
                <w:noProof/>
                <w:lang w:val="sk-SK"/>
              </w:rPr>
              <w:t xml:space="preserve">šených prác na prístupe návštevníkov. </w:t>
            </w:r>
          </w:p>
        </w:tc>
      </w:tr>
    </w:tbl>
    <w:p w14:paraId="31386336" w14:textId="77777777" w:rsidR="002D49B0" w:rsidRPr="00083739" w:rsidRDefault="002D49B0">
      <w:pPr>
        <w:spacing w:before="120" w:after="0" w:line="240" w:lineRule="auto"/>
        <w:jc w:val="both"/>
        <w:rPr>
          <w:rFonts w:ascii="Times New Roman" w:hAnsi="Times New Roman" w:cs="Times New Roman"/>
          <w:noProof/>
          <w:sz w:val="24"/>
          <w:lang w:val="sk-SK"/>
        </w:rPr>
        <w:sectPr w:rsidR="002D49B0" w:rsidRPr="00083739" w:rsidSect="00271D33">
          <w:headerReference w:type="even" r:id="rId277"/>
          <w:headerReference w:type="default" r:id="rId278"/>
          <w:footerReference w:type="even" r:id="rId279"/>
          <w:footerReference w:type="default" r:id="rId280"/>
          <w:headerReference w:type="first" r:id="rId281"/>
          <w:footerReference w:type="first" r:id="rId282"/>
          <w:pgSz w:w="16839" w:h="11907" w:orient="landscape"/>
          <w:pgMar w:top="720" w:right="720" w:bottom="720" w:left="720" w:header="709" w:footer="500" w:gutter="0"/>
          <w:cols w:space="720"/>
          <w:docGrid w:linePitch="360"/>
        </w:sectPr>
      </w:pPr>
    </w:p>
    <w:p w14:paraId="5B42D918" w14:textId="77777777" w:rsidR="002D49B0" w:rsidRPr="00083739" w:rsidRDefault="002D49B0">
      <w:pPr>
        <w:spacing w:before="120" w:after="0" w:line="240" w:lineRule="auto"/>
        <w:jc w:val="both"/>
        <w:rPr>
          <w:rFonts w:ascii="Times New Roman" w:hAnsi="Times New Roman" w:cs="Times New Roman"/>
          <w:noProof/>
          <w:sz w:val="24"/>
          <w:lang w:val="sk-SK"/>
        </w:rPr>
      </w:pPr>
    </w:p>
    <w:p w14:paraId="2E8F5CB0" w14:textId="03845C1F" w:rsidR="002D49B0" w:rsidRPr="00083739" w:rsidRDefault="00BF4125">
      <w:pPr>
        <w:pStyle w:val="P68B1DB1-Normal6"/>
        <w:keepNext/>
        <w:keepLines/>
        <w:spacing w:before="40" w:after="0" w:line="240" w:lineRule="auto"/>
        <w:jc w:val="both"/>
        <w:outlineLvl w:val="4"/>
        <w:rPr>
          <w:rFonts w:ascii="Times New Roman" w:eastAsia="Times New Roman" w:hAnsi="Times New Roman" w:cs="Times New Roman"/>
          <w:noProof/>
          <w:lang w:val="sk-SK"/>
        </w:rPr>
      </w:pPr>
      <w:r w:rsidRPr="00083739">
        <w:rPr>
          <w:rFonts w:ascii="Times New Roman" w:hAnsi="Times New Roman" w:cs="Times New Roman"/>
          <w:noProof/>
          <w:lang w:val="sk-SK"/>
        </w:rPr>
        <w:t>Skupina 26: Cestovný ruch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lodná doprava</w:t>
      </w:r>
    </w:p>
    <w:p w14:paraId="4CE3A627" w14:textId="7E8833A2" w:rsidR="002D49B0" w:rsidRPr="00083739" w:rsidRDefault="00BF4125">
      <w:pPr>
        <w:pStyle w:val="P68B1DB1-Normal4"/>
        <w:numPr>
          <w:ilvl w:val="0"/>
          <w:numId w:val="31"/>
        </w:numPr>
        <w:spacing w:before="120" w:after="0" w:line="240" w:lineRule="auto"/>
        <w:jc w:val="both"/>
        <w:rPr>
          <w:rFonts w:cs="Times New Roman"/>
          <w:noProof/>
          <w:lang w:val="sk-SK"/>
        </w:rPr>
      </w:pPr>
      <w:r w:rsidRPr="00083739">
        <w:rPr>
          <w:rFonts w:cs="Times New Roman"/>
          <w:noProof/>
          <w:lang w:val="sk-SK"/>
        </w:rPr>
        <w:t>Rozvoj cestovného ruchu (zahŕňa podprojekt Zlepšiť intervencie</w:t>
      </w:r>
      <w:r w:rsidR="00083739" w:rsidRPr="00083739">
        <w:rPr>
          <w:rFonts w:cs="Times New Roman"/>
          <w:noProof/>
          <w:lang w:val="sk-SK"/>
        </w:rPr>
        <w:t xml:space="preserve"> v </w:t>
      </w:r>
      <w:r w:rsidRPr="00083739">
        <w:rPr>
          <w:rFonts w:cs="Times New Roman"/>
          <w:noProof/>
          <w:lang w:val="sk-SK"/>
        </w:rPr>
        <w:t>turistických prístavoch) (ID: 16931)</w:t>
      </w:r>
    </w:p>
    <w:p w14:paraId="5469F451" w14:textId="21CE9ECD" w:rsidR="002D49B0" w:rsidRPr="00083739" w:rsidRDefault="00BF4125">
      <w:pPr>
        <w:pStyle w:val="P68B1DB1-Normal4"/>
        <w:numPr>
          <w:ilvl w:val="0"/>
          <w:numId w:val="31"/>
        </w:numPr>
        <w:spacing w:before="120" w:after="0" w:line="240" w:lineRule="auto"/>
        <w:jc w:val="both"/>
        <w:rPr>
          <w:rFonts w:cs="Times New Roman"/>
          <w:noProof/>
          <w:lang w:val="sk-SK"/>
        </w:rPr>
      </w:pPr>
      <w:r w:rsidRPr="00083739">
        <w:rPr>
          <w:rFonts w:cs="Times New Roman"/>
          <w:noProof/>
          <w:lang w:val="sk-SK"/>
        </w:rPr>
        <w:t>Rekvalifikácia</w:t>
      </w:r>
      <w:r w:rsidR="00083739" w:rsidRPr="00083739">
        <w:rPr>
          <w:rFonts w:cs="Times New Roman"/>
          <w:noProof/>
          <w:lang w:val="sk-SK"/>
        </w:rPr>
        <w:t xml:space="preserve"> a </w:t>
      </w:r>
      <w:r w:rsidRPr="00083739">
        <w:rPr>
          <w:rFonts w:cs="Times New Roman"/>
          <w:noProof/>
          <w:lang w:val="sk-SK"/>
        </w:rPr>
        <w:t>zvyšovanie úrovne zručností</w:t>
      </w:r>
      <w:r w:rsidR="00083739" w:rsidRPr="00083739">
        <w:rPr>
          <w:rFonts w:cs="Times New Roman"/>
          <w:noProof/>
          <w:lang w:val="sk-SK"/>
        </w:rPr>
        <w:t xml:space="preserve"> v </w:t>
      </w:r>
      <w:r w:rsidRPr="00083739">
        <w:rPr>
          <w:rFonts w:cs="Times New Roman"/>
          <w:noProof/>
          <w:lang w:val="sk-SK"/>
        </w:rPr>
        <w:t>cestovnom ruchu (ID: 16921)</w:t>
      </w:r>
    </w:p>
    <w:p w14:paraId="7FCEB292" w14:textId="77777777" w:rsidR="002D49B0" w:rsidRPr="00083739" w:rsidRDefault="00BF4125">
      <w:pPr>
        <w:pStyle w:val="P68B1DB1-Normal4"/>
        <w:numPr>
          <w:ilvl w:val="0"/>
          <w:numId w:val="31"/>
        </w:numPr>
        <w:spacing w:before="120" w:after="0" w:line="240" w:lineRule="auto"/>
        <w:jc w:val="both"/>
        <w:rPr>
          <w:rFonts w:cs="Times New Roman"/>
          <w:noProof/>
          <w:lang w:val="sk-SK"/>
        </w:rPr>
      </w:pPr>
      <w:r w:rsidRPr="00083739">
        <w:rPr>
          <w:rFonts w:cs="Times New Roman"/>
          <w:noProof/>
          <w:lang w:val="sk-SK"/>
        </w:rPr>
        <w:t>Modernizácia intervencií pre regionálne prístavy (ID: 16975)</w:t>
      </w:r>
    </w:p>
    <w:p w14:paraId="37A58180" w14:textId="77777777" w:rsidR="002D49B0" w:rsidRPr="00083739" w:rsidRDefault="00BF4125">
      <w:pPr>
        <w:pStyle w:val="P68B1DB1-Normal4"/>
        <w:numPr>
          <w:ilvl w:val="0"/>
          <w:numId w:val="31"/>
        </w:numPr>
        <w:spacing w:before="120" w:after="120" w:line="240" w:lineRule="auto"/>
        <w:jc w:val="both"/>
        <w:rPr>
          <w:rFonts w:cs="Times New Roman"/>
          <w:noProof/>
          <w:lang w:val="sk-SK"/>
        </w:rPr>
      </w:pPr>
      <w:r w:rsidRPr="00083739">
        <w:rPr>
          <w:rFonts w:cs="Times New Roman"/>
          <w:noProof/>
          <w:lang w:val="sk-SK"/>
        </w:rPr>
        <w:t>Hlavný plán obnovy gréckeho vozového parku osobnej lodnej dopravy (ID: 16944)</w:t>
      </w:r>
    </w:p>
    <w:p w14:paraId="6365EC15" w14:textId="77777777" w:rsidR="002D49B0" w:rsidRPr="00083739" w:rsidRDefault="002D49B0">
      <w:pPr>
        <w:spacing w:before="120" w:after="0" w:line="240" w:lineRule="auto"/>
        <w:jc w:val="both"/>
        <w:rPr>
          <w:rFonts w:ascii="Times New Roman" w:hAnsi="Times New Roman" w:cs="Times New Roman"/>
          <w:noProof/>
          <w:sz w:val="24"/>
          <w:lang w:val="sk-SK"/>
        </w:rPr>
      </w:pPr>
    </w:p>
    <w:tbl>
      <w:tblPr>
        <w:tblW w:w="16219" w:type="dxa"/>
        <w:jc w:val="center"/>
        <w:tblLook w:val="04A0" w:firstRow="1" w:lastRow="0" w:firstColumn="1" w:lastColumn="0" w:noHBand="0" w:noVBand="1"/>
      </w:tblPr>
      <w:tblGrid>
        <w:gridCol w:w="1027"/>
        <w:gridCol w:w="1806"/>
        <w:gridCol w:w="1424"/>
        <w:gridCol w:w="1274"/>
        <w:gridCol w:w="1741"/>
        <w:gridCol w:w="1741"/>
        <w:gridCol w:w="957"/>
        <w:gridCol w:w="713"/>
        <w:gridCol w:w="1167"/>
        <w:gridCol w:w="662"/>
        <w:gridCol w:w="4305"/>
      </w:tblGrid>
      <w:tr w:rsidR="002D49B0" w:rsidRPr="00083739" w14:paraId="0D4DDB06" w14:textId="77777777">
        <w:trPr>
          <w:trHeight w:val="594"/>
          <w:tblHeader/>
          <w:jc w:val="center"/>
        </w:trPr>
        <w:tc>
          <w:tcPr>
            <w:tcW w:w="102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81EC0A3"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Poradové číslo</w:t>
            </w:r>
          </w:p>
        </w:tc>
        <w:tc>
          <w:tcPr>
            <w:tcW w:w="148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ED11358"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Súvisiace opatrenie (refor</w:t>
            </w:r>
            <w:r w:rsidRPr="00083739">
              <w:rPr>
                <w:rFonts w:cs="Times New Roman"/>
                <w:noProof/>
                <w:lang w:val="sk-SK"/>
              </w:rPr>
              <w:t>ma alebo investícia)</w:t>
            </w:r>
          </w:p>
        </w:tc>
        <w:tc>
          <w:tcPr>
            <w:tcW w:w="142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5DFE08D"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Míľnik/cieľ</w:t>
            </w:r>
          </w:p>
        </w:tc>
        <w:tc>
          <w:tcPr>
            <w:tcW w:w="127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8B642F0"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Názov</w:t>
            </w:r>
          </w:p>
        </w:tc>
        <w:tc>
          <w:tcPr>
            <w:tcW w:w="174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332B021"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Kvalitatívne ukazovatele (pre míľniky)</w:t>
            </w:r>
          </w:p>
        </w:tc>
        <w:tc>
          <w:tcPr>
            <w:tcW w:w="3311" w:type="dxa"/>
            <w:gridSpan w:val="3"/>
            <w:tcBorders>
              <w:top w:val="single" w:sz="4" w:space="0" w:color="auto"/>
              <w:left w:val="single" w:sz="4" w:space="0" w:color="auto"/>
              <w:bottom w:val="single" w:sz="4" w:space="0" w:color="auto"/>
              <w:right w:val="single" w:sz="4" w:space="0" w:color="auto"/>
            </w:tcBorders>
            <w:shd w:val="clear" w:color="auto" w:fill="BDD7EE"/>
            <w:vAlign w:val="center"/>
            <w:hideMark/>
          </w:tcPr>
          <w:p w14:paraId="6A9BABA4"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Kvantitatívne ukazovatele (pre ciele)</w:t>
            </w:r>
          </w:p>
        </w:tc>
        <w:tc>
          <w:tcPr>
            <w:tcW w:w="1648" w:type="dxa"/>
            <w:gridSpan w:val="2"/>
            <w:tcBorders>
              <w:top w:val="single" w:sz="4" w:space="0" w:color="auto"/>
              <w:left w:val="nil"/>
              <w:bottom w:val="single" w:sz="4" w:space="0" w:color="auto"/>
              <w:right w:val="single" w:sz="4" w:space="0" w:color="auto"/>
            </w:tcBorders>
            <w:shd w:val="clear" w:color="auto" w:fill="BDD7EE"/>
            <w:vAlign w:val="center"/>
            <w:hideMark/>
          </w:tcPr>
          <w:p w14:paraId="7114A19F"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 xml:space="preserve">Orientačný harmonogram dokončenia </w:t>
            </w:r>
          </w:p>
        </w:tc>
        <w:tc>
          <w:tcPr>
            <w:tcW w:w="430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F8931F2" w14:textId="65CA112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Opis každého míľnika</w:t>
            </w:r>
            <w:r w:rsidR="00083739" w:rsidRPr="00083739">
              <w:rPr>
                <w:rFonts w:cs="Times New Roman"/>
                <w:noProof/>
                <w:lang w:val="sk-SK"/>
              </w:rPr>
              <w:t xml:space="preserve"> a </w:t>
            </w:r>
            <w:r w:rsidRPr="00083739">
              <w:rPr>
                <w:rFonts w:cs="Times New Roman"/>
                <w:noProof/>
                <w:lang w:val="sk-SK"/>
              </w:rPr>
              <w:t>cieľa</w:t>
            </w:r>
          </w:p>
        </w:tc>
      </w:tr>
      <w:tr w:rsidR="002D49B0" w:rsidRPr="00083739" w14:paraId="0B469217" w14:textId="77777777">
        <w:trPr>
          <w:trHeight w:val="508"/>
          <w:tblHeader/>
          <w:jc w:val="center"/>
        </w:trPr>
        <w:tc>
          <w:tcPr>
            <w:tcW w:w="1027" w:type="dxa"/>
            <w:vMerge/>
            <w:tcBorders>
              <w:top w:val="single" w:sz="4" w:space="0" w:color="auto"/>
              <w:left w:val="single" w:sz="4" w:space="0" w:color="auto"/>
              <w:bottom w:val="single" w:sz="4" w:space="0" w:color="auto"/>
              <w:right w:val="single" w:sz="4" w:space="0" w:color="auto"/>
            </w:tcBorders>
            <w:vAlign w:val="center"/>
            <w:hideMark/>
          </w:tcPr>
          <w:p w14:paraId="7ED81AF1"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489" w:type="dxa"/>
            <w:vMerge/>
            <w:tcBorders>
              <w:top w:val="single" w:sz="4" w:space="0" w:color="auto"/>
              <w:left w:val="single" w:sz="4" w:space="0" w:color="auto"/>
              <w:bottom w:val="single" w:sz="4" w:space="0" w:color="auto"/>
              <w:right w:val="single" w:sz="4" w:space="0" w:color="auto"/>
            </w:tcBorders>
            <w:vAlign w:val="center"/>
            <w:hideMark/>
          </w:tcPr>
          <w:p w14:paraId="438E7E5F"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424" w:type="dxa"/>
            <w:vMerge/>
            <w:tcBorders>
              <w:top w:val="single" w:sz="4" w:space="0" w:color="auto"/>
              <w:left w:val="single" w:sz="4" w:space="0" w:color="auto"/>
              <w:bottom w:val="single" w:sz="4" w:space="0" w:color="auto"/>
              <w:right w:val="single" w:sz="4" w:space="0" w:color="auto"/>
            </w:tcBorders>
            <w:vAlign w:val="center"/>
            <w:hideMark/>
          </w:tcPr>
          <w:p w14:paraId="4C92CEDD"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274" w:type="dxa"/>
            <w:vMerge/>
            <w:tcBorders>
              <w:top w:val="single" w:sz="4" w:space="0" w:color="auto"/>
              <w:left w:val="single" w:sz="4" w:space="0" w:color="auto"/>
              <w:bottom w:val="single" w:sz="4" w:space="0" w:color="auto"/>
              <w:right w:val="single" w:sz="4" w:space="0" w:color="auto"/>
            </w:tcBorders>
            <w:vAlign w:val="center"/>
            <w:hideMark/>
          </w:tcPr>
          <w:p w14:paraId="3716D1A6"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741" w:type="dxa"/>
            <w:vMerge/>
            <w:tcBorders>
              <w:top w:val="single" w:sz="4" w:space="0" w:color="auto"/>
              <w:left w:val="single" w:sz="4" w:space="0" w:color="auto"/>
              <w:bottom w:val="single" w:sz="4" w:space="0" w:color="auto"/>
              <w:right w:val="single" w:sz="4" w:space="0" w:color="auto"/>
            </w:tcBorders>
            <w:vAlign w:val="center"/>
            <w:hideMark/>
          </w:tcPr>
          <w:p w14:paraId="01758D39"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741"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15B774DD"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Merná jednotka</w:t>
            </w:r>
          </w:p>
        </w:tc>
        <w:tc>
          <w:tcPr>
            <w:tcW w:w="857" w:type="dxa"/>
            <w:tcBorders>
              <w:top w:val="nil"/>
              <w:left w:val="nil"/>
              <w:bottom w:val="single" w:sz="4" w:space="0" w:color="auto"/>
              <w:right w:val="single" w:sz="4" w:space="0" w:color="auto"/>
            </w:tcBorders>
            <w:shd w:val="clear" w:color="auto" w:fill="BDD7EE"/>
            <w:vAlign w:val="center"/>
            <w:hideMark/>
          </w:tcPr>
          <w:p w14:paraId="3A0AFBC2"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 xml:space="preserve">Základná </w:t>
            </w:r>
          </w:p>
        </w:tc>
        <w:tc>
          <w:tcPr>
            <w:tcW w:w="713" w:type="dxa"/>
            <w:tcBorders>
              <w:top w:val="nil"/>
              <w:left w:val="nil"/>
              <w:bottom w:val="single" w:sz="4" w:space="0" w:color="auto"/>
              <w:right w:val="single" w:sz="4" w:space="0" w:color="auto"/>
            </w:tcBorders>
            <w:shd w:val="clear" w:color="auto" w:fill="BDD7EE"/>
            <w:vAlign w:val="center"/>
            <w:hideMark/>
          </w:tcPr>
          <w:p w14:paraId="52690CAB"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 xml:space="preserve">Cieľ </w:t>
            </w:r>
          </w:p>
        </w:tc>
        <w:tc>
          <w:tcPr>
            <w:tcW w:w="986" w:type="dxa"/>
            <w:tcBorders>
              <w:top w:val="nil"/>
              <w:left w:val="nil"/>
              <w:bottom w:val="single" w:sz="4" w:space="0" w:color="auto"/>
              <w:right w:val="single" w:sz="4" w:space="0" w:color="auto"/>
            </w:tcBorders>
            <w:shd w:val="clear" w:color="auto" w:fill="BDD7EE"/>
            <w:vAlign w:val="center"/>
            <w:hideMark/>
          </w:tcPr>
          <w:p w14:paraId="2317CD58"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Štvrtina</w:t>
            </w:r>
          </w:p>
        </w:tc>
        <w:tc>
          <w:tcPr>
            <w:tcW w:w="662" w:type="dxa"/>
            <w:tcBorders>
              <w:top w:val="nil"/>
              <w:left w:val="nil"/>
              <w:bottom w:val="single" w:sz="4" w:space="0" w:color="auto"/>
              <w:right w:val="single" w:sz="4" w:space="0" w:color="auto"/>
            </w:tcBorders>
            <w:shd w:val="clear" w:color="auto" w:fill="BDD7EE"/>
            <w:vAlign w:val="center"/>
            <w:hideMark/>
          </w:tcPr>
          <w:p w14:paraId="632D7EE9"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Rok</w:t>
            </w:r>
          </w:p>
        </w:tc>
        <w:tc>
          <w:tcPr>
            <w:tcW w:w="4305" w:type="dxa"/>
            <w:vMerge/>
            <w:tcBorders>
              <w:top w:val="single" w:sz="4" w:space="0" w:color="auto"/>
              <w:bottom w:val="single" w:sz="4" w:space="0" w:color="auto"/>
              <w:right w:val="single" w:sz="4" w:space="0" w:color="auto"/>
            </w:tcBorders>
            <w:vAlign w:val="center"/>
            <w:hideMark/>
          </w:tcPr>
          <w:p w14:paraId="636A9798"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r>
      <w:tr w:rsidR="002D49B0" w:rsidRPr="00083739" w14:paraId="3F25A25E" w14:textId="77777777">
        <w:trPr>
          <w:trHeight w:val="313"/>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2D5F371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292</w:t>
            </w:r>
          </w:p>
        </w:tc>
        <w:tc>
          <w:tcPr>
            <w:tcW w:w="1489" w:type="dxa"/>
            <w:tcBorders>
              <w:top w:val="single" w:sz="4" w:space="0" w:color="auto"/>
              <w:left w:val="nil"/>
              <w:bottom w:val="single" w:sz="4" w:space="0" w:color="auto"/>
              <w:right w:val="single" w:sz="4" w:space="0" w:color="auto"/>
            </w:tcBorders>
            <w:shd w:val="clear" w:color="auto" w:fill="C6EFCE"/>
            <w:noWrap/>
          </w:tcPr>
          <w:p w14:paraId="38D1A382" w14:textId="01BFD2A9"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17 – 4.6. </w:t>
            </w:r>
            <w:r w:rsidRPr="00083739">
              <w:rPr>
                <w:rFonts w:ascii="Times New Roman" w:hAnsi="Times New Roman" w:cs="Times New Roman"/>
                <w:noProof/>
                <w:lang w:val="sk-SK"/>
              </w:rPr>
              <w:t>Modernizácia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zlepšenie odolnosti kľúčových hospodárskych odvetví – 16931_Rozvoj cestovného ruchu</w:t>
            </w:r>
          </w:p>
        </w:tc>
        <w:tc>
          <w:tcPr>
            <w:tcW w:w="1424" w:type="dxa"/>
            <w:tcBorders>
              <w:top w:val="single" w:sz="4" w:space="0" w:color="auto"/>
              <w:left w:val="nil"/>
              <w:bottom w:val="single" w:sz="4" w:space="0" w:color="auto"/>
              <w:right w:val="single" w:sz="4" w:space="0" w:color="auto"/>
            </w:tcBorders>
            <w:shd w:val="clear" w:color="auto" w:fill="C6EFCE"/>
            <w:noWrap/>
          </w:tcPr>
          <w:p w14:paraId="5D7A7B8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p w14:paraId="3EE0F66E"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274" w:type="dxa"/>
            <w:tcBorders>
              <w:top w:val="single" w:sz="4" w:space="0" w:color="auto"/>
              <w:left w:val="nil"/>
              <w:bottom w:val="single" w:sz="4" w:space="0" w:color="auto"/>
              <w:right w:val="single" w:sz="4" w:space="0" w:color="auto"/>
            </w:tcBorders>
            <w:shd w:val="clear" w:color="auto" w:fill="C6EFCE"/>
            <w:noWrap/>
          </w:tcPr>
          <w:p w14:paraId="575AA96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Rozvoj cestovného ruchu: reformy turistických prístavov</w:t>
            </w:r>
          </w:p>
        </w:tc>
        <w:tc>
          <w:tcPr>
            <w:tcW w:w="1741" w:type="dxa"/>
            <w:tcBorders>
              <w:top w:val="single" w:sz="4" w:space="0" w:color="auto"/>
              <w:left w:val="nil"/>
              <w:bottom w:val="single" w:sz="4" w:space="0" w:color="auto"/>
              <w:right w:val="single" w:sz="4" w:space="0" w:color="auto"/>
            </w:tcBorders>
            <w:shd w:val="clear" w:color="auto" w:fill="C6EFCE"/>
            <w:noWrap/>
          </w:tcPr>
          <w:p w14:paraId="4C21031F" w14:textId="470CDDC2"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 Nadobudnutie účinnosti zmien</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doplnení zákona 2160/1993</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turistických prístavoch.</w:t>
            </w:r>
          </w:p>
          <w:p w14:paraId="29819308" w14:textId="5C48257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2. </w:t>
            </w:r>
            <w:r w:rsidRPr="00083739">
              <w:rPr>
                <w:rFonts w:ascii="Times New Roman" w:hAnsi="Times New Roman" w:cs="Times New Roman"/>
                <w:noProof/>
                <w:lang w:val="sk-SK"/>
              </w:rPr>
              <w:t>Nadobudnutie účinnosti zmien zákonov 4179/2013</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4276/2014 týkajúcich sa lyžiarskych stredísk.</w:t>
            </w:r>
          </w:p>
          <w:p w14:paraId="6AF25A6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 Správa potvrdzujúca zriadenie úradu pre riadenie projektov.</w:t>
            </w:r>
          </w:p>
        </w:tc>
        <w:tc>
          <w:tcPr>
            <w:tcW w:w="1741" w:type="dxa"/>
            <w:tcBorders>
              <w:top w:val="single" w:sz="4" w:space="0" w:color="auto"/>
              <w:left w:val="nil"/>
              <w:bottom w:val="single" w:sz="4" w:space="0" w:color="auto"/>
              <w:right w:val="single" w:sz="4" w:space="0" w:color="auto"/>
            </w:tcBorders>
            <w:shd w:val="clear" w:color="auto" w:fill="C6EFCE"/>
            <w:noWrap/>
          </w:tcPr>
          <w:p w14:paraId="6E83A3C5"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nil"/>
              <w:left w:val="nil"/>
              <w:bottom w:val="single" w:sz="4" w:space="0" w:color="auto"/>
              <w:right w:val="single" w:sz="4" w:space="0" w:color="auto"/>
            </w:tcBorders>
            <w:shd w:val="clear" w:color="auto" w:fill="C6EFCE"/>
            <w:noWrap/>
          </w:tcPr>
          <w:p w14:paraId="4B2EA1CB"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713" w:type="dxa"/>
            <w:tcBorders>
              <w:top w:val="nil"/>
              <w:left w:val="nil"/>
              <w:bottom w:val="single" w:sz="4" w:space="0" w:color="auto"/>
              <w:right w:val="single" w:sz="4" w:space="0" w:color="auto"/>
            </w:tcBorders>
            <w:shd w:val="clear" w:color="auto" w:fill="C6EFCE"/>
            <w:noWrap/>
          </w:tcPr>
          <w:p w14:paraId="5701D1DF"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86" w:type="dxa"/>
            <w:tcBorders>
              <w:top w:val="nil"/>
              <w:left w:val="nil"/>
              <w:bottom w:val="single" w:sz="4" w:space="0" w:color="auto"/>
              <w:right w:val="single" w:sz="4" w:space="0" w:color="auto"/>
            </w:tcBorders>
            <w:shd w:val="clear" w:color="auto" w:fill="C6EFCE"/>
            <w:noWrap/>
          </w:tcPr>
          <w:p w14:paraId="7BDD2BC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PRVÝ ŠTVRŤROK</w:t>
            </w:r>
          </w:p>
        </w:tc>
        <w:tc>
          <w:tcPr>
            <w:tcW w:w="662" w:type="dxa"/>
            <w:tcBorders>
              <w:top w:val="nil"/>
              <w:left w:val="nil"/>
              <w:bottom w:val="single" w:sz="4" w:space="0" w:color="auto"/>
              <w:right w:val="single" w:sz="4" w:space="0" w:color="auto"/>
            </w:tcBorders>
            <w:shd w:val="clear" w:color="auto" w:fill="C6EFCE"/>
            <w:noWrap/>
          </w:tcPr>
          <w:p w14:paraId="6EE5745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2022</w:t>
            </w:r>
          </w:p>
        </w:tc>
        <w:tc>
          <w:tcPr>
            <w:tcW w:w="4305" w:type="dxa"/>
            <w:tcBorders>
              <w:top w:val="single" w:sz="4" w:space="0" w:color="auto"/>
              <w:left w:val="nil"/>
              <w:bottom w:val="single" w:sz="4" w:space="0" w:color="auto"/>
              <w:right w:val="single" w:sz="4" w:space="0" w:color="auto"/>
            </w:tcBorders>
            <w:shd w:val="clear" w:color="auto" w:fill="C6EFCE"/>
            <w:noWrap/>
          </w:tcPr>
          <w:p w14:paraId="73AD21F7" w14:textId="7753460D" w:rsidR="002D49B0" w:rsidRPr="00083739" w:rsidRDefault="00BF4125">
            <w:pPr>
              <w:pStyle w:val="P68B1DB1-Normal9"/>
              <w:spacing w:after="0" w:line="240" w:lineRule="auto"/>
              <w:rPr>
                <w:rFonts w:ascii="Times New Roman" w:hAnsi="Times New Roman" w:cs="Times New Roman"/>
                <w:noProof/>
                <w:szCs w:val="18"/>
                <w:lang w:val="sk-SK"/>
              </w:rPr>
            </w:pPr>
            <w:r w:rsidRPr="00083739">
              <w:rPr>
                <w:rFonts w:ascii="Times New Roman" w:hAnsi="Times New Roman" w:cs="Times New Roman"/>
                <w:noProof/>
                <w:lang w:val="sk-SK"/>
              </w:rPr>
              <w:t>(1) Rozvoj cestovného ruchu: Nadobudnutie účinnosti právnych predpisov na ref</w:t>
            </w:r>
            <w:r w:rsidRPr="00083739">
              <w:rPr>
                <w:rFonts w:ascii="Times New Roman" w:hAnsi="Times New Roman" w:cs="Times New Roman"/>
                <w:noProof/>
                <w:lang w:val="sk-SK"/>
              </w:rPr>
              <w:t>ormu právneho rámca pre zákon</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prístavoch cestovného ruchu</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cieľom podporiť nové investície vrátane zmeny ustanovení týkajúcich sa udeľovania licencií na inštaláciu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prevádzku</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súlade so zákonom č. 4442/2016</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udeľovaní investičných licencií.</w:t>
            </w:r>
          </w:p>
          <w:p w14:paraId="30C17FFA" w14:textId="0A0DB321" w:rsidR="00083739" w:rsidRPr="00083739" w:rsidRDefault="00BF4125">
            <w:pPr>
              <w:spacing w:after="0" w:line="240" w:lineRule="auto"/>
              <w:rPr>
                <w:rFonts w:ascii="Times New Roman" w:hAnsi="Times New Roman" w:cs="Times New Roman"/>
                <w:noProof/>
                <w:color w:val="006100"/>
                <w:sz w:val="18"/>
                <w:lang w:val="sk-SK"/>
              </w:rPr>
            </w:pPr>
            <w:r w:rsidRPr="00083739">
              <w:rPr>
                <w:rFonts w:ascii="Times New Roman" w:hAnsi="Times New Roman" w:cs="Times New Roman"/>
                <w:noProof/>
                <w:color w:val="006100"/>
                <w:sz w:val="18"/>
                <w:lang w:val="sk-SK"/>
              </w:rPr>
              <w:t>(2) Rozvo</w:t>
            </w:r>
            <w:r w:rsidRPr="00083739">
              <w:rPr>
                <w:rFonts w:ascii="Times New Roman" w:hAnsi="Times New Roman" w:cs="Times New Roman"/>
                <w:noProof/>
                <w:color w:val="006100"/>
                <w:sz w:val="18"/>
                <w:lang w:val="sk-SK"/>
              </w:rPr>
              <w:t>j cestovného ruchu: Nadobudnutie účinnosti právnych predpisov na reformu právneho rámca pre lyžiarske strediská na podporu nových investícií vrátane zmeny ustanovení týkajúcich sa udeľovania licencií na inštaláciu</w:t>
            </w:r>
            <w:r w:rsidR="00083739" w:rsidRPr="00083739">
              <w:rPr>
                <w:rFonts w:ascii="Times New Roman" w:hAnsi="Times New Roman" w:cs="Times New Roman"/>
                <w:noProof/>
                <w:color w:val="006100"/>
                <w:sz w:val="18"/>
                <w:lang w:val="sk-SK"/>
              </w:rPr>
              <w:t xml:space="preserve"> a </w:t>
            </w:r>
            <w:r w:rsidRPr="00083739">
              <w:rPr>
                <w:rFonts w:ascii="Times New Roman" w:hAnsi="Times New Roman" w:cs="Times New Roman"/>
                <w:noProof/>
                <w:color w:val="006100"/>
                <w:sz w:val="18"/>
                <w:lang w:val="sk-SK"/>
              </w:rPr>
              <w:t>prevádzku</w:t>
            </w:r>
            <w:r w:rsidR="00083739" w:rsidRPr="00083739">
              <w:rPr>
                <w:rFonts w:ascii="Times New Roman" w:hAnsi="Times New Roman" w:cs="Times New Roman"/>
                <w:noProof/>
                <w:color w:val="006100"/>
                <w:sz w:val="18"/>
                <w:lang w:val="sk-SK"/>
              </w:rPr>
              <w:t xml:space="preserve"> v </w:t>
            </w:r>
            <w:r w:rsidRPr="00083739">
              <w:rPr>
                <w:rFonts w:ascii="Times New Roman" w:hAnsi="Times New Roman" w:cs="Times New Roman"/>
                <w:noProof/>
                <w:color w:val="006100"/>
                <w:sz w:val="18"/>
                <w:lang w:val="sk-SK"/>
              </w:rPr>
              <w:t xml:space="preserve">súlade so zákonom č. </w:t>
            </w:r>
            <w:r w:rsidRPr="00083739">
              <w:rPr>
                <w:rFonts w:ascii="Times New Roman" w:hAnsi="Times New Roman" w:cs="Times New Roman"/>
                <w:noProof/>
                <w:color w:val="006100"/>
                <w:sz w:val="18"/>
                <w:lang w:val="sk-SK"/>
              </w:rPr>
              <w:t>4442/2016</w:t>
            </w:r>
            <w:r w:rsidR="00083739" w:rsidRPr="00083739">
              <w:rPr>
                <w:rFonts w:ascii="Times New Roman" w:hAnsi="Times New Roman" w:cs="Times New Roman"/>
                <w:noProof/>
                <w:color w:val="006100"/>
                <w:sz w:val="18"/>
                <w:lang w:val="sk-SK"/>
              </w:rPr>
              <w:t xml:space="preserve"> o </w:t>
            </w:r>
            <w:r w:rsidRPr="00083739">
              <w:rPr>
                <w:rFonts w:ascii="Times New Roman" w:hAnsi="Times New Roman" w:cs="Times New Roman"/>
                <w:noProof/>
                <w:color w:val="006100"/>
                <w:sz w:val="18"/>
                <w:lang w:val="sk-SK"/>
              </w:rPr>
              <w:t>udeľovaní investičných licencií</w:t>
            </w:r>
            <w:r w:rsidR="00083739" w:rsidRPr="00083739">
              <w:rPr>
                <w:rFonts w:ascii="Times New Roman" w:hAnsi="Times New Roman" w:cs="Times New Roman"/>
                <w:noProof/>
                <w:color w:val="006100"/>
                <w:sz w:val="18"/>
                <w:lang w:val="sk-SK"/>
              </w:rPr>
              <w:t>.</w:t>
            </w:r>
          </w:p>
          <w:p w14:paraId="2C9DDCA0" w14:textId="50D5AFAE"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 Rozvoj cestovného ruchu: Zriadenie úradu pre riadenie projektov pre dohľad nad investíciami do modernizácie turistických prístavov.</w:t>
            </w:r>
          </w:p>
        </w:tc>
      </w:tr>
      <w:tr w:rsidR="002D49B0" w:rsidRPr="00083739" w14:paraId="3134A3FA" w14:textId="77777777">
        <w:trPr>
          <w:trHeight w:val="313"/>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1BBF296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294</w:t>
            </w:r>
          </w:p>
        </w:tc>
        <w:tc>
          <w:tcPr>
            <w:tcW w:w="1489" w:type="dxa"/>
            <w:tcBorders>
              <w:top w:val="single" w:sz="4" w:space="0" w:color="auto"/>
              <w:left w:val="nil"/>
              <w:bottom w:val="single" w:sz="4" w:space="0" w:color="auto"/>
              <w:right w:val="single" w:sz="4" w:space="0" w:color="auto"/>
            </w:tcBorders>
            <w:shd w:val="clear" w:color="auto" w:fill="C6EFCE"/>
            <w:noWrap/>
          </w:tcPr>
          <w:p w14:paraId="0FA303F9" w14:textId="20132A34"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17 – 4.6. Modernizácia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zlepšenie odolnosti kľúčových hospodárskych </w:t>
            </w:r>
            <w:r w:rsidRPr="00083739">
              <w:rPr>
                <w:rFonts w:ascii="Times New Roman" w:hAnsi="Times New Roman" w:cs="Times New Roman"/>
                <w:noProof/>
                <w:lang w:val="sk-SK"/>
              </w:rPr>
              <w:t>odvetví – 16944_Hlavný plán obnovy gréckeho vozového parku osobnej lodnej dopravy</w:t>
            </w:r>
          </w:p>
        </w:tc>
        <w:tc>
          <w:tcPr>
            <w:tcW w:w="1424" w:type="dxa"/>
            <w:tcBorders>
              <w:top w:val="single" w:sz="4" w:space="0" w:color="auto"/>
              <w:left w:val="nil"/>
              <w:bottom w:val="single" w:sz="4" w:space="0" w:color="auto"/>
              <w:right w:val="single" w:sz="4" w:space="0" w:color="auto"/>
            </w:tcBorders>
            <w:shd w:val="clear" w:color="auto" w:fill="C6EFCE"/>
            <w:noWrap/>
          </w:tcPr>
          <w:p w14:paraId="7BDC0E7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274" w:type="dxa"/>
            <w:tcBorders>
              <w:top w:val="single" w:sz="4" w:space="0" w:color="auto"/>
              <w:left w:val="nil"/>
              <w:bottom w:val="single" w:sz="4" w:space="0" w:color="auto"/>
              <w:right w:val="single" w:sz="4" w:space="0" w:color="auto"/>
            </w:tcBorders>
            <w:shd w:val="clear" w:color="auto" w:fill="C6EFCE"/>
            <w:noWrap/>
          </w:tcPr>
          <w:p w14:paraId="4424E9F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Hlavný plán gréckej osobnej lodnej dopravy</w:t>
            </w:r>
          </w:p>
        </w:tc>
        <w:tc>
          <w:tcPr>
            <w:tcW w:w="1741" w:type="dxa"/>
            <w:tcBorders>
              <w:top w:val="single" w:sz="4" w:space="0" w:color="auto"/>
              <w:left w:val="nil"/>
              <w:bottom w:val="single" w:sz="4" w:space="0" w:color="auto"/>
              <w:right w:val="single" w:sz="4" w:space="0" w:color="auto"/>
            </w:tcBorders>
            <w:shd w:val="clear" w:color="auto" w:fill="C6EFCE"/>
            <w:noWrap/>
          </w:tcPr>
          <w:p w14:paraId="57307BAD" w14:textId="2A0368A8"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Vyplnená správa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zhrnutie konzultácií.</w:t>
            </w:r>
          </w:p>
        </w:tc>
        <w:tc>
          <w:tcPr>
            <w:tcW w:w="1741" w:type="dxa"/>
            <w:tcBorders>
              <w:top w:val="single" w:sz="4" w:space="0" w:color="auto"/>
              <w:left w:val="nil"/>
              <w:bottom w:val="single" w:sz="4" w:space="0" w:color="auto"/>
              <w:right w:val="single" w:sz="4" w:space="0" w:color="auto"/>
            </w:tcBorders>
            <w:shd w:val="clear" w:color="auto" w:fill="C6EFCE"/>
            <w:noWrap/>
          </w:tcPr>
          <w:p w14:paraId="7A05789B"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single" w:sz="4" w:space="0" w:color="auto"/>
              <w:left w:val="nil"/>
              <w:bottom w:val="single" w:sz="4" w:space="0" w:color="auto"/>
              <w:right w:val="single" w:sz="4" w:space="0" w:color="auto"/>
            </w:tcBorders>
            <w:shd w:val="clear" w:color="auto" w:fill="C6EFCE"/>
            <w:noWrap/>
          </w:tcPr>
          <w:p w14:paraId="3EF0CD91"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713" w:type="dxa"/>
            <w:tcBorders>
              <w:top w:val="single" w:sz="4" w:space="0" w:color="auto"/>
              <w:left w:val="nil"/>
              <w:bottom w:val="single" w:sz="4" w:space="0" w:color="auto"/>
              <w:right w:val="single" w:sz="4" w:space="0" w:color="auto"/>
            </w:tcBorders>
            <w:shd w:val="clear" w:color="auto" w:fill="C6EFCE"/>
            <w:noWrap/>
          </w:tcPr>
          <w:p w14:paraId="370B05DF"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86" w:type="dxa"/>
            <w:tcBorders>
              <w:top w:val="single" w:sz="4" w:space="0" w:color="auto"/>
              <w:left w:val="nil"/>
              <w:bottom w:val="single" w:sz="4" w:space="0" w:color="auto"/>
              <w:right w:val="single" w:sz="4" w:space="0" w:color="auto"/>
            </w:tcBorders>
            <w:shd w:val="clear" w:color="auto" w:fill="C6EFCE"/>
            <w:noWrap/>
          </w:tcPr>
          <w:p w14:paraId="3CED1FD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662" w:type="dxa"/>
            <w:tcBorders>
              <w:top w:val="single" w:sz="4" w:space="0" w:color="auto"/>
              <w:left w:val="nil"/>
              <w:bottom w:val="single" w:sz="4" w:space="0" w:color="auto"/>
              <w:right w:val="single" w:sz="4" w:space="0" w:color="auto"/>
            </w:tcBorders>
            <w:shd w:val="clear" w:color="auto" w:fill="C6EFCE"/>
            <w:noWrap/>
          </w:tcPr>
          <w:p w14:paraId="6FEA6CA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4305" w:type="dxa"/>
            <w:tcBorders>
              <w:top w:val="single" w:sz="4" w:space="0" w:color="auto"/>
              <w:left w:val="nil"/>
              <w:bottom w:val="single" w:sz="4" w:space="0" w:color="auto"/>
              <w:right w:val="single" w:sz="4" w:space="0" w:color="auto"/>
            </w:tcBorders>
            <w:shd w:val="clear" w:color="auto" w:fill="C6EFCE"/>
            <w:noWrap/>
          </w:tcPr>
          <w:p w14:paraId="0F57AA8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Hlavný plán obnovy gréckeho vozového parku osobnej lodnej dop</w:t>
            </w:r>
            <w:r w:rsidRPr="00083739">
              <w:rPr>
                <w:rFonts w:ascii="Times New Roman" w:hAnsi="Times New Roman" w:cs="Times New Roman"/>
                <w:noProof/>
                <w:lang w:val="sk-SK"/>
              </w:rPr>
              <w:t>ravy: Dokončenie projektu</w:t>
            </w:r>
          </w:p>
        </w:tc>
      </w:tr>
      <w:tr w:rsidR="002D49B0" w:rsidRPr="00083739" w14:paraId="0CB0AD57" w14:textId="77777777">
        <w:trPr>
          <w:trHeight w:val="313"/>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4B837F7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295</w:t>
            </w:r>
          </w:p>
        </w:tc>
        <w:tc>
          <w:tcPr>
            <w:tcW w:w="1489" w:type="dxa"/>
            <w:tcBorders>
              <w:top w:val="single" w:sz="4" w:space="0" w:color="auto"/>
              <w:left w:val="nil"/>
              <w:bottom w:val="single" w:sz="4" w:space="0" w:color="auto"/>
              <w:right w:val="single" w:sz="4" w:space="0" w:color="auto"/>
            </w:tcBorders>
            <w:shd w:val="clear" w:color="auto" w:fill="C6EFCE"/>
            <w:noWrap/>
          </w:tcPr>
          <w:p w14:paraId="0EBEDE2B" w14:textId="3029EE4E"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17 – 4.6. Modernizácia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zlepšenie odolnosti kľúčových hospodárskych odvetví – 16931_Rozvoj cestovného ruchu</w:t>
            </w:r>
          </w:p>
        </w:tc>
        <w:tc>
          <w:tcPr>
            <w:tcW w:w="1424" w:type="dxa"/>
            <w:tcBorders>
              <w:top w:val="single" w:sz="4" w:space="0" w:color="auto"/>
              <w:left w:val="nil"/>
              <w:bottom w:val="single" w:sz="4" w:space="0" w:color="auto"/>
              <w:right w:val="single" w:sz="4" w:space="0" w:color="auto"/>
            </w:tcBorders>
            <w:shd w:val="clear" w:color="auto" w:fill="C6EFCE"/>
            <w:noWrap/>
          </w:tcPr>
          <w:p w14:paraId="4B5DBF7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274" w:type="dxa"/>
            <w:tcBorders>
              <w:top w:val="single" w:sz="4" w:space="0" w:color="auto"/>
              <w:left w:val="nil"/>
              <w:bottom w:val="single" w:sz="4" w:space="0" w:color="auto"/>
              <w:right w:val="single" w:sz="4" w:space="0" w:color="auto"/>
            </w:tcBorders>
            <w:shd w:val="clear" w:color="auto" w:fill="C6EFCE"/>
            <w:noWrap/>
          </w:tcPr>
          <w:p w14:paraId="6687C3CC" w14:textId="7A8487B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Rozvoj cestovného ruchu: Uverejnenie rozhodnutí</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schválení turistických prístavov</w:t>
            </w:r>
          </w:p>
        </w:tc>
        <w:tc>
          <w:tcPr>
            <w:tcW w:w="1741" w:type="dxa"/>
            <w:tcBorders>
              <w:top w:val="single" w:sz="4" w:space="0" w:color="auto"/>
              <w:left w:val="nil"/>
              <w:bottom w:val="single" w:sz="4" w:space="0" w:color="auto"/>
              <w:right w:val="single" w:sz="4" w:space="0" w:color="auto"/>
            </w:tcBorders>
            <w:shd w:val="clear" w:color="auto" w:fill="C6EFCE"/>
            <w:noWrap/>
          </w:tcPr>
          <w:p w14:paraId="016F5B74" w14:textId="5608B5D5"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Rozhodnutia</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 xml:space="preserve">schválení </w:t>
            </w:r>
          </w:p>
        </w:tc>
        <w:tc>
          <w:tcPr>
            <w:tcW w:w="1741" w:type="dxa"/>
            <w:tcBorders>
              <w:top w:val="single" w:sz="4" w:space="0" w:color="auto"/>
              <w:left w:val="nil"/>
              <w:bottom w:val="single" w:sz="4" w:space="0" w:color="auto"/>
              <w:right w:val="single" w:sz="4" w:space="0" w:color="auto"/>
            </w:tcBorders>
            <w:shd w:val="clear" w:color="auto" w:fill="C6EFCE"/>
            <w:noWrap/>
          </w:tcPr>
          <w:p w14:paraId="28142BA9"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single" w:sz="4" w:space="0" w:color="auto"/>
              <w:left w:val="nil"/>
              <w:bottom w:val="single" w:sz="4" w:space="0" w:color="auto"/>
              <w:right w:val="single" w:sz="4" w:space="0" w:color="auto"/>
            </w:tcBorders>
            <w:shd w:val="clear" w:color="auto" w:fill="C6EFCE"/>
            <w:noWrap/>
          </w:tcPr>
          <w:p w14:paraId="28DBC6EB"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713" w:type="dxa"/>
            <w:tcBorders>
              <w:top w:val="single" w:sz="4" w:space="0" w:color="auto"/>
              <w:left w:val="nil"/>
              <w:bottom w:val="single" w:sz="4" w:space="0" w:color="auto"/>
              <w:right w:val="single" w:sz="4" w:space="0" w:color="auto"/>
            </w:tcBorders>
            <w:shd w:val="clear" w:color="auto" w:fill="C6EFCE"/>
            <w:noWrap/>
          </w:tcPr>
          <w:p w14:paraId="126AE028"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86" w:type="dxa"/>
            <w:tcBorders>
              <w:top w:val="single" w:sz="4" w:space="0" w:color="auto"/>
              <w:left w:val="nil"/>
              <w:bottom w:val="single" w:sz="4" w:space="0" w:color="auto"/>
              <w:right w:val="single" w:sz="4" w:space="0" w:color="auto"/>
            </w:tcBorders>
            <w:shd w:val="clear" w:color="auto" w:fill="C6EFCE"/>
            <w:noWrap/>
          </w:tcPr>
          <w:p w14:paraId="292611E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662" w:type="dxa"/>
            <w:tcBorders>
              <w:top w:val="single" w:sz="4" w:space="0" w:color="auto"/>
              <w:left w:val="nil"/>
              <w:bottom w:val="single" w:sz="4" w:space="0" w:color="auto"/>
              <w:right w:val="single" w:sz="4" w:space="0" w:color="auto"/>
            </w:tcBorders>
            <w:shd w:val="clear" w:color="auto" w:fill="C6EFCE"/>
            <w:noWrap/>
          </w:tcPr>
          <w:p w14:paraId="3489589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2024</w:t>
            </w:r>
          </w:p>
        </w:tc>
        <w:tc>
          <w:tcPr>
            <w:tcW w:w="4305" w:type="dxa"/>
            <w:tcBorders>
              <w:top w:val="single" w:sz="4" w:space="0" w:color="auto"/>
              <w:left w:val="nil"/>
              <w:bottom w:val="single" w:sz="4" w:space="0" w:color="auto"/>
              <w:right w:val="single" w:sz="4" w:space="0" w:color="auto"/>
            </w:tcBorders>
            <w:shd w:val="clear" w:color="auto" w:fill="C6EFCE"/>
            <w:noWrap/>
          </w:tcPr>
          <w:p w14:paraId="14188B9C" w14:textId="6C4A107A"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Uverejnenie rozhodnutí</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schválení pre vybraných príjemcov</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cieľom modernizovať infraštruktúru turistických prístavov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zlepšiť okrem iného ich energetickú efektívnosť. </w:t>
            </w:r>
          </w:p>
        </w:tc>
      </w:tr>
      <w:tr w:rsidR="002D49B0" w:rsidRPr="00083739" w14:paraId="165EC936" w14:textId="77777777">
        <w:trPr>
          <w:trHeight w:val="313"/>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70F68D4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296</w:t>
            </w:r>
          </w:p>
        </w:tc>
        <w:tc>
          <w:tcPr>
            <w:tcW w:w="1489" w:type="dxa"/>
            <w:tcBorders>
              <w:top w:val="single" w:sz="4" w:space="0" w:color="auto"/>
              <w:left w:val="nil"/>
              <w:bottom w:val="single" w:sz="4" w:space="0" w:color="auto"/>
              <w:right w:val="single" w:sz="4" w:space="0" w:color="auto"/>
            </w:tcBorders>
            <w:shd w:val="clear" w:color="auto" w:fill="C6EFCE"/>
            <w:noWrap/>
          </w:tcPr>
          <w:p w14:paraId="3D96B47F" w14:textId="1BE744CD"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17 – 4.6. Modernizácia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zlepšenie odolnosti kľúčových </w:t>
            </w:r>
            <w:r w:rsidRPr="00083739">
              <w:rPr>
                <w:rFonts w:ascii="Times New Roman" w:hAnsi="Times New Roman" w:cs="Times New Roman"/>
                <w:noProof/>
                <w:lang w:val="sk-SK"/>
              </w:rPr>
              <w:t>hospodárskych odvetví – 16921_Rekvalifikácia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zvyšovanie úrovne zručností</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cestovnom ruchu</w:t>
            </w:r>
          </w:p>
        </w:tc>
        <w:tc>
          <w:tcPr>
            <w:tcW w:w="1424" w:type="dxa"/>
            <w:tcBorders>
              <w:top w:val="single" w:sz="4" w:space="0" w:color="auto"/>
              <w:left w:val="nil"/>
              <w:bottom w:val="single" w:sz="4" w:space="0" w:color="auto"/>
              <w:right w:val="single" w:sz="4" w:space="0" w:color="auto"/>
            </w:tcBorders>
            <w:shd w:val="clear" w:color="auto" w:fill="C6EFCE"/>
            <w:noWrap/>
          </w:tcPr>
          <w:p w14:paraId="59974A5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Cieľ</w:t>
            </w:r>
          </w:p>
        </w:tc>
        <w:tc>
          <w:tcPr>
            <w:tcW w:w="1274" w:type="dxa"/>
            <w:tcBorders>
              <w:top w:val="single" w:sz="4" w:space="0" w:color="auto"/>
              <w:left w:val="nil"/>
              <w:bottom w:val="single" w:sz="4" w:space="0" w:color="auto"/>
              <w:right w:val="single" w:sz="4" w:space="0" w:color="auto"/>
            </w:tcBorders>
            <w:shd w:val="clear" w:color="auto" w:fill="C6EFCE"/>
            <w:noWrap/>
          </w:tcPr>
          <w:p w14:paraId="1C0B11FE" w14:textId="5275875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Rekvalifikácia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zvyšovanie úrovne zručností</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cestovnom ruchu (dokončenie)</w:t>
            </w:r>
          </w:p>
        </w:tc>
        <w:tc>
          <w:tcPr>
            <w:tcW w:w="1741" w:type="dxa"/>
            <w:tcBorders>
              <w:top w:val="single" w:sz="4" w:space="0" w:color="auto"/>
              <w:left w:val="nil"/>
              <w:bottom w:val="single" w:sz="4" w:space="0" w:color="auto"/>
              <w:right w:val="single" w:sz="4" w:space="0" w:color="auto"/>
            </w:tcBorders>
            <w:shd w:val="clear" w:color="auto" w:fill="C6EFCE"/>
            <w:noWrap/>
          </w:tcPr>
          <w:p w14:paraId="6FBE0DD2"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741" w:type="dxa"/>
            <w:tcBorders>
              <w:top w:val="single" w:sz="4" w:space="0" w:color="auto"/>
              <w:left w:val="nil"/>
              <w:bottom w:val="single" w:sz="4" w:space="0" w:color="auto"/>
              <w:right w:val="single" w:sz="4" w:space="0" w:color="auto"/>
            </w:tcBorders>
            <w:shd w:val="clear" w:color="auto" w:fill="C6EFCE"/>
            <w:noWrap/>
          </w:tcPr>
          <w:p w14:paraId="6925153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Počet účastníkov, ktorí úspešne absolvujú odbornú prípravu</w:t>
            </w:r>
          </w:p>
        </w:tc>
        <w:tc>
          <w:tcPr>
            <w:tcW w:w="857" w:type="dxa"/>
            <w:tcBorders>
              <w:top w:val="single" w:sz="4" w:space="0" w:color="auto"/>
              <w:left w:val="nil"/>
              <w:bottom w:val="single" w:sz="4" w:space="0" w:color="auto"/>
              <w:right w:val="single" w:sz="4" w:space="0" w:color="auto"/>
            </w:tcBorders>
            <w:shd w:val="clear" w:color="auto" w:fill="C6EFCE"/>
            <w:noWrap/>
          </w:tcPr>
          <w:p w14:paraId="4EACD15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0</w:t>
            </w:r>
          </w:p>
        </w:tc>
        <w:tc>
          <w:tcPr>
            <w:tcW w:w="713" w:type="dxa"/>
            <w:tcBorders>
              <w:top w:val="single" w:sz="4" w:space="0" w:color="auto"/>
              <w:left w:val="nil"/>
              <w:bottom w:val="single" w:sz="4" w:space="0" w:color="auto"/>
              <w:right w:val="single" w:sz="4" w:space="0" w:color="auto"/>
            </w:tcBorders>
            <w:shd w:val="clear" w:color="auto" w:fill="C6EFCE"/>
            <w:noWrap/>
          </w:tcPr>
          <w:p w14:paraId="56E83DC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18 000</w:t>
            </w:r>
          </w:p>
        </w:tc>
        <w:tc>
          <w:tcPr>
            <w:tcW w:w="986" w:type="dxa"/>
            <w:tcBorders>
              <w:top w:val="single" w:sz="4" w:space="0" w:color="auto"/>
              <w:left w:val="nil"/>
              <w:bottom w:val="single" w:sz="4" w:space="0" w:color="auto"/>
              <w:right w:val="single" w:sz="4" w:space="0" w:color="auto"/>
            </w:tcBorders>
            <w:shd w:val="clear" w:color="auto" w:fill="C6EFCE"/>
            <w:noWrap/>
          </w:tcPr>
          <w:p w14:paraId="26965A6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ŠTVRTÝ </w:t>
            </w:r>
            <w:r w:rsidRPr="00083739">
              <w:rPr>
                <w:rFonts w:ascii="Times New Roman" w:hAnsi="Times New Roman" w:cs="Times New Roman"/>
                <w:noProof/>
                <w:lang w:val="sk-SK"/>
              </w:rPr>
              <w:t>ŠTVRŤROK</w:t>
            </w:r>
          </w:p>
        </w:tc>
        <w:tc>
          <w:tcPr>
            <w:tcW w:w="662" w:type="dxa"/>
            <w:tcBorders>
              <w:top w:val="single" w:sz="4" w:space="0" w:color="auto"/>
              <w:left w:val="nil"/>
              <w:bottom w:val="single" w:sz="4" w:space="0" w:color="auto"/>
              <w:right w:val="single" w:sz="4" w:space="0" w:color="auto"/>
            </w:tcBorders>
            <w:shd w:val="clear" w:color="auto" w:fill="C6EFCE"/>
            <w:noWrap/>
          </w:tcPr>
          <w:p w14:paraId="7116DED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4305" w:type="dxa"/>
            <w:tcBorders>
              <w:top w:val="single" w:sz="4" w:space="0" w:color="auto"/>
              <w:left w:val="nil"/>
              <w:bottom w:val="single" w:sz="4" w:space="0" w:color="auto"/>
              <w:right w:val="single" w:sz="4" w:space="0" w:color="auto"/>
            </w:tcBorders>
            <w:shd w:val="clear" w:color="auto" w:fill="C6EFCE"/>
            <w:noWrap/>
          </w:tcPr>
          <w:p w14:paraId="157075AA" w14:textId="761E6D78"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Zvyšovanie úrovne zručností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rekvalifikácia</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cestovnom ruchu: Ukončenie školení osvedčené správou</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ukončení</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podrobnou štatistickou prílohou dokončených kurzov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úspešných absolvovaní podľa poskytovateľa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kvalifikácie.</w:t>
            </w:r>
          </w:p>
        </w:tc>
      </w:tr>
      <w:tr w:rsidR="002D49B0" w:rsidRPr="00083739" w14:paraId="7BF12D83" w14:textId="77777777">
        <w:trPr>
          <w:trHeight w:val="313"/>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4D59D6E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297</w:t>
            </w:r>
          </w:p>
        </w:tc>
        <w:tc>
          <w:tcPr>
            <w:tcW w:w="1489" w:type="dxa"/>
            <w:tcBorders>
              <w:top w:val="single" w:sz="4" w:space="0" w:color="auto"/>
              <w:left w:val="nil"/>
              <w:bottom w:val="single" w:sz="4" w:space="0" w:color="auto"/>
              <w:right w:val="single" w:sz="4" w:space="0" w:color="auto"/>
            </w:tcBorders>
            <w:shd w:val="clear" w:color="auto" w:fill="C6EFCE"/>
            <w:noWrap/>
          </w:tcPr>
          <w:p w14:paraId="0A968EA0" w14:textId="13C0C23E"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17 – 4.6. </w:t>
            </w:r>
            <w:r w:rsidRPr="00083739">
              <w:rPr>
                <w:rFonts w:ascii="Times New Roman" w:hAnsi="Times New Roman" w:cs="Times New Roman"/>
                <w:noProof/>
                <w:lang w:val="sk-SK"/>
              </w:rPr>
              <w:t>Modernizácia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zlepšenie odolnosti kľúčových hospodárskych odvetví – 16931_Rozvoj cestovného ruchu</w:t>
            </w:r>
          </w:p>
        </w:tc>
        <w:tc>
          <w:tcPr>
            <w:tcW w:w="1424" w:type="dxa"/>
            <w:tcBorders>
              <w:top w:val="single" w:sz="4" w:space="0" w:color="auto"/>
              <w:left w:val="nil"/>
              <w:bottom w:val="single" w:sz="4" w:space="0" w:color="auto"/>
              <w:right w:val="single" w:sz="4" w:space="0" w:color="auto"/>
            </w:tcBorders>
            <w:shd w:val="clear" w:color="auto" w:fill="C6EFCE"/>
            <w:noWrap/>
          </w:tcPr>
          <w:p w14:paraId="4CEA4BC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274" w:type="dxa"/>
            <w:tcBorders>
              <w:top w:val="single" w:sz="4" w:space="0" w:color="auto"/>
              <w:left w:val="nil"/>
              <w:bottom w:val="single" w:sz="4" w:space="0" w:color="auto"/>
              <w:right w:val="single" w:sz="4" w:space="0" w:color="auto"/>
            </w:tcBorders>
            <w:shd w:val="clear" w:color="auto" w:fill="C6EFCE"/>
            <w:noWrap/>
          </w:tcPr>
          <w:p w14:paraId="53698E8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projektu rozvoja cestovného ruchu</w:t>
            </w:r>
          </w:p>
        </w:tc>
        <w:tc>
          <w:tcPr>
            <w:tcW w:w="1741" w:type="dxa"/>
            <w:tcBorders>
              <w:top w:val="single" w:sz="4" w:space="0" w:color="auto"/>
              <w:left w:val="nil"/>
              <w:bottom w:val="single" w:sz="4" w:space="0" w:color="auto"/>
              <w:right w:val="single" w:sz="4" w:space="0" w:color="auto"/>
            </w:tcBorders>
            <w:shd w:val="clear" w:color="auto" w:fill="C6EFCE"/>
            <w:noWrap/>
          </w:tcPr>
          <w:p w14:paraId="32FD03B6" w14:textId="469E4BB3"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investícií</w:t>
            </w:r>
          </w:p>
        </w:tc>
        <w:tc>
          <w:tcPr>
            <w:tcW w:w="1741" w:type="dxa"/>
            <w:tcBorders>
              <w:top w:val="single" w:sz="4" w:space="0" w:color="auto"/>
              <w:left w:val="nil"/>
              <w:bottom w:val="single" w:sz="4" w:space="0" w:color="auto"/>
              <w:right w:val="single" w:sz="4" w:space="0" w:color="auto"/>
            </w:tcBorders>
            <w:shd w:val="clear" w:color="auto" w:fill="C6EFCE"/>
            <w:noWrap/>
          </w:tcPr>
          <w:p w14:paraId="2F8428A5"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single" w:sz="4" w:space="0" w:color="auto"/>
              <w:left w:val="nil"/>
              <w:bottom w:val="single" w:sz="4" w:space="0" w:color="auto"/>
              <w:right w:val="single" w:sz="4" w:space="0" w:color="auto"/>
            </w:tcBorders>
            <w:shd w:val="clear" w:color="auto" w:fill="C6EFCE"/>
            <w:noWrap/>
          </w:tcPr>
          <w:p w14:paraId="7C181F60"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713" w:type="dxa"/>
            <w:tcBorders>
              <w:top w:val="single" w:sz="4" w:space="0" w:color="auto"/>
              <w:left w:val="nil"/>
              <w:bottom w:val="single" w:sz="4" w:space="0" w:color="auto"/>
              <w:right w:val="single" w:sz="4" w:space="0" w:color="auto"/>
            </w:tcBorders>
            <w:shd w:val="clear" w:color="auto" w:fill="C6EFCE"/>
            <w:noWrap/>
          </w:tcPr>
          <w:p w14:paraId="4478931F"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86" w:type="dxa"/>
            <w:tcBorders>
              <w:top w:val="single" w:sz="4" w:space="0" w:color="auto"/>
              <w:left w:val="nil"/>
              <w:bottom w:val="single" w:sz="4" w:space="0" w:color="auto"/>
              <w:right w:val="single" w:sz="4" w:space="0" w:color="auto"/>
            </w:tcBorders>
            <w:shd w:val="clear" w:color="auto" w:fill="C6EFCE"/>
            <w:noWrap/>
          </w:tcPr>
          <w:p w14:paraId="60B0DFC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662" w:type="dxa"/>
            <w:tcBorders>
              <w:top w:val="single" w:sz="4" w:space="0" w:color="auto"/>
              <w:left w:val="nil"/>
              <w:bottom w:val="single" w:sz="4" w:space="0" w:color="auto"/>
              <w:right w:val="single" w:sz="4" w:space="0" w:color="auto"/>
            </w:tcBorders>
            <w:shd w:val="clear" w:color="auto" w:fill="C6EFCE"/>
            <w:noWrap/>
          </w:tcPr>
          <w:p w14:paraId="7C86CFF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4305" w:type="dxa"/>
            <w:tcBorders>
              <w:top w:val="single" w:sz="4" w:space="0" w:color="auto"/>
              <w:left w:val="nil"/>
              <w:bottom w:val="single" w:sz="4" w:space="0" w:color="auto"/>
              <w:right w:val="single" w:sz="4" w:space="0" w:color="auto"/>
            </w:tcBorders>
            <w:shd w:val="clear" w:color="auto" w:fill="C6EFCE"/>
            <w:noWrap/>
          </w:tcPr>
          <w:p w14:paraId="7822C7BB" w14:textId="77777777"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Rozvoj cestovného ruchu</w:t>
            </w:r>
            <w:r w:rsidR="00083739" w:rsidRPr="00083739">
              <w:rPr>
                <w:rFonts w:ascii="Times New Roman" w:hAnsi="Times New Roman" w:cs="Times New Roman"/>
                <w:noProof/>
                <w:lang w:val="sk-SK"/>
              </w:rPr>
              <w:t>:</w:t>
            </w:r>
          </w:p>
          <w:p w14:paraId="37C9B927" w14:textId="45CC041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(1a) Ukončenie špecifických </w:t>
            </w:r>
            <w:r w:rsidRPr="00083739">
              <w:rPr>
                <w:rFonts w:ascii="Times New Roman" w:hAnsi="Times New Roman" w:cs="Times New Roman"/>
                <w:noProof/>
                <w:lang w:val="sk-SK"/>
              </w:rPr>
              <w:t>modernizačných prác</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turistických prístavoch</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cieľom podporiť cestovný ruch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súkromné investície.</w:t>
            </w:r>
          </w:p>
          <w:p w14:paraId="50D0D4CC" w14:textId="62490C51" w:rsidR="002D49B0" w:rsidRPr="00083739" w:rsidRDefault="00BF4125">
            <w:pPr>
              <w:spacing w:after="0" w:line="240" w:lineRule="auto"/>
              <w:rPr>
                <w:rFonts w:ascii="Times New Roman" w:eastAsia="Times New Roman" w:hAnsi="Times New Roman" w:cs="Times New Roman"/>
                <w:noProof/>
                <w:color w:val="006100"/>
                <w:sz w:val="18"/>
                <w:szCs w:val="18"/>
                <w:lang w:val="sk-SK"/>
              </w:rPr>
            </w:pPr>
            <w:r w:rsidRPr="00083739">
              <w:rPr>
                <w:rFonts w:ascii="Times New Roman" w:hAnsi="Times New Roman" w:cs="Times New Roman"/>
                <w:noProof/>
                <w:color w:val="006100"/>
                <w:sz w:val="18"/>
                <w:lang w:val="sk-SK"/>
              </w:rPr>
              <w:t>(1b) Ukončenie iných intervencií</w:t>
            </w:r>
            <w:r w:rsidR="00083739" w:rsidRPr="00083739">
              <w:rPr>
                <w:rFonts w:ascii="Times New Roman" w:hAnsi="Times New Roman" w:cs="Times New Roman"/>
                <w:noProof/>
                <w:color w:val="006100"/>
                <w:sz w:val="18"/>
                <w:lang w:val="sk-SK"/>
              </w:rPr>
              <w:t xml:space="preserve"> v </w:t>
            </w:r>
            <w:r w:rsidRPr="00083739">
              <w:rPr>
                <w:rFonts w:ascii="Times New Roman" w:hAnsi="Times New Roman" w:cs="Times New Roman"/>
                <w:noProof/>
                <w:color w:val="006100"/>
                <w:sz w:val="18"/>
                <w:lang w:val="sk-SK"/>
              </w:rPr>
              <w:t>oblasti cestovného ruchu</w:t>
            </w:r>
            <w:r w:rsidRPr="00083739">
              <w:rPr>
                <w:rFonts w:ascii="Times New Roman" w:hAnsi="Times New Roman" w:cs="Times New Roman"/>
                <w:noProof/>
                <w:sz w:val="24"/>
                <w:lang w:val="sk-SK"/>
              </w:rPr>
              <w:t xml:space="preserve"> </w:t>
            </w:r>
            <w:r w:rsidRPr="00083739">
              <w:rPr>
                <w:rFonts w:ascii="Times New Roman" w:hAnsi="Times New Roman" w:cs="Times New Roman"/>
                <w:noProof/>
                <w:color w:val="006100"/>
                <w:sz w:val="18"/>
                <w:lang w:val="sk-SK"/>
              </w:rPr>
              <w:t>na podporu alternatívnych foriem cestovného ruchu</w:t>
            </w:r>
            <w:r w:rsidR="00083739" w:rsidRPr="00083739">
              <w:rPr>
                <w:rFonts w:ascii="Times New Roman" w:hAnsi="Times New Roman" w:cs="Times New Roman"/>
                <w:noProof/>
                <w:color w:val="006100"/>
                <w:sz w:val="18"/>
                <w:lang w:val="sk-SK"/>
              </w:rPr>
              <w:t xml:space="preserve"> a </w:t>
            </w:r>
            <w:r w:rsidRPr="00083739">
              <w:rPr>
                <w:rFonts w:ascii="Times New Roman" w:hAnsi="Times New Roman" w:cs="Times New Roman"/>
                <w:noProof/>
                <w:color w:val="006100"/>
                <w:sz w:val="18"/>
                <w:lang w:val="sk-SK"/>
              </w:rPr>
              <w:t>predĺženie sezóny vrátane:</w:t>
            </w:r>
          </w:p>
          <w:p w14:paraId="768088D2" w14:textId="785CC005" w:rsidR="002D49B0" w:rsidRPr="00083739" w:rsidRDefault="00BF4125">
            <w:pPr>
              <w:pStyle w:val="P68B1DB1-Normal35"/>
              <w:spacing w:before="120" w:after="0" w:line="240" w:lineRule="auto"/>
              <w:rPr>
                <w:rFonts w:ascii="Times New Roman" w:eastAsia="Times New Roman" w:hAnsi="Times New Roman" w:cs="Times New Roman"/>
                <w:noProof/>
                <w:color w:val="006100"/>
                <w:szCs w:val="18"/>
                <w:lang w:val="sk-SK"/>
              </w:rPr>
            </w:pPr>
            <w:r w:rsidRPr="00083739">
              <w:rPr>
                <w:rFonts w:ascii="Times New Roman" w:hAnsi="Times New Roman" w:cs="Times New Roman"/>
                <w:noProof/>
                <w:lang w:val="sk-SK"/>
              </w:rPr>
              <w:t xml:space="preserve">— </w:t>
            </w:r>
            <w:r w:rsidRPr="00083739">
              <w:rPr>
                <w:rFonts w:ascii="Times New Roman" w:hAnsi="Times New Roman" w:cs="Times New Roman"/>
                <w:noProof/>
                <w:color w:val="006100"/>
                <w:lang w:val="sk-SK"/>
              </w:rPr>
              <w:t>Zelený rozvoj:</w:t>
            </w:r>
            <w:r w:rsidRPr="00083739">
              <w:rPr>
                <w:rFonts w:ascii="Times New Roman" w:hAnsi="Times New Roman" w:cs="Times New Roman"/>
                <w:noProof/>
                <w:color w:val="006100"/>
                <w:lang w:val="sk-SK"/>
              </w:rPr>
              <w:t xml:space="preserve"> vytvorenie miestnych úradov riadenia destinácií</w:t>
            </w:r>
            <w:r w:rsidR="00083739" w:rsidRPr="00083739">
              <w:rPr>
                <w:rFonts w:ascii="Times New Roman" w:hAnsi="Times New Roman" w:cs="Times New Roman"/>
                <w:noProof/>
                <w:color w:val="006100"/>
                <w:lang w:val="sk-SK"/>
              </w:rPr>
              <w:t xml:space="preserve"> a </w:t>
            </w:r>
            <w:r w:rsidRPr="00083739">
              <w:rPr>
                <w:rFonts w:ascii="Times New Roman" w:hAnsi="Times New Roman" w:cs="Times New Roman"/>
                <w:noProof/>
                <w:color w:val="006100"/>
                <w:lang w:val="sk-SK"/>
              </w:rPr>
              <w:t>stredísk pre monitorovanie udržateľného cestovného ruchu; rozvoj horského cestovného ruchu zahŕňajúceho energeticky efektívnu obnovu verejnej</w:t>
            </w:r>
            <w:r w:rsidR="00083739" w:rsidRPr="00083739">
              <w:rPr>
                <w:rFonts w:ascii="Times New Roman" w:hAnsi="Times New Roman" w:cs="Times New Roman"/>
                <w:noProof/>
                <w:color w:val="006100"/>
                <w:lang w:val="sk-SK"/>
              </w:rPr>
              <w:t xml:space="preserve"> a </w:t>
            </w:r>
            <w:r w:rsidRPr="00083739">
              <w:rPr>
                <w:rFonts w:ascii="Times New Roman" w:hAnsi="Times New Roman" w:cs="Times New Roman"/>
                <w:noProof/>
                <w:color w:val="006100"/>
                <w:lang w:val="sk-SK"/>
              </w:rPr>
              <w:t xml:space="preserve">súkromnej infraštruktúry/zariadení a/alebo inštaláciu nových </w:t>
            </w:r>
            <w:r w:rsidRPr="00083739">
              <w:rPr>
                <w:rFonts w:ascii="Times New Roman" w:hAnsi="Times New Roman" w:cs="Times New Roman"/>
                <w:noProof/>
                <w:color w:val="006100"/>
                <w:lang w:val="sk-SK"/>
              </w:rPr>
              <w:t>kapacít obnoviteľných zdrojov energie; cestovný ruch</w:t>
            </w:r>
            <w:r w:rsidR="00083739" w:rsidRPr="00083739">
              <w:rPr>
                <w:rFonts w:ascii="Times New Roman" w:hAnsi="Times New Roman" w:cs="Times New Roman"/>
                <w:noProof/>
                <w:color w:val="006100"/>
                <w:lang w:val="sk-SK"/>
              </w:rPr>
              <w:t xml:space="preserve"> v </w:t>
            </w:r>
            <w:r w:rsidRPr="00083739">
              <w:rPr>
                <w:rFonts w:ascii="Times New Roman" w:hAnsi="Times New Roman" w:cs="Times New Roman"/>
                <w:noProof/>
                <w:color w:val="006100"/>
                <w:lang w:val="sk-SK"/>
              </w:rPr>
              <w:t>oblasti zdravia</w:t>
            </w:r>
            <w:r w:rsidR="00083739" w:rsidRPr="00083739">
              <w:rPr>
                <w:rFonts w:ascii="Times New Roman" w:hAnsi="Times New Roman" w:cs="Times New Roman"/>
                <w:noProof/>
                <w:color w:val="006100"/>
                <w:lang w:val="sk-SK"/>
              </w:rPr>
              <w:t xml:space="preserve"> a </w:t>
            </w:r>
            <w:r w:rsidRPr="00083739">
              <w:rPr>
                <w:rFonts w:ascii="Times New Roman" w:hAnsi="Times New Roman" w:cs="Times New Roman"/>
                <w:noProof/>
                <w:color w:val="006100"/>
                <w:lang w:val="sk-SK"/>
              </w:rPr>
              <w:t>telesnej</w:t>
            </w:r>
            <w:r w:rsidR="00083739" w:rsidRPr="00083739">
              <w:rPr>
                <w:rFonts w:ascii="Times New Roman" w:hAnsi="Times New Roman" w:cs="Times New Roman"/>
                <w:noProof/>
                <w:color w:val="006100"/>
                <w:lang w:val="sk-SK"/>
              </w:rPr>
              <w:t xml:space="preserve"> a </w:t>
            </w:r>
            <w:r w:rsidRPr="00083739">
              <w:rPr>
                <w:rFonts w:ascii="Times New Roman" w:hAnsi="Times New Roman" w:cs="Times New Roman"/>
                <w:noProof/>
                <w:color w:val="006100"/>
                <w:lang w:val="sk-SK"/>
              </w:rPr>
              <w:t>duševnej pohody prostredníctvom využívania tepelnej jari; podpora agroturistiky</w:t>
            </w:r>
            <w:r w:rsidR="00083739" w:rsidRPr="00083739">
              <w:rPr>
                <w:rFonts w:ascii="Times New Roman" w:hAnsi="Times New Roman" w:cs="Times New Roman"/>
                <w:noProof/>
                <w:color w:val="006100"/>
                <w:lang w:val="sk-SK"/>
              </w:rPr>
              <w:t xml:space="preserve"> a </w:t>
            </w:r>
            <w:r w:rsidRPr="00083739">
              <w:rPr>
                <w:rFonts w:ascii="Times New Roman" w:hAnsi="Times New Roman" w:cs="Times New Roman"/>
                <w:noProof/>
                <w:color w:val="006100"/>
                <w:lang w:val="sk-SK"/>
              </w:rPr>
              <w:t>gastronómie.</w:t>
            </w:r>
          </w:p>
          <w:p w14:paraId="3C0DE403" w14:textId="7F410C59"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Modrý rozvoj: modernizovať intervencie</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cieľom zlepšiť infraštruktúru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sl</w:t>
            </w:r>
            <w:r w:rsidRPr="00083739">
              <w:rPr>
                <w:rFonts w:ascii="Times New Roman" w:hAnsi="Times New Roman" w:cs="Times New Roman"/>
                <w:noProof/>
                <w:lang w:val="sk-SK"/>
              </w:rPr>
              <w:t>užby ponúkané</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prístavoch, dostupnosť pláží pre starších ľudí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osoby so zdravotným postihnutím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podporiť rozvoj potápacieho</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podmorského cestovného ruchu.</w:t>
            </w:r>
          </w:p>
        </w:tc>
      </w:tr>
      <w:tr w:rsidR="002D49B0" w:rsidRPr="00083739" w14:paraId="6C10F16A" w14:textId="77777777">
        <w:trPr>
          <w:trHeight w:val="313"/>
          <w:jc w:val="center"/>
        </w:trPr>
        <w:tc>
          <w:tcPr>
            <w:tcW w:w="1027" w:type="dxa"/>
            <w:tcBorders>
              <w:top w:val="single" w:sz="4" w:space="0" w:color="auto"/>
              <w:left w:val="single" w:sz="4" w:space="0" w:color="auto"/>
              <w:bottom w:val="single" w:sz="4" w:space="0" w:color="auto"/>
              <w:right w:val="single" w:sz="4" w:space="0" w:color="auto"/>
            </w:tcBorders>
            <w:shd w:val="clear" w:color="auto" w:fill="C6EFCE"/>
            <w:noWrap/>
          </w:tcPr>
          <w:p w14:paraId="6E6C066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298</w:t>
            </w:r>
          </w:p>
        </w:tc>
        <w:tc>
          <w:tcPr>
            <w:tcW w:w="1489" w:type="dxa"/>
            <w:tcBorders>
              <w:top w:val="single" w:sz="4" w:space="0" w:color="auto"/>
              <w:left w:val="nil"/>
              <w:bottom w:val="single" w:sz="4" w:space="0" w:color="auto"/>
              <w:right w:val="single" w:sz="4" w:space="0" w:color="auto"/>
            </w:tcBorders>
            <w:shd w:val="clear" w:color="auto" w:fill="C6EFCE"/>
            <w:noWrap/>
          </w:tcPr>
          <w:p w14:paraId="413E9B86" w14:textId="4084A22B"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17 – 4.6. Modernizácia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zlepšenie odolnosti kľúčových hospodárskych odvetví – 16975_Zlepšiť</w:t>
            </w:r>
            <w:r w:rsidRPr="00083739">
              <w:rPr>
                <w:rFonts w:ascii="Times New Roman" w:hAnsi="Times New Roman" w:cs="Times New Roman"/>
                <w:noProof/>
                <w:lang w:val="sk-SK"/>
              </w:rPr>
              <w:t xml:space="preserve"> intervencie pre regionálne prístavy</w:t>
            </w:r>
          </w:p>
        </w:tc>
        <w:tc>
          <w:tcPr>
            <w:tcW w:w="1424" w:type="dxa"/>
            <w:tcBorders>
              <w:top w:val="single" w:sz="4" w:space="0" w:color="auto"/>
              <w:left w:val="nil"/>
              <w:bottom w:val="single" w:sz="4" w:space="0" w:color="auto"/>
              <w:right w:val="single" w:sz="4" w:space="0" w:color="auto"/>
            </w:tcBorders>
            <w:shd w:val="clear" w:color="auto" w:fill="C6EFCE"/>
            <w:noWrap/>
          </w:tcPr>
          <w:p w14:paraId="19E13222" w14:textId="23809682"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Míľnik</w:t>
            </w:r>
          </w:p>
        </w:tc>
        <w:tc>
          <w:tcPr>
            <w:tcW w:w="1274" w:type="dxa"/>
            <w:tcBorders>
              <w:top w:val="single" w:sz="4" w:space="0" w:color="auto"/>
              <w:left w:val="nil"/>
              <w:bottom w:val="single" w:sz="4" w:space="0" w:color="auto"/>
              <w:right w:val="single" w:sz="4" w:space="0" w:color="auto"/>
            </w:tcBorders>
            <w:shd w:val="clear" w:color="auto" w:fill="C6EFCE"/>
            <w:noWrap/>
          </w:tcPr>
          <w:p w14:paraId="6F4CFCA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Modernizácia intervencií pre regionálne prístavy</w:t>
            </w:r>
          </w:p>
        </w:tc>
        <w:tc>
          <w:tcPr>
            <w:tcW w:w="1741" w:type="dxa"/>
            <w:tcBorders>
              <w:top w:val="single" w:sz="4" w:space="0" w:color="auto"/>
              <w:left w:val="nil"/>
              <w:bottom w:val="single" w:sz="4" w:space="0" w:color="auto"/>
              <w:right w:val="single" w:sz="4" w:space="0" w:color="auto"/>
            </w:tcBorders>
            <w:shd w:val="clear" w:color="auto" w:fill="C6EFCE"/>
            <w:noWrap/>
          </w:tcPr>
          <w:p w14:paraId="77852BEA" w14:textId="43C4CAD7" w:rsidR="002D49B0" w:rsidRPr="00083739" w:rsidRDefault="00BF4125">
            <w:pPr>
              <w:pStyle w:val="P68B1DB1-Normal30"/>
              <w:spacing w:after="0" w:line="240" w:lineRule="auto"/>
              <w:rPr>
                <w:rFonts w:ascii="Times New Roman" w:hAnsi="Times New Roman" w:cs="Times New Roman"/>
                <w:noProof/>
                <w:lang w:val="sk-SK"/>
              </w:rPr>
            </w:pPr>
            <w:r w:rsidRPr="00083739">
              <w:rPr>
                <w:rFonts w:ascii="Times New Roman" w:hAnsi="Times New Roman" w:cs="Times New Roman"/>
                <w:noProof/>
                <w:lang w:val="sk-SK"/>
              </w:rPr>
              <w:t>Dokončenie modernizácie regionálnych prístavov</w:t>
            </w:r>
          </w:p>
        </w:tc>
        <w:tc>
          <w:tcPr>
            <w:tcW w:w="1741" w:type="dxa"/>
            <w:tcBorders>
              <w:top w:val="single" w:sz="4" w:space="0" w:color="auto"/>
              <w:left w:val="nil"/>
              <w:bottom w:val="single" w:sz="4" w:space="0" w:color="auto"/>
              <w:right w:val="single" w:sz="4" w:space="0" w:color="auto"/>
            </w:tcBorders>
            <w:shd w:val="clear" w:color="auto" w:fill="C6EFCE"/>
            <w:noWrap/>
          </w:tcPr>
          <w:p w14:paraId="4AF2B874" w14:textId="4734A8AB"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single" w:sz="4" w:space="0" w:color="auto"/>
              <w:left w:val="nil"/>
              <w:bottom w:val="single" w:sz="4" w:space="0" w:color="auto"/>
              <w:right w:val="single" w:sz="4" w:space="0" w:color="auto"/>
            </w:tcBorders>
            <w:shd w:val="clear" w:color="auto" w:fill="C6EFCE"/>
            <w:noWrap/>
          </w:tcPr>
          <w:p w14:paraId="5C9B0B23" w14:textId="4A3775F9"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713" w:type="dxa"/>
            <w:tcBorders>
              <w:top w:val="single" w:sz="4" w:space="0" w:color="auto"/>
              <w:left w:val="nil"/>
              <w:bottom w:val="single" w:sz="4" w:space="0" w:color="auto"/>
              <w:right w:val="single" w:sz="4" w:space="0" w:color="auto"/>
            </w:tcBorders>
            <w:shd w:val="clear" w:color="auto" w:fill="C6EFCE"/>
            <w:noWrap/>
          </w:tcPr>
          <w:p w14:paraId="4307251E" w14:textId="4CB5A0BB"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86" w:type="dxa"/>
            <w:tcBorders>
              <w:top w:val="single" w:sz="4" w:space="0" w:color="auto"/>
              <w:left w:val="nil"/>
              <w:bottom w:val="single" w:sz="4" w:space="0" w:color="auto"/>
              <w:right w:val="single" w:sz="4" w:space="0" w:color="auto"/>
            </w:tcBorders>
            <w:shd w:val="clear" w:color="auto" w:fill="C6EFCE"/>
            <w:noWrap/>
          </w:tcPr>
          <w:p w14:paraId="0427BCDB" w14:textId="77777777"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ŠTVRTÝ ŠTVRŤROK</w:t>
            </w:r>
          </w:p>
        </w:tc>
        <w:tc>
          <w:tcPr>
            <w:tcW w:w="662" w:type="dxa"/>
            <w:tcBorders>
              <w:top w:val="single" w:sz="4" w:space="0" w:color="auto"/>
              <w:left w:val="nil"/>
              <w:bottom w:val="single" w:sz="4" w:space="0" w:color="auto"/>
              <w:right w:val="single" w:sz="4" w:space="0" w:color="auto"/>
            </w:tcBorders>
            <w:shd w:val="clear" w:color="auto" w:fill="C6EFCE"/>
            <w:noWrap/>
          </w:tcPr>
          <w:p w14:paraId="0384BF94" w14:textId="77777777"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2025</w:t>
            </w:r>
          </w:p>
        </w:tc>
        <w:tc>
          <w:tcPr>
            <w:tcW w:w="4305" w:type="dxa"/>
            <w:tcBorders>
              <w:top w:val="single" w:sz="4" w:space="0" w:color="auto"/>
              <w:left w:val="nil"/>
              <w:bottom w:val="single" w:sz="4" w:space="0" w:color="auto"/>
              <w:right w:val="single" w:sz="4" w:space="0" w:color="auto"/>
            </w:tcBorders>
            <w:shd w:val="clear" w:color="auto" w:fill="C6EFCE"/>
            <w:noWrap/>
          </w:tcPr>
          <w:p w14:paraId="16B65614" w14:textId="24AC808F"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Dokončenie modernizácie trinástich regionálnych prístavov.</w:t>
            </w:r>
          </w:p>
        </w:tc>
      </w:tr>
    </w:tbl>
    <w:p w14:paraId="610A5988" w14:textId="77777777" w:rsidR="002D49B0" w:rsidRPr="00083739" w:rsidRDefault="002D49B0">
      <w:pPr>
        <w:spacing w:before="120" w:after="0" w:line="240" w:lineRule="auto"/>
        <w:jc w:val="both"/>
        <w:rPr>
          <w:rFonts w:ascii="Times New Roman" w:hAnsi="Times New Roman" w:cs="Times New Roman"/>
          <w:noProof/>
          <w:sz w:val="24"/>
          <w:lang w:val="sk-SK"/>
        </w:rPr>
      </w:pPr>
    </w:p>
    <w:p w14:paraId="18E0E5F4" w14:textId="77777777" w:rsidR="002D49B0" w:rsidRPr="00083739" w:rsidRDefault="002D49B0">
      <w:pPr>
        <w:keepNext/>
        <w:keepLines/>
        <w:spacing w:before="40" w:after="0" w:line="240" w:lineRule="auto"/>
        <w:jc w:val="both"/>
        <w:outlineLvl w:val="4"/>
        <w:rPr>
          <w:rFonts w:ascii="Times New Roman" w:hAnsi="Times New Roman" w:cs="Times New Roman"/>
          <w:noProof/>
          <w:color w:val="365F91"/>
          <w:sz w:val="24"/>
          <w:lang w:val="sk-SK"/>
        </w:rPr>
        <w:sectPr w:rsidR="002D49B0" w:rsidRPr="00083739" w:rsidSect="00271D33">
          <w:headerReference w:type="even" r:id="rId283"/>
          <w:headerReference w:type="default" r:id="rId284"/>
          <w:footerReference w:type="even" r:id="rId285"/>
          <w:footerReference w:type="default" r:id="rId286"/>
          <w:headerReference w:type="first" r:id="rId287"/>
          <w:footerReference w:type="first" r:id="rId288"/>
          <w:pgSz w:w="16839" w:h="11907" w:orient="landscape"/>
          <w:pgMar w:top="720" w:right="720" w:bottom="720" w:left="720" w:header="709" w:footer="217" w:gutter="0"/>
          <w:cols w:space="720"/>
          <w:docGrid w:linePitch="360"/>
        </w:sectPr>
      </w:pPr>
    </w:p>
    <w:p w14:paraId="06E28AB3" w14:textId="1675B8C0" w:rsidR="002D49B0" w:rsidRPr="00083739" w:rsidRDefault="00BF4125">
      <w:pPr>
        <w:pStyle w:val="P68B1DB1-Normal6"/>
        <w:keepNext/>
        <w:keepLines/>
        <w:spacing w:before="40" w:after="0" w:line="240" w:lineRule="auto"/>
        <w:jc w:val="both"/>
        <w:outlineLvl w:val="4"/>
        <w:rPr>
          <w:rFonts w:ascii="Times New Roman" w:eastAsia="Times New Roman" w:hAnsi="Times New Roman" w:cs="Times New Roman"/>
          <w:noProof/>
          <w:lang w:val="sk-SK"/>
        </w:rPr>
      </w:pPr>
      <w:r w:rsidRPr="00083739">
        <w:rPr>
          <w:rFonts w:ascii="Times New Roman" w:hAnsi="Times New Roman" w:cs="Times New Roman"/>
          <w:noProof/>
          <w:lang w:val="sk-SK"/>
        </w:rPr>
        <w:t>Skupina 27: Priemysel</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investície</w:t>
      </w:r>
    </w:p>
    <w:p w14:paraId="3BEFAC53" w14:textId="77777777" w:rsidR="002D49B0" w:rsidRPr="00083739" w:rsidRDefault="00BF4125">
      <w:pPr>
        <w:pStyle w:val="P68B1DB1-Normal4"/>
        <w:numPr>
          <w:ilvl w:val="0"/>
          <w:numId w:val="30"/>
        </w:numPr>
        <w:spacing w:before="120" w:after="0" w:line="240" w:lineRule="auto"/>
        <w:jc w:val="both"/>
        <w:rPr>
          <w:rFonts w:cs="Times New Roman"/>
          <w:noProof/>
          <w:lang w:val="sk-SK"/>
        </w:rPr>
      </w:pPr>
      <w:r w:rsidRPr="00083739">
        <w:rPr>
          <w:rFonts w:cs="Times New Roman"/>
          <w:noProof/>
          <w:lang w:val="sk-SK"/>
        </w:rPr>
        <w:t>Zmena právneho rámca na prilákanie strategických investícií (ID: 16593)</w:t>
      </w:r>
    </w:p>
    <w:p w14:paraId="09AD2F96" w14:textId="77777777" w:rsidR="002D49B0" w:rsidRPr="00083739" w:rsidRDefault="00BF4125">
      <w:pPr>
        <w:pStyle w:val="P68B1DB1-Normal4"/>
        <w:numPr>
          <w:ilvl w:val="0"/>
          <w:numId w:val="30"/>
        </w:numPr>
        <w:spacing w:before="120" w:after="0" w:line="240" w:lineRule="auto"/>
        <w:jc w:val="both"/>
        <w:rPr>
          <w:rFonts w:cs="Times New Roman"/>
          <w:noProof/>
          <w:lang w:val="sk-SK"/>
        </w:rPr>
      </w:pPr>
      <w:r w:rsidRPr="00083739">
        <w:rPr>
          <w:rFonts w:cs="Times New Roman"/>
          <w:noProof/>
          <w:lang w:val="sk-SK"/>
        </w:rPr>
        <w:t>Nové priemyselné parky (ID: 16634)</w:t>
      </w:r>
    </w:p>
    <w:p w14:paraId="54074876" w14:textId="77777777" w:rsidR="002D49B0" w:rsidRPr="00083739" w:rsidRDefault="00BF4125">
      <w:pPr>
        <w:pStyle w:val="P68B1DB1-Normal4"/>
        <w:numPr>
          <w:ilvl w:val="0"/>
          <w:numId w:val="30"/>
        </w:numPr>
        <w:spacing w:before="120" w:after="120" w:line="240" w:lineRule="auto"/>
        <w:jc w:val="both"/>
        <w:rPr>
          <w:rFonts w:cs="Times New Roman"/>
          <w:noProof/>
          <w:lang w:val="sk-SK"/>
        </w:rPr>
      </w:pPr>
      <w:r w:rsidRPr="00083739">
        <w:rPr>
          <w:rFonts w:cs="Times New Roman"/>
          <w:noProof/>
          <w:lang w:val="sk-SK"/>
        </w:rPr>
        <w:t>Zrýchlenie inteligentnej výroby (ID: 16721)</w:t>
      </w:r>
    </w:p>
    <w:tbl>
      <w:tblPr>
        <w:tblW w:w="15502" w:type="dxa"/>
        <w:jc w:val="center"/>
        <w:tblLayout w:type="fixed"/>
        <w:tblLook w:val="04A0" w:firstRow="1" w:lastRow="0" w:firstColumn="1" w:lastColumn="0" w:noHBand="0" w:noVBand="1"/>
      </w:tblPr>
      <w:tblGrid>
        <w:gridCol w:w="1186"/>
        <w:gridCol w:w="1517"/>
        <w:gridCol w:w="1298"/>
        <w:gridCol w:w="1396"/>
        <w:gridCol w:w="1823"/>
        <w:gridCol w:w="866"/>
        <w:gridCol w:w="857"/>
        <w:gridCol w:w="691"/>
        <w:gridCol w:w="851"/>
        <w:gridCol w:w="709"/>
        <w:gridCol w:w="4308"/>
      </w:tblGrid>
      <w:tr w:rsidR="002D49B0" w:rsidRPr="00083739" w14:paraId="42C02D50" w14:textId="77777777">
        <w:trPr>
          <w:trHeight w:val="839"/>
          <w:tblHeader/>
          <w:jc w:val="center"/>
        </w:trPr>
        <w:tc>
          <w:tcPr>
            <w:tcW w:w="118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673AED5"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Poradové číslo</w:t>
            </w:r>
          </w:p>
        </w:tc>
        <w:tc>
          <w:tcPr>
            <w:tcW w:w="151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F0704AA"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 xml:space="preserve">Súvisiace opatrenie </w:t>
            </w:r>
            <w:r w:rsidRPr="00083739">
              <w:rPr>
                <w:rFonts w:cs="Times New Roman"/>
                <w:noProof/>
                <w:lang w:val="sk-SK"/>
              </w:rPr>
              <w:t>(reforma alebo investícia)</w:t>
            </w:r>
          </w:p>
        </w:tc>
        <w:tc>
          <w:tcPr>
            <w:tcW w:w="129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B4A94B9"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Míľnik/cieľ</w:t>
            </w:r>
          </w:p>
        </w:tc>
        <w:tc>
          <w:tcPr>
            <w:tcW w:w="139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7384212"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Názov</w:t>
            </w:r>
          </w:p>
        </w:tc>
        <w:tc>
          <w:tcPr>
            <w:tcW w:w="182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44B5D3E"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Kvalitatívne ukazovatele (pre míľniky)</w:t>
            </w:r>
          </w:p>
        </w:tc>
        <w:tc>
          <w:tcPr>
            <w:tcW w:w="2414" w:type="dxa"/>
            <w:gridSpan w:val="3"/>
            <w:tcBorders>
              <w:top w:val="single" w:sz="4" w:space="0" w:color="auto"/>
              <w:left w:val="single" w:sz="4" w:space="0" w:color="auto"/>
              <w:bottom w:val="single" w:sz="4" w:space="0" w:color="auto"/>
              <w:right w:val="single" w:sz="4" w:space="0" w:color="auto"/>
            </w:tcBorders>
            <w:shd w:val="clear" w:color="auto" w:fill="BDD7EE"/>
            <w:vAlign w:val="center"/>
            <w:hideMark/>
          </w:tcPr>
          <w:p w14:paraId="3A44EFE9"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Kvantitatívne ukazovatele (pre ciele)</w:t>
            </w:r>
          </w:p>
        </w:tc>
        <w:tc>
          <w:tcPr>
            <w:tcW w:w="1560" w:type="dxa"/>
            <w:gridSpan w:val="2"/>
            <w:tcBorders>
              <w:top w:val="single" w:sz="4" w:space="0" w:color="auto"/>
              <w:left w:val="single" w:sz="4" w:space="0" w:color="auto"/>
              <w:bottom w:val="single" w:sz="4" w:space="0" w:color="auto"/>
              <w:right w:val="single" w:sz="4" w:space="0" w:color="auto"/>
            </w:tcBorders>
            <w:shd w:val="clear" w:color="auto" w:fill="BDD7EE"/>
            <w:vAlign w:val="center"/>
            <w:hideMark/>
          </w:tcPr>
          <w:p w14:paraId="01B49610"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 xml:space="preserve">Orientačný harmonogram dokončenia </w:t>
            </w:r>
          </w:p>
        </w:tc>
        <w:tc>
          <w:tcPr>
            <w:tcW w:w="430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7EDA42E" w14:textId="77924B03"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Opis každého míľnika</w:t>
            </w:r>
            <w:r w:rsidR="00083739" w:rsidRPr="00083739">
              <w:rPr>
                <w:rFonts w:cs="Times New Roman"/>
                <w:noProof/>
                <w:lang w:val="sk-SK"/>
              </w:rPr>
              <w:t xml:space="preserve"> a </w:t>
            </w:r>
            <w:r w:rsidRPr="00083739">
              <w:rPr>
                <w:rFonts w:cs="Times New Roman"/>
                <w:noProof/>
                <w:lang w:val="sk-SK"/>
              </w:rPr>
              <w:t>cieľa</w:t>
            </w:r>
          </w:p>
        </w:tc>
      </w:tr>
      <w:tr w:rsidR="002D49B0" w:rsidRPr="00083739" w14:paraId="32FBF5AC" w14:textId="77777777">
        <w:trPr>
          <w:trHeight w:val="456"/>
          <w:tblHeader/>
          <w:jc w:val="center"/>
        </w:trPr>
        <w:tc>
          <w:tcPr>
            <w:tcW w:w="1186" w:type="dxa"/>
            <w:vMerge/>
            <w:tcBorders>
              <w:top w:val="single" w:sz="4" w:space="0" w:color="auto"/>
              <w:left w:val="single" w:sz="4" w:space="0" w:color="auto"/>
              <w:bottom w:val="single" w:sz="4" w:space="0" w:color="auto"/>
              <w:right w:val="single" w:sz="4" w:space="0" w:color="auto"/>
            </w:tcBorders>
            <w:vAlign w:val="center"/>
            <w:hideMark/>
          </w:tcPr>
          <w:p w14:paraId="61973429"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517" w:type="dxa"/>
            <w:vMerge/>
            <w:tcBorders>
              <w:top w:val="single" w:sz="4" w:space="0" w:color="auto"/>
              <w:left w:val="single" w:sz="4" w:space="0" w:color="auto"/>
              <w:bottom w:val="single" w:sz="4" w:space="0" w:color="auto"/>
              <w:right w:val="single" w:sz="4" w:space="0" w:color="auto"/>
            </w:tcBorders>
            <w:vAlign w:val="center"/>
            <w:hideMark/>
          </w:tcPr>
          <w:p w14:paraId="00B8FF36"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298" w:type="dxa"/>
            <w:vMerge/>
            <w:tcBorders>
              <w:top w:val="single" w:sz="4" w:space="0" w:color="auto"/>
              <w:left w:val="single" w:sz="4" w:space="0" w:color="auto"/>
              <w:bottom w:val="single" w:sz="4" w:space="0" w:color="auto"/>
              <w:right w:val="single" w:sz="4" w:space="0" w:color="auto"/>
            </w:tcBorders>
            <w:vAlign w:val="center"/>
            <w:hideMark/>
          </w:tcPr>
          <w:p w14:paraId="542366D3"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396" w:type="dxa"/>
            <w:vMerge/>
            <w:tcBorders>
              <w:top w:val="single" w:sz="4" w:space="0" w:color="auto"/>
              <w:left w:val="single" w:sz="4" w:space="0" w:color="auto"/>
              <w:bottom w:val="single" w:sz="4" w:space="0" w:color="auto"/>
              <w:right w:val="single" w:sz="4" w:space="0" w:color="auto"/>
            </w:tcBorders>
            <w:vAlign w:val="center"/>
            <w:hideMark/>
          </w:tcPr>
          <w:p w14:paraId="6D2C8CEF"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823" w:type="dxa"/>
            <w:vMerge/>
            <w:tcBorders>
              <w:top w:val="single" w:sz="4" w:space="0" w:color="auto"/>
              <w:left w:val="single" w:sz="4" w:space="0" w:color="auto"/>
              <w:bottom w:val="single" w:sz="4" w:space="0" w:color="auto"/>
              <w:right w:val="single" w:sz="4" w:space="0" w:color="auto"/>
            </w:tcBorders>
            <w:vAlign w:val="center"/>
            <w:hideMark/>
          </w:tcPr>
          <w:p w14:paraId="6127A1C9"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866"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48768AB0"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Merná jednotka</w:t>
            </w:r>
          </w:p>
        </w:tc>
        <w:tc>
          <w:tcPr>
            <w:tcW w:w="857"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06B366A5"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 xml:space="preserve">Základná </w:t>
            </w:r>
          </w:p>
        </w:tc>
        <w:tc>
          <w:tcPr>
            <w:tcW w:w="691"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2B758037"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 xml:space="preserve">Cieľ </w:t>
            </w:r>
          </w:p>
        </w:tc>
        <w:tc>
          <w:tcPr>
            <w:tcW w:w="851"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55C48144"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Štvrtina</w:t>
            </w:r>
          </w:p>
        </w:tc>
        <w:tc>
          <w:tcPr>
            <w:tcW w:w="709"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6E9FEBE3"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Rok</w:t>
            </w:r>
          </w:p>
        </w:tc>
        <w:tc>
          <w:tcPr>
            <w:tcW w:w="4308" w:type="dxa"/>
            <w:vMerge/>
            <w:tcBorders>
              <w:top w:val="single" w:sz="4" w:space="0" w:color="auto"/>
              <w:left w:val="single" w:sz="4" w:space="0" w:color="auto"/>
              <w:bottom w:val="single" w:sz="4" w:space="0" w:color="auto"/>
              <w:right w:val="single" w:sz="4" w:space="0" w:color="auto"/>
            </w:tcBorders>
            <w:vAlign w:val="center"/>
            <w:hideMark/>
          </w:tcPr>
          <w:p w14:paraId="082949AC"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r>
      <w:tr w:rsidR="002D49B0" w:rsidRPr="00083739" w14:paraId="1DAB1F8A" w14:textId="77777777">
        <w:trPr>
          <w:trHeight w:val="313"/>
          <w:jc w:val="center"/>
        </w:trPr>
        <w:tc>
          <w:tcPr>
            <w:tcW w:w="1186" w:type="dxa"/>
            <w:tcBorders>
              <w:top w:val="single" w:sz="4" w:space="0" w:color="auto"/>
              <w:left w:val="single" w:sz="4" w:space="0" w:color="auto"/>
              <w:bottom w:val="single" w:sz="4" w:space="0" w:color="auto"/>
              <w:right w:val="single" w:sz="4" w:space="0" w:color="auto"/>
            </w:tcBorders>
            <w:shd w:val="clear" w:color="auto" w:fill="C6EFCE"/>
            <w:noWrap/>
          </w:tcPr>
          <w:p w14:paraId="070C851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299</w:t>
            </w:r>
          </w:p>
        </w:tc>
        <w:tc>
          <w:tcPr>
            <w:tcW w:w="1517" w:type="dxa"/>
            <w:tcBorders>
              <w:top w:val="single" w:sz="4" w:space="0" w:color="auto"/>
              <w:left w:val="nil"/>
              <w:bottom w:val="single" w:sz="4" w:space="0" w:color="auto"/>
              <w:right w:val="single" w:sz="4" w:space="0" w:color="auto"/>
            </w:tcBorders>
            <w:shd w:val="clear" w:color="auto" w:fill="C6EFCE"/>
            <w:noWrap/>
          </w:tcPr>
          <w:p w14:paraId="065A0F95" w14:textId="434C1B65"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17 – 4.6. </w:t>
            </w:r>
            <w:r w:rsidRPr="00083739">
              <w:rPr>
                <w:rFonts w:ascii="Times New Roman" w:hAnsi="Times New Roman" w:cs="Times New Roman"/>
                <w:noProof/>
                <w:lang w:val="sk-SK"/>
              </w:rPr>
              <w:t>Modernizácia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zlepšenie odolnosti kľúčových hospodárskych odvetví – 16593_Zmena právneho rámca na prilákanie strategických investícií</w:t>
            </w:r>
          </w:p>
        </w:tc>
        <w:tc>
          <w:tcPr>
            <w:tcW w:w="1298" w:type="dxa"/>
            <w:tcBorders>
              <w:top w:val="single" w:sz="4" w:space="0" w:color="auto"/>
              <w:left w:val="nil"/>
              <w:bottom w:val="single" w:sz="4" w:space="0" w:color="auto"/>
              <w:right w:val="single" w:sz="4" w:space="0" w:color="auto"/>
            </w:tcBorders>
            <w:shd w:val="clear" w:color="auto" w:fill="C6EFCE"/>
            <w:noWrap/>
          </w:tcPr>
          <w:p w14:paraId="48148D4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96" w:type="dxa"/>
            <w:tcBorders>
              <w:top w:val="single" w:sz="4" w:space="0" w:color="auto"/>
              <w:left w:val="nil"/>
              <w:bottom w:val="single" w:sz="4" w:space="0" w:color="auto"/>
              <w:right w:val="single" w:sz="4" w:space="0" w:color="auto"/>
            </w:tcBorders>
            <w:shd w:val="clear" w:color="auto" w:fill="C6EFCE"/>
            <w:noWrap/>
          </w:tcPr>
          <w:p w14:paraId="577C1DC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Strategické investície – legislatívna reforma</w:t>
            </w:r>
          </w:p>
        </w:tc>
        <w:tc>
          <w:tcPr>
            <w:tcW w:w="1823" w:type="dxa"/>
            <w:tcBorders>
              <w:top w:val="single" w:sz="4" w:space="0" w:color="auto"/>
              <w:left w:val="nil"/>
              <w:bottom w:val="single" w:sz="4" w:space="0" w:color="auto"/>
              <w:right w:val="single" w:sz="4" w:space="0" w:color="auto"/>
            </w:tcBorders>
            <w:shd w:val="clear" w:color="auto" w:fill="C6EFCE"/>
            <w:noWrap/>
          </w:tcPr>
          <w:p w14:paraId="4F8F3E5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legislatívnych zmien</w:t>
            </w:r>
          </w:p>
        </w:tc>
        <w:tc>
          <w:tcPr>
            <w:tcW w:w="866" w:type="dxa"/>
            <w:tcBorders>
              <w:top w:val="single" w:sz="4" w:space="0" w:color="auto"/>
              <w:left w:val="nil"/>
              <w:bottom w:val="single" w:sz="4" w:space="0" w:color="auto"/>
              <w:right w:val="single" w:sz="4" w:space="0" w:color="auto"/>
            </w:tcBorders>
            <w:shd w:val="clear" w:color="auto" w:fill="C6EFCE"/>
            <w:noWrap/>
          </w:tcPr>
          <w:p w14:paraId="4557BB1E"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single" w:sz="4" w:space="0" w:color="auto"/>
              <w:left w:val="nil"/>
              <w:bottom w:val="single" w:sz="4" w:space="0" w:color="auto"/>
              <w:right w:val="single" w:sz="4" w:space="0" w:color="auto"/>
            </w:tcBorders>
            <w:shd w:val="clear" w:color="auto" w:fill="C6EFCE"/>
            <w:noWrap/>
          </w:tcPr>
          <w:p w14:paraId="51B23F1F"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691" w:type="dxa"/>
            <w:tcBorders>
              <w:top w:val="single" w:sz="4" w:space="0" w:color="auto"/>
              <w:left w:val="nil"/>
              <w:bottom w:val="single" w:sz="4" w:space="0" w:color="auto"/>
              <w:right w:val="single" w:sz="4" w:space="0" w:color="auto"/>
            </w:tcBorders>
            <w:shd w:val="clear" w:color="auto" w:fill="C6EFCE"/>
            <w:noWrap/>
          </w:tcPr>
          <w:p w14:paraId="3E2C5E34"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1" w:type="dxa"/>
            <w:tcBorders>
              <w:top w:val="single" w:sz="4" w:space="0" w:color="auto"/>
              <w:left w:val="nil"/>
              <w:bottom w:val="single" w:sz="4" w:space="0" w:color="auto"/>
              <w:right w:val="single" w:sz="4" w:space="0" w:color="auto"/>
            </w:tcBorders>
            <w:shd w:val="clear" w:color="auto" w:fill="C6EFCE"/>
            <w:noWrap/>
          </w:tcPr>
          <w:p w14:paraId="4726D7D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09" w:type="dxa"/>
            <w:tcBorders>
              <w:top w:val="single" w:sz="4" w:space="0" w:color="auto"/>
              <w:left w:val="nil"/>
              <w:bottom w:val="single" w:sz="4" w:space="0" w:color="auto"/>
              <w:right w:val="single" w:sz="4" w:space="0" w:color="auto"/>
            </w:tcBorders>
            <w:shd w:val="clear" w:color="auto" w:fill="C6EFCE"/>
            <w:noWrap/>
          </w:tcPr>
          <w:p w14:paraId="383342F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2021</w:t>
            </w:r>
          </w:p>
        </w:tc>
        <w:tc>
          <w:tcPr>
            <w:tcW w:w="4308" w:type="dxa"/>
            <w:tcBorders>
              <w:top w:val="single" w:sz="4" w:space="0" w:color="auto"/>
              <w:left w:val="nil"/>
              <w:bottom w:val="single" w:sz="4" w:space="0" w:color="auto"/>
              <w:right w:val="single" w:sz="4" w:space="0" w:color="auto"/>
            </w:tcBorders>
            <w:shd w:val="clear" w:color="auto" w:fill="C6EFCE"/>
            <w:noWrap/>
          </w:tcPr>
          <w:p w14:paraId="02523CF2" w14:textId="375C14BB"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Nadobudnutie účinnosti legislatívnych zmien reformy legislatívneho rámca na prilákanie strategických investícií (zákon č. 3894/2010</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zákon č. 4608/2019),</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to aj prostredníctvom právnej kodifikácie</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cieľom vytvoriť jednotný</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súdržný rámec</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právne zmeny</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cieľom zaviesť novú kategóriu strategických investícií „Emblematic Investment of Great Significance“</w:t>
            </w:r>
            <w:r w:rsidR="00083739" w:rsidRPr="00083739">
              <w:rPr>
                <w:rFonts w:ascii="Times New Roman" w:hAnsi="Times New Roman" w:cs="Times New Roman"/>
                <w:noProof/>
                <w:lang w:val="sk-SK"/>
              </w:rPr>
              <w:t>.</w:t>
            </w:r>
          </w:p>
          <w:p w14:paraId="259D1CBD" w14:textId="196993A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p w14:paraId="176447F1" w14:textId="397CE686"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Reformou rámca strategických investícií sa zavedú aj ustanovenia, ktoré pomôžu urýchliť administratívny postup týkajúci sa schvaľovania strategických </w:t>
            </w:r>
            <w:r w:rsidRPr="00083739">
              <w:rPr>
                <w:rFonts w:ascii="Times New Roman" w:hAnsi="Times New Roman" w:cs="Times New Roman"/>
                <w:noProof/>
                <w:lang w:val="sk-SK"/>
              </w:rPr>
              <w:t>investícií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udeľovania licencií na ne (t. j. zlepšiť zrýchlený postup). Do právnych predpisov sa zavedú nové kategórie strategických investícií na základe kritérií podporujúcich inovácie alebo šírenie technológií, využívanie obnoviteľných zdrojov energie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prechod na nízkouhlíkové hospodárstvo a/alebo na významnú podporu konkurencieschopnosti gréckeho hospodárstva na medzinárodnej úrovni.</w:t>
            </w:r>
          </w:p>
          <w:p w14:paraId="7D28B4C0" w14:textId="77777777" w:rsidR="002D49B0" w:rsidRPr="00083739" w:rsidRDefault="002D49B0">
            <w:pPr>
              <w:spacing w:after="0" w:line="240" w:lineRule="auto"/>
              <w:rPr>
                <w:rFonts w:ascii="Times New Roman" w:eastAsia="Times New Roman" w:hAnsi="Times New Roman" w:cs="Times New Roman"/>
                <w:noProof/>
                <w:color w:val="006100"/>
                <w:sz w:val="18"/>
                <w:szCs w:val="18"/>
                <w:highlight w:val="yellow"/>
                <w:lang w:val="sk-SK"/>
              </w:rPr>
            </w:pPr>
          </w:p>
        </w:tc>
      </w:tr>
      <w:tr w:rsidR="002D49B0" w:rsidRPr="00083739" w14:paraId="74F7DD34" w14:textId="77777777">
        <w:trPr>
          <w:trHeight w:val="313"/>
          <w:jc w:val="center"/>
        </w:trPr>
        <w:tc>
          <w:tcPr>
            <w:tcW w:w="1186" w:type="dxa"/>
            <w:tcBorders>
              <w:top w:val="nil"/>
              <w:left w:val="single" w:sz="4" w:space="0" w:color="auto"/>
              <w:bottom w:val="single" w:sz="4" w:space="0" w:color="auto"/>
              <w:right w:val="single" w:sz="4" w:space="0" w:color="auto"/>
            </w:tcBorders>
            <w:shd w:val="clear" w:color="auto" w:fill="C6EFCE"/>
            <w:noWrap/>
          </w:tcPr>
          <w:p w14:paraId="48E5B94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300</w:t>
            </w:r>
          </w:p>
        </w:tc>
        <w:tc>
          <w:tcPr>
            <w:tcW w:w="1517" w:type="dxa"/>
            <w:tcBorders>
              <w:top w:val="nil"/>
              <w:left w:val="nil"/>
              <w:bottom w:val="single" w:sz="4" w:space="0" w:color="auto"/>
              <w:right w:val="single" w:sz="4" w:space="0" w:color="auto"/>
            </w:tcBorders>
            <w:shd w:val="clear" w:color="auto" w:fill="C6EFCE"/>
            <w:noWrap/>
          </w:tcPr>
          <w:p w14:paraId="300222A7" w14:textId="4AA8FEBD"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17 – 4.6. Modernizácia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zlepšenie odolnosti kľúčových hospodárskych odvetví -16721_zrýchlenie inteligentnej </w:t>
            </w:r>
            <w:r w:rsidRPr="00083739">
              <w:rPr>
                <w:rFonts w:ascii="Times New Roman" w:hAnsi="Times New Roman" w:cs="Times New Roman"/>
                <w:noProof/>
                <w:lang w:val="sk-SK"/>
              </w:rPr>
              <w:t>výroby</w:t>
            </w:r>
          </w:p>
        </w:tc>
        <w:tc>
          <w:tcPr>
            <w:tcW w:w="1298" w:type="dxa"/>
            <w:tcBorders>
              <w:top w:val="nil"/>
              <w:left w:val="nil"/>
              <w:bottom w:val="single" w:sz="4" w:space="0" w:color="auto"/>
              <w:right w:val="single" w:sz="4" w:space="0" w:color="auto"/>
            </w:tcBorders>
            <w:shd w:val="clear" w:color="auto" w:fill="C6EFCE"/>
            <w:noWrap/>
          </w:tcPr>
          <w:p w14:paraId="5CF8212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96" w:type="dxa"/>
            <w:tcBorders>
              <w:top w:val="nil"/>
              <w:left w:val="nil"/>
              <w:bottom w:val="single" w:sz="4" w:space="0" w:color="auto"/>
              <w:right w:val="single" w:sz="4" w:space="0" w:color="auto"/>
            </w:tcBorders>
            <w:shd w:val="clear" w:color="auto" w:fill="C6EFCE"/>
            <w:noWrap/>
          </w:tcPr>
          <w:p w14:paraId="361DCA9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Vyhlasovanie výziev na výrobu</w:t>
            </w:r>
          </w:p>
        </w:tc>
        <w:tc>
          <w:tcPr>
            <w:tcW w:w="1823" w:type="dxa"/>
            <w:tcBorders>
              <w:top w:val="nil"/>
              <w:left w:val="nil"/>
              <w:bottom w:val="single" w:sz="4" w:space="0" w:color="auto"/>
              <w:right w:val="single" w:sz="4" w:space="0" w:color="auto"/>
            </w:tcBorders>
            <w:shd w:val="clear" w:color="auto" w:fill="C6EFCE"/>
            <w:noWrap/>
          </w:tcPr>
          <w:p w14:paraId="2FF2A7E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Vyhlasovanie výziev pre výrobné firmy </w:t>
            </w:r>
          </w:p>
        </w:tc>
        <w:tc>
          <w:tcPr>
            <w:tcW w:w="866" w:type="dxa"/>
            <w:tcBorders>
              <w:top w:val="nil"/>
              <w:left w:val="nil"/>
              <w:bottom w:val="single" w:sz="4" w:space="0" w:color="auto"/>
              <w:right w:val="single" w:sz="4" w:space="0" w:color="auto"/>
            </w:tcBorders>
            <w:shd w:val="clear" w:color="auto" w:fill="C6EFCE"/>
            <w:noWrap/>
          </w:tcPr>
          <w:p w14:paraId="0B200B9C"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nil"/>
              <w:left w:val="nil"/>
              <w:bottom w:val="single" w:sz="4" w:space="0" w:color="auto"/>
              <w:right w:val="single" w:sz="4" w:space="0" w:color="auto"/>
            </w:tcBorders>
            <w:shd w:val="clear" w:color="auto" w:fill="C6EFCE"/>
            <w:noWrap/>
          </w:tcPr>
          <w:p w14:paraId="676A061C"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691" w:type="dxa"/>
            <w:tcBorders>
              <w:top w:val="nil"/>
              <w:left w:val="nil"/>
              <w:bottom w:val="single" w:sz="4" w:space="0" w:color="auto"/>
              <w:right w:val="single" w:sz="4" w:space="0" w:color="auto"/>
            </w:tcBorders>
            <w:shd w:val="clear" w:color="auto" w:fill="C6EFCE"/>
            <w:noWrap/>
          </w:tcPr>
          <w:p w14:paraId="697940FA"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1" w:type="dxa"/>
            <w:tcBorders>
              <w:top w:val="nil"/>
              <w:left w:val="nil"/>
              <w:bottom w:val="single" w:sz="4" w:space="0" w:color="auto"/>
              <w:right w:val="single" w:sz="4" w:space="0" w:color="auto"/>
            </w:tcBorders>
            <w:shd w:val="clear" w:color="auto" w:fill="C6EFCE"/>
            <w:noWrap/>
          </w:tcPr>
          <w:p w14:paraId="6BBEAAB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PRVÝ ŠTVRŤROK</w:t>
            </w:r>
          </w:p>
        </w:tc>
        <w:tc>
          <w:tcPr>
            <w:tcW w:w="709" w:type="dxa"/>
            <w:tcBorders>
              <w:top w:val="nil"/>
              <w:left w:val="nil"/>
              <w:bottom w:val="single" w:sz="4" w:space="0" w:color="auto"/>
              <w:right w:val="single" w:sz="4" w:space="0" w:color="auto"/>
            </w:tcBorders>
            <w:shd w:val="clear" w:color="auto" w:fill="C6EFCE"/>
            <w:noWrap/>
          </w:tcPr>
          <w:p w14:paraId="0CA8C81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2022</w:t>
            </w:r>
          </w:p>
        </w:tc>
        <w:tc>
          <w:tcPr>
            <w:tcW w:w="4308" w:type="dxa"/>
            <w:tcBorders>
              <w:top w:val="nil"/>
              <w:left w:val="nil"/>
              <w:bottom w:val="single" w:sz="4" w:space="0" w:color="auto"/>
              <w:right w:val="single" w:sz="4" w:space="0" w:color="auto"/>
            </w:tcBorders>
            <w:shd w:val="clear" w:color="auto" w:fill="C6EFCE"/>
            <w:noWrap/>
          </w:tcPr>
          <w:p w14:paraId="420FD8AB" w14:textId="2A004292"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Vyhlasovanie všetkých súťažných výziev na predkladanie návrhov pre výrobné odvetvie</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 xml:space="preserve">oblasti investícií týkajúcich sa digitalizácie výrobných liniek, </w:t>
            </w:r>
            <w:r w:rsidRPr="00083739">
              <w:rPr>
                <w:rFonts w:ascii="Times New Roman" w:hAnsi="Times New Roman" w:cs="Times New Roman"/>
                <w:noProof/>
                <w:lang w:val="sk-SK"/>
              </w:rPr>
              <w:t>automatizácie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prepojenia dodávateľských reťazcov, navrhovania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výroby inteligentných produktov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služieb, zavádzania inteligentných výrobných technológií</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mechanických zariadeniach ultravysokorýchlostnej siete/5G, laboratórnych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výrobných zariadení, </w:t>
            </w:r>
            <w:r w:rsidRPr="00083739">
              <w:rPr>
                <w:rFonts w:ascii="Times New Roman" w:hAnsi="Times New Roman" w:cs="Times New Roman"/>
                <w:noProof/>
                <w:lang w:val="sk-SK"/>
              </w:rPr>
              <w:t>zariadení na kontrolu kvality, IKT</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softvérových zariadení, softvérových licencií, licencií na cloud, implementačných služieb pre novú IT infraštruktúru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S/W, náklady na služby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bezpečnosti IT, dizajn výrobkov, duševné vlastníctvo, patent</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cert</w:t>
            </w:r>
            <w:r w:rsidRPr="00083739">
              <w:rPr>
                <w:rFonts w:ascii="Times New Roman" w:hAnsi="Times New Roman" w:cs="Times New Roman"/>
                <w:noProof/>
                <w:lang w:val="sk-SK"/>
              </w:rPr>
              <w:t>ifikáciu</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referenčnými podmienkami vrátane kritérií oprávnenosti, ktorými sa zabezpečí, aby vybrané projekty boli</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súlade</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technickými usmerneniami Do No No Significant Harm Technical Guidance (2021/C58/01) prostredníctvom použitia zoznamu vylúčených su</w:t>
            </w:r>
            <w:r w:rsidRPr="00083739">
              <w:rPr>
                <w:rFonts w:ascii="Times New Roman" w:hAnsi="Times New Roman" w:cs="Times New Roman"/>
                <w:noProof/>
                <w:lang w:val="sk-SK"/>
              </w:rPr>
              <w:t>bjektov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požiadavky súladu</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príslušnými právnymi predpismi EÚ</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vnútroštátnymi právnymi predpismi</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životného prostredia.</w:t>
            </w:r>
          </w:p>
        </w:tc>
      </w:tr>
      <w:tr w:rsidR="002D49B0" w:rsidRPr="00083739" w14:paraId="343FDF45" w14:textId="77777777">
        <w:trPr>
          <w:trHeight w:val="313"/>
          <w:jc w:val="center"/>
        </w:trPr>
        <w:tc>
          <w:tcPr>
            <w:tcW w:w="1186" w:type="dxa"/>
            <w:tcBorders>
              <w:top w:val="nil"/>
              <w:left w:val="single" w:sz="4" w:space="0" w:color="auto"/>
              <w:bottom w:val="single" w:sz="4" w:space="0" w:color="auto"/>
              <w:right w:val="single" w:sz="4" w:space="0" w:color="auto"/>
            </w:tcBorders>
            <w:shd w:val="clear" w:color="auto" w:fill="C6EFCE"/>
            <w:noWrap/>
          </w:tcPr>
          <w:p w14:paraId="63EDFFD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301</w:t>
            </w:r>
          </w:p>
        </w:tc>
        <w:tc>
          <w:tcPr>
            <w:tcW w:w="1517" w:type="dxa"/>
            <w:tcBorders>
              <w:top w:val="nil"/>
              <w:left w:val="nil"/>
              <w:bottom w:val="single" w:sz="4" w:space="0" w:color="auto"/>
              <w:right w:val="single" w:sz="4" w:space="0" w:color="auto"/>
            </w:tcBorders>
            <w:shd w:val="clear" w:color="auto" w:fill="C6EFCE"/>
            <w:noWrap/>
          </w:tcPr>
          <w:p w14:paraId="3C7D9162" w14:textId="07B7A904"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17 – 4.6. Modernizácia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zlepšenie odolnosti kľúčových hospodárskych odvetví – 16634_Nové priemyselné parky</w:t>
            </w:r>
          </w:p>
          <w:p w14:paraId="383F3D1C"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298" w:type="dxa"/>
            <w:tcBorders>
              <w:top w:val="nil"/>
              <w:left w:val="nil"/>
              <w:bottom w:val="single" w:sz="4" w:space="0" w:color="auto"/>
              <w:right w:val="single" w:sz="4" w:space="0" w:color="auto"/>
            </w:tcBorders>
            <w:shd w:val="clear" w:color="auto" w:fill="C6EFCE"/>
            <w:noWrap/>
          </w:tcPr>
          <w:p w14:paraId="6D18333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96" w:type="dxa"/>
            <w:tcBorders>
              <w:top w:val="nil"/>
              <w:left w:val="nil"/>
              <w:bottom w:val="single" w:sz="4" w:space="0" w:color="auto"/>
              <w:right w:val="single" w:sz="4" w:space="0" w:color="auto"/>
            </w:tcBorders>
            <w:shd w:val="clear" w:color="auto" w:fill="C6EFCE"/>
            <w:noWrap/>
          </w:tcPr>
          <w:p w14:paraId="547188D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Vyhlásenie výziev pre priemyselné parky</w:t>
            </w:r>
          </w:p>
        </w:tc>
        <w:tc>
          <w:tcPr>
            <w:tcW w:w="1823" w:type="dxa"/>
            <w:tcBorders>
              <w:top w:val="nil"/>
              <w:left w:val="nil"/>
              <w:bottom w:val="single" w:sz="4" w:space="0" w:color="auto"/>
              <w:right w:val="single" w:sz="4" w:space="0" w:color="auto"/>
            </w:tcBorders>
            <w:shd w:val="clear" w:color="auto" w:fill="C6EFCE"/>
            <w:noWrap/>
          </w:tcPr>
          <w:p w14:paraId="229C760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Vyhlásenie výziev na predkladanie návrhov pre priemyselné parky </w:t>
            </w:r>
          </w:p>
        </w:tc>
        <w:tc>
          <w:tcPr>
            <w:tcW w:w="866" w:type="dxa"/>
            <w:tcBorders>
              <w:top w:val="nil"/>
              <w:left w:val="nil"/>
              <w:bottom w:val="single" w:sz="4" w:space="0" w:color="auto"/>
              <w:right w:val="single" w:sz="4" w:space="0" w:color="auto"/>
            </w:tcBorders>
            <w:shd w:val="clear" w:color="auto" w:fill="C6EFCE"/>
            <w:noWrap/>
          </w:tcPr>
          <w:p w14:paraId="6767D788"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nil"/>
              <w:left w:val="nil"/>
              <w:bottom w:val="single" w:sz="4" w:space="0" w:color="auto"/>
              <w:right w:val="single" w:sz="4" w:space="0" w:color="auto"/>
            </w:tcBorders>
            <w:shd w:val="clear" w:color="auto" w:fill="C6EFCE"/>
            <w:noWrap/>
          </w:tcPr>
          <w:p w14:paraId="15C46E13"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691" w:type="dxa"/>
            <w:tcBorders>
              <w:top w:val="nil"/>
              <w:left w:val="nil"/>
              <w:bottom w:val="single" w:sz="4" w:space="0" w:color="auto"/>
              <w:right w:val="single" w:sz="4" w:space="0" w:color="auto"/>
            </w:tcBorders>
            <w:shd w:val="clear" w:color="auto" w:fill="C6EFCE"/>
            <w:noWrap/>
          </w:tcPr>
          <w:p w14:paraId="2BBF976F"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1" w:type="dxa"/>
            <w:tcBorders>
              <w:top w:val="nil"/>
              <w:left w:val="nil"/>
              <w:bottom w:val="single" w:sz="4" w:space="0" w:color="auto"/>
              <w:right w:val="single" w:sz="4" w:space="0" w:color="auto"/>
            </w:tcBorders>
            <w:shd w:val="clear" w:color="auto" w:fill="C6EFCE"/>
            <w:noWrap/>
          </w:tcPr>
          <w:p w14:paraId="7021509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PRVÝ ŠTVRŤROK</w:t>
            </w:r>
          </w:p>
        </w:tc>
        <w:tc>
          <w:tcPr>
            <w:tcW w:w="709" w:type="dxa"/>
            <w:tcBorders>
              <w:top w:val="nil"/>
              <w:left w:val="nil"/>
              <w:bottom w:val="single" w:sz="4" w:space="0" w:color="auto"/>
              <w:right w:val="single" w:sz="4" w:space="0" w:color="auto"/>
            </w:tcBorders>
            <w:shd w:val="clear" w:color="auto" w:fill="C6EFCE"/>
            <w:noWrap/>
          </w:tcPr>
          <w:p w14:paraId="491CC34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2022</w:t>
            </w:r>
          </w:p>
        </w:tc>
        <w:tc>
          <w:tcPr>
            <w:tcW w:w="4308" w:type="dxa"/>
            <w:tcBorders>
              <w:top w:val="nil"/>
              <w:left w:val="nil"/>
              <w:bottom w:val="single" w:sz="4" w:space="0" w:color="auto"/>
              <w:right w:val="single" w:sz="4" w:space="0" w:color="auto"/>
            </w:tcBorders>
            <w:shd w:val="clear" w:color="auto" w:fill="C6EFCE"/>
            <w:noWrap/>
          </w:tcPr>
          <w:p w14:paraId="6F7D989F" w14:textId="18D5224A"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Vyhlasovanie všetkých súťažných výziev na predkladanie návrhov na rozvoj priemyselných parkov na investície do a) infraštruktúry </w:t>
            </w:r>
            <w:r w:rsidRPr="00083739">
              <w:rPr>
                <w:rFonts w:ascii="Times New Roman" w:hAnsi="Times New Roman" w:cs="Times New Roman"/>
                <w:noProof/>
                <w:lang w:val="sk-SK"/>
              </w:rPr>
              <w:t>na zriadenie parkov novej generácie (vrátane nadobúdania pozemkov)</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osobitnými kritériami energetickej efektívnosti pri výstavbe nových budov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energetickej efektívnosti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demonštračných projektov vo veľkých podnikoch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podporných opatrení, b) infraštrukt</w:t>
            </w:r>
            <w:r w:rsidRPr="00083739">
              <w:rPr>
                <w:rFonts w:ascii="Times New Roman" w:hAnsi="Times New Roman" w:cs="Times New Roman"/>
                <w:noProof/>
                <w:lang w:val="sk-SK"/>
              </w:rPr>
              <w:t>úry na digitálnu transformáciu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vytváranie inteligentných priemyselných oblastí, c) slnečnej energie</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obnoviteľných zdrojov, d) vodného hospodárstva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ochrany vodných zdrojov (investície musia mať priemerný index úniku</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infraštruktúry (ILI) &amp; lt; = 1,5)</w:t>
            </w:r>
            <w:r w:rsidRPr="00083739">
              <w:rPr>
                <w:rFonts w:ascii="Times New Roman" w:hAnsi="Times New Roman" w:cs="Times New Roman"/>
                <w:noProof/>
                <w:lang w:val="sk-SK"/>
              </w:rPr>
              <w:t>, e) systémy zberu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čistenia odpadových vôd spĺňajúce kritériá energetickej efektívnosti, f) elektromobilita (vývoj čerpacích sietí pre elektrické alebo vodíkové vozidlá alebo čerpacie stanice pre biometán</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 xml:space="preserve">doprave), g) projekty na obnovu priemyselných </w:t>
            </w:r>
            <w:r w:rsidRPr="00083739">
              <w:rPr>
                <w:rFonts w:ascii="Times New Roman" w:hAnsi="Times New Roman" w:cs="Times New Roman"/>
                <w:noProof/>
                <w:lang w:val="sk-SK"/>
              </w:rPr>
              <w:t>lokalít</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kontaminovanej pôdy. Referenčný rámec vrátane kritérií oprávnenosti zabezpečí, aby vybrané projekty boli</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súlade</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technickými usmerneniami „výrazne nenarušiť“ (2021/C58/01) prostredníctvom použitia zoznamu vylúčených subjektov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požiadavky súla</w:t>
            </w:r>
            <w:r w:rsidRPr="00083739">
              <w:rPr>
                <w:rFonts w:ascii="Times New Roman" w:hAnsi="Times New Roman" w:cs="Times New Roman"/>
                <w:noProof/>
                <w:lang w:val="sk-SK"/>
              </w:rPr>
              <w:t>du</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príslušnými právnymi predpismi EÚ</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vnútroštátnymi právnymi predpismi</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životného prostredia.</w:t>
            </w:r>
          </w:p>
          <w:p w14:paraId="4054ED52"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p w14:paraId="15212973" w14:textId="719A7FBF"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Výstavba nových budov musí byť</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súlade</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dopytom po primárnej energii, ktorý je aspoň</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20</w:t>
            </w:r>
            <w:r w:rsidR="00083739" w:rsidRPr="00083739">
              <w:rPr>
                <w:rFonts w:ascii="Times New Roman" w:hAnsi="Times New Roman" w:cs="Times New Roman"/>
                <w:noProof/>
                <w:lang w:val="sk-SK"/>
              </w:rPr>
              <w:t> %</w:t>
            </w:r>
            <w:r w:rsidRPr="00083739">
              <w:rPr>
                <w:rFonts w:ascii="Times New Roman" w:hAnsi="Times New Roman" w:cs="Times New Roman"/>
                <w:noProof/>
                <w:lang w:val="sk-SK"/>
              </w:rPr>
              <w:t xml:space="preserve"> nižší ako požiadavka na budovy</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takmer nulovou spotre</w:t>
            </w:r>
            <w:r w:rsidRPr="00083739">
              <w:rPr>
                <w:rFonts w:ascii="Times New Roman" w:hAnsi="Times New Roman" w:cs="Times New Roman"/>
                <w:noProof/>
                <w:lang w:val="sk-SK"/>
              </w:rPr>
              <w:t>bou energie (budova</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takmer nulovou spotrebou energie, vnútroštátne smernice).</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prípade výstavby systémov odpadových vôd medzi koncovými bodmi musí mať opatrenie nulovú čistú spotrebu energie</w:t>
            </w:r>
            <w:r w:rsidR="00083739" w:rsidRPr="00083739">
              <w:rPr>
                <w:rFonts w:ascii="Times New Roman" w:hAnsi="Times New Roman" w:cs="Times New Roman"/>
                <w:noProof/>
                <w:lang w:val="sk-SK"/>
              </w:rPr>
              <w:t xml:space="preserve"> a v </w:t>
            </w:r>
            <w:r w:rsidRPr="00083739">
              <w:rPr>
                <w:rFonts w:ascii="Times New Roman" w:hAnsi="Times New Roman" w:cs="Times New Roman"/>
                <w:noProof/>
                <w:lang w:val="sk-SK"/>
              </w:rPr>
              <w:t>prípade obnovy systémov odpadových vôd medzi koncovými bod</w:t>
            </w:r>
            <w:r w:rsidRPr="00083739">
              <w:rPr>
                <w:rFonts w:ascii="Times New Roman" w:hAnsi="Times New Roman" w:cs="Times New Roman"/>
                <w:noProof/>
                <w:lang w:val="sk-SK"/>
              </w:rPr>
              <w:t>mi musí opatrenie viesť</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zníženiu priemernej spotreby energie aspoň</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10</w:t>
            </w:r>
            <w:r w:rsidR="00083739" w:rsidRPr="00083739">
              <w:rPr>
                <w:rFonts w:ascii="Times New Roman" w:hAnsi="Times New Roman" w:cs="Times New Roman"/>
                <w:noProof/>
                <w:lang w:val="sk-SK"/>
              </w:rPr>
              <w:t> %</w:t>
            </w:r>
            <w:r w:rsidRPr="00083739">
              <w:rPr>
                <w:rFonts w:ascii="Times New Roman" w:hAnsi="Times New Roman" w:cs="Times New Roman"/>
                <w:noProof/>
                <w:lang w:val="sk-SK"/>
              </w:rPr>
              <w:t xml:space="preserve"> (výlučne opatreniami energetickej efektívnosti,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nie podstatnými zmenami alebo zmenami zaťaženia). Investície do elektromobility musia byť</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súlade so smernicou (EÚ) 2018/2001</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m</w:t>
            </w:r>
            <w:r w:rsidRPr="00083739">
              <w:rPr>
                <w:rFonts w:ascii="Times New Roman" w:hAnsi="Times New Roman" w:cs="Times New Roman"/>
                <w:noProof/>
                <w:lang w:val="sk-SK"/>
              </w:rPr>
              <w:t>usia sa týkať alternatívnych palív pre dopravu.</w:t>
            </w:r>
          </w:p>
        </w:tc>
      </w:tr>
      <w:tr w:rsidR="002D49B0" w:rsidRPr="00083739" w14:paraId="10077B77" w14:textId="77777777">
        <w:trPr>
          <w:trHeight w:val="313"/>
          <w:jc w:val="center"/>
        </w:trPr>
        <w:tc>
          <w:tcPr>
            <w:tcW w:w="1186" w:type="dxa"/>
            <w:tcBorders>
              <w:top w:val="nil"/>
              <w:left w:val="single" w:sz="4" w:space="0" w:color="auto"/>
              <w:bottom w:val="single" w:sz="4" w:space="0" w:color="auto"/>
              <w:right w:val="single" w:sz="4" w:space="0" w:color="auto"/>
            </w:tcBorders>
            <w:shd w:val="clear" w:color="auto" w:fill="C6EFCE"/>
            <w:noWrap/>
          </w:tcPr>
          <w:p w14:paraId="1165204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302</w:t>
            </w:r>
          </w:p>
        </w:tc>
        <w:tc>
          <w:tcPr>
            <w:tcW w:w="1517" w:type="dxa"/>
            <w:tcBorders>
              <w:top w:val="nil"/>
              <w:left w:val="nil"/>
              <w:bottom w:val="single" w:sz="4" w:space="0" w:color="auto"/>
              <w:right w:val="single" w:sz="4" w:space="0" w:color="auto"/>
            </w:tcBorders>
            <w:shd w:val="clear" w:color="auto" w:fill="C6EFCE"/>
            <w:noWrap/>
          </w:tcPr>
          <w:p w14:paraId="6F93FED5" w14:textId="6F00D86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17 – 4.6. Modernizácia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zlepšenie odolnosti kľúčových hospodárskych odvetví – 16634_Nové priemyselné parky</w:t>
            </w:r>
          </w:p>
        </w:tc>
        <w:tc>
          <w:tcPr>
            <w:tcW w:w="1298" w:type="dxa"/>
            <w:tcBorders>
              <w:top w:val="nil"/>
              <w:left w:val="nil"/>
              <w:bottom w:val="single" w:sz="4" w:space="0" w:color="auto"/>
              <w:right w:val="single" w:sz="4" w:space="0" w:color="auto"/>
            </w:tcBorders>
            <w:shd w:val="clear" w:color="auto" w:fill="C6EFCE"/>
            <w:noWrap/>
          </w:tcPr>
          <w:p w14:paraId="1BA436A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96" w:type="dxa"/>
            <w:tcBorders>
              <w:top w:val="nil"/>
              <w:left w:val="nil"/>
              <w:bottom w:val="single" w:sz="4" w:space="0" w:color="auto"/>
              <w:right w:val="single" w:sz="4" w:space="0" w:color="auto"/>
            </w:tcBorders>
            <w:shd w:val="clear" w:color="auto" w:fill="C6EFCE"/>
            <w:noWrap/>
          </w:tcPr>
          <w:p w14:paraId="05D26A1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Priemyselné parky – legislatívna reforma (primárne právo)</w:t>
            </w:r>
          </w:p>
        </w:tc>
        <w:tc>
          <w:tcPr>
            <w:tcW w:w="1823" w:type="dxa"/>
            <w:tcBorders>
              <w:top w:val="nil"/>
              <w:left w:val="nil"/>
              <w:bottom w:val="single" w:sz="4" w:space="0" w:color="auto"/>
              <w:right w:val="single" w:sz="4" w:space="0" w:color="auto"/>
            </w:tcBorders>
            <w:shd w:val="clear" w:color="auto" w:fill="C6EFCE"/>
            <w:noWrap/>
          </w:tcPr>
          <w:p w14:paraId="743C7C4C" w14:textId="6CF0204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Uverejnenie právnych predpisov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úradnom vestníku</w:t>
            </w:r>
          </w:p>
        </w:tc>
        <w:tc>
          <w:tcPr>
            <w:tcW w:w="866" w:type="dxa"/>
            <w:tcBorders>
              <w:top w:val="nil"/>
              <w:left w:val="nil"/>
              <w:bottom w:val="single" w:sz="4" w:space="0" w:color="auto"/>
              <w:right w:val="single" w:sz="4" w:space="0" w:color="auto"/>
            </w:tcBorders>
            <w:shd w:val="clear" w:color="auto" w:fill="C6EFCE"/>
            <w:noWrap/>
          </w:tcPr>
          <w:p w14:paraId="4F795330"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nil"/>
              <w:left w:val="nil"/>
              <w:bottom w:val="single" w:sz="4" w:space="0" w:color="auto"/>
              <w:right w:val="single" w:sz="4" w:space="0" w:color="auto"/>
            </w:tcBorders>
            <w:shd w:val="clear" w:color="auto" w:fill="C6EFCE"/>
            <w:noWrap/>
          </w:tcPr>
          <w:p w14:paraId="7C7941B5"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691" w:type="dxa"/>
            <w:tcBorders>
              <w:top w:val="nil"/>
              <w:left w:val="nil"/>
              <w:bottom w:val="single" w:sz="4" w:space="0" w:color="auto"/>
              <w:right w:val="single" w:sz="4" w:space="0" w:color="auto"/>
            </w:tcBorders>
            <w:shd w:val="clear" w:color="auto" w:fill="C6EFCE"/>
            <w:noWrap/>
          </w:tcPr>
          <w:p w14:paraId="52DAC4D3"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1" w:type="dxa"/>
            <w:tcBorders>
              <w:top w:val="nil"/>
              <w:left w:val="nil"/>
              <w:bottom w:val="single" w:sz="4" w:space="0" w:color="auto"/>
              <w:right w:val="single" w:sz="4" w:space="0" w:color="auto"/>
            </w:tcBorders>
            <w:shd w:val="clear" w:color="auto" w:fill="C6EFCE"/>
            <w:noWrap/>
          </w:tcPr>
          <w:p w14:paraId="2DBDA71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TRETÍ ŠTVRŤROK</w:t>
            </w:r>
          </w:p>
        </w:tc>
        <w:tc>
          <w:tcPr>
            <w:tcW w:w="709" w:type="dxa"/>
            <w:tcBorders>
              <w:top w:val="nil"/>
              <w:left w:val="nil"/>
              <w:bottom w:val="single" w:sz="4" w:space="0" w:color="auto"/>
              <w:right w:val="single" w:sz="4" w:space="0" w:color="auto"/>
            </w:tcBorders>
            <w:shd w:val="clear" w:color="auto" w:fill="C6EFCE"/>
            <w:noWrap/>
          </w:tcPr>
          <w:p w14:paraId="5FC038C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2022</w:t>
            </w:r>
          </w:p>
        </w:tc>
        <w:tc>
          <w:tcPr>
            <w:tcW w:w="4308" w:type="dxa"/>
            <w:tcBorders>
              <w:top w:val="nil"/>
              <w:left w:val="nil"/>
              <w:bottom w:val="single" w:sz="4" w:space="0" w:color="auto"/>
              <w:right w:val="single" w:sz="4" w:space="0" w:color="auto"/>
            </w:tcBorders>
            <w:shd w:val="clear" w:color="auto" w:fill="C6EFCE"/>
            <w:noWrap/>
          </w:tcPr>
          <w:p w14:paraId="6C4E39AC" w14:textId="33F0DD9E"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Prijatie primárnych právnych predpisov na zlepšenie regulačného rámca pre priemyselné obchodné parky vrátane riešenia právnej neistoty, riešenia otázok správy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poskytovania účinných stimulov na riešenie </w:t>
            </w:r>
            <w:r w:rsidRPr="00083739">
              <w:rPr>
                <w:rFonts w:ascii="Times New Roman" w:hAnsi="Times New Roman" w:cs="Times New Roman"/>
                <w:noProof/>
                <w:lang w:val="sk-SK"/>
              </w:rPr>
              <w:t>neformálnych priemyselných koncentrácií</w:t>
            </w:r>
          </w:p>
        </w:tc>
      </w:tr>
      <w:tr w:rsidR="002D49B0" w:rsidRPr="00083739" w14:paraId="15E64A6E" w14:textId="77777777">
        <w:trPr>
          <w:trHeight w:val="313"/>
          <w:jc w:val="center"/>
        </w:trPr>
        <w:tc>
          <w:tcPr>
            <w:tcW w:w="1186" w:type="dxa"/>
            <w:tcBorders>
              <w:top w:val="nil"/>
              <w:left w:val="single" w:sz="4" w:space="0" w:color="auto"/>
              <w:bottom w:val="single" w:sz="4" w:space="0" w:color="auto"/>
              <w:right w:val="single" w:sz="4" w:space="0" w:color="auto"/>
            </w:tcBorders>
            <w:shd w:val="clear" w:color="auto" w:fill="C6EFCE"/>
            <w:noWrap/>
            <w:hideMark/>
          </w:tcPr>
          <w:p w14:paraId="0A18410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303</w:t>
            </w:r>
          </w:p>
        </w:tc>
        <w:tc>
          <w:tcPr>
            <w:tcW w:w="1517" w:type="dxa"/>
            <w:tcBorders>
              <w:top w:val="nil"/>
              <w:left w:val="nil"/>
              <w:bottom w:val="single" w:sz="4" w:space="0" w:color="auto"/>
              <w:right w:val="single" w:sz="4" w:space="0" w:color="auto"/>
            </w:tcBorders>
            <w:shd w:val="clear" w:color="auto" w:fill="C6EFCE"/>
            <w:noWrap/>
            <w:hideMark/>
          </w:tcPr>
          <w:p w14:paraId="5F825C63" w14:textId="600AB895"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17 – 4.6. Modernizácia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zlepšenie odolnosti kľúčových hospodárskych odvetví – 16593_Zmena právneho rámca na prilákanie strategických investícií</w:t>
            </w:r>
          </w:p>
        </w:tc>
        <w:tc>
          <w:tcPr>
            <w:tcW w:w="1298" w:type="dxa"/>
            <w:tcBorders>
              <w:top w:val="nil"/>
              <w:left w:val="nil"/>
              <w:bottom w:val="single" w:sz="4" w:space="0" w:color="auto"/>
              <w:right w:val="single" w:sz="4" w:space="0" w:color="auto"/>
            </w:tcBorders>
            <w:shd w:val="clear" w:color="auto" w:fill="C6EFCE"/>
            <w:noWrap/>
            <w:hideMark/>
          </w:tcPr>
          <w:p w14:paraId="271F356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96" w:type="dxa"/>
            <w:tcBorders>
              <w:top w:val="nil"/>
              <w:left w:val="nil"/>
              <w:bottom w:val="single" w:sz="4" w:space="0" w:color="auto"/>
              <w:right w:val="single" w:sz="4" w:space="0" w:color="auto"/>
            </w:tcBorders>
            <w:shd w:val="clear" w:color="auto" w:fill="C6EFCE"/>
            <w:noWrap/>
            <w:hideMark/>
          </w:tcPr>
          <w:p w14:paraId="7351934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Strategické investície – výber oprávnených projektov</w:t>
            </w:r>
          </w:p>
        </w:tc>
        <w:tc>
          <w:tcPr>
            <w:tcW w:w="1823" w:type="dxa"/>
            <w:tcBorders>
              <w:top w:val="nil"/>
              <w:left w:val="nil"/>
              <w:bottom w:val="single" w:sz="4" w:space="0" w:color="auto"/>
              <w:right w:val="single" w:sz="4" w:space="0" w:color="auto"/>
            </w:tcBorders>
            <w:shd w:val="clear" w:color="auto" w:fill="C6EFCE"/>
            <w:noWrap/>
            <w:hideMark/>
          </w:tcPr>
          <w:p w14:paraId="1B8BEE3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 Výber „Emblematických investícií veľkého významu“ oprávnených na financovanie </w:t>
            </w:r>
          </w:p>
        </w:tc>
        <w:tc>
          <w:tcPr>
            <w:tcW w:w="866" w:type="dxa"/>
            <w:tcBorders>
              <w:top w:val="nil"/>
              <w:left w:val="nil"/>
              <w:bottom w:val="single" w:sz="4" w:space="0" w:color="auto"/>
              <w:right w:val="single" w:sz="4" w:space="0" w:color="auto"/>
            </w:tcBorders>
            <w:shd w:val="clear" w:color="auto" w:fill="C6EFCE"/>
            <w:noWrap/>
            <w:hideMark/>
          </w:tcPr>
          <w:p w14:paraId="623EDC0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 </w:t>
            </w:r>
          </w:p>
        </w:tc>
        <w:tc>
          <w:tcPr>
            <w:tcW w:w="857" w:type="dxa"/>
            <w:tcBorders>
              <w:top w:val="nil"/>
              <w:left w:val="nil"/>
              <w:bottom w:val="single" w:sz="4" w:space="0" w:color="auto"/>
              <w:right w:val="single" w:sz="4" w:space="0" w:color="auto"/>
            </w:tcBorders>
            <w:shd w:val="clear" w:color="auto" w:fill="C6EFCE"/>
            <w:noWrap/>
            <w:hideMark/>
          </w:tcPr>
          <w:p w14:paraId="208C7BF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 </w:t>
            </w:r>
          </w:p>
        </w:tc>
        <w:tc>
          <w:tcPr>
            <w:tcW w:w="691" w:type="dxa"/>
            <w:tcBorders>
              <w:top w:val="nil"/>
              <w:left w:val="nil"/>
              <w:bottom w:val="single" w:sz="4" w:space="0" w:color="auto"/>
              <w:right w:val="single" w:sz="4" w:space="0" w:color="auto"/>
            </w:tcBorders>
            <w:shd w:val="clear" w:color="auto" w:fill="C6EFCE"/>
            <w:noWrap/>
            <w:hideMark/>
          </w:tcPr>
          <w:p w14:paraId="487BC69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 </w:t>
            </w:r>
          </w:p>
        </w:tc>
        <w:tc>
          <w:tcPr>
            <w:tcW w:w="851" w:type="dxa"/>
            <w:tcBorders>
              <w:top w:val="nil"/>
              <w:left w:val="nil"/>
              <w:bottom w:val="single" w:sz="4" w:space="0" w:color="auto"/>
              <w:right w:val="single" w:sz="4" w:space="0" w:color="auto"/>
            </w:tcBorders>
            <w:shd w:val="clear" w:color="auto" w:fill="C6EFCE"/>
            <w:noWrap/>
            <w:hideMark/>
          </w:tcPr>
          <w:p w14:paraId="4F7F246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09" w:type="dxa"/>
            <w:tcBorders>
              <w:top w:val="nil"/>
              <w:left w:val="nil"/>
              <w:bottom w:val="single" w:sz="4" w:space="0" w:color="auto"/>
              <w:right w:val="single" w:sz="4" w:space="0" w:color="auto"/>
            </w:tcBorders>
            <w:shd w:val="clear" w:color="auto" w:fill="C6EFCE"/>
            <w:noWrap/>
            <w:hideMark/>
          </w:tcPr>
          <w:p w14:paraId="5BA3E26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2023</w:t>
            </w:r>
          </w:p>
        </w:tc>
        <w:tc>
          <w:tcPr>
            <w:tcW w:w="4308" w:type="dxa"/>
            <w:tcBorders>
              <w:top w:val="nil"/>
              <w:left w:val="nil"/>
              <w:bottom w:val="single" w:sz="4" w:space="0" w:color="auto"/>
              <w:right w:val="single" w:sz="4" w:space="0" w:color="auto"/>
            </w:tcBorders>
            <w:shd w:val="clear" w:color="auto" w:fill="C6EFCE"/>
            <w:noWrap/>
            <w:hideMark/>
          </w:tcPr>
          <w:p w14:paraId="0E6F595E" w14:textId="733D238F" w:rsidR="00083739" w:rsidRPr="00083739" w:rsidRDefault="00BF4125">
            <w:pPr>
              <w:pStyle w:val="P68B1DB1-Normal10"/>
              <w:spacing w:after="0" w:line="240" w:lineRule="auto"/>
              <w:rPr>
                <w:rFonts w:ascii="Times New Roman" w:hAnsi="Times New Roman" w:cs="Times New Roman"/>
                <w:noProof/>
                <w:lang w:val="sk-SK"/>
              </w:rPr>
            </w:pPr>
            <w:r w:rsidRPr="00083739">
              <w:rPr>
                <w:rFonts w:ascii="Times New Roman" w:hAnsi="Times New Roman" w:cs="Times New Roman"/>
                <w:noProof/>
                <w:lang w:val="sk-SK"/>
              </w:rPr>
              <w:t>Výber „Emblematických investícií veľkého významu“ prostredníctvom rozhodnutia</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schválení Medzirezortného výboru pre strategické investície (doložené</w:t>
            </w:r>
            <w:r w:rsidRPr="00083739">
              <w:rPr>
                <w:rFonts w:ascii="Times New Roman" w:hAnsi="Times New Roman" w:cs="Times New Roman"/>
                <w:noProof/>
                <w:lang w:val="sk-SK"/>
              </w:rPr>
              <w:t xml:space="preserve"> uverejnením rozhodnutia). Pokiaľ ide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investície do energetiky, oprávnené investície zahŕňajú investície do a) infraštruktúry</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osobitnými energetickými kritériami na výstavbu nových budov, b) hybridných projektov výroby energie</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obnoviteľných zdrojov n</w:t>
            </w:r>
            <w:r w:rsidRPr="00083739">
              <w:rPr>
                <w:rFonts w:ascii="Times New Roman" w:hAnsi="Times New Roman" w:cs="Times New Roman"/>
                <w:noProof/>
                <w:lang w:val="sk-SK"/>
              </w:rPr>
              <w:t>a neprepojených ostrovoch, c) investícií do výroby zeleného vodíka, d) systémov uskladňovania elektrickej energie vyrábanej</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obnoviteľných zdrojov energie alebo e) zariadení veterných parkov na mori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fotovoltických parkov na mori</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súlade</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technickými u</w:t>
            </w:r>
            <w:r w:rsidRPr="00083739">
              <w:rPr>
                <w:rFonts w:ascii="Times New Roman" w:hAnsi="Times New Roman" w:cs="Times New Roman"/>
                <w:noProof/>
                <w:lang w:val="sk-SK"/>
              </w:rPr>
              <w:t>smerneniami</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zásade „výrazne nenarušiť“ (2021/C58/01) prostredníctvom použitia zoznamu vylúčených subjektov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požiadavky súladu</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príslušnými právnymi predpismi EÚ</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vnútroštátnymi právnymi predpismi</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životného prostredia</w:t>
            </w:r>
            <w:r w:rsidR="00083739" w:rsidRPr="00083739">
              <w:rPr>
                <w:rFonts w:ascii="Times New Roman" w:hAnsi="Times New Roman" w:cs="Times New Roman"/>
                <w:noProof/>
                <w:lang w:val="sk-SK"/>
              </w:rPr>
              <w:t>.</w:t>
            </w:r>
          </w:p>
          <w:p w14:paraId="0DE32303" w14:textId="27F8CA23"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p w14:paraId="5DC2D15A" w14:textId="2B00E030"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Výstavba nových budov </w:t>
            </w:r>
            <w:r w:rsidRPr="00083739">
              <w:rPr>
                <w:rFonts w:ascii="Times New Roman" w:hAnsi="Times New Roman" w:cs="Times New Roman"/>
                <w:noProof/>
                <w:lang w:val="sk-SK"/>
              </w:rPr>
              <w:t>musí byť</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súlade</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dopytom po primárnej energii, ktorý je aspoň</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20</w:t>
            </w:r>
            <w:r w:rsidR="00083739" w:rsidRPr="00083739">
              <w:rPr>
                <w:rFonts w:ascii="Times New Roman" w:hAnsi="Times New Roman" w:cs="Times New Roman"/>
                <w:noProof/>
                <w:lang w:val="sk-SK"/>
              </w:rPr>
              <w:t> %</w:t>
            </w:r>
            <w:r w:rsidRPr="00083739">
              <w:rPr>
                <w:rFonts w:ascii="Times New Roman" w:hAnsi="Times New Roman" w:cs="Times New Roman"/>
                <w:noProof/>
                <w:lang w:val="sk-SK"/>
              </w:rPr>
              <w:t xml:space="preserve"> nižší ako požiadavka na budovy</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takmer nulovou spotrebou energie (budova</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takmer nulovou spotrebou energie, vnútroštátne smernice).</w:t>
            </w:r>
          </w:p>
        </w:tc>
      </w:tr>
      <w:tr w:rsidR="002D49B0" w:rsidRPr="00083739" w14:paraId="742B9B2D" w14:textId="77777777">
        <w:trPr>
          <w:trHeight w:val="313"/>
          <w:jc w:val="center"/>
        </w:trPr>
        <w:tc>
          <w:tcPr>
            <w:tcW w:w="1186" w:type="dxa"/>
            <w:tcBorders>
              <w:top w:val="nil"/>
              <w:left w:val="single" w:sz="4" w:space="0" w:color="auto"/>
              <w:bottom w:val="single" w:sz="4" w:space="0" w:color="auto"/>
              <w:right w:val="single" w:sz="4" w:space="0" w:color="auto"/>
            </w:tcBorders>
            <w:shd w:val="clear" w:color="auto" w:fill="C6EFCE"/>
            <w:noWrap/>
            <w:hideMark/>
          </w:tcPr>
          <w:p w14:paraId="3EC2248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304</w:t>
            </w:r>
          </w:p>
        </w:tc>
        <w:tc>
          <w:tcPr>
            <w:tcW w:w="1517" w:type="dxa"/>
            <w:tcBorders>
              <w:top w:val="nil"/>
              <w:left w:val="nil"/>
              <w:bottom w:val="single" w:sz="4" w:space="0" w:color="auto"/>
              <w:right w:val="single" w:sz="4" w:space="0" w:color="auto"/>
            </w:tcBorders>
            <w:shd w:val="clear" w:color="auto" w:fill="C6EFCE"/>
            <w:noWrap/>
            <w:hideMark/>
          </w:tcPr>
          <w:p w14:paraId="3900C662" w14:textId="49B269AD"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17 – 4.6. Modernizácia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zlepšenie odolnosti kľúčových hospodárskych odvetví – 16634_Nové priemyselné parky</w:t>
            </w:r>
          </w:p>
        </w:tc>
        <w:tc>
          <w:tcPr>
            <w:tcW w:w="1298" w:type="dxa"/>
            <w:tcBorders>
              <w:top w:val="nil"/>
              <w:left w:val="nil"/>
              <w:bottom w:val="single" w:sz="4" w:space="0" w:color="auto"/>
              <w:right w:val="single" w:sz="4" w:space="0" w:color="auto"/>
            </w:tcBorders>
            <w:shd w:val="clear" w:color="auto" w:fill="C6EFCE"/>
            <w:noWrap/>
            <w:hideMark/>
          </w:tcPr>
          <w:p w14:paraId="6DC767E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96" w:type="dxa"/>
            <w:tcBorders>
              <w:top w:val="nil"/>
              <w:left w:val="nil"/>
              <w:bottom w:val="single" w:sz="4" w:space="0" w:color="auto"/>
              <w:right w:val="single" w:sz="4" w:space="0" w:color="auto"/>
            </w:tcBorders>
            <w:shd w:val="clear" w:color="auto" w:fill="C6EFCE"/>
            <w:noWrap/>
            <w:hideMark/>
          </w:tcPr>
          <w:p w14:paraId="15EAF67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Priemyselné parky – legislatívna reforma (sekundárne právne predpisy)</w:t>
            </w:r>
          </w:p>
        </w:tc>
        <w:tc>
          <w:tcPr>
            <w:tcW w:w="1823" w:type="dxa"/>
            <w:tcBorders>
              <w:top w:val="nil"/>
              <w:left w:val="nil"/>
              <w:bottom w:val="single" w:sz="4" w:space="0" w:color="auto"/>
              <w:right w:val="single" w:sz="4" w:space="0" w:color="auto"/>
            </w:tcBorders>
            <w:shd w:val="clear" w:color="auto" w:fill="C6EFCE"/>
            <w:noWrap/>
            <w:hideMark/>
          </w:tcPr>
          <w:p w14:paraId="71FF224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Nadobudnutie účinnosti všetkých požadovaných právnych predpisov </w:t>
            </w:r>
          </w:p>
        </w:tc>
        <w:tc>
          <w:tcPr>
            <w:tcW w:w="866" w:type="dxa"/>
            <w:tcBorders>
              <w:top w:val="nil"/>
              <w:left w:val="nil"/>
              <w:bottom w:val="single" w:sz="4" w:space="0" w:color="auto"/>
              <w:right w:val="single" w:sz="4" w:space="0" w:color="auto"/>
            </w:tcBorders>
            <w:shd w:val="clear" w:color="auto" w:fill="C6EFCE"/>
            <w:noWrap/>
            <w:hideMark/>
          </w:tcPr>
          <w:p w14:paraId="63D3DEB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 </w:t>
            </w:r>
          </w:p>
        </w:tc>
        <w:tc>
          <w:tcPr>
            <w:tcW w:w="857" w:type="dxa"/>
            <w:tcBorders>
              <w:top w:val="nil"/>
              <w:left w:val="nil"/>
              <w:bottom w:val="single" w:sz="4" w:space="0" w:color="auto"/>
              <w:right w:val="single" w:sz="4" w:space="0" w:color="auto"/>
            </w:tcBorders>
            <w:shd w:val="clear" w:color="auto" w:fill="C6EFCE"/>
            <w:noWrap/>
            <w:hideMark/>
          </w:tcPr>
          <w:p w14:paraId="52138D9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 </w:t>
            </w:r>
          </w:p>
        </w:tc>
        <w:tc>
          <w:tcPr>
            <w:tcW w:w="691" w:type="dxa"/>
            <w:tcBorders>
              <w:top w:val="nil"/>
              <w:left w:val="nil"/>
              <w:bottom w:val="single" w:sz="4" w:space="0" w:color="auto"/>
              <w:right w:val="single" w:sz="4" w:space="0" w:color="auto"/>
            </w:tcBorders>
            <w:shd w:val="clear" w:color="auto" w:fill="C6EFCE"/>
            <w:noWrap/>
            <w:hideMark/>
          </w:tcPr>
          <w:p w14:paraId="532C7AE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 </w:t>
            </w:r>
          </w:p>
        </w:tc>
        <w:tc>
          <w:tcPr>
            <w:tcW w:w="851" w:type="dxa"/>
            <w:tcBorders>
              <w:top w:val="nil"/>
              <w:left w:val="nil"/>
              <w:bottom w:val="single" w:sz="4" w:space="0" w:color="auto"/>
              <w:right w:val="single" w:sz="4" w:space="0" w:color="auto"/>
            </w:tcBorders>
            <w:shd w:val="clear" w:color="auto" w:fill="C6EFCE"/>
            <w:noWrap/>
            <w:hideMark/>
          </w:tcPr>
          <w:p w14:paraId="6C74CD7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709" w:type="dxa"/>
            <w:tcBorders>
              <w:top w:val="nil"/>
              <w:left w:val="nil"/>
              <w:bottom w:val="single" w:sz="4" w:space="0" w:color="auto"/>
              <w:right w:val="single" w:sz="4" w:space="0" w:color="auto"/>
            </w:tcBorders>
            <w:shd w:val="clear" w:color="auto" w:fill="C6EFCE"/>
            <w:noWrap/>
            <w:hideMark/>
          </w:tcPr>
          <w:p w14:paraId="57FAE8E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2024</w:t>
            </w:r>
          </w:p>
        </w:tc>
        <w:tc>
          <w:tcPr>
            <w:tcW w:w="4308" w:type="dxa"/>
            <w:tcBorders>
              <w:top w:val="nil"/>
              <w:left w:val="nil"/>
              <w:bottom w:val="single" w:sz="4" w:space="0" w:color="auto"/>
              <w:right w:val="single" w:sz="4" w:space="0" w:color="auto"/>
            </w:tcBorders>
            <w:shd w:val="clear" w:color="auto" w:fill="C6EFCE"/>
            <w:noWrap/>
            <w:hideMark/>
          </w:tcPr>
          <w:p w14:paraId="4FC5D93B" w14:textId="25FB27F2"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všetkých sekundárnych právnych predpisov potrebných na sfunkčnenie nového rámca na zlepšenie regulačného rámca pre priemyselné obchodné parky vrátane riešenia právnej neistoty, riešenia otázok správy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poskytovania účinných stimulov </w:t>
            </w:r>
            <w:r w:rsidRPr="00083739">
              <w:rPr>
                <w:rFonts w:ascii="Times New Roman" w:hAnsi="Times New Roman" w:cs="Times New Roman"/>
                <w:noProof/>
                <w:lang w:val="sk-SK"/>
              </w:rPr>
              <w:t>na riešenie neformálnych priemyselných koncentrácií.</w:t>
            </w:r>
          </w:p>
        </w:tc>
      </w:tr>
      <w:tr w:rsidR="002D49B0" w:rsidRPr="00083739" w14:paraId="65BCA7B5" w14:textId="77777777">
        <w:trPr>
          <w:trHeight w:val="313"/>
          <w:jc w:val="center"/>
        </w:trPr>
        <w:tc>
          <w:tcPr>
            <w:tcW w:w="1186" w:type="dxa"/>
            <w:tcBorders>
              <w:top w:val="single" w:sz="4" w:space="0" w:color="auto"/>
              <w:left w:val="single" w:sz="4" w:space="0" w:color="auto"/>
              <w:bottom w:val="single" w:sz="4" w:space="0" w:color="auto"/>
              <w:right w:val="single" w:sz="4" w:space="0" w:color="auto"/>
            </w:tcBorders>
            <w:shd w:val="clear" w:color="auto" w:fill="C6EFCE"/>
            <w:noWrap/>
          </w:tcPr>
          <w:p w14:paraId="040D021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307</w:t>
            </w:r>
          </w:p>
        </w:tc>
        <w:tc>
          <w:tcPr>
            <w:tcW w:w="1517" w:type="dxa"/>
            <w:tcBorders>
              <w:top w:val="single" w:sz="4" w:space="0" w:color="auto"/>
              <w:left w:val="nil"/>
              <w:bottom w:val="single" w:sz="4" w:space="0" w:color="auto"/>
              <w:right w:val="single" w:sz="4" w:space="0" w:color="auto"/>
            </w:tcBorders>
            <w:shd w:val="clear" w:color="auto" w:fill="C6EFCE"/>
            <w:noWrap/>
          </w:tcPr>
          <w:p w14:paraId="02166D9A" w14:textId="1C1853A0"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17 – 4.6. Modernizácia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zlepšenie odolnosti kľúčových hospodárskych odvetví – 16634_Nové priemyselné parky</w:t>
            </w:r>
          </w:p>
        </w:tc>
        <w:tc>
          <w:tcPr>
            <w:tcW w:w="1298" w:type="dxa"/>
            <w:tcBorders>
              <w:top w:val="single" w:sz="4" w:space="0" w:color="auto"/>
              <w:left w:val="nil"/>
              <w:bottom w:val="single" w:sz="4" w:space="0" w:color="auto"/>
              <w:right w:val="single" w:sz="4" w:space="0" w:color="auto"/>
            </w:tcBorders>
            <w:shd w:val="clear" w:color="auto" w:fill="C6EFCE"/>
            <w:noWrap/>
          </w:tcPr>
          <w:p w14:paraId="31774B5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96" w:type="dxa"/>
            <w:tcBorders>
              <w:top w:val="single" w:sz="4" w:space="0" w:color="auto"/>
              <w:left w:val="nil"/>
              <w:bottom w:val="single" w:sz="4" w:space="0" w:color="auto"/>
              <w:right w:val="single" w:sz="4" w:space="0" w:color="auto"/>
            </w:tcBorders>
            <w:shd w:val="clear" w:color="auto" w:fill="C6EFCE"/>
            <w:noWrap/>
          </w:tcPr>
          <w:p w14:paraId="4893254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Priemyselné parky- realizácia investícií</w:t>
            </w:r>
          </w:p>
        </w:tc>
        <w:tc>
          <w:tcPr>
            <w:tcW w:w="1823" w:type="dxa"/>
            <w:tcBorders>
              <w:top w:val="single" w:sz="4" w:space="0" w:color="auto"/>
              <w:left w:val="nil"/>
              <w:bottom w:val="single" w:sz="4" w:space="0" w:color="auto"/>
              <w:right w:val="single" w:sz="4" w:space="0" w:color="auto"/>
            </w:tcBorders>
            <w:shd w:val="clear" w:color="auto" w:fill="C6EFCE"/>
            <w:noWrap/>
          </w:tcPr>
          <w:p w14:paraId="5E61D719" w14:textId="5D4AE9AC"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 xml:space="preserve">Poskytnúť výsledky auditov stavebných </w:t>
            </w:r>
            <w:r w:rsidRPr="00083739">
              <w:rPr>
                <w:rFonts w:ascii="Times New Roman" w:hAnsi="Times New Roman" w:cs="Times New Roman"/>
                <w:noProof/>
                <w:lang w:val="sk-SK"/>
              </w:rPr>
              <w:t>prác, osvedčenie príjemcov</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dokončení investícií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doklad</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platbe na potvrdenie realizácie vybraných investičných projektov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priemyselných parkoch</w:t>
            </w:r>
            <w:r w:rsidR="00083739" w:rsidRPr="00083739">
              <w:rPr>
                <w:rFonts w:ascii="Times New Roman" w:hAnsi="Times New Roman" w:cs="Times New Roman"/>
                <w:noProof/>
                <w:lang w:val="sk-SK"/>
              </w:rPr>
              <w:t>.</w:t>
            </w:r>
          </w:p>
          <w:p w14:paraId="7E88ED07" w14:textId="60C41B8D" w:rsidR="002D49B0" w:rsidRPr="00083739" w:rsidRDefault="002D49B0">
            <w:pPr>
              <w:spacing w:after="0" w:line="240" w:lineRule="auto"/>
              <w:ind w:left="198" w:hanging="198"/>
              <w:rPr>
                <w:rFonts w:ascii="Times New Roman" w:eastAsia="Times New Roman" w:hAnsi="Times New Roman" w:cs="Times New Roman"/>
                <w:noProof/>
                <w:color w:val="006100"/>
                <w:sz w:val="18"/>
                <w:szCs w:val="18"/>
                <w:lang w:val="sk-SK"/>
              </w:rPr>
            </w:pPr>
          </w:p>
        </w:tc>
        <w:tc>
          <w:tcPr>
            <w:tcW w:w="866" w:type="dxa"/>
            <w:tcBorders>
              <w:top w:val="single" w:sz="4" w:space="0" w:color="auto"/>
              <w:left w:val="nil"/>
              <w:bottom w:val="single" w:sz="4" w:space="0" w:color="auto"/>
              <w:right w:val="single" w:sz="4" w:space="0" w:color="auto"/>
            </w:tcBorders>
            <w:shd w:val="clear" w:color="auto" w:fill="C6EFCE"/>
            <w:noWrap/>
          </w:tcPr>
          <w:p w14:paraId="65FA109D"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single" w:sz="4" w:space="0" w:color="auto"/>
              <w:left w:val="nil"/>
              <w:bottom w:val="single" w:sz="4" w:space="0" w:color="auto"/>
              <w:right w:val="single" w:sz="4" w:space="0" w:color="auto"/>
            </w:tcBorders>
            <w:shd w:val="clear" w:color="auto" w:fill="C6EFCE"/>
            <w:noWrap/>
          </w:tcPr>
          <w:p w14:paraId="455C469A"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691" w:type="dxa"/>
            <w:tcBorders>
              <w:top w:val="single" w:sz="4" w:space="0" w:color="auto"/>
              <w:left w:val="nil"/>
              <w:bottom w:val="single" w:sz="4" w:space="0" w:color="auto"/>
              <w:right w:val="single" w:sz="4" w:space="0" w:color="auto"/>
            </w:tcBorders>
            <w:shd w:val="clear" w:color="auto" w:fill="C6EFCE"/>
            <w:noWrap/>
          </w:tcPr>
          <w:p w14:paraId="000D6D8C"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1" w:type="dxa"/>
            <w:tcBorders>
              <w:top w:val="single" w:sz="4" w:space="0" w:color="auto"/>
              <w:left w:val="nil"/>
              <w:bottom w:val="single" w:sz="4" w:space="0" w:color="auto"/>
              <w:right w:val="single" w:sz="4" w:space="0" w:color="auto"/>
            </w:tcBorders>
            <w:shd w:val="clear" w:color="auto" w:fill="C6EFCE"/>
            <w:noWrap/>
          </w:tcPr>
          <w:p w14:paraId="1E30410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09" w:type="dxa"/>
            <w:tcBorders>
              <w:top w:val="single" w:sz="4" w:space="0" w:color="auto"/>
              <w:left w:val="nil"/>
              <w:bottom w:val="single" w:sz="4" w:space="0" w:color="auto"/>
              <w:right w:val="single" w:sz="4" w:space="0" w:color="auto"/>
            </w:tcBorders>
            <w:shd w:val="clear" w:color="auto" w:fill="C6EFCE"/>
            <w:noWrap/>
          </w:tcPr>
          <w:p w14:paraId="3C3C0AC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4308" w:type="dxa"/>
            <w:tcBorders>
              <w:top w:val="single" w:sz="4" w:space="0" w:color="auto"/>
              <w:left w:val="nil"/>
              <w:bottom w:val="single" w:sz="4" w:space="0" w:color="auto"/>
              <w:right w:val="single" w:sz="4" w:space="0" w:color="auto"/>
            </w:tcBorders>
            <w:shd w:val="clear" w:color="auto" w:fill="C6EFCE"/>
            <w:noWrap/>
          </w:tcPr>
          <w:p w14:paraId="66765C37" w14:textId="42295F9D"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výstavby všetkých investičných projektov vybraných</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 xml:space="preserve">rámci súťažných </w:t>
            </w:r>
            <w:r w:rsidRPr="00083739">
              <w:rPr>
                <w:rFonts w:ascii="Times New Roman" w:hAnsi="Times New Roman" w:cs="Times New Roman"/>
                <w:noProof/>
                <w:lang w:val="sk-SK"/>
              </w:rPr>
              <w:t xml:space="preserve">výziev na predkladanie návrhov. </w:t>
            </w:r>
          </w:p>
        </w:tc>
      </w:tr>
      <w:tr w:rsidR="002D49B0" w:rsidRPr="00083739" w14:paraId="11D91869" w14:textId="77777777">
        <w:trPr>
          <w:trHeight w:val="313"/>
          <w:jc w:val="center"/>
        </w:trPr>
        <w:tc>
          <w:tcPr>
            <w:tcW w:w="1186" w:type="dxa"/>
            <w:tcBorders>
              <w:top w:val="single" w:sz="4" w:space="0" w:color="auto"/>
              <w:left w:val="single" w:sz="4" w:space="0" w:color="auto"/>
              <w:bottom w:val="single" w:sz="4" w:space="0" w:color="auto"/>
              <w:right w:val="single" w:sz="4" w:space="0" w:color="auto"/>
            </w:tcBorders>
            <w:shd w:val="clear" w:color="auto" w:fill="C6EFCE"/>
            <w:noWrap/>
          </w:tcPr>
          <w:p w14:paraId="117AC30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308</w:t>
            </w:r>
          </w:p>
        </w:tc>
        <w:tc>
          <w:tcPr>
            <w:tcW w:w="1517" w:type="dxa"/>
            <w:tcBorders>
              <w:top w:val="single" w:sz="4" w:space="0" w:color="auto"/>
              <w:left w:val="nil"/>
              <w:bottom w:val="single" w:sz="4" w:space="0" w:color="auto"/>
              <w:right w:val="single" w:sz="4" w:space="0" w:color="auto"/>
            </w:tcBorders>
            <w:shd w:val="clear" w:color="auto" w:fill="C6EFCE"/>
            <w:noWrap/>
          </w:tcPr>
          <w:p w14:paraId="2D983863" w14:textId="1B57F491"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17 – 4.6. Modernizácia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zlepšenie odolnosti kľúčových hospodárskych odvetví – 16593_Zmena právneho rámca na prilákanie strategických investícií</w:t>
            </w:r>
          </w:p>
        </w:tc>
        <w:tc>
          <w:tcPr>
            <w:tcW w:w="1298" w:type="dxa"/>
            <w:tcBorders>
              <w:top w:val="single" w:sz="4" w:space="0" w:color="auto"/>
              <w:left w:val="nil"/>
              <w:bottom w:val="single" w:sz="4" w:space="0" w:color="auto"/>
              <w:right w:val="single" w:sz="4" w:space="0" w:color="auto"/>
            </w:tcBorders>
            <w:shd w:val="clear" w:color="auto" w:fill="C6EFCE"/>
            <w:noWrap/>
          </w:tcPr>
          <w:p w14:paraId="43B7EFD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96" w:type="dxa"/>
            <w:tcBorders>
              <w:top w:val="single" w:sz="4" w:space="0" w:color="auto"/>
              <w:left w:val="nil"/>
              <w:bottom w:val="single" w:sz="4" w:space="0" w:color="auto"/>
              <w:right w:val="single" w:sz="4" w:space="0" w:color="auto"/>
            </w:tcBorders>
            <w:shd w:val="clear" w:color="auto" w:fill="C6EFCE"/>
            <w:noWrap/>
          </w:tcPr>
          <w:p w14:paraId="027864E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Strategické investície – realizácia investícií</w:t>
            </w:r>
          </w:p>
        </w:tc>
        <w:tc>
          <w:tcPr>
            <w:tcW w:w="1823" w:type="dxa"/>
            <w:tcBorders>
              <w:top w:val="single" w:sz="4" w:space="0" w:color="auto"/>
              <w:left w:val="nil"/>
              <w:bottom w:val="single" w:sz="4" w:space="0" w:color="auto"/>
              <w:right w:val="single" w:sz="4" w:space="0" w:color="auto"/>
            </w:tcBorders>
            <w:shd w:val="clear" w:color="auto" w:fill="C6EFCE"/>
            <w:noWrap/>
          </w:tcPr>
          <w:p w14:paraId="5FC3669A" w14:textId="0540BDAC"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 xml:space="preserve">Poskytnúť výsledky </w:t>
            </w:r>
            <w:r w:rsidRPr="00083739">
              <w:rPr>
                <w:rFonts w:ascii="Times New Roman" w:hAnsi="Times New Roman" w:cs="Times New Roman"/>
                <w:noProof/>
                <w:lang w:val="sk-SK"/>
              </w:rPr>
              <w:t>auditov stavebných prác</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certifikácie od príjemcov</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dokončení investícií</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cieľom potvrdiť realizáciu vybraných investičných projektov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rámci „Emblematic Investments of Great Significance“.</w:t>
            </w:r>
          </w:p>
        </w:tc>
        <w:tc>
          <w:tcPr>
            <w:tcW w:w="866" w:type="dxa"/>
            <w:tcBorders>
              <w:top w:val="single" w:sz="4" w:space="0" w:color="auto"/>
              <w:left w:val="nil"/>
              <w:bottom w:val="single" w:sz="4" w:space="0" w:color="auto"/>
              <w:right w:val="single" w:sz="4" w:space="0" w:color="auto"/>
            </w:tcBorders>
            <w:shd w:val="clear" w:color="auto" w:fill="C6EFCE"/>
            <w:noWrap/>
          </w:tcPr>
          <w:p w14:paraId="664411BD"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single" w:sz="4" w:space="0" w:color="auto"/>
              <w:left w:val="nil"/>
              <w:bottom w:val="single" w:sz="4" w:space="0" w:color="auto"/>
              <w:right w:val="single" w:sz="4" w:space="0" w:color="auto"/>
            </w:tcBorders>
            <w:shd w:val="clear" w:color="auto" w:fill="C6EFCE"/>
            <w:noWrap/>
          </w:tcPr>
          <w:p w14:paraId="5C6970CD"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691" w:type="dxa"/>
            <w:tcBorders>
              <w:top w:val="single" w:sz="4" w:space="0" w:color="auto"/>
              <w:left w:val="nil"/>
              <w:bottom w:val="single" w:sz="4" w:space="0" w:color="auto"/>
              <w:right w:val="single" w:sz="4" w:space="0" w:color="auto"/>
            </w:tcBorders>
            <w:shd w:val="clear" w:color="auto" w:fill="C6EFCE"/>
            <w:noWrap/>
          </w:tcPr>
          <w:p w14:paraId="54194CF3"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1" w:type="dxa"/>
            <w:tcBorders>
              <w:top w:val="single" w:sz="4" w:space="0" w:color="auto"/>
              <w:left w:val="nil"/>
              <w:bottom w:val="single" w:sz="4" w:space="0" w:color="auto"/>
              <w:right w:val="single" w:sz="4" w:space="0" w:color="auto"/>
            </w:tcBorders>
            <w:shd w:val="clear" w:color="auto" w:fill="C6EFCE"/>
            <w:noWrap/>
          </w:tcPr>
          <w:p w14:paraId="69A9F65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09" w:type="dxa"/>
            <w:tcBorders>
              <w:top w:val="single" w:sz="4" w:space="0" w:color="auto"/>
              <w:left w:val="nil"/>
              <w:bottom w:val="single" w:sz="4" w:space="0" w:color="auto"/>
              <w:right w:val="single" w:sz="4" w:space="0" w:color="auto"/>
            </w:tcBorders>
            <w:shd w:val="clear" w:color="auto" w:fill="C6EFCE"/>
            <w:noWrap/>
          </w:tcPr>
          <w:p w14:paraId="385D6A2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4308" w:type="dxa"/>
            <w:tcBorders>
              <w:top w:val="single" w:sz="4" w:space="0" w:color="auto"/>
              <w:left w:val="nil"/>
              <w:bottom w:val="single" w:sz="4" w:space="0" w:color="auto"/>
              <w:right w:val="single" w:sz="4" w:space="0" w:color="auto"/>
            </w:tcBorders>
            <w:shd w:val="clear" w:color="auto" w:fill="C6EFCE"/>
            <w:noWrap/>
          </w:tcPr>
          <w:p w14:paraId="72BE83F4" w14:textId="0B01FD86"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výstavby všetkých nevyhnutných investícií veľkého významu vybraných</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súlade so schvaľovacím rozhodnutím medzirezortného výboru pre strategické investície.</w:t>
            </w:r>
          </w:p>
        </w:tc>
      </w:tr>
      <w:tr w:rsidR="002D49B0" w:rsidRPr="00083739" w14:paraId="230123EA" w14:textId="77777777">
        <w:trPr>
          <w:trHeight w:val="313"/>
          <w:jc w:val="center"/>
        </w:trPr>
        <w:tc>
          <w:tcPr>
            <w:tcW w:w="1186" w:type="dxa"/>
            <w:tcBorders>
              <w:top w:val="single" w:sz="4" w:space="0" w:color="auto"/>
              <w:left w:val="single" w:sz="4" w:space="0" w:color="auto"/>
              <w:bottom w:val="single" w:sz="4" w:space="0" w:color="auto"/>
              <w:right w:val="single" w:sz="4" w:space="0" w:color="auto"/>
            </w:tcBorders>
            <w:shd w:val="clear" w:color="auto" w:fill="C6EFCE"/>
            <w:noWrap/>
          </w:tcPr>
          <w:p w14:paraId="508A35D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309</w:t>
            </w:r>
          </w:p>
        </w:tc>
        <w:tc>
          <w:tcPr>
            <w:tcW w:w="1517" w:type="dxa"/>
            <w:tcBorders>
              <w:top w:val="single" w:sz="4" w:space="0" w:color="auto"/>
              <w:left w:val="nil"/>
              <w:bottom w:val="single" w:sz="4" w:space="0" w:color="auto"/>
              <w:right w:val="single" w:sz="4" w:space="0" w:color="auto"/>
            </w:tcBorders>
            <w:shd w:val="clear" w:color="auto" w:fill="C6EFCE"/>
            <w:noWrap/>
          </w:tcPr>
          <w:p w14:paraId="6140F7DC" w14:textId="1D5F3EF4"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17 – 4.6. Modernizácia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zlepšenie odolnosti kľúčových hospodárskych odvetví – </w:t>
            </w:r>
            <w:r w:rsidRPr="00083739">
              <w:rPr>
                <w:rFonts w:ascii="Times New Roman" w:hAnsi="Times New Roman" w:cs="Times New Roman"/>
                <w:noProof/>
                <w:lang w:val="sk-SK"/>
              </w:rPr>
              <w:t>16721_zrýchlenie inteligentnej výroby</w:t>
            </w:r>
          </w:p>
        </w:tc>
        <w:tc>
          <w:tcPr>
            <w:tcW w:w="1298" w:type="dxa"/>
            <w:tcBorders>
              <w:top w:val="single" w:sz="4" w:space="0" w:color="auto"/>
              <w:left w:val="nil"/>
              <w:bottom w:val="single" w:sz="4" w:space="0" w:color="auto"/>
              <w:right w:val="single" w:sz="4" w:space="0" w:color="auto"/>
            </w:tcBorders>
            <w:shd w:val="clear" w:color="auto" w:fill="C6EFCE"/>
            <w:noWrap/>
          </w:tcPr>
          <w:p w14:paraId="1471A2F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96" w:type="dxa"/>
            <w:tcBorders>
              <w:top w:val="single" w:sz="4" w:space="0" w:color="auto"/>
              <w:left w:val="nil"/>
              <w:bottom w:val="single" w:sz="4" w:space="0" w:color="auto"/>
              <w:right w:val="single" w:sz="4" w:space="0" w:color="auto"/>
            </w:tcBorders>
            <w:shd w:val="clear" w:color="auto" w:fill="C6EFCE"/>
            <w:noWrap/>
          </w:tcPr>
          <w:p w14:paraId="6684C03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Výroba, sektor – realizácia investícií</w:t>
            </w:r>
          </w:p>
        </w:tc>
        <w:tc>
          <w:tcPr>
            <w:tcW w:w="1823" w:type="dxa"/>
            <w:tcBorders>
              <w:top w:val="single" w:sz="4" w:space="0" w:color="auto"/>
              <w:left w:val="nil"/>
              <w:bottom w:val="single" w:sz="4" w:space="0" w:color="auto"/>
              <w:right w:val="single" w:sz="4" w:space="0" w:color="auto"/>
            </w:tcBorders>
            <w:shd w:val="clear" w:color="auto" w:fill="C6EFCE"/>
            <w:noWrap/>
          </w:tcPr>
          <w:p w14:paraId="7E98BCA4" w14:textId="77777777"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Poskytnúť výsledky auditov intervenčných prác, osvedčenie prijímateľov</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dokončení investícií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doklad</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platbe</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cieľom potvrdiť realizáciu vybraných investičných projekto</w:t>
            </w:r>
            <w:r w:rsidRPr="00083739">
              <w:rPr>
                <w:rFonts w:ascii="Times New Roman" w:hAnsi="Times New Roman" w:cs="Times New Roman"/>
                <w:noProof/>
                <w:lang w:val="sk-SK"/>
              </w:rPr>
              <w:t>v</w:t>
            </w:r>
            <w:r w:rsidR="00083739" w:rsidRPr="00083739">
              <w:rPr>
                <w:rFonts w:ascii="Times New Roman" w:hAnsi="Times New Roman" w:cs="Times New Roman"/>
                <w:noProof/>
                <w:lang w:val="sk-SK"/>
              </w:rPr>
              <w:t xml:space="preserve"> v</w:t>
            </w:r>
          </w:p>
          <w:p w14:paraId="6B530F6D" w14:textId="772FC4AB"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spracovateľský priemysel.</w:t>
            </w:r>
          </w:p>
        </w:tc>
        <w:tc>
          <w:tcPr>
            <w:tcW w:w="866" w:type="dxa"/>
            <w:tcBorders>
              <w:top w:val="single" w:sz="4" w:space="0" w:color="auto"/>
              <w:left w:val="nil"/>
              <w:bottom w:val="single" w:sz="4" w:space="0" w:color="auto"/>
              <w:right w:val="single" w:sz="4" w:space="0" w:color="auto"/>
            </w:tcBorders>
            <w:shd w:val="clear" w:color="auto" w:fill="C6EFCE"/>
            <w:noWrap/>
          </w:tcPr>
          <w:p w14:paraId="6C83B41E"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single" w:sz="4" w:space="0" w:color="auto"/>
              <w:left w:val="nil"/>
              <w:bottom w:val="single" w:sz="4" w:space="0" w:color="auto"/>
              <w:right w:val="single" w:sz="4" w:space="0" w:color="auto"/>
            </w:tcBorders>
            <w:shd w:val="clear" w:color="auto" w:fill="C6EFCE"/>
            <w:noWrap/>
          </w:tcPr>
          <w:p w14:paraId="13A1D5EB"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691" w:type="dxa"/>
            <w:tcBorders>
              <w:top w:val="single" w:sz="4" w:space="0" w:color="auto"/>
              <w:left w:val="nil"/>
              <w:bottom w:val="single" w:sz="4" w:space="0" w:color="auto"/>
              <w:right w:val="single" w:sz="4" w:space="0" w:color="auto"/>
            </w:tcBorders>
            <w:shd w:val="clear" w:color="auto" w:fill="C6EFCE"/>
            <w:noWrap/>
          </w:tcPr>
          <w:p w14:paraId="429844F4"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1" w:type="dxa"/>
            <w:tcBorders>
              <w:top w:val="single" w:sz="4" w:space="0" w:color="auto"/>
              <w:left w:val="nil"/>
              <w:bottom w:val="single" w:sz="4" w:space="0" w:color="auto"/>
              <w:right w:val="single" w:sz="4" w:space="0" w:color="auto"/>
            </w:tcBorders>
            <w:shd w:val="clear" w:color="auto" w:fill="C6EFCE"/>
            <w:noWrap/>
          </w:tcPr>
          <w:p w14:paraId="669A216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09" w:type="dxa"/>
            <w:tcBorders>
              <w:top w:val="single" w:sz="4" w:space="0" w:color="auto"/>
              <w:left w:val="nil"/>
              <w:bottom w:val="single" w:sz="4" w:space="0" w:color="auto"/>
              <w:right w:val="single" w:sz="4" w:space="0" w:color="auto"/>
            </w:tcBorders>
            <w:shd w:val="clear" w:color="auto" w:fill="C6EFCE"/>
            <w:noWrap/>
          </w:tcPr>
          <w:p w14:paraId="4200415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4308" w:type="dxa"/>
            <w:tcBorders>
              <w:top w:val="single" w:sz="4" w:space="0" w:color="auto"/>
              <w:left w:val="nil"/>
              <w:bottom w:val="single" w:sz="4" w:space="0" w:color="auto"/>
              <w:right w:val="single" w:sz="4" w:space="0" w:color="auto"/>
            </w:tcBorders>
            <w:shd w:val="clear" w:color="auto" w:fill="C6EFCE"/>
            <w:noWrap/>
          </w:tcPr>
          <w:p w14:paraId="1ED66C30" w14:textId="4B2FDAA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výstavby všetkých investičných projektov vybraných</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rámci súťažných výziev na predkladanie návrhov.</w:t>
            </w:r>
          </w:p>
        </w:tc>
      </w:tr>
    </w:tbl>
    <w:p w14:paraId="7DCB7D81" w14:textId="77777777" w:rsidR="002D49B0" w:rsidRPr="00083739" w:rsidRDefault="002D49B0">
      <w:pPr>
        <w:spacing w:before="120" w:after="0" w:line="240" w:lineRule="auto"/>
        <w:jc w:val="both"/>
        <w:rPr>
          <w:rFonts w:ascii="Times New Roman" w:hAnsi="Times New Roman" w:cs="Times New Roman"/>
          <w:noProof/>
          <w:sz w:val="24"/>
          <w:lang w:val="sk-SK"/>
        </w:rPr>
      </w:pPr>
    </w:p>
    <w:p w14:paraId="029AB23B" w14:textId="77777777" w:rsidR="002D49B0" w:rsidRPr="00083739" w:rsidRDefault="002D49B0">
      <w:pPr>
        <w:spacing w:before="120" w:after="0" w:line="240" w:lineRule="auto"/>
        <w:jc w:val="both"/>
        <w:rPr>
          <w:rFonts w:ascii="Times New Roman" w:hAnsi="Times New Roman" w:cs="Times New Roman"/>
          <w:noProof/>
          <w:sz w:val="24"/>
          <w:lang w:val="sk-SK"/>
        </w:rPr>
        <w:sectPr w:rsidR="002D49B0" w:rsidRPr="00083739" w:rsidSect="00271D33">
          <w:headerReference w:type="even" r:id="rId289"/>
          <w:headerReference w:type="default" r:id="rId290"/>
          <w:footerReference w:type="even" r:id="rId291"/>
          <w:footerReference w:type="default" r:id="rId292"/>
          <w:headerReference w:type="first" r:id="rId293"/>
          <w:footerReference w:type="first" r:id="rId294"/>
          <w:pgSz w:w="16839" w:h="11907" w:orient="landscape"/>
          <w:pgMar w:top="720" w:right="720" w:bottom="720" w:left="720" w:header="709" w:footer="709" w:gutter="0"/>
          <w:cols w:space="720"/>
          <w:docGrid w:linePitch="360"/>
        </w:sectPr>
      </w:pPr>
    </w:p>
    <w:p w14:paraId="33E2DA5F" w14:textId="77777777" w:rsidR="002D49B0" w:rsidRPr="00083739" w:rsidRDefault="00BF4125">
      <w:pPr>
        <w:pStyle w:val="P68B1DB1-Normal6"/>
        <w:keepNext/>
        <w:keepLines/>
        <w:spacing w:before="40" w:after="0" w:line="240" w:lineRule="auto"/>
        <w:jc w:val="both"/>
        <w:outlineLvl w:val="4"/>
        <w:rPr>
          <w:rFonts w:ascii="Times New Roman" w:eastAsia="Times New Roman" w:hAnsi="Times New Roman" w:cs="Times New Roman"/>
          <w:noProof/>
          <w:lang w:val="sk-SK"/>
        </w:rPr>
      </w:pPr>
      <w:r w:rsidRPr="00083739">
        <w:rPr>
          <w:rFonts w:ascii="Times New Roman" w:hAnsi="Times New Roman" w:cs="Times New Roman"/>
          <w:noProof/>
          <w:lang w:val="sk-SK"/>
        </w:rPr>
        <w:t xml:space="preserve">Skupina 28: </w:t>
      </w:r>
      <w:r w:rsidRPr="00083739">
        <w:rPr>
          <w:rFonts w:ascii="Times New Roman" w:hAnsi="Times New Roman" w:cs="Times New Roman"/>
          <w:noProof/>
          <w:lang w:val="sk-SK"/>
        </w:rPr>
        <w:t>Poľnohospodárstvo</w:t>
      </w:r>
    </w:p>
    <w:p w14:paraId="20E03AC8" w14:textId="4D56AF92" w:rsidR="002D49B0" w:rsidRPr="00083739" w:rsidRDefault="00BF4125">
      <w:pPr>
        <w:pStyle w:val="P68B1DB1-Normal4"/>
        <w:numPr>
          <w:ilvl w:val="0"/>
          <w:numId w:val="27"/>
        </w:numPr>
        <w:spacing w:before="120" w:after="0" w:line="240" w:lineRule="auto"/>
        <w:jc w:val="both"/>
        <w:rPr>
          <w:rFonts w:cs="Times New Roman"/>
          <w:noProof/>
          <w:lang w:val="sk-SK"/>
        </w:rPr>
      </w:pPr>
      <w:r w:rsidRPr="00083739">
        <w:rPr>
          <w:rFonts w:cs="Times New Roman"/>
          <w:noProof/>
          <w:lang w:val="sk-SK"/>
        </w:rPr>
        <w:t>Hospodárska transformácia</w:t>
      </w:r>
      <w:r w:rsidR="00083739" w:rsidRPr="00083739">
        <w:rPr>
          <w:rFonts w:cs="Times New Roman"/>
          <w:noProof/>
          <w:lang w:val="sk-SK"/>
        </w:rPr>
        <w:t xml:space="preserve"> v </w:t>
      </w:r>
      <w:r w:rsidRPr="00083739">
        <w:rPr>
          <w:rFonts w:cs="Times New Roman"/>
          <w:noProof/>
          <w:lang w:val="sk-SK"/>
        </w:rPr>
        <w:t>poľnohospodárskom sektore (ID: 16626)</w:t>
      </w:r>
    </w:p>
    <w:p w14:paraId="553BD1CD" w14:textId="77777777" w:rsidR="002D49B0" w:rsidRPr="00083739" w:rsidRDefault="00BF4125">
      <w:pPr>
        <w:pStyle w:val="P68B1DB1-Normal4"/>
        <w:numPr>
          <w:ilvl w:val="0"/>
          <w:numId w:val="27"/>
        </w:numPr>
        <w:spacing w:before="120" w:after="0" w:line="240" w:lineRule="auto"/>
        <w:jc w:val="both"/>
        <w:rPr>
          <w:rFonts w:cs="Times New Roman"/>
          <w:noProof/>
          <w:lang w:val="sk-SK"/>
        </w:rPr>
      </w:pPr>
      <w:r w:rsidRPr="00083739">
        <w:rPr>
          <w:rFonts w:cs="Times New Roman"/>
          <w:noProof/>
          <w:lang w:val="sk-SK"/>
        </w:rPr>
        <w:t>Digitálna transformácia agropotravinárskeho sektora (ID: 16653)</w:t>
      </w:r>
    </w:p>
    <w:p w14:paraId="72EC7E13" w14:textId="68A1B749" w:rsidR="002D49B0" w:rsidRPr="00083739" w:rsidRDefault="00BF4125">
      <w:pPr>
        <w:pStyle w:val="P68B1DB1-Normal4"/>
        <w:numPr>
          <w:ilvl w:val="0"/>
          <w:numId w:val="27"/>
        </w:numPr>
        <w:spacing w:before="120" w:after="0" w:line="240" w:lineRule="auto"/>
        <w:jc w:val="both"/>
        <w:rPr>
          <w:rFonts w:cs="Times New Roman"/>
          <w:noProof/>
          <w:lang w:val="sk-SK"/>
        </w:rPr>
      </w:pPr>
      <w:r w:rsidRPr="00083739">
        <w:rPr>
          <w:rFonts w:cs="Times New Roman"/>
          <w:noProof/>
          <w:lang w:val="sk-SK"/>
        </w:rPr>
        <w:t>Návrhy opatrení</w:t>
      </w:r>
      <w:r w:rsidR="00083739" w:rsidRPr="00083739">
        <w:rPr>
          <w:rFonts w:cs="Times New Roman"/>
          <w:noProof/>
          <w:lang w:val="sk-SK"/>
        </w:rPr>
        <w:t xml:space="preserve"> v </w:t>
      </w:r>
      <w:r w:rsidRPr="00083739">
        <w:rPr>
          <w:rFonts w:cs="Times New Roman"/>
          <w:noProof/>
          <w:lang w:val="sk-SK"/>
        </w:rPr>
        <w:t>odvetví akvakultúry (ID: 16584)</w:t>
      </w:r>
    </w:p>
    <w:p w14:paraId="75AD83E7" w14:textId="77777777" w:rsidR="002D49B0" w:rsidRPr="00083739" w:rsidRDefault="00BF4125">
      <w:pPr>
        <w:pStyle w:val="P68B1DB1-Normal4"/>
        <w:numPr>
          <w:ilvl w:val="0"/>
          <w:numId w:val="27"/>
        </w:numPr>
        <w:spacing w:before="120" w:after="120" w:line="240" w:lineRule="auto"/>
        <w:jc w:val="both"/>
        <w:rPr>
          <w:rFonts w:cs="Times New Roman"/>
          <w:noProof/>
          <w:lang w:val="sk-SK"/>
        </w:rPr>
      </w:pPr>
      <w:r w:rsidRPr="00083739">
        <w:rPr>
          <w:rFonts w:cs="Times New Roman"/>
          <w:noProof/>
          <w:lang w:val="sk-SK"/>
        </w:rPr>
        <w:t>Investície do vnútroštátnej zavlažovacej siete prostredníc</w:t>
      </w:r>
      <w:r w:rsidRPr="00083739">
        <w:rPr>
          <w:rFonts w:cs="Times New Roman"/>
          <w:noProof/>
          <w:lang w:val="sk-SK"/>
        </w:rPr>
        <w:t>tvom systémov PPP (ID: 16285)</w:t>
      </w:r>
    </w:p>
    <w:tbl>
      <w:tblPr>
        <w:tblW w:w="15951" w:type="dxa"/>
        <w:jc w:val="center"/>
        <w:tblLook w:val="04A0" w:firstRow="1" w:lastRow="0" w:firstColumn="1" w:lastColumn="0" w:noHBand="0" w:noVBand="1"/>
      </w:tblPr>
      <w:tblGrid>
        <w:gridCol w:w="1252"/>
        <w:gridCol w:w="1832"/>
        <w:gridCol w:w="1589"/>
        <w:gridCol w:w="1696"/>
        <w:gridCol w:w="1704"/>
        <w:gridCol w:w="899"/>
        <w:gridCol w:w="957"/>
        <w:gridCol w:w="587"/>
        <w:gridCol w:w="1167"/>
        <w:gridCol w:w="687"/>
        <w:gridCol w:w="4332"/>
      </w:tblGrid>
      <w:tr w:rsidR="002D49B0" w:rsidRPr="00083739" w14:paraId="146B7067" w14:textId="77777777">
        <w:trPr>
          <w:trHeight w:val="731"/>
          <w:tblHeader/>
          <w:jc w:val="center"/>
        </w:trPr>
        <w:tc>
          <w:tcPr>
            <w:tcW w:w="1252"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CAA2F6E"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Poradové číslo</w:t>
            </w:r>
          </w:p>
        </w:tc>
        <w:tc>
          <w:tcPr>
            <w:tcW w:w="1832"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7EA41D6"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Súvisiace opatrenie (reforma alebo investícia)</w:t>
            </w:r>
          </w:p>
        </w:tc>
        <w:tc>
          <w:tcPr>
            <w:tcW w:w="158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0EC9566"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Míľnik/cieľ</w:t>
            </w:r>
          </w:p>
        </w:tc>
        <w:tc>
          <w:tcPr>
            <w:tcW w:w="136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F2C17B0"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Názov</w:t>
            </w:r>
          </w:p>
        </w:tc>
        <w:tc>
          <w:tcPr>
            <w:tcW w:w="170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995862B"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Kvalitatívne ukazovatele (pre míľniky)</w:t>
            </w:r>
          </w:p>
        </w:tc>
        <w:tc>
          <w:tcPr>
            <w:tcW w:w="2343" w:type="dxa"/>
            <w:gridSpan w:val="3"/>
            <w:tcBorders>
              <w:top w:val="single" w:sz="4" w:space="0" w:color="auto"/>
              <w:left w:val="single" w:sz="4" w:space="0" w:color="auto"/>
              <w:bottom w:val="single" w:sz="4" w:space="0" w:color="auto"/>
              <w:right w:val="single" w:sz="4" w:space="0" w:color="auto"/>
            </w:tcBorders>
            <w:shd w:val="clear" w:color="auto" w:fill="BDD7EE"/>
            <w:vAlign w:val="center"/>
            <w:hideMark/>
          </w:tcPr>
          <w:p w14:paraId="6848ECAF"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Kvantitatívne ukazovatele (pre ciele)</w:t>
            </w:r>
          </w:p>
        </w:tc>
        <w:tc>
          <w:tcPr>
            <w:tcW w:w="1533" w:type="dxa"/>
            <w:gridSpan w:val="2"/>
            <w:tcBorders>
              <w:top w:val="single" w:sz="4" w:space="0" w:color="auto"/>
              <w:left w:val="nil"/>
              <w:bottom w:val="single" w:sz="4" w:space="0" w:color="auto"/>
              <w:right w:val="single" w:sz="4" w:space="0" w:color="auto"/>
            </w:tcBorders>
            <w:shd w:val="clear" w:color="auto" w:fill="BDD7EE"/>
            <w:vAlign w:val="center"/>
            <w:hideMark/>
          </w:tcPr>
          <w:p w14:paraId="50ACDB97"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 xml:space="preserve">Orientačný harmonogram dokončenia </w:t>
            </w:r>
          </w:p>
        </w:tc>
        <w:tc>
          <w:tcPr>
            <w:tcW w:w="4332"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2710221" w14:textId="43F9EF6D"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Opis každého míľnika</w:t>
            </w:r>
            <w:r w:rsidR="00083739" w:rsidRPr="00083739">
              <w:rPr>
                <w:rFonts w:cs="Times New Roman"/>
                <w:noProof/>
                <w:lang w:val="sk-SK"/>
              </w:rPr>
              <w:t xml:space="preserve"> a </w:t>
            </w:r>
            <w:r w:rsidRPr="00083739">
              <w:rPr>
                <w:rFonts w:cs="Times New Roman"/>
                <w:noProof/>
                <w:lang w:val="sk-SK"/>
              </w:rPr>
              <w:t>cieľa</w:t>
            </w:r>
          </w:p>
        </w:tc>
      </w:tr>
      <w:tr w:rsidR="002D49B0" w:rsidRPr="00083739" w14:paraId="21BCD386" w14:textId="77777777">
        <w:trPr>
          <w:trHeight w:val="504"/>
          <w:tblHeader/>
          <w:jc w:val="center"/>
        </w:trPr>
        <w:tc>
          <w:tcPr>
            <w:tcW w:w="1252" w:type="dxa"/>
            <w:vMerge/>
            <w:tcBorders>
              <w:top w:val="single" w:sz="4" w:space="0" w:color="auto"/>
              <w:left w:val="single" w:sz="4" w:space="0" w:color="auto"/>
              <w:bottom w:val="single" w:sz="4" w:space="0" w:color="auto"/>
              <w:right w:val="single" w:sz="4" w:space="0" w:color="auto"/>
            </w:tcBorders>
            <w:vAlign w:val="center"/>
            <w:hideMark/>
          </w:tcPr>
          <w:p w14:paraId="78C3CCAC" w14:textId="77777777" w:rsidR="002D49B0" w:rsidRPr="00083739" w:rsidRDefault="002D49B0">
            <w:pPr>
              <w:spacing w:after="0" w:line="240" w:lineRule="auto"/>
              <w:rPr>
                <w:rFonts w:ascii="Times New Roman" w:eastAsia="Times New Roman" w:hAnsi="Times New Roman" w:cs="Times New Roman"/>
                <w:b/>
                <w:noProof/>
                <w:sz w:val="18"/>
                <w:szCs w:val="18"/>
                <w:lang w:val="sk-SK"/>
              </w:rPr>
            </w:pPr>
          </w:p>
        </w:tc>
        <w:tc>
          <w:tcPr>
            <w:tcW w:w="1832" w:type="dxa"/>
            <w:vMerge/>
            <w:tcBorders>
              <w:top w:val="single" w:sz="4" w:space="0" w:color="auto"/>
              <w:left w:val="single" w:sz="4" w:space="0" w:color="auto"/>
              <w:bottom w:val="single" w:sz="4" w:space="0" w:color="auto"/>
              <w:right w:val="single" w:sz="4" w:space="0" w:color="auto"/>
            </w:tcBorders>
            <w:vAlign w:val="center"/>
            <w:hideMark/>
          </w:tcPr>
          <w:p w14:paraId="0A8FD79A" w14:textId="77777777" w:rsidR="002D49B0" w:rsidRPr="00083739" w:rsidRDefault="002D49B0">
            <w:pPr>
              <w:spacing w:after="0" w:line="240" w:lineRule="auto"/>
              <w:rPr>
                <w:rFonts w:ascii="Times New Roman" w:eastAsia="Times New Roman" w:hAnsi="Times New Roman" w:cs="Times New Roman"/>
                <w:b/>
                <w:noProof/>
                <w:sz w:val="18"/>
                <w:szCs w:val="18"/>
                <w:lang w:val="sk-SK"/>
              </w:rPr>
            </w:pPr>
          </w:p>
        </w:tc>
        <w:tc>
          <w:tcPr>
            <w:tcW w:w="1589" w:type="dxa"/>
            <w:vMerge/>
            <w:tcBorders>
              <w:top w:val="single" w:sz="4" w:space="0" w:color="auto"/>
              <w:left w:val="single" w:sz="4" w:space="0" w:color="auto"/>
              <w:bottom w:val="single" w:sz="4" w:space="0" w:color="auto"/>
              <w:right w:val="single" w:sz="4" w:space="0" w:color="auto"/>
            </w:tcBorders>
            <w:vAlign w:val="center"/>
            <w:hideMark/>
          </w:tcPr>
          <w:p w14:paraId="4B4EDED3" w14:textId="77777777" w:rsidR="002D49B0" w:rsidRPr="00083739" w:rsidRDefault="002D49B0">
            <w:pPr>
              <w:spacing w:after="0" w:line="240" w:lineRule="auto"/>
              <w:rPr>
                <w:rFonts w:ascii="Times New Roman" w:eastAsia="Times New Roman" w:hAnsi="Times New Roman" w:cs="Times New Roman"/>
                <w:b/>
                <w:noProof/>
                <w:sz w:val="18"/>
                <w:szCs w:val="18"/>
                <w:lang w:val="sk-SK"/>
              </w:rPr>
            </w:pPr>
          </w:p>
        </w:tc>
        <w:tc>
          <w:tcPr>
            <w:tcW w:w="1366" w:type="dxa"/>
            <w:vMerge/>
            <w:tcBorders>
              <w:top w:val="single" w:sz="4" w:space="0" w:color="auto"/>
              <w:left w:val="single" w:sz="4" w:space="0" w:color="auto"/>
              <w:bottom w:val="single" w:sz="4" w:space="0" w:color="auto"/>
              <w:right w:val="single" w:sz="4" w:space="0" w:color="auto"/>
            </w:tcBorders>
            <w:vAlign w:val="center"/>
            <w:hideMark/>
          </w:tcPr>
          <w:p w14:paraId="2BC7211E" w14:textId="77777777" w:rsidR="002D49B0" w:rsidRPr="00083739" w:rsidRDefault="002D49B0">
            <w:pPr>
              <w:spacing w:after="0" w:line="240" w:lineRule="auto"/>
              <w:rPr>
                <w:rFonts w:ascii="Times New Roman" w:eastAsia="Times New Roman" w:hAnsi="Times New Roman" w:cs="Times New Roman"/>
                <w:b/>
                <w:noProof/>
                <w:sz w:val="18"/>
                <w:szCs w:val="18"/>
                <w:lang w:val="sk-SK"/>
              </w:rPr>
            </w:pPr>
          </w:p>
        </w:tc>
        <w:tc>
          <w:tcPr>
            <w:tcW w:w="1704" w:type="dxa"/>
            <w:vMerge/>
            <w:tcBorders>
              <w:top w:val="single" w:sz="4" w:space="0" w:color="auto"/>
              <w:left w:val="single" w:sz="4" w:space="0" w:color="auto"/>
              <w:bottom w:val="single" w:sz="4" w:space="0" w:color="auto"/>
              <w:right w:val="single" w:sz="4" w:space="0" w:color="auto"/>
            </w:tcBorders>
            <w:vAlign w:val="center"/>
            <w:hideMark/>
          </w:tcPr>
          <w:p w14:paraId="114E34EC" w14:textId="77777777" w:rsidR="002D49B0" w:rsidRPr="00083739" w:rsidRDefault="002D49B0">
            <w:pPr>
              <w:spacing w:after="0" w:line="240" w:lineRule="auto"/>
              <w:rPr>
                <w:rFonts w:ascii="Times New Roman" w:eastAsia="Times New Roman" w:hAnsi="Times New Roman" w:cs="Times New Roman"/>
                <w:b/>
                <w:noProof/>
                <w:sz w:val="18"/>
                <w:szCs w:val="18"/>
                <w:lang w:val="sk-SK"/>
              </w:rPr>
            </w:pPr>
          </w:p>
        </w:tc>
        <w:tc>
          <w:tcPr>
            <w:tcW w:w="899"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0050FDFB"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Merná jednotka</w:t>
            </w:r>
          </w:p>
        </w:tc>
        <w:tc>
          <w:tcPr>
            <w:tcW w:w="857" w:type="dxa"/>
            <w:tcBorders>
              <w:top w:val="single" w:sz="4" w:space="0" w:color="auto"/>
              <w:left w:val="nil"/>
              <w:bottom w:val="single" w:sz="4" w:space="0" w:color="auto"/>
              <w:right w:val="single" w:sz="4" w:space="0" w:color="auto"/>
            </w:tcBorders>
            <w:shd w:val="clear" w:color="auto" w:fill="BDD7EE"/>
            <w:vAlign w:val="center"/>
            <w:hideMark/>
          </w:tcPr>
          <w:p w14:paraId="3E2C3B29"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 xml:space="preserve">Základná </w:t>
            </w:r>
          </w:p>
        </w:tc>
        <w:tc>
          <w:tcPr>
            <w:tcW w:w="587" w:type="dxa"/>
            <w:tcBorders>
              <w:top w:val="single" w:sz="4" w:space="0" w:color="auto"/>
              <w:left w:val="nil"/>
              <w:bottom w:val="single" w:sz="4" w:space="0" w:color="auto"/>
              <w:right w:val="single" w:sz="4" w:space="0" w:color="auto"/>
            </w:tcBorders>
            <w:shd w:val="clear" w:color="auto" w:fill="BDD7EE"/>
            <w:vAlign w:val="center"/>
            <w:hideMark/>
          </w:tcPr>
          <w:p w14:paraId="41E6577B"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 xml:space="preserve">Cieľ </w:t>
            </w:r>
          </w:p>
        </w:tc>
        <w:tc>
          <w:tcPr>
            <w:tcW w:w="846" w:type="dxa"/>
            <w:tcBorders>
              <w:top w:val="single" w:sz="4" w:space="0" w:color="auto"/>
              <w:left w:val="nil"/>
              <w:bottom w:val="single" w:sz="4" w:space="0" w:color="auto"/>
              <w:right w:val="single" w:sz="4" w:space="0" w:color="auto"/>
            </w:tcBorders>
            <w:shd w:val="clear" w:color="auto" w:fill="BDD7EE"/>
            <w:vAlign w:val="center"/>
            <w:hideMark/>
          </w:tcPr>
          <w:p w14:paraId="3CB6EBC4"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Štvrtina</w:t>
            </w:r>
          </w:p>
        </w:tc>
        <w:tc>
          <w:tcPr>
            <w:tcW w:w="687" w:type="dxa"/>
            <w:tcBorders>
              <w:top w:val="single" w:sz="4" w:space="0" w:color="auto"/>
              <w:left w:val="nil"/>
              <w:bottom w:val="single" w:sz="4" w:space="0" w:color="auto"/>
              <w:right w:val="single" w:sz="4" w:space="0" w:color="auto"/>
            </w:tcBorders>
            <w:shd w:val="clear" w:color="auto" w:fill="BDD7EE"/>
            <w:vAlign w:val="center"/>
            <w:hideMark/>
          </w:tcPr>
          <w:p w14:paraId="507F8F20"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Rok</w:t>
            </w:r>
          </w:p>
        </w:tc>
        <w:tc>
          <w:tcPr>
            <w:tcW w:w="4332" w:type="dxa"/>
            <w:vMerge/>
            <w:tcBorders>
              <w:top w:val="single" w:sz="4" w:space="0" w:color="auto"/>
              <w:bottom w:val="single" w:sz="4" w:space="0" w:color="auto"/>
              <w:right w:val="single" w:sz="4" w:space="0" w:color="auto"/>
            </w:tcBorders>
            <w:vAlign w:val="center"/>
            <w:hideMark/>
          </w:tcPr>
          <w:p w14:paraId="48A29F0F" w14:textId="77777777" w:rsidR="002D49B0" w:rsidRPr="00083739" w:rsidRDefault="002D49B0">
            <w:pPr>
              <w:spacing w:after="0" w:line="240" w:lineRule="auto"/>
              <w:rPr>
                <w:rFonts w:ascii="Times New Roman" w:eastAsia="Times New Roman" w:hAnsi="Times New Roman" w:cs="Times New Roman"/>
                <w:b/>
                <w:noProof/>
                <w:sz w:val="18"/>
                <w:szCs w:val="18"/>
                <w:lang w:val="sk-SK"/>
              </w:rPr>
            </w:pPr>
          </w:p>
        </w:tc>
      </w:tr>
      <w:tr w:rsidR="002D49B0" w:rsidRPr="00083739" w14:paraId="278178AF" w14:textId="77777777">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640B83A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310</w:t>
            </w:r>
          </w:p>
        </w:tc>
        <w:tc>
          <w:tcPr>
            <w:tcW w:w="1832" w:type="dxa"/>
            <w:tcBorders>
              <w:top w:val="single" w:sz="4" w:space="0" w:color="auto"/>
              <w:left w:val="nil"/>
              <w:bottom w:val="single" w:sz="4" w:space="0" w:color="auto"/>
              <w:right w:val="single" w:sz="4" w:space="0" w:color="auto"/>
            </w:tcBorders>
            <w:shd w:val="clear" w:color="auto" w:fill="C6EFCE"/>
            <w:noWrap/>
          </w:tcPr>
          <w:p w14:paraId="28C7BFC5" w14:textId="7C845556"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17 – 4.6. Modernizácia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zlepšenie odolnosti kľúčových hospodárskych odvetví – 16626_Hospodárska transformácia</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sektore poľnohospodárstva</w:t>
            </w:r>
          </w:p>
        </w:tc>
        <w:tc>
          <w:tcPr>
            <w:tcW w:w="1589" w:type="dxa"/>
            <w:tcBorders>
              <w:top w:val="single" w:sz="4" w:space="0" w:color="auto"/>
              <w:left w:val="nil"/>
              <w:bottom w:val="single" w:sz="4" w:space="0" w:color="auto"/>
              <w:right w:val="single" w:sz="4" w:space="0" w:color="auto"/>
            </w:tcBorders>
            <w:shd w:val="clear" w:color="auto" w:fill="C6EFCE"/>
            <w:noWrap/>
          </w:tcPr>
          <w:p w14:paraId="1214B15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66" w:type="dxa"/>
            <w:tcBorders>
              <w:top w:val="single" w:sz="4" w:space="0" w:color="auto"/>
              <w:left w:val="nil"/>
              <w:bottom w:val="single" w:sz="4" w:space="0" w:color="auto"/>
              <w:right w:val="single" w:sz="4" w:space="0" w:color="auto"/>
            </w:tcBorders>
            <w:shd w:val="clear" w:color="auto" w:fill="C6EFCE"/>
            <w:noWrap/>
          </w:tcPr>
          <w:p w14:paraId="3EE37EF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Hospodárska transformácia poľnohospodárstva: Spustenie </w:t>
            </w:r>
            <w:r w:rsidRPr="00083739">
              <w:rPr>
                <w:rFonts w:ascii="Times New Roman" w:hAnsi="Times New Roman" w:cs="Times New Roman"/>
                <w:noProof/>
                <w:lang w:val="sk-SK"/>
              </w:rPr>
              <w:t>programu</w:t>
            </w:r>
          </w:p>
        </w:tc>
        <w:tc>
          <w:tcPr>
            <w:tcW w:w="1704" w:type="dxa"/>
            <w:tcBorders>
              <w:top w:val="single" w:sz="4" w:space="0" w:color="auto"/>
              <w:left w:val="nil"/>
              <w:bottom w:val="single" w:sz="4" w:space="0" w:color="auto"/>
              <w:right w:val="single" w:sz="4" w:space="0" w:color="auto"/>
            </w:tcBorders>
            <w:shd w:val="clear" w:color="auto" w:fill="C6EFCE"/>
            <w:noWrap/>
          </w:tcPr>
          <w:p w14:paraId="3889A976" w14:textId="5E7B7574" w:rsidR="002D49B0" w:rsidRPr="00083739" w:rsidRDefault="00BF4125">
            <w:pPr>
              <w:pStyle w:val="P68B1DB1-Normal9"/>
              <w:spacing w:after="0" w:line="240" w:lineRule="auto"/>
              <w:rPr>
                <w:rFonts w:ascii="Times New Roman" w:hAnsi="Times New Roman" w:cs="Times New Roman"/>
                <w:noProof/>
                <w:szCs w:val="18"/>
                <w:lang w:val="sk-SK"/>
              </w:rPr>
            </w:pPr>
            <w:r w:rsidRPr="00083739">
              <w:rPr>
                <w:rFonts w:ascii="Times New Roman" w:hAnsi="Times New Roman" w:cs="Times New Roman"/>
                <w:noProof/>
                <w:lang w:val="sk-SK"/>
              </w:rPr>
              <w:t>Podpísaná zmluva</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implementujúcim partnerom</w:t>
            </w:r>
          </w:p>
          <w:p w14:paraId="1436D967" w14:textId="77777777" w:rsidR="002D49B0" w:rsidRPr="00083739" w:rsidRDefault="002D49B0">
            <w:pPr>
              <w:spacing w:after="0" w:line="240" w:lineRule="auto"/>
              <w:rPr>
                <w:rFonts w:ascii="Times New Roman" w:hAnsi="Times New Roman" w:cs="Times New Roman"/>
                <w:noProof/>
                <w:color w:val="006100"/>
                <w:sz w:val="18"/>
                <w:szCs w:val="18"/>
                <w:lang w:val="sk-SK"/>
              </w:rPr>
            </w:pPr>
          </w:p>
          <w:p w14:paraId="173F0D7A"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99" w:type="dxa"/>
            <w:tcBorders>
              <w:top w:val="single" w:sz="4" w:space="0" w:color="auto"/>
              <w:left w:val="nil"/>
              <w:bottom w:val="single" w:sz="4" w:space="0" w:color="auto"/>
              <w:right w:val="single" w:sz="4" w:space="0" w:color="auto"/>
            </w:tcBorders>
            <w:shd w:val="clear" w:color="auto" w:fill="C6EFCE"/>
            <w:noWrap/>
          </w:tcPr>
          <w:p w14:paraId="68F4B89D"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nil"/>
              <w:left w:val="nil"/>
              <w:bottom w:val="single" w:sz="4" w:space="0" w:color="auto"/>
              <w:right w:val="single" w:sz="4" w:space="0" w:color="auto"/>
            </w:tcBorders>
            <w:shd w:val="clear" w:color="auto" w:fill="C6EFCE"/>
            <w:noWrap/>
          </w:tcPr>
          <w:p w14:paraId="0F5B6130"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587" w:type="dxa"/>
            <w:tcBorders>
              <w:top w:val="nil"/>
              <w:left w:val="nil"/>
              <w:bottom w:val="single" w:sz="4" w:space="0" w:color="auto"/>
              <w:right w:val="single" w:sz="4" w:space="0" w:color="auto"/>
            </w:tcBorders>
            <w:shd w:val="clear" w:color="auto" w:fill="C6EFCE"/>
            <w:noWrap/>
          </w:tcPr>
          <w:p w14:paraId="3FAC3578"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6" w:type="dxa"/>
            <w:tcBorders>
              <w:top w:val="nil"/>
              <w:left w:val="nil"/>
              <w:bottom w:val="single" w:sz="4" w:space="0" w:color="auto"/>
              <w:right w:val="single" w:sz="4" w:space="0" w:color="auto"/>
            </w:tcBorders>
            <w:shd w:val="clear" w:color="auto" w:fill="C6EFCE"/>
            <w:noWrap/>
          </w:tcPr>
          <w:p w14:paraId="4C8C1DE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PRVÝ ŠTVRŤROK</w:t>
            </w:r>
          </w:p>
        </w:tc>
        <w:tc>
          <w:tcPr>
            <w:tcW w:w="687" w:type="dxa"/>
            <w:tcBorders>
              <w:top w:val="nil"/>
              <w:left w:val="nil"/>
              <w:bottom w:val="single" w:sz="4" w:space="0" w:color="auto"/>
              <w:right w:val="single" w:sz="4" w:space="0" w:color="auto"/>
            </w:tcBorders>
            <w:shd w:val="clear" w:color="auto" w:fill="C6EFCE"/>
            <w:noWrap/>
          </w:tcPr>
          <w:p w14:paraId="3664E51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2022</w:t>
            </w:r>
          </w:p>
        </w:tc>
        <w:tc>
          <w:tcPr>
            <w:tcW w:w="4332" w:type="dxa"/>
            <w:tcBorders>
              <w:top w:val="single" w:sz="4" w:space="0" w:color="auto"/>
              <w:left w:val="nil"/>
              <w:bottom w:val="single" w:sz="4" w:space="0" w:color="auto"/>
              <w:right w:val="single" w:sz="4" w:space="0" w:color="auto"/>
            </w:tcBorders>
            <w:shd w:val="clear" w:color="auto" w:fill="C6EFCE"/>
            <w:noWrap/>
          </w:tcPr>
          <w:p w14:paraId="57B47A17" w14:textId="77777777" w:rsidR="002D49B0" w:rsidRPr="00083739" w:rsidRDefault="00BF4125">
            <w:pPr>
              <w:pStyle w:val="P68B1DB1-Normal9"/>
              <w:spacing w:after="0" w:line="240" w:lineRule="auto"/>
              <w:rPr>
                <w:rFonts w:ascii="Times New Roman" w:hAnsi="Times New Roman" w:cs="Times New Roman"/>
                <w:noProof/>
                <w:szCs w:val="18"/>
                <w:lang w:val="sk-SK"/>
              </w:rPr>
            </w:pPr>
            <w:r w:rsidRPr="00083739">
              <w:rPr>
                <w:rFonts w:ascii="Times New Roman" w:hAnsi="Times New Roman" w:cs="Times New Roman"/>
                <w:noProof/>
                <w:lang w:val="sk-SK"/>
              </w:rPr>
              <w:t>Vyhlásenie výziev na hospodársku transformáciu poľnohospodárskeho sektora:</w:t>
            </w:r>
          </w:p>
          <w:p w14:paraId="41BCB80C" w14:textId="33A28534" w:rsidR="002D49B0" w:rsidRPr="00083739" w:rsidRDefault="00BF4125">
            <w:pPr>
              <w:pStyle w:val="P68B1DB1-Normal9"/>
              <w:spacing w:after="0" w:line="240" w:lineRule="auto"/>
              <w:rPr>
                <w:rFonts w:ascii="Times New Roman" w:hAnsi="Times New Roman" w:cs="Times New Roman"/>
                <w:noProof/>
                <w:szCs w:val="18"/>
                <w:lang w:val="sk-SK"/>
              </w:rPr>
            </w:pPr>
            <w:r w:rsidRPr="00083739">
              <w:rPr>
                <w:rFonts w:ascii="Times New Roman" w:hAnsi="Times New Roman" w:cs="Times New Roman"/>
                <w:noProof/>
                <w:lang w:val="sk-SK"/>
              </w:rPr>
              <w:t>Súťažné výzvy na predkladanie návrhov</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 xml:space="preserve">referenčným rámcom vrátane kritérií oprávnenosti, ktorými sa </w:t>
            </w:r>
            <w:r w:rsidRPr="00083739">
              <w:rPr>
                <w:rFonts w:ascii="Times New Roman" w:hAnsi="Times New Roman" w:cs="Times New Roman"/>
                <w:noProof/>
                <w:lang w:val="sk-SK"/>
              </w:rPr>
              <w:t>zabezpečuje, aby vybrané projekty boli</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súlade</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technickými usmerneniami</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zásade „výrazne nenarušiť“ (2021/C58/01) prostredníctvom použitia zoznamu vylúčených subjektov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požiadavky súladu</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príslušnými právnymi predpismi EÚ</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vnútroštátnymi právnymi pr</w:t>
            </w:r>
            <w:r w:rsidRPr="00083739">
              <w:rPr>
                <w:rFonts w:ascii="Times New Roman" w:hAnsi="Times New Roman" w:cs="Times New Roman"/>
                <w:noProof/>
                <w:lang w:val="sk-SK"/>
              </w:rPr>
              <w:t>edpismi</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životného prostredia.</w:t>
            </w:r>
          </w:p>
          <w:p w14:paraId="7FED6937" w14:textId="77777777" w:rsidR="002D49B0" w:rsidRPr="00083739" w:rsidRDefault="002D49B0">
            <w:pPr>
              <w:spacing w:after="0" w:line="240" w:lineRule="auto"/>
              <w:rPr>
                <w:rFonts w:ascii="Times New Roman" w:hAnsi="Times New Roman" w:cs="Times New Roman"/>
                <w:noProof/>
                <w:color w:val="006100"/>
                <w:sz w:val="18"/>
                <w:szCs w:val="18"/>
                <w:lang w:val="sk-SK"/>
              </w:rPr>
            </w:pPr>
          </w:p>
          <w:p w14:paraId="51EA6069" w14:textId="125E4E12"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Súťažné výzvy zahŕňajú tieto opatrenia: akcie týkajúce sa energetickej modernizácie výrobných jednotiek, budov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mechanického vybavenia</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nízkou spotrebou energie, energetickej modernizácie zariadení cestovného ruch</w:t>
            </w:r>
            <w:r w:rsidRPr="00083739">
              <w:rPr>
                <w:rFonts w:ascii="Times New Roman" w:hAnsi="Times New Roman" w:cs="Times New Roman"/>
                <w:noProof/>
                <w:lang w:val="sk-SK"/>
              </w:rPr>
              <w:t>u (budov), ekologických dopravných prostriedkov (elektrické automobily, bicykle atď.), podpory výrobných procesov šetrných</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životnému prostrediu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efektívneho využívania zdrojov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MSP, energie</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obnoviteľných zdrojov (solárna), adaptačných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preventívnych</w:t>
            </w:r>
            <w:r w:rsidRPr="00083739">
              <w:rPr>
                <w:rFonts w:ascii="Times New Roman" w:hAnsi="Times New Roman" w:cs="Times New Roman"/>
                <w:noProof/>
                <w:lang w:val="sk-SK"/>
              </w:rPr>
              <w:t xml:space="preserve"> opatrení na zmenu klímy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riadenia rizík súvisiacich</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klímou, ochrany biodiverzity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prírodného dedičstva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zdrojov.</w:t>
            </w:r>
          </w:p>
        </w:tc>
      </w:tr>
      <w:tr w:rsidR="002D49B0" w:rsidRPr="00083739" w14:paraId="361EBB4F" w14:textId="77777777">
        <w:trPr>
          <w:trHeight w:val="309"/>
          <w:jc w:val="center"/>
        </w:trPr>
        <w:tc>
          <w:tcPr>
            <w:tcW w:w="1252" w:type="dxa"/>
            <w:tcBorders>
              <w:top w:val="nil"/>
              <w:left w:val="single" w:sz="4" w:space="0" w:color="auto"/>
              <w:bottom w:val="single" w:sz="4" w:space="0" w:color="auto"/>
              <w:right w:val="single" w:sz="4" w:space="0" w:color="auto"/>
            </w:tcBorders>
            <w:shd w:val="clear" w:color="auto" w:fill="C6EFCE"/>
            <w:noWrap/>
            <w:hideMark/>
          </w:tcPr>
          <w:p w14:paraId="2CFF919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311</w:t>
            </w:r>
          </w:p>
        </w:tc>
        <w:tc>
          <w:tcPr>
            <w:tcW w:w="1832" w:type="dxa"/>
            <w:tcBorders>
              <w:top w:val="nil"/>
              <w:left w:val="nil"/>
              <w:bottom w:val="single" w:sz="4" w:space="0" w:color="auto"/>
              <w:right w:val="single" w:sz="4" w:space="0" w:color="auto"/>
            </w:tcBorders>
            <w:shd w:val="clear" w:color="auto" w:fill="C6EFCE"/>
            <w:noWrap/>
            <w:hideMark/>
          </w:tcPr>
          <w:p w14:paraId="63801FCC" w14:textId="76E9316E"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17 – 4.6. Modernizácia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zlepšenie odolnosti kľúčových hospodárskych odvetví – 16653_Digitálna transformácia agropotravinárskeho sektora </w:t>
            </w:r>
          </w:p>
        </w:tc>
        <w:tc>
          <w:tcPr>
            <w:tcW w:w="1589" w:type="dxa"/>
            <w:tcBorders>
              <w:top w:val="nil"/>
              <w:left w:val="nil"/>
              <w:bottom w:val="single" w:sz="4" w:space="0" w:color="auto"/>
              <w:right w:val="single" w:sz="4" w:space="0" w:color="auto"/>
            </w:tcBorders>
            <w:shd w:val="clear" w:color="auto" w:fill="C6EFCE"/>
            <w:noWrap/>
            <w:hideMark/>
          </w:tcPr>
          <w:p w14:paraId="4550B0D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Míľnik</w:t>
            </w:r>
          </w:p>
        </w:tc>
        <w:tc>
          <w:tcPr>
            <w:tcW w:w="1366" w:type="dxa"/>
            <w:tcBorders>
              <w:top w:val="nil"/>
              <w:left w:val="nil"/>
              <w:bottom w:val="single" w:sz="4" w:space="0" w:color="auto"/>
              <w:right w:val="single" w:sz="4" w:space="0" w:color="auto"/>
            </w:tcBorders>
            <w:shd w:val="clear" w:color="auto" w:fill="C6EFCE"/>
            <w:noWrap/>
            <w:hideMark/>
          </w:tcPr>
          <w:p w14:paraId="439C4EB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Vyhlásenie výzvy na digitálnu transformáciu agropotravinárskeho sektora </w:t>
            </w:r>
          </w:p>
        </w:tc>
        <w:tc>
          <w:tcPr>
            <w:tcW w:w="1704" w:type="dxa"/>
            <w:tcBorders>
              <w:top w:val="nil"/>
              <w:left w:val="nil"/>
              <w:bottom w:val="single" w:sz="4" w:space="0" w:color="auto"/>
              <w:right w:val="single" w:sz="4" w:space="0" w:color="auto"/>
            </w:tcBorders>
            <w:shd w:val="clear" w:color="auto" w:fill="C6EFCE"/>
            <w:noWrap/>
            <w:hideMark/>
          </w:tcPr>
          <w:p w14:paraId="5E84A7E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Vyhlásenie výzvy na podávanie prihlášok </w:t>
            </w:r>
          </w:p>
        </w:tc>
        <w:tc>
          <w:tcPr>
            <w:tcW w:w="899" w:type="dxa"/>
            <w:tcBorders>
              <w:top w:val="nil"/>
              <w:left w:val="nil"/>
              <w:bottom w:val="single" w:sz="4" w:space="0" w:color="auto"/>
              <w:right w:val="single" w:sz="4" w:space="0" w:color="auto"/>
            </w:tcBorders>
            <w:shd w:val="clear" w:color="auto" w:fill="C6EFCE"/>
            <w:noWrap/>
          </w:tcPr>
          <w:p w14:paraId="222B536B"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nil"/>
              <w:left w:val="nil"/>
              <w:bottom w:val="single" w:sz="4" w:space="0" w:color="auto"/>
              <w:right w:val="single" w:sz="4" w:space="0" w:color="auto"/>
            </w:tcBorders>
            <w:shd w:val="clear" w:color="auto" w:fill="C6EFCE"/>
            <w:noWrap/>
          </w:tcPr>
          <w:p w14:paraId="732BF04E"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587" w:type="dxa"/>
            <w:tcBorders>
              <w:top w:val="nil"/>
              <w:left w:val="nil"/>
              <w:bottom w:val="single" w:sz="4" w:space="0" w:color="auto"/>
              <w:right w:val="single" w:sz="4" w:space="0" w:color="auto"/>
            </w:tcBorders>
            <w:shd w:val="clear" w:color="auto" w:fill="C6EFCE"/>
            <w:noWrap/>
          </w:tcPr>
          <w:p w14:paraId="77AEE8A1"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6" w:type="dxa"/>
            <w:tcBorders>
              <w:top w:val="nil"/>
              <w:left w:val="nil"/>
              <w:bottom w:val="single" w:sz="4" w:space="0" w:color="auto"/>
              <w:right w:val="single" w:sz="4" w:space="0" w:color="auto"/>
            </w:tcBorders>
            <w:shd w:val="clear" w:color="auto" w:fill="C6EFCE"/>
            <w:noWrap/>
            <w:hideMark/>
          </w:tcPr>
          <w:p w14:paraId="0C1F51EA" w14:textId="61E108D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TRETÍ ŠTVRŤROK</w:t>
            </w:r>
          </w:p>
        </w:tc>
        <w:tc>
          <w:tcPr>
            <w:tcW w:w="687" w:type="dxa"/>
            <w:tcBorders>
              <w:top w:val="nil"/>
              <w:left w:val="nil"/>
              <w:bottom w:val="single" w:sz="4" w:space="0" w:color="auto"/>
              <w:right w:val="single" w:sz="4" w:space="0" w:color="auto"/>
            </w:tcBorders>
            <w:shd w:val="clear" w:color="auto" w:fill="C6EFCE"/>
            <w:noWrap/>
            <w:hideMark/>
          </w:tcPr>
          <w:p w14:paraId="2896475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w:t>
            </w:r>
            <w:r w:rsidRPr="00083739">
              <w:rPr>
                <w:rFonts w:ascii="Times New Roman" w:hAnsi="Times New Roman" w:cs="Times New Roman"/>
                <w:noProof/>
                <w:lang w:val="sk-SK"/>
              </w:rPr>
              <w:t>2 </w:t>
            </w:r>
          </w:p>
        </w:tc>
        <w:tc>
          <w:tcPr>
            <w:tcW w:w="4332" w:type="dxa"/>
            <w:tcBorders>
              <w:top w:val="nil"/>
              <w:left w:val="nil"/>
              <w:bottom w:val="single" w:sz="4" w:space="0" w:color="auto"/>
              <w:right w:val="single" w:sz="4" w:space="0" w:color="auto"/>
            </w:tcBorders>
            <w:shd w:val="clear" w:color="auto" w:fill="C6EFCE"/>
            <w:noWrap/>
            <w:hideMark/>
          </w:tcPr>
          <w:p w14:paraId="283C8DF5" w14:textId="64B2BE6D"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Vyhlásenie výzvy na projekt digitálnej transformácie na rozvoj rozsiahlej otvorenej digitálnej poľnohospodárskej infraštruktúry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kognitívneho poľnohospodárskeho prostredia pre výrobný proces</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riadenie prírodných zdrojov.</w:t>
            </w:r>
          </w:p>
        </w:tc>
      </w:tr>
      <w:tr w:rsidR="002D49B0" w:rsidRPr="00083739" w14:paraId="001E4AD8" w14:textId="77777777">
        <w:trPr>
          <w:trHeight w:val="309"/>
          <w:jc w:val="center"/>
        </w:trPr>
        <w:tc>
          <w:tcPr>
            <w:tcW w:w="1252" w:type="dxa"/>
            <w:tcBorders>
              <w:top w:val="nil"/>
              <w:left w:val="single" w:sz="4" w:space="0" w:color="auto"/>
              <w:bottom w:val="single" w:sz="4" w:space="0" w:color="auto"/>
              <w:right w:val="single" w:sz="4" w:space="0" w:color="auto"/>
            </w:tcBorders>
            <w:shd w:val="clear" w:color="auto" w:fill="C6EFCE"/>
            <w:noWrap/>
            <w:hideMark/>
          </w:tcPr>
          <w:p w14:paraId="236725C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313</w:t>
            </w:r>
          </w:p>
        </w:tc>
        <w:tc>
          <w:tcPr>
            <w:tcW w:w="1832" w:type="dxa"/>
            <w:tcBorders>
              <w:top w:val="nil"/>
              <w:left w:val="nil"/>
              <w:bottom w:val="single" w:sz="4" w:space="0" w:color="auto"/>
              <w:right w:val="single" w:sz="4" w:space="0" w:color="auto"/>
            </w:tcBorders>
            <w:shd w:val="clear" w:color="auto" w:fill="C6EFCE"/>
            <w:noWrap/>
            <w:hideMark/>
          </w:tcPr>
          <w:p w14:paraId="47221DD6" w14:textId="14B5FFB0"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17 – 4.6. Modernizácia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zlepšenie odolnosti kľúčových hospodárskych odvetví – 16653_Digitálna transformácia agropotravinárskeho sektora</w:t>
            </w:r>
          </w:p>
        </w:tc>
        <w:tc>
          <w:tcPr>
            <w:tcW w:w="1589" w:type="dxa"/>
            <w:tcBorders>
              <w:top w:val="nil"/>
              <w:left w:val="nil"/>
              <w:bottom w:val="single" w:sz="4" w:space="0" w:color="auto"/>
              <w:right w:val="single" w:sz="4" w:space="0" w:color="auto"/>
            </w:tcBorders>
            <w:shd w:val="clear" w:color="auto" w:fill="C6EFCE"/>
            <w:noWrap/>
            <w:hideMark/>
          </w:tcPr>
          <w:p w14:paraId="02DF77F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66" w:type="dxa"/>
            <w:tcBorders>
              <w:top w:val="nil"/>
              <w:left w:val="nil"/>
              <w:bottom w:val="single" w:sz="4" w:space="0" w:color="auto"/>
              <w:right w:val="single" w:sz="4" w:space="0" w:color="auto"/>
            </w:tcBorders>
            <w:shd w:val="clear" w:color="auto" w:fill="C6EFCE"/>
            <w:noWrap/>
            <w:hideMark/>
          </w:tcPr>
          <w:p w14:paraId="5209A3F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projektu digitálnej transformácie poľnohospodárstva</w:t>
            </w:r>
          </w:p>
        </w:tc>
        <w:tc>
          <w:tcPr>
            <w:tcW w:w="1704" w:type="dxa"/>
            <w:tcBorders>
              <w:top w:val="nil"/>
              <w:left w:val="nil"/>
              <w:bottom w:val="single" w:sz="4" w:space="0" w:color="auto"/>
              <w:right w:val="single" w:sz="4" w:space="0" w:color="auto"/>
            </w:tcBorders>
            <w:shd w:val="clear" w:color="auto" w:fill="C6EFCE"/>
            <w:noWrap/>
            <w:hideMark/>
          </w:tcPr>
          <w:p w14:paraId="56E4B3F1" w14:textId="7D524BAF"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Správa</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 xml:space="preserve">dokončení. Digitálne poľnohospodárske digitálne služby </w:t>
            </w:r>
            <w:r w:rsidRPr="00083739">
              <w:rPr>
                <w:rFonts w:ascii="Times New Roman" w:hAnsi="Times New Roman" w:cs="Times New Roman"/>
                <w:noProof/>
                <w:lang w:val="sk-SK"/>
              </w:rPr>
              <w:t>orientované navonok začlenené do platformy Easy Agro Expo.</w:t>
            </w:r>
          </w:p>
        </w:tc>
        <w:tc>
          <w:tcPr>
            <w:tcW w:w="899" w:type="dxa"/>
            <w:tcBorders>
              <w:top w:val="nil"/>
              <w:left w:val="nil"/>
              <w:bottom w:val="single" w:sz="4" w:space="0" w:color="auto"/>
              <w:right w:val="single" w:sz="4" w:space="0" w:color="auto"/>
            </w:tcBorders>
            <w:shd w:val="clear" w:color="auto" w:fill="C6EFCE"/>
            <w:noWrap/>
            <w:hideMark/>
          </w:tcPr>
          <w:p w14:paraId="1ED81AA4"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nil"/>
              <w:left w:val="nil"/>
              <w:bottom w:val="single" w:sz="4" w:space="0" w:color="auto"/>
              <w:right w:val="single" w:sz="4" w:space="0" w:color="auto"/>
            </w:tcBorders>
            <w:shd w:val="clear" w:color="auto" w:fill="C6EFCE"/>
            <w:noWrap/>
            <w:hideMark/>
          </w:tcPr>
          <w:p w14:paraId="6382C33E"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587" w:type="dxa"/>
            <w:tcBorders>
              <w:top w:val="nil"/>
              <w:left w:val="nil"/>
              <w:bottom w:val="single" w:sz="4" w:space="0" w:color="auto"/>
              <w:right w:val="single" w:sz="4" w:space="0" w:color="auto"/>
            </w:tcBorders>
            <w:shd w:val="clear" w:color="auto" w:fill="C6EFCE"/>
            <w:noWrap/>
            <w:hideMark/>
          </w:tcPr>
          <w:p w14:paraId="2A890E2C"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6" w:type="dxa"/>
            <w:tcBorders>
              <w:top w:val="nil"/>
              <w:left w:val="nil"/>
              <w:bottom w:val="single" w:sz="4" w:space="0" w:color="auto"/>
              <w:right w:val="single" w:sz="4" w:space="0" w:color="auto"/>
            </w:tcBorders>
            <w:shd w:val="clear" w:color="auto" w:fill="C6EFCE"/>
            <w:noWrap/>
            <w:hideMark/>
          </w:tcPr>
          <w:p w14:paraId="66F16FF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687" w:type="dxa"/>
            <w:tcBorders>
              <w:top w:val="nil"/>
              <w:left w:val="nil"/>
              <w:bottom w:val="single" w:sz="4" w:space="0" w:color="auto"/>
              <w:right w:val="single" w:sz="4" w:space="0" w:color="auto"/>
            </w:tcBorders>
            <w:shd w:val="clear" w:color="auto" w:fill="C6EFCE"/>
            <w:noWrap/>
            <w:hideMark/>
          </w:tcPr>
          <w:p w14:paraId="5762647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2025 </w:t>
            </w:r>
          </w:p>
        </w:tc>
        <w:tc>
          <w:tcPr>
            <w:tcW w:w="4332" w:type="dxa"/>
            <w:tcBorders>
              <w:top w:val="nil"/>
              <w:left w:val="nil"/>
              <w:bottom w:val="single" w:sz="4" w:space="0" w:color="auto"/>
              <w:right w:val="single" w:sz="4" w:space="0" w:color="auto"/>
            </w:tcBorders>
            <w:shd w:val="clear" w:color="auto" w:fill="C6EFCE"/>
            <w:noWrap/>
            <w:hideMark/>
          </w:tcPr>
          <w:p w14:paraId="74B46F4F" w14:textId="77777777" w:rsidR="002D49B0" w:rsidRPr="00083739" w:rsidRDefault="00BF4125">
            <w:pPr>
              <w:pStyle w:val="P68B1DB1-Normal9"/>
              <w:spacing w:after="0" w:line="240" w:lineRule="auto"/>
              <w:rPr>
                <w:rFonts w:ascii="Times New Roman" w:hAnsi="Times New Roman" w:cs="Times New Roman"/>
                <w:noProof/>
                <w:szCs w:val="18"/>
                <w:lang w:val="sk-SK"/>
              </w:rPr>
            </w:pPr>
            <w:r w:rsidRPr="00083739">
              <w:rPr>
                <w:rFonts w:ascii="Times New Roman" w:hAnsi="Times New Roman" w:cs="Times New Roman"/>
                <w:noProof/>
                <w:lang w:val="sk-SK"/>
              </w:rPr>
              <w:t>Dokončenie týchto dvoch zložiek:</w:t>
            </w:r>
          </w:p>
          <w:p w14:paraId="277A66B0" w14:textId="2ECCAD24" w:rsidR="00083739" w:rsidRPr="00083739" w:rsidRDefault="00BF4125">
            <w:pPr>
              <w:pStyle w:val="P68B1DB1-Normal9"/>
              <w:numPr>
                <w:ilvl w:val="0"/>
                <w:numId w:val="55"/>
              </w:numPr>
              <w:spacing w:before="120" w:after="0" w:line="259" w:lineRule="auto"/>
              <w:ind w:left="476"/>
              <w:contextualSpacing/>
              <w:jc w:val="both"/>
              <w:rPr>
                <w:rFonts w:ascii="Times New Roman" w:hAnsi="Times New Roman" w:cs="Times New Roman"/>
                <w:noProof/>
                <w:lang w:val="sk-SK"/>
              </w:rPr>
            </w:pPr>
            <w:r w:rsidRPr="00083739">
              <w:rPr>
                <w:rFonts w:ascii="Times New Roman" w:hAnsi="Times New Roman" w:cs="Times New Roman"/>
                <w:noProof/>
                <w:lang w:val="sk-SK"/>
              </w:rPr>
              <w:t>Digitálna transformácia poľnohospodárskeho sektora, ktorá zahŕňa rozvoj rozsiahlej otvorenej digitálnej poľnohospodárskej infraštruktúry</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cloudovou (edge computing) infraštruktúrou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rozsiahlymi spracovateľskými kapacitami údajov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multidisciplinárnych technológií pozorovania Zeme (satelitné</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letecké/dronové)</w:t>
            </w:r>
            <w:r w:rsidR="00083739" w:rsidRPr="00083739">
              <w:rPr>
                <w:rFonts w:ascii="Times New Roman" w:hAnsi="Times New Roman" w:cs="Times New Roman"/>
                <w:noProof/>
                <w:lang w:val="sk-SK"/>
              </w:rPr>
              <w:t>;</w:t>
            </w:r>
          </w:p>
          <w:p w14:paraId="493E8FC5" w14:textId="4AC82E69" w:rsidR="002D49B0" w:rsidRPr="00083739" w:rsidRDefault="00BF4125">
            <w:pPr>
              <w:pStyle w:val="P68B1DB1-Normal9"/>
              <w:numPr>
                <w:ilvl w:val="0"/>
                <w:numId w:val="55"/>
              </w:numPr>
              <w:spacing w:before="120" w:after="0" w:line="259" w:lineRule="auto"/>
              <w:ind w:left="476"/>
              <w:contextualSpacing/>
              <w:jc w:val="both"/>
              <w:rPr>
                <w:rFonts w:ascii="Times New Roman" w:eastAsia="Times New Roman" w:hAnsi="Times New Roman" w:cs="Times New Roman"/>
                <w:noProof/>
                <w:szCs w:val="18"/>
                <w:lang w:val="sk-SK"/>
              </w:rPr>
            </w:pPr>
            <w:r w:rsidRPr="00083739">
              <w:rPr>
                <w:rFonts w:ascii="Times New Roman" w:hAnsi="Times New Roman" w:cs="Times New Roman"/>
                <w:noProof/>
                <w:lang w:val="sk-SK"/>
              </w:rPr>
              <w:t>Poľnohospodárstvo orientované navonok, ktoré zahŕňa zlepšenie platformy Easy Agro</w:t>
            </w:r>
            <w:r w:rsidRPr="00083739">
              <w:rPr>
                <w:rFonts w:ascii="Times New Roman" w:hAnsi="Times New Roman" w:cs="Times New Roman"/>
                <w:noProof/>
                <w:lang w:val="sk-SK"/>
              </w:rPr>
              <w:t xml:space="preserve"> Expo na vydávanie vývozných osvedčení, vývoj systému správy údajov</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dovoze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obchode</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rámci Spoločenstva, vývoj systému podnikového spravodajstva pre dovoz</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vývoz</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modernizáciu portálu na propagáciu výrobkov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gréckych poľnohospodárskych podnikoch.</w:t>
            </w:r>
          </w:p>
        </w:tc>
      </w:tr>
      <w:tr w:rsidR="002D49B0" w:rsidRPr="00083739" w14:paraId="6EAA602F" w14:textId="77777777">
        <w:trPr>
          <w:trHeight w:val="309"/>
          <w:jc w:val="center"/>
        </w:trPr>
        <w:tc>
          <w:tcPr>
            <w:tcW w:w="1252" w:type="dxa"/>
            <w:tcBorders>
              <w:top w:val="nil"/>
              <w:left w:val="single" w:sz="4" w:space="0" w:color="auto"/>
              <w:bottom w:val="single" w:sz="4" w:space="0" w:color="auto"/>
              <w:right w:val="single" w:sz="4" w:space="0" w:color="auto"/>
            </w:tcBorders>
            <w:shd w:val="clear" w:color="auto" w:fill="C6EFCE"/>
            <w:noWrap/>
            <w:hideMark/>
          </w:tcPr>
          <w:p w14:paraId="2529DE8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314</w:t>
            </w:r>
          </w:p>
        </w:tc>
        <w:tc>
          <w:tcPr>
            <w:tcW w:w="1832" w:type="dxa"/>
            <w:tcBorders>
              <w:top w:val="nil"/>
              <w:left w:val="nil"/>
              <w:bottom w:val="single" w:sz="4" w:space="0" w:color="auto"/>
              <w:right w:val="single" w:sz="4" w:space="0" w:color="auto"/>
            </w:tcBorders>
            <w:shd w:val="clear" w:color="auto" w:fill="C6EFCE"/>
            <w:noWrap/>
            <w:hideMark/>
          </w:tcPr>
          <w:p w14:paraId="524A4193" w14:textId="090AEF3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17 – 4.6. Modernizácia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zlepšenie odolnosti kľúčových hospodárskych odvetví – 16626_Hospodárska transformácia</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sektore poľnohospodárstva</w:t>
            </w:r>
          </w:p>
        </w:tc>
        <w:tc>
          <w:tcPr>
            <w:tcW w:w="1589" w:type="dxa"/>
            <w:tcBorders>
              <w:top w:val="nil"/>
              <w:left w:val="nil"/>
              <w:bottom w:val="single" w:sz="4" w:space="0" w:color="auto"/>
              <w:right w:val="single" w:sz="4" w:space="0" w:color="auto"/>
            </w:tcBorders>
            <w:shd w:val="clear" w:color="auto" w:fill="C6EFCE"/>
            <w:noWrap/>
            <w:hideMark/>
          </w:tcPr>
          <w:p w14:paraId="05C2818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Míľnik</w:t>
            </w:r>
          </w:p>
        </w:tc>
        <w:tc>
          <w:tcPr>
            <w:tcW w:w="1366" w:type="dxa"/>
            <w:tcBorders>
              <w:top w:val="nil"/>
              <w:left w:val="nil"/>
              <w:bottom w:val="single" w:sz="4" w:space="0" w:color="auto"/>
              <w:right w:val="single" w:sz="4" w:space="0" w:color="auto"/>
            </w:tcBorders>
            <w:shd w:val="clear" w:color="auto" w:fill="C6EFCE"/>
            <w:noWrap/>
            <w:hideMark/>
          </w:tcPr>
          <w:p w14:paraId="11F05C8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hospodárskej transformácie poľnohospodárstva</w:t>
            </w:r>
          </w:p>
        </w:tc>
        <w:tc>
          <w:tcPr>
            <w:tcW w:w="1704" w:type="dxa"/>
            <w:tcBorders>
              <w:top w:val="nil"/>
              <w:left w:val="nil"/>
              <w:bottom w:val="single" w:sz="4" w:space="0" w:color="auto"/>
              <w:right w:val="single" w:sz="4" w:space="0" w:color="auto"/>
            </w:tcBorders>
            <w:shd w:val="clear" w:color="auto" w:fill="C6EFCE"/>
            <w:noWrap/>
            <w:hideMark/>
          </w:tcPr>
          <w:p w14:paraId="4D19A4BE" w14:textId="34907BBE"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Ukončenie projektu</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 xml:space="preserve">vydaním audítorských </w:t>
            </w:r>
            <w:r w:rsidRPr="00083739">
              <w:rPr>
                <w:rFonts w:ascii="Times New Roman" w:hAnsi="Times New Roman" w:cs="Times New Roman"/>
                <w:noProof/>
                <w:lang w:val="sk-SK"/>
              </w:rPr>
              <w:t>osvedčení poskytnutých ministerstvom rozvoja vidieka</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súlade</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vnútroštátnymi právnymi predpismi</w:t>
            </w:r>
          </w:p>
        </w:tc>
        <w:tc>
          <w:tcPr>
            <w:tcW w:w="899" w:type="dxa"/>
            <w:tcBorders>
              <w:top w:val="nil"/>
              <w:left w:val="nil"/>
              <w:bottom w:val="single" w:sz="4" w:space="0" w:color="auto"/>
              <w:right w:val="single" w:sz="4" w:space="0" w:color="auto"/>
            </w:tcBorders>
            <w:shd w:val="clear" w:color="auto" w:fill="C6EFCE"/>
            <w:noWrap/>
            <w:hideMark/>
          </w:tcPr>
          <w:p w14:paraId="6BD1EBBB"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nil"/>
              <w:left w:val="nil"/>
              <w:bottom w:val="single" w:sz="4" w:space="0" w:color="auto"/>
              <w:right w:val="single" w:sz="4" w:space="0" w:color="auto"/>
            </w:tcBorders>
            <w:shd w:val="clear" w:color="auto" w:fill="C6EFCE"/>
            <w:noWrap/>
            <w:hideMark/>
          </w:tcPr>
          <w:p w14:paraId="6F4D558C"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587" w:type="dxa"/>
            <w:tcBorders>
              <w:top w:val="nil"/>
              <w:left w:val="nil"/>
              <w:bottom w:val="single" w:sz="4" w:space="0" w:color="auto"/>
              <w:right w:val="single" w:sz="4" w:space="0" w:color="auto"/>
            </w:tcBorders>
            <w:shd w:val="clear" w:color="auto" w:fill="C6EFCE"/>
            <w:noWrap/>
            <w:hideMark/>
          </w:tcPr>
          <w:p w14:paraId="04D7DC5E"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6" w:type="dxa"/>
            <w:tcBorders>
              <w:top w:val="nil"/>
              <w:left w:val="nil"/>
              <w:bottom w:val="single" w:sz="4" w:space="0" w:color="auto"/>
              <w:right w:val="single" w:sz="4" w:space="0" w:color="auto"/>
            </w:tcBorders>
            <w:shd w:val="clear" w:color="auto" w:fill="C6EFCE"/>
            <w:noWrap/>
            <w:hideMark/>
          </w:tcPr>
          <w:p w14:paraId="682DA30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687" w:type="dxa"/>
            <w:tcBorders>
              <w:top w:val="nil"/>
              <w:left w:val="nil"/>
              <w:bottom w:val="single" w:sz="4" w:space="0" w:color="auto"/>
              <w:right w:val="single" w:sz="4" w:space="0" w:color="auto"/>
            </w:tcBorders>
            <w:shd w:val="clear" w:color="auto" w:fill="C6EFCE"/>
            <w:noWrap/>
            <w:hideMark/>
          </w:tcPr>
          <w:p w14:paraId="39D4ACD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4332" w:type="dxa"/>
            <w:tcBorders>
              <w:top w:val="nil"/>
              <w:left w:val="nil"/>
              <w:bottom w:val="single" w:sz="4" w:space="0" w:color="auto"/>
              <w:right w:val="single" w:sz="4" w:space="0" w:color="auto"/>
            </w:tcBorders>
            <w:shd w:val="clear" w:color="auto" w:fill="C6EFCE"/>
            <w:noWrap/>
            <w:hideMark/>
          </w:tcPr>
          <w:p w14:paraId="736C3278" w14:textId="50CA4AE3" w:rsidR="00083739" w:rsidRPr="00083739" w:rsidRDefault="00BF4125">
            <w:pPr>
              <w:pStyle w:val="P68B1DB1-Normal9"/>
              <w:spacing w:before="120" w:after="0" w:line="240" w:lineRule="auto"/>
              <w:jc w:val="both"/>
              <w:rPr>
                <w:rFonts w:ascii="Times New Roman" w:hAnsi="Times New Roman" w:cs="Times New Roman"/>
                <w:noProof/>
                <w:lang w:val="sk-SK"/>
              </w:rPr>
            </w:pPr>
            <w:r w:rsidRPr="00083739">
              <w:rPr>
                <w:rFonts w:ascii="Times New Roman" w:hAnsi="Times New Roman" w:cs="Times New Roman"/>
                <w:noProof/>
                <w:lang w:val="sk-SK"/>
              </w:rPr>
              <w:t>Hospodárska transformácia</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poľnohospodárskom sektore: Finančné uzavretie všetkých zložiek</w:t>
            </w:r>
            <w:r w:rsidR="00083739" w:rsidRPr="00083739">
              <w:rPr>
                <w:rFonts w:ascii="Times New Roman" w:hAnsi="Times New Roman" w:cs="Times New Roman"/>
                <w:noProof/>
                <w:lang w:val="sk-SK"/>
              </w:rPr>
              <w:t>:</w:t>
            </w:r>
          </w:p>
          <w:p w14:paraId="15E91571" w14:textId="28CE3184" w:rsidR="002D49B0" w:rsidRPr="00083739" w:rsidRDefault="00BF4125">
            <w:pPr>
              <w:pStyle w:val="P68B1DB1-Normal9"/>
              <w:spacing w:after="0" w:line="259" w:lineRule="auto"/>
              <w:ind w:left="334"/>
              <w:contextualSpacing/>
              <w:rPr>
                <w:rFonts w:ascii="Times New Roman" w:hAnsi="Times New Roman" w:cs="Times New Roman"/>
                <w:noProof/>
                <w:szCs w:val="18"/>
                <w:lang w:val="sk-SK"/>
              </w:rPr>
            </w:pPr>
            <w:r w:rsidRPr="00083739">
              <w:rPr>
                <w:rFonts w:ascii="Times New Roman" w:hAnsi="Times New Roman" w:cs="Times New Roman"/>
                <w:noProof/>
                <w:lang w:val="sk-SK"/>
              </w:rPr>
              <w:t>1. Inovácie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zelená transformácia</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spracovania poľnohospodárskych výrobkov</w:t>
            </w:r>
          </w:p>
          <w:p w14:paraId="29E852D0" w14:textId="77777777" w:rsidR="002D49B0" w:rsidRPr="00083739" w:rsidRDefault="00BF4125">
            <w:pPr>
              <w:pStyle w:val="P68B1DB1-Normal9"/>
              <w:spacing w:after="0" w:line="259" w:lineRule="auto"/>
              <w:ind w:left="334"/>
              <w:contextualSpacing/>
              <w:rPr>
                <w:rFonts w:ascii="Times New Roman" w:hAnsi="Times New Roman" w:cs="Times New Roman"/>
                <w:noProof/>
                <w:szCs w:val="18"/>
                <w:lang w:val="sk-SK"/>
              </w:rPr>
            </w:pPr>
            <w:r w:rsidRPr="00083739">
              <w:rPr>
                <w:rFonts w:ascii="Times New Roman" w:hAnsi="Times New Roman" w:cs="Times New Roman"/>
                <w:noProof/>
                <w:lang w:val="sk-SK"/>
              </w:rPr>
              <w:t>2. Modernizácia primárneho sektora</w:t>
            </w:r>
          </w:p>
          <w:p w14:paraId="50BDC955" w14:textId="77777777" w:rsidR="002D49B0" w:rsidRPr="00083739" w:rsidRDefault="00BF4125">
            <w:pPr>
              <w:pStyle w:val="P68B1DB1-Normal9"/>
              <w:spacing w:after="0" w:line="259" w:lineRule="auto"/>
              <w:ind w:left="334"/>
              <w:contextualSpacing/>
              <w:rPr>
                <w:rFonts w:ascii="Times New Roman" w:hAnsi="Times New Roman" w:cs="Times New Roman"/>
                <w:noProof/>
                <w:szCs w:val="18"/>
                <w:lang w:val="sk-SK"/>
              </w:rPr>
            </w:pPr>
            <w:r w:rsidRPr="00083739">
              <w:rPr>
                <w:rFonts w:ascii="Times New Roman" w:hAnsi="Times New Roman" w:cs="Times New Roman"/>
                <w:noProof/>
                <w:lang w:val="sk-SK"/>
              </w:rPr>
              <w:t>3. Zelený vidiecky cestovný ruch</w:t>
            </w:r>
          </w:p>
          <w:p w14:paraId="1BE19E91" w14:textId="77777777" w:rsidR="002D49B0" w:rsidRPr="00083739" w:rsidRDefault="00BF4125">
            <w:pPr>
              <w:pStyle w:val="P68B1DB1-Normal9"/>
              <w:spacing w:after="0" w:line="259" w:lineRule="auto"/>
              <w:ind w:left="334"/>
              <w:contextualSpacing/>
              <w:rPr>
                <w:rFonts w:ascii="Times New Roman" w:hAnsi="Times New Roman" w:cs="Times New Roman"/>
                <w:noProof/>
                <w:szCs w:val="18"/>
                <w:lang w:val="sk-SK"/>
              </w:rPr>
            </w:pPr>
            <w:r w:rsidRPr="00083739">
              <w:rPr>
                <w:rFonts w:ascii="Times New Roman" w:hAnsi="Times New Roman" w:cs="Times New Roman"/>
                <w:noProof/>
                <w:lang w:val="sk-SK"/>
              </w:rPr>
              <w:t>4. Reštrukturalizácia pestovania</w:t>
            </w:r>
          </w:p>
          <w:p w14:paraId="398CEE9A" w14:textId="77777777" w:rsidR="002D49B0" w:rsidRPr="00083739" w:rsidRDefault="00BF4125">
            <w:pPr>
              <w:pStyle w:val="P68B1DB1-Normal9"/>
              <w:spacing w:after="0" w:line="259" w:lineRule="auto"/>
              <w:ind w:left="334"/>
              <w:contextualSpacing/>
              <w:rPr>
                <w:rFonts w:ascii="Times New Roman" w:hAnsi="Times New Roman" w:cs="Times New Roman"/>
                <w:noProof/>
                <w:szCs w:val="18"/>
                <w:lang w:val="sk-SK"/>
              </w:rPr>
            </w:pPr>
            <w:r w:rsidRPr="00083739">
              <w:rPr>
                <w:rFonts w:ascii="Times New Roman" w:hAnsi="Times New Roman" w:cs="Times New Roman"/>
                <w:noProof/>
                <w:lang w:val="sk-SK"/>
              </w:rPr>
              <w:t>5. Zlepšenie genetickej modifikácie zvierat</w:t>
            </w:r>
          </w:p>
        </w:tc>
      </w:tr>
      <w:tr w:rsidR="002D49B0" w:rsidRPr="00083739" w14:paraId="318639BB" w14:textId="77777777">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1938EDE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315</w:t>
            </w:r>
          </w:p>
        </w:tc>
        <w:tc>
          <w:tcPr>
            <w:tcW w:w="1832" w:type="dxa"/>
            <w:tcBorders>
              <w:top w:val="single" w:sz="4" w:space="0" w:color="auto"/>
              <w:left w:val="nil"/>
              <w:bottom w:val="single" w:sz="4" w:space="0" w:color="auto"/>
              <w:right w:val="single" w:sz="4" w:space="0" w:color="auto"/>
            </w:tcBorders>
            <w:shd w:val="clear" w:color="auto" w:fill="C6EFCE"/>
            <w:noWrap/>
          </w:tcPr>
          <w:p w14:paraId="380B7017" w14:textId="1D6B1C8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17 – 4.6. Modernizácia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zlepšenie odolnosti kľúčových </w:t>
            </w:r>
            <w:r w:rsidRPr="00083739">
              <w:rPr>
                <w:rFonts w:ascii="Times New Roman" w:hAnsi="Times New Roman" w:cs="Times New Roman"/>
                <w:noProof/>
                <w:lang w:val="sk-SK"/>
              </w:rPr>
              <w:t>hospodárskych odvetví – 16584_Návrhy opatrení</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odvetví akvakultúry</w:t>
            </w:r>
          </w:p>
        </w:tc>
        <w:tc>
          <w:tcPr>
            <w:tcW w:w="1589" w:type="dxa"/>
            <w:tcBorders>
              <w:top w:val="single" w:sz="4" w:space="0" w:color="auto"/>
              <w:left w:val="nil"/>
              <w:bottom w:val="single" w:sz="4" w:space="0" w:color="auto"/>
              <w:right w:val="single" w:sz="4" w:space="0" w:color="auto"/>
            </w:tcBorders>
            <w:shd w:val="clear" w:color="auto" w:fill="C6EFCE"/>
            <w:noWrap/>
          </w:tcPr>
          <w:p w14:paraId="29D7EC8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66" w:type="dxa"/>
            <w:tcBorders>
              <w:top w:val="single" w:sz="4" w:space="0" w:color="auto"/>
              <w:left w:val="nil"/>
              <w:bottom w:val="single" w:sz="4" w:space="0" w:color="auto"/>
              <w:right w:val="single" w:sz="4" w:space="0" w:color="auto"/>
            </w:tcBorders>
            <w:shd w:val="clear" w:color="auto" w:fill="C6EFCE"/>
            <w:noWrap/>
          </w:tcPr>
          <w:p w14:paraId="5B9A16D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Dokončená akvakultúra</w:t>
            </w:r>
          </w:p>
        </w:tc>
        <w:tc>
          <w:tcPr>
            <w:tcW w:w="1704" w:type="dxa"/>
            <w:tcBorders>
              <w:top w:val="single" w:sz="4" w:space="0" w:color="auto"/>
              <w:left w:val="nil"/>
              <w:bottom w:val="single" w:sz="4" w:space="0" w:color="auto"/>
              <w:right w:val="single" w:sz="4" w:space="0" w:color="auto"/>
            </w:tcBorders>
            <w:shd w:val="clear" w:color="auto" w:fill="C6EFCE"/>
            <w:noWrap/>
          </w:tcPr>
          <w:p w14:paraId="416C06FC" w14:textId="014CC033"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Osvedčenie(-a)</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dokončení</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súlade</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vnútroštátnymi právnymi predpismi pre všetky čiastkové projekty</w:t>
            </w:r>
          </w:p>
        </w:tc>
        <w:tc>
          <w:tcPr>
            <w:tcW w:w="899" w:type="dxa"/>
            <w:tcBorders>
              <w:top w:val="single" w:sz="4" w:space="0" w:color="auto"/>
              <w:left w:val="nil"/>
              <w:bottom w:val="single" w:sz="4" w:space="0" w:color="auto"/>
              <w:right w:val="single" w:sz="4" w:space="0" w:color="auto"/>
            </w:tcBorders>
            <w:shd w:val="clear" w:color="auto" w:fill="C6EFCE"/>
            <w:noWrap/>
          </w:tcPr>
          <w:p w14:paraId="6854BE32" w14:textId="77777777" w:rsidR="002D49B0" w:rsidRPr="00083739" w:rsidRDefault="002D49B0">
            <w:pPr>
              <w:spacing w:before="120" w:after="0" w:line="240" w:lineRule="auto"/>
              <w:rPr>
                <w:rFonts w:ascii="Times New Roman" w:eastAsia="Times New Roman" w:hAnsi="Times New Roman" w:cs="Times New Roman"/>
                <w:noProof/>
                <w:color w:val="006100"/>
                <w:sz w:val="18"/>
                <w:szCs w:val="18"/>
                <w:lang w:val="sk-SK"/>
              </w:rPr>
            </w:pPr>
          </w:p>
        </w:tc>
        <w:tc>
          <w:tcPr>
            <w:tcW w:w="857" w:type="dxa"/>
            <w:tcBorders>
              <w:top w:val="single" w:sz="4" w:space="0" w:color="auto"/>
              <w:left w:val="nil"/>
              <w:bottom w:val="single" w:sz="4" w:space="0" w:color="auto"/>
              <w:right w:val="single" w:sz="4" w:space="0" w:color="auto"/>
            </w:tcBorders>
            <w:shd w:val="clear" w:color="auto" w:fill="C6EFCE"/>
            <w:noWrap/>
          </w:tcPr>
          <w:p w14:paraId="16117D67"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587" w:type="dxa"/>
            <w:tcBorders>
              <w:top w:val="single" w:sz="4" w:space="0" w:color="auto"/>
              <w:left w:val="nil"/>
              <w:bottom w:val="single" w:sz="4" w:space="0" w:color="auto"/>
              <w:right w:val="single" w:sz="4" w:space="0" w:color="auto"/>
            </w:tcBorders>
            <w:shd w:val="clear" w:color="auto" w:fill="C6EFCE"/>
            <w:noWrap/>
          </w:tcPr>
          <w:p w14:paraId="380487D9"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6" w:type="dxa"/>
            <w:tcBorders>
              <w:top w:val="single" w:sz="4" w:space="0" w:color="auto"/>
              <w:left w:val="nil"/>
              <w:bottom w:val="single" w:sz="4" w:space="0" w:color="auto"/>
              <w:right w:val="single" w:sz="4" w:space="0" w:color="auto"/>
            </w:tcBorders>
            <w:shd w:val="clear" w:color="auto" w:fill="C6EFCE"/>
            <w:noWrap/>
          </w:tcPr>
          <w:p w14:paraId="20DC68D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687" w:type="dxa"/>
            <w:tcBorders>
              <w:top w:val="single" w:sz="4" w:space="0" w:color="auto"/>
              <w:left w:val="nil"/>
              <w:bottom w:val="single" w:sz="4" w:space="0" w:color="auto"/>
              <w:right w:val="single" w:sz="4" w:space="0" w:color="auto"/>
            </w:tcBorders>
            <w:shd w:val="clear" w:color="auto" w:fill="C6EFCE"/>
            <w:noWrap/>
          </w:tcPr>
          <w:p w14:paraId="42AF1E9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4332" w:type="dxa"/>
            <w:tcBorders>
              <w:top w:val="single" w:sz="4" w:space="0" w:color="auto"/>
              <w:left w:val="nil"/>
              <w:bottom w:val="single" w:sz="4" w:space="0" w:color="auto"/>
              <w:right w:val="single" w:sz="4" w:space="0" w:color="auto"/>
            </w:tcBorders>
            <w:shd w:val="clear" w:color="auto" w:fill="C6EFCE"/>
            <w:noWrap/>
          </w:tcPr>
          <w:p w14:paraId="5334F41F" w14:textId="09918E67" w:rsidR="002D49B0" w:rsidRPr="00083739" w:rsidRDefault="00BF4125">
            <w:pPr>
              <w:pStyle w:val="P68B1DB1-Normal9"/>
              <w:spacing w:after="0" w:line="240" w:lineRule="auto"/>
              <w:rPr>
                <w:rFonts w:ascii="Times New Roman" w:hAnsi="Times New Roman" w:cs="Times New Roman"/>
                <w:noProof/>
                <w:szCs w:val="18"/>
                <w:lang w:val="sk-SK"/>
              </w:rPr>
            </w:pPr>
            <w:r w:rsidRPr="00083739">
              <w:rPr>
                <w:rFonts w:ascii="Times New Roman" w:hAnsi="Times New Roman" w:cs="Times New Roman"/>
                <w:noProof/>
                <w:lang w:val="sk-SK"/>
              </w:rPr>
              <w:t xml:space="preserve">Akvakultúra: Všetky ukončené </w:t>
            </w:r>
            <w:r w:rsidRPr="00083739">
              <w:rPr>
                <w:rFonts w:ascii="Times New Roman" w:hAnsi="Times New Roman" w:cs="Times New Roman"/>
                <w:noProof/>
                <w:lang w:val="sk-SK"/>
              </w:rPr>
              <w:t>akcie, ktoré zahŕňajú modernizáciu výrobných jednotiek, zariadenia, zariadenia na nakladanie</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odpadom, nové technológie – IKT, podporu nových výrobkov, prenos know-how, banku genetického materiálu, odborné poradenstvo.</w:t>
            </w:r>
          </w:p>
        </w:tc>
      </w:tr>
      <w:tr w:rsidR="002D49B0" w:rsidRPr="00083739" w14:paraId="5E9FA4C7" w14:textId="77777777">
        <w:trPr>
          <w:trHeight w:val="309"/>
          <w:jc w:val="center"/>
        </w:trPr>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0561871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316</w:t>
            </w:r>
          </w:p>
        </w:tc>
        <w:tc>
          <w:tcPr>
            <w:tcW w:w="1832" w:type="dxa"/>
            <w:tcBorders>
              <w:top w:val="single" w:sz="4" w:space="0" w:color="auto"/>
              <w:left w:val="nil"/>
              <w:bottom w:val="single" w:sz="4" w:space="0" w:color="auto"/>
              <w:right w:val="single" w:sz="4" w:space="0" w:color="auto"/>
            </w:tcBorders>
            <w:shd w:val="clear" w:color="auto" w:fill="C6EFCE"/>
            <w:noWrap/>
          </w:tcPr>
          <w:p w14:paraId="09873946" w14:textId="07C95D1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4 – 1.4. Udržateľné využívanie </w:t>
            </w:r>
            <w:r w:rsidRPr="00083739">
              <w:rPr>
                <w:rFonts w:ascii="Times New Roman" w:hAnsi="Times New Roman" w:cs="Times New Roman"/>
                <w:noProof/>
                <w:lang w:val="sk-SK"/>
              </w:rPr>
              <w:t>zdrojov, odolnosť proti zmene klímy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ochrana životného prostredia – 16285_Investície do vnútroštátnej zavlažovacej siete prostredníctvom systémov PPP</w:t>
            </w:r>
          </w:p>
        </w:tc>
        <w:tc>
          <w:tcPr>
            <w:tcW w:w="1589" w:type="dxa"/>
            <w:tcBorders>
              <w:top w:val="single" w:sz="4" w:space="0" w:color="auto"/>
              <w:left w:val="nil"/>
              <w:bottom w:val="single" w:sz="4" w:space="0" w:color="auto"/>
              <w:right w:val="single" w:sz="4" w:space="0" w:color="auto"/>
            </w:tcBorders>
            <w:shd w:val="clear" w:color="auto" w:fill="C6EFCE"/>
            <w:noWrap/>
          </w:tcPr>
          <w:p w14:paraId="23ACD85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66" w:type="dxa"/>
            <w:tcBorders>
              <w:top w:val="single" w:sz="4" w:space="0" w:color="auto"/>
              <w:left w:val="nil"/>
              <w:bottom w:val="single" w:sz="4" w:space="0" w:color="auto"/>
              <w:right w:val="single" w:sz="4" w:space="0" w:color="auto"/>
            </w:tcBorders>
            <w:shd w:val="clear" w:color="auto" w:fill="C6EFCE"/>
            <w:noWrap/>
          </w:tcPr>
          <w:p w14:paraId="38F47E5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zavlažovania</w:t>
            </w:r>
          </w:p>
        </w:tc>
        <w:tc>
          <w:tcPr>
            <w:tcW w:w="1704" w:type="dxa"/>
            <w:tcBorders>
              <w:top w:val="single" w:sz="4" w:space="0" w:color="auto"/>
              <w:left w:val="nil"/>
              <w:bottom w:val="single" w:sz="4" w:space="0" w:color="auto"/>
              <w:right w:val="single" w:sz="4" w:space="0" w:color="auto"/>
            </w:tcBorders>
            <w:shd w:val="clear" w:color="auto" w:fill="C6EFCE"/>
            <w:noWrap/>
          </w:tcPr>
          <w:p w14:paraId="16A079D3" w14:textId="3697AB25"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Dokončenie projektov</w:t>
            </w:r>
          </w:p>
        </w:tc>
        <w:tc>
          <w:tcPr>
            <w:tcW w:w="899" w:type="dxa"/>
            <w:tcBorders>
              <w:top w:val="single" w:sz="4" w:space="0" w:color="auto"/>
              <w:left w:val="nil"/>
              <w:bottom w:val="single" w:sz="4" w:space="0" w:color="auto"/>
              <w:right w:val="single" w:sz="4" w:space="0" w:color="auto"/>
            </w:tcBorders>
            <w:shd w:val="clear" w:color="auto" w:fill="C6EFCE"/>
            <w:noWrap/>
          </w:tcPr>
          <w:p w14:paraId="256E446F"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single" w:sz="4" w:space="0" w:color="auto"/>
              <w:left w:val="nil"/>
              <w:bottom w:val="single" w:sz="4" w:space="0" w:color="auto"/>
              <w:right w:val="single" w:sz="4" w:space="0" w:color="auto"/>
            </w:tcBorders>
            <w:shd w:val="clear" w:color="auto" w:fill="C6EFCE"/>
            <w:noWrap/>
          </w:tcPr>
          <w:p w14:paraId="12441352"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587" w:type="dxa"/>
            <w:tcBorders>
              <w:top w:val="single" w:sz="4" w:space="0" w:color="auto"/>
              <w:left w:val="nil"/>
              <w:bottom w:val="single" w:sz="4" w:space="0" w:color="auto"/>
              <w:right w:val="single" w:sz="4" w:space="0" w:color="auto"/>
            </w:tcBorders>
            <w:shd w:val="clear" w:color="auto" w:fill="C6EFCE"/>
            <w:noWrap/>
          </w:tcPr>
          <w:p w14:paraId="58A5DEB8"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6" w:type="dxa"/>
            <w:tcBorders>
              <w:top w:val="single" w:sz="4" w:space="0" w:color="auto"/>
              <w:left w:val="nil"/>
              <w:bottom w:val="single" w:sz="4" w:space="0" w:color="auto"/>
              <w:right w:val="single" w:sz="4" w:space="0" w:color="auto"/>
            </w:tcBorders>
            <w:shd w:val="clear" w:color="auto" w:fill="C6EFCE"/>
            <w:noWrap/>
          </w:tcPr>
          <w:p w14:paraId="6E5E1FF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687" w:type="dxa"/>
            <w:tcBorders>
              <w:top w:val="single" w:sz="4" w:space="0" w:color="auto"/>
              <w:left w:val="nil"/>
              <w:bottom w:val="single" w:sz="4" w:space="0" w:color="auto"/>
              <w:right w:val="single" w:sz="4" w:space="0" w:color="auto"/>
            </w:tcBorders>
            <w:shd w:val="clear" w:color="auto" w:fill="C6EFCE"/>
            <w:noWrap/>
          </w:tcPr>
          <w:p w14:paraId="2BFC5E5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4332" w:type="dxa"/>
            <w:tcBorders>
              <w:top w:val="single" w:sz="4" w:space="0" w:color="auto"/>
              <w:left w:val="nil"/>
              <w:bottom w:val="single" w:sz="4" w:space="0" w:color="auto"/>
              <w:right w:val="single" w:sz="4" w:space="0" w:color="auto"/>
            </w:tcBorders>
            <w:shd w:val="clear" w:color="auto" w:fill="C6EFCE"/>
            <w:noWrap/>
          </w:tcPr>
          <w:p w14:paraId="0BBCA201" w14:textId="738D6F9A" w:rsidR="002D49B0" w:rsidRPr="00083739" w:rsidRDefault="00BF4125">
            <w:pPr>
              <w:pStyle w:val="P68B1DB1-Normal10"/>
              <w:spacing w:after="0" w:line="240" w:lineRule="auto"/>
              <w:rPr>
                <w:rFonts w:ascii="Times New Roman" w:hAnsi="Times New Roman" w:cs="Times New Roman"/>
                <w:noProof/>
                <w:lang w:val="sk-SK"/>
              </w:rPr>
            </w:pPr>
            <w:r w:rsidRPr="00083739">
              <w:rPr>
                <w:rFonts w:ascii="Times New Roman" w:hAnsi="Times New Roman" w:cs="Times New Roman"/>
                <w:noProof/>
                <w:lang w:val="sk-SK"/>
              </w:rPr>
              <w:t xml:space="preserve">Zavlažovanie: Všetkých päť </w:t>
            </w:r>
            <w:r w:rsidRPr="00083739">
              <w:rPr>
                <w:rFonts w:ascii="Times New Roman" w:hAnsi="Times New Roman" w:cs="Times New Roman"/>
                <w:noProof/>
                <w:lang w:val="sk-SK"/>
              </w:rPr>
              <w:t>dokončených projektov.</w:t>
            </w:r>
          </w:p>
        </w:tc>
      </w:tr>
    </w:tbl>
    <w:p w14:paraId="2D814AC6" w14:textId="77777777" w:rsidR="002D49B0" w:rsidRPr="00083739" w:rsidRDefault="002D49B0">
      <w:pPr>
        <w:spacing w:before="120" w:after="120" w:line="240" w:lineRule="auto"/>
        <w:ind w:left="709"/>
        <w:jc w:val="both"/>
        <w:rPr>
          <w:rFonts w:ascii="Times New Roman" w:hAnsi="Times New Roman" w:cs="Times New Roman"/>
          <w:noProof/>
          <w:sz w:val="24"/>
          <w:szCs w:val="24"/>
          <w:lang w:val="sk-SK"/>
        </w:rPr>
      </w:pPr>
    </w:p>
    <w:p w14:paraId="3077A1E0" w14:textId="77777777" w:rsidR="002D49B0" w:rsidRPr="00083739" w:rsidRDefault="002D49B0">
      <w:pPr>
        <w:spacing w:before="120" w:after="120" w:line="240" w:lineRule="auto"/>
        <w:ind w:left="709"/>
        <w:jc w:val="both"/>
        <w:rPr>
          <w:rFonts w:ascii="Times New Roman" w:hAnsi="Times New Roman" w:cs="Times New Roman"/>
          <w:noProof/>
          <w:sz w:val="24"/>
          <w:lang w:val="sk-SK"/>
        </w:rPr>
        <w:sectPr w:rsidR="002D49B0" w:rsidRPr="00083739" w:rsidSect="00271D33">
          <w:headerReference w:type="even" r:id="rId295"/>
          <w:headerReference w:type="default" r:id="rId296"/>
          <w:footerReference w:type="even" r:id="rId297"/>
          <w:footerReference w:type="default" r:id="rId298"/>
          <w:headerReference w:type="first" r:id="rId299"/>
          <w:footerReference w:type="first" r:id="rId300"/>
          <w:pgSz w:w="16839" w:h="11907" w:orient="landscape"/>
          <w:pgMar w:top="720" w:right="720" w:bottom="720" w:left="720" w:header="709" w:footer="501" w:gutter="0"/>
          <w:cols w:space="720"/>
          <w:docGrid w:linePitch="360"/>
        </w:sectPr>
      </w:pPr>
    </w:p>
    <w:p w14:paraId="7889D853" w14:textId="77777777" w:rsidR="002D49B0" w:rsidRPr="00083739" w:rsidRDefault="00BF4125">
      <w:pPr>
        <w:pStyle w:val="P68B1DB1-Normal2"/>
        <w:spacing w:before="120" w:after="120" w:line="240" w:lineRule="auto"/>
        <w:ind w:firstLine="6"/>
        <w:jc w:val="both"/>
        <w:outlineLvl w:val="3"/>
        <w:rPr>
          <w:rFonts w:cs="Times New Roman"/>
          <w:bCs/>
          <w:noProof/>
          <w:lang w:val="sk-SK"/>
        </w:rPr>
      </w:pPr>
      <w:r w:rsidRPr="00083739">
        <w:rPr>
          <w:rFonts w:cs="Times New Roman"/>
          <w:noProof/>
          <w:lang w:val="sk-SK"/>
        </w:rPr>
        <w:t>R. KOMPONENT 4.7: ZLEPŠIŤ KONKURENCIESCHOPNOSŤ A PODPORIŤ SÚKROMNÉ INVESTÍCIE A VÝVOZ</w:t>
      </w:r>
    </w:p>
    <w:p w14:paraId="5B3CF311" w14:textId="27B1D884"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Cieľom tohto komponentu gréckeho plánu obnovy</w:t>
      </w:r>
      <w:r w:rsidR="00083739" w:rsidRPr="00083739">
        <w:rPr>
          <w:rFonts w:cs="Times New Roman"/>
          <w:noProof/>
          <w:lang w:val="sk-SK"/>
        </w:rPr>
        <w:t xml:space="preserve"> a </w:t>
      </w:r>
      <w:r w:rsidRPr="00083739">
        <w:rPr>
          <w:rFonts w:cs="Times New Roman"/>
          <w:noProof/>
          <w:lang w:val="sk-SK"/>
        </w:rPr>
        <w:t xml:space="preserve">odolnosti je stimulovať súkromné </w:t>
      </w:r>
      <w:r w:rsidRPr="00083739">
        <w:rPr>
          <w:rFonts w:cs="Times New Roman"/>
          <w:noProof/>
          <w:lang w:val="sk-SK"/>
        </w:rPr>
        <w:t>investície</w:t>
      </w:r>
      <w:r w:rsidR="00083739" w:rsidRPr="00083739">
        <w:rPr>
          <w:rFonts w:cs="Times New Roman"/>
          <w:noProof/>
          <w:lang w:val="sk-SK"/>
        </w:rPr>
        <w:t xml:space="preserve"> a </w:t>
      </w:r>
      <w:r w:rsidRPr="00083739">
        <w:rPr>
          <w:rFonts w:cs="Times New Roman"/>
          <w:noProof/>
          <w:lang w:val="sk-SK"/>
        </w:rPr>
        <w:t>zvýšiť hospodársku extroverziu riešením dlhodobých štrukturálnych problémov</w:t>
      </w:r>
      <w:r w:rsidR="00083739" w:rsidRPr="00083739">
        <w:rPr>
          <w:rFonts w:cs="Times New Roman"/>
          <w:noProof/>
          <w:lang w:val="sk-SK"/>
        </w:rPr>
        <w:t xml:space="preserve"> a </w:t>
      </w:r>
      <w:r w:rsidRPr="00083739">
        <w:rPr>
          <w:rFonts w:cs="Times New Roman"/>
          <w:noProof/>
          <w:lang w:val="sk-SK"/>
        </w:rPr>
        <w:t>vytvorením podnikateľského prostredia priaznivého pre rozvoj hospodárskej činnosti. Pozostáva</w:t>
      </w:r>
      <w:r w:rsidR="00083739" w:rsidRPr="00083739">
        <w:rPr>
          <w:rFonts w:cs="Times New Roman"/>
          <w:noProof/>
          <w:lang w:val="sk-SK"/>
        </w:rPr>
        <w:t xml:space="preserve"> z </w:t>
      </w:r>
      <w:r w:rsidRPr="00083739">
        <w:rPr>
          <w:rFonts w:cs="Times New Roman"/>
          <w:noProof/>
          <w:lang w:val="sk-SK"/>
        </w:rPr>
        <w:t>opatrení na podporu rastu veľkosti podnikov</w:t>
      </w:r>
      <w:r w:rsidR="00083739" w:rsidRPr="00083739">
        <w:rPr>
          <w:rFonts w:cs="Times New Roman"/>
          <w:noProof/>
          <w:lang w:val="sk-SK"/>
        </w:rPr>
        <w:t xml:space="preserve"> s </w:t>
      </w:r>
      <w:r w:rsidRPr="00083739">
        <w:rPr>
          <w:rFonts w:cs="Times New Roman"/>
          <w:noProof/>
          <w:lang w:val="sk-SK"/>
        </w:rPr>
        <w:t>cieľom dosiahnuť úspory</w:t>
      </w:r>
      <w:r w:rsidR="00083739" w:rsidRPr="00083739">
        <w:rPr>
          <w:rFonts w:cs="Times New Roman"/>
          <w:noProof/>
          <w:lang w:val="sk-SK"/>
        </w:rPr>
        <w:t xml:space="preserve"> z </w:t>
      </w:r>
      <w:r w:rsidRPr="00083739">
        <w:rPr>
          <w:rFonts w:cs="Times New Roman"/>
          <w:noProof/>
          <w:lang w:val="sk-SK"/>
        </w:rPr>
        <w:t>rozsahu</w:t>
      </w:r>
      <w:r w:rsidR="00083739" w:rsidRPr="00083739">
        <w:rPr>
          <w:rFonts w:cs="Times New Roman"/>
          <w:noProof/>
          <w:lang w:val="sk-SK"/>
        </w:rPr>
        <w:t xml:space="preserve"> a </w:t>
      </w:r>
      <w:r w:rsidRPr="00083739">
        <w:rPr>
          <w:rFonts w:cs="Times New Roman"/>
          <w:noProof/>
          <w:lang w:val="sk-SK"/>
        </w:rPr>
        <w:t>pomôcť im preniknúť na zahraničné trhy, znížiť nadmernú administratívnu záťaž pre podniky, podporiť dodržiavanie predpisov</w:t>
      </w:r>
      <w:r w:rsidR="00083739" w:rsidRPr="00083739">
        <w:rPr>
          <w:rFonts w:cs="Times New Roman"/>
          <w:noProof/>
          <w:lang w:val="sk-SK"/>
        </w:rPr>
        <w:t xml:space="preserve"> a </w:t>
      </w:r>
      <w:r w:rsidRPr="00083739">
        <w:rPr>
          <w:rFonts w:cs="Times New Roman"/>
          <w:noProof/>
          <w:lang w:val="sk-SK"/>
        </w:rPr>
        <w:t>rovnaké podmienky prostredníctvom účinného dohľadu nad trhom</w:t>
      </w:r>
      <w:r w:rsidR="00083739" w:rsidRPr="00083739">
        <w:rPr>
          <w:rFonts w:cs="Times New Roman"/>
          <w:noProof/>
          <w:lang w:val="sk-SK"/>
        </w:rPr>
        <w:t xml:space="preserve"> a </w:t>
      </w:r>
      <w:r w:rsidRPr="00083739">
        <w:rPr>
          <w:rFonts w:cs="Times New Roman"/>
          <w:noProof/>
          <w:lang w:val="sk-SK"/>
        </w:rPr>
        <w:t>vytvoriť jednoduchší</w:t>
      </w:r>
      <w:r w:rsidR="00083739" w:rsidRPr="00083739">
        <w:rPr>
          <w:rFonts w:cs="Times New Roman"/>
          <w:noProof/>
          <w:lang w:val="sk-SK"/>
        </w:rPr>
        <w:t xml:space="preserve"> a </w:t>
      </w:r>
      <w:r w:rsidRPr="00083739">
        <w:rPr>
          <w:rFonts w:cs="Times New Roman"/>
          <w:noProof/>
          <w:lang w:val="sk-SK"/>
        </w:rPr>
        <w:t>predvídateľnejší regulačný rámec</w:t>
      </w:r>
      <w:r w:rsidRPr="00083739">
        <w:rPr>
          <w:rFonts w:cs="Times New Roman"/>
          <w:noProof/>
          <w:lang w:val="sk-SK"/>
        </w:rPr>
        <w:t>. Tieto opatrenia dopĺňa návrh využiť úverovú podporu</w:t>
      </w:r>
      <w:r w:rsidR="00083739" w:rsidRPr="00083739">
        <w:rPr>
          <w:rFonts w:cs="Times New Roman"/>
          <w:noProof/>
          <w:lang w:val="sk-SK"/>
        </w:rPr>
        <w:t xml:space="preserve"> v </w:t>
      </w:r>
      <w:r w:rsidRPr="00083739">
        <w:rPr>
          <w:rFonts w:cs="Times New Roman"/>
          <w:noProof/>
          <w:lang w:val="sk-SK"/>
        </w:rPr>
        <w:t>rámci Mechanizmu na podporu obnovy</w:t>
      </w:r>
      <w:r w:rsidR="00083739" w:rsidRPr="00083739">
        <w:rPr>
          <w:rFonts w:cs="Times New Roman"/>
          <w:noProof/>
          <w:lang w:val="sk-SK"/>
        </w:rPr>
        <w:t xml:space="preserve"> a </w:t>
      </w:r>
      <w:r w:rsidRPr="00083739">
        <w:rPr>
          <w:rFonts w:cs="Times New Roman"/>
          <w:noProof/>
          <w:lang w:val="sk-SK"/>
        </w:rPr>
        <w:t>odolnosti na uľahčenie poskytovania finančných stimulov súkromnému sektoru</w:t>
      </w:r>
      <w:r w:rsidR="00083739" w:rsidRPr="00083739">
        <w:rPr>
          <w:rFonts w:cs="Times New Roman"/>
          <w:noProof/>
          <w:lang w:val="sk-SK"/>
        </w:rPr>
        <w:t xml:space="preserve"> s </w:t>
      </w:r>
      <w:r w:rsidRPr="00083739">
        <w:rPr>
          <w:rFonts w:cs="Times New Roman"/>
          <w:noProof/>
          <w:lang w:val="sk-SK"/>
        </w:rPr>
        <w:t>cieľom podporiť súkromné investície. Očakáva sa, že táto úverová podpora bude smerovan</w:t>
      </w:r>
      <w:r w:rsidRPr="00083739">
        <w:rPr>
          <w:rFonts w:cs="Times New Roman"/>
          <w:noProof/>
          <w:lang w:val="sk-SK"/>
        </w:rPr>
        <w:t>á do hospodárstva prostredníctvom troch rôznych kanálov, konkrétne finančných inštitúcií (prostredníctvom nákupu podnikových dlhopisov alebo syndikovaných úverov), kapitálovej platformy</w:t>
      </w:r>
      <w:r w:rsidR="00083739" w:rsidRPr="00083739">
        <w:rPr>
          <w:rFonts w:cs="Times New Roman"/>
          <w:noProof/>
          <w:lang w:val="sk-SK"/>
        </w:rPr>
        <w:t xml:space="preserve"> a </w:t>
      </w:r>
      <w:r w:rsidRPr="00083739">
        <w:rPr>
          <w:rFonts w:cs="Times New Roman"/>
          <w:noProof/>
          <w:lang w:val="sk-SK"/>
        </w:rPr>
        <w:t>využívania časti gréckej vnútroštátnej zložky InvestEU. Komponent po</w:t>
      </w:r>
      <w:r w:rsidRPr="00083739">
        <w:rPr>
          <w:rFonts w:cs="Times New Roman"/>
          <w:noProof/>
          <w:lang w:val="sk-SK"/>
        </w:rPr>
        <w:t>dporuje riešenie odporúčania pre danú krajinu týkajúceho sa verejných</w:t>
      </w:r>
      <w:r w:rsidR="00083739" w:rsidRPr="00083739">
        <w:rPr>
          <w:rFonts w:cs="Times New Roman"/>
          <w:noProof/>
          <w:lang w:val="sk-SK"/>
        </w:rPr>
        <w:t xml:space="preserve"> a </w:t>
      </w:r>
      <w:r w:rsidRPr="00083739">
        <w:rPr>
          <w:rFonts w:cs="Times New Roman"/>
          <w:noProof/>
          <w:lang w:val="sk-SK"/>
        </w:rPr>
        <w:t>súkromných investícií (odporúčanie pre Španielsko č. 3 2020</w:t>
      </w:r>
      <w:r w:rsidR="00083739" w:rsidRPr="00083739">
        <w:rPr>
          <w:rFonts w:cs="Times New Roman"/>
          <w:noProof/>
          <w:lang w:val="sk-SK"/>
        </w:rPr>
        <w:t xml:space="preserve"> a </w:t>
      </w:r>
      <w:r w:rsidRPr="00083739">
        <w:rPr>
          <w:rFonts w:cs="Times New Roman"/>
          <w:noProof/>
          <w:lang w:val="sk-SK"/>
        </w:rPr>
        <w:t>odporúčanie pre danú krajinu č. 2 2019). Očakáva sa, že žiadne opatrenie</w:t>
      </w:r>
      <w:r w:rsidR="00083739" w:rsidRPr="00083739">
        <w:rPr>
          <w:rFonts w:cs="Times New Roman"/>
          <w:noProof/>
          <w:lang w:val="sk-SK"/>
        </w:rPr>
        <w:t xml:space="preserve"> v </w:t>
      </w:r>
      <w:r w:rsidRPr="00083739">
        <w:rPr>
          <w:rFonts w:cs="Times New Roman"/>
          <w:noProof/>
          <w:lang w:val="sk-SK"/>
        </w:rPr>
        <w:t>tomto komponente výrazne nenaruší environmentál</w:t>
      </w:r>
      <w:r w:rsidRPr="00083739">
        <w:rPr>
          <w:rFonts w:cs="Times New Roman"/>
          <w:noProof/>
          <w:lang w:val="sk-SK"/>
        </w:rPr>
        <w:t>ne ciele</w:t>
      </w:r>
      <w:r w:rsidR="00083739" w:rsidRPr="00083739">
        <w:rPr>
          <w:rFonts w:cs="Times New Roman"/>
          <w:noProof/>
          <w:lang w:val="sk-SK"/>
        </w:rPr>
        <w:t xml:space="preserve"> v </w:t>
      </w:r>
      <w:r w:rsidRPr="00083739">
        <w:rPr>
          <w:rFonts w:cs="Times New Roman"/>
          <w:noProof/>
          <w:lang w:val="sk-SK"/>
        </w:rPr>
        <w:t>zmysle článku 17 nariadenia (EÚ) 2020/852, pričom sa zohľadní opis opatrení</w:t>
      </w:r>
      <w:r w:rsidR="00083739" w:rsidRPr="00083739">
        <w:rPr>
          <w:rFonts w:cs="Times New Roman"/>
          <w:noProof/>
          <w:lang w:val="sk-SK"/>
        </w:rPr>
        <w:t xml:space="preserve"> a </w:t>
      </w:r>
      <w:r w:rsidRPr="00083739">
        <w:rPr>
          <w:rFonts w:cs="Times New Roman"/>
          <w:noProof/>
          <w:lang w:val="sk-SK"/>
        </w:rPr>
        <w:t>zmierňujúcich krokov stanovených</w:t>
      </w:r>
      <w:r w:rsidR="00083739" w:rsidRPr="00083739">
        <w:rPr>
          <w:rFonts w:cs="Times New Roman"/>
          <w:noProof/>
          <w:lang w:val="sk-SK"/>
        </w:rPr>
        <w:t xml:space="preserve"> v </w:t>
      </w:r>
      <w:r w:rsidRPr="00083739">
        <w:rPr>
          <w:rFonts w:cs="Times New Roman"/>
          <w:noProof/>
          <w:lang w:val="sk-SK"/>
        </w:rPr>
        <w:t>pláne podpory obnovy</w:t>
      </w:r>
      <w:r w:rsidR="00083739" w:rsidRPr="00083739">
        <w:rPr>
          <w:rFonts w:cs="Times New Roman"/>
          <w:noProof/>
          <w:lang w:val="sk-SK"/>
        </w:rPr>
        <w:t xml:space="preserve"> a </w:t>
      </w:r>
      <w:r w:rsidRPr="00083739">
        <w:rPr>
          <w:rFonts w:cs="Times New Roman"/>
          <w:noProof/>
          <w:lang w:val="sk-SK"/>
        </w:rPr>
        <w:t>odolnosti</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technickým usmernením „výrazne nenarušiť“ (2021/C58/01).</w:t>
      </w:r>
    </w:p>
    <w:p w14:paraId="4C45CA63" w14:textId="68CAA32C" w:rsidR="002D49B0" w:rsidRPr="00083739" w:rsidRDefault="00BF4125">
      <w:pPr>
        <w:spacing w:before="120" w:after="120" w:line="240" w:lineRule="auto"/>
        <w:jc w:val="both"/>
        <w:rPr>
          <w:rFonts w:ascii="Times New Roman" w:hAnsi="Times New Roman" w:cs="Times New Roman"/>
          <w:b/>
          <w:i/>
          <w:noProof/>
          <w:color w:val="4F81BD"/>
          <w:sz w:val="24"/>
          <w:lang w:val="sk-SK"/>
        </w:rPr>
      </w:pPr>
      <w:r w:rsidRPr="00083739">
        <w:rPr>
          <w:rFonts w:ascii="Times New Roman" w:hAnsi="Times New Roman" w:cs="Times New Roman"/>
          <w:b/>
          <w:noProof/>
          <w:sz w:val="24"/>
          <w:u w:val="single"/>
          <w:lang w:val="sk-SK"/>
        </w:rPr>
        <w:t xml:space="preserve">R.1. </w:t>
      </w:r>
      <w:r w:rsidRPr="00083739">
        <w:rPr>
          <w:rFonts w:ascii="Times New Roman" w:hAnsi="Times New Roman" w:cs="Times New Roman"/>
          <w:noProof/>
          <w:lang w:val="sk-SK"/>
        </w:rPr>
        <w:t xml:space="preserve"> </w:t>
      </w:r>
      <w:r w:rsidRPr="00083739">
        <w:rPr>
          <w:rFonts w:ascii="Times New Roman" w:hAnsi="Times New Roman" w:cs="Times New Roman"/>
          <w:b/>
          <w:noProof/>
          <w:sz w:val="24"/>
          <w:u w:val="single"/>
          <w:lang w:val="sk-SK"/>
        </w:rPr>
        <w:t>Opis reforiem</w:t>
      </w:r>
      <w:r w:rsidR="00083739" w:rsidRPr="00083739">
        <w:rPr>
          <w:rFonts w:ascii="Times New Roman" w:hAnsi="Times New Roman" w:cs="Times New Roman"/>
          <w:b/>
          <w:noProof/>
          <w:sz w:val="24"/>
          <w:u w:val="single"/>
          <w:lang w:val="sk-SK"/>
        </w:rPr>
        <w:t xml:space="preserve"> a </w:t>
      </w:r>
      <w:r w:rsidRPr="00083739">
        <w:rPr>
          <w:rFonts w:ascii="Times New Roman" w:hAnsi="Times New Roman" w:cs="Times New Roman"/>
          <w:b/>
          <w:noProof/>
          <w:sz w:val="24"/>
          <w:u w:val="single"/>
          <w:lang w:val="sk-SK"/>
        </w:rPr>
        <w:t>investícií</w:t>
      </w:r>
      <w:r w:rsidR="00083739" w:rsidRPr="00083739">
        <w:rPr>
          <w:rFonts w:ascii="Times New Roman" w:hAnsi="Times New Roman" w:cs="Times New Roman"/>
          <w:b/>
          <w:noProof/>
          <w:sz w:val="24"/>
          <w:u w:val="single"/>
          <w:lang w:val="sk-SK"/>
        </w:rPr>
        <w:t xml:space="preserve"> v </w:t>
      </w:r>
      <w:r w:rsidRPr="00083739">
        <w:rPr>
          <w:rFonts w:ascii="Times New Roman" w:hAnsi="Times New Roman" w:cs="Times New Roman"/>
          <w:b/>
          <w:noProof/>
          <w:sz w:val="24"/>
          <w:u w:val="single"/>
          <w:lang w:val="sk-SK"/>
        </w:rPr>
        <w:t>rámci nenávratnej finančnej podpory</w:t>
      </w:r>
    </w:p>
    <w:p w14:paraId="2C72116E" w14:textId="70EEB269"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Reforma:</w:t>
      </w:r>
      <w:r w:rsidRPr="00083739">
        <w:rPr>
          <w:rFonts w:cs="Times New Roman"/>
          <w:noProof/>
          <w:lang w:val="sk-SK"/>
        </w:rPr>
        <w:t xml:space="preserve"> Akcie na zjednodušenie podnikateľského prostredia</w:t>
      </w:r>
      <w:r w:rsidR="00083739" w:rsidRPr="00083739">
        <w:rPr>
          <w:rFonts w:cs="Times New Roman"/>
          <w:noProof/>
          <w:lang w:val="sk-SK"/>
        </w:rPr>
        <w:t xml:space="preserve"> a </w:t>
      </w:r>
      <w:r w:rsidRPr="00083739">
        <w:rPr>
          <w:rFonts w:cs="Times New Roman"/>
          <w:noProof/>
          <w:lang w:val="sk-SK"/>
        </w:rPr>
        <w:t>zlepšenie jeho kvality</w:t>
      </w:r>
      <w:r w:rsidR="00083739" w:rsidRPr="00083739">
        <w:rPr>
          <w:rFonts w:cs="Times New Roman"/>
          <w:noProof/>
          <w:lang w:val="sk-SK"/>
        </w:rPr>
        <w:t xml:space="preserve"> a </w:t>
      </w:r>
      <w:r w:rsidRPr="00083739">
        <w:rPr>
          <w:rFonts w:cs="Times New Roman"/>
          <w:noProof/>
          <w:lang w:val="sk-SK"/>
        </w:rPr>
        <w:t>bezpečnosti (ID opatrenia 16543)</w:t>
      </w:r>
    </w:p>
    <w:p w14:paraId="2F137E28" w14:textId="2698D4A0" w:rsidR="002D49B0" w:rsidRPr="00083739" w:rsidRDefault="00BF4125">
      <w:pPr>
        <w:pStyle w:val="P68B1DB1-Normal11"/>
        <w:spacing w:before="120" w:after="120" w:line="240" w:lineRule="auto"/>
        <w:jc w:val="both"/>
        <w:rPr>
          <w:rFonts w:ascii="Times New Roman" w:hAnsi="Times New Roman" w:cs="Times New Roman"/>
          <w:noProof/>
          <w:lang w:val="sk-SK"/>
        </w:rPr>
      </w:pPr>
      <w:r w:rsidRPr="00083739">
        <w:rPr>
          <w:rFonts w:ascii="Times New Roman" w:hAnsi="Times New Roman" w:cs="Times New Roman"/>
          <w:noProof/>
          <w:lang w:val="sk-SK"/>
        </w:rPr>
        <w:t>Cieľom reformy je vytvoriť atraktívne podnikateľské prostredie priaznivé pre investície,</w:t>
      </w:r>
      <w:r w:rsidRPr="00083739">
        <w:rPr>
          <w:rFonts w:ascii="Times New Roman" w:hAnsi="Times New Roman" w:cs="Times New Roman"/>
          <w:noProof/>
          <w:lang w:val="sk-SK"/>
        </w:rPr>
        <w:t xml:space="preserve"> uľahčiť vstup podnikov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vytváranie pracovných miest</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zabezpečiť účinný dohľad nad trhom. Reforma zahŕňa súbor opatrení na zjednodušenie postupov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požiadaviek súvisiacich</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podnikateľskou činnosťou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zároveň na zvýšenie regulačnej istoty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kvality,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to</w:t>
      </w:r>
      <w:r w:rsidRPr="00083739">
        <w:rPr>
          <w:rFonts w:ascii="Times New Roman" w:hAnsi="Times New Roman" w:cs="Times New Roman"/>
          <w:noProof/>
          <w:lang w:val="sk-SK"/>
        </w:rPr>
        <w:t xml:space="preserve"> rozšírením zjednodušenia postupov udeľovania investičných licencií na ďalšie hospodárske činnosti, preskúmaním legislatívneho rámca pre prevádzku výrobnej činnosti</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regióne Atika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administratívnou kodifikáciou roztrieštených licenčných právnych predpiso</w:t>
      </w:r>
      <w:r w:rsidRPr="00083739">
        <w:rPr>
          <w:rFonts w:ascii="Times New Roman" w:hAnsi="Times New Roman" w:cs="Times New Roman"/>
          <w:noProof/>
          <w:lang w:val="sk-SK"/>
        </w:rPr>
        <w:t xml:space="preserve">v </w:t>
      </w:r>
      <w:r w:rsidRPr="00083739">
        <w:rPr>
          <w:rFonts w:ascii="Times New Roman" w:hAnsi="Times New Roman" w:cs="Times New Roman"/>
          <w:noProof/>
          <w:szCs w:val="24"/>
          <w:lang w:val="sk-SK"/>
        </w:rPr>
        <w:t>(</w:t>
      </w:r>
      <w:r w:rsidRPr="00083739">
        <w:rPr>
          <w:rFonts w:ascii="Times New Roman" w:hAnsi="Times New Roman" w:cs="Times New Roman"/>
          <w:i/>
          <w:noProof/>
          <w:szCs w:val="24"/>
          <w:lang w:val="sk-SK"/>
        </w:rPr>
        <w:t>Διοικητικs κsδδικοποίηση</w:t>
      </w:r>
      <w:r w:rsidRPr="00083739">
        <w:rPr>
          <w:rFonts w:ascii="Times New Roman" w:hAnsi="Times New Roman" w:cs="Times New Roman"/>
          <w:noProof/>
          <w:szCs w:val="24"/>
          <w:lang w:val="sk-SK"/>
        </w:rPr>
        <w:t xml:space="preserve">). </w:t>
      </w:r>
      <w:r w:rsidRPr="00083739">
        <w:rPr>
          <w:rFonts w:ascii="Times New Roman" w:hAnsi="Times New Roman" w:cs="Times New Roman"/>
          <w:noProof/>
          <w:lang w:val="sk-SK"/>
        </w:rPr>
        <w:t>Reforma zahŕňa aj opatrenia na zlepšenie rámca dohľadu nad trhom, konkrétne preskúmaním politiky kvality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normalizácie, akreditácie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zhody, posilnením štruktúr dohľadu nad trhom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zodpovedných orgánov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rozšírením </w:t>
      </w:r>
      <w:r w:rsidRPr="00083739">
        <w:rPr>
          <w:rFonts w:ascii="Times New Roman" w:hAnsi="Times New Roman" w:cs="Times New Roman"/>
          <w:noProof/>
          <w:lang w:val="sk-SK"/>
        </w:rPr>
        <w:t>rámca dohľadu na nové oblasti kontroly. Implementácia tejto reformy sa dokončí do 31</w:t>
      </w:r>
      <w:r w:rsidR="00083739" w:rsidRPr="00083739">
        <w:rPr>
          <w:rFonts w:ascii="Times New Roman" w:hAnsi="Times New Roman" w:cs="Times New Roman"/>
          <w:noProof/>
          <w:lang w:val="sk-SK"/>
        </w:rPr>
        <w:t>. decembra</w:t>
      </w:r>
      <w:r w:rsidRPr="00083739">
        <w:rPr>
          <w:rFonts w:ascii="Times New Roman" w:hAnsi="Times New Roman" w:cs="Times New Roman"/>
          <w:noProof/>
          <w:lang w:val="sk-SK"/>
        </w:rPr>
        <w:t xml:space="preserve"> 2025.</w:t>
      </w:r>
    </w:p>
    <w:p w14:paraId="19DB8C2A" w14:textId="7777777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Reforma:</w:t>
      </w:r>
      <w:r w:rsidRPr="00083739">
        <w:rPr>
          <w:rFonts w:cs="Times New Roman"/>
          <w:noProof/>
          <w:lang w:val="sk-SK"/>
        </w:rPr>
        <w:t xml:space="preserve"> Jednoduchosť podnikania (ID opatrenia 16591)</w:t>
      </w:r>
    </w:p>
    <w:p w14:paraId="720BEB09" w14:textId="3E434897" w:rsidR="002D49B0" w:rsidRPr="00083739" w:rsidRDefault="00BF4125">
      <w:pPr>
        <w:pStyle w:val="P68B1DB1-Normal4"/>
        <w:spacing w:before="120" w:after="120" w:line="240" w:lineRule="auto"/>
        <w:jc w:val="both"/>
        <w:rPr>
          <w:rFonts w:cs="Times New Roman"/>
          <w:b/>
          <w:noProof/>
          <w:lang w:val="sk-SK"/>
        </w:rPr>
        <w:sectPr w:rsidR="002D49B0" w:rsidRPr="00083739" w:rsidSect="00271D33">
          <w:headerReference w:type="even" r:id="rId301"/>
          <w:headerReference w:type="default" r:id="rId302"/>
          <w:footerReference w:type="even" r:id="rId303"/>
          <w:footerReference w:type="default" r:id="rId304"/>
          <w:headerReference w:type="first" r:id="rId305"/>
          <w:footerReference w:type="first" r:id="rId306"/>
          <w:pgSz w:w="11907" w:h="16839"/>
          <w:pgMar w:top="1134" w:right="1417" w:bottom="1134" w:left="1417" w:header="709" w:footer="327" w:gutter="0"/>
          <w:cols w:space="720"/>
          <w:docGrid w:linePitch="360"/>
        </w:sectPr>
      </w:pPr>
      <w:r w:rsidRPr="00083739">
        <w:rPr>
          <w:rFonts w:cs="Times New Roman"/>
          <w:noProof/>
          <w:lang w:val="sk-SK"/>
        </w:rPr>
        <w:t>Cieľom reformy je zlepšiť podnikateľské pro</w:t>
      </w:r>
      <w:r w:rsidRPr="00083739">
        <w:rPr>
          <w:rFonts w:cs="Times New Roman"/>
          <w:noProof/>
          <w:lang w:val="sk-SK"/>
        </w:rPr>
        <w:t>stredie</w:t>
      </w:r>
      <w:r w:rsidR="00083739" w:rsidRPr="00083739">
        <w:rPr>
          <w:rFonts w:cs="Times New Roman"/>
          <w:noProof/>
          <w:lang w:val="sk-SK"/>
        </w:rPr>
        <w:t xml:space="preserve"> a </w:t>
      </w:r>
      <w:r w:rsidRPr="00083739">
        <w:rPr>
          <w:rFonts w:cs="Times New Roman"/>
          <w:noProof/>
          <w:lang w:val="sk-SK"/>
        </w:rPr>
        <w:t>zmierniť administratívne</w:t>
      </w:r>
      <w:r w:rsidR="00083739" w:rsidRPr="00083739">
        <w:rPr>
          <w:rFonts w:cs="Times New Roman"/>
          <w:noProof/>
          <w:lang w:val="sk-SK"/>
        </w:rPr>
        <w:t xml:space="preserve"> a </w:t>
      </w:r>
      <w:r w:rsidRPr="00083739">
        <w:rPr>
          <w:rFonts w:cs="Times New Roman"/>
          <w:noProof/>
          <w:lang w:val="sk-SK"/>
        </w:rPr>
        <w:t>regulačné zaťaženie podnikov. Cieľom reformy je tiež zlepšiť poradie Grécka</w:t>
      </w:r>
      <w:r w:rsidR="00083739" w:rsidRPr="00083739">
        <w:rPr>
          <w:rFonts w:cs="Times New Roman"/>
          <w:noProof/>
          <w:lang w:val="sk-SK"/>
        </w:rPr>
        <w:t xml:space="preserve"> v </w:t>
      </w:r>
      <w:r w:rsidRPr="00083739">
        <w:rPr>
          <w:rFonts w:cs="Times New Roman"/>
          <w:noProof/>
          <w:lang w:val="sk-SK"/>
        </w:rPr>
        <w:t>medzinárodných ukazovateľoch, najmä</w:t>
      </w:r>
      <w:r w:rsidR="00083739" w:rsidRPr="00083739">
        <w:rPr>
          <w:rFonts w:cs="Times New Roman"/>
          <w:noProof/>
          <w:lang w:val="sk-SK"/>
        </w:rPr>
        <w:t xml:space="preserve"> v </w:t>
      </w:r>
      <w:r w:rsidRPr="00083739">
        <w:rPr>
          <w:rFonts w:cs="Times New Roman"/>
          <w:noProof/>
          <w:lang w:val="sk-SK"/>
        </w:rPr>
        <w:t>oblasti podnikania Svetovej banky, konkrétne</w:t>
      </w:r>
      <w:r w:rsidR="00083739" w:rsidRPr="00083739">
        <w:rPr>
          <w:rFonts w:cs="Times New Roman"/>
          <w:noProof/>
          <w:lang w:val="sk-SK"/>
        </w:rPr>
        <w:t xml:space="preserve"> v </w:t>
      </w:r>
      <w:r w:rsidRPr="00083739">
        <w:rPr>
          <w:rFonts w:cs="Times New Roman"/>
          <w:noProof/>
          <w:lang w:val="sk-SK"/>
        </w:rPr>
        <w:t xml:space="preserve">oblasti úverov, získavania elektrickej energie, </w:t>
      </w:r>
      <w:r w:rsidRPr="00083739">
        <w:rPr>
          <w:rFonts w:cs="Times New Roman"/>
          <w:noProof/>
          <w:lang w:val="sk-SK"/>
        </w:rPr>
        <w:t>registrácie nehnuteľností</w:t>
      </w:r>
      <w:r w:rsidR="00083739" w:rsidRPr="00083739">
        <w:rPr>
          <w:rFonts w:cs="Times New Roman"/>
          <w:noProof/>
          <w:lang w:val="sk-SK"/>
        </w:rPr>
        <w:t xml:space="preserve"> a </w:t>
      </w:r>
      <w:r w:rsidRPr="00083739">
        <w:rPr>
          <w:rFonts w:cs="Times New Roman"/>
          <w:noProof/>
          <w:lang w:val="sk-SK"/>
        </w:rPr>
        <w:t>získania stavebného povolenia,</w:t>
      </w:r>
      <w:r w:rsidR="00083739" w:rsidRPr="00083739">
        <w:rPr>
          <w:rFonts w:cs="Times New Roman"/>
          <w:noProof/>
          <w:lang w:val="sk-SK"/>
        </w:rPr>
        <w:t xml:space="preserve"> a </w:t>
      </w:r>
      <w:r w:rsidRPr="00083739">
        <w:rPr>
          <w:rFonts w:cs="Times New Roman"/>
          <w:noProof/>
          <w:lang w:val="sk-SK"/>
        </w:rPr>
        <w:t>to skrátením postupov, času</w:t>
      </w:r>
      <w:r w:rsidR="00083739" w:rsidRPr="00083739">
        <w:rPr>
          <w:rFonts w:cs="Times New Roman"/>
          <w:noProof/>
          <w:lang w:val="sk-SK"/>
        </w:rPr>
        <w:t xml:space="preserve"> a </w:t>
      </w:r>
      <w:r w:rsidRPr="00083739">
        <w:rPr>
          <w:rFonts w:cs="Times New Roman"/>
          <w:noProof/>
          <w:lang w:val="sk-SK"/>
        </w:rPr>
        <w:t>nákladov</w:t>
      </w:r>
      <w:r w:rsidR="00083739" w:rsidRPr="00083739">
        <w:rPr>
          <w:rFonts w:cs="Times New Roman"/>
          <w:noProof/>
          <w:lang w:val="sk-SK"/>
        </w:rPr>
        <w:t xml:space="preserve"> a </w:t>
      </w:r>
      <w:r w:rsidRPr="00083739">
        <w:rPr>
          <w:rFonts w:cs="Times New Roman"/>
          <w:noProof/>
          <w:lang w:val="sk-SK"/>
        </w:rPr>
        <w:t>zabezpečením stabilného</w:t>
      </w:r>
      <w:r w:rsidR="00083739" w:rsidRPr="00083739">
        <w:rPr>
          <w:rFonts w:cs="Times New Roman"/>
          <w:noProof/>
          <w:lang w:val="sk-SK"/>
        </w:rPr>
        <w:t xml:space="preserve"> a </w:t>
      </w:r>
      <w:r w:rsidRPr="00083739">
        <w:rPr>
          <w:rFonts w:cs="Times New Roman"/>
          <w:noProof/>
          <w:lang w:val="sk-SK"/>
        </w:rPr>
        <w:t>predvídateľného legislatívneho rámca. Konkrétne zahŕňa sériu intervencií na zníženie zložitosti procesov, nákladov</w:t>
      </w:r>
      <w:r w:rsidR="00083739" w:rsidRPr="00083739">
        <w:rPr>
          <w:rFonts w:cs="Times New Roman"/>
          <w:noProof/>
          <w:lang w:val="sk-SK"/>
        </w:rPr>
        <w:t xml:space="preserve"> a </w:t>
      </w:r>
      <w:r w:rsidRPr="00083739">
        <w:rPr>
          <w:rFonts w:cs="Times New Roman"/>
          <w:noProof/>
          <w:lang w:val="sk-SK"/>
        </w:rPr>
        <w:t>času</w:t>
      </w:r>
      <w:r w:rsidR="00083739" w:rsidRPr="00083739">
        <w:rPr>
          <w:rFonts w:cs="Times New Roman"/>
          <w:noProof/>
          <w:lang w:val="sk-SK"/>
        </w:rPr>
        <w:t xml:space="preserve"> v </w:t>
      </w:r>
      <w:r w:rsidRPr="00083739">
        <w:rPr>
          <w:rFonts w:cs="Times New Roman"/>
          <w:noProof/>
          <w:lang w:val="sk-SK"/>
        </w:rPr>
        <w:t>každ</w:t>
      </w:r>
      <w:r w:rsidRPr="00083739">
        <w:rPr>
          <w:rFonts w:cs="Times New Roman"/>
          <w:noProof/>
          <w:lang w:val="sk-SK"/>
        </w:rPr>
        <w:t>ej</w:t>
      </w:r>
      <w:r w:rsidR="00083739" w:rsidRPr="00083739">
        <w:rPr>
          <w:rFonts w:cs="Times New Roman"/>
          <w:noProof/>
          <w:lang w:val="sk-SK"/>
        </w:rPr>
        <w:t xml:space="preserve"> z </w:t>
      </w:r>
      <w:r w:rsidRPr="00083739">
        <w:rPr>
          <w:rFonts w:cs="Times New Roman"/>
          <w:noProof/>
          <w:lang w:val="sk-SK"/>
        </w:rPr>
        <w:t>uvedených oblastí, ako aj odbornú prípravu zamestnancov verejného sektora zapojených do takýchto procesov</w:t>
      </w:r>
      <w:r w:rsidR="00083739" w:rsidRPr="00083739">
        <w:rPr>
          <w:rFonts w:cs="Times New Roman"/>
          <w:noProof/>
          <w:lang w:val="sk-SK"/>
        </w:rPr>
        <w:t xml:space="preserve"> a </w:t>
      </w:r>
      <w:r w:rsidRPr="00083739">
        <w:rPr>
          <w:rFonts w:cs="Times New Roman"/>
          <w:noProof/>
          <w:lang w:val="sk-SK"/>
        </w:rPr>
        <w:t>osvetových činností pre kľúčové zainteresované strany. Implementácia tejto reformy sa dokončí do 30</w:t>
      </w:r>
      <w:r w:rsidR="00083739" w:rsidRPr="00083739">
        <w:rPr>
          <w:rFonts w:cs="Times New Roman"/>
          <w:noProof/>
          <w:lang w:val="sk-SK"/>
        </w:rPr>
        <w:t>. júna</w:t>
      </w:r>
      <w:r w:rsidRPr="00083739">
        <w:rPr>
          <w:rFonts w:cs="Times New Roman"/>
          <w:noProof/>
          <w:lang w:val="sk-SK"/>
        </w:rPr>
        <w:t xml:space="preserve"> 2024.</w:t>
      </w:r>
    </w:p>
    <w:p w14:paraId="4E44A7D6" w14:textId="44E52FB2"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Reforma:</w:t>
      </w:r>
      <w:r w:rsidRPr="00083739">
        <w:rPr>
          <w:rFonts w:cs="Times New Roman"/>
          <w:noProof/>
          <w:lang w:val="sk-SK"/>
        </w:rPr>
        <w:t xml:space="preserve"> Režim stimulov pre pro</w:t>
      </w:r>
      <w:r w:rsidRPr="00083739">
        <w:rPr>
          <w:rFonts w:cs="Times New Roman"/>
          <w:noProof/>
          <w:lang w:val="sk-SK"/>
        </w:rPr>
        <w:t>duktivitu</w:t>
      </w:r>
      <w:r w:rsidR="00083739" w:rsidRPr="00083739">
        <w:rPr>
          <w:rFonts w:cs="Times New Roman"/>
          <w:noProof/>
          <w:lang w:val="sk-SK"/>
        </w:rPr>
        <w:t xml:space="preserve"> a </w:t>
      </w:r>
      <w:r w:rsidRPr="00083739">
        <w:rPr>
          <w:rFonts w:cs="Times New Roman"/>
          <w:noProof/>
          <w:lang w:val="sk-SK"/>
        </w:rPr>
        <w:t>extroverziu podnikov (zvýšenie veľkosti podnikov) (ID opatrenia 16598)</w:t>
      </w:r>
    </w:p>
    <w:p w14:paraId="3AE7A86A" w14:textId="48EF3EC5"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Cieľom reformy je riešiť nedostatky súvisiace</w:t>
      </w:r>
      <w:r w:rsidR="00083739" w:rsidRPr="00083739">
        <w:rPr>
          <w:rFonts w:cs="Times New Roman"/>
          <w:noProof/>
          <w:lang w:val="sk-SK"/>
        </w:rPr>
        <w:t xml:space="preserve"> s </w:t>
      </w:r>
      <w:r w:rsidRPr="00083739">
        <w:rPr>
          <w:rFonts w:cs="Times New Roman"/>
          <w:noProof/>
          <w:lang w:val="sk-SK"/>
        </w:rPr>
        <w:t>prevažne malými gréckymi podnikmi. Vytvorí celý rad daňových</w:t>
      </w:r>
      <w:r w:rsidR="00083739" w:rsidRPr="00083739">
        <w:rPr>
          <w:rFonts w:cs="Times New Roman"/>
          <w:noProof/>
          <w:lang w:val="sk-SK"/>
        </w:rPr>
        <w:t xml:space="preserve"> a </w:t>
      </w:r>
      <w:r w:rsidRPr="00083739">
        <w:rPr>
          <w:rFonts w:cs="Times New Roman"/>
          <w:noProof/>
          <w:lang w:val="sk-SK"/>
        </w:rPr>
        <w:t xml:space="preserve">iných stimulov na povzbudenie samostatne zárobkovo činných </w:t>
      </w:r>
      <w:r w:rsidRPr="00083739">
        <w:rPr>
          <w:rFonts w:cs="Times New Roman"/>
          <w:noProof/>
          <w:lang w:val="sk-SK"/>
        </w:rPr>
        <w:t>osôb</w:t>
      </w:r>
      <w:r w:rsidR="00083739" w:rsidRPr="00083739">
        <w:rPr>
          <w:rFonts w:cs="Times New Roman"/>
          <w:noProof/>
          <w:lang w:val="sk-SK"/>
        </w:rPr>
        <w:t xml:space="preserve"> a </w:t>
      </w:r>
      <w:r w:rsidRPr="00083739">
        <w:rPr>
          <w:rFonts w:cs="Times New Roman"/>
          <w:noProof/>
          <w:lang w:val="sk-SK"/>
        </w:rPr>
        <w:t>mikropodnikov, malých</w:t>
      </w:r>
      <w:r w:rsidR="00083739" w:rsidRPr="00083739">
        <w:rPr>
          <w:rFonts w:cs="Times New Roman"/>
          <w:noProof/>
          <w:lang w:val="sk-SK"/>
        </w:rPr>
        <w:t xml:space="preserve"> a </w:t>
      </w:r>
      <w:r w:rsidRPr="00083739">
        <w:rPr>
          <w:rFonts w:cs="Times New Roman"/>
          <w:noProof/>
          <w:lang w:val="sk-SK"/>
        </w:rPr>
        <w:t>stredných podnikov, aby zvyšovali úspory</w:t>
      </w:r>
      <w:r w:rsidR="00083739" w:rsidRPr="00083739">
        <w:rPr>
          <w:rFonts w:cs="Times New Roman"/>
          <w:noProof/>
          <w:lang w:val="sk-SK"/>
        </w:rPr>
        <w:t xml:space="preserve"> z </w:t>
      </w:r>
      <w:r w:rsidRPr="00083739">
        <w:rPr>
          <w:rFonts w:cs="Times New Roman"/>
          <w:noProof/>
          <w:lang w:val="sk-SK"/>
        </w:rPr>
        <w:t>rozsahu prostredníctvom fúzií, konverzií, akvizícií</w:t>
      </w:r>
      <w:r w:rsidR="00083739" w:rsidRPr="00083739">
        <w:rPr>
          <w:rFonts w:cs="Times New Roman"/>
          <w:noProof/>
          <w:lang w:val="sk-SK"/>
        </w:rPr>
        <w:t xml:space="preserve"> a </w:t>
      </w:r>
      <w:r w:rsidRPr="00083739">
        <w:rPr>
          <w:rFonts w:cs="Times New Roman"/>
          <w:noProof/>
          <w:lang w:val="sk-SK"/>
        </w:rPr>
        <w:t>systémov spolupráce</w:t>
      </w:r>
      <w:r w:rsidR="00083739" w:rsidRPr="00083739">
        <w:rPr>
          <w:rFonts w:cs="Times New Roman"/>
          <w:noProof/>
          <w:lang w:val="sk-SK"/>
        </w:rPr>
        <w:t xml:space="preserve"> a </w:t>
      </w:r>
      <w:r w:rsidRPr="00083739">
        <w:rPr>
          <w:rFonts w:cs="Times New Roman"/>
          <w:noProof/>
          <w:lang w:val="sk-SK"/>
        </w:rPr>
        <w:t>platforiem, ako sú spoločné podniky, klastre, ktoré podporujú aj vyššiu produktivitu</w:t>
      </w:r>
      <w:r w:rsidR="00083739" w:rsidRPr="00083739">
        <w:rPr>
          <w:rFonts w:cs="Times New Roman"/>
          <w:noProof/>
          <w:lang w:val="sk-SK"/>
        </w:rPr>
        <w:t xml:space="preserve"> a </w:t>
      </w:r>
      <w:r w:rsidRPr="00083739">
        <w:rPr>
          <w:rFonts w:cs="Times New Roman"/>
          <w:noProof/>
          <w:lang w:val="sk-SK"/>
        </w:rPr>
        <w:t>zvýšený vývoz. Impl</w:t>
      </w:r>
      <w:r w:rsidRPr="00083739">
        <w:rPr>
          <w:rFonts w:cs="Times New Roman"/>
          <w:noProof/>
          <w:lang w:val="sk-SK"/>
        </w:rPr>
        <w:t>ementácia tejto reformy sa dokončí do 31</w:t>
      </w:r>
      <w:r w:rsidR="00083739" w:rsidRPr="00083739">
        <w:rPr>
          <w:rFonts w:cs="Times New Roman"/>
          <w:noProof/>
          <w:lang w:val="sk-SK"/>
        </w:rPr>
        <w:t>. marca</w:t>
      </w:r>
      <w:r w:rsidRPr="00083739">
        <w:rPr>
          <w:rFonts w:cs="Times New Roman"/>
          <w:noProof/>
          <w:lang w:val="sk-SK"/>
        </w:rPr>
        <w:t xml:space="preserve"> 2022.</w:t>
      </w:r>
    </w:p>
    <w:p w14:paraId="6434C505" w14:textId="77777777" w:rsidR="002D49B0" w:rsidRPr="00083739" w:rsidRDefault="00BF4125">
      <w:pPr>
        <w:pStyle w:val="P68B1DB1-Normal44"/>
        <w:spacing w:before="120" w:after="120" w:line="240" w:lineRule="auto"/>
        <w:ind w:left="709"/>
        <w:jc w:val="both"/>
        <w:rPr>
          <w:rFonts w:cs="Times New Roman"/>
          <w:noProof/>
          <w:lang w:val="sk-SK"/>
        </w:rPr>
      </w:pPr>
      <w:r w:rsidRPr="00083739">
        <w:rPr>
          <w:rFonts w:cs="Times New Roman"/>
          <w:noProof/>
          <w:lang w:val="sk-SK"/>
        </w:rPr>
        <w:t>.</w:t>
      </w:r>
    </w:p>
    <w:p w14:paraId="57773AD7" w14:textId="77777777" w:rsidR="002D49B0" w:rsidRPr="00083739" w:rsidRDefault="002D49B0">
      <w:pPr>
        <w:spacing w:before="120" w:after="120" w:line="240" w:lineRule="auto"/>
        <w:ind w:left="709"/>
        <w:jc w:val="both"/>
        <w:rPr>
          <w:rFonts w:ascii="Times New Roman" w:hAnsi="Times New Roman" w:cs="Times New Roman"/>
          <w:noProof/>
          <w:sz w:val="24"/>
          <w:lang w:val="sk-SK"/>
        </w:rPr>
        <w:sectPr w:rsidR="002D49B0" w:rsidRPr="00083739" w:rsidSect="00271D33">
          <w:headerReference w:type="even" r:id="rId307"/>
          <w:headerReference w:type="default" r:id="rId308"/>
          <w:footerReference w:type="even" r:id="rId309"/>
          <w:footerReference w:type="default" r:id="rId310"/>
          <w:headerReference w:type="first" r:id="rId311"/>
          <w:footerReference w:type="first" r:id="rId312"/>
          <w:pgSz w:w="11907" w:h="16839"/>
          <w:pgMar w:top="1134" w:right="1417" w:bottom="1134" w:left="1417" w:header="709" w:footer="709" w:gutter="0"/>
          <w:cols w:space="720"/>
          <w:docGrid w:linePitch="360"/>
        </w:sectPr>
      </w:pPr>
    </w:p>
    <w:p w14:paraId="141924C6" w14:textId="15861990" w:rsidR="002D49B0" w:rsidRPr="00083739" w:rsidRDefault="00BF4125">
      <w:pPr>
        <w:spacing w:before="120" w:after="120" w:line="240" w:lineRule="auto"/>
        <w:ind w:left="709"/>
        <w:jc w:val="both"/>
        <w:rPr>
          <w:rFonts w:ascii="Times New Roman" w:hAnsi="Times New Roman" w:cs="Times New Roman"/>
          <w:b/>
          <w:noProof/>
          <w:sz w:val="24"/>
          <w:u w:val="single"/>
          <w:lang w:val="sk-SK"/>
        </w:rPr>
      </w:pPr>
      <w:r w:rsidRPr="00083739">
        <w:rPr>
          <w:rFonts w:ascii="Times New Roman" w:hAnsi="Times New Roman" w:cs="Times New Roman"/>
          <w:b/>
          <w:noProof/>
          <w:sz w:val="24"/>
          <w:u w:val="single"/>
          <w:lang w:val="sk-SK"/>
        </w:rPr>
        <w:t xml:space="preserve">R.2. </w:t>
      </w:r>
      <w:r w:rsidRPr="00083739">
        <w:rPr>
          <w:rFonts w:ascii="Times New Roman" w:hAnsi="Times New Roman" w:cs="Times New Roman"/>
          <w:noProof/>
          <w:lang w:val="sk-SK"/>
        </w:rPr>
        <w:t xml:space="preserve"> </w:t>
      </w:r>
      <w:r w:rsidRPr="00083739">
        <w:rPr>
          <w:rFonts w:ascii="Times New Roman" w:hAnsi="Times New Roman" w:cs="Times New Roman"/>
          <w:b/>
          <w:noProof/>
          <w:sz w:val="24"/>
          <w:u w:val="single"/>
          <w:lang w:val="sk-SK"/>
        </w:rPr>
        <w:t>Míľniky, ciele, ukazovatele</w:t>
      </w:r>
      <w:r w:rsidR="00083739" w:rsidRPr="00083739">
        <w:rPr>
          <w:rFonts w:ascii="Times New Roman" w:hAnsi="Times New Roman" w:cs="Times New Roman"/>
          <w:b/>
          <w:noProof/>
          <w:sz w:val="24"/>
          <w:u w:val="single"/>
          <w:lang w:val="sk-SK"/>
        </w:rPr>
        <w:t xml:space="preserve"> a </w:t>
      </w:r>
      <w:r w:rsidRPr="00083739">
        <w:rPr>
          <w:rFonts w:ascii="Times New Roman" w:hAnsi="Times New Roman" w:cs="Times New Roman"/>
          <w:b/>
          <w:noProof/>
          <w:sz w:val="24"/>
          <w:u w:val="single"/>
          <w:lang w:val="sk-SK"/>
        </w:rPr>
        <w:t>harmonogram monitorovania</w:t>
      </w:r>
      <w:r w:rsidR="00083739" w:rsidRPr="00083739">
        <w:rPr>
          <w:rFonts w:ascii="Times New Roman" w:hAnsi="Times New Roman" w:cs="Times New Roman"/>
          <w:b/>
          <w:noProof/>
          <w:sz w:val="24"/>
          <w:u w:val="single"/>
          <w:lang w:val="sk-SK"/>
        </w:rPr>
        <w:t xml:space="preserve"> a </w:t>
      </w:r>
      <w:r w:rsidRPr="00083739">
        <w:rPr>
          <w:rFonts w:ascii="Times New Roman" w:hAnsi="Times New Roman" w:cs="Times New Roman"/>
          <w:b/>
          <w:noProof/>
          <w:sz w:val="24"/>
          <w:u w:val="single"/>
          <w:lang w:val="sk-SK"/>
        </w:rPr>
        <w:t>realizácie pre nenávratnú finančnú podporu</w:t>
      </w:r>
    </w:p>
    <w:p w14:paraId="23A46B2A" w14:textId="77777777" w:rsidR="002D49B0" w:rsidRPr="00083739" w:rsidRDefault="002D49B0">
      <w:pPr>
        <w:rPr>
          <w:rFonts w:ascii="Times New Roman" w:hAnsi="Times New Roman" w:cs="Times New Roman"/>
          <w:noProof/>
          <w:lang w:val="sk-SK"/>
        </w:rPr>
      </w:pPr>
    </w:p>
    <w:p w14:paraId="75AFFCAD" w14:textId="6AEC56F9" w:rsidR="002D49B0" w:rsidRPr="00083739" w:rsidRDefault="00BF4125">
      <w:pPr>
        <w:pStyle w:val="P68B1DB1-Normal6"/>
        <w:keepNext/>
        <w:keepLines/>
        <w:spacing w:before="40" w:after="0" w:line="240" w:lineRule="auto"/>
        <w:jc w:val="both"/>
        <w:outlineLvl w:val="4"/>
        <w:rPr>
          <w:rFonts w:ascii="Times New Roman" w:hAnsi="Times New Roman" w:cs="Times New Roman"/>
          <w:noProof/>
          <w:lang w:val="sk-SK"/>
        </w:rPr>
      </w:pPr>
      <w:r w:rsidRPr="00083739">
        <w:rPr>
          <w:rFonts w:ascii="Times New Roman" w:hAnsi="Times New Roman" w:cs="Times New Roman"/>
          <w:noProof/>
          <w:lang w:val="sk-SK"/>
        </w:rPr>
        <w:t xml:space="preserve">Kľúčová reforma 10: Opatrenia na </w:t>
      </w:r>
      <w:r w:rsidRPr="00083739">
        <w:rPr>
          <w:rFonts w:ascii="Times New Roman" w:hAnsi="Times New Roman" w:cs="Times New Roman"/>
          <w:noProof/>
          <w:lang w:val="sk-SK"/>
        </w:rPr>
        <w:t>zjednodušenie podnikateľského prostredia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zlepšenie jeho kvality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bezpečnosti – Začatie podnikania</w:t>
      </w:r>
    </w:p>
    <w:p w14:paraId="7B7D718E" w14:textId="77777777" w:rsidR="002D49B0" w:rsidRPr="00083739" w:rsidRDefault="002D49B0">
      <w:pPr>
        <w:keepNext/>
        <w:keepLines/>
        <w:spacing w:before="40" w:after="0" w:line="240" w:lineRule="auto"/>
        <w:jc w:val="both"/>
        <w:outlineLvl w:val="4"/>
        <w:rPr>
          <w:rFonts w:ascii="Times New Roman" w:eastAsia="Times New Roman" w:hAnsi="Times New Roman" w:cs="Times New Roman"/>
          <w:noProof/>
          <w:color w:val="365F91"/>
          <w:sz w:val="24"/>
          <w:szCs w:val="24"/>
          <w:lang w:val="sk-SK"/>
        </w:rPr>
      </w:pPr>
    </w:p>
    <w:tbl>
      <w:tblPr>
        <w:tblW w:w="15502" w:type="dxa"/>
        <w:jc w:val="center"/>
        <w:tblLook w:val="04A0" w:firstRow="1" w:lastRow="0" w:firstColumn="1" w:lastColumn="0" w:noHBand="0" w:noVBand="1"/>
      </w:tblPr>
      <w:tblGrid>
        <w:gridCol w:w="1129"/>
        <w:gridCol w:w="1876"/>
        <w:gridCol w:w="1115"/>
        <w:gridCol w:w="1592"/>
        <w:gridCol w:w="2106"/>
        <w:gridCol w:w="983"/>
        <w:gridCol w:w="957"/>
        <w:gridCol w:w="827"/>
        <w:gridCol w:w="1167"/>
        <w:gridCol w:w="707"/>
        <w:gridCol w:w="4449"/>
      </w:tblGrid>
      <w:tr w:rsidR="002D49B0" w:rsidRPr="00083739" w14:paraId="4EEE6104" w14:textId="77777777">
        <w:trPr>
          <w:trHeight w:val="685"/>
          <w:tblHeader/>
          <w:jc w:val="center"/>
        </w:trPr>
        <w:tc>
          <w:tcPr>
            <w:tcW w:w="112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67A4668"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Poradové číslo</w:t>
            </w:r>
          </w:p>
        </w:tc>
        <w:tc>
          <w:tcPr>
            <w:tcW w:w="131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BEBB3F5"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Súvisiace opatrenie (reforma alebo investícia)</w:t>
            </w:r>
          </w:p>
        </w:tc>
        <w:tc>
          <w:tcPr>
            <w:tcW w:w="96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C63B657"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Míľnik/cieľ</w:t>
            </w:r>
          </w:p>
        </w:tc>
        <w:tc>
          <w:tcPr>
            <w:tcW w:w="1592" w:type="dxa"/>
            <w:vMerge w:val="restart"/>
            <w:tcBorders>
              <w:top w:val="single" w:sz="4" w:space="0" w:color="auto"/>
              <w:left w:val="nil"/>
              <w:bottom w:val="single" w:sz="4" w:space="0" w:color="auto"/>
              <w:right w:val="single" w:sz="4" w:space="0" w:color="auto"/>
            </w:tcBorders>
            <w:shd w:val="clear" w:color="auto" w:fill="BDD7EE"/>
            <w:vAlign w:val="center"/>
            <w:hideMark/>
          </w:tcPr>
          <w:p w14:paraId="2856F6A8"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Názov</w:t>
            </w:r>
          </w:p>
        </w:tc>
        <w:tc>
          <w:tcPr>
            <w:tcW w:w="169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B4156B6"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Kvalitatívne ukazovatele (pre míľniky)</w:t>
            </w:r>
          </w:p>
        </w:tc>
        <w:tc>
          <w:tcPr>
            <w:tcW w:w="2667" w:type="dxa"/>
            <w:gridSpan w:val="3"/>
            <w:tcBorders>
              <w:top w:val="single" w:sz="4" w:space="0" w:color="auto"/>
              <w:left w:val="nil"/>
              <w:bottom w:val="single" w:sz="4" w:space="0" w:color="auto"/>
              <w:right w:val="single" w:sz="4" w:space="0" w:color="auto"/>
            </w:tcBorders>
            <w:shd w:val="clear" w:color="auto" w:fill="BDD7EE"/>
            <w:vAlign w:val="center"/>
            <w:hideMark/>
          </w:tcPr>
          <w:p w14:paraId="04A84921"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Kvantitatívne ukazovatele (pre </w:t>
            </w:r>
            <w:r w:rsidRPr="00083739">
              <w:rPr>
                <w:rFonts w:cs="Times New Roman"/>
                <w:noProof/>
                <w:lang w:val="sk-SK"/>
              </w:rPr>
              <w:t>ciele)</w:t>
            </w:r>
          </w:p>
        </w:tc>
        <w:tc>
          <w:tcPr>
            <w:tcW w:w="1694" w:type="dxa"/>
            <w:gridSpan w:val="2"/>
            <w:tcBorders>
              <w:top w:val="single" w:sz="4" w:space="0" w:color="auto"/>
              <w:left w:val="nil"/>
              <w:bottom w:val="single" w:sz="4" w:space="0" w:color="auto"/>
              <w:right w:val="single" w:sz="4" w:space="0" w:color="auto"/>
            </w:tcBorders>
            <w:shd w:val="clear" w:color="auto" w:fill="BDD7EE"/>
            <w:vAlign w:val="center"/>
            <w:hideMark/>
          </w:tcPr>
          <w:p w14:paraId="470A35A1"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Orientačný harmonogram dokončenia </w:t>
            </w:r>
          </w:p>
        </w:tc>
        <w:tc>
          <w:tcPr>
            <w:tcW w:w="4449" w:type="dxa"/>
            <w:vMerge w:val="restart"/>
            <w:tcBorders>
              <w:top w:val="single" w:sz="4" w:space="0" w:color="auto"/>
              <w:left w:val="single" w:sz="4" w:space="0" w:color="auto"/>
              <w:right w:val="single" w:sz="4" w:space="0" w:color="auto"/>
            </w:tcBorders>
            <w:shd w:val="clear" w:color="auto" w:fill="BDD7EE"/>
            <w:vAlign w:val="center"/>
            <w:hideMark/>
          </w:tcPr>
          <w:p w14:paraId="6DB835A1" w14:textId="0A0501A1"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Opis každého míľnika</w:t>
            </w:r>
            <w:r w:rsidR="00083739" w:rsidRPr="00083739">
              <w:rPr>
                <w:rFonts w:cs="Times New Roman"/>
                <w:noProof/>
                <w:lang w:val="sk-SK"/>
              </w:rPr>
              <w:t xml:space="preserve"> a </w:t>
            </w:r>
            <w:r w:rsidRPr="00083739">
              <w:rPr>
                <w:rFonts w:cs="Times New Roman"/>
                <w:noProof/>
                <w:lang w:val="sk-SK"/>
              </w:rPr>
              <w:t>cieľa</w:t>
            </w:r>
          </w:p>
        </w:tc>
      </w:tr>
      <w:tr w:rsidR="002D49B0" w:rsidRPr="00083739" w14:paraId="2FD958E1" w14:textId="77777777">
        <w:trPr>
          <w:trHeight w:val="458"/>
          <w:tblHeader/>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2A0CB64A"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311" w:type="dxa"/>
            <w:vMerge/>
            <w:tcBorders>
              <w:top w:val="single" w:sz="4" w:space="0" w:color="auto"/>
              <w:left w:val="single" w:sz="4" w:space="0" w:color="auto"/>
              <w:bottom w:val="single" w:sz="4" w:space="0" w:color="auto"/>
              <w:right w:val="single" w:sz="4" w:space="0" w:color="auto"/>
            </w:tcBorders>
            <w:vAlign w:val="center"/>
            <w:hideMark/>
          </w:tcPr>
          <w:p w14:paraId="44B9F492"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966" w:type="dxa"/>
            <w:vMerge/>
            <w:tcBorders>
              <w:top w:val="single" w:sz="4" w:space="0" w:color="auto"/>
              <w:left w:val="single" w:sz="4" w:space="0" w:color="auto"/>
              <w:bottom w:val="single" w:sz="4" w:space="0" w:color="auto"/>
              <w:right w:val="single" w:sz="4" w:space="0" w:color="auto"/>
            </w:tcBorders>
            <w:vAlign w:val="center"/>
            <w:hideMark/>
          </w:tcPr>
          <w:p w14:paraId="2CE86E04"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592" w:type="dxa"/>
            <w:vMerge/>
            <w:tcBorders>
              <w:top w:val="single" w:sz="4" w:space="0" w:color="auto"/>
              <w:left w:val="nil"/>
              <w:bottom w:val="single" w:sz="4" w:space="0" w:color="auto"/>
              <w:right w:val="single" w:sz="4" w:space="0" w:color="auto"/>
            </w:tcBorders>
            <w:vAlign w:val="center"/>
            <w:hideMark/>
          </w:tcPr>
          <w:p w14:paraId="6BD15549"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694" w:type="dxa"/>
            <w:vMerge/>
            <w:tcBorders>
              <w:top w:val="single" w:sz="4" w:space="0" w:color="auto"/>
              <w:left w:val="single" w:sz="4" w:space="0" w:color="auto"/>
              <w:bottom w:val="single" w:sz="4" w:space="0" w:color="auto"/>
              <w:right w:val="single" w:sz="4" w:space="0" w:color="auto"/>
            </w:tcBorders>
            <w:vAlign w:val="center"/>
            <w:hideMark/>
          </w:tcPr>
          <w:p w14:paraId="58C1B672"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983" w:type="dxa"/>
            <w:tcBorders>
              <w:top w:val="single" w:sz="4" w:space="0" w:color="auto"/>
              <w:left w:val="nil"/>
              <w:bottom w:val="single" w:sz="4" w:space="0" w:color="auto"/>
              <w:right w:val="single" w:sz="4" w:space="0" w:color="auto"/>
            </w:tcBorders>
            <w:shd w:val="clear" w:color="auto" w:fill="BDD7EE"/>
            <w:vAlign w:val="center"/>
            <w:hideMark/>
          </w:tcPr>
          <w:p w14:paraId="1A812708"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Merná jednotka</w:t>
            </w:r>
          </w:p>
        </w:tc>
        <w:tc>
          <w:tcPr>
            <w:tcW w:w="857" w:type="dxa"/>
            <w:tcBorders>
              <w:top w:val="single" w:sz="4" w:space="0" w:color="auto"/>
              <w:left w:val="nil"/>
              <w:bottom w:val="single" w:sz="4" w:space="0" w:color="auto"/>
              <w:right w:val="single" w:sz="4" w:space="0" w:color="auto"/>
            </w:tcBorders>
            <w:shd w:val="clear" w:color="auto" w:fill="BDD7EE"/>
            <w:vAlign w:val="center"/>
            <w:hideMark/>
          </w:tcPr>
          <w:p w14:paraId="67C31BCB"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Základná </w:t>
            </w:r>
          </w:p>
        </w:tc>
        <w:tc>
          <w:tcPr>
            <w:tcW w:w="827" w:type="dxa"/>
            <w:tcBorders>
              <w:top w:val="single" w:sz="4" w:space="0" w:color="auto"/>
              <w:left w:val="nil"/>
              <w:bottom w:val="single" w:sz="4" w:space="0" w:color="auto"/>
              <w:right w:val="single" w:sz="4" w:space="0" w:color="auto"/>
            </w:tcBorders>
            <w:shd w:val="clear" w:color="auto" w:fill="BDD7EE"/>
            <w:vAlign w:val="center"/>
            <w:hideMark/>
          </w:tcPr>
          <w:p w14:paraId="430E3C4C"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Cieľ </w:t>
            </w:r>
          </w:p>
        </w:tc>
        <w:tc>
          <w:tcPr>
            <w:tcW w:w="987" w:type="dxa"/>
            <w:tcBorders>
              <w:top w:val="single" w:sz="4" w:space="0" w:color="auto"/>
              <w:left w:val="nil"/>
              <w:bottom w:val="single" w:sz="4" w:space="0" w:color="auto"/>
              <w:right w:val="single" w:sz="4" w:space="0" w:color="auto"/>
            </w:tcBorders>
            <w:shd w:val="clear" w:color="auto" w:fill="BDD7EE"/>
            <w:vAlign w:val="center"/>
            <w:hideMark/>
          </w:tcPr>
          <w:p w14:paraId="142C0BA0"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Štvrtina</w:t>
            </w:r>
          </w:p>
        </w:tc>
        <w:tc>
          <w:tcPr>
            <w:tcW w:w="707" w:type="dxa"/>
            <w:tcBorders>
              <w:top w:val="single" w:sz="4" w:space="0" w:color="auto"/>
              <w:left w:val="nil"/>
              <w:bottom w:val="single" w:sz="4" w:space="0" w:color="auto"/>
              <w:right w:val="single" w:sz="4" w:space="0" w:color="auto"/>
            </w:tcBorders>
            <w:shd w:val="clear" w:color="auto" w:fill="BDD7EE"/>
            <w:vAlign w:val="center"/>
            <w:hideMark/>
          </w:tcPr>
          <w:p w14:paraId="78C6AEB2"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Rok</w:t>
            </w:r>
          </w:p>
        </w:tc>
        <w:tc>
          <w:tcPr>
            <w:tcW w:w="4449" w:type="dxa"/>
            <w:vMerge/>
            <w:tcBorders>
              <w:left w:val="single" w:sz="4" w:space="0" w:color="auto"/>
              <w:bottom w:val="single" w:sz="4" w:space="0" w:color="auto"/>
              <w:right w:val="single" w:sz="4" w:space="0" w:color="auto"/>
            </w:tcBorders>
            <w:vAlign w:val="center"/>
            <w:hideMark/>
          </w:tcPr>
          <w:p w14:paraId="7928DDFE"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r>
      <w:tr w:rsidR="002D49B0" w:rsidRPr="00083739" w14:paraId="62A7FB74" w14:textId="77777777">
        <w:trPr>
          <w:trHeight w:val="309"/>
          <w:jc w:val="center"/>
        </w:trPr>
        <w:tc>
          <w:tcPr>
            <w:tcW w:w="1129" w:type="dxa"/>
            <w:tcBorders>
              <w:top w:val="single" w:sz="4" w:space="0" w:color="auto"/>
              <w:left w:val="single" w:sz="4" w:space="0" w:color="auto"/>
              <w:bottom w:val="single" w:sz="4" w:space="0" w:color="auto"/>
              <w:right w:val="single" w:sz="4" w:space="0" w:color="auto"/>
            </w:tcBorders>
            <w:shd w:val="clear" w:color="auto" w:fill="C6EFCE"/>
            <w:noWrap/>
          </w:tcPr>
          <w:p w14:paraId="4033701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317</w:t>
            </w:r>
          </w:p>
        </w:tc>
        <w:tc>
          <w:tcPr>
            <w:tcW w:w="1311" w:type="dxa"/>
            <w:tcBorders>
              <w:top w:val="single" w:sz="4" w:space="0" w:color="auto"/>
              <w:left w:val="nil"/>
              <w:bottom w:val="single" w:sz="4" w:space="0" w:color="auto"/>
              <w:right w:val="single" w:sz="4" w:space="0" w:color="auto"/>
            </w:tcBorders>
            <w:shd w:val="clear" w:color="auto" w:fill="C6EFCE"/>
            <w:noWrap/>
          </w:tcPr>
          <w:p w14:paraId="10607069" w14:textId="7A8E948A"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18 – 4.7. Zlepšenie konkurencieschopnosti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podpora súkromných investícií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vývozu – 16543_Opatrenia na zjednodušenie </w:t>
            </w:r>
            <w:r w:rsidRPr="00083739">
              <w:rPr>
                <w:rFonts w:ascii="Times New Roman" w:hAnsi="Times New Roman" w:cs="Times New Roman"/>
                <w:noProof/>
                <w:lang w:val="sk-SK"/>
              </w:rPr>
              <w:t>podnikateľského prostredia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zlepšenie jeho kvality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bezpečnosti</w:t>
            </w:r>
          </w:p>
        </w:tc>
        <w:tc>
          <w:tcPr>
            <w:tcW w:w="966" w:type="dxa"/>
            <w:tcBorders>
              <w:top w:val="single" w:sz="4" w:space="0" w:color="auto"/>
              <w:left w:val="nil"/>
              <w:bottom w:val="single" w:sz="4" w:space="0" w:color="auto"/>
              <w:right w:val="single" w:sz="4" w:space="0" w:color="auto"/>
            </w:tcBorders>
            <w:shd w:val="clear" w:color="auto" w:fill="C6EFCE"/>
            <w:noWrap/>
          </w:tcPr>
          <w:p w14:paraId="5EC5334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592" w:type="dxa"/>
            <w:tcBorders>
              <w:top w:val="single" w:sz="4" w:space="0" w:color="auto"/>
              <w:left w:val="nil"/>
              <w:bottom w:val="single" w:sz="4" w:space="0" w:color="auto"/>
              <w:right w:val="single" w:sz="4" w:space="0" w:color="auto"/>
            </w:tcBorders>
            <w:shd w:val="clear" w:color="auto" w:fill="C6EFCE"/>
            <w:noWrap/>
          </w:tcPr>
          <w:p w14:paraId="4E4C068D" w14:textId="5C88DFC8"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Vytvorenie politiky kvality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nového regulačného rámca pre kvalitnú infraštruktúru </w:t>
            </w:r>
          </w:p>
        </w:tc>
        <w:tc>
          <w:tcPr>
            <w:tcW w:w="1694" w:type="dxa"/>
            <w:tcBorders>
              <w:top w:val="single" w:sz="4" w:space="0" w:color="auto"/>
              <w:left w:val="nil"/>
              <w:bottom w:val="single" w:sz="4" w:space="0" w:color="auto"/>
              <w:right w:val="single" w:sz="4" w:space="0" w:color="auto"/>
            </w:tcBorders>
            <w:shd w:val="clear" w:color="auto" w:fill="C6EFCE"/>
            <w:noWrap/>
          </w:tcPr>
          <w:p w14:paraId="55A42311" w14:textId="0CBCEFFD"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Prijať národnú stratégiu pre kvalitnú infraštruktúru</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Grécku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prijať potrebné splnomocňujúce </w:t>
            </w:r>
            <w:r w:rsidRPr="00083739">
              <w:rPr>
                <w:rFonts w:ascii="Times New Roman" w:hAnsi="Times New Roman" w:cs="Times New Roman"/>
                <w:noProof/>
                <w:lang w:val="sk-SK"/>
              </w:rPr>
              <w:t>nariadenie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normalizácii, metrológii, akreditácii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posudzovaní zhody prostredníctvom potrebných legislatívnych aktov (uviesť odkaz na úradný vestník);</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prijať legislatívne zmeny zákona č. 3325/2005 (časť B týkajúca sa zriadenia, rozšírenia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modernizáci</w:t>
            </w:r>
            <w:r w:rsidRPr="00083739">
              <w:rPr>
                <w:rFonts w:ascii="Times New Roman" w:hAnsi="Times New Roman" w:cs="Times New Roman"/>
                <w:noProof/>
                <w:lang w:val="sk-SK"/>
              </w:rPr>
              <w:t>e výrobných činností</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regióne Atika)</w:t>
            </w:r>
          </w:p>
        </w:tc>
        <w:tc>
          <w:tcPr>
            <w:tcW w:w="983" w:type="dxa"/>
            <w:tcBorders>
              <w:top w:val="single" w:sz="4" w:space="0" w:color="auto"/>
              <w:left w:val="nil"/>
              <w:bottom w:val="single" w:sz="4" w:space="0" w:color="auto"/>
              <w:right w:val="single" w:sz="4" w:space="0" w:color="auto"/>
            </w:tcBorders>
            <w:shd w:val="clear" w:color="auto" w:fill="C6EFCE"/>
            <w:noWrap/>
          </w:tcPr>
          <w:p w14:paraId="14E226D5"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single" w:sz="4" w:space="0" w:color="auto"/>
              <w:left w:val="nil"/>
              <w:bottom w:val="single" w:sz="4" w:space="0" w:color="auto"/>
              <w:right w:val="single" w:sz="4" w:space="0" w:color="auto"/>
            </w:tcBorders>
            <w:shd w:val="clear" w:color="auto" w:fill="C6EFCE"/>
            <w:noWrap/>
          </w:tcPr>
          <w:p w14:paraId="42F8832F"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27" w:type="dxa"/>
            <w:tcBorders>
              <w:top w:val="single" w:sz="4" w:space="0" w:color="auto"/>
              <w:left w:val="nil"/>
              <w:bottom w:val="single" w:sz="4" w:space="0" w:color="auto"/>
              <w:right w:val="single" w:sz="4" w:space="0" w:color="auto"/>
            </w:tcBorders>
            <w:shd w:val="clear" w:color="auto" w:fill="C6EFCE"/>
            <w:noWrap/>
          </w:tcPr>
          <w:p w14:paraId="52CD78B1"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87" w:type="dxa"/>
            <w:tcBorders>
              <w:top w:val="single" w:sz="4" w:space="0" w:color="auto"/>
              <w:left w:val="nil"/>
              <w:bottom w:val="single" w:sz="4" w:space="0" w:color="auto"/>
              <w:right w:val="single" w:sz="4" w:space="0" w:color="auto"/>
            </w:tcBorders>
            <w:shd w:val="clear" w:color="auto" w:fill="C6EFCE"/>
            <w:noWrap/>
          </w:tcPr>
          <w:p w14:paraId="2F9BF73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707" w:type="dxa"/>
            <w:tcBorders>
              <w:top w:val="single" w:sz="4" w:space="0" w:color="auto"/>
              <w:left w:val="nil"/>
              <w:bottom w:val="single" w:sz="4" w:space="0" w:color="auto"/>
              <w:right w:val="single" w:sz="4" w:space="0" w:color="auto"/>
            </w:tcBorders>
            <w:shd w:val="clear" w:color="auto" w:fill="C6EFCE"/>
            <w:noWrap/>
          </w:tcPr>
          <w:p w14:paraId="0D68D04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2024</w:t>
            </w:r>
          </w:p>
        </w:tc>
        <w:tc>
          <w:tcPr>
            <w:tcW w:w="4449" w:type="dxa"/>
            <w:tcBorders>
              <w:top w:val="single" w:sz="4" w:space="0" w:color="auto"/>
              <w:left w:val="nil"/>
              <w:bottom w:val="single" w:sz="4" w:space="0" w:color="auto"/>
              <w:right w:val="single" w:sz="4" w:space="0" w:color="auto"/>
            </w:tcBorders>
            <w:shd w:val="clear" w:color="auto" w:fill="C6EFCE"/>
            <w:noWrap/>
          </w:tcPr>
          <w:p w14:paraId="090BFE75" w14:textId="458600B0"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a) vypracovať moderný regulačný, organizačný</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prevádzkový rámec pre kvalitnú infraštruktúru</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Grécku</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súlade</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nariadením č. 765/2008</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akreditácii orgánov posudzovania zhody;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b) nadobudnutie</w:t>
            </w:r>
            <w:r w:rsidRPr="00083739">
              <w:rPr>
                <w:rFonts w:ascii="Times New Roman" w:hAnsi="Times New Roman" w:cs="Times New Roman"/>
                <w:noProof/>
                <w:lang w:val="sk-SK"/>
              </w:rPr>
              <w:t xml:space="preserve"> účinnosti právnych predpisov na reformu regulačného rámca týkajúceho sa inštalácie výrobných činností</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Atike</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cieľom odstrániť nadmerne vysoké obmedzenia, ktoré nie sú úmerné cieľom politiky.</w:t>
            </w:r>
          </w:p>
          <w:p w14:paraId="2C2D71DF"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p w14:paraId="667647A9" w14:textId="674D6980"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Rozsah pôsobnosti písmena b) sa vzťahuje na zriadenie nových</w:t>
            </w:r>
            <w:r w:rsidRPr="00083739">
              <w:rPr>
                <w:rFonts w:ascii="Times New Roman" w:hAnsi="Times New Roman" w:cs="Times New Roman"/>
                <w:noProof/>
                <w:lang w:val="sk-SK"/>
              </w:rPr>
              <w:t xml:space="preserve"> priemyselných jednotiek</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modernizáciu existujúcich jednotiek pôsobiacich</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Atike, ako aj premiestnenie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rozšírenie existujúcich zariadení</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Atike.</w:t>
            </w:r>
          </w:p>
        </w:tc>
      </w:tr>
      <w:tr w:rsidR="002D49B0" w:rsidRPr="00083739" w14:paraId="5C4E3E76" w14:textId="77777777">
        <w:trPr>
          <w:trHeight w:val="309"/>
          <w:jc w:val="center"/>
        </w:trPr>
        <w:tc>
          <w:tcPr>
            <w:tcW w:w="1129" w:type="dxa"/>
            <w:tcBorders>
              <w:top w:val="nil"/>
              <w:left w:val="single" w:sz="4" w:space="0" w:color="auto"/>
              <w:bottom w:val="single" w:sz="4" w:space="0" w:color="auto"/>
              <w:right w:val="single" w:sz="4" w:space="0" w:color="auto"/>
            </w:tcBorders>
            <w:shd w:val="clear" w:color="auto" w:fill="C6EFCE"/>
            <w:noWrap/>
          </w:tcPr>
          <w:p w14:paraId="616681E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318</w:t>
            </w:r>
          </w:p>
        </w:tc>
        <w:tc>
          <w:tcPr>
            <w:tcW w:w="1311" w:type="dxa"/>
            <w:tcBorders>
              <w:top w:val="nil"/>
              <w:left w:val="nil"/>
              <w:bottom w:val="single" w:sz="4" w:space="0" w:color="auto"/>
              <w:right w:val="single" w:sz="4" w:space="0" w:color="auto"/>
            </w:tcBorders>
            <w:shd w:val="clear" w:color="auto" w:fill="C6EFCE"/>
            <w:noWrap/>
          </w:tcPr>
          <w:p w14:paraId="34928948" w14:textId="11C72009"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18 – 4.7. Zlepšiť konkurencieschopnosť</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podporiť súkromné investície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vývoz – 16591_Skutočnosť </w:t>
            </w:r>
            <w:r w:rsidRPr="00083739">
              <w:rPr>
                <w:rFonts w:ascii="Times New Roman" w:hAnsi="Times New Roman" w:cs="Times New Roman"/>
                <w:noProof/>
                <w:lang w:val="sk-SK"/>
              </w:rPr>
              <w:t>podnikania</w:t>
            </w:r>
          </w:p>
        </w:tc>
        <w:tc>
          <w:tcPr>
            <w:tcW w:w="966" w:type="dxa"/>
            <w:tcBorders>
              <w:top w:val="nil"/>
              <w:left w:val="nil"/>
              <w:bottom w:val="single" w:sz="4" w:space="0" w:color="auto"/>
              <w:right w:val="single" w:sz="4" w:space="0" w:color="auto"/>
            </w:tcBorders>
            <w:shd w:val="clear" w:color="auto" w:fill="C6EFCE"/>
            <w:noWrap/>
          </w:tcPr>
          <w:p w14:paraId="74A96D7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592" w:type="dxa"/>
            <w:tcBorders>
              <w:top w:val="nil"/>
              <w:left w:val="nil"/>
              <w:bottom w:val="single" w:sz="4" w:space="0" w:color="auto"/>
              <w:right w:val="single" w:sz="4" w:space="0" w:color="auto"/>
            </w:tcBorders>
            <w:shd w:val="clear" w:color="auto" w:fill="C6EFCE"/>
            <w:noWrap/>
          </w:tcPr>
          <w:p w14:paraId="22DA488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Zlepšenie podnikateľského prostredia – uľahčenie podnikania</w:t>
            </w:r>
          </w:p>
        </w:tc>
        <w:tc>
          <w:tcPr>
            <w:tcW w:w="1694" w:type="dxa"/>
            <w:tcBorders>
              <w:top w:val="nil"/>
              <w:left w:val="nil"/>
              <w:bottom w:val="single" w:sz="4" w:space="0" w:color="auto"/>
              <w:right w:val="single" w:sz="4" w:space="0" w:color="auto"/>
            </w:tcBorders>
            <w:shd w:val="clear" w:color="auto" w:fill="C6EFCE"/>
            <w:noWrap/>
          </w:tcPr>
          <w:p w14:paraId="2B1E11AE" w14:textId="4481A183" w:rsidR="002D49B0" w:rsidRPr="00083739" w:rsidRDefault="00BF4125">
            <w:pPr>
              <w:spacing w:after="0" w:line="259" w:lineRule="auto"/>
              <w:rPr>
                <w:rFonts w:ascii="Times New Roman" w:hAnsi="Times New Roman" w:cs="Times New Roman"/>
                <w:noProof/>
                <w:color w:val="006100"/>
                <w:sz w:val="18"/>
                <w:szCs w:val="18"/>
                <w:lang w:val="sk-SK"/>
              </w:rPr>
            </w:pPr>
            <w:r w:rsidRPr="00083739">
              <w:rPr>
                <w:rFonts w:ascii="Times New Roman" w:hAnsi="Times New Roman" w:cs="Times New Roman"/>
                <w:noProof/>
                <w:sz w:val="24"/>
                <w:lang w:val="sk-SK"/>
              </w:rPr>
              <w:t>—</w:t>
            </w:r>
            <w:r w:rsidRPr="00083739">
              <w:rPr>
                <w:rFonts w:ascii="Times New Roman" w:hAnsi="Times New Roman" w:cs="Times New Roman"/>
                <w:noProof/>
                <w:color w:val="006100"/>
                <w:sz w:val="18"/>
                <w:lang w:val="sk-SK"/>
              </w:rPr>
              <w:t>V prípade akcií, ktoré si vyžadujú právne predpisy: Uverejnenie právnych predpisov</w:t>
            </w:r>
            <w:r w:rsidR="00083739" w:rsidRPr="00083739">
              <w:rPr>
                <w:rFonts w:ascii="Times New Roman" w:hAnsi="Times New Roman" w:cs="Times New Roman"/>
                <w:noProof/>
                <w:color w:val="006100"/>
                <w:sz w:val="18"/>
                <w:lang w:val="sk-SK"/>
              </w:rPr>
              <w:t xml:space="preserve"> v </w:t>
            </w:r>
            <w:r w:rsidRPr="00083739">
              <w:rPr>
                <w:rFonts w:ascii="Times New Roman" w:hAnsi="Times New Roman" w:cs="Times New Roman"/>
                <w:noProof/>
                <w:color w:val="006100"/>
                <w:sz w:val="18"/>
                <w:lang w:val="sk-SK"/>
              </w:rPr>
              <w:t>úradnom vestníku (odkaz na úradný vestník)</w:t>
            </w:r>
          </w:p>
          <w:p w14:paraId="588BC16D" w14:textId="77777777" w:rsidR="00083739" w:rsidRPr="00083739" w:rsidRDefault="00BF4125">
            <w:pPr>
              <w:spacing w:after="0" w:line="259" w:lineRule="auto"/>
              <w:rPr>
                <w:rFonts w:ascii="Times New Roman" w:hAnsi="Times New Roman" w:cs="Times New Roman"/>
                <w:noProof/>
                <w:color w:val="006100"/>
                <w:sz w:val="18"/>
                <w:lang w:val="sk-SK"/>
              </w:rPr>
            </w:pPr>
            <w:r w:rsidRPr="00083739">
              <w:rPr>
                <w:rFonts w:ascii="Times New Roman" w:hAnsi="Times New Roman" w:cs="Times New Roman"/>
                <w:noProof/>
                <w:sz w:val="24"/>
                <w:lang w:val="sk-SK"/>
              </w:rPr>
              <w:t>—</w:t>
            </w:r>
            <w:r w:rsidRPr="00083739">
              <w:rPr>
                <w:rFonts w:ascii="Times New Roman" w:hAnsi="Times New Roman" w:cs="Times New Roman"/>
                <w:noProof/>
                <w:color w:val="006100"/>
                <w:sz w:val="18"/>
                <w:lang w:val="sk-SK"/>
              </w:rPr>
              <w:t>V prípade funkcií interoperability, platforiem</w:t>
            </w:r>
            <w:r w:rsidR="00083739" w:rsidRPr="00083739">
              <w:rPr>
                <w:rFonts w:ascii="Times New Roman" w:hAnsi="Times New Roman" w:cs="Times New Roman"/>
                <w:noProof/>
                <w:color w:val="006100"/>
                <w:sz w:val="18"/>
                <w:lang w:val="sk-SK"/>
              </w:rPr>
              <w:t xml:space="preserve"> a </w:t>
            </w:r>
            <w:r w:rsidRPr="00083739">
              <w:rPr>
                <w:rFonts w:ascii="Times New Roman" w:hAnsi="Times New Roman" w:cs="Times New Roman"/>
                <w:noProof/>
                <w:color w:val="006100"/>
                <w:sz w:val="18"/>
                <w:lang w:val="sk-SK"/>
              </w:rPr>
              <w:t>registrov: Sprevádzkovanie systémov (testované správou)</w:t>
            </w:r>
          </w:p>
          <w:p w14:paraId="7980EDCD" w14:textId="4D29D2E0" w:rsidR="002D49B0" w:rsidRPr="00083739" w:rsidRDefault="00BF4125">
            <w:pPr>
              <w:spacing w:after="0" w:line="259" w:lineRule="auto"/>
              <w:rPr>
                <w:rFonts w:ascii="Times New Roman" w:hAnsi="Times New Roman" w:cs="Times New Roman"/>
                <w:noProof/>
                <w:color w:val="006100"/>
                <w:sz w:val="18"/>
                <w:szCs w:val="18"/>
                <w:lang w:val="sk-SK"/>
              </w:rPr>
            </w:pPr>
            <w:r w:rsidRPr="00083739">
              <w:rPr>
                <w:rFonts w:ascii="Times New Roman" w:hAnsi="Times New Roman" w:cs="Times New Roman"/>
                <w:noProof/>
                <w:sz w:val="24"/>
                <w:lang w:val="sk-SK"/>
              </w:rPr>
              <w:t>—</w:t>
            </w:r>
            <w:r w:rsidRPr="00083739">
              <w:rPr>
                <w:rFonts w:ascii="Times New Roman" w:hAnsi="Times New Roman" w:cs="Times New Roman"/>
                <w:noProof/>
                <w:color w:val="006100"/>
                <w:sz w:val="18"/>
                <w:lang w:val="sk-SK"/>
              </w:rPr>
              <w:t>Dodanie vybavenia na vybavenie (doložené správou</w:t>
            </w:r>
            <w:r w:rsidR="00083739" w:rsidRPr="00083739">
              <w:rPr>
                <w:rFonts w:ascii="Times New Roman" w:hAnsi="Times New Roman" w:cs="Times New Roman"/>
                <w:noProof/>
                <w:color w:val="006100"/>
                <w:sz w:val="18"/>
                <w:lang w:val="sk-SK"/>
              </w:rPr>
              <w:t xml:space="preserve"> a </w:t>
            </w:r>
            <w:r w:rsidRPr="00083739">
              <w:rPr>
                <w:rFonts w:ascii="Times New Roman" w:hAnsi="Times New Roman" w:cs="Times New Roman"/>
                <w:noProof/>
                <w:color w:val="006100"/>
                <w:sz w:val="18"/>
                <w:lang w:val="sk-SK"/>
              </w:rPr>
              <w:t>dokladom</w:t>
            </w:r>
            <w:r w:rsidR="00083739" w:rsidRPr="00083739">
              <w:rPr>
                <w:rFonts w:ascii="Times New Roman" w:hAnsi="Times New Roman" w:cs="Times New Roman"/>
                <w:noProof/>
                <w:color w:val="006100"/>
                <w:sz w:val="18"/>
                <w:lang w:val="sk-SK"/>
              </w:rPr>
              <w:t xml:space="preserve"> o </w:t>
            </w:r>
            <w:r w:rsidRPr="00083739">
              <w:rPr>
                <w:rFonts w:ascii="Times New Roman" w:hAnsi="Times New Roman" w:cs="Times New Roman"/>
                <w:noProof/>
                <w:color w:val="006100"/>
                <w:sz w:val="18"/>
                <w:lang w:val="sk-SK"/>
              </w:rPr>
              <w:t>nákupe)</w:t>
            </w:r>
          </w:p>
          <w:p w14:paraId="622FBBDE" w14:textId="5854770D" w:rsidR="002D49B0" w:rsidRPr="00083739" w:rsidRDefault="00BF4125">
            <w:pPr>
              <w:spacing w:after="0" w:line="240" w:lineRule="auto"/>
              <w:rPr>
                <w:rFonts w:ascii="Times New Roman" w:eastAsia="Times New Roman" w:hAnsi="Times New Roman" w:cs="Times New Roman"/>
                <w:noProof/>
                <w:color w:val="006100"/>
                <w:sz w:val="18"/>
                <w:szCs w:val="18"/>
                <w:lang w:val="sk-SK"/>
              </w:rPr>
            </w:pPr>
            <w:r w:rsidRPr="00083739">
              <w:rPr>
                <w:rFonts w:ascii="Times New Roman" w:hAnsi="Times New Roman" w:cs="Times New Roman"/>
                <w:noProof/>
                <w:sz w:val="24"/>
                <w:lang w:val="sk-SK"/>
              </w:rPr>
              <w:t>—</w:t>
            </w:r>
            <w:r w:rsidRPr="00083739">
              <w:rPr>
                <w:rFonts w:ascii="Times New Roman" w:hAnsi="Times New Roman" w:cs="Times New Roman"/>
                <w:noProof/>
                <w:color w:val="006100"/>
                <w:sz w:val="18"/>
                <w:lang w:val="sk-SK"/>
              </w:rPr>
              <w:t>Ukončenie kampaní</w:t>
            </w:r>
            <w:r w:rsidR="00083739" w:rsidRPr="00083739">
              <w:rPr>
                <w:rFonts w:ascii="Times New Roman" w:hAnsi="Times New Roman" w:cs="Times New Roman"/>
                <w:noProof/>
                <w:color w:val="006100"/>
                <w:sz w:val="18"/>
                <w:lang w:val="sk-SK"/>
              </w:rPr>
              <w:t xml:space="preserve"> a </w:t>
            </w:r>
            <w:r w:rsidRPr="00083739">
              <w:rPr>
                <w:rFonts w:ascii="Times New Roman" w:hAnsi="Times New Roman" w:cs="Times New Roman"/>
                <w:noProof/>
                <w:color w:val="006100"/>
                <w:sz w:val="18"/>
                <w:lang w:val="sk-SK"/>
              </w:rPr>
              <w:t>vydanie usmernení (potvrdené vydanými usmerneniami/obežníkmi)</w:t>
            </w:r>
            <w:r w:rsidRPr="00083739">
              <w:rPr>
                <w:rFonts w:ascii="Times New Roman" w:hAnsi="Times New Roman" w:cs="Times New Roman"/>
                <w:noProof/>
                <w:sz w:val="24"/>
                <w:lang w:val="sk-SK"/>
              </w:rPr>
              <w:t xml:space="preserve"> </w:t>
            </w:r>
          </w:p>
        </w:tc>
        <w:tc>
          <w:tcPr>
            <w:tcW w:w="983" w:type="dxa"/>
            <w:tcBorders>
              <w:top w:val="nil"/>
              <w:left w:val="nil"/>
              <w:bottom w:val="single" w:sz="4" w:space="0" w:color="auto"/>
              <w:right w:val="single" w:sz="4" w:space="0" w:color="auto"/>
            </w:tcBorders>
            <w:shd w:val="clear" w:color="auto" w:fill="C6EFCE"/>
            <w:noWrap/>
          </w:tcPr>
          <w:p w14:paraId="5C473127"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nil"/>
              <w:left w:val="nil"/>
              <w:bottom w:val="single" w:sz="4" w:space="0" w:color="auto"/>
              <w:right w:val="single" w:sz="4" w:space="0" w:color="auto"/>
            </w:tcBorders>
            <w:shd w:val="clear" w:color="auto" w:fill="C6EFCE"/>
            <w:noWrap/>
          </w:tcPr>
          <w:p w14:paraId="32358886"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27" w:type="dxa"/>
            <w:tcBorders>
              <w:top w:val="nil"/>
              <w:left w:val="nil"/>
              <w:bottom w:val="single" w:sz="4" w:space="0" w:color="auto"/>
              <w:right w:val="single" w:sz="4" w:space="0" w:color="auto"/>
            </w:tcBorders>
            <w:shd w:val="clear" w:color="auto" w:fill="C6EFCE"/>
            <w:noWrap/>
          </w:tcPr>
          <w:p w14:paraId="4AC350F9"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87" w:type="dxa"/>
            <w:tcBorders>
              <w:top w:val="nil"/>
              <w:left w:val="nil"/>
              <w:bottom w:val="single" w:sz="4" w:space="0" w:color="auto"/>
              <w:right w:val="single" w:sz="4" w:space="0" w:color="auto"/>
            </w:tcBorders>
            <w:shd w:val="clear" w:color="auto" w:fill="C6EFCE"/>
            <w:noWrap/>
          </w:tcPr>
          <w:p w14:paraId="4206478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707" w:type="dxa"/>
            <w:tcBorders>
              <w:top w:val="nil"/>
              <w:left w:val="nil"/>
              <w:bottom w:val="single" w:sz="4" w:space="0" w:color="auto"/>
              <w:right w:val="single" w:sz="4" w:space="0" w:color="auto"/>
            </w:tcBorders>
            <w:shd w:val="clear" w:color="auto" w:fill="C6EFCE"/>
            <w:noWrap/>
          </w:tcPr>
          <w:p w14:paraId="05F4106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2024</w:t>
            </w:r>
          </w:p>
        </w:tc>
        <w:tc>
          <w:tcPr>
            <w:tcW w:w="4449" w:type="dxa"/>
            <w:tcBorders>
              <w:top w:val="nil"/>
              <w:left w:val="nil"/>
              <w:bottom w:val="single" w:sz="4" w:space="0" w:color="auto"/>
              <w:right w:val="single" w:sz="4" w:space="0" w:color="auto"/>
            </w:tcBorders>
            <w:shd w:val="clear" w:color="auto" w:fill="C6EFCE"/>
            <w:noWrap/>
          </w:tcPr>
          <w:p w14:paraId="7F25A531" w14:textId="72469474"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Dokončiť reformu</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cieľom znížiť zložitosť postupov, času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nákladov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štyroch podoblastiach: získanie úveru, získanie elektrického pripojenia, registrácia nehnuteľnosti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získanie stavebného povolenia</w:t>
            </w:r>
          </w:p>
          <w:p w14:paraId="623F32F9" w14:textId="3416A111"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Reforma konkrétne zahŕňa tieto čiastkové projekty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akcie:</w:t>
            </w:r>
          </w:p>
          <w:p w14:paraId="2D93632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 Získanie úv</w:t>
            </w:r>
            <w:r w:rsidRPr="00083739">
              <w:rPr>
                <w:rFonts w:ascii="Times New Roman" w:hAnsi="Times New Roman" w:cs="Times New Roman"/>
                <w:noProof/>
                <w:lang w:val="sk-SK"/>
              </w:rPr>
              <w:t>eru</w:t>
            </w:r>
          </w:p>
          <w:p w14:paraId="0A4EDFAE" w14:textId="6E4631D8"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Vytvoriť moderný</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spoľahlivý regulačný rámec pre cenné papiere hnuteľného majetku</w:t>
            </w:r>
          </w:p>
          <w:p w14:paraId="0EE7BEE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Zriadiť register zabezpečených transakcií</w:t>
            </w:r>
          </w:p>
          <w:p w14:paraId="6B93493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 Získanie stavebného povolenia</w:t>
            </w:r>
          </w:p>
          <w:p w14:paraId="0C6D47CF" w14:textId="2ABA2FD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—Dosiahnuť prevádzkovú interoperabilitu medzi systémom elektronických dokumentov pre stave</w:t>
            </w:r>
            <w:r w:rsidRPr="00083739">
              <w:rPr>
                <w:rFonts w:ascii="Times New Roman" w:hAnsi="Times New Roman" w:cs="Times New Roman"/>
                <w:noProof/>
                <w:lang w:val="sk-SK"/>
              </w:rPr>
              <w:t>bné povolenia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inými verejnými systémami</w:t>
            </w:r>
          </w:p>
          <w:p w14:paraId="57688EE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Realizovať osvetové kampane so zainteresovanými stranami zo súkromného sektora</w:t>
            </w:r>
          </w:p>
          <w:p w14:paraId="7E2DDC3B" w14:textId="77777777"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Vybavenie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odborná príprava zamestnancov</w:t>
            </w:r>
          </w:p>
          <w:p w14:paraId="5C6FB44E" w14:textId="04885B93"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Usmernenia sprístupnené online</w:t>
            </w:r>
          </w:p>
          <w:p w14:paraId="4464F46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Sadzobník poplatkov je dostupný online</w:t>
            </w:r>
          </w:p>
          <w:p w14:paraId="70009B4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—Vnútroštátne fun</w:t>
            </w:r>
            <w:r w:rsidRPr="00083739">
              <w:rPr>
                <w:rFonts w:ascii="Times New Roman" w:hAnsi="Times New Roman" w:cs="Times New Roman"/>
                <w:noProof/>
                <w:lang w:val="sk-SK"/>
              </w:rPr>
              <w:t>kcie digitálnej inšpekcie pre požiarnu jednotku</w:t>
            </w:r>
          </w:p>
          <w:p w14:paraId="62521C2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 Získavanie elektrickej energie</w:t>
            </w:r>
          </w:p>
          <w:p w14:paraId="030E0B50" w14:textId="1A29C81D"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Zjednodušiť/znížiť požiadavky na uplatňovanie na HEDNO</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zjednotiť systém nahlasovania štvorcových metrov obciam</w:t>
            </w:r>
          </w:p>
          <w:p w14:paraId="4CD4B01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4. Registrácia majetku</w:t>
            </w:r>
          </w:p>
          <w:p w14:paraId="167331E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 Vytvoriť elektronickú platformu, </w:t>
            </w:r>
            <w:r w:rsidRPr="00083739">
              <w:rPr>
                <w:rFonts w:ascii="Times New Roman" w:hAnsi="Times New Roman" w:cs="Times New Roman"/>
                <w:noProof/>
                <w:lang w:val="sk-SK"/>
              </w:rPr>
              <w:t>ktorá kupujúcim umožní splniť všetky požiadavky na prevod majetku online</w:t>
            </w:r>
          </w:p>
        </w:tc>
      </w:tr>
      <w:tr w:rsidR="002D49B0" w:rsidRPr="00083739" w14:paraId="66BCE9BC" w14:textId="77777777">
        <w:trPr>
          <w:trHeight w:val="309"/>
          <w:jc w:val="center"/>
        </w:trPr>
        <w:tc>
          <w:tcPr>
            <w:tcW w:w="1129" w:type="dxa"/>
            <w:tcBorders>
              <w:top w:val="nil"/>
              <w:left w:val="single" w:sz="4" w:space="0" w:color="auto"/>
              <w:bottom w:val="single" w:sz="4" w:space="0" w:color="auto"/>
              <w:right w:val="single" w:sz="4" w:space="0" w:color="auto"/>
            </w:tcBorders>
            <w:shd w:val="clear" w:color="auto" w:fill="C6EFCE"/>
            <w:noWrap/>
          </w:tcPr>
          <w:p w14:paraId="40BF230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319</w:t>
            </w:r>
          </w:p>
        </w:tc>
        <w:tc>
          <w:tcPr>
            <w:tcW w:w="1311" w:type="dxa"/>
            <w:tcBorders>
              <w:top w:val="nil"/>
              <w:left w:val="nil"/>
              <w:bottom w:val="single" w:sz="4" w:space="0" w:color="auto"/>
              <w:right w:val="single" w:sz="4" w:space="0" w:color="auto"/>
            </w:tcBorders>
            <w:shd w:val="clear" w:color="auto" w:fill="C6EFCE"/>
            <w:noWrap/>
          </w:tcPr>
          <w:p w14:paraId="7FAF0460" w14:textId="03A6630D"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18 – 4.7. Zlepšenie konkurencieschopnosti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podpora súkromných investícií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vývozu – 16543_Opatrenia na zjednodušenie podnikateľského prostredia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zlepšenie jeho kvality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bezpeč</w:t>
            </w:r>
            <w:r w:rsidRPr="00083739">
              <w:rPr>
                <w:rFonts w:ascii="Times New Roman" w:hAnsi="Times New Roman" w:cs="Times New Roman"/>
                <w:noProof/>
                <w:lang w:val="sk-SK"/>
              </w:rPr>
              <w:t>nosti</w:t>
            </w:r>
          </w:p>
        </w:tc>
        <w:tc>
          <w:tcPr>
            <w:tcW w:w="966" w:type="dxa"/>
            <w:tcBorders>
              <w:top w:val="nil"/>
              <w:left w:val="nil"/>
              <w:bottom w:val="single" w:sz="4" w:space="0" w:color="auto"/>
              <w:right w:val="single" w:sz="4" w:space="0" w:color="auto"/>
            </w:tcBorders>
            <w:shd w:val="clear" w:color="auto" w:fill="C6EFCE"/>
            <w:noWrap/>
          </w:tcPr>
          <w:p w14:paraId="7847D25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592" w:type="dxa"/>
            <w:tcBorders>
              <w:top w:val="nil"/>
              <w:left w:val="nil"/>
              <w:bottom w:val="single" w:sz="4" w:space="0" w:color="auto"/>
              <w:right w:val="single" w:sz="4" w:space="0" w:color="auto"/>
            </w:tcBorders>
            <w:shd w:val="clear" w:color="auto" w:fill="C6EFCE"/>
            <w:noWrap/>
          </w:tcPr>
          <w:p w14:paraId="765DD415" w14:textId="2D83622D"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Zlepšenie podnikateľského prostredia – udeľovanie licencií na zjednodušenie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dohľad nad trhom</w:t>
            </w:r>
          </w:p>
        </w:tc>
        <w:tc>
          <w:tcPr>
            <w:tcW w:w="1694" w:type="dxa"/>
            <w:tcBorders>
              <w:top w:val="nil"/>
              <w:left w:val="nil"/>
              <w:bottom w:val="single" w:sz="4" w:space="0" w:color="auto"/>
              <w:right w:val="single" w:sz="4" w:space="0" w:color="auto"/>
            </w:tcBorders>
            <w:shd w:val="clear" w:color="auto" w:fill="C6EFCE"/>
            <w:noWrap/>
          </w:tcPr>
          <w:p w14:paraId="089E208B" w14:textId="23FE7252"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Uverejnenie právnych predpisov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úradnom vestníku (odkaz na úradný vestník)</w:t>
            </w:r>
          </w:p>
          <w:p w14:paraId="3553322A"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83" w:type="dxa"/>
            <w:tcBorders>
              <w:top w:val="nil"/>
              <w:left w:val="nil"/>
              <w:bottom w:val="single" w:sz="4" w:space="0" w:color="auto"/>
              <w:right w:val="single" w:sz="4" w:space="0" w:color="auto"/>
            </w:tcBorders>
            <w:shd w:val="clear" w:color="auto" w:fill="C6EFCE"/>
            <w:noWrap/>
          </w:tcPr>
          <w:p w14:paraId="53B83B8A"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7" w:type="dxa"/>
            <w:tcBorders>
              <w:top w:val="nil"/>
              <w:left w:val="nil"/>
              <w:bottom w:val="single" w:sz="4" w:space="0" w:color="auto"/>
              <w:right w:val="single" w:sz="4" w:space="0" w:color="auto"/>
            </w:tcBorders>
            <w:shd w:val="clear" w:color="auto" w:fill="C6EFCE"/>
            <w:noWrap/>
          </w:tcPr>
          <w:p w14:paraId="5DD10582"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27" w:type="dxa"/>
            <w:tcBorders>
              <w:top w:val="nil"/>
              <w:left w:val="nil"/>
              <w:bottom w:val="single" w:sz="4" w:space="0" w:color="auto"/>
              <w:right w:val="single" w:sz="4" w:space="0" w:color="auto"/>
            </w:tcBorders>
            <w:shd w:val="clear" w:color="auto" w:fill="C6EFCE"/>
            <w:noWrap/>
          </w:tcPr>
          <w:p w14:paraId="36CD270A"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87" w:type="dxa"/>
            <w:tcBorders>
              <w:top w:val="nil"/>
              <w:left w:val="nil"/>
              <w:bottom w:val="single" w:sz="4" w:space="0" w:color="auto"/>
              <w:right w:val="single" w:sz="4" w:space="0" w:color="auto"/>
            </w:tcBorders>
            <w:shd w:val="clear" w:color="auto" w:fill="C6EFCE"/>
            <w:noWrap/>
          </w:tcPr>
          <w:p w14:paraId="775F8A2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07" w:type="dxa"/>
            <w:tcBorders>
              <w:top w:val="nil"/>
              <w:left w:val="nil"/>
              <w:bottom w:val="single" w:sz="4" w:space="0" w:color="auto"/>
              <w:right w:val="single" w:sz="4" w:space="0" w:color="auto"/>
            </w:tcBorders>
            <w:shd w:val="clear" w:color="auto" w:fill="C6EFCE"/>
            <w:noWrap/>
          </w:tcPr>
          <w:p w14:paraId="27445DC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4449" w:type="dxa"/>
            <w:tcBorders>
              <w:top w:val="nil"/>
              <w:left w:val="nil"/>
              <w:bottom w:val="single" w:sz="4" w:space="0" w:color="auto"/>
              <w:right w:val="single" w:sz="4" w:space="0" w:color="auto"/>
            </w:tcBorders>
            <w:shd w:val="clear" w:color="auto" w:fill="C6EFCE"/>
            <w:noWrap/>
          </w:tcPr>
          <w:p w14:paraId="04CF54B9" w14:textId="0F22EE60"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Nadobudnutie účinnosti právnych predpisov na </w:t>
            </w:r>
            <w:r w:rsidRPr="00083739">
              <w:rPr>
                <w:rFonts w:ascii="Times New Roman" w:hAnsi="Times New Roman" w:cs="Times New Roman"/>
                <w:noProof/>
                <w:lang w:val="sk-SK"/>
              </w:rPr>
              <w:t>reformu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prijatie potrebných opatrení na ďalšie zlepšenie regulačného rámca pre udeľovanie licencií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účinný dohľad nad podnikmi:</w:t>
            </w:r>
          </w:p>
          <w:p w14:paraId="20F1E91E" w14:textId="37B1465C" w:rsidR="002D49B0" w:rsidRPr="00083739" w:rsidRDefault="00BF4125">
            <w:pPr>
              <w:pStyle w:val="P68B1DB1-Normal9"/>
              <w:spacing w:before="120" w:after="0" w:line="240" w:lineRule="auto"/>
              <w:jc w:val="both"/>
              <w:rPr>
                <w:rFonts w:ascii="Times New Roman" w:eastAsia="Times New Roman" w:hAnsi="Times New Roman" w:cs="Times New Roman"/>
                <w:noProof/>
                <w:szCs w:val="18"/>
                <w:lang w:val="sk-SK"/>
              </w:rPr>
            </w:pPr>
            <w:r w:rsidRPr="00083739">
              <w:rPr>
                <w:rFonts w:ascii="Times New Roman" w:hAnsi="Times New Roman" w:cs="Times New Roman"/>
                <w:noProof/>
                <w:lang w:val="sk-SK"/>
              </w:rPr>
              <w:t>—vykoná ex post posúdenie vplyvu reformy udeľovania licencií, ktorá sa uskutočnila do 1. štvrťroka 2024,</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vykoná politické o</w:t>
            </w:r>
            <w:r w:rsidRPr="00083739">
              <w:rPr>
                <w:rFonts w:ascii="Times New Roman" w:hAnsi="Times New Roman" w:cs="Times New Roman"/>
                <w:noProof/>
                <w:lang w:val="sk-SK"/>
              </w:rPr>
              <w:t>dporúčania,</w:t>
            </w:r>
          </w:p>
          <w:p w14:paraId="431582D2" w14:textId="77777777" w:rsidR="00083739" w:rsidRPr="00083739" w:rsidRDefault="00BF4125">
            <w:pPr>
              <w:pStyle w:val="P68B1DB1-Normal9"/>
              <w:spacing w:after="0" w:line="259" w:lineRule="auto"/>
              <w:ind w:left="12"/>
              <w:contextualSpacing/>
              <w:rPr>
                <w:rFonts w:ascii="Times New Roman" w:hAnsi="Times New Roman" w:cs="Times New Roman"/>
                <w:noProof/>
                <w:lang w:val="sk-SK"/>
              </w:rPr>
            </w:pPr>
            <w:r w:rsidRPr="00083739">
              <w:rPr>
                <w:rFonts w:ascii="Times New Roman" w:hAnsi="Times New Roman" w:cs="Times New Roman"/>
                <w:noProof/>
                <w:lang w:val="sk-SK"/>
              </w:rPr>
              <w:t>—preskúmať</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zjednodušiť postupy udeľovania licencií na nové hospodárske činnosti, ktoré sa vymedzia</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zákone č. 4442/16,</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to znížením požiadaviek</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osvedčení, odstránením krokov procesu, ktoré nepridávajú pridanú hodnotu, skrátením lehôt na s</w:t>
            </w:r>
            <w:r w:rsidRPr="00083739">
              <w:rPr>
                <w:rFonts w:ascii="Times New Roman" w:hAnsi="Times New Roman" w:cs="Times New Roman"/>
                <w:noProof/>
                <w:lang w:val="sk-SK"/>
              </w:rPr>
              <w:t>pracovanie žiadostí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obmedzením kontroly ex ante len na vysokorizikové činnosti</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súlade so zásadami zákonov č. 4442/2016</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4512/2018,</w:t>
            </w:r>
          </w:p>
          <w:p w14:paraId="1AC42DB0" w14:textId="77777777"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 správna kodifikácia</w:t>
            </w:r>
            <w:r w:rsidRPr="00083739">
              <w:rPr>
                <w:rFonts w:ascii="Times New Roman" w:hAnsi="Times New Roman" w:cs="Times New Roman"/>
                <w:i/>
                <w:noProof/>
                <w:lang w:val="sk-SK"/>
              </w:rPr>
              <w:t>zákonov č.</w:t>
            </w:r>
            <w:r w:rsidRPr="00083739">
              <w:rPr>
                <w:rFonts w:ascii="Times New Roman" w:hAnsi="Times New Roman" w:cs="Times New Roman"/>
                <w:noProof/>
                <w:lang w:val="sk-SK"/>
              </w:rPr>
              <w:t>3325/2005, 3982/2011, 4302/2014</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4442/2016,</w:t>
            </w:r>
          </w:p>
          <w:p w14:paraId="31B44C6E" w14:textId="77777777"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 vypracovať stratégiu dohľadu nad trhom</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súlade</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nariadením č. 1020/2019</w:t>
            </w:r>
            <w:r w:rsidR="00083739" w:rsidRPr="00083739">
              <w:rPr>
                <w:rFonts w:ascii="Times New Roman" w:hAnsi="Times New Roman" w:cs="Times New Roman"/>
                <w:noProof/>
                <w:lang w:val="sk-SK"/>
              </w:rPr>
              <w:t xml:space="preserve"> a</w:t>
            </w:r>
          </w:p>
          <w:p w14:paraId="159B3E4E" w14:textId="73196E95"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účinné vykonávanie nového systému dohľadu nad hospodárskymi činnosťami podľa právnych predpisov 4512/18 prostredníctvom prijatia príslušných legislatívnych aktov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zavedenia systému hodnotenia kontrolných orgánov,</w:t>
            </w:r>
          </w:p>
          <w:p w14:paraId="7FB1E576" w14:textId="093A196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—zave</w:t>
            </w:r>
            <w:r w:rsidRPr="00083739">
              <w:rPr>
                <w:rFonts w:ascii="Times New Roman" w:hAnsi="Times New Roman" w:cs="Times New Roman"/>
                <w:noProof/>
                <w:lang w:val="sk-SK"/>
              </w:rPr>
              <w:t>denie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zavedenie IT nástrojov na uľahčenie procesov dohľadu nad trhom</w:t>
            </w:r>
          </w:p>
        </w:tc>
      </w:tr>
    </w:tbl>
    <w:p w14:paraId="785FB386" w14:textId="77777777" w:rsidR="002D49B0" w:rsidRPr="00083739" w:rsidRDefault="002D49B0">
      <w:pPr>
        <w:spacing w:before="120" w:after="120" w:line="240" w:lineRule="auto"/>
        <w:ind w:left="709"/>
        <w:jc w:val="both"/>
        <w:rPr>
          <w:rFonts w:ascii="Times New Roman" w:hAnsi="Times New Roman" w:cs="Times New Roman"/>
          <w:noProof/>
          <w:sz w:val="24"/>
          <w:szCs w:val="24"/>
          <w:lang w:val="sk-SK"/>
        </w:rPr>
      </w:pPr>
    </w:p>
    <w:p w14:paraId="645818CE" w14:textId="77777777" w:rsidR="002D49B0" w:rsidRPr="00083739" w:rsidRDefault="002D49B0">
      <w:pPr>
        <w:spacing w:before="120" w:after="120" w:line="240" w:lineRule="auto"/>
        <w:ind w:left="709"/>
        <w:jc w:val="both"/>
        <w:rPr>
          <w:rFonts w:ascii="Times New Roman" w:hAnsi="Times New Roman" w:cs="Times New Roman"/>
          <w:noProof/>
          <w:sz w:val="24"/>
          <w:lang w:val="sk-SK"/>
        </w:rPr>
        <w:sectPr w:rsidR="002D49B0" w:rsidRPr="00083739" w:rsidSect="00271D33">
          <w:headerReference w:type="even" r:id="rId313"/>
          <w:headerReference w:type="default" r:id="rId314"/>
          <w:footerReference w:type="even" r:id="rId315"/>
          <w:footerReference w:type="default" r:id="rId316"/>
          <w:headerReference w:type="first" r:id="rId317"/>
          <w:footerReference w:type="first" r:id="rId318"/>
          <w:pgSz w:w="16839" w:h="11907" w:orient="landscape"/>
          <w:pgMar w:top="720" w:right="720" w:bottom="720" w:left="720" w:header="709" w:footer="217" w:gutter="0"/>
          <w:cols w:space="720"/>
          <w:docGrid w:linePitch="360"/>
        </w:sectPr>
      </w:pPr>
    </w:p>
    <w:p w14:paraId="6876CF5E" w14:textId="77777777" w:rsidR="00083739" w:rsidRPr="00083739" w:rsidRDefault="00BF4125">
      <w:pPr>
        <w:spacing w:before="120" w:after="120" w:line="240" w:lineRule="auto"/>
        <w:jc w:val="both"/>
        <w:rPr>
          <w:rFonts w:ascii="Times New Roman" w:hAnsi="Times New Roman" w:cs="Times New Roman"/>
          <w:b/>
          <w:noProof/>
          <w:sz w:val="24"/>
          <w:u w:val="single"/>
          <w:lang w:val="sk-SK"/>
        </w:rPr>
      </w:pPr>
      <w:r w:rsidRPr="00083739">
        <w:rPr>
          <w:rFonts w:ascii="Times New Roman" w:hAnsi="Times New Roman" w:cs="Times New Roman"/>
          <w:b/>
          <w:noProof/>
          <w:sz w:val="24"/>
          <w:u w:val="single"/>
          <w:lang w:val="sk-SK"/>
        </w:rPr>
        <w:t xml:space="preserve">R.3. </w:t>
      </w:r>
      <w:r w:rsidRPr="00083739">
        <w:rPr>
          <w:rFonts w:ascii="Times New Roman" w:hAnsi="Times New Roman" w:cs="Times New Roman"/>
          <w:noProof/>
          <w:lang w:val="sk-SK"/>
        </w:rPr>
        <w:t xml:space="preserve"> </w:t>
      </w:r>
      <w:r w:rsidRPr="00083739">
        <w:rPr>
          <w:rFonts w:ascii="Times New Roman" w:hAnsi="Times New Roman" w:cs="Times New Roman"/>
          <w:b/>
          <w:noProof/>
          <w:sz w:val="24"/>
          <w:u w:val="single"/>
          <w:lang w:val="sk-SK"/>
        </w:rPr>
        <w:t>Opis reforiem</w:t>
      </w:r>
      <w:r w:rsidR="00083739" w:rsidRPr="00083739">
        <w:rPr>
          <w:rFonts w:ascii="Times New Roman" w:hAnsi="Times New Roman" w:cs="Times New Roman"/>
          <w:b/>
          <w:noProof/>
          <w:sz w:val="24"/>
          <w:u w:val="single"/>
          <w:lang w:val="sk-SK"/>
        </w:rPr>
        <w:t xml:space="preserve"> a </w:t>
      </w:r>
      <w:r w:rsidRPr="00083739">
        <w:rPr>
          <w:rFonts w:ascii="Times New Roman" w:hAnsi="Times New Roman" w:cs="Times New Roman"/>
          <w:b/>
          <w:noProof/>
          <w:sz w:val="24"/>
          <w:u w:val="single"/>
          <w:lang w:val="sk-SK"/>
        </w:rPr>
        <w:t>investícií</w:t>
      </w:r>
      <w:r w:rsidR="00083739" w:rsidRPr="00083739">
        <w:rPr>
          <w:rFonts w:ascii="Times New Roman" w:hAnsi="Times New Roman" w:cs="Times New Roman"/>
          <w:b/>
          <w:noProof/>
          <w:sz w:val="24"/>
          <w:u w:val="single"/>
          <w:lang w:val="sk-SK"/>
        </w:rPr>
        <w:t xml:space="preserve"> v </w:t>
      </w:r>
      <w:r w:rsidRPr="00083739">
        <w:rPr>
          <w:rFonts w:ascii="Times New Roman" w:hAnsi="Times New Roman" w:cs="Times New Roman"/>
          <w:b/>
          <w:noProof/>
          <w:sz w:val="24"/>
          <w:u w:val="single"/>
          <w:lang w:val="sk-SK"/>
        </w:rPr>
        <w:t>rámci úverového financovania</w:t>
      </w:r>
    </w:p>
    <w:p w14:paraId="3788317B" w14:textId="337346FB"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Úverový nástroj (ID opatrenia 16980)</w:t>
      </w:r>
    </w:p>
    <w:p w14:paraId="01FB912E" w14:textId="7B662B82" w:rsidR="00083739" w:rsidRPr="00083739" w:rsidRDefault="00BF4125">
      <w:pPr>
        <w:pStyle w:val="P68B1DB1-Normal5"/>
        <w:spacing w:before="120" w:after="120" w:line="240" w:lineRule="auto"/>
        <w:jc w:val="both"/>
        <w:rPr>
          <w:rFonts w:cs="Times New Roman"/>
          <w:noProof/>
          <w:lang w:val="sk-SK"/>
        </w:rPr>
      </w:pPr>
      <w:r w:rsidRPr="00083739">
        <w:rPr>
          <w:rFonts w:cs="Times New Roman"/>
          <w:noProof/>
          <w:lang w:val="sk-SK"/>
        </w:rPr>
        <w:t>Investícia sa týka využívania úverovej podpory</w:t>
      </w:r>
      <w:r w:rsidR="00083739" w:rsidRPr="00083739">
        <w:rPr>
          <w:rFonts w:cs="Times New Roman"/>
          <w:noProof/>
          <w:lang w:val="sk-SK"/>
        </w:rPr>
        <w:t xml:space="preserve"> v </w:t>
      </w:r>
      <w:r w:rsidRPr="00083739">
        <w:rPr>
          <w:rFonts w:cs="Times New Roman"/>
          <w:noProof/>
          <w:lang w:val="sk-SK"/>
        </w:rPr>
        <w:t>rámci Mechanizmu na podporu obnovy</w:t>
      </w:r>
      <w:r w:rsidR="00083739" w:rsidRPr="00083739">
        <w:rPr>
          <w:rFonts w:cs="Times New Roman"/>
          <w:noProof/>
          <w:lang w:val="sk-SK"/>
        </w:rPr>
        <w:t xml:space="preserve"> a </w:t>
      </w:r>
      <w:r w:rsidRPr="00083739">
        <w:rPr>
          <w:rFonts w:cs="Times New Roman"/>
          <w:noProof/>
          <w:lang w:val="sk-SK"/>
        </w:rPr>
        <w:t>odolnosti</w:t>
      </w:r>
      <w:r w:rsidR="00083739" w:rsidRPr="00083739">
        <w:rPr>
          <w:rFonts w:cs="Times New Roman"/>
          <w:noProof/>
          <w:lang w:val="sk-SK"/>
        </w:rPr>
        <w:t xml:space="preserve"> s </w:t>
      </w:r>
      <w:r w:rsidRPr="00083739">
        <w:rPr>
          <w:rFonts w:cs="Times New Roman"/>
          <w:noProof/>
          <w:lang w:val="sk-SK"/>
        </w:rPr>
        <w:t>cieľom uľahčiť poskytovanie finančných stimulov súkromnému sektoru</w:t>
      </w:r>
      <w:r w:rsidR="00083739" w:rsidRPr="00083739">
        <w:rPr>
          <w:rFonts w:cs="Times New Roman"/>
          <w:noProof/>
          <w:lang w:val="sk-SK"/>
        </w:rPr>
        <w:t xml:space="preserve"> a </w:t>
      </w:r>
      <w:r w:rsidRPr="00083739">
        <w:rPr>
          <w:rFonts w:cs="Times New Roman"/>
          <w:noProof/>
          <w:lang w:val="sk-SK"/>
        </w:rPr>
        <w:t>podporiť súkromné investície. Úverový nástroj využíva rôzne distribučné kanály, konkrétne</w:t>
      </w:r>
      <w:r w:rsidRPr="00083739">
        <w:rPr>
          <w:rFonts w:cs="Times New Roman"/>
          <w:noProof/>
          <w:lang w:val="sk-SK"/>
        </w:rPr>
        <w:t xml:space="preserve"> finančné inštitúcie [prostredníctvom nákupu podnikových dlhopisov alebo syndikovaných úverov (15428 milióna EUR), kapitálovej platformy (500 miliónov EUR)</w:t>
      </w:r>
      <w:r w:rsidR="00083739" w:rsidRPr="00083739">
        <w:rPr>
          <w:rFonts w:cs="Times New Roman"/>
          <w:noProof/>
          <w:lang w:val="sk-SK"/>
        </w:rPr>
        <w:t xml:space="preserve"> a </w:t>
      </w:r>
      <w:r w:rsidRPr="00083739">
        <w:rPr>
          <w:rFonts w:cs="Times New Roman"/>
          <w:noProof/>
          <w:lang w:val="sk-SK"/>
        </w:rPr>
        <w:t>zložky Programu InvestEU</w:t>
      </w:r>
      <w:r w:rsidR="00083739" w:rsidRPr="00083739">
        <w:rPr>
          <w:rFonts w:cs="Times New Roman"/>
          <w:noProof/>
          <w:lang w:val="sk-SK"/>
        </w:rPr>
        <w:t xml:space="preserve"> v </w:t>
      </w:r>
      <w:r w:rsidRPr="00083739">
        <w:rPr>
          <w:rFonts w:cs="Times New Roman"/>
          <w:noProof/>
          <w:lang w:val="sk-SK"/>
        </w:rPr>
        <w:t>zodpovednosti členských štátov (500 miliónov EUR)]</w:t>
      </w:r>
      <w:r w:rsidR="00083739" w:rsidRPr="00083739">
        <w:rPr>
          <w:rFonts w:cs="Times New Roman"/>
          <w:noProof/>
          <w:lang w:val="sk-SK"/>
        </w:rPr>
        <w:t>.</w:t>
      </w:r>
    </w:p>
    <w:p w14:paraId="5287A646" w14:textId="2E09556D" w:rsidR="00083739" w:rsidRPr="00083739" w:rsidRDefault="00BF4125">
      <w:pPr>
        <w:pStyle w:val="P68B1DB1-Normal4"/>
        <w:tabs>
          <w:tab w:val="left" w:pos="0"/>
        </w:tabs>
        <w:spacing w:before="120" w:after="120" w:line="240" w:lineRule="auto"/>
        <w:jc w:val="both"/>
        <w:rPr>
          <w:rFonts w:cs="Times New Roman"/>
          <w:noProof/>
          <w:lang w:val="sk-SK"/>
        </w:rPr>
      </w:pPr>
      <w:r w:rsidRPr="00083739">
        <w:rPr>
          <w:rFonts w:cs="Times New Roman"/>
          <w:noProof/>
          <w:lang w:val="sk-SK"/>
        </w:rPr>
        <w:t>V prípade distribuč</w:t>
      </w:r>
      <w:r w:rsidRPr="00083739">
        <w:rPr>
          <w:rFonts w:cs="Times New Roman"/>
          <w:noProof/>
          <w:lang w:val="sk-SK"/>
        </w:rPr>
        <w:t>ného kanála finančných inštitúcií sa úvery poskytujú prostredníctvom medzinárodných finančných inštitúcií (IFI)</w:t>
      </w:r>
      <w:r w:rsidR="00083739" w:rsidRPr="00083739">
        <w:rPr>
          <w:rFonts w:cs="Times New Roman"/>
          <w:noProof/>
          <w:lang w:val="sk-SK"/>
        </w:rPr>
        <w:t xml:space="preserve"> a </w:t>
      </w:r>
      <w:r w:rsidRPr="00083739">
        <w:rPr>
          <w:rFonts w:cs="Times New Roman"/>
          <w:noProof/>
          <w:lang w:val="sk-SK"/>
        </w:rPr>
        <w:t>komerčných bánk (CB). Úvery poskytnuté štátom pokrývajú maximálne 50</w:t>
      </w:r>
      <w:r w:rsidR="00083739" w:rsidRPr="00083739">
        <w:rPr>
          <w:rFonts w:cs="Times New Roman"/>
          <w:noProof/>
          <w:lang w:val="sk-SK"/>
        </w:rPr>
        <w:t> %</w:t>
      </w:r>
      <w:r w:rsidRPr="00083739">
        <w:rPr>
          <w:rFonts w:cs="Times New Roman"/>
          <w:noProof/>
          <w:lang w:val="sk-SK"/>
        </w:rPr>
        <w:t xml:space="preserve"> investičných nákladov, pričom účasť finančných inštitúcií je minimálne 30</w:t>
      </w:r>
      <w:r w:rsidR="00083739" w:rsidRPr="00083739">
        <w:rPr>
          <w:rFonts w:cs="Times New Roman"/>
          <w:noProof/>
          <w:lang w:val="sk-SK"/>
        </w:rPr>
        <w:t> % a </w:t>
      </w:r>
      <w:r w:rsidRPr="00083739">
        <w:rPr>
          <w:rFonts w:cs="Times New Roman"/>
          <w:noProof/>
          <w:lang w:val="sk-SK"/>
        </w:rPr>
        <w:t>účasť dlžníka najmenej 20</w:t>
      </w:r>
      <w:r w:rsidR="00083739" w:rsidRPr="00083739">
        <w:rPr>
          <w:rFonts w:cs="Times New Roman"/>
          <w:noProof/>
          <w:lang w:val="sk-SK"/>
        </w:rPr>
        <w:t> %.</w:t>
      </w:r>
    </w:p>
    <w:p w14:paraId="2A2EFD1B" w14:textId="43BB3B41" w:rsidR="002D49B0" w:rsidRPr="00083739" w:rsidRDefault="00BF4125">
      <w:pPr>
        <w:pStyle w:val="P68B1DB1-Normal4"/>
        <w:tabs>
          <w:tab w:val="left" w:pos="0"/>
        </w:tabs>
        <w:spacing w:before="120" w:after="120" w:line="240" w:lineRule="auto"/>
        <w:jc w:val="both"/>
        <w:rPr>
          <w:rFonts w:cs="Times New Roman"/>
          <w:noProof/>
          <w:szCs w:val="24"/>
          <w:lang w:val="sk-SK"/>
        </w:rPr>
      </w:pPr>
      <w:r w:rsidRPr="00083739">
        <w:rPr>
          <w:rFonts w:cs="Times New Roman"/>
          <w:noProof/>
          <w:lang w:val="sk-SK"/>
        </w:rPr>
        <w:t>Úvery poskytnuté</w:t>
      </w:r>
      <w:r w:rsidR="00083739" w:rsidRPr="00083739">
        <w:rPr>
          <w:rFonts w:cs="Times New Roman"/>
          <w:noProof/>
          <w:lang w:val="sk-SK"/>
        </w:rPr>
        <w:t xml:space="preserve"> v </w:t>
      </w:r>
      <w:r w:rsidRPr="00083739">
        <w:rPr>
          <w:rFonts w:cs="Times New Roman"/>
          <w:noProof/>
          <w:lang w:val="sk-SK"/>
        </w:rPr>
        <w:t>rámci úverového nástroja, ktoré boli splatené počas prvých troch rokov od zriadenia úverového nástroja, sa môžu opätovne použiť n</w:t>
      </w:r>
      <w:r w:rsidRPr="00083739">
        <w:rPr>
          <w:rFonts w:cs="Times New Roman"/>
          <w:noProof/>
          <w:lang w:val="sk-SK"/>
        </w:rPr>
        <w:t>a vyplácanie nových úverov</w:t>
      </w:r>
      <w:r w:rsidR="00083739" w:rsidRPr="00083739">
        <w:rPr>
          <w:rFonts w:cs="Times New Roman"/>
          <w:noProof/>
          <w:lang w:val="sk-SK"/>
        </w:rPr>
        <w:t xml:space="preserve"> v </w:t>
      </w:r>
      <w:r w:rsidRPr="00083739">
        <w:rPr>
          <w:rFonts w:cs="Times New Roman"/>
          <w:noProof/>
          <w:lang w:val="sk-SK"/>
        </w:rPr>
        <w:t>rámci úverového nástroja.</w:t>
      </w:r>
      <w:r w:rsidR="00083739" w:rsidRPr="00083739">
        <w:rPr>
          <w:rFonts w:cs="Times New Roman"/>
          <w:noProof/>
          <w:lang w:val="sk-SK"/>
        </w:rPr>
        <w:t xml:space="preserve"> V </w:t>
      </w:r>
      <w:r w:rsidRPr="00083739">
        <w:rPr>
          <w:rFonts w:cs="Times New Roman"/>
          <w:noProof/>
          <w:lang w:val="sk-SK"/>
        </w:rPr>
        <w:t>opačnom prípade sa všetky spätné toky úverového nástroja nasmerujú na oddelený účet, ktorý sa použije výlučne na správu verejného dlhu,</w:t>
      </w:r>
      <w:r w:rsidR="00083739" w:rsidRPr="00083739">
        <w:rPr>
          <w:rFonts w:cs="Times New Roman"/>
          <w:noProof/>
          <w:lang w:val="sk-SK"/>
        </w:rPr>
        <w:t xml:space="preserve"> a </w:t>
      </w:r>
      <w:r w:rsidRPr="00083739">
        <w:rPr>
          <w:rFonts w:cs="Times New Roman"/>
          <w:noProof/>
          <w:lang w:val="sk-SK"/>
        </w:rPr>
        <w:t>tým pomôže podporiť udržateľnosť verejných financií.</w:t>
      </w:r>
    </w:p>
    <w:p w14:paraId="647D5FA2" w14:textId="3B615566" w:rsidR="00083739" w:rsidRPr="00083739" w:rsidRDefault="00BF4125">
      <w:pPr>
        <w:pStyle w:val="P68B1DB1-Normal4"/>
        <w:tabs>
          <w:tab w:val="left" w:pos="0"/>
        </w:tabs>
        <w:spacing w:before="120" w:after="120" w:line="240" w:lineRule="auto"/>
        <w:jc w:val="both"/>
        <w:rPr>
          <w:rFonts w:cs="Times New Roman"/>
          <w:noProof/>
          <w:lang w:val="sk-SK"/>
        </w:rPr>
      </w:pPr>
      <w:r w:rsidRPr="00083739">
        <w:rPr>
          <w:rFonts w:cs="Times New Roman"/>
          <w:noProof/>
          <w:lang w:val="sk-SK"/>
        </w:rPr>
        <w:t>Z úverov</w:t>
      </w:r>
      <w:r w:rsidRPr="00083739">
        <w:rPr>
          <w:rFonts w:cs="Times New Roman"/>
          <w:noProof/>
          <w:lang w:val="sk-SK"/>
        </w:rPr>
        <w:t>ého nástroja sa financujú len oprávnené projekty. MFI</w:t>
      </w:r>
      <w:r w:rsidR="00083739" w:rsidRPr="00083739">
        <w:rPr>
          <w:rFonts w:cs="Times New Roman"/>
          <w:noProof/>
          <w:lang w:val="sk-SK"/>
        </w:rPr>
        <w:t xml:space="preserve"> a </w:t>
      </w:r>
      <w:r w:rsidRPr="00083739">
        <w:rPr>
          <w:rFonts w:cs="Times New Roman"/>
          <w:noProof/>
          <w:lang w:val="sk-SK"/>
        </w:rPr>
        <w:t>CO konkrétne zabezpečia, aby financované investície</w:t>
      </w:r>
      <w:r w:rsidR="00083739" w:rsidRPr="00083739">
        <w:rPr>
          <w:rFonts w:cs="Times New Roman"/>
          <w:noProof/>
          <w:lang w:val="sk-SK"/>
        </w:rPr>
        <w:t>:</w:t>
      </w:r>
    </w:p>
    <w:p w14:paraId="7FE9E20A" w14:textId="54B59563" w:rsidR="002D49B0" w:rsidRPr="00083739" w:rsidRDefault="00BF4125">
      <w:pPr>
        <w:pStyle w:val="P68B1DB1-Normal4"/>
        <w:numPr>
          <w:ilvl w:val="0"/>
          <w:numId w:val="69"/>
        </w:numPr>
        <w:tabs>
          <w:tab w:val="left" w:pos="0"/>
        </w:tabs>
        <w:spacing w:before="120" w:after="120" w:line="240" w:lineRule="auto"/>
        <w:jc w:val="both"/>
        <w:rPr>
          <w:rFonts w:cs="Times New Roman"/>
          <w:noProof/>
          <w:szCs w:val="24"/>
          <w:lang w:val="sk-SK"/>
        </w:rPr>
      </w:pPr>
      <w:r w:rsidRPr="00083739">
        <w:rPr>
          <w:rFonts w:cs="Times New Roman"/>
          <w:noProof/>
          <w:lang w:val="sk-SK"/>
        </w:rPr>
        <w:t>mať kladnú čistú súčasnú hodnotu, čím sa zabezpečí, aby rozhodnutie</w:t>
      </w:r>
      <w:r w:rsidR="00083739" w:rsidRPr="00083739">
        <w:rPr>
          <w:rFonts w:cs="Times New Roman"/>
          <w:noProof/>
          <w:lang w:val="sk-SK"/>
        </w:rPr>
        <w:t xml:space="preserve"> o </w:t>
      </w:r>
      <w:r w:rsidRPr="00083739">
        <w:rPr>
          <w:rFonts w:cs="Times New Roman"/>
          <w:noProof/>
          <w:lang w:val="sk-SK"/>
        </w:rPr>
        <w:t>financovaní bolo založené na zdravých hospodárskych kritériách;</w:t>
      </w:r>
    </w:p>
    <w:p w14:paraId="4A91A24D" w14:textId="05C31ACD" w:rsidR="002D49B0" w:rsidRPr="00083739" w:rsidRDefault="00BF4125">
      <w:pPr>
        <w:pStyle w:val="P68B1DB1-Normal4"/>
        <w:numPr>
          <w:ilvl w:val="0"/>
          <w:numId w:val="69"/>
        </w:numPr>
        <w:tabs>
          <w:tab w:val="left" w:pos="0"/>
        </w:tabs>
        <w:spacing w:before="120" w:after="120" w:line="240" w:lineRule="auto"/>
        <w:jc w:val="both"/>
        <w:rPr>
          <w:rFonts w:cs="Times New Roman"/>
          <w:noProof/>
          <w:szCs w:val="24"/>
          <w:lang w:val="sk-SK"/>
        </w:rPr>
      </w:pPr>
      <w:r w:rsidRPr="00083739">
        <w:rPr>
          <w:rFonts w:cs="Times New Roman"/>
          <w:noProof/>
          <w:lang w:val="sk-SK"/>
        </w:rPr>
        <w:t>sú</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piatimi strategickými piliermi stanovenými pre úverový nástroj, konkrétne so zelenou transformáciou, digitalizáciou, extroverziou, úsporami</w:t>
      </w:r>
      <w:r w:rsidR="00083739" w:rsidRPr="00083739">
        <w:rPr>
          <w:rFonts w:cs="Times New Roman"/>
          <w:noProof/>
          <w:lang w:val="sk-SK"/>
        </w:rPr>
        <w:t xml:space="preserve"> z </w:t>
      </w:r>
      <w:r w:rsidRPr="00083739">
        <w:rPr>
          <w:rFonts w:cs="Times New Roman"/>
          <w:noProof/>
          <w:lang w:val="sk-SK"/>
        </w:rPr>
        <w:t>rozsahu prostredníctvom fúzií</w:t>
      </w:r>
      <w:r w:rsidR="00083739" w:rsidRPr="00083739">
        <w:rPr>
          <w:rFonts w:cs="Times New Roman"/>
          <w:noProof/>
          <w:lang w:val="sk-SK"/>
        </w:rPr>
        <w:t xml:space="preserve"> a </w:t>
      </w:r>
      <w:r w:rsidRPr="00083739">
        <w:rPr>
          <w:rFonts w:cs="Times New Roman"/>
          <w:noProof/>
          <w:lang w:val="sk-SK"/>
        </w:rPr>
        <w:t>akvizícií, inováciami;</w:t>
      </w:r>
    </w:p>
    <w:p w14:paraId="36151388" w14:textId="77777777" w:rsidR="00083739" w:rsidRPr="00083739" w:rsidRDefault="00BF4125">
      <w:pPr>
        <w:pStyle w:val="P68B1DB1-Normal4"/>
        <w:numPr>
          <w:ilvl w:val="0"/>
          <w:numId w:val="69"/>
        </w:numPr>
        <w:tabs>
          <w:tab w:val="left" w:pos="0"/>
        </w:tabs>
        <w:spacing w:before="120" w:after="120" w:line="240" w:lineRule="auto"/>
        <w:jc w:val="both"/>
        <w:rPr>
          <w:rFonts w:cs="Times New Roman"/>
          <w:noProof/>
          <w:lang w:val="sk-SK"/>
        </w:rPr>
      </w:pPr>
      <w:r w:rsidRPr="00083739">
        <w:rPr>
          <w:rFonts w:cs="Times New Roman"/>
          <w:noProof/>
          <w:lang w:val="sk-SK"/>
        </w:rPr>
        <w:t>dodržiavať pravidlá štátnej pomoci</w:t>
      </w:r>
      <w:r w:rsidR="00083739" w:rsidRPr="00083739">
        <w:rPr>
          <w:rFonts w:cs="Times New Roman"/>
          <w:noProof/>
          <w:lang w:val="sk-SK"/>
        </w:rPr>
        <w:t>.</w:t>
      </w:r>
    </w:p>
    <w:p w14:paraId="0278118C" w14:textId="4CFA92B3"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S cieľom zabezpečiť, a</w:t>
      </w:r>
      <w:r w:rsidRPr="00083739">
        <w:rPr>
          <w:rFonts w:cs="Times New Roman"/>
          <w:noProof/>
          <w:lang w:val="sk-SK"/>
        </w:rPr>
        <w:t>by bolo opatrenie</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technickými usmerneniami „výrazne nenarušiť“ (2021/C58/01), dohody</w:t>
      </w:r>
      <w:r w:rsidR="00083739" w:rsidRPr="00083739">
        <w:rPr>
          <w:rFonts w:cs="Times New Roman"/>
          <w:noProof/>
          <w:lang w:val="sk-SK"/>
        </w:rPr>
        <w:t xml:space="preserve"> v </w:t>
      </w:r>
      <w:r w:rsidRPr="00083739">
        <w:rPr>
          <w:rFonts w:cs="Times New Roman"/>
          <w:noProof/>
          <w:lang w:val="sk-SK"/>
        </w:rPr>
        <w:t>kontexte úverového nástroja:</w:t>
      </w:r>
    </w:p>
    <w:p w14:paraId="5345D3B1" w14:textId="77777777" w:rsidR="002D49B0" w:rsidRPr="00083739" w:rsidRDefault="00BF4125">
      <w:pPr>
        <w:spacing w:before="120" w:after="120" w:line="240" w:lineRule="auto"/>
        <w:jc w:val="both"/>
        <w:rPr>
          <w:rFonts w:ascii="Times New Roman" w:hAnsi="Times New Roman" w:cs="Times New Roman"/>
          <w:noProof/>
          <w:sz w:val="24"/>
          <w:lang w:val="sk-SK"/>
        </w:rPr>
      </w:pPr>
      <w:r w:rsidRPr="00083739">
        <w:rPr>
          <w:rFonts w:ascii="Times New Roman" w:hAnsi="Times New Roman" w:cs="Times New Roman"/>
          <w:noProof/>
          <w:sz w:val="24"/>
          <w:lang w:val="sk-SK"/>
        </w:rPr>
        <w:t xml:space="preserve">I. </w:t>
      </w:r>
      <w:r w:rsidRPr="00083739">
        <w:rPr>
          <w:rFonts w:ascii="Times New Roman" w:hAnsi="Times New Roman" w:cs="Times New Roman"/>
          <w:noProof/>
          <w:lang w:val="sk-SK"/>
        </w:rPr>
        <w:t xml:space="preserve"> </w:t>
      </w:r>
      <w:r w:rsidRPr="00083739">
        <w:rPr>
          <w:rFonts w:ascii="Times New Roman" w:hAnsi="Times New Roman" w:cs="Times New Roman"/>
          <w:noProof/>
          <w:sz w:val="24"/>
          <w:lang w:val="sk-SK"/>
        </w:rPr>
        <w:t>požadovať uplatňovanie technických usmernení Komisie týkajúcich sa preverovania udržateľnosti pre Fond InvestEU;</w:t>
      </w:r>
    </w:p>
    <w:p w14:paraId="38D7111C" w14:textId="2ECC02B6" w:rsidR="002D49B0" w:rsidRPr="00083739" w:rsidRDefault="00BF4125">
      <w:pPr>
        <w:spacing w:before="120" w:after="120" w:line="240" w:lineRule="auto"/>
        <w:jc w:val="both"/>
        <w:rPr>
          <w:rFonts w:ascii="Times New Roman" w:hAnsi="Times New Roman" w:cs="Times New Roman"/>
          <w:noProof/>
          <w:sz w:val="24"/>
          <w:lang w:val="sk-SK"/>
        </w:rPr>
      </w:pPr>
      <w:r w:rsidRPr="00083739">
        <w:rPr>
          <w:rFonts w:ascii="Times New Roman" w:hAnsi="Times New Roman" w:cs="Times New Roman"/>
          <w:noProof/>
          <w:sz w:val="24"/>
          <w:szCs w:val="24"/>
          <w:lang w:val="sk-SK"/>
        </w:rPr>
        <w:t xml:space="preserve">II. </w:t>
      </w:r>
      <w:r w:rsidRPr="00083739">
        <w:rPr>
          <w:rFonts w:ascii="Times New Roman" w:hAnsi="Times New Roman" w:cs="Times New Roman"/>
          <w:noProof/>
          <w:lang w:val="sk-SK"/>
        </w:rPr>
        <w:t xml:space="preserve"> </w:t>
      </w:r>
      <w:r w:rsidRPr="00083739">
        <w:rPr>
          <w:rFonts w:ascii="Times New Roman" w:hAnsi="Times New Roman" w:cs="Times New Roman"/>
          <w:noProof/>
          <w:sz w:val="24"/>
          <w:szCs w:val="24"/>
          <w:lang w:val="sk-SK"/>
        </w:rPr>
        <w:t>vylúčiť</w:t>
      </w:r>
      <w:r w:rsidR="00083739" w:rsidRPr="00083739">
        <w:rPr>
          <w:rFonts w:ascii="Times New Roman" w:hAnsi="Times New Roman" w:cs="Times New Roman"/>
          <w:noProof/>
          <w:sz w:val="24"/>
          <w:szCs w:val="24"/>
          <w:lang w:val="sk-SK"/>
        </w:rPr>
        <w:t xml:space="preserve"> z </w:t>
      </w:r>
      <w:r w:rsidRPr="00083739">
        <w:rPr>
          <w:rFonts w:ascii="Times New Roman" w:hAnsi="Times New Roman" w:cs="Times New Roman"/>
          <w:noProof/>
          <w:sz w:val="24"/>
          <w:szCs w:val="24"/>
          <w:lang w:val="sk-SK"/>
        </w:rPr>
        <w:t>oprávnenosti tieto činnosti</w:t>
      </w:r>
      <w:r w:rsidR="00083739" w:rsidRPr="00083739">
        <w:rPr>
          <w:rFonts w:ascii="Times New Roman" w:hAnsi="Times New Roman" w:cs="Times New Roman"/>
          <w:noProof/>
          <w:sz w:val="24"/>
          <w:szCs w:val="24"/>
          <w:lang w:val="sk-SK"/>
        </w:rPr>
        <w:t xml:space="preserve"> a </w:t>
      </w:r>
      <w:r w:rsidRPr="00083739">
        <w:rPr>
          <w:rFonts w:ascii="Times New Roman" w:hAnsi="Times New Roman" w:cs="Times New Roman"/>
          <w:noProof/>
          <w:sz w:val="24"/>
          <w:szCs w:val="24"/>
          <w:lang w:val="sk-SK"/>
        </w:rPr>
        <w:t>aktíva: I) činnosti</w:t>
      </w:r>
      <w:r w:rsidR="00083739" w:rsidRPr="00083739">
        <w:rPr>
          <w:rFonts w:ascii="Times New Roman" w:hAnsi="Times New Roman" w:cs="Times New Roman"/>
          <w:noProof/>
          <w:sz w:val="24"/>
          <w:szCs w:val="24"/>
          <w:lang w:val="sk-SK"/>
        </w:rPr>
        <w:t xml:space="preserve"> a </w:t>
      </w:r>
      <w:r w:rsidRPr="00083739">
        <w:rPr>
          <w:rFonts w:ascii="Times New Roman" w:hAnsi="Times New Roman" w:cs="Times New Roman"/>
          <w:noProof/>
          <w:sz w:val="24"/>
          <w:szCs w:val="24"/>
          <w:lang w:val="sk-SK"/>
        </w:rPr>
        <w:t>aktíva súvisiace</w:t>
      </w:r>
      <w:r w:rsidR="00083739" w:rsidRPr="00083739">
        <w:rPr>
          <w:rFonts w:ascii="Times New Roman" w:hAnsi="Times New Roman" w:cs="Times New Roman"/>
          <w:noProof/>
          <w:sz w:val="24"/>
          <w:szCs w:val="24"/>
          <w:lang w:val="sk-SK"/>
        </w:rPr>
        <w:t xml:space="preserve"> s </w:t>
      </w:r>
      <w:r w:rsidRPr="00083739">
        <w:rPr>
          <w:rFonts w:ascii="Times New Roman" w:hAnsi="Times New Roman" w:cs="Times New Roman"/>
          <w:noProof/>
          <w:sz w:val="24"/>
          <w:szCs w:val="24"/>
          <w:lang w:val="sk-SK"/>
        </w:rPr>
        <w:t>fosílnymi palivami vrátane následného použitia</w:t>
      </w:r>
      <w:r w:rsidRPr="00083739">
        <w:rPr>
          <w:rFonts w:ascii="Times New Roman" w:hAnsi="Times New Roman" w:cs="Times New Roman"/>
          <w:noProof/>
          <w:sz w:val="24"/>
          <w:szCs w:val="24"/>
          <w:lang w:val="sk-SK"/>
        </w:rPr>
        <w:footnoteReference w:id="39"/>
      </w:r>
      <w:r w:rsidRPr="00083739">
        <w:rPr>
          <w:rFonts w:ascii="Times New Roman" w:hAnsi="Times New Roman" w:cs="Times New Roman"/>
          <w:noProof/>
          <w:sz w:val="24"/>
          <w:szCs w:val="24"/>
          <w:lang w:val="sk-SK"/>
        </w:rPr>
        <w:t>; II) činností</w:t>
      </w:r>
      <w:r w:rsidR="00083739" w:rsidRPr="00083739">
        <w:rPr>
          <w:rFonts w:ascii="Times New Roman" w:hAnsi="Times New Roman" w:cs="Times New Roman"/>
          <w:noProof/>
          <w:sz w:val="24"/>
          <w:szCs w:val="24"/>
          <w:lang w:val="sk-SK"/>
        </w:rPr>
        <w:t xml:space="preserve"> a </w:t>
      </w:r>
      <w:r w:rsidRPr="00083739">
        <w:rPr>
          <w:rFonts w:ascii="Times New Roman" w:hAnsi="Times New Roman" w:cs="Times New Roman"/>
          <w:noProof/>
          <w:sz w:val="24"/>
          <w:szCs w:val="24"/>
          <w:lang w:val="sk-SK"/>
        </w:rPr>
        <w:t>aktív</w:t>
      </w:r>
      <w:r w:rsidR="00083739" w:rsidRPr="00083739">
        <w:rPr>
          <w:rFonts w:ascii="Times New Roman" w:hAnsi="Times New Roman" w:cs="Times New Roman"/>
          <w:noProof/>
          <w:sz w:val="24"/>
          <w:szCs w:val="24"/>
          <w:lang w:val="sk-SK"/>
        </w:rPr>
        <w:t xml:space="preserve"> v </w:t>
      </w:r>
      <w:r w:rsidRPr="00083739">
        <w:rPr>
          <w:rFonts w:ascii="Times New Roman" w:hAnsi="Times New Roman" w:cs="Times New Roman"/>
          <w:noProof/>
          <w:sz w:val="24"/>
          <w:szCs w:val="24"/>
          <w:lang w:val="sk-SK"/>
        </w:rPr>
        <w:t>rámci systému EÚ na obchodovanie</w:t>
      </w:r>
      <w:r w:rsidR="00083739" w:rsidRPr="00083739">
        <w:rPr>
          <w:rFonts w:ascii="Times New Roman" w:hAnsi="Times New Roman" w:cs="Times New Roman"/>
          <w:noProof/>
          <w:sz w:val="24"/>
          <w:szCs w:val="24"/>
          <w:lang w:val="sk-SK"/>
        </w:rPr>
        <w:t xml:space="preserve"> s </w:t>
      </w:r>
      <w:r w:rsidRPr="00083739">
        <w:rPr>
          <w:rFonts w:ascii="Times New Roman" w:hAnsi="Times New Roman" w:cs="Times New Roman"/>
          <w:noProof/>
          <w:sz w:val="24"/>
          <w:szCs w:val="24"/>
          <w:lang w:val="sk-SK"/>
        </w:rPr>
        <w:t>emisiami (ETS), ktorými sa dosahujú predpokladané emisie skleníkových plyno</w:t>
      </w:r>
      <w:r w:rsidRPr="00083739">
        <w:rPr>
          <w:rFonts w:ascii="Times New Roman" w:hAnsi="Times New Roman" w:cs="Times New Roman"/>
          <w:noProof/>
          <w:sz w:val="24"/>
          <w:szCs w:val="24"/>
          <w:lang w:val="sk-SK"/>
        </w:rPr>
        <w:t>v, ktoré nie sú nižšie ako príslušné referenčné hodnoty</w:t>
      </w:r>
      <w:r w:rsidRPr="00083739">
        <w:rPr>
          <w:rFonts w:ascii="Times New Roman" w:hAnsi="Times New Roman" w:cs="Times New Roman"/>
          <w:noProof/>
          <w:sz w:val="24"/>
          <w:szCs w:val="24"/>
          <w:lang w:val="sk-SK"/>
        </w:rPr>
        <w:footnoteReference w:id="40"/>
      </w:r>
      <w:r w:rsidRPr="00083739">
        <w:rPr>
          <w:rFonts w:ascii="Times New Roman" w:hAnsi="Times New Roman" w:cs="Times New Roman"/>
          <w:noProof/>
          <w:sz w:val="24"/>
          <w:szCs w:val="24"/>
          <w:lang w:val="sk-SK"/>
        </w:rPr>
        <w:t>; III) činnosti</w:t>
      </w:r>
      <w:r w:rsidR="00083739" w:rsidRPr="00083739">
        <w:rPr>
          <w:rFonts w:ascii="Times New Roman" w:hAnsi="Times New Roman" w:cs="Times New Roman"/>
          <w:noProof/>
          <w:sz w:val="24"/>
          <w:szCs w:val="24"/>
          <w:lang w:val="sk-SK"/>
        </w:rPr>
        <w:t xml:space="preserve"> a </w:t>
      </w:r>
      <w:r w:rsidRPr="00083739">
        <w:rPr>
          <w:rFonts w:ascii="Times New Roman" w:hAnsi="Times New Roman" w:cs="Times New Roman"/>
          <w:noProof/>
          <w:sz w:val="24"/>
          <w:szCs w:val="24"/>
          <w:lang w:val="sk-SK"/>
        </w:rPr>
        <w:t>aktíva súvisiace so skládkami odpadov, spaľovňami</w:t>
      </w:r>
      <w:r w:rsidRPr="00083739">
        <w:rPr>
          <w:rFonts w:ascii="Times New Roman" w:hAnsi="Times New Roman" w:cs="Times New Roman"/>
          <w:noProof/>
          <w:sz w:val="24"/>
          <w:szCs w:val="24"/>
          <w:lang w:val="sk-SK"/>
        </w:rPr>
        <w:footnoteReference w:id="41"/>
      </w:r>
      <w:r w:rsidR="00083739" w:rsidRPr="00083739">
        <w:rPr>
          <w:rFonts w:ascii="Times New Roman" w:hAnsi="Times New Roman" w:cs="Times New Roman"/>
          <w:noProof/>
          <w:sz w:val="24"/>
          <w:szCs w:val="24"/>
          <w:lang w:val="sk-SK"/>
        </w:rPr>
        <w:t xml:space="preserve"> a </w:t>
      </w:r>
      <w:r w:rsidRPr="00083739">
        <w:rPr>
          <w:rFonts w:ascii="Times New Roman" w:hAnsi="Times New Roman" w:cs="Times New Roman"/>
          <w:noProof/>
          <w:sz w:val="24"/>
          <w:szCs w:val="24"/>
          <w:lang w:val="sk-SK"/>
        </w:rPr>
        <w:t>mechanickými biologickými čistiarňami</w:t>
      </w:r>
      <w:r w:rsidRPr="00083739">
        <w:rPr>
          <w:rFonts w:ascii="Times New Roman" w:hAnsi="Times New Roman" w:cs="Times New Roman"/>
          <w:noProof/>
          <w:sz w:val="24"/>
          <w:szCs w:val="24"/>
          <w:lang w:val="sk-SK"/>
        </w:rPr>
        <w:footnoteReference w:id="42"/>
      </w:r>
      <w:r w:rsidRPr="00083739">
        <w:rPr>
          <w:rFonts w:ascii="Times New Roman" w:hAnsi="Times New Roman" w:cs="Times New Roman"/>
          <w:noProof/>
          <w:sz w:val="24"/>
          <w:szCs w:val="24"/>
          <w:lang w:val="sk-SK"/>
        </w:rPr>
        <w:t>;</w:t>
      </w:r>
      <w:r w:rsidR="00083739" w:rsidRPr="00083739">
        <w:rPr>
          <w:rFonts w:ascii="Times New Roman" w:hAnsi="Times New Roman" w:cs="Times New Roman"/>
          <w:noProof/>
          <w:sz w:val="24"/>
          <w:szCs w:val="24"/>
          <w:lang w:val="sk-SK"/>
        </w:rPr>
        <w:t xml:space="preserve"> a </w:t>
      </w:r>
      <w:r w:rsidRPr="00083739">
        <w:rPr>
          <w:rFonts w:ascii="Times New Roman" w:hAnsi="Times New Roman" w:cs="Times New Roman"/>
          <w:noProof/>
          <w:sz w:val="24"/>
          <w:szCs w:val="24"/>
          <w:lang w:val="sk-SK"/>
        </w:rPr>
        <w:t>iv) činnosti</w:t>
      </w:r>
      <w:r w:rsidR="00083739" w:rsidRPr="00083739">
        <w:rPr>
          <w:rFonts w:ascii="Times New Roman" w:hAnsi="Times New Roman" w:cs="Times New Roman"/>
          <w:noProof/>
          <w:sz w:val="24"/>
          <w:szCs w:val="24"/>
          <w:lang w:val="sk-SK"/>
        </w:rPr>
        <w:t xml:space="preserve"> a </w:t>
      </w:r>
      <w:r w:rsidRPr="00083739">
        <w:rPr>
          <w:rFonts w:ascii="Times New Roman" w:hAnsi="Times New Roman" w:cs="Times New Roman"/>
          <w:noProof/>
          <w:sz w:val="24"/>
          <w:szCs w:val="24"/>
          <w:lang w:val="sk-SK"/>
        </w:rPr>
        <w:t>aktíva, pri ktorých môže dlhodobé zneškodňovanie odpadu poškodiť životné</w:t>
      </w:r>
      <w:r w:rsidRPr="00083739">
        <w:rPr>
          <w:rFonts w:ascii="Times New Roman" w:hAnsi="Times New Roman" w:cs="Times New Roman"/>
          <w:noProof/>
          <w:sz w:val="24"/>
          <w:szCs w:val="24"/>
          <w:lang w:val="sk-SK"/>
        </w:rPr>
        <w:t xml:space="preserve"> prostredie;</w:t>
      </w:r>
      <w:r w:rsidR="00083739" w:rsidRPr="00083739">
        <w:rPr>
          <w:rFonts w:ascii="Times New Roman" w:hAnsi="Times New Roman" w:cs="Times New Roman"/>
          <w:noProof/>
          <w:sz w:val="24"/>
          <w:szCs w:val="24"/>
          <w:lang w:val="sk-SK"/>
        </w:rPr>
        <w:t xml:space="preserve"> a </w:t>
      </w:r>
      <w:r w:rsidRPr="00083739">
        <w:rPr>
          <w:rFonts w:ascii="Times New Roman" w:hAnsi="Times New Roman" w:cs="Times New Roman"/>
          <w:noProof/>
          <w:sz w:val="24"/>
          <w:szCs w:val="24"/>
          <w:lang w:val="sk-SK"/>
        </w:rPr>
        <w:t>zároveň</w:t>
      </w:r>
    </w:p>
    <w:p w14:paraId="74270A3E" w14:textId="44883A63" w:rsidR="002D49B0" w:rsidRPr="00083739" w:rsidRDefault="00BF4125">
      <w:pPr>
        <w:spacing w:before="120" w:after="120" w:line="240" w:lineRule="auto"/>
        <w:jc w:val="both"/>
        <w:rPr>
          <w:rFonts w:ascii="Times New Roman" w:hAnsi="Times New Roman" w:cs="Times New Roman"/>
          <w:noProof/>
          <w:sz w:val="24"/>
          <w:lang w:val="sk-SK"/>
        </w:rPr>
      </w:pPr>
      <w:r w:rsidRPr="00083739">
        <w:rPr>
          <w:rFonts w:ascii="Times New Roman" w:hAnsi="Times New Roman" w:cs="Times New Roman"/>
          <w:noProof/>
          <w:sz w:val="24"/>
          <w:lang w:val="sk-SK"/>
        </w:rPr>
        <w:t xml:space="preserve">III. </w:t>
      </w:r>
      <w:r w:rsidRPr="00083739">
        <w:rPr>
          <w:rFonts w:ascii="Times New Roman" w:hAnsi="Times New Roman" w:cs="Times New Roman"/>
          <w:noProof/>
          <w:lang w:val="sk-SK"/>
        </w:rPr>
        <w:t xml:space="preserve"> </w:t>
      </w:r>
      <w:r w:rsidRPr="00083739">
        <w:rPr>
          <w:rFonts w:ascii="Times New Roman" w:hAnsi="Times New Roman" w:cs="Times New Roman"/>
          <w:noProof/>
          <w:sz w:val="24"/>
          <w:lang w:val="sk-SK"/>
        </w:rPr>
        <w:t>vyžadovať overenie súladu projektov</w:t>
      </w:r>
      <w:r w:rsidR="00083739" w:rsidRPr="00083739">
        <w:rPr>
          <w:rFonts w:ascii="Times New Roman" w:hAnsi="Times New Roman" w:cs="Times New Roman"/>
          <w:noProof/>
          <w:sz w:val="24"/>
          <w:lang w:val="sk-SK"/>
        </w:rPr>
        <w:t xml:space="preserve"> s </w:t>
      </w:r>
      <w:r w:rsidRPr="00083739">
        <w:rPr>
          <w:rFonts w:ascii="Times New Roman" w:hAnsi="Times New Roman" w:cs="Times New Roman"/>
          <w:noProof/>
          <w:sz w:val="24"/>
          <w:lang w:val="sk-SK"/>
        </w:rPr>
        <w:t>príslušnými právnymi predpismi EÚ</w:t>
      </w:r>
      <w:r w:rsidR="00083739" w:rsidRPr="00083739">
        <w:rPr>
          <w:rFonts w:ascii="Times New Roman" w:hAnsi="Times New Roman" w:cs="Times New Roman"/>
          <w:noProof/>
          <w:sz w:val="24"/>
          <w:lang w:val="sk-SK"/>
        </w:rPr>
        <w:t xml:space="preserve"> a </w:t>
      </w:r>
      <w:r w:rsidRPr="00083739">
        <w:rPr>
          <w:rFonts w:ascii="Times New Roman" w:hAnsi="Times New Roman" w:cs="Times New Roman"/>
          <w:noProof/>
          <w:sz w:val="24"/>
          <w:lang w:val="sk-SK"/>
        </w:rPr>
        <w:t>vnútroštátnymi právnymi predpismi</w:t>
      </w:r>
      <w:r w:rsidR="00083739" w:rsidRPr="00083739">
        <w:rPr>
          <w:rFonts w:ascii="Times New Roman" w:hAnsi="Times New Roman" w:cs="Times New Roman"/>
          <w:noProof/>
          <w:sz w:val="24"/>
          <w:lang w:val="sk-SK"/>
        </w:rPr>
        <w:t xml:space="preserve"> v </w:t>
      </w:r>
      <w:r w:rsidRPr="00083739">
        <w:rPr>
          <w:rFonts w:ascii="Times New Roman" w:hAnsi="Times New Roman" w:cs="Times New Roman"/>
          <w:noProof/>
          <w:sz w:val="24"/>
          <w:lang w:val="sk-SK"/>
        </w:rPr>
        <w:t>oblasti životného prostredia</w:t>
      </w:r>
      <w:r w:rsidR="00083739" w:rsidRPr="00083739">
        <w:rPr>
          <w:rFonts w:ascii="Times New Roman" w:hAnsi="Times New Roman" w:cs="Times New Roman"/>
          <w:noProof/>
          <w:sz w:val="24"/>
          <w:lang w:val="sk-SK"/>
        </w:rPr>
        <w:t xml:space="preserve"> v </w:t>
      </w:r>
      <w:r w:rsidRPr="00083739">
        <w:rPr>
          <w:rFonts w:ascii="Times New Roman" w:hAnsi="Times New Roman" w:cs="Times New Roman"/>
          <w:noProof/>
          <w:sz w:val="24"/>
          <w:lang w:val="sk-SK"/>
        </w:rPr>
        <w:t>prípade všetkých transakcií vrátane tých, ktoré sú oslobodené od</w:t>
      </w:r>
      <w:r w:rsidRPr="00083739">
        <w:rPr>
          <w:rFonts w:ascii="Times New Roman" w:hAnsi="Times New Roman" w:cs="Times New Roman"/>
          <w:noProof/>
          <w:sz w:val="24"/>
          <w:lang w:val="sk-SK"/>
        </w:rPr>
        <w:t xml:space="preserve"> overovania udržateľnosti.</w:t>
      </w:r>
    </w:p>
    <w:p w14:paraId="168667AF" w14:textId="45B60B4C" w:rsidR="00083739"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Úverový nástroj okrem toho stanoví záväzok pre distribučný kanál finančných inštitúcií investovať aspoň 41,5</w:t>
      </w:r>
      <w:r w:rsidR="00083739" w:rsidRPr="00083739">
        <w:rPr>
          <w:rFonts w:cs="Times New Roman"/>
          <w:noProof/>
          <w:lang w:val="sk-SK"/>
        </w:rPr>
        <w:t> %</w:t>
      </w:r>
      <w:r w:rsidRPr="00083739">
        <w:rPr>
          <w:rFonts w:cs="Times New Roman"/>
          <w:noProof/>
          <w:lang w:val="sk-SK"/>
        </w:rPr>
        <w:t xml:space="preserve"> finančných prostriedkov na podporu klimatickej transformácie</w:t>
      </w:r>
      <w:r w:rsidR="00083739" w:rsidRPr="00083739">
        <w:rPr>
          <w:rFonts w:cs="Times New Roman"/>
          <w:noProof/>
          <w:lang w:val="sk-SK"/>
        </w:rPr>
        <w:t xml:space="preserve"> a </w:t>
      </w:r>
      <w:r w:rsidRPr="00083739">
        <w:rPr>
          <w:rFonts w:cs="Times New Roman"/>
          <w:noProof/>
          <w:lang w:val="sk-SK"/>
        </w:rPr>
        <w:t>20,8</w:t>
      </w:r>
      <w:r w:rsidR="00083739" w:rsidRPr="00083739">
        <w:rPr>
          <w:rFonts w:cs="Times New Roman"/>
          <w:noProof/>
          <w:lang w:val="sk-SK"/>
        </w:rPr>
        <w:t> %</w:t>
      </w:r>
      <w:r w:rsidRPr="00083739">
        <w:rPr>
          <w:rFonts w:cs="Times New Roman"/>
          <w:noProof/>
          <w:lang w:val="sk-SK"/>
        </w:rPr>
        <w:t xml:space="preserve"> finančných prostriedkov na podporu digitálnej transformácie, pričom sa použije metodika uvedená</w:t>
      </w:r>
      <w:r w:rsidR="00083739" w:rsidRPr="00083739">
        <w:rPr>
          <w:rFonts w:cs="Times New Roman"/>
          <w:noProof/>
          <w:lang w:val="sk-SK"/>
        </w:rPr>
        <w:t xml:space="preserve"> v </w:t>
      </w:r>
      <w:r w:rsidRPr="00083739">
        <w:rPr>
          <w:rFonts w:cs="Times New Roman"/>
          <w:noProof/>
          <w:lang w:val="sk-SK"/>
        </w:rPr>
        <w:t>prílohách VI</w:t>
      </w:r>
      <w:r w:rsidR="00083739" w:rsidRPr="00083739">
        <w:rPr>
          <w:rFonts w:cs="Times New Roman"/>
          <w:noProof/>
          <w:lang w:val="sk-SK"/>
        </w:rPr>
        <w:t xml:space="preserve"> a </w:t>
      </w:r>
      <w:r w:rsidRPr="00083739">
        <w:rPr>
          <w:rFonts w:cs="Times New Roman"/>
          <w:noProof/>
          <w:lang w:val="sk-SK"/>
        </w:rPr>
        <w:t>VII</w:t>
      </w:r>
      <w:r w:rsidR="00083739" w:rsidRPr="00083739">
        <w:rPr>
          <w:rFonts w:cs="Times New Roman"/>
          <w:noProof/>
          <w:lang w:val="sk-SK"/>
        </w:rPr>
        <w:t xml:space="preserve"> k </w:t>
      </w:r>
      <w:r w:rsidRPr="00083739">
        <w:rPr>
          <w:rFonts w:cs="Times New Roman"/>
          <w:noProof/>
          <w:lang w:val="sk-SK"/>
        </w:rPr>
        <w:t>nariadeniu</w:t>
      </w:r>
      <w:r w:rsidR="00083739" w:rsidRPr="00083739">
        <w:rPr>
          <w:rFonts w:cs="Times New Roman"/>
          <w:noProof/>
          <w:lang w:val="sk-SK"/>
        </w:rPr>
        <w:t xml:space="preserve"> o </w:t>
      </w:r>
      <w:r w:rsidRPr="00083739">
        <w:rPr>
          <w:rFonts w:cs="Times New Roman"/>
          <w:noProof/>
          <w:lang w:val="sk-SK"/>
        </w:rPr>
        <w:t>Mechanizme na podporu obnovy</w:t>
      </w:r>
      <w:r w:rsidR="00083739" w:rsidRPr="00083739">
        <w:rPr>
          <w:rFonts w:cs="Times New Roman"/>
          <w:noProof/>
          <w:lang w:val="sk-SK"/>
        </w:rPr>
        <w:t xml:space="preserve"> a </w:t>
      </w:r>
      <w:r w:rsidRPr="00083739">
        <w:rPr>
          <w:rFonts w:cs="Times New Roman"/>
          <w:noProof/>
          <w:lang w:val="sk-SK"/>
        </w:rPr>
        <w:t>odolnosti</w:t>
      </w:r>
      <w:r w:rsidR="00083739" w:rsidRPr="00083739">
        <w:rPr>
          <w:rFonts w:cs="Times New Roman"/>
          <w:noProof/>
          <w:lang w:val="sk-SK"/>
        </w:rPr>
        <w:t>.</w:t>
      </w:r>
    </w:p>
    <w:p w14:paraId="3C158F97" w14:textId="1B52C49D"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Nezávislí audítori pred každou žiadosťou</w:t>
      </w:r>
      <w:r w:rsidR="00083739" w:rsidRPr="00083739">
        <w:rPr>
          <w:rFonts w:cs="Times New Roman"/>
          <w:noProof/>
          <w:lang w:val="sk-SK"/>
        </w:rPr>
        <w:t xml:space="preserve"> o </w:t>
      </w:r>
      <w:r w:rsidRPr="00083739">
        <w:rPr>
          <w:rFonts w:cs="Times New Roman"/>
          <w:noProof/>
          <w:lang w:val="sk-SK"/>
        </w:rPr>
        <w:t xml:space="preserve">vyplatenie overia dodržiavanie zásady </w:t>
      </w:r>
      <w:r w:rsidRPr="00083739">
        <w:rPr>
          <w:rFonts w:cs="Times New Roman"/>
          <w:noProof/>
          <w:lang w:val="sk-SK"/>
        </w:rPr>
        <w:t>„výrazne nenarušiť“</w:t>
      </w:r>
      <w:r w:rsidR="00083739" w:rsidRPr="00083739">
        <w:rPr>
          <w:rFonts w:cs="Times New Roman"/>
          <w:noProof/>
          <w:lang w:val="sk-SK"/>
        </w:rPr>
        <w:t xml:space="preserve"> a </w:t>
      </w:r>
      <w:r w:rsidRPr="00083739">
        <w:rPr>
          <w:rFonts w:cs="Times New Roman"/>
          <w:noProof/>
          <w:lang w:val="sk-SK"/>
        </w:rPr>
        <w:t>cieľa 41,5</w:t>
      </w:r>
      <w:r w:rsidR="00083739" w:rsidRPr="00083739">
        <w:rPr>
          <w:rFonts w:cs="Times New Roman"/>
          <w:noProof/>
          <w:lang w:val="sk-SK"/>
        </w:rPr>
        <w:t> % v </w:t>
      </w:r>
      <w:r w:rsidRPr="00083739">
        <w:rPr>
          <w:rFonts w:cs="Times New Roman"/>
          <w:noProof/>
          <w:lang w:val="sk-SK"/>
        </w:rPr>
        <w:t>oblasti klímy</w:t>
      </w:r>
      <w:r w:rsidR="00083739" w:rsidRPr="00083739">
        <w:rPr>
          <w:rFonts w:cs="Times New Roman"/>
          <w:noProof/>
          <w:lang w:val="sk-SK"/>
        </w:rPr>
        <w:t xml:space="preserve"> a </w:t>
      </w:r>
      <w:r w:rsidRPr="00083739">
        <w:rPr>
          <w:rFonts w:cs="Times New Roman"/>
          <w:noProof/>
          <w:lang w:val="sk-SK"/>
        </w:rPr>
        <w:t>digitálneho cieľa 20,8</w:t>
      </w:r>
      <w:r w:rsidR="00083739" w:rsidRPr="00083739">
        <w:rPr>
          <w:rFonts w:cs="Times New Roman"/>
          <w:noProof/>
          <w:lang w:val="sk-SK"/>
        </w:rPr>
        <w:t> %</w:t>
      </w:r>
      <w:r w:rsidRPr="00083739">
        <w:rPr>
          <w:rFonts w:cs="Times New Roman"/>
          <w:noProof/>
          <w:lang w:val="sk-SK"/>
        </w:rPr>
        <w:t>.</w:t>
      </w:r>
    </w:p>
    <w:p w14:paraId="22327484" w14:textId="2F043C43"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Implementácia tejto investície sa dokončí do 30</w:t>
      </w:r>
      <w:r w:rsidR="00083739" w:rsidRPr="00083739">
        <w:rPr>
          <w:rFonts w:cs="Times New Roman"/>
          <w:noProof/>
          <w:lang w:val="sk-SK"/>
        </w:rPr>
        <w:t>. júna</w:t>
      </w:r>
      <w:r w:rsidRPr="00083739">
        <w:rPr>
          <w:rFonts w:cs="Times New Roman"/>
          <w:noProof/>
          <w:lang w:val="sk-SK"/>
        </w:rPr>
        <w:t xml:space="preserve"> 2026.</w:t>
      </w:r>
    </w:p>
    <w:p w14:paraId="04ACAB92" w14:textId="77777777" w:rsidR="002D49B0" w:rsidRPr="00083739" w:rsidRDefault="002D49B0">
      <w:pPr>
        <w:spacing w:before="120" w:after="120" w:line="240" w:lineRule="auto"/>
        <w:jc w:val="both"/>
        <w:rPr>
          <w:rFonts w:ascii="Times New Roman" w:hAnsi="Times New Roman" w:cs="Times New Roman"/>
          <w:i/>
          <w:noProof/>
          <w:sz w:val="24"/>
          <w:u w:val="single"/>
          <w:lang w:val="sk-SK"/>
        </w:rPr>
      </w:pPr>
    </w:p>
    <w:p w14:paraId="6F3EBBAE" w14:textId="77777777" w:rsidR="002D49B0" w:rsidRPr="00083739" w:rsidRDefault="002D49B0">
      <w:pPr>
        <w:spacing w:before="120" w:after="120" w:line="240" w:lineRule="auto"/>
        <w:jc w:val="both"/>
        <w:rPr>
          <w:rFonts w:ascii="Times New Roman" w:hAnsi="Times New Roman" w:cs="Times New Roman"/>
          <w:i/>
          <w:noProof/>
          <w:sz w:val="24"/>
          <w:u w:val="single"/>
          <w:lang w:val="sk-SK"/>
        </w:rPr>
      </w:pPr>
    </w:p>
    <w:p w14:paraId="54B2F287" w14:textId="77777777" w:rsidR="002D49B0" w:rsidRPr="00083739" w:rsidRDefault="002D49B0">
      <w:pPr>
        <w:spacing w:after="160" w:line="259" w:lineRule="auto"/>
        <w:ind w:left="709"/>
        <w:contextualSpacing/>
        <w:jc w:val="both"/>
        <w:rPr>
          <w:rFonts w:ascii="Times New Roman" w:hAnsi="Times New Roman" w:cs="Times New Roman"/>
          <w:noProof/>
          <w:lang w:val="sk-SK"/>
        </w:rPr>
      </w:pPr>
    </w:p>
    <w:p w14:paraId="22C8E1E5" w14:textId="77777777" w:rsidR="002D49B0" w:rsidRPr="00083739" w:rsidRDefault="002D49B0">
      <w:pPr>
        <w:spacing w:after="160" w:line="259" w:lineRule="auto"/>
        <w:ind w:left="709"/>
        <w:contextualSpacing/>
        <w:jc w:val="both"/>
        <w:rPr>
          <w:rFonts w:ascii="Times New Roman" w:hAnsi="Times New Roman" w:cs="Times New Roman"/>
          <w:noProof/>
          <w:lang w:val="sk-SK"/>
        </w:rPr>
        <w:sectPr w:rsidR="002D49B0" w:rsidRPr="00083739" w:rsidSect="00271D33">
          <w:headerReference w:type="even" r:id="rId319"/>
          <w:headerReference w:type="default" r:id="rId320"/>
          <w:footerReference w:type="even" r:id="rId321"/>
          <w:footerReference w:type="default" r:id="rId322"/>
          <w:headerReference w:type="first" r:id="rId323"/>
          <w:footerReference w:type="first" r:id="rId324"/>
          <w:pgSz w:w="11907" w:h="16839"/>
          <w:pgMar w:top="1134" w:right="1417" w:bottom="1134" w:left="1417" w:header="709" w:footer="326" w:gutter="0"/>
          <w:cols w:space="720"/>
          <w:docGrid w:linePitch="360"/>
        </w:sectPr>
      </w:pPr>
    </w:p>
    <w:p w14:paraId="77B790F4" w14:textId="77777777" w:rsidR="00083739" w:rsidRPr="00083739" w:rsidRDefault="00BF4125">
      <w:pPr>
        <w:spacing w:before="120" w:after="120" w:line="240" w:lineRule="auto"/>
        <w:ind w:left="709"/>
        <w:jc w:val="both"/>
        <w:rPr>
          <w:rFonts w:ascii="Times New Roman" w:hAnsi="Times New Roman" w:cs="Times New Roman"/>
          <w:b/>
          <w:noProof/>
          <w:sz w:val="24"/>
          <w:u w:val="single"/>
          <w:lang w:val="sk-SK"/>
        </w:rPr>
      </w:pPr>
      <w:r w:rsidRPr="00083739">
        <w:rPr>
          <w:rFonts w:ascii="Times New Roman" w:hAnsi="Times New Roman" w:cs="Times New Roman"/>
          <w:b/>
          <w:noProof/>
          <w:sz w:val="24"/>
          <w:u w:val="single"/>
          <w:lang w:val="sk-SK"/>
        </w:rPr>
        <w:t xml:space="preserve">R.4. </w:t>
      </w:r>
      <w:r w:rsidRPr="00083739">
        <w:rPr>
          <w:rFonts w:ascii="Times New Roman" w:hAnsi="Times New Roman" w:cs="Times New Roman"/>
          <w:noProof/>
          <w:lang w:val="sk-SK"/>
        </w:rPr>
        <w:t xml:space="preserve"> </w:t>
      </w:r>
      <w:r w:rsidRPr="00083739">
        <w:rPr>
          <w:rFonts w:ascii="Times New Roman" w:hAnsi="Times New Roman" w:cs="Times New Roman"/>
          <w:b/>
          <w:noProof/>
          <w:sz w:val="24"/>
          <w:u w:val="single"/>
          <w:lang w:val="sk-SK"/>
        </w:rPr>
        <w:t>Míľniky, ciele, ukazovatele</w:t>
      </w:r>
      <w:r w:rsidR="00083739" w:rsidRPr="00083739">
        <w:rPr>
          <w:rFonts w:ascii="Times New Roman" w:hAnsi="Times New Roman" w:cs="Times New Roman"/>
          <w:b/>
          <w:noProof/>
          <w:sz w:val="24"/>
          <w:u w:val="single"/>
          <w:lang w:val="sk-SK"/>
        </w:rPr>
        <w:t xml:space="preserve"> a </w:t>
      </w:r>
      <w:r w:rsidRPr="00083739">
        <w:rPr>
          <w:rFonts w:ascii="Times New Roman" w:hAnsi="Times New Roman" w:cs="Times New Roman"/>
          <w:b/>
          <w:noProof/>
          <w:sz w:val="24"/>
          <w:u w:val="single"/>
          <w:lang w:val="sk-SK"/>
        </w:rPr>
        <w:t xml:space="preserve">harmonogram </w:t>
      </w:r>
      <w:r w:rsidRPr="00083739">
        <w:rPr>
          <w:rFonts w:ascii="Times New Roman" w:hAnsi="Times New Roman" w:cs="Times New Roman"/>
          <w:b/>
          <w:noProof/>
          <w:sz w:val="24"/>
          <w:u w:val="single"/>
          <w:lang w:val="sk-SK"/>
        </w:rPr>
        <w:t>monitorovania</w:t>
      </w:r>
      <w:r w:rsidR="00083739" w:rsidRPr="00083739">
        <w:rPr>
          <w:rFonts w:ascii="Times New Roman" w:hAnsi="Times New Roman" w:cs="Times New Roman"/>
          <w:b/>
          <w:noProof/>
          <w:sz w:val="24"/>
          <w:u w:val="single"/>
          <w:lang w:val="sk-SK"/>
        </w:rPr>
        <w:t xml:space="preserve"> a </w:t>
      </w:r>
      <w:r w:rsidRPr="00083739">
        <w:rPr>
          <w:rFonts w:ascii="Times New Roman" w:hAnsi="Times New Roman" w:cs="Times New Roman"/>
          <w:b/>
          <w:noProof/>
          <w:sz w:val="24"/>
          <w:u w:val="single"/>
          <w:lang w:val="sk-SK"/>
        </w:rPr>
        <w:t>realizácie</w:t>
      </w:r>
      <w:r w:rsidR="00083739" w:rsidRPr="00083739">
        <w:rPr>
          <w:rFonts w:ascii="Times New Roman" w:hAnsi="Times New Roman" w:cs="Times New Roman"/>
          <w:b/>
          <w:noProof/>
          <w:sz w:val="24"/>
          <w:u w:val="single"/>
          <w:lang w:val="sk-SK"/>
        </w:rPr>
        <w:t xml:space="preserve"> v </w:t>
      </w:r>
      <w:r w:rsidRPr="00083739">
        <w:rPr>
          <w:rFonts w:ascii="Times New Roman" w:hAnsi="Times New Roman" w:cs="Times New Roman"/>
          <w:b/>
          <w:noProof/>
          <w:sz w:val="24"/>
          <w:u w:val="single"/>
          <w:lang w:val="sk-SK"/>
        </w:rPr>
        <w:t>súvislosti</w:t>
      </w:r>
      <w:r w:rsidR="00083739" w:rsidRPr="00083739">
        <w:rPr>
          <w:rFonts w:ascii="Times New Roman" w:hAnsi="Times New Roman" w:cs="Times New Roman"/>
          <w:b/>
          <w:noProof/>
          <w:sz w:val="24"/>
          <w:u w:val="single"/>
          <w:lang w:val="sk-SK"/>
        </w:rPr>
        <w:t xml:space="preserve"> s </w:t>
      </w:r>
      <w:r w:rsidRPr="00083739">
        <w:rPr>
          <w:rFonts w:ascii="Times New Roman" w:hAnsi="Times New Roman" w:cs="Times New Roman"/>
          <w:b/>
          <w:noProof/>
          <w:sz w:val="24"/>
          <w:u w:val="single"/>
          <w:lang w:val="sk-SK"/>
        </w:rPr>
        <w:t>úverom</w:t>
      </w:r>
    </w:p>
    <w:p w14:paraId="72A88ECA" w14:textId="1637DA1F" w:rsidR="002D49B0" w:rsidRPr="00083739" w:rsidRDefault="00BF4125">
      <w:pPr>
        <w:pStyle w:val="P68B1DB1-Normal6"/>
        <w:keepNext/>
        <w:keepLines/>
        <w:spacing w:before="40" w:after="240" w:line="240" w:lineRule="auto"/>
        <w:jc w:val="both"/>
        <w:outlineLvl w:val="4"/>
        <w:rPr>
          <w:rFonts w:ascii="Times New Roman" w:eastAsia="Times New Roman" w:hAnsi="Times New Roman" w:cs="Times New Roman"/>
          <w:noProof/>
          <w:lang w:val="sk-SK"/>
        </w:rPr>
      </w:pPr>
      <w:r w:rsidRPr="00083739">
        <w:rPr>
          <w:rFonts w:ascii="Times New Roman" w:hAnsi="Times New Roman" w:cs="Times New Roman"/>
          <w:noProof/>
          <w:lang w:val="sk-SK"/>
        </w:rPr>
        <w:t>Úverový nástroj (16980)</w:t>
      </w:r>
    </w:p>
    <w:tbl>
      <w:tblPr>
        <w:tblW w:w="15883" w:type="dxa"/>
        <w:jc w:val="center"/>
        <w:tblLayout w:type="fixed"/>
        <w:tblLook w:val="04A0" w:firstRow="1" w:lastRow="0" w:firstColumn="1" w:lastColumn="0" w:noHBand="0" w:noVBand="1"/>
      </w:tblPr>
      <w:tblGrid>
        <w:gridCol w:w="846"/>
        <w:gridCol w:w="1429"/>
        <w:gridCol w:w="1200"/>
        <w:gridCol w:w="1340"/>
        <w:gridCol w:w="1660"/>
        <w:gridCol w:w="1080"/>
        <w:gridCol w:w="1080"/>
        <w:gridCol w:w="840"/>
        <w:gridCol w:w="960"/>
        <w:gridCol w:w="840"/>
        <w:gridCol w:w="4608"/>
      </w:tblGrid>
      <w:tr w:rsidR="002D49B0" w:rsidRPr="00083739" w14:paraId="459DB7F9" w14:textId="77777777">
        <w:trPr>
          <w:trHeight w:val="810"/>
          <w:tblHeader/>
          <w:jc w:val="center"/>
        </w:trPr>
        <w:tc>
          <w:tcPr>
            <w:tcW w:w="84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77ADB23" w14:textId="47B22A1B" w:rsidR="002D49B0" w:rsidRPr="00083739" w:rsidRDefault="00BF4125">
            <w:pPr>
              <w:pStyle w:val="P68B1DB1-Normal16"/>
              <w:spacing w:after="0" w:line="240" w:lineRule="auto"/>
              <w:jc w:val="center"/>
              <w:rPr>
                <w:rFonts w:eastAsia="Times New Roman" w:cs="Times New Roman"/>
                <w:noProof/>
                <w:szCs w:val="20"/>
                <w:lang w:val="sk-SK"/>
              </w:rPr>
            </w:pPr>
            <w:r w:rsidRPr="00083739">
              <w:rPr>
                <w:rFonts w:cs="Times New Roman"/>
                <w:noProof/>
                <w:lang w:val="sk-SK"/>
              </w:rPr>
              <w:t>Nasledujúce. Č.</w:t>
            </w:r>
          </w:p>
        </w:tc>
        <w:tc>
          <w:tcPr>
            <w:tcW w:w="142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F359C04" w14:textId="77777777" w:rsidR="002D49B0" w:rsidRPr="00083739" w:rsidRDefault="00BF4125">
            <w:pPr>
              <w:pStyle w:val="P68B1DB1-Normal16"/>
              <w:spacing w:after="0" w:line="240" w:lineRule="auto"/>
              <w:jc w:val="center"/>
              <w:rPr>
                <w:rFonts w:eastAsia="Times New Roman" w:cs="Times New Roman"/>
                <w:noProof/>
                <w:szCs w:val="20"/>
                <w:lang w:val="sk-SK"/>
              </w:rPr>
            </w:pPr>
            <w:r w:rsidRPr="00083739">
              <w:rPr>
                <w:rFonts w:cs="Times New Roman"/>
                <w:noProof/>
                <w:lang w:val="sk-SK"/>
              </w:rPr>
              <w:t>Súvisiace opatrenie (reforma alebo investícia)</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6AF182C" w14:textId="77777777" w:rsidR="002D49B0" w:rsidRPr="00083739" w:rsidRDefault="00BF4125">
            <w:pPr>
              <w:pStyle w:val="P68B1DB1-Normal16"/>
              <w:spacing w:after="0" w:line="240" w:lineRule="auto"/>
              <w:jc w:val="center"/>
              <w:rPr>
                <w:rFonts w:eastAsia="Times New Roman" w:cs="Times New Roman"/>
                <w:noProof/>
                <w:szCs w:val="20"/>
                <w:lang w:val="sk-SK"/>
              </w:rPr>
            </w:pPr>
            <w:r w:rsidRPr="00083739">
              <w:rPr>
                <w:rFonts w:cs="Times New Roman"/>
                <w:noProof/>
                <w:lang w:val="sk-SK"/>
              </w:rPr>
              <w:t>Míľnik/cieľ</w:t>
            </w:r>
          </w:p>
        </w:tc>
        <w:tc>
          <w:tcPr>
            <w:tcW w:w="1340" w:type="dxa"/>
            <w:vMerge w:val="restart"/>
            <w:tcBorders>
              <w:top w:val="single" w:sz="4" w:space="0" w:color="auto"/>
              <w:left w:val="nil"/>
              <w:bottom w:val="single" w:sz="4" w:space="0" w:color="auto"/>
              <w:right w:val="single" w:sz="4" w:space="0" w:color="auto"/>
            </w:tcBorders>
            <w:shd w:val="clear" w:color="auto" w:fill="BDD7EE"/>
            <w:vAlign w:val="center"/>
            <w:hideMark/>
          </w:tcPr>
          <w:p w14:paraId="163F3E35" w14:textId="77777777" w:rsidR="002D49B0" w:rsidRPr="00083739" w:rsidRDefault="00BF4125">
            <w:pPr>
              <w:pStyle w:val="P68B1DB1-Normal16"/>
              <w:spacing w:after="0" w:line="240" w:lineRule="auto"/>
              <w:jc w:val="center"/>
              <w:rPr>
                <w:rFonts w:eastAsia="Times New Roman" w:cs="Times New Roman"/>
                <w:noProof/>
                <w:szCs w:val="20"/>
                <w:lang w:val="sk-SK"/>
              </w:rPr>
            </w:pPr>
            <w:r w:rsidRPr="00083739">
              <w:rPr>
                <w:rFonts w:cs="Times New Roman"/>
                <w:noProof/>
                <w:lang w:val="sk-SK"/>
              </w:rPr>
              <w:t>Názov</w:t>
            </w:r>
          </w:p>
        </w:tc>
        <w:tc>
          <w:tcPr>
            <w:tcW w:w="166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3423227" w14:textId="77777777" w:rsidR="002D49B0" w:rsidRPr="00083739" w:rsidRDefault="00BF4125">
            <w:pPr>
              <w:pStyle w:val="P68B1DB1-Normal16"/>
              <w:spacing w:after="0" w:line="240" w:lineRule="auto"/>
              <w:jc w:val="center"/>
              <w:rPr>
                <w:rFonts w:eastAsia="Times New Roman" w:cs="Times New Roman"/>
                <w:noProof/>
                <w:szCs w:val="20"/>
                <w:lang w:val="sk-SK"/>
              </w:rPr>
            </w:pPr>
            <w:r w:rsidRPr="00083739">
              <w:rPr>
                <w:rFonts w:cs="Times New Roman"/>
                <w:noProof/>
                <w:lang w:val="sk-SK"/>
              </w:rPr>
              <w:t>Kvalitatívne ukazovatele (pre míľniky)</w:t>
            </w:r>
          </w:p>
        </w:tc>
        <w:tc>
          <w:tcPr>
            <w:tcW w:w="3000" w:type="dxa"/>
            <w:gridSpan w:val="3"/>
            <w:tcBorders>
              <w:top w:val="single" w:sz="4" w:space="0" w:color="auto"/>
              <w:left w:val="nil"/>
              <w:bottom w:val="single" w:sz="4" w:space="0" w:color="auto"/>
              <w:right w:val="single" w:sz="4" w:space="0" w:color="auto"/>
            </w:tcBorders>
            <w:shd w:val="clear" w:color="auto" w:fill="BDD7EE"/>
            <w:vAlign w:val="center"/>
            <w:hideMark/>
          </w:tcPr>
          <w:p w14:paraId="6D8AACCD" w14:textId="77777777" w:rsidR="002D49B0" w:rsidRPr="00083739" w:rsidRDefault="00BF4125">
            <w:pPr>
              <w:pStyle w:val="P68B1DB1-Normal16"/>
              <w:spacing w:after="0" w:line="240" w:lineRule="auto"/>
              <w:jc w:val="center"/>
              <w:rPr>
                <w:rFonts w:eastAsia="Times New Roman" w:cs="Times New Roman"/>
                <w:noProof/>
                <w:szCs w:val="20"/>
                <w:lang w:val="sk-SK"/>
              </w:rPr>
            </w:pPr>
            <w:r w:rsidRPr="00083739">
              <w:rPr>
                <w:rFonts w:cs="Times New Roman"/>
                <w:noProof/>
                <w:lang w:val="sk-SK"/>
              </w:rPr>
              <w:t>Kvantitatívne ukazovatele (pre ciele)</w:t>
            </w:r>
          </w:p>
        </w:tc>
        <w:tc>
          <w:tcPr>
            <w:tcW w:w="1800" w:type="dxa"/>
            <w:gridSpan w:val="2"/>
            <w:tcBorders>
              <w:top w:val="single" w:sz="4" w:space="0" w:color="auto"/>
              <w:left w:val="nil"/>
              <w:bottom w:val="single" w:sz="4" w:space="0" w:color="auto"/>
              <w:right w:val="single" w:sz="4" w:space="0" w:color="auto"/>
            </w:tcBorders>
            <w:shd w:val="clear" w:color="auto" w:fill="BDD7EE"/>
            <w:vAlign w:val="center"/>
            <w:hideMark/>
          </w:tcPr>
          <w:p w14:paraId="7C141BDF" w14:textId="77777777" w:rsidR="002D49B0" w:rsidRPr="00083739" w:rsidRDefault="00BF4125">
            <w:pPr>
              <w:pStyle w:val="P68B1DB1-Normal16"/>
              <w:spacing w:after="0" w:line="240" w:lineRule="auto"/>
              <w:jc w:val="center"/>
              <w:rPr>
                <w:rFonts w:eastAsia="Times New Roman" w:cs="Times New Roman"/>
                <w:noProof/>
                <w:szCs w:val="20"/>
                <w:lang w:val="sk-SK"/>
              </w:rPr>
            </w:pPr>
            <w:r w:rsidRPr="00083739">
              <w:rPr>
                <w:rFonts w:cs="Times New Roman"/>
                <w:noProof/>
                <w:lang w:val="sk-SK"/>
              </w:rPr>
              <w:t xml:space="preserve">Orientačný harmonogram </w:t>
            </w:r>
            <w:r w:rsidRPr="00083739">
              <w:rPr>
                <w:rFonts w:cs="Times New Roman"/>
                <w:noProof/>
                <w:lang w:val="sk-SK"/>
              </w:rPr>
              <w:t>dokončenia</w:t>
            </w:r>
          </w:p>
        </w:tc>
        <w:tc>
          <w:tcPr>
            <w:tcW w:w="460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A7E2D54" w14:textId="06AF1377" w:rsidR="002D49B0" w:rsidRPr="00083739" w:rsidRDefault="00BF4125">
            <w:pPr>
              <w:pStyle w:val="P68B1DB1-Normal16"/>
              <w:spacing w:after="0" w:line="240" w:lineRule="auto"/>
              <w:jc w:val="center"/>
              <w:rPr>
                <w:rFonts w:eastAsia="Times New Roman" w:cs="Times New Roman"/>
                <w:noProof/>
                <w:szCs w:val="20"/>
                <w:lang w:val="sk-SK"/>
              </w:rPr>
            </w:pPr>
            <w:r w:rsidRPr="00083739">
              <w:rPr>
                <w:rFonts w:cs="Times New Roman"/>
                <w:noProof/>
                <w:lang w:val="sk-SK"/>
              </w:rPr>
              <w:t>Opis každého míľnika</w:t>
            </w:r>
            <w:r w:rsidR="00083739" w:rsidRPr="00083739">
              <w:rPr>
                <w:rFonts w:cs="Times New Roman"/>
                <w:noProof/>
                <w:lang w:val="sk-SK"/>
              </w:rPr>
              <w:t xml:space="preserve"> a </w:t>
            </w:r>
            <w:r w:rsidRPr="00083739">
              <w:rPr>
                <w:rFonts w:cs="Times New Roman"/>
                <w:noProof/>
                <w:lang w:val="sk-SK"/>
              </w:rPr>
              <w:t>cieľa</w:t>
            </w:r>
          </w:p>
        </w:tc>
      </w:tr>
      <w:tr w:rsidR="002D49B0" w:rsidRPr="00083739" w14:paraId="66222D1C" w14:textId="77777777">
        <w:trPr>
          <w:trHeight w:val="581"/>
          <w:tblHeader/>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EA797BC" w14:textId="77777777" w:rsidR="002D49B0" w:rsidRPr="00083739" w:rsidRDefault="002D49B0">
            <w:pPr>
              <w:spacing w:after="0" w:line="240" w:lineRule="auto"/>
              <w:rPr>
                <w:rFonts w:ascii="Times New Roman" w:eastAsia="Times New Roman" w:hAnsi="Times New Roman" w:cs="Times New Roman"/>
                <w:b/>
                <w:bCs/>
                <w:noProof/>
                <w:sz w:val="24"/>
                <w:szCs w:val="24"/>
                <w:lang w:val="sk-SK"/>
              </w:rPr>
            </w:pPr>
          </w:p>
        </w:tc>
        <w:tc>
          <w:tcPr>
            <w:tcW w:w="1429" w:type="dxa"/>
            <w:vMerge/>
            <w:tcBorders>
              <w:top w:val="single" w:sz="4" w:space="0" w:color="auto"/>
              <w:left w:val="single" w:sz="4" w:space="0" w:color="auto"/>
              <w:bottom w:val="single" w:sz="4" w:space="0" w:color="auto"/>
              <w:right w:val="single" w:sz="4" w:space="0" w:color="auto"/>
            </w:tcBorders>
            <w:vAlign w:val="center"/>
            <w:hideMark/>
          </w:tcPr>
          <w:p w14:paraId="0E74DDB1" w14:textId="77777777" w:rsidR="002D49B0" w:rsidRPr="00083739" w:rsidRDefault="002D49B0">
            <w:pPr>
              <w:spacing w:after="0" w:line="240" w:lineRule="auto"/>
              <w:rPr>
                <w:rFonts w:ascii="Times New Roman" w:eastAsia="Times New Roman" w:hAnsi="Times New Roman" w:cs="Times New Roman"/>
                <w:b/>
                <w:bCs/>
                <w:noProof/>
                <w:sz w:val="24"/>
                <w:szCs w:val="24"/>
                <w:lang w:val="sk-SK"/>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14:paraId="34699356" w14:textId="77777777" w:rsidR="002D49B0" w:rsidRPr="00083739" w:rsidRDefault="002D49B0">
            <w:pPr>
              <w:spacing w:after="0" w:line="240" w:lineRule="auto"/>
              <w:rPr>
                <w:rFonts w:ascii="Times New Roman" w:eastAsia="Times New Roman" w:hAnsi="Times New Roman" w:cs="Times New Roman"/>
                <w:b/>
                <w:bCs/>
                <w:noProof/>
                <w:sz w:val="24"/>
                <w:szCs w:val="24"/>
                <w:lang w:val="sk-SK"/>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14:paraId="51462162" w14:textId="77777777" w:rsidR="002D49B0" w:rsidRPr="00083739" w:rsidRDefault="002D49B0">
            <w:pPr>
              <w:spacing w:after="0" w:line="240" w:lineRule="auto"/>
              <w:rPr>
                <w:rFonts w:ascii="Times New Roman" w:eastAsia="Times New Roman" w:hAnsi="Times New Roman" w:cs="Times New Roman"/>
                <w:b/>
                <w:bCs/>
                <w:noProof/>
                <w:sz w:val="24"/>
                <w:szCs w:val="24"/>
                <w:lang w:val="sk-SK"/>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14:paraId="0A7B8FF6" w14:textId="77777777" w:rsidR="002D49B0" w:rsidRPr="00083739" w:rsidRDefault="002D49B0">
            <w:pPr>
              <w:spacing w:after="0" w:line="240" w:lineRule="auto"/>
              <w:rPr>
                <w:rFonts w:ascii="Times New Roman" w:eastAsia="Times New Roman" w:hAnsi="Times New Roman" w:cs="Times New Roman"/>
                <w:b/>
                <w:bCs/>
                <w:noProof/>
                <w:sz w:val="24"/>
                <w:szCs w:val="24"/>
                <w:lang w:val="sk-SK"/>
              </w:rPr>
            </w:pPr>
          </w:p>
        </w:tc>
        <w:tc>
          <w:tcPr>
            <w:tcW w:w="1080"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414E7E4C"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Merná jednotka</w:t>
            </w:r>
          </w:p>
        </w:tc>
        <w:tc>
          <w:tcPr>
            <w:tcW w:w="1080"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7B5010B5"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Základná</w:t>
            </w:r>
          </w:p>
        </w:tc>
        <w:tc>
          <w:tcPr>
            <w:tcW w:w="840"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499DED8F"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Cieľ</w:t>
            </w:r>
          </w:p>
        </w:tc>
        <w:tc>
          <w:tcPr>
            <w:tcW w:w="960"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4AAF5FE4"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Štvrtina</w:t>
            </w:r>
          </w:p>
        </w:tc>
        <w:tc>
          <w:tcPr>
            <w:tcW w:w="840"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44FE789B"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Rok</w:t>
            </w:r>
          </w:p>
        </w:tc>
        <w:tc>
          <w:tcPr>
            <w:tcW w:w="4608" w:type="dxa"/>
            <w:vMerge/>
            <w:tcBorders>
              <w:top w:val="single" w:sz="4" w:space="0" w:color="auto"/>
              <w:left w:val="single" w:sz="4" w:space="0" w:color="auto"/>
              <w:bottom w:val="single" w:sz="4" w:space="0" w:color="auto"/>
              <w:right w:val="single" w:sz="4" w:space="0" w:color="auto"/>
            </w:tcBorders>
            <w:vAlign w:val="center"/>
            <w:hideMark/>
          </w:tcPr>
          <w:p w14:paraId="7165B6C9" w14:textId="77777777" w:rsidR="002D49B0" w:rsidRPr="00083739" w:rsidRDefault="002D49B0">
            <w:pPr>
              <w:spacing w:after="0" w:line="240" w:lineRule="auto"/>
              <w:rPr>
                <w:rFonts w:ascii="Times New Roman" w:eastAsia="Times New Roman" w:hAnsi="Times New Roman" w:cs="Times New Roman"/>
                <w:b/>
                <w:bCs/>
                <w:noProof/>
                <w:sz w:val="24"/>
                <w:szCs w:val="24"/>
                <w:lang w:val="sk-SK"/>
              </w:rPr>
            </w:pPr>
          </w:p>
        </w:tc>
      </w:tr>
      <w:tr w:rsidR="002D49B0" w:rsidRPr="00083739" w14:paraId="019A9153" w14:textId="77777777">
        <w:trPr>
          <w:trHeight w:val="314"/>
          <w:jc w:val="center"/>
        </w:trPr>
        <w:tc>
          <w:tcPr>
            <w:tcW w:w="846" w:type="dxa"/>
            <w:tcBorders>
              <w:top w:val="single" w:sz="4" w:space="0" w:color="auto"/>
              <w:left w:val="single" w:sz="4" w:space="0" w:color="auto"/>
              <w:bottom w:val="single" w:sz="4" w:space="0" w:color="auto"/>
              <w:right w:val="single" w:sz="4" w:space="0" w:color="auto"/>
            </w:tcBorders>
            <w:shd w:val="clear" w:color="auto" w:fill="C6EFCE"/>
            <w:noWrap/>
          </w:tcPr>
          <w:p w14:paraId="4829812F" w14:textId="77777777" w:rsidR="002D49B0" w:rsidRPr="00083739" w:rsidRDefault="00BF4125">
            <w:pPr>
              <w:pStyle w:val="P68B1DB1-Normal9"/>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320</w:t>
            </w:r>
          </w:p>
        </w:tc>
        <w:tc>
          <w:tcPr>
            <w:tcW w:w="1429" w:type="dxa"/>
            <w:tcBorders>
              <w:top w:val="single" w:sz="4" w:space="0" w:color="auto"/>
              <w:left w:val="nil"/>
              <w:bottom w:val="single" w:sz="4" w:space="0" w:color="auto"/>
              <w:right w:val="single" w:sz="4" w:space="0" w:color="auto"/>
            </w:tcBorders>
            <w:shd w:val="clear" w:color="auto" w:fill="C6EFCE"/>
            <w:noWrap/>
          </w:tcPr>
          <w:p w14:paraId="7B4DC522" w14:textId="54E1FD11"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4.7. Zlepšiť konkurencieschopnosť</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podporiť súkromné investície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vývoz – úverový nástroj 16980_RRP</w:t>
            </w:r>
          </w:p>
        </w:tc>
        <w:tc>
          <w:tcPr>
            <w:tcW w:w="1200" w:type="dxa"/>
            <w:tcBorders>
              <w:top w:val="single" w:sz="4" w:space="0" w:color="auto"/>
              <w:left w:val="nil"/>
              <w:bottom w:val="single" w:sz="4" w:space="0" w:color="auto"/>
              <w:right w:val="single" w:sz="4" w:space="0" w:color="auto"/>
            </w:tcBorders>
            <w:shd w:val="clear" w:color="auto" w:fill="C6EFCE"/>
            <w:noWrap/>
          </w:tcPr>
          <w:p w14:paraId="71909A1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40" w:type="dxa"/>
            <w:tcBorders>
              <w:top w:val="single" w:sz="4" w:space="0" w:color="auto"/>
              <w:left w:val="nil"/>
              <w:bottom w:val="single" w:sz="4" w:space="0" w:color="auto"/>
              <w:right w:val="single" w:sz="4" w:space="0" w:color="auto"/>
            </w:tcBorders>
            <w:shd w:val="clear" w:color="auto" w:fill="C6EFCE"/>
            <w:noWrap/>
          </w:tcPr>
          <w:p w14:paraId="537558F9" w14:textId="78186A9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Operačné dohody</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 xml:space="preserve">medzinárodnými finančnými </w:t>
            </w:r>
            <w:r w:rsidRPr="00083739">
              <w:rPr>
                <w:rFonts w:ascii="Times New Roman" w:hAnsi="Times New Roman" w:cs="Times New Roman"/>
                <w:noProof/>
                <w:lang w:val="sk-SK"/>
              </w:rPr>
              <w:t>inštitúciami</w:t>
            </w:r>
          </w:p>
        </w:tc>
        <w:tc>
          <w:tcPr>
            <w:tcW w:w="1660" w:type="dxa"/>
            <w:tcBorders>
              <w:top w:val="single" w:sz="4" w:space="0" w:color="auto"/>
              <w:left w:val="nil"/>
              <w:bottom w:val="single" w:sz="4" w:space="0" w:color="auto"/>
              <w:right w:val="single" w:sz="4" w:space="0" w:color="auto"/>
            </w:tcBorders>
            <w:shd w:val="clear" w:color="auto" w:fill="C6EFCE"/>
            <w:noWrap/>
          </w:tcPr>
          <w:p w14:paraId="57E32DD5" w14:textId="43B0ECF4"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Podpísaná operačná dohoda</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jednou medzinárodnou finančnou inštitúciou</w:t>
            </w:r>
          </w:p>
        </w:tc>
        <w:tc>
          <w:tcPr>
            <w:tcW w:w="1080" w:type="dxa"/>
            <w:tcBorders>
              <w:top w:val="single" w:sz="4" w:space="0" w:color="auto"/>
              <w:left w:val="nil"/>
              <w:bottom w:val="single" w:sz="4" w:space="0" w:color="auto"/>
              <w:right w:val="single" w:sz="4" w:space="0" w:color="auto"/>
            </w:tcBorders>
            <w:shd w:val="clear" w:color="auto" w:fill="C6EFCE"/>
            <w:noWrap/>
          </w:tcPr>
          <w:p w14:paraId="41623B5E"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80" w:type="dxa"/>
            <w:tcBorders>
              <w:top w:val="single" w:sz="4" w:space="0" w:color="auto"/>
              <w:left w:val="nil"/>
              <w:bottom w:val="single" w:sz="4" w:space="0" w:color="auto"/>
              <w:right w:val="single" w:sz="4" w:space="0" w:color="auto"/>
            </w:tcBorders>
            <w:shd w:val="clear" w:color="auto" w:fill="C6EFCE"/>
            <w:noWrap/>
          </w:tcPr>
          <w:p w14:paraId="708C49B5"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0" w:type="dxa"/>
            <w:tcBorders>
              <w:top w:val="single" w:sz="4" w:space="0" w:color="auto"/>
              <w:left w:val="nil"/>
              <w:bottom w:val="single" w:sz="4" w:space="0" w:color="auto"/>
              <w:right w:val="single" w:sz="4" w:space="0" w:color="auto"/>
            </w:tcBorders>
            <w:shd w:val="clear" w:color="auto" w:fill="C6EFCE"/>
            <w:noWrap/>
          </w:tcPr>
          <w:p w14:paraId="50F4864F"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60" w:type="dxa"/>
            <w:tcBorders>
              <w:top w:val="single" w:sz="4" w:space="0" w:color="auto"/>
              <w:left w:val="nil"/>
              <w:bottom w:val="single" w:sz="4" w:space="0" w:color="auto"/>
              <w:right w:val="single" w:sz="4" w:space="0" w:color="auto"/>
            </w:tcBorders>
            <w:shd w:val="clear" w:color="auto" w:fill="C6EFCE"/>
            <w:noWrap/>
          </w:tcPr>
          <w:p w14:paraId="4FD171B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TRETÍ ŠTVRŤROK</w:t>
            </w:r>
          </w:p>
        </w:tc>
        <w:tc>
          <w:tcPr>
            <w:tcW w:w="840" w:type="dxa"/>
            <w:tcBorders>
              <w:top w:val="single" w:sz="4" w:space="0" w:color="auto"/>
              <w:left w:val="nil"/>
              <w:bottom w:val="single" w:sz="4" w:space="0" w:color="auto"/>
              <w:right w:val="single" w:sz="4" w:space="0" w:color="auto"/>
            </w:tcBorders>
            <w:shd w:val="clear" w:color="auto" w:fill="C6EFCE"/>
            <w:noWrap/>
          </w:tcPr>
          <w:p w14:paraId="310484B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2021</w:t>
            </w:r>
          </w:p>
        </w:tc>
        <w:tc>
          <w:tcPr>
            <w:tcW w:w="4608" w:type="dxa"/>
            <w:tcBorders>
              <w:top w:val="single" w:sz="4" w:space="0" w:color="auto"/>
              <w:left w:val="nil"/>
              <w:bottom w:val="single" w:sz="4" w:space="0" w:color="auto"/>
              <w:right w:val="single" w:sz="4" w:space="0" w:color="auto"/>
            </w:tcBorders>
            <w:shd w:val="clear" w:color="auto" w:fill="C6EFCE"/>
            <w:noWrap/>
          </w:tcPr>
          <w:p w14:paraId="15638D3D" w14:textId="3E8E9A21"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Prijať rámcové operačné dojednanie, ktoré sa použije pri všetkých dohodách</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úvere</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medzinárodnými finančnými inštitúciami,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podpísať operačné </w:t>
            </w:r>
            <w:r w:rsidRPr="00083739">
              <w:rPr>
                <w:rFonts w:ascii="Times New Roman" w:hAnsi="Times New Roman" w:cs="Times New Roman"/>
                <w:noProof/>
                <w:lang w:val="sk-SK"/>
              </w:rPr>
              <w:t>dohody medzi ministerstvom financií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aspoň jednou medzinárodnou finančnou inštitúciou.</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rámcovom operačnom dojednaní sa stanovia:</w:t>
            </w:r>
          </w:p>
          <w:p w14:paraId="3CBEA1D6" w14:textId="45E66EB7"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a) Kritériá riadenia, výberu, monitorovania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auditu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rozdelenia strát takto</w:t>
            </w:r>
            <w:r w:rsidR="00083739" w:rsidRPr="00083739">
              <w:rPr>
                <w:rFonts w:ascii="Times New Roman" w:hAnsi="Times New Roman" w:cs="Times New Roman"/>
                <w:noProof/>
                <w:lang w:val="sk-SK"/>
              </w:rPr>
              <w:t>:</w:t>
            </w:r>
          </w:p>
          <w:p w14:paraId="2E6361D3" w14:textId="21866ADF" w:rsidR="002D49B0" w:rsidRPr="00083739" w:rsidRDefault="00BF4125">
            <w:pPr>
              <w:pStyle w:val="P68B1DB1-Normal9"/>
              <w:numPr>
                <w:ilvl w:val="0"/>
                <w:numId w:val="70"/>
              </w:numPr>
              <w:tabs>
                <w:tab w:val="left" w:pos="0"/>
              </w:tabs>
              <w:spacing w:after="0" w:line="240" w:lineRule="auto"/>
              <w:jc w:val="both"/>
              <w:rPr>
                <w:rFonts w:ascii="Times New Roman" w:eastAsia="Times New Roman" w:hAnsi="Times New Roman" w:cs="Times New Roman"/>
                <w:noProof/>
                <w:szCs w:val="18"/>
                <w:lang w:val="sk-SK"/>
              </w:rPr>
            </w:pPr>
            <w:r w:rsidRPr="00083739">
              <w:rPr>
                <w:rFonts w:ascii="Times New Roman" w:hAnsi="Times New Roman" w:cs="Times New Roman"/>
                <w:noProof/>
                <w:lang w:val="sk-SK"/>
              </w:rPr>
              <w:t>Rámec riadenia:</w:t>
            </w:r>
          </w:p>
          <w:p w14:paraId="35ACBAD0" w14:textId="03ABC536" w:rsidR="002D49B0" w:rsidRPr="00083739" w:rsidRDefault="00BF4125">
            <w:pPr>
              <w:pStyle w:val="P68B1DB1-Normal9"/>
              <w:numPr>
                <w:ilvl w:val="1"/>
                <w:numId w:val="70"/>
              </w:numPr>
              <w:tabs>
                <w:tab w:val="left" w:pos="0"/>
              </w:tabs>
              <w:spacing w:after="0" w:line="240" w:lineRule="auto"/>
              <w:jc w:val="both"/>
              <w:rPr>
                <w:rFonts w:ascii="Times New Roman" w:eastAsia="Times New Roman" w:hAnsi="Times New Roman" w:cs="Times New Roman"/>
                <w:noProof/>
                <w:szCs w:val="18"/>
                <w:lang w:val="sk-SK"/>
              </w:rPr>
            </w:pPr>
            <w:r w:rsidRPr="00083739">
              <w:rPr>
                <w:rFonts w:ascii="Times New Roman" w:hAnsi="Times New Roman" w:cs="Times New Roman"/>
                <w:noProof/>
                <w:lang w:val="sk-SK"/>
              </w:rPr>
              <w:t>Rozhodovanie sa zakladá na sp</w:t>
            </w:r>
            <w:r w:rsidRPr="00083739">
              <w:rPr>
                <w:rFonts w:ascii="Times New Roman" w:hAnsi="Times New Roman" w:cs="Times New Roman"/>
                <w:noProof/>
                <w:lang w:val="sk-SK"/>
              </w:rPr>
              <w:t>oľahlivých hospodárskych kritériách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je nezávislé od vlády.</w:t>
            </w:r>
          </w:p>
          <w:p w14:paraId="3E878B43" w14:textId="5A0BA82D" w:rsidR="002D49B0" w:rsidRPr="00083739" w:rsidRDefault="00BF4125">
            <w:pPr>
              <w:pStyle w:val="P68B1DB1-Normal9"/>
              <w:numPr>
                <w:ilvl w:val="1"/>
                <w:numId w:val="70"/>
              </w:numPr>
              <w:tabs>
                <w:tab w:val="left" w:pos="0"/>
              </w:tabs>
              <w:spacing w:after="0" w:line="240" w:lineRule="auto"/>
              <w:jc w:val="both"/>
              <w:rPr>
                <w:rFonts w:ascii="Times New Roman" w:eastAsia="Times New Roman" w:hAnsi="Times New Roman" w:cs="Times New Roman"/>
                <w:noProof/>
                <w:szCs w:val="18"/>
                <w:lang w:val="sk-SK"/>
              </w:rPr>
            </w:pPr>
            <w:r w:rsidRPr="00083739">
              <w:rPr>
                <w:rFonts w:ascii="Times New Roman" w:hAnsi="Times New Roman" w:cs="Times New Roman"/>
                <w:noProof/>
                <w:lang w:val="sk-SK"/>
              </w:rPr>
              <w:t>MFI hodnotí žiadosti</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financovanie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rozhoduje na základe svojich vnútorných kritérií. MFI zabezpečí, aby mali financované investície kladné čisté súčasné hodnoty, aby boli</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súlade so strategic</w:t>
            </w:r>
            <w:r w:rsidRPr="00083739">
              <w:rPr>
                <w:rFonts w:ascii="Times New Roman" w:hAnsi="Times New Roman" w:cs="Times New Roman"/>
                <w:noProof/>
                <w:lang w:val="sk-SK"/>
              </w:rPr>
              <w:t>kými piliermi úverového nástroja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aby boli</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súlade</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pravidlami štátnej pomoci.</w:t>
            </w:r>
          </w:p>
          <w:p w14:paraId="1A987361" w14:textId="77777777" w:rsidR="00083739" w:rsidRPr="00083739" w:rsidRDefault="00BF4125">
            <w:pPr>
              <w:pStyle w:val="P68B1DB1-Normal9"/>
              <w:numPr>
                <w:ilvl w:val="1"/>
                <w:numId w:val="70"/>
              </w:numPr>
              <w:tabs>
                <w:tab w:val="left" w:pos="0"/>
              </w:tabs>
              <w:spacing w:after="0" w:line="240" w:lineRule="auto"/>
              <w:jc w:val="both"/>
              <w:rPr>
                <w:rFonts w:ascii="Times New Roman" w:hAnsi="Times New Roman" w:cs="Times New Roman"/>
                <w:noProof/>
                <w:lang w:val="sk-SK"/>
              </w:rPr>
            </w:pPr>
            <w:r w:rsidRPr="00083739">
              <w:rPr>
                <w:rFonts w:ascii="Times New Roman" w:hAnsi="Times New Roman" w:cs="Times New Roman"/>
                <w:noProof/>
                <w:lang w:val="sk-SK"/>
              </w:rPr>
              <w:t>Osobitný výbor investičnej rady monitoruje vykonávanie bez toho, aby bol zapojený do výberového procesu. MFI pravidelne podáva správy výboru investičnej rady</w:t>
            </w:r>
            <w:r w:rsidR="00083739" w:rsidRPr="00083739">
              <w:rPr>
                <w:rFonts w:ascii="Times New Roman" w:hAnsi="Times New Roman" w:cs="Times New Roman"/>
                <w:noProof/>
                <w:lang w:val="sk-SK"/>
              </w:rPr>
              <w:t>.</w:t>
            </w:r>
          </w:p>
          <w:p w14:paraId="395B7575" w14:textId="6ECF492E" w:rsidR="002D49B0" w:rsidRPr="00083739" w:rsidRDefault="00BF4125">
            <w:pPr>
              <w:pStyle w:val="P68B1DB1-Normal9"/>
              <w:numPr>
                <w:ilvl w:val="0"/>
                <w:numId w:val="70"/>
              </w:numPr>
              <w:tabs>
                <w:tab w:val="left" w:pos="0"/>
              </w:tabs>
              <w:spacing w:after="0" w:line="240" w:lineRule="auto"/>
              <w:jc w:val="both"/>
              <w:rPr>
                <w:rFonts w:ascii="Times New Roman" w:eastAsia="Times New Roman" w:hAnsi="Times New Roman" w:cs="Times New Roman"/>
                <w:noProof/>
                <w:szCs w:val="18"/>
                <w:lang w:val="sk-SK"/>
              </w:rPr>
            </w:pPr>
            <w:r w:rsidRPr="00083739">
              <w:rPr>
                <w:rFonts w:ascii="Times New Roman" w:hAnsi="Times New Roman" w:cs="Times New Roman"/>
                <w:noProof/>
                <w:lang w:val="sk-SK"/>
              </w:rPr>
              <w:t>Výška vyplácani</w:t>
            </w:r>
            <w:r w:rsidRPr="00083739">
              <w:rPr>
                <w:rFonts w:ascii="Times New Roman" w:hAnsi="Times New Roman" w:cs="Times New Roman"/>
                <w:noProof/>
                <w:lang w:val="sk-SK"/>
              </w:rPr>
              <w:t>a, ktorá sa uskutoční</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tranžiach,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spôsoby monitorovania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auditu:</w:t>
            </w:r>
          </w:p>
          <w:p w14:paraId="04B5E7D8" w14:textId="77777777" w:rsidR="002D49B0" w:rsidRPr="00083739" w:rsidRDefault="00BF4125">
            <w:pPr>
              <w:pStyle w:val="P68B1DB1-Normal9"/>
              <w:numPr>
                <w:ilvl w:val="1"/>
                <w:numId w:val="70"/>
              </w:numPr>
              <w:tabs>
                <w:tab w:val="left" w:pos="0"/>
              </w:tabs>
              <w:spacing w:after="0" w:line="240" w:lineRule="auto"/>
              <w:jc w:val="both"/>
              <w:rPr>
                <w:rFonts w:ascii="Times New Roman" w:eastAsia="Times New Roman" w:hAnsi="Times New Roman" w:cs="Times New Roman"/>
                <w:noProof/>
                <w:szCs w:val="18"/>
                <w:lang w:val="sk-SK"/>
              </w:rPr>
            </w:pPr>
            <w:r w:rsidRPr="00083739">
              <w:rPr>
                <w:rFonts w:ascii="Times New Roman" w:hAnsi="Times New Roman" w:cs="Times New Roman"/>
                <w:noProof/>
                <w:lang w:val="sk-SK"/>
              </w:rPr>
              <w:t>Kľúčové ukazovatele výkonnosti (KPI) sa stanovia na monitorovanie vyplatených úverov, ktoré môžu slúžiť aj ako referenčné hodnoty pre podmienečné uvoľnenie ďalších tranží.</w:t>
            </w:r>
          </w:p>
          <w:p w14:paraId="3DE9CE7C" w14:textId="0902E02C" w:rsidR="00083739" w:rsidRPr="00083739" w:rsidRDefault="00BF4125">
            <w:pPr>
              <w:pStyle w:val="P68B1DB1-Normal9"/>
              <w:numPr>
                <w:ilvl w:val="1"/>
                <w:numId w:val="70"/>
              </w:numPr>
              <w:tabs>
                <w:tab w:val="left" w:pos="0"/>
              </w:tabs>
              <w:spacing w:after="0" w:line="240" w:lineRule="auto"/>
              <w:jc w:val="both"/>
              <w:rPr>
                <w:rFonts w:ascii="Times New Roman" w:hAnsi="Times New Roman" w:cs="Times New Roman"/>
                <w:noProof/>
                <w:lang w:val="sk-SK"/>
              </w:rPr>
            </w:pPr>
            <w:r w:rsidRPr="00083739">
              <w:rPr>
                <w:rFonts w:ascii="Times New Roman" w:hAnsi="Times New Roman" w:cs="Times New Roman"/>
                <w:noProof/>
                <w:lang w:val="sk-SK"/>
              </w:rPr>
              <w:t>Predpokladajú s</w:t>
            </w:r>
            <w:r w:rsidRPr="00083739">
              <w:rPr>
                <w:rFonts w:ascii="Times New Roman" w:hAnsi="Times New Roman" w:cs="Times New Roman"/>
                <w:noProof/>
                <w:lang w:val="sk-SK"/>
              </w:rPr>
              <w:t>a tri úrovne kontrol oprávnenosti: I) posúdenie finančnou inštitúciou poskytujúcou financovanie; II) posúdenie nezávislým certifikovaným audítorom pred poskytnutím financovania;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iii) následné posúdenie nezávislým certifikovaným audítorom.</w:t>
            </w:r>
            <w:r w:rsidRPr="00083739">
              <w:rPr>
                <w:rFonts w:ascii="Times New Roman" w:hAnsi="Times New Roman" w:cs="Times New Roman"/>
                <w:noProof/>
                <w:highlight w:val="yellow"/>
                <w:lang w:val="sk-SK"/>
              </w:rPr>
              <w:t xml:space="preserve"> </w:t>
            </w:r>
            <w:r w:rsidRPr="00083739">
              <w:rPr>
                <w:rFonts w:ascii="Times New Roman" w:hAnsi="Times New Roman" w:cs="Times New Roman"/>
                <w:noProof/>
                <w:lang w:val="sk-SK"/>
              </w:rPr>
              <w:t>Nezávislí aud</w:t>
            </w:r>
            <w:r w:rsidRPr="00083739">
              <w:rPr>
                <w:rFonts w:ascii="Times New Roman" w:hAnsi="Times New Roman" w:cs="Times New Roman"/>
                <w:noProof/>
                <w:lang w:val="sk-SK"/>
              </w:rPr>
              <w:t>ítori posudzujú oprávnenosť investícií podľa výberových kritérií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súladu</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príslušnými pravidlami štátnej pomoci</w:t>
            </w:r>
            <w:r w:rsidR="00083739" w:rsidRPr="00083739">
              <w:rPr>
                <w:rFonts w:ascii="Times New Roman" w:hAnsi="Times New Roman" w:cs="Times New Roman"/>
                <w:noProof/>
                <w:lang w:val="sk-SK"/>
              </w:rPr>
              <w:t>.</w:t>
            </w:r>
          </w:p>
          <w:p w14:paraId="0AD5F2CE" w14:textId="1F88CF31" w:rsidR="00083739" w:rsidRPr="00083739" w:rsidRDefault="00BF4125">
            <w:pPr>
              <w:pStyle w:val="P68B1DB1-Normal9"/>
              <w:numPr>
                <w:ilvl w:val="0"/>
                <w:numId w:val="70"/>
              </w:numPr>
              <w:tabs>
                <w:tab w:val="left" w:pos="0"/>
              </w:tabs>
              <w:spacing w:after="0" w:line="240" w:lineRule="auto"/>
              <w:jc w:val="both"/>
              <w:rPr>
                <w:rFonts w:ascii="Times New Roman" w:hAnsi="Times New Roman" w:cs="Times New Roman"/>
                <w:noProof/>
                <w:lang w:val="sk-SK"/>
              </w:rPr>
            </w:pPr>
            <w:r w:rsidRPr="00083739">
              <w:rPr>
                <w:rFonts w:ascii="Times New Roman" w:hAnsi="Times New Roman" w:cs="Times New Roman"/>
                <w:noProof/>
                <w:lang w:val="sk-SK"/>
              </w:rPr>
              <w:t>Straty</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úverov (dlhopisy alebo syndikované): Štát</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MFI sa zúčastňujú pari passu. Všetky rozhodnutia týkajúce sa reštrukturalizácie sa pride</w:t>
            </w:r>
            <w:r w:rsidRPr="00083739">
              <w:rPr>
                <w:rFonts w:ascii="Times New Roman" w:hAnsi="Times New Roman" w:cs="Times New Roman"/>
                <w:noProof/>
                <w:lang w:val="sk-SK"/>
              </w:rPr>
              <w:t>lia finančným inštitúciám</w:t>
            </w:r>
            <w:r w:rsidR="00083739" w:rsidRPr="00083739">
              <w:rPr>
                <w:rFonts w:ascii="Times New Roman" w:hAnsi="Times New Roman" w:cs="Times New Roman"/>
                <w:noProof/>
                <w:lang w:val="sk-SK"/>
              </w:rPr>
              <w:t>.</w:t>
            </w:r>
          </w:p>
          <w:p w14:paraId="764EEE72" w14:textId="77777777" w:rsidR="00083739" w:rsidRPr="00083739" w:rsidRDefault="00BF4125">
            <w:pPr>
              <w:pStyle w:val="P68B1DB1-Normal9"/>
              <w:numPr>
                <w:ilvl w:val="0"/>
                <w:numId w:val="70"/>
              </w:numPr>
              <w:tabs>
                <w:tab w:val="left" w:pos="0"/>
              </w:tabs>
              <w:spacing w:after="0" w:line="240" w:lineRule="auto"/>
              <w:jc w:val="both"/>
              <w:rPr>
                <w:rFonts w:ascii="Times New Roman" w:hAnsi="Times New Roman" w:cs="Times New Roman"/>
                <w:noProof/>
                <w:lang w:val="sk-SK"/>
              </w:rPr>
            </w:pPr>
            <w:r w:rsidRPr="00083739">
              <w:rPr>
                <w:rFonts w:ascii="Times New Roman" w:hAnsi="Times New Roman" w:cs="Times New Roman"/>
                <w:noProof/>
                <w:lang w:val="sk-SK"/>
              </w:rPr>
              <w:t>Refinancovanie nesplatených úverov je vylúčené</w:t>
            </w:r>
            <w:r w:rsidR="00083739" w:rsidRPr="00083739">
              <w:rPr>
                <w:rFonts w:ascii="Times New Roman" w:hAnsi="Times New Roman" w:cs="Times New Roman"/>
                <w:noProof/>
                <w:lang w:val="sk-SK"/>
              </w:rPr>
              <w:t>.</w:t>
            </w:r>
          </w:p>
          <w:p w14:paraId="0BFDCBB0" w14:textId="38C9B991" w:rsidR="002D49B0" w:rsidRPr="00083739" w:rsidRDefault="00BF4125">
            <w:pPr>
              <w:pStyle w:val="P68B1DB1-Normal9"/>
              <w:tabs>
                <w:tab w:val="left" w:pos="0"/>
              </w:tabs>
              <w:spacing w:after="0" w:line="240" w:lineRule="auto"/>
              <w:jc w:val="both"/>
              <w:rPr>
                <w:rFonts w:ascii="Times New Roman" w:eastAsia="Times New Roman" w:hAnsi="Times New Roman" w:cs="Times New Roman"/>
                <w:noProof/>
                <w:szCs w:val="18"/>
                <w:lang w:val="sk-SK"/>
              </w:rPr>
            </w:pPr>
            <w:r w:rsidRPr="00083739">
              <w:rPr>
                <w:rFonts w:ascii="Times New Roman" w:hAnsi="Times New Roman" w:cs="Times New Roman"/>
                <w:noProof/>
                <w:lang w:val="sk-SK"/>
              </w:rPr>
              <w:t>b) výberové kritériá súladu</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technickými usmerneniami „výrazne nenarušiť“ (2021/C58/01) podporovaných činností,</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 xml:space="preserve">ktorých sa vyžaduje používanie overovania udržateľnosti, zoznamu </w:t>
            </w:r>
            <w:r w:rsidRPr="00083739">
              <w:rPr>
                <w:rFonts w:ascii="Times New Roman" w:hAnsi="Times New Roman" w:cs="Times New Roman"/>
                <w:noProof/>
                <w:lang w:val="sk-SK"/>
              </w:rPr>
              <w:t>vylúčených subjektov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povinných kontrol dodržiavania právnych predpisov</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príslušnými právnymi predpismi EÚ</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vnútroštátnymi právnymi predpismi</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životného prostredia nezávislým audítorom.</w:t>
            </w:r>
          </w:p>
          <w:p w14:paraId="227BC753" w14:textId="024E4915"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C) záväzok investovať aspoň 38,5</w:t>
            </w:r>
            <w:r w:rsidR="00083739" w:rsidRPr="00083739">
              <w:rPr>
                <w:rFonts w:ascii="Times New Roman" w:hAnsi="Times New Roman" w:cs="Times New Roman"/>
                <w:noProof/>
                <w:lang w:val="sk-SK"/>
              </w:rPr>
              <w:t> %</w:t>
            </w:r>
            <w:r w:rsidRPr="00083739">
              <w:rPr>
                <w:rFonts w:ascii="Times New Roman" w:hAnsi="Times New Roman" w:cs="Times New Roman"/>
                <w:noProof/>
                <w:lang w:val="sk-SK"/>
              </w:rPr>
              <w:t xml:space="preserve"> finančných prostriedkov</w:t>
            </w:r>
            <w:r w:rsidRPr="00083739">
              <w:rPr>
                <w:rFonts w:ascii="Times New Roman" w:hAnsi="Times New Roman" w:cs="Times New Roman"/>
                <w:noProof/>
                <w:lang w:val="sk-SK"/>
              </w:rPr>
              <w:t xml:space="preserve"> na podporu klimatickej transformácie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20,8</w:t>
            </w:r>
            <w:r w:rsidR="00083739" w:rsidRPr="00083739">
              <w:rPr>
                <w:rFonts w:ascii="Times New Roman" w:hAnsi="Times New Roman" w:cs="Times New Roman"/>
                <w:noProof/>
                <w:lang w:val="sk-SK"/>
              </w:rPr>
              <w:t> %</w:t>
            </w:r>
            <w:r w:rsidRPr="00083739">
              <w:rPr>
                <w:rFonts w:ascii="Times New Roman" w:hAnsi="Times New Roman" w:cs="Times New Roman"/>
                <w:noProof/>
                <w:lang w:val="sk-SK"/>
              </w:rPr>
              <w:t xml:space="preserve"> finančných prostriedkov na podporu digitálnej transformácie</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použitím metodiky uvedenej</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prílohách VI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VII</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nariadeniu</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Mechanizme na podporu obnovy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odolnosti.</w:t>
            </w:r>
          </w:p>
        </w:tc>
      </w:tr>
      <w:tr w:rsidR="002D49B0" w:rsidRPr="00083739" w14:paraId="4904AD25" w14:textId="77777777">
        <w:trPr>
          <w:trHeight w:val="314"/>
          <w:jc w:val="center"/>
        </w:trPr>
        <w:tc>
          <w:tcPr>
            <w:tcW w:w="846" w:type="dxa"/>
            <w:tcBorders>
              <w:top w:val="nil"/>
              <w:left w:val="single" w:sz="4" w:space="0" w:color="auto"/>
              <w:bottom w:val="single" w:sz="4" w:space="0" w:color="auto"/>
              <w:right w:val="single" w:sz="4" w:space="0" w:color="auto"/>
            </w:tcBorders>
            <w:shd w:val="clear" w:color="auto" w:fill="C6EFCE"/>
            <w:noWrap/>
          </w:tcPr>
          <w:p w14:paraId="21C5CC49" w14:textId="77777777" w:rsidR="002D49B0" w:rsidRPr="00083739" w:rsidRDefault="00BF4125">
            <w:pPr>
              <w:pStyle w:val="P68B1DB1-Normal9"/>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321</w:t>
            </w:r>
          </w:p>
        </w:tc>
        <w:tc>
          <w:tcPr>
            <w:tcW w:w="1429" w:type="dxa"/>
            <w:tcBorders>
              <w:top w:val="nil"/>
              <w:left w:val="nil"/>
              <w:bottom w:val="single" w:sz="4" w:space="0" w:color="auto"/>
              <w:right w:val="single" w:sz="4" w:space="0" w:color="auto"/>
            </w:tcBorders>
            <w:shd w:val="clear" w:color="auto" w:fill="C6EFCE"/>
            <w:noWrap/>
          </w:tcPr>
          <w:p w14:paraId="3C3AC9AA" w14:textId="4E9623A4"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4.7. Zlepšiť konkurencieschopnosť</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podporiť súkromné investície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vývoz – úverový nástroj 16980_RRP</w:t>
            </w:r>
          </w:p>
        </w:tc>
        <w:tc>
          <w:tcPr>
            <w:tcW w:w="1200" w:type="dxa"/>
            <w:tcBorders>
              <w:top w:val="nil"/>
              <w:left w:val="nil"/>
              <w:bottom w:val="single" w:sz="4" w:space="0" w:color="auto"/>
              <w:right w:val="single" w:sz="4" w:space="0" w:color="auto"/>
            </w:tcBorders>
            <w:shd w:val="clear" w:color="auto" w:fill="C6EFCE"/>
            <w:noWrap/>
          </w:tcPr>
          <w:p w14:paraId="3657462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40" w:type="dxa"/>
            <w:tcBorders>
              <w:top w:val="nil"/>
              <w:left w:val="nil"/>
              <w:bottom w:val="single" w:sz="4" w:space="0" w:color="auto"/>
              <w:right w:val="single" w:sz="4" w:space="0" w:color="auto"/>
            </w:tcBorders>
            <w:shd w:val="clear" w:color="auto" w:fill="C6EFCE"/>
            <w:noWrap/>
          </w:tcPr>
          <w:p w14:paraId="4D2A272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Vyhlásenie výzvy pre komerčné banky</w:t>
            </w:r>
          </w:p>
        </w:tc>
        <w:tc>
          <w:tcPr>
            <w:tcW w:w="1660" w:type="dxa"/>
            <w:tcBorders>
              <w:top w:val="nil"/>
              <w:left w:val="nil"/>
              <w:bottom w:val="single" w:sz="4" w:space="0" w:color="auto"/>
              <w:right w:val="single" w:sz="4" w:space="0" w:color="auto"/>
            </w:tcBorders>
            <w:shd w:val="clear" w:color="auto" w:fill="C6EFCE"/>
            <w:noWrap/>
          </w:tcPr>
          <w:p w14:paraId="652D8BE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Vyhlásenie výzvy</w:t>
            </w:r>
          </w:p>
        </w:tc>
        <w:tc>
          <w:tcPr>
            <w:tcW w:w="1080" w:type="dxa"/>
            <w:tcBorders>
              <w:top w:val="nil"/>
              <w:left w:val="nil"/>
              <w:bottom w:val="single" w:sz="4" w:space="0" w:color="auto"/>
              <w:right w:val="single" w:sz="4" w:space="0" w:color="auto"/>
            </w:tcBorders>
            <w:shd w:val="clear" w:color="auto" w:fill="C6EFCE"/>
            <w:noWrap/>
          </w:tcPr>
          <w:p w14:paraId="1F5C798E"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80" w:type="dxa"/>
            <w:tcBorders>
              <w:top w:val="nil"/>
              <w:left w:val="nil"/>
              <w:bottom w:val="single" w:sz="4" w:space="0" w:color="auto"/>
              <w:right w:val="single" w:sz="4" w:space="0" w:color="auto"/>
            </w:tcBorders>
            <w:shd w:val="clear" w:color="auto" w:fill="C6EFCE"/>
            <w:noWrap/>
          </w:tcPr>
          <w:p w14:paraId="39AFFA41"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0" w:type="dxa"/>
            <w:tcBorders>
              <w:top w:val="nil"/>
              <w:left w:val="nil"/>
              <w:bottom w:val="single" w:sz="4" w:space="0" w:color="auto"/>
              <w:right w:val="single" w:sz="4" w:space="0" w:color="auto"/>
            </w:tcBorders>
            <w:shd w:val="clear" w:color="auto" w:fill="C6EFCE"/>
            <w:noWrap/>
          </w:tcPr>
          <w:p w14:paraId="2F2055E6"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60" w:type="dxa"/>
            <w:tcBorders>
              <w:top w:val="nil"/>
              <w:left w:val="nil"/>
              <w:bottom w:val="single" w:sz="4" w:space="0" w:color="auto"/>
              <w:right w:val="single" w:sz="4" w:space="0" w:color="auto"/>
            </w:tcBorders>
            <w:shd w:val="clear" w:color="auto" w:fill="C6EFCE"/>
            <w:noWrap/>
          </w:tcPr>
          <w:p w14:paraId="068C1A9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TRETÍ ŠTVRŤROK</w:t>
            </w:r>
          </w:p>
        </w:tc>
        <w:tc>
          <w:tcPr>
            <w:tcW w:w="840" w:type="dxa"/>
            <w:tcBorders>
              <w:top w:val="nil"/>
              <w:left w:val="nil"/>
              <w:bottom w:val="single" w:sz="4" w:space="0" w:color="auto"/>
              <w:right w:val="single" w:sz="4" w:space="0" w:color="auto"/>
            </w:tcBorders>
            <w:shd w:val="clear" w:color="auto" w:fill="C6EFCE"/>
            <w:noWrap/>
          </w:tcPr>
          <w:p w14:paraId="47E4077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2021</w:t>
            </w:r>
          </w:p>
        </w:tc>
        <w:tc>
          <w:tcPr>
            <w:tcW w:w="4608" w:type="dxa"/>
            <w:tcBorders>
              <w:top w:val="nil"/>
              <w:left w:val="nil"/>
              <w:bottom w:val="single" w:sz="4" w:space="0" w:color="auto"/>
              <w:right w:val="single" w:sz="4" w:space="0" w:color="auto"/>
            </w:tcBorders>
            <w:shd w:val="clear" w:color="auto" w:fill="C6EFCE"/>
            <w:noWrap/>
          </w:tcPr>
          <w:p w14:paraId="120025F2" w14:textId="2DB03926"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Prijať rámcovú prevádzkovú dohodu, ktorá sa použije na všetky úverové dohody</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komerčnými bankami,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vyhlási</w:t>
            </w:r>
            <w:r w:rsidRPr="00083739">
              <w:rPr>
                <w:rFonts w:ascii="Times New Roman" w:hAnsi="Times New Roman" w:cs="Times New Roman"/>
                <w:noProof/>
                <w:lang w:val="sk-SK"/>
              </w:rPr>
              <w:t>ť výzvu na výber komerčných bánk vrátane:</w:t>
            </w:r>
          </w:p>
          <w:p w14:paraId="2ABC7F18" w14:textId="2C6ED1BD"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a) Kritériá riadenia, výberu, monitorovania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auditu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rozdelenia strát podľa rovnakých zásad, ako sú zásady pre úvery poskytované prostredníctvom MFI, ako sa uvádza vyššie (míľnik č. 320). Na úvery poskytnuté kome</w:t>
            </w:r>
            <w:r w:rsidRPr="00083739">
              <w:rPr>
                <w:rFonts w:ascii="Times New Roman" w:hAnsi="Times New Roman" w:cs="Times New Roman"/>
                <w:noProof/>
                <w:lang w:val="sk-SK"/>
              </w:rPr>
              <w:t>rčnými bankami</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rámci úverového nástroja sa neposkytuje žiadna štátna záruka.</w:t>
            </w:r>
          </w:p>
          <w:p w14:paraId="1C648ED1" w14:textId="499B25F0"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b) výberové kritériá súladu</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technickými usmerneniami „výrazne nenarušiť“ (2021/C58/01) podporovaných činností,</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ktorých sa vyžaduje používanie overovania udržateľnosti, zozna</w:t>
            </w:r>
            <w:r w:rsidRPr="00083739">
              <w:rPr>
                <w:rFonts w:ascii="Times New Roman" w:hAnsi="Times New Roman" w:cs="Times New Roman"/>
                <w:noProof/>
                <w:lang w:val="sk-SK"/>
              </w:rPr>
              <w:t>mu vylúčených subjektov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povinných kontrol dodržiavania právnych predpisov</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príslušnými právnymi predpismi EÚ</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vnútroštátnymi právnymi predpismi</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životného prostredia nezávislým audítorom.</w:t>
            </w:r>
          </w:p>
          <w:p w14:paraId="58C7AC42" w14:textId="6E65413E"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C) záväzok investovať aspoň 38,5</w:t>
            </w:r>
            <w:r w:rsidR="00083739" w:rsidRPr="00083739">
              <w:rPr>
                <w:rFonts w:ascii="Times New Roman" w:hAnsi="Times New Roman" w:cs="Times New Roman"/>
                <w:noProof/>
                <w:lang w:val="sk-SK"/>
              </w:rPr>
              <w:t> %</w:t>
            </w:r>
            <w:r w:rsidRPr="00083739">
              <w:rPr>
                <w:rFonts w:ascii="Times New Roman" w:hAnsi="Times New Roman" w:cs="Times New Roman"/>
                <w:noProof/>
                <w:lang w:val="sk-SK"/>
              </w:rPr>
              <w:t xml:space="preserve"> finančných prostried</w:t>
            </w:r>
            <w:r w:rsidRPr="00083739">
              <w:rPr>
                <w:rFonts w:ascii="Times New Roman" w:hAnsi="Times New Roman" w:cs="Times New Roman"/>
                <w:noProof/>
                <w:lang w:val="sk-SK"/>
              </w:rPr>
              <w:t>kov na podporu klimatickej transformácie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20,8</w:t>
            </w:r>
            <w:r w:rsidR="00083739" w:rsidRPr="00083739">
              <w:rPr>
                <w:rFonts w:ascii="Times New Roman" w:hAnsi="Times New Roman" w:cs="Times New Roman"/>
                <w:noProof/>
                <w:lang w:val="sk-SK"/>
              </w:rPr>
              <w:t> %</w:t>
            </w:r>
            <w:r w:rsidRPr="00083739">
              <w:rPr>
                <w:rFonts w:ascii="Times New Roman" w:hAnsi="Times New Roman" w:cs="Times New Roman"/>
                <w:noProof/>
                <w:lang w:val="sk-SK"/>
              </w:rPr>
              <w:t xml:space="preserve"> finančných prostriedkov na podporu digitálnej transformácie</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použitím metodiky uvedenej</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prílohách VI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VII</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nariadeniu</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Mechanizme na podporu obnovy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odolnosti.</w:t>
            </w:r>
          </w:p>
          <w:p w14:paraId="7F2852FD"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r>
      <w:tr w:rsidR="002D49B0" w:rsidRPr="00083739" w14:paraId="1AB8AD13" w14:textId="77777777">
        <w:trPr>
          <w:trHeight w:val="314"/>
          <w:jc w:val="center"/>
        </w:trPr>
        <w:tc>
          <w:tcPr>
            <w:tcW w:w="846" w:type="dxa"/>
            <w:tcBorders>
              <w:top w:val="nil"/>
              <w:left w:val="single" w:sz="4" w:space="0" w:color="auto"/>
              <w:bottom w:val="single" w:sz="4" w:space="0" w:color="auto"/>
              <w:right w:val="single" w:sz="4" w:space="0" w:color="auto"/>
            </w:tcBorders>
            <w:shd w:val="clear" w:color="auto" w:fill="C6EFCE"/>
            <w:noWrap/>
            <w:hideMark/>
          </w:tcPr>
          <w:p w14:paraId="53733A62" w14:textId="77777777"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322</w:t>
            </w:r>
          </w:p>
        </w:tc>
        <w:tc>
          <w:tcPr>
            <w:tcW w:w="1429" w:type="dxa"/>
            <w:tcBorders>
              <w:top w:val="nil"/>
              <w:left w:val="nil"/>
              <w:bottom w:val="single" w:sz="4" w:space="0" w:color="auto"/>
              <w:right w:val="single" w:sz="4" w:space="0" w:color="auto"/>
            </w:tcBorders>
            <w:shd w:val="clear" w:color="auto" w:fill="C6EFCE"/>
            <w:noWrap/>
            <w:hideMark/>
          </w:tcPr>
          <w:p w14:paraId="0693A88F" w14:textId="29B88F62"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4.7. Zlepšiť konkurencieschopnosť</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podporiť súkromné investície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vývoz – úverový nástroj 16980_RRP</w:t>
            </w:r>
          </w:p>
        </w:tc>
        <w:tc>
          <w:tcPr>
            <w:tcW w:w="1200" w:type="dxa"/>
            <w:tcBorders>
              <w:top w:val="nil"/>
              <w:left w:val="nil"/>
              <w:bottom w:val="single" w:sz="4" w:space="0" w:color="auto"/>
              <w:right w:val="single" w:sz="4" w:space="0" w:color="auto"/>
            </w:tcBorders>
            <w:shd w:val="clear" w:color="auto" w:fill="C6EFCE"/>
            <w:noWrap/>
            <w:hideMark/>
          </w:tcPr>
          <w:p w14:paraId="69B6191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40" w:type="dxa"/>
            <w:tcBorders>
              <w:top w:val="nil"/>
              <w:left w:val="nil"/>
              <w:bottom w:val="single" w:sz="4" w:space="0" w:color="auto"/>
              <w:right w:val="single" w:sz="4" w:space="0" w:color="auto"/>
            </w:tcBorders>
            <w:shd w:val="clear" w:color="auto" w:fill="C6EFCE"/>
            <w:noWrap/>
            <w:hideMark/>
          </w:tcPr>
          <w:p w14:paraId="09ED6877" w14:textId="7EE4EC71"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Dohoda</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kapitálovej platforme</w:t>
            </w:r>
          </w:p>
        </w:tc>
        <w:tc>
          <w:tcPr>
            <w:tcW w:w="1660" w:type="dxa"/>
            <w:tcBorders>
              <w:top w:val="nil"/>
              <w:left w:val="nil"/>
              <w:bottom w:val="single" w:sz="4" w:space="0" w:color="auto"/>
              <w:right w:val="single" w:sz="4" w:space="0" w:color="auto"/>
            </w:tcBorders>
            <w:shd w:val="clear" w:color="auto" w:fill="C6EFCE"/>
            <w:noWrap/>
            <w:hideMark/>
          </w:tcPr>
          <w:p w14:paraId="73CD604A" w14:textId="1D195D92"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Podpísaná dohoda</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mandáte</w:t>
            </w:r>
          </w:p>
        </w:tc>
        <w:tc>
          <w:tcPr>
            <w:tcW w:w="1080" w:type="dxa"/>
            <w:tcBorders>
              <w:top w:val="nil"/>
              <w:left w:val="nil"/>
              <w:bottom w:val="single" w:sz="4" w:space="0" w:color="auto"/>
              <w:right w:val="single" w:sz="4" w:space="0" w:color="auto"/>
            </w:tcBorders>
            <w:shd w:val="clear" w:color="auto" w:fill="C6EFCE"/>
            <w:noWrap/>
            <w:hideMark/>
          </w:tcPr>
          <w:p w14:paraId="28F3E687"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80" w:type="dxa"/>
            <w:tcBorders>
              <w:top w:val="nil"/>
              <w:left w:val="nil"/>
              <w:bottom w:val="single" w:sz="4" w:space="0" w:color="auto"/>
              <w:right w:val="single" w:sz="4" w:space="0" w:color="auto"/>
            </w:tcBorders>
            <w:shd w:val="clear" w:color="auto" w:fill="C6EFCE"/>
            <w:noWrap/>
            <w:hideMark/>
          </w:tcPr>
          <w:p w14:paraId="2FDF9565"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0" w:type="dxa"/>
            <w:tcBorders>
              <w:top w:val="nil"/>
              <w:left w:val="nil"/>
              <w:bottom w:val="single" w:sz="4" w:space="0" w:color="auto"/>
              <w:right w:val="single" w:sz="4" w:space="0" w:color="auto"/>
            </w:tcBorders>
            <w:shd w:val="clear" w:color="auto" w:fill="C6EFCE"/>
            <w:noWrap/>
            <w:hideMark/>
          </w:tcPr>
          <w:p w14:paraId="2F73210E"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60" w:type="dxa"/>
            <w:tcBorders>
              <w:top w:val="nil"/>
              <w:left w:val="nil"/>
              <w:bottom w:val="single" w:sz="4" w:space="0" w:color="auto"/>
              <w:right w:val="single" w:sz="4" w:space="0" w:color="auto"/>
            </w:tcBorders>
            <w:shd w:val="clear" w:color="auto" w:fill="C6EFCE"/>
            <w:noWrap/>
            <w:hideMark/>
          </w:tcPr>
          <w:p w14:paraId="6EC7D5F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PRVÝ ŠTVRŤROK</w:t>
            </w:r>
          </w:p>
        </w:tc>
        <w:tc>
          <w:tcPr>
            <w:tcW w:w="840" w:type="dxa"/>
            <w:tcBorders>
              <w:top w:val="nil"/>
              <w:left w:val="nil"/>
              <w:bottom w:val="single" w:sz="4" w:space="0" w:color="auto"/>
              <w:right w:val="single" w:sz="4" w:space="0" w:color="auto"/>
            </w:tcBorders>
            <w:shd w:val="clear" w:color="auto" w:fill="C6EFCE"/>
            <w:noWrap/>
            <w:hideMark/>
          </w:tcPr>
          <w:p w14:paraId="0369958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2022</w:t>
            </w:r>
          </w:p>
        </w:tc>
        <w:tc>
          <w:tcPr>
            <w:tcW w:w="4608" w:type="dxa"/>
            <w:tcBorders>
              <w:top w:val="nil"/>
              <w:left w:val="nil"/>
              <w:bottom w:val="single" w:sz="4" w:space="0" w:color="auto"/>
              <w:right w:val="single" w:sz="4" w:space="0" w:color="auto"/>
            </w:tcBorders>
            <w:shd w:val="clear" w:color="auto" w:fill="C6EFCE"/>
            <w:noWrap/>
            <w:hideMark/>
          </w:tcPr>
          <w:p w14:paraId="0499C8CA" w14:textId="1823D870"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Podpísanie dohody</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mandáte medzi ministerstvom financií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Helénskou rozvojovou bankou pre </w:t>
            </w:r>
            <w:r w:rsidRPr="00083739">
              <w:rPr>
                <w:rFonts w:ascii="Times New Roman" w:hAnsi="Times New Roman" w:cs="Times New Roman"/>
                <w:noProof/>
                <w:lang w:val="sk-SK"/>
              </w:rPr>
              <w:t>investície, ktorá bude spravovať Mezanínový fond fondov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Innovate Now Equifund. Dohoda</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mandáte obsahuje výberové kritériá súladu podporovaných spoločností</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technickými usmerneniami „výrazne nenarušiť“ (2021/C58/01),</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ktorých sa vyžaduje používanie ove</w:t>
            </w:r>
            <w:r w:rsidRPr="00083739">
              <w:rPr>
                <w:rFonts w:ascii="Times New Roman" w:hAnsi="Times New Roman" w:cs="Times New Roman"/>
                <w:noProof/>
                <w:lang w:val="sk-SK"/>
              </w:rPr>
              <w:t>rovania udržateľnosti, zoznamu vylúčených subjektov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povinných kontrol dodržiavania právnych predpisov</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príslušnými právnymi predpismi EÚ</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vnútroštátnymi právnymi predpismi</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životného prostredia nezávislým audítorom.</w:t>
            </w:r>
          </w:p>
        </w:tc>
      </w:tr>
      <w:tr w:rsidR="002D49B0" w:rsidRPr="00083739" w14:paraId="1EEE08EB" w14:textId="77777777">
        <w:trPr>
          <w:trHeight w:val="314"/>
          <w:jc w:val="center"/>
        </w:trPr>
        <w:tc>
          <w:tcPr>
            <w:tcW w:w="846" w:type="dxa"/>
            <w:tcBorders>
              <w:top w:val="nil"/>
              <w:left w:val="single" w:sz="4" w:space="0" w:color="auto"/>
              <w:bottom w:val="single" w:sz="4" w:space="0" w:color="auto"/>
              <w:right w:val="single" w:sz="4" w:space="0" w:color="auto"/>
            </w:tcBorders>
            <w:shd w:val="clear" w:color="auto" w:fill="C6EFCE"/>
            <w:noWrap/>
            <w:hideMark/>
          </w:tcPr>
          <w:p w14:paraId="39D47484" w14:textId="77777777"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323</w:t>
            </w:r>
          </w:p>
        </w:tc>
        <w:tc>
          <w:tcPr>
            <w:tcW w:w="1429" w:type="dxa"/>
            <w:tcBorders>
              <w:top w:val="nil"/>
              <w:left w:val="nil"/>
              <w:bottom w:val="single" w:sz="4" w:space="0" w:color="auto"/>
              <w:right w:val="single" w:sz="4" w:space="0" w:color="auto"/>
            </w:tcBorders>
            <w:shd w:val="clear" w:color="auto" w:fill="C6EFCE"/>
            <w:noWrap/>
            <w:hideMark/>
          </w:tcPr>
          <w:p w14:paraId="2686B1CA" w14:textId="26F2C51B"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4.7. Zlepšiť </w:t>
            </w:r>
            <w:r w:rsidRPr="00083739">
              <w:rPr>
                <w:rFonts w:ascii="Times New Roman" w:hAnsi="Times New Roman" w:cs="Times New Roman"/>
                <w:noProof/>
                <w:lang w:val="sk-SK"/>
              </w:rPr>
              <w:t>konkurencieschopnosť</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podporiť súkromné investície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vývoz – úverový nástroj 16980_RRP</w:t>
            </w:r>
          </w:p>
        </w:tc>
        <w:tc>
          <w:tcPr>
            <w:tcW w:w="1200" w:type="dxa"/>
            <w:tcBorders>
              <w:top w:val="nil"/>
              <w:left w:val="nil"/>
              <w:bottom w:val="single" w:sz="4" w:space="0" w:color="auto"/>
              <w:right w:val="single" w:sz="4" w:space="0" w:color="auto"/>
            </w:tcBorders>
            <w:shd w:val="clear" w:color="auto" w:fill="C6EFCE"/>
            <w:noWrap/>
            <w:hideMark/>
          </w:tcPr>
          <w:p w14:paraId="185F50F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40" w:type="dxa"/>
            <w:tcBorders>
              <w:top w:val="nil"/>
              <w:left w:val="nil"/>
              <w:bottom w:val="single" w:sz="4" w:space="0" w:color="auto"/>
              <w:right w:val="single" w:sz="4" w:space="0" w:color="auto"/>
            </w:tcBorders>
            <w:shd w:val="clear" w:color="auto" w:fill="C6EFCE"/>
            <w:noWrap/>
            <w:hideMark/>
          </w:tcPr>
          <w:p w14:paraId="1BB14775" w14:textId="2677A838"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Dohoda</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príspevku</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Programu InvestEU</w:t>
            </w:r>
          </w:p>
        </w:tc>
        <w:tc>
          <w:tcPr>
            <w:tcW w:w="1660" w:type="dxa"/>
            <w:tcBorders>
              <w:top w:val="nil"/>
              <w:left w:val="nil"/>
              <w:bottom w:val="single" w:sz="4" w:space="0" w:color="auto"/>
              <w:right w:val="single" w:sz="4" w:space="0" w:color="auto"/>
            </w:tcBorders>
            <w:shd w:val="clear" w:color="auto" w:fill="C6EFCE"/>
            <w:noWrap/>
            <w:hideMark/>
          </w:tcPr>
          <w:p w14:paraId="7B0F0A6C" w14:textId="70EA264A"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Podpísaná dohoda</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príspevku</w:t>
            </w:r>
          </w:p>
        </w:tc>
        <w:tc>
          <w:tcPr>
            <w:tcW w:w="1080" w:type="dxa"/>
            <w:tcBorders>
              <w:top w:val="nil"/>
              <w:left w:val="nil"/>
              <w:bottom w:val="single" w:sz="4" w:space="0" w:color="auto"/>
              <w:right w:val="single" w:sz="4" w:space="0" w:color="auto"/>
            </w:tcBorders>
            <w:shd w:val="clear" w:color="auto" w:fill="C6EFCE"/>
            <w:noWrap/>
            <w:hideMark/>
          </w:tcPr>
          <w:p w14:paraId="0B0FD6E9"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80" w:type="dxa"/>
            <w:tcBorders>
              <w:top w:val="nil"/>
              <w:left w:val="nil"/>
              <w:bottom w:val="single" w:sz="4" w:space="0" w:color="auto"/>
              <w:right w:val="single" w:sz="4" w:space="0" w:color="auto"/>
            </w:tcBorders>
            <w:shd w:val="clear" w:color="auto" w:fill="C6EFCE"/>
            <w:noWrap/>
            <w:hideMark/>
          </w:tcPr>
          <w:p w14:paraId="79B45DEA"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0" w:type="dxa"/>
            <w:tcBorders>
              <w:top w:val="nil"/>
              <w:left w:val="nil"/>
              <w:bottom w:val="single" w:sz="4" w:space="0" w:color="auto"/>
              <w:right w:val="single" w:sz="4" w:space="0" w:color="auto"/>
            </w:tcBorders>
            <w:shd w:val="clear" w:color="auto" w:fill="C6EFCE"/>
            <w:noWrap/>
            <w:hideMark/>
          </w:tcPr>
          <w:p w14:paraId="1783DFD5"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60" w:type="dxa"/>
            <w:tcBorders>
              <w:top w:val="nil"/>
              <w:left w:val="nil"/>
              <w:bottom w:val="single" w:sz="4" w:space="0" w:color="auto"/>
              <w:right w:val="single" w:sz="4" w:space="0" w:color="auto"/>
            </w:tcBorders>
            <w:shd w:val="clear" w:color="auto" w:fill="C6EFCE"/>
            <w:noWrap/>
            <w:hideMark/>
          </w:tcPr>
          <w:p w14:paraId="392EB1B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PRVÝ ŠTVRŤROK</w:t>
            </w:r>
          </w:p>
        </w:tc>
        <w:tc>
          <w:tcPr>
            <w:tcW w:w="840" w:type="dxa"/>
            <w:tcBorders>
              <w:top w:val="nil"/>
              <w:left w:val="nil"/>
              <w:bottom w:val="single" w:sz="4" w:space="0" w:color="auto"/>
              <w:right w:val="single" w:sz="4" w:space="0" w:color="auto"/>
            </w:tcBorders>
            <w:shd w:val="clear" w:color="auto" w:fill="C6EFCE"/>
            <w:noWrap/>
            <w:hideMark/>
          </w:tcPr>
          <w:p w14:paraId="4F6584D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2022</w:t>
            </w:r>
          </w:p>
        </w:tc>
        <w:tc>
          <w:tcPr>
            <w:tcW w:w="4608" w:type="dxa"/>
            <w:tcBorders>
              <w:top w:val="nil"/>
              <w:left w:val="nil"/>
              <w:bottom w:val="single" w:sz="4" w:space="0" w:color="auto"/>
              <w:right w:val="single" w:sz="4" w:space="0" w:color="auto"/>
            </w:tcBorders>
            <w:shd w:val="clear" w:color="auto" w:fill="C6EFCE"/>
            <w:noWrap/>
            <w:hideMark/>
          </w:tcPr>
          <w:p w14:paraId="04A501A6" w14:textId="39218058"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Podpísanie dohody</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príspevku</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 xml:space="preserve">Programu InvestEU medzi ministerstvom </w:t>
            </w:r>
            <w:r w:rsidRPr="00083739">
              <w:rPr>
                <w:rFonts w:ascii="Times New Roman" w:hAnsi="Times New Roman" w:cs="Times New Roman"/>
                <w:noProof/>
                <w:lang w:val="sk-SK"/>
              </w:rPr>
              <w:t>financií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Európskou komisiou vrátane:</w:t>
            </w:r>
          </w:p>
          <w:p w14:paraId="493CE7DD" w14:textId="32D9F5AD"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a) kritériá výberu týkajúce sa súladu podporovaných spoločností</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technickými usmerneniami „výrazne nenarušiť“ (2021/C58/01),</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ktorých sa vyžaduje používanie overovania udržateľnosti, zoznamu vylúčených subjektov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w:t>
            </w:r>
            <w:r w:rsidRPr="00083739">
              <w:rPr>
                <w:rFonts w:ascii="Times New Roman" w:hAnsi="Times New Roman" w:cs="Times New Roman"/>
                <w:noProof/>
                <w:lang w:val="sk-SK"/>
              </w:rPr>
              <w:t>ovinných kontrol dodržiavania právnych predpisov</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príslušnými právnymi predpismi EÚ</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vnútroštátnymi právnymi predpismi</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životného prostredia nezávislým audítorom.</w:t>
            </w:r>
          </w:p>
          <w:p w14:paraId="4097E9B8" w14:textId="790DF6FD"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b) záväzok investovať aspoň 38,5</w:t>
            </w:r>
            <w:r w:rsidR="00083739" w:rsidRPr="00083739">
              <w:rPr>
                <w:rFonts w:ascii="Times New Roman" w:hAnsi="Times New Roman" w:cs="Times New Roman"/>
                <w:noProof/>
                <w:lang w:val="sk-SK"/>
              </w:rPr>
              <w:t> %</w:t>
            </w:r>
            <w:r w:rsidRPr="00083739">
              <w:rPr>
                <w:rFonts w:ascii="Times New Roman" w:hAnsi="Times New Roman" w:cs="Times New Roman"/>
                <w:noProof/>
                <w:lang w:val="sk-SK"/>
              </w:rPr>
              <w:t xml:space="preserve"> finančných prostriedkov na podporu klimatickej </w:t>
            </w:r>
            <w:r w:rsidRPr="00083739">
              <w:rPr>
                <w:rFonts w:ascii="Times New Roman" w:hAnsi="Times New Roman" w:cs="Times New Roman"/>
                <w:noProof/>
                <w:lang w:val="sk-SK"/>
              </w:rPr>
              <w:t>transformácie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20,8</w:t>
            </w:r>
            <w:r w:rsidR="00083739" w:rsidRPr="00083739">
              <w:rPr>
                <w:rFonts w:ascii="Times New Roman" w:hAnsi="Times New Roman" w:cs="Times New Roman"/>
                <w:noProof/>
                <w:lang w:val="sk-SK"/>
              </w:rPr>
              <w:t> %</w:t>
            </w:r>
            <w:r w:rsidRPr="00083739">
              <w:rPr>
                <w:rFonts w:ascii="Times New Roman" w:hAnsi="Times New Roman" w:cs="Times New Roman"/>
                <w:noProof/>
                <w:lang w:val="sk-SK"/>
              </w:rPr>
              <w:t xml:space="preserve"> finančných prostriedkov na podporu digitálnej transformácie</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použitím metodiky uvedenej</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prílohách VI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VII</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nariadeniu</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Mechanizme na podporu obnovy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odolnosti.</w:t>
            </w:r>
          </w:p>
        </w:tc>
      </w:tr>
      <w:tr w:rsidR="002D49B0" w:rsidRPr="00083739" w14:paraId="616848FD" w14:textId="77777777">
        <w:trPr>
          <w:trHeight w:val="314"/>
          <w:jc w:val="center"/>
        </w:trPr>
        <w:tc>
          <w:tcPr>
            <w:tcW w:w="846" w:type="dxa"/>
            <w:tcBorders>
              <w:top w:val="single" w:sz="4" w:space="0" w:color="auto"/>
              <w:left w:val="single" w:sz="4" w:space="0" w:color="auto"/>
              <w:bottom w:val="single" w:sz="4" w:space="0" w:color="auto"/>
              <w:right w:val="single" w:sz="4" w:space="0" w:color="auto"/>
            </w:tcBorders>
            <w:shd w:val="clear" w:color="auto" w:fill="C6EFCE"/>
            <w:noWrap/>
          </w:tcPr>
          <w:p w14:paraId="2CD8E761" w14:textId="77777777"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324</w:t>
            </w:r>
          </w:p>
        </w:tc>
        <w:tc>
          <w:tcPr>
            <w:tcW w:w="1429" w:type="dxa"/>
            <w:tcBorders>
              <w:top w:val="single" w:sz="4" w:space="0" w:color="auto"/>
              <w:left w:val="nil"/>
              <w:bottom w:val="single" w:sz="4" w:space="0" w:color="auto"/>
              <w:right w:val="single" w:sz="4" w:space="0" w:color="auto"/>
            </w:tcBorders>
            <w:shd w:val="clear" w:color="auto" w:fill="C6EFCE"/>
            <w:noWrap/>
          </w:tcPr>
          <w:p w14:paraId="18313D12" w14:textId="7DBF199F" w:rsidR="002D49B0" w:rsidRPr="00083739" w:rsidRDefault="00BF4125">
            <w:pPr>
              <w:pStyle w:val="P68B1DB1-Normal9"/>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4.7. Zlepšiť konkurencieschopnosť</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podporiť súkromné </w:t>
            </w:r>
            <w:r w:rsidRPr="00083739">
              <w:rPr>
                <w:rFonts w:ascii="Times New Roman" w:hAnsi="Times New Roman" w:cs="Times New Roman"/>
                <w:noProof/>
                <w:lang w:val="sk-SK"/>
              </w:rPr>
              <w:t>investície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vývoz – úverový nástroj 16980_RRP</w:t>
            </w:r>
          </w:p>
        </w:tc>
        <w:tc>
          <w:tcPr>
            <w:tcW w:w="1200" w:type="dxa"/>
            <w:tcBorders>
              <w:top w:val="single" w:sz="4" w:space="0" w:color="auto"/>
              <w:left w:val="nil"/>
              <w:bottom w:val="single" w:sz="4" w:space="0" w:color="auto"/>
              <w:right w:val="single" w:sz="4" w:space="0" w:color="auto"/>
            </w:tcBorders>
            <w:shd w:val="clear" w:color="auto" w:fill="C6EFCE"/>
            <w:noWrap/>
          </w:tcPr>
          <w:p w14:paraId="3400A44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Cieľ</w:t>
            </w:r>
          </w:p>
        </w:tc>
        <w:tc>
          <w:tcPr>
            <w:tcW w:w="1340" w:type="dxa"/>
            <w:tcBorders>
              <w:top w:val="single" w:sz="4" w:space="0" w:color="auto"/>
              <w:left w:val="nil"/>
              <w:bottom w:val="single" w:sz="4" w:space="0" w:color="auto"/>
              <w:right w:val="single" w:sz="4" w:space="0" w:color="auto"/>
            </w:tcBorders>
            <w:shd w:val="clear" w:color="auto" w:fill="C6EFCE"/>
            <w:noWrap/>
          </w:tcPr>
          <w:p w14:paraId="17ABB966" w14:textId="4904EFC1"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586,4 milióna EUR</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finančných prostriedkov finančných inštitúcií podpísaných</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konečnými príjemcami</w:t>
            </w:r>
          </w:p>
        </w:tc>
        <w:tc>
          <w:tcPr>
            <w:tcW w:w="1660" w:type="dxa"/>
            <w:tcBorders>
              <w:top w:val="single" w:sz="4" w:space="0" w:color="auto"/>
              <w:left w:val="nil"/>
              <w:bottom w:val="single" w:sz="4" w:space="0" w:color="auto"/>
              <w:right w:val="single" w:sz="4" w:space="0" w:color="auto"/>
            </w:tcBorders>
            <w:shd w:val="clear" w:color="auto" w:fill="C6EFCE"/>
            <w:noWrap/>
          </w:tcPr>
          <w:p w14:paraId="31F443F7"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80" w:type="dxa"/>
            <w:tcBorders>
              <w:top w:val="single" w:sz="4" w:space="0" w:color="auto"/>
              <w:left w:val="nil"/>
              <w:bottom w:val="single" w:sz="4" w:space="0" w:color="auto"/>
              <w:right w:val="single" w:sz="4" w:space="0" w:color="auto"/>
            </w:tcBorders>
            <w:shd w:val="clear" w:color="auto" w:fill="C6EFCE"/>
            <w:noWrap/>
          </w:tcPr>
          <w:p w14:paraId="02E0204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Percentuálny podiel podpísaných finančných prostriedkov</w:t>
            </w:r>
          </w:p>
        </w:tc>
        <w:tc>
          <w:tcPr>
            <w:tcW w:w="1080" w:type="dxa"/>
            <w:tcBorders>
              <w:top w:val="single" w:sz="4" w:space="0" w:color="auto"/>
              <w:left w:val="nil"/>
              <w:bottom w:val="single" w:sz="4" w:space="0" w:color="auto"/>
              <w:right w:val="single" w:sz="4" w:space="0" w:color="auto"/>
            </w:tcBorders>
            <w:shd w:val="clear" w:color="auto" w:fill="C6EFCE"/>
            <w:noWrap/>
          </w:tcPr>
          <w:p w14:paraId="6B4299C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0</w:t>
            </w:r>
          </w:p>
        </w:tc>
        <w:tc>
          <w:tcPr>
            <w:tcW w:w="840" w:type="dxa"/>
            <w:tcBorders>
              <w:top w:val="single" w:sz="4" w:space="0" w:color="auto"/>
              <w:left w:val="nil"/>
              <w:bottom w:val="single" w:sz="4" w:space="0" w:color="auto"/>
              <w:right w:val="single" w:sz="4" w:space="0" w:color="auto"/>
            </w:tcBorders>
            <w:shd w:val="clear" w:color="auto" w:fill="C6EFCE"/>
            <w:noWrap/>
          </w:tcPr>
          <w:p w14:paraId="7511852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5</w:t>
            </w:r>
          </w:p>
        </w:tc>
        <w:tc>
          <w:tcPr>
            <w:tcW w:w="960" w:type="dxa"/>
            <w:tcBorders>
              <w:top w:val="single" w:sz="4" w:space="0" w:color="auto"/>
              <w:left w:val="nil"/>
              <w:bottom w:val="single" w:sz="4" w:space="0" w:color="auto"/>
              <w:right w:val="single" w:sz="4" w:space="0" w:color="auto"/>
            </w:tcBorders>
            <w:shd w:val="clear" w:color="auto" w:fill="C6EFCE"/>
            <w:noWrap/>
          </w:tcPr>
          <w:p w14:paraId="3C2D829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840" w:type="dxa"/>
            <w:tcBorders>
              <w:top w:val="single" w:sz="4" w:space="0" w:color="auto"/>
              <w:left w:val="nil"/>
              <w:bottom w:val="single" w:sz="4" w:space="0" w:color="auto"/>
              <w:right w:val="single" w:sz="4" w:space="0" w:color="auto"/>
            </w:tcBorders>
            <w:shd w:val="clear" w:color="auto" w:fill="C6EFCE"/>
            <w:noWrap/>
          </w:tcPr>
          <w:p w14:paraId="38F7532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2022</w:t>
            </w:r>
          </w:p>
        </w:tc>
        <w:tc>
          <w:tcPr>
            <w:tcW w:w="4608" w:type="dxa"/>
            <w:tcBorders>
              <w:top w:val="single" w:sz="4" w:space="0" w:color="auto"/>
              <w:left w:val="nil"/>
              <w:bottom w:val="single" w:sz="4" w:space="0" w:color="auto"/>
              <w:right w:val="single" w:sz="4" w:space="0" w:color="auto"/>
            </w:tcBorders>
            <w:shd w:val="clear" w:color="auto" w:fill="C6EFCE"/>
            <w:noWrap/>
          </w:tcPr>
          <w:p w14:paraId="033D4AB9" w14:textId="2A24BCE4"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S konečnými </w:t>
            </w:r>
            <w:r w:rsidRPr="00083739">
              <w:rPr>
                <w:rFonts w:ascii="Times New Roman" w:hAnsi="Times New Roman" w:cs="Times New Roman"/>
                <w:noProof/>
                <w:lang w:val="sk-SK"/>
              </w:rPr>
              <w:t>príjemcami bolo podpísaných 586,4 mil. EUR (vrátane poplatkov za riadenie)</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úverových nástrojov Mechanizmu na podporu obnovy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odolnosti súvisiacich</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medzinárodnými finančnými inštitúciami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komerčnými bankami</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súlade</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mandátom vymedzeným</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míľniku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 tom, ako nezávislí audítori overia ex ante súlad</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kritériami riadenia, výberu, monitorovania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auditu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rozdelenia strát, technickými usmerneniami Do No Significant Harm Technical Guidance (2021/C58/01)</w:t>
            </w:r>
            <w:r w:rsidR="00083739" w:rsidRPr="00083739">
              <w:rPr>
                <w:rFonts w:ascii="Times New Roman" w:hAnsi="Times New Roman" w:cs="Times New Roman"/>
                <w:noProof/>
                <w:lang w:val="sk-SK"/>
              </w:rPr>
              <w:t xml:space="preserve"> a s </w:t>
            </w:r>
            <w:r w:rsidRPr="00083739">
              <w:rPr>
                <w:rFonts w:ascii="Times New Roman" w:hAnsi="Times New Roman" w:cs="Times New Roman"/>
                <w:noProof/>
                <w:lang w:val="sk-SK"/>
              </w:rPr>
              <w:t>cieľom</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klímy na úrovni 38,5</w:t>
            </w:r>
            <w:r w:rsidR="00083739" w:rsidRPr="00083739">
              <w:rPr>
                <w:rFonts w:ascii="Times New Roman" w:hAnsi="Times New Roman" w:cs="Times New Roman"/>
                <w:noProof/>
                <w:lang w:val="sk-SK"/>
              </w:rPr>
              <w:t> % a </w:t>
            </w:r>
            <w:r w:rsidRPr="00083739">
              <w:rPr>
                <w:rFonts w:ascii="Times New Roman" w:hAnsi="Times New Roman" w:cs="Times New Roman"/>
                <w:noProof/>
                <w:lang w:val="sk-SK"/>
              </w:rPr>
              <w:t>dig</w:t>
            </w:r>
            <w:r w:rsidRPr="00083739">
              <w:rPr>
                <w:rFonts w:ascii="Times New Roman" w:hAnsi="Times New Roman" w:cs="Times New Roman"/>
                <w:noProof/>
                <w:lang w:val="sk-SK"/>
              </w:rPr>
              <w:t>itálnym cieľom na úrovni 20,8</w:t>
            </w:r>
            <w:r w:rsidR="00083739" w:rsidRPr="00083739">
              <w:rPr>
                <w:rFonts w:ascii="Times New Roman" w:hAnsi="Times New Roman" w:cs="Times New Roman"/>
                <w:noProof/>
                <w:lang w:val="sk-SK"/>
              </w:rPr>
              <w:t> %</w:t>
            </w:r>
            <w:r w:rsidRPr="00083739">
              <w:rPr>
                <w:rFonts w:ascii="Times New Roman" w:hAnsi="Times New Roman" w:cs="Times New Roman"/>
                <w:noProof/>
                <w:lang w:val="sk-SK"/>
              </w:rPr>
              <w:t>.</w:t>
            </w:r>
          </w:p>
        </w:tc>
      </w:tr>
      <w:tr w:rsidR="002D49B0" w:rsidRPr="00083739" w14:paraId="6B5ED77C" w14:textId="77777777">
        <w:trPr>
          <w:trHeight w:val="314"/>
          <w:jc w:val="center"/>
        </w:trPr>
        <w:tc>
          <w:tcPr>
            <w:tcW w:w="846" w:type="dxa"/>
            <w:tcBorders>
              <w:top w:val="single" w:sz="4" w:space="0" w:color="auto"/>
              <w:left w:val="single" w:sz="4" w:space="0" w:color="auto"/>
              <w:bottom w:val="single" w:sz="4" w:space="0" w:color="auto"/>
              <w:right w:val="single" w:sz="4" w:space="0" w:color="auto"/>
            </w:tcBorders>
            <w:shd w:val="clear" w:color="auto" w:fill="C6EFCE"/>
            <w:noWrap/>
          </w:tcPr>
          <w:p w14:paraId="78C4EB13" w14:textId="77777777" w:rsidR="002D49B0" w:rsidRPr="00083739" w:rsidRDefault="00BF4125">
            <w:pPr>
              <w:pStyle w:val="P68B1DB1-Normal9"/>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325</w:t>
            </w:r>
          </w:p>
        </w:tc>
        <w:tc>
          <w:tcPr>
            <w:tcW w:w="1429" w:type="dxa"/>
            <w:tcBorders>
              <w:top w:val="single" w:sz="4" w:space="0" w:color="auto"/>
              <w:left w:val="nil"/>
              <w:bottom w:val="single" w:sz="4" w:space="0" w:color="auto"/>
              <w:right w:val="single" w:sz="4" w:space="0" w:color="auto"/>
            </w:tcBorders>
            <w:shd w:val="clear" w:color="auto" w:fill="C6EFCE"/>
            <w:noWrap/>
          </w:tcPr>
          <w:p w14:paraId="357B2E97" w14:textId="308023D5" w:rsidR="002D49B0" w:rsidRPr="00083739" w:rsidRDefault="00BF4125">
            <w:pPr>
              <w:pStyle w:val="P68B1DB1-Normal9"/>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4.7. Zlepšiť konkurencieschopnosť</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podporiť súkromné investície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vývoz – úverový nástroj 16980_RRP</w:t>
            </w:r>
          </w:p>
        </w:tc>
        <w:tc>
          <w:tcPr>
            <w:tcW w:w="1200" w:type="dxa"/>
            <w:tcBorders>
              <w:top w:val="single" w:sz="4" w:space="0" w:color="auto"/>
              <w:left w:val="nil"/>
              <w:bottom w:val="single" w:sz="4" w:space="0" w:color="auto"/>
              <w:right w:val="single" w:sz="4" w:space="0" w:color="auto"/>
            </w:tcBorders>
            <w:shd w:val="clear" w:color="auto" w:fill="C6EFCE"/>
            <w:noWrap/>
          </w:tcPr>
          <w:p w14:paraId="51B725E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Cieľ</w:t>
            </w:r>
          </w:p>
        </w:tc>
        <w:tc>
          <w:tcPr>
            <w:tcW w:w="1340" w:type="dxa"/>
            <w:tcBorders>
              <w:top w:val="single" w:sz="4" w:space="0" w:color="auto"/>
              <w:left w:val="nil"/>
              <w:bottom w:val="single" w:sz="4" w:space="0" w:color="auto"/>
              <w:right w:val="single" w:sz="4" w:space="0" w:color="auto"/>
            </w:tcBorders>
            <w:shd w:val="clear" w:color="auto" w:fill="C6EFCE"/>
            <w:noWrap/>
          </w:tcPr>
          <w:p w14:paraId="7A3600F5" w14:textId="2588F495" w:rsidR="002D49B0" w:rsidRPr="00083739" w:rsidRDefault="00BF4125">
            <w:pPr>
              <w:pStyle w:val="P68B1DB1-Normal45"/>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Finančné prostriedky finančných inštitúcií vo výške 3518.4 mil. EUR podpísané</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konečnými príjemcami</w:t>
            </w:r>
          </w:p>
        </w:tc>
        <w:tc>
          <w:tcPr>
            <w:tcW w:w="1660" w:type="dxa"/>
            <w:tcBorders>
              <w:top w:val="single" w:sz="4" w:space="0" w:color="auto"/>
              <w:left w:val="nil"/>
              <w:bottom w:val="single" w:sz="4" w:space="0" w:color="auto"/>
              <w:right w:val="single" w:sz="4" w:space="0" w:color="auto"/>
            </w:tcBorders>
            <w:shd w:val="clear" w:color="auto" w:fill="C6EFCE"/>
            <w:noWrap/>
          </w:tcPr>
          <w:p w14:paraId="04CFA261"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80" w:type="dxa"/>
            <w:tcBorders>
              <w:top w:val="single" w:sz="4" w:space="0" w:color="auto"/>
              <w:left w:val="nil"/>
              <w:bottom w:val="single" w:sz="4" w:space="0" w:color="auto"/>
              <w:right w:val="single" w:sz="4" w:space="0" w:color="auto"/>
            </w:tcBorders>
            <w:shd w:val="clear" w:color="auto" w:fill="C6EFCE"/>
            <w:noWrap/>
          </w:tcPr>
          <w:p w14:paraId="2C9521F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Percentuálny podiel podpísaných finančných prostriedkov</w:t>
            </w:r>
          </w:p>
        </w:tc>
        <w:tc>
          <w:tcPr>
            <w:tcW w:w="1080" w:type="dxa"/>
            <w:tcBorders>
              <w:top w:val="single" w:sz="4" w:space="0" w:color="auto"/>
              <w:left w:val="nil"/>
              <w:bottom w:val="single" w:sz="4" w:space="0" w:color="auto"/>
              <w:right w:val="single" w:sz="4" w:space="0" w:color="auto"/>
            </w:tcBorders>
            <w:shd w:val="clear" w:color="auto" w:fill="C6EFCE"/>
            <w:noWrap/>
          </w:tcPr>
          <w:p w14:paraId="704468C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5</w:t>
            </w:r>
          </w:p>
        </w:tc>
        <w:tc>
          <w:tcPr>
            <w:tcW w:w="840" w:type="dxa"/>
            <w:tcBorders>
              <w:top w:val="single" w:sz="4" w:space="0" w:color="auto"/>
              <w:left w:val="nil"/>
              <w:bottom w:val="single" w:sz="4" w:space="0" w:color="auto"/>
              <w:right w:val="single" w:sz="4" w:space="0" w:color="auto"/>
            </w:tcBorders>
            <w:shd w:val="clear" w:color="auto" w:fill="C6EFCE"/>
            <w:noWrap/>
          </w:tcPr>
          <w:p w14:paraId="0B73892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30</w:t>
            </w:r>
          </w:p>
        </w:tc>
        <w:tc>
          <w:tcPr>
            <w:tcW w:w="960" w:type="dxa"/>
            <w:tcBorders>
              <w:top w:val="single" w:sz="4" w:space="0" w:color="auto"/>
              <w:left w:val="nil"/>
              <w:bottom w:val="single" w:sz="4" w:space="0" w:color="auto"/>
              <w:right w:val="single" w:sz="4" w:space="0" w:color="auto"/>
            </w:tcBorders>
            <w:shd w:val="clear" w:color="auto" w:fill="C6EFCE"/>
            <w:noWrap/>
          </w:tcPr>
          <w:p w14:paraId="6A61A3A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840" w:type="dxa"/>
            <w:tcBorders>
              <w:top w:val="single" w:sz="4" w:space="0" w:color="auto"/>
              <w:left w:val="nil"/>
              <w:bottom w:val="single" w:sz="4" w:space="0" w:color="auto"/>
              <w:right w:val="single" w:sz="4" w:space="0" w:color="auto"/>
            </w:tcBorders>
            <w:shd w:val="clear" w:color="auto" w:fill="C6EFCE"/>
            <w:noWrap/>
          </w:tcPr>
          <w:p w14:paraId="3ED08C5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2023</w:t>
            </w:r>
          </w:p>
        </w:tc>
        <w:tc>
          <w:tcPr>
            <w:tcW w:w="4608" w:type="dxa"/>
            <w:tcBorders>
              <w:top w:val="single" w:sz="4" w:space="0" w:color="auto"/>
              <w:left w:val="nil"/>
              <w:bottom w:val="single" w:sz="4" w:space="0" w:color="auto"/>
              <w:right w:val="single" w:sz="4" w:space="0" w:color="auto"/>
            </w:tcBorders>
            <w:shd w:val="clear" w:color="auto" w:fill="C6EFCE"/>
            <w:noWrap/>
          </w:tcPr>
          <w:p w14:paraId="61A3FE47" w14:textId="08F80672" w:rsidR="002D49B0" w:rsidRPr="00083739" w:rsidRDefault="00BF4125">
            <w:pPr>
              <w:pStyle w:val="P68B1DB1-Normal45"/>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 konečnými príjemcami bolo podpísaných 3518.4 mil. EUR (vrátane poplatkov za riadenie)</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úverových nástrojov Mechanizmu na podporu obnovy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odolnosti súvisiacich</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medzinárodnými finančnými inštitúciami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komerčnými bankami</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súlade</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mandátom vymedzeným</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míľniku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 tom, ako nezávislí audítori overia ex ante súlad</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kritériami riadenia, výberu, monitorovania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auditu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rozdelenia strát, technickými usmerneniami Do</w:t>
            </w:r>
            <w:r w:rsidRPr="00083739">
              <w:rPr>
                <w:rFonts w:ascii="Times New Roman" w:hAnsi="Times New Roman" w:cs="Times New Roman"/>
                <w:noProof/>
                <w:lang w:val="sk-SK"/>
              </w:rPr>
              <w:t xml:space="preserve"> No Significant Harm Technical Guidance (2021/C58/01)</w:t>
            </w:r>
            <w:r w:rsidR="00083739" w:rsidRPr="00083739">
              <w:rPr>
                <w:rFonts w:ascii="Times New Roman" w:hAnsi="Times New Roman" w:cs="Times New Roman"/>
                <w:noProof/>
                <w:lang w:val="sk-SK"/>
              </w:rPr>
              <w:t xml:space="preserve"> a s </w:t>
            </w:r>
            <w:r w:rsidRPr="00083739">
              <w:rPr>
                <w:rFonts w:ascii="Times New Roman" w:hAnsi="Times New Roman" w:cs="Times New Roman"/>
                <w:noProof/>
                <w:lang w:val="sk-SK"/>
              </w:rPr>
              <w:t>cieľom</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klímy na úrovni 38,5</w:t>
            </w:r>
            <w:r w:rsidR="00083739" w:rsidRPr="00083739">
              <w:rPr>
                <w:rFonts w:ascii="Times New Roman" w:hAnsi="Times New Roman" w:cs="Times New Roman"/>
                <w:noProof/>
                <w:lang w:val="sk-SK"/>
              </w:rPr>
              <w:t> % a </w:t>
            </w:r>
            <w:r w:rsidRPr="00083739">
              <w:rPr>
                <w:rFonts w:ascii="Times New Roman" w:hAnsi="Times New Roman" w:cs="Times New Roman"/>
                <w:noProof/>
                <w:lang w:val="sk-SK"/>
              </w:rPr>
              <w:t>digitálnym cieľom 20,8</w:t>
            </w:r>
            <w:r w:rsidR="00083739" w:rsidRPr="00083739">
              <w:rPr>
                <w:rFonts w:ascii="Times New Roman" w:hAnsi="Times New Roman" w:cs="Times New Roman"/>
                <w:noProof/>
                <w:lang w:val="sk-SK"/>
              </w:rPr>
              <w:t> %</w:t>
            </w:r>
            <w:r w:rsidRPr="00083739">
              <w:rPr>
                <w:rFonts w:ascii="Times New Roman" w:hAnsi="Times New Roman" w:cs="Times New Roman"/>
                <w:noProof/>
                <w:lang w:val="sk-SK"/>
              </w:rPr>
              <w:t>.</w:t>
            </w:r>
          </w:p>
        </w:tc>
      </w:tr>
      <w:tr w:rsidR="002D49B0" w:rsidRPr="00083739" w14:paraId="7430F3D2" w14:textId="77777777">
        <w:trPr>
          <w:trHeight w:val="314"/>
          <w:jc w:val="center"/>
        </w:trPr>
        <w:tc>
          <w:tcPr>
            <w:tcW w:w="846" w:type="dxa"/>
            <w:tcBorders>
              <w:top w:val="single" w:sz="4" w:space="0" w:color="auto"/>
              <w:left w:val="single" w:sz="4" w:space="0" w:color="auto"/>
              <w:bottom w:val="single" w:sz="4" w:space="0" w:color="auto"/>
              <w:right w:val="single" w:sz="4" w:space="0" w:color="auto"/>
            </w:tcBorders>
            <w:shd w:val="clear" w:color="auto" w:fill="C6EFCE"/>
            <w:noWrap/>
          </w:tcPr>
          <w:p w14:paraId="307DAD41" w14:textId="77777777" w:rsidR="002D49B0" w:rsidRPr="00083739" w:rsidRDefault="00BF4125">
            <w:pPr>
              <w:pStyle w:val="P68B1DB1-Normal9"/>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325a</w:t>
            </w:r>
          </w:p>
        </w:tc>
        <w:tc>
          <w:tcPr>
            <w:tcW w:w="1429" w:type="dxa"/>
            <w:tcBorders>
              <w:top w:val="single" w:sz="4" w:space="0" w:color="auto"/>
              <w:left w:val="nil"/>
              <w:bottom w:val="single" w:sz="4" w:space="0" w:color="auto"/>
              <w:right w:val="single" w:sz="4" w:space="0" w:color="auto"/>
            </w:tcBorders>
            <w:shd w:val="clear" w:color="auto" w:fill="C6EFCE"/>
            <w:noWrap/>
          </w:tcPr>
          <w:p w14:paraId="606C5E2B" w14:textId="6C7236C4"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4.7. Zlepšiť konkurencieschopnosť</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podporiť súkromné investície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vývoz – úverový nástroj 16980_RRP</w:t>
            </w:r>
          </w:p>
        </w:tc>
        <w:tc>
          <w:tcPr>
            <w:tcW w:w="1200" w:type="dxa"/>
            <w:tcBorders>
              <w:top w:val="single" w:sz="4" w:space="0" w:color="auto"/>
              <w:left w:val="nil"/>
              <w:bottom w:val="single" w:sz="4" w:space="0" w:color="auto"/>
              <w:right w:val="single" w:sz="4" w:space="0" w:color="auto"/>
            </w:tcBorders>
            <w:shd w:val="clear" w:color="auto" w:fill="C6EFCE"/>
            <w:noWrap/>
          </w:tcPr>
          <w:p w14:paraId="3865835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Cieľ</w:t>
            </w:r>
          </w:p>
        </w:tc>
        <w:tc>
          <w:tcPr>
            <w:tcW w:w="1340" w:type="dxa"/>
            <w:tcBorders>
              <w:top w:val="single" w:sz="4" w:space="0" w:color="auto"/>
              <w:left w:val="nil"/>
              <w:bottom w:val="single" w:sz="4" w:space="0" w:color="auto"/>
              <w:right w:val="single" w:sz="4" w:space="0" w:color="auto"/>
            </w:tcBorders>
            <w:shd w:val="clear" w:color="auto" w:fill="C6EFCE"/>
            <w:noWrap/>
          </w:tcPr>
          <w:p w14:paraId="296D8EA2" w14:textId="0FA2786C" w:rsidR="002D49B0" w:rsidRPr="00083739" w:rsidRDefault="00BF4125">
            <w:pPr>
              <w:pStyle w:val="P68B1DB1-Normal45"/>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Finančné </w:t>
            </w:r>
            <w:r w:rsidRPr="00083739">
              <w:rPr>
                <w:rFonts w:ascii="Times New Roman" w:hAnsi="Times New Roman" w:cs="Times New Roman"/>
                <w:noProof/>
                <w:lang w:val="sk-SK"/>
              </w:rPr>
              <w:t>prostriedky finančných inštitúcií vo výške 4518.4 mil. EUR podpísané</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konečnými príjemcami</w:t>
            </w:r>
          </w:p>
        </w:tc>
        <w:tc>
          <w:tcPr>
            <w:tcW w:w="1660" w:type="dxa"/>
            <w:tcBorders>
              <w:top w:val="single" w:sz="4" w:space="0" w:color="auto"/>
              <w:left w:val="nil"/>
              <w:bottom w:val="single" w:sz="4" w:space="0" w:color="auto"/>
              <w:right w:val="single" w:sz="4" w:space="0" w:color="auto"/>
            </w:tcBorders>
            <w:shd w:val="clear" w:color="auto" w:fill="C6EFCE"/>
            <w:noWrap/>
          </w:tcPr>
          <w:p w14:paraId="6B059C63"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80" w:type="dxa"/>
            <w:tcBorders>
              <w:top w:val="single" w:sz="4" w:space="0" w:color="auto"/>
              <w:left w:val="nil"/>
              <w:bottom w:val="single" w:sz="4" w:space="0" w:color="auto"/>
              <w:right w:val="single" w:sz="4" w:space="0" w:color="auto"/>
            </w:tcBorders>
            <w:shd w:val="clear" w:color="auto" w:fill="C6EFCE"/>
            <w:noWrap/>
          </w:tcPr>
          <w:p w14:paraId="514D835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Suma (v EUR) podpísaných finančných prostriedkov</w:t>
            </w:r>
          </w:p>
        </w:tc>
        <w:tc>
          <w:tcPr>
            <w:tcW w:w="1080" w:type="dxa"/>
            <w:tcBorders>
              <w:top w:val="single" w:sz="4" w:space="0" w:color="auto"/>
              <w:left w:val="nil"/>
              <w:bottom w:val="single" w:sz="4" w:space="0" w:color="auto"/>
              <w:right w:val="single" w:sz="4" w:space="0" w:color="auto"/>
            </w:tcBorders>
            <w:shd w:val="clear" w:color="auto" w:fill="C6EFCE"/>
            <w:noWrap/>
          </w:tcPr>
          <w:p w14:paraId="25B57B4D" w14:textId="2AA4E4E9" w:rsidR="002D49B0" w:rsidRPr="00083739" w:rsidRDefault="00BF4125">
            <w:pPr>
              <w:pStyle w:val="P68B1DB1-Normal45"/>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3 518.4</w:t>
            </w:r>
          </w:p>
        </w:tc>
        <w:tc>
          <w:tcPr>
            <w:tcW w:w="840" w:type="dxa"/>
            <w:tcBorders>
              <w:top w:val="single" w:sz="4" w:space="0" w:color="auto"/>
              <w:left w:val="nil"/>
              <w:bottom w:val="single" w:sz="4" w:space="0" w:color="auto"/>
              <w:right w:val="single" w:sz="4" w:space="0" w:color="auto"/>
            </w:tcBorders>
            <w:shd w:val="clear" w:color="auto" w:fill="C6EFCE"/>
            <w:noWrap/>
          </w:tcPr>
          <w:p w14:paraId="3E47FDC2" w14:textId="6600A2DB" w:rsidR="002D49B0" w:rsidRPr="00083739" w:rsidRDefault="00BF4125">
            <w:pPr>
              <w:pStyle w:val="P68B1DB1-Normal45"/>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4 518.4</w:t>
            </w:r>
          </w:p>
        </w:tc>
        <w:tc>
          <w:tcPr>
            <w:tcW w:w="960" w:type="dxa"/>
            <w:tcBorders>
              <w:top w:val="single" w:sz="4" w:space="0" w:color="auto"/>
              <w:left w:val="nil"/>
              <w:bottom w:val="single" w:sz="4" w:space="0" w:color="auto"/>
              <w:right w:val="single" w:sz="4" w:space="0" w:color="auto"/>
            </w:tcBorders>
            <w:shd w:val="clear" w:color="auto" w:fill="C6EFCE"/>
            <w:noWrap/>
          </w:tcPr>
          <w:p w14:paraId="6ADECB9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840" w:type="dxa"/>
            <w:tcBorders>
              <w:top w:val="single" w:sz="4" w:space="0" w:color="auto"/>
              <w:left w:val="nil"/>
              <w:bottom w:val="single" w:sz="4" w:space="0" w:color="auto"/>
              <w:right w:val="single" w:sz="4" w:space="0" w:color="auto"/>
            </w:tcBorders>
            <w:shd w:val="clear" w:color="auto" w:fill="C6EFCE"/>
            <w:noWrap/>
          </w:tcPr>
          <w:p w14:paraId="0034A6E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2024</w:t>
            </w:r>
          </w:p>
        </w:tc>
        <w:tc>
          <w:tcPr>
            <w:tcW w:w="4608" w:type="dxa"/>
            <w:tcBorders>
              <w:top w:val="single" w:sz="4" w:space="0" w:color="auto"/>
              <w:left w:val="nil"/>
              <w:bottom w:val="single" w:sz="4" w:space="0" w:color="auto"/>
              <w:right w:val="single" w:sz="4" w:space="0" w:color="auto"/>
            </w:tcBorders>
            <w:shd w:val="clear" w:color="auto" w:fill="C6EFCE"/>
            <w:noWrap/>
          </w:tcPr>
          <w:p w14:paraId="7EF410AF" w14:textId="442765F7" w:rsidR="002D49B0" w:rsidRPr="00083739" w:rsidRDefault="00BF4125">
            <w:pPr>
              <w:pStyle w:val="P68B1DB1-Normal45"/>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S konečnými príjemcami bolo podpísaných 4518.4 mil. EUR (vrátane poplatkov za </w:t>
            </w:r>
            <w:r w:rsidRPr="00083739">
              <w:rPr>
                <w:rFonts w:ascii="Times New Roman" w:hAnsi="Times New Roman" w:cs="Times New Roman"/>
                <w:noProof/>
                <w:lang w:val="sk-SK"/>
              </w:rPr>
              <w:t>riadenie)</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úverových nástrojov Mechanizmu na podporu obnovy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odolnosti súvisiacich</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medzinárodnými finančnými inštitúciami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komerčnými bankami</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súlade</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mandátom vymedzeným</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míľniku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 tom, ako nezávislí audítori overia ex ante súlad</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kritériami r</w:t>
            </w:r>
            <w:r w:rsidRPr="00083739">
              <w:rPr>
                <w:rFonts w:ascii="Times New Roman" w:hAnsi="Times New Roman" w:cs="Times New Roman"/>
                <w:noProof/>
                <w:lang w:val="sk-SK"/>
              </w:rPr>
              <w:t>iadenia, výberu, monitorovania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auditu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rozdelenia strát, technické usmernenie Do No Significant Harm Technical Guidance (2021/C58/01)</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príspevok</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cieľu</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klímy vo výške 38,5</w:t>
            </w:r>
            <w:r w:rsidR="00083739" w:rsidRPr="00083739">
              <w:rPr>
                <w:rFonts w:ascii="Times New Roman" w:hAnsi="Times New Roman" w:cs="Times New Roman"/>
                <w:noProof/>
                <w:lang w:val="sk-SK"/>
              </w:rPr>
              <w:t> % a </w:t>
            </w:r>
            <w:r w:rsidRPr="00083739">
              <w:rPr>
                <w:rFonts w:ascii="Times New Roman" w:hAnsi="Times New Roman" w:cs="Times New Roman"/>
                <w:noProof/>
                <w:lang w:val="sk-SK"/>
              </w:rPr>
              <w:t>digitálnemu cieľu 20,8</w:t>
            </w:r>
            <w:r w:rsidR="00083739" w:rsidRPr="00083739">
              <w:rPr>
                <w:rFonts w:ascii="Times New Roman" w:hAnsi="Times New Roman" w:cs="Times New Roman"/>
                <w:noProof/>
                <w:lang w:val="sk-SK"/>
              </w:rPr>
              <w:t> %</w:t>
            </w:r>
            <w:r w:rsidRPr="00083739">
              <w:rPr>
                <w:rFonts w:ascii="Times New Roman" w:hAnsi="Times New Roman" w:cs="Times New Roman"/>
                <w:noProof/>
                <w:lang w:val="sk-SK"/>
              </w:rPr>
              <w:t>.</w:t>
            </w:r>
          </w:p>
        </w:tc>
      </w:tr>
      <w:tr w:rsidR="002D49B0" w:rsidRPr="00083739" w14:paraId="3FD79C41" w14:textId="77777777">
        <w:trPr>
          <w:trHeight w:val="314"/>
          <w:jc w:val="center"/>
        </w:trPr>
        <w:tc>
          <w:tcPr>
            <w:tcW w:w="846" w:type="dxa"/>
            <w:tcBorders>
              <w:top w:val="single" w:sz="4" w:space="0" w:color="auto"/>
              <w:left w:val="single" w:sz="4" w:space="0" w:color="auto"/>
              <w:bottom w:val="single" w:sz="4" w:space="0" w:color="auto"/>
              <w:right w:val="single" w:sz="4" w:space="0" w:color="auto"/>
            </w:tcBorders>
            <w:shd w:val="clear" w:color="auto" w:fill="C6EFCE"/>
            <w:noWrap/>
          </w:tcPr>
          <w:p w14:paraId="1506BD3F" w14:textId="77777777" w:rsidR="002D49B0" w:rsidRPr="00083739" w:rsidRDefault="00BF4125">
            <w:pPr>
              <w:pStyle w:val="P68B1DB1-Normal9"/>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326</w:t>
            </w:r>
          </w:p>
        </w:tc>
        <w:tc>
          <w:tcPr>
            <w:tcW w:w="1429" w:type="dxa"/>
            <w:tcBorders>
              <w:top w:val="single" w:sz="4" w:space="0" w:color="auto"/>
              <w:left w:val="nil"/>
              <w:bottom w:val="single" w:sz="4" w:space="0" w:color="auto"/>
              <w:right w:val="single" w:sz="4" w:space="0" w:color="auto"/>
            </w:tcBorders>
            <w:shd w:val="clear" w:color="auto" w:fill="C6EFCE"/>
            <w:noWrap/>
          </w:tcPr>
          <w:p w14:paraId="3E96DA67" w14:textId="2CAA8095"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4.7. Zlepšiť konkurencieschopnosť</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podporiť súkromné investície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vývoz – úverový nástroj 16980_RRP</w:t>
            </w:r>
          </w:p>
        </w:tc>
        <w:tc>
          <w:tcPr>
            <w:tcW w:w="1200" w:type="dxa"/>
            <w:tcBorders>
              <w:top w:val="single" w:sz="4" w:space="0" w:color="auto"/>
              <w:left w:val="nil"/>
              <w:bottom w:val="single" w:sz="4" w:space="0" w:color="auto"/>
              <w:right w:val="single" w:sz="4" w:space="0" w:color="auto"/>
            </w:tcBorders>
            <w:shd w:val="clear" w:color="auto" w:fill="C6EFCE"/>
            <w:noWrap/>
          </w:tcPr>
          <w:p w14:paraId="3C4563F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Cieľ</w:t>
            </w:r>
          </w:p>
        </w:tc>
        <w:tc>
          <w:tcPr>
            <w:tcW w:w="1340" w:type="dxa"/>
            <w:tcBorders>
              <w:top w:val="single" w:sz="4" w:space="0" w:color="auto"/>
              <w:left w:val="nil"/>
              <w:bottom w:val="single" w:sz="4" w:space="0" w:color="auto"/>
              <w:right w:val="single" w:sz="4" w:space="0" w:color="auto"/>
            </w:tcBorders>
            <w:shd w:val="clear" w:color="auto" w:fill="C6EFCE"/>
            <w:noWrap/>
          </w:tcPr>
          <w:p w14:paraId="4D186CDE" w14:textId="52FE022A" w:rsidR="002D49B0" w:rsidRPr="00083739" w:rsidRDefault="00BF4125">
            <w:pPr>
              <w:pStyle w:val="P68B1DB1-Normal45"/>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7064 mil. EUR finančných prostriedkov finančných inštitúcií podpísaných</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konečnými príjemcami</w:t>
            </w:r>
          </w:p>
        </w:tc>
        <w:tc>
          <w:tcPr>
            <w:tcW w:w="1660" w:type="dxa"/>
            <w:tcBorders>
              <w:top w:val="single" w:sz="4" w:space="0" w:color="auto"/>
              <w:left w:val="nil"/>
              <w:bottom w:val="single" w:sz="4" w:space="0" w:color="auto"/>
              <w:right w:val="single" w:sz="4" w:space="0" w:color="auto"/>
            </w:tcBorders>
            <w:shd w:val="clear" w:color="auto" w:fill="C6EFCE"/>
            <w:noWrap/>
          </w:tcPr>
          <w:p w14:paraId="3D1569B3"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80" w:type="dxa"/>
            <w:tcBorders>
              <w:top w:val="single" w:sz="4" w:space="0" w:color="auto"/>
              <w:left w:val="nil"/>
              <w:bottom w:val="single" w:sz="4" w:space="0" w:color="auto"/>
              <w:right w:val="single" w:sz="4" w:space="0" w:color="auto"/>
            </w:tcBorders>
            <w:shd w:val="clear" w:color="auto" w:fill="C6EFCE"/>
            <w:noWrap/>
          </w:tcPr>
          <w:p w14:paraId="7984C4D3" w14:textId="2FAFE22A"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 xml:space="preserve">Suma (v mil. eur) </w:t>
            </w:r>
          </w:p>
        </w:tc>
        <w:tc>
          <w:tcPr>
            <w:tcW w:w="1080" w:type="dxa"/>
            <w:tcBorders>
              <w:top w:val="single" w:sz="4" w:space="0" w:color="auto"/>
              <w:left w:val="nil"/>
              <w:bottom w:val="single" w:sz="4" w:space="0" w:color="auto"/>
              <w:right w:val="single" w:sz="4" w:space="0" w:color="auto"/>
            </w:tcBorders>
            <w:shd w:val="clear" w:color="auto" w:fill="C6EFCE"/>
            <w:noWrap/>
          </w:tcPr>
          <w:p w14:paraId="757FD9D2" w14:textId="2202DA03" w:rsidR="002D49B0" w:rsidRPr="00083739" w:rsidRDefault="00BF4125">
            <w:pPr>
              <w:pStyle w:val="P68B1DB1-Normal45"/>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4 518.4</w:t>
            </w:r>
          </w:p>
        </w:tc>
        <w:tc>
          <w:tcPr>
            <w:tcW w:w="840" w:type="dxa"/>
            <w:tcBorders>
              <w:top w:val="single" w:sz="4" w:space="0" w:color="auto"/>
              <w:left w:val="nil"/>
              <w:bottom w:val="single" w:sz="4" w:space="0" w:color="auto"/>
              <w:right w:val="single" w:sz="4" w:space="0" w:color="auto"/>
            </w:tcBorders>
            <w:shd w:val="clear" w:color="auto" w:fill="C6EFCE"/>
            <w:noWrap/>
          </w:tcPr>
          <w:p w14:paraId="44D44134" w14:textId="5A46271E" w:rsidR="002D49B0" w:rsidRPr="00083739" w:rsidRDefault="00BF4125">
            <w:pPr>
              <w:pStyle w:val="P68B1DB1-Normal45"/>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7 064</w:t>
            </w:r>
          </w:p>
        </w:tc>
        <w:tc>
          <w:tcPr>
            <w:tcW w:w="960" w:type="dxa"/>
            <w:tcBorders>
              <w:top w:val="single" w:sz="4" w:space="0" w:color="auto"/>
              <w:left w:val="nil"/>
              <w:bottom w:val="single" w:sz="4" w:space="0" w:color="auto"/>
              <w:right w:val="single" w:sz="4" w:space="0" w:color="auto"/>
            </w:tcBorders>
            <w:shd w:val="clear" w:color="auto" w:fill="C6EFCE"/>
            <w:noWrap/>
          </w:tcPr>
          <w:p w14:paraId="1DD641B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840" w:type="dxa"/>
            <w:tcBorders>
              <w:top w:val="single" w:sz="4" w:space="0" w:color="auto"/>
              <w:left w:val="nil"/>
              <w:bottom w:val="single" w:sz="4" w:space="0" w:color="auto"/>
              <w:right w:val="single" w:sz="4" w:space="0" w:color="auto"/>
            </w:tcBorders>
            <w:shd w:val="clear" w:color="auto" w:fill="C6EFCE"/>
            <w:noWrap/>
          </w:tcPr>
          <w:p w14:paraId="3FA4749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2024</w:t>
            </w:r>
          </w:p>
        </w:tc>
        <w:tc>
          <w:tcPr>
            <w:tcW w:w="4608" w:type="dxa"/>
            <w:tcBorders>
              <w:top w:val="single" w:sz="4" w:space="0" w:color="auto"/>
              <w:left w:val="nil"/>
              <w:bottom w:val="single" w:sz="4" w:space="0" w:color="auto"/>
              <w:right w:val="single" w:sz="4" w:space="0" w:color="auto"/>
            </w:tcBorders>
            <w:shd w:val="clear" w:color="auto" w:fill="C6EFCE"/>
            <w:noWrap/>
          </w:tcPr>
          <w:p w14:paraId="231A37B3" w14:textId="1D53505D"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szCs w:val="18"/>
                <w:lang w:val="sk-SK"/>
              </w:rPr>
              <w:t xml:space="preserve">S konečnými príjemcami bolo </w:t>
            </w:r>
            <w:r w:rsidRPr="00083739">
              <w:rPr>
                <w:rFonts w:ascii="Times New Roman" w:hAnsi="Times New Roman" w:cs="Times New Roman"/>
                <w:noProof/>
                <w:szCs w:val="18"/>
                <w:lang w:val="sk-SK"/>
              </w:rPr>
              <w:t>podpísaných 7064 mil. EUR (vrátane poplatkov za riadenie)</w:t>
            </w:r>
            <w:r w:rsidR="00083739" w:rsidRPr="00083739">
              <w:rPr>
                <w:rFonts w:ascii="Times New Roman" w:hAnsi="Times New Roman" w:cs="Times New Roman"/>
                <w:noProof/>
                <w:szCs w:val="18"/>
                <w:lang w:val="sk-SK"/>
              </w:rPr>
              <w:t xml:space="preserve"> z </w:t>
            </w:r>
            <w:r w:rsidRPr="00083739">
              <w:rPr>
                <w:rFonts w:ascii="Times New Roman" w:hAnsi="Times New Roman" w:cs="Times New Roman"/>
                <w:noProof/>
                <w:szCs w:val="18"/>
                <w:lang w:val="sk-SK"/>
              </w:rPr>
              <w:t>úverových nástrojov Mechanizmu na podporu obnovy</w:t>
            </w:r>
            <w:r w:rsidR="00083739" w:rsidRPr="00083739">
              <w:rPr>
                <w:rFonts w:ascii="Times New Roman" w:hAnsi="Times New Roman" w:cs="Times New Roman"/>
                <w:noProof/>
                <w:szCs w:val="18"/>
                <w:lang w:val="sk-SK"/>
              </w:rPr>
              <w:t xml:space="preserve"> a </w:t>
            </w:r>
            <w:r w:rsidRPr="00083739">
              <w:rPr>
                <w:rFonts w:ascii="Times New Roman" w:hAnsi="Times New Roman" w:cs="Times New Roman"/>
                <w:noProof/>
                <w:szCs w:val="18"/>
                <w:lang w:val="sk-SK"/>
              </w:rPr>
              <w:t>odolnosti súvisiacich</w:t>
            </w:r>
            <w:r w:rsidR="00083739" w:rsidRPr="00083739">
              <w:rPr>
                <w:rFonts w:ascii="Times New Roman" w:hAnsi="Times New Roman" w:cs="Times New Roman"/>
                <w:noProof/>
                <w:szCs w:val="18"/>
                <w:lang w:val="sk-SK"/>
              </w:rPr>
              <w:t xml:space="preserve"> s </w:t>
            </w:r>
            <w:r w:rsidRPr="00083739">
              <w:rPr>
                <w:rFonts w:ascii="Times New Roman" w:hAnsi="Times New Roman" w:cs="Times New Roman"/>
                <w:noProof/>
                <w:szCs w:val="18"/>
                <w:lang w:val="sk-SK"/>
              </w:rPr>
              <w:t>medzinárodnými finančnými inštitúciami</w:t>
            </w:r>
            <w:r w:rsidR="00083739" w:rsidRPr="00083739">
              <w:rPr>
                <w:rFonts w:ascii="Times New Roman" w:hAnsi="Times New Roman" w:cs="Times New Roman"/>
                <w:noProof/>
                <w:szCs w:val="18"/>
                <w:lang w:val="sk-SK"/>
              </w:rPr>
              <w:t xml:space="preserve"> a </w:t>
            </w:r>
            <w:r w:rsidRPr="00083739">
              <w:rPr>
                <w:rFonts w:ascii="Times New Roman" w:hAnsi="Times New Roman" w:cs="Times New Roman"/>
                <w:noProof/>
                <w:szCs w:val="18"/>
                <w:lang w:val="sk-SK"/>
              </w:rPr>
              <w:t>komerčnými bankami</w:t>
            </w:r>
            <w:r w:rsidR="00083739" w:rsidRPr="00083739">
              <w:rPr>
                <w:rFonts w:ascii="Times New Roman" w:hAnsi="Times New Roman" w:cs="Times New Roman"/>
                <w:noProof/>
                <w:szCs w:val="18"/>
                <w:lang w:val="sk-SK"/>
              </w:rPr>
              <w:t xml:space="preserve"> v </w:t>
            </w:r>
            <w:r w:rsidRPr="00083739">
              <w:rPr>
                <w:rFonts w:ascii="Times New Roman" w:hAnsi="Times New Roman" w:cs="Times New Roman"/>
                <w:noProof/>
                <w:szCs w:val="18"/>
                <w:lang w:val="sk-SK"/>
              </w:rPr>
              <w:t>súlade</w:t>
            </w:r>
            <w:r w:rsidR="00083739" w:rsidRPr="00083739">
              <w:rPr>
                <w:rFonts w:ascii="Times New Roman" w:hAnsi="Times New Roman" w:cs="Times New Roman"/>
                <w:noProof/>
                <w:szCs w:val="18"/>
                <w:lang w:val="sk-SK"/>
              </w:rPr>
              <w:t xml:space="preserve"> s </w:t>
            </w:r>
            <w:r w:rsidRPr="00083739">
              <w:rPr>
                <w:rFonts w:ascii="Times New Roman" w:hAnsi="Times New Roman" w:cs="Times New Roman"/>
                <w:noProof/>
                <w:szCs w:val="18"/>
                <w:lang w:val="sk-SK"/>
              </w:rPr>
              <w:t>mandátom vymedzeným</w:t>
            </w:r>
            <w:r w:rsidR="00083739" w:rsidRPr="00083739">
              <w:rPr>
                <w:rFonts w:ascii="Times New Roman" w:hAnsi="Times New Roman" w:cs="Times New Roman"/>
                <w:noProof/>
                <w:szCs w:val="18"/>
                <w:lang w:val="sk-SK"/>
              </w:rPr>
              <w:t xml:space="preserve"> v </w:t>
            </w:r>
            <w:r w:rsidRPr="00083739">
              <w:rPr>
                <w:rFonts w:ascii="Times New Roman" w:hAnsi="Times New Roman" w:cs="Times New Roman"/>
                <w:noProof/>
                <w:szCs w:val="18"/>
                <w:lang w:val="sk-SK"/>
              </w:rPr>
              <w:t>míľniku</w:t>
            </w:r>
            <w:r w:rsidR="00083739" w:rsidRPr="00083739">
              <w:rPr>
                <w:rFonts w:ascii="Times New Roman" w:hAnsi="Times New Roman" w:cs="Times New Roman"/>
                <w:noProof/>
                <w:szCs w:val="18"/>
                <w:lang w:val="sk-SK"/>
              </w:rPr>
              <w:t xml:space="preserve"> a </w:t>
            </w:r>
            <w:r w:rsidRPr="00083739">
              <w:rPr>
                <w:rFonts w:ascii="Times New Roman" w:hAnsi="Times New Roman" w:cs="Times New Roman"/>
                <w:noProof/>
                <w:szCs w:val="18"/>
                <w:lang w:val="sk-SK"/>
              </w:rPr>
              <w:t xml:space="preserve">po tom, ako </w:t>
            </w:r>
            <w:r w:rsidRPr="00083739">
              <w:rPr>
                <w:rFonts w:ascii="Times New Roman" w:hAnsi="Times New Roman" w:cs="Times New Roman"/>
                <w:noProof/>
                <w:szCs w:val="18"/>
                <w:lang w:val="sk-SK"/>
              </w:rPr>
              <w:t>nezávislí audítori overia ex ante súlad</w:t>
            </w:r>
            <w:r w:rsidR="00083739" w:rsidRPr="00083739">
              <w:rPr>
                <w:rFonts w:ascii="Times New Roman" w:hAnsi="Times New Roman" w:cs="Times New Roman"/>
                <w:noProof/>
                <w:szCs w:val="18"/>
                <w:lang w:val="sk-SK"/>
              </w:rPr>
              <w:t xml:space="preserve"> s </w:t>
            </w:r>
            <w:r w:rsidRPr="00083739">
              <w:rPr>
                <w:rFonts w:ascii="Times New Roman" w:hAnsi="Times New Roman" w:cs="Times New Roman"/>
                <w:noProof/>
                <w:szCs w:val="18"/>
                <w:lang w:val="sk-SK"/>
              </w:rPr>
              <w:t>kritériami riadenia, výberu, monitorovania</w:t>
            </w:r>
            <w:r w:rsidR="00083739" w:rsidRPr="00083739">
              <w:rPr>
                <w:rFonts w:ascii="Times New Roman" w:hAnsi="Times New Roman" w:cs="Times New Roman"/>
                <w:noProof/>
                <w:szCs w:val="18"/>
                <w:lang w:val="sk-SK"/>
              </w:rPr>
              <w:t xml:space="preserve"> a </w:t>
            </w:r>
            <w:r w:rsidRPr="00083739">
              <w:rPr>
                <w:rFonts w:ascii="Times New Roman" w:hAnsi="Times New Roman" w:cs="Times New Roman"/>
                <w:noProof/>
                <w:szCs w:val="18"/>
                <w:lang w:val="sk-SK"/>
              </w:rPr>
              <w:t>auditu</w:t>
            </w:r>
            <w:r w:rsidR="00083739" w:rsidRPr="00083739">
              <w:rPr>
                <w:rFonts w:ascii="Times New Roman" w:hAnsi="Times New Roman" w:cs="Times New Roman"/>
                <w:noProof/>
                <w:szCs w:val="18"/>
                <w:lang w:val="sk-SK"/>
              </w:rPr>
              <w:t xml:space="preserve"> a </w:t>
            </w:r>
            <w:r w:rsidRPr="00083739">
              <w:rPr>
                <w:rFonts w:ascii="Times New Roman" w:hAnsi="Times New Roman" w:cs="Times New Roman"/>
                <w:noProof/>
                <w:szCs w:val="18"/>
                <w:lang w:val="sk-SK"/>
              </w:rPr>
              <w:t>rozdelenia strát, technické usmernenie „nespôsobovať významnú škodu“ (2021/C58/01)</w:t>
            </w:r>
            <w:r w:rsidR="00083739" w:rsidRPr="00083739">
              <w:rPr>
                <w:rFonts w:ascii="Times New Roman" w:hAnsi="Times New Roman" w:cs="Times New Roman"/>
                <w:noProof/>
                <w:szCs w:val="18"/>
                <w:lang w:val="sk-SK"/>
              </w:rPr>
              <w:t xml:space="preserve"> a </w:t>
            </w:r>
            <w:r w:rsidRPr="00083739">
              <w:rPr>
                <w:rFonts w:ascii="Times New Roman" w:hAnsi="Times New Roman" w:cs="Times New Roman"/>
                <w:noProof/>
                <w:szCs w:val="18"/>
                <w:lang w:val="sk-SK"/>
              </w:rPr>
              <w:t>príspevok</w:t>
            </w:r>
            <w:r w:rsidR="00083739" w:rsidRPr="00083739">
              <w:rPr>
                <w:rFonts w:ascii="Times New Roman" w:hAnsi="Times New Roman" w:cs="Times New Roman"/>
                <w:noProof/>
                <w:szCs w:val="18"/>
                <w:lang w:val="sk-SK"/>
              </w:rPr>
              <w:t xml:space="preserve"> k </w:t>
            </w:r>
            <w:r w:rsidRPr="00083739">
              <w:rPr>
                <w:rFonts w:ascii="Times New Roman" w:hAnsi="Times New Roman" w:cs="Times New Roman"/>
                <w:noProof/>
                <w:szCs w:val="18"/>
                <w:lang w:val="sk-SK"/>
              </w:rPr>
              <w:t>cieľu</w:t>
            </w:r>
            <w:r w:rsidR="00083739" w:rsidRPr="00083739">
              <w:rPr>
                <w:rFonts w:ascii="Times New Roman" w:hAnsi="Times New Roman" w:cs="Times New Roman"/>
                <w:noProof/>
                <w:szCs w:val="18"/>
                <w:lang w:val="sk-SK"/>
              </w:rPr>
              <w:t xml:space="preserve"> v </w:t>
            </w:r>
            <w:r w:rsidRPr="00083739">
              <w:rPr>
                <w:rFonts w:ascii="Times New Roman" w:hAnsi="Times New Roman" w:cs="Times New Roman"/>
                <w:noProof/>
                <w:szCs w:val="18"/>
                <w:lang w:val="sk-SK"/>
              </w:rPr>
              <w:t>oblasti klímy vo</w:t>
            </w:r>
            <w:r w:rsidRPr="00083739">
              <w:rPr>
                <w:rFonts w:ascii="Times New Roman" w:hAnsi="Times New Roman" w:cs="Times New Roman"/>
                <w:noProof/>
                <w:lang w:val="sk-SK"/>
              </w:rPr>
              <w:t xml:space="preserve"> </w:t>
            </w:r>
            <w:r w:rsidRPr="00083739">
              <w:rPr>
                <w:rFonts w:ascii="Times New Roman" w:hAnsi="Times New Roman" w:cs="Times New Roman"/>
                <w:noProof/>
                <w:szCs w:val="18"/>
                <w:lang w:val="sk-SK"/>
              </w:rPr>
              <w:t>výške 41,5</w:t>
            </w:r>
            <w:r w:rsidR="00083739" w:rsidRPr="00083739">
              <w:rPr>
                <w:rFonts w:ascii="Times New Roman" w:hAnsi="Times New Roman" w:cs="Times New Roman"/>
                <w:noProof/>
                <w:szCs w:val="18"/>
                <w:lang w:val="sk-SK"/>
              </w:rPr>
              <w:t> % a </w:t>
            </w:r>
            <w:r w:rsidRPr="00083739">
              <w:rPr>
                <w:rFonts w:ascii="Times New Roman" w:hAnsi="Times New Roman" w:cs="Times New Roman"/>
                <w:noProof/>
                <w:szCs w:val="18"/>
                <w:lang w:val="sk-SK"/>
              </w:rPr>
              <w:t>digitálnemu cieľu vo vý</w:t>
            </w:r>
            <w:r w:rsidRPr="00083739">
              <w:rPr>
                <w:rFonts w:ascii="Times New Roman" w:hAnsi="Times New Roman" w:cs="Times New Roman"/>
                <w:noProof/>
                <w:szCs w:val="18"/>
                <w:lang w:val="sk-SK"/>
              </w:rPr>
              <w:t>ške 20,8</w:t>
            </w:r>
            <w:r w:rsidR="00083739" w:rsidRPr="00083739">
              <w:rPr>
                <w:rFonts w:ascii="Times New Roman" w:hAnsi="Times New Roman" w:cs="Times New Roman"/>
                <w:noProof/>
                <w:szCs w:val="18"/>
                <w:lang w:val="sk-SK"/>
              </w:rPr>
              <w:t> %</w:t>
            </w:r>
            <w:r w:rsidRPr="00083739">
              <w:rPr>
                <w:rFonts w:ascii="Times New Roman" w:hAnsi="Times New Roman" w:cs="Times New Roman"/>
                <w:noProof/>
                <w:szCs w:val="18"/>
                <w:lang w:val="sk-SK"/>
              </w:rPr>
              <w:t>.</w:t>
            </w:r>
          </w:p>
        </w:tc>
      </w:tr>
      <w:tr w:rsidR="002D49B0" w:rsidRPr="00083739" w14:paraId="391D602D" w14:textId="77777777">
        <w:trPr>
          <w:trHeight w:val="314"/>
          <w:jc w:val="center"/>
        </w:trPr>
        <w:tc>
          <w:tcPr>
            <w:tcW w:w="846" w:type="dxa"/>
            <w:tcBorders>
              <w:top w:val="single" w:sz="4" w:space="0" w:color="auto"/>
              <w:left w:val="single" w:sz="4" w:space="0" w:color="auto"/>
              <w:bottom w:val="single" w:sz="4" w:space="0" w:color="auto"/>
              <w:right w:val="single" w:sz="4" w:space="0" w:color="auto"/>
            </w:tcBorders>
            <w:shd w:val="clear" w:color="auto" w:fill="C6EFCE"/>
            <w:noWrap/>
          </w:tcPr>
          <w:p w14:paraId="4D92355E" w14:textId="77777777" w:rsidR="002D49B0" w:rsidRPr="00083739" w:rsidRDefault="00BF4125">
            <w:pPr>
              <w:pStyle w:val="P68B1DB1-Normal9"/>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326a</w:t>
            </w:r>
          </w:p>
        </w:tc>
        <w:tc>
          <w:tcPr>
            <w:tcW w:w="1429" w:type="dxa"/>
            <w:tcBorders>
              <w:top w:val="single" w:sz="4" w:space="0" w:color="auto"/>
              <w:left w:val="nil"/>
              <w:bottom w:val="single" w:sz="4" w:space="0" w:color="auto"/>
              <w:right w:val="single" w:sz="4" w:space="0" w:color="auto"/>
            </w:tcBorders>
            <w:shd w:val="clear" w:color="auto" w:fill="C6EFCE"/>
            <w:noWrap/>
          </w:tcPr>
          <w:p w14:paraId="7D16231F" w14:textId="41EA4C21"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4.7. Zlepšiť konkurencieschopnosť</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podporiť súkromné investície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vývoz – úverový nástroj 16980_RRP</w:t>
            </w:r>
          </w:p>
        </w:tc>
        <w:tc>
          <w:tcPr>
            <w:tcW w:w="1200" w:type="dxa"/>
            <w:tcBorders>
              <w:top w:val="single" w:sz="4" w:space="0" w:color="auto"/>
              <w:left w:val="nil"/>
              <w:bottom w:val="single" w:sz="4" w:space="0" w:color="auto"/>
              <w:right w:val="single" w:sz="4" w:space="0" w:color="auto"/>
            </w:tcBorders>
            <w:shd w:val="clear" w:color="auto" w:fill="C6EFCE"/>
            <w:noWrap/>
          </w:tcPr>
          <w:p w14:paraId="554E638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Cieľ</w:t>
            </w:r>
          </w:p>
        </w:tc>
        <w:tc>
          <w:tcPr>
            <w:tcW w:w="1340" w:type="dxa"/>
            <w:tcBorders>
              <w:top w:val="single" w:sz="4" w:space="0" w:color="auto"/>
              <w:left w:val="nil"/>
              <w:bottom w:val="single" w:sz="4" w:space="0" w:color="auto"/>
              <w:right w:val="single" w:sz="4" w:space="0" w:color="auto"/>
            </w:tcBorders>
            <w:shd w:val="clear" w:color="auto" w:fill="C6EFCE"/>
            <w:noWrap/>
          </w:tcPr>
          <w:p w14:paraId="3B4C46D2" w14:textId="735BF119" w:rsidR="002D49B0" w:rsidRPr="00083739" w:rsidRDefault="00BF4125">
            <w:pPr>
              <w:pStyle w:val="P68B1DB1-Normal45"/>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Finančné prostriedky finančných inštitúcií vo výške 9000 mil. EUR podpísané</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konečnými príjemcami</w:t>
            </w:r>
          </w:p>
        </w:tc>
        <w:tc>
          <w:tcPr>
            <w:tcW w:w="1660" w:type="dxa"/>
            <w:tcBorders>
              <w:top w:val="single" w:sz="4" w:space="0" w:color="auto"/>
              <w:left w:val="nil"/>
              <w:bottom w:val="single" w:sz="4" w:space="0" w:color="auto"/>
              <w:right w:val="single" w:sz="4" w:space="0" w:color="auto"/>
            </w:tcBorders>
            <w:shd w:val="clear" w:color="auto" w:fill="C6EFCE"/>
            <w:noWrap/>
          </w:tcPr>
          <w:p w14:paraId="7845C2E6"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80" w:type="dxa"/>
            <w:tcBorders>
              <w:top w:val="single" w:sz="4" w:space="0" w:color="auto"/>
              <w:left w:val="nil"/>
              <w:bottom w:val="single" w:sz="4" w:space="0" w:color="auto"/>
              <w:right w:val="single" w:sz="4" w:space="0" w:color="auto"/>
            </w:tcBorders>
            <w:shd w:val="clear" w:color="auto" w:fill="C6EFCE"/>
            <w:noWrap/>
          </w:tcPr>
          <w:p w14:paraId="2752DEE0" w14:textId="7EE24292"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Suma (v</w:t>
            </w:r>
            <w:r w:rsidRPr="00083739">
              <w:rPr>
                <w:rFonts w:ascii="Times New Roman" w:hAnsi="Times New Roman" w:cs="Times New Roman"/>
                <w:noProof/>
                <w:szCs w:val="18"/>
                <w:lang w:val="sk-SK"/>
              </w:rPr>
              <w:t>miliónoch</w:t>
            </w:r>
            <w:r w:rsidRPr="00083739">
              <w:rPr>
                <w:rFonts w:ascii="Times New Roman" w:hAnsi="Times New Roman" w:cs="Times New Roman"/>
                <w:noProof/>
                <w:lang w:val="sk-SK"/>
              </w:rPr>
              <w:t xml:space="preserve"> EUR)</w:t>
            </w:r>
          </w:p>
        </w:tc>
        <w:tc>
          <w:tcPr>
            <w:tcW w:w="1080" w:type="dxa"/>
            <w:tcBorders>
              <w:top w:val="single" w:sz="4" w:space="0" w:color="auto"/>
              <w:left w:val="nil"/>
              <w:bottom w:val="single" w:sz="4" w:space="0" w:color="auto"/>
              <w:right w:val="single" w:sz="4" w:space="0" w:color="auto"/>
            </w:tcBorders>
            <w:shd w:val="clear" w:color="auto" w:fill="C6EFCE"/>
            <w:noWrap/>
          </w:tcPr>
          <w:p w14:paraId="313D11D1" w14:textId="4C7C0C42" w:rsidR="002D49B0" w:rsidRPr="00083739" w:rsidRDefault="00BF4125">
            <w:pPr>
              <w:pStyle w:val="P68B1DB1-Normal45"/>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7 064</w:t>
            </w:r>
          </w:p>
        </w:tc>
        <w:tc>
          <w:tcPr>
            <w:tcW w:w="840" w:type="dxa"/>
            <w:tcBorders>
              <w:top w:val="single" w:sz="4" w:space="0" w:color="auto"/>
              <w:left w:val="nil"/>
              <w:bottom w:val="single" w:sz="4" w:space="0" w:color="auto"/>
              <w:right w:val="single" w:sz="4" w:space="0" w:color="auto"/>
            </w:tcBorders>
            <w:shd w:val="clear" w:color="auto" w:fill="C6EFCE"/>
            <w:noWrap/>
          </w:tcPr>
          <w:p w14:paraId="0EE13B9F" w14:textId="68178019" w:rsidR="002D49B0" w:rsidRPr="00083739" w:rsidRDefault="00BF4125">
            <w:pPr>
              <w:pStyle w:val="P68B1DB1-Normal45"/>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9 000</w:t>
            </w:r>
          </w:p>
        </w:tc>
        <w:tc>
          <w:tcPr>
            <w:tcW w:w="960" w:type="dxa"/>
            <w:tcBorders>
              <w:top w:val="single" w:sz="4" w:space="0" w:color="auto"/>
              <w:left w:val="nil"/>
              <w:bottom w:val="single" w:sz="4" w:space="0" w:color="auto"/>
              <w:right w:val="single" w:sz="4" w:space="0" w:color="auto"/>
            </w:tcBorders>
            <w:shd w:val="clear" w:color="auto" w:fill="C6EFCE"/>
            <w:noWrap/>
          </w:tcPr>
          <w:p w14:paraId="71B8FB2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840" w:type="dxa"/>
            <w:tcBorders>
              <w:top w:val="single" w:sz="4" w:space="0" w:color="auto"/>
              <w:left w:val="nil"/>
              <w:bottom w:val="single" w:sz="4" w:space="0" w:color="auto"/>
              <w:right w:val="single" w:sz="4" w:space="0" w:color="auto"/>
            </w:tcBorders>
            <w:shd w:val="clear" w:color="auto" w:fill="C6EFCE"/>
            <w:noWrap/>
          </w:tcPr>
          <w:p w14:paraId="60890B4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4608" w:type="dxa"/>
            <w:tcBorders>
              <w:top w:val="single" w:sz="4" w:space="0" w:color="auto"/>
              <w:left w:val="nil"/>
              <w:bottom w:val="single" w:sz="4" w:space="0" w:color="auto"/>
              <w:right w:val="single" w:sz="4" w:space="0" w:color="auto"/>
            </w:tcBorders>
            <w:shd w:val="clear" w:color="auto" w:fill="C6EFCE"/>
            <w:noWrap/>
          </w:tcPr>
          <w:p w14:paraId="0483388E" w14:textId="297FB112"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szCs w:val="18"/>
                <w:lang w:val="sk-SK"/>
              </w:rPr>
              <w:t>S konečnými príjemcami bolo podpísaných 9000 mil. EUR (vrátane poplatkov za riadenie)</w:t>
            </w:r>
            <w:r w:rsidR="00083739" w:rsidRPr="00083739">
              <w:rPr>
                <w:rFonts w:ascii="Times New Roman" w:hAnsi="Times New Roman" w:cs="Times New Roman"/>
                <w:noProof/>
                <w:szCs w:val="18"/>
                <w:lang w:val="sk-SK"/>
              </w:rPr>
              <w:t xml:space="preserve"> z </w:t>
            </w:r>
            <w:r w:rsidRPr="00083739">
              <w:rPr>
                <w:rFonts w:ascii="Times New Roman" w:hAnsi="Times New Roman" w:cs="Times New Roman"/>
                <w:noProof/>
                <w:szCs w:val="18"/>
                <w:lang w:val="sk-SK"/>
              </w:rPr>
              <w:t>úverových nástrojov Mechanizmu na podporu obnovy</w:t>
            </w:r>
            <w:r w:rsidR="00083739" w:rsidRPr="00083739">
              <w:rPr>
                <w:rFonts w:ascii="Times New Roman" w:hAnsi="Times New Roman" w:cs="Times New Roman"/>
                <w:noProof/>
                <w:szCs w:val="18"/>
                <w:lang w:val="sk-SK"/>
              </w:rPr>
              <w:t xml:space="preserve"> a </w:t>
            </w:r>
            <w:r w:rsidRPr="00083739">
              <w:rPr>
                <w:rFonts w:ascii="Times New Roman" w:hAnsi="Times New Roman" w:cs="Times New Roman"/>
                <w:noProof/>
                <w:szCs w:val="18"/>
                <w:lang w:val="sk-SK"/>
              </w:rPr>
              <w:t>odolnosti súvisiacich</w:t>
            </w:r>
            <w:r w:rsidR="00083739" w:rsidRPr="00083739">
              <w:rPr>
                <w:rFonts w:ascii="Times New Roman" w:hAnsi="Times New Roman" w:cs="Times New Roman"/>
                <w:noProof/>
                <w:szCs w:val="18"/>
                <w:lang w:val="sk-SK"/>
              </w:rPr>
              <w:t xml:space="preserve"> s </w:t>
            </w:r>
            <w:r w:rsidRPr="00083739">
              <w:rPr>
                <w:rFonts w:ascii="Times New Roman" w:hAnsi="Times New Roman" w:cs="Times New Roman"/>
                <w:noProof/>
                <w:szCs w:val="18"/>
                <w:lang w:val="sk-SK"/>
              </w:rPr>
              <w:t>medzinárodnými finančnými inštitúciami</w:t>
            </w:r>
            <w:r w:rsidR="00083739" w:rsidRPr="00083739">
              <w:rPr>
                <w:rFonts w:ascii="Times New Roman" w:hAnsi="Times New Roman" w:cs="Times New Roman"/>
                <w:noProof/>
                <w:szCs w:val="18"/>
                <w:lang w:val="sk-SK"/>
              </w:rPr>
              <w:t xml:space="preserve"> a </w:t>
            </w:r>
            <w:r w:rsidRPr="00083739">
              <w:rPr>
                <w:rFonts w:ascii="Times New Roman" w:hAnsi="Times New Roman" w:cs="Times New Roman"/>
                <w:noProof/>
                <w:szCs w:val="18"/>
                <w:lang w:val="sk-SK"/>
              </w:rPr>
              <w:t>komerčnými bankami</w:t>
            </w:r>
            <w:r w:rsidR="00083739" w:rsidRPr="00083739">
              <w:rPr>
                <w:rFonts w:ascii="Times New Roman" w:hAnsi="Times New Roman" w:cs="Times New Roman"/>
                <w:noProof/>
                <w:szCs w:val="18"/>
                <w:lang w:val="sk-SK"/>
              </w:rPr>
              <w:t xml:space="preserve"> v </w:t>
            </w:r>
            <w:r w:rsidRPr="00083739">
              <w:rPr>
                <w:rFonts w:ascii="Times New Roman" w:hAnsi="Times New Roman" w:cs="Times New Roman"/>
                <w:noProof/>
                <w:szCs w:val="18"/>
                <w:lang w:val="sk-SK"/>
              </w:rPr>
              <w:t>súlad</w:t>
            </w:r>
            <w:r w:rsidRPr="00083739">
              <w:rPr>
                <w:rFonts w:ascii="Times New Roman" w:hAnsi="Times New Roman" w:cs="Times New Roman"/>
                <w:noProof/>
                <w:szCs w:val="18"/>
                <w:lang w:val="sk-SK"/>
              </w:rPr>
              <w:t>e</w:t>
            </w:r>
            <w:r w:rsidR="00083739" w:rsidRPr="00083739">
              <w:rPr>
                <w:rFonts w:ascii="Times New Roman" w:hAnsi="Times New Roman" w:cs="Times New Roman"/>
                <w:noProof/>
                <w:szCs w:val="18"/>
                <w:lang w:val="sk-SK"/>
              </w:rPr>
              <w:t xml:space="preserve"> s </w:t>
            </w:r>
            <w:r w:rsidRPr="00083739">
              <w:rPr>
                <w:rFonts w:ascii="Times New Roman" w:hAnsi="Times New Roman" w:cs="Times New Roman"/>
                <w:noProof/>
                <w:szCs w:val="18"/>
                <w:lang w:val="sk-SK"/>
              </w:rPr>
              <w:t>mandátom vymedzeným</w:t>
            </w:r>
            <w:r w:rsidR="00083739" w:rsidRPr="00083739">
              <w:rPr>
                <w:rFonts w:ascii="Times New Roman" w:hAnsi="Times New Roman" w:cs="Times New Roman"/>
                <w:noProof/>
                <w:szCs w:val="18"/>
                <w:lang w:val="sk-SK"/>
              </w:rPr>
              <w:t xml:space="preserve"> v </w:t>
            </w:r>
            <w:r w:rsidRPr="00083739">
              <w:rPr>
                <w:rFonts w:ascii="Times New Roman" w:hAnsi="Times New Roman" w:cs="Times New Roman"/>
                <w:noProof/>
                <w:szCs w:val="18"/>
                <w:lang w:val="sk-SK"/>
              </w:rPr>
              <w:t>míľniku</w:t>
            </w:r>
            <w:r w:rsidR="00083739" w:rsidRPr="00083739">
              <w:rPr>
                <w:rFonts w:ascii="Times New Roman" w:hAnsi="Times New Roman" w:cs="Times New Roman"/>
                <w:noProof/>
                <w:szCs w:val="18"/>
                <w:lang w:val="sk-SK"/>
              </w:rPr>
              <w:t xml:space="preserve"> a </w:t>
            </w:r>
            <w:r w:rsidRPr="00083739">
              <w:rPr>
                <w:rFonts w:ascii="Times New Roman" w:hAnsi="Times New Roman" w:cs="Times New Roman"/>
                <w:noProof/>
                <w:szCs w:val="18"/>
                <w:lang w:val="sk-SK"/>
              </w:rPr>
              <w:t>po tom, ako nezávislí audítori overia ex ante súlad</w:t>
            </w:r>
            <w:r w:rsidR="00083739" w:rsidRPr="00083739">
              <w:rPr>
                <w:rFonts w:ascii="Times New Roman" w:hAnsi="Times New Roman" w:cs="Times New Roman"/>
                <w:noProof/>
                <w:szCs w:val="18"/>
                <w:lang w:val="sk-SK"/>
              </w:rPr>
              <w:t xml:space="preserve"> s </w:t>
            </w:r>
            <w:r w:rsidRPr="00083739">
              <w:rPr>
                <w:rFonts w:ascii="Times New Roman" w:hAnsi="Times New Roman" w:cs="Times New Roman"/>
                <w:noProof/>
                <w:szCs w:val="18"/>
                <w:lang w:val="sk-SK"/>
              </w:rPr>
              <w:t>kritériami riadenia, výberu, monitorovania</w:t>
            </w:r>
            <w:r w:rsidR="00083739" w:rsidRPr="00083739">
              <w:rPr>
                <w:rFonts w:ascii="Times New Roman" w:hAnsi="Times New Roman" w:cs="Times New Roman"/>
                <w:noProof/>
                <w:szCs w:val="18"/>
                <w:lang w:val="sk-SK"/>
              </w:rPr>
              <w:t xml:space="preserve"> a </w:t>
            </w:r>
            <w:r w:rsidRPr="00083739">
              <w:rPr>
                <w:rFonts w:ascii="Times New Roman" w:hAnsi="Times New Roman" w:cs="Times New Roman"/>
                <w:noProof/>
                <w:szCs w:val="18"/>
                <w:lang w:val="sk-SK"/>
              </w:rPr>
              <w:t>auditu</w:t>
            </w:r>
            <w:r w:rsidR="00083739" w:rsidRPr="00083739">
              <w:rPr>
                <w:rFonts w:ascii="Times New Roman" w:hAnsi="Times New Roman" w:cs="Times New Roman"/>
                <w:noProof/>
                <w:szCs w:val="18"/>
                <w:lang w:val="sk-SK"/>
              </w:rPr>
              <w:t xml:space="preserve"> a </w:t>
            </w:r>
            <w:r w:rsidRPr="00083739">
              <w:rPr>
                <w:rFonts w:ascii="Times New Roman" w:hAnsi="Times New Roman" w:cs="Times New Roman"/>
                <w:noProof/>
                <w:szCs w:val="18"/>
                <w:lang w:val="sk-SK"/>
              </w:rPr>
              <w:t>rozdelenia strát, technické usmernenie „nespôsobovať významnú škodu“ (2021/C58/01)</w:t>
            </w:r>
            <w:r w:rsidR="00083739" w:rsidRPr="00083739">
              <w:rPr>
                <w:rFonts w:ascii="Times New Roman" w:hAnsi="Times New Roman" w:cs="Times New Roman"/>
                <w:noProof/>
                <w:szCs w:val="18"/>
                <w:lang w:val="sk-SK"/>
              </w:rPr>
              <w:t xml:space="preserve"> a </w:t>
            </w:r>
            <w:r w:rsidRPr="00083739">
              <w:rPr>
                <w:rFonts w:ascii="Times New Roman" w:hAnsi="Times New Roman" w:cs="Times New Roman"/>
                <w:noProof/>
                <w:szCs w:val="18"/>
                <w:lang w:val="sk-SK"/>
              </w:rPr>
              <w:t>príspevok</w:t>
            </w:r>
            <w:r w:rsidR="00083739" w:rsidRPr="00083739">
              <w:rPr>
                <w:rFonts w:ascii="Times New Roman" w:hAnsi="Times New Roman" w:cs="Times New Roman"/>
                <w:noProof/>
                <w:szCs w:val="18"/>
                <w:lang w:val="sk-SK"/>
              </w:rPr>
              <w:t xml:space="preserve"> k </w:t>
            </w:r>
            <w:r w:rsidRPr="00083739">
              <w:rPr>
                <w:rFonts w:ascii="Times New Roman" w:hAnsi="Times New Roman" w:cs="Times New Roman"/>
                <w:noProof/>
                <w:szCs w:val="18"/>
                <w:lang w:val="sk-SK"/>
              </w:rPr>
              <w:t>cieľu</w:t>
            </w:r>
            <w:r w:rsidR="00083739" w:rsidRPr="00083739">
              <w:rPr>
                <w:rFonts w:ascii="Times New Roman" w:hAnsi="Times New Roman" w:cs="Times New Roman"/>
                <w:noProof/>
                <w:szCs w:val="18"/>
                <w:lang w:val="sk-SK"/>
              </w:rPr>
              <w:t xml:space="preserve"> v </w:t>
            </w:r>
            <w:r w:rsidRPr="00083739">
              <w:rPr>
                <w:rFonts w:ascii="Times New Roman" w:hAnsi="Times New Roman" w:cs="Times New Roman"/>
                <w:noProof/>
                <w:szCs w:val="18"/>
                <w:lang w:val="sk-SK"/>
              </w:rPr>
              <w:t>oblasti</w:t>
            </w:r>
            <w:r w:rsidRPr="00083739">
              <w:rPr>
                <w:rFonts w:ascii="Times New Roman" w:hAnsi="Times New Roman" w:cs="Times New Roman"/>
                <w:noProof/>
                <w:szCs w:val="18"/>
                <w:lang w:val="sk-SK"/>
              </w:rPr>
              <w:t xml:space="preserve"> klímy vo</w:t>
            </w:r>
            <w:r w:rsidRPr="00083739">
              <w:rPr>
                <w:rFonts w:ascii="Times New Roman" w:hAnsi="Times New Roman" w:cs="Times New Roman"/>
                <w:noProof/>
                <w:lang w:val="sk-SK"/>
              </w:rPr>
              <w:t xml:space="preserve"> </w:t>
            </w:r>
            <w:r w:rsidRPr="00083739">
              <w:rPr>
                <w:rFonts w:ascii="Times New Roman" w:hAnsi="Times New Roman" w:cs="Times New Roman"/>
                <w:noProof/>
                <w:szCs w:val="18"/>
                <w:lang w:val="sk-SK"/>
              </w:rPr>
              <w:t>výške 41,5</w:t>
            </w:r>
            <w:r w:rsidR="00083739" w:rsidRPr="00083739">
              <w:rPr>
                <w:rFonts w:ascii="Times New Roman" w:hAnsi="Times New Roman" w:cs="Times New Roman"/>
                <w:noProof/>
                <w:szCs w:val="18"/>
                <w:lang w:val="sk-SK"/>
              </w:rPr>
              <w:t> % a </w:t>
            </w:r>
            <w:r w:rsidRPr="00083739">
              <w:rPr>
                <w:rFonts w:ascii="Times New Roman" w:hAnsi="Times New Roman" w:cs="Times New Roman"/>
                <w:noProof/>
                <w:szCs w:val="18"/>
                <w:lang w:val="sk-SK"/>
              </w:rPr>
              <w:t>digitálnemu cieľu vo výške 20,8</w:t>
            </w:r>
            <w:r w:rsidR="00083739" w:rsidRPr="00083739">
              <w:rPr>
                <w:rFonts w:ascii="Times New Roman" w:hAnsi="Times New Roman" w:cs="Times New Roman"/>
                <w:noProof/>
                <w:szCs w:val="18"/>
                <w:lang w:val="sk-SK"/>
              </w:rPr>
              <w:t> %</w:t>
            </w:r>
            <w:r w:rsidRPr="00083739">
              <w:rPr>
                <w:rFonts w:ascii="Times New Roman" w:hAnsi="Times New Roman" w:cs="Times New Roman"/>
                <w:noProof/>
                <w:szCs w:val="18"/>
                <w:lang w:val="sk-SK"/>
              </w:rPr>
              <w:t>.</w:t>
            </w:r>
          </w:p>
        </w:tc>
      </w:tr>
      <w:tr w:rsidR="002D49B0" w:rsidRPr="00083739" w14:paraId="72641C64" w14:textId="77777777">
        <w:trPr>
          <w:trHeight w:val="314"/>
          <w:jc w:val="center"/>
        </w:trPr>
        <w:tc>
          <w:tcPr>
            <w:tcW w:w="846" w:type="dxa"/>
            <w:tcBorders>
              <w:top w:val="single" w:sz="4" w:space="0" w:color="auto"/>
              <w:left w:val="single" w:sz="4" w:space="0" w:color="auto"/>
              <w:bottom w:val="single" w:sz="4" w:space="0" w:color="auto"/>
              <w:right w:val="single" w:sz="4" w:space="0" w:color="auto"/>
            </w:tcBorders>
            <w:shd w:val="clear" w:color="auto" w:fill="C6EFCE"/>
            <w:noWrap/>
          </w:tcPr>
          <w:p w14:paraId="36FF67DA" w14:textId="77777777" w:rsidR="002D49B0" w:rsidRPr="00083739" w:rsidRDefault="00BF4125">
            <w:pPr>
              <w:pStyle w:val="P68B1DB1-Normal9"/>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327</w:t>
            </w:r>
          </w:p>
        </w:tc>
        <w:tc>
          <w:tcPr>
            <w:tcW w:w="1429" w:type="dxa"/>
            <w:tcBorders>
              <w:top w:val="single" w:sz="4" w:space="0" w:color="auto"/>
              <w:left w:val="nil"/>
              <w:bottom w:val="single" w:sz="4" w:space="0" w:color="auto"/>
              <w:right w:val="single" w:sz="4" w:space="0" w:color="auto"/>
            </w:tcBorders>
            <w:shd w:val="clear" w:color="auto" w:fill="C6EFCE"/>
            <w:noWrap/>
          </w:tcPr>
          <w:p w14:paraId="7F3FF74D" w14:textId="10F874B1"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4.7. Zlepšiť konkurencieschopnosť</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podporiť súkromné investície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vývoz – úverový nástroj 16980_RRP</w:t>
            </w:r>
          </w:p>
        </w:tc>
        <w:tc>
          <w:tcPr>
            <w:tcW w:w="1200" w:type="dxa"/>
            <w:tcBorders>
              <w:top w:val="single" w:sz="4" w:space="0" w:color="auto"/>
              <w:left w:val="nil"/>
              <w:bottom w:val="single" w:sz="4" w:space="0" w:color="auto"/>
              <w:right w:val="single" w:sz="4" w:space="0" w:color="auto"/>
            </w:tcBorders>
            <w:shd w:val="clear" w:color="auto" w:fill="C6EFCE"/>
            <w:noWrap/>
          </w:tcPr>
          <w:p w14:paraId="53FF2E6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Cieľ</w:t>
            </w:r>
          </w:p>
        </w:tc>
        <w:tc>
          <w:tcPr>
            <w:tcW w:w="1340" w:type="dxa"/>
            <w:tcBorders>
              <w:top w:val="single" w:sz="4" w:space="0" w:color="auto"/>
              <w:left w:val="nil"/>
              <w:bottom w:val="single" w:sz="4" w:space="0" w:color="auto"/>
              <w:right w:val="single" w:sz="4" w:space="0" w:color="auto"/>
            </w:tcBorders>
            <w:shd w:val="clear" w:color="auto" w:fill="C6EFCE"/>
            <w:noWrap/>
          </w:tcPr>
          <w:p w14:paraId="7FA3C868" w14:textId="7BFBF689" w:rsidR="002D49B0" w:rsidRPr="00083739" w:rsidRDefault="00BF4125">
            <w:pPr>
              <w:pStyle w:val="P68B1DB1-Normal45"/>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Finančné prostriedky finančných inštitúcií vo výške 11182 mil. EUR podpísané</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konečnými príjemcami</w:t>
            </w:r>
          </w:p>
        </w:tc>
        <w:tc>
          <w:tcPr>
            <w:tcW w:w="1660" w:type="dxa"/>
            <w:tcBorders>
              <w:top w:val="single" w:sz="4" w:space="0" w:color="auto"/>
              <w:left w:val="nil"/>
              <w:bottom w:val="single" w:sz="4" w:space="0" w:color="auto"/>
              <w:right w:val="single" w:sz="4" w:space="0" w:color="auto"/>
            </w:tcBorders>
            <w:shd w:val="clear" w:color="auto" w:fill="C6EFCE"/>
          </w:tcPr>
          <w:p w14:paraId="494C3751"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80" w:type="dxa"/>
            <w:tcBorders>
              <w:top w:val="single" w:sz="4" w:space="0" w:color="auto"/>
              <w:left w:val="nil"/>
              <w:bottom w:val="single" w:sz="4" w:space="0" w:color="auto"/>
              <w:right w:val="single" w:sz="4" w:space="0" w:color="auto"/>
            </w:tcBorders>
            <w:shd w:val="clear" w:color="auto" w:fill="C6EFCE"/>
            <w:noWrap/>
          </w:tcPr>
          <w:p w14:paraId="0BF2E9E2" w14:textId="5C3C875E"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Suma (v</w:t>
            </w:r>
            <w:r w:rsidRPr="00083739">
              <w:rPr>
                <w:rFonts w:ascii="Times New Roman" w:hAnsi="Times New Roman" w:cs="Times New Roman"/>
                <w:noProof/>
                <w:szCs w:val="18"/>
                <w:lang w:val="sk-SK"/>
              </w:rPr>
              <w:t>miliónoch</w:t>
            </w:r>
            <w:r w:rsidRPr="00083739">
              <w:rPr>
                <w:rFonts w:ascii="Times New Roman" w:hAnsi="Times New Roman" w:cs="Times New Roman"/>
                <w:noProof/>
                <w:lang w:val="sk-SK"/>
              </w:rPr>
              <w:t xml:space="preserve"> EUR)</w:t>
            </w:r>
          </w:p>
        </w:tc>
        <w:tc>
          <w:tcPr>
            <w:tcW w:w="1080" w:type="dxa"/>
            <w:tcBorders>
              <w:top w:val="single" w:sz="4" w:space="0" w:color="auto"/>
              <w:left w:val="nil"/>
              <w:bottom w:val="single" w:sz="4" w:space="0" w:color="auto"/>
              <w:right w:val="single" w:sz="4" w:space="0" w:color="auto"/>
            </w:tcBorders>
            <w:shd w:val="clear" w:color="auto" w:fill="C6EFCE"/>
            <w:noWrap/>
          </w:tcPr>
          <w:p w14:paraId="01033336" w14:textId="7BFCD8EB"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9 000</w:t>
            </w:r>
          </w:p>
        </w:tc>
        <w:tc>
          <w:tcPr>
            <w:tcW w:w="840" w:type="dxa"/>
            <w:tcBorders>
              <w:top w:val="single" w:sz="4" w:space="0" w:color="auto"/>
              <w:left w:val="nil"/>
              <w:bottom w:val="single" w:sz="4" w:space="0" w:color="auto"/>
              <w:right w:val="single" w:sz="4" w:space="0" w:color="auto"/>
            </w:tcBorders>
            <w:shd w:val="clear" w:color="auto" w:fill="C6EFCE"/>
            <w:noWrap/>
          </w:tcPr>
          <w:p w14:paraId="72D04341" w14:textId="508F2EFE" w:rsidR="002D49B0" w:rsidRPr="00083739" w:rsidRDefault="00BF4125">
            <w:pPr>
              <w:pStyle w:val="P68B1DB1-Normal45"/>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11 182</w:t>
            </w:r>
          </w:p>
        </w:tc>
        <w:tc>
          <w:tcPr>
            <w:tcW w:w="960" w:type="dxa"/>
            <w:tcBorders>
              <w:top w:val="single" w:sz="4" w:space="0" w:color="auto"/>
              <w:left w:val="nil"/>
              <w:bottom w:val="single" w:sz="4" w:space="0" w:color="auto"/>
              <w:right w:val="single" w:sz="4" w:space="0" w:color="auto"/>
            </w:tcBorders>
            <w:shd w:val="clear" w:color="auto" w:fill="C6EFCE"/>
            <w:noWrap/>
          </w:tcPr>
          <w:p w14:paraId="3AB10E0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840" w:type="dxa"/>
            <w:tcBorders>
              <w:top w:val="single" w:sz="4" w:space="0" w:color="auto"/>
              <w:left w:val="nil"/>
              <w:bottom w:val="single" w:sz="4" w:space="0" w:color="auto"/>
              <w:right w:val="single" w:sz="4" w:space="0" w:color="auto"/>
            </w:tcBorders>
            <w:shd w:val="clear" w:color="auto" w:fill="C6EFCE"/>
            <w:noWrap/>
          </w:tcPr>
          <w:p w14:paraId="3572DEE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4608" w:type="dxa"/>
            <w:tcBorders>
              <w:top w:val="single" w:sz="4" w:space="0" w:color="auto"/>
              <w:left w:val="nil"/>
              <w:bottom w:val="single" w:sz="4" w:space="0" w:color="auto"/>
              <w:right w:val="single" w:sz="4" w:space="0" w:color="auto"/>
            </w:tcBorders>
            <w:shd w:val="clear" w:color="auto" w:fill="C6EFCE"/>
            <w:noWrap/>
          </w:tcPr>
          <w:p w14:paraId="12DE3A02" w14:textId="20A3BA63"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szCs w:val="18"/>
                <w:lang w:val="sk-SK"/>
              </w:rPr>
              <w:t>S konečnými príjemcami bolo podpísaných 11182 mil. EUR (vrátane poplatkov za riadenie)</w:t>
            </w:r>
            <w:r w:rsidR="00083739" w:rsidRPr="00083739">
              <w:rPr>
                <w:rFonts w:ascii="Times New Roman" w:hAnsi="Times New Roman" w:cs="Times New Roman"/>
                <w:noProof/>
                <w:szCs w:val="18"/>
                <w:lang w:val="sk-SK"/>
              </w:rPr>
              <w:t xml:space="preserve"> z </w:t>
            </w:r>
            <w:r w:rsidRPr="00083739">
              <w:rPr>
                <w:rFonts w:ascii="Times New Roman" w:hAnsi="Times New Roman" w:cs="Times New Roman"/>
                <w:noProof/>
                <w:szCs w:val="18"/>
                <w:lang w:val="sk-SK"/>
              </w:rPr>
              <w:t>úverových nástrojov Mechanizmu na podporu obnovy</w:t>
            </w:r>
            <w:r w:rsidR="00083739" w:rsidRPr="00083739">
              <w:rPr>
                <w:rFonts w:ascii="Times New Roman" w:hAnsi="Times New Roman" w:cs="Times New Roman"/>
                <w:noProof/>
                <w:szCs w:val="18"/>
                <w:lang w:val="sk-SK"/>
              </w:rPr>
              <w:t xml:space="preserve"> a </w:t>
            </w:r>
            <w:r w:rsidRPr="00083739">
              <w:rPr>
                <w:rFonts w:ascii="Times New Roman" w:hAnsi="Times New Roman" w:cs="Times New Roman"/>
                <w:noProof/>
                <w:szCs w:val="18"/>
                <w:lang w:val="sk-SK"/>
              </w:rPr>
              <w:t>odolnosti súvisiacich</w:t>
            </w:r>
            <w:r w:rsidR="00083739" w:rsidRPr="00083739">
              <w:rPr>
                <w:rFonts w:ascii="Times New Roman" w:hAnsi="Times New Roman" w:cs="Times New Roman"/>
                <w:noProof/>
                <w:szCs w:val="18"/>
                <w:lang w:val="sk-SK"/>
              </w:rPr>
              <w:t xml:space="preserve"> s </w:t>
            </w:r>
            <w:r w:rsidRPr="00083739">
              <w:rPr>
                <w:rFonts w:ascii="Times New Roman" w:hAnsi="Times New Roman" w:cs="Times New Roman"/>
                <w:noProof/>
                <w:szCs w:val="18"/>
                <w:lang w:val="sk-SK"/>
              </w:rPr>
              <w:t>medzinárodnými</w:t>
            </w:r>
            <w:r w:rsidRPr="00083739">
              <w:rPr>
                <w:rFonts w:ascii="Times New Roman" w:hAnsi="Times New Roman" w:cs="Times New Roman"/>
                <w:noProof/>
                <w:szCs w:val="18"/>
                <w:lang w:val="sk-SK"/>
              </w:rPr>
              <w:t xml:space="preserve"> finančnými inštitúciami</w:t>
            </w:r>
            <w:r w:rsidR="00083739" w:rsidRPr="00083739">
              <w:rPr>
                <w:rFonts w:ascii="Times New Roman" w:hAnsi="Times New Roman" w:cs="Times New Roman"/>
                <w:noProof/>
                <w:szCs w:val="18"/>
                <w:lang w:val="sk-SK"/>
              </w:rPr>
              <w:t xml:space="preserve"> a </w:t>
            </w:r>
            <w:r w:rsidRPr="00083739">
              <w:rPr>
                <w:rFonts w:ascii="Times New Roman" w:hAnsi="Times New Roman" w:cs="Times New Roman"/>
                <w:noProof/>
                <w:szCs w:val="18"/>
                <w:lang w:val="sk-SK"/>
              </w:rPr>
              <w:t>komerčnými bankami</w:t>
            </w:r>
            <w:r w:rsidR="00083739" w:rsidRPr="00083739">
              <w:rPr>
                <w:rFonts w:ascii="Times New Roman" w:hAnsi="Times New Roman" w:cs="Times New Roman"/>
                <w:noProof/>
                <w:szCs w:val="18"/>
                <w:lang w:val="sk-SK"/>
              </w:rPr>
              <w:t xml:space="preserve"> v </w:t>
            </w:r>
            <w:r w:rsidRPr="00083739">
              <w:rPr>
                <w:rFonts w:ascii="Times New Roman" w:hAnsi="Times New Roman" w:cs="Times New Roman"/>
                <w:noProof/>
                <w:szCs w:val="18"/>
                <w:lang w:val="sk-SK"/>
              </w:rPr>
              <w:t>súlade</w:t>
            </w:r>
            <w:r w:rsidR="00083739" w:rsidRPr="00083739">
              <w:rPr>
                <w:rFonts w:ascii="Times New Roman" w:hAnsi="Times New Roman" w:cs="Times New Roman"/>
                <w:noProof/>
                <w:szCs w:val="18"/>
                <w:lang w:val="sk-SK"/>
              </w:rPr>
              <w:t xml:space="preserve"> s </w:t>
            </w:r>
            <w:r w:rsidRPr="00083739">
              <w:rPr>
                <w:rFonts w:ascii="Times New Roman" w:hAnsi="Times New Roman" w:cs="Times New Roman"/>
                <w:noProof/>
                <w:szCs w:val="18"/>
                <w:lang w:val="sk-SK"/>
              </w:rPr>
              <w:t>mandátom vymedzeným</w:t>
            </w:r>
            <w:r w:rsidR="00083739" w:rsidRPr="00083739">
              <w:rPr>
                <w:rFonts w:ascii="Times New Roman" w:hAnsi="Times New Roman" w:cs="Times New Roman"/>
                <w:noProof/>
                <w:szCs w:val="18"/>
                <w:lang w:val="sk-SK"/>
              </w:rPr>
              <w:t xml:space="preserve"> v </w:t>
            </w:r>
            <w:r w:rsidRPr="00083739">
              <w:rPr>
                <w:rFonts w:ascii="Times New Roman" w:hAnsi="Times New Roman" w:cs="Times New Roman"/>
                <w:noProof/>
                <w:szCs w:val="18"/>
                <w:lang w:val="sk-SK"/>
              </w:rPr>
              <w:t>míľniku</w:t>
            </w:r>
            <w:r w:rsidR="00083739" w:rsidRPr="00083739">
              <w:rPr>
                <w:rFonts w:ascii="Times New Roman" w:hAnsi="Times New Roman" w:cs="Times New Roman"/>
                <w:noProof/>
                <w:szCs w:val="18"/>
                <w:lang w:val="sk-SK"/>
              </w:rPr>
              <w:t xml:space="preserve"> a </w:t>
            </w:r>
            <w:r w:rsidRPr="00083739">
              <w:rPr>
                <w:rFonts w:ascii="Times New Roman" w:hAnsi="Times New Roman" w:cs="Times New Roman"/>
                <w:noProof/>
                <w:szCs w:val="18"/>
                <w:lang w:val="sk-SK"/>
              </w:rPr>
              <w:t>po tom, ako nezávislí audítori overia ex ante súlad</w:t>
            </w:r>
            <w:r w:rsidR="00083739" w:rsidRPr="00083739">
              <w:rPr>
                <w:rFonts w:ascii="Times New Roman" w:hAnsi="Times New Roman" w:cs="Times New Roman"/>
                <w:noProof/>
                <w:szCs w:val="18"/>
                <w:lang w:val="sk-SK"/>
              </w:rPr>
              <w:t xml:space="preserve"> s </w:t>
            </w:r>
            <w:r w:rsidRPr="00083739">
              <w:rPr>
                <w:rFonts w:ascii="Times New Roman" w:hAnsi="Times New Roman" w:cs="Times New Roman"/>
                <w:noProof/>
                <w:szCs w:val="18"/>
                <w:lang w:val="sk-SK"/>
              </w:rPr>
              <w:t>kritériami riadenia, výberu, monitorovania</w:t>
            </w:r>
            <w:r w:rsidR="00083739" w:rsidRPr="00083739">
              <w:rPr>
                <w:rFonts w:ascii="Times New Roman" w:hAnsi="Times New Roman" w:cs="Times New Roman"/>
                <w:noProof/>
                <w:szCs w:val="18"/>
                <w:lang w:val="sk-SK"/>
              </w:rPr>
              <w:t xml:space="preserve"> a </w:t>
            </w:r>
            <w:r w:rsidRPr="00083739">
              <w:rPr>
                <w:rFonts w:ascii="Times New Roman" w:hAnsi="Times New Roman" w:cs="Times New Roman"/>
                <w:noProof/>
                <w:szCs w:val="18"/>
                <w:lang w:val="sk-SK"/>
              </w:rPr>
              <w:t>auditu</w:t>
            </w:r>
            <w:r w:rsidR="00083739" w:rsidRPr="00083739">
              <w:rPr>
                <w:rFonts w:ascii="Times New Roman" w:hAnsi="Times New Roman" w:cs="Times New Roman"/>
                <w:noProof/>
                <w:szCs w:val="18"/>
                <w:lang w:val="sk-SK"/>
              </w:rPr>
              <w:t xml:space="preserve"> a </w:t>
            </w:r>
            <w:r w:rsidRPr="00083739">
              <w:rPr>
                <w:rFonts w:ascii="Times New Roman" w:hAnsi="Times New Roman" w:cs="Times New Roman"/>
                <w:noProof/>
                <w:szCs w:val="18"/>
                <w:lang w:val="sk-SK"/>
              </w:rPr>
              <w:t>rozdelenia strát, technické usmernenie „nespôsobovať význam</w:t>
            </w:r>
            <w:r w:rsidRPr="00083739">
              <w:rPr>
                <w:rFonts w:ascii="Times New Roman" w:hAnsi="Times New Roman" w:cs="Times New Roman"/>
                <w:noProof/>
                <w:szCs w:val="18"/>
                <w:lang w:val="sk-SK"/>
              </w:rPr>
              <w:t>nú škodu“ (2021/C58/01)</w:t>
            </w:r>
            <w:r w:rsidR="00083739" w:rsidRPr="00083739">
              <w:rPr>
                <w:rFonts w:ascii="Times New Roman" w:hAnsi="Times New Roman" w:cs="Times New Roman"/>
                <w:noProof/>
                <w:szCs w:val="18"/>
                <w:lang w:val="sk-SK"/>
              </w:rPr>
              <w:t xml:space="preserve"> a </w:t>
            </w:r>
            <w:r w:rsidRPr="00083739">
              <w:rPr>
                <w:rFonts w:ascii="Times New Roman" w:hAnsi="Times New Roman" w:cs="Times New Roman"/>
                <w:noProof/>
                <w:szCs w:val="18"/>
                <w:lang w:val="sk-SK"/>
              </w:rPr>
              <w:t>príspevok</w:t>
            </w:r>
            <w:r w:rsidR="00083739" w:rsidRPr="00083739">
              <w:rPr>
                <w:rFonts w:ascii="Times New Roman" w:hAnsi="Times New Roman" w:cs="Times New Roman"/>
                <w:noProof/>
                <w:szCs w:val="18"/>
                <w:lang w:val="sk-SK"/>
              </w:rPr>
              <w:t xml:space="preserve"> k </w:t>
            </w:r>
            <w:r w:rsidRPr="00083739">
              <w:rPr>
                <w:rFonts w:ascii="Times New Roman" w:hAnsi="Times New Roman" w:cs="Times New Roman"/>
                <w:noProof/>
                <w:szCs w:val="18"/>
                <w:lang w:val="sk-SK"/>
              </w:rPr>
              <w:t>cieľu</w:t>
            </w:r>
            <w:r w:rsidR="00083739" w:rsidRPr="00083739">
              <w:rPr>
                <w:rFonts w:ascii="Times New Roman" w:hAnsi="Times New Roman" w:cs="Times New Roman"/>
                <w:noProof/>
                <w:szCs w:val="18"/>
                <w:lang w:val="sk-SK"/>
              </w:rPr>
              <w:t xml:space="preserve"> v </w:t>
            </w:r>
            <w:r w:rsidRPr="00083739">
              <w:rPr>
                <w:rFonts w:ascii="Times New Roman" w:hAnsi="Times New Roman" w:cs="Times New Roman"/>
                <w:noProof/>
                <w:szCs w:val="18"/>
                <w:lang w:val="sk-SK"/>
              </w:rPr>
              <w:t>oblasti klímy vo</w:t>
            </w:r>
            <w:r w:rsidRPr="00083739">
              <w:rPr>
                <w:rFonts w:ascii="Times New Roman" w:hAnsi="Times New Roman" w:cs="Times New Roman"/>
                <w:noProof/>
                <w:lang w:val="sk-SK"/>
              </w:rPr>
              <w:t xml:space="preserve"> </w:t>
            </w:r>
            <w:r w:rsidRPr="00083739">
              <w:rPr>
                <w:rFonts w:ascii="Times New Roman" w:hAnsi="Times New Roman" w:cs="Times New Roman"/>
                <w:noProof/>
                <w:szCs w:val="18"/>
                <w:lang w:val="sk-SK"/>
              </w:rPr>
              <w:t>výške 41,5</w:t>
            </w:r>
            <w:r w:rsidR="00083739" w:rsidRPr="00083739">
              <w:rPr>
                <w:rFonts w:ascii="Times New Roman" w:hAnsi="Times New Roman" w:cs="Times New Roman"/>
                <w:noProof/>
                <w:szCs w:val="18"/>
                <w:lang w:val="sk-SK"/>
              </w:rPr>
              <w:t> % a </w:t>
            </w:r>
            <w:r w:rsidRPr="00083739">
              <w:rPr>
                <w:rFonts w:ascii="Times New Roman" w:hAnsi="Times New Roman" w:cs="Times New Roman"/>
                <w:noProof/>
                <w:szCs w:val="18"/>
                <w:lang w:val="sk-SK"/>
              </w:rPr>
              <w:t>digitálnemu cieľu vo výške 20,8</w:t>
            </w:r>
            <w:r w:rsidR="00083739" w:rsidRPr="00083739">
              <w:rPr>
                <w:rFonts w:ascii="Times New Roman" w:hAnsi="Times New Roman" w:cs="Times New Roman"/>
                <w:noProof/>
                <w:szCs w:val="18"/>
                <w:lang w:val="sk-SK"/>
              </w:rPr>
              <w:t> %</w:t>
            </w:r>
            <w:r w:rsidRPr="00083739">
              <w:rPr>
                <w:rFonts w:ascii="Times New Roman" w:hAnsi="Times New Roman" w:cs="Times New Roman"/>
                <w:noProof/>
                <w:szCs w:val="18"/>
                <w:lang w:val="sk-SK"/>
              </w:rPr>
              <w:t>.</w:t>
            </w:r>
          </w:p>
        </w:tc>
      </w:tr>
      <w:tr w:rsidR="002D49B0" w:rsidRPr="00083739" w14:paraId="0A72A5C9" w14:textId="77777777">
        <w:trPr>
          <w:trHeight w:val="314"/>
          <w:jc w:val="center"/>
        </w:trPr>
        <w:tc>
          <w:tcPr>
            <w:tcW w:w="846" w:type="dxa"/>
            <w:tcBorders>
              <w:top w:val="single" w:sz="4" w:space="0" w:color="auto"/>
              <w:left w:val="single" w:sz="4" w:space="0" w:color="auto"/>
              <w:bottom w:val="single" w:sz="4" w:space="0" w:color="auto"/>
              <w:right w:val="single" w:sz="4" w:space="0" w:color="auto"/>
            </w:tcBorders>
            <w:shd w:val="clear" w:color="auto" w:fill="C6EFCE"/>
            <w:noWrap/>
          </w:tcPr>
          <w:p w14:paraId="05A214FA" w14:textId="4A9AA0C9"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327a</w:t>
            </w:r>
          </w:p>
        </w:tc>
        <w:tc>
          <w:tcPr>
            <w:tcW w:w="1429" w:type="dxa"/>
            <w:tcBorders>
              <w:top w:val="single" w:sz="4" w:space="0" w:color="auto"/>
              <w:left w:val="nil"/>
              <w:bottom w:val="single" w:sz="4" w:space="0" w:color="auto"/>
              <w:right w:val="single" w:sz="4" w:space="0" w:color="auto"/>
            </w:tcBorders>
            <w:shd w:val="clear" w:color="auto" w:fill="C6EFCE"/>
            <w:noWrap/>
          </w:tcPr>
          <w:p w14:paraId="360B7CFC" w14:textId="12638C4D"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4.7. Zlepšiť konkurencieschopnosť</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podporiť súkromné investície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vývoz – úverový nástroj 16980_RRP</w:t>
            </w:r>
          </w:p>
        </w:tc>
        <w:tc>
          <w:tcPr>
            <w:tcW w:w="1200" w:type="dxa"/>
            <w:tcBorders>
              <w:top w:val="single" w:sz="4" w:space="0" w:color="auto"/>
              <w:left w:val="nil"/>
              <w:bottom w:val="single" w:sz="4" w:space="0" w:color="auto"/>
              <w:right w:val="single" w:sz="4" w:space="0" w:color="auto"/>
            </w:tcBorders>
            <w:shd w:val="clear" w:color="auto" w:fill="C6EFCE"/>
            <w:noWrap/>
          </w:tcPr>
          <w:p w14:paraId="71C691EE" w14:textId="77777777"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Cieľ</w:t>
            </w:r>
          </w:p>
        </w:tc>
        <w:tc>
          <w:tcPr>
            <w:tcW w:w="1340" w:type="dxa"/>
            <w:tcBorders>
              <w:top w:val="single" w:sz="4" w:space="0" w:color="auto"/>
              <w:left w:val="nil"/>
              <w:bottom w:val="single" w:sz="4" w:space="0" w:color="auto"/>
              <w:right w:val="single" w:sz="4" w:space="0" w:color="auto"/>
            </w:tcBorders>
            <w:shd w:val="clear" w:color="auto" w:fill="C6EFCE"/>
            <w:noWrap/>
          </w:tcPr>
          <w:p w14:paraId="69D9551D" w14:textId="42465625" w:rsidR="002D49B0" w:rsidRPr="00083739" w:rsidRDefault="00BF4125">
            <w:pPr>
              <w:pStyle w:val="P68B1DB1-Normal45"/>
              <w:spacing w:after="0" w:line="240" w:lineRule="auto"/>
              <w:rPr>
                <w:rFonts w:ascii="Times New Roman" w:hAnsi="Times New Roman" w:cs="Times New Roman"/>
                <w:noProof/>
                <w:lang w:val="sk-SK"/>
              </w:rPr>
            </w:pPr>
            <w:r w:rsidRPr="00083739">
              <w:rPr>
                <w:rFonts w:ascii="Times New Roman" w:hAnsi="Times New Roman" w:cs="Times New Roman"/>
                <w:noProof/>
                <w:lang w:val="sk-SK"/>
              </w:rPr>
              <w:t>Finančné prostriedky finančných</w:t>
            </w:r>
            <w:r w:rsidRPr="00083739">
              <w:rPr>
                <w:rFonts w:ascii="Times New Roman" w:hAnsi="Times New Roman" w:cs="Times New Roman"/>
                <w:noProof/>
                <w:lang w:val="sk-SK"/>
              </w:rPr>
              <w:t xml:space="preserve"> inštitúcií vo výške 13364 mil. EUR podpísané</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konečnými príjemcami</w:t>
            </w:r>
          </w:p>
        </w:tc>
        <w:tc>
          <w:tcPr>
            <w:tcW w:w="1660" w:type="dxa"/>
            <w:tcBorders>
              <w:top w:val="single" w:sz="4" w:space="0" w:color="auto"/>
              <w:left w:val="nil"/>
              <w:bottom w:val="single" w:sz="4" w:space="0" w:color="auto"/>
              <w:right w:val="single" w:sz="4" w:space="0" w:color="auto"/>
            </w:tcBorders>
            <w:shd w:val="clear" w:color="auto" w:fill="C6EFCE"/>
          </w:tcPr>
          <w:p w14:paraId="51A32AE7"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80" w:type="dxa"/>
            <w:tcBorders>
              <w:top w:val="single" w:sz="4" w:space="0" w:color="auto"/>
              <w:left w:val="nil"/>
              <w:bottom w:val="single" w:sz="4" w:space="0" w:color="auto"/>
              <w:right w:val="single" w:sz="4" w:space="0" w:color="auto"/>
            </w:tcBorders>
            <w:shd w:val="clear" w:color="auto" w:fill="C6EFCE"/>
            <w:noWrap/>
          </w:tcPr>
          <w:p w14:paraId="7BB1B2EF" w14:textId="73BA5D44"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Suma (v</w:t>
            </w:r>
            <w:r w:rsidRPr="00083739">
              <w:rPr>
                <w:rFonts w:ascii="Times New Roman" w:hAnsi="Times New Roman" w:cs="Times New Roman"/>
                <w:noProof/>
                <w:szCs w:val="18"/>
                <w:lang w:val="sk-SK"/>
              </w:rPr>
              <w:t>miliónoch</w:t>
            </w:r>
            <w:r w:rsidRPr="00083739">
              <w:rPr>
                <w:rFonts w:ascii="Times New Roman" w:hAnsi="Times New Roman" w:cs="Times New Roman"/>
                <w:noProof/>
                <w:lang w:val="sk-SK"/>
              </w:rPr>
              <w:t xml:space="preserve"> EUR)</w:t>
            </w:r>
          </w:p>
        </w:tc>
        <w:tc>
          <w:tcPr>
            <w:tcW w:w="1080" w:type="dxa"/>
            <w:tcBorders>
              <w:top w:val="single" w:sz="4" w:space="0" w:color="auto"/>
              <w:left w:val="nil"/>
              <w:bottom w:val="single" w:sz="4" w:space="0" w:color="auto"/>
              <w:right w:val="single" w:sz="4" w:space="0" w:color="auto"/>
            </w:tcBorders>
            <w:shd w:val="clear" w:color="auto" w:fill="C6EFCE"/>
            <w:noWrap/>
          </w:tcPr>
          <w:p w14:paraId="6B2A84EA" w14:textId="55BE06E6" w:rsidR="002D49B0" w:rsidRPr="00083739" w:rsidRDefault="00BF4125">
            <w:pPr>
              <w:pStyle w:val="P68B1DB1-Normal45"/>
              <w:spacing w:after="0" w:line="240" w:lineRule="auto"/>
              <w:rPr>
                <w:rFonts w:ascii="Times New Roman" w:hAnsi="Times New Roman" w:cs="Times New Roman"/>
                <w:noProof/>
                <w:lang w:val="sk-SK"/>
              </w:rPr>
            </w:pPr>
            <w:r w:rsidRPr="00083739">
              <w:rPr>
                <w:rFonts w:ascii="Times New Roman" w:hAnsi="Times New Roman" w:cs="Times New Roman"/>
                <w:noProof/>
                <w:lang w:val="sk-SK"/>
              </w:rPr>
              <w:t>11 182</w:t>
            </w:r>
          </w:p>
        </w:tc>
        <w:tc>
          <w:tcPr>
            <w:tcW w:w="840" w:type="dxa"/>
            <w:tcBorders>
              <w:top w:val="single" w:sz="4" w:space="0" w:color="auto"/>
              <w:left w:val="nil"/>
              <w:bottom w:val="single" w:sz="4" w:space="0" w:color="auto"/>
              <w:right w:val="single" w:sz="4" w:space="0" w:color="auto"/>
            </w:tcBorders>
            <w:shd w:val="clear" w:color="auto" w:fill="C6EFCE"/>
            <w:noWrap/>
          </w:tcPr>
          <w:p w14:paraId="5939FC38" w14:textId="1BC18B86" w:rsidR="002D49B0" w:rsidRPr="00083739" w:rsidRDefault="00BF4125">
            <w:pPr>
              <w:pStyle w:val="P68B1DB1-Normal45"/>
              <w:spacing w:after="0" w:line="240" w:lineRule="auto"/>
              <w:rPr>
                <w:rFonts w:ascii="Times New Roman" w:hAnsi="Times New Roman" w:cs="Times New Roman"/>
                <w:noProof/>
                <w:lang w:val="sk-SK"/>
              </w:rPr>
            </w:pPr>
            <w:r w:rsidRPr="00083739">
              <w:rPr>
                <w:rFonts w:ascii="Times New Roman" w:hAnsi="Times New Roman" w:cs="Times New Roman"/>
                <w:noProof/>
                <w:lang w:val="sk-SK"/>
              </w:rPr>
              <w:t>13 364</w:t>
            </w:r>
          </w:p>
        </w:tc>
        <w:tc>
          <w:tcPr>
            <w:tcW w:w="960" w:type="dxa"/>
            <w:tcBorders>
              <w:top w:val="single" w:sz="4" w:space="0" w:color="auto"/>
              <w:left w:val="nil"/>
              <w:bottom w:val="single" w:sz="4" w:space="0" w:color="auto"/>
              <w:right w:val="single" w:sz="4" w:space="0" w:color="auto"/>
            </w:tcBorders>
            <w:shd w:val="clear" w:color="auto" w:fill="C6EFCE"/>
            <w:noWrap/>
          </w:tcPr>
          <w:p w14:paraId="208DC9E3" w14:textId="163EF537"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PRVÝ ŠTVRŤROK</w:t>
            </w:r>
          </w:p>
        </w:tc>
        <w:tc>
          <w:tcPr>
            <w:tcW w:w="840" w:type="dxa"/>
            <w:tcBorders>
              <w:top w:val="single" w:sz="4" w:space="0" w:color="auto"/>
              <w:left w:val="nil"/>
              <w:bottom w:val="single" w:sz="4" w:space="0" w:color="auto"/>
              <w:right w:val="single" w:sz="4" w:space="0" w:color="auto"/>
            </w:tcBorders>
            <w:shd w:val="clear" w:color="auto" w:fill="C6EFCE"/>
            <w:noWrap/>
          </w:tcPr>
          <w:p w14:paraId="7A86BF43" w14:textId="77777777"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2026</w:t>
            </w:r>
          </w:p>
        </w:tc>
        <w:tc>
          <w:tcPr>
            <w:tcW w:w="4608" w:type="dxa"/>
            <w:tcBorders>
              <w:top w:val="single" w:sz="4" w:space="0" w:color="auto"/>
              <w:left w:val="nil"/>
              <w:bottom w:val="single" w:sz="4" w:space="0" w:color="auto"/>
              <w:right w:val="single" w:sz="4" w:space="0" w:color="auto"/>
            </w:tcBorders>
            <w:shd w:val="clear" w:color="auto" w:fill="C6EFCE"/>
            <w:noWrap/>
          </w:tcPr>
          <w:p w14:paraId="1E645737" w14:textId="3D3BEC70" w:rsidR="002D49B0" w:rsidRPr="00083739" w:rsidRDefault="00BF4125">
            <w:pPr>
              <w:pStyle w:val="P68B1DB1-Normal45"/>
              <w:spacing w:after="0" w:line="240" w:lineRule="auto"/>
              <w:rPr>
                <w:rFonts w:ascii="Times New Roman" w:hAnsi="Times New Roman" w:cs="Times New Roman"/>
                <w:noProof/>
                <w:lang w:val="sk-SK"/>
              </w:rPr>
            </w:pPr>
            <w:r w:rsidRPr="00083739">
              <w:rPr>
                <w:rFonts w:ascii="Times New Roman" w:hAnsi="Times New Roman" w:cs="Times New Roman"/>
                <w:noProof/>
                <w:lang w:val="sk-SK"/>
              </w:rPr>
              <w:t>S konečnými príjemcami bolo podpísaných 13364 mil. EUR (vrátane poplatkov za riadenie)</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 xml:space="preserve">úverových nástrojov Mechanizmu na podporu </w:t>
            </w:r>
            <w:r w:rsidRPr="00083739">
              <w:rPr>
                <w:rFonts w:ascii="Times New Roman" w:hAnsi="Times New Roman" w:cs="Times New Roman"/>
                <w:noProof/>
                <w:lang w:val="sk-SK"/>
              </w:rPr>
              <w:t>obnovy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odolnosti súvisiacich</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medzinárodnými finančnými inštitúciami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komerčnými bankami</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súlade</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mandátom vymedzeným</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míľniku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 tom, ako nezávislí audítori overia ex ante súlad</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kritériami riadenia, výberu, monitorovania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auditu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rozdelenia </w:t>
            </w:r>
            <w:r w:rsidRPr="00083739">
              <w:rPr>
                <w:rFonts w:ascii="Times New Roman" w:hAnsi="Times New Roman" w:cs="Times New Roman"/>
                <w:noProof/>
                <w:lang w:val="sk-SK"/>
              </w:rPr>
              <w:t>strát, technické usmernenie „nespôsobovať významnú škodu“ (2021/C58/01)</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príspevok</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cieľu</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klímy vo výške 41,5</w:t>
            </w:r>
            <w:r w:rsidR="00083739" w:rsidRPr="00083739">
              <w:rPr>
                <w:rFonts w:ascii="Times New Roman" w:hAnsi="Times New Roman" w:cs="Times New Roman"/>
                <w:noProof/>
                <w:lang w:val="sk-SK"/>
              </w:rPr>
              <w:t> % a </w:t>
            </w:r>
            <w:r w:rsidRPr="00083739">
              <w:rPr>
                <w:rFonts w:ascii="Times New Roman" w:hAnsi="Times New Roman" w:cs="Times New Roman"/>
                <w:noProof/>
                <w:lang w:val="sk-SK"/>
              </w:rPr>
              <w:t>digitálnemu cieľu vo výške 20,8</w:t>
            </w:r>
            <w:r w:rsidR="00083739" w:rsidRPr="00083739">
              <w:rPr>
                <w:rFonts w:ascii="Times New Roman" w:hAnsi="Times New Roman" w:cs="Times New Roman"/>
                <w:noProof/>
                <w:lang w:val="sk-SK"/>
              </w:rPr>
              <w:t> %</w:t>
            </w:r>
            <w:r w:rsidRPr="00083739">
              <w:rPr>
                <w:rFonts w:ascii="Times New Roman" w:hAnsi="Times New Roman" w:cs="Times New Roman"/>
                <w:noProof/>
                <w:lang w:val="sk-SK"/>
              </w:rPr>
              <w:t>.</w:t>
            </w:r>
          </w:p>
        </w:tc>
      </w:tr>
      <w:tr w:rsidR="002D49B0" w:rsidRPr="00083739" w14:paraId="5D70000E" w14:textId="77777777">
        <w:trPr>
          <w:trHeight w:val="314"/>
          <w:jc w:val="center"/>
        </w:trPr>
        <w:tc>
          <w:tcPr>
            <w:tcW w:w="846" w:type="dxa"/>
            <w:tcBorders>
              <w:top w:val="single" w:sz="4" w:space="0" w:color="auto"/>
              <w:left w:val="single" w:sz="4" w:space="0" w:color="auto"/>
              <w:bottom w:val="single" w:sz="4" w:space="0" w:color="auto"/>
              <w:right w:val="single" w:sz="4" w:space="0" w:color="auto"/>
            </w:tcBorders>
            <w:shd w:val="clear" w:color="auto" w:fill="C6EFCE"/>
            <w:noWrap/>
          </w:tcPr>
          <w:p w14:paraId="6B4ECA76" w14:textId="77777777" w:rsidR="002D49B0" w:rsidRPr="00083739" w:rsidRDefault="00BF4125">
            <w:pPr>
              <w:pStyle w:val="P68B1DB1-Normal9"/>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328</w:t>
            </w:r>
          </w:p>
        </w:tc>
        <w:tc>
          <w:tcPr>
            <w:tcW w:w="1429" w:type="dxa"/>
            <w:tcBorders>
              <w:top w:val="single" w:sz="4" w:space="0" w:color="auto"/>
              <w:left w:val="nil"/>
              <w:bottom w:val="single" w:sz="4" w:space="0" w:color="auto"/>
              <w:right w:val="single" w:sz="4" w:space="0" w:color="auto"/>
            </w:tcBorders>
            <w:shd w:val="clear" w:color="auto" w:fill="C6EFCE"/>
            <w:noWrap/>
          </w:tcPr>
          <w:p w14:paraId="48BA04C8" w14:textId="4EDC9B4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4.7. Zlepšiť konkurencieschopnosť</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podporiť súkromné investície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vývoz – úverový nástroj</w:t>
            </w:r>
            <w:r w:rsidRPr="00083739">
              <w:rPr>
                <w:rFonts w:ascii="Times New Roman" w:hAnsi="Times New Roman" w:cs="Times New Roman"/>
                <w:noProof/>
                <w:lang w:val="sk-SK"/>
              </w:rPr>
              <w:t xml:space="preserve"> 16980_RRP</w:t>
            </w:r>
          </w:p>
        </w:tc>
        <w:tc>
          <w:tcPr>
            <w:tcW w:w="1200" w:type="dxa"/>
            <w:tcBorders>
              <w:top w:val="single" w:sz="4" w:space="0" w:color="auto"/>
              <w:left w:val="nil"/>
              <w:bottom w:val="single" w:sz="4" w:space="0" w:color="auto"/>
              <w:right w:val="single" w:sz="4" w:space="0" w:color="auto"/>
            </w:tcBorders>
            <w:shd w:val="clear" w:color="auto" w:fill="C6EFCE"/>
            <w:noWrap/>
          </w:tcPr>
          <w:p w14:paraId="2356467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Cieľ</w:t>
            </w:r>
          </w:p>
        </w:tc>
        <w:tc>
          <w:tcPr>
            <w:tcW w:w="1340" w:type="dxa"/>
            <w:tcBorders>
              <w:top w:val="single" w:sz="4" w:space="0" w:color="auto"/>
              <w:left w:val="nil"/>
              <w:bottom w:val="single" w:sz="4" w:space="0" w:color="auto"/>
              <w:right w:val="single" w:sz="4" w:space="0" w:color="auto"/>
            </w:tcBorders>
            <w:shd w:val="clear" w:color="auto" w:fill="C6EFCE"/>
            <w:noWrap/>
          </w:tcPr>
          <w:p w14:paraId="3FDB47CF" w14:textId="20751C28"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Finančné prostriedky finančných inštitúcií vo výške 15428 mil. EUR podpísané</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konečnými príjemcami</w:t>
            </w:r>
          </w:p>
        </w:tc>
        <w:tc>
          <w:tcPr>
            <w:tcW w:w="1660" w:type="dxa"/>
            <w:tcBorders>
              <w:top w:val="single" w:sz="4" w:space="0" w:color="auto"/>
              <w:left w:val="nil"/>
              <w:bottom w:val="single" w:sz="4" w:space="0" w:color="auto"/>
              <w:right w:val="single" w:sz="4" w:space="0" w:color="auto"/>
            </w:tcBorders>
            <w:shd w:val="clear" w:color="auto" w:fill="C6EFCE"/>
          </w:tcPr>
          <w:p w14:paraId="5A5EA996"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80" w:type="dxa"/>
            <w:tcBorders>
              <w:top w:val="single" w:sz="4" w:space="0" w:color="auto"/>
              <w:left w:val="nil"/>
              <w:bottom w:val="single" w:sz="4" w:space="0" w:color="auto"/>
              <w:right w:val="single" w:sz="4" w:space="0" w:color="auto"/>
            </w:tcBorders>
            <w:shd w:val="clear" w:color="auto" w:fill="C6EFCE"/>
            <w:noWrap/>
          </w:tcPr>
          <w:p w14:paraId="7C9CD41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Suma (v</w:t>
            </w:r>
            <w:r w:rsidRPr="00083739">
              <w:rPr>
                <w:rFonts w:ascii="Times New Roman" w:hAnsi="Times New Roman" w:cs="Times New Roman"/>
                <w:noProof/>
                <w:szCs w:val="18"/>
                <w:lang w:val="sk-SK"/>
              </w:rPr>
              <w:t>miliónoch</w:t>
            </w:r>
            <w:r w:rsidRPr="00083739">
              <w:rPr>
                <w:rFonts w:ascii="Times New Roman" w:hAnsi="Times New Roman" w:cs="Times New Roman"/>
                <w:noProof/>
                <w:lang w:val="sk-SK"/>
              </w:rPr>
              <w:t xml:space="preserve"> EUR)</w:t>
            </w:r>
          </w:p>
        </w:tc>
        <w:tc>
          <w:tcPr>
            <w:tcW w:w="1080" w:type="dxa"/>
            <w:tcBorders>
              <w:top w:val="single" w:sz="4" w:space="0" w:color="auto"/>
              <w:left w:val="nil"/>
              <w:bottom w:val="single" w:sz="4" w:space="0" w:color="auto"/>
              <w:right w:val="single" w:sz="4" w:space="0" w:color="auto"/>
            </w:tcBorders>
            <w:shd w:val="clear" w:color="auto" w:fill="C6EFCE"/>
            <w:noWrap/>
          </w:tcPr>
          <w:p w14:paraId="2780F562" w14:textId="2E7FE14D" w:rsidR="002D49B0" w:rsidRPr="00083739" w:rsidRDefault="00BF4125">
            <w:pPr>
              <w:pStyle w:val="P68B1DB1-Normal45"/>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13 364</w:t>
            </w:r>
          </w:p>
        </w:tc>
        <w:tc>
          <w:tcPr>
            <w:tcW w:w="840" w:type="dxa"/>
            <w:tcBorders>
              <w:top w:val="single" w:sz="4" w:space="0" w:color="auto"/>
              <w:left w:val="nil"/>
              <w:bottom w:val="single" w:sz="4" w:space="0" w:color="auto"/>
              <w:right w:val="single" w:sz="4" w:space="0" w:color="auto"/>
            </w:tcBorders>
            <w:shd w:val="clear" w:color="auto" w:fill="C6EFCE"/>
            <w:noWrap/>
          </w:tcPr>
          <w:p w14:paraId="19527CA8" w14:textId="5A5BB2F6" w:rsidR="002D49B0" w:rsidRPr="00083739" w:rsidRDefault="00BF4125">
            <w:pPr>
              <w:pStyle w:val="P68B1DB1-Normal45"/>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15 428</w:t>
            </w:r>
          </w:p>
        </w:tc>
        <w:tc>
          <w:tcPr>
            <w:tcW w:w="960" w:type="dxa"/>
            <w:tcBorders>
              <w:top w:val="single" w:sz="4" w:space="0" w:color="auto"/>
              <w:left w:val="nil"/>
              <w:bottom w:val="single" w:sz="4" w:space="0" w:color="auto"/>
              <w:right w:val="single" w:sz="4" w:space="0" w:color="auto"/>
            </w:tcBorders>
            <w:shd w:val="clear" w:color="auto" w:fill="C6EFCE"/>
            <w:noWrap/>
          </w:tcPr>
          <w:p w14:paraId="0C84FA8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840" w:type="dxa"/>
            <w:tcBorders>
              <w:top w:val="single" w:sz="4" w:space="0" w:color="auto"/>
              <w:left w:val="nil"/>
              <w:bottom w:val="single" w:sz="4" w:space="0" w:color="auto"/>
              <w:right w:val="single" w:sz="4" w:space="0" w:color="auto"/>
            </w:tcBorders>
            <w:shd w:val="clear" w:color="auto" w:fill="C6EFCE"/>
            <w:noWrap/>
          </w:tcPr>
          <w:p w14:paraId="648B90B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2026</w:t>
            </w:r>
          </w:p>
        </w:tc>
        <w:tc>
          <w:tcPr>
            <w:tcW w:w="4608" w:type="dxa"/>
            <w:tcBorders>
              <w:top w:val="single" w:sz="4" w:space="0" w:color="auto"/>
              <w:left w:val="nil"/>
              <w:bottom w:val="single" w:sz="4" w:space="0" w:color="auto"/>
              <w:right w:val="single" w:sz="4" w:space="0" w:color="auto"/>
            </w:tcBorders>
            <w:shd w:val="clear" w:color="auto" w:fill="C6EFCE"/>
            <w:noWrap/>
          </w:tcPr>
          <w:p w14:paraId="593B927F" w14:textId="7791ACAD"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szCs w:val="18"/>
                <w:lang w:val="sk-SK"/>
              </w:rPr>
              <w:t xml:space="preserve">S konečnými príjemcami bolo podpísaných 15428 mil. EUR (vrátane poplatkov za </w:t>
            </w:r>
            <w:r w:rsidRPr="00083739">
              <w:rPr>
                <w:rFonts w:ascii="Times New Roman" w:hAnsi="Times New Roman" w:cs="Times New Roman"/>
                <w:noProof/>
                <w:szCs w:val="18"/>
                <w:lang w:val="sk-SK"/>
              </w:rPr>
              <w:t>riadenie)</w:t>
            </w:r>
            <w:r w:rsidR="00083739" w:rsidRPr="00083739">
              <w:rPr>
                <w:rFonts w:ascii="Times New Roman" w:hAnsi="Times New Roman" w:cs="Times New Roman"/>
                <w:noProof/>
                <w:szCs w:val="18"/>
                <w:lang w:val="sk-SK"/>
              </w:rPr>
              <w:t xml:space="preserve"> z </w:t>
            </w:r>
            <w:r w:rsidRPr="00083739">
              <w:rPr>
                <w:rFonts w:ascii="Times New Roman" w:hAnsi="Times New Roman" w:cs="Times New Roman"/>
                <w:noProof/>
                <w:szCs w:val="18"/>
                <w:lang w:val="sk-SK"/>
              </w:rPr>
              <w:t>úverových nástrojov Mechanizmu na podporu obnovy</w:t>
            </w:r>
            <w:r w:rsidR="00083739" w:rsidRPr="00083739">
              <w:rPr>
                <w:rFonts w:ascii="Times New Roman" w:hAnsi="Times New Roman" w:cs="Times New Roman"/>
                <w:noProof/>
                <w:szCs w:val="18"/>
                <w:lang w:val="sk-SK"/>
              </w:rPr>
              <w:t xml:space="preserve"> a </w:t>
            </w:r>
            <w:r w:rsidRPr="00083739">
              <w:rPr>
                <w:rFonts w:ascii="Times New Roman" w:hAnsi="Times New Roman" w:cs="Times New Roman"/>
                <w:noProof/>
                <w:szCs w:val="18"/>
                <w:lang w:val="sk-SK"/>
              </w:rPr>
              <w:t>odolnosti súvisiacich</w:t>
            </w:r>
            <w:r w:rsidR="00083739" w:rsidRPr="00083739">
              <w:rPr>
                <w:rFonts w:ascii="Times New Roman" w:hAnsi="Times New Roman" w:cs="Times New Roman"/>
                <w:noProof/>
                <w:szCs w:val="18"/>
                <w:lang w:val="sk-SK"/>
              </w:rPr>
              <w:t xml:space="preserve"> s </w:t>
            </w:r>
            <w:r w:rsidRPr="00083739">
              <w:rPr>
                <w:rFonts w:ascii="Times New Roman" w:hAnsi="Times New Roman" w:cs="Times New Roman"/>
                <w:noProof/>
                <w:szCs w:val="18"/>
                <w:lang w:val="sk-SK"/>
              </w:rPr>
              <w:t>medzinárodnými finančnými inštitúciami</w:t>
            </w:r>
            <w:r w:rsidR="00083739" w:rsidRPr="00083739">
              <w:rPr>
                <w:rFonts w:ascii="Times New Roman" w:hAnsi="Times New Roman" w:cs="Times New Roman"/>
                <w:noProof/>
                <w:szCs w:val="18"/>
                <w:lang w:val="sk-SK"/>
              </w:rPr>
              <w:t xml:space="preserve"> a </w:t>
            </w:r>
            <w:r w:rsidRPr="00083739">
              <w:rPr>
                <w:rFonts w:ascii="Times New Roman" w:hAnsi="Times New Roman" w:cs="Times New Roman"/>
                <w:noProof/>
                <w:szCs w:val="18"/>
                <w:lang w:val="sk-SK"/>
              </w:rPr>
              <w:t>komerčnými bankami</w:t>
            </w:r>
            <w:r w:rsidR="00083739" w:rsidRPr="00083739">
              <w:rPr>
                <w:rFonts w:ascii="Times New Roman" w:hAnsi="Times New Roman" w:cs="Times New Roman"/>
                <w:noProof/>
                <w:szCs w:val="18"/>
                <w:lang w:val="sk-SK"/>
              </w:rPr>
              <w:t xml:space="preserve"> v </w:t>
            </w:r>
            <w:r w:rsidRPr="00083739">
              <w:rPr>
                <w:rFonts w:ascii="Times New Roman" w:hAnsi="Times New Roman" w:cs="Times New Roman"/>
                <w:noProof/>
                <w:szCs w:val="18"/>
                <w:lang w:val="sk-SK"/>
              </w:rPr>
              <w:t>súlade</w:t>
            </w:r>
            <w:r w:rsidR="00083739" w:rsidRPr="00083739">
              <w:rPr>
                <w:rFonts w:ascii="Times New Roman" w:hAnsi="Times New Roman" w:cs="Times New Roman"/>
                <w:noProof/>
                <w:szCs w:val="18"/>
                <w:lang w:val="sk-SK"/>
              </w:rPr>
              <w:t xml:space="preserve"> s </w:t>
            </w:r>
            <w:r w:rsidRPr="00083739">
              <w:rPr>
                <w:rFonts w:ascii="Times New Roman" w:hAnsi="Times New Roman" w:cs="Times New Roman"/>
                <w:noProof/>
                <w:szCs w:val="18"/>
                <w:lang w:val="sk-SK"/>
              </w:rPr>
              <w:t>mandátom vymedzeným</w:t>
            </w:r>
            <w:r w:rsidR="00083739" w:rsidRPr="00083739">
              <w:rPr>
                <w:rFonts w:ascii="Times New Roman" w:hAnsi="Times New Roman" w:cs="Times New Roman"/>
                <w:noProof/>
                <w:szCs w:val="18"/>
                <w:lang w:val="sk-SK"/>
              </w:rPr>
              <w:t xml:space="preserve"> v </w:t>
            </w:r>
            <w:r w:rsidRPr="00083739">
              <w:rPr>
                <w:rFonts w:ascii="Times New Roman" w:hAnsi="Times New Roman" w:cs="Times New Roman"/>
                <w:noProof/>
                <w:szCs w:val="18"/>
                <w:lang w:val="sk-SK"/>
              </w:rPr>
              <w:t>míľniku</w:t>
            </w:r>
            <w:r w:rsidR="00083739" w:rsidRPr="00083739">
              <w:rPr>
                <w:rFonts w:ascii="Times New Roman" w:hAnsi="Times New Roman" w:cs="Times New Roman"/>
                <w:noProof/>
                <w:szCs w:val="18"/>
                <w:lang w:val="sk-SK"/>
              </w:rPr>
              <w:t xml:space="preserve"> a </w:t>
            </w:r>
            <w:r w:rsidRPr="00083739">
              <w:rPr>
                <w:rFonts w:ascii="Times New Roman" w:hAnsi="Times New Roman" w:cs="Times New Roman"/>
                <w:noProof/>
                <w:szCs w:val="18"/>
                <w:lang w:val="sk-SK"/>
              </w:rPr>
              <w:t>po tom, ako nezávislí audítori overia ex ante súlad</w:t>
            </w:r>
            <w:r w:rsidR="00083739" w:rsidRPr="00083739">
              <w:rPr>
                <w:rFonts w:ascii="Times New Roman" w:hAnsi="Times New Roman" w:cs="Times New Roman"/>
                <w:noProof/>
                <w:szCs w:val="18"/>
                <w:lang w:val="sk-SK"/>
              </w:rPr>
              <w:t xml:space="preserve"> s </w:t>
            </w:r>
            <w:r w:rsidRPr="00083739">
              <w:rPr>
                <w:rFonts w:ascii="Times New Roman" w:hAnsi="Times New Roman" w:cs="Times New Roman"/>
                <w:noProof/>
                <w:szCs w:val="18"/>
                <w:lang w:val="sk-SK"/>
              </w:rPr>
              <w:t>kritériami r</w:t>
            </w:r>
            <w:r w:rsidRPr="00083739">
              <w:rPr>
                <w:rFonts w:ascii="Times New Roman" w:hAnsi="Times New Roman" w:cs="Times New Roman"/>
                <w:noProof/>
                <w:szCs w:val="18"/>
                <w:lang w:val="sk-SK"/>
              </w:rPr>
              <w:t>iadenia, výberu, monitorovania</w:t>
            </w:r>
            <w:r w:rsidR="00083739" w:rsidRPr="00083739">
              <w:rPr>
                <w:rFonts w:ascii="Times New Roman" w:hAnsi="Times New Roman" w:cs="Times New Roman"/>
                <w:noProof/>
                <w:szCs w:val="18"/>
                <w:lang w:val="sk-SK"/>
              </w:rPr>
              <w:t xml:space="preserve"> a </w:t>
            </w:r>
            <w:r w:rsidRPr="00083739">
              <w:rPr>
                <w:rFonts w:ascii="Times New Roman" w:hAnsi="Times New Roman" w:cs="Times New Roman"/>
                <w:noProof/>
                <w:szCs w:val="18"/>
                <w:lang w:val="sk-SK"/>
              </w:rPr>
              <w:t>auditu</w:t>
            </w:r>
            <w:r w:rsidR="00083739" w:rsidRPr="00083739">
              <w:rPr>
                <w:rFonts w:ascii="Times New Roman" w:hAnsi="Times New Roman" w:cs="Times New Roman"/>
                <w:noProof/>
                <w:szCs w:val="18"/>
                <w:lang w:val="sk-SK"/>
              </w:rPr>
              <w:t xml:space="preserve"> a </w:t>
            </w:r>
            <w:r w:rsidRPr="00083739">
              <w:rPr>
                <w:rFonts w:ascii="Times New Roman" w:hAnsi="Times New Roman" w:cs="Times New Roman"/>
                <w:noProof/>
                <w:szCs w:val="18"/>
                <w:lang w:val="sk-SK"/>
              </w:rPr>
              <w:t>rozdelenia strát, technické usmernenie „nespôsobovať významnú škodu“ (2021/C58/01)</w:t>
            </w:r>
            <w:r w:rsidR="00083739" w:rsidRPr="00083739">
              <w:rPr>
                <w:rFonts w:ascii="Times New Roman" w:hAnsi="Times New Roman" w:cs="Times New Roman"/>
                <w:noProof/>
                <w:szCs w:val="18"/>
                <w:lang w:val="sk-SK"/>
              </w:rPr>
              <w:t xml:space="preserve"> a </w:t>
            </w:r>
            <w:r w:rsidRPr="00083739">
              <w:rPr>
                <w:rFonts w:ascii="Times New Roman" w:hAnsi="Times New Roman" w:cs="Times New Roman"/>
                <w:noProof/>
                <w:szCs w:val="18"/>
                <w:lang w:val="sk-SK"/>
              </w:rPr>
              <w:t>príspevok</w:t>
            </w:r>
            <w:r w:rsidR="00083739" w:rsidRPr="00083739">
              <w:rPr>
                <w:rFonts w:ascii="Times New Roman" w:hAnsi="Times New Roman" w:cs="Times New Roman"/>
                <w:noProof/>
                <w:szCs w:val="18"/>
                <w:lang w:val="sk-SK"/>
              </w:rPr>
              <w:t xml:space="preserve"> k </w:t>
            </w:r>
            <w:r w:rsidRPr="00083739">
              <w:rPr>
                <w:rFonts w:ascii="Times New Roman" w:hAnsi="Times New Roman" w:cs="Times New Roman"/>
                <w:noProof/>
                <w:szCs w:val="18"/>
                <w:lang w:val="sk-SK"/>
              </w:rPr>
              <w:t>cieľu</w:t>
            </w:r>
            <w:r w:rsidR="00083739" w:rsidRPr="00083739">
              <w:rPr>
                <w:rFonts w:ascii="Times New Roman" w:hAnsi="Times New Roman" w:cs="Times New Roman"/>
                <w:noProof/>
                <w:szCs w:val="18"/>
                <w:lang w:val="sk-SK"/>
              </w:rPr>
              <w:t xml:space="preserve"> v </w:t>
            </w:r>
            <w:r w:rsidRPr="00083739">
              <w:rPr>
                <w:rFonts w:ascii="Times New Roman" w:hAnsi="Times New Roman" w:cs="Times New Roman"/>
                <w:noProof/>
                <w:szCs w:val="18"/>
                <w:lang w:val="sk-SK"/>
              </w:rPr>
              <w:t>oblasti klímy vo</w:t>
            </w:r>
            <w:r w:rsidRPr="00083739">
              <w:rPr>
                <w:rFonts w:ascii="Times New Roman" w:hAnsi="Times New Roman" w:cs="Times New Roman"/>
                <w:noProof/>
                <w:lang w:val="sk-SK"/>
              </w:rPr>
              <w:t xml:space="preserve"> </w:t>
            </w:r>
            <w:r w:rsidRPr="00083739">
              <w:rPr>
                <w:rFonts w:ascii="Times New Roman" w:hAnsi="Times New Roman" w:cs="Times New Roman"/>
                <w:noProof/>
                <w:szCs w:val="18"/>
                <w:lang w:val="sk-SK"/>
              </w:rPr>
              <w:t>výške 41,5</w:t>
            </w:r>
            <w:r w:rsidR="00083739" w:rsidRPr="00083739">
              <w:rPr>
                <w:rFonts w:ascii="Times New Roman" w:hAnsi="Times New Roman" w:cs="Times New Roman"/>
                <w:noProof/>
                <w:szCs w:val="18"/>
                <w:lang w:val="sk-SK"/>
              </w:rPr>
              <w:t> % a </w:t>
            </w:r>
            <w:r w:rsidRPr="00083739">
              <w:rPr>
                <w:rFonts w:ascii="Times New Roman" w:hAnsi="Times New Roman" w:cs="Times New Roman"/>
                <w:noProof/>
                <w:szCs w:val="18"/>
                <w:lang w:val="sk-SK"/>
              </w:rPr>
              <w:t>digitálnemu cieľu vo výške 20,8</w:t>
            </w:r>
            <w:r w:rsidR="00083739" w:rsidRPr="00083739">
              <w:rPr>
                <w:rFonts w:ascii="Times New Roman" w:hAnsi="Times New Roman" w:cs="Times New Roman"/>
                <w:noProof/>
                <w:szCs w:val="18"/>
                <w:lang w:val="sk-SK"/>
              </w:rPr>
              <w:t> %</w:t>
            </w:r>
            <w:r w:rsidRPr="00083739">
              <w:rPr>
                <w:rFonts w:ascii="Times New Roman" w:hAnsi="Times New Roman" w:cs="Times New Roman"/>
                <w:noProof/>
                <w:szCs w:val="18"/>
                <w:lang w:val="sk-SK"/>
              </w:rPr>
              <w:t>.</w:t>
            </w:r>
          </w:p>
        </w:tc>
      </w:tr>
      <w:tr w:rsidR="002D49B0" w:rsidRPr="00083739" w14:paraId="1A1E3537" w14:textId="77777777">
        <w:trPr>
          <w:trHeight w:val="314"/>
          <w:jc w:val="center"/>
        </w:trPr>
        <w:tc>
          <w:tcPr>
            <w:tcW w:w="846" w:type="dxa"/>
            <w:tcBorders>
              <w:top w:val="single" w:sz="4" w:space="0" w:color="auto"/>
              <w:left w:val="single" w:sz="4" w:space="0" w:color="auto"/>
              <w:bottom w:val="single" w:sz="4" w:space="0" w:color="auto"/>
              <w:right w:val="single" w:sz="4" w:space="0" w:color="auto"/>
            </w:tcBorders>
            <w:shd w:val="clear" w:color="auto" w:fill="C6EFCE"/>
            <w:noWrap/>
          </w:tcPr>
          <w:p w14:paraId="2CBF04D6" w14:textId="77777777" w:rsidR="002D49B0" w:rsidRPr="00083739" w:rsidRDefault="00BF4125">
            <w:pPr>
              <w:pStyle w:val="P68B1DB1-Normal9"/>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328a</w:t>
            </w:r>
          </w:p>
        </w:tc>
        <w:tc>
          <w:tcPr>
            <w:tcW w:w="1429" w:type="dxa"/>
            <w:tcBorders>
              <w:top w:val="single" w:sz="4" w:space="0" w:color="auto"/>
              <w:left w:val="nil"/>
              <w:bottom w:val="single" w:sz="4" w:space="0" w:color="auto"/>
              <w:right w:val="single" w:sz="4" w:space="0" w:color="auto"/>
            </w:tcBorders>
            <w:shd w:val="clear" w:color="auto" w:fill="C6EFCE"/>
            <w:noWrap/>
          </w:tcPr>
          <w:p w14:paraId="372940DD" w14:textId="1624C7E8"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4.7. Zlepšiť konkurencieschopnosť</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podporiť súkromné investície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vývoz – úverový nástroj 16980_RRP</w:t>
            </w:r>
          </w:p>
        </w:tc>
        <w:tc>
          <w:tcPr>
            <w:tcW w:w="1200" w:type="dxa"/>
            <w:tcBorders>
              <w:top w:val="single" w:sz="4" w:space="0" w:color="auto"/>
              <w:left w:val="nil"/>
              <w:bottom w:val="single" w:sz="4" w:space="0" w:color="auto"/>
              <w:right w:val="single" w:sz="4" w:space="0" w:color="auto"/>
            </w:tcBorders>
            <w:shd w:val="clear" w:color="auto" w:fill="C6EFCE"/>
            <w:noWrap/>
          </w:tcPr>
          <w:p w14:paraId="44AA1DD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340" w:type="dxa"/>
            <w:tcBorders>
              <w:top w:val="single" w:sz="4" w:space="0" w:color="auto"/>
              <w:left w:val="nil"/>
              <w:bottom w:val="single" w:sz="4" w:space="0" w:color="auto"/>
              <w:right w:val="single" w:sz="4" w:space="0" w:color="auto"/>
            </w:tcBorders>
            <w:shd w:val="clear" w:color="auto" w:fill="C6EFCE"/>
            <w:noWrap/>
          </w:tcPr>
          <w:p w14:paraId="4D4702B1" w14:textId="0428ED55"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Úverový nástroj – Ministerstvo financií dokončilo investíciu</w:t>
            </w:r>
          </w:p>
        </w:tc>
        <w:tc>
          <w:tcPr>
            <w:tcW w:w="1660" w:type="dxa"/>
            <w:tcBorders>
              <w:top w:val="single" w:sz="4" w:space="0" w:color="auto"/>
              <w:left w:val="nil"/>
              <w:bottom w:val="single" w:sz="4" w:space="0" w:color="auto"/>
              <w:right w:val="single" w:sz="4" w:space="0" w:color="auto"/>
            </w:tcBorders>
            <w:shd w:val="clear" w:color="auto" w:fill="C6EFCE"/>
          </w:tcPr>
          <w:p w14:paraId="383F0E60" w14:textId="3E864F7F"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Osvedčenie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prevode</w:t>
            </w:r>
          </w:p>
        </w:tc>
        <w:tc>
          <w:tcPr>
            <w:tcW w:w="1080" w:type="dxa"/>
            <w:tcBorders>
              <w:top w:val="single" w:sz="4" w:space="0" w:color="auto"/>
              <w:left w:val="nil"/>
              <w:bottom w:val="single" w:sz="4" w:space="0" w:color="auto"/>
              <w:right w:val="single" w:sz="4" w:space="0" w:color="auto"/>
            </w:tcBorders>
            <w:shd w:val="clear" w:color="auto" w:fill="C6EFCE"/>
            <w:noWrap/>
          </w:tcPr>
          <w:p w14:paraId="66175D0D"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80" w:type="dxa"/>
            <w:tcBorders>
              <w:top w:val="single" w:sz="4" w:space="0" w:color="auto"/>
              <w:left w:val="nil"/>
              <w:bottom w:val="single" w:sz="4" w:space="0" w:color="auto"/>
              <w:right w:val="single" w:sz="4" w:space="0" w:color="auto"/>
            </w:tcBorders>
            <w:shd w:val="clear" w:color="auto" w:fill="C6EFCE"/>
            <w:noWrap/>
          </w:tcPr>
          <w:p w14:paraId="2959B64F"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0" w:type="dxa"/>
            <w:tcBorders>
              <w:top w:val="single" w:sz="4" w:space="0" w:color="auto"/>
              <w:left w:val="nil"/>
              <w:bottom w:val="single" w:sz="4" w:space="0" w:color="auto"/>
              <w:right w:val="single" w:sz="4" w:space="0" w:color="auto"/>
            </w:tcBorders>
            <w:shd w:val="clear" w:color="auto" w:fill="C6EFCE"/>
            <w:noWrap/>
          </w:tcPr>
          <w:p w14:paraId="71B3AE77"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60" w:type="dxa"/>
            <w:tcBorders>
              <w:top w:val="single" w:sz="4" w:space="0" w:color="auto"/>
              <w:left w:val="nil"/>
              <w:bottom w:val="single" w:sz="4" w:space="0" w:color="auto"/>
              <w:right w:val="single" w:sz="4" w:space="0" w:color="auto"/>
            </w:tcBorders>
            <w:shd w:val="clear" w:color="auto" w:fill="C6EFCE"/>
            <w:noWrap/>
          </w:tcPr>
          <w:p w14:paraId="15390D2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840" w:type="dxa"/>
            <w:tcBorders>
              <w:top w:val="single" w:sz="4" w:space="0" w:color="auto"/>
              <w:left w:val="nil"/>
              <w:bottom w:val="single" w:sz="4" w:space="0" w:color="auto"/>
              <w:right w:val="single" w:sz="4" w:space="0" w:color="auto"/>
            </w:tcBorders>
            <w:shd w:val="clear" w:color="auto" w:fill="C6EFCE"/>
            <w:noWrap/>
          </w:tcPr>
          <w:p w14:paraId="48BA902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2026</w:t>
            </w:r>
          </w:p>
        </w:tc>
        <w:tc>
          <w:tcPr>
            <w:tcW w:w="4608" w:type="dxa"/>
            <w:tcBorders>
              <w:top w:val="single" w:sz="4" w:space="0" w:color="auto"/>
              <w:left w:val="nil"/>
              <w:bottom w:val="single" w:sz="4" w:space="0" w:color="auto"/>
              <w:right w:val="single" w:sz="4" w:space="0" w:color="auto"/>
            </w:tcBorders>
            <w:shd w:val="clear" w:color="auto" w:fill="C6EFCE"/>
            <w:noWrap/>
          </w:tcPr>
          <w:p w14:paraId="3839BD41" w14:textId="0D3E973A"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Grécko prevedie 15428 miliónov EUR medzinárodným finančným inštitúciám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komerčným bankám na úverový nástroj.</w:t>
            </w:r>
          </w:p>
        </w:tc>
      </w:tr>
      <w:tr w:rsidR="002D49B0" w:rsidRPr="00083739" w14:paraId="544DBA25" w14:textId="77777777">
        <w:trPr>
          <w:trHeight w:val="314"/>
          <w:jc w:val="center"/>
        </w:trPr>
        <w:tc>
          <w:tcPr>
            <w:tcW w:w="846" w:type="dxa"/>
            <w:tcBorders>
              <w:top w:val="single" w:sz="4" w:space="0" w:color="auto"/>
              <w:left w:val="single" w:sz="4" w:space="0" w:color="auto"/>
              <w:bottom w:val="single" w:sz="4" w:space="0" w:color="auto"/>
              <w:right w:val="single" w:sz="4" w:space="0" w:color="auto"/>
            </w:tcBorders>
            <w:shd w:val="clear" w:color="auto" w:fill="C6EFCE"/>
            <w:noWrap/>
          </w:tcPr>
          <w:p w14:paraId="13EC4737" w14:textId="164D53EB"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329</w:t>
            </w:r>
          </w:p>
        </w:tc>
        <w:tc>
          <w:tcPr>
            <w:tcW w:w="1429" w:type="dxa"/>
            <w:tcBorders>
              <w:top w:val="single" w:sz="4" w:space="0" w:color="auto"/>
              <w:left w:val="nil"/>
              <w:bottom w:val="single" w:sz="4" w:space="0" w:color="auto"/>
              <w:right w:val="single" w:sz="4" w:space="0" w:color="auto"/>
            </w:tcBorders>
            <w:shd w:val="clear" w:color="auto" w:fill="C6EFCE"/>
            <w:noWrap/>
          </w:tcPr>
          <w:p w14:paraId="6A74C05A" w14:textId="1AA06573"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4.7. Zlepšiť konkurencieschopnosť</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podporiť súkromné investície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vývoz – úverový nástroj 16980_RRP</w:t>
            </w:r>
          </w:p>
        </w:tc>
        <w:tc>
          <w:tcPr>
            <w:tcW w:w="1200" w:type="dxa"/>
            <w:tcBorders>
              <w:top w:val="single" w:sz="4" w:space="0" w:color="auto"/>
              <w:left w:val="nil"/>
              <w:bottom w:val="single" w:sz="4" w:space="0" w:color="auto"/>
              <w:right w:val="single" w:sz="4" w:space="0" w:color="auto"/>
            </w:tcBorders>
            <w:shd w:val="clear" w:color="auto" w:fill="C6EFCE"/>
            <w:noWrap/>
          </w:tcPr>
          <w:p w14:paraId="1C041F7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Cieľ</w:t>
            </w:r>
          </w:p>
        </w:tc>
        <w:tc>
          <w:tcPr>
            <w:tcW w:w="1340" w:type="dxa"/>
            <w:tcBorders>
              <w:top w:val="single" w:sz="4" w:space="0" w:color="auto"/>
              <w:left w:val="nil"/>
              <w:bottom w:val="single" w:sz="4" w:space="0" w:color="auto"/>
              <w:right w:val="single" w:sz="4" w:space="0" w:color="auto"/>
            </w:tcBorders>
            <w:shd w:val="clear" w:color="auto" w:fill="C6EFCE"/>
            <w:noWrap/>
          </w:tcPr>
          <w:p w14:paraId="6537680D" w14:textId="006C6D18"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Investície vo výške 100</w:t>
            </w:r>
            <w:r w:rsidR="00083739" w:rsidRPr="00083739">
              <w:rPr>
                <w:rFonts w:ascii="Times New Roman" w:hAnsi="Times New Roman" w:cs="Times New Roman"/>
                <w:noProof/>
                <w:lang w:val="sk-SK"/>
              </w:rPr>
              <w:t> %</w:t>
            </w:r>
            <w:r w:rsidRPr="00083739">
              <w:rPr>
                <w:rFonts w:ascii="Times New Roman" w:hAnsi="Times New Roman" w:cs="Times New Roman"/>
                <w:noProof/>
                <w:lang w:val="sk-SK"/>
              </w:rPr>
              <w:t xml:space="preserve"> kapitálovej podpory </w:t>
            </w:r>
          </w:p>
        </w:tc>
        <w:tc>
          <w:tcPr>
            <w:tcW w:w="1660" w:type="dxa"/>
            <w:tcBorders>
              <w:top w:val="single" w:sz="4" w:space="0" w:color="auto"/>
              <w:left w:val="nil"/>
              <w:bottom w:val="single" w:sz="4" w:space="0" w:color="auto"/>
              <w:right w:val="single" w:sz="4" w:space="0" w:color="auto"/>
            </w:tcBorders>
            <w:shd w:val="clear" w:color="auto" w:fill="C6EFCE"/>
          </w:tcPr>
          <w:p w14:paraId="199F9C6F"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80" w:type="dxa"/>
            <w:tcBorders>
              <w:top w:val="single" w:sz="4" w:space="0" w:color="auto"/>
              <w:left w:val="nil"/>
              <w:bottom w:val="single" w:sz="4" w:space="0" w:color="auto"/>
              <w:right w:val="single" w:sz="4" w:space="0" w:color="auto"/>
            </w:tcBorders>
            <w:shd w:val="clear" w:color="auto" w:fill="C6EFCE"/>
            <w:noWrap/>
          </w:tcPr>
          <w:p w14:paraId="1B40FC68" w14:textId="307896C2"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Percentuálny podiel (%) </w:t>
            </w:r>
          </w:p>
        </w:tc>
        <w:tc>
          <w:tcPr>
            <w:tcW w:w="1080" w:type="dxa"/>
            <w:tcBorders>
              <w:top w:val="single" w:sz="4" w:space="0" w:color="auto"/>
              <w:left w:val="nil"/>
              <w:bottom w:val="single" w:sz="4" w:space="0" w:color="auto"/>
              <w:right w:val="single" w:sz="4" w:space="0" w:color="auto"/>
            </w:tcBorders>
            <w:shd w:val="clear" w:color="auto" w:fill="C6EFCE"/>
            <w:noWrap/>
          </w:tcPr>
          <w:p w14:paraId="271FF07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0</w:t>
            </w:r>
          </w:p>
        </w:tc>
        <w:tc>
          <w:tcPr>
            <w:tcW w:w="840" w:type="dxa"/>
            <w:tcBorders>
              <w:top w:val="single" w:sz="4" w:space="0" w:color="auto"/>
              <w:left w:val="nil"/>
              <w:bottom w:val="single" w:sz="4" w:space="0" w:color="auto"/>
              <w:right w:val="single" w:sz="4" w:space="0" w:color="auto"/>
            </w:tcBorders>
            <w:shd w:val="clear" w:color="auto" w:fill="C6EFCE"/>
            <w:noWrap/>
          </w:tcPr>
          <w:p w14:paraId="0F5887B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100</w:t>
            </w:r>
          </w:p>
        </w:tc>
        <w:tc>
          <w:tcPr>
            <w:tcW w:w="960" w:type="dxa"/>
            <w:tcBorders>
              <w:top w:val="single" w:sz="4" w:space="0" w:color="auto"/>
              <w:left w:val="nil"/>
              <w:bottom w:val="single" w:sz="4" w:space="0" w:color="auto"/>
              <w:right w:val="single" w:sz="4" w:space="0" w:color="auto"/>
            </w:tcBorders>
            <w:shd w:val="clear" w:color="auto" w:fill="C6EFCE"/>
            <w:noWrap/>
          </w:tcPr>
          <w:p w14:paraId="525ADE01" w14:textId="1D3C4AE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840" w:type="dxa"/>
            <w:tcBorders>
              <w:top w:val="single" w:sz="4" w:space="0" w:color="auto"/>
              <w:left w:val="nil"/>
              <w:bottom w:val="single" w:sz="4" w:space="0" w:color="auto"/>
              <w:right w:val="single" w:sz="4" w:space="0" w:color="auto"/>
            </w:tcBorders>
            <w:shd w:val="clear" w:color="auto" w:fill="C6EFCE"/>
            <w:noWrap/>
          </w:tcPr>
          <w:p w14:paraId="0303AF7F" w14:textId="2D130D49"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4608" w:type="dxa"/>
            <w:tcBorders>
              <w:top w:val="single" w:sz="4" w:space="0" w:color="auto"/>
              <w:left w:val="nil"/>
              <w:bottom w:val="single" w:sz="4" w:space="0" w:color="auto"/>
              <w:right w:val="single" w:sz="4" w:space="0" w:color="auto"/>
            </w:tcBorders>
            <w:shd w:val="clear" w:color="auto" w:fill="C6EFCE"/>
            <w:noWrap/>
          </w:tcPr>
          <w:p w14:paraId="3F705A87" w14:textId="10E81512" w:rsidR="002D49B0" w:rsidRPr="00083739" w:rsidRDefault="00BF4125">
            <w:pPr>
              <w:pStyle w:val="P68B1DB1-Normal9"/>
              <w:spacing w:after="0" w:line="240" w:lineRule="auto"/>
              <w:rPr>
                <w:rFonts w:ascii="Times New Roman" w:eastAsia="Times New Roman" w:hAnsi="Times New Roman" w:cs="Times New Roman"/>
                <w:noProof/>
                <w:szCs w:val="18"/>
                <w:highlight w:val="yellow"/>
                <w:lang w:val="sk-SK"/>
              </w:rPr>
            </w:pPr>
            <w:r w:rsidRPr="00083739">
              <w:rPr>
                <w:rFonts w:ascii="Times New Roman" w:hAnsi="Times New Roman" w:cs="Times New Roman"/>
                <w:noProof/>
                <w:lang w:val="sk-SK"/>
              </w:rPr>
              <w:t>Investície vo výške 100</w:t>
            </w:r>
            <w:r w:rsidR="00083739" w:rsidRPr="00083739">
              <w:rPr>
                <w:rFonts w:ascii="Times New Roman" w:hAnsi="Times New Roman" w:cs="Times New Roman"/>
                <w:noProof/>
                <w:lang w:val="sk-SK"/>
              </w:rPr>
              <w:t> %</w:t>
            </w:r>
            <w:r w:rsidRPr="00083739">
              <w:rPr>
                <w:rFonts w:ascii="Times New Roman" w:hAnsi="Times New Roman" w:cs="Times New Roman"/>
                <w:noProof/>
                <w:lang w:val="sk-SK"/>
              </w:rPr>
              <w:t xml:space="preserve"> kapitálovej podpory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súlade</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dohodou</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mandáte vymedzenou</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míľniku, ktorá zahŕňa výberové kritériá na dosiahnutie súladu</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technickými usmerneniami „výrazne nenarušiť“ (2021/C58/01) podporovaných spoločností,</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 xml:space="preserve">ktorých sa </w:t>
            </w:r>
            <w:r w:rsidRPr="00083739">
              <w:rPr>
                <w:rFonts w:ascii="Times New Roman" w:hAnsi="Times New Roman" w:cs="Times New Roman"/>
                <w:noProof/>
                <w:lang w:val="sk-SK"/>
              </w:rPr>
              <w:t>vyžaduje používanie overovania udržateľnosti, zoznamu vylúčených subjektov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povinných kontrol dodržiavania právnych predpisov</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príslušnými právnymi predpismi EÚ</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vnútroštátnymi právnymi predpismi</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životného prostredia nezávislým audítorom.</w:t>
            </w:r>
          </w:p>
        </w:tc>
      </w:tr>
      <w:tr w:rsidR="002D49B0" w:rsidRPr="00083739" w14:paraId="2680EEF4" w14:textId="77777777">
        <w:trPr>
          <w:trHeight w:val="314"/>
          <w:jc w:val="center"/>
        </w:trPr>
        <w:tc>
          <w:tcPr>
            <w:tcW w:w="846" w:type="dxa"/>
            <w:tcBorders>
              <w:top w:val="single" w:sz="4" w:space="0" w:color="auto"/>
              <w:left w:val="single" w:sz="4" w:space="0" w:color="auto"/>
              <w:bottom w:val="single" w:sz="4" w:space="0" w:color="auto"/>
              <w:right w:val="single" w:sz="4" w:space="0" w:color="auto"/>
            </w:tcBorders>
            <w:shd w:val="clear" w:color="auto" w:fill="C6EFCE"/>
            <w:noWrap/>
          </w:tcPr>
          <w:p w14:paraId="44EB0AC3" w14:textId="77777777"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330</w:t>
            </w:r>
          </w:p>
        </w:tc>
        <w:tc>
          <w:tcPr>
            <w:tcW w:w="1429" w:type="dxa"/>
            <w:tcBorders>
              <w:top w:val="single" w:sz="4" w:space="0" w:color="auto"/>
              <w:left w:val="nil"/>
              <w:bottom w:val="single" w:sz="4" w:space="0" w:color="auto"/>
              <w:right w:val="single" w:sz="4" w:space="0" w:color="auto"/>
            </w:tcBorders>
            <w:shd w:val="clear" w:color="auto" w:fill="C6EFCE"/>
            <w:noWrap/>
          </w:tcPr>
          <w:p w14:paraId="0808B535" w14:textId="28180D4D"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4.7. Zlepšiť konkurencieschopnosť</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podporiť súkromné investície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vývoz – úverový nástroj 16980_RRP</w:t>
            </w:r>
          </w:p>
        </w:tc>
        <w:tc>
          <w:tcPr>
            <w:tcW w:w="1200" w:type="dxa"/>
            <w:tcBorders>
              <w:top w:val="single" w:sz="4" w:space="0" w:color="auto"/>
              <w:left w:val="nil"/>
              <w:bottom w:val="single" w:sz="4" w:space="0" w:color="auto"/>
              <w:right w:val="single" w:sz="4" w:space="0" w:color="auto"/>
            </w:tcBorders>
            <w:shd w:val="clear" w:color="auto" w:fill="C6EFCE"/>
            <w:noWrap/>
          </w:tcPr>
          <w:p w14:paraId="511C67F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Cieľ</w:t>
            </w:r>
          </w:p>
        </w:tc>
        <w:tc>
          <w:tcPr>
            <w:tcW w:w="1340" w:type="dxa"/>
            <w:tcBorders>
              <w:top w:val="single" w:sz="4" w:space="0" w:color="auto"/>
              <w:left w:val="nil"/>
              <w:bottom w:val="single" w:sz="4" w:space="0" w:color="auto"/>
              <w:right w:val="single" w:sz="4" w:space="0" w:color="auto"/>
            </w:tcBorders>
            <w:shd w:val="clear" w:color="auto" w:fill="C6EFCE"/>
            <w:noWrap/>
          </w:tcPr>
          <w:p w14:paraId="49CDC4BA" w14:textId="61CAD393"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Schvaľovanie operácií</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rámci Programu InvestEU</w:t>
            </w:r>
          </w:p>
        </w:tc>
        <w:tc>
          <w:tcPr>
            <w:tcW w:w="1660" w:type="dxa"/>
            <w:tcBorders>
              <w:top w:val="single" w:sz="4" w:space="0" w:color="auto"/>
              <w:left w:val="nil"/>
              <w:bottom w:val="single" w:sz="4" w:space="0" w:color="auto"/>
              <w:right w:val="single" w:sz="4" w:space="0" w:color="auto"/>
            </w:tcBorders>
            <w:shd w:val="clear" w:color="auto" w:fill="C6EFCE"/>
          </w:tcPr>
          <w:p w14:paraId="7600E46A"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80" w:type="dxa"/>
            <w:tcBorders>
              <w:top w:val="single" w:sz="4" w:space="0" w:color="auto"/>
              <w:left w:val="nil"/>
              <w:bottom w:val="single" w:sz="4" w:space="0" w:color="auto"/>
              <w:right w:val="single" w:sz="4" w:space="0" w:color="auto"/>
            </w:tcBorders>
            <w:shd w:val="clear" w:color="auto" w:fill="C6EFCE"/>
            <w:noWrap/>
          </w:tcPr>
          <w:p w14:paraId="1B47B657" w14:textId="3FC5CD4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Percentuálny podiel (%)</w:t>
            </w:r>
          </w:p>
        </w:tc>
        <w:tc>
          <w:tcPr>
            <w:tcW w:w="1080" w:type="dxa"/>
            <w:tcBorders>
              <w:top w:val="single" w:sz="4" w:space="0" w:color="auto"/>
              <w:left w:val="nil"/>
              <w:bottom w:val="single" w:sz="4" w:space="0" w:color="auto"/>
              <w:right w:val="single" w:sz="4" w:space="0" w:color="auto"/>
            </w:tcBorders>
            <w:shd w:val="clear" w:color="auto" w:fill="C6EFCE"/>
            <w:noWrap/>
          </w:tcPr>
          <w:p w14:paraId="292AD69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0</w:t>
            </w:r>
          </w:p>
        </w:tc>
        <w:tc>
          <w:tcPr>
            <w:tcW w:w="840" w:type="dxa"/>
            <w:tcBorders>
              <w:top w:val="single" w:sz="4" w:space="0" w:color="auto"/>
              <w:left w:val="nil"/>
              <w:bottom w:val="single" w:sz="4" w:space="0" w:color="auto"/>
              <w:right w:val="single" w:sz="4" w:space="0" w:color="auto"/>
            </w:tcBorders>
            <w:shd w:val="clear" w:color="auto" w:fill="C6EFCE"/>
            <w:noWrap/>
          </w:tcPr>
          <w:p w14:paraId="6B770E0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100</w:t>
            </w:r>
          </w:p>
        </w:tc>
        <w:tc>
          <w:tcPr>
            <w:tcW w:w="960" w:type="dxa"/>
            <w:tcBorders>
              <w:top w:val="single" w:sz="4" w:space="0" w:color="auto"/>
              <w:left w:val="nil"/>
              <w:bottom w:val="single" w:sz="4" w:space="0" w:color="auto"/>
              <w:right w:val="single" w:sz="4" w:space="0" w:color="auto"/>
            </w:tcBorders>
            <w:shd w:val="clear" w:color="auto" w:fill="C6EFCE"/>
            <w:noWrap/>
          </w:tcPr>
          <w:p w14:paraId="51633FEC" w14:textId="2246523A"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840" w:type="dxa"/>
            <w:tcBorders>
              <w:top w:val="single" w:sz="4" w:space="0" w:color="auto"/>
              <w:left w:val="nil"/>
              <w:bottom w:val="single" w:sz="4" w:space="0" w:color="auto"/>
              <w:right w:val="single" w:sz="4" w:space="0" w:color="auto"/>
            </w:tcBorders>
            <w:shd w:val="clear" w:color="auto" w:fill="C6EFCE"/>
            <w:noWrap/>
          </w:tcPr>
          <w:p w14:paraId="67981EEB" w14:textId="7ECD323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4608" w:type="dxa"/>
            <w:tcBorders>
              <w:top w:val="single" w:sz="4" w:space="0" w:color="auto"/>
              <w:left w:val="nil"/>
              <w:bottom w:val="single" w:sz="4" w:space="0" w:color="auto"/>
              <w:right w:val="single" w:sz="4" w:space="0" w:color="auto"/>
            </w:tcBorders>
            <w:shd w:val="clear" w:color="auto" w:fill="C6EFCE"/>
            <w:noWrap/>
          </w:tcPr>
          <w:p w14:paraId="51E70393" w14:textId="0474143F"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Investičný výbor InvestEU schvaľuje investičné </w:t>
            </w:r>
            <w:r w:rsidRPr="00083739">
              <w:rPr>
                <w:rFonts w:ascii="Times New Roman" w:hAnsi="Times New Roman" w:cs="Times New Roman"/>
                <w:noProof/>
                <w:lang w:val="sk-SK"/>
              </w:rPr>
              <w:t>operácie vo výške 100</w:t>
            </w:r>
            <w:r w:rsidR="00083739" w:rsidRPr="00083739">
              <w:rPr>
                <w:rFonts w:ascii="Times New Roman" w:hAnsi="Times New Roman" w:cs="Times New Roman"/>
                <w:noProof/>
                <w:lang w:val="sk-SK"/>
              </w:rPr>
              <w:t> %</w:t>
            </w:r>
            <w:r w:rsidRPr="00083739">
              <w:rPr>
                <w:rFonts w:ascii="Times New Roman" w:hAnsi="Times New Roman" w:cs="Times New Roman"/>
                <w:noProof/>
                <w:lang w:val="sk-SK"/>
              </w:rPr>
              <w:t xml:space="preserve"> celkovej sumy cieľového financovania (alebo mobilizovaných investícií).</w:t>
            </w:r>
          </w:p>
        </w:tc>
      </w:tr>
    </w:tbl>
    <w:p w14:paraId="1A905C77" w14:textId="77777777" w:rsidR="002D49B0" w:rsidRPr="00083739" w:rsidRDefault="002D49B0">
      <w:pPr>
        <w:spacing w:before="120" w:after="120" w:line="240" w:lineRule="auto"/>
        <w:jc w:val="both"/>
        <w:rPr>
          <w:rFonts w:ascii="Times New Roman" w:hAnsi="Times New Roman" w:cs="Times New Roman"/>
          <w:noProof/>
          <w:sz w:val="24"/>
          <w:lang w:val="sk-SK"/>
        </w:rPr>
        <w:sectPr w:rsidR="002D49B0" w:rsidRPr="00083739" w:rsidSect="00271D33">
          <w:headerReference w:type="even" r:id="rId325"/>
          <w:headerReference w:type="default" r:id="rId326"/>
          <w:footerReference w:type="even" r:id="rId327"/>
          <w:footerReference w:type="default" r:id="rId328"/>
          <w:headerReference w:type="first" r:id="rId329"/>
          <w:footerReference w:type="first" r:id="rId330"/>
          <w:pgSz w:w="16839" w:h="11907" w:orient="landscape"/>
          <w:pgMar w:top="720" w:right="720" w:bottom="720" w:left="720" w:header="709" w:footer="75" w:gutter="0"/>
          <w:cols w:space="720"/>
          <w:docGrid w:linePitch="360"/>
        </w:sectPr>
      </w:pPr>
    </w:p>
    <w:p w14:paraId="2F3807BD" w14:textId="77777777" w:rsidR="002D49B0" w:rsidRPr="00083739" w:rsidRDefault="00BF4125">
      <w:pPr>
        <w:pStyle w:val="P68B1DB1-Normal2"/>
        <w:spacing w:before="120" w:after="120" w:line="240" w:lineRule="auto"/>
        <w:ind w:firstLine="6"/>
        <w:jc w:val="both"/>
        <w:outlineLvl w:val="3"/>
        <w:rPr>
          <w:rFonts w:cs="Times New Roman"/>
          <w:bCs/>
          <w:noProof/>
          <w:lang w:val="sk-SK"/>
        </w:rPr>
      </w:pPr>
      <w:r w:rsidRPr="00083739">
        <w:rPr>
          <w:rFonts w:cs="Times New Roman"/>
          <w:noProof/>
          <w:lang w:val="sk-SK"/>
        </w:rPr>
        <w:t>S. TECHNICKÁ POMOC</w:t>
      </w:r>
    </w:p>
    <w:p w14:paraId="138DB494" w14:textId="56E86FFA"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Tento komponent gréckeho plánu obnovy</w:t>
      </w:r>
      <w:r w:rsidR="00083739" w:rsidRPr="00083739">
        <w:rPr>
          <w:rFonts w:cs="Times New Roman"/>
          <w:noProof/>
          <w:lang w:val="sk-SK"/>
        </w:rPr>
        <w:t xml:space="preserve"> a </w:t>
      </w:r>
      <w:r w:rsidRPr="00083739">
        <w:rPr>
          <w:rFonts w:cs="Times New Roman"/>
          <w:noProof/>
          <w:lang w:val="sk-SK"/>
        </w:rPr>
        <w:t>odolnosti pozostáva</w:t>
      </w:r>
      <w:r w:rsidR="00083739" w:rsidRPr="00083739">
        <w:rPr>
          <w:rFonts w:cs="Times New Roman"/>
          <w:noProof/>
          <w:lang w:val="sk-SK"/>
        </w:rPr>
        <w:t xml:space="preserve"> z </w:t>
      </w:r>
      <w:r w:rsidRPr="00083739">
        <w:rPr>
          <w:rFonts w:cs="Times New Roman"/>
          <w:noProof/>
          <w:lang w:val="sk-SK"/>
        </w:rPr>
        <w:t xml:space="preserve">opatrení na </w:t>
      </w:r>
      <w:r w:rsidRPr="00083739">
        <w:rPr>
          <w:rFonts w:cs="Times New Roman"/>
          <w:noProof/>
          <w:lang w:val="sk-SK"/>
        </w:rPr>
        <w:t>posilnenie administratívnej kapacity Agentúry pre Mechanizmus na podporu obnovy</w:t>
      </w:r>
      <w:r w:rsidR="00083739" w:rsidRPr="00083739">
        <w:rPr>
          <w:rFonts w:cs="Times New Roman"/>
          <w:noProof/>
          <w:lang w:val="sk-SK"/>
        </w:rPr>
        <w:t xml:space="preserve"> a </w:t>
      </w:r>
      <w:r w:rsidRPr="00083739">
        <w:rPr>
          <w:rFonts w:cs="Times New Roman"/>
          <w:noProof/>
          <w:lang w:val="sk-SK"/>
        </w:rPr>
        <w:t>odolnosti, ktorá je novovytvorenou štruktúrou vyhradenou výlučne na koordináciu</w:t>
      </w:r>
      <w:r w:rsidR="00083739" w:rsidRPr="00083739">
        <w:rPr>
          <w:rFonts w:cs="Times New Roman"/>
          <w:noProof/>
          <w:lang w:val="sk-SK"/>
        </w:rPr>
        <w:t xml:space="preserve"> a </w:t>
      </w:r>
      <w:r w:rsidRPr="00083739">
        <w:rPr>
          <w:rFonts w:cs="Times New Roman"/>
          <w:noProof/>
          <w:lang w:val="sk-SK"/>
        </w:rPr>
        <w:t>vykonávanie plánu obnovy</w:t>
      </w:r>
      <w:r w:rsidR="00083739" w:rsidRPr="00083739">
        <w:rPr>
          <w:rFonts w:cs="Times New Roman"/>
          <w:noProof/>
          <w:lang w:val="sk-SK"/>
        </w:rPr>
        <w:t xml:space="preserve"> a </w:t>
      </w:r>
      <w:r w:rsidRPr="00083739">
        <w:rPr>
          <w:rFonts w:cs="Times New Roman"/>
          <w:noProof/>
          <w:lang w:val="sk-SK"/>
        </w:rPr>
        <w:t>odolnosti Grécka. Cieľom opatrenia je poskytnúť gréckej administr</w:t>
      </w:r>
      <w:r w:rsidRPr="00083739">
        <w:rPr>
          <w:rFonts w:cs="Times New Roman"/>
          <w:noProof/>
          <w:lang w:val="sk-SK"/>
        </w:rPr>
        <w:t>atíve potrebnú pomoc pri úspešnom riadení vykonávania plánu obnovy</w:t>
      </w:r>
      <w:r w:rsidR="00083739" w:rsidRPr="00083739">
        <w:rPr>
          <w:rFonts w:cs="Times New Roman"/>
          <w:noProof/>
          <w:lang w:val="sk-SK"/>
        </w:rPr>
        <w:t xml:space="preserve"> a </w:t>
      </w:r>
      <w:r w:rsidRPr="00083739">
        <w:rPr>
          <w:rFonts w:cs="Times New Roman"/>
          <w:noProof/>
          <w:lang w:val="sk-SK"/>
        </w:rPr>
        <w:t>odolnosti. Očakáva sa teda, že nepriamo prispeje</w:t>
      </w:r>
      <w:r w:rsidR="00083739" w:rsidRPr="00083739">
        <w:rPr>
          <w:rFonts w:cs="Times New Roman"/>
          <w:noProof/>
          <w:lang w:val="sk-SK"/>
        </w:rPr>
        <w:t xml:space="preserve"> k </w:t>
      </w:r>
      <w:r w:rsidRPr="00083739">
        <w:rPr>
          <w:rFonts w:cs="Times New Roman"/>
          <w:noProof/>
          <w:lang w:val="sk-SK"/>
        </w:rPr>
        <w:t>cieľom plánu obnovy</w:t>
      </w:r>
      <w:r w:rsidR="00083739" w:rsidRPr="00083739">
        <w:rPr>
          <w:rFonts w:cs="Times New Roman"/>
          <w:noProof/>
          <w:lang w:val="sk-SK"/>
        </w:rPr>
        <w:t xml:space="preserve"> a </w:t>
      </w:r>
      <w:r w:rsidRPr="00083739">
        <w:rPr>
          <w:rFonts w:cs="Times New Roman"/>
          <w:noProof/>
          <w:lang w:val="sk-SK"/>
        </w:rPr>
        <w:t>odolnosti podporeným opatreniami zahrnutými</w:t>
      </w:r>
      <w:r w:rsidR="00083739" w:rsidRPr="00083739">
        <w:rPr>
          <w:rFonts w:cs="Times New Roman"/>
          <w:noProof/>
          <w:lang w:val="sk-SK"/>
        </w:rPr>
        <w:t xml:space="preserve"> v </w:t>
      </w:r>
      <w:r w:rsidRPr="00083739">
        <w:rPr>
          <w:rFonts w:cs="Times New Roman"/>
          <w:noProof/>
          <w:lang w:val="sk-SK"/>
        </w:rPr>
        <w:t>rámci štyroch pilierov</w:t>
      </w:r>
      <w:r w:rsidR="00083739" w:rsidRPr="00083739">
        <w:rPr>
          <w:rFonts w:cs="Times New Roman"/>
          <w:noProof/>
          <w:lang w:val="sk-SK"/>
        </w:rPr>
        <w:t xml:space="preserve"> a </w:t>
      </w:r>
      <w:r w:rsidRPr="00083739">
        <w:rPr>
          <w:rFonts w:cs="Times New Roman"/>
          <w:noProof/>
          <w:lang w:val="sk-SK"/>
        </w:rPr>
        <w:t>podporí riešenie príslušných odporúčaní pre</w:t>
      </w:r>
      <w:r w:rsidRPr="00083739">
        <w:rPr>
          <w:rFonts w:cs="Times New Roman"/>
          <w:noProof/>
          <w:lang w:val="sk-SK"/>
        </w:rPr>
        <w:t xml:space="preserve"> Grécko, t. j. verejné</w:t>
      </w:r>
      <w:r w:rsidR="00083739" w:rsidRPr="00083739">
        <w:rPr>
          <w:rFonts w:cs="Times New Roman"/>
          <w:noProof/>
          <w:lang w:val="sk-SK"/>
        </w:rPr>
        <w:t xml:space="preserve"> a </w:t>
      </w:r>
      <w:r w:rsidRPr="00083739">
        <w:rPr>
          <w:rFonts w:cs="Times New Roman"/>
          <w:noProof/>
          <w:lang w:val="sk-SK"/>
        </w:rPr>
        <w:t>súkromné investície (odporúčanie pre Španielsko č. 2 2019</w:t>
      </w:r>
      <w:r w:rsidR="00083739" w:rsidRPr="00083739">
        <w:rPr>
          <w:rFonts w:cs="Times New Roman"/>
          <w:noProof/>
          <w:lang w:val="sk-SK"/>
        </w:rPr>
        <w:t xml:space="preserve"> a </w:t>
      </w:r>
      <w:r w:rsidRPr="00083739">
        <w:rPr>
          <w:rFonts w:cs="Times New Roman"/>
          <w:noProof/>
          <w:lang w:val="sk-SK"/>
        </w:rPr>
        <w:t>odporúčanie pre danú krajinu č. 3 2020), verejné financie</w:t>
      </w:r>
      <w:r w:rsidR="00083739" w:rsidRPr="00083739">
        <w:rPr>
          <w:rFonts w:cs="Times New Roman"/>
          <w:noProof/>
          <w:lang w:val="sk-SK"/>
        </w:rPr>
        <w:t xml:space="preserve"> a </w:t>
      </w:r>
      <w:r w:rsidRPr="00083739">
        <w:rPr>
          <w:rFonts w:cs="Times New Roman"/>
          <w:noProof/>
          <w:lang w:val="sk-SK"/>
        </w:rPr>
        <w:t>zdravotnú starostlivosť (odporúčanie pre Španielsko č. 1 2020)</w:t>
      </w:r>
      <w:r w:rsidR="00083739" w:rsidRPr="00083739">
        <w:rPr>
          <w:rFonts w:cs="Times New Roman"/>
          <w:noProof/>
          <w:lang w:val="sk-SK"/>
        </w:rPr>
        <w:t xml:space="preserve"> a </w:t>
      </w:r>
      <w:r w:rsidRPr="00083739">
        <w:rPr>
          <w:rFonts w:cs="Times New Roman"/>
          <w:noProof/>
          <w:lang w:val="sk-SK"/>
        </w:rPr>
        <w:t>trh práce</w:t>
      </w:r>
      <w:r w:rsidR="00083739" w:rsidRPr="00083739">
        <w:rPr>
          <w:rFonts w:cs="Times New Roman"/>
          <w:noProof/>
          <w:lang w:val="sk-SK"/>
        </w:rPr>
        <w:t xml:space="preserve"> a </w:t>
      </w:r>
      <w:r w:rsidRPr="00083739">
        <w:rPr>
          <w:rFonts w:cs="Times New Roman"/>
          <w:noProof/>
          <w:lang w:val="sk-SK"/>
        </w:rPr>
        <w:t>sociálnu politiku (odporúčanie pre</w:t>
      </w:r>
      <w:r w:rsidRPr="00083739">
        <w:rPr>
          <w:rFonts w:cs="Times New Roman"/>
          <w:noProof/>
          <w:lang w:val="sk-SK"/>
        </w:rPr>
        <w:t xml:space="preserve"> Španielsko č. 2 2020).</w:t>
      </w:r>
    </w:p>
    <w:p w14:paraId="3E556037" w14:textId="202069A2" w:rsidR="002D49B0" w:rsidRPr="00083739" w:rsidRDefault="00BF4125">
      <w:pPr>
        <w:spacing w:before="120" w:after="120" w:line="240" w:lineRule="auto"/>
        <w:jc w:val="both"/>
        <w:rPr>
          <w:rFonts w:ascii="Times New Roman" w:hAnsi="Times New Roman" w:cs="Times New Roman"/>
          <w:b/>
          <w:i/>
          <w:noProof/>
          <w:color w:val="4F81BD"/>
          <w:sz w:val="24"/>
          <w:lang w:val="sk-SK"/>
        </w:rPr>
      </w:pPr>
      <w:r w:rsidRPr="00083739">
        <w:rPr>
          <w:rFonts w:ascii="Times New Roman" w:hAnsi="Times New Roman" w:cs="Times New Roman"/>
          <w:b/>
          <w:noProof/>
          <w:sz w:val="24"/>
          <w:u w:val="single"/>
          <w:lang w:val="sk-SK"/>
        </w:rPr>
        <w:t xml:space="preserve">S.1. </w:t>
      </w:r>
      <w:r w:rsidRPr="00083739">
        <w:rPr>
          <w:rFonts w:ascii="Times New Roman" w:hAnsi="Times New Roman" w:cs="Times New Roman"/>
          <w:noProof/>
          <w:lang w:val="sk-SK"/>
        </w:rPr>
        <w:t xml:space="preserve"> </w:t>
      </w:r>
      <w:r w:rsidRPr="00083739">
        <w:rPr>
          <w:rFonts w:ascii="Times New Roman" w:hAnsi="Times New Roman" w:cs="Times New Roman"/>
          <w:b/>
          <w:noProof/>
          <w:sz w:val="24"/>
          <w:u w:val="single"/>
          <w:lang w:val="sk-SK"/>
        </w:rPr>
        <w:t>Opis reforiem</w:t>
      </w:r>
      <w:r w:rsidR="00083739" w:rsidRPr="00083739">
        <w:rPr>
          <w:rFonts w:ascii="Times New Roman" w:hAnsi="Times New Roman" w:cs="Times New Roman"/>
          <w:b/>
          <w:noProof/>
          <w:sz w:val="24"/>
          <w:u w:val="single"/>
          <w:lang w:val="sk-SK"/>
        </w:rPr>
        <w:t xml:space="preserve"> a </w:t>
      </w:r>
      <w:r w:rsidRPr="00083739">
        <w:rPr>
          <w:rFonts w:ascii="Times New Roman" w:hAnsi="Times New Roman" w:cs="Times New Roman"/>
          <w:b/>
          <w:noProof/>
          <w:sz w:val="24"/>
          <w:u w:val="single"/>
          <w:lang w:val="sk-SK"/>
        </w:rPr>
        <w:t>investícií</w:t>
      </w:r>
      <w:r w:rsidR="00083739" w:rsidRPr="00083739">
        <w:rPr>
          <w:rFonts w:ascii="Times New Roman" w:hAnsi="Times New Roman" w:cs="Times New Roman"/>
          <w:b/>
          <w:noProof/>
          <w:sz w:val="24"/>
          <w:u w:val="single"/>
          <w:lang w:val="sk-SK"/>
        </w:rPr>
        <w:t xml:space="preserve"> v </w:t>
      </w:r>
      <w:r w:rsidRPr="00083739">
        <w:rPr>
          <w:rFonts w:ascii="Times New Roman" w:hAnsi="Times New Roman" w:cs="Times New Roman"/>
          <w:b/>
          <w:noProof/>
          <w:sz w:val="24"/>
          <w:u w:val="single"/>
          <w:lang w:val="sk-SK"/>
        </w:rPr>
        <w:t>rámci nenávratnej finančnej podpory</w:t>
      </w:r>
    </w:p>
    <w:p w14:paraId="6C58FEA3" w14:textId="77777777"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Technická pomoc (ID opatrenia 16968)</w:t>
      </w:r>
    </w:p>
    <w:p w14:paraId="41FC9F2E" w14:textId="2EACBB1C" w:rsidR="00083739"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Investícia pozostáva zo šiestich čiastkových projektov, konkrétne: 1. vývoj systémov</w:t>
      </w:r>
      <w:r w:rsidR="00083739" w:rsidRPr="00083739">
        <w:rPr>
          <w:rFonts w:cs="Times New Roman"/>
          <w:noProof/>
          <w:lang w:val="sk-SK"/>
        </w:rPr>
        <w:t xml:space="preserve"> a </w:t>
      </w:r>
      <w:r w:rsidRPr="00083739">
        <w:rPr>
          <w:rFonts w:cs="Times New Roman"/>
          <w:noProof/>
          <w:lang w:val="sk-SK"/>
        </w:rPr>
        <w:t xml:space="preserve">nástrojov na organizáciu </w:t>
      </w:r>
      <w:r w:rsidRPr="00083739">
        <w:rPr>
          <w:rFonts w:cs="Times New Roman"/>
          <w:noProof/>
          <w:lang w:val="sk-SK"/>
        </w:rPr>
        <w:t>práce, 2. nákup služieb od externých audítorov na vykonávanie auditov, inšpekcií</w:t>
      </w:r>
      <w:r w:rsidR="00083739" w:rsidRPr="00083739">
        <w:rPr>
          <w:rFonts w:cs="Times New Roman"/>
          <w:noProof/>
          <w:lang w:val="sk-SK"/>
        </w:rPr>
        <w:t xml:space="preserve"> a </w:t>
      </w:r>
      <w:r w:rsidRPr="00083739">
        <w:rPr>
          <w:rFonts w:cs="Times New Roman"/>
          <w:noProof/>
          <w:lang w:val="sk-SK"/>
        </w:rPr>
        <w:t>certifikácie</w:t>
      </w:r>
      <w:r w:rsidR="00083739" w:rsidRPr="00083739">
        <w:rPr>
          <w:rFonts w:cs="Times New Roman"/>
          <w:noProof/>
          <w:lang w:val="sk-SK"/>
        </w:rPr>
        <w:t xml:space="preserve"> v </w:t>
      </w:r>
      <w:r w:rsidRPr="00083739">
        <w:rPr>
          <w:rFonts w:cs="Times New Roman"/>
          <w:noProof/>
          <w:lang w:val="sk-SK"/>
        </w:rPr>
        <w:t>prípadoch, keď sú potrebné osobitné odborné znalosti,</w:t>
      </w:r>
      <w:r w:rsidR="00083739" w:rsidRPr="00083739">
        <w:rPr>
          <w:rFonts w:cs="Times New Roman"/>
          <w:noProof/>
          <w:lang w:val="sk-SK"/>
        </w:rPr>
        <w:t xml:space="preserve"> a </w:t>
      </w:r>
      <w:r w:rsidRPr="00083739">
        <w:rPr>
          <w:rFonts w:cs="Times New Roman"/>
          <w:noProof/>
          <w:lang w:val="sk-SK"/>
        </w:rPr>
        <w:t>vypracovanie zastrešujúceho metodického rámca pre audity, inšpekcie</w:t>
      </w:r>
      <w:r w:rsidR="00083739" w:rsidRPr="00083739">
        <w:rPr>
          <w:rFonts w:cs="Times New Roman"/>
          <w:noProof/>
          <w:lang w:val="sk-SK"/>
        </w:rPr>
        <w:t xml:space="preserve"> a </w:t>
      </w:r>
      <w:r w:rsidRPr="00083739">
        <w:rPr>
          <w:rFonts w:cs="Times New Roman"/>
          <w:noProof/>
          <w:lang w:val="sk-SK"/>
        </w:rPr>
        <w:t xml:space="preserve">certifikácie na podporu funkcie </w:t>
      </w:r>
      <w:r w:rsidRPr="00083739">
        <w:rPr>
          <w:rFonts w:cs="Times New Roman"/>
          <w:noProof/>
          <w:lang w:val="sk-SK"/>
        </w:rPr>
        <w:t>dohľadu agentúry pre Mechanizmus na podporu obnovy</w:t>
      </w:r>
      <w:r w:rsidR="00083739" w:rsidRPr="00083739">
        <w:rPr>
          <w:rFonts w:cs="Times New Roman"/>
          <w:noProof/>
          <w:lang w:val="sk-SK"/>
        </w:rPr>
        <w:t xml:space="preserve"> a </w:t>
      </w:r>
      <w:r w:rsidRPr="00083739">
        <w:rPr>
          <w:rFonts w:cs="Times New Roman"/>
          <w:noProof/>
          <w:lang w:val="sk-SK"/>
        </w:rPr>
        <w:t>odolnosti, pokiaľ ide</w:t>
      </w:r>
      <w:r w:rsidR="00083739" w:rsidRPr="00083739">
        <w:rPr>
          <w:rFonts w:cs="Times New Roman"/>
          <w:noProof/>
          <w:lang w:val="sk-SK"/>
        </w:rPr>
        <w:t xml:space="preserve"> o </w:t>
      </w:r>
      <w:r w:rsidRPr="00083739">
        <w:rPr>
          <w:rFonts w:cs="Times New Roman"/>
          <w:noProof/>
          <w:lang w:val="sk-SK"/>
        </w:rPr>
        <w:t>vykonávanie opatrení plánu, 3. opatrenia zamerané na získavanie informácií</w:t>
      </w:r>
      <w:r w:rsidR="00083739" w:rsidRPr="00083739">
        <w:rPr>
          <w:rFonts w:cs="Times New Roman"/>
          <w:noProof/>
          <w:lang w:val="sk-SK"/>
        </w:rPr>
        <w:t xml:space="preserve"> a </w:t>
      </w:r>
      <w:r w:rsidRPr="00083739">
        <w:rPr>
          <w:rFonts w:cs="Times New Roman"/>
          <w:noProof/>
          <w:lang w:val="sk-SK"/>
        </w:rPr>
        <w:t>propagáciu</w:t>
      </w:r>
      <w:r w:rsidR="00083739" w:rsidRPr="00083739">
        <w:rPr>
          <w:rFonts w:cs="Times New Roman"/>
          <w:noProof/>
          <w:lang w:val="sk-SK"/>
        </w:rPr>
        <w:t xml:space="preserve"> v </w:t>
      </w:r>
      <w:r w:rsidRPr="00083739">
        <w:rPr>
          <w:rFonts w:cs="Times New Roman"/>
          <w:noProof/>
          <w:lang w:val="sk-SK"/>
        </w:rPr>
        <w:t>súvislosti</w:t>
      </w:r>
      <w:r w:rsidR="00083739" w:rsidRPr="00083739">
        <w:rPr>
          <w:rFonts w:cs="Times New Roman"/>
          <w:noProof/>
          <w:lang w:val="sk-SK"/>
        </w:rPr>
        <w:t xml:space="preserve"> s </w:t>
      </w:r>
      <w:r w:rsidRPr="00083739">
        <w:rPr>
          <w:rFonts w:cs="Times New Roman"/>
          <w:noProof/>
          <w:lang w:val="sk-SK"/>
        </w:rPr>
        <w:t>kľúčovými investíciami</w:t>
      </w:r>
      <w:r w:rsidR="00083739" w:rsidRPr="00083739">
        <w:rPr>
          <w:rFonts w:cs="Times New Roman"/>
          <w:noProof/>
          <w:lang w:val="sk-SK"/>
        </w:rPr>
        <w:t xml:space="preserve"> a </w:t>
      </w:r>
      <w:r w:rsidRPr="00083739">
        <w:rPr>
          <w:rFonts w:cs="Times New Roman"/>
          <w:noProof/>
          <w:lang w:val="sk-SK"/>
        </w:rPr>
        <w:t>reformami</w:t>
      </w:r>
      <w:r w:rsidR="00083739" w:rsidRPr="00083739">
        <w:rPr>
          <w:rFonts w:cs="Times New Roman"/>
          <w:noProof/>
          <w:lang w:val="sk-SK"/>
        </w:rPr>
        <w:t xml:space="preserve"> v </w:t>
      </w:r>
      <w:r w:rsidRPr="00083739">
        <w:rPr>
          <w:rFonts w:cs="Times New Roman"/>
          <w:noProof/>
          <w:lang w:val="sk-SK"/>
        </w:rPr>
        <w:t>rámci plánu, 4. vykonávanie štúdií</w:t>
      </w:r>
      <w:r w:rsidR="00083739" w:rsidRPr="00083739">
        <w:rPr>
          <w:rFonts w:cs="Times New Roman"/>
          <w:noProof/>
          <w:lang w:val="sk-SK"/>
        </w:rPr>
        <w:t xml:space="preserve"> a </w:t>
      </w:r>
      <w:r w:rsidRPr="00083739">
        <w:rPr>
          <w:rFonts w:cs="Times New Roman"/>
          <w:noProof/>
          <w:lang w:val="sk-SK"/>
        </w:rPr>
        <w:t>ná</w:t>
      </w:r>
      <w:r w:rsidRPr="00083739">
        <w:rPr>
          <w:rFonts w:cs="Times New Roman"/>
          <w:noProof/>
          <w:lang w:val="sk-SK"/>
        </w:rPr>
        <w:t>kup externých odborných znalostí</w:t>
      </w:r>
      <w:r w:rsidR="00083739" w:rsidRPr="00083739">
        <w:rPr>
          <w:rFonts w:cs="Times New Roman"/>
          <w:noProof/>
          <w:lang w:val="sk-SK"/>
        </w:rPr>
        <w:t xml:space="preserve"> a </w:t>
      </w:r>
      <w:r w:rsidRPr="00083739">
        <w:rPr>
          <w:rFonts w:cs="Times New Roman"/>
          <w:noProof/>
          <w:lang w:val="sk-SK"/>
        </w:rPr>
        <w:t>technickej podpory</w:t>
      </w:r>
      <w:r w:rsidR="00083739" w:rsidRPr="00083739">
        <w:rPr>
          <w:rFonts w:cs="Times New Roman"/>
          <w:noProof/>
          <w:lang w:val="sk-SK"/>
        </w:rPr>
        <w:t xml:space="preserve"> v </w:t>
      </w:r>
      <w:r w:rsidRPr="00083739">
        <w:rPr>
          <w:rFonts w:cs="Times New Roman"/>
          <w:noProof/>
          <w:lang w:val="sk-SK"/>
        </w:rPr>
        <w:t>rámci špecializovaných projektov, 5) financovanie výdavkov na každodennú prevádzku agentúry (nájom kancelárií, nadobudnutie kancelárskeho vybavenia, úhrada účtov za energie)</w:t>
      </w:r>
      <w:r w:rsidR="00083739" w:rsidRPr="00083739">
        <w:rPr>
          <w:rFonts w:cs="Times New Roman"/>
          <w:noProof/>
          <w:lang w:val="sk-SK"/>
        </w:rPr>
        <w:t xml:space="preserve"> a </w:t>
      </w:r>
      <w:r w:rsidRPr="00083739">
        <w:rPr>
          <w:rFonts w:cs="Times New Roman"/>
          <w:noProof/>
          <w:lang w:val="sk-SK"/>
        </w:rPr>
        <w:t>6) nákup služieb kontrol</w:t>
      </w:r>
      <w:r w:rsidRPr="00083739">
        <w:rPr>
          <w:rFonts w:cs="Times New Roman"/>
          <w:noProof/>
          <w:lang w:val="sk-SK"/>
        </w:rPr>
        <w:t>y kvality pre verejné stavebné projekty</w:t>
      </w:r>
      <w:r w:rsidR="00083739" w:rsidRPr="00083739">
        <w:rPr>
          <w:rFonts w:cs="Times New Roman"/>
          <w:noProof/>
          <w:lang w:val="sk-SK"/>
        </w:rPr>
        <w:t xml:space="preserve"> s </w:t>
      </w:r>
      <w:r w:rsidRPr="00083739">
        <w:rPr>
          <w:rFonts w:cs="Times New Roman"/>
          <w:noProof/>
          <w:lang w:val="sk-SK"/>
        </w:rPr>
        <w:t>cieľom posúdiť súlad</w:t>
      </w:r>
      <w:r w:rsidR="00083739" w:rsidRPr="00083739">
        <w:rPr>
          <w:rFonts w:cs="Times New Roman"/>
          <w:noProof/>
          <w:lang w:val="sk-SK"/>
        </w:rPr>
        <w:t xml:space="preserve"> s </w:t>
      </w:r>
      <w:r w:rsidRPr="00083739">
        <w:rPr>
          <w:rFonts w:cs="Times New Roman"/>
          <w:noProof/>
          <w:lang w:val="sk-SK"/>
        </w:rPr>
        <w:t>podmienkami stavebných zmlúv, predpismi, ako aj technickými normami. Realizácia podprojektu 3 sa uskutoční</w:t>
      </w:r>
      <w:r w:rsidR="00083739" w:rsidRPr="00083739">
        <w:rPr>
          <w:rFonts w:cs="Times New Roman"/>
          <w:noProof/>
          <w:lang w:val="sk-SK"/>
        </w:rPr>
        <w:t xml:space="preserve"> v </w:t>
      </w:r>
      <w:r w:rsidRPr="00083739">
        <w:rPr>
          <w:rFonts w:cs="Times New Roman"/>
          <w:noProof/>
          <w:lang w:val="sk-SK"/>
        </w:rPr>
        <w:t>kontexte zavedenia postupov dobrej správy vecí verejných. Príslušné opatrenia sa s</w:t>
      </w:r>
      <w:r w:rsidRPr="00083739">
        <w:rPr>
          <w:rFonts w:cs="Times New Roman"/>
          <w:noProof/>
          <w:lang w:val="sk-SK"/>
        </w:rPr>
        <w:t>tanú neoddeliteľnou</w:t>
      </w:r>
      <w:r w:rsidR="00083739" w:rsidRPr="00083739">
        <w:rPr>
          <w:rFonts w:cs="Times New Roman"/>
          <w:noProof/>
          <w:lang w:val="sk-SK"/>
        </w:rPr>
        <w:t xml:space="preserve"> a </w:t>
      </w:r>
      <w:r w:rsidRPr="00083739">
        <w:rPr>
          <w:rFonts w:cs="Times New Roman"/>
          <w:noProof/>
          <w:lang w:val="sk-SK"/>
        </w:rPr>
        <w:t>trvalou súčasťou postupu verejných konzultácií</w:t>
      </w:r>
      <w:r w:rsidR="00083739" w:rsidRPr="00083739">
        <w:rPr>
          <w:rFonts w:cs="Times New Roman"/>
          <w:noProof/>
          <w:lang w:val="sk-SK"/>
        </w:rPr>
        <w:t xml:space="preserve"> a </w:t>
      </w:r>
      <w:r w:rsidRPr="00083739">
        <w:rPr>
          <w:rFonts w:cs="Times New Roman"/>
          <w:noProof/>
          <w:lang w:val="sk-SK"/>
        </w:rPr>
        <w:t>použijú sa ako nástroj na uľahčenie zapojenia zainteresovaných strán</w:t>
      </w:r>
      <w:r w:rsidR="00083739" w:rsidRPr="00083739">
        <w:rPr>
          <w:rFonts w:cs="Times New Roman"/>
          <w:noProof/>
          <w:lang w:val="sk-SK"/>
        </w:rPr>
        <w:t xml:space="preserve"> a </w:t>
      </w:r>
      <w:r w:rsidRPr="00083739">
        <w:rPr>
          <w:rFonts w:cs="Times New Roman"/>
          <w:noProof/>
          <w:lang w:val="sk-SK"/>
        </w:rPr>
        <w:t>zabezpečenie udržateľného vykonávania konkrétnych reforiem</w:t>
      </w:r>
      <w:r w:rsidR="00083739" w:rsidRPr="00083739">
        <w:rPr>
          <w:rFonts w:cs="Times New Roman"/>
          <w:noProof/>
          <w:lang w:val="sk-SK"/>
        </w:rPr>
        <w:t xml:space="preserve"> a </w:t>
      </w:r>
      <w:r w:rsidRPr="00083739">
        <w:rPr>
          <w:rFonts w:cs="Times New Roman"/>
          <w:noProof/>
          <w:lang w:val="sk-SK"/>
        </w:rPr>
        <w:t>investícií</w:t>
      </w:r>
      <w:r w:rsidR="00083739" w:rsidRPr="00083739">
        <w:rPr>
          <w:rFonts w:cs="Times New Roman"/>
          <w:noProof/>
          <w:lang w:val="sk-SK"/>
        </w:rPr>
        <w:t xml:space="preserve"> v </w:t>
      </w:r>
      <w:r w:rsidRPr="00083739">
        <w:rPr>
          <w:rFonts w:cs="Times New Roman"/>
          <w:noProof/>
          <w:lang w:val="sk-SK"/>
        </w:rPr>
        <w:t xml:space="preserve">rámci plánu. Financovanie čiastkového </w:t>
      </w:r>
      <w:r w:rsidRPr="00083739">
        <w:rPr>
          <w:rFonts w:cs="Times New Roman"/>
          <w:noProof/>
          <w:lang w:val="sk-SK"/>
        </w:rPr>
        <w:t>projektu 5 má dočasný charakter, t. j. pokiaľ je to potrebné na podporu Agentúry pre Mechanizmus na podporu obnovy</w:t>
      </w:r>
      <w:r w:rsidR="00083739" w:rsidRPr="00083739">
        <w:rPr>
          <w:rFonts w:cs="Times New Roman"/>
          <w:noProof/>
          <w:lang w:val="sk-SK"/>
        </w:rPr>
        <w:t xml:space="preserve"> a </w:t>
      </w:r>
      <w:r w:rsidRPr="00083739">
        <w:rPr>
          <w:rFonts w:cs="Times New Roman"/>
          <w:noProof/>
          <w:lang w:val="sk-SK"/>
        </w:rPr>
        <w:t>odolnosti, aby mohla účinne vykonávať svoj mandát. Opatrenie sa týka aj zriadenia systémov riadenia, auditu</w:t>
      </w:r>
      <w:r w:rsidR="00083739" w:rsidRPr="00083739">
        <w:rPr>
          <w:rFonts w:cs="Times New Roman"/>
          <w:noProof/>
          <w:lang w:val="sk-SK"/>
        </w:rPr>
        <w:t xml:space="preserve"> a </w:t>
      </w:r>
      <w:r w:rsidRPr="00083739">
        <w:rPr>
          <w:rFonts w:cs="Times New Roman"/>
          <w:noProof/>
          <w:lang w:val="sk-SK"/>
        </w:rPr>
        <w:t>kontroly. Implementácia tejto</w:t>
      </w:r>
      <w:r w:rsidRPr="00083739">
        <w:rPr>
          <w:rFonts w:cs="Times New Roman"/>
          <w:noProof/>
          <w:lang w:val="sk-SK"/>
        </w:rPr>
        <w:t xml:space="preserve"> investície sa dokončí do 30</w:t>
      </w:r>
      <w:r w:rsidR="00083739" w:rsidRPr="00083739">
        <w:rPr>
          <w:rFonts w:cs="Times New Roman"/>
          <w:noProof/>
          <w:lang w:val="sk-SK"/>
        </w:rPr>
        <w:t>. júna</w:t>
      </w:r>
      <w:r w:rsidRPr="00083739">
        <w:rPr>
          <w:rFonts w:cs="Times New Roman"/>
          <w:noProof/>
          <w:lang w:val="sk-SK"/>
        </w:rPr>
        <w:t xml:space="preserve"> 2026</w:t>
      </w:r>
      <w:r w:rsidR="00083739" w:rsidRPr="00083739">
        <w:rPr>
          <w:rFonts w:cs="Times New Roman"/>
          <w:noProof/>
          <w:lang w:val="sk-SK"/>
        </w:rPr>
        <w:t>.</w:t>
      </w:r>
    </w:p>
    <w:p w14:paraId="06473FB0" w14:textId="603DE810" w:rsidR="002D49B0" w:rsidRPr="00083739" w:rsidRDefault="002D49B0">
      <w:pPr>
        <w:rPr>
          <w:rFonts w:ascii="Times New Roman" w:hAnsi="Times New Roman" w:cs="Times New Roman"/>
          <w:b/>
          <w:noProof/>
          <w:sz w:val="24"/>
          <w:u w:val="single"/>
          <w:lang w:val="sk-SK"/>
        </w:rPr>
        <w:sectPr w:rsidR="002D49B0" w:rsidRPr="00083739" w:rsidSect="00803D41">
          <w:headerReference w:type="even" r:id="rId331"/>
          <w:headerReference w:type="default" r:id="rId332"/>
          <w:footerReference w:type="even" r:id="rId333"/>
          <w:footerReference w:type="default" r:id="rId334"/>
          <w:headerReference w:type="first" r:id="rId335"/>
          <w:footerReference w:type="first" r:id="rId336"/>
          <w:pgSz w:w="11907" w:h="16839"/>
          <w:pgMar w:top="720" w:right="720" w:bottom="720" w:left="720" w:header="709" w:footer="215" w:gutter="0"/>
          <w:cols w:space="720"/>
          <w:docGrid w:linePitch="360"/>
        </w:sectPr>
      </w:pPr>
    </w:p>
    <w:p w14:paraId="495ACEE2" w14:textId="787BF69F" w:rsidR="002D49B0" w:rsidRPr="00083739" w:rsidRDefault="00BF4125">
      <w:pPr>
        <w:pStyle w:val="P68B1DB1-Normal25"/>
        <w:spacing w:before="120" w:after="120" w:line="240" w:lineRule="auto"/>
        <w:jc w:val="both"/>
        <w:rPr>
          <w:rFonts w:cs="Times New Roman"/>
          <w:bCs/>
          <w:noProof/>
          <w:lang w:val="sk-SK"/>
        </w:rPr>
      </w:pPr>
      <w:r w:rsidRPr="00083739">
        <w:rPr>
          <w:rFonts w:cs="Times New Roman"/>
          <w:noProof/>
          <w:lang w:val="sk-SK"/>
        </w:rPr>
        <w:t>S.2. Míľniky, ciele, ukazovatele</w:t>
      </w:r>
      <w:r w:rsidR="00083739" w:rsidRPr="00083739">
        <w:rPr>
          <w:rFonts w:cs="Times New Roman"/>
          <w:noProof/>
          <w:lang w:val="sk-SK"/>
        </w:rPr>
        <w:t xml:space="preserve"> a </w:t>
      </w:r>
      <w:r w:rsidRPr="00083739">
        <w:rPr>
          <w:rFonts w:cs="Times New Roman"/>
          <w:noProof/>
          <w:lang w:val="sk-SK"/>
        </w:rPr>
        <w:t>harmonogram monitorovania</w:t>
      </w:r>
      <w:r w:rsidR="00083739" w:rsidRPr="00083739">
        <w:rPr>
          <w:rFonts w:cs="Times New Roman"/>
          <w:noProof/>
          <w:lang w:val="sk-SK"/>
        </w:rPr>
        <w:t xml:space="preserve"> a </w:t>
      </w:r>
      <w:r w:rsidRPr="00083739">
        <w:rPr>
          <w:rFonts w:cs="Times New Roman"/>
          <w:noProof/>
          <w:lang w:val="sk-SK"/>
        </w:rPr>
        <w:t>realizácie pre nenávratnú finančnú podporu</w:t>
      </w:r>
    </w:p>
    <w:p w14:paraId="47997478" w14:textId="77777777" w:rsidR="002D49B0" w:rsidRPr="00083739" w:rsidRDefault="00BF4125">
      <w:pPr>
        <w:pStyle w:val="P68B1DB1-Normal6"/>
        <w:keepNext/>
        <w:keepLines/>
        <w:spacing w:before="40" w:after="0" w:line="240" w:lineRule="auto"/>
        <w:jc w:val="both"/>
        <w:outlineLvl w:val="4"/>
        <w:rPr>
          <w:rFonts w:ascii="Times New Roman" w:hAnsi="Times New Roman" w:cs="Times New Roman"/>
          <w:noProof/>
          <w:lang w:val="sk-SK"/>
        </w:rPr>
      </w:pPr>
      <w:r w:rsidRPr="00083739">
        <w:rPr>
          <w:rFonts w:ascii="Times New Roman" w:hAnsi="Times New Roman" w:cs="Times New Roman"/>
          <w:noProof/>
          <w:lang w:val="sk-SK"/>
        </w:rPr>
        <w:t>Technickú pomoc</w:t>
      </w:r>
    </w:p>
    <w:p w14:paraId="6515FF93" w14:textId="77777777" w:rsidR="002D49B0" w:rsidRPr="00083739" w:rsidRDefault="002D49B0">
      <w:pPr>
        <w:keepNext/>
        <w:keepLines/>
        <w:spacing w:before="40" w:after="0" w:line="240" w:lineRule="auto"/>
        <w:jc w:val="both"/>
        <w:outlineLvl w:val="4"/>
        <w:rPr>
          <w:rFonts w:ascii="Times New Roman" w:eastAsia="Times New Roman" w:hAnsi="Times New Roman" w:cs="Times New Roman"/>
          <w:noProof/>
          <w:color w:val="365F91"/>
          <w:sz w:val="24"/>
          <w:lang w:val="sk-SK"/>
        </w:rPr>
      </w:pPr>
    </w:p>
    <w:tbl>
      <w:tblPr>
        <w:tblW w:w="15502" w:type="dxa"/>
        <w:tblInd w:w="113" w:type="dxa"/>
        <w:tblLook w:val="04A0" w:firstRow="1" w:lastRow="0" w:firstColumn="1" w:lastColumn="0" w:noHBand="0" w:noVBand="1"/>
      </w:tblPr>
      <w:tblGrid>
        <w:gridCol w:w="1026"/>
        <w:gridCol w:w="1506"/>
        <w:gridCol w:w="1115"/>
        <w:gridCol w:w="1755"/>
        <w:gridCol w:w="1633"/>
        <w:gridCol w:w="897"/>
        <w:gridCol w:w="1042"/>
        <w:gridCol w:w="845"/>
        <w:gridCol w:w="1167"/>
        <w:gridCol w:w="769"/>
        <w:gridCol w:w="4302"/>
      </w:tblGrid>
      <w:tr w:rsidR="002D49B0" w:rsidRPr="00083739" w14:paraId="02A5F0E7" w14:textId="77777777">
        <w:trPr>
          <w:trHeight w:val="706"/>
          <w:tblHeader/>
        </w:trPr>
        <w:tc>
          <w:tcPr>
            <w:tcW w:w="102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7FA9E65"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Poradové číslo</w:t>
            </w:r>
          </w:p>
        </w:tc>
        <w:tc>
          <w:tcPr>
            <w:tcW w:w="145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49B4311"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 xml:space="preserve">Súvisiace </w:t>
            </w:r>
            <w:r w:rsidRPr="00083739">
              <w:rPr>
                <w:rFonts w:cs="Times New Roman"/>
                <w:noProof/>
                <w:lang w:val="sk-SK"/>
              </w:rPr>
              <w:t>opatrenie (reforma alebo investícia)</w:t>
            </w:r>
          </w:p>
        </w:tc>
        <w:tc>
          <w:tcPr>
            <w:tcW w:w="96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3688365"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Míľnik/cieľ</w:t>
            </w:r>
          </w:p>
        </w:tc>
        <w:tc>
          <w:tcPr>
            <w:tcW w:w="1755" w:type="dxa"/>
            <w:vMerge w:val="restart"/>
            <w:tcBorders>
              <w:top w:val="single" w:sz="4" w:space="0" w:color="auto"/>
              <w:left w:val="nil"/>
              <w:bottom w:val="single" w:sz="4" w:space="0" w:color="auto"/>
              <w:right w:val="single" w:sz="4" w:space="0" w:color="auto"/>
            </w:tcBorders>
            <w:shd w:val="clear" w:color="auto" w:fill="BDD7EE"/>
            <w:vAlign w:val="center"/>
            <w:hideMark/>
          </w:tcPr>
          <w:p w14:paraId="6B859793"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Názov</w:t>
            </w:r>
          </w:p>
        </w:tc>
        <w:tc>
          <w:tcPr>
            <w:tcW w:w="163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F14D317"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Kvalitatívne ukazovatele (pre míľniky)</w:t>
            </w:r>
          </w:p>
        </w:tc>
        <w:tc>
          <w:tcPr>
            <w:tcW w:w="2752" w:type="dxa"/>
            <w:gridSpan w:val="3"/>
            <w:tcBorders>
              <w:top w:val="single" w:sz="4" w:space="0" w:color="auto"/>
              <w:left w:val="nil"/>
              <w:bottom w:val="single" w:sz="4" w:space="0" w:color="auto"/>
              <w:right w:val="single" w:sz="4" w:space="0" w:color="auto"/>
            </w:tcBorders>
            <w:shd w:val="clear" w:color="auto" w:fill="BDD7EE"/>
            <w:vAlign w:val="center"/>
            <w:hideMark/>
          </w:tcPr>
          <w:p w14:paraId="5CF320C0" w14:textId="599BFB16"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Kvantitatívne ukazovatele (pre ciele)</w:t>
            </w:r>
          </w:p>
        </w:tc>
        <w:tc>
          <w:tcPr>
            <w:tcW w:w="1614" w:type="dxa"/>
            <w:gridSpan w:val="2"/>
            <w:tcBorders>
              <w:top w:val="single" w:sz="4" w:space="0" w:color="auto"/>
              <w:left w:val="nil"/>
              <w:bottom w:val="single" w:sz="4" w:space="0" w:color="auto"/>
              <w:right w:val="single" w:sz="4" w:space="0" w:color="auto"/>
            </w:tcBorders>
            <w:shd w:val="clear" w:color="auto" w:fill="BDD7EE"/>
            <w:vAlign w:val="center"/>
            <w:hideMark/>
          </w:tcPr>
          <w:p w14:paraId="763C4847"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 xml:space="preserve">Orientačný harmonogram dokončenia </w:t>
            </w:r>
          </w:p>
        </w:tc>
        <w:tc>
          <w:tcPr>
            <w:tcW w:w="4302"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1ADC688" w14:textId="131C4D6B"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Opis každého míľnika</w:t>
            </w:r>
            <w:r w:rsidR="00083739" w:rsidRPr="00083739">
              <w:rPr>
                <w:rFonts w:cs="Times New Roman"/>
                <w:noProof/>
                <w:lang w:val="sk-SK"/>
              </w:rPr>
              <w:t xml:space="preserve"> a </w:t>
            </w:r>
            <w:r w:rsidRPr="00083739">
              <w:rPr>
                <w:rFonts w:cs="Times New Roman"/>
                <w:noProof/>
                <w:lang w:val="sk-SK"/>
              </w:rPr>
              <w:t>cieľa</w:t>
            </w:r>
          </w:p>
        </w:tc>
      </w:tr>
      <w:tr w:rsidR="002D49B0" w:rsidRPr="00083739" w14:paraId="49B53957" w14:textId="77777777">
        <w:trPr>
          <w:trHeight w:val="620"/>
        </w:trPr>
        <w:tc>
          <w:tcPr>
            <w:tcW w:w="1026" w:type="dxa"/>
            <w:vMerge/>
            <w:tcBorders>
              <w:top w:val="single" w:sz="4" w:space="0" w:color="auto"/>
              <w:left w:val="single" w:sz="4" w:space="0" w:color="auto"/>
              <w:bottom w:val="single" w:sz="4" w:space="0" w:color="auto"/>
              <w:right w:val="single" w:sz="4" w:space="0" w:color="auto"/>
            </w:tcBorders>
            <w:vAlign w:val="center"/>
            <w:hideMark/>
          </w:tcPr>
          <w:p w14:paraId="331788D1"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455" w:type="dxa"/>
            <w:vMerge/>
            <w:tcBorders>
              <w:top w:val="single" w:sz="4" w:space="0" w:color="auto"/>
              <w:left w:val="single" w:sz="4" w:space="0" w:color="auto"/>
              <w:bottom w:val="single" w:sz="4" w:space="0" w:color="auto"/>
              <w:right w:val="single" w:sz="4" w:space="0" w:color="auto"/>
            </w:tcBorders>
            <w:vAlign w:val="center"/>
            <w:hideMark/>
          </w:tcPr>
          <w:p w14:paraId="28E87B8F"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965" w:type="dxa"/>
            <w:vMerge/>
            <w:tcBorders>
              <w:top w:val="single" w:sz="4" w:space="0" w:color="auto"/>
              <w:left w:val="single" w:sz="4" w:space="0" w:color="auto"/>
              <w:bottom w:val="single" w:sz="4" w:space="0" w:color="auto"/>
              <w:right w:val="single" w:sz="4" w:space="0" w:color="auto"/>
            </w:tcBorders>
            <w:vAlign w:val="center"/>
            <w:hideMark/>
          </w:tcPr>
          <w:p w14:paraId="79D8F3A3"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755" w:type="dxa"/>
            <w:vMerge/>
            <w:tcBorders>
              <w:top w:val="single" w:sz="4" w:space="0" w:color="auto"/>
              <w:left w:val="nil"/>
              <w:bottom w:val="single" w:sz="4" w:space="0" w:color="auto"/>
              <w:right w:val="single" w:sz="4" w:space="0" w:color="auto"/>
            </w:tcBorders>
            <w:vAlign w:val="center"/>
            <w:hideMark/>
          </w:tcPr>
          <w:p w14:paraId="1307BA7D"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633" w:type="dxa"/>
            <w:vMerge/>
            <w:tcBorders>
              <w:top w:val="single" w:sz="4" w:space="0" w:color="auto"/>
              <w:left w:val="single" w:sz="4" w:space="0" w:color="auto"/>
              <w:bottom w:val="single" w:sz="4" w:space="0" w:color="auto"/>
              <w:right w:val="single" w:sz="4" w:space="0" w:color="auto"/>
            </w:tcBorders>
            <w:vAlign w:val="center"/>
            <w:hideMark/>
          </w:tcPr>
          <w:p w14:paraId="2A8A1412"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865" w:type="dxa"/>
            <w:tcBorders>
              <w:top w:val="single" w:sz="4" w:space="0" w:color="auto"/>
              <w:left w:val="nil"/>
              <w:bottom w:val="single" w:sz="4" w:space="0" w:color="auto"/>
              <w:right w:val="single" w:sz="4" w:space="0" w:color="auto"/>
            </w:tcBorders>
            <w:shd w:val="clear" w:color="auto" w:fill="BDD7EE"/>
            <w:vAlign w:val="center"/>
            <w:hideMark/>
          </w:tcPr>
          <w:p w14:paraId="0E30B508"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Merná jednotka</w:t>
            </w:r>
          </w:p>
        </w:tc>
        <w:tc>
          <w:tcPr>
            <w:tcW w:w="1042" w:type="dxa"/>
            <w:tcBorders>
              <w:top w:val="single" w:sz="4" w:space="0" w:color="auto"/>
              <w:left w:val="nil"/>
              <w:bottom w:val="single" w:sz="4" w:space="0" w:color="auto"/>
              <w:right w:val="single" w:sz="4" w:space="0" w:color="auto"/>
            </w:tcBorders>
            <w:shd w:val="clear" w:color="auto" w:fill="BDD7EE"/>
            <w:vAlign w:val="center"/>
            <w:hideMark/>
          </w:tcPr>
          <w:p w14:paraId="7D9DBA1C"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 xml:space="preserve">Základná </w:t>
            </w:r>
          </w:p>
        </w:tc>
        <w:tc>
          <w:tcPr>
            <w:tcW w:w="845" w:type="dxa"/>
            <w:tcBorders>
              <w:top w:val="single" w:sz="4" w:space="0" w:color="auto"/>
              <w:left w:val="nil"/>
              <w:bottom w:val="single" w:sz="4" w:space="0" w:color="auto"/>
              <w:right w:val="single" w:sz="4" w:space="0" w:color="auto"/>
            </w:tcBorders>
            <w:shd w:val="clear" w:color="auto" w:fill="BDD7EE"/>
            <w:vAlign w:val="center"/>
            <w:hideMark/>
          </w:tcPr>
          <w:p w14:paraId="26F9CBF2"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 xml:space="preserve">Cieľ </w:t>
            </w:r>
          </w:p>
        </w:tc>
        <w:tc>
          <w:tcPr>
            <w:tcW w:w="845" w:type="dxa"/>
            <w:tcBorders>
              <w:top w:val="single" w:sz="4" w:space="0" w:color="auto"/>
              <w:left w:val="nil"/>
              <w:bottom w:val="single" w:sz="4" w:space="0" w:color="auto"/>
              <w:right w:val="single" w:sz="4" w:space="0" w:color="auto"/>
            </w:tcBorders>
            <w:shd w:val="clear" w:color="auto" w:fill="BDD7EE"/>
            <w:vAlign w:val="center"/>
            <w:hideMark/>
          </w:tcPr>
          <w:p w14:paraId="5811BB7C"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Štvrtina</w:t>
            </w:r>
          </w:p>
        </w:tc>
        <w:tc>
          <w:tcPr>
            <w:tcW w:w="769" w:type="dxa"/>
            <w:tcBorders>
              <w:top w:val="single" w:sz="4" w:space="0" w:color="auto"/>
              <w:left w:val="nil"/>
              <w:bottom w:val="single" w:sz="4" w:space="0" w:color="auto"/>
              <w:right w:val="single" w:sz="4" w:space="0" w:color="auto"/>
            </w:tcBorders>
            <w:shd w:val="clear" w:color="auto" w:fill="BDD7EE"/>
            <w:vAlign w:val="center"/>
            <w:hideMark/>
          </w:tcPr>
          <w:p w14:paraId="3B526335" w14:textId="77777777" w:rsidR="002D49B0" w:rsidRPr="00083739" w:rsidRDefault="00BF4125">
            <w:pPr>
              <w:pStyle w:val="P68B1DB1-Normal7"/>
              <w:spacing w:after="0" w:line="240" w:lineRule="auto"/>
              <w:jc w:val="center"/>
              <w:rPr>
                <w:rFonts w:eastAsia="Times New Roman" w:cs="Times New Roman"/>
                <w:noProof/>
                <w:szCs w:val="18"/>
                <w:lang w:val="sk-SK"/>
              </w:rPr>
            </w:pPr>
            <w:r w:rsidRPr="00083739">
              <w:rPr>
                <w:rFonts w:cs="Times New Roman"/>
                <w:noProof/>
                <w:lang w:val="sk-SK"/>
              </w:rPr>
              <w:t>Rok</w:t>
            </w:r>
          </w:p>
        </w:tc>
        <w:tc>
          <w:tcPr>
            <w:tcW w:w="4302" w:type="dxa"/>
            <w:vMerge/>
            <w:tcBorders>
              <w:top w:val="single" w:sz="4" w:space="0" w:color="auto"/>
              <w:left w:val="single" w:sz="4" w:space="0" w:color="auto"/>
              <w:bottom w:val="single" w:sz="4" w:space="0" w:color="auto"/>
              <w:right w:val="single" w:sz="4" w:space="0" w:color="auto"/>
            </w:tcBorders>
            <w:vAlign w:val="center"/>
            <w:hideMark/>
          </w:tcPr>
          <w:p w14:paraId="62B4B5F4"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r>
      <w:tr w:rsidR="002D49B0" w:rsidRPr="00083739" w14:paraId="6C7D0A15" w14:textId="77777777">
        <w:trPr>
          <w:trHeight w:val="309"/>
        </w:trPr>
        <w:tc>
          <w:tcPr>
            <w:tcW w:w="1026" w:type="dxa"/>
            <w:tcBorders>
              <w:top w:val="single" w:sz="4" w:space="0" w:color="auto"/>
              <w:left w:val="single" w:sz="4" w:space="0" w:color="auto"/>
              <w:bottom w:val="single" w:sz="4" w:space="0" w:color="auto"/>
              <w:right w:val="single" w:sz="4" w:space="0" w:color="auto"/>
            </w:tcBorders>
            <w:shd w:val="clear" w:color="auto" w:fill="C6EFCE"/>
            <w:noWrap/>
          </w:tcPr>
          <w:p w14:paraId="4865A76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331</w:t>
            </w:r>
          </w:p>
        </w:tc>
        <w:tc>
          <w:tcPr>
            <w:tcW w:w="1455" w:type="dxa"/>
            <w:tcBorders>
              <w:top w:val="single" w:sz="4" w:space="0" w:color="auto"/>
              <w:left w:val="nil"/>
              <w:bottom w:val="single" w:sz="4" w:space="0" w:color="auto"/>
              <w:right w:val="single" w:sz="4" w:space="0" w:color="auto"/>
            </w:tcBorders>
            <w:shd w:val="clear" w:color="auto" w:fill="C6EFCE"/>
            <w:noWrap/>
          </w:tcPr>
          <w:p w14:paraId="7ED5053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19 – 16968_Technická pomoc</w:t>
            </w:r>
          </w:p>
        </w:tc>
        <w:tc>
          <w:tcPr>
            <w:tcW w:w="965" w:type="dxa"/>
            <w:tcBorders>
              <w:top w:val="single" w:sz="4" w:space="0" w:color="auto"/>
              <w:left w:val="nil"/>
              <w:bottom w:val="single" w:sz="4" w:space="0" w:color="auto"/>
              <w:right w:val="single" w:sz="4" w:space="0" w:color="auto"/>
            </w:tcBorders>
            <w:shd w:val="clear" w:color="auto" w:fill="C6EFCE"/>
            <w:noWrap/>
          </w:tcPr>
          <w:p w14:paraId="4D36228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755" w:type="dxa"/>
            <w:tcBorders>
              <w:top w:val="single" w:sz="4" w:space="0" w:color="auto"/>
              <w:left w:val="nil"/>
              <w:bottom w:val="single" w:sz="4" w:space="0" w:color="auto"/>
              <w:right w:val="single" w:sz="4" w:space="0" w:color="auto"/>
            </w:tcBorders>
            <w:shd w:val="clear" w:color="auto" w:fill="C6EFCE"/>
            <w:noWrap/>
          </w:tcPr>
          <w:p w14:paraId="30D6EE75" w14:textId="3EFCAD1B"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Právny mandát EDEL</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zriadenie systémov riadenia, kontroly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auditu </w:t>
            </w:r>
          </w:p>
        </w:tc>
        <w:tc>
          <w:tcPr>
            <w:tcW w:w="1633" w:type="dxa"/>
            <w:tcBorders>
              <w:top w:val="single" w:sz="4" w:space="0" w:color="auto"/>
              <w:left w:val="nil"/>
              <w:bottom w:val="single" w:sz="4" w:space="0" w:color="auto"/>
              <w:right w:val="single" w:sz="4" w:space="0" w:color="auto"/>
            </w:tcBorders>
            <w:shd w:val="clear" w:color="auto" w:fill="C6EFCE"/>
            <w:noWrap/>
          </w:tcPr>
          <w:p w14:paraId="4086C370" w14:textId="20CD2A31"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Platný právny mandát EDEL</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zavedené systémy riadenia, kontroly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auditu </w:t>
            </w:r>
          </w:p>
        </w:tc>
        <w:tc>
          <w:tcPr>
            <w:tcW w:w="865" w:type="dxa"/>
            <w:tcBorders>
              <w:top w:val="single" w:sz="4" w:space="0" w:color="auto"/>
              <w:left w:val="nil"/>
              <w:bottom w:val="single" w:sz="4" w:space="0" w:color="auto"/>
              <w:right w:val="single" w:sz="4" w:space="0" w:color="auto"/>
            </w:tcBorders>
            <w:shd w:val="clear" w:color="auto" w:fill="C6EFCE"/>
            <w:noWrap/>
          </w:tcPr>
          <w:p w14:paraId="0D047DBA"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42" w:type="dxa"/>
            <w:tcBorders>
              <w:top w:val="single" w:sz="4" w:space="0" w:color="auto"/>
              <w:left w:val="nil"/>
              <w:bottom w:val="single" w:sz="4" w:space="0" w:color="auto"/>
              <w:right w:val="single" w:sz="4" w:space="0" w:color="auto"/>
            </w:tcBorders>
            <w:shd w:val="clear" w:color="auto" w:fill="C6EFCE"/>
            <w:noWrap/>
          </w:tcPr>
          <w:p w14:paraId="0057FA7A"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5" w:type="dxa"/>
            <w:tcBorders>
              <w:top w:val="single" w:sz="4" w:space="0" w:color="auto"/>
              <w:left w:val="nil"/>
              <w:bottom w:val="single" w:sz="4" w:space="0" w:color="auto"/>
              <w:right w:val="single" w:sz="4" w:space="0" w:color="auto"/>
            </w:tcBorders>
            <w:shd w:val="clear" w:color="auto" w:fill="C6EFCE"/>
            <w:noWrap/>
          </w:tcPr>
          <w:p w14:paraId="4A30CCBF"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45" w:type="dxa"/>
            <w:tcBorders>
              <w:top w:val="single" w:sz="4" w:space="0" w:color="auto"/>
              <w:left w:val="nil"/>
              <w:bottom w:val="single" w:sz="4" w:space="0" w:color="auto"/>
              <w:right w:val="single" w:sz="4" w:space="0" w:color="auto"/>
            </w:tcBorders>
            <w:shd w:val="clear" w:color="auto" w:fill="C6EFCE"/>
            <w:noWrap/>
          </w:tcPr>
          <w:p w14:paraId="4D2B9E9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TRETÍ ŠTVRŤROK</w:t>
            </w:r>
          </w:p>
        </w:tc>
        <w:tc>
          <w:tcPr>
            <w:tcW w:w="769" w:type="dxa"/>
            <w:tcBorders>
              <w:top w:val="single" w:sz="4" w:space="0" w:color="auto"/>
              <w:left w:val="nil"/>
              <w:bottom w:val="single" w:sz="4" w:space="0" w:color="auto"/>
              <w:right w:val="single" w:sz="4" w:space="0" w:color="auto"/>
            </w:tcBorders>
            <w:shd w:val="clear" w:color="auto" w:fill="C6EFCE"/>
            <w:noWrap/>
          </w:tcPr>
          <w:p w14:paraId="1D7001F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2021</w:t>
            </w:r>
          </w:p>
        </w:tc>
        <w:tc>
          <w:tcPr>
            <w:tcW w:w="4302" w:type="dxa"/>
            <w:tcBorders>
              <w:top w:val="single" w:sz="4" w:space="0" w:color="auto"/>
              <w:left w:val="nil"/>
              <w:bottom w:val="single" w:sz="4" w:space="0" w:color="auto"/>
              <w:right w:val="single" w:sz="4" w:space="0" w:color="auto"/>
            </w:tcBorders>
            <w:shd w:val="clear" w:color="auto" w:fill="C6EFCE"/>
            <w:noWrap/>
          </w:tcPr>
          <w:p w14:paraId="6D0824EA" w14:textId="299EDACD"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právneho mandátu EDEL</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zriadenie systému auditu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kontroly, ktorý a) zabezpečí zber údajov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monitorovanie dosahovania míľnikov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cieľov; b) umožniť prípravu vyhlásení riadiaceho subjektu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zhrnutia auditu, ako aj žiadostí</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platbu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c) stanoviť potrebné postupy na zber</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uchová</w:t>
            </w:r>
            <w:r w:rsidRPr="00083739">
              <w:rPr>
                <w:rFonts w:ascii="Times New Roman" w:hAnsi="Times New Roman" w:cs="Times New Roman"/>
                <w:noProof/>
                <w:lang w:val="sk-SK"/>
              </w:rPr>
              <w:t>vanie údajov</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prijímateľoch, dodávateľoch, subdodávateľoch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konečných užívateľoch výhod</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súlade</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článkom 22 nariadenia (EÚ) 2021/241 pred podaním prvej žiadosti</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platbu. Vypracuje sa osobitná audítorská správa</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vytvorení systému.</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prípade, že sa</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w:t>
            </w:r>
            <w:r w:rsidRPr="00083739">
              <w:rPr>
                <w:rFonts w:ascii="Times New Roman" w:hAnsi="Times New Roman" w:cs="Times New Roman"/>
                <w:noProof/>
                <w:lang w:val="sk-SK"/>
              </w:rPr>
              <w:t>práve identifikujú akékoľvek nedostatky,</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audítorskej správe sa odporučia nápravné opatrenia.</w:t>
            </w:r>
          </w:p>
        </w:tc>
      </w:tr>
    </w:tbl>
    <w:p w14:paraId="13F8C92F" w14:textId="77777777" w:rsidR="002D49B0" w:rsidRPr="00083739" w:rsidRDefault="002D49B0">
      <w:pPr>
        <w:spacing w:before="120" w:after="120" w:line="240" w:lineRule="auto"/>
        <w:ind w:left="709"/>
        <w:jc w:val="both"/>
        <w:rPr>
          <w:rFonts w:ascii="Times New Roman" w:hAnsi="Times New Roman" w:cs="Times New Roman"/>
          <w:noProof/>
          <w:sz w:val="24"/>
          <w:szCs w:val="24"/>
          <w:lang w:val="sk-SK"/>
        </w:rPr>
      </w:pPr>
    </w:p>
    <w:p w14:paraId="33CD4E67" w14:textId="77777777" w:rsidR="002D49B0" w:rsidRPr="00083739" w:rsidRDefault="002D49B0">
      <w:pPr>
        <w:spacing w:before="120" w:after="120" w:line="240" w:lineRule="auto"/>
        <w:jc w:val="both"/>
        <w:rPr>
          <w:rFonts w:ascii="Times New Roman" w:hAnsi="Times New Roman" w:cs="Times New Roman"/>
          <w:noProof/>
          <w:sz w:val="24"/>
          <w:lang w:val="sk-SK"/>
        </w:rPr>
        <w:sectPr w:rsidR="002D49B0" w:rsidRPr="00083739" w:rsidSect="00271D33">
          <w:headerReference w:type="default" r:id="rId337"/>
          <w:footerReference w:type="default" r:id="rId338"/>
          <w:pgSz w:w="16839" w:h="11907" w:orient="landscape"/>
          <w:pgMar w:top="720" w:right="720" w:bottom="720" w:left="720" w:header="709" w:footer="217" w:gutter="0"/>
          <w:cols w:space="720"/>
          <w:docGrid w:linePitch="360"/>
        </w:sectPr>
      </w:pPr>
    </w:p>
    <w:p w14:paraId="11CA3570" w14:textId="77777777" w:rsidR="00083739" w:rsidRPr="00083739" w:rsidRDefault="00083739">
      <w:pPr>
        <w:pStyle w:val="P68B1DB1-Normal4"/>
        <w:keepNext/>
        <w:spacing w:before="40" w:after="0" w:line="259" w:lineRule="auto"/>
        <w:jc w:val="both"/>
        <w:outlineLvl w:val="1"/>
        <w:rPr>
          <w:rFonts w:cs="Times New Roman"/>
          <w:noProof/>
          <w:lang w:val="sk-SK"/>
        </w:rPr>
      </w:pPr>
    </w:p>
    <w:p w14:paraId="6A6EE32C" w14:textId="52FCFA19" w:rsidR="002D49B0" w:rsidRPr="00083739" w:rsidRDefault="00BF4125">
      <w:pPr>
        <w:pStyle w:val="Heading4"/>
        <w:ind w:left="0" w:firstLine="0"/>
        <w:rPr>
          <w:noProof/>
          <w:lang w:val="sk-SK"/>
        </w:rPr>
      </w:pPr>
      <w:r w:rsidRPr="00083739">
        <w:rPr>
          <w:noProof/>
          <w:lang w:val="sk-SK"/>
        </w:rPr>
        <w:t>ODDIEL 2: REFORMY A INVESTÍCIE</w:t>
      </w:r>
      <w:r w:rsidR="00083739" w:rsidRPr="00083739">
        <w:rPr>
          <w:noProof/>
          <w:lang w:val="sk-SK"/>
        </w:rPr>
        <w:t xml:space="preserve"> V </w:t>
      </w:r>
      <w:r w:rsidRPr="00083739">
        <w:rPr>
          <w:noProof/>
          <w:lang w:val="sk-SK"/>
        </w:rPr>
        <w:t>RÁMCI KAPITOLY REPOWEREU</w:t>
      </w:r>
    </w:p>
    <w:p w14:paraId="50EAA80E" w14:textId="36B858DA" w:rsidR="00083739"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 xml:space="preserve">Cieľom kapitoly REPowerEU je podporiť </w:t>
      </w:r>
      <w:r w:rsidRPr="00083739">
        <w:rPr>
          <w:rFonts w:cs="Times New Roman"/>
          <w:noProof/>
          <w:lang w:val="sk-SK"/>
        </w:rPr>
        <w:t>ambície Grécka, pokiaľ ide</w:t>
      </w:r>
      <w:r w:rsidR="00083739" w:rsidRPr="00083739">
        <w:rPr>
          <w:rFonts w:cs="Times New Roman"/>
          <w:noProof/>
          <w:lang w:val="sk-SK"/>
        </w:rPr>
        <w:t xml:space="preserve"> o </w:t>
      </w:r>
      <w:r w:rsidRPr="00083739">
        <w:rPr>
          <w:rFonts w:cs="Times New Roman"/>
          <w:noProof/>
          <w:lang w:val="sk-SK"/>
        </w:rPr>
        <w:t>energetickú nezávislosť</w:t>
      </w:r>
      <w:r w:rsidR="00083739" w:rsidRPr="00083739">
        <w:rPr>
          <w:rFonts w:cs="Times New Roman"/>
          <w:noProof/>
          <w:lang w:val="sk-SK"/>
        </w:rPr>
        <w:t xml:space="preserve"> a </w:t>
      </w:r>
      <w:r w:rsidRPr="00083739">
        <w:rPr>
          <w:rFonts w:cs="Times New Roman"/>
          <w:noProof/>
          <w:lang w:val="sk-SK"/>
        </w:rPr>
        <w:t>zelenú transformáciu</w:t>
      </w:r>
      <w:r w:rsidR="00083739" w:rsidRPr="00083739">
        <w:rPr>
          <w:rFonts w:cs="Times New Roman"/>
          <w:noProof/>
          <w:lang w:val="sk-SK"/>
        </w:rPr>
        <w:t xml:space="preserve"> v </w:t>
      </w:r>
      <w:r w:rsidRPr="00083739">
        <w:rPr>
          <w:rFonts w:cs="Times New Roman"/>
          <w:noProof/>
          <w:lang w:val="sk-SK"/>
        </w:rPr>
        <w:t>kontexte novej geopolitickej situácie</w:t>
      </w:r>
      <w:r w:rsidR="00083739" w:rsidRPr="00083739">
        <w:rPr>
          <w:rFonts w:cs="Times New Roman"/>
          <w:noProof/>
          <w:lang w:val="sk-SK"/>
        </w:rPr>
        <w:t xml:space="preserve"> a </w:t>
      </w:r>
      <w:r w:rsidRPr="00083739">
        <w:rPr>
          <w:rFonts w:cs="Times New Roman"/>
          <w:noProof/>
          <w:lang w:val="sk-SK"/>
        </w:rPr>
        <w:t>situácie na trhu</w:t>
      </w:r>
      <w:r w:rsidR="00083739" w:rsidRPr="00083739">
        <w:rPr>
          <w:rFonts w:cs="Times New Roman"/>
          <w:noProof/>
          <w:lang w:val="sk-SK"/>
        </w:rPr>
        <w:t xml:space="preserve"> s </w:t>
      </w:r>
      <w:r w:rsidRPr="00083739">
        <w:rPr>
          <w:rFonts w:cs="Times New Roman"/>
          <w:noProof/>
          <w:lang w:val="sk-SK"/>
        </w:rPr>
        <w:t>energiou. Cieľom reforiem</w:t>
      </w:r>
      <w:r w:rsidR="00083739" w:rsidRPr="00083739">
        <w:rPr>
          <w:rFonts w:cs="Times New Roman"/>
          <w:noProof/>
          <w:lang w:val="sk-SK"/>
        </w:rPr>
        <w:t xml:space="preserve"> a </w:t>
      </w:r>
      <w:r w:rsidRPr="00083739">
        <w:rPr>
          <w:rFonts w:cs="Times New Roman"/>
          <w:noProof/>
          <w:lang w:val="sk-SK"/>
        </w:rPr>
        <w:t>investícií</w:t>
      </w:r>
      <w:r w:rsidR="00083739" w:rsidRPr="00083739">
        <w:rPr>
          <w:rFonts w:cs="Times New Roman"/>
          <w:noProof/>
          <w:lang w:val="sk-SK"/>
        </w:rPr>
        <w:t xml:space="preserve"> v </w:t>
      </w:r>
      <w:r w:rsidRPr="00083739">
        <w:rPr>
          <w:rFonts w:cs="Times New Roman"/>
          <w:noProof/>
          <w:lang w:val="sk-SK"/>
        </w:rPr>
        <w:t>rámci plánu REPowerEU je posilniť energetickú suverenitu Grécka</w:t>
      </w:r>
      <w:r w:rsidR="00083739" w:rsidRPr="00083739">
        <w:rPr>
          <w:rFonts w:cs="Times New Roman"/>
          <w:noProof/>
          <w:lang w:val="sk-SK"/>
        </w:rPr>
        <w:t xml:space="preserve"> a </w:t>
      </w:r>
      <w:r w:rsidRPr="00083739">
        <w:rPr>
          <w:rFonts w:cs="Times New Roman"/>
          <w:noProof/>
          <w:lang w:val="sk-SK"/>
        </w:rPr>
        <w:t>urýchliť dek</w:t>
      </w:r>
      <w:r w:rsidRPr="00083739">
        <w:rPr>
          <w:rFonts w:cs="Times New Roman"/>
          <w:noProof/>
          <w:lang w:val="sk-SK"/>
        </w:rPr>
        <w:t>arbonizáciu jeho hospodárstva</w:t>
      </w:r>
      <w:r w:rsidR="00083739" w:rsidRPr="00083739">
        <w:rPr>
          <w:rFonts w:cs="Times New Roman"/>
          <w:noProof/>
          <w:lang w:val="sk-SK"/>
        </w:rPr>
        <w:t>.</w:t>
      </w:r>
    </w:p>
    <w:p w14:paraId="23868BD7" w14:textId="7B9D26D4" w:rsidR="002D49B0" w:rsidRPr="00083739" w:rsidRDefault="00BF4125">
      <w:pPr>
        <w:pStyle w:val="P68B1DB1-Normal4"/>
        <w:spacing w:before="120" w:after="120" w:line="240" w:lineRule="auto"/>
        <w:jc w:val="both"/>
        <w:rPr>
          <w:rFonts w:eastAsia="Times New Roman" w:cs="Times New Roman"/>
          <w:noProof/>
          <w:color w:val="000000" w:themeColor="text1"/>
          <w:szCs w:val="24"/>
          <w:lang w:val="sk-SK"/>
        </w:rPr>
      </w:pPr>
      <w:r w:rsidRPr="00083739">
        <w:rPr>
          <w:rFonts w:cs="Times New Roman"/>
          <w:noProof/>
          <w:lang w:val="sk-SK"/>
        </w:rPr>
        <w:t>Všetky investície</w:t>
      </w:r>
      <w:r w:rsidR="00083739" w:rsidRPr="00083739">
        <w:rPr>
          <w:rFonts w:cs="Times New Roman"/>
          <w:noProof/>
          <w:lang w:val="sk-SK"/>
        </w:rPr>
        <w:t xml:space="preserve"> v </w:t>
      </w:r>
      <w:r w:rsidRPr="00083739">
        <w:rPr>
          <w:rFonts w:cs="Times New Roman"/>
          <w:noProof/>
          <w:lang w:val="sk-SK"/>
        </w:rPr>
        <w:t>kapitole REPowerEU majú cezhraničný rozmer, ktorý zahŕňa investície do uskladňovania energie, dekarbonizácie priemyslu</w:t>
      </w:r>
      <w:r w:rsidR="00083739" w:rsidRPr="00083739">
        <w:rPr>
          <w:rFonts w:cs="Times New Roman"/>
          <w:noProof/>
          <w:lang w:val="sk-SK"/>
        </w:rPr>
        <w:t xml:space="preserve"> a </w:t>
      </w:r>
      <w:r w:rsidRPr="00083739">
        <w:rPr>
          <w:rFonts w:cs="Times New Roman"/>
          <w:noProof/>
          <w:lang w:val="sk-SK"/>
        </w:rPr>
        <w:t>energetickej efektívnosti.</w:t>
      </w:r>
      <w:r w:rsidR="00083739" w:rsidRPr="00083739">
        <w:rPr>
          <w:rFonts w:cs="Times New Roman"/>
          <w:noProof/>
          <w:lang w:val="sk-SK"/>
        </w:rPr>
        <w:t xml:space="preserve"> V </w:t>
      </w:r>
      <w:r w:rsidRPr="00083739">
        <w:rPr>
          <w:rFonts w:cs="Times New Roman"/>
          <w:noProof/>
          <w:color w:val="000000" w:themeColor="text1"/>
          <w:lang w:val="sk-SK"/>
        </w:rPr>
        <w:t>kapitole REPowerEU sa zavádzajú nové opatrenia, ktoré p</w:t>
      </w:r>
      <w:r w:rsidRPr="00083739">
        <w:rPr>
          <w:rFonts w:cs="Times New Roman"/>
          <w:noProof/>
          <w:color w:val="000000" w:themeColor="text1"/>
          <w:lang w:val="sk-SK"/>
        </w:rPr>
        <w:t>rispievajú</w:t>
      </w:r>
      <w:r w:rsidR="00083739" w:rsidRPr="00083739">
        <w:rPr>
          <w:rFonts w:cs="Times New Roman"/>
          <w:noProof/>
          <w:color w:val="000000" w:themeColor="text1"/>
          <w:lang w:val="sk-SK"/>
        </w:rPr>
        <w:t xml:space="preserve"> k </w:t>
      </w:r>
      <w:r w:rsidRPr="00083739">
        <w:rPr>
          <w:rFonts w:cs="Times New Roman"/>
          <w:noProof/>
          <w:color w:val="000000" w:themeColor="text1"/>
          <w:lang w:val="sk-SK"/>
        </w:rPr>
        <w:t>zníženiu závislosti od fosílnych palív</w:t>
      </w:r>
      <w:r w:rsidR="00083739" w:rsidRPr="00083739">
        <w:rPr>
          <w:rFonts w:cs="Times New Roman"/>
          <w:noProof/>
          <w:color w:val="000000" w:themeColor="text1"/>
          <w:lang w:val="sk-SK"/>
        </w:rPr>
        <w:t xml:space="preserve"> v </w:t>
      </w:r>
      <w:r w:rsidRPr="00083739">
        <w:rPr>
          <w:rFonts w:cs="Times New Roman"/>
          <w:noProof/>
          <w:color w:val="000000" w:themeColor="text1"/>
          <w:lang w:val="sk-SK"/>
        </w:rPr>
        <w:t>súlade</w:t>
      </w:r>
      <w:r w:rsidR="00083739" w:rsidRPr="00083739">
        <w:rPr>
          <w:rFonts w:cs="Times New Roman"/>
          <w:noProof/>
          <w:color w:val="000000" w:themeColor="text1"/>
          <w:lang w:val="sk-SK"/>
        </w:rPr>
        <w:t xml:space="preserve"> s </w:t>
      </w:r>
      <w:r w:rsidRPr="00083739">
        <w:rPr>
          <w:rFonts w:cs="Times New Roman"/>
          <w:noProof/>
          <w:color w:val="000000" w:themeColor="text1"/>
          <w:lang w:val="sk-SK"/>
        </w:rPr>
        <w:t>odporúčaniami pre jednotlivé krajiny prijatými</w:t>
      </w:r>
      <w:r w:rsidR="00083739" w:rsidRPr="00083739">
        <w:rPr>
          <w:rFonts w:cs="Times New Roman"/>
          <w:noProof/>
          <w:color w:val="000000" w:themeColor="text1"/>
          <w:lang w:val="sk-SK"/>
        </w:rPr>
        <w:t xml:space="preserve"> v </w:t>
      </w:r>
      <w:r w:rsidRPr="00083739">
        <w:rPr>
          <w:rFonts w:cs="Times New Roman"/>
          <w:noProof/>
          <w:color w:val="000000" w:themeColor="text1"/>
          <w:lang w:val="sk-SK"/>
        </w:rPr>
        <w:t>rokoch 2023</w:t>
      </w:r>
      <w:r w:rsidR="00083739" w:rsidRPr="00083739">
        <w:rPr>
          <w:rFonts w:cs="Times New Roman"/>
          <w:noProof/>
          <w:color w:val="000000" w:themeColor="text1"/>
          <w:lang w:val="sk-SK"/>
        </w:rPr>
        <w:t xml:space="preserve"> a </w:t>
      </w:r>
      <w:r w:rsidRPr="00083739">
        <w:rPr>
          <w:rFonts w:cs="Times New Roman"/>
          <w:noProof/>
          <w:color w:val="000000" w:themeColor="text1"/>
          <w:lang w:val="sk-SK"/>
        </w:rPr>
        <w:t>2023 (odporúčania pre danú krajinu č. 4 2023</w:t>
      </w:r>
      <w:r w:rsidR="00083739" w:rsidRPr="00083739">
        <w:rPr>
          <w:rFonts w:cs="Times New Roman"/>
          <w:noProof/>
          <w:color w:val="000000" w:themeColor="text1"/>
          <w:lang w:val="sk-SK"/>
        </w:rPr>
        <w:t xml:space="preserve"> a </w:t>
      </w:r>
      <w:r w:rsidRPr="00083739">
        <w:rPr>
          <w:rFonts w:cs="Times New Roman"/>
          <w:noProof/>
          <w:color w:val="000000" w:themeColor="text1"/>
          <w:lang w:val="sk-SK"/>
        </w:rPr>
        <w:t>4 2022).</w:t>
      </w:r>
    </w:p>
    <w:p w14:paraId="7BAF6BED" w14:textId="13AE1960" w:rsidR="002D49B0" w:rsidRPr="00083739" w:rsidRDefault="00BF4125">
      <w:pPr>
        <w:pStyle w:val="P68B1DB1-Normal32"/>
        <w:spacing w:before="120" w:after="120" w:line="240" w:lineRule="auto"/>
        <w:jc w:val="both"/>
        <w:rPr>
          <w:rFonts w:eastAsia="Times New Roman" w:cs="Times New Roman"/>
          <w:noProof/>
          <w:szCs w:val="24"/>
          <w:lang w:val="sk-SK"/>
        </w:rPr>
      </w:pPr>
      <w:r w:rsidRPr="00083739">
        <w:rPr>
          <w:rFonts w:cs="Times New Roman"/>
          <w:noProof/>
          <w:lang w:val="sk-SK"/>
        </w:rPr>
        <w:t>Cieľom nových reformných opatrení je ďalej rozšíriť zavádzanie energie</w:t>
      </w:r>
      <w:r w:rsidR="00083739" w:rsidRPr="00083739">
        <w:rPr>
          <w:rFonts w:cs="Times New Roman"/>
          <w:noProof/>
          <w:lang w:val="sk-SK"/>
        </w:rPr>
        <w:t xml:space="preserve"> z </w:t>
      </w:r>
      <w:r w:rsidRPr="00083739">
        <w:rPr>
          <w:rFonts w:cs="Times New Roman"/>
          <w:noProof/>
          <w:lang w:val="sk-SK"/>
        </w:rPr>
        <w:t>obnoviteľných zdrojov dokončením právneho rámca pre veterné parky na mori, uľahčením investícií do uskladňovania energie, inteligentných sietí</w:t>
      </w:r>
      <w:r w:rsidR="00083739" w:rsidRPr="00083739">
        <w:rPr>
          <w:rFonts w:cs="Times New Roman"/>
          <w:noProof/>
          <w:lang w:val="sk-SK"/>
        </w:rPr>
        <w:t xml:space="preserve"> a </w:t>
      </w:r>
      <w:r w:rsidRPr="00083739">
        <w:rPr>
          <w:rFonts w:cs="Times New Roman"/>
          <w:noProof/>
          <w:lang w:val="sk-SK"/>
        </w:rPr>
        <w:t>zavedením nových legislatívnych rámcov na výrobu vodíka</w:t>
      </w:r>
      <w:r w:rsidR="00083739" w:rsidRPr="00083739">
        <w:rPr>
          <w:rFonts w:cs="Times New Roman"/>
          <w:noProof/>
          <w:lang w:val="sk-SK"/>
        </w:rPr>
        <w:t xml:space="preserve"> z </w:t>
      </w:r>
      <w:r w:rsidRPr="00083739">
        <w:rPr>
          <w:rFonts w:cs="Times New Roman"/>
          <w:noProof/>
          <w:lang w:val="sk-SK"/>
        </w:rPr>
        <w:t>obnoviteľných zdrojov</w:t>
      </w:r>
      <w:r w:rsidR="00083739" w:rsidRPr="00083739">
        <w:rPr>
          <w:rFonts w:cs="Times New Roman"/>
          <w:noProof/>
          <w:lang w:val="sk-SK"/>
        </w:rPr>
        <w:t xml:space="preserve"> a </w:t>
      </w:r>
      <w:r w:rsidRPr="00083739">
        <w:rPr>
          <w:rFonts w:cs="Times New Roman"/>
          <w:noProof/>
          <w:lang w:val="sk-SK"/>
        </w:rPr>
        <w:t>biometánu. Cieľom novej refor</w:t>
      </w:r>
      <w:r w:rsidRPr="00083739">
        <w:rPr>
          <w:rFonts w:cs="Times New Roman"/>
          <w:noProof/>
          <w:lang w:val="sk-SK"/>
        </w:rPr>
        <w:t>my je podporiť spoločné využívanie energie</w:t>
      </w:r>
      <w:r w:rsidR="00083739" w:rsidRPr="00083739">
        <w:rPr>
          <w:rFonts w:cs="Times New Roman"/>
          <w:noProof/>
          <w:lang w:val="sk-SK"/>
        </w:rPr>
        <w:t xml:space="preserve"> a </w:t>
      </w:r>
      <w:r w:rsidRPr="00083739">
        <w:rPr>
          <w:rFonts w:cs="Times New Roman"/>
          <w:noProof/>
          <w:lang w:val="sk-SK"/>
        </w:rPr>
        <w:t>decentralizované formy výroby energie</w:t>
      </w:r>
      <w:r w:rsidR="00083739" w:rsidRPr="00083739">
        <w:rPr>
          <w:rFonts w:cs="Times New Roman"/>
          <w:noProof/>
          <w:lang w:val="sk-SK"/>
        </w:rPr>
        <w:t xml:space="preserve"> z </w:t>
      </w:r>
      <w:r w:rsidRPr="00083739">
        <w:rPr>
          <w:rFonts w:cs="Times New Roman"/>
          <w:noProof/>
          <w:lang w:val="sk-SK"/>
        </w:rPr>
        <w:t>obnoviteľných zdrojov (ako je vlastná spotreba</w:t>
      </w:r>
      <w:r w:rsidR="00083739" w:rsidRPr="00083739">
        <w:rPr>
          <w:rFonts w:cs="Times New Roman"/>
          <w:noProof/>
          <w:lang w:val="sk-SK"/>
        </w:rPr>
        <w:t xml:space="preserve"> a </w:t>
      </w:r>
      <w:r w:rsidRPr="00083739">
        <w:rPr>
          <w:rFonts w:cs="Times New Roman"/>
          <w:noProof/>
          <w:lang w:val="sk-SK"/>
        </w:rPr>
        <w:t>energetické spoločenstvá). Novými investičnými opatreniami sa podporujú zvýšenie uskladňovacej kapacity</w:t>
      </w:r>
      <w:r w:rsidR="00083739" w:rsidRPr="00083739">
        <w:rPr>
          <w:rFonts w:cs="Times New Roman"/>
          <w:noProof/>
          <w:lang w:val="sk-SK"/>
        </w:rPr>
        <w:t xml:space="preserve"> a </w:t>
      </w:r>
      <w:r w:rsidRPr="00083739">
        <w:rPr>
          <w:rFonts w:cs="Times New Roman"/>
          <w:noProof/>
          <w:lang w:val="sk-SK"/>
        </w:rPr>
        <w:t>decentralizovaná</w:t>
      </w:r>
      <w:r w:rsidRPr="00083739">
        <w:rPr>
          <w:rFonts w:cs="Times New Roman"/>
          <w:noProof/>
          <w:lang w:val="sk-SK"/>
        </w:rPr>
        <w:t xml:space="preserve"> výroba energie</w:t>
      </w:r>
      <w:r w:rsidR="00083739" w:rsidRPr="00083739">
        <w:rPr>
          <w:rFonts w:cs="Times New Roman"/>
          <w:noProof/>
          <w:lang w:val="sk-SK"/>
        </w:rPr>
        <w:t xml:space="preserve"> z </w:t>
      </w:r>
      <w:r w:rsidRPr="00083739">
        <w:rPr>
          <w:rFonts w:cs="Times New Roman"/>
          <w:noProof/>
          <w:lang w:val="sk-SK"/>
        </w:rPr>
        <w:t>obnoviteľných zdrojov. Okrem toho sa prideľuje ďalšia podpora na zlepšenie energetickej efektívnosti domácností vrátane cielenej podpory energeticky chudobných domácností</w:t>
      </w:r>
      <w:r w:rsidR="00083739" w:rsidRPr="00083739">
        <w:rPr>
          <w:rFonts w:cs="Times New Roman"/>
          <w:noProof/>
          <w:lang w:val="sk-SK"/>
        </w:rPr>
        <w:t xml:space="preserve"> a </w:t>
      </w:r>
      <w:r w:rsidRPr="00083739">
        <w:rPr>
          <w:rFonts w:cs="Times New Roman"/>
          <w:noProof/>
          <w:lang w:val="sk-SK"/>
        </w:rPr>
        <w:t>súkromného sektora.</w:t>
      </w:r>
    </w:p>
    <w:p w14:paraId="13CC657A" w14:textId="231C9770" w:rsidR="002D49B0" w:rsidRPr="00083739" w:rsidRDefault="00BF4125">
      <w:pPr>
        <w:pStyle w:val="P68B1DB1-Normal4"/>
        <w:spacing w:before="120" w:after="120" w:line="240" w:lineRule="auto"/>
        <w:jc w:val="both"/>
        <w:rPr>
          <w:rFonts w:eastAsia="Times New Roman" w:cs="Times New Roman"/>
          <w:noProof/>
          <w:szCs w:val="24"/>
          <w:lang w:val="sk-SK"/>
        </w:rPr>
      </w:pPr>
      <w:r w:rsidRPr="00083739">
        <w:rPr>
          <w:rFonts w:cs="Times New Roman"/>
          <w:noProof/>
          <w:lang w:val="sk-SK"/>
        </w:rPr>
        <w:t>Očakáva sa, že žiadne opatrenie</w:t>
      </w:r>
      <w:r w:rsidR="00083739" w:rsidRPr="00083739">
        <w:rPr>
          <w:rFonts w:cs="Times New Roman"/>
          <w:noProof/>
          <w:lang w:val="sk-SK"/>
        </w:rPr>
        <w:t xml:space="preserve"> v </w:t>
      </w:r>
      <w:r w:rsidRPr="00083739">
        <w:rPr>
          <w:rFonts w:cs="Times New Roman"/>
          <w:noProof/>
          <w:lang w:val="sk-SK"/>
        </w:rPr>
        <w:t>rámci kapit</w:t>
      </w:r>
      <w:r w:rsidRPr="00083739">
        <w:rPr>
          <w:rFonts w:cs="Times New Roman"/>
          <w:noProof/>
          <w:lang w:val="sk-SK"/>
        </w:rPr>
        <w:t>oly REPowerEU výrazne nenaruší environmentálne ciele</w:t>
      </w:r>
      <w:r w:rsidR="00083739" w:rsidRPr="00083739">
        <w:rPr>
          <w:rFonts w:cs="Times New Roman"/>
          <w:noProof/>
          <w:lang w:val="sk-SK"/>
        </w:rPr>
        <w:t xml:space="preserve"> v </w:t>
      </w:r>
      <w:r w:rsidRPr="00083739">
        <w:rPr>
          <w:rFonts w:cs="Times New Roman"/>
          <w:noProof/>
          <w:lang w:val="sk-SK"/>
        </w:rPr>
        <w:t>zmysle článku 17 nariadenia (EÚ) 2020/852, pričom sa zohľadní opis opatrení</w:t>
      </w:r>
      <w:r w:rsidR="00083739" w:rsidRPr="00083739">
        <w:rPr>
          <w:rFonts w:cs="Times New Roman"/>
          <w:noProof/>
          <w:lang w:val="sk-SK"/>
        </w:rPr>
        <w:t xml:space="preserve"> a </w:t>
      </w:r>
      <w:r w:rsidRPr="00083739">
        <w:rPr>
          <w:rFonts w:cs="Times New Roman"/>
          <w:noProof/>
          <w:lang w:val="sk-SK"/>
        </w:rPr>
        <w:t>zmierňujúcich krokov stanovených</w:t>
      </w:r>
      <w:r w:rsidR="00083739" w:rsidRPr="00083739">
        <w:rPr>
          <w:rFonts w:cs="Times New Roman"/>
          <w:noProof/>
          <w:lang w:val="sk-SK"/>
        </w:rPr>
        <w:t xml:space="preserve"> v </w:t>
      </w:r>
      <w:r w:rsidRPr="00083739">
        <w:rPr>
          <w:rFonts w:cs="Times New Roman"/>
          <w:noProof/>
          <w:lang w:val="sk-SK"/>
        </w:rPr>
        <w:t>pláne obnovy</w:t>
      </w:r>
      <w:r w:rsidR="00083739" w:rsidRPr="00083739">
        <w:rPr>
          <w:rFonts w:cs="Times New Roman"/>
          <w:noProof/>
          <w:lang w:val="sk-SK"/>
        </w:rPr>
        <w:t xml:space="preserve"> a </w:t>
      </w:r>
      <w:r w:rsidRPr="00083739">
        <w:rPr>
          <w:rFonts w:cs="Times New Roman"/>
          <w:noProof/>
          <w:lang w:val="sk-SK"/>
        </w:rPr>
        <w:t>odolnosti</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technickými usmerneniami týkajúcimi sa zásady „výraz</w:t>
      </w:r>
      <w:r w:rsidRPr="00083739">
        <w:rPr>
          <w:rFonts w:cs="Times New Roman"/>
          <w:noProof/>
          <w:lang w:val="sk-SK"/>
        </w:rPr>
        <w:t>ne nenarušiť“ (2021/C58/01).</w:t>
      </w:r>
    </w:p>
    <w:p w14:paraId="235DAEE5" w14:textId="77777777" w:rsidR="002D49B0" w:rsidRPr="00083739" w:rsidRDefault="002D49B0">
      <w:pPr>
        <w:spacing w:after="0" w:line="240" w:lineRule="auto"/>
        <w:ind w:firstLine="6"/>
        <w:jc w:val="both"/>
        <w:outlineLvl w:val="3"/>
        <w:rPr>
          <w:rFonts w:ascii="Times New Roman" w:hAnsi="Times New Roman" w:cs="Times New Roman"/>
          <w:b/>
          <w:bCs/>
          <w:noProof/>
          <w:sz w:val="24"/>
          <w:lang w:val="sk-SK"/>
        </w:rPr>
      </w:pPr>
    </w:p>
    <w:p w14:paraId="5C0B5C29" w14:textId="77777777" w:rsidR="002D49B0" w:rsidRPr="00083739" w:rsidRDefault="00BF4125">
      <w:pPr>
        <w:pStyle w:val="P68B1DB1-Normal2"/>
        <w:spacing w:before="120" w:after="120" w:line="240" w:lineRule="auto"/>
        <w:ind w:firstLine="6"/>
        <w:jc w:val="both"/>
        <w:outlineLvl w:val="3"/>
        <w:rPr>
          <w:rFonts w:cs="Times New Roman"/>
          <w:noProof/>
          <w:szCs w:val="24"/>
          <w:lang w:val="sk-SK"/>
        </w:rPr>
      </w:pPr>
      <w:r w:rsidRPr="00083739">
        <w:rPr>
          <w:rFonts w:cs="Times New Roman"/>
          <w:noProof/>
          <w:lang w:val="sk-SK"/>
        </w:rPr>
        <w:t>T. KOMPONENT 5.1: REPowerEU REFORMS</w:t>
      </w:r>
    </w:p>
    <w:p w14:paraId="3ADB69FC" w14:textId="2F716624" w:rsidR="002D49B0" w:rsidRPr="00083739" w:rsidRDefault="00BF4125">
      <w:pPr>
        <w:spacing w:before="120" w:after="120" w:line="240" w:lineRule="auto"/>
        <w:jc w:val="both"/>
        <w:rPr>
          <w:rFonts w:ascii="Times New Roman" w:hAnsi="Times New Roman" w:cs="Times New Roman"/>
          <w:b/>
          <w:bCs/>
          <w:noProof/>
          <w:sz w:val="24"/>
          <w:u w:val="single"/>
          <w:lang w:val="sk-SK"/>
        </w:rPr>
      </w:pPr>
      <w:r w:rsidRPr="00083739">
        <w:rPr>
          <w:rFonts w:ascii="Times New Roman" w:hAnsi="Times New Roman" w:cs="Times New Roman"/>
          <w:b/>
          <w:noProof/>
          <w:sz w:val="24"/>
          <w:u w:val="single"/>
          <w:lang w:val="sk-SK"/>
        </w:rPr>
        <w:t xml:space="preserve">T.1. </w:t>
      </w:r>
      <w:r w:rsidRPr="00083739">
        <w:rPr>
          <w:rFonts w:ascii="Times New Roman" w:hAnsi="Times New Roman" w:cs="Times New Roman"/>
          <w:noProof/>
          <w:lang w:val="sk-SK"/>
        </w:rPr>
        <w:t xml:space="preserve"> </w:t>
      </w:r>
      <w:r w:rsidRPr="00083739">
        <w:rPr>
          <w:rFonts w:ascii="Times New Roman" w:hAnsi="Times New Roman" w:cs="Times New Roman"/>
          <w:b/>
          <w:noProof/>
          <w:sz w:val="24"/>
          <w:u w:val="single"/>
          <w:lang w:val="sk-SK"/>
        </w:rPr>
        <w:t>Opis reforiem</w:t>
      </w:r>
      <w:r w:rsidR="00083739" w:rsidRPr="00083739">
        <w:rPr>
          <w:rFonts w:ascii="Times New Roman" w:hAnsi="Times New Roman" w:cs="Times New Roman"/>
          <w:b/>
          <w:noProof/>
          <w:sz w:val="24"/>
          <w:u w:val="single"/>
          <w:lang w:val="sk-SK"/>
        </w:rPr>
        <w:t xml:space="preserve"> a </w:t>
      </w:r>
      <w:r w:rsidRPr="00083739">
        <w:rPr>
          <w:rFonts w:ascii="Times New Roman" w:hAnsi="Times New Roman" w:cs="Times New Roman"/>
          <w:b/>
          <w:noProof/>
          <w:sz w:val="24"/>
          <w:u w:val="single"/>
          <w:lang w:val="sk-SK"/>
        </w:rPr>
        <w:t>investícií</w:t>
      </w:r>
      <w:r w:rsidR="00083739" w:rsidRPr="00083739">
        <w:rPr>
          <w:rFonts w:ascii="Times New Roman" w:hAnsi="Times New Roman" w:cs="Times New Roman"/>
          <w:b/>
          <w:noProof/>
          <w:sz w:val="24"/>
          <w:u w:val="single"/>
          <w:lang w:val="sk-SK"/>
        </w:rPr>
        <w:t xml:space="preserve"> v </w:t>
      </w:r>
      <w:r w:rsidRPr="00083739">
        <w:rPr>
          <w:rFonts w:ascii="Times New Roman" w:hAnsi="Times New Roman" w:cs="Times New Roman"/>
          <w:b/>
          <w:noProof/>
          <w:sz w:val="24"/>
          <w:u w:val="single"/>
          <w:lang w:val="sk-SK"/>
        </w:rPr>
        <w:t>rámci nenávratnej finančnej podpory</w:t>
      </w:r>
    </w:p>
    <w:p w14:paraId="0E7DC144" w14:textId="26D74434" w:rsidR="002D49B0" w:rsidRPr="00083739" w:rsidRDefault="00BF4125">
      <w:pPr>
        <w:pStyle w:val="P68B1DB1-Normal4"/>
        <w:spacing w:before="120" w:after="120" w:line="240" w:lineRule="auto"/>
        <w:jc w:val="both"/>
        <w:rPr>
          <w:rFonts w:cs="Times New Roman"/>
          <w:noProof/>
          <w:szCs w:val="24"/>
          <w:lang w:val="sk-SK"/>
        </w:rPr>
      </w:pPr>
      <w:r w:rsidRPr="00083739">
        <w:rPr>
          <w:rFonts w:cs="Times New Roman"/>
          <w:noProof/>
          <w:lang w:val="sk-SK"/>
        </w:rPr>
        <w:t>Kapitola obsahuje súbor reforiem na podporu dekarbonizácie, energie</w:t>
      </w:r>
      <w:r w:rsidR="00083739" w:rsidRPr="00083739">
        <w:rPr>
          <w:rFonts w:cs="Times New Roman"/>
          <w:noProof/>
          <w:lang w:val="sk-SK"/>
        </w:rPr>
        <w:t xml:space="preserve"> z </w:t>
      </w:r>
      <w:r w:rsidRPr="00083739">
        <w:rPr>
          <w:rFonts w:cs="Times New Roman"/>
          <w:noProof/>
          <w:lang w:val="sk-SK"/>
        </w:rPr>
        <w:t>obnoviteľných zdrojov</w:t>
      </w:r>
      <w:r w:rsidR="00083739" w:rsidRPr="00083739">
        <w:rPr>
          <w:rFonts w:cs="Times New Roman"/>
          <w:noProof/>
          <w:lang w:val="sk-SK"/>
        </w:rPr>
        <w:t xml:space="preserve"> a </w:t>
      </w:r>
      <w:r w:rsidRPr="00083739">
        <w:rPr>
          <w:rFonts w:cs="Times New Roman"/>
          <w:noProof/>
          <w:lang w:val="sk-SK"/>
        </w:rPr>
        <w:t xml:space="preserve">obnoviteľných plynov </w:t>
      </w:r>
      <w:r w:rsidRPr="00083739">
        <w:rPr>
          <w:rFonts w:cs="Times New Roman"/>
          <w:noProof/>
          <w:lang w:val="sk-SK"/>
        </w:rPr>
        <w:t>vrátane: 1. reformu týkajúcu sa zavedenia legislatívneho rámca</w:t>
      </w:r>
      <w:r w:rsidR="00083739" w:rsidRPr="00083739">
        <w:rPr>
          <w:rFonts w:cs="Times New Roman"/>
          <w:noProof/>
          <w:lang w:val="sk-SK"/>
        </w:rPr>
        <w:t xml:space="preserve"> s </w:t>
      </w:r>
      <w:r w:rsidRPr="00083739">
        <w:rPr>
          <w:rFonts w:cs="Times New Roman"/>
          <w:noProof/>
          <w:lang w:val="sk-SK"/>
        </w:rPr>
        <w:t>cieľom umožniť</w:t>
      </w:r>
      <w:r w:rsidR="00083739" w:rsidRPr="00083739">
        <w:rPr>
          <w:rFonts w:cs="Times New Roman"/>
          <w:noProof/>
          <w:lang w:val="sk-SK"/>
        </w:rPr>
        <w:t xml:space="preserve"> a </w:t>
      </w:r>
      <w:r w:rsidRPr="00083739">
        <w:rPr>
          <w:rFonts w:cs="Times New Roman"/>
          <w:noProof/>
          <w:lang w:val="sk-SK"/>
        </w:rPr>
        <w:t>uľahčiť výrobu, skladovanie, prepravu</w:t>
      </w:r>
      <w:r w:rsidR="00083739" w:rsidRPr="00083739">
        <w:rPr>
          <w:rFonts w:cs="Times New Roman"/>
          <w:noProof/>
          <w:lang w:val="sk-SK"/>
        </w:rPr>
        <w:t xml:space="preserve"> a </w:t>
      </w:r>
      <w:r w:rsidRPr="00083739">
        <w:rPr>
          <w:rFonts w:cs="Times New Roman"/>
          <w:noProof/>
          <w:lang w:val="sk-SK"/>
        </w:rPr>
        <w:t>využívanie obnoviteľného vodíka</w:t>
      </w:r>
      <w:r w:rsidR="00083739" w:rsidRPr="00083739">
        <w:rPr>
          <w:rFonts w:cs="Times New Roman"/>
          <w:noProof/>
          <w:lang w:val="sk-SK"/>
        </w:rPr>
        <w:t xml:space="preserve"> a </w:t>
      </w:r>
      <w:r w:rsidRPr="00083739">
        <w:rPr>
          <w:rFonts w:cs="Times New Roman"/>
          <w:noProof/>
          <w:lang w:val="sk-SK"/>
        </w:rPr>
        <w:t>biometánu, 2. reformu týkajúcu sa vytvorenia regulačného rámca</w:t>
      </w:r>
      <w:r w:rsidR="00083739" w:rsidRPr="00083739">
        <w:rPr>
          <w:rFonts w:cs="Times New Roman"/>
          <w:noProof/>
          <w:lang w:val="sk-SK"/>
        </w:rPr>
        <w:t xml:space="preserve"> a </w:t>
      </w:r>
      <w:r w:rsidRPr="00083739">
        <w:rPr>
          <w:rFonts w:cs="Times New Roman"/>
          <w:noProof/>
          <w:lang w:val="sk-SK"/>
        </w:rPr>
        <w:t>rámca pre prevádzku trhu pre techno</w:t>
      </w:r>
      <w:r w:rsidRPr="00083739">
        <w:rPr>
          <w:rFonts w:cs="Times New Roman"/>
          <w:noProof/>
          <w:lang w:val="sk-SK"/>
        </w:rPr>
        <w:t>lógie zachytávania, využívania</w:t>
      </w:r>
      <w:r w:rsidR="00083739" w:rsidRPr="00083739">
        <w:rPr>
          <w:rFonts w:cs="Times New Roman"/>
          <w:noProof/>
          <w:lang w:val="sk-SK"/>
        </w:rPr>
        <w:t xml:space="preserve"> a </w:t>
      </w:r>
      <w:r w:rsidRPr="00083739">
        <w:rPr>
          <w:rFonts w:cs="Times New Roman"/>
          <w:noProof/>
          <w:lang w:val="sk-SK"/>
        </w:rPr>
        <w:t>ukladania oxidu uhličitého</w:t>
      </w:r>
      <w:r w:rsidR="00083739" w:rsidRPr="00083739">
        <w:rPr>
          <w:rFonts w:cs="Times New Roman"/>
          <w:noProof/>
          <w:lang w:val="sk-SK"/>
        </w:rPr>
        <w:t xml:space="preserve"> s </w:t>
      </w:r>
      <w:r w:rsidRPr="00083739">
        <w:rPr>
          <w:rFonts w:cs="Times New Roman"/>
          <w:noProof/>
          <w:lang w:val="sk-SK"/>
        </w:rPr>
        <w:t>cieľom podporiť dekarbonizáciu priemyslu</w:t>
      </w:r>
      <w:r w:rsidR="00083739" w:rsidRPr="00083739">
        <w:rPr>
          <w:rFonts w:cs="Times New Roman"/>
          <w:noProof/>
          <w:lang w:val="sk-SK"/>
        </w:rPr>
        <w:t xml:space="preserve"> v </w:t>
      </w:r>
      <w:r w:rsidRPr="00083739">
        <w:rPr>
          <w:rFonts w:cs="Times New Roman"/>
          <w:noProof/>
          <w:lang w:val="sk-SK"/>
        </w:rPr>
        <w:t>Grécku; reformu týkajúcu sa optimalizácie využívania pevniny</w:t>
      </w:r>
      <w:r w:rsidR="00083739" w:rsidRPr="00083739">
        <w:rPr>
          <w:rFonts w:cs="Times New Roman"/>
          <w:noProof/>
          <w:lang w:val="sk-SK"/>
        </w:rPr>
        <w:t xml:space="preserve"> a </w:t>
      </w:r>
      <w:r w:rsidRPr="00083739">
        <w:rPr>
          <w:rFonts w:cs="Times New Roman"/>
          <w:noProof/>
          <w:lang w:val="sk-SK"/>
        </w:rPr>
        <w:t>morského priestoru na rozvoj energie</w:t>
      </w:r>
      <w:r w:rsidR="00083739" w:rsidRPr="00083739">
        <w:rPr>
          <w:rFonts w:cs="Times New Roman"/>
          <w:noProof/>
          <w:lang w:val="sk-SK"/>
        </w:rPr>
        <w:t xml:space="preserve"> z </w:t>
      </w:r>
      <w:r w:rsidRPr="00083739">
        <w:rPr>
          <w:rFonts w:cs="Times New Roman"/>
          <w:noProof/>
          <w:lang w:val="sk-SK"/>
        </w:rPr>
        <w:t>obnoviteľných zdrojov, ako aj ďalší pokrok</w:t>
      </w:r>
      <w:r w:rsidR="00083739" w:rsidRPr="00083739">
        <w:rPr>
          <w:rFonts w:cs="Times New Roman"/>
          <w:noProof/>
          <w:lang w:val="sk-SK"/>
        </w:rPr>
        <w:t xml:space="preserve"> v </w:t>
      </w:r>
      <w:r w:rsidRPr="00083739">
        <w:rPr>
          <w:rFonts w:cs="Times New Roman"/>
          <w:noProof/>
          <w:lang w:val="sk-SK"/>
        </w:rPr>
        <w:t>legi</w:t>
      </w:r>
      <w:r w:rsidRPr="00083739">
        <w:rPr>
          <w:rFonts w:cs="Times New Roman"/>
          <w:noProof/>
          <w:lang w:val="sk-SK"/>
        </w:rPr>
        <w:t>slatívnom rámci pre inštaláciu veterných parkov na mori, 4. reformu</w:t>
      </w:r>
      <w:r w:rsidR="00083739" w:rsidRPr="00083739">
        <w:rPr>
          <w:rFonts w:cs="Times New Roman"/>
          <w:noProof/>
          <w:lang w:val="sk-SK"/>
        </w:rPr>
        <w:t xml:space="preserve"> s </w:t>
      </w:r>
      <w:r w:rsidRPr="00083739">
        <w:rPr>
          <w:rFonts w:cs="Times New Roman"/>
          <w:noProof/>
          <w:lang w:val="sk-SK"/>
        </w:rPr>
        <w:t>cieľom zvýšiť sieťovú</w:t>
      </w:r>
      <w:r w:rsidR="00083739" w:rsidRPr="00083739">
        <w:rPr>
          <w:rFonts w:cs="Times New Roman"/>
          <w:noProof/>
          <w:lang w:val="sk-SK"/>
        </w:rPr>
        <w:t xml:space="preserve"> a </w:t>
      </w:r>
      <w:r w:rsidRPr="00083739">
        <w:rPr>
          <w:rFonts w:cs="Times New Roman"/>
          <w:noProof/>
          <w:lang w:val="sk-SK"/>
        </w:rPr>
        <w:t>uskladňovaciu kapacitu riešením stability</w:t>
      </w:r>
      <w:r w:rsidR="00083739" w:rsidRPr="00083739">
        <w:rPr>
          <w:rFonts w:cs="Times New Roman"/>
          <w:noProof/>
          <w:lang w:val="sk-SK"/>
        </w:rPr>
        <w:t xml:space="preserve"> a </w:t>
      </w:r>
      <w:r w:rsidRPr="00083739">
        <w:rPr>
          <w:rFonts w:cs="Times New Roman"/>
          <w:noProof/>
          <w:lang w:val="sk-SK"/>
        </w:rPr>
        <w:t>úzkych miest sústavy, 5. reformu regulačného rámca pre inteligentné siete</w:t>
      </w:r>
      <w:r w:rsidR="00083739" w:rsidRPr="00083739">
        <w:rPr>
          <w:rFonts w:cs="Times New Roman"/>
          <w:noProof/>
          <w:lang w:val="sk-SK"/>
        </w:rPr>
        <w:t xml:space="preserve"> s </w:t>
      </w:r>
      <w:r w:rsidRPr="00083739">
        <w:rPr>
          <w:rFonts w:cs="Times New Roman"/>
          <w:noProof/>
          <w:lang w:val="sk-SK"/>
        </w:rPr>
        <w:t>cieľom urýchliť zavádzanie inteligentných</w:t>
      </w:r>
      <w:r w:rsidR="00083739" w:rsidRPr="00083739">
        <w:rPr>
          <w:rFonts w:cs="Times New Roman"/>
          <w:noProof/>
          <w:lang w:val="sk-SK"/>
        </w:rPr>
        <w:t xml:space="preserve"> a </w:t>
      </w:r>
      <w:r w:rsidRPr="00083739">
        <w:rPr>
          <w:rFonts w:cs="Times New Roman"/>
          <w:noProof/>
          <w:lang w:val="sk-SK"/>
        </w:rPr>
        <w:t>digitálnych technológií</w:t>
      </w:r>
      <w:r w:rsidR="00083739" w:rsidRPr="00083739">
        <w:rPr>
          <w:rFonts w:cs="Times New Roman"/>
          <w:noProof/>
          <w:lang w:val="sk-SK"/>
        </w:rPr>
        <w:t xml:space="preserve"> v </w:t>
      </w:r>
      <w:r w:rsidRPr="00083739">
        <w:rPr>
          <w:rFonts w:cs="Times New Roman"/>
          <w:noProof/>
          <w:lang w:val="sk-SK"/>
        </w:rPr>
        <w:t>distribučnej sieti</w:t>
      </w:r>
      <w:r w:rsidR="00083739" w:rsidRPr="00083739">
        <w:rPr>
          <w:rFonts w:cs="Times New Roman"/>
          <w:noProof/>
          <w:lang w:val="sk-SK"/>
        </w:rPr>
        <w:t xml:space="preserve"> a </w:t>
      </w:r>
      <w:r w:rsidRPr="00083739">
        <w:rPr>
          <w:rFonts w:cs="Times New Roman"/>
          <w:noProof/>
          <w:lang w:val="sk-SK"/>
        </w:rPr>
        <w:t>podporiť reakciu na strane dopytu pre konečného spotrebiteľa, 6. reformu zameranú na podporu spoločného využívania energie, čím sa podporí využívanie obnoviteľných zdrojov energie umožnením decentralizovanej</w:t>
      </w:r>
      <w:r w:rsidRPr="00083739">
        <w:rPr>
          <w:rFonts w:cs="Times New Roman"/>
          <w:noProof/>
          <w:lang w:val="sk-SK"/>
        </w:rPr>
        <w:t xml:space="preserve"> výroby</w:t>
      </w:r>
      <w:r w:rsidR="00083739" w:rsidRPr="00083739">
        <w:rPr>
          <w:rFonts w:cs="Times New Roman"/>
          <w:noProof/>
          <w:lang w:val="sk-SK"/>
        </w:rPr>
        <w:t xml:space="preserve"> a </w:t>
      </w:r>
      <w:r w:rsidRPr="00083739">
        <w:rPr>
          <w:rFonts w:cs="Times New Roman"/>
          <w:noProof/>
          <w:lang w:val="sk-SK"/>
        </w:rPr>
        <w:t>spoločného využívania viacerých systémov energie</w:t>
      </w:r>
      <w:r w:rsidR="00083739" w:rsidRPr="00083739">
        <w:rPr>
          <w:rFonts w:cs="Times New Roman"/>
          <w:noProof/>
          <w:lang w:val="sk-SK"/>
        </w:rPr>
        <w:t xml:space="preserve"> z </w:t>
      </w:r>
      <w:r w:rsidRPr="00083739">
        <w:rPr>
          <w:rFonts w:cs="Times New Roman"/>
          <w:noProof/>
          <w:lang w:val="sk-SK"/>
        </w:rPr>
        <w:t>obnoviteľných zdrojov malého rozsahu,</w:t>
      </w:r>
      <w:r w:rsidR="00083739" w:rsidRPr="00083739">
        <w:rPr>
          <w:rFonts w:cs="Times New Roman"/>
          <w:noProof/>
          <w:lang w:val="sk-SK"/>
        </w:rPr>
        <w:t xml:space="preserve"> a </w:t>
      </w:r>
      <w:r w:rsidRPr="00083739">
        <w:rPr>
          <w:rFonts w:cs="Times New Roman"/>
          <w:noProof/>
          <w:lang w:val="sk-SK"/>
        </w:rPr>
        <w:t>7. reformu, ktorou sa zavedie plán inovačných zásahov</w:t>
      </w:r>
      <w:r w:rsidR="00083739" w:rsidRPr="00083739">
        <w:rPr>
          <w:rFonts w:cs="Times New Roman"/>
          <w:noProof/>
          <w:lang w:val="sk-SK"/>
        </w:rPr>
        <w:t xml:space="preserve"> v </w:t>
      </w:r>
      <w:r w:rsidRPr="00083739">
        <w:rPr>
          <w:rFonts w:cs="Times New Roman"/>
          <w:noProof/>
          <w:lang w:val="sk-SK"/>
        </w:rPr>
        <w:t>oblasti energetickej efektívnosti vrátane identifikácie</w:t>
      </w:r>
      <w:r w:rsidR="00083739" w:rsidRPr="00083739">
        <w:rPr>
          <w:rFonts w:cs="Times New Roman"/>
          <w:noProof/>
          <w:lang w:val="sk-SK"/>
        </w:rPr>
        <w:t xml:space="preserve"> a </w:t>
      </w:r>
      <w:r w:rsidRPr="00083739">
        <w:rPr>
          <w:rFonts w:cs="Times New Roman"/>
          <w:noProof/>
          <w:lang w:val="sk-SK"/>
        </w:rPr>
        <w:t>spustenia nových finančných nástrojov, kt</w:t>
      </w:r>
      <w:r w:rsidRPr="00083739">
        <w:rPr>
          <w:rFonts w:cs="Times New Roman"/>
          <w:noProof/>
          <w:lang w:val="sk-SK"/>
        </w:rPr>
        <w:t>oré nie sú založené na grantoch.</w:t>
      </w:r>
    </w:p>
    <w:p w14:paraId="4DCE73B9" w14:textId="77777777" w:rsidR="002D49B0" w:rsidRPr="00083739" w:rsidRDefault="002D49B0">
      <w:pPr>
        <w:spacing w:before="120" w:after="120" w:line="240" w:lineRule="auto"/>
        <w:jc w:val="both"/>
        <w:rPr>
          <w:rFonts w:ascii="Times New Roman" w:hAnsi="Times New Roman" w:cs="Times New Roman"/>
          <w:b/>
          <w:noProof/>
          <w:sz w:val="24"/>
          <w:lang w:val="sk-SK"/>
        </w:rPr>
        <w:sectPr w:rsidR="002D49B0" w:rsidRPr="00083739" w:rsidSect="00271D33">
          <w:headerReference w:type="even" r:id="rId339"/>
          <w:headerReference w:type="default" r:id="rId340"/>
          <w:footerReference w:type="even" r:id="rId341"/>
          <w:footerReference w:type="default" r:id="rId342"/>
          <w:headerReference w:type="first" r:id="rId343"/>
          <w:footerReference w:type="first" r:id="rId344"/>
          <w:pgSz w:w="11907" w:h="16839"/>
          <w:pgMar w:top="1134" w:right="1417" w:bottom="1134" w:left="1417" w:header="709" w:footer="327" w:gutter="0"/>
          <w:cols w:space="720"/>
          <w:docGrid w:linePitch="360"/>
        </w:sectPr>
      </w:pPr>
    </w:p>
    <w:p w14:paraId="043A4D50" w14:textId="37060D98" w:rsidR="002D49B0" w:rsidRPr="00083739" w:rsidRDefault="00BF4125">
      <w:pPr>
        <w:pStyle w:val="P68B1DB1-Normal4"/>
        <w:spacing w:before="120" w:after="120" w:line="240" w:lineRule="auto"/>
        <w:jc w:val="both"/>
        <w:rPr>
          <w:rFonts w:cs="Times New Roman"/>
          <w:noProof/>
          <w:szCs w:val="24"/>
          <w:lang w:val="sk-SK"/>
        </w:rPr>
      </w:pPr>
      <w:r w:rsidRPr="00083739">
        <w:rPr>
          <w:rFonts w:cs="Times New Roman"/>
          <w:b/>
          <w:noProof/>
          <w:lang w:val="sk-SK"/>
        </w:rPr>
        <w:t xml:space="preserve">Reforma: </w:t>
      </w:r>
      <w:r w:rsidRPr="00083739">
        <w:rPr>
          <w:rFonts w:cs="Times New Roman"/>
          <w:noProof/>
          <w:lang w:val="sk-SK"/>
        </w:rPr>
        <w:t>Licenčný rámec pre obnoviteľný vodík</w:t>
      </w:r>
      <w:r w:rsidR="00083739" w:rsidRPr="00083739">
        <w:rPr>
          <w:rFonts w:cs="Times New Roman"/>
          <w:noProof/>
          <w:lang w:val="sk-SK"/>
        </w:rPr>
        <w:t xml:space="preserve"> a </w:t>
      </w:r>
      <w:r w:rsidRPr="00083739">
        <w:rPr>
          <w:rFonts w:cs="Times New Roman"/>
          <w:noProof/>
          <w:lang w:val="sk-SK"/>
        </w:rPr>
        <w:t>udržateľný biometán (ID opatrenia: 16987)</w:t>
      </w:r>
    </w:p>
    <w:p w14:paraId="4BB4A604" w14:textId="7CECA611" w:rsidR="002D49B0" w:rsidRPr="00083739" w:rsidRDefault="00BF4125">
      <w:pPr>
        <w:pStyle w:val="P68B1DB1-Normal4"/>
        <w:spacing w:before="120" w:after="120" w:line="240" w:lineRule="auto"/>
        <w:jc w:val="both"/>
        <w:rPr>
          <w:rFonts w:cs="Times New Roman"/>
          <w:noProof/>
          <w:szCs w:val="24"/>
          <w:lang w:val="sk-SK"/>
        </w:rPr>
      </w:pPr>
      <w:r w:rsidRPr="00083739">
        <w:rPr>
          <w:rFonts w:cs="Times New Roman"/>
          <w:noProof/>
          <w:lang w:val="sk-SK"/>
        </w:rPr>
        <w:t xml:space="preserve">Cieľom reformy je zaviesť požadované právne predpisy na účinné zavádzanie </w:t>
      </w:r>
      <w:r w:rsidRPr="00083739">
        <w:rPr>
          <w:rFonts w:cs="Times New Roman"/>
          <w:noProof/>
          <w:lang w:val="sk-SK"/>
        </w:rPr>
        <w:t>vodíka</w:t>
      </w:r>
      <w:r w:rsidR="00083739" w:rsidRPr="00083739">
        <w:rPr>
          <w:rFonts w:cs="Times New Roman"/>
          <w:noProof/>
          <w:lang w:val="sk-SK"/>
        </w:rPr>
        <w:t xml:space="preserve"> z </w:t>
      </w:r>
      <w:r w:rsidRPr="00083739">
        <w:rPr>
          <w:rFonts w:cs="Times New Roman"/>
          <w:noProof/>
          <w:lang w:val="sk-SK"/>
        </w:rPr>
        <w:t>obnoviteľných zdrojov</w:t>
      </w:r>
      <w:r w:rsidR="00083739" w:rsidRPr="00083739">
        <w:rPr>
          <w:rFonts w:cs="Times New Roman"/>
          <w:noProof/>
          <w:lang w:val="sk-SK"/>
        </w:rPr>
        <w:t xml:space="preserve"> a </w:t>
      </w:r>
      <w:r w:rsidRPr="00083739">
        <w:rPr>
          <w:rFonts w:cs="Times New Roman"/>
          <w:noProof/>
          <w:lang w:val="sk-SK"/>
        </w:rPr>
        <w:t>udržateľného biometánu</w:t>
      </w:r>
      <w:r w:rsidR="00083739" w:rsidRPr="00083739">
        <w:rPr>
          <w:rFonts w:cs="Times New Roman"/>
          <w:noProof/>
          <w:lang w:val="sk-SK"/>
        </w:rPr>
        <w:t xml:space="preserve"> v </w:t>
      </w:r>
      <w:r w:rsidRPr="00083739">
        <w:rPr>
          <w:rFonts w:cs="Times New Roman"/>
          <w:noProof/>
          <w:lang w:val="sk-SK"/>
        </w:rPr>
        <w:t>Grécku odstránením potenciálnych prekážok</w:t>
      </w:r>
      <w:r w:rsidR="00083739" w:rsidRPr="00083739">
        <w:rPr>
          <w:rFonts w:cs="Times New Roman"/>
          <w:noProof/>
          <w:lang w:val="sk-SK"/>
        </w:rPr>
        <w:t xml:space="preserve"> a </w:t>
      </w:r>
      <w:r w:rsidRPr="00083739">
        <w:rPr>
          <w:rFonts w:cs="Times New Roman"/>
          <w:noProof/>
          <w:lang w:val="sk-SK"/>
        </w:rPr>
        <w:t>zavedením procesov rozvoja odvetvia</w:t>
      </w:r>
      <w:r w:rsidR="00083739" w:rsidRPr="00083739">
        <w:rPr>
          <w:rFonts w:cs="Times New Roman"/>
          <w:noProof/>
          <w:lang w:val="sk-SK"/>
        </w:rPr>
        <w:t xml:space="preserve"> a </w:t>
      </w:r>
      <w:r w:rsidRPr="00083739">
        <w:rPr>
          <w:rFonts w:cs="Times New Roman"/>
          <w:noProof/>
          <w:lang w:val="sk-SK"/>
        </w:rPr>
        <w:t>trhov</w:t>
      </w:r>
      <w:r w:rsidR="00083739" w:rsidRPr="00083739">
        <w:rPr>
          <w:rFonts w:cs="Times New Roman"/>
          <w:noProof/>
          <w:lang w:val="sk-SK"/>
        </w:rPr>
        <w:t xml:space="preserve"> s </w:t>
      </w:r>
      <w:r w:rsidRPr="00083739">
        <w:rPr>
          <w:rFonts w:cs="Times New Roman"/>
          <w:noProof/>
          <w:lang w:val="sk-SK"/>
        </w:rPr>
        <w:t>obnoviteľnými plynmi.</w:t>
      </w:r>
      <w:r w:rsidR="00083739" w:rsidRPr="00083739">
        <w:rPr>
          <w:rFonts w:cs="Times New Roman"/>
          <w:noProof/>
          <w:lang w:val="sk-SK"/>
        </w:rPr>
        <w:t xml:space="preserve"> V </w:t>
      </w:r>
      <w:r w:rsidRPr="00083739">
        <w:rPr>
          <w:rFonts w:cs="Times New Roman"/>
          <w:noProof/>
          <w:lang w:val="sk-SK"/>
        </w:rPr>
        <w:t>reforme sa predpokladá prijatie legislatívneho rámca zameraného na podporu výroby</w:t>
      </w:r>
      <w:r w:rsidR="00083739" w:rsidRPr="00083739">
        <w:rPr>
          <w:rFonts w:cs="Times New Roman"/>
          <w:noProof/>
          <w:lang w:val="sk-SK"/>
        </w:rPr>
        <w:t xml:space="preserve"> a </w:t>
      </w:r>
      <w:r w:rsidRPr="00083739">
        <w:rPr>
          <w:rFonts w:cs="Times New Roman"/>
          <w:noProof/>
          <w:lang w:val="sk-SK"/>
        </w:rPr>
        <w:t>spotreby vodíka</w:t>
      </w:r>
      <w:r w:rsidR="00083739" w:rsidRPr="00083739">
        <w:rPr>
          <w:rFonts w:cs="Times New Roman"/>
          <w:noProof/>
          <w:lang w:val="sk-SK"/>
        </w:rPr>
        <w:t xml:space="preserve"> z </w:t>
      </w:r>
      <w:r w:rsidRPr="00083739">
        <w:rPr>
          <w:rFonts w:cs="Times New Roman"/>
          <w:noProof/>
          <w:lang w:val="sk-SK"/>
        </w:rPr>
        <w:t>obnoviteľných zdrojov</w:t>
      </w:r>
      <w:r w:rsidR="00083739" w:rsidRPr="00083739">
        <w:rPr>
          <w:rFonts w:cs="Times New Roman"/>
          <w:noProof/>
          <w:lang w:val="sk-SK"/>
        </w:rPr>
        <w:t xml:space="preserve"> a </w:t>
      </w:r>
      <w:r w:rsidRPr="00083739">
        <w:rPr>
          <w:rFonts w:cs="Times New Roman"/>
          <w:noProof/>
          <w:lang w:val="sk-SK"/>
        </w:rPr>
        <w:t>udržateľného biometánu. Týka sa to špecifikácie licenčných</w:t>
      </w:r>
      <w:r w:rsidR="00083739" w:rsidRPr="00083739">
        <w:rPr>
          <w:rFonts w:cs="Times New Roman"/>
          <w:noProof/>
          <w:lang w:val="sk-SK"/>
        </w:rPr>
        <w:t xml:space="preserve"> a </w:t>
      </w:r>
      <w:r w:rsidRPr="00083739">
        <w:rPr>
          <w:rFonts w:cs="Times New Roman"/>
          <w:noProof/>
          <w:lang w:val="sk-SK"/>
        </w:rPr>
        <w:t>povoľovacích postupov vrátane ustanovení</w:t>
      </w:r>
      <w:r w:rsidR="00083739" w:rsidRPr="00083739">
        <w:rPr>
          <w:rFonts w:cs="Times New Roman"/>
          <w:noProof/>
          <w:lang w:val="sk-SK"/>
        </w:rPr>
        <w:t xml:space="preserve"> o </w:t>
      </w:r>
      <w:r w:rsidRPr="00083739">
        <w:rPr>
          <w:rFonts w:cs="Times New Roman"/>
          <w:noProof/>
          <w:lang w:val="sk-SK"/>
        </w:rPr>
        <w:t>priestorovom plánovaní, vymedzenia technických špecifikácií prenosu, skladovania</w:t>
      </w:r>
      <w:r w:rsidR="00083739" w:rsidRPr="00083739">
        <w:rPr>
          <w:rFonts w:cs="Times New Roman"/>
          <w:noProof/>
          <w:lang w:val="sk-SK"/>
        </w:rPr>
        <w:t xml:space="preserve"> a </w:t>
      </w:r>
      <w:r w:rsidRPr="00083739">
        <w:rPr>
          <w:rFonts w:cs="Times New Roman"/>
          <w:noProof/>
          <w:lang w:val="sk-SK"/>
        </w:rPr>
        <w:t>vtláčania do siete, objasne</w:t>
      </w:r>
      <w:r w:rsidRPr="00083739">
        <w:rPr>
          <w:rFonts w:cs="Times New Roman"/>
          <w:noProof/>
          <w:lang w:val="sk-SK"/>
        </w:rPr>
        <w:t>nia úloh rôznych zainteresovaných strán vrátane zainteresovaných orgánov verejnej moci, pričom sa zabezpečí mechanizmus na certifikáciu toho, že vyrobený vodík by bol obnoviteľný</w:t>
      </w:r>
      <w:r w:rsidR="00083739" w:rsidRPr="00083739">
        <w:rPr>
          <w:rFonts w:cs="Times New Roman"/>
          <w:noProof/>
          <w:lang w:val="sk-SK"/>
        </w:rPr>
        <w:t xml:space="preserve"> a </w:t>
      </w:r>
      <w:r w:rsidRPr="00083739">
        <w:rPr>
          <w:rFonts w:cs="Times New Roman"/>
          <w:noProof/>
          <w:lang w:val="sk-SK"/>
        </w:rPr>
        <w:t>udržateľný biometán,</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 xml:space="preserve">nedávnymi ustanoveniami delegovaných aktov </w:t>
      </w:r>
      <w:r w:rsidRPr="00083739">
        <w:rPr>
          <w:rFonts w:cs="Times New Roman"/>
          <w:noProof/>
          <w:lang w:val="sk-SK"/>
        </w:rPr>
        <w:t>smernice RED II.</w:t>
      </w:r>
    </w:p>
    <w:p w14:paraId="6C51CAE1" w14:textId="637C7B7F" w:rsidR="002D49B0" w:rsidRPr="00083739" w:rsidRDefault="00BF4125">
      <w:pPr>
        <w:pStyle w:val="P68B1DB1-Normal4"/>
        <w:spacing w:before="120" w:after="120" w:line="240" w:lineRule="auto"/>
        <w:jc w:val="both"/>
        <w:rPr>
          <w:rFonts w:cs="Times New Roman"/>
          <w:noProof/>
          <w:szCs w:val="24"/>
          <w:lang w:val="sk-SK"/>
        </w:rPr>
      </w:pPr>
      <w:r w:rsidRPr="00083739">
        <w:rPr>
          <w:rFonts w:cs="Times New Roman"/>
          <w:noProof/>
          <w:lang w:val="sk-SK"/>
        </w:rPr>
        <w:t>Implementácia tejto reformy sa dokončí do 30</w:t>
      </w:r>
      <w:r w:rsidR="00083739" w:rsidRPr="00083739">
        <w:rPr>
          <w:rFonts w:cs="Times New Roman"/>
          <w:noProof/>
          <w:lang w:val="sk-SK"/>
        </w:rPr>
        <w:t>. júna</w:t>
      </w:r>
      <w:r w:rsidRPr="00083739">
        <w:rPr>
          <w:rFonts w:cs="Times New Roman"/>
          <w:noProof/>
          <w:lang w:val="sk-SK"/>
        </w:rPr>
        <w:t xml:space="preserve"> 2024.</w:t>
      </w:r>
    </w:p>
    <w:p w14:paraId="0EE3A1EB" w14:textId="4A74FEE8"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 xml:space="preserve">Reforma: </w:t>
      </w:r>
      <w:r w:rsidRPr="00083739">
        <w:rPr>
          <w:rFonts w:cs="Times New Roman"/>
          <w:noProof/>
          <w:lang w:val="sk-SK"/>
        </w:rPr>
        <w:t>Regulačný rámec</w:t>
      </w:r>
      <w:r w:rsidR="00083739" w:rsidRPr="00083739">
        <w:rPr>
          <w:rFonts w:cs="Times New Roman"/>
          <w:noProof/>
          <w:lang w:val="sk-SK"/>
        </w:rPr>
        <w:t xml:space="preserve"> a </w:t>
      </w:r>
      <w:r w:rsidRPr="00083739">
        <w:rPr>
          <w:rFonts w:cs="Times New Roman"/>
          <w:noProof/>
          <w:lang w:val="sk-SK"/>
        </w:rPr>
        <w:t>rámec fungovania trhu pre technológie zachytávania, využívania</w:t>
      </w:r>
      <w:r w:rsidR="00083739" w:rsidRPr="00083739">
        <w:rPr>
          <w:rFonts w:cs="Times New Roman"/>
          <w:noProof/>
          <w:lang w:val="sk-SK"/>
        </w:rPr>
        <w:t xml:space="preserve"> a </w:t>
      </w:r>
      <w:r w:rsidRPr="00083739">
        <w:rPr>
          <w:rFonts w:cs="Times New Roman"/>
          <w:noProof/>
          <w:lang w:val="sk-SK"/>
        </w:rPr>
        <w:t>ukladania oxidu uhličitého na podporu dekarbonizácie priemyslu (ID opatrenia: 16988)</w:t>
      </w:r>
    </w:p>
    <w:p w14:paraId="4DC773C3" w14:textId="35CE42B5" w:rsidR="002D49B0" w:rsidRPr="00083739" w:rsidRDefault="00BF4125">
      <w:pPr>
        <w:pStyle w:val="P68B1DB1-Normal4"/>
        <w:spacing w:before="120" w:after="120" w:line="240" w:lineRule="auto"/>
        <w:jc w:val="both"/>
        <w:rPr>
          <w:rFonts w:cs="Times New Roman"/>
          <w:noProof/>
          <w:szCs w:val="24"/>
          <w:lang w:val="sk-SK"/>
        </w:rPr>
      </w:pPr>
      <w:r w:rsidRPr="00083739">
        <w:rPr>
          <w:rFonts w:cs="Times New Roman"/>
          <w:noProof/>
          <w:lang w:val="sk-SK"/>
        </w:rPr>
        <w:t>Cieľo</w:t>
      </w:r>
      <w:r w:rsidRPr="00083739">
        <w:rPr>
          <w:rFonts w:cs="Times New Roman"/>
          <w:noProof/>
          <w:lang w:val="sk-SK"/>
        </w:rPr>
        <w:t>m tejto reformy je vytvoriť právny, licenčný</w:t>
      </w:r>
      <w:r w:rsidR="00083739" w:rsidRPr="00083739">
        <w:rPr>
          <w:rFonts w:cs="Times New Roman"/>
          <w:noProof/>
          <w:lang w:val="sk-SK"/>
        </w:rPr>
        <w:t xml:space="preserve"> a </w:t>
      </w:r>
      <w:r w:rsidRPr="00083739">
        <w:rPr>
          <w:rFonts w:cs="Times New Roman"/>
          <w:noProof/>
          <w:lang w:val="sk-SK"/>
        </w:rPr>
        <w:t>regulačný rámec pre technológie zachytávania, využívania</w:t>
      </w:r>
      <w:r w:rsidR="00083739" w:rsidRPr="00083739">
        <w:rPr>
          <w:rFonts w:cs="Times New Roman"/>
          <w:noProof/>
          <w:lang w:val="sk-SK"/>
        </w:rPr>
        <w:t xml:space="preserve"> a </w:t>
      </w:r>
      <w:r w:rsidRPr="00083739">
        <w:rPr>
          <w:rFonts w:cs="Times New Roman"/>
          <w:noProof/>
          <w:lang w:val="sk-SK"/>
        </w:rPr>
        <w:t>ukladania oxidu uhličitého. Rámec zahŕňa vývoj</w:t>
      </w:r>
      <w:r w:rsidR="00083739" w:rsidRPr="00083739">
        <w:rPr>
          <w:rFonts w:cs="Times New Roman"/>
          <w:noProof/>
          <w:lang w:val="sk-SK"/>
        </w:rPr>
        <w:t xml:space="preserve"> a </w:t>
      </w:r>
      <w:r w:rsidRPr="00083739">
        <w:rPr>
          <w:rFonts w:cs="Times New Roman"/>
          <w:noProof/>
          <w:lang w:val="sk-SK"/>
        </w:rPr>
        <w:t>prijatie všetkých potrebných legislatívnych</w:t>
      </w:r>
      <w:r w:rsidR="00083739" w:rsidRPr="00083739">
        <w:rPr>
          <w:rFonts w:cs="Times New Roman"/>
          <w:noProof/>
          <w:lang w:val="sk-SK"/>
        </w:rPr>
        <w:t xml:space="preserve"> a </w:t>
      </w:r>
      <w:r w:rsidRPr="00083739">
        <w:rPr>
          <w:rFonts w:cs="Times New Roman"/>
          <w:noProof/>
          <w:lang w:val="sk-SK"/>
        </w:rPr>
        <w:t>regulačných rámcov pre technológie zachytávania, využív</w:t>
      </w:r>
      <w:r w:rsidRPr="00083739">
        <w:rPr>
          <w:rFonts w:cs="Times New Roman"/>
          <w:noProof/>
          <w:lang w:val="sk-SK"/>
        </w:rPr>
        <w:t>ania</w:t>
      </w:r>
      <w:r w:rsidR="00083739" w:rsidRPr="00083739">
        <w:rPr>
          <w:rFonts w:cs="Times New Roman"/>
          <w:noProof/>
          <w:lang w:val="sk-SK"/>
        </w:rPr>
        <w:t xml:space="preserve"> a </w:t>
      </w:r>
      <w:r w:rsidRPr="00083739">
        <w:rPr>
          <w:rFonts w:cs="Times New Roman"/>
          <w:noProof/>
          <w:lang w:val="sk-SK"/>
        </w:rPr>
        <w:t>ukladania oxidu uhličitého</w:t>
      </w:r>
      <w:r w:rsidR="00083739" w:rsidRPr="00083739">
        <w:rPr>
          <w:rFonts w:cs="Times New Roman"/>
          <w:noProof/>
          <w:lang w:val="sk-SK"/>
        </w:rPr>
        <w:t xml:space="preserve"> a </w:t>
      </w:r>
      <w:r w:rsidRPr="00083739">
        <w:rPr>
          <w:rFonts w:cs="Times New Roman"/>
          <w:noProof/>
          <w:lang w:val="sk-SK"/>
        </w:rPr>
        <w:t>integruje proces konzultácií</w:t>
      </w:r>
      <w:r w:rsidR="00083739" w:rsidRPr="00083739">
        <w:rPr>
          <w:rFonts w:cs="Times New Roman"/>
          <w:noProof/>
          <w:lang w:val="sk-SK"/>
        </w:rPr>
        <w:t xml:space="preserve"> s </w:t>
      </w:r>
      <w:r w:rsidRPr="00083739">
        <w:rPr>
          <w:rFonts w:cs="Times New Roman"/>
          <w:noProof/>
          <w:lang w:val="sk-SK"/>
        </w:rPr>
        <w:t>príslušnými zainteresovanými stranami. Konkrétne sa stanovia tieto postupy:</w:t>
      </w:r>
    </w:p>
    <w:p w14:paraId="77B0CCF0" w14:textId="1C2466CE" w:rsidR="002D49B0" w:rsidRPr="00083739" w:rsidRDefault="00BF4125">
      <w:pPr>
        <w:pStyle w:val="P68B1DB1-ListParagraph19"/>
        <w:numPr>
          <w:ilvl w:val="0"/>
          <w:numId w:val="76"/>
        </w:numPr>
        <w:spacing w:before="120" w:after="120" w:line="240" w:lineRule="auto"/>
        <w:jc w:val="both"/>
        <w:rPr>
          <w:rFonts w:cs="Times New Roman"/>
          <w:noProof/>
          <w:lang w:val="sk-SK"/>
        </w:rPr>
      </w:pPr>
      <w:r w:rsidRPr="00083739">
        <w:rPr>
          <w:rFonts w:cs="Times New Roman"/>
          <w:noProof/>
          <w:lang w:val="sk-SK"/>
        </w:rPr>
        <w:t>Vypracovanie licenčného rámca pre inštaláciu</w:t>
      </w:r>
      <w:r w:rsidR="00083739" w:rsidRPr="00083739">
        <w:rPr>
          <w:rFonts w:cs="Times New Roman"/>
          <w:noProof/>
          <w:lang w:val="sk-SK"/>
        </w:rPr>
        <w:t xml:space="preserve"> a </w:t>
      </w:r>
      <w:r w:rsidRPr="00083739">
        <w:rPr>
          <w:rFonts w:cs="Times New Roman"/>
          <w:noProof/>
          <w:lang w:val="sk-SK"/>
        </w:rPr>
        <w:t>prevádzku technológií zachytávania, využívania</w:t>
      </w:r>
      <w:r w:rsidR="00083739" w:rsidRPr="00083739">
        <w:rPr>
          <w:rFonts w:cs="Times New Roman"/>
          <w:noProof/>
          <w:lang w:val="sk-SK"/>
        </w:rPr>
        <w:t xml:space="preserve"> a </w:t>
      </w:r>
      <w:r w:rsidRPr="00083739">
        <w:rPr>
          <w:rFonts w:cs="Times New Roman"/>
          <w:noProof/>
          <w:lang w:val="sk-SK"/>
        </w:rPr>
        <w:t>ukladania oxidu u</w:t>
      </w:r>
      <w:r w:rsidRPr="00083739">
        <w:rPr>
          <w:rFonts w:cs="Times New Roman"/>
          <w:noProof/>
          <w:lang w:val="sk-SK"/>
        </w:rPr>
        <w:t>hličitého vrátane vydávania schválenia environmentálneho povolenia.</w:t>
      </w:r>
    </w:p>
    <w:p w14:paraId="54B30FDE" w14:textId="0A4652B7" w:rsidR="002D49B0" w:rsidRPr="00083739" w:rsidRDefault="00BF4125">
      <w:pPr>
        <w:pStyle w:val="P68B1DB1-ListParagraph19"/>
        <w:numPr>
          <w:ilvl w:val="0"/>
          <w:numId w:val="76"/>
        </w:numPr>
        <w:spacing w:before="120" w:after="120" w:line="240" w:lineRule="auto"/>
        <w:jc w:val="both"/>
        <w:rPr>
          <w:rFonts w:cs="Times New Roman"/>
          <w:noProof/>
          <w:lang w:val="sk-SK"/>
        </w:rPr>
      </w:pPr>
      <w:r w:rsidRPr="00083739">
        <w:rPr>
          <w:rFonts w:cs="Times New Roman"/>
          <w:noProof/>
          <w:lang w:val="sk-SK"/>
        </w:rPr>
        <w:t>Zavedenie príslušného procesu normalizácie</w:t>
      </w:r>
      <w:r w:rsidR="00083739" w:rsidRPr="00083739">
        <w:rPr>
          <w:rFonts w:cs="Times New Roman"/>
          <w:noProof/>
          <w:lang w:val="sk-SK"/>
        </w:rPr>
        <w:t xml:space="preserve"> a </w:t>
      </w:r>
      <w:r w:rsidRPr="00083739">
        <w:rPr>
          <w:rFonts w:cs="Times New Roman"/>
          <w:noProof/>
          <w:lang w:val="sk-SK"/>
        </w:rPr>
        <w:t>certifikácie pre zachytené</w:t>
      </w:r>
      <w:r w:rsidR="00083739" w:rsidRPr="00083739">
        <w:rPr>
          <w:rFonts w:cs="Times New Roman"/>
          <w:noProof/>
          <w:lang w:val="sk-SK"/>
        </w:rPr>
        <w:t xml:space="preserve"> a </w:t>
      </w:r>
      <w:r w:rsidRPr="00083739">
        <w:rPr>
          <w:rFonts w:cs="Times New Roman"/>
          <w:noProof/>
          <w:lang w:val="sk-SK"/>
        </w:rPr>
        <w:t>uložené emisie CO</w:t>
      </w:r>
      <w:r w:rsidRPr="00083739">
        <w:rPr>
          <w:rFonts w:cs="Times New Roman"/>
          <w:noProof/>
          <w:vertAlign w:val="subscript"/>
          <w:lang w:val="sk-SK"/>
        </w:rPr>
        <w:t>2</w:t>
      </w:r>
      <w:r w:rsidRPr="00083739">
        <w:rPr>
          <w:rFonts w:cs="Times New Roman"/>
          <w:noProof/>
          <w:lang w:val="sk-SK"/>
        </w:rPr>
        <w:t>.</w:t>
      </w:r>
    </w:p>
    <w:p w14:paraId="74749B13" w14:textId="17F6C3FB" w:rsidR="002D49B0" w:rsidRPr="00083739" w:rsidRDefault="00BF4125">
      <w:pPr>
        <w:pStyle w:val="P68B1DB1-ListParagraph19"/>
        <w:numPr>
          <w:ilvl w:val="0"/>
          <w:numId w:val="76"/>
        </w:numPr>
        <w:spacing w:before="120" w:after="120" w:line="240" w:lineRule="auto"/>
        <w:jc w:val="both"/>
        <w:rPr>
          <w:rFonts w:cs="Times New Roman"/>
          <w:noProof/>
          <w:lang w:val="sk-SK"/>
        </w:rPr>
      </w:pPr>
      <w:r w:rsidRPr="00083739">
        <w:rPr>
          <w:rFonts w:cs="Times New Roman"/>
          <w:noProof/>
          <w:lang w:val="sk-SK"/>
        </w:rPr>
        <w:t>Rozvoj regulačného rámca pre hodnotový reťazec CCS pre poplatky za skladovanie</w:t>
      </w:r>
      <w:r w:rsidR="00083739" w:rsidRPr="00083739">
        <w:rPr>
          <w:rFonts w:cs="Times New Roman"/>
          <w:noProof/>
          <w:lang w:val="sk-SK"/>
        </w:rPr>
        <w:t xml:space="preserve"> a </w:t>
      </w:r>
      <w:r w:rsidRPr="00083739">
        <w:rPr>
          <w:rFonts w:cs="Times New Roman"/>
          <w:noProof/>
          <w:lang w:val="sk-SK"/>
        </w:rPr>
        <w:t>prepravu. Rám</w:t>
      </w:r>
      <w:r w:rsidRPr="00083739">
        <w:rPr>
          <w:rFonts w:cs="Times New Roman"/>
          <w:noProof/>
          <w:lang w:val="sk-SK"/>
        </w:rPr>
        <w:t>ec zahŕňa podporné ustanovenia pre rozdielové zmluvy, ako aj regulované poplatky. Vytvorenie rámca pre využívanie/využívanie zachyteného CO2</w:t>
      </w:r>
    </w:p>
    <w:p w14:paraId="386E2987" w14:textId="6F9EB497" w:rsidR="002D49B0" w:rsidRPr="00083739" w:rsidRDefault="00BF4125">
      <w:pPr>
        <w:pStyle w:val="P68B1DB1-ListParagraph19"/>
        <w:numPr>
          <w:ilvl w:val="0"/>
          <w:numId w:val="76"/>
        </w:numPr>
        <w:spacing w:before="120" w:after="120" w:line="240" w:lineRule="auto"/>
        <w:jc w:val="both"/>
        <w:rPr>
          <w:rFonts w:cs="Times New Roman"/>
          <w:noProof/>
          <w:lang w:val="sk-SK"/>
        </w:rPr>
      </w:pPr>
      <w:r w:rsidRPr="00083739">
        <w:rPr>
          <w:rFonts w:cs="Times New Roman"/>
          <w:noProof/>
          <w:lang w:val="sk-SK"/>
        </w:rPr>
        <w:t>Prijatie rámca pre prístup tretích strán</w:t>
      </w:r>
      <w:r w:rsidR="00083739" w:rsidRPr="00083739">
        <w:rPr>
          <w:rFonts w:cs="Times New Roman"/>
          <w:noProof/>
          <w:lang w:val="sk-SK"/>
        </w:rPr>
        <w:t xml:space="preserve"> k </w:t>
      </w:r>
      <w:r w:rsidRPr="00083739">
        <w:rPr>
          <w:rFonts w:cs="Times New Roman"/>
          <w:noProof/>
          <w:lang w:val="sk-SK"/>
        </w:rPr>
        <w:t>sieti/dopravnej infraštruktúre</w:t>
      </w:r>
      <w:r w:rsidR="00083739" w:rsidRPr="00083739">
        <w:rPr>
          <w:rFonts w:cs="Times New Roman"/>
          <w:noProof/>
          <w:lang w:val="sk-SK"/>
        </w:rPr>
        <w:t xml:space="preserve"> a </w:t>
      </w:r>
      <w:r w:rsidRPr="00083739">
        <w:rPr>
          <w:rFonts w:cs="Times New Roman"/>
          <w:noProof/>
          <w:lang w:val="sk-SK"/>
        </w:rPr>
        <w:t>skladovaciemu zariadeniu.</w:t>
      </w:r>
    </w:p>
    <w:p w14:paraId="753C032C" w14:textId="6A2B5CD4" w:rsidR="002D49B0" w:rsidRPr="00083739" w:rsidRDefault="00BF4125">
      <w:pPr>
        <w:pStyle w:val="P68B1DB1-ListParagraph19"/>
        <w:numPr>
          <w:ilvl w:val="0"/>
          <w:numId w:val="76"/>
        </w:numPr>
        <w:spacing w:before="120" w:after="120" w:line="240" w:lineRule="auto"/>
        <w:jc w:val="both"/>
        <w:rPr>
          <w:rFonts w:cs="Times New Roman"/>
          <w:noProof/>
          <w:lang w:val="sk-SK"/>
        </w:rPr>
      </w:pPr>
      <w:r w:rsidRPr="00083739">
        <w:rPr>
          <w:rFonts w:cs="Times New Roman"/>
          <w:noProof/>
          <w:lang w:val="sk-SK"/>
        </w:rPr>
        <w:t>Určenie odliš</w:t>
      </w:r>
      <w:r w:rsidRPr="00083739">
        <w:rPr>
          <w:rFonts w:cs="Times New Roman"/>
          <w:noProof/>
          <w:lang w:val="sk-SK"/>
        </w:rPr>
        <w:t>ných zodpovedností rôznych zainteresovaných strán za prevádzku technológií zachytávania, využívania</w:t>
      </w:r>
      <w:r w:rsidR="00083739" w:rsidRPr="00083739">
        <w:rPr>
          <w:rFonts w:cs="Times New Roman"/>
          <w:noProof/>
          <w:lang w:val="sk-SK"/>
        </w:rPr>
        <w:t xml:space="preserve"> a </w:t>
      </w:r>
      <w:r w:rsidRPr="00083739">
        <w:rPr>
          <w:rFonts w:cs="Times New Roman"/>
          <w:noProof/>
          <w:lang w:val="sk-SK"/>
        </w:rPr>
        <w:t>ukladania oxidu uhličitého</w:t>
      </w:r>
      <w:r w:rsidR="00083739" w:rsidRPr="00083739">
        <w:rPr>
          <w:rFonts w:cs="Times New Roman"/>
          <w:noProof/>
          <w:lang w:val="sk-SK"/>
        </w:rPr>
        <w:t xml:space="preserve"> a </w:t>
      </w:r>
      <w:r w:rsidRPr="00083739">
        <w:rPr>
          <w:rFonts w:cs="Times New Roman"/>
          <w:noProof/>
          <w:lang w:val="sk-SK"/>
        </w:rPr>
        <w:t>za dohľad nad príslušným trhom.</w:t>
      </w:r>
    </w:p>
    <w:p w14:paraId="1A5294BD" w14:textId="04F61CBC" w:rsidR="002D49B0" w:rsidRPr="00083739" w:rsidRDefault="00BF4125">
      <w:pPr>
        <w:pStyle w:val="P68B1DB1-Normal4"/>
        <w:rPr>
          <w:rFonts w:eastAsiaTheme="minorHAnsi" w:cs="Times New Roman"/>
          <w:noProof/>
          <w:lang w:val="sk-SK"/>
        </w:rPr>
      </w:pPr>
      <w:r w:rsidRPr="00083739">
        <w:rPr>
          <w:rFonts w:cs="Times New Roman"/>
          <w:noProof/>
          <w:lang w:val="sk-SK"/>
        </w:rPr>
        <w:t>Opatrenie musí byť</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technickým usmernením „výrazne nenarušiť“ (2021/C58/01).</w:t>
      </w:r>
    </w:p>
    <w:p w14:paraId="231D9F43" w14:textId="7BB281BA" w:rsidR="00083739"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Implementácia tejto reformy sa dokončí do 30</w:t>
      </w:r>
      <w:r w:rsidR="00083739" w:rsidRPr="00083739">
        <w:rPr>
          <w:rFonts w:cs="Times New Roman"/>
          <w:noProof/>
          <w:lang w:val="sk-SK"/>
        </w:rPr>
        <w:t>. júna</w:t>
      </w:r>
      <w:r w:rsidRPr="00083739">
        <w:rPr>
          <w:rFonts w:cs="Times New Roman"/>
          <w:noProof/>
          <w:lang w:val="sk-SK"/>
        </w:rPr>
        <w:t xml:space="preserve"> 2024</w:t>
      </w:r>
      <w:r w:rsidR="00083739" w:rsidRPr="00083739">
        <w:rPr>
          <w:rFonts w:cs="Times New Roman"/>
          <w:noProof/>
          <w:lang w:val="sk-SK"/>
        </w:rPr>
        <w:t>.</w:t>
      </w:r>
    </w:p>
    <w:p w14:paraId="43270BC7" w14:textId="22FD82A3"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 xml:space="preserve">Reforma: </w:t>
      </w:r>
      <w:r w:rsidRPr="00083739">
        <w:rPr>
          <w:rFonts w:cs="Times New Roman"/>
          <w:noProof/>
          <w:lang w:val="sk-SK"/>
        </w:rPr>
        <w:t>Optimalizácia využívania pevniny</w:t>
      </w:r>
      <w:r w:rsidR="00083739" w:rsidRPr="00083739">
        <w:rPr>
          <w:rFonts w:cs="Times New Roman"/>
          <w:noProof/>
          <w:lang w:val="sk-SK"/>
        </w:rPr>
        <w:t xml:space="preserve"> a </w:t>
      </w:r>
      <w:r w:rsidRPr="00083739">
        <w:rPr>
          <w:rFonts w:cs="Times New Roman"/>
          <w:noProof/>
          <w:lang w:val="sk-SK"/>
        </w:rPr>
        <w:t>morského priestoru na rozvoj obnoviteľných zdrojov energie</w:t>
      </w:r>
      <w:r w:rsidR="00083739" w:rsidRPr="00083739">
        <w:rPr>
          <w:rFonts w:cs="Times New Roman"/>
          <w:noProof/>
          <w:lang w:val="sk-SK"/>
        </w:rPr>
        <w:t xml:space="preserve"> a </w:t>
      </w:r>
      <w:r w:rsidRPr="00083739">
        <w:rPr>
          <w:rFonts w:cs="Times New Roman"/>
          <w:noProof/>
          <w:lang w:val="sk-SK"/>
        </w:rPr>
        <w:t>zariadení na výrobu veternej energie na mori (ID opatrenia: 16989)</w:t>
      </w:r>
    </w:p>
    <w:p w14:paraId="4BFBA4FD" w14:textId="6ACBAD25" w:rsidR="002D49B0" w:rsidRPr="00083739" w:rsidRDefault="00BF4125">
      <w:pPr>
        <w:pStyle w:val="P68B1DB1-Normal4"/>
        <w:spacing w:before="120" w:after="120" w:line="240" w:lineRule="auto"/>
        <w:jc w:val="both"/>
        <w:rPr>
          <w:rFonts w:cs="Times New Roman"/>
          <w:noProof/>
          <w:szCs w:val="24"/>
          <w:lang w:val="sk-SK"/>
        </w:rPr>
      </w:pPr>
      <w:r w:rsidRPr="00083739">
        <w:rPr>
          <w:rFonts w:cs="Times New Roman"/>
          <w:noProof/>
          <w:lang w:val="sk-SK"/>
        </w:rPr>
        <w:t>Cieľom tejto reformy je pos</w:t>
      </w:r>
      <w:r w:rsidRPr="00083739">
        <w:rPr>
          <w:rFonts w:cs="Times New Roman"/>
          <w:noProof/>
          <w:lang w:val="sk-SK"/>
        </w:rPr>
        <w:t>ilniť ďalší rozvoj obnoviteľných zdrojov energie (ďalej len „OZE“)</w:t>
      </w:r>
      <w:r w:rsidR="00083739" w:rsidRPr="00083739">
        <w:rPr>
          <w:rFonts w:cs="Times New Roman"/>
          <w:noProof/>
          <w:lang w:val="sk-SK"/>
        </w:rPr>
        <w:t xml:space="preserve"> v </w:t>
      </w:r>
      <w:r w:rsidRPr="00083739">
        <w:rPr>
          <w:rFonts w:cs="Times New Roman"/>
          <w:noProof/>
          <w:lang w:val="sk-SK"/>
        </w:rPr>
        <w:t>Grécku. Reforma pozostáva</w:t>
      </w:r>
      <w:r w:rsidR="00083739" w:rsidRPr="00083739">
        <w:rPr>
          <w:rFonts w:cs="Times New Roman"/>
          <w:noProof/>
          <w:lang w:val="sk-SK"/>
        </w:rPr>
        <w:t xml:space="preserve"> z </w:t>
      </w:r>
      <w:r w:rsidRPr="00083739">
        <w:rPr>
          <w:rFonts w:cs="Times New Roman"/>
          <w:noProof/>
          <w:lang w:val="sk-SK"/>
        </w:rPr>
        <w:t>dvoch pilierov:</w:t>
      </w:r>
    </w:p>
    <w:p w14:paraId="0FF553A2" w14:textId="20554BCA" w:rsidR="002D49B0" w:rsidRPr="00083739" w:rsidRDefault="00BF4125">
      <w:pPr>
        <w:pStyle w:val="P68B1DB1-ListParagraph19"/>
        <w:numPr>
          <w:ilvl w:val="0"/>
          <w:numId w:val="73"/>
        </w:numPr>
        <w:spacing w:before="120" w:after="120" w:line="240" w:lineRule="auto"/>
        <w:jc w:val="both"/>
        <w:rPr>
          <w:rFonts w:cs="Times New Roman"/>
          <w:noProof/>
          <w:szCs w:val="24"/>
          <w:lang w:val="sk-SK"/>
        </w:rPr>
      </w:pPr>
      <w:r w:rsidRPr="00083739">
        <w:rPr>
          <w:rFonts w:cs="Times New Roman"/>
          <w:noProof/>
          <w:lang w:val="sk-SK"/>
        </w:rPr>
        <w:t>Pilier 1: Posilnenie právneho rámca pre veterné parky na mori (ako sa stanovuje</w:t>
      </w:r>
      <w:r w:rsidR="00083739" w:rsidRPr="00083739">
        <w:rPr>
          <w:rFonts w:cs="Times New Roman"/>
          <w:noProof/>
          <w:lang w:val="sk-SK"/>
        </w:rPr>
        <w:t xml:space="preserve"> v </w:t>
      </w:r>
      <w:r w:rsidRPr="00083739">
        <w:rPr>
          <w:rFonts w:cs="Times New Roman"/>
          <w:noProof/>
          <w:lang w:val="sk-SK"/>
        </w:rPr>
        <w:t>zákone č. 4964/2022</w:t>
      </w:r>
      <w:r w:rsidR="00083739" w:rsidRPr="00083739">
        <w:rPr>
          <w:rFonts w:cs="Times New Roman"/>
          <w:noProof/>
          <w:lang w:val="sk-SK"/>
        </w:rPr>
        <w:t xml:space="preserve"> o </w:t>
      </w:r>
      <w:r w:rsidRPr="00083739">
        <w:rPr>
          <w:rFonts w:cs="Times New Roman"/>
          <w:noProof/>
          <w:lang w:val="sk-SK"/>
        </w:rPr>
        <w:t>ustanoveniach týkajúcich sa zjednodušen</w:t>
      </w:r>
      <w:r w:rsidRPr="00083739">
        <w:rPr>
          <w:rFonts w:cs="Times New Roman"/>
          <w:noProof/>
          <w:lang w:val="sk-SK"/>
        </w:rPr>
        <w:t>ia udeľovania environmentálnych licencií, ktorým sa stanovuje rámec pre rozvoj veterných parkov na mori, riešenie energetickej krízy, ochrana životného prostredia</w:t>
      </w:r>
      <w:r w:rsidR="00083739" w:rsidRPr="00083739">
        <w:rPr>
          <w:rFonts w:cs="Times New Roman"/>
          <w:noProof/>
          <w:lang w:val="sk-SK"/>
        </w:rPr>
        <w:t xml:space="preserve"> a </w:t>
      </w:r>
      <w:r w:rsidRPr="00083739">
        <w:rPr>
          <w:rFonts w:cs="Times New Roman"/>
          <w:noProof/>
          <w:lang w:val="sk-SK"/>
        </w:rPr>
        <w:t>iné ustanovenia, Ú. v. EÚ A 150</w:t>
      </w:r>
      <w:r w:rsidR="00083739" w:rsidRPr="00083739">
        <w:rPr>
          <w:rFonts w:cs="Times New Roman"/>
          <w:noProof/>
          <w:lang w:val="sk-SK"/>
        </w:rPr>
        <w:t xml:space="preserve"> z </w:t>
      </w:r>
      <w:r w:rsidRPr="00083739">
        <w:rPr>
          <w:rFonts w:cs="Times New Roman"/>
          <w:noProof/>
          <w:lang w:val="sk-SK"/>
        </w:rPr>
        <w:t>30. 7. 2022) určením prvých oblastí rozvoja projektov vet</w:t>
      </w:r>
      <w:r w:rsidRPr="00083739">
        <w:rPr>
          <w:rFonts w:cs="Times New Roman"/>
          <w:noProof/>
          <w:lang w:val="sk-SK"/>
        </w:rPr>
        <w:t>ernej energie na mori;</w:t>
      </w:r>
      <w:r w:rsidR="00083739" w:rsidRPr="00083739">
        <w:rPr>
          <w:rFonts w:cs="Times New Roman"/>
          <w:noProof/>
          <w:lang w:val="sk-SK"/>
        </w:rPr>
        <w:t xml:space="preserve"> a </w:t>
      </w:r>
      <w:r w:rsidRPr="00083739">
        <w:rPr>
          <w:rFonts w:cs="Times New Roman"/>
          <w:noProof/>
          <w:lang w:val="sk-SK"/>
        </w:rPr>
        <w:t>zároveň</w:t>
      </w:r>
    </w:p>
    <w:p w14:paraId="51961989" w14:textId="60C968AF" w:rsidR="002D49B0" w:rsidRPr="00083739" w:rsidRDefault="00BF4125">
      <w:pPr>
        <w:pStyle w:val="ListParagraph"/>
        <w:numPr>
          <w:ilvl w:val="0"/>
          <w:numId w:val="73"/>
        </w:numPr>
        <w:spacing w:before="120" w:after="120" w:line="240" w:lineRule="auto"/>
        <w:jc w:val="both"/>
        <w:rPr>
          <w:rFonts w:ascii="Times New Roman" w:hAnsi="Times New Roman" w:cs="Times New Roman"/>
          <w:noProof/>
          <w:sz w:val="24"/>
          <w:szCs w:val="24"/>
          <w:lang w:val="sk-SK"/>
        </w:rPr>
      </w:pPr>
      <w:r w:rsidRPr="00083739">
        <w:rPr>
          <w:rFonts w:ascii="Times New Roman" w:hAnsi="Times New Roman" w:cs="Times New Roman"/>
          <w:noProof/>
          <w:sz w:val="24"/>
          <w:lang w:val="sk-SK"/>
        </w:rPr>
        <w:t>Pilier 2: Vykonanie preskúmania (vo forme štúdie) priestorového rozptylu súčasného rozvoja projektu OZE</w:t>
      </w:r>
      <w:r w:rsidR="00083739" w:rsidRPr="00083739">
        <w:rPr>
          <w:rFonts w:ascii="Times New Roman" w:hAnsi="Times New Roman" w:cs="Times New Roman"/>
          <w:noProof/>
          <w:sz w:val="24"/>
          <w:lang w:val="sk-SK"/>
        </w:rPr>
        <w:t xml:space="preserve"> a </w:t>
      </w:r>
      <w:r w:rsidRPr="00083739">
        <w:rPr>
          <w:rFonts w:ascii="Times New Roman" w:hAnsi="Times New Roman" w:cs="Times New Roman"/>
          <w:noProof/>
          <w:sz w:val="24"/>
          <w:lang w:val="sk-SK"/>
        </w:rPr>
        <w:t>optimalizácie využívania pôdy pre nový potenciál OZE</w:t>
      </w:r>
      <w:r w:rsidR="00083739" w:rsidRPr="00083739">
        <w:rPr>
          <w:rFonts w:ascii="Times New Roman" w:hAnsi="Times New Roman" w:cs="Times New Roman"/>
          <w:noProof/>
          <w:sz w:val="24"/>
          <w:lang w:val="sk-SK"/>
        </w:rPr>
        <w:t xml:space="preserve"> v </w:t>
      </w:r>
      <w:r w:rsidRPr="00083739">
        <w:rPr>
          <w:rFonts w:ascii="Times New Roman" w:hAnsi="Times New Roman" w:cs="Times New Roman"/>
          <w:noProof/>
          <w:sz w:val="24"/>
          <w:lang w:val="sk-SK"/>
        </w:rPr>
        <w:t>Grécku.</w:t>
      </w:r>
      <w:r w:rsidR="00083739" w:rsidRPr="00083739">
        <w:rPr>
          <w:rFonts w:ascii="Times New Roman" w:hAnsi="Times New Roman" w:cs="Times New Roman"/>
          <w:noProof/>
          <w:sz w:val="24"/>
          <w:lang w:val="sk-SK"/>
        </w:rPr>
        <w:t xml:space="preserve"> V </w:t>
      </w:r>
      <w:r w:rsidRPr="00083739">
        <w:rPr>
          <w:rFonts w:ascii="Times New Roman" w:hAnsi="Times New Roman" w:cs="Times New Roman"/>
          <w:noProof/>
          <w:sz w:val="24"/>
          <w:lang w:val="sk-SK"/>
        </w:rPr>
        <w:t xml:space="preserve">štúdii sa okrem strategického environmentálneho </w:t>
      </w:r>
      <w:r w:rsidRPr="00083739">
        <w:rPr>
          <w:rFonts w:ascii="Times New Roman" w:hAnsi="Times New Roman" w:cs="Times New Roman"/>
          <w:noProof/>
          <w:sz w:val="24"/>
          <w:lang w:val="sk-SK"/>
        </w:rPr>
        <w:t>hodnotenia týkajúceho sa týchto oblastí určia</w:t>
      </w:r>
      <w:r w:rsidRPr="00083739">
        <w:rPr>
          <w:rFonts w:ascii="Times New Roman" w:hAnsi="Times New Roman" w:cs="Times New Roman"/>
          <w:noProof/>
          <w:lang w:val="sk-SK"/>
        </w:rPr>
        <w:t xml:space="preserve"> </w:t>
      </w:r>
      <w:r w:rsidRPr="00083739">
        <w:rPr>
          <w:rFonts w:ascii="Times New Roman" w:hAnsi="Times New Roman" w:cs="Times New Roman"/>
          <w:noProof/>
          <w:sz w:val="24"/>
          <w:lang w:val="sk-SK"/>
        </w:rPr>
        <w:t>optimálne oblasti,</w:t>
      </w:r>
      <w:r w:rsidR="00083739" w:rsidRPr="00083739">
        <w:rPr>
          <w:rFonts w:ascii="Times New Roman" w:hAnsi="Times New Roman" w:cs="Times New Roman"/>
          <w:noProof/>
          <w:sz w:val="24"/>
          <w:lang w:val="sk-SK"/>
        </w:rPr>
        <w:t xml:space="preserve"> v </w:t>
      </w:r>
      <w:r w:rsidRPr="00083739">
        <w:rPr>
          <w:rFonts w:ascii="Times New Roman" w:hAnsi="Times New Roman" w:cs="Times New Roman"/>
          <w:noProof/>
          <w:sz w:val="24"/>
          <w:lang w:val="sk-SK"/>
        </w:rPr>
        <w:t>ktorých by sa projekty</w:t>
      </w:r>
      <w:r w:rsidR="00083739" w:rsidRPr="00083739">
        <w:rPr>
          <w:rFonts w:ascii="Times New Roman" w:hAnsi="Times New Roman" w:cs="Times New Roman"/>
          <w:noProof/>
          <w:sz w:val="24"/>
          <w:lang w:val="sk-SK"/>
        </w:rPr>
        <w:t xml:space="preserve"> v </w:t>
      </w:r>
      <w:r w:rsidRPr="00083739">
        <w:rPr>
          <w:rFonts w:ascii="Times New Roman" w:hAnsi="Times New Roman" w:cs="Times New Roman"/>
          <w:noProof/>
          <w:sz w:val="24"/>
          <w:lang w:val="sk-SK"/>
        </w:rPr>
        <w:t>oblasti OZE mohli nachádzať</w:t>
      </w:r>
      <w:r w:rsidR="00083739" w:rsidRPr="00083739">
        <w:rPr>
          <w:rFonts w:ascii="Times New Roman" w:hAnsi="Times New Roman" w:cs="Times New Roman"/>
          <w:noProof/>
          <w:sz w:val="24"/>
          <w:lang w:val="sk-SK"/>
        </w:rPr>
        <w:t xml:space="preserve"> v </w:t>
      </w:r>
      <w:r w:rsidRPr="00083739">
        <w:rPr>
          <w:rFonts w:ascii="Times New Roman" w:hAnsi="Times New Roman" w:cs="Times New Roman"/>
          <w:noProof/>
          <w:sz w:val="24"/>
          <w:lang w:val="sk-SK"/>
        </w:rPr>
        <w:t>Grécku. Okrem toho nadobudne účinnosť holistický politický rámec pre dvojité využívanie pôdy na poľnohospodársku výrobu</w:t>
      </w:r>
      <w:r w:rsidR="00083739" w:rsidRPr="00083739">
        <w:rPr>
          <w:rFonts w:ascii="Times New Roman" w:hAnsi="Times New Roman" w:cs="Times New Roman"/>
          <w:noProof/>
          <w:sz w:val="24"/>
          <w:lang w:val="sk-SK"/>
        </w:rPr>
        <w:t xml:space="preserve"> a </w:t>
      </w:r>
      <w:r w:rsidRPr="00083739">
        <w:rPr>
          <w:rFonts w:ascii="Times New Roman" w:hAnsi="Times New Roman" w:cs="Times New Roman"/>
          <w:noProof/>
          <w:sz w:val="24"/>
          <w:lang w:val="sk-SK"/>
        </w:rPr>
        <w:t>výrobu solár</w:t>
      </w:r>
      <w:r w:rsidRPr="00083739">
        <w:rPr>
          <w:rFonts w:ascii="Times New Roman" w:hAnsi="Times New Roman" w:cs="Times New Roman"/>
          <w:noProof/>
          <w:sz w:val="24"/>
          <w:lang w:val="sk-SK"/>
        </w:rPr>
        <w:t>nej fotovoltiky na podporu inštalácie agrofotovoltiky.</w:t>
      </w:r>
    </w:p>
    <w:p w14:paraId="68F88BDB" w14:textId="31FA843F" w:rsidR="00083739"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Implementácia reformy sa dokončí do 30</w:t>
      </w:r>
      <w:r w:rsidR="00083739" w:rsidRPr="00083739">
        <w:rPr>
          <w:rFonts w:cs="Times New Roman"/>
          <w:noProof/>
          <w:lang w:val="sk-SK"/>
        </w:rPr>
        <w:t>. júna</w:t>
      </w:r>
      <w:r w:rsidRPr="00083739">
        <w:rPr>
          <w:rFonts w:cs="Times New Roman"/>
          <w:noProof/>
          <w:lang w:val="sk-SK"/>
        </w:rPr>
        <w:t xml:space="preserve"> 2025</w:t>
      </w:r>
      <w:r w:rsidR="00083739" w:rsidRPr="00083739">
        <w:rPr>
          <w:rFonts w:cs="Times New Roman"/>
          <w:noProof/>
          <w:lang w:val="sk-SK"/>
        </w:rPr>
        <w:t>.</w:t>
      </w:r>
    </w:p>
    <w:p w14:paraId="4960ED27" w14:textId="0CBDA6AD"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 xml:space="preserve">Reforma: </w:t>
      </w:r>
      <w:r w:rsidRPr="00083739">
        <w:rPr>
          <w:rFonts w:cs="Times New Roman"/>
          <w:noProof/>
          <w:lang w:val="sk-SK"/>
        </w:rPr>
        <w:t>Sieťová</w:t>
      </w:r>
      <w:r w:rsidR="00083739" w:rsidRPr="00083739">
        <w:rPr>
          <w:rFonts w:cs="Times New Roman"/>
          <w:noProof/>
          <w:lang w:val="sk-SK"/>
        </w:rPr>
        <w:t xml:space="preserve"> a </w:t>
      </w:r>
      <w:r w:rsidRPr="00083739">
        <w:rPr>
          <w:rFonts w:cs="Times New Roman"/>
          <w:noProof/>
          <w:lang w:val="sk-SK"/>
        </w:rPr>
        <w:t>uskladňovacia kapacita – podpora investícií do uskladňovania (ID opatrenia: 16990)</w:t>
      </w:r>
    </w:p>
    <w:p w14:paraId="6B0DB423" w14:textId="11B2DF33" w:rsidR="00083739"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Cieľom tejto reformy je podporiť investície do r</w:t>
      </w:r>
      <w:r w:rsidRPr="00083739">
        <w:rPr>
          <w:rFonts w:cs="Times New Roman"/>
          <w:noProof/>
          <w:lang w:val="sk-SK"/>
        </w:rPr>
        <w:t>iešení uskladňovania energie,</w:t>
      </w:r>
      <w:r w:rsidR="00083739" w:rsidRPr="00083739">
        <w:rPr>
          <w:rFonts w:cs="Times New Roman"/>
          <w:noProof/>
          <w:lang w:val="sk-SK"/>
        </w:rPr>
        <w:t xml:space="preserve"> a </w:t>
      </w:r>
      <w:r w:rsidRPr="00083739">
        <w:rPr>
          <w:rFonts w:cs="Times New Roman"/>
          <w:noProof/>
          <w:lang w:val="sk-SK"/>
        </w:rPr>
        <w:t>to ako samostatných jednotiek, ako aj uskladňovania</w:t>
      </w:r>
      <w:r w:rsidR="00083739" w:rsidRPr="00083739">
        <w:rPr>
          <w:rFonts w:cs="Times New Roman"/>
          <w:noProof/>
          <w:lang w:val="sk-SK"/>
        </w:rPr>
        <w:t xml:space="preserve"> v </w:t>
      </w:r>
      <w:r w:rsidRPr="00083739">
        <w:rPr>
          <w:rFonts w:cs="Times New Roman"/>
          <w:noProof/>
          <w:lang w:val="sk-SK"/>
        </w:rPr>
        <w:t>kombinácii</w:t>
      </w:r>
      <w:r w:rsidR="00083739" w:rsidRPr="00083739">
        <w:rPr>
          <w:rFonts w:cs="Times New Roman"/>
          <w:noProof/>
          <w:lang w:val="sk-SK"/>
        </w:rPr>
        <w:t xml:space="preserve"> s </w:t>
      </w:r>
      <w:r w:rsidRPr="00083739">
        <w:rPr>
          <w:rFonts w:cs="Times New Roman"/>
          <w:noProof/>
          <w:lang w:val="sk-SK"/>
        </w:rPr>
        <w:t>obnoviteľnými zdrojmi energie. Cieľom programu je vytvoriť rámec, ktorým sa</w:t>
      </w:r>
      <w:r w:rsidR="00083739" w:rsidRPr="00083739">
        <w:rPr>
          <w:rFonts w:cs="Times New Roman"/>
          <w:noProof/>
          <w:lang w:val="sk-SK"/>
        </w:rPr>
        <w:t xml:space="preserve"> v </w:t>
      </w:r>
      <w:r w:rsidRPr="00083739">
        <w:rPr>
          <w:rFonts w:cs="Times New Roman"/>
          <w:noProof/>
          <w:lang w:val="sk-SK"/>
        </w:rPr>
        <w:t>konečnom dôsledku podporí aspoň 900 MW samostatných projektov uskladňovania bat</w:t>
      </w:r>
      <w:r w:rsidRPr="00083739">
        <w:rPr>
          <w:rFonts w:cs="Times New Roman"/>
          <w:noProof/>
          <w:lang w:val="sk-SK"/>
        </w:rPr>
        <w:t>érií prostredníctvom kombinácie investičnej pomoci. Reforma dosiahne svoje ciele prostredníctvom</w:t>
      </w:r>
      <w:r w:rsidR="00083739" w:rsidRPr="00083739">
        <w:rPr>
          <w:rFonts w:cs="Times New Roman"/>
          <w:noProof/>
          <w:lang w:val="sk-SK"/>
        </w:rPr>
        <w:t>:</w:t>
      </w:r>
    </w:p>
    <w:p w14:paraId="78BE0179" w14:textId="77777777" w:rsidR="00083739" w:rsidRPr="00083739" w:rsidRDefault="00BF4125">
      <w:pPr>
        <w:pStyle w:val="P68B1DB1-ListParagraph19"/>
        <w:numPr>
          <w:ilvl w:val="0"/>
          <w:numId w:val="79"/>
        </w:numPr>
        <w:spacing w:before="120" w:after="120" w:line="240" w:lineRule="auto"/>
        <w:jc w:val="both"/>
        <w:rPr>
          <w:rFonts w:cs="Times New Roman"/>
          <w:noProof/>
          <w:lang w:val="sk-SK"/>
        </w:rPr>
      </w:pPr>
      <w:r w:rsidRPr="00083739">
        <w:rPr>
          <w:rFonts w:cs="Times New Roman"/>
          <w:noProof/>
          <w:lang w:val="sk-SK"/>
        </w:rPr>
        <w:t>Prijatie legislatívneho</w:t>
      </w:r>
      <w:r w:rsidR="00083739" w:rsidRPr="00083739">
        <w:rPr>
          <w:rFonts w:cs="Times New Roman"/>
          <w:noProof/>
          <w:lang w:val="sk-SK"/>
        </w:rPr>
        <w:t xml:space="preserve"> a </w:t>
      </w:r>
      <w:r w:rsidRPr="00083739">
        <w:rPr>
          <w:rFonts w:cs="Times New Roman"/>
          <w:noProof/>
          <w:lang w:val="sk-SK"/>
        </w:rPr>
        <w:t>regulačného rámca, ktorý uľahčí inštaláciu zásobníkov do existujúcich alebo nových elektrární na výrobu energie</w:t>
      </w:r>
      <w:r w:rsidR="00083739" w:rsidRPr="00083739">
        <w:rPr>
          <w:rFonts w:cs="Times New Roman"/>
          <w:noProof/>
          <w:lang w:val="sk-SK"/>
        </w:rPr>
        <w:t xml:space="preserve"> z </w:t>
      </w:r>
      <w:r w:rsidRPr="00083739">
        <w:rPr>
          <w:rFonts w:cs="Times New Roman"/>
          <w:noProof/>
          <w:lang w:val="sk-SK"/>
        </w:rPr>
        <w:t xml:space="preserve">obnoviteľných </w:t>
      </w:r>
      <w:r w:rsidRPr="00083739">
        <w:rPr>
          <w:rFonts w:cs="Times New Roman"/>
          <w:noProof/>
          <w:lang w:val="sk-SK"/>
        </w:rPr>
        <w:t>zdrojov. Tým sa zlepší</w:t>
      </w:r>
      <w:r w:rsidR="00083739" w:rsidRPr="00083739">
        <w:rPr>
          <w:rFonts w:cs="Times New Roman"/>
          <w:noProof/>
          <w:lang w:val="sk-SK"/>
        </w:rPr>
        <w:t xml:space="preserve"> a </w:t>
      </w:r>
      <w:r w:rsidRPr="00083739">
        <w:rPr>
          <w:rFonts w:cs="Times New Roman"/>
          <w:noProof/>
          <w:lang w:val="sk-SK"/>
        </w:rPr>
        <w:t>doplní právny</w:t>
      </w:r>
      <w:r w:rsidR="00083739" w:rsidRPr="00083739">
        <w:rPr>
          <w:rFonts w:cs="Times New Roman"/>
          <w:noProof/>
          <w:lang w:val="sk-SK"/>
        </w:rPr>
        <w:t xml:space="preserve"> a </w:t>
      </w:r>
      <w:r w:rsidRPr="00083739">
        <w:rPr>
          <w:rFonts w:cs="Times New Roman"/>
          <w:noProof/>
          <w:lang w:val="sk-SK"/>
        </w:rPr>
        <w:t>regulačný rámec</w:t>
      </w:r>
      <w:r w:rsidR="00083739" w:rsidRPr="00083739">
        <w:rPr>
          <w:rFonts w:cs="Times New Roman"/>
          <w:noProof/>
          <w:lang w:val="sk-SK"/>
        </w:rPr>
        <w:t xml:space="preserve"> s </w:t>
      </w:r>
      <w:r w:rsidRPr="00083739">
        <w:rPr>
          <w:rFonts w:cs="Times New Roman"/>
          <w:noProof/>
          <w:lang w:val="sk-SK"/>
        </w:rPr>
        <w:t>cieľom umožniť integráciu uskladňovania do elektrární na výrobu energie</w:t>
      </w:r>
      <w:r w:rsidR="00083739" w:rsidRPr="00083739">
        <w:rPr>
          <w:rFonts w:cs="Times New Roman"/>
          <w:noProof/>
          <w:lang w:val="sk-SK"/>
        </w:rPr>
        <w:t xml:space="preserve"> z </w:t>
      </w:r>
      <w:r w:rsidRPr="00083739">
        <w:rPr>
          <w:rFonts w:cs="Times New Roman"/>
          <w:noProof/>
          <w:lang w:val="sk-SK"/>
        </w:rPr>
        <w:t>obnoviteľných zdrojov</w:t>
      </w:r>
      <w:r w:rsidR="00083739" w:rsidRPr="00083739">
        <w:rPr>
          <w:rFonts w:cs="Times New Roman"/>
          <w:noProof/>
          <w:lang w:val="sk-SK"/>
        </w:rPr>
        <w:t xml:space="preserve"> a </w:t>
      </w:r>
      <w:r w:rsidRPr="00083739">
        <w:rPr>
          <w:rFonts w:cs="Times New Roman"/>
          <w:noProof/>
          <w:lang w:val="sk-SK"/>
        </w:rPr>
        <w:t>podporiť nové projekty tým, že sa im udelí priorita pri postupoch udeľovania licencií</w:t>
      </w:r>
      <w:r w:rsidR="00083739" w:rsidRPr="00083739">
        <w:rPr>
          <w:rFonts w:cs="Times New Roman"/>
          <w:noProof/>
          <w:lang w:val="sk-SK"/>
        </w:rPr>
        <w:t xml:space="preserve"> a </w:t>
      </w:r>
      <w:r w:rsidRPr="00083739">
        <w:rPr>
          <w:rFonts w:cs="Times New Roman"/>
          <w:noProof/>
          <w:lang w:val="sk-SK"/>
        </w:rPr>
        <w:t>prístupe</w:t>
      </w:r>
      <w:r w:rsidR="00083739" w:rsidRPr="00083739">
        <w:rPr>
          <w:rFonts w:cs="Times New Roman"/>
          <w:noProof/>
          <w:lang w:val="sk-SK"/>
        </w:rPr>
        <w:t xml:space="preserve"> k </w:t>
      </w:r>
      <w:r w:rsidRPr="00083739">
        <w:rPr>
          <w:rFonts w:cs="Times New Roman"/>
          <w:noProof/>
          <w:lang w:val="sk-SK"/>
        </w:rPr>
        <w:t>sieti;</w:t>
      </w:r>
      <w:r w:rsidR="00083739" w:rsidRPr="00083739">
        <w:rPr>
          <w:rFonts w:cs="Times New Roman"/>
          <w:noProof/>
          <w:lang w:val="sk-SK"/>
        </w:rPr>
        <w:t xml:space="preserve"> a </w:t>
      </w:r>
      <w:r w:rsidRPr="00083739">
        <w:rPr>
          <w:rFonts w:cs="Times New Roman"/>
          <w:noProof/>
          <w:lang w:val="sk-SK"/>
        </w:rPr>
        <w:t>zároveň</w:t>
      </w:r>
    </w:p>
    <w:p w14:paraId="64D00F13" w14:textId="78D75AA9" w:rsidR="00083739" w:rsidRPr="00083739" w:rsidRDefault="00BF4125">
      <w:pPr>
        <w:pStyle w:val="P68B1DB1-ListParagraph19"/>
        <w:numPr>
          <w:ilvl w:val="0"/>
          <w:numId w:val="79"/>
        </w:numPr>
        <w:spacing w:before="120" w:after="120" w:line="240" w:lineRule="auto"/>
        <w:jc w:val="both"/>
        <w:rPr>
          <w:rFonts w:cs="Times New Roman"/>
          <w:noProof/>
          <w:lang w:val="sk-SK"/>
        </w:rPr>
      </w:pPr>
      <w:r w:rsidRPr="00083739">
        <w:rPr>
          <w:rFonts w:cs="Times New Roman"/>
          <w:noProof/>
          <w:lang w:val="sk-SK"/>
        </w:rPr>
        <w:t>Vykonávanie cielených stimulov pre kombinované jednotky energie</w:t>
      </w:r>
      <w:r w:rsidR="00083739" w:rsidRPr="00083739">
        <w:rPr>
          <w:rFonts w:cs="Times New Roman"/>
          <w:noProof/>
          <w:lang w:val="sk-SK"/>
        </w:rPr>
        <w:t xml:space="preserve"> z </w:t>
      </w:r>
      <w:r w:rsidRPr="00083739">
        <w:rPr>
          <w:rFonts w:cs="Times New Roman"/>
          <w:noProof/>
          <w:lang w:val="sk-SK"/>
        </w:rPr>
        <w:t>obnoviteľných zdrojov</w:t>
      </w:r>
      <w:r w:rsidR="00083739" w:rsidRPr="00083739">
        <w:rPr>
          <w:rFonts w:cs="Times New Roman"/>
          <w:noProof/>
          <w:lang w:val="sk-SK"/>
        </w:rPr>
        <w:t xml:space="preserve"> a </w:t>
      </w:r>
      <w:r w:rsidRPr="00083739">
        <w:rPr>
          <w:rFonts w:cs="Times New Roman"/>
          <w:noProof/>
          <w:lang w:val="sk-SK"/>
        </w:rPr>
        <w:t>uskladňovacie jednotky, čo zahŕňa návrh</w:t>
      </w:r>
      <w:r w:rsidR="00083739" w:rsidRPr="00083739">
        <w:rPr>
          <w:rFonts w:cs="Times New Roman"/>
          <w:noProof/>
          <w:lang w:val="sk-SK"/>
        </w:rPr>
        <w:t xml:space="preserve"> a </w:t>
      </w:r>
      <w:r w:rsidRPr="00083739">
        <w:rPr>
          <w:rFonts w:cs="Times New Roman"/>
          <w:noProof/>
          <w:lang w:val="sk-SK"/>
        </w:rPr>
        <w:t>prijatie stimulov na podporu investícií do kombinovanej výroby energie</w:t>
      </w:r>
      <w:r w:rsidR="00083739" w:rsidRPr="00083739">
        <w:rPr>
          <w:rFonts w:cs="Times New Roman"/>
          <w:noProof/>
          <w:lang w:val="sk-SK"/>
        </w:rPr>
        <w:t xml:space="preserve"> z </w:t>
      </w:r>
      <w:r w:rsidRPr="00083739">
        <w:rPr>
          <w:rFonts w:cs="Times New Roman"/>
          <w:noProof/>
          <w:lang w:val="sk-SK"/>
        </w:rPr>
        <w:t>obnoviteľných zdrojov</w:t>
      </w:r>
      <w:r w:rsidR="00083739" w:rsidRPr="00083739">
        <w:rPr>
          <w:rFonts w:cs="Times New Roman"/>
          <w:noProof/>
          <w:lang w:val="sk-SK"/>
        </w:rPr>
        <w:t xml:space="preserve"> a </w:t>
      </w:r>
      <w:r w:rsidRPr="00083739">
        <w:rPr>
          <w:rFonts w:cs="Times New Roman"/>
          <w:noProof/>
          <w:lang w:val="sk-SK"/>
        </w:rPr>
        <w:t>uskladňova</w:t>
      </w:r>
      <w:r w:rsidRPr="00083739">
        <w:rPr>
          <w:rFonts w:cs="Times New Roman"/>
          <w:noProof/>
          <w:lang w:val="sk-SK"/>
        </w:rPr>
        <w:t>nia energie</w:t>
      </w:r>
      <w:r w:rsidR="00083739" w:rsidRPr="00083739">
        <w:rPr>
          <w:rFonts w:cs="Times New Roman"/>
          <w:noProof/>
          <w:lang w:val="sk-SK"/>
        </w:rPr>
        <w:t>.</w:t>
      </w:r>
    </w:p>
    <w:p w14:paraId="381C572B" w14:textId="6C6C2DDF" w:rsidR="00083739"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Implementácia reformy sa dokončí do 30</w:t>
      </w:r>
      <w:r w:rsidR="00083739" w:rsidRPr="00083739">
        <w:rPr>
          <w:rFonts w:cs="Times New Roman"/>
          <w:noProof/>
          <w:lang w:val="sk-SK"/>
        </w:rPr>
        <w:t>. júna</w:t>
      </w:r>
      <w:r w:rsidRPr="00083739">
        <w:rPr>
          <w:rFonts w:cs="Times New Roman"/>
          <w:noProof/>
          <w:lang w:val="sk-SK"/>
        </w:rPr>
        <w:t xml:space="preserve"> 2025</w:t>
      </w:r>
      <w:r w:rsidR="00083739" w:rsidRPr="00083739">
        <w:rPr>
          <w:rFonts w:cs="Times New Roman"/>
          <w:noProof/>
          <w:lang w:val="sk-SK"/>
        </w:rPr>
        <w:t>.</w:t>
      </w:r>
    </w:p>
    <w:p w14:paraId="38876953" w14:textId="1BE8A02A" w:rsidR="002D49B0" w:rsidRPr="00083739" w:rsidRDefault="00BF4125">
      <w:pPr>
        <w:pStyle w:val="P68B1DB1-Normal4"/>
        <w:spacing w:before="120" w:after="120" w:line="240" w:lineRule="auto"/>
        <w:jc w:val="both"/>
        <w:rPr>
          <w:rFonts w:cs="Times New Roman"/>
          <w:noProof/>
          <w:szCs w:val="24"/>
          <w:lang w:val="sk-SK"/>
        </w:rPr>
      </w:pPr>
      <w:r w:rsidRPr="00083739">
        <w:rPr>
          <w:rFonts w:cs="Times New Roman"/>
          <w:b/>
          <w:noProof/>
          <w:lang w:val="sk-SK"/>
        </w:rPr>
        <w:t>Reforma:</w:t>
      </w:r>
      <w:r w:rsidRPr="00083739">
        <w:rPr>
          <w:rFonts w:cs="Times New Roman"/>
          <w:noProof/>
          <w:lang w:val="sk-SK"/>
        </w:rPr>
        <w:t xml:space="preserve"> Regulačný rámec na ceste</w:t>
      </w:r>
      <w:r w:rsidR="00083739" w:rsidRPr="00083739">
        <w:rPr>
          <w:rFonts w:cs="Times New Roman"/>
          <w:noProof/>
          <w:lang w:val="sk-SK"/>
        </w:rPr>
        <w:t xml:space="preserve"> k </w:t>
      </w:r>
      <w:r w:rsidRPr="00083739">
        <w:rPr>
          <w:rFonts w:cs="Times New Roman"/>
          <w:noProof/>
          <w:lang w:val="sk-SK"/>
        </w:rPr>
        <w:t>inteligentnej sieti (ID opatrenia: 16991)</w:t>
      </w:r>
    </w:p>
    <w:p w14:paraId="330E5F69" w14:textId="155DB7C4" w:rsidR="00083739"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Cieľom tejto reformy je prispieť</w:t>
      </w:r>
      <w:r w:rsidR="00083739" w:rsidRPr="00083739">
        <w:rPr>
          <w:rFonts w:cs="Times New Roman"/>
          <w:noProof/>
          <w:lang w:val="sk-SK"/>
        </w:rPr>
        <w:t xml:space="preserve"> k </w:t>
      </w:r>
      <w:r w:rsidRPr="00083739">
        <w:rPr>
          <w:rFonts w:cs="Times New Roman"/>
          <w:noProof/>
          <w:lang w:val="sk-SK"/>
        </w:rPr>
        <w:t>podpore technológií</w:t>
      </w:r>
      <w:r w:rsidR="00083739" w:rsidRPr="00083739">
        <w:rPr>
          <w:rFonts w:cs="Times New Roman"/>
          <w:noProof/>
          <w:lang w:val="sk-SK"/>
        </w:rPr>
        <w:t xml:space="preserve"> a </w:t>
      </w:r>
      <w:r w:rsidRPr="00083739">
        <w:rPr>
          <w:rFonts w:cs="Times New Roman"/>
          <w:noProof/>
          <w:lang w:val="sk-SK"/>
        </w:rPr>
        <w:t>postupov inteligentných sietí na gréckom trhu</w:t>
      </w:r>
      <w:r w:rsidR="00083739" w:rsidRPr="00083739">
        <w:rPr>
          <w:rFonts w:cs="Times New Roman"/>
          <w:noProof/>
          <w:lang w:val="sk-SK"/>
        </w:rPr>
        <w:t xml:space="preserve"> s </w:t>
      </w:r>
      <w:r w:rsidRPr="00083739">
        <w:rPr>
          <w:rFonts w:cs="Times New Roman"/>
          <w:noProof/>
          <w:lang w:val="sk-SK"/>
        </w:rPr>
        <w:t>elektrino</w:t>
      </w:r>
      <w:r w:rsidRPr="00083739">
        <w:rPr>
          <w:rFonts w:cs="Times New Roman"/>
          <w:noProof/>
          <w:lang w:val="sk-SK"/>
        </w:rPr>
        <w:t>u. Základom vízie inteligentnej siete pre krajinu je schopnosť monitorovať</w:t>
      </w:r>
      <w:r w:rsidR="00083739" w:rsidRPr="00083739">
        <w:rPr>
          <w:rFonts w:cs="Times New Roman"/>
          <w:noProof/>
          <w:lang w:val="sk-SK"/>
        </w:rPr>
        <w:t xml:space="preserve"> a </w:t>
      </w:r>
      <w:r w:rsidRPr="00083739">
        <w:rPr>
          <w:rFonts w:cs="Times New Roman"/>
          <w:noProof/>
          <w:lang w:val="sk-SK"/>
        </w:rPr>
        <w:t>kontrolovať zaťaženie</w:t>
      </w:r>
      <w:r w:rsidR="00083739" w:rsidRPr="00083739">
        <w:rPr>
          <w:rFonts w:cs="Times New Roman"/>
          <w:noProof/>
          <w:lang w:val="sk-SK"/>
        </w:rPr>
        <w:t xml:space="preserve"> a </w:t>
      </w:r>
      <w:r w:rsidRPr="00083739">
        <w:rPr>
          <w:rFonts w:cs="Times New Roman"/>
          <w:noProof/>
          <w:lang w:val="sk-SK"/>
        </w:rPr>
        <w:t>toky</w:t>
      </w:r>
      <w:r w:rsidR="00083739" w:rsidRPr="00083739">
        <w:rPr>
          <w:rFonts w:cs="Times New Roman"/>
          <w:noProof/>
          <w:lang w:val="sk-SK"/>
        </w:rPr>
        <w:t xml:space="preserve"> v </w:t>
      </w:r>
      <w:r w:rsidRPr="00083739">
        <w:rPr>
          <w:rFonts w:cs="Times New Roman"/>
          <w:noProof/>
          <w:lang w:val="sk-SK"/>
        </w:rPr>
        <w:t>distribučnej sieti; integrácia kontrolných technológií</w:t>
      </w:r>
      <w:r w:rsidR="00083739" w:rsidRPr="00083739">
        <w:rPr>
          <w:rFonts w:cs="Times New Roman"/>
          <w:noProof/>
          <w:lang w:val="sk-SK"/>
        </w:rPr>
        <w:t xml:space="preserve"> s </w:t>
      </w:r>
      <w:r w:rsidRPr="00083739">
        <w:rPr>
          <w:rFonts w:cs="Times New Roman"/>
          <w:noProof/>
          <w:lang w:val="sk-SK"/>
        </w:rPr>
        <w:t>telekomunikačnými sieťami</w:t>
      </w:r>
      <w:r w:rsidR="00083739" w:rsidRPr="00083739">
        <w:rPr>
          <w:rFonts w:cs="Times New Roman"/>
          <w:noProof/>
          <w:lang w:val="sk-SK"/>
        </w:rPr>
        <w:t xml:space="preserve"> s </w:t>
      </w:r>
      <w:r w:rsidRPr="00083739">
        <w:rPr>
          <w:rFonts w:cs="Times New Roman"/>
          <w:noProof/>
          <w:lang w:val="sk-SK"/>
        </w:rPr>
        <w:t>cieľom podporiť zapojenie aktív</w:t>
      </w:r>
      <w:r w:rsidR="00083739" w:rsidRPr="00083739">
        <w:rPr>
          <w:rFonts w:cs="Times New Roman"/>
          <w:noProof/>
          <w:lang w:val="sk-SK"/>
        </w:rPr>
        <w:t xml:space="preserve"> a </w:t>
      </w:r>
      <w:r w:rsidRPr="00083739">
        <w:rPr>
          <w:rFonts w:cs="Times New Roman"/>
          <w:noProof/>
          <w:lang w:val="sk-SK"/>
        </w:rPr>
        <w:t>spotrebiteľov, ako aj účastní</w:t>
      </w:r>
      <w:r w:rsidRPr="00083739">
        <w:rPr>
          <w:rFonts w:cs="Times New Roman"/>
          <w:noProof/>
          <w:lang w:val="sk-SK"/>
        </w:rPr>
        <w:t>kov trhu</w:t>
      </w:r>
      <w:r w:rsidR="00083739" w:rsidRPr="00083739">
        <w:rPr>
          <w:rFonts w:cs="Times New Roman"/>
          <w:noProof/>
          <w:lang w:val="sk-SK"/>
        </w:rPr>
        <w:t xml:space="preserve"> v </w:t>
      </w:r>
      <w:r w:rsidRPr="00083739">
        <w:rPr>
          <w:rFonts w:cs="Times New Roman"/>
          <w:noProof/>
          <w:lang w:val="sk-SK"/>
        </w:rPr>
        <w:t>reálnom čase;</w:t>
      </w:r>
      <w:r w:rsidR="00083739" w:rsidRPr="00083739">
        <w:rPr>
          <w:rFonts w:cs="Times New Roman"/>
          <w:noProof/>
          <w:lang w:val="sk-SK"/>
        </w:rPr>
        <w:t xml:space="preserve"> a </w:t>
      </w:r>
      <w:r w:rsidRPr="00083739">
        <w:rPr>
          <w:rFonts w:cs="Times New Roman"/>
          <w:noProof/>
          <w:lang w:val="sk-SK"/>
        </w:rPr>
        <w:t>prijatie podporného právneho</w:t>
      </w:r>
      <w:r w:rsidR="00083739" w:rsidRPr="00083739">
        <w:rPr>
          <w:rFonts w:cs="Times New Roman"/>
          <w:noProof/>
          <w:lang w:val="sk-SK"/>
        </w:rPr>
        <w:t xml:space="preserve"> a </w:t>
      </w:r>
      <w:r w:rsidRPr="00083739">
        <w:rPr>
          <w:rFonts w:cs="Times New Roman"/>
          <w:noProof/>
          <w:lang w:val="sk-SK"/>
        </w:rPr>
        <w:t>regulačného rámca na uľahčenie rýchleho zavádzania technológií</w:t>
      </w:r>
      <w:r w:rsidR="00083739" w:rsidRPr="00083739">
        <w:rPr>
          <w:rFonts w:cs="Times New Roman"/>
          <w:noProof/>
          <w:lang w:val="sk-SK"/>
        </w:rPr>
        <w:t xml:space="preserve"> a </w:t>
      </w:r>
      <w:r w:rsidRPr="00083739">
        <w:rPr>
          <w:rFonts w:cs="Times New Roman"/>
          <w:noProof/>
          <w:lang w:val="sk-SK"/>
        </w:rPr>
        <w:t>zapojenia zákazníkov. Politickými cieľmi reformy sú urýchlenie zavádzania inteligentných</w:t>
      </w:r>
      <w:r w:rsidR="00083739" w:rsidRPr="00083739">
        <w:rPr>
          <w:rFonts w:cs="Times New Roman"/>
          <w:noProof/>
          <w:lang w:val="sk-SK"/>
        </w:rPr>
        <w:t xml:space="preserve"> a </w:t>
      </w:r>
      <w:r w:rsidRPr="00083739">
        <w:rPr>
          <w:rFonts w:cs="Times New Roman"/>
          <w:noProof/>
          <w:lang w:val="sk-SK"/>
        </w:rPr>
        <w:t>digitálnych technológií</w:t>
      </w:r>
      <w:r w:rsidR="00083739" w:rsidRPr="00083739">
        <w:rPr>
          <w:rFonts w:cs="Times New Roman"/>
          <w:noProof/>
          <w:lang w:val="sk-SK"/>
        </w:rPr>
        <w:t xml:space="preserve"> v </w:t>
      </w:r>
      <w:r w:rsidRPr="00083739">
        <w:rPr>
          <w:rFonts w:cs="Times New Roman"/>
          <w:noProof/>
          <w:lang w:val="sk-SK"/>
        </w:rPr>
        <w:t>distribučnej sie</w:t>
      </w:r>
      <w:r w:rsidRPr="00083739">
        <w:rPr>
          <w:rFonts w:cs="Times New Roman"/>
          <w:noProof/>
          <w:lang w:val="sk-SK"/>
        </w:rPr>
        <w:t>ti</w:t>
      </w:r>
      <w:r w:rsidR="00083739" w:rsidRPr="00083739">
        <w:rPr>
          <w:rFonts w:cs="Times New Roman"/>
          <w:noProof/>
          <w:lang w:val="sk-SK"/>
        </w:rPr>
        <w:t xml:space="preserve"> a </w:t>
      </w:r>
      <w:r w:rsidRPr="00083739">
        <w:rPr>
          <w:rFonts w:cs="Times New Roman"/>
          <w:noProof/>
          <w:lang w:val="sk-SK"/>
        </w:rPr>
        <w:t>snaha</w:t>
      </w:r>
      <w:r w:rsidR="00083739" w:rsidRPr="00083739">
        <w:rPr>
          <w:rFonts w:cs="Times New Roman"/>
          <w:noProof/>
          <w:lang w:val="sk-SK"/>
        </w:rPr>
        <w:t xml:space="preserve"> o </w:t>
      </w:r>
      <w:r w:rsidRPr="00083739">
        <w:rPr>
          <w:rFonts w:cs="Times New Roman"/>
          <w:noProof/>
          <w:lang w:val="sk-SK"/>
        </w:rPr>
        <w:t>efektívnejšie riadenie spotreby energie pre konečného spotrebiteľa</w:t>
      </w:r>
      <w:r w:rsidR="00083739" w:rsidRPr="00083739">
        <w:rPr>
          <w:rFonts w:cs="Times New Roman"/>
          <w:noProof/>
          <w:lang w:val="sk-SK"/>
        </w:rPr>
        <w:t>.</w:t>
      </w:r>
    </w:p>
    <w:p w14:paraId="653D0162" w14:textId="1491D44A"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Vykonávanie navrhovaných reforiem sa plánuje</w:t>
      </w:r>
      <w:r w:rsidR="00083739" w:rsidRPr="00083739">
        <w:rPr>
          <w:rFonts w:cs="Times New Roman"/>
          <w:noProof/>
          <w:lang w:val="sk-SK"/>
        </w:rPr>
        <w:t xml:space="preserve"> v </w:t>
      </w:r>
      <w:r w:rsidRPr="00083739">
        <w:rPr>
          <w:rFonts w:cs="Times New Roman"/>
          <w:noProof/>
          <w:lang w:val="sk-SK"/>
        </w:rPr>
        <w:t>troch rôznych tematických oblastiach:</w:t>
      </w:r>
    </w:p>
    <w:p w14:paraId="706B0648" w14:textId="27C5BCFF" w:rsidR="002D49B0" w:rsidRPr="00083739" w:rsidRDefault="00BF4125">
      <w:pPr>
        <w:pStyle w:val="P68B1DB1-Normal4"/>
        <w:numPr>
          <w:ilvl w:val="0"/>
          <w:numId w:val="72"/>
        </w:numPr>
        <w:spacing w:before="120" w:after="120" w:line="240" w:lineRule="auto"/>
        <w:jc w:val="both"/>
        <w:rPr>
          <w:rFonts w:cs="Times New Roman"/>
          <w:noProof/>
          <w:szCs w:val="24"/>
          <w:lang w:val="sk-SK"/>
        </w:rPr>
      </w:pPr>
      <w:r w:rsidRPr="00083739">
        <w:rPr>
          <w:rFonts w:cs="Times New Roman"/>
          <w:noProof/>
          <w:lang w:val="sk-SK"/>
        </w:rPr>
        <w:t>Pilier 1: Vývoj systému stimulov na zavádzanie</w:t>
      </w:r>
      <w:r w:rsidR="00083739" w:rsidRPr="00083739">
        <w:rPr>
          <w:rFonts w:cs="Times New Roman"/>
          <w:noProof/>
          <w:lang w:val="sk-SK"/>
        </w:rPr>
        <w:t xml:space="preserve"> a </w:t>
      </w:r>
      <w:r w:rsidRPr="00083739">
        <w:rPr>
          <w:rFonts w:cs="Times New Roman"/>
          <w:noProof/>
          <w:lang w:val="sk-SK"/>
        </w:rPr>
        <w:t xml:space="preserve">používanie inteligentných meračov. </w:t>
      </w:r>
      <w:r w:rsidRPr="00083739">
        <w:rPr>
          <w:rFonts w:cs="Times New Roman"/>
          <w:noProof/>
          <w:lang w:val="sk-SK"/>
        </w:rPr>
        <w:t>Reforma zahŕňa najmä návrh systému sankcií a/alebo odmien pre prevádzkovateľa distribučnej sústavy prostredníctvom tarifného mechanizmu pod podmienkou dosiahnutia určitých kľúčových ukazovateľov výkonnosti súvisiacich so zavádzaním</w:t>
      </w:r>
      <w:r w:rsidR="00083739" w:rsidRPr="00083739">
        <w:rPr>
          <w:rFonts w:cs="Times New Roman"/>
          <w:noProof/>
          <w:lang w:val="sk-SK"/>
        </w:rPr>
        <w:t xml:space="preserve"> a </w:t>
      </w:r>
      <w:r w:rsidRPr="00083739">
        <w:rPr>
          <w:rFonts w:cs="Times New Roman"/>
          <w:noProof/>
          <w:lang w:val="sk-SK"/>
        </w:rPr>
        <w:t>monitorovaním intelige</w:t>
      </w:r>
      <w:r w:rsidRPr="00083739">
        <w:rPr>
          <w:rFonts w:cs="Times New Roman"/>
          <w:noProof/>
          <w:lang w:val="sk-SK"/>
        </w:rPr>
        <w:t>ntných sietí.</w:t>
      </w:r>
    </w:p>
    <w:p w14:paraId="54DCF7C2" w14:textId="782BE195" w:rsidR="002D49B0" w:rsidRPr="00083739" w:rsidRDefault="00BF4125">
      <w:pPr>
        <w:pStyle w:val="P68B1DB1-Normal4"/>
        <w:numPr>
          <w:ilvl w:val="0"/>
          <w:numId w:val="72"/>
        </w:numPr>
        <w:spacing w:before="120" w:after="120" w:line="240" w:lineRule="auto"/>
        <w:jc w:val="both"/>
        <w:rPr>
          <w:rFonts w:cs="Times New Roman"/>
          <w:noProof/>
          <w:szCs w:val="24"/>
          <w:lang w:val="sk-SK"/>
        </w:rPr>
      </w:pPr>
      <w:r w:rsidRPr="00083739">
        <w:rPr>
          <w:rFonts w:cs="Times New Roman"/>
          <w:noProof/>
          <w:lang w:val="sk-SK"/>
        </w:rPr>
        <w:t>Pilier 2: Pokiaľ ide</w:t>
      </w:r>
      <w:r w:rsidR="00083739" w:rsidRPr="00083739">
        <w:rPr>
          <w:rFonts w:cs="Times New Roman"/>
          <w:noProof/>
          <w:lang w:val="sk-SK"/>
        </w:rPr>
        <w:t xml:space="preserve"> o </w:t>
      </w:r>
      <w:r w:rsidRPr="00083739">
        <w:rPr>
          <w:rFonts w:cs="Times New Roman"/>
          <w:noProof/>
          <w:lang w:val="sk-SK"/>
        </w:rPr>
        <w:t>digitalizáciu riadenia distribučnej siete, digitalizácia distribučnej siete sa dosiahne vytvorením aktívneho kontrolného centra gréckym prevádzkovateľom distribučnej sústavy. Rozsah projektu sa týka modernizácie kontrol</w:t>
      </w:r>
      <w:r w:rsidRPr="00083739">
        <w:rPr>
          <w:rFonts w:cs="Times New Roman"/>
          <w:noProof/>
          <w:lang w:val="sk-SK"/>
        </w:rPr>
        <w:t>ných centier distribučnej siete zostávajúcich troch regiónov gréckeho prevádzkovateľa distribučnej sústavy prostredníctvom inštalácie nového dozorného systému kontroly</w:t>
      </w:r>
      <w:r w:rsidR="00083739" w:rsidRPr="00083739">
        <w:rPr>
          <w:rFonts w:cs="Times New Roman"/>
          <w:noProof/>
          <w:lang w:val="sk-SK"/>
        </w:rPr>
        <w:t xml:space="preserve"> a </w:t>
      </w:r>
      <w:r w:rsidRPr="00083739">
        <w:rPr>
          <w:rFonts w:cs="Times New Roman"/>
          <w:noProof/>
          <w:lang w:val="sk-SK"/>
        </w:rPr>
        <w:t>získavania údajov (SCADA-DMS)</w:t>
      </w:r>
      <w:r w:rsidR="00083739" w:rsidRPr="00083739">
        <w:rPr>
          <w:rFonts w:cs="Times New Roman"/>
          <w:noProof/>
          <w:lang w:val="sk-SK"/>
        </w:rPr>
        <w:t xml:space="preserve"> a </w:t>
      </w:r>
      <w:r w:rsidRPr="00083739">
        <w:rPr>
          <w:rFonts w:cs="Times New Roman"/>
          <w:noProof/>
          <w:lang w:val="sk-SK"/>
        </w:rPr>
        <w:t>komunikácie</w:t>
      </w:r>
      <w:r w:rsidR="00083739" w:rsidRPr="00083739">
        <w:rPr>
          <w:rFonts w:cs="Times New Roman"/>
          <w:noProof/>
          <w:lang w:val="sk-SK"/>
        </w:rPr>
        <w:t xml:space="preserve"> s </w:t>
      </w:r>
      <w:r w:rsidRPr="00083739">
        <w:rPr>
          <w:rFonts w:cs="Times New Roman"/>
          <w:noProof/>
          <w:lang w:val="sk-SK"/>
        </w:rPr>
        <w:t>diaľkovými vysielacími jednotkami (RTU)</w:t>
      </w:r>
      <w:r w:rsidR="00083739" w:rsidRPr="00083739">
        <w:rPr>
          <w:rFonts w:cs="Times New Roman"/>
          <w:noProof/>
          <w:lang w:val="sk-SK"/>
        </w:rPr>
        <w:t xml:space="preserve"> v </w:t>
      </w:r>
      <w:r w:rsidRPr="00083739">
        <w:rPr>
          <w:rFonts w:cs="Times New Roman"/>
          <w:noProof/>
          <w:lang w:val="sk-SK"/>
        </w:rPr>
        <w:t xml:space="preserve">rozvodniach vysokého napätia/stredného napätia (HV/MT), ako aj vytvorenia potrebnej podpornej infraštruktúry pre tri integrované centrá. Cieľom projektu je zlepšiť spoľahlivosť siete, ukazovatele kvality, ako aj identifikáciu slabých miest siete, úsporu </w:t>
      </w:r>
      <w:r w:rsidRPr="00083739">
        <w:rPr>
          <w:rFonts w:cs="Times New Roman"/>
          <w:noProof/>
          <w:lang w:val="sk-SK"/>
        </w:rPr>
        <w:t>zdrojov, účinnejšie riadenie ľudských zdrojov počas výpadkov</w:t>
      </w:r>
      <w:r w:rsidR="00083739" w:rsidRPr="00083739">
        <w:rPr>
          <w:rFonts w:cs="Times New Roman"/>
          <w:noProof/>
          <w:lang w:val="sk-SK"/>
        </w:rPr>
        <w:t xml:space="preserve"> a </w:t>
      </w:r>
      <w:r w:rsidRPr="00083739">
        <w:rPr>
          <w:rFonts w:cs="Times New Roman"/>
          <w:noProof/>
          <w:lang w:val="sk-SK"/>
        </w:rPr>
        <w:t>lepšie</w:t>
      </w:r>
      <w:r w:rsidR="00083739" w:rsidRPr="00083739">
        <w:rPr>
          <w:rFonts w:cs="Times New Roman"/>
          <w:noProof/>
          <w:lang w:val="sk-SK"/>
        </w:rPr>
        <w:t xml:space="preserve"> a </w:t>
      </w:r>
      <w:r w:rsidRPr="00083739">
        <w:rPr>
          <w:rFonts w:cs="Times New Roman"/>
          <w:noProof/>
          <w:lang w:val="sk-SK"/>
        </w:rPr>
        <w:t>rýchlejšie riešenie chýb, riadenie energetickej záťaže zariadení</w:t>
      </w:r>
      <w:r w:rsidR="00083739" w:rsidRPr="00083739">
        <w:rPr>
          <w:rFonts w:cs="Times New Roman"/>
          <w:noProof/>
          <w:lang w:val="sk-SK"/>
        </w:rPr>
        <w:t xml:space="preserve"> v </w:t>
      </w:r>
      <w:r w:rsidRPr="00083739">
        <w:rPr>
          <w:rFonts w:cs="Times New Roman"/>
          <w:noProof/>
          <w:lang w:val="sk-SK"/>
        </w:rPr>
        <w:t>obdobiach zvýšeného dopytu</w:t>
      </w:r>
      <w:r w:rsidR="00083739" w:rsidRPr="00083739">
        <w:rPr>
          <w:rFonts w:cs="Times New Roman"/>
          <w:noProof/>
          <w:lang w:val="sk-SK"/>
        </w:rPr>
        <w:t xml:space="preserve"> a </w:t>
      </w:r>
      <w:r w:rsidRPr="00083739">
        <w:rPr>
          <w:rFonts w:cs="Times New Roman"/>
          <w:noProof/>
          <w:lang w:val="sk-SK"/>
        </w:rPr>
        <w:t>obmedzenie energetických strát</w:t>
      </w:r>
      <w:r w:rsidR="00083739" w:rsidRPr="00083739">
        <w:rPr>
          <w:rFonts w:cs="Times New Roman"/>
          <w:noProof/>
          <w:lang w:val="sk-SK"/>
        </w:rPr>
        <w:t xml:space="preserve"> v </w:t>
      </w:r>
      <w:r w:rsidRPr="00083739">
        <w:rPr>
          <w:rFonts w:cs="Times New Roman"/>
          <w:noProof/>
          <w:lang w:val="sk-SK"/>
        </w:rPr>
        <w:t>sieti</w:t>
      </w:r>
      <w:r w:rsidR="00083739" w:rsidRPr="00083739">
        <w:rPr>
          <w:rFonts w:cs="Times New Roman"/>
          <w:noProof/>
          <w:lang w:val="sk-SK"/>
        </w:rPr>
        <w:t xml:space="preserve"> a </w:t>
      </w:r>
      <w:r w:rsidRPr="00083739">
        <w:rPr>
          <w:rFonts w:cs="Times New Roman"/>
          <w:noProof/>
          <w:lang w:val="sk-SK"/>
        </w:rPr>
        <w:t>modernizáciu kapacít riadenia siete.</w:t>
      </w:r>
    </w:p>
    <w:p w14:paraId="42C893A1" w14:textId="0E867CA7" w:rsidR="00083739" w:rsidRPr="00083739" w:rsidRDefault="00BF4125">
      <w:pPr>
        <w:pStyle w:val="P68B1DB1-Normal37"/>
        <w:numPr>
          <w:ilvl w:val="0"/>
          <w:numId w:val="72"/>
        </w:numPr>
        <w:spacing w:before="120" w:after="120" w:line="240" w:lineRule="auto"/>
        <w:jc w:val="both"/>
        <w:rPr>
          <w:rFonts w:cs="Times New Roman"/>
          <w:noProof/>
          <w:sz w:val="24"/>
          <w:lang w:val="sk-SK"/>
        </w:rPr>
      </w:pPr>
      <w:r w:rsidRPr="00083739">
        <w:rPr>
          <w:rFonts w:cs="Times New Roman"/>
          <w:noProof/>
          <w:sz w:val="24"/>
          <w:lang w:val="sk-SK"/>
        </w:rPr>
        <w:t xml:space="preserve">Pilier 3: </w:t>
      </w:r>
      <w:r w:rsidRPr="00083739">
        <w:rPr>
          <w:rFonts w:cs="Times New Roman"/>
          <w:noProof/>
          <w:sz w:val="24"/>
          <w:lang w:val="sk-SK"/>
        </w:rPr>
        <w:t>Rámec dynamickej tvorby cien odkazuje na požiadavky článku 11 smernice 2019/944, ktoré už boli prebraté do vnútroštátnych právnych predpisov. Reformou je prijatie sekundárnych právnych predpisov</w:t>
      </w:r>
      <w:r w:rsidR="00083739" w:rsidRPr="00083739">
        <w:rPr>
          <w:rFonts w:cs="Times New Roman"/>
          <w:noProof/>
          <w:sz w:val="24"/>
          <w:lang w:val="sk-SK"/>
        </w:rPr>
        <w:t xml:space="preserve"> a </w:t>
      </w:r>
      <w:r w:rsidRPr="00083739">
        <w:rPr>
          <w:rFonts w:cs="Times New Roman"/>
          <w:noProof/>
          <w:sz w:val="24"/>
          <w:lang w:val="sk-SK"/>
        </w:rPr>
        <w:t xml:space="preserve">rámca na zavedenie dynamických cien pre všetkých koncových </w:t>
      </w:r>
      <w:r w:rsidRPr="00083739">
        <w:rPr>
          <w:rFonts w:cs="Times New Roman"/>
          <w:noProof/>
          <w:sz w:val="24"/>
          <w:lang w:val="sk-SK"/>
        </w:rPr>
        <w:t>spotrebiteľov hneď po inštalácii inteligentného meracieho zariadenia</w:t>
      </w:r>
      <w:r w:rsidR="00083739" w:rsidRPr="00083739">
        <w:rPr>
          <w:rFonts w:cs="Times New Roman"/>
          <w:noProof/>
          <w:sz w:val="24"/>
          <w:lang w:val="sk-SK"/>
        </w:rPr>
        <w:t xml:space="preserve"> v </w:t>
      </w:r>
      <w:r w:rsidRPr="00083739">
        <w:rPr>
          <w:rFonts w:cs="Times New Roman"/>
          <w:noProof/>
          <w:sz w:val="24"/>
          <w:lang w:val="sk-SK"/>
        </w:rPr>
        <w:t>ich servisnom pripojení. Vykonávanie zmlúv</w:t>
      </w:r>
      <w:r w:rsidR="00083739" w:rsidRPr="00083739">
        <w:rPr>
          <w:rFonts w:cs="Times New Roman"/>
          <w:noProof/>
          <w:sz w:val="24"/>
          <w:lang w:val="sk-SK"/>
        </w:rPr>
        <w:t xml:space="preserve"> o </w:t>
      </w:r>
      <w:r w:rsidRPr="00083739">
        <w:rPr>
          <w:rFonts w:cs="Times New Roman"/>
          <w:noProof/>
          <w:sz w:val="24"/>
          <w:lang w:val="sk-SK"/>
        </w:rPr>
        <w:t>dynamickom oceňovaní vypracuje ministerstvo životného prostredia</w:t>
      </w:r>
      <w:r w:rsidR="00083739" w:rsidRPr="00083739">
        <w:rPr>
          <w:rFonts w:cs="Times New Roman"/>
          <w:noProof/>
          <w:sz w:val="24"/>
          <w:lang w:val="sk-SK"/>
        </w:rPr>
        <w:t xml:space="preserve"> a </w:t>
      </w:r>
      <w:r w:rsidRPr="00083739">
        <w:rPr>
          <w:rFonts w:cs="Times New Roman"/>
          <w:noProof/>
          <w:sz w:val="24"/>
          <w:lang w:val="sk-SK"/>
        </w:rPr>
        <w:t>energetiky prijatím spoločného ministerského rozhodnutia,</w:t>
      </w:r>
      <w:r w:rsidR="00083739" w:rsidRPr="00083739">
        <w:rPr>
          <w:rFonts w:cs="Times New Roman"/>
          <w:noProof/>
          <w:sz w:val="24"/>
          <w:lang w:val="sk-SK"/>
        </w:rPr>
        <w:t xml:space="preserve"> v </w:t>
      </w:r>
      <w:r w:rsidRPr="00083739">
        <w:rPr>
          <w:rFonts w:cs="Times New Roman"/>
          <w:noProof/>
          <w:sz w:val="24"/>
          <w:lang w:val="sk-SK"/>
        </w:rPr>
        <w:t>ktorom sa sta</w:t>
      </w:r>
      <w:r w:rsidRPr="00083739">
        <w:rPr>
          <w:rFonts w:cs="Times New Roman"/>
          <w:noProof/>
          <w:sz w:val="24"/>
          <w:lang w:val="sk-SK"/>
        </w:rPr>
        <w:t>novia projektové otázky</w:t>
      </w:r>
      <w:r w:rsidR="00083739" w:rsidRPr="00083739">
        <w:rPr>
          <w:rFonts w:cs="Times New Roman"/>
          <w:noProof/>
          <w:sz w:val="24"/>
          <w:lang w:val="sk-SK"/>
        </w:rPr>
        <w:t xml:space="preserve"> a </w:t>
      </w:r>
      <w:r w:rsidRPr="00083739">
        <w:rPr>
          <w:rFonts w:cs="Times New Roman"/>
          <w:noProof/>
          <w:sz w:val="24"/>
          <w:lang w:val="sk-SK"/>
        </w:rPr>
        <w:t>kľúčové podmienky dynamických zmlúv.</w:t>
      </w:r>
      <w:r w:rsidR="00083739" w:rsidRPr="00083739">
        <w:rPr>
          <w:rFonts w:cs="Times New Roman"/>
          <w:noProof/>
          <w:sz w:val="24"/>
          <w:lang w:val="sk-SK"/>
        </w:rPr>
        <w:t xml:space="preserve"> V </w:t>
      </w:r>
      <w:r w:rsidRPr="00083739">
        <w:rPr>
          <w:rFonts w:cs="Times New Roman"/>
          <w:noProof/>
          <w:sz w:val="24"/>
          <w:lang w:val="sk-SK"/>
        </w:rPr>
        <w:t>spoločnom ministerskom rozhodnutí sa stanovia práva</w:t>
      </w:r>
      <w:r w:rsidR="00083739" w:rsidRPr="00083739">
        <w:rPr>
          <w:rFonts w:cs="Times New Roman"/>
          <w:noProof/>
          <w:sz w:val="24"/>
          <w:lang w:val="sk-SK"/>
        </w:rPr>
        <w:t xml:space="preserve"> a </w:t>
      </w:r>
      <w:r w:rsidRPr="00083739">
        <w:rPr>
          <w:rFonts w:cs="Times New Roman"/>
          <w:noProof/>
          <w:sz w:val="24"/>
          <w:lang w:val="sk-SK"/>
        </w:rPr>
        <w:t>povinnosti prevádzkovateľov, zástupcov zaťaženia</w:t>
      </w:r>
      <w:r w:rsidR="00083739" w:rsidRPr="00083739">
        <w:rPr>
          <w:rFonts w:cs="Times New Roman"/>
          <w:noProof/>
          <w:sz w:val="24"/>
          <w:lang w:val="sk-SK"/>
        </w:rPr>
        <w:t xml:space="preserve"> a </w:t>
      </w:r>
      <w:r w:rsidRPr="00083739">
        <w:rPr>
          <w:rFonts w:cs="Times New Roman"/>
          <w:noProof/>
          <w:sz w:val="24"/>
          <w:lang w:val="sk-SK"/>
        </w:rPr>
        <w:t>odberateľov</w:t>
      </w:r>
      <w:r w:rsidR="00083739" w:rsidRPr="00083739">
        <w:rPr>
          <w:rFonts w:cs="Times New Roman"/>
          <w:noProof/>
          <w:sz w:val="24"/>
          <w:lang w:val="sk-SK"/>
        </w:rPr>
        <w:t xml:space="preserve"> v </w:t>
      </w:r>
      <w:r w:rsidRPr="00083739">
        <w:rPr>
          <w:rFonts w:cs="Times New Roman"/>
          <w:noProof/>
          <w:sz w:val="24"/>
          <w:lang w:val="sk-SK"/>
        </w:rPr>
        <w:t>súvislosti</w:t>
      </w:r>
      <w:r w:rsidR="00083739" w:rsidRPr="00083739">
        <w:rPr>
          <w:rFonts w:cs="Times New Roman"/>
          <w:noProof/>
          <w:sz w:val="24"/>
          <w:lang w:val="sk-SK"/>
        </w:rPr>
        <w:t xml:space="preserve"> s </w:t>
      </w:r>
      <w:r w:rsidRPr="00083739">
        <w:rPr>
          <w:rFonts w:cs="Times New Roman"/>
          <w:noProof/>
          <w:sz w:val="24"/>
          <w:lang w:val="sk-SK"/>
        </w:rPr>
        <w:t>vykonávaním dynamickej tvorby cien. Reforma okrem toho zahŕ</w:t>
      </w:r>
      <w:r w:rsidRPr="00083739">
        <w:rPr>
          <w:rFonts w:cs="Times New Roman"/>
          <w:noProof/>
          <w:sz w:val="24"/>
          <w:lang w:val="sk-SK"/>
        </w:rPr>
        <w:t>ňa zmeny</w:t>
      </w:r>
      <w:r w:rsidR="00083739" w:rsidRPr="00083739">
        <w:rPr>
          <w:rFonts w:cs="Times New Roman"/>
          <w:noProof/>
          <w:sz w:val="24"/>
          <w:lang w:val="sk-SK"/>
        </w:rPr>
        <w:t xml:space="preserve"> v </w:t>
      </w:r>
      <w:r w:rsidRPr="00083739">
        <w:rPr>
          <w:rFonts w:cs="Times New Roman"/>
          <w:noProof/>
          <w:sz w:val="24"/>
          <w:lang w:val="sk-SK"/>
        </w:rPr>
        <w:t>príslušných vnútroštátnych sieťových predpisoch (prenos</w:t>
      </w:r>
      <w:r w:rsidR="00083739" w:rsidRPr="00083739">
        <w:rPr>
          <w:rFonts w:cs="Times New Roman"/>
          <w:noProof/>
          <w:sz w:val="24"/>
          <w:lang w:val="sk-SK"/>
        </w:rPr>
        <w:t xml:space="preserve"> a </w:t>
      </w:r>
      <w:r w:rsidRPr="00083739">
        <w:rPr>
          <w:rFonts w:cs="Times New Roman"/>
          <w:noProof/>
          <w:sz w:val="24"/>
          <w:lang w:val="sk-SK"/>
        </w:rPr>
        <w:t>distribúcia)</w:t>
      </w:r>
      <w:r w:rsidR="00083739" w:rsidRPr="00083739">
        <w:rPr>
          <w:rFonts w:cs="Times New Roman"/>
          <w:noProof/>
          <w:sz w:val="24"/>
          <w:lang w:val="sk-SK"/>
        </w:rPr>
        <w:t xml:space="preserve"> s </w:t>
      </w:r>
      <w:r w:rsidRPr="00083739">
        <w:rPr>
          <w:rFonts w:cs="Times New Roman"/>
          <w:noProof/>
          <w:sz w:val="24"/>
          <w:lang w:val="sk-SK"/>
        </w:rPr>
        <w:t>cieľom zabezpečiť riadne vykonávanie</w:t>
      </w:r>
      <w:r w:rsidR="00083739" w:rsidRPr="00083739">
        <w:rPr>
          <w:rFonts w:cs="Times New Roman"/>
          <w:noProof/>
          <w:sz w:val="24"/>
          <w:lang w:val="sk-SK"/>
        </w:rPr>
        <w:t>.</w:t>
      </w:r>
    </w:p>
    <w:p w14:paraId="25088C4D" w14:textId="6B1C83EE" w:rsidR="00083739"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Implementácia tejto reformy sa dokončí do 31</w:t>
      </w:r>
      <w:r w:rsidR="00083739" w:rsidRPr="00083739">
        <w:rPr>
          <w:rFonts w:cs="Times New Roman"/>
          <w:noProof/>
          <w:lang w:val="sk-SK"/>
        </w:rPr>
        <w:t>. decembra</w:t>
      </w:r>
      <w:r w:rsidRPr="00083739">
        <w:rPr>
          <w:rFonts w:cs="Times New Roman"/>
          <w:noProof/>
          <w:lang w:val="sk-SK"/>
        </w:rPr>
        <w:t xml:space="preserve"> 2025</w:t>
      </w:r>
      <w:r w:rsidR="00083739" w:rsidRPr="00083739">
        <w:rPr>
          <w:rFonts w:cs="Times New Roman"/>
          <w:noProof/>
          <w:lang w:val="sk-SK"/>
        </w:rPr>
        <w:t>.</w:t>
      </w:r>
    </w:p>
    <w:p w14:paraId="783DDDAA" w14:textId="23D45D35" w:rsidR="002D49B0" w:rsidRPr="00083739" w:rsidRDefault="002D49B0">
      <w:pPr>
        <w:spacing w:before="120" w:after="120" w:line="240" w:lineRule="auto"/>
        <w:jc w:val="both"/>
        <w:rPr>
          <w:rFonts w:ascii="Times New Roman" w:hAnsi="Times New Roman" w:cs="Times New Roman"/>
          <w:noProof/>
          <w:sz w:val="24"/>
          <w:lang w:val="sk-SK"/>
        </w:rPr>
      </w:pPr>
    </w:p>
    <w:p w14:paraId="786DAB0E" w14:textId="46892AFC" w:rsidR="002D49B0" w:rsidRPr="00083739" w:rsidRDefault="00BF4125">
      <w:pPr>
        <w:pStyle w:val="P68B1DB1-Normal4"/>
        <w:spacing w:before="120" w:after="120" w:line="240" w:lineRule="auto"/>
        <w:jc w:val="both"/>
        <w:rPr>
          <w:rFonts w:cs="Times New Roman"/>
          <w:noProof/>
          <w:szCs w:val="24"/>
          <w:lang w:val="sk-SK"/>
        </w:rPr>
      </w:pPr>
      <w:r w:rsidRPr="00083739">
        <w:rPr>
          <w:rFonts w:cs="Times New Roman"/>
          <w:b/>
          <w:noProof/>
          <w:lang w:val="sk-SK"/>
        </w:rPr>
        <w:t xml:space="preserve">Reforma: </w:t>
      </w:r>
      <w:r w:rsidRPr="00083739">
        <w:rPr>
          <w:rFonts w:cs="Times New Roman"/>
          <w:noProof/>
          <w:lang w:val="sk-SK"/>
        </w:rPr>
        <w:t xml:space="preserve">Súbor nástrojov na podporu spoločného využívania energie, </w:t>
      </w:r>
      <w:r w:rsidRPr="00083739">
        <w:rPr>
          <w:rFonts w:cs="Times New Roman"/>
          <w:noProof/>
          <w:lang w:val="sk-SK"/>
        </w:rPr>
        <w:t>vlastnej spotreby</w:t>
      </w:r>
      <w:r w:rsidR="00083739" w:rsidRPr="00083739">
        <w:rPr>
          <w:rFonts w:cs="Times New Roman"/>
          <w:noProof/>
          <w:lang w:val="sk-SK"/>
        </w:rPr>
        <w:t xml:space="preserve"> a </w:t>
      </w:r>
      <w:r w:rsidRPr="00083739">
        <w:rPr>
          <w:rFonts w:cs="Times New Roman"/>
          <w:noProof/>
          <w:lang w:val="sk-SK"/>
        </w:rPr>
        <w:t>komunít vyrábajúcich energiu</w:t>
      </w:r>
      <w:r w:rsidR="00083739" w:rsidRPr="00083739">
        <w:rPr>
          <w:rFonts w:cs="Times New Roman"/>
          <w:noProof/>
          <w:lang w:val="sk-SK"/>
        </w:rPr>
        <w:t xml:space="preserve"> z </w:t>
      </w:r>
      <w:r w:rsidRPr="00083739">
        <w:rPr>
          <w:rFonts w:cs="Times New Roman"/>
          <w:noProof/>
          <w:lang w:val="sk-SK"/>
        </w:rPr>
        <w:t>obnoviteľných zdrojov (ID opatrenia: 16992)</w:t>
      </w:r>
    </w:p>
    <w:p w14:paraId="2248324C" w14:textId="7AD15286" w:rsidR="002D49B0" w:rsidRPr="00083739" w:rsidRDefault="00BF4125">
      <w:pPr>
        <w:pStyle w:val="P68B1DB1-Normal4"/>
        <w:spacing w:before="120" w:after="120" w:line="240" w:lineRule="auto"/>
        <w:jc w:val="both"/>
        <w:rPr>
          <w:rFonts w:cs="Times New Roman"/>
          <w:noProof/>
          <w:szCs w:val="24"/>
          <w:lang w:val="sk-SK"/>
        </w:rPr>
      </w:pPr>
      <w:r w:rsidRPr="00083739">
        <w:rPr>
          <w:rFonts w:cs="Times New Roman"/>
          <w:noProof/>
          <w:lang w:val="sk-SK"/>
        </w:rPr>
        <w:t>Cieľom tejto reformy je zaviesť holistickú politickú iniciatívu</w:t>
      </w:r>
      <w:r w:rsidR="00083739" w:rsidRPr="00083739">
        <w:rPr>
          <w:rFonts w:cs="Times New Roman"/>
          <w:noProof/>
          <w:lang w:val="sk-SK"/>
        </w:rPr>
        <w:t xml:space="preserve"> a </w:t>
      </w:r>
      <w:r w:rsidRPr="00083739">
        <w:rPr>
          <w:rFonts w:cs="Times New Roman"/>
          <w:noProof/>
          <w:lang w:val="sk-SK"/>
        </w:rPr>
        <w:t>súbor nástrojov na podporu spoločného využívania energie. Reforma zahŕňa tieto opatrenia:</w:t>
      </w:r>
    </w:p>
    <w:p w14:paraId="46BE4AFA" w14:textId="026AD42B" w:rsidR="002D49B0" w:rsidRPr="00083739" w:rsidRDefault="00BF4125">
      <w:pPr>
        <w:pStyle w:val="P68B1DB1-ListParagraph19"/>
        <w:numPr>
          <w:ilvl w:val="0"/>
          <w:numId w:val="75"/>
        </w:numPr>
        <w:spacing w:before="120" w:after="120" w:line="240" w:lineRule="auto"/>
        <w:jc w:val="both"/>
        <w:rPr>
          <w:rFonts w:cs="Times New Roman"/>
          <w:noProof/>
          <w:szCs w:val="24"/>
          <w:lang w:val="sk-SK"/>
        </w:rPr>
      </w:pPr>
      <w:r w:rsidRPr="00083739">
        <w:rPr>
          <w:rFonts w:cs="Times New Roman"/>
          <w:noProof/>
          <w:lang w:val="sk-SK"/>
        </w:rPr>
        <w:t>Uľahč</w:t>
      </w:r>
      <w:r w:rsidRPr="00083739">
        <w:rPr>
          <w:rFonts w:cs="Times New Roman"/>
          <w:noProof/>
          <w:lang w:val="sk-SK"/>
        </w:rPr>
        <w:t>enie</w:t>
      </w:r>
      <w:r w:rsidR="00083739" w:rsidRPr="00083739">
        <w:rPr>
          <w:rFonts w:cs="Times New Roman"/>
          <w:noProof/>
          <w:lang w:val="sk-SK"/>
        </w:rPr>
        <w:t xml:space="preserve"> a </w:t>
      </w:r>
      <w:r w:rsidRPr="00083739">
        <w:rPr>
          <w:rFonts w:cs="Times New Roman"/>
          <w:noProof/>
          <w:lang w:val="sk-SK"/>
        </w:rPr>
        <w:t>urýchlenie inštalácie staníc OZE</w:t>
      </w:r>
      <w:r w:rsidR="00083739" w:rsidRPr="00083739">
        <w:rPr>
          <w:rFonts w:cs="Times New Roman"/>
          <w:noProof/>
          <w:lang w:val="sk-SK"/>
        </w:rPr>
        <w:t xml:space="preserve"> v </w:t>
      </w:r>
      <w:r w:rsidRPr="00083739">
        <w:rPr>
          <w:rFonts w:cs="Times New Roman"/>
          <w:noProof/>
          <w:lang w:val="sk-SK"/>
        </w:rPr>
        <w:t>budovách;</w:t>
      </w:r>
    </w:p>
    <w:p w14:paraId="0D4F2999" w14:textId="3A3D865E" w:rsidR="002D49B0" w:rsidRPr="00083739" w:rsidRDefault="00BF4125">
      <w:pPr>
        <w:pStyle w:val="P68B1DB1-ListParagraph19"/>
        <w:numPr>
          <w:ilvl w:val="0"/>
          <w:numId w:val="75"/>
        </w:numPr>
        <w:spacing w:before="120" w:after="120" w:line="240" w:lineRule="auto"/>
        <w:jc w:val="both"/>
        <w:rPr>
          <w:rFonts w:cs="Times New Roman"/>
          <w:noProof/>
          <w:lang w:val="sk-SK"/>
        </w:rPr>
      </w:pPr>
      <w:r w:rsidRPr="00083739">
        <w:rPr>
          <w:rFonts w:cs="Times New Roman"/>
          <w:noProof/>
          <w:lang w:val="sk-SK"/>
        </w:rPr>
        <w:t>Zaviesť potrebný regulačný rámec na vykonávanie vlastnej spotreby, kolektívnej vlastnej spotreby</w:t>
      </w:r>
      <w:r w:rsidR="00083739" w:rsidRPr="00083739">
        <w:rPr>
          <w:rFonts w:cs="Times New Roman"/>
          <w:noProof/>
          <w:lang w:val="sk-SK"/>
        </w:rPr>
        <w:t xml:space="preserve"> a </w:t>
      </w:r>
      <w:r w:rsidRPr="00083739">
        <w:rPr>
          <w:rFonts w:cs="Times New Roman"/>
          <w:noProof/>
          <w:lang w:val="sk-SK"/>
        </w:rPr>
        <w:t>vlastnej spotreby</w:t>
      </w:r>
      <w:r w:rsidR="00083739" w:rsidRPr="00083739">
        <w:rPr>
          <w:rFonts w:cs="Times New Roman"/>
          <w:noProof/>
          <w:lang w:val="sk-SK"/>
        </w:rPr>
        <w:t xml:space="preserve"> s </w:t>
      </w:r>
      <w:r w:rsidRPr="00083739">
        <w:rPr>
          <w:rFonts w:cs="Times New Roman"/>
          <w:noProof/>
          <w:lang w:val="sk-SK"/>
        </w:rPr>
        <w:t>virtuálnym čistým vyúčtovaním</w:t>
      </w:r>
      <w:r w:rsidR="00083739" w:rsidRPr="00083739">
        <w:rPr>
          <w:rFonts w:cs="Times New Roman"/>
          <w:noProof/>
          <w:lang w:val="sk-SK"/>
        </w:rPr>
        <w:t xml:space="preserve"> v </w:t>
      </w:r>
      <w:r w:rsidRPr="00083739">
        <w:rPr>
          <w:rFonts w:cs="Times New Roman"/>
          <w:noProof/>
          <w:lang w:val="sk-SK"/>
        </w:rPr>
        <w:t>súlade so zákonom č. 5037/2023;</w:t>
      </w:r>
    </w:p>
    <w:p w14:paraId="5F12725D" w14:textId="77777777" w:rsidR="002D49B0" w:rsidRPr="00083739" w:rsidRDefault="00BF4125">
      <w:pPr>
        <w:pStyle w:val="P68B1DB1-Normal4"/>
        <w:rPr>
          <w:rFonts w:cs="Times New Roman"/>
          <w:noProof/>
          <w:lang w:val="sk-SK"/>
        </w:rPr>
      </w:pPr>
      <w:r w:rsidRPr="00083739">
        <w:rPr>
          <w:rFonts w:cs="Times New Roman"/>
          <w:noProof/>
          <w:lang w:val="sk-SK"/>
        </w:rPr>
        <w:br w:type="page"/>
      </w:r>
    </w:p>
    <w:p w14:paraId="68338716" w14:textId="2BBAD6CC" w:rsidR="00083739" w:rsidRPr="00083739" w:rsidRDefault="00BF4125">
      <w:pPr>
        <w:pStyle w:val="P68B1DB1-ListParagraph19"/>
        <w:numPr>
          <w:ilvl w:val="0"/>
          <w:numId w:val="75"/>
        </w:numPr>
        <w:jc w:val="both"/>
        <w:rPr>
          <w:rFonts w:cs="Times New Roman"/>
          <w:noProof/>
          <w:lang w:val="sk-SK"/>
        </w:rPr>
      </w:pPr>
      <w:r w:rsidRPr="00083739">
        <w:rPr>
          <w:rFonts w:cs="Times New Roman"/>
          <w:noProof/>
          <w:lang w:val="sk-SK"/>
        </w:rPr>
        <w:t>Vytvorenie registra</w:t>
      </w:r>
      <w:r w:rsidRPr="00083739">
        <w:rPr>
          <w:rFonts w:cs="Times New Roman"/>
          <w:noProof/>
          <w:lang w:val="sk-SK"/>
        </w:rPr>
        <w:t xml:space="preserve"> samospotrebiteľov</w:t>
      </w:r>
      <w:r w:rsidR="00083739" w:rsidRPr="00083739">
        <w:rPr>
          <w:rFonts w:cs="Times New Roman"/>
          <w:noProof/>
          <w:lang w:val="sk-SK"/>
        </w:rPr>
        <w:t xml:space="preserve"> a </w:t>
      </w:r>
      <w:r w:rsidRPr="00083739">
        <w:rPr>
          <w:rFonts w:cs="Times New Roman"/>
          <w:noProof/>
          <w:lang w:val="sk-SK"/>
        </w:rPr>
        <w:t>návrh</w:t>
      </w:r>
      <w:r w:rsidR="00083739" w:rsidRPr="00083739">
        <w:rPr>
          <w:rFonts w:cs="Times New Roman"/>
          <w:noProof/>
          <w:lang w:val="sk-SK"/>
        </w:rPr>
        <w:t xml:space="preserve"> a </w:t>
      </w:r>
      <w:r w:rsidRPr="00083739">
        <w:rPr>
          <w:rFonts w:cs="Times New Roman"/>
          <w:noProof/>
          <w:lang w:val="sk-SK"/>
        </w:rPr>
        <w:t>vykonávanie opatrení technickej pomoci pre komunity vyrábajúce energiu</w:t>
      </w:r>
      <w:r w:rsidR="00083739" w:rsidRPr="00083739">
        <w:rPr>
          <w:rFonts w:cs="Times New Roman"/>
          <w:noProof/>
          <w:lang w:val="sk-SK"/>
        </w:rPr>
        <w:t xml:space="preserve"> z </w:t>
      </w:r>
      <w:r w:rsidRPr="00083739">
        <w:rPr>
          <w:rFonts w:cs="Times New Roman"/>
          <w:noProof/>
          <w:lang w:val="sk-SK"/>
        </w:rPr>
        <w:t>obnoviteľných zdrojov</w:t>
      </w:r>
      <w:r w:rsidR="00083739" w:rsidRPr="00083739">
        <w:rPr>
          <w:rFonts w:cs="Times New Roman"/>
          <w:noProof/>
          <w:lang w:val="sk-SK"/>
        </w:rPr>
        <w:t xml:space="preserve"> a </w:t>
      </w:r>
      <w:r w:rsidRPr="00083739">
        <w:rPr>
          <w:rFonts w:cs="Times New Roman"/>
          <w:noProof/>
          <w:lang w:val="sk-SK"/>
        </w:rPr>
        <w:t>občianske energetické spoločenstvá, ktoré poskytujú technickú</w:t>
      </w:r>
      <w:r w:rsidR="00083739" w:rsidRPr="00083739">
        <w:rPr>
          <w:rFonts w:cs="Times New Roman"/>
          <w:noProof/>
          <w:lang w:val="sk-SK"/>
        </w:rPr>
        <w:t xml:space="preserve"> a </w:t>
      </w:r>
      <w:r w:rsidRPr="00083739">
        <w:rPr>
          <w:rFonts w:cs="Times New Roman"/>
          <w:noProof/>
          <w:lang w:val="sk-SK"/>
        </w:rPr>
        <w:t>poradenskú podporu spoločenstvám, právnu pomoc</w:t>
      </w:r>
      <w:r w:rsidR="00083739" w:rsidRPr="00083739">
        <w:rPr>
          <w:rFonts w:cs="Times New Roman"/>
          <w:noProof/>
          <w:lang w:val="sk-SK"/>
        </w:rPr>
        <w:t xml:space="preserve"> a </w:t>
      </w:r>
      <w:r w:rsidRPr="00083739">
        <w:rPr>
          <w:rFonts w:cs="Times New Roman"/>
          <w:noProof/>
          <w:lang w:val="sk-SK"/>
        </w:rPr>
        <w:t>navrhujú</w:t>
      </w:r>
      <w:r w:rsidRPr="00083739">
        <w:rPr>
          <w:rFonts w:cs="Times New Roman"/>
          <w:noProof/>
          <w:lang w:val="sk-SK"/>
        </w:rPr>
        <w:t xml:space="preserve"> riešenia zistených prekážok, poskytujú informácie</w:t>
      </w:r>
      <w:r w:rsidR="00083739" w:rsidRPr="00083739">
        <w:rPr>
          <w:rFonts w:cs="Times New Roman"/>
          <w:noProof/>
          <w:lang w:val="sk-SK"/>
        </w:rPr>
        <w:t xml:space="preserve"> o </w:t>
      </w:r>
      <w:r w:rsidRPr="00083739">
        <w:rPr>
          <w:rFonts w:cs="Times New Roman"/>
          <w:noProof/>
          <w:lang w:val="sk-SK"/>
        </w:rPr>
        <w:t>tom, ako vytvárať projekty, procesy</w:t>
      </w:r>
      <w:r w:rsidR="00083739" w:rsidRPr="00083739">
        <w:rPr>
          <w:rFonts w:cs="Times New Roman"/>
          <w:noProof/>
          <w:lang w:val="sk-SK"/>
        </w:rPr>
        <w:t xml:space="preserve"> a </w:t>
      </w:r>
      <w:r w:rsidRPr="00083739">
        <w:rPr>
          <w:rFonts w:cs="Times New Roman"/>
          <w:noProof/>
          <w:lang w:val="sk-SK"/>
        </w:rPr>
        <w:t>ako získať prístup</w:t>
      </w:r>
      <w:r w:rsidR="00083739" w:rsidRPr="00083739">
        <w:rPr>
          <w:rFonts w:cs="Times New Roman"/>
          <w:noProof/>
          <w:lang w:val="sk-SK"/>
        </w:rPr>
        <w:t xml:space="preserve"> k </w:t>
      </w:r>
      <w:r w:rsidRPr="00083739">
        <w:rPr>
          <w:rFonts w:cs="Times New Roman"/>
          <w:noProof/>
          <w:lang w:val="sk-SK"/>
        </w:rPr>
        <w:t>financovaniu. Okrem poskytovanej technickej pomoci opatrenia pomôžu aj pri výrobe materiálov na budovanie kapacít, komunikačných</w:t>
      </w:r>
      <w:r w:rsidR="00083739" w:rsidRPr="00083739">
        <w:rPr>
          <w:rFonts w:cs="Times New Roman"/>
          <w:noProof/>
          <w:lang w:val="sk-SK"/>
        </w:rPr>
        <w:t xml:space="preserve"> a </w:t>
      </w:r>
      <w:r w:rsidRPr="00083739">
        <w:rPr>
          <w:rFonts w:cs="Times New Roman"/>
          <w:noProof/>
          <w:lang w:val="sk-SK"/>
        </w:rPr>
        <w:t>osvetových ka</w:t>
      </w:r>
      <w:r w:rsidRPr="00083739">
        <w:rPr>
          <w:rFonts w:cs="Times New Roman"/>
          <w:noProof/>
          <w:lang w:val="sk-SK"/>
        </w:rPr>
        <w:t>mpaní, osvetových iniciatív</w:t>
      </w:r>
      <w:r w:rsidR="00083739" w:rsidRPr="00083739">
        <w:rPr>
          <w:rFonts w:cs="Times New Roman"/>
          <w:noProof/>
          <w:lang w:val="sk-SK"/>
        </w:rPr>
        <w:t xml:space="preserve"> a </w:t>
      </w:r>
      <w:r w:rsidRPr="00083739">
        <w:rPr>
          <w:rFonts w:cs="Times New Roman"/>
          <w:noProof/>
          <w:lang w:val="sk-SK"/>
        </w:rPr>
        <w:t>podujatí (ako sú semináre)</w:t>
      </w:r>
      <w:r w:rsidR="00083739" w:rsidRPr="00083739">
        <w:rPr>
          <w:rFonts w:cs="Times New Roman"/>
          <w:noProof/>
          <w:lang w:val="sk-SK"/>
        </w:rPr>
        <w:t>.</w:t>
      </w:r>
    </w:p>
    <w:p w14:paraId="3B390BCC" w14:textId="0FEF1A0E" w:rsidR="002D49B0" w:rsidRPr="00083739" w:rsidRDefault="00BF4125">
      <w:pPr>
        <w:pStyle w:val="P68B1DB1-Normal4"/>
        <w:spacing w:before="120" w:after="120" w:line="240" w:lineRule="auto"/>
        <w:jc w:val="both"/>
        <w:rPr>
          <w:rFonts w:cs="Times New Roman"/>
          <w:noProof/>
          <w:szCs w:val="24"/>
          <w:lang w:val="sk-SK"/>
        </w:rPr>
      </w:pPr>
      <w:r w:rsidRPr="00083739">
        <w:rPr>
          <w:rFonts w:cs="Times New Roman"/>
          <w:noProof/>
          <w:lang w:val="sk-SK"/>
        </w:rPr>
        <w:t>Implementácia tejto reformy sa dokončí do 31</w:t>
      </w:r>
      <w:r w:rsidR="00083739" w:rsidRPr="00083739">
        <w:rPr>
          <w:rFonts w:cs="Times New Roman"/>
          <w:noProof/>
          <w:lang w:val="sk-SK"/>
        </w:rPr>
        <w:t>. marca</w:t>
      </w:r>
      <w:r w:rsidRPr="00083739">
        <w:rPr>
          <w:rFonts w:cs="Times New Roman"/>
          <w:noProof/>
          <w:lang w:val="sk-SK"/>
        </w:rPr>
        <w:t xml:space="preserve"> 2025.</w:t>
      </w:r>
    </w:p>
    <w:p w14:paraId="1686585E" w14:textId="77777777" w:rsidR="002D49B0" w:rsidRPr="00083739" w:rsidRDefault="002D49B0">
      <w:pPr>
        <w:spacing w:before="120" w:after="120" w:line="240" w:lineRule="auto"/>
        <w:jc w:val="both"/>
        <w:rPr>
          <w:rFonts w:ascii="Times New Roman" w:hAnsi="Times New Roman" w:cs="Times New Roman"/>
          <w:noProof/>
          <w:sz w:val="24"/>
          <w:lang w:val="sk-SK"/>
        </w:rPr>
      </w:pPr>
    </w:p>
    <w:p w14:paraId="3AF8DE06" w14:textId="59B775E6"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 xml:space="preserve">Reforma: </w:t>
      </w:r>
      <w:r w:rsidRPr="00083739">
        <w:rPr>
          <w:rFonts w:cs="Times New Roman"/>
          <w:noProof/>
          <w:lang w:val="sk-SK"/>
        </w:rPr>
        <w:t>Plán inovačných zásahov</w:t>
      </w:r>
      <w:r w:rsidR="00083739" w:rsidRPr="00083739">
        <w:rPr>
          <w:rFonts w:cs="Times New Roman"/>
          <w:noProof/>
          <w:lang w:val="sk-SK"/>
        </w:rPr>
        <w:t xml:space="preserve"> v </w:t>
      </w:r>
      <w:r w:rsidRPr="00083739">
        <w:rPr>
          <w:rFonts w:cs="Times New Roman"/>
          <w:noProof/>
          <w:lang w:val="sk-SK"/>
        </w:rPr>
        <w:t>oblasti energetickej efektívnosti</w:t>
      </w:r>
      <w:r w:rsidR="00083739" w:rsidRPr="00083739">
        <w:rPr>
          <w:rFonts w:cs="Times New Roman"/>
          <w:noProof/>
          <w:lang w:val="sk-SK"/>
        </w:rPr>
        <w:t xml:space="preserve"> a </w:t>
      </w:r>
      <w:r w:rsidRPr="00083739">
        <w:rPr>
          <w:rFonts w:cs="Times New Roman"/>
          <w:noProof/>
          <w:lang w:val="sk-SK"/>
        </w:rPr>
        <w:t>identifikácia nových finančných nástrojov (ID opatrenia: 16993)</w:t>
      </w:r>
    </w:p>
    <w:p w14:paraId="6D935FEA" w14:textId="2E2CD99B" w:rsidR="00083739"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Cieľom tejto reformy je stanoviť plán inovačných intervencií</w:t>
      </w:r>
      <w:r w:rsidR="00083739" w:rsidRPr="00083739">
        <w:rPr>
          <w:rFonts w:cs="Times New Roman"/>
          <w:noProof/>
          <w:lang w:val="sk-SK"/>
        </w:rPr>
        <w:t xml:space="preserve"> v </w:t>
      </w:r>
      <w:r w:rsidRPr="00083739">
        <w:rPr>
          <w:rFonts w:cs="Times New Roman"/>
          <w:noProof/>
          <w:lang w:val="sk-SK"/>
        </w:rPr>
        <w:t>oblasti energetickej efektívnosti vrátane zavedenia negrantových finančných nástrojov</w:t>
      </w:r>
      <w:r w:rsidR="00083739" w:rsidRPr="00083739">
        <w:rPr>
          <w:rFonts w:cs="Times New Roman"/>
          <w:noProof/>
          <w:lang w:val="sk-SK"/>
        </w:rPr>
        <w:t xml:space="preserve"> s </w:t>
      </w:r>
      <w:r w:rsidRPr="00083739">
        <w:rPr>
          <w:rFonts w:cs="Times New Roman"/>
          <w:noProof/>
          <w:lang w:val="sk-SK"/>
        </w:rPr>
        <w:t>cieľom ďalej podporiť hĺbkovú obnovu obydlí vo vlastníctve alebo</w:t>
      </w:r>
      <w:r w:rsidR="00083739" w:rsidRPr="00083739">
        <w:rPr>
          <w:rFonts w:cs="Times New Roman"/>
          <w:noProof/>
          <w:lang w:val="sk-SK"/>
        </w:rPr>
        <w:t xml:space="preserve"> v </w:t>
      </w:r>
      <w:r w:rsidRPr="00083739">
        <w:rPr>
          <w:rFonts w:cs="Times New Roman"/>
          <w:noProof/>
          <w:lang w:val="sk-SK"/>
        </w:rPr>
        <w:t>prenájme spolu</w:t>
      </w:r>
      <w:r w:rsidR="00083739" w:rsidRPr="00083739">
        <w:rPr>
          <w:rFonts w:cs="Times New Roman"/>
          <w:noProof/>
          <w:lang w:val="sk-SK"/>
        </w:rPr>
        <w:t xml:space="preserve"> s </w:t>
      </w:r>
      <w:r w:rsidRPr="00083739">
        <w:rPr>
          <w:rFonts w:cs="Times New Roman"/>
          <w:noProof/>
          <w:lang w:val="sk-SK"/>
        </w:rPr>
        <w:t>hĺbkovou obnovou prie</w:t>
      </w:r>
      <w:r w:rsidRPr="00083739">
        <w:rPr>
          <w:rFonts w:cs="Times New Roman"/>
          <w:noProof/>
          <w:lang w:val="sk-SK"/>
        </w:rPr>
        <w:t>myselných budov.</w:t>
      </w:r>
      <w:r w:rsidR="00083739" w:rsidRPr="00083739">
        <w:rPr>
          <w:rFonts w:cs="Times New Roman"/>
          <w:noProof/>
          <w:lang w:val="sk-SK"/>
        </w:rPr>
        <w:t xml:space="preserve"> V </w:t>
      </w:r>
      <w:r w:rsidRPr="00083739">
        <w:rPr>
          <w:rFonts w:cs="Times New Roman"/>
          <w:noProof/>
          <w:lang w:val="sk-SK"/>
        </w:rPr>
        <w:t>novom negrantovom finančnom nástroji sa predpokladajú buď fiškálne stimuly, dotované alebo zaručené úvery</w:t>
      </w:r>
      <w:r w:rsidR="00083739" w:rsidRPr="00083739">
        <w:rPr>
          <w:rFonts w:cs="Times New Roman"/>
          <w:noProof/>
          <w:lang w:val="sk-SK"/>
        </w:rPr>
        <w:t xml:space="preserve"> a </w:t>
      </w:r>
      <w:r w:rsidRPr="00083739">
        <w:rPr>
          <w:rFonts w:cs="Times New Roman"/>
          <w:noProof/>
          <w:lang w:val="sk-SK"/>
        </w:rPr>
        <w:t>iné finančné nástroje na podporu investícií do energetickej efektívnosti</w:t>
      </w:r>
      <w:r w:rsidR="00083739" w:rsidRPr="00083739">
        <w:rPr>
          <w:rFonts w:cs="Times New Roman"/>
          <w:noProof/>
          <w:lang w:val="sk-SK"/>
        </w:rPr>
        <w:t xml:space="preserve"> v </w:t>
      </w:r>
      <w:r w:rsidRPr="00083739">
        <w:rPr>
          <w:rFonts w:cs="Times New Roman"/>
          <w:noProof/>
          <w:lang w:val="sk-SK"/>
        </w:rPr>
        <w:t>sektore budov. Táto reforma znamená odklon od finančný</w:t>
      </w:r>
      <w:r w:rsidRPr="00083739">
        <w:rPr>
          <w:rFonts w:cs="Times New Roman"/>
          <w:noProof/>
          <w:lang w:val="sk-SK"/>
        </w:rPr>
        <w:t>ch nástrojov založených na grantoch</w:t>
      </w:r>
      <w:r w:rsidR="00083739" w:rsidRPr="00083739">
        <w:rPr>
          <w:rFonts w:cs="Times New Roman"/>
          <w:noProof/>
          <w:lang w:val="sk-SK"/>
        </w:rPr>
        <w:t xml:space="preserve"> a </w:t>
      </w:r>
      <w:r w:rsidRPr="00083739">
        <w:rPr>
          <w:rFonts w:cs="Times New Roman"/>
          <w:noProof/>
          <w:lang w:val="sk-SK"/>
        </w:rPr>
        <w:t>očakáva sa, že zvýši počet budov, ktoré možno podporiť. Reformou sa i) dokončí plán vymedzujúci inovačné zásahy</w:t>
      </w:r>
      <w:r w:rsidR="00083739" w:rsidRPr="00083739">
        <w:rPr>
          <w:rFonts w:cs="Times New Roman"/>
          <w:noProof/>
          <w:lang w:val="sk-SK"/>
        </w:rPr>
        <w:t xml:space="preserve"> v </w:t>
      </w:r>
      <w:r w:rsidRPr="00083739">
        <w:rPr>
          <w:rFonts w:cs="Times New Roman"/>
          <w:noProof/>
          <w:lang w:val="sk-SK"/>
        </w:rPr>
        <w:t>oblasti energetickej efektívnosti;</w:t>
      </w:r>
      <w:r w:rsidR="00083739" w:rsidRPr="00083739">
        <w:rPr>
          <w:rFonts w:cs="Times New Roman"/>
          <w:noProof/>
          <w:lang w:val="sk-SK"/>
        </w:rPr>
        <w:t xml:space="preserve"> a </w:t>
      </w:r>
      <w:r w:rsidRPr="00083739">
        <w:rPr>
          <w:rFonts w:cs="Times New Roman"/>
          <w:noProof/>
          <w:lang w:val="sk-SK"/>
        </w:rPr>
        <w:t>ii) spustenie finančného nástroja energetickej efektívnosti stanove</w:t>
      </w:r>
      <w:r w:rsidRPr="00083739">
        <w:rPr>
          <w:rFonts w:cs="Times New Roman"/>
          <w:noProof/>
          <w:lang w:val="sk-SK"/>
        </w:rPr>
        <w:t>ného</w:t>
      </w:r>
      <w:r w:rsidR="00083739" w:rsidRPr="00083739">
        <w:rPr>
          <w:rFonts w:cs="Times New Roman"/>
          <w:noProof/>
          <w:lang w:val="sk-SK"/>
        </w:rPr>
        <w:t xml:space="preserve"> v </w:t>
      </w:r>
      <w:r w:rsidRPr="00083739">
        <w:rPr>
          <w:rFonts w:cs="Times New Roman"/>
          <w:noProof/>
          <w:lang w:val="sk-SK"/>
        </w:rPr>
        <w:t>pláne</w:t>
      </w:r>
      <w:r w:rsidR="00083739" w:rsidRPr="00083739">
        <w:rPr>
          <w:rFonts w:cs="Times New Roman"/>
          <w:noProof/>
          <w:lang w:val="sk-SK"/>
        </w:rPr>
        <w:t xml:space="preserve"> a </w:t>
      </w:r>
      <w:r w:rsidRPr="00083739">
        <w:rPr>
          <w:rFonts w:cs="Times New Roman"/>
          <w:noProof/>
          <w:lang w:val="sk-SK"/>
        </w:rPr>
        <w:t>založeného na negrantových finančných zdrojoch</w:t>
      </w:r>
      <w:r w:rsidR="00083739" w:rsidRPr="00083739">
        <w:rPr>
          <w:rFonts w:cs="Times New Roman"/>
          <w:noProof/>
          <w:lang w:val="sk-SK"/>
        </w:rPr>
        <w:t>.</w:t>
      </w:r>
    </w:p>
    <w:p w14:paraId="22B67810" w14:textId="2FB3E445"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Implementácia tejto reformy sa dokončí do 30</w:t>
      </w:r>
      <w:r w:rsidR="00083739" w:rsidRPr="00083739">
        <w:rPr>
          <w:rFonts w:cs="Times New Roman"/>
          <w:noProof/>
          <w:lang w:val="sk-SK"/>
        </w:rPr>
        <w:t>. septembra</w:t>
      </w:r>
      <w:r w:rsidRPr="00083739">
        <w:rPr>
          <w:rFonts w:cs="Times New Roman"/>
          <w:noProof/>
          <w:lang w:val="sk-SK"/>
        </w:rPr>
        <w:t xml:space="preserve"> 2025.</w:t>
      </w:r>
    </w:p>
    <w:p w14:paraId="4D28C093" w14:textId="77777777" w:rsidR="002D49B0" w:rsidRPr="00083739" w:rsidRDefault="002D49B0">
      <w:pPr>
        <w:spacing w:before="120" w:after="120" w:line="240" w:lineRule="auto"/>
        <w:jc w:val="both"/>
        <w:rPr>
          <w:rFonts w:ascii="Times New Roman" w:hAnsi="Times New Roman" w:cs="Times New Roman"/>
          <w:noProof/>
          <w:sz w:val="24"/>
          <w:lang w:val="sk-SK"/>
        </w:rPr>
      </w:pPr>
    </w:p>
    <w:p w14:paraId="2F709B2C" w14:textId="77777777" w:rsidR="002D49B0" w:rsidRPr="00083739" w:rsidRDefault="002D49B0">
      <w:pPr>
        <w:spacing w:before="120" w:after="120" w:line="240" w:lineRule="auto"/>
        <w:jc w:val="both"/>
        <w:rPr>
          <w:rFonts w:ascii="Times New Roman" w:hAnsi="Times New Roman" w:cs="Times New Roman"/>
          <w:noProof/>
          <w:sz w:val="24"/>
          <w:lang w:val="sk-SK"/>
        </w:rPr>
        <w:sectPr w:rsidR="002D49B0" w:rsidRPr="00083739" w:rsidSect="00271D33">
          <w:headerReference w:type="even" r:id="rId345"/>
          <w:headerReference w:type="default" r:id="rId346"/>
          <w:footerReference w:type="even" r:id="rId347"/>
          <w:footerReference w:type="default" r:id="rId348"/>
          <w:headerReference w:type="first" r:id="rId349"/>
          <w:footerReference w:type="first" r:id="rId350"/>
          <w:pgSz w:w="11907" w:h="16839"/>
          <w:pgMar w:top="1134" w:right="1417" w:bottom="1134" w:left="1417" w:header="709" w:footer="709" w:gutter="0"/>
          <w:cols w:space="720"/>
          <w:docGrid w:linePitch="360"/>
        </w:sectPr>
      </w:pPr>
    </w:p>
    <w:p w14:paraId="0DFDC3AD" w14:textId="32E93E14" w:rsidR="002D49B0" w:rsidRPr="00083739" w:rsidRDefault="00BF4125">
      <w:pPr>
        <w:pStyle w:val="P68B1DB1-Normal25"/>
        <w:keepNext/>
        <w:keepLines/>
        <w:spacing w:before="240" w:after="0" w:line="240" w:lineRule="auto"/>
        <w:jc w:val="both"/>
        <w:outlineLvl w:val="4"/>
        <w:rPr>
          <w:rFonts w:eastAsia="Times New Roman" w:cs="Times New Roman"/>
          <w:noProof/>
          <w:color w:val="365F91"/>
          <w:lang w:val="sk-SK"/>
        </w:rPr>
      </w:pPr>
      <w:r w:rsidRPr="00083739">
        <w:rPr>
          <w:rFonts w:cs="Times New Roman"/>
          <w:noProof/>
          <w:lang w:val="sk-SK"/>
        </w:rPr>
        <w:t>T.2. Míľniky, ciele, ukazovatele</w:t>
      </w:r>
      <w:r w:rsidR="00083739" w:rsidRPr="00083739">
        <w:rPr>
          <w:rFonts w:cs="Times New Roman"/>
          <w:noProof/>
          <w:lang w:val="sk-SK"/>
        </w:rPr>
        <w:t xml:space="preserve"> a </w:t>
      </w:r>
      <w:r w:rsidRPr="00083739">
        <w:rPr>
          <w:rFonts w:cs="Times New Roman"/>
          <w:noProof/>
          <w:lang w:val="sk-SK"/>
        </w:rPr>
        <w:t>harmonogram monitorovania</w:t>
      </w:r>
      <w:r w:rsidR="00083739" w:rsidRPr="00083739">
        <w:rPr>
          <w:rFonts w:cs="Times New Roman"/>
          <w:noProof/>
          <w:lang w:val="sk-SK"/>
        </w:rPr>
        <w:t xml:space="preserve"> a </w:t>
      </w:r>
      <w:r w:rsidRPr="00083739">
        <w:rPr>
          <w:rFonts w:cs="Times New Roman"/>
          <w:noProof/>
          <w:lang w:val="sk-SK"/>
        </w:rPr>
        <w:t>realizác</w:t>
      </w:r>
      <w:r w:rsidRPr="00083739">
        <w:rPr>
          <w:rFonts w:cs="Times New Roman"/>
          <w:noProof/>
          <w:lang w:val="sk-SK"/>
        </w:rPr>
        <w:t>ie pre nenávratnú finančnú podporu</w:t>
      </w:r>
    </w:p>
    <w:p w14:paraId="5B486B69" w14:textId="3891593D" w:rsidR="002D49B0" w:rsidRPr="00083739" w:rsidRDefault="00BF4125">
      <w:pPr>
        <w:pStyle w:val="P68B1DB1-Normal6"/>
        <w:keepNext/>
        <w:keepLines/>
        <w:spacing w:before="240" w:after="240" w:line="240" w:lineRule="auto"/>
        <w:jc w:val="both"/>
        <w:outlineLvl w:val="4"/>
        <w:rPr>
          <w:rFonts w:ascii="Times New Roman" w:eastAsia="Times New Roman" w:hAnsi="Times New Roman" w:cs="Times New Roman"/>
          <w:noProof/>
          <w:szCs w:val="24"/>
          <w:lang w:val="sk-SK"/>
        </w:rPr>
      </w:pPr>
      <w:r w:rsidRPr="00083739">
        <w:rPr>
          <w:rFonts w:ascii="Times New Roman" w:hAnsi="Times New Roman" w:cs="Times New Roman"/>
          <w:noProof/>
          <w:lang w:val="sk-SK"/>
        </w:rPr>
        <w:t>Reforma 1: Licenčný rámec pre obnoviteľný vodík</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udržateľný biometán (ID opatrenia: 16987)  </w:t>
      </w:r>
    </w:p>
    <w:tbl>
      <w:tblPr>
        <w:tblpPr w:leftFromText="180" w:rightFromText="180" w:vertAnchor="text" w:tblpX="113" w:tblpY="1"/>
        <w:tblOverlap w:val="never"/>
        <w:tblW w:w="14312" w:type="dxa"/>
        <w:tblLook w:val="04A0" w:firstRow="1" w:lastRow="0" w:firstColumn="1" w:lastColumn="0" w:noHBand="0" w:noVBand="1"/>
      </w:tblPr>
      <w:tblGrid>
        <w:gridCol w:w="1037"/>
        <w:gridCol w:w="1634"/>
        <w:gridCol w:w="1127"/>
        <w:gridCol w:w="1266"/>
        <w:gridCol w:w="1158"/>
        <w:gridCol w:w="987"/>
        <w:gridCol w:w="1127"/>
        <w:gridCol w:w="845"/>
        <w:gridCol w:w="1159"/>
        <w:gridCol w:w="845"/>
        <w:gridCol w:w="3376"/>
      </w:tblGrid>
      <w:tr w:rsidR="002D49B0" w:rsidRPr="00083739" w14:paraId="6C03BCE7" w14:textId="77777777">
        <w:trPr>
          <w:trHeight w:val="540"/>
          <w:tblHeader/>
        </w:trPr>
        <w:tc>
          <w:tcPr>
            <w:tcW w:w="1043" w:type="dxa"/>
            <w:vMerge w:val="restart"/>
            <w:tcBorders>
              <w:top w:val="single" w:sz="4" w:space="0" w:color="auto"/>
              <w:left w:val="single" w:sz="4" w:space="0" w:color="auto"/>
              <w:bottom w:val="single" w:sz="4" w:space="0" w:color="auto"/>
              <w:right w:val="single" w:sz="4" w:space="0" w:color="auto"/>
            </w:tcBorders>
            <w:shd w:val="clear" w:color="auto" w:fill="BDD7EE"/>
            <w:noWrap/>
            <w:vAlign w:val="center"/>
          </w:tcPr>
          <w:p w14:paraId="044D7164" w14:textId="77777777" w:rsidR="002D49B0" w:rsidRPr="00083739" w:rsidRDefault="00BF4125">
            <w:pPr>
              <w:pStyle w:val="P68B1DB1-Normal7"/>
              <w:spacing w:before="120" w:after="120" w:line="240" w:lineRule="auto"/>
              <w:jc w:val="center"/>
              <w:rPr>
                <w:rFonts w:eastAsia="Times New Roman" w:cs="Times New Roman"/>
                <w:bCs/>
                <w:noProof/>
                <w:szCs w:val="18"/>
                <w:lang w:val="sk-SK"/>
              </w:rPr>
            </w:pPr>
            <w:r w:rsidRPr="00083739">
              <w:rPr>
                <w:rFonts w:cs="Times New Roman"/>
                <w:noProof/>
                <w:lang w:val="sk-SK"/>
              </w:rPr>
              <w:t>Poradové číslo</w:t>
            </w:r>
          </w:p>
        </w:tc>
        <w:tc>
          <w:tcPr>
            <w:tcW w:w="1646" w:type="dxa"/>
            <w:vMerge w:val="restart"/>
            <w:tcBorders>
              <w:top w:val="single" w:sz="4" w:space="0" w:color="auto"/>
              <w:left w:val="single" w:sz="4" w:space="0" w:color="auto"/>
              <w:bottom w:val="single" w:sz="4" w:space="0" w:color="auto"/>
              <w:right w:val="single" w:sz="4" w:space="0" w:color="auto"/>
            </w:tcBorders>
            <w:shd w:val="clear" w:color="auto" w:fill="BDD7EE"/>
            <w:noWrap/>
            <w:vAlign w:val="center"/>
          </w:tcPr>
          <w:p w14:paraId="2A03BF6E" w14:textId="77777777" w:rsidR="002D49B0" w:rsidRPr="00083739" w:rsidRDefault="00BF4125">
            <w:pPr>
              <w:pStyle w:val="P68B1DB1-Normal7"/>
              <w:spacing w:before="120" w:after="120" w:line="240" w:lineRule="auto"/>
              <w:jc w:val="center"/>
              <w:rPr>
                <w:rFonts w:eastAsia="Times New Roman" w:cs="Times New Roman"/>
                <w:bCs/>
                <w:noProof/>
                <w:szCs w:val="18"/>
                <w:lang w:val="sk-SK"/>
              </w:rPr>
            </w:pPr>
            <w:r w:rsidRPr="00083739">
              <w:rPr>
                <w:rFonts w:cs="Times New Roman"/>
                <w:noProof/>
                <w:lang w:val="sk-SK"/>
              </w:rPr>
              <w:t>Súvisiace opatrenie (reforma alebo investícia)</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DD7EE"/>
            <w:noWrap/>
            <w:vAlign w:val="center"/>
          </w:tcPr>
          <w:p w14:paraId="6CD397FB" w14:textId="77777777" w:rsidR="002D49B0" w:rsidRPr="00083739" w:rsidRDefault="00BF4125">
            <w:pPr>
              <w:pStyle w:val="P68B1DB1-Normal7"/>
              <w:spacing w:before="120" w:after="120" w:line="240" w:lineRule="auto"/>
              <w:jc w:val="center"/>
              <w:rPr>
                <w:rFonts w:eastAsia="Times New Roman" w:cs="Times New Roman"/>
                <w:bCs/>
                <w:noProof/>
                <w:szCs w:val="18"/>
                <w:lang w:val="sk-SK"/>
              </w:rPr>
            </w:pPr>
            <w:r w:rsidRPr="00083739">
              <w:rPr>
                <w:rFonts w:cs="Times New Roman"/>
                <w:noProof/>
                <w:lang w:val="sk-SK"/>
              </w:rPr>
              <w:t>Míľnik/cieľ</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BDD7EE"/>
            <w:noWrap/>
            <w:vAlign w:val="center"/>
          </w:tcPr>
          <w:p w14:paraId="0C7A5ACB" w14:textId="77777777" w:rsidR="002D49B0" w:rsidRPr="00083739" w:rsidRDefault="00BF4125">
            <w:pPr>
              <w:pStyle w:val="P68B1DB1-Normal7"/>
              <w:spacing w:before="120" w:after="120" w:line="240" w:lineRule="auto"/>
              <w:jc w:val="center"/>
              <w:rPr>
                <w:rFonts w:eastAsia="Times New Roman" w:cs="Times New Roman"/>
                <w:bCs/>
                <w:noProof/>
                <w:szCs w:val="18"/>
                <w:lang w:val="sk-SK"/>
              </w:rPr>
            </w:pPr>
            <w:r w:rsidRPr="00083739">
              <w:rPr>
                <w:rFonts w:cs="Times New Roman"/>
                <w:noProof/>
                <w:lang w:val="sk-SK"/>
              </w:rPr>
              <w:t>Názov</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DD7EE"/>
            <w:noWrap/>
            <w:vAlign w:val="center"/>
          </w:tcPr>
          <w:p w14:paraId="4CF9D2B8" w14:textId="77777777" w:rsidR="002D49B0" w:rsidRPr="00083739" w:rsidRDefault="00BF4125">
            <w:pPr>
              <w:pStyle w:val="P68B1DB1-Normal7"/>
              <w:spacing w:before="120" w:after="120" w:line="240" w:lineRule="auto"/>
              <w:jc w:val="center"/>
              <w:rPr>
                <w:rFonts w:eastAsia="Times New Roman" w:cs="Times New Roman"/>
                <w:bCs/>
                <w:noProof/>
                <w:szCs w:val="18"/>
                <w:lang w:val="sk-SK"/>
              </w:rPr>
            </w:pPr>
            <w:r w:rsidRPr="00083739">
              <w:rPr>
                <w:rFonts w:cs="Times New Roman"/>
                <w:noProof/>
                <w:lang w:val="sk-SK"/>
              </w:rPr>
              <w:t>Kvalitatívne ukazovatele (pre míľniky)</w:t>
            </w:r>
          </w:p>
        </w:tc>
        <w:tc>
          <w:tcPr>
            <w:tcW w:w="2977" w:type="dxa"/>
            <w:gridSpan w:val="3"/>
            <w:tcBorders>
              <w:top w:val="single" w:sz="4" w:space="0" w:color="auto"/>
              <w:left w:val="single" w:sz="4" w:space="0" w:color="auto"/>
              <w:bottom w:val="single" w:sz="4" w:space="0" w:color="auto"/>
              <w:right w:val="single" w:sz="4" w:space="0" w:color="auto"/>
            </w:tcBorders>
            <w:shd w:val="clear" w:color="auto" w:fill="BDD7EE"/>
            <w:noWrap/>
            <w:vAlign w:val="center"/>
          </w:tcPr>
          <w:p w14:paraId="2715C6CB" w14:textId="77777777" w:rsidR="002D49B0" w:rsidRPr="00083739" w:rsidRDefault="00BF4125">
            <w:pPr>
              <w:pStyle w:val="P68B1DB1-Normal7"/>
              <w:spacing w:before="120" w:after="120" w:line="240" w:lineRule="auto"/>
              <w:jc w:val="center"/>
              <w:rPr>
                <w:rFonts w:eastAsia="Times New Roman" w:cs="Times New Roman"/>
                <w:bCs/>
                <w:noProof/>
                <w:szCs w:val="18"/>
                <w:lang w:val="sk-SK"/>
              </w:rPr>
            </w:pPr>
            <w:r w:rsidRPr="00083739">
              <w:rPr>
                <w:rFonts w:cs="Times New Roman"/>
                <w:noProof/>
                <w:lang w:val="sk-SK"/>
              </w:rPr>
              <w:t>Kvantitatívne ukazovatele (pre ciele)</w:t>
            </w:r>
          </w:p>
        </w:tc>
        <w:tc>
          <w:tcPr>
            <w:tcW w:w="1701" w:type="dxa"/>
            <w:gridSpan w:val="2"/>
            <w:tcBorders>
              <w:top w:val="single" w:sz="4" w:space="0" w:color="auto"/>
              <w:left w:val="nil"/>
              <w:bottom w:val="single" w:sz="4" w:space="0" w:color="auto"/>
              <w:right w:val="single" w:sz="4" w:space="0" w:color="auto"/>
            </w:tcBorders>
            <w:shd w:val="clear" w:color="auto" w:fill="BDD7EE"/>
            <w:noWrap/>
          </w:tcPr>
          <w:p w14:paraId="09782D72" w14:textId="77777777" w:rsidR="002D49B0" w:rsidRPr="00083739" w:rsidRDefault="00BF4125">
            <w:pPr>
              <w:pStyle w:val="P68B1DB1-Normal7"/>
              <w:spacing w:before="120" w:after="120" w:line="240" w:lineRule="auto"/>
              <w:jc w:val="center"/>
              <w:rPr>
                <w:rFonts w:eastAsia="Times New Roman" w:cs="Times New Roman"/>
                <w:bCs/>
                <w:noProof/>
                <w:szCs w:val="18"/>
                <w:lang w:val="sk-SK"/>
              </w:rPr>
            </w:pPr>
            <w:r w:rsidRPr="00083739">
              <w:rPr>
                <w:rFonts w:cs="Times New Roman"/>
                <w:noProof/>
                <w:lang w:val="sk-SK"/>
              </w:rPr>
              <w:t>Orientačný harmonogram dokončenia</w:t>
            </w:r>
          </w:p>
        </w:tc>
        <w:tc>
          <w:tcPr>
            <w:tcW w:w="3402" w:type="dxa"/>
            <w:vMerge w:val="restart"/>
            <w:tcBorders>
              <w:top w:val="single" w:sz="4" w:space="0" w:color="auto"/>
              <w:left w:val="nil"/>
              <w:bottom w:val="single" w:sz="4" w:space="0" w:color="auto"/>
              <w:right w:val="single" w:sz="4" w:space="0" w:color="auto"/>
            </w:tcBorders>
            <w:shd w:val="clear" w:color="auto" w:fill="BDD7EE"/>
            <w:noWrap/>
          </w:tcPr>
          <w:p w14:paraId="62741DC4" w14:textId="77777777" w:rsidR="002D49B0" w:rsidRPr="00083739" w:rsidRDefault="002D49B0">
            <w:pPr>
              <w:spacing w:before="120" w:after="120" w:line="240" w:lineRule="auto"/>
              <w:jc w:val="center"/>
              <w:rPr>
                <w:rFonts w:ascii="Times New Roman" w:eastAsia="Times New Roman" w:hAnsi="Times New Roman" w:cs="Times New Roman"/>
                <w:b/>
                <w:bCs/>
                <w:noProof/>
                <w:sz w:val="18"/>
                <w:szCs w:val="18"/>
                <w:lang w:val="sk-SK"/>
              </w:rPr>
            </w:pPr>
          </w:p>
          <w:p w14:paraId="1BA6E09E" w14:textId="5569BA7B" w:rsidR="002D49B0" w:rsidRPr="00083739" w:rsidRDefault="00BF4125">
            <w:pPr>
              <w:pStyle w:val="P68B1DB1-Normal7"/>
              <w:spacing w:before="120" w:after="120" w:line="240" w:lineRule="auto"/>
              <w:jc w:val="center"/>
              <w:rPr>
                <w:rFonts w:eastAsia="Times New Roman" w:cs="Times New Roman"/>
                <w:bCs/>
                <w:noProof/>
                <w:szCs w:val="18"/>
                <w:lang w:val="sk-SK"/>
              </w:rPr>
            </w:pPr>
            <w:r w:rsidRPr="00083739">
              <w:rPr>
                <w:rFonts w:cs="Times New Roman"/>
                <w:noProof/>
                <w:lang w:val="sk-SK"/>
              </w:rPr>
              <w:t>Opis každého míľnika</w:t>
            </w:r>
            <w:r w:rsidR="00083739" w:rsidRPr="00083739">
              <w:rPr>
                <w:rFonts w:cs="Times New Roman"/>
                <w:noProof/>
                <w:lang w:val="sk-SK"/>
              </w:rPr>
              <w:t xml:space="preserve"> a </w:t>
            </w:r>
            <w:r w:rsidRPr="00083739">
              <w:rPr>
                <w:rFonts w:cs="Times New Roman"/>
                <w:noProof/>
                <w:lang w:val="sk-SK"/>
              </w:rPr>
              <w:t>cieľa</w:t>
            </w:r>
          </w:p>
        </w:tc>
      </w:tr>
      <w:tr w:rsidR="002D49B0" w:rsidRPr="00083739" w14:paraId="7099E622" w14:textId="77777777">
        <w:trPr>
          <w:trHeight w:val="557"/>
        </w:trPr>
        <w:tc>
          <w:tcPr>
            <w:tcW w:w="1043" w:type="dxa"/>
            <w:vMerge/>
            <w:tcBorders>
              <w:top w:val="single" w:sz="4" w:space="0" w:color="auto"/>
              <w:left w:val="single" w:sz="4" w:space="0" w:color="auto"/>
              <w:bottom w:val="single" w:sz="4" w:space="0" w:color="auto"/>
              <w:right w:val="single" w:sz="4" w:space="0" w:color="auto"/>
            </w:tcBorders>
            <w:noWrap/>
            <w:vAlign w:val="center"/>
          </w:tcPr>
          <w:p w14:paraId="6672C9E6"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646" w:type="dxa"/>
            <w:vMerge/>
            <w:tcBorders>
              <w:top w:val="single" w:sz="4" w:space="0" w:color="auto"/>
              <w:left w:val="single" w:sz="4" w:space="0" w:color="auto"/>
              <w:bottom w:val="single" w:sz="4" w:space="0" w:color="auto"/>
              <w:right w:val="single" w:sz="4" w:space="0" w:color="auto"/>
            </w:tcBorders>
            <w:noWrap/>
            <w:vAlign w:val="center"/>
          </w:tcPr>
          <w:p w14:paraId="5CB8709E"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134" w:type="dxa"/>
            <w:vMerge/>
            <w:tcBorders>
              <w:top w:val="single" w:sz="4" w:space="0" w:color="auto"/>
              <w:left w:val="single" w:sz="4" w:space="0" w:color="auto"/>
              <w:bottom w:val="single" w:sz="4" w:space="0" w:color="auto"/>
              <w:right w:val="single" w:sz="4" w:space="0" w:color="auto"/>
            </w:tcBorders>
            <w:noWrap/>
            <w:vAlign w:val="center"/>
          </w:tcPr>
          <w:p w14:paraId="2AC5451A"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275" w:type="dxa"/>
            <w:vMerge/>
            <w:tcBorders>
              <w:top w:val="single" w:sz="4" w:space="0" w:color="auto"/>
              <w:left w:val="single" w:sz="4" w:space="0" w:color="auto"/>
              <w:bottom w:val="single" w:sz="4" w:space="0" w:color="auto"/>
              <w:right w:val="single" w:sz="4" w:space="0" w:color="auto"/>
            </w:tcBorders>
            <w:noWrap/>
            <w:vAlign w:val="center"/>
          </w:tcPr>
          <w:p w14:paraId="6CF8B8E7"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134" w:type="dxa"/>
            <w:vMerge/>
            <w:tcBorders>
              <w:top w:val="single" w:sz="4" w:space="0" w:color="auto"/>
              <w:left w:val="single" w:sz="4" w:space="0" w:color="auto"/>
              <w:bottom w:val="single" w:sz="4" w:space="0" w:color="auto"/>
              <w:right w:val="single" w:sz="4" w:space="0" w:color="auto"/>
            </w:tcBorders>
            <w:noWrap/>
            <w:vAlign w:val="center"/>
          </w:tcPr>
          <w:p w14:paraId="1CDA7A8B"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993" w:type="dxa"/>
            <w:tcBorders>
              <w:top w:val="single" w:sz="4" w:space="0" w:color="auto"/>
              <w:left w:val="single" w:sz="4" w:space="0" w:color="auto"/>
              <w:bottom w:val="single" w:sz="4" w:space="0" w:color="auto"/>
              <w:right w:val="single" w:sz="4" w:space="0" w:color="auto"/>
            </w:tcBorders>
            <w:shd w:val="clear" w:color="auto" w:fill="BDD7EE"/>
            <w:noWrap/>
            <w:vAlign w:val="center"/>
          </w:tcPr>
          <w:p w14:paraId="049BED75" w14:textId="77777777" w:rsidR="002D49B0" w:rsidRPr="00083739" w:rsidRDefault="00BF4125">
            <w:pPr>
              <w:pStyle w:val="P68B1DB1-Normal7"/>
              <w:spacing w:before="120" w:after="120" w:line="240" w:lineRule="auto"/>
              <w:jc w:val="center"/>
              <w:rPr>
                <w:rFonts w:eastAsia="Times New Roman" w:cs="Times New Roman"/>
                <w:bCs/>
                <w:noProof/>
                <w:szCs w:val="18"/>
                <w:lang w:val="sk-SK"/>
              </w:rPr>
            </w:pPr>
            <w:r w:rsidRPr="00083739">
              <w:rPr>
                <w:rFonts w:cs="Times New Roman"/>
                <w:noProof/>
                <w:lang w:val="sk-SK"/>
              </w:rPr>
              <w:t>Merná jednotka</w:t>
            </w:r>
          </w:p>
        </w:tc>
        <w:tc>
          <w:tcPr>
            <w:tcW w:w="1134" w:type="dxa"/>
            <w:tcBorders>
              <w:top w:val="single" w:sz="4" w:space="0" w:color="auto"/>
              <w:left w:val="nil"/>
              <w:bottom w:val="single" w:sz="4" w:space="0" w:color="auto"/>
              <w:right w:val="single" w:sz="4" w:space="0" w:color="auto"/>
            </w:tcBorders>
            <w:shd w:val="clear" w:color="auto" w:fill="BDD7EE"/>
            <w:vAlign w:val="center"/>
          </w:tcPr>
          <w:p w14:paraId="6CF15580" w14:textId="77777777" w:rsidR="002D49B0" w:rsidRPr="00083739" w:rsidRDefault="00BF4125">
            <w:pPr>
              <w:pStyle w:val="P68B1DB1-Normal7"/>
              <w:spacing w:before="120" w:after="120" w:line="240" w:lineRule="auto"/>
              <w:jc w:val="center"/>
              <w:rPr>
                <w:rFonts w:eastAsia="Times New Roman" w:cs="Times New Roman"/>
                <w:bCs/>
                <w:noProof/>
                <w:szCs w:val="18"/>
                <w:lang w:val="sk-SK"/>
              </w:rPr>
            </w:pPr>
            <w:r w:rsidRPr="00083739">
              <w:rPr>
                <w:rFonts w:cs="Times New Roman"/>
                <w:noProof/>
                <w:lang w:val="sk-SK"/>
              </w:rPr>
              <w:t>Základná</w:t>
            </w:r>
          </w:p>
        </w:tc>
        <w:tc>
          <w:tcPr>
            <w:tcW w:w="850" w:type="dxa"/>
            <w:tcBorders>
              <w:top w:val="single" w:sz="4" w:space="0" w:color="auto"/>
              <w:left w:val="nil"/>
              <w:bottom w:val="single" w:sz="4" w:space="0" w:color="auto"/>
              <w:right w:val="single" w:sz="4" w:space="0" w:color="auto"/>
            </w:tcBorders>
            <w:shd w:val="clear" w:color="auto" w:fill="BDD7EE"/>
            <w:vAlign w:val="center"/>
          </w:tcPr>
          <w:p w14:paraId="016A11F4" w14:textId="77777777" w:rsidR="002D49B0" w:rsidRPr="00083739" w:rsidRDefault="00BF4125">
            <w:pPr>
              <w:pStyle w:val="P68B1DB1-Normal7"/>
              <w:spacing w:before="120" w:after="120" w:line="240" w:lineRule="auto"/>
              <w:jc w:val="center"/>
              <w:rPr>
                <w:rFonts w:eastAsia="Times New Roman" w:cs="Times New Roman"/>
                <w:bCs/>
                <w:noProof/>
                <w:szCs w:val="18"/>
                <w:lang w:val="sk-SK"/>
              </w:rPr>
            </w:pPr>
            <w:r w:rsidRPr="00083739">
              <w:rPr>
                <w:rFonts w:cs="Times New Roman"/>
                <w:noProof/>
                <w:lang w:val="sk-SK"/>
              </w:rPr>
              <w:t>Cieľ</w:t>
            </w:r>
          </w:p>
        </w:tc>
        <w:tc>
          <w:tcPr>
            <w:tcW w:w="851" w:type="dxa"/>
            <w:tcBorders>
              <w:top w:val="single" w:sz="4" w:space="0" w:color="auto"/>
              <w:left w:val="nil"/>
              <w:bottom w:val="single" w:sz="4" w:space="0" w:color="auto"/>
              <w:right w:val="single" w:sz="4" w:space="0" w:color="auto"/>
            </w:tcBorders>
            <w:shd w:val="clear" w:color="auto" w:fill="BDD7EE"/>
            <w:noWrap/>
          </w:tcPr>
          <w:p w14:paraId="5D3F7A42" w14:textId="77777777" w:rsidR="002D49B0" w:rsidRPr="00083739" w:rsidRDefault="00BF4125">
            <w:pPr>
              <w:pStyle w:val="P68B1DB1-Normal7"/>
              <w:spacing w:before="120" w:after="120" w:line="240" w:lineRule="auto"/>
              <w:jc w:val="center"/>
              <w:rPr>
                <w:rFonts w:eastAsia="Times New Roman" w:cs="Times New Roman"/>
                <w:bCs/>
                <w:noProof/>
                <w:szCs w:val="18"/>
                <w:lang w:val="sk-SK"/>
              </w:rPr>
            </w:pPr>
            <w:r w:rsidRPr="00083739">
              <w:rPr>
                <w:rFonts w:cs="Times New Roman"/>
                <w:noProof/>
                <w:lang w:val="sk-SK"/>
              </w:rPr>
              <w:t>Štvrtina</w:t>
            </w:r>
          </w:p>
        </w:tc>
        <w:tc>
          <w:tcPr>
            <w:tcW w:w="850" w:type="dxa"/>
            <w:tcBorders>
              <w:top w:val="single" w:sz="4" w:space="0" w:color="auto"/>
              <w:left w:val="nil"/>
              <w:bottom w:val="single" w:sz="4" w:space="0" w:color="auto"/>
              <w:right w:val="single" w:sz="4" w:space="0" w:color="auto"/>
            </w:tcBorders>
            <w:shd w:val="clear" w:color="auto" w:fill="BDD7EE"/>
          </w:tcPr>
          <w:p w14:paraId="67420DCB" w14:textId="77777777" w:rsidR="002D49B0" w:rsidRPr="00083739" w:rsidRDefault="00BF4125">
            <w:pPr>
              <w:pStyle w:val="P68B1DB1-Normal7"/>
              <w:spacing w:before="120" w:after="120" w:line="240" w:lineRule="auto"/>
              <w:jc w:val="center"/>
              <w:rPr>
                <w:rFonts w:eastAsia="Times New Roman" w:cs="Times New Roman"/>
                <w:bCs/>
                <w:noProof/>
                <w:szCs w:val="18"/>
                <w:lang w:val="sk-SK"/>
              </w:rPr>
            </w:pPr>
            <w:r w:rsidRPr="00083739">
              <w:rPr>
                <w:rFonts w:cs="Times New Roman"/>
                <w:noProof/>
                <w:lang w:val="sk-SK"/>
              </w:rPr>
              <w:t>Rok</w:t>
            </w:r>
          </w:p>
        </w:tc>
        <w:tc>
          <w:tcPr>
            <w:tcW w:w="3402" w:type="dxa"/>
            <w:vMerge/>
            <w:tcBorders>
              <w:bottom w:val="single" w:sz="4" w:space="0" w:color="auto"/>
              <w:right w:val="single" w:sz="4" w:space="0" w:color="auto"/>
            </w:tcBorders>
            <w:noWrap/>
          </w:tcPr>
          <w:p w14:paraId="6C18058D"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r>
      <w:tr w:rsidR="002D49B0" w:rsidRPr="00083739" w14:paraId="00714AAE" w14:textId="77777777">
        <w:tc>
          <w:tcPr>
            <w:tcW w:w="1043" w:type="dxa"/>
            <w:tcBorders>
              <w:top w:val="single" w:sz="4" w:space="0" w:color="auto"/>
              <w:left w:val="single" w:sz="4" w:space="0" w:color="auto"/>
              <w:bottom w:val="single" w:sz="4" w:space="0" w:color="auto"/>
              <w:right w:val="single" w:sz="4" w:space="0" w:color="auto"/>
            </w:tcBorders>
            <w:shd w:val="clear" w:color="auto" w:fill="C6EFCE"/>
            <w:noWrap/>
          </w:tcPr>
          <w:p w14:paraId="5B1EA68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351</w:t>
            </w:r>
          </w:p>
        </w:tc>
        <w:tc>
          <w:tcPr>
            <w:tcW w:w="1646" w:type="dxa"/>
            <w:tcBorders>
              <w:top w:val="single" w:sz="4" w:space="0" w:color="auto"/>
              <w:left w:val="nil"/>
              <w:bottom w:val="single" w:sz="4" w:space="0" w:color="auto"/>
              <w:right w:val="single" w:sz="4" w:space="0" w:color="auto"/>
            </w:tcBorders>
            <w:shd w:val="clear" w:color="auto" w:fill="C6EFCE"/>
            <w:noWrap/>
          </w:tcPr>
          <w:p w14:paraId="41E86755" w14:textId="015777C4"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 – 5.1. Reformy REPowerEU – 16987_Licenčný rámec pre obnoviteľný vodík</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udržateľný biometán</w:t>
            </w:r>
          </w:p>
        </w:tc>
        <w:tc>
          <w:tcPr>
            <w:tcW w:w="1134" w:type="dxa"/>
            <w:tcBorders>
              <w:top w:val="single" w:sz="4" w:space="0" w:color="auto"/>
              <w:left w:val="nil"/>
              <w:bottom w:val="single" w:sz="4" w:space="0" w:color="auto"/>
              <w:right w:val="single" w:sz="4" w:space="0" w:color="auto"/>
            </w:tcBorders>
            <w:shd w:val="clear" w:color="auto" w:fill="C6EFCE"/>
            <w:noWrap/>
          </w:tcPr>
          <w:p w14:paraId="0BD1083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275" w:type="dxa"/>
            <w:tcBorders>
              <w:top w:val="single" w:sz="4" w:space="0" w:color="auto"/>
              <w:left w:val="nil"/>
              <w:bottom w:val="single" w:sz="4" w:space="0" w:color="auto"/>
              <w:right w:val="single" w:sz="4" w:space="0" w:color="auto"/>
            </w:tcBorders>
            <w:shd w:val="clear" w:color="auto" w:fill="C6EFCE"/>
            <w:noWrap/>
          </w:tcPr>
          <w:p w14:paraId="6D35D643" w14:textId="212A2351"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Legislatívny rámec pre obnoviteľný vodík</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udržateľný biometán</w:t>
            </w:r>
          </w:p>
        </w:tc>
        <w:tc>
          <w:tcPr>
            <w:tcW w:w="1134" w:type="dxa"/>
            <w:tcBorders>
              <w:top w:val="single" w:sz="4" w:space="0" w:color="auto"/>
              <w:left w:val="nil"/>
              <w:bottom w:val="single" w:sz="4" w:space="0" w:color="auto"/>
              <w:right w:val="single" w:sz="4" w:space="0" w:color="auto"/>
            </w:tcBorders>
            <w:shd w:val="clear" w:color="auto" w:fill="C6EFCE"/>
            <w:noWrap/>
          </w:tcPr>
          <w:p w14:paraId="010F9435" w14:textId="77777777"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Vstup do</w:t>
            </w:r>
          </w:p>
          <w:p w14:paraId="44967310" w14:textId="77777777"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sila</w:t>
            </w:r>
          </w:p>
          <w:p w14:paraId="6C4D8F22" w14:textId="77777777"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právne predpisy</w:t>
            </w:r>
          </w:p>
          <w:p w14:paraId="48EE6935" w14:textId="5AC9018E"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93" w:type="dxa"/>
            <w:tcBorders>
              <w:top w:val="single" w:sz="4" w:space="0" w:color="auto"/>
              <w:left w:val="nil"/>
              <w:bottom w:val="single" w:sz="4" w:space="0" w:color="auto"/>
              <w:right w:val="single" w:sz="4" w:space="0" w:color="auto"/>
            </w:tcBorders>
            <w:shd w:val="clear" w:color="auto" w:fill="C6EFCE"/>
            <w:noWrap/>
          </w:tcPr>
          <w:p w14:paraId="7D4700B9"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134" w:type="dxa"/>
            <w:tcBorders>
              <w:top w:val="single" w:sz="4" w:space="0" w:color="auto"/>
              <w:left w:val="nil"/>
              <w:bottom w:val="single" w:sz="4" w:space="0" w:color="auto"/>
              <w:right w:val="single" w:sz="4" w:space="0" w:color="auto"/>
            </w:tcBorders>
            <w:shd w:val="clear" w:color="auto" w:fill="C6EFCE"/>
            <w:noWrap/>
          </w:tcPr>
          <w:p w14:paraId="27F3BDAF"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0" w:type="dxa"/>
            <w:tcBorders>
              <w:top w:val="single" w:sz="4" w:space="0" w:color="auto"/>
              <w:left w:val="nil"/>
              <w:bottom w:val="single" w:sz="4" w:space="0" w:color="auto"/>
              <w:right w:val="single" w:sz="4" w:space="0" w:color="auto"/>
            </w:tcBorders>
            <w:shd w:val="clear" w:color="auto" w:fill="C6EFCE"/>
            <w:noWrap/>
          </w:tcPr>
          <w:p w14:paraId="4CC09B72"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51" w:type="dxa"/>
            <w:tcBorders>
              <w:top w:val="single" w:sz="4" w:space="0" w:color="auto"/>
              <w:left w:val="nil"/>
              <w:bottom w:val="single" w:sz="4" w:space="0" w:color="auto"/>
              <w:right w:val="single" w:sz="4" w:space="0" w:color="auto"/>
            </w:tcBorders>
            <w:shd w:val="clear" w:color="auto" w:fill="C6EFCE"/>
            <w:noWrap/>
          </w:tcPr>
          <w:p w14:paraId="1418391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850" w:type="dxa"/>
            <w:tcBorders>
              <w:top w:val="single" w:sz="4" w:space="0" w:color="auto"/>
              <w:left w:val="nil"/>
              <w:bottom w:val="single" w:sz="4" w:space="0" w:color="auto"/>
              <w:right w:val="single" w:sz="4" w:space="0" w:color="auto"/>
            </w:tcBorders>
            <w:shd w:val="clear" w:color="auto" w:fill="C6EFCE"/>
            <w:noWrap/>
          </w:tcPr>
          <w:p w14:paraId="0052BE3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2024</w:t>
            </w:r>
          </w:p>
        </w:tc>
        <w:tc>
          <w:tcPr>
            <w:tcW w:w="3402" w:type="dxa"/>
            <w:tcBorders>
              <w:top w:val="single" w:sz="4" w:space="0" w:color="auto"/>
              <w:left w:val="nil"/>
              <w:bottom w:val="single" w:sz="4" w:space="0" w:color="auto"/>
              <w:right w:val="single" w:sz="4" w:space="0" w:color="auto"/>
            </w:tcBorders>
            <w:shd w:val="clear" w:color="auto" w:fill="C6EFCE"/>
            <w:noWrap/>
          </w:tcPr>
          <w:p w14:paraId="508BA053" w14:textId="27FF5436"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Nadobudnutie účinnosti právnych predpisov (primárnych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sekundárnych) na podporu obnoviteľného vodíka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udržateľného biometánu</w:t>
            </w:r>
            <w:r w:rsidR="00083739" w:rsidRPr="00083739">
              <w:rPr>
                <w:rFonts w:ascii="Times New Roman" w:hAnsi="Times New Roman" w:cs="Times New Roman"/>
                <w:noProof/>
                <w:lang w:val="sk-SK"/>
              </w:rPr>
              <w:t>.</w:t>
            </w:r>
          </w:p>
          <w:p w14:paraId="234A9CE2" w14:textId="0137D066"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Právne predpisy zahŕňajú: podpora výroby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spotreby vodíka</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obnoviteľných zdrojov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udržateľného biometánu vrátane špecifikácie postupov udeľovania licencií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udeľovania povolení, ustanovení</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priestorovom plánovaní, vymedzenia technických špecifikácií pr</w:t>
            </w:r>
            <w:r w:rsidRPr="00083739">
              <w:rPr>
                <w:rFonts w:ascii="Times New Roman" w:hAnsi="Times New Roman" w:cs="Times New Roman"/>
                <w:noProof/>
                <w:lang w:val="sk-SK"/>
              </w:rPr>
              <w:t>enosu, skladovania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vtláčania do siete, objasnenia úloh rôznych zainteresovaných strán, ako aj zapojených verejných orgánov, pričom sa zabezpečí mechanizmus na certifikáciu toho, že vyrobený vodík by bol obnoviteľný</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udržateľný biometán,</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súlade</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nedáv</w:t>
            </w:r>
            <w:r w:rsidRPr="00083739">
              <w:rPr>
                <w:rFonts w:ascii="Times New Roman" w:hAnsi="Times New Roman" w:cs="Times New Roman"/>
                <w:noProof/>
                <w:lang w:val="sk-SK"/>
              </w:rPr>
              <w:t>nymi ustanoveniami delegovaných aktov smernice RED II.</w:t>
            </w:r>
          </w:p>
        </w:tc>
      </w:tr>
    </w:tbl>
    <w:p w14:paraId="154AB354" w14:textId="77777777" w:rsidR="002D49B0" w:rsidRPr="00083739" w:rsidRDefault="002D49B0">
      <w:pPr>
        <w:rPr>
          <w:rFonts w:ascii="Times New Roman" w:hAnsi="Times New Roman" w:cs="Times New Roman"/>
          <w:noProof/>
          <w:lang w:val="sk-SK"/>
        </w:rPr>
      </w:pPr>
    </w:p>
    <w:p w14:paraId="6DCE673E" w14:textId="0D207C06" w:rsidR="002D49B0" w:rsidRPr="00083739" w:rsidRDefault="00BF4125">
      <w:pPr>
        <w:pStyle w:val="P68B1DB1-Normal6"/>
        <w:keepNext/>
        <w:keepLines/>
        <w:spacing w:before="240" w:after="0" w:line="240" w:lineRule="auto"/>
        <w:jc w:val="both"/>
        <w:outlineLvl w:val="4"/>
        <w:rPr>
          <w:rFonts w:ascii="Times New Roman" w:hAnsi="Times New Roman" w:cs="Times New Roman"/>
          <w:noProof/>
          <w:color w:val="365F91" w:themeColor="accent1" w:themeShade="BF"/>
          <w:lang w:val="sk-SK"/>
        </w:rPr>
      </w:pPr>
      <w:r w:rsidRPr="00083739">
        <w:rPr>
          <w:rFonts w:ascii="Times New Roman" w:hAnsi="Times New Roman" w:cs="Times New Roman"/>
          <w:noProof/>
          <w:lang w:val="sk-SK"/>
        </w:rPr>
        <w:t>Reforma 2: Optimalizácia využívania pevniny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morského priestoru na rozvoj obnoviteľných zdrojov energie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zariadení na výrobu veternej energie na mori (ID opatrenia: 16989)</w:t>
      </w:r>
    </w:p>
    <w:p w14:paraId="225BB70A" w14:textId="77777777" w:rsidR="002D49B0" w:rsidRPr="00083739" w:rsidRDefault="002D49B0">
      <w:pPr>
        <w:keepNext/>
        <w:keepLines/>
        <w:spacing w:before="240" w:after="0" w:line="240" w:lineRule="auto"/>
        <w:jc w:val="both"/>
        <w:outlineLvl w:val="4"/>
        <w:rPr>
          <w:rFonts w:ascii="Times New Roman" w:eastAsia="Times New Roman" w:hAnsi="Times New Roman" w:cs="Times New Roman"/>
          <w:noProof/>
          <w:color w:val="365F91"/>
          <w:sz w:val="24"/>
          <w:szCs w:val="24"/>
          <w:lang w:val="sk-SK"/>
        </w:rPr>
      </w:pPr>
    </w:p>
    <w:tbl>
      <w:tblPr>
        <w:tblW w:w="14454" w:type="dxa"/>
        <w:jc w:val="center"/>
        <w:tblLayout w:type="fixed"/>
        <w:tblLook w:val="04A0" w:firstRow="1" w:lastRow="0" w:firstColumn="1" w:lastColumn="0" w:noHBand="0" w:noVBand="1"/>
      </w:tblPr>
      <w:tblGrid>
        <w:gridCol w:w="1134"/>
        <w:gridCol w:w="1861"/>
        <w:gridCol w:w="1080"/>
        <w:gridCol w:w="1278"/>
        <w:gridCol w:w="1305"/>
        <w:gridCol w:w="1137"/>
        <w:gridCol w:w="960"/>
        <w:gridCol w:w="720"/>
        <w:gridCol w:w="960"/>
        <w:gridCol w:w="773"/>
        <w:gridCol w:w="3246"/>
      </w:tblGrid>
      <w:tr w:rsidR="002D49B0" w:rsidRPr="00083739" w14:paraId="455C6A84" w14:textId="77777777">
        <w:trPr>
          <w:trHeight w:val="844"/>
          <w:tblHeader/>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389C018" w14:textId="77777777" w:rsidR="002D49B0" w:rsidRPr="00083739" w:rsidRDefault="00BF4125">
            <w:pPr>
              <w:pStyle w:val="P68B1DB1-Normal7"/>
              <w:spacing w:before="120" w:after="120" w:line="240" w:lineRule="auto"/>
              <w:jc w:val="center"/>
              <w:rPr>
                <w:rFonts w:cs="Times New Roman"/>
                <w:noProof/>
                <w:sz w:val="24"/>
                <w:lang w:val="sk-SK"/>
              </w:rPr>
            </w:pPr>
            <w:r w:rsidRPr="00083739">
              <w:rPr>
                <w:rFonts w:cs="Times New Roman"/>
                <w:noProof/>
                <w:lang w:val="sk-SK"/>
              </w:rPr>
              <w:t>Poradové číslo</w:t>
            </w:r>
          </w:p>
        </w:tc>
        <w:tc>
          <w:tcPr>
            <w:tcW w:w="186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69B1ACE" w14:textId="77777777" w:rsidR="002D49B0" w:rsidRPr="00083739" w:rsidRDefault="00BF4125">
            <w:pPr>
              <w:pStyle w:val="P68B1DB1-Normal7"/>
              <w:spacing w:before="120" w:after="120" w:line="240" w:lineRule="auto"/>
              <w:jc w:val="center"/>
              <w:rPr>
                <w:rFonts w:cs="Times New Roman"/>
                <w:noProof/>
                <w:sz w:val="24"/>
                <w:lang w:val="sk-SK"/>
              </w:rPr>
            </w:pPr>
            <w:r w:rsidRPr="00083739">
              <w:rPr>
                <w:rFonts w:cs="Times New Roman"/>
                <w:noProof/>
                <w:lang w:val="sk-SK"/>
              </w:rPr>
              <w:t>Súvisiace</w:t>
            </w:r>
            <w:r w:rsidRPr="00083739">
              <w:rPr>
                <w:rFonts w:cs="Times New Roman"/>
                <w:noProof/>
                <w:lang w:val="sk-SK"/>
              </w:rPr>
              <w:t xml:space="preserve"> opatrenie (reforma alebo investícia)</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760329E" w14:textId="77777777" w:rsidR="002D49B0" w:rsidRPr="00083739" w:rsidRDefault="00BF4125">
            <w:pPr>
              <w:pStyle w:val="P68B1DB1-Normal7"/>
              <w:spacing w:before="120" w:after="120" w:line="240" w:lineRule="auto"/>
              <w:jc w:val="center"/>
              <w:rPr>
                <w:rFonts w:cs="Times New Roman"/>
                <w:noProof/>
                <w:sz w:val="24"/>
                <w:lang w:val="sk-SK"/>
              </w:rPr>
            </w:pPr>
            <w:r w:rsidRPr="00083739">
              <w:rPr>
                <w:rFonts w:cs="Times New Roman"/>
                <w:noProof/>
                <w:lang w:val="sk-SK"/>
              </w:rPr>
              <w:t>Míľnik/cieľ</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082B2CF" w14:textId="77777777" w:rsidR="002D49B0" w:rsidRPr="00083739" w:rsidRDefault="00BF4125">
            <w:pPr>
              <w:pStyle w:val="P68B1DB1-Normal7"/>
              <w:spacing w:before="120" w:after="120" w:line="240" w:lineRule="auto"/>
              <w:jc w:val="center"/>
              <w:rPr>
                <w:rFonts w:cs="Times New Roman"/>
                <w:noProof/>
                <w:sz w:val="24"/>
                <w:lang w:val="sk-SK"/>
              </w:rPr>
            </w:pPr>
            <w:r w:rsidRPr="00083739">
              <w:rPr>
                <w:rFonts w:cs="Times New Roman"/>
                <w:noProof/>
                <w:lang w:val="sk-SK"/>
              </w:rPr>
              <w:t>Názov</w:t>
            </w:r>
          </w:p>
        </w:tc>
        <w:tc>
          <w:tcPr>
            <w:tcW w:w="130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112A01E" w14:textId="77777777" w:rsidR="002D49B0" w:rsidRPr="00083739" w:rsidRDefault="00BF4125">
            <w:pPr>
              <w:pStyle w:val="P68B1DB1-Normal7"/>
              <w:spacing w:before="120" w:after="120" w:line="240" w:lineRule="auto"/>
              <w:jc w:val="center"/>
              <w:rPr>
                <w:rFonts w:cs="Times New Roman"/>
                <w:noProof/>
                <w:sz w:val="24"/>
                <w:szCs w:val="24"/>
                <w:lang w:val="sk-SK"/>
              </w:rPr>
            </w:pPr>
            <w:r w:rsidRPr="00083739">
              <w:rPr>
                <w:rFonts w:cs="Times New Roman"/>
                <w:noProof/>
                <w:lang w:val="sk-SK"/>
              </w:rPr>
              <w:t>Kvalitatívne ukazovatele (pre míľniky)</w:t>
            </w:r>
          </w:p>
        </w:tc>
        <w:tc>
          <w:tcPr>
            <w:tcW w:w="2817" w:type="dxa"/>
            <w:gridSpan w:val="3"/>
            <w:tcBorders>
              <w:top w:val="single" w:sz="4" w:space="0" w:color="auto"/>
              <w:left w:val="single" w:sz="4" w:space="0" w:color="auto"/>
              <w:bottom w:val="single" w:sz="4" w:space="0" w:color="auto"/>
              <w:right w:val="single" w:sz="4" w:space="0" w:color="auto"/>
            </w:tcBorders>
            <w:shd w:val="clear" w:color="auto" w:fill="BDD7EE"/>
            <w:vAlign w:val="center"/>
            <w:hideMark/>
          </w:tcPr>
          <w:p w14:paraId="02956E7A" w14:textId="77777777" w:rsidR="002D49B0" w:rsidRPr="00083739" w:rsidRDefault="00BF4125">
            <w:pPr>
              <w:pStyle w:val="P68B1DB1-Normal7"/>
              <w:spacing w:before="120" w:after="120" w:line="240" w:lineRule="auto"/>
              <w:jc w:val="center"/>
              <w:rPr>
                <w:rFonts w:cs="Times New Roman"/>
                <w:noProof/>
                <w:sz w:val="24"/>
                <w:szCs w:val="24"/>
                <w:lang w:val="sk-SK"/>
              </w:rPr>
            </w:pPr>
            <w:r w:rsidRPr="00083739">
              <w:rPr>
                <w:rFonts w:cs="Times New Roman"/>
                <w:noProof/>
                <w:lang w:val="sk-SK"/>
              </w:rPr>
              <w:t>Kvantitatívne ukazovatele (pre ciele)</w:t>
            </w:r>
          </w:p>
        </w:tc>
        <w:tc>
          <w:tcPr>
            <w:tcW w:w="1733" w:type="dxa"/>
            <w:gridSpan w:val="2"/>
            <w:tcBorders>
              <w:top w:val="single" w:sz="4" w:space="0" w:color="auto"/>
              <w:left w:val="single" w:sz="4" w:space="0" w:color="auto"/>
              <w:bottom w:val="single" w:sz="4" w:space="0" w:color="auto"/>
              <w:right w:val="single" w:sz="4" w:space="0" w:color="auto"/>
            </w:tcBorders>
            <w:shd w:val="clear" w:color="auto" w:fill="BDD7EE"/>
            <w:vAlign w:val="center"/>
            <w:hideMark/>
          </w:tcPr>
          <w:p w14:paraId="39BBEE0D" w14:textId="77777777" w:rsidR="002D49B0" w:rsidRPr="00083739" w:rsidRDefault="00BF4125">
            <w:pPr>
              <w:pStyle w:val="P68B1DB1-Normal7"/>
              <w:spacing w:before="120" w:after="120" w:line="240" w:lineRule="auto"/>
              <w:jc w:val="center"/>
              <w:rPr>
                <w:rFonts w:cs="Times New Roman"/>
                <w:noProof/>
                <w:sz w:val="24"/>
                <w:lang w:val="sk-SK"/>
              </w:rPr>
            </w:pPr>
            <w:r w:rsidRPr="00083739">
              <w:rPr>
                <w:rFonts w:cs="Times New Roman"/>
                <w:noProof/>
                <w:lang w:val="sk-SK"/>
              </w:rPr>
              <w:t>Orientačný harmonogram dokončenia</w:t>
            </w:r>
          </w:p>
        </w:tc>
        <w:tc>
          <w:tcPr>
            <w:tcW w:w="324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9A8373F" w14:textId="4147564D" w:rsidR="002D49B0" w:rsidRPr="00083739" w:rsidRDefault="00BF4125">
            <w:pPr>
              <w:pStyle w:val="P68B1DB1-Normal7"/>
              <w:spacing w:before="120" w:after="120" w:line="240" w:lineRule="auto"/>
              <w:jc w:val="center"/>
              <w:rPr>
                <w:rFonts w:cs="Times New Roman"/>
                <w:noProof/>
                <w:sz w:val="24"/>
                <w:lang w:val="sk-SK"/>
              </w:rPr>
            </w:pPr>
            <w:r w:rsidRPr="00083739">
              <w:rPr>
                <w:rFonts w:cs="Times New Roman"/>
                <w:noProof/>
                <w:lang w:val="sk-SK"/>
              </w:rPr>
              <w:t>Opis každého míľnika</w:t>
            </w:r>
            <w:r w:rsidR="00083739" w:rsidRPr="00083739">
              <w:rPr>
                <w:rFonts w:cs="Times New Roman"/>
                <w:noProof/>
                <w:lang w:val="sk-SK"/>
              </w:rPr>
              <w:t xml:space="preserve"> a </w:t>
            </w:r>
            <w:r w:rsidRPr="00083739">
              <w:rPr>
                <w:rFonts w:cs="Times New Roman"/>
                <w:noProof/>
                <w:lang w:val="sk-SK"/>
              </w:rPr>
              <w:t>cieľa</w:t>
            </w:r>
          </w:p>
        </w:tc>
      </w:tr>
      <w:tr w:rsidR="002D49B0" w:rsidRPr="00083739" w14:paraId="075A73C2" w14:textId="77777777">
        <w:trPr>
          <w:trHeight w:val="277"/>
          <w:tblHeader/>
          <w:jc w:val="center"/>
        </w:trPr>
        <w:tc>
          <w:tcPr>
            <w:tcW w:w="1134" w:type="dxa"/>
            <w:vMerge/>
            <w:tcBorders>
              <w:top w:val="single" w:sz="4" w:space="0" w:color="auto"/>
              <w:left w:val="single" w:sz="4" w:space="0" w:color="auto"/>
              <w:bottom w:val="single" w:sz="4" w:space="0" w:color="auto"/>
              <w:right w:val="single" w:sz="4" w:space="0" w:color="auto"/>
            </w:tcBorders>
            <w:vAlign w:val="center"/>
          </w:tcPr>
          <w:p w14:paraId="056F22E6" w14:textId="77777777" w:rsidR="002D49B0" w:rsidRPr="00083739" w:rsidRDefault="002D49B0">
            <w:pPr>
              <w:spacing w:before="120" w:after="120" w:line="240" w:lineRule="auto"/>
              <w:jc w:val="center"/>
              <w:rPr>
                <w:rFonts w:ascii="Times New Roman" w:eastAsia="Times New Roman" w:hAnsi="Times New Roman" w:cs="Times New Roman"/>
                <w:b/>
                <w:bCs/>
                <w:noProof/>
                <w:sz w:val="18"/>
                <w:szCs w:val="18"/>
                <w:lang w:val="sk-SK"/>
              </w:rPr>
            </w:pPr>
          </w:p>
        </w:tc>
        <w:tc>
          <w:tcPr>
            <w:tcW w:w="1861" w:type="dxa"/>
            <w:vMerge/>
            <w:tcBorders>
              <w:top w:val="single" w:sz="4" w:space="0" w:color="auto"/>
              <w:left w:val="single" w:sz="4" w:space="0" w:color="auto"/>
              <w:bottom w:val="single" w:sz="4" w:space="0" w:color="auto"/>
              <w:right w:val="single" w:sz="4" w:space="0" w:color="auto"/>
            </w:tcBorders>
            <w:vAlign w:val="center"/>
          </w:tcPr>
          <w:p w14:paraId="139A75F9" w14:textId="77777777" w:rsidR="002D49B0" w:rsidRPr="00083739" w:rsidRDefault="002D49B0">
            <w:pPr>
              <w:spacing w:before="120" w:after="120" w:line="240" w:lineRule="auto"/>
              <w:jc w:val="center"/>
              <w:rPr>
                <w:rFonts w:ascii="Times New Roman" w:eastAsia="Times New Roman" w:hAnsi="Times New Roman" w:cs="Times New Roman"/>
                <w:b/>
                <w:bCs/>
                <w:noProof/>
                <w:sz w:val="18"/>
                <w:szCs w:val="18"/>
                <w:lang w:val="sk-SK"/>
              </w:rPr>
            </w:pPr>
          </w:p>
        </w:tc>
        <w:tc>
          <w:tcPr>
            <w:tcW w:w="1080" w:type="dxa"/>
            <w:vMerge/>
            <w:tcBorders>
              <w:top w:val="single" w:sz="4" w:space="0" w:color="auto"/>
              <w:left w:val="single" w:sz="4" w:space="0" w:color="auto"/>
              <w:bottom w:val="single" w:sz="4" w:space="0" w:color="auto"/>
              <w:right w:val="single" w:sz="4" w:space="0" w:color="auto"/>
            </w:tcBorders>
            <w:vAlign w:val="center"/>
          </w:tcPr>
          <w:p w14:paraId="27AC8F93" w14:textId="77777777" w:rsidR="002D49B0" w:rsidRPr="00083739" w:rsidRDefault="002D49B0">
            <w:pPr>
              <w:spacing w:before="120" w:after="120" w:line="240" w:lineRule="auto"/>
              <w:jc w:val="center"/>
              <w:rPr>
                <w:rFonts w:ascii="Times New Roman" w:eastAsia="Times New Roman" w:hAnsi="Times New Roman" w:cs="Times New Roman"/>
                <w:b/>
                <w:bCs/>
                <w:noProof/>
                <w:sz w:val="18"/>
                <w:szCs w:val="18"/>
                <w:lang w:val="sk-SK"/>
              </w:rPr>
            </w:pPr>
          </w:p>
        </w:tc>
        <w:tc>
          <w:tcPr>
            <w:tcW w:w="1278" w:type="dxa"/>
            <w:vMerge/>
            <w:tcBorders>
              <w:top w:val="single" w:sz="4" w:space="0" w:color="auto"/>
              <w:left w:val="single" w:sz="4" w:space="0" w:color="auto"/>
              <w:bottom w:val="single" w:sz="4" w:space="0" w:color="auto"/>
              <w:right w:val="single" w:sz="4" w:space="0" w:color="auto"/>
            </w:tcBorders>
            <w:vAlign w:val="center"/>
          </w:tcPr>
          <w:p w14:paraId="220CC422" w14:textId="77777777" w:rsidR="002D49B0" w:rsidRPr="00083739" w:rsidRDefault="002D49B0">
            <w:pPr>
              <w:spacing w:before="120" w:after="120" w:line="240" w:lineRule="auto"/>
              <w:jc w:val="center"/>
              <w:rPr>
                <w:rFonts w:ascii="Times New Roman" w:eastAsia="Times New Roman" w:hAnsi="Times New Roman" w:cs="Times New Roman"/>
                <w:b/>
                <w:bCs/>
                <w:noProof/>
                <w:sz w:val="18"/>
                <w:szCs w:val="18"/>
                <w:lang w:val="sk-SK"/>
              </w:rPr>
            </w:pPr>
          </w:p>
        </w:tc>
        <w:tc>
          <w:tcPr>
            <w:tcW w:w="1305" w:type="dxa"/>
            <w:vMerge/>
            <w:tcBorders>
              <w:top w:val="single" w:sz="4" w:space="0" w:color="auto"/>
              <w:left w:val="single" w:sz="4" w:space="0" w:color="auto"/>
              <w:bottom w:val="single" w:sz="4" w:space="0" w:color="auto"/>
              <w:right w:val="single" w:sz="4" w:space="0" w:color="auto"/>
            </w:tcBorders>
            <w:vAlign w:val="center"/>
          </w:tcPr>
          <w:p w14:paraId="5ECD1C00" w14:textId="77777777" w:rsidR="002D49B0" w:rsidRPr="00083739" w:rsidRDefault="002D49B0">
            <w:pPr>
              <w:spacing w:before="120" w:after="120" w:line="240" w:lineRule="auto"/>
              <w:jc w:val="center"/>
              <w:rPr>
                <w:rFonts w:ascii="Times New Roman" w:eastAsia="Times New Roman" w:hAnsi="Times New Roman" w:cs="Times New Roman"/>
                <w:b/>
                <w:bCs/>
                <w:noProof/>
                <w:sz w:val="18"/>
                <w:szCs w:val="18"/>
                <w:lang w:val="sk-SK"/>
              </w:rPr>
            </w:pPr>
          </w:p>
        </w:tc>
        <w:tc>
          <w:tcPr>
            <w:tcW w:w="1137" w:type="dxa"/>
            <w:tcBorders>
              <w:top w:val="single" w:sz="4" w:space="0" w:color="auto"/>
              <w:left w:val="single" w:sz="4" w:space="0" w:color="auto"/>
              <w:bottom w:val="single" w:sz="4" w:space="0" w:color="auto"/>
              <w:right w:val="single" w:sz="4" w:space="0" w:color="auto"/>
            </w:tcBorders>
            <w:shd w:val="clear" w:color="auto" w:fill="BDD7EE"/>
            <w:vAlign w:val="center"/>
          </w:tcPr>
          <w:p w14:paraId="7DB8090F" w14:textId="77777777" w:rsidR="002D49B0" w:rsidRPr="00083739" w:rsidRDefault="00BF4125">
            <w:pPr>
              <w:pStyle w:val="P68B1DB1-Normal7"/>
              <w:spacing w:before="120" w:after="120" w:line="240" w:lineRule="auto"/>
              <w:jc w:val="center"/>
              <w:rPr>
                <w:rFonts w:eastAsia="Times New Roman" w:cs="Times New Roman"/>
                <w:bCs/>
                <w:noProof/>
                <w:szCs w:val="18"/>
                <w:lang w:val="sk-SK"/>
              </w:rPr>
            </w:pPr>
            <w:r w:rsidRPr="00083739">
              <w:rPr>
                <w:rFonts w:cs="Times New Roman"/>
                <w:noProof/>
                <w:lang w:val="sk-SK"/>
              </w:rPr>
              <w:t>Merná jednotka</w:t>
            </w:r>
          </w:p>
        </w:tc>
        <w:tc>
          <w:tcPr>
            <w:tcW w:w="960" w:type="dxa"/>
            <w:tcBorders>
              <w:top w:val="single" w:sz="4" w:space="0" w:color="auto"/>
              <w:left w:val="single" w:sz="4" w:space="0" w:color="auto"/>
              <w:bottom w:val="single" w:sz="4" w:space="0" w:color="auto"/>
              <w:right w:val="single" w:sz="4" w:space="0" w:color="auto"/>
            </w:tcBorders>
            <w:shd w:val="clear" w:color="auto" w:fill="BDD7EE"/>
            <w:vAlign w:val="center"/>
          </w:tcPr>
          <w:p w14:paraId="18407538" w14:textId="77777777" w:rsidR="002D49B0" w:rsidRPr="00083739" w:rsidRDefault="00BF4125">
            <w:pPr>
              <w:pStyle w:val="P68B1DB1-Normal7"/>
              <w:spacing w:before="120" w:after="120" w:line="240" w:lineRule="auto"/>
              <w:jc w:val="center"/>
              <w:rPr>
                <w:rFonts w:eastAsia="Times New Roman" w:cs="Times New Roman"/>
                <w:bCs/>
                <w:noProof/>
                <w:szCs w:val="18"/>
                <w:lang w:val="sk-SK"/>
              </w:rPr>
            </w:pPr>
            <w:r w:rsidRPr="00083739">
              <w:rPr>
                <w:rFonts w:cs="Times New Roman"/>
                <w:noProof/>
                <w:lang w:val="sk-SK"/>
              </w:rPr>
              <w:t>Základná</w:t>
            </w:r>
          </w:p>
        </w:tc>
        <w:tc>
          <w:tcPr>
            <w:tcW w:w="720" w:type="dxa"/>
            <w:tcBorders>
              <w:top w:val="single" w:sz="4" w:space="0" w:color="auto"/>
              <w:left w:val="nil"/>
              <w:bottom w:val="single" w:sz="4" w:space="0" w:color="auto"/>
              <w:right w:val="single" w:sz="4" w:space="0" w:color="auto"/>
            </w:tcBorders>
            <w:shd w:val="clear" w:color="auto" w:fill="BDD7EE"/>
            <w:vAlign w:val="center"/>
          </w:tcPr>
          <w:p w14:paraId="7BDDA70D" w14:textId="77777777" w:rsidR="002D49B0" w:rsidRPr="00083739" w:rsidRDefault="00BF4125">
            <w:pPr>
              <w:pStyle w:val="P68B1DB1-Normal7"/>
              <w:spacing w:before="120" w:after="120" w:line="240" w:lineRule="auto"/>
              <w:jc w:val="center"/>
              <w:rPr>
                <w:rFonts w:eastAsia="Times New Roman" w:cs="Times New Roman"/>
                <w:bCs/>
                <w:noProof/>
                <w:szCs w:val="18"/>
                <w:lang w:val="sk-SK"/>
              </w:rPr>
            </w:pPr>
            <w:r w:rsidRPr="00083739">
              <w:rPr>
                <w:rFonts w:cs="Times New Roman"/>
                <w:noProof/>
                <w:lang w:val="sk-SK"/>
              </w:rPr>
              <w:t>Cieľ</w:t>
            </w:r>
          </w:p>
        </w:tc>
        <w:tc>
          <w:tcPr>
            <w:tcW w:w="960" w:type="dxa"/>
            <w:tcBorders>
              <w:top w:val="single" w:sz="4" w:space="0" w:color="auto"/>
              <w:left w:val="nil"/>
              <w:bottom w:val="single" w:sz="4" w:space="0" w:color="auto"/>
              <w:right w:val="single" w:sz="4" w:space="0" w:color="auto"/>
            </w:tcBorders>
            <w:shd w:val="clear" w:color="auto" w:fill="BDD7EE"/>
            <w:vAlign w:val="center"/>
          </w:tcPr>
          <w:p w14:paraId="015EA965" w14:textId="77777777" w:rsidR="002D49B0" w:rsidRPr="00083739" w:rsidRDefault="00BF4125">
            <w:pPr>
              <w:pStyle w:val="P68B1DB1-Normal7"/>
              <w:spacing w:before="120" w:after="120" w:line="240" w:lineRule="auto"/>
              <w:jc w:val="center"/>
              <w:rPr>
                <w:rFonts w:eastAsia="Times New Roman" w:cs="Times New Roman"/>
                <w:bCs/>
                <w:noProof/>
                <w:szCs w:val="18"/>
                <w:lang w:val="sk-SK"/>
              </w:rPr>
            </w:pPr>
            <w:r w:rsidRPr="00083739">
              <w:rPr>
                <w:rFonts w:cs="Times New Roman"/>
                <w:noProof/>
                <w:lang w:val="sk-SK"/>
              </w:rPr>
              <w:t>Štvrtina</w:t>
            </w:r>
          </w:p>
        </w:tc>
        <w:tc>
          <w:tcPr>
            <w:tcW w:w="773" w:type="dxa"/>
            <w:tcBorders>
              <w:top w:val="single" w:sz="4" w:space="0" w:color="auto"/>
              <w:left w:val="nil"/>
              <w:bottom w:val="single" w:sz="4" w:space="0" w:color="auto"/>
              <w:right w:val="single" w:sz="4" w:space="0" w:color="auto"/>
            </w:tcBorders>
            <w:shd w:val="clear" w:color="auto" w:fill="BDD7EE"/>
            <w:vAlign w:val="center"/>
          </w:tcPr>
          <w:p w14:paraId="27952AFC" w14:textId="77777777" w:rsidR="002D49B0" w:rsidRPr="00083739" w:rsidRDefault="00BF4125">
            <w:pPr>
              <w:pStyle w:val="P68B1DB1-Normal7"/>
              <w:spacing w:before="120" w:after="120" w:line="240" w:lineRule="auto"/>
              <w:jc w:val="center"/>
              <w:rPr>
                <w:rFonts w:eastAsia="Times New Roman" w:cs="Times New Roman"/>
                <w:bCs/>
                <w:noProof/>
                <w:szCs w:val="18"/>
                <w:lang w:val="sk-SK"/>
              </w:rPr>
            </w:pPr>
            <w:r w:rsidRPr="00083739">
              <w:rPr>
                <w:rFonts w:cs="Times New Roman"/>
                <w:noProof/>
                <w:lang w:val="sk-SK"/>
              </w:rPr>
              <w:t>Rok</w:t>
            </w:r>
          </w:p>
        </w:tc>
        <w:tc>
          <w:tcPr>
            <w:tcW w:w="3246" w:type="dxa"/>
            <w:vMerge/>
            <w:tcBorders>
              <w:top w:val="single" w:sz="4" w:space="0" w:color="auto"/>
              <w:bottom w:val="single" w:sz="4" w:space="0" w:color="auto"/>
              <w:right w:val="single" w:sz="4" w:space="0" w:color="auto"/>
            </w:tcBorders>
            <w:vAlign w:val="center"/>
          </w:tcPr>
          <w:p w14:paraId="209ECE3B" w14:textId="77777777" w:rsidR="002D49B0" w:rsidRPr="00083739" w:rsidRDefault="002D49B0">
            <w:pPr>
              <w:spacing w:before="120" w:after="120" w:line="240" w:lineRule="auto"/>
              <w:jc w:val="center"/>
              <w:rPr>
                <w:rFonts w:ascii="Times New Roman" w:eastAsia="Times New Roman" w:hAnsi="Times New Roman" w:cs="Times New Roman"/>
                <w:b/>
                <w:bCs/>
                <w:noProof/>
                <w:sz w:val="18"/>
                <w:szCs w:val="18"/>
                <w:lang w:val="sk-SK"/>
              </w:rPr>
            </w:pPr>
          </w:p>
        </w:tc>
      </w:tr>
      <w:tr w:rsidR="002D49B0" w:rsidRPr="00083739" w14:paraId="1B49255A" w14:textId="77777777">
        <w:trPr>
          <w:trHeight w:val="2253"/>
          <w:jc w:val="center"/>
        </w:trPr>
        <w:tc>
          <w:tcPr>
            <w:tcW w:w="1134" w:type="dxa"/>
            <w:tcBorders>
              <w:top w:val="single" w:sz="4" w:space="0" w:color="auto"/>
              <w:left w:val="single" w:sz="4" w:space="0" w:color="auto"/>
              <w:bottom w:val="single" w:sz="4" w:space="0" w:color="auto"/>
              <w:right w:val="single" w:sz="4" w:space="0" w:color="auto"/>
            </w:tcBorders>
            <w:shd w:val="clear" w:color="auto" w:fill="C6EFCE"/>
            <w:noWrap/>
          </w:tcPr>
          <w:p w14:paraId="34178BC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352</w:t>
            </w:r>
          </w:p>
        </w:tc>
        <w:tc>
          <w:tcPr>
            <w:tcW w:w="1861" w:type="dxa"/>
            <w:tcBorders>
              <w:top w:val="single" w:sz="4" w:space="0" w:color="auto"/>
              <w:left w:val="nil"/>
              <w:bottom w:val="single" w:sz="4" w:space="0" w:color="auto"/>
              <w:right w:val="single" w:sz="4" w:space="0" w:color="auto"/>
            </w:tcBorders>
            <w:shd w:val="clear" w:color="auto" w:fill="C6EFCE"/>
            <w:noWrap/>
          </w:tcPr>
          <w:p w14:paraId="065AB052" w14:textId="2A875D4F"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20 – </w:t>
            </w:r>
            <w:r w:rsidRPr="00083739">
              <w:rPr>
                <w:rFonts w:ascii="Times New Roman" w:hAnsi="Times New Roman" w:cs="Times New Roman"/>
                <w:noProof/>
                <w:lang w:val="sk-SK"/>
              </w:rPr>
              <w:t>5.1. Reformy REPowerEU – 16989_Optimizácia využívania pevniny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morského priestoru na rozvoj obnoviteľných zdrojov energie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rozvoja veternej energie na mori</w:t>
            </w:r>
          </w:p>
        </w:tc>
        <w:tc>
          <w:tcPr>
            <w:tcW w:w="1080" w:type="dxa"/>
            <w:tcBorders>
              <w:top w:val="single" w:sz="4" w:space="0" w:color="auto"/>
              <w:left w:val="nil"/>
              <w:bottom w:val="single" w:sz="4" w:space="0" w:color="auto"/>
              <w:right w:val="single" w:sz="4" w:space="0" w:color="auto"/>
            </w:tcBorders>
            <w:shd w:val="clear" w:color="auto" w:fill="C6EFCE"/>
            <w:noWrap/>
          </w:tcPr>
          <w:p w14:paraId="602AF32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278" w:type="dxa"/>
            <w:tcBorders>
              <w:top w:val="single" w:sz="4" w:space="0" w:color="auto"/>
              <w:left w:val="nil"/>
              <w:bottom w:val="single" w:sz="4" w:space="0" w:color="auto"/>
              <w:right w:val="single" w:sz="4" w:space="0" w:color="auto"/>
            </w:tcBorders>
            <w:shd w:val="clear" w:color="auto" w:fill="C6EFCE"/>
            <w:noWrap/>
          </w:tcPr>
          <w:p w14:paraId="6ABEC13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Prijatie stratégie rozvoja veterných fariem na mori (OWF)</w:t>
            </w:r>
          </w:p>
        </w:tc>
        <w:tc>
          <w:tcPr>
            <w:tcW w:w="1305" w:type="dxa"/>
            <w:tcBorders>
              <w:top w:val="single" w:sz="4" w:space="0" w:color="auto"/>
              <w:left w:val="nil"/>
              <w:bottom w:val="single" w:sz="4" w:space="0" w:color="auto"/>
              <w:right w:val="single" w:sz="4" w:space="0" w:color="auto"/>
            </w:tcBorders>
            <w:shd w:val="clear" w:color="auto" w:fill="C6EFCE"/>
            <w:noWrap/>
          </w:tcPr>
          <w:p w14:paraId="330783B8" w14:textId="77777777" w:rsidR="002D49B0" w:rsidRPr="00083739" w:rsidRDefault="00BF4125">
            <w:pPr>
              <w:pStyle w:val="P68B1DB1-Normal9"/>
              <w:spacing w:after="12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Nadobudnutie účinnosti </w:t>
            </w:r>
            <w:r w:rsidRPr="00083739">
              <w:rPr>
                <w:rFonts w:ascii="Times New Roman" w:hAnsi="Times New Roman" w:cs="Times New Roman"/>
                <w:noProof/>
                <w:lang w:val="sk-SK"/>
              </w:rPr>
              <w:t>sekundárnych právnych predpisov</w:t>
            </w:r>
          </w:p>
        </w:tc>
        <w:tc>
          <w:tcPr>
            <w:tcW w:w="1137" w:type="dxa"/>
            <w:tcBorders>
              <w:top w:val="single" w:sz="4" w:space="0" w:color="auto"/>
              <w:left w:val="nil"/>
              <w:bottom w:val="single" w:sz="4" w:space="0" w:color="auto"/>
              <w:right w:val="single" w:sz="4" w:space="0" w:color="auto"/>
            </w:tcBorders>
            <w:shd w:val="clear" w:color="auto" w:fill="C6EFCE"/>
            <w:noWrap/>
          </w:tcPr>
          <w:p w14:paraId="425505C8" w14:textId="77777777" w:rsidR="002D49B0" w:rsidRPr="00083739" w:rsidRDefault="002D49B0">
            <w:pPr>
              <w:spacing w:after="0" w:line="240" w:lineRule="auto"/>
              <w:rPr>
                <w:rFonts w:ascii="Times New Roman" w:eastAsia="Times New Roman" w:hAnsi="Times New Roman" w:cs="Times New Roman"/>
                <w:noProof/>
                <w:sz w:val="18"/>
                <w:szCs w:val="18"/>
                <w:lang w:val="sk-SK"/>
              </w:rPr>
            </w:pPr>
          </w:p>
        </w:tc>
        <w:tc>
          <w:tcPr>
            <w:tcW w:w="960" w:type="dxa"/>
            <w:tcBorders>
              <w:top w:val="nil"/>
              <w:left w:val="nil"/>
              <w:bottom w:val="single" w:sz="4" w:space="0" w:color="auto"/>
              <w:right w:val="single" w:sz="4" w:space="0" w:color="auto"/>
            </w:tcBorders>
            <w:shd w:val="clear" w:color="auto" w:fill="C6EFCE"/>
            <w:noWrap/>
          </w:tcPr>
          <w:p w14:paraId="52CB9EA0" w14:textId="77777777" w:rsidR="002D49B0" w:rsidRPr="00083739" w:rsidRDefault="002D49B0">
            <w:pPr>
              <w:spacing w:after="0" w:line="240" w:lineRule="auto"/>
              <w:rPr>
                <w:rFonts w:ascii="Times New Roman" w:eastAsia="Times New Roman" w:hAnsi="Times New Roman" w:cs="Times New Roman"/>
                <w:noProof/>
                <w:sz w:val="18"/>
                <w:szCs w:val="18"/>
                <w:lang w:val="sk-SK"/>
              </w:rPr>
            </w:pPr>
          </w:p>
        </w:tc>
        <w:tc>
          <w:tcPr>
            <w:tcW w:w="720" w:type="dxa"/>
            <w:tcBorders>
              <w:top w:val="nil"/>
              <w:left w:val="nil"/>
              <w:bottom w:val="single" w:sz="4" w:space="0" w:color="auto"/>
              <w:right w:val="single" w:sz="4" w:space="0" w:color="auto"/>
            </w:tcBorders>
            <w:shd w:val="clear" w:color="auto" w:fill="C6EFCE"/>
            <w:noWrap/>
          </w:tcPr>
          <w:p w14:paraId="68913936" w14:textId="77777777" w:rsidR="002D49B0" w:rsidRPr="00083739" w:rsidRDefault="002D49B0">
            <w:pPr>
              <w:spacing w:after="0" w:line="240" w:lineRule="auto"/>
              <w:rPr>
                <w:rFonts w:ascii="Times New Roman" w:eastAsia="Times New Roman" w:hAnsi="Times New Roman" w:cs="Times New Roman"/>
                <w:noProof/>
                <w:sz w:val="18"/>
                <w:szCs w:val="18"/>
                <w:lang w:val="sk-SK"/>
              </w:rPr>
            </w:pPr>
          </w:p>
        </w:tc>
        <w:tc>
          <w:tcPr>
            <w:tcW w:w="960" w:type="dxa"/>
            <w:tcBorders>
              <w:top w:val="nil"/>
              <w:left w:val="nil"/>
              <w:bottom w:val="single" w:sz="4" w:space="0" w:color="auto"/>
              <w:right w:val="single" w:sz="4" w:space="0" w:color="auto"/>
            </w:tcBorders>
            <w:shd w:val="clear" w:color="auto" w:fill="C6EFCE"/>
            <w:noWrap/>
          </w:tcPr>
          <w:p w14:paraId="264CCBB3" w14:textId="77777777" w:rsidR="002D49B0" w:rsidRPr="00083739" w:rsidRDefault="00BF4125">
            <w:pPr>
              <w:pStyle w:val="P68B1DB1-Normal9"/>
              <w:spacing w:after="12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773" w:type="dxa"/>
            <w:tcBorders>
              <w:top w:val="nil"/>
              <w:left w:val="nil"/>
              <w:bottom w:val="single" w:sz="4" w:space="0" w:color="auto"/>
              <w:right w:val="single" w:sz="4" w:space="0" w:color="auto"/>
            </w:tcBorders>
            <w:shd w:val="clear" w:color="auto" w:fill="C6EFCE"/>
            <w:noWrap/>
          </w:tcPr>
          <w:p w14:paraId="6B2F47E6" w14:textId="13FF4A87" w:rsidR="002D49B0" w:rsidRPr="00083739" w:rsidRDefault="00BF4125">
            <w:pPr>
              <w:pStyle w:val="P68B1DB1-Normal10"/>
              <w:spacing w:after="12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2025</w:t>
            </w:r>
          </w:p>
        </w:tc>
        <w:tc>
          <w:tcPr>
            <w:tcW w:w="3246" w:type="dxa"/>
            <w:tcBorders>
              <w:top w:val="single" w:sz="4" w:space="0" w:color="auto"/>
              <w:left w:val="nil"/>
              <w:bottom w:val="single" w:sz="4" w:space="0" w:color="auto"/>
              <w:right w:val="single" w:sz="4" w:space="0" w:color="auto"/>
            </w:tcBorders>
            <w:shd w:val="clear" w:color="auto" w:fill="C6EFCE"/>
            <w:noWrap/>
          </w:tcPr>
          <w:p w14:paraId="0FE63366" w14:textId="0EBC674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sekundárnych právnych predpisov stanovených</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zákone č. 4964/2022</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veterných parkoch na mori. Predovšetkým:</w:t>
            </w:r>
          </w:p>
          <w:p w14:paraId="0D4E98D0" w14:textId="526A08FB" w:rsidR="002D49B0" w:rsidRPr="00083739" w:rsidRDefault="00BF4125">
            <w:pPr>
              <w:pStyle w:val="P68B1DB1-ListParagraph20"/>
              <w:numPr>
                <w:ilvl w:val="0"/>
                <w:numId w:val="74"/>
              </w:numPr>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spoločného ministerského rozhodnutia, ktorým s</w:t>
            </w:r>
            <w:r w:rsidRPr="00083739">
              <w:rPr>
                <w:rFonts w:ascii="Times New Roman" w:hAnsi="Times New Roman" w:cs="Times New Roman"/>
                <w:noProof/>
                <w:lang w:val="sk-SK"/>
              </w:rPr>
              <w:t>a prijíma národný program rozvoja veterných parkov na mori,</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ktorom sa stanovia morské oblasti</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rámci teritoriálnych vôd Grécka, ktoré sú vhodné pre činnosti súvisiace</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výrobou veternej energie na mori,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ku ktorému sa pripojí strategické posúdenie vply</w:t>
            </w:r>
            <w:r w:rsidRPr="00083739">
              <w:rPr>
                <w:rFonts w:ascii="Times New Roman" w:hAnsi="Times New Roman" w:cs="Times New Roman"/>
                <w:noProof/>
                <w:lang w:val="sk-SK"/>
              </w:rPr>
              <w:t>vu určených oblastí na životné prostredie.</w:t>
            </w:r>
          </w:p>
        </w:tc>
      </w:tr>
      <w:tr w:rsidR="002D49B0" w:rsidRPr="00083739" w14:paraId="0AEE00AE" w14:textId="77777777">
        <w:trPr>
          <w:jc w:val="center"/>
        </w:trPr>
        <w:tc>
          <w:tcPr>
            <w:tcW w:w="1134" w:type="dxa"/>
            <w:tcBorders>
              <w:top w:val="nil"/>
              <w:left w:val="single" w:sz="4" w:space="0" w:color="auto"/>
              <w:bottom w:val="single" w:sz="4" w:space="0" w:color="auto"/>
              <w:right w:val="single" w:sz="4" w:space="0" w:color="auto"/>
            </w:tcBorders>
            <w:shd w:val="clear" w:color="auto" w:fill="C6EFCE"/>
            <w:noWrap/>
          </w:tcPr>
          <w:p w14:paraId="602AB39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353</w:t>
            </w:r>
          </w:p>
        </w:tc>
        <w:tc>
          <w:tcPr>
            <w:tcW w:w="1861" w:type="dxa"/>
            <w:tcBorders>
              <w:top w:val="nil"/>
              <w:left w:val="nil"/>
              <w:bottom w:val="single" w:sz="4" w:space="0" w:color="auto"/>
              <w:right w:val="single" w:sz="4" w:space="0" w:color="auto"/>
            </w:tcBorders>
            <w:shd w:val="clear" w:color="auto" w:fill="C6EFCE"/>
            <w:noWrap/>
          </w:tcPr>
          <w:p w14:paraId="613906D7" w14:textId="72200C6E" w:rsidR="002D49B0" w:rsidRPr="00083739" w:rsidRDefault="00BF4125">
            <w:pPr>
              <w:pStyle w:val="P68B1DB1-Normal9"/>
              <w:spacing w:after="120" w:line="240" w:lineRule="auto"/>
              <w:rPr>
                <w:rFonts w:ascii="Times New Roman" w:hAnsi="Times New Roman" w:cs="Times New Roman"/>
                <w:noProof/>
                <w:sz w:val="24"/>
                <w:szCs w:val="24"/>
                <w:lang w:val="sk-SK"/>
              </w:rPr>
            </w:pPr>
            <w:r w:rsidRPr="00083739">
              <w:rPr>
                <w:rFonts w:ascii="Times New Roman" w:hAnsi="Times New Roman" w:cs="Times New Roman"/>
                <w:noProof/>
                <w:lang w:val="sk-SK"/>
              </w:rPr>
              <w:t>20 – 5.1. Reformy REPowerEU – 16989_Optimizácia využívania pevniny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morského priestoru na rozvoj obnoviteľných zdrojov energie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rozvoja veternej energie na mori</w:t>
            </w:r>
          </w:p>
        </w:tc>
        <w:tc>
          <w:tcPr>
            <w:tcW w:w="1080" w:type="dxa"/>
            <w:tcBorders>
              <w:top w:val="nil"/>
              <w:left w:val="nil"/>
              <w:bottom w:val="single" w:sz="4" w:space="0" w:color="auto"/>
              <w:right w:val="single" w:sz="4" w:space="0" w:color="auto"/>
            </w:tcBorders>
            <w:shd w:val="clear" w:color="auto" w:fill="C6EFCE"/>
            <w:noWrap/>
          </w:tcPr>
          <w:p w14:paraId="63C85586" w14:textId="77777777" w:rsidR="002D49B0" w:rsidRPr="00083739" w:rsidRDefault="00BF4125">
            <w:pPr>
              <w:pStyle w:val="P68B1DB1-Normal9"/>
              <w:spacing w:after="120" w:line="240" w:lineRule="auto"/>
              <w:rPr>
                <w:rFonts w:ascii="Times New Roman" w:hAnsi="Times New Roman" w:cs="Times New Roman"/>
                <w:noProof/>
                <w:sz w:val="24"/>
                <w:lang w:val="sk-SK"/>
              </w:rPr>
            </w:pPr>
            <w:r w:rsidRPr="00083739">
              <w:rPr>
                <w:rFonts w:ascii="Times New Roman" w:hAnsi="Times New Roman" w:cs="Times New Roman"/>
                <w:noProof/>
                <w:lang w:val="sk-SK"/>
              </w:rPr>
              <w:t>Míľnik</w:t>
            </w:r>
          </w:p>
        </w:tc>
        <w:tc>
          <w:tcPr>
            <w:tcW w:w="1278" w:type="dxa"/>
            <w:tcBorders>
              <w:top w:val="nil"/>
              <w:left w:val="nil"/>
              <w:bottom w:val="single" w:sz="4" w:space="0" w:color="auto"/>
              <w:right w:val="single" w:sz="4" w:space="0" w:color="auto"/>
            </w:tcBorders>
            <w:shd w:val="clear" w:color="auto" w:fill="C6EFCE"/>
            <w:noWrap/>
          </w:tcPr>
          <w:p w14:paraId="1785D35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Štúdia na určenie optimálnych oblastí </w:t>
            </w:r>
            <w:r w:rsidRPr="00083739">
              <w:rPr>
                <w:rFonts w:ascii="Times New Roman" w:hAnsi="Times New Roman" w:cs="Times New Roman"/>
                <w:noProof/>
                <w:lang w:val="sk-SK"/>
              </w:rPr>
              <w:t>pre rozvoj OZE a</w:t>
            </w:r>
          </w:p>
          <w:p w14:paraId="04098C66" w14:textId="0BC3C5C4"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politického rámca pre dvojité využívanie pôdy na poľnohospodársku výrobu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výrobu solárnej fotovoltiky</w:t>
            </w:r>
          </w:p>
        </w:tc>
        <w:tc>
          <w:tcPr>
            <w:tcW w:w="1305" w:type="dxa"/>
            <w:tcBorders>
              <w:top w:val="nil"/>
              <w:left w:val="nil"/>
              <w:bottom w:val="single" w:sz="4" w:space="0" w:color="auto"/>
              <w:right w:val="single" w:sz="4" w:space="0" w:color="auto"/>
            </w:tcBorders>
            <w:shd w:val="clear" w:color="auto" w:fill="C6EFCE"/>
            <w:noWrap/>
          </w:tcPr>
          <w:p w14:paraId="7D5BC5B8" w14:textId="77777777" w:rsidR="002D49B0" w:rsidRPr="00083739" w:rsidRDefault="00BF4125">
            <w:pPr>
              <w:pStyle w:val="P68B1DB1-Normal9"/>
              <w:spacing w:after="12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právnych predpisov.</w:t>
            </w:r>
          </w:p>
          <w:p w14:paraId="44BD2B8A" w14:textId="77777777" w:rsidR="002D49B0" w:rsidRPr="00083739" w:rsidRDefault="002D49B0">
            <w:pPr>
              <w:spacing w:after="120" w:line="240" w:lineRule="auto"/>
              <w:rPr>
                <w:rFonts w:ascii="Times New Roman" w:eastAsia="Times New Roman" w:hAnsi="Times New Roman" w:cs="Times New Roman"/>
                <w:noProof/>
                <w:color w:val="006100"/>
                <w:sz w:val="18"/>
                <w:szCs w:val="18"/>
                <w:highlight w:val="yellow"/>
                <w:lang w:val="sk-SK"/>
              </w:rPr>
            </w:pPr>
          </w:p>
        </w:tc>
        <w:tc>
          <w:tcPr>
            <w:tcW w:w="1137" w:type="dxa"/>
            <w:tcBorders>
              <w:top w:val="nil"/>
              <w:left w:val="nil"/>
              <w:bottom w:val="single" w:sz="4" w:space="0" w:color="auto"/>
              <w:right w:val="single" w:sz="4" w:space="0" w:color="auto"/>
            </w:tcBorders>
            <w:shd w:val="clear" w:color="auto" w:fill="C6EFCE"/>
            <w:noWrap/>
          </w:tcPr>
          <w:p w14:paraId="283C252D"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60" w:type="dxa"/>
            <w:tcBorders>
              <w:top w:val="nil"/>
              <w:left w:val="nil"/>
              <w:bottom w:val="single" w:sz="4" w:space="0" w:color="auto"/>
              <w:right w:val="single" w:sz="4" w:space="0" w:color="auto"/>
            </w:tcBorders>
            <w:shd w:val="clear" w:color="auto" w:fill="C6EFCE"/>
            <w:noWrap/>
          </w:tcPr>
          <w:p w14:paraId="266AF33C"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720" w:type="dxa"/>
            <w:tcBorders>
              <w:top w:val="nil"/>
              <w:left w:val="nil"/>
              <w:bottom w:val="single" w:sz="4" w:space="0" w:color="auto"/>
              <w:right w:val="single" w:sz="4" w:space="0" w:color="auto"/>
            </w:tcBorders>
            <w:shd w:val="clear" w:color="auto" w:fill="C6EFCE"/>
            <w:noWrap/>
          </w:tcPr>
          <w:p w14:paraId="70020E00"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60" w:type="dxa"/>
            <w:tcBorders>
              <w:top w:val="nil"/>
              <w:left w:val="nil"/>
              <w:bottom w:val="single" w:sz="4" w:space="0" w:color="auto"/>
              <w:right w:val="single" w:sz="4" w:space="0" w:color="auto"/>
            </w:tcBorders>
            <w:shd w:val="clear" w:color="auto" w:fill="C6EFCE"/>
            <w:noWrap/>
          </w:tcPr>
          <w:p w14:paraId="19E0019A" w14:textId="77777777" w:rsidR="002D49B0" w:rsidRPr="00083739" w:rsidRDefault="00BF4125">
            <w:pPr>
              <w:pStyle w:val="P68B1DB1-Normal9"/>
              <w:spacing w:after="12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773" w:type="dxa"/>
            <w:tcBorders>
              <w:top w:val="nil"/>
              <w:left w:val="nil"/>
              <w:bottom w:val="single" w:sz="4" w:space="0" w:color="auto"/>
              <w:right w:val="single" w:sz="4" w:space="0" w:color="auto"/>
            </w:tcBorders>
            <w:shd w:val="clear" w:color="auto" w:fill="C6EFCE"/>
            <w:noWrap/>
          </w:tcPr>
          <w:p w14:paraId="41AA1E21" w14:textId="77777777" w:rsidR="002D49B0" w:rsidRPr="00083739" w:rsidRDefault="00BF4125">
            <w:pPr>
              <w:pStyle w:val="P68B1DB1-Normal9"/>
              <w:spacing w:after="12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2024</w:t>
            </w:r>
          </w:p>
        </w:tc>
        <w:tc>
          <w:tcPr>
            <w:tcW w:w="3246" w:type="dxa"/>
            <w:tcBorders>
              <w:top w:val="nil"/>
              <w:left w:val="nil"/>
              <w:bottom w:val="single" w:sz="4" w:space="0" w:color="auto"/>
              <w:right w:val="single" w:sz="4" w:space="0" w:color="auto"/>
            </w:tcBorders>
            <w:shd w:val="clear" w:color="auto" w:fill="C6EFCE"/>
            <w:noWrap/>
          </w:tcPr>
          <w:p w14:paraId="686336A6" w14:textId="2A00C3A4" w:rsidR="00083739" w:rsidRPr="00083739" w:rsidRDefault="00BF4125">
            <w:pPr>
              <w:pStyle w:val="P68B1DB1-Normal9"/>
              <w:spacing w:after="120" w:line="240" w:lineRule="auto"/>
              <w:rPr>
                <w:rFonts w:ascii="Times New Roman" w:hAnsi="Times New Roman" w:cs="Times New Roman"/>
                <w:noProof/>
                <w:lang w:val="sk-SK"/>
              </w:rPr>
            </w:pPr>
            <w:r w:rsidRPr="00083739">
              <w:rPr>
                <w:rFonts w:ascii="Times New Roman" w:hAnsi="Times New Roman" w:cs="Times New Roman"/>
                <w:noProof/>
                <w:lang w:val="sk-SK"/>
              </w:rPr>
              <w:t xml:space="preserve">Nadobudnutie účinnosti sekundárnych právnych </w:t>
            </w:r>
            <w:r w:rsidRPr="00083739">
              <w:rPr>
                <w:rFonts w:ascii="Times New Roman" w:hAnsi="Times New Roman" w:cs="Times New Roman"/>
                <w:noProof/>
                <w:lang w:val="sk-SK"/>
              </w:rPr>
              <w:t>predpisov na schválenie štúdie,</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ktorej sa zohľadňuje existujúci potenciál OZE, geografické rozloženie existujúcich jednotiek OZE, ako aj licencie pre budúce jednotky, priestorové obmedzenia, dostupnosť siete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systému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ďalšie faktory súvisiace</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energet</w:t>
            </w:r>
            <w:r w:rsidRPr="00083739">
              <w:rPr>
                <w:rFonts w:ascii="Times New Roman" w:hAnsi="Times New Roman" w:cs="Times New Roman"/>
                <w:noProof/>
                <w:lang w:val="sk-SK"/>
              </w:rPr>
              <w:t>ickými, ako aj vesmírnymi kritériami. Cieľom štúdie je identifikovať optimálne oblasti,</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 xml:space="preserve">ktorých by sa jednotky OZE mali nachádzať, aby sa maximalizoval prínos tak pre odvetvie energetiky, ako aj pre spoločnosť, vrátane odporúčaní týkajúcich sa toho, ako </w:t>
            </w:r>
            <w:r w:rsidRPr="00083739">
              <w:rPr>
                <w:rFonts w:ascii="Times New Roman" w:hAnsi="Times New Roman" w:cs="Times New Roman"/>
                <w:noProof/>
                <w:lang w:val="sk-SK"/>
              </w:rPr>
              <w:t>stimulovať politický rámec</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tejto oblasti.</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štúdii sa určí prvá skupina oblastí, ktoré sa majú použiť na neskoršie vymedzenie oblastí zrýchlenia výroby energie</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obnoviteľných zdrojov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Grécku. Vykoná sa aj strategické environmentálne hodnotenie týchto o</w:t>
            </w:r>
            <w:r w:rsidRPr="00083739">
              <w:rPr>
                <w:rFonts w:ascii="Times New Roman" w:hAnsi="Times New Roman" w:cs="Times New Roman"/>
                <w:noProof/>
                <w:lang w:val="sk-SK"/>
              </w:rPr>
              <w:t>blastí</w:t>
            </w:r>
            <w:r w:rsidR="00083739" w:rsidRPr="00083739">
              <w:rPr>
                <w:rFonts w:ascii="Times New Roman" w:hAnsi="Times New Roman" w:cs="Times New Roman"/>
                <w:noProof/>
                <w:lang w:val="sk-SK"/>
              </w:rPr>
              <w:t>.</w:t>
            </w:r>
          </w:p>
          <w:p w14:paraId="1AC822DC" w14:textId="6054C4C9" w:rsidR="002D49B0" w:rsidRPr="00083739" w:rsidRDefault="00BF4125">
            <w:pPr>
              <w:pStyle w:val="P68B1DB1-Normal9"/>
              <w:spacing w:after="12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právnych predpisov na vytvorenie politického rámca pre dvojité využívanie pôdy na poľnohospodársku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solárnu fotovoltickú výrobu.</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politickom rámci sa určia miesta vhodné na vykonávanie agrofotovoltiky, osobitné akcie na pod</w:t>
            </w:r>
            <w:r w:rsidRPr="00083739">
              <w:rPr>
                <w:rFonts w:ascii="Times New Roman" w:hAnsi="Times New Roman" w:cs="Times New Roman"/>
                <w:noProof/>
                <w:lang w:val="sk-SK"/>
              </w:rPr>
              <w:t>poru agroPV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pravidlá týkajúce sa dvojitého využívania pôdy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vykonávania projektov agroPV.</w:t>
            </w:r>
          </w:p>
        </w:tc>
      </w:tr>
      <w:tr w:rsidR="002D49B0" w:rsidRPr="00083739" w14:paraId="4919A233" w14:textId="77777777">
        <w:trPr>
          <w:jc w:val="center"/>
        </w:trPr>
        <w:tc>
          <w:tcPr>
            <w:tcW w:w="1134" w:type="dxa"/>
            <w:tcBorders>
              <w:top w:val="single" w:sz="4" w:space="0" w:color="auto"/>
              <w:left w:val="single" w:sz="4" w:space="0" w:color="auto"/>
              <w:bottom w:val="single" w:sz="4" w:space="0" w:color="auto"/>
              <w:right w:val="single" w:sz="4" w:space="0" w:color="auto"/>
            </w:tcBorders>
            <w:shd w:val="clear" w:color="auto" w:fill="C6EFCE"/>
            <w:noWrap/>
          </w:tcPr>
          <w:p w14:paraId="679CD3DF" w14:textId="77777777" w:rsidR="002D49B0" w:rsidRPr="00083739" w:rsidRDefault="00BF4125">
            <w:pPr>
              <w:pStyle w:val="P68B1DB1-Normal9"/>
              <w:spacing w:after="0" w:line="240" w:lineRule="auto"/>
              <w:rPr>
                <w:rFonts w:ascii="Times New Roman" w:hAnsi="Times New Roman" w:cs="Times New Roman"/>
                <w:noProof/>
                <w:sz w:val="24"/>
                <w:lang w:val="sk-SK"/>
              </w:rPr>
            </w:pPr>
            <w:r w:rsidRPr="00083739">
              <w:rPr>
                <w:rFonts w:ascii="Times New Roman" w:hAnsi="Times New Roman" w:cs="Times New Roman"/>
                <w:noProof/>
                <w:lang w:val="sk-SK"/>
              </w:rPr>
              <w:t>354</w:t>
            </w:r>
          </w:p>
        </w:tc>
        <w:tc>
          <w:tcPr>
            <w:tcW w:w="1861" w:type="dxa"/>
            <w:tcBorders>
              <w:top w:val="single" w:sz="4" w:space="0" w:color="auto"/>
              <w:left w:val="nil"/>
              <w:bottom w:val="single" w:sz="4" w:space="0" w:color="auto"/>
              <w:right w:val="single" w:sz="4" w:space="0" w:color="auto"/>
            </w:tcBorders>
            <w:shd w:val="clear" w:color="auto" w:fill="C6EFCE"/>
            <w:noWrap/>
          </w:tcPr>
          <w:p w14:paraId="067908DA" w14:textId="0205D1CD" w:rsidR="002D49B0" w:rsidRPr="00083739" w:rsidRDefault="00BF4125">
            <w:pPr>
              <w:pStyle w:val="P68B1DB1-Normal9"/>
              <w:spacing w:after="120" w:line="240" w:lineRule="auto"/>
              <w:rPr>
                <w:rFonts w:ascii="Times New Roman" w:hAnsi="Times New Roman" w:cs="Times New Roman"/>
                <w:noProof/>
                <w:sz w:val="24"/>
                <w:szCs w:val="24"/>
                <w:lang w:val="sk-SK"/>
              </w:rPr>
            </w:pPr>
            <w:r w:rsidRPr="00083739">
              <w:rPr>
                <w:rFonts w:ascii="Times New Roman" w:hAnsi="Times New Roman" w:cs="Times New Roman"/>
                <w:noProof/>
                <w:lang w:val="sk-SK"/>
              </w:rPr>
              <w:t>20 – 5.1. Reformy REPowerEU – 16989_Optimizácia využívania pevniny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morského priestoru na rozvoj obnoviteľných zdrojov energie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rozvoja veternej energie na </w:t>
            </w:r>
            <w:r w:rsidRPr="00083739">
              <w:rPr>
                <w:rFonts w:ascii="Times New Roman" w:hAnsi="Times New Roman" w:cs="Times New Roman"/>
                <w:noProof/>
                <w:lang w:val="sk-SK"/>
              </w:rPr>
              <w:t>mori</w:t>
            </w:r>
          </w:p>
        </w:tc>
        <w:tc>
          <w:tcPr>
            <w:tcW w:w="1080" w:type="dxa"/>
            <w:tcBorders>
              <w:top w:val="single" w:sz="4" w:space="0" w:color="auto"/>
              <w:left w:val="nil"/>
              <w:bottom w:val="single" w:sz="4" w:space="0" w:color="auto"/>
              <w:right w:val="single" w:sz="4" w:space="0" w:color="auto"/>
            </w:tcBorders>
            <w:shd w:val="clear" w:color="auto" w:fill="C6EFCE"/>
            <w:noWrap/>
          </w:tcPr>
          <w:p w14:paraId="6C5549D1" w14:textId="77777777" w:rsidR="002D49B0" w:rsidRPr="00083739" w:rsidRDefault="00BF4125">
            <w:pPr>
              <w:pStyle w:val="P68B1DB1-Normal9"/>
              <w:spacing w:after="120" w:line="240" w:lineRule="auto"/>
              <w:rPr>
                <w:rFonts w:ascii="Times New Roman" w:hAnsi="Times New Roman" w:cs="Times New Roman"/>
                <w:noProof/>
                <w:sz w:val="24"/>
                <w:lang w:val="sk-SK"/>
              </w:rPr>
            </w:pPr>
            <w:r w:rsidRPr="00083739">
              <w:rPr>
                <w:rFonts w:ascii="Times New Roman" w:hAnsi="Times New Roman" w:cs="Times New Roman"/>
                <w:noProof/>
                <w:lang w:val="sk-SK"/>
              </w:rPr>
              <w:t>Míľnik</w:t>
            </w:r>
          </w:p>
        </w:tc>
        <w:tc>
          <w:tcPr>
            <w:tcW w:w="1278" w:type="dxa"/>
            <w:tcBorders>
              <w:top w:val="single" w:sz="4" w:space="0" w:color="auto"/>
              <w:left w:val="nil"/>
              <w:bottom w:val="single" w:sz="4" w:space="0" w:color="auto"/>
              <w:right w:val="single" w:sz="4" w:space="0" w:color="auto"/>
            </w:tcBorders>
            <w:shd w:val="clear" w:color="auto" w:fill="C6EFCE"/>
            <w:noWrap/>
          </w:tcPr>
          <w:p w14:paraId="1EFDC0BA" w14:textId="156F0D6C" w:rsidR="002D49B0" w:rsidRPr="00083739" w:rsidRDefault="00BF4125">
            <w:pPr>
              <w:pStyle w:val="P68B1DB1-Normal9"/>
              <w:spacing w:after="12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prezidentského dekrétu</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určení prvej skupiny oblastí pre projekty veternej energie na mori</w:t>
            </w:r>
          </w:p>
        </w:tc>
        <w:tc>
          <w:tcPr>
            <w:tcW w:w="1305" w:type="dxa"/>
            <w:tcBorders>
              <w:top w:val="single" w:sz="4" w:space="0" w:color="auto"/>
              <w:left w:val="nil"/>
              <w:bottom w:val="single" w:sz="4" w:space="0" w:color="auto"/>
              <w:right w:val="single" w:sz="4" w:space="0" w:color="auto"/>
            </w:tcBorders>
            <w:shd w:val="clear" w:color="auto" w:fill="C6EFCE"/>
            <w:noWrap/>
          </w:tcPr>
          <w:p w14:paraId="07D76555" w14:textId="3B194693" w:rsidR="002D49B0" w:rsidRPr="00083739" w:rsidRDefault="00BF4125">
            <w:pPr>
              <w:pStyle w:val="P68B1DB1-Normal9"/>
              <w:spacing w:after="120" w:line="240" w:lineRule="auto"/>
              <w:rPr>
                <w:rFonts w:ascii="Times New Roman" w:hAnsi="Times New Roman" w:cs="Times New Roman"/>
                <w:noProof/>
                <w:sz w:val="24"/>
                <w:lang w:val="sk-SK"/>
              </w:rPr>
            </w:pPr>
            <w:r w:rsidRPr="00083739">
              <w:rPr>
                <w:rFonts w:ascii="Times New Roman" w:hAnsi="Times New Roman" w:cs="Times New Roman"/>
                <w:noProof/>
                <w:lang w:val="sk-SK"/>
              </w:rPr>
              <w:t>Prijatie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nadobudnutie účinnosti prezidentského dekrétu</w:t>
            </w:r>
          </w:p>
        </w:tc>
        <w:tc>
          <w:tcPr>
            <w:tcW w:w="1137" w:type="dxa"/>
            <w:tcBorders>
              <w:top w:val="single" w:sz="4" w:space="0" w:color="auto"/>
              <w:left w:val="nil"/>
              <w:bottom w:val="single" w:sz="4" w:space="0" w:color="auto"/>
              <w:right w:val="single" w:sz="4" w:space="0" w:color="auto"/>
            </w:tcBorders>
            <w:shd w:val="clear" w:color="auto" w:fill="C6EFCE"/>
            <w:noWrap/>
          </w:tcPr>
          <w:p w14:paraId="6D572579" w14:textId="77777777" w:rsidR="002D49B0" w:rsidRPr="00083739" w:rsidRDefault="002D49B0">
            <w:pPr>
              <w:spacing w:after="120" w:line="240" w:lineRule="auto"/>
              <w:rPr>
                <w:rFonts w:ascii="Times New Roman" w:hAnsi="Times New Roman" w:cs="Times New Roman"/>
                <w:noProof/>
                <w:sz w:val="24"/>
                <w:lang w:val="sk-SK"/>
              </w:rPr>
            </w:pPr>
          </w:p>
        </w:tc>
        <w:tc>
          <w:tcPr>
            <w:tcW w:w="960" w:type="dxa"/>
            <w:tcBorders>
              <w:top w:val="single" w:sz="4" w:space="0" w:color="auto"/>
              <w:left w:val="nil"/>
              <w:bottom w:val="single" w:sz="4" w:space="0" w:color="auto"/>
              <w:right w:val="single" w:sz="4" w:space="0" w:color="auto"/>
            </w:tcBorders>
            <w:shd w:val="clear" w:color="auto" w:fill="C6EFCE"/>
            <w:noWrap/>
          </w:tcPr>
          <w:p w14:paraId="43458A9E" w14:textId="77777777" w:rsidR="002D49B0" w:rsidRPr="00083739" w:rsidRDefault="002D49B0">
            <w:pPr>
              <w:spacing w:after="120" w:line="240" w:lineRule="auto"/>
              <w:rPr>
                <w:rFonts w:ascii="Times New Roman" w:hAnsi="Times New Roman" w:cs="Times New Roman"/>
                <w:noProof/>
                <w:sz w:val="24"/>
                <w:lang w:val="sk-SK"/>
              </w:rPr>
            </w:pPr>
          </w:p>
        </w:tc>
        <w:tc>
          <w:tcPr>
            <w:tcW w:w="720" w:type="dxa"/>
            <w:tcBorders>
              <w:top w:val="single" w:sz="4" w:space="0" w:color="auto"/>
              <w:left w:val="nil"/>
              <w:bottom w:val="single" w:sz="4" w:space="0" w:color="auto"/>
              <w:right w:val="single" w:sz="4" w:space="0" w:color="auto"/>
            </w:tcBorders>
            <w:shd w:val="clear" w:color="auto" w:fill="C6EFCE"/>
            <w:noWrap/>
          </w:tcPr>
          <w:p w14:paraId="5DE3AC62" w14:textId="77777777" w:rsidR="002D49B0" w:rsidRPr="00083739" w:rsidRDefault="002D49B0">
            <w:pPr>
              <w:spacing w:after="120" w:line="240" w:lineRule="auto"/>
              <w:rPr>
                <w:rFonts w:ascii="Times New Roman" w:hAnsi="Times New Roman" w:cs="Times New Roman"/>
                <w:noProof/>
                <w:sz w:val="24"/>
                <w:lang w:val="sk-SK"/>
              </w:rPr>
            </w:pPr>
          </w:p>
        </w:tc>
        <w:tc>
          <w:tcPr>
            <w:tcW w:w="960" w:type="dxa"/>
            <w:tcBorders>
              <w:top w:val="single" w:sz="4" w:space="0" w:color="auto"/>
              <w:left w:val="nil"/>
              <w:bottom w:val="single" w:sz="4" w:space="0" w:color="auto"/>
              <w:right w:val="single" w:sz="4" w:space="0" w:color="auto"/>
            </w:tcBorders>
            <w:shd w:val="clear" w:color="auto" w:fill="C6EFCE"/>
            <w:noWrap/>
          </w:tcPr>
          <w:p w14:paraId="02591568" w14:textId="77777777" w:rsidR="002D49B0" w:rsidRPr="00083739" w:rsidRDefault="00BF4125">
            <w:pPr>
              <w:pStyle w:val="P68B1DB1-Normal9"/>
              <w:spacing w:after="12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773" w:type="dxa"/>
            <w:tcBorders>
              <w:top w:val="single" w:sz="4" w:space="0" w:color="auto"/>
              <w:left w:val="nil"/>
              <w:bottom w:val="single" w:sz="4" w:space="0" w:color="auto"/>
              <w:right w:val="single" w:sz="4" w:space="0" w:color="auto"/>
            </w:tcBorders>
            <w:shd w:val="clear" w:color="auto" w:fill="C6EFCE"/>
            <w:noWrap/>
          </w:tcPr>
          <w:p w14:paraId="2E96D62D" w14:textId="77777777" w:rsidR="002D49B0" w:rsidRPr="00083739" w:rsidRDefault="00BF4125">
            <w:pPr>
              <w:pStyle w:val="P68B1DB1-Normal9"/>
              <w:spacing w:after="12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3246" w:type="dxa"/>
            <w:tcBorders>
              <w:top w:val="single" w:sz="4" w:space="0" w:color="auto"/>
              <w:left w:val="nil"/>
              <w:bottom w:val="single" w:sz="4" w:space="0" w:color="auto"/>
              <w:right w:val="single" w:sz="4" w:space="0" w:color="auto"/>
            </w:tcBorders>
            <w:shd w:val="clear" w:color="auto" w:fill="C6EFCE"/>
            <w:noWrap/>
          </w:tcPr>
          <w:p w14:paraId="74CC70FF" w14:textId="6E012B71"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Nadobudnutie účinnosti prezidentského dekrétu, </w:t>
            </w:r>
            <w:r w:rsidRPr="00083739">
              <w:rPr>
                <w:rFonts w:ascii="Times New Roman" w:hAnsi="Times New Roman" w:cs="Times New Roman"/>
                <w:noProof/>
                <w:lang w:val="sk-SK"/>
              </w:rPr>
              <w:t>ktorým sa určí prvá skupina oblastí pre projekty veternej energie na mori, ako sa stanovuje</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zákone č. 4964/2022</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ustanoveniach týkajúcich sa zjednodušenia udeľovania environmentálnych licencií, ktorým sa stanovuje rámec pre rozvoj veterných parkov na mo</w:t>
            </w:r>
            <w:r w:rsidRPr="00083739">
              <w:rPr>
                <w:rFonts w:ascii="Times New Roman" w:hAnsi="Times New Roman" w:cs="Times New Roman"/>
                <w:noProof/>
                <w:lang w:val="sk-SK"/>
              </w:rPr>
              <w:t>ri, ktoré riešia energetickú krízu, ochranu životného prostredia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ďalšie ustanovenia (Ú. v. EÚ A 150, 30.7.2022).</w:t>
            </w:r>
          </w:p>
          <w:p w14:paraId="6217E0D8" w14:textId="77777777" w:rsidR="002D49B0" w:rsidRPr="00083739" w:rsidRDefault="002D49B0">
            <w:pPr>
              <w:spacing w:after="120" w:line="240" w:lineRule="auto"/>
              <w:rPr>
                <w:rFonts w:ascii="Times New Roman" w:eastAsia="Times New Roman" w:hAnsi="Times New Roman" w:cs="Times New Roman"/>
                <w:noProof/>
                <w:color w:val="006100"/>
                <w:sz w:val="18"/>
                <w:szCs w:val="18"/>
                <w:lang w:val="sk-SK"/>
              </w:rPr>
            </w:pPr>
          </w:p>
        </w:tc>
      </w:tr>
    </w:tbl>
    <w:p w14:paraId="77704F4C" w14:textId="77777777" w:rsidR="002D49B0" w:rsidRPr="00083739" w:rsidRDefault="002D49B0">
      <w:pPr>
        <w:keepNext/>
        <w:keepLines/>
        <w:spacing w:before="240" w:after="0" w:line="240" w:lineRule="auto"/>
        <w:jc w:val="both"/>
        <w:outlineLvl w:val="4"/>
        <w:rPr>
          <w:rFonts w:ascii="Times New Roman" w:eastAsia="Times New Roman" w:hAnsi="Times New Roman" w:cs="Times New Roman"/>
          <w:noProof/>
          <w:color w:val="365F91"/>
          <w:sz w:val="24"/>
          <w:lang w:val="sk-SK"/>
        </w:rPr>
      </w:pPr>
    </w:p>
    <w:p w14:paraId="2A9F0F78" w14:textId="2CAE4179" w:rsidR="002D49B0" w:rsidRPr="00083739" w:rsidRDefault="00BF4125">
      <w:pPr>
        <w:pStyle w:val="P68B1DB1-Normal6"/>
        <w:keepNext/>
        <w:keepLines/>
        <w:spacing w:before="240" w:after="0" w:line="240" w:lineRule="auto"/>
        <w:jc w:val="both"/>
        <w:outlineLvl w:val="4"/>
        <w:rPr>
          <w:rFonts w:ascii="Times New Roman" w:hAnsi="Times New Roman" w:cs="Times New Roman"/>
          <w:noProof/>
          <w:color w:val="365F91" w:themeColor="accent1" w:themeShade="BF"/>
          <w:lang w:val="sk-SK"/>
        </w:rPr>
      </w:pPr>
      <w:r w:rsidRPr="00083739">
        <w:rPr>
          <w:rFonts w:ascii="Times New Roman" w:hAnsi="Times New Roman" w:cs="Times New Roman"/>
          <w:noProof/>
          <w:lang w:val="sk-SK"/>
        </w:rPr>
        <w:t>Reforma 3: Regulačný rámec</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rámec fungovania trhu pre technológie zachytávania, využívania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ukladania oxidu uhličitého na podporu </w:t>
      </w:r>
      <w:r w:rsidRPr="00083739">
        <w:rPr>
          <w:rFonts w:ascii="Times New Roman" w:hAnsi="Times New Roman" w:cs="Times New Roman"/>
          <w:noProof/>
          <w:lang w:val="sk-SK"/>
        </w:rPr>
        <w:t>dekarbonizácie priemyslu (ID opatrenia: 16988)</w:t>
      </w:r>
    </w:p>
    <w:p w14:paraId="332147FC" w14:textId="77777777" w:rsidR="002D49B0" w:rsidRPr="00083739" w:rsidRDefault="002D49B0">
      <w:pPr>
        <w:keepNext/>
        <w:keepLines/>
        <w:spacing w:before="240" w:after="0" w:line="240" w:lineRule="auto"/>
        <w:jc w:val="both"/>
        <w:outlineLvl w:val="4"/>
        <w:rPr>
          <w:rFonts w:ascii="Times New Roman" w:eastAsia="Times New Roman" w:hAnsi="Times New Roman" w:cs="Times New Roman"/>
          <w:noProof/>
          <w:color w:val="365F91" w:themeColor="accent1" w:themeShade="BF"/>
          <w:sz w:val="24"/>
          <w:szCs w:val="24"/>
          <w:lang w:val="sk-SK"/>
        </w:rPr>
      </w:pPr>
    </w:p>
    <w:tbl>
      <w:tblPr>
        <w:tblpPr w:leftFromText="181" w:rightFromText="181" w:vertAnchor="text" w:tblpY="1"/>
        <w:tblOverlap w:val="never"/>
        <w:tblW w:w="14737" w:type="dxa"/>
        <w:tblLayout w:type="fixed"/>
        <w:tblLook w:val="04A0" w:firstRow="1" w:lastRow="0" w:firstColumn="1" w:lastColumn="0" w:noHBand="0" w:noVBand="1"/>
      </w:tblPr>
      <w:tblGrid>
        <w:gridCol w:w="1134"/>
        <w:gridCol w:w="2078"/>
        <w:gridCol w:w="1007"/>
        <w:gridCol w:w="1134"/>
        <w:gridCol w:w="1744"/>
        <w:gridCol w:w="920"/>
        <w:gridCol w:w="24"/>
        <w:gridCol w:w="659"/>
        <w:gridCol w:w="666"/>
        <w:gridCol w:w="921"/>
        <w:gridCol w:w="10"/>
        <w:gridCol w:w="911"/>
        <w:gridCol w:w="3529"/>
      </w:tblGrid>
      <w:tr w:rsidR="002D49B0" w:rsidRPr="00083739" w14:paraId="5CBF4753" w14:textId="77777777">
        <w:trPr>
          <w:trHeight w:val="694"/>
          <w:tblHeader/>
        </w:trPr>
        <w:tc>
          <w:tcPr>
            <w:tcW w:w="113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ED35CC6" w14:textId="77777777" w:rsidR="002D49B0" w:rsidRPr="00083739" w:rsidRDefault="00BF4125">
            <w:pPr>
              <w:pStyle w:val="P68B1DB1-Normal7"/>
              <w:spacing w:before="120" w:after="120" w:line="240" w:lineRule="auto"/>
              <w:jc w:val="center"/>
              <w:rPr>
                <w:rFonts w:cs="Times New Roman"/>
                <w:noProof/>
                <w:lang w:val="sk-SK"/>
              </w:rPr>
            </w:pPr>
            <w:r w:rsidRPr="00083739">
              <w:rPr>
                <w:rFonts w:cs="Times New Roman"/>
                <w:noProof/>
                <w:lang w:val="sk-SK"/>
              </w:rPr>
              <w:t>Sekvenčný N</w:t>
            </w:r>
          </w:p>
          <w:p w14:paraId="2D9AE3AF" w14:textId="77777777" w:rsidR="002D49B0" w:rsidRPr="00083739" w:rsidRDefault="00BF4125">
            <w:pPr>
              <w:pStyle w:val="P68B1DB1-Normal7"/>
              <w:spacing w:before="120" w:after="120" w:line="240" w:lineRule="auto"/>
              <w:jc w:val="center"/>
              <w:rPr>
                <w:rFonts w:cs="Times New Roman"/>
                <w:noProof/>
                <w:sz w:val="24"/>
                <w:lang w:val="sk-SK"/>
              </w:rPr>
            </w:pPr>
            <w:r w:rsidRPr="00083739">
              <w:rPr>
                <w:rFonts w:cs="Times New Roman"/>
                <w:noProof/>
                <w:lang w:val="sk-SK"/>
              </w:rPr>
              <w:t>oranžová</w:t>
            </w:r>
          </w:p>
        </w:tc>
        <w:tc>
          <w:tcPr>
            <w:tcW w:w="2078" w:type="dxa"/>
            <w:vMerge w:val="restart"/>
            <w:tcBorders>
              <w:top w:val="single" w:sz="4" w:space="0" w:color="auto"/>
              <w:left w:val="single" w:sz="4" w:space="0" w:color="auto"/>
              <w:right w:val="single" w:sz="4" w:space="0" w:color="auto"/>
            </w:tcBorders>
            <w:shd w:val="clear" w:color="auto" w:fill="BDD7EE"/>
            <w:vAlign w:val="center"/>
            <w:hideMark/>
          </w:tcPr>
          <w:p w14:paraId="2A1D7C8E" w14:textId="77777777" w:rsidR="002D49B0" w:rsidRPr="00083739" w:rsidRDefault="00BF4125">
            <w:pPr>
              <w:pStyle w:val="P68B1DB1-Normal7"/>
              <w:spacing w:before="120" w:after="120" w:line="240" w:lineRule="auto"/>
              <w:jc w:val="center"/>
              <w:rPr>
                <w:rFonts w:cs="Times New Roman"/>
                <w:noProof/>
                <w:sz w:val="24"/>
                <w:lang w:val="sk-SK"/>
              </w:rPr>
            </w:pPr>
            <w:r w:rsidRPr="00083739">
              <w:rPr>
                <w:rFonts w:cs="Times New Roman"/>
                <w:noProof/>
                <w:lang w:val="sk-SK"/>
              </w:rPr>
              <w:t>Súvisiace opatrenie (reforma alebo investícia)</w:t>
            </w:r>
          </w:p>
        </w:tc>
        <w:tc>
          <w:tcPr>
            <w:tcW w:w="1007" w:type="dxa"/>
            <w:vMerge w:val="restart"/>
            <w:tcBorders>
              <w:top w:val="single" w:sz="4" w:space="0" w:color="auto"/>
              <w:left w:val="single" w:sz="4" w:space="0" w:color="auto"/>
              <w:right w:val="single" w:sz="4" w:space="0" w:color="auto"/>
            </w:tcBorders>
            <w:shd w:val="clear" w:color="auto" w:fill="BDD7EE"/>
            <w:vAlign w:val="center"/>
            <w:hideMark/>
          </w:tcPr>
          <w:p w14:paraId="48400E1B" w14:textId="77777777" w:rsidR="002D49B0" w:rsidRPr="00083739" w:rsidRDefault="00BF4125">
            <w:pPr>
              <w:pStyle w:val="P68B1DB1-Normal7"/>
              <w:spacing w:before="120" w:after="120" w:line="240" w:lineRule="auto"/>
              <w:jc w:val="center"/>
              <w:rPr>
                <w:rFonts w:cs="Times New Roman"/>
                <w:noProof/>
                <w:sz w:val="24"/>
                <w:lang w:val="sk-SK"/>
              </w:rPr>
            </w:pPr>
            <w:r w:rsidRPr="00083739">
              <w:rPr>
                <w:rFonts w:cs="Times New Roman"/>
                <w:noProof/>
                <w:lang w:val="sk-SK"/>
              </w:rPr>
              <w:t>Míľnik/cieľ</w:t>
            </w:r>
          </w:p>
        </w:tc>
        <w:tc>
          <w:tcPr>
            <w:tcW w:w="1134" w:type="dxa"/>
            <w:vMerge w:val="restart"/>
            <w:tcBorders>
              <w:top w:val="single" w:sz="4" w:space="0" w:color="auto"/>
              <w:left w:val="nil"/>
              <w:right w:val="single" w:sz="4" w:space="0" w:color="auto"/>
            </w:tcBorders>
            <w:shd w:val="clear" w:color="auto" w:fill="BDD7EE"/>
            <w:vAlign w:val="center"/>
            <w:hideMark/>
          </w:tcPr>
          <w:p w14:paraId="5C69F654" w14:textId="77777777" w:rsidR="002D49B0" w:rsidRPr="00083739" w:rsidRDefault="00BF4125">
            <w:pPr>
              <w:pStyle w:val="P68B1DB1-Normal7"/>
              <w:spacing w:before="120" w:after="120" w:line="240" w:lineRule="auto"/>
              <w:jc w:val="center"/>
              <w:rPr>
                <w:rFonts w:cs="Times New Roman"/>
                <w:noProof/>
                <w:sz w:val="24"/>
                <w:lang w:val="sk-SK"/>
              </w:rPr>
            </w:pPr>
            <w:r w:rsidRPr="00083739">
              <w:rPr>
                <w:rFonts w:cs="Times New Roman"/>
                <w:noProof/>
                <w:lang w:val="sk-SK"/>
              </w:rPr>
              <w:t>Názov</w:t>
            </w:r>
          </w:p>
        </w:tc>
        <w:tc>
          <w:tcPr>
            <w:tcW w:w="1744" w:type="dxa"/>
            <w:vMerge w:val="restart"/>
            <w:tcBorders>
              <w:top w:val="single" w:sz="4" w:space="0" w:color="auto"/>
              <w:left w:val="single" w:sz="4" w:space="0" w:color="auto"/>
              <w:right w:val="single" w:sz="4" w:space="0" w:color="auto"/>
            </w:tcBorders>
            <w:shd w:val="clear" w:color="auto" w:fill="BDD7EE"/>
            <w:vAlign w:val="center"/>
            <w:hideMark/>
          </w:tcPr>
          <w:p w14:paraId="681BCA28" w14:textId="77777777" w:rsidR="002D49B0" w:rsidRPr="00083739" w:rsidRDefault="00BF4125">
            <w:pPr>
              <w:pStyle w:val="P68B1DB1-Normal7"/>
              <w:spacing w:before="120" w:after="120" w:line="240" w:lineRule="auto"/>
              <w:jc w:val="center"/>
              <w:rPr>
                <w:rFonts w:cs="Times New Roman"/>
                <w:noProof/>
                <w:sz w:val="24"/>
                <w:lang w:val="sk-SK"/>
              </w:rPr>
            </w:pPr>
            <w:r w:rsidRPr="00083739">
              <w:rPr>
                <w:rFonts w:cs="Times New Roman"/>
                <w:noProof/>
                <w:lang w:val="sk-SK"/>
              </w:rPr>
              <w:t>Kvalitatívne ukazovatele (pre míľniky)</w:t>
            </w:r>
          </w:p>
        </w:tc>
        <w:tc>
          <w:tcPr>
            <w:tcW w:w="2269" w:type="dxa"/>
            <w:gridSpan w:val="4"/>
            <w:tcBorders>
              <w:top w:val="single" w:sz="4" w:space="0" w:color="auto"/>
              <w:left w:val="nil"/>
              <w:bottom w:val="single" w:sz="4" w:space="0" w:color="auto"/>
              <w:right w:val="single" w:sz="4" w:space="0" w:color="auto"/>
            </w:tcBorders>
            <w:shd w:val="clear" w:color="auto" w:fill="BDD7EE"/>
            <w:vAlign w:val="center"/>
            <w:hideMark/>
          </w:tcPr>
          <w:p w14:paraId="0D2751FA" w14:textId="77777777" w:rsidR="002D49B0" w:rsidRPr="00083739" w:rsidRDefault="00BF4125">
            <w:pPr>
              <w:pStyle w:val="P68B1DB1-Normal7"/>
              <w:spacing w:before="120" w:after="120" w:line="240" w:lineRule="auto"/>
              <w:jc w:val="center"/>
              <w:rPr>
                <w:rFonts w:cs="Times New Roman"/>
                <w:noProof/>
                <w:sz w:val="24"/>
                <w:lang w:val="sk-SK"/>
              </w:rPr>
            </w:pPr>
            <w:r w:rsidRPr="00083739">
              <w:rPr>
                <w:rFonts w:cs="Times New Roman"/>
                <w:noProof/>
                <w:lang w:val="sk-SK"/>
              </w:rPr>
              <w:t>Kvantitatívne ukazovatele (pre ciele)</w:t>
            </w:r>
          </w:p>
        </w:tc>
        <w:tc>
          <w:tcPr>
            <w:tcW w:w="1842" w:type="dxa"/>
            <w:gridSpan w:val="3"/>
            <w:tcBorders>
              <w:top w:val="single" w:sz="4" w:space="0" w:color="auto"/>
              <w:left w:val="nil"/>
              <w:bottom w:val="single" w:sz="4" w:space="0" w:color="auto"/>
              <w:right w:val="single" w:sz="4" w:space="0" w:color="auto"/>
            </w:tcBorders>
            <w:shd w:val="clear" w:color="auto" w:fill="BDD7EE"/>
            <w:vAlign w:val="center"/>
            <w:hideMark/>
          </w:tcPr>
          <w:p w14:paraId="38809772" w14:textId="77777777" w:rsidR="002D49B0" w:rsidRPr="00083739" w:rsidRDefault="00BF4125">
            <w:pPr>
              <w:pStyle w:val="P68B1DB1-Normal7"/>
              <w:spacing w:before="120" w:after="120" w:line="240" w:lineRule="auto"/>
              <w:jc w:val="center"/>
              <w:rPr>
                <w:rFonts w:cs="Times New Roman"/>
                <w:noProof/>
                <w:sz w:val="24"/>
                <w:lang w:val="sk-SK"/>
              </w:rPr>
            </w:pPr>
            <w:r w:rsidRPr="00083739">
              <w:rPr>
                <w:rFonts w:cs="Times New Roman"/>
                <w:noProof/>
                <w:lang w:val="sk-SK"/>
              </w:rPr>
              <w:t>Orientačný harmonogram dokončenia</w:t>
            </w:r>
          </w:p>
        </w:tc>
        <w:tc>
          <w:tcPr>
            <w:tcW w:w="352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83ED006" w14:textId="464C2080" w:rsidR="002D49B0" w:rsidRPr="00083739" w:rsidRDefault="00BF4125">
            <w:pPr>
              <w:pStyle w:val="P68B1DB1-Normal7"/>
              <w:spacing w:before="120" w:after="120" w:line="240" w:lineRule="auto"/>
              <w:jc w:val="center"/>
              <w:rPr>
                <w:rFonts w:cs="Times New Roman"/>
                <w:noProof/>
                <w:sz w:val="24"/>
                <w:lang w:val="sk-SK"/>
              </w:rPr>
            </w:pPr>
            <w:r w:rsidRPr="00083739">
              <w:rPr>
                <w:rFonts w:cs="Times New Roman"/>
                <w:noProof/>
                <w:lang w:val="sk-SK"/>
              </w:rPr>
              <w:t xml:space="preserve">Opis </w:t>
            </w:r>
            <w:r w:rsidRPr="00083739">
              <w:rPr>
                <w:rFonts w:cs="Times New Roman"/>
                <w:noProof/>
                <w:lang w:val="sk-SK"/>
              </w:rPr>
              <w:t>každého míľnika</w:t>
            </w:r>
            <w:r w:rsidR="00083739" w:rsidRPr="00083739">
              <w:rPr>
                <w:rFonts w:cs="Times New Roman"/>
                <w:noProof/>
                <w:lang w:val="sk-SK"/>
              </w:rPr>
              <w:t xml:space="preserve"> a </w:t>
            </w:r>
            <w:r w:rsidRPr="00083739">
              <w:rPr>
                <w:rFonts w:cs="Times New Roman"/>
                <w:noProof/>
                <w:lang w:val="sk-SK"/>
              </w:rPr>
              <w:t>cieľa</w:t>
            </w:r>
          </w:p>
        </w:tc>
      </w:tr>
      <w:tr w:rsidR="002D49B0" w:rsidRPr="00083739" w14:paraId="679C297F" w14:textId="77777777">
        <w:trPr>
          <w:trHeight w:val="413"/>
          <w:tblHeader/>
        </w:trPr>
        <w:tc>
          <w:tcPr>
            <w:tcW w:w="1134" w:type="dxa"/>
            <w:vMerge/>
            <w:tcBorders>
              <w:top w:val="single" w:sz="4" w:space="0" w:color="auto"/>
              <w:left w:val="single" w:sz="4" w:space="0" w:color="auto"/>
              <w:bottom w:val="single" w:sz="4" w:space="0" w:color="auto"/>
            </w:tcBorders>
            <w:vAlign w:val="center"/>
          </w:tcPr>
          <w:p w14:paraId="3120307E" w14:textId="77777777" w:rsidR="002D49B0" w:rsidRPr="00083739" w:rsidRDefault="002D49B0">
            <w:pPr>
              <w:spacing w:before="120" w:after="120" w:line="240" w:lineRule="auto"/>
              <w:jc w:val="center"/>
              <w:rPr>
                <w:rFonts w:ascii="Times New Roman" w:eastAsia="Times New Roman" w:hAnsi="Times New Roman" w:cs="Times New Roman"/>
                <w:b/>
                <w:bCs/>
                <w:noProof/>
                <w:sz w:val="18"/>
                <w:szCs w:val="18"/>
                <w:lang w:val="sk-SK"/>
              </w:rPr>
            </w:pPr>
          </w:p>
        </w:tc>
        <w:tc>
          <w:tcPr>
            <w:tcW w:w="2078" w:type="dxa"/>
            <w:vMerge/>
            <w:tcBorders>
              <w:left w:val="single" w:sz="4" w:space="0" w:color="auto"/>
              <w:bottom w:val="single" w:sz="4" w:space="0" w:color="auto"/>
              <w:right w:val="single" w:sz="4" w:space="0" w:color="auto"/>
            </w:tcBorders>
            <w:shd w:val="clear" w:color="auto" w:fill="BDD7EE"/>
            <w:vAlign w:val="center"/>
          </w:tcPr>
          <w:p w14:paraId="3AF1167C" w14:textId="77777777" w:rsidR="002D49B0" w:rsidRPr="00083739" w:rsidRDefault="002D49B0">
            <w:pPr>
              <w:spacing w:before="120" w:after="120" w:line="240" w:lineRule="auto"/>
              <w:jc w:val="center"/>
              <w:rPr>
                <w:rFonts w:ascii="Times New Roman" w:eastAsia="Times New Roman" w:hAnsi="Times New Roman" w:cs="Times New Roman"/>
                <w:b/>
                <w:bCs/>
                <w:noProof/>
                <w:sz w:val="18"/>
                <w:szCs w:val="18"/>
                <w:lang w:val="sk-SK"/>
              </w:rPr>
            </w:pPr>
          </w:p>
        </w:tc>
        <w:tc>
          <w:tcPr>
            <w:tcW w:w="1007" w:type="dxa"/>
            <w:vMerge/>
            <w:tcBorders>
              <w:left w:val="single" w:sz="4" w:space="0" w:color="auto"/>
              <w:bottom w:val="single" w:sz="4" w:space="0" w:color="auto"/>
              <w:right w:val="single" w:sz="4" w:space="0" w:color="auto"/>
            </w:tcBorders>
            <w:shd w:val="clear" w:color="auto" w:fill="BDD7EE"/>
            <w:vAlign w:val="center"/>
          </w:tcPr>
          <w:p w14:paraId="4DF85C2D" w14:textId="77777777" w:rsidR="002D49B0" w:rsidRPr="00083739" w:rsidRDefault="002D49B0">
            <w:pPr>
              <w:spacing w:before="120" w:after="120" w:line="240" w:lineRule="auto"/>
              <w:jc w:val="center"/>
              <w:rPr>
                <w:rFonts w:ascii="Times New Roman" w:eastAsia="Times New Roman" w:hAnsi="Times New Roman" w:cs="Times New Roman"/>
                <w:b/>
                <w:bCs/>
                <w:noProof/>
                <w:sz w:val="18"/>
                <w:szCs w:val="18"/>
                <w:lang w:val="sk-SK"/>
              </w:rPr>
            </w:pPr>
          </w:p>
        </w:tc>
        <w:tc>
          <w:tcPr>
            <w:tcW w:w="1134" w:type="dxa"/>
            <w:vMerge/>
            <w:tcBorders>
              <w:left w:val="nil"/>
              <w:bottom w:val="single" w:sz="4" w:space="0" w:color="auto"/>
              <w:right w:val="single" w:sz="4" w:space="0" w:color="auto"/>
            </w:tcBorders>
            <w:shd w:val="clear" w:color="auto" w:fill="BDD7EE"/>
            <w:vAlign w:val="center"/>
          </w:tcPr>
          <w:p w14:paraId="4BF50EFA" w14:textId="77777777" w:rsidR="002D49B0" w:rsidRPr="00083739" w:rsidRDefault="002D49B0">
            <w:pPr>
              <w:spacing w:before="120" w:after="120" w:line="240" w:lineRule="auto"/>
              <w:jc w:val="center"/>
              <w:rPr>
                <w:rFonts w:ascii="Times New Roman" w:eastAsia="Times New Roman" w:hAnsi="Times New Roman" w:cs="Times New Roman"/>
                <w:b/>
                <w:bCs/>
                <w:noProof/>
                <w:sz w:val="18"/>
                <w:szCs w:val="18"/>
                <w:lang w:val="sk-SK"/>
              </w:rPr>
            </w:pPr>
          </w:p>
        </w:tc>
        <w:tc>
          <w:tcPr>
            <w:tcW w:w="1744" w:type="dxa"/>
            <w:vMerge/>
            <w:tcBorders>
              <w:left w:val="single" w:sz="4" w:space="0" w:color="auto"/>
              <w:bottom w:val="single" w:sz="4" w:space="0" w:color="auto"/>
              <w:right w:val="single" w:sz="4" w:space="0" w:color="auto"/>
            </w:tcBorders>
            <w:shd w:val="clear" w:color="auto" w:fill="BDD7EE"/>
            <w:vAlign w:val="center"/>
          </w:tcPr>
          <w:p w14:paraId="134C647D" w14:textId="77777777" w:rsidR="002D49B0" w:rsidRPr="00083739" w:rsidRDefault="002D49B0">
            <w:pPr>
              <w:spacing w:before="120" w:after="120" w:line="240" w:lineRule="auto"/>
              <w:jc w:val="center"/>
              <w:rPr>
                <w:rFonts w:ascii="Times New Roman" w:eastAsia="Times New Roman" w:hAnsi="Times New Roman" w:cs="Times New Roman"/>
                <w:b/>
                <w:bCs/>
                <w:noProof/>
                <w:sz w:val="18"/>
                <w:szCs w:val="18"/>
                <w:lang w:val="sk-SK"/>
              </w:rPr>
            </w:pPr>
          </w:p>
        </w:tc>
        <w:tc>
          <w:tcPr>
            <w:tcW w:w="944" w:type="dxa"/>
            <w:gridSpan w:val="2"/>
            <w:tcBorders>
              <w:top w:val="single" w:sz="4" w:space="0" w:color="auto"/>
              <w:left w:val="nil"/>
              <w:bottom w:val="single" w:sz="4" w:space="0" w:color="auto"/>
              <w:right w:val="single" w:sz="4" w:space="0" w:color="auto"/>
            </w:tcBorders>
            <w:shd w:val="clear" w:color="auto" w:fill="BDD7EE"/>
            <w:vAlign w:val="center"/>
          </w:tcPr>
          <w:p w14:paraId="74B7D6D0" w14:textId="77777777" w:rsidR="002D49B0" w:rsidRPr="00083739" w:rsidRDefault="00BF4125">
            <w:pPr>
              <w:pStyle w:val="P68B1DB1-Normal7"/>
              <w:spacing w:before="120" w:after="120" w:line="240" w:lineRule="auto"/>
              <w:jc w:val="center"/>
              <w:rPr>
                <w:rFonts w:eastAsia="Times New Roman" w:cs="Times New Roman"/>
                <w:bCs/>
                <w:noProof/>
                <w:szCs w:val="18"/>
                <w:lang w:val="sk-SK"/>
              </w:rPr>
            </w:pPr>
            <w:r w:rsidRPr="00083739">
              <w:rPr>
                <w:rFonts w:cs="Times New Roman"/>
                <w:noProof/>
                <w:lang w:val="sk-SK"/>
              </w:rPr>
              <w:t>Merná jednotka</w:t>
            </w:r>
          </w:p>
        </w:tc>
        <w:tc>
          <w:tcPr>
            <w:tcW w:w="659" w:type="dxa"/>
            <w:tcBorders>
              <w:top w:val="single" w:sz="4" w:space="0" w:color="auto"/>
              <w:left w:val="nil"/>
              <w:bottom w:val="single" w:sz="4" w:space="0" w:color="auto"/>
              <w:right w:val="single" w:sz="4" w:space="0" w:color="auto"/>
            </w:tcBorders>
            <w:shd w:val="clear" w:color="auto" w:fill="BDD7EE"/>
            <w:vAlign w:val="center"/>
          </w:tcPr>
          <w:p w14:paraId="4BB8EDBC" w14:textId="77777777" w:rsidR="002D49B0" w:rsidRPr="00083739" w:rsidRDefault="00BF4125">
            <w:pPr>
              <w:pStyle w:val="P68B1DB1-Normal7"/>
              <w:spacing w:before="120" w:after="120" w:line="240" w:lineRule="auto"/>
              <w:jc w:val="center"/>
              <w:rPr>
                <w:rFonts w:eastAsia="Times New Roman" w:cs="Times New Roman"/>
                <w:bCs/>
                <w:noProof/>
                <w:szCs w:val="18"/>
                <w:lang w:val="sk-SK"/>
              </w:rPr>
            </w:pPr>
            <w:r w:rsidRPr="00083739">
              <w:rPr>
                <w:rFonts w:cs="Times New Roman"/>
                <w:noProof/>
                <w:lang w:val="sk-SK"/>
              </w:rPr>
              <w:t>Základná</w:t>
            </w:r>
          </w:p>
        </w:tc>
        <w:tc>
          <w:tcPr>
            <w:tcW w:w="666" w:type="dxa"/>
            <w:tcBorders>
              <w:top w:val="single" w:sz="4" w:space="0" w:color="auto"/>
              <w:left w:val="nil"/>
              <w:bottom w:val="single" w:sz="4" w:space="0" w:color="auto"/>
              <w:right w:val="single" w:sz="4" w:space="0" w:color="auto"/>
            </w:tcBorders>
            <w:shd w:val="clear" w:color="auto" w:fill="BDD7EE"/>
            <w:vAlign w:val="center"/>
          </w:tcPr>
          <w:p w14:paraId="10852F06" w14:textId="77777777" w:rsidR="002D49B0" w:rsidRPr="00083739" w:rsidRDefault="00BF4125">
            <w:pPr>
              <w:pStyle w:val="P68B1DB1-Normal7"/>
              <w:spacing w:before="120" w:after="120" w:line="240" w:lineRule="auto"/>
              <w:jc w:val="center"/>
              <w:rPr>
                <w:rFonts w:eastAsia="Times New Roman" w:cs="Times New Roman"/>
                <w:bCs/>
                <w:noProof/>
                <w:szCs w:val="18"/>
                <w:lang w:val="sk-SK"/>
              </w:rPr>
            </w:pPr>
            <w:r w:rsidRPr="00083739">
              <w:rPr>
                <w:rFonts w:cs="Times New Roman"/>
                <w:noProof/>
                <w:lang w:val="sk-SK"/>
              </w:rPr>
              <w:t>Cieľ</w:t>
            </w:r>
          </w:p>
        </w:tc>
        <w:tc>
          <w:tcPr>
            <w:tcW w:w="921" w:type="dxa"/>
            <w:tcBorders>
              <w:top w:val="single" w:sz="4" w:space="0" w:color="auto"/>
              <w:left w:val="nil"/>
              <w:bottom w:val="single" w:sz="4" w:space="0" w:color="auto"/>
              <w:right w:val="single" w:sz="4" w:space="0" w:color="auto"/>
            </w:tcBorders>
            <w:shd w:val="clear" w:color="auto" w:fill="BDD7EE"/>
            <w:vAlign w:val="center"/>
          </w:tcPr>
          <w:p w14:paraId="6069B7F8" w14:textId="77777777" w:rsidR="002D49B0" w:rsidRPr="00083739" w:rsidRDefault="00BF4125">
            <w:pPr>
              <w:pStyle w:val="P68B1DB1-Normal7"/>
              <w:spacing w:before="120" w:after="120" w:line="240" w:lineRule="auto"/>
              <w:jc w:val="center"/>
              <w:rPr>
                <w:rFonts w:eastAsia="Times New Roman" w:cs="Times New Roman"/>
                <w:bCs/>
                <w:noProof/>
                <w:szCs w:val="18"/>
                <w:lang w:val="sk-SK"/>
              </w:rPr>
            </w:pPr>
            <w:r w:rsidRPr="00083739">
              <w:rPr>
                <w:rFonts w:cs="Times New Roman"/>
                <w:noProof/>
                <w:lang w:val="sk-SK"/>
              </w:rPr>
              <w:t>Štvrtina</w:t>
            </w:r>
          </w:p>
        </w:tc>
        <w:tc>
          <w:tcPr>
            <w:tcW w:w="921" w:type="dxa"/>
            <w:gridSpan w:val="2"/>
            <w:tcBorders>
              <w:top w:val="single" w:sz="4" w:space="0" w:color="auto"/>
              <w:left w:val="nil"/>
              <w:bottom w:val="single" w:sz="4" w:space="0" w:color="auto"/>
              <w:right w:val="single" w:sz="4" w:space="0" w:color="auto"/>
            </w:tcBorders>
            <w:shd w:val="clear" w:color="auto" w:fill="BDD7EE"/>
            <w:vAlign w:val="center"/>
          </w:tcPr>
          <w:p w14:paraId="52C3872D" w14:textId="77777777" w:rsidR="002D49B0" w:rsidRPr="00083739" w:rsidRDefault="00BF4125">
            <w:pPr>
              <w:pStyle w:val="P68B1DB1-Normal7"/>
              <w:spacing w:before="120" w:after="120" w:line="240" w:lineRule="auto"/>
              <w:jc w:val="center"/>
              <w:rPr>
                <w:rFonts w:eastAsia="Times New Roman" w:cs="Times New Roman"/>
                <w:bCs/>
                <w:noProof/>
                <w:szCs w:val="18"/>
                <w:lang w:val="sk-SK"/>
              </w:rPr>
            </w:pPr>
            <w:r w:rsidRPr="00083739">
              <w:rPr>
                <w:rFonts w:cs="Times New Roman"/>
                <w:noProof/>
                <w:lang w:val="sk-SK"/>
              </w:rPr>
              <w:t>Rok</w:t>
            </w:r>
          </w:p>
        </w:tc>
        <w:tc>
          <w:tcPr>
            <w:tcW w:w="3529" w:type="dxa"/>
            <w:vMerge/>
            <w:tcBorders>
              <w:bottom w:val="single" w:sz="4" w:space="0" w:color="auto"/>
              <w:right w:val="single" w:sz="4" w:space="0" w:color="auto"/>
            </w:tcBorders>
            <w:vAlign w:val="center"/>
          </w:tcPr>
          <w:p w14:paraId="32259A45" w14:textId="77777777" w:rsidR="002D49B0" w:rsidRPr="00083739" w:rsidRDefault="002D49B0">
            <w:pPr>
              <w:spacing w:before="120" w:after="120" w:line="240" w:lineRule="auto"/>
              <w:jc w:val="center"/>
              <w:rPr>
                <w:rFonts w:ascii="Times New Roman" w:eastAsia="Times New Roman" w:hAnsi="Times New Roman" w:cs="Times New Roman"/>
                <w:b/>
                <w:bCs/>
                <w:noProof/>
                <w:sz w:val="18"/>
                <w:szCs w:val="18"/>
                <w:lang w:val="sk-SK"/>
              </w:rPr>
            </w:pPr>
          </w:p>
        </w:tc>
      </w:tr>
      <w:tr w:rsidR="002D49B0" w:rsidRPr="00083739" w14:paraId="26E63EB9" w14:textId="77777777">
        <w:tc>
          <w:tcPr>
            <w:tcW w:w="1134" w:type="dxa"/>
            <w:tcBorders>
              <w:top w:val="single" w:sz="4" w:space="0" w:color="auto"/>
              <w:left w:val="single" w:sz="4" w:space="0" w:color="auto"/>
              <w:bottom w:val="single" w:sz="4" w:space="0" w:color="auto"/>
              <w:right w:val="single" w:sz="4" w:space="0" w:color="auto"/>
            </w:tcBorders>
            <w:shd w:val="clear" w:color="auto" w:fill="C6EFCE"/>
            <w:noWrap/>
          </w:tcPr>
          <w:p w14:paraId="6CF0E49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355</w:t>
            </w:r>
          </w:p>
        </w:tc>
        <w:tc>
          <w:tcPr>
            <w:tcW w:w="2078" w:type="dxa"/>
            <w:tcBorders>
              <w:top w:val="single" w:sz="4" w:space="0" w:color="auto"/>
              <w:left w:val="nil"/>
              <w:bottom w:val="single" w:sz="4" w:space="0" w:color="auto"/>
              <w:right w:val="single" w:sz="4" w:space="0" w:color="auto"/>
            </w:tcBorders>
            <w:shd w:val="clear" w:color="auto" w:fill="C6EFCE"/>
            <w:noWrap/>
          </w:tcPr>
          <w:p w14:paraId="707DA368" w14:textId="7DDFF11E"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 – 5.1. Reformy REPowerEU – 16988_Rámec regulácie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prevádzky trhu pre technológie zachytávania, využívania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ukladania oxidu uhličitého na podporu dekarbonizácie priemyslu </w:t>
            </w:r>
          </w:p>
        </w:tc>
        <w:tc>
          <w:tcPr>
            <w:tcW w:w="1007" w:type="dxa"/>
            <w:tcBorders>
              <w:top w:val="single" w:sz="4" w:space="0" w:color="auto"/>
              <w:left w:val="nil"/>
              <w:bottom w:val="single" w:sz="4" w:space="0" w:color="auto"/>
              <w:right w:val="single" w:sz="4" w:space="0" w:color="auto"/>
            </w:tcBorders>
            <w:shd w:val="clear" w:color="auto" w:fill="C6EFCE"/>
            <w:noWrap/>
          </w:tcPr>
          <w:p w14:paraId="1EF2BC0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134" w:type="dxa"/>
            <w:tcBorders>
              <w:top w:val="single" w:sz="4" w:space="0" w:color="auto"/>
              <w:left w:val="nil"/>
              <w:bottom w:val="single" w:sz="4" w:space="0" w:color="auto"/>
              <w:right w:val="single" w:sz="4" w:space="0" w:color="auto"/>
            </w:tcBorders>
            <w:shd w:val="clear" w:color="auto" w:fill="C6EFCE"/>
            <w:noWrap/>
          </w:tcPr>
          <w:p w14:paraId="61250E85" w14:textId="002FA868"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Vytvorenie právneho rámca pre zachytávanie, využívanie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ukladanie oxidu</w:t>
            </w:r>
            <w:r w:rsidRPr="00083739">
              <w:rPr>
                <w:rFonts w:ascii="Times New Roman" w:hAnsi="Times New Roman" w:cs="Times New Roman"/>
                <w:noProof/>
                <w:lang w:val="sk-SK"/>
              </w:rPr>
              <w:t xml:space="preserve"> uhličitého.</w:t>
            </w:r>
          </w:p>
        </w:tc>
        <w:tc>
          <w:tcPr>
            <w:tcW w:w="1744" w:type="dxa"/>
            <w:tcBorders>
              <w:top w:val="single" w:sz="4" w:space="0" w:color="auto"/>
              <w:left w:val="nil"/>
              <w:bottom w:val="single" w:sz="4" w:space="0" w:color="auto"/>
              <w:right w:val="single" w:sz="4" w:space="0" w:color="auto"/>
            </w:tcBorders>
            <w:shd w:val="clear" w:color="auto" w:fill="C6EFCE"/>
            <w:noWrap/>
          </w:tcPr>
          <w:p w14:paraId="65AAEF5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Nadobudnutie účinnosti právnych predpisov. </w:t>
            </w:r>
          </w:p>
        </w:tc>
        <w:tc>
          <w:tcPr>
            <w:tcW w:w="920" w:type="dxa"/>
            <w:tcBorders>
              <w:top w:val="nil"/>
              <w:left w:val="nil"/>
              <w:bottom w:val="single" w:sz="4" w:space="0" w:color="auto"/>
              <w:right w:val="single" w:sz="4" w:space="0" w:color="auto"/>
            </w:tcBorders>
            <w:shd w:val="clear" w:color="auto" w:fill="C6EFCE"/>
            <w:noWrap/>
          </w:tcPr>
          <w:p w14:paraId="69ABB896" w14:textId="77777777" w:rsidR="002D49B0" w:rsidRPr="00083739" w:rsidRDefault="002D49B0">
            <w:pPr>
              <w:spacing w:after="0" w:line="240" w:lineRule="auto"/>
              <w:rPr>
                <w:rFonts w:ascii="Times New Roman" w:eastAsia="Times New Roman" w:hAnsi="Times New Roman" w:cs="Times New Roman"/>
                <w:noProof/>
                <w:sz w:val="18"/>
                <w:szCs w:val="18"/>
                <w:lang w:val="sk-SK"/>
              </w:rPr>
            </w:pPr>
          </w:p>
        </w:tc>
        <w:tc>
          <w:tcPr>
            <w:tcW w:w="683" w:type="dxa"/>
            <w:gridSpan w:val="2"/>
            <w:tcBorders>
              <w:top w:val="nil"/>
              <w:left w:val="nil"/>
              <w:bottom w:val="single" w:sz="4" w:space="0" w:color="auto"/>
              <w:right w:val="single" w:sz="4" w:space="0" w:color="auto"/>
            </w:tcBorders>
            <w:shd w:val="clear" w:color="auto" w:fill="C6EFCE"/>
            <w:noWrap/>
          </w:tcPr>
          <w:p w14:paraId="7BD53B3D" w14:textId="77777777" w:rsidR="002D49B0" w:rsidRPr="00083739" w:rsidRDefault="002D49B0">
            <w:pPr>
              <w:spacing w:after="0" w:line="240" w:lineRule="auto"/>
              <w:rPr>
                <w:rFonts w:ascii="Times New Roman" w:eastAsia="Times New Roman" w:hAnsi="Times New Roman" w:cs="Times New Roman"/>
                <w:noProof/>
                <w:sz w:val="18"/>
                <w:szCs w:val="18"/>
                <w:lang w:val="sk-SK"/>
              </w:rPr>
            </w:pPr>
          </w:p>
        </w:tc>
        <w:tc>
          <w:tcPr>
            <w:tcW w:w="666" w:type="dxa"/>
            <w:tcBorders>
              <w:top w:val="nil"/>
              <w:left w:val="nil"/>
              <w:bottom w:val="single" w:sz="4" w:space="0" w:color="auto"/>
              <w:right w:val="single" w:sz="4" w:space="0" w:color="auto"/>
            </w:tcBorders>
            <w:shd w:val="clear" w:color="auto" w:fill="C6EFCE"/>
            <w:noWrap/>
          </w:tcPr>
          <w:p w14:paraId="3E4E90D1" w14:textId="77777777" w:rsidR="002D49B0" w:rsidRPr="00083739" w:rsidRDefault="002D49B0">
            <w:pPr>
              <w:spacing w:after="0" w:line="240" w:lineRule="auto"/>
              <w:rPr>
                <w:rFonts w:ascii="Times New Roman" w:eastAsia="Times New Roman" w:hAnsi="Times New Roman" w:cs="Times New Roman"/>
                <w:noProof/>
                <w:sz w:val="18"/>
                <w:szCs w:val="18"/>
                <w:lang w:val="sk-SK"/>
              </w:rPr>
            </w:pPr>
          </w:p>
        </w:tc>
        <w:tc>
          <w:tcPr>
            <w:tcW w:w="931" w:type="dxa"/>
            <w:gridSpan w:val="2"/>
            <w:tcBorders>
              <w:top w:val="nil"/>
              <w:left w:val="nil"/>
              <w:bottom w:val="single" w:sz="4" w:space="0" w:color="auto"/>
              <w:right w:val="single" w:sz="4" w:space="0" w:color="auto"/>
            </w:tcBorders>
            <w:shd w:val="clear" w:color="auto" w:fill="C6EFCE"/>
            <w:noWrap/>
          </w:tcPr>
          <w:p w14:paraId="67166CED" w14:textId="43DADFF4" w:rsidR="002D49B0" w:rsidRPr="00083739" w:rsidRDefault="00BF4125">
            <w:pPr>
              <w:pStyle w:val="P68B1DB1-Normal9"/>
              <w:spacing w:after="12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TRETÍ ŠTVRŤROK</w:t>
            </w:r>
          </w:p>
        </w:tc>
        <w:tc>
          <w:tcPr>
            <w:tcW w:w="911" w:type="dxa"/>
            <w:tcBorders>
              <w:top w:val="nil"/>
              <w:left w:val="nil"/>
              <w:bottom w:val="single" w:sz="4" w:space="0" w:color="auto"/>
              <w:right w:val="single" w:sz="4" w:space="0" w:color="auto"/>
            </w:tcBorders>
            <w:shd w:val="clear" w:color="auto" w:fill="C6EFCE"/>
            <w:noWrap/>
          </w:tcPr>
          <w:p w14:paraId="625DB97B" w14:textId="77777777" w:rsidR="002D49B0" w:rsidRPr="00083739" w:rsidRDefault="00BF4125">
            <w:pPr>
              <w:pStyle w:val="P68B1DB1-Normal9"/>
              <w:spacing w:after="12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2024</w:t>
            </w:r>
          </w:p>
        </w:tc>
        <w:tc>
          <w:tcPr>
            <w:tcW w:w="3529" w:type="dxa"/>
            <w:tcBorders>
              <w:top w:val="single" w:sz="4" w:space="0" w:color="auto"/>
              <w:left w:val="nil"/>
              <w:bottom w:val="single" w:sz="4" w:space="0" w:color="auto"/>
              <w:right w:val="single" w:sz="4" w:space="0" w:color="auto"/>
            </w:tcBorders>
            <w:shd w:val="clear" w:color="auto" w:fill="C6EFCE"/>
            <w:noWrap/>
          </w:tcPr>
          <w:p w14:paraId="40A1876A" w14:textId="526CD0BF"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právneho rámca pre zachytávanie, využívanie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ukladanie oxidu uhličitého,</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ktorom sa stanovujú:</w:t>
            </w:r>
          </w:p>
          <w:p w14:paraId="0FD4BE49" w14:textId="740D513C" w:rsidR="002D49B0" w:rsidRPr="00083739" w:rsidRDefault="00BF4125">
            <w:pPr>
              <w:pStyle w:val="P68B1DB1-ListParagraph20"/>
              <w:numPr>
                <w:ilvl w:val="0"/>
                <w:numId w:val="80"/>
              </w:numPr>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Vypracovanie licenčného rámca pre inštaláciu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prevádzku</w:t>
            </w:r>
            <w:r w:rsidRPr="00083739">
              <w:rPr>
                <w:rFonts w:ascii="Times New Roman" w:hAnsi="Times New Roman" w:cs="Times New Roman"/>
                <w:noProof/>
                <w:lang w:val="sk-SK"/>
              </w:rPr>
              <w:t xml:space="preserve"> technológií zachytávania, využívania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ukladania oxidu uhličitého vrátane vydávania schválenia environmentálneho povolenia.</w:t>
            </w:r>
          </w:p>
          <w:p w14:paraId="6F94A2A6" w14:textId="16F2D352" w:rsidR="002D49B0" w:rsidRPr="00083739" w:rsidRDefault="00BF4125">
            <w:pPr>
              <w:pStyle w:val="P68B1DB1-ListParagraph20"/>
              <w:numPr>
                <w:ilvl w:val="0"/>
                <w:numId w:val="80"/>
              </w:numPr>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Zavedenie príslušného procesu normalizácie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certifikácie pôvodu zachytených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uložených emisií CO2.</w:t>
            </w:r>
          </w:p>
          <w:p w14:paraId="3430B9FC" w14:textId="632CD396" w:rsidR="002D49B0" w:rsidRPr="00083739" w:rsidRDefault="00BF4125">
            <w:pPr>
              <w:pStyle w:val="P68B1DB1-ListParagraph20"/>
              <w:numPr>
                <w:ilvl w:val="0"/>
                <w:numId w:val="80"/>
              </w:numPr>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Rozvoj regulačného rámca pre h</w:t>
            </w:r>
            <w:r w:rsidRPr="00083739">
              <w:rPr>
                <w:rFonts w:ascii="Times New Roman" w:hAnsi="Times New Roman" w:cs="Times New Roman"/>
                <w:noProof/>
                <w:lang w:val="sk-SK"/>
              </w:rPr>
              <w:t>odnotový reťazec CCS pre poplatky za skladovanie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prepravu. Rámec zahŕňa podporné ustanovenia pre rozdielové zmluvy, ako aj regulované poplatky. Vytvorenie rámca pre využívanie/využívanie zachyteného CO2</w:t>
            </w:r>
          </w:p>
          <w:p w14:paraId="4C5BBFCE" w14:textId="18E9B759" w:rsidR="002D49B0" w:rsidRPr="00083739" w:rsidRDefault="00BF4125">
            <w:pPr>
              <w:pStyle w:val="P68B1DB1-ListParagraph20"/>
              <w:numPr>
                <w:ilvl w:val="0"/>
                <w:numId w:val="80"/>
              </w:numPr>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Prijatie rámca pre prístup tretích strán</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sieti/do</w:t>
            </w:r>
            <w:r w:rsidRPr="00083739">
              <w:rPr>
                <w:rFonts w:ascii="Times New Roman" w:hAnsi="Times New Roman" w:cs="Times New Roman"/>
                <w:noProof/>
                <w:lang w:val="sk-SK"/>
              </w:rPr>
              <w:t>pravnej infraštruktúre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skladovaciemu zariadeniu.</w:t>
            </w:r>
          </w:p>
          <w:p w14:paraId="76DA11B5" w14:textId="22C29A48" w:rsidR="002D49B0" w:rsidRPr="00083739" w:rsidRDefault="00BF4125">
            <w:pPr>
              <w:pStyle w:val="P68B1DB1-ListParagraph20"/>
              <w:numPr>
                <w:ilvl w:val="0"/>
                <w:numId w:val="80"/>
              </w:numPr>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Pridelenie odlišných zodpovedností rôznych zainteresovaných strán za prevádzku technológií zachytávania, využívania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ukladania oxidu uhličitého</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dohľad nad príslušným trhom.</w:t>
            </w:r>
          </w:p>
        </w:tc>
      </w:tr>
    </w:tbl>
    <w:p w14:paraId="6A00FD52" w14:textId="77777777" w:rsidR="002D49B0" w:rsidRPr="00083739" w:rsidRDefault="002D49B0">
      <w:pPr>
        <w:keepNext/>
        <w:keepLines/>
        <w:spacing w:before="240" w:after="0" w:line="240" w:lineRule="auto"/>
        <w:jc w:val="both"/>
        <w:outlineLvl w:val="4"/>
        <w:rPr>
          <w:rFonts w:ascii="Times New Roman" w:eastAsia="Times New Roman" w:hAnsi="Times New Roman" w:cs="Times New Roman"/>
          <w:noProof/>
          <w:color w:val="365F91"/>
          <w:sz w:val="24"/>
          <w:szCs w:val="24"/>
          <w:lang w:val="sk-SK"/>
        </w:rPr>
      </w:pPr>
    </w:p>
    <w:p w14:paraId="430322E2" w14:textId="4FCBDC94" w:rsidR="002D49B0" w:rsidRPr="00083739" w:rsidRDefault="00BF4125">
      <w:pPr>
        <w:pStyle w:val="P68B1DB1-Normal6"/>
        <w:keepNext/>
        <w:keepLines/>
        <w:spacing w:before="240" w:after="0" w:line="240" w:lineRule="auto"/>
        <w:jc w:val="both"/>
        <w:outlineLvl w:val="4"/>
        <w:rPr>
          <w:rFonts w:ascii="Times New Roman" w:hAnsi="Times New Roman" w:cs="Times New Roman"/>
          <w:noProof/>
          <w:lang w:val="sk-SK"/>
        </w:rPr>
      </w:pPr>
      <w:r w:rsidRPr="00083739">
        <w:rPr>
          <w:rFonts w:ascii="Times New Roman" w:hAnsi="Times New Roman" w:cs="Times New Roman"/>
          <w:noProof/>
          <w:lang w:val="sk-SK"/>
        </w:rPr>
        <w:t>Reforma 4: Zvýšenie</w:t>
      </w:r>
      <w:r w:rsidRPr="00083739">
        <w:rPr>
          <w:rFonts w:ascii="Times New Roman" w:hAnsi="Times New Roman" w:cs="Times New Roman"/>
          <w:noProof/>
          <w:lang w:val="sk-SK"/>
        </w:rPr>
        <w:t xml:space="preserve"> kapacity siete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uskladňovacej kapacity – podpora investícií do uskladňovania (ID opatrenia: 16990)</w:t>
      </w:r>
    </w:p>
    <w:p w14:paraId="6A5E07C0" w14:textId="77777777" w:rsidR="002D49B0" w:rsidRPr="00083739" w:rsidRDefault="002D49B0">
      <w:pPr>
        <w:keepNext/>
        <w:keepLines/>
        <w:spacing w:before="240" w:after="0" w:line="240" w:lineRule="auto"/>
        <w:jc w:val="both"/>
        <w:outlineLvl w:val="4"/>
        <w:rPr>
          <w:rFonts w:ascii="Times New Roman" w:eastAsia="Times New Roman" w:hAnsi="Times New Roman" w:cs="Times New Roman"/>
          <w:noProof/>
          <w:color w:val="365F91"/>
          <w:sz w:val="24"/>
          <w:lang w:val="sk-SK"/>
        </w:rPr>
      </w:pPr>
    </w:p>
    <w:tbl>
      <w:tblPr>
        <w:tblpPr w:leftFromText="181" w:rightFromText="181" w:vertAnchor="text" w:tblpY="1"/>
        <w:tblOverlap w:val="never"/>
        <w:tblW w:w="14737" w:type="dxa"/>
        <w:tblLayout w:type="fixed"/>
        <w:tblLook w:val="04A0" w:firstRow="1" w:lastRow="0" w:firstColumn="1" w:lastColumn="0" w:noHBand="0" w:noVBand="1"/>
      </w:tblPr>
      <w:tblGrid>
        <w:gridCol w:w="1134"/>
        <w:gridCol w:w="2078"/>
        <w:gridCol w:w="1007"/>
        <w:gridCol w:w="1134"/>
        <w:gridCol w:w="1163"/>
        <w:gridCol w:w="992"/>
        <w:gridCol w:w="1192"/>
        <w:gridCol w:w="666"/>
        <w:gridCol w:w="921"/>
        <w:gridCol w:w="10"/>
        <w:gridCol w:w="911"/>
        <w:gridCol w:w="3529"/>
      </w:tblGrid>
      <w:tr w:rsidR="002D49B0" w:rsidRPr="00083739" w14:paraId="4F0A8EB2" w14:textId="77777777">
        <w:trPr>
          <w:trHeight w:val="1125"/>
          <w:tblHeader/>
        </w:trPr>
        <w:tc>
          <w:tcPr>
            <w:tcW w:w="113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45C2DD0" w14:textId="77777777" w:rsidR="002D49B0" w:rsidRPr="00083739" w:rsidRDefault="00BF4125">
            <w:pPr>
              <w:pStyle w:val="P68B1DB1-Normal7"/>
              <w:spacing w:before="120" w:after="120" w:line="240" w:lineRule="auto"/>
              <w:jc w:val="center"/>
              <w:rPr>
                <w:rFonts w:cs="Times New Roman"/>
                <w:noProof/>
                <w:sz w:val="24"/>
                <w:lang w:val="sk-SK"/>
              </w:rPr>
            </w:pPr>
            <w:r w:rsidRPr="00083739">
              <w:rPr>
                <w:rFonts w:cs="Times New Roman"/>
                <w:noProof/>
                <w:lang w:val="sk-SK"/>
              </w:rPr>
              <w:t>Poradové číslo</w:t>
            </w:r>
          </w:p>
        </w:tc>
        <w:tc>
          <w:tcPr>
            <w:tcW w:w="207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F564EF7" w14:textId="77777777" w:rsidR="002D49B0" w:rsidRPr="00083739" w:rsidRDefault="00BF4125">
            <w:pPr>
              <w:pStyle w:val="P68B1DB1-Normal7"/>
              <w:spacing w:before="120" w:after="120" w:line="240" w:lineRule="auto"/>
              <w:jc w:val="center"/>
              <w:rPr>
                <w:rFonts w:cs="Times New Roman"/>
                <w:noProof/>
                <w:sz w:val="24"/>
                <w:lang w:val="sk-SK"/>
              </w:rPr>
            </w:pPr>
            <w:r w:rsidRPr="00083739">
              <w:rPr>
                <w:rFonts w:cs="Times New Roman"/>
                <w:noProof/>
                <w:lang w:val="sk-SK"/>
              </w:rPr>
              <w:t>Súvisiace opatrenie (reforma alebo investícia)</w:t>
            </w:r>
          </w:p>
        </w:tc>
        <w:tc>
          <w:tcPr>
            <w:tcW w:w="100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D2041BB" w14:textId="77777777" w:rsidR="002D49B0" w:rsidRPr="00083739" w:rsidRDefault="00BF4125">
            <w:pPr>
              <w:pStyle w:val="P68B1DB1-Normal7"/>
              <w:spacing w:before="120" w:after="120" w:line="240" w:lineRule="auto"/>
              <w:jc w:val="center"/>
              <w:rPr>
                <w:rFonts w:cs="Times New Roman"/>
                <w:noProof/>
                <w:sz w:val="24"/>
                <w:lang w:val="sk-SK"/>
              </w:rPr>
            </w:pPr>
            <w:r w:rsidRPr="00083739">
              <w:rPr>
                <w:rFonts w:cs="Times New Roman"/>
                <w:noProof/>
                <w:lang w:val="sk-SK"/>
              </w:rPr>
              <w:t>Míľnik/cieľ</w:t>
            </w:r>
          </w:p>
        </w:tc>
        <w:tc>
          <w:tcPr>
            <w:tcW w:w="1134" w:type="dxa"/>
            <w:vMerge w:val="restart"/>
            <w:tcBorders>
              <w:top w:val="single" w:sz="4" w:space="0" w:color="auto"/>
              <w:left w:val="nil"/>
              <w:bottom w:val="single" w:sz="4" w:space="0" w:color="auto"/>
              <w:right w:val="single" w:sz="4" w:space="0" w:color="auto"/>
            </w:tcBorders>
            <w:shd w:val="clear" w:color="auto" w:fill="BDD7EE"/>
            <w:vAlign w:val="center"/>
            <w:hideMark/>
          </w:tcPr>
          <w:p w14:paraId="19868145" w14:textId="77777777" w:rsidR="002D49B0" w:rsidRPr="00083739" w:rsidRDefault="00BF4125">
            <w:pPr>
              <w:pStyle w:val="P68B1DB1-Normal7"/>
              <w:spacing w:before="120" w:after="120" w:line="240" w:lineRule="auto"/>
              <w:jc w:val="center"/>
              <w:rPr>
                <w:rFonts w:cs="Times New Roman"/>
                <w:noProof/>
                <w:sz w:val="24"/>
                <w:lang w:val="sk-SK"/>
              </w:rPr>
            </w:pPr>
            <w:r w:rsidRPr="00083739">
              <w:rPr>
                <w:rFonts w:cs="Times New Roman"/>
                <w:noProof/>
                <w:lang w:val="sk-SK"/>
              </w:rPr>
              <w:t>Názov</w:t>
            </w:r>
          </w:p>
        </w:tc>
        <w:tc>
          <w:tcPr>
            <w:tcW w:w="116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81A01D7" w14:textId="77777777" w:rsidR="002D49B0" w:rsidRPr="00083739" w:rsidRDefault="00BF4125">
            <w:pPr>
              <w:pStyle w:val="P68B1DB1-Normal7"/>
              <w:spacing w:before="120" w:after="120" w:line="240" w:lineRule="auto"/>
              <w:jc w:val="center"/>
              <w:rPr>
                <w:rFonts w:cs="Times New Roman"/>
                <w:noProof/>
                <w:sz w:val="24"/>
                <w:lang w:val="sk-SK"/>
              </w:rPr>
            </w:pPr>
            <w:r w:rsidRPr="00083739">
              <w:rPr>
                <w:rFonts w:cs="Times New Roman"/>
                <w:noProof/>
                <w:lang w:val="sk-SK"/>
              </w:rPr>
              <w:t>Kvalitatívne ukazovatele (pre míľniky)</w:t>
            </w:r>
          </w:p>
        </w:tc>
        <w:tc>
          <w:tcPr>
            <w:tcW w:w="2850" w:type="dxa"/>
            <w:gridSpan w:val="3"/>
            <w:tcBorders>
              <w:top w:val="single" w:sz="4" w:space="0" w:color="auto"/>
              <w:left w:val="nil"/>
              <w:bottom w:val="single" w:sz="4" w:space="0" w:color="auto"/>
              <w:right w:val="single" w:sz="4" w:space="0" w:color="auto"/>
            </w:tcBorders>
            <w:shd w:val="clear" w:color="auto" w:fill="BDD7EE"/>
            <w:vAlign w:val="center"/>
            <w:hideMark/>
          </w:tcPr>
          <w:p w14:paraId="78C583C5" w14:textId="77777777" w:rsidR="002D49B0" w:rsidRPr="00083739" w:rsidRDefault="00BF4125">
            <w:pPr>
              <w:pStyle w:val="P68B1DB1-Normal7"/>
              <w:spacing w:before="120" w:after="120" w:line="240" w:lineRule="auto"/>
              <w:jc w:val="center"/>
              <w:rPr>
                <w:rFonts w:cs="Times New Roman"/>
                <w:noProof/>
                <w:sz w:val="24"/>
                <w:lang w:val="sk-SK"/>
              </w:rPr>
            </w:pPr>
            <w:r w:rsidRPr="00083739">
              <w:rPr>
                <w:rFonts w:cs="Times New Roman"/>
                <w:noProof/>
                <w:lang w:val="sk-SK"/>
              </w:rPr>
              <w:t>Kvantitatívne ukazovatele (pre ciel</w:t>
            </w:r>
            <w:r w:rsidRPr="00083739">
              <w:rPr>
                <w:rFonts w:cs="Times New Roman"/>
                <w:noProof/>
                <w:lang w:val="sk-SK"/>
              </w:rPr>
              <w:t>e)</w:t>
            </w:r>
          </w:p>
        </w:tc>
        <w:tc>
          <w:tcPr>
            <w:tcW w:w="1842" w:type="dxa"/>
            <w:gridSpan w:val="3"/>
            <w:tcBorders>
              <w:top w:val="single" w:sz="4" w:space="0" w:color="auto"/>
              <w:left w:val="nil"/>
              <w:bottom w:val="single" w:sz="4" w:space="0" w:color="auto"/>
              <w:right w:val="single" w:sz="4" w:space="0" w:color="auto"/>
            </w:tcBorders>
            <w:shd w:val="clear" w:color="auto" w:fill="BDD7EE"/>
            <w:vAlign w:val="center"/>
            <w:hideMark/>
          </w:tcPr>
          <w:p w14:paraId="4C5D27A2" w14:textId="77777777" w:rsidR="002D49B0" w:rsidRPr="00083739" w:rsidRDefault="00BF4125">
            <w:pPr>
              <w:pStyle w:val="P68B1DB1-Normal7"/>
              <w:spacing w:before="120" w:after="120" w:line="240" w:lineRule="auto"/>
              <w:jc w:val="center"/>
              <w:rPr>
                <w:rFonts w:cs="Times New Roman"/>
                <w:noProof/>
                <w:sz w:val="24"/>
                <w:lang w:val="sk-SK"/>
              </w:rPr>
            </w:pPr>
            <w:r w:rsidRPr="00083739">
              <w:rPr>
                <w:rFonts w:cs="Times New Roman"/>
                <w:noProof/>
                <w:lang w:val="sk-SK"/>
              </w:rPr>
              <w:t>Orientačný harmonogram dokončenia</w:t>
            </w:r>
          </w:p>
        </w:tc>
        <w:tc>
          <w:tcPr>
            <w:tcW w:w="352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CC6507D" w14:textId="765AB35E" w:rsidR="002D49B0" w:rsidRPr="00083739" w:rsidRDefault="00BF4125">
            <w:pPr>
              <w:pStyle w:val="P68B1DB1-Normal7"/>
              <w:spacing w:before="120" w:after="120" w:line="240" w:lineRule="auto"/>
              <w:jc w:val="center"/>
              <w:rPr>
                <w:rFonts w:cs="Times New Roman"/>
                <w:noProof/>
                <w:sz w:val="24"/>
                <w:lang w:val="sk-SK"/>
              </w:rPr>
            </w:pPr>
            <w:r w:rsidRPr="00083739">
              <w:rPr>
                <w:rFonts w:cs="Times New Roman"/>
                <w:noProof/>
                <w:lang w:val="sk-SK"/>
              </w:rPr>
              <w:t>Opis každého míľnika</w:t>
            </w:r>
            <w:r w:rsidR="00083739" w:rsidRPr="00083739">
              <w:rPr>
                <w:rFonts w:cs="Times New Roman"/>
                <w:noProof/>
                <w:lang w:val="sk-SK"/>
              </w:rPr>
              <w:t xml:space="preserve"> a </w:t>
            </w:r>
            <w:r w:rsidRPr="00083739">
              <w:rPr>
                <w:rFonts w:cs="Times New Roman"/>
                <w:noProof/>
                <w:lang w:val="sk-SK"/>
              </w:rPr>
              <w:t>cieľa</w:t>
            </w:r>
          </w:p>
        </w:tc>
      </w:tr>
      <w:tr w:rsidR="002D49B0" w:rsidRPr="00083739" w14:paraId="4143218D" w14:textId="77777777">
        <w:trPr>
          <w:trHeight w:val="687"/>
          <w:tblHeader/>
        </w:trPr>
        <w:tc>
          <w:tcPr>
            <w:tcW w:w="1134" w:type="dxa"/>
            <w:vMerge/>
            <w:tcBorders>
              <w:top w:val="single" w:sz="4" w:space="0" w:color="auto"/>
              <w:left w:val="single" w:sz="4" w:space="0" w:color="auto"/>
              <w:bottom w:val="single" w:sz="4" w:space="0" w:color="auto"/>
              <w:right w:val="single" w:sz="4" w:space="0" w:color="auto"/>
            </w:tcBorders>
            <w:vAlign w:val="center"/>
          </w:tcPr>
          <w:p w14:paraId="631120D9" w14:textId="77777777" w:rsidR="002D49B0" w:rsidRPr="00083739" w:rsidRDefault="002D49B0">
            <w:pPr>
              <w:spacing w:before="120" w:after="120" w:line="240" w:lineRule="auto"/>
              <w:jc w:val="center"/>
              <w:rPr>
                <w:rFonts w:ascii="Times New Roman" w:eastAsia="Times New Roman" w:hAnsi="Times New Roman" w:cs="Times New Roman"/>
                <w:b/>
                <w:bCs/>
                <w:noProof/>
                <w:sz w:val="18"/>
                <w:szCs w:val="18"/>
                <w:lang w:val="sk-SK"/>
              </w:rPr>
            </w:pPr>
          </w:p>
        </w:tc>
        <w:tc>
          <w:tcPr>
            <w:tcW w:w="2078" w:type="dxa"/>
            <w:vMerge/>
            <w:tcBorders>
              <w:top w:val="single" w:sz="4" w:space="0" w:color="auto"/>
              <w:left w:val="single" w:sz="4" w:space="0" w:color="auto"/>
              <w:bottom w:val="single" w:sz="4" w:space="0" w:color="auto"/>
              <w:right w:val="single" w:sz="4" w:space="0" w:color="auto"/>
            </w:tcBorders>
            <w:vAlign w:val="center"/>
          </w:tcPr>
          <w:p w14:paraId="23260B09" w14:textId="77777777" w:rsidR="002D49B0" w:rsidRPr="00083739" w:rsidRDefault="002D49B0">
            <w:pPr>
              <w:spacing w:before="120" w:after="120" w:line="240" w:lineRule="auto"/>
              <w:jc w:val="center"/>
              <w:rPr>
                <w:rFonts w:ascii="Times New Roman" w:eastAsia="Times New Roman" w:hAnsi="Times New Roman" w:cs="Times New Roman"/>
                <w:b/>
                <w:bCs/>
                <w:noProof/>
                <w:sz w:val="18"/>
                <w:szCs w:val="18"/>
                <w:lang w:val="sk-SK"/>
              </w:rPr>
            </w:pPr>
          </w:p>
        </w:tc>
        <w:tc>
          <w:tcPr>
            <w:tcW w:w="1007" w:type="dxa"/>
            <w:vMerge/>
            <w:tcBorders>
              <w:top w:val="single" w:sz="4" w:space="0" w:color="auto"/>
              <w:left w:val="single" w:sz="4" w:space="0" w:color="auto"/>
              <w:bottom w:val="single" w:sz="4" w:space="0" w:color="auto"/>
              <w:right w:val="single" w:sz="4" w:space="0" w:color="auto"/>
            </w:tcBorders>
            <w:vAlign w:val="center"/>
          </w:tcPr>
          <w:p w14:paraId="058228D2" w14:textId="77777777" w:rsidR="002D49B0" w:rsidRPr="00083739" w:rsidRDefault="002D49B0">
            <w:pPr>
              <w:spacing w:before="120" w:after="120" w:line="240" w:lineRule="auto"/>
              <w:jc w:val="center"/>
              <w:rPr>
                <w:rFonts w:ascii="Times New Roman" w:eastAsia="Times New Roman" w:hAnsi="Times New Roman" w:cs="Times New Roman"/>
                <w:b/>
                <w:bCs/>
                <w:noProof/>
                <w:sz w:val="18"/>
                <w:szCs w:val="18"/>
                <w:lang w:val="sk-SK"/>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6D64BDE1"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163" w:type="dxa"/>
            <w:vMerge/>
            <w:tcBorders>
              <w:top w:val="single" w:sz="4" w:space="0" w:color="auto"/>
              <w:left w:val="single" w:sz="4" w:space="0" w:color="auto"/>
              <w:bottom w:val="single" w:sz="4" w:space="0" w:color="auto"/>
              <w:right w:val="single" w:sz="4" w:space="0" w:color="auto"/>
            </w:tcBorders>
            <w:vAlign w:val="center"/>
          </w:tcPr>
          <w:p w14:paraId="4CD5466A" w14:textId="77777777" w:rsidR="002D49B0" w:rsidRPr="00083739" w:rsidRDefault="002D49B0">
            <w:pPr>
              <w:spacing w:before="120" w:after="120" w:line="240" w:lineRule="auto"/>
              <w:jc w:val="center"/>
              <w:rPr>
                <w:rFonts w:ascii="Times New Roman" w:eastAsia="Times New Roman" w:hAnsi="Times New Roman" w:cs="Times New Roman"/>
                <w:b/>
                <w:bCs/>
                <w:noProof/>
                <w:sz w:val="18"/>
                <w:szCs w:val="18"/>
                <w:lang w:val="sk-SK"/>
              </w:rPr>
            </w:pPr>
          </w:p>
        </w:tc>
        <w:tc>
          <w:tcPr>
            <w:tcW w:w="992" w:type="dxa"/>
            <w:tcBorders>
              <w:top w:val="single" w:sz="4" w:space="0" w:color="auto"/>
              <w:left w:val="single" w:sz="4" w:space="0" w:color="auto"/>
              <w:bottom w:val="single" w:sz="4" w:space="0" w:color="auto"/>
              <w:right w:val="single" w:sz="4" w:space="0" w:color="auto"/>
            </w:tcBorders>
            <w:shd w:val="clear" w:color="auto" w:fill="BDD7EE"/>
            <w:vAlign w:val="center"/>
          </w:tcPr>
          <w:p w14:paraId="2CFB3D15" w14:textId="77777777" w:rsidR="002D49B0" w:rsidRPr="00083739" w:rsidRDefault="00BF4125">
            <w:pPr>
              <w:pStyle w:val="P68B1DB1-Normal7"/>
              <w:spacing w:before="120" w:after="120" w:line="240" w:lineRule="auto"/>
              <w:jc w:val="center"/>
              <w:rPr>
                <w:rFonts w:eastAsia="Times New Roman" w:cs="Times New Roman"/>
                <w:bCs/>
                <w:noProof/>
                <w:szCs w:val="18"/>
                <w:lang w:val="sk-SK"/>
              </w:rPr>
            </w:pPr>
            <w:r w:rsidRPr="00083739">
              <w:rPr>
                <w:rFonts w:cs="Times New Roman"/>
                <w:noProof/>
                <w:lang w:val="sk-SK"/>
              </w:rPr>
              <w:t>Merná jednotka</w:t>
            </w:r>
          </w:p>
        </w:tc>
        <w:tc>
          <w:tcPr>
            <w:tcW w:w="1192" w:type="dxa"/>
            <w:tcBorders>
              <w:top w:val="single" w:sz="4" w:space="0" w:color="auto"/>
              <w:left w:val="nil"/>
              <w:bottom w:val="single" w:sz="4" w:space="0" w:color="auto"/>
              <w:right w:val="single" w:sz="4" w:space="0" w:color="auto"/>
            </w:tcBorders>
            <w:shd w:val="clear" w:color="auto" w:fill="BDD7EE"/>
            <w:vAlign w:val="center"/>
          </w:tcPr>
          <w:p w14:paraId="3D6309AC" w14:textId="77777777" w:rsidR="002D49B0" w:rsidRPr="00083739" w:rsidRDefault="00BF4125">
            <w:pPr>
              <w:pStyle w:val="P68B1DB1-Normal7"/>
              <w:spacing w:before="120" w:after="120" w:line="240" w:lineRule="auto"/>
              <w:jc w:val="center"/>
              <w:rPr>
                <w:rFonts w:eastAsia="Times New Roman" w:cs="Times New Roman"/>
                <w:bCs/>
                <w:noProof/>
                <w:szCs w:val="18"/>
                <w:lang w:val="sk-SK"/>
              </w:rPr>
            </w:pPr>
            <w:r w:rsidRPr="00083739">
              <w:rPr>
                <w:rFonts w:cs="Times New Roman"/>
                <w:noProof/>
                <w:lang w:val="sk-SK"/>
              </w:rPr>
              <w:t>Základná</w:t>
            </w:r>
          </w:p>
        </w:tc>
        <w:tc>
          <w:tcPr>
            <w:tcW w:w="666" w:type="dxa"/>
            <w:tcBorders>
              <w:top w:val="single" w:sz="4" w:space="0" w:color="auto"/>
              <w:left w:val="nil"/>
              <w:bottom w:val="single" w:sz="4" w:space="0" w:color="auto"/>
              <w:right w:val="single" w:sz="4" w:space="0" w:color="auto"/>
            </w:tcBorders>
            <w:shd w:val="clear" w:color="auto" w:fill="BDD7EE"/>
            <w:vAlign w:val="center"/>
          </w:tcPr>
          <w:p w14:paraId="1B76EA6C" w14:textId="77777777" w:rsidR="002D49B0" w:rsidRPr="00083739" w:rsidRDefault="00BF4125">
            <w:pPr>
              <w:pStyle w:val="P68B1DB1-Normal7"/>
              <w:spacing w:before="120" w:after="120" w:line="240" w:lineRule="auto"/>
              <w:jc w:val="center"/>
              <w:rPr>
                <w:rFonts w:eastAsia="Times New Roman" w:cs="Times New Roman"/>
                <w:bCs/>
                <w:noProof/>
                <w:szCs w:val="18"/>
                <w:lang w:val="sk-SK"/>
              </w:rPr>
            </w:pPr>
            <w:r w:rsidRPr="00083739">
              <w:rPr>
                <w:rFonts w:cs="Times New Roman"/>
                <w:noProof/>
                <w:lang w:val="sk-SK"/>
              </w:rPr>
              <w:t>Cieľ</w:t>
            </w:r>
          </w:p>
        </w:tc>
        <w:tc>
          <w:tcPr>
            <w:tcW w:w="921" w:type="dxa"/>
            <w:tcBorders>
              <w:top w:val="single" w:sz="4" w:space="0" w:color="auto"/>
              <w:left w:val="nil"/>
              <w:bottom w:val="single" w:sz="4" w:space="0" w:color="auto"/>
              <w:right w:val="single" w:sz="4" w:space="0" w:color="auto"/>
            </w:tcBorders>
            <w:shd w:val="clear" w:color="auto" w:fill="BDD7EE"/>
            <w:vAlign w:val="center"/>
          </w:tcPr>
          <w:p w14:paraId="3C0BEA08" w14:textId="77777777" w:rsidR="002D49B0" w:rsidRPr="00083739" w:rsidRDefault="00BF4125">
            <w:pPr>
              <w:pStyle w:val="P68B1DB1-Normal7"/>
              <w:spacing w:before="120" w:after="120" w:line="240" w:lineRule="auto"/>
              <w:jc w:val="center"/>
              <w:rPr>
                <w:rFonts w:eastAsia="Times New Roman" w:cs="Times New Roman"/>
                <w:bCs/>
                <w:noProof/>
                <w:szCs w:val="18"/>
                <w:lang w:val="sk-SK"/>
              </w:rPr>
            </w:pPr>
            <w:r w:rsidRPr="00083739">
              <w:rPr>
                <w:rFonts w:cs="Times New Roman"/>
                <w:noProof/>
                <w:lang w:val="sk-SK"/>
              </w:rPr>
              <w:t>Štvrtina</w:t>
            </w:r>
          </w:p>
        </w:tc>
        <w:tc>
          <w:tcPr>
            <w:tcW w:w="921" w:type="dxa"/>
            <w:gridSpan w:val="2"/>
            <w:tcBorders>
              <w:top w:val="single" w:sz="4" w:space="0" w:color="auto"/>
              <w:left w:val="nil"/>
              <w:bottom w:val="single" w:sz="4" w:space="0" w:color="auto"/>
              <w:right w:val="single" w:sz="4" w:space="0" w:color="auto"/>
            </w:tcBorders>
            <w:shd w:val="clear" w:color="auto" w:fill="BDD7EE"/>
            <w:vAlign w:val="center"/>
          </w:tcPr>
          <w:p w14:paraId="301E029C" w14:textId="77777777" w:rsidR="002D49B0" w:rsidRPr="00083739" w:rsidRDefault="00BF4125">
            <w:pPr>
              <w:pStyle w:val="P68B1DB1-Normal7"/>
              <w:spacing w:before="120" w:after="120" w:line="240" w:lineRule="auto"/>
              <w:jc w:val="center"/>
              <w:rPr>
                <w:rFonts w:eastAsia="Times New Roman" w:cs="Times New Roman"/>
                <w:bCs/>
                <w:noProof/>
                <w:szCs w:val="18"/>
                <w:lang w:val="sk-SK"/>
              </w:rPr>
            </w:pPr>
            <w:r w:rsidRPr="00083739">
              <w:rPr>
                <w:rFonts w:cs="Times New Roman"/>
                <w:noProof/>
                <w:lang w:val="sk-SK"/>
              </w:rPr>
              <w:t>Rok</w:t>
            </w:r>
          </w:p>
        </w:tc>
        <w:tc>
          <w:tcPr>
            <w:tcW w:w="3529" w:type="dxa"/>
            <w:vMerge/>
            <w:tcBorders>
              <w:top w:val="single" w:sz="4" w:space="0" w:color="auto"/>
              <w:bottom w:val="single" w:sz="4" w:space="0" w:color="auto"/>
              <w:right w:val="single" w:sz="4" w:space="0" w:color="auto"/>
            </w:tcBorders>
            <w:vAlign w:val="center"/>
          </w:tcPr>
          <w:p w14:paraId="0A56DC03" w14:textId="77777777" w:rsidR="002D49B0" w:rsidRPr="00083739" w:rsidRDefault="002D49B0">
            <w:pPr>
              <w:spacing w:before="120" w:after="120" w:line="240" w:lineRule="auto"/>
              <w:jc w:val="center"/>
              <w:rPr>
                <w:rFonts w:ascii="Times New Roman" w:eastAsia="Times New Roman" w:hAnsi="Times New Roman" w:cs="Times New Roman"/>
                <w:b/>
                <w:bCs/>
                <w:noProof/>
                <w:sz w:val="18"/>
                <w:szCs w:val="18"/>
                <w:lang w:val="sk-SK"/>
              </w:rPr>
            </w:pPr>
          </w:p>
        </w:tc>
      </w:tr>
      <w:tr w:rsidR="002D49B0" w:rsidRPr="00083739" w14:paraId="55095B62" w14:textId="77777777">
        <w:tc>
          <w:tcPr>
            <w:tcW w:w="1134" w:type="dxa"/>
            <w:tcBorders>
              <w:top w:val="single" w:sz="4" w:space="0" w:color="auto"/>
              <w:left w:val="single" w:sz="4" w:space="0" w:color="auto"/>
              <w:bottom w:val="single" w:sz="4" w:space="0" w:color="auto"/>
              <w:right w:val="single" w:sz="4" w:space="0" w:color="auto"/>
            </w:tcBorders>
            <w:shd w:val="clear" w:color="auto" w:fill="C6EFCE"/>
            <w:noWrap/>
          </w:tcPr>
          <w:p w14:paraId="476AFC7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356</w:t>
            </w:r>
          </w:p>
        </w:tc>
        <w:tc>
          <w:tcPr>
            <w:tcW w:w="2078" w:type="dxa"/>
            <w:tcBorders>
              <w:top w:val="single" w:sz="4" w:space="0" w:color="auto"/>
              <w:left w:val="nil"/>
              <w:bottom w:val="single" w:sz="4" w:space="0" w:color="auto"/>
              <w:right w:val="single" w:sz="4" w:space="0" w:color="auto"/>
            </w:tcBorders>
            <w:shd w:val="clear" w:color="auto" w:fill="C6EFCE"/>
            <w:noWrap/>
          </w:tcPr>
          <w:p w14:paraId="6E64E7DA" w14:textId="659C252B"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 – 5.1. Reformy REPowerEU – 16990_Zvýšenie kapacity sústavy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uskladňovacej kapacity – podpora investícií do uskladňovania </w:t>
            </w:r>
          </w:p>
        </w:tc>
        <w:tc>
          <w:tcPr>
            <w:tcW w:w="1007" w:type="dxa"/>
            <w:tcBorders>
              <w:top w:val="single" w:sz="4" w:space="0" w:color="auto"/>
              <w:left w:val="nil"/>
              <w:bottom w:val="single" w:sz="4" w:space="0" w:color="auto"/>
              <w:right w:val="single" w:sz="4" w:space="0" w:color="auto"/>
            </w:tcBorders>
            <w:shd w:val="clear" w:color="auto" w:fill="C6EFCE"/>
            <w:noWrap/>
          </w:tcPr>
          <w:p w14:paraId="301F88F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134" w:type="dxa"/>
            <w:tcBorders>
              <w:top w:val="single" w:sz="4" w:space="0" w:color="auto"/>
              <w:left w:val="nil"/>
              <w:bottom w:val="single" w:sz="4" w:space="0" w:color="auto"/>
              <w:right w:val="single" w:sz="4" w:space="0" w:color="auto"/>
            </w:tcBorders>
            <w:shd w:val="clear" w:color="auto" w:fill="C6EFCE"/>
            <w:noWrap/>
          </w:tcPr>
          <w:p w14:paraId="44D70FE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legislatívneho rámca.</w:t>
            </w:r>
          </w:p>
        </w:tc>
        <w:tc>
          <w:tcPr>
            <w:tcW w:w="1163" w:type="dxa"/>
            <w:tcBorders>
              <w:top w:val="single" w:sz="4" w:space="0" w:color="auto"/>
              <w:left w:val="nil"/>
              <w:bottom w:val="single" w:sz="4" w:space="0" w:color="auto"/>
              <w:right w:val="single" w:sz="4" w:space="0" w:color="auto"/>
            </w:tcBorders>
            <w:shd w:val="clear" w:color="auto" w:fill="C6EFCE"/>
            <w:noWrap/>
          </w:tcPr>
          <w:p w14:paraId="0988E689" w14:textId="79BC5A8F" w:rsidR="002D49B0" w:rsidRPr="00083739" w:rsidRDefault="00BF4125">
            <w:pPr>
              <w:pStyle w:val="P68B1DB1-Normal35"/>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color w:val="006100"/>
                <w:lang w:val="sk-SK"/>
              </w:rPr>
              <w:t>Primárne</w:t>
            </w:r>
            <w:r w:rsidR="00083739" w:rsidRPr="00083739">
              <w:rPr>
                <w:rFonts w:ascii="Times New Roman" w:hAnsi="Times New Roman" w:cs="Times New Roman"/>
                <w:noProof/>
                <w:color w:val="006100"/>
                <w:lang w:val="sk-SK"/>
              </w:rPr>
              <w:t xml:space="preserve"> a </w:t>
            </w:r>
            <w:r w:rsidRPr="00083739">
              <w:rPr>
                <w:rFonts w:ascii="Times New Roman" w:hAnsi="Times New Roman" w:cs="Times New Roman"/>
                <w:noProof/>
                <w:color w:val="006100"/>
                <w:lang w:val="sk-SK"/>
              </w:rPr>
              <w:t xml:space="preserve">sekundárne právne predpisy </w:t>
            </w:r>
            <w:r w:rsidRPr="00083739">
              <w:rPr>
                <w:rFonts w:ascii="Times New Roman" w:hAnsi="Times New Roman" w:cs="Times New Roman"/>
                <w:noProof/>
                <w:lang w:val="sk-SK"/>
              </w:rPr>
              <w:t xml:space="preserve"> </w:t>
            </w:r>
          </w:p>
        </w:tc>
        <w:tc>
          <w:tcPr>
            <w:tcW w:w="992" w:type="dxa"/>
            <w:tcBorders>
              <w:top w:val="single" w:sz="4" w:space="0" w:color="auto"/>
              <w:left w:val="nil"/>
              <w:bottom w:val="single" w:sz="4" w:space="0" w:color="auto"/>
              <w:right w:val="single" w:sz="4" w:space="0" w:color="auto"/>
            </w:tcBorders>
            <w:shd w:val="clear" w:color="auto" w:fill="C6EFCE"/>
            <w:noWrap/>
          </w:tcPr>
          <w:p w14:paraId="6400C74C" w14:textId="77777777" w:rsidR="002D49B0" w:rsidRPr="00083739" w:rsidRDefault="002D49B0">
            <w:pPr>
              <w:spacing w:after="0" w:line="240" w:lineRule="auto"/>
              <w:rPr>
                <w:rFonts w:ascii="Times New Roman" w:eastAsia="Times New Roman" w:hAnsi="Times New Roman" w:cs="Times New Roman"/>
                <w:noProof/>
                <w:sz w:val="18"/>
                <w:szCs w:val="18"/>
                <w:lang w:val="sk-SK"/>
              </w:rPr>
            </w:pPr>
          </w:p>
        </w:tc>
        <w:tc>
          <w:tcPr>
            <w:tcW w:w="1192" w:type="dxa"/>
            <w:tcBorders>
              <w:top w:val="nil"/>
              <w:left w:val="nil"/>
              <w:bottom w:val="single" w:sz="4" w:space="0" w:color="auto"/>
              <w:right w:val="single" w:sz="4" w:space="0" w:color="auto"/>
            </w:tcBorders>
            <w:shd w:val="clear" w:color="auto" w:fill="C6EFCE"/>
            <w:noWrap/>
          </w:tcPr>
          <w:p w14:paraId="0CEA8AED" w14:textId="77777777" w:rsidR="002D49B0" w:rsidRPr="00083739" w:rsidRDefault="002D49B0">
            <w:pPr>
              <w:spacing w:after="0" w:line="240" w:lineRule="auto"/>
              <w:rPr>
                <w:rFonts w:ascii="Times New Roman" w:eastAsia="Times New Roman" w:hAnsi="Times New Roman" w:cs="Times New Roman"/>
                <w:noProof/>
                <w:sz w:val="18"/>
                <w:szCs w:val="18"/>
                <w:lang w:val="sk-SK"/>
              </w:rPr>
            </w:pPr>
          </w:p>
        </w:tc>
        <w:tc>
          <w:tcPr>
            <w:tcW w:w="666" w:type="dxa"/>
            <w:tcBorders>
              <w:top w:val="nil"/>
              <w:left w:val="nil"/>
              <w:bottom w:val="single" w:sz="4" w:space="0" w:color="auto"/>
              <w:right w:val="single" w:sz="4" w:space="0" w:color="auto"/>
            </w:tcBorders>
            <w:shd w:val="clear" w:color="auto" w:fill="C6EFCE"/>
            <w:noWrap/>
          </w:tcPr>
          <w:p w14:paraId="1CE0512F" w14:textId="77777777" w:rsidR="002D49B0" w:rsidRPr="00083739" w:rsidRDefault="002D49B0">
            <w:pPr>
              <w:spacing w:after="0" w:line="240" w:lineRule="auto"/>
              <w:rPr>
                <w:rFonts w:ascii="Times New Roman" w:eastAsia="Times New Roman" w:hAnsi="Times New Roman" w:cs="Times New Roman"/>
                <w:noProof/>
                <w:sz w:val="18"/>
                <w:szCs w:val="18"/>
                <w:lang w:val="sk-SK"/>
              </w:rPr>
            </w:pPr>
          </w:p>
        </w:tc>
        <w:tc>
          <w:tcPr>
            <w:tcW w:w="931" w:type="dxa"/>
            <w:gridSpan w:val="2"/>
            <w:tcBorders>
              <w:top w:val="nil"/>
              <w:left w:val="nil"/>
              <w:bottom w:val="single" w:sz="4" w:space="0" w:color="auto"/>
              <w:right w:val="single" w:sz="4" w:space="0" w:color="auto"/>
            </w:tcBorders>
            <w:shd w:val="clear" w:color="auto" w:fill="C6EFCE"/>
            <w:noWrap/>
          </w:tcPr>
          <w:p w14:paraId="64973C8F" w14:textId="77777777" w:rsidR="002D49B0" w:rsidRPr="00083739" w:rsidRDefault="00BF4125">
            <w:pPr>
              <w:pStyle w:val="P68B1DB1-Normal9"/>
              <w:spacing w:after="12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911" w:type="dxa"/>
            <w:tcBorders>
              <w:top w:val="nil"/>
              <w:left w:val="nil"/>
              <w:bottom w:val="single" w:sz="4" w:space="0" w:color="auto"/>
              <w:right w:val="single" w:sz="4" w:space="0" w:color="auto"/>
            </w:tcBorders>
            <w:shd w:val="clear" w:color="auto" w:fill="C6EFCE"/>
            <w:noWrap/>
          </w:tcPr>
          <w:p w14:paraId="18FB148A" w14:textId="77777777" w:rsidR="002D49B0" w:rsidRPr="00083739" w:rsidRDefault="00BF4125">
            <w:pPr>
              <w:pStyle w:val="P68B1DB1-Normal9"/>
              <w:spacing w:after="12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2024</w:t>
            </w:r>
          </w:p>
        </w:tc>
        <w:tc>
          <w:tcPr>
            <w:tcW w:w="3529" w:type="dxa"/>
            <w:tcBorders>
              <w:top w:val="single" w:sz="4" w:space="0" w:color="auto"/>
              <w:left w:val="nil"/>
              <w:bottom w:val="single" w:sz="4" w:space="0" w:color="auto"/>
              <w:right w:val="single" w:sz="4" w:space="0" w:color="auto"/>
            </w:tcBorders>
            <w:shd w:val="clear" w:color="auto" w:fill="C6EFCE"/>
            <w:noWrap/>
          </w:tcPr>
          <w:p w14:paraId="734FBCC2" w14:textId="2CAD6A3E" w:rsidR="002D49B0" w:rsidRPr="00083739" w:rsidRDefault="00BF4125">
            <w:pPr>
              <w:pStyle w:val="P68B1DB1-Normal10"/>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Nadobudnutie účinnosti primárnych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sekundárnych právnych predpisov, ktorými sa stanovuje podporný rámec pre inštaláciu zásobníkov do existujúcich a</w:t>
            </w:r>
            <w:r w:rsidRPr="00083739">
              <w:rPr>
                <w:rFonts w:ascii="Times New Roman" w:hAnsi="Times New Roman" w:cs="Times New Roman"/>
                <w:noProof/>
                <w:lang w:val="sk-SK"/>
              </w:rPr>
              <w:t>lebo nových elektrární na výrobu energie</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obnoviteľných zdrojov, ktoré majú prednosť pri postupoch udeľovania licencií</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prístupe</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 xml:space="preserve">sieti do týchto elektrární. </w:t>
            </w:r>
          </w:p>
        </w:tc>
      </w:tr>
      <w:tr w:rsidR="002D49B0" w:rsidRPr="00083739" w14:paraId="0C6D6EF6" w14:textId="77777777">
        <w:tc>
          <w:tcPr>
            <w:tcW w:w="1134" w:type="dxa"/>
            <w:tcBorders>
              <w:top w:val="single" w:sz="4" w:space="0" w:color="auto"/>
              <w:left w:val="single" w:sz="4" w:space="0" w:color="auto"/>
              <w:bottom w:val="single" w:sz="4" w:space="0" w:color="auto"/>
              <w:right w:val="single" w:sz="4" w:space="0" w:color="auto"/>
            </w:tcBorders>
            <w:shd w:val="clear" w:color="auto" w:fill="C6EFCE"/>
            <w:noWrap/>
          </w:tcPr>
          <w:p w14:paraId="630390A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357</w:t>
            </w:r>
          </w:p>
        </w:tc>
        <w:tc>
          <w:tcPr>
            <w:tcW w:w="2078" w:type="dxa"/>
            <w:tcBorders>
              <w:top w:val="single" w:sz="4" w:space="0" w:color="auto"/>
              <w:left w:val="nil"/>
              <w:bottom w:val="single" w:sz="4" w:space="0" w:color="auto"/>
              <w:right w:val="single" w:sz="4" w:space="0" w:color="auto"/>
            </w:tcBorders>
            <w:shd w:val="clear" w:color="auto" w:fill="C6EFCE"/>
            <w:noWrap/>
          </w:tcPr>
          <w:p w14:paraId="1AD1062D" w14:textId="6CBCF165"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 – 5.1. Reformy REPowerEU – 16990_Sieť</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uskladňovacia kapacita – podpora investícií do</w:t>
            </w:r>
            <w:r w:rsidRPr="00083739">
              <w:rPr>
                <w:rFonts w:ascii="Times New Roman" w:hAnsi="Times New Roman" w:cs="Times New Roman"/>
                <w:noProof/>
                <w:lang w:val="sk-SK"/>
              </w:rPr>
              <w:t xml:space="preserve"> uskladňovania</w:t>
            </w:r>
          </w:p>
        </w:tc>
        <w:tc>
          <w:tcPr>
            <w:tcW w:w="1007" w:type="dxa"/>
            <w:tcBorders>
              <w:top w:val="single" w:sz="4" w:space="0" w:color="auto"/>
              <w:left w:val="nil"/>
              <w:bottom w:val="single" w:sz="4" w:space="0" w:color="auto"/>
              <w:right w:val="single" w:sz="4" w:space="0" w:color="auto"/>
            </w:tcBorders>
            <w:shd w:val="clear" w:color="auto" w:fill="C6EFCE"/>
            <w:noWrap/>
          </w:tcPr>
          <w:p w14:paraId="5FE6A5F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Míľnik </w:t>
            </w:r>
          </w:p>
        </w:tc>
        <w:tc>
          <w:tcPr>
            <w:tcW w:w="1134" w:type="dxa"/>
            <w:tcBorders>
              <w:top w:val="single" w:sz="4" w:space="0" w:color="auto"/>
              <w:left w:val="nil"/>
              <w:bottom w:val="single" w:sz="4" w:space="0" w:color="auto"/>
              <w:right w:val="single" w:sz="4" w:space="0" w:color="auto"/>
            </w:tcBorders>
            <w:shd w:val="clear" w:color="auto" w:fill="C6EFCE"/>
            <w:noWrap/>
          </w:tcPr>
          <w:p w14:paraId="2E79E8B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Nadobudnutie účinnosti systému podpory. </w:t>
            </w:r>
          </w:p>
        </w:tc>
        <w:tc>
          <w:tcPr>
            <w:tcW w:w="1163" w:type="dxa"/>
            <w:tcBorders>
              <w:top w:val="single" w:sz="4" w:space="0" w:color="auto"/>
              <w:left w:val="nil"/>
              <w:bottom w:val="single" w:sz="4" w:space="0" w:color="auto"/>
              <w:right w:val="single" w:sz="4" w:space="0" w:color="auto"/>
            </w:tcBorders>
            <w:shd w:val="clear" w:color="auto" w:fill="C6EFCE"/>
            <w:noWrap/>
          </w:tcPr>
          <w:p w14:paraId="15E1BB9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Zákon a/alebo ministerské rozhodnutie</w:t>
            </w:r>
          </w:p>
        </w:tc>
        <w:tc>
          <w:tcPr>
            <w:tcW w:w="992" w:type="dxa"/>
            <w:tcBorders>
              <w:top w:val="single" w:sz="4" w:space="0" w:color="auto"/>
              <w:left w:val="nil"/>
              <w:bottom w:val="single" w:sz="4" w:space="0" w:color="auto"/>
              <w:right w:val="single" w:sz="4" w:space="0" w:color="auto"/>
            </w:tcBorders>
            <w:shd w:val="clear" w:color="auto" w:fill="C6EFCE"/>
            <w:noWrap/>
          </w:tcPr>
          <w:p w14:paraId="0FE5E35A" w14:textId="77777777" w:rsidR="002D49B0" w:rsidRPr="00083739" w:rsidRDefault="002D49B0">
            <w:pPr>
              <w:spacing w:after="0" w:line="240" w:lineRule="auto"/>
              <w:rPr>
                <w:rFonts w:ascii="Times New Roman" w:eastAsia="Times New Roman" w:hAnsi="Times New Roman" w:cs="Times New Roman"/>
                <w:noProof/>
                <w:sz w:val="18"/>
                <w:szCs w:val="18"/>
                <w:lang w:val="sk-SK"/>
              </w:rPr>
            </w:pPr>
          </w:p>
        </w:tc>
        <w:tc>
          <w:tcPr>
            <w:tcW w:w="1192" w:type="dxa"/>
            <w:tcBorders>
              <w:top w:val="single" w:sz="4" w:space="0" w:color="auto"/>
              <w:left w:val="nil"/>
              <w:bottom w:val="single" w:sz="4" w:space="0" w:color="auto"/>
              <w:right w:val="single" w:sz="4" w:space="0" w:color="auto"/>
            </w:tcBorders>
            <w:shd w:val="clear" w:color="auto" w:fill="C6EFCE"/>
            <w:noWrap/>
          </w:tcPr>
          <w:p w14:paraId="014FAB39" w14:textId="77777777" w:rsidR="002D49B0" w:rsidRPr="00083739" w:rsidRDefault="002D49B0">
            <w:pPr>
              <w:spacing w:after="0" w:line="240" w:lineRule="auto"/>
              <w:rPr>
                <w:rFonts w:ascii="Times New Roman" w:eastAsia="Times New Roman" w:hAnsi="Times New Roman" w:cs="Times New Roman"/>
                <w:noProof/>
                <w:sz w:val="18"/>
                <w:szCs w:val="18"/>
                <w:lang w:val="sk-SK"/>
              </w:rPr>
            </w:pPr>
          </w:p>
        </w:tc>
        <w:tc>
          <w:tcPr>
            <w:tcW w:w="666" w:type="dxa"/>
            <w:tcBorders>
              <w:top w:val="single" w:sz="4" w:space="0" w:color="auto"/>
              <w:left w:val="nil"/>
              <w:bottom w:val="single" w:sz="4" w:space="0" w:color="auto"/>
              <w:right w:val="single" w:sz="4" w:space="0" w:color="auto"/>
            </w:tcBorders>
            <w:shd w:val="clear" w:color="auto" w:fill="C6EFCE"/>
            <w:noWrap/>
          </w:tcPr>
          <w:p w14:paraId="68684DAC" w14:textId="77777777" w:rsidR="002D49B0" w:rsidRPr="00083739" w:rsidRDefault="002D49B0">
            <w:pPr>
              <w:spacing w:after="0" w:line="240" w:lineRule="auto"/>
              <w:rPr>
                <w:rFonts w:ascii="Times New Roman" w:eastAsia="Times New Roman" w:hAnsi="Times New Roman" w:cs="Times New Roman"/>
                <w:noProof/>
                <w:sz w:val="18"/>
                <w:szCs w:val="18"/>
                <w:lang w:val="sk-SK"/>
              </w:rPr>
            </w:pPr>
          </w:p>
        </w:tc>
        <w:tc>
          <w:tcPr>
            <w:tcW w:w="931" w:type="dxa"/>
            <w:gridSpan w:val="2"/>
            <w:tcBorders>
              <w:top w:val="single" w:sz="4" w:space="0" w:color="auto"/>
              <w:left w:val="nil"/>
              <w:bottom w:val="single" w:sz="4" w:space="0" w:color="auto"/>
              <w:right w:val="single" w:sz="4" w:space="0" w:color="auto"/>
            </w:tcBorders>
            <w:shd w:val="clear" w:color="auto" w:fill="C6EFCE"/>
            <w:noWrap/>
          </w:tcPr>
          <w:p w14:paraId="0478A086" w14:textId="77777777" w:rsidR="002D49B0" w:rsidRPr="00083739" w:rsidRDefault="00BF4125">
            <w:pPr>
              <w:pStyle w:val="P68B1DB1-Normal9"/>
              <w:spacing w:after="12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911" w:type="dxa"/>
            <w:tcBorders>
              <w:top w:val="single" w:sz="4" w:space="0" w:color="auto"/>
              <w:left w:val="nil"/>
              <w:bottom w:val="single" w:sz="4" w:space="0" w:color="auto"/>
              <w:right w:val="single" w:sz="4" w:space="0" w:color="auto"/>
            </w:tcBorders>
            <w:shd w:val="clear" w:color="auto" w:fill="C6EFCE"/>
            <w:noWrap/>
          </w:tcPr>
          <w:p w14:paraId="22B2D5E0" w14:textId="77777777" w:rsidR="002D49B0" w:rsidRPr="00083739" w:rsidRDefault="00BF4125">
            <w:pPr>
              <w:pStyle w:val="P68B1DB1-Normal9"/>
              <w:spacing w:after="12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3529" w:type="dxa"/>
            <w:tcBorders>
              <w:top w:val="single" w:sz="4" w:space="0" w:color="auto"/>
              <w:left w:val="nil"/>
              <w:bottom w:val="single" w:sz="4" w:space="0" w:color="auto"/>
              <w:right w:val="single" w:sz="4" w:space="0" w:color="auto"/>
            </w:tcBorders>
            <w:shd w:val="clear" w:color="auto" w:fill="C6EFCE"/>
            <w:noWrap/>
          </w:tcPr>
          <w:p w14:paraId="41C3B7C2" w14:textId="4C6C7086"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systému podpory prostredníctvom aukcií</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prípade kombinovaných zásobníkov energie</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obnoviteľných zdrojov</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fotovoltickými technológiami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technológiami uskladňovania</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 xml:space="preserve">batériách. </w:t>
            </w:r>
          </w:p>
        </w:tc>
      </w:tr>
    </w:tbl>
    <w:p w14:paraId="777EA951" w14:textId="65503027" w:rsidR="002D49B0" w:rsidRPr="00083739" w:rsidRDefault="00BF4125">
      <w:pPr>
        <w:pStyle w:val="P68B1DB1-Normal6"/>
        <w:keepNext/>
        <w:keepLines/>
        <w:spacing w:before="240" w:after="0" w:line="240" w:lineRule="auto"/>
        <w:jc w:val="both"/>
        <w:outlineLvl w:val="4"/>
        <w:rPr>
          <w:rFonts w:ascii="Times New Roman" w:eastAsia="Times New Roman" w:hAnsi="Times New Roman" w:cs="Times New Roman"/>
          <w:noProof/>
          <w:szCs w:val="24"/>
          <w:lang w:val="sk-SK"/>
        </w:rPr>
      </w:pPr>
      <w:r w:rsidRPr="00083739">
        <w:rPr>
          <w:rFonts w:ascii="Times New Roman" w:hAnsi="Times New Roman" w:cs="Times New Roman"/>
          <w:noProof/>
          <w:lang w:val="sk-SK"/>
        </w:rPr>
        <w:t>Reforma 5: Regulačný rámec na ceste</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inteligentnej sieti (ID opatrenia: 16991)</w:t>
      </w:r>
    </w:p>
    <w:tbl>
      <w:tblPr>
        <w:tblW w:w="14596" w:type="dxa"/>
        <w:tblLayout w:type="fixed"/>
        <w:tblLook w:val="04A0" w:firstRow="1" w:lastRow="0" w:firstColumn="1" w:lastColumn="0" w:noHBand="0" w:noVBand="1"/>
      </w:tblPr>
      <w:tblGrid>
        <w:gridCol w:w="1106"/>
        <w:gridCol w:w="2020"/>
        <w:gridCol w:w="982"/>
        <w:gridCol w:w="1105"/>
        <w:gridCol w:w="1696"/>
        <w:gridCol w:w="954"/>
        <w:gridCol w:w="996"/>
        <w:gridCol w:w="652"/>
        <w:gridCol w:w="899"/>
        <w:gridCol w:w="10"/>
        <w:gridCol w:w="889"/>
        <w:gridCol w:w="3287"/>
      </w:tblGrid>
      <w:tr w:rsidR="002D49B0" w:rsidRPr="00083739" w14:paraId="4639F544" w14:textId="77777777">
        <w:trPr>
          <w:trHeight w:val="1125"/>
          <w:tblHeader/>
        </w:trPr>
        <w:tc>
          <w:tcPr>
            <w:tcW w:w="113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1327CDD" w14:textId="77777777" w:rsidR="002D49B0" w:rsidRPr="00083739" w:rsidRDefault="00BF4125">
            <w:pPr>
              <w:pStyle w:val="P68B1DB1-Normal7"/>
              <w:spacing w:before="120" w:after="120" w:line="240" w:lineRule="auto"/>
              <w:jc w:val="center"/>
              <w:rPr>
                <w:rFonts w:cs="Times New Roman"/>
                <w:noProof/>
                <w:sz w:val="24"/>
                <w:lang w:val="sk-SK"/>
              </w:rPr>
            </w:pPr>
            <w:r w:rsidRPr="00083739">
              <w:rPr>
                <w:rFonts w:cs="Times New Roman"/>
                <w:noProof/>
                <w:lang w:val="sk-SK"/>
              </w:rPr>
              <w:t>Poradové číslo</w:t>
            </w:r>
          </w:p>
        </w:tc>
        <w:tc>
          <w:tcPr>
            <w:tcW w:w="2078" w:type="dxa"/>
            <w:vMerge w:val="restart"/>
            <w:tcBorders>
              <w:top w:val="single" w:sz="4" w:space="0" w:color="auto"/>
              <w:left w:val="single" w:sz="4" w:space="0" w:color="auto"/>
              <w:right w:val="single" w:sz="4" w:space="0" w:color="auto"/>
            </w:tcBorders>
            <w:shd w:val="clear" w:color="auto" w:fill="BDD7EE"/>
            <w:vAlign w:val="center"/>
            <w:hideMark/>
          </w:tcPr>
          <w:p w14:paraId="18ED0E9E" w14:textId="77777777" w:rsidR="002D49B0" w:rsidRPr="00083739" w:rsidRDefault="00BF4125">
            <w:pPr>
              <w:pStyle w:val="P68B1DB1-Normal7"/>
              <w:spacing w:before="120" w:after="120" w:line="240" w:lineRule="auto"/>
              <w:jc w:val="center"/>
              <w:rPr>
                <w:rFonts w:cs="Times New Roman"/>
                <w:noProof/>
                <w:sz w:val="24"/>
                <w:lang w:val="sk-SK"/>
              </w:rPr>
            </w:pPr>
            <w:r w:rsidRPr="00083739">
              <w:rPr>
                <w:rFonts w:cs="Times New Roman"/>
                <w:noProof/>
                <w:lang w:val="sk-SK"/>
              </w:rPr>
              <w:t>Súvisiace opatrenie (reforma alebo investícia)</w:t>
            </w:r>
          </w:p>
        </w:tc>
        <w:tc>
          <w:tcPr>
            <w:tcW w:w="1007" w:type="dxa"/>
            <w:vMerge w:val="restart"/>
            <w:tcBorders>
              <w:top w:val="single" w:sz="4" w:space="0" w:color="auto"/>
              <w:left w:val="single" w:sz="4" w:space="0" w:color="auto"/>
              <w:right w:val="single" w:sz="4" w:space="0" w:color="auto"/>
            </w:tcBorders>
            <w:shd w:val="clear" w:color="auto" w:fill="BDD7EE"/>
            <w:vAlign w:val="center"/>
            <w:hideMark/>
          </w:tcPr>
          <w:p w14:paraId="59567F31" w14:textId="77777777" w:rsidR="002D49B0" w:rsidRPr="00083739" w:rsidRDefault="00BF4125">
            <w:pPr>
              <w:pStyle w:val="P68B1DB1-Normal7"/>
              <w:spacing w:before="120" w:after="120" w:line="240" w:lineRule="auto"/>
              <w:jc w:val="center"/>
              <w:rPr>
                <w:rFonts w:cs="Times New Roman"/>
                <w:noProof/>
                <w:sz w:val="24"/>
                <w:lang w:val="sk-SK"/>
              </w:rPr>
            </w:pPr>
            <w:r w:rsidRPr="00083739">
              <w:rPr>
                <w:rFonts w:cs="Times New Roman"/>
                <w:noProof/>
                <w:lang w:val="sk-SK"/>
              </w:rPr>
              <w:t>Míľnik/cieľ</w:t>
            </w:r>
          </w:p>
        </w:tc>
        <w:tc>
          <w:tcPr>
            <w:tcW w:w="1134" w:type="dxa"/>
            <w:vMerge w:val="restart"/>
            <w:tcBorders>
              <w:top w:val="single" w:sz="4" w:space="0" w:color="auto"/>
              <w:left w:val="single" w:sz="4" w:space="0" w:color="auto"/>
              <w:right w:val="single" w:sz="4" w:space="0" w:color="auto"/>
            </w:tcBorders>
            <w:shd w:val="clear" w:color="auto" w:fill="BDD7EE"/>
            <w:vAlign w:val="center"/>
            <w:hideMark/>
          </w:tcPr>
          <w:p w14:paraId="665A52B1" w14:textId="77777777" w:rsidR="002D49B0" w:rsidRPr="00083739" w:rsidRDefault="00BF4125">
            <w:pPr>
              <w:pStyle w:val="P68B1DB1-Normal7"/>
              <w:spacing w:before="120" w:after="120" w:line="240" w:lineRule="auto"/>
              <w:jc w:val="center"/>
              <w:rPr>
                <w:rFonts w:cs="Times New Roman"/>
                <w:noProof/>
                <w:sz w:val="24"/>
                <w:lang w:val="sk-SK"/>
              </w:rPr>
            </w:pPr>
            <w:r w:rsidRPr="00083739">
              <w:rPr>
                <w:rFonts w:cs="Times New Roman"/>
                <w:noProof/>
                <w:lang w:val="sk-SK"/>
              </w:rPr>
              <w:t>Názov</w:t>
            </w:r>
          </w:p>
        </w:tc>
        <w:tc>
          <w:tcPr>
            <w:tcW w:w="1744" w:type="dxa"/>
            <w:vMerge w:val="restart"/>
            <w:tcBorders>
              <w:top w:val="single" w:sz="4" w:space="0" w:color="auto"/>
              <w:left w:val="single" w:sz="4" w:space="0" w:color="auto"/>
              <w:right w:val="single" w:sz="4" w:space="0" w:color="auto"/>
            </w:tcBorders>
            <w:shd w:val="clear" w:color="auto" w:fill="BDD7EE"/>
            <w:vAlign w:val="center"/>
            <w:hideMark/>
          </w:tcPr>
          <w:p w14:paraId="32232C9D" w14:textId="77777777" w:rsidR="002D49B0" w:rsidRPr="00083739" w:rsidRDefault="00BF4125">
            <w:pPr>
              <w:pStyle w:val="P68B1DB1-Normal7"/>
              <w:spacing w:before="120" w:after="120" w:line="240" w:lineRule="auto"/>
              <w:jc w:val="center"/>
              <w:rPr>
                <w:rFonts w:cs="Times New Roman"/>
                <w:noProof/>
                <w:sz w:val="24"/>
                <w:lang w:val="sk-SK"/>
              </w:rPr>
            </w:pPr>
            <w:r w:rsidRPr="00083739">
              <w:rPr>
                <w:rFonts w:cs="Times New Roman"/>
                <w:noProof/>
                <w:lang w:val="sk-SK"/>
              </w:rPr>
              <w:t xml:space="preserve">Kvalitatívne </w:t>
            </w:r>
            <w:r w:rsidRPr="00083739">
              <w:rPr>
                <w:rFonts w:cs="Times New Roman"/>
                <w:noProof/>
                <w:lang w:val="sk-SK"/>
              </w:rPr>
              <w:t>ukazovatele (pre míľniky)</w:t>
            </w:r>
          </w:p>
        </w:tc>
        <w:tc>
          <w:tcPr>
            <w:tcW w:w="2269" w:type="dxa"/>
            <w:gridSpan w:val="3"/>
            <w:tcBorders>
              <w:top w:val="single" w:sz="4" w:space="0" w:color="auto"/>
              <w:left w:val="single" w:sz="4" w:space="0" w:color="auto"/>
              <w:bottom w:val="single" w:sz="4" w:space="0" w:color="auto"/>
              <w:right w:val="single" w:sz="4" w:space="0" w:color="auto"/>
            </w:tcBorders>
            <w:shd w:val="clear" w:color="auto" w:fill="BDD7EE"/>
            <w:vAlign w:val="center"/>
            <w:hideMark/>
          </w:tcPr>
          <w:p w14:paraId="0A73547C" w14:textId="77777777" w:rsidR="002D49B0" w:rsidRPr="00083739" w:rsidRDefault="00BF4125">
            <w:pPr>
              <w:pStyle w:val="P68B1DB1-Normal7"/>
              <w:spacing w:before="120" w:after="120" w:line="240" w:lineRule="auto"/>
              <w:jc w:val="center"/>
              <w:rPr>
                <w:rFonts w:cs="Times New Roman"/>
                <w:noProof/>
                <w:sz w:val="24"/>
                <w:lang w:val="sk-SK"/>
              </w:rPr>
            </w:pPr>
            <w:r w:rsidRPr="00083739">
              <w:rPr>
                <w:rFonts w:cs="Times New Roman"/>
                <w:noProof/>
                <w:lang w:val="sk-SK"/>
              </w:rPr>
              <w:t>Kvantitatívne ukazovatele (pre ciele)</w:t>
            </w:r>
          </w:p>
        </w:tc>
        <w:tc>
          <w:tcPr>
            <w:tcW w:w="1842" w:type="dxa"/>
            <w:gridSpan w:val="3"/>
            <w:tcBorders>
              <w:top w:val="single" w:sz="4" w:space="0" w:color="auto"/>
              <w:left w:val="nil"/>
              <w:bottom w:val="single" w:sz="4" w:space="0" w:color="auto"/>
              <w:right w:val="single" w:sz="4" w:space="0" w:color="auto"/>
            </w:tcBorders>
            <w:shd w:val="clear" w:color="auto" w:fill="BDD7EE"/>
            <w:vAlign w:val="center"/>
            <w:hideMark/>
          </w:tcPr>
          <w:p w14:paraId="057CDD89" w14:textId="77777777" w:rsidR="002D49B0" w:rsidRPr="00083739" w:rsidRDefault="00BF4125">
            <w:pPr>
              <w:pStyle w:val="P68B1DB1-Normal7"/>
              <w:spacing w:before="120" w:after="120" w:line="240" w:lineRule="auto"/>
              <w:jc w:val="center"/>
              <w:rPr>
                <w:rFonts w:cs="Times New Roman"/>
                <w:noProof/>
                <w:sz w:val="24"/>
                <w:lang w:val="sk-SK"/>
              </w:rPr>
            </w:pPr>
            <w:r w:rsidRPr="00083739">
              <w:rPr>
                <w:rFonts w:cs="Times New Roman"/>
                <w:noProof/>
                <w:lang w:val="sk-SK"/>
              </w:rPr>
              <w:t>Orientačný harmonogram dokončenia</w:t>
            </w:r>
          </w:p>
        </w:tc>
        <w:tc>
          <w:tcPr>
            <w:tcW w:w="338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24B84FF" w14:textId="7B642D49" w:rsidR="002D49B0" w:rsidRPr="00083739" w:rsidRDefault="00BF4125">
            <w:pPr>
              <w:pStyle w:val="P68B1DB1-Normal7"/>
              <w:spacing w:before="120" w:after="120" w:line="240" w:lineRule="auto"/>
              <w:jc w:val="center"/>
              <w:rPr>
                <w:rFonts w:cs="Times New Roman"/>
                <w:noProof/>
                <w:sz w:val="24"/>
                <w:lang w:val="sk-SK"/>
              </w:rPr>
            </w:pPr>
            <w:r w:rsidRPr="00083739">
              <w:rPr>
                <w:rFonts w:cs="Times New Roman"/>
                <w:noProof/>
                <w:lang w:val="sk-SK"/>
              </w:rPr>
              <w:t>Opis každého míľnika</w:t>
            </w:r>
            <w:r w:rsidR="00083739" w:rsidRPr="00083739">
              <w:rPr>
                <w:rFonts w:cs="Times New Roman"/>
                <w:noProof/>
                <w:lang w:val="sk-SK"/>
              </w:rPr>
              <w:t xml:space="preserve"> a </w:t>
            </w:r>
            <w:r w:rsidRPr="00083739">
              <w:rPr>
                <w:rFonts w:cs="Times New Roman"/>
                <w:noProof/>
                <w:lang w:val="sk-SK"/>
              </w:rPr>
              <w:t>cieľa</w:t>
            </w:r>
          </w:p>
        </w:tc>
      </w:tr>
      <w:tr w:rsidR="002D49B0" w:rsidRPr="00083739" w14:paraId="261F257C" w14:textId="77777777">
        <w:trPr>
          <w:trHeight w:val="848"/>
          <w:tblHeader/>
        </w:trPr>
        <w:tc>
          <w:tcPr>
            <w:tcW w:w="1134" w:type="dxa"/>
            <w:vMerge/>
            <w:tcBorders>
              <w:top w:val="single" w:sz="4" w:space="0" w:color="auto"/>
              <w:left w:val="single" w:sz="4" w:space="0" w:color="auto"/>
              <w:bottom w:val="single" w:sz="4" w:space="0" w:color="auto"/>
            </w:tcBorders>
            <w:vAlign w:val="center"/>
          </w:tcPr>
          <w:p w14:paraId="3883083F" w14:textId="77777777" w:rsidR="002D49B0" w:rsidRPr="00083739" w:rsidRDefault="002D49B0">
            <w:pPr>
              <w:spacing w:before="120" w:after="120" w:line="240" w:lineRule="auto"/>
              <w:jc w:val="center"/>
              <w:rPr>
                <w:rFonts w:ascii="Times New Roman" w:eastAsia="Times New Roman" w:hAnsi="Times New Roman" w:cs="Times New Roman"/>
                <w:b/>
                <w:bCs/>
                <w:noProof/>
                <w:sz w:val="18"/>
                <w:szCs w:val="18"/>
                <w:lang w:val="sk-SK"/>
              </w:rPr>
            </w:pPr>
          </w:p>
        </w:tc>
        <w:tc>
          <w:tcPr>
            <w:tcW w:w="2078" w:type="dxa"/>
            <w:vMerge/>
            <w:tcBorders>
              <w:left w:val="single" w:sz="4" w:space="0" w:color="auto"/>
              <w:bottom w:val="single" w:sz="4" w:space="0" w:color="auto"/>
              <w:right w:val="single" w:sz="4" w:space="0" w:color="auto"/>
            </w:tcBorders>
            <w:shd w:val="clear" w:color="auto" w:fill="BDD7EE"/>
            <w:vAlign w:val="center"/>
          </w:tcPr>
          <w:p w14:paraId="15E02ADC" w14:textId="77777777" w:rsidR="002D49B0" w:rsidRPr="00083739" w:rsidRDefault="002D49B0">
            <w:pPr>
              <w:spacing w:before="120" w:after="120" w:line="240" w:lineRule="auto"/>
              <w:jc w:val="center"/>
              <w:rPr>
                <w:rFonts w:ascii="Times New Roman" w:eastAsia="Times New Roman" w:hAnsi="Times New Roman" w:cs="Times New Roman"/>
                <w:b/>
                <w:bCs/>
                <w:noProof/>
                <w:sz w:val="18"/>
                <w:szCs w:val="18"/>
                <w:lang w:val="sk-SK"/>
              </w:rPr>
            </w:pPr>
          </w:p>
        </w:tc>
        <w:tc>
          <w:tcPr>
            <w:tcW w:w="1007" w:type="dxa"/>
            <w:vMerge/>
            <w:tcBorders>
              <w:left w:val="single" w:sz="4" w:space="0" w:color="auto"/>
              <w:bottom w:val="single" w:sz="4" w:space="0" w:color="auto"/>
              <w:right w:val="single" w:sz="4" w:space="0" w:color="auto"/>
            </w:tcBorders>
            <w:shd w:val="clear" w:color="auto" w:fill="BDD7EE"/>
            <w:vAlign w:val="center"/>
          </w:tcPr>
          <w:p w14:paraId="53D908D2" w14:textId="77777777" w:rsidR="002D49B0" w:rsidRPr="00083739" w:rsidRDefault="002D49B0">
            <w:pPr>
              <w:spacing w:before="120" w:after="120" w:line="240" w:lineRule="auto"/>
              <w:jc w:val="center"/>
              <w:rPr>
                <w:rFonts w:ascii="Times New Roman" w:eastAsia="Times New Roman" w:hAnsi="Times New Roman" w:cs="Times New Roman"/>
                <w:b/>
                <w:bCs/>
                <w:noProof/>
                <w:sz w:val="18"/>
                <w:szCs w:val="18"/>
                <w:lang w:val="sk-SK"/>
              </w:rPr>
            </w:pPr>
          </w:p>
        </w:tc>
        <w:tc>
          <w:tcPr>
            <w:tcW w:w="1134" w:type="dxa"/>
            <w:vMerge/>
            <w:tcBorders>
              <w:left w:val="single" w:sz="4" w:space="0" w:color="auto"/>
              <w:bottom w:val="single" w:sz="4" w:space="0" w:color="auto"/>
              <w:right w:val="single" w:sz="4" w:space="0" w:color="auto"/>
            </w:tcBorders>
            <w:shd w:val="clear" w:color="auto" w:fill="BDD7EE"/>
            <w:vAlign w:val="center"/>
          </w:tcPr>
          <w:p w14:paraId="48344465"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744" w:type="dxa"/>
            <w:vMerge/>
            <w:tcBorders>
              <w:left w:val="single" w:sz="4" w:space="0" w:color="auto"/>
              <w:bottom w:val="single" w:sz="4" w:space="0" w:color="auto"/>
              <w:right w:val="single" w:sz="4" w:space="0" w:color="auto"/>
            </w:tcBorders>
            <w:shd w:val="clear" w:color="auto" w:fill="BDD7EE"/>
            <w:vAlign w:val="center"/>
          </w:tcPr>
          <w:p w14:paraId="1830A3F2" w14:textId="77777777" w:rsidR="002D49B0" w:rsidRPr="00083739" w:rsidRDefault="002D49B0">
            <w:pPr>
              <w:spacing w:before="120" w:after="120" w:line="240" w:lineRule="auto"/>
              <w:jc w:val="center"/>
              <w:rPr>
                <w:rFonts w:ascii="Times New Roman" w:eastAsia="Times New Roman" w:hAnsi="Times New Roman" w:cs="Times New Roman"/>
                <w:b/>
                <w:bCs/>
                <w:noProof/>
                <w:sz w:val="18"/>
                <w:szCs w:val="18"/>
                <w:lang w:val="sk-SK"/>
              </w:rPr>
            </w:pPr>
          </w:p>
        </w:tc>
        <w:tc>
          <w:tcPr>
            <w:tcW w:w="978" w:type="dxa"/>
            <w:tcBorders>
              <w:top w:val="single" w:sz="4" w:space="0" w:color="auto"/>
              <w:left w:val="single" w:sz="4" w:space="0" w:color="auto"/>
              <w:bottom w:val="single" w:sz="4" w:space="0" w:color="auto"/>
              <w:right w:val="single" w:sz="4" w:space="0" w:color="auto"/>
            </w:tcBorders>
            <w:shd w:val="clear" w:color="auto" w:fill="BDD7EE"/>
            <w:vAlign w:val="center"/>
          </w:tcPr>
          <w:p w14:paraId="1D0E38CF" w14:textId="77777777" w:rsidR="002D49B0" w:rsidRPr="00083739" w:rsidRDefault="00BF4125">
            <w:pPr>
              <w:pStyle w:val="P68B1DB1-Normal7"/>
              <w:spacing w:before="120" w:after="120" w:line="240" w:lineRule="auto"/>
              <w:jc w:val="center"/>
              <w:rPr>
                <w:rFonts w:eastAsia="Times New Roman" w:cs="Times New Roman"/>
                <w:bCs/>
                <w:noProof/>
                <w:szCs w:val="18"/>
                <w:lang w:val="sk-SK"/>
              </w:rPr>
            </w:pPr>
            <w:r w:rsidRPr="00083739">
              <w:rPr>
                <w:rFonts w:cs="Times New Roman"/>
                <w:noProof/>
                <w:lang w:val="sk-SK"/>
              </w:rPr>
              <w:t>Merná jednotka</w:t>
            </w:r>
          </w:p>
        </w:tc>
        <w:tc>
          <w:tcPr>
            <w:tcW w:w="1021" w:type="dxa"/>
            <w:tcBorders>
              <w:top w:val="single" w:sz="4" w:space="0" w:color="auto"/>
              <w:left w:val="nil"/>
              <w:bottom w:val="single" w:sz="4" w:space="0" w:color="auto"/>
              <w:right w:val="single" w:sz="4" w:space="0" w:color="auto"/>
            </w:tcBorders>
            <w:shd w:val="clear" w:color="auto" w:fill="BDD7EE"/>
            <w:vAlign w:val="center"/>
          </w:tcPr>
          <w:p w14:paraId="45A61206" w14:textId="77777777" w:rsidR="002D49B0" w:rsidRPr="00083739" w:rsidRDefault="00BF4125">
            <w:pPr>
              <w:pStyle w:val="P68B1DB1-Normal7"/>
              <w:spacing w:before="120" w:after="120" w:line="240" w:lineRule="auto"/>
              <w:jc w:val="center"/>
              <w:rPr>
                <w:rFonts w:eastAsia="Times New Roman" w:cs="Times New Roman"/>
                <w:bCs/>
                <w:noProof/>
                <w:szCs w:val="18"/>
                <w:lang w:val="sk-SK"/>
              </w:rPr>
            </w:pPr>
            <w:r w:rsidRPr="00083739">
              <w:rPr>
                <w:rFonts w:cs="Times New Roman"/>
                <w:noProof/>
                <w:lang w:val="sk-SK"/>
              </w:rPr>
              <w:t>Základná</w:t>
            </w:r>
          </w:p>
        </w:tc>
        <w:tc>
          <w:tcPr>
            <w:tcW w:w="666" w:type="dxa"/>
            <w:tcBorders>
              <w:top w:val="single" w:sz="4" w:space="0" w:color="auto"/>
              <w:left w:val="nil"/>
              <w:bottom w:val="single" w:sz="4" w:space="0" w:color="auto"/>
              <w:right w:val="single" w:sz="4" w:space="0" w:color="auto"/>
            </w:tcBorders>
            <w:shd w:val="clear" w:color="auto" w:fill="BDD7EE"/>
            <w:vAlign w:val="center"/>
          </w:tcPr>
          <w:p w14:paraId="0F0E4C32" w14:textId="77777777" w:rsidR="002D49B0" w:rsidRPr="00083739" w:rsidRDefault="00BF4125">
            <w:pPr>
              <w:pStyle w:val="P68B1DB1-Normal7"/>
              <w:spacing w:before="120" w:after="120" w:line="240" w:lineRule="auto"/>
              <w:jc w:val="center"/>
              <w:rPr>
                <w:rFonts w:eastAsia="Times New Roman" w:cs="Times New Roman"/>
                <w:bCs/>
                <w:noProof/>
                <w:szCs w:val="18"/>
                <w:lang w:val="sk-SK"/>
              </w:rPr>
            </w:pPr>
            <w:r w:rsidRPr="00083739">
              <w:rPr>
                <w:rFonts w:cs="Times New Roman"/>
                <w:noProof/>
                <w:lang w:val="sk-SK"/>
              </w:rPr>
              <w:t>Cieľ</w:t>
            </w:r>
          </w:p>
        </w:tc>
        <w:tc>
          <w:tcPr>
            <w:tcW w:w="921" w:type="dxa"/>
            <w:tcBorders>
              <w:top w:val="single" w:sz="4" w:space="0" w:color="auto"/>
              <w:left w:val="nil"/>
              <w:bottom w:val="single" w:sz="4" w:space="0" w:color="auto"/>
              <w:right w:val="single" w:sz="4" w:space="0" w:color="auto"/>
            </w:tcBorders>
            <w:shd w:val="clear" w:color="auto" w:fill="BDD7EE"/>
            <w:vAlign w:val="center"/>
          </w:tcPr>
          <w:p w14:paraId="328DCFBD" w14:textId="77777777" w:rsidR="002D49B0" w:rsidRPr="00083739" w:rsidRDefault="00BF4125">
            <w:pPr>
              <w:pStyle w:val="P68B1DB1-Normal7"/>
              <w:spacing w:before="120" w:after="120" w:line="240" w:lineRule="auto"/>
              <w:jc w:val="center"/>
              <w:rPr>
                <w:rFonts w:eastAsia="Times New Roman" w:cs="Times New Roman"/>
                <w:bCs/>
                <w:noProof/>
                <w:szCs w:val="18"/>
                <w:lang w:val="sk-SK"/>
              </w:rPr>
            </w:pPr>
            <w:r w:rsidRPr="00083739">
              <w:rPr>
                <w:rFonts w:cs="Times New Roman"/>
                <w:noProof/>
                <w:lang w:val="sk-SK"/>
              </w:rPr>
              <w:t>Štvrtina</w:t>
            </w:r>
          </w:p>
        </w:tc>
        <w:tc>
          <w:tcPr>
            <w:tcW w:w="921" w:type="dxa"/>
            <w:gridSpan w:val="2"/>
            <w:tcBorders>
              <w:top w:val="single" w:sz="4" w:space="0" w:color="auto"/>
              <w:left w:val="nil"/>
              <w:bottom w:val="single" w:sz="4" w:space="0" w:color="auto"/>
              <w:right w:val="single" w:sz="4" w:space="0" w:color="auto"/>
            </w:tcBorders>
            <w:shd w:val="clear" w:color="auto" w:fill="BDD7EE"/>
            <w:vAlign w:val="center"/>
          </w:tcPr>
          <w:p w14:paraId="05675AA2" w14:textId="77777777" w:rsidR="002D49B0" w:rsidRPr="00083739" w:rsidRDefault="00BF4125">
            <w:pPr>
              <w:pStyle w:val="P68B1DB1-Normal7"/>
              <w:spacing w:before="120" w:after="120" w:line="240" w:lineRule="auto"/>
              <w:jc w:val="center"/>
              <w:rPr>
                <w:rFonts w:eastAsia="Times New Roman" w:cs="Times New Roman"/>
                <w:bCs/>
                <w:noProof/>
                <w:szCs w:val="18"/>
                <w:lang w:val="sk-SK"/>
              </w:rPr>
            </w:pPr>
            <w:r w:rsidRPr="00083739">
              <w:rPr>
                <w:rFonts w:cs="Times New Roman"/>
                <w:noProof/>
                <w:lang w:val="sk-SK"/>
              </w:rPr>
              <w:t>Rok</w:t>
            </w:r>
          </w:p>
        </w:tc>
        <w:tc>
          <w:tcPr>
            <w:tcW w:w="3388" w:type="dxa"/>
            <w:vMerge/>
            <w:tcBorders>
              <w:bottom w:val="single" w:sz="4" w:space="0" w:color="auto"/>
              <w:right w:val="single" w:sz="4" w:space="0" w:color="auto"/>
            </w:tcBorders>
            <w:vAlign w:val="center"/>
          </w:tcPr>
          <w:p w14:paraId="690CAB93" w14:textId="77777777" w:rsidR="002D49B0" w:rsidRPr="00083739" w:rsidRDefault="002D49B0">
            <w:pPr>
              <w:spacing w:before="120" w:after="120" w:line="240" w:lineRule="auto"/>
              <w:jc w:val="center"/>
              <w:rPr>
                <w:rFonts w:ascii="Times New Roman" w:eastAsia="Times New Roman" w:hAnsi="Times New Roman" w:cs="Times New Roman"/>
                <w:b/>
                <w:bCs/>
                <w:noProof/>
                <w:sz w:val="18"/>
                <w:szCs w:val="18"/>
                <w:lang w:val="sk-SK"/>
              </w:rPr>
            </w:pPr>
          </w:p>
        </w:tc>
      </w:tr>
      <w:tr w:rsidR="002D49B0" w:rsidRPr="00083739" w14:paraId="6C79D180" w14:textId="77777777">
        <w:tc>
          <w:tcPr>
            <w:tcW w:w="1134" w:type="dxa"/>
            <w:tcBorders>
              <w:top w:val="single" w:sz="4" w:space="0" w:color="auto"/>
              <w:left w:val="single" w:sz="4" w:space="0" w:color="auto"/>
              <w:bottom w:val="single" w:sz="4" w:space="0" w:color="auto"/>
              <w:right w:val="single" w:sz="4" w:space="0" w:color="auto"/>
            </w:tcBorders>
            <w:shd w:val="clear" w:color="auto" w:fill="C6EFCE"/>
            <w:noWrap/>
          </w:tcPr>
          <w:p w14:paraId="13EDBBE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358</w:t>
            </w:r>
          </w:p>
        </w:tc>
        <w:tc>
          <w:tcPr>
            <w:tcW w:w="2078" w:type="dxa"/>
            <w:tcBorders>
              <w:top w:val="single" w:sz="4" w:space="0" w:color="auto"/>
              <w:left w:val="nil"/>
              <w:bottom w:val="single" w:sz="4" w:space="0" w:color="auto"/>
              <w:right w:val="single" w:sz="4" w:space="0" w:color="auto"/>
            </w:tcBorders>
            <w:shd w:val="clear" w:color="auto" w:fill="C6EFCE"/>
            <w:noWrap/>
          </w:tcPr>
          <w:p w14:paraId="224F1737" w14:textId="47C04BDB"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 – 5.1. Reformy REPowerEU – 16991_Regulačný rámec smerom</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 xml:space="preserve">inteligentnej </w:t>
            </w:r>
            <w:r w:rsidRPr="00083739">
              <w:rPr>
                <w:rFonts w:ascii="Times New Roman" w:hAnsi="Times New Roman" w:cs="Times New Roman"/>
                <w:noProof/>
                <w:lang w:val="sk-SK"/>
              </w:rPr>
              <w:t>sieti</w:t>
            </w:r>
          </w:p>
        </w:tc>
        <w:tc>
          <w:tcPr>
            <w:tcW w:w="1007" w:type="dxa"/>
            <w:tcBorders>
              <w:top w:val="single" w:sz="4" w:space="0" w:color="auto"/>
              <w:left w:val="nil"/>
              <w:bottom w:val="single" w:sz="4" w:space="0" w:color="auto"/>
              <w:right w:val="single" w:sz="4" w:space="0" w:color="auto"/>
            </w:tcBorders>
            <w:shd w:val="clear" w:color="auto" w:fill="C6EFCE"/>
            <w:noWrap/>
          </w:tcPr>
          <w:p w14:paraId="4F3A619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134" w:type="dxa"/>
            <w:tcBorders>
              <w:top w:val="single" w:sz="4" w:space="0" w:color="auto"/>
              <w:left w:val="nil"/>
              <w:bottom w:val="single" w:sz="4" w:space="0" w:color="auto"/>
              <w:right w:val="single" w:sz="4" w:space="0" w:color="auto"/>
            </w:tcBorders>
            <w:shd w:val="clear" w:color="auto" w:fill="C6EFCE"/>
            <w:noWrap/>
          </w:tcPr>
          <w:p w14:paraId="0DBE91B6" w14:textId="44DE075B"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Vyvinúť systém založený na stimuloch pre prevádzkovateľov distribučných sústav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spotrebiteľov</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cieľom zvýšiť zavádzanie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využívanie inteligentných meračov.</w:t>
            </w:r>
          </w:p>
        </w:tc>
        <w:tc>
          <w:tcPr>
            <w:tcW w:w="1744" w:type="dxa"/>
            <w:tcBorders>
              <w:top w:val="single" w:sz="4" w:space="0" w:color="auto"/>
              <w:left w:val="nil"/>
              <w:bottom w:val="single" w:sz="4" w:space="0" w:color="auto"/>
              <w:right w:val="single" w:sz="4" w:space="0" w:color="auto"/>
            </w:tcBorders>
            <w:shd w:val="clear" w:color="auto" w:fill="C6EFCE"/>
            <w:noWrap/>
          </w:tcPr>
          <w:p w14:paraId="62E89AE7"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p w14:paraId="108B7B1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Spoločné ministerské rozhodnutie/rozhodnutie regulačného orgánu</w:t>
            </w:r>
          </w:p>
        </w:tc>
        <w:tc>
          <w:tcPr>
            <w:tcW w:w="978" w:type="dxa"/>
            <w:tcBorders>
              <w:top w:val="nil"/>
              <w:left w:val="nil"/>
              <w:bottom w:val="single" w:sz="4" w:space="0" w:color="auto"/>
              <w:right w:val="single" w:sz="4" w:space="0" w:color="auto"/>
            </w:tcBorders>
            <w:shd w:val="clear" w:color="auto" w:fill="C6EFCE"/>
            <w:noWrap/>
          </w:tcPr>
          <w:p w14:paraId="51FD0B46" w14:textId="77777777" w:rsidR="002D49B0" w:rsidRPr="00083739" w:rsidRDefault="002D49B0">
            <w:pPr>
              <w:spacing w:after="0" w:line="240" w:lineRule="auto"/>
              <w:rPr>
                <w:rFonts w:ascii="Times New Roman" w:eastAsia="Times New Roman" w:hAnsi="Times New Roman" w:cs="Times New Roman"/>
                <w:noProof/>
                <w:sz w:val="18"/>
                <w:szCs w:val="18"/>
                <w:lang w:val="sk-SK"/>
              </w:rPr>
            </w:pPr>
          </w:p>
        </w:tc>
        <w:tc>
          <w:tcPr>
            <w:tcW w:w="1021" w:type="dxa"/>
            <w:tcBorders>
              <w:top w:val="nil"/>
              <w:left w:val="nil"/>
              <w:bottom w:val="single" w:sz="4" w:space="0" w:color="auto"/>
              <w:right w:val="single" w:sz="4" w:space="0" w:color="auto"/>
            </w:tcBorders>
            <w:shd w:val="clear" w:color="auto" w:fill="C6EFCE"/>
            <w:noWrap/>
          </w:tcPr>
          <w:p w14:paraId="73A65CEF" w14:textId="77777777" w:rsidR="002D49B0" w:rsidRPr="00083739" w:rsidRDefault="002D49B0">
            <w:pPr>
              <w:spacing w:after="0" w:line="240" w:lineRule="auto"/>
              <w:rPr>
                <w:rFonts w:ascii="Times New Roman" w:eastAsia="Times New Roman" w:hAnsi="Times New Roman" w:cs="Times New Roman"/>
                <w:noProof/>
                <w:sz w:val="18"/>
                <w:szCs w:val="18"/>
                <w:lang w:val="sk-SK"/>
              </w:rPr>
            </w:pPr>
          </w:p>
        </w:tc>
        <w:tc>
          <w:tcPr>
            <w:tcW w:w="666" w:type="dxa"/>
            <w:tcBorders>
              <w:top w:val="nil"/>
              <w:left w:val="nil"/>
              <w:bottom w:val="single" w:sz="4" w:space="0" w:color="auto"/>
              <w:right w:val="single" w:sz="4" w:space="0" w:color="auto"/>
            </w:tcBorders>
            <w:shd w:val="clear" w:color="auto" w:fill="C6EFCE"/>
            <w:noWrap/>
          </w:tcPr>
          <w:p w14:paraId="50483B3A" w14:textId="77777777" w:rsidR="002D49B0" w:rsidRPr="00083739" w:rsidRDefault="002D49B0">
            <w:pPr>
              <w:spacing w:after="0" w:line="240" w:lineRule="auto"/>
              <w:rPr>
                <w:rFonts w:ascii="Times New Roman" w:eastAsia="Times New Roman" w:hAnsi="Times New Roman" w:cs="Times New Roman"/>
                <w:noProof/>
                <w:sz w:val="18"/>
                <w:szCs w:val="18"/>
                <w:lang w:val="sk-SK"/>
              </w:rPr>
            </w:pPr>
          </w:p>
        </w:tc>
        <w:tc>
          <w:tcPr>
            <w:tcW w:w="931" w:type="dxa"/>
            <w:gridSpan w:val="2"/>
            <w:tcBorders>
              <w:top w:val="nil"/>
              <w:left w:val="nil"/>
              <w:bottom w:val="single" w:sz="4" w:space="0" w:color="auto"/>
              <w:right w:val="single" w:sz="4" w:space="0" w:color="auto"/>
            </w:tcBorders>
            <w:shd w:val="clear" w:color="auto" w:fill="C6EFCE"/>
            <w:noWrap/>
          </w:tcPr>
          <w:p w14:paraId="7E150A64" w14:textId="77777777" w:rsidR="002D49B0" w:rsidRPr="00083739" w:rsidRDefault="00BF4125">
            <w:pPr>
              <w:pStyle w:val="P68B1DB1-Normal9"/>
              <w:spacing w:after="12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911" w:type="dxa"/>
            <w:tcBorders>
              <w:top w:val="nil"/>
              <w:left w:val="nil"/>
              <w:bottom w:val="single" w:sz="4" w:space="0" w:color="auto"/>
              <w:right w:val="single" w:sz="4" w:space="0" w:color="auto"/>
            </w:tcBorders>
            <w:shd w:val="clear" w:color="auto" w:fill="C6EFCE"/>
            <w:noWrap/>
          </w:tcPr>
          <w:p w14:paraId="083C94DE" w14:textId="77777777" w:rsidR="002D49B0" w:rsidRPr="00083739" w:rsidRDefault="00BF4125">
            <w:pPr>
              <w:pStyle w:val="P68B1DB1-Normal9"/>
              <w:spacing w:after="12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w:t>
            </w:r>
            <w:r w:rsidRPr="00083739">
              <w:rPr>
                <w:rFonts w:ascii="Times New Roman" w:hAnsi="Times New Roman" w:cs="Times New Roman"/>
                <w:noProof/>
                <w:lang w:val="sk-SK"/>
              </w:rPr>
              <w:t>024</w:t>
            </w:r>
          </w:p>
        </w:tc>
        <w:tc>
          <w:tcPr>
            <w:tcW w:w="3388" w:type="dxa"/>
            <w:tcBorders>
              <w:top w:val="single" w:sz="4" w:space="0" w:color="auto"/>
              <w:left w:val="nil"/>
              <w:bottom w:val="single" w:sz="4" w:space="0" w:color="auto"/>
              <w:right w:val="single" w:sz="4" w:space="0" w:color="auto"/>
            </w:tcBorders>
            <w:shd w:val="clear" w:color="auto" w:fill="C6EFCE"/>
            <w:noWrap/>
          </w:tcPr>
          <w:p w14:paraId="1727C9EA" w14:textId="0C80FFB4"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spoločného ministerského rozhodnutia/rozhodnutia regulačného orgánu</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vývoji systému založeného na stimuloch pre prevádzkovateľa distribučnej sústavy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spotrebiteľov</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cieľom zvýšiť zavádzanie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využívanie inteligentných meračov.</w:t>
            </w:r>
          </w:p>
        </w:tc>
      </w:tr>
      <w:tr w:rsidR="002D49B0" w:rsidRPr="00083739" w14:paraId="6DB8DF87" w14:textId="77777777">
        <w:trPr>
          <w:trHeight w:val="1526"/>
        </w:trPr>
        <w:tc>
          <w:tcPr>
            <w:tcW w:w="1134" w:type="dxa"/>
            <w:tcBorders>
              <w:top w:val="single" w:sz="4" w:space="0" w:color="auto"/>
              <w:left w:val="single" w:sz="4" w:space="0" w:color="auto"/>
              <w:bottom w:val="single" w:sz="4" w:space="0" w:color="auto"/>
              <w:right w:val="single" w:sz="4" w:space="0" w:color="auto"/>
            </w:tcBorders>
            <w:shd w:val="clear" w:color="auto" w:fill="C6EFCE"/>
            <w:noWrap/>
          </w:tcPr>
          <w:p w14:paraId="1866FDE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359</w:t>
            </w:r>
          </w:p>
        </w:tc>
        <w:tc>
          <w:tcPr>
            <w:tcW w:w="2078" w:type="dxa"/>
            <w:tcBorders>
              <w:top w:val="single" w:sz="4" w:space="0" w:color="auto"/>
              <w:left w:val="nil"/>
              <w:bottom w:val="single" w:sz="4" w:space="0" w:color="auto"/>
              <w:right w:val="single" w:sz="4" w:space="0" w:color="auto"/>
            </w:tcBorders>
            <w:shd w:val="clear" w:color="auto" w:fill="C6EFCE"/>
            <w:noWrap/>
          </w:tcPr>
          <w:p w14:paraId="42268D9C" w14:textId="01F3D950"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 – 5.1. Reformy REPowerEU – 16991_Regulačný rámec smerom</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inteligentnej sieti</w:t>
            </w:r>
          </w:p>
        </w:tc>
        <w:tc>
          <w:tcPr>
            <w:tcW w:w="1007" w:type="dxa"/>
            <w:tcBorders>
              <w:top w:val="single" w:sz="4" w:space="0" w:color="auto"/>
              <w:left w:val="nil"/>
              <w:bottom w:val="single" w:sz="4" w:space="0" w:color="auto"/>
              <w:right w:val="single" w:sz="4" w:space="0" w:color="auto"/>
            </w:tcBorders>
            <w:shd w:val="clear" w:color="auto" w:fill="C6EFCE"/>
            <w:noWrap/>
          </w:tcPr>
          <w:p w14:paraId="5C13709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Míľnik </w:t>
            </w:r>
          </w:p>
        </w:tc>
        <w:tc>
          <w:tcPr>
            <w:tcW w:w="1134" w:type="dxa"/>
            <w:tcBorders>
              <w:top w:val="single" w:sz="4" w:space="0" w:color="auto"/>
              <w:left w:val="nil"/>
              <w:bottom w:val="single" w:sz="4" w:space="0" w:color="auto"/>
              <w:right w:val="single" w:sz="4" w:space="0" w:color="auto"/>
            </w:tcBorders>
            <w:shd w:val="clear" w:color="auto" w:fill="C6EFCE"/>
            <w:noWrap/>
          </w:tcPr>
          <w:p w14:paraId="70D31F4E" w14:textId="2B6066CB"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Rámec pre zmluvy</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 xml:space="preserve">dynamickom oceňovaní </w:t>
            </w:r>
          </w:p>
        </w:tc>
        <w:tc>
          <w:tcPr>
            <w:tcW w:w="1744" w:type="dxa"/>
            <w:tcBorders>
              <w:top w:val="single" w:sz="4" w:space="0" w:color="auto"/>
              <w:left w:val="nil"/>
              <w:bottom w:val="single" w:sz="4" w:space="0" w:color="auto"/>
              <w:right w:val="single" w:sz="4" w:space="0" w:color="auto"/>
            </w:tcBorders>
            <w:shd w:val="clear" w:color="auto" w:fill="C6EFCE"/>
            <w:noWrap/>
          </w:tcPr>
          <w:p w14:paraId="6E64D3FE"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p w14:paraId="2D259D6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Ministerské rozhodnutie</w:t>
            </w:r>
          </w:p>
        </w:tc>
        <w:tc>
          <w:tcPr>
            <w:tcW w:w="978" w:type="dxa"/>
            <w:tcBorders>
              <w:top w:val="single" w:sz="4" w:space="0" w:color="auto"/>
              <w:left w:val="nil"/>
              <w:bottom w:val="single" w:sz="4" w:space="0" w:color="auto"/>
              <w:right w:val="single" w:sz="4" w:space="0" w:color="auto"/>
            </w:tcBorders>
            <w:shd w:val="clear" w:color="auto" w:fill="C6EFCE"/>
            <w:noWrap/>
          </w:tcPr>
          <w:p w14:paraId="17144213" w14:textId="77777777" w:rsidR="002D49B0" w:rsidRPr="00083739" w:rsidRDefault="002D49B0">
            <w:pPr>
              <w:spacing w:after="0" w:line="240" w:lineRule="auto"/>
              <w:rPr>
                <w:rFonts w:ascii="Times New Roman" w:eastAsia="Times New Roman" w:hAnsi="Times New Roman" w:cs="Times New Roman"/>
                <w:noProof/>
                <w:sz w:val="18"/>
                <w:szCs w:val="18"/>
                <w:lang w:val="sk-SK"/>
              </w:rPr>
            </w:pPr>
          </w:p>
        </w:tc>
        <w:tc>
          <w:tcPr>
            <w:tcW w:w="1021" w:type="dxa"/>
            <w:tcBorders>
              <w:top w:val="single" w:sz="4" w:space="0" w:color="auto"/>
              <w:left w:val="nil"/>
              <w:bottom w:val="single" w:sz="4" w:space="0" w:color="auto"/>
              <w:right w:val="single" w:sz="4" w:space="0" w:color="auto"/>
            </w:tcBorders>
            <w:shd w:val="clear" w:color="auto" w:fill="C6EFCE"/>
            <w:noWrap/>
          </w:tcPr>
          <w:p w14:paraId="7F379B94" w14:textId="77777777" w:rsidR="002D49B0" w:rsidRPr="00083739" w:rsidRDefault="002D49B0">
            <w:pPr>
              <w:spacing w:after="0" w:line="240" w:lineRule="auto"/>
              <w:rPr>
                <w:rFonts w:ascii="Times New Roman" w:eastAsia="Times New Roman" w:hAnsi="Times New Roman" w:cs="Times New Roman"/>
                <w:noProof/>
                <w:sz w:val="18"/>
                <w:szCs w:val="18"/>
                <w:lang w:val="sk-SK"/>
              </w:rPr>
            </w:pPr>
          </w:p>
        </w:tc>
        <w:tc>
          <w:tcPr>
            <w:tcW w:w="666" w:type="dxa"/>
            <w:tcBorders>
              <w:top w:val="single" w:sz="4" w:space="0" w:color="auto"/>
              <w:left w:val="nil"/>
              <w:bottom w:val="single" w:sz="4" w:space="0" w:color="auto"/>
              <w:right w:val="single" w:sz="4" w:space="0" w:color="auto"/>
            </w:tcBorders>
            <w:shd w:val="clear" w:color="auto" w:fill="C6EFCE"/>
            <w:noWrap/>
          </w:tcPr>
          <w:p w14:paraId="13588450" w14:textId="77777777" w:rsidR="002D49B0" w:rsidRPr="00083739" w:rsidRDefault="002D49B0">
            <w:pPr>
              <w:spacing w:after="0" w:line="240" w:lineRule="auto"/>
              <w:rPr>
                <w:rFonts w:ascii="Times New Roman" w:eastAsia="Times New Roman" w:hAnsi="Times New Roman" w:cs="Times New Roman"/>
                <w:noProof/>
                <w:sz w:val="18"/>
                <w:szCs w:val="18"/>
                <w:lang w:val="sk-SK"/>
              </w:rPr>
            </w:pPr>
          </w:p>
        </w:tc>
        <w:tc>
          <w:tcPr>
            <w:tcW w:w="931" w:type="dxa"/>
            <w:gridSpan w:val="2"/>
            <w:tcBorders>
              <w:top w:val="single" w:sz="4" w:space="0" w:color="auto"/>
              <w:left w:val="nil"/>
              <w:bottom w:val="single" w:sz="4" w:space="0" w:color="auto"/>
              <w:right w:val="single" w:sz="4" w:space="0" w:color="auto"/>
            </w:tcBorders>
            <w:shd w:val="clear" w:color="auto" w:fill="C6EFCE"/>
            <w:noWrap/>
          </w:tcPr>
          <w:p w14:paraId="45D8BB2B" w14:textId="77777777" w:rsidR="002D49B0" w:rsidRPr="00083739" w:rsidRDefault="00BF4125">
            <w:pPr>
              <w:pStyle w:val="P68B1DB1-Normal9"/>
              <w:spacing w:after="12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911" w:type="dxa"/>
            <w:tcBorders>
              <w:top w:val="single" w:sz="4" w:space="0" w:color="auto"/>
              <w:left w:val="nil"/>
              <w:bottom w:val="single" w:sz="4" w:space="0" w:color="auto"/>
              <w:right w:val="single" w:sz="4" w:space="0" w:color="auto"/>
            </w:tcBorders>
            <w:shd w:val="clear" w:color="auto" w:fill="C6EFCE"/>
            <w:noWrap/>
          </w:tcPr>
          <w:p w14:paraId="26912CC0" w14:textId="77777777" w:rsidR="002D49B0" w:rsidRPr="00083739" w:rsidRDefault="00BF4125">
            <w:pPr>
              <w:pStyle w:val="P68B1DB1-Normal9"/>
              <w:spacing w:after="12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2024</w:t>
            </w:r>
          </w:p>
        </w:tc>
        <w:tc>
          <w:tcPr>
            <w:tcW w:w="3388" w:type="dxa"/>
            <w:tcBorders>
              <w:top w:val="single" w:sz="4" w:space="0" w:color="auto"/>
              <w:left w:val="nil"/>
              <w:bottom w:val="single" w:sz="4" w:space="0" w:color="auto"/>
              <w:right w:val="single" w:sz="4" w:space="0" w:color="auto"/>
            </w:tcBorders>
            <w:shd w:val="clear" w:color="auto" w:fill="C6EFCE"/>
            <w:noWrap/>
          </w:tcPr>
          <w:p w14:paraId="2A6E8A35" w14:textId="1EAA685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rámca pre zmluvy</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dynamickej cenotvorbe</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cieľom zaviesť dynamické ceny pre všetkých koncových spotrebiteľov hneď po inštalácii inteligentného meracieho zariadenia</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ich servisnom pripojení. Spoločné ministerské rozhodnutie, ktorým sa stanovujú koncepčné otázky, kľúčové podmienky dynamických zmlúv</w:t>
            </w:r>
            <w:r w:rsidRPr="00083739">
              <w:rPr>
                <w:rFonts w:ascii="Times New Roman" w:hAnsi="Times New Roman" w:cs="Times New Roman"/>
                <w:noProof/>
                <w:lang w:val="sk-SK"/>
              </w:rPr>
              <w:t>.</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spoločnom ministerskom rozhodnutí sa stanovia práva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povinnosti prevádzkovateľov, zástupcov zaťaženia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odberateľov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súvislosti</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 xml:space="preserve">vykonávaním dynamickej tvorby cien. </w:t>
            </w:r>
          </w:p>
        </w:tc>
      </w:tr>
      <w:tr w:rsidR="002D49B0" w:rsidRPr="00083739" w14:paraId="1BE3CBDF" w14:textId="77777777">
        <w:tc>
          <w:tcPr>
            <w:tcW w:w="1134" w:type="dxa"/>
            <w:tcBorders>
              <w:top w:val="single" w:sz="4" w:space="0" w:color="auto"/>
              <w:left w:val="single" w:sz="4" w:space="0" w:color="auto"/>
              <w:bottom w:val="single" w:sz="4" w:space="0" w:color="auto"/>
              <w:right w:val="single" w:sz="4" w:space="0" w:color="auto"/>
            </w:tcBorders>
            <w:shd w:val="clear" w:color="auto" w:fill="C6EFCE"/>
            <w:noWrap/>
          </w:tcPr>
          <w:p w14:paraId="68643AC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360</w:t>
            </w:r>
          </w:p>
        </w:tc>
        <w:tc>
          <w:tcPr>
            <w:tcW w:w="2078" w:type="dxa"/>
            <w:tcBorders>
              <w:top w:val="single" w:sz="4" w:space="0" w:color="auto"/>
              <w:left w:val="nil"/>
              <w:bottom w:val="single" w:sz="4" w:space="0" w:color="auto"/>
              <w:right w:val="single" w:sz="4" w:space="0" w:color="auto"/>
            </w:tcBorders>
            <w:shd w:val="clear" w:color="auto" w:fill="C6EFCE"/>
            <w:noWrap/>
          </w:tcPr>
          <w:p w14:paraId="68308E95" w14:textId="125442C9"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 – 5.1. Reformy REPowerEU – 16991_Regulačný rámec smerom</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 xml:space="preserve">inteligentnej </w:t>
            </w:r>
            <w:r w:rsidRPr="00083739">
              <w:rPr>
                <w:rFonts w:ascii="Times New Roman" w:hAnsi="Times New Roman" w:cs="Times New Roman"/>
                <w:noProof/>
                <w:lang w:val="sk-SK"/>
              </w:rPr>
              <w:t>sieti</w:t>
            </w:r>
          </w:p>
        </w:tc>
        <w:tc>
          <w:tcPr>
            <w:tcW w:w="1007" w:type="dxa"/>
            <w:tcBorders>
              <w:top w:val="single" w:sz="4" w:space="0" w:color="auto"/>
              <w:left w:val="nil"/>
              <w:bottom w:val="single" w:sz="4" w:space="0" w:color="auto"/>
              <w:right w:val="single" w:sz="4" w:space="0" w:color="auto"/>
            </w:tcBorders>
            <w:shd w:val="clear" w:color="auto" w:fill="C6EFCE"/>
            <w:noWrap/>
          </w:tcPr>
          <w:p w14:paraId="29DAC83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134" w:type="dxa"/>
            <w:tcBorders>
              <w:top w:val="single" w:sz="4" w:space="0" w:color="auto"/>
              <w:left w:val="nil"/>
              <w:bottom w:val="single" w:sz="4" w:space="0" w:color="auto"/>
              <w:right w:val="single" w:sz="4" w:space="0" w:color="auto"/>
            </w:tcBorders>
            <w:shd w:val="clear" w:color="auto" w:fill="C6EFCE"/>
            <w:noWrap/>
          </w:tcPr>
          <w:p w14:paraId="4940AB6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Rozvoj kontrolného centra prevádzkovateľa distribučnej sústavy</w:t>
            </w:r>
          </w:p>
        </w:tc>
        <w:tc>
          <w:tcPr>
            <w:tcW w:w="1744" w:type="dxa"/>
            <w:tcBorders>
              <w:top w:val="single" w:sz="4" w:space="0" w:color="auto"/>
              <w:left w:val="nil"/>
              <w:bottom w:val="single" w:sz="4" w:space="0" w:color="auto"/>
              <w:right w:val="single" w:sz="4" w:space="0" w:color="auto"/>
            </w:tcBorders>
            <w:shd w:val="clear" w:color="auto" w:fill="C6EFCE"/>
            <w:noWrap/>
          </w:tcPr>
          <w:p w14:paraId="50FC165C" w14:textId="506106CF"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Potvrdenie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tom, že PDS súhlasí</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 xml:space="preserve">dokončením kontrolného centra </w:t>
            </w:r>
          </w:p>
        </w:tc>
        <w:tc>
          <w:tcPr>
            <w:tcW w:w="978" w:type="dxa"/>
            <w:tcBorders>
              <w:top w:val="single" w:sz="4" w:space="0" w:color="auto"/>
              <w:left w:val="nil"/>
              <w:bottom w:val="single" w:sz="4" w:space="0" w:color="auto"/>
              <w:right w:val="single" w:sz="4" w:space="0" w:color="auto"/>
            </w:tcBorders>
            <w:shd w:val="clear" w:color="auto" w:fill="C6EFCE"/>
            <w:noWrap/>
          </w:tcPr>
          <w:p w14:paraId="71F2AB00" w14:textId="77777777" w:rsidR="002D49B0" w:rsidRPr="00083739" w:rsidRDefault="002D49B0">
            <w:pPr>
              <w:spacing w:after="0" w:line="240" w:lineRule="auto"/>
              <w:rPr>
                <w:rFonts w:ascii="Times New Roman" w:eastAsia="Times New Roman" w:hAnsi="Times New Roman" w:cs="Times New Roman"/>
                <w:noProof/>
                <w:sz w:val="18"/>
                <w:szCs w:val="18"/>
                <w:lang w:val="sk-SK"/>
              </w:rPr>
            </w:pPr>
          </w:p>
        </w:tc>
        <w:tc>
          <w:tcPr>
            <w:tcW w:w="1021" w:type="dxa"/>
            <w:tcBorders>
              <w:top w:val="single" w:sz="4" w:space="0" w:color="auto"/>
              <w:left w:val="nil"/>
              <w:bottom w:val="single" w:sz="4" w:space="0" w:color="auto"/>
              <w:right w:val="single" w:sz="4" w:space="0" w:color="auto"/>
            </w:tcBorders>
            <w:shd w:val="clear" w:color="auto" w:fill="C6EFCE"/>
            <w:noWrap/>
          </w:tcPr>
          <w:p w14:paraId="05970834" w14:textId="77777777" w:rsidR="002D49B0" w:rsidRPr="00083739" w:rsidRDefault="002D49B0">
            <w:pPr>
              <w:spacing w:after="0" w:line="240" w:lineRule="auto"/>
              <w:rPr>
                <w:rFonts w:ascii="Times New Roman" w:eastAsia="Times New Roman" w:hAnsi="Times New Roman" w:cs="Times New Roman"/>
                <w:noProof/>
                <w:sz w:val="18"/>
                <w:szCs w:val="18"/>
                <w:lang w:val="sk-SK"/>
              </w:rPr>
            </w:pPr>
          </w:p>
        </w:tc>
        <w:tc>
          <w:tcPr>
            <w:tcW w:w="666" w:type="dxa"/>
            <w:tcBorders>
              <w:top w:val="single" w:sz="4" w:space="0" w:color="auto"/>
              <w:left w:val="nil"/>
              <w:bottom w:val="single" w:sz="4" w:space="0" w:color="auto"/>
              <w:right w:val="single" w:sz="4" w:space="0" w:color="auto"/>
            </w:tcBorders>
            <w:shd w:val="clear" w:color="auto" w:fill="C6EFCE"/>
            <w:noWrap/>
          </w:tcPr>
          <w:p w14:paraId="0E226745" w14:textId="77777777" w:rsidR="002D49B0" w:rsidRPr="00083739" w:rsidRDefault="002D49B0">
            <w:pPr>
              <w:spacing w:after="0" w:line="240" w:lineRule="auto"/>
              <w:rPr>
                <w:rFonts w:ascii="Times New Roman" w:eastAsia="Times New Roman" w:hAnsi="Times New Roman" w:cs="Times New Roman"/>
                <w:noProof/>
                <w:sz w:val="18"/>
                <w:szCs w:val="18"/>
                <w:lang w:val="sk-SK"/>
              </w:rPr>
            </w:pPr>
          </w:p>
        </w:tc>
        <w:tc>
          <w:tcPr>
            <w:tcW w:w="931" w:type="dxa"/>
            <w:gridSpan w:val="2"/>
            <w:tcBorders>
              <w:top w:val="single" w:sz="4" w:space="0" w:color="auto"/>
              <w:left w:val="nil"/>
              <w:bottom w:val="single" w:sz="4" w:space="0" w:color="auto"/>
              <w:right w:val="single" w:sz="4" w:space="0" w:color="auto"/>
            </w:tcBorders>
            <w:shd w:val="clear" w:color="auto" w:fill="C6EFCE"/>
            <w:noWrap/>
          </w:tcPr>
          <w:p w14:paraId="58E07444" w14:textId="77777777" w:rsidR="002D49B0" w:rsidRPr="00083739" w:rsidRDefault="00BF4125">
            <w:pPr>
              <w:pStyle w:val="P68B1DB1-Normal9"/>
              <w:spacing w:after="12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911" w:type="dxa"/>
            <w:tcBorders>
              <w:top w:val="single" w:sz="4" w:space="0" w:color="auto"/>
              <w:left w:val="nil"/>
              <w:bottom w:val="single" w:sz="4" w:space="0" w:color="auto"/>
              <w:right w:val="single" w:sz="4" w:space="0" w:color="auto"/>
            </w:tcBorders>
            <w:shd w:val="clear" w:color="auto" w:fill="C6EFCE"/>
            <w:noWrap/>
          </w:tcPr>
          <w:p w14:paraId="35D9495E" w14:textId="77777777" w:rsidR="002D49B0" w:rsidRPr="00083739" w:rsidRDefault="00BF4125">
            <w:pPr>
              <w:pStyle w:val="P68B1DB1-Normal9"/>
              <w:spacing w:after="12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3388" w:type="dxa"/>
            <w:tcBorders>
              <w:top w:val="single" w:sz="4" w:space="0" w:color="auto"/>
              <w:left w:val="nil"/>
              <w:bottom w:val="single" w:sz="4" w:space="0" w:color="auto"/>
              <w:right w:val="single" w:sz="4" w:space="0" w:color="auto"/>
            </w:tcBorders>
            <w:shd w:val="clear" w:color="auto" w:fill="C6EFCE"/>
            <w:noWrap/>
          </w:tcPr>
          <w:p w14:paraId="6BE06DDE" w14:textId="5C740E91"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Kontrolné centrum prevádzkovateľa distribučnej sústavy je</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prevádzke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zahŕňa inštaláciu </w:t>
            </w:r>
            <w:r w:rsidRPr="00083739">
              <w:rPr>
                <w:rFonts w:ascii="Times New Roman" w:hAnsi="Times New Roman" w:cs="Times New Roman"/>
                <w:noProof/>
                <w:lang w:val="sk-SK"/>
              </w:rPr>
              <w:t>nového dozorného kontrolného systému</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systému riadenia získavania údajov (SCADA-DMS)</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komunikáciu</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diaľkovými vysielačmi (RTU)</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rozvodniach vysokého napätia/stredného napätia (HV/MT), ako aj vytvorenie potrebnej podpornej infraštruktúry pre tri integro</w:t>
            </w:r>
            <w:r w:rsidRPr="00083739">
              <w:rPr>
                <w:rFonts w:ascii="Times New Roman" w:hAnsi="Times New Roman" w:cs="Times New Roman"/>
                <w:noProof/>
                <w:lang w:val="sk-SK"/>
              </w:rPr>
              <w:t>vané centrá.</w:t>
            </w:r>
            <w:r w:rsidRPr="00083739">
              <w:rPr>
                <w:rFonts w:ascii="Times New Roman" w:hAnsi="Times New Roman" w:cs="Times New Roman"/>
                <w:noProof/>
                <w:highlight w:val="yellow"/>
                <w:lang w:val="sk-SK"/>
              </w:rPr>
              <w:t xml:space="preserve"> </w:t>
            </w:r>
          </w:p>
        </w:tc>
      </w:tr>
    </w:tbl>
    <w:p w14:paraId="5C2D4926" w14:textId="4FC71F81" w:rsidR="002D49B0" w:rsidRPr="00083739" w:rsidRDefault="00BF4125">
      <w:pPr>
        <w:pStyle w:val="P68B1DB1-Normal6"/>
        <w:keepNext/>
        <w:keepLines/>
        <w:spacing w:before="240" w:after="0" w:line="240" w:lineRule="auto"/>
        <w:jc w:val="both"/>
        <w:outlineLvl w:val="4"/>
        <w:rPr>
          <w:rFonts w:ascii="Times New Roman" w:hAnsi="Times New Roman" w:cs="Times New Roman"/>
          <w:noProof/>
          <w:color w:val="365F91" w:themeColor="accent1" w:themeShade="BF"/>
          <w:lang w:val="sk-SK"/>
        </w:rPr>
      </w:pPr>
      <w:r w:rsidRPr="00083739">
        <w:rPr>
          <w:rFonts w:ascii="Times New Roman" w:hAnsi="Times New Roman" w:cs="Times New Roman"/>
          <w:noProof/>
          <w:lang w:val="sk-SK"/>
        </w:rPr>
        <w:t>Reforma 6: Súbor nástrojov na podporu spoločného využívania energie, vlastnej spotreby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komunít vyrábajúcich energiu</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obnoviteľných zdrojov (ID opatrenia: 16992)</w:t>
      </w:r>
    </w:p>
    <w:p w14:paraId="505C1A16" w14:textId="77777777" w:rsidR="002D49B0" w:rsidRPr="00083739" w:rsidRDefault="002D49B0">
      <w:pPr>
        <w:keepNext/>
        <w:keepLines/>
        <w:spacing w:before="240" w:after="0" w:line="240" w:lineRule="auto"/>
        <w:jc w:val="both"/>
        <w:outlineLvl w:val="4"/>
        <w:rPr>
          <w:rFonts w:ascii="Times New Roman" w:eastAsia="Times New Roman" w:hAnsi="Times New Roman" w:cs="Times New Roman"/>
          <w:noProof/>
          <w:color w:val="365F91"/>
          <w:sz w:val="24"/>
          <w:szCs w:val="24"/>
          <w:lang w:val="sk-SK"/>
        </w:rPr>
      </w:pPr>
    </w:p>
    <w:tbl>
      <w:tblPr>
        <w:tblpPr w:leftFromText="181" w:rightFromText="181" w:vertAnchor="text" w:tblpX="-289" w:tblpY="1"/>
        <w:tblOverlap w:val="never"/>
        <w:tblW w:w="14885" w:type="dxa"/>
        <w:tblLayout w:type="fixed"/>
        <w:tblLook w:val="04A0" w:firstRow="1" w:lastRow="0" w:firstColumn="1" w:lastColumn="0" w:noHBand="0" w:noVBand="1"/>
      </w:tblPr>
      <w:tblGrid>
        <w:gridCol w:w="846"/>
        <w:gridCol w:w="2126"/>
        <w:gridCol w:w="992"/>
        <w:gridCol w:w="1194"/>
        <w:gridCol w:w="1541"/>
        <w:gridCol w:w="1020"/>
        <w:gridCol w:w="1020"/>
        <w:gridCol w:w="608"/>
        <w:gridCol w:w="1061"/>
        <w:gridCol w:w="830"/>
        <w:gridCol w:w="3647"/>
      </w:tblGrid>
      <w:tr w:rsidR="002D49B0" w:rsidRPr="00083739" w14:paraId="260ED14D" w14:textId="77777777">
        <w:trPr>
          <w:trHeight w:val="839"/>
          <w:tblHeader/>
        </w:trPr>
        <w:tc>
          <w:tcPr>
            <w:tcW w:w="84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8618B51" w14:textId="22A73549" w:rsidR="002D49B0" w:rsidRPr="00083739" w:rsidRDefault="00BF4125">
            <w:pPr>
              <w:pStyle w:val="P68B1DB1-Normal7"/>
              <w:spacing w:before="120" w:after="120" w:line="240" w:lineRule="auto"/>
              <w:jc w:val="center"/>
              <w:rPr>
                <w:rFonts w:cs="Times New Roman"/>
                <w:noProof/>
                <w:sz w:val="24"/>
                <w:lang w:val="sk-SK"/>
              </w:rPr>
            </w:pPr>
            <w:r w:rsidRPr="00083739">
              <w:rPr>
                <w:rFonts w:cs="Times New Roman"/>
                <w:noProof/>
                <w:lang w:val="sk-SK"/>
              </w:rPr>
              <w:t>Nasledujúce. Č.</w:t>
            </w:r>
          </w:p>
        </w:tc>
        <w:tc>
          <w:tcPr>
            <w:tcW w:w="2126" w:type="dxa"/>
            <w:vMerge w:val="restart"/>
            <w:tcBorders>
              <w:top w:val="single" w:sz="4" w:space="0" w:color="auto"/>
              <w:left w:val="single" w:sz="4" w:space="0" w:color="auto"/>
              <w:right w:val="single" w:sz="4" w:space="0" w:color="auto"/>
            </w:tcBorders>
            <w:shd w:val="clear" w:color="auto" w:fill="BDD7EE"/>
            <w:vAlign w:val="center"/>
            <w:hideMark/>
          </w:tcPr>
          <w:p w14:paraId="512A8DA6" w14:textId="77777777" w:rsidR="002D49B0" w:rsidRPr="00083739" w:rsidRDefault="00BF4125">
            <w:pPr>
              <w:pStyle w:val="P68B1DB1-Normal7"/>
              <w:spacing w:before="120" w:after="120" w:line="240" w:lineRule="auto"/>
              <w:jc w:val="center"/>
              <w:rPr>
                <w:rFonts w:cs="Times New Roman"/>
                <w:noProof/>
                <w:sz w:val="24"/>
                <w:lang w:val="sk-SK"/>
              </w:rPr>
            </w:pPr>
            <w:r w:rsidRPr="00083739">
              <w:rPr>
                <w:rFonts w:cs="Times New Roman"/>
                <w:noProof/>
                <w:lang w:val="sk-SK"/>
              </w:rPr>
              <w:t>Súvisiace opatrenie (reforma alebo investícia)</w:t>
            </w:r>
          </w:p>
        </w:tc>
        <w:tc>
          <w:tcPr>
            <w:tcW w:w="992" w:type="dxa"/>
            <w:vMerge w:val="restart"/>
            <w:tcBorders>
              <w:top w:val="single" w:sz="4" w:space="0" w:color="auto"/>
              <w:left w:val="single" w:sz="4" w:space="0" w:color="auto"/>
              <w:right w:val="single" w:sz="4" w:space="0" w:color="auto"/>
            </w:tcBorders>
            <w:shd w:val="clear" w:color="auto" w:fill="BDD7EE"/>
            <w:vAlign w:val="center"/>
            <w:hideMark/>
          </w:tcPr>
          <w:p w14:paraId="6888F072" w14:textId="77777777" w:rsidR="002D49B0" w:rsidRPr="00083739" w:rsidRDefault="00BF4125">
            <w:pPr>
              <w:pStyle w:val="P68B1DB1-Normal7"/>
              <w:spacing w:before="120" w:after="120" w:line="240" w:lineRule="auto"/>
              <w:jc w:val="center"/>
              <w:rPr>
                <w:rFonts w:cs="Times New Roman"/>
                <w:noProof/>
                <w:sz w:val="24"/>
                <w:lang w:val="sk-SK"/>
              </w:rPr>
            </w:pPr>
            <w:r w:rsidRPr="00083739">
              <w:rPr>
                <w:rFonts w:cs="Times New Roman"/>
                <w:noProof/>
                <w:lang w:val="sk-SK"/>
              </w:rPr>
              <w:t>Míľnik/cieľ</w:t>
            </w:r>
          </w:p>
        </w:tc>
        <w:tc>
          <w:tcPr>
            <w:tcW w:w="1194" w:type="dxa"/>
            <w:vMerge w:val="restart"/>
            <w:tcBorders>
              <w:top w:val="single" w:sz="4" w:space="0" w:color="auto"/>
              <w:left w:val="nil"/>
              <w:right w:val="single" w:sz="4" w:space="0" w:color="auto"/>
            </w:tcBorders>
            <w:shd w:val="clear" w:color="auto" w:fill="BDD7EE"/>
            <w:vAlign w:val="center"/>
            <w:hideMark/>
          </w:tcPr>
          <w:p w14:paraId="687D28C4" w14:textId="77777777" w:rsidR="002D49B0" w:rsidRPr="00083739" w:rsidRDefault="00BF4125">
            <w:pPr>
              <w:pStyle w:val="P68B1DB1-Normal7"/>
              <w:spacing w:before="120" w:after="120" w:line="240" w:lineRule="auto"/>
              <w:jc w:val="center"/>
              <w:rPr>
                <w:rFonts w:cs="Times New Roman"/>
                <w:noProof/>
                <w:sz w:val="24"/>
                <w:lang w:val="sk-SK"/>
              </w:rPr>
            </w:pPr>
            <w:r w:rsidRPr="00083739">
              <w:rPr>
                <w:rFonts w:cs="Times New Roman"/>
                <w:noProof/>
                <w:lang w:val="sk-SK"/>
              </w:rPr>
              <w:t>Názov</w:t>
            </w:r>
          </w:p>
        </w:tc>
        <w:tc>
          <w:tcPr>
            <w:tcW w:w="1541" w:type="dxa"/>
            <w:vMerge w:val="restart"/>
            <w:tcBorders>
              <w:top w:val="single" w:sz="4" w:space="0" w:color="auto"/>
              <w:left w:val="single" w:sz="4" w:space="0" w:color="auto"/>
              <w:right w:val="single" w:sz="4" w:space="0" w:color="auto"/>
            </w:tcBorders>
            <w:shd w:val="clear" w:color="auto" w:fill="BDD7EE"/>
            <w:vAlign w:val="center"/>
            <w:hideMark/>
          </w:tcPr>
          <w:p w14:paraId="2491E1DD" w14:textId="77777777" w:rsidR="002D49B0" w:rsidRPr="00083739" w:rsidRDefault="00BF4125">
            <w:pPr>
              <w:pStyle w:val="P68B1DB1-Normal7"/>
              <w:spacing w:before="120" w:after="120" w:line="240" w:lineRule="auto"/>
              <w:jc w:val="center"/>
              <w:rPr>
                <w:rFonts w:cs="Times New Roman"/>
                <w:noProof/>
                <w:sz w:val="24"/>
                <w:szCs w:val="24"/>
                <w:lang w:val="sk-SK"/>
              </w:rPr>
            </w:pPr>
            <w:r w:rsidRPr="00083739">
              <w:rPr>
                <w:rFonts w:cs="Times New Roman"/>
                <w:noProof/>
                <w:lang w:val="sk-SK"/>
              </w:rPr>
              <w:t>Kvalitatívne ukazovatele (pre míľniky)</w:t>
            </w:r>
          </w:p>
        </w:tc>
        <w:tc>
          <w:tcPr>
            <w:tcW w:w="2648" w:type="dxa"/>
            <w:gridSpan w:val="3"/>
            <w:tcBorders>
              <w:top w:val="single" w:sz="4" w:space="0" w:color="auto"/>
              <w:left w:val="nil"/>
              <w:bottom w:val="single" w:sz="4" w:space="0" w:color="auto"/>
              <w:right w:val="single" w:sz="4" w:space="0" w:color="auto"/>
            </w:tcBorders>
            <w:shd w:val="clear" w:color="auto" w:fill="BDD7EE"/>
            <w:vAlign w:val="center"/>
            <w:hideMark/>
          </w:tcPr>
          <w:p w14:paraId="0B929C07" w14:textId="77777777" w:rsidR="002D49B0" w:rsidRPr="00083739" w:rsidRDefault="00BF4125">
            <w:pPr>
              <w:pStyle w:val="P68B1DB1-Normal7"/>
              <w:spacing w:before="120" w:after="120" w:line="240" w:lineRule="auto"/>
              <w:jc w:val="center"/>
              <w:rPr>
                <w:rFonts w:cs="Times New Roman"/>
                <w:noProof/>
                <w:sz w:val="24"/>
                <w:szCs w:val="24"/>
                <w:lang w:val="sk-SK"/>
              </w:rPr>
            </w:pPr>
            <w:r w:rsidRPr="00083739">
              <w:rPr>
                <w:rFonts w:cs="Times New Roman"/>
                <w:noProof/>
                <w:lang w:val="sk-SK"/>
              </w:rPr>
              <w:t>Kvantitatívne ukazovatele (pre ciele)</w:t>
            </w:r>
          </w:p>
        </w:tc>
        <w:tc>
          <w:tcPr>
            <w:tcW w:w="1891" w:type="dxa"/>
            <w:gridSpan w:val="2"/>
            <w:tcBorders>
              <w:top w:val="single" w:sz="4" w:space="0" w:color="auto"/>
              <w:left w:val="nil"/>
              <w:bottom w:val="single" w:sz="4" w:space="0" w:color="auto"/>
              <w:right w:val="single" w:sz="4" w:space="0" w:color="auto"/>
            </w:tcBorders>
            <w:shd w:val="clear" w:color="auto" w:fill="BDD7EE"/>
            <w:vAlign w:val="center"/>
            <w:hideMark/>
          </w:tcPr>
          <w:p w14:paraId="127869A0" w14:textId="77777777" w:rsidR="002D49B0" w:rsidRPr="00083739" w:rsidRDefault="00BF4125">
            <w:pPr>
              <w:pStyle w:val="P68B1DB1-Normal7"/>
              <w:spacing w:before="120" w:after="120" w:line="240" w:lineRule="auto"/>
              <w:jc w:val="center"/>
              <w:rPr>
                <w:rFonts w:cs="Times New Roman"/>
                <w:noProof/>
                <w:sz w:val="24"/>
                <w:lang w:val="sk-SK"/>
              </w:rPr>
            </w:pPr>
            <w:r w:rsidRPr="00083739">
              <w:rPr>
                <w:rFonts w:cs="Times New Roman"/>
                <w:noProof/>
                <w:lang w:val="sk-SK"/>
              </w:rPr>
              <w:t>Orientačný harmonogram dokončenia</w:t>
            </w:r>
          </w:p>
        </w:tc>
        <w:tc>
          <w:tcPr>
            <w:tcW w:w="364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078D1A1" w14:textId="041D4A19" w:rsidR="002D49B0" w:rsidRPr="00083739" w:rsidRDefault="00BF4125">
            <w:pPr>
              <w:pStyle w:val="P68B1DB1-Normal7"/>
              <w:spacing w:before="120" w:after="120" w:line="240" w:lineRule="auto"/>
              <w:jc w:val="center"/>
              <w:rPr>
                <w:rFonts w:cs="Times New Roman"/>
                <w:noProof/>
                <w:sz w:val="24"/>
                <w:lang w:val="sk-SK"/>
              </w:rPr>
            </w:pPr>
            <w:r w:rsidRPr="00083739">
              <w:rPr>
                <w:rFonts w:cs="Times New Roman"/>
                <w:noProof/>
                <w:lang w:val="sk-SK"/>
              </w:rPr>
              <w:t>Opis každého míľnika</w:t>
            </w:r>
            <w:r w:rsidR="00083739" w:rsidRPr="00083739">
              <w:rPr>
                <w:rFonts w:cs="Times New Roman"/>
                <w:noProof/>
                <w:lang w:val="sk-SK"/>
              </w:rPr>
              <w:t xml:space="preserve"> a </w:t>
            </w:r>
            <w:r w:rsidRPr="00083739">
              <w:rPr>
                <w:rFonts w:cs="Times New Roman"/>
                <w:noProof/>
                <w:lang w:val="sk-SK"/>
              </w:rPr>
              <w:t>cieľa</w:t>
            </w:r>
          </w:p>
        </w:tc>
      </w:tr>
      <w:tr w:rsidR="002D49B0" w:rsidRPr="00083739" w14:paraId="72F61428" w14:textId="77777777">
        <w:trPr>
          <w:trHeight w:val="132"/>
          <w:tblHeader/>
        </w:trPr>
        <w:tc>
          <w:tcPr>
            <w:tcW w:w="846" w:type="dxa"/>
            <w:vMerge/>
            <w:tcBorders>
              <w:top w:val="single" w:sz="4" w:space="0" w:color="auto"/>
              <w:left w:val="single" w:sz="4" w:space="0" w:color="auto"/>
              <w:bottom w:val="single" w:sz="4" w:space="0" w:color="auto"/>
            </w:tcBorders>
            <w:vAlign w:val="center"/>
          </w:tcPr>
          <w:p w14:paraId="21803936" w14:textId="77777777" w:rsidR="002D49B0" w:rsidRPr="00083739" w:rsidRDefault="002D49B0">
            <w:pPr>
              <w:spacing w:before="120" w:after="120" w:line="240" w:lineRule="auto"/>
              <w:jc w:val="center"/>
              <w:rPr>
                <w:rFonts w:ascii="Times New Roman" w:eastAsia="Times New Roman" w:hAnsi="Times New Roman" w:cs="Times New Roman"/>
                <w:b/>
                <w:bCs/>
                <w:noProof/>
                <w:sz w:val="18"/>
                <w:szCs w:val="18"/>
                <w:lang w:val="sk-SK"/>
              </w:rPr>
            </w:pPr>
          </w:p>
        </w:tc>
        <w:tc>
          <w:tcPr>
            <w:tcW w:w="2126" w:type="dxa"/>
            <w:vMerge/>
            <w:tcBorders>
              <w:left w:val="single" w:sz="4" w:space="0" w:color="auto"/>
              <w:bottom w:val="single" w:sz="4" w:space="0" w:color="auto"/>
              <w:right w:val="single" w:sz="4" w:space="0" w:color="auto"/>
            </w:tcBorders>
            <w:shd w:val="clear" w:color="auto" w:fill="BDD7EE"/>
            <w:vAlign w:val="center"/>
          </w:tcPr>
          <w:p w14:paraId="4F1F95F9" w14:textId="77777777" w:rsidR="002D49B0" w:rsidRPr="00083739" w:rsidRDefault="002D49B0">
            <w:pPr>
              <w:spacing w:before="120" w:after="120" w:line="240" w:lineRule="auto"/>
              <w:jc w:val="center"/>
              <w:rPr>
                <w:rFonts w:ascii="Times New Roman" w:eastAsia="Times New Roman" w:hAnsi="Times New Roman" w:cs="Times New Roman"/>
                <w:b/>
                <w:bCs/>
                <w:noProof/>
                <w:sz w:val="18"/>
                <w:szCs w:val="18"/>
                <w:lang w:val="sk-SK"/>
              </w:rPr>
            </w:pPr>
          </w:p>
        </w:tc>
        <w:tc>
          <w:tcPr>
            <w:tcW w:w="992" w:type="dxa"/>
            <w:vMerge/>
            <w:tcBorders>
              <w:left w:val="single" w:sz="4" w:space="0" w:color="auto"/>
              <w:bottom w:val="single" w:sz="4" w:space="0" w:color="auto"/>
              <w:right w:val="single" w:sz="4" w:space="0" w:color="auto"/>
            </w:tcBorders>
            <w:shd w:val="clear" w:color="auto" w:fill="BDD7EE"/>
            <w:vAlign w:val="center"/>
          </w:tcPr>
          <w:p w14:paraId="09C944A2" w14:textId="77777777" w:rsidR="002D49B0" w:rsidRPr="00083739" w:rsidRDefault="002D49B0">
            <w:pPr>
              <w:spacing w:before="120" w:after="120" w:line="240" w:lineRule="auto"/>
              <w:jc w:val="center"/>
              <w:rPr>
                <w:rFonts w:ascii="Times New Roman" w:eastAsia="Times New Roman" w:hAnsi="Times New Roman" w:cs="Times New Roman"/>
                <w:b/>
                <w:bCs/>
                <w:noProof/>
                <w:sz w:val="18"/>
                <w:szCs w:val="18"/>
                <w:lang w:val="sk-SK"/>
              </w:rPr>
            </w:pPr>
          </w:p>
        </w:tc>
        <w:tc>
          <w:tcPr>
            <w:tcW w:w="1194" w:type="dxa"/>
            <w:vMerge/>
            <w:tcBorders>
              <w:left w:val="nil"/>
              <w:bottom w:val="single" w:sz="4" w:space="0" w:color="auto"/>
              <w:right w:val="single" w:sz="4" w:space="0" w:color="auto"/>
            </w:tcBorders>
            <w:shd w:val="clear" w:color="auto" w:fill="BDD7EE"/>
            <w:vAlign w:val="center"/>
          </w:tcPr>
          <w:p w14:paraId="095A9FCB" w14:textId="77777777" w:rsidR="002D49B0" w:rsidRPr="00083739" w:rsidRDefault="002D49B0">
            <w:pPr>
              <w:spacing w:before="120" w:after="120" w:line="240" w:lineRule="auto"/>
              <w:jc w:val="center"/>
              <w:rPr>
                <w:rFonts w:ascii="Times New Roman" w:eastAsia="Times New Roman" w:hAnsi="Times New Roman" w:cs="Times New Roman"/>
                <w:b/>
                <w:bCs/>
                <w:noProof/>
                <w:sz w:val="18"/>
                <w:szCs w:val="18"/>
                <w:lang w:val="sk-SK"/>
              </w:rPr>
            </w:pPr>
          </w:p>
        </w:tc>
        <w:tc>
          <w:tcPr>
            <w:tcW w:w="1541" w:type="dxa"/>
            <w:vMerge/>
            <w:tcBorders>
              <w:left w:val="single" w:sz="4" w:space="0" w:color="auto"/>
              <w:bottom w:val="single" w:sz="4" w:space="0" w:color="auto"/>
              <w:right w:val="single" w:sz="4" w:space="0" w:color="auto"/>
            </w:tcBorders>
            <w:shd w:val="clear" w:color="auto" w:fill="BDD7EE"/>
            <w:vAlign w:val="center"/>
          </w:tcPr>
          <w:p w14:paraId="74B0F746" w14:textId="77777777" w:rsidR="002D49B0" w:rsidRPr="00083739" w:rsidRDefault="002D49B0">
            <w:pPr>
              <w:spacing w:before="120" w:after="120" w:line="240" w:lineRule="auto"/>
              <w:jc w:val="center"/>
              <w:rPr>
                <w:rFonts w:ascii="Times New Roman" w:eastAsia="Times New Roman" w:hAnsi="Times New Roman" w:cs="Times New Roman"/>
                <w:b/>
                <w:bCs/>
                <w:noProof/>
                <w:sz w:val="18"/>
                <w:szCs w:val="18"/>
                <w:lang w:val="sk-SK"/>
              </w:rPr>
            </w:pPr>
          </w:p>
        </w:tc>
        <w:tc>
          <w:tcPr>
            <w:tcW w:w="1020" w:type="dxa"/>
            <w:tcBorders>
              <w:top w:val="single" w:sz="4" w:space="0" w:color="auto"/>
              <w:left w:val="nil"/>
              <w:bottom w:val="single" w:sz="4" w:space="0" w:color="auto"/>
              <w:right w:val="single" w:sz="4" w:space="0" w:color="auto"/>
            </w:tcBorders>
            <w:shd w:val="clear" w:color="auto" w:fill="BDD7EE"/>
            <w:vAlign w:val="center"/>
          </w:tcPr>
          <w:p w14:paraId="440B320A" w14:textId="77777777" w:rsidR="002D49B0" w:rsidRPr="00083739" w:rsidRDefault="00BF4125">
            <w:pPr>
              <w:pStyle w:val="P68B1DB1-Normal7"/>
              <w:spacing w:before="120" w:after="120" w:line="240" w:lineRule="auto"/>
              <w:jc w:val="center"/>
              <w:rPr>
                <w:rFonts w:eastAsia="Times New Roman" w:cs="Times New Roman"/>
                <w:bCs/>
                <w:noProof/>
                <w:szCs w:val="18"/>
                <w:lang w:val="sk-SK"/>
              </w:rPr>
            </w:pPr>
            <w:r w:rsidRPr="00083739">
              <w:rPr>
                <w:rFonts w:cs="Times New Roman"/>
                <w:noProof/>
                <w:lang w:val="sk-SK"/>
              </w:rPr>
              <w:t>Merná jednotka</w:t>
            </w:r>
          </w:p>
        </w:tc>
        <w:tc>
          <w:tcPr>
            <w:tcW w:w="1020" w:type="dxa"/>
            <w:tcBorders>
              <w:top w:val="single" w:sz="4" w:space="0" w:color="auto"/>
              <w:left w:val="nil"/>
              <w:bottom w:val="single" w:sz="4" w:space="0" w:color="auto"/>
              <w:right w:val="single" w:sz="4" w:space="0" w:color="auto"/>
            </w:tcBorders>
            <w:shd w:val="clear" w:color="auto" w:fill="BDD7EE"/>
            <w:vAlign w:val="center"/>
          </w:tcPr>
          <w:p w14:paraId="7C8B7BFA" w14:textId="77777777" w:rsidR="002D49B0" w:rsidRPr="00083739" w:rsidRDefault="00BF4125">
            <w:pPr>
              <w:pStyle w:val="P68B1DB1-Normal7"/>
              <w:spacing w:before="120" w:after="120" w:line="240" w:lineRule="auto"/>
              <w:jc w:val="center"/>
              <w:rPr>
                <w:rFonts w:eastAsia="Times New Roman" w:cs="Times New Roman"/>
                <w:bCs/>
                <w:noProof/>
                <w:szCs w:val="18"/>
                <w:lang w:val="sk-SK"/>
              </w:rPr>
            </w:pPr>
            <w:r w:rsidRPr="00083739">
              <w:rPr>
                <w:rFonts w:cs="Times New Roman"/>
                <w:noProof/>
                <w:lang w:val="sk-SK"/>
              </w:rPr>
              <w:t>Základná</w:t>
            </w:r>
          </w:p>
        </w:tc>
        <w:tc>
          <w:tcPr>
            <w:tcW w:w="608" w:type="dxa"/>
            <w:tcBorders>
              <w:top w:val="single" w:sz="4" w:space="0" w:color="auto"/>
              <w:left w:val="nil"/>
              <w:bottom w:val="single" w:sz="4" w:space="0" w:color="auto"/>
              <w:right w:val="single" w:sz="4" w:space="0" w:color="auto"/>
            </w:tcBorders>
            <w:shd w:val="clear" w:color="auto" w:fill="BDD7EE"/>
            <w:vAlign w:val="center"/>
          </w:tcPr>
          <w:p w14:paraId="0E201791" w14:textId="77777777" w:rsidR="002D49B0" w:rsidRPr="00083739" w:rsidRDefault="00BF4125">
            <w:pPr>
              <w:pStyle w:val="P68B1DB1-Normal7"/>
              <w:spacing w:before="120" w:after="120" w:line="240" w:lineRule="auto"/>
              <w:jc w:val="center"/>
              <w:rPr>
                <w:rFonts w:eastAsia="Times New Roman" w:cs="Times New Roman"/>
                <w:bCs/>
                <w:noProof/>
                <w:szCs w:val="18"/>
                <w:lang w:val="sk-SK"/>
              </w:rPr>
            </w:pPr>
            <w:r w:rsidRPr="00083739">
              <w:rPr>
                <w:rFonts w:cs="Times New Roman"/>
                <w:noProof/>
                <w:lang w:val="sk-SK"/>
              </w:rPr>
              <w:t>Cieľ</w:t>
            </w:r>
          </w:p>
        </w:tc>
        <w:tc>
          <w:tcPr>
            <w:tcW w:w="1061" w:type="dxa"/>
            <w:tcBorders>
              <w:top w:val="single" w:sz="4" w:space="0" w:color="auto"/>
              <w:left w:val="nil"/>
              <w:bottom w:val="single" w:sz="4" w:space="0" w:color="auto"/>
              <w:right w:val="single" w:sz="4" w:space="0" w:color="auto"/>
            </w:tcBorders>
            <w:shd w:val="clear" w:color="auto" w:fill="BDD7EE"/>
            <w:vAlign w:val="center"/>
          </w:tcPr>
          <w:p w14:paraId="0034BEF7" w14:textId="77777777" w:rsidR="002D49B0" w:rsidRPr="00083739" w:rsidRDefault="00BF4125">
            <w:pPr>
              <w:pStyle w:val="P68B1DB1-Normal7"/>
              <w:spacing w:before="120" w:after="120" w:line="240" w:lineRule="auto"/>
              <w:jc w:val="center"/>
              <w:rPr>
                <w:rFonts w:eastAsia="Times New Roman" w:cs="Times New Roman"/>
                <w:bCs/>
                <w:noProof/>
                <w:szCs w:val="18"/>
                <w:lang w:val="sk-SK"/>
              </w:rPr>
            </w:pPr>
            <w:r w:rsidRPr="00083739">
              <w:rPr>
                <w:rFonts w:cs="Times New Roman"/>
                <w:noProof/>
                <w:lang w:val="sk-SK"/>
              </w:rPr>
              <w:t>Štvrtina</w:t>
            </w:r>
          </w:p>
        </w:tc>
        <w:tc>
          <w:tcPr>
            <w:tcW w:w="830" w:type="dxa"/>
            <w:tcBorders>
              <w:top w:val="single" w:sz="4" w:space="0" w:color="auto"/>
              <w:left w:val="nil"/>
              <w:bottom w:val="single" w:sz="4" w:space="0" w:color="auto"/>
              <w:right w:val="single" w:sz="4" w:space="0" w:color="auto"/>
            </w:tcBorders>
            <w:shd w:val="clear" w:color="auto" w:fill="BDD7EE"/>
            <w:vAlign w:val="center"/>
          </w:tcPr>
          <w:p w14:paraId="028EC06F" w14:textId="77777777" w:rsidR="002D49B0" w:rsidRPr="00083739" w:rsidRDefault="00BF4125">
            <w:pPr>
              <w:pStyle w:val="P68B1DB1-Normal7"/>
              <w:spacing w:before="120" w:after="120" w:line="240" w:lineRule="auto"/>
              <w:jc w:val="center"/>
              <w:rPr>
                <w:rFonts w:eastAsia="Times New Roman" w:cs="Times New Roman"/>
                <w:bCs/>
                <w:noProof/>
                <w:szCs w:val="18"/>
                <w:lang w:val="sk-SK"/>
              </w:rPr>
            </w:pPr>
            <w:r w:rsidRPr="00083739">
              <w:rPr>
                <w:rFonts w:cs="Times New Roman"/>
                <w:noProof/>
                <w:lang w:val="sk-SK"/>
              </w:rPr>
              <w:t>Rok</w:t>
            </w:r>
          </w:p>
        </w:tc>
        <w:tc>
          <w:tcPr>
            <w:tcW w:w="3647" w:type="dxa"/>
            <w:vMerge/>
            <w:tcBorders>
              <w:bottom w:val="single" w:sz="4" w:space="0" w:color="auto"/>
              <w:right w:val="single" w:sz="4" w:space="0" w:color="auto"/>
            </w:tcBorders>
            <w:vAlign w:val="center"/>
          </w:tcPr>
          <w:p w14:paraId="3979065E" w14:textId="77777777" w:rsidR="002D49B0" w:rsidRPr="00083739" w:rsidRDefault="002D49B0">
            <w:pPr>
              <w:spacing w:before="120" w:after="120" w:line="240" w:lineRule="auto"/>
              <w:jc w:val="center"/>
              <w:rPr>
                <w:rFonts w:ascii="Times New Roman" w:eastAsia="Times New Roman" w:hAnsi="Times New Roman" w:cs="Times New Roman"/>
                <w:b/>
                <w:bCs/>
                <w:noProof/>
                <w:sz w:val="18"/>
                <w:szCs w:val="18"/>
                <w:lang w:val="sk-SK"/>
              </w:rPr>
            </w:pPr>
          </w:p>
        </w:tc>
      </w:tr>
      <w:tr w:rsidR="002D49B0" w:rsidRPr="00083739" w14:paraId="4122C926" w14:textId="77777777">
        <w:tc>
          <w:tcPr>
            <w:tcW w:w="846" w:type="dxa"/>
            <w:tcBorders>
              <w:top w:val="single" w:sz="4" w:space="0" w:color="auto"/>
              <w:left w:val="single" w:sz="4" w:space="0" w:color="auto"/>
              <w:bottom w:val="single" w:sz="4" w:space="0" w:color="auto"/>
              <w:right w:val="single" w:sz="4" w:space="0" w:color="auto"/>
            </w:tcBorders>
            <w:shd w:val="clear" w:color="auto" w:fill="C6EFCE"/>
            <w:noWrap/>
          </w:tcPr>
          <w:p w14:paraId="6570428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w:t>
            </w:r>
            <w:r w:rsidRPr="00083739">
              <w:rPr>
                <w:rFonts w:ascii="Times New Roman" w:hAnsi="Times New Roman" w:cs="Times New Roman"/>
                <w:noProof/>
                <w:lang w:val="sk-SK"/>
              </w:rPr>
              <w:t>61</w:t>
            </w:r>
          </w:p>
        </w:tc>
        <w:tc>
          <w:tcPr>
            <w:tcW w:w="2126" w:type="dxa"/>
            <w:tcBorders>
              <w:top w:val="nil"/>
              <w:left w:val="nil"/>
              <w:bottom w:val="single" w:sz="4" w:space="0" w:color="auto"/>
              <w:right w:val="single" w:sz="4" w:space="0" w:color="auto"/>
            </w:tcBorders>
            <w:shd w:val="clear" w:color="auto" w:fill="C6EFCE"/>
            <w:noWrap/>
          </w:tcPr>
          <w:p w14:paraId="1EB4585C" w14:textId="73E1EA03" w:rsidR="002D49B0" w:rsidRPr="00083739" w:rsidRDefault="00BF4125">
            <w:pPr>
              <w:pStyle w:val="P68B1DB1-Normal9"/>
              <w:spacing w:after="0" w:line="240" w:lineRule="auto"/>
              <w:rPr>
                <w:rFonts w:ascii="Times New Roman" w:hAnsi="Times New Roman" w:cs="Times New Roman"/>
                <w:noProof/>
                <w:sz w:val="24"/>
                <w:szCs w:val="24"/>
                <w:lang w:val="sk-SK"/>
              </w:rPr>
            </w:pPr>
            <w:r w:rsidRPr="00083739">
              <w:rPr>
                <w:rFonts w:ascii="Times New Roman" w:hAnsi="Times New Roman" w:cs="Times New Roman"/>
                <w:noProof/>
                <w:lang w:val="sk-SK"/>
              </w:rPr>
              <w:t>20 – 5. Reformy REPowerEU – 16992_Nástroj na podporu spoločného využívania energie, vlastnej spotreby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komunít vyrábajúcich energiu</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obnoviteľných zdrojov</w:t>
            </w:r>
          </w:p>
        </w:tc>
        <w:tc>
          <w:tcPr>
            <w:tcW w:w="992" w:type="dxa"/>
            <w:tcBorders>
              <w:top w:val="nil"/>
              <w:left w:val="nil"/>
              <w:bottom w:val="single" w:sz="4" w:space="0" w:color="auto"/>
              <w:right w:val="single" w:sz="4" w:space="0" w:color="auto"/>
            </w:tcBorders>
            <w:shd w:val="clear" w:color="auto" w:fill="C6EFCE"/>
            <w:noWrap/>
          </w:tcPr>
          <w:p w14:paraId="07AE80D1" w14:textId="77777777" w:rsidR="002D49B0" w:rsidRPr="00083739" w:rsidRDefault="00BF4125">
            <w:pPr>
              <w:pStyle w:val="P68B1DB1-Normal9"/>
              <w:spacing w:after="120" w:line="240" w:lineRule="auto"/>
              <w:rPr>
                <w:rFonts w:ascii="Times New Roman" w:hAnsi="Times New Roman" w:cs="Times New Roman"/>
                <w:noProof/>
                <w:sz w:val="24"/>
                <w:lang w:val="sk-SK"/>
              </w:rPr>
            </w:pPr>
            <w:r w:rsidRPr="00083739">
              <w:rPr>
                <w:rFonts w:ascii="Times New Roman" w:hAnsi="Times New Roman" w:cs="Times New Roman"/>
                <w:noProof/>
                <w:lang w:val="sk-SK"/>
              </w:rPr>
              <w:t>Míľnik</w:t>
            </w:r>
          </w:p>
        </w:tc>
        <w:tc>
          <w:tcPr>
            <w:tcW w:w="1194" w:type="dxa"/>
            <w:tcBorders>
              <w:top w:val="nil"/>
              <w:left w:val="nil"/>
              <w:bottom w:val="single" w:sz="4" w:space="0" w:color="auto"/>
              <w:right w:val="single" w:sz="4" w:space="0" w:color="auto"/>
            </w:tcBorders>
            <w:shd w:val="clear" w:color="auto" w:fill="C6EFCE"/>
            <w:noWrap/>
          </w:tcPr>
          <w:p w14:paraId="4C9078AA" w14:textId="4891A29E"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primárnych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sekundárnych právnych predpisov</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vlastnej spotrebe a</w:t>
            </w:r>
          </w:p>
          <w:p w14:paraId="5D71E813" w14:textId="6255096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uľahčenie povoľovacích postupov na inštaláciu staníc OZE</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bytových domoch</w:t>
            </w:r>
          </w:p>
        </w:tc>
        <w:tc>
          <w:tcPr>
            <w:tcW w:w="1541" w:type="dxa"/>
            <w:tcBorders>
              <w:top w:val="nil"/>
              <w:left w:val="nil"/>
              <w:bottom w:val="single" w:sz="4" w:space="0" w:color="auto"/>
              <w:right w:val="single" w:sz="4" w:space="0" w:color="auto"/>
            </w:tcBorders>
            <w:shd w:val="clear" w:color="auto" w:fill="C6EFCE"/>
            <w:noWrap/>
          </w:tcPr>
          <w:p w14:paraId="75E10454" w14:textId="3E436AC2" w:rsidR="002D49B0" w:rsidRPr="00083739" w:rsidRDefault="00BF4125">
            <w:pPr>
              <w:pStyle w:val="P68B1DB1-Normal9"/>
              <w:spacing w:after="12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primárnych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sekundárnych právnych predpisov</w:t>
            </w:r>
          </w:p>
          <w:p w14:paraId="54700C24" w14:textId="77777777" w:rsidR="002D49B0" w:rsidRPr="00083739" w:rsidRDefault="002D49B0">
            <w:pPr>
              <w:spacing w:before="120" w:after="120" w:line="240" w:lineRule="auto"/>
              <w:jc w:val="center"/>
              <w:rPr>
                <w:rFonts w:ascii="Times New Roman" w:eastAsia="Times New Roman" w:hAnsi="Times New Roman" w:cs="Times New Roman"/>
                <w:b/>
                <w:bCs/>
                <w:noProof/>
                <w:sz w:val="18"/>
                <w:szCs w:val="18"/>
                <w:lang w:val="sk-SK"/>
              </w:rPr>
            </w:pPr>
          </w:p>
        </w:tc>
        <w:tc>
          <w:tcPr>
            <w:tcW w:w="1020" w:type="dxa"/>
            <w:tcBorders>
              <w:top w:val="nil"/>
              <w:left w:val="nil"/>
              <w:bottom w:val="single" w:sz="4" w:space="0" w:color="auto"/>
              <w:right w:val="single" w:sz="4" w:space="0" w:color="auto"/>
            </w:tcBorders>
            <w:shd w:val="clear" w:color="auto" w:fill="C6EFCE"/>
            <w:noWrap/>
          </w:tcPr>
          <w:p w14:paraId="698EA435"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20" w:type="dxa"/>
            <w:tcBorders>
              <w:top w:val="nil"/>
              <w:left w:val="nil"/>
              <w:bottom w:val="single" w:sz="4" w:space="0" w:color="auto"/>
              <w:right w:val="single" w:sz="4" w:space="0" w:color="auto"/>
            </w:tcBorders>
            <w:shd w:val="clear" w:color="auto" w:fill="C6EFCE"/>
            <w:noWrap/>
          </w:tcPr>
          <w:p w14:paraId="203E6B02"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608" w:type="dxa"/>
            <w:tcBorders>
              <w:top w:val="nil"/>
              <w:left w:val="nil"/>
              <w:bottom w:val="single" w:sz="4" w:space="0" w:color="auto"/>
              <w:right w:val="single" w:sz="4" w:space="0" w:color="auto"/>
            </w:tcBorders>
            <w:shd w:val="clear" w:color="auto" w:fill="C6EFCE"/>
            <w:noWrap/>
          </w:tcPr>
          <w:p w14:paraId="159BF8D5"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61" w:type="dxa"/>
            <w:tcBorders>
              <w:top w:val="nil"/>
              <w:left w:val="nil"/>
              <w:bottom w:val="single" w:sz="4" w:space="0" w:color="auto"/>
              <w:right w:val="single" w:sz="4" w:space="0" w:color="auto"/>
            </w:tcBorders>
            <w:shd w:val="clear" w:color="auto" w:fill="C6EFCE"/>
            <w:noWrap/>
          </w:tcPr>
          <w:p w14:paraId="1BA5B356" w14:textId="77777777" w:rsidR="002D49B0" w:rsidRPr="00083739" w:rsidRDefault="00BF4125">
            <w:pPr>
              <w:pStyle w:val="P68B1DB1-Normal9"/>
              <w:spacing w:after="12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PRVÝ ŠTVRŤROK</w:t>
            </w:r>
          </w:p>
        </w:tc>
        <w:tc>
          <w:tcPr>
            <w:tcW w:w="830" w:type="dxa"/>
            <w:tcBorders>
              <w:top w:val="nil"/>
              <w:left w:val="nil"/>
              <w:bottom w:val="single" w:sz="4" w:space="0" w:color="auto"/>
              <w:right w:val="single" w:sz="4" w:space="0" w:color="auto"/>
            </w:tcBorders>
            <w:shd w:val="clear" w:color="auto" w:fill="C6EFCE"/>
            <w:noWrap/>
          </w:tcPr>
          <w:p w14:paraId="3EDDA74F" w14:textId="77777777" w:rsidR="002D49B0" w:rsidRPr="00083739" w:rsidRDefault="00BF4125">
            <w:pPr>
              <w:pStyle w:val="P68B1DB1-Normal9"/>
              <w:spacing w:after="12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2024</w:t>
            </w:r>
          </w:p>
        </w:tc>
        <w:tc>
          <w:tcPr>
            <w:tcW w:w="3647" w:type="dxa"/>
            <w:tcBorders>
              <w:top w:val="single" w:sz="4" w:space="0" w:color="auto"/>
              <w:left w:val="nil"/>
              <w:bottom w:val="single" w:sz="4" w:space="0" w:color="auto"/>
              <w:right w:val="single" w:sz="4" w:space="0" w:color="auto"/>
            </w:tcBorders>
            <w:shd w:val="clear" w:color="auto" w:fill="C6EFCE"/>
            <w:noWrap/>
          </w:tcPr>
          <w:p w14:paraId="58685CF6" w14:textId="5FDAAF40"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 Nadobudnutie účinnosti sekundárnych právnych predpisov stanovených</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 xml:space="preserve">zákone č. </w:t>
            </w:r>
            <w:r w:rsidRPr="00083739">
              <w:rPr>
                <w:rFonts w:ascii="Times New Roman" w:hAnsi="Times New Roman" w:cs="Times New Roman"/>
                <w:noProof/>
                <w:lang w:val="sk-SK"/>
              </w:rPr>
              <w:t>5037/2023. Predovšetkým:</w:t>
            </w:r>
          </w:p>
          <w:p w14:paraId="36C32C59" w14:textId="31AAD791" w:rsidR="002D49B0" w:rsidRPr="00083739" w:rsidRDefault="00BF4125">
            <w:pPr>
              <w:pStyle w:val="P68B1DB1-Normal9"/>
              <w:spacing w:after="12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ministerského(-ých) rozhodnutia(-í)</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vykonávaní vlastnej spotreby, vlastnej spotreby prostredníctvom virtuálneho čistého vyúčtovania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kolektívnej vlastnej spotreby, čistého účtovania energie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virtuálneho č</w:t>
            </w:r>
            <w:r w:rsidRPr="00083739">
              <w:rPr>
                <w:rFonts w:ascii="Times New Roman" w:hAnsi="Times New Roman" w:cs="Times New Roman"/>
                <w:noProof/>
                <w:lang w:val="sk-SK"/>
              </w:rPr>
              <w:t>istého vyúčtovania, spresňujúcich, ktoré vyplývajú</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článkov 64</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66 zákona č. 5037/2023.</w:t>
            </w:r>
          </w:p>
          <w:p w14:paraId="78892A25" w14:textId="12A0C174" w:rsidR="002D49B0" w:rsidRPr="00083739" w:rsidRDefault="00BF4125">
            <w:pPr>
              <w:pStyle w:val="P68B1DB1-Normal9"/>
              <w:spacing w:after="12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 Nadobudnutie účinnosti primárnych právnych predpisov na uľahčenie povoľovacích postupov na inštaláciu staníc OZE</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bytových domoch (alebo bytových domoch)</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cieľom</w:t>
            </w:r>
            <w:r w:rsidRPr="00083739">
              <w:rPr>
                <w:rFonts w:ascii="Times New Roman" w:hAnsi="Times New Roman" w:cs="Times New Roman"/>
                <w:noProof/>
                <w:lang w:val="sk-SK"/>
              </w:rPr>
              <w:t xml:space="preserve"> podporiť kolektívnu vlastnú spotrebu. To zahŕňa pravidlá na uľahčenie rozhodovania vrátane zavedenia väčšinového procesu inštalácie OZE. </w:t>
            </w:r>
          </w:p>
        </w:tc>
      </w:tr>
      <w:tr w:rsidR="002D49B0" w:rsidRPr="00083739" w14:paraId="140F3C6B" w14:textId="77777777">
        <w:tc>
          <w:tcPr>
            <w:tcW w:w="846" w:type="dxa"/>
            <w:tcBorders>
              <w:top w:val="single" w:sz="4" w:space="0" w:color="auto"/>
              <w:left w:val="single" w:sz="4" w:space="0" w:color="auto"/>
              <w:bottom w:val="single" w:sz="4" w:space="0" w:color="auto"/>
              <w:right w:val="single" w:sz="4" w:space="0" w:color="auto"/>
            </w:tcBorders>
            <w:shd w:val="clear" w:color="auto" w:fill="C6EFCE"/>
            <w:noWrap/>
          </w:tcPr>
          <w:p w14:paraId="6E8B8C7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362</w:t>
            </w:r>
          </w:p>
        </w:tc>
        <w:tc>
          <w:tcPr>
            <w:tcW w:w="2126" w:type="dxa"/>
            <w:tcBorders>
              <w:top w:val="single" w:sz="4" w:space="0" w:color="auto"/>
              <w:left w:val="nil"/>
              <w:bottom w:val="single" w:sz="4" w:space="0" w:color="auto"/>
              <w:right w:val="single" w:sz="4" w:space="0" w:color="auto"/>
            </w:tcBorders>
            <w:shd w:val="clear" w:color="auto" w:fill="C6EFCE"/>
            <w:noWrap/>
          </w:tcPr>
          <w:p w14:paraId="7A97E2DA" w14:textId="2218C608"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 – 5. Reformy REPowerEU – 16992_Nástroj na podporu spoločného využívania energie, vlastnej spotreby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komunít </w:t>
            </w:r>
            <w:r w:rsidRPr="00083739">
              <w:rPr>
                <w:rFonts w:ascii="Times New Roman" w:hAnsi="Times New Roman" w:cs="Times New Roman"/>
                <w:noProof/>
                <w:lang w:val="sk-SK"/>
              </w:rPr>
              <w:t>vyrábajúcich energiu</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obnoviteľných zdrojov</w:t>
            </w:r>
          </w:p>
        </w:tc>
        <w:tc>
          <w:tcPr>
            <w:tcW w:w="992" w:type="dxa"/>
            <w:tcBorders>
              <w:top w:val="single" w:sz="4" w:space="0" w:color="auto"/>
              <w:left w:val="nil"/>
              <w:bottom w:val="single" w:sz="4" w:space="0" w:color="auto"/>
              <w:right w:val="single" w:sz="4" w:space="0" w:color="auto"/>
            </w:tcBorders>
            <w:shd w:val="clear" w:color="auto" w:fill="C6EFCE"/>
            <w:noWrap/>
          </w:tcPr>
          <w:p w14:paraId="2FE6C5B3" w14:textId="77777777" w:rsidR="002D49B0" w:rsidRPr="00083739" w:rsidRDefault="00BF4125">
            <w:pPr>
              <w:pStyle w:val="P68B1DB1-Normal9"/>
              <w:spacing w:after="12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194" w:type="dxa"/>
            <w:tcBorders>
              <w:top w:val="single" w:sz="4" w:space="0" w:color="auto"/>
              <w:left w:val="nil"/>
              <w:bottom w:val="single" w:sz="4" w:space="0" w:color="auto"/>
              <w:right w:val="single" w:sz="4" w:space="0" w:color="auto"/>
            </w:tcBorders>
            <w:shd w:val="clear" w:color="auto" w:fill="C6EFCE"/>
            <w:noWrap/>
          </w:tcPr>
          <w:p w14:paraId="433B2B49" w14:textId="4BDBDA86" w:rsidR="002D49B0" w:rsidRPr="00083739" w:rsidRDefault="00BF4125">
            <w:pPr>
              <w:pStyle w:val="P68B1DB1-Normal9"/>
              <w:spacing w:after="12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Zriadenie samospotrebiteľského registra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technická pomoc energetickým spoločenstvám</w:t>
            </w:r>
          </w:p>
        </w:tc>
        <w:tc>
          <w:tcPr>
            <w:tcW w:w="1541" w:type="dxa"/>
            <w:tcBorders>
              <w:top w:val="single" w:sz="4" w:space="0" w:color="auto"/>
              <w:left w:val="nil"/>
              <w:bottom w:val="single" w:sz="4" w:space="0" w:color="auto"/>
              <w:right w:val="single" w:sz="4" w:space="0" w:color="auto"/>
            </w:tcBorders>
            <w:shd w:val="clear" w:color="auto" w:fill="C6EFCE"/>
            <w:noWrap/>
          </w:tcPr>
          <w:p w14:paraId="4FF85F64" w14:textId="2D760898" w:rsidR="002D49B0" w:rsidRPr="00083739" w:rsidRDefault="00BF4125">
            <w:pPr>
              <w:pStyle w:val="P68B1DB1-Normal9"/>
              <w:spacing w:after="12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právnych predpisov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správa ministerstva životného prostredia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energetiky</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 xml:space="preserve">vykonávaní </w:t>
            </w:r>
            <w:r w:rsidRPr="00083739">
              <w:rPr>
                <w:rFonts w:ascii="Times New Roman" w:hAnsi="Times New Roman" w:cs="Times New Roman"/>
                <w:noProof/>
                <w:lang w:val="sk-SK"/>
              </w:rPr>
              <w:t>osvedčujúca úplnú realizáciu technickej pomoci</w:t>
            </w:r>
          </w:p>
        </w:tc>
        <w:tc>
          <w:tcPr>
            <w:tcW w:w="1020" w:type="dxa"/>
            <w:tcBorders>
              <w:top w:val="single" w:sz="4" w:space="0" w:color="auto"/>
              <w:left w:val="nil"/>
              <w:bottom w:val="single" w:sz="4" w:space="0" w:color="auto"/>
              <w:right w:val="single" w:sz="4" w:space="0" w:color="auto"/>
            </w:tcBorders>
            <w:shd w:val="clear" w:color="auto" w:fill="C6EFCE"/>
            <w:noWrap/>
          </w:tcPr>
          <w:p w14:paraId="0670714C" w14:textId="77777777" w:rsidR="002D49B0" w:rsidRPr="00083739" w:rsidRDefault="002D49B0">
            <w:pPr>
              <w:spacing w:after="120" w:line="240" w:lineRule="auto"/>
              <w:rPr>
                <w:rFonts w:ascii="Times New Roman" w:hAnsi="Times New Roman" w:cs="Times New Roman"/>
                <w:noProof/>
                <w:sz w:val="24"/>
                <w:lang w:val="sk-SK"/>
              </w:rPr>
            </w:pPr>
          </w:p>
        </w:tc>
        <w:tc>
          <w:tcPr>
            <w:tcW w:w="1020" w:type="dxa"/>
            <w:tcBorders>
              <w:top w:val="single" w:sz="4" w:space="0" w:color="auto"/>
              <w:left w:val="nil"/>
              <w:bottom w:val="single" w:sz="4" w:space="0" w:color="auto"/>
              <w:right w:val="single" w:sz="4" w:space="0" w:color="auto"/>
            </w:tcBorders>
            <w:shd w:val="clear" w:color="auto" w:fill="C6EFCE"/>
            <w:noWrap/>
          </w:tcPr>
          <w:p w14:paraId="22B72EA7" w14:textId="77777777" w:rsidR="002D49B0" w:rsidRPr="00083739" w:rsidRDefault="002D49B0">
            <w:pPr>
              <w:spacing w:after="120" w:line="240" w:lineRule="auto"/>
              <w:rPr>
                <w:rFonts w:ascii="Times New Roman" w:hAnsi="Times New Roman" w:cs="Times New Roman"/>
                <w:noProof/>
                <w:sz w:val="24"/>
                <w:lang w:val="sk-SK"/>
              </w:rPr>
            </w:pPr>
          </w:p>
        </w:tc>
        <w:tc>
          <w:tcPr>
            <w:tcW w:w="608" w:type="dxa"/>
            <w:tcBorders>
              <w:top w:val="single" w:sz="4" w:space="0" w:color="auto"/>
              <w:left w:val="nil"/>
              <w:bottom w:val="single" w:sz="4" w:space="0" w:color="auto"/>
              <w:right w:val="single" w:sz="4" w:space="0" w:color="auto"/>
            </w:tcBorders>
            <w:shd w:val="clear" w:color="auto" w:fill="C6EFCE"/>
            <w:noWrap/>
          </w:tcPr>
          <w:p w14:paraId="68857F6D" w14:textId="77777777" w:rsidR="002D49B0" w:rsidRPr="00083739" w:rsidRDefault="002D49B0">
            <w:pPr>
              <w:spacing w:after="120" w:line="240" w:lineRule="auto"/>
              <w:rPr>
                <w:rFonts w:ascii="Times New Roman" w:hAnsi="Times New Roman" w:cs="Times New Roman"/>
                <w:noProof/>
                <w:sz w:val="24"/>
                <w:lang w:val="sk-SK"/>
              </w:rPr>
            </w:pPr>
          </w:p>
        </w:tc>
        <w:tc>
          <w:tcPr>
            <w:tcW w:w="1061" w:type="dxa"/>
            <w:tcBorders>
              <w:top w:val="single" w:sz="4" w:space="0" w:color="auto"/>
              <w:left w:val="nil"/>
              <w:bottom w:val="single" w:sz="4" w:space="0" w:color="auto"/>
              <w:right w:val="single" w:sz="4" w:space="0" w:color="auto"/>
            </w:tcBorders>
            <w:shd w:val="clear" w:color="auto" w:fill="C6EFCE"/>
            <w:noWrap/>
          </w:tcPr>
          <w:p w14:paraId="647672BB" w14:textId="77777777" w:rsidR="002D49B0" w:rsidRPr="00083739" w:rsidRDefault="00BF4125">
            <w:pPr>
              <w:pStyle w:val="P68B1DB1-Normal9"/>
              <w:spacing w:after="12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PRVÝ ŠTVRŤROK</w:t>
            </w:r>
          </w:p>
        </w:tc>
        <w:tc>
          <w:tcPr>
            <w:tcW w:w="830" w:type="dxa"/>
            <w:tcBorders>
              <w:top w:val="single" w:sz="4" w:space="0" w:color="auto"/>
              <w:left w:val="nil"/>
              <w:bottom w:val="single" w:sz="4" w:space="0" w:color="auto"/>
              <w:right w:val="single" w:sz="4" w:space="0" w:color="auto"/>
            </w:tcBorders>
            <w:shd w:val="clear" w:color="auto" w:fill="C6EFCE"/>
            <w:noWrap/>
          </w:tcPr>
          <w:p w14:paraId="2F1C4C9F" w14:textId="77777777" w:rsidR="002D49B0" w:rsidRPr="00083739" w:rsidRDefault="00BF4125">
            <w:pPr>
              <w:pStyle w:val="P68B1DB1-Normal9"/>
              <w:spacing w:after="12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3647" w:type="dxa"/>
            <w:tcBorders>
              <w:top w:val="single" w:sz="4" w:space="0" w:color="auto"/>
              <w:left w:val="nil"/>
              <w:bottom w:val="single" w:sz="4" w:space="0" w:color="auto"/>
              <w:right w:val="single" w:sz="4" w:space="0" w:color="auto"/>
            </w:tcBorders>
            <w:shd w:val="clear" w:color="auto" w:fill="C6EFCE"/>
            <w:noWrap/>
          </w:tcPr>
          <w:p w14:paraId="25241927" w14:textId="05089049"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Nadobudnutie účinnosti právnych predpisov na zriadenie samostatného registra spotrebiteľov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vykonávanie opatrení technickej pomoci na podporu rozvoja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prevádzky energetických spoločenst</w:t>
            </w:r>
            <w:r w:rsidRPr="00083739">
              <w:rPr>
                <w:rFonts w:ascii="Times New Roman" w:hAnsi="Times New Roman" w:cs="Times New Roman"/>
                <w:noProof/>
                <w:lang w:val="sk-SK"/>
              </w:rPr>
              <w:t>iev. Register samospotrebiteľov sa používa na analýzu údajov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štatistické analýzy, pričom sa uľahčuje prechod samospotrebiteľov</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jedného dodávateľa na druhého</w:t>
            </w:r>
            <w:r w:rsidR="00083739" w:rsidRPr="00083739">
              <w:rPr>
                <w:rFonts w:ascii="Times New Roman" w:hAnsi="Times New Roman" w:cs="Times New Roman"/>
                <w:noProof/>
                <w:lang w:val="sk-SK"/>
              </w:rPr>
              <w:t>.</w:t>
            </w:r>
          </w:p>
          <w:p w14:paraId="7CAF5F2D" w14:textId="46FE4EDC"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p w14:paraId="6EE3443F" w14:textId="77C3B79C"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Register samospotrebiteľov spravuje príslušný subjekt (ako je grécky PDS), ktorý zabezpečí, </w:t>
            </w:r>
            <w:r w:rsidRPr="00083739">
              <w:rPr>
                <w:rFonts w:ascii="Times New Roman" w:hAnsi="Times New Roman" w:cs="Times New Roman"/>
                <w:noProof/>
                <w:lang w:val="sk-SK"/>
              </w:rPr>
              <w:t>aby sa oprávneným stranám poskytol transparentný</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nediskriminačný prístup</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aby registrácia samospotrebiteľov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zaobchádzanie so všetkými údajmi</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registri boli</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súlade</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uplatniteľným právnym rámcom Únie,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najmä</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pravidlami ochrany údajov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súkromia.</w:t>
            </w:r>
          </w:p>
          <w:p w14:paraId="1FBE0B51"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p w14:paraId="58C4E197" w14:textId="6E39E8CF"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Technická pomoc pre energetické spoločenstvá musí byť plne funkčná vrátane vymenovania príslušného interaktívneho kontaktného miesta. Na žiadosť oprávnenej strany kontaktné miesto podporuje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uľahčuje tieto strany počas celého správneho konania, ktoré je </w:t>
            </w:r>
            <w:r w:rsidRPr="00083739">
              <w:rPr>
                <w:rFonts w:ascii="Times New Roman" w:hAnsi="Times New Roman" w:cs="Times New Roman"/>
                <w:noProof/>
                <w:lang w:val="sk-SK"/>
              </w:rPr>
              <w:t>potrebné na vytvorenie/účasť</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 xml:space="preserve">energetických spoločenstvách. </w:t>
            </w:r>
          </w:p>
        </w:tc>
      </w:tr>
    </w:tbl>
    <w:p w14:paraId="278D9131" w14:textId="63587F9D" w:rsidR="002D49B0" w:rsidRPr="00083739" w:rsidRDefault="00BF4125">
      <w:pPr>
        <w:pStyle w:val="P68B1DB1-Normal6"/>
        <w:keepNext/>
        <w:keepLines/>
        <w:spacing w:before="240" w:after="0" w:line="240" w:lineRule="auto"/>
        <w:jc w:val="both"/>
        <w:outlineLvl w:val="4"/>
        <w:rPr>
          <w:rFonts w:ascii="Times New Roman" w:hAnsi="Times New Roman" w:cs="Times New Roman"/>
          <w:noProof/>
          <w:lang w:val="sk-SK"/>
        </w:rPr>
      </w:pPr>
      <w:r w:rsidRPr="00083739">
        <w:rPr>
          <w:rFonts w:ascii="Times New Roman" w:hAnsi="Times New Roman" w:cs="Times New Roman"/>
          <w:noProof/>
          <w:lang w:val="sk-SK"/>
        </w:rPr>
        <w:t>Reforma 7: Plán inovačných zásahov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energetickej efektívnosti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identifikácia nových finančných nástrojov (ID opatrenia: 16993)</w:t>
      </w:r>
    </w:p>
    <w:p w14:paraId="7D07C0BD" w14:textId="77777777" w:rsidR="002D49B0" w:rsidRPr="00083739" w:rsidRDefault="002D49B0">
      <w:pPr>
        <w:keepNext/>
        <w:keepLines/>
        <w:spacing w:before="240" w:after="0" w:line="240" w:lineRule="auto"/>
        <w:jc w:val="both"/>
        <w:outlineLvl w:val="4"/>
        <w:rPr>
          <w:rFonts w:ascii="Times New Roman" w:eastAsia="Times New Roman" w:hAnsi="Times New Roman" w:cs="Times New Roman"/>
          <w:noProof/>
          <w:color w:val="365F91"/>
          <w:sz w:val="24"/>
          <w:lang w:val="sk-SK"/>
        </w:rPr>
      </w:pPr>
    </w:p>
    <w:tbl>
      <w:tblPr>
        <w:tblW w:w="15026" w:type="dxa"/>
        <w:tblInd w:w="-5" w:type="dxa"/>
        <w:tblLook w:val="04A0" w:firstRow="1" w:lastRow="0" w:firstColumn="1" w:lastColumn="0" w:noHBand="0" w:noVBand="1"/>
      </w:tblPr>
      <w:tblGrid>
        <w:gridCol w:w="1238"/>
        <w:gridCol w:w="1749"/>
        <w:gridCol w:w="1115"/>
        <w:gridCol w:w="1205"/>
        <w:gridCol w:w="1553"/>
        <w:gridCol w:w="1205"/>
        <w:gridCol w:w="957"/>
        <w:gridCol w:w="713"/>
        <w:gridCol w:w="1167"/>
        <w:gridCol w:w="720"/>
        <w:gridCol w:w="3700"/>
      </w:tblGrid>
      <w:tr w:rsidR="002D49B0" w:rsidRPr="00083739" w14:paraId="689C8D8F" w14:textId="77777777">
        <w:trPr>
          <w:trHeight w:val="927"/>
          <w:tblHeader/>
        </w:trPr>
        <w:tc>
          <w:tcPr>
            <w:tcW w:w="123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D7A1EDA"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Poradové číslo</w:t>
            </w:r>
          </w:p>
        </w:tc>
        <w:tc>
          <w:tcPr>
            <w:tcW w:w="174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0FE6557"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Súvisiace opatrenie (reforma alebo </w:t>
            </w:r>
            <w:r w:rsidRPr="00083739">
              <w:rPr>
                <w:rFonts w:cs="Times New Roman"/>
                <w:noProof/>
                <w:lang w:val="sk-SK"/>
              </w:rPr>
              <w:t>investícia)</w:t>
            </w:r>
          </w:p>
        </w:tc>
        <w:tc>
          <w:tcPr>
            <w:tcW w:w="109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A8293C4"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Míľnik/cieľ</w:t>
            </w:r>
          </w:p>
        </w:tc>
        <w:tc>
          <w:tcPr>
            <w:tcW w:w="120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E6BCC3F"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Názov</w:t>
            </w:r>
          </w:p>
        </w:tc>
        <w:tc>
          <w:tcPr>
            <w:tcW w:w="155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8878B72"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Kvalitatívne ukazovatele (pre míľniky)</w:t>
            </w:r>
          </w:p>
        </w:tc>
        <w:tc>
          <w:tcPr>
            <w:tcW w:w="2845" w:type="dxa"/>
            <w:gridSpan w:val="3"/>
            <w:tcBorders>
              <w:top w:val="single" w:sz="4" w:space="0" w:color="auto"/>
              <w:left w:val="single" w:sz="4" w:space="0" w:color="auto"/>
              <w:bottom w:val="single" w:sz="4" w:space="0" w:color="auto"/>
              <w:right w:val="single" w:sz="4" w:space="0" w:color="auto"/>
            </w:tcBorders>
            <w:shd w:val="clear" w:color="auto" w:fill="BDD7EE"/>
            <w:vAlign w:val="center"/>
            <w:hideMark/>
          </w:tcPr>
          <w:p w14:paraId="52FD3FF2"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Kvantitatívne ukazovatele (pre ciele)</w:t>
            </w:r>
          </w:p>
        </w:tc>
        <w:tc>
          <w:tcPr>
            <w:tcW w:w="1642" w:type="dxa"/>
            <w:gridSpan w:val="2"/>
            <w:tcBorders>
              <w:top w:val="single" w:sz="4" w:space="0" w:color="auto"/>
              <w:left w:val="nil"/>
              <w:bottom w:val="single" w:sz="4" w:space="0" w:color="auto"/>
              <w:right w:val="single" w:sz="4" w:space="0" w:color="auto"/>
            </w:tcBorders>
            <w:shd w:val="clear" w:color="auto" w:fill="BDD7EE"/>
            <w:vAlign w:val="center"/>
            <w:hideMark/>
          </w:tcPr>
          <w:p w14:paraId="588B1535"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Orientačný harmonogram dokončenia </w:t>
            </w:r>
          </w:p>
        </w:tc>
        <w:tc>
          <w:tcPr>
            <w:tcW w:w="370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AB97A7A" w14:textId="772B7FCA"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Opis každého míľnika</w:t>
            </w:r>
            <w:r w:rsidR="00083739" w:rsidRPr="00083739">
              <w:rPr>
                <w:rFonts w:cs="Times New Roman"/>
                <w:noProof/>
                <w:lang w:val="sk-SK"/>
              </w:rPr>
              <w:t xml:space="preserve"> a </w:t>
            </w:r>
            <w:r w:rsidRPr="00083739">
              <w:rPr>
                <w:rFonts w:cs="Times New Roman"/>
                <w:noProof/>
                <w:lang w:val="sk-SK"/>
              </w:rPr>
              <w:t>cieľa</w:t>
            </w:r>
          </w:p>
        </w:tc>
      </w:tr>
      <w:tr w:rsidR="002D49B0" w:rsidRPr="00083739" w14:paraId="4267495B" w14:textId="77777777">
        <w:trPr>
          <w:trHeight w:val="665"/>
        </w:trPr>
        <w:tc>
          <w:tcPr>
            <w:tcW w:w="1238" w:type="dxa"/>
            <w:vMerge/>
            <w:tcBorders>
              <w:top w:val="single" w:sz="4" w:space="0" w:color="auto"/>
              <w:left w:val="single" w:sz="4" w:space="0" w:color="auto"/>
              <w:bottom w:val="single" w:sz="4" w:space="0" w:color="auto"/>
              <w:right w:val="single" w:sz="4" w:space="0" w:color="auto"/>
            </w:tcBorders>
            <w:vAlign w:val="center"/>
            <w:hideMark/>
          </w:tcPr>
          <w:p w14:paraId="58EF8EB9"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749" w:type="dxa"/>
            <w:vMerge/>
            <w:tcBorders>
              <w:top w:val="single" w:sz="4" w:space="0" w:color="auto"/>
              <w:left w:val="single" w:sz="4" w:space="0" w:color="auto"/>
              <w:bottom w:val="single" w:sz="4" w:space="0" w:color="auto"/>
              <w:right w:val="single" w:sz="4" w:space="0" w:color="auto"/>
            </w:tcBorders>
            <w:vAlign w:val="center"/>
            <w:hideMark/>
          </w:tcPr>
          <w:p w14:paraId="79433EFF"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14:paraId="23D4BD24"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205" w:type="dxa"/>
            <w:vMerge/>
            <w:tcBorders>
              <w:top w:val="single" w:sz="4" w:space="0" w:color="auto"/>
              <w:left w:val="single" w:sz="4" w:space="0" w:color="auto"/>
              <w:bottom w:val="single" w:sz="4" w:space="0" w:color="auto"/>
              <w:right w:val="single" w:sz="4" w:space="0" w:color="auto"/>
            </w:tcBorders>
            <w:vAlign w:val="center"/>
            <w:hideMark/>
          </w:tcPr>
          <w:p w14:paraId="3368D556"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553" w:type="dxa"/>
            <w:vMerge/>
            <w:tcBorders>
              <w:top w:val="single" w:sz="4" w:space="0" w:color="auto"/>
              <w:left w:val="single" w:sz="4" w:space="0" w:color="auto"/>
              <w:bottom w:val="single" w:sz="4" w:space="0" w:color="auto"/>
              <w:right w:val="single" w:sz="4" w:space="0" w:color="auto"/>
            </w:tcBorders>
            <w:vAlign w:val="center"/>
            <w:hideMark/>
          </w:tcPr>
          <w:p w14:paraId="57CD141D"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205"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71898E80"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Merná jednotka</w:t>
            </w:r>
          </w:p>
        </w:tc>
        <w:tc>
          <w:tcPr>
            <w:tcW w:w="927" w:type="dxa"/>
            <w:tcBorders>
              <w:top w:val="nil"/>
              <w:left w:val="nil"/>
              <w:bottom w:val="single" w:sz="4" w:space="0" w:color="auto"/>
              <w:right w:val="single" w:sz="4" w:space="0" w:color="auto"/>
            </w:tcBorders>
            <w:shd w:val="clear" w:color="auto" w:fill="BDD7EE"/>
            <w:vAlign w:val="center"/>
            <w:hideMark/>
          </w:tcPr>
          <w:p w14:paraId="452CA8E7"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Základná </w:t>
            </w:r>
          </w:p>
        </w:tc>
        <w:tc>
          <w:tcPr>
            <w:tcW w:w="713" w:type="dxa"/>
            <w:tcBorders>
              <w:top w:val="nil"/>
              <w:left w:val="nil"/>
              <w:bottom w:val="single" w:sz="4" w:space="0" w:color="auto"/>
              <w:right w:val="single" w:sz="4" w:space="0" w:color="auto"/>
            </w:tcBorders>
            <w:shd w:val="clear" w:color="auto" w:fill="BDD7EE"/>
            <w:vAlign w:val="center"/>
            <w:hideMark/>
          </w:tcPr>
          <w:p w14:paraId="5D588F0A"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Cieľ </w:t>
            </w:r>
          </w:p>
        </w:tc>
        <w:tc>
          <w:tcPr>
            <w:tcW w:w="922" w:type="dxa"/>
            <w:tcBorders>
              <w:top w:val="nil"/>
              <w:left w:val="nil"/>
              <w:bottom w:val="single" w:sz="4" w:space="0" w:color="auto"/>
              <w:right w:val="single" w:sz="4" w:space="0" w:color="auto"/>
            </w:tcBorders>
            <w:shd w:val="clear" w:color="auto" w:fill="BDD7EE"/>
            <w:vAlign w:val="center"/>
            <w:hideMark/>
          </w:tcPr>
          <w:p w14:paraId="29746CC5"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Štvrtina</w:t>
            </w:r>
          </w:p>
        </w:tc>
        <w:tc>
          <w:tcPr>
            <w:tcW w:w="720" w:type="dxa"/>
            <w:tcBorders>
              <w:top w:val="nil"/>
              <w:left w:val="nil"/>
              <w:bottom w:val="single" w:sz="4" w:space="0" w:color="auto"/>
              <w:right w:val="single" w:sz="4" w:space="0" w:color="auto"/>
            </w:tcBorders>
            <w:shd w:val="clear" w:color="auto" w:fill="BDD7EE"/>
            <w:vAlign w:val="center"/>
            <w:hideMark/>
          </w:tcPr>
          <w:p w14:paraId="727D77E3"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Rok</w:t>
            </w:r>
          </w:p>
        </w:tc>
        <w:tc>
          <w:tcPr>
            <w:tcW w:w="3700" w:type="dxa"/>
            <w:vMerge/>
            <w:tcBorders>
              <w:top w:val="single" w:sz="4" w:space="0" w:color="auto"/>
              <w:bottom w:val="single" w:sz="4" w:space="0" w:color="auto"/>
              <w:right w:val="single" w:sz="4" w:space="0" w:color="auto"/>
            </w:tcBorders>
            <w:vAlign w:val="center"/>
            <w:hideMark/>
          </w:tcPr>
          <w:p w14:paraId="526D33C1"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r>
      <w:tr w:rsidR="002D49B0" w:rsidRPr="00083739" w14:paraId="45C5A9B2" w14:textId="77777777">
        <w:tc>
          <w:tcPr>
            <w:tcW w:w="1238" w:type="dxa"/>
            <w:tcBorders>
              <w:top w:val="single" w:sz="4" w:space="0" w:color="auto"/>
              <w:left w:val="single" w:sz="4" w:space="0" w:color="auto"/>
              <w:bottom w:val="single" w:sz="4" w:space="0" w:color="auto"/>
              <w:right w:val="single" w:sz="4" w:space="0" w:color="auto"/>
            </w:tcBorders>
            <w:shd w:val="clear" w:color="auto" w:fill="C6EFCE"/>
            <w:noWrap/>
          </w:tcPr>
          <w:p w14:paraId="0F76048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363</w:t>
            </w:r>
          </w:p>
        </w:tc>
        <w:tc>
          <w:tcPr>
            <w:tcW w:w="1749" w:type="dxa"/>
            <w:tcBorders>
              <w:top w:val="single" w:sz="4" w:space="0" w:color="auto"/>
              <w:left w:val="nil"/>
              <w:bottom w:val="single" w:sz="4" w:space="0" w:color="auto"/>
              <w:right w:val="single" w:sz="4" w:space="0" w:color="auto"/>
            </w:tcBorders>
            <w:shd w:val="clear" w:color="auto" w:fill="C6EFCE"/>
            <w:noWrap/>
          </w:tcPr>
          <w:p w14:paraId="3D9841B3" w14:textId="560E6823"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20 – 5. Reformy REPowerEU – </w:t>
            </w:r>
            <w:r w:rsidRPr="00083739">
              <w:rPr>
                <w:rFonts w:ascii="Times New Roman" w:hAnsi="Times New Roman" w:cs="Times New Roman"/>
                <w:noProof/>
                <w:lang w:val="sk-SK"/>
              </w:rPr>
              <w:t>16993_Plán inovačných intervencií</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energetickej efektívnosti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identifikácia nových finančných nástrojov</w:t>
            </w:r>
          </w:p>
        </w:tc>
        <w:tc>
          <w:tcPr>
            <w:tcW w:w="1094" w:type="dxa"/>
            <w:tcBorders>
              <w:top w:val="single" w:sz="4" w:space="0" w:color="auto"/>
              <w:left w:val="nil"/>
              <w:bottom w:val="single" w:sz="4" w:space="0" w:color="auto"/>
              <w:right w:val="single" w:sz="4" w:space="0" w:color="auto"/>
            </w:tcBorders>
            <w:shd w:val="clear" w:color="auto" w:fill="C6EFCE"/>
            <w:noWrap/>
          </w:tcPr>
          <w:p w14:paraId="151D52A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205" w:type="dxa"/>
            <w:tcBorders>
              <w:top w:val="single" w:sz="4" w:space="0" w:color="auto"/>
              <w:left w:val="nil"/>
              <w:bottom w:val="single" w:sz="4" w:space="0" w:color="auto"/>
              <w:right w:val="single" w:sz="4" w:space="0" w:color="auto"/>
            </w:tcBorders>
            <w:shd w:val="clear" w:color="auto" w:fill="C6EFCE"/>
            <w:noWrap/>
          </w:tcPr>
          <w:p w14:paraId="20F7EC31" w14:textId="6C599962"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Plán inovačných zásahov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energetickej efektívnosti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stanovený právny rámec</w:t>
            </w:r>
          </w:p>
        </w:tc>
        <w:tc>
          <w:tcPr>
            <w:tcW w:w="1553" w:type="dxa"/>
            <w:tcBorders>
              <w:top w:val="single" w:sz="4" w:space="0" w:color="auto"/>
              <w:left w:val="nil"/>
              <w:bottom w:val="single" w:sz="4" w:space="0" w:color="auto"/>
              <w:right w:val="single" w:sz="4" w:space="0" w:color="auto"/>
            </w:tcBorders>
            <w:shd w:val="clear" w:color="auto" w:fill="C6EFCE"/>
            <w:noWrap/>
          </w:tcPr>
          <w:p w14:paraId="622CD76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právnych predpisov.</w:t>
            </w:r>
          </w:p>
        </w:tc>
        <w:tc>
          <w:tcPr>
            <w:tcW w:w="1205" w:type="dxa"/>
            <w:tcBorders>
              <w:top w:val="single" w:sz="4" w:space="0" w:color="auto"/>
              <w:left w:val="nil"/>
              <w:bottom w:val="single" w:sz="4" w:space="0" w:color="auto"/>
              <w:right w:val="single" w:sz="4" w:space="0" w:color="auto"/>
            </w:tcBorders>
            <w:shd w:val="clear" w:color="auto" w:fill="C6EFCE"/>
            <w:noWrap/>
          </w:tcPr>
          <w:p w14:paraId="6D4FC4A8"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27" w:type="dxa"/>
            <w:tcBorders>
              <w:top w:val="nil"/>
              <w:left w:val="nil"/>
              <w:bottom w:val="single" w:sz="4" w:space="0" w:color="auto"/>
              <w:right w:val="single" w:sz="4" w:space="0" w:color="auto"/>
            </w:tcBorders>
            <w:shd w:val="clear" w:color="auto" w:fill="C6EFCE"/>
            <w:noWrap/>
          </w:tcPr>
          <w:p w14:paraId="28385D1D"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713" w:type="dxa"/>
            <w:tcBorders>
              <w:top w:val="nil"/>
              <w:left w:val="nil"/>
              <w:bottom w:val="single" w:sz="4" w:space="0" w:color="auto"/>
              <w:right w:val="single" w:sz="4" w:space="0" w:color="auto"/>
            </w:tcBorders>
            <w:shd w:val="clear" w:color="auto" w:fill="C6EFCE"/>
            <w:noWrap/>
          </w:tcPr>
          <w:p w14:paraId="1558F396"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22" w:type="dxa"/>
            <w:tcBorders>
              <w:top w:val="nil"/>
              <w:left w:val="nil"/>
              <w:bottom w:val="single" w:sz="4" w:space="0" w:color="auto"/>
              <w:right w:val="single" w:sz="4" w:space="0" w:color="auto"/>
            </w:tcBorders>
            <w:shd w:val="clear" w:color="auto" w:fill="C6EFCE"/>
            <w:noWrap/>
          </w:tcPr>
          <w:p w14:paraId="1085710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720" w:type="dxa"/>
            <w:tcBorders>
              <w:top w:val="nil"/>
              <w:left w:val="nil"/>
              <w:bottom w:val="single" w:sz="4" w:space="0" w:color="auto"/>
              <w:right w:val="single" w:sz="4" w:space="0" w:color="auto"/>
            </w:tcBorders>
            <w:shd w:val="clear" w:color="auto" w:fill="C6EFCE"/>
            <w:noWrap/>
          </w:tcPr>
          <w:p w14:paraId="6A4CC69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2024</w:t>
            </w:r>
          </w:p>
        </w:tc>
        <w:tc>
          <w:tcPr>
            <w:tcW w:w="3700" w:type="dxa"/>
            <w:tcBorders>
              <w:top w:val="single" w:sz="4" w:space="0" w:color="auto"/>
              <w:left w:val="nil"/>
              <w:bottom w:val="single" w:sz="4" w:space="0" w:color="auto"/>
              <w:right w:val="single" w:sz="4" w:space="0" w:color="auto"/>
            </w:tcBorders>
            <w:shd w:val="clear" w:color="auto" w:fill="C6EFCE"/>
            <w:noWrap/>
          </w:tcPr>
          <w:p w14:paraId="1E6C8F64" w14:textId="7233894A"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ministerského rozhodnutia, ktorým sa prijíma plán,</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ktorom sa stanovia inovačné intervencie</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 xml:space="preserve">oblasti energetickej efektívnosti vrátane finančných nástrojov, ktoré nie sú založené na grantoch. </w:t>
            </w:r>
          </w:p>
        </w:tc>
      </w:tr>
      <w:tr w:rsidR="002D49B0" w:rsidRPr="00083739" w14:paraId="25AE2FD8" w14:textId="77777777">
        <w:tc>
          <w:tcPr>
            <w:tcW w:w="1238" w:type="dxa"/>
            <w:tcBorders>
              <w:top w:val="nil"/>
              <w:left w:val="single" w:sz="4" w:space="0" w:color="auto"/>
              <w:bottom w:val="single" w:sz="4" w:space="0" w:color="auto"/>
              <w:right w:val="single" w:sz="4" w:space="0" w:color="auto"/>
            </w:tcBorders>
            <w:shd w:val="clear" w:color="auto" w:fill="C6EFCE"/>
            <w:noWrap/>
          </w:tcPr>
          <w:p w14:paraId="4B0BFE9C" w14:textId="210C5C32"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364</w:t>
            </w:r>
          </w:p>
        </w:tc>
        <w:tc>
          <w:tcPr>
            <w:tcW w:w="1749" w:type="dxa"/>
            <w:tcBorders>
              <w:top w:val="nil"/>
              <w:left w:val="nil"/>
              <w:bottom w:val="single" w:sz="4" w:space="0" w:color="auto"/>
              <w:right w:val="single" w:sz="4" w:space="0" w:color="auto"/>
            </w:tcBorders>
            <w:shd w:val="clear" w:color="auto" w:fill="C6EFCE"/>
            <w:noWrap/>
          </w:tcPr>
          <w:p w14:paraId="2633848F" w14:textId="700F553F"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20 – 5. </w:t>
            </w:r>
            <w:r w:rsidRPr="00083739">
              <w:rPr>
                <w:rFonts w:ascii="Times New Roman" w:hAnsi="Times New Roman" w:cs="Times New Roman"/>
                <w:noProof/>
                <w:lang w:val="sk-SK"/>
              </w:rPr>
              <w:t>Reformy REPowerEU – 16993_Plán inovačných intervencií</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energetickej efektívnosti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identifikácia nových finančných nástrojov</w:t>
            </w:r>
          </w:p>
        </w:tc>
        <w:tc>
          <w:tcPr>
            <w:tcW w:w="1094" w:type="dxa"/>
            <w:tcBorders>
              <w:top w:val="nil"/>
              <w:left w:val="nil"/>
              <w:bottom w:val="single" w:sz="4" w:space="0" w:color="auto"/>
              <w:right w:val="single" w:sz="4" w:space="0" w:color="auto"/>
            </w:tcBorders>
            <w:shd w:val="clear" w:color="auto" w:fill="C6EFCE"/>
            <w:noWrap/>
          </w:tcPr>
          <w:p w14:paraId="21712C4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205" w:type="dxa"/>
            <w:tcBorders>
              <w:top w:val="nil"/>
              <w:left w:val="nil"/>
              <w:bottom w:val="single" w:sz="4" w:space="0" w:color="auto"/>
              <w:right w:val="single" w:sz="4" w:space="0" w:color="auto"/>
            </w:tcBorders>
            <w:shd w:val="clear" w:color="auto" w:fill="C6EFCE"/>
            <w:noWrap/>
          </w:tcPr>
          <w:p w14:paraId="0DBC80D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Spustenie negrantového finančného nástroja</w:t>
            </w:r>
          </w:p>
        </w:tc>
        <w:tc>
          <w:tcPr>
            <w:tcW w:w="1553" w:type="dxa"/>
            <w:tcBorders>
              <w:top w:val="nil"/>
              <w:left w:val="nil"/>
              <w:bottom w:val="single" w:sz="4" w:space="0" w:color="auto"/>
              <w:right w:val="single" w:sz="4" w:space="0" w:color="auto"/>
            </w:tcBorders>
            <w:shd w:val="clear" w:color="auto" w:fill="C6EFCE"/>
            <w:noWrap/>
          </w:tcPr>
          <w:p w14:paraId="13A7011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Nadobudnutie účinnosti právnych predpisov.</w:t>
            </w:r>
          </w:p>
        </w:tc>
        <w:tc>
          <w:tcPr>
            <w:tcW w:w="1205" w:type="dxa"/>
            <w:tcBorders>
              <w:top w:val="nil"/>
              <w:left w:val="nil"/>
              <w:bottom w:val="single" w:sz="4" w:space="0" w:color="auto"/>
              <w:right w:val="single" w:sz="4" w:space="0" w:color="auto"/>
            </w:tcBorders>
            <w:shd w:val="clear" w:color="auto" w:fill="C6EFCE"/>
            <w:noWrap/>
          </w:tcPr>
          <w:p w14:paraId="08E25C94"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27" w:type="dxa"/>
            <w:tcBorders>
              <w:top w:val="nil"/>
              <w:left w:val="nil"/>
              <w:bottom w:val="single" w:sz="4" w:space="0" w:color="auto"/>
              <w:right w:val="single" w:sz="4" w:space="0" w:color="auto"/>
            </w:tcBorders>
            <w:shd w:val="clear" w:color="auto" w:fill="C6EFCE"/>
            <w:noWrap/>
          </w:tcPr>
          <w:p w14:paraId="6F063F3A"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713" w:type="dxa"/>
            <w:tcBorders>
              <w:top w:val="nil"/>
              <w:left w:val="nil"/>
              <w:bottom w:val="single" w:sz="4" w:space="0" w:color="auto"/>
              <w:right w:val="single" w:sz="4" w:space="0" w:color="auto"/>
            </w:tcBorders>
            <w:shd w:val="clear" w:color="auto" w:fill="C6EFCE"/>
            <w:noWrap/>
          </w:tcPr>
          <w:p w14:paraId="5DB48D61"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22" w:type="dxa"/>
            <w:tcBorders>
              <w:top w:val="nil"/>
              <w:left w:val="nil"/>
              <w:bottom w:val="single" w:sz="4" w:space="0" w:color="auto"/>
              <w:right w:val="single" w:sz="4" w:space="0" w:color="auto"/>
            </w:tcBorders>
            <w:shd w:val="clear" w:color="auto" w:fill="C6EFCE"/>
            <w:noWrap/>
          </w:tcPr>
          <w:p w14:paraId="72A09F1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720" w:type="dxa"/>
            <w:tcBorders>
              <w:top w:val="nil"/>
              <w:left w:val="nil"/>
              <w:bottom w:val="single" w:sz="4" w:space="0" w:color="auto"/>
              <w:right w:val="single" w:sz="4" w:space="0" w:color="auto"/>
            </w:tcBorders>
            <w:shd w:val="clear" w:color="auto" w:fill="C6EFCE"/>
            <w:noWrap/>
          </w:tcPr>
          <w:p w14:paraId="170377C4"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3700" w:type="dxa"/>
            <w:tcBorders>
              <w:top w:val="nil"/>
              <w:left w:val="nil"/>
              <w:bottom w:val="single" w:sz="4" w:space="0" w:color="auto"/>
              <w:right w:val="single" w:sz="4" w:space="0" w:color="auto"/>
            </w:tcBorders>
            <w:shd w:val="clear" w:color="auto" w:fill="C6EFCE"/>
            <w:noWrap/>
          </w:tcPr>
          <w:p w14:paraId="7B16685A" w14:textId="541143E0" w:rsidR="002D49B0" w:rsidRPr="00083739" w:rsidRDefault="00BF4125">
            <w:pPr>
              <w:spacing w:after="0" w:line="240" w:lineRule="auto"/>
              <w:rPr>
                <w:rFonts w:ascii="Times New Roman" w:eastAsia="Times New Roman" w:hAnsi="Times New Roman" w:cs="Times New Roman"/>
                <w:noProof/>
                <w:color w:val="006100"/>
                <w:sz w:val="18"/>
                <w:szCs w:val="18"/>
                <w:lang w:val="sk-SK"/>
              </w:rPr>
            </w:pPr>
            <w:r w:rsidRPr="00083739">
              <w:rPr>
                <w:rFonts w:ascii="Times New Roman" w:hAnsi="Times New Roman" w:cs="Times New Roman"/>
                <w:noProof/>
                <w:color w:val="006100"/>
                <w:sz w:val="18"/>
                <w:lang w:val="sk-SK"/>
              </w:rPr>
              <w:t>Nadobu</w:t>
            </w:r>
            <w:r w:rsidRPr="00083739">
              <w:rPr>
                <w:rFonts w:ascii="Times New Roman" w:hAnsi="Times New Roman" w:cs="Times New Roman"/>
                <w:noProof/>
                <w:color w:val="006100"/>
                <w:sz w:val="18"/>
                <w:lang w:val="sk-SK"/>
              </w:rPr>
              <w:t>dnutie účinnosti sekundárnych právnych predpisov, ktorými sa zavádza finančný nástroj, ktorý nie je založený na grantoch, ako sa stanovuje</w:t>
            </w:r>
            <w:r w:rsidR="00083739" w:rsidRPr="00083739">
              <w:rPr>
                <w:rFonts w:ascii="Times New Roman" w:hAnsi="Times New Roman" w:cs="Times New Roman"/>
                <w:noProof/>
                <w:color w:val="006100"/>
                <w:sz w:val="18"/>
                <w:lang w:val="sk-SK"/>
              </w:rPr>
              <w:t xml:space="preserve"> v </w:t>
            </w:r>
            <w:r w:rsidRPr="00083739">
              <w:rPr>
                <w:rFonts w:ascii="Times New Roman" w:hAnsi="Times New Roman" w:cs="Times New Roman"/>
                <w:noProof/>
                <w:color w:val="006100"/>
                <w:sz w:val="18"/>
                <w:lang w:val="sk-SK"/>
              </w:rPr>
              <w:t>pláne.</w:t>
            </w:r>
            <w:r w:rsidRPr="00083739">
              <w:rPr>
                <w:rStyle w:val="Heading1Char"/>
                <w:rFonts w:eastAsia="Calibri"/>
                <w:noProof/>
                <w:lang w:val="sk-SK"/>
              </w:rPr>
              <w:t xml:space="preserve"> </w:t>
            </w:r>
          </w:p>
        </w:tc>
      </w:tr>
    </w:tbl>
    <w:p w14:paraId="332EAD41" w14:textId="77777777" w:rsidR="002D49B0" w:rsidRPr="00083739" w:rsidRDefault="002D49B0">
      <w:pPr>
        <w:rPr>
          <w:rFonts w:ascii="Times New Roman" w:hAnsi="Times New Roman" w:cs="Times New Roman"/>
          <w:noProof/>
          <w:sz w:val="24"/>
          <w:lang w:val="sk-SK"/>
        </w:rPr>
        <w:sectPr w:rsidR="002D49B0" w:rsidRPr="00083739" w:rsidSect="00271D33">
          <w:headerReference w:type="even" r:id="rId351"/>
          <w:headerReference w:type="default" r:id="rId352"/>
          <w:footerReference w:type="even" r:id="rId353"/>
          <w:footerReference w:type="default" r:id="rId354"/>
          <w:headerReference w:type="first" r:id="rId355"/>
          <w:footerReference w:type="first" r:id="rId356"/>
          <w:pgSz w:w="16839" w:h="11907" w:orient="landscape"/>
          <w:pgMar w:top="1134" w:right="1134" w:bottom="1134" w:left="1134" w:header="567" w:footer="355" w:gutter="0"/>
          <w:cols w:space="720"/>
          <w:docGrid w:linePitch="360"/>
        </w:sectPr>
      </w:pPr>
    </w:p>
    <w:p w14:paraId="20B973C0" w14:textId="77777777" w:rsidR="002D49B0" w:rsidRPr="00083739" w:rsidRDefault="00BF4125">
      <w:pPr>
        <w:pStyle w:val="P68B1DB1-Normal2"/>
        <w:spacing w:before="120" w:after="120" w:line="240" w:lineRule="auto"/>
        <w:ind w:firstLine="6"/>
        <w:jc w:val="both"/>
        <w:outlineLvl w:val="3"/>
        <w:rPr>
          <w:rFonts w:cs="Times New Roman"/>
          <w:bCs/>
          <w:noProof/>
          <w:lang w:val="sk-SK"/>
        </w:rPr>
      </w:pPr>
      <w:r w:rsidRPr="00083739">
        <w:rPr>
          <w:rFonts w:cs="Times New Roman"/>
          <w:noProof/>
          <w:lang w:val="sk-SK"/>
        </w:rPr>
        <w:t>U. KOMPONENT 5.2: Plány REPowerEU</w:t>
      </w:r>
    </w:p>
    <w:p w14:paraId="059A5E20" w14:textId="77777777" w:rsidR="002D49B0" w:rsidRPr="00083739" w:rsidRDefault="002D49B0">
      <w:pPr>
        <w:spacing w:before="120" w:after="120" w:line="240" w:lineRule="auto"/>
        <w:jc w:val="both"/>
        <w:rPr>
          <w:rFonts w:ascii="Times New Roman" w:hAnsi="Times New Roman" w:cs="Times New Roman"/>
          <w:b/>
          <w:bCs/>
          <w:noProof/>
          <w:sz w:val="24"/>
          <w:u w:val="single"/>
          <w:lang w:val="sk-SK"/>
        </w:rPr>
      </w:pPr>
    </w:p>
    <w:p w14:paraId="0E19AF25" w14:textId="26CFAFB7" w:rsidR="002D49B0" w:rsidRPr="00083739" w:rsidRDefault="00BF4125">
      <w:pPr>
        <w:spacing w:before="120" w:after="120" w:line="240" w:lineRule="auto"/>
        <w:jc w:val="both"/>
        <w:rPr>
          <w:rFonts w:ascii="Times New Roman" w:hAnsi="Times New Roman" w:cs="Times New Roman"/>
          <w:b/>
          <w:bCs/>
          <w:i/>
          <w:iCs/>
          <w:noProof/>
          <w:color w:val="4F81BD"/>
          <w:sz w:val="24"/>
          <w:lang w:val="sk-SK"/>
        </w:rPr>
      </w:pPr>
      <w:r w:rsidRPr="00083739">
        <w:rPr>
          <w:rFonts w:ascii="Times New Roman" w:hAnsi="Times New Roman" w:cs="Times New Roman"/>
          <w:b/>
          <w:noProof/>
          <w:sz w:val="24"/>
          <w:u w:val="single"/>
          <w:lang w:val="sk-SK"/>
        </w:rPr>
        <w:t xml:space="preserve">U.1. </w:t>
      </w:r>
      <w:r w:rsidRPr="00083739">
        <w:rPr>
          <w:rFonts w:ascii="Times New Roman" w:hAnsi="Times New Roman" w:cs="Times New Roman"/>
          <w:noProof/>
          <w:lang w:val="sk-SK"/>
        </w:rPr>
        <w:t xml:space="preserve"> </w:t>
      </w:r>
      <w:r w:rsidRPr="00083739">
        <w:rPr>
          <w:rFonts w:ascii="Times New Roman" w:hAnsi="Times New Roman" w:cs="Times New Roman"/>
          <w:b/>
          <w:noProof/>
          <w:sz w:val="24"/>
          <w:u w:val="single"/>
          <w:lang w:val="sk-SK"/>
        </w:rPr>
        <w:t>Opis</w:t>
      </w:r>
      <w:r w:rsidRPr="00083739">
        <w:rPr>
          <w:rFonts w:ascii="Times New Roman" w:hAnsi="Times New Roman" w:cs="Times New Roman"/>
          <w:b/>
          <w:noProof/>
          <w:sz w:val="24"/>
          <w:u w:val="single"/>
          <w:lang w:val="sk-SK"/>
        </w:rPr>
        <w:t xml:space="preserve"> reforiem</w:t>
      </w:r>
      <w:r w:rsidR="00083739" w:rsidRPr="00083739">
        <w:rPr>
          <w:rFonts w:ascii="Times New Roman" w:hAnsi="Times New Roman" w:cs="Times New Roman"/>
          <w:b/>
          <w:noProof/>
          <w:sz w:val="24"/>
          <w:u w:val="single"/>
          <w:lang w:val="sk-SK"/>
        </w:rPr>
        <w:t xml:space="preserve"> a </w:t>
      </w:r>
      <w:r w:rsidRPr="00083739">
        <w:rPr>
          <w:rFonts w:ascii="Times New Roman" w:hAnsi="Times New Roman" w:cs="Times New Roman"/>
          <w:b/>
          <w:noProof/>
          <w:sz w:val="24"/>
          <w:u w:val="single"/>
          <w:lang w:val="sk-SK"/>
        </w:rPr>
        <w:t>investícií</w:t>
      </w:r>
      <w:r w:rsidR="00083739" w:rsidRPr="00083739">
        <w:rPr>
          <w:rFonts w:ascii="Times New Roman" w:hAnsi="Times New Roman" w:cs="Times New Roman"/>
          <w:b/>
          <w:noProof/>
          <w:sz w:val="24"/>
          <w:u w:val="single"/>
          <w:lang w:val="sk-SK"/>
        </w:rPr>
        <w:t xml:space="preserve"> v </w:t>
      </w:r>
      <w:r w:rsidRPr="00083739">
        <w:rPr>
          <w:rFonts w:ascii="Times New Roman" w:hAnsi="Times New Roman" w:cs="Times New Roman"/>
          <w:b/>
          <w:noProof/>
          <w:sz w:val="24"/>
          <w:u w:val="single"/>
          <w:lang w:val="sk-SK"/>
        </w:rPr>
        <w:t>rámci nenávratnej finančnej podpory</w:t>
      </w:r>
    </w:p>
    <w:p w14:paraId="0A60D6CB" w14:textId="6397A457" w:rsidR="002D49B0" w:rsidRPr="00083739" w:rsidRDefault="00BF4125">
      <w:pPr>
        <w:pStyle w:val="P68B1DB1-Normal4"/>
        <w:spacing w:before="120" w:after="120" w:line="240" w:lineRule="auto"/>
        <w:jc w:val="both"/>
        <w:rPr>
          <w:rFonts w:cs="Times New Roman"/>
          <w:noProof/>
          <w:szCs w:val="24"/>
          <w:lang w:val="sk-SK"/>
        </w:rPr>
      </w:pPr>
      <w:r w:rsidRPr="00083739">
        <w:rPr>
          <w:rFonts w:cs="Times New Roman"/>
          <w:noProof/>
          <w:lang w:val="sk-SK"/>
        </w:rPr>
        <w:t>Kapitola REPowerEU obsahuje tri investičné opatrenia na podporu energetickej efektívnosti, zavádzania nových obnoviteľných zdrojov energie, uskladňovania energie</w:t>
      </w:r>
      <w:r w:rsidR="00083739" w:rsidRPr="00083739">
        <w:rPr>
          <w:rFonts w:cs="Times New Roman"/>
          <w:noProof/>
          <w:lang w:val="sk-SK"/>
        </w:rPr>
        <w:t xml:space="preserve"> a </w:t>
      </w:r>
      <w:r w:rsidRPr="00083739">
        <w:rPr>
          <w:rFonts w:cs="Times New Roman"/>
          <w:noProof/>
          <w:lang w:val="sk-SK"/>
        </w:rPr>
        <w:t>zachytávania</w:t>
      </w:r>
      <w:r w:rsidR="00083739" w:rsidRPr="00083739">
        <w:rPr>
          <w:rFonts w:cs="Times New Roman"/>
          <w:noProof/>
          <w:lang w:val="sk-SK"/>
        </w:rPr>
        <w:t xml:space="preserve"> a </w:t>
      </w:r>
      <w:r w:rsidRPr="00083739">
        <w:rPr>
          <w:rFonts w:cs="Times New Roman"/>
          <w:noProof/>
          <w:lang w:val="sk-SK"/>
        </w:rPr>
        <w:t>ukladania uhlíka</w:t>
      </w:r>
      <w:r w:rsidRPr="00083739">
        <w:rPr>
          <w:rFonts w:cs="Times New Roman"/>
          <w:noProof/>
          <w:lang w:val="sk-SK"/>
        </w:rPr>
        <w:t xml:space="preserve"> vrátane: 1. investícia na podporu energetickej efektívnosti</w:t>
      </w:r>
      <w:r w:rsidR="00083739" w:rsidRPr="00083739">
        <w:rPr>
          <w:rFonts w:cs="Times New Roman"/>
          <w:noProof/>
          <w:lang w:val="sk-SK"/>
        </w:rPr>
        <w:t xml:space="preserve"> a </w:t>
      </w:r>
      <w:r w:rsidRPr="00083739">
        <w:rPr>
          <w:rFonts w:cs="Times New Roman"/>
          <w:noProof/>
          <w:lang w:val="sk-SK"/>
        </w:rPr>
        <w:t>presadzovania obnoviteľných zdrojov energie pre vlastnú spotrebu, ktorá pozostáva</w:t>
      </w:r>
      <w:r w:rsidR="00083739" w:rsidRPr="00083739">
        <w:rPr>
          <w:rFonts w:cs="Times New Roman"/>
          <w:noProof/>
          <w:lang w:val="sk-SK"/>
        </w:rPr>
        <w:t xml:space="preserve"> z </w:t>
      </w:r>
      <w:r w:rsidRPr="00083739">
        <w:rPr>
          <w:rFonts w:cs="Times New Roman"/>
          <w:noProof/>
          <w:lang w:val="sk-SK"/>
        </w:rPr>
        <w:t>piatich čiastkových investícií pokrývajúcich i) energetickú obnovu obytných budov prostredníctvom poskytovani</w:t>
      </w:r>
      <w:r w:rsidRPr="00083739">
        <w:rPr>
          <w:rFonts w:cs="Times New Roman"/>
          <w:noProof/>
          <w:lang w:val="sk-SK"/>
        </w:rPr>
        <w:t>a dotácií; II) energetická obnova nebytových verejných</w:t>
      </w:r>
      <w:r w:rsidR="00083739" w:rsidRPr="00083739">
        <w:rPr>
          <w:rFonts w:cs="Times New Roman"/>
          <w:noProof/>
          <w:lang w:val="sk-SK"/>
        </w:rPr>
        <w:t xml:space="preserve"> a </w:t>
      </w:r>
      <w:r w:rsidRPr="00083739">
        <w:rPr>
          <w:rFonts w:cs="Times New Roman"/>
          <w:noProof/>
          <w:lang w:val="sk-SK"/>
        </w:rPr>
        <w:t>súkromných budov prostredníctvom poskytovania dotácií; III) inštalácia fotovoltických systémov na vlastnú spotrebu</w:t>
      </w:r>
      <w:r w:rsidR="00083739" w:rsidRPr="00083739">
        <w:rPr>
          <w:rFonts w:cs="Times New Roman"/>
          <w:noProof/>
          <w:lang w:val="sk-SK"/>
        </w:rPr>
        <w:t xml:space="preserve"> v </w:t>
      </w:r>
      <w:r w:rsidRPr="00083739">
        <w:rPr>
          <w:rFonts w:cs="Times New Roman"/>
          <w:noProof/>
          <w:lang w:val="sk-SK"/>
        </w:rPr>
        <w:t>obytných budovách</w:t>
      </w:r>
      <w:r w:rsidR="00083739" w:rsidRPr="00083739">
        <w:rPr>
          <w:rFonts w:cs="Times New Roman"/>
          <w:noProof/>
          <w:lang w:val="sk-SK"/>
        </w:rPr>
        <w:t xml:space="preserve"> a v </w:t>
      </w:r>
      <w:r w:rsidRPr="00083739">
        <w:rPr>
          <w:rFonts w:cs="Times New Roman"/>
          <w:noProof/>
          <w:lang w:val="sk-SK"/>
        </w:rPr>
        <w:t>odvetví poľnohospodárstva prostredníctvom poskytovania dotác</w:t>
      </w:r>
      <w:r w:rsidRPr="00083739">
        <w:rPr>
          <w:rFonts w:cs="Times New Roman"/>
          <w:noProof/>
          <w:lang w:val="sk-SK"/>
        </w:rPr>
        <w:t>ií; IV) podpora obnoviteľných zdrojov energie</w:t>
      </w:r>
      <w:r w:rsidR="00083739" w:rsidRPr="00083739">
        <w:rPr>
          <w:rFonts w:cs="Times New Roman"/>
          <w:noProof/>
          <w:lang w:val="sk-SK"/>
        </w:rPr>
        <w:t xml:space="preserve"> v </w:t>
      </w:r>
      <w:r w:rsidRPr="00083739">
        <w:rPr>
          <w:rFonts w:cs="Times New Roman"/>
          <w:noProof/>
          <w:lang w:val="sk-SK"/>
        </w:rPr>
        <w:t>obytných budovách financovaním inštalácie nových obnoviteľných systémov na výrobu teplej vody;</w:t>
      </w:r>
      <w:r w:rsidR="00083739" w:rsidRPr="00083739">
        <w:rPr>
          <w:rFonts w:cs="Times New Roman"/>
          <w:noProof/>
          <w:lang w:val="sk-SK"/>
        </w:rPr>
        <w:t xml:space="preserve"> a </w:t>
      </w:r>
      <w:r w:rsidRPr="00083739">
        <w:rPr>
          <w:rFonts w:cs="Times New Roman"/>
          <w:noProof/>
          <w:lang w:val="sk-SK"/>
        </w:rPr>
        <w:t>v) zlepšenie energetickej účinnosti komunálnych vodohospodárskych</w:t>
      </w:r>
      <w:r w:rsidR="00083739" w:rsidRPr="00083739">
        <w:rPr>
          <w:rFonts w:cs="Times New Roman"/>
          <w:noProof/>
          <w:lang w:val="sk-SK"/>
        </w:rPr>
        <w:t xml:space="preserve"> a </w:t>
      </w:r>
      <w:r w:rsidRPr="00083739">
        <w:rPr>
          <w:rFonts w:cs="Times New Roman"/>
          <w:noProof/>
          <w:lang w:val="sk-SK"/>
        </w:rPr>
        <w:t>kanalizačných služieb; 2. zvýšiť inštaláciu</w:t>
      </w:r>
      <w:r w:rsidRPr="00083739">
        <w:rPr>
          <w:rFonts w:cs="Times New Roman"/>
          <w:noProof/>
          <w:lang w:val="sk-SK"/>
        </w:rPr>
        <w:t xml:space="preserve"> systémov uskladňovania energie na ďalšie prenikanie obnoviteľných zdrojov energie;</w:t>
      </w:r>
      <w:r w:rsidR="00083739" w:rsidRPr="00083739">
        <w:rPr>
          <w:rFonts w:cs="Times New Roman"/>
          <w:noProof/>
          <w:lang w:val="sk-SK"/>
        </w:rPr>
        <w:t xml:space="preserve"> a </w:t>
      </w:r>
      <w:r w:rsidRPr="00083739">
        <w:rPr>
          <w:rFonts w:cs="Times New Roman"/>
          <w:noProof/>
          <w:lang w:val="sk-SK"/>
        </w:rPr>
        <w:t>3. pilotné projekty na výrobu biometánu</w:t>
      </w:r>
      <w:r w:rsidR="00083739" w:rsidRPr="00083739">
        <w:rPr>
          <w:rFonts w:cs="Times New Roman"/>
          <w:noProof/>
          <w:lang w:val="sk-SK"/>
        </w:rPr>
        <w:t xml:space="preserve"> a </w:t>
      </w:r>
      <w:r w:rsidRPr="00083739">
        <w:rPr>
          <w:rFonts w:cs="Times New Roman"/>
          <w:noProof/>
          <w:lang w:val="sk-SK"/>
        </w:rPr>
        <w:t>vodíka</w:t>
      </w:r>
      <w:r w:rsidR="00083739" w:rsidRPr="00083739">
        <w:rPr>
          <w:rFonts w:cs="Times New Roman"/>
          <w:noProof/>
          <w:lang w:val="sk-SK"/>
        </w:rPr>
        <w:t xml:space="preserve"> z </w:t>
      </w:r>
      <w:r w:rsidRPr="00083739">
        <w:rPr>
          <w:rFonts w:cs="Times New Roman"/>
          <w:noProof/>
          <w:lang w:val="sk-SK"/>
        </w:rPr>
        <w:t>obnoviteľných zdrojov</w:t>
      </w:r>
      <w:r w:rsidR="00083739" w:rsidRPr="00083739">
        <w:rPr>
          <w:rFonts w:cs="Times New Roman"/>
          <w:noProof/>
          <w:lang w:val="sk-SK"/>
        </w:rPr>
        <w:t xml:space="preserve"> a </w:t>
      </w:r>
      <w:r w:rsidRPr="00083739">
        <w:rPr>
          <w:rFonts w:cs="Times New Roman"/>
          <w:noProof/>
          <w:lang w:val="sk-SK"/>
        </w:rPr>
        <w:t>podporu technológií zachytávania</w:t>
      </w:r>
      <w:r w:rsidR="00083739" w:rsidRPr="00083739">
        <w:rPr>
          <w:rFonts w:cs="Times New Roman"/>
          <w:noProof/>
          <w:lang w:val="sk-SK"/>
        </w:rPr>
        <w:t xml:space="preserve"> a </w:t>
      </w:r>
      <w:r w:rsidRPr="00083739">
        <w:rPr>
          <w:rFonts w:cs="Times New Roman"/>
          <w:noProof/>
          <w:lang w:val="sk-SK"/>
        </w:rPr>
        <w:t>ukladania oxidu uhličitého (CCS)</w:t>
      </w:r>
      <w:r w:rsidR="00083739" w:rsidRPr="00083739">
        <w:rPr>
          <w:rFonts w:cs="Times New Roman"/>
          <w:noProof/>
          <w:lang w:val="sk-SK"/>
        </w:rPr>
        <w:t xml:space="preserve"> v </w:t>
      </w:r>
      <w:r w:rsidRPr="00083739">
        <w:rPr>
          <w:rFonts w:cs="Times New Roman"/>
          <w:noProof/>
          <w:lang w:val="sk-SK"/>
        </w:rPr>
        <w:t>ťažko dekarbonizovateľnýc</w:t>
      </w:r>
      <w:r w:rsidRPr="00083739">
        <w:rPr>
          <w:rFonts w:cs="Times New Roman"/>
          <w:noProof/>
          <w:lang w:val="sk-SK"/>
        </w:rPr>
        <w:t>h priemyselných odvetviach</w:t>
      </w:r>
      <w:r w:rsidR="00083739" w:rsidRPr="00083739">
        <w:rPr>
          <w:rFonts w:cs="Times New Roman"/>
          <w:noProof/>
          <w:lang w:val="sk-SK"/>
        </w:rPr>
        <w:t xml:space="preserve"> s </w:t>
      </w:r>
      <w:r w:rsidRPr="00083739">
        <w:rPr>
          <w:rFonts w:cs="Times New Roman"/>
          <w:noProof/>
          <w:lang w:val="sk-SK"/>
        </w:rPr>
        <w:t>cieľom podporiť dekarbonizáciu priemyslu.</w:t>
      </w:r>
    </w:p>
    <w:p w14:paraId="2C09C048" w14:textId="77777777" w:rsidR="002D49B0" w:rsidRPr="00083739" w:rsidRDefault="00BF4125">
      <w:pPr>
        <w:pStyle w:val="P68B1DB1-Normal4"/>
        <w:spacing w:before="120" w:after="120" w:line="240" w:lineRule="auto"/>
        <w:jc w:val="both"/>
        <w:rPr>
          <w:rFonts w:cs="Times New Roman"/>
          <w:noProof/>
          <w:szCs w:val="24"/>
          <w:lang w:val="sk-SK"/>
        </w:rPr>
      </w:pPr>
      <w:r w:rsidRPr="00083739">
        <w:rPr>
          <w:rFonts w:cs="Times New Roman"/>
          <w:b/>
          <w:noProof/>
          <w:lang w:val="sk-SK"/>
        </w:rPr>
        <w:t>Investície:</w:t>
      </w:r>
      <w:r w:rsidRPr="00083739">
        <w:rPr>
          <w:rFonts w:cs="Times New Roman"/>
          <w:noProof/>
          <w:lang w:val="sk-SK"/>
        </w:rPr>
        <w:t xml:space="preserve"> Inštalácia uskladňovania energie na dodatočné prieniky OZE (ID opatrenia: 16996)</w:t>
      </w:r>
    </w:p>
    <w:p w14:paraId="59962081" w14:textId="308F5730" w:rsidR="00083739"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Cieľom tohto opatrenia je zvýšiť investície: „Podpora inštalácie skladovacích systémov na zl</w:t>
      </w:r>
      <w:r w:rsidRPr="00083739">
        <w:rPr>
          <w:rFonts w:cs="Times New Roman"/>
          <w:noProof/>
          <w:lang w:val="sk-SK"/>
        </w:rPr>
        <w:t>epšenie prieniku OZE“ (ID: 16926)</w:t>
      </w:r>
      <w:r w:rsidR="00083739" w:rsidRPr="00083739">
        <w:rPr>
          <w:rFonts w:cs="Times New Roman"/>
          <w:noProof/>
          <w:lang w:val="sk-SK"/>
        </w:rPr>
        <w:t xml:space="preserve"> v </w:t>
      </w:r>
      <w:r w:rsidRPr="00083739">
        <w:rPr>
          <w:rFonts w:cs="Times New Roman"/>
          <w:noProof/>
          <w:lang w:val="sk-SK"/>
        </w:rPr>
        <w:t>rámci komponentu 1.1 (Power up). Investícia je zlepšením druhého podprogramu investície č. 16926</w:t>
      </w:r>
      <w:r w:rsidR="00083739" w:rsidRPr="00083739">
        <w:rPr>
          <w:rFonts w:cs="Times New Roman"/>
          <w:noProof/>
          <w:lang w:val="sk-SK"/>
        </w:rPr>
        <w:t xml:space="preserve"> v </w:t>
      </w:r>
      <w:r w:rsidRPr="00083739">
        <w:rPr>
          <w:rFonts w:cs="Times New Roman"/>
          <w:noProof/>
          <w:lang w:val="sk-SK"/>
        </w:rPr>
        <w:t>rámci existujúceho plánu obnovy</w:t>
      </w:r>
      <w:r w:rsidR="00083739" w:rsidRPr="00083739">
        <w:rPr>
          <w:rFonts w:cs="Times New Roman"/>
          <w:noProof/>
          <w:lang w:val="sk-SK"/>
        </w:rPr>
        <w:t xml:space="preserve"> a </w:t>
      </w:r>
      <w:r w:rsidRPr="00083739">
        <w:rPr>
          <w:rFonts w:cs="Times New Roman"/>
          <w:noProof/>
          <w:lang w:val="sk-SK"/>
        </w:rPr>
        <w:t>odolnosti, ktorý sa týka rozvoja samostatných systémov uskladňovania</w:t>
      </w:r>
      <w:r w:rsidR="00083739" w:rsidRPr="00083739">
        <w:rPr>
          <w:rFonts w:cs="Times New Roman"/>
          <w:noProof/>
          <w:lang w:val="sk-SK"/>
        </w:rPr>
        <w:t xml:space="preserve"> v </w:t>
      </w:r>
      <w:r w:rsidRPr="00083739">
        <w:rPr>
          <w:rFonts w:cs="Times New Roman"/>
          <w:noProof/>
          <w:lang w:val="sk-SK"/>
        </w:rPr>
        <w:t>rozsahu sústavy</w:t>
      </w:r>
      <w:r w:rsidR="00083739" w:rsidRPr="00083739">
        <w:rPr>
          <w:rFonts w:cs="Times New Roman"/>
          <w:noProof/>
          <w:lang w:val="sk-SK"/>
        </w:rPr>
        <w:t xml:space="preserve"> a </w:t>
      </w:r>
      <w:r w:rsidRPr="00083739">
        <w:rPr>
          <w:rFonts w:cs="Times New Roman"/>
          <w:noProof/>
          <w:lang w:val="sk-SK"/>
        </w:rPr>
        <w:t>ktorého cieľom je umožniť ďalší rozvoj takejto uskladňovacej kapacity. Investícia povedie</w:t>
      </w:r>
      <w:r w:rsidR="00083739" w:rsidRPr="00083739">
        <w:rPr>
          <w:rFonts w:cs="Times New Roman"/>
          <w:noProof/>
          <w:lang w:val="sk-SK"/>
        </w:rPr>
        <w:t xml:space="preserve"> k </w:t>
      </w:r>
      <w:r w:rsidRPr="00083739">
        <w:rPr>
          <w:rFonts w:cs="Times New Roman"/>
          <w:noProof/>
          <w:lang w:val="sk-SK"/>
        </w:rPr>
        <w:t>inštalácii ďalších nových zariadení na uskladňovanie energie</w:t>
      </w:r>
      <w:r w:rsidR="00083739" w:rsidRPr="00083739">
        <w:rPr>
          <w:rFonts w:cs="Times New Roman"/>
          <w:noProof/>
          <w:lang w:val="sk-SK"/>
        </w:rPr>
        <w:t xml:space="preserve"> s </w:t>
      </w:r>
      <w:r w:rsidRPr="00083739">
        <w:rPr>
          <w:rFonts w:cs="Times New Roman"/>
          <w:noProof/>
          <w:lang w:val="sk-SK"/>
        </w:rPr>
        <w:t>kapacitou najmenej 175 MW</w:t>
      </w:r>
      <w:r w:rsidR="00083739" w:rsidRPr="00083739">
        <w:rPr>
          <w:rFonts w:cs="Times New Roman"/>
          <w:noProof/>
          <w:lang w:val="sk-SK"/>
        </w:rPr>
        <w:t>.</w:t>
      </w:r>
    </w:p>
    <w:p w14:paraId="778BEB89" w14:textId="4E02B993" w:rsidR="002D49B0" w:rsidRPr="00083739" w:rsidRDefault="00BF4125">
      <w:pPr>
        <w:pStyle w:val="P68B1DB1-Normal4"/>
        <w:spacing w:before="120" w:after="120" w:line="240" w:lineRule="auto"/>
        <w:jc w:val="both"/>
        <w:rPr>
          <w:rFonts w:cs="Times New Roman"/>
          <w:noProof/>
          <w:szCs w:val="24"/>
          <w:lang w:val="sk-SK"/>
        </w:rPr>
      </w:pPr>
      <w:r w:rsidRPr="00083739">
        <w:rPr>
          <w:rFonts w:cs="Times New Roman"/>
          <w:noProof/>
          <w:lang w:val="sk-SK"/>
        </w:rPr>
        <w:t>Implementácia investície sa dokončí do 4. štvrťroka 2025.</w:t>
      </w:r>
    </w:p>
    <w:p w14:paraId="6D32424F" w14:textId="4682F214" w:rsidR="002D49B0" w:rsidRPr="00083739" w:rsidRDefault="00BF4125">
      <w:pPr>
        <w:pStyle w:val="P68B1DB1-Normal4"/>
        <w:spacing w:before="120" w:after="120" w:line="240" w:lineRule="auto"/>
        <w:jc w:val="both"/>
        <w:rPr>
          <w:rFonts w:cs="Times New Roman"/>
          <w:noProof/>
          <w:lang w:val="sk-SK"/>
        </w:rPr>
      </w:pPr>
      <w:r w:rsidRPr="00083739">
        <w:rPr>
          <w:rFonts w:cs="Times New Roman"/>
          <w:b/>
          <w:noProof/>
          <w:lang w:val="sk-SK"/>
        </w:rPr>
        <w:t>Investície:</w:t>
      </w:r>
      <w:r w:rsidRPr="00083739">
        <w:rPr>
          <w:rFonts w:cs="Times New Roman"/>
          <w:noProof/>
          <w:lang w:val="sk-SK"/>
        </w:rPr>
        <w:t xml:space="preserve"> Energetická účinnosť</w:t>
      </w:r>
      <w:r w:rsidR="00083739" w:rsidRPr="00083739">
        <w:rPr>
          <w:rFonts w:cs="Times New Roman"/>
          <w:noProof/>
          <w:lang w:val="sk-SK"/>
        </w:rPr>
        <w:t xml:space="preserve"> a </w:t>
      </w:r>
      <w:r w:rsidRPr="00083739">
        <w:rPr>
          <w:rFonts w:cs="Times New Roman"/>
          <w:noProof/>
          <w:lang w:val="sk-SK"/>
        </w:rPr>
        <w:t>podpora obnoviteľných zdrojov energie pre vlastnú spotrebu (ID opatrenia: 16994)</w:t>
      </w:r>
    </w:p>
    <w:p w14:paraId="3C26B28E" w14:textId="362B2F3D" w:rsidR="002D49B0" w:rsidRPr="00083739" w:rsidRDefault="00BF4125">
      <w:pPr>
        <w:pStyle w:val="P68B1DB1-Normal5"/>
        <w:spacing w:before="120" w:after="120" w:line="240" w:lineRule="auto"/>
        <w:jc w:val="both"/>
        <w:rPr>
          <w:rFonts w:cs="Times New Roman"/>
          <w:noProof/>
          <w:lang w:val="sk-SK"/>
        </w:rPr>
      </w:pPr>
      <w:r w:rsidRPr="00083739">
        <w:rPr>
          <w:rFonts w:cs="Times New Roman"/>
          <w:noProof/>
          <w:lang w:val="sk-SK"/>
        </w:rPr>
        <w:t>Cieľom tejto investície je zlepšiť energetickú efektívnosť</w:t>
      </w:r>
      <w:r w:rsidR="00083739" w:rsidRPr="00083739">
        <w:rPr>
          <w:rFonts w:cs="Times New Roman"/>
          <w:noProof/>
          <w:lang w:val="sk-SK"/>
        </w:rPr>
        <w:t xml:space="preserve"> a </w:t>
      </w:r>
      <w:r w:rsidRPr="00083739">
        <w:rPr>
          <w:rFonts w:cs="Times New Roman"/>
          <w:noProof/>
          <w:lang w:val="sk-SK"/>
        </w:rPr>
        <w:t>zavádzanie energie</w:t>
      </w:r>
      <w:r w:rsidR="00083739" w:rsidRPr="00083739">
        <w:rPr>
          <w:rFonts w:cs="Times New Roman"/>
          <w:noProof/>
          <w:lang w:val="sk-SK"/>
        </w:rPr>
        <w:t xml:space="preserve"> z </w:t>
      </w:r>
      <w:r w:rsidRPr="00083739">
        <w:rPr>
          <w:rFonts w:cs="Times New Roman"/>
          <w:noProof/>
          <w:lang w:val="sk-SK"/>
        </w:rPr>
        <w:t>obnoviteľných zdrojov vo viacerých odvetviach</w:t>
      </w:r>
      <w:r w:rsidR="00083739" w:rsidRPr="00083739">
        <w:rPr>
          <w:rFonts w:cs="Times New Roman"/>
          <w:noProof/>
          <w:lang w:val="sk-SK"/>
        </w:rPr>
        <w:t xml:space="preserve"> s </w:t>
      </w:r>
      <w:r w:rsidRPr="00083739">
        <w:rPr>
          <w:rFonts w:cs="Times New Roman"/>
          <w:noProof/>
          <w:lang w:val="sk-SK"/>
        </w:rPr>
        <w:t>konečnou spotrebou en</w:t>
      </w:r>
      <w:r w:rsidRPr="00083739">
        <w:rPr>
          <w:rFonts w:cs="Times New Roman"/>
          <w:noProof/>
          <w:lang w:val="sk-SK"/>
        </w:rPr>
        <w:t>ergie. Cieľom investície je podporiť zavádzanie energetickej efektívnosti</w:t>
      </w:r>
      <w:r w:rsidR="00083739" w:rsidRPr="00083739">
        <w:rPr>
          <w:rFonts w:cs="Times New Roman"/>
          <w:noProof/>
          <w:lang w:val="sk-SK"/>
        </w:rPr>
        <w:t xml:space="preserve"> a </w:t>
      </w:r>
      <w:r w:rsidRPr="00083739">
        <w:rPr>
          <w:rFonts w:cs="Times New Roman"/>
          <w:noProof/>
          <w:lang w:val="sk-SK"/>
        </w:rPr>
        <w:t>využívania energie</w:t>
      </w:r>
      <w:r w:rsidR="00083739" w:rsidRPr="00083739">
        <w:rPr>
          <w:rFonts w:cs="Times New Roman"/>
          <w:noProof/>
          <w:lang w:val="sk-SK"/>
        </w:rPr>
        <w:t xml:space="preserve"> z </w:t>
      </w:r>
      <w:r w:rsidRPr="00083739">
        <w:rPr>
          <w:rFonts w:cs="Times New Roman"/>
          <w:noProof/>
          <w:lang w:val="sk-SK"/>
        </w:rPr>
        <w:t>obnoviteľných zdrojov</w:t>
      </w:r>
      <w:r w:rsidR="00083739" w:rsidRPr="00083739">
        <w:rPr>
          <w:rFonts w:cs="Times New Roman"/>
          <w:noProof/>
          <w:lang w:val="sk-SK"/>
        </w:rPr>
        <w:t xml:space="preserve"> v </w:t>
      </w:r>
      <w:r w:rsidRPr="00083739">
        <w:rPr>
          <w:rFonts w:cs="Times New Roman"/>
          <w:noProof/>
          <w:lang w:val="sk-SK"/>
        </w:rPr>
        <w:t>obytných</w:t>
      </w:r>
      <w:r w:rsidR="00083739" w:rsidRPr="00083739">
        <w:rPr>
          <w:rFonts w:cs="Times New Roman"/>
          <w:noProof/>
          <w:lang w:val="sk-SK"/>
        </w:rPr>
        <w:t xml:space="preserve"> a </w:t>
      </w:r>
      <w:r w:rsidRPr="00083739">
        <w:rPr>
          <w:rFonts w:cs="Times New Roman"/>
          <w:noProof/>
          <w:lang w:val="sk-SK"/>
        </w:rPr>
        <w:t>nebytových budovách, odvetví poľnohospodárstva</w:t>
      </w:r>
      <w:r w:rsidR="00083739" w:rsidRPr="00083739">
        <w:rPr>
          <w:rFonts w:cs="Times New Roman"/>
          <w:noProof/>
          <w:lang w:val="sk-SK"/>
        </w:rPr>
        <w:t xml:space="preserve"> a </w:t>
      </w:r>
      <w:r w:rsidRPr="00083739">
        <w:rPr>
          <w:rFonts w:cs="Times New Roman"/>
          <w:noProof/>
          <w:lang w:val="sk-SK"/>
        </w:rPr>
        <w:t>obecných vodohospodárskych</w:t>
      </w:r>
      <w:r w:rsidR="00083739" w:rsidRPr="00083739">
        <w:rPr>
          <w:rFonts w:cs="Times New Roman"/>
          <w:noProof/>
          <w:lang w:val="sk-SK"/>
        </w:rPr>
        <w:t xml:space="preserve"> a </w:t>
      </w:r>
      <w:r w:rsidRPr="00083739">
        <w:rPr>
          <w:rFonts w:cs="Times New Roman"/>
          <w:noProof/>
          <w:lang w:val="sk-SK"/>
        </w:rPr>
        <w:t>kanalizačných službách</w:t>
      </w:r>
      <w:r w:rsidR="00083739" w:rsidRPr="00083739">
        <w:rPr>
          <w:rFonts w:cs="Times New Roman"/>
          <w:noProof/>
          <w:lang w:val="sk-SK"/>
        </w:rPr>
        <w:t xml:space="preserve"> a </w:t>
      </w:r>
      <w:r w:rsidRPr="00083739">
        <w:rPr>
          <w:rFonts w:cs="Times New Roman"/>
          <w:noProof/>
          <w:lang w:val="sk-SK"/>
        </w:rPr>
        <w:t>jej cieľom je dosiahn</w:t>
      </w:r>
      <w:r w:rsidRPr="00083739">
        <w:rPr>
          <w:rFonts w:cs="Times New Roman"/>
          <w:noProof/>
          <w:lang w:val="sk-SK"/>
        </w:rPr>
        <w:t>uť úspory primárnej energie, zníženie emisií skleníkových plynov</w:t>
      </w:r>
      <w:r w:rsidR="00083739" w:rsidRPr="00083739">
        <w:rPr>
          <w:rFonts w:cs="Times New Roman"/>
          <w:noProof/>
          <w:lang w:val="sk-SK"/>
        </w:rPr>
        <w:t xml:space="preserve"> a </w:t>
      </w:r>
      <w:r w:rsidRPr="00083739">
        <w:rPr>
          <w:rFonts w:cs="Times New Roman"/>
          <w:noProof/>
          <w:lang w:val="sk-SK"/>
        </w:rPr>
        <w:t>pripojenie novej energie</w:t>
      </w:r>
      <w:r w:rsidR="00083739" w:rsidRPr="00083739">
        <w:rPr>
          <w:rFonts w:cs="Times New Roman"/>
          <w:noProof/>
          <w:lang w:val="sk-SK"/>
        </w:rPr>
        <w:t xml:space="preserve"> z </w:t>
      </w:r>
      <w:r w:rsidRPr="00083739">
        <w:rPr>
          <w:rFonts w:cs="Times New Roman"/>
          <w:noProof/>
          <w:lang w:val="sk-SK"/>
        </w:rPr>
        <w:t>obnoviteľných zdrojov do sústavy. Táto investícia zahŕňa 6 čiastkových investícií:</w:t>
      </w:r>
    </w:p>
    <w:p w14:paraId="339CD41E" w14:textId="77777777" w:rsidR="002D49B0" w:rsidRPr="00083739" w:rsidRDefault="00BF4125">
      <w:pPr>
        <w:pStyle w:val="P68B1DB1-ListParagraph46"/>
        <w:numPr>
          <w:ilvl w:val="0"/>
          <w:numId w:val="71"/>
        </w:numPr>
        <w:spacing w:before="120" w:after="120" w:line="240" w:lineRule="auto"/>
        <w:ind w:left="1080"/>
        <w:jc w:val="both"/>
        <w:rPr>
          <w:rFonts w:cs="Times New Roman"/>
          <w:noProof/>
          <w:lang w:val="sk-SK"/>
        </w:rPr>
      </w:pPr>
      <w:r w:rsidRPr="00083739">
        <w:rPr>
          <w:rFonts w:cs="Times New Roman"/>
          <w:noProof/>
          <w:lang w:val="sk-SK"/>
        </w:rPr>
        <w:t>Energetická obnova obytných budov</w:t>
      </w:r>
    </w:p>
    <w:p w14:paraId="22825745" w14:textId="3127F55D" w:rsidR="002D49B0" w:rsidRPr="00083739" w:rsidRDefault="00BF4125">
      <w:pPr>
        <w:pStyle w:val="P68B1DB1-Normal4"/>
        <w:spacing w:before="120" w:after="120" w:line="240" w:lineRule="auto"/>
        <w:ind w:left="720"/>
        <w:jc w:val="both"/>
        <w:rPr>
          <w:rFonts w:cs="Times New Roman"/>
          <w:noProof/>
          <w:lang w:val="sk-SK"/>
        </w:rPr>
      </w:pPr>
      <w:r w:rsidRPr="00083739">
        <w:rPr>
          <w:rFonts w:cs="Times New Roman"/>
          <w:noProof/>
          <w:lang w:val="sk-SK"/>
        </w:rPr>
        <w:t>Investícia zlepší energetickú hospodárnosť ob</w:t>
      </w:r>
      <w:r w:rsidRPr="00083739">
        <w:rPr>
          <w:rFonts w:cs="Times New Roman"/>
          <w:noProof/>
          <w:lang w:val="sk-SK"/>
        </w:rPr>
        <w:t>ytných budov. Zahŕňa obnovy, ktoré prinášajú významné úspory primárnej energie, čím prispievajú</w:t>
      </w:r>
      <w:r w:rsidR="00083739" w:rsidRPr="00083739">
        <w:rPr>
          <w:rFonts w:cs="Times New Roman"/>
          <w:noProof/>
          <w:lang w:val="sk-SK"/>
        </w:rPr>
        <w:t xml:space="preserve"> k </w:t>
      </w:r>
      <w:r w:rsidRPr="00083739">
        <w:rPr>
          <w:rFonts w:cs="Times New Roman"/>
          <w:noProof/>
          <w:lang w:val="sk-SK"/>
        </w:rPr>
        <w:t>príslušným cieľom národného energetického</w:t>
      </w:r>
      <w:r w:rsidR="00083739" w:rsidRPr="00083739">
        <w:rPr>
          <w:rFonts w:cs="Times New Roman"/>
          <w:noProof/>
          <w:lang w:val="sk-SK"/>
        </w:rPr>
        <w:t xml:space="preserve"> a </w:t>
      </w:r>
      <w:r w:rsidRPr="00083739">
        <w:rPr>
          <w:rFonts w:cs="Times New Roman"/>
          <w:noProof/>
          <w:lang w:val="sk-SK"/>
        </w:rPr>
        <w:t xml:space="preserve">klimatického plánu (NEKP). Energeticky chudobné domácnosti sa podporujú vo forme zvýšeného percentuálneho podielu </w:t>
      </w:r>
      <w:r w:rsidRPr="00083739">
        <w:rPr>
          <w:rFonts w:cs="Times New Roman"/>
          <w:noProof/>
          <w:lang w:val="sk-SK"/>
        </w:rPr>
        <w:t>grantov.</w:t>
      </w:r>
    </w:p>
    <w:p w14:paraId="7D5AB9C5" w14:textId="4CAC1F33" w:rsidR="002D49B0" w:rsidRPr="00083739" w:rsidRDefault="00BF4125">
      <w:pPr>
        <w:pStyle w:val="P68B1DB1-ListParagraph46"/>
        <w:numPr>
          <w:ilvl w:val="0"/>
          <w:numId w:val="71"/>
        </w:numPr>
        <w:spacing w:before="120" w:after="120" w:line="240" w:lineRule="auto"/>
        <w:ind w:left="1080"/>
        <w:jc w:val="both"/>
        <w:rPr>
          <w:rFonts w:cs="Times New Roman"/>
          <w:noProof/>
          <w:lang w:val="sk-SK"/>
        </w:rPr>
      </w:pPr>
      <w:r w:rsidRPr="00083739">
        <w:rPr>
          <w:rFonts w:cs="Times New Roman"/>
          <w:noProof/>
          <w:lang w:val="sk-SK"/>
        </w:rPr>
        <w:t>Energetická účinnosť budov verejného sektora</w:t>
      </w:r>
      <w:r w:rsidR="00083739" w:rsidRPr="00083739">
        <w:rPr>
          <w:rFonts w:cs="Times New Roman"/>
          <w:noProof/>
          <w:lang w:val="sk-SK"/>
        </w:rPr>
        <w:t xml:space="preserve"> a </w:t>
      </w:r>
      <w:r w:rsidRPr="00083739">
        <w:rPr>
          <w:rFonts w:cs="Times New Roman"/>
          <w:noProof/>
          <w:lang w:val="sk-SK"/>
        </w:rPr>
        <w:t>súkromného sektora (nebytové budovy)</w:t>
      </w:r>
    </w:p>
    <w:p w14:paraId="1C95B441" w14:textId="50594BDF" w:rsidR="002D49B0" w:rsidRPr="00083739" w:rsidRDefault="00BF4125">
      <w:pPr>
        <w:pStyle w:val="P68B1DB1-Normal4"/>
        <w:spacing w:before="120" w:after="120" w:line="240" w:lineRule="auto"/>
        <w:ind w:left="720"/>
        <w:jc w:val="both"/>
        <w:rPr>
          <w:rFonts w:cs="Times New Roman"/>
          <w:noProof/>
          <w:szCs w:val="24"/>
          <w:lang w:val="sk-SK"/>
        </w:rPr>
      </w:pPr>
      <w:r w:rsidRPr="00083739">
        <w:rPr>
          <w:rFonts w:cs="Times New Roman"/>
          <w:noProof/>
          <w:lang w:val="sk-SK"/>
        </w:rPr>
        <w:t>Tieto investície sú zamerané na zlepšenie energetickej účinnosti budov prostredníctvom dodávok</w:t>
      </w:r>
      <w:r w:rsidR="00083739" w:rsidRPr="00083739">
        <w:rPr>
          <w:rFonts w:cs="Times New Roman"/>
          <w:noProof/>
          <w:lang w:val="sk-SK"/>
        </w:rPr>
        <w:t xml:space="preserve"> a </w:t>
      </w:r>
      <w:r w:rsidRPr="00083739">
        <w:rPr>
          <w:rFonts w:cs="Times New Roman"/>
          <w:noProof/>
          <w:lang w:val="sk-SK"/>
        </w:rPr>
        <w:t>inštalácie energeticky účinných zariadení</w:t>
      </w:r>
      <w:r w:rsidR="00083739" w:rsidRPr="00083739">
        <w:rPr>
          <w:rFonts w:cs="Times New Roman"/>
          <w:noProof/>
          <w:lang w:val="sk-SK"/>
        </w:rPr>
        <w:t xml:space="preserve"> a </w:t>
      </w:r>
      <w:r w:rsidRPr="00083739">
        <w:rPr>
          <w:rFonts w:cs="Times New Roman"/>
          <w:noProof/>
          <w:lang w:val="sk-SK"/>
        </w:rPr>
        <w:t>systémov na úsporu ene</w:t>
      </w:r>
      <w:r w:rsidRPr="00083739">
        <w:rPr>
          <w:rFonts w:cs="Times New Roman"/>
          <w:noProof/>
          <w:lang w:val="sk-SK"/>
        </w:rPr>
        <w:t>rgie.</w:t>
      </w:r>
    </w:p>
    <w:p w14:paraId="3630D47E" w14:textId="52412057" w:rsidR="002D49B0" w:rsidRPr="00083739" w:rsidRDefault="00BF4125">
      <w:pPr>
        <w:pStyle w:val="P68B1DB1-ListParagraph46"/>
        <w:numPr>
          <w:ilvl w:val="0"/>
          <w:numId w:val="71"/>
        </w:numPr>
        <w:spacing w:before="120" w:after="120" w:line="240" w:lineRule="auto"/>
        <w:ind w:left="1080"/>
        <w:jc w:val="both"/>
        <w:rPr>
          <w:rFonts w:cs="Times New Roman"/>
          <w:noProof/>
          <w:lang w:val="sk-SK"/>
        </w:rPr>
      </w:pPr>
      <w:r w:rsidRPr="00083739">
        <w:rPr>
          <w:rFonts w:cs="Times New Roman"/>
          <w:noProof/>
          <w:lang w:val="sk-SK"/>
        </w:rPr>
        <w:t>Fotovoltické systémy na vlastnú spotrebu</w:t>
      </w:r>
      <w:r w:rsidR="00083739" w:rsidRPr="00083739">
        <w:rPr>
          <w:rFonts w:cs="Times New Roman"/>
          <w:noProof/>
          <w:lang w:val="sk-SK"/>
        </w:rPr>
        <w:t xml:space="preserve"> v </w:t>
      </w:r>
      <w:r w:rsidRPr="00083739">
        <w:rPr>
          <w:rFonts w:cs="Times New Roman"/>
          <w:noProof/>
          <w:lang w:val="sk-SK"/>
        </w:rPr>
        <w:t>bytových budovách</w:t>
      </w:r>
      <w:r w:rsidR="00083739" w:rsidRPr="00083739">
        <w:rPr>
          <w:rFonts w:cs="Times New Roman"/>
          <w:noProof/>
          <w:lang w:val="sk-SK"/>
        </w:rPr>
        <w:t xml:space="preserve"> a v </w:t>
      </w:r>
      <w:r w:rsidRPr="00083739">
        <w:rPr>
          <w:rFonts w:cs="Times New Roman"/>
          <w:noProof/>
          <w:lang w:val="sk-SK"/>
        </w:rPr>
        <w:t>odvetví poľnohospodárstva</w:t>
      </w:r>
    </w:p>
    <w:p w14:paraId="0A54A611" w14:textId="38E794B3" w:rsidR="002D49B0" w:rsidRPr="00083739" w:rsidRDefault="00BF4125">
      <w:pPr>
        <w:pStyle w:val="P68B1DB1-Normal5"/>
        <w:spacing w:before="120" w:after="120" w:line="240" w:lineRule="auto"/>
        <w:ind w:left="720"/>
        <w:jc w:val="both"/>
        <w:rPr>
          <w:rFonts w:cs="Times New Roman"/>
          <w:noProof/>
          <w:lang w:val="sk-SK"/>
        </w:rPr>
      </w:pPr>
      <w:r w:rsidRPr="00083739">
        <w:rPr>
          <w:rFonts w:cs="Times New Roman"/>
          <w:noProof/>
          <w:lang w:val="sk-SK"/>
        </w:rPr>
        <w:t>S cieľom podporiť vlastnú spotrebu vyrobenej elektrickej energie prostredníctvom čistého merania</w:t>
      </w:r>
      <w:r w:rsidR="00083739" w:rsidRPr="00083739">
        <w:rPr>
          <w:rFonts w:cs="Times New Roman"/>
          <w:noProof/>
          <w:lang w:val="sk-SK"/>
        </w:rPr>
        <w:t xml:space="preserve"> a </w:t>
      </w:r>
      <w:r w:rsidRPr="00083739">
        <w:rPr>
          <w:rFonts w:cs="Times New Roman"/>
          <w:noProof/>
          <w:lang w:val="sk-SK"/>
        </w:rPr>
        <w:t xml:space="preserve">čistého účtovania sa touto investíciou podporí inštalácia </w:t>
      </w:r>
      <w:r w:rsidRPr="00083739">
        <w:rPr>
          <w:rFonts w:cs="Times New Roman"/>
          <w:noProof/>
          <w:lang w:val="sk-SK"/>
        </w:rPr>
        <w:t>fotovoltických systémov</w:t>
      </w:r>
      <w:r w:rsidR="00083739" w:rsidRPr="00083739">
        <w:rPr>
          <w:rFonts w:cs="Times New Roman"/>
          <w:noProof/>
          <w:lang w:val="sk-SK"/>
        </w:rPr>
        <w:t xml:space="preserve"> v </w:t>
      </w:r>
      <w:r w:rsidRPr="00083739">
        <w:rPr>
          <w:rFonts w:cs="Times New Roman"/>
          <w:noProof/>
          <w:lang w:val="sk-SK"/>
        </w:rPr>
        <w:t>obytných budovách</w:t>
      </w:r>
      <w:r w:rsidR="00083739" w:rsidRPr="00083739">
        <w:rPr>
          <w:rFonts w:cs="Times New Roman"/>
          <w:noProof/>
          <w:lang w:val="sk-SK"/>
        </w:rPr>
        <w:t xml:space="preserve"> a </w:t>
      </w:r>
      <w:r w:rsidRPr="00083739">
        <w:rPr>
          <w:rFonts w:cs="Times New Roman"/>
          <w:noProof/>
          <w:lang w:val="sk-SK"/>
        </w:rPr>
        <w:t>poľnohospodárskych jednotkách. Tento systém musí byť</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článkom 15 smernice EÚ 2019/944,</w:t>
      </w:r>
      <w:r w:rsidR="00083739" w:rsidRPr="00083739">
        <w:rPr>
          <w:rFonts w:cs="Times New Roman"/>
          <w:noProof/>
          <w:lang w:val="sk-SK"/>
        </w:rPr>
        <w:t xml:space="preserve"> v </w:t>
      </w:r>
      <w:r w:rsidRPr="00083739">
        <w:rPr>
          <w:rFonts w:cs="Times New Roman"/>
          <w:noProof/>
          <w:lang w:val="sk-SK"/>
        </w:rPr>
        <w:t>ktorom sa stanovujú spoločné pravidlá pre vnútorný trh</w:t>
      </w:r>
      <w:r w:rsidR="00083739" w:rsidRPr="00083739">
        <w:rPr>
          <w:rFonts w:cs="Times New Roman"/>
          <w:noProof/>
          <w:lang w:val="sk-SK"/>
        </w:rPr>
        <w:t xml:space="preserve"> s </w:t>
      </w:r>
      <w:r w:rsidRPr="00083739">
        <w:rPr>
          <w:rFonts w:cs="Times New Roman"/>
          <w:noProof/>
          <w:lang w:val="sk-SK"/>
        </w:rPr>
        <w:t>elektrinou.</w:t>
      </w:r>
    </w:p>
    <w:p w14:paraId="6C7387CE" w14:textId="7D232692" w:rsidR="002D49B0" w:rsidRPr="00083739" w:rsidRDefault="00BF4125">
      <w:pPr>
        <w:pStyle w:val="P68B1DB1-ListParagraph46"/>
        <w:numPr>
          <w:ilvl w:val="0"/>
          <w:numId w:val="71"/>
        </w:numPr>
        <w:spacing w:before="120" w:after="120" w:line="240" w:lineRule="auto"/>
        <w:ind w:left="1080"/>
        <w:jc w:val="both"/>
        <w:rPr>
          <w:rFonts w:cs="Times New Roman"/>
          <w:noProof/>
          <w:lang w:val="sk-SK"/>
        </w:rPr>
      </w:pPr>
      <w:r w:rsidRPr="00083739">
        <w:rPr>
          <w:rFonts w:cs="Times New Roman"/>
          <w:noProof/>
          <w:lang w:val="sk-SK"/>
        </w:rPr>
        <w:t>Systémy vykurovania vody</w:t>
      </w:r>
      <w:r w:rsidR="00083739" w:rsidRPr="00083739">
        <w:rPr>
          <w:rFonts w:cs="Times New Roman"/>
          <w:noProof/>
          <w:lang w:val="sk-SK"/>
        </w:rPr>
        <w:t xml:space="preserve"> z </w:t>
      </w:r>
      <w:r w:rsidRPr="00083739">
        <w:rPr>
          <w:rFonts w:cs="Times New Roman"/>
          <w:noProof/>
          <w:lang w:val="sk-SK"/>
        </w:rPr>
        <w:t xml:space="preserve">obnoviteľných </w:t>
      </w:r>
      <w:r w:rsidRPr="00083739">
        <w:rPr>
          <w:rFonts w:cs="Times New Roman"/>
          <w:noProof/>
          <w:lang w:val="sk-SK"/>
        </w:rPr>
        <w:t>zdrojov pre domácnosti</w:t>
      </w:r>
    </w:p>
    <w:p w14:paraId="272DDB6E" w14:textId="45ADDA7E" w:rsidR="002D49B0" w:rsidRPr="00083739" w:rsidRDefault="00BF4125">
      <w:pPr>
        <w:pStyle w:val="P68B1DB1-Normal4"/>
        <w:spacing w:before="120" w:after="120" w:line="240" w:lineRule="auto"/>
        <w:ind w:left="720"/>
        <w:jc w:val="both"/>
        <w:rPr>
          <w:rFonts w:cs="Times New Roman"/>
          <w:noProof/>
          <w:lang w:val="sk-SK"/>
        </w:rPr>
      </w:pPr>
      <w:r w:rsidRPr="00083739">
        <w:rPr>
          <w:rFonts w:cs="Times New Roman"/>
          <w:noProof/>
          <w:lang w:val="sk-SK"/>
        </w:rPr>
        <w:t>Investícia podporuje zavádzanie obnoviteľných zdrojov energie</w:t>
      </w:r>
      <w:r w:rsidR="00083739" w:rsidRPr="00083739">
        <w:rPr>
          <w:rFonts w:cs="Times New Roman"/>
          <w:noProof/>
          <w:lang w:val="sk-SK"/>
        </w:rPr>
        <w:t xml:space="preserve"> v </w:t>
      </w:r>
      <w:r w:rsidRPr="00083739">
        <w:rPr>
          <w:rFonts w:cs="Times New Roman"/>
          <w:noProof/>
          <w:lang w:val="sk-SK"/>
        </w:rPr>
        <w:t>obytných budovách financovaním inštalácie nových systémov OZE. Investícia poskytuje finančnú pomoc domácnostiam na tieto účely:  inštalácia nových solárnych ohrievačov v</w:t>
      </w:r>
      <w:r w:rsidRPr="00083739">
        <w:rPr>
          <w:rFonts w:cs="Times New Roman"/>
          <w:noProof/>
          <w:lang w:val="sk-SK"/>
        </w:rPr>
        <w:t>ody, tepelných čerpadiel</w:t>
      </w:r>
      <w:r w:rsidR="00083739" w:rsidRPr="00083739">
        <w:rPr>
          <w:rFonts w:cs="Times New Roman"/>
          <w:noProof/>
          <w:lang w:val="sk-SK"/>
        </w:rPr>
        <w:t xml:space="preserve"> a </w:t>
      </w:r>
      <w:r w:rsidRPr="00083739">
        <w:rPr>
          <w:rFonts w:cs="Times New Roman"/>
          <w:noProof/>
          <w:lang w:val="sk-SK"/>
        </w:rPr>
        <w:t>systémov obnoviteľných zdrojov energie</w:t>
      </w:r>
      <w:r w:rsidR="00083739" w:rsidRPr="00083739">
        <w:rPr>
          <w:rFonts w:cs="Times New Roman"/>
          <w:noProof/>
          <w:lang w:val="sk-SK"/>
        </w:rPr>
        <w:t xml:space="preserve"> s </w:t>
      </w:r>
      <w:r w:rsidRPr="00083739">
        <w:rPr>
          <w:rFonts w:cs="Times New Roman"/>
          <w:noProof/>
          <w:lang w:val="sk-SK"/>
        </w:rPr>
        <w:t>využitím nových moderných technológií alebo nahradenie elektrických ohrievačov vody spotrebúvajúcich energiu</w:t>
      </w:r>
      <w:r w:rsidR="00083739" w:rsidRPr="00083739">
        <w:rPr>
          <w:rFonts w:cs="Times New Roman"/>
          <w:noProof/>
          <w:lang w:val="sk-SK"/>
        </w:rPr>
        <w:t xml:space="preserve"> s </w:t>
      </w:r>
      <w:r w:rsidRPr="00083739">
        <w:rPr>
          <w:rFonts w:cs="Times New Roman"/>
          <w:noProof/>
          <w:lang w:val="sk-SK"/>
        </w:rPr>
        <w:t>použitím starej technológie novými solárnymi ohrievačmi vody, tepelnými čerpa</w:t>
      </w:r>
      <w:r w:rsidRPr="00083739">
        <w:rPr>
          <w:rFonts w:cs="Times New Roman"/>
          <w:noProof/>
          <w:lang w:val="sk-SK"/>
        </w:rPr>
        <w:t>dlami</w:t>
      </w:r>
      <w:r w:rsidR="00083739" w:rsidRPr="00083739">
        <w:rPr>
          <w:rFonts w:cs="Times New Roman"/>
          <w:noProof/>
          <w:lang w:val="sk-SK"/>
        </w:rPr>
        <w:t xml:space="preserve"> a </w:t>
      </w:r>
      <w:r w:rsidRPr="00083739">
        <w:rPr>
          <w:rFonts w:cs="Times New Roman"/>
          <w:noProof/>
          <w:lang w:val="sk-SK"/>
        </w:rPr>
        <w:t>systémami obnoviteľných zdrojov energie</w:t>
      </w:r>
      <w:r w:rsidR="00083739" w:rsidRPr="00083739">
        <w:rPr>
          <w:rFonts w:cs="Times New Roman"/>
          <w:noProof/>
          <w:lang w:val="sk-SK"/>
        </w:rPr>
        <w:t xml:space="preserve"> s </w:t>
      </w:r>
      <w:r w:rsidRPr="00083739">
        <w:rPr>
          <w:rFonts w:cs="Times New Roman"/>
          <w:noProof/>
          <w:lang w:val="sk-SK"/>
        </w:rPr>
        <w:t>využitím nových moderných technológií. Staré vymenené spotrebiče sa recyklujú</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právnymi predpismi EÚ</w:t>
      </w:r>
      <w:r w:rsidR="00083739" w:rsidRPr="00083739">
        <w:rPr>
          <w:rFonts w:cs="Times New Roman"/>
          <w:noProof/>
          <w:lang w:val="sk-SK"/>
        </w:rPr>
        <w:t xml:space="preserve"> a </w:t>
      </w:r>
      <w:r w:rsidRPr="00083739">
        <w:rPr>
          <w:rFonts w:cs="Times New Roman"/>
          <w:noProof/>
          <w:lang w:val="sk-SK"/>
        </w:rPr>
        <w:t>vnútroštátnymi právnymi predpismi.</w:t>
      </w:r>
    </w:p>
    <w:p w14:paraId="2547CC86" w14:textId="61FC04E7" w:rsidR="002D49B0" w:rsidRPr="00083739" w:rsidRDefault="00BF4125">
      <w:pPr>
        <w:pStyle w:val="P68B1DB1-ListParagraph46"/>
        <w:numPr>
          <w:ilvl w:val="0"/>
          <w:numId w:val="71"/>
        </w:numPr>
        <w:spacing w:before="120" w:after="120" w:line="240" w:lineRule="auto"/>
        <w:ind w:left="1080"/>
        <w:jc w:val="both"/>
        <w:rPr>
          <w:rFonts w:cs="Times New Roman"/>
          <w:noProof/>
          <w:lang w:val="sk-SK"/>
        </w:rPr>
      </w:pPr>
      <w:r w:rsidRPr="00083739">
        <w:rPr>
          <w:rFonts w:cs="Times New Roman"/>
          <w:noProof/>
          <w:lang w:val="sk-SK"/>
        </w:rPr>
        <w:t>Podpora energetickej efektívnosti</w:t>
      </w:r>
      <w:r w:rsidR="00083739" w:rsidRPr="00083739">
        <w:rPr>
          <w:rFonts w:cs="Times New Roman"/>
          <w:noProof/>
          <w:lang w:val="sk-SK"/>
        </w:rPr>
        <w:t xml:space="preserve"> v </w:t>
      </w:r>
      <w:r w:rsidRPr="00083739">
        <w:rPr>
          <w:rFonts w:cs="Times New Roman"/>
          <w:noProof/>
          <w:lang w:val="sk-SK"/>
        </w:rPr>
        <w:t>komunálnych vodohospod</w:t>
      </w:r>
      <w:r w:rsidRPr="00083739">
        <w:rPr>
          <w:rFonts w:cs="Times New Roman"/>
          <w:noProof/>
          <w:lang w:val="sk-SK"/>
        </w:rPr>
        <w:t>árskych</w:t>
      </w:r>
      <w:r w:rsidR="00083739" w:rsidRPr="00083739">
        <w:rPr>
          <w:rFonts w:cs="Times New Roman"/>
          <w:noProof/>
          <w:lang w:val="sk-SK"/>
        </w:rPr>
        <w:t xml:space="preserve"> a </w:t>
      </w:r>
      <w:r w:rsidRPr="00083739">
        <w:rPr>
          <w:rFonts w:cs="Times New Roman"/>
          <w:noProof/>
          <w:lang w:val="sk-SK"/>
        </w:rPr>
        <w:t>kanalizačných spoločnostiach</w:t>
      </w:r>
    </w:p>
    <w:p w14:paraId="4E7E080C" w14:textId="28B8760C" w:rsidR="002D49B0" w:rsidRPr="00083739" w:rsidRDefault="00BF4125">
      <w:pPr>
        <w:pStyle w:val="P68B1DB1-Normal4"/>
        <w:spacing w:before="120" w:after="120" w:line="240" w:lineRule="auto"/>
        <w:ind w:left="720"/>
        <w:jc w:val="both"/>
        <w:rPr>
          <w:rFonts w:cs="Times New Roman"/>
          <w:noProof/>
          <w:lang w:val="sk-SK"/>
        </w:rPr>
      </w:pPr>
      <w:r w:rsidRPr="00083739">
        <w:rPr>
          <w:rFonts w:cs="Times New Roman"/>
          <w:noProof/>
          <w:lang w:val="sk-SK"/>
        </w:rPr>
        <w:t>Touto investíciou sa podporí zlepšenie energetickej efektívnosti obecných vodohospodárskych</w:t>
      </w:r>
      <w:r w:rsidR="00083739" w:rsidRPr="00083739">
        <w:rPr>
          <w:rFonts w:cs="Times New Roman"/>
          <w:noProof/>
          <w:lang w:val="sk-SK"/>
        </w:rPr>
        <w:t xml:space="preserve"> a </w:t>
      </w:r>
      <w:r w:rsidRPr="00083739">
        <w:rPr>
          <w:rFonts w:cs="Times New Roman"/>
          <w:noProof/>
          <w:lang w:val="sk-SK"/>
        </w:rPr>
        <w:t>kanalizačných spoločností prostredníctvom týchto opatrení: I) znížiť spotrebu energie čerpacích staníc</w:t>
      </w:r>
      <w:r w:rsidR="00083739" w:rsidRPr="00083739">
        <w:rPr>
          <w:rFonts w:cs="Times New Roman"/>
          <w:noProof/>
          <w:lang w:val="sk-SK"/>
        </w:rPr>
        <w:t xml:space="preserve"> a </w:t>
      </w:r>
      <w:r w:rsidRPr="00083739">
        <w:rPr>
          <w:rFonts w:cs="Times New Roman"/>
          <w:noProof/>
          <w:lang w:val="sk-SK"/>
        </w:rPr>
        <w:t>prečerpávacích mot</w:t>
      </w:r>
      <w:r w:rsidRPr="00083739">
        <w:rPr>
          <w:rFonts w:cs="Times New Roman"/>
          <w:noProof/>
          <w:lang w:val="sk-SK"/>
        </w:rPr>
        <w:t>orov;</w:t>
      </w:r>
      <w:r w:rsidR="00083739" w:rsidRPr="00083739">
        <w:rPr>
          <w:rFonts w:cs="Times New Roman"/>
          <w:noProof/>
          <w:lang w:val="sk-SK"/>
        </w:rPr>
        <w:t xml:space="preserve"> a </w:t>
      </w:r>
      <w:r w:rsidRPr="00083739">
        <w:rPr>
          <w:rFonts w:cs="Times New Roman"/>
          <w:noProof/>
          <w:lang w:val="sk-SK"/>
        </w:rPr>
        <w:t>ii) vykonať štúdie na optimálne vykonávanie opatrení na ďalšie zlepšenie energetickej efektívnosti týchto spoločností.</w:t>
      </w:r>
    </w:p>
    <w:p w14:paraId="54078641" w14:textId="77777777" w:rsidR="002D49B0" w:rsidRPr="00083739" w:rsidRDefault="00BF4125">
      <w:pPr>
        <w:pStyle w:val="P68B1DB1-ListParagraph46"/>
        <w:numPr>
          <w:ilvl w:val="0"/>
          <w:numId w:val="71"/>
        </w:numPr>
        <w:spacing w:before="120" w:after="120" w:line="240" w:lineRule="auto"/>
        <w:ind w:left="1080"/>
        <w:jc w:val="both"/>
        <w:rPr>
          <w:rFonts w:cs="Times New Roman"/>
          <w:noProof/>
          <w:lang w:val="sk-SK"/>
        </w:rPr>
      </w:pPr>
      <w:r w:rsidRPr="00083739">
        <w:rPr>
          <w:rFonts w:cs="Times New Roman"/>
          <w:noProof/>
          <w:lang w:val="sk-SK"/>
        </w:rPr>
        <w:t>Systémy uskladňovania batérií pre podniky</w:t>
      </w:r>
    </w:p>
    <w:p w14:paraId="3FB659E8" w14:textId="5E2A1286"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 xml:space="preserve">Táto investícia podporuje inštaláciu batériových systémov uskladňovania energie, ktoré </w:t>
      </w:r>
      <w:r w:rsidRPr="00083739">
        <w:rPr>
          <w:rFonts w:cs="Times New Roman"/>
          <w:noProof/>
          <w:lang w:val="sk-SK"/>
        </w:rPr>
        <w:t>sú napojené na zariadenia na výrobu energie</w:t>
      </w:r>
      <w:r w:rsidR="00083739" w:rsidRPr="00083739">
        <w:rPr>
          <w:rFonts w:cs="Times New Roman"/>
          <w:noProof/>
          <w:lang w:val="sk-SK"/>
        </w:rPr>
        <w:t xml:space="preserve"> z </w:t>
      </w:r>
      <w:r w:rsidRPr="00083739">
        <w:rPr>
          <w:rFonts w:cs="Times New Roman"/>
          <w:noProof/>
          <w:lang w:val="sk-SK"/>
        </w:rPr>
        <w:t>obnoviteľných zdrojov pre podniky. Vykonávanie investície sa dokončí do 31</w:t>
      </w:r>
      <w:r w:rsidR="00083739" w:rsidRPr="00083739">
        <w:rPr>
          <w:rFonts w:cs="Times New Roman"/>
          <w:noProof/>
          <w:lang w:val="sk-SK"/>
        </w:rPr>
        <w:t>. decembra</w:t>
      </w:r>
      <w:r w:rsidRPr="00083739">
        <w:rPr>
          <w:rFonts w:cs="Times New Roman"/>
          <w:noProof/>
          <w:lang w:val="sk-SK"/>
        </w:rPr>
        <w:t xml:space="preserve"> 2025.</w:t>
      </w:r>
    </w:p>
    <w:p w14:paraId="1BDAA51B" w14:textId="58DDC42C" w:rsidR="002D49B0" w:rsidRPr="00083739" w:rsidRDefault="00BF4125">
      <w:pPr>
        <w:pStyle w:val="P68B1DB1-Normal4"/>
        <w:spacing w:before="120" w:after="120" w:line="240" w:lineRule="auto"/>
        <w:jc w:val="both"/>
        <w:rPr>
          <w:rFonts w:cs="Times New Roman"/>
          <w:noProof/>
          <w:szCs w:val="24"/>
          <w:lang w:val="sk-SK"/>
        </w:rPr>
      </w:pPr>
      <w:r w:rsidRPr="00083739">
        <w:rPr>
          <w:rFonts w:cs="Times New Roman"/>
          <w:b/>
          <w:noProof/>
          <w:lang w:val="sk-SK"/>
        </w:rPr>
        <w:t>Investície</w:t>
      </w:r>
      <w:r w:rsidRPr="00083739">
        <w:rPr>
          <w:rFonts w:cs="Times New Roman"/>
          <w:noProof/>
          <w:lang w:val="sk-SK"/>
        </w:rPr>
        <w:t>: Projekt výroby vodíka</w:t>
      </w:r>
      <w:r w:rsidR="00083739" w:rsidRPr="00083739">
        <w:rPr>
          <w:rFonts w:cs="Times New Roman"/>
          <w:noProof/>
          <w:lang w:val="sk-SK"/>
        </w:rPr>
        <w:t xml:space="preserve"> z </w:t>
      </w:r>
      <w:r w:rsidRPr="00083739">
        <w:rPr>
          <w:rFonts w:cs="Times New Roman"/>
          <w:noProof/>
          <w:lang w:val="sk-SK"/>
        </w:rPr>
        <w:t>obnoviteľných zdrojov (ID opatrenia: 16995)</w:t>
      </w:r>
    </w:p>
    <w:p w14:paraId="4D087493" w14:textId="100BFEDF" w:rsidR="00083739"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Cieľom tejto investície je podporiť vod</w:t>
      </w:r>
      <w:r w:rsidRPr="00083739">
        <w:rPr>
          <w:rFonts w:cs="Times New Roman"/>
          <w:noProof/>
          <w:lang w:val="sk-SK"/>
        </w:rPr>
        <w:t>ík</w:t>
      </w:r>
      <w:r w:rsidR="00083739" w:rsidRPr="00083739">
        <w:rPr>
          <w:rFonts w:cs="Times New Roman"/>
          <w:noProof/>
          <w:lang w:val="sk-SK"/>
        </w:rPr>
        <w:t xml:space="preserve"> z </w:t>
      </w:r>
      <w:r w:rsidRPr="00083739">
        <w:rPr>
          <w:rFonts w:cs="Times New Roman"/>
          <w:noProof/>
          <w:lang w:val="sk-SK"/>
        </w:rPr>
        <w:t>obnoviteľných zdrojov</w:t>
      </w:r>
      <w:r w:rsidR="00083739" w:rsidRPr="00083739">
        <w:rPr>
          <w:rFonts w:cs="Times New Roman"/>
          <w:noProof/>
          <w:lang w:val="sk-SK"/>
        </w:rPr>
        <w:t xml:space="preserve"> v </w:t>
      </w:r>
      <w:r w:rsidRPr="00083739">
        <w:rPr>
          <w:rFonts w:cs="Times New Roman"/>
          <w:noProof/>
          <w:lang w:val="sk-SK"/>
        </w:rPr>
        <w:t>Grécku poskytovaním finančnej podpory spoločnostiam</w:t>
      </w:r>
      <w:r w:rsidR="00083739" w:rsidRPr="00083739">
        <w:rPr>
          <w:rFonts w:cs="Times New Roman"/>
          <w:noProof/>
          <w:lang w:val="sk-SK"/>
        </w:rPr>
        <w:t>.</w:t>
      </w:r>
    </w:p>
    <w:p w14:paraId="69A86A9B" w14:textId="76F10A5C" w:rsidR="00083739"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Investícia podporuje inštaláciu potrebného vybavenia na výrobu vodíka</w:t>
      </w:r>
      <w:r w:rsidR="00083739" w:rsidRPr="00083739">
        <w:rPr>
          <w:rFonts w:cs="Times New Roman"/>
          <w:noProof/>
          <w:lang w:val="sk-SK"/>
        </w:rPr>
        <w:t xml:space="preserve"> z </w:t>
      </w:r>
      <w:r w:rsidRPr="00083739">
        <w:rPr>
          <w:rFonts w:cs="Times New Roman"/>
          <w:noProof/>
          <w:lang w:val="sk-SK"/>
        </w:rPr>
        <w:t>obnoviteľných zdrojov, ako je inštalácia elektrolyzérov, potrebné podporné vybavenie</w:t>
      </w:r>
      <w:r w:rsidR="00083739" w:rsidRPr="00083739">
        <w:rPr>
          <w:rFonts w:cs="Times New Roman"/>
          <w:noProof/>
          <w:lang w:val="sk-SK"/>
        </w:rPr>
        <w:t xml:space="preserve"> a </w:t>
      </w:r>
      <w:r w:rsidRPr="00083739">
        <w:rPr>
          <w:rFonts w:cs="Times New Roman"/>
          <w:noProof/>
          <w:lang w:val="sk-SK"/>
        </w:rPr>
        <w:t xml:space="preserve">elektrická </w:t>
      </w:r>
      <w:r w:rsidRPr="00083739">
        <w:rPr>
          <w:rFonts w:cs="Times New Roman"/>
          <w:noProof/>
          <w:lang w:val="sk-SK"/>
        </w:rPr>
        <w:t>rozvodňa, inštalácia vodíkovej siete na kompresiu, kondicionovanie, meranie</w:t>
      </w:r>
      <w:r w:rsidR="00083739" w:rsidRPr="00083739">
        <w:rPr>
          <w:rFonts w:cs="Times New Roman"/>
          <w:noProof/>
          <w:lang w:val="sk-SK"/>
        </w:rPr>
        <w:t xml:space="preserve"> a </w:t>
      </w:r>
      <w:r w:rsidRPr="00083739">
        <w:rPr>
          <w:rFonts w:cs="Times New Roman"/>
          <w:noProof/>
          <w:lang w:val="sk-SK"/>
        </w:rPr>
        <w:t>čistenie (čistiaca jednotka), prenos</w:t>
      </w:r>
      <w:r w:rsidR="00083739" w:rsidRPr="00083739">
        <w:rPr>
          <w:rFonts w:cs="Times New Roman"/>
          <w:noProof/>
          <w:lang w:val="sk-SK"/>
        </w:rPr>
        <w:t xml:space="preserve"> a </w:t>
      </w:r>
      <w:r w:rsidRPr="00083739">
        <w:rPr>
          <w:rFonts w:cs="Times New Roman"/>
          <w:noProof/>
          <w:lang w:val="sk-SK"/>
        </w:rPr>
        <w:t>distribúcia vodíka</w:t>
      </w:r>
      <w:r w:rsidR="00083739" w:rsidRPr="00083739">
        <w:rPr>
          <w:rFonts w:cs="Times New Roman"/>
          <w:noProof/>
          <w:lang w:val="sk-SK"/>
        </w:rPr>
        <w:t xml:space="preserve"> z </w:t>
      </w:r>
      <w:r w:rsidRPr="00083739">
        <w:rPr>
          <w:rFonts w:cs="Times New Roman"/>
          <w:noProof/>
          <w:lang w:val="sk-SK"/>
        </w:rPr>
        <w:t>elektrolyzéra do odberateľov, ako aj vstrekovacie zariadenie</w:t>
      </w:r>
      <w:r w:rsidR="00083739" w:rsidRPr="00083739">
        <w:rPr>
          <w:rFonts w:cs="Times New Roman"/>
          <w:noProof/>
          <w:lang w:val="sk-SK"/>
        </w:rPr>
        <w:t>.</w:t>
      </w:r>
    </w:p>
    <w:p w14:paraId="387709DE" w14:textId="2CD4C1E3" w:rsidR="00083739" w:rsidRPr="00083739" w:rsidRDefault="00BF4125">
      <w:pPr>
        <w:pStyle w:val="P68B1DB1-Normal5"/>
        <w:spacing w:before="120" w:after="120" w:line="240" w:lineRule="auto"/>
        <w:jc w:val="both"/>
        <w:rPr>
          <w:rFonts w:cs="Times New Roman"/>
          <w:noProof/>
          <w:lang w:val="sk-SK"/>
        </w:rPr>
      </w:pPr>
      <w:r w:rsidRPr="00083739">
        <w:rPr>
          <w:rFonts w:cs="Times New Roman"/>
          <w:noProof/>
          <w:lang w:val="sk-SK"/>
        </w:rPr>
        <w:t>Na výrobu vodíka</w:t>
      </w:r>
      <w:r w:rsidR="00083739" w:rsidRPr="00083739">
        <w:rPr>
          <w:rFonts w:cs="Times New Roman"/>
          <w:noProof/>
          <w:lang w:val="sk-SK"/>
        </w:rPr>
        <w:t xml:space="preserve"> z </w:t>
      </w:r>
      <w:r w:rsidRPr="00083739">
        <w:rPr>
          <w:rFonts w:cs="Times New Roman"/>
          <w:noProof/>
          <w:lang w:val="sk-SK"/>
        </w:rPr>
        <w:t xml:space="preserve">obnoviteľných zdrojov sa používa len </w:t>
      </w:r>
      <w:r w:rsidRPr="00083739">
        <w:rPr>
          <w:rFonts w:cs="Times New Roman"/>
          <w:noProof/>
          <w:lang w:val="sk-SK"/>
        </w:rPr>
        <w:t>elektrolýza. Výroba fosílnych palív vyrobených</w:t>
      </w:r>
      <w:r w:rsidR="00083739" w:rsidRPr="00083739">
        <w:rPr>
          <w:rFonts w:cs="Times New Roman"/>
          <w:noProof/>
          <w:lang w:val="sk-SK"/>
        </w:rPr>
        <w:t xml:space="preserve"> z </w:t>
      </w:r>
      <w:r w:rsidRPr="00083739">
        <w:rPr>
          <w:rFonts w:cs="Times New Roman"/>
          <w:noProof/>
          <w:lang w:val="sk-SK"/>
        </w:rPr>
        <w:t>odpadu sa</w:t>
      </w:r>
      <w:r w:rsidR="00083739" w:rsidRPr="00083739">
        <w:rPr>
          <w:rFonts w:cs="Times New Roman"/>
          <w:noProof/>
          <w:lang w:val="sk-SK"/>
        </w:rPr>
        <w:t xml:space="preserve"> v </w:t>
      </w:r>
      <w:r w:rsidRPr="00083739">
        <w:rPr>
          <w:rFonts w:cs="Times New Roman"/>
          <w:noProof/>
          <w:lang w:val="sk-SK"/>
        </w:rPr>
        <w:t>rámci tejto investície nepredpokladá</w:t>
      </w:r>
      <w:r w:rsidR="00083739" w:rsidRPr="00083739">
        <w:rPr>
          <w:rFonts w:cs="Times New Roman"/>
          <w:noProof/>
          <w:lang w:val="sk-SK"/>
        </w:rPr>
        <w:t>.</w:t>
      </w:r>
    </w:p>
    <w:p w14:paraId="2D0A13EE" w14:textId="3A30981E" w:rsidR="002D49B0" w:rsidRPr="00083739" w:rsidRDefault="00BF4125">
      <w:pPr>
        <w:pStyle w:val="P68B1DB1-Normal4"/>
        <w:spacing w:before="120" w:after="120" w:line="240" w:lineRule="auto"/>
        <w:jc w:val="both"/>
        <w:rPr>
          <w:rFonts w:cs="Times New Roman"/>
          <w:noProof/>
          <w:szCs w:val="24"/>
          <w:lang w:val="sk-SK"/>
        </w:rPr>
      </w:pPr>
      <w:r w:rsidRPr="00083739">
        <w:rPr>
          <w:rFonts w:cs="Times New Roman"/>
          <w:noProof/>
          <w:lang w:val="sk-SK"/>
        </w:rPr>
        <w:t>Výroba vodíka</w:t>
      </w:r>
      <w:r w:rsidR="00083739" w:rsidRPr="00083739">
        <w:rPr>
          <w:rFonts w:cs="Times New Roman"/>
          <w:noProof/>
          <w:lang w:val="sk-SK"/>
        </w:rPr>
        <w:t xml:space="preserve"> z </w:t>
      </w:r>
      <w:r w:rsidRPr="00083739">
        <w:rPr>
          <w:rFonts w:cs="Times New Roman"/>
          <w:noProof/>
          <w:lang w:val="sk-SK"/>
        </w:rPr>
        <w:t>obnoviteľných zdrojov musí byť</w:t>
      </w:r>
      <w:r w:rsidR="00083739" w:rsidRPr="00083739">
        <w:rPr>
          <w:rFonts w:cs="Times New Roman"/>
          <w:noProof/>
          <w:lang w:val="sk-SK"/>
        </w:rPr>
        <w:t xml:space="preserve"> v </w:t>
      </w:r>
      <w:r w:rsidRPr="00083739">
        <w:rPr>
          <w:rFonts w:cs="Times New Roman"/>
          <w:noProof/>
          <w:lang w:val="sk-SK"/>
        </w:rPr>
        <w:t>súlade so smernicou</w:t>
      </w:r>
      <w:r w:rsidR="00083739" w:rsidRPr="00083739">
        <w:rPr>
          <w:rFonts w:cs="Times New Roman"/>
          <w:noProof/>
          <w:lang w:val="sk-SK"/>
        </w:rPr>
        <w:t xml:space="preserve"> o </w:t>
      </w:r>
      <w:r w:rsidRPr="00083739">
        <w:rPr>
          <w:rFonts w:cs="Times New Roman"/>
          <w:noProof/>
          <w:lang w:val="sk-SK"/>
        </w:rPr>
        <w:t>obnoviteľných zdrojoch energie</w:t>
      </w:r>
      <w:r w:rsidR="00083739" w:rsidRPr="00083739">
        <w:rPr>
          <w:rFonts w:cs="Times New Roman"/>
          <w:noProof/>
          <w:lang w:val="sk-SK"/>
        </w:rPr>
        <w:t xml:space="preserve"> a </w:t>
      </w:r>
      <w:r w:rsidRPr="00083739">
        <w:rPr>
          <w:rFonts w:cs="Times New Roman"/>
          <w:noProof/>
          <w:lang w:val="sk-SK"/>
        </w:rPr>
        <w:t>jej delegovanými aktmi (2018/2001/EÚ).</w:t>
      </w:r>
    </w:p>
    <w:p w14:paraId="76AB612E" w14:textId="48E233C7" w:rsidR="002D49B0" w:rsidRPr="00083739" w:rsidRDefault="00BF4125">
      <w:pPr>
        <w:pStyle w:val="P68B1DB1-Normal4"/>
        <w:spacing w:before="120" w:after="120" w:line="240" w:lineRule="auto"/>
        <w:rPr>
          <w:rFonts w:cs="Times New Roman"/>
          <w:noProof/>
          <w:szCs w:val="24"/>
          <w:lang w:val="sk-SK"/>
        </w:rPr>
      </w:pPr>
      <w:r w:rsidRPr="00083739">
        <w:rPr>
          <w:rFonts w:cs="Times New Roman"/>
          <w:noProof/>
          <w:lang w:val="sk-SK"/>
        </w:rPr>
        <w:t xml:space="preserve">Investícia sa </w:t>
      </w:r>
      <w:r w:rsidRPr="00083739">
        <w:rPr>
          <w:rFonts w:cs="Times New Roman"/>
          <w:noProof/>
          <w:lang w:val="sk-SK"/>
        </w:rPr>
        <w:t>dokončí do 31</w:t>
      </w:r>
      <w:r w:rsidR="00083739" w:rsidRPr="00083739">
        <w:rPr>
          <w:rFonts w:cs="Times New Roman"/>
          <w:noProof/>
          <w:lang w:val="sk-SK"/>
        </w:rPr>
        <w:t>. decembra</w:t>
      </w:r>
      <w:r w:rsidRPr="00083739">
        <w:rPr>
          <w:rFonts w:cs="Times New Roman"/>
          <w:noProof/>
          <w:lang w:val="sk-SK"/>
        </w:rPr>
        <w:t xml:space="preserve"> 2025.</w:t>
      </w:r>
    </w:p>
    <w:p w14:paraId="0890D427" w14:textId="77777777" w:rsidR="002D49B0" w:rsidRPr="00083739" w:rsidRDefault="002D49B0">
      <w:pPr>
        <w:rPr>
          <w:rFonts w:ascii="Times New Roman" w:eastAsia="Times New Roman" w:hAnsi="Times New Roman" w:cs="Times New Roman"/>
          <w:noProof/>
          <w:color w:val="365F91" w:themeColor="accent1" w:themeShade="BF"/>
          <w:sz w:val="24"/>
          <w:szCs w:val="24"/>
          <w:lang w:val="sk-SK"/>
        </w:rPr>
        <w:sectPr w:rsidR="002D49B0" w:rsidRPr="00083739" w:rsidSect="00271D33">
          <w:headerReference w:type="even" r:id="rId357"/>
          <w:headerReference w:type="default" r:id="rId358"/>
          <w:footerReference w:type="even" r:id="rId359"/>
          <w:footerReference w:type="default" r:id="rId360"/>
          <w:headerReference w:type="first" r:id="rId361"/>
          <w:footerReference w:type="first" r:id="rId362"/>
          <w:pgSz w:w="11907" w:h="16839"/>
          <w:pgMar w:top="1134" w:right="1134" w:bottom="1134" w:left="1134" w:header="567" w:footer="181" w:gutter="0"/>
          <w:cols w:space="720"/>
          <w:docGrid w:linePitch="360"/>
        </w:sectPr>
      </w:pPr>
    </w:p>
    <w:p w14:paraId="01BE7AE9" w14:textId="77777777" w:rsidR="00083739" w:rsidRPr="00083739" w:rsidRDefault="00BF4125">
      <w:pPr>
        <w:keepNext/>
        <w:keepLines/>
        <w:spacing w:before="40" w:after="0" w:line="240" w:lineRule="auto"/>
        <w:jc w:val="both"/>
        <w:outlineLvl w:val="4"/>
        <w:rPr>
          <w:rFonts w:ascii="Times New Roman" w:hAnsi="Times New Roman" w:cs="Times New Roman"/>
          <w:noProof/>
          <w:color w:val="365F91" w:themeColor="accent1" w:themeShade="BF"/>
          <w:sz w:val="24"/>
          <w:lang w:val="sk-SK"/>
        </w:rPr>
      </w:pPr>
      <w:r w:rsidRPr="00083739">
        <w:rPr>
          <w:rFonts w:ascii="Times New Roman" w:hAnsi="Times New Roman" w:cs="Times New Roman"/>
          <w:b/>
          <w:noProof/>
          <w:sz w:val="24"/>
          <w:u w:val="single"/>
          <w:lang w:val="sk-SK"/>
        </w:rPr>
        <w:t xml:space="preserve">U.2. </w:t>
      </w:r>
      <w:r w:rsidRPr="00083739">
        <w:rPr>
          <w:rFonts w:ascii="Times New Roman" w:hAnsi="Times New Roman" w:cs="Times New Roman"/>
          <w:noProof/>
          <w:lang w:val="sk-SK"/>
        </w:rPr>
        <w:t xml:space="preserve"> </w:t>
      </w:r>
      <w:r w:rsidRPr="00083739">
        <w:rPr>
          <w:rFonts w:ascii="Times New Roman" w:hAnsi="Times New Roman" w:cs="Times New Roman"/>
          <w:b/>
          <w:noProof/>
          <w:sz w:val="24"/>
          <w:u w:val="single"/>
          <w:lang w:val="sk-SK"/>
        </w:rPr>
        <w:t>Míľniky, ciele, ukazovatele</w:t>
      </w:r>
      <w:r w:rsidR="00083739" w:rsidRPr="00083739">
        <w:rPr>
          <w:rFonts w:ascii="Times New Roman" w:hAnsi="Times New Roman" w:cs="Times New Roman"/>
          <w:b/>
          <w:noProof/>
          <w:sz w:val="24"/>
          <w:u w:val="single"/>
          <w:lang w:val="sk-SK"/>
        </w:rPr>
        <w:t xml:space="preserve"> a </w:t>
      </w:r>
      <w:r w:rsidRPr="00083739">
        <w:rPr>
          <w:rFonts w:ascii="Times New Roman" w:hAnsi="Times New Roman" w:cs="Times New Roman"/>
          <w:b/>
          <w:noProof/>
          <w:sz w:val="24"/>
          <w:u w:val="single"/>
          <w:lang w:val="sk-SK"/>
        </w:rPr>
        <w:t>harmonogram monitorovania</w:t>
      </w:r>
      <w:r w:rsidR="00083739" w:rsidRPr="00083739">
        <w:rPr>
          <w:rFonts w:ascii="Times New Roman" w:hAnsi="Times New Roman" w:cs="Times New Roman"/>
          <w:b/>
          <w:noProof/>
          <w:sz w:val="24"/>
          <w:u w:val="single"/>
          <w:lang w:val="sk-SK"/>
        </w:rPr>
        <w:t xml:space="preserve"> a </w:t>
      </w:r>
      <w:r w:rsidRPr="00083739">
        <w:rPr>
          <w:rFonts w:ascii="Times New Roman" w:hAnsi="Times New Roman" w:cs="Times New Roman"/>
          <w:b/>
          <w:noProof/>
          <w:sz w:val="24"/>
          <w:u w:val="single"/>
          <w:lang w:val="sk-SK"/>
        </w:rPr>
        <w:t>realizácie pre nenávratnú finančnú podporu</w:t>
      </w:r>
    </w:p>
    <w:p w14:paraId="05314DEF" w14:textId="27AF0E25" w:rsidR="002D49B0" w:rsidRPr="00083739" w:rsidRDefault="00BF4125">
      <w:pPr>
        <w:pStyle w:val="P68B1DB1-Normal6"/>
        <w:keepNext/>
        <w:keepLines/>
        <w:spacing w:before="240" w:after="0" w:line="240" w:lineRule="auto"/>
        <w:jc w:val="both"/>
        <w:outlineLvl w:val="4"/>
        <w:rPr>
          <w:rFonts w:ascii="Times New Roman" w:eastAsia="Times New Roman" w:hAnsi="Times New Roman" w:cs="Times New Roman"/>
          <w:noProof/>
          <w:lang w:val="sk-SK"/>
        </w:rPr>
      </w:pPr>
      <w:r w:rsidRPr="00083739">
        <w:rPr>
          <w:rFonts w:ascii="Times New Roman" w:hAnsi="Times New Roman" w:cs="Times New Roman"/>
          <w:noProof/>
          <w:lang w:val="sk-SK"/>
        </w:rPr>
        <w:t xml:space="preserve">Investícia 1: Inštalácia uskladňovania energie na dodatočné </w:t>
      </w:r>
      <w:r w:rsidRPr="00083739">
        <w:rPr>
          <w:rFonts w:ascii="Times New Roman" w:hAnsi="Times New Roman" w:cs="Times New Roman"/>
          <w:noProof/>
          <w:lang w:val="sk-SK"/>
        </w:rPr>
        <w:t>prieniky OZE (ID opatrenia: 16996)</w:t>
      </w:r>
    </w:p>
    <w:p w14:paraId="4F878252" w14:textId="77777777" w:rsidR="002D49B0" w:rsidRPr="00083739" w:rsidRDefault="002D49B0">
      <w:pPr>
        <w:rPr>
          <w:rFonts w:ascii="Times New Roman" w:hAnsi="Times New Roman" w:cs="Times New Roman"/>
          <w:noProof/>
          <w:lang w:val="sk-SK"/>
        </w:rPr>
      </w:pPr>
    </w:p>
    <w:tbl>
      <w:tblPr>
        <w:tblpPr w:leftFromText="181" w:rightFromText="181" w:vertAnchor="text" w:tblpY="1"/>
        <w:tblOverlap w:val="never"/>
        <w:tblW w:w="14454" w:type="dxa"/>
        <w:tblLayout w:type="fixed"/>
        <w:tblLook w:val="04A0" w:firstRow="1" w:lastRow="0" w:firstColumn="1" w:lastColumn="0" w:noHBand="0" w:noVBand="1"/>
      </w:tblPr>
      <w:tblGrid>
        <w:gridCol w:w="1075"/>
        <w:gridCol w:w="1956"/>
        <w:gridCol w:w="1005"/>
        <w:gridCol w:w="1076"/>
        <w:gridCol w:w="1646"/>
        <w:gridCol w:w="1022"/>
        <w:gridCol w:w="1022"/>
        <w:gridCol w:w="638"/>
        <w:gridCol w:w="1060"/>
        <w:gridCol w:w="877"/>
        <w:gridCol w:w="3077"/>
      </w:tblGrid>
      <w:tr w:rsidR="002D49B0" w:rsidRPr="00083739" w14:paraId="66836DDD" w14:textId="77777777">
        <w:trPr>
          <w:trHeight w:val="1125"/>
          <w:tblHeader/>
        </w:trPr>
        <w:tc>
          <w:tcPr>
            <w:tcW w:w="107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C9F5BFB" w14:textId="77777777" w:rsidR="002D49B0" w:rsidRPr="00083739" w:rsidRDefault="00BF4125">
            <w:pPr>
              <w:pStyle w:val="P68B1DB1-Normal7"/>
              <w:spacing w:before="120" w:after="120" w:line="240" w:lineRule="auto"/>
              <w:jc w:val="center"/>
              <w:rPr>
                <w:rFonts w:cs="Times New Roman"/>
                <w:noProof/>
                <w:sz w:val="24"/>
                <w:lang w:val="sk-SK"/>
              </w:rPr>
            </w:pPr>
            <w:r w:rsidRPr="00083739">
              <w:rPr>
                <w:rFonts w:cs="Times New Roman"/>
                <w:noProof/>
                <w:lang w:val="sk-SK"/>
              </w:rPr>
              <w:t>Poradové číslo</w:t>
            </w:r>
          </w:p>
        </w:tc>
        <w:tc>
          <w:tcPr>
            <w:tcW w:w="195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8987E02" w14:textId="77777777" w:rsidR="002D49B0" w:rsidRPr="00083739" w:rsidRDefault="00BF4125">
            <w:pPr>
              <w:pStyle w:val="P68B1DB1-Normal7"/>
              <w:spacing w:before="120" w:after="120" w:line="240" w:lineRule="auto"/>
              <w:jc w:val="center"/>
              <w:rPr>
                <w:rFonts w:cs="Times New Roman"/>
                <w:noProof/>
                <w:sz w:val="24"/>
                <w:lang w:val="sk-SK"/>
              </w:rPr>
            </w:pPr>
            <w:r w:rsidRPr="00083739">
              <w:rPr>
                <w:rFonts w:cs="Times New Roman"/>
                <w:noProof/>
                <w:lang w:val="sk-SK"/>
              </w:rPr>
              <w:t>Súvisiace opatrenie (reforma alebo investícia)</w:t>
            </w:r>
          </w:p>
        </w:tc>
        <w:tc>
          <w:tcPr>
            <w:tcW w:w="100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D26D3B0" w14:textId="77777777" w:rsidR="002D49B0" w:rsidRPr="00083739" w:rsidRDefault="00BF4125">
            <w:pPr>
              <w:pStyle w:val="P68B1DB1-Normal7"/>
              <w:spacing w:before="120" w:after="120" w:line="240" w:lineRule="auto"/>
              <w:jc w:val="center"/>
              <w:rPr>
                <w:rFonts w:cs="Times New Roman"/>
                <w:noProof/>
                <w:sz w:val="24"/>
                <w:lang w:val="sk-SK"/>
              </w:rPr>
            </w:pPr>
            <w:r w:rsidRPr="00083739">
              <w:rPr>
                <w:rFonts w:cs="Times New Roman"/>
                <w:noProof/>
                <w:lang w:val="sk-SK"/>
              </w:rPr>
              <w:t>Míľnik/cieľ</w:t>
            </w:r>
          </w:p>
        </w:tc>
        <w:tc>
          <w:tcPr>
            <w:tcW w:w="107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593F348" w14:textId="77777777" w:rsidR="002D49B0" w:rsidRPr="00083739" w:rsidRDefault="00BF4125">
            <w:pPr>
              <w:pStyle w:val="P68B1DB1-Normal7"/>
              <w:spacing w:before="120" w:after="120" w:line="240" w:lineRule="auto"/>
              <w:jc w:val="center"/>
              <w:rPr>
                <w:rFonts w:cs="Times New Roman"/>
                <w:noProof/>
                <w:sz w:val="24"/>
                <w:lang w:val="sk-SK"/>
              </w:rPr>
            </w:pPr>
            <w:r w:rsidRPr="00083739">
              <w:rPr>
                <w:rFonts w:cs="Times New Roman"/>
                <w:noProof/>
                <w:lang w:val="sk-SK"/>
              </w:rPr>
              <w:t>Názov</w:t>
            </w:r>
          </w:p>
        </w:tc>
        <w:tc>
          <w:tcPr>
            <w:tcW w:w="164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7E9042C" w14:textId="77777777" w:rsidR="002D49B0" w:rsidRPr="00083739" w:rsidRDefault="00BF4125">
            <w:pPr>
              <w:pStyle w:val="P68B1DB1-Normal7"/>
              <w:spacing w:before="120" w:after="120" w:line="240" w:lineRule="auto"/>
              <w:jc w:val="center"/>
              <w:rPr>
                <w:rFonts w:cs="Times New Roman"/>
                <w:noProof/>
                <w:sz w:val="24"/>
                <w:szCs w:val="24"/>
                <w:lang w:val="sk-SK"/>
              </w:rPr>
            </w:pPr>
            <w:r w:rsidRPr="00083739">
              <w:rPr>
                <w:rFonts w:cs="Times New Roman"/>
                <w:noProof/>
                <w:lang w:val="sk-SK"/>
              </w:rPr>
              <w:t>Kvalitatívne ukazovatele (pre míľniky)</w:t>
            </w:r>
          </w:p>
        </w:tc>
        <w:tc>
          <w:tcPr>
            <w:tcW w:w="2682" w:type="dxa"/>
            <w:gridSpan w:val="3"/>
            <w:tcBorders>
              <w:top w:val="single" w:sz="4" w:space="0" w:color="auto"/>
              <w:left w:val="single" w:sz="4" w:space="0" w:color="auto"/>
              <w:bottom w:val="single" w:sz="4" w:space="0" w:color="auto"/>
              <w:right w:val="single" w:sz="4" w:space="0" w:color="auto"/>
            </w:tcBorders>
            <w:shd w:val="clear" w:color="auto" w:fill="BDD7EE"/>
            <w:vAlign w:val="center"/>
            <w:hideMark/>
          </w:tcPr>
          <w:p w14:paraId="3151DEDB" w14:textId="77777777" w:rsidR="002D49B0" w:rsidRPr="00083739" w:rsidRDefault="00BF4125">
            <w:pPr>
              <w:pStyle w:val="P68B1DB1-Normal7"/>
              <w:spacing w:before="120" w:after="120" w:line="240" w:lineRule="auto"/>
              <w:jc w:val="center"/>
              <w:rPr>
                <w:rFonts w:cs="Times New Roman"/>
                <w:noProof/>
                <w:sz w:val="24"/>
                <w:szCs w:val="24"/>
                <w:lang w:val="sk-SK"/>
              </w:rPr>
            </w:pPr>
            <w:r w:rsidRPr="00083739">
              <w:rPr>
                <w:rFonts w:cs="Times New Roman"/>
                <w:noProof/>
                <w:lang w:val="sk-SK"/>
              </w:rPr>
              <w:t>Kvantitatívne ukazovatele (pre ciele)</w:t>
            </w:r>
          </w:p>
        </w:tc>
        <w:tc>
          <w:tcPr>
            <w:tcW w:w="1937" w:type="dxa"/>
            <w:gridSpan w:val="2"/>
            <w:tcBorders>
              <w:top w:val="single" w:sz="4" w:space="0" w:color="auto"/>
              <w:left w:val="nil"/>
              <w:bottom w:val="single" w:sz="4" w:space="0" w:color="auto"/>
              <w:right w:val="single" w:sz="4" w:space="0" w:color="auto"/>
            </w:tcBorders>
            <w:shd w:val="clear" w:color="auto" w:fill="BDD7EE"/>
            <w:vAlign w:val="center"/>
            <w:hideMark/>
          </w:tcPr>
          <w:p w14:paraId="2CDF4D5A" w14:textId="77777777" w:rsidR="002D49B0" w:rsidRPr="00083739" w:rsidRDefault="00BF4125">
            <w:pPr>
              <w:pStyle w:val="P68B1DB1-Normal7"/>
              <w:spacing w:before="120" w:after="120" w:line="240" w:lineRule="auto"/>
              <w:jc w:val="center"/>
              <w:rPr>
                <w:rFonts w:cs="Times New Roman"/>
                <w:noProof/>
                <w:sz w:val="24"/>
                <w:lang w:val="sk-SK"/>
              </w:rPr>
            </w:pPr>
            <w:r w:rsidRPr="00083739">
              <w:rPr>
                <w:rFonts w:cs="Times New Roman"/>
                <w:noProof/>
                <w:lang w:val="sk-SK"/>
              </w:rPr>
              <w:t>Orientačný harmonogram dokončenia</w:t>
            </w:r>
          </w:p>
        </w:tc>
        <w:tc>
          <w:tcPr>
            <w:tcW w:w="307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DA74EB7" w14:textId="3ABCB71C" w:rsidR="002D49B0" w:rsidRPr="00083739" w:rsidRDefault="00BF4125">
            <w:pPr>
              <w:pStyle w:val="P68B1DB1-Normal7"/>
              <w:spacing w:before="120" w:after="120" w:line="240" w:lineRule="auto"/>
              <w:jc w:val="center"/>
              <w:rPr>
                <w:rFonts w:cs="Times New Roman"/>
                <w:noProof/>
                <w:sz w:val="24"/>
                <w:lang w:val="sk-SK"/>
              </w:rPr>
            </w:pPr>
            <w:r w:rsidRPr="00083739">
              <w:rPr>
                <w:rFonts w:cs="Times New Roman"/>
                <w:noProof/>
                <w:lang w:val="sk-SK"/>
              </w:rPr>
              <w:t>Opis každého míľnika</w:t>
            </w:r>
            <w:r w:rsidR="00083739" w:rsidRPr="00083739">
              <w:rPr>
                <w:rFonts w:cs="Times New Roman"/>
                <w:noProof/>
                <w:lang w:val="sk-SK"/>
              </w:rPr>
              <w:t xml:space="preserve"> a </w:t>
            </w:r>
            <w:r w:rsidRPr="00083739">
              <w:rPr>
                <w:rFonts w:cs="Times New Roman"/>
                <w:noProof/>
                <w:lang w:val="sk-SK"/>
              </w:rPr>
              <w:t>cieľa</w:t>
            </w:r>
          </w:p>
        </w:tc>
      </w:tr>
      <w:tr w:rsidR="002D49B0" w:rsidRPr="00083739" w14:paraId="31918F94" w14:textId="77777777">
        <w:trPr>
          <w:trHeight w:val="414"/>
          <w:tblHeader/>
        </w:trPr>
        <w:tc>
          <w:tcPr>
            <w:tcW w:w="1075" w:type="dxa"/>
            <w:vMerge/>
            <w:tcBorders>
              <w:top w:val="single" w:sz="4" w:space="0" w:color="auto"/>
              <w:left w:val="single" w:sz="4" w:space="0" w:color="auto"/>
              <w:bottom w:val="single" w:sz="4" w:space="0" w:color="auto"/>
              <w:right w:val="single" w:sz="4" w:space="0" w:color="auto"/>
            </w:tcBorders>
            <w:vAlign w:val="center"/>
          </w:tcPr>
          <w:p w14:paraId="5B1A97A4" w14:textId="77777777" w:rsidR="002D49B0" w:rsidRPr="00083739" w:rsidRDefault="002D49B0">
            <w:pPr>
              <w:spacing w:before="120" w:after="120" w:line="240" w:lineRule="auto"/>
              <w:jc w:val="center"/>
              <w:rPr>
                <w:rFonts w:ascii="Times New Roman" w:eastAsia="Times New Roman" w:hAnsi="Times New Roman" w:cs="Times New Roman"/>
                <w:b/>
                <w:bCs/>
                <w:noProof/>
                <w:sz w:val="18"/>
                <w:szCs w:val="18"/>
                <w:lang w:val="sk-SK"/>
              </w:rPr>
            </w:pPr>
          </w:p>
        </w:tc>
        <w:tc>
          <w:tcPr>
            <w:tcW w:w="1956" w:type="dxa"/>
            <w:vMerge/>
            <w:tcBorders>
              <w:top w:val="single" w:sz="4" w:space="0" w:color="auto"/>
              <w:left w:val="single" w:sz="4" w:space="0" w:color="auto"/>
              <w:bottom w:val="single" w:sz="4" w:space="0" w:color="auto"/>
              <w:right w:val="single" w:sz="4" w:space="0" w:color="auto"/>
            </w:tcBorders>
            <w:vAlign w:val="center"/>
          </w:tcPr>
          <w:p w14:paraId="26385F0C" w14:textId="77777777" w:rsidR="002D49B0" w:rsidRPr="00083739" w:rsidRDefault="002D49B0">
            <w:pPr>
              <w:spacing w:before="120" w:after="120" w:line="240" w:lineRule="auto"/>
              <w:jc w:val="center"/>
              <w:rPr>
                <w:rFonts w:ascii="Times New Roman" w:eastAsia="Times New Roman" w:hAnsi="Times New Roman" w:cs="Times New Roman"/>
                <w:b/>
                <w:bCs/>
                <w:noProof/>
                <w:sz w:val="18"/>
                <w:szCs w:val="18"/>
                <w:lang w:val="sk-SK"/>
              </w:rPr>
            </w:pPr>
          </w:p>
        </w:tc>
        <w:tc>
          <w:tcPr>
            <w:tcW w:w="1005" w:type="dxa"/>
            <w:vMerge/>
            <w:tcBorders>
              <w:top w:val="single" w:sz="4" w:space="0" w:color="auto"/>
              <w:left w:val="single" w:sz="4" w:space="0" w:color="auto"/>
              <w:bottom w:val="single" w:sz="4" w:space="0" w:color="auto"/>
              <w:right w:val="single" w:sz="4" w:space="0" w:color="auto"/>
            </w:tcBorders>
            <w:vAlign w:val="center"/>
          </w:tcPr>
          <w:p w14:paraId="5BA31B7C" w14:textId="77777777" w:rsidR="002D49B0" w:rsidRPr="00083739" w:rsidRDefault="002D49B0">
            <w:pPr>
              <w:spacing w:before="120" w:after="120" w:line="240" w:lineRule="auto"/>
              <w:jc w:val="center"/>
              <w:rPr>
                <w:rFonts w:ascii="Times New Roman" w:eastAsia="Times New Roman" w:hAnsi="Times New Roman" w:cs="Times New Roman"/>
                <w:b/>
                <w:bCs/>
                <w:noProof/>
                <w:sz w:val="18"/>
                <w:szCs w:val="18"/>
                <w:lang w:val="sk-SK"/>
              </w:rPr>
            </w:pPr>
          </w:p>
        </w:tc>
        <w:tc>
          <w:tcPr>
            <w:tcW w:w="1076" w:type="dxa"/>
            <w:vMerge/>
            <w:tcBorders>
              <w:top w:val="single" w:sz="4" w:space="0" w:color="auto"/>
              <w:left w:val="single" w:sz="4" w:space="0" w:color="auto"/>
              <w:bottom w:val="single" w:sz="4" w:space="0" w:color="auto"/>
              <w:right w:val="single" w:sz="4" w:space="0" w:color="auto"/>
            </w:tcBorders>
            <w:vAlign w:val="center"/>
          </w:tcPr>
          <w:p w14:paraId="1B6252DE" w14:textId="77777777" w:rsidR="002D49B0" w:rsidRPr="00083739" w:rsidRDefault="002D49B0">
            <w:pPr>
              <w:spacing w:before="120" w:after="120" w:line="240" w:lineRule="auto"/>
              <w:jc w:val="center"/>
              <w:rPr>
                <w:rFonts w:ascii="Times New Roman" w:eastAsia="Times New Roman" w:hAnsi="Times New Roman" w:cs="Times New Roman"/>
                <w:b/>
                <w:bCs/>
                <w:noProof/>
                <w:sz w:val="18"/>
                <w:szCs w:val="18"/>
                <w:lang w:val="sk-SK"/>
              </w:rPr>
            </w:pPr>
          </w:p>
        </w:tc>
        <w:tc>
          <w:tcPr>
            <w:tcW w:w="1646" w:type="dxa"/>
            <w:vMerge/>
            <w:tcBorders>
              <w:top w:val="single" w:sz="4" w:space="0" w:color="auto"/>
              <w:left w:val="single" w:sz="4" w:space="0" w:color="auto"/>
              <w:bottom w:val="single" w:sz="4" w:space="0" w:color="auto"/>
              <w:right w:val="single" w:sz="4" w:space="0" w:color="auto"/>
            </w:tcBorders>
            <w:vAlign w:val="center"/>
          </w:tcPr>
          <w:p w14:paraId="2611DAED" w14:textId="77777777" w:rsidR="002D49B0" w:rsidRPr="00083739" w:rsidRDefault="002D49B0">
            <w:pPr>
              <w:spacing w:before="120" w:after="120" w:line="240" w:lineRule="auto"/>
              <w:jc w:val="center"/>
              <w:rPr>
                <w:rFonts w:ascii="Times New Roman" w:eastAsia="Times New Roman" w:hAnsi="Times New Roman" w:cs="Times New Roman"/>
                <w:b/>
                <w:bCs/>
                <w:noProof/>
                <w:sz w:val="18"/>
                <w:szCs w:val="18"/>
                <w:lang w:val="sk-SK"/>
              </w:rPr>
            </w:pPr>
          </w:p>
        </w:tc>
        <w:tc>
          <w:tcPr>
            <w:tcW w:w="1022" w:type="dxa"/>
            <w:tcBorders>
              <w:top w:val="single" w:sz="4" w:space="0" w:color="auto"/>
              <w:left w:val="single" w:sz="4" w:space="0" w:color="auto"/>
              <w:bottom w:val="single" w:sz="4" w:space="0" w:color="auto"/>
              <w:right w:val="single" w:sz="4" w:space="0" w:color="auto"/>
            </w:tcBorders>
            <w:shd w:val="clear" w:color="auto" w:fill="BDD7EE"/>
            <w:vAlign w:val="center"/>
          </w:tcPr>
          <w:p w14:paraId="16088C7E" w14:textId="77777777" w:rsidR="002D49B0" w:rsidRPr="00083739" w:rsidRDefault="00BF4125">
            <w:pPr>
              <w:pStyle w:val="P68B1DB1-Normal7"/>
              <w:spacing w:before="120" w:after="120" w:line="240" w:lineRule="auto"/>
              <w:jc w:val="center"/>
              <w:rPr>
                <w:rFonts w:eastAsia="Times New Roman" w:cs="Times New Roman"/>
                <w:bCs/>
                <w:noProof/>
                <w:szCs w:val="18"/>
                <w:lang w:val="sk-SK"/>
              </w:rPr>
            </w:pPr>
            <w:r w:rsidRPr="00083739">
              <w:rPr>
                <w:rFonts w:cs="Times New Roman"/>
                <w:noProof/>
                <w:lang w:val="sk-SK"/>
              </w:rPr>
              <w:t>Merná jednotka</w:t>
            </w:r>
          </w:p>
        </w:tc>
        <w:tc>
          <w:tcPr>
            <w:tcW w:w="1022" w:type="dxa"/>
            <w:tcBorders>
              <w:top w:val="single" w:sz="4" w:space="0" w:color="auto"/>
              <w:left w:val="nil"/>
              <w:bottom w:val="single" w:sz="4" w:space="0" w:color="auto"/>
              <w:right w:val="single" w:sz="4" w:space="0" w:color="auto"/>
            </w:tcBorders>
            <w:shd w:val="clear" w:color="auto" w:fill="BDD7EE"/>
            <w:vAlign w:val="center"/>
          </w:tcPr>
          <w:p w14:paraId="610281CE" w14:textId="77777777" w:rsidR="002D49B0" w:rsidRPr="00083739" w:rsidRDefault="00BF4125">
            <w:pPr>
              <w:pStyle w:val="P68B1DB1-Normal7"/>
              <w:spacing w:before="120" w:after="120" w:line="240" w:lineRule="auto"/>
              <w:jc w:val="center"/>
              <w:rPr>
                <w:rFonts w:eastAsia="Times New Roman" w:cs="Times New Roman"/>
                <w:bCs/>
                <w:noProof/>
                <w:szCs w:val="18"/>
                <w:lang w:val="sk-SK"/>
              </w:rPr>
            </w:pPr>
            <w:r w:rsidRPr="00083739">
              <w:rPr>
                <w:rFonts w:cs="Times New Roman"/>
                <w:noProof/>
                <w:lang w:val="sk-SK"/>
              </w:rPr>
              <w:t>Základná</w:t>
            </w:r>
          </w:p>
        </w:tc>
        <w:tc>
          <w:tcPr>
            <w:tcW w:w="638" w:type="dxa"/>
            <w:tcBorders>
              <w:top w:val="single" w:sz="4" w:space="0" w:color="auto"/>
              <w:left w:val="nil"/>
              <w:bottom w:val="single" w:sz="4" w:space="0" w:color="auto"/>
              <w:right w:val="single" w:sz="4" w:space="0" w:color="auto"/>
            </w:tcBorders>
            <w:shd w:val="clear" w:color="auto" w:fill="BDD7EE"/>
            <w:vAlign w:val="center"/>
          </w:tcPr>
          <w:p w14:paraId="383AB957" w14:textId="77777777" w:rsidR="002D49B0" w:rsidRPr="00083739" w:rsidRDefault="00BF4125">
            <w:pPr>
              <w:pStyle w:val="P68B1DB1-Normal7"/>
              <w:spacing w:before="120" w:after="120" w:line="240" w:lineRule="auto"/>
              <w:jc w:val="center"/>
              <w:rPr>
                <w:rFonts w:eastAsia="Times New Roman" w:cs="Times New Roman"/>
                <w:bCs/>
                <w:noProof/>
                <w:szCs w:val="18"/>
                <w:lang w:val="sk-SK"/>
              </w:rPr>
            </w:pPr>
            <w:r w:rsidRPr="00083739">
              <w:rPr>
                <w:rFonts w:cs="Times New Roman"/>
                <w:noProof/>
                <w:lang w:val="sk-SK"/>
              </w:rPr>
              <w:t>Cieľ</w:t>
            </w:r>
          </w:p>
        </w:tc>
        <w:tc>
          <w:tcPr>
            <w:tcW w:w="1060" w:type="dxa"/>
            <w:tcBorders>
              <w:top w:val="single" w:sz="4" w:space="0" w:color="auto"/>
              <w:left w:val="nil"/>
              <w:bottom w:val="single" w:sz="4" w:space="0" w:color="auto"/>
              <w:right w:val="single" w:sz="4" w:space="0" w:color="auto"/>
            </w:tcBorders>
            <w:shd w:val="clear" w:color="auto" w:fill="BDD7EE"/>
            <w:vAlign w:val="center"/>
          </w:tcPr>
          <w:p w14:paraId="3FE521F6" w14:textId="77777777" w:rsidR="002D49B0" w:rsidRPr="00083739" w:rsidRDefault="00BF4125">
            <w:pPr>
              <w:pStyle w:val="P68B1DB1-Normal7"/>
              <w:spacing w:before="120" w:after="120" w:line="240" w:lineRule="auto"/>
              <w:jc w:val="center"/>
              <w:rPr>
                <w:rFonts w:eastAsia="Times New Roman" w:cs="Times New Roman"/>
                <w:bCs/>
                <w:noProof/>
                <w:szCs w:val="18"/>
                <w:lang w:val="sk-SK"/>
              </w:rPr>
            </w:pPr>
            <w:r w:rsidRPr="00083739">
              <w:rPr>
                <w:rFonts w:cs="Times New Roman"/>
                <w:noProof/>
                <w:lang w:val="sk-SK"/>
              </w:rPr>
              <w:t>Štvrtina</w:t>
            </w:r>
          </w:p>
        </w:tc>
        <w:tc>
          <w:tcPr>
            <w:tcW w:w="877" w:type="dxa"/>
            <w:tcBorders>
              <w:top w:val="single" w:sz="4" w:space="0" w:color="auto"/>
              <w:left w:val="nil"/>
              <w:bottom w:val="single" w:sz="4" w:space="0" w:color="auto"/>
              <w:right w:val="single" w:sz="4" w:space="0" w:color="auto"/>
            </w:tcBorders>
            <w:shd w:val="clear" w:color="auto" w:fill="BDD7EE"/>
            <w:vAlign w:val="center"/>
          </w:tcPr>
          <w:p w14:paraId="5454AEA9" w14:textId="77777777" w:rsidR="002D49B0" w:rsidRPr="00083739" w:rsidRDefault="00BF4125">
            <w:pPr>
              <w:pStyle w:val="P68B1DB1-Normal7"/>
              <w:spacing w:before="120" w:after="120" w:line="240" w:lineRule="auto"/>
              <w:jc w:val="center"/>
              <w:rPr>
                <w:rFonts w:eastAsia="Times New Roman" w:cs="Times New Roman"/>
                <w:bCs/>
                <w:noProof/>
                <w:szCs w:val="18"/>
                <w:lang w:val="sk-SK"/>
              </w:rPr>
            </w:pPr>
            <w:r w:rsidRPr="00083739">
              <w:rPr>
                <w:rFonts w:cs="Times New Roman"/>
                <w:noProof/>
                <w:lang w:val="sk-SK"/>
              </w:rPr>
              <w:t>Rok</w:t>
            </w:r>
          </w:p>
        </w:tc>
        <w:tc>
          <w:tcPr>
            <w:tcW w:w="3077" w:type="dxa"/>
            <w:vMerge/>
            <w:tcBorders>
              <w:top w:val="single" w:sz="4" w:space="0" w:color="auto"/>
              <w:bottom w:val="single" w:sz="4" w:space="0" w:color="auto"/>
              <w:right w:val="single" w:sz="4" w:space="0" w:color="auto"/>
            </w:tcBorders>
            <w:vAlign w:val="center"/>
          </w:tcPr>
          <w:p w14:paraId="4FBD707F" w14:textId="77777777" w:rsidR="002D49B0" w:rsidRPr="00083739" w:rsidRDefault="002D49B0">
            <w:pPr>
              <w:spacing w:before="120" w:after="120" w:line="240" w:lineRule="auto"/>
              <w:jc w:val="center"/>
              <w:rPr>
                <w:rFonts w:ascii="Times New Roman" w:eastAsia="Times New Roman" w:hAnsi="Times New Roman" w:cs="Times New Roman"/>
                <w:b/>
                <w:bCs/>
                <w:noProof/>
                <w:sz w:val="18"/>
                <w:szCs w:val="18"/>
                <w:lang w:val="sk-SK"/>
              </w:rPr>
            </w:pPr>
          </w:p>
        </w:tc>
      </w:tr>
      <w:tr w:rsidR="002D49B0" w:rsidRPr="00083739" w14:paraId="6FBE293D" w14:textId="77777777">
        <w:tc>
          <w:tcPr>
            <w:tcW w:w="1075" w:type="dxa"/>
            <w:tcBorders>
              <w:top w:val="single" w:sz="4" w:space="0" w:color="auto"/>
              <w:left w:val="single" w:sz="4" w:space="0" w:color="auto"/>
              <w:bottom w:val="single" w:sz="4" w:space="0" w:color="auto"/>
              <w:right w:val="single" w:sz="4" w:space="0" w:color="auto"/>
            </w:tcBorders>
            <w:shd w:val="clear" w:color="auto" w:fill="C6EFCE"/>
            <w:noWrap/>
          </w:tcPr>
          <w:p w14:paraId="383DF9A2"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365</w:t>
            </w:r>
          </w:p>
        </w:tc>
        <w:tc>
          <w:tcPr>
            <w:tcW w:w="1956" w:type="dxa"/>
            <w:tcBorders>
              <w:top w:val="single" w:sz="4" w:space="0" w:color="auto"/>
              <w:left w:val="nil"/>
              <w:bottom w:val="single" w:sz="4" w:space="0" w:color="auto"/>
              <w:right w:val="single" w:sz="4" w:space="0" w:color="auto"/>
            </w:tcBorders>
            <w:shd w:val="clear" w:color="auto" w:fill="C6EFCE"/>
            <w:noWrap/>
          </w:tcPr>
          <w:p w14:paraId="3C9E7FAA" w14:textId="6AB50B8E"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21 – 5.2 Investície REPowerEU – 16996_Inštalácia uskladňovania energie na účely ďalšieho rozšírenia obnoviteľných zdrojov energie</w:t>
            </w:r>
          </w:p>
        </w:tc>
        <w:tc>
          <w:tcPr>
            <w:tcW w:w="1005" w:type="dxa"/>
            <w:tcBorders>
              <w:top w:val="single" w:sz="4" w:space="0" w:color="auto"/>
              <w:left w:val="nil"/>
              <w:bottom w:val="single" w:sz="4" w:space="0" w:color="auto"/>
              <w:right w:val="single" w:sz="4" w:space="0" w:color="auto"/>
            </w:tcBorders>
            <w:shd w:val="clear" w:color="auto" w:fill="C6EFCE"/>
            <w:noWrap/>
          </w:tcPr>
          <w:p w14:paraId="27945EF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076" w:type="dxa"/>
            <w:tcBorders>
              <w:top w:val="single" w:sz="4" w:space="0" w:color="auto"/>
              <w:left w:val="nil"/>
              <w:bottom w:val="single" w:sz="4" w:space="0" w:color="auto"/>
              <w:right w:val="single" w:sz="4" w:space="0" w:color="auto"/>
            </w:tcBorders>
            <w:shd w:val="clear" w:color="auto" w:fill="C6EFCE"/>
            <w:noWrap/>
          </w:tcPr>
          <w:p w14:paraId="020D25FF" w14:textId="2F8AF1CD"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Schválené projekty uskladňovania energie</w:t>
            </w:r>
          </w:p>
        </w:tc>
        <w:tc>
          <w:tcPr>
            <w:tcW w:w="1646" w:type="dxa"/>
            <w:tcBorders>
              <w:top w:val="single" w:sz="4" w:space="0" w:color="auto"/>
              <w:left w:val="nil"/>
              <w:bottom w:val="single" w:sz="4" w:space="0" w:color="auto"/>
              <w:right w:val="single" w:sz="4" w:space="0" w:color="auto"/>
            </w:tcBorders>
            <w:shd w:val="clear" w:color="auto" w:fill="C6EFCE"/>
            <w:noWrap/>
          </w:tcPr>
          <w:p w14:paraId="4D775471" w14:textId="66FDF801" w:rsidR="002D49B0" w:rsidRPr="00083739" w:rsidRDefault="00BF4125">
            <w:pPr>
              <w:pStyle w:val="P68B1DB1-Normal9"/>
              <w:spacing w:after="12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Rozhodnutie</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schválení</w:t>
            </w:r>
          </w:p>
        </w:tc>
        <w:tc>
          <w:tcPr>
            <w:tcW w:w="1022" w:type="dxa"/>
            <w:tcBorders>
              <w:top w:val="nil"/>
              <w:left w:val="nil"/>
              <w:bottom w:val="single" w:sz="4" w:space="0" w:color="auto"/>
              <w:right w:val="single" w:sz="4" w:space="0" w:color="auto"/>
            </w:tcBorders>
            <w:shd w:val="clear" w:color="auto" w:fill="C6EFCE"/>
            <w:noWrap/>
          </w:tcPr>
          <w:p w14:paraId="75EF64B7" w14:textId="77777777" w:rsidR="002D49B0" w:rsidRPr="00083739" w:rsidRDefault="002D49B0">
            <w:pPr>
              <w:spacing w:after="0" w:line="240" w:lineRule="auto"/>
              <w:rPr>
                <w:rFonts w:ascii="Times New Roman" w:eastAsia="Times New Roman" w:hAnsi="Times New Roman" w:cs="Times New Roman"/>
                <w:noProof/>
                <w:sz w:val="18"/>
                <w:szCs w:val="18"/>
                <w:lang w:val="sk-SK"/>
              </w:rPr>
            </w:pPr>
          </w:p>
        </w:tc>
        <w:tc>
          <w:tcPr>
            <w:tcW w:w="1022" w:type="dxa"/>
            <w:tcBorders>
              <w:top w:val="nil"/>
              <w:left w:val="nil"/>
              <w:bottom w:val="single" w:sz="4" w:space="0" w:color="auto"/>
              <w:right w:val="single" w:sz="4" w:space="0" w:color="auto"/>
            </w:tcBorders>
            <w:shd w:val="clear" w:color="auto" w:fill="C6EFCE"/>
            <w:noWrap/>
          </w:tcPr>
          <w:p w14:paraId="7BF7C660" w14:textId="77777777" w:rsidR="002D49B0" w:rsidRPr="00083739" w:rsidRDefault="002D49B0">
            <w:pPr>
              <w:spacing w:after="0" w:line="240" w:lineRule="auto"/>
              <w:rPr>
                <w:rFonts w:ascii="Times New Roman" w:eastAsia="Times New Roman" w:hAnsi="Times New Roman" w:cs="Times New Roman"/>
                <w:noProof/>
                <w:sz w:val="18"/>
                <w:szCs w:val="18"/>
                <w:lang w:val="sk-SK"/>
              </w:rPr>
            </w:pPr>
          </w:p>
        </w:tc>
        <w:tc>
          <w:tcPr>
            <w:tcW w:w="638" w:type="dxa"/>
            <w:tcBorders>
              <w:top w:val="nil"/>
              <w:left w:val="nil"/>
              <w:bottom w:val="single" w:sz="4" w:space="0" w:color="auto"/>
              <w:right w:val="single" w:sz="4" w:space="0" w:color="auto"/>
            </w:tcBorders>
            <w:shd w:val="clear" w:color="auto" w:fill="C6EFCE"/>
            <w:noWrap/>
          </w:tcPr>
          <w:p w14:paraId="6B82417D" w14:textId="77777777" w:rsidR="002D49B0" w:rsidRPr="00083739" w:rsidRDefault="002D49B0">
            <w:pPr>
              <w:spacing w:after="0" w:line="240" w:lineRule="auto"/>
              <w:rPr>
                <w:rFonts w:ascii="Times New Roman" w:eastAsia="Times New Roman" w:hAnsi="Times New Roman" w:cs="Times New Roman"/>
                <w:noProof/>
                <w:sz w:val="18"/>
                <w:szCs w:val="18"/>
                <w:lang w:val="sk-SK"/>
              </w:rPr>
            </w:pPr>
          </w:p>
        </w:tc>
        <w:tc>
          <w:tcPr>
            <w:tcW w:w="1060" w:type="dxa"/>
            <w:tcBorders>
              <w:top w:val="nil"/>
              <w:left w:val="nil"/>
              <w:bottom w:val="single" w:sz="4" w:space="0" w:color="auto"/>
              <w:right w:val="single" w:sz="4" w:space="0" w:color="auto"/>
            </w:tcBorders>
            <w:shd w:val="clear" w:color="auto" w:fill="C6EFCE"/>
            <w:noWrap/>
          </w:tcPr>
          <w:p w14:paraId="7F1758E9" w14:textId="77777777" w:rsidR="002D49B0" w:rsidRPr="00083739" w:rsidRDefault="00BF4125">
            <w:pPr>
              <w:pStyle w:val="P68B1DB1-Normal9"/>
              <w:spacing w:after="12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877" w:type="dxa"/>
            <w:tcBorders>
              <w:top w:val="nil"/>
              <w:left w:val="nil"/>
              <w:bottom w:val="single" w:sz="4" w:space="0" w:color="auto"/>
              <w:right w:val="single" w:sz="4" w:space="0" w:color="auto"/>
            </w:tcBorders>
            <w:shd w:val="clear" w:color="auto" w:fill="C6EFCE"/>
            <w:noWrap/>
          </w:tcPr>
          <w:p w14:paraId="3DBAD044" w14:textId="77777777" w:rsidR="002D49B0" w:rsidRPr="00083739" w:rsidRDefault="00BF4125">
            <w:pPr>
              <w:pStyle w:val="P68B1DB1-Normal9"/>
              <w:spacing w:after="12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2024</w:t>
            </w:r>
          </w:p>
        </w:tc>
        <w:tc>
          <w:tcPr>
            <w:tcW w:w="3077" w:type="dxa"/>
            <w:tcBorders>
              <w:top w:val="single" w:sz="4" w:space="0" w:color="auto"/>
              <w:left w:val="nil"/>
              <w:bottom w:val="single" w:sz="4" w:space="0" w:color="auto"/>
              <w:right w:val="single" w:sz="4" w:space="0" w:color="auto"/>
            </w:tcBorders>
            <w:shd w:val="clear" w:color="auto" w:fill="C6EFCE"/>
            <w:noWrap/>
          </w:tcPr>
          <w:p w14:paraId="42D490A7" w14:textId="450AB502"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Uverejnenie rozhodnutia RAAWW</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 xml:space="preserve">schválení projektov na inštalovanú uskladňovaciu kapacitu 175 MW. </w:t>
            </w:r>
          </w:p>
        </w:tc>
      </w:tr>
      <w:tr w:rsidR="002D49B0" w:rsidRPr="00083739" w14:paraId="436F2BD7" w14:textId="77777777">
        <w:tc>
          <w:tcPr>
            <w:tcW w:w="1075" w:type="dxa"/>
            <w:tcBorders>
              <w:top w:val="nil"/>
              <w:left w:val="single" w:sz="4" w:space="0" w:color="auto"/>
              <w:bottom w:val="single" w:sz="4" w:space="0" w:color="auto"/>
              <w:right w:val="single" w:sz="4" w:space="0" w:color="auto"/>
            </w:tcBorders>
            <w:shd w:val="clear" w:color="auto" w:fill="C6EFCE"/>
            <w:noWrap/>
          </w:tcPr>
          <w:p w14:paraId="6D40E97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366</w:t>
            </w:r>
          </w:p>
        </w:tc>
        <w:tc>
          <w:tcPr>
            <w:tcW w:w="1956" w:type="dxa"/>
            <w:tcBorders>
              <w:top w:val="nil"/>
              <w:left w:val="nil"/>
              <w:bottom w:val="single" w:sz="4" w:space="0" w:color="auto"/>
              <w:right w:val="single" w:sz="4" w:space="0" w:color="auto"/>
            </w:tcBorders>
            <w:shd w:val="clear" w:color="auto" w:fill="C6EFCE"/>
            <w:noWrap/>
          </w:tcPr>
          <w:p w14:paraId="6E487D9F" w14:textId="22BF49F1" w:rsidR="002D49B0" w:rsidRPr="00083739" w:rsidRDefault="00BF4125">
            <w:pPr>
              <w:pStyle w:val="P68B1DB1-Normal9"/>
              <w:spacing w:after="0" w:line="240" w:lineRule="auto"/>
              <w:rPr>
                <w:rFonts w:ascii="Times New Roman" w:hAnsi="Times New Roman" w:cs="Times New Roman"/>
                <w:noProof/>
                <w:sz w:val="24"/>
                <w:szCs w:val="24"/>
                <w:lang w:val="sk-SK"/>
              </w:rPr>
            </w:pPr>
            <w:r w:rsidRPr="00083739">
              <w:rPr>
                <w:rFonts w:ascii="Times New Roman" w:hAnsi="Times New Roman" w:cs="Times New Roman"/>
                <w:noProof/>
                <w:lang w:val="sk-SK"/>
              </w:rPr>
              <w:t>21 – 5.2 Investície REPowerEU – 16996_Inštalácia uskladňovania energie na účely ďalšieho rozšírenia obnoviteľných zdrojov energie</w:t>
            </w:r>
          </w:p>
        </w:tc>
        <w:tc>
          <w:tcPr>
            <w:tcW w:w="1005" w:type="dxa"/>
            <w:tcBorders>
              <w:top w:val="nil"/>
              <w:left w:val="nil"/>
              <w:bottom w:val="single" w:sz="4" w:space="0" w:color="auto"/>
              <w:right w:val="single" w:sz="4" w:space="0" w:color="auto"/>
            </w:tcBorders>
            <w:shd w:val="clear" w:color="auto" w:fill="C6EFCE"/>
            <w:noWrap/>
          </w:tcPr>
          <w:p w14:paraId="6E083A6A" w14:textId="77777777" w:rsidR="002D49B0" w:rsidRPr="00083739" w:rsidRDefault="00BF4125">
            <w:pPr>
              <w:pStyle w:val="P68B1DB1-Normal9"/>
              <w:spacing w:after="120" w:line="240" w:lineRule="auto"/>
              <w:rPr>
                <w:rFonts w:ascii="Times New Roman" w:hAnsi="Times New Roman" w:cs="Times New Roman"/>
                <w:noProof/>
                <w:sz w:val="24"/>
                <w:lang w:val="sk-SK"/>
              </w:rPr>
            </w:pPr>
            <w:r w:rsidRPr="00083739">
              <w:rPr>
                <w:rFonts w:ascii="Times New Roman" w:hAnsi="Times New Roman" w:cs="Times New Roman"/>
                <w:noProof/>
                <w:lang w:val="sk-SK"/>
              </w:rPr>
              <w:t>Míľnik</w:t>
            </w:r>
          </w:p>
        </w:tc>
        <w:tc>
          <w:tcPr>
            <w:tcW w:w="1076" w:type="dxa"/>
            <w:tcBorders>
              <w:top w:val="nil"/>
              <w:left w:val="nil"/>
              <w:bottom w:val="single" w:sz="4" w:space="0" w:color="auto"/>
              <w:right w:val="single" w:sz="4" w:space="0" w:color="auto"/>
            </w:tcBorders>
            <w:shd w:val="clear" w:color="auto" w:fill="C6EFCE"/>
            <w:noWrap/>
          </w:tcPr>
          <w:p w14:paraId="4CB5E5E0" w14:textId="69CC703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inštalácie skladov</w:t>
            </w:r>
          </w:p>
        </w:tc>
        <w:tc>
          <w:tcPr>
            <w:tcW w:w="1646" w:type="dxa"/>
            <w:tcBorders>
              <w:top w:val="nil"/>
              <w:left w:val="nil"/>
              <w:bottom w:val="single" w:sz="4" w:space="0" w:color="auto"/>
              <w:right w:val="single" w:sz="4" w:space="0" w:color="auto"/>
            </w:tcBorders>
            <w:shd w:val="clear" w:color="auto" w:fill="C6EFCE"/>
            <w:noWrap/>
          </w:tcPr>
          <w:p w14:paraId="79409578" w14:textId="431418CD" w:rsidR="002D49B0" w:rsidRPr="00083739" w:rsidRDefault="00BF4125">
            <w:pPr>
              <w:pStyle w:val="P68B1DB1-Normal9"/>
              <w:spacing w:after="120" w:line="240" w:lineRule="auto"/>
              <w:rPr>
                <w:rFonts w:ascii="Times New Roman" w:hAnsi="Times New Roman" w:cs="Times New Roman"/>
                <w:noProof/>
                <w:sz w:val="24"/>
                <w:lang w:val="sk-SK"/>
              </w:rPr>
            </w:pPr>
            <w:r w:rsidRPr="00083739">
              <w:rPr>
                <w:rFonts w:ascii="Times New Roman" w:hAnsi="Times New Roman" w:cs="Times New Roman"/>
                <w:noProof/>
                <w:lang w:val="sk-SK"/>
              </w:rPr>
              <w:t xml:space="preserve"> </w:t>
            </w:r>
            <w:r w:rsidRPr="00083739">
              <w:rPr>
                <w:rFonts w:ascii="Times New Roman" w:hAnsi="Times New Roman" w:cs="Times New Roman"/>
                <w:noProof/>
                <w:szCs w:val="18"/>
                <w:lang w:val="sk-SK"/>
              </w:rPr>
              <w:t>Inštalovanie</w:t>
            </w:r>
            <w:r w:rsidRPr="00083739">
              <w:rPr>
                <w:rFonts w:ascii="Times New Roman" w:hAnsi="Times New Roman" w:cs="Times New Roman"/>
                <w:noProof/>
                <w:lang w:val="sk-SK"/>
              </w:rPr>
              <w:t>„samostatných“ projektov uskladňovania energie.</w:t>
            </w:r>
          </w:p>
        </w:tc>
        <w:tc>
          <w:tcPr>
            <w:tcW w:w="1022" w:type="dxa"/>
            <w:tcBorders>
              <w:top w:val="nil"/>
              <w:left w:val="nil"/>
              <w:bottom w:val="single" w:sz="4" w:space="0" w:color="auto"/>
              <w:right w:val="single" w:sz="4" w:space="0" w:color="auto"/>
            </w:tcBorders>
            <w:shd w:val="clear" w:color="auto" w:fill="C6EFCE"/>
            <w:noWrap/>
          </w:tcPr>
          <w:p w14:paraId="3DB3074B"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22" w:type="dxa"/>
            <w:tcBorders>
              <w:top w:val="nil"/>
              <w:left w:val="nil"/>
              <w:bottom w:val="single" w:sz="4" w:space="0" w:color="auto"/>
              <w:right w:val="single" w:sz="4" w:space="0" w:color="auto"/>
            </w:tcBorders>
            <w:shd w:val="clear" w:color="auto" w:fill="C6EFCE"/>
            <w:noWrap/>
          </w:tcPr>
          <w:p w14:paraId="182B94E7"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638" w:type="dxa"/>
            <w:tcBorders>
              <w:top w:val="nil"/>
              <w:left w:val="nil"/>
              <w:bottom w:val="single" w:sz="4" w:space="0" w:color="auto"/>
              <w:right w:val="single" w:sz="4" w:space="0" w:color="auto"/>
            </w:tcBorders>
            <w:shd w:val="clear" w:color="auto" w:fill="C6EFCE"/>
            <w:noWrap/>
          </w:tcPr>
          <w:p w14:paraId="5AFC0E6D"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60" w:type="dxa"/>
            <w:tcBorders>
              <w:top w:val="nil"/>
              <w:left w:val="nil"/>
              <w:bottom w:val="single" w:sz="4" w:space="0" w:color="auto"/>
              <w:right w:val="single" w:sz="4" w:space="0" w:color="auto"/>
            </w:tcBorders>
            <w:shd w:val="clear" w:color="auto" w:fill="C6EFCE"/>
            <w:noWrap/>
          </w:tcPr>
          <w:p w14:paraId="12C24165" w14:textId="77777777" w:rsidR="002D49B0" w:rsidRPr="00083739" w:rsidRDefault="00BF4125">
            <w:pPr>
              <w:pStyle w:val="P68B1DB1-Normal9"/>
              <w:spacing w:after="12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877" w:type="dxa"/>
            <w:tcBorders>
              <w:top w:val="nil"/>
              <w:left w:val="nil"/>
              <w:bottom w:val="single" w:sz="4" w:space="0" w:color="auto"/>
              <w:right w:val="single" w:sz="4" w:space="0" w:color="auto"/>
            </w:tcBorders>
            <w:shd w:val="clear" w:color="auto" w:fill="C6EFCE"/>
            <w:noWrap/>
          </w:tcPr>
          <w:p w14:paraId="41537258" w14:textId="77777777" w:rsidR="002D49B0" w:rsidRPr="00083739" w:rsidRDefault="00BF4125">
            <w:pPr>
              <w:pStyle w:val="P68B1DB1-Normal9"/>
              <w:spacing w:after="12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3077" w:type="dxa"/>
            <w:tcBorders>
              <w:top w:val="nil"/>
              <w:left w:val="nil"/>
              <w:bottom w:val="single" w:sz="4" w:space="0" w:color="auto"/>
              <w:right w:val="single" w:sz="4" w:space="0" w:color="auto"/>
            </w:tcBorders>
            <w:shd w:val="clear" w:color="auto" w:fill="C6EFCE"/>
            <w:noWrap/>
          </w:tcPr>
          <w:p w14:paraId="39566BB7" w14:textId="5D870964" w:rsidR="002D49B0" w:rsidRPr="00083739" w:rsidRDefault="00BF4125">
            <w:pPr>
              <w:pStyle w:val="P68B1DB1-Normal9"/>
              <w:spacing w:after="0" w:line="240" w:lineRule="auto"/>
              <w:rPr>
                <w:rFonts w:ascii="Times New Roman" w:hAnsi="Times New Roman" w:cs="Times New Roman"/>
                <w:noProof/>
                <w:sz w:val="24"/>
                <w:szCs w:val="24"/>
                <w:lang w:val="sk-SK"/>
              </w:rPr>
            </w:pPr>
            <w:r w:rsidRPr="00083739">
              <w:rPr>
                <w:rFonts w:ascii="Times New Roman" w:hAnsi="Times New Roman" w:cs="Times New Roman"/>
                <w:noProof/>
                <w:lang w:val="sk-SK"/>
              </w:rPr>
              <w:t>Inštalácia „samostatných“ projektov uskladňovania energie</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 xml:space="preserve">celkovým výkonom 175 MW. </w:t>
            </w:r>
          </w:p>
        </w:tc>
      </w:tr>
    </w:tbl>
    <w:p w14:paraId="1AF1A136" w14:textId="77777777" w:rsidR="002D49B0" w:rsidRPr="00083739" w:rsidRDefault="002D49B0">
      <w:pPr>
        <w:rPr>
          <w:rFonts w:ascii="Times New Roman" w:hAnsi="Times New Roman" w:cs="Times New Roman"/>
          <w:noProof/>
          <w:lang w:val="sk-SK"/>
        </w:rPr>
      </w:pPr>
    </w:p>
    <w:p w14:paraId="42C260BF" w14:textId="77777777" w:rsidR="002D49B0" w:rsidRPr="00083739" w:rsidRDefault="00BF4125">
      <w:pPr>
        <w:rPr>
          <w:rFonts w:ascii="Times New Roman" w:hAnsi="Times New Roman" w:cs="Times New Roman"/>
          <w:noProof/>
          <w:lang w:val="sk-SK"/>
        </w:rPr>
      </w:pPr>
      <w:r w:rsidRPr="00083739">
        <w:rPr>
          <w:rFonts w:ascii="Times New Roman" w:hAnsi="Times New Roman" w:cs="Times New Roman"/>
          <w:noProof/>
          <w:lang w:val="sk-SK"/>
        </w:rPr>
        <w:br w:type="page"/>
      </w:r>
    </w:p>
    <w:p w14:paraId="360647D8" w14:textId="77777777" w:rsidR="002D49B0" w:rsidRPr="00083739" w:rsidRDefault="002D49B0">
      <w:pPr>
        <w:rPr>
          <w:rFonts w:ascii="Times New Roman" w:hAnsi="Times New Roman" w:cs="Times New Roman"/>
          <w:noProof/>
          <w:lang w:val="sk-SK"/>
        </w:rPr>
      </w:pPr>
    </w:p>
    <w:p w14:paraId="29FEF5BF" w14:textId="71AF36DF" w:rsidR="002D49B0" w:rsidRPr="00083739" w:rsidRDefault="00BF4125">
      <w:pPr>
        <w:pStyle w:val="P68B1DB1-Normal6"/>
        <w:keepNext/>
        <w:keepLines/>
        <w:spacing w:before="240" w:after="240" w:line="240" w:lineRule="auto"/>
        <w:jc w:val="both"/>
        <w:outlineLvl w:val="4"/>
        <w:rPr>
          <w:rFonts w:ascii="Times New Roman" w:eastAsia="Times New Roman" w:hAnsi="Times New Roman" w:cs="Times New Roman"/>
          <w:noProof/>
          <w:lang w:val="sk-SK"/>
        </w:rPr>
      </w:pPr>
      <w:r w:rsidRPr="00083739">
        <w:rPr>
          <w:rFonts w:ascii="Times New Roman" w:hAnsi="Times New Roman" w:cs="Times New Roman"/>
          <w:noProof/>
          <w:lang w:val="sk-SK"/>
        </w:rPr>
        <w:t>Investícia 2: Energetická účinnosť</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podpora obnoviteľných zdrojov energie pre vlastnú spotrebu (ID opatrenia: 16994)</w:t>
      </w:r>
    </w:p>
    <w:tbl>
      <w:tblPr>
        <w:tblpPr w:leftFromText="180" w:rightFromText="180" w:vertAnchor="text" w:tblpX="113" w:tblpY="1"/>
        <w:tblOverlap w:val="neve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
        <w:gridCol w:w="1859"/>
        <w:gridCol w:w="1092"/>
        <w:gridCol w:w="1579"/>
        <w:gridCol w:w="1229"/>
        <w:gridCol w:w="1323"/>
        <w:gridCol w:w="917"/>
        <w:gridCol w:w="966"/>
        <w:gridCol w:w="1116"/>
        <w:gridCol w:w="916"/>
        <w:gridCol w:w="2565"/>
      </w:tblGrid>
      <w:tr w:rsidR="002D49B0" w:rsidRPr="00083739" w14:paraId="0318F6F1" w14:textId="77777777">
        <w:trPr>
          <w:trHeight w:val="558"/>
          <w:tblHeader/>
        </w:trPr>
        <w:tc>
          <w:tcPr>
            <w:tcW w:w="1043" w:type="dxa"/>
            <w:vMerge w:val="restart"/>
            <w:shd w:val="clear" w:color="auto" w:fill="B8CCE4" w:themeFill="accent1" w:themeFillTint="66"/>
            <w:noWrap/>
            <w:vAlign w:val="center"/>
          </w:tcPr>
          <w:p w14:paraId="352676C8" w14:textId="77777777" w:rsidR="002D49B0" w:rsidRPr="00083739" w:rsidRDefault="00BF4125">
            <w:pPr>
              <w:pStyle w:val="P68B1DB1-Normal7"/>
              <w:spacing w:after="0" w:line="240" w:lineRule="auto"/>
              <w:jc w:val="center"/>
              <w:rPr>
                <w:rFonts w:eastAsia="Times New Roman" w:cs="Times New Roman"/>
                <w:noProof/>
                <w:color w:val="006100"/>
                <w:szCs w:val="18"/>
                <w:lang w:val="sk-SK"/>
              </w:rPr>
            </w:pPr>
            <w:r w:rsidRPr="00083739">
              <w:rPr>
                <w:rFonts w:cs="Times New Roman"/>
                <w:noProof/>
                <w:lang w:val="sk-SK"/>
              </w:rPr>
              <w:t>Poradové číslo</w:t>
            </w:r>
          </w:p>
        </w:tc>
        <w:tc>
          <w:tcPr>
            <w:tcW w:w="1952" w:type="dxa"/>
            <w:vMerge w:val="restart"/>
            <w:shd w:val="clear" w:color="auto" w:fill="B8CCE4" w:themeFill="accent1" w:themeFillTint="66"/>
            <w:noWrap/>
            <w:vAlign w:val="center"/>
          </w:tcPr>
          <w:p w14:paraId="1FA79AB2" w14:textId="77777777" w:rsidR="002D49B0" w:rsidRPr="00083739" w:rsidRDefault="00BF4125">
            <w:pPr>
              <w:pStyle w:val="P68B1DB1-Normal7"/>
              <w:spacing w:after="0" w:line="240" w:lineRule="auto"/>
              <w:jc w:val="center"/>
              <w:rPr>
                <w:rFonts w:eastAsia="Times New Roman" w:cs="Times New Roman"/>
                <w:noProof/>
                <w:color w:val="006100"/>
                <w:szCs w:val="18"/>
                <w:lang w:val="sk-SK"/>
              </w:rPr>
            </w:pPr>
            <w:r w:rsidRPr="00083739">
              <w:rPr>
                <w:rFonts w:cs="Times New Roman"/>
                <w:noProof/>
                <w:lang w:val="sk-SK"/>
              </w:rPr>
              <w:t>Súvisiace opatrenie (reforma alebo investícia)</w:t>
            </w:r>
          </w:p>
        </w:tc>
        <w:tc>
          <w:tcPr>
            <w:tcW w:w="1142" w:type="dxa"/>
            <w:vMerge w:val="restart"/>
            <w:shd w:val="clear" w:color="auto" w:fill="B8CCE4" w:themeFill="accent1" w:themeFillTint="66"/>
            <w:noWrap/>
            <w:vAlign w:val="center"/>
          </w:tcPr>
          <w:p w14:paraId="7BE64F70" w14:textId="77777777" w:rsidR="002D49B0" w:rsidRPr="00083739" w:rsidRDefault="00BF4125">
            <w:pPr>
              <w:pStyle w:val="P68B1DB1-Normal7"/>
              <w:spacing w:after="0" w:line="240" w:lineRule="auto"/>
              <w:jc w:val="center"/>
              <w:rPr>
                <w:rFonts w:eastAsia="Times New Roman" w:cs="Times New Roman"/>
                <w:noProof/>
                <w:color w:val="006100"/>
                <w:szCs w:val="18"/>
                <w:lang w:val="sk-SK"/>
              </w:rPr>
            </w:pPr>
            <w:r w:rsidRPr="00083739">
              <w:rPr>
                <w:rFonts w:cs="Times New Roman"/>
                <w:noProof/>
                <w:lang w:val="sk-SK"/>
              </w:rPr>
              <w:t>Míľnik/cieľ</w:t>
            </w:r>
          </w:p>
        </w:tc>
        <w:tc>
          <w:tcPr>
            <w:tcW w:w="1234" w:type="dxa"/>
            <w:vMerge w:val="restart"/>
            <w:shd w:val="clear" w:color="auto" w:fill="B8CCE4" w:themeFill="accent1" w:themeFillTint="66"/>
            <w:noWrap/>
            <w:vAlign w:val="center"/>
          </w:tcPr>
          <w:p w14:paraId="4D828568" w14:textId="77777777" w:rsidR="002D49B0" w:rsidRPr="00083739" w:rsidRDefault="00BF4125">
            <w:pPr>
              <w:pStyle w:val="P68B1DB1-Normal7"/>
              <w:spacing w:after="0" w:line="240" w:lineRule="auto"/>
              <w:jc w:val="center"/>
              <w:rPr>
                <w:rFonts w:eastAsia="Times New Roman" w:cs="Times New Roman"/>
                <w:noProof/>
                <w:color w:val="006100"/>
                <w:szCs w:val="18"/>
                <w:lang w:val="sk-SK"/>
              </w:rPr>
            </w:pPr>
            <w:r w:rsidRPr="00083739">
              <w:rPr>
                <w:rFonts w:cs="Times New Roman"/>
                <w:noProof/>
                <w:lang w:val="sk-SK"/>
              </w:rPr>
              <w:t>Názov</w:t>
            </w:r>
          </w:p>
        </w:tc>
        <w:tc>
          <w:tcPr>
            <w:tcW w:w="1286" w:type="dxa"/>
            <w:vMerge w:val="restart"/>
            <w:shd w:val="clear" w:color="auto" w:fill="B8CCE4" w:themeFill="accent1" w:themeFillTint="66"/>
            <w:noWrap/>
            <w:vAlign w:val="center"/>
          </w:tcPr>
          <w:p w14:paraId="2344BB3A" w14:textId="77777777" w:rsidR="002D49B0" w:rsidRPr="00083739" w:rsidRDefault="00BF4125">
            <w:pPr>
              <w:pStyle w:val="P68B1DB1-Normal7"/>
              <w:spacing w:after="0" w:line="240" w:lineRule="auto"/>
              <w:jc w:val="center"/>
              <w:rPr>
                <w:rFonts w:eastAsia="Times New Roman" w:cs="Times New Roman"/>
                <w:noProof/>
                <w:color w:val="006100"/>
                <w:szCs w:val="18"/>
                <w:lang w:val="sk-SK"/>
              </w:rPr>
            </w:pPr>
            <w:r w:rsidRPr="00083739">
              <w:rPr>
                <w:rFonts w:cs="Times New Roman"/>
                <w:noProof/>
                <w:lang w:val="sk-SK"/>
              </w:rPr>
              <w:t>Kvalitatívne ukazovatele (pre míľniky)</w:t>
            </w:r>
          </w:p>
        </w:tc>
        <w:tc>
          <w:tcPr>
            <w:tcW w:w="3045" w:type="dxa"/>
            <w:gridSpan w:val="3"/>
            <w:shd w:val="clear" w:color="auto" w:fill="B8CCE4" w:themeFill="accent1" w:themeFillTint="66"/>
            <w:noWrap/>
            <w:vAlign w:val="center"/>
          </w:tcPr>
          <w:p w14:paraId="1ECF6EBF" w14:textId="77777777" w:rsidR="002D49B0" w:rsidRPr="00083739" w:rsidRDefault="00BF4125">
            <w:pPr>
              <w:pStyle w:val="P68B1DB1-Normal7"/>
              <w:spacing w:after="0" w:line="240" w:lineRule="auto"/>
              <w:jc w:val="center"/>
              <w:rPr>
                <w:rFonts w:eastAsia="Times New Roman" w:cs="Times New Roman"/>
                <w:noProof/>
                <w:color w:val="006100"/>
                <w:szCs w:val="18"/>
                <w:lang w:val="sk-SK"/>
              </w:rPr>
            </w:pPr>
            <w:r w:rsidRPr="00083739">
              <w:rPr>
                <w:rFonts w:cs="Times New Roman"/>
                <w:noProof/>
                <w:lang w:val="sk-SK"/>
              </w:rPr>
              <w:t>Kvantitatívne ukazovatele (pre ciele)</w:t>
            </w:r>
          </w:p>
        </w:tc>
        <w:tc>
          <w:tcPr>
            <w:tcW w:w="1912" w:type="dxa"/>
            <w:gridSpan w:val="2"/>
            <w:shd w:val="clear" w:color="auto" w:fill="B8CCE4" w:themeFill="accent1" w:themeFillTint="66"/>
            <w:noWrap/>
            <w:vAlign w:val="center"/>
          </w:tcPr>
          <w:p w14:paraId="16D86497" w14:textId="77777777" w:rsidR="002D49B0" w:rsidRPr="00083739" w:rsidRDefault="00BF4125">
            <w:pPr>
              <w:pStyle w:val="P68B1DB1-Normal7"/>
              <w:spacing w:after="0" w:line="240" w:lineRule="auto"/>
              <w:jc w:val="center"/>
              <w:rPr>
                <w:rFonts w:eastAsia="Times New Roman" w:cs="Times New Roman"/>
                <w:noProof/>
                <w:color w:val="006100"/>
                <w:szCs w:val="18"/>
                <w:lang w:val="sk-SK"/>
              </w:rPr>
            </w:pPr>
            <w:r w:rsidRPr="00083739">
              <w:rPr>
                <w:rFonts w:cs="Times New Roman"/>
                <w:noProof/>
                <w:lang w:val="sk-SK"/>
              </w:rPr>
              <w:t xml:space="preserve">Orientačný </w:t>
            </w:r>
            <w:r w:rsidRPr="00083739">
              <w:rPr>
                <w:rFonts w:cs="Times New Roman"/>
                <w:noProof/>
                <w:lang w:val="sk-SK"/>
              </w:rPr>
              <w:t>harmonogram dokončenia</w:t>
            </w:r>
          </w:p>
        </w:tc>
        <w:tc>
          <w:tcPr>
            <w:tcW w:w="2698" w:type="dxa"/>
            <w:vMerge w:val="restart"/>
            <w:shd w:val="clear" w:color="auto" w:fill="B8CCE4" w:themeFill="accent1" w:themeFillTint="66"/>
            <w:noWrap/>
            <w:vAlign w:val="center"/>
          </w:tcPr>
          <w:p w14:paraId="0697A81C" w14:textId="45ADDB74" w:rsidR="002D49B0" w:rsidRPr="00083739" w:rsidRDefault="00BF4125">
            <w:pPr>
              <w:pStyle w:val="P68B1DB1-Normal7"/>
              <w:spacing w:after="0" w:line="240" w:lineRule="auto"/>
              <w:jc w:val="center"/>
              <w:rPr>
                <w:rFonts w:eastAsia="Times New Roman" w:cs="Times New Roman"/>
                <w:noProof/>
                <w:color w:val="006100"/>
                <w:szCs w:val="18"/>
                <w:lang w:val="sk-SK"/>
              </w:rPr>
            </w:pPr>
            <w:r w:rsidRPr="00083739">
              <w:rPr>
                <w:rFonts w:cs="Times New Roman"/>
                <w:noProof/>
                <w:lang w:val="sk-SK"/>
              </w:rPr>
              <w:t>Opis každého míľnika</w:t>
            </w:r>
            <w:r w:rsidR="00083739" w:rsidRPr="00083739">
              <w:rPr>
                <w:rFonts w:cs="Times New Roman"/>
                <w:noProof/>
                <w:lang w:val="sk-SK"/>
              </w:rPr>
              <w:t xml:space="preserve"> a </w:t>
            </w:r>
            <w:r w:rsidRPr="00083739">
              <w:rPr>
                <w:rFonts w:cs="Times New Roman"/>
                <w:noProof/>
                <w:lang w:val="sk-SK"/>
              </w:rPr>
              <w:t>cieľa</w:t>
            </w:r>
          </w:p>
        </w:tc>
      </w:tr>
      <w:tr w:rsidR="002D49B0" w:rsidRPr="00083739" w14:paraId="1F0929BA" w14:textId="77777777">
        <w:trPr>
          <w:trHeight w:val="557"/>
        </w:trPr>
        <w:tc>
          <w:tcPr>
            <w:tcW w:w="1043" w:type="dxa"/>
            <w:vMerge/>
            <w:noWrap/>
            <w:vAlign w:val="center"/>
          </w:tcPr>
          <w:p w14:paraId="6FC63AF0"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952" w:type="dxa"/>
            <w:vMerge/>
            <w:noWrap/>
            <w:vAlign w:val="center"/>
          </w:tcPr>
          <w:p w14:paraId="22CFFCA8"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142" w:type="dxa"/>
            <w:vMerge/>
            <w:noWrap/>
            <w:vAlign w:val="center"/>
          </w:tcPr>
          <w:p w14:paraId="201C7FFE"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234" w:type="dxa"/>
            <w:vMerge/>
            <w:noWrap/>
            <w:vAlign w:val="center"/>
          </w:tcPr>
          <w:p w14:paraId="0066E747"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286" w:type="dxa"/>
            <w:vMerge/>
            <w:noWrap/>
            <w:vAlign w:val="center"/>
          </w:tcPr>
          <w:p w14:paraId="06C34485"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152" w:type="dxa"/>
            <w:shd w:val="clear" w:color="auto" w:fill="B8CCE4" w:themeFill="accent1" w:themeFillTint="66"/>
            <w:noWrap/>
            <w:vAlign w:val="center"/>
          </w:tcPr>
          <w:p w14:paraId="0C285EDD"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Merná jednotka</w:t>
            </w:r>
          </w:p>
        </w:tc>
        <w:tc>
          <w:tcPr>
            <w:tcW w:w="885" w:type="dxa"/>
            <w:shd w:val="clear" w:color="auto" w:fill="B8CCE4" w:themeFill="accent1" w:themeFillTint="66"/>
            <w:vAlign w:val="center"/>
          </w:tcPr>
          <w:p w14:paraId="03CBFD26"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Základná</w:t>
            </w:r>
          </w:p>
        </w:tc>
        <w:tc>
          <w:tcPr>
            <w:tcW w:w="1008" w:type="dxa"/>
            <w:shd w:val="clear" w:color="auto" w:fill="B8CCE4" w:themeFill="accent1" w:themeFillTint="66"/>
            <w:vAlign w:val="center"/>
          </w:tcPr>
          <w:p w14:paraId="43BB6037"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Cieľ</w:t>
            </w:r>
          </w:p>
        </w:tc>
        <w:tc>
          <w:tcPr>
            <w:tcW w:w="956" w:type="dxa"/>
            <w:shd w:val="clear" w:color="auto" w:fill="B8CCE4" w:themeFill="accent1" w:themeFillTint="66"/>
            <w:noWrap/>
            <w:vAlign w:val="center"/>
          </w:tcPr>
          <w:p w14:paraId="066706E0"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Štvrtina</w:t>
            </w:r>
          </w:p>
        </w:tc>
        <w:tc>
          <w:tcPr>
            <w:tcW w:w="956" w:type="dxa"/>
            <w:shd w:val="clear" w:color="auto" w:fill="B8CCE4" w:themeFill="accent1" w:themeFillTint="66"/>
            <w:vAlign w:val="center"/>
          </w:tcPr>
          <w:p w14:paraId="397F6EF5"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Rok</w:t>
            </w:r>
          </w:p>
        </w:tc>
        <w:tc>
          <w:tcPr>
            <w:tcW w:w="2698" w:type="dxa"/>
            <w:vMerge/>
            <w:noWrap/>
          </w:tcPr>
          <w:p w14:paraId="68D06D97"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r>
      <w:tr w:rsidR="002D49B0" w:rsidRPr="00083739" w14:paraId="7415466F" w14:textId="77777777">
        <w:trPr>
          <w:trHeight w:val="300"/>
        </w:trPr>
        <w:tc>
          <w:tcPr>
            <w:tcW w:w="1043" w:type="dxa"/>
            <w:shd w:val="clear" w:color="auto" w:fill="C6EFCE"/>
            <w:noWrap/>
          </w:tcPr>
          <w:p w14:paraId="3D927F5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367</w:t>
            </w:r>
          </w:p>
        </w:tc>
        <w:tc>
          <w:tcPr>
            <w:tcW w:w="1952" w:type="dxa"/>
            <w:shd w:val="clear" w:color="auto" w:fill="C6EFCE"/>
            <w:noWrap/>
          </w:tcPr>
          <w:p w14:paraId="382B097D" w14:textId="65B88105"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21 – 5.2 Investície REPowerEU – 16994_Energetická efektívnosť</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podpora OZE pre vlastnú spotrebu </w:t>
            </w:r>
          </w:p>
        </w:tc>
        <w:tc>
          <w:tcPr>
            <w:tcW w:w="1142" w:type="dxa"/>
            <w:shd w:val="clear" w:color="auto" w:fill="C6EFCE"/>
            <w:noWrap/>
          </w:tcPr>
          <w:p w14:paraId="6617C9B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234" w:type="dxa"/>
            <w:shd w:val="clear" w:color="auto" w:fill="C6EFCE"/>
            <w:noWrap/>
          </w:tcPr>
          <w:p w14:paraId="39A15781"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Spustenie podporných programov</w:t>
            </w:r>
          </w:p>
        </w:tc>
        <w:tc>
          <w:tcPr>
            <w:tcW w:w="1286" w:type="dxa"/>
            <w:shd w:val="clear" w:color="auto" w:fill="C6EFCE"/>
            <w:noWrap/>
          </w:tcPr>
          <w:p w14:paraId="7DA6BF49"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152" w:type="dxa"/>
            <w:shd w:val="clear" w:color="auto" w:fill="C6EFCE"/>
            <w:noWrap/>
          </w:tcPr>
          <w:p w14:paraId="0105420B"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885" w:type="dxa"/>
            <w:shd w:val="clear" w:color="auto" w:fill="C6EFCE"/>
            <w:noWrap/>
          </w:tcPr>
          <w:p w14:paraId="41C3507A"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008" w:type="dxa"/>
            <w:shd w:val="clear" w:color="auto" w:fill="C6EFCE"/>
            <w:noWrap/>
          </w:tcPr>
          <w:p w14:paraId="7CF31FCD"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56" w:type="dxa"/>
            <w:shd w:val="clear" w:color="auto" w:fill="C6EFCE"/>
            <w:noWrap/>
          </w:tcPr>
          <w:p w14:paraId="1617EBB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ŠTVRTÝ </w:t>
            </w:r>
            <w:r w:rsidRPr="00083739">
              <w:rPr>
                <w:rFonts w:ascii="Times New Roman" w:hAnsi="Times New Roman" w:cs="Times New Roman"/>
                <w:noProof/>
                <w:lang w:val="sk-SK"/>
              </w:rPr>
              <w:t>ŠTVRŤROK</w:t>
            </w:r>
          </w:p>
        </w:tc>
        <w:tc>
          <w:tcPr>
            <w:tcW w:w="956" w:type="dxa"/>
            <w:shd w:val="clear" w:color="auto" w:fill="C6EFCE"/>
            <w:noWrap/>
          </w:tcPr>
          <w:p w14:paraId="2EBAA93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2023</w:t>
            </w:r>
          </w:p>
        </w:tc>
        <w:tc>
          <w:tcPr>
            <w:tcW w:w="2698" w:type="dxa"/>
            <w:shd w:val="clear" w:color="auto" w:fill="C6EFCE"/>
            <w:noWrap/>
          </w:tcPr>
          <w:p w14:paraId="0F93C138" w14:textId="094EC618"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Nadobudnutie účinnosti ministerského rozhodnutia</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začatí týchto podporných programov</w:t>
            </w:r>
            <w:r w:rsidR="00083739" w:rsidRPr="00083739">
              <w:rPr>
                <w:rFonts w:ascii="Times New Roman" w:hAnsi="Times New Roman" w:cs="Times New Roman"/>
                <w:noProof/>
                <w:lang w:val="sk-SK"/>
              </w:rPr>
              <w:t>:</w:t>
            </w:r>
          </w:p>
          <w:p w14:paraId="2AE96693" w14:textId="31291191"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p w14:paraId="5710D0BF" w14:textId="1167B9A9" w:rsidR="002D49B0" w:rsidRPr="00083739" w:rsidRDefault="00BF4125">
            <w:pPr>
              <w:pStyle w:val="P68B1DB1-ListParagraph20"/>
              <w:numPr>
                <w:ilvl w:val="0"/>
                <w:numId w:val="77"/>
              </w:numPr>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Energetická obnova obytných budov vrátane vytvorenia výberového procesu</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 xml:space="preserve">cieľom zabezpečiť, aby sa spotreba primárnej energie obytných jednotiek znížila </w:t>
            </w:r>
            <w:r w:rsidRPr="00083739">
              <w:rPr>
                <w:rFonts w:ascii="Times New Roman" w:hAnsi="Times New Roman" w:cs="Times New Roman"/>
                <w:noProof/>
                <w:lang w:val="sk-SK"/>
              </w:rPr>
              <w:t>aspoň</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30</w:t>
            </w:r>
            <w:r w:rsidR="00083739" w:rsidRPr="00083739">
              <w:rPr>
                <w:rFonts w:ascii="Times New Roman" w:hAnsi="Times New Roman" w:cs="Times New Roman"/>
                <w:noProof/>
                <w:lang w:val="sk-SK"/>
              </w:rPr>
              <w:t> % v </w:t>
            </w:r>
            <w:r w:rsidRPr="00083739">
              <w:rPr>
                <w:rFonts w:ascii="Times New Roman" w:hAnsi="Times New Roman" w:cs="Times New Roman"/>
                <w:noProof/>
                <w:lang w:val="sk-SK"/>
              </w:rPr>
              <w:t>porovnaní</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počiatočnou hospodárnosťou rezidencie vypočítanou</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kWh/m</w:t>
            </w:r>
            <w:r w:rsidRPr="00083739">
              <w:rPr>
                <w:rFonts w:ascii="Times New Roman" w:hAnsi="Times New Roman" w:cs="Times New Roman"/>
                <w:noProof/>
                <w:vertAlign w:val="superscript"/>
                <w:lang w:val="sk-SK"/>
              </w:rPr>
              <w:t>2</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energeticky chudobných domácností, sa podporuje vo forme zvýšeného percentuálneho podielu grantov.</w:t>
            </w:r>
          </w:p>
          <w:p w14:paraId="29B93FF5" w14:textId="610D3583" w:rsidR="00083739" w:rsidRPr="00083739" w:rsidRDefault="00BF4125">
            <w:pPr>
              <w:pStyle w:val="P68B1DB1-ListParagraph20"/>
              <w:numPr>
                <w:ilvl w:val="0"/>
                <w:numId w:val="77"/>
              </w:numPr>
              <w:spacing w:after="0" w:line="240" w:lineRule="auto"/>
              <w:rPr>
                <w:rFonts w:ascii="Times New Roman" w:hAnsi="Times New Roman" w:cs="Times New Roman"/>
                <w:noProof/>
                <w:lang w:val="sk-SK"/>
              </w:rPr>
            </w:pPr>
            <w:r w:rsidRPr="00083739">
              <w:rPr>
                <w:rFonts w:ascii="Times New Roman" w:hAnsi="Times New Roman" w:cs="Times New Roman"/>
                <w:noProof/>
                <w:lang w:val="sk-SK"/>
              </w:rPr>
              <w:t>Energetická efektívnosť budov verejného sektora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súkromného sektora </w:t>
            </w:r>
            <w:r w:rsidRPr="00083739">
              <w:rPr>
                <w:rFonts w:ascii="Times New Roman" w:hAnsi="Times New Roman" w:cs="Times New Roman"/>
                <w:noProof/>
                <w:lang w:val="sk-SK"/>
              </w:rPr>
              <w:t>(nebytové budovy) vrátane vytvorenia výberového konania</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cieľom zabezpečiť, aby sa spotreba primárnej energie príjemcov znížila aspoň</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30</w:t>
            </w:r>
            <w:r w:rsidR="00083739" w:rsidRPr="00083739">
              <w:rPr>
                <w:rFonts w:ascii="Times New Roman" w:hAnsi="Times New Roman" w:cs="Times New Roman"/>
                <w:noProof/>
                <w:lang w:val="sk-SK"/>
              </w:rPr>
              <w:t> % v </w:t>
            </w:r>
            <w:r w:rsidRPr="00083739">
              <w:rPr>
                <w:rFonts w:ascii="Times New Roman" w:hAnsi="Times New Roman" w:cs="Times New Roman"/>
                <w:noProof/>
                <w:lang w:val="sk-SK"/>
              </w:rPr>
              <w:t>porovnaní</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počiatočnou hospodárnosťou rezidencie vypočítanou</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kWh/m</w:t>
            </w:r>
            <w:r w:rsidRPr="00083739">
              <w:rPr>
                <w:rFonts w:ascii="Times New Roman" w:hAnsi="Times New Roman" w:cs="Times New Roman"/>
                <w:noProof/>
                <w:vertAlign w:val="superscript"/>
                <w:lang w:val="sk-SK"/>
              </w:rPr>
              <w:t>2</w:t>
            </w:r>
            <w:r w:rsidR="00083739" w:rsidRPr="00083739">
              <w:rPr>
                <w:rFonts w:ascii="Times New Roman" w:hAnsi="Times New Roman" w:cs="Times New Roman"/>
                <w:noProof/>
                <w:lang w:val="sk-SK"/>
              </w:rPr>
              <w:t>.</w:t>
            </w:r>
          </w:p>
          <w:p w14:paraId="1610D10E" w14:textId="1B3129D0" w:rsidR="002D49B0" w:rsidRPr="00083739" w:rsidRDefault="00BF4125">
            <w:pPr>
              <w:pStyle w:val="P68B1DB1-ListParagraph20"/>
              <w:numPr>
                <w:ilvl w:val="0"/>
                <w:numId w:val="77"/>
              </w:numPr>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 Fotovoltické systémy pre vlastnú spotrebu</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bytových budovách</w:t>
            </w:r>
            <w:r w:rsidR="00083739" w:rsidRPr="00083739">
              <w:rPr>
                <w:rFonts w:ascii="Times New Roman" w:hAnsi="Times New Roman" w:cs="Times New Roman"/>
                <w:noProof/>
                <w:lang w:val="sk-SK"/>
              </w:rPr>
              <w:t xml:space="preserve"> a v </w:t>
            </w:r>
            <w:r w:rsidRPr="00083739">
              <w:rPr>
                <w:rFonts w:ascii="Times New Roman" w:hAnsi="Times New Roman" w:cs="Times New Roman"/>
                <w:noProof/>
                <w:lang w:val="sk-SK"/>
              </w:rPr>
              <w:t>odvetví poľnohospodárstva.</w:t>
            </w:r>
          </w:p>
          <w:p w14:paraId="1E30D54A" w14:textId="4B46D2E4" w:rsidR="002D49B0" w:rsidRPr="00083739" w:rsidRDefault="00BF4125">
            <w:pPr>
              <w:pStyle w:val="ListParagraph"/>
              <w:numPr>
                <w:ilvl w:val="0"/>
                <w:numId w:val="77"/>
              </w:numPr>
              <w:spacing w:after="0" w:line="240" w:lineRule="auto"/>
              <w:rPr>
                <w:rFonts w:ascii="Times New Roman" w:eastAsia="Times New Roman" w:hAnsi="Times New Roman" w:cs="Times New Roman"/>
                <w:noProof/>
                <w:color w:val="006100"/>
                <w:sz w:val="18"/>
                <w:szCs w:val="18"/>
                <w:lang w:val="sk-SK"/>
              </w:rPr>
            </w:pPr>
            <w:r w:rsidRPr="00083739">
              <w:rPr>
                <w:rFonts w:ascii="Times New Roman" w:hAnsi="Times New Roman" w:cs="Times New Roman"/>
                <w:noProof/>
                <w:color w:val="006100"/>
                <w:sz w:val="18"/>
                <w:lang w:val="sk-SK"/>
              </w:rPr>
              <w:t>Systémy vykurovania vody</w:t>
            </w:r>
            <w:r w:rsidR="00083739" w:rsidRPr="00083739">
              <w:rPr>
                <w:rFonts w:ascii="Times New Roman" w:hAnsi="Times New Roman" w:cs="Times New Roman"/>
                <w:noProof/>
                <w:color w:val="006100"/>
                <w:sz w:val="18"/>
                <w:lang w:val="sk-SK"/>
              </w:rPr>
              <w:t xml:space="preserve"> z </w:t>
            </w:r>
            <w:r w:rsidRPr="00083739">
              <w:rPr>
                <w:rFonts w:ascii="Times New Roman" w:hAnsi="Times New Roman" w:cs="Times New Roman"/>
                <w:noProof/>
                <w:color w:val="006100"/>
                <w:sz w:val="18"/>
                <w:lang w:val="sk-SK"/>
              </w:rPr>
              <w:t>obnoviteľných zdrojov pre domácnosti na podporu zavádzania obnoviteľných zdrojov energie</w:t>
            </w:r>
            <w:r w:rsidR="00083739" w:rsidRPr="00083739">
              <w:rPr>
                <w:rFonts w:ascii="Times New Roman" w:hAnsi="Times New Roman" w:cs="Times New Roman"/>
                <w:noProof/>
                <w:color w:val="006100"/>
                <w:sz w:val="18"/>
                <w:lang w:val="sk-SK"/>
              </w:rPr>
              <w:t xml:space="preserve"> v </w:t>
            </w:r>
            <w:r w:rsidRPr="00083739">
              <w:rPr>
                <w:rFonts w:ascii="Times New Roman" w:hAnsi="Times New Roman" w:cs="Times New Roman"/>
                <w:noProof/>
                <w:color w:val="006100"/>
                <w:sz w:val="18"/>
                <w:lang w:val="sk-SK"/>
              </w:rPr>
              <w:t xml:space="preserve">obytných budovách prostredníctvom: </w:t>
            </w:r>
            <w:r w:rsidRPr="00083739">
              <w:rPr>
                <w:rFonts w:ascii="Times New Roman" w:hAnsi="Times New Roman" w:cs="Times New Roman"/>
                <w:noProof/>
                <w:lang w:val="sk-SK"/>
              </w:rPr>
              <w:t xml:space="preserve"> </w:t>
            </w:r>
            <w:r w:rsidRPr="00083739">
              <w:rPr>
                <w:rFonts w:ascii="Times New Roman" w:hAnsi="Times New Roman" w:cs="Times New Roman"/>
                <w:noProof/>
                <w:color w:val="006100"/>
                <w:sz w:val="18"/>
                <w:lang w:val="sk-SK"/>
              </w:rPr>
              <w:t>inštalác</w:t>
            </w:r>
            <w:r w:rsidRPr="00083739">
              <w:rPr>
                <w:rFonts w:ascii="Times New Roman" w:hAnsi="Times New Roman" w:cs="Times New Roman"/>
                <w:noProof/>
                <w:color w:val="006100"/>
                <w:sz w:val="18"/>
                <w:lang w:val="sk-SK"/>
              </w:rPr>
              <w:t>ia nových solárnych ohrievačov vody, tepelných čerpadiel</w:t>
            </w:r>
            <w:r w:rsidR="00083739" w:rsidRPr="00083739">
              <w:rPr>
                <w:rFonts w:ascii="Times New Roman" w:hAnsi="Times New Roman" w:cs="Times New Roman"/>
                <w:noProof/>
                <w:color w:val="006100"/>
                <w:sz w:val="18"/>
                <w:lang w:val="sk-SK"/>
              </w:rPr>
              <w:t xml:space="preserve"> a </w:t>
            </w:r>
            <w:r w:rsidRPr="00083739">
              <w:rPr>
                <w:rFonts w:ascii="Times New Roman" w:hAnsi="Times New Roman" w:cs="Times New Roman"/>
                <w:noProof/>
                <w:color w:val="006100"/>
                <w:sz w:val="18"/>
                <w:lang w:val="sk-SK"/>
              </w:rPr>
              <w:t>systémov obnoviteľných zdrojov energie</w:t>
            </w:r>
            <w:r w:rsidR="00083739" w:rsidRPr="00083739">
              <w:rPr>
                <w:rFonts w:ascii="Times New Roman" w:hAnsi="Times New Roman" w:cs="Times New Roman"/>
                <w:noProof/>
                <w:color w:val="006100"/>
                <w:sz w:val="18"/>
                <w:lang w:val="sk-SK"/>
              </w:rPr>
              <w:t xml:space="preserve"> s </w:t>
            </w:r>
            <w:r w:rsidRPr="00083739">
              <w:rPr>
                <w:rFonts w:ascii="Times New Roman" w:hAnsi="Times New Roman" w:cs="Times New Roman"/>
                <w:noProof/>
                <w:color w:val="006100"/>
                <w:sz w:val="18"/>
                <w:lang w:val="sk-SK"/>
              </w:rPr>
              <w:t>využitím nových moderných technológií alebo nahradenie elektrických ohrievačov vody spotrebúvajúcich energiu</w:t>
            </w:r>
            <w:r w:rsidR="00083739" w:rsidRPr="00083739">
              <w:rPr>
                <w:rFonts w:ascii="Times New Roman" w:hAnsi="Times New Roman" w:cs="Times New Roman"/>
                <w:noProof/>
                <w:color w:val="006100"/>
                <w:sz w:val="18"/>
                <w:lang w:val="sk-SK"/>
              </w:rPr>
              <w:t xml:space="preserve"> s </w:t>
            </w:r>
            <w:r w:rsidRPr="00083739">
              <w:rPr>
                <w:rFonts w:ascii="Times New Roman" w:hAnsi="Times New Roman" w:cs="Times New Roman"/>
                <w:noProof/>
                <w:color w:val="006100"/>
                <w:sz w:val="18"/>
                <w:lang w:val="sk-SK"/>
              </w:rPr>
              <w:t xml:space="preserve">použitím starej technológie novými solárnymi </w:t>
            </w:r>
            <w:r w:rsidRPr="00083739">
              <w:rPr>
                <w:rFonts w:ascii="Times New Roman" w:hAnsi="Times New Roman" w:cs="Times New Roman"/>
                <w:noProof/>
                <w:color w:val="006100"/>
                <w:sz w:val="18"/>
                <w:lang w:val="sk-SK"/>
              </w:rPr>
              <w:t>ohrievačmi vody, tepelnými čerpadlami</w:t>
            </w:r>
            <w:r w:rsidR="00083739" w:rsidRPr="00083739">
              <w:rPr>
                <w:rFonts w:ascii="Times New Roman" w:hAnsi="Times New Roman" w:cs="Times New Roman"/>
                <w:noProof/>
                <w:color w:val="006100"/>
                <w:sz w:val="18"/>
                <w:lang w:val="sk-SK"/>
              </w:rPr>
              <w:t xml:space="preserve"> a </w:t>
            </w:r>
            <w:r w:rsidRPr="00083739">
              <w:rPr>
                <w:rFonts w:ascii="Times New Roman" w:hAnsi="Times New Roman" w:cs="Times New Roman"/>
                <w:noProof/>
                <w:color w:val="006100"/>
                <w:sz w:val="18"/>
                <w:lang w:val="sk-SK"/>
              </w:rPr>
              <w:t>systémami obnoviteľných zdrojov energie</w:t>
            </w:r>
            <w:r w:rsidR="00083739" w:rsidRPr="00083739">
              <w:rPr>
                <w:rFonts w:ascii="Times New Roman" w:hAnsi="Times New Roman" w:cs="Times New Roman"/>
                <w:noProof/>
                <w:color w:val="006100"/>
                <w:sz w:val="18"/>
                <w:lang w:val="sk-SK"/>
              </w:rPr>
              <w:t xml:space="preserve"> s </w:t>
            </w:r>
            <w:r w:rsidRPr="00083739">
              <w:rPr>
                <w:rFonts w:ascii="Times New Roman" w:hAnsi="Times New Roman" w:cs="Times New Roman"/>
                <w:noProof/>
                <w:color w:val="006100"/>
                <w:sz w:val="18"/>
                <w:lang w:val="sk-SK"/>
              </w:rPr>
              <w:t>využitím nových moderných technológií. Energeticky chudobné domácnosti sa podporujú vo forme zvýšeného percentuálneho podielu grantov (uplatniteľné len na solárne ohrievače v</w:t>
            </w:r>
            <w:r w:rsidRPr="00083739">
              <w:rPr>
                <w:rFonts w:ascii="Times New Roman" w:hAnsi="Times New Roman" w:cs="Times New Roman"/>
                <w:noProof/>
                <w:color w:val="006100"/>
                <w:sz w:val="18"/>
                <w:lang w:val="sk-SK"/>
              </w:rPr>
              <w:t>ody).</w:t>
            </w:r>
          </w:p>
          <w:p w14:paraId="52732B22" w14:textId="11F0E5D8" w:rsidR="002D49B0" w:rsidRPr="00083739" w:rsidRDefault="00BF4125">
            <w:pPr>
              <w:pStyle w:val="P68B1DB1-ListParagraph20"/>
              <w:numPr>
                <w:ilvl w:val="0"/>
                <w:numId w:val="77"/>
              </w:numPr>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Podpora opatrení energetickej efektívnosti</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komunálnych vodohospodárskych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kanalizačných spoločnostiach prostredníctvom i) zníženia spotreby energie čerpacích staníc</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prečerpávacích motorov;</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ii) vykonať štúdie na optimálne vykonávanie opatrení n</w:t>
            </w:r>
            <w:r w:rsidRPr="00083739">
              <w:rPr>
                <w:rFonts w:ascii="Times New Roman" w:hAnsi="Times New Roman" w:cs="Times New Roman"/>
                <w:noProof/>
                <w:lang w:val="sk-SK"/>
              </w:rPr>
              <w:t>a ďalšie zlepšenie energetickej efektívnosti týchto spoločností.</w:t>
            </w:r>
          </w:p>
          <w:p w14:paraId="274A9A7C" w14:textId="77777777" w:rsidR="002D49B0" w:rsidRPr="00083739" w:rsidRDefault="00BF4125">
            <w:pPr>
              <w:pStyle w:val="P68B1DB1-ListParagraph47"/>
              <w:numPr>
                <w:ilvl w:val="0"/>
                <w:numId w:val="77"/>
              </w:numPr>
              <w:spacing w:after="0" w:line="240" w:lineRule="auto"/>
              <w:rPr>
                <w:rFonts w:ascii="Times New Roman" w:hAnsi="Times New Roman" w:cs="Times New Roman"/>
                <w:noProof/>
                <w:lang w:val="sk-SK"/>
              </w:rPr>
            </w:pPr>
            <w:r w:rsidRPr="00083739">
              <w:rPr>
                <w:rFonts w:ascii="Times New Roman" w:hAnsi="Times New Roman" w:cs="Times New Roman"/>
                <w:noProof/>
                <w:lang w:val="sk-SK"/>
              </w:rPr>
              <w:t>Podpora inštalácie systémov uskladňovania batérií pre podniky.</w:t>
            </w:r>
          </w:p>
        </w:tc>
      </w:tr>
      <w:tr w:rsidR="002D49B0" w:rsidRPr="00083739" w14:paraId="47825735" w14:textId="77777777">
        <w:trPr>
          <w:trHeight w:val="300"/>
        </w:trPr>
        <w:tc>
          <w:tcPr>
            <w:tcW w:w="1043" w:type="dxa"/>
            <w:shd w:val="clear" w:color="auto" w:fill="C6EFCE"/>
            <w:noWrap/>
          </w:tcPr>
          <w:p w14:paraId="6F3C03C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368</w:t>
            </w:r>
          </w:p>
        </w:tc>
        <w:tc>
          <w:tcPr>
            <w:tcW w:w="1952" w:type="dxa"/>
            <w:shd w:val="clear" w:color="auto" w:fill="C6EFCE"/>
            <w:noWrap/>
          </w:tcPr>
          <w:p w14:paraId="6C6A32C6" w14:textId="79364273"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21 – 5.2 Investície REPowerEU – 16994_Energetická efektívnosť</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podpora OZE pre vlastnú spotrebu</w:t>
            </w:r>
          </w:p>
        </w:tc>
        <w:tc>
          <w:tcPr>
            <w:tcW w:w="1142" w:type="dxa"/>
            <w:shd w:val="clear" w:color="auto" w:fill="C6EFCE"/>
            <w:noWrap/>
          </w:tcPr>
          <w:p w14:paraId="412AC067" w14:textId="77777777" w:rsidR="002D49B0" w:rsidRPr="00083739" w:rsidRDefault="00BF4125">
            <w:pPr>
              <w:pStyle w:val="P68B1DB1-Normal9"/>
              <w:spacing w:after="0" w:line="240" w:lineRule="auto"/>
              <w:rPr>
                <w:rFonts w:ascii="Times New Roman" w:eastAsia="Times New Roman" w:hAnsi="Times New Roman" w:cs="Times New Roman"/>
                <w:noProof/>
                <w:szCs w:val="18"/>
                <w:highlight w:val="yellow"/>
                <w:lang w:val="sk-SK"/>
              </w:rPr>
            </w:pPr>
            <w:r w:rsidRPr="00083739">
              <w:rPr>
                <w:rFonts w:ascii="Times New Roman" w:hAnsi="Times New Roman" w:cs="Times New Roman"/>
                <w:noProof/>
                <w:lang w:val="sk-SK"/>
              </w:rPr>
              <w:t xml:space="preserve"> Cieľ</w:t>
            </w:r>
          </w:p>
        </w:tc>
        <w:tc>
          <w:tcPr>
            <w:tcW w:w="1234" w:type="dxa"/>
            <w:shd w:val="clear" w:color="auto" w:fill="C6EFCE"/>
            <w:noWrap/>
          </w:tcPr>
          <w:p w14:paraId="20240D9B" w14:textId="6171F43F"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Inštalácia </w:t>
            </w:r>
            <w:r w:rsidRPr="00083739">
              <w:rPr>
                <w:rFonts w:ascii="Times New Roman" w:hAnsi="Times New Roman" w:cs="Times New Roman"/>
                <w:noProof/>
                <w:lang w:val="sk-SK"/>
              </w:rPr>
              <w:t>fotovoltických systémov pre vlastnú spotrebu</w:t>
            </w:r>
          </w:p>
        </w:tc>
        <w:tc>
          <w:tcPr>
            <w:tcW w:w="1286" w:type="dxa"/>
            <w:shd w:val="clear" w:color="auto" w:fill="C6EFCE"/>
            <w:noWrap/>
          </w:tcPr>
          <w:p w14:paraId="222AB326"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152" w:type="dxa"/>
            <w:shd w:val="clear" w:color="auto" w:fill="C6EFCE"/>
            <w:noWrap/>
          </w:tcPr>
          <w:p w14:paraId="5B27895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Počet nainštalovaných fotovoltických systémov</w:t>
            </w:r>
          </w:p>
        </w:tc>
        <w:tc>
          <w:tcPr>
            <w:tcW w:w="885" w:type="dxa"/>
            <w:shd w:val="clear" w:color="auto" w:fill="C6EFCE"/>
            <w:noWrap/>
          </w:tcPr>
          <w:p w14:paraId="16CD25A7"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0</w:t>
            </w:r>
          </w:p>
        </w:tc>
        <w:tc>
          <w:tcPr>
            <w:tcW w:w="1008" w:type="dxa"/>
            <w:shd w:val="clear" w:color="auto" w:fill="C6EFCE"/>
            <w:noWrap/>
          </w:tcPr>
          <w:p w14:paraId="572A36FB"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11 580</w:t>
            </w:r>
          </w:p>
        </w:tc>
        <w:tc>
          <w:tcPr>
            <w:tcW w:w="956" w:type="dxa"/>
            <w:shd w:val="clear" w:color="auto" w:fill="C6EFCE"/>
            <w:noWrap/>
          </w:tcPr>
          <w:p w14:paraId="098C27AF" w14:textId="6BB41131"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956" w:type="dxa"/>
            <w:shd w:val="clear" w:color="auto" w:fill="C6EFCE"/>
            <w:noWrap/>
          </w:tcPr>
          <w:p w14:paraId="60DB18A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2024</w:t>
            </w:r>
          </w:p>
        </w:tc>
        <w:tc>
          <w:tcPr>
            <w:tcW w:w="2698" w:type="dxa"/>
            <w:shd w:val="clear" w:color="auto" w:fill="C6EFCE"/>
            <w:noWrap/>
          </w:tcPr>
          <w:p w14:paraId="504D7B5C" w14:textId="474BB12C" w:rsidR="002D49B0" w:rsidRPr="00083739" w:rsidRDefault="00BF4125">
            <w:pPr>
              <w:pStyle w:val="P68B1DB1-Normal9"/>
              <w:spacing w:after="0" w:line="240" w:lineRule="auto"/>
              <w:rPr>
                <w:rFonts w:ascii="Times New Roman" w:eastAsia="Times New Roman" w:hAnsi="Times New Roman" w:cs="Times New Roman"/>
                <w:noProof/>
                <w:szCs w:val="18"/>
                <w:highlight w:val="yellow"/>
                <w:lang w:val="sk-SK"/>
              </w:rPr>
            </w:pPr>
            <w:r w:rsidRPr="00083739">
              <w:rPr>
                <w:rFonts w:ascii="Times New Roman" w:hAnsi="Times New Roman" w:cs="Times New Roman"/>
                <w:noProof/>
                <w:lang w:val="sk-SK"/>
              </w:rPr>
              <w:t>Fotovoltické (PV) systémy na vlastnú spotrebu</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bytových budovách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odvetví poľnohospodárstva: 11580 nainštalovaných fotovoltických sys</w:t>
            </w:r>
            <w:r w:rsidRPr="00083739">
              <w:rPr>
                <w:rFonts w:ascii="Times New Roman" w:hAnsi="Times New Roman" w:cs="Times New Roman"/>
                <w:noProof/>
                <w:lang w:val="sk-SK"/>
              </w:rPr>
              <w:t>témov,</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toho 900 pre energeticky chudobné domácnosti</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360 pre poľnohospodárov.</w:t>
            </w:r>
          </w:p>
        </w:tc>
      </w:tr>
      <w:tr w:rsidR="002D49B0" w:rsidRPr="00083739" w14:paraId="338F77B9" w14:textId="77777777">
        <w:trPr>
          <w:trHeight w:val="300"/>
        </w:trPr>
        <w:tc>
          <w:tcPr>
            <w:tcW w:w="1043" w:type="dxa"/>
            <w:shd w:val="clear" w:color="auto" w:fill="C6EFCE"/>
            <w:noWrap/>
          </w:tcPr>
          <w:p w14:paraId="6E585D79"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369</w:t>
            </w:r>
          </w:p>
        </w:tc>
        <w:tc>
          <w:tcPr>
            <w:tcW w:w="1952" w:type="dxa"/>
            <w:shd w:val="clear" w:color="auto" w:fill="C6EFCE"/>
            <w:noWrap/>
          </w:tcPr>
          <w:p w14:paraId="4F06E743" w14:textId="4084C629"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21 – 5.2 Investície REPowerEU – 16994_Energetická efektívnosť</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podpora OZE pre vlastnú spotrebu</w:t>
            </w:r>
          </w:p>
        </w:tc>
        <w:tc>
          <w:tcPr>
            <w:tcW w:w="1142" w:type="dxa"/>
            <w:shd w:val="clear" w:color="auto" w:fill="C6EFCE"/>
            <w:noWrap/>
          </w:tcPr>
          <w:p w14:paraId="56E2DC5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Cieľ</w:t>
            </w:r>
          </w:p>
        </w:tc>
        <w:tc>
          <w:tcPr>
            <w:tcW w:w="1234" w:type="dxa"/>
            <w:shd w:val="clear" w:color="auto" w:fill="C6EFCE"/>
            <w:noWrap/>
          </w:tcPr>
          <w:p w14:paraId="582CD29F" w14:textId="6B803DA6"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Dokončenie čiastkových investícií do obnovy zameranej na energetickú</w:t>
            </w:r>
            <w:r w:rsidRPr="00083739">
              <w:rPr>
                <w:rFonts w:ascii="Times New Roman" w:hAnsi="Times New Roman" w:cs="Times New Roman"/>
                <w:noProof/>
                <w:lang w:val="sk-SK"/>
              </w:rPr>
              <w:t xml:space="preserve"> efektívnosť, solárnych ohrievačov vody, tepelných čerpadiel, zásahov</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energetickej efektívnosti</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komunálnych vodohospodárskych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kanalizačných spoločnostiach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systémov uskladňovania batérií pre podniky.</w:t>
            </w:r>
          </w:p>
        </w:tc>
        <w:tc>
          <w:tcPr>
            <w:tcW w:w="1286" w:type="dxa"/>
            <w:shd w:val="clear" w:color="auto" w:fill="C6EFCE"/>
            <w:noWrap/>
          </w:tcPr>
          <w:p w14:paraId="4A98FABF"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152" w:type="dxa"/>
            <w:shd w:val="clear" w:color="auto" w:fill="C6EFCE"/>
            <w:noWrap/>
          </w:tcPr>
          <w:p w14:paraId="10BF6EF5" w14:textId="77777777"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1a</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b, 2</w:t>
            </w:r>
            <w:r w:rsidR="00083739" w:rsidRPr="00083739">
              <w:rPr>
                <w:rFonts w:ascii="Times New Roman" w:hAnsi="Times New Roman" w:cs="Times New Roman"/>
                <w:noProof/>
                <w:lang w:val="sk-SK"/>
              </w:rPr>
              <w:t xml:space="preserve"> a</w:t>
            </w:r>
          </w:p>
          <w:p w14:paraId="2C2F0633" w14:textId="037DEB7B"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3: Počet</w:t>
            </w:r>
          </w:p>
          <w:p w14:paraId="5978BEEC" w14:textId="6D0B7532" w:rsidR="002D49B0" w:rsidRPr="00083739" w:rsidRDefault="00BF4125">
            <w:pPr>
              <w:pStyle w:val="P68B1DB1-Normal9"/>
              <w:spacing w:after="0" w:line="240" w:lineRule="auto"/>
              <w:rPr>
                <w:rFonts w:ascii="Times New Roman" w:hAnsi="Times New Roman" w:cs="Times New Roman"/>
                <w:noProof/>
                <w:szCs w:val="18"/>
                <w:lang w:val="sk-SK"/>
              </w:rPr>
            </w:pPr>
            <w:r w:rsidRPr="00083739">
              <w:rPr>
                <w:rFonts w:ascii="Times New Roman" w:hAnsi="Times New Roman" w:cs="Times New Roman"/>
                <w:noProof/>
                <w:lang w:val="sk-SK"/>
              </w:rPr>
              <w:t xml:space="preserve">4. Kapacita (v MW) </w:t>
            </w:r>
            <w:r w:rsidRPr="00083739">
              <w:rPr>
                <w:rFonts w:ascii="Times New Roman" w:hAnsi="Times New Roman" w:cs="Times New Roman"/>
                <w:noProof/>
                <w:lang w:val="sk-SK"/>
              </w:rPr>
              <w:t>inštalovaného zásobníka batérie</w:t>
            </w:r>
          </w:p>
        </w:tc>
        <w:tc>
          <w:tcPr>
            <w:tcW w:w="885" w:type="dxa"/>
            <w:shd w:val="clear" w:color="auto" w:fill="C6EFCE"/>
            <w:noWrap/>
          </w:tcPr>
          <w:p w14:paraId="084140A6"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0</w:t>
            </w:r>
          </w:p>
        </w:tc>
        <w:tc>
          <w:tcPr>
            <w:tcW w:w="1008" w:type="dxa"/>
            <w:shd w:val="clear" w:color="auto" w:fill="C6EFCE"/>
            <w:noWrap/>
          </w:tcPr>
          <w:p w14:paraId="4A59DCC6" w14:textId="6BA61252"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1a. 15 720</w:t>
            </w:r>
          </w:p>
          <w:p w14:paraId="5FBED3F4" w14:textId="77777777"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1b. 140</w:t>
            </w:r>
          </w:p>
          <w:p w14:paraId="527B4300" w14:textId="77777777" w:rsidR="00083739"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2. 130 100</w:t>
            </w:r>
          </w:p>
          <w:p w14:paraId="710036E9" w14:textId="36D63350" w:rsidR="002D49B0" w:rsidRPr="00083739" w:rsidRDefault="00BF4125">
            <w:pPr>
              <w:pStyle w:val="P68B1DB1-Normal9"/>
              <w:spacing w:after="0" w:line="240" w:lineRule="auto"/>
              <w:rPr>
                <w:rFonts w:ascii="Times New Roman" w:hAnsi="Times New Roman" w:cs="Times New Roman"/>
                <w:noProof/>
                <w:lang w:val="sk-SK"/>
              </w:rPr>
            </w:pPr>
            <w:r w:rsidRPr="00083739">
              <w:rPr>
                <w:rFonts w:ascii="Times New Roman" w:hAnsi="Times New Roman" w:cs="Times New Roman"/>
                <w:noProof/>
                <w:lang w:val="sk-SK"/>
              </w:rPr>
              <w:t>3. 15</w:t>
            </w:r>
          </w:p>
          <w:p w14:paraId="30478121" w14:textId="5ADB7E24"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4. 133</w:t>
            </w:r>
          </w:p>
        </w:tc>
        <w:tc>
          <w:tcPr>
            <w:tcW w:w="956" w:type="dxa"/>
            <w:shd w:val="clear" w:color="auto" w:fill="C6EFCE"/>
            <w:noWrap/>
          </w:tcPr>
          <w:p w14:paraId="4231ABD3"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ŠTVRTÝ ŠTVRŤROK</w:t>
            </w:r>
          </w:p>
        </w:tc>
        <w:tc>
          <w:tcPr>
            <w:tcW w:w="956" w:type="dxa"/>
            <w:shd w:val="clear" w:color="auto" w:fill="C6EFCE"/>
            <w:noWrap/>
          </w:tcPr>
          <w:p w14:paraId="06999985"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2698" w:type="dxa"/>
            <w:shd w:val="clear" w:color="auto" w:fill="C6EFCE"/>
            <w:noWrap/>
          </w:tcPr>
          <w:p w14:paraId="59CCAD75" w14:textId="478BCF8C" w:rsidR="00083739" w:rsidRPr="00083739" w:rsidRDefault="00BF4125">
            <w:pPr>
              <w:pStyle w:val="ListParagraph"/>
              <w:numPr>
                <w:ilvl w:val="0"/>
                <w:numId w:val="78"/>
              </w:numPr>
              <w:spacing w:after="0" w:line="240" w:lineRule="auto"/>
              <w:rPr>
                <w:rFonts w:ascii="Times New Roman" w:hAnsi="Times New Roman" w:cs="Times New Roman"/>
                <w:noProof/>
                <w:lang w:val="sk-SK"/>
              </w:rPr>
            </w:pPr>
            <w:r w:rsidRPr="00083739">
              <w:rPr>
                <w:rFonts w:ascii="Times New Roman" w:hAnsi="Times New Roman" w:cs="Times New Roman"/>
                <w:noProof/>
                <w:color w:val="006100"/>
                <w:sz w:val="18"/>
                <w:szCs w:val="18"/>
                <w:lang w:val="sk-SK"/>
              </w:rPr>
              <w:t>a) Energetická obnova obytných budov: Dokončenie renovácií na zlepšenie energetickej efektívnosti dokončených pre 15720 obydlí,</w:t>
            </w:r>
            <w:r w:rsidR="00083739" w:rsidRPr="00083739">
              <w:rPr>
                <w:rFonts w:ascii="Times New Roman" w:hAnsi="Times New Roman" w:cs="Times New Roman"/>
                <w:noProof/>
                <w:color w:val="006100"/>
                <w:sz w:val="18"/>
                <w:szCs w:val="18"/>
                <w:lang w:val="sk-SK"/>
              </w:rPr>
              <w:t xml:space="preserve"> z </w:t>
            </w:r>
            <w:r w:rsidRPr="00083739">
              <w:rPr>
                <w:rFonts w:ascii="Times New Roman" w:hAnsi="Times New Roman" w:cs="Times New Roman"/>
                <w:noProof/>
                <w:color w:val="006100"/>
                <w:sz w:val="18"/>
                <w:szCs w:val="18"/>
                <w:lang w:val="sk-SK"/>
              </w:rPr>
              <w:t xml:space="preserve">ktorých aspoň 3144 musí byť </w:t>
            </w:r>
            <w:r w:rsidRPr="00083739">
              <w:rPr>
                <w:rFonts w:ascii="Times New Roman" w:hAnsi="Times New Roman" w:cs="Times New Roman"/>
                <w:noProof/>
                <w:color w:val="006100"/>
                <w:sz w:val="18"/>
                <w:szCs w:val="18"/>
                <w:lang w:val="sk-SK"/>
              </w:rPr>
              <w:t>pre energeticky chudobné domácnosti</w:t>
            </w:r>
            <w:r w:rsidR="00083739" w:rsidRPr="00083739">
              <w:rPr>
                <w:rFonts w:ascii="Times New Roman" w:hAnsi="Times New Roman" w:cs="Times New Roman"/>
                <w:noProof/>
                <w:color w:val="006100"/>
                <w:sz w:val="18"/>
                <w:szCs w:val="18"/>
                <w:lang w:val="sk-SK"/>
              </w:rPr>
              <w:t xml:space="preserve"> s </w:t>
            </w:r>
            <w:r w:rsidRPr="00083739">
              <w:rPr>
                <w:rFonts w:ascii="Times New Roman" w:hAnsi="Times New Roman" w:cs="Times New Roman"/>
                <w:noProof/>
                <w:color w:val="006100"/>
                <w:sz w:val="18"/>
                <w:szCs w:val="18"/>
                <w:lang w:val="sk-SK"/>
              </w:rPr>
              <w:t>úsporami primárnej energie</w:t>
            </w:r>
            <w:r w:rsidR="00083739" w:rsidRPr="00083739">
              <w:rPr>
                <w:rFonts w:ascii="Times New Roman" w:hAnsi="Times New Roman" w:cs="Times New Roman"/>
                <w:noProof/>
                <w:color w:val="006100"/>
                <w:sz w:val="18"/>
                <w:szCs w:val="18"/>
                <w:lang w:val="sk-SK"/>
              </w:rPr>
              <w:t xml:space="preserve"> v </w:t>
            </w:r>
            <w:r w:rsidRPr="00083739">
              <w:rPr>
                <w:rFonts w:ascii="Times New Roman" w:hAnsi="Times New Roman" w:cs="Times New Roman"/>
                <w:noProof/>
                <w:color w:val="006100"/>
                <w:sz w:val="18"/>
                <w:szCs w:val="18"/>
                <w:lang w:val="sk-SK"/>
              </w:rPr>
              <w:t>priemere aspoň 30</w:t>
            </w:r>
            <w:r w:rsidR="00083739" w:rsidRPr="00083739">
              <w:rPr>
                <w:rFonts w:ascii="Times New Roman" w:hAnsi="Times New Roman" w:cs="Times New Roman"/>
                <w:noProof/>
                <w:color w:val="006100"/>
                <w:sz w:val="18"/>
                <w:szCs w:val="18"/>
                <w:lang w:val="sk-SK"/>
              </w:rPr>
              <w:t> %</w:t>
            </w:r>
            <w:r w:rsidRPr="00083739">
              <w:rPr>
                <w:rFonts w:ascii="Times New Roman" w:hAnsi="Times New Roman" w:cs="Times New Roman"/>
                <w:noProof/>
                <w:color w:val="006100"/>
                <w:sz w:val="18"/>
                <w:szCs w:val="18"/>
                <w:lang w:val="sk-SK"/>
              </w:rPr>
              <w:t xml:space="preserve"> na </w:t>
            </w:r>
            <w:r w:rsidRPr="00083739">
              <w:rPr>
                <w:rFonts w:ascii="Times New Roman" w:hAnsi="Times New Roman" w:cs="Times New Roman"/>
                <w:noProof/>
                <w:lang w:val="sk-SK"/>
              </w:rPr>
              <w:t xml:space="preserve"> základe predložených energetických certifikátov</w:t>
            </w:r>
            <w:r w:rsidR="00083739" w:rsidRPr="00083739">
              <w:rPr>
                <w:rFonts w:ascii="Times New Roman" w:hAnsi="Times New Roman" w:cs="Times New Roman"/>
                <w:noProof/>
                <w:lang w:val="sk-SK"/>
              </w:rPr>
              <w:t>.</w:t>
            </w:r>
          </w:p>
          <w:p w14:paraId="07B3AFDB" w14:textId="4F434990" w:rsidR="002D49B0" w:rsidRPr="00083739" w:rsidRDefault="00BF4125">
            <w:pPr>
              <w:pStyle w:val="P68B1DB1-ListParagraph38"/>
              <w:spacing w:after="0" w:line="240" w:lineRule="auto"/>
              <w:ind w:left="360"/>
              <w:rPr>
                <w:rFonts w:ascii="Times New Roman" w:eastAsia="Times New Roman" w:hAnsi="Times New Roman" w:cs="Times New Roman"/>
                <w:noProof/>
                <w:lang w:val="sk-SK"/>
              </w:rPr>
            </w:pPr>
            <w:r w:rsidRPr="00083739">
              <w:rPr>
                <w:rFonts w:ascii="Times New Roman" w:hAnsi="Times New Roman" w:cs="Times New Roman"/>
                <w:noProof/>
                <w:lang w:val="sk-SK"/>
              </w:rPr>
              <w:t>energetická obnova nebytových verejných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 xml:space="preserve">súkromných budov: Dokončenie renovácií na zlepšenie energetickej </w:t>
            </w:r>
            <w:r w:rsidRPr="00083739">
              <w:rPr>
                <w:rFonts w:ascii="Times New Roman" w:hAnsi="Times New Roman" w:cs="Times New Roman"/>
                <w:noProof/>
                <w:lang w:val="sk-SK"/>
              </w:rPr>
              <w:t>efektívnosti 140 budov</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úsporami primárnej energie</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priemere aspoň 30</w:t>
            </w:r>
            <w:r w:rsidR="00083739" w:rsidRPr="00083739">
              <w:rPr>
                <w:rFonts w:ascii="Times New Roman" w:hAnsi="Times New Roman" w:cs="Times New Roman"/>
                <w:noProof/>
                <w:lang w:val="sk-SK"/>
              </w:rPr>
              <w:t> %</w:t>
            </w:r>
            <w:r w:rsidRPr="00083739">
              <w:rPr>
                <w:rFonts w:ascii="Times New Roman" w:hAnsi="Times New Roman" w:cs="Times New Roman"/>
                <w:noProof/>
                <w:lang w:val="sk-SK"/>
              </w:rPr>
              <w:t>.</w:t>
            </w:r>
          </w:p>
          <w:p w14:paraId="28B7A9A9" w14:textId="4F8E56A6" w:rsidR="00083739" w:rsidRPr="00083739" w:rsidRDefault="00BF4125">
            <w:pPr>
              <w:pStyle w:val="P68B1DB1-ListParagraph20"/>
              <w:numPr>
                <w:ilvl w:val="0"/>
                <w:numId w:val="78"/>
              </w:numPr>
              <w:spacing w:after="0" w:line="240" w:lineRule="auto"/>
              <w:rPr>
                <w:rFonts w:ascii="Times New Roman" w:hAnsi="Times New Roman" w:cs="Times New Roman"/>
                <w:noProof/>
                <w:lang w:val="sk-SK"/>
              </w:rPr>
            </w:pPr>
            <w:r w:rsidRPr="00083739">
              <w:rPr>
                <w:rFonts w:ascii="Times New Roman" w:hAnsi="Times New Roman" w:cs="Times New Roman"/>
                <w:noProof/>
                <w:lang w:val="sk-SK"/>
              </w:rPr>
              <w:t>Systémy ohrevu vody</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obnoviteľných zdrojov: 130100 solárnych systémov na ohrev vody</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tepelných čerpadiel inštalovaných pre domácnosti,</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toho 26020 pre energeticky chudobné domácn</w:t>
            </w:r>
            <w:r w:rsidRPr="00083739">
              <w:rPr>
                <w:rFonts w:ascii="Times New Roman" w:hAnsi="Times New Roman" w:cs="Times New Roman"/>
                <w:noProof/>
                <w:lang w:val="sk-SK"/>
              </w:rPr>
              <w:t>osti</w:t>
            </w:r>
            <w:r w:rsidR="00083739" w:rsidRPr="00083739">
              <w:rPr>
                <w:rFonts w:ascii="Times New Roman" w:hAnsi="Times New Roman" w:cs="Times New Roman"/>
                <w:noProof/>
                <w:lang w:val="sk-SK"/>
              </w:rPr>
              <w:t>.</w:t>
            </w:r>
          </w:p>
          <w:p w14:paraId="01636588" w14:textId="29BCE746" w:rsidR="002D49B0" w:rsidRPr="00083739" w:rsidRDefault="00BF4125">
            <w:pPr>
              <w:pStyle w:val="P68B1DB1-ListParagraph20"/>
              <w:numPr>
                <w:ilvl w:val="0"/>
                <w:numId w:val="78"/>
              </w:numPr>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Podpora energetickej efektívnosti</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komunálnych vodohospodárskych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kanalizačných spoločnostiach: Dokončené intervencie</w:t>
            </w:r>
            <w:r w:rsidR="00083739" w:rsidRPr="00083739">
              <w:rPr>
                <w:rFonts w:ascii="Times New Roman" w:hAnsi="Times New Roman" w:cs="Times New Roman"/>
                <w:noProof/>
                <w:lang w:val="sk-SK"/>
              </w:rPr>
              <w:t xml:space="preserve"> v </w:t>
            </w:r>
            <w:r w:rsidRPr="00083739">
              <w:rPr>
                <w:rFonts w:ascii="Times New Roman" w:hAnsi="Times New Roman" w:cs="Times New Roman"/>
                <w:noProof/>
                <w:lang w:val="sk-SK"/>
              </w:rPr>
              <w:t>oblasti energetickej efektívnosti, ktorých výsledkom sú úspory energie pre najmenej 15 obecných vodohospodárskych</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kanalizačnýc</w:t>
            </w:r>
            <w:r w:rsidRPr="00083739">
              <w:rPr>
                <w:rFonts w:ascii="Times New Roman" w:hAnsi="Times New Roman" w:cs="Times New Roman"/>
                <w:noProof/>
                <w:lang w:val="sk-SK"/>
              </w:rPr>
              <w:t>h spoločností (DEYA).</w:t>
            </w:r>
          </w:p>
          <w:p w14:paraId="5D3ACB20" w14:textId="2823EA11" w:rsidR="002D49B0" w:rsidRPr="00083739" w:rsidRDefault="00BF4125">
            <w:pPr>
              <w:pStyle w:val="P68B1DB1-ListParagraph20"/>
              <w:numPr>
                <w:ilvl w:val="0"/>
                <w:numId w:val="78"/>
              </w:numPr>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Inštalácia batériových skladovacích systémov pre podniky</w:t>
            </w:r>
            <w:r w:rsidR="00083739" w:rsidRPr="00083739">
              <w:rPr>
                <w:rFonts w:ascii="Times New Roman" w:hAnsi="Times New Roman" w:cs="Times New Roman"/>
                <w:noProof/>
                <w:lang w:val="sk-SK"/>
              </w:rPr>
              <w:t xml:space="preserve"> s </w:t>
            </w:r>
            <w:r w:rsidRPr="00083739">
              <w:rPr>
                <w:rFonts w:ascii="Times New Roman" w:hAnsi="Times New Roman" w:cs="Times New Roman"/>
                <w:noProof/>
                <w:lang w:val="sk-SK"/>
              </w:rPr>
              <w:t>celkovou kapacitou 133 MW.</w:t>
            </w:r>
          </w:p>
        </w:tc>
      </w:tr>
    </w:tbl>
    <w:p w14:paraId="2CC7636C" w14:textId="03BB41C2" w:rsidR="002D49B0" w:rsidRPr="00083739" w:rsidRDefault="00BF4125">
      <w:pPr>
        <w:pStyle w:val="P68B1DB1-Normal6"/>
        <w:keepNext/>
        <w:keepLines/>
        <w:spacing w:before="240" w:after="240" w:line="240" w:lineRule="auto"/>
        <w:jc w:val="both"/>
        <w:outlineLvl w:val="4"/>
        <w:rPr>
          <w:rFonts w:ascii="Times New Roman" w:eastAsia="Times New Roman" w:hAnsi="Times New Roman" w:cs="Times New Roman"/>
          <w:noProof/>
          <w:szCs w:val="24"/>
          <w:lang w:val="sk-SK"/>
        </w:rPr>
      </w:pPr>
      <w:r w:rsidRPr="00083739">
        <w:rPr>
          <w:rFonts w:ascii="Times New Roman" w:hAnsi="Times New Roman" w:cs="Times New Roman"/>
          <w:noProof/>
          <w:lang w:val="sk-SK"/>
        </w:rPr>
        <w:t>Investícia 3: Projekt výroby vodíka</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obnoviteľných zdrojov (ID opatrenia: 16995)</w:t>
      </w:r>
    </w:p>
    <w:tbl>
      <w:tblPr>
        <w:tblW w:w="14341" w:type="dxa"/>
        <w:tblInd w:w="113" w:type="dxa"/>
        <w:tblLook w:val="04A0" w:firstRow="1" w:lastRow="0" w:firstColumn="1" w:lastColumn="0" w:noHBand="0" w:noVBand="1"/>
      </w:tblPr>
      <w:tblGrid>
        <w:gridCol w:w="1093"/>
        <w:gridCol w:w="1702"/>
        <w:gridCol w:w="1088"/>
        <w:gridCol w:w="1358"/>
        <w:gridCol w:w="1512"/>
        <w:gridCol w:w="1175"/>
        <w:gridCol w:w="935"/>
        <w:gridCol w:w="698"/>
        <w:gridCol w:w="1138"/>
        <w:gridCol w:w="705"/>
        <w:gridCol w:w="3044"/>
      </w:tblGrid>
      <w:tr w:rsidR="002D49B0" w:rsidRPr="00083739" w14:paraId="40031EDA" w14:textId="77777777">
        <w:trPr>
          <w:trHeight w:val="927"/>
          <w:tblHeader/>
        </w:trPr>
        <w:tc>
          <w:tcPr>
            <w:tcW w:w="112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83DF74E"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Poradové číslo</w:t>
            </w:r>
          </w:p>
        </w:tc>
        <w:tc>
          <w:tcPr>
            <w:tcW w:w="174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C4559B4"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Súvisiace opatrenie (reforma alebo investícia)</w:t>
            </w:r>
          </w:p>
        </w:tc>
        <w:tc>
          <w:tcPr>
            <w:tcW w:w="109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B8F3DAA"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Míľnik/cieľ</w:t>
            </w:r>
          </w:p>
        </w:tc>
        <w:tc>
          <w:tcPr>
            <w:tcW w:w="120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13D4C32"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Názov</w:t>
            </w:r>
          </w:p>
        </w:tc>
        <w:tc>
          <w:tcPr>
            <w:tcW w:w="155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7A0DECC"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Kvalitatívne ukazovatele (pre míľniky)</w:t>
            </w:r>
          </w:p>
        </w:tc>
        <w:tc>
          <w:tcPr>
            <w:tcW w:w="2845" w:type="dxa"/>
            <w:gridSpan w:val="3"/>
            <w:tcBorders>
              <w:top w:val="single" w:sz="4" w:space="0" w:color="auto"/>
              <w:left w:val="single" w:sz="4" w:space="0" w:color="auto"/>
              <w:bottom w:val="single" w:sz="4" w:space="0" w:color="auto"/>
              <w:right w:val="single" w:sz="4" w:space="0" w:color="auto"/>
            </w:tcBorders>
            <w:shd w:val="clear" w:color="auto" w:fill="BDD7EE"/>
            <w:vAlign w:val="center"/>
            <w:hideMark/>
          </w:tcPr>
          <w:p w14:paraId="719020A2"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Kvantitatívne ukazovatele (pre ciele)</w:t>
            </w:r>
          </w:p>
        </w:tc>
        <w:tc>
          <w:tcPr>
            <w:tcW w:w="1642" w:type="dxa"/>
            <w:gridSpan w:val="2"/>
            <w:tcBorders>
              <w:top w:val="single" w:sz="4" w:space="0" w:color="auto"/>
              <w:left w:val="nil"/>
              <w:bottom w:val="single" w:sz="4" w:space="0" w:color="auto"/>
              <w:right w:val="single" w:sz="4" w:space="0" w:color="auto"/>
            </w:tcBorders>
            <w:shd w:val="clear" w:color="auto" w:fill="BDD7EE"/>
            <w:vAlign w:val="center"/>
            <w:hideMark/>
          </w:tcPr>
          <w:p w14:paraId="4140CFAD"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Orientačný harmonogram dokončenia </w:t>
            </w:r>
          </w:p>
        </w:tc>
        <w:tc>
          <w:tcPr>
            <w:tcW w:w="313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E6BFE2E" w14:textId="7C7B03B4"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Opis každého míľnika</w:t>
            </w:r>
            <w:r w:rsidR="00083739" w:rsidRPr="00083739">
              <w:rPr>
                <w:rFonts w:cs="Times New Roman"/>
                <w:noProof/>
                <w:lang w:val="sk-SK"/>
              </w:rPr>
              <w:t xml:space="preserve"> a </w:t>
            </w:r>
            <w:r w:rsidRPr="00083739">
              <w:rPr>
                <w:rFonts w:cs="Times New Roman"/>
                <w:noProof/>
                <w:lang w:val="sk-SK"/>
              </w:rPr>
              <w:t>cieľa</w:t>
            </w:r>
          </w:p>
        </w:tc>
      </w:tr>
      <w:tr w:rsidR="002D49B0" w:rsidRPr="00083739" w14:paraId="20118C91" w14:textId="77777777">
        <w:trPr>
          <w:trHeight w:val="1013"/>
        </w:trPr>
        <w:tc>
          <w:tcPr>
            <w:tcW w:w="1120" w:type="dxa"/>
            <w:vMerge/>
            <w:tcBorders>
              <w:top w:val="single" w:sz="4" w:space="0" w:color="auto"/>
              <w:left w:val="single" w:sz="4" w:space="0" w:color="auto"/>
              <w:bottom w:val="single" w:sz="4" w:space="0" w:color="auto"/>
              <w:right w:val="single" w:sz="4" w:space="0" w:color="auto"/>
            </w:tcBorders>
            <w:vAlign w:val="center"/>
            <w:hideMark/>
          </w:tcPr>
          <w:p w14:paraId="52C359A6"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749" w:type="dxa"/>
            <w:vMerge/>
            <w:tcBorders>
              <w:top w:val="single" w:sz="4" w:space="0" w:color="auto"/>
              <w:left w:val="single" w:sz="4" w:space="0" w:color="auto"/>
              <w:bottom w:val="single" w:sz="4" w:space="0" w:color="auto"/>
              <w:right w:val="single" w:sz="4" w:space="0" w:color="auto"/>
            </w:tcBorders>
            <w:vAlign w:val="center"/>
            <w:hideMark/>
          </w:tcPr>
          <w:p w14:paraId="2B5327F2"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14:paraId="3030454F"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205" w:type="dxa"/>
            <w:vMerge/>
            <w:tcBorders>
              <w:top w:val="single" w:sz="4" w:space="0" w:color="auto"/>
              <w:left w:val="single" w:sz="4" w:space="0" w:color="auto"/>
              <w:bottom w:val="single" w:sz="4" w:space="0" w:color="auto"/>
              <w:right w:val="single" w:sz="4" w:space="0" w:color="auto"/>
            </w:tcBorders>
            <w:vAlign w:val="center"/>
            <w:hideMark/>
          </w:tcPr>
          <w:p w14:paraId="46DFABBC"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553" w:type="dxa"/>
            <w:vMerge/>
            <w:tcBorders>
              <w:top w:val="single" w:sz="4" w:space="0" w:color="auto"/>
              <w:left w:val="single" w:sz="4" w:space="0" w:color="auto"/>
              <w:bottom w:val="single" w:sz="4" w:space="0" w:color="auto"/>
              <w:right w:val="single" w:sz="4" w:space="0" w:color="auto"/>
            </w:tcBorders>
            <w:vAlign w:val="center"/>
            <w:hideMark/>
          </w:tcPr>
          <w:p w14:paraId="0DCC2271"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c>
          <w:tcPr>
            <w:tcW w:w="1205"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6B52060A"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Merná jednotka</w:t>
            </w:r>
          </w:p>
        </w:tc>
        <w:tc>
          <w:tcPr>
            <w:tcW w:w="927"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44BEA84A"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Základná </w:t>
            </w:r>
          </w:p>
        </w:tc>
        <w:tc>
          <w:tcPr>
            <w:tcW w:w="713"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614B060F"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 xml:space="preserve">Cieľ </w:t>
            </w:r>
          </w:p>
        </w:tc>
        <w:tc>
          <w:tcPr>
            <w:tcW w:w="922"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16344BDD"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Štvrtina</w:t>
            </w:r>
          </w:p>
        </w:tc>
        <w:tc>
          <w:tcPr>
            <w:tcW w:w="720"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6F4F0BAA" w14:textId="77777777" w:rsidR="002D49B0" w:rsidRPr="00083739" w:rsidRDefault="00BF4125">
            <w:pPr>
              <w:pStyle w:val="P68B1DB1-Normal7"/>
              <w:spacing w:after="0" w:line="240" w:lineRule="auto"/>
              <w:jc w:val="center"/>
              <w:rPr>
                <w:rFonts w:eastAsia="Times New Roman" w:cs="Times New Roman"/>
                <w:bCs/>
                <w:noProof/>
                <w:szCs w:val="18"/>
                <w:lang w:val="sk-SK"/>
              </w:rPr>
            </w:pPr>
            <w:r w:rsidRPr="00083739">
              <w:rPr>
                <w:rFonts w:cs="Times New Roman"/>
                <w:noProof/>
                <w:lang w:val="sk-SK"/>
              </w:rPr>
              <w:t>Rok</w:t>
            </w:r>
          </w:p>
        </w:tc>
        <w:tc>
          <w:tcPr>
            <w:tcW w:w="3133" w:type="dxa"/>
            <w:vMerge/>
            <w:tcBorders>
              <w:top w:val="single" w:sz="4" w:space="0" w:color="auto"/>
              <w:bottom w:val="single" w:sz="4" w:space="0" w:color="auto"/>
              <w:right w:val="single" w:sz="4" w:space="0" w:color="auto"/>
            </w:tcBorders>
            <w:vAlign w:val="center"/>
            <w:hideMark/>
          </w:tcPr>
          <w:p w14:paraId="467F634E" w14:textId="77777777" w:rsidR="002D49B0" w:rsidRPr="00083739" w:rsidRDefault="002D49B0">
            <w:pPr>
              <w:spacing w:after="0" w:line="240" w:lineRule="auto"/>
              <w:rPr>
                <w:rFonts w:ascii="Times New Roman" w:eastAsia="Times New Roman" w:hAnsi="Times New Roman" w:cs="Times New Roman"/>
                <w:b/>
                <w:bCs/>
                <w:noProof/>
                <w:sz w:val="18"/>
                <w:szCs w:val="18"/>
                <w:lang w:val="sk-SK"/>
              </w:rPr>
            </w:pPr>
          </w:p>
        </w:tc>
      </w:tr>
      <w:tr w:rsidR="002D49B0" w:rsidRPr="00083739" w14:paraId="16C7C52A" w14:textId="77777777">
        <w:tc>
          <w:tcPr>
            <w:tcW w:w="1120" w:type="dxa"/>
            <w:tcBorders>
              <w:top w:val="single" w:sz="4" w:space="0" w:color="auto"/>
              <w:left w:val="single" w:sz="4" w:space="0" w:color="auto"/>
              <w:bottom w:val="single" w:sz="4" w:space="0" w:color="auto"/>
              <w:right w:val="single" w:sz="4" w:space="0" w:color="auto"/>
            </w:tcBorders>
            <w:shd w:val="clear" w:color="auto" w:fill="C6EFCE"/>
            <w:noWrap/>
          </w:tcPr>
          <w:p w14:paraId="5C4A595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370</w:t>
            </w:r>
          </w:p>
        </w:tc>
        <w:tc>
          <w:tcPr>
            <w:tcW w:w="1749" w:type="dxa"/>
            <w:tcBorders>
              <w:top w:val="single" w:sz="4" w:space="0" w:color="auto"/>
              <w:left w:val="nil"/>
              <w:bottom w:val="single" w:sz="4" w:space="0" w:color="auto"/>
              <w:right w:val="single" w:sz="4" w:space="0" w:color="auto"/>
            </w:tcBorders>
            <w:shd w:val="clear" w:color="auto" w:fill="C6EFCE"/>
            <w:noWrap/>
          </w:tcPr>
          <w:p w14:paraId="2B531197" w14:textId="7375C40A" w:rsidR="002D49B0" w:rsidRPr="00083739" w:rsidRDefault="00BF4125">
            <w:pPr>
              <w:pStyle w:val="P68B1DB1-Normal9"/>
              <w:spacing w:after="0" w:line="240" w:lineRule="auto"/>
              <w:rPr>
                <w:rFonts w:ascii="Times New Roman" w:hAnsi="Times New Roman" w:cs="Times New Roman"/>
                <w:noProof/>
                <w:sz w:val="24"/>
                <w:szCs w:val="24"/>
                <w:lang w:val="sk-SK"/>
              </w:rPr>
            </w:pPr>
            <w:r w:rsidRPr="00083739">
              <w:rPr>
                <w:rFonts w:ascii="Times New Roman" w:hAnsi="Times New Roman" w:cs="Times New Roman"/>
                <w:noProof/>
                <w:lang w:val="sk-SK"/>
              </w:rPr>
              <w:t xml:space="preserve">21 – 5.2 Investície REPowerEU – </w:t>
            </w:r>
            <w:r w:rsidRPr="00083739">
              <w:rPr>
                <w:rFonts w:ascii="Times New Roman" w:hAnsi="Times New Roman" w:cs="Times New Roman"/>
                <w:noProof/>
                <w:lang w:val="sk-SK"/>
              </w:rPr>
              <w:t>16995_Projekt výroby obnoviteľného vodíka</w:t>
            </w:r>
          </w:p>
        </w:tc>
        <w:tc>
          <w:tcPr>
            <w:tcW w:w="1094" w:type="dxa"/>
            <w:tcBorders>
              <w:top w:val="single" w:sz="4" w:space="0" w:color="auto"/>
              <w:left w:val="nil"/>
              <w:bottom w:val="single" w:sz="4" w:space="0" w:color="auto"/>
              <w:right w:val="single" w:sz="4" w:space="0" w:color="auto"/>
            </w:tcBorders>
            <w:shd w:val="clear" w:color="auto" w:fill="C6EFCE"/>
            <w:noWrap/>
          </w:tcPr>
          <w:p w14:paraId="2CD6884D"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Míľnik</w:t>
            </w:r>
          </w:p>
        </w:tc>
        <w:tc>
          <w:tcPr>
            <w:tcW w:w="1205" w:type="dxa"/>
            <w:tcBorders>
              <w:top w:val="single" w:sz="4" w:space="0" w:color="auto"/>
              <w:left w:val="nil"/>
              <w:bottom w:val="single" w:sz="4" w:space="0" w:color="auto"/>
              <w:right w:val="single" w:sz="4" w:space="0" w:color="auto"/>
            </w:tcBorders>
            <w:shd w:val="clear" w:color="auto" w:fill="C6EFCE"/>
            <w:noWrap/>
          </w:tcPr>
          <w:p w14:paraId="3D37BF86" w14:textId="16E3EA12"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Vydanie spoločného ministerského rozhodnutia</w:t>
            </w:r>
            <w:r w:rsidR="00083739" w:rsidRPr="00083739">
              <w:rPr>
                <w:rFonts w:ascii="Times New Roman" w:hAnsi="Times New Roman" w:cs="Times New Roman"/>
                <w:noProof/>
                <w:lang w:val="sk-SK"/>
              </w:rPr>
              <w:t xml:space="preserve"> o </w:t>
            </w:r>
            <w:r w:rsidRPr="00083739">
              <w:rPr>
                <w:rFonts w:ascii="Times New Roman" w:hAnsi="Times New Roman" w:cs="Times New Roman"/>
                <w:noProof/>
                <w:lang w:val="sk-SK"/>
              </w:rPr>
              <w:t>poskytnutí grantu príjemcovi</w:t>
            </w:r>
          </w:p>
        </w:tc>
        <w:tc>
          <w:tcPr>
            <w:tcW w:w="1553" w:type="dxa"/>
            <w:tcBorders>
              <w:top w:val="single" w:sz="4" w:space="0" w:color="auto"/>
              <w:left w:val="nil"/>
              <w:bottom w:val="single" w:sz="4" w:space="0" w:color="auto"/>
              <w:right w:val="single" w:sz="4" w:space="0" w:color="auto"/>
            </w:tcBorders>
            <w:shd w:val="clear" w:color="auto" w:fill="C6EFCE"/>
            <w:noWrap/>
          </w:tcPr>
          <w:p w14:paraId="1EBB5172" w14:textId="6A7BD5AA"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Vydanie spoločného ministerského rozhodnutia</w:t>
            </w:r>
          </w:p>
        </w:tc>
        <w:tc>
          <w:tcPr>
            <w:tcW w:w="1205" w:type="dxa"/>
            <w:tcBorders>
              <w:top w:val="single" w:sz="4" w:space="0" w:color="auto"/>
              <w:left w:val="nil"/>
              <w:bottom w:val="single" w:sz="4" w:space="0" w:color="auto"/>
              <w:right w:val="single" w:sz="4" w:space="0" w:color="auto"/>
            </w:tcBorders>
            <w:shd w:val="clear" w:color="auto" w:fill="C6EFCE"/>
            <w:noWrap/>
          </w:tcPr>
          <w:p w14:paraId="13304D1F"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27" w:type="dxa"/>
            <w:tcBorders>
              <w:top w:val="single" w:sz="4" w:space="0" w:color="auto"/>
              <w:left w:val="nil"/>
              <w:bottom w:val="single" w:sz="4" w:space="0" w:color="auto"/>
              <w:right w:val="single" w:sz="4" w:space="0" w:color="auto"/>
            </w:tcBorders>
            <w:shd w:val="clear" w:color="auto" w:fill="C6EFCE"/>
            <w:noWrap/>
          </w:tcPr>
          <w:p w14:paraId="3F0B5569"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713" w:type="dxa"/>
            <w:tcBorders>
              <w:top w:val="single" w:sz="4" w:space="0" w:color="auto"/>
              <w:left w:val="nil"/>
              <w:bottom w:val="single" w:sz="4" w:space="0" w:color="auto"/>
              <w:right w:val="single" w:sz="4" w:space="0" w:color="auto"/>
            </w:tcBorders>
            <w:shd w:val="clear" w:color="auto" w:fill="C6EFCE"/>
            <w:noWrap/>
          </w:tcPr>
          <w:p w14:paraId="30D86AFF"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922" w:type="dxa"/>
            <w:tcBorders>
              <w:top w:val="single" w:sz="4" w:space="0" w:color="auto"/>
              <w:left w:val="nil"/>
              <w:bottom w:val="single" w:sz="4" w:space="0" w:color="auto"/>
              <w:right w:val="single" w:sz="4" w:space="0" w:color="auto"/>
            </w:tcBorders>
            <w:shd w:val="clear" w:color="auto" w:fill="C6EFCE"/>
            <w:noWrap/>
          </w:tcPr>
          <w:p w14:paraId="798D87E8" w14:textId="2BC0C169"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DRUHÝ ŠTVRŤROK</w:t>
            </w:r>
          </w:p>
        </w:tc>
        <w:tc>
          <w:tcPr>
            <w:tcW w:w="720" w:type="dxa"/>
            <w:tcBorders>
              <w:top w:val="single" w:sz="4" w:space="0" w:color="auto"/>
              <w:left w:val="nil"/>
              <w:bottom w:val="single" w:sz="4" w:space="0" w:color="auto"/>
              <w:right w:val="single" w:sz="4" w:space="0" w:color="auto"/>
            </w:tcBorders>
            <w:shd w:val="clear" w:color="auto" w:fill="C6EFCE"/>
            <w:noWrap/>
          </w:tcPr>
          <w:p w14:paraId="45A3D63A"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2024</w:t>
            </w:r>
          </w:p>
        </w:tc>
        <w:tc>
          <w:tcPr>
            <w:tcW w:w="3133" w:type="dxa"/>
            <w:tcBorders>
              <w:top w:val="single" w:sz="4" w:space="0" w:color="auto"/>
              <w:left w:val="nil"/>
              <w:bottom w:val="single" w:sz="4" w:space="0" w:color="auto"/>
              <w:right w:val="single" w:sz="4" w:space="0" w:color="auto"/>
            </w:tcBorders>
            <w:shd w:val="clear" w:color="auto" w:fill="C6EFCE"/>
            <w:noWrap/>
          </w:tcPr>
          <w:p w14:paraId="71E91B43" w14:textId="0BBD7049" w:rsidR="002D49B0" w:rsidRPr="00083739" w:rsidRDefault="00BF4125">
            <w:pPr>
              <w:spacing w:after="0" w:line="240" w:lineRule="auto"/>
              <w:rPr>
                <w:rFonts w:ascii="Times New Roman" w:eastAsia="Times New Roman" w:hAnsi="Times New Roman" w:cs="Times New Roman"/>
                <w:noProof/>
                <w:color w:val="006100"/>
                <w:sz w:val="18"/>
                <w:szCs w:val="18"/>
                <w:lang w:val="sk-SK"/>
              </w:rPr>
            </w:pPr>
            <w:r w:rsidRPr="00083739">
              <w:rPr>
                <w:rFonts w:ascii="Times New Roman" w:hAnsi="Times New Roman" w:cs="Times New Roman"/>
                <w:noProof/>
                <w:color w:val="006100"/>
                <w:sz w:val="18"/>
                <w:szCs w:val="18"/>
                <w:lang w:val="sk-SK"/>
              </w:rPr>
              <w:t>Vydanie spoločného ministerského rozhodnutia</w:t>
            </w:r>
            <w:r w:rsidR="00083739" w:rsidRPr="00083739">
              <w:rPr>
                <w:rFonts w:ascii="Times New Roman" w:hAnsi="Times New Roman" w:cs="Times New Roman"/>
                <w:noProof/>
                <w:color w:val="006100"/>
                <w:sz w:val="18"/>
                <w:szCs w:val="18"/>
                <w:lang w:val="sk-SK"/>
              </w:rPr>
              <w:t xml:space="preserve"> o </w:t>
            </w:r>
            <w:r w:rsidRPr="00083739">
              <w:rPr>
                <w:rFonts w:ascii="Times New Roman" w:hAnsi="Times New Roman" w:cs="Times New Roman"/>
                <w:noProof/>
                <w:color w:val="006100"/>
                <w:sz w:val="18"/>
                <w:szCs w:val="18"/>
                <w:lang w:val="sk-SK"/>
              </w:rPr>
              <w:t xml:space="preserve">poskytnutí </w:t>
            </w:r>
            <w:r w:rsidRPr="00083739">
              <w:rPr>
                <w:rFonts w:ascii="Times New Roman" w:hAnsi="Times New Roman" w:cs="Times New Roman"/>
                <w:noProof/>
                <w:color w:val="006100"/>
                <w:sz w:val="18"/>
                <w:szCs w:val="18"/>
                <w:lang w:val="sk-SK"/>
              </w:rPr>
              <w:t>grantu príjemcovi na najmenej 45 MW nového inštalovaného obnoviteľného vodíka.</w:t>
            </w:r>
            <w:r w:rsidRPr="00083739">
              <w:rPr>
                <w:rFonts w:ascii="Times New Roman" w:hAnsi="Times New Roman" w:cs="Times New Roman"/>
                <w:noProof/>
                <w:lang w:val="sk-SK"/>
              </w:rPr>
              <w:br/>
            </w:r>
          </w:p>
        </w:tc>
      </w:tr>
      <w:tr w:rsidR="002D49B0" w:rsidRPr="00083739" w14:paraId="76359598" w14:textId="77777777">
        <w:tc>
          <w:tcPr>
            <w:tcW w:w="1120" w:type="dxa"/>
            <w:tcBorders>
              <w:top w:val="nil"/>
              <w:left w:val="single" w:sz="4" w:space="0" w:color="auto"/>
              <w:bottom w:val="single" w:sz="4" w:space="0" w:color="auto"/>
              <w:right w:val="single" w:sz="4" w:space="0" w:color="auto"/>
            </w:tcBorders>
            <w:shd w:val="clear" w:color="auto" w:fill="C6EFCE"/>
            <w:noWrap/>
          </w:tcPr>
          <w:p w14:paraId="08E39E6C"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371</w:t>
            </w:r>
          </w:p>
        </w:tc>
        <w:tc>
          <w:tcPr>
            <w:tcW w:w="1749" w:type="dxa"/>
            <w:tcBorders>
              <w:top w:val="nil"/>
              <w:left w:val="nil"/>
              <w:bottom w:val="single" w:sz="4" w:space="0" w:color="auto"/>
              <w:right w:val="single" w:sz="4" w:space="0" w:color="auto"/>
            </w:tcBorders>
            <w:shd w:val="clear" w:color="auto" w:fill="C6EFCE"/>
            <w:noWrap/>
          </w:tcPr>
          <w:p w14:paraId="1F4157A0" w14:textId="2774908F"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21 – 5.2 Investície REPowerEU – 16995_Projekt výroby obnoviteľného vodíka</w:t>
            </w:r>
          </w:p>
        </w:tc>
        <w:tc>
          <w:tcPr>
            <w:tcW w:w="1094" w:type="dxa"/>
            <w:tcBorders>
              <w:top w:val="nil"/>
              <w:left w:val="nil"/>
              <w:bottom w:val="single" w:sz="4" w:space="0" w:color="auto"/>
              <w:right w:val="single" w:sz="4" w:space="0" w:color="auto"/>
            </w:tcBorders>
            <w:shd w:val="clear" w:color="auto" w:fill="C6EFCE"/>
            <w:noWrap/>
          </w:tcPr>
          <w:p w14:paraId="28CB460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Cieľ</w:t>
            </w:r>
          </w:p>
        </w:tc>
        <w:tc>
          <w:tcPr>
            <w:tcW w:w="1205" w:type="dxa"/>
            <w:tcBorders>
              <w:top w:val="nil"/>
              <w:left w:val="nil"/>
              <w:bottom w:val="single" w:sz="4" w:space="0" w:color="auto"/>
              <w:right w:val="single" w:sz="4" w:space="0" w:color="auto"/>
            </w:tcBorders>
            <w:shd w:val="clear" w:color="auto" w:fill="C6EFCE"/>
            <w:noWrap/>
          </w:tcPr>
          <w:p w14:paraId="194B5204" w14:textId="5A4B490B"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Dodatočná kapacita na výrobu vodíka</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obnoviteľných zdrojov</w:t>
            </w:r>
          </w:p>
        </w:tc>
        <w:tc>
          <w:tcPr>
            <w:tcW w:w="1553" w:type="dxa"/>
            <w:tcBorders>
              <w:top w:val="nil"/>
              <w:left w:val="nil"/>
              <w:bottom w:val="single" w:sz="4" w:space="0" w:color="auto"/>
              <w:right w:val="single" w:sz="4" w:space="0" w:color="auto"/>
            </w:tcBorders>
            <w:shd w:val="clear" w:color="auto" w:fill="C6EFCE"/>
            <w:noWrap/>
          </w:tcPr>
          <w:p w14:paraId="79962F81" w14:textId="77777777" w:rsidR="002D49B0" w:rsidRPr="00083739" w:rsidRDefault="002D49B0">
            <w:pPr>
              <w:spacing w:after="0" w:line="240" w:lineRule="auto"/>
              <w:rPr>
                <w:rFonts w:ascii="Times New Roman" w:eastAsia="Times New Roman" w:hAnsi="Times New Roman" w:cs="Times New Roman"/>
                <w:noProof/>
                <w:color w:val="006100"/>
                <w:sz w:val="18"/>
                <w:szCs w:val="18"/>
                <w:lang w:val="sk-SK"/>
              </w:rPr>
            </w:pPr>
          </w:p>
        </w:tc>
        <w:tc>
          <w:tcPr>
            <w:tcW w:w="1205" w:type="dxa"/>
            <w:tcBorders>
              <w:top w:val="nil"/>
              <w:left w:val="nil"/>
              <w:bottom w:val="single" w:sz="4" w:space="0" w:color="auto"/>
              <w:right w:val="single" w:sz="4" w:space="0" w:color="auto"/>
            </w:tcBorders>
            <w:shd w:val="clear" w:color="auto" w:fill="C6EFCE"/>
            <w:noWrap/>
          </w:tcPr>
          <w:p w14:paraId="11A94FB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MW</w:t>
            </w:r>
          </w:p>
        </w:tc>
        <w:tc>
          <w:tcPr>
            <w:tcW w:w="927" w:type="dxa"/>
            <w:tcBorders>
              <w:top w:val="nil"/>
              <w:left w:val="nil"/>
              <w:bottom w:val="single" w:sz="4" w:space="0" w:color="auto"/>
              <w:right w:val="single" w:sz="4" w:space="0" w:color="auto"/>
            </w:tcBorders>
            <w:shd w:val="clear" w:color="auto" w:fill="C6EFCE"/>
            <w:noWrap/>
          </w:tcPr>
          <w:p w14:paraId="2763F008"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0</w:t>
            </w:r>
          </w:p>
        </w:tc>
        <w:tc>
          <w:tcPr>
            <w:tcW w:w="713" w:type="dxa"/>
            <w:tcBorders>
              <w:top w:val="nil"/>
              <w:left w:val="nil"/>
              <w:bottom w:val="single" w:sz="4" w:space="0" w:color="auto"/>
              <w:right w:val="single" w:sz="4" w:space="0" w:color="auto"/>
            </w:tcBorders>
            <w:shd w:val="clear" w:color="auto" w:fill="C6EFCE"/>
            <w:noWrap/>
          </w:tcPr>
          <w:p w14:paraId="3FFC207F"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45</w:t>
            </w:r>
          </w:p>
        </w:tc>
        <w:tc>
          <w:tcPr>
            <w:tcW w:w="922" w:type="dxa"/>
            <w:tcBorders>
              <w:top w:val="nil"/>
              <w:left w:val="nil"/>
              <w:bottom w:val="single" w:sz="4" w:space="0" w:color="auto"/>
              <w:right w:val="single" w:sz="4" w:space="0" w:color="auto"/>
            </w:tcBorders>
            <w:shd w:val="clear" w:color="auto" w:fill="C6EFCE"/>
            <w:noWrap/>
          </w:tcPr>
          <w:p w14:paraId="46778DD0"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 xml:space="preserve">ŠTVRTÝ ŠTVRŤROK </w:t>
            </w:r>
          </w:p>
        </w:tc>
        <w:tc>
          <w:tcPr>
            <w:tcW w:w="720" w:type="dxa"/>
            <w:tcBorders>
              <w:top w:val="nil"/>
              <w:left w:val="nil"/>
              <w:bottom w:val="single" w:sz="4" w:space="0" w:color="auto"/>
              <w:right w:val="single" w:sz="4" w:space="0" w:color="auto"/>
            </w:tcBorders>
            <w:shd w:val="clear" w:color="auto" w:fill="C6EFCE"/>
            <w:noWrap/>
          </w:tcPr>
          <w:p w14:paraId="7388510E" w14:textId="77777777"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2025</w:t>
            </w:r>
          </w:p>
        </w:tc>
        <w:tc>
          <w:tcPr>
            <w:tcW w:w="3133" w:type="dxa"/>
            <w:tcBorders>
              <w:top w:val="nil"/>
              <w:left w:val="nil"/>
              <w:bottom w:val="single" w:sz="4" w:space="0" w:color="auto"/>
              <w:right w:val="single" w:sz="4" w:space="0" w:color="auto"/>
            </w:tcBorders>
            <w:shd w:val="clear" w:color="auto" w:fill="C6EFCE"/>
            <w:noWrap/>
          </w:tcPr>
          <w:p w14:paraId="4F9A86E3" w14:textId="07327895" w:rsidR="002D49B0" w:rsidRPr="00083739" w:rsidRDefault="00BF4125">
            <w:pPr>
              <w:pStyle w:val="P68B1DB1-Normal9"/>
              <w:spacing w:after="0" w:line="240" w:lineRule="auto"/>
              <w:rPr>
                <w:rFonts w:ascii="Times New Roman" w:eastAsia="Times New Roman" w:hAnsi="Times New Roman" w:cs="Times New Roman"/>
                <w:noProof/>
                <w:szCs w:val="18"/>
                <w:lang w:val="sk-SK"/>
              </w:rPr>
            </w:pPr>
            <w:r w:rsidRPr="00083739">
              <w:rPr>
                <w:rFonts w:ascii="Times New Roman" w:hAnsi="Times New Roman" w:cs="Times New Roman"/>
                <w:noProof/>
                <w:lang w:val="sk-SK"/>
              </w:rPr>
              <w:t>Dodatočná inštalovaná kapacita výroby vodíka</w:t>
            </w:r>
            <w:r w:rsidR="00083739" w:rsidRPr="00083739">
              <w:rPr>
                <w:rFonts w:ascii="Times New Roman" w:hAnsi="Times New Roman" w:cs="Times New Roman"/>
                <w:noProof/>
                <w:lang w:val="sk-SK"/>
              </w:rPr>
              <w:t xml:space="preserve"> z </w:t>
            </w:r>
            <w:r w:rsidRPr="00083739">
              <w:rPr>
                <w:rFonts w:ascii="Times New Roman" w:hAnsi="Times New Roman" w:cs="Times New Roman"/>
                <w:noProof/>
                <w:lang w:val="sk-SK"/>
              </w:rPr>
              <w:t xml:space="preserve">obnoviteľných zdrojov.  </w:t>
            </w:r>
          </w:p>
        </w:tc>
      </w:tr>
    </w:tbl>
    <w:p w14:paraId="49E01B34" w14:textId="77777777" w:rsidR="002D49B0" w:rsidRPr="00083739" w:rsidRDefault="00BF4125">
      <w:pPr>
        <w:pStyle w:val="NormalWeb"/>
        <w:keepNext/>
        <w:spacing w:before="40" w:after="0" w:line="259" w:lineRule="auto"/>
        <w:ind w:left="130" w:firstLine="720"/>
        <w:jc w:val="both"/>
        <w:outlineLvl w:val="1"/>
        <w:rPr>
          <w:noProof/>
          <w:lang w:val="sk-SK"/>
        </w:rPr>
        <w:sectPr w:rsidR="002D49B0" w:rsidRPr="00083739" w:rsidSect="007A40E4">
          <w:headerReference w:type="even" r:id="rId363"/>
          <w:headerReference w:type="default" r:id="rId364"/>
          <w:footerReference w:type="even" r:id="rId365"/>
          <w:footerReference w:type="default" r:id="rId366"/>
          <w:headerReference w:type="first" r:id="rId367"/>
          <w:footerReference w:type="first" r:id="rId368"/>
          <w:pgSz w:w="16839" w:h="11907" w:orient="landscape"/>
          <w:pgMar w:top="1417" w:right="1134" w:bottom="1417" w:left="1134" w:header="709" w:footer="327" w:gutter="0"/>
          <w:cols w:space="720"/>
          <w:docGrid w:linePitch="360"/>
        </w:sectPr>
      </w:pPr>
      <w:r w:rsidRPr="00083739">
        <w:rPr>
          <w:noProof/>
          <w:lang w:val="sk-SK"/>
        </w:rPr>
        <w:br w:type="page"/>
      </w:r>
    </w:p>
    <w:p w14:paraId="5DDF82F0" w14:textId="7FF161DF" w:rsidR="002D49B0" w:rsidRPr="00083739" w:rsidRDefault="002D49B0">
      <w:pPr>
        <w:keepNext/>
        <w:spacing w:before="40" w:after="0" w:line="259" w:lineRule="auto"/>
        <w:ind w:left="130" w:firstLine="720"/>
        <w:jc w:val="both"/>
        <w:outlineLvl w:val="1"/>
        <w:rPr>
          <w:rFonts w:ascii="Times New Roman" w:hAnsi="Times New Roman" w:cs="Times New Roman"/>
          <w:noProof/>
          <w:sz w:val="24"/>
          <w:szCs w:val="24"/>
          <w:lang w:val="sk-SK"/>
        </w:rPr>
      </w:pPr>
    </w:p>
    <w:p w14:paraId="62AF2C25" w14:textId="201F673D" w:rsidR="002D49B0" w:rsidRPr="00083739" w:rsidRDefault="00BF4125">
      <w:pPr>
        <w:pStyle w:val="P68B1DB1-Normal25"/>
        <w:keepNext/>
        <w:spacing w:before="40" w:after="0" w:line="259" w:lineRule="auto"/>
        <w:ind w:left="130" w:firstLine="720"/>
        <w:jc w:val="both"/>
        <w:outlineLvl w:val="1"/>
        <w:rPr>
          <w:rFonts w:eastAsia="Times New Roman" w:cs="Times New Roman"/>
          <w:noProof/>
          <w:lang w:val="sk-SK"/>
        </w:rPr>
      </w:pPr>
      <w:r w:rsidRPr="00083739">
        <w:rPr>
          <w:rFonts w:cs="Times New Roman"/>
          <w:noProof/>
          <w:lang w:val="sk-SK"/>
        </w:rPr>
        <w:t>2. Odhadované celkové náklady na plán obnovy</w:t>
      </w:r>
      <w:r w:rsidR="00083739" w:rsidRPr="00083739">
        <w:rPr>
          <w:rFonts w:cs="Times New Roman"/>
          <w:noProof/>
          <w:lang w:val="sk-SK"/>
        </w:rPr>
        <w:t xml:space="preserve"> a </w:t>
      </w:r>
      <w:r w:rsidRPr="00083739">
        <w:rPr>
          <w:rFonts w:cs="Times New Roman"/>
          <w:noProof/>
          <w:lang w:val="sk-SK"/>
        </w:rPr>
        <w:t>odolnosti</w:t>
      </w:r>
    </w:p>
    <w:p w14:paraId="753D640D" w14:textId="71D38BD2" w:rsidR="002D49B0" w:rsidRPr="00083739" w:rsidRDefault="00BF4125">
      <w:pPr>
        <w:pStyle w:val="P68B1DB1-Normal4"/>
        <w:keepNext/>
        <w:spacing w:before="40" w:after="0" w:line="259" w:lineRule="auto"/>
        <w:jc w:val="both"/>
        <w:rPr>
          <w:rFonts w:eastAsia="Times New Roman" w:cs="Times New Roman"/>
          <w:noProof/>
          <w:lang w:val="sk-SK"/>
        </w:rPr>
      </w:pPr>
      <w:r w:rsidRPr="00083739">
        <w:rPr>
          <w:rFonts w:cs="Times New Roman"/>
          <w:noProof/>
          <w:lang w:val="sk-SK"/>
        </w:rPr>
        <w:t>Odhadované celkové náklady na plán obnovy</w:t>
      </w:r>
      <w:r w:rsidR="00083739" w:rsidRPr="00083739">
        <w:rPr>
          <w:rFonts w:cs="Times New Roman"/>
          <w:noProof/>
          <w:lang w:val="sk-SK"/>
        </w:rPr>
        <w:t xml:space="preserve"> a </w:t>
      </w:r>
      <w:r w:rsidRPr="00083739">
        <w:rPr>
          <w:rFonts w:cs="Times New Roman"/>
          <w:noProof/>
          <w:lang w:val="sk-SK"/>
        </w:rPr>
        <w:t xml:space="preserve">odolnosti Grécka </w:t>
      </w:r>
      <w:r w:rsidRPr="00083739">
        <w:rPr>
          <w:rFonts w:cs="Times New Roman"/>
          <w:noProof/>
          <w:lang w:val="sk-SK"/>
        </w:rPr>
        <w:t>predstavujú 36 371 226 245 EUR.</w:t>
      </w:r>
    </w:p>
    <w:p w14:paraId="26A5E3D2" w14:textId="77777777" w:rsidR="00083739" w:rsidRPr="00083739" w:rsidRDefault="00BF4125">
      <w:pPr>
        <w:pStyle w:val="P68B1DB1-Normal48"/>
        <w:keepNext/>
        <w:tabs>
          <w:tab w:val="num" w:pos="850"/>
        </w:tabs>
        <w:spacing w:before="360" w:after="0" w:line="259" w:lineRule="auto"/>
        <w:ind w:hanging="850"/>
        <w:jc w:val="both"/>
        <w:outlineLvl w:val="0"/>
        <w:rPr>
          <w:rFonts w:cs="Times New Roman"/>
          <w:noProof/>
          <w:lang w:val="sk-SK"/>
        </w:rPr>
      </w:pPr>
      <w:r w:rsidRPr="00083739">
        <w:rPr>
          <w:rFonts w:cs="Times New Roman"/>
          <w:noProof/>
          <w:lang w:val="sk-SK"/>
        </w:rPr>
        <w:t>ODDIEL 3: FINANČNÁ PODPORA</w:t>
      </w:r>
    </w:p>
    <w:p w14:paraId="61508EAF" w14:textId="6D531051" w:rsidR="002D49B0" w:rsidRPr="00083739" w:rsidRDefault="002D49B0">
      <w:pPr>
        <w:keepNext/>
        <w:tabs>
          <w:tab w:val="num" w:pos="850"/>
        </w:tabs>
        <w:spacing w:before="360" w:after="0" w:line="259" w:lineRule="auto"/>
        <w:ind w:hanging="850"/>
        <w:jc w:val="both"/>
        <w:outlineLvl w:val="0"/>
        <w:rPr>
          <w:rFonts w:ascii="Times New Roman" w:eastAsia="Times New Roman" w:hAnsi="Times New Roman" w:cs="Times New Roman"/>
          <w:b/>
          <w:smallCaps/>
          <w:noProof/>
          <w:sz w:val="24"/>
          <w:lang w:val="sk-SK"/>
        </w:rPr>
      </w:pPr>
    </w:p>
    <w:p w14:paraId="39146C5B" w14:textId="77777777" w:rsidR="00083739" w:rsidRPr="00083739" w:rsidRDefault="00BF4125">
      <w:pPr>
        <w:pStyle w:val="P68B1DB1-Normal25"/>
        <w:keepNext/>
        <w:numPr>
          <w:ilvl w:val="1"/>
          <w:numId w:val="64"/>
        </w:numPr>
        <w:spacing w:before="40" w:after="0" w:line="259" w:lineRule="auto"/>
        <w:ind w:left="0"/>
        <w:jc w:val="both"/>
        <w:outlineLvl w:val="1"/>
        <w:rPr>
          <w:rFonts w:cs="Times New Roman"/>
          <w:noProof/>
          <w:lang w:val="sk-SK"/>
        </w:rPr>
      </w:pPr>
      <w:r w:rsidRPr="00083739">
        <w:rPr>
          <w:rFonts w:cs="Times New Roman"/>
          <w:noProof/>
          <w:lang w:val="sk-SK"/>
        </w:rPr>
        <w:t>Finančného príspevku</w:t>
      </w:r>
    </w:p>
    <w:p w14:paraId="352561DA" w14:textId="4521B473" w:rsidR="002D49B0" w:rsidRPr="00083739" w:rsidRDefault="00BF4125">
      <w:pPr>
        <w:pStyle w:val="P68B1DB1-Normal4"/>
        <w:keepNext/>
        <w:spacing w:before="40" w:after="0" w:line="259" w:lineRule="auto"/>
        <w:jc w:val="both"/>
        <w:rPr>
          <w:rFonts w:cs="Times New Roman"/>
          <w:noProof/>
          <w:lang w:val="sk-SK"/>
        </w:rPr>
      </w:pPr>
      <w:r w:rsidRPr="00083739">
        <w:rPr>
          <w:rFonts w:cs="Times New Roman"/>
          <w:noProof/>
          <w:lang w:val="sk-SK"/>
        </w:rPr>
        <w:t>Splátky uvedené</w:t>
      </w:r>
      <w:r w:rsidR="00083739" w:rsidRPr="00083739">
        <w:rPr>
          <w:rFonts w:cs="Times New Roman"/>
          <w:noProof/>
          <w:lang w:val="sk-SK"/>
        </w:rPr>
        <w:t xml:space="preserve"> v </w:t>
      </w:r>
      <w:r w:rsidRPr="00083739">
        <w:rPr>
          <w:rFonts w:cs="Times New Roman"/>
          <w:noProof/>
          <w:lang w:val="sk-SK"/>
        </w:rPr>
        <w:t>článku 2 ods. 2 sú štruktúrované takto:</w:t>
      </w:r>
    </w:p>
    <w:p w14:paraId="2294B1DC" w14:textId="77777777" w:rsidR="002D49B0" w:rsidRPr="00083739" w:rsidRDefault="002D49B0">
      <w:pPr>
        <w:keepNext/>
        <w:spacing w:before="40" w:after="0" w:line="259" w:lineRule="auto"/>
        <w:jc w:val="both"/>
        <w:rPr>
          <w:rFonts w:ascii="Times New Roman" w:hAnsi="Times New Roman" w:cs="Times New Roman"/>
          <w:noProof/>
          <w:sz w:val="24"/>
          <w:lang w:val="sk-SK"/>
        </w:rPr>
      </w:pPr>
    </w:p>
    <w:p w14:paraId="7A1A3D05" w14:textId="4971B064" w:rsidR="002D49B0" w:rsidRPr="00083739" w:rsidRDefault="00BF4125">
      <w:pPr>
        <w:pStyle w:val="P68B1DB1-Normal4"/>
        <w:keepNext/>
        <w:numPr>
          <w:ilvl w:val="1"/>
          <w:numId w:val="22"/>
        </w:numPr>
        <w:spacing w:before="40" w:after="160" w:line="259" w:lineRule="auto"/>
        <w:ind w:left="0"/>
        <w:contextualSpacing/>
        <w:jc w:val="both"/>
        <w:rPr>
          <w:rFonts w:eastAsia="Times New Roman" w:cs="Times New Roman"/>
          <w:noProof/>
          <w:lang w:val="sk-SK"/>
        </w:rPr>
      </w:pPr>
      <w:r w:rsidRPr="00083739">
        <w:rPr>
          <w:rFonts w:cs="Times New Roman"/>
          <w:noProof/>
          <w:lang w:val="sk-SK"/>
        </w:rPr>
        <w:t>Prvá žiadosť</w:t>
      </w:r>
      <w:r w:rsidR="00083739" w:rsidRPr="00083739">
        <w:rPr>
          <w:rFonts w:cs="Times New Roman"/>
          <w:noProof/>
          <w:lang w:val="sk-SK"/>
        </w:rPr>
        <w:t xml:space="preserve"> o </w:t>
      </w:r>
      <w:r w:rsidRPr="00083739">
        <w:rPr>
          <w:rFonts w:cs="Times New Roman"/>
          <w:noProof/>
          <w:lang w:val="sk-SK"/>
        </w:rPr>
        <w:t>platbu (nenávratná podpora):</w:t>
      </w:r>
    </w:p>
    <w:tbl>
      <w:tblPr>
        <w:tblpPr w:leftFromText="180" w:rightFromText="180" w:vertAnchor="text" w:horzAnchor="margin" w:tblpXSpec="center" w:tblpY="560"/>
        <w:tblW w:w="9519" w:type="dxa"/>
        <w:tblLook w:val="04A0" w:firstRow="1" w:lastRow="0" w:firstColumn="1" w:lastColumn="0" w:noHBand="0" w:noVBand="1"/>
      </w:tblPr>
      <w:tblGrid>
        <w:gridCol w:w="1804"/>
        <w:gridCol w:w="4283"/>
        <w:gridCol w:w="1701"/>
        <w:gridCol w:w="2153"/>
      </w:tblGrid>
      <w:tr w:rsidR="002D49B0" w:rsidRPr="00083739" w14:paraId="04C5CF59" w14:textId="77777777">
        <w:trPr>
          <w:trHeight w:val="509"/>
          <w:tblHeader/>
        </w:trPr>
        <w:tc>
          <w:tcPr>
            <w:tcW w:w="1804"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5BA3E067" w14:textId="77777777" w:rsidR="002D49B0" w:rsidRPr="00083739" w:rsidRDefault="00BF4125">
            <w:pPr>
              <w:pStyle w:val="P68B1DB1-Normal7"/>
              <w:keepNext/>
              <w:spacing w:before="40" w:after="0" w:line="259" w:lineRule="auto"/>
              <w:jc w:val="center"/>
              <w:rPr>
                <w:rFonts w:eastAsia="Times New Roman" w:cs="Times New Roman"/>
                <w:bCs/>
                <w:noProof/>
                <w:szCs w:val="18"/>
                <w:lang w:val="sk-SK"/>
              </w:rPr>
            </w:pPr>
            <w:r w:rsidRPr="00083739">
              <w:rPr>
                <w:rFonts w:cs="Times New Roman"/>
                <w:noProof/>
                <w:lang w:val="sk-SK"/>
              </w:rPr>
              <w:t>Poradové číslo</w:t>
            </w:r>
          </w:p>
        </w:tc>
        <w:tc>
          <w:tcPr>
            <w:tcW w:w="428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38E4A55D" w14:textId="77777777" w:rsidR="002D49B0" w:rsidRPr="00083739" w:rsidRDefault="00BF4125">
            <w:pPr>
              <w:pStyle w:val="P68B1DB1-Normal7"/>
              <w:keepNext/>
              <w:spacing w:before="40" w:after="0" w:line="259" w:lineRule="auto"/>
              <w:jc w:val="center"/>
              <w:rPr>
                <w:rFonts w:eastAsia="Times New Roman" w:cs="Times New Roman"/>
                <w:bCs/>
                <w:noProof/>
                <w:szCs w:val="18"/>
                <w:lang w:val="sk-SK"/>
              </w:rPr>
            </w:pPr>
            <w:r w:rsidRPr="00083739">
              <w:rPr>
                <w:rFonts w:cs="Times New Roman"/>
                <w:noProof/>
                <w:lang w:val="sk-SK"/>
              </w:rPr>
              <w:t>Súvisiace opatrenie (reforma alebo investícia)</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36A8A160" w14:textId="77777777" w:rsidR="002D49B0" w:rsidRPr="00083739" w:rsidRDefault="00BF4125">
            <w:pPr>
              <w:pStyle w:val="P68B1DB1-Normal7"/>
              <w:keepNext/>
              <w:spacing w:before="40" w:after="0" w:line="259" w:lineRule="auto"/>
              <w:jc w:val="center"/>
              <w:rPr>
                <w:rFonts w:eastAsia="Times New Roman" w:cs="Times New Roman"/>
                <w:bCs/>
                <w:noProof/>
                <w:szCs w:val="18"/>
                <w:lang w:val="sk-SK"/>
              </w:rPr>
            </w:pPr>
            <w:r w:rsidRPr="00083739">
              <w:rPr>
                <w:rFonts w:cs="Times New Roman"/>
                <w:noProof/>
                <w:lang w:val="sk-SK"/>
              </w:rPr>
              <w:t>Míľnik/cieľ</w:t>
            </w:r>
          </w:p>
        </w:tc>
        <w:tc>
          <w:tcPr>
            <w:tcW w:w="2153" w:type="dxa"/>
            <w:vMerge w:val="restart"/>
            <w:tcBorders>
              <w:top w:val="single" w:sz="4" w:space="0" w:color="auto"/>
              <w:left w:val="nil"/>
              <w:bottom w:val="single" w:sz="4" w:space="0" w:color="000000"/>
              <w:right w:val="single" w:sz="4" w:space="0" w:color="auto"/>
            </w:tcBorders>
            <w:shd w:val="clear" w:color="auto" w:fill="BDD7EE"/>
            <w:vAlign w:val="center"/>
            <w:hideMark/>
          </w:tcPr>
          <w:p w14:paraId="7E43A960" w14:textId="77777777" w:rsidR="002D49B0" w:rsidRPr="00083739" w:rsidRDefault="00BF4125">
            <w:pPr>
              <w:pStyle w:val="P68B1DB1-Normal7"/>
              <w:keepNext/>
              <w:spacing w:before="40" w:after="0" w:line="259" w:lineRule="auto"/>
              <w:jc w:val="center"/>
              <w:rPr>
                <w:rFonts w:eastAsia="Times New Roman" w:cs="Times New Roman"/>
                <w:bCs/>
                <w:noProof/>
                <w:szCs w:val="18"/>
                <w:lang w:val="sk-SK"/>
              </w:rPr>
            </w:pPr>
            <w:r w:rsidRPr="00083739">
              <w:rPr>
                <w:rFonts w:cs="Times New Roman"/>
                <w:noProof/>
                <w:lang w:val="sk-SK"/>
              </w:rPr>
              <w:t>Názov</w:t>
            </w:r>
          </w:p>
        </w:tc>
      </w:tr>
      <w:tr w:rsidR="002D49B0" w:rsidRPr="00083739" w14:paraId="07BC3973" w14:textId="77777777">
        <w:trPr>
          <w:trHeight w:val="509"/>
        </w:trPr>
        <w:tc>
          <w:tcPr>
            <w:tcW w:w="1804" w:type="dxa"/>
            <w:vMerge/>
            <w:tcBorders>
              <w:top w:val="single" w:sz="4" w:space="0" w:color="auto"/>
              <w:left w:val="single" w:sz="4" w:space="0" w:color="auto"/>
              <w:bottom w:val="single" w:sz="4" w:space="0" w:color="000000"/>
              <w:right w:val="single" w:sz="4" w:space="0" w:color="auto"/>
            </w:tcBorders>
            <w:vAlign w:val="center"/>
            <w:hideMark/>
          </w:tcPr>
          <w:p w14:paraId="33B04C65"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c>
          <w:tcPr>
            <w:tcW w:w="4283" w:type="dxa"/>
            <w:vMerge/>
            <w:tcBorders>
              <w:top w:val="single" w:sz="4" w:space="0" w:color="auto"/>
              <w:left w:val="single" w:sz="4" w:space="0" w:color="auto"/>
              <w:bottom w:val="single" w:sz="4" w:space="0" w:color="000000"/>
              <w:right w:val="single" w:sz="4" w:space="0" w:color="auto"/>
            </w:tcBorders>
            <w:vAlign w:val="center"/>
            <w:hideMark/>
          </w:tcPr>
          <w:p w14:paraId="0D6F87FA"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0AC027AA"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c>
          <w:tcPr>
            <w:tcW w:w="2153" w:type="dxa"/>
            <w:vMerge/>
            <w:tcBorders>
              <w:top w:val="single" w:sz="4" w:space="0" w:color="auto"/>
              <w:left w:val="nil"/>
              <w:bottom w:val="single" w:sz="4" w:space="0" w:color="000000"/>
              <w:right w:val="single" w:sz="4" w:space="0" w:color="auto"/>
            </w:tcBorders>
            <w:vAlign w:val="center"/>
            <w:hideMark/>
          </w:tcPr>
          <w:p w14:paraId="08BE4DD2"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r>
      <w:tr w:rsidR="002D49B0" w:rsidRPr="00083739" w14:paraId="010210A4" w14:textId="77777777">
        <w:trPr>
          <w:trHeight w:val="302"/>
        </w:trPr>
        <w:tc>
          <w:tcPr>
            <w:tcW w:w="1804" w:type="dxa"/>
            <w:tcBorders>
              <w:top w:val="single" w:sz="4" w:space="0" w:color="auto"/>
              <w:left w:val="single" w:sz="4" w:space="0" w:color="auto"/>
              <w:bottom w:val="single" w:sz="4" w:space="0" w:color="auto"/>
              <w:right w:val="single" w:sz="4" w:space="0" w:color="auto"/>
            </w:tcBorders>
            <w:shd w:val="clear" w:color="000000" w:fill="C6EFCE"/>
            <w:noWrap/>
            <w:vAlign w:val="center"/>
          </w:tcPr>
          <w:p w14:paraId="5AF4A12E"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20</w:t>
            </w:r>
          </w:p>
        </w:tc>
        <w:tc>
          <w:tcPr>
            <w:tcW w:w="4283" w:type="dxa"/>
            <w:tcBorders>
              <w:top w:val="single" w:sz="4" w:space="0" w:color="auto"/>
              <w:left w:val="nil"/>
              <w:bottom w:val="single" w:sz="4" w:space="0" w:color="auto"/>
              <w:right w:val="single" w:sz="4" w:space="0" w:color="auto"/>
            </w:tcBorders>
            <w:shd w:val="clear" w:color="000000" w:fill="C6EFCE"/>
            <w:noWrap/>
            <w:vAlign w:val="center"/>
          </w:tcPr>
          <w:p w14:paraId="75D84896" w14:textId="77777777" w:rsidR="002D49B0" w:rsidRPr="00083739" w:rsidRDefault="00BF4125">
            <w:pPr>
              <w:pStyle w:val="P68B1DB1-Normal8"/>
              <w:keepNext/>
              <w:spacing w:before="40" w:after="0" w:line="240" w:lineRule="auto"/>
              <w:rPr>
                <w:rFonts w:eastAsia="Times New Roman" w:cs="Times New Roman"/>
                <w:bCs/>
                <w:noProof/>
                <w:szCs w:val="18"/>
                <w:lang w:val="sk-SK"/>
              </w:rPr>
            </w:pPr>
            <w:r w:rsidRPr="00083739">
              <w:rPr>
                <w:rFonts w:cs="Times New Roman"/>
                <w:noProof/>
                <w:lang w:val="sk-SK"/>
              </w:rPr>
              <w:t>2 – 1.2. Renovácia – 16872_Energetická obnova obytných budov</w:t>
            </w:r>
          </w:p>
        </w:tc>
        <w:tc>
          <w:tcPr>
            <w:tcW w:w="1701" w:type="dxa"/>
            <w:tcBorders>
              <w:top w:val="single" w:sz="4" w:space="0" w:color="auto"/>
              <w:left w:val="nil"/>
              <w:bottom w:val="single" w:sz="4" w:space="0" w:color="auto"/>
              <w:right w:val="single" w:sz="4" w:space="0" w:color="auto"/>
            </w:tcBorders>
            <w:shd w:val="clear" w:color="000000" w:fill="C6EFCE"/>
            <w:noWrap/>
            <w:vAlign w:val="center"/>
          </w:tcPr>
          <w:p w14:paraId="05658B65" w14:textId="77777777" w:rsidR="002D49B0" w:rsidRPr="00083739" w:rsidRDefault="00BF4125">
            <w:pPr>
              <w:pStyle w:val="P68B1DB1-Normal8"/>
              <w:keepNext/>
              <w:spacing w:before="40" w:after="0" w:line="240" w:lineRule="auto"/>
              <w:rPr>
                <w:rFonts w:eastAsia="Times New Roman" w:cs="Times New Roman"/>
                <w:bCs/>
                <w:noProof/>
                <w:szCs w:val="18"/>
                <w:lang w:val="sk-SK"/>
              </w:rPr>
            </w:pPr>
            <w:r w:rsidRPr="00083739">
              <w:rPr>
                <w:rFonts w:cs="Times New Roman"/>
                <w:noProof/>
                <w:lang w:val="sk-SK"/>
              </w:rPr>
              <w:t>Míľnik</w:t>
            </w:r>
          </w:p>
        </w:tc>
        <w:tc>
          <w:tcPr>
            <w:tcW w:w="2153" w:type="dxa"/>
            <w:tcBorders>
              <w:top w:val="single" w:sz="4" w:space="0" w:color="auto"/>
              <w:left w:val="nil"/>
              <w:bottom w:val="single" w:sz="4" w:space="0" w:color="auto"/>
              <w:right w:val="single" w:sz="4" w:space="0" w:color="auto"/>
            </w:tcBorders>
            <w:shd w:val="clear" w:color="000000" w:fill="C6EFCE"/>
            <w:noWrap/>
            <w:vAlign w:val="center"/>
          </w:tcPr>
          <w:p w14:paraId="23A1608F" w14:textId="77777777" w:rsidR="002D49B0" w:rsidRPr="00083739" w:rsidRDefault="00BF4125">
            <w:pPr>
              <w:pStyle w:val="P68B1DB1-Normal8"/>
              <w:keepNext/>
              <w:spacing w:before="40" w:after="0" w:line="240" w:lineRule="auto"/>
              <w:rPr>
                <w:rFonts w:eastAsia="Times New Roman" w:cs="Times New Roman"/>
                <w:bCs/>
                <w:noProof/>
                <w:szCs w:val="18"/>
                <w:lang w:val="sk-SK"/>
              </w:rPr>
            </w:pPr>
            <w:r w:rsidRPr="00083739">
              <w:rPr>
                <w:rFonts w:cs="Times New Roman"/>
                <w:noProof/>
                <w:lang w:val="sk-SK"/>
              </w:rPr>
              <w:t>Obnova obytných budov – spustenie 1. kola</w:t>
            </w:r>
          </w:p>
        </w:tc>
      </w:tr>
      <w:tr w:rsidR="002D49B0" w:rsidRPr="00083739" w14:paraId="3B85AA32" w14:textId="77777777">
        <w:trPr>
          <w:trHeight w:val="302"/>
        </w:trPr>
        <w:tc>
          <w:tcPr>
            <w:tcW w:w="1804" w:type="dxa"/>
            <w:tcBorders>
              <w:top w:val="nil"/>
              <w:left w:val="single" w:sz="4" w:space="0" w:color="auto"/>
              <w:bottom w:val="single" w:sz="4" w:space="0" w:color="auto"/>
              <w:right w:val="single" w:sz="4" w:space="0" w:color="auto"/>
            </w:tcBorders>
            <w:shd w:val="clear" w:color="000000" w:fill="C6EFCE"/>
            <w:noWrap/>
            <w:vAlign w:val="center"/>
            <w:hideMark/>
          </w:tcPr>
          <w:p w14:paraId="47450A04"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32</w:t>
            </w:r>
          </w:p>
        </w:tc>
        <w:tc>
          <w:tcPr>
            <w:tcW w:w="4283" w:type="dxa"/>
            <w:tcBorders>
              <w:top w:val="nil"/>
              <w:left w:val="nil"/>
              <w:bottom w:val="single" w:sz="4" w:space="0" w:color="auto"/>
              <w:right w:val="single" w:sz="4" w:space="0" w:color="auto"/>
            </w:tcBorders>
            <w:shd w:val="clear" w:color="000000" w:fill="C6EFCE"/>
            <w:noWrap/>
            <w:vAlign w:val="center"/>
          </w:tcPr>
          <w:p w14:paraId="3E9E1C43" w14:textId="77777777" w:rsidR="002D49B0" w:rsidRPr="00083739" w:rsidRDefault="00BF4125">
            <w:pPr>
              <w:pStyle w:val="P68B1DB1-Normal8"/>
              <w:keepNext/>
              <w:spacing w:before="40" w:after="0" w:line="240" w:lineRule="auto"/>
              <w:rPr>
                <w:rFonts w:eastAsia="Times New Roman" w:cs="Times New Roman"/>
                <w:bCs/>
                <w:noProof/>
                <w:szCs w:val="18"/>
                <w:lang w:val="sk-SK"/>
              </w:rPr>
            </w:pPr>
            <w:r w:rsidRPr="00083739">
              <w:rPr>
                <w:rFonts w:cs="Times New Roman"/>
                <w:noProof/>
                <w:lang w:val="sk-SK"/>
              </w:rPr>
              <w:t>2 – 1.2. Renovácia – 16920_Akčný plán energetickej chudoby</w:t>
            </w:r>
          </w:p>
        </w:tc>
        <w:tc>
          <w:tcPr>
            <w:tcW w:w="1701" w:type="dxa"/>
            <w:tcBorders>
              <w:top w:val="nil"/>
              <w:left w:val="nil"/>
              <w:bottom w:val="single" w:sz="4" w:space="0" w:color="auto"/>
              <w:right w:val="single" w:sz="4" w:space="0" w:color="auto"/>
            </w:tcBorders>
            <w:shd w:val="clear" w:color="000000" w:fill="C6EFCE"/>
            <w:noWrap/>
            <w:vAlign w:val="center"/>
          </w:tcPr>
          <w:p w14:paraId="52AF0F5B" w14:textId="77777777" w:rsidR="002D49B0" w:rsidRPr="00083739" w:rsidRDefault="00BF4125">
            <w:pPr>
              <w:pStyle w:val="P68B1DB1-Normal8"/>
              <w:keepNext/>
              <w:spacing w:before="40" w:after="0" w:line="240" w:lineRule="auto"/>
              <w:rPr>
                <w:rFonts w:eastAsia="Times New Roman" w:cs="Times New Roman"/>
                <w:bCs/>
                <w:noProof/>
                <w:szCs w:val="18"/>
                <w:lang w:val="sk-SK"/>
              </w:rPr>
            </w:pPr>
            <w:r w:rsidRPr="00083739">
              <w:rPr>
                <w:rFonts w:cs="Times New Roman"/>
                <w:noProof/>
                <w:lang w:val="sk-SK"/>
              </w:rPr>
              <w:t>Míľnik</w:t>
            </w:r>
          </w:p>
        </w:tc>
        <w:tc>
          <w:tcPr>
            <w:tcW w:w="2153" w:type="dxa"/>
            <w:tcBorders>
              <w:top w:val="nil"/>
              <w:left w:val="nil"/>
              <w:bottom w:val="single" w:sz="4" w:space="0" w:color="auto"/>
              <w:right w:val="single" w:sz="4" w:space="0" w:color="auto"/>
            </w:tcBorders>
            <w:shd w:val="clear" w:color="000000" w:fill="C6EFCE"/>
            <w:noWrap/>
            <w:vAlign w:val="center"/>
          </w:tcPr>
          <w:p w14:paraId="20ECE7CF" w14:textId="77777777" w:rsidR="002D49B0" w:rsidRPr="00083739" w:rsidRDefault="00BF4125">
            <w:pPr>
              <w:pStyle w:val="P68B1DB1-Normal8"/>
              <w:keepNext/>
              <w:spacing w:before="40" w:after="0" w:line="240" w:lineRule="auto"/>
              <w:rPr>
                <w:rFonts w:eastAsia="Times New Roman" w:cs="Times New Roman"/>
                <w:bCs/>
                <w:noProof/>
                <w:szCs w:val="18"/>
                <w:lang w:val="sk-SK"/>
              </w:rPr>
            </w:pPr>
            <w:r w:rsidRPr="00083739">
              <w:rPr>
                <w:rFonts w:cs="Times New Roman"/>
                <w:noProof/>
                <w:lang w:val="sk-SK"/>
              </w:rPr>
              <w:t>Energetická chudoba – prijatie akčného plánu</w:t>
            </w:r>
          </w:p>
        </w:tc>
      </w:tr>
      <w:tr w:rsidR="002D49B0" w:rsidRPr="00083739" w14:paraId="639E4506" w14:textId="77777777">
        <w:trPr>
          <w:trHeight w:val="302"/>
        </w:trPr>
        <w:tc>
          <w:tcPr>
            <w:tcW w:w="1804" w:type="dxa"/>
            <w:tcBorders>
              <w:top w:val="nil"/>
              <w:left w:val="single" w:sz="4" w:space="0" w:color="auto"/>
              <w:bottom w:val="single" w:sz="4" w:space="0" w:color="auto"/>
              <w:right w:val="single" w:sz="4" w:space="0" w:color="auto"/>
            </w:tcBorders>
            <w:shd w:val="clear" w:color="000000" w:fill="C6EFCE"/>
            <w:noWrap/>
            <w:vAlign w:val="center"/>
            <w:hideMark/>
          </w:tcPr>
          <w:p w14:paraId="11DF0A45"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42</w:t>
            </w:r>
          </w:p>
        </w:tc>
        <w:tc>
          <w:tcPr>
            <w:tcW w:w="4283" w:type="dxa"/>
            <w:tcBorders>
              <w:top w:val="nil"/>
              <w:left w:val="nil"/>
              <w:bottom w:val="single" w:sz="4" w:space="0" w:color="auto"/>
              <w:right w:val="single" w:sz="4" w:space="0" w:color="auto"/>
            </w:tcBorders>
            <w:shd w:val="clear" w:color="000000" w:fill="C6EFCE"/>
            <w:noWrap/>
            <w:vAlign w:val="center"/>
          </w:tcPr>
          <w:p w14:paraId="3499C532" w14:textId="1A66798E" w:rsidR="002D49B0" w:rsidRPr="00083739" w:rsidRDefault="00BF4125">
            <w:pPr>
              <w:pStyle w:val="P68B1DB1-Normal8"/>
              <w:keepNext/>
              <w:spacing w:before="40" w:after="0" w:line="240" w:lineRule="auto"/>
              <w:rPr>
                <w:rFonts w:eastAsia="Times New Roman" w:cs="Times New Roman"/>
                <w:bCs/>
                <w:noProof/>
                <w:szCs w:val="18"/>
                <w:lang w:val="sk-SK"/>
              </w:rPr>
            </w:pPr>
            <w:r w:rsidRPr="00083739">
              <w:rPr>
                <w:rFonts w:cs="Times New Roman"/>
                <w:noProof/>
                <w:lang w:val="sk-SK"/>
              </w:rPr>
              <w:t>3 – 1.3. Dobíjanie</w:t>
            </w:r>
            <w:r w:rsidR="00083739" w:rsidRPr="00083739">
              <w:rPr>
                <w:rFonts w:cs="Times New Roman"/>
                <w:noProof/>
                <w:lang w:val="sk-SK"/>
              </w:rPr>
              <w:t xml:space="preserve"> a </w:t>
            </w:r>
            <w:r w:rsidRPr="00083739">
              <w:rPr>
                <w:rFonts w:cs="Times New Roman"/>
                <w:noProof/>
                <w:lang w:val="sk-SK"/>
              </w:rPr>
              <w:t>dopĺňanie paliva – 16281_Rámec pre inštaláciu</w:t>
            </w:r>
            <w:r w:rsidR="00083739" w:rsidRPr="00083739">
              <w:rPr>
                <w:rFonts w:cs="Times New Roman"/>
                <w:noProof/>
                <w:lang w:val="sk-SK"/>
              </w:rPr>
              <w:t xml:space="preserve"> a </w:t>
            </w:r>
            <w:r w:rsidRPr="00083739">
              <w:rPr>
                <w:rFonts w:cs="Times New Roman"/>
                <w:noProof/>
                <w:lang w:val="sk-SK"/>
              </w:rPr>
              <w:t>prevádzku nabíjacej infraštruktúry pre elektrické vozidlá</w:t>
            </w:r>
          </w:p>
        </w:tc>
        <w:tc>
          <w:tcPr>
            <w:tcW w:w="1701" w:type="dxa"/>
            <w:tcBorders>
              <w:top w:val="nil"/>
              <w:left w:val="nil"/>
              <w:bottom w:val="single" w:sz="4" w:space="0" w:color="auto"/>
              <w:right w:val="single" w:sz="4" w:space="0" w:color="auto"/>
            </w:tcBorders>
            <w:shd w:val="clear" w:color="000000" w:fill="C6EFCE"/>
            <w:noWrap/>
            <w:vAlign w:val="center"/>
          </w:tcPr>
          <w:p w14:paraId="0A2ED7A0" w14:textId="77777777" w:rsidR="002D49B0" w:rsidRPr="00083739" w:rsidRDefault="00BF4125">
            <w:pPr>
              <w:pStyle w:val="P68B1DB1-Normal8"/>
              <w:keepNext/>
              <w:spacing w:before="40" w:after="0" w:line="240" w:lineRule="auto"/>
              <w:rPr>
                <w:rFonts w:eastAsia="Times New Roman" w:cs="Times New Roman"/>
                <w:bCs/>
                <w:noProof/>
                <w:szCs w:val="18"/>
                <w:lang w:val="sk-SK"/>
              </w:rPr>
            </w:pPr>
            <w:r w:rsidRPr="00083739">
              <w:rPr>
                <w:rFonts w:cs="Times New Roman"/>
                <w:noProof/>
                <w:lang w:val="sk-SK"/>
              </w:rPr>
              <w:t>Míľnik</w:t>
            </w:r>
          </w:p>
        </w:tc>
        <w:tc>
          <w:tcPr>
            <w:tcW w:w="2153" w:type="dxa"/>
            <w:tcBorders>
              <w:top w:val="nil"/>
              <w:left w:val="nil"/>
              <w:bottom w:val="single" w:sz="4" w:space="0" w:color="auto"/>
              <w:right w:val="single" w:sz="4" w:space="0" w:color="auto"/>
            </w:tcBorders>
            <w:shd w:val="clear" w:color="000000" w:fill="C6EFCE"/>
            <w:noWrap/>
            <w:vAlign w:val="center"/>
          </w:tcPr>
          <w:p w14:paraId="4212BB0A" w14:textId="77777777" w:rsidR="002D49B0" w:rsidRPr="00083739" w:rsidRDefault="00BF4125">
            <w:pPr>
              <w:pStyle w:val="P68B1DB1-Normal8"/>
              <w:keepNext/>
              <w:spacing w:before="40" w:after="0" w:line="240" w:lineRule="auto"/>
              <w:rPr>
                <w:rFonts w:eastAsia="Times New Roman" w:cs="Times New Roman"/>
                <w:bCs/>
                <w:noProof/>
                <w:szCs w:val="18"/>
                <w:lang w:val="sk-SK"/>
              </w:rPr>
            </w:pPr>
            <w:r w:rsidRPr="00083739">
              <w:rPr>
                <w:rFonts w:cs="Times New Roman"/>
                <w:noProof/>
                <w:lang w:val="sk-SK"/>
              </w:rPr>
              <w:t>Nabíjacie stanice pre elektrické vozidlá – nadobudnutie účinnosti právneho rámca</w:t>
            </w:r>
          </w:p>
        </w:tc>
      </w:tr>
      <w:tr w:rsidR="002D49B0" w:rsidRPr="00083739" w14:paraId="4CFBE354" w14:textId="77777777">
        <w:trPr>
          <w:trHeight w:val="302"/>
        </w:trPr>
        <w:tc>
          <w:tcPr>
            <w:tcW w:w="1804" w:type="dxa"/>
            <w:tcBorders>
              <w:top w:val="nil"/>
              <w:left w:val="single" w:sz="4" w:space="0" w:color="auto"/>
              <w:bottom w:val="single" w:sz="4" w:space="0" w:color="auto"/>
              <w:right w:val="single" w:sz="4" w:space="0" w:color="auto"/>
            </w:tcBorders>
            <w:shd w:val="clear" w:color="000000" w:fill="C6EFCE"/>
            <w:noWrap/>
            <w:vAlign w:val="center"/>
          </w:tcPr>
          <w:p w14:paraId="49CAE194"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56</w:t>
            </w:r>
          </w:p>
        </w:tc>
        <w:tc>
          <w:tcPr>
            <w:tcW w:w="4283" w:type="dxa"/>
            <w:tcBorders>
              <w:top w:val="nil"/>
              <w:left w:val="nil"/>
              <w:bottom w:val="single" w:sz="4" w:space="0" w:color="auto"/>
              <w:right w:val="single" w:sz="4" w:space="0" w:color="auto"/>
            </w:tcBorders>
            <w:shd w:val="clear" w:color="000000" w:fill="C6EFCE"/>
            <w:noWrap/>
            <w:vAlign w:val="center"/>
          </w:tcPr>
          <w:p w14:paraId="073CC1E9" w14:textId="3BE10F90" w:rsidR="002D49B0" w:rsidRPr="00083739" w:rsidRDefault="00BF4125">
            <w:pPr>
              <w:pStyle w:val="P68B1DB1-Normal8"/>
              <w:keepNext/>
              <w:spacing w:before="40" w:after="0" w:line="240" w:lineRule="auto"/>
              <w:rPr>
                <w:rFonts w:eastAsia="Times New Roman" w:cs="Times New Roman"/>
                <w:bCs/>
                <w:noProof/>
                <w:szCs w:val="18"/>
                <w:lang w:val="sk-SK"/>
              </w:rPr>
            </w:pPr>
            <w:r w:rsidRPr="00083739">
              <w:rPr>
                <w:rFonts w:cs="Times New Roman"/>
                <w:noProof/>
                <w:lang w:val="sk-SK"/>
              </w:rPr>
              <w:t xml:space="preserve">4 – 1.4. Udržateľné využívanie </w:t>
            </w:r>
            <w:r w:rsidRPr="00083739">
              <w:rPr>
                <w:rFonts w:cs="Times New Roman"/>
                <w:noProof/>
                <w:lang w:val="sk-SK"/>
              </w:rPr>
              <w:t>zdrojov, odolnosť proti zmene klímy</w:t>
            </w:r>
            <w:r w:rsidR="00083739" w:rsidRPr="00083739">
              <w:rPr>
                <w:rFonts w:cs="Times New Roman"/>
                <w:noProof/>
                <w:lang w:val="sk-SK"/>
              </w:rPr>
              <w:t xml:space="preserve"> a </w:t>
            </w:r>
            <w:r w:rsidRPr="00083739">
              <w:rPr>
                <w:rFonts w:cs="Times New Roman"/>
                <w:noProof/>
                <w:lang w:val="sk-SK"/>
              </w:rPr>
              <w:t>ochrana životného prostredia – 16772_zákon</w:t>
            </w:r>
            <w:r w:rsidR="00083739" w:rsidRPr="00083739">
              <w:rPr>
                <w:rFonts w:cs="Times New Roman"/>
                <w:noProof/>
                <w:lang w:val="sk-SK"/>
              </w:rPr>
              <w:t xml:space="preserve"> o </w:t>
            </w:r>
            <w:r w:rsidRPr="00083739">
              <w:rPr>
                <w:rFonts w:cs="Times New Roman"/>
                <w:noProof/>
                <w:lang w:val="sk-SK"/>
              </w:rPr>
              <w:t>nakladaní</w:t>
            </w:r>
            <w:r w:rsidR="00083739" w:rsidRPr="00083739">
              <w:rPr>
                <w:rFonts w:cs="Times New Roman"/>
                <w:noProof/>
                <w:lang w:val="sk-SK"/>
              </w:rPr>
              <w:t xml:space="preserve"> s </w:t>
            </w:r>
            <w:r w:rsidRPr="00083739">
              <w:rPr>
                <w:rFonts w:cs="Times New Roman"/>
                <w:noProof/>
                <w:lang w:val="sk-SK"/>
              </w:rPr>
              <w:t>odpadom na vykonávanie udržateľného skládkovania</w:t>
            </w:r>
            <w:r w:rsidR="00083739" w:rsidRPr="00083739">
              <w:rPr>
                <w:rFonts w:cs="Times New Roman"/>
                <w:noProof/>
                <w:lang w:val="sk-SK"/>
              </w:rPr>
              <w:t xml:space="preserve"> a </w:t>
            </w:r>
            <w:r w:rsidRPr="00083739">
              <w:rPr>
                <w:rFonts w:cs="Times New Roman"/>
                <w:noProof/>
                <w:lang w:val="sk-SK"/>
              </w:rPr>
              <w:t>recyklácie</w:t>
            </w:r>
          </w:p>
        </w:tc>
        <w:tc>
          <w:tcPr>
            <w:tcW w:w="1701" w:type="dxa"/>
            <w:tcBorders>
              <w:top w:val="nil"/>
              <w:left w:val="nil"/>
              <w:bottom w:val="single" w:sz="4" w:space="0" w:color="auto"/>
              <w:right w:val="single" w:sz="4" w:space="0" w:color="auto"/>
            </w:tcBorders>
            <w:shd w:val="clear" w:color="000000" w:fill="C6EFCE"/>
            <w:noWrap/>
            <w:vAlign w:val="center"/>
          </w:tcPr>
          <w:p w14:paraId="40E7C4A3" w14:textId="77777777" w:rsidR="002D49B0" w:rsidRPr="00083739" w:rsidRDefault="00BF4125">
            <w:pPr>
              <w:pStyle w:val="P68B1DB1-Normal8"/>
              <w:keepNext/>
              <w:spacing w:before="40" w:after="0" w:line="240" w:lineRule="auto"/>
              <w:rPr>
                <w:rFonts w:eastAsia="Times New Roman" w:cs="Times New Roman"/>
                <w:bCs/>
                <w:noProof/>
                <w:szCs w:val="18"/>
                <w:lang w:val="sk-SK"/>
              </w:rPr>
            </w:pPr>
            <w:r w:rsidRPr="00083739">
              <w:rPr>
                <w:rFonts w:cs="Times New Roman"/>
                <w:noProof/>
                <w:lang w:val="sk-SK"/>
              </w:rPr>
              <w:t>Míľnik</w:t>
            </w:r>
          </w:p>
        </w:tc>
        <w:tc>
          <w:tcPr>
            <w:tcW w:w="2153" w:type="dxa"/>
            <w:tcBorders>
              <w:top w:val="nil"/>
              <w:left w:val="nil"/>
              <w:bottom w:val="single" w:sz="4" w:space="0" w:color="auto"/>
              <w:right w:val="single" w:sz="4" w:space="0" w:color="auto"/>
            </w:tcBorders>
            <w:shd w:val="clear" w:color="000000" w:fill="C6EFCE"/>
            <w:noWrap/>
            <w:vAlign w:val="center"/>
          </w:tcPr>
          <w:p w14:paraId="166F7583" w14:textId="22AA96FA" w:rsidR="002D49B0" w:rsidRPr="00083739" w:rsidRDefault="00BF4125">
            <w:pPr>
              <w:pStyle w:val="P68B1DB1-Normal8"/>
              <w:keepNext/>
              <w:spacing w:before="40" w:after="0" w:line="240" w:lineRule="auto"/>
              <w:rPr>
                <w:rFonts w:eastAsia="Times New Roman" w:cs="Times New Roman"/>
                <w:bCs/>
                <w:noProof/>
                <w:szCs w:val="18"/>
                <w:lang w:val="sk-SK"/>
              </w:rPr>
            </w:pPr>
            <w:r w:rsidRPr="00083739">
              <w:rPr>
                <w:rFonts w:cs="Times New Roman"/>
                <w:noProof/>
                <w:lang w:val="sk-SK"/>
              </w:rPr>
              <w:t>Nadobudnutie účinnosti zákona</w:t>
            </w:r>
            <w:r w:rsidR="00083739" w:rsidRPr="00083739">
              <w:rPr>
                <w:rFonts w:cs="Times New Roman"/>
                <w:noProof/>
                <w:lang w:val="sk-SK"/>
              </w:rPr>
              <w:t xml:space="preserve"> o </w:t>
            </w:r>
            <w:r w:rsidRPr="00083739">
              <w:rPr>
                <w:rFonts w:cs="Times New Roman"/>
                <w:noProof/>
                <w:lang w:val="sk-SK"/>
              </w:rPr>
              <w:t>odpadovom hospodárstve</w:t>
            </w:r>
          </w:p>
        </w:tc>
      </w:tr>
      <w:tr w:rsidR="002D49B0" w:rsidRPr="00083739" w14:paraId="4F8794D6" w14:textId="77777777">
        <w:trPr>
          <w:trHeight w:val="302"/>
        </w:trPr>
        <w:tc>
          <w:tcPr>
            <w:tcW w:w="1804" w:type="dxa"/>
            <w:tcBorders>
              <w:top w:val="nil"/>
              <w:left w:val="single" w:sz="4" w:space="0" w:color="auto"/>
              <w:bottom w:val="single" w:sz="4" w:space="0" w:color="auto"/>
              <w:right w:val="single" w:sz="4" w:space="0" w:color="auto"/>
            </w:tcBorders>
            <w:shd w:val="clear" w:color="000000" w:fill="C6EFCE"/>
            <w:noWrap/>
            <w:vAlign w:val="center"/>
          </w:tcPr>
          <w:p w14:paraId="764CE4F4"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77</w:t>
            </w:r>
          </w:p>
        </w:tc>
        <w:tc>
          <w:tcPr>
            <w:tcW w:w="4283" w:type="dxa"/>
            <w:tcBorders>
              <w:top w:val="nil"/>
              <w:left w:val="nil"/>
              <w:bottom w:val="single" w:sz="4" w:space="0" w:color="auto"/>
              <w:right w:val="single" w:sz="4" w:space="0" w:color="auto"/>
            </w:tcBorders>
            <w:shd w:val="clear" w:color="000000" w:fill="C6EFCE"/>
            <w:noWrap/>
            <w:vAlign w:val="center"/>
          </w:tcPr>
          <w:p w14:paraId="7EF863DE" w14:textId="6F93A821" w:rsidR="002D49B0" w:rsidRPr="00083739" w:rsidRDefault="00BF4125">
            <w:pPr>
              <w:pStyle w:val="P68B1DB1-Normal8"/>
              <w:keepNext/>
              <w:spacing w:before="40" w:after="0" w:line="240" w:lineRule="auto"/>
              <w:rPr>
                <w:rFonts w:eastAsia="Times New Roman" w:cs="Times New Roman"/>
                <w:bCs/>
                <w:noProof/>
                <w:szCs w:val="18"/>
                <w:lang w:val="sk-SK"/>
              </w:rPr>
            </w:pPr>
            <w:r w:rsidRPr="00083739">
              <w:rPr>
                <w:rFonts w:cs="Times New Roman"/>
                <w:noProof/>
                <w:lang w:val="sk-SK"/>
              </w:rPr>
              <w:t xml:space="preserve">4 – 1.4. Udržateľné využívanie </w:t>
            </w:r>
            <w:r w:rsidRPr="00083739">
              <w:rPr>
                <w:rFonts w:cs="Times New Roman"/>
                <w:noProof/>
                <w:lang w:val="sk-SK"/>
              </w:rPr>
              <w:t>zdrojov, odolnosť proti zmene klímy</w:t>
            </w:r>
            <w:r w:rsidR="00083739" w:rsidRPr="00083739">
              <w:rPr>
                <w:rFonts w:cs="Times New Roman"/>
                <w:noProof/>
                <w:lang w:val="sk-SK"/>
              </w:rPr>
              <w:t xml:space="preserve"> a </w:t>
            </w:r>
            <w:r w:rsidRPr="00083739">
              <w:rPr>
                <w:rFonts w:cs="Times New Roman"/>
                <w:noProof/>
                <w:lang w:val="sk-SK"/>
              </w:rPr>
              <w:t>ochrana životného prostredia – 16283_Vykonávanie regionálnych centier civilnej ochrany (PEKEPP) prostredníctvom programov verejno-súkromných partnerstiev</w:t>
            </w:r>
          </w:p>
        </w:tc>
        <w:tc>
          <w:tcPr>
            <w:tcW w:w="1701" w:type="dxa"/>
            <w:tcBorders>
              <w:top w:val="nil"/>
              <w:left w:val="nil"/>
              <w:bottom w:val="single" w:sz="4" w:space="0" w:color="auto"/>
              <w:right w:val="single" w:sz="4" w:space="0" w:color="auto"/>
            </w:tcBorders>
            <w:shd w:val="clear" w:color="000000" w:fill="C6EFCE"/>
            <w:noWrap/>
            <w:vAlign w:val="center"/>
          </w:tcPr>
          <w:p w14:paraId="1A1C25F9" w14:textId="77777777" w:rsidR="002D49B0" w:rsidRPr="00083739" w:rsidRDefault="00BF4125">
            <w:pPr>
              <w:pStyle w:val="P68B1DB1-Normal8"/>
              <w:keepNext/>
              <w:spacing w:before="40" w:after="0" w:line="240" w:lineRule="auto"/>
              <w:rPr>
                <w:rFonts w:eastAsia="Times New Roman" w:cs="Times New Roman"/>
                <w:bCs/>
                <w:noProof/>
                <w:szCs w:val="18"/>
                <w:lang w:val="sk-SK"/>
              </w:rPr>
            </w:pPr>
            <w:r w:rsidRPr="00083739">
              <w:rPr>
                <w:rFonts w:cs="Times New Roman"/>
                <w:noProof/>
                <w:lang w:val="sk-SK"/>
              </w:rPr>
              <w:t>Míľnik</w:t>
            </w:r>
          </w:p>
        </w:tc>
        <w:tc>
          <w:tcPr>
            <w:tcW w:w="2153" w:type="dxa"/>
            <w:tcBorders>
              <w:top w:val="nil"/>
              <w:left w:val="nil"/>
              <w:bottom w:val="single" w:sz="4" w:space="0" w:color="auto"/>
              <w:right w:val="single" w:sz="4" w:space="0" w:color="auto"/>
            </w:tcBorders>
            <w:shd w:val="clear" w:color="000000" w:fill="C6EFCE"/>
            <w:noWrap/>
            <w:vAlign w:val="center"/>
          </w:tcPr>
          <w:p w14:paraId="44E991B5" w14:textId="77777777" w:rsidR="002D49B0" w:rsidRPr="00083739" w:rsidRDefault="00BF4125">
            <w:pPr>
              <w:pStyle w:val="P68B1DB1-Normal8"/>
              <w:keepNext/>
              <w:spacing w:before="40" w:after="0" w:line="240" w:lineRule="auto"/>
              <w:rPr>
                <w:rFonts w:eastAsia="Times New Roman" w:cs="Times New Roman"/>
                <w:bCs/>
                <w:noProof/>
                <w:szCs w:val="18"/>
                <w:lang w:val="sk-SK"/>
              </w:rPr>
            </w:pPr>
            <w:r w:rsidRPr="00083739">
              <w:rPr>
                <w:rFonts w:cs="Times New Roman"/>
                <w:noProof/>
                <w:lang w:val="sk-SK"/>
              </w:rPr>
              <w:t>Verejná súťaž pre 13 regionálnych centier</w:t>
            </w:r>
          </w:p>
        </w:tc>
      </w:tr>
      <w:tr w:rsidR="002D49B0" w:rsidRPr="00083739" w14:paraId="68ECDEE5" w14:textId="77777777">
        <w:trPr>
          <w:trHeight w:val="302"/>
        </w:trPr>
        <w:tc>
          <w:tcPr>
            <w:tcW w:w="1804" w:type="dxa"/>
            <w:tcBorders>
              <w:top w:val="nil"/>
              <w:left w:val="single" w:sz="4" w:space="0" w:color="auto"/>
              <w:bottom w:val="single" w:sz="4" w:space="0" w:color="auto"/>
              <w:right w:val="single" w:sz="4" w:space="0" w:color="auto"/>
            </w:tcBorders>
            <w:shd w:val="clear" w:color="000000" w:fill="C6EFCE"/>
            <w:noWrap/>
            <w:vAlign w:val="center"/>
          </w:tcPr>
          <w:p w14:paraId="1F65A58B"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133</w:t>
            </w:r>
          </w:p>
        </w:tc>
        <w:tc>
          <w:tcPr>
            <w:tcW w:w="4283" w:type="dxa"/>
            <w:tcBorders>
              <w:top w:val="nil"/>
              <w:left w:val="nil"/>
              <w:bottom w:val="single" w:sz="4" w:space="0" w:color="auto"/>
              <w:right w:val="single" w:sz="4" w:space="0" w:color="auto"/>
            </w:tcBorders>
            <w:shd w:val="clear" w:color="000000" w:fill="C6EFCE"/>
            <w:noWrap/>
            <w:vAlign w:val="center"/>
          </w:tcPr>
          <w:p w14:paraId="198C8A22" w14:textId="2514D6F0" w:rsidR="002D49B0" w:rsidRPr="00083739" w:rsidRDefault="00BF4125">
            <w:pPr>
              <w:pStyle w:val="P68B1DB1-Normal8"/>
              <w:keepNext/>
              <w:spacing w:before="40" w:after="0" w:line="240" w:lineRule="auto"/>
              <w:rPr>
                <w:rFonts w:eastAsia="Times New Roman" w:cs="Times New Roman"/>
                <w:bCs/>
                <w:noProof/>
                <w:szCs w:val="18"/>
                <w:lang w:val="sk-SK"/>
              </w:rPr>
            </w:pPr>
            <w:r w:rsidRPr="00083739">
              <w:rPr>
                <w:rFonts w:cs="Times New Roman"/>
                <w:noProof/>
                <w:lang w:val="sk-SK"/>
              </w:rPr>
              <w:t>8 – 3.1. P</w:t>
            </w:r>
            <w:r w:rsidRPr="00083739">
              <w:rPr>
                <w:rFonts w:cs="Times New Roman"/>
                <w:noProof/>
                <w:lang w:val="sk-SK"/>
              </w:rPr>
              <w:t>odpora vytvárania pracovných miest</w:t>
            </w:r>
            <w:r w:rsidR="00083739" w:rsidRPr="00083739">
              <w:rPr>
                <w:rFonts w:cs="Times New Roman"/>
                <w:noProof/>
                <w:lang w:val="sk-SK"/>
              </w:rPr>
              <w:t xml:space="preserve"> a </w:t>
            </w:r>
            <w:r w:rsidRPr="00083739">
              <w:rPr>
                <w:rFonts w:cs="Times New Roman"/>
                <w:noProof/>
                <w:lang w:val="sk-SK"/>
              </w:rPr>
              <w:t>účasti na trhu práce – 16744_Modernizácia</w:t>
            </w:r>
            <w:r w:rsidR="00083739" w:rsidRPr="00083739">
              <w:rPr>
                <w:rFonts w:cs="Times New Roman"/>
                <w:noProof/>
                <w:lang w:val="sk-SK"/>
              </w:rPr>
              <w:t xml:space="preserve"> a </w:t>
            </w:r>
            <w:r w:rsidRPr="00083739">
              <w:rPr>
                <w:rFonts w:cs="Times New Roman"/>
                <w:noProof/>
                <w:lang w:val="sk-SK"/>
              </w:rPr>
              <w:t>zjednodušenie pracovného práva</w:t>
            </w:r>
          </w:p>
        </w:tc>
        <w:tc>
          <w:tcPr>
            <w:tcW w:w="1701" w:type="dxa"/>
            <w:tcBorders>
              <w:top w:val="nil"/>
              <w:left w:val="nil"/>
              <w:bottom w:val="single" w:sz="4" w:space="0" w:color="auto"/>
              <w:right w:val="single" w:sz="4" w:space="0" w:color="auto"/>
            </w:tcBorders>
            <w:shd w:val="clear" w:color="000000" w:fill="C6EFCE"/>
            <w:noWrap/>
            <w:vAlign w:val="center"/>
          </w:tcPr>
          <w:p w14:paraId="3F9BFC83" w14:textId="77777777" w:rsidR="002D49B0" w:rsidRPr="00083739" w:rsidRDefault="00BF4125">
            <w:pPr>
              <w:pStyle w:val="P68B1DB1-Normal8"/>
              <w:keepNext/>
              <w:spacing w:before="40" w:after="0" w:line="240" w:lineRule="auto"/>
              <w:rPr>
                <w:rFonts w:eastAsia="Times New Roman" w:cs="Times New Roman"/>
                <w:bCs/>
                <w:noProof/>
                <w:szCs w:val="18"/>
                <w:lang w:val="sk-SK"/>
              </w:rPr>
            </w:pPr>
            <w:r w:rsidRPr="00083739">
              <w:rPr>
                <w:rFonts w:cs="Times New Roman"/>
                <w:noProof/>
                <w:lang w:val="sk-SK"/>
              </w:rPr>
              <w:t>Míľnik</w:t>
            </w:r>
          </w:p>
        </w:tc>
        <w:tc>
          <w:tcPr>
            <w:tcW w:w="2153" w:type="dxa"/>
            <w:tcBorders>
              <w:top w:val="nil"/>
              <w:left w:val="nil"/>
              <w:bottom w:val="single" w:sz="4" w:space="0" w:color="auto"/>
              <w:right w:val="single" w:sz="4" w:space="0" w:color="auto"/>
            </w:tcBorders>
            <w:shd w:val="clear" w:color="000000" w:fill="C6EFCE"/>
            <w:noWrap/>
            <w:vAlign w:val="center"/>
          </w:tcPr>
          <w:p w14:paraId="5E331657" w14:textId="77777777" w:rsidR="002D49B0" w:rsidRPr="00083739" w:rsidRDefault="00BF4125">
            <w:pPr>
              <w:pStyle w:val="P68B1DB1-Normal8"/>
              <w:keepNext/>
              <w:spacing w:before="40" w:after="0" w:line="240" w:lineRule="auto"/>
              <w:rPr>
                <w:rFonts w:eastAsia="Times New Roman" w:cs="Times New Roman"/>
                <w:bCs/>
                <w:noProof/>
                <w:szCs w:val="18"/>
                <w:lang w:val="sk-SK"/>
              </w:rPr>
            </w:pPr>
            <w:r w:rsidRPr="00083739">
              <w:rPr>
                <w:rFonts w:cs="Times New Roman"/>
                <w:noProof/>
                <w:lang w:val="sk-SK"/>
              </w:rPr>
              <w:t>Nadobudnutie účinnosti pracovného práva</w:t>
            </w:r>
          </w:p>
        </w:tc>
      </w:tr>
      <w:tr w:rsidR="002D49B0" w:rsidRPr="00083739" w14:paraId="061F80BB" w14:textId="77777777">
        <w:trPr>
          <w:trHeight w:val="302"/>
        </w:trPr>
        <w:tc>
          <w:tcPr>
            <w:tcW w:w="1804" w:type="dxa"/>
            <w:tcBorders>
              <w:top w:val="nil"/>
              <w:left w:val="single" w:sz="4" w:space="0" w:color="auto"/>
              <w:bottom w:val="single" w:sz="4" w:space="0" w:color="auto"/>
              <w:right w:val="single" w:sz="4" w:space="0" w:color="auto"/>
            </w:tcBorders>
            <w:shd w:val="clear" w:color="000000" w:fill="C6EFCE"/>
            <w:noWrap/>
            <w:vAlign w:val="center"/>
          </w:tcPr>
          <w:p w14:paraId="622FE87B"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141</w:t>
            </w:r>
          </w:p>
        </w:tc>
        <w:tc>
          <w:tcPr>
            <w:tcW w:w="4283" w:type="dxa"/>
            <w:tcBorders>
              <w:top w:val="nil"/>
              <w:left w:val="nil"/>
              <w:bottom w:val="single" w:sz="4" w:space="0" w:color="auto"/>
              <w:right w:val="single" w:sz="4" w:space="0" w:color="auto"/>
            </w:tcBorders>
            <w:shd w:val="clear" w:color="000000" w:fill="C6EFCE"/>
            <w:noWrap/>
            <w:vAlign w:val="center"/>
          </w:tcPr>
          <w:p w14:paraId="62F6A919" w14:textId="144D301F" w:rsidR="002D49B0" w:rsidRPr="00083739" w:rsidRDefault="00BF4125">
            <w:pPr>
              <w:pStyle w:val="P68B1DB1-Normal8"/>
              <w:keepNext/>
              <w:spacing w:before="40" w:after="0" w:line="240" w:lineRule="auto"/>
              <w:rPr>
                <w:rFonts w:eastAsia="Times New Roman" w:cs="Times New Roman"/>
                <w:bCs/>
                <w:noProof/>
                <w:szCs w:val="18"/>
                <w:lang w:val="sk-SK"/>
              </w:rPr>
            </w:pPr>
            <w:r w:rsidRPr="00083739">
              <w:rPr>
                <w:rFonts w:cs="Times New Roman"/>
                <w:noProof/>
                <w:lang w:val="sk-SK"/>
              </w:rPr>
              <w:t>8 – 3.1. Podpora vytvárania pracovných miest</w:t>
            </w:r>
            <w:r w:rsidR="00083739" w:rsidRPr="00083739">
              <w:rPr>
                <w:rFonts w:cs="Times New Roman"/>
                <w:noProof/>
                <w:lang w:val="sk-SK"/>
              </w:rPr>
              <w:t xml:space="preserve"> a </w:t>
            </w:r>
            <w:r w:rsidRPr="00083739">
              <w:rPr>
                <w:rFonts w:cs="Times New Roman"/>
                <w:noProof/>
                <w:lang w:val="sk-SK"/>
              </w:rPr>
              <w:t xml:space="preserve">účasti na trhu práce – </w:t>
            </w:r>
            <w:r w:rsidRPr="00083739">
              <w:rPr>
                <w:rFonts w:cs="Times New Roman"/>
                <w:noProof/>
                <w:lang w:val="sk-SK"/>
              </w:rPr>
              <w:t>16941_Reštrukturalizácia</w:t>
            </w:r>
            <w:r w:rsidR="00083739" w:rsidRPr="00083739">
              <w:rPr>
                <w:rFonts w:cs="Times New Roman"/>
                <w:noProof/>
                <w:lang w:val="sk-SK"/>
              </w:rPr>
              <w:t xml:space="preserve"> a </w:t>
            </w:r>
            <w:r w:rsidRPr="00083739">
              <w:rPr>
                <w:rFonts w:cs="Times New Roman"/>
                <w:noProof/>
                <w:lang w:val="sk-SK"/>
              </w:rPr>
              <w:t>zmena značky miestnych VSZ DYPA (KPA2)</w:t>
            </w:r>
          </w:p>
        </w:tc>
        <w:tc>
          <w:tcPr>
            <w:tcW w:w="1701" w:type="dxa"/>
            <w:tcBorders>
              <w:top w:val="nil"/>
              <w:left w:val="nil"/>
              <w:bottom w:val="single" w:sz="4" w:space="0" w:color="auto"/>
              <w:right w:val="single" w:sz="4" w:space="0" w:color="auto"/>
            </w:tcBorders>
            <w:shd w:val="clear" w:color="000000" w:fill="C6EFCE"/>
            <w:noWrap/>
            <w:vAlign w:val="center"/>
          </w:tcPr>
          <w:p w14:paraId="2BC20BEF" w14:textId="77777777" w:rsidR="002D49B0" w:rsidRPr="00083739" w:rsidRDefault="00BF4125">
            <w:pPr>
              <w:pStyle w:val="P68B1DB1-Normal8"/>
              <w:keepNext/>
              <w:spacing w:before="40" w:after="0" w:line="240" w:lineRule="auto"/>
              <w:rPr>
                <w:rFonts w:eastAsia="Times New Roman" w:cs="Times New Roman"/>
                <w:bCs/>
                <w:noProof/>
                <w:szCs w:val="18"/>
                <w:lang w:val="sk-SK"/>
              </w:rPr>
            </w:pPr>
            <w:r w:rsidRPr="00083739">
              <w:rPr>
                <w:rFonts w:cs="Times New Roman"/>
                <w:noProof/>
                <w:lang w:val="sk-SK"/>
              </w:rPr>
              <w:t>Míľnik</w:t>
            </w:r>
          </w:p>
        </w:tc>
        <w:tc>
          <w:tcPr>
            <w:tcW w:w="2153" w:type="dxa"/>
            <w:tcBorders>
              <w:top w:val="nil"/>
              <w:left w:val="nil"/>
              <w:bottom w:val="single" w:sz="4" w:space="0" w:color="auto"/>
              <w:right w:val="single" w:sz="4" w:space="0" w:color="auto"/>
            </w:tcBorders>
            <w:shd w:val="clear" w:color="000000" w:fill="C6EFCE"/>
            <w:noWrap/>
            <w:vAlign w:val="center"/>
          </w:tcPr>
          <w:p w14:paraId="4E50A039" w14:textId="77777777" w:rsidR="002D49B0" w:rsidRPr="00083739" w:rsidRDefault="00BF4125">
            <w:pPr>
              <w:pStyle w:val="P68B1DB1-Normal8"/>
              <w:keepNext/>
              <w:spacing w:before="40" w:after="0" w:line="240" w:lineRule="auto"/>
              <w:rPr>
                <w:rFonts w:eastAsia="Times New Roman" w:cs="Times New Roman"/>
                <w:bCs/>
                <w:noProof/>
                <w:szCs w:val="18"/>
                <w:lang w:val="sk-SK"/>
              </w:rPr>
            </w:pPr>
            <w:r w:rsidRPr="00083739">
              <w:rPr>
                <w:rFonts w:cs="Times New Roman"/>
                <w:noProof/>
                <w:lang w:val="sk-SK"/>
              </w:rPr>
              <w:t xml:space="preserve">Nadobudnutie účinnosti právnych predpisov DYPA </w:t>
            </w:r>
          </w:p>
        </w:tc>
      </w:tr>
      <w:tr w:rsidR="002D49B0" w:rsidRPr="00083739" w14:paraId="6662627F" w14:textId="77777777">
        <w:trPr>
          <w:trHeight w:val="302"/>
        </w:trPr>
        <w:tc>
          <w:tcPr>
            <w:tcW w:w="1804" w:type="dxa"/>
            <w:tcBorders>
              <w:top w:val="nil"/>
              <w:left w:val="single" w:sz="4" w:space="0" w:color="auto"/>
              <w:bottom w:val="single" w:sz="4" w:space="0" w:color="auto"/>
              <w:right w:val="single" w:sz="4" w:space="0" w:color="auto"/>
            </w:tcBorders>
            <w:shd w:val="clear" w:color="000000" w:fill="C6EFCE"/>
            <w:noWrap/>
            <w:vAlign w:val="center"/>
          </w:tcPr>
          <w:p w14:paraId="019A2722"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153</w:t>
            </w:r>
          </w:p>
        </w:tc>
        <w:tc>
          <w:tcPr>
            <w:tcW w:w="4283" w:type="dxa"/>
            <w:tcBorders>
              <w:top w:val="nil"/>
              <w:left w:val="nil"/>
              <w:bottom w:val="single" w:sz="4" w:space="0" w:color="auto"/>
              <w:right w:val="single" w:sz="4" w:space="0" w:color="auto"/>
            </w:tcBorders>
            <w:shd w:val="clear" w:color="000000" w:fill="C6EFCE"/>
            <w:noWrap/>
            <w:vAlign w:val="center"/>
          </w:tcPr>
          <w:p w14:paraId="11DBE260" w14:textId="29F20783" w:rsidR="002D49B0" w:rsidRPr="00083739" w:rsidRDefault="00BF4125">
            <w:pPr>
              <w:pStyle w:val="P68B1DB1-Normal8"/>
              <w:keepNext/>
              <w:spacing w:before="40" w:after="0" w:line="240" w:lineRule="auto"/>
              <w:rPr>
                <w:rFonts w:eastAsia="Times New Roman" w:cs="Times New Roman"/>
                <w:bCs/>
                <w:noProof/>
                <w:szCs w:val="18"/>
                <w:lang w:val="sk-SK"/>
              </w:rPr>
            </w:pPr>
            <w:r w:rsidRPr="00083739">
              <w:rPr>
                <w:rFonts w:cs="Times New Roman"/>
                <w:noProof/>
                <w:lang w:val="sk-SK"/>
              </w:rPr>
              <w:t>10 – 3.3. Zlepšenie odolnosti, dostupnosti</w:t>
            </w:r>
            <w:r w:rsidR="00083739" w:rsidRPr="00083739">
              <w:rPr>
                <w:rFonts w:cs="Times New Roman"/>
                <w:noProof/>
                <w:lang w:val="sk-SK"/>
              </w:rPr>
              <w:t xml:space="preserve"> a </w:t>
            </w:r>
            <w:r w:rsidRPr="00083739">
              <w:rPr>
                <w:rFonts w:cs="Times New Roman"/>
                <w:noProof/>
                <w:lang w:val="sk-SK"/>
              </w:rPr>
              <w:t>udržateľnosti zdravotnej starostlivosti – 16816_Reformy</w:t>
            </w:r>
            <w:r w:rsidR="00083739" w:rsidRPr="00083739">
              <w:rPr>
                <w:rFonts w:cs="Times New Roman"/>
                <w:noProof/>
                <w:lang w:val="sk-SK"/>
              </w:rPr>
              <w:t xml:space="preserve"> a </w:t>
            </w:r>
            <w:r w:rsidRPr="00083739">
              <w:rPr>
                <w:rFonts w:cs="Times New Roman"/>
                <w:noProof/>
                <w:lang w:val="sk-SK"/>
              </w:rPr>
              <w:t>urýchlenie investícií</w:t>
            </w:r>
            <w:r w:rsidR="00083739" w:rsidRPr="00083739">
              <w:rPr>
                <w:rFonts w:cs="Times New Roman"/>
                <w:noProof/>
                <w:lang w:val="sk-SK"/>
              </w:rPr>
              <w:t xml:space="preserve"> v </w:t>
            </w:r>
            <w:r w:rsidRPr="00083739">
              <w:rPr>
                <w:rFonts w:cs="Times New Roman"/>
                <w:noProof/>
                <w:lang w:val="sk-SK"/>
              </w:rPr>
              <w:t>sek</w:t>
            </w:r>
            <w:r w:rsidRPr="00083739">
              <w:rPr>
                <w:rFonts w:cs="Times New Roman"/>
                <w:noProof/>
                <w:lang w:val="sk-SK"/>
              </w:rPr>
              <w:t>tore zdravotnej starostlivosti – Zníženie vrátenia prostriedkov</w:t>
            </w:r>
            <w:r w:rsidR="00083739" w:rsidRPr="00083739">
              <w:rPr>
                <w:rFonts w:cs="Times New Roman"/>
                <w:noProof/>
                <w:lang w:val="sk-SK"/>
              </w:rPr>
              <w:t xml:space="preserve"> a </w:t>
            </w:r>
            <w:r w:rsidRPr="00083739">
              <w:rPr>
                <w:rFonts w:cs="Times New Roman"/>
                <w:noProof/>
                <w:lang w:val="sk-SK"/>
              </w:rPr>
              <w:t>racionalizácia výdavkov na zdravotnú starostlivosť</w:t>
            </w:r>
          </w:p>
        </w:tc>
        <w:tc>
          <w:tcPr>
            <w:tcW w:w="1701" w:type="dxa"/>
            <w:tcBorders>
              <w:top w:val="nil"/>
              <w:left w:val="nil"/>
              <w:bottom w:val="single" w:sz="4" w:space="0" w:color="auto"/>
              <w:right w:val="single" w:sz="4" w:space="0" w:color="auto"/>
            </w:tcBorders>
            <w:shd w:val="clear" w:color="000000" w:fill="C6EFCE"/>
            <w:noWrap/>
            <w:vAlign w:val="center"/>
          </w:tcPr>
          <w:p w14:paraId="3B8837FF" w14:textId="77777777" w:rsidR="002D49B0" w:rsidRPr="00083739" w:rsidRDefault="00BF4125">
            <w:pPr>
              <w:pStyle w:val="P68B1DB1-Normal8"/>
              <w:keepNext/>
              <w:spacing w:before="40" w:after="0" w:line="240" w:lineRule="auto"/>
              <w:rPr>
                <w:rFonts w:eastAsia="Times New Roman" w:cs="Times New Roman"/>
                <w:bCs/>
                <w:noProof/>
                <w:szCs w:val="18"/>
                <w:lang w:val="sk-SK"/>
              </w:rPr>
            </w:pPr>
            <w:r w:rsidRPr="00083739">
              <w:rPr>
                <w:rFonts w:cs="Times New Roman"/>
                <w:noProof/>
                <w:lang w:val="sk-SK"/>
              </w:rPr>
              <w:t>Míľnik</w:t>
            </w:r>
          </w:p>
        </w:tc>
        <w:tc>
          <w:tcPr>
            <w:tcW w:w="2153" w:type="dxa"/>
            <w:tcBorders>
              <w:top w:val="nil"/>
              <w:left w:val="nil"/>
              <w:bottom w:val="single" w:sz="4" w:space="0" w:color="auto"/>
              <w:right w:val="single" w:sz="4" w:space="0" w:color="auto"/>
            </w:tcBorders>
            <w:shd w:val="clear" w:color="000000" w:fill="C6EFCE"/>
            <w:noWrap/>
            <w:vAlign w:val="center"/>
          </w:tcPr>
          <w:p w14:paraId="73D8FCAD" w14:textId="77777777" w:rsidR="002D49B0" w:rsidRPr="00083739" w:rsidRDefault="00BF4125">
            <w:pPr>
              <w:pStyle w:val="P68B1DB1-Normal8"/>
              <w:keepNext/>
              <w:spacing w:before="40" w:after="0" w:line="240" w:lineRule="auto"/>
              <w:rPr>
                <w:rFonts w:eastAsia="Times New Roman" w:cs="Times New Roman"/>
                <w:bCs/>
                <w:noProof/>
                <w:szCs w:val="18"/>
                <w:lang w:val="sk-SK"/>
              </w:rPr>
            </w:pPr>
            <w:r w:rsidRPr="00083739">
              <w:rPr>
                <w:rFonts w:cs="Times New Roman"/>
                <w:noProof/>
                <w:lang w:val="sk-SK"/>
              </w:rPr>
              <w:t>Spätné vrátenie prostriedkov – nadobudnutie účinnosti právnych predpisov</w:t>
            </w:r>
          </w:p>
        </w:tc>
      </w:tr>
      <w:tr w:rsidR="002D49B0" w:rsidRPr="00083739" w14:paraId="784695F0" w14:textId="77777777">
        <w:trPr>
          <w:trHeight w:val="302"/>
        </w:trPr>
        <w:tc>
          <w:tcPr>
            <w:tcW w:w="1804" w:type="dxa"/>
            <w:tcBorders>
              <w:top w:val="nil"/>
              <w:left w:val="single" w:sz="4" w:space="0" w:color="auto"/>
              <w:bottom w:val="single" w:sz="4" w:space="0" w:color="auto"/>
              <w:right w:val="single" w:sz="4" w:space="0" w:color="auto"/>
            </w:tcBorders>
            <w:shd w:val="clear" w:color="000000" w:fill="C6EFCE"/>
            <w:noWrap/>
            <w:vAlign w:val="center"/>
          </w:tcPr>
          <w:p w14:paraId="67698078"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199</w:t>
            </w:r>
          </w:p>
        </w:tc>
        <w:tc>
          <w:tcPr>
            <w:tcW w:w="4283" w:type="dxa"/>
            <w:tcBorders>
              <w:top w:val="nil"/>
              <w:left w:val="nil"/>
              <w:bottom w:val="single" w:sz="4" w:space="0" w:color="auto"/>
              <w:right w:val="single" w:sz="4" w:space="0" w:color="auto"/>
            </w:tcBorders>
            <w:shd w:val="clear" w:color="000000" w:fill="C6EFCE"/>
            <w:noWrap/>
            <w:vAlign w:val="center"/>
          </w:tcPr>
          <w:p w14:paraId="55726FBB" w14:textId="37B7777D" w:rsidR="002D49B0" w:rsidRPr="00083739" w:rsidRDefault="00BF4125">
            <w:pPr>
              <w:pStyle w:val="P68B1DB1-Normal8"/>
              <w:keepNext/>
              <w:spacing w:before="40" w:after="0" w:line="240" w:lineRule="auto"/>
              <w:rPr>
                <w:rFonts w:eastAsia="Times New Roman" w:cs="Times New Roman"/>
                <w:bCs/>
                <w:noProof/>
                <w:szCs w:val="18"/>
                <w:lang w:val="sk-SK"/>
              </w:rPr>
            </w:pPr>
            <w:r w:rsidRPr="00083739">
              <w:rPr>
                <w:rFonts w:cs="Times New Roman"/>
                <w:noProof/>
                <w:lang w:val="sk-SK"/>
              </w:rPr>
              <w:t xml:space="preserve">12 – 4.1. Zabezpečiť, aby dane boli priaznivejšie pre </w:t>
            </w:r>
            <w:r w:rsidRPr="00083739">
              <w:rPr>
                <w:rFonts w:cs="Times New Roman"/>
                <w:noProof/>
                <w:lang w:val="sk-SK"/>
              </w:rPr>
              <w:t>rast</w:t>
            </w:r>
            <w:r w:rsidR="00083739" w:rsidRPr="00083739">
              <w:rPr>
                <w:rFonts w:cs="Times New Roman"/>
                <w:noProof/>
                <w:lang w:val="sk-SK"/>
              </w:rPr>
              <w:t xml:space="preserve"> a </w:t>
            </w:r>
            <w:r w:rsidRPr="00083739">
              <w:rPr>
                <w:rFonts w:cs="Times New Roman"/>
                <w:noProof/>
                <w:lang w:val="sk-SK"/>
              </w:rPr>
              <w:t>zlepšiť daňovú správu</w:t>
            </w:r>
            <w:r w:rsidR="00083739" w:rsidRPr="00083739">
              <w:rPr>
                <w:rFonts w:cs="Times New Roman"/>
                <w:noProof/>
                <w:lang w:val="sk-SK"/>
              </w:rPr>
              <w:t xml:space="preserve"> a </w:t>
            </w:r>
            <w:r w:rsidRPr="00083739">
              <w:rPr>
                <w:rFonts w:cs="Times New Roman"/>
                <w:noProof/>
                <w:lang w:val="sk-SK"/>
              </w:rPr>
              <w:t>výber daní – 16643_Kodifikácia</w:t>
            </w:r>
            <w:r w:rsidR="00083739" w:rsidRPr="00083739">
              <w:rPr>
                <w:rFonts w:cs="Times New Roman"/>
                <w:noProof/>
                <w:lang w:val="sk-SK"/>
              </w:rPr>
              <w:t xml:space="preserve"> a </w:t>
            </w:r>
            <w:r w:rsidRPr="00083739">
              <w:rPr>
                <w:rFonts w:cs="Times New Roman"/>
                <w:noProof/>
                <w:lang w:val="sk-SK"/>
              </w:rPr>
              <w:t>zjednodušenie daňových právnych predpisov</w:t>
            </w:r>
          </w:p>
        </w:tc>
        <w:tc>
          <w:tcPr>
            <w:tcW w:w="1701" w:type="dxa"/>
            <w:tcBorders>
              <w:top w:val="nil"/>
              <w:left w:val="nil"/>
              <w:bottom w:val="single" w:sz="4" w:space="0" w:color="auto"/>
              <w:right w:val="single" w:sz="4" w:space="0" w:color="auto"/>
            </w:tcBorders>
            <w:shd w:val="clear" w:color="000000" w:fill="C6EFCE"/>
            <w:noWrap/>
            <w:vAlign w:val="center"/>
          </w:tcPr>
          <w:p w14:paraId="2235479B" w14:textId="77777777" w:rsidR="002D49B0" w:rsidRPr="00083739" w:rsidRDefault="00BF4125">
            <w:pPr>
              <w:pStyle w:val="P68B1DB1-Normal8"/>
              <w:keepNext/>
              <w:spacing w:before="40" w:after="0" w:line="240" w:lineRule="auto"/>
              <w:rPr>
                <w:rFonts w:eastAsia="Times New Roman" w:cs="Times New Roman"/>
                <w:bCs/>
                <w:noProof/>
                <w:szCs w:val="18"/>
                <w:lang w:val="sk-SK"/>
              </w:rPr>
            </w:pPr>
            <w:r w:rsidRPr="00083739">
              <w:rPr>
                <w:rFonts w:cs="Times New Roman"/>
                <w:noProof/>
                <w:lang w:val="sk-SK"/>
              </w:rPr>
              <w:t>Míľnik</w:t>
            </w:r>
          </w:p>
        </w:tc>
        <w:tc>
          <w:tcPr>
            <w:tcW w:w="2153" w:type="dxa"/>
            <w:tcBorders>
              <w:top w:val="nil"/>
              <w:left w:val="nil"/>
              <w:bottom w:val="single" w:sz="4" w:space="0" w:color="auto"/>
              <w:right w:val="single" w:sz="4" w:space="0" w:color="auto"/>
            </w:tcBorders>
            <w:shd w:val="clear" w:color="000000" w:fill="C6EFCE"/>
            <w:noWrap/>
            <w:vAlign w:val="center"/>
          </w:tcPr>
          <w:p w14:paraId="7108C3A5" w14:textId="77777777" w:rsidR="002D49B0" w:rsidRPr="00083739" w:rsidRDefault="00BF4125">
            <w:pPr>
              <w:pStyle w:val="P68B1DB1-Normal8"/>
              <w:keepNext/>
              <w:spacing w:before="40" w:after="0" w:line="240" w:lineRule="auto"/>
              <w:rPr>
                <w:rFonts w:eastAsia="Times New Roman" w:cs="Times New Roman"/>
                <w:bCs/>
                <w:noProof/>
                <w:szCs w:val="18"/>
                <w:lang w:val="sk-SK"/>
              </w:rPr>
            </w:pPr>
            <w:r w:rsidRPr="00083739">
              <w:rPr>
                <w:rFonts w:cs="Times New Roman"/>
                <w:noProof/>
                <w:lang w:val="sk-SK"/>
              </w:rPr>
              <w:t>Zoznam pre kodifikáciu daní</w:t>
            </w:r>
          </w:p>
        </w:tc>
      </w:tr>
      <w:tr w:rsidR="002D49B0" w:rsidRPr="00083739" w14:paraId="38F121A9" w14:textId="77777777">
        <w:trPr>
          <w:trHeight w:val="302"/>
        </w:trPr>
        <w:tc>
          <w:tcPr>
            <w:tcW w:w="1804" w:type="dxa"/>
            <w:tcBorders>
              <w:top w:val="nil"/>
              <w:left w:val="single" w:sz="4" w:space="0" w:color="auto"/>
              <w:bottom w:val="single" w:sz="4" w:space="0" w:color="auto"/>
              <w:right w:val="single" w:sz="4" w:space="0" w:color="auto"/>
            </w:tcBorders>
            <w:shd w:val="clear" w:color="000000" w:fill="C6EFCE"/>
            <w:noWrap/>
            <w:vAlign w:val="center"/>
          </w:tcPr>
          <w:p w14:paraId="46F301E9"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200</w:t>
            </w:r>
          </w:p>
        </w:tc>
        <w:tc>
          <w:tcPr>
            <w:tcW w:w="4283" w:type="dxa"/>
            <w:tcBorders>
              <w:top w:val="nil"/>
              <w:left w:val="nil"/>
              <w:bottom w:val="single" w:sz="4" w:space="0" w:color="auto"/>
              <w:right w:val="single" w:sz="4" w:space="0" w:color="auto"/>
            </w:tcBorders>
            <w:shd w:val="clear" w:color="000000" w:fill="C6EFCE"/>
            <w:noWrap/>
            <w:vAlign w:val="center"/>
          </w:tcPr>
          <w:p w14:paraId="739D2CDF" w14:textId="02A59574" w:rsidR="002D49B0" w:rsidRPr="00083739" w:rsidRDefault="00BF4125">
            <w:pPr>
              <w:pStyle w:val="P68B1DB1-Normal8"/>
              <w:keepNext/>
              <w:spacing w:before="40" w:after="0" w:line="240" w:lineRule="auto"/>
              <w:rPr>
                <w:rFonts w:eastAsia="Times New Roman" w:cs="Times New Roman"/>
                <w:bCs/>
                <w:noProof/>
                <w:szCs w:val="18"/>
                <w:lang w:val="sk-SK"/>
              </w:rPr>
            </w:pPr>
            <w:r w:rsidRPr="00083739">
              <w:rPr>
                <w:rFonts w:cs="Times New Roman"/>
                <w:noProof/>
                <w:lang w:val="sk-SK"/>
              </w:rPr>
              <w:t>18 – 4.7. Zlepšenie konkurencieschopnosti</w:t>
            </w:r>
            <w:r w:rsidR="00083739" w:rsidRPr="00083739">
              <w:rPr>
                <w:rFonts w:cs="Times New Roman"/>
                <w:noProof/>
                <w:lang w:val="sk-SK"/>
              </w:rPr>
              <w:t xml:space="preserve"> a </w:t>
            </w:r>
            <w:r w:rsidRPr="00083739">
              <w:rPr>
                <w:rFonts w:cs="Times New Roman"/>
                <w:noProof/>
                <w:lang w:val="sk-SK"/>
              </w:rPr>
              <w:t>podpora súkromných investícií</w:t>
            </w:r>
            <w:r w:rsidR="00083739" w:rsidRPr="00083739">
              <w:rPr>
                <w:rFonts w:cs="Times New Roman"/>
                <w:noProof/>
                <w:lang w:val="sk-SK"/>
              </w:rPr>
              <w:t xml:space="preserve"> a </w:t>
            </w:r>
            <w:r w:rsidRPr="00083739">
              <w:rPr>
                <w:rFonts w:cs="Times New Roman"/>
                <w:noProof/>
                <w:lang w:val="sk-SK"/>
              </w:rPr>
              <w:t>obchodu – 16598_Režim stimulov pre</w:t>
            </w:r>
            <w:r w:rsidRPr="00083739">
              <w:rPr>
                <w:rFonts w:cs="Times New Roman"/>
                <w:noProof/>
                <w:lang w:val="sk-SK"/>
              </w:rPr>
              <w:t xml:space="preserve"> produktivitu</w:t>
            </w:r>
            <w:r w:rsidR="00083739" w:rsidRPr="00083739">
              <w:rPr>
                <w:rFonts w:cs="Times New Roman"/>
                <w:noProof/>
                <w:lang w:val="sk-SK"/>
              </w:rPr>
              <w:t xml:space="preserve"> a </w:t>
            </w:r>
            <w:r w:rsidRPr="00083739">
              <w:rPr>
                <w:rFonts w:cs="Times New Roman"/>
                <w:noProof/>
                <w:lang w:val="sk-SK"/>
              </w:rPr>
              <w:t>vylúčenie podnikov (zvýšenie veľkosti podnikov)</w:t>
            </w:r>
          </w:p>
        </w:tc>
        <w:tc>
          <w:tcPr>
            <w:tcW w:w="1701" w:type="dxa"/>
            <w:tcBorders>
              <w:top w:val="nil"/>
              <w:left w:val="nil"/>
              <w:bottom w:val="single" w:sz="4" w:space="0" w:color="auto"/>
              <w:right w:val="single" w:sz="4" w:space="0" w:color="auto"/>
            </w:tcBorders>
            <w:shd w:val="clear" w:color="000000" w:fill="C6EFCE"/>
            <w:noWrap/>
            <w:vAlign w:val="center"/>
          </w:tcPr>
          <w:p w14:paraId="6FCF500F" w14:textId="77777777" w:rsidR="002D49B0" w:rsidRPr="00083739" w:rsidRDefault="00BF4125">
            <w:pPr>
              <w:pStyle w:val="P68B1DB1-Normal8"/>
              <w:keepNext/>
              <w:spacing w:before="40" w:after="0" w:line="240" w:lineRule="auto"/>
              <w:rPr>
                <w:rFonts w:eastAsia="Times New Roman" w:cs="Times New Roman"/>
                <w:bCs/>
                <w:noProof/>
                <w:szCs w:val="18"/>
                <w:lang w:val="sk-SK"/>
              </w:rPr>
            </w:pPr>
            <w:r w:rsidRPr="00083739">
              <w:rPr>
                <w:rFonts w:cs="Times New Roman"/>
                <w:noProof/>
                <w:lang w:val="sk-SK"/>
              </w:rPr>
              <w:t>Míľnik</w:t>
            </w:r>
          </w:p>
        </w:tc>
        <w:tc>
          <w:tcPr>
            <w:tcW w:w="2153" w:type="dxa"/>
            <w:tcBorders>
              <w:top w:val="nil"/>
              <w:left w:val="nil"/>
              <w:bottom w:val="single" w:sz="4" w:space="0" w:color="auto"/>
              <w:right w:val="single" w:sz="4" w:space="0" w:color="auto"/>
            </w:tcBorders>
            <w:shd w:val="clear" w:color="000000" w:fill="C6EFCE"/>
            <w:noWrap/>
            <w:vAlign w:val="center"/>
          </w:tcPr>
          <w:p w14:paraId="7F3F42C3" w14:textId="77777777" w:rsidR="002D49B0" w:rsidRPr="00083739" w:rsidRDefault="00BF4125">
            <w:pPr>
              <w:pStyle w:val="P68B1DB1-Normal8"/>
              <w:keepNext/>
              <w:spacing w:before="40" w:after="0" w:line="240" w:lineRule="auto"/>
              <w:rPr>
                <w:rFonts w:eastAsia="Times New Roman" w:cs="Times New Roman"/>
                <w:bCs/>
                <w:noProof/>
                <w:szCs w:val="18"/>
                <w:lang w:val="sk-SK"/>
              </w:rPr>
            </w:pPr>
            <w:r w:rsidRPr="00083739">
              <w:rPr>
                <w:rFonts w:cs="Times New Roman"/>
                <w:noProof/>
                <w:lang w:val="sk-SK"/>
              </w:rPr>
              <w:t>Návrh právneho predpisu na podporu extroverzie podnikov</w:t>
            </w:r>
          </w:p>
        </w:tc>
      </w:tr>
      <w:tr w:rsidR="002D49B0" w:rsidRPr="00083739" w14:paraId="1C955F23" w14:textId="77777777">
        <w:trPr>
          <w:trHeight w:val="302"/>
        </w:trPr>
        <w:tc>
          <w:tcPr>
            <w:tcW w:w="1804" w:type="dxa"/>
            <w:tcBorders>
              <w:top w:val="nil"/>
              <w:left w:val="single" w:sz="4" w:space="0" w:color="auto"/>
              <w:bottom w:val="single" w:sz="4" w:space="0" w:color="auto"/>
              <w:right w:val="single" w:sz="4" w:space="0" w:color="auto"/>
            </w:tcBorders>
            <w:shd w:val="clear" w:color="000000" w:fill="C6EFCE"/>
            <w:noWrap/>
            <w:vAlign w:val="center"/>
          </w:tcPr>
          <w:p w14:paraId="15A51CC0"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222</w:t>
            </w:r>
          </w:p>
        </w:tc>
        <w:tc>
          <w:tcPr>
            <w:tcW w:w="4283" w:type="dxa"/>
            <w:tcBorders>
              <w:top w:val="nil"/>
              <w:left w:val="nil"/>
              <w:bottom w:val="single" w:sz="4" w:space="0" w:color="auto"/>
              <w:right w:val="single" w:sz="4" w:space="0" w:color="auto"/>
            </w:tcBorders>
            <w:shd w:val="clear" w:color="000000" w:fill="C6EFCE"/>
            <w:noWrap/>
            <w:vAlign w:val="center"/>
          </w:tcPr>
          <w:p w14:paraId="7A4CA8BE" w14:textId="77777777" w:rsidR="002D49B0" w:rsidRPr="00083739" w:rsidRDefault="00BF4125">
            <w:pPr>
              <w:pStyle w:val="P68B1DB1-Normal8"/>
              <w:keepNext/>
              <w:spacing w:before="40" w:after="0" w:line="240" w:lineRule="auto"/>
              <w:rPr>
                <w:rFonts w:eastAsia="Times New Roman" w:cs="Times New Roman"/>
                <w:bCs/>
                <w:noProof/>
                <w:szCs w:val="18"/>
                <w:lang w:val="sk-SK"/>
              </w:rPr>
            </w:pPr>
            <w:r w:rsidRPr="00083739">
              <w:rPr>
                <w:rFonts w:cs="Times New Roman"/>
                <w:noProof/>
                <w:lang w:val="sk-SK"/>
              </w:rPr>
              <w:t>14 – 4.3. Zlepšiť efektívnosť justičného systému – 16292_Nové budovy súdnictva</w:t>
            </w:r>
          </w:p>
        </w:tc>
        <w:tc>
          <w:tcPr>
            <w:tcW w:w="1701" w:type="dxa"/>
            <w:tcBorders>
              <w:top w:val="nil"/>
              <w:left w:val="nil"/>
              <w:bottom w:val="single" w:sz="4" w:space="0" w:color="auto"/>
              <w:right w:val="single" w:sz="4" w:space="0" w:color="auto"/>
            </w:tcBorders>
            <w:shd w:val="clear" w:color="000000" w:fill="C6EFCE"/>
            <w:noWrap/>
            <w:vAlign w:val="center"/>
          </w:tcPr>
          <w:p w14:paraId="69F28DA9" w14:textId="77777777" w:rsidR="002D49B0" w:rsidRPr="00083739" w:rsidRDefault="00BF4125">
            <w:pPr>
              <w:pStyle w:val="P68B1DB1-Normal8"/>
              <w:keepNext/>
              <w:spacing w:before="40" w:after="0" w:line="240" w:lineRule="auto"/>
              <w:rPr>
                <w:rFonts w:eastAsia="Times New Roman" w:cs="Times New Roman"/>
                <w:bCs/>
                <w:noProof/>
                <w:szCs w:val="18"/>
                <w:lang w:val="sk-SK"/>
              </w:rPr>
            </w:pPr>
            <w:r w:rsidRPr="00083739">
              <w:rPr>
                <w:rFonts w:cs="Times New Roman"/>
                <w:noProof/>
                <w:lang w:val="sk-SK"/>
              </w:rPr>
              <w:t>Míľnik</w:t>
            </w:r>
          </w:p>
        </w:tc>
        <w:tc>
          <w:tcPr>
            <w:tcW w:w="2153" w:type="dxa"/>
            <w:tcBorders>
              <w:top w:val="nil"/>
              <w:left w:val="nil"/>
              <w:bottom w:val="single" w:sz="4" w:space="0" w:color="auto"/>
              <w:right w:val="single" w:sz="4" w:space="0" w:color="auto"/>
            </w:tcBorders>
            <w:shd w:val="clear" w:color="000000" w:fill="C6EFCE"/>
            <w:noWrap/>
            <w:vAlign w:val="center"/>
          </w:tcPr>
          <w:p w14:paraId="19318A5A" w14:textId="77777777" w:rsidR="002D49B0" w:rsidRPr="00083739" w:rsidRDefault="00BF4125">
            <w:pPr>
              <w:pStyle w:val="P68B1DB1-Normal8"/>
              <w:keepNext/>
              <w:spacing w:before="40" w:after="0" w:line="240" w:lineRule="auto"/>
              <w:rPr>
                <w:rFonts w:eastAsia="Times New Roman" w:cs="Times New Roman"/>
                <w:bCs/>
                <w:noProof/>
                <w:szCs w:val="18"/>
                <w:lang w:val="sk-SK"/>
              </w:rPr>
            </w:pPr>
            <w:r w:rsidRPr="00083739">
              <w:rPr>
                <w:rFonts w:cs="Times New Roman"/>
                <w:noProof/>
                <w:lang w:val="sk-SK"/>
              </w:rPr>
              <w:t>Identifikácia – Oprávnené budovy</w:t>
            </w:r>
          </w:p>
        </w:tc>
      </w:tr>
      <w:tr w:rsidR="002D49B0" w:rsidRPr="00083739" w14:paraId="6EF48E8D" w14:textId="77777777">
        <w:trPr>
          <w:trHeight w:val="302"/>
        </w:trPr>
        <w:tc>
          <w:tcPr>
            <w:tcW w:w="1804" w:type="dxa"/>
            <w:tcBorders>
              <w:top w:val="nil"/>
              <w:left w:val="single" w:sz="4" w:space="0" w:color="auto"/>
              <w:bottom w:val="single" w:sz="4" w:space="0" w:color="auto"/>
              <w:right w:val="single" w:sz="4" w:space="0" w:color="auto"/>
            </w:tcBorders>
            <w:shd w:val="clear" w:color="000000" w:fill="C6EFCE"/>
            <w:noWrap/>
            <w:vAlign w:val="center"/>
          </w:tcPr>
          <w:p w14:paraId="296F7D49"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263</w:t>
            </w:r>
          </w:p>
        </w:tc>
        <w:tc>
          <w:tcPr>
            <w:tcW w:w="4283" w:type="dxa"/>
            <w:tcBorders>
              <w:top w:val="nil"/>
              <w:left w:val="nil"/>
              <w:bottom w:val="single" w:sz="4" w:space="0" w:color="auto"/>
              <w:right w:val="single" w:sz="4" w:space="0" w:color="auto"/>
            </w:tcBorders>
            <w:shd w:val="clear" w:color="000000" w:fill="C6EFCE"/>
            <w:noWrap/>
            <w:vAlign w:val="center"/>
          </w:tcPr>
          <w:p w14:paraId="35261C82" w14:textId="6A303D33" w:rsidR="002D49B0" w:rsidRPr="00083739" w:rsidRDefault="00BF4125">
            <w:pPr>
              <w:pStyle w:val="P68B1DB1-Normal8"/>
              <w:keepNext/>
              <w:spacing w:before="40" w:after="0" w:line="240" w:lineRule="auto"/>
              <w:rPr>
                <w:rFonts w:eastAsia="Times New Roman" w:cs="Times New Roman"/>
                <w:bCs/>
                <w:noProof/>
                <w:szCs w:val="18"/>
                <w:lang w:val="sk-SK"/>
              </w:rPr>
            </w:pPr>
            <w:r w:rsidRPr="00083739">
              <w:rPr>
                <w:rFonts w:cs="Times New Roman"/>
                <w:noProof/>
                <w:lang w:val="sk-SK"/>
              </w:rPr>
              <w:t>17 – 4.6. Modernizácia</w:t>
            </w:r>
            <w:r w:rsidR="00083739" w:rsidRPr="00083739">
              <w:rPr>
                <w:rFonts w:cs="Times New Roman"/>
                <w:noProof/>
                <w:lang w:val="sk-SK"/>
              </w:rPr>
              <w:t xml:space="preserve"> a </w:t>
            </w:r>
            <w:r w:rsidRPr="00083739">
              <w:rPr>
                <w:rFonts w:cs="Times New Roman"/>
                <w:noProof/>
                <w:lang w:val="sk-SK"/>
              </w:rPr>
              <w:t>zlepšenie odolnosti kľúčových hospodárskych odvetví – 16982_Organizačná reforma</w:t>
            </w:r>
            <w:r w:rsidR="00083739" w:rsidRPr="00083739">
              <w:rPr>
                <w:rFonts w:cs="Times New Roman"/>
                <w:noProof/>
                <w:lang w:val="sk-SK"/>
              </w:rPr>
              <w:t xml:space="preserve"> v </w:t>
            </w:r>
            <w:r w:rsidRPr="00083739">
              <w:rPr>
                <w:rFonts w:cs="Times New Roman"/>
                <w:noProof/>
                <w:lang w:val="sk-SK"/>
              </w:rPr>
              <w:t>železničnom sektore</w:t>
            </w:r>
          </w:p>
        </w:tc>
        <w:tc>
          <w:tcPr>
            <w:tcW w:w="1701" w:type="dxa"/>
            <w:tcBorders>
              <w:top w:val="nil"/>
              <w:left w:val="nil"/>
              <w:bottom w:val="single" w:sz="4" w:space="0" w:color="auto"/>
              <w:right w:val="single" w:sz="4" w:space="0" w:color="auto"/>
            </w:tcBorders>
            <w:shd w:val="clear" w:color="000000" w:fill="C6EFCE"/>
            <w:noWrap/>
            <w:vAlign w:val="center"/>
          </w:tcPr>
          <w:p w14:paraId="1220698B" w14:textId="77777777" w:rsidR="002D49B0" w:rsidRPr="00083739" w:rsidRDefault="00BF4125">
            <w:pPr>
              <w:pStyle w:val="P68B1DB1-Normal8"/>
              <w:keepNext/>
              <w:spacing w:before="40" w:after="0" w:line="240" w:lineRule="auto"/>
              <w:rPr>
                <w:rFonts w:eastAsia="Times New Roman" w:cs="Times New Roman"/>
                <w:bCs/>
                <w:noProof/>
                <w:szCs w:val="18"/>
                <w:lang w:val="sk-SK"/>
              </w:rPr>
            </w:pPr>
            <w:r w:rsidRPr="00083739">
              <w:rPr>
                <w:rFonts w:cs="Times New Roman"/>
                <w:noProof/>
                <w:lang w:val="sk-SK"/>
              </w:rPr>
              <w:t>Míľnik</w:t>
            </w:r>
          </w:p>
        </w:tc>
        <w:tc>
          <w:tcPr>
            <w:tcW w:w="2153" w:type="dxa"/>
            <w:tcBorders>
              <w:top w:val="nil"/>
              <w:left w:val="nil"/>
              <w:bottom w:val="single" w:sz="4" w:space="0" w:color="auto"/>
              <w:right w:val="single" w:sz="4" w:space="0" w:color="auto"/>
            </w:tcBorders>
            <w:shd w:val="clear" w:color="000000" w:fill="C6EFCE"/>
            <w:noWrap/>
            <w:vAlign w:val="center"/>
          </w:tcPr>
          <w:p w14:paraId="007DA376" w14:textId="77777777" w:rsidR="002D49B0" w:rsidRPr="00083739" w:rsidRDefault="00BF4125">
            <w:pPr>
              <w:pStyle w:val="P68B1DB1-Normal8"/>
              <w:keepNext/>
              <w:spacing w:before="40" w:after="0" w:line="240" w:lineRule="auto"/>
              <w:rPr>
                <w:rFonts w:eastAsia="Times New Roman" w:cs="Times New Roman"/>
                <w:bCs/>
                <w:noProof/>
                <w:szCs w:val="18"/>
                <w:lang w:val="sk-SK"/>
              </w:rPr>
            </w:pPr>
            <w:r w:rsidRPr="00083739">
              <w:rPr>
                <w:rFonts w:cs="Times New Roman"/>
                <w:noProof/>
                <w:lang w:val="sk-SK"/>
              </w:rPr>
              <w:t>Plán reformy železníc</w:t>
            </w:r>
          </w:p>
        </w:tc>
      </w:tr>
      <w:tr w:rsidR="002D49B0" w:rsidRPr="00083739" w14:paraId="0A9D282D" w14:textId="77777777">
        <w:trPr>
          <w:trHeight w:val="302"/>
        </w:trPr>
        <w:tc>
          <w:tcPr>
            <w:tcW w:w="1804" w:type="dxa"/>
            <w:tcBorders>
              <w:top w:val="nil"/>
              <w:left w:val="single" w:sz="4" w:space="0" w:color="auto"/>
              <w:bottom w:val="single" w:sz="4" w:space="0" w:color="auto"/>
              <w:right w:val="single" w:sz="4" w:space="0" w:color="auto"/>
            </w:tcBorders>
            <w:shd w:val="clear" w:color="000000" w:fill="C6EFCE"/>
            <w:noWrap/>
            <w:vAlign w:val="center"/>
          </w:tcPr>
          <w:p w14:paraId="370DA944"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331</w:t>
            </w:r>
          </w:p>
        </w:tc>
        <w:tc>
          <w:tcPr>
            <w:tcW w:w="4283" w:type="dxa"/>
            <w:tcBorders>
              <w:top w:val="nil"/>
              <w:left w:val="nil"/>
              <w:bottom w:val="single" w:sz="4" w:space="0" w:color="auto"/>
              <w:right w:val="single" w:sz="4" w:space="0" w:color="auto"/>
            </w:tcBorders>
            <w:shd w:val="clear" w:color="000000" w:fill="C6EFCE"/>
            <w:noWrap/>
            <w:vAlign w:val="center"/>
          </w:tcPr>
          <w:p w14:paraId="22236641" w14:textId="77777777" w:rsidR="002D49B0" w:rsidRPr="00083739" w:rsidRDefault="00BF4125">
            <w:pPr>
              <w:pStyle w:val="P68B1DB1-Normal8"/>
              <w:keepNext/>
              <w:spacing w:before="40" w:after="0" w:line="240" w:lineRule="auto"/>
              <w:rPr>
                <w:rFonts w:eastAsia="Times New Roman" w:cs="Times New Roman"/>
                <w:bCs/>
                <w:noProof/>
                <w:szCs w:val="18"/>
                <w:lang w:val="sk-SK"/>
              </w:rPr>
            </w:pPr>
            <w:r w:rsidRPr="00083739">
              <w:rPr>
                <w:rFonts w:cs="Times New Roman"/>
                <w:noProof/>
                <w:lang w:val="sk-SK"/>
              </w:rPr>
              <w:t>19 – 16968_Technická pomoc</w:t>
            </w:r>
          </w:p>
        </w:tc>
        <w:tc>
          <w:tcPr>
            <w:tcW w:w="1701" w:type="dxa"/>
            <w:tcBorders>
              <w:top w:val="nil"/>
              <w:left w:val="nil"/>
              <w:bottom w:val="single" w:sz="4" w:space="0" w:color="auto"/>
              <w:right w:val="single" w:sz="4" w:space="0" w:color="auto"/>
            </w:tcBorders>
            <w:shd w:val="clear" w:color="000000" w:fill="C6EFCE"/>
            <w:noWrap/>
            <w:vAlign w:val="center"/>
          </w:tcPr>
          <w:p w14:paraId="43168934" w14:textId="77777777" w:rsidR="002D49B0" w:rsidRPr="00083739" w:rsidRDefault="00BF4125">
            <w:pPr>
              <w:pStyle w:val="P68B1DB1-Normal8"/>
              <w:keepNext/>
              <w:spacing w:before="40" w:after="0" w:line="240" w:lineRule="auto"/>
              <w:rPr>
                <w:rFonts w:eastAsia="Times New Roman" w:cs="Times New Roman"/>
                <w:bCs/>
                <w:noProof/>
                <w:szCs w:val="18"/>
                <w:lang w:val="sk-SK"/>
              </w:rPr>
            </w:pPr>
            <w:r w:rsidRPr="00083739">
              <w:rPr>
                <w:rFonts w:cs="Times New Roman"/>
                <w:noProof/>
                <w:lang w:val="sk-SK"/>
              </w:rPr>
              <w:t>Míľnik</w:t>
            </w:r>
          </w:p>
        </w:tc>
        <w:tc>
          <w:tcPr>
            <w:tcW w:w="2153" w:type="dxa"/>
            <w:tcBorders>
              <w:top w:val="nil"/>
              <w:left w:val="nil"/>
              <w:bottom w:val="single" w:sz="4" w:space="0" w:color="auto"/>
              <w:right w:val="single" w:sz="4" w:space="0" w:color="auto"/>
            </w:tcBorders>
            <w:shd w:val="clear" w:color="000000" w:fill="C6EFCE"/>
            <w:noWrap/>
            <w:vAlign w:val="center"/>
          </w:tcPr>
          <w:p w14:paraId="529A7591" w14:textId="3FD3789F" w:rsidR="002D49B0" w:rsidRPr="00083739" w:rsidRDefault="00BF4125">
            <w:pPr>
              <w:pStyle w:val="P68B1DB1-Normal8"/>
              <w:keepNext/>
              <w:spacing w:before="40" w:after="0" w:line="240" w:lineRule="auto"/>
              <w:rPr>
                <w:rFonts w:eastAsia="Times New Roman" w:cs="Times New Roman"/>
                <w:bCs/>
                <w:noProof/>
                <w:szCs w:val="18"/>
                <w:lang w:val="sk-SK"/>
              </w:rPr>
            </w:pPr>
            <w:r w:rsidRPr="00083739">
              <w:rPr>
                <w:rFonts w:cs="Times New Roman"/>
                <w:noProof/>
                <w:lang w:val="sk-SK"/>
              </w:rPr>
              <w:t>Právny mandát EDEL</w:t>
            </w:r>
            <w:r w:rsidR="00083739" w:rsidRPr="00083739">
              <w:rPr>
                <w:rFonts w:cs="Times New Roman"/>
                <w:noProof/>
                <w:lang w:val="sk-SK"/>
              </w:rPr>
              <w:t xml:space="preserve"> a </w:t>
            </w:r>
            <w:r w:rsidRPr="00083739">
              <w:rPr>
                <w:rFonts w:cs="Times New Roman"/>
                <w:noProof/>
                <w:lang w:val="sk-SK"/>
              </w:rPr>
              <w:t>zriadenie systémov riadenia, kontroly</w:t>
            </w:r>
            <w:r w:rsidR="00083739" w:rsidRPr="00083739">
              <w:rPr>
                <w:rFonts w:cs="Times New Roman"/>
                <w:noProof/>
                <w:lang w:val="sk-SK"/>
              </w:rPr>
              <w:t xml:space="preserve"> a </w:t>
            </w:r>
            <w:r w:rsidRPr="00083739">
              <w:rPr>
                <w:rFonts w:cs="Times New Roman"/>
                <w:noProof/>
                <w:lang w:val="sk-SK"/>
              </w:rPr>
              <w:t xml:space="preserve">auditu </w:t>
            </w:r>
          </w:p>
        </w:tc>
      </w:tr>
      <w:tr w:rsidR="002D49B0" w:rsidRPr="00083739" w14:paraId="1BC4E3EA" w14:textId="77777777">
        <w:trPr>
          <w:trHeight w:val="302"/>
        </w:trPr>
        <w:tc>
          <w:tcPr>
            <w:tcW w:w="18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A1AFA6C" w14:textId="77777777" w:rsidR="002D49B0" w:rsidRPr="00083739" w:rsidRDefault="002D49B0">
            <w:pPr>
              <w:keepNext/>
              <w:spacing w:before="40" w:after="0" w:line="259" w:lineRule="auto"/>
              <w:jc w:val="both"/>
              <w:rPr>
                <w:rFonts w:ascii="Times New Roman" w:eastAsia="Times New Roman" w:hAnsi="Times New Roman" w:cs="Times New Roman"/>
                <w:noProof/>
                <w:sz w:val="18"/>
                <w:szCs w:val="18"/>
                <w:lang w:val="sk-SK"/>
              </w:rPr>
            </w:pPr>
          </w:p>
        </w:tc>
        <w:tc>
          <w:tcPr>
            <w:tcW w:w="4283" w:type="dxa"/>
            <w:tcBorders>
              <w:top w:val="single" w:sz="4" w:space="0" w:color="auto"/>
              <w:left w:val="nil"/>
              <w:bottom w:val="single" w:sz="4" w:space="0" w:color="auto"/>
              <w:right w:val="single" w:sz="4" w:space="0" w:color="auto"/>
            </w:tcBorders>
            <w:shd w:val="clear" w:color="auto" w:fill="C6EFCE"/>
            <w:noWrap/>
            <w:vAlign w:val="bottom"/>
          </w:tcPr>
          <w:p w14:paraId="0805E44B" w14:textId="77777777" w:rsidR="002D49B0" w:rsidRPr="00083739" w:rsidRDefault="002D49B0">
            <w:pPr>
              <w:keepNext/>
              <w:spacing w:before="40" w:after="0" w:line="259" w:lineRule="auto"/>
              <w:rPr>
                <w:rFonts w:ascii="Times New Roman" w:eastAsia="Times New Roman" w:hAnsi="Times New Roman" w:cs="Times New Roman"/>
                <w:bCs/>
                <w:noProof/>
                <w:sz w:val="18"/>
                <w:szCs w:val="18"/>
                <w:lang w:val="sk-SK"/>
              </w:rPr>
            </w:pPr>
          </w:p>
        </w:tc>
        <w:tc>
          <w:tcPr>
            <w:tcW w:w="1701" w:type="dxa"/>
            <w:tcBorders>
              <w:top w:val="single" w:sz="4" w:space="0" w:color="auto"/>
              <w:left w:val="nil"/>
              <w:bottom w:val="single" w:sz="4" w:space="0" w:color="auto"/>
              <w:right w:val="single" w:sz="4" w:space="0" w:color="auto"/>
            </w:tcBorders>
            <w:shd w:val="clear" w:color="auto" w:fill="C6EFCE"/>
            <w:noWrap/>
            <w:vAlign w:val="bottom"/>
          </w:tcPr>
          <w:p w14:paraId="6513C9AA" w14:textId="77777777" w:rsidR="002D49B0" w:rsidRPr="00083739" w:rsidRDefault="00BF4125">
            <w:pPr>
              <w:pStyle w:val="P68B1DB1-Normal8"/>
              <w:keepNext/>
              <w:spacing w:before="40" w:after="0" w:line="259" w:lineRule="auto"/>
              <w:rPr>
                <w:rFonts w:eastAsia="Times New Roman" w:cs="Times New Roman"/>
                <w:bCs/>
                <w:noProof/>
                <w:szCs w:val="18"/>
                <w:lang w:val="sk-SK"/>
              </w:rPr>
            </w:pPr>
            <w:r w:rsidRPr="00083739">
              <w:rPr>
                <w:rFonts w:cs="Times New Roman"/>
                <w:noProof/>
                <w:lang w:val="sk-SK"/>
              </w:rPr>
              <w:t>Suma splátky</w:t>
            </w:r>
          </w:p>
        </w:tc>
        <w:tc>
          <w:tcPr>
            <w:tcW w:w="2153" w:type="dxa"/>
            <w:tcBorders>
              <w:top w:val="single" w:sz="4" w:space="0" w:color="auto"/>
              <w:left w:val="nil"/>
              <w:bottom w:val="single" w:sz="4" w:space="0" w:color="auto"/>
              <w:right w:val="single" w:sz="4" w:space="0" w:color="auto"/>
            </w:tcBorders>
            <w:shd w:val="clear" w:color="auto" w:fill="C6EFCE"/>
            <w:noWrap/>
            <w:vAlign w:val="bottom"/>
          </w:tcPr>
          <w:p w14:paraId="432C7658" w14:textId="77777777" w:rsidR="002D49B0" w:rsidRPr="00083739" w:rsidRDefault="00BF4125">
            <w:pPr>
              <w:pStyle w:val="P68B1DB1-Normal8"/>
              <w:keepNext/>
              <w:spacing w:before="40" w:after="0" w:line="259" w:lineRule="auto"/>
              <w:rPr>
                <w:rFonts w:eastAsia="Times New Roman" w:cs="Times New Roman"/>
                <w:bCs/>
                <w:noProof/>
                <w:szCs w:val="18"/>
                <w:lang w:val="sk-SK"/>
              </w:rPr>
            </w:pPr>
            <w:r w:rsidRPr="00083739">
              <w:rPr>
                <w:rFonts w:cs="Times New Roman"/>
                <w:noProof/>
                <w:lang w:val="sk-SK"/>
              </w:rPr>
              <w:t>1 974 438 067 EUR</w:t>
            </w:r>
          </w:p>
        </w:tc>
      </w:tr>
    </w:tbl>
    <w:p w14:paraId="6D0B1074" w14:textId="3EE89EFB" w:rsidR="002D49B0" w:rsidRPr="00083739" w:rsidRDefault="002D49B0">
      <w:pPr>
        <w:rPr>
          <w:rFonts w:ascii="Times New Roman" w:hAnsi="Times New Roman" w:cs="Times New Roman"/>
          <w:noProof/>
          <w:sz w:val="24"/>
          <w:lang w:val="sk-SK"/>
        </w:rPr>
      </w:pPr>
    </w:p>
    <w:p w14:paraId="2B43B8C3" w14:textId="05CD28A6" w:rsidR="002D49B0" w:rsidRPr="00083739" w:rsidRDefault="00BF4125">
      <w:pPr>
        <w:pStyle w:val="P68B1DB1-Normal4"/>
        <w:keepNext/>
        <w:numPr>
          <w:ilvl w:val="1"/>
          <w:numId w:val="22"/>
        </w:numPr>
        <w:spacing w:before="40" w:after="160" w:line="259" w:lineRule="auto"/>
        <w:ind w:left="0"/>
        <w:contextualSpacing/>
        <w:jc w:val="both"/>
        <w:rPr>
          <w:rFonts w:cs="Times New Roman"/>
          <w:noProof/>
          <w:lang w:val="sk-SK"/>
        </w:rPr>
      </w:pPr>
      <w:r w:rsidRPr="00083739">
        <w:rPr>
          <w:rFonts w:cs="Times New Roman"/>
          <w:noProof/>
          <w:lang w:val="sk-SK"/>
        </w:rPr>
        <w:t xml:space="preserve"> Druhá žiadosť</w:t>
      </w:r>
      <w:r w:rsidR="00083739" w:rsidRPr="00083739">
        <w:rPr>
          <w:rFonts w:cs="Times New Roman"/>
          <w:noProof/>
          <w:lang w:val="sk-SK"/>
        </w:rPr>
        <w:t xml:space="preserve"> o </w:t>
      </w:r>
      <w:r w:rsidRPr="00083739">
        <w:rPr>
          <w:rFonts w:cs="Times New Roman"/>
          <w:noProof/>
          <w:lang w:val="sk-SK"/>
        </w:rPr>
        <w:t>platbu (nenávratná podpora):</w:t>
      </w:r>
    </w:p>
    <w:p w14:paraId="23A048F1" w14:textId="77777777" w:rsidR="002D49B0" w:rsidRPr="00083739" w:rsidRDefault="002D49B0">
      <w:pPr>
        <w:keepNext/>
        <w:spacing w:before="40" w:after="160" w:line="259" w:lineRule="auto"/>
        <w:contextualSpacing/>
        <w:jc w:val="both"/>
        <w:rPr>
          <w:rFonts w:ascii="Times New Roman" w:eastAsia="Times New Roman" w:hAnsi="Times New Roman" w:cs="Times New Roman"/>
          <w:noProof/>
          <w:sz w:val="24"/>
          <w:lang w:val="sk-SK"/>
        </w:rPr>
      </w:pPr>
    </w:p>
    <w:tbl>
      <w:tblPr>
        <w:tblpPr w:leftFromText="180" w:rightFromText="180" w:vertAnchor="text" w:tblpXSpec="center" w:tblpY="1"/>
        <w:tblOverlap w:val="never"/>
        <w:tblW w:w="9519" w:type="dxa"/>
        <w:tblLook w:val="04A0" w:firstRow="1" w:lastRow="0" w:firstColumn="1" w:lastColumn="0" w:noHBand="0" w:noVBand="1"/>
      </w:tblPr>
      <w:tblGrid>
        <w:gridCol w:w="1804"/>
        <w:gridCol w:w="4283"/>
        <w:gridCol w:w="1692"/>
        <w:gridCol w:w="1740"/>
      </w:tblGrid>
      <w:tr w:rsidR="002D49B0" w:rsidRPr="00083739" w14:paraId="440623B5" w14:textId="77777777">
        <w:trPr>
          <w:trHeight w:val="509"/>
          <w:tblHeader/>
        </w:trPr>
        <w:tc>
          <w:tcPr>
            <w:tcW w:w="1804"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1AB5DF17" w14:textId="2B2E6252" w:rsidR="002D49B0" w:rsidRPr="00083739" w:rsidRDefault="00BF4125">
            <w:pPr>
              <w:pStyle w:val="P68B1DB1-Normal7"/>
              <w:keepNext/>
              <w:spacing w:before="40" w:after="0" w:line="259" w:lineRule="auto"/>
              <w:jc w:val="center"/>
              <w:rPr>
                <w:rFonts w:eastAsia="Times New Roman" w:cs="Times New Roman"/>
                <w:bCs/>
                <w:noProof/>
                <w:szCs w:val="18"/>
                <w:lang w:val="sk-SK"/>
              </w:rPr>
            </w:pPr>
            <w:r w:rsidRPr="00083739">
              <w:rPr>
                <w:rFonts w:cs="Times New Roman"/>
                <w:noProof/>
                <w:lang w:val="sk-SK"/>
              </w:rPr>
              <w:t>Poradové číslo</w:t>
            </w:r>
          </w:p>
        </w:tc>
        <w:tc>
          <w:tcPr>
            <w:tcW w:w="428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4E3C302C" w14:textId="77777777" w:rsidR="002D49B0" w:rsidRPr="00083739" w:rsidRDefault="00BF4125">
            <w:pPr>
              <w:pStyle w:val="P68B1DB1-Normal7"/>
              <w:keepNext/>
              <w:spacing w:before="40" w:after="0" w:line="259" w:lineRule="auto"/>
              <w:jc w:val="center"/>
              <w:rPr>
                <w:rFonts w:eastAsia="Times New Roman" w:cs="Times New Roman"/>
                <w:bCs/>
                <w:noProof/>
                <w:szCs w:val="18"/>
                <w:lang w:val="sk-SK"/>
              </w:rPr>
            </w:pPr>
            <w:r w:rsidRPr="00083739">
              <w:rPr>
                <w:rFonts w:cs="Times New Roman"/>
                <w:noProof/>
                <w:lang w:val="sk-SK"/>
              </w:rPr>
              <w:t>Súvisiace opatrenie (reforma alebo investícia)</w:t>
            </w:r>
          </w:p>
        </w:tc>
        <w:tc>
          <w:tcPr>
            <w:tcW w:w="1692"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7610F860" w14:textId="77777777" w:rsidR="002D49B0" w:rsidRPr="00083739" w:rsidRDefault="00BF4125">
            <w:pPr>
              <w:pStyle w:val="P68B1DB1-Normal7"/>
              <w:keepNext/>
              <w:spacing w:before="40" w:after="0" w:line="259" w:lineRule="auto"/>
              <w:jc w:val="center"/>
              <w:rPr>
                <w:rFonts w:eastAsia="Times New Roman" w:cs="Times New Roman"/>
                <w:bCs/>
                <w:noProof/>
                <w:szCs w:val="18"/>
                <w:lang w:val="sk-SK"/>
              </w:rPr>
            </w:pPr>
            <w:r w:rsidRPr="00083739">
              <w:rPr>
                <w:rFonts w:cs="Times New Roman"/>
                <w:noProof/>
                <w:lang w:val="sk-SK"/>
              </w:rPr>
              <w:t>Míľnik/cieľ</w:t>
            </w:r>
          </w:p>
        </w:tc>
        <w:tc>
          <w:tcPr>
            <w:tcW w:w="1740" w:type="dxa"/>
            <w:vMerge w:val="restart"/>
            <w:tcBorders>
              <w:top w:val="single" w:sz="4" w:space="0" w:color="auto"/>
              <w:left w:val="nil"/>
              <w:bottom w:val="single" w:sz="4" w:space="0" w:color="000000"/>
              <w:right w:val="single" w:sz="4" w:space="0" w:color="auto"/>
            </w:tcBorders>
            <w:shd w:val="clear" w:color="auto" w:fill="BDD7EE"/>
            <w:vAlign w:val="center"/>
            <w:hideMark/>
          </w:tcPr>
          <w:p w14:paraId="04156667" w14:textId="77777777" w:rsidR="002D49B0" w:rsidRPr="00083739" w:rsidRDefault="00BF4125">
            <w:pPr>
              <w:pStyle w:val="P68B1DB1-Normal7"/>
              <w:keepNext/>
              <w:spacing w:before="40" w:after="0" w:line="259" w:lineRule="auto"/>
              <w:jc w:val="center"/>
              <w:rPr>
                <w:rFonts w:eastAsia="Times New Roman" w:cs="Times New Roman"/>
                <w:bCs/>
                <w:noProof/>
                <w:szCs w:val="18"/>
                <w:lang w:val="sk-SK"/>
              </w:rPr>
            </w:pPr>
            <w:r w:rsidRPr="00083739">
              <w:rPr>
                <w:rFonts w:cs="Times New Roman"/>
                <w:noProof/>
                <w:lang w:val="sk-SK"/>
              </w:rPr>
              <w:t>Názov</w:t>
            </w:r>
          </w:p>
        </w:tc>
      </w:tr>
      <w:tr w:rsidR="002D49B0" w:rsidRPr="00083739" w14:paraId="7D576579" w14:textId="77777777">
        <w:trPr>
          <w:trHeight w:val="990"/>
        </w:trPr>
        <w:tc>
          <w:tcPr>
            <w:tcW w:w="1804" w:type="dxa"/>
            <w:vMerge/>
            <w:tcBorders>
              <w:top w:val="single" w:sz="4" w:space="0" w:color="auto"/>
              <w:left w:val="single" w:sz="4" w:space="0" w:color="auto"/>
              <w:bottom w:val="single" w:sz="4" w:space="0" w:color="000000"/>
              <w:right w:val="single" w:sz="4" w:space="0" w:color="auto"/>
            </w:tcBorders>
            <w:vAlign w:val="center"/>
            <w:hideMark/>
          </w:tcPr>
          <w:p w14:paraId="3A94A9A0"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c>
          <w:tcPr>
            <w:tcW w:w="4283" w:type="dxa"/>
            <w:vMerge/>
            <w:tcBorders>
              <w:top w:val="single" w:sz="4" w:space="0" w:color="auto"/>
              <w:left w:val="single" w:sz="4" w:space="0" w:color="auto"/>
              <w:bottom w:val="single" w:sz="4" w:space="0" w:color="000000"/>
              <w:right w:val="single" w:sz="4" w:space="0" w:color="auto"/>
            </w:tcBorders>
            <w:vAlign w:val="center"/>
            <w:hideMark/>
          </w:tcPr>
          <w:p w14:paraId="743C34EA"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c>
          <w:tcPr>
            <w:tcW w:w="1692" w:type="dxa"/>
            <w:vMerge/>
            <w:tcBorders>
              <w:top w:val="single" w:sz="4" w:space="0" w:color="auto"/>
              <w:left w:val="single" w:sz="4" w:space="0" w:color="auto"/>
              <w:bottom w:val="single" w:sz="4" w:space="0" w:color="000000"/>
              <w:right w:val="single" w:sz="4" w:space="0" w:color="auto"/>
            </w:tcBorders>
            <w:vAlign w:val="center"/>
            <w:hideMark/>
          </w:tcPr>
          <w:p w14:paraId="44C6F463"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c>
          <w:tcPr>
            <w:tcW w:w="1740" w:type="dxa"/>
            <w:vMerge/>
            <w:tcBorders>
              <w:top w:val="single" w:sz="4" w:space="0" w:color="auto"/>
              <w:left w:val="nil"/>
              <w:bottom w:val="single" w:sz="4" w:space="0" w:color="000000"/>
              <w:right w:val="single" w:sz="4" w:space="0" w:color="auto"/>
            </w:tcBorders>
            <w:vAlign w:val="center"/>
            <w:hideMark/>
          </w:tcPr>
          <w:p w14:paraId="1F9A4BB7"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r>
      <w:tr w:rsidR="002D49B0" w:rsidRPr="00083739" w14:paraId="6E8DD6E2" w14:textId="77777777">
        <w:trPr>
          <w:trHeight w:val="302"/>
        </w:trPr>
        <w:tc>
          <w:tcPr>
            <w:tcW w:w="1804" w:type="dxa"/>
            <w:tcBorders>
              <w:top w:val="single" w:sz="4" w:space="0" w:color="auto"/>
              <w:left w:val="single" w:sz="4" w:space="0" w:color="auto"/>
              <w:bottom w:val="single" w:sz="4" w:space="0" w:color="auto"/>
              <w:right w:val="single" w:sz="4" w:space="0" w:color="auto"/>
            </w:tcBorders>
            <w:shd w:val="clear" w:color="000000" w:fill="C6EFCE"/>
            <w:noWrap/>
            <w:vAlign w:val="center"/>
          </w:tcPr>
          <w:p w14:paraId="1CDCC36D" w14:textId="77777777" w:rsidR="002D49B0" w:rsidRPr="00083739" w:rsidRDefault="00BF4125">
            <w:pPr>
              <w:pStyle w:val="P68B1DB1-Normal8"/>
              <w:keepNext/>
              <w:spacing w:before="40" w:after="0" w:line="259" w:lineRule="auto"/>
              <w:jc w:val="both"/>
              <w:rPr>
                <w:rFonts w:eastAsia="Times New Roman" w:cs="Times New Roman"/>
                <w:noProof/>
                <w:szCs w:val="18"/>
                <w:lang w:val="sk-SK"/>
              </w:rPr>
            </w:pPr>
            <w:r w:rsidRPr="00083739">
              <w:rPr>
                <w:rFonts w:cs="Times New Roman"/>
                <w:noProof/>
                <w:lang w:val="sk-SK"/>
              </w:rPr>
              <w:t>44</w:t>
            </w:r>
          </w:p>
        </w:tc>
        <w:tc>
          <w:tcPr>
            <w:tcW w:w="4283" w:type="dxa"/>
            <w:tcBorders>
              <w:top w:val="single" w:sz="4" w:space="0" w:color="auto"/>
              <w:left w:val="nil"/>
              <w:bottom w:val="single" w:sz="4" w:space="0" w:color="auto"/>
              <w:right w:val="single" w:sz="4" w:space="0" w:color="auto"/>
            </w:tcBorders>
            <w:shd w:val="clear" w:color="000000" w:fill="C6EFCE"/>
            <w:noWrap/>
            <w:vAlign w:val="center"/>
          </w:tcPr>
          <w:p w14:paraId="5C41F8CC" w14:textId="2FA8E0E4"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3 – 1.3. Nabíjanie</w:t>
            </w:r>
            <w:r w:rsidR="00083739" w:rsidRPr="00083739">
              <w:rPr>
                <w:rFonts w:cs="Times New Roman"/>
                <w:noProof/>
                <w:lang w:val="sk-SK"/>
              </w:rPr>
              <w:t xml:space="preserve"> a </w:t>
            </w:r>
            <w:r w:rsidRPr="00083739">
              <w:rPr>
                <w:rFonts w:cs="Times New Roman"/>
                <w:noProof/>
                <w:lang w:val="sk-SK"/>
              </w:rPr>
              <w:t>dopĺňanie paliva – 16924_ elektromobilita</w:t>
            </w:r>
          </w:p>
        </w:tc>
        <w:tc>
          <w:tcPr>
            <w:tcW w:w="1692" w:type="dxa"/>
            <w:tcBorders>
              <w:top w:val="single" w:sz="4" w:space="0" w:color="auto"/>
              <w:left w:val="nil"/>
              <w:bottom w:val="single" w:sz="4" w:space="0" w:color="auto"/>
              <w:right w:val="single" w:sz="4" w:space="0" w:color="auto"/>
            </w:tcBorders>
            <w:shd w:val="clear" w:color="000000" w:fill="C6EFCE"/>
            <w:noWrap/>
            <w:vAlign w:val="center"/>
          </w:tcPr>
          <w:p w14:paraId="69F29FE5"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Míľnik</w:t>
            </w:r>
          </w:p>
        </w:tc>
        <w:tc>
          <w:tcPr>
            <w:tcW w:w="1740" w:type="dxa"/>
            <w:tcBorders>
              <w:top w:val="single" w:sz="4" w:space="0" w:color="auto"/>
              <w:left w:val="nil"/>
              <w:bottom w:val="single" w:sz="4" w:space="0" w:color="auto"/>
              <w:right w:val="single" w:sz="4" w:space="0" w:color="auto"/>
            </w:tcBorders>
            <w:shd w:val="clear" w:color="000000" w:fill="C6EFCE"/>
            <w:noWrap/>
            <w:vAlign w:val="center"/>
          </w:tcPr>
          <w:p w14:paraId="1BED02B7" w14:textId="2168F0D9"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Verejná doprava – nadobudnutie účinnosti regulácie trhu</w:t>
            </w:r>
            <w:r w:rsidR="00083739" w:rsidRPr="00083739">
              <w:rPr>
                <w:rFonts w:cs="Times New Roman"/>
                <w:noProof/>
                <w:lang w:val="sk-SK"/>
              </w:rPr>
              <w:t xml:space="preserve"> v </w:t>
            </w:r>
            <w:r w:rsidRPr="00083739">
              <w:rPr>
                <w:rFonts w:cs="Times New Roman"/>
                <w:noProof/>
                <w:lang w:val="sk-SK"/>
              </w:rPr>
              <w:t>oblasti záväzkov vyplývajúcich zo služieb vo verejnom záujme (autobusy)</w:t>
            </w:r>
          </w:p>
        </w:tc>
      </w:tr>
      <w:tr w:rsidR="002D49B0" w:rsidRPr="00083739" w14:paraId="273041F0" w14:textId="77777777">
        <w:trPr>
          <w:trHeight w:val="302"/>
        </w:trPr>
        <w:tc>
          <w:tcPr>
            <w:tcW w:w="1804" w:type="dxa"/>
            <w:tcBorders>
              <w:top w:val="nil"/>
              <w:left w:val="single" w:sz="4" w:space="0" w:color="auto"/>
              <w:bottom w:val="single" w:sz="4" w:space="0" w:color="auto"/>
              <w:right w:val="single" w:sz="4" w:space="0" w:color="auto"/>
            </w:tcBorders>
            <w:shd w:val="clear" w:color="000000" w:fill="C6EFCE"/>
            <w:noWrap/>
            <w:vAlign w:val="center"/>
          </w:tcPr>
          <w:p w14:paraId="527982FA" w14:textId="77777777" w:rsidR="002D49B0" w:rsidRPr="00083739" w:rsidRDefault="00BF4125">
            <w:pPr>
              <w:pStyle w:val="P68B1DB1-Normal8"/>
              <w:keepNext/>
              <w:spacing w:before="40" w:after="0" w:line="259" w:lineRule="auto"/>
              <w:jc w:val="both"/>
              <w:rPr>
                <w:rFonts w:eastAsia="Times New Roman" w:cs="Times New Roman"/>
                <w:noProof/>
                <w:szCs w:val="18"/>
                <w:lang w:val="sk-SK"/>
              </w:rPr>
            </w:pPr>
            <w:r w:rsidRPr="00083739">
              <w:rPr>
                <w:rFonts w:cs="Times New Roman"/>
                <w:noProof/>
                <w:lang w:val="sk-SK"/>
              </w:rPr>
              <w:t>197</w:t>
            </w:r>
          </w:p>
        </w:tc>
        <w:tc>
          <w:tcPr>
            <w:tcW w:w="4283" w:type="dxa"/>
            <w:tcBorders>
              <w:top w:val="nil"/>
              <w:left w:val="nil"/>
              <w:bottom w:val="single" w:sz="4" w:space="0" w:color="auto"/>
              <w:right w:val="single" w:sz="4" w:space="0" w:color="auto"/>
            </w:tcBorders>
            <w:shd w:val="clear" w:color="000000" w:fill="C6EFCE"/>
            <w:noWrap/>
            <w:vAlign w:val="center"/>
          </w:tcPr>
          <w:p w14:paraId="1AA299CC" w14:textId="680CE431"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12 – 4.1. Zabezpečiť, aby dane boli priaznivejšie pre rast</w:t>
            </w:r>
            <w:r w:rsidR="00083739" w:rsidRPr="00083739">
              <w:rPr>
                <w:rFonts w:cs="Times New Roman"/>
                <w:noProof/>
                <w:lang w:val="sk-SK"/>
              </w:rPr>
              <w:t xml:space="preserve"> a </w:t>
            </w:r>
            <w:r w:rsidRPr="00083739">
              <w:rPr>
                <w:rFonts w:cs="Times New Roman"/>
                <w:noProof/>
                <w:lang w:val="sk-SK"/>
              </w:rPr>
              <w:t>zlepšiť daňovú správu</w:t>
            </w:r>
            <w:r w:rsidR="00083739" w:rsidRPr="00083739">
              <w:rPr>
                <w:rFonts w:cs="Times New Roman"/>
                <w:noProof/>
                <w:lang w:val="sk-SK"/>
              </w:rPr>
              <w:t xml:space="preserve"> a </w:t>
            </w:r>
            <w:r w:rsidRPr="00083739">
              <w:rPr>
                <w:rFonts w:cs="Times New Roman"/>
                <w:noProof/>
                <w:lang w:val="sk-SK"/>
              </w:rPr>
              <w:t xml:space="preserve">výber daní – 16863_Super – odpočet </w:t>
            </w:r>
            <w:r w:rsidRPr="00083739">
              <w:rPr>
                <w:rFonts w:cs="Times New Roman"/>
                <w:noProof/>
                <w:lang w:val="sk-SK"/>
              </w:rPr>
              <w:t>výdavkov na ekologické hospodárstvo, energetiku</w:t>
            </w:r>
            <w:r w:rsidR="00083739" w:rsidRPr="00083739">
              <w:rPr>
                <w:rFonts w:cs="Times New Roman"/>
                <w:noProof/>
                <w:lang w:val="sk-SK"/>
              </w:rPr>
              <w:t xml:space="preserve"> a </w:t>
            </w:r>
            <w:r w:rsidRPr="00083739">
              <w:rPr>
                <w:rFonts w:cs="Times New Roman"/>
                <w:noProof/>
                <w:lang w:val="sk-SK"/>
              </w:rPr>
              <w:t>digitálnu transformáciu</w:t>
            </w:r>
          </w:p>
        </w:tc>
        <w:tc>
          <w:tcPr>
            <w:tcW w:w="1692" w:type="dxa"/>
            <w:tcBorders>
              <w:top w:val="nil"/>
              <w:left w:val="nil"/>
              <w:bottom w:val="single" w:sz="4" w:space="0" w:color="auto"/>
              <w:right w:val="single" w:sz="4" w:space="0" w:color="auto"/>
            </w:tcBorders>
            <w:shd w:val="clear" w:color="000000" w:fill="C6EFCE"/>
            <w:noWrap/>
            <w:vAlign w:val="center"/>
          </w:tcPr>
          <w:p w14:paraId="6AF2ECF1"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Míľnik</w:t>
            </w:r>
          </w:p>
        </w:tc>
        <w:tc>
          <w:tcPr>
            <w:tcW w:w="1740" w:type="dxa"/>
            <w:tcBorders>
              <w:top w:val="nil"/>
              <w:left w:val="nil"/>
              <w:bottom w:val="single" w:sz="4" w:space="0" w:color="auto"/>
              <w:right w:val="single" w:sz="4" w:space="0" w:color="auto"/>
            </w:tcBorders>
            <w:shd w:val="clear" w:color="000000" w:fill="C6EFCE"/>
            <w:noWrap/>
            <w:vAlign w:val="center"/>
          </w:tcPr>
          <w:p w14:paraId="0478BE7C" w14:textId="48615AA1"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Superodpočítanie pre zelené</w:t>
            </w:r>
            <w:r w:rsidR="00083739" w:rsidRPr="00083739">
              <w:rPr>
                <w:rFonts w:cs="Times New Roman"/>
                <w:noProof/>
                <w:lang w:val="sk-SK"/>
              </w:rPr>
              <w:t xml:space="preserve"> a </w:t>
            </w:r>
            <w:r w:rsidRPr="00083739">
              <w:rPr>
                <w:rFonts w:cs="Times New Roman"/>
                <w:noProof/>
                <w:lang w:val="sk-SK"/>
              </w:rPr>
              <w:t>digitálne investície MSP</w:t>
            </w:r>
          </w:p>
        </w:tc>
      </w:tr>
      <w:tr w:rsidR="002D49B0" w:rsidRPr="00083739" w14:paraId="027062EE" w14:textId="77777777">
        <w:trPr>
          <w:trHeight w:val="302"/>
        </w:trPr>
        <w:tc>
          <w:tcPr>
            <w:tcW w:w="1804" w:type="dxa"/>
            <w:tcBorders>
              <w:top w:val="nil"/>
              <w:left w:val="single" w:sz="4" w:space="0" w:color="auto"/>
              <w:bottom w:val="single" w:sz="4" w:space="0" w:color="auto"/>
              <w:right w:val="single" w:sz="4" w:space="0" w:color="auto"/>
            </w:tcBorders>
            <w:shd w:val="clear" w:color="000000" w:fill="C6EFCE"/>
            <w:noWrap/>
            <w:vAlign w:val="center"/>
          </w:tcPr>
          <w:p w14:paraId="015E5215" w14:textId="77777777" w:rsidR="002D49B0" w:rsidRPr="00083739" w:rsidRDefault="00BF4125">
            <w:pPr>
              <w:pStyle w:val="P68B1DB1-Normal8"/>
              <w:keepNext/>
              <w:spacing w:before="40" w:after="0" w:line="259" w:lineRule="auto"/>
              <w:jc w:val="both"/>
              <w:rPr>
                <w:rFonts w:eastAsia="Times New Roman" w:cs="Times New Roman"/>
                <w:noProof/>
                <w:szCs w:val="18"/>
                <w:lang w:val="sk-SK"/>
              </w:rPr>
            </w:pPr>
            <w:r w:rsidRPr="00083739">
              <w:rPr>
                <w:rFonts w:cs="Times New Roman"/>
                <w:noProof/>
                <w:lang w:val="sk-SK"/>
              </w:rPr>
              <w:t>198</w:t>
            </w:r>
          </w:p>
        </w:tc>
        <w:tc>
          <w:tcPr>
            <w:tcW w:w="4283" w:type="dxa"/>
            <w:tcBorders>
              <w:top w:val="nil"/>
              <w:left w:val="nil"/>
              <w:bottom w:val="single" w:sz="4" w:space="0" w:color="auto"/>
              <w:right w:val="single" w:sz="4" w:space="0" w:color="auto"/>
            </w:tcBorders>
            <w:shd w:val="clear" w:color="000000" w:fill="C6EFCE"/>
            <w:noWrap/>
            <w:vAlign w:val="center"/>
          </w:tcPr>
          <w:p w14:paraId="1A7FA475" w14:textId="23A28548"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12 – 4.1. Zabezpečiť, aby dane boli priaznivejšie pre rast</w:t>
            </w:r>
            <w:r w:rsidR="00083739" w:rsidRPr="00083739">
              <w:rPr>
                <w:rFonts w:cs="Times New Roman"/>
                <w:noProof/>
                <w:lang w:val="sk-SK"/>
              </w:rPr>
              <w:t xml:space="preserve"> a </w:t>
            </w:r>
            <w:r w:rsidRPr="00083739">
              <w:rPr>
                <w:rFonts w:cs="Times New Roman"/>
                <w:noProof/>
                <w:lang w:val="sk-SK"/>
              </w:rPr>
              <w:t>zlepšiť daňovú správu</w:t>
            </w:r>
            <w:r w:rsidR="00083739" w:rsidRPr="00083739">
              <w:rPr>
                <w:rFonts w:cs="Times New Roman"/>
                <w:noProof/>
                <w:lang w:val="sk-SK"/>
              </w:rPr>
              <w:t xml:space="preserve"> a </w:t>
            </w:r>
            <w:r w:rsidRPr="00083739">
              <w:rPr>
                <w:rFonts w:cs="Times New Roman"/>
                <w:noProof/>
                <w:lang w:val="sk-SK"/>
              </w:rPr>
              <w:t xml:space="preserve">výber daní – 16616_Prijatie </w:t>
            </w:r>
            <w:r w:rsidRPr="00083739">
              <w:rPr>
                <w:rFonts w:cs="Times New Roman"/>
                <w:noProof/>
                <w:lang w:val="sk-SK"/>
              </w:rPr>
              <w:t>opatrení</w:t>
            </w:r>
            <w:r w:rsidR="00083739" w:rsidRPr="00083739">
              <w:rPr>
                <w:rFonts w:cs="Times New Roman"/>
                <w:noProof/>
                <w:lang w:val="sk-SK"/>
              </w:rPr>
              <w:t xml:space="preserve"> a </w:t>
            </w:r>
            <w:r w:rsidRPr="00083739">
              <w:rPr>
                <w:rFonts w:cs="Times New Roman"/>
                <w:noProof/>
                <w:lang w:val="sk-SK"/>
              </w:rPr>
              <w:t>stimulov na zvýšenie počtu elektronických transakcií</w:t>
            </w:r>
          </w:p>
        </w:tc>
        <w:tc>
          <w:tcPr>
            <w:tcW w:w="1692" w:type="dxa"/>
            <w:tcBorders>
              <w:top w:val="nil"/>
              <w:left w:val="nil"/>
              <w:bottom w:val="single" w:sz="4" w:space="0" w:color="auto"/>
              <w:right w:val="single" w:sz="4" w:space="0" w:color="auto"/>
            </w:tcBorders>
            <w:shd w:val="clear" w:color="000000" w:fill="C6EFCE"/>
            <w:noWrap/>
            <w:vAlign w:val="center"/>
          </w:tcPr>
          <w:p w14:paraId="2DD4D228"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Míľnik</w:t>
            </w:r>
          </w:p>
        </w:tc>
        <w:tc>
          <w:tcPr>
            <w:tcW w:w="1740" w:type="dxa"/>
            <w:tcBorders>
              <w:top w:val="nil"/>
              <w:left w:val="nil"/>
              <w:bottom w:val="single" w:sz="4" w:space="0" w:color="auto"/>
              <w:right w:val="single" w:sz="4" w:space="0" w:color="auto"/>
            </w:tcBorders>
            <w:shd w:val="clear" w:color="000000" w:fill="C6EFCE"/>
            <w:noWrap/>
            <w:vAlign w:val="center"/>
          </w:tcPr>
          <w:p w14:paraId="588F099B"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Právne predpisy na podporu elektronických transakcií</w:t>
            </w:r>
          </w:p>
        </w:tc>
      </w:tr>
      <w:tr w:rsidR="002D49B0" w:rsidRPr="00083739" w14:paraId="01EC113A" w14:textId="77777777">
        <w:trPr>
          <w:trHeight w:val="302"/>
        </w:trPr>
        <w:tc>
          <w:tcPr>
            <w:tcW w:w="1804" w:type="dxa"/>
            <w:tcBorders>
              <w:top w:val="nil"/>
              <w:left w:val="single" w:sz="4" w:space="0" w:color="auto"/>
              <w:bottom w:val="single" w:sz="4" w:space="0" w:color="auto"/>
              <w:right w:val="single" w:sz="4" w:space="0" w:color="auto"/>
            </w:tcBorders>
            <w:shd w:val="clear" w:color="000000" w:fill="C6EFCE"/>
            <w:noWrap/>
            <w:vAlign w:val="center"/>
          </w:tcPr>
          <w:p w14:paraId="2C8FF790" w14:textId="77777777" w:rsidR="002D49B0" w:rsidRPr="00083739" w:rsidRDefault="00BF4125">
            <w:pPr>
              <w:pStyle w:val="P68B1DB1-Normal8"/>
              <w:keepNext/>
              <w:spacing w:before="40" w:after="0" w:line="259" w:lineRule="auto"/>
              <w:jc w:val="both"/>
              <w:rPr>
                <w:rFonts w:eastAsia="Times New Roman" w:cs="Times New Roman"/>
                <w:noProof/>
                <w:szCs w:val="18"/>
                <w:lang w:val="sk-SK"/>
              </w:rPr>
            </w:pPr>
            <w:r w:rsidRPr="00083739">
              <w:rPr>
                <w:rFonts w:cs="Times New Roman"/>
                <w:noProof/>
                <w:lang w:val="sk-SK"/>
              </w:rPr>
              <w:t>240</w:t>
            </w:r>
          </w:p>
        </w:tc>
        <w:tc>
          <w:tcPr>
            <w:tcW w:w="4283" w:type="dxa"/>
            <w:tcBorders>
              <w:top w:val="nil"/>
              <w:left w:val="nil"/>
              <w:bottom w:val="single" w:sz="4" w:space="0" w:color="auto"/>
              <w:right w:val="single" w:sz="4" w:space="0" w:color="auto"/>
            </w:tcBorders>
            <w:shd w:val="clear" w:color="000000" w:fill="C6EFCE"/>
            <w:noWrap/>
            <w:vAlign w:val="center"/>
          </w:tcPr>
          <w:p w14:paraId="2A192483" w14:textId="63608238"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15 – 4.4. Posilnenie finančného sektora</w:t>
            </w:r>
            <w:r w:rsidR="00083739" w:rsidRPr="00083739">
              <w:rPr>
                <w:rFonts w:cs="Times New Roman"/>
                <w:noProof/>
                <w:lang w:val="sk-SK"/>
              </w:rPr>
              <w:t xml:space="preserve"> a </w:t>
            </w:r>
            <w:r w:rsidRPr="00083739">
              <w:rPr>
                <w:rFonts w:cs="Times New Roman"/>
                <w:noProof/>
                <w:lang w:val="sk-SK"/>
              </w:rPr>
              <w:t>kapitálových trhov – 16581_Posilnený dohľad nad kapitálovým trhom</w:t>
            </w:r>
            <w:r w:rsidR="00083739" w:rsidRPr="00083739">
              <w:rPr>
                <w:rFonts w:cs="Times New Roman"/>
                <w:noProof/>
                <w:lang w:val="sk-SK"/>
              </w:rPr>
              <w:t xml:space="preserve"> a </w:t>
            </w:r>
            <w:r w:rsidRPr="00083739">
              <w:rPr>
                <w:rFonts w:cs="Times New Roman"/>
                <w:noProof/>
                <w:lang w:val="sk-SK"/>
              </w:rPr>
              <w:t>dôveryhodnosť</w:t>
            </w:r>
          </w:p>
        </w:tc>
        <w:tc>
          <w:tcPr>
            <w:tcW w:w="1692" w:type="dxa"/>
            <w:tcBorders>
              <w:top w:val="nil"/>
              <w:left w:val="nil"/>
              <w:bottom w:val="single" w:sz="4" w:space="0" w:color="auto"/>
              <w:right w:val="single" w:sz="4" w:space="0" w:color="auto"/>
            </w:tcBorders>
            <w:shd w:val="clear" w:color="000000" w:fill="C6EFCE"/>
            <w:noWrap/>
            <w:vAlign w:val="center"/>
          </w:tcPr>
          <w:p w14:paraId="219A6DDD"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Míľ</w:t>
            </w:r>
            <w:r w:rsidRPr="00083739">
              <w:rPr>
                <w:rFonts w:cs="Times New Roman"/>
                <w:noProof/>
                <w:lang w:val="sk-SK"/>
              </w:rPr>
              <w:t>nik</w:t>
            </w:r>
          </w:p>
        </w:tc>
        <w:tc>
          <w:tcPr>
            <w:tcW w:w="1740" w:type="dxa"/>
            <w:tcBorders>
              <w:top w:val="nil"/>
              <w:left w:val="nil"/>
              <w:bottom w:val="single" w:sz="4" w:space="0" w:color="auto"/>
              <w:right w:val="single" w:sz="4" w:space="0" w:color="auto"/>
            </w:tcBorders>
            <w:shd w:val="clear" w:color="000000" w:fill="C6EFCE"/>
            <w:noWrap/>
            <w:vAlign w:val="center"/>
          </w:tcPr>
          <w:p w14:paraId="3C757A92"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Kapitálové trhy, dohľad, digitalizácia procesov dohľadu, únia kapitálových trhov (CMU)</w:t>
            </w:r>
          </w:p>
        </w:tc>
      </w:tr>
      <w:tr w:rsidR="002D49B0" w:rsidRPr="00083739" w14:paraId="05E34251" w14:textId="77777777">
        <w:trPr>
          <w:trHeight w:val="302"/>
        </w:trPr>
        <w:tc>
          <w:tcPr>
            <w:tcW w:w="1804" w:type="dxa"/>
            <w:tcBorders>
              <w:top w:val="nil"/>
              <w:left w:val="single" w:sz="4" w:space="0" w:color="auto"/>
              <w:bottom w:val="single" w:sz="4" w:space="0" w:color="auto"/>
              <w:right w:val="single" w:sz="4" w:space="0" w:color="auto"/>
            </w:tcBorders>
            <w:shd w:val="clear" w:color="000000" w:fill="C6EFCE"/>
            <w:noWrap/>
            <w:vAlign w:val="center"/>
          </w:tcPr>
          <w:p w14:paraId="585D9DE8" w14:textId="77777777" w:rsidR="002D49B0" w:rsidRPr="00083739" w:rsidRDefault="00BF4125">
            <w:pPr>
              <w:pStyle w:val="P68B1DB1-Normal8"/>
              <w:keepNext/>
              <w:spacing w:before="40" w:after="0" w:line="259" w:lineRule="auto"/>
              <w:jc w:val="both"/>
              <w:rPr>
                <w:rFonts w:eastAsia="Times New Roman" w:cs="Times New Roman"/>
                <w:noProof/>
                <w:szCs w:val="18"/>
                <w:lang w:val="sk-SK"/>
              </w:rPr>
            </w:pPr>
            <w:r w:rsidRPr="00083739">
              <w:rPr>
                <w:rFonts w:cs="Times New Roman"/>
                <w:noProof/>
                <w:lang w:val="sk-SK"/>
              </w:rPr>
              <w:t>299</w:t>
            </w:r>
          </w:p>
        </w:tc>
        <w:tc>
          <w:tcPr>
            <w:tcW w:w="4283" w:type="dxa"/>
            <w:tcBorders>
              <w:top w:val="nil"/>
              <w:left w:val="nil"/>
              <w:bottom w:val="single" w:sz="4" w:space="0" w:color="auto"/>
              <w:right w:val="single" w:sz="4" w:space="0" w:color="auto"/>
            </w:tcBorders>
            <w:shd w:val="clear" w:color="000000" w:fill="C6EFCE"/>
            <w:noWrap/>
            <w:vAlign w:val="center"/>
          </w:tcPr>
          <w:p w14:paraId="1A7FC433" w14:textId="61010F3D"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17 – 4.6. Modernizácia</w:t>
            </w:r>
            <w:r w:rsidR="00083739" w:rsidRPr="00083739">
              <w:rPr>
                <w:rFonts w:cs="Times New Roman"/>
                <w:noProof/>
                <w:lang w:val="sk-SK"/>
              </w:rPr>
              <w:t xml:space="preserve"> a </w:t>
            </w:r>
            <w:r w:rsidRPr="00083739">
              <w:rPr>
                <w:rFonts w:cs="Times New Roman"/>
                <w:noProof/>
                <w:lang w:val="sk-SK"/>
              </w:rPr>
              <w:t>zlepšenie odolnosti kľúčových hospodárskych odvetví – 16593_Zmena právneho rámca na prilákanie strategických investícií</w:t>
            </w:r>
          </w:p>
        </w:tc>
        <w:tc>
          <w:tcPr>
            <w:tcW w:w="1692" w:type="dxa"/>
            <w:tcBorders>
              <w:top w:val="nil"/>
              <w:left w:val="nil"/>
              <w:bottom w:val="single" w:sz="4" w:space="0" w:color="auto"/>
              <w:right w:val="single" w:sz="4" w:space="0" w:color="auto"/>
            </w:tcBorders>
            <w:shd w:val="clear" w:color="000000" w:fill="C6EFCE"/>
            <w:noWrap/>
            <w:vAlign w:val="center"/>
          </w:tcPr>
          <w:p w14:paraId="329686C2"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Míľnik</w:t>
            </w:r>
          </w:p>
        </w:tc>
        <w:tc>
          <w:tcPr>
            <w:tcW w:w="1740" w:type="dxa"/>
            <w:tcBorders>
              <w:top w:val="nil"/>
              <w:left w:val="nil"/>
              <w:bottom w:val="single" w:sz="4" w:space="0" w:color="auto"/>
              <w:right w:val="single" w:sz="4" w:space="0" w:color="auto"/>
            </w:tcBorders>
            <w:shd w:val="clear" w:color="000000" w:fill="C6EFCE"/>
            <w:noWrap/>
            <w:vAlign w:val="center"/>
          </w:tcPr>
          <w:p w14:paraId="53BC9D16"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Strategické investície – legislatívna reforma</w:t>
            </w:r>
          </w:p>
        </w:tc>
      </w:tr>
      <w:tr w:rsidR="002D49B0" w:rsidRPr="00083739" w14:paraId="06FB19C4" w14:textId="77777777">
        <w:trPr>
          <w:trHeight w:val="302"/>
        </w:trPr>
        <w:tc>
          <w:tcPr>
            <w:tcW w:w="1804" w:type="dxa"/>
            <w:tcBorders>
              <w:top w:val="nil"/>
              <w:left w:val="single" w:sz="4" w:space="0" w:color="auto"/>
              <w:bottom w:val="single" w:sz="4" w:space="0" w:color="auto"/>
              <w:right w:val="single" w:sz="4" w:space="0" w:color="auto"/>
            </w:tcBorders>
            <w:shd w:val="clear" w:color="000000" w:fill="C6EFCE"/>
            <w:noWrap/>
            <w:vAlign w:val="center"/>
          </w:tcPr>
          <w:p w14:paraId="7A73D16C" w14:textId="77777777" w:rsidR="002D49B0" w:rsidRPr="00083739" w:rsidRDefault="00BF4125">
            <w:pPr>
              <w:pStyle w:val="P68B1DB1-Normal8"/>
              <w:keepNext/>
              <w:spacing w:before="40" w:after="0" w:line="259" w:lineRule="auto"/>
              <w:jc w:val="both"/>
              <w:rPr>
                <w:rFonts w:eastAsia="Times New Roman" w:cs="Times New Roman"/>
                <w:noProof/>
                <w:szCs w:val="18"/>
                <w:lang w:val="sk-SK"/>
              </w:rPr>
            </w:pPr>
            <w:r w:rsidRPr="00083739">
              <w:rPr>
                <w:rFonts w:cs="Times New Roman"/>
                <w:noProof/>
                <w:lang w:val="sk-SK"/>
              </w:rPr>
              <w:t>9</w:t>
            </w:r>
          </w:p>
        </w:tc>
        <w:tc>
          <w:tcPr>
            <w:tcW w:w="4283" w:type="dxa"/>
            <w:tcBorders>
              <w:top w:val="nil"/>
              <w:left w:val="nil"/>
              <w:bottom w:val="single" w:sz="4" w:space="0" w:color="auto"/>
              <w:right w:val="single" w:sz="4" w:space="0" w:color="auto"/>
            </w:tcBorders>
            <w:shd w:val="clear" w:color="000000" w:fill="C6EFCE"/>
            <w:noWrap/>
            <w:vAlign w:val="center"/>
          </w:tcPr>
          <w:p w14:paraId="48361EAF"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 – 1.1. Power up – 16871_Revitalizačné opatrenia najviac postihnutých území (územia spravodlivej transformácie)</w:t>
            </w:r>
          </w:p>
        </w:tc>
        <w:tc>
          <w:tcPr>
            <w:tcW w:w="1692" w:type="dxa"/>
            <w:tcBorders>
              <w:top w:val="nil"/>
              <w:left w:val="nil"/>
              <w:bottom w:val="single" w:sz="4" w:space="0" w:color="auto"/>
              <w:right w:val="single" w:sz="4" w:space="0" w:color="auto"/>
            </w:tcBorders>
            <w:shd w:val="clear" w:color="000000" w:fill="C6EFCE"/>
            <w:noWrap/>
            <w:vAlign w:val="center"/>
          </w:tcPr>
          <w:p w14:paraId="5F44028E"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Míľnik</w:t>
            </w:r>
          </w:p>
        </w:tc>
        <w:tc>
          <w:tcPr>
            <w:tcW w:w="1740" w:type="dxa"/>
            <w:tcBorders>
              <w:top w:val="nil"/>
              <w:left w:val="nil"/>
              <w:bottom w:val="single" w:sz="4" w:space="0" w:color="auto"/>
              <w:right w:val="single" w:sz="4" w:space="0" w:color="auto"/>
            </w:tcBorders>
            <w:shd w:val="clear" w:color="000000" w:fill="C6EFCE"/>
            <w:noWrap/>
            <w:vAlign w:val="center"/>
          </w:tcPr>
          <w:p w14:paraId="4F22D967"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Rekultivácia pôdy – rámcový zákon</w:t>
            </w:r>
          </w:p>
        </w:tc>
      </w:tr>
      <w:tr w:rsidR="002D49B0" w:rsidRPr="00083739" w14:paraId="18F3C1CC" w14:textId="77777777">
        <w:trPr>
          <w:trHeight w:val="302"/>
        </w:trPr>
        <w:tc>
          <w:tcPr>
            <w:tcW w:w="1804" w:type="dxa"/>
            <w:tcBorders>
              <w:top w:val="nil"/>
              <w:left w:val="single" w:sz="4" w:space="0" w:color="auto"/>
              <w:bottom w:val="single" w:sz="4" w:space="0" w:color="auto"/>
              <w:right w:val="single" w:sz="4" w:space="0" w:color="auto"/>
            </w:tcBorders>
            <w:shd w:val="clear" w:color="000000" w:fill="C6EFCE"/>
            <w:noWrap/>
            <w:vAlign w:val="center"/>
          </w:tcPr>
          <w:p w14:paraId="6A182368" w14:textId="77777777" w:rsidR="002D49B0" w:rsidRPr="00083739" w:rsidRDefault="00BF4125">
            <w:pPr>
              <w:pStyle w:val="P68B1DB1-Normal8"/>
              <w:keepNext/>
              <w:spacing w:before="40" w:after="0" w:line="259" w:lineRule="auto"/>
              <w:jc w:val="both"/>
              <w:rPr>
                <w:rFonts w:eastAsia="Times New Roman" w:cs="Times New Roman"/>
                <w:noProof/>
                <w:szCs w:val="18"/>
                <w:lang w:val="sk-SK"/>
              </w:rPr>
            </w:pPr>
            <w:r w:rsidRPr="00083739">
              <w:rPr>
                <w:rFonts w:cs="Times New Roman"/>
                <w:noProof/>
                <w:lang w:val="sk-SK"/>
              </w:rPr>
              <w:t>130</w:t>
            </w:r>
          </w:p>
        </w:tc>
        <w:tc>
          <w:tcPr>
            <w:tcW w:w="4283" w:type="dxa"/>
            <w:tcBorders>
              <w:top w:val="nil"/>
              <w:left w:val="nil"/>
              <w:bottom w:val="single" w:sz="4" w:space="0" w:color="auto"/>
              <w:right w:val="single" w:sz="4" w:space="0" w:color="auto"/>
            </w:tcBorders>
            <w:shd w:val="clear" w:color="000000" w:fill="C6EFCE"/>
            <w:noWrap/>
            <w:vAlign w:val="center"/>
          </w:tcPr>
          <w:p w14:paraId="3B133741"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 xml:space="preserve">7 – 2.3. Digitalizácia podnikov – </w:t>
            </w:r>
            <w:r w:rsidRPr="00083739">
              <w:rPr>
                <w:rFonts w:cs="Times New Roman"/>
                <w:noProof/>
                <w:lang w:val="sk-SK"/>
              </w:rPr>
              <w:t>16706_Digitálna transformácia MSP</w:t>
            </w:r>
          </w:p>
        </w:tc>
        <w:tc>
          <w:tcPr>
            <w:tcW w:w="1692" w:type="dxa"/>
            <w:tcBorders>
              <w:top w:val="nil"/>
              <w:left w:val="nil"/>
              <w:bottom w:val="single" w:sz="4" w:space="0" w:color="auto"/>
              <w:right w:val="single" w:sz="4" w:space="0" w:color="auto"/>
            </w:tcBorders>
            <w:shd w:val="clear" w:color="000000" w:fill="C6EFCE"/>
            <w:noWrap/>
            <w:vAlign w:val="center"/>
          </w:tcPr>
          <w:p w14:paraId="6B3B96B9"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Míľnik</w:t>
            </w:r>
          </w:p>
        </w:tc>
        <w:tc>
          <w:tcPr>
            <w:tcW w:w="1740" w:type="dxa"/>
            <w:tcBorders>
              <w:top w:val="nil"/>
              <w:left w:val="nil"/>
              <w:bottom w:val="single" w:sz="4" w:space="0" w:color="auto"/>
              <w:right w:val="single" w:sz="4" w:space="0" w:color="auto"/>
            </w:tcBorders>
            <w:shd w:val="clear" w:color="000000" w:fill="C6EFCE"/>
            <w:noWrap/>
            <w:vAlign w:val="center"/>
          </w:tcPr>
          <w:p w14:paraId="68121670" w14:textId="1B745CA8"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Digitálna transformácia MSP – výzvy na predkladanie návrhov</w:t>
            </w:r>
          </w:p>
        </w:tc>
      </w:tr>
      <w:tr w:rsidR="002D49B0" w:rsidRPr="00083739" w14:paraId="54E8C072" w14:textId="77777777">
        <w:trPr>
          <w:trHeight w:val="302"/>
        </w:trPr>
        <w:tc>
          <w:tcPr>
            <w:tcW w:w="1804" w:type="dxa"/>
            <w:tcBorders>
              <w:top w:val="nil"/>
              <w:left w:val="single" w:sz="4" w:space="0" w:color="auto"/>
              <w:bottom w:val="single" w:sz="4" w:space="0" w:color="auto"/>
              <w:right w:val="single" w:sz="4" w:space="0" w:color="auto"/>
            </w:tcBorders>
            <w:shd w:val="clear" w:color="000000" w:fill="C6EFCE"/>
            <w:noWrap/>
            <w:vAlign w:val="center"/>
          </w:tcPr>
          <w:p w14:paraId="5A5E734B" w14:textId="77777777" w:rsidR="002D49B0" w:rsidRPr="00083739" w:rsidRDefault="00BF4125">
            <w:pPr>
              <w:pStyle w:val="P68B1DB1-Normal8"/>
              <w:keepNext/>
              <w:spacing w:before="40" w:after="0" w:line="259" w:lineRule="auto"/>
              <w:jc w:val="both"/>
              <w:rPr>
                <w:rFonts w:eastAsia="Times New Roman" w:cs="Times New Roman"/>
                <w:noProof/>
                <w:szCs w:val="18"/>
                <w:lang w:val="sk-SK"/>
              </w:rPr>
            </w:pPr>
            <w:r w:rsidRPr="00083739">
              <w:rPr>
                <w:rFonts w:cs="Times New Roman"/>
                <w:noProof/>
                <w:lang w:val="sk-SK"/>
              </w:rPr>
              <w:t>174</w:t>
            </w:r>
          </w:p>
        </w:tc>
        <w:tc>
          <w:tcPr>
            <w:tcW w:w="4283" w:type="dxa"/>
            <w:tcBorders>
              <w:top w:val="nil"/>
              <w:left w:val="nil"/>
              <w:bottom w:val="single" w:sz="4" w:space="0" w:color="auto"/>
              <w:right w:val="single" w:sz="4" w:space="0" w:color="auto"/>
            </w:tcBorders>
            <w:shd w:val="clear" w:color="000000" w:fill="C6EFCE"/>
            <w:noWrap/>
            <w:vAlign w:val="center"/>
          </w:tcPr>
          <w:p w14:paraId="7479E952" w14:textId="5D742752"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11 – 3.4. Zlepšiť prístup</w:t>
            </w:r>
            <w:r w:rsidR="00083739" w:rsidRPr="00083739">
              <w:rPr>
                <w:rFonts w:cs="Times New Roman"/>
                <w:noProof/>
                <w:lang w:val="sk-SK"/>
              </w:rPr>
              <w:t xml:space="preserve"> k </w:t>
            </w:r>
            <w:r w:rsidRPr="00083739">
              <w:rPr>
                <w:rFonts w:cs="Times New Roman"/>
                <w:noProof/>
                <w:lang w:val="sk-SK"/>
              </w:rPr>
              <w:t>účinným</w:t>
            </w:r>
            <w:r w:rsidR="00083739" w:rsidRPr="00083739">
              <w:rPr>
                <w:rFonts w:cs="Times New Roman"/>
                <w:noProof/>
                <w:lang w:val="sk-SK"/>
              </w:rPr>
              <w:t xml:space="preserve"> a </w:t>
            </w:r>
            <w:r w:rsidRPr="00083739">
              <w:rPr>
                <w:rFonts w:cs="Times New Roman"/>
                <w:noProof/>
                <w:lang w:val="sk-SK"/>
              </w:rPr>
              <w:t>inkluzívnym sociálnym politikám – 16904_Zdravotné postihnutie</w:t>
            </w:r>
          </w:p>
        </w:tc>
        <w:tc>
          <w:tcPr>
            <w:tcW w:w="1692" w:type="dxa"/>
            <w:tcBorders>
              <w:top w:val="nil"/>
              <w:left w:val="nil"/>
              <w:bottom w:val="single" w:sz="4" w:space="0" w:color="auto"/>
              <w:right w:val="single" w:sz="4" w:space="0" w:color="auto"/>
            </w:tcBorders>
            <w:shd w:val="clear" w:color="000000" w:fill="C6EFCE"/>
            <w:noWrap/>
            <w:vAlign w:val="center"/>
          </w:tcPr>
          <w:p w14:paraId="03F8F045"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Míľnik</w:t>
            </w:r>
          </w:p>
        </w:tc>
        <w:tc>
          <w:tcPr>
            <w:tcW w:w="1740" w:type="dxa"/>
            <w:tcBorders>
              <w:top w:val="nil"/>
              <w:left w:val="nil"/>
              <w:bottom w:val="single" w:sz="4" w:space="0" w:color="auto"/>
              <w:right w:val="single" w:sz="4" w:space="0" w:color="auto"/>
            </w:tcBorders>
            <w:shd w:val="clear" w:color="000000" w:fill="C6EFCE"/>
            <w:noWrap/>
            <w:vAlign w:val="center"/>
          </w:tcPr>
          <w:p w14:paraId="002635C0" w14:textId="688792D9"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Zákon</w:t>
            </w:r>
            <w:r w:rsidR="00083739" w:rsidRPr="00083739">
              <w:rPr>
                <w:rFonts w:cs="Times New Roman"/>
                <w:noProof/>
                <w:lang w:val="sk-SK"/>
              </w:rPr>
              <w:t xml:space="preserve"> o </w:t>
            </w:r>
            <w:r w:rsidRPr="00083739">
              <w:rPr>
                <w:rFonts w:cs="Times New Roman"/>
                <w:noProof/>
                <w:lang w:val="sk-SK"/>
              </w:rPr>
              <w:t>zdravotnom postihnutí</w:t>
            </w:r>
            <w:r w:rsidR="00083739" w:rsidRPr="00083739">
              <w:rPr>
                <w:rFonts w:cs="Times New Roman"/>
                <w:noProof/>
                <w:lang w:val="sk-SK"/>
              </w:rPr>
              <w:t xml:space="preserve"> v </w:t>
            </w:r>
            <w:r w:rsidRPr="00083739">
              <w:rPr>
                <w:rFonts w:cs="Times New Roman"/>
                <w:noProof/>
                <w:lang w:val="sk-SK"/>
              </w:rPr>
              <w:t>oblasti oso</w:t>
            </w:r>
            <w:r w:rsidRPr="00083739">
              <w:rPr>
                <w:rFonts w:cs="Times New Roman"/>
                <w:noProof/>
                <w:lang w:val="sk-SK"/>
              </w:rPr>
              <w:t>bnej asistencie</w:t>
            </w:r>
            <w:r w:rsidR="00083739" w:rsidRPr="00083739">
              <w:rPr>
                <w:rFonts w:cs="Times New Roman"/>
                <w:noProof/>
                <w:lang w:val="sk-SK"/>
              </w:rPr>
              <w:t xml:space="preserve"> a </w:t>
            </w:r>
            <w:r w:rsidRPr="00083739">
              <w:rPr>
                <w:rFonts w:cs="Times New Roman"/>
                <w:noProof/>
                <w:lang w:val="sk-SK"/>
              </w:rPr>
              <w:t>zavedenie prvej fázy pilotného programu</w:t>
            </w:r>
          </w:p>
        </w:tc>
      </w:tr>
      <w:tr w:rsidR="002D49B0" w:rsidRPr="00083739" w14:paraId="238AB40A" w14:textId="77777777">
        <w:trPr>
          <w:trHeight w:val="302"/>
        </w:trPr>
        <w:tc>
          <w:tcPr>
            <w:tcW w:w="1804" w:type="dxa"/>
            <w:tcBorders>
              <w:top w:val="nil"/>
              <w:left w:val="single" w:sz="4" w:space="0" w:color="auto"/>
              <w:bottom w:val="single" w:sz="4" w:space="0" w:color="auto"/>
              <w:right w:val="single" w:sz="4" w:space="0" w:color="auto"/>
            </w:tcBorders>
            <w:shd w:val="clear" w:color="000000" w:fill="C6EFCE"/>
            <w:noWrap/>
            <w:vAlign w:val="center"/>
          </w:tcPr>
          <w:p w14:paraId="002BAA04" w14:textId="77777777" w:rsidR="002D49B0" w:rsidRPr="00083739" w:rsidRDefault="00BF4125">
            <w:pPr>
              <w:pStyle w:val="P68B1DB1-Normal8"/>
              <w:keepNext/>
              <w:spacing w:before="40" w:after="0" w:line="259" w:lineRule="auto"/>
              <w:jc w:val="both"/>
              <w:rPr>
                <w:rFonts w:eastAsia="Times New Roman" w:cs="Times New Roman"/>
                <w:noProof/>
                <w:szCs w:val="18"/>
                <w:lang w:val="sk-SK"/>
              </w:rPr>
            </w:pPr>
            <w:r w:rsidRPr="00083739">
              <w:rPr>
                <w:rFonts w:cs="Times New Roman"/>
                <w:noProof/>
                <w:lang w:val="sk-SK"/>
              </w:rPr>
              <w:t>188</w:t>
            </w:r>
          </w:p>
        </w:tc>
        <w:tc>
          <w:tcPr>
            <w:tcW w:w="4283" w:type="dxa"/>
            <w:tcBorders>
              <w:top w:val="nil"/>
              <w:left w:val="nil"/>
              <w:bottom w:val="single" w:sz="4" w:space="0" w:color="auto"/>
              <w:right w:val="single" w:sz="4" w:space="0" w:color="auto"/>
            </w:tcBorders>
            <w:shd w:val="clear" w:color="000000" w:fill="C6EFCE"/>
            <w:noWrap/>
            <w:vAlign w:val="center"/>
          </w:tcPr>
          <w:p w14:paraId="2625F9BA" w14:textId="163834C9"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12 – 4.1. Zabezpečiť, aby dane boli priaznivejšie pre rast</w:t>
            </w:r>
            <w:r w:rsidR="00083739" w:rsidRPr="00083739">
              <w:rPr>
                <w:rFonts w:cs="Times New Roman"/>
                <w:noProof/>
                <w:lang w:val="sk-SK"/>
              </w:rPr>
              <w:t xml:space="preserve"> a </w:t>
            </w:r>
            <w:r w:rsidRPr="00083739">
              <w:rPr>
                <w:rFonts w:cs="Times New Roman"/>
                <w:noProof/>
                <w:lang w:val="sk-SK"/>
              </w:rPr>
              <w:t>zlepšiť daňovú správu</w:t>
            </w:r>
            <w:r w:rsidR="00083739" w:rsidRPr="00083739">
              <w:rPr>
                <w:rFonts w:cs="Times New Roman"/>
                <w:noProof/>
                <w:lang w:val="sk-SK"/>
              </w:rPr>
              <w:t xml:space="preserve"> a </w:t>
            </w:r>
            <w:r w:rsidRPr="00083739">
              <w:rPr>
                <w:rFonts w:cs="Times New Roman"/>
                <w:noProof/>
                <w:lang w:val="sk-SK"/>
              </w:rPr>
              <w:t>výber daní – 16614_Online pokladničné registre</w:t>
            </w:r>
            <w:r w:rsidR="00083739" w:rsidRPr="00083739">
              <w:rPr>
                <w:rFonts w:cs="Times New Roman"/>
                <w:noProof/>
                <w:lang w:val="sk-SK"/>
              </w:rPr>
              <w:t xml:space="preserve"> a </w:t>
            </w:r>
            <w:r w:rsidRPr="00083739">
              <w:rPr>
                <w:rFonts w:cs="Times New Roman"/>
                <w:noProof/>
                <w:lang w:val="sk-SK"/>
              </w:rPr>
              <w:t>POS (reforma)</w:t>
            </w:r>
          </w:p>
        </w:tc>
        <w:tc>
          <w:tcPr>
            <w:tcW w:w="1692" w:type="dxa"/>
            <w:tcBorders>
              <w:top w:val="nil"/>
              <w:left w:val="nil"/>
              <w:bottom w:val="single" w:sz="4" w:space="0" w:color="auto"/>
              <w:right w:val="single" w:sz="4" w:space="0" w:color="auto"/>
            </w:tcBorders>
            <w:shd w:val="clear" w:color="000000" w:fill="C6EFCE"/>
            <w:noWrap/>
            <w:vAlign w:val="center"/>
          </w:tcPr>
          <w:p w14:paraId="19EA16BC"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Míľnik</w:t>
            </w:r>
          </w:p>
        </w:tc>
        <w:tc>
          <w:tcPr>
            <w:tcW w:w="1740" w:type="dxa"/>
            <w:tcBorders>
              <w:top w:val="nil"/>
              <w:left w:val="nil"/>
              <w:bottom w:val="single" w:sz="4" w:space="0" w:color="auto"/>
              <w:right w:val="single" w:sz="4" w:space="0" w:color="auto"/>
            </w:tcBorders>
            <w:shd w:val="clear" w:color="000000" w:fill="C6EFCE"/>
            <w:noWrap/>
            <w:vAlign w:val="center"/>
          </w:tcPr>
          <w:p w14:paraId="4476FB12" w14:textId="148C7336"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 xml:space="preserve">Nezávislý orgán pre verejné príjmy </w:t>
            </w:r>
            <w:r w:rsidRPr="00083739">
              <w:rPr>
                <w:rFonts w:cs="Times New Roman"/>
                <w:noProof/>
                <w:lang w:val="sk-SK"/>
              </w:rPr>
              <w:t>(IAPR): Online registračné pokladnice</w:t>
            </w:r>
            <w:r w:rsidR="00083739" w:rsidRPr="00083739">
              <w:rPr>
                <w:rFonts w:cs="Times New Roman"/>
                <w:noProof/>
                <w:lang w:val="sk-SK"/>
              </w:rPr>
              <w:t xml:space="preserve"> a </w:t>
            </w:r>
            <w:r w:rsidRPr="00083739">
              <w:rPr>
                <w:rFonts w:cs="Times New Roman"/>
                <w:noProof/>
                <w:lang w:val="sk-SK"/>
              </w:rPr>
              <w:t>miesto predaja (POS) – nadobudnutie účinnosti právneho rámca</w:t>
            </w:r>
          </w:p>
        </w:tc>
      </w:tr>
      <w:tr w:rsidR="002D49B0" w:rsidRPr="00083739" w14:paraId="6C2F0CF9" w14:textId="77777777">
        <w:trPr>
          <w:trHeight w:val="302"/>
        </w:trPr>
        <w:tc>
          <w:tcPr>
            <w:tcW w:w="1804" w:type="dxa"/>
            <w:tcBorders>
              <w:top w:val="nil"/>
              <w:left w:val="single" w:sz="4" w:space="0" w:color="auto"/>
              <w:bottom w:val="single" w:sz="4" w:space="0" w:color="auto"/>
              <w:right w:val="single" w:sz="4" w:space="0" w:color="auto"/>
            </w:tcBorders>
            <w:shd w:val="clear" w:color="000000" w:fill="C6EFCE"/>
            <w:noWrap/>
            <w:vAlign w:val="center"/>
          </w:tcPr>
          <w:p w14:paraId="1B299696" w14:textId="77777777" w:rsidR="002D49B0" w:rsidRPr="00083739" w:rsidRDefault="00BF4125">
            <w:pPr>
              <w:pStyle w:val="P68B1DB1-Normal8"/>
              <w:keepNext/>
              <w:spacing w:before="40" w:after="0" w:line="259" w:lineRule="auto"/>
              <w:jc w:val="both"/>
              <w:rPr>
                <w:rFonts w:eastAsia="Times New Roman" w:cs="Times New Roman"/>
                <w:noProof/>
                <w:szCs w:val="18"/>
                <w:lang w:val="sk-SK"/>
              </w:rPr>
            </w:pPr>
            <w:r w:rsidRPr="00083739">
              <w:rPr>
                <w:rFonts w:cs="Times New Roman"/>
                <w:noProof/>
                <w:lang w:val="sk-SK"/>
              </w:rPr>
              <w:t>190</w:t>
            </w:r>
          </w:p>
        </w:tc>
        <w:tc>
          <w:tcPr>
            <w:tcW w:w="4283" w:type="dxa"/>
            <w:tcBorders>
              <w:top w:val="nil"/>
              <w:left w:val="nil"/>
              <w:bottom w:val="single" w:sz="4" w:space="0" w:color="auto"/>
              <w:right w:val="single" w:sz="4" w:space="0" w:color="auto"/>
            </w:tcBorders>
            <w:shd w:val="clear" w:color="000000" w:fill="C6EFCE"/>
            <w:noWrap/>
            <w:vAlign w:val="center"/>
          </w:tcPr>
          <w:p w14:paraId="2582BFC0" w14:textId="58C1D043"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12 – 4.1. Zabezpečiť, aby dane boli priaznivejšie pre rast</w:t>
            </w:r>
            <w:r w:rsidR="00083739" w:rsidRPr="00083739">
              <w:rPr>
                <w:rFonts w:cs="Times New Roman"/>
                <w:noProof/>
                <w:lang w:val="sk-SK"/>
              </w:rPr>
              <w:t xml:space="preserve"> a </w:t>
            </w:r>
            <w:r w:rsidRPr="00083739">
              <w:rPr>
                <w:rFonts w:cs="Times New Roman"/>
                <w:noProof/>
                <w:lang w:val="sk-SK"/>
              </w:rPr>
              <w:t>zlepšiť daňovú správu</w:t>
            </w:r>
            <w:r w:rsidR="00083739" w:rsidRPr="00083739">
              <w:rPr>
                <w:rFonts w:cs="Times New Roman"/>
                <w:noProof/>
                <w:lang w:val="sk-SK"/>
              </w:rPr>
              <w:t xml:space="preserve"> a </w:t>
            </w:r>
            <w:r w:rsidRPr="00083739">
              <w:rPr>
                <w:rFonts w:cs="Times New Roman"/>
                <w:noProof/>
                <w:lang w:val="sk-SK"/>
              </w:rPr>
              <w:t xml:space="preserve">výber daní – 16656_Nový rámec pre boj proti pašovaniu, najmä pre </w:t>
            </w:r>
            <w:r w:rsidRPr="00083739">
              <w:rPr>
                <w:rFonts w:cs="Times New Roman"/>
                <w:noProof/>
                <w:lang w:val="sk-SK"/>
              </w:rPr>
              <w:t>výrobky podliehajúce spotrebným daniam (tabak, alkohol</w:t>
            </w:r>
            <w:r w:rsidR="00083739" w:rsidRPr="00083739">
              <w:rPr>
                <w:rFonts w:cs="Times New Roman"/>
                <w:noProof/>
                <w:lang w:val="sk-SK"/>
              </w:rPr>
              <w:t xml:space="preserve"> a </w:t>
            </w:r>
            <w:r w:rsidRPr="00083739">
              <w:rPr>
                <w:rFonts w:cs="Times New Roman"/>
                <w:noProof/>
                <w:lang w:val="sk-SK"/>
              </w:rPr>
              <w:t>energia)</w:t>
            </w:r>
          </w:p>
        </w:tc>
        <w:tc>
          <w:tcPr>
            <w:tcW w:w="1692" w:type="dxa"/>
            <w:tcBorders>
              <w:top w:val="nil"/>
              <w:left w:val="nil"/>
              <w:bottom w:val="single" w:sz="4" w:space="0" w:color="auto"/>
              <w:right w:val="single" w:sz="4" w:space="0" w:color="auto"/>
            </w:tcBorders>
            <w:shd w:val="clear" w:color="000000" w:fill="C6EFCE"/>
            <w:noWrap/>
            <w:vAlign w:val="center"/>
          </w:tcPr>
          <w:p w14:paraId="2402F8A0"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Míľnik</w:t>
            </w:r>
          </w:p>
        </w:tc>
        <w:tc>
          <w:tcPr>
            <w:tcW w:w="1740" w:type="dxa"/>
            <w:tcBorders>
              <w:top w:val="nil"/>
              <w:left w:val="nil"/>
              <w:bottom w:val="single" w:sz="4" w:space="0" w:color="auto"/>
              <w:right w:val="single" w:sz="4" w:space="0" w:color="auto"/>
            </w:tcBorders>
            <w:shd w:val="clear" w:color="000000" w:fill="C6EFCE"/>
            <w:noWrap/>
            <w:vAlign w:val="center"/>
          </w:tcPr>
          <w:p w14:paraId="2108DDBB"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Boj proti prevádzačstvu – plán regulačných rozhodnutí</w:t>
            </w:r>
          </w:p>
        </w:tc>
      </w:tr>
      <w:tr w:rsidR="002D49B0" w:rsidRPr="00083739" w14:paraId="3AA37639" w14:textId="77777777">
        <w:trPr>
          <w:trHeight w:val="302"/>
        </w:trPr>
        <w:tc>
          <w:tcPr>
            <w:tcW w:w="1804" w:type="dxa"/>
            <w:tcBorders>
              <w:top w:val="nil"/>
              <w:left w:val="single" w:sz="4" w:space="0" w:color="auto"/>
              <w:bottom w:val="single" w:sz="4" w:space="0" w:color="auto"/>
              <w:right w:val="single" w:sz="4" w:space="0" w:color="auto"/>
            </w:tcBorders>
            <w:shd w:val="clear" w:color="000000" w:fill="C6EFCE"/>
            <w:noWrap/>
            <w:vAlign w:val="center"/>
          </w:tcPr>
          <w:p w14:paraId="64119594" w14:textId="77777777" w:rsidR="002D49B0" w:rsidRPr="00083739" w:rsidRDefault="00BF4125">
            <w:pPr>
              <w:pStyle w:val="P68B1DB1-Normal8"/>
              <w:keepNext/>
              <w:spacing w:before="40" w:after="0" w:line="259" w:lineRule="auto"/>
              <w:jc w:val="both"/>
              <w:rPr>
                <w:rFonts w:eastAsia="Times New Roman" w:cs="Times New Roman"/>
                <w:noProof/>
                <w:szCs w:val="18"/>
                <w:lang w:val="sk-SK"/>
              </w:rPr>
            </w:pPr>
            <w:r w:rsidRPr="00083739">
              <w:rPr>
                <w:rFonts w:cs="Times New Roman"/>
                <w:noProof/>
                <w:lang w:val="sk-SK"/>
              </w:rPr>
              <w:t>201</w:t>
            </w:r>
          </w:p>
        </w:tc>
        <w:tc>
          <w:tcPr>
            <w:tcW w:w="4283" w:type="dxa"/>
            <w:tcBorders>
              <w:top w:val="nil"/>
              <w:left w:val="nil"/>
              <w:bottom w:val="single" w:sz="4" w:space="0" w:color="auto"/>
              <w:right w:val="single" w:sz="4" w:space="0" w:color="auto"/>
            </w:tcBorders>
            <w:shd w:val="clear" w:color="000000" w:fill="C6EFCE"/>
            <w:noWrap/>
            <w:vAlign w:val="center"/>
          </w:tcPr>
          <w:p w14:paraId="11A448FA" w14:textId="7BB1E1CA"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18 – 4.7. Zlepšenie konkurencieschopnosti</w:t>
            </w:r>
            <w:r w:rsidR="00083739" w:rsidRPr="00083739">
              <w:rPr>
                <w:rFonts w:cs="Times New Roman"/>
                <w:noProof/>
                <w:lang w:val="sk-SK"/>
              </w:rPr>
              <w:t xml:space="preserve"> a </w:t>
            </w:r>
            <w:r w:rsidRPr="00083739">
              <w:rPr>
                <w:rFonts w:cs="Times New Roman"/>
                <w:noProof/>
                <w:lang w:val="sk-SK"/>
              </w:rPr>
              <w:t>podpora súkromných investícií</w:t>
            </w:r>
            <w:r w:rsidR="00083739" w:rsidRPr="00083739">
              <w:rPr>
                <w:rFonts w:cs="Times New Roman"/>
                <w:noProof/>
                <w:lang w:val="sk-SK"/>
              </w:rPr>
              <w:t xml:space="preserve"> a </w:t>
            </w:r>
            <w:r w:rsidRPr="00083739">
              <w:rPr>
                <w:rFonts w:cs="Times New Roman"/>
                <w:noProof/>
                <w:lang w:val="sk-SK"/>
              </w:rPr>
              <w:t>obchodu – 16598_Režim stimulov pre produktivitu</w:t>
            </w:r>
            <w:r w:rsidR="00083739" w:rsidRPr="00083739">
              <w:rPr>
                <w:rFonts w:cs="Times New Roman"/>
                <w:noProof/>
                <w:lang w:val="sk-SK"/>
              </w:rPr>
              <w:t xml:space="preserve"> a </w:t>
            </w:r>
            <w:r w:rsidRPr="00083739">
              <w:rPr>
                <w:rFonts w:cs="Times New Roman"/>
                <w:noProof/>
                <w:lang w:val="sk-SK"/>
              </w:rPr>
              <w:t>vylúčenie podnikov (zvýšenie veľkosti podnikov)</w:t>
            </w:r>
          </w:p>
        </w:tc>
        <w:tc>
          <w:tcPr>
            <w:tcW w:w="1692" w:type="dxa"/>
            <w:tcBorders>
              <w:top w:val="nil"/>
              <w:left w:val="nil"/>
              <w:bottom w:val="single" w:sz="4" w:space="0" w:color="auto"/>
              <w:right w:val="single" w:sz="4" w:space="0" w:color="auto"/>
            </w:tcBorders>
            <w:shd w:val="clear" w:color="000000" w:fill="C6EFCE"/>
            <w:noWrap/>
            <w:vAlign w:val="center"/>
          </w:tcPr>
          <w:p w14:paraId="66905C1C"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Míľnik</w:t>
            </w:r>
          </w:p>
        </w:tc>
        <w:tc>
          <w:tcPr>
            <w:tcW w:w="1740" w:type="dxa"/>
            <w:tcBorders>
              <w:top w:val="nil"/>
              <w:left w:val="nil"/>
              <w:bottom w:val="single" w:sz="4" w:space="0" w:color="auto"/>
              <w:right w:val="single" w:sz="4" w:space="0" w:color="auto"/>
            </w:tcBorders>
            <w:shd w:val="clear" w:color="000000" w:fill="C6EFCE"/>
            <w:noWrap/>
            <w:vAlign w:val="center"/>
          </w:tcPr>
          <w:p w14:paraId="4B2A8E57"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Právne predpisy na podporu extroverzie podnikov</w:t>
            </w:r>
          </w:p>
        </w:tc>
      </w:tr>
      <w:tr w:rsidR="002D49B0" w:rsidRPr="00083739" w14:paraId="0831DE92" w14:textId="77777777">
        <w:trPr>
          <w:trHeight w:val="302"/>
        </w:trPr>
        <w:tc>
          <w:tcPr>
            <w:tcW w:w="1804" w:type="dxa"/>
            <w:tcBorders>
              <w:top w:val="nil"/>
              <w:left w:val="single" w:sz="4" w:space="0" w:color="auto"/>
              <w:bottom w:val="single" w:sz="4" w:space="0" w:color="auto"/>
              <w:right w:val="single" w:sz="4" w:space="0" w:color="auto"/>
            </w:tcBorders>
            <w:shd w:val="clear" w:color="000000" w:fill="C6EFCE"/>
            <w:noWrap/>
            <w:vAlign w:val="center"/>
          </w:tcPr>
          <w:p w14:paraId="2BFB41A6" w14:textId="77777777" w:rsidR="002D49B0" w:rsidRPr="00083739" w:rsidRDefault="00BF4125">
            <w:pPr>
              <w:pStyle w:val="P68B1DB1-Normal8"/>
              <w:keepNext/>
              <w:spacing w:before="40" w:after="0" w:line="259" w:lineRule="auto"/>
              <w:jc w:val="both"/>
              <w:rPr>
                <w:rFonts w:eastAsia="Times New Roman" w:cs="Times New Roman"/>
                <w:noProof/>
                <w:szCs w:val="18"/>
                <w:lang w:val="sk-SK"/>
              </w:rPr>
            </w:pPr>
            <w:r w:rsidRPr="00083739">
              <w:rPr>
                <w:rFonts w:cs="Times New Roman"/>
                <w:noProof/>
                <w:lang w:val="sk-SK"/>
              </w:rPr>
              <w:t>224</w:t>
            </w:r>
          </w:p>
        </w:tc>
        <w:tc>
          <w:tcPr>
            <w:tcW w:w="4283" w:type="dxa"/>
            <w:tcBorders>
              <w:top w:val="nil"/>
              <w:left w:val="nil"/>
              <w:bottom w:val="single" w:sz="4" w:space="0" w:color="auto"/>
              <w:right w:val="single" w:sz="4" w:space="0" w:color="auto"/>
            </w:tcBorders>
            <w:shd w:val="clear" w:color="000000" w:fill="C6EFCE"/>
            <w:noWrap/>
            <w:vAlign w:val="center"/>
          </w:tcPr>
          <w:p w14:paraId="61124815" w14:textId="135758F8"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14 – 4.3. Zlepšiť efektívnosť justičného systému – 16733_Zručnosti</w:t>
            </w:r>
            <w:r w:rsidR="00083739" w:rsidRPr="00083739">
              <w:rPr>
                <w:rFonts w:cs="Times New Roman"/>
                <w:noProof/>
                <w:lang w:val="sk-SK"/>
              </w:rPr>
              <w:t xml:space="preserve"> a </w:t>
            </w:r>
            <w:r w:rsidRPr="00083739">
              <w:rPr>
                <w:rFonts w:cs="Times New Roman"/>
                <w:noProof/>
                <w:lang w:val="sk-SK"/>
              </w:rPr>
              <w:t>digitálne zručnosti sudcov</w:t>
            </w:r>
            <w:r w:rsidR="00083739" w:rsidRPr="00083739">
              <w:rPr>
                <w:rFonts w:cs="Times New Roman"/>
                <w:noProof/>
                <w:lang w:val="sk-SK"/>
              </w:rPr>
              <w:t xml:space="preserve"> a </w:t>
            </w:r>
            <w:r w:rsidRPr="00083739">
              <w:rPr>
                <w:rFonts w:cs="Times New Roman"/>
                <w:noProof/>
                <w:lang w:val="sk-SK"/>
              </w:rPr>
              <w:t>justičných zamestnancov (justičný personál)</w:t>
            </w:r>
          </w:p>
        </w:tc>
        <w:tc>
          <w:tcPr>
            <w:tcW w:w="1692" w:type="dxa"/>
            <w:tcBorders>
              <w:top w:val="nil"/>
              <w:left w:val="nil"/>
              <w:bottom w:val="single" w:sz="4" w:space="0" w:color="auto"/>
              <w:right w:val="single" w:sz="4" w:space="0" w:color="auto"/>
            </w:tcBorders>
            <w:shd w:val="clear" w:color="000000" w:fill="C6EFCE"/>
            <w:noWrap/>
            <w:vAlign w:val="center"/>
          </w:tcPr>
          <w:p w14:paraId="1564321C"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Cie</w:t>
            </w:r>
            <w:r w:rsidRPr="00083739">
              <w:rPr>
                <w:rFonts w:cs="Times New Roman"/>
                <w:noProof/>
                <w:lang w:val="sk-SK"/>
              </w:rPr>
              <w:t>ľ</w:t>
            </w:r>
          </w:p>
        </w:tc>
        <w:tc>
          <w:tcPr>
            <w:tcW w:w="1740" w:type="dxa"/>
            <w:tcBorders>
              <w:top w:val="nil"/>
              <w:left w:val="nil"/>
              <w:bottom w:val="single" w:sz="4" w:space="0" w:color="auto"/>
              <w:right w:val="single" w:sz="4" w:space="0" w:color="auto"/>
            </w:tcBorders>
            <w:shd w:val="clear" w:color="000000" w:fill="C6EFCE"/>
            <w:noWrap/>
            <w:vAlign w:val="center"/>
          </w:tcPr>
          <w:p w14:paraId="3FE325E7" w14:textId="3535A3C0"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Odborná príprava – sudcovia</w:t>
            </w:r>
            <w:r w:rsidR="00083739" w:rsidRPr="00083739">
              <w:rPr>
                <w:rFonts w:cs="Times New Roman"/>
                <w:noProof/>
                <w:lang w:val="sk-SK"/>
              </w:rPr>
              <w:t xml:space="preserve"> a </w:t>
            </w:r>
            <w:r w:rsidRPr="00083739">
              <w:rPr>
                <w:rFonts w:cs="Times New Roman"/>
                <w:noProof/>
                <w:lang w:val="sk-SK"/>
              </w:rPr>
              <w:t>administratívni pracovníci</w:t>
            </w:r>
          </w:p>
        </w:tc>
      </w:tr>
      <w:tr w:rsidR="002D49B0" w:rsidRPr="00083739" w14:paraId="0850A718" w14:textId="77777777">
        <w:trPr>
          <w:trHeight w:val="302"/>
        </w:trPr>
        <w:tc>
          <w:tcPr>
            <w:tcW w:w="1804" w:type="dxa"/>
            <w:tcBorders>
              <w:top w:val="nil"/>
              <w:left w:val="single" w:sz="4" w:space="0" w:color="auto"/>
              <w:bottom w:val="single" w:sz="4" w:space="0" w:color="auto"/>
              <w:right w:val="single" w:sz="4" w:space="0" w:color="auto"/>
            </w:tcBorders>
            <w:shd w:val="clear" w:color="000000" w:fill="C6EFCE"/>
            <w:noWrap/>
            <w:vAlign w:val="center"/>
          </w:tcPr>
          <w:p w14:paraId="7C343DBC" w14:textId="77777777" w:rsidR="002D49B0" w:rsidRPr="00083739" w:rsidRDefault="00BF4125">
            <w:pPr>
              <w:pStyle w:val="P68B1DB1-Normal8"/>
              <w:keepNext/>
              <w:spacing w:before="40" w:after="0" w:line="259" w:lineRule="auto"/>
              <w:jc w:val="both"/>
              <w:rPr>
                <w:rFonts w:eastAsia="Times New Roman" w:cs="Times New Roman"/>
                <w:noProof/>
                <w:szCs w:val="18"/>
                <w:lang w:val="sk-SK"/>
              </w:rPr>
            </w:pPr>
            <w:r w:rsidRPr="00083739">
              <w:rPr>
                <w:rFonts w:cs="Times New Roman"/>
                <w:noProof/>
                <w:lang w:val="sk-SK"/>
              </w:rPr>
              <w:t>245</w:t>
            </w:r>
          </w:p>
        </w:tc>
        <w:tc>
          <w:tcPr>
            <w:tcW w:w="4283" w:type="dxa"/>
            <w:tcBorders>
              <w:top w:val="nil"/>
              <w:left w:val="nil"/>
              <w:bottom w:val="single" w:sz="4" w:space="0" w:color="auto"/>
              <w:right w:val="single" w:sz="4" w:space="0" w:color="auto"/>
            </w:tcBorders>
            <w:shd w:val="clear" w:color="000000" w:fill="C6EFCE"/>
            <w:noWrap/>
            <w:vAlign w:val="center"/>
          </w:tcPr>
          <w:p w14:paraId="7B314610" w14:textId="55F87CC5"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16 – 4.5. Podpora výskumu</w:t>
            </w:r>
            <w:r w:rsidR="00083739" w:rsidRPr="00083739">
              <w:rPr>
                <w:rFonts w:cs="Times New Roman"/>
                <w:noProof/>
                <w:lang w:val="sk-SK"/>
              </w:rPr>
              <w:t xml:space="preserve"> a </w:t>
            </w:r>
            <w:r w:rsidRPr="00083739">
              <w:rPr>
                <w:rFonts w:cs="Times New Roman"/>
                <w:noProof/>
                <w:lang w:val="sk-SK"/>
              </w:rPr>
              <w:t>inovácií – 16618_Základný</w:t>
            </w:r>
            <w:r w:rsidR="00083739" w:rsidRPr="00083739">
              <w:rPr>
                <w:rFonts w:cs="Times New Roman"/>
                <w:noProof/>
                <w:lang w:val="sk-SK"/>
              </w:rPr>
              <w:t xml:space="preserve"> a </w:t>
            </w:r>
            <w:r w:rsidRPr="00083739">
              <w:rPr>
                <w:rFonts w:cs="Times New Roman"/>
                <w:noProof/>
                <w:lang w:val="sk-SK"/>
              </w:rPr>
              <w:t>aplikovaný výskum</w:t>
            </w:r>
          </w:p>
        </w:tc>
        <w:tc>
          <w:tcPr>
            <w:tcW w:w="1692" w:type="dxa"/>
            <w:tcBorders>
              <w:top w:val="nil"/>
              <w:left w:val="nil"/>
              <w:bottom w:val="single" w:sz="4" w:space="0" w:color="auto"/>
              <w:right w:val="single" w:sz="4" w:space="0" w:color="auto"/>
            </w:tcBorders>
            <w:shd w:val="clear" w:color="000000" w:fill="C6EFCE"/>
            <w:noWrap/>
            <w:vAlign w:val="center"/>
          </w:tcPr>
          <w:p w14:paraId="2C59BBE4"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Míľnik</w:t>
            </w:r>
          </w:p>
        </w:tc>
        <w:tc>
          <w:tcPr>
            <w:tcW w:w="1740" w:type="dxa"/>
            <w:tcBorders>
              <w:top w:val="nil"/>
              <w:left w:val="nil"/>
              <w:bottom w:val="single" w:sz="4" w:space="0" w:color="auto"/>
              <w:right w:val="single" w:sz="4" w:space="0" w:color="auto"/>
            </w:tcBorders>
            <w:shd w:val="clear" w:color="000000" w:fill="C6EFCE"/>
            <w:noWrap/>
            <w:vAlign w:val="center"/>
          </w:tcPr>
          <w:p w14:paraId="0989D8D9" w14:textId="3BFDFDEB"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Právne predpisy</w:t>
            </w:r>
            <w:r w:rsidR="00083739" w:rsidRPr="00083739">
              <w:rPr>
                <w:rFonts w:cs="Times New Roman"/>
                <w:noProof/>
                <w:lang w:val="sk-SK"/>
              </w:rPr>
              <w:t xml:space="preserve"> o </w:t>
            </w:r>
            <w:r w:rsidRPr="00083739">
              <w:rPr>
                <w:rFonts w:cs="Times New Roman"/>
                <w:noProof/>
                <w:lang w:val="sk-SK"/>
              </w:rPr>
              <w:t>základnom</w:t>
            </w:r>
            <w:r w:rsidR="00083739" w:rsidRPr="00083739">
              <w:rPr>
                <w:rFonts w:cs="Times New Roman"/>
                <w:noProof/>
                <w:lang w:val="sk-SK"/>
              </w:rPr>
              <w:t xml:space="preserve"> a </w:t>
            </w:r>
            <w:r w:rsidRPr="00083739">
              <w:rPr>
                <w:rFonts w:cs="Times New Roman"/>
                <w:noProof/>
                <w:lang w:val="sk-SK"/>
              </w:rPr>
              <w:t>aplikovanom výskume</w:t>
            </w:r>
          </w:p>
        </w:tc>
      </w:tr>
      <w:tr w:rsidR="002D49B0" w:rsidRPr="00083739" w14:paraId="6D190CA6" w14:textId="77777777">
        <w:trPr>
          <w:trHeight w:val="302"/>
        </w:trPr>
        <w:tc>
          <w:tcPr>
            <w:tcW w:w="1804" w:type="dxa"/>
            <w:tcBorders>
              <w:top w:val="nil"/>
              <w:left w:val="single" w:sz="4" w:space="0" w:color="auto"/>
              <w:bottom w:val="single" w:sz="4" w:space="0" w:color="auto"/>
              <w:right w:val="single" w:sz="4" w:space="0" w:color="auto"/>
            </w:tcBorders>
            <w:shd w:val="clear" w:color="000000" w:fill="C6EFCE"/>
            <w:noWrap/>
            <w:vAlign w:val="center"/>
          </w:tcPr>
          <w:p w14:paraId="19270848" w14:textId="77777777" w:rsidR="002D49B0" w:rsidRPr="00083739" w:rsidRDefault="00BF4125">
            <w:pPr>
              <w:pStyle w:val="P68B1DB1-Normal8"/>
              <w:keepNext/>
              <w:spacing w:before="40" w:after="0" w:line="259" w:lineRule="auto"/>
              <w:jc w:val="both"/>
              <w:rPr>
                <w:rFonts w:eastAsia="Times New Roman" w:cs="Times New Roman"/>
                <w:noProof/>
                <w:szCs w:val="18"/>
                <w:lang w:val="sk-SK"/>
              </w:rPr>
            </w:pPr>
            <w:r w:rsidRPr="00083739">
              <w:rPr>
                <w:rFonts w:cs="Times New Roman"/>
                <w:noProof/>
                <w:lang w:val="sk-SK"/>
              </w:rPr>
              <w:t>246</w:t>
            </w:r>
          </w:p>
        </w:tc>
        <w:tc>
          <w:tcPr>
            <w:tcW w:w="4283" w:type="dxa"/>
            <w:tcBorders>
              <w:top w:val="nil"/>
              <w:left w:val="nil"/>
              <w:bottom w:val="single" w:sz="4" w:space="0" w:color="auto"/>
              <w:right w:val="single" w:sz="4" w:space="0" w:color="auto"/>
            </w:tcBorders>
            <w:shd w:val="clear" w:color="000000" w:fill="C6EFCE"/>
            <w:noWrap/>
            <w:vAlign w:val="center"/>
          </w:tcPr>
          <w:p w14:paraId="09756D5A" w14:textId="42B80430"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16 – 4.5. Podpora výskumu</w:t>
            </w:r>
            <w:r w:rsidR="00083739" w:rsidRPr="00083739">
              <w:rPr>
                <w:rFonts w:cs="Times New Roman"/>
                <w:noProof/>
                <w:lang w:val="sk-SK"/>
              </w:rPr>
              <w:t xml:space="preserve"> a </w:t>
            </w:r>
            <w:r w:rsidRPr="00083739">
              <w:rPr>
                <w:rFonts w:cs="Times New Roman"/>
                <w:noProof/>
                <w:lang w:val="sk-SK"/>
              </w:rPr>
              <w:t xml:space="preserve">inovácií – 16624_Vytvorenie </w:t>
            </w:r>
            <w:r w:rsidRPr="00083739">
              <w:rPr>
                <w:rFonts w:cs="Times New Roman"/>
                <w:noProof/>
                <w:lang w:val="sk-SK"/>
              </w:rPr>
              <w:t>– Rozšírenie – modernizácia infraštruktúr výskumných centier pod dohľadom Generálneho sekretariátu pre výskum</w:t>
            </w:r>
            <w:r w:rsidR="00083739" w:rsidRPr="00083739">
              <w:rPr>
                <w:rFonts w:cs="Times New Roman"/>
                <w:noProof/>
                <w:lang w:val="sk-SK"/>
              </w:rPr>
              <w:t xml:space="preserve"> a </w:t>
            </w:r>
            <w:r w:rsidRPr="00083739">
              <w:rPr>
                <w:rFonts w:cs="Times New Roman"/>
                <w:noProof/>
                <w:lang w:val="sk-SK"/>
              </w:rPr>
              <w:t>inováciu (GSRI)</w:t>
            </w:r>
          </w:p>
        </w:tc>
        <w:tc>
          <w:tcPr>
            <w:tcW w:w="1692" w:type="dxa"/>
            <w:tcBorders>
              <w:top w:val="nil"/>
              <w:left w:val="nil"/>
              <w:bottom w:val="single" w:sz="4" w:space="0" w:color="auto"/>
              <w:right w:val="single" w:sz="4" w:space="0" w:color="auto"/>
            </w:tcBorders>
            <w:shd w:val="clear" w:color="000000" w:fill="C6EFCE"/>
            <w:noWrap/>
            <w:vAlign w:val="center"/>
          </w:tcPr>
          <w:p w14:paraId="78F0DC33"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Míľnik</w:t>
            </w:r>
          </w:p>
        </w:tc>
        <w:tc>
          <w:tcPr>
            <w:tcW w:w="1740" w:type="dxa"/>
            <w:tcBorders>
              <w:top w:val="nil"/>
              <w:left w:val="nil"/>
              <w:bottom w:val="single" w:sz="4" w:space="0" w:color="auto"/>
              <w:right w:val="single" w:sz="4" w:space="0" w:color="auto"/>
            </w:tcBorders>
            <w:shd w:val="clear" w:color="000000" w:fill="C6EFCE"/>
            <w:noWrap/>
            <w:vAlign w:val="center"/>
          </w:tcPr>
          <w:p w14:paraId="4B3C8DCF"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Výzva na predkladanie návrhov pre výskumné centrá</w:t>
            </w:r>
          </w:p>
        </w:tc>
      </w:tr>
      <w:tr w:rsidR="002D49B0" w:rsidRPr="00083739" w14:paraId="2431DEC8" w14:textId="77777777">
        <w:trPr>
          <w:trHeight w:val="302"/>
        </w:trPr>
        <w:tc>
          <w:tcPr>
            <w:tcW w:w="1804" w:type="dxa"/>
            <w:tcBorders>
              <w:top w:val="nil"/>
              <w:left w:val="single" w:sz="4" w:space="0" w:color="auto"/>
              <w:bottom w:val="single" w:sz="4" w:space="0" w:color="auto"/>
              <w:right w:val="single" w:sz="4" w:space="0" w:color="auto"/>
            </w:tcBorders>
            <w:shd w:val="clear" w:color="000000" w:fill="C6EFCE"/>
            <w:noWrap/>
            <w:vAlign w:val="center"/>
          </w:tcPr>
          <w:p w14:paraId="75071CF6" w14:textId="77777777" w:rsidR="002D49B0" w:rsidRPr="00083739" w:rsidRDefault="00BF4125">
            <w:pPr>
              <w:pStyle w:val="P68B1DB1-Normal8"/>
              <w:keepNext/>
              <w:spacing w:before="40" w:after="0" w:line="259" w:lineRule="auto"/>
              <w:jc w:val="both"/>
              <w:rPr>
                <w:rFonts w:eastAsia="Times New Roman" w:cs="Times New Roman"/>
                <w:noProof/>
                <w:szCs w:val="18"/>
                <w:lang w:val="sk-SK"/>
              </w:rPr>
            </w:pPr>
            <w:r w:rsidRPr="00083739">
              <w:rPr>
                <w:rFonts w:cs="Times New Roman"/>
                <w:noProof/>
                <w:lang w:val="sk-SK"/>
              </w:rPr>
              <w:t>292</w:t>
            </w:r>
          </w:p>
        </w:tc>
        <w:tc>
          <w:tcPr>
            <w:tcW w:w="4283" w:type="dxa"/>
            <w:tcBorders>
              <w:top w:val="nil"/>
              <w:left w:val="nil"/>
              <w:bottom w:val="single" w:sz="4" w:space="0" w:color="auto"/>
              <w:right w:val="single" w:sz="4" w:space="0" w:color="auto"/>
            </w:tcBorders>
            <w:shd w:val="clear" w:color="000000" w:fill="C6EFCE"/>
            <w:noWrap/>
            <w:vAlign w:val="center"/>
          </w:tcPr>
          <w:p w14:paraId="2CEEEF7F" w14:textId="221213C1"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17 – 4.6. Modernizácia</w:t>
            </w:r>
            <w:r w:rsidR="00083739" w:rsidRPr="00083739">
              <w:rPr>
                <w:rFonts w:cs="Times New Roman"/>
                <w:noProof/>
                <w:lang w:val="sk-SK"/>
              </w:rPr>
              <w:t xml:space="preserve"> a </w:t>
            </w:r>
            <w:r w:rsidRPr="00083739">
              <w:rPr>
                <w:rFonts w:cs="Times New Roman"/>
                <w:noProof/>
                <w:lang w:val="sk-SK"/>
              </w:rPr>
              <w:t xml:space="preserve">zlepšenie odolnosti kľúčových </w:t>
            </w:r>
            <w:r w:rsidRPr="00083739">
              <w:rPr>
                <w:rFonts w:cs="Times New Roman"/>
                <w:noProof/>
                <w:lang w:val="sk-SK"/>
              </w:rPr>
              <w:t>hospodárskych odvetví – 16931_Rozvoj cestovného ruchu</w:t>
            </w:r>
          </w:p>
        </w:tc>
        <w:tc>
          <w:tcPr>
            <w:tcW w:w="1692" w:type="dxa"/>
            <w:tcBorders>
              <w:top w:val="nil"/>
              <w:left w:val="nil"/>
              <w:bottom w:val="single" w:sz="4" w:space="0" w:color="auto"/>
              <w:right w:val="single" w:sz="4" w:space="0" w:color="auto"/>
            </w:tcBorders>
            <w:shd w:val="clear" w:color="000000" w:fill="C6EFCE"/>
            <w:noWrap/>
            <w:vAlign w:val="center"/>
          </w:tcPr>
          <w:p w14:paraId="6566A4CA"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Míľnik</w:t>
            </w:r>
          </w:p>
        </w:tc>
        <w:tc>
          <w:tcPr>
            <w:tcW w:w="1740" w:type="dxa"/>
            <w:tcBorders>
              <w:top w:val="nil"/>
              <w:left w:val="nil"/>
              <w:bottom w:val="single" w:sz="4" w:space="0" w:color="auto"/>
              <w:right w:val="single" w:sz="4" w:space="0" w:color="auto"/>
            </w:tcBorders>
            <w:shd w:val="clear" w:color="000000" w:fill="C6EFCE"/>
            <w:noWrap/>
            <w:vAlign w:val="center"/>
          </w:tcPr>
          <w:p w14:paraId="2DCCC86E"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Rozvoj cestovného ruchu: reformy turistických prístavov</w:t>
            </w:r>
          </w:p>
        </w:tc>
      </w:tr>
      <w:tr w:rsidR="002D49B0" w:rsidRPr="00083739" w14:paraId="0EFC4487" w14:textId="77777777">
        <w:trPr>
          <w:trHeight w:val="302"/>
        </w:trPr>
        <w:tc>
          <w:tcPr>
            <w:tcW w:w="1804" w:type="dxa"/>
            <w:tcBorders>
              <w:top w:val="nil"/>
              <w:left w:val="single" w:sz="4" w:space="0" w:color="auto"/>
              <w:bottom w:val="single" w:sz="4" w:space="0" w:color="auto"/>
              <w:right w:val="single" w:sz="4" w:space="0" w:color="auto"/>
            </w:tcBorders>
            <w:shd w:val="clear" w:color="000000" w:fill="C6EFCE"/>
            <w:noWrap/>
            <w:vAlign w:val="center"/>
          </w:tcPr>
          <w:p w14:paraId="283C68B0" w14:textId="77777777" w:rsidR="002D49B0" w:rsidRPr="00083739" w:rsidRDefault="00BF4125">
            <w:pPr>
              <w:pStyle w:val="P68B1DB1-Normal8"/>
              <w:keepNext/>
              <w:spacing w:before="40" w:after="0" w:line="259" w:lineRule="auto"/>
              <w:jc w:val="both"/>
              <w:rPr>
                <w:rFonts w:eastAsia="Times New Roman" w:cs="Times New Roman"/>
                <w:noProof/>
                <w:szCs w:val="18"/>
                <w:lang w:val="sk-SK"/>
              </w:rPr>
            </w:pPr>
            <w:r w:rsidRPr="00083739">
              <w:rPr>
                <w:rFonts w:cs="Times New Roman"/>
                <w:noProof/>
                <w:lang w:val="sk-SK"/>
              </w:rPr>
              <w:t>300</w:t>
            </w:r>
          </w:p>
        </w:tc>
        <w:tc>
          <w:tcPr>
            <w:tcW w:w="4283" w:type="dxa"/>
            <w:tcBorders>
              <w:top w:val="nil"/>
              <w:left w:val="nil"/>
              <w:bottom w:val="single" w:sz="4" w:space="0" w:color="auto"/>
              <w:right w:val="single" w:sz="4" w:space="0" w:color="auto"/>
            </w:tcBorders>
            <w:shd w:val="clear" w:color="000000" w:fill="C6EFCE"/>
            <w:noWrap/>
            <w:vAlign w:val="center"/>
          </w:tcPr>
          <w:p w14:paraId="3088ED19" w14:textId="6FD71533"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17 – 4.6. Modernizácia</w:t>
            </w:r>
            <w:r w:rsidR="00083739" w:rsidRPr="00083739">
              <w:rPr>
                <w:rFonts w:cs="Times New Roman"/>
                <w:noProof/>
                <w:lang w:val="sk-SK"/>
              </w:rPr>
              <w:t xml:space="preserve"> a </w:t>
            </w:r>
            <w:r w:rsidRPr="00083739">
              <w:rPr>
                <w:rFonts w:cs="Times New Roman"/>
                <w:noProof/>
                <w:lang w:val="sk-SK"/>
              </w:rPr>
              <w:t>zlepšenie odolnosti kľúčových hospodárskych odvetví – 16721_zrýchlenie inteligentnej výroby</w:t>
            </w:r>
          </w:p>
        </w:tc>
        <w:tc>
          <w:tcPr>
            <w:tcW w:w="1692" w:type="dxa"/>
            <w:tcBorders>
              <w:top w:val="nil"/>
              <w:left w:val="nil"/>
              <w:bottom w:val="single" w:sz="4" w:space="0" w:color="auto"/>
              <w:right w:val="single" w:sz="4" w:space="0" w:color="auto"/>
            </w:tcBorders>
            <w:shd w:val="clear" w:color="000000" w:fill="C6EFCE"/>
            <w:noWrap/>
            <w:vAlign w:val="center"/>
          </w:tcPr>
          <w:p w14:paraId="0FFCA4A9"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Míľnik</w:t>
            </w:r>
          </w:p>
        </w:tc>
        <w:tc>
          <w:tcPr>
            <w:tcW w:w="1740" w:type="dxa"/>
            <w:tcBorders>
              <w:top w:val="nil"/>
              <w:left w:val="nil"/>
              <w:bottom w:val="single" w:sz="4" w:space="0" w:color="auto"/>
              <w:right w:val="single" w:sz="4" w:space="0" w:color="auto"/>
            </w:tcBorders>
            <w:shd w:val="clear" w:color="000000" w:fill="C6EFCE"/>
            <w:noWrap/>
            <w:vAlign w:val="center"/>
          </w:tcPr>
          <w:p w14:paraId="6A45B34B"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Vyhlasovanie výziev na výrobu</w:t>
            </w:r>
          </w:p>
        </w:tc>
      </w:tr>
      <w:tr w:rsidR="002D49B0" w:rsidRPr="00083739" w14:paraId="5D48DE28" w14:textId="77777777">
        <w:trPr>
          <w:trHeight w:val="302"/>
        </w:trPr>
        <w:tc>
          <w:tcPr>
            <w:tcW w:w="1804" w:type="dxa"/>
            <w:tcBorders>
              <w:top w:val="nil"/>
              <w:left w:val="single" w:sz="4" w:space="0" w:color="auto"/>
              <w:bottom w:val="single" w:sz="4" w:space="0" w:color="auto"/>
              <w:right w:val="single" w:sz="4" w:space="0" w:color="auto"/>
            </w:tcBorders>
            <w:shd w:val="clear" w:color="000000" w:fill="C6EFCE"/>
            <w:noWrap/>
            <w:vAlign w:val="center"/>
          </w:tcPr>
          <w:p w14:paraId="7EDDA151" w14:textId="77777777" w:rsidR="002D49B0" w:rsidRPr="00083739" w:rsidRDefault="00BF4125">
            <w:pPr>
              <w:pStyle w:val="P68B1DB1-Normal8"/>
              <w:keepNext/>
              <w:spacing w:before="40" w:after="0" w:line="259" w:lineRule="auto"/>
              <w:jc w:val="both"/>
              <w:rPr>
                <w:rFonts w:eastAsia="Times New Roman" w:cs="Times New Roman"/>
                <w:noProof/>
                <w:szCs w:val="18"/>
                <w:lang w:val="sk-SK"/>
              </w:rPr>
            </w:pPr>
            <w:r w:rsidRPr="00083739">
              <w:rPr>
                <w:rFonts w:cs="Times New Roman"/>
                <w:noProof/>
                <w:lang w:val="sk-SK"/>
              </w:rPr>
              <w:t>301</w:t>
            </w:r>
          </w:p>
        </w:tc>
        <w:tc>
          <w:tcPr>
            <w:tcW w:w="4283" w:type="dxa"/>
            <w:tcBorders>
              <w:top w:val="nil"/>
              <w:left w:val="nil"/>
              <w:bottom w:val="single" w:sz="4" w:space="0" w:color="auto"/>
              <w:right w:val="single" w:sz="4" w:space="0" w:color="auto"/>
            </w:tcBorders>
            <w:shd w:val="clear" w:color="000000" w:fill="C6EFCE"/>
            <w:noWrap/>
            <w:vAlign w:val="center"/>
          </w:tcPr>
          <w:p w14:paraId="17829C0F" w14:textId="4763C87A"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17 – 4.6. Modernizácia</w:t>
            </w:r>
            <w:r w:rsidR="00083739" w:rsidRPr="00083739">
              <w:rPr>
                <w:rFonts w:cs="Times New Roman"/>
                <w:noProof/>
                <w:lang w:val="sk-SK"/>
              </w:rPr>
              <w:t xml:space="preserve"> a </w:t>
            </w:r>
            <w:r w:rsidRPr="00083739">
              <w:rPr>
                <w:rFonts w:cs="Times New Roman"/>
                <w:noProof/>
                <w:lang w:val="sk-SK"/>
              </w:rPr>
              <w:t>zlepšenie odolnosti kľúčových hospodárskych odvetví – 16634_Nové priemyselné parky</w:t>
            </w:r>
          </w:p>
        </w:tc>
        <w:tc>
          <w:tcPr>
            <w:tcW w:w="1692" w:type="dxa"/>
            <w:tcBorders>
              <w:top w:val="nil"/>
              <w:left w:val="nil"/>
              <w:bottom w:val="single" w:sz="4" w:space="0" w:color="auto"/>
              <w:right w:val="single" w:sz="4" w:space="0" w:color="auto"/>
            </w:tcBorders>
            <w:shd w:val="clear" w:color="000000" w:fill="C6EFCE"/>
            <w:noWrap/>
            <w:vAlign w:val="center"/>
          </w:tcPr>
          <w:p w14:paraId="08A9BA34"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Míľnik</w:t>
            </w:r>
          </w:p>
        </w:tc>
        <w:tc>
          <w:tcPr>
            <w:tcW w:w="1740" w:type="dxa"/>
            <w:tcBorders>
              <w:top w:val="nil"/>
              <w:left w:val="nil"/>
              <w:bottom w:val="single" w:sz="4" w:space="0" w:color="auto"/>
              <w:right w:val="single" w:sz="4" w:space="0" w:color="auto"/>
            </w:tcBorders>
            <w:shd w:val="clear" w:color="000000" w:fill="C6EFCE"/>
            <w:noWrap/>
            <w:vAlign w:val="center"/>
          </w:tcPr>
          <w:p w14:paraId="72590CB1"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Vyhlásenie výziev pre priemyselné parky</w:t>
            </w:r>
          </w:p>
        </w:tc>
      </w:tr>
      <w:tr w:rsidR="002D49B0" w:rsidRPr="00083739" w14:paraId="1450113B" w14:textId="77777777">
        <w:trPr>
          <w:trHeight w:val="302"/>
        </w:trPr>
        <w:tc>
          <w:tcPr>
            <w:tcW w:w="1804" w:type="dxa"/>
            <w:tcBorders>
              <w:top w:val="nil"/>
              <w:left w:val="single" w:sz="4" w:space="0" w:color="auto"/>
              <w:bottom w:val="single" w:sz="4" w:space="0" w:color="auto"/>
              <w:right w:val="single" w:sz="4" w:space="0" w:color="auto"/>
            </w:tcBorders>
            <w:shd w:val="clear" w:color="000000" w:fill="C6EFCE"/>
            <w:noWrap/>
            <w:vAlign w:val="center"/>
          </w:tcPr>
          <w:p w14:paraId="4F7F881C" w14:textId="77777777" w:rsidR="002D49B0" w:rsidRPr="00083739" w:rsidRDefault="00BF4125">
            <w:pPr>
              <w:pStyle w:val="P68B1DB1-Normal8"/>
              <w:keepNext/>
              <w:spacing w:before="40" w:after="0" w:line="259" w:lineRule="auto"/>
              <w:jc w:val="both"/>
              <w:rPr>
                <w:rFonts w:eastAsia="Times New Roman" w:cs="Times New Roman"/>
                <w:noProof/>
                <w:szCs w:val="18"/>
                <w:lang w:val="sk-SK"/>
              </w:rPr>
            </w:pPr>
            <w:r w:rsidRPr="00083739">
              <w:rPr>
                <w:rFonts w:cs="Times New Roman"/>
                <w:noProof/>
                <w:lang w:val="sk-SK"/>
              </w:rPr>
              <w:t>310</w:t>
            </w:r>
          </w:p>
        </w:tc>
        <w:tc>
          <w:tcPr>
            <w:tcW w:w="4283" w:type="dxa"/>
            <w:tcBorders>
              <w:top w:val="nil"/>
              <w:left w:val="nil"/>
              <w:bottom w:val="single" w:sz="4" w:space="0" w:color="auto"/>
              <w:right w:val="single" w:sz="4" w:space="0" w:color="auto"/>
            </w:tcBorders>
            <w:shd w:val="clear" w:color="000000" w:fill="C6EFCE"/>
            <w:noWrap/>
            <w:vAlign w:val="center"/>
          </w:tcPr>
          <w:p w14:paraId="6A95835E" w14:textId="03BF0076"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17 – 4.6. Modernizácia</w:t>
            </w:r>
            <w:r w:rsidR="00083739" w:rsidRPr="00083739">
              <w:rPr>
                <w:rFonts w:cs="Times New Roman"/>
                <w:noProof/>
                <w:lang w:val="sk-SK"/>
              </w:rPr>
              <w:t xml:space="preserve"> a </w:t>
            </w:r>
            <w:r w:rsidRPr="00083739">
              <w:rPr>
                <w:rFonts w:cs="Times New Roman"/>
                <w:noProof/>
                <w:lang w:val="sk-SK"/>
              </w:rPr>
              <w:t xml:space="preserve">zlepšenie odolnosti kľúčových </w:t>
            </w:r>
            <w:r w:rsidRPr="00083739">
              <w:rPr>
                <w:rFonts w:cs="Times New Roman"/>
                <w:noProof/>
                <w:lang w:val="sk-SK"/>
              </w:rPr>
              <w:t>hospodárskych odvetví – 16626_Hospodárska transformácia</w:t>
            </w:r>
            <w:r w:rsidR="00083739" w:rsidRPr="00083739">
              <w:rPr>
                <w:rFonts w:cs="Times New Roman"/>
                <w:noProof/>
                <w:lang w:val="sk-SK"/>
              </w:rPr>
              <w:t xml:space="preserve"> v </w:t>
            </w:r>
            <w:r w:rsidRPr="00083739">
              <w:rPr>
                <w:rFonts w:cs="Times New Roman"/>
                <w:noProof/>
                <w:lang w:val="sk-SK"/>
              </w:rPr>
              <w:t>sektore poľnohospodárstva</w:t>
            </w:r>
          </w:p>
        </w:tc>
        <w:tc>
          <w:tcPr>
            <w:tcW w:w="1692" w:type="dxa"/>
            <w:tcBorders>
              <w:top w:val="nil"/>
              <w:left w:val="nil"/>
              <w:bottom w:val="single" w:sz="4" w:space="0" w:color="auto"/>
              <w:right w:val="single" w:sz="4" w:space="0" w:color="auto"/>
            </w:tcBorders>
            <w:shd w:val="clear" w:color="000000" w:fill="C6EFCE"/>
            <w:noWrap/>
            <w:vAlign w:val="center"/>
          </w:tcPr>
          <w:p w14:paraId="04DDAE41"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Míľnik</w:t>
            </w:r>
          </w:p>
        </w:tc>
        <w:tc>
          <w:tcPr>
            <w:tcW w:w="1740" w:type="dxa"/>
            <w:tcBorders>
              <w:top w:val="nil"/>
              <w:left w:val="nil"/>
              <w:bottom w:val="single" w:sz="4" w:space="0" w:color="auto"/>
              <w:right w:val="single" w:sz="4" w:space="0" w:color="auto"/>
            </w:tcBorders>
            <w:shd w:val="clear" w:color="000000" w:fill="C6EFCE"/>
            <w:noWrap/>
            <w:vAlign w:val="center"/>
          </w:tcPr>
          <w:p w14:paraId="4772A5D1"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Hospodárska transformácia poľnohospodárstva: Spustenie programu</w:t>
            </w:r>
          </w:p>
        </w:tc>
      </w:tr>
      <w:tr w:rsidR="002D49B0" w:rsidRPr="00083739" w14:paraId="445A46DE" w14:textId="77777777">
        <w:trPr>
          <w:trHeight w:val="302"/>
        </w:trPr>
        <w:tc>
          <w:tcPr>
            <w:tcW w:w="1804" w:type="dxa"/>
            <w:tcBorders>
              <w:top w:val="nil"/>
              <w:left w:val="single" w:sz="4" w:space="0" w:color="auto"/>
              <w:bottom w:val="single" w:sz="4" w:space="0" w:color="auto"/>
              <w:right w:val="single" w:sz="4" w:space="0" w:color="auto"/>
            </w:tcBorders>
            <w:shd w:val="clear" w:color="000000" w:fill="C6EFCE"/>
            <w:noWrap/>
            <w:vAlign w:val="center"/>
          </w:tcPr>
          <w:p w14:paraId="5EB1B0CA" w14:textId="77777777" w:rsidR="002D49B0" w:rsidRPr="00083739" w:rsidRDefault="00BF4125">
            <w:pPr>
              <w:pStyle w:val="P68B1DB1-Normal8"/>
              <w:keepNext/>
              <w:spacing w:before="40" w:after="0" w:line="259" w:lineRule="auto"/>
              <w:jc w:val="both"/>
              <w:rPr>
                <w:rFonts w:eastAsia="Times New Roman" w:cs="Times New Roman"/>
                <w:noProof/>
                <w:szCs w:val="18"/>
                <w:lang w:val="sk-SK"/>
              </w:rPr>
            </w:pPr>
            <w:r w:rsidRPr="00083739">
              <w:rPr>
                <w:rFonts w:cs="Times New Roman"/>
                <w:noProof/>
                <w:lang w:val="sk-SK"/>
              </w:rPr>
              <w:t>4</w:t>
            </w:r>
          </w:p>
        </w:tc>
        <w:tc>
          <w:tcPr>
            <w:tcW w:w="4283" w:type="dxa"/>
            <w:tcBorders>
              <w:top w:val="nil"/>
              <w:left w:val="nil"/>
              <w:bottom w:val="single" w:sz="4" w:space="0" w:color="auto"/>
              <w:right w:val="single" w:sz="4" w:space="0" w:color="auto"/>
            </w:tcBorders>
            <w:shd w:val="clear" w:color="000000" w:fill="C6EFCE"/>
            <w:noWrap/>
            <w:vAlign w:val="center"/>
          </w:tcPr>
          <w:p w14:paraId="61D8239A" w14:textId="69031A08"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 – 1.1. Power up – 16865_Reštrukturalizácia</w:t>
            </w:r>
            <w:r w:rsidR="00083739" w:rsidRPr="00083739">
              <w:rPr>
                <w:rFonts w:cs="Times New Roman"/>
                <w:noProof/>
                <w:lang w:val="sk-SK"/>
              </w:rPr>
              <w:t xml:space="preserve"> a </w:t>
            </w:r>
            <w:r w:rsidRPr="00083739">
              <w:rPr>
                <w:rFonts w:cs="Times New Roman"/>
                <w:noProof/>
                <w:lang w:val="sk-SK"/>
              </w:rPr>
              <w:t>zlepšenie príjmov</w:t>
            </w:r>
            <w:r w:rsidR="00083739" w:rsidRPr="00083739">
              <w:rPr>
                <w:rFonts w:cs="Times New Roman"/>
                <w:noProof/>
                <w:lang w:val="sk-SK"/>
              </w:rPr>
              <w:t xml:space="preserve"> z </w:t>
            </w:r>
            <w:r w:rsidRPr="00083739">
              <w:rPr>
                <w:rFonts w:cs="Times New Roman"/>
                <w:noProof/>
                <w:lang w:val="sk-SK"/>
              </w:rPr>
              <w:t>účtu KVET OZE</w:t>
            </w:r>
          </w:p>
        </w:tc>
        <w:tc>
          <w:tcPr>
            <w:tcW w:w="1692" w:type="dxa"/>
            <w:tcBorders>
              <w:top w:val="nil"/>
              <w:left w:val="nil"/>
              <w:bottom w:val="single" w:sz="4" w:space="0" w:color="auto"/>
              <w:right w:val="single" w:sz="4" w:space="0" w:color="auto"/>
            </w:tcBorders>
            <w:shd w:val="clear" w:color="000000" w:fill="C6EFCE"/>
            <w:noWrap/>
            <w:vAlign w:val="center"/>
          </w:tcPr>
          <w:p w14:paraId="3BDAAC34"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Míľnik</w:t>
            </w:r>
          </w:p>
        </w:tc>
        <w:tc>
          <w:tcPr>
            <w:tcW w:w="1740" w:type="dxa"/>
            <w:tcBorders>
              <w:top w:val="nil"/>
              <w:left w:val="nil"/>
              <w:bottom w:val="single" w:sz="4" w:space="0" w:color="auto"/>
              <w:right w:val="single" w:sz="4" w:space="0" w:color="auto"/>
            </w:tcBorders>
            <w:shd w:val="clear" w:color="000000" w:fill="C6EFCE"/>
            <w:noWrap/>
            <w:vAlign w:val="center"/>
          </w:tcPr>
          <w:p w14:paraId="4F0D17E3" w14:textId="104D35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Účet OZE –</w:t>
            </w:r>
            <w:r w:rsidRPr="00083739">
              <w:rPr>
                <w:rFonts w:cs="Times New Roman"/>
                <w:noProof/>
                <w:lang w:val="sk-SK"/>
              </w:rPr>
              <w:t xml:space="preserve"> právne predpisy na zmenu L. 4001/2011; nadobudnutie účinnosti všetkých príslušných rozhodnutí vrátane kódexov ministerstvami, národným regulačným orgánom (RAE)</w:t>
            </w:r>
            <w:r w:rsidR="00083739" w:rsidRPr="00083739">
              <w:rPr>
                <w:rFonts w:cs="Times New Roman"/>
                <w:noProof/>
                <w:lang w:val="sk-SK"/>
              </w:rPr>
              <w:t xml:space="preserve"> a </w:t>
            </w:r>
            <w:r w:rsidRPr="00083739">
              <w:rPr>
                <w:rFonts w:cs="Times New Roman"/>
                <w:noProof/>
                <w:lang w:val="sk-SK"/>
              </w:rPr>
              <w:t>správcom obnoviteľných zdrojov energie</w:t>
            </w:r>
            <w:r w:rsidR="00083739" w:rsidRPr="00083739">
              <w:rPr>
                <w:rFonts w:cs="Times New Roman"/>
                <w:noProof/>
                <w:lang w:val="sk-SK"/>
              </w:rPr>
              <w:t xml:space="preserve"> a </w:t>
            </w:r>
            <w:r w:rsidRPr="00083739">
              <w:rPr>
                <w:rFonts w:cs="Times New Roman"/>
                <w:noProof/>
                <w:lang w:val="sk-SK"/>
              </w:rPr>
              <w:t>záruk pôvodu (DAPEEP).</w:t>
            </w:r>
          </w:p>
        </w:tc>
      </w:tr>
      <w:tr w:rsidR="002D49B0" w:rsidRPr="00083739" w14:paraId="58499848" w14:textId="77777777">
        <w:trPr>
          <w:trHeight w:val="302"/>
        </w:trPr>
        <w:tc>
          <w:tcPr>
            <w:tcW w:w="1804" w:type="dxa"/>
            <w:tcBorders>
              <w:top w:val="nil"/>
              <w:left w:val="single" w:sz="4" w:space="0" w:color="auto"/>
              <w:bottom w:val="single" w:sz="4" w:space="0" w:color="auto"/>
              <w:right w:val="single" w:sz="4" w:space="0" w:color="auto"/>
            </w:tcBorders>
            <w:shd w:val="clear" w:color="000000" w:fill="C6EFCE"/>
            <w:noWrap/>
            <w:vAlign w:val="center"/>
          </w:tcPr>
          <w:p w14:paraId="565D7F99" w14:textId="77777777" w:rsidR="002D49B0" w:rsidRPr="00083739" w:rsidRDefault="00BF4125">
            <w:pPr>
              <w:pStyle w:val="P68B1DB1-Normal8"/>
              <w:keepNext/>
              <w:spacing w:before="40" w:after="0" w:line="259" w:lineRule="auto"/>
              <w:jc w:val="both"/>
              <w:rPr>
                <w:rFonts w:eastAsia="Times New Roman" w:cs="Times New Roman"/>
                <w:noProof/>
                <w:szCs w:val="18"/>
                <w:lang w:val="sk-SK"/>
              </w:rPr>
            </w:pPr>
            <w:r w:rsidRPr="00083739">
              <w:rPr>
                <w:rFonts w:cs="Times New Roman"/>
                <w:noProof/>
                <w:lang w:val="sk-SK"/>
              </w:rPr>
              <w:t>5</w:t>
            </w:r>
          </w:p>
        </w:tc>
        <w:tc>
          <w:tcPr>
            <w:tcW w:w="4283" w:type="dxa"/>
            <w:tcBorders>
              <w:top w:val="nil"/>
              <w:left w:val="nil"/>
              <w:bottom w:val="single" w:sz="4" w:space="0" w:color="auto"/>
              <w:right w:val="single" w:sz="4" w:space="0" w:color="auto"/>
            </w:tcBorders>
            <w:shd w:val="clear" w:color="000000" w:fill="C6EFCE"/>
            <w:noWrap/>
            <w:vAlign w:val="center"/>
          </w:tcPr>
          <w:p w14:paraId="5BF4FF53" w14:textId="75B5C5CA"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 – 1.1. Power up – 16860_</w:t>
            </w:r>
            <w:r w:rsidRPr="00083739">
              <w:rPr>
                <w:rFonts w:cs="Times New Roman"/>
                <w:noProof/>
                <w:lang w:val="sk-SK"/>
              </w:rPr>
              <w:t>Zjednoduší efektívne fungovanie nového modelu trhu</w:t>
            </w:r>
            <w:r w:rsidR="00083739" w:rsidRPr="00083739">
              <w:rPr>
                <w:rFonts w:cs="Times New Roman"/>
                <w:noProof/>
                <w:lang w:val="sk-SK"/>
              </w:rPr>
              <w:t xml:space="preserve"> s </w:t>
            </w:r>
            <w:r w:rsidRPr="00083739">
              <w:rPr>
                <w:rFonts w:cs="Times New Roman"/>
                <w:noProof/>
                <w:lang w:val="sk-SK"/>
              </w:rPr>
              <w:t>elektrinou</w:t>
            </w:r>
            <w:r w:rsidR="00083739" w:rsidRPr="00083739">
              <w:rPr>
                <w:rFonts w:cs="Times New Roman"/>
                <w:noProof/>
                <w:lang w:val="sk-SK"/>
              </w:rPr>
              <w:t xml:space="preserve"> a </w:t>
            </w:r>
            <w:r w:rsidRPr="00083739">
              <w:rPr>
                <w:rFonts w:cs="Times New Roman"/>
                <w:noProof/>
                <w:lang w:val="sk-SK"/>
              </w:rPr>
              <w:t>rozvoj nových zariadení na výrobu energie</w:t>
            </w:r>
            <w:r w:rsidR="00083739" w:rsidRPr="00083739">
              <w:rPr>
                <w:rFonts w:cs="Times New Roman"/>
                <w:noProof/>
                <w:lang w:val="sk-SK"/>
              </w:rPr>
              <w:t xml:space="preserve"> z </w:t>
            </w:r>
            <w:r w:rsidRPr="00083739">
              <w:rPr>
                <w:rFonts w:cs="Times New Roman"/>
                <w:noProof/>
                <w:lang w:val="sk-SK"/>
              </w:rPr>
              <w:t>obnoviteľných zdrojov na dosiahnutie cieľov NEKP prostredníctvom zavedenia monitorovacieho mechanizmu, účasti reakcie na strane spotreby</w:t>
            </w:r>
            <w:r w:rsidR="00083739" w:rsidRPr="00083739">
              <w:rPr>
                <w:rFonts w:cs="Times New Roman"/>
                <w:noProof/>
                <w:lang w:val="sk-SK"/>
              </w:rPr>
              <w:t xml:space="preserve"> a </w:t>
            </w:r>
            <w:r w:rsidRPr="00083739">
              <w:rPr>
                <w:rFonts w:cs="Times New Roman"/>
                <w:noProof/>
                <w:lang w:val="sk-SK"/>
              </w:rPr>
              <w:t>rozsiah</w:t>
            </w:r>
            <w:r w:rsidRPr="00083739">
              <w:rPr>
                <w:rFonts w:cs="Times New Roman"/>
                <w:noProof/>
                <w:lang w:val="sk-SK"/>
              </w:rPr>
              <w:t>lej reformy postupu udeľovania licencií pre nové obnoviteľné zdroje energie</w:t>
            </w:r>
          </w:p>
        </w:tc>
        <w:tc>
          <w:tcPr>
            <w:tcW w:w="1692" w:type="dxa"/>
            <w:tcBorders>
              <w:top w:val="nil"/>
              <w:left w:val="nil"/>
              <w:bottom w:val="single" w:sz="4" w:space="0" w:color="auto"/>
              <w:right w:val="single" w:sz="4" w:space="0" w:color="auto"/>
            </w:tcBorders>
            <w:shd w:val="clear" w:color="000000" w:fill="C6EFCE"/>
            <w:noWrap/>
            <w:vAlign w:val="center"/>
          </w:tcPr>
          <w:p w14:paraId="60F3FED3"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Míľnik</w:t>
            </w:r>
          </w:p>
        </w:tc>
        <w:tc>
          <w:tcPr>
            <w:tcW w:w="1740" w:type="dxa"/>
            <w:tcBorders>
              <w:top w:val="nil"/>
              <w:left w:val="nil"/>
              <w:bottom w:val="single" w:sz="4" w:space="0" w:color="auto"/>
              <w:right w:val="single" w:sz="4" w:space="0" w:color="auto"/>
            </w:tcBorders>
            <w:shd w:val="clear" w:color="000000" w:fill="C6EFCE"/>
            <w:noWrap/>
            <w:vAlign w:val="center"/>
          </w:tcPr>
          <w:p w14:paraId="0B83BF2B" w14:textId="006CFCCB"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Účet OZE – trhové reformy</w:t>
            </w:r>
            <w:r w:rsidR="00083739" w:rsidRPr="00083739">
              <w:rPr>
                <w:rFonts w:cs="Times New Roman"/>
                <w:noProof/>
                <w:lang w:val="sk-SK"/>
              </w:rPr>
              <w:t xml:space="preserve"> a </w:t>
            </w:r>
            <w:r w:rsidRPr="00083739">
              <w:rPr>
                <w:rFonts w:cs="Times New Roman"/>
                <w:noProof/>
                <w:lang w:val="sk-SK"/>
              </w:rPr>
              <w:t>zjednodušenie udeľovania licencií</w:t>
            </w:r>
          </w:p>
        </w:tc>
      </w:tr>
      <w:tr w:rsidR="002D49B0" w:rsidRPr="00083739" w14:paraId="09A7C3F2" w14:textId="77777777">
        <w:trPr>
          <w:trHeight w:val="302"/>
        </w:trPr>
        <w:tc>
          <w:tcPr>
            <w:tcW w:w="1804" w:type="dxa"/>
            <w:tcBorders>
              <w:top w:val="nil"/>
              <w:left w:val="single" w:sz="4" w:space="0" w:color="auto"/>
              <w:bottom w:val="single" w:sz="4" w:space="0" w:color="auto"/>
              <w:right w:val="single" w:sz="4" w:space="0" w:color="auto"/>
            </w:tcBorders>
            <w:shd w:val="clear" w:color="000000" w:fill="C6EFCE"/>
            <w:noWrap/>
            <w:vAlign w:val="center"/>
          </w:tcPr>
          <w:p w14:paraId="1A63DCD2" w14:textId="77777777" w:rsidR="002D49B0" w:rsidRPr="00083739" w:rsidRDefault="00BF4125">
            <w:pPr>
              <w:pStyle w:val="P68B1DB1-Normal8"/>
              <w:keepNext/>
              <w:spacing w:before="40" w:after="0" w:line="259" w:lineRule="auto"/>
              <w:jc w:val="both"/>
              <w:rPr>
                <w:rFonts w:eastAsia="Times New Roman" w:cs="Times New Roman"/>
                <w:noProof/>
                <w:szCs w:val="18"/>
                <w:lang w:val="sk-SK"/>
              </w:rPr>
            </w:pPr>
            <w:r w:rsidRPr="00083739">
              <w:rPr>
                <w:rFonts w:cs="Times New Roman"/>
                <w:noProof/>
                <w:lang w:val="sk-SK"/>
              </w:rPr>
              <w:t>138</w:t>
            </w:r>
          </w:p>
        </w:tc>
        <w:tc>
          <w:tcPr>
            <w:tcW w:w="4283" w:type="dxa"/>
            <w:tcBorders>
              <w:top w:val="nil"/>
              <w:left w:val="nil"/>
              <w:bottom w:val="single" w:sz="4" w:space="0" w:color="auto"/>
              <w:right w:val="single" w:sz="4" w:space="0" w:color="auto"/>
            </w:tcBorders>
            <w:shd w:val="clear" w:color="000000" w:fill="C6EFCE"/>
            <w:noWrap/>
            <w:vAlign w:val="center"/>
          </w:tcPr>
          <w:p w14:paraId="041B35E4" w14:textId="00A1A5A9"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9 – 3.2. Vzdelávanie, odborné vzdelávanie</w:t>
            </w:r>
            <w:r w:rsidR="00083739" w:rsidRPr="00083739">
              <w:rPr>
                <w:rFonts w:cs="Times New Roman"/>
                <w:noProof/>
                <w:lang w:val="sk-SK"/>
              </w:rPr>
              <w:t xml:space="preserve"> a </w:t>
            </w:r>
            <w:r w:rsidRPr="00083739">
              <w:rPr>
                <w:rFonts w:cs="Times New Roman"/>
                <w:noProof/>
                <w:lang w:val="sk-SK"/>
              </w:rPr>
              <w:t>príprava</w:t>
            </w:r>
            <w:r w:rsidR="00083739" w:rsidRPr="00083739">
              <w:rPr>
                <w:rFonts w:cs="Times New Roman"/>
                <w:noProof/>
                <w:lang w:val="sk-SK"/>
              </w:rPr>
              <w:t xml:space="preserve"> a </w:t>
            </w:r>
            <w:r w:rsidRPr="00083739">
              <w:rPr>
                <w:rFonts w:cs="Times New Roman"/>
                <w:noProof/>
                <w:lang w:val="sk-SK"/>
              </w:rPr>
              <w:t xml:space="preserve">zručnosti – 16913_A Nová stratégia pre celoživotné </w:t>
            </w:r>
            <w:r w:rsidRPr="00083739">
              <w:rPr>
                <w:rFonts w:cs="Times New Roman"/>
                <w:noProof/>
                <w:lang w:val="sk-SK"/>
              </w:rPr>
              <w:t>zručnosti: Modernizácia</w:t>
            </w:r>
            <w:r w:rsidR="00083739" w:rsidRPr="00083739">
              <w:rPr>
                <w:rFonts w:cs="Times New Roman"/>
                <w:noProof/>
                <w:lang w:val="sk-SK"/>
              </w:rPr>
              <w:t xml:space="preserve"> a </w:t>
            </w:r>
            <w:r w:rsidRPr="00083739">
              <w:rPr>
                <w:rFonts w:cs="Times New Roman"/>
                <w:noProof/>
                <w:lang w:val="sk-SK"/>
              </w:rPr>
              <w:t>aktualizácia gréckeho systému zvyšovania úrovne zručností</w:t>
            </w:r>
            <w:r w:rsidR="00083739" w:rsidRPr="00083739">
              <w:rPr>
                <w:rFonts w:cs="Times New Roman"/>
                <w:noProof/>
                <w:lang w:val="sk-SK"/>
              </w:rPr>
              <w:t xml:space="preserve"> a </w:t>
            </w:r>
            <w:r w:rsidRPr="00083739">
              <w:rPr>
                <w:rFonts w:cs="Times New Roman"/>
                <w:noProof/>
                <w:lang w:val="sk-SK"/>
              </w:rPr>
              <w:t>rekvalifikácie</w:t>
            </w:r>
          </w:p>
        </w:tc>
        <w:tc>
          <w:tcPr>
            <w:tcW w:w="1692" w:type="dxa"/>
            <w:tcBorders>
              <w:top w:val="nil"/>
              <w:left w:val="nil"/>
              <w:bottom w:val="single" w:sz="4" w:space="0" w:color="auto"/>
              <w:right w:val="single" w:sz="4" w:space="0" w:color="auto"/>
            </w:tcBorders>
            <w:shd w:val="clear" w:color="000000" w:fill="C6EFCE"/>
            <w:noWrap/>
            <w:vAlign w:val="center"/>
          </w:tcPr>
          <w:p w14:paraId="22EF17E3"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Míľnik</w:t>
            </w:r>
          </w:p>
        </w:tc>
        <w:tc>
          <w:tcPr>
            <w:tcW w:w="1740" w:type="dxa"/>
            <w:tcBorders>
              <w:top w:val="nil"/>
              <w:left w:val="nil"/>
              <w:bottom w:val="single" w:sz="4" w:space="0" w:color="auto"/>
              <w:right w:val="single" w:sz="4" w:space="0" w:color="auto"/>
            </w:tcBorders>
            <w:shd w:val="clear" w:color="000000" w:fill="C6EFCE"/>
            <w:noWrap/>
            <w:vAlign w:val="center"/>
          </w:tcPr>
          <w:p w14:paraId="497431D0" w14:textId="19E23B4B"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Nadobudnutie účinnosti právnych predpisov</w:t>
            </w:r>
            <w:r w:rsidR="00083739" w:rsidRPr="00083739">
              <w:rPr>
                <w:rFonts w:cs="Times New Roman"/>
                <w:noProof/>
                <w:lang w:val="sk-SK"/>
              </w:rPr>
              <w:t xml:space="preserve"> o </w:t>
            </w:r>
            <w:r w:rsidRPr="00083739">
              <w:rPr>
                <w:rFonts w:cs="Times New Roman"/>
                <w:noProof/>
                <w:lang w:val="sk-SK"/>
              </w:rPr>
              <w:t>stratégii celoživotného vzdelávania</w:t>
            </w:r>
          </w:p>
        </w:tc>
      </w:tr>
      <w:tr w:rsidR="002D49B0" w:rsidRPr="00083739" w14:paraId="2026F16B" w14:textId="77777777">
        <w:trPr>
          <w:trHeight w:val="302"/>
        </w:trPr>
        <w:tc>
          <w:tcPr>
            <w:tcW w:w="1804" w:type="dxa"/>
            <w:tcBorders>
              <w:top w:val="nil"/>
              <w:left w:val="single" w:sz="4" w:space="0" w:color="auto"/>
              <w:bottom w:val="single" w:sz="4" w:space="0" w:color="auto"/>
              <w:right w:val="single" w:sz="4" w:space="0" w:color="auto"/>
            </w:tcBorders>
            <w:shd w:val="clear" w:color="000000" w:fill="C6EFCE"/>
            <w:noWrap/>
            <w:vAlign w:val="center"/>
          </w:tcPr>
          <w:p w14:paraId="0414C40E" w14:textId="77777777" w:rsidR="002D49B0" w:rsidRPr="00083739" w:rsidRDefault="00BF4125">
            <w:pPr>
              <w:pStyle w:val="P68B1DB1-Normal8"/>
              <w:keepNext/>
              <w:spacing w:before="40" w:after="0" w:line="259" w:lineRule="auto"/>
              <w:jc w:val="both"/>
              <w:rPr>
                <w:rFonts w:eastAsia="Times New Roman" w:cs="Times New Roman"/>
                <w:noProof/>
                <w:szCs w:val="18"/>
                <w:lang w:val="sk-SK"/>
              </w:rPr>
            </w:pPr>
            <w:r w:rsidRPr="00083739">
              <w:rPr>
                <w:rFonts w:cs="Times New Roman"/>
                <w:noProof/>
                <w:lang w:val="sk-SK"/>
              </w:rPr>
              <w:t>202</w:t>
            </w:r>
          </w:p>
        </w:tc>
        <w:tc>
          <w:tcPr>
            <w:tcW w:w="4283" w:type="dxa"/>
            <w:tcBorders>
              <w:top w:val="nil"/>
              <w:left w:val="nil"/>
              <w:bottom w:val="single" w:sz="4" w:space="0" w:color="auto"/>
              <w:right w:val="single" w:sz="4" w:space="0" w:color="auto"/>
            </w:tcBorders>
            <w:shd w:val="clear" w:color="000000" w:fill="C6EFCE"/>
            <w:noWrap/>
            <w:vAlign w:val="center"/>
          </w:tcPr>
          <w:p w14:paraId="2BB1F5D9" w14:textId="3C32788E"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 xml:space="preserve"> 4.1. Zabezpečiť, aby dane boli priaznivejšie pre rast</w:t>
            </w:r>
            <w:r w:rsidR="00083739" w:rsidRPr="00083739">
              <w:rPr>
                <w:rFonts w:cs="Times New Roman"/>
                <w:noProof/>
                <w:lang w:val="sk-SK"/>
              </w:rPr>
              <w:t xml:space="preserve"> a </w:t>
            </w:r>
            <w:r w:rsidRPr="00083739">
              <w:rPr>
                <w:rFonts w:cs="Times New Roman"/>
                <w:noProof/>
                <w:lang w:val="sk-SK"/>
              </w:rPr>
              <w:t>zlepšiť daňovú správu</w:t>
            </w:r>
            <w:r w:rsidR="00083739" w:rsidRPr="00083739">
              <w:rPr>
                <w:rFonts w:cs="Times New Roman"/>
                <w:noProof/>
                <w:lang w:val="sk-SK"/>
              </w:rPr>
              <w:t xml:space="preserve"> a </w:t>
            </w:r>
            <w:r w:rsidRPr="00083739">
              <w:rPr>
                <w:rFonts w:cs="Times New Roman"/>
                <w:noProof/>
                <w:lang w:val="sk-SK"/>
              </w:rPr>
              <w:t>výber daní – 16643_Kodifikácia</w:t>
            </w:r>
            <w:r w:rsidR="00083739" w:rsidRPr="00083739">
              <w:rPr>
                <w:rFonts w:cs="Times New Roman"/>
                <w:noProof/>
                <w:lang w:val="sk-SK"/>
              </w:rPr>
              <w:t xml:space="preserve"> a </w:t>
            </w:r>
            <w:r w:rsidRPr="00083739">
              <w:rPr>
                <w:rFonts w:cs="Times New Roman"/>
                <w:noProof/>
                <w:lang w:val="sk-SK"/>
              </w:rPr>
              <w:t>zjednodušenie daňových právnych predpisov</w:t>
            </w:r>
          </w:p>
        </w:tc>
        <w:tc>
          <w:tcPr>
            <w:tcW w:w="1692" w:type="dxa"/>
            <w:tcBorders>
              <w:top w:val="nil"/>
              <w:left w:val="nil"/>
              <w:bottom w:val="single" w:sz="4" w:space="0" w:color="auto"/>
              <w:right w:val="single" w:sz="4" w:space="0" w:color="auto"/>
            </w:tcBorders>
            <w:shd w:val="clear" w:color="000000" w:fill="C6EFCE"/>
            <w:noWrap/>
            <w:vAlign w:val="center"/>
          </w:tcPr>
          <w:p w14:paraId="6531587A"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Míľnik</w:t>
            </w:r>
          </w:p>
        </w:tc>
        <w:tc>
          <w:tcPr>
            <w:tcW w:w="1740" w:type="dxa"/>
            <w:tcBorders>
              <w:top w:val="nil"/>
              <w:left w:val="nil"/>
              <w:bottom w:val="single" w:sz="4" w:space="0" w:color="auto"/>
              <w:right w:val="single" w:sz="4" w:space="0" w:color="auto"/>
            </w:tcBorders>
            <w:shd w:val="clear" w:color="000000" w:fill="C6EFCE"/>
            <w:noWrap/>
            <w:vAlign w:val="center"/>
          </w:tcPr>
          <w:p w14:paraId="311C2793"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Zvýšenie kapacity pre daňovú kodifikáciu</w:t>
            </w:r>
          </w:p>
        </w:tc>
      </w:tr>
      <w:tr w:rsidR="002D49B0" w:rsidRPr="00083739" w14:paraId="1FA241E6" w14:textId="77777777">
        <w:trPr>
          <w:trHeight w:val="302"/>
        </w:trPr>
        <w:tc>
          <w:tcPr>
            <w:tcW w:w="1804" w:type="dxa"/>
            <w:tcBorders>
              <w:top w:val="nil"/>
              <w:left w:val="single" w:sz="4" w:space="0" w:color="auto"/>
              <w:bottom w:val="single" w:sz="4" w:space="0" w:color="auto"/>
              <w:right w:val="single" w:sz="4" w:space="0" w:color="auto"/>
            </w:tcBorders>
            <w:shd w:val="clear" w:color="000000" w:fill="C6EFCE"/>
            <w:noWrap/>
            <w:vAlign w:val="center"/>
          </w:tcPr>
          <w:p w14:paraId="1108667F" w14:textId="77777777" w:rsidR="002D49B0" w:rsidRPr="00083739" w:rsidRDefault="00BF4125">
            <w:pPr>
              <w:pStyle w:val="P68B1DB1-Normal8"/>
              <w:keepNext/>
              <w:spacing w:before="40" w:after="0" w:line="259" w:lineRule="auto"/>
              <w:jc w:val="both"/>
              <w:rPr>
                <w:rFonts w:eastAsia="Times New Roman" w:cs="Times New Roman"/>
                <w:noProof/>
                <w:szCs w:val="18"/>
                <w:lang w:val="sk-SK"/>
              </w:rPr>
            </w:pPr>
            <w:r w:rsidRPr="00083739">
              <w:rPr>
                <w:rFonts w:cs="Times New Roman"/>
                <w:noProof/>
                <w:lang w:val="sk-SK"/>
              </w:rPr>
              <w:t>205</w:t>
            </w:r>
          </w:p>
        </w:tc>
        <w:tc>
          <w:tcPr>
            <w:tcW w:w="4283" w:type="dxa"/>
            <w:tcBorders>
              <w:top w:val="nil"/>
              <w:left w:val="nil"/>
              <w:bottom w:val="single" w:sz="4" w:space="0" w:color="auto"/>
              <w:right w:val="single" w:sz="4" w:space="0" w:color="auto"/>
            </w:tcBorders>
            <w:shd w:val="clear" w:color="000000" w:fill="C6EFCE"/>
            <w:noWrap/>
            <w:vAlign w:val="center"/>
          </w:tcPr>
          <w:p w14:paraId="0A50DAB3" w14:textId="016F18DA"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13 – 4.2. Modernizácia verejnej správy,</w:t>
            </w:r>
            <w:r w:rsidR="00083739" w:rsidRPr="00083739">
              <w:rPr>
                <w:rFonts w:cs="Times New Roman"/>
                <w:noProof/>
                <w:lang w:val="sk-SK"/>
              </w:rPr>
              <w:t xml:space="preserve"> a </w:t>
            </w:r>
            <w:r w:rsidRPr="00083739">
              <w:rPr>
                <w:rFonts w:cs="Times New Roman"/>
                <w:noProof/>
                <w:lang w:val="sk-SK"/>
              </w:rPr>
              <w:t xml:space="preserve">to aj urýchlením realizácie verejných investícií, zlepšením </w:t>
            </w:r>
            <w:r w:rsidRPr="00083739">
              <w:rPr>
                <w:rFonts w:cs="Times New Roman"/>
                <w:noProof/>
                <w:lang w:val="sk-SK"/>
              </w:rPr>
              <w:t>rámca verejného obstarávania, opatreniami na budovanie kapacít</w:t>
            </w:r>
            <w:r w:rsidR="00083739" w:rsidRPr="00083739">
              <w:rPr>
                <w:rFonts w:cs="Times New Roman"/>
                <w:noProof/>
                <w:lang w:val="sk-SK"/>
              </w:rPr>
              <w:t xml:space="preserve"> a </w:t>
            </w:r>
            <w:r w:rsidRPr="00083739">
              <w:rPr>
                <w:rFonts w:cs="Times New Roman"/>
                <w:noProof/>
                <w:lang w:val="sk-SK"/>
              </w:rPr>
              <w:t>bojom proti korupcii – 16972_Reforma verejnej správy</w:t>
            </w:r>
          </w:p>
        </w:tc>
        <w:tc>
          <w:tcPr>
            <w:tcW w:w="1692" w:type="dxa"/>
            <w:tcBorders>
              <w:top w:val="nil"/>
              <w:left w:val="nil"/>
              <w:bottom w:val="single" w:sz="4" w:space="0" w:color="auto"/>
              <w:right w:val="single" w:sz="4" w:space="0" w:color="auto"/>
            </w:tcBorders>
            <w:shd w:val="clear" w:color="000000" w:fill="C6EFCE"/>
            <w:noWrap/>
            <w:vAlign w:val="center"/>
          </w:tcPr>
          <w:p w14:paraId="5AE2C038"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Míľnik</w:t>
            </w:r>
          </w:p>
        </w:tc>
        <w:tc>
          <w:tcPr>
            <w:tcW w:w="1740" w:type="dxa"/>
            <w:tcBorders>
              <w:top w:val="nil"/>
              <w:left w:val="nil"/>
              <w:bottom w:val="single" w:sz="4" w:space="0" w:color="auto"/>
              <w:right w:val="single" w:sz="4" w:space="0" w:color="auto"/>
            </w:tcBorders>
            <w:shd w:val="clear" w:color="000000" w:fill="C6EFCE"/>
            <w:noWrap/>
            <w:vAlign w:val="center"/>
          </w:tcPr>
          <w:p w14:paraId="47F51137"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Verejná správa – spustenie systému odmeňovania výkonnosti</w:t>
            </w:r>
          </w:p>
        </w:tc>
      </w:tr>
      <w:tr w:rsidR="002D49B0" w:rsidRPr="00083739" w14:paraId="6247B211" w14:textId="77777777">
        <w:trPr>
          <w:trHeight w:val="302"/>
        </w:trPr>
        <w:tc>
          <w:tcPr>
            <w:tcW w:w="1804" w:type="dxa"/>
            <w:tcBorders>
              <w:top w:val="nil"/>
              <w:left w:val="single" w:sz="4" w:space="0" w:color="auto"/>
              <w:bottom w:val="single" w:sz="4" w:space="0" w:color="auto"/>
              <w:right w:val="single" w:sz="4" w:space="0" w:color="auto"/>
            </w:tcBorders>
            <w:shd w:val="clear" w:color="000000" w:fill="C6EFCE"/>
            <w:noWrap/>
            <w:vAlign w:val="center"/>
          </w:tcPr>
          <w:p w14:paraId="2EC6E302" w14:textId="77777777" w:rsidR="002D49B0" w:rsidRPr="00083739" w:rsidRDefault="00BF4125">
            <w:pPr>
              <w:pStyle w:val="P68B1DB1-Normal8"/>
              <w:keepNext/>
              <w:spacing w:before="40" w:after="0" w:line="259" w:lineRule="auto"/>
              <w:jc w:val="both"/>
              <w:rPr>
                <w:rFonts w:eastAsia="Times New Roman" w:cs="Times New Roman"/>
                <w:noProof/>
                <w:szCs w:val="18"/>
                <w:lang w:val="sk-SK"/>
              </w:rPr>
            </w:pPr>
            <w:r w:rsidRPr="00083739">
              <w:rPr>
                <w:rFonts w:cs="Times New Roman"/>
                <w:noProof/>
                <w:lang w:val="sk-SK"/>
              </w:rPr>
              <w:t>254</w:t>
            </w:r>
          </w:p>
        </w:tc>
        <w:tc>
          <w:tcPr>
            <w:tcW w:w="4283" w:type="dxa"/>
            <w:tcBorders>
              <w:top w:val="nil"/>
              <w:left w:val="nil"/>
              <w:bottom w:val="single" w:sz="4" w:space="0" w:color="auto"/>
              <w:right w:val="single" w:sz="4" w:space="0" w:color="auto"/>
            </w:tcBorders>
            <w:shd w:val="clear" w:color="000000" w:fill="C6EFCE"/>
            <w:noWrap/>
            <w:vAlign w:val="center"/>
          </w:tcPr>
          <w:p w14:paraId="1EFF7E06" w14:textId="4495CA00"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17 – 4.6. Modernizácia</w:t>
            </w:r>
            <w:r w:rsidR="00083739" w:rsidRPr="00083739">
              <w:rPr>
                <w:rFonts w:cs="Times New Roman"/>
                <w:noProof/>
                <w:lang w:val="sk-SK"/>
              </w:rPr>
              <w:t xml:space="preserve"> a </w:t>
            </w:r>
            <w:r w:rsidRPr="00083739">
              <w:rPr>
                <w:rFonts w:cs="Times New Roman"/>
                <w:noProof/>
                <w:lang w:val="sk-SK"/>
              </w:rPr>
              <w:t>zlepšenie odolnosti kľúčových hospodárskych</w:t>
            </w:r>
            <w:r w:rsidRPr="00083739">
              <w:rPr>
                <w:rFonts w:cs="Times New Roman"/>
                <w:noProof/>
                <w:lang w:val="sk-SK"/>
              </w:rPr>
              <w:t xml:space="preserve"> odvetví – 16628_stredné Grécko – diaľnica E-65: Trikala – Egnatia sekcia</w:t>
            </w:r>
          </w:p>
        </w:tc>
        <w:tc>
          <w:tcPr>
            <w:tcW w:w="1692" w:type="dxa"/>
            <w:tcBorders>
              <w:top w:val="nil"/>
              <w:left w:val="nil"/>
              <w:bottom w:val="single" w:sz="4" w:space="0" w:color="auto"/>
              <w:right w:val="single" w:sz="4" w:space="0" w:color="auto"/>
            </w:tcBorders>
            <w:shd w:val="clear" w:color="000000" w:fill="C6EFCE"/>
            <w:noWrap/>
            <w:vAlign w:val="center"/>
          </w:tcPr>
          <w:p w14:paraId="4A926BCB"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Míľnik</w:t>
            </w:r>
          </w:p>
        </w:tc>
        <w:tc>
          <w:tcPr>
            <w:tcW w:w="1740" w:type="dxa"/>
            <w:tcBorders>
              <w:top w:val="nil"/>
              <w:left w:val="nil"/>
              <w:bottom w:val="single" w:sz="4" w:space="0" w:color="auto"/>
              <w:right w:val="single" w:sz="4" w:space="0" w:color="auto"/>
            </w:tcBorders>
            <w:shd w:val="clear" w:color="000000" w:fill="C6EFCE"/>
            <w:noWrap/>
            <w:vAlign w:val="center"/>
          </w:tcPr>
          <w:p w14:paraId="6E3E2CC0" w14:textId="7C4DC62F"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Začiatok stavebných prác</w:t>
            </w:r>
            <w:r w:rsidR="00083739" w:rsidRPr="00083739">
              <w:rPr>
                <w:rFonts w:cs="Times New Roman"/>
                <w:noProof/>
                <w:lang w:val="sk-SK"/>
              </w:rPr>
              <w:t xml:space="preserve"> v </w:t>
            </w:r>
            <w:r w:rsidRPr="00083739">
              <w:rPr>
                <w:rFonts w:cs="Times New Roman"/>
                <w:noProof/>
                <w:lang w:val="sk-SK"/>
              </w:rPr>
              <w:t>E-65</w:t>
            </w:r>
          </w:p>
        </w:tc>
      </w:tr>
      <w:tr w:rsidR="002D49B0" w:rsidRPr="00083739" w14:paraId="428FF6E1" w14:textId="77777777">
        <w:trPr>
          <w:trHeight w:val="302"/>
        </w:trPr>
        <w:tc>
          <w:tcPr>
            <w:tcW w:w="1804" w:type="dxa"/>
            <w:tcBorders>
              <w:top w:val="nil"/>
              <w:left w:val="single" w:sz="4" w:space="0" w:color="auto"/>
              <w:bottom w:val="single" w:sz="4" w:space="0" w:color="auto"/>
              <w:right w:val="single" w:sz="4" w:space="0" w:color="auto"/>
            </w:tcBorders>
            <w:shd w:val="clear" w:color="000000" w:fill="C6EFCE"/>
            <w:noWrap/>
            <w:vAlign w:val="center"/>
          </w:tcPr>
          <w:p w14:paraId="73871ACD" w14:textId="77777777" w:rsidR="002D49B0" w:rsidRPr="00083739" w:rsidRDefault="00BF4125">
            <w:pPr>
              <w:pStyle w:val="P68B1DB1-Normal8"/>
              <w:keepNext/>
              <w:spacing w:before="40" w:after="0" w:line="259" w:lineRule="auto"/>
              <w:jc w:val="both"/>
              <w:rPr>
                <w:rFonts w:eastAsia="Times New Roman" w:cs="Times New Roman"/>
                <w:noProof/>
                <w:szCs w:val="18"/>
                <w:lang w:val="sk-SK"/>
              </w:rPr>
            </w:pPr>
            <w:r w:rsidRPr="00083739">
              <w:rPr>
                <w:rFonts w:cs="Times New Roman"/>
                <w:noProof/>
                <w:lang w:val="sk-SK"/>
              </w:rPr>
              <w:t>264</w:t>
            </w:r>
          </w:p>
        </w:tc>
        <w:tc>
          <w:tcPr>
            <w:tcW w:w="4283" w:type="dxa"/>
            <w:tcBorders>
              <w:top w:val="nil"/>
              <w:left w:val="nil"/>
              <w:bottom w:val="single" w:sz="4" w:space="0" w:color="auto"/>
              <w:right w:val="single" w:sz="4" w:space="0" w:color="auto"/>
            </w:tcBorders>
            <w:shd w:val="clear" w:color="000000" w:fill="C6EFCE"/>
            <w:noWrap/>
            <w:vAlign w:val="center"/>
          </w:tcPr>
          <w:p w14:paraId="211C2881" w14:textId="7DE3BC34"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17 – 4.6. Modernizácia</w:t>
            </w:r>
            <w:r w:rsidR="00083739" w:rsidRPr="00083739">
              <w:rPr>
                <w:rFonts w:cs="Times New Roman"/>
                <w:noProof/>
                <w:lang w:val="sk-SK"/>
              </w:rPr>
              <w:t xml:space="preserve"> a </w:t>
            </w:r>
            <w:r w:rsidRPr="00083739">
              <w:rPr>
                <w:rFonts w:cs="Times New Roman"/>
                <w:noProof/>
                <w:lang w:val="sk-SK"/>
              </w:rPr>
              <w:t>zlepšenie odolnosti kľúčových hospodárskych odvetví – 16982_Organizačná reforma</w:t>
            </w:r>
            <w:r w:rsidR="00083739" w:rsidRPr="00083739">
              <w:rPr>
                <w:rFonts w:cs="Times New Roman"/>
                <w:noProof/>
                <w:lang w:val="sk-SK"/>
              </w:rPr>
              <w:t xml:space="preserve"> v </w:t>
            </w:r>
            <w:r w:rsidRPr="00083739">
              <w:rPr>
                <w:rFonts w:cs="Times New Roman"/>
                <w:noProof/>
                <w:lang w:val="sk-SK"/>
              </w:rPr>
              <w:t>železničnom sektore</w:t>
            </w:r>
          </w:p>
        </w:tc>
        <w:tc>
          <w:tcPr>
            <w:tcW w:w="1692" w:type="dxa"/>
            <w:tcBorders>
              <w:top w:val="nil"/>
              <w:left w:val="nil"/>
              <w:bottom w:val="single" w:sz="4" w:space="0" w:color="auto"/>
              <w:right w:val="single" w:sz="4" w:space="0" w:color="auto"/>
            </w:tcBorders>
            <w:shd w:val="clear" w:color="000000" w:fill="C6EFCE"/>
            <w:noWrap/>
            <w:vAlign w:val="center"/>
          </w:tcPr>
          <w:p w14:paraId="504AA46B"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Míľnik</w:t>
            </w:r>
          </w:p>
        </w:tc>
        <w:tc>
          <w:tcPr>
            <w:tcW w:w="1740" w:type="dxa"/>
            <w:tcBorders>
              <w:top w:val="nil"/>
              <w:left w:val="nil"/>
              <w:bottom w:val="single" w:sz="4" w:space="0" w:color="auto"/>
              <w:right w:val="single" w:sz="4" w:space="0" w:color="auto"/>
            </w:tcBorders>
            <w:shd w:val="clear" w:color="000000" w:fill="C6EFCE"/>
            <w:noWrap/>
            <w:vAlign w:val="center"/>
          </w:tcPr>
          <w:p w14:paraId="5A92889E" w14:textId="5D5C715F"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Zákon</w:t>
            </w:r>
            <w:r w:rsidR="00083739" w:rsidRPr="00083739">
              <w:rPr>
                <w:rFonts w:cs="Times New Roman"/>
                <w:noProof/>
                <w:lang w:val="sk-SK"/>
              </w:rPr>
              <w:t xml:space="preserve"> o </w:t>
            </w:r>
            <w:r w:rsidRPr="00083739">
              <w:rPr>
                <w:rFonts w:cs="Times New Roman"/>
                <w:noProof/>
                <w:lang w:val="sk-SK"/>
              </w:rPr>
              <w:t>reforme železníc</w:t>
            </w:r>
          </w:p>
        </w:tc>
      </w:tr>
      <w:tr w:rsidR="002D49B0" w:rsidRPr="00083739" w14:paraId="2187A4C1" w14:textId="77777777">
        <w:trPr>
          <w:trHeight w:val="302"/>
        </w:trPr>
        <w:tc>
          <w:tcPr>
            <w:tcW w:w="18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FEFBA4"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c>
          <w:tcPr>
            <w:tcW w:w="4283" w:type="dxa"/>
            <w:tcBorders>
              <w:top w:val="single" w:sz="4" w:space="0" w:color="auto"/>
              <w:left w:val="nil"/>
              <w:bottom w:val="single" w:sz="4" w:space="0" w:color="auto"/>
              <w:right w:val="single" w:sz="4" w:space="0" w:color="auto"/>
            </w:tcBorders>
            <w:shd w:val="clear" w:color="auto" w:fill="C6EFCE"/>
            <w:noWrap/>
            <w:vAlign w:val="bottom"/>
          </w:tcPr>
          <w:p w14:paraId="7C089D9D" w14:textId="77777777" w:rsidR="002D49B0" w:rsidRPr="00083739" w:rsidRDefault="002D49B0">
            <w:pPr>
              <w:keepNext/>
              <w:spacing w:before="40" w:after="0" w:line="240" w:lineRule="auto"/>
              <w:jc w:val="both"/>
              <w:rPr>
                <w:rFonts w:ascii="Times New Roman" w:eastAsia="Times New Roman" w:hAnsi="Times New Roman" w:cs="Times New Roman"/>
                <w:bCs/>
                <w:noProof/>
                <w:sz w:val="18"/>
                <w:szCs w:val="18"/>
                <w:lang w:val="sk-SK"/>
              </w:rPr>
            </w:pPr>
          </w:p>
        </w:tc>
        <w:tc>
          <w:tcPr>
            <w:tcW w:w="1692" w:type="dxa"/>
            <w:tcBorders>
              <w:top w:val="single" w:sz="4" w:space="0" w:color="auto"/>
              <w:left w:val="nil"/>
              <w:bottom w:val="single" w:sz="4" w:space="0" w:color="auto"/>
              <w:right w:val="single" w:sz="4" w:space="0" w:color="auto"/>
            </w:tcBorders>
            <w:shd w:val="clear" w:color="auto" w:fill="C6EFCE"/>
            <w:noWrap/>
            <w:vAlign w:val="bottom"/>
          </w:tcPr>
          <w:p w14:paraId="71938479"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Suma splátky</w:t>
            </w:r>
          </w:p>
        </w:tc>
        <w:tc>
          <w:tcPr>
            <w:tcW w:w="1740" w:type="dxa"/>
            <w:tcBorders>
              <w:top w:val="single" w:sz="4" w:space="0" w:color="auto"/>
              <w:left w:val="nil"/>
              <w:bottom w:val="single" w:sz="4" w:space="0" w:color="auto"/>
              <w:right w:val="single" w:sz="4" w:space="0" w:color="auto"/>
            </w:tcBorders>
            <w:shd w:val="clear" w:color="auto" w:fill="C6EFCE"/>
            <w:noWrap/>
            <w:vAlign w:val="bottom"/>
          </w:tcPr>
          <w:p w14:paraId="434DFA49"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1 974 438 067 EUR</w:t>
            </w:r>
          </w:p>
        </w:tc>
      </w:tr>
    </w:tbl>
    <w:p w14:paraId="00F418A6" w14:textId="77777777" w:rsidR="002D49B0" w:rsidRPr="00083739" w:rsidRDefault="002D49B0">
      <w:pPr>
        <w:keepNext/>
        <w:spacing w:before="40" w:after="0" w:line="259" w:lineRule="auto"/>
        <w:jc w:val="both"/>
        <w:rPr>
          <w:rFonts w:ascii="Times New Roman" w:eastAsia="Times New Roman" w:hAnsi="Times New Roman" w:cs="Times New Roman"/>
          <w:bCs/>
          <w:noProof/>
          <w:sz w:val="24"/>
          <w:szCs w:val="26"/>
          <w:lang w:val="sk-SK"/>
        </w:rPr>
      </w:pPr>
    </w:p>
    <w:p w14:paraId="594A4EB5" w14:textId="54932CBD" w:rsidR="002D49B0" w:rsidRPr="00083739" w:rsidRDefault="00BF4125">
      <w:pPr>
        <w:pStyle w:val="P68B1DB1-Normal4"/>
        <w:keepNext/>
        <w:numPr>
          <w:ilvl w:val="1"/>
          <w:numId w:val="22"/>
        </w:numPr>
        <w:spacing w:before="40" w:after="160" w:line="259" w:lineRule="auto"/>
        <w:ind w:left="0"/>
        <w:contextualSpacing/>
        <w:jc w:val="both"/>
        <w:rPr>
          <w:rFonts w:cs="Times New Roman"/>
          <w:noProof/>
          <w:lang w:val="sk-SK"/>
        </w:rPr>
      </w:pPr>
      <w:r w:rsidRPr="00083739">
        <w:rPr>
          <w:rFonts w:cs="Times New Roman"/>
          <w:noProof/>
          <w:lang w:val="sk-SK"/>
        </w:rPr>
        <w:t xml:space="preserve"> Tretia žiadosť</w:t>
      </w:r>
      <w:r w:rsidR="00083739" w:rsidRPr="00083739">
        <w:rPr>
          <w:rFonts w:cs="Times New Roman"/>
          <w:noProof/>
          <w:lang w:val="sk-SK"/>
        </w:rPr>
        <w:t xml:space="preserve"> o </w:t>
      </w:r>
      <w:r w:rsidRPr="00083739">
        <w:rPr>
          <w:rFonts w:cs="Times New Roman"/>
          <w:noProof/>
          <w:lang w:val="sk-SK"/>
        </w:rPr>
        <w:t>platbu (nenávratná podpora):</w:t>
      </w:r>
    </w:p>
    <w:p w14:paraId="41FCA885" w14:textId="77777777" w:rsidR="002D49B0" w:rsidRPr="00083739" w:rsidRDefault="002D49B0">
      <w:pPr>
        <w:keepNext/>
        <w:spacing w:before="40" w:after="160" w:line="259" w:lineRule="auto"/>
        <w:contextualSpacing/>
        <w:jc w:val="both"/>
        <w:rPr>
          <w:rFonts w:ascii="Times New Roman" w:hAnsi="Times New Roman" w:cs="Times New Roman"/>
          <w:noProof/>
          <w:sz w:val="24"/>
          <w:lang w:val="sk-SK"/>
        </w:rPr>
      </w:pPr>
    </w:p>
    <w:tbl>
      <w:tblPr>
        <w:tblpPr w:leftFromText="180" w:rightFromText="180" w:vertAnchor="text" w:tblpX="-252" w:tblpY="1"/>
        <w:tblOverlap w:val="never"/>
        <w:tblW w:w="9595" w:type="dxa"/>
        <w:tblLook w:val="04A0" w:firstRow="1" w:lastRow="0" w:firstColumn="1" w:lastColumn="0" w:noHBand="0" w:noVBand="1"/>
      </w:tblPr>
      <w:tblGrid>
        <w:gridCol w:w="1795"/>
        <w:gridCol w:w="4320"/>
        <w:gridCol w:w="1680"/>
        <w:gridCol w:w="1800"/>
      </w:tblGrid>
      <w:tr w:rsidR="002D49B0" w:rsidRPr="00083739" w14:paraId="5DD63934" w14:textId="77777777">
        <w:trPr>
          <w:trHeight w:val="906"/>
          <w:tblHeader/>
        </w:trPr>
        <w:tc>
          <w:tcPr>
            <w:tcW w:w="1795"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12BA555E" w14:textId="77777777" w:rsidR="002D49B0" w:rsidRPr="00083739" w:rsidRDefault="00BF4125">
            <w:pPr>
              <w:pStyle w:val="P68B1DB1-Normal7"/>
              <w:keepNext/>
              <w:spacing w:before="40" w:after="0" w:line="259" w:lineRule="auto"/>
              <w:jc w:val="center"/>
              <w:rPr>
                <w:rFonts w:eastAsia="Times New Roman" w:cs="Times New Roman"/>
                <w:bCs/>
                <w:noProof/>
                <w:szCs w:val="18"/>
                <w:lang w:val="sk-SK"/>
              </w:rPr>
            </w:pPr>
            <w:r w:rsidRPr="00083739">
              <w:rPr>
                <w:rFonts w:cs="Times New Roman"/>
                <w:noProof/>
                <w:lang w:val="sk-SK"/>
              </w:rPr>
              <w:t>Poradové číslo</w:t>
            </w:r>
          </w:p>
        </w:tc>
        <w:tc>
          <w:tcPr>
            <w:tcW w:w="432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1169A1F0" w14:textId="77777777" w:rsidR="002D49B0" w:rsidRPr="00083739" w:rsidRDefault="00BF4125">
            <w:pPr>
              <w:pStyle w:val="P68B1DB1-Normal7"/>
              <w:keepNext/>
              <w:spacing w:before="40" w:after="0" w:line="259" w:lineRule="auto"/>
              <w:jc w:val="center"/>
              <w:rPr>
                <w:rFonts w:eastAsia="Times New Roman" w:cs="Times New Roman"/>
                <w:bCs/>
                <w:noProof/>
                <w:szCs w:val="18"/>
                <w:lang w:val="sk-SK"/>
              </w:rPr>
            </w:pPr>
            <w:r w:rsidRPr="00083739">
              <w:rPr>
                <w:rFonts w:cs="Times New Roman"/>
                <w:noProof/>
                <w:lang w:val="sk-SK"/>
              </w:rPr>
              <w:t>Súvisiace opatrenie (reforma alebo investícia)</w:t>
            </w:r>
          </w:p>
        </w:tc>
        <w:tc>
          <w:tcPr>
            <w:tcW w:w="168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1C761CCD" w14:textId="77777777" w:rsidR="002D49B0" w:rsidRPr="00083739" w:rsidRDefault="00BF4125">
            <w:pPr>
              <w:pStyle w:val="P68B1DB1-Normal7"/>
              <w:keepNext/>
              <w:spacing w:before="40" w:after="0" w:line="259" w:lineRule="auto"/>
              <w:jc w:val="center"/>
              <w:rPr>
                <w:rFonts w:eastAsia="Times New Roman" w:cs="Times New Roman"/>
                <w:bCs/>
                <w:noProof/>
                <w:szCs w:val="18"/>
                <w:lang w:val="sk-SK"/>
              </w:rPr>
            </w:pPr>
            <w:r w:rsidRPr="00083739">
              <w:rPr>
                <w:rFonts w:cs="Times New Roman"/>
                <w:noProof/>
                <w:lang w:val="sk-SK"/>
              </w:rPr>
              <w:t>Míľnik/cieľ</w:t>
            </w:r>
          </w:p>
        </w:tc>
        <w:tc>
          <w:tcPr>
            <w:tcW w:w="1800" w:type="dxa"/>
            <w:vMerge w:val="restart"/>
            <w:tcBorders>
              <w:top w:val="single" w:sz="4" w:space="0" w:color="auto"/>
              <w:left w:val="nil"/>
              <w:bottom w:val="single" w:sz="4" w:space="0" w:color="000000"/>
              <w:right w:val="single" w:sz="4" w:space="0" w:color="auto"/>
            </w:tcBorders>
            <w:shd w:val="clear" w:color="auto" w:fill="BDD7EE"/>
            <w:vAlign w:val="center"/>
            <w:hideMark/>
          </w:tcPr>
          <w:p w14:paraId="7A3BA92E" w14:textId="77777777" w:rsidR="002D49B0" w:rsidRPr="00083739" w:rsidRDefault="00BF4125">
            <w:pPr>
              <w:pStyle w:val="P68B1DB1-Normal7"/>
              <w:keepNext/>
              <w:spacing w:before="40" w:after="0" w:line="259" w:lineRule="auto"/>
              <w:jc w:val="center"/>
              <w:rPr>
                <w:rFonts w:eastAsia="Times New Roman" w:cs="Times New Roman"/>
                <w:bCs/>
                <w:noProof/>
                <w:szCs w:val="18"/>
                <w:lang w:val="sk-SK"/>
              </w:rPr>
            </w:pPr>
            <w:r w:rsidRPr="00083739">
              <w:rPr>
                <w:rFonts w:cs="Times New Roman"/>
                <w:noProof/>
                <w:lang w:val="sk-SK"/>
              </w:rPr>
              <w:t>Názov</w:t>
            </w:r>
          </w:p>
        </w:tc>
      </w:tr>
      <w:tr w:rsidR="002D49B0" w:rsidRPr="00083739" w14:paraId="0D8AC649" w14:textId="77777777">
        <w:trPr>
          <w:trHeight w:val="990"/>
        </w:trPr>
        <w:tc>
          <w:tcPr>
            <w:tcW w:w="1795" w:type="dxa"/>
            <w:vMerge/>
            <w:tcBorders>
              <w:top w:val="single" w:sz="4" w:space="0" w:color="auto"/>
              <w:left w:val="single" w:sz="4" w:space="0" w:color="auto"/>
              <w:bottom w:val="single" w:sz="4" w:space="0" w:color="000000"/>
              <w:right w:val="single" w:sz="4" w:space="0" w:color="auto"/>
            </w:tcBorders>
            <w:vAlign w:val="center"/>
            <w:hideMark/>
          </w:tcPr>
          <w:p w14:paraId="7E5D6484"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c>
          <w:tcPr>
            <w:tcW w:w="4320" w:type="dxa"/>
            <w:vMerge/>
            <w:tcBorders>
              <w:top w:val="single" w:sz="4" w:space="0" w:color="auto"/>
              <w:left w:val="single" w:sz="4" w:space="0" w:color="auto"/>
              <w:bottom w:val="single" w:sz="4" w:space="0" w:color="000000"/>
              <w:right w:val="single" w:sz="4" w:space="0" w:color="auto"/>
            </w:tcBorders>
            <w:vAlign w:val="center"/>
            <w:hideMark/>
          </w:tcPr>
          <w:p w14:paraId="5FE619FB"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c>
          <w:tcPr>
            <w:tcW w:w="1680" w:type="dxa"/>
            <w:vMerge/>
            <w:tcBorders>
              <w:top w:val="single" w:sz="4" w:space="0" w:color="auto"/>
              <w:left w:val="single" w:sz="4" w:space="0" w:color="auto"/>
              <w:bottom w:val="single" w:sz="4" w:space="0" w:color="000000"/>
              <w:right w:val="single" w:sz="4" w:space="0" w:color="auto"/>
            </w:tcBorders>
            <w:vAlign w:val="center"/>
            <w:hideMark/>
          </w:tcPr>
          <w:p w14:paraId="197FA01B"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c>
          <w:tcPr>
            <w:tcW w:w="1800" w:type="dxa"/>
            <w:vMerge/>
            <w:tcBorders>
              <w:top w:val="single" w:sz="4" w:space="0" w:color="auto"/>
              <w:left w:val="nil"/>
              <w:bottom w:val="single" w:sz="4" w:space="0" w:color="000000"/>
              <w:right w:val="single" w:sz="4" w:space="0" w:color="auto"/>
            </w:tcBorders>
            <w:vAlign w:val="center"/>
            <w:hideMark/>
          </w:tcPr>
          <w:p w14:paraId="502DF131"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r>
      <w:tr w:rsidR="002D49B0" w:rsidRPr="00083739" w14:paraId="5B058B4A" w14:textId="77777777">
        <w:trPr>
          <w:trHeight w:val="302"/>
        </w:trPr>
        <w:tc>
          <w:tcPr>
            <w:tcW w:w="1795" w:type="dxa"/>
            <w:tcBorders>
              <w:top w:val="single" w:sz="4" w:space="0" w:color="auto"/>
              <w:left w:val="single" w:sz="4" w:space="0" w:color="auto"/>
              <w:bottom w:val="single" w:sz="4" w:space="0" w:color="auto"/>
              <w:right w:val="single" w:sz="4" w:space="0" w:color="auto"/>
            </w:tcBorders>
            <w:shd w:val="clear" w:color="000000" w:fill="C6EFCE"/>
            <w:noWrap/>
            <w:vAlign w:val="center"/>
          </w:tcPr>
          <w:p w14:paraId="1FE59E10"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21</w:t>
            </w:r>
          </w:p>
        </w:tc>
        <w:tc>
          <w:tcPr>
            <w:tcW w:w="4320" w:type="dxa"/>
            <w:tcBorders>
              <w:top w:val="single" w:sz="4" w:space="0" w:color="auto"/>
              <w:left w:val="nil"/>
              <w:bottom w:val="single" w:sz="4" w:space="0" w:color="auto"/>
              <w:right w:val="single" w:sz="4" w:space="0" w:color="auto"/>
            </w:tcBorders>
            <w:shd w:val="clear" w:color="000000" w:fill="C6EFCE"/>
            <w:noWrap/>
            <w:vAlign w:val="center"/>
          </w:tcPr>
          <w:p w14:paraId="46ED807D"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 –</w:t>
            </w:r>
            <w:r w:rsidRPr="00083739">
              <w:rPr>
                <w:rFonts w:cs="Times New Roman"/>
                <w:noProof/>
                <w:lang w:val="sk-SK"/>
              </w:rPr>
              <w:t xml:space="preserve"> 1.2. Renovácia – 16872_Energetická obnova obytných budov</w:t>
            </w:r>
          </w:p>
        </w:tc>
        <w:tc>
          <w:tcPr>
            <w:tcW w:w="1680" w:type="dxa"/>
            <w:tcBorders>
              <w:top w:val="single" w:sz="4" w:space="0" w:color="auto"/>
              <w:left w:val="nil"/>
              <w:bottom w:val="single" w:sz="4" w:space="0" w:color="auto"/>
              <w:right w:val="single" w:sz="4" w:space="0" w:color="auto"/>
            </w:tcBorders>
            <w:shd w:val="clear" w:color="000000" w:fill="C6EFCE"/>
            <w:noWrap/>
            <w:vAlign w:val="center"/>
          </w:tcPr>
          <w:p w14:paraId="2067097D"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Míľnik</w:t>
            </w:r>
          </w:p>
        </w:tc>
        <w:tc>
          <w:tcPr>
            <w:tcW w:w="1800" w:type="dxa"/>
            <w:tcBorders>
              <w:top w:val="single" w:sz="4" w:space="0" w:color="auto"/>
              <w:left w:val="nil"/>
              <w:bottom w:val="single" w:sz="4" w:space="0" w:color="auto"/>
              <w:right w:val="single" w:sz="4" w:space="0" w:color="auto"/>
            </w:tcBorders>
            <w:shd w:val="clear" w:color="000000" w:fill="C6EFCE"/>
            <w:noWrap/>
            <w:vAlign w:val="center"/>
          </w:tcPr>
          <w:p w14:paraId="2BE3BE3A"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Obnova obytných budov – spustenie 2. kola vrátane energeticky chudobných domácností</w:t>
            </w:r>
          </w:p>
        </w:tc>
      </w:tr>
      <w:tr w:rsidR="002D49B0" w:rsidRPr="00083739" w14:paraId="05E37284" w14:textId="77777777">
        <w:trPr>
          <w:trHeight w:val="302"/>
        </w:trPr>
        <w:tc>
          <w:tcPr>
            <w:tcW w:w="1795" w:type="dxa"/>
            <w:tcBorders>
              <w:top w:val="nil"/>
              <w:left w:val="single" w:sz="4" w:space="0" w:color="auto"/>
              <w:bottom w:val="single" w:sz="4" w:space="0" w:color="auto"/>
              <w:right w:val="single" w:sz="4" w:space="0" w:color="auto"/>
            </w:tcBorders>
            <w:shd w:val="clear" w:color="000000" w:fill="C6EFCE"/>
            <w:noWrap/>
            <w:vAlign w:val="center"/>
          </w:tcPr>
          <w:p w14:paraId="7EBD7603"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45</w:t>
            </w:r>
          </w:p>
        </w:tc>
        <w:tc>
          <w:tcPr>
            <w:tcW w:w="4320" w:type="dxa"/>
            <w:tcBorders>
              <w:top w:val="nil"/>
              <w:left w:val="nil"/>
              <w:bottom w:val="single" w:sz="4" w:space="0" w:color="auto"/>
              <w:right w:val="single" w:sz="4" w:space="0" w:color="auto"/>
            </w:tcBorders>
            <w:shd w:val="clear" w:color="000000" w:fill="C6EFCE"/>
            <w:noWrap/>
            <w:vAlign w:val="center"/>
          </w:tcPr>
          <w:p w14:paraId="45655304" w14:textId="43161F9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3 – 1.3. Nabíjanie</w:t>
            </w:r>
            <w:r w:rsidR="00083739" w:rsidRPr="00083739">
              <w:rPr>
                <w:rFonts w:cs="Times New Roman"/>
                <w:noProof/>
                <w:lang w:val="sk-SK"/>
              </w:rPr>
              <w:t xml:space="preserve"> a </w:t>
            </w:r>
            <w:r w:rsidRPr="00083739">
              <w:rPr>
                <w:rFonts w:cs="Times New Roman"/>
                <w:noProof/>
                <w:lang w:val="sk-SK"/>
              </w:rPr>
              <w:t>dopĺňanie paliva – 16924_ elektromobilita</w:t>
            </w:r>
          </w:p>
        </w:tc>
        <w:tc>
          <w:tcPr>
            <w:tcW w:w="1680" w:type="dxa"/>
            <w:tcBorders>
              <w:top w:val="nil"/>
              <w:left w:val="nil"/>
              <w:bottom w:val="single" w:sz="4" w:space="0" w:color="auto"/>
              <w:right w:val="single" w:sz="4" w:space="0" w:color="auto"/>
            </w:tcBorders>
            <w:shd w:val="clear" w:color="000000" w:fill="C6EFCE"/>
            <w:noWrap/>
            <w:vAlign w:val="center"/>
          </w:tcPr>
          <w:p w14:paraId="5B2E9918"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000000" w:fill="C6EFCE"/>
            <w:noWrap/>
            <w:vAlign w:val="center"/>
          </w:tcPr>
          <w:p w14:paraId="25B402FD" w14:textId="1FD86522"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 xml:space="preserve">Verejná doprava – vykonávanie </w:t>
            </w:r>
            <w:r w:rsidRPr="00083739">
              <w:rPr>
                <w:rFonts w:cs="Times New Roman"/>
                <w:noProof/>
                <w:lang w:val="sk-SK"/>
              </w:rPr>
              <w:t>novej regulácie trhu</w:t>
            </w:r>
            <w:r w:rsidR="00083739" w:rsidRPr="00083739">
              <w:rPr>
                <w:rFonts w:cs="Times New Roman"/>
                <w:noProof/>
                <w:lang w:val="sk-SK"/>
              </w:rPr>
              <w:t xml:space="preserve"> v </w:t>
            </w:r>
            <w:r w:rsidRPr="00083739">
              <w:rPr>
                <w:rFonts w:cs="Times New Roman"/>
                <w:noProof/>
                <w:lang w:val="sk-SK"/>
              </w:rPr>
              <w:t>oblasti záväzkov vyplývajúcich zo služieb vo verejnom záujme (autobusy)</w:t>
            </w:r>
          </w:p>
        </w:tc>
      </w:tr>
      <w:tr w:rsidR="002D49B0" w:rsidRPr="00083739" w14:paraId="3157A416" w14:textId="77777777">
        <w:trPr>
          <w:trHeight w:val="302"/>
        </w:trPr>
        <w:tc>
          <w:tcPr>
            <w:tcW w:w="1795" w:type="dxa"/>
            <w:tcBorders>
              <w:top w:val="nil"/>
              <w:left w:val="single" w:sz="4" w:space="0" w:color="auto"/>
              <w:bottom w:val="single" w:sz="4" w:space="0" w:color="auto"/>
              <w:right w:val="single" w:sz="4" w:space="0" w:color="auto"/>
            </w:tcBorders>
            <w:shd w:val="clear" w:color="000000" w:fill="C6EFCE"/>
            <w:noWrap/>
            <w:vAlign w:val="center"/>
          </w:tcPr>
          <w:p w14:paraId="01ACD3D3"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57</w:t>
            </w:r>
          </w:p>
        </w:tc>
        <w:tc>
          <w:tcPr>
            <w:tcW w:w="4320" w:type="dxa"/>
            <w:tcBorders>
              <w:top w:val="nil"/>
              <w:left w:val="nil"/>
              <w:bottom w:val="single" w:sz="4" w:space="0" w:color="auto"/>
              <w:right w:val="single" w:sz="4" w:space="0" w:color="auto"/>
            </w:tcBorders>
            <w:shd w:val="clear" w:color="000000" w:fill="C6EFCE"/>
            <w:noWrap/>
            <w:vAlign w:val="center"/>
          </w:tcPr>
          <w:p w14:paraId="5E46FD06" w14:textId="3CFF027E"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4 – 1.4. Udržateľné využívanie zdrojov, odolnosť proti zmene klímy</w:t>
            </w:r>
            <w:r w:rsidR="00083739" w:rsidRPr="00083739">
              <w:rPr>
                <w:rFonts w:cs="Times New Roman"/>
                <w:noProof/>
                <w:lang w:val="sk-SK"/>
              </w:rPr>
              <w:t xml:space="preserve"> a </w:t>
            </w:r>
            <w:r w:rsidRPr="00083739">
              <w:rPr>
                <w:rFonts w:cs="Times New Roman"/>
                <w:noProof/>
                <w:lang w:val="sk-SK"/>
              </w:rPr>
              <w:t>ochrana životného prostredia – 16772_zákon</w:t>
            </w:r>
            <w:r w:rsidR="00083739" w:rsidRPr="00083739">
              <w:rPr>
                <w:rFonts w:cs="Times New Roman"/>
                <w:noProof/>
                <w:lang w:val="sk-SK"/>
              </w:rPr>
              <w:t xml:space="preserve"> o </w:t>
            </w:r>
            <w:r w:rsidRPr="00083739">
              <w:rPr>
                <w:rFonts w:cs="Times New Roman"/>
                <w:noProof/>
                <w:lang w:val="sk-SK"/>
              </w:rPr>
              <w:t>nakladaní</w:t>
            </w:r>
            <w:r w:rsidR="00083739" w:rsidRPr="00083739">
              <w:rPr>
                <w:rFonts w:cs="Times New Roman"/>
                <w:noProof/>
                <w:lang w:val="sk-SK"/>
              </w:rPr>
              <w:t xml:space="preserve"> s </w:t>
            </w:r>
            <w:r w:rsidRPr="00083739">
              <w:rPr>
                <w:rFonts w:cs="Times New Roman"/>
                <w:noProof/>
                <w:lang w:val="sk-SK"/>
              </w:rPr>
              <w:t xml:space="preserve">odpadom na vykonávanie </w:t>
            </w:r>
            <w:r w:rsidRPr="00083739">
              <w:rPr>
                <w:rFonts w:cs="Times New Roman"/>
                <w:noProof/>
                <w:lang w:val="sk-SK"/>
              </w:rPr>
              <w:t>udržateľného skládkovania</w:t>
            </w:r>
            <w:r w:rsidR="00083739" w:rsidRPr="00083739">
              <w:rPr>
                <w:rFonts w:cs="Times New Roman"/>
                <w:noProof/>
                <w:lang w:val="sk-SK"/>
              </w:rPr>
              <w:t xml:space="preserve"> a </w:t>
            </w:r>
            <w:r w:rsidRPr="00083739">
              <w:rPr>
                <w:rFonts w:cs="Times New Roman"/>
                <w:noProof/>
                <w:lang w:val="sk-SK"/>
              </w:rPr>
              <w:t>recyklácie</w:t>
            </w:r>
          </w:p>
        </w:tc>
        <w:tc>
          <w:tcPr>
            <w:tcW w:w="1680" w:type="dxa"/>
            <w:tcBorders>
              <w:top w:val="nil"/>
              <w:left w:val="nil"/>
              <w:bottom w:val="single" w:sz="4" w:space="0" w:color="auto"/>
              <w:right w:val="single" w:sz="4" w:space="0" w:color="auto"/>
            </w:tcBorders>
            <w:shd w:val="clear" w:color="000000" w:fill="C6EFCE"/>
            <w:noWrap/>
            <w:vAlign w:val="center"/>
          </w:tcPr>
          <w:p w14:paraId="6465B1F0"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000000" w:fill="C6EFCE"/>
            <w:noWrap/>
            <w:vAlign w:val="center"/>
          </w:tcPr>
          <w:p w14:paraId="2C681E1A" w14:textId="3517E1CF"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Nadobudnutie účinnosti zákona</w:t>
            </w:r>
            <w:r w:rsidR="00083739" w:rsidRPr="00083739">
              <w:rPr>
                <w:rFonts w:cs="Times New Roman"/>
                <w:noProof/>
                <w:lang w:val="sk-SK"/>
              </w:rPr>
              <w:t xml:space="preserve"> o </w:t>
            </w:r>
            <w:r w:rsidRPr="00083739">
              <w:rPr>
                <w:rFonts w:cs="Times New Roman"/>
                <w:noProof/>
                <w:lang w:val="sk-SK"/>
              </w:rPr>
              <w:t>regulácii odpadového hospodárstva</w:t>
            </w:r>
          </w:p>
        </w:tc>
      </w:tr>
      <w:tr w:rsidR="002D49B0" w:rsidRPr="00083739" w14:paraId="431B6715" w14:textId="77777777">
        <w:trPr>
          <w:trHeight w:val="302"/>
        </w:trPr>
        <w:tc>
          <w:tcPr>
            <w:tcW w:w="1795" w:type="dxa"/>
            <w:tcBorders>
              <w:top w:val="nil"/>
              <w:left w:val="single" w:sz="4" w:space="0" w:color="auto"/>
              <w:bottom w:val="single" w:sz="4" w:space="0" w:color="auto"/>
              <w:right w:val="single" w:sz="4" w:space="0" w:color="auto"/>
            </w:tcBorders>
            <w:shd w:val="clear" w:color="000000" w:fill="C6EFCE"/>
            <w:noWrap/>
            <w:vAlign w:val="center"/>
          </w:tcPr>
          <w:p w14:paraId="0A3EB544"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85</w:t>
            </w:r>
          </w:p>
        </w:tc>
        <w:tc>
          <w:tcPr>
            <w:tcW w:w="4320" w:type="dxa"/>
            <w:tcBorders>
              <w:top w:val="nil"/>
              <w:left w:val="nil"/>
              <w:bottom w:val="single" w:sz="4" w:space="0" w:color="auto"/>
              <w:right w:val="single" w:sz="4" w:space="0" w:color="auto"/>
            </w:tcBorders>
            <w:shd w:val="clear" w:color="000000" w:fill="C6EFCE"/>
            <w:noWrap/>
            <w:vAlign w:val="center"/>
          </w:tcPr>
          <w:p w14:paraId="22BC99F1" w14:textId="35B3265E"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5 – 2.1. Pripojenie – 16818_Infraštruktúra optických vlákien</w:t>
            </w:r>
            <w:r w:rsidR="00083739" w:rsidRPr="00083739">
              <w:rPr>
                <w:rFonts w:cs="Times New Roman"/>
                <w:noProof/>
                <w:lang w:val="sk-SK"/>
              </w:rPr>
              <w:t xml:space="preserve"> v </w:t>
            </w:r>
            <w:r w:rsidRPr="00083739">
              <w:rPr>
                <w:rFonts w:cs="Times New Roman"/>
                <w:noProof/>
                <w:lang w:val="sk-SK"/>
              </w:rPr>
              <w:t>budovách</w:t>
            </w:r>
          </w:p>
        </w:tc>
        <w:tc>
          <w:tcPr>
            <w:tcW w:w="1680" w:type="dxa"/>
            <w:tcBorders>
              <w:top w:val="nil"/>
              <w:left w:val="nil"/>
              <w:bottom w:val="single" w:sz="4" w:space="0" w:color="auto"/>
              <w:right w:val="single" w:sz="4" w:space="0" w:color="auto"/>
            </w:tcBorders>
            <w:shd w:val="clear" w:color="000000" w:fill="C6EFCE"/>
            <w:noWrap/>
            <w:vAlign w:val="center"/>
          </w:tcPr>
          <w:p w14:paraId="386A7AC8"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000000" w:fill="C6EFCE"/>
            <w:noWrap/>
            <w:vAlign w:val="center"/>
          </w:tcPr>
          <w:p w14:paraId="67F52864" w14:textId="3715E826"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Zadanie zákazky (zákaziek) na projekt „Infraštruktúra optický</w:t>
            </w:r>
            <w:r w:rsidRPr="00083739">
              <w:rPr>
                <w:rFonts w:cs="Times New Roman"/>
                <w:noProof/>
                <w:lang w:val="sk-SK"/>
              </w:rPr>
              <w:t>ch vlákien</w:t>
            </w:r>
            <w:r w:rsidR="00083739" w:rsidRPr="00083739">
              <w:rPr>
                <w:rFonts w:cs="Times New Roman"/>
                <w:noProof/>
                <w:lang w:val="sk-SK"/>
              </w:rPr>
              <w:t xml:space="preserve"> v </w:t>
            </w:r>
            <w:r w:rsidRPr="00083739">
              <w:rPr>
                <w:rFonts w:cs="Times New Roman"/>
                <w:noProof/>
                <w:lang w:val="sk-SK"/>
              </w:rPr>
              <w:t>budovách“</w:t>
            </w:r>
          </w:p>
        </w:tc>
      </w:tr>
      <w:tr w:rsidR="002D49B0" w:rsidRPr="00083739" w14:paraId="2A9CD0AE" w14:textId="77777777">
        <w:trPr>
          <w:trHeight w:val="302"/>
        </w:trPr>
        <w:tc>
          <w:tcPr>
            <w:tcW w:w="1795" w:type="dxa"/>
            <w:tcBorders>
              <w:top w:val="nil"/>
              <w:left w:val="single" w:sz="4" w:space="0" w:color="auto"/>
              <w:bottom w:val="single" w:sz="4" w:space="0" w:color="auto"/>
              <w:right w:val="single" w:sz="4" w:space="0" w:color="auto"/>
            </w:tcBorders>
            <w:shd w:val="clear" w:color="000000" w:fill="C6EFCE"/>
            <w:noWrap/>
            <w:vAlign w:val="center"/>
          </w:tcPr>
          <w:p w14:paraId="0D4E79E8"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96</w:t>
            </w:r>
          </w:p>
        </w:tc>
        <w:tc>
          <w:tcPr>
            <w:tcW w:w="4320" w:type="dxa"/>
            <w:tcBorders>
              <w:top w:val="nil"/>
              <w:left w:val="nil"/>
              <w:bottom w:val="single" w:sz="4" w:space="0" w:color="auto"/>
              <w:right w:val="single" w:sz="4" w:space="0" w:color="auto"/>
            </w:tcBorders>
            <w:shd w:val="clear" w:color="000000" w:fill="C6EFCE"/>
            <w:noWrap/>
            <w:vAlign w:val="center"/>
          </w:tcPr>
          <w:p w14:paraId="16A774A1" w14:textId="756A20BC"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6 – 2.2. Modernizácia – 16929_ Smerom</w:t>
            </w:r>
            <w:r w:rsidR="00083739" w:rsidRPr="00083739">
              <w:rPr>
                <w:rFonts w:cs="Times New Roman"/>
                <w:noProof/>
                <w:lang w:val="sk-SK"/>
              </w:rPr>
              <w:t xml:space="preserve"> k </w:t>
            </w:r>
            <w:r w:rsidRPr="00083739">
              <w:rPr>
                <w:rFonts w:cs="Times New Roman"/>
                <w:noProof/>
                <w:lang w:val="sk-SK"/>
              </w:rPr>
              <w:t>službám verejnej správy zameraným na zákazníka prostredníctvom zjednodušenia</w:t>
            </w:r>
            <w:r w:rsidR="00083739" w:rsidRPr="00083739">
              <w:rPr>
                <w:rFonts w:cs="Times New Roman"/>
                <w:noProof/>
                <w:lang w:val="sk-SK"/>
              </w:rPr>
              <w:t xml:space="preserve"> a </w:t>
            </w:r>
            <w:r w:rsidRPr="00083739">
              <w:rPr>
                <w:rFonts w:cs="Times New Roman"/>
                <w:noProof/>
                <w:lang w:val="sk-SK"/>
              </w:rPr>
              <w:t>zlepšenia procesov, zlepšenia systémov</w:t>
            </w:r>
            <w:r w:rsidR="00083739" w:rsidRPr="00083739">
              <w:rPr>
                <w:rFonts w:cs="Times New Roman"/>
                <w:noProof/>
                <w:lang w:val="sk-SK"/>
              </w:rPr>
              <w:t xml:space="preserve"> a </w:t>
            </w:r>
            <w:r w:rsidRPr="00083739">
              <w:rPr>
                <w:rFonts w:cs="Times New Roman"/>
                <w:noProof/>
                <w:lang w:val="sk-SK"/>
              </w:rPr>
              <w:t>súladu</w:t>
            </w:r>
            <w:r w:rsidR="00083739" w:rsidRPr="00083739">
              <w:rPr>
                <w:rFonts w:cs="Times New Roman"/>
                <w:noProof/>
                <w:lang w:val="sk-SK"/>
              </w:rPr>
              <w:t xml:space="preserve"> s </w:t>
            </w:r>
            <w:r w:rsidRPr="00083739">
              <w:rPr>
                <w:rFonts w:cs="Times New Roman"/>
                <w:noProof/>
                <w:lang w:val="sk-SK"/>
              </w:rPr>
              <w:t>európskymi stratégiami</w:t>
            </w:r>
            <w:r w:rsidR="00083739" w:rsidRPr="00083739">
              <w:rPr>
                <w:rFonts w:cs="Times New Roman"/>
                <w:noProof/>
                <w:lang w:val="sk-SK"/>
              </w:rPr>
              <w:t xml:space="preserve"> a </w:t>
            </w:r>
            <w:r w:rsidRPr="00083739">
              <w:rPr>
                <w:rFonts w:cs="Times New Roman"/>
                <w:noProof/>
                <w:lang w:val="sk-SK"/>
              </w:rPr>
              <w:t>politikami</w:t>
            </w:r>
          </w:p>
        </w:tc>
        <w:tc>
          <w:tcPr>
            <w:tcW w:w="1680" w:type="dxa"/>
            <w:tcBorders>
              <w:top w:val="nil"/>
              <w:left w:val="nil"/>
              <w:bottom w:val="single" w:sz="4" w:space="0" w:color="auto"/>
              <w:right w:val="single" w:sz="4" w:space="0" w:color="auto"/>
            </w:tcBorders>
            <w:shd w:val="clear" w:color="000000" w:fill="C6EFCE"/>
            <w:noWrap/>
            <w:vAlign w:val="center"/>
          </w:tcPr>
          <w:p w14:paraId="3131F292"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000000" w:fill="C6EFCE"/>
            <w:noWrap/>
            <w:vAlign w:val="center"/>
          </w:tcPr>
          <w:p w14:paraId="643399B6" w14:textId="7E344BF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 xml:space="preserve">Zriadenie </w:t>
            </w:r>
            <w:r w:rsidRPr="00083739">
              <w:rPr>
                <w:rFonts w:cs="Times New Roman"/>
                <w:noProof/>
                <w:lang w:val="sk-SK"/>
              </w:rPr>
              <w:t>národného registra postupov</w:t>
            </w:r>
            <w:r w:rsidR="00083739" w:rsidRPr="00083739">
              <w:rPr>
                <w:rFonts w:cs="Times New Roman"/>
                <w:noProof/>
                <w:lang w:val="sk-SK"/>
              </w:rPr>
              <w:t xml:space="preserve"> a </w:t>
            </w:r>
            <w:r w:rsidRPr="00083739">
              <w:rPr>
                <w:rFonts w:cs="Times New Roman"/>
                <w:noProof/>
                <w:lang w:val="sk-SK"/>
              </w:rPr>
              <w:t>vykonávanie národného plánu na zjednodušenie procesov (prvá fáza)</w:t>
            </w:r>
          </w:p>
        </w:tc>
      </w:tr>
      <w:tr w:rsidR="002D49B0" w:rsidRPr="00083739" w14:paraId="3CA61B48" w14:textId="77777777">
        <w:trPr>
          <w:trHeight w:val="302"/>
        </w:trPr>
        <w:tc>
          <w:tcPr>
            <w:tcW w:w="1795" w:type="dxa"/>
            <w:tcBorders>
              <w:top w:val="nil"/>
              <w:left w:val="single" w:sz="4" w:space="0" w:color="auto"/>
              <w:bottom w:val="single" w:sz="4" w:space="0" w:color="auto"/>
              <w:right w:val="single" w:sz="4" w:space="0" w:color="auto"/>
            </w:tcBorders>
            <w:shd w:val="clear" w:color="000000" w:fill="C6EFCE"/>
            <w:noWrap/>
            <w:vAlign w:val="center"/>
          </w:tcPr>
          <w:p w14:paraId="5CFE7CD3"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142</w:t>
            </w:r>
          </w:p>
        </w:tc>
        <w:tc>
          <w:tcPr>
            <w:tcW w:w="4320" w:type="dxa"/>
            <w:tcBorders>
              <w:top w:val="nil"/>
              <w:left w:val="nil"/>
              <w:bottom w:val="single" w:sz="4" w:space="0" w:color="auto"/>
              <w:right w:val="single" w:sz="4" w:space="0" w:color="auto"/>
            </w:tcBorders>
            <w:shd w:val="clear" w:color="000000" w:fill="C6EFCE"/>
            <w:noWrap/>
            <w:vAlign w:val="center"/>
          </w:tcPr>
          <w:p w14:paraId="2A078DC9" w14:textId="123E2580"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8 – 3.1. Podpora vytvárania pracovných miest</w:t>
            </w:r>
            <w:r w:rsidR="00083739" w:rsidRPr="00083739">
              <w:rPr>
                <w:rFonts w:cs="Times New Roman"/>
                <w:noProof/>
                <w:lang w:val="sk-SK"/>
              </w:rPr>
              <w:t xml:space="preserve"> a </w:t>
            </w:r>
            <w:r w:rsidRPr="00083739">
              <w:rPr>
                <w:rFonts w:cs="Times New Roman"/>
                <w:noProof/>
                <w:lang w:val="sk-SK"/>
              </w:rPr>
              <w:t>účasti na trhu práce – 16746_Reforma pasívnych politík trhu práce na podporu prechodu do zamestnania</w:t>
            </w:r>
          </w:p>
        </w:tc>
        <w:tc>
          <w:tcPr>
            <w:tcW w:w="1680" w:type="dxa"/>
            <w:tcBorders>
              <w:top w:val="nil"/>
              <w:left w:val="nil"/>
              <w:bottom w:val="single" w:sz="4" w:space="0" w:color="auto"/>
              <w:right w:val="single" w:sz="4" w:space="0" w:color="auto"/>
            </w:tcBorders>
            <w:shd w:val="clear" w:color="000000" w:fill="C6EFCE"/>
            <w:noWrap/>
            <w:vAlign w:val="center"/>
          </w:tcPr>
          <w:p w14:paraId="7ED71768"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000000" w:fill="C6EFCE"/>
            <w:noWrap/>
            <w:vAlign w:val="center"/>
          </w:tcPr>
          <w:p w14:paraId="1CA9E440"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 xml:space="preserve">Reforma rámca vzájomných záväzkov nadobudnutie účinnosti právnych predpisov </w:t>
            </w:r>
          </w:p>
        </w:tc>
      </w:tr>
      <w:tr w:rsidR="002D49B0" w:rsidRPr="00083739" w14:paraId="1BC2F982" w14:textId="77777777">
        <w:trPr>
          <w:trHeight w:val="302"/>
        </w:trPr>
        <w:tc>
          <w:tcPr>
            <w:tcW w:w="1795" w:type="dxa"/>
            <w:tcBorders>
              <w:top w:val="nil"/>
              <w:left w:val="single" w:sz="4" w:space="0" w:color="auto"/>
              <w:bottom w:val="single" w:sz="4" w:space="0" w:color="auto"/>
              <w:right w:val="single" w:sz="4" w:space="0" w:color="auto"/>
            </w:tcBorders>
            <w:shd w:val="clear" w:color="000000" w:fill="C6EFCE"/>
            <w:noWrap/>
            <w:vAlign w:val="center"/>
          </w:tcPr>
          <w:p w14:paraId="4B715D31"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191</w:t>
            </w:r>
          </w:p>
        </w:tc>
        <w:tc>
          <w:tcPr>
            <w:tcW w:w="4320" w:type="dxa"/>
            <w:tcBorders>
              <w:top w:val="nil"/>
              <w:left w:val="nil"/>
              <w:bottom w:val="single" w:sz="4" w:space="0" w:color="auto"/>
              <w:right w:val="single" w:sz="4" w:space="0" w:color="auto"/>
            </w:tcBorders>
            <w:shd w:val="clear" w:color="000000" w:fill="C6EFCE"/>
            <w:noWrap/>
            <w:vAlign w:val="center"/>
          </w:tcPr>
          <w:p w14:paraId="5710F7F1" w14:textId="4B1161E8"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12 – 4.1. Zabezpečiť, aby dane boli priaznivejšie pre rast</w:t>
            </w:r>
            <w:r w:rsidR="00083739" w:rsidRPr="00083739">
              <w:rPr>
                <w:rFonts w:cs="Times New Roman"/>
                <w:noProof/>
                <w:lang w:val="sk-SK"/>
              </w:rPr>
              <w:t xml:space="preserve"> a </w:t>
            </w:r>
            <w:r w:rsidRPr="00083739">
              <w:rPr>
                <w:rFonts w:cs="Times New Roman"/>
                <w:noProof/>
                <w:lang w:val="sk-SK"/>
              </w:rPr>
              <w:t>zlepšiť daňovú správu</w:t>
            </w:r>
            <w:r w:rsidR="00083739" w:rsidRPr="00083739">
              <w:rPr>
                <w:rFonts w:cs="Times New Roman"/>
                <w:noProof/>
                <w:lang w:val="sk-SK"/>
              </w:rPr>
              <w:t xml:space="preserve"> a </w:t>
            </w:r>
            <w:r w:rsidRPr="00083739">
              <w:rPr>
                <w:rFonts w:cs="Times New Roman"/>
                <w:noProof/>
                <w:lang w:val="sk-SK"/>
              </w:rPr>
              <w:t>výber daní – 16656_Nový rámec pre boj proti pašovaniu, najmä pre výrobky podliehajúce spo</w:t>
            </w:r>
            <w:r w:rsidRPr="00083739">
              <w:rPr>
                <w:rFonts w:cs="Times New Roman"/>
                <w:noProof/>
                <w:lang w:val="sk-SK"/>
              </w:rPr>
              <w:t>trebným daniam (tabak, alkohol</w:t>
            </w:r>
            <w:r w:rsidR="00083739" w:rsidRPr="00083739">
              <w:rPr>
                <w:rFonts w:cs="Times New Roman"/>
                <w:noProof/>
                <w:lang w:val="sk-SK"/>
              </w:rPr>
              <w:t xml:space="preserve"> a </w:t>
            </w:r>
            <w:r w:rsidRPr="00083739">
              <w:rPr>
                <w:rFonts w:cs="Times New Roman"/>
                <w:noProof/>
                <w:lang w:val="sk-SK"/>
              </w:rPr>
              <w:t>energia)</w:t>
            </w:r>
          </w:p>
        </w:tc>
        <w:tc>
          <w:tcPr>
            <w:tcW w:w="1680" w:type="dxa"/>
            <w:tcBorders>
              <w:top w:val="nil"/>
              <w:left w:val="nil"/>
              <w:bottom w:val="single" w:sz="4" w:space="0" w:color="auto"/>
              <w:right w:val="single" w:sz="4" w:space="0" w:color="auto"/>
            </w:tcBorders>
            <w:shd w:val="clear" w:color="000000" w:fill="C6EFCE"/>
            <w:noWrap/>
            <w:vAlign w:val="center"/>
          </w:tcPr>
          <w:p w14:paraId="4104BBE8"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000000" w:fill="C6EFCE"/>
            <w:noWrap/>
            <w:vAlign w:val="center"/>
          </w:tcPr>
          <w:p w14:paraId="6DA98793"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Boj proti prevádzačstvu – prijatie regulačných rozhodnutí</w:t>
            </w:r>
          </w:p>
        </w:tc>
      </w:tr>
      <w:tr w:rsidR="002D49B0" w:rsidRPr="00083739" w14:paraId="152674D9" w14:textId="77777777">
        <w:trPr>
          <w:trHeight w:val="302"/>
        </w:trPr>
        <w:tc>
          <w:tcPr>
            <w:tcW w:w="1795" w:type="dxa"/>
            <w:tcBorders>
              <w:top w:val="nil"/>
              <w:left w:val="single" w:sz="4" w:space="0" w:color="auto"/>
              <w:bottom w:val="single" w:sz="4" w:space="0" w:color="auto"/>
              <w:right w:val="single" w:sz="4" w:space="0" w:color="auto"/>
            </w:tcBorders>
            <w:shd w:val="clear" w:color="000000" w:fill="C6EFCE"/>
            <w:noWrap/>
            <w:vAlign w:val="center"/>
          </w:tcPr>
          <w:p w14:paraId="21EAA14F"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206</w:t>
            </w:r>
          </w:p>
        </w:tc>
        <w:tc>
          <w:tcPr>
            <w:tcW w:w="4320" w:type="dxa"/>
            <w:tcBorders>
              <w:top w:val="nil"/>
              <w:left w:val="nil"/>
              <w:bottom w:val="single" w:sz="4" w:space="0" w:color="auto"/>
              <w:right w:val="single" w:sz="4" w:space="0" w:color="auto"/>
            </w:tcBorders>
            <w:shd w:val="clear" w:color="000000" w:fill="C6EFCE"/>
            <w:noWrap/>
            <w:vAlign w:val="center"/>
          </w:tcPr>
          <w:p w14:paraId="413B0633" w14:textId="3581ECFD"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13 – 4.2. Modernizácia verejnej správy,</w:t>
            </w:r>
            <w:r w:rsidR="00083739" w:rsidRPr="00083739">
              <w:rPr>
                <w:rFonts w:cs="Times New Roman"/>
                <w:noProof/>
                <w:lang w:val="sk-SK"/>
              </w:rPr>
              <w:t xml:space="preserve"> a </w:t>
            </w:r>
            <w:r w:rsidRPr="00083739">
              <w:rPr>
                <w:rFonts w:cs="Times New Roman"/>
                <w:noProof/>
                <w:lang w:val="sk-SK"/>
              </w:rPr>
              <w:t xml:space="preserve">to aj urýchlením realizácie verejných investícií, zlepšením rámca verejného obstarávania, opatreniami </w:t>
            </w:r>
            <w:r w:rsidRPr="00083739">
              <w:rPr>
                <w:rFonts w:cs="Times New Roman"/>
                <w:noProof/>
                <w:lang w:val="sk-SK"/>
              </w:rPr>
              <w:t>na budovanie kapacít</w:t>
            </w:r>
            <w:r w:rsidR="00083739" w:rsidRPr="00083739">
              <w:rPr>
                <w:rFonts w:cs="Times New Roman"/>
                <w:noProof/>
                <w:lang w:val="sk-SK"/>
              </w:rPr>
              <w:t xml:space="preserve"> a </w:t>
            </w:r>
            <w:r w:rsidRPr="00083739">
              <w:rPr>
                <w:rFonts w:cs="Times New Roman"/>
                <w:noProof/>
                <w:lang w:val="sk-SK"/>
              </w:rPr>
              <w:t>bojom proti korupcii – 16972_Reforma verejnej správy</w:t>
            </w:r>
          </w:p>
        </w:tc>
        <w:tc>
          <w:tcPr>
            <w:tcW w:w="1680" w:type="dxa"/>
            <w:tcBorders>
              <w:top w:val="nil"/>
              <w:left w:val="nil"/>
              <w:bottom w:val="single" w:sz="4" w:space="0" w:color="auto"/>
              <w:right w:val="single" w:sz="4" w:space="0" w:color="auto"/>
            </w:tcBorders>
            <w:shd w:val="clear" w:color="000000" w:fill="C6EFCE"/>
            <w:noWrap/>
            <w:vAlign w:val="center"/>
          </w:tcPr>
          <w:p w14:paraId="1069BCB4"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000000" w:fill="C6EFCE"/>
            <w:noWrap/>
            <w:vAlign w:val="center"/>
          </w:tcPr>
          <w:p w14:paraId="437907A1"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Verejná správa – legislatívny rámec na objasnenie mandátov</w:t>
            </w:r>
          </w:p>
        </w:tc>
      </w:tr>
      <w:tr w:rsidR="002D49B0" w:rsidRPr="00083739" w14:paraId="656BFE3E" w14:textId="77777777">
        <w:trPr>
          <w:trHeight w:val="302"/>
        </w:trPr>
        <w:tc>
          <w:tcPr>
            <w:tcW w:w="1795" w:type="dxa"/>
            <w:tcBorders>
              <w:top w:val="nil"/>
              <w:left w:val="single" w:sz="4" w:space="0" w:color="auto"/>
              <w:bottom w:val="single" w:sz="4" w:space="0" w:color="auto"/>
              <w:right w:val="single" w:sz="4" w:space="0" w:color="auto"/>
            </w:tcBorders>
            <w:shd w:val="clear" w:color="000000" w:fill="C6EFCE"/>
            <w:noWrap/>
            <w:vAlign w:val="center"/>
          </w:tcPr>
          <w:p w14:paraId="7F5D55A3"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209</w:t>
            </w:r>
          </w:p>
        </w:tc>
        <w:tc>
          <w:tcPr>
            <w:tcW w:w="4320" w:type="dxa"/>
            <w:tcBorders>
              <w:top w:val="nil"/>
              <w:left w:val="nil"/>
              <w:bottom w:val="single" w:sz="4" w:space="0" w:color="auto"/>
              <w:right w:val="single" w:sz="4" w:space="0" w:color="auto"/>
            </w:tcBorders>
            <w:shd w:val="clear" w:color="000000" w:fill="C6EFCE"/>
            <w:noWrap/>
            <w:vAlign w:val="center"/>
          </w:tcPr>
          <w:p w14:paraId="3AAB3FE2" w14:textId="67289B91"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13 – 4.2. Modernizácia verejnej správy,</w:t>
            </w:r>
            <w:r w:rsidR="00083739" w:rsidRPr="00083739">
              <w:rPr>
                <w:rFonts w:cs="Times New Roman"/>
                <w:noProof/>
                <w:lang w:val="sk-SK"/>
              </w:rPr>
              <w:t xml:space="preserve"> a </w:t>
            </w:r>
            <w:r w:rsidRPr="00083739">
              <w:rPr>
                <w:rFonts w:cs="Times New Roman"/>
                <w:noProof/>
                <w:lang w:val="sk-SK"/>
              </w:rPr>
              <w:t>to aj urýchlením realizácie verejných investícií, zlepšením rámca v</w:t>
            </w:r>
            <w:r w:rsidRPr="00083739">
              <w:rPr>
                <w:rFonts w:cs="Times New Roman"/>
                <w:noProof/>
                <w:lang w:val="sk-SK"/>
              </w:rPr>
              <w:t>erejného obstarávania, opatreniami na budovanie kapacít</w:t>
            </w:r>
            <w:r w:rsidR="00083739" w:rsidRPr="00083739">
              <w:rPr>
                <w:rFonts w:cs="Times New Roman"/>
                <w:noProof/>
                <w:lang w:val="sk-SK"/>
              </w:rPr>
              <w:t xml:space="preserve"> a </w:t>
            </w:r>
            <w:r w:rsidRPr="00083739">
              <w:rPr>
                <w:rFonts w:cs="Times New Roman"/>
                <w:noProof/>
                <w:lang w:val="sk-SK"/>
              </w:rPr>
              <w:t>bojom proti korupcii – 16978_Efektívny boj proti korupcii</w:t>
            </w:r>
          </w:p>
        </w:tc>
        <w:tc>
          <w:tcPr>
            <w:tcW w:w="1680" w:type="dxa"/>
            <w:tcBorders>
              <w:top w:val="nil"/>
              <w:left w:val="nil"/>
              <w:bottom w:val="single" w:sz="4" w:space="0" w:color="auto"/>
              <w:right w:val="single" w:sz="4" w:space="0" w:color="auto"/>
            </w:tcBorders>
            <w:shd w:val="clear" w:color="000000" w:fill="C6EFCE"/>
            <w:noWrap/>
            <w:vAlign w:val="center"/>
          </w:tcPr>
          <w:p w14:paraId="56BE89B5"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000000" w:fill="C6EFCE"/>
            <w:noWrap/>
            <w:vAlign w:val="center"/>
          </w:tcPr>
          <w:p w14:paraId="66B5BEF7" w14:textId="3771CB32"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Majetkové priznania</w:t>
            </w:r>
            <w:r w:rsidR="00083739" w:rsidRPr="00083739">
              <w:rPr>
                <w:rFonts w:cs="Times New Roman"/>
                <w:noProof/>
                <w:lang w:val="sk-SK"/>
              </w:rPr>
              <w:t xml:space="preserve"> a </w:t>
            </w:r>
            <w:r w:rsidRPr="00083739">
              <w:rPr>
                <w:rFonts w:cs="Times New Roman"/>
                <w:noProof/>
                <w:lang w:val="sk-SK"/>
              </w:rPr>
              <w:t>politické strany</w:t>
            </w:r>
          </w:p>
        </w:tc>
      </w:tr>
      <w:tr w:rsidR="002D49B0" w:rsidRPr="00083739" w14:paraId="59144FC0" w14:textId="77777777">
        <w:trPr>
          <w:trHeight w:val="302"/>
        </w:trPr>
        <w:tc>
          <w:tcPr>
            <w:tcW w:w="1795" w:type="dxa"/>
            <w:tcBorders>
              <w:top w:val="nil"/>
              <w:left w:val="single" w:sz="4" w:space="0" w:color="auto"/>
              <w:bottom w:val="single" w:sz="4" w:space="0" w:color="auto"/>
              <w:right w:val="single" w:sz="4" w:space="0" w:color="auto"/>
            </w:tcBorders>
            <w:shd w:val="clear" w:color="000000" w:fill="C6EFCE"/>
            <w:noWrap/>
            <w:vAlign w:val="center"/>
          </w:tcPr>
          <w:p w14:paraId="7B057BAB"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210</w:t>
            </w:r>
          </w:p>
        </w:tc>
        <w:tc>
          <w:tcPr>
            <w:tcW w:w="4320" w:type="dxa"/>
            <w:tcBorders>
              <w:top w:val="nil"/>
              <w:left w:val="nil"/>
              <w:bottom w:val="single" w:sz="4" w:space="0" w:color="auto"/>
              <w:right w:val="single" w:sz="4" w:space="0" w:color="auto"/>
            </w:tcBorders>
            <w:shd w:val="clear" w:color="000000" w:fill="C6EFCE"/>
            <w:noWrap/>
            <w:vAlign w:val="center"/>
          </w:tcPr>
          <w:p w14:paraId="1C664596" w14:textId="6AC55BE5"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13 – 4.2. Modernizovať verejnú správu,</w:t>
            </w:r>
            <w:r w:rsidR="00083739" w:rsidRPr="00083739">
              <w:rPr>
                <w:rFonts w:cs="Times New Roman"/>
                <w:noProof/>
                <w:lang w:val="sk-SK"/>
              </w:rPr>
              <w:t xml:space="preserve"> a </w:t>
            </w:r>
            <w:r w:rsidRPr="00083739">
              <w:rPr>
                <w:rFonts w:cs="Times New Roman"/>
                <w:noProof/>
                <w:lang w:val="sk-SK"/>
              </w:rPr>
              <w:t xml:space="preserve">to aj urýchlením realizácie verejných </w:t>
            </w:r>
            <w:r w:rsidRPr="00083739">
              <w:rPr>
                <w:rFonts w:cs="Times New Roman"/>
                <w:noProof/>
                <w:lang w:val="sk-SK"/>
              </w:rPr>
              <w:t>investícií, zlepšením rámca verejného obstarávania, opatreniami na budovanie kapacít</w:t>
            </w:r>
            <w:r w:rsidR="00083739" w:rsidRPr="00083739">
              <w:rPr>
                <w:rFonts w:cs="Times New Roman"/>
                <w:noProof/>
                <w:lang w:val="sk-SK"/>
              </w:rPr>
              <w:t xml:space="preserve"> a </w:t>
            </w:r>
            <w:r w:rsidRPr="00083739">
              <w:rPr>
                <w:rFonts w:cs="Times New Roman"/>
                <w:noProof/>
                <w:lang w:val="sk-SK"/>
              </w:rPr>
              <w:t>bojom proti korupcii – 16952_Posilnenie národného protikorupčného rámca prostredníctvom cielených intervencií</w:t>
            </w:r>
            <w:r w:rsidR="00083739" w:rsidRPr="00083739">
              <w:rPr>
                <w:rFonts w:cs="Times New Roman"/>
                <w:noProof/>
                <w:lang w:val="sk-SK"/>
              </w:rPr>
              <w:t xml:space="preserve"> v </w:t>
            </w:r>
            <w:r w:rsidRPr="00083739">
              <w:rPr>
                <w:rFonts w:cs="Times New Roman"/>
                <w:noProof/>
                <w:lang w:val="sk-SK"/>
              </w:rPr>
              <w:t>oblasti odhaľovania, prevencie</w:t>
            </w:r>
            <w:r w:rsidR="00083739" w:rsidRPr="00083739">
              <w:rPr>
                <w:rFonts w:cs="Times New Roman"/>
                <w:noProof/>
                <w:lang w:val="sk-SK"/>
              </w:rPr>
              <w:t xml:space="preserve"> a </w:t>
            </w:r>
            <w:r w:rsidRPr="00083739">
              <w:rPr>
                <w:rFonts w:cs="Times New Roman"/>
                <w:noProof/>
                <w:lang w:val="sk-SK"/>
              </w:rPr>
              <w:t>zvyšovania informovanost</w:t>
            </w:r>
            <w:r w:rsidRPr="00083739">
              <w:rPr>
                <w:rFonts w:cs="Times New Roman"/>
                <w:noProof/>
                <w:lang w:val="sk-SK"/>
              </w:rPr>
              <w:t>i</w:t>
            </w:r>
          </w:p>
        </w:tc>
        <w:tc>
          <w:tcPr>
            <w:tcW w:w="1680" w:type="dxa"/>
            <w:tcBorders>
              <w:top w:val="nil"/>
              <w:left w:val="nil"/>
              <w:bottom w:val="single" w:sz="4" w:space="0" w:color="auto"/>
              <w:right w:val="single" w:sz="4" w:space="0" w:color="auto"/>
            </w:tcBorders>
            <w:shd w:val="clear" w:color="000000" w:fill="C6EFCE"/>
            <w:noWrap/>
            <w:vAlign w:val="center"/>
          </w:tcPr>
          <w:p w14:paraId="1A8845B7"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000000" w:fill="C6EFCE"/>
            <w:noWrap/>
            <w:vAlign w:val="center"/>
          </w:tcPr>
          <w:p w14:paraId="78E73620"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Národný protikorupčný akčný plán</w:t>
            </w:r>
          </w:p>
        </w:tc>
      </w:tr>
      <w:tr w:rsidR="002D49B0" w:rsidRPr="00083739" w14:paraId="0D3C55FC" w14:textId="77777777">
        <w:trPr>
          <w:trHeight w:val="302"/>
        </w:trPr>
        <w:tc>
          <w:tcPr>
            <w:tcW w:w="1795" w:type="dxa"/>
            <w:tcBorders>
              <w:top w:val="nil"/>
              <w:left w:val="single" w:sz="4" w:space="0" w:color="auto"/>
              <w:bottom w:val="single" w:sz="4" w:space="0" w:color="auto"/>
              <w:right w:val="single" w:sz="4" w:space="0" w:color="auto"/>
            </w:tcBorders>
            <w:shd w:val="clear" w:color="000000" w:fill="C6EFCE"/>
            <w:noWrap/>
            <w:vAlign w:val="center"/>
          </w:tcPr>
          <w:p w14:paraId="7B4468C4"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223</w:t>
            </w:r>
          </w:p>
        </w:tc>
        <w:tc>
          <w:tcPr>
            <w:tcW w:w="4320" w:type="dxa"/>
            <w:tcBorders>
              <w:top w:val="nil"/>
              <w:left w:val="nil"/>
              <w:bottom w:val="single" w:sz="4" w:space="0" w:color="auto"/>
              <w:right w:val="single" w:sz="4" w:space="0" w:color="auto"/>
            </w:tcBorders>
            <w:shd w:val="clear" w:color="000000" w:fill="C6EFCE"/>
            <w:noWrap/>
            <w:vAlign w:val="center"/>
          </w:tcPr>
          <w:p w14:paraId="0A741640"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14 – 4.3. Zlepšiť efektívnosť justičného systému – 16575 Urýchlenie výkonu spravodlivosti</w:t>
            </w:r>
          </w:p>
        </w:tc>
        <w:tc>
          <w:tcPr>
            <w:tcW w:w="1680" w:type="dxa"/>
            <w:tcBorders>
              <w:top w:val="nil"/>
              <w:left w:val="nil"/>
              <w:bottom w:val="single" w:sz="4" w:space="0" w:color="auto"/>
              <w:right w:val="single" w:sz="4" w:space="0" w:color="auto"/>
            </w:tcBorders>
            <w:shd w:val="clear" w:color="000000" w:fill="C6EFCE"/>
            <w:noWrap/>
            <w:vAlign w:val="center"/>
          </w:tcPr>
          <w:p w14:paraId="22865038"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000000" w:fill="C6EFCE"/>
            <w:noWrap/>
            <w:vAlign w:val="center"/>
          </w:tcPr>
          <w:p w14:paraId="15C04C50"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Technická podpora – Nástroj výkonu súdnictva</w:t>
            </w:r>
          </w:p>
        </w:tc>
      </w:tr>
      <w:tr w:rsidR="002D49B0" w:rsidRPr="00083739" w14:paraId="188516FA" w14:textId="77777777">
        <w:trPr>
          <w:trHeight w:val="302"/>
        </w:trPr>
        <w:tc>
          <w:tcPr>
            <w:tcW w:w="1795" w:type="dxa"/>
            <w:tcBorders>
              <w:top w:val="nil"/>
              <w:left w:val="single" w:sz="4" w:space="0" w:color="auto"/>
              <w:bottom w:val="single" w:sz="4" w:space="0" w:color="auto"/>
              <w:right w:val="single" w:sz="4" w:space="0" w:color="auto"/>
            </w:tcBorders>
            <w:shd w:val="clear" w:color="000000" w:fill="C6EFCE"/>
            <w:noWrap/>
            <w:vAlign w:val="center"/>
          </w:tcPr>
          <w:p w14:paraId="5EBB4B82"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225</w:t>
            </w:r>
          </w:p>
        </w:tc>
        <w:tc>
          <w:tcPr>
            <w:tcW w:w="4320" w:type="dxa"/>
            <w:tcBorders>
              <w:top w:val="nil"/>
              <w:left w:val="nil"/>
              <w:bottom w:val="single" w:sz="4" w:space="0" w:color="auto"/>
              <w:right w:val="single" w:sz="4" w:space="0" w:color="auto"/>
            </w:tcBorders>
            <w:shd w:val="clear" w:color="000000" w:fill="C6EFCE"/>
            <w:noWrap/>
            <w:vAlign w:val="center"/>
          </w:tcPr>
          <w:p w14:paraId="524CA573"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 xml:space="preserve">14 – 4.3. Zlepšiť efektívnosť justičného systému – 16575 </w:t>
            </w:r>
            <w:r w:rsidRPr="00083739">
              <w:rPr>
                <w:rFonts w:cs="Times New Roman"/>
                <w:noProof/>
                <w:lang w:val="sk-SK"/>
              </w:rPr>
              <w:t>Urýchlenie výkonu spravodlivosti</w:t>
            </w:r>
          </w:p>
        </w:tc>
        <w:tc>
          <w:tcPr>
            <w:tcW w:w="1680" w:type="dxa"/>
            <w:tcBorders>
              <w:top w:val="nil"/>
              <w:left w:val="nil"/>
              <w:bottom w:val="single" w:sz="4" w:space="0" w:color="auto"/>
              <w:right w:val="single" w:sz="4" w:space="0" w:color="auto"/>
            </w:tcBorders>
            <w:shd w:val="clear" w:color="000000" w:fill="C6EFCE"/>
            <w:noWrap/>
            <w:vAlign w:val="center"/>
          </w:tcPr>
          <w:p w14:paraId="617403D8"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000000" w:fill="C6EFCE"/>
            <w:noWrap/>
            <w:vAlign w:val="center"/>
          </w:tcPr>
          <w:p w14:paraId="3AC451DB"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 xml:space="preserve">Justičná polícia – sekundárne právne predpisy </w:t>
            </w:r>
          </w:p>
        </w:tc>
      </w:tr>
      <w:tr w:rsidR="002D49B0" w:rsidRPr="00083739" w14:paraId="6A3B7C36" w14:textId="77777777">
        <w:trPr>
          <w:trHeight w:val="302"/>
        </w:trPr>
        <w:tc>
          <w:tcPr>
            <w:tcW w:w="1795" w:type="dxa"/>
            <w:tcBorders>
              <w:top w:val="nil"/>
              <w:left w:val="single" w:sz="4" w:space="0" w:color="auto"/>
              <w:bottom w:val="single" w:sz="4" w:space="0" w:color="auto"/>
              <w:right w:val="single" w:sz="4" w:space="0" w:color="auto"/>
            </w:tcBorders>
            <w:shd w:val="clear" w:color="000000" w:fill="C6EFCE"/>
            <w:noWrap/>
            <w:vAlign w:val="center"/>
          </w:tcPr>
          <w:p w14:paraId="44CF352F"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278</w:t>
            </w:r>
          </w:p>
        </w:tc>
        <w:tc>
          <w:tcPr>
            <w:tcW w:w="4320" w:type="dxa"/>
            <w:tcBorders>
              <w:top w:val="nil"/>
              <w:left w:val="nil"/>
              <w:bottom w:val="single" w:sz="4" w:space="0" w:color="auto"/>
              <w:right w:val="single" w:sz="4" w:space="0" w:color="auto"/>
            </w:tcBorders>
            <w:shd w:val="clear" w:color="000000" w:fill="C6EFCE"/>
            <w:noWrap/>
            <w:vAlign w:val="center"/>
          </w:tcPr>
          <w:p w14:paraId="5C382709" w14:textId="6A570F69"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17 – 4.6. Modernizácia</w:t>
            </w:r>
            <w:r w:rsidR="00083739" w:rsidRPr="00083739">
              <w:rPr>
                <w:rFonts w:cs="Times New Roman"/>
                <w:noProof/>
                <w:lang w:val="sk-SK"/>
              </w:rPr>
              <w:t xml:space="preserve"> a </w:t>
            </w:r>
            <w:r w:rsidRPr="00083739">
              <w:rPr>
                <w:rFonts w:cs="Times New Roman"/>
                <w:noProof/>
                <w:lang w:val="sk-SK"/>
              </w:rPr>
              <w:t>zlepšenie odolnosti kľúčových hospodárskych odvetví – 16715_Reforma laboratória</w:t>
            </w:r>
            <w:r w:rsidR="00083739" w:rsidRPr="00083739">
              <w:rPr>
                <w:rFonts w:cs="Times New Roman"/>
                <w:noProof/>
                <w:lang w:val="sk-SK"/>
              </w:rPr>
              <w:t xml:space="preserve"> v </w:t>
            </w:r>
            <w:r w:rsidRPr="00083739">
              <w:rPr>
                <w:rFonts w:cs="Times New Roman"/>
                <w:noProof/>
                <w:lang w:val="sk-SK"/>
              </w:rPr>
              <w:t>kultúrnom sektore</w:t>
            </w:r>
          </w:p>
        </w:tc>
        <w:tc>
          <w:tcPr>
            <w:tcW w:w="1680" w:type="dxa"/>
            <w:tcBorders>
              <w:top w:val="nil"/>
              <w:left w:val="nil"/>
              <w:bottom w:val="single" w:sz="4" w:space="0" w:color="auto"/>
              <w:right w:val="single" w:sz="4" w:space="0" w:color="auto"/>
            </w:tcBorders>
            <w:shd w:val="clear" w:color="000000" w:fill="C6EFCE"/>
            <w:noWrap/>
            <w:vAlign w:val="center"/>
          </w:tcPr>
          <w:p w14:paraId="713E71BD"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000000" w:fill="C6EFCE"/>
            <w:noWrap/>
            <w:vAlign w:val="center"/>
          </w:tcPr>
          <w:p w14:paraId="039E47F7" w14:textId="6899144E"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 xml:space="preserve">Právne predpisy týkajúce sa </w:t>
            </w:r>
            <w:r w:rsidRPr="00083739">
              <w:rPr>
                <w:rFonts w:cs="Times New Roman"/>
                <w:noProof/>
                <w:lang w:val="sk-SK"/>
              </w:rPr>
              <w:t>reformy práce</w:t>
            </w:r>
            <w:r w:rsidR="00083739" w:rsidRPr="00083739">
              <w:rPr>
                <w:rFonts w:cs="Times New Roman"/>
                <w:noProof/>
                <w:lang w:val="sk-SK"/>
              </w:rPr>
              <w:t xml:space="preserve"> v </w:t>
            </w:r>
            <w:r w:rsidRPr="00083739">
              <w:rPr>
                <w:rFonts w:cs="Times New Roman"/>
                <w:noProof/>
                <w:lang w:val="sk-SK"/>
              </w:rPr>
              <w:t>kultúrnom sektore</w:t>
            </w:r>
          </w:p>
        </w:tc>
      </w:tr>
      <w:tr w:rsidR="002D49B0" w:rsidRPr="00083739" w14:paraId="3F23838E" w14:textId="77777777">
        <w:trPr>
          <w:trHeight w:val="302"/>
        </w:trPr>
        <w:tc>
          <w:tcPr>
            <w:tcW w:w="1795" w:type="dxa"/>
            <w:tcBorders>
              <w:top w:val="nil"/>
              <w:left w:val="single" w:sz="4" w:space="0" w:color="auto"/>
              <w:bottom w:val="single" w:sz="4" w:space="0" w:color="auto"/>
              <w:right w:val="single" w:sz="4" w:space="0" w:color="auto"/>
            </w:tcBorders>
            <w:shd w:val="clear" w:color="000000" w:fill="C6EFCE"/>
            <w:noWrap/>
            <w:vAlign w:val="center"/>
          </w:tcPr>
          <w:p w14:paraId="07190747"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302</w:t>
            </w:r>
          </w:p>
        </w:tc>
        <w:tc>
          <w:tcPr>
            <w:tcW w:w="4320" w:type="dxa"/>
            <w:tcBorders>
              <w:top w:val="nil"/>
              <w:left w:val="nil"/>
              <w:bottom w:val="single" w:sz="4" w:space="0" w:color="auto"/>
              <w:right w:val="single" w:sz="4" w:space="0" w:color="auto"/>
            </w:tcBorders>
            <w:shd w:val="clear" w:color="000000" w:fill="C6EFCE"/>
            <w:noWrap/>
            <w:vAlign w:val="center"/>
          </w:tcPr>
          <w:p w14:paraId="6638D23B" w14:textId="29039301"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17 – 4.6. Modernizácia</w:t>
            </w:r>
            <w:r w:rsidR="00083739" w:rsidRPr="00083739">
              <w:rPr>
                <w:rFonts w:cs="Times New Roman"/>
                <w:noProof/>
                <w:lang w:val="sk-SK"/>
              </w:rPr>
              <w:t xml:space="preserve"> a </w:t>
            </w:r>
            <w:r w:rsidRPr="00083739">
              <w:rPr>
                <w:rFonts w:cs="Times New Roman"/>
                <w:noProof/>
                <w:lang w:val="sk-SK"/>
              </w:rPr>
              <w:t>zlepšenie odolnosti kľúčových hospodárskych odvetví – 16634_Nové priemyselné parky</w:t>
            </w:r>
          </w:p>
        </w:tc>
        <w:tc>
          <w:tcPr>
            <w:tcW w:w="1680" w:type="dxa"/>
            <w:tcBorders>
              <w:top w:val="nil"/>
              <w:left w:val="nil"/>
              <w:bottom w:val="single" w:sz="4" w:space="0" w:color="auto"/>
              <w:right w:val="single" w:sz="4" w:space="0" w:color="auto"/>
            </w:tcBorders>
            <w:shd w:val="clear" w:color="000000" w:fill="C6EFCE"/>
            <w:noWrap/>
            <w:vAlign w:val="center"/>
          </w:tcPr>
          <w:p w14:paraId="2CE61E6A"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000000" w:fill="C6EFCE"/>
            <w:noWrap/>
            <w:vAlign w:val="center"/>
          </w:tcPr>
          <w:p w14:paraId="1329A173"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Priemyselné parky – legislatívna reforma (primárne právo)</w:t>
            </w:r>
          </w:p>
        </w:tc>
      </w:tr>
      <w:tr w:rsidR="002D49B0" w:rsidRPr="00083739" w14:paraId="5E103115" w14:textId="77777777">
        <w:trPr>
          <w:trHeight w:val="302"/>
        </w:trPr>
        <w:tc>
          <w:tcPr>
            <w:tcW w:w="1795" w:type="dxa"/>
            <w:tcBorders>
              <w:top w:val="nil"/>
              <w:left w:val="single" w:sz="4" w:space="0" w:color="auto"/>
              <w:bottom w:val="single" w:sz="4" w:space="0" w:color="auto"/>
              <w:right w:val="single" w:sz="4" w:space="0" w:color="auto"/>
            </w:tcBorders>
            <w:shd w:val="clear" w:color="000000" w:fill="C6EFCE"/>
            <w:noWrap/>
            <w:vAlign w:val="center"/>
          </w:tcPr>
          <w:p w14:paraId="507AC310"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311</w:t>
            </w:r>
          </w:p>
        </w:tc>
        <w:tc>
          <w:tcPr>
            <w:tcW w:w="4320" w:type="dxa"/>
            <w:tcBorders>
              <w:top w:val="nil"/>
              <w:left w:val="nil"/>
              <w:bottom w:val="single" w:sz="4" w:space="0" w:color="auto"/>
              <w:right w:val="single" w:sz="4" w:space="0" w:color="auto"/>
            </w:tcBorders>
            <w:shd w:val="clear" w:color="000000" w:fill="C6EFCE"/>
            <w:noWrap/>
            <w:vAlign w:val="center"/>
          </w:tcPr>
          <w:p w14:paraId="109A2CE9" w14:textId="5E46088A"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 17 – 4.6. Modernizácia</w:t>
            </w:r>
            <w:r w:rsidR="00083739" w:rsidRPr="00083739">
              <w:rPr>
                <w:rFonts w:cs="Times New Roman"/>
                <w:noProof/>
                <w:lang w:val="sk-SK"/>
              </w:rPr>
              <w:t xml:space="preserve"> a </w:t>
            </w:r>
            <w:r w:rsidRPr="00083739">
              <w:rPr>
                <w:rFonts w:cs="Times New Roman"/>
                <w:noProof/>
                <w:lang w:val="sk-SK"/>
              </w:rPr>
              <w:t xml:space="preserve">zlepšenie odolnosti kľúčových hospodárskych odvetví – 16653_Digitálna transformácia agropotravinárskeho sektora </w:t>
            </w:r>
          </w:p>
        </w:tc>
        <w:tc>
          <w:tcPr>
            <w:tcW w:w="1680" w:type="dxa"/>
            <w:tcBorders>
              <w:top w:val="nil"/>
              <w:left w:val="nil"/>
              <w:bottom w:val="single" w:sz="4" w:space="0" w:color="auto"/>
              <w:right w:val="single" w:sz="4" w:space="0" w:color="auto"/>
            </w:tcBorders>
            <w:shd w:val="clear" w:color="000000" w:fill="C6EFCE"/>
            <w:noWrap/>
            <w:vAlign w:val="center"/>
          </w:tcPr>
          <w:p w14:paraId="05B98FEF"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 Míľnik</w:t>
            </w:r>
          </w:p>
        </w:tc>
        <w:tc>
          <w:tcPr>
            <w:tcW w:w="1800" w:type="dxa"/>
            <w:tcBorders>
              <w:top w:val="nil"/>
              <w:left w:val="nil"/>
              <w:bottom w:val="single" w:sz="4" w:space="0" w:color="auto"/>
              <w:right w:val="single" w:sz="4" w:space="0" w:color="auto"/>
            </w:tcBorders>
            <w:shd w:val="clear" w:color="000000" w:fill="C6EFCE"/>
            <w:noWrap/>
            <w:vAlign w:val="center"/>
          </w:tcPr>
          <w:p w14:paraId="3AD37A86"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 xml:space="preserve">Vyhlásenie výzvy na digitálnu transformáciu agropotravinárskeho sektora </w:t>
            </w:r>
          </w:p>
        </w:tc>
      </w:tr>
      <w:tr w:rsidR="002D49B0" w:rsidRPr="00083739" w14:paraId="3EE58568" w14:textId="77777777">
        <w:trPr>
          <w:trHeight w:val="302"/>
        </w:trPr>
        <w:tc>
          <w:tcPr>
            <w:tcW w:w="1795" w:type="dxa"/>
            <w:tcBorders>
              <w:top w:val="nil"/>
              <w:left w:val="single" w:sz="4" w:space="0" w:color="auto"/>
              <w:bottom w:val="single" w:sz="4" w:space="0" w:color="auto"/>
              <w:right w:val="single" w:sz="4" w:space="0" w:color="auto"/>
            </w:tcBorders>
            <w:shd w:val="clear" w:color="000000" w:fill="C6EFCE"/>
            <w:noWrap/>
            <w:vAlign w:val="center"/>
          </w:tcPr>
          <w:p w14:paraId="2E37DAA1"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22</w:t>
            </w:r>
          </w:p>
        </w:tc>
        <w:tc>
          <w:tcPr>
            <w:tcW w:w="4320" w:type="dxa"/>
            <w:tcBorders>
              <w:top w:val="nil"/>
              <w:left w:val="nil"/>
              <w:bottom w:val="single" w:sz="4" w:space="0" w:color="auto"/>
              <w:right w:val="single" w:sz="4" w:space="0" w:color="auto"/>
            </w:tcBorders>
            <w:shd w:val="clear" w:color="000000" w:fill="C6EFCE"/>
            <w:noWrap/>
            <w:vAlign w:val="center"/>
          </w:tcPr>
          <w:p w14:paraId="2FCB30D3"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 – 1.2. Renovácia – 16872_Energetická obnova obytných bud</w:t>
            </w:r>
            <w:r w:rsidRPr="00083739">
              <w:rPr>
                <w:rFonts w:cs="Times New Roman"/>
                <w:noProof/>
                <w:lang w:val="sk-SK"/>
              </w:rPr>
              <w:t>ov</w:t>
            </w:r>
          </w:p>
        </w:tc>
        <w:tc>
          <w:tcPr>
            <w:tcW w:w="1680" w:type="dxa"/>
            <w:tcBorders>
              <w:top w:val="nil"/>
              <w:left w:val="nil"/>
              <w:bottom w:val="single" w:sz="4" w:space="0" w:color="auto"/>
              <w:right w:val="single" w:sz="4" w:space="0" w:color="auto"/>
            </w:tcBorders>
            <w:shd w:val="clear" w:color="000000" w:fill="C6EFCE"/>
            <w:noWrap/>
            <w:vAlign w:val="center"/>
          </w:tcPr>
          <w:p w14:paraId="211CDC6E"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000000" w:fill="C6EFCE"/>
            <w:noWrap/>
            <w:vAlign w:val="center"/>
          </w:tcPr>
          <w:p w14:paraId="6B413044"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Obnova obytných budov – spustenie 3. kola vrátane energeticky chudobných domácností</w:t>
            </w:r>
          </w:p>
        </w:tc>
      </w:tr>
      <w:tr w:rsidR="002D49B0" w:rsidRPr="00083739" w14:paraId="35326120" w14:textId="77777777">
        <w:trPr>
          <w:trHeight w:val="302"/>
        </w:trPr>
        <w:tc>
          <w:tcPr>
            <w:tcW w:w="1795" w:type="dxa"/>
            <w:tcBorders>
              <w:top w:val="nil"/>
              <w:left w:val="single" w:sz="4" w:space="0" w:color="auto"/>
              <w:bottom w:val="single" w:sz="4" w:space="0" w:color="auto"/>
              <w:right w:val="single" w:sz="4" w:space="0" w:color="auto"/>
            </w:tcBorders>
            <w:shd w:val="clear" w:color="000000" w:fill="C6EFCE"/>
            <w:noWrap/>
            <w:vAlign w:val="center"/>
          </w:tcPr>
          <w:p w14:paraId="063BC56B"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27</w:t>
            </w:r>
          </w:p>
        </w:tc>
        <w:tc>
          <w:tcPr>
            <w:tcW w:w="4320" w:type="dxa"/>
            <w:tcBorders>
              <w:top w:val="nil"/>
              <w:left w:val="nil"/>
              <w:bottom w:val="single" w:sz="4" w:space="0" w:color="auto"/>
              <w:right w:val="single" w:sz="4" w:space="0" w:color="auto"/>
            </w:tcBorders>
            <w:shd w:val="clear" w:color="000000" w:fill="C6EFCE"/>
            <w:noWrap/>
            <w:vAlign w:val="center"/>
          </w:tcPr>
          <w:p w14:paraId="3E115D28"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 – 1.2. Renovácia – 16879_Príprava mestských plánov pri vykonávaní reformy mestskej politiky</w:t>
            </w:r>
          </w:p>
        </w:tc>
        <w:tc>
          <w:tcPr>
            <w:tcW w:w="1680" w:type="dxa"/>
            <w:tcBorders>
              <w:top w:val="nil"/>
              <w:left w:val="nil"/>
              <w:bottom w:val="single" w:sz="4" w:space="0" w:color="auto"/>
              <w:right w:val="single" w:sz="4" w:space="0" w:color="auto"/>
            </w:tcBorders>
            <w:shd w:val="clear" w:color="000000" w:fill="C6EFCE"/>
            <w:noWrap/>
            <w:vAlign w:val="center"/>
          </w:tcPr>
          <w:p w14:paraId="3B2FA5B7"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000000" w:fill="C6EFCE"/>
            <w:noWrap/>
            <w:vAlign w:val="center"/>
          </w:tcPr>
          <w:p w14:paraId="2DF543AF"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Ocenenie za mestské plány</w:t>
            </w:r>
          </w:p>
        </w:tc>
      </w:tr>
      <w:tr w:rsidR="002D49B0" w:rsidRPr="00083739" w14:paraId="4FB1E8BD" w14:textId="77777777">
        <w:trPr>
          <w:trHeight w:val="302"/>
        </w:trPr>
        <w:tc>
          <w:tcPr>
            <w:tcW w:w="1795" w:type="dxa"/>
            <w:tcBorders>
              <w:top w:val="nil"/>
              <w:left w:val="single" w:sz="4" w:space="0" w:color="auto"/>
              <w:bottom w:val="single" w:sz="4" w:space="0" w:color="auto"/>
              <w:right w:val="single" w:sz="4" w:space="0" w:color="auto"/>
            </w:tcBorders>
            <w:shd w:val="clear" w:color="000000" w:fill="C6EFCE"/>
            <w:noWrap/>
            <w:vAlign w:val="center"/>
          </w:tcPr>
          <w:p w14:paraId="68C4C637"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43</w:t>
            </w:r>
          </w:p>
        </w:tc>
        <w:tc>
          <w:tcPr>
            <w:tcW w:w="4320" w:type="dxa"/>
            <w:tcBorders>
              <w:top w:val="nil"/>
              <w:left w:val="nil"/>
              <w:bottom w:val="single" w:sz="4" w:space="0" w:color="auto"/>
              <w:right w:val="single" w:sz="4" w:space="0" w:color="auto"/>
            </w:tcBorders>
            <w:shd w:val="clear" w:color="000000" w:fill="C6EFCE"/>
            <w:noWrap/>
            <w:vAlign w:val="center"/>
          </w:tcPr>
          <w:p w14:paraId="5FF511A8" w14:textId="75D00B00"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3 – 1.3. Dobíjanie</w:t>
            </w:r>
            <w:r w:rsidR="00083739" w:rsidRPr="00083739">
              <w:rPr>
                <w:rFonts w:cs="Times New Roman"/>
                <w:noProof/>
                <w:lang w:val="sk-SK"/>
              </w:rPr>
              <w:t xml:space="preserve"> a </w:t>
            </w:r>
            <w:r w:rsidRPr="00083739">
              <w:rPr>
                <w:rFonts w:cs="Times New Roman"/>
                <w:noProof/>
                <w:lang w:val="sk-SK"/>
              </w:rPr>
              <w:t>dopĺňanie paliva – 16281_Rámec pre inštaláciu</w:t>
            </w:r>
            <w:r w:rsidR="00083739" w:rsidRPr="00083739">
              <w:rPr>
                <w:rFonts w:cs="Times New Roman"/>
                <w:noProof/>
                <w:lang w:val="sk-SK"/>
              </w:rPr>
              <w:t xml:space="preserve"> a </w:t>
            </w:r>
            <w:r w:rsidRPr="00083739">
              <w:rPr>
                <w:rFonts w:cs="Times New Roman"/>
                <w:noProof/>
                <w:lang w:val="sk-SK"/>
              </w:rPr>
              <w:t>prevádzku nabíjacej infraštruktúry pre elektrické vozidlá</w:t>
            </w:r>
          </w:p>
        </w:tc>
        <w:tc>
          <w:tcPr>
            <w:tcW w:w="1680" w:type="dxa"/>
            <w:tcBorders>
              <w:top w:val="nil"/>
              <w:left w:val="nil"/>
              <w:bottom w:val="single" w:sz="4" w:space="0" w:color="auto"/>
              <w:right w:val="single" w:sz="4" w:space="0" w:color="auto"/>
            </w:tcBorders>
            <w:shd w:val="clear" w:color="000000" w:fill="C6EFCE"/>
            <w:noWrap/>
            <w:vAlign w:val="center"/>
          </w:tcPr>
          <w:p w14:paraId="57B34687"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Cieľ</w:t>
            </w:r>
          </w:p>
        </w:tc>
        <w:tc>
          <w:tcPr>
            <w:tcW w:w="1800" w:type="dxa"/>
            <w:tcBorders>
              <w:top w:val="nil"/>
              <w:left w:val="nil"/>
              <w:bottom w:val="single" w:sz="4" w:space="0" w:color="auto"/>
              <w:right w:val="single" w:sz="4" w:space="0" w:color="auto"/>
            </w:tcBorders>
            <w:shd w:val="clear" w:color="000000" w:fill="C6EFCE"/>
            <w:noWrap/>
            <w:vAlign w:val="center"/>
          </w:tcPr>
          <w:p w14:paraId="13A5837C"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Nabíjacie stanice pre elektrické vozidlá – miestne plány schválené</w:t>
            </w:r>
          </w:p>
        </w:tc>
      </w:tr>
      <w:tr w:rsidR="002D49B0" w:rsidRPr="00083739" w14:paraId="016471B5" w14:textId="77777777">
        <w:trPr>
          <w:trHeight w:val="302"/>
        </w:trPr>
        <w:tc>
          <w:tcPr>
            <w:tcW w:w="1795" w:type="dxa"/>
            <w:tcBorders>
              <w:top w:val="nil"/>
              <w:left w:val="single" w:sz="4" w:space="0" w:color="auto"/>
              <w:bottom w:val="single" w:sz="4" w:space="0" w:color="auto"/>
              <w:right w:val="single" w:sz="4" w:space="0" w:color="auto"/>
            </w:tcBorders>
            <w:shd w:val="clear" w:color="000000" w:fill="C6EFCE"/>
            <w:noWrap/>
            <w:vAlign w:val="center"/>
          </w:tcPr>
          <w:p w14:paraId="773A7971"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46</w:t>
            </w:r>
          </w:p>
        </w:tc>
        <w:tc>
          <w:tcPr>
            <w:tcW w:w="4320" w:type="dxa"/>
            <w:tcBorders>
              <w:top w:val="nil"/>
              <w:left w:val="nil"/>
              <w:bottom w:val="single" w:sz="4" w:space="0" w:color="auto"/>
              <w:right w:val="single" w:sz="4" w:space="0" w:color="auto"/>
            </w:tcBorders>
            <w:shd w:val="clear" w:color="000000" w:fill="C6EFCE"/>
            <w:noWrap/>
            <w:vAlign w:val="center"/>
          </w:tcPr>
          <w:p w14:paraId="1951DBA4" w14:textId="28BB716F"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3 – 1.3. Dobíjanie</w:t>
            </w:r>
            <w:r w:rsidR="00083739" w:rsidRPr="00083739">
              <w:rPr>
                <w:rFonts w:cs="Times New Roman"/>
                <w:noProof/>
                <w:lang w:val="sk-SK"/>
              </w:rPr>
              <w:t xml:space="preserve"> a </w:t>
            </w:r>
            <w:r w:rsidRPr="00083739">
              <w:rPr>
                <w:rFonts w:cs="Times New Roman"/>
                <w:noProof/>
                <w:lang w:val="sk-SK"/>
              </w:rPr>
              <w:t xml:space="preserve">dopĺňanie paliva – 16831_výrobok – E zelená </w:t>
            </w:r>
          </w:p>
        </w:tc>
        <w:tc>
          <w:tcPr>
            <w:tcW w:w="1680" w:type="dxa"/>
            <w:tcBorders>
              <w:top w:val="nil"/>
              <w:left w:val="nil"/>
              <w:bottom w:val="single" w:sz="4" w:space="0" w:color="auto"/>
              <w:right w:val="single" w:sz="4" w:space="0" w:color="auto"/>
            </w:tcBorders>
            <w:shd w:val="clear" w:color="000000" w:fill="C6EFCE"/>
            <w:noWrap/>
            <w:vAlign w:val="center"/>
          </w:tcPr>
          <w:p w14:paraId="7463D228"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000000" w:fill="C6EFCE"/>
            <w:noWrap/>
            <w:vAlign w:val="center"/>
          </w:tcPr>
          <w:p w14:paraId="34822F7C"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Priemyselné jednotky – spustenie programu</w:t>
            </w:r>
          </w:p>
        </w:tc>
      </w:tr>
      <w:tr w:rsidR="002D49B0" w:rsidRPr="00083739" w14:paraId="642171EC" w14:textId="77777777">
        <w:trPr>
          <w:trHeight w:val="302"/>
        </w:trPr>
        <w:tc>
          <w:tcPr>
            <w:tcW w:w="1795" w:type="dxa"/>
            <w:tcBorders>
              <w:top w:val="nil"/>
              <w:left w:val="single" w:sz="4" w:space="0" w:color="auto"/>
              <w:bottom w:val="single" w:sz="4" w:space="0" w:color="auto"/>
              <w:right w:val="single" w:sz="4" w:space="0" w:color="auto"/>
            </w:tcBorders>
            <w:shd w:val="clear" w:color="000000" w:fill="C6EFCE"/>
            <w:noWrap/>
            <w:vAlign w:val="center"/>
          </w:tcPr>
          <w:p w14:paraId="056ACF13"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47</w:t>
            </w:r>
          </w:p>
        </w:tc>
        <w:tc>
          <w:tcPr>
            <w:tcW w:w="4320" w:type="dxa"/>
            <w:tcBorders>
              <w:top w:val="nil"/>
              <w:left w:val="nil"/>
              <w:bottom w:val="single" w:sz="4" w:space="0" w:color="auto"/>
              <w:right w:val="single" w:sz="4" w:space="0" w:color="auto"/>
            </w:tcBorders>
            <w:shd w:val="clear" w:color="000000" w:fill="C6EFCE"/>
            <w:noWrap/>
            <w:vAlign w:val="center"/>
          </w:tcPr>
          <w:p w14:paraId="6D96C6B8" w14:textId="7C6EBF9D"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3 – 1.3. Nabíjanie</w:t>
            </w:r>
            <w:r w:rsidR="00083739" w:rsidRPr="00083739">
              <w:rPr>
                <w:rFonts w:cs="Times New Roman"/>
                <w:noProof/>
                <w:lang w:val="sk-SK"/>
              </w:rPr>
              <w:t xml:space="preserve"> a </w:t>
            </w:r>
            <w:r w:rsidRPr="00083739">
              <w:rPr>
                <w:rFonts w:cs="Times New Roman"/>
                <w:noProof/>
                <w:lang w:val="sk-SK"/>
              </w:rPr>
              <w:t>dopĺňanie paliva – 16924_ elektromobilita</w:t>
            </w:r>
          </w:p>
        </w:tc>
        <w:tc>
          <w:tcPr>
            <w:tcW w:w="1680" w:type="dxa"/>
            <w:tcBorders>
              <w:top w:val="nil"/>
              <w:left w:val="nil"/>
              <w:bottom w:val="single" w:sz="4" w:space="0" w:color="auto"/>
              <w:right w:val="single" w:sz="4" w:space="0" w:color="auto"/>
            </w:tcBorders>
            <w:shd w:val="clear" w:color="000000" w:fill="C6EFCE"/>
            <w:noWrap/>
            <w:vAlign w:val="center"/>
          </w:tcPr>
          <w:p w14:paraId="4C527CBC"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000000" w:fill="C6EFCE"/>
            <w:noWrap/>
            <w:vAlign w:val="center"/>
          </w:tcPr>
          <w:p w14:paraId="13880481"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 xml:space="preserve"> Nabíjacie stanice pre elektrické vozidlá – spustenie programov</w:t>
            </w:r>
          </w:p>
        </w:tc>
      </w:tr>
      <w:tr w:rsidR="002D49B0" w:rsidRPr="00083739" w14:paraId="4ED47555" w14:textId="77777777">
        <w:trPr>
          <w:trHeight w:val="302"/>
        </w:trPr>
        <w:tc>
          <w:tcPr>
            <w:tcW w:w="1795" w:type="dxa"/>
            <w:tcBorders>
              <w:top w:val="nil"/>
              <w:left w:val="single" w:sz="4" w:space="0" w:color="auto"/>
              <w:bottom w:val="single" w:sz="4" w:space="0" w:color="auto"/>
              <w:right w:val="single" w:sz="4" w:space="0" w:color="auto"/>
            </w:tcBorders>
            <w:shd w:val="clear" w:color="000000" w:fill="C6EFCE"/>
            <w:noWrap/>
            <w:vAlign w:val="center"/>
          </w:tcPr>
          <w:p w14:paraId="721C5940"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48</w:t>
            </w:r>
          </w:p>
        </w:tc>
        <w:tc>
          <w:tcPr>
            <w:tcW w:w="4320" w:type="dxa"/>
            <w:tcBorders>
              <w:top w:val="nil"/>
              <w:left w:val="nil"/>
              <w:bottom w:val="single" w:sz="4" w:space="0" w:color="auto"/>
              <w:right w:val="single" w:sz="4" w:space="0" w:color="auto"/>
            </w:tcBorders>
            <w:shd w:val="clear" w:color="000000" w:fill="C6EFCE"/>
            <w:noWrap/>
            <w:vAlign w:val="center"/>
          </w:tcPr>
          <w:p w14:paraId="4498E961" w14:textId="5BAC48B3"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3 – 1.3. Nabíjanie</w:t>
            </w:r>
            <w:r w:rsidR="00083739" w:rsidRPr="00083739">
              <w:rPr>
                <w:rFonts w:cs="Times New Roman"/>
                <w:noProof/>
                <w:lang w:val="sk-SK"/>
              </w:rPr>
              <w:t xml:space="preserve"> a </w:t>
            </w:r>
            <w:r w:rsidRPr="00083739">
              <w:rPr>
                <w:rFonts w:cs="Times New Roman"/>
                <w:noProof/>
                <w:lang w:val="sk-SK"/>
              </w:rPr>
              <w:t>dopĺňanie paliva – 16924_ elektromobilita</w:t>
            </w:r>
          </w:p>
        </w:tc>
        <w:tc>
          <w:tcPr>
            <w:tcW w:w="1680" w:type="dxa"/>
            <w:tcBorders>
              <w:top w:val="nil"/>
              <w:left w:val="nil"/>
              <w:bottom w:val="single" w:sz="4" w:space="0" w:color="auto"/>
              <w:right w:val="single" w:sz="4" w:space="0" w:color="auto"/>
            </w:tcBorders>
            <w:shd w:val="clear" w:color="000000" w:fill="C6EFCE"/>
            <w:noWrap/>
            <w:vAlign w:val="center"/>
          </w:tcPr>
          <w:p w14:paraId="393E1544"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000000" w:fill="C6EFCE"/>
            <w:noWrap/>
            <w:vAlign w:val="center"/>
          </w:tcPr>
          <w:p w14:paraId="1DC2A22E"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Ud</w:t>
            </w:r>
            <w:r w:rsidRPr="00083739">
              <w:rPr>
                <w:rFonts w:cs="Times New Roman"/>
                <w:noProof/>
                <w:lang w:val="sk-SK"/>
              </w:rPr>
              <w:t>ržateľná doprava – štúdia uskutočniteľnosti</w:t>
            </w:r>
          </w:p>
        </w:tc>
      </w:tr>
      <w:tr w:rsidR="002D49B0" w:rsidRPr="00083739" w14:paraId="094BE584" w14:textId="77777777">
        <w:trPr>
          <w:trHeight w:val="302"/>
        </w:trPr>
        <w:tc>
          <w:tcPr>
            <w:tcW w:w="1795" w:type="dxa"/>
            <w:tcBorders>
              <w:top w:val="nil"/>
              <w:left w:val="single" w:sz="4" w:space="0" w:color="auto"/>
              <w:bottom w:val="single" w:sz="4" w:space="0" w:color="auto"/>
              <w:right w:val="single" w:sz="4" w:space="0" w:color="auto"/>
            </w:tcBorders>
            <w:shd w:val="clear" w:color="000000" w:fill="C6EFCE"/>
            <w:noWrap/>
            <w:vAlign w:val="center"/>
          </w:tcPr>
          <w:p w14:paraId="47A627AD"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58</w:t>
            </w:r>
          </w:p>
        </w:tc>
        <w:tc>
          <w:tcPr>
            <w:tcW w:w="4320" w:type="dxa"/>
            <w:tcBorders>
              <w:top w:val="nil"/>
              <w:left w:val="nil"/>
              <w:bottom w:val="single" w:sz="4" w:space="0" w:color="auto"/>
              <w:right w:val="single" w:sz="4" w:space="0" w:color="auto"/>
            </w:tcBorders>
            <w:shd w:val="clear" w:color="000000" w:fill="C6EFCE"/>
            <w:noWrap/>
            <w:vAlign w:val="center"/>
          </w:tcPr>
          <w:p w14:paraId="4C4D03F8" w14:textId="2DB40F6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4 – 1.4. Udržateľné využívanie zdrojov, odolnosť proti zmene klímy</w:t>
            </w:r>
            <w:r w:rsidR="00083739" w:rsidRPr="00083739">
              <w:rPr>
                <w:rFonts w:cs="Times New Roman"/>
                <w:noProof/>
                <w:lang w:val="sk-SK"/>
              </w:rPr>
              <w:t xml:space="preserve"> a </w:t>
            </w:r>
            <w:r w:rsidRPr="00083739">
              <w:rPr>
                <w:rFonts w:cs="Times New Roman"/>
                <w:noProof/>
                <w:lang w:val="sk-SK"/>
              </w:rPr>
              <w:t>ochrana životného prostredia – 16979_Zriadenie nového regulačného orgánu pre vodu</w:t>
            </w:r>
            <w:r w:rsidR="00083739" w:rsidRPr="00083739">
              <w:rPr>
                <w:rFonts w:cs="Times New Roman"/>
                <w:noProof/>
                <w:lang w:val="sk-SK"/>
              </w:rPr>
              <w:t xml:space="preserve"> a </w:t>
            </w:r>
            <w:r w:rsidRPr="00083739">
              <w:rPr>
                <w:rFonts w:cs="Times New Roman"/>
                <w:noProof/>
                <w:lang w:val="sk-SK"/>
              </w:rPr>
              <w:t>odpadové vody</w:t>
            </w:r>
          </w:p>
        </w:tc>
        <w:tc>
          <w:tcPr>
            <w:tcW w:w="1680" w:type="dxa"/>
            <w:tcBorders>
              <w:top w:val="nil"/>
              <w:left w:val="nil"/>
              <w:bottom w:val="single" w:sz="4" w:space="0" w:color="auto"/>
              <w:right w:val="single" w:sz="4" w:space="0" w:color="auto"/>
            </w:tcBorders>
            <w:shd w:val="clear" w:color="000000" w:fill="C6EFCE"/>
            <w:noWrap/>
            <w:vAlign w:val="center"/>
          </w:tcPr>
          <w:p w14:paraId="419E1F0E"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000000" w:fill="C6EFCE"/>
            <w:noWrap/>
            <w:vAlign w:val="center"/>
          </w:tcPr>
          <w:p w14:paraId="6A1A2D62" w14:textId="2B992CF4"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Nadobudnutie účinnosti zákona</w:t>
            </w:r>
            <w:r w:rsidR="00083739" w:rsidRPr="00083739">
              <w:rPr>
                <w:rFonts w:cs="Times New Roman"/>
                <w:noProof/>
                <w:lang w:val="sk-SK"/>
              </w:rPr>
              <w:t xml:space="preserve"> o </w:t>
            </w:r>
            <w:r w:rsidRPr="00083739">
              <w:rPr>
                <w:rFonts w:cs="Times New Roman"/>
                <w:noProof/>
                <w:lang w:val="sk-SK"/>
              </w:rPr>
              <w:t>regulácii vodného hospodárstva</w:t>
            </w:r>
          </w:p>
        </w:tc>
      </w:tr>
      <w:tr w:rsidR="002D49B0" w:rsidRPr="00083739" w14:paraId="65192AA7" w14:textId="77777777">
        <w:trPr>
          <w:trHeight w:val="302"/>
        </w:trPr>
        <w:tc>
          <w:tcPr>
            <w:tcW w:w="1795" w:type="dxa"/>
            <w:tcBorders>
              <w:top w:val="nil"/>
              <w:left w:val="single" w:sz="4" w:space="0" w:color="auto"/>
              <w:bottom w:val="single" w:sz="4" w:space="0" w:color="auto"/>
              <w:right w:val="single" w:sz="4" w:space="0" w:color="auto"/>
            </w:tcBorders>
            <w:shd w:val="clear" w:color="000000" w:fill="C6EFCE"/>
            <w:noWrap/>
            <w:vAlign w:val="center"/>
          </w:tcPr>
          <w:p w14:paraId="3FB0B56C"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78</w:t>
            </w:r>
          </w:p>
        </w:tc>
        <w:tc>
          <w:tcPr>
            <w:tcW w:w="4320" w:type="dxa"/>
            <w:tcBorders>
              <w:top w:val="nil"/>
              <w:left w:val="nil"/>
              <w:bottom w:val="single" w:sz="4" w:space="0" w:color="auto"/>
              <w:right w:val="single" w:sz="4" w:space="0" w:color="auto"/>
            </w:tcBorders>
            <w:shd w:val="clear" w:color="000000" w:fill="C6EFCE"/>
            <w:noWrap/>
            <w:vAlign w:val="center"/>
          </w:tcPr>
          <w:p w14:paraId="792CBA1C" w14:textId="2E3962BC"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4 – 1.4. Udržateľné využívanie zdrojov, odolnosť proti zmene klímy</w:t>
            </w:r>
            <w:r w:rsidR="00083739" w:rsidRPr="00083739">
              <w:rPr>
                <w:rFonts w:cs="Times New Roman"/>
                <w:noProof/>
                <w:lang w:val="sk-SK"/>
              </w:rPr>
              <w:t xml:space="preserve"> a </w:t>
            </w:r>
            <w:r w:rsidRPr="00083739">
              <w:rPr>
                <w:rFonts w:cs="Times New Roman"/>
                <w:noProof/>
                <w:lang w:val="sk-SK"/>
              </w:rPr>
              <w:t>ochrana životného prostredia – 16910_Systém monitorovania</w:t>
            </w:r>
            <w:r w:rsidR="00083739" w:rsidRPr="00083739">
              <w:rPr>
                <w:rFonts w:cs="Times New Roman"/>
                <w:noProof/>
                <w:lang w:val="sk-SK"/>
              </w:rPr>
              <w:t xml:space="preserve"> a </w:t>
            </w:r>
            <w:r w:rsidRPr="00083739">
              <w:rPr>
                <w:rFonts w:cs="Times New Roman"/>
                <w:noProof/>
                <w:lang w:val="sk-SK"/>
              </w:rPr>
              <w:t>riadenia</w:t>
            </w:r>
          </w:p>
        </w:tc>
        <w:tc>
          <w:tcPr>
            <w:tcW w:w="1680" w:type="dxa"/>
            <w:tcBorders>
              <w:top w:val="nil"/>
              <w:left w:val="nil"/>
              <w:bottom w:val="single" w:sz="4" w:space="0" w:color="auto"/>
              <w:right w:val="single" w:sz="4" w:space="0" w:color="auto"/>
            </w:tcBorders>
            <w:shd w:val="clear" w:color="000000" w:fill="C6EFCE"/>
            <w:noWrap/>
            <w:vAlign w:val="center"/>
          </w:tcPr>
          <w:p w14:paraId="43ECC81F"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000000" w:fill="C6EFCE"/>
            <w:noWrap/>
            <w:vAlign w:val="center"/>
          </w:tcPr>
          <w:p w14:paraId="6DC62227"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Zmluva pre GPS</w:t>
            </w:r>
          </w:p>
        </w:tc>
      </w:tr>
      <w:tr w:rsidR="002D49B0" w:rsidRPr="00083739" w14:paraId="311A6F97" w14:textId="77777777">
        <w:trPr>
          <w:trHeight w:val="302"/>
        </w:trPr>
        <w:tc>
          <w:tcPr>
            <w:tcW w:w="1795" w:type="dxa"/>
            <w:tcBorders>
              <w:top w:val="nil"/>
              <w:left w:val="single" w:sz="4" w:space="0" w:color="auto"/>
              <w:bottom w:val="single" w:sz="4" w:space="0" w:color="auto"/>
              <w:right w:val="single" w:sz="4" w:space="0" w:color="auto"/>
            </w:tcBorders>
            <w:shd w:val="clear" w:color="000000" w:fill="C6EFCE"/>
            <w:noWrap/>
            <w:vAlign w:val="center"/>
          </w:tcPr>
          <w:p w14:paraId="11862582"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93</w:t>
            </w:r>
          </w:p>
        </w:tc>
        <w:tc>
          <w:tcPr>
            <w:tcW w:w="4320" w:type="dxa"/>
            <w:tcBorders>
              <w:top w:val="nil"/>
              <w:left w:val="nil"/>
              <w:bottom w:val="single" w:sz="4" w:space="0" w:color="auto"/>
              <w:right w:val="single" w:sz="4" w:space="0" w:color="auto"/>
            </w:tcBorders>
            <w:shd w:val="clear" w:color="000000" w:fill="C6EFCE"/>
            <w:noWrap/>
            <w:vAlign w:val="center"/>
          </w:tcPr>
          <w:p w14:paraId="6259A1B9" w14:textId="526E1C9E"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6 – 2.2. Modernizácia – 16778_Digitizácia archívov</w:t>
            </w:r>
            <w:r w:rsidR="00083739" w:rsidRPr="00083739">
              <w:rPr>
                <w:rFonts w:cs="Times New Roman"/>
                <w:noProof/>
                <w:lang w:val="sk-SK"/>
              </w:rPr>
              <w:t xml:space="preserve"> a </w:t>
            </w:r>
            <w:r w:rsidRPr="00083739">
              <w:rPr>
                <w:rFonts w:cs="Times New Roman"/>
                <w:noProof/>
                <w:lang w:val="sk-SK"/>
              </w:rPr>
              <w:t>súvi</w:t>
            </w:r>
            <w:r w:rsidRPr="00083739">
              <w:rPr>
                <w:rFonts w:cs="Times New Roman"/>
                <w:noProof/>
                <w:lang w:val="sk-SK"/>
              </w:rPr>
              <w:t>siacich služieb</w:t>
            </w:r>
          </w:p>
        </w:tc>
        <w:tc>
          <w:tcPr>
            <w:tcW w:w="1680" w:type="dxa"/>
            <w:tcBorders>
              <w:top w:val="nil"/>
              <w:left w:val="nil"/>
              <w:bottom w:val="single" w:sz="4" w:space="0" w:color="auto"/>
              <w:right w:val="single" w:sz="4" w:space="0" w:color="auto"/>
            </w:tcBorders>
            <w:shd w:val="clear" w:color="000000" w:fill="C6EFCE"/>
            <w:noWrap/>
            <w:vAlign w:val="center"/>
          </w:tcPr>
          <w:p w14:paraId="239E2A93"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000000" w:fill="C6EFCE"/>
            <w:noWrap/>
            <w:vAlign w:val="center"/>
          </w:tcPr>
          <w:p w14:paraId="05D40041"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Zadanie zákazky na digitalizáciu archívov</w:t>
            </w:r>
          </w:p>
        </w:tc>
      </w:tr>
      <w:tr w:rsidR="002D49B0" w:rsidRPr="00083739" w14:paraId="4A88513E" w14:textId="77777777">
        <w:trPr>
          <w:trHeight w:val="302"/>
        </w:trPr>
        <w:tc>
          <w:tcPr>
            <w:tcW w:w="1795" w:type="dxa"/>
            <w:tcBorders>
              <w:top w:val="nil"/>
              <w:left w:val="single" w:sz="4" w:space="0" w:color="auto"/>
              <w:bottom w:val="single" w:sz="4" w:space="0" w:color="auto"/>
              <w:right w:val="single" w:sz="4" w:space="0" w:color="auto"/>
            </w:tcBorders>
            <w:shd w:val="clear" w:color="000000" w:fill="C6EFCE"/>
            <w:noWrap/>
            <w:vAlign w:val="center"/>
          </w:tcPr>
          <w:p w14:paraId="5E37D39D"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100</w:t>
            </w:r>
          </w:p>
        </w:tc>
        <w:tc>
          <w:tcPr>
            <w:tcW w:w="4320" w:type="dxa"/>
            <w:tcBorders>
              <w:top w:val="nil"/>
              <w:left w:val="nil"/>
              <w:bottom w:val="single" w:sz="4" w:space="0" w:color="auto"/>
              <w:right w:val="single" w:sz="4" w:space="0" w:color="auto"/>
            </w:tcBorders>
            <w:shd w:val="clear" w:color="000000" w:fill="C6EFCE"/>
            <w:noWrap/>
            <w:vAlign w:val="center"/>
          </w:tcPr>
          <w:p w14:paraId="1EBE0D1F" w14:textId="48F28EF0"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6 – 2.2. Modernizácia – 16779_Interoperabilita</w:t>
            </w:r>
            <w:r w:rsidR="00083739" w:rsidRPr="00083739">
              <w:rPr>
                <w:rFonts w:cs="Times New Roman"/>
                <w:noProof/>
                <w:lang w:val="sk-SK"/>
              </w:rPr>
              <w:t xml:space="preserve"> a </w:t>
            </w:r>
            <w:r w:rsidRPr="00083739">
              <w:rPr>
                <w:rFonts w:cs="Times New Roman"/>
                <w:noProof/>
                <w:lang w:val="sk-SK"/>
              </w:rPr>
              <w:t>rozvoj webových služieb</w:t>
            </w:r>
          </w:p>
        </w:tc>
        <w:tc>
          <w:tcPr>
            <w:tcW w:w="1680" w:type="dxa"/>
            <w:tcBorders>
              <w:top w:val="nil"/>
              <w:left w:val="nil"/>
              <w:bottom w:val="single" w:sz="4" w:space="0" w:color="auto"/>
              <w:right w:val="single" w:sz="4" w:space="0" w:color="auto"/>
            </w:tcBorders>
            <w:shd w:val="clear" w:color="000000" w:fill="C6EFCE"/>
            <w:noWrap/>
            <w:vAlign w:val="center"/>
          </w:tcPr>
          <w:p w14:paraId="7C0A24FE"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000000" w:fill="C6EFCE"/>
            <w:noWrap/>
            <w:vAlign w:val="center"/>
          </w:tcPr>
          <w:p w14:paraId="2C3A1019" w14:textId="063F8768"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Zadanie zákazky na projekt rozvoja interoperability</w:t>
            </w:r>
            <w:r w:rsidR="00083739" w:rsidRPr="00083739">
              <w:rPr>
                <w:rFonts w:cs="Times New Roman"/>
                <w:noProof/>
                <w:lang w:val="sk-SK"/>
              </w:rPr>
              <w:t xml:space="preserve"> a </w:t>
            </w:r>
            <w:r w:rsidRPr="00083739">
              <w:rPr>
                <w:rFonts w:cs="Times New Roman"/>
                <w:noProof/>
                <w:lang w:val="sk-SK"/>
              </w:rPr>
              <w:t>webových služieb</w:t>
            </w:r>
          </w:p>
        </w:tc>
      </w:tr>
      <w:tr w:rsidR="002D49B0" w:rsidRPr="00083739" w14:paraId="68DFD10D" w14:textId="77777777">
        <w:trPr>
          <w:trHeight w:val="302"/>
        </w:trPr>
        <w:tc>
          <w:tcPr>
            <w:tcW w:w="1795" w:type="dxa"/>
            <w:tcBorders>
              <w:top w:val="nil"/>
              <w:left w:val="single" w:sz="4" w:space="0" w:color="auto"/>
              <w:bottom w:val="single" w:sz="4" w:space="0" w:color="auto"/>
              <w:right w:val="single" w:sz="4" w:space="0" w:color="auto"/>
            </w:tcBorders>
            <w:shd w:val="clear" w:color="000000" w:fill="C6EFCE"/>
            <w:noWrap/>
            <w:vAlign w:val="center"/>
          </w:tcPr>
          <w:p w14:paraId="6AA1A045"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101</w:t>
            </w:r>
          </w:p>
        </w:tc>
        <w:tc>
          <w:tcPr>
            <w:tcW w:w="4320" w:type="dxa"/>
            <w:tcBorders>
              <w:top w:val="nil"/>
              <w:left w:val="nil"/>
              <w:bottom w:val="single" w:sz="4" w:space="0" w:color="auto"/>
              <w:right w:val="single" w:sz="4" w:space="0" w:color="auto"/>
            </w:tcBorders>
            <w:shd w:val="clear" w:color="000000" w:fill="C6EFCE"/>
            <w:noWrap/>
            <w:vAlign w:val="center"/>
          </w:tcPr>
          <w:p w14:paraId="558E74B8"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 xml:space="preserve">6 – 2.2. Modernizácia – </w:t>
            </w:r>
            <w:r w:rsidRPr="00083739">
              <w:rPr>
                <w:rFonts w:cs="Times New Roman"/>
                <w:noProof/>
                <w:lang w:val="sk-SK"/>
              </w:rPr>
              <w:t>16810_CRM pre verejnú správu</w:t>
            </w:r>
          </w:p>
        </w:tc>
        <w:tc>
          <w:tcPr>
            <w:tcW w:w="1680" w:type="dxa"/>
            <w:tcBorders>
              <w:top w:val="nil"/>
              <w:left w:val="nil"/>
              <w:bottom w:val="single" w:sz="4" w:space="0" w:color="auto"/>
              <w:right w:val="single" w:sz="4" w:space="0" w:color="auto"/>
            </w:tcBorders>
            <w:shd w:val="clear" w:color="000000" w:fill="C6EFCE"/>
            <w:noWrap/>
            <w:vAlign w:val="center"/>
          </w:tcPr>
          <w:p w14:paraId="5520A822"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000000" w:fill="C6EFCE"/>
            <w:noWrap/>
            <w:vAlign w:val="center"/>
          </w:tcPr>
          <w:p w14:paraId="60DF12C4"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 xml:space="preserve">Zadanie zákazky na CRM pre verejnú správu </w:t>
            </w:r>
          </w:p>
        </w:tc>
      </w:tr>
      <w:tr w:rsidR="002D49B0" w:rsidRPr="00083739" w14:paraId="06EC79B2" w14:textId="77777777">
        <w:trPr>
          <w:trHeight w:val="302"/>
        </w:trPr>
        <w:tc>
          <w:tcPr>
            <w:tcW w:w="1795" w:type="dxa"/>
            <w:tcBorders>
              <w:top w:val="nil"/>
              <w:left w:val="single" w:sz="4" w:space="0" w:color="auto"/>
              <w:bottom w:val="single" w:sz="4" w:space="0" w:color="auto"/>
              <w:right w:val="single" w:sz="4" w:space="0" w:color="auto"/>
            </w:tcBorders>
            <w:shd w:val="clear" w:color="000000" w:fill="C6EFCE"/>
            <w:noWrap/>
            <w:vAlign w:val="center"/>
          </w:tcPr>
          <w:p w14:paraId="6D63D67B"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102</w:t>
            </w:r>
          </w:p>
        </w:tc>
        <w:tc>
          <w:tcPr>
            <w:tcW w:w="4320" w:type="dxa"/>
            <w:tcBorders>
              <w:top w:val="nil"/>
              <w:left w:val="nil"/>
              <w:bottom w:val="single" w:sz="4" w:space="0" w:color="auto"/>
              <w:right w:val="single" w:sz="4" w:space="0" w:color="auto"/>
            </w:tcBorders>
            <w:shd w:val="clear" w:color="000000" w:fill="C6EFCE"/>
            <w:noWrap/>
            <w:vAlign w:val="center"/>
          </w:tcPr>
          <w:p w14:paraId="2A282911"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6 – 2.2. Modernizácia – 16780_Ďalšia modernizácia jednotných kontaktných miest verejnej správy</w:t>
            </w:r>
          </w:p>
        </w:tc>
        <w:tc>
          <w:tcPr>
            <w:tcW w:w="1680" w:type="dxa"/>
            <w:tcBorders>
              <w:top w:val="nil"/>
              <w:left w:val="nil"/>
              <w:bottom w:val="single" w:sz="4" w:space="0" w:color="auto"/>
              <w:right w:val="single" w:sz="4" w:space="0" w:color="auto"/>
            </w:tcBorders>
            <w:shd w:val="clear" w:color="000000" w:fill="C6EFCE"/>
            <w:noWrap/>
            <w:vAlign w:val="center"/>
          </w:tcPr>
          <w:p w14:paraId="61BC38BB"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000000" w:fill="C6EFCE"/>
            <w:noWrap/>
            <w:vAlign w:val="center"/>
          </w:tcPr>
          <w:p w14:paraId="0CD949AF"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 xml:space="preserve">Zadanie zákazky na ďalšiu modernizáciu jednotných kontaktných miest </w:t>
            </w:r>
            <w:r w:rsidRPr="00083739">
              <w:rPr>
                <w:rFonts w:cs="Times New Roman"/>
                <w:noProof/>
                <w:lang w:val="sk-SK"/>
              </w:rPr>
              <w:t>verejnej správy</w:t>
            </w:r>
          </w:p>
        </w:tc>
      </w:tr>
      <w:tr w:rsidR="002D49B0" w:rsidRPr="00083739" w14:paraId="1497BF80" w14:textId="77777777">
        <w:trPr>
          <w:trHeight w:val="302"/>
        </w:trPr>
        <w:tc>
          <w:tcPr>
            <w:tcW w:w="1795" w:type="dxa"/>
            <w:tcBorders>
              <w:top w:val="nil"/>
              <w:left w:val="single" w:sz="4" w:space="0" w:color="auto"/>
              <w:bottom w:val="single" w:sz="4" w:space="0" w:color="auto"/>
              <w:right w:val="single" w:sz="4" w:space="0" w:color="auto"/>
            </w:tcBorders>
            <w:shd w:val="clear" w:color="000000" w:fill="C6EFCE"/>
            <w:noWrap/>
            <w:vAlign w:val="center"/>
          </w:tcPr>
          <w:p w14:paraId="39056134"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103</w:t>
            </w:r>
          </w:p>
        </w:tc>
        <w:tc>
          <w:tcPr>
            <w:tcW w:w="4320" w:type="dxa"/>
            <w:tcBorders>
              <w:top w:val="nil"/>
              <w:left w:val="nil"/>
              <w:bottom w:val="single" w:sz="4" w:space="0" w:color="auto"/>
              <w:right w:val="single" w:sz="4" w:space="0" w:color="auto"/>
            </w:tcBorders>
            <w:shd w:val="clear" w:color="000000" w:fill="C6EFCE"/>
            <w:noWrap/>
            <w:vAlign w:val="center"/>
          </w:tcPr>
          <w:p w14:paraId="1E6EE2EE"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6 – 2.2. Modernizácia – 16736_Nový systém verejného obstarávania</w:t>
            </w:r>
          </w:p>
        </w:tc>
        <w:tc>
          <w:tcPr>
            <w:tcW w:w="1680" w:type="dxa"/>
            <w:tcBorders>
              <w:top w:val="nil"/>
              <w:left w:val="nil"/>
              <w:bottom w:val="single" w:sz="4" w:space="0" w:color="auto"/>
              <w:right w:val="single" w:sz="4" w:space="0" w:color="auto"/>
            </w:tcBorders>
            <w:shd w:val="clear" w:color="000000" w:fill="C6EFCE"/>
            <w:noWrap/>
            <w:vAlign w:val="center"/>
          </w:tcPr>
          <w:p w14:paraId="1F04928A"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000000" w:fill="C6EFCE"/>
            <w:noWrap/>
            <w:vAlign w:val="center"/>
          </w:tcPr>
          <w:p w14:paraId="0D7675F4"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Zadávanie zákaziek na nový systém verejného obstarávania</w:t>
            </w:r>
          </w:p>
        </w:tc>
      </w:tr>
      <w:tr w:rsidR="002D49B0" w:rsidRPr="00083739" w14:paraId="450DDFCC" w14:textId="77777777">
        <w:trPr>
          <w:trHeight w:val="302"/>
        </w:trPr>
        <w:tc>
          <w:tcPr>
            <w:tcW w:w="1795" w:type="dxa"/>
            <w:tcBorders>
              <w:top w:val="nil"/>
              <w:left w:val="single" w:sz="4" w:space="0" w:color="auto"/>
              <w:bottom w:val="single" w:sz="4" w:space="0" w:color="auto"/>
              <w:right w:val="single" w:sz="4" w:space="0" w:color="auto"/>
            </w:tcBorders>
            <w:shd w:val="clear" w:color="000000" w:fill="C6EFCE"/>
            <w:noWrap/>
            <w:vAlign w:val="center"/>
          </w:tcPr>
          <w:p w14:paraId="1C9A4B46"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104</w:t>
            </w:r>
          </w:p>
        </w:tc>
        <w:tc>
          <w:tcPr>
            <w:tcW w:w="4320" w:type="dxa"/>
            <w:tcBorders>
              <w:top w:val="nil"/>
              <w:left w:val="nil"/>
              <w:bottom w:val="single" w:sz="4" w:space="0" w:color="auto"/>
              <w:right w:val="single" w:sz="4" w:space="0" w:color="auto"/>
            </w:tcBorders>
            <w:shd w:val="clear" w:color="000000" w:fill="C6EFCE"/>
            <w:noWrap/>
            <w:vAlign w:val="center"/>
          </w:tcPr>
          <w:p w14:paraId="664671A0" w14:textId="2B78232D"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6 – 2.2. Modernizácia – 16823_Stratégia kybernetickej bezpečnosti</w:t>
            </w:r>
            <w:r w:rsidR="00083739" w:rsidRPr="00083739">
              <w:rPr>
                <w:rFonts w:cs="Times New Roman"/>
                <w:noProof/>
                <w:lang w:val="sk-SK"/>
              </w:rPr>
              <w:t xml:space="preserve"> a </w:t>
            </w:r>
            <w:r w:rsidRPr="00083739">
              <w:rPr>
                <w:rFonts w:cs="Times New Roman"/>
                <w:noProof/>
                <w:lang w:val="sk-SK"/>
              </w:rPr>
              <w:t>politiky pre verejný sektor</w:t>
            </w:r>
            <w:r w:rsidR="00083739" w:rsidRPr="00083739">
              <w:rPr>
                <w:rFonts w:cs="Times New Roman"/>
                <w:noProof/>
                <w:lang w:val="sk-SK"/>
              </w:rPr>
              <w:t xml:space="preserve"> a </w:t>
            </w:r>
            <w:r w:rsidRPr="00083739">
              <w:rPr>
                <w:rFonts w:cs="Times New Roman"/>
                <w:noProof/>
                <w:lang w:val="sk-SK"/>
              </w:rPr>
              <w:t>pokročilé bezpečnostné služby pre vnútroštátne kritické infraštruktúry</w:t>
            </w:r>
          </w:p>
        </w:tc>
        <w:tc>
          <w:tcPr>
            <w:tcW w:w="1680" w:type="dxa"/>
            <w:tcBorders>
              <w:top w:val="nil"/>
              <w:left w:val="nil"/>
              <w:bottom w:val="single" w:sz="4" w:space="0" w:color="auto"/>
              <w:right w:val="single" w:sz="4" w:space="0" w:color="auto"/>
            </w:tcBorders>
            <w:shd w:val="clear" w:color="000000" w:fill="C6EFCE"/>
            <w:noWrap/>
            <w:vAlign w:val="center"/>
          </w:tcPr>
          <w:p w14:paraId="378205FB"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000000" w:fill="C6EFCE"/>
            <w:noWrap/>
            <w:vAlign w:val="center"/>
          </w:tcPr>
          <w:p w14:paraId="122C3585"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Zadanie zákazky na stratégiu kybernetickej bezpečnosti</w:t>
            </w:r>
          </w:p>
        </w:tc>
      </w:tr>
      <w:tr w:rsidR="002D49B0" w:rsidRPr="00083739" w14:paraId="5EC38AC1" w14:textId="77777777">
        <w:trPr>
          <w:trHeight w:val="302"/>
        </w:trPr>
        <w:tc>
          <w:tcPr>
            <w:tcW w:w="1795" w:type="dxa"/>
            <w:tcBorders>
              <w:top w:val="nil"/>
              <w:left w:val="single" w:sz="4" w:space="0" w:color="auto"/>
              <w:bottom w:val="single" w:sz="4" w:space="0" w:color="auto"/>
              <w:right w:val="single" w:sz="4" w:space="0" w:color="auto"/>
            </w:tcBorders>
            <w:shd w:val="clear" w:color="000000" w:fill="C6EFCE"/>
            <w:noWrap/>
            <w:vAlign w:val="center"/>
          </w:tcPr>
          <w:p w14:paraId="404F5C97"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105</w:t>
            </w:r>
          </w:p>
        </w:tc>
        <w:tc>
          <w:tcPr>
            <w:tcW w:w="4320" w:type="dxa"/>
            <w:tcBorders>
              <w:top w:val="nil"/>
              <w:left w:val="nil"/>
              <w:bottom w:val="single" w:sz="4" w:space="0" w:color="auto"/>
              <w:right w:val="single" w:sz="4" w:space="0" w:color="auto"/>
            </w:tcBorders>
            <w:shd w:val="clear" w:color="000000" w:fill="C6EFCE"/>
            <w:noWrap/>
            <w:vAlign w:val="center"/>
          </w:tcPr>
          <w:p w14:paraId="3F9FF1A2"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6 – 2.2. Modernizácia – 16826_Programy na zlepšenie digitálnych zručností pre brancov</w:t>
            </w:r>
          </w:p>
        </w:tc>
        <w:tc>
          <w:tcPr>
            <w:tcW w:w="1680" w:type="dxa"/>
            <w:tcBorders>
              <w:top w:val="nil"/>
              <w:left w:val="nil"/>
              <w:bottom w:val="single" w:sz="4" w:space="0" w:color="auto"/>
              <w:right w:val="single" w:sz="4" w:space="0" w:color="auto"/>
            </w:tcBorders>
            <w:shd w:val="clear" w:color="000000" w:fill="C6EFCE"/>
            <w:noWrap/>
            <w:vAlign w:val="center"/>
          </w:tcPr>
          <w:p w14:paraId="7605B974"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000000" w:fill="C6EFCE"/>
            <w:noWrap/>
            <w:vAlign w:val="center"/>
          </w:tcPr>
          <w:p w14:paraId="54A87CAB"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Zadanie zákazky na progra</w:t>
            </w:r>
            <w:r w:rsidRPr="00083739">
              <w:rPr>
                <w:rFonts w:cs="Times New Roman"/>
                <w:noProof/>
                <w:lang w:val="sk-SK"/>
              </w:rPr>
              <w:t>my modernizácie digitálnych zručností pre brancov</w:t>
            </w:r>
          </w:p>
        </w:tc>
      </w:tr>
      <w:tr w:rsidR="002D49B0" w:rsidRPr="00083739" w14:paraId="4B845BC2" w14:textId="77777777">
        <w:trPr>
          <w:trHeight w:val="302"/>
        </w:trPr>
        <w:tc>
          <w:tcPr>
            <w:tcW w:w="1795" w:type="dxa"/>
            <w:tcBorders>
              <w:top w:val="nil"/>
              <w:left w:val="single" w:sz="4" w:space="0" w:color="auto"/>
              <w:bottom w:val="single" w:sz="4" w:space="0" w:color="auto"/>
              <w:right w:val="single" w:sz="4" w:space="0" w:color="auto"/>
            </w:tcBorders>
            <w:shd w:val="clear" w:color="000000" w:fill="C6EFCE"/>
            <w:noWrap/>
            <w:vAlign w:val="center"/>
          </w:tcPr>
          <w:p w14:paraId="0EAEF7C4"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106</w:t>
            </w:r>
          </w:p>
        </w:tc>
        <w:tc>
          <w:tcPr>
            <w:tcW w:w="4320" w:type="dxa"/>
            <w:tcBorders>
              <w:top w:val="nil"/>
              <w:left w:val="nil"/>
              <w:bottom w:val="single" w:sz="4" w:space="0" w:color="auto"/>
              <w:right w:val="single" w:sz="4" w:space="0" w:color="auto"/>
            </w:tcBorders>
            <w:shd w:val="clear" w:color="000000" w:fill="C6EFCE"/>
            <w:noWrap/>
            <w:vAlign w:val="center"/>
          </w:tcPr>
          <w:p w14:paraId="6963D206"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6 – 2.2. Modernizácia – 16742_Digitálna transformácia ministerstva zahraničných vecí</w:t>
            </w:r>
          </w:p>
        </w:tc>
        <w:tc>
          <w:tcPr>
            <w:tcW w:w="1680" w:type="dxa"/>
            <w:tcBorders>
              <w:top w:val="nil"/>
              <w:left w:val="nil"/>
              <w:bottom w:val="single" w:sz="4" w:space="0" w:color="auto"/>
              <w:right w:val="single" w:sz="4" w:space="0" w:color="auto"/>
            </w:tcBorders>
            <w:shd w:val="clear" w:color="000000" w:fill="C6EFCE"/>
            <w:noWrap/>
            <w:vAlign w:val="center"/>
          </w:tcPr>
          <w:p w14:paraId="357D1662"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000000" w:fill="C6EFCE"/>
            <w:noWrap/>
            <w:vAlign w:val="center"/>
          </w:tcPr>
          <w:p w14:paraId="1AD07E27"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Zadanie zákazky na digitálnu transformáciu ministerstva zahraničných vecí</w:t>
            </w:r>
          </w:p>
        </w:tc>
      </w:tr>
      <w:tr w:rsidR="002D49B0" w:rsidRPr="00083739" w14:paraId="03E3FF48" w14:textId="77777777">
        <w:trPr>
          <w:trHeight w:val="302"/>
        </w:trPr>
        <w:tc>
          <w:tcPr>
            <w:tcW w:w="1795" w:type="dxa"/>
            <w:tcBorders>
              <w:top w:val="nil"/>
              <w:left w:val="single" w:sz="4" w:space="0" w:color="auto"/>
              <w:bottom w:val="single" w:sz="4" w:space="0" w:color="auto"/>
              <w:right w:val="single" w:sz="4" w:space="0" w:color="auto"/>
            </w:tcBorders>
            <w:shd w:val="clear" w:color="000000" w:fill="C6EFCE"/>
            <w:noWrap/>
            <w:vAlign w:val="center"/>
          </w:tcPr>
          <w:p w14:paraId="2FC10728"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107</w:t>
            </w:r>
          </w:p>
        </w:tc>
        <w:tc>
          <w:tcPr>
            <w:tcW w:w="4320" w:type="dxa"/>
            <w:tcBorders>
              <w:top w:val="nil"/>
              <w:left w:val="nil"/>
              <w:bottom w:val="single" w:sz="4" w:space="0" w:color="auto"/>
              <w:right w:val="single" w:sz="4" w:space="0" w:color="auto"/>
            </w:tcBorders>
            <w:shd w:val="clear" w:color="000000" w:fill="C6EFCE"/>
            <w:noWrap/>
            <w:vAlign w:val="center"/>
          </w:tcPr>
          <w:p w14:paraId="1B3C4FAB"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 xml:space="preserve">6 – 2.2. Modernizácia – </w:t>
            </w:r>
            <w:r w:rsidRPr="00083739">
              <w:rPr>
                <w:rFonts w:cs="Times New Roman"/>
                <w:noProof/>
                <w:lang w:val="sk-SK"/>
              </w:rPr>
              <w:t>16824_ERegistre</w:t>
            </w:r>
          </w:p>
        </w:tc>
        <w:tc>
          <w:tcPr>
            <w:tcW w:w="1680" w:type="dxa"/>
            <w:tcBorders>
              <w:top w:val="nil"/>
              <w:left w:val="nil"/>
              <w:bottom w:val="single" w:sz="4" w:space="0" w:color="auto"/>
              <w:right w:val="single" w:sz="4" w:space="0" w:color="auto"/>
            </w:tcBorders>
            <w:shd w:val="clear" w:color="000000" w:fill="C6EFCE"/>
            <w:noWrap/>
            <w:vAlign w:val="center"/>
          </w:tcPr>
          <w:p w14:paraId="73C90732"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000000" w:fill="C6EFCE"/>
            <w:noWrap/>
            <w:vAlign w:val="center"/>
          </w:tcPr>
          <w:p w14:paraId="0225EC39"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Zadávanie zákaziek pre elektronické registre</w:t>
            </w:r>
          </w:p>
        </w:tc>
      </w:tr>
      <w:tr w:rsidR="002D49B0" w:rsidRPr="00083739" w14:paraId="140118AC" w14:textId="77777777">
        <w:trPr>
          <w:trHeight w:val="302"/>
        </w:trPr>
        <w:tc>
          <w:tcPr>
            <w:tcW w:w="1795" w:type="dxa"/>
            <w:tcBorders>
              <w:top w:val="nil"/>
              <w:left w:val="single" w:sz="4" w:space="0" w:color="auto"/>
              <w:bottom w:val="single" w:sz="4" w:space="0" w:color="auto"/>
              <w:right w:val="single" w:sz="4" w:space="0" w:color="auto"/>
            </w:tcBorders>
            <w:shd w:val="clear" w:color="000000" w:fill="C6EFCE"/>
            <w:noWrap/>
            <w:vAlign w:val="center"/>
          </w:tcPr>
          <w:p w14:paraId="5CC525F4"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121</w:t>
            </w:r>
          </w:p>
        </w:tc>
        <w:tc>
          <w:tcPr>
            <w:tcW w:w="4320" w:type="dxa"/>
            <w:tcBorders>
              <w:top w:val="nil"/>
              <w:left w:val="nil"/>
              <w:bottom w:val="single" w:sz="4" w:space="0" w:color="auto"/>
              <w:right w:val="single" w:sz="4" w:space="0" w:color="auto"/>
            </w:tcBorders>
            <w:shd w:val="clear" w:color="000000" w:fill="C6EFCE"/>
            <w:noWrap/>
            <w:vAlign w:val="center"/>
          </w:tcPr>
          <w:p w14:paraId="124DE657"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6 – 2.2. Modernizácia – 16842_centrálna BI – Analýza údajov</w:t>
            </w:r>
          </w:p>
        </w:tc>
        <w:tc>
          <w:tcPr>
            <w:tcW w:w="1680" w:type="dxa"/>
            <w:tcBorders>
              <w:top w:val="nil"/>
              <w:left w:val="nil"/>
              <w:bottom w:val="single" w:sz="4" w:space="0" w:color="auto"/>
              <w:right w:val="single" w:sz="4" w:space="0" w:color="auto"/>
            </w:tcBorders>
            <w:shd w:val="clear" w:color="000000" w:fill="C6EFCE"/>
            <w:noWrap/>
            <w:vAlign w:val="center"/>
          </w:tcPr>
          <w:p w14:paraId="518A4097"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000000" w:fill="C6EFCE"/>
            <w:noWrap/>
            <w:vAlign w:val="center"/>
          </w:tcPr>
          <w:p w14:paraId="3FDCC868"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 xml:space="preserve">Zadávanie zákaziek Ústredná obchodná spravodajská služba (BI) </w:t>
            </w:r>
          </w:p>
        </w:tc>
      </w:tr>
      <w:tr w:rsidR="002D49B0" w:rsidRPr="00083739" w14:paraId="12613FE6" w14:textId="77777777">
        <w:trPr>
          <w:trHeight w:val="302"/>
        </w:trPr>
        <w:tc>
          <w:tcPr>
            <w:tcW w:w="1795" w:type="dxa"/>
            <w:tcBorders>
              <w:top w:val="nil"/>
              <w:left w:val="single" w:sz="4" w:space="0" w:color="auto"/>
              <w:bottom w:val="single" w:sz="4" w:space="0" w:color="auto"/>
              <w:right w:val="single" w:sz="4" w:space="0" w:color="auto"/>
            </w:tcBorders>
            <w:shd w:val="clear" w:color="000000" w:fill="C6EFCE"/>
            <w:noWrap/>
            <w:vAlign w:val="center"/>
          </w:tcPr>
          <w:p w14:paraId="091C3EA0"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134</w:t>
            </w:r>
          </w:p>
        </w:tc>
        <w:tc>
          <w:tcPr>
            <w:tcW w:w="4320" w:type="dxa"/>
            <w:tcBorders>
              <w:top w:val="nil"/>
              <w:left w:val="nil"/>
              <w:bottom w:val="single" w:sz="4" w:space="0" w:color="auto"/>
              <w:right w:val="single" w:sz="4" w:space="0" w:color="auto"/>
            </w:tcBorders>
            <w:shd w:val="clear" w:color="000000" w:fill="C6EFCE"/>
            <w:noWrap/>
            <w:vAlign w:val="center"/>
          </w:tcPr>
          <w:p w14:paraId="1B9B462F" w14:textId="49293EE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8 – 3.1. Podpora vytvárania pracovných miest</w:t>
            </w:r>
            <w:r w:rsidR="00083739" w:rsidRPr="00083739">
              <w:rPr>
                <w:rFonts w:cs="Times New Roman"/>
                <w:noProof/>
                <w:lang w:val="sk-SK"/>
              </w:rPr>
              <w:t xml:space="preserve"> a </w:t>
            </w:r>
            <w:r w:rsidRPr="00083739">
              <w:rPr>
                <w:rFonts w:cs="Times New Roman"/>
                <w:noProof/>
                <w:lang w:val="sk-SK"/>
              </w:rPr>
              <w:t>účasti na trhu práce – 16750_Digitálna transformácia systémov práce</w:t>
            </w:r>
          </w:p>
        </w:tc>
        <w:tc>
          <w:tcPr>
            <w:tcW w:w="1680" w:type="dxa"/>
            <w:tcBorders>
              <w:top w:val="nil"/>
              <w:left w:val="nil"/>
              <w:bottom w:val="single" w:sz="4" w:space="0" w:color="auto"/>
              <w:right w:val="single" w:sz="4" w:space="0" w:color="auto"/>
            </w:tcBorders>
            <w:shd w:val="clear" w:color="000000" w:fill="C6EFCE"/>
            <w:noWrap/>
            <w:vAlign w:val="center"/>
          </w:tcPr>
          <w:p w14:paraId="2EE04C8C"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000000" w:fill="C6EFCE"/>
            <w:noWrap/>
            <w:vAlign w:val="center"/>
          </w:tcPr>
          <w:p w14:paraId="6DE557AB" w14:textId="29D58A58"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Zadávanie zákaziek</w:t>
            </w:r>
            <w:r w:rsidR="00083739" w:rsidRPr="00083739">
              <w:rPr>
                <w:rFonts w:cs="Times New Roman"/>
                <w:noProof/>
                <w:lang w:val="sk-SK"/>
              </w:rPr>
              <w:t xml:space="preserve"> v </w:t>
            </w:r>
            <w:r w:rsidRPr="00083739">
              <w:rPr>
                <w:rFonts w:cs="Times New Roman"/>
                <w:noProof/>
                <w:lang w:val="sk-SK"/>
              </w:rPr>
              <w:t>oblasti IT systémov práce</w:t>
            </w:r>
          </w:p>
        </w:tc>
      </w:tr>
      <w:tr w:rsidR="002D49B0" w:rsidRPr="00083739" w14:paraId="6EB8C623" w14:textId="77777777">
        <w:trPr>
          <w:trHeight w:val="302"/>
        </w:trPr>
        <w:tc>
          <w:tcPr>
            <w:tcW w:w="1795" w:type="dxa"/>
            <w:tcBorders>
              <w:top w:val="nil"/>
              <w:left w:val="single" w:sz="4" w:space="0" w:color="auto"/>
              <w:bottom w:val="single" w:sz="4" w:space="0" w:color="auto"/>
              <w:right w:val="single" w:sz="4" w:space="0" w:color="auto"/>
            </w:tcBorders>
            <w:shd w:val="clear" w:color="000000" w:fill="C6EFCE"/>
            <w:noWrap/>
            <w:vAlign w:val="center"/>
          </w:tcPr>
          <w:p w14:paraId="37DD08F0"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139</w:t>
            </w:r>
          </w:p>
        </w:tc>
        <w:tc>
          <w:tcPr>
            <w:tcW w:w="4320" w:type="dxa"/>
            <w:tcBorders>
              <w:top w:val="nil"/>
              <w:left w:val="nil"/>
              <w:bottom w:val="single" w:sz="4" w:space="0" w:color="auto"/>
              <w:right w:val="single" w:sz="4" w:space="0" w:color="auto"/>
            </w:tcBorders>
            <w:shd w:val="clear" w:color="000000" w:fill="C6EFCE"/>
            <w:noWrap/>
            <w:vAlign w:val="center"/>
          </w:tcPr>
          <w:p w14:paraId="35ACA360" w14:textId="06392ECA"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9 – 3.2. Vzdelávanie, odborné vzdelávanie</w:t>
            </w:r>
            <w:r w:rsidR="00083739" w:rsidRPr="00083739">
              <w:rPr>
                <w:rFonts w:cs="Times New Roman"/>
                <w:noProof/>
                <w:lang w:val="sk-SK"/>
              </w:rPr>
              <w:t xml:space="preserve"> a </w:t>
            </w:r>
            <w:r w:rsidRPr="00083739">
              <w:rPr>
                <w:rFonts w:cs="Times New Roman"/>
                <w:noProof/>
                <w:lang w:val="sk-SK"/>
              </w:rPr>
              <w:t>príprava</w:t>
            </w:r>
            <w:r w:rsidR="00083739" w:rsidRPr="00083739">
              <w:rPr>
                <w:rFonts w:cs="Times New Roman"/>
                <w:noProof/>
                <w:lang w:val="sk-SK"/>
              </w:rPr>
              <w:t xml:space="preserve"> a </w:t>
            </w:r>
            <w:r w:rsidRPr="00083739">
              <w:rPr>
                <w:rFonts w:cs="Times New Roman"/>
                <w:noProof/>
                <w:lang w:val="sk-SK"/>
              </w:rPr>
              <w:t>zručnosti – 16913_A Nová stratégia pre celoživotné zručnosti: Modernizácia</w:t>
            </w:r>
            <w:r w:rsidR="00083739" w:rsidRPr="00083739">
              <w:rPr>
                <w:rFonts w:cs="Times New Roman"/>
                <w:noProof/>
                <w:lang w:val="sk-SK"/>
              </w:rPr>
              <w:t xml:space="preserve"> a </w:t>
            </w:r>
            <w:r w:rsidRPr="00083739">
              <w:rPr>
                <w:rFonts w:cs="Times New Roman"/>
                <w:noProof/>
                <w:lang w:val="sk-SK"/>
              </w:rPr>
              <w:t>aktualizácia gréckeho systému zvyšovania úrovne zručností</w:t>
            </w:r>
            <w:r w:rsidR="00083739" w:rsidRPr="00083739">
              <w:rPr>
                <w:rFonts w:cs="Times New Roman"/>
                <w:noProof/>
                <w:lang w:val="sk-SK"/>
              </w:rPr>
              <w:t xml:space="preserve"> a </w:t>
            </w:r>
            <w:r w:rsidRPr="00083739">
              <w:rPr>
                <w:rFonts w:cs="Times New Roman"/>
                <w:noProof/>
                <w:lang w:val="sk-SK"/>
              </w:rPr>
              <w:t>rekvalifikácie</w:t>
            </w:r>
          </w:p>
        </w:tc>
        <w:tc>
          <w:tcPr>
            <w:tcW w:w="1680" w:type="dxa"/>
            <w:tcBorders>
              <w:top w:val="nil"/>
              <w:left w:val="nil"/>
              <w:bottom w:val="single" w:sz="4" w:space="0" w:color="auto"/>
              <w:right w:val="single" w:sz="4" w:space="0" w:color="auto"/>
            </w:tcBorders>
            <w:shd w:val="clear" w:color="000000" w:fill="C6EFCE"/>
            <w:noWrap/>
            <w:vAlign w:val="center"/>
          </w:tcPr>
          <w:p w14:paraId="3B045897"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Cieľ</w:t>
            </w:r>
          </w:p>
        </w:tc>
        <w:tc>
          <w:tcPr>
            <w:tcW w:w="1800" w:type="dxa"/>
            <w:tcBorders>
              <w:top w:val="nil"/>
              <w:left w:val="nil"/>
              <w:bottom w:val="single" w:sz="4" w:space="0" w:color="auto"/>
              <w:right w:val="single" w:sz="4" w:space="0" w:color="auto"/>
            </w:tcBorders>
            <w:shd w:val="clear" w:color="000000" w:fill="C6EFCE"/>
            <w:noWrap/>
            <w:vAlign w:val="center"/>
          </w:tcPr>
          <w:p w14:paraId="30C773F8" w14:textId="468275DF"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Validácia stratégie dokončenia stratégie celoživotného vzdelávania</w:t>
            </w:r>
            <w:r w:rsidR="00083739" w:rsidRPr="00083739">
              <w:rPr>
                <w:rFonts w:cs="Times New Roman"/>
                <w:noProof/>
                <w:lang w:val="sk-SK"/>
              </w:rPr>
              <w:t xml:space="preserve"> v </w:t>
            </w:r>
            <w:r w:rsidRPr="00083739">
              <w:rPr>
                <w:rFonts w:cs="Times New Roman"/>
                <w:noProof/>
                <w:lang w:val="sk-SK"/>
              </w:rPr>
              <w:t>rámci programov odbornej prípravy</w:t>
            </w:r>
          </w:p>
        </w:tc>
      </w:tr>
      <w:tr w:rsidR="002D49B0" w:rsidRPr="00083739" w14:paraId="1DF13EAA" w14:textId="77777777">
        <w:trPr>
          <w:trHeight w:val="302"/>
        </w:trPr>
        <w:tc>
          <w:tcPr>
            <w:tcW w:w="1795" w:type="dxa"/>
            <w:tcBorders>
              <w:top w:val="nil"/>
              <w:left w:val="single" w:sz="4" w:space="0" w:color="auto"/>
              <w:bottom w:val="single" w:sz="4" w:space="0" w:color="auto"/>
              <w:right w:val="single" w:sz="4" w:space="0" w:color="auto"/>
            </w:tcBorders>
            <w:shd w:val="clear" w:color="000000" w:fill="C6EFCE"/>
            <w:noWrap/>
            <w:vAlign w:val="center"/>
          </w:tcPr>
          <w:p w14:paraId="41960CC6"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159</w:t>
            </w:r>
          </w:p>
        </w:tc>
        <w:tc>
          <w:tcPr>
            <w:tcW w:w="4320" w:type="dxa"/>
            <w:tcBorders>
              <w:top w:val="nil"/>
              <w:left w:val="nil"/>
              <w:bottom w:val="single" w:sz="4" w:space="0" w:color="auto"/>
              <w:right w:val="single" w:sz="4" w:space="0" w:color="auto"/>
            </w:tcBorders>
            <w:shd w:val="clear" w:color="000000" w:fill="C6EFCE"/>
            <w:noWrap/>
            <w:vAlign w:val="center"/>
          </w:tcPr>
          <w:p w14:paraId="3474DCAD" w14:textId="46CB3BB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10 – 3.3. Zlepšenie odolnosti, dostupnosti</w:t>
            </w:r>
            <w:r w:rsidR="00083739" w:rsidRPr="00083739">
              <w:rPr>
                <w:rFonts w:cs="Times New Roman"/>
                <w:noProof/>
                <w:lang w:val="sk-SK"/>
              </w:rPr>
              <w:t xml:space="preserve"> a </w:t>
            </w:r>
            <w:r w:rsidRPr="00083739">
              <w:rPr>
                <w:rFonts w:cs="Times New Roman"/>
                <w:noProof/>
                <w:lang w:val="sk-SK"/>
              </w:rPr>
              <w:t>udržateľnosti zdravo</w:t>
            </w:r>
            <w:r w:rsidRPr="00083739">
              <w:rPr>
                <w:rFonts w:cs="Times New Roman"/>
                <w:noProof/>
                <w:lang w:val="sk-SK"/>
              </w:rPr>
              <w:t>tnej starostlivosti – 16755_Reforma systému primárnej zdravotnej starostlivosti</w:t>
            </w:r>
          </w:p>
        </w:tc>
        <w:tc>
          <w:tcPr>
            <w:tcW w:w="1680" w:type="dxa"/>
            <w:tcBorders>
              <w:top w:val="nil"/>
              <w:left w:val="nil"/>
              <w:bottom w:val="single" w:sz="4" w:space="0" w:color="auto"/>
              <w:right w:val="single" w:sz="4" w:space="0" w:color="auto"/>
            </w:tcBorders>
            <w:shd w:val="clear" w:color="000000" w:fill="C6EFCE"/>
            <w:noWrap/>
            <w:vAlign w:val="center"/>
          </w:tcPr>
          <w:p w14:paraId="02429D09"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000000" w:fill="C6EFCE"/>
            <w:noWrap/>
            <w:vAlign w:val="center"/>
          </w:tcPr>
          <w:p w14:paraId="508F20FC" w14:textId="4A26F2A6"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Aktivácia učebných osnov</w:t>
            </w:r>
            <w:r w:rsidR="00083739" w:rsidRPr="00083739">
              <w:rPr>
                <w:rFonts w:cs="Times New Roman"/>
                <w:noProof/>
                <w:lang w:val="sk-SK"/>
              </w:rPr>
              <w:t xml:space="preserve"> v </w:t>
            </w:r>
            <w:r w:rsidRPr="00083739">
              <w:rPr>
                <w:rFonts w:cs="Times New Roman"/>
                <w:noProof/>
                <w:lang w:val="sk-SK"/>
              </w:rPr>
              <w:t>oblasti starostlivosti</w:t>
            </w:r>
            <w:r w:rsidR="00083739" w:rsidRPr="00083739">
              <w:rPr>
                <w:rFonts w:cs="Times New Roman"/>
                <w:noProof/>
                <w:lang w:val="sk-SK"/>
              </w:rPr>
              <w:t xml:space="preserve"> o </w:t>
            </w:r>
            <w:r w:rsidRPr="00083739">
              <w:rPr>
                <w:rFonts w:cs="Times New Roman"/>
                <w:noProof/>
                <w:lang w:val="sk-SK"/>
              </w:rPr>
              <w:t>rodinu</w:t>
            </w:r>
            <w:r w:rsidR="00083739" w:rsidRPr="00083739">
              <w:rPr>
                <w:rFonts w:cs="Times New Roman"/>
                <w:noProof/>
                <w:lang w:val="sk-SK"/>
              </w:rPr>
              <w:t xml:space="preserve"> v </w:t>
            </w:r>
            <w:r w:rsidRPr="00083739">
              <w:rPr>
                <w:rFonts w:cs="Times New Roman"/>
                <w:noProof/>
                <w:lang w:val="sk-SK"/>
              </w:rPr>
              <w:t xml:space="preserve">oblasti primárnej zdravotnej starostlivosti </w:t>
            </w:r>
          </w:p>
        </w:tc>
      </w:tr>
      <w:tr w:rsidR="002D49B0" w:rsidRPr="00083739" w14:paraId="5CBD3559" w14:textId="77777777">
        <w:trPr>
          <w:trHeight w:val="302"/>
        </w:trPr>
        <w:tc>
          <w:tcPr>
            <w:tcW w:w="1795" w:type="dxa"/>
            <w:tcBorders>
              <w:top w:val="nil"/>
              <w:left w:val="single" w:sz="4" w:space="0" w:color="auto"/>
              <w:bottom w:val="single" w:sz="4" w:space="0" w:color="auto"/>
              <w:right w:val="single" w:sz="4" w:space="0" w:color="auto"/>
            </w:tcBorders>
            <w:shd w:val="clear" w:color="000000" w:fill="C6EFCE"/>
            <w:noWrap/>
            <w:vAlign w:val="center"/>
          </w:tcPr>
          <w:p w14:paraId="4AFDC571"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160</w:t>
            </w:r>
          </w:p>
        </w:tc>
        <w:tc>
          <w:tcPr>
            <w:tcW w:w="4320" w:type="dxa"/>
            <w:tcBorders>
              <w:top w:val="nil"/>
              <w:left w:val="nil"/>
              <w:bottom w:val="single" w:sz="4" w:space="0" w:color="auto"/>
              <w:right w:val="single" w:sz="4" w:space="0" w:color="auto"/>
            </w:tcBorders>
            <w:shd w:val="clear" w:color="000000" w:fill="C6EFCE"/>
            <w:noWrap/>
            <w:vAlign w:val="center"/>
          </w:tcPr>
          <w:p w14:paraId="048C570C" w14:textId="0764FD9D"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10 – 3.3. Zlepšenie odolnosti, dostupnosti</w:t>
            </w:r>
            <w:r w:rsidR="00083739" w:rsidRPr="00083739">
              <w:rPr>
                <w:rFonts w:cs="Times New Roman"/>
                <w:noProof/>
                <w:lang w:val="sk-SK"/>
              </w:rPr>
              <w:t xml:space="preserve"> a </w:t>
            </w:r>
            <w:r w:rsidRPr="00083739">
              <w:rPr>
                <w:rFonts w:cs="Times New Roman"/>
                <w:noProof/>
                <w:lang w:val="sk-SK"/>
              </w:rPr>
              <w:t>udržateľnosti</w:t>
            </w:r>
            <w:r w:rsidRPr="00083739">
              <w:rPr>
                <w:rFonts w:cs="Times New Roman"/>
                <w:noProof/>
                <w:lang w:val="sk-SK"/>
              </w:rPr>
              <w:t xml:space="preserve"> zdravotnej starostlivosti – 16820_Reforma</w:t>
            </w:r>
            <w:r w:rsidR="00083739" w:rsidRPr="00083739">
              <w:rPr>
                <w:rFonts w:cs="Times New Roman"/>
                <w:noProof/>
                <w:lang w:val="sk-SK"/>
              </w:rPr>
              <w:t xml:space="preserve"> v </w:t>
            </w:r>
            <w:r w:rsidRPr="00083739">
              <w:rPr>
                <w:rFonts w:cs="Times New Roman"/>
                <w:noProof/>
                <w:lang w:val="sk-SK"/>
              </w:rPr>
              <w:t>oblasti duševného zdravia</w:t>
            </w:r>
            <w:r w:rsidR="00083739" w:rsidRPr="00083739">
              <w:rPr>
                <w:rFonts w:cs="Times New Roman"/>
                <w:noProof/>
                <w:lang w:val="sk-SK"/>
              </w:rPr>
              <w:t xml:space="preserve"> a </w:t>
            </w:r>
            <w:r w:rsidRPr="00083739">
              <w:rPr>
                <w:rFonts w:cs="Times New Roman"/>
                <w:noProof/>
                <w:lang w:val="sk-SK"/>
              </w:rPr>
              <w:t>závislostí</w:t>
            </w:r>
          </w:p>
        </w:tc>
        <w:tc>
          <w:tcPr>
            <w:tcW w:w="1680" w:type="dxa"/>
            <w:tcBorders>
              <w:top w:val="nil"/>
              <w:left w:val="nil"/>
              <w:bottom w:val="single" w:sz="4" w:space="0" w:color="auto"/>
              <w:right w:val="single" w:sz="4" w:space="0" w:color="auto"/>
            </w:tcBorders>
            <w:shd w:val="clear" w:color="000000" w:fill="C6EFCE"/>
            <w:noWrap/>
            <w:vAlign w:val="center"/>
          </w:tcPr>
          <w:p w14:paraId="16F4166B"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Cieľ</w:t>
            </w:r>
          </w:p>
        </w:tc>
        <w:tc>
          <w:tcPr>
            <w:tcW w:w="1800" w:type="dxa"/>
            <w:tcBorders>
              <w:top w:val="nil"/>
              <w:left w:val="nil"/>
              <w:bottom w:val="single" w:sz="4" w:space="0" w:color="auto"/>
              <w:right w:val="single" w:sz="4" w:space="0" w:color="auto"/>
            </w:tcBorders>
            <w:shd w:val="clear" w:color="000000" w:fill="C6EFCE"/>
            <w:noWrap/>
            <w:vAlign w:val="center"/>
          </w:tcPr>
          <w:p w14:paraId="2D0CBD0C" w14:textId="193D90E4"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Duševné zdravie – 50 jednotiek otvorených – krok 1</w:t>
            </w:r>
            <w:r w:rsidR="00083739" w:rsidRPr="00083739">
              <w:rPr>
                <w:rFonts w:cs="Times New Roman"/>
                <w:noProof/>
                <w:lang w:val="sk-SK"/>
              </w:rPr>
              <w:t xml:space="preserve"> z </w:t>
            </w:r>
            <w:r w:rsidRPr="00083739">
              <w:rPr>
                <w:rFonts w:cs="Times New Roman"/>
                <w:noProof/>
                <w:lang w:val="sk-SK"/>
              </w:rPr>
              <w:t>2</w:t>
            </w:r>
          </w:p>
        </w:tc>
      </w:tr>
      <w:tr w:rsidR="002D49B0" w:rsidRPr="00083739" w14:paraId="74A1907F" w14:textId="77777777">
        <w:trPr>
          <w:trHeight w:val="302"/>
        </w:trPr>
        <w:tc>
          <w:tcPr>
            <w:tcW w:w="1795" w:type="dxa"/>
            <w:tcBorders>
              <w:top w:val="nil"/>
              <w:left w:val="single" w:sz="4" w:space="0" w:color="auto"/>
              <w:bottom w:val="single" w:sz="4" w:space="0" w:color="auto"/>
              <w:right w:val="single" w:sz="4" w:space="0" w:color="auto"/>
            </w:tcBorders>
            <w:shd w:val="clear" w:color="000000" w:fill="C6EFCE"/>
            <w:noWrap/>
            <w:vAlign w:val="center"/>
          </w:tcPr>
          <w:p w14:paraId="61B475D1"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211</w:t>
            </w:r>
          </w:p>
        </w:tc>
        <w:tc>
          <w:tcPr>
            <w:tcW w:w="4320" w:type="dxa"/>
            <w:tcBorders>
              <w:top w:val="nil"/>
              <w:left w:val="nil"/>
              <w:bottom w:val="single" w:sz="4" w:space="0" w:color="auto"/>
              <w:right w:val="single" w:sz="4" w:space="0" w:color="auto"/>
            </w:tcBorders>
            <w:shd w:val="clear" w:color="000000" w:fill="C6EFCE"/>
            <w:noWrap/>
            <w:vAlign w:val="center"/>
          </w:tcPr>
          <w:p w14:paraId="6318AEA3" w14:textId="0F497868"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13 – 4.2. Modernizovať verejnú správu,</w:t>
            </w:r>
            <w:r w:rsidR="00083739" w:rsidRPr="00083739">
              <w:rPr>
                <w:rFonts w:cs="Times New Roman"/>
                <w:noProof/>
                <w:lang w:val="sk-SK"/>
              </w:rPr>
              <w:t xml:space="preserve"> a </w:t>
            </w:r>
            <w:r w:rsidRPr="00083739">
              <w:rPr>
                <w:rFonts w:cs="Times New Roman"/>
                <w:noProof/>
                <w:lang w:val="sk-SK"/>
              </w:rPr>
              <w:t xml:space="preserve">to aj urýchlením realizácie verejných investícií, zlepšením rámca </w:t>
            </w:r>
            <w:r w:rsidRPr="00083739">
              <w:rPr>
                <w:rFonts w:cs="Times New Roman"/>
                <w:noProof/>
                <w:lang w:val="sk-SK"/>
              </w:rPr>
              <w:t>verejného obstarávania, opatreniami na budovanie kapacít</w:t>
            </w:r>
            <w:r w:rsidR="00083739" w:rsidRPr="00083739">
              <w:rPr>
                <w:rFonts w:cs="Times New Roman"/>
                <w:noProof/>
                <w:lang w:val="sk-SK"/>
              </w:rPr>
              <w:t xml:space="preserve"> a </w:t>
            </w:r>
            <w:r w:rsidRPr="00083739">
              <w:rPr>
                <w:rFonts w:cs="Times New Roman"/>
                <w:noProof/>
                <w:lang w:val="sk-SK"/>
              </w:rPr>
              <w:t>bojom proti korupcii – 16952_Posilnenie národného protikorupčného rámca prostredníctvom cielených intervencií</w:t>
            </w:r>
            <w:r w:rsidR="00083739" w:rsidRPr="00083739">
              <w:rPr>
                <w:rFonts w:cs="Times New Roman"/>
                <w:noProof/>
                <w:lang w:val="sk-SK"/>
              </w:rPr>
              <w:t xml:space="preserve"> v </w:t>
            </w:r>
            <w:r w:rsidRPr="00083739">
              <w:rPr>
                <w:rFonts w:cs="Times New Roman"/>
                <w:noProof/>
                <w:lang w:val="sk-SK"/>
              </w:rPr>
              <w:t>oblasti odhaľovania, prevencie</w:t>
            </w:r>
            <w:r w:rsidR="00083739" w:rsidRPr="00083739">
              <w:rPr>
                <w:rFonts w:cs="Times New Roman"/>
                <w:noProof/>
                <w:lang w:val="sk-SK"/>
              </w:rPr>
              <w:t xml:space="preserve"> a </w:t>
            </w:r>
            <w:r w:rsidRPr="00083739">
              <w:rPr>
                <w:rFonts w:cs="Times New Roman"/>
                <w:noProof/>
                <w:lang w:val="sk-SK"/>
              </w:rPr>
              <w:t>zvyšovania informovanosti</w:t>
            </w:r>
          </w:p>
        </w:tc>
        <w:tc>
          <w:tcPr>
            <w:tcW w:w="1680" w:type="dxa"/>
            <w:tcBorders>
              <w:top w:val="nil"/>
              <w:left w:val="nil"/>
              <w:bottom w:val="single" w:sz="4" w:space="0" w:color="auto"/>
              <w:right w:val="single" w:sz="4" w:space="0" w:color="auto"/>
            </w:tcBorders>
            <w:shd w:val="clear" w:color="000000" w:fill="C6EFCE"/>
            <w:noWrap/>
            <w:vAlign w:val="center"/>
          </w:tcPr>
          <w:p w14:paraId="44F089A4"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000000" w:fill="C6EFCE"/>
            <w:noWrap/>
            <w:vAlign w:val="center"/>
          </w:tcPr>
          <w:p w14:paraId="5ADD3E08" w14:textId="25AC72DD"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Vykonávanie zákona</w:t>
            </w:r>
            <w:r w:rsidR="00083739" w:rsidRPr="00083739">
              <w:rPr>
                <w:rFonts w:cs="Times New Roman"/>
                <w:noProof/>
                <w:lang w:val="sk-SK"/>
              </w:rPr>
              <w:t xml:space="preserve"> o </w:t>
            </w:r>
            <w:r w:rsidRPr="00083739">
              <w:rPr>
                <w:rFonts w:cs="Times New Roman"/>
                <w:noProof/>
                <w:lang w:val="sk-SK"/>
              </w:rPr>
              <w:t>vnútornej kontrole</w:t>
            </w:r>
          </w:p>
        </w:tc>
      </w:tr>
      <w:tr w:rsidR="002D49B0" w:rsidRPr="00083739" w14:paraId="2DD48666" w14:textId="77777777">
        <w:trPr>
          <w:trHeight w:val="302"/>
        </w:trPr>
        <w:tc>
          <w:tcPr>
            <w:tcW w:w="1795" w:type="dxa"/>
            <w:tcBorders>
              <w:top w:val="nil"/>
              <w:left w:val="single" w:sz="4" w:space="0" w:color="auto"/>
              <w:bottom w:val="single" w:sz="4" w:space="0" w:color="auto"/>
              <w:right w:val="single" w:sz="4" w:space="0" w:color="auto"/>
            </w:tcBorders>
            <w:shd w:val="clear" w:color="000000" w:fill="C6EFCE"/>
            <w:noWrap/>
            <w:vAlign w:val="center"/>
          </w:tcPr>
          <w:p w14:paraId="75313EEF"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214</w:t>
            </w:r>
          </w:p>
        </w:tc>
        <w:tc>
          <w:tcPr>
            <w:tcW w:w="4320" w:type="dxa"/>
            <w:tcBorders>
              <w:top w:val="nil"/>
              <w:left w:val="nil"/>
              <w:bottom w:val="single" w:sz="4" w:space="0" w:color="auto"/>
              <w:right w:val="single" w:sz="4" w:space="0" w:color="auto"/>
            </w:tcBorders>
            <w:shd w:val="clear" w:color="000000" w:fill="C6EFCE"/>
            <w:noWrap/>
            <w:vAlign w:val="center"/>
          </w:tcPr>
          <w:p w14:paraId="7D485F1E" w14:textId="35FCD59D"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13 – 4.2. Modernizácia verejnej správy,</w:t>
            </w:r>
            <w:r w:rsidR="00083739" w:rsidRPr="00083739">
              <w:rPr>
                <w:rFonts w:cs="Times New Roman"/>
                <w:noProof/>
                <w:lang w:val="sk-SK"/>
              </w:rPr>
              <w:t xml:space="preserve"> a </w:t>
            </w:r>
            <w:r w:rsidRPr="00083739">
              <w:rPr>
                <w:rFonts w:cs="Times New Roman"/>
                <w:noProof/>
                <w:lang w:val="sk-SK"/>
              </w:rPr>
              <w:t>to aj urýchlením realizácie verejných investícií, zlepšením rámca verejného obstarávania, opatreniami na budovanie kapacít</w:t>
            </w:r>
            <w:r w:rsidR="00083739" w:rsidRPr="00083739">
              <w:rPr>
                <w:rFonts w:cs="Times New Roman"/>
                <w:noProof/>
                <w:lang w:val="sk-SK"/>
              </w:rPr>
              <w:t xml:space="preserve"> a </w:t>
            </w:r>
            <w:r w:rsidRPr="00083739">
              <w:rPr>
                <w:rFonts w:cs="Times New Roman"/>
                <w:noProof/>
                <w:lang w:val="sk-SK"/>
              </w:rPr>
              <w:t>bojom proti korupcii – 16701_Posilnenie siete štátnej pomoci</w:t>
            </w:r>
          </w:p>
        </w:tc>
        <w:tc>
          <w:tcPr>
            <w:tcW w:w="1680" w:type="dxa"/>
            <w:tcBorders>
              <w:top w:val="nil"/>
              <w:left w:val="nil"/>
              <w:bottom w:val="single" w:sz="4" w:space="0" w:color="auto"/>
              <w:right w:val="single" w:sz="4" w:space="0" w:color="auto"/>
            </w:tcBorders>
            <w:shd w:val="clear" w:color="000000" w:fill="C6EFCE"/>
            <w:noWrap/>
            <w:vAlign w:val="center"/>
          </w:tcPr>
          <w:p w14:paraId="5C75EB52"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000000" w:fill="C6EFCE"/>
            <w:noWrap/>
            <w:vAlign w:val="center"/>
          </w:tcPr>
          <w:p w14:paraId="32D19882"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Posilnená sieť štátnej pomoci</w:t>
            </w:r>
          </w:p>
        </w:tc>
      </w:tr>
      <w:tr w:rsidR="002D49B0" w:rsidRPr="00083739" w14:paraId="69BEA6F0" w14:textId="77777777">
        <w:trPr>
          <w:trHeight w:val="302"/>
        </w:trPr>
        <w:tc>
          <w:tcPr>
            <w:tcW w:w="1795" w:type="dxa"/>
            <w:tcBorders>
              <w:top w:val="nil"/>
              <w:left w:val="single" w:sz="4" w:space="0" w:color="auto"/>
              <w:bottom w:val="single" w:sz="4" w:space="0" w:color="auto"/>
              <w:right w:val="single" w:sz="4" w:space="0" w:color="auto"/>
            </w:tcBorders>
            <w:shd w:val="clear" w:color="000000" w:fill="C6EFCE"/>
            <w:noWrap/>
            <w:vAlign w:val="center"/>
          </w:tcPr>
          <w:p w14:paraId="4D34C25B"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215</w:t>
            </w:r>
          </w:p>
        </w:tc>
        <w:tc>
          <w:tcPr>
            <w:tcW w:w="4320" w:type="dxa"/>
            <w:tcBorders>
              <w:top w:val="nil"/>
              <w:left w:val="nil"/>
              <w:bottom w:val="single" w:sz="4" w:space="0" w:color="auto"/>
              <w:right w:val="single" w:sz="4" w:space="0" w:color="auto"/>
            </w:tcBorders>
            <w:shd w:val="clear" w:color="000000" w:fill="C6EFCE"/>
            <w:noWrap/>
            <w:vAlign w:val="center"/>
          </w:tcPr>
          <w:p w14:paraId="7C110BF3" w14:textId="4256A29D"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13 – 4.2. Modernizácia verejnej správy,</w:t>
            </w:r>
            <w:r w:rsidR="00083739" w:rsidRPr="00083739">
              <w:rPr>
                <w:rFonts w:cs="Times New Roman"/>
                <w:noProof/>
                <w:lang w:val="sk-SK"/>
              </w:rPr>
              <w:t xml:space="preserve"> a </w:t>
            </w:r>
            <w:r w:rsidRPr="00083739">
              <w:rPr>
                <w:rFonts w:cs="Times New Roman"/>
                <w:noProof/>
                <w:lang w:val="sk-SK"/>
              </w:rPr>
              <w:t>to aj urýchlením realizácie verejných investícií, zlepšením rámca verejného obstarávania, opatreniami na budovanie kapacít</w:t>
            </w:r>
            <w:r w:rsidR="00083739" w:rsidRPr="00083739">
              <w:rPr>
                <w:rFonts w:cs="Times New Roman"/>
                <w:noProof/>
                <w:lang w:val="sk-SK"/>
              </w:rPr>
              <w:t xml:space="preserve"> a </w:t>
            </w:r>
            <w:r w:rsidRPr="00083739">
              <w:rPr>
                <w:rFonts w:cs="Times New Roman"/>
                <w:noProof/>
                <w:lang w:val="sk-SK"/>
              </w:rPr>
              <w:t>bojom proti korupcii – 16981_Posilnenie plánova</w:t>
            </w:r>
            <w:r w:rsidRPr="00083739">
              <w:rPr>
                <w:rFonts w:cs="Times New Roman"/>
                <w:noProof/>
                <w:lang w:val="sk-SK"/>
              </w:rPr>
              <w:t>nia</w:t>
            </w:r>
            <w:r w:rsidR="00083739" w:rsidRPr="00083739">
              <w:rPr>
                <w:rFonts w:cs="Times New Roman"/>
                <w:noProof/>
                <w:lang w:val="sk-SK"/>
              </w:rPr>
              <w:t xml:space="preserve"> a </w:t>
            </w:r>
            <w:r w:rsidRPr="00083739">
              <w:rPr>
                <w:rFonts w:cs="Times New Roman"/>
                <w:noProof/>
                <w:lang w:val="sk-SK"/>
              </w:rPr>
              <w:t>koordinácie politík</w:t>
            </w:r>
          </w:p>
        </w:tc>
        <w:tc>
          <w:tcPr>
            <w:tcW w:w="1680" w:type="dxa"/>
            <w:tcBorders>
              <w:top w:val="nil"/>
              <w:left w:val="nil"/>
              <w:bottom w:val="single" w:sz="4" w:space="0" w:color="auto"/>
              <w:right w:val="single" w:sz="4" w:space="0" w:color="auto"/>
            </w:tcBorders>
            <w:shd w:val="clear" w:color="000000" w:fill="C6EFCE"/>
            <w:noWrap/>
            <w:vAlign w:val="center"/>
          </w:tcPr>
          <w:p w14:paraId="350462E3"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000000" w:fill="C6EFCE"/>
            <w:noWrap/>
            <w:vAlign w:val="center"/>
          </w:tcPr>
          <w:p w14:paraId="045270D1" w14:textId="48A04566"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Plánovanie</w:t>
            </w:r>
            <w:r w:rsidR="00083739" w:rsidRPr="00083739">
              <w:rPr>
                <w:rFonts w:cs="Times New Roman"/>
                <w:noProof/>
                <w:lang w:val="sk-SK"/>
              </w:rPr>
              <w:t xml:space="preserve"> a </w:t>
            </w:r>
            <w:r w:rsidRPr="00083739">
              <w:rPr>
                <w:rFonts w:cs="Times New Roman"/>
                <w:noProof/>
                <w:lang w:val="sk-SK"/>
              </w:rPr>
              <w:t>koordinácia politík – posúdenie vplyvu</w:t>
            </w:r>
          </w:p>
        </w:tc>
      </w:tr>
      <w:tr w:rsidR="002D49B0" w:rsidRPr="00083739" w14:paraId="2E0B186B" w14:textId="77777777">
        <w:trPr>
          <w:trHeight w:val="302"/>
        </w:trPr>
        <w:tc>
          <w:tcPr>
            <w:tcW w:w="1795" w:type="dxa"/>
            <w:tcBorders>
              <w:top w:val="nil"/>
              <w:left w:val="single" w:sz="4" w:space="0" w:color="auto"/>
              <w:bottom w:val="single" w:sz="4" w:space="0" w:color="auto"/>
              <w:right w:val="single" w:sz="4" w:space="0" w:color="auto"/>
            </w:tcBorders>
            <w:shd w:val="clear" w:color="000000" w:fill="C6EFCE"/>
            <w:noWrap/>
            <w:vAlign w:val="center"/>
          </w:tcPr>
          <w:p w14:paraId="52173B0D"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226</w:t>
            </w:r>
          </w:p>
        </w:tc>
        <w:tc>
          <w:tcPr>
            <w:tcW w:w="4320" w:type="dxa"/>
            <w:tcBorders>
              <w:top w:val="nil"/>
              <w:left w:val="nil"/>
              <w:bottom w:val="single" w:sz="4" w:space="0" w:color="auto"/>
              <w:right w:val="single" w:sz="4" w:space="0" w:color="auto"/>
            </w:tcBorders>
            <w:shd w:val="clear" w:color="000000" w:fill="C6EFCE"/>
            <w:noWrap/>
            <w:vAlign w:val="center"/>
          </w:tcPr>
          <w:p w14:paraId="604130D8"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14 – 4.3. Zlepšiť efektívnosť justičného systému – 16575 Urýchlenie výkonu spravodlivosti</w:t>
            </w:r>
          </w:p>
        </w:tc>
        <w:tc>
          <w:tcPr>
            <w:tcW w:w="1680" w:type="dxa"/>
            <w:tcBorders>
              <w:top w:val="nil"/>
              <w:left w:val="nil"/>
              <w:bottom w:val="single" w:sz="4" w:space="0" w:color="auto"/>
              <w:right w:val="single" w:sz="4" w:space="0" w:color="auto"/>
            </w:tcBorders>
            <w:shd w:val="clear" w:color="000000" w:fill="C6EFCE"/>
            <w:noWrap/>
            <w:vAlign w:val="center"/>
          </w:tcPr>
          <w:p w14:paraId="3FFBC77A"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000000" w:fill="C6EFCE"/>
            <w:noWrap/>
            <w:vAlign w:val="center"/>
          </w:tcPr>
          <w:p w14:paraId="39207A92"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Súdna mapa – primárne právne predpisy – administratívne</w:t>
            </w:r>
          </w:p>
        </w:tc>
      </w:tr>
      <w:tr w:rsidR="002D49B0" w:rsidRPr="00083739" w14:paraId="78C7A6A8" w14:textId="77777777">
        <w:trPr>
          <w:trHeight w:val="302"/>
        </w:trPr>
        <w:tc>
          <w:tcPr>
            <w:tcW w:w="1795" w:type="dxa"/>
            <w:tcBorders>
              <w:top w:val="nil"/>
              <w:left w:val="single" w:sz="4" w:space="0" w:color="auto"/>
              <w:bottom w:val="single" w:sz="4" w:space="0" w:color="auto"/>
              <w:right w:val="single" w:sz="4" w:space="0" w:color="auto"/>
            </w:tcBorders>
            <w:shd w:val="clear" w:color="000000" w:fill="C6EFCE"/>
            <w:noWrap/>
            <w:vAlign w:val="center"/>
          </w:tcPr>
          <w:p w14:paraId="7AB4917E"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227</w:t>
            </w:r>
          </w:p>
        </w:tc>
        <w:tc>
          <w:tcPr>
            <w:tcW w:w="4320" w:type="dxa"/>
            <w:tcBorders>
              <w:top w:val="nil"/>
              <w:left w:val="nil"/>
              <w:bottom w:val="single" w:sz="4" w:space="0" w:color="auto"/>
              <w:right w:val="single" w:sz="4" w:space="0" w:color="auto"/>
            </w:tcBorders>
            <w:shd w:val="clear" w:color="000000" w:fill="C6EFCE"/>
            <w:noWrap/>
            <w:vAlign w:val="center"/>
          </w:tcPr>
          <w:p w14:paraId="7C3E79B1"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 xml:space="preserve">14 – </w:t>
            </w:r>
            <w:r w:rsidRPr="00083739">
              <w:rPr>
                <w:rFonts w:cs="Times New Roman"/>
                <w:noProof/>
                <w:lang w:val="sk-SK"/>
              </w:rPr>
              <w:t>4.3. Zlepšiť efektívnosť justičného systému – 16292_Nové budovy súdnictva</w:t>
            </w:r>
          </w:p>
        </w:tc>
        <w:tc>
          <w:tcPr>
            <w:tcW w:w="1680" w:type="dxa"/>
            <w:tcBorders>
              <w:top w:val="nil"/>
              <w:left w:val="nil"/>
              <w:bottom w:val="single" w:sz="4" w:space="0" w:color="auto"/>
              <w:right w:val="single" w:sz="4" w:space="0" w:color="auto"/>
            </w:tcBorders>
            <w:shd w:val="clear" w:color="000000" w:fill="C6EFCE"/>
            <w:noWrap/>
            <w:vAlign w:val="center"/>
          </w:tcPr>
          <w:p w14:paraId="03CF834D"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000000" w:fill="C6EFCE"/>
            <w:noWrap/>
            <w:vAlign w:val="center"/>
          </w:tcPr>
          <w:p w14:paraId="4AECC829" w14:textId="752C4A82"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Výstavba</w:t>
            </w:r>
            <w:r w:rsidR="00083739" w:rsidRPr="00083739">
              <w:rPr>
                <w:rFonts w:cs="Times New Roman"/>
                <w:noProof/>
                <w:lang w:val="sk-SK"/>
              </w:rPr>
              <w:t xml:space="preserve"> a </w:t>
            </w:r>
            <w:r w:rsidRPr="00083739">
              <w:rPr>
                <w:rFonts w:cs="Times New Roman"/>
                <w:noProof/>
                <w:lang w:val="sk-SK"/>
              </w:rPr>
              <w:t>obnova súdnych budov – Úprava zoznamu – Začatie ponúk</w:t>
            </w:r>
          </w:p>
        </w:tc>
      </w:tr>
      <w:tr w:rsidR="002D49B0" w:rsidRPr="00083739" w14:paraId="17516E5A" w14:textId="77777777">
        <w:trPr>
          <w:trHeight w:val="302"/>
        </w:trPr>
        <w:tc>
          <w:tcPr>
            <w:tcW w:w="1795"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E516C1A" w14:textId="77777777" w:rsidR="002D49B0" w:rsidRPr="00083739" w:rsidRDefault="002D49B0">
            <w:pPr>
              <w:keepNext/>
              <w:spacing w:before="40" w:after="0" w:line="240" w:lineRule="auto"/>
              <w:jc w:val="both"/>
              <w:rPr>
                <w:rFonts w:ascii="Times New Roman" w:eastAsia="Times New Roman" w:hAnsi="Times New Roman" w:cs="Times New Roman"/>
                <w:bCs/>
                <w:noProof/>
                <w:sz w:val="18"/>
                <w:szCs w:val="18"/>
                <w:lang w:val="sk-SK"/>
              </w:rPr>
            </w:pPr>
          </w:p>
        </w:tc>
        <w:tc>
          <w:tcPr>
            <w:tcW w:w="4320" w:type="dxa"/>
            <w:tcBorders>
              <w:top w:val="single" w:sz="4" w:space="0" w:color="auto"/>
              <w:left w:val="nil"/>
              <w:bottom w:val="single" w:sz="4" w:space="0" w:color="auto"/>
              <w:right w:val="single" w:sz="4" w:space="0" w:color="auto"/>
            </w:tcBorders>
            <w:shd w:val="clear" w:color="auto" w:fill="C6EFCE"/>
            <w:noWrap/>
            <w:vAlign w:val="bottom"/>
          </w:tcPr>
          <w:p w14:paraId="34ACD8AB" w14:textId="77777777" w:rsidR="002D49B0" w:rsidRPr="00083739" w:rsidRDefault="002D49B0">
            <w:pPr>
              <w:keepNext/>
              <w:spacing w:before="40" w:after="0" w:line="240" w:lineRule="auto"/>
              <w:jc w:val="both"/>
              <w:rPr>
                <w:rFonts w:ascii="Times New Roman" w:eastAsia="Times New Roman" w:hAnsi="Times New Roman" w:cs="Times New Roman"/>
                <w:bCs/>
                <w:noProof/>
                <w:sz w:val="18"/>
                <w:szCs w:val="18"/>
                <w:lang w:val="sk-SK"/>
              </w:rPr>
            </w:pPr>
          </w:p>
        </w:tc>
        <w:tc>
          <w:tcPr>
            <w:tcW w:w="1680" w:type="dxa"/>
            <w:tcBorders>
              <w:top w:val="single" w:sz="4" w:space="0" w:color="auto"/>
              <w:left w:val="nil"/>
              <w:bottom w:val="single" w:sz="4" w:space="0" w:color="auto"/>
              <w:right w:val="single" w:sz="4" w:space="0" w:color="auto"/>
            </w:tcBorders>
            <w:shd w:val="clear" w:color="auto" w:fill="C6EFCE"/>
            <w:noWrap/>
            <w:vAlign w:val="bottom"/>
          </w:tcPr>
          <w:p w14:paraId="6600ECF0"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Suma splátky</w:t>
            </w:r>
          </w:p>
        </w:tc>
        <w:tc>
          <w:tcPr>
            <w:tcW w:w="1800" w:type="dxa"/>
            <w:tcBorders>
              <w:top w:val="single" w:sz="4" w:space="0" w:color="auto"/>
              <w:left w:val="nil"/>
              <w:bottom w:val="single" w:sz="4" w:space="0" w:color="auto"/>
              <w:right w:val="single" w:sz="4" w:space="0" w:color="auto"/>
            </w:tcBorders>
            <w:shd w:val="clear" w:color="auto" w:fill="C6EFCE"/>
            <w:noWrap/>
            <w:vAlign w:val="bottom"/>
          </w:tcPr>
          <w:p w14:paraId="4C8EA4B4"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1 974 438 067 EUR</w:t>
            </w:r>
          </w:p>
        </w:tc>
      </w:tr>
    </w:tbl>
    <w:p w14:paraId="59235CDB" w14:textId="77777777" w:rsidR="002D49B0" w:rsidRPr="00083739" w:rsidRDefault="002D49B0">
      <w:pPr>
        <w:keepNext/>
        <w:spacing w:before="40" w:after="0" w:line="259" w:lineRule="auto"/>
        <w:jc w:val="both"/>
        <w:rPr>
          <w:rFonts w:ascii="Times New Roman" w:eastAsia="Times New Roman" w:hAnsi="Times New Roman" w:cs="Times New Roman"/>
          <w:bCs/>
          <w:noProof/>
          <w:sz w:val="24"/>
          <w:szCs w:val="26"/>
          <w:lang w:val="sk-SK"/>
        </w:rPr>
      </w:pPr>
    </w:p>
    <w:p w14:paraId="02CE09FE" w14:textId="3C7E0154" w:rsidR="00083739" w:rsidRPr="00083739" w:rsidRDefault="00BF4125">
      <w:pPr>
        <w:pStyle w:val="P68B1DB1-Normal4"/>
        <w:keepNext/>
        <w:numPr>
          <w:ilvl w:val="1"/>
          <w:numId w:val="22"/>
        </w:numPr>
        <w:spacing w:before="40" w:after="0" w:line="259" w:lineRule="auto"/>
        <w:ind w:left="0"/>
        <w:contextualSpacing/>
        <w:jc w:val="both"/>
        <w:rPr>
          <w:rFonts w:cs="Times New Roman"/>
          <w:noProof/>
          <w:lang w:val="sk-SK"/>
        </w:rPr>
      </w:pPr>
      <w:r w:rsidRPr="00083739">
        <w:rPr>
          <w:rFonts w:cs="Times New Roman"/>
          <w:noProof/>
          <w:lang w:val="sk-SK"/>
        </w:rPr>
        <w:t xml:space="preserve"> Štvrtá žiadosť</w:t>
      </w:r>
      <w:r w:rsidR="00083739" w:rsidRPr="00083739">
        <w:rPr>
          <w:rFonts w:cs="Times New Roman"/>
          <w:noProof/>
          <w:lang w:val="sk-SK"/>
        </w:rPr>
        <w:t xml:space="preserve"> o </w:t>
      </w:r>
      <w:r w:rsidRPr="00083739">
        <w:rPr>
          <w:rFonts w:cs="Times New Roman"/>
          <w:noProof/>
          <w:lang w:val="sk-SK"/>
        </w:rPr>
        <w:t>platbu (nenávratná podpora)</w:t>
      </w:r>
      <w:r w:rsidR="00083739" w:rsidRPr="00083739">
        <w:rPr>
          <w:rFonts w:cs="Times New Roman"/>
          <w:noProof/>
          <w:lang w:val="sk-SK"/>
        </w:rPr>
        <w:t>:</w:t>
      </w:r>
    </w:p>
    <w:p w14:paraId="37CE66CE" w14:textId="35D9E25E" w:rsidR="002D49B0" w:rsidRPr="00083739" w:rsidRDefault="002D49B0">
      <w:pPr>
        <w:keepNext/>
        <w:spacing w:before="40" w:after="0" w:line="259" w:lineRule="auto"/>
        <w:contextualSpacing/>
        <w:jc w:val="both"/>
        <w:rPr>
          <w:rFonts w:ascii="Times New Roman" w:eastAsia="Times New Roman" w:hAnsi="Times New Roman" w:cs="Times New Roman"/>
          <w:i/>
          <w:noProof/>
          <w:color w:val="4F81BD"/>
          <w:sz w:val="24"/>
          <w:lang w:val="sk-SK"/>
        </w:rPr>
      </w:pPr>
    </w:p>
    <w:tbl>
      <w:tblPr>
        <w:tblpPr w:leftFromText="180" w:rightFromText="180" w:vertAnchor="text" w:tblpX="-252" w:tblpY="1"/>
        <w:tblOverlap w:val="never"/>
        <w:tblW w:w="9595" w:type="dxa"/>
        <w:tblLayout w:type="fixed"/>
        <w:tblLook w:val="04A0" w:firstRow="1" w:lastRow="0" w:firstColumn="1" w:lastColumn="0" w:noHBand="0" w:noVBand="1"/>
      </w:tblPr>
      <w:tblGrid>
        <w:gridCol w:w="1795"/>
        <w:gridCol w:w="4320"/>
        <w:gridCol w:w="1680"/>
        <w:gridCol w:w="1800"/>
      </w:tblGrid>
      <w:tr w:rsidR="002D49B0" w:rsidRPr="00083739" w14:paraId="6B21D3DA" w14:textId="77777777">
        <w:trPr>
          <w:trHeight w:val="906"/>
          <w:tblHeader/>
        </w:trPr>
        <w:tc>
          <w:tcPr>
            <w:tcW w:w="179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C1F9CF1" w14:textId="77777777" w:rsidR="002D49B0" w:rsidRPr="00083739" w:rsidRDefault="00BF4125">
            <w:pPr>
              <w:pStyle w:val="P68B1DB1-Normal7"/>
              <w:keepNext/>
              <w:spacing w:before="40" w:after="0" w:line="259" w:lineRule="auto"/>
              <w:jc w:val="both"/>
              <w:rPr>
                <w:rFonts w:eastAsia="Times New Roman" w:cs="Times New Roman"/>
                <w:bCs/>
                <w:noProof/>
                <w:szCs w:val="18"/>
                <w:lang w:val="sk-SK"/>
              </w:rPr>
            </w:pPr>
            <w:r w:rsidRPr="00083739">
              <w:rPr>
                <w:rFonts w:cs="Times New Roman"/>
                <w:noProof/>
                <w:lang w:val="sk-SK"/>
              </w:rPr>
              <w:t>Poradové číslo</w:t>
            </w:r>
          </w:p>
        </w:tc>
        <w:tc>
          <w:tcPr>
            <w:tcW w:w="432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3D4A616" w14:textId="77777777" w:rsidR="002D49B0" w:rsidRPr="00083739" w:rsidRDefault="00BF4125">
            <w:pPr>
              <w:pStyle w:val="P68B1DB1-Normal7"/>
              <w:keepNext/>
              <w:spacing w:before="40" w:after="0" w:line="259" w:lineRule="auto"/>
              <w:jc w:val="both"/>
              <w:rPr>
                <w:rFonts w:eastAsia="Times New Roman" w:cs="Times New Roman"/>
                <w:bCs/>
                <w:noProof/>
                <w:szCs w:val="18"/>
                <w:lang w:val="sk-SK"/>
              </w:rPr>
            </w:pPr>
            <w:r w:rsidRPr="00083739">
              <w:rPr>
                <w:rFonts w:cs="Times New Roman"/>
                <w:noProof/>
                <w:lang w:val="sk-SK"/>
              </w:rPr>
              <w:t xml:space="preserve">Súvisiace </w:t>
            </w:r>
            <w:r w:rsidRPr="00083739">
              <w:rPr>
                <w:rFonts w:cs="Times New Roman"/>
                <w:noProof/>
                <w:lang w:val="sk-SK"/>
              </w:rPr>
              <w:t>opatrenie (reforma alebo investícia)</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FF48059" w14:textId="77777777" w:rsidR="002D49B0" w:rsidRPr="00083739" w:rsidRDefault="00BF4125">
            <w:pPr>
              <w:pStyle w:val="P68B1DB1-Normal7"/>
              <w:keepNext/>
              <w:spacing w:before="40" w:after="0" w:line="259" w:lineRule="auto"/>
              <w:jc w:val="both"/>
              <w:rPr>
                <w:rFonts w:eastAsia="Times New Roman" w:cs="Times New Roman"/>
                <w:bCs/>
                <w:noProof/>
                <w:szCs w:val="18"/>
                <w:lang w:val="sk-SK"/>
              </w:rPr>
            </w:pPr>
            <w:r w:rsidRPr="00083739">
              <w:rPr>
                <w:rFonts w:cs="Times New Roman"/>
                <w:noProof/>
                <w:lang w:val="sk-SK"/>
              </w:rPr>
              <w:t>Míľnik/cieľ</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1EC8E75" w14:textId="77777777" w:rsidR="002D49B0" w:rsidRPr="00083739" w:rsidRDefault="00BF4125">
            <w:pPr>
              <w:pStyle w:val="P68B1DB1-Normal7"/>
              <w:keepNext/>
              <w:spacing w:before="40" w:after="0" w:line="259" w:lineRule="auto"/>
              <w:jc w:val="both"/>
              <w:rPr>
                <w:rFonts w:eastAsia="Times New Roman" w:cs="Times New Roman"/>
                <w:bCs/>
                <w:noProof/>
                <w:szCs w:val="18"/>
                <w:lang w:val="sk-SK"/>
              </w:rPr>
            </w:pPr>
            <w:r w:rsidRPr="00083739">
              <w:rPr>
                <w:rFonts w:cs="Times New Roman"/>
                <w:noProof/>
                <w:lang w:val="sk-SK"/>
              </w:rPr>
              <w:t>Názov</w:t>
            </w:r>
          </w:p>
        </w:tc>
      </w:tr>
      <w:tr w:rsidR="002D49B0" w:rsidRPr="00083739" w14:paraId="5BFA6549" w14:textId="77777777">
        <w:trPr>
          <w:trHeight w:val="509"/>
        </w:trPr>
        <w:tc>
          <w:tcPr>
            <w:tcW w:w="1795" w:type="dxa"/>
            <w:vMerge/>
            <w:tcBorders>
              <w:top w:val="single" w:sz="4" w:space="0" w:color="auto"/>
              <w:left w:val="single" w:sz="4" w:space="0" w:color="auto"/>
              <w:bottom w:val="single" w:sz="4" w:space="0" w:color="auto"/>
              <w:right w:val="single" w:sz="4" w:space="0" w:color="auto"/>
            </w:tcBorders>
            <w:vAlign w:val="center"/>
            <w:hideMark/>
          </w:tcPr>
          <w:p w14:paraId="0BC938A1"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c>
          <w:tcPr>
            <w:tcW w:w="4320" w:type="dxa"/>
            <w:vMerge/>
            <w:tcBorders>
              <w:left w:val="single" w:sz="4" w:space="0" w:color="auto"/>
              <w:right w:val="single" w:sz="4" w:space="0" w:color="auto"/>
            </w:tcBorders>
            <w:vAlign w:val="center"/>
            <w:hideMark/>
          </w:tcPr>
          <w:p w14:paraId="418E2838"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c>
          <w:tcPr>
            <w:tcW w:w="1680" w:type="dxa"/>
            <w:vMerge/>
            <w:tcBorders>
              <w:top w:val="single" w:sz="4" w:space="0" w:color="auto"/>
              <w:left w:val="single" w:sz="4" w:space="0" w:color="auto"/>
              <w:bottom w:val="single" w:sz="4" w:space="0" w:color="auto"/>
              <w:right w:val="single" w:sz="4" w:space="0" w:color="auto"/>
            </w:tcBorders>
            <w:vAlign w:val="center"/>
            <w:hideMark/>
          </w:tcPr>
          <w:p w14:paraId="05A9BADF"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14:paraId="5B72BE46"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r>
      <w:tr w:rsidR="002D49B0" w:rsidRPr="00083739" w14:paraId="0D49D0BF" w14:textId="77777777">
        <w:trPr>
          <w:trHeight w:val="302"/>
        </w:trPr>
        <w:tc>
          <w:tcPr>
            <w:tcW w:w="179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0C83E7" w14:textId="77777777"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7</w:t>
            </w:r>
          </w:p>
        </w:tc>
        <w:tc>
          <w:tcPr>
            <w:tcW w:w="4320" w:type="dxa"/>
            <w:tcBorders>
              <w:top w:val="single" w:sz="4" w:space="0" w:color="auto"/>
              <w:left w:val="nil"/>
              <w:bottom w:val="single" w:sz="4" w:space="0" w:color="auto"/>
              <w:right w:val="single" w:sz="4" w:space="0" w:color="auto"/>
            </w:tcBorders>
            <w:shd w:val="clear" w:color="auto" w:fill="C6EFCE"/>
            <w:noWrap/>
            <w:vAlign w:val="center"/>
          </w:tcPr>
          <w:p w14:paraId="6B2CFB59" w14:textId="2DD9960F"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1 – 1.1. Power up – 16865_Reštrukturalizácia</w:t>
            </w:r>
            <w:r w:rsidR="00083739" w:rsidRPr="00083739">
              <w:rPr>
                <w:rFonts w:cs="Times New Roman"/>
                <w:noProof/>
                <w:lang w:val="sk-SK"/>
              </w:rPr>
              <w:t xml:space="preserve"> a </w:t>
            </w:r>
            <w:r w:rsidRPr="00083739">
              <w:rPr>
                <w:rFonts w:cs="Times New Roman"/>
                <w:noProof/>
                <w:lang w:val="sk-SK"/>
              </w:rPr>
              <w:t>zlepšenie príjmov</w:t>
            </w:r>
            <w:r w:rsidR="00083739" w:rsidRPr="00083739">
              <w:rPr>
                <w:rFonts w:cs="Times New Roman"/>
                <w:noProof/>
                <w:lang w:val="sk-SK"/>
              </w:rPr>
              <w:t xml:space="preserve"> z </w:t>
            </w:r>
            <w:r w:rsidRPr="00083739">
              <w:rPr>
                <w:rFonts w:cs="Times New Roman"/>
                <w:noProof/>
                <w:lang w:val="sk-SK"/>
              </w:rPr>
              <w:t>účtu KVET OZE</w:t>
            </w:r>
          </w:p>
        </w:tc>
        <w:tc>
          <w:tcPr>
            <w:tcW w:w="1680" w:type="dxa"/>
            <w:tcBorders>
              <w:top w:val="single" w:sz="4" w:space="0" w:color="auto"/>
              <w:left w:val="nil"/>
              <w:bottom w:val="single" w:sz="4" w:space="0" w:color="auto"/>
              <w:right w:val="single" w:sz="4" w:space="0" w:color="auto"/>
            </w:tcBorders>
            <w:shd w:val="clear" w:color="auto" w:fill="C6EFCE"/>
            <w:noWrap/>
            <w:vAlign w:val="center"/>
          </w:tcPr>
          <w:p w14:paraId="37B37BA5" w14:textId="77777777"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Cieľ</w:t>
            </w:r>
          </w:p>
        </w:tc>
        <w:tc>
          <w:tcPr>
            <w:tcW w:w="1800" w:type="dxa"/>
            <w:tcBorders>
              <w:top w:val="single" w:sz="4" w:space="0" w:color="auto"/>
              <w:left w:val="nil"/>
              <w:bottom w:val="single" w:sz="4" w:space="0" w:color="auto"/>
              <w:right w:val="single" w:sz="4" w:space="0" w:color="auto"/>
            </w:tcBorders>
            <w:shd w:val="clear" w:color="auto" w:fill="C6EFCE"/>
            <w:noWrap/>
            <w:vAlign w:val="center"/>
          </w:tcPr>
          <w:p w14:paraId="7B9B3B96" w14:textId="77777777"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Účet OZE – cieľ zvýšenia kapacity 2</w:t>
            </w:r>
          </w:p>
        </w:tc>
      </w:tr>
      <w:tr w:rsidR="002D49B0" w:rsidRPr="00083739" w14:paraId="5BA0ADB0" w14:textId="77777777">
        <w:trPr>
          <w:trHeight w:val="302"/>
        </w:trPr>
        <w:tc>
          <w:tcPr>
            <w:tcW w:w="1795"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63D9EE8D"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37</w:t>
            </w:r>
          </w:p>
        </w:tc>
        <w:tc>
          <w:tcPr>
            <w:tcW w:w="4320" w:type="dxa"/>
            <w:tcBorders>
              <w:top w:val="single" w:sz="4" w:space="0" w:color="auto"/>
              <w:left w:val="nil"/>
              <w:bottom w:val="single" w:sz="4" w:space="0" w:color="auto"/>
              <w:right w:val="single" w:sz="4" w:space="0" w:color="auto"/>
            </w:tcBorders>
            <w:shd w:val="clear" w:color="auto" w:fill="C6EFCE"/>
            <w:noWrap/>
            <w:vAlign w:val="center"/>
          </w:tcPr>
          <w:p w14:paraId="3AA175C8" w14:textId="368BEE74"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 – 1.2. Renovácia – 16932_Olympicové atletické centrum</w:t>
            </w:r>
            <w:r w:rsidR="00083739" w:rsidRPr="00083739">
              <w:rPr>
                <w:rFonts w:cs="Times New Roman"/>
                <w:noProof/>
                <w:lang w:val="sk-SK"/>
              </w:rPr>
              <w:t xml:space="preserve"> v </w:t>
            </w:r>
            <w:r w:rsidRPr="00083739">
              <w:rPr>
                <w:rFonts w:cs="Times New Roman"/>
                <w:noProof/>
                <w:lang w:val="sk-SK"/>
              </w:rPr>
              <w:t>Aténach</w:t>
            </w:r>
          </w:p>
        </w:tc>
        <w:tc>
          <w:tcPr>
            <w:tcW w:w="1680" w:type="dxa"/>
            <w:tcBorders>
              <w:top w:val="single" w:sz="4" w:space="0" w:color="auto"/>
              <w:left w:val="nil"/>
              <w:bottom w:val="single" w:sz="4" w:space="0" w:color="auto"/>
              <w:right w:val="single" w:sz="4" w:space="0" w:color="auto"/>
            </w:tcBorders>
            <w:shd w:val="clear" w:color="auto" w:fill="C6EFCE"/>
            <w:noWrap/>
            <w:vAlign w:val="center"/>
          </w:tcPr>
          <w:p w14:paraId="5F305C56"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Míľnik</w:t>
            </w:r>
          </w:p>
        </w:tc>
        <w:tc>
          <w:tcPr>
            <w:tcW w:w="1800" w:type="dxa"/>
            <w:tcBorders>
              <w:top w:val="single" w:sz="4" w:space="0" w:color="auto"/>
              <w:left w:val="nil"/>
              <w:bottom w:val="single" w:sz="4" w:space="0" w:color="auto"/>
              <w:right w:val="single" w:sz="4" w:space="0" w:color="auto"/>
            </w:tcBorders>
            <w:shd w:val="clear" w:color="auto" w:fill="C6EFCE"/>
            <w:noWrap/>
            <w:vAlign w:val="center"/>
          </w:tcPr>
          <w:p w14:paraId="5D53318C"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OAKA – Zadanie zákazky</w:t>
            </w:r>
          </w:p>
        </w:tc>
      </w:tr>
      <w:tr w:rsidR="002D49B0" w:rsidRPr="00083739" w14:paraId="4264ECC0"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3E340D02"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228</w:t>
            </w:r>
          </w:p>
        </w:tc>
        <w:tc>
          <w:tcPr>
            <w:tcW w:w="4320" w:type="dxa"/>
            <w:tcBorders>
              <w:top w:val="nil"/>
              <w:left w:val="nil"/>
              <w:bottom w:val="single" w:sz="4" w:space="0" w:color="auto"/>
              <w:right w:val="single" w:sz="4" w:space="0" w:color="auto"/>
            </w:tcBorders>
            <w:shd w:val="clear" w:color="auto" w:fill="C6EFCE"/>
            <w:noWrap/>
            <w:vAlign w:val="center"/>
          </w:tcPr>
          <w:p w14:paraId="6DE3D7EC" w14:textId="4E38B993"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14 – 4.3. Zlepšiť efektívnosť justičného systému – 16733_Zručnosti</w:t>
            </w:r>
            <w:r w:rsidR="00083739" w:rsidRPr="00083739">
              <w:rPr>
                <w:rFonts w:cs="Times New Roman"/>
                <w:noProof/>
                <w:lang w:val="sk-SK"/>
              </w:rPr>
              <w:t xml:space="preserve"> a </w:t>
            </w:r>
            <w:r w:rsidRPr="00083739">
              <w:rPr>
                <w:rFonts w:cs="Times New Roman"/>
                <w:noProof/>
                <w:lang w:val="sk-SK"/>
              </w:rPr>
              <w:t>digitálne zručnosti sudcov</w:t>
            </w:r>
            <w:r w:rsidR="00083739" w:rsidRPr="00083739">
              <w:rPr>
                <w:rFonts w:cs="Times New Roman"/>
                <w:noProof/>
                <w:lang w:val="sk-SK"/>
              </w:rPr>
              <w:t xml:space="preserve"> a </w:t>
            </w:r>
            <w:r w:rsidRPr="00083739">
              <w:rPr>
                <w:rFonts w:cs="Times New Roman"/>
                <w:noProof/>
                <w:lang w:val="sk-SK"/>
              </w:rPr>
              <w:t>justičných zamestnancov (justičný personál)</w:t>
            </w:r>
          </w:p>
        </w:tc>
        <w:tc>
          <w:tcPr>
            <w:tcW w:w="1680" w:type="dxa"/>
            <w:tcBorders>
              <w:top w:val="nil"/>
              <w:left w:val="nil"/>
              <w:bottom w:val="single" w:sz="4" w:space="0" w:color="auto"/>
              <w:right w:val="single" w:sz="4" w:space="0" w:color="auto"/>
            </w:tcBorders>
            <w:shd w:val="clear" w:color="auto" w:fill="C6EFCE"/>
            <w:noWrap/>
            <w:vAlign w:val="center"/>
          </w:tcPr>
          <w:p w14:paraId="58DF5C8A"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Cieľ</w:t>
            </w:r>
          </w:p>
        </w:tc>
        <w:tc>
          <w:tcPr>
            <w:tcW w:w="1800" w:type="dxa"/>
            <w:tcBorders>
              <w:top w:val="nil"/>
              <w:left w:val="nil"/>
              <w:bottom w:val="single" w:sz="4" w:space="0" w:color="auto"/>
              <w:right w:val="single" w:sz="4" w:space="0" w:color="auto"/>
            </w:tcBorders>
            <w:shd w:val="clear" w:color="auto" w:fill="C6EFCE"/>
            <w:noWrap/>
            <w:vAlign w:val="center"/>
          </w:tcPr>
          <w:p w14:paraId="0BEDF1E1" w14:textId="781AA51D"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Odborná príprava – sudcovia</w:t>
            </w:r>
            <w:r w:rsidR="00083739" w:rsidRPr="00083739">
              <w:rPr>
                <w:rFonts w:cs="Times New Roman"/>
                <w:noProof/>
                <w:lang w:val="sk-SK"/>
              </w:rPr>
              <w:t xml:space="preserve"> a </w:t>
            </w:r>
            <w:r w:rsidRPr="00083739">
              <w:rPr>
                <w:rFonts w:cs="Times New Roman"/>
                <w:noProof/>
                <w:lang w:val="sk-SK"/>
              </w:rPr>
              <w:t>administratívni pracovníci</w:t>
            </w:r>
          </w:p>
        </w:tc>
      </w:tr>
      <w:tr w:rsidR="002D49B0" w:rsidRPr="00083739" w14:paraId="6262273C"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34DB5B71"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w:t>
            </w:r>
          </w:p>
        </w:tc>
        <w:tc>
          <w:tcPr>
            <w:tcW w:w="4320" w:type="dxa"/>
            <w:tcBorders>
              <w:top w:val="nil"/>
              <w:left w:val="nil"/>
              <w:bottom w:val="single" w:sz="4" w:space="0" w:color="auto"/>
              <w:right w:val="single" w:sz="4" w:space="0" w:color="auto"/>
            </w:tcBorders>
            <w:shd w:val="clear" w:color="auto" w:fill="C6EFCE"/>
            <w:noWrap/>
            <w:vAlign w:val="center"/>
          </w:tcPr>
          <w:p w14:paraId="5E4FC1C9" w14:textId="14460BD0"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 – 1.1. Power</w:t>
            </w:r>
            <w:r w:rsidRPr="00083739">
              <w:rPr>
                <w:rFonts w:cs="Times New Roman"/>
                <w:noProof/>
                <w:lang w:val="sk-SK"/>
              </w:rPr>
              <w:t xml:space="preserve"> up – 16870_Intervencie týkajúce sa prepojenia elektrických sietí ostrovov</w:t>
            </w:r>
            <w:r w:rsidR="00083739" w:rsidRPr="00083739">
              <w:rPr>
                <w:rFonts w:cs="Times New Roman"/>
                <w:noProof/>
                <w:lang w:val="sk-SK"/>
              </w:rPr>
              <w:t xml:space="preserve"> a </w:t>
            </w:r>
            <w:r w:rsidRPr="00083739">
              <w:rPr>
                <w:rFonts w:cs="Times New Roman"/>
                <w:noProof/>
                <w:lang w:val="sk-SK"/>
              </w:rPr>
              <w:t>modernizácie elektrizačnej sústavy</w:t>
            </w:r>
          </w:p>
        </w:tc>
        <w:tc>
          <w:tcPr>
            <w:tcW w:w="1680" w:type="dxa"/>
            <w:tcBorders>
              <w:top w:val="nil"/>
              <w:left w:val="nil"/>
              <w:bottom w:val="single" w:sz="4" w:space="0" w:color="auto"/>
              <w:right w:val="single" w:sz="4" w:space="0" w:color="auto"/>
            </w:tcBorders>
            <w:shd w:val="clear" w:color="auto" w:fill="C6EFCE"/>
            <w:noWrap/>
            <w:vAlign w:val="center"/>
          </w:tcPr>
          <w:p w14:paraId="34CA1DA7"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auto" w:fill="C6EFCE"/>
            <w:noWrap/>
            <w:vAlign w:val="center"/>
          </w:tcPr>
          <w:p w14:paraId="48E05D25"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Prepojenie ostrovov – zadávanie zákaziek</w:t>
            </w:r>
          </w:p>
        </w:tc>
      </w:tr>
      <w:tr w:rsidR="002D49B0" w:rsidRPr="00083739" w14:paraId="33A13376"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6A881DFC"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6</w:t>
            </w:r>
          </w:p>
        </w:tc>
        <w:tc>
          <w:tcPr>
            <w:tcW w:w="4320" w:type="dxa"/>
            <w:tcBorders>
              <w:top w:val="nil"/>
              <w:left w:val="nil"/>
              <w:bottom w:val="single" w:sz="4" w:space="0" w:color="auto"/>
              <w:right w:val="single" w:sz="4" w:space="0" w:color="auto"/>
            </w:tcBorders>
            <w:shd w:val="clear" w:color="auto" w:fill="C6EFCE"/>
            <w:noWrap/>
            <w:vAlign w:val="center"/>
          </w:tcPr>
          <w:p w14:paraId="02F329B0" w14:textId="51BD683F"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 – 1.1. Power up – 16865_Reštrukturalizácia</w:t>
            </w:r>
            <w:r w:rsidR="00083739" w:rsidRPr="00083739">
              <w:rPr>
                <w:rFonts w:cs="Times New Roman"/>
                <w:noProof/>
                <w:lang w:val="sk-SK"/>
              </w:rPr>
              <w:t xml:space="preserve"> a </w:t>
            </w:r>
            <w:r w:rsidRPr="00083739">
              <w:rPr>
                <w:rFonts w:cs="Times New Roman"/>
                <w:noProof/>
                <w:lang w:val="sk-SK"/>
              </w:rPr>
              <w:t>zlepšenie príjmov</w:t>
            </w:r>
            <w:r w:rsidR="00083739" w:rsidRPr="00083739">
              <w:rPr>
                <w:rFonts w:cs="Times New Roman"/>
                <w:noProof/>
                <w:lang w:val="sk-SK"/>
              </w:rPr>
              <w:t xml:space="preserve"> z </w:t>
            </w:r>
            <w:r w:rsidRPr="00083739">
              <w:rPr>
                <w:rFonts w:cs="Times New Roman"/>
                <w:noProof/>
                <w:lang w:val="sk-SK"/>
              </w:rPr>
              <w:t>účtu KVET OZE</w:t>
            </w:r>
          </w:p>
        </w:tc>
        <w:tc>
          <w:tcPr>
            <w:tcW w:w="1680" w:type="dxa"/>
            <w:tcBorders>
              <w:top w:val="nil"/>
              <w:left w:val="nil"/>
              <w:bottom w:val="single" w:sz="4" w:space="0" w:color="auto"/>
              <w:right w:val="single" w:sz="4" w:space="0" w:color="auto"/>
            </w:tcBorders>
            <w:shd w:val="clear" w:color="auto" w:fill="C6EFCE"/>
            <w:noWrap/>
            <w:vAlign w:val="center"/>
          </w:tcPr>
          <w:p w14:paraId="4592EFF2"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Cieľ</w:t>
            </w:r>
          </w:p>
        </w:tc>
        <w:tc>
          <w:tcPr>
            <w:tcW w:w="1800" w:type="dxa"/>
            <w:tcBorders>
              <w:top w:val="nil"/>
              <w:left w:val="nil"/>
              <w:bottom w:val="single" w:sz="4" w:space="0" w:color="auto"/>
              <w:right w:val="single" w:sz="4" w:space="0" w:color="auto"/>
            </w:tcBorders>
            <w:shd w:val="clear" w:color="auto" w:fill="C6EFCE"/>
            <w:noWrap/>
            <w:vAlign w:val="center"/>
          </w:tcPr>
          <w:p w14:paraId="310BFACC"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 xml:space="preserve">Účet </w:t>
            </w:r>
            <w:r w:rsidRPr="00083739">
              <w:rPr>
                <w:rFonts w:cs="Times New Roman"/>
                <w:noProof/>
                <w:lang w:val="sk-SK"/>
              </w:rPr>
              <w:t>OZE – cieľ zvýšenia kapacity 1</w:t>
            </w:r>
          </w:p>
        </w:tc>
      </w:tr>
      <w:tr w:rsidR="002D49B0" w:rsidRPr="00083739" w14:paraId="495E2C24"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4A3FF70E"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11</w:t>
            </w:r>
          </w:p>
        </w:tc>
        <w:tc>
          <w:tcPr>
            <w:tcW w:w="4320" w:type="dxa"/>
            <w:tcBorders>
              <w:top w:val="nil"/>
              <w:left w:val="nil"/>
              <w:bottom w:val="single" w:sz="4" w:space="0" w:color="auto"/>
              <w:right w:val="single" w:sz="4" w:space="0" w:color="auto"/>
            </w:tcBorders>
            <w:shd w:val="clear" w:color="auto" w:fill="C6EFCE"/>
            <w:noWrap/>
            <w:vAlign w:val="center"/>
          </w:tcPr>
          <w:p w14:paraId="12F5AEFA"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 – 1.1. Napájanie – 16926_Podpora inštalácie systémov uskladnenia na zlepšenie prieniku OZE</w:t>
            </w:r>
          </w:p>
        </w:tc>
        <w:tc>
          <w:tcPr>
            <w:tcW w:w="1680" w:type="dxa"/>
            <w:tcBorders>
              <w:top w:val="nil"/>
              <w:left w:val="nil"/>
              <w:bottom w:val="single" w:sz="4" w:space="0" w:color="auto"/>
              <w:right w:val="single" w:sz="4" w:space="0" w:color="auto"/>
            </w:tcBorders>
            <w:shd w:val="clear" w:color="auto" w:fill="C6EFCE"/>
            <w:noWrap/>
            <w:vAlign w:val="center"/>
          </w:tcPr>
          <w:p w14:paraId="76466CF5"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auto" w:fill="C6EFCE"/>
            <w:noWrap/>
            <w:vAlign w:val="center"/>
          </w:tcPr>
          <w:p w14:paraId="06CEDF6E"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Skladovanie – zmluvy</w:t>
            </w:r>
          </w:p>
        </w:tc>
      </w:tr>
      <w:tr w:rsidR="002D49B0" w:rsidRPr="00083739" w14:paraId="6D2CF28C"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3CD04F39"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34</w:t>
            </w:r>
          </w:p>
        </w:tc>
        <w:tc>
          <w:tcPr>
            <w:tcW w:w="4320" w:type="dxa"/>
            <w:tcBorders>
              <w:top w:val="nil"/>
              <w:left w:val="nil"/>
              <w:bottom w:val="single" w:sz="4" w:space="0" w:color="auto"/>
              <w:right w:val="single" w:sz="4" w:space="0" w:color="auto"/>
            </w:tcBorders>
            <w:shd w:val="clear" w:color="auto" w:fill="C6EFCE"/>
            <w:noWrap/>
            <w:vAlign w:val="center"/>
          </w:tcPr>
          <w:p w14:paraId="1E7C17FF"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 xml:space="preserve">2 – 1.2. Renovácia – 16876_Energetická modernizácia budov verejného sektora </w:t>
            </w:r>
          </w:p>
        </w:tc>
        <w:tc>
          <w:tcPr>
            <w:tcW w:w="1680" w:type="dxa"/>
            <w:tcBorders>
              <w:top w:val="nil"/>
              <w:left w:val="nil"/>
              <w:bottom w:val="single" w:sz="4" w:space="0" w:color="auto"/>
              <w:right w:val="single" w:sz="4" w:space="0" w:color="auto"/>
            </w:tcBorders>
            <w:shd w:val="clear" w:color="auto" w:fill="C6EFCE"/>
            <w:noWrap/>
            <w:vAlign w:val="center"/>
          </w:tcPr>
          <w:p w14:paraId="19B166C2"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auto" w:fill="C6EFCE"/>
            <w:noWrap/>
            <w:vAlign w:val="center"/>
          </w:tcPr>
          <w:p w14:paraId="45BFE124"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 xml:space="preserve">Energetická </w:t>
            </w:r>
            <w:r w:rsidRPr="00083739">
              <w:rPr>
                <w:rFonts w:cs="Times New Roman"/>
                <w:noProof/>
                <w:lang w:val="sk-SK"/>
              </w:rPr>
              <w:t>hospodárnosť verejných budov – schválené žiadosti</w:t>
            </w:r>
          </w:p>
        </w:tc>
      </w:tr>
      <w:tr w:rsidR="002D49B0" w:rsidRPr="00083739" w14:paraId="7562B038"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7061E835"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61</w:t>
            </w:r>
          </w:p>
        </w:tc>
        <w:tc>
          <w:tcPr>
            <w:tcW w:w="4320" w:type="dxa"/>
            <w:tcBorders>
              <w:top w:val="nil"/>
              <w:left w:val="nil"/>
              <w:bottom w:val="single" w:sz="4" w:space="0" w:color="auto"/>
              <w:right w:val="single" w:sz="4" w:space="0" w:color="auto"/>
            </w:tcBorders>
            <w:shd w:val="clear" w:color="auto" w:fill="C6EFCE"/>
            <w:noWrap/>
            <w:vAlign w:val="center"/>
          </w:tcPr>
          <w:p w14:paraId="77162320" w14:textId="00ACFD74" w:rsidR="002D49B0" w:rsidRPr="00083739" w:rsidRDefault="00BF4125">
            <w:pPr>
              <w:keepNext/>
              <w:spacing w:before="40" w:after="0" w:line="240" w:lineRule="auto"/>
              <w:jc w:val="both"/>
              <w:rPr>
                <w:rFonts w:ascii="Times New Roman" w:eastAsia="Times New Roman" w:hAnsi="Times New Roman" w:cs="Times New Roman"/>
                <w:bCs/>
                <w:noProof/>
                <w:sz w:val="18"/>
                <w:szCs w:val="18"/>
                <w:lang w:val="sk-SK"/>
              </w:rPr>
            </w:pPr>
            <w:r w:rsidRPr="00083739">
              <w:rPr>
                <w:rFonts w:ascii="Times New Roman" w:hAnsi="Times New Roman" w:cs="Times New Roman"/>
                <w:noProof/>
                <w:sz w:val="18"/>
                <w:lang w:val="sk-SK"/>
              </w:rPr>
              <w:t>4 – 1.4. Udržateľné využívanie zdrojov, odolnosť proti zmene klímy</w:t>
            </w:r>
            <w:r w:rsidR="00083739" w:rsidRPr="00083739">
              <w:rPr>
                <w:rFonts w:ascii="Times New Roman" w:hAnsi="Times New Roman" w:cs="Times New Roman"/>
                <w:noProof/>
                <w:sz w:val="18"/>
                <w:lang w:val="sk-SK"/>
              </w:rPr>
              <w:t xml:space="preserve"> a </w:t>
            </w:r>
            <w:r w:rsidRPr="00083739">
              <w:rPr>
                <w:rFonts w:ascii="Times New Roman" w:hAnsi="Times New Roman" w:cs="Times New Roman"/>
                <w:noProof/>
                <w:sz w:val="18"/>
                <w:lang w:val="sk-SK"/>
              </w:rPr>
              <w:t xml:space="preserve">ochrana životného prostredia – 16849_Národný plán zalesňovania, </w:t>
            </w:r>
            <w:r w:rsidRPr="00083739">
              <w:rPr>
                <w:rFonts w:ascii="Times New Roman" w:hAnsi="Times New Roman" w:cs="Times New Roman"/>
                <w:noProof/>
                <w:lang w:val="sk-SK"/>
              </w:rPr>
              <w:t xml:space="preserve"> </w:t>
            </w:r>
            <w:r w:rsidRPr="00083739">
              <w:rPr>
                <w:rFonts w:ascii="Times New Roman" w:hAnsi="Times New Roman" w:cs="Times New Roman"/>
                <w:noProof/>
                <w:sz w:val="18"/>
                <w:lang w:val="sk-SK"/>
              </w:rPr>
              <w:t>obnova</w:t>
            </w:r>
            <w:r w:rsidR="00083739" w:rsidRPr="00083739">
              <w:rPr>
                <w:rFonts w:ascii="Times New Roman" w:hAnsi="Times New Roman" w:cs="Times New Roman"/>
                <w:noProof/>
                <w:sz w:val="18"/>
                <w:lang w:val="sk-SK"/>
              </w:rPr>
              <w:t xml:space="preserve"> a </w:t>
            </w:r>
            <w:r w:rsidRPr="00083739">
              <w:rPr>
                <w:rFonts w:ascii="Times New Roman" w:hAnsi="Times New Roman" w:cs="Times New Roman"/>
                <w:noProof/>
                <w:sz w:val="18"/>
                <w:lang w:val="sk-SK"/>
              </w:rPr>
              <w:t>prevencia („antiNERO“), opatrenia proti erózii</w:t>
            </w:r>
            <w:r w:rsidR="00083739" w:rsidRPr="00083739">
              <w:rPr>
                <w:rFonts w:ascii="Times New Roman" w:hAnsi="Times New Roman" w:cs="Times New Roman"/>
                <w:noProof/>
                <w:sz w:val="18"/>
                <w:lang w:val="sk-SK"/>
              </w:rPr>
              <w:t xml:space="preserve"> a </w:t>
            </w:r>
            <w:r w:rsidRPr="00083739">
              <w:rPr>
                <w:rFonts w:ascii="Times New Roman" w:hAnsi="Times New Roman" w:cs="Times New Roman"/>
                <w:noProof/>
                <w:sz w:val="18"/>
                <w:lang w:val="sk-SK"/>
              </w:rPr>
              <w:t>protipovodňovej ochrane</w:t>
            </w:r>
          </w:p>
        </w:tc>
        <w:tc>
          <w:tcPr>
            <w:tcW w:w="1680" w:type="dxa"/>
            <w:tcBorders>
              <w:top w:val="nil"/>
              <w:left w:val="nil"/>
              <w:bottom w:val="single" w:sz="4" w:space="0" w:color="auto"/>
              <w:right w:val="single" w:sz="4" w:space="0" w:color="auto"/>
            </w:tcBorders>
            <w:shd w:val="clear" w:color="auto" w:fill="C6EFCE"/>
            <w:noWrap/>
            <w:vAlign w:val="center"/>
          </w:tcPr>
          <w:p w14:paraId="274E75CB"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auto" w:fill="C6EFCE"/>
            <w:noWrap/>
            <w:vAlign w:val="center"/>
          </w:tcPr>
          <w:p w14:paraId="0809A745" w14:textId="6E24E10F"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Opätovné zalesňovanie, obnova lesov</w:t>
            </w:r>
            <w:r w:rsidR="00083739" w:rsidRPr="00083739">
              <w:rPr>
                <w:rFonts w:cs="Times New Roman"/>
                <w:noProof/>
                <w:lang w:val="sk-SK"/>
              </w:rPr>
              <w:t xml:space="preserve"> a </w:t>
            </w:r>
            <w:r w:rsidRPr="00083739">
              <w:rPr>
                <w:rFonts w:cs="Times New Roman"/>
                <w:noProof/>
                <w:lang w:val="sk-SK"/>
              </w:rPr>
              <w:t>prevencia – zmluvy 1</w:t>
            </w:r>
          </w:p>
        </w:tc>
      </w:tr>
      <w:tr w:rsidR="002D49B0" w:rsidRPr="00083739" w14:paraId="257F9C5A"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660F5059"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66</w:t>
            </w:r>
          </w:p>
        </w:tc>
        <w:tc>
          <w:tcPr>
            <w:tcW w:w="4320" w:type="dxa"/>
            <w:tcBorders>
              <w:top w:val="nil"/>
              <w:left w:val="nil"/>
              <w:bottom w:val="single" w:sz="4" w:space="0" w:color="auto"/>
              <w:right w:val="single" w:sz="4" w:space="0" w:color="auto"/>
            </w:tcBorders>
            <w:shd w:val="clear" w:color="auto" w:fill="C6EFCE"/>
            <w:noWrap/>
            <w:vAlign w:val="center"/>
          </w:tcPr>
          <w:p w14:paraId="748A57D8" w14:textId="24B61B73"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4 – 1.4. Udržateľné využívanie zdrojov, odolnosť proti zmene klímy</w:t>
            </w:r>
            <w:r w:rsidR="00083739" w:rsidRPr="00083739">
              <w:rPr>
                <w:rFonts w:cs="Times New Roman"/>
                <w:noProof/>
                <w:lang w:val="sk-SK"/>
              </w:rPr>
              <w:t xml:space="preserve"> a </w:t>
            </w:r>
            <w:r w:rsidRPr="00083739">
              <w:rPr>
                <w:rFonts w:cs="Times New Roman"/>
                <w:noProof/>
                <w:lang w:val="sk-SK"/>
              </w:rPr>
              <w:t>ochrana životného prostredia – 16850_Infraštruktúra zásobovania pitnou vodou</w:t>
            </w:r>
            <w:r w:rsidR="00083739" w:rsidRPr="00083739">
              <w:rPr>
                <w:rFonts w:cs="Times New Roman"/>
                <w:noProof/>
                <w:lang w:val="sk-SK"/>
              </w:rPr>
              <w:t xml:space="preserve"> a </w:t>
            </w:r>
            <w:r w:rsidRPr="00083739">
              <w:rPr>
                <w:rFonts w:cs="Times New Roman"/>
                <w:noProof/>
                <w:lang w:val="sk-SK"/>
              </w:rPr>
              <w:t xml:space="preserve">úspora pitnej </w:t>
            </w:r>
            <w:r w:rsidRPr="00083739">
              <w:rPr>
                <w:rFonts w:cs="Times New Roman"/>
                <w:noProof/>
                <w:lang w:val="sk-SK"/>
              </w:rPr>
              <w:t>vody</w:t>
            </w:r>
          </w:p>
        </w:tc>
        <w:tc>
          <w:tcPr>
            <w:tcW w:w="1680" w:type="dxa"/>
            <w:tcBorders>
              <w:top w:val="nil"/>
              <w:left w:val="nil"/>
              <w:bottom w:val="single" w:sz="4" w:space="0" w:color="auto"/>
              <w:right w:val="single" w:sz="4" w:space="0" w:color="auto"/>
            </w:tcBorders>
            <w:shd w:val="clear" w:color="auto" w:fill="C6EFCE"/>
            <w:noWrap/>
            <w:vAlign w:val="center"/>
          </w:tcPr>
          <w:p w14:paraId="7A5900C9"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auto" w:fill="C6EFCE"/>
            <w:noWrap/>
            <w:vAlign w:val="center"/>
          </w:tcPr>
          <w:p w14:paraId="43802105" w14:textId="7E115453"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Schvaľovanie žiadostí</w:t>
            </w:r>
            <w:r w:rsidR="00083739" w:rsidRPr="00083739">
              <w:rPr>
                <w:rFonts w:cs="Times New Roman"/>
                <w:noProof/>
                <w:lang w:val="sk-SK"/>
              </w:rPr>
              <w:t xml:space="preserve"> o </w:t>
            </w:r>
            <w:r w:rsidRPr="00083739">
              <w:rPr>
                <w:rFonts w:cs="Times New Roman"/>
                <w:noProof/>
                <w:lang w:val="sk-SK"/>
              </w:rPr>
              <w:t>vodohospodárske infraštruktúry</w:t>
            </w:r>
          </w:p>
        </w:tc>
      </w:tr>
      <w:tr w:rsidR="002D49B0" w:rsidRPr="00083739" w14:paraId="53A9AB6D"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2B9DF2E0"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87</w:t>
            </w:r>
          </w:p>
        </w:tc>
        <w:tc>
          <w:tcPr>
            <w:tcW w:w="4320" w:type="dxa"/>
            <w:tcBorders>
              <w:top w:val="nil"/>
              <w:left w:val="nil"/>
              <w:bottom w:val="single" w:sz="4" w:space="0" w:color="auto"/>
              <w:right w:val="single" w:sz="4" w:space="0" w:color="auto"/>
            </w:tcBorders>
            <w:shd w:val="clear" w:color="auto" w:fill="C6EFCE"/>
            <w:noWrap/>
            <w:vAlign w:val="center"/>
          </w:tcPr>
          <w:p w14:paraId="657B4E78"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5 – 2.1. Pripojiť – 16855_Small-satelity</w:t>
            </w:r>
          </w:p>
        </w:tc>
        <w:tc>
          <w:tcPr>
            <w:tcW w:w="1680" w:type="dxa"/>
            <w:tcBorders>
              <w:top w:val="nil"/>
              <w:left w:val="nil"/>
              <w:bottom w:val="single" w:sz="4" w:space="0" w:color="auto"/>
              <w:right w:val="single" w:sz="4" w:space="0" w:color="auto"/>
            </w:tcBorders>
            <w:shd w:val="clear" w:color="auto" w:fill="C6EFCE"/>
            <w:noWrap/>
            <w:vAlign w:val="center"/>
          </w:tcPr>
          <w:p w14:paraId="467E3C4B"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auto" w:fill="C6EFCE"/>
            <w:noWrap/>
            <w:vAlign w:val="center"/>
          </w:tcPr>
          <w:p w14:paraId="73DBD5E5"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Zadanie zákazky (zákaziek) na projekt „malé satelity“</w:t>
            </w:r>
          </w:p>
        </w:tc>
      </w:tr>
      <w:tr w:rsidR="002D49B0" w:rsidRPr="00083739" w14:paraId="1639A8F3"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2F224A8B" w14:textId="77777777"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135</w:t>
            </w:r>
          </w:p>
        </w:tc>
        <w:tc>
          <w:tcPr>
            <w:tcW w:w="4320" w:type="dxa"/>
            <w:tcBorders>
              <w:top w:val="nil"/>
              <w:left w:val="nil"/>
              <w:bottom w:val="single" w:sz="4" w:space="0" w:color="auto"/>
              <w:right w:val="single" w:sz="4" w:space="0" w:color="auto"/>
            </w:tcBorders>
            <w:shd w:val="clear" w:color="auto" w:fill="C6EFCE"/>
            <w:noWrap/>
            <w:vAlign w:val="center"/>
          </w:tcPr>
          <w:p w14:paraId="51927715" w14:textId="53DE4CCE"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8 – 3.1. Podpora vytvárania pracovných miest</w:t>
            </w:r>
            <w:r w:rsidR="00083739" w:rsidRPr="00083739">
              <w:rPr>
                <w:rFonts w:cs="Times New Roman"/>
                <w:noProof/>
                <w:lang w:val="sk-SK"/>
              </w:rPr>
              <w:t xml:space="preserve"> a </w:t>
            </w:r>
            <w:r w:rsidRPr="00083739">
              <w:rPr>
                <w:rFonts w:cs="Times New Roman"/>
                <w:noProof/>
                <w:lang w:val="sk-SK"/>
              </w:rPr>
              <w:t xml:space="preserve">účasti na trhu práce – </w:t>
            </w:r>
            <w:r w:rsidRPr="00083739">
              <w:rPr>
                <w:rFonts w:cs="Times New Roman"/>
                <w:noProof/>
                <w:lang w:val="sk-SK"/>
              </w:rPr>
              <w:t>16942_Digitálna transformácia verejných služieb zamestnanosti (DYPA)</w:t>
            </w:r>
          </w:p>
        </w:tc>
        <w:tc>
          <w:tcPr>
            <w:tcW w:w="1680" w:type="dxa"/>
            <w:tcBorders>
              <w:top w:val="nil"/>
              <w:left w:val="nil"/>
              <w:bottom w:val="single" w:sz="4" w:space="0" w:color="auto"/>
              <w:right w:val="single" w:sz="4" w:space="0" w:color="auto"/>
            </w:tcBorders>
            <w:shd w:val="clear" w:color="auto" w:fill="C6EFCE"/>
            <w:noWrap/>
            <w:vAlign w:val="center"/>
          </w:tcPr>
          <w:p w14:paraId="7AEF507E" w14:textId="77777777" w:rsidR="002D49B0" w:rsidRPr="00083739" w:rsidRDefault="00BF4125">
            <w:pPr>
              <w:pStyle w:val="P68B1DB1-Normal49"/>
              <w:keepNext/>
              <w:spacing w:before="40" w:after="0" w:line="240" w:lineRule="auto"/>
              <w:jc w:val="both"/>
              <w:rPr>
                <w:rFonts w:cs="Times New Roman"/>
                <w:noProof/>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auto" w:fill="C6EFCE"/>
            <w:noWrap/>
            <w:vAlign w:val="center"/>
          </w:tcPr>
          <w:p w14:paraId="49EFF93E" w14:textId="251AAA35" w:rsidR="002D49B0" w:rsidRPr="00083739" w:rsidRDefault="00BF4125">
            <w:pPr>
              <w:pStyle w:val="P68B1DB1-Normal24"/>
              <w:keepNext/>
              <w:spacing w:before="40" w:after="0" w:line="240" w:lineRule="auto"/>
              <w:jc w:val="both"/>
              <w:rPr>
                <w:rFonts w:ascii="Times New Roman" w:hAnsi="Times New Roman" w:cs="Times New Roman"/>
                <w:noProof/>
                <w:lang w:val="sk-SK"/>
              </w:rPr>
            </w:pPr>
            <w:r w:rsidRPr="00083739">
              <w:rPr>
                <w:rFonts w:ascii="Times New Roman" w:hAnsi="Times New Roman" w:cs="Times New Roman"/>
                <w:noProof/>
                <w:lang w:val="sk-SK"/>
              </w:rPr>
              <w:t xml:space="preserve">DYPA </w:t>
            </w:r>
            <w:r w:rsidRPr="00083739">
              <w:rPr>
                <w:rFonts w:ascii="Times New Roman" w:eastAsiaTheme="minorEastAsia" w:hAnsi="Times New Roman" w:cs="Times New Roman"/>
                <w:noProof/>
                <w:lang w:val="sk-SK"/>
              </w:rPr>
              <w:t>Digitalizácia, uchovávanie</w:t>
            </w:r>
            <w:r w:rsidR="00083739" w:rsidRPr="00083739">
              <w:rPr>
                <w:rFonts w:ascii="Times New Roman" w:eastAsiaTheme="minorEastAsia" w:hAnsi="Times New Roman" w:cs="Times New Roman"/>
                <w:noProof/>
                <w:lang w:val="sk-SK"/>
              </w:rPr>
              <w:t xml:space="preserve"> a </w:t>
            </w:r>
            <w:r w:rsidRPr="00083739">
              <w:rPr>
                <w:rFonts w:ascii="Times New Roman" w:eastAsiaTheme="minorEastAsia" w:hAnsi="Times New Roman" w:cs="Times New Roman"/>
                <w:noProof/>
                <w:lang w:val="sk-SK"/>
              </w:rPr>
              <w:t>archivácia archívov</w:t>
            </w:r>
          </w:p>
        </w:tc>
      </w:tr>
      <w:tr w:rsidR="002D49B0" w:rsidRPr="00083739" w14:paraId="6A9B98A4"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3D133B8F"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143</w:t>
            </w:r>
          </w:p>
        </w:tc>
        <w:tc>
          <w:tcPr>
            <w:tcW w:w="4320" w:type="dxa"/>
            <w:tcBorders>
              <w:top w:val="nil"/>
              <w:left w:val="nil"/>
              <w:bottom w:val="single" w:sz="4" w:space="0" w:color="auto"/>
              <w:right w:val="single" w:sz="4" w:space="0" w:color="auto"/>
            </w:tcBorders>
            <w:shd w:val="clear" w:color="auto" w:fill="C6EFCE"/>
            <w:noWrap/>
            <w:vAlign w:val="center"/>
          </w:tcPr>
          <w:p w14:paraId="25E0A927" w14:textId="42A12F02"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9 – 3.2. Vzdelávanie, odborné vzdelávanie</w:t>
            </w:r>
            <w:r w:rsidR="00083739" w:rsidRPr="00083739">
              <w:rPr>
                <w:rFonts w:cs="Times New Roman"/>
                <w:noProof/>
                <w:lang w:val="sk-SK"/>
              </w:rPr>
              <w:t xml:space="preserve"> a </w:t>
            </w:r>
            <w:r w:rsidRPr="00083739">
              <w:rPr>
                <w:rFonts w:cs="Times New Roman"/>
                <w:noProof/>
                <w:lang w:val="sk-SK"/>
              </w:rPr>
              <w:t>príprava</w:t>
            </w:r>
            <w:r w:rsidR="00083739" w:rsidRPr="00083739">
              <w:rPr>
                <w:rFonts w:cs="Times New Roman"/>
                <w:noProof/>
                <w:lang w:val="sk-SK"/>
              </w:rPr>
              <w:t xml:space="preserve"> a </w:t>
            </w:r>
            <w:r w:rsidRPr="00083739">
              <w:rPr>
                <w:rFonts w:cs="Times New Roman"/>
                <w:noProof/>
                <w:lang w:val="sk-SK"/>
              </w:rPr>
              <w:t>zručnosti – 16792_Rekvalifikácia, rekvalifikácia</w:t>
            </w:r>
            <w:r w:rsidR="00083739" w:rsidRPr="00083739">
              <w:rPr>
                <w:rFonts w:cs="Times New Roman"/>
                <w:noProof/>
                <w:lang w:val="sk-SK"/>
              </w:rPr>
              <w:t xml:space="preserve"> a </w:t>
            </w:r>
            <w:r w:rsidRPr="00083739">
              <w:rPr>
                <w:rFonts w:cs="Times New Roman"/>
                <w:noProof/>
                <w:lang w:val="sk-SK"/>
              </w:rPr>
              <w:t xml:space="preserve">zvyšovanie </w:t>
            </w:r>
            <w:r w:rsidRPr="00083739">
              <w:rPr>
                <w:rFonts w:cs="Times New Roman"/>
                <w:noProof/>
                <w:lang w:val="sk-SK"/>
              </w:rPr>
              <w:t>úrovne zručností prostredníctvom reformovaného modelu odbornej prípravy (reforma odborného vzdelávania</w:t>
            </w:r>
            <w:r w:rsidR="00083739" w:rsidRPr="00083739">
              <w:rPr>
                <w:rFonts w:cs="Times New Roman"/>
                <w:noProof/>
                <w:lang w:val="sk-SK"/>
              </w:rPr>
              <w:t xml:space="preserve"> a </w:t>
            </w:r>
            <w:r w:rsidRPr="00083739">
              <w:rPr>
                <w:rFonts w:cs="Times New Roman"/>
                <w:noProof/>
                <w:lang w:val="sk-SK"/>
              </w:rPr>
              <w:t>odbornej prípravy)</w:t>
            </w:r>
          </w:p>
        </w:tc>
        <w:tc>
          <w:tcPr>
            <w:tcW w:w="1680" w:type="dxa"/>
            <w:tcBorders>
              <w:top w:val="nil"/>
              <w:left w:val="nil"/>
              <w:bottom w:val="single" w:sz="4" w:space="0" w:color="auto"/>
              <w:right w:val="single" w:sz="4" w:space="0" w:color="auto"/>
            </w:tcBorders>
            <w:shd w:val="clear" w:color="auto" w:fill="C6EFCE"/>
            <w:noWrap/>
            <w:vAlign w:val="center"/>
          </w:tcPr>
          <w:p w14:paraId="36C60C98"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auto" w:fill="C6EFCE"/>
            <w:noWrap/>
            <w:vAlign w:val="center"/>
          </w:tcPr>
          <w:p w14:paraId="66DDEB5F"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Zadávanie zákaziek systému kontroly kvality OVP</w:t>
            </w:r>
          </w:p>
        </w:tc>
      </w:tr>
      <w:tr w:rsidR="002D49B0" w:rsidRPr="00083739" w14:paraId="0AC6E144"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6E3BB274"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154</w:t>
            </w:r>
          </w:p>
        </w:tc>
        <w:tc>
          <w:tcPr>
            <w:tcW w:w="4320" w:type="dxa"/>
            <w:tcBorders>
              <w:top w:val="nil"/>
              <w:left w:val="nil"/>
              <w:bottom w:val="single" w:sz="4" w:space="0" w:color="auto"/>
              <w:right w:val="single" w:sz="4" w:space="0" w:color="auto"/>
            </w:tcBorders>
            <w:shd w:val="clear" w:color="auto" w:fill="C6EFCE"/>
            <w:noWrap/>
            <w:vAlign w:val="center"/>
          </w:tcPr>
          <w:p w14:paraId="0339F50B" w14:textId="48A9687B"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10 – 3.3. Zlepšenie odolnosti, dostupnosti</w:t>
            </w:r>
            <w:r w:rsidR="00083739" w:rsidRPr="00083739">
              <w:rPr>
                <w:rFonts w:cs="Times New Roman"/>
                <w:noProof/>
                <w:lang w:val="sk-SK"/>
              </w:rPr>
              <w:t xml:space="preserve"> a </w:t>
            </w:r>
            <w:r w:rsidRPr="00083739">
              <w:rPr>
                <w:rFonts w:cs="Times New Roman"/>
                <w:noProof/>
                <w:lang w:val="sk-SK"/>
              </w:rPr>
              <w:t xml:space="preserve">udržateľnosti zdravotnej </w:t>
            </w:r>
            <w:r w:rsidRPr="00083739">
              <w:rPr>
                <w:rFonts w:cs="Times New Roman"/>
                <w:noProof/>
                <w:lang w:val="sk-SK"/>
              </w:rPr>
              <w:t>starostlivosti – 16816_Reformy</w:t>
            </w:r>
            <w:r w:rsidR="00083739" w:rsidRPr="00083739">
              <w:rPr>
                <w:rFonts w:cs="Times New Roman"/>
                <w:noProof/>
                <w:lang w:val="sk-SK"/>
              </w:rPr>
              <w:t xml:space="preserve"> a </w:t>
            </w:r>
            <w:r w:rsidRPr="00083739">
              <w:rPr>
                <w:rFonts w:cs="Times New Roman"/>
                <w:noProof/>
                <w:lang w:val="sk-SK"/>
              </w:rPr>
              <w:t>urýchlenie investícií</w:t>
            </w:r>
            <w:r w:rsidR="00083739" w:rsidRPr="00083739">
              <w:rPr>
                <w:rFonts w:cs="Times New Roman"/>
                <w:noProof/>
                <w:lang w:val="sk-SK"/>
              </w:rPr>
              <w:t xml:space="preserve"> v </w:t>
            </w:r>
            <w:r w:rsidRPr="00083739">
              <w:rPr>
                <w:rFonts w:cs="Times New Roman"/>
                <w:noProof/>
                <w:lang w:val="sk-SK"/>
              </w:rPr>
              <w:t>sektore zdravotnej starostlivosti – Zníženie vrátenia prostriedkov</w:t>
            </w:r>
            <w:r w:rsidR="00083739" w:rsidRPr="00083739">
              <w:rPr>
                <w:rFonts w:cs="Times New Roman"/>
                <w:noProof/>
                <w:lang w:val="sk-SK"/>
              </w:rPr>
              <w:t xml:space="preserve"> a </w:t>
            </w:r>
            <w:r w:rsidRPr="00083739">
              <w:rPr>
                <w:rFonts w:cs="Times New Roman"/>
                <w:noProof/>
                <w:lang w:val="sk-SK"/>
              </w:rPr>
              <w:t>racionalizácia výdavkov na zdravotnú starostlivosť</w:t>
            </w:r>
          </w:p>
        </w:tc>
        <w:tc>
          <w:tcPr>
            <w:tcW w:w="1680" w:type="dxa"/>
            <w:tcBorders>
              <w:top w:val="nil"/>
              <w:left w:val="nil"/>
              <w:bottom w:val="single" w:sz="4" w:space="0" w:color="auto"/>
              <w:right w:val="single" w:sz="4" w:space="0" w:color="auto"/>
            </w:tcBorders>
            <w:shd w:val="clear" w:color="auto" w:fill="C6EFCE"/>
            <w:noWrap/>
            <w:vAlign w:val="center"/>
          </w:tcPr>
          <w:p w14:paraId="617A65DC"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Cieľ</w:t>
            </w:r>
          </w:p>
        </w:tc>
        <w:tc>
          <w:tcPr>
            <w:tcW w:w="1800" w:type="dxa"/>
            <w:tcBorders>
              <w:top w:val="nil"/>
              <w:left w:val="nil"/>
              <w:bottom w:val="single" w:sz="4" w:space="0" w:color="auto"/>
              <w:right w:val="single" w:sz="4" w:space="0" w:color="auto"/>
            </w:tcBorders>
            <w:shd w:val="clear" w:color="auto" w:fill="C6EFCE"/>
            <w:noWrap/>
            <w:vAlign w:val="center"/>
          </w:tcPr>
          <w:p w14:paraId="2FA291FA"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Zníženie vrátenia poskytnutých prostriedkov 50000000 – krok 1</w:t>
            </w:r>
          </w:p>
        </w:tc>
      </w:tr>
      <w:tr w:rsidR="002D49B0" w:rsidRPr="00083739" w14:paraId="1C55E46D"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0ABC9F16"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203</w:t>
            </w:r>
          </w:p>
        </w:tc>
        <w:tc>
          <w:tcPr>
            <w:tcW w:w="4320" w:type="dxa"/>
            <w:tcBorders>
              <w:top w:val="nil"/>
              <w:left w:val="nil"/>
              <w:bottom w:val="single" w:sz="4" w:space="0" w:color="auto"/>
              <w:right w:val="single" w:sz="4" w:space="0" w:color="auto"/>
            </w:tcBorders>
            <w:shd w:val="clear" w:color="auto" w:fill="C6EFCE"/>
            <w:noWrap/>
            <w:vAlign w:val="center"/>
          </w:tcPr>
          <w:p w14:paraId="012FB702" w14:textId="7512FD49"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12 – 4.</w:t>
            </w:r>
            <w:r w:rsidRPr="00083739">
              <w:rPr>
                <w:rFonts w:cs="Times New Roman"/>
                <w:noProof/>
                <w:lang w:val="sk-SK"/>
              </w:rPr>
              <w:t>1. Zabezpečiť, aby dane boli priaznivejšie pre rast</w:t>
            </w:r>
            <w:r w:rsidR="00083739" w:rsidRPr="00083739">
              <w:rPr>
                <w:rFonts w:cs="Times New Roman"/>
                <w:noProof/>
                <w:lang w:val="sk-SK"/>
              </w:rPr>
              <w:t xml:space="preserve"> a </w:t>
            </w:r>
            <w:r w:rsidRPr="00083739">
              <w:rPr>
                <w:rFonts w:cs="Times New Roman"/>
                <w:noProof/>
                <w:lang w:val="sk-SK"/>
              </w:rPr>
              <w:t>zlepšiť daňovú správu</w:t>
            </w:r>
            <w:r w:rsidR="00083739" w:rsidRPr="00083739">
              <w:rPr>
                <w:rFonts w:cs="Times New Roman"/>
                <w:noProof/>
                <w:lang w:val="sk-SK"/>
              </w:rPr>
              <w:t xml:space="preserve"> a </w:t>
            </w:r>
            <w:r w:rsidRPr="00083739">
              <w:rPr>
                <w:rFonts w:cs="Times New Roman"/>
                <w:noProof/>
                <w:lang w:val="sk-SK"/>
              </w:rPr>
              <w:t>výber daní – 16643_Kodifikácia</w:t>
            </w:r>
            <w:r w:rsidR="00083739" w:rsidRPr="00083739">
              <w:rPr>
                <w:rFonts w:cs="Times New Roman"/>
                <w:noProof/>
                <w:lang w:val="sk-SK"/>
              </w:rPr>
              <w:t xml:space="preserve"> a </w:t>
            </w:r>
            <w:r w:rsidRPr="00083739">
              <w:rPr>
                <w:rFonts w:cs="Times New Roman"/>
                <w:noProof/>
                <w:lang w:val="sk-SK"/>
              </w:rPr>
              <w:t>zjednodušenie daňových právnych predpisov</w:t>
            </w:r>
          </w:p>
        </w:tc>
        <w:tc>
          <w:tcPr>
            <w:tcW w:w="1680" w:type="dxa"/>
            <w:tcBorders>
              <w:top w:val="nil"/>
              <w:left w:val="nil"/>
              <w:bottom w:val="single" w:sz="4" w:space="0" w:color="auto"/>
              <w:right w:val="single" w:sz="4" w:space="0" w:color="auto"/>
            </w:tcBorders>
            <w:shd w:val="clear" w:color="auto" w:fill="C6EFCE"/>
            <w:noWrap/>
            <w:vAlign w:val="center"/>
          </w:tcPr>
          <w:p w14:paraId="1E8C7B0E"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auto" w:fill="C6EFCE"/>
            <w:noWrap/>
            <w:vAlign w:val="center"/>
          </w:tcPr>
          <w:p w14:paraId="0E598BD3" w14:textId="34771C98"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Úprava dane</w:t>
            </w:r>
            <w:r w:rsidR="00083739" w:rsidRPr="00083739">
              <w:rPr>
                <w:rFonts w:cs="Times New Roman"/>
                <w:noProof/>
                <w:lang w:val="sk-SK"/>
              </w:rPr>
              <w:t xml:space="preserve"> z </w:t>
            </w:r>
            <w:r w:rsidRPr="00083739">
              <w:rPr>
                <w:rFonts w:cs="Times New Roman"/>
                <w:noProof/>
                <w:lang w:val="sk-SK"/>
              </w:rPr>
              <w:t>príjmu</w:t>
            </w:r>
            <w:r w:rsidR="00083739" w:rsidRPr="00083739">
              <w:rPr>
                <w:rFonts w:cs="Times New Roman"/>
                <w:noProof/>
                <w:lang w:val="sk-SK"/>
              </w:rPr>
              <w:t xml:space="preserve"> a </w:t>
            </w:r>
            <w:r w:rsidRPr="00083739">
              <w:rPr>
                <w:rFonts w:cs="Times New Roman"/>
                <w:noProof/>
                <w:lang w:val="sk-SK"/>
              </w:rPr>
              <w:t>daňových poriadkov</w:t>
            </w:r>
          </w:p>
        </w:tc>
      </w:tr>
      <w:tr w:rsidR="002D49B0" w:rsidRPr="00083739" w14:paraId="76AD1900"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2628DF5C"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229</w:t>
            </w:r>
          </w:p>
        </w:tc>
        <w:tc>
          <w:tcPr>
            <w:tcW w:w="4320" w:type="dxa"/>
            <w:tcBorders>
              <w:top w:val="nil"/>
              <w:left w:val="nil"/>
              <w:bottom w:val="single" w:sz="4" w:space="0" w:color="auto"/>
              <w:right w:val="single" w:sz="4" w:space="0" w:color="auto"/>
            </w:tcBorders>
            <w:shd w:val="clear" w:color="auto" w:fill="C6EFCE"/>
            <w:noWrap/>
            <w:vAlign w:val="center"/>
          </w:tcPr>
          <w:p w14:paraId="090D9FA2"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 14 – 4.3. Zlepšiť efektívnosť justičného systému</w:t>
            </w:r>
            <w:r w:rsidRPr="00083739">
              <w:rPr>
                <w:rFonts w:cs="Times New Roman"/>
                <w:noProof/>
                <w:lang w:val="sk-SK"/>
              </w:rPr>
              <w:t xml:space="preserve"> – 16727 Digitálna transformácia justície (elektronická justícia)</w:t>
            </w:r>
          </w:p>
        </w:tc>
        <w:tc>
          <w:tcPr>
            <w:tcW w:w="1680" w:type="dxa"/>
            <w:tcBorders>
              <w:top w:val="nil"/>
              <w:left w:val="nil"/>
              <w:bottom w:val="single" w:sz="4" w:space="0" w:color="auto"/>
              <w:right w:val="single" w:sz="4" w:space="0" w:color="auto"/>
            </w:tcBorders>
            <w:shd w:val="clear" w:color="auto" w:fill="C6EFCE"/>
            <w:noWrap/>
            <w:vAlign w:val="center"/>
          </w:tcPr>
          <w:p w14:paraId="6AB1C574"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auto" w:fill="C6EFCE"/>
            <w:noWrap/>
            <w:vAlign w:val="center"/>
          </w:tcPr>
          <w:p w14:paraId="40F0F328" w14:textId="4285733F"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Modernizácia systémov záznamov</w:t>
            </w:r>
            <w:r w:rsidR="00083739" w:rsidRPr="00083739">
              <w:rPr>
                <w:rFonts w:cs="Times New Roman"/>
                <w:noProof/>
                <w:lang w:val="sk-SK"/>
              </w:rPr>
              <w:t xml:space="preserve"> a </w:t>
            </w:r>
            <w:r w:rsidRPr="00083739">
              <w:rPr>
                <w:rFonts w:cs="Times New Roman"/>
                <w:noProof/>
                <w:lang w:val="sk-SK"/>
              </w:rPr>
              <w:t>informačných justičných systémov</w:t>
            </w:r>
          </w:p>
        </w:tc>
      </w:tr>
      <w:tr w:rsidR="002D49B0" w:rsidRPr="00083739" w14:paraId="4995DD1C"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69A4FC2D"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230</w:t>
            </w:r>
          </w:p>
        </w:tc>
        <w:tc>
          <w:tcPr>
            <w:tcW w:w="4320" w:type="dxa"/>
            <w:tcBorders>
              <w:top w:val="nil"/>
              <w:left w:val="nil"/>
              <w:bottom w:val="single" w:sz="4" w:space="0" w:color="auto"/>
              <w:right w:val="single" w:sz="4" w:space="0" w:color="auto"/>
            </w:tcBorders>
            <w:shd w:val="clear" w:color="auto" w:fill="C6EFCE"/>
            <w:noWrap/>
            <w:vAlign w:val="center"/>
          </w:tcPr>
          <w:p w14:paraId="796B28D4"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 14 – 4.3. Zlepšiť efektívnosť justičného systému – 16575 Urýchlenie výkonu spravodlivosti</w:t>
            </w:r>
          </w:p>
        </w:tc>
        <w:tc>
          <w:tcPr>
            <w:tcW w:w="1680" w:type="dxa"/>
            <w:tcBorders>
              <w:top w:val="nil"/>
              <w:left w:val="nil"/>
              <w:bottom w:val="single" w:sz="4" w:space="0" w:color="auto"/>
              <w:right w:val="single" w:sz="4" w:space="0" w:color="auto"/>
            </w:tcBorders>
            <w:shd w:val="clear" w:color="auto" w:fill="C6EFCE"/>
            <w:noWrap/>
            <w:vAlign w:val="center"/>
          </w:tcPr>
          <w:p w14:paraId="1F0A4F18"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auto" w:fill="C6EFCE"/>
            <w:noWrap/>
            <w:vAlign w:val="center"/>
          </w:tcPr>
          <w:p w14:paraId="69890BC8"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 xml:space="preserve">Nadobudnutie </w:t>
            </w:r>
            <w:r w:rsidRPr="00083739">
              <w:rPr>
                <w:rFonts w:cs="Times New Roman"/>
                <w:noProof/>
                <w:lang w:val="sk-SK"/>
              </w:rPr>
              <w:t>účinnosti – nástroj výkonnosti súdnych úradníkov</w:t>
            </w:r>
          </w:p>
        </w:tc>
      </w:tr>
      <w:tr w:rsidR="002D49B0" w:rsidRPr="00083739" w14:paraId="7C24AE39"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155052C4"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231</w:t>
            </w:r>
          </w:p>
        </w:tc>
        <w:tc>
          <w:tcPr>
            <w:tcW w:w="4320" w:type="dxa"/>
            <w:tcBorders>
              <w:top w:val="nil"/>
              <w:left w:val="nil"/>
              <w:bottom w:val="single" w:sz="4" w:space="0" w:color="auto"/>
              <w:right w:val="single" w:sz="4" w:space="0" w:color="auto"/>
            </w:tcBorders>
            <w:shd w:val="clear" w:color="auto" w:fill="C6EFCE"/>
            <w:noWrap/>
            <w:vAlign w:val="center"/>
          </w:tcPr>
          <w:p w14:paraId="4583E9A4"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 14 – 4.3. Zlepšiť efektívnosť justičného systému – 16292_Nové budovy súdnictva</w:t>
            </w:r>
          </w:p>
        </w:tc>
        <w:tc>
          <w:tcPr>
            <w:tcW w:w="1680" w:type="dxa"/>
            <w:tcBorders>
              <w:top w:val="nil"/>
              <w:left w:val="nil"/>
              <w:bottom w:val="single" w:sz="4" w:space="0" w:color="auto"/>
              <w:right w:val="single" w:sz="4" w:space="0" w:color="auto"/>
            </w:tcBorders>
            <w:shd w:val="clear" w:color="auto" w:fill="C6EFCE"/>
            <w:noWrap/>
            <w:vAlign w:val="center"/>
          </w:tcPr>
          <w:p w14:paraId="70A71A82"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auto" w:fill="C6EFCE"/>
            <w:noWrap/>
            <w:vAlign w:val="center"/>
          </w:tcPr>
          <w:p w14:paraId="55B0D693"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 xml:space="preserve">Zmluvy </w:t>
            </w:r>
          </w:p>
        </w:tc>
      </w:tr>
      <w:tr w:rsidR="002D49B0" w:rsidRPr="00083739" w14:paraId="40D5CF19"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263CC555"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257</w:t>
            </w:r>
          </w:p>
        </w:tc>
        <w:tc>
          <w:tcPr>
            <w:tcW w:w="4320" w:type="dxa"/>
            <w:tcBorders>
              <w:top w:val="single" w:sz="4" w:space="0" w:color="auto"/>
              <w:left w:val="nil"/>
              <w:bottom w:val="single" w:sz="4" w:space="0" w:color="auto"/>
              <w:right w:val="single" w:sz="4" w:space="0" w:color="auto"/>
            </w:tcBorders>
            <w:shd w:val="clear" w:color="auto" w:fill="C6EFCE"/>
            <w:noWrap/>
            <w:vAlign w:val="center"/>
          </w:tcPr>
          <w:p w14:paraId="046B14D7" w14:textId="4FC6546A"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17 – 4.6. Modernizácia</w:t>
            </w:r>
            <w:r w:rsidR="00083739" w:rsidRPr="00083739">
              <w:rPr>
                <w:rFonts w:cs="Times New Roman"/>
                <w:noProof/>
                <w:lang w:val="sk-SK"/>
              </w:rPr>
              <w:t xml:space="preserve"> a </w:t>
            </w:r>
            <w:r w:rsidRPr="00083739">
              <w:rPr>
                <w:rFonts w:cs="Times New Roman"/>
                <w:noProof/>
                <w:lang w:val="sk-SK"/>
              </w:rPr>
              <w:t xml:space="preserve">zlepšenie odolnosti kľúčových hospodárskych odvetví – 16631_modernizácia </w:t>
            </w:r>
            <w:r w:rsidRPr="00083739">
              <w:rPr>
                <w:rFonts w:cs="Times New Roman"/>
                <w:noProof/>
                <w:lang w:val="sk-SK"/>
              </w:rPr>
              <w:t>bezpečnosti cestnej premávky</w:t>
            </w:r>
          </w:p>
        </w:tc>
        <w:tc>
          <w:tcPr>
            <w:tcW w:w="1680" w:type="dxa"/>
            <w:tcBorders>
              <w:top w:val="nil"/>
              <w:left w:val="nil"/>
              <w:bottom w:val="single" w:sz="4" w:space="0" w:color="auto"/>
              <w:right w:val="single" w:sz="4" w:space="0" w:color="auto"/>
            </w:tcBorders>
            <w:shd w:val="clear" w:color="auto" w:fill="C6EFCE"/>
            <w:noWrap/>
            <w:vAlign w:val="center"/>
          </w:tcPr>
          <w:p w14:paraId="1B0B301C"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auto" w:fill="C6EFCE"/>
            <w:noWrap/>
            <w:vAlign w:val="center"/>
          </w:tcPr>
          <w:p w14:paraId="174157E6" w14:textId="73D86900"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Zadanie zákazky</w:t>
            </w:r>
            <w:r w:rsidR="00083739" w:rsidRPr="00083739">
              <w:rPr>
                <w:rFonts w:cs="Times New Roman"/>
                <w:noProof/>
                <w:lang w:val="sk-SK"/>
              </w:rPr>
              <w:t xml:space="preserve"> v </w:t>
            </w:r>
            <w:r w:rsidRPr="00083739">
              <w:rPr>
                <w:rFonts w:cs="Times New Roman"/>
                <w:noProof/>
                <w:lang w:val="sk-SK"/>
              </w:rPr>
              <w:t>oblasti bezpečnosti cestnej premávky – prvý súbor zákaziek</w:t>
            </w:r>
          </w:p>
        </w:tc>
      </w:tr>
      <w:tr w:rsidR="002D49B0" w:rsidRPr="00083739" w14:paraId="3A77CA17"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6576C2ED"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260</w:t>
            </w:r>
          </w:p>
        </w:tc>
        <w:tc>
          <w:tcPr>
            <w:tcW w:w="4320" w:type="dxa"/>
            <w:tcBorders>
              <w:top w:val="nil"/>
              <w:left w:val="nil"/>
              <w:bottom w:val="single" w:sz="4" w:space="0" w:color="auto"/>
              <w:right w:val="single" w:sz="4" w:space="0" w:color="auto"/>
            </w:tcBorders>
            <w:shd w:val="clear" w:color="auto" w:fill="C6EFCE"/>
            <w:noWrap/>
            <w:vAlign w:val="center"/>
          </w:tcPr>
          <w:p w14:paraId="1820FDEE" w14:textId="722BB3A4"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17 – 4.6. Modernizácia</w:t>
            </w:r>
            <w:r w:rsidR="00083739" w:rsidRPr="00083739">
              <w:rPr>
                <w:rFonts w:cs="Times New Roman"/>
                <w:noProof/>
                <w:lang w:val="sk-SK"/>
              </w:rPr>
              <w:t xml:space="preserve"> a </w:t>
            </w:r>
            <w:r w:rsidRPr="00083739">
              <w:rPr>
                <w:rFonts w:cs="Times New Roman"/>
                <w:noProof/>
                <w:lang w:val="sk-SK"/>
              </w:rPr>
              <w:t>zlepšenie odolnosti kľúčových hospodárskych odvetví – 16630_Cretan Northern Highway (severná diaľnica).</w:t>
            </w:r>
          </w:p>
        </w:tc>
        <w:tc>
          <w:tcPr>
            <w:tcW w:w="1680" w:type="dxa"/>
            <w:tcBorders>
              <w:top w:val="nil"/>
              <w:left w:val="nil"/>
              <w:bottom w:val="single" w:sz="4" w:space="0" w:color="auto"/>
              <w:right w:val="single" w:sz="4" w:space="0" w:color="auto"/>
            </w:tcBorders>
            <w:shd w:val="clear" w:color="auto" w:fill="C6EFCE"/>
            <w:noWrap/>
            <w:vAlign w:val="center"/>
          </w:tcPr>
          <w:p w14:paraId="44BA424B"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auto" w:fill="C6EFCE"/>
            <w:noWrap/>
            <w:vAlign w:val="center"/>
          </w:tcPr>
          <w:p w14:paraId="388DFEE1" w14:textId="29865C30"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Oz</w:t>
            </w:r>
            <w:r w:rsidRPr="00083739">
              <w:rPr>
                <w:rFonts w:cs="Times New Roman"/>
                <w:noProof/>
                <w:lang w:val="sk-SK"/>
              </w:rPr>
              <w:t>námenie</w:t>
            </w:r>
            <w:r w:rsidR="00083739" w:rsidRPr="00083739">
              <w:rPr>
                <w:rFonts w:cs="Times New Roman"/>
                <w:noProof/>
                <w:lang w:val="sk-SK"/>
              </w:rPr>
              <w:t xml:space="preserve"> o </w:t>
            </w:r>
            <w:r w:rsidRPr="00083739">
              <w:rPr>
                <w:rFonts w:cs="Times New Roman"/>
                <w:noProof/>
                <w:lang w:val="sk-SK"/>
              </w:rPr>
              <w:t>zadaní zákaziek na tri podprojekty BOAK</w:t>
            </w:r>
          </w:p>
        </w:tc>
      </w:tr>
      <w:tr w:rsidR="002D49B0" w:rsidRPr="00083739" w14:paraId="33502DDD"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2090B1B8"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267</w:t>
            </w:r>
          </w:p>
        </w:tc>
        <w:tc>
          <w:tcPr>
            <w:tcW w:w="4320" w:type="dxa"/>
            <w:tcBorders>
              <w:top w:val="nil"/>
              <w:left w:val="nil"/>
              <w:bottom w:val="single" w:sz="4" w:space="0" w:color="auto"/>
              <w:right w:val="single" w:sz="4" w:space="0" w:color="auto"/>
            </w:tcBorders>
            <w:shd w:val="clear" w:color="auto" w:fill="C6EFCE"/>
            <w:noWrap/>
            <w:vAlign w:val="center"/>
          </w:tcPr>
          <w:p w14:paraId="69FE9FC1" w14:textId="7E1FD329"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17 – 4.6. Modernizácia</w:t>
            </w:r>
            <w:r w:rsidR="00083739" w:rsidRPr="00083739">
              <w:rPr>
                <w:rFonts w:cs="Times New Roman"/>
                <w:noProof/>
                <w:lang w:val="sk-SK"/>
              </w:rPr>
              <w:t xml:space="preserve"> a </w:t>
            </w:r>
            <w:r w:rsidRPr="00083739">
              <w:rPr>
                <w:rFonts w:cs="Times New Roman"/>
                <w:noProof/>
                <w:lang w:val="sk-SK"/>
              </w:rPr>
              <w:t>zlepšenie odolnosti kľúčových hospodárskych odvetví – 16833_Vykonávanie prác EASA na nápravu súladu</w:t>
            </w:r>
          </w:p>
        </w:tc>
        <w:tc>
          <w:tcPr>
            <w:tcW w:w="1680" w:type="dxa"/>
            <w:tcBorders>
              <w:top w:val="nil"/>
              <w:left w:val="nil"/>
              <w:bottom w:val="single" w:sz="4" w:space="0" w:color="auto"/>
              <w:right w:val="single" w:sz="4" w:space="0" w:color="auto"/>
            </w:tcBorders>
            <w:shd w:val="clear" w:color="auto" w:fill="C6EFCE"/>
            <w:noWrap/>
            <w:vAlign w:val="center"/>
          </w:tcPr>
          <w:p w14:paraId="6843ACFE"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auto" w:fill="C6EFCE"/>
            <w:noWrap/>
            <w:vAlign w:val="center"/>
          </w:tcPr>
          <w:p w14:paraId="07506C1C" w14:textId="599445AC"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Oznámenie</w:t>
            </w:r>
            <w:r w:rsidR="00083739" w:rsidRPr="00083739">
              <w:rPr>
                <w:rFonts w:cs="Times New Roman"/>
                <w:noProof/>
                <w:lang w:val="sk-SK"/>
              </w:rPr>
              <w:t xml:space="preserve"> o </w:t>
            </w:r>
            <w:r w:rsidRPr="00083739">
              <w:rPr>
                <w:rFonts w:cs="Times New Roman"/>
                <w:noProof/>
                <w:lang w:val="sk-SK"/>
              </w:rPr>
              <w:t xml:space="preserve">zadaní zákazky za práce Agentúry Európskej únie pre </w:t>
            </w:r>
            <w:r w:rsidRPr="00083739">
              <w:rPr>
                <w:rFonts w:cs="Times New Roman"/>
                <w:noProof/>
                <w:lang w:val="sk-SK"/>
              </w:rPr>
              <w:t>bezpečnosť letectva (EASA) na regionálnych letiskách</w:t>
            </w:r>
          </w:p>
        </w:tc>
      </w:tr>
      <w:tr w:rsidR="002D49B0" w:rsidRPr="00083739" w14:paraId="55319D6F" w14:textId="77777777">
        <w:trPr>
          <w:trHeight w:val="302"/>
        </w:trPr>
        <w:tc>
          <w:tcPr>
            <w:tcW w:w="1795"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5FC39E6"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c>
          <w:tcPr>
            <w:tcW w:w="4320" w:type="dxa"/>
            <w:tcBorders>
              <w:top w:val="single" w:sz="4" w:space="0" w:color="auto"/>
              <w:left w:val="nil"/>
              <w:bottom w:val="single" w:sz="4" w:space="0" w:color="auto"/>
              <w:right w:val="single" w:sz="4" w:space="0" w:color="auto"/>
            </w:tcBorders>
            <w:shd w:val="clear" w:color="auto" w:fill="C6EFCE"/>
            <w:noWrap/>
            <w:vAlign w:val="bottom"/>
          </w:tcPr>
          <w:p w14:paraId="5845F263"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c>
          <w:tcPr>
            <w:tcW w:w="1680" w:type="dxa"/>
            <w:tcBorders>
              <w:top w:val="single" w:sz="4" w:space="0" w:color="auto"/>
              <w:left w:val="nil"/>
              <w:bottom w:val="single" w:sz="4" w:space="0" w:color="auto"/>
              <w:right w:val="single" w:sz="4" w:space="0" w:color="auto"/>
            </w:tcBorders>
            <w:shd w:val="clear" w:color="auto" w:fill="C6EFCE"/>
            <w:noWrap/>
            <w:vAlign w:val="bottom"/>
          </w:tcPr>
          <w:p w14:paraId="0E70A4E6" w14:textId="77777777" w:rsidR="002D49B0" w:rsidRPr="00083739" w:rsidRDefault="00BF4125">
            <w:pPr>
              <w:pStyle w:val="P68B1DB1-Normal8"/>
              <w:keepNext/>
              <w:spacing w:before="40" w:after="0" w:line="259" w:lineRule="auto"/>
              <w:jc w:val="both"/>
              <w:rPr>
                <w:rFonts w:eastAsia="Times New Roman" w:cs="Times New Roman"/>
                <w:noProof/>
                <w:szCs w:val="18"/>
                <w:lang w:val="sk-SK"/>
              </w:rPr>
            </w:pPr>
            <w:r w:rsidRPr="00083739">
              <w:rPr>
                <w:rFonts w:cs="Times New Roman"/>
                <w:noProof/>
                <w:lang w:val="sk-SK"/>
              </w:rPr>
              <w:t>Suma splátky</w:t>
            </w:r>
          </w:p>
        </w:tc>
        <w:tc>
          <w:tcPr>
            <w:tcW w:w="1800" w:type="dxa"/>
            <w:tcBorders>
              <w:top w:val="single" w:sz="4" w:space="0" w:color="auto"/>
              <w:left w:val="nil"/>
              <w:bottom w:val="single" w:sz="4" w:space="0" w:color="auto"/>
              <w:right w:val="single" w:sz="4" w:space="0" w:color="auto"/>
            </w:tcBorders>
            <w:shd w:val="clear" w:color="auto" w:fill="C6EFCE"/>
            <w:noWrap/>
            <w:vAlign w:val="bottom"/>
          </w:tcPr>
          <w:p w14:paraId="1272B25F" w14:textId="47FCF559" w:rsidR="002D49B0" w:rsidRPr="00083739" w:rsidRDefault="00BF4125">
            <w:pPr>
              <w:pStyle w:val="P68B1DB1-Normal8"/>
              <w:keepNext/>
              <w:spacing w:before="40" w:after="0" w:line="259" w:lineRule="auto"/>
              <w:jc w:val="both"/>
              <w:rPr>
                <w:rFonts w:eastAsia="Times New Roman" w:cs="Times New Roman"/>
                <w:noProof/>
                <w:szCs w:val="18"/>
                <w:lang w:val="sk-SK"/>
              </w:rPr>
            </w:pPr>
            <w:r w:rsidRPr="00083739">
              <w:rPr>
                <w:rFonts w:cs="Times New Roman"/>
                <w:noProof/>
                <w:lang w:val="sk-SK"/>
              </w:rPr>
              <w:t>1 155 362 463 EUR</w:t>
            </w:r>
          </w:p>
        </w:tc>
      </w:tr>
    </w:tbl>
    <w:p w14:paraId="6B718AA1" w14:textId="77777777" w:rsidR="002D49B0" w:rsidRPr="00083739" w:rsidRDefault="002D49B0">
      <w:pPr>
        <w:keepNext/>
        <w:spacing w:before="40" w:after="0" w:line="259" w:lineRule="auto"/>
        <w:jc w:val="both"/>
        <w:rPr>
          <w:rFonts w:ascii="Times New Roman" w:eastAsia="Times New Roman" w:hAnsi="Times New Roman" w:cs="Times New Roman"/>
          <w:bCs/>
          <w:noProof/>
          <w:sz w:val="24"/>
          <w:szCs w:val="26"/>
          <w:lang w:val="sk-SK"/>
        </w:rPr>
      </w:pPr>
    </w:p>
    <w:p w14:paraId="7DE0447C" w14:textId="7EB7A6BB" w:rsidR="002D49B0" w:rsidRPr="00083739" w:rsidRDefault="00BF4125">
      <w:pPr>
        <w:pStyle w:val="P68B1DB1-Normal4"/>
        <w:keepNext/>
        <w:numPr>
          <w:ilvl w:val="1"/>
          <w:numId w:val="22"/>
        </w:numPr>
        <w:spacing w:before="40" w:after="160" w:line="259" w:lineRule="auto"/>
        <w:ind w:left="0"/>
        <w:contextualSpacing/>
        <w:jc w:val="both"/>
        <w:rPr>
          <w:rFonts w:eastAsia="Times New Roman" w:cs="Times New Roman"/>
          <w:noProof/>
          <w:lang w:val="sk-SK"/>
        </w:rPr>
      </w:pPr>
      <w:r w:rsidRPr="00083739">
        <w:rPr>
          <w:rFonts w:cs="Times New Roman"/>
          <w:noProof/>
          <w:lang w:val="sk-SK"/>
        </w:rPr>
        <w:t xml:space="preserve"> Piata žiadosť</w:t>
      </w:r>
      <w:r w:rsidR="00083739" w:rsidRPr="00083739">
        <w:rPr>
          <w:rFonts w:cs="Times New Roman"/>
          <w:noProof/>
          <w:lang w:val="sk-SK"/>
        </w:rPr>
        <w:t xml:space="preserve"> o </w:t>
      </w:r>
      <w:r w:rsidRPr="00083739">
        <w:rPr>
          <w:rFonts w:cs="Times New Roman"/>
          <w:noProof/>
          <w:lang w:val="sk-SK"/>
        </w:rPr>
        <w:t>platbu (nenávratná podpora):</w:t>
      </w:r>
    </w:p>
    <w:p w14:paraId="5255ED44" w14:textId="77777777" w:rsidR="002D49B0" w:rsidRPr="00083739" w:rsidRDefault="002D49B0">
      <w:pPr>
        <w:keepNext/>
        <w:spacing w:before="40" w:after="160" w:line="259" w:lineRule="auto"/>
        <w:contextualSpacing/>
        <w:jc w:val="both"/>
        <w:rPr>
          <w:rFonts w:ascii="Times New Roman" w:eastAsia="Times New Roman" w:hAnsi="Times New Roman" w:cs="Times New Roman"/>
          <w:noProof/>
          <w:sz w:val="24"/>
          <w:lang w:val="sk-SK"/>
        </w:rPr>
      </w:pPr>
    </w:p>
    <w:tbl>
      <w:tblPr>
        <w:tblpPr w:leftFromText="180" w:rightFromText="180" w:vertAnchor="text" w:tblpX="-252" w:tblpY="1"/>
        <w:tblOverlap w:val="never"/>
        <w:tblW w:w="9595" w:type="dxa"/>
        <w:tblLayout w:type="fixed"/>
        <w:tblLook w:val="04A0" w:firstRow="1" w:lastRow="0" w:firstColumn="1" w:lastColumn="0" w:noHBand="0" w:noVBand="1"/>
      </w:tblPr>
      <w:tblGrid>
        <w:gridCol w:w="1795"/>
        <w:gridCol w:w="4320"/>
        <w:gridCol w:w="1680"/>
        <w:gridCol w:w="1800"/>
      </w:tblGrid>
      <w:tr w:rsidR="002D49B0" w:rsidRPr="00083739" w14:paraId="2FC51C32" w14:textId="77777777">
        <w:trPr>
          <w:trHeight w:val="906"/>
          <w:tblHeader/>
        </w:trPr>
        <w:tc>
          <w:tcPr>
            <w:tcW w:w="179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FB04EF2" w14:textId="77777777" w:rsidR="002D49B0" w:rsidRPr="00083739" w:rsidRDefault="00BF4125">
            <w:pPr>
              <w:pStyle w:val="P68B1DB1-Normal7"/>
              <w:keepNext/>
              <w:spacing w:before="40" w:after="0" w:line="259" w:lineRule="auto"/>
              <w:jc w:val="center"/>
              <w:rPr>
                <w:rFonts w:eastAsia="Times New Roman" w:cs="Times New Roman"/>
                <w:bCs/>
                <w:noProof/>
                <w:szCs w:val="18"/>
                <w:lang w:val="sk-SK"/>
              </w:rPr>
            </w:pPr>
            <w:r w:rsidRPr="00083739">
              <w:rPr>
                <w:rFonts w:cs="Times New Roman"/>
                <w:noProof/>
                <w:lang w:val="sk-SK"/>
              </w:rPr>
              <w:t>Poradové číslo</w:t>
            </w:r>
          </w:p>
        </w:tc>
        <w:tc>
          <w:tcPr>
            <w:tcW w:w="432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9D1642B" w14:textId="77777777" w:rsidR="002D49B0" w:rsidRPr="00083739" w:rsidRDefault="00BF4125">
            <w:pPr>
              <w:pStyle w:val="P68B1DB1-Normal7"/>
              <w:keepNext/>
              <w:spacing w:before="40" w:after="0" w:line="259" w:lineRule="auto"/>
              <w:jc w:val="center"/>
              <w:rPr>
                <w:rFonts w:eastAsia="Times New Roman" w:cs="Times New Roman"/>
                <w:bCs/>
                <w:noProof/>
                <w:szCs w:val="18"/>
                <w:lang w:val="sk-SK"/>
              </w:rPr>
            </w:pPr>
            <w:r w:rsidRPr="00083739">
              <w:rPr>
                <w:rFonts w:cs="Times New Roman"/>
                <w:noProof/>
                <w:lang w:val="sk-SK"/>
              </w:rPr>
              <w:t>Súvisiace opatrenie (reforma alebo investícia)</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0FC9FB0" w14:textId="77777777" w:rsidR="002D49B0" w:rsidRPr="00083739" w:rsidRDefault="00BF4125">
            <w:pPr>
              <w:pStyle w:val="P68B1DB1-Normal7"/>
              <w:keepNext/>
              <w:spacing w:before="40" w:after="0" w:line="259" w:lineRule="auto"/>
              <w:jc w:val="center"/>
              <w:rPr>
                <w:rFonts w:eastAsia="Times New Roman" w:cs="Times New Roman"/>
                <w:bCs/>
                <w:noProof/>
                <w:szCs w:val="18"/>
                <w:lang w:val="sk-SK"/>
              </w:rPr>
            </w:pPr>
            <w:r w:rsidRPr="00083739">
              <w:rPr>
                <w:rFonts w:cs="Times New Roman"/>
                <w:noProof/>
                <w:lang w:val="sk-SK"/>
              </w:rPr>
              <w:t>Míľnik/cieľ</w:t>
            </w:r>
          </w:p>
        </w:tc>
        <w:tc>
          <w:tcPr>
            <w:tcW w:w="1800" w:type="dxa"/>
            <w:vMerge w:val="restart"/>
            <w:tcBorders>
              <w:top w:val="single" w:sz="4" w:space="0" w:color="auto"/>
              <w:left w:val="nil"/>
              <w:bottom w:val="single" w:sz="4" w:space="0" w:color="auto"/>
              <w:right w:val="single" w:sz="4" w:space="0" w:color="auto"/>
            </w:tcBorders>
            <w:shd w:val="clear" w:color="auto" w:fill="BDD7EE"/>
            <w:vAlign w:val="center"/>
            <w:hideMark/>
          </w:tcPr>
          <w:p w14:paraId="7686E326" w14:textId="77777777" w:rsidR="002D49B0" w:rsidRPr="00083739" w:rsidRDefault="00BF4125">
            <w:pPr>
              <w:pStyle w:val="P68B1DB1-Normal7"/>
              <w:keepNext/>
              <w:spacing w:before="40" w:after="0" w:line="259" w:lineRule="auto"/>
              <w:jc w:val="center"/>
              <w:rPr>
                <w:rFonts w:eastAsia="Times New Roman" w:cs="Times New Roman"/>
                <w:bCs/>
                <w:noProof/>
                <w:szCs w:val="18"/>
                <w:lang w:val="sk-SK"/>
              </w:rPr>
            </w:pPr>
            <w:r w:rsidRPr="00083739">
              <w:rPr>
                <w:rFonts w:cs="Times New Roman"/>
                <w:noProof/>
                <w:lang w:val="sk-SK"/>
              </w:rPr>
              <w:t>Názov</w:t>
            </w:r>
          </w:p>
        </w:tc>
      </w:tr>
      <w:tr w:rsidR="002D49B0" w:rsidRPr="00083739" w14:paraId="62CF41AE" w14:textId="77777777">
        <w:trPr>
          <w:trHeight w:val="990"/>
        </w:trPr>
        <w:tc>
          <w:tcPr>
            <w:tcW w:w="1795" w:type="dxa"/>
            <w:vMerge/>
            <w:tcBorders>
              <w:top w:val="single" w:sz="4" w:space="0" w:color="auto"/>
              <w:left w:val="single" w:sz="4" w:space="0" w:color="auto"/>
              <w:bottom w:val="single" w:sz="4" w:space="0" w:color="auto"/>
              <w:right w:val="single" w:sz="4" w:space="0" w:color="auto"/>
            </w:tcBorders>
            <w:vAlign w:val="center"/>
            <w:hideMark/>
          </w:tcPr>
          <w:p w14:paraId="37D7850E"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c>
          <w:tcPr>
            <w:tcW w:w="4320" w:type="dxa"/>
            <w:vMerge/>
            <w:tcBorders>
              <w:top w:val="single" w:sz="4" w:space="0" w:color="auto"/>
              <w:left w:val="single" w:sz="4" w:space="0" w:color="auto"/>
              <w:bottom w:val="single" w:sz="4" w:space="0" w:color="auto"/>
              <w:right w:val="single" w:sz="4" w:space="0" w:color="auto"/>
            </w:tcBorders>
            <w:vAlign w:val="center"/>
            <w:hideMark/>
          </w:tcPr>
          <w:p w14:paraId="62182A39"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c>
          <w:tcPr>
            <w:tcW w:w="1680" w:type="dxa"/>
            <w:vMerge/>
            <w:tcBorders>
              <w:top w:val="single" w:sz="4" w:space="0" w:color="auto"/>
              <w:left w:val="single" w:sz="4" w:space="0" w:color="auto"/>
              <w:bottom w:val="single" w:sz="4" w:space="0" w:color="auto"/>
              <w:right w:val="single" w:sz="4" w:space="0" w:color="auto"/>
            </w:tcBorders>
            <w:vAlign w:val="center"/>
            <w:hideMark/>
          </w:tcPr>
          <w:p w14:paraId="5418B921"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14:paraId="5382FA75"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r>
      <w:tr w:rsidR="002D49B0" w:rsidRPr="00083739" w14:paraId="448A8FD2" w14:textId="77777777">
        <w:trPr>
          <w:trHeight w:val="302"/>
        </w:trPr>
        <w:tc>
          <w:tcPr>
            <w:tcW w:w="1795"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44178E9F"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12</w:t>
            </w:r>
          </w:p>
        </w:tc>
        <w:tc>
          <w:tcPr>
            <w:tcW w:w="4320" w:type="dxa"/>
            <w:tcBorders>
              <w:top w:val="single" w:sz="4" w:space="0" w:color="auto"/>
              <w:left w:val="nil"/>
              <w:bottom w:val="single" w:sz="4" w:space="0" w:color="auto"/>
              <w:right w:val="single" w:sz="4" w:space="0" w:color="auto"/>
            </w:tcBorders>
            <w:shd w:val="clear" w:color="auto" w:fill="C6EFCE"/>
            <w:noWrap/>
            <w:vAlign w:val="center"/>
          </w:tcPr>
          <w:p w14:paraId="56C73E81" w14:textId="3BB6C7DC"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 – 1.1. Power up</w:t>
            </w:r>
            <w:r w:rsidRPr="00083739">
              <w:rPr>
                <w:rFonts w:cs="Times New Roman"/>
                <w:noProof/>
                <w:lang w:val="sk-SK"/>
              </w:rPr>
              <w:t xml:space="preserve"> – 16901_HEDNO modernizácia siete zameraná na zvýšenie odolnosti</w:t>
            </w:r>
            <w:r w:rsidR="00083739" w:rsidRPr="00083739">
              <w:rPr>
                <w:rFonts w:cs="Times New Roman"/>
                <w:noProof/>
                <w:lang w:val="sk-SK"/>
              </w:rPr>
              <w:t xml:space="preserve"> a </w:t>
            </w:r>
            <w:r w:rsidRPr="00083739">
              <w:rPr>
                <w:rFonts w:cs="Times New Roman"/>
                <w:noProof/>
                <w:lang w:val="sk-SK"/>
              </w:rPr>
              <w:t>ochranu životného prostredia</w:t>
            </w:r>
          </w:p>
        </w:tc>
        <w:tc>
          <w:tcPr>
            <w:tcW w:w="1680" w:type="dxa"/>
            <w:tcBorders>
              <w:top w:val="single" w:sz="4" w:space="0" w:color="auto"/>
              <w:left w:val="nil"/>
              <w:bottom w:val="single" w:sz="4" w:space="0" w:color="auto"/>
              <w:right w:val="single" w:sz="4" w:space="0" w:color="auto"/>
            </w:tcBorders>
            <w:shd w:val="clear" w:color="auto" w:fill="C6EFCE"/>
            <w:noWrap/>
            <w:vAlign w:val="center"/>
          </w:tcPr>
          <w:p w14:paraId="34B5C56A"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Míľnik</w:t>
            </w:r>
          </w:p>
        </w:tc>
        <w:tc>
          <w:tcPr>
            <w:tcW w:w="1800" w:type="dxa"/>
            <w:tcBorders>
              <w:top w:val="single" w:sz="4" w:space="0" w:color="auto"/>
              <w:left w:val="nil"/>
              <w:bottom w:val="single" w:sz="4" w:space="0" w:color="auto"/>
              <w:right w:val="single" w:sz="4" w:space="0" w:color="auto"/>
            </w:tcBorders>
            <w:shd w:val="clear" w:color="auto" w:fill="C6EFCE"/>
            <w:noWrap/>
            <w:vAlign w:val="center"/>
          </w:tcPr>
          <w:p w14:paraId="3C633239"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HEDNO – zmluvy 1</w:t>
            </w:r>
          </w:p>
        </w:tc>
      </w:tr>
      <w:tr w:rsidR="002D49B0" w:rsidRPr="00083739" w14:paraId="50432E06"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12BC4056"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13</w:t>
            </w:r>
          </w:p>
        </w:tc>
        <w:tc>
          <w:tcPr>
            <w:tcW w:w="4320" w:type="dxa"/>
            <w:tcBorders>
              <w:top w:val="nil"/>
              <w:left w:val="nil"/>
              <w:bottom w:val="single" w:sz="4" w:space="0" w:color="auto"/>
              <w:right w:val="single" w:sz="4" w:space="0" w:color="auto"/>
            </w:tcBorders>
            <w:shd w:val="clear" w:color="auto" w:fill="C6EFCE"/>
            <w:noWrap/>
            <w:vAlign w:val="center"/>
          </w:tcPr>
          <w:p w14:paraId="5AFCDCF0" w14:textId="6F23034A"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 – 1.1. Power up – 16900_HEDNO – modernizácia nadzemnej siete</w:t>
            </w:r>
            <w:r w:rsidR="00083739" w:rsidRPr="00083739">
              <w:rPr>
                <w:rFonts w:cs="Times New Roman"/>
                <w:noProof/>
                <w:lang w:val="sk-SK"/>
              </w:rPr>
              <w:t xml:space="preserve"> v </w:t>
            </w:r>
            <w:r w:rsidRPr="00083739">
              <w:rPr>
                <w:rFonts w:cs="Times New Roman"/>
                <w:noProof/>
                <w:lang w:val="sk-SK"/>
              </w:rPr>
              <w:t>lesných oblastiach</w:t>
            </w:r>
          </w:p>
        </w:tc>
        <w:tc>
          <w:tcPr>
            <w:tcW w:w="1680" w:type="dxa"/>
            <w:tcBorders>
              <w:top w:val="nil"/>
              <w:left w:val="nil"/>
              <w:bottom w:val="single" w:sz="4" w:space="0" w:color="auto"/>
              <w:right w:val="single" w:sz="4" w:space="0" w:color="auto"/>
            </w:tcBorders>
            <w:shd w:val="clear" w:color="auto" w:fill="C6EFCE"/>
            <w:noWrap/>
            <w:vAlign w:val="center"/>
          </w:tcPr>
          <w:p w14:paraId="31B4B7C8"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auto" w:fill="C6EFCE"/>
            <w:noWrap/>
            <w:vAlign w:val="center"/>
          </w:tcPr>
          <w:p w14:paraId="7CFB5044"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HEDNO – zmluvy 2</w:t>
            </w:r>
          </w:p>
        </w:tc>
      </w:tr>
      <w:tr w:rsidR="002D49B0" w:rsidRPr="00083739" w14:paraId="56F066BB"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3C49769E"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14</w:t>
            </w:r>
          </w:p>
        </w:tc>
        <w:tc>
          <w:tcPr>
            <w:tcW w:w="4320" w:type="dxa"/>
            <w:tcBorders>
              <w:top w:val="nil"/>
              <w:left w:val="nil"/>
              <w:bottom w:val="single" w:sz="4" w:space="0" w:color="auto"/>
              <w:right w:val="single" w:sz="4" w:space="0" w:color="auto"/>
            </w:tcBorders>
            <w:shd w:val="clear" w:color="auto" w:fill="C6EFCE"/>
            <w:noWrap/>
            <w:vAlign w:val="center"/>
          </w:tcPr>
          <w:p w14:paraId="69586E74" w14:textId="5C7F0FE0"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 – 1.1. Napájanie –</w:t>
            </w:r>
            <w:r w:rsidRPr="00083739">
              <w:rPr>
                <w:rFonts w:cs="Times New Roman"/>
                <w:noProof/>
                <w:lang w:val="sk-SK"/>
              </w:rPr>
              <w:t xml:space="preserve"> 16899_Inštalované zvýšenie kapacity</w:t>
            </w:r>
            <w:r w:rsidR="00083739" w:rsidRPr="00083739">
              <w:rPr>
                <w:rFonts w:cs="Times New Roman"/>
                <w:noProof/>
                <w:lang w:val="sk-SK"/>
              </w:rPr>
              <w:t xml:space="preserve"> v </w:t>
            </w:r>
            <w:r w:rsidRPr="00083739">
              <w:rPr>
                <w:rFonts w:cs="Times New Roman"/>
                <w:noProof/>
                <w:lang w:val="sk-SK"/>
              </w:rPr>
              <w:t>HV/MV rozvodniach gréckeho prevádzkovateľa distribučnej siete (HEDNO) pre nové pripojenie OZE</w:t>
            </w:r>
          </w:p>
        </w:tc>
        <w:tc>
          <w:tcPr>
            <w:tcW w:w="1680" w:type="dxa"/>
            <w:tcBorders>
              <w:top w:val="nil"/>
              <w:left w:val="nil"/>
              <w:bottom w:val="single" w:sz="4" w:space="0" w:color="auto"/>
              <w:right w:val="single" w:sz="4" w:space="0" w:color="auto"/>
            </w:tcBorders>
            <w:shd w:val="clear" w:color="auto" w:fill="C6EFCE"/>
            <w:noWrap/>
            <w:vAlign w:val="center"/>
          </w:tcPr>
          <w:p w14:paraId="009236EE"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auto" w:fill="C6EFCE"/>
            <w:noWrap/>
            <w:vAlign w:val="center"/>
          </w:tcPr>
          <w:p w14:paraId="0451F353"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HEDNO – zmluvy 3</w:t>
            </w:r>
          </w:p>
        </w:tc>
      </w:tr>
      <w:tr w:rsidR="002D49B0" w:rsidRPr="00083739" w14:paraId="5FF43FAA"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5FA20661"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23</w:t>
            </w:r>
          </w:p>
        </w:tc>
        <w:tc>
          <w:tcPr>
            <w:tcW w:w="4320" w:type="dxa"/>
            <w:tcBorders>
              <w:top w:val="nil"/>
              <w:left w:val="nil"/>
              <w:bottom w:val="single" w:sz="4" w:space="0" w:color="auto"/>
              <w:right w:val="single" w:sz="4" w:space="0" w:color="auto"/>
            </w:tcBorders>
            <w:shd w:val="clear" w:color="auto" w:fill="C6EFCE"/>
            <w:noWrap/>
            <w:vAlign w:val="center"/>
          </w:tcPr>
          <w:p w14:paraId="65DBAE26"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 – 1.2. Renovácia – 16872_Energetická obnova obytných budov</w:t>
            </w:r>
          </w:p>
        </w:tc>
        <w:tc>
          <w:tcPr>
            <w:tcW w:w="1680" w:type="dxa"/>
            <w:tcBorders>
              <w:top w:val="nil"/>
              <w:left w:val="nil"/>
              <w:bottom w:val="single" w:sz="4" w:space="0" w:color="auto"/>
              <w:right w:val="single" w:sz="4" w:space="0" w:color="auto"/>
            </w:tcBorders>
            <w:shd w:val="clear" w:color="auto" w:fill="C6EFCE"/>
            <w:noWrap/>
            <w:vAlign w:val="center"/>
          </w:tcPr>
          <w:p w14:paraId="37B4CBC3"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Cieľ</w:t>
            </w:r>
          </w:p>
        </w:tc>
        <w:tc>
          <w:tcPr>
            <w:tcW w:w="1800" w:type="dxa"/>
            <w:tcBorders>
              <w:top w:val="nil"/>
              <w:left w:val="nil"/>
              <w:bottom w:val="single" w:sz="4" w:space="0" w:color="auto"/>
              <w:right w:val="single" w:sz="4" w:space="0" w:color="auto"/>
            </w:tcBorders>
            <w:shd w:val="clear" w:color="auto" w:fill="C6EFCE"/>
            <w:noWrap/>
            <w:vAlign w:val="center"/>
          </w:tcPr>
          <w:p w14:paraId="2DF9B728"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Obnova obytných jednotiek – o</w:t>
            </w:r>
            <w:r w:rsidRPr="00083739">
              <w:rPr>
                <w:rFonts w:cs="Times New Roman"/>
                <w:noProof/>
                <w:lang w:val="sk-SK"/>
              </w:rPr>
              <w:t>bnova obydlí #1</w:t>
            </w:r>
          </w:p>
        </w:tc>
      </w:tr>
      <w:tr w:rsidR="002D49B0" w:rsidRPr="00083739" w14:paraId="084A2B90"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383B3732"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28</w:t>
            </w:r>
          </w:p>
        </w:tc>
        <w:tc>
          <w:tcPr>
            <w:tcW w:w="4320" w:type="dxa"/>
            <w:tcBorders>
              <w:top w:val="nil"/>
              <w:left w:val="nil"/>
              <w:bottom w:val="single" w:sz="4" w:space="0" w:color="auto"/>
              <w:right w:val="single" w:sz="4" w:space="0" w:color="auto"/>
            </w:tcBorders>
            <w:shd w:val="clear" w:color="auto" w:fill="C6EFCE"/>
            <w:noWrap/>
            <w:vAlign w:val="center"/>
          </w:tcPr>
          <w:p w14:paraId="52C15C38"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 – 1.2. Renovácia – 16879_Príprava mestských plánov pri vykonávaní reformy mestskej politiky</w:t>
            </w:r>
          </w:p>
        </w:tc>
        <w:tc>
          <w:tcPr>
            <w:tcW w:w="1680" w:type="dxa"/>
            <w:tcBorders>
              <w:top w:val="nil"/>
              <w:left w:val="nil"/>
              <w:bottom w:val="single" w:sz="4" w:space="0" w:color="auto"/>
              <w:right w:val="single" w:sz="4" w:space="0" w:color="auto"/>
            </w:tcBorders>
            <w:shd w:val="clear" w:color="auto" w:fill="C6EFCE"/>
            <w:noWrap/>
            <w:vAlign w:val="center"/>
          </w:tcPr>
          <w:p w14:paraId="5EFBAF20"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auto" w:fill="C6EFCE"/>
            <w:noWrap/>
            <w:vAlign w:val="center"/>
          </w:tcPr>
          <w:p w14:paraId="787A5635"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Ocenenie za mestské plány</w:t>
            </w:r>
          </w:p>
        </w:tc>
      </w:tr>
      <w:tr w:rsidR="002D49B0" w:rsidRPr="00083739" w14:paraId="4D45108E"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2075F3FA" w14:textId="77777777"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33</w:t>
            </w:r>
          </w:p>
        </w:tc>
        <w:tc>
          <w:tcPr>
            <w:tcW w:w="4320" w:type="dxa"/>
            <w:tcBorders>
              <w:top w:val="nil"/>
              <w:left w:val="nil"/>
              <w:bottom w:val="single" w:sz="4" w:space="0" w:color="auto"/>
              <w:right w:val="single" w:sz="4" w:space="0" w:color="auto"/>
            </w:tcBorders>
            <w:shd w:val="clear" w:color="auto" w:fill="C6EFCE"/>
            <w:noWrap/>
            <w:vAlign w:val="center"/>
          </w:tcPr>
          <w:p w14:paraId="681D8E4B" w14:textId="1530CBC8"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2 – 1.2. Renovácia – 16874_Energia</w:t>
            </w:r>
            <w:r w:rsidR="00083739" w:rsidRPr="00083739">
              <w:rPr>
                <w:rFonts w:cs="Times New Roman"/>
                <w:noProof/>
                <w:lang w:val="sk-SK"/>
              </w:rPr>
              <w:t xml:space="preserve"> a </w:t>
            </w:r>
            <w:r w:rsidRPr="00083739">
              <w:rPr>
                <w:rFonts w:cs="Times New Roman"/>
                <w:noProof/>
                <w:lang w:val="sk-SK"/>
              </w:rPr>
              <w:t>podnikanie</w:t>
            </w:r>
          </w:p>
        </w:tc>
        <w:tc>
          <w:tcPr>
            <w:tcW w:w="1680" w:type="dxa"/>
            <w:tcBorders>
              <w:top w:val="nil"/>
              <w:left w:val="nil"/>
              <w:bottom w:val="single" w:sz="4" w:space="0" w:color="auto"/>
              <w:right w:val="single" w:sz="4" w:space="0" w:color="auto"/>
            </w:tcBorders>
            <w:shd w:val="clear" w:color="auto" w:fill="C6EFCE"/>
            <w:noWrap/>
            <w:vAlign w:val="center"/>
          </w:tcPr>
          <w:p w14:paraId="50E8B03B" w14:textId="77777777"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auto" w:fill="C6EFCE"/>
            <w:noWrap/>
            <w:vAlign w:val="center"/>
          </w:tcPr>
          <w:p w14:paraId="09BDB13C" w14:textId="77777777"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 xml:space="preserve">Energetická efektívnosť súkromný sektor – </w:t>
            </w:r>
            <w:r w:rsidRPr="00083739">
              <w:rPr>
                <w:rFonts w:cs="Times New Roman"/>
                <w:noProof/>
                <w:lang w:val="sk-SK"/>
              </w:rPr>
              <w:t>schválené žiadosti</w:t>
            </w:r>
          </w:p>
        </w:tc>
      </w:tr>
      <w:tr w:rsidR="002D49B0" w:rsidRPr="00083739" w14:paraId="1A48F2E0"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6D98F58B" w14:textId="77777777"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38</w:t>
            </w:r>
          </w:p>
        </w:tc>
        <w:tc>
          <w:tcPr>
            <w:tcW w:w="4320" w:type="dxa"/>
            <w:tcBorders>
              <w:top w:val="nil"/>
              <w:left w:val="nil"/>
              <w:bottom w:val="single" w:sz="4" w:space="0" w:color="auto"/>
              <w:right w:val="single" w:sz="4" w:space="0" w:color="auto"/>
            </w:tcBorders>
            <w:shd w:val="clear" w:color="auto" w:fill="C6EFCE"/>
            <w:noWrap/>
            <w:vAlign w:val="center"/>
          </w:tcPr>
          <w:p w14:paraId="2010CD29" w14:textId="6DB6041B"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2 – 1.2. Renovácia – 16873_ Intervencie</w:t>
            </w:r>
            <w:r w:rsidR="00083739" w:rsidRPr="00083739">
              <w:rPr>
                <w:rFonts w:cs="Times New Roman"/>
                <w:noProof/>
                <w:lang w:val="sk-SK"/>
              </w:rPr>
              <w:t xml:space="preserve"> v </w:t>
            </w:r>
            <w:r w:rsidRPr="00083739">
              <w:rPr>
                <w:rFonts w:cs="Times New Roman"/>
                <w:noProof/>
                <w:lang w:val="sk-SK"/>
              </w:rPr>
              <w:t>obytných oblastiach</w:t>
            </w:r>
            <w:r w:rsidR="00083739" w:rsidRPr="00083739">
              <w:rPr>
                <w:rFonts w:cs="Times New Roman"/>
                <w:noProof/>
                <w:lang w:val="sk-SK"/>
              </w:rPr>
              <w:t xml:space="preserve"> a </w:t>
            </w:r>
            <w:r w:rsidRPr="00083739">
              <w:rPr>
                <w:rFonts w:cs="Times New Roman"/>
                <w:noProof/>
                <w:lang w:val="sk-SK"/>
              </w:rPr>
              <w:t>vo fonde budov</w:t>
            </w:r>
          </w:p>
        </w:tc>
        <w:tc>
          <w:tcPr>
            <w:tcW w:w="1680" w:type="dxa"/>
            <w:tcBorders>
              <w:top w:val="nil"/>
              <w:left w:val="nil"/>
              <w:bottom w:val="single" w:sz="4" w:space="0" w:color="auto"/>
              <w:right w:val="single" w:sz="4" w:space="0" w:color="auto"/>
            </w:tcBorders>
            <w:shd w:val="clear" w:color="auto" w:fill="C6EFCE"/>
            <w:noWrap/>
            <w:vAlign w:val="center"/>
          </w:tcPr>
          <w:p w14:paraId="3F9B5485" w14:textId="77777777"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auto" w:fill="C6EFCE"/>
            <w:noWrap/>
            <w:vAlign w:val="center"/>
          </w:tcPr>
          <w:p w14:paraId="450635C0" w14:textId="77777777"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Mestské intervencie – zadávanie zákaziek</w:t>
            </w:r>
          </w:p>
        </w:tc>
      </w:tr>
      <w:tr w:rsidR="002D49B0" w:rsidRPr="00083739" w14:paraId="2522F3DD"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7B9A32F8"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50</w:t>
            </w:r>
          </w:p>
        </w:tc>
        <w:tc>
          <w:tcPr>
            <w:tcW w:w="4320" w:type="dxa"/>
            <w:tcBorders>
              <w:top w:val="nil"/>
              <w:left w:val="nil"/>
              <w:bottom w:val="single" w:sz="4" w:space="0" w:color="auto"/>
              <w:right w:val="single" w:sz="4" w:space="0" w:color="auto"/>
            </w:tcBorders>
            <w:shd w:val="clear" w:color="auto" w:fill="C6EFCE"/>
            <w:noWrap/>
            <w:vAlign w:val="center"/>
          </w:tcPr>
          <w:p w14:paraId="65A24BC1" w14:textId="7859CB0B"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3 – 1.3. Dobíjanie</w:t>
            </w:r>
            <w:r w:rsidR="00083739" w:rsidRPr="00083739">
              <w:rPr>
                <w:rFonts w:cs="Times New Roman"/>
                <w:noProof/>
                <w:lang w:val="sk-SK"/>
              </w:rPr>
              <w:t xml:space="preserve"> a </w:t>
            </w:r>
            <w:r w:rsidRPr="00083739">
              <w:rPr>
                <w:rFonts w:cs="Times New Roman"/>
                <w:noProof/>
                <w:lang w:val="sk-SK"/>
              </w:rPr>
              <w:t>dopĺňanie paliva – 16831_výrobok – E zelená</w:t>
            </w:r>
          </w:p>
        </w:tc>
        <w:tc>
          <w:tcPr>
            <w:tcW w:w="1680" w:type="dxa"/>
            <w:tcBorders>
              <w:top w:val="nil"/>
              <w:left w:val="nil"/>
              <w:bottom w:val="single" w:sz="4" w:space="0" w:color="auto"/>
              <w:right w:val="single" w:sz="4" w:space="0" w:color="auto"/>
            </w:tcBorders>
            <w:shd w:val="clear" w:color="auto" w:fill="C6EFCE"/>
            <w:noWrap/>
            <w:vAlign w:val="center"/>
          </w:tcPr>
          <w:p w14:paraId="1E41081A"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auto" w:fill="C6EFCE"/>
            <w:noWrap/>
            <w:vAlign w:val="center"/>
          </w:tcPr>
          <w:p w14:paraId="3FE090E2"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Priemyselné jednotky – vybrané</w:t>
            </w:r>
            <w:r w:rsidRPr="00083739">
              <w:rPr>
                <w:rFonts w:cs="Times New Roman"/>
                <w:noProof/>
                <w:lang w:val="sk-SK"/>
              </w:rPr>
              <w:t xml:space="preserve"> spoločnosti</w:t>
            </w:r>
          </w:p>
        </w:tc>
      </w:tr>
      <w:tr w:rsidR="002D49B0" w:rsidRPr="00083739" w14:paraId="445F4031"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48F21CE2"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59</w:t>
            </w:r>
          </w:p>
        </w:tc>
        <w:tc>
          <w:tcPr>
            <w:tcW w:w="4320" w:type="dxa"/>
            <w:tcBorders>
              <w:top w:val="nil"/>
              <w:left w:val="nil"/>
              <w:bottom w:val="single" w:sz="4" w:space="0" w:color="auto"/>
              <w:right w:val="single" w:sz="4" w:space="0" w:color="auto"/>
            </w:tcBorders>
            <w:shd w:val="clear" w:color="auto" w:fill="C6EFCE"/>
            <w:noWrap/>
            <w:vAlign w:val="center"/>
          </w:tcPr>
          <w:p w14:paraId="0B4ADB67" w14:textId="710DB1BC"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4 – 1.4. Udržateľné využívanie zdrojov, odolnosť proti zmene klímy</w:t>
            </w:r>
            <w:r w:rsidR="00083739" w:rsidRPr="00083739">
              <w:rPr>
                <w:rFonts w:cs="Times New Roman"/>
                <w:noProof/>
                <w:lang w:val="sk-SK"/>
              </w:rPr>
              <w:t xml:space="preserve"> a </w:t>
            </w:r>
            <w:r w:rsidRPr="00083739">
              <w:rPr>
                <w:rFonts w:cs="Times New Roman"/>
                <w:noProof/>
                <w:lang w:val="sk-SK"/>
              </w:rPr>
              <w:t>ochrana životného prostredia – 16772_zákon</w:t>
            </w:r>
            <w:r w:rsidR="00083739" w:rsidRPr="00083739">
              <w:rPr>
                <w:rFonts w:cs="Times New Roman"/>
                <w:noProof/>
                <w:lang w:val="sk-SK"/>
              </w:rPr>
              <w:t xml:space="preserve"> o </w:t>
            </w:r>
            <w:r w:rsidRPr="00083739">
              <w:rPr>
                <w:rFonts w:cs="Times New Roman"/>
                <w:noProof/>
                <w:lang w:val="sk-SK"/>
              </w:rPr>
              <w:t>nakladaní</w:t>
            </w:r>
            <w:r w:rsidR="00083739" w:rsidRPr="00083739">
              <w:rPr>
                <w:rFonts w:cs="Times New Roman"/>
                <w:noProof/>
                <w:lang w:val="sk-SK"/>
              </w:rPr>
              <w:t xml:space="preserve"> s </w:t>
            </w:r>
            <w:r w:rsidRPr="00083739">
              <w:rPr>
                <w:rFonts w:cs="Times New Roman"/>
                <w:noProof/>
                <w:lang w:val="sk-SK"/>
              </w:rPr>
              <w:t>odpadom na vykonávanie udržateľného skládkovania</w:t>
            </w:r>
            <w:r w:rsidR="00083739" w:rsidRPr="00083739">
              <w:rPr>
                <w:rFonts w:cs="Times New Roman"/>
                <w:noProof/>
                <w:lang w:val="sk-SK"/>
              </w:rPr>
              <w:t xml:space="preserve"> a </w:t>
            </w:r>
            <w:r w:rsidRPr="00083739">
              <w:rPr>
                <w:rFonts w:cs="Times New Roman"/>
                <w:noProof/>
                <w:lang w:val="sk-SK"/>
              </w:rPr>
              <w:t>recyklácie</w:t>
            </w:r>
          </w:p>
        </w:tc>
        <w:tc>
          <w:tcPr>
            <w:tcW w:w="1680" w:type="dxa"/>
            <w:tcBorders>
              <w:top w:val="nil"/>
              <w:left w:val="nil"/>
              <w:bottom w:val="single" w:sz="4" w:space="0" w:color="auto"/>
              <w:right w:val="single" w:sz="4" w:space="0" w:color="auto"/>
            </w:tcBorders>
            <w:shd w:val="clear" w:color="auto" w:fill="C6EFCE"/>
            <w:noWrap/>
            <w:vAlign w:val="center"/>
          </w:tcPr>
          <w:p w14:paraId="51CFB4F7"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auto" w:fill="C6EFCE"/>
            <w:noWrap/>
            <w:vAlign w:val="center"/>
          </w:tcPr>
          <w:p w14:paraId="285E4A90" w14:textId="7F8F08C5"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Zriadenie</w:t>
            </w:r>
            <w:r w:rsidR="00083739" w:rsidRPr="00083739">
              <w:rPr>
                <w:rFonts w:cs="Times New Roman"/>
                <w:noProof/>
                <w:lang w:val="sk-SK"/>
              </w:rPr>
              <w:t xml:space="preserve"> a </w:t>
            </w:r>
            <w:r w:rsidRPr="00083739">
              <w:rPr>
                <w:rFonts w:cs="Times New Roman"/>
                <w:noProof/>
                <w:lang w:val="sk-SK"/>
              </w:rPr>
              <w:t>fungovanie regulačného orgánu od</w:t>
            </w:r>
            <w:r w:rsidRPr="00083739">
              <w:rPr>
                <w:rFonts w:cs="Times New Roman"/>
                <w:noProof/>
                <w:lang w:val="sk-SK"/>
              </w:rPr>
              <w:t>padového hospodárstva</w:t>
            </w:r>
          </w:p>
        </w:tc>
      </w:tr>
      <w:tr w:rsidR="002D49B0" w:rsidRPr="00083739" w14:paraId="4CE2220A"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152E7564"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60</w:t>
            </w:r>
          </w:p>
        </w:tc>
        <w:tc>
          <w:tcPr>
            <w:tcW w:w="4320" w:type="dxa"/>
            <w:tcBorders>
              <w:top w:val="nil"/>
              <w:left w:val="nil"/>
              <w:bottom w:val="single" w:sz="4" w:space="0" w:color="auto"/>
              <w:right w:val="single" w:sz="4" w:space="0" w:color="auto"/>
            </w:tcBorders>
            <w:shd w:val="clear" w:color="auto" w:fill="C6EFCE"/>
            <w:noWrap/>
            <w:vAlign w:val="center"/>
          </w:tcPr>
          <w:p w14:paraId="325A2BC9" w14:textId="2278FC9F"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4 – 1.4. Udržateľné využívanie zdrojov, odolnosť proti zmene klímy</w:t>
            </w:r>
            <w:r w:rsidR="00083739" w:rsidRPr="00083739">
              <w:rPr>
                <w:rFonts w:cs="Times New Roman"/>
                <w:noProof/>
                <w:lang w:val="sk-SK"/>
              </w:rPr>
              <w:t xml:space="preserve"> a </w:t>
            </w:r>
            <w:r w:rsidRPr="00083739">
              <w:rPr>
                <w:rFonts w:cs="Times New Roman"/>
                <w:noProof/>
                <w:lang w:val="sk-SK"/>
              </w:rPr>
              <w:t>ochrana životného prostredia – 16979_Zriadenie nového regulačného orgánu pre vodu</w:t>
            </w:r>
            <w:r w:rsidR="00083739" w:rsidRPr="00083739">
              <w:rPr>
                <w:rFonts w:cs="Times New Roman"/>
                <w:noProof/>
                <w:lang w:val="sk-SK"/>
              </w:rPr>
              <w:t xml:space="preserve"> a </w:t>
            </w:r>
            <w:r w:rsidRPr="00083739">
              <w:rPr>
                <w:rFonts w:cs="Times New Roman"/>
                <w:noProof/>
                <w:lang w:val="sk-SK"/>
              </w:rPr>
              <w:t>odpadové vody</w:t>
            </w:r>
          </w:p>
        </w:tc>
        <w:tc>
          <w:tcPr>
            <w:tcW w:w="1680" w:type="dxa"/>
            <w:tcBorders>
              <w:top w:val="nil"/>
              <w:left w:val="nil"/>
              <w:bottom w:val="single" w:sz="4" w:space="0" w:color="auto"/>
              <w:right w:val="single" w:sz="4" w:space="0" w:color="auto"/>
            </w:tcBorders>
            <w:shd w:val="clear" w:color="auto" w:fill="C6EFCE"/>
            <w:noWrap/>
            <w:vAlign w:val="center"/>
          </w:tcPr>
          <w:p w14:paraId="484E892C"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auto" w:fill="C6EFCE"/>
            <w:noWrap/>
            <w:vAlign w:val="center"/>
          </w:tcPr>
          <w:p w14:paraId="07F13DF2" w14:textId="4A8B9B8A"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Zriadenie</w:t>
            </w:r>
            <w:r w:rsidR="00083739" w:rsidRPr="00083739">
              <w:rPr>
                <w:rFonts w:cs="Times New Roman"/>
                <w:noProof/>
                <w:lang w:val="sk-SK"/>
              </w:rPr>
              <w:t xml:space="preserve"> a </w:t>
            </w:r>
            <w:r w:rsidRPr="00083739">
              <w:rPr>
                <w:rFonts w:cs="Times New Roman"/>
                <w:noProof/>
                <w:lang w:val="sk-SK"/>
              </w:rPr>
              <w:t xml:space="preserve">fungovanie regulačného orgánu pre </w:t>
            </w:r>
            <w:r w:rsidRPr="00083739">
              <w:rPr>
                <w:rFonts w:cs="Times New Roman"/>
                <w:noProof/>
                <w:lang w:val="sk-SK"/>
              </w:rPr>
              <w:t>hospodárenie</w:t>
            </w:r>
            <w:r w:rsidR="00083739" w:rsidRPr="00083739">
              <w:rPr>
                <w:rFonts w:cs="Times New Roman"/>
                <w:noProof/>
                <w:lang w:val="sk-SK"/>
              </w:rPr>
              <w:t xml:space="preserve"> s </w:t>
            </w:r>
            <w:r w:rsidRPr="00083739">
              <w:rPr>
                <w:rFonts w:cs="Times New Roman"/>
                <w:noProof/>
                <w:lang w:val="sk-SK"/>
              </w:rPr>
              <w:t>vodami</w:t>
            </w:r>
          </w:p>
        </w:tc>
      </w:tr>
      <w:tr w:rsidR="002D49B0" w:rsidRPr="00083739" w14:paraId="3B3F2186"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1A40AB28"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62</w:t>
            </w:r>
          </w:p>
        </w:tc>
        <w:tc>
          <w:tcPr>
            <w:tcW w:w="4320" w:type="dxa"/>
            <w:tcBorders>
              <w:top w:val="nil"/>
              <w:left w:val="nil"/>
              <w:bottom w:val="single" w:sz="4" w:space="0" w:color="auto"/>
              <w:right w:val="single" w:sz="4" w:space="0" w:color="auto"/>
            </w:tcBorders>
            <w:shd w:val="clear" w:color="auto" w:fill="C6EFCE"/>
            <w:noWrap/>
            <w:vAlign w:val="center"/>
          </w:tcPr>
          <w:p w14:paraId="3DF2E8FC" w14:textId="0A7E55A5"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4 – 1.4. Udržateľné využívanie zdrojov, odolnosť proti zmene klímy</w:t>
            </w:r>
            <w:r w:rsidR="00083739" w:rsidRPr="00083739">
              <w:rPr>
                <w:rFonts w:cs="Times New Roman"/>
                <w:noProof/>
                <w:lang w:val="sk-SK"/>
              </w:rPr>
              <w:t xml:space="preserve"> a </w:t>
            </w:r>
            <w:r w:rsidRPr="00083739">
              <w:rPr>
                <w:rFonts w:cs="Times New Roman"/>
                <w:noProof/>
                <w:lang w:val="sk-SK"/>
              </w:rPr>
              <w:t>ochrana životného prostredia – 16849_Národný plán zalesňovania, obnova</w:t>
            </w:r>
            <w:r w:rsidR="00083739" w:rsidRPr="00083739">
              <w:rPr>
                <w:rFonts w:cs="Times New Roman"/>
                <w:noProof/>
                <w:lang w:val="sk-SK"/>
              </w:rPr>
              <w:t xml:space="preserve"> a </w:t>
            </w:r>
            <w:r w:rsidRPr="00083739">
              <w:rPr>
                <w:rFonts w:cs="Times New Roman"/>
                <w:noProof/>
                <w:lang w:val="sk-SK"/>
              </w:rPr>
              <w:t>prevencia („antiNERO“), opatrenia proti erózii</w:t>
            </w:r>
            <w:r w:rsidR="00083739" w:rsidRPr="00083739">
              <w:rPr>
                <w:rFonts w:cs="Times New Roman"/>
                <w:noProof/>
                <w:lang w:val="sk-SK"/>
              </w:rPr>
              <w:t xml:space="preserve"> a </w:t>
            </w:r>
            <w:r w:rsidRPr="00083739">
              <w:rPr>
                <w:rFonts w:cs="Times New Roman"/>
                <w:noProof/>
                <w:lang w:val="sk-SK"/>
              </w:rPr>
              <w:t>protipovodňovej ochrane</w:t>
            </w:r>
          </w:p>
        </w:tc>
        <w:tc>
          <w:tcPr>
            <w:tcW w:w="1680" w:type="dxa"/>
            <w:tcBorders>
              <w:top w:val="nil"/>
              <w:left w:val="nil"/>
              <w:bottom w:val="single" w:sz="4" w:space="0" w:color="auto"/>
              <w:right w:val="single" w:sz="4" w:space="0" w:color="auto"/>
            </w:tcBorders>
            <w:shd w:val="clear" w:color="auto" w:fill="C6EFCE"/>
            <w:noWrap/>
            <w:vAlign w:val="center"/>
          </w:tcPr>
          <w:p w14:paraId="2AE0E204"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auto" w:fill="C6EFCE"/>
            <w:noWrap/>
            <w:vAlign w:val="center"/>
          </w:tcPr>
          <w:p w14:paraId="104B7E76" w14:textId="7308EE36"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Opätovné</w:t>
            </w:r>
            <w:r w:rsidRPr="00083739">
              <w:rPr>
                <w:rFonts w:cs="Times New Roman"/>
                <w:noProof/>
                <w:lang w:val="sk-SK"/>
              </w:rPr>
              <w:t xml:space="preserve"> zalesňovanie, obnova lesov</w:t>
            </w:r>
            <w:r w:rsidR="00083739" w:rsidRPr="00083739">
              <w:rPr>
                <w:rFonts w:cs="Times New Roman"/>
                <w:noProof/>
                <w:lang w:val="sk-SK"/>
              </w:rPr>
              <w:t xml:space="preserve"> a </w:t>
            </w:r>
            <w:r w:rsidRPr="00083739">
              <w:rPr>
                <w:rFonts w:cs="Times New Roman"/>
                <w:noProof/>
                <w:lang w:val="sk-SK"/>
              </w:rPr>
              <w:t>prevencia – zmluvy 2</w:t>
            </w:r>
          </w:p>
        </w:tc>
      </w:tr>
      <w:tr w:rsidR="002D49B0" w:rsidRPr="00083739" w14:paraId="7C77F9C4"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7FF5F568"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68</w:t>
            </w:r>
          </w:p>
        </w:tc>
        <w:tc>
          <w:tcPr>
            <w:tcW w:w="4320" w:type="dxa"/>
            <w:tcBorders>
              <w:top w:val="nil"/>
              <w:left w:val="nil"/>
              <w:bottom w:val="single" w:sz="4" w:space="0" w:color="auto"/>
              <w:right w:val="single" w:sz="4" w:space="0" w:color="auto"/>
            </w:tcBorders>
            <w:shd w:val="clear" w:color="auto" w:fill="C6EFCE"/>
            <w:noWrap/>
            <w:vAlign w:val="center"/>
          </w:tcPr>
          <w:p w14:paraId="19D48DEB" w14:textId="5EF44045"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4 – 1.4. Udržateľné využívanie zdrojov, odolnosť proti zmene klímy</w:t>
            </w:r>
            <w:r w:rsidR="00083739" w:rsidRPr="00083739">
              <w:rPr>
                <w:rFonts w:cs="Times New Roman"/>
                <w:noProof/>
                <w:lang w:val="sk-SK"/>
              </w:rPr>
              <w:t xml:space="preserve"> a </w:t>
            </w:r>
            <w:r w:rsidRPr="00083739">
              <w:rPr>
                <w:rFonts w:cs="Times New Roman"/>
                <w:noProof/>
                <w:lang w:val="sk-SK"/>
              </w:rPr>
              <w:t>ochrana životného prostredia – 16846_ Infraštruktúry na nakladanie</w:t>
            </w:r>
            <w:r w:rsidR="00083739" w:rsidRPr="00083739">
              <w:rPr>
                <w:rFonts w:cs="Times New Roman"/>
                <w:noProof/>
                <w:lang w:val="sk-SK"/>
              </w:rPr>
              <w:t xml:space="preserve"> s </w:t>
            </w:r>
            <w:r w:rsidRPr="00083739">
              <w:rPr>
                <w:rFonts w:cs="Times New Roman"/>
                <w:noProof/>
                <w:lang w:val="sk-SK"/>
              </w:rPr>
              <w:t>komunálnymi odpadovými vodami</w:t>
            </w:r>
            <w:r w:rsidR="00083739" w:rsidRPr="00083739">
              <w:rPr>
                <w:rFonts w:cs="Times New Roman"/>
                <w:noProof/>
                <w:lang w:val="sk-SK"/>
              </w:rPr>
              <w:t xml:space="preserve"> a </w:t>
            </w:r>
            <w:r w:rsidRPr="00083739">
              <w:rPr>
                <w:rFonts w:cs="Times New Roman"/>
                <w:noProof/>
                <w:lang w:val="sk-SK"/>
              </w:rPr>
              <w:t>kalmi</w:t>
            </w:r>
            <w:r w:rsidR="00083739" w:rsidRPr="00083739">
              <w:rPr>
                <w:rFonts w:cs="Times New Roman"/>
                <w:noProof/>
                <w:lang w:val="sk-SK"/>
              </w:rPr>
              <w:t xml:space="preserve"> z </w:t>
            </w:r>
            <w:r w:rsidRPr="00083739">
              <w:rPr>
                <w:rFonts w:cs="Times New Roman"/>
                <w:noProof/>
                <w:lang w:val="sk-SK"/>
              </w:rPr>
              <w:t>čistenia odpadových vôd</w:t>
            </w:r>
          </w:p>
        </w:tc>
        <w:tc>
          <w:tcPr>
            <w:tcW w:w="1680" w:type="dxa"/>
            <w:tcBorders>
              <w:top w:val="nil"/>
              <w:left w:val="nil"/>
              <w:bottom w:val="single" w:sz="4" w:space="0" w:color="auto"/>
              <w:right w:val="single" w:sz="4" w:space="0" w:color="auto"/>
            </w:tcBorders>
            <w:shd w:val="clear" w:color="auto" w:fill="C6EFCE"/>
            <w:noWrap/>
            <w:vAlign w:val="center"/>
          </w:tcPr>
          <w:p w14:paraId="0A554305"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auto" w:fill="C6EFCE"/>
            <w:noWrap/>
            <w:vAlign w:val="center"/>
          </w:tcPr>
          <w:p w14:paraId="03F8D7B5" w14:textId="74FFBF69"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Oznámenie</w:t>
            </w:r>
            <w:r w:rsidR="00083739" w:rsidRPr="00083739">
              <w:rPr>
                <w:rFonts w:cs="Times New Roman"/>
                <w:noProof/>
                <w:lang w:val="sk-SK"/>
              </w:rPr>
              <w:t xml:space="preserve"> o </w:t>
            </w:r>
            <w:r w:rsidRPr="00083739">
              <w:rPr>
                <w:rFonts w:cs="Times New Roman"/>
                <w:noProof/>
                <w:lang w:val="sk-SK"/>
              </w:rPr>
              <w:t>zadaní zákazky na projekty</w:t>
            </w:r>
            <w:r w:rsidR="00083739" w:rsidRPr="00083739">
              <w:rPr>
                <w:rFonts w:cs="Times New Roman"/>
                <w:noProof/>
                <w:lang w:val="sk-SK"/>
              </w:rPr>
              <w:t xml:space="preserve"> v </w:t>
            </w:r>
            <w:r w:rsidRPr="00083739">
              <w:rPr>
                <w:rFonts w:cs="Times New Roman"/>
                <w:noProof/>
                <w:lang w:val="sk-SK"/>
              </w:rPr>
              <w:t>oblasti odpadových vôd</w:t>
            </w:r>
          </w:p>
        </w:tc>
      </w:tr>
      <w:tr w:rsidR="002D49B0" w:rsidRPr="00083739" w14:paraId="1FF51538"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21B5CB31"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79</w:t>
            </w:r>
          </w:p>
        </w:tc>
        <w:tc>
          <w:tcPr>
            <w:tcW w:w="4320" w:type="dxa"/>
            <w:tcBorders>
              <w:top w:val="nil"/>
              <w:left w:val="nil"/>
              <w:bottom w:val="single" w:sz="4" w:space="0" w:color="auto"/>
              <w:right w:val="single" w:sz="4" w:space="0" w:color="auto"/>
            </w:tcBorders>
            <w:shd w:val="clear" w:color="auto" w:fill="C6EFCE"/>
            <w:noWrap/>
            <w:vAlign w:val="center"/>
          </w:tcPr>
          <w:p w14:paraId="5640DB5C" w14:textId="052F810B"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4 – 1.4. Udržateľné využívanie zdrojov, odolnosť proti zmene klímy</w:t>
            </w:r>
            <w:r w:rsidR="00083739" w:rsidRPr="00083739">
              <w:rPr>
                <w:rFonts w:cs="Times New Roman"/>
                <w:noProof/>
                <w:lang w:val="sk-SK"/>
              </w:rPr>
              <w:t xml:space="preserve"> a </w:t>
            </w:r>
            <w:r w:rsidRPr="00083739">
              <w:rPr>
                <w:rFonts w:cs="Times New Roman"/>
                <w:noProof/>
                <w:lang w:val="sk-SK"/>
              </w:rPr>
              <w:t>ochrana životného prostredia – 16911_Letecké prostriedky krízového riadenia</w:t>
            </w:r>
          </w:p>
        </w:tc>
        <w:tc>
          <w:tcPr>
            <w:tcW w:w="1680" w:type="dxa"/>
            <w:tcBorders>
              <w:top w:val="nil"/>
              <w:left w:val="nil"/>
              <w:bottom w:val="single" w:sz="4" w:space="0" w:color="auto"/>
              <w:right w:val="single" w:sz="4" w:space="0" w:color="auto"/>
            </w:tcBorders>
            <w:shd w:val="clear" w:color="auto" w:fill="C6EFCE"/>
            <w:noWrap/>
            <w:vAlign w:val="center"/>
          </w:tcPr>
          <w:p w14:paraId="112C39FB"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auto" w:fill="C6EFCE"/>
            <w:noWrap/>
            <w:vAlign w:val="center"/>
          </w:tcPr>
          <w:p w14:paraId="68B918B0"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 xml:space="preserve">Nákup dvoch stredne veľkých </w:t>
            </w:r>
            <w:r w:rsidRPr="00083739">
              <w:rPr>
                <w:rFonts w:cs="Times New Roman"/>
                <w:noProof/>
                <w:lang w:val="sk-SK"/>
              </w:rPr>
              <w:t>hasičských vrtuľníkov</w:t>
            </w:r>
          </w:p>
        </w:tc>
      </w:tr>
      <w:tr w:rsidR="002D49B0" w:rsidRPr="00083739" w14:paraId="75E18CFB"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tcPr>
          <w:p w14:paraId="183BD3CC" w14:textId="77777777"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334</w:t>
            </w:r>
          </w:p>
        </w:tc>
        <w:tc>
          <w:tcPr>
            <w:tcW w:w="4320" w:type="dxa"/>
            <w:tcBorders>
              <w:top w:val="nil"/>
              <w:left w:val="nil"/>
              <w:bottom w:val="single" w:sz="4" w:space="0" w:color="auto"/>
              <w:right w:val="single" w:sz="4" w:space="0" w:color="auto"/>
            </w:tcBorders>
            <w:shd w:val="clear" w:color="auto" w:fill="C6EFCE"/>
            <w:noWrap/>
          </w:tcPr>
          <w:p w14:paraId="4A38F367" w14:textId="738A97D5"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16857_prepnutie na gigabitové širokopásmové pripojenia – Prechod na gigabitové širokopásmové pripojenie</w:t>
            </w:r>
            <w:r w:rsidR="00083739" w:rsidRPr="00083739">
              <w:rPr>
                <w:rFonts w:cs="Times New Roman"/>
                <w:noProof/>
                <w:lang w:val="sk-SK"/>
              </w:rPr>
              <w:t xml:space="preserve"> a </w:t>
            </w:r>
            <w:r w:rsidRPr="00083739">
              <w:rPr>
                <w:rFonts w:cs="Times New Roman"/>
                <w:noProof/>
                <w:lang w:val="sk-SK"/>
              </w:rPr>
              <w:t>posilnenie dopytu po gigabitovom širokopásmovom pripojení</w:t>
            </w:r>
          </w:p>
        </w:tc>
        <w:tc>
          <w:tcPr>
            <w:tcW w:w="1680" w:type="dxa"/>
            <w:tcBorders>
              <w:top w:val="nil"/>
              <w:left w:val="nil"/>
              <w:bottom w:val="single" w:sz="4" w:space="0" w:color="auto"/>
              <w:right w:val="single" w:sz="4" w:space="0" w:color="auto"/>
            </w:tcBorders>
            <w:shd w:val="clear" w:color="auto" w:fill="C6EFCE"/>
            <w:noWrap/>
          </w:tcPr>
          <w:p w14:paraId="05DE9C66" w14:textId="77777777"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auto" w:fill="C6EFCE"/>
            <w:noWrap/>
          </w:tcPr>
          <w:p w14:paraId="4822B0B3" w14:textId="77777777"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Nadobudnutie účinnosti reformy prechodu na gigabitové širo</w:t>
            </w:r>
            <w:r w:rsidRPr="00083739">
              <w:rPr>
                <w:rFonts w:cs="Times New Roman"/>
                <w:noProof/>
                <w:lang w:val="sk-SK"/>
              </w:rPr>
              <w:t>kopásmové pripojenie</w:t>
            </w:r>
          </w:p>
        </w:tc>
      </w:tr>
      <w:tr w:rsidR="002D49B0" w:rsidRPr="00083739" w14:paraId="3D3A85C6"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68EA5DBC"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97</w:t>
            </w:r>
          </w:p>
        </w:tc>
        <w:tc>
          <w:tcPr>
            <w:tcW w:w="4320" w:type="dxa"/>
            <w:tcBorders>
              <w:top w:val="nil"/>
              <w:left w:val="nil"/>
              <w:bottom w:val="single" w:sz="4" w:space="0" w:color="auto"/>
              <w:right w:val="single" w:sz="4" w:space="0" w:color="auto"/>
            </w:tcBorders>
            <w:shd w:val="clear" w:color="auto" w:fill="C6EFCE"/>
            <w:noWrap/>
            <w:vAlign w:val="center"/>
          </w:tcPr>
          <w:p w14:paraId="021AEC83" w14:textId="41A2678B"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6 – 2.2. Modernizácia – 16929_ Smerom</w:t>
            </w:r>
            <w:r w:rsidR="00083739" w:rsidRPr="00083739">
              <w:rPr>
                <w:rFonts w:cs="Times New Roman"/>
                <w:noProof/>
                <w:lang w:val="sk-SK"/>
              </w:rPr>
              <w:t xml:space="preserve"> k </w:t>
            </w:r>
            <w:r w:rsidRPr="00083739">
              <w:rPr>
                <w:rFonts w:cs="Times New Roman"/>
                <w:noProof/>
                <w:lang w:val="sk-SK"/>
              </w:rPr>
              <w:t>službám verejnej správy zameraným na zákazníka prostredníctvom zjednodušenia</w:t>
            </w:r>
            <w:r w:rsidR="00083739" w:rsidRPr="00083739">
              <w:rPr>
                <w:rFonts w:cs="Times New Roman"/>
                <w:noProof/>
                <w:lang w:val="sk-SK"/>
              </w:rPr>
              <w:t xml:space="preserve"> a </w:t>
            </w:r>
            <w:r w:rsidRPr="00083739">
              <w:rPr>
                <w:rFonts w:cs="Times New Roman"/>
                <w:noProof/>
                <w:lang w:val="sk-SK"/>
              </w:rPr>
              <w:t>zlepšenia procesov, zlepšenia systémov</w:t>
            </w:r>
            <w:r w:rsidR="00083739" w:rsidRPr="00083739">
              <w:rPr>
                <w:rFonts w:cs="Times New Roman"/>
                <w:noProof/>
                <w:lang w:val="sk-SK"/>
              </w:rPr>
              <w:t xml:space="preserve"> a </w:t>
            </w:r>
            <w:r w:rsidRPr="00083739">
              <w:rPr>
                <w:rFonts w:cs="Times New Roman"/>
                <w:noProof/>
                <w:lang w:val="sk-SK"/>
              </w:rPr>
              <w:t>súladu</w:t>
            </w:r>
            <w:r w:rsidR="00083739" w:rsidRPr="00083739">
              <w:rPr>
                <w:rFonts w:cs="Times New Roman"/>
                <w:noProof/>
                <w:lang w:val="sk-SK"/>
              </w:rPr>
              <w:t xml:space="preserve"> s </w:t>
            </w:r>
            <w:r w:rsidRPr="00083739">
              <w:rPr>
                <w:rFonts w:cs="Times New Roman"/>
                <w:noProof/>
                <w:lang w:val="sk-SK"/>
              </w:rPr>
              <w:t>európskymi stratégiami</w:t>
            </w:r>
            <w:r w:rsidR="00083739" w:rsidRPr="00083739">
              <w:rPr>
                <w:rFonts w:cs="Times New Roman"/>
                <w:noProof/>
                <w:lang w:val="sk-SK"/>
              </w:rPr>
              <w:t xml:space="preserve"> a </w:t>
            </w:r>
            <w:r w:rsidRPr="00083739">
              <w:rPr>
                <w:rFonts w:cs="Times New Roman"/>
                <w:noProof/>
                <w:lang w:val="sk-SK"/>
              </w:rPr>
              <w:t>politikami</w:t>
            </w:r>
          </w:p>
        </w:tc>
        <w:tc>
          <w:tcPr>
            <w:tcW w:w="1680" w:type="dxa"/>
            <w:tcBorders>
              <w:top w:val="nil"/>
              <w:left w:val="nil"/>
              <w:bottom w:val="single" w:sz="4" w:space="0" w:color="auto"/>
              <w:right w:val="single" w:sz="4" w:space="0" w:color="auto"/>
            </w:tcBorders>
            <w:shd w:val="clear" w:color="auto" w:fill="C6EFCE"/>
            <w:noWrap/>
            <w:vAlign w:val="center"/>
          </w:tcPr>
          <w:p w14:paraId="5DF010B0"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auto" w:fill="C6EFCE"/>
            <w:noWrap/>
            <w:vAlign w:val="center"/>
          </w:tcPr>
          <w:p w14:paraId="5DBD2B7F"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 xml:space="preserve">Vykonávanie </w:t>
            </w:r>
            <w:r w:rsidRPr="00083739">
              <w:rPr>
                <w:rFonts w:cs="Times New Roman"/>
                <w:noProof/>
                <w:lang w:val="sk-SK"/>
              </w:rPr>
              <w:t>národného plánu na zjednodušenie procesov (druhá fáza)</w:t>
            </w:r>
          </w:p>
        </w:tc>
      </w:tr>
      <w:tr w:rsidR="002D49B0" w:rsidRPr="00083739" w14:paraId="40B9AE76"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092AC038" w14:textId="77777777" w:rsidR="002D49B0" w:rsidRPr="00083739" w:rsidRDefault="00BF4125">
            <w:pPr>
              <w:pStyle w:val="P68B1DB1-Normal49"/>
              <w:keepNext/>
              <w:spacing w:before="40" w:after="0" w:line="240" w:lineRule="auto"/>
              <w:jc w:val="both"/>
              <w:rPr>
                <w:rFonts w:eastAsia="Times New Roman" w:cs="Times New Roman"/>
                <w:bCs/>
                <w:noProof/>
                <w:lang w:val="sk-SK"/>
              </w:rPr>
            </w:pPr>
            <w:r w:rsidRPr="00083739">
              <w:rPr>
                <w:rFonts w:cs="Times New Roman"/>
                <w:noProof/>
                <w:lang w:val="sk-SK"/>
              </w:rPr>
              <w:t>147</w:t>
            </w:r>
          </w:p>
        </w:tc>
        <w:tc>
          <w:tcPr>
            <w:tcW w:w="4320" w:type="dxa"/>
            <w:tcBorders>
              <w:top w:val="nil"/>
              <w:left w:val="nil"/>
              <w:bottom w:val="single" w:sz="4" w:space="0" w:color="auto"/>
              <w:right w:val="single" w:sz="4" w:space="0" w:color="auto"/>
            </w:tcBorders>
            <w:shd w:val="clear" w:color="auto" w:fill="C6EFCE"/>
            <w:noWrap/>
            <w:vAlign w:val="center"/>
          </w:tcPr>
          <w:p w14:paraId="481CDC2A" w14:textId="567920AD"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9 – 3.2. Vzdelávanie, odborné vzdelávanie</w:t>
            </w:r>
            <w:r w:rsidR="00083739" w:rsidRPr="00083739">
              <w:rPr>
                <w:rFonts w:cs="Times New Roman"/>
                <w:noProof/>
                <w:lang w:val="sk-SK"/>
              </w:rPr>
              <w:t xml:space="preserve"> a </w:t>
            </w:r>
            <w:r w:rsidRPr="00083739">
              <w:rPr>
                <w:rFonts w:cs="Times New Roman"/>
                <w:noProof/>
                <w:lang w:val="sk-SK"/>
              </w:rPr>
              <w:t>príprava</w:t>
            </w:r>
            <w:r w:rsidR="00083739" w:rsidRPr="00083739">
              <w:rPr>
                <w:rFonts w:cs="Times New Roman"/>
                <w:noProof/>
                <w:lang w:val="sk-SK"/>
              </w:rPr>
              <w:t xml:space="preserve"> a </w:t>
            </w:r>
            <w:r w:rsidRPr="00083739">
              <w:rPr>
                <w:rFonts w:cs="Times New Roman"/>
                <w:noProof/>
                <w:lang w:val="sk-SK"/>
              </w:rPr>
              <w:t>zručnosti – 16289_Stratégia excelentnosti na univerzitách</w:t>
            </w:r>
            <w:r w:rsidR="00083739" w:rsidRPr="00083739">
              <w:rPr>
                <w:rFonts w:cs="Times New Roman"/>
                <w:noProof/>
                <w:lang w:val="sk-SK"/>
              </w:rPr>
              <w:t xml:space="preserve"> a v </w:t>
            </w:r>
            <w:r w:rsidRPr="00083739">
              <w:rPr>
                <w:rFonts w:cs="Times New Roman"/>
                <w:noProof/>
                <w:lang w:val="sk-SK"/>
              </w:rPr>
              <w:t>inováciách</w:t>
            </w:r>
          </w:p>
        </w:tc>
        <w:tc>
          <w:tcPr>
            <w:tcW w:w="1680" w:type="dxa"/>
            <w:tcBorders>
              <w:top w:val="nil"/>
              <w:left w:val="nil"/>
              <w:bottom w:val="single" w:sz="4" w:space="0" w:color="auto"/>
              <w:right w:val="single" w:sz="4" w:space="0" w:color="auto"/>
            </w:tcBorders>
            <w:shd w:val="clear" w:color="auto" w:fill="C6EFCE"/>
            <w:noWrap/>
            <w:vAlign w:val="center"/>
          </w:tcPr>
          <w:p w14:paraId="16371D76"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auto" w:fill="C6EFCE"/>
            <w:noWrap/>
            <w:vAlign w:val="center"/>
          </w:tcPr>
          <w:p w14:paraId="5B72086A" w14:textId="6FB96D4D"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Rozhodnutia</w:t>
            </w:r>
            <w:r w:rsidR="00083739" w:rsidRPr="00083739">
              <w:rPr>
                <w:rFonts w:cs="Times New Roman"/>
                <w:noProof/>
                <w:lang w:val="sk-SK"/>
              </w:rPr>
              <w:t xml:space="preserve"> o </w:t>
            </w:r>
            <w:r w:rsidRPr="00083739">
              <w:rPr>
                <w:rFonts w:cs="Times New Roman"/>
                <w:noProof/>
                <w:lang w:val="sk-SK"/>
              </w:rPr>
              <w:t>schvaľovaní univerzít excelentnosti</w:t>
            </w:r>
            <w:r w:rsidR="00083739" w:rsidRPr="00083739">
              <w:rPr>
                <w:rFonts w:cs="Times New Roman"/>
                <w:noProof/>
                <w:lang w:val="sk-SK"/>
              </w:rPr>
              <w:t xml:space="preserve"> a </w:t>
            </w:r>
            <w:r w:rsidRPr="00083739">
              <w:rPr>
                <w:rFonts w:cs="Times New Roman"/>
                <w:noProof/>
                <w:lang w:val="sk-SK"/>
              </w:rPr>
              <w:t>zoskupení</w:t>
            </w:r>
            <w:r w:rsidRPr="00083739">
              <w:rPr>
                <w:rFonts w:cs="Times New Roman"/>
                <w:noProof/>
                <w:lang w:val="sk-SK"/>
              </w:rPr>
              <w:t xml:space="preserve"> excelentnosti</w:t>
            </w:r>
            <w:r w:rsidR="00083739" w:rsidRPr="00083739">
              <w:rPr>
                <w:rFonts w:cs="Times New Roman"/>
                <w:noProof/>
                <w:lang w:val="sk-SK"/>
              </w:rPr>
              <w:t xml:space="preserve"> v </w:t>
            </w:r>
            <w:r w:rsidRPr="00083739">
              <w:rPr>
                <w:rFonts w:cs="Times New Roman"/>
                <w:noProof/>
                <w:lang w:val="sk-SK"/>
              </w:rPr>
              <w:t>oblasti výskumu</w:t>
            </w:r>
          </w:p>
        </w:tc>
      </w:tr>
      <w:tr w:rsidR="002D49B0" w:rsidRPr="00083739" w14:paraId="1955BFC6"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2E66CA8C"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162</w:t>
            </w:r>
          </w:p>
        </w:tc>
        <w:tc>
          <w:tcPr>
            <w:tcW w:w="4320" w:type="dxa"/>
            <w:tcBorders>
              <w:top w:val="nil"/>
              <w:left w:val="nil"/>
              <w:bottom w:val="single" w:sz="4" w:space="0" w:color="auto"/>
              <w:right w:val="single" w:sz="4" w:space="0" w:color="auto"/>
            </w:tcBorders>
            <w:shd w:val="clear" w:color="auto" w:fill="C6EFCE"/>
            <w:noWrap/>
            <w:vAlign w:val="center"/>
          </w:tcPr>
          <w:p w14:paraId="387522FE" w14:textId="2695AAA5"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10 – 3.3. Zlepšenie odolnosti, dostupnosti</w:t>
            </w:r>
            <w:r w:rsidR="00083739" w:rsidRPr="00083739">
              <w:rPr>
                <w:rFonts w:cs="Times New Roman"/>
                <w:noProof/>
                <w:lang w:val="sk-SK"/>
              </w:rPr>
              <w:t xml:space="preserve"> a </w:t>
            </w:r>
            <w:r w:rsidRPr="00083739">
              <w:rPr>
                <w:rFonts w:cs="Times New Roman"/>
                <w:noProof/>
                <w:lang w:val="sk-SK"/>
              </w:rPr>
              <w:t>udržateľnosti zdravotnej starostlivosti – 16820_Reforma</w:t>
            </w:r>
            <w:r w:rsidR="00083739" w:rsidRPr="00083739">
              <w:rPr>
                <w:rFonts w:cs="Times New Roman"/>
                <w:noProof/>
                <w:lang w:val="sk-SK"/>
              </w:rPr>
              <w:t xml:space="preserve"> v </w:t>
            </w:r>
            <w:r w:rsidRPr="00083739">
              <w:rPr>
                <w:rFonts w:cs="Times New Roman"/>
                <w:noProof/>
                <w:lang w:val="sk-SK"/>
              </w:rPr>
              <w:t>oblasti duševného zdravia</w:t>
            </w:r>
            <w:r w:rsidR="00083739" w:rsidRPr="00083739">
              <w:rPr>
                <w:rFonts w:cs="Times New Roman"/>
                <w:noProof/>
                <w:lang w:val="sk-SK"/>
              </w:rPr>
              <w:t xml:space="preserve"> a </w:t>
            </w:r>
            <w:r w:rsidRPr="00083739">
              <w:rPr>
                <w:rFonts w:cs="Times New Roman"/>
                <w:noProof/>
                <w:lang w:val="sk-SK"/>
              </w:rPr>
              <w:t>závislostí</w:t>
            </w:r>
          </w:p>
        </w:tc>
        <w:tc>
          <w:tcPr>
            <w:tcW w:w="1680" w:type="dxa"/>
            <w:tcBorders>
              <w:top w:val="nil"/>
              <w:left w:val="nil"/>
              <w:bottom w:val="single" w:sz="4" w:space="0" w:color="auto"/>
              <w:right w:val="single" w:sz="4" w:space="0" w:color="auto"/>
            </w:tcBorders>
            <w:shd w:val="clear" w:color="auto" w:fill="C6EFCE"/>
            <w:noWrap/>
            <w:vAlign w:val="center"/>
          </w:tcPr>
          <w:p w14:paraId="00CC44B7"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Cieľ</w:t>
            </w:r>
          </w:p>
        </w:tc>
        <w:tc>
          <w:tcPr>
            <w:tcW w:w="1800" w:type="dxa"/>
            <w:tcBorders>
              <w:top w:val="nil"/>
              <w:left w:val="nil"/>
              <w:bottom w:val="single" w:sz="4" w:space="0" w:color="auto"/>
              <w:right w:val="single" w:sz="4" w:space="0" w:color="auto"/>
            </w:tcBorders>
            <w:shd w:val="clear" w:color="auto" w:fill="C6EFCE"/>
            <w:noWrap/>
            <w:vAlign w:val="center"/>
          </w:tcPr>
          <w:p w14:paraId="3774DD2C" w14:textId="48AE40C2"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Duševné zdravie – 106 jednotiek otvorených – krok 2</w:t>
            </w:r>
            <w:r w:rsidR="00083739" w:rsidRPr="00083739">
              <w:rPr>
                <w:rFonts w:cs="Times New Roman"/>
                <w:noProof/>
                <w:lang w:val="sk-SK"/>
              </w:rPr>
              <w:t xml:space="preserve"> z </w:t>
            </w:r>
            <w:r w:rsidRPr="00083739">
              <w:rPr>
                <w:rFonts w:cs="Times New Roman"/>
                <w:noProof/>
                <w:lang w:val="sk-SK"/>
              </w:rPr>
              <w:t>2</w:t>
            </w:r>
          </w:p>
        </w:tc>
      </w:tr>
      <w:tr w:rsidR="002D49B0" w:rsidRPr="00083739" w14:paraId="75D7B592"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09AAC542"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192</w:t>
            </w:r>
          </w:p>
        </w:tc>
        <w:tc>
          <w:tcPr>
            <w:tcW w:w="4320" w:type="dxa"/>
            <w:tcBorders>
              <w:top w:val="nil"/>
              <w:left w:val="nil"/>
              <w:bottom w:val="single" w:sz="4" w:space="0" w:color="auto"/>
              <w:right w:val="single" w:sz="4" w:space="0" w:color="auto"/>
            </w:tcBorders>
            <w:shd w:val="clear" w:color="auto" w:fill="C6EFCE"/>
            <w:noWrap/>
            <w:vAlign w:val="center"/>
          </w:tcPr>
          <w:p w14:paraId="775E1C89" w14:textId="67C61AA0"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 xml:space="preserve">12 – 4.1. </w:t>
            </w:r>
            <w:r w:rsidRPr="00083739">
              <w:rPr>
                <w:rFonts w:cs="Times New Roman"/>
                <w:noProof/>
                <w:lang w:val="sk-SK"/>
              </w:rPr>
              <w:t>Zabezpečiť, aby dane boli priaznivejšie pre rast</w:t>
            </w:r>
            <w:r w:rsidR="00083739" w:rsidRPr="00083739">
              <w:rPr>
                <w:rFonts w:cs="Times New Roman"/>
                <w:noProof/>
                <w:lang w:val="sk-SK"/>
              </w:rPr>
              <w:t xml:space="preserve"> a </w:t>
            </w:r>
            <w:r w:rsidRPr="00083739">
              <w:rPr>
                <w:rFonts w:cs="Times New Roman"/>
                <w:noProof/>
                <w:lang w:val="sk-SK"/>
              </w:rPr>
              <w:t>zlepšiť daňovú správu</w:t>
            </w:r>
            <w:r w:rsidR="00083739" w:rsidRPr="00083739">
              <w:rPr>
                <w:rFonts w:cs="Times New Roman"/>
                <w:noProof/>
                <w:lang w:val="sk-SK"/>
              </w:rPr>
              <w:t xml:space="preserve"> a </w:t>
            </w:r>
            <w:r w:rsidRPr="00083739">
              <w:rPr>
                <w:rFonts w:cs="Times New Roman"/>
                <w:noProof/>
                <w:lang w:val="sk-SK"/>
              </w:rPr>
              <w:t>výber daní – 16611_Digitálna transformácia daňových auditov</w:t>
            </w:r>
          </w:p>
        </w:tc>
        <w:tc>
          <w:tcPr>
            <w:tcW w:w="1680" w:type="dxa"/>
            <w:tcBorders>
              <w:top w:val="nil"/>
              <w:left w:val="nil"/>
              <w:bottom w:val="single" w:sz="4" w:space="0" w:color="auto"/>
              <w:right w:val="single" w:sz="4" w:space="0" w:color="auto"/>
            </w:tcBorders>
            <w:shd w:val="clear" w:color="auto" w:fill="C6EFCE"/>
            <w:noWrap/>
            <w:vAlign w:val="center"/>
          </w:tcPr>
          <w:p w14:paraId="7079B05F"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auto" w:fill="C6EFCE"/>
            <w:noWrap/>
            <w:vAlign w:val="center"/>
          </w:tcPr>
          <w:p w14:paraId="07702F6A" w14:textId="11673D7B"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Daňové audity – Mydata</w:t>
            </w:r>
            <w:r w:rsidR="00083739" w:rsidRPr="00083739">
              <w:rPr>
                <w:rFonts w:cs="Times New Roman"/>
                <w:noProof/>
                <w:lang w:val="sk-SK"/>
              </w:rPr>
              <w:t xml:space="preserve"> a </w:t>
            </w:r>
            <w:r w:rsidRPr="00083739">
              <w:rPr>
                <w:rFonts w:cs="Times New Roman"/>
                <w:noProof/>
                <w:lang w:val="sk-SK"/>
              </w:rPr>
              <w:t>bankové informácie</w:t>
            </w:r>
          </w:p>
        </w:tc>
      </w:tr>
      <w:tr w:rsidR="002D49B0" w:rsidRPr="00083739" w14:paraId="256248C1"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6F5D877D"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193</w:t>
            </w:r>
          </w:p>
        </w:tc>
        <w:tc>
          <w:tcPr>
            <w:tcW w:w="4320" w:type="dxa"/>
            <w:tcBorders>
              <w:top w:val="nil"/>
              <w:left w:val="nil"/>
              <w:bottom w:val="single" w:sz="4" w:space="0" w:color="auto"/>
              <w:right w:val="single" w:sz="4" w:space="0" w:color="auto"/>
            </w:tcBorders>
            <w:shd w:val="clear" w:color="auto" w:fill="C6EFCE"/>
            <w:noWrap/>
            <w:vAlign w:val="center"/>
          </w:tcPr>
          <w:p w14:paraId="7223C483" w14:textId="7008273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12 – 4.1. Zabezpečiť, aby dane boli priaznivejšie pre rast</w:t>
            </w:r>
            <w:r w:rsidR="00083739" w:rsidRPr="00083739">
              <w:rPr>
                <w:rFonts w:cs="Times New Roman"/>
                <w:noProof/>
                <w:lang w:val="sk-SK"/>
              </w:rPr>
              <w:t xml:space="preserve"> a </w:t>
            </w:r>
            <w:r w:rsidRPr="00083739">
              <w:rPr>
                <w:rFonts w:cs="Times New Roman"/>
                <w:noProof/>
                <w:lang w:val="sk-SK"/>
              </w:rPr>
              <w:t>zlep</w:t>
            </w:r>
            <w:r w:rsidRPr="00083739">
              <w:rPr>
                <w:rFonts w:cs="Times New Roman"/>
                <w:noProof/>
                <w:lang w:val="sk-SK"/>
              </w:rPr>
              <w:t>šiť daňovú správu</w:t>
            </w:r>
            <w:r w:rsidR="00083739" w:rsidRPr="00083739">
              <w:rPr>
                <w:rFonts w:cs="Times New Roman"/>
                <w:noProof/>
                <w:lang w:val="sk-SK"/>
              </w:rPr>
              <w:t xml:space="preserve"> a </w:t>
            </w:r>
            <w:r w:rsidRPr="00083739">
              <w:rPr>
                <w:rFonts w:cs="Times New Roman"/>
                <w:noProof/>
                <w:lang w:val="sk-SK"/>
              </w:rPr>
              <w:t>výber daní – 16610_Podpora urýchlenia vracania DPH</w:t>
            </w:r>
          </w:p>
        </w:tc>
        <w:tc>
          <w:tcPr>
            <w:tcW w:w="1680" w:type="dxa"/>
            <w:tcBorders>
              <w:top w:val="nil"/>
              <w:left w:val="nil"/>
              <w:bottom w:val="single" w:sz="4" w:space="0" w:color="auto"/>
              <w:right w:val="single" w:sz="4" w:space="0" w:color="auto"/>
            </w:tcBorders>
            <w:shd w:val="clear" w:color="auto" w:fill="C6EFCE"/>
            <w:noWrap/>
            <w:vAlign w:val="center"/>
          </w:tcPr>
          <w:p w14:paraId="6136CA67"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auto" w:fill="C6EFCE"/>
            <w:noWrap/>
            <w:vAlign w:val="center"/>
          </w:tcPr>
          <w:p w14:paraId="0DFFB227"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Plne automatizované vrátenie DPH – spustenie informačného systému</w:t>
            </w:r>
          </w:p>
        </w:tc>
      </w:tr>
      <w:tr w:rsidR="002D49B0" w:rsidRPr="00083739" w14:paraId="11AF6FE7"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468DCBA3"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207</w:t>
            </w:r>
          </w:p>
        </w:tc>
        <w:tc>
          <w:tcPr>
            <w:tcW w:w="4320" w:type="dxa"/>
            <w:tcBorders>
              <w:top w:val="nil"/>
              <w:left w:val="nil"/>
              <w:bottom w:val="single" w:sz="4" w:space="0" w:color="auto"/>
              <w:right w:val="single" w:sz="4" w:space="0" w:color="auto"/>
            </w:tcBorders>
            <w:shd w:val="clear" w:color="auto" w:fill="C6EFCE"/>
            <w:noWrap/>
            <w:vAlign w:val="center"/>
          </w:tcPr>
          <w:p w14:paraId="48C9F68B" w14:textId="728B16DD"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13 – 4.2. Modernizácia verejnej správy,</w:t>
            </w:r>
            <w:r w:rsidR="00083739" w:rsidRPr="00083739">
              <w:rPr>
                <w:rFonts w:cs="Times New Roman"/>
                <w:noProof/>
                <w:lang w:val="sk-SK"/>
              </w:rPr>
              <w:t xml:space="preserve"> a </w:t>
            </w:r>
            <w:r w:rsidRPr="00083739">
              <w:rPr>
                <w:rFonts w:cs="Times New Roman"/>
                <w:noProof/>
                <w:lang w:val="sk-SK"/>
              </w:rPr>
              <w:t>to aj urýchlením realizácie verejných investícií, zlepšením rámca</w:t>
            </w:r>
            <w:r w:rsidRPr="00083739">
              <w:rPr>
                <w:rFonts w:cs="Times New Roman"/>
                <w:noProof/>
                <w:lang w:val="sk-SK"/>
              </w:rPr>
              <w:t xml:space="preserve"> verejného obstarávania, opatreniami na budovanie kapacít</w:t>
            </w:r>
            <w:r w:rsidR="00083739" w:rsidRPr="00083739">
              <w:rPr>
                <w:rFonts w:cs="Times New Roman"/>
                <w:noProof/>
                <w:lang w:val="sk-SK"/>
              </w:rPr>
              <w:t xml:space="preserve"> a </w:t>
            </w:r>
            <w:r w:rsidRPr="00083739">
              <w:rPr>
                <w:rFonts w:cs="Times New Roman"/>
                <w:noProof/>
                <w:lang w:val="sk-SK"/>
              </w:rPr>
              <w:t>bojom proti korupcii – 16972_Reforma verejnej správy</w:t>
            </w:r>
          </w:p>
        </w:tc>
        <w:tc>
          <w:tcPr>
            <w:tcW w:w="1680" w:type="dxa"/>
            <w:tcBorders>
              <w:top w:val="nil"/>
              <w:left w:val="nil"/>
              <w:bottom w:val="single" w:sz="4" w:space="0" w:color="auto"/>
              <w:right w:val="single" w:sz="4" w:space="0" w:color="auto"/>
            </w:tcBorders>
            <w:shd w:val="clear" w:color="auto" w:fill="C6EFCE"/>
            <w:noWrap/>
            <w:vAlign w:val="center"/>
          </w:tcPr>
          <w:p w14:paraId="07041388"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auto" w:fill="C6EFCE"/>
            <w:noWrap/>
            <w:vAlign w:val="center"/>
          </w:tcPr>
          <w:p w14:paraId="426E0480"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Verejná správa – nový systém odmeňovania</w:t>
            </w:r>
          </w:p>
        </w:tc>
      </w:tr>
      <w:tr w:rsidR="002D49B0" w:rsidRPr="00083739" w14:paraId="43F49314"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tcPr>
          <w:p w14:paraId="1264BCC0"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216a</w:t>
            </w:r>
          </w:p>
        </w:tc>
        <w:tc>
          <w:tcPr>
            <w:tcW w:w="4320" w:type="dxa"/>
            <w:tcBorders>
              <w:top w:val="nil"/>
              <w:left w:val="nil"/>
              <w:bottom w:val="single" w:sz="4" w:space="0" w:color="auto"/>
              <w:right w:val="single" w:sz="4" w:space="0" w:color="auto"/>
            </w:tcBorders>
            <w:shd w:val="clear" w:color="auto" w:fill="C6EFCE"/>
            <w:noWrap/>
          </w:tcPr>
          <w:p w14:paraId="3DA9BE55" w14:textId="758B202D"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13 – 4.2. Modernizácia verejnej správy,</w:t>
            </w:r>
            <w:r w:rsidR="00083739" w:rsidRPr="00083739">
              <w:rPr>
                <w:rFonts w:cs="Times New Roman"/>
                <w:noProof/>
                <w:lang w:val="sk-SK"/>
              </w:rPr>
              <w:t xml:space="preserve"> a </w:t>
            </w:r>
            <w:r w:rsidRPr="00083739">
              <w:rPr>
                <w:rFonts w:cs="Times New Roman"/>
                <w:noProof/>
                <w:lang w:val="sk-SK"/>
              </w:rPr>
              <w:t>to aj urýchlením realizácie verejných</w:t>
            </w:r>
            <w:r w:rsidRPr="00083739">
              <w:rPr>
                <w:rFonts w:cs="Times New Roman"/>
                <w:noProof/>
                <w:lang w:val="sk-SK"/>
              </w:rPr>
              <w:t xml:space="preserve"> investícií, zlepšením rámca verejného obstarávania, opatreniami na budovanie kapacít</w:t>
            </w:r>
            <w:r w:rsidR="00083739" w:rsidRPr="00083739">
              <w:rPr>
                <w:rFonts w:cs="Times New Roman"/>
                <w:noProof/>
                <w:lang w:val="sk-SK"/>
              </w:rPr>
              <w:t xml:space="preserve"> a </w:t>
            </w:r>
            <w:r w:rsidRPr="00083739">
              <w:rPr>
                <w:rFonts w:cs="Times New Roman"/>
                <w:noProof/>
                <w:lang w:val="sk-SK"/>
              </w:rPr>
              <w:t xml:space="preserve">bojom proti korupcii – 16711_Profesijná oblasť verejného obstarávania  </w:t>
            </w:r>
          </w:p>
        </w:tc>
        <w:tc>
          <w:tcPr>
            <w:tcW w:w="1680" w:type="dxa"/>
            <w:tcBorders>
              <w:top w:val="nil"/>
              <w:left w:val="nil"/>
              <w:bottom w:val="single" w:sz="4" w:space="0" w:color="auto"/>
              <w:right w:val="single" w:sz="4" w:space="0" w:color="auto"/>
            </w:tcBorders>
            <w:shd w:val="clear" w:color="auto" w:fill="C6EFCE"/>
            <w:noWrap/>
          </w:tcPr>
          <w:p w14:paraId="33F79FA4"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auto" w:fill="C6EFCE"/>
            <w:noWrap/>
          </w:tcPr>
          <w:p w14:paraId="3DB42B79"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Zmena národnej stratégie verejného obstarávania na roky 2021 – 2025</w:t>
            </w:r>
          </w:p>
        </w:tc>
      </w:tr>
      <w:tr w:rsidR="002D49B0" w:rsidRPr="00083739" w14:paraId="4A002880"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18BB431B"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232</w:t>
            </w:r>
          </w:p>
        </w:tc>
        <w:tc>
          <w:tcPr>
            <w:tcW w:w="4320" w:type="dxa"/>
            <w:tcBorders>
              <w:top w:val="nil"/>
              <w:left w:val="nil"/>
              <w:bottom w:val="single" w:sz="4" w:space="0" w:color="auto"/>
              <w:right w:val="single" w:sz="4" w:space="0" w:color="auto"/>
            </w:tcBorders>
            <w:shd w:val="clear" w:color="auto" w:fill="C6EFCE"/>
            <w:noWrap/>
            <w:vAlign w:val="center"/>
          </w:tcPr>
          <w:p w14:paraId="630A184E"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 xml:space="preserve">14 – 4.3. </w:t>
            </w:r>
            <w:r w:rsidRPr="00083739">
              <w:rPr>
                <w:rFonts w:cs="Times New Roman"/>
                <w:noProof/>
                <w:lang w:val="sk-SK"/>
              </w:rPr>
              <w:t>Zlepšiť efektívnosť justičného systému – 16575 Urýchlenie výkonu spravodlivosti</w:t>
            </w:r>
          </w:p>
        </w:tc>
        <w:tc>
          <w:tcPr>
            <w:tcW w:w="1680" w:type="dxa"/>
            <w:tcBorders>
              <w:top w:val="nil"/>
              <w:left w:val="nil"/>
              <w:bottom w:val="single" w:sz="4" w:space="0" w:color="auto"/>
              <w:right w:val="single" w:sz="4" w:space="0" w:color="auto"/>
            </w:tcBorders>
            <w:shd w:val="clear" w:color="auto" w:fill="C6EFCE"/>
            <w:noWrap/>
            <w:vAlign w:val="center"/>
          </w:tcPr>
          <w:p w14:paraId="15535CB4"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auto" w:fill="C6EFCE"/>
            <w:noWrap/>
            <w:vAlign w:val="center"/>
          </w:tcPr>
          <w:p w14:paraId="3A181C3D" w14:textId="4027926E"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Revízia súdnej mapy – primárne právne predpisy – Občianske</w:t>
            </w:r>
            <w:r w:rsidR="00083739" w:rsidRPr="00083739">
              <w:rPr>
                <w:rFonts w:cs="Times New Roman"/>
                <w:noProof/>
                <w:lang w:val="sk-SK"/>
              </w:rPr>
              <w:t xml:space="preserve"> a </w:t>
            </w:r>
            <w:r w:rsidRPr="00083739">
              <w:rPr>
                <w:rFonts w:cs="Times New Roman"/>
                <w:noProof/>
                <w:lang w:val="sk-SK"/>
              </w:rPr>
              <w:t>trestné</w:t>
            </w:r>
          </w:p>
        </w:tc>
      </w:tr>
      <w:tr w:rsidR="002D49B0" w:rsidRPr="00083739" w14:paraId="65D0152C"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031E9643"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233</w:t>
            </w:r>
          </w:p>
        </w:tc>
        <w:tc>
          <w:tcPr>
            <w:tcW w:w="4320" w:type="dxa"/>
            <w:tcBorders>
              <w:top w:val="nil"/>
              <w:left w:val="nil"/>
              <w:bottom w:val="single" w:sz="4" w:space="0" w:color="auto"/>
              <w:right w:val="single" w:sz="4" w:space="0" w:color="auto"/>
            </w:tcBorders>
            <w:shd w:val="clear" w:color="auto" w:fill="C6EFCE"/>
            <w:noWrap/>
            <w:vAlign w:val="center"/>
          </w:tcPr>
          <w:p w14:paraId="4777410F"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14 – 4.3. Zlepšiť efektívnosť justičného systému – 16292_Nové budovy súdnictva</w:t>
            </w:r>
          </w:p>
        </w:tc>
        <w:tc>
          <w:tcPr>
            <w:tcW w:w="1680" w:type="dxa"/>
            <w:tcBorders>
              <w:top w:val="nil"/>
              <w:left w:val="nil"/>
              <w:bottom w:val="single" w:sz="4" w:space="0" w:color="auto"/>
              <w:right w:val="single" w:sz="4" w:space="0" w:color="auto"/>
            </w:tcBorders>
            <w:shd w:val="clear" w:color="auto" w:fill="C6EFCE"/>
            <w:noWrap/>
            <w:vAlign w:val="center"/>
          </w:tcPr>
          <w:p w14:paraId="4507C98C"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auto" w:fill="C6EFCE"/>
            <w:noWrap/>
            <w:vAlign w:val="center"/>
          </w:tcPr>
          <w:p w14:paraId="56CBDC52" w14:textId="532A8EB2"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Výstavba</w:t>
            </w:r>
            <w:r w:rsidR="00083739" w:rsidRPr="00083739">
              <w:rPr>
                <w:rFonts w:cs="Times New Roman"/>
                <w:noProof/>
                <w:lang w:val="sk-SK"/>
              </w:rPr>
              <w:t xml:space="preserve"> a </w:t>
            </w:r>
            <w:r w:rsidRPr="00083739">
              <w:rPr>
                <w:rFonts w:cs="Times New Roman"/>
                <w:noProof/>
                <w:lang w:val="sk-SK"/>
              </w:rPr>
              <w:t>obnova súdnych budov – spustenie verejných súťaží</w:t>
            </w:r>
          </w:p>
        </w:tc>
      </w:tr>
      <w:tr w:rsidR="002D49B0" w:rsidRPr="00083739" w14:paraId="46B86A06"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7AC91B96"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279</w:t>
            </w:r>
          </w:p>
        </w:tc>
        <w:tc>
          <w:tcPr>
            <w:tcW w:w="4320" w:type="dxa"/>
            <w:tcBorders>
              <w:top w:val="nil"/>
              <w:left w:val="nil"/>
              <w:bottom w:val="single" w:sz="4" w:space="0" w:color="auto"/>
              <w:right w:val="single" w:sz="4" w:space="0" w:color="auto"/>
            </w:tcBorders>
            <w:shd w:val="clear" w:color="auto" w:fill="C6EFCE"/>
            <w:noWrap/>
            <w:vAlign w:val="center"/>
          </w:tcPr>
          <w:p w14:paraId="10344B32" w14:textId="0137802D"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17 – 4.6. Modernizácia</w:t>
            </w:r>
            <w:r w:rsidR="00083739" w:rsidRPr="00083739">
              <w:rPr>
                <w:rFonts w:cs="Times New Roman"/>
                <w:noProof/>
                <w:lang w:val="sk-SK"/>
              </w:rPr>
              <w:t xml:space="preserve"> a </w:t>
            </w:r>
            <w:r w:rsidRPr="00083739">
              <w:rPr>
                <w:rFonts w:cs="Times New Roman"/>
                <w:noProof/>
                <w:lang w:val="sk-SK"/>
              </w:rPr>
              <w:t>zlepšenie odolnosti kľúčových hospodárskych odvetví – 16486_Museum podmorských starožitností</w:t>
            </w:r>
          </w:p>
        </w:tc>
        <w:tc>
          <w:tcPr>
            <w:tcW w:w="1680" w:type="dxa"/>
            <w:tcBorders>
              <w:top w:val="nil"/>
              <w:left w:val="nil"/>
              <w:bottom w:val="single" w:sz="4" w:space="0" w:color="auto"/>
              <w:right w:val="single" w:sz="4" w:space="0" w:color="auto"/>
            </w:tcBorders>
            <w:shd w:val="clear" w:color="auto" w:fill="C6EFCE"/>
            <w:noWrap/>
            <w:vAlign w:val="center"/>
          </w:tcPr>
          <w:p w14:paraId="413580D3"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auto" w:fill="C6EFCE"/>
            <w:noWrap/>
            <w:vAlign w:val="center"/>
          </w:tcPr>
          <w:p w14:paraId="3C9BF951"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Zadanie zákazky na múzeum podmorských starožitností</w:t>
            </w:r>
          </w:p>
        </w:tc>
      </w:tr>
      <w:tr w:rsidR="002D49B0" w:rsidRPr="00083739" w14:paraId="1C4EEE40"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2BC83A9A"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303</w:t>
            </w:r>
          </w:p>
        </w:tc>
        <w:tc>
          <w:tcPr>
            <w:tcW w:w="4320" w:type="dxa"/>
            <w:tcBorders>
              <w:top w:val="nil"/>
              <w:left w:val="nil"/>
              <w:bottom w:val="single" w:sz="4" w:space="0" w:color="auto"/>
              <w:right w:val="single" w:sz="4" w:space="0" w:color="auto"/>
            </w:tcBorders>
            <w:shd w:val="clear" w:color="auto" w:fill="C6EFCE"/>
            <w:noWrap/>
            <w:vAlign w:val="center"/>
          </w:tcPr>
          <w:p w14:paraId="3B7CF84B" w14:textId="408F0EEA"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17 – 4.6. Modern</w:t>
            </w:r>
            <w:r w:rsidRPr="00083739">
              <w:rPr>
                <w:rFonts w:cs="Times New Roman"/>
                <w:noProof/>
                <w:lang w:val="sk-SK"/>
              </w:rPr>
              <w:t>izácia</w:t>
            </w:r>
            <w:r w:rsidR="00083739" w:rsidRPr="00083739">
              <w:rPr>
                <w:rFonts w:cs="Times New Roman"/>
                <w:noProof/>
                <w:lang w:val="sk-SK"/>
              </w:rPr>
              <w:t xml:space="preserve"> a </w:t>
            </w:r>
            <w:r w:rsidRPr="00083739">
              <w:rPr>
                <w:rFonts w:cs="Times New Roman"/>
                <w:noProof/>
                <w:lang w:val="sk-SK"/>
              </w:rPr>
              <w:t>zlepšenie odolnosti kľúčových hospodárskych odvetví – 16593_Zmena právneho rámca na prilákanie strategických investícií</w:t>
            </w:r>
          </w:p>
        </w:tc>
        <w:tc>
          <w:tcPr>
            <w:tcW w:w="1680" w:type="dxa"/>
            <w:tcBorders>
              <w:top w:val="nil"/>
              <w:left w:val="nil"/>
              <w:bottom w:val="single" w:sz="4" w:space="0" w:color="auto"/>
              <w:right w:val="single" w:sz="4" w:space="0" w:color="auto"/>
            </w:tcBorders>
            <w:shd w:val="clear" w:color="auto" w:fill="C6EFCE"/>
            <w:noWrap/>
            <w:vAlign w:val="center"/>
          </w:tcPr>
          <w:p w14:paraId="444E20A0"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auto" w:fill="C6EFCE"/>
            <w:noWrap/>
            <w:vAlign w:val="center"/>
          </w:tcPr>
          <w:p w14:paraId="044669A1"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Strategické investície – výber oprávnených projektov</w:t>
            </w:r>
          </w:p>
        </w:tc>
      </w:tr>
      <w:tr w:rsidR="002D49B0" w:rsidRPr="00083739" w14:paraId="0F10760E"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tcPr>
          <w:p w14:paraId="1B16DFE6"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337</w:t>
            </w:r>
          </w:p>
        </w:tc>
        <w:tc>
          <w:tcPr>
            <w:tcW w:w="4320" w:type="dxa"/>
            <w:tcBorders>
              <w:top w:val="nil"/>
              <w:left w:val="nil"/>
              <w:bottom w:val="single" w:sz="4" w:space="0" w:color="auto"/>
              <w:right w:val="single" w:sz="4" w:space="0" w:color="auto"/>
            </w:tcBorders>
            <w:shd w:val="clear" w:color="auto" w:fill="C6EFCE"/>
            <w:noWrap/>
          </w:tcPr>
          <w:p w14:paraId="57983B71" w14:textId="5F112D1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12 – 4.1. Zabezpečiť, aby boli dane priaznivejšie pre rast</w:t>
            </w:r>
            <w:r w:rsidR="00083739" w:rsidRPr="00083739">
              <w:rPr>
                <w:rFonts w:cs="Times New Roman"/>
                <w:noProof/>
                <w:lang w:val="sk-SK"/>
              </w:rPr>
              <w:t xml:space="preserve"> a </w:t>
            </w:r>
            <w:r w:rsidRPr="00083739">
              <w:rPr>
                <w:rFonts w:cs="Times New Roman"/>
                <w:noProof/>
                <w:lang w:val="sk-SK"/>
              </w:rPr>
              <w:t>zlepšiť daňovú správu</w:t>
            </w:r>
            <w:r w:rsidR="00083739" w:rsidRPr="00083739">
              <w:rPr>
                <w:rFonts w:cs="Times New Roman"/>
                <w:noProof/>
                <w:lang w:val="sk-SK"/>
              </w:rPr>
              <w:t xml:space="preserve"> a </w:t>
            </w:r>
            <w:r w:rsidRPr="00083739">
              <w:rPr>
                <w:rFonts w:cs="Times New Roman"/>
                <w:noProof/>
                <w:lang w:val="sk-SK"/>
              </w:rPr>
              <w:t>výber daní – 16985_Úprava rámca daňovej politiky Grécka</w:t>
            </w:r>
          </w:p>
        </w:tc>
        <w:tc>
          <w:tcPr>
            <w:tcW w:w="1680" w:type="dxa"/>
            <w:tcBorders>
              <w:top w:val="nil"/>
              <w:left w:val="nil"/>
              <w:bottom w:val="single" w:sz="4" w:space="0" w:color="auto"/>
              <w:right w:val="single" w:sz="4" w:space="0" w:color="auto"/>
            </w:tcBorders>
            <w:shd w:val="clear" w:color="auto" w:fill="C6EFCE"/>
            <w:noWrap/>
          </w:tcPr>
          <w:p w14:paraId="062D436F"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auto" w:fill="C6EFCE"/>
            <w:noWrap/>
          </w:tcPr>
          <w:p w14:paraId="1180A396" w14:textId="43DA3FDC"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Bojovať proti daňovým únikom</w:t>
            </w:r>
            <w:r w:rsidR="00083739" w:rsidRPr="00083739">
              <w:rPr>
                <w:rFonts w:cs="Times New Roman"/>
                <w:noProof/>
                <w:lang w:val="sk-SK"/>
              </w:rPr>
              <w:t xml:space="preserve"> a </w:t>
            </w:r>
            <w:r w:rsidRPr="00083739">
              <w:rPr>
                <w:rFonts w:cs="Times New Roman"/>
                <w:noProof/>
                <w:lang w:val="sk-SK"/>
              </w:rPr>
              <w:t>podporovať elektronické platby</w:t>
            </w:r>
          </w:p>
        </w:tc>
      </w:tr>
      <w:tr w:rsidR="002D49B0" w:rsidRPr="00083739" w14:paraId="6D532544"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tcPr>
          <w:p w14:paraId="058DB248" w14:textId="77777777"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338</w:t>
            </w:r>
          </w:p>
        </w:tc>
        <w:tc>
          <w:tcPr>
            <w:tcW w:w="4320" w:type="dxa"/>
            <w:tcBorders>
              <w:top w:val="nil"/>
              <w:left w:val="nil"/>
              <w:bottom w:val="single" w:sz="4" w:space="0" w:color="auto"/>
              <w:right w:val="single" w:sz="4" w:space="0" w:color="auto"/>
            </w:tcBorders>
            <w:shd w:val="clear" w:color="auto" w:fill="C6EFCE"/>
            <w:noWrap/>
          </w:tcPr>
          <w:p w14:paraId="27FD3AAA" w14:textId="1B7D4170"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12 – 4.1. Zabezpečiť, aby boli dane priaznivejšie pre rast</w:t>
            </w:r>
            <w:r w:rsidR="00083739" w:rsidRPr="00083739">
              <w:rPr>
                <w:rFonts w:cs="Times New Roman"/>
                <w:noProof/>
                <w:lang w:val="sk-SK"/>
              </w:rPr>
              <w:t xml:space="preserve"> a </w:t>
            </w:r>
            <w:r w:rsidRPr="00083739">
              <w:rPr>
                <w:rFonts w:cs="Times New Roman"/>
                <w:noProof/>
                <w:lang w:val="sk-SK"/>
              </w:rPr>
              <w:t>zlepšiť daňovú správu</w:t>
            </w:r>
            <w:r w:rsidR="00083739" w:rsidRPr="00083739">
              <w:rPr>
                <w:rFonts w:cs="Times New Roman"/>
                <w:noProof/>
                <w:lang w:val="sk-SK"/>
              </w:rPr>
              <w:t xml:space="preserve"> a </w:t>
            </w:r>
            <w:r w:rsidRPr="00083739">
              <w:rPr>
                <w:rFonts w:cs="Times New Roman"/>
                <w:noProof/>
                <w:lang w:val="sk-SK"/>
              </w:rPr>
              <w:t xml:space="preserve">výber daní – </w:t>
            </w:r>
            <w:r w:rsidRPr="00083739">
              <w:rPr>
                <w:rFonts w:cs="Times New Roman"/>
                <w:noProof/>
                <w:lang w:val="sk-SK"/>
              </w:rPr>
              <w:t>16985_Úprava rámca daňovej politiky Grécka</w:t>
            </w:r>
          </w:p>
        </w:tc>
        <w:tc>
          <w:tcPr>
            <w:tcW w:w="1680" w:type="dxa"/>
            <w:tcBorders>
              <w:top w:val="nil"/>
              <w:left w:val="nil"/>
              <w:bottom w:val="single" w:sz="4" w:space="0" w:color="auto"/>
              <w:right w:val="single" w:sz="4" w:space="0" w:color="auto"/>
            </w:tcBorders>
            <w:shd w:val="clear" w:color="auto" w:fill="C6EFCE"/>
            <w:noWrap/>
          </w:tcPr>
          <w:p w14:paraId="38C062AD" w14:textId="77777777"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auto" w:fill="C6EFCE"/>
            <w:noWrap/>
          </w:tcPr>
          <w:p w14:paraId="4796554C" w14:textId="662C67E6"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Reforma zdaňovania samostatne zárobkovo činných osôb</w:t>
            </w:r>
            <w:r w:rsidR="00083739" w:rsidRPr="00083739">
              <w:rPr>
                <w:rFonts w:cs="Times New Roman"/>
                <w:noProof/>
                <w:lang w:val="sk-SK"/>
              </w:rPr>
              <w:t xml:space="preserve"> a </w:t>
            </w:r>
            <w:r w:rsidRPr="00083739">
              <w:rPr>
                <w:rFonts w:cs="Times New Roman"/>
                <w:noProof/>
                <w:lang w:val="sk-SK"/>
              </w:rPr>
              <w:t>kolkovej dane</w:t>
            </w:r>
          </w:p>
        </w:tc>
      </w:tr>
      <w:tr w:rsidR="002D49B0" w:rsidRPr="00083739" w14:paraId="427BB229" w14:textId="77777777">
        <w:trPr>
          <w:trHeight w:val="302"/>
        </w:trPr>
        <w:tc>
          <w:tcPr>
            <w:tcW w:w="1795" w:type="dxa"/>
            <w:tcBorders>
              <w:top w:val="single" w:sz="4" w:space="0" w:color="auto"/>
              <w:left w:val="single" w:sz="4" w:space="0" w:color="auto"/>
              <w:bottom w:val="single" w:sz="4" w:space="0" w:color="auto"/>
              <w:right w:val="single" w:sz="4" w:space="0" w:color="auto"/>
            </w:tcBorders>
            <w:shd w:val="clear" w:color="auto" w:fill="C6EFCE"/>
            <w:noWrap/>
          </w:tcPr>
          <w:p w14:paraId="29C987AF" w14:textId="77777777" w:rsidR="002D49B0" w:rsidRPr="00083739" w:rsidRDefault="00BF4125">
            <w:pPr>
              <w:pStyle w:val="P68B1DB1-Normal8"/>
              <w:keepNext/>
              <w:spacing w:before="40" w:after="0" w:line="259" w:lineRule="auto"/>
              <w:jc w:val="both"/>
              <w:rPr>
                <w:rFonts w:eastAsia="Times New Roman" w:cs="Times New Roman"/>
                <w:bCs/>
                <w:noProof/>
                <w:szCs w:val="18"/>
                <w:lang w:val="sk-SK"/>
              </w:rPr>
            </w:pPr>
            <w:r w:rsidRPr="00083739">
              <w:rPr>
                <w:rFonts w:cs="Times New Roman"/>
                <w:noProof/>
                <w:lang w:val="sk-SK"/>
              </w:rPr>
              <w:t>341</w:t>
            </w:r>
          </w:p>
        </w:tc>
        <w:tc>
          <w:tcPr>
            <w:tcW w:w="4320" w:type="dxa"/>
            <w:tcBorders>
              <w:top w:val="single" w:sz="4" w:space="0" w:color="auto"/>
              <w:left w:val="nil"/>
              <w:bottom w:val="single" w:sz="4" w:space="0" w:color="auto"/>
              <w:right w:val="single" w:sz="4" w:space="0" w:color="auto"/>
            </w:tcBorders>
            <w:shd w:val="clear" w:color="auto" w:fill="C6EFCE"/>
            <w:noWrap/>
          </w:tcPr>
          <w:p w14:paraId="3367004B" w14:textId="5041097B" w:rsidR="002D49B0" w:rsidRPr="00083739" w:rsidRDefault="00BF4125">
            <w:pPr>
              <w:pStyle w:val="P68B1DB1-Normal8"/>
              <w:keepNext/>
              <w:spacing w:before="40" w:after="0" w:line="259" w:lineRule="auto"/>
              <w:jc w:val="both"/>
              <w:rPr>
                <w:rFonts w:eastAsia="Times New Roman" w:cs="Times New Roman"/>
                <w:bCs/>
                <w:noProof/>
                <w:szCs w:val="18"/>
                <w:lang w:val="sk-SK"/>
              </w:rPr>
            </w:pPr>
            <w:r w:rsidRPr="00083739">
              <w:rPr>
                <w:rFonts w:cs="Times New Roman"/>
                <w:noProof/>
                <w:lang w:val="sk-SK"/>
              </w:rPr>
              <w:t>13 – 4.2. Modernizácia verejnej správy,</w:t>
            </w:r>
            <w:r w:rsidR="00083739" w:rsidRPr="00083739">
              <w:rPr>
                <w:rFonts w:cs="Times New Roman"/>
                <w:noProof/>
                <w:lang w:val="sk-SK"/>
              </w:rPr>
              <w:t xml:space="preserve"> a </w:t>
            </w:r>
            <w:r w:rsidRPr="00083739">
              <w:rPr>
                <w:rFonts w:cs="Times New Roman"/>
                <w:noProof/>
                <w:lang w:val="sk-SK"/>
              </w:rPr>
              <w:t xml:space="preserve">to aj urýchlením realizácie verejných investícií, zlepšením rámca verejného obstarávania, </w:t>
            </w:r>
            <w:r w:rsidRPr="00083739">
              <w:rPr>
                <w:rFonts w:cs="Times New Roman"/>
                <w:noProof/>
                <w:lang w:val="sk-SK"/>
              </w:rPr>
              <w:t>opatreniami na budovanie kapacít</w:t>
            </w:r>
            <w:r w:rsidR="00083739" w:rsidRPr="00083739">
              <w:rPr>
                <w:rFonts w:cs="Times New Roman"/>
                <w:noProof/>
                <w:lang w:val="sk-SK"/>
              </w:rPr>
              <w:t xml:space="preserve"> a </w:t>
            </w:r>
            <w:r w:rsidRPr="00083739">
              <w:rPr>
                <w:rFonts w:cs="Times New Roman"/>
                <w:noProof/>
                <w:lang w:val="sk-SK"/>
              </w:rPr>
              <w:t>bojom proti korupcii – 16986_Dokončenie národného katastra</w:t>
            </w:r>
          </w:p>
        </w:tc>
        <w:tc>
          <w:tcPr>
            <w:tcW w:w="1680" w:type="dxa"/>
            <w:tcBorders>
              <w:top w:val="single" w:sz="4" w:space="0" w:color="auto"/>
              <w:left w:val="nil"/>
              <w:bottom w:val="single" w:sz="4" w:space="0" w:color="auto"/>
              <w:right w:val="single" w:sz="4" w:space="0" w:color="auto"/>
            </w:tcBorders>
            <w:shd w:val="clear" w:color="auto" w:fill="C6EFCE"/>
            <w:noWrap/>
          </w:tcPr>
          <w:p w14:paraId="11830E2C" w14:textId="77777777" w:rsidR="002D49B0" w:rsidRPr="00083739" w:rsidRDefault="00BF4125">
            <w:pPr>
              <w:pStyle w:val="P68B1DB1-Normal8"/>
              <w:keepNext/>
              <w:spacing w:before="40" w:after="0" w:line="259" w:lineRule="auto"/>
              <w:jc w:val="both"/>
              <w:rPr>
                <w:rFonts w:eastAsia="Times New Roman" w:cs="Times New Roman"/>
                <w:noProof/>
                <w:szCs w:val="18"/>
                <w:lang w:val="sk-SK"/>
              </w:rPr>
            </w:pPr>
            <w:r w:rsidRPr="00083739">
              <w:rPr>
                <w:rFonts w:cs="Times New Roman"/>
                <w:noProof/>
                <w:lang w:val="sk-SK"/>
              </w:rPr>
              <w:t>Cieľ</w:t>
            </w:r>
          </w:p>
        </w:tc>
        <w:tc>
          <w:tcPr>
            <w:tcW w:w="1800" w:type="dxa"/>
            <w:tcBorders>
              <w:top w:val="single" w:sz="4" w:space="0" w:color="auto"/>
              <w:left w:val="nil"/>
              <w:bottom w:val="single" w:sz="4" w:space="0" w:color="auto"/>
              <w:right w:val="single" w:sz="4" w:space="0" w:color="auto"/>
            </w:tcBorders>
            <w:shd w:val="clear" w:color="auto" w:fill="C6EFCE"/>
            <w:noWrap/>
          </w:tcPr>
          <w:p w14:paraId="6BC3680D" w14:textId="687E4481" w:rsidR="002D49B0" w:rsidRPr="00083739" w:rsidRDefault="00BF4125">
            <w:pPr>
              <w:pStyle w:val="P68B1DB1-Normal8"/>
              <w:keepNext/>
              <w:spacing w:before="40" w:after="0" w:line="259" w:lineRule="auto"/>
              <w:jc w:val="both"/>
              <w:rPr>
                <w:rFonts w:eastAsia="Times New Roman" w:cs="Times New Roman"/>
                <w:noProof/>
                <w:szCs w:val="18"/>
                <w:lang w:val="sk-SK"/>
              </w:rPr>
            </w:pPr>
            <w:r w:rsidRPr="00083739">
              <w:rPr>
                <w:rFonts w:cs="Times New Roman"/>
                <w:noProof/>
                <w:lang w:val="sk-SK"/>
              </w:rPr>
              <w:t>Katastrálne mapovanie – 85</w:t>
            </w:r>
            <w:r w:rsidR="00083739" w:rsidRPr="00083739">
              <w:rPr>
                <w:rFonts w:cs="Times New Roman"/>
                <w:noProof/>
                <w:lang w:val="sk-SK"/>
              </w:rPr>
              <w:t> %</w:t>
            </w:r>
            <w:r w:rsidRPr="00083739">
              <w:rPr>
                <w:rFonts w:cs="Times New Roman"/>
                <w:noProof/>
                <w:lang w:val="sk-SK"/>
              </w:rPr>
              <w:t xml:space="preserve"> dokončenie</w:t>
            </w:r>
          </w:p>
        </w:tc>
      </w:tr>
      <w:tr w:rsidR="002D49B0" w:rsidRPr="00083739" w14:paraId="77C92919" w14:textId="77777777">
        <w:trPr>
          <w:trHeight w:val="302"/>
        </w:trPr>
        <w:tc>
          <w:tcPr>
            <w:tcW w:w="1795" w:type="dxa"/>
            <w:tcBorders>
              <w:top w:val="single" w:sz="4" w:space="0" w:color="auto"/>
              <w:left w:val="single" w:sz="4" w:space="0" w:color="auto"/>
              <w:bottom w:val="single" w:sz="4" w:space="0" w:color="auto"/>
              <w:right w:val="single" w:sz="4" w:space="0" w:color="auto"/>
            </w:tcBorders>
            <w:shd w:val="clear" w:color="auto" w:fill="C6EFCE"/>
            <w:noWrap/>
          </w:tcPr>
          <w:p w14:paraId="1E6E970E" w14:textId="77777777" w:rsidR="002D49B0" w:rsidRPr="00083739" w:rsidRDefault="00BF4125">
            <w:pPr>
              <w:pStyle w:val="P68B1DB1-Normal50"/>
              <w:keepNext/>
              <w:spacing w:before="40" w:after="0" w:line="259" w:lineRule="auto"/>
              <w:jc w:val="both"/>
              <w:rPr>
                <w:rFonts w:eastAsia="Times New Roman" w:cs="Times New Roman"/>
                <w:bCs/>
                <w:noProof/>
                <w:szCs w:val="18"/>
                <w:lang w:val="sk-SK"/>
              </w:rPr>
            </w:pPr>
            <w:r w:rsidRPr="00083739">
              <w:rPr>
                <w:rFonts w:cs="Times New Roman"/>
                <w:noProof/>
                <w:lang w:val="sk-SK"/>
              </w:rPr>
              <w:t>367</w:t>
            </w:r>
          </w:p>
        </w:tc>
        <w:tc>
          <w:tcPr>
            <w:tcW w:w="4320" w:type="dxa"/>
            <w:tcBorders>
              <w:top w:val="single" w:sz="4" w:space="0" w:color="auto"/>
              <w:left w:val="nil"/>
              <w:bottom w:val="single" w:sz="4" w:space="0" w:color="auto"/>
              <w:right w:val="single" w:sz="4" w:space="0" w:color="auto"/>
            </w:tcBorders>
            <w:shd w:val="clear" w:color="auto" w:fill="C6EFCE"/>
            <w:noWrap/>
          </w:tcPr>
          <w:p w14:paraId="13A5A47E" w14:textId="5830BBDC" w:rsidR="002D49B0" w:rsidRPr="00083739" w:rsidRDefault="00BF4125">
            <w:pPr>
              <w:pStyle w:val="P68B1DB1-Normal50"/>
              <w:keepNext/>
              <w:spacing w:before="40" w:after="0" w:line="259" w:lineRule="auto"/>
              <w:jc w:val="both"/>
              <w:rPr>
                <w:rFonts w:eastAsia="Times New Roman" w:cs="Times New Roman"/>
                <w:bCs/>
                <w:noProof/>
                <w:szCs w:val="18"/>
                <w:lang w:val="sk-SK"/>
              </w:rPr>
            </w:pPr>
            <w:r w:rsidRPr="00083739">
              <w:rPr>
                <w:rFonts w:cs="Times New Roman"/>
                <w:noProof/>
                <w:lang w:val="sk-SK"/>
              </w:rPr>
              <w:t>21 – 5.2 Investície REPowerEU – 16994_Energetická efektívnosť</w:t>
            </w:r>
            <w:r w:rsidR="00083739" w:rsidRPr="00083739">
              <w:rPr>
                <w:rFonts w:cs="Times New Roman"/>
                <w:noProof/>
                <w:lang w:val="sk-SK"/>
              </w:rPr>
              <w:t xml:space="preserve"> a </w:t>
            </w:r>
            <w:r w:rsidRPr="00083739">
              <w:rPr>
                <w:rFonts w:cs="Times New Roman"/>
                <w:noProof/>
                <w:lang w:val="sk-SK"/>
              </w:rPr>
              <w:t xml:space="preserve">podpora OZE pre vlastnú spotrebu </w:t>
            </w:r>
          </w:p>
        </w:tc>
        <w:tc>
          <w:tcPr>
            <w:tcW w:w="1680" w:type="dxa"/>
            <w:tcBorders>
              <w:top w:val="single" w:sz="4" w:space="0" w:color="auto"/>
              <w:left w:val="nil"/>
              <w:bottom w:val="single" w:sz="4" w:space="0" w:color="auto"/>
              <w:right w:val="single" w:sz="4" w:space="0" w:color="auto"/>
            </w:tcBorders>
            <w:shd w:val="clear" w:color="auto" w:fill="C6EFCE"/>
            <w:noWrap/>
          </w:tcPr>
          <w:p w14:paraId="54A43649" w14:textId="77777777" w:rsidR="002D49B0" w:rsidRPr="00083739" w:rsidRDefault="00BF4125">
            <w:pPr>
              <w:pStyle w:val="P68B1DB1-Normal50"/>
              <w:keepNext/>
              <w:spacing w:before="40" w:after="0" w:line="259"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single" w:sz="4" w:space="0" w:color="auto"/>
              <w:left w:val="nil"/>
              <w:bottom w:val="single" w:sz="4" w:space="0" w:color="auto"/>
              <w:right w:val="single" w:sz="4" w:space="0" w:color="auto"/>
            </w:tcBorders>
            <w:shd w:val="clear" w:color="auto" w:fill="C6EFCE"/>
            <w:noWrap/>
          </w:tcPr>
          <w:p w14:paraId="3AC3776B" w14:textId="77777777" w:rsidR="002D49B0" w:rsidRPr="00083739" w:rsidRDefault="00BF4125">
            <w:pPr>
              <w:pStyle w:val="P68B1DB1-Normal50"/>
              <w:keepNext/>
              <w:spacing w:before="40" w:after="0" w:line="259" w:lineRule="auto"/>
              <w:jc w:val="both"/>
              <w:rPr>
                <w:rFonts w:eastAsia="Times New Roman" w:cs="Times New Roman"/>
                <w:noProof/>
                <w:szCs w:val="18"/>
                <w:lang w:val="sk-SK"/>
              </w:rPr>
            </w:pPr>
            <w:r w:rsidRPr="00083739">
              <w:rPr>
                <w:rFonts w:cs="Times New Roman"/>
                <w:noProof/>
                <w:lang w:val="sk-SK"/>
              </w:rPr>
              <w:t>Spustenie podporných programov</w:t>
            </w:r>
          </w:p>
        </w:tc>
      </w:tr>
      <w:tr w:rsidR="002D49B0" w:rsidRPr="00083739" w14:paraId="4DA8E292" w14:textId="77777777">
        <w:trPr>
          <w:trHeight w:val="302"/>
        </w:trPr>
        <w:tc>
          <w:tcPr>
            <w:tcW w:w="1795"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B3A8D21"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c>
          <w:tcPr>
            <w:tcW w:w="4320" w:type="dxa"/>
            <w:tcBorders>
              <w:top w:val="single" w:sz="4" w:space="0" w:color="auto"/>
              <w:left w:val="nil"/>
              <w:bottom w:val="single" w:sz="4" w:space="0" w:color="auto"/>
              <w:right w:val="single" w:sz="4" w:space="0" w:color="auto"/>
            </w:tcBorders>
            <w:shd w:val="clear" w:color="auto" w:fill="C6EFCE"/>
            <w:noWrap/>
            <w:vAlign w:val="bottom"/>
          </w:tcPr>
          <w:p w14:paraId="10451E4E"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c>
          <w:tcPr>
            <w:tcW w:w="1680" w:type="dxa"/>
            <w:tcBorders>
              <w:top w:val="single" w:sz="4" w:space="0" w:color="auto"/>
              <w:left w:val="nil"/>
              <w:bottom w:val="single" w:sz="4" w:space="0" w:color="auto"/>
              <w:right w:val="single" w:sz="4" w:space="0" w:color="auto"/>
            </w:tcBorders>
            <w:shd w:val="clear" w:color="auto" w:fill="C6EFCE"/>
            <w:noWrap/>
            <w:vAlign w:val="bottom"/>
          </w:tcPr>
          <w:p w14:paraId="46A85ECB" w14:textId="77777777" w:rsidR="002D49B0" w:rsidRPr="00083739" w:rsidRDefault="00BF4125">
            <w:pPr>
              <w:pStyle w:val="P68B1DB1-Normal8"/>
              <w:keepNext/>
              <w:spacing w:before="40" w:after="0" w:line="259" w:lineRule="auto"/>
              <w:jc w:val="both"/>
              <w:rPr>
                <w:rFonts w:eastAsia="Times New Roman" w:cs="Times New Roman"/>
                <w:noProof/>
                <w:szCs w:val="18"/>
                <w:lang w:val="sk-SK"/>
              </w:rPr>
            </w:pPr>
            <w:r w:rsidRPr="00083739">
              <w:rPr>
                <w:rFonts w:cs="Times New Roman"/>
                <w:noProof/>
                <w:lang w:val="sk-SK"/>
              </w:rPr>
              <w:t>Suma splátky</w:t>
            </w:r>
          </w:p>
        </w:tc>
        <w:tc>
          <w:tcPr>
            <w:tcW w:w="1800" w:type="dxa"/>
            <w:tcBorders>
              <w:top w:val="single" w:sz="4" w:space="0" w:color="auto"/>
              <w:left w:val="nil"/>
              <w:bottom w:val="single" w:sz="4" w:space="0" w:color="auto"/>
              <w:right w:val="single" w:sz="4" w:space="0" w:color="auto"/>
            </w:tcBorders>
            <w:shd w:val="clear" w:color="auto" w:fill="C6EFCE"/>
            <w:noWrap/>
            <w:vAlign w:val="bottom"/>
          </w:tcPr>
          <w:p w14:paraId="44495E06" w14:textId="165BBEBA" w:rsidR="002D49B0" w:rsidRPr="00083739" w:rsidRDefault="00BF4125">
            <w:pPr>
              <w:pStyle w:val="P68B1DB1-Normal8"/>
              <w:keepNext/>
              <w:spacing w:before="40" w:after="0" w:line="259" w:lineRule="auto"/>
              <w:jc w:val="both"/>
              <w:rPr>
                <w:rFonts w:eastAsia="Times New Roman" w:cs="Times New Roman"/>
                <w:noProof/>
                <w:szCs w:val="18"/>
                <w:lang w:val="sk-SK"/>
              </w:rPr>
            </w:pPr>
            <w:r w:rsidRPr="00083739">
              <w:rPr>
                <w:rFonts w:cs="Times New Roman"/>
                <w:noProof/>
                <w:lang w:val="sk-SK"/>
              </w:rPr>
              <w:t>1 557 198 947 EUR</w:t>
            </w:r>
          </w:p>
        </w:tc>
      </w:tr>
    </w:tbl>
    <w:p w14:paraId="6308E56F" w14:textId="77777777" w:rsidR="002D49B0" w:rsidRPr="00083739" w:rsidRDefault="002D49B0">
      <w:pPr>
        <w:keepNext/>
        <w:spacing w:before="40" w:line="259" w:lineRule="auto"/>
        <w:jc w:val="both"/>
        <w:rPr>
          <w:rFonts w:ascii="Times New Roman" w:eastAsia="Times New Roman" w:hAnsi="Times New Roman" w:cs="Times New Roman"/>
          <w:i/>
          <w:noProof/>
          <w:color w:val="4F81BD"/>
          <w:lang w:val="sk-SK"/>
        </w:rPr>
      </w:pPr>
    </w:p>
    <w:p w14:paraId="0BBD2D86" w14:textId="63CC3C79" w:rsidR="00083739" w:rsidRPr="00083739" w:rsidRDefault="00BF4125">
      <w:pPr>
        <w:pStyle w:val="P68B1DB1-Normal4"/>
        <w:keepNext/>
        <w:numPr>
          <w:ilvl w:val="1"/>
          <w:numId w:val="22"/>
        </w:numPr>
        <w:spacing w:before="40" w:after="160" w:line="259" w:lineRule="auto"/>
        <w:ind w:left="0"/>
        <w:contextualSpacing/>
        <w:jc w:val="both"/>
        <w:rPr>
          <w:rFonts w:cs="Times New Roman"/>
          <w:noProof/>
          <w:lang w:val="sk-SK"/>
        </w:rPr>
      </w:pPr>
      <w:r w:rsidRPr="00083739">
        <w:rPr>
          <w:rFonts w:cs="Times New Roman"/>
          <w:noProof/>
          <w:lang w:val="sk-SK"/>
        </w:rPr>
        <w:t xml:space="preserve"> Šiesta žiadosť</w:t>
      </w:r>
      <w:r w:rsidR="00083739" w:rsidRPr="00083739">
        <w:rPr>
          <w:rFonts w:cs="Times New Roman"/>
          <w:noProof/>
          <w:lang w:val="sk-SK"/>
        </w:rPr>
        <w:t xml:space="preserve"> o </w:t>
      </w:r>
      <w:r w:rsidRPr="00083739">
        <w:rPr>
          <w:rFonts w:cs="Times New Roman"/>
          <w:noProof/>
          <w:lang w:val="sk-SK"/>
        </w:rPr>
        <w:t>platbu (nenávratná podpora)</w:t>
      </w:r>
      <w:r w:rsidR="00083739" w:rsidRPr="00083739">
        <w:rPr>
          <w:rFonts w:cs="Times New Roman"/>
          <w:noProof/>
          <w:lang w:val="sk-SK"/>
        </w:rPr>
        <w:t>:</w:t>
      </w:r>
    </w:p>
    <w:p w14:paraId="5943ADC4" w14:textId="35620095" w:rsidR="002D49B0" w:rsidRPr="00083739" w:rsidRDefault="002D49B0">
      <w:pPr>
        <w:keepNext/>
        <w:spacing w:before="40" w:after="160" w:line="259" w:lineRule="auto"/>
        <w:contextualSpacing/>
        <w:jc w:val="both"/>
        <w:rPr>
          <w:rFonts w:ascii="Times New Roman" w:eastAsia="Times New Roman" w:hAnsi="Times New Roman" w:cs="Times New Roman"/>
          <w:noProof/>
          <w:sz w:val="24"/>
          <w:lang w:val="sk-SK"/>
        </w:rPr>
      </w:pPr>
    </w:p>
    <w:tbl>
      <w:tblPr>
        <w:tblpPr w:leftFromText="180" w:rightFromText="180" w:vertAnchor="text" w:tblpX="-252" w:tblpY="1"/>
        <w:tblOverlap w:val="never"/>
        <w:tblW w:w="9595" w:type="dxa"/>
        <w:tblLook w:val="04A0" w:firstRow="1" w:lastRow="0" w:firstColumn="1" w:lastColumn="0" w:noHBand="0" w:noVBand="1"/>
      </w:tblPr>
      <w:tblGrid>
        <w:gridCol w:w="1795"/>
        <w:gridCol w:w="4320"/>
        <w:gridCol w:w="1680"/>
        <w:gridCol w:w="1800"/>
      </w:tblGrid>
      <w:tr w:rsidR="002D49B0" w:rsidRPr="00083739" w14:paraId="2A75845B" w14:textId="77777777">
        <w:trPr>
          <w:trHeight w:val="906"/>
          <w:tblHeader/>
        </w:trPr>
        <w:tc>
          <w:tcPr>
            <w:tcW w:w="179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8963860" w14:textId="77777777" w:rsidR="002D49B0" w:rsidRPr="00083739" w:rsidRDefault="00BF4125">
            <w:pPr>
              <w:pStyle w:val="P68B1DB1-Normal7"/>
              <w:keepNext/>
              <w:spacing w:before="40" w:after="0" w:line="259" w:lineRule="auto"/>
              <w:jc w:val="center"/>
              <w:rPr>
                <w:rFonts w:eastAsia="Times New Roman" w:cs="Times New Roman"/>
                <w:bCs/>
                <w:noProof/>
                <w:szCs w:val="18"/>
                <w:lang w:val="sk-SK"/>
              </w:rPr>
            </w:pPr>
            <w:r w:rsidRPr="00083739">
              <w:rPr>
                <w:rFonts w:cs="Times New Roman"/>
                <w:noProof/>
                <w:lang w:val="sk-SK"/>
              </w:rPr>
              <w:t>Poradové číslo</w:t>
            </w:r>
          </w:p>
        </w:tc>
        <w:tc>
          <w:tcPr>
            <w:tcW w:w="432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5FD68CF" w14:textId="77777777" w:rsidR="002D49B0" w:rsidRPr="00083739" w:rsidRDefault="00BF4125">
            <w:pPr>
              <w:pStyle w:val="P68B1DB1-Normal7"/>
              <w:keepNext/>
              <w:spacing w:before="40" w:after="0" w:line="259" w:lineRule="auto"/>
              <w:jc w:val="center"/>
              <w:rPr>
                <w:rFonts w:eastAsia="Times New Roman" w:cs="Times New Roman"/>
                <w:bCs/>
                <w:noProof/>
                <w:szCs w:val="18"/>
                <w:lang w:val="sk-SK"/>
              </w:rPr>
            </w:pPr>
            <w:r w:rsidRPr="00083739">
              <w:rPr>
                <w:rFonts w:cs="Times New Roman"/>
                <w:noProof/>
                <w:lang w:val="sk-SK"/>
              </w:rPr>
              <w:t>Súvisiace opatrenie (reforma alebo investícia)</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5AA8DEF" w14:textId="77777777" w:rsidR="002D49B0" w:rsidRPr="00083739" w:rsidRDefault="00BF4125">
            <w:pPr>
              <w:pStyle w:val="P68B1DB1-Normal7"/>
              <w:keepNext/>
              <w:spacing w:before="40" w:after="0" w:line="259" w:lineRule="auto"/>
              <w:jc w:val="center"/>
              <w:rPr>
                <w:rFonts w:eastAsia="Times New Roman" w:cs="Times New Roman"/>
                <w:bCs/>
                <w:noProof/>
                <w:szCs w:val="18"/>
                <w:lang w:val="sk-SK"/>
              </w:rPr>
            </w:pPr>
            <w:r w:rsidRPr="00083739">
              <w:rPr>
                <w:rFonts w:cs="Times New Roman"/>
                <w:noProof/>
                <w:lang w:val="sk-SK"/>
              </w:rPr>
              <w:t>Míľnik/cieľ</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B1407A1" w14:textId="77777777" w:rsidR="002D49B0" w:rsidRPr="00083739" w:rsidRDefault="00BF4125">
            <w:pPr>
              <w:pStyle w:val="P68B1DB1-Normal7"/>
              <w:keepNext/>
              <w:spacing w:before="40" w:after="0" w:line="259" w:lineRule="auto"/>
              <w:jc w:val="center"/>
              <w:rPr>
                <w:rFonts w:eastAsia="Times New Roman" w:cs="Times New Roman"/>
                <w:bCs/>
                <w:noProof/>
                <w:szCs w:val="18"/>
                <w:lang w:val="sk-SK"/>
              </w:rPr>
            </w:pPr>
            <w:r w:rsidRPr="00083739">
              <w:rPr>
                <w:rFonts w:cs="Times New Roman"/>
                <w:noProof/>
                <w:lang w:val="sk-SK"/>
              </w:rPr>
              <w:t>Názov</w:t>
            </w:r>
          </w:p>
        </w:tc>
      </w:tr>
      <w:tr w:rsidR="002D49B0" w:rsidRPr="00083739" w14:paraId="3FFB8DDC" w14:textId="77777777">
        <w:trPr>
          <w:trHeight w:val="990"/>
        </w:trPr>
        <w:tc>
          <w:tcPr>
            <w:tcW w:w="1795" w:type="dxa"/>
            <w:vMerge/>
            <w:tcBorders>
              <w:top w:val="single" w:sz="4" w:space="0" w:color="auto"/>
              <w:left w:val="single" w:sz="4" w:space="0" w:color="auto"/>
              <w:bottom w:val="single" w:sz="4" w:space="0" w:color="auto"/>
              <w:right w:val="single" w:sz="4" w:space="0" w:color="auto"/>
            </w:tcBorders>
            <w:vAlign w:val="center"/>
            <w:hideMark/>
          </w:tcPr>
          <w:p w14:paraId="79635ADE"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c>
          <w:tcPr>
            <w:tcW w:w="4320" w:type="dxa"/>
            <w:vMerge/>
            <w:tcBorders>
              <w:top w:val="single" w:sz="4" w:space="0" w:color="auto"/>
              <w:left w:val="single" w:sz="4" w:space="0" w:color="auto"/>
              <w:bottom w:val="single" w:sz="4" w:space="0" w:color="auto"/>
              <w:right w:val="single" w:sz="4" w:space="0" w:color="auto"/>
            </w:tcBorders>
            <w:vAlign w:val="center"/>
            <w:hideMark/>
          </w:tcPr>
          <w:p w14:paraId="73A1DF3F"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c>
          <w:tcPr>
            <w:tcW w:w="1680" w:type="dxa"/>
            <w:vMerge/>
            <w:tcBorders>
              <w:top w:val="single" w:sz="4" w:space="0" w:color="auto"/>
              <w:left w:val="single" w:sz="4" w:space="0" w:color="auto"/>
              <w:bottom w:val="single" w:sz="4" w:space="0" w:color="auto"/>
              <w:right w:val="single" w:sz="4" w:space="0" w:color="auto"/>
            </w:tcBorders>
            <w:vAlign w:val="center"/>
            <w:hideMark/>
          </w:tcPr>
          <w:p w14:paraId="23FE639B"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14:paraId="7140048D"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r>
      <w:tr w:rsidR="002D49B0" w:rsidRPr="00083739" w14:paraId="085A5C1C" w14:textId="77777777">
        <w:trPr>
          <w:trHeight w:val="302"/>
        </w:trPr>
        <w:tc>
          <w:tcPr>
            <w:tcW w:w="179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1EFA90" w14:textId="50CC13FF"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8</w:t>
            </w:r>
          </w:p>
        </w:tc>
        <w:tc>
          <w:tcPr>
            <w:tcW w:w="4320" w:type="dxa"/>
            <w:tcBorders>
              <w:top w:val="single" w:sz="4" w:space="0" w:color="auto"/>
              <w:left w:val="nil"/>
              <w:bottom w:val="single" w:sz="4" w:space="0" w:color="auto"/>
              <w:right w:val="single" w:sz="4" w:space="0" w:color="auto"/>
            </w:tcBorders>
            <w:shd w:val="clear" w:color="auto" w:fill="C6EFCE"/>
            <w:noWrap/>
            <w:vAlign w:val="center"/>
          </w:tcPr>
          <w:p w14:paraId="4F7F4ED6" w14:textId="05A824B2"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1 – 1.1. Power up – 16865_Reštrukturalizácia</w:t>
            </w:r>
            <w:r w:rsidR="00083739" w:rsidRPr="00083739">
              <w:rPr>
                <w:rFonts w:cs="Times New Roman"/>
                <w:noProof/>
                <w:lang w:val="sk-SK"/>
              </w:rPr>
              <w:t xml:space="preserve"> a </w:t>
            </w:r>
            <w:r w:rsidRPr="00083739">
              <w:rPr>
                <w:rFonts w:cs="Times New Roman"/>
                <w:noProof/>
                <w:lang w:val="sk-SK"/>
              </w:rPr>
              <w:t>zlepšenie príjmov</w:t>
            </w:r>
            <w:r w:rsidR="00083739" w:rsidRPr="00083739">
              <w:rPr>
                <w:rFonts w:cs="Times New Roman"/>
                <w:noProof/>
                <w:lang w:val="sk-SK"/>
              </w:rPr>
              <w:t xml:space="preserve"> z </w:t>
            </w:r>
            <w:r w:rsidRPr="00083739">
              <w:rPr>
                <w:rFonts w:cs="Times New Roman"/>
                <w:noProof/>
                <w:lang w:val="sk-SK"/>
              </w:rPr>
              <w:t>účtu KVET OZE</w:t>
            </w:r>
          </w:p>
        </w:tc>
        <w:tc>
          <w:tcPr>
            <w:tcW w:w="1680" w:type="dxa"/>
            <w:tcBorders>
              <w:top w:val="single" w:sz="4" w:space="0" w:color="auto"/>
              <w:left w:val="nil"/>
              <w:bottom w:val="single" w:sz="4" w:space="0" w:color="auto"/>
              <w:right w:val="single" w:sz="4" w:space="0" w:color="auto"/>
            </w:tcBorders>
            <w:shd w:val="clear" w:color="auto" w:fill="C6EFCE"/>
            <w:noWrap/>
            <w:vAlign w:val="center"/>
          </w:tcPr>
          <w:p w14:paraId="6200507D" w14:textId="574B20A1"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Cieľ</w:t>
            </w:r>
          </w:p>
        </w:tc>
        <w:tc>
          <w:tcPr>
            <w:tcW w:w="1800" w:type="dxa"/>
            <w:tcBorders>
              <w:top w:val="single" w:sz="4" w:space="0" w:color="auto"/>
              <w:left w:val="nil"/>
              <w:bottom w:val="single" w:sz="4" w:space="0" w:color="auto"/>
              <w:right w:val="single" w:sz="4" w:space="0" w:color="auto"/>
            </w:tcBorders>
            <w:shd w:val="clear" w:color="auto" w:fill="C6EFCE"/>
            <w:noWrap/>
            <w:vAlign w:val="center"/>
          </w:tcPr>
          <w:p w14:paraId="411CC911" w14:textId="782FB380"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Účet OZE – cieľ zvýšenia kapacity 3 </w:t>
            </w:r>
          </w:p>
        </w:tc>
      </w:tr>
      <w:tr w:rsidR="002D49B0" w:rsidRPr="00083739" w14:paraId="215289F0" w14:textId="77777777">
        <w:trPr>
          <w:trHeight w:val="302"/>
        </w:trPr>
        <w:tc>
          <w:tcPr>
            <w:tcW w:w="179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542FDD"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10</w:t>
            </w:r>
          </w:p>
        </w:tc>
        <w:tc>
          <w:tcPr>
            <w:tcW w:w="4320" w:type="dxa"/>
            <w:tcBorders>
              <w:top w:val="single" w:sz="4" w:space="0" w:color="auto"/>
              <w:left w:val="nil"/>
              <w:bottom w:val="single" w:sz="4" w:space="0" w:color="auto"/>
              <w:right w:val="single" w:sz="4" w:space="0" w:color="auto"/>
            </w:tcBorders>
            <w:shd w:val="clear" w:color="auto" w:fill="C6EFCE"/>
            <w:noWrap/>
            <w:vAlign w:val="center"/>
          </w:tcPr>
          <w:p w14:paraId="32BD1384"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1 – 1.1. Power up – 16871_Revitalizačné opatrenia najviac postihnutých území (územia spravodlivej transformácie)</w:t>
            </w:r>
          </w:p>
        </w:tc>
        <w:tc>
          <w:tcPr>
            <w:tcW w:w="1680" w:type="dxa"/>
            <w:tcBorders>
              <w:top w:val="single" w:sz="4" w:space="0" w:color="auto"/>
              <w:left w:val="nil"/>
              <w:bottom w:val="single" w:sz="4" w:space="0" w:color="auto"/>
              <w:right w:val="single" w:sz="4" w:space="0" w:color="auto"/>
            </w:tcBorders>
            <w:shd w:val="clear" w:color="auto" w:fill="C6EFCE"/>
            <w:noWrap/>
            <w:vAlign w:val="center"/>
          </w:tcPr>
          <w:p w14:paraId="1AA28DD1"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Míľnik</w:t>
            </w:r>
          </w:p>
        </w:tc>
        <w:tc>
          <w:tcPr>
            <w:tcW w:w="1800" w:type="dxa"/>
            <w:tcBorders>
              <w:top w:val="single" w:sz="4" w:space="0" w:color="auto"/>
              <w:left w:val="nil"/>
              <w:bottom w:val="single" w:sz="4" w:space="0" w:color="auto"/>
              <w:right w:val="single" w:sz="4" w:space="0" w:color="auto"/>
            </w:tcBorders>
            <w:shd w:val="clear" w:color="auto" w:fill="C6EFCE"/>
            <w:noWrap/>
            <w:vAlign w:val="center"/>
          </w:tcPr>
          <w:p w14:paraId="69273CC0"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Rekultivácia pôdy – mestské plány</w:t>
            </w:r>
          </w:p>
        </w:tc>
      </w:tr>
      <w:tr w:rsidR="002D49B0" w:rsidRPr="00083739" w14:paraId="676A9215"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37409D9F" w14:textId="6A0C4A01" w:rsidR="002D49B0" w:rsidRPr="00083739" w:rsidRDefault="00BF4125">
            <w:pPr>
              <w:pStyle w:val="P68B1DB1-Normal49"/>
              <w:keepNext/>
              <w:spacing w:before="40" w:after="0" w:line="240" w:lineRule="auto"/>
              <w:jc w:val="both"/>
              <w:rPr>
                <w:rFonts w:cs="Times New Roman"/>
                <w:noProof/>
                <w:lang w:val="sk-SK"/>
              </w:rPr>
            </w:pPr>
            <w:r w:rsidRPr="00083739">
              <w:rPr>
                <w:rFonts w:cs="Times New Roman"/>
                <w:noProof/>
                <w:lang w:val="sk-SK"/>
              </w:rPr>
              <w:t>31</w:t>
            </w:r>
          </w:p>
        </w:tc>
        <w:tc>
          <w:tcPr>
            <w:tcW w:w="4320" w:type="dxa"/>
            <w:tcBorders>
              <w:top w:val="nil"/>
              <w:left w:val="nil"/>
              <w:bottom w:val="single" w:sz="4" w:space="0" w:color="auto"/>
              <w:right w:val="single" w:sz="4" w:space="0" w:color="auto"/>
            </w:tcBorders>
            <w:shd w:val="clear" w:color="auto" w:fill="C6EFCE"/>
            <w:noWrap/>
            <w:vAlign w:val="center"/>
          </w:tcPr>
          <w:p w14:paraId="44EBB8A0" w14:textId="2948D0FF"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2 – 1.2. Renovácia</w:t>
            </w:r>
            <w:r w:rsidRPr="00083739">
              <w:rPr>
                <w:rFonts w:cs="Times New Roman"/>
                <w:noProof/>
                <w:lang w:val="sk-SK"/>
              </w:rPr>
              <w:t xml:space="preserve"> – 16891_Zriadenie nového námorného priestorového plánovania</w:t>
            </w:r>
          </w:p>
        </w:tc>
        <w:tc>
          <w:tcPr>
            <w:tcW w:w="1680" w:type="dxa"/>
            <w:tcBorders>
              <w:top w:val="nil"/>
              <w:left w:val="nil"/>
              <w:bottom w:val="single" w:sz="4" w:space="0" w:color="auto"/>
              <w:right w:val="single" w:sz="4" w:space="0" w:color="auto"/>
            </w:tcBorders>
            <w:shd w:val="clear" w:color="auto" w:fill="C6EFCE"/>
            <w:noWrap/>
            <w:vAlign w:val="center"/>
          </w:tcPr>
          <w:p w14:paraId="2216A021" w14:textId="69868E43"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auto" w:fill="C6EFCE"/>
            <w:noWrap/>
            <w:vAlign w:val="center"/>
          </w:tcPr>
          <w:p w14:paraId="5909C8D6" w14:textId="2994B8A4" w:rsidR="002D49B0" w:rsidRPr="00083739" w:rsidRDefault="00BF4125">
            <w:pPr>
              <w:pStyle w:val="P68B1DB1-Normal49"/>
              <w:keepNext/>
              <w:spacing w:before="40" w:after="0" w:line="240" w:lineRule="auto"/>
              <w:jc w:val="both"/>
              <w:rPr>
                <w:rFonts w:cs="Times New Roman"/>
                <w:noProof/>
                <w:lang w:val="sk-SK"/>
              </w:rPr>
            </w:pPr>
            <w:r w:rsidRPr="00083739">
              <w:rPr>
                <w:rFonts w:cs="Times New Roman"/>
                <w:noProof/>
                <w:lang w:val="sk-SK"/>
              </w:rPr>
              <w:t>Prijatie námornej stratégie</w:t>
            </w:r>
          </w:p>
        </w:tc>
      </w:tr>
      <w:tr w:rsidR="002D49B0" w:rsidRPr="00083739" w14:paraId="6CEC7A79"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2A43156A" w14:textId="2E7FDFF3" w:rsidR="002D49B0" w:rsidRPr="00083739" w:rsidRDefault="00BF4125">
            <w:pPr>
              <w:pStyle w:val="P68B1DB1-Normal49"/>
              <w:keepNext/>
              <w:spacing w:before="40" w:after="0" w:line="240" w:lineRule="auto"/>
              <w:jc w:val="both"/>
              <w:rPr>
                <w:rFonts w:eastAsia="Times New Roman" w:cs="Times New Roman"/>
                <w:noProof/>
                <w:lang w:val="sk-SK"/>
              </w:rPr>
            </w:pPr>
            <w:r w:rsidRPr="00083739">
              <w:rPr>
                <w:rFonts w:cs="Times New Roman"/>
                <w:noProof/>
                <w:lang w:val="sk-SK"/>
              </w:rPr>
              <w:t>113</w:t>
            </w:r>
          </w:p>
        </w:tc>
        <w:tc>
          <w:tcPr>
            <w:tcW w:w="4320" w:type="dxa"/>
            <w:tcBorders>
              <w:top w:val="nil"/>
              <w:left w:val="nil"/>
              <w:bottom w:val="single" w:sz="4" w:space="0" w:color="auto"/>
              <w:right w:val="single" w:sz="4" w:space="0" w:color="auto"/>
            </w:tcBorders>
            <w:shd w:val="clear" w:color="auto" w:fill="C6EFCE"/>
            <w:noWrap/>
            <w:vAlign w:val="center"/>
          </w:tcPr>
          <w:p w14:paraId="6FAE7572" w14:textId="7ABF331B" w:rsidR="002D49B0" w:rsidRPr="00083739" w:rsidRDefault="00BF4125">
            <w:pPr>
              <w:pStyle w:val="P68B1DB1-Normal49"/>
              <w:keepNext/>
              <w:spacing w:before="40" w:after="0" w:line="240" w:lineRule="auto"/>
              <w:jc w:val="both"/>
              <w:rPr>
                <w:rFonts w:eastAsia="Times New Roman" w:cs="Times New Roman"/>
                <w:noProof/>
                <w:lang w:val="sk-SK"/>
              </w:rPr>
            </w:pPr>
            <w:r w:rsidRPr="00083739">
              <w:rPr>
                <w:rFonts w:cs="Times New Roman"/>
                <w:noProof/>
                <w:lang w:val="sk-SK"/>
              </w:rPr>
              <w:t>6 – 2.2. Modernizácia – 16738_Ústredný systém správy dokumentov</w:t>
            </w:r>
          </w:p>
        </w:tc>
        <w:tc>
          <w:tcPr>
            <w:tcW w:w="1680" w:type="dxa"/>
            <w:tcBorders>
              <w:top w:val="nil"/>
              <w:left w:val="nil"/>
              <w:bottom w:val="single" w:sz="4" w:space="0" w:color="auto"/>
              <w:right w:val="single" w:sz="4" w:space="0" w:color="auto"/>
            </w:tcBorders>
            <w:shd w:val="clear" w:color="auto" w:fill="C6EFCE"/>
            <w:noWrap/>
            <w:vAlign w:val="center"/>
          </w:tcPr>
          <w:p w14:paraId="59BF0E81" w14:textId="14189E1A" w:rsidR="002D49B0" w:rsidRPr="00083739" w:rsidRDefault="00BF4125">
            <w:pPr>
              <w:pStyle w:val="P68B1DB1-Normal49"/>
              <w:keepNext/>
              <w:spacing w:before="40" w:after="0" w:line="240" w:lineRule="auto"/>
              <w:jc w:val="both"/>
              <w:rPr>
                <w:rFonts w:eastAsia="Times New Roman" w:cs="Times New Roman"/>
                <w:noProof/>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auto" w:fill="C6EFCE"/>
            <w:noWrap/>
            <w:vAlign w:val="center"/>
          </w:tcPr>
          <w:p w14:paraId="4C668B02" w14:textId="0F7618B3" w:rsidR="002D49B0" w:rsidRPr="00083739" w:rsidRDefault="00BF4125">
            <w:pPr>
              <w:pStyle w:val="P68B1DB1-Normal49"/>
              <w:keepNext/>
              <w:spacing w:before="40" w:after="0" w:line="240" w:lineRule="auto"/>
              <w:jc w:val="both"/>
              <w:rPr>
                <w:rFonts w:eastAsia="Times New Roman" w:cs="Times New Roman"/>
                <w:noProof/>
                <w:lang w:val="sk-SK"/>
              </w:rPr>
            </w:pPr>
            <w:r w:rsidRPr="00083739">
              <w:rPr>
                <w:rFonts w:cs="Times New Roman"/>
                <w:noProof/>
                <w:lang w:val="sk-SK"/>
              </w:rPr>
              <w:t xml:space="preserve">Dokončenie projektu centrálneho systému správy dokumentov </w:t>
            </w:r>
          </w:p>
        </w:tc>
      </w:tr>
      <w:tr w:rsidR="002D49B0" w:rsidRPr="00083739" w14:paraId="4048DA02"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4378AF77"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122</w:t>
            </w:r>
          </w:p>
        </w:tc>
        <w:tc>
          <w:tcPr>
            <w:tcW w:w="4320" w:type="dxa"/>
            <w:tcBorders>
              <w:top w:val="nil"/>
              <w:left w:val="nil"/>
              <w:bottom w:val="single" w:sz="4" w:space="0" w:color="auto"/>
              <w:right w:val="single" w:sz="4" w:space="0" w:color="auto"/>
            </w:tcBorders>
            <w:shd w:val="clear" w:color="auto" w:fill="C6EFCE"/>
            <w:noWrap/>
            <w:vAlign w:val="center"/>
          </w:tcPr>
          <w:p w14:paraId="07F04392" w14:textId="411B7089"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 xml:space="preserve">6 – 2.2. </w:t>
            </w:r>
            <w:r w:rsidRPr="00083739">
              <w:rPr>
                <w:rFonts w:cs="Times New Roman"/>
                <w:noProof/>
                <w:lang w:val="sk-SK"/>
              </w:rPr>
              <w:t>Modernizácia – 16853 Poskytovanie centrálnej cloudovej výpočtovej infraštruktúry</w:t>
            </w:r>
            <w:r w:rsidR="00083739" w:rsidRPr="00083739">
              <w:rPr>
                <w:rFonts w:cs="Times New Roman"/>
                <w:noProof/>
                <w:lang w:val="sk-SK"/>
              </w:rPr>
              <w:t xml:space="preserve"> a </w:t>
            </w:r>
            <w:r w:rsidRPr="00083739">
              <w:rPr>
                <w:rFonts w:cs="Times New Roman"/>
                <w:noProof/>
                <w:lang w:val="sk-SK"/>
              </w:rPr>
              <w:t>služieb</w:t>
            </w:r>
          </w:p>
        </w:tc>
        <w:tc>
          <w:tcPr>
            <w:tcW w:w="1680" w:type="dxa"/>
            <w:tcBorders>
              <w:top w:val="nil"/>
              <w:left w:val="nil"/>
              <w:bottom w:val="single" w:sz="4" w:space="0" w:color="auto"/>
              <w:right w:val="single" w:sz="4" w:space="0" w:color="auto"/>
            </w:tcBorders>
            <w:shd w:val="clear" w:color="auto" w:fill="C6EFCE"/>
            <w:noWrap/>
            <w:vAlign w:val="center"/>
          </w:tcPr>
          <w:p w14:paraId="275CFBA0"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auto" w:fill="C6EFCE"/>
            <w:noWrap/>
            <w:vAlign w:val="center"/>
          </w:tcPr>
          <w:p w14:paraId="352DFCD2" w14:textId="58086052"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Dokončenie infraštruktúry</w:t>
            </w:r>
            <w:r w:rsidR="00083739" w:rsidRPr="00083739">
              <w:rPr>
                <w:rFonts w:cs="Times New Roman"/>
                <w:noProof/>
                <w:lang w:val="sk-SK"/>
              </w:rPr>
              <w:t xml:space="preserve"> a </w:t>
            </w:r>
            <w:r w:rsidRPr="00083739">
              <w:rPr>
                <w:rFonts w:cs="Times New Roman"/>
                <w:noProof/>
                <w:lang w:val="sk-SK"/>
              </w:rPr>
              <w:t>služby centrálneho cloud computingu</w:t>
            </w:r>
          </w:p>
        </w:tc>
      </w:tr>
      <w:tr w:rsidR="002D49B0" w:rsidRPr="00083739" w14:paraId="316775B4"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45E050C6"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155</w:t>
            </w:r>
          </w:p>
        </w:tc>
        <w:tc>
          <w:tcPr>
            <w:tcW w:w="4320" w:type="dxa"/>
            <w:tcBorders>
              <w:top w:val="nil"/>
              <w:left w:val="nil"/>
              <w:bottom w:val="single" w:sz="4" w:space="0" w:color="auto"/>
              <w:right w:val="single" w:sz="4" w:space="0" w:color="auto"/>
            </w:tcBorders>
            <w:shd w:val="clear" w:color="auto" w:fill="C6EFCE"/>
            <w:noWrap/>
            <w:vAlign w:val="center"/>
          </w:tcPr>
          <w:p w14:paraId="498791CC" w14:textId="6EF083CF"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10 – 3.3. Zlepšenie odolnosti, dostupnosti</w:t>
            </w:r>
            <w:r w:rsidR="00083739" w:rsidRPr="00083739">
              <w:rPr>
                <w:rFonts w:cs="Times New Roman"/>
                <w:noProof/>
                <w:lang w:val="sk-SK"/>
              </w:rPr>
              <w:t xml:space="preserve"> a </w:t>
            </w:r>
            <w:r w:rsidRPr="00083739">
              <w:rPr>
                <w:rFonts w:cs="Times New Roman"/>
                <w:noProof/>
                <w:lang w:val="sk-SK"/>
              </w:rPr>
              <w:t xml:space="preserve">udržateľnosti zdravotnej starostlivosti – </w:t>
            </w:r>
            <w:r w:rsidRPr="00083739">
              <w:rPr>
                <w:rFonts w:cs="Times New Roman"/>
                <w:noProof/>
                <w:lang w:val="sk-SK"/>
              </w:rPr>
              <w:t>16816_Reformy</w:t>
            </w:r>
            <w:r w:rsidR="00083739" w:rsidRPr="00083739">
              <w:rPr>
                <w:rFonts w:cs="Times New Roman"/>
                <w:noProof/>
                <w:lang w:val="sk-SK"/>
              </w:rPr>
              <w:t xml:space="preserve"> a </w:t>
            </w:r>
            <w:r w:rsidRPr="00083739">
              <w:rPr>
                <w:rFonts w:cs="Times New Roman"/>
                <w:noProof/>
                <w:lang w:val="sk-SK"/>
              </w:rPr>
              <w:t>urýchlenie investícií</w:t>
            </w:r>
            <w:r w:rsidR="00083739" w:rsidRPr="00083739">
              <w:rPr>
                <w:rFonts w:cs="Times New Roman"/>
                <w:noProof/>
                <w:lang w:val="sk-SK"/>
              </w:rPr>
              <w:t xml:space="preserve"> v </w:t>
            </w:r>
            <w:r w:rsidRPr="00083739">
              <w:rPr>
                <w:rFonts w:cs="Times New Roman"/>
                <w:noProof/>
                <w:lang w:val="sk-SK"/>
              </w:rPr>
              <w:t>sektore zdravotnej starostlivosti – Zníženie vrátenia prostriedkov</w:t>
            </w:r>
            <w:r w:rsidR="00083739" w:rsidRPr="00083739">
              <w:rPr>
                <w:rFonts w:cs="Times New Roman"/>
                <w:noProof/>
                <w:lang w:val="sk-SK"/>
              </w:rPr>
              <w:t xml:space="preserve"> a </w:t>
            </w:r>
            <w:r w:rsidRPr="00083739">
              <w:rPr>
                <w:rFonts w:cs="Times New Roman"/>
                <w:noProof/>
                <w:lang w:val="sk-SK"/>
              </w:rPr>
              <w:t>racionalizácia výdavkov na zdravotnú starostlivosť</w:t>
            </w:r>
          </w:p>
        </w:tc>
        <w:tc>
          <w:tcPr>
            <w:tcW w:w="1680" w:type="dxa"/>
            <w:tcBorders>
              <w:top w:val="nil"/>
              <w:left w:val="nil"/>
              <w:bottom w:val="single" w:sz="4" w:space="0" w:color="auto"/>
              <w:right w:val="single" w:sz="4" w:space="0" w:color="auto"/>
            </w:tcBorders>
            <w:shd w:val="clear" w:color="auto" w:fill="C6EFCE"/>
            <w:noWrap/>
            <w:vAlign w:val="center"/>
          </w:tcPr>
          <w:p w14:paraId="70F11F17"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Cieľ</w:t>
            </w:r>
          </w:p>
        </w:tc>
        <w:tc>
          <w:tcPr>
            <w:tcW w:w="1800" w:type="dxa"/>
            <w:tcBorders>
              <w:top w:val="nil"/>
              <w:left w:val="nil"/>
              <w:bottom w:val="single" w:sz="4" w:space="0" w:color="auto"/>
              <w:right w:val="single" w:sz="4" w:space="0" w:color="auto"/>
            </w:tcBorders>
            <w:shd w:val="clear" w:color="auto" w:fill="C6EFCE"/>
            <w:noWrap/>
            <w:vAlign w:val="center"/>
          </w:tcPr>
          <w:p w14:paraId="6D42A958"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Zníženie vrátenia poskytnutých prostriedkov 150000000 – krok 2</w:t>
            </w:r>
          </w:p>
        </w:tc>
      </w:tr>
      <w:tr w:rsidR="002D49B0" w:rsidRPr="00083739" w14:paraId="418DD1F5"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4C3A4FF8" w14:textId="7C4E1B03"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148</w:t>
            </w:r>
          </w:p>
        </w:tc>
        <w:tc>
          <w:tcPr>
            <w:tcW w:w="4320" w:type="dxa"/>
            <w:tcBorders>
              <w:top w:val="nil"/>
              <w:left w:val="nil"/>
              <w:bottom w:val="single" w:sz="4" w:space="0" w:color="auto"/>
              <w:right w:val="single" w:sz="4" w:space="0" w:color="auto"/>
            </w:tcBorders>
            <w:shd w:val="clear" w:color="auto" w:fill="C6EFCE"/>
            <w:noWrap/>
            <w:vAlign w:val="center"/>
          </w:tcPr>
          <w:p w14:paraId="741ACD09" w14:textId="4F3372FE"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9 – 3.2. Vzdelávanie, o</w:t>
            </w:r>
            <w:r w:rsidRPr="00083739">
              <w:rPr>
                <w:rFonts w:cs="Times New Roman"/>
                <w:noProof/>
                <w:lang w:val="sk-SK"/>
              </w:rPr>
              <w:t>dborné vzdelávanie</w:t>
            </w:r>
            <w:r w:rsidR="00083739" w:rsidRPr="00083739">
              <w:rPr>
                <w:rFonts w:cs="Times New Roman"/>
                <w:noProof/>
                <w:lang w:val="sk-SK"/>
              </w:rPr>
              <w:t xml:space="preserve"> a </w:t>
            </w:r>
            <w:r w:rsidRPr="00083739">
              <w:rPr>
                <w:rFonts w:cs="Times New Roman"/>
                <w:noProof/>
                <w:lang w:val="sk-SK"/>
              </w:rPr>
              <w:t>príprava</w:t>
            </w:r>
            <w:r w:rsidR="00083739" w:rsidRPr="00083739">
              <w:rPr>
                <w:rFonts w:cs="Times New Roman"/>
                <w:noProof/>
                <w:lang w:val="sk-SK"/>
              </w:rPr>
              <w:t xml:space="preserve"> a </w:t>
            </w:r>
            <w:r w:rsidRPr="00083739">
              <w:rPr>
                <w:rFonts w:cs="Times New Roman"/>
                <w:noProof/>
                <w:lang w:val="sk-SK"/>
              </w:rPr>
              <w:t>zručnosti – 16676_Digitálna transformácia vzdelávania</w:t>
            </w:r>
          </w:p>
        </w:tc>
        <w:tc>
          <w:tcPr>
            <w:tcW w:w="1680" w:type="dxa"/>
            <w:tcBorders>
              <w:top w:val="nil"/>
              <w:left w:val="nil"/>
              <w:bottom w:val="single" w:sz="4" w:space="0" w:color="auto"/>
              <w:right w:val="single" w:sz="4" w:space="0" w:color="auto"/>
            </w:tcBorders>
            <w:shd w:val="clear" w:color="auto" w:fill="C6EFCE"/>
            <w:noWrap/>
            <w:vAlign w:val="center"/>
          </w:tcPr>
          <w:p w14:paraId="4338BA58" w14:textId="75614DDE"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Cieľ</w:t>
            </w:r>
          </w:p>
        </w:tc>
        <w:tc>
          <w:tcPr>
            <w:tcW w:w="1800" w:type="dxa"/>
            <w:tcBorders>
              <w:top w:val="nil"/>
              <w:left w:val="nil"/>
              <w:bottom w:val="single" w:sz="4" w:space="0" w:color="auto"/>
              <w:right w:val="single" w:sz="4" w:space="0" w:color="auto"/>
            </w:tcBorders>
            <w:shd w:val="clear" w:color="auto" w:fill="C6EFCE"/>
            <w:noWrap/>
            <w:vAlign w:val="center"/>
          </w:tcPr>
          <w:p w14:paraId="7251A758" w14:textId="1C82FE70"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Dokončenie inštalácie interaktívnych systémov</w:t>
            </w:r>
          </w:p>
        </w:tc>
      </w:tr>
      <w:tr w:rsidR="002D49B0" w:rsidRPr="00083739" w14:paraId="125B5B94"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691B410C"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156</w:t>
            </w:r>
          </w:p>
        </w:tc>
        <w:tc>
          <w:tcPr>
            <w:tcW w:w="4320" w:type="dxa"/>
            <w:tcBorders>
              <w:top w:val="nil"/>
              <w:left w:val="nil"/>
              <w:bottom w:val="single" w:sz="4" w:space="0" w:color="auto"/>
              <w:right w:val="single" w:sz="4" w:space="0" w:color="auto"/>
            </w:tcBorders>
            <w:shd w:val="clear" w:color="auto" w:fill="C6EFCE"/>
            <w:noWrap/>
            <w:vAlign w:val="center"/>
          </w:tcPr>
          <w:p w14:paraId="559B4E36" w14:textId="3BD83F2F"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10 – 3.3. Zlepšenie odolnosti, dostupnosti</w:t>
            </w:r>
            <w:r w:rsidR="00083739" w:rsidRPr="00083739">
              <w:rPr>
                <w:rFonts w:cs="Times New Roman"/>
                <w:noProof/>
                <w:lang w:val="sk-SK"/>
              </w:rPr>
              <w:t xml:space="preserve"> a </w:t>
            </w:r>
            <w:r w:rsidRPr="00083739">
              <w:rPr>
                <w:rFonts w:cs="Times New Roman"/>
                <w:noProof/>
                <w:lang w:val="sk-SK"/>
              </w:rPr>
              <w:t>udržateľnosti zdravotnej starostlivosti – 16816_Reformy</w:t>
            </w:r>
            <w:r w:rsidR="00083739" w:rsidRPr="00083739">
              <w:rPr>
                <w:rFonts w:cs="Times New Roman"/>
                <w:noProof/>
                <w:lang w:val="sk-SK"/>
              </w:rPr>
              <w:t xml:space="preserve"> a </w:t>
            </w:r>
            <w:r w:rsidRPr="00083739">
              <w:rPr>
                <w:rFonts w:cs="Times New Roman"/>
                <w:noProof/>
                <w:lang w:val="sk-SK"/>
              </w:rPr>
              <w:t xml:space="preserve">urýchlenie </w:t>
            </w:r>
            <w:r w:rsidRPr="00083739">
              <w:rPr>
                <w:rFonts w:cs="Times New Roman"/>
                <w:noProof/>
                <w:lang w:val="sk-SK"/>
              </w:rPr>
              <w:t>investícií</w:t>
            </w:r>
            <w:r w:rsidR="00083739" w:rsidRPr="00083739">
              <w:rPr>
                <w:rFonts w:cs="Times New Roman"/>
                <w:noProof/>
                <w:lang w:val="sk-SK"/>
              </w:rPr>
              <w:t xml:space="preserve"> v </w:t>
            </w:r>
            <w:r w:rsidRPr="00083739">
              <w:rPr>
                <w:rFonts w:cs="Times New Roman"/>
                <w:noProof/>
                <w:lang w:val="sk-SK"/>
              </w:rPr>
              <w:t>sektore zdravotnej starostlivosti – Zníženie vrátenia prostriedkov</w:t>
            </w:r>
            <w:r w:rsidR="00083739" w:rsidRPr="00083739">
              <w:rPr>
                <w:rFonts w:cs="Times New Roman"/>
                <w:noProof/>
                <w:lang w:val="sk-SK"/>
              </w:rPr>
              <w:t xml:space="preserve"> a </w:t>
            </w:r>
            <w:r w:rsidRPr="00083739">
              <w:rPr>
                <w:rFonts w:cs="Times New Roman"/>
                <w:noProof/>
                <w:lang w:val="sk-SK"/>
              </w:rPr>
              <w:t>racionalizácia výdavkov na zdravotnú starostlivosť</w:t>
            </w:r>
          </w:p>
        </w:tc>
        <w:tc>
          <w:tcPr>
            <w:tcW w:w="1680" w:type="dxa"/>
            <w:tcBorders>
              <w:top w:val="nil"/>
              <w:left w:val="nil"/>
              <w:bottom w:val="single" w:sz="4" w:space="0" w:color="auto"/>
              <w:right w:val="single" w:sz="4" w:space="0" w:color="auto"/>
            </w:tcBorders>
            <w:shd w:val="clear" w:color="auto" w:fill="C6EFCE"/>
            <w:noWrap/>
            <w:vAlign w:val="center"/>
          </w:tcPr>
          <w:p w14:paraId="42145A30"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Cieľ</w:t>
            </w:r>
          </w:p>
        </w:tc>
        <w:tc>
          <w:tcPr>
            <w:tcW w:w="1800" w:type="dxa"/>
            <w:tcBorders>
              <w:top w:val="nil"/>
              <w:left w:val="nil"/>
              <w:bottom w:val="single" w:sz="4" w:space="0" w:color="auto"/>
              <w:right w:val="single" w:sz="4" w:space="0" w:color="auto"/>
            </w:tcBorders>
            <w:shd w:val="clear" w:color="auto" w:fill="C6EFCE"/>
            <w:noWrap/>
            <w:vAlign w:val="center"/>
          </w:tcPr>
          <w:p w14:paraId="21D4C4D9" w14:textId="06E7CC34"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Farmaceutický výskum</w:t>
            </w:r>
            <w:r w:rsidR="00083739" w:rsidRPr="00083739">
              <w:rPr>
                <w:rFonts w:cs="Times New Roman"/>
                <w:noProof/>
                <w:lang w:val="sk-SK"/>
              </w:rPr>
              <w:t xml:space="preserve"> a </w:t>
            </w:r>
            <w:r w:rsidRPr="00083739">
              <w:rPr>
                <w:rFonts w:cs="Times New Roman"/>
                <w:noProof/>
                <w:lang w:val="sk-SK"/>
              </w:rPr>
              <w:t>vývoj</w:t>
            </w:r>
          </w:p>
          <w:p w14:paraId="7A907166" w14:textId="7697CBCE" w:rsidR="002D49B0" w:rsidRPr="00083739" w:rsidRDefault="00BF4125">
            <w:pPr>
              <w:pStyle w:val="P68B1DB1-Normal49"/>
              <w:keepNext/>
              <w:spacing w:before="40" w:after="0" w:line="240" w:lineRule="auto"/>
              <w:jc w:val="both"/>
              <w:rPr>
                <w:rFonts w:eastAsia="Times New Roman" w:cs="Times New Roman"/>
                <w:noProof/>
                <w:lang w:val="sk-SK"/>
              </w:rPr>
            </w:pPr>
            <w:r w:rsidRPr="00083739">
              <w:rPr>
                <w:rFonts w:cs="Times New Roman"/>
                <w:noProof/>
                <w:lang w:val="sk-SK"/>
              </w:rPr>
              <w:t>dôkaz</w:t>
            </w:r>
            <w:r w:rsidR="00083739" w:rsidRPr="00083739">
              <w:rPr>
                <w:rFonts w:cs="Times New Roman"/>
                <w:noProof/>
                <w:lang w:val="sk-SK"/>
              </w:rPr>
              <w:t xml:space="preserve"> o </w:t>
            </w:r>
            <w:r w:rsidRPr="00083739">
              <w:rPr>
                <w:rFonts w:cs="Times New Roman"/>
                <w:noProof/>
                <w:lang w:val="sk-SK"/>
              </w:rPr>
              <w:t>investícii – krok 1</w:t>
            </w:r>
          </w:p>
        </w:tc>
      </w:tr>
      <w:tr w:rsidR="002D49B0" w:rsidRPr="00083739" w14:paraId="29B83AB3"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48ABE578"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167</w:t>
            </w:r>
          </w:p>
        </w:tc>
        <w:tc>
          <w:tcPr>
            <w:tcW w:w="4320" w:type="dxa"/>
            <w:tcBorders>
              <w:top w:val="nil"/>
              <w:left w:val="nil"/>
              <w:bottom w:val="single" w:sz="4" w:space="0" w:color="auto"/>
              <w:right w:val="single" w:sz="4" w:space="0" w:color="auto"/>
            </w:tcBorders>
            <w:shd w:val="clear" w:color="auto" w:fill="C6EFCE"/>
            <w:noWrap/>
            <w:vAlign w:val="center"/>
          </w:tcPr>
          <w:p w14:paraId="058F14D3" w14:textId="3FD5C30F"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10 – 3.3. Zlepšenie odolnosti, dostupnosti</w:t>
            </w:r>
            <w:r w:rsidR="00083739" w:rsidRPr="00083739">
              <w:rPr>
                <w:rFonts w:cs="Times New Roman"/>
                <w:noProof/>
                <w:lang w:val="sk-SK"/>
              </w:rPr>
              <w:t xml:space="preserve"> a </w:t>
            </w:r>
            <w:r w:rsidRPr="00083739">
              <w:rPr>
                <w:rFonts w:cs="Times New Roman"/>
                <w:noProof/>
                <w:lang w:val="sk-SK"/>
              </w:rPr>
              <w:t>udržateľnos</w:t>
            </w:r>
            <w:r w:rsidRPr="00083739">
              <w:rPr>
                <w:rFonts w:cs="Times New Roman"/>
                <w:noProof/>
                <w:lang w:val="sk-SK"/>
              </w:rPr>
              <w:t>ti zdravotnej starostlivosti – 16752_Digitálna transformácia zdravia (DigHealth)</w:t>
            </w:r>
          </w:p>
        </w:tc>
        <w:tc>
          <w:tcPr>
            <w:tcW w:w="1680" w:type="dxa"/>
            <w:tcBorders>
              <w:top w:val="nil"/>
              <w:left w:val="nil"/>
              <w:bottom w:val="single" w:sz="4" w:space="0" w:color="auto"/>
              <w:right w:val="single" w:sz="4" w:space="0" w:color="auto"/>
            </w:tcBorders>
            <w:shd w:val="clear" w:color="auto" w:fill="C6EFCE"/>
            <w:noWrap/>
            <w:vAlign w:val="center"/>
          </w:tcPr>
          <w:p w14:paraId="5D1E892A"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auto" w:fill="C6EFCE"/>
            <w:noWrap/>
            <w:vAlign w:val="center"/>
          </w:tcPr>
          <w:p w14:paraId="7780F808"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Digitálna transformácia zdravotnej starostlivosti – národný digitálny zdravotný záznam (podprojekt 1)</w:t>
            </w:r>
          </w:p>
        </w:tc>
      </w:tr>
      <w:tr w:rsidR="002D49B0" w:rsidRPr="00083739" w14:paraId="0DAED16B"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1BB0BF2B" w14:textId="4B989B03"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175a</w:t>
            </w:r>
          </w:p>
        </w:tc>
        <w:tc>
          <w:tcPr>
            <w:tcW w:w="4320" w:type="dxa"/>
            <w:tcBorders>
              <w:top w:val="nil"/>
              <w:left w:val="nil"/>
              <w:bottom w:val="single" w:sz="4" w:space="0" w:color="auto"/>
              <w:right w:val="single" w:sz="4" w:space="0" w:color="auto"/>
            </w:tcBorders>
            <w:shd w:val="clear" w:color="auto" w:fill="C6EFCE"/>
            <w:noWrap/>
            <w:vAlign w:val="center"/>
          </w:tcPr>
          <w:p w14:paraId="66A29BCD" w14:textId="1A8FD320"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11 – 3.4. Zlepšiť prístup</w:t>
            </w:r>
            <w:r w:rsidR="00083739" w:rsidRPr="00083739">
              <w:rPr>
                <w:rFonts w:cs="Times New Roman"/>
                <w:noProof/>
                <w:lang w:val="sk-SK"/>
              </w:rPr>
              <w:t xml:space="preserve"> k </w:t>
            </w:r>
            <w:r w:rsidRPr="00083739">
              <w:rPr>
                <w:rFonts w:cs="Times New Roman"/>
                <w:noProof/>
                <w:lang w:val="sk-SK"/>
              </w:rPr>
              <w:t>účinným</w:t>
            </w:r>
            <w:r w:rsidR="00083739" w:rsidRPr="00083739">
              <w:rPr>
                <w:rFonts w:cs="Times New Roman"/>
                <w:noProof/>
                <w:lang w:val="sk-SK"/>
              </w:rPr>
              <w:t xml:space="preserve"> a </w:t>
            </w:r>
            <w:r w:rsidRPr="00083739">
              <w:rPr>
                <w:rFonts w:cs="Times New Roman"/>
                <w:noProof/>
                <w:lang w:val="sk-SK"/>
              </w:rPr>
              <w:t xml:space="preserve">inkluzívnym sociálnym </w:t>
            </w:r>
            <w:r w:rsidRPr="00083739">
              <w:rPr>
                <w:rFonts w:cs="Times New Roman"/>
                <w:noProof/>
                <w:lang w:val="sk-SK"/>
              </w:rPr>
              <w:t>politikám – 16726 Optimizácia sociálnych dávok</w:t>
            </w:r>
          </w:p>
        </w:tc>
        <w:tc>
          <w:tcPr>
            <w:tcW w:w="1680" w:type="dxa"/>
            <w:tcBorders>
              <w:top w:val="nil"/>
              <w:left w:val="nil"/>
              <w:bottom w:val="single" w:sz="4" w:space="0" w:color="auto"/>
              <w:right w:val="single" w:sz="4" w:space="0" w:color="auto"/>
            </w:tcBorders>
            <w:shd w:val="clear" w:color="auto" w:fill="C6EFCE"/>
            <w:noWrap/>
            <w:vAlign w:val="center"/>
          </w:tcPr>
          <w:p w14:paraId="073FF6BF" w14:textId="740CEE5B"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auto" w:fill="C6EFCE"/>
            <w:noWrap/>
            <w:vAlign w:val="center"/>
          </w:tcPr>
          <w:p w14:paraId="3BE9A6BF" w14:textId="231AF95E"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Predplatené karty na optimalizáciu sociálnych dávok</w:t>
            </w:r>
          </w:p>
        </w:tc>
      </w:tr>
      <w:tr w:rsidR="002D49B0" w:rsidRPr="00083739" w14:paraId="7C3888F9"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06A4BC28"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189</w:t>
            </w:r>
          </w:p>
        </w:tc>
        <w:tc>
          <w:tcPr>
            <w:tcW w:w="4320" w:type="dxa"/>
            <w:tcBorders>
              <w:top w:val="nil"/>
              <w:left w:val="nil"/>
              <w:bottom w:val="single" w:sz="4" w:space="0" w:color="auto"/>
              <w:right w:val="single" w:sz="4" w:space="0" w:color="auto"/>
            </w:tcBorders>
            <w:shd w:val="clear" w:color="auto" w:fill="C6EFCE"/>
            <w:noWrap/>
            <w:vAlign w:val="center"/>
          </w:tcPr>
          <w:p w14:paraId="78D30C8A" w14:textId="5AF7908B"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12 – 4.1. Zabezpečiť, aby dane boli priaznivejšie pre rast</w:t>
            </w:r>
            <w:r w:rsidR="00083739" w:rsidRPr="00083739">
              <w:rPr>
                <w:rFonts w:cs="Times New Roman"/>
                <w:noProof/>
                <w:lang w:val="sk-SK"/>
              </w:rPr>
              <w:t xml:space="preserve"> a </w:t>
            </w:r>
            <w:r w:rsidRPr="00083739">
              <w:rPr>
                <w:rFonts w:cs="Times New Roman"/>
                <w:noProof/>
                <w:lang w:val="sk-SK"/>
              </w:rPr>
              <w:t>zlepšiť daňovú správu</w:t>
            </w:r>
            <w:r w:rsidR="00083739" w:rsidRPr="00083739">
              <w:rPr>
                <w:rFonts w:cs="Times New Roman"/>
                <w:noProof/>
                <w:lang w:val="sk-SK"/>
              </w:rPr>
              <w:t xml:space="preserve"> a </w:t>
            </w:r>
            <w:r w:rsidRPr="00083739">
              <w:rPr>
                <w:rFonts w:cs="Times New Roman"/>
                <w:noProof/>
                <w:lang w:val="sk-SK"/>
              </w:rPr>
              <w:t>výber daní – 16614_Online pokladničné registre</w:t>
            </w:r>
            <w:r w:rsidR="00083739" w:rsidRPr="00083739">
              <w:rPr>
                <w:rFonts w:cs="Times New Roman"/>
                <w:noProof/>
                <w:lang w:val="sk-SK"/>
              </w:rPr>
              <w:t xml:space="preserve"> a </w:t>
            </w:r>
            <w:r w:rsidRPr="00083739">
              <w:rPr>
                <w:rFonts w:cs="Times New Roman"/>
                <w:noProof/>
                <w:lang w:val="sk-SK"/>
              </w:rPr>
              <w:t>POS (reform</w:t>
            </w:r>
            <w:r w:rsidRPr="00083739">
              <w:rPr>
                <w:rFonts w:cs="Times New Roman"/>
                <w:noProof/>
                <w:lang w:val="sk-SK"/>
              </w:rPr>
              <w:t>a)</w:t>
            </w:r>
          </w:p>
        </w:tc>
        <w:tc>
          <w:tcPr>
            <w:tcW w:w="1680" w:type="dxa"/>
            <w:tcBorders>
              <w:top w:val="nil"/>
              <w:left w:val="nil"/>
              <w:bottom w:val="single" w:sz="4" w:space="0" w:color="auto"/>
              <w:right w:val="single" w:sz="4" w:space="0" w:color="auto"/>
            </w:tcBorders>
            <w:shd w:val="clear" w:color="auto" w:fill="C6EFCE"/>
            <w:noWrap/>
            <w:vAlign w:val="center"/>
          </w:tcPr>
          <w:p w14:paraId="53950B4F"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Cieľ</w:t>
            </w:r>
          </w:p>
        </w:tc>
        <w:tc>
          <w:tcPr>
            <w:tcW w:w="1800" w:type="dxa"/>
            <w:tcBorders>
              <w:top w:val="nil"/>
              <w:left w:val="nil"/>
              <w:bottom w:val="single" w:sz="4" w:space="0" w:color="auto"/>
              <w:right w:val="single" w:sz="4" w:space="0" w:color="auto"/>
            </w:tcBorders>
            <w:shd w:val="clear" w:color="auto" w:fill="C6EFCE"/>
            <w:noWrap/>
            <w:vAlign w:val="center"/>
          </w:tcPr>
          <w:p w14:paraId="17DFB53C" w14:textId="0F267FA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Nezávislý orgán pre verejné príjmy: Online registračné pokladnice</w:t>
            </w:r>
            <w:r w:rsidR="00083739" w:rsidRPr="00083739">
              <w:rPr>
                <w:rFonts w:cs="Times New Roman"/>
                <w:noProof/>
                <w:lang w:val="sk-SK"/>
              </w:rPr>
              <w:t xml:space="preserve"> a </w:t>
            </w:r>
            <w:r w:rsidRPr="00083739">
              <w:rPr>
                <w:rFonts w:cs="Times New Roman"/>
                <w:noProof/>
                <w:lang w:val="sk-SK"/>
              </w:rPr>
              <w:t xml:space="preserve">predajné miesto (POS) – </w:t>
            </w:r>
            <w:r w:rsidRPr="00083739">
              <w:rPr>
                <w:rFonts w:cs="Times New Roman"/>
                <w:noProof/>
                <w:szCs w:val="18"/>
                <w:lang w:val="sk-SK"/>
              </w:rPr>
              <w:t>integrácia</w:t>
            </w:r>
            <w:r w:rsidR="00083739" w:rsidRPr="00083739">
              <w:rPr>
                <w:rFonts w:cs="Times New Roman"/>
                <w:noProof/>
                <w:szCs w:val="18"/>
                <w:lang w:val="sk-SK"/>
              </w:rPr>
              <w:t xml:space="preserve"> a </w:t>
            </w:r>
            <w:r w:rsidRPr="00083739">
              <w:rPr>
                <w:rFonts w:cs="Times New Roman"/>
                <w:noProof/>
                <w:lang w:val="sk-SK"/>
              </w:rPr>
              <w:t xml:space="preserve">prepojenie </w:t>
            </w:r>
          </w:p>
        </w:tc>
      </w:tr>
      <w:tr w:rsidR="002D49B0" w:rsidRPr="00083739" w14:paraId="7772A8A9"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1FEBB1EB"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204</w:t>
            </w:r>
          </w:p>
        </w:tc>
        <w:tc>
          <w:tcPr>
            <w:tcW w:w="4320" w:type="dxa"/>
            <w:tcBorders>
              <w:top w:val="nil"/>
              <w:left w:val="nil"/>
              <w:bottom w:val="single" w:sz="4" w:space="0" w:color="auto"/>
              <w:right w:val="single" w:sz="4" w:space="0" w:color="auto"/>
            </w:tcBorders>
            <w:shd w:val="clear" w:color="auto" w:fill="C6EFCE"/>
            <w:noWrap/>
            <w:vAlign w:val="center"/>
          </w:tcPr>
          <w:p w14:paraId="301548C8" w14:textId="29E22D9E"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12 – 4.1. Zabezpečiť, aby dane boli priaznivejšie pre rast</w:t>
            </w:r>
            <w:r w:rsidR="00083739" w:rsidRPr="00083739">
              <w:rPr>
                <w:rFonts w:cs="Times New Roman"/>
                <w:noProof/>
                <w:lang w:val="sk-SK"/>
              </w:rPr>
              <w:t xml:space="preserve"> a </w:t>
            </w:r>
            <w:r w:rsidRPr="00083739">
              <w:rPr>
                <w:rFonts w:cs="Times New Roman"/>
                <w:noProof/>
                <w:lang w:val="sk-SK"/>
              </w:rPr>
              <w:t>zlepšiť daňovú správu</w:t>
            </w:r>
            <w:r w:rsidR="00083739" w:rsidRPr="00083739">
              <w:rPr>
                <w:rFonts w:cs="Times New Roman"/>
                <w:noProof/>
                <w:lang w:val="sk-SK"/>
              </w:rPr>
              <w:t xml:space="preserve"> a </w:t>
            </w:r>
            <w:r w:rsidRPr="00083739">
              <w:rPr>
                <w:rFonts w:cs="Times New Roman"/>
                <w:noProof/>
                <w:lang w:val="sk-SK"/>
              </w:rPr>
              <w:t>výber daní – 16643_Kodifikácia</w:t>
            </w:r>
            <w:r w:rsidR="00083739" w:rsidRPr="00083739">
              <w:rPr>
                <w:rFonts w:cs="Times New Roman"/>
                <w:noProof/>
                <w:lang w:val="sk-SK"/>
              </w:rPr>
              <w:t xml:space="preserve"> a </w:t>
            </w:r>
            <w:r w:rsidRPr="00083739">
              <w:rPr>
                <w:rFonts w:cs="Times New Roman"/>
                <w:noProof/>
                <w:lang w:val="sk-SK"/>
              </w:rPr>
              <w:t>zjednodu</w:t>
            </w:r>
            <w:r w:rsidRPr="00083739">
              <w:rPr>
                <w:rFonts w:cs="Times New Roman"/>
                <w:noProof/>
                <w:lang w:val="sk-SK"/>
              </w:rPr>
              <w:t>šenie daňových právnych predpisov</w:t>
            </w:r>
          </w:p>
        </w:tc>
        <w:tc>
          <w:tcPr>
            <w:tcW w:w="1680" w:type="dxa"/>
            <w:tcBorders>
              <w:top w:val="nil"/>
              <w:left w:val="nil"/>
              <w:bottom w:val="single" w:sz="4" w:space="0" w:color="auto"/>
              <w:right w:val="single" w:sz="4" w:space="0" w:color="auto"/>
            </w:tcBorders>
            <w:shd w:val="clear" w:color="auto" w:fill="C6EFCE"/>
            <w:noWrap/>
            <w:vAlign w:val="center"/>
          </w:tcPr>
          <w:p w14:paraId="3B95F447"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auto" w:fill="C6EFCE"/>
            <w:noWrap/>
            <w:vAlign w:val="center"/>
          </w:tcPr>
          <w:p w14:paraId="02C9168C" w14:textId="4EF4F23A"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Dokončenie počiatočnej daňovej kodifikácie</w:t>
            </w:r>
            <w:r w:rsidR="00083739" w:rsidRPr="00083739">
              <w:rPr>
                <w:rFonts w:cs="Times New Roman"/>
                <w:noProof/>
                <w:lang w:val="sk-SK"/>
              </w:rPr>
              <w:t xml:space="preserve"> a </w:t>
            </w:r>
            <w:r w:rsidRPr="00083739">
              <w:rPr>
                <w:rFonts w:cs="Times New Roman"/>
                <w:noProof/>
                <w:lang w:val="sk-SK"/>
              </w:rPr>
              <w:t>informačného systému pre daňovníkov</w:t>
            </w:r>
          </w:p>
        </w:tc>
      </w:tr>
      <w:tr w:rsidR="002D49B0" w:rsidRPr="00083739" w14:paraId="2DD36E67"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tcPr>
          <w:p w14:paraId="1D956256" w14:textId="573A46C8"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340</w:t>
            </w:r>
          </w:p>
        </w:tc>
        <w:tc>
          <w:tcPr>
            <w:tcW w:w="4320" w:type="dxa"/>
            <w:tcBorders>
              <w:top w:val="nil"/>
              <w:left w:val="nil"/>
              <w:bottom w:val="single" w:sz="4" w:space="0" w:color="auto"/>
              <w:right w:val="single" w:sz="4" w:space="0" w:color="auto"/>
            </w:tcBorders>
            <w:shd w:val="clear" w:color="auto" w:fill="C6EFCE"/>
            <w:noWrap/>
          </w:tcPr>
          <w:p w14:paraId="06EA3657" w14:textId="640E4C2B"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12 – 4.1. Zabezpečiť, aby boli dane priaznivejšie pre rast</w:t>
            </w:r>
            <w:r w:rsidR="00083739" w:rsidRPr="00083739">
              <w:rPr>
                <w:rFonts w:cs="Times New Roman"/>
                <w:noProof/>
                <w:lang w:val="sk-SK"/>
              </w:rPr>
              <w:t xml:space="preserve"> a </w:t>
            </w:r>
            <w:r w:rsidRPr="00083739">
              <w:rPr>
                <w:rFonts w:cs="Times New Roman"/>
                <w:noProof/>
                <w:lang w:val="sk-SK"/>
              </w:rPr>
              <w:t>zlepšiť daňovú správu</w:t>
            </w:r>
            <w:r w:rsidR="00083739" w:rsidRPr="00083739">
              <w:rPr>
                <w:rFonts w:cs="Times New Roman"/>
                <w:noProof/>
                <w:lang w:val="sk-SK"/>
              </w:rPr>
              <w:t xml:space="preserve"> a </w:t>
            </w:r>
            <w:r w:rsidRPr="00083739">
              <w:rPr>
                <w:rFonts w:cs="Times New Roman"/>
                <w:noProof/>
                <w:lang w:val="sk-SK"/>
              </w:rPr>
              <w:t xml:space="preserve">výber daní – 16985_Úprava rámca daňovej </w:t>
            </w:r>
            <w:r w:rsidRPr="00083739">
              <w:rPr>
                <w:rFonts w:cs="Times New Roman"/>
                <w:noProof/>
                <w:lang w:val="sk-SK"/>
              </w:rPr>
              <w:t>politiky Grécka</w:t>
            </w:r>
          </w:p>
        </w:tc>
        <w:tc>
          <w:tcPr>
            <w:tcW w:w="1680" w:type="dxa"/>
            <w:tcBorders>
              <w:top w:val="nil"/>
              <w:left w:val="nil"/>
              <w:bottom w:val="single" w:sz="4" w:space="0" w:color="auto"/>
              <w:right w:val="single" w:sz="4" w:space="0" w:color="auto"/>
            </w:tcBorders>
            <w:shd w:val="clear" w:color="auto" w:fill="C6EFCE"/>
            <w:noWrap/>
          </w:tcPr>
          <w:p w14:paraId="62336AD0" w14:textId="12B069A5"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auto" w:fill="C6EFCE"/>
            <w:noWrap/>
          </w:tcPr>
          <w:p w14:paraId="6995AB24" w14:textId="3DF11B78"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Bojovať proti daňovým únikom prostredníctvom využívania databázy myDATA na účely dane</w:t>
            </w:r>
            <w:r w:rsidR="00083739" w:rsidRPr="00083739">
              <w:rPr>
                <w:rFonts w:cs="Times New Roman"/>
                <w:noProof/>
                <w:lang w:val="sk-SK"/>
              </w:rPr>
              <w:t xml:space="preserve"> z </w:t>
            </w:r>
            <w:r w:rsidRPr="00083739">
              <w:rPr>
                <w:rFonts w:cs="Times New Roman"/>
                <w:noProof/>
                <w:lang w:val="sk-SK"/>
              </w:rPr>
              <w:t>príjmov</w:t>
            </w:r>
          </w:p>
        </w:tc>
      </w:tr>
      <w:tr w:rsidR="002D49B0" w:rsidRPr="00083739" w14:paraId="3A7FC833"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04BD5742"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212</w:t>
            </w:r>
          </w:p>
        </w:tc>
        <w:tc>
          <w:tcPr>
            <w:tcW w:w="4320" w:type="dxa"/>
            <w:tcBorders>
              <w:top w:val="nil"/>
              <w:left w:val="nil"/>
              <w:bottom w:val="single" w:sz="4" w:space="0" w:color="auto"/>
              <w:right w:val="single" w:sz="4" w:space="0" w:color="auto"/>
            </w:tcBorders>
            <w:shd w:val="clear" w:color="auto" w:fill="C6EFCE"/>
            <w:noWrap/>
            <w:vAlign w:val="center"/>
          </w:tcPr>
          <w:p w14:paraId="6EC92CC1" w14:textId="5EE1DC00"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13 – 4.2. Modernizácia verejnej správy,</w:t>
            </w:r>
            <w:r w:rsidR="00083739" w:rsidRPr="00083739">
              <w:rPr>
                <w:rFonts w:cs="Times New Roman"/>
                <w:noProof/>
                <w:lang w:val="sk-SK"/>
              </w:rPr>
              <w:t xml:space="preserve"> a </w:t>
            </w:r>
            <w:r w:rsidRPr="00083739">
              <w:rPr>
                <w:rFonts w:cs="Times New Roman"/>
                <w:noProof/>
                <w:lang w:val="sk-SK"/>
              </w:rPr>
              <w:t xml:space="preserve">to aj urýchlením realizácie verejných investícií, zlepšením rámca verejného obstarávania, </w:t>
            </w:r>
            <w:r w:rsidRPr="00083739">
              <w:rPr>
                <w:rFonts w:cs="Times New Roman"/>
                <w:noProof/>
                <w:lang w:val="sk-SK"/>
              </w:rPr>
              <w:t>opatreniami na budovanie kapacít</w:t>
            </w:r>
            <w:r w:rsidR="00083739" w:rsidRPr="00083739">
              <w:rPr>
                <w:rFonts w:cs="Times New Roman"/>
                <w:noProof/>
                <w:lang w:val="sk-SK"/>
              </w:rPr>
              <w:t xml:space="preserve"> a </w:t>
            </w:r>
            <w:r w:rsidRPr="00083739">
              <w:rPr>
                <w:rFonts w:cs="Times New Roman"/>
                <w:noProof/>
                <w:lang w:val="sk-SK"/>
              </w:rPr>
              <w:t>bojom proti korupcii – 16702_Posilnenie rámca boja proti praniu špinavých peňazí</w:t>
            </w:r>
            <w:r w:rsidR="00083739" w:rsidRPr="00083739">
              <w:rPr>
                <w:rFonts w:cs="Times New Roman"/>
                <w:noProof/>
                <w:lang w:val="sk-SK"/>
              </w:rPr>
              <w:t xml:space="preserve"> a </w:t>
            </w:r>
            <w:r w:rsidRPr="00083739">
              <w:rPr>
                <w:rFonts w:cs="Times New Roman"/>
                <w:noProof/>
                <w:lang w:val="sk-SK"/>
              </w:rPr>
              <w:t>financovaniu terorizmu</w:t>
            </w:r>
          </w:p>
        </w:tc>
        <w:tc>
          <w:tcPr>
            <w:tcW w:w="1680" w:type="dxa"/>
            <w:tcBorders>
              <w:top w:val="nil"/>
              <w:left w:val="nil"/>
              <w:bottom w:val="single" w:sz="4" w:space="0" w:color="auto"/>
              <w:right w:val="single" w:sz="4" w:space="0" w:color="auto"/>
            </w:tcBorders>
            <w:shd w:val="clear" w:color="auto" w:fill="C6EFCE"/>
            <w:noWrap/>
            <w:vAlign w:val="center"/>
          </w:tcPr>
          <w:p w14:paraId="36C6E7A4"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auto" w:fill="C6EFCE"/>
            <w:noWrap/>
            <w:vAlign w:val="center"/>
          </w:tcPr>
          <w:p w14:paraId="07B15E6A" w14:textId="3DDD4C1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Posilnený rámec boja proti praniu špinavých peňazí</w:t>
            </w:r>
            <w:r w:rsidR="00083739" w:rsidRPr="00083739">
              <w:rPr>
                <w:rFonts w:cs="Times New Roman"/>
                <w:noProof/>
                <w:lang w:val="sk-SK"/>
              </w:rPr>
              <w:t xml:space="preserve"> a </w:t>
            </w:r>
            <w:r w:rsidRPr="00083739">
              <w:rPr>
                <w:rFonts w:cs="Times New Roman"/>
                <w:noProof/>
                <w:lang w:val="sk-SK"/>
              </w:rPr>
              <w:t>financovaniu terorizmu</w:t>
            </w:r>
          </w:p>
        </w:tc>
      </w:tr>
      <w:tr w:rsidR="002D49B0" w:rsidRPr="00083739" w14:paraId="2E1186EC"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53300F23"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216</w:t>
            </w:r>
          </w:p>
        </w:tc>
        <w:tc>
          <w:tcPr>
            <w:tcW w:w="4320" w:type="dxa"/>
            <w:tcBorders>
              <w:top w:val="nil"/>
              <w:left w:val="nil"/>
              <w:bottom w:val="single" w:sz="4" w:space="0" w:color="auto"/>
              <w:right w:val="single" w:sz="4" w:space="0" w:color="auto"/>
            </w:tcBorders>
            <w:shd w:val="clear" w:color="auto" w:fill="C6EFCE"/>
            <w:noWrap/>
            <w:vAlign w:val="center"/>
          </w:tcPr>
          <w:p w14:paraId="75C19DE9" w14:textId="2A633A25"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 xml:space="preserve">13 – 4.2. Modernizácia </w:t>
            </w:r>
            <w:r w:rsidRPr="00083739">
              <w:rPr>
                <w:rFonts w:cs="Times New Roman"/>
                <w:noProof/>
                <w:lang w:val="sk-SK"/>
              </w:rPr>
              <w:t>verejnej správy,</w:t>
            </w:r>
            <w:r w:rsidR="00083739" w:rsidRPr="00083739">
              <w:rPr>
                <w:rFonts w:cs="Times New Roman"/>
                <w:noProof/>
                <w:lang w:val="sk-SK"/>
              </w:rPr>
              <w:t xml:space="preserve"> a </w:t>
            </w:r>
            <w:r w:rsidRPr="00083739">
              <w:rPr>
                <w:rFonts w:cs="Times New Roman"/>
                <w:noProof/>
                <w:lang w:val="sk-SK"/>
              </w:rPr>
              <w:t>to aj urýchlením realizácie verejných investícií, zlepšením rámca verejného obstarávania, opatreniami na budovanie kapacít</w:t>
            </w:r>
            <w:r w:rsidR="00083739" w:rsidRPr="00083739">
              <w:rPr>
                <w:rFonts w:cs="Times New Roman"/>
                <w:noProof/>
                <w:lang w:val="sk-SK"/>
              </w:rPr>
              <w:t xml:space="preserve"> a </w:t>
            </w:r>
            <w:r w:rsidRPr="00083739">
              <w:rPr>
                <w:rFonts w:cs="Times New Roman"/>
                <w:noProof/>
                <w:lang w:val="sk-SK"/>
              </w:rPr>
              <w:t>bojom proti korupcii – 16711_Profesijná oblasť verejného obstarávania</w:t>
            </w:r>
          </w:p>
        </w:tc>
        <w:tc>
          <w:tcPr>
            <w:tcW w:w="1680" w:type="dxa"/>
            <w:tcBorders>
              <w:top w:val="nil"/>
              <w:left w:val="nil"/>
              <w:bottom w:val="single" w:sz="4" w:space="0" w:color="auto"/>
              <w:right w:val="single" w:sz="4" w:space="0" w:color="auto"/>
            </w:tcBorders>
            <w:shd w:val="clear" w:color="auto" w:fill="C6EFCE"/>
            <w:noWrap/>
            <w:vAlign w:val="center"/>
          </w:tcPr>
          <w:p w14:paraId="1FD3D893"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auto" w:fill="C6EFCE"/>
            <w:noWrap/>
            <w:vAlign w:val="center"/>
          </w:tcPr>
          <w:p w14:paraId="1D284CA8"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Profesionalizácia oblasti verejného</w:t>
            </w:r>
            <w:r w:rsidRPr="00083739">
              <w:rPr>
                <w:rFonts w:cs="Times New Roman"/>
                <w:noProof/>
                <w:lang w:val="sk-SK"/>
              </w:rPr>
              <w:t xml:space="preserve"> obstarávania – nové právne predpisy</w:t>
            </w:r>
          </w:p>
        </w:tc>
      </w:tr>
      <w:tr w:rsidR="002D49B0" w:rsidRPr="00083739" w14:paraId="4CDE055A"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7171E6EB" w14:textId="77777777"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234</w:t>
            </w:r>
          </w:p>
        </w:tc>
        <w:tc>
          <w:tcPr>
            <w:tcW w:w="4320" w:type="dxa"/>
            <w:tcBorders>
              <w:top w:val="nil"/>
              <w:left w:val="nil"/>
              <w:bottom w:val="single" w:sz="4" w:space="0" w:color="auto"/>
              <w:right w:val="single" w:sz="4" w:space="0" w:color="auto"/>
            </w:tcBorders>
            <w:shd w:val="clear" w:color="auto" w:fill="C6EFCE"/>
            <w:noWrap/>
            <w:vAlign w:val="center"/>
          </w:tcPr>
          <w:p w14:paraId="39B4C7BF" w14:textId="77777777"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14 – 4.3. Zlepšiť efektívnosť justičného systému – 16575 Urýchlenie výkonu spravodlivosti</w:t>
            </w:r>
          </w:p>
        </w:tc>
        <w:tc>
          <w:tcPr>
            <w:tcW w:w="1680" w:type="dxa"/>
            <w:tcBorders>
              <w:top w:val="nil"/>
              <w:left w:val="nil"/>
              <w:bottom w:val="single" w:sz="4" w:space="0" w:color="auto"/>
              <w:right w:val="single" w:sz="4" w:space="0" w:color="auto"/>
            </w:tcBorders>
            <w:shd w:val="clear" w:color="auto" w:fill="C6EFCE"/>
            <w:noWrap/>
            <w:vAlign w:val="center"/>
          </w:tcPr>
          <w:p w14:paraId="675FC652" w14:textId="77777777"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auto" w:fill="C6EFCE"/>
            <w:noWrap/>
            <w:vAlign w:val="center"/>
          </w:tcPr>
          <w:p w14:paraId="6048331F" w14:textId="77777777"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Funkčná súdna polícia</w:t>
            </w:r>
          </w:p>
        </w:tc>
      </w:tr>
      <w:tr w:rsidR="002D49B0" w:rsidRPr="00083739" w14:paraId="6D567FE6"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tcPr>
          <w:p w14:paraId="7C802668"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244a</w:t>
            </w:r>
          </w:p>
        </w:tc>
        <w:tc>
          <w:tcPr>
            <w:tcW w:w="4320" w:type="dxa"/>
            <w:tcBorders>
              <w:top w:val="nil"/>
              <w:left w:val="nil"/>
              <w:bottom w:val="single" w:sz="4" w:space="0" w:color="auto"/>
              <w:right w:val="single" w:sz="4" w:space="0" w:color="auto"/>
            </w:tcBorders>
            <w:shd w:val="clear" w:color="auto" w:fill="C6EFCE"/>
            <w:noWrap/>
          </w:tcPr>
          <w:p w14:paraId="5B4E6661" w14:textId="690A3142"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15 – 4.4. Posilnenie finančného sektora</w:t>
            </w:r>
            <w:r w:rsidR="00083739" w:rsidRPr="00083739">
              <w:rPr>
                <w:rFonts w:cs="Times New Roman"/>
                <w:noProof/>
                <w:lang w:val="sk-SK"/>
              </w:rPr>
              <w:t xml:space="preserve"> a </w:t>
            </w:r>
            <w:r w:rsidRPr="00083739">
              <w:rPr>
                <w:rFonts w:cs="Times New Roman"/>
                <w:noProof/>
                <w:lang w:val="sk-SK"/>
              </w:rPr>
              <w:t>kapitálových trhov –</w:t>
            </w:r>
            <w:r w:rsidRPr="00083739">
              <w:rPr>
                <w:rFonts w:cs="Times New Roman"/>
                <w:noProof/>
                <w:lang w:val="sk-SK"/>
              </w:rPr>
              <w:t xml:space="preserve"> 16957_Posilnenie kapacity finančného systému</w:t>
            </w:r>
            <w:r w:rsidR="00083739" w:rsidRPr="00083739">
              <w:rPr>
                <w:rFonts w:cs="Times New Roman"/>
                <w:noProof/>
                <w:lang w:val="sk-SK"/>
              </w:rPr>
              <w:t xml:space="preserve"> s </w:t>
            </w:r>
            <w:r w:rsidRPr="00083739">
              <w:rPr>
                <w:rFonts w:cs="Times New Roman"/>
                <w:noProof/>
                <w:lang w:val="sk-SK"/>
              </w:rPr>
              <w:t>cieľom prekonať výzvy</w:t>
            </w:r>
            <w:r w:rsidR="00083739" w:rsidRPr="00083739">
              <w:rPr>
                <w:rFonts w:cs="Times New Roman"/>
                <w:noProof/>
                <w:lang w:val="sk-SK"/>
              </w:rPr>
              <w:t xml:space="preserve"> z </w:t>
            </w:r>
            <w:r w:rsidRPr="00083739">
              <w:rPr>
                <w:rFonts w:cs="Times New Roman"/>
                <w:noProof/>
                <w:lang w:val="sk-SK"/>
              </w:rPr>
              <w:t>minulosti</w:t>
            </w:r>
            <w:r w:rsidR="00083739" w:rsidRPr="00083739">
              <w:rPr>
                <w:rFonts w:cs="Times New Roman"/>
                <w:noProof/>
                <w:lang w:val="sk-SK"/>
              </w:rPr>
              <w:t xml:space="preserve"> a </w:t>
            </w:r>
            <w:r w:rsidRPr="00083739">
              <w:rPr>
                <w:rFonts w:cs="Times New Roman"/>
                <w:noProof/>
                <w:lang w:val="sk-SK"/>
              </w:rPr>
              <w:t>financovať reálnu ekonomiku</w:t>
            </w:r>
          </w:p>
        </w:tc>
        <w:tc>
          <w:tcPr>
            <w:tcW w:w="1680" w:type="dxa"/>
            <w:tcBorders>
              <w:top w:val="nil"/>
              <w:left w:val="nil"/>
              <w:bottom w:val="single" w:sz="4" w:space="0" w:color="auto"/>
              <w:right w:val="single" w:sz="4" w:space="0" w:color="auto"/>
            </w:tcBorders>
            <w:shd w:val="clear" w:color="auto" w:fill="C6EFCE"/>
            <w:noWrap/>
          </w:tcPr>
          <w:p w14:paraId="69BA8827"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auto" w:fill="C6EFCE"/>
            <w:noWrap/>
          </w:tcPr>
          <w:p w14:paraId="3406361B"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Elektronické aukcie na vymáhanie dlhu</w:t>
            </w:r>
          </w:p>
        </w:tc>
      </w:tr>
      <w:tr w:rsidR="002D49B0" w:rsidRPr="00083739" w14:paraId="1B343998"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18459CE1" w14:textId="392B6261"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235</w:t>
            </w:r>
          </w:p>
        </w:tc>
        <w:tc>
          <w:tcPr>
            <w:tcW w:w="4320" w:type="dxa"/>
            <w:tcBorders>
              <w:top w:val="nil"/>
              <w:left w:val="nil"/>
              <w:bottom w:val="single" w:sz="4" w:space="0" w:color="auto"/>
              <w:right w:val="single" w:sz="4" w:space="0" w:color="auto"/>
            </w:tcBorders>
            <w:shd w:val="clear" w:color="auto" w:fill="C6EFCE"/>
            <w:noWrap/>
            <w:vAlign w:val="center"/>
          </w:tcPr>
          <w:p w14:paraId="41A0357C" w14:textId="6C5D595E"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14 – 4.3. Zlepšiť efektívnosť justičného systému – 16733_Zručnosti</w:t>
            </w:r>
            <w:r w:rsidR="00083739" w:rsidRPr="00083739">
              <w:rPr>
                <w:rFonts w:cs="Times New Roman"/>
                <w:noProof/>
                <w:lang w:val="sk-SK"/>
              </w:rPr>
              <w:t xml:space="preserve"> a </w:t>
            </w:r>
            <w:r w:rsidRPr="00083739">
              <w:rPr>
                <w:rFonts w:cs="Times New Roman"/>
                <w:noProof/>
                <w:lang w:val="sk-SK"/>
              </w:rPr>
              <w:t>digitálne zručnosti sudco</w:t>
            </w:r>
            <w:r w:rsidRPr="00083739">
              <w:rPr>
                <w:rFonts w:cs="Times New Roman"/>
                <w:noProof/>
                <w:lang w:val="sk-SK"/>
              </w:rPr>
              <w:t>v</w:t>
            </w:r>
            <w:r w:rsidR="00083739" w:rsidRPr="00083739">
              <w:rPr>
                <w:rFonts w:cs="Times New Roman"/>
                <w:noProof/>
                <w:lang w:val="sk-SK"/>
              </w:rPr>
              <w:t xml:space="preserve"> a </w:t>
            </w:r>
            <w:r w:rsidRPr="00083739">
              <w:rPr>
                <w:rFonts w:cs="Times New Roman"/>
                <w:noProof/>
                <w:lang w:val="sk-SK"/>
              </w:rPr>
              <w:t>justičných zamestnancov (justičný personál)</w:t>
            </w:r>
          </w:p>
        </w:tc>
        <w:tc>
          <w:tcPr>
            <w:tcW w:w="1680" w:type="dxa"/>
            <w:tcBorders>
              <w:top w:val="nil"/>
              <w:left w:val="nil"/>
              <w:bottom w:val="single" w:sz="4" w:space="0" w:color="auto"/>
              <w:right w:val="single" w:sz="4" w:space="0" w:color="auto"/>
            </w:tcBorders>
            <w:shd w:val="clear" w:color="auto" w:fill="C6EFCE"/>
            <w:noWrap/>
            <w:vAlign w:val="center"/>
          </w:tcPr>
          <w:p w14:paraId="3A30B668" w14:textId="54D0F72C"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auto" w:fill="C6EFCE"/>
            <w:noWrap/>
            <w:vAlign w:val="center"/>
          </w:tcPr>
          <w:p w14:paraId="79D27DE2" w14:textId="5DA8AAB9"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Odborná príprava – sudcovia</w:t>
            </w:r>
            <w:r w:rsidR="00083739" w:rsidRPr="00083739">
              <w:rPr>
                <w:rFonts w:cs="Times New Roman"/>
                <w:noProof/>
                <w:lang w:val="sk-SK"/>
              </w:rPr>
              <w:t xml:space="preserve"> a </w:t>
            </w:r>
            <w:r w:rsidRPr="00083739">
              <w:rPr>
                <w:rFonts w:cs="Times New Roman"/>
                <w:noProof/>
                <w:lang w:val="sk-SK"/>
              </w:rPr>
              <w:t>administratívni pracovníci</w:t>
            </w:r>
          </w:p>
        </w:tc>
      </w:tr>
      <w:tr w:rsidR="002D49B0" w:rsidRPr="00083739" w14:paraId="1C026C1B"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2A758F72"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244b</w:t>
            </w:r>
          </w:p>
        </w:tc>
        <w:tc>
          <w:tcPr>
            <w:tcW w:w="4320" w:type="dxa"/>
            <w:tcBorders>
              <w:top w:val="nil"/>
              <w:left w:val="nil"/>
              <w:bottom w:val="single" w:sz="4" w:space="0" w:color="auto"/>
              <w:right w:val="single" w:sz="4" w:space="0" w:color="auto"/>
            </w:tcBorders>
            <w:shd w:val="clear" w:color="auto" w:fill="C6EFCE"/>
            <w:noWrap/>
          </w:tcPr>
          <w:p w14:paraId="7B0CC9AC" w14:textId="5CC61B90"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15 – 4.4. Posilnenie finančného sektora</w:t>
            </w:r>
            <w:r w:rsidR="00083739" w:rsidRPr="00083739">
              <w:rPr>
                <w:rFonts w:cs="Times New Roman"/>
                <w:noProof/>
                <w:lang w:val="sk-SK"/>
              </w:rPr>
              <w:t xml:space="preserve"> a </w:t>
            </w:r>
            <w:r w:rsidRPr="00083739">
              <w:rPr>
                <w:rFonts w:cs="Times New Roman"/>
                <w:noProof/>
                <w:lang w:val="sk-SK"/>
              </w:rPr>
              <w:t>kapitálových trhov – 16957_Posilnenie kapacity finančného systému</w:t>
            </w:r>
            <w:r w:rsidR="00083739" w:rsidRPr="00083739">
              <w:rPr>
                <w:rFonts w:cs="Times New Roman"/>
                <w:noProof/>
                <w:lang w:val="sk-SK"/>
              </w:rPr>
              <w:t xml:space="preserve"> s </w:t>
            </w:r>
            <w:r w:rsidRPr="00083739">
              <w:rPr>
                <w:rFonts w:cs="Times New Roman"/>
                <w:noProof/>
                <w:lang w:val="sk-SK"/>
              </w:rPr>
              <w:t>cieľom prekonať výzvy</w:t>
            </w:r>
            <w:r w:rsidR="00083739" w:rsidRPr="00083739">
              <w:rPr>
                <w:rFonts w:cs="Times New Roman"/>
                <w:noProof/>
                <w:lang w:val="sk-SK"/>
              </w:rPr>
              <w:t xml:space="preserve"> z </w:t>
            </w:r>
            <w:r w:rsidRPr="00083739">
              <w:rPr>
                <w:rFonts w:cs="Times New Roman"/>
                <w:noProof/>
                <w:lang w:val="sk-SK"/>
              </w:rPr>
              <w:t>minulosti</w:t>
            </w:r>
            <w:r w:rsidR="00083739" w:rsidRPr="00083739">
              <w:rPr>
                <w:rFonts w:cs="Times New Roman"/>
                <w:noProof/>
                <w:lang w:val="sk-SK"/>
              </w:rPr>
              <w:t xml:space="preserve"> a </w:t>
            </w:r>
            <w:r w:rsidRPr="00083739">
              <w:rPr>
                <w:rFonts w:cs="Times New Roman"/>
                <w:noProof/>
                <w:lang w:val="sk-SK"/>
              </w:rPr>
              <w:t>financovať reálnu ekonomiku</w:t>
            </w:r>
          </w:p>
        </w:tc>
        <w:tc>
          <w:tcPr>
            <w:tcW w:w="1680" w:type="dxa"/>
            <w:tcBorders>
              <w:top w:val="nil"/>
              <w:left w:val="nil"/>
              <w:bottom w:val="single" w:sz="4" w:space="0" w:color="auto"/>
              <w:right w:val="single" w:sz="4" w:space="0" w:color="auto"/>
            </w:tcBorders>
            <w:shd w:val="clear" w:color="auto" w:fill="C6EFCE"/>
            <w:noWrap/>
          </w:tcPr>
          <w:p w14:paraId="34A1D3B4"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auto" w:fill="C6EFCE"/>
            <w:noWrap/>
          </w:tcPr>
          <w:p w14:paraId="3F4382EC"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 xml:space="preserve">Zadávanie zákaziek na opatrenia finančného sektora </w:t>
            </w:r>
          </w:p>
        </w:tc>
      </w:tr>
      <w:tr w:rsidR="002D49B0" w:rsidRPr="00083739" w14:paraId="76C7F9EC"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23FA0F84"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247</w:t>
            </w:r>
          </w:p>
        </w:tc>
        <w:tc>
          <w:tcPr>
            <w:tcW w:w="4320" w:type="dxa"/>
            <w:tcBorders>
              <w:top w:val="nil"/>
              <w:left w:val="nil"/>
              <w:bottom w:val="single" w:sz="4" w:space="0" w:color="auto"/>
              <w:right w:val="single" w:sz="4" w:space="0" w:color="auto"/>
            </w:tcBorders>
            <w:shd w:val="clear" w:color="auto" w:fill="C6EFCE"/>
            <w:noWrap/>
            <w:vAlign w:val="center"/>
          </w:tcPr>
          <w:p w14:paraId="4B320E46" w14:textId="5CD9DFB4"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16 – 4.5. Podpora výskumu</w:t>
            </w:r>
            <w:r w:rsidR="00083739" w:rsidRPr="00083739">
              <w:rPr>
                <w:rFonts w:cs="Times New Roman"/>
                <w:noProof/>
                <w:lang w:val="sk-SK"/>
              </w:rPr>
              <w:t xml:space="preserve"> a </w:t>
            </w:r>
            <w:r w:rsidRPr="00083739">
              <w:rPr>
                <w:rFonts w:cs="Times New Roman"/>
                <w:noProof/>
                <w:lang w:val="sk-SK"/>
              </w:rPr>
              <w:t xml:space="preserve">inovácií – 16624_Vytvorenie – Rozšírenie – modernizácia infraštruktúr výskumných centier pod dohľadom Generálneho </w:t>
            </w:r>
            <w:r w:rsidRPr="00083739">
              <w:rPr>
                <w:rFonts w:cs="Times New Roman"/>
                <w:noProof/>
                <w:lang w:val="sk-SK"/>
              </w:rPr>
              <w:t>sekretariátu pre výskum</w:t>
            </w:r>
            <w:r w:rsidR="00083739" w:rsidRPr="00083739">
              <w:rPr>
                <w:rFonts w:cs="Times New Roman"/>
                <w:noProof/>
                <w:lang w:val="sk-SK"/>
              </w:rPr>
              <w:t xml:space="preserve"> a </w:t>
            </w:r>
            <w:r w:rsidRPr="00083739">
              <w:rPr>
                <w:rFonts w:cs="Times New Roman"/>
                <w:noProof/>
                <w:lang w:val="sk-SK"/>
              </w:rPr>
              <w:t>inováciu (GSRI)</w:t>
            </w:r>
          </w:p>
        </w:tc>
        <w:tc>
          <w:tcPr>
            <w:tcW w:w="1680" w:type="dxa"/>
            <w:tcBorders>
              <w:top w:val="nil"/>
              <w:left w:val="nil"/>
              <w:bottom w:val="single" w:sz="4" w:space="0" w:color="auto"/>
              <w:right w:val="single" w:sz="4" w:space="0" w:color="auto"/>
            </w:tcBorders>
            <w:shd w:val="clear" w:color="auto" w:fill="C6EFCE"/>
            <w:noWrap/>
            <w:vAlign w:val="center"/>
          </w:tcPr>
          <w:p w14:paraId="5A5A6CAB"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auto" w:fill="C6EFCE"/>
            <w:noWrap/>
            <w:vAlign w:val="center"/>
          </w:tcPr>
          <w:p w14:paraId="5A07C2C6"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Zadávanie zákaziek na výskumné centrá – stavebné práce</w:t>
            </w:r>
          </w:p>
        </w:tc>
      </w:tr>
      <w:tr w:rsidR="002D49B0" w:rsidRPr="00083739" w14:paraId="705C71B8"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70CBC453"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248</w:t>
            </w:r>
          </w:p>
        </w:tc>
        <w:tc>
          <w:tcPr>
            <w:tcW w:w="4320" w:type="dxa"/>
            <w:tcBorders>
              <w:top w:val="nil"/>
              <w:left w:val="nil"/>
              <w:bottom w:val="single" w:sz="4" w:space="0" w:color="auto"/>
              <w:right w:val="single" w:sz="4" w:space="0" w:color="auto"/>
            </w:tcBorders>
            <w:shd w:val="clear" w:color="auto" w:fill="C6EFCE"/>
            <w:noWrap/>
            <w:vAlign w:val="center"/>
          </w:tcPr>
          <w:p w14:paraId="54378C14" w14:textId="034A8A58"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16 – 4.5. Podpora výskumu</w:t>
            </w:r>
            <w:r w:rsidR="00083739" w:rsidRPr="00083739">
              <w:rPr>
                <w:rFonts w:cs="Times New Roman"/>
                <w:noProof/>
                <w:lang w:val="sk-SK"/>
              </w:rPr>
              <w:t xml:space="preserve"> a </w:t>
            </w:r>
            <w:r w:rsidRPr="00083739">
              <w:rPr>
                <w:rFonts w:cs="Times New Roman"/>
                <w:noProof/>
                <w:lang w:val="sk-SK"/>
              </w:rPr>
              <w:t>inovácií – 16654_TH 2 ORAX: Trellis Holistic &amp; Hybrid Prevádzkový riadený autonómny eXemplárny systém</w:t>
            </w:r>
          </w:p>
        </w:tc>
        <w:tc>
          <w:tcPr>
            <w:tcW w:w="1680" w:type="dxa"/>
            <w:tcBorders>
              <w:top w:val="nil"/>
              <w:left w:val="nil"/>
              <w:bottom w:val="single" w:sz="4" w:space="0" w:color="auto"/>
              <w:right w:val="single" w:sz="4" w:space="0" w:color="auto"/>
            </w:tcBorders>
            <w:shd w:val="clear" w:color="auto" w:fill="C6EFCE"/>
            <w:noWrap/>
            <w:vAlign w:val="center"/>
          </w:tcPr>
          <w:p w14:paraId="7205B2B4"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auto" w:fill="C6EFCE"/>
            <w:noWrap/>
            <w:vAlign w:val="center"/>
          </w:tcPr>
          <w:p w14:paraId="5FA5A29E"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 xml:space="preserve">Zadávanie </w:t>
            </w:r>
            <w:r w:rsidRPr="00083739">
              <w:rPr>
                <w:rFonts w:cs="Times New Roman"/>
                <w:noProof/>
                <w:lang w:val="sk-SK"/>
              </w:rPr>
              <w:t>zákaziek pre TH2ORAX</w:t>
            </w:r>
          </w:p>
        </w:tc>
      </w:tr>
      <w:tr w:rsidR="002D49B0" w:rsidRPr="00083739" w14:paraId="5AE65CCD"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27A1E7EC"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258</w:t>
            </w:r>
          </w:p>
        </w:tc>
        <w:tc>
          <w:tcPr>
            <w:tcW w:w="4320" w:type="dxa"/>
            <w:tcBorders>
              <w:top w:val="nil"/>
              <w:left w:val="nil"/>
              <w:bottom w:val="single" w:sz="4" w:space="0" w:color="auto"/>
              <w:right w:val="single" w:sz="4" w:space="0" w:color="auto"/>
            </w:tcBorders>
            <w:shd w:val="clear" w:color="auto" w:fill="C6EFCE"/>
            <w:noWrap/>
            <w:vAlign w:val="center"/>
          </w:tcPr>
          <w:p w14:paraId="094B1B4F" w14:textId="5CBFADAF"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17 – 4.6. Modernizácia</w:t>
            </w:r>
            <w:r w:rsidR="00083739" w:rsidRPr="00083739">
              <w:rPr>
                <w:rFonts w:cs="Times New Roman"/>
                <w:noProof/>
                <w:lang w:val="sk-SK"/>
              </w:rPr>
              <w:t xml:space="preserve"> a </w:t>
            </w:r>
            <w:r w:rsidRPr="00083739">
              <w:rPr>
                <w:rFonts w:cs="Times New Roman"/>
                <w:noProof/>
                <w:lang w:val="sk-SK"/>
              </w:rPr>
              <w:t>zlepšenie odolnosti kľúčových hospodárskych odvetví – 16631_modernizácia bezpečnosti cestnej premávky</w:t>
            </w:r>
          </w:p>
        </w:tc>
        <w:tc>
          <w:tcPr>
            <w:tcW w:w="1680" w:type="dxa"/>
            <w:tcBorders>
              <w:top w:val="nil"/>
              <w:left w:val="nil"/>
              <w:bottom w:val="single" w:sz="4" w:space="0" w:color="auto"/>
              <w:right w:val="single" w:sz="4" w:space="0" w:color="auto"/>
            </w:tcBorders>
            <w:shd w:val="clear" w:color="auto" w:fill="C6EFCE"/>
            <w:noWrap/>
            <w:vAlign w:val="center"/>
          </w:tcPr>
          <w:p w14:paraId="21635F9F"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auto" w:fill="C6EFCE"/>
            <w:noWrap/>
            <w:vAlign w:val="center"/>
          </w:tcPr>
          <w:p w14:paraId="7C5819E5" w14:textId="14526366"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Zadávanie zákaziek</w:t>
            </w:r>
            <w:r w:rsidR="00083739" w:rsidRPr="00083739">
              <w:rPr>
                <w:rFonts w:cs="Times New Roman"/>
                <w:noProof/>
                <w:lang w:val="sk-SK"/>
              </w:rPr>
              <w:t xml:space="preserve"> v </w:t>
            </w:r>
            <w:r w:rsidRPr="00083739">
              <w:rPr>
                <w:rFonts w:cs="Times New Roman"/>
                <w:noProof/>
                <w:lang w:val="sk-SK"/>
              </w:rPr>
              <w:t>oblasti bezpečnosti cestnej premávky – všetky zákazky</w:t>
            </w:r>
          </w:p>
        </w:tc>
      </w:tr>
      <w:tr w:rsidR="002D49B0" w:rsidRPr="00083739" w14:paraId="49004FDA"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528312FE"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268</w:t>
            </w:r>
          </w:p>
        </w:tc>
        <w:tc>
          <w:tcPr>
            <w:tcW w:w="4320" w:type="dxa"/>
            <w:tcBorders>
              <w:top w:val="nil"/>
              <w:left w:val="nil"/>
              <w:bottom w:val="single" w:sz="4" w:space="0" w:color="auto"/>
              <w:right w:val="single" w:sz="4" w:space="0" w:color="auto"/>
            </w:tcBorders>
            <w:shd w:val="clear" w:color="auto" w:fill="C6EFCE"/>
            <w:noWrap/>
            <w:vAlign w:val="center"/>
          </w:tcPr>
          <w:p w14:paraId="097C710B" w14:textId="30608D43"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 xml:space="preserve">17 – 4.6. </w:t>
            </w:r>
            <w:r w:rsidRPr="00083739">
              <w:rPr>
                <w:rFonts w:cs="Times New Roman"/>
                <w:noProof/>
                <w:lang w:val="sk-SK"/>
              </w:rPr>
              <w:t>Modernizácia</w:t>
            </w:r>
            <w:r w:rsidR="00083739" w:rsidRPr="00083739">
              <w:rPr>
                <w:rFonts w:cs="Times New Roman"/>
                <w:noProof/>
                <w:lang w:val="sk-SK"/>
              </w:rPr>
              <w:t xml:space="preserve"> a </w:t>
            </w:r>
            <w:r w:rsidRPr="00083739">
              <w:rPr>
                <w:rFonts w:cs="Times New Roman"/>
                <w:noProof/>
                <w:lang w:val="sk-SK"/>
              </w:rPr>
              <w:t>zlepšenie odolnosti kľúčových hospodárskych odvetví – 16982_Organizačná reforma</w:t>
            </w:r>
            <w:r w:rsidR="00083739" w:rsidRPr="00083739">
              <w:rPr>
                <w:rFonts w:cs="Times New Roman"/>
                <w:noProof/>
                <w:lang w:val="sk-SK"/>
              </w:rPr>
              <w:t xml:space="preserve"> v </w:t>
            </w:r>
            <w:r w:rsidRPr="00083739">
              <w:rPr>
                <w:rFonts w:cs="Times New Roman"/>
                <w:noProof/>
                <w:lang w:val="sk-SK"/>
              </w:rPr>
              <w:t>železničnom sektore</w:t>
            </w:r>
          </w:p>
        </w:tc>
        <w:tc>
          <w:tcPr>
            <w:tcW w:w="1680" w:type="dxa"/>
            <w:tcBorders>
              <w:top w:val="nil"/>
              <w:left w:val="nil"/>
              <w:bottom w:val="single" w:sz="4" w:space="0" w:color="auto"/>
              <w:right w:val="single" w:sz="4" w:space="0" w:color="auto"/>
            </w:tcBorders>
            <w:shd w:val="clear" w:color="auto" w:fill="C6EFCE"/>
            <w:noWrap/>
            <w:vAlign w:val="center"/>
          </w:tcPr>
          <w:p w14:paraId="06097383"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auto" w:fill="C6EFCE"/>
            <w:noWrap/>
            <w:vAlign w:val="center"/>
          </w:tcPr>
          <w:p w14:paraId="33A12B21" w14:textId="6927A963" w:rsidR="002D49B0" w:rsidRPr="00083739" w:rsidRDefault="00BF4125">
            <w:pPr>
              <w:pStyle w:val="P68B1DB1-Normal49"/>
              <w:keepNext/>
              <w:spacing w:before="40" w:after="0" w:line="240" w:lineRule="auto"/>
              <w:jc w:val="both"/>
              <w:rPr>
                <w:rFonts w:cs="Times New Roman"/>
                <w:noProof/>
                <w:lang w:val="sk-SK"/>
              </w:rPr>
            </w:pPr>
            <w:r w:rsidRPr="00083739">
              <w:rPr>
                <w:rFonts w:cs="Times New Roman"/>
                <w:noProof/>
                <w:lang w:val="sk-SK"/>
              </w:rPr>
              <w:t xml:space="preserve">Realizačný plán gréckych železníc </w:t>
            </w:r>
          </w:p>
        </w:tc>
      </w:tr>
      <w:tr w:rsidR="002D49B0" w:rsidRPr="00083739" w14:paraId="438DDA60"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7EA25F36"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295</w:t>
            </w:r>
          </w:p>
        </w:tc>
        <w:tc>
          <w:tcPr>
            <w:tcW w:w="4320" w:type="dxa"/>
            <w:tcBorders>
              <w:top w:val="nil"/>
              <w:left w:val="nil"/>
              <w:bottom w:val="single" w:sz="4" w:space="0" w:color="auto"/>
              <w:right w:val="single" w:sz="4" w:space="0" w:color="auto"/>
            </w:tcBorders>
            <w:shd w:val="clear" w:color="auto" w:fill="C6EFCE"/>
            <w:noWrap/>
            <w:vAlign w:val="center"/>
          </w:tcPr>
          <w:p w14:paraId="362B9A5F" w14:textId="4F0D406B"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17 – 4.6. Modernizácia</w:t>
            </w:r>
            <w:r w:rsidR="00083739" w:rsidRPr="00083739">
              <w:rPr>
                <w:rFonts w:cs="Times New Roman"/>
                <w:noProof/>
                <w:lang w:val="sk-SK"/>
              </w:rPr>
              <w:t xml:space="preserve"> a </w:t>
            </w:r>
            <w:r w:rsidRPr="00083739">
              <w:rPr>
                <w:rFonts w:cs="Times New Roman"/>
                <w:noProof/>
                <w:lang w:val="sk-SK"/>
              </w:rPr>
              <w:t xml:space="preserve">zlepšenie odolnosti kľúčových hospodárskych odvetví – 16931_Rozvoj </w:t>
            </w:r>
            <w:r w:rsidRPr="00083739">
              <w:rPr>
                <w:rFonts w:cs="Times New Roman"/>
                <w:noProof/>
                <w:lang w:val="sk-SK"/>
              </w:rPr>
              <w:t>cestovného ruchu</w:t>
            </w:r>
          </w:p>
        </w:tc>
        <w:tc>
          <w:tcPr>
            <w:tcW w:w="1680" w:type="dxa"/>
            <w:tcBorders>
              <w:top w:val="nil"/>
              <w:left w:val="nil"/>
              <w:bottom w:val="single" w:sz="4" w:space="0" w:color="auto"/>
              <w:right w:val="single" w:sz="4" w:space="0" w:color="auto"/>
            </w:tcBorders>
            <w:shd w:val="clear" w:color="auto" w:fill="C6EFCE"/>
            <w:noWrap/>
            <w:vAlign w:val="center"/>
          </w:tcPr>
          <w:p w14:paraId="41CDFCD0"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auto" w:fill="C6EFCE"/>
            <w:noWrap/>
            <w:vAlign w:val="center"/>
          </w:tcPr>
          <w:p w14:paraId="16688A49" w14:textId="1D5FB740" w:rsidR="002D49B0" w:rsidRPr="00083739" w:rsidRDefault="00BF4125">
            <w:pPr>
              <w:pStyle w:val="P68B1DB1-Normal35"/>
              <w:keepNext/>
              <w:spacing w:before="40" w:after="0" w:line="240" w:lineRule="auto"/>
              <w:jc w:val="both"/>
              <w:rPr>
                <w:rFonts w:ascii="Times New Roman" w:hAnsi="Times New Roman" w:cs="Times New Roman"/>
                <w:noProof/>
                <w:szCs w:val="18"/>
                <w:lang w:val="sk-SK"/>
              </w:rPr>
            </w:pPr>
            <w:r w:rsidRPr="00083739">
              <w:rPr>
                <w:rFonts w:ascii="Times New Roman" w:hAnsi="Times New Roman" w:cs="Times New Roman"/>
                <w:noProof/>
                <w:lang w:val="sk-SK"/>
              </w:rPr>
              <w:t xml:space="preserve">Rozvoj cestovného ruchu: </w:t>
            </w:r>
            <w:r w:rsidRPr="00083739">
              <w:rPr>
                <w:rFonts w:ascii="Times New Roman" w:hAnsi="Times New Roman" w:cs="Times New Roman"/>
                <w:noProof/>
                <w:color w:val="006100"/>
                <w:lang w:val="sk-SK"/>
              </w:rPr>
              <w:t>Uverejnenie rozhodnutí</w:t>
            </w:r>
            <w:r w:rsidR="00083739" w:rsidRPr="00083739">
              <w:rPr>
                <w:rFonts w:ascii="Times New Roman" w:hAnsi="Times New Roman" w:cs="Times New Roman"/>
                <w:noProof/>
                <w:color w:val="006100"/>
                <w:lang w:val="sk-SK"/>
              </w:rPr>
              <w:t xml:space="preserve"> o </w:t>
            </w:r>
            <w:r w:rsidRPr="00083739">
              <w:rPr>
                <w:rFonts w:ascii="Times New Roman" w:hAnsi="Times New Roman" w:cs="Times New Roman"/>
                <w:noProof/>
                <w:color w:val="006100"/>
                <w:lang w:val="sk-SK"/>
              </w:rPr>
              <w:t xml:space="preserve">schválení </w:t>
            </w:r>
            <w:r w:rsidRPr="00083739">
              <w:rPr>
                <w:rFonts w:ascii="Times New Roman" w:hAnsi="Times New Roman" w:cs="Times New Roman"/>
                <w:noProof/>
                <w:lang w:val="sk-SK"/>
              </w:rPr>
              <w:t>turistických prístavov</w:t>
            </w:r>
          </w:p>
        </w:tc>
      </w:tr>
      <w:tr w:rsidR="002D49B0" w:rsidRPr="00083739" w14:paraId="43FC9CA1"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33FF7622"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304</w:t>
            </w:r>
          </w:p>
        </w:tc>
        <w:tc>
          <w:tcPr>
            <w:tcW w:w="4320" w:type="dxa"/>
            <w:tcBorders>
              <w:top w:val="nil"/>
              <w:left w:val="nil"/>
              <w:bottom w:val="single" w:sz="4" w:space="0" w:color="auto"/>
              <w:right w:val="single" w:sz="4" w:space="0" w:color="auto"/>
            </w:tcBorders>
            <w:shd w:val="clear" w:color="auto" w:fill="C6EFCE"/>
            <w:noWrap/>
            <w:vAlign w:val="center"/>
          </w:tcPr>
          <w:p w14:paraId="6A63C759" w14:textId="56F952E1"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17 – 4.6. Modernizácia</w:t>
            </w:r>
            <w:r w:rsidR="00083739" w:rsidRPr="00083739">
              <w:rPr>
                <w:rFonts w:cs="Times New Roman"/>
                <w:noProof/>
                <w:lang w:val="sk-SK"/>
              </w:rPr>
              <w:t xml:space="preserve"> a </w:t>
            </w:r>
            <w:r w:rsidRPr="00083739">
              <w:rPr>
                <w:rFonts w:cs="Times New Roman"/>
                <w:noProof/>
                <w:lang w:val="sk-SK"/>
              </w:rPr>
              <w:t>zlepšenie odolnosti kľúčových hospodárskych odvetví – 16634_Nové priemyselné parky</w:t>
            </w:r>
          </w:p>
        </w:tc>
        <w:tc>
          <w:tcPr>
            <w:tcW w:w="1680" w:type="dxa"/>
            <w:tcBorders>
              <w:top w:val="nil"/>
              <w:left w:val="nil"/>
              <w:bottom w:val="single" w:sz="4" w:space="0" w:color="auto"/>
              <w:right w:val="single" w:sz="4" w:space="0" w:color="auto"/>
            </w:tcBorders>
            <w:shd w:val="clear" w:color="auto" w:fill="C6EFCE"/>
            <w:noWrap/>
            <w:vAlign w:val="center"/>
          </w:tcPr>
          <w:p w14:paraId="10E388BC"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auto" w:fill="C6EFCE"/>
            <w:noWrap/>
            <w:vAlign w:val="center"/>
          </w:tcPr>
          <w:p w14:paraId="04016141"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 xml:space="preserve">Priemyselné parky – </w:t>
            </w:r>
            <w:r w:rsidRPr="00083739">
              <w:rPr>
                <w:rFonts w:cs="Times New Roman"/>
                <w:noProof/>
                <w:lang w:val="sk-SK"/>
              </w:rPr>
              <w:t>legislatívna reforma (sekundárne právne predpisy)</w:t>
            </w:r>
          </w:p>
        </w:tc>
      </w:tr>
      <w:tr w:rsidR="002D49B0" w:rsidRPr="00083739" w14:paraId="397284D7"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5D02D480"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317</w:t>
            </w:r>
          </w:p>
        </w:tc>
        <w:tc>
          <w:tcPr>
            <w:tcW w:w="4320" w:type="dxa"/>
            <w:tcBorders>
              <w:top w:val="nil"/>
              <w:left w:val="nil"/>
              <w:bottom w:val="single" w:sz="4" w:space="0" w:color="auto"/>
              <w:right w:val="single" w:sz="4" w:space="0" w:color="auto"/>
            </w:tcBorders>
            <w:shd w:val="clear" w:color="auto" w:fill="C6EFCE"/>
            <w:noWrap/>
            <w:vAlign w:val="center"/>
          </w:tcPr>
          <w:p w14:paraId="509F2B35" w14:textId="2C17AE5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18 – 4.7. Zlepšenie konkurencieschopnosti</w:t>
            </w:r>
            <w:r w:rsidR="00083739" w:rsidRPr="00083739">
              <w:rPr>
                <w:rFonts w:cs="Times New Roman"/>
                <w:noProof/>
                <w:lang w:val="sk-SK"/>
              </w:rPr>
              <w:t xml:space="preserve"> a </w:t>
            </w:r>
            <w:r w:rsidRPr="00083739">
              <w:rPr>
                <w:rFonts w:cs="Times New Roman"/>
                <w:noProof/>
                <w:lang w:val="sk-SK"/>
              </w:rPr>
              <w:t>podpora súkromných investícií</w:t>
            </w:r>
            <w:r w:rsidR="00083739" w:rsidRPr="00083739">
              <w:rPr>
                <w:rFonts w:cs="Times New Roman"/>
                <w:noProof/>
                <w:lang w:val="sk-SK"/>
              </w:rPr>
              <w:t xml:space="preserve"> a </w:t>
            </w:r>
            <w:r w:rsidRPr="00083739">
              <w:rPr>
                <w:rFonts w:cs="Times New Roman"/>
                <w:noProof/>
                <w:lang w:val="sk-SK"/>
              </w:rPr>
              <w:t>vývozu – 16543_Opatrenia na zjednodušenie podnikateľského prostredia</w:t>
            </w:r>
            <w:r w:rsidR="00083739" w:rsidRPr="00083739">
              <w:rPr>
                <w:rFonts w:cs="Times New Roman"/>
                <w:noProof/>
                <w:lang w:val="sk-SK"/>
              </w:rPr>
              <w:t xml:space="preserve"> a </w:t>
            </w:r>
            <w:r w:rsidRPr="00083739">
              <w:rPr>
                <w:rFonts w:cs="Times New Roman"/>
                <w:noProof/>
                <w:lang w:val="sk-SK"/>
              </w:rPr>
              <w:t>zlepšenie jeho kvality</w:t>
            </w:r>
            <w:r w:rsidR="00083739" w:rsidRPr="00083739">
              <w:rPr>
                <w:rFonts w:cs="Times New Roman"/>
                <w:noProof/>
                <w:lang w:val="sk-SK"/>
              </w:rPr>
              <w:t xml:space="preserve"> a </w:t>
            </w:r>
            <w:r w:rsidRPr="00083739">
              <w:rPr>
                <w:rFonts w:cs="Times New Roman"/>
                <w:noProof/>
                <w:lang w:val="sk-SK"/>
              </w:rPr>
              <w:t>bezpečnosti</w:t>
            </w:r>
          </w:p>
        </w:tc>
        <w:tc>
          <w:tcPr>
            <w:tcW w:w="1680" w:type="dxa"/>
            <w:tcBorders>
              <w:top w:val="nil"/>
              <w:left w:val="nil"/>
              <w:bottom w:val="single" w:sz="4" w:space="0" w:color="auto"/>
              <w:right w:val="single" w:sz="4" w:space="0" w:color="auto"/>
            </w:tcBorders>
            <w:shd w:val="clear" w:color="auto" w:fill="C6EFCE"/>
            <w:noWrap/>
            <w:vAlign w:val="center"/>
          </w:tcPr>
          <w:p w14:paraId="05498200"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auto" w:fill="C6EFCE"/>
            <w:noWrap/>
            <w:vAlign w:val="center"/>
          </w:tcPr>
          <w:p w14:paraId="700CE322" w14:textId="354B12D9"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Vytvorenie</w:t>
            </w:r>
            <w:r w:rsidRPr="00083739">
              <w:rPr>
                <w:rFonts w:cs="Times New Roman"/>
                <w:noProof/>
                <w:lang w:val="sk-SK"/>
              </w:rPr>
              <w:t xml:space="preserve"> politiky kvality</w:t>
            </w:r>
            <w:r w:rsidR="00083739" w:rsidRPr="00083739">
              <w:rPr>
                <w:rFonts w:cs="Times New Roman"/>
                <w:noProof/>
                <w:lang w:val="sk-SK"/>
              </w:rPr>
              <w:t xml:space="preserve"> a </w:t>
            </w:r>
            <w:r w:rsidRPr="00083739">
              <w:rPr>
                <w:rFonts w:cs="Times New Roman"/>
                <w:noProof/>
                <w:lang w:val="sk-SK"/>
              </w:rPr>
              <w:t xml:space="preserve">nového regulačného rámca pre kvalitnú infraštruktúru </w:t>
            </w:r>
          </w:p>
        </w:tc>
      </w:tr>
      <w:tr w:rsidR="002D49B0" w:rsidRPr="00083739" w14:paraId="39C897A0"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795EFEC0"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318</w:t>
            </w:r>
          </w:p>
        </w:tc>
        <w:tc>
          <w:tcPr>
            <w:tcW w:w="4320" w:type="dxa"/>
            <w:tcBorders>
              <w:top w:val="nil"/>
              <w:left w:val="nil"/>
              <w:bottom w:val="single" w:sz="4" w:space="0" w:color="auto"/>
              <w:right w:val="single" w:sz="4" w:space="0" w:color="auto"/>
            </w:tcBorders>
            <w:shd w:val="clear" w:color="auto" w:fill="C6EFCE"/>
            <w:noWrap/>
            <w:vAlign w:val="center"/>
          </w:tcPr>
          <w:p w14:paraId="4C5FF300" w14:textId="2C393C03"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18 – 4.7. Zlepšiť konkurencieschopnosť</w:t>
            </w:r>
            <w:r w:rsidR="00083739" w:rsidRPr="00083739">
              <w:rPr>
                <w:rFonts w:cs="Times New Roman"/>
                <w:noProof/>
                <w:lang w:val="sk-SK"/>
              </w:rPr>
              <w:t xml:space="preserve"> a </w:t>
            </w:r>
            <w:r w:rsidRPr="00083739">
              <w:rPr>
                <w:rFonts w:cs="Times New Roman"/>
                <w:noProof/>
                <w:lang w:val="sk-SK"/>
              </w:rPr>
              <w:t>podporiť súkromné investície</w:t>
            </w:r>
            <w:r w:rsidR="00083739" w:rsidRPr="00083739">
              <w:rPr>
                <w:rFonts w:cs="Times New Roman"/>
                <w:noProof/>
                <w:lang w:val="sk-SK"/>
              </w:rPr>
              <w:t xml:space="preserve"> a </w:t>
            </w:r>
            <w:r w:rsidRPr="00083739">
              <w:rPr>
                <w:rFonts w:cs="Times New Roman"/>
                <w:noProof/>
                <w:lang w:val="sk-SK"/>
              </w:rPr>
              <w:t>vývoz – 16591_Skutočnosť podnikania</w:t>
            </w:r>
          </w:p>
        </w:tc>
        <w:tc>
          <w:tcPr>
            <w:tcW w:w="1680" w:type="dxa"/>
            <w:tcBorders>
              <w:top w:val="nil"/>
              <w:left w:val="nil"/>
              <w:bottom w:val="single" w:sz="4" w:space="0" w:color="auto"/>
              <w:right w:val="single" w:sz="4" w:space="0" w:color="auto"/>
            </w:tcBorders>
            <w:shd w:val="clear" w:color="auto" w:fill="C6EFCE"/>
            <w:noWrap/>
            <w:vAlign w:val="center"/>
          </w:tcPr>
          <w:p w14:paraId="17FA2C88"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nil"/>
              <w:left w:val="nil"/>
              <w:bottom w:val="single" w:sz="4" w:space="0" w:color="auto"/>
              <w:right w:val="single" w:sz="4" w:space="0" w:color="auto"/>
            </w:tcBorders>
            <w:shd w:val="clear" w:color="auto" w:fill="C6EFCE"/>
            <w:noWrap/>
            <w:vAlign w:val="center"/>
          </w:tcPr>
          <w:p w14:paraId="738B159A"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Zlepšenie podnikateľského prostredia – uľahčenie podnikania</w:t>
            </w:r>
          </w:p>
        </w:tc>
      </w:tr>
      <w:tr w:rsidR="002D49B0" w:rsidRPr="00083739" w14:paraId="20456F6B" w14:textId="77777777">
        <w:trPr>
          <w:trHeight w:val="302"/>
        </w:trPr>
        <w:tc>
          <w:tcPr>
            <w:tcW w:w="1795" w:type="dxa"/>
            <w:tcBorders>
              <w:top w:val="single" w:sz="4" w:space="0" w:color="auto"/>
              <w:left w:val="single" w:sz="4" w:space="0" w:color="auto"/>
              <w:bottom w:val="single" w:sz="4" w:space="0" w:color="auto"/>
              <w:right w:val="single" w:sz="4" w:space="0" w:color="auto"/>
            </w:tcBorders>
            <w:shd w:val="clear" w:color="auto" w:fill="C6EFCE"/>
            <w:noWrap/>
          </w:tcPr>
          <w:p w14:paraId="5F6DB781" w14:textId="77777777" w:rsidR="002D49B0" w:rsidRPr="00083739" w:rsidRDefault="00BF4125">
            <w:pPr>
              <w:pStyle w:val="P68B1DB1-Normal8"/>
              <w:keepNext/>
              <w:spacing w:before="40" w:after="0" w:line="259" w:lineRule="auto"/>
              <w:jc w:val="both"/>
              <w:rPr>
                <w:rFonts w:eastAsia="Times New Roman" w:cs="Times New Roman"/>
                <w:bCs/>
                <w:noProof/>
                <w:szCs w:val="18"/>
                <w:lang w:val="sk-SK"/>
              </w:rPr>
            </w:pPr>
            <w:r w:rsidRPr="00083739">
              <w:rPr>
                <w:rFonts w:cs="Times New Roman"/>
                <w:noProof/>
                <w:lang w:val="sk-SK"/>
              </w:rPr>
              <w:t>3</w:t>
            </w:r>
            <w:r w:rsidRPr="00083739">
              <w:rPr>
                <w:rFonts w:cs="Times New Roman"/>
                <w:noProof/>
                <w:lang w:val="sk-SK"/>
              </w:rPr>
              <w:t>35</w:t>
            </w:r>
          </w:p>
        </w:tc>
        <w:tc>
          <w:tcPr>
            <w:tcW w:w="4320" w:type="dxa"/>
            <w:tcBorders>
              <w:top w:val="single" w:sz="4" w:space="0" w:color="auto"/>
              <w:left w:val="nil"/>
              <w:bottom w:val="single" w:sz="4" w:space="0" w:color="auto"/>
              <w:right w:val="single" w:sz="4" w:space="0" w:color="auto"/>
            </w:tcBorders>
            <w:shd w:val="clear" w:color="auto" w:fill="C6EFCE"/>
            <w:noWrap/>
          </w:tcPr>
          <w:p w14:paraId="0F25BCAA" w14:textId="24334F09" w:rsidR="002D49B0" w:rsidRPr="00083739" w:rsidRDefault="00BF4125">
            <w:pPr>
              <w:pStyle w:val="P68B1DB1-Normal8"/>
              <w:keepNext/>
              <w:spacing w:before="40" w:after="0" w:line="259" w:lineRule="auto"/>
              <w:jc w:val="both"/>
              <w:rPr>
                <w:rFonts w:eastAsia="Times New Roman" w:cs="Times New Roman"/>
                <w:bCs/>
                <w:noProof/>
                <w:szCs w:val="18"/>
                <w:lang w:val="sk-SK"/>
              </w:rPr>
            </w:pPr>
            <w:r w:rsidRPr="00083739">
              <w:rPr>
                <w:rFonts w:cs="Times New Roman"/>
                <w:noProof/>
                <w:lang w:val="sk-SK"/>
              </w:rPr>
              <w:t>10 – 3.3. Zlepšenie odolnosti, dostupnosti</w:t>
            </w:r>
            <w:r w:rsidR="00083739" w:rsidRPr="00083739">
              <w:rPr>
                <w:rFonts w:cs="Times New Roman"/>
                <w:noProof/>
                <w:lang w:val="sk-SK"/>
              </w:rPr>
              <w:t xml:space="preserve"> a </w:t>
            </w:r>
            <w:r w:rsidRPr="00083739">
              <w:rPr>
                <w:rFonts w:cs="Times New Roman"/>
                <w:noProof/>
                <w:lang w:val="sk-SK"/>
              </w:rPr>
              <w:t>udržateľnosti zdravotnej starostlivosti – 16984_Reforma osobného lekára</w:t>
            </w:r>
          </w:p>
        </w:tc>
        <w:tc>
          <w:tcPr>
            <w:tcW w:w="1680" w:type="dxa"/>
            <w:tcBorders>
              <w:top w:val="single" w:sz="4" w:space="0" w:color="auto"/>
              <w:left w:val="nil"/>
              <w:bottom w:val="single" w:sz="4" w:space="0" w:color="auto"/>
              <w:right w:val="single" w:sz="4" w:space="0" w:color="auto"/>
            </w:tcBorders>
            <w:shd w:val="clear" w:color="auto" w:fill="C6EFCE"/>
            <w:noWrap/>
          </w:tcPr>
          <w:p w14:paraId="35C36F58" w14:textId="77777777" w:rsidR="002D49B0" w:rsidRPr="00083739" w:rsidRDefault="00BF4125">
            <w:pPr>
              <w:pStyle w:val="P68B1DB1-Normal8"/>
              <w:keepNext/>
              <w:spacing w:before="40" w:after="0" w:line="259"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single" w:sz="4" w:space="0" w:color="auto"/>
              <w:left w:val="nil"/>
              <w:bottom w:val="single" w:sz="4" w:space="0" w:color="auto"/>
              <w:right w:val="single" w:sz="4" w:space="0" w:color="auto"/>
            </w:tcBorders>
            <w:shd w:val="clear" w:color="auto" w:fill="C6EFCE"/>
            <w:noWrap/>
          </w:tcPr>
          <w:p w14:paraId="2593558B" w14:textId="77777777" w:rsidR="002D49B0" w:rsidRPr="00083739" w:rsidRDefault="00BF4125">
            <w:pPr>
              <w:pStyle w:val="P68B1DB1-Normal8"/>
              <w:keepNext/>
              <w:spacing w:before="40" w:after="0" w:line="259" w:lineRule="auto"/>
              <w:jc w:val="both"/>
              <w:rPr>
                <w:rFonts w:eastAsia="Times New Roman" w:cs="Times New Roman"/>
                <w:noProof/>
                <w:szCs w:val="18"/>
                <w:lang w:val="sk-SK"/>
              </w:rPr>
            </w:pPr>
            <w:r w:rsidRPr="00083739">
              <w:rPr>
                <w:rFonts w:cs="Times New Roman"/>
                <w:noProof/>
                <w:lang w:val="sk-SK"/>
              </w:rPr>
              <w:t>Reforma osobného lekára – nadobudnutie účinnosti právnych predpisov</w:t>
            </w:r>
          </w:p>
        </w:tc>
      </w:tr>
      <w:tr w:rsidR="002D49B0" w:rsidRPr="00083739" w14:paraId="1B4D798E" w14:textId="77777777">
        <w:trPr>
          <w:trHeight w:val="302"/>
        </w:trPr>
        <w:tc>
          <w:tcPr>
            <w:tcW w:w="1795" w:type="dxa"/>
            <w:tcBorders>
              <w:top w:val="single" w:sz="4" w:space="0" w:color="auto"/>
              <w:left w:val="single" w:sz="4" w:space="0" w:color="auto"/>
              <w:bottom w:val="single" w:sz="4" w:space="0" w:color="auto"/>
              <w:right w:val="single" w:sz="4" w:space="0" w:color="auto"/>
            </w:tcBorders>
            <w:shd w:val="clear" w:color="auto" w:fill="C6EFCE"/>
            <w:noWrap/>
          </w:tcPr>
          <w:p w14:paraId="22D01F02" w14:textId="77777777" w:rsidR="002D49B0" w:rsidRPr="00083739" w:rsidRDefault="00BF4125">
            <w:pPr>
              <w:pStyle w:val="P68B1DB1-Normal8"/>
              <w:keepNext/>
              <w:spacing w:before="40" w:after="0" w:line="259" w:lineRule="auto"/>
              <w:jc w:val="both"/>
              <w:rPr>
                <w:rFonts w:eastAsia="Times New Roman" w:cs="Times New Roman"/>
                <w:bCs/>
                <w:noProof/>
                <w:szCs w:val="18"/>
                <w:lang w:val="sk-SK"/>
              </w:rPr>
            </w:pPr>
            <w:r w:rsidRPr="00083739">
              <w:rPr>
                <w:rFonts w:cs="Times New Roman"/>
                <w:noProof/>
                <w:lang w:val="sk-SK"/>
              </w:rPr>
              <w:t>339</w:t>
            </w:r>
          </w:p>
        </w:tc>
        <w:tc>
          <w:tcPr>
            <w:tcW w:w="4320" w:type="dxa"/>
            <w:tcBorders>
              <w:top w:val="single" w:sz="4" w:space="0" w:color="auto"/>
              <w:left w:val="nil"/>
              <w:bottom w:val="single" w:sz="4" w:space="0" w:color="auto"/>
              <w:right w:val="single" w:sz="4" w:space="0" w:color="auto"/>
            </w:tcBorders>
            <w:shd w:val="clear" w:color="auto" w:fill="C6EFCE"/>
            <w:noWrap/>
          </w:tcPr>
          <w:p w14:paraId="25425FFA" w14:textId="102F74CE" w:rsidR="002D49B0" w:rsidRPr="00083739" w:rsidRDefault="00BF4125">
            <w:pPr>
              <w:pStyle w:val="P68B1DB1-Normal8"/>
              <w:keepNext/>
              <w:spacing w:before="40" w:after="0" w:line="259" w:lineRule="auto"/>
              <w:jc w:val="both"/>
              <w:rPr>
                <w:rFonts w:eastAsia="Times New Roman" w:cs="Times New Roman"/>
                <w:bCs/>
                <w:noProof/>
                <w:szCs w:val="18"/>
                <w:lang w:val="sk-SK"/>
              </w:rPr>
            </w:pPr>
            <w:r w:rsidRPr="00083739">
              <w:rPr>
                <w:rFonts w:cs="Times New Roman"/>
                <w:noProof/>
                <w:lang w:val="sk-SK"/>
              </w:rPr>
              <w:t xml:space="preserve">12 – 4.1. Zabezpečiť, aby boli dane priaznivejšie pre </w:t>
            </w:r>
            <w:r w:rsidRPr="00083739">
              <w:rPr>
                <w:rFonts w:cs="Times New Roman"/>
                <w:noProof/>
                <w:lang w:val="sk-SK"/>
              </w:rPr>
              <w:t>rast</w:t>
            </w:r>
            <w:r w:rsidR="00083739" w:rsidRPr="00083739">
              <w:rPr>
                <w:rFonts w:cs="Times New Roman"/>
                <w:noProof/>
                <w:lang w:val="sk-SK"/>
              </w:rPr>
              <w:t xml:space="preserve"> a </w:t>
            </w:r>
            <w:r w:rsidRPr="00083739">
              <w:rPr>
                <w:rFonts w:cs="Times New Roman"/>
                <w:noProof/>
                <w:lang w:val="sk-SK"/>
              </w:rPr>
              <w:t>zlepšiť daňovú správu</w:t>
            </w:r>
            <w:r w:rsidR="00083739" w:rsidRPr="00083739">
              <w:rPr>
                <w:rFonts w:cs="Times New Roman"/>
                <w:noProof/>
                <w:lang w:val="sk-SK"/>
              </w:rPr>
              <w:t xml:space="preserve"> a </w:t>
            </w:r>
            <w:r w:rsidRPr="00083739">
              <w:rPr>
                <w:rFonts w:cs="Times New Roman"/>
                <w:noProof/>
                <w:lang w:val="sk-SK"/>
              </w:rPr>
              <w:t>výber daní – 16985_Úprava rámca daňovej politiky Grécka</w:t>
            </w:r>
          </w:p>
        </w:tc>
        <w:tc>
          <w:tcPr>
            <w:tcW w:w="1680" w:type="dxa"/>
            <w:tcBorders>
              <w:top w:val="single" w:sz="4" w:space="0" w:color="auto"/>
              <w:left w:val="nil"/>
              <w:bottom w:val="single" w:sz="4" w:space="0" w:color="auto"/>
              <w:right w:val="single" w:sz="4" w:space="0" w:color="auto"/>
            </w:tcBorders>
            <w:shd w:val="clear" w:color="auto" w:fill="C6EFCE"/>
            <w:noWrap/>
          </w:tcPr>
          <w:p w14:paraId="7E68C1E6" w14:textId="77777777" w:rsidR="002D49B0" w:rsidRPr="00083739" w:rsidRDefault="00BF4125">
            <w:pPr>
              <w:pStyle w:val="P68B1DB1-Normal8"/>
              <w:keepNext/>
              <w:spacing w:before="40" w:after="0" w:line="259"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single" w:sz="4" w:space="0" w:color="auto"/>
              <w:left w:val="nil"/>
              <w:bottom w:val="single" w:sz="4" w:space="0" w:color="auto"/>
              <w:right w:val="single" w:sz="4" w:space="0" w:color="auto"/>
            </w:tcBorders>
            <w:shd w:val="clear" w:color="auto" w:fill="C6EFCE"/>
            <w:noWrap/>
          </w:tcPr>
          <w:p w14:paraId="13E38AB8" w14:textId="77777777" w:rsidR="002D49B0" w:rsidRPr="00083739" w:rsidRDefault="00BF4125">
            <w:pPr>
              <w:pStyle w:val="P68B1DB1-Normal8"/>
              <w:keepNext/>
              <w:spacing w:before="40" w:after="0" w:line="259" w:lineRule="auto"/>
              <w:jc w:val="both"/>
              <w:rPr>
                <w:rFonts w:eastAsia="Times New Roman" w:cs="Times New Roman"/>
                <w:noProof/>
                <w:szCs w:val="18"/>
                <w:lang w:val="sk-SK"/>
              </w:rPr>
            </w:pPr>
            <w:r w:rsidRPr="00083739">
              <w:rPr>
                <w:rFonts w:cs="Times New Roman"/>
                <w:noProof/>
                <w:lang w:val="sk-SK"/>
              </w:rPr>
              <w:t>Posilniť prevádzkovú autonómiu nezávislého orgánu pre verejné príjmy (IAPR)</w:t>
            </w:r>
          </w:p>
        </w:tc>
      </w:tr>
      <w:tr w:rsidR="002D49B0" w:rsidRPr="00083739" w14:paraId="42439D24" w14:textId="77777777">
        <w:trPr>
          <w:trHeight w:val="302"/>
        </w:trPr>
        <w:tc>
          <w:tcPr>
            <w:tcW w:w="1795" w:type="dxa"/>
            <w:tcBorders>
              <w:top w:val="single" w:sz="4" w:space="0" w:color="auto"/>
              <w:left w:val="single" w:sz="4" w:space="0" w:color="auto"/>
              <w:bottom w:val="single" w:sz="4" w:space="0" w:color="auto"/>
              <w:right w:val="single" w:sz="4" w:space="0" w:color="auto"/>
            </w:tcBorders>
            <w:shd w:val="clear" w:color="auto" w:fill="C6EFCE"/>
            <w:noWrap/>
          </w:tcPr>
          <w:p w14:paraId="063D05B8" w14:textId="77777777" w:rsidR="002D49B0" w:rsidRPr="00083739" w:rsidRDefault="00BF4125">
            <w:pPr>
              <w:pStyle w:val="P68B1DB1-Normal8"/>
              <w:keepNext/>
              <w:spacing w:before="40" w:after="0" w:line="259" w:lineRule="auto"/>
              <w:jc w:val="both"/>
              <w:rPr>
                <w:rFonts w:eastAsia="Times New Roman" w:cs="Times New Roman"/>
                <w:bCs/>
                <w:noProof/>
                <w:szCs w:val="18"/>
                <w:lang w:val="sk-SK"/>
              </w:rPr>
            </w:pPr>
            <w:r w:rsidRPr="00083739">
              <w:rPr>
                <w:rFonts w:cs="Times New Roman"/>
                <w:noProof/>
                <w:lang w:val="sk-SK"/>
              </w:rPr>
              <w:t>342</w:t>
            </w:r>
          </w:p>
        </w:tc>
        <w:tc>
          <w:tcPr>
            <w:tcW w:w="4320" w:type="dxa"/>
            <w:tcBorders>
              <w:top w:val="single" w:sz="4" w:space="0" w:color="auto"/>
              <w:left w:val="nil"/>
              <w:bottom w:val="single" w:sz="4" w:space="0" w:color="auto"/>
              <w:right w:val="single" w:sz="4" w:space="0" w:color="auto"/>
            </w:tcBorders>
            <w:shd w:val="clear" w:color="auto" w:fill="C6EFCE"/>
            <w:noWrap/>
          </w:tcPr>
          <w:p w14:paraId="6E11221B" w14:textId="3CDBAE00" w:rsidR="002D49B0" w:rsidRPr="00083739" w:rsidRDefault="00BF4125">
            <w:pPr>
              <w:pStyle w:val="P68B1DB1-Normal8"/>
              <w:keepNext/>
              <w:spacing w:before="40" w:after="0" w:line="259" w:lineRule="auto"/>
              <w:jc w:val="both"/>
              <w:rPr>
                <w:rFonts w:eastAsia="Times New Roman" w:cs="Times New Roman"/>
                <w:bCs/>
                <w:noProof/>
                <w:szCs w:val="18"/>
                <w:lang w:val="sk-SK"/>
              </w:rPr>
            </w:pPr>
            <w:r w:rsidRPr="00083739">
              <w:rPr>
                <w:rFonts w:cs="Times New Roman"/>
                <w:noProof/>
                <w:lang w:val="sk-SK"/>
              </w:rPr>
              <w:t>13 – 4.2. Modernizácia verejnej správy,</w:t>
            </w:r>
            <w:r w:rsidR="00083739" w:rsidRPr="00083739">
              <w:rPr>
                <w:rFonts w:cs="Times New Roman"/>
                <w:noProof/>
                <w:lang w:val="sk-SK"/>
              </w:rPr>
              <w:t xml:space="preserve"> a </w:t>
            </w:r>
            <w:r w:rsidRPr="00083739">
              <w:rPr>
                <w:rFonts w:cs="Times New Roman"/>
                <w:noProof/>
                <w:lang w:val="sk-SK"/>
              </w:rPr>
              <w:t>to aj urýchlením realizácie verejných i</w:t>
            </w:r>
            <w:r w:rsidRPr="00083739">
              <w:rPr>
                <w:rFonts w:cs="Times New Roman"/>
                <w:noProof/>
                <w:lang w:val="sk-SK"/>
              </w:rPr>
              <w:t>nvestícií, zlepšením rámca verejného obstarávania, opatreniami na budovanie kapacít</w:t>
            </w:r>
            <w:r w:rsidR="00083739" w:rsidRPr="00083739">
              <w:rPr>
                <w:rFonts w:cs="Times New Roman"/>
                <w:noProof/>
                <w:lang w:val="sk-SK"/>
              </w:rPr>
              <w:t xml:space="preserve"> a </w:t>
            </w:r>
            <w:r w:rsidRPr="00083739">
              <w:rPr>
                <w:rFonts w:cs="Times New Roman"/>
                <w:noProof/>
                <w:lang w:val="sk-SK"/>
              </w:rPr>
              <w:t>bojom proti korupcii – 16986_Dokončenie národného katastra</w:t>
            </w:r>
          </w:p>
        </w:tc>
        <w:tc>
          <w:tcPr>
            <w:tcW w:w="1680" w:type="dxa"/>
            <w:tcBorders>
              <w:top w:val="single" w:sz="4" w:space="0" w:color="auto"/>
              <w:left w:val="nil"/>
              <w:bottom w:val="single" w:sz="4" w:space="0" w:color="auto"/>
              <w:right w:val="single" w:sz="4" w:space="0" w:color="auto"/>
            </w:tcBorders>
            <w:shd w:val="clear" w:color="auto" w:fill="C6EFCE"/>
            <w:noWrap/>
          </w:tcPr>
          <w:p w14:paraId="225663D7" w14:textId="77777777" w:rsidR="002D49B0" w:rsidRPr="00083739" w:rsidRDefault="00BF4125">
            <w:pPr>
              <w:pStyle w:val="P68B1DB1-Normal8"/>
              <w:keepNext/>
              <w:spacing w:before="40" w:after="0" w:line="259" w:lineRule="auto"/>
              <w:jc w:val="both"/>
              <w:rPr>
                <w:rFonts w:eastAsia="Times New Roman" w:cs="Times New Roman"/>
                <w:noProof/>
                <w:szCs w:val="18"/>
                <w:lang w:val="sk-SK"/>
              </w:rPr>
            </w:pPr>
            <w:r w:rsidRPr="00083739">
              <w:rPr>
                <w:rFonts w:cs="Times New Roman"/>
                <w:noProof/>
                <w:lang w:val="sk-SK"/>
              </w:rPr>
              <w:t>Cieľ</w:t>
            </w:r>
          </w:p>
        </w:tc>
        <w:tc>
          <w:tcPr>
            <w:tcW w:w="1800" w:type="dxa"/>
            <w:tcBorders>
              <w:top w:val="single" w:sz="4" w:space="0" w:color="auto"/>
              <w:left w:val="nil"/>
              <w:bottom w:val="single" w:sz="4" w:space="0" w:color="auto"/>
              <w:right w:val="single" w:sz="4" w:space="0" w:color="auto"/>
            </w:tcBorders>
            <w:shd w:val="clear" w:color="auto" w:fill="C6EFCE"/>
            <w:noWrap/>
          </w:tcPr>
          <w:p w14:paraId="6740F6A9" w14:textId="3F765D5C" w:rsidR="002D49B0" w:rsidRPr="00083739" w:rsidRDefault="00BF4125">
            <w:pPr>
              <w:pStyle w:val="P68B1DB1-Normal8"/>
              <w:keepNext/>
              <w:spacing w:before="40" w:after="0" w:line="259" w:lineRule="auto"/>
              <w:jc w:val="both"/>
              <w:rPr>
                <w:rFonts w:eastAsia="Times New Roman" w:cs="Times New Roman"/>
                <w:noProof/>
                <w:szCs w:val="18"/>
                <w:lang w:val="sk-SK"/>
              </w:rPr>
            </w:pPr>
            <w:r w:rsidRPr="00083739">
              <w:rPr>
                <w:rFonts w:cs="Times New Roman"/>
                <w:noProof/>
                <w:lang w:val="sk-SK"/>
              </w:rPr>
              <w:t>Katastrálne mapovanie – 95</w:t>
            </w:r>
            <w:r w:rsidR="00083739" w:rsidRPr="00083739">
              <w:rPr>
                <w:rFonts w:cs="Times New Roman"/>
                <w:noProof/>
                <w:lang w:val="sk-SK"/>
              </w:rPr>
              <w:t> %</w:t>
            </w:r>
            <w:r w:rsidRPr="00083739">
              <w:rPr>
                <w:rFonts w:cs="Times New Roman"/>
                <w:noProof/>
                <w:lang w:val="sk-SK"/>
              </w:rPr>
              <w:t xml:space="preserve"> dokončenie</w:t>
            </w:r>
          </w:p>
        </w:tc>
      </w:tr>
      <w:tr w:rsidR="002D49B0" w:rsidRPr="00083739" w14:paraId="46646231" w14:textId="77777777">
        <w:trPr>
          <w:trHeight w:val="302"/>
        </w:trPr>
        <w:tc>
          <w:tcPr>
            <w:tcW w:w="1795" w:type="dxa"/>
            <w:tcBorders>
              <w:top w:val="single" w:sz="4" w:space="0" w:color="auto"/>
              <w:left w:val="single" w:sz="4" w:space="0" w:color="auto"/>
              <w:bottom w:val="single" w:sz="4" w:space="0" w:color="auto"/>
              <w:right w:val="single" w:sz="4" w:space="0" w:color="auto"/>
            </w:tcBorders>
            <w:shd w:val="clear" w:color="auto" w:fill="C6EFCE"/>
            <w:noWrap/>
          </w:tcPr>
          <w:p w14:paraId="36F04F90" w14:textId="77777777" w:rsidR="002D49B0" w:rsidRPr="00083739" w:rsidRDefault="00BF4125">
            <w:pPr>
              <w:pStyle w:val="P68B1DB1-Normal8"/>
              <w:keepNext/>
              <w:spacing w:before="40" w:after="0" w:line="259" w:lineRule="auto"/>
              <w:jc w:val="both"/>
              <w:rPr>
                <w:rFonts w:eastAsia="Times New Roman" w:cs="Times New Roman"/>
                <w:bCs/>
                <w:noProof/>
                <w:szCs w:val="18"/>
                <w:lang w:val="sk-SK"/>
              </w:rPr>
            </w:pPr>
            <w:r w:rsidRPr="00083739">
              <w:rPr>
                <w:rFonts w:cs="Times New Roman"/>
                <w:noProof/>
                <w:lang w:val="sk-SK"/>
              </w:rPr>
              <w:t>343</w:t>
            </w:r>
          </w:p>
        </w:tc>
        <w:tc>
          <w:tcPr>
            <w:tcW w:w="4320" w:type="dxa"/>
            <w:tcBorders>
              <w:top w:val="single" w:sz="4" w:space="0" w:color="auto"/>
              <w:left w:val="nil"/>
              <w:bottom w:val="single" w:sz="4" w:space="0" w:color="auto"/>
              <w:right w:val="single" w:sz="4" w:space="0" w:color="auto"/>
            </w:tcBorders>
            <w:shd w:val="clear" w:color="auto" w:fill="C6EFCE"/>
            <w:noWrap/>
          </w:tcPr>
          <w:p w14:paraId="3C2906DA" w14:textId="253D46E5" w:rsidR="002D49B0" w:rsidRPr="00083739" w:rsidRDefault="00BF4125">
            <w:pPr>
              <w:pStyle w:val="P68B1DB1-Normal8"/>
              <w:keepNext/>
              <w:spacing w:before="40" w:after="0" w:line="259" w:lineRule="auto"/>
              <w:jc w:val="both"/>
              <w:rPr>
                <w:rFonts w:eastAsia="Times New Roman" w:cs="Times New Roman"/>
                <w:bCs/>
                <w:noProof/>
                <w:szCs w:val="18"/>
                <w:lang w:val="sk-SK"/>
              </w:rPr>
            </w:pPr>
            <w:r w:rsidRPr="00083739">
              <w:rPr>
                <w:rFonts w:cs="Times New Roman"/>
                <w:noProof/>
                <w:lang w:val="sk-SK"/>
              </w:rPr>
              <w:t>13 – 4.2. Modernizácia verejnej správy,</w:t>
            </w:r>
            <w:r w:rsidR="00083739" w:rsidRPr="00083739">
              <w:rPr>
                <w:rFonts w:cs="Times New Roman"/>
                <w:noProof/>
                <w:lang w:val="sk-SK"/>
              </w:rPr>
              <w:t xml:space="preserve"> a </w:t>
            </w:r>
            <w:r w:rsidRPr="00083739">
              <w:rPr>
                <w:rFonts w:cs="Times New Roman"/>
                <w:noProof/>
                <w:lang w:val="sk-SK"/>
              </w:rPr>
              <w:t>to aj urýchlením re</w:t>
            </w:r>
            <w:r w:rsidRPr="00083739">
              <w:rPr>
                <w:rFonts w:cs="Times New Roman"/>
                <w:noProof/>
                <w:lang w:val="sk-SK"/>
              </w:rPr>
              <w:t>alizácie verejných investícií, zlepšením rámca verejného obstarávania, opatreniami na budovanie kapacít</w:t>
            </w:r>
            <w:r w:rsidR="00083739" w:rsidRPr="00083739">
              <w:rPr>
                <w:rFonts w:cs="Times New Roman"/>
                <w:noProof/>
                <w:lang w:val="sk-SK"/>
              </w:rPr>
              <w:t xml:space="preserve"> a </w:t>
            </w:r>
            <w:r w:rsidRPr="00083739">
              <w:rPr>
                <w:rFonts w:cs="Times New Roman"/>
                <w:noProof/>
                <w:lang w:val="sk-SK"/>
              </w:rPr>
              <w:t>bojom proti korupcii – 16986_Dokončenie národného katastra</w:t>
            </w:r>
          </w:p>
        </w:tc>
        <w:tc>
          <w:tcPr>
            <w:tcW w:w="1680" w:type="dxa"/>
            <w:tcBorders>
              <w:top w:val="single" w:sz="4" w:space="0" w:color="auto"/>
              <w:left w:val="nil"/>
              <w:bottom w:val="single" w:sz="4" w:space="0" w:color="auto"/>
              <w:right w:val="single" w:sz="4" w:space="0" w:color="auto"/>
            </w:tcBorders>
            <w:shd w:val="clear" w:color="auto" w:fill="C6EFCE"/>
            <w:noWrap/>
          </w:tcPr>
          <w:p w14:paraId="0CF8B43D" w14:textId="77777777" w:rsidR="002D49B0" w:rsidRPr="00083739" w:rsidRDefault="00BF4125">
            <w:pPr>
              <w:pStyle w:val="P68B1DB1-Normal8"/>
              <w:keepNext/>
              <w:spacing w:before="40" w:after="0" w:line="259" w:lineRule="auto"/>
              <w:jc w:val="both"/>
              <w:rPr>
                <w:rFonts w:eastAsia="Times New Roman" w:cs="Times New Roman"/>
                <w:bCs/>
                <w:noProof/>
                <w:szCs w:val="18"/>
                <w:lang w:val="sk-SK"/>
              </w:rPr>
            </w:pPr>
            <w:r w:rsidRPr="00083739">
              <w:rPr>
                <w:rFonts w:cs="Times New Roman"/>
                <w:noProof/>
                <w:lang w:val="sk-SK"/>
              </w:rPr>
              <w:t>Míľnik</w:t>
            </w:r>
          </w:p>
        </w:tc>
        <w:tc>
          <w:tcPr>
            <w:tcW w:w="1800" w:type="dxa"/>
            <w:tcBorders>
              <w:top w:val="single" w:sz="4" w:space="0" w:color="auto"/>
              <w:left w:val="nil"/>
              <w:bottom w:val="single" w:sz="4" w:space="0" w:color="auto"/>
              <w:right w:val="single" w:sz="4" w:space="0" w:color="auto"/>
            </w:tcBorders>
            <w:shd w:val="clear" w:color="auto" w:fill="C6EFCE"/>
            <w:noWrap/>
          </w:tcPr>
          <w:p w14:paraId="3C272FDF" w14:textId="021C71FB" w:rsidR="002D49B0" w:rsidRPr="00083739" w:rsidRDefault="00BF4125">
            <w:pPr>
              <w:pStyle w:val="P68B1DB1-Normal8"/>
              <w:keepNext/>
              <w:spacing w:before="40" w:after="0" w:line="259" w:lineRule="auto"/>
              <w:jc w:val="both"/>
              <w:rPr>
                <w:rFonts w:eastAsia="Times New Roman" w:cs="Times New Roman"/>
                <w:bCs/>
                <w:noProof/>
                <w:szCs w:val="18"/>
                <w:lang w:val="sk-SK"/>
              </w:rPr>
            </w:pPr>
            <w:r w:rsidRPr="00083739">
              <w:rPr>
                <w:rFonts w:cs="Times New Roman"/>
                <w:noProof/>
                <w:lang w:val="sk-SK"/>
              </w:rPr>
              <w:t>Prechod na novú organizačnú štruktúru gréckeho katastra – úplné dokončenie</w:t>
            </w:r>
          </w:p>
        </w:tc>
      </w:tr>
      <w:tr w:rsidR="002D49B0" w:rsidRPr="00083739" w14:paraId="1F888083" w14:textId="77777777">
        <w:trPr>
          <w:trHeight w:val="302"/>
        </w:trPr>
        <w:tc>
          <w:tcPr>
            <w:tcW w:w="1795" w:type="dxa"/>
            <w:tcBorders>
              <w:top w:val="single" w:sz="4" w:space="0" w:color="auto"/>
              <w:left w:val="single" w:sz="4" w:space="0" w:color="auto"/>
              <w:bottom w:val="single" w:sz="4" w:space="0" w:color="auto"/>
              <w:right w:val="single" w:sz="4" w:space="0" w:color="auto"/>
            </w:tcBorders>
            <w:shd w:val="clear" w:color="auto" w:fill="C6EFCE"/>
            <w:noWrap/>
          </w:tcPr>
          <w:p w14:paraId="1F55D38C" w14:textId="77777777" w:rsidR="002D49B0" w:rsidRPr="00083739" w:rsidRDefault="00BF4125">
            <w:pPr>
              <w:pStyle w:val="P68B1DB1-Normal8"/>
              <w:keepNext/>
              <w:spacing w:before="40" w:after="0" w:line="259" w:lineRule="auto"/>
              <w:jc w:val="both"/>
              <w:rPr>
                <w:rFonts w:eastAsia="Times New Roman" w:cs="Times New Roman"/>
                <w:bCs/>
                <w:noProof/>
                <w:szCs w:val="18"/>
                <w:lang w:val="sk-SK"/>
              </w:rPr>
            </w:pPr>
            <w:r w:rsidRPr="00083739">
              <w:rPr>
                <w:rFonts w:cs="Times New Roman"/>
                <w:noProof/>
                <w:lang w:val="sk-SK"/>
              </w:rPr>
              <w:t>351</w:t>
            </w:r>
          </w:p>
        </w:tc>
        <w:tc>
          <w:tcPr>
            <w:tcW w:w="4320" w:type="dxa"/>
            <w:tcBorders>
              <w:top w:val="single" w:sz="4" w:space="0" w:color="auto"/>
              <w:left w:val="nil"/>
              <w:bottom w:val="single" w:sz="4" w:space="0" w:color="auto"/>
              <w:right w:val="single" w:sz="4" w:space="0" w:color="auto"/>
            </w:tcBorders>
            <w:shd w:val="clear" w:color="auto" w:fill="C6EFCE"/>
            <w:noWrap/>
          </w:tcPr>
          <w:p w14:paraId="3AA176AE" w14:textId="2B4C0865" w:rsidR="002D49B0" w:rsidRPr="00083739" w:rsidRDefault="00BF4125">
            <w:pPr>
              <w:pStyle w:val="P68B1DB1-Normal8"/>
              <w:keepNext/>
              <w:spacing w:before="40" w:after="0" w:line="259" w:lineRule="auto"/>
              <w:jc w:val="both"/>
              <w:rPr>
                <w:rFonts w:eastAsia="Times New Roman" w:cs="Times New Roman"/>
                <w:bCs/>
                <w:noProof/>
                <w:szCs w:val="18"/>
                <w:lang w:val="sk-SK"/>
              </w:rPr>
            </w:pPr>
            <w:r w:rsidRPr="00083739">
              <w:rPr>
                <w:rFonts w:cs="Times New Roman"/>
                <w:noProof/>
                <w:lang w:val="sk-SK"/>
              </w:rPr>
              <w:t>20 –</w:t>
            </w:r>
            <w:r w:rsidRPr="00083739">
              <w:rPr>
                <w:rFonts w:cs="Times New Roman"/>
                <w:noProof/>
                <w:lang w:val="sk-SK"/>
              </w:rPr>
              <w:t xml:space="preserve"> 5.1. Reformy REPowerEU – 16987_Licenčný rámec pre obnoviteľný vodík</w:t>
            </w:r>
            <w:r w:rsidR="00083739" w:rsidRPr="00083739">
              <w:rPr>
                <w:rFonts w:cs="Times New Roman"/>
                <w:noProof/>
                <w:lang w:val="sk-SK"/>
              </w:rPr>
              <w:t xml:space="preserve"> a </w:t>
            </w:r>
            <w:r w:rsidRPr="00083739">
              <w:rPr>
                <w:rFonts w:cs="Times New Roman"/>
                <w:noProof/>
                <w:lang w:val="sk-SK"/>
              </w:rPr>
              <w:t>udržateľný biometán</w:t>
            </w:r>
          </w:p>
        </w:tc>
        <w:tc>
          <w:tcPr>
            <w:tcW w:w="1680" w:type="dxa"/>
            <w:tcBorders>
              <w:top w:val="single" w:sz="4" w:space="0" w:color="auto"/>
              <w:left w:val="nil"/>
              <w:bottom w:val="single" w:sz="4" w:space="0" w:color="auto"/>
              <w:right w:val="single" w:sz="4" w:space="0" w:color="auto"/>
            </w:tcBorders>
            <w:shd w:val="clear" w:color="auto" w:fill="C6EFCE"/>
            <w:noWrap/>
          </w:tcPr>
          <w:p w14:paraId="5F52BC5D" w14:textId="77777777" w:rsidR="002D49B0" w:rsidRPr="00083739" w:rsidRDefault="00BF4125">
            <w:pPr>
              <w:pStyle w:val="P68B1DB1-Normal8"/>
              <w:keepNext/>
              <w:spacing w:before="40" w:after="0" w:line="259"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single" w:sz="4" w:space="0" w:color="auto"/>
              <w:left w:val="nil"/>
              <w:bottom w:val="single" w:sz="4" w:space="0" w:color="auto"/>
              <w:right w:val="single" w:sz="4" w:space="0" w:color="auto"/>
            </w:tcBorders>
            <w:shd w:val="clear" w:color="auto" w:fill="C6EFCE"/>
            <w:noWrap/>
          </w:tcPr>
          <w:p w14:paraId="04111CBF" w14:textId="33960F5B" w:rsidR="002D49B0" w:rsidRPr="00083739" w:rsidRDefault="00BF4125">
            <w:pPr>
              <w:pStyle w:val="P68B1DB1-Normal8"/>
              <w:keepNext/>
              <w:spacing w:before="40" w:after="0" w:line="259" w:lineRule="auto"/>
              <w:jc w:val="both"/>
              <w:rPr>
                <w:rFonts w:eastAsia="Times New Roman" w:cs="Times New Roman"/>
                <w:noProof/>
                <w:szCs w:val="18"/>
                <w:lang w:val="sk-SK"/>
              </w:rPr>
            </w:pPr>
            <w:r w:rsidRPr="00083739">
              <w:rPr>
                <w:rFonts w:cs="Times New Roman"/>
                <w:noProof/>
                <w:lang w:val="sk-SK"/>
              </w:rPr>
              <w:t>Legislatívny rámec pre obnoviteľný vodík</w:t>
            </w:r>
            <w:r w:rsidR="00083739" w:rsidRPr="00083739">
              <w:rPr>
                <w:rFonts w:cs="Times New Roman"/>
                <w:noProof/>
                <w:lang w:val="sk-SK"/>
              </w:rPr>
              <w:t xml:space="preserve"> a </w:t>
            </w:r>
            <w:r w:rsidRPr="00083739">
              <w:rPr>
                <w:rFonts w:cs="Times New Roman"/>
                <w:noProof/>
                <w:lang w:val="sk-SK"/>
              </w:rPr>
              <w:t>udržateľný biometán</w:t>
            </w:r>
          </w:p>
        </w:tc>
      </w:tr>
      <w:tr w:rsidR="002D49B0" w:rsidRPr="00083739" w14:paraId="27D13ACF" w14:textId="77777777">
        <w:trPr>
          <w:trHeight w:val="302"/>
        </w:trPr>
        <w:tc>
          <w:tcPr>
            <w:tcW w:w="1795" w:type="dxa"/>
            <w:tcBorders>
              <w:top w:val="single" w:sz="4" w:space="0" w:color="auto"/>
              <w:left w:val="single" w:sz="4" w:space="0" w:color="auto"/>
              <w:bottom w:val="single" w:sz="4" w:space="0" w:color="auto"/>
              <w:right w:val="single" w:sz="4" w:space="0" w:color="auto"/>
            </w:tcBorders>
            <w:shd w:val="clear" w:color="auto" w:fill="C6EFCE"/>
            <w:noWrap/>
          </w:tcPr>
          <w:p w14:paraId="66663D46" w14:textId="77777777" w:rsidR="002D49B0" w:rsidRPr="00083739" w:rsidRDefault="00BF4125">
            <w:pPr>
              <w:pStyle w:val="P68B1DB1-Normal8"/>
              <w:keepNext/>
              <w:spacing w:before="40" w:after="0" w:line="259" w:lineRule="auto"/>
              <w:jc w:val="both"/>
              <w:rPr>
                <w:rFonts w:cs="Times New Roman"/>
                <w:noProof/>
                <w:lang w:val="sk-SK"/>
              </w:rPr>
            </w:pPr>
            <w:r w:rsidRPr="00083739">
              <w:rPr>
                <w:rFonts w:cs="Times New Roman"/>
                <w:noProof/>
                <w:lang w:val="sk-SK"/>
              </w:rPr>
              <w:t>356</w:t>
            </w:r>
          </w:p>
        </w:tc>
        <w:tc>
          <w:tcPr>
            <w:tcW w:w="4320" w:type="dxa"/>
            <w:tcBorders>
              <w:top w:val="single" w:sz="4" w:space="0" w:color="auto"/>
              <w:left w:val="nil"/>
              <w:bottom w:val="single" w:sz="4" w:space="0" w:color="auto"/>
              <w:right w:val="single" w:sz="4" w:space="0" w:color="auto"/>
            </w:tcBorders>
            <w:shd w:val="clear" w:color="auto" w:fill="C6EFCE"/>
            <w:noWrap/>
          </w:tcPr>
          <w:p w14:paraId="7B498906" w14:textId="5C51E547" w:rsidR="002D49B0" w:rsidRPr="00083739" w:rsidRDefault="00BF4125">
            <w:pPr>
              <w:pStyle w:val="P68B1DB1-Normal8"/>
              <w:keepNext/>
              <w:spacing w:before="40" w:after="0" w:line="259" w:lineRule="auto"/>
              <w:jc w:val="both"/>
              <w:rPr>
                <w:rFonts w:cs="Times New Roman"/>
                <w:noProof/>
                <w:lang w:val="sk-SK"/>
              </w:rPr>
            </w:pPr>
            <w:r w:rsidRPr="00083739">
              <w:rPr>
                <w:rFonts w:cs="Times New Roman"/>
                <w:noProof/>
                <w:lang w:val="sk-SK"/>
              </w:rPr>
              <w:t>20 – 5.1. Reformy REPowerEU – 16990_Zvýšenie kapacity sústavy</w:t>
            </w:r>
            <w:r w:rsidR="00083739" w:rsidRPr="00083739">
              <w:rPr>
                <w:rFonts w:cs="Times New Roman"/>
                <w:noProof/>
                <w:lang w:val="sk-SK"/>
              </w:rPr>
              <w:t xml:space="preserve"> a </w:t>
            </w:r>
            <w:r w:rsidRPr="00083739">
              <w:rPr>
                <w:rFonts w:cs="Times New Roman"/>
                <w:noProof/>
                <w:lang w:val="sk-SK"/>
              </w:rPr>
              <w:t xml:space="preserve">uskladňovacej kapacity – </w:t>
            </w:r>
            <w:r w:rsidRPr="00083739">
              <w:rPr>
                <w:rFonts w:cs="Times New Roman"/>
                <w:noProof/>
                <w:lang w:val="sk-SK"/>
              </w:rPr>
              <w:t xml:space="preserve">podpora investícií do uskladňovania </w:t>
            </w:r>
          </w:p>
        </w:tc>
        <w:tc>
          <w:tcPr>
            <w:tcW w:w="1680" w:type="dxa"/>
            <w:tcBorders>
              <w:top w:val="single" w:sz="4" w:space="0" w:color="auto"/>
              <w:left w:val="nil"/>
              <w:bottom w:val="single" w:sz="4" w:space="0" w:color="auto"/>
              <w:right w:val="single" w:sz="4" w:space="0" w:color="auto"/>
            </w:tcBorders>
            <w:shd w:val="clear" w:color="auto" w:fill="C6EFCE"/>
            <w:noWrap/>
          </w:tcPr>
          <w:p w14:paraId="4F1A9D98" w14:textId="77777777" w:rsidR="002D49B0" w:rsidRPr="00083739" w:rsidRDefault="00BF4125">
            <w:pPr>
              <w:pStyle w:val="P68B1DB1-Normal8"/>
              <w:keepNext/>
              <w:spacing w:before="40" w:after="0" w:line="259" w:lineRule="auto"/>
              <w:jc w:val="both"/>
              <w:rPr>
                <w:rFonts w:cs="Times New Roman"/>
                <w:noProof/>
                <w:lang w:val="sk-SK"/>
              </w:rPr>
            </w:pPr>
            <w:r w:rsidRPr="00083739">
              <w:rPr>
                <w:rFonts w:cs="Times New Roman"/>
                <w:noProof/>
                <w:lang w:val="sk-SK"/>
              </w:rPr>
              <w:t>Míľnik</w:t>
            </w:r>
          </w:p>
        </w:tc>
        <w:tc>
          <w:tcPr>
            <w:tcW w:w="1800" w:type="dxa"/>
            <w:tcBorders>
              <w:top w:val="single" w:sz="4" w:space="0" w:color="auto"/>
              <w:left w:val="nil"/>
              <w:bottom w:val="single" w:sz="4" w:space="0" w:color="auto"/>
              <w:right w:val="single" w:sz="4" w:space="0" w:color="auto"/>
            </w:tcBorders>
            <w:shd w:val="clear" w:color="auto" w:fill="C6EFCE"/>
            <w:noWrap/>
          </w:tcPr>
          <w:p w14:paraId="4B1CB825" w14:textId="77777777" w:rsidR="002D49B0" w:rsidRPr="00083739" w:rsidRDefault="00BF4125">
            <w:pPr>
              <w:pStyle w:val="P68B1DB1-Normal8"/>
              <w:keepNext/>
              <w:spacing w:before="40" w:after="0" w:line="259" w:lineRule="auto"/>
              <w:jc w:val="both"/>
              <w:rPr>
                <w:rFonts w:cs="Times New Roman"/>
                <w:noProof/>
                <w:lang w:val="sk-SK"/>
              </w:rPr>
            </w:pPr>
            <w:r w:rsidRPr="00083739">
              <w:rPr>
                <w:rFonts w:cs="Times New Roman"/>
                <w:noProof/>
                <w:lang w:val="sk-SK"/>
              </w:rPr>
              <w:t>Nadobudnutie účinnosti legislatívneho rámca</w:t>
            </w:r>
          </w:p>
        </w:tc>
      </w:tr>
      <w:tr w:rsidR="002D49B0" w:rsidRPr="00083739" w14:paraId="7CD6D09E" w14:textId="77777777">
        <w:trPr>
          <w:trHeight w:val="302"/>
        </w:trPr>
        <w:tc>
          <w:tcPr>
            <w:tcW w:w="1795" w:type="dxa"/>
            <w:tcBorders>
              <w:top w:val="single" w:sz="4" w:space="0" w:color="auto"/>
              <w:left w:val="single" w:sz="4" w:space="0" w:color="auto"/>
              <w:bottom w:val="single" w:sz="4" w:space="0" w:color="auto"/>
              <w:right w:val="single" w:sz="4" w:space="0" w:color="auto"/>
            </w:tcBorders>
            <w:shd w:val="clear" w:color="auto" w:fill="C6EFCE"/>
            <w:noWrap/>
          </w:tcPr>
          <w:p w14:paraId="20C9E919" w14:textId="77777777" w:rsidR="002D49B0" w:rsidRPr="00083739" w:rsidRDefault="00BF4125">
            <w:pPr>
              <w:pStyle w:val="P68B1DB1-Normal8"/>
              <w:keepNext/>
              <w:spacing w:before="40" w:after="0" w:line="259" w:lineRule="auto"/>
              <w:jc w:val="both"/>
              <w:rPr>
                <w:rFonts w:cs="Times New Roman"/>
                <w:noProof/>
                <w:lang w:val="sk-SK"/>
              </w:rPr>
            </w:pPr>
            <w:r w:rsidRPr="00083739">
              <w:rPr>
                <w:rFonts w:cs="Times New Roman"/>
                <w:noProof/>
                <w:lang w:val="sk-SK"/>
              </w:rPr>
              <w:t>358</w:t>
            </w:r>
          </w:p>
        </w:tc>
        <w:tc>
          <w:tcPr>
            <w:tcW w:w="4320" w:type="dxa"/>
            <w:tcBorders>
              <w:top w:val="single" w:sz="4" w:space="0" w:color="auto"/>
              <w:left w:val="nil"/>
              <w:bottom w:val="single" w:sz="4" w:space="0" w:color="auto"/>
              <w:right w:val="single" w:sz="4" w:space="0" w:color="auto"/>
            </w:tcBorders>
            <w:shd w:val="clear" w:color="auto" w:fill="C6EFCE"/>
            <w:noWrap/>
          </w:tcPr>
          <w:p w14:paraId="7D002C03" w14:textId="64833AE9" w:rsidR="002D49B0" w:rsidRPr="00083739" w:rsidRDefault="00BF4125">
            <w:pPr>
              <w:pStyle w:val="P68B1DB1-Normal8"/>
              <w:keepNext/>
              <w:spacing w:before="40" w:after="0" w:line="259" w:lineRule="auto"/>
              <w:jc w:val="both"/>
              <w:rPr>
                <w:rFonts w:cs="Times New Roman"/>
                <w:noProof/>
                <w:lang w:val="sk-SK"/>
              </w:rPr>
            </w:pPr>
            <w:r w:rsidRPr="00083739">
              <w:rPr>
                <w:rFonts w:cs="Times New Roman"/>
                <w:noProof/>
                <w:lang w:val="sk-SK"/>
              </w:rPr>
              <w:t>20 – 5.1. Reformy REPowerEU – 16991_Regulačný rámec smerom</w:t>
            </w:r>
            <w:r w:rsidR="00083739" w:rsidRPr="00083739">
              <w:rPr>
                <w:rFonts w:cs="Times New Roman"/>
                <w:noProof/>
                <w:lang w:val="sk-SK"/>
              </w:rPr>
              <w:t xml:space="preserve"> k </w:t>
            </w:r>
            <w:r w:rsidRPr="00083739">
              <w:rPr>
                <w:rFonts w:cs="Times New Roman"/>
                <w:noProof/>
                <w:lang w:val="sk-SK"/>
              </w:rPr>
              <w:t>inteligentnej sieti</w:t>
            </w:r>
          </w:p>
        </w:tc>
        <w:tc>
          <w:tcPr>
            <w:tcW w:w="1680" w:type="dxa"/>
            <w:tcBorders>
              <w:top w:val="single" w:sz="4" w:space="0" w:color="auto"/>
              <w:left w:val="nil"/>
              <w:bottom w:val="single" w:sz="4" w:space="0" w:color="auto"/>
              <w:right w:val="single" w:sz="4" w:space="0" w:color="auto"/>
            </w:tcBorders>
            <w:shd w:val="clear" w:color="auto" w:fill="C6EFCE"/>
            <w:noWrap/>
          </w:tcPr>
          <w:p w14:paraId="0AA55752" w14:textId="77777777" w:rsidR="002D49B0" w:rsidRPr="00083739" w:rsidRDefault="00BF4125">
            <w:pPr>
              <w:pStyle w:val="P68B1DB1-Normal8"/>
              <w:keepNext/>
              <w:spacing w:before="40" w:after="0" w:line="259" w:lineRule="auto"/>
              <w:jc w:val="both"/>
              <w:rPr>
                <w:rFonts w:cs="Times New Roman"/>
                <w:noProof/>
                <w:lang w:val="sk-SK"/>
              </w:rPr>
            </w:pPr>
            <w:r w:rsidRPr="00083739">
              <w:rPr>
                <w:rFonts w:cs="Times New Roman"/>
                <w:noProof/>
                <w:lang w:val="sk-SK"/>
              </w:rPr>
              <w:t>Míľnik</w:t>
            </w:r>
          </w:p>
        </w:tc>
        <w:tc>
          <w:tcPr>
            <w:tcW w:w="1800" w:type="dxa"/>
            <w:tcBorders>
              <w:top w:val="single" w:sz="4" w:space="0" w:color="auto"/>
              <w:left w:val="nil"/>
              <w:bottom w:val="single" w:sz="4" w:space="0" w:color="auto"/>
              <w:right w:val="single" w:sz="4" w:space="0" w:color="auto"/>
            </w:tcBorders>
            <w:shd w:val="clear" w:color="auto" w:fill="C6EFCE"/>
            <w:noWrap/>
          </w:tcPr>
          <w:p w14:paraId="04138B62" w14:textId="27CFA97C" w:rsidR="002D49B0" w:rsidRPr="00083739" w:rsidRDefault="00BF4125">
            <w:pPr>
              <w:pStyle w:val="P68B1DB1-Normal8"/>
              <w:keepNext/>
              <w:spacing w:before="40" w:after="0" w:line="259" w:lineRule="auto"/>
              <w:jc w:val="both"/>
              <w:rPr>
                <w:rFonts w:cs="Times New Roman"/>
                <w:noProof/>
                <w:lang w:val="sk-SK"/>
              </w:rPr>
            </w:pPr>
            <w:r w:rsidRPr="00083739">
              <w:rPr>
                <w:rFonts w:cs="Times New Roman"/>
                <w:noProof/>
                <w:lang w:val="sk-SK"/>
              </w:rPr>
              <w:t xml:space="preserve">Rozvoj systému založeného na stimuloch pre prevádzkovateľa distribučnej </w:t>
            </w:r>
            <w:r w:rsidRPr="00083739">
              <w:rPr>
                <w:rFonts w:cs="Times New Roman"/>
                <w:noProof/>
                <w:lang w:val="sk-SK"/>
              </w:rPr>
              <w:t>sústavy</w:t>
            </w:r>
            <w:r w:rsidR="00083739" w:rsidRPr="00083739">
              <w:rPr>
                <w:rFonts w:cs="Times New Roman"/>
                <w:noProof/>
                <w:lang w:val="sk-SK"/>
              </w:rPr>
              <w:t xml:space="preserve"> a </w:t>
            </w:r>
            <w:r w:rsidRPr="00083739">
              <w:rPr>
                <w:rFonts w:cs="Times New Roman"/>
                <w:noProof/>
                <w:lang w:val="sk-SK"/>
              </w:rPr>
              <w:t>spotrebiteľov</w:t>
            </w:r>
            <w:r w:rsidR="00083739" w:rsidRPr="00083739">
              <w:rPr>
                <w:rFonts w:cs="Times New Roman"/>
                <w:noProof/>
                <w:lang w:val="sk-SK"/>
              </w:rPr>
              <w:t xml:space="preserve"> s </w:t>
            </w:r>
            <w:r w:rsidRPr="00083739">
              <w:rPr>
                <w:rFonts w:cs="Times New Roman"/>
                <w:noProof/>
                <w:lang w:val="sk-SK"/>
              </w:rPr>
              <w:t>cieľom zvýšiť zavádzanie</w:t>
            </w:r>
            <w:r w:rsidR="00083739" w:rsidRPr="00083739">
              <w:rPr>
                <w:rFonts w:cs="Times New Roman"/>
                <w:noProof/>
                <w:lang w:val="sk-SK"/>
              </w:rPr>
              <w:t xml:space="preserve"> a </w:t>
            </w:r>
            <w:r w:rsidRPr="00083739">
              <w:rPr>
                <w:rFonts w:cs="Times New Roman"/>
                <w:noProof/>
                <w:lang w:val="sk-SK"/>
              </w:rPr>
              <w:t>využívanie inteligentných meračov.</w:t>
            </w:r>
          </w:p>
        </w:tc>
      </w:tr>
      <w:tr w:rsidR="002D49B0" w:rsidRPr="00083739" w14:paraId="1A235C9A" w14:textId="77777777">
        <w:trPr>
          <w:trHeight w:val="302"/>
        </w:trPr>
        <w:tc>
          <w:tcPr>
            <w:tcW w:w="1795" w:type="dxa"/>
            <w:tcBorders>
              <w:top w:val="single" w:sz="4" w:space="0" w:color="auto"/>
              <w:left w:val="single" w:sz="4" w:space="0" w:color="auto"/>
              <w:bottom w:val="single" w:sz="4" w:space="0" w:color="auto"/>
              <w:right w:val="single" w:sz="4" w:space="0" w:color="auto"/>
            </w:tcBorders>
            <w:shd w:val="clear" w:color="auto" w:fill="C6EFCE"/>
            <w:noWrap/>
          </w:tcPr>
          <w:p w14:paraId="580E2912" w14:textId="77777777" w:rsidR="002D49B0" w:rsidRPr="00083739" w:rsidRDefault="00BF4125">
            <w:pPr>
              <w:pStyle w:val="P68B1DB1-Normal8"/>
              <w:keepNext/>
              <w:spacing w:before="40" w:after="0" w:line="259" w:lineRule="auto"/>
              <w:jc w:val="both"/>
              <w:rPr>
                <w:rFonts w:eastAsia="Times New Roman" w:cs="Times New Roman"/>
                <w:bCs/>
                <w:noProof/>
                <w:szCs w:val="18"/>
                <w:lang w:val="sk-SK"/>
              </w:rPr>
            </w:pPr>
            <w:r w:rsidRPr="00083739">
              <w:rPr>
                <w:rFonts w:cs="Times New Roman"/>
                <w:noProof/>
                <w:lang w:val="sk-SK"/>
              </w:rPr>
              <w:t>361</w:t>
            </w:r>
          </w:p>
        </w:tc>
        <w:tc>
          <w:tcPr>
            <w:tcW w:w="4320" w:type="dxa"/>
            <w:tcBorders>
              <w:top w:val="single" w:sz="4" w:space="0" w:color="auto"/>
              <w:left w:val="nil"/>
              <w:bottom w:val="single" w:sz="4" w:space="0" w:color="auto"/>
              <w:right w:val="single" w:sz="4" w:space="0" w:color="auto"/>
            </w:tcBorders>
            <w:shd w:val="clear" w:color="auto" w:fill="C6EFCE"/>
            <w:noWrap/>
          </w:tcPr>
          <w:p w14:paraId="324A7221" w14:textId="47658CA8" w:rsidR="002D49B0" w:rsidRPr="00083739" w:rsidRDefault="00BF4125">
            <w:pPr>
              <w:pStyle w:val="P68B1DB1-Normal8"/>
              <w:keepNext/>
              <w:spacing w:before="40" w:after="0" w:line="259" w:lineRule="auto"/>
              <w:jc w:val="both"/>
              <w:rPr>
                <w:rFonts w:eastAsia="Times New Roman" w:cs="Times New Roman"/>
                <w:bCs/>
                <w:noProof/>
                <w:szCs w:val="18"/>
                <w:lang w:val="sk-SK"/>
              </w:rPr>
            </w:pPr>
            <w:r w:rsidRPr="00083739">
              <w:rPr>
                <w:rFonts w:cs="Times New Roman"/>
                <w:noProof/>
                <w:lang w:val="sk-SK"/>
              </w:rPr>
              <w:t>20 – 5. Reformy REPowerEU – 16992_Nástroj na podporu spoločného využívania energie, vlastnej spotreby</w:t>
            </w:r>
            <w:r w:rsidR="00083739" w:rsidRPr="00083739">
              <w:rPr>
                <w:rFonts w:cs="Times New Roman"/>
                <w:noProof/>
                <w:lang w:val="sk-SK"/>
              </w:rPr>
              <w:t xml:space="preserve"> a </w:t>
            </w:r>
            <w:r w:rsidRPr="00083739">
              <w:rPr>
                <w:rFonts w:cs="Times New Roman"/>
                <w:noProof/>
                <w:lang w:val="sk-SK"/>
              </w:rPr>
              <w:t>komunít vyrábajúcich energiu</w:t>
            </w:r>
            <w:r w:rsidR="00083739" w:rsidRPr="00083739">
              <w:rPr>
                <w:rFonts w:cs="Times New Roman"/>
                <w:noProof/>
                <w:lang w:val="sk-SK"/>
              </w:rPr>
              <w:t xml:space="preserve"> z </w:t>
            </w:r>
            <w:r w:rsidRPr="00083739">
              <w:rPr>
                <w:rFonts w:cs="Times New Roman"/>
                <w:noProof/>
                <w:lang w:val="sk-SK"/>
              </w:rPr>
              <w:t>obnoviteľných zdrojov</w:t>
            </w:r>
          </w:p>
        </w:tc>
        <w:tc>
          <w:tcPr>
            <w:tcW w:w="1680" w:type="dxa"/>
            <w:tcBorders>
              <w:top w:val="single" w:sz="4" w:space="0" w:color="auto"/>
              <w:left w:val="nil"/>
              <w:bottom w:val="single" w:sz="4" w:space="0" w:color="auto"/>
              <w:right w:val="single" w:sz="4" w:space="0" w:color="auto"/>
            </w:tcBorders>
            <w:shd w:val="clear" w:color="auto" w:fill="C6EFCE"/>
            <w:noWrap/>
          </w:tcPr>
          <w:p w14:paraId="6D09269D" w14:textId="77777777" w:rsidR="002D49B0" w:rsidRPr="00083739" w:rsidRDefault="00BF4125">
            <w:pPr>
              <w:pStyle w:val="P68B1DB1-Normal8"/>
              <w:keepNext/>
              <w:spacing w:before="40" w:after="0" w:line="259"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single" w:sz="4" w:space="0" w:color="auto"/>
              <w:left w:val="nil"/>
              <w:bottom w:val="single" w:sz="4" w:space="0" w:color="auto"/>
              <w:right w:val="single" w:sz="4" w:space="0" w:color="auto"/>
            </w:tcBorders>
            <w:shd w:val="clear" w:color="auto" w:fill="C6EFCE"/>
            <w:noWrap/>
          </w:tcPr>
          <w:p w14:paraId="131B51F2" w14:textId="09D67563" w:rsidR="002D49B0" w:rsidRPr="00083739" w:rsidRDefault="00BF4125">
            <w:pPr>
              <w:pStyle w:val="P68B1DB1-Normal8"/>
              <w:keepNext/>
              <w:spacing w:before="40" w:after="0" w:line="259" w:lineRule="auto"/>
              <w:jc w:val="both"/>
              <w:rPr>
                <w:rFonts w:eastAsia="Times New Roman" w:cs="Times New Roman"/>
                <w:noProof/>
                <w:szCs w:val="18"/>
                <w:lang w:val="sk-SK"/>
              </w:rPr>
            </w:pPr>
            <w:r w:rsidRPr="00083739">
              <w:rPr>
                <w:rFonts w:cs="Times New Roman"/>
                <w:noProof/>
                <w:lang w:val="sk-SK"/>
              </w:rPr>
              <w:t>Nadobudnutie účinnosti primárnych</w:t>
            </w:r>
            <w:r w:rsidR="00083739" w:rsidRPr="00083739">
              <w:rPr>
                <w:rFonts w:cs="Times New Roman"/>
                <w:noProof/>
                <w:lang w:val="sk-SK"/>
              </w:rPr>
              <w:t xml:space="preserve"> a </w:t>
            </w:r>
            <w:r w:rsidRPr="00083739">
              <w:rPr>
                <w:rFonts w:cs="Times New Roman"/>
                <w:noProof/>
                <w:lang w:val="sk-SK"/>
              </w:rPr>
              <w:t>sekundárnych právnych predpisov</w:t>
            </w:r>
            <w:r w:rsidR="00083739" w:rsidRPr="00083739">
              <w:rPr>
                <w:rFonts w:cs="Times New Roman"/>
                <w:noProof/>
                <w:lang w:val="sk-SK"/>
              </w:rPr>
              <w:t xml:space="preserve"> o </w:t>
            </w:r>
            <w:r w:rsidRPr="00083739">
              <w:rPr>
                <w:rFonts w:cs="Times New Roman"/>
                <w:noProof/>
                <w:lang w:val="sk-SK"/>
              </w:rPr>
              <w:t>vlastnej spotrebe</w:t>
            </w:r>
            <w:r w:rsidR="00083739" w:rsidRPr="00083739">
              <w:rPr>
                <w:rFonts w:cs="Times New Roman"/>
                <w:noProof/>
                <w:lang w:val="sk-SK"/>
              </w:rPr>
              <w:t xml:space="preserve"> a </w:t>
            </w:r>
            <w:r w:rsidRPr="00083739">
              <w:rPr>
                <w:rFonts w:cs="Times New Roman"/>
                <w:noProof/>
                <w:lang w:val="sk-SK"/>
              </w:rPr>
              <w:t>uľahčení povoľovacích postupov na inštaláciu staníc OZE</w:t>
            </w:r>
            <w:r w:rsidR="00083739" w:rsidRPr="00083739">
              <w:rPr>
                <w:rFonts w:cs="Times New Roman"/>
                <w:noProof/>
                <w:lang w:val="sk-SK"/>
              </w:rPr>
              <w:t xml:space="preserve"> v </w:t>
            </w:r>
            <w:r w:rsidRPr="00083739">
              <w:rPr>
                <w:rFonts w:cs="Times New Roman"/>
                <w:noProof/>
                <w:lang w:val="sk-SK"/>
              </w:rPr>
              <w:t>bytových domoch</w:t>
            </w:r>
          </w:p>
        </w:tc>
      </w:tr>
      <w:tr w:rsidR="002D49B0" w:rsidRPr="00083739" w14:paraId="44462750" w14:textId="77777777">
        <w:trPr>
          <w:trHeight w:val="302"/>
        </w:trPr>
        <w:tc>
          <w:tcPr>
            <w:tcW w:w="1795" w:type="dxa"/>
            <w:tcBorders>
              <w:top w:val="single" w:sz="4" w:space="0" w:color="auto"/>
              <w:left w:val="single" w:sz="4" w:space="0" w:color="auto"/>
              <w:bottom w:val="single" w:sz="4" w:space="0" w:color="auto"/>
              <w:right w:val="single" w:sz="4" w:space="0" w:color="auto"/>
            </w:tcBorders>
            <w:shd w:val="clear" w:color="auto" w:fill="C6EFCE"/>
            <w:noWrap/>
          </w:tcPr>
          <w:p w14:paraId="59A42F73" w14:textId="77777777" w:rsidR="002D49B0" w:rsidRPr="00083739" w:rsidRDefault="00BF4125">
            <w:pPr>
              <w:pStyle w:val="P68B1DB1-Normal8"/>
              <w:keepNext/>
              <w:spacing w:before="40" w:after="0" w:line="259" w:lineRule="auto"/>
              <w:jc w:val="both"/>
              <w:rPr>
                <w:rFonts w:eastAsia="Times New Roman" w:cs="Times New Roman"/>
                <w:bCs/>
                <w:noProof/>
                <w:szCs w:val="18"/>
                <w:lang w:val="sk-SK"/>
              </w:rPr>
            </w:pPr>
            <w:r w:rsidRPr="00083739">
              <w:rPr>
                <w:rFonts w:cs="Times New Roman"/>
                <w:noProof/>
                <w:lang w:val="sk-SK"/>
              </w:rPr>
              <w:t>363</w:t>
            </w:r>
          </w:p>
        </w:tc>
        <w:tc>
          <w:tcPr>
            <w:tcW w:w="4320" w:type="dxa"/>
            <w:tcBorders>
              <w:top w:val="single" w:sz="4" w:space="0" w:color="auto"/>
              <w:left w:val="nil"/>
              <w:bottom w:val="single" w:sz="4" w:space="0" w:color="auto"/>
              <w:right w:val="single" w:sz="4" w:space="0" w:color="auto"/>
            </w:tcBorders>
            <w:shd w:val="clear" w:color="auto" w:fill="C6EFCE"/>
            <w:noWrap/>
          </w:tcPr>
          <w:p w14:paraId="0ABD2EC4" w14:textId="65148D41" w:rsidR="002D49B0" w:rsidRPr="00083739" w:rsidRDefault="00BF4125">
            <w:pPr>
              <w:pStyle w:val="P68B1DB1-Normal8"/>
              <w:keepNext/>
              <w:spacing w:before="40" w:after="0" w:line="259" w:lineRule="auto"/>
              <w:jc w:val="both"/>
              <w:rPr>
                <w:rFonts w:eastAsia="Times New Roman" w:cs="Times New Roman"/>
                <w:bCs/>
                <w:noProof/>
                <w:szCs w:val="18"/>
                <w:lang w:val="sk-SK"/>
              </w:rPr>
            </w:pPr>
            <w:r w:rsidRPr="00083739">
              <w:rPr>
                <w:rFonts w:cs="Times New Roman"/>
                <w:noProof/>
                <w:lang w:val="sk-SK"/>
              </w:rPr>
              <w:t>20 – 5. Reformy REPowerEU – 16993_Plán inovačných intervencií</w:t>
            </w:r>
            <w:r w:rsidR="00083739" w:rsidRPr="00083739">
              <w:rPr>
                <w:rFonts w:cs="Times New Roman"/>
                <w:noProof/>
                <w:lang w:val="sk-SK"/>
              </w:rPr>
              <w:t xml:space="preserve"> v </w:t>
            </w:r>
            <w:r w:rsidRPr="00083739">
              <w:rPr>
                <w:rFonts w:cs="Times New Roman"/>
                <w:noProof/>
                <w:lang w:val="sk-SK"/>
              </w:rPr>
              <w:t>oblasti energetickej e</w:t>
            </w:r>
            <w:r w:rsidRPr="00083739">
              <w:rPr>
                <w:rFonts w:cs="Times New Roman"/>
                <w:noProof/>
                <w:lang w:val="sk-SK"/>
              </w:rPr>
              <w:t>fektívnosti</w:t>
            </w:r>
            <w:r w:rsidR="00083739" w:rsidRPr="00083739">
              <w:rPr>
                <w:rFonts w:cs="Times New Roman"/>
                <w:noProof/>
                <w:lang w:val="sk-SK"/>
              </w:rPr>
              <w:t xml:space="preserve"> a </w:t>
            </w:r>
            <w:r w:rsidRPr="00083739">
              <w:rPr>
                <w:rFonts w:cs="Times New Roman"/>
                <w:noProof/>
                <w:lang w:val="sk-SK"/>
              </w:rPr>
              <w:t>identifikácia nových finančných nástrojov</w:t>
            </w:r>
          </w:p>
        </w:tc>
        <w:tc>
          <w:tcPr>
            <w:tcW w:w="1680" w:type="dxa"/>
            <w:tcBorders>
              <w:top w:val="single" w:sz="4" w:space="0" w:color="auto"/>
              <w:left w:val="nil"/>
              <w:bottom w:val="single" w:sz="4" w:space="0" w:color="auto"/>
              <w:right w:val="single" w:sz="4" w:space="0" w:color="auto"/>
            </w:tcBorders>
            <w:shd w:val="clear" w:color="auto" w:fill="C6EFCE"/>
            <w:noWrap/>
          </w:tcPr>
          <w:p w14:paraId="16B7BC78" w14:textId="77777777" w:rsidR="002D49B0" w:rsidRPr="00083739" w:rsidRDefault="00BF4125">
            <w:pPr>
              <w:pStyle w:val="P68B1DB1-Normal8"/>
              <w:keepNext/>
              <w:spacing w:before="40" w:after="0" w:line="259"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single" w:sz="4" w:space="0" w:color="auto"/>
              <w:left w:val="nil"/>
              <w:bottom w:val="single" w:sz="4" w:space="0" w:color="auto"/>
              <w:right w:val="single" w:sz="4" w:space="0" w:color="auto"/>
            </w:tcBorders>
            <w:shd w:val="clear" w:color="auto" w:fill="C6EFCE"/>
            <w:noWrap/>
          </w:tcPr>
          <w:p w14:paraId="21C601F7" w14:textId="09DEB978" w:rsidR="002D49B0" w:rsidRPr="00083739" w:rsidRDefault="00BF4125">
            <w:pPr>
              <w:pStyle w:val="P68B1DB1-Normal8"/>
              <w:keepNext/>
              <w:spacing w:before="40" w:after="0" w:line="259" w:lineRule="auto"/>
              <w:jc w:val="both"/>
              <w:rPr>
                <w:rFonts w:eastAsia="Times New Roman" w:cs="Times New Roman"/>
                <w:noProof/>
                <w:szCs w:val="18"/>
                <w:lang w:val="sk-SK"/>
              </w:rPr>
            </w:pPr>
            <w:r w:rsidRPr="00083739">
              <w:rPr>
                <w:rFonts w:cs="Times New Roman"/>
                <w:noProof/>
                <w:lang w:val="sk-SK"/>
              </w:rPr>
              <w:t>Plán inovačných zásahov</w:t>
            </w:r>
            <w:r w:rsidR="00083739" w:rsidRPr="00083739">
              <w:rPr>
                <w:rFonts w:cs="Times New Roman"/>
                <w:noProof/>
                <w:lang w:val="sk-SK"/>
              </w:rPr>
              <w:t xml:space="preserve"> v </w:t>
            </w:r>
            <w:r w:rsidRPr="00083739">
              <w:rPr>
                <w:rFonts w:cs="Times New Roman"/>
                <w:noProof/>
                <w:lang w:val="sk-SK"/>
              </w:rPr>
              <w:t>oblasti energetickej efektívnosti</w:t>
            </w:r>
            <w:r w:rsidR="00083739" w:rsidRPr="00083739">
              <w:rPr>
                <w:rFonts w:cs="Times New Roman"/>
                <w:noProof/>
                <w:lang w:val="sk-SK"/>
              </w:rPr>
              <w:t xml:space="preserve"> a </w:t>
            </w:r>
            <w:r w:rsidRPr="00083739">
              <w:rPr>
                <w:rFonts w:cs="Times New Roman"/>
                <w:noProof/>
                <w:lang w:val="sk-SK"/>
              </w:rPr>
              <w:t>stanovený právny rámec</w:t>
            </w:r>
          </w:p>
        </w:tc>
      </w:tr>
      <w:tr w:rsidR="002D49B0" w:rsidRPr="00083739" w14:paraId="57F63B36" w14:textId="77777777">
        <w:trPr>
          <w:trHeight w:val="302"/>
        </w:trPr>
        <w:tc>
          <w:tcPr>
            <w:tcW w:w="1795" w:type="dxa"/>
            <w:tcBorders>
              <w:top w:val="single" w:sz="4" w:space="0" w:color="auto"/>
              <w:left w:val="single" w:sz="4" w:space="0" w:color="auto"/>
              <w:bottom w:val="single" w:sz="4" w:space="0" w:color="auto"/>
              <w:right w:val="single" w:sz="4" w:space="0" w:color="auto"/>
            </w:tcBorders>
            <w:shd w:val="clear" w:color="auto" w:fill="C6EFCE"/>
            <w:noWrap/>
          </w:tcPr>
          <w:p w14:paraId="525F05F2" w14:textId="77777777" w:rsidR="002D49B0" w:rsidRPr="00083739" w:rsidRDefault="00BF4125">
            <w:pPr>
              <w:pStyle w:val="P68B1DB1-Normal8"/>
              <w:keepNext/>
              <w:spacing w:before="40" w:after="0" w:line="259" w:lineRule="auto"/>
              <w:jc w:val="both"/>
              <w:rPr>
                <w:rFonts w:eastAsia="Times New Roman" w:cs="Times New Roman"/>
                <w:bCs/>
                <w:noProof/>
                <w:szCs w:val="18"/>
                <w:lang w:val="sk-SK"/>
              </w:rPr>
            </w:pPr>
            <w:r w:rsidRPr="00083739">
              <w:rPr>
                <w:rFonts w:cs="Times New Roman"/>
                <w:noProof/>
                <w:lang w:val="sk-SK"/>
              </w:rPr>
              <w:t>365</w:t>
            </w:r>
          </w:p>
        </w:tc>
        <w:tc>
          <w:tcPr>
            <w:tcW w:w="4320" w:type="dxa"/>
            <w:tcBorders>
              <w:top w:val="single" w:sz="4" w:space="0" w:color="auto"/>
              <w:left w:val="nil"/>
              <w:bottom w:val="single" w:sz="4" w:space="0" w:color="auto"/>
              <w:right w:val="single" w:sz="4" w:space="0" w:color="auto"/>
            </w:tcBorders>
            <w:shd w:val="clear" w:color="auto" w:fill="C6EFCE"/>
            <w:noWrap/>
          </w:tcPr>
          <w:p w14:paraId="2274059C" w14:textId="77777777" w:rsidR="002D49B0" w:rsidRPr="00083739" w:rsidRDefault="00BF4125">
            <w:pPr>
              <w:pStyle w:val="P68B1DB1-Normal8"/>
              <w:keepNext/>
              <w:spacing w:before="40" w:after="0" w:line="259" w:lineRule="auto"/>
              <w:jc w:val="both"/>
              <w:rPr>
                <w:rFonts w:eastAsia="Times New Roman" w:cs="Times New Roman"/>
                <w:bCs/>
                <w:noProof/>
                <w:szCs w:val="18"/>
                <w:lang w:val="sk-SK"/>
              </w:rPr>
            </w:pPr>
            <w:r w:rsidRPr="00083739">
              <w:rPr>
                <w:rFonts w:cs="Times New Roman"/>
                <w:noProof/>
                <w:lang w:val="sk-SK"/>
              </w:rPr>
              <w:t xml:space="preserve">21 – 5.2 Investície REPowerEU – 16996_Inštalácia uskladňovania energie na účely ďalšieho rozšírenia </w:t>
            </w:r>
            <w:r w:rsidRPr="00083739">
              <w:rPr>
                <w:rFonts w:cs="Times New Roman"/>
                <w:noProof/>
                <w:lang w:val="sk-SK"/>
              </w:rPr>
              <w:t>obnoviteľných zdrojov energie</w:t>
            </w:r>
          </w:p>
        </w:tc>
        <w:tc>
          <w:tcPr>
            <w:tcW w:w="1680" w:type="dxa"/>
            <w:tcBorders>
              <w:top w:val="single" w:sz="4" w:space="0" w:color="auto"/>
              <w:left w:val="nil"/>
              <w:bottom w:val="single" w:sz="4" w:space="0" w:color="auto"/>
              <w:right w:val="single" w:sz="4" w:space="0" w:color="auto"/>
            </w:tcBorders>
            <w:shd w:val="clear" w:color="auto" w:fill="C6EFCE"/>
            <w:noWrap/>
          </w:tcPr>
          <w:p w14:paraId="5807EC57" w14:textId="77777777" w:rsidR="002D49B0" w:rsidRPr="00083739" w:rsidRDefault="00BF4125">
            <w:pPr>
              <w:pStyle w:val="P68B1DB1-Normal8"/>
              <w:keepNext/>
              <w:spacing w:before="40" w:after="0" w:line="259" w:lineRule="auto"/>
              <w:jc w:val="both"/>
              <w:rPr>
                <w:rFonts w:eastAsia="Times New Roman" w:cs="Times New Roman"/>
                <w:noProof/>
                <w:szCs w:val="18"/>
                <w:lang w:val="sk-SK"/>
              </w:rPr>
            </w:pPr>
            <w:r w:rsidRPr="00083739">
              <w:rPr>
                <w:rFonts w:cs="Times New Roman"/>
                <w:noProof/>
                <w:lang w:val="sk-SK"/>
              </w:rPr>
              <w:t>Míľnik</w:t>
            </w:r>
          </w:p>
        </w:tc>
        <w:tc>
          <w:tcPr>
            <w:tcW w:w="1800" w:type="dxa"/>
            <w:tcBorders>
              <w:top w:val="single" w:sz="4" w:space="0" w:color="auto"/>
              <w:left w:val="nil"/>
              <w:bottom w:val="single" w:sz="4" w:space="0" w:color="auto"/>
              <w:right w:val="single" w:sz="4" w:space="0" w:color="auto"/>
            </w:tcBorders>
            <w:shd w:val="clear" w:color="auto" w:fill="C6EFCE"/>
            <w:noWrap/>
          </w:tcPr>
          <w:p w14:paraId="4302A810" w14:textId="184D696D" w:rsidR="002D49B0" w:rsidRPr="00083739" w:rsidRDefault="00BF4125">
            <w:pPr>
              <w:pStyle w:val="P68B1DB1-Normal8"/>
              <w:keepNext/>
              <w:spacing w:before="40" w:after="0" w:line="259" w:lineRule="auto"/>
              <w:jc w:val="both"/>
              <w:rPr>
                <w:rFonts w:eastAsia="Times New Roman" w:cs="Times New Roman"/>
                <w:noProof/>
                <w:szCs w:val="18"/>
                <w:lang w:val="sk-SK"/>
              </w:rPr>
            </w:pPr>
            <w:r w:rsidRPr="00083739">
              <w:rPr>
                <w:rFonts w:cs="Times New Roman"/>
                <w:noProof/>
                <w:lang w:val="sk-SK"/>
              </w:rPr>
              <w:t>Schválené projekty uskladňovania energie</w:t>
            </w:r>
          </w:p>
        </w:tc>
      </w:tr>
      <w:tr w:rsidR="002D49B0" w:rsidRPr="00083739" w14:paraId="2A88834C" w14:textId="77777777">
        <w:trPr>
          <w:trHeight w:val="302"/>
        </w:trPr>
        <w:tc>
          <w:tcPr>
            <w:tcW w:w="1795" w:type="dxa"/>
            <w:tcBorders>
              <w:top w:val="single" w:sz="4" w:space="0" w:color="auto"/>
              <w:left w:val="single" w:sz="4" w:space="0" w:color="auto"/>
              <w:bottom w:val="single" w:sz="4" w:space="0" w:color="auto"/>
              <w:right w:val="single" w:sz="4" w:space="0" w:color="auto"/>
            </w:tcBorders>
            <w:shd w:val="clear" w:color="auto" w:fill="C6EFCE"/>
            <w:noWrap/>
          </w:tcPr>
          <w:p w14:paraId="7CCBE320" w14:textId="3D7A0181" w:rsidR="002D49B0" w:rsidRPr="00083739" w:rsidRDefault="00BF4125">
            <w:pPr>
              <w:pStyle w:val="P68B1DB1-Normal8"/>
              <w:keepNext/>
              <w:spacing w:before="40" w:after="0" w:line="259" w:lineRule="auto"/>
              <w:jc w:val="both"/>
              <w:rPr>
                <w:rFonts w:cs="Times New Roman"/>
                <w:noProof/>
                <w:lang w:val="sk-SK"/>
              </w:rPr>
            </w:pPr>
            <w:r w:rsidRPr="00083739">
              <w:rPr>
                <w:rFonts w:cs="Times New Roman"/>
                <w:noProof/>
                <w:lang w:val="sk-SK"/>
              </w:rPr>
              <w:t>370</w:t>
            </w:r>
          </w:p>
        </w:tc>
        <w:tc>
          <w:tcPr>
            <w:tcW w:w="4320" w:type="dxa"/>
            <w:tcBorders>
              <w:top w:val="single" w:sz="4" w:space="0" w:color="auto"/>
              <w:left w:val="nil"/>
              <w:bottom w:val="single" w:sz="4" w:space="0" w:color="auto"/>
              <w:right w:val="single" w:sz="4" w:space="0" w:color="auto"/>
            </w:tcBorders>
            <w:shd w:val="clear" w:color="auto" w:fill="C6EFCE"/>
            <w:noWrap/>
          </w:tcPr>
          <w:p w14:paraId="34D5332B" w14:textId="57FEE367" w:rsidR="002D49B0" w:rsidRPr="00083739" w:rsidRDefault="00BF4125">
            <w:pPr>
              <w:pStyle w:val="P68B1DB1-Normal8"/>
              <w:keepNext/>
              <w:spacing w:before="40" w:after="0" w:line="259" w:lineRule="auto"/>
              <w:jc w:val="both"/>
              <w:rPr>
                <w:rFonts w:cs="Times New Roman"/>
                <w:noProof/>
                <w:lang w:val="sk-SK"/>
              </w:rPr>
            </w:pPr>
            <w:r w:rsidRPr="00083739">
              <w:rPr>
                <w:rFonts w:cs="Times New Roman"/>
                <w:noProof/>
                <w:lang w:val="sk-SK"/>
              </w:rPr>
              <w:t>21 – 5.2 Investície REPowerEU – 16995_Projekt výroby obnoviteľného vodíka</w:t>
            </w:r>
          </w:p>
        </w:tc>
        <w:tc>
          <w:tcPr>
            <w:tcW w:w="1680" w:type="dxa"/>
            <w:tcBorders>
              <w:top w:val="single" w:sz="4" w:space="0" w:color="auto"/>
              <w:left w:val="nil"/>
              <w:bottom w:val="single" w:sz="4" w:space="0" w:color="auto"/>
              <w:right w:val="single" w:sz="4" w:space="0" w:color="auto"/>
            </w:tcBorders>
            <w:shd w:val="clear" w:color="auto" w:fill="C6EFCE"/>
            <w:noWrap/>
          </w:tcPr>
          <w:p w14:paraId="7218CBDD" w14:textId="53738737" w:rsidR="002D49B0" w:rsidRPr="00083739" w:rsidRDefault="00BF4125">
            <w:pPr>
              <w:pStyle w:val="P68B1DB1-Normal8"/>
              <w:keepNext/>
              <w:spacing w:before="40" w:after="0" w:line="259" w:lineRule="auto"/>
              <w:jc w:val="both"/>
              <w:rPr>
                <w:rFonts w:cs="Times New Roman"/>
                <w:noProof/>
                <w:lang w:val="sk-SK"/>
              </w:rPr>
            </w:pPr>
            <w:r w:rsidRPr="00083739">
              <w:rPr>
                <w:rFonts w:cs="Times New Roman"/>
                <w:noProof/>
                <w:lang w:val="sk-SK"/>
              </w:rPr>
              <w:t>Míľnik</w:t>
            </w:r>
          </w:p>
        </w:tc>
        <w:tc>
          <w:tcPr>
            <w:tcW w:w="1800" w:type="dxa"/>
            <w:tcBorders>
              <w:top w:val="single" w:sz="4" w:space="0" w:color="auto"/>
              <w:left w:val="nil"/>
              <w:bottom w:val="single" w:sz="4" w:space="0" w:color="auto"/>
              <w:right w:val="single" w:sz="4" w:space="0" w:color="auto"/>
            </w:tcBorders>
            <w:shd w:val="clear" w:color="auto" w:fill="C6EFCE"/>
            <w:noWrap/>
          </w:tcPr>
          <w:p w14:paraId="3C51D5EC" w14:textId="65ABEE3E" w:rsidR="002D49B0" w:rsidRPr="00083739" w:rsidRDefault="00BF4125">
            <w:pPr>
              <w:pStyle w:val="P68B1DB1-Normal8"/>
              <w:keepNext/>
              <w:spacing w:before="40" w:after="0" w:line="259" w:lineRule="auto"/>
              <w:jc w:val="both"/>
              <w:rPr>
                <w:rFonts w:cs="Times New Roman"/>
                <w:noProof/>
                <w:lang w:val="sk-SK"/>
              </w:rPr>
            </w:pPr>
            <w:r w:rsidRPr="00083739">
              <w:rPr>
                <w:rFonts w:cs="Times New Roman"/>
                <w:noProof/>
                <w:lang w:val="sk-SK"/>
              </w:rPr>
              <w:t>Vydanie spoločného ministerského rozhodnutia</w:t>
            </w:r>
            <w:r w:rsidR="00083739" w:rsidRPr="00083739">
              <w:rPr>
                <w:rFonts w:cs="Times New Roman"/>
                <w:noProof/>
                <w:lang w:val="sk-SK"/>
              </w:rPr>
              <w:t xml:space="preserve"> o </w:t>
            </w:r>
            <w:r w:rsidRPr="00083739">
              <w:rPr>
                <w:rFonts w:cs="Times New Roman"/>
                <w:noProof/>
                <w:lang w:val="sk-SK"/>
              </w:rPr>
              <w:t>poskytnutí grantu príjemcovi</w:t>
            </w:r>
          </w:p>
        </w:tc>
      </w:tr>
      <w:tr w:rsidR="002D49B0" w:rsidRPr="00083739" w14:paraId="78FF1AD1" w14:textId="77777777">
        <w:trPr>
          <w:trHeight w:val="302"/>
        </w:trPr>
        <w:tc>
          <w:tcPr>
            <w:tcW w:w="1795" w:type="dxa"/>
            <w:tcBorders>
              <w:top w:val="single" w:sz="4" w:space="0" w:color="auto"/>
              <w:left w:val="single" w:sz="4" w:space="0" w:color="auto"/>
              <w:bottom w:val="single" w:sz="4" w:space="0" w:color="auto"/>
              <w:right w:val="single" w:sz="4" w:space="0" w:color="auto"/>
            </w:tcBorders>
            <w:shd w:val="clear" w:color="auto" w:fill="C6EFCE"/>
            <w:noWrap/>
          </w:tcPr>
          <w:p w14:paraId="647E89D1" w14:textId="38546F3C" w:rsidR="002D49B0" w:rsidRPr="00083739" w:rsidRDefault="00BF4125">
            <w:pPr>
              <w:pStyle w:val="P68B1DB1-Normal8"/>
              <w:keepNext/>
              <w:spacing w:before="40" w:after="0" w:line="259" w:lineRule="auto"/>
              <w:jc w:val="both"/>
              <w:rPr>
                <w:rFonts w:cs="Times New Roman"/>
                <w:noProof/>
                <w:lang w:val="sk-SK"/>
              </w:rPr>
            </w:pPr>
            <w:r w:rsidRPr="00083739">
              <w:rPr>
                <w:rFonts w:cs="Times New Roman"/>
                <w:noProof/>
                <w:lang w:val="sk-SK"/>
              </w:rPr>
              <w:t>368</w:t>
            </w:r>
          </w:p>
        </w:tc>
        <w:tc>
          <w:tcPr>
            <w:tcW w:w="4320" w:type="dxa"/>
            <w:tcBorders>
              <w:top w:val="single" w:sz="4" w:space="0" w:color="auto"/>
              <w:left w:val="nil"/>
              <w:bottom w:val="single" w:sz="4" w:space="0" w:color="auto"/>
              <w:right w:val="single" w:sz="4" w:space="0" w:color="auto"/>
            </w:tcBorders>
            <w:shd w:val="clear" w:color="auto" w:fill="C6EFCE"/>
            <w:noWrap/>
          </w:tcPr>
          <w:p w14:paraId="657A00CC" w14:textId="3AE7FE16" w:rsidR="002D49B0" w:rsidRPr="00083739" w:rsidRDefault="00BF4125">
            <w:pPr>
              <w:pStyle w:val="P68B1DB1-Normal8"/>
              <w:keepNext/>
              <w:spacing w:before="40" w:after="0" w:line="259" w:lineRule="auto"/>
              <w:jc w:val="both"/>
              <w:rPr>
                <w:rFonts w:cs="Times New Roman"/>
                <w:noProof/>
                <w:lang w:val="sk-SK"/>
              </w:rPr>
            </w:pPr>
            <w:r w:rsidRPr="00083739">
              <w:rPr>
                <w:rFonts w:cs="Times New Roman"/>
                <w:noProof/>
                <w:lang w:val="sk-SK"/>
              </w:rPr>
              <w:t>21 – 5.2 In</w:t>
            </w:r>
            <w:r w:rsidRPr="00083739">
              <w:rPr>
                <w:rFonts w:cs="Times New Roman"/>
                <w:noProof/>
                <w:lang w:val="sk-SK"/>
              </w:rPr>
              <w:t>vestície REPowerEU – 16994_Energetická efektívnosť</w:t>
            </w:r>
            <w:r w:rsidR="00083739" w:rsidRPr="00083739">
              <w:rPr>
                <w:rFonts w:cs="Times New Roman"/>
                <w:noProof/>
                <w:lang w:val="sk-SK"/>
              </w:rPr>
              <w:t xml:space="preserve"> a </w:t>
            </w:r>
            <w:r w:rsidRPr="00083739">
              <w:rPr>
                <w:rFonts w:cs="Times New Roman"/>
                <w:noProof/>
                <w:lang w:val="sk-SK"/>
              </w:rPr>
              <w:t>podpora OZE pre vlastnú spotrebu</w:t>
            </w:r>
          </w:p>
        </w:tc>
        <w:tc>
          <w:tcPr>
            <w:tcW w:w="1680" w:type="dxa"/>
            <w:tcBorders>
              <w:top w:val="single" w:sz="4" w:space="0" w:color="auto"/>
              <w:left w:val="nil"/>
              <w:bottom w:val="single" w:sz="4" w:space="0" w:color="auto"/>
              <w:right w:val="single" w:sz="4" w:space="0" w:color="auto"/>
            </w:tcBorders>
            <w:shd w:val="clear" w:color="auto" w:fill="C6EFCE"/>
            <w:noWrap/>
          </w:tcPr>
          <w:p w14:paraId="147D8534" w14:textId="0F4E1722" w:rsidR="002D49B0" w:rsidRPr="00083739" w:rsidRDefault="00BF4125">
            <w:pPr>
              <w:pStyle w:val="P68B1DB1-Normal8"/>
              <w:keepNext/>
              <w:spacing w:before="40" w:after="0" w:line="259" w:lineRule="auto"/>
              <w:jc w:val="both"/>
              <w:rPr>
                <w:rFonts w:cs="Times New Roman"/>
                <w:noProof/>
                <w:lang w:val="sk-SK"/>
              </w:rPr>
            </w:pPr>
            <w:r w:rsidRPr="00083739">
              <w:rPr>
                <w:rFonts w:cs="Times New Roman"/>
                <w:noProof/>
                <w:lang w:val="sk-SK"/>
              </w:rPr>
              <w:t>Cieľ</w:t>
            </w:r>
          </w:p>
        </w:tc>
        <w:tc>
          <w:tcPr>
            <w:tcW w:w="1800" w:type="dxa"/>
            <w:tcBorders>
              <w:top w:val="single" w:sz="4" w:space="0" w:color="auto"/>
              <w:left w:val="nil"/>
              <w:bottom w:val="single" w:sz="4" w:space="0" w:color="auto"/>
              <w:right w:val="single" w:sz="4" w:space="0" w:color="auto"/>
            </w:tcBorders>
            <w:shd w:val="clear" w:color="auto" w:fill="C6EFCE"/>
            <w:noWrap/>
          </w:tcPr>
          <w:p w14:paraId="2E6BCF5E" w14:textId="3543E425" w:rsidR="002D49B0" w:rsidRPr="00083739" w:rsidRDefault="00BF4125">
            <w:pPr>
              <w:pStyle w:val="P68B1DB1-Normal8"/>
              <w:keepNext/>
              <w:spacing w:before="40" w:after="0" w:line="259" w:lineRule="auto"/>
              <w:jc w:val="both"/>
              <w:rPr>
                <w:rFonts w:cs="Times New Roman"/>
                <w:noProof/>
                <w:lang w:val="sk-SK"/>
              </w:rPr>
            </w:pPr>
            <w:r w:rsidRPr="00083739">
              <w:rPr>
                <w:rFonts w:cs="Times New Roman"/>
                <w:noProof/>
                <w:lang w:val="sk-SK"/>
              </w:rPr>
              <w:t>Inštalácia fotovoltických systémov pre vlastnú spotrebu</w:t>
            </w:r>
          </w:p>
        </w:tc>
      </w:tr>
      <w:tr w:rsidR="002D49B0" w:rsidRPr="00083739" w14:paraId="2DB2DC92" w14:textId="77777777">
        <w:trPr>
          <w:trHeight w:val="302"/>
        </w:trPr>
        <w:tc>
          <w:tcPr>
            <w:tcW w:w="1795"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7F2F1B2"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c>
          <w:tcPr>
            <w:tcW w:w="4320" w:type="dxa"/>
            <w:tcBorders>
              <w:top w:val="single" w:sz="4" w:space="0" w:color="auto"/>
              <w:left w:val="nil"/>
              <w:bottom w:val="single" w:sz="4" w:space="0" w:color="auto"/>
              <w:right w:val="single" w:sz="4" w:space="0" w:color="auto"/>
            </w:tcBorders>
            <w:shd w:val="clear" w:color="auto" w:fill="C6EFCE"/>
            <w:noWrap/>
            <w:vAlign w:val="bottom"/>
          </w:tcPr>
          <w:p w14:paraId="7E2F1646"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c>
          <w:tcPr>
            <w:tcW w:w="1680" w:type="dxa"/>
            <w:tcBorders>
              <w:top w:val="single" w:sz="4" w:space="0" w:color="auto"/>
              <w:left w:val="nil"/>
              <w:bottom w:val="single" w:sz="4" w:space="0" w:color="auto"/>
              <w:right w:val="single" w:sz="4" w:space="0" w:color="auto"/>
            </w:tcBorders>
            <w:shd w:val="clear" w:color="auto" w:fill="C6EFCE"/>
            <w:noWrap/>
            <w:vAlign w:val="bottom"/>
          </w:tcPr>
          <w:p w14:paraId="6F7668BF" w14:textId="77777777" w:rsidR="002D49B0" w:rsidRPr="00083739" w:rsidRDefault="00BF4125">
            <w:pPr>
              <w:pStyle w:val="P68B1DB1-Normal8"/>
              <w:keepNext/>
              <w:spacing w:before="40" w:after="0" w:line="259" w:lineRule="auto"/>
              <w:jc w:val="both"/>
              <w:rPr>
                <w:rFonts w:eastAsia="Times New Roman" w:cs="Times New Roman"/>
                <w:noProof/>
                <w:szCs w:val="18"/>
                <w:lang w:val="sk-SK"/>
              </w:rPr>
            </w:pPr>
            <w:r w:rsidRPr="00083739">
              <w:rPr>
                <w:rFonts w:cs="Times New Roman"/>
                <w:noProof/>
                <w:lang w:val="sk-SK"/>
              </w:rPr>
              <w:t>Suma splátky</w:t>
            </w:r>
          </w:p>
        </w:tc>
        <w:tc>
          <w:tcPr>
            <w:tcW w:w="1800" w:type="dxa"/>
            <w:tcBorders>
              <w:top w:val="single" w:sz="4" w:space="0" w:color="auto"/>
              <w:left w:val="nil"/>
              <w:bottom w:val="single" w:sz="4" w:space="0" w:color="auto"/>
              <w:right w:val="single" w:sz="4" w:space="0" w:color="auto"/>
            </w:tcBorders>
            <w:shd w:val="clear" w:color="auto" w:fill="C6EFCE"/>
            <w:noWrap/>
            <w:vAlign w:val="bottom"/>
          </w:tcPr>
          <w:p w14:paraId="2C9D6831" w14:textId="42852C2D" w:rsidR="002D49B0" w:rsidRPr="00083739" w:rsidRDefault="00BF4125">
            <w:pPr>
              <w:pStyle w:val="P68B1DB1-Normal8"/>
              <w:keepNext/>
              <w:spacing w:before="40" w:after="0" w:line="259" w:lineRule="auto"/>
              <w:jc w:val="both"/>
              <w:rPr>
                <w:rFonts w:eastAsia="Times New Roman" w:cs="Times New Roman"/>
                <w:noProof/>
                <w:szCs w:val="18"/>
                <w:lang w:val="sk-SK"/>
              </w:rPr>
            </w:pPr>
            <w:r w:rsidRPr="00083739">
              <w:rPr>
                <w:rFonts w:cs="Times New Roman"/>
                <w:noProof/>
                <w:lang w:val="sk-SK"/>
              </w:rPr>
              <w:t>2 439 692 495 EUR</w:t>
            </w:r>
          </w:p>
        </w:tc>
      </w:tr>
    </w:tbl>
    <w:p w14:paraId="41C48C6E" w14:textId="77777777" w:rsidR="002D49B0" w:rsidRPr="00083739" w:rsidRDefault="002D49B0">
      <w:pPr>
        <w:keepNext/>
        <w:spacing w:before="40" w:line="259" w:lineRule="auto"/>
        <w:jc w:val="both"/>
        <w:rPr>
          <w:rFonts w:ascii="Times New Roman" w:eastAsia="Times New Roman" w:hAnsi="Times New Roman" w:cs="Times New Roman"/>
          <w:i/>
          <w:noProof/>
          <w:color w:val="4F81BD"/>
          <w:lang w:val="sk-SK"/>
        </w:rPr>
      </w:pPr>
    </w:p>
    <w:p w14:paraId="4A21B98C" w14:textId="1048B26D" w:rsidR="00083739" w:rsidRPr="00083739" w:rsidRDefault="00BF4125">
      <w:pPr>
        <w:pStyle w:val="P68B1DB1-Normal4"/>
        <w:keepNext/>
        <w:numPr>
          <w:ilvl w:val="1"/>
          <w:numId w:val="22"/>
        </w:numPr>
        <w:spacing w:before="40" w:after="160" w:line="259" w:lineRule="auto"/>
        <w:ind w:left="0"/>
        <w:contextualSpacing/>
        <w:jc w:val="both"/>
        <w:rPr>
          <w:rFonts w:cs="Times New Roman"/>
          <w:noProof/>
          <w:lang w:val="sk-SK"/>
        </w:rPr>
      </w:pPr>
      <w:r w:rsidRPr="00083739">
        <w:rPr>
          <w:rFonts w:cs="Times New Roman"/>
          <w:noProof/>
          <w:lang w:val="sk-SK"/>
        </w:rPr>
        <w:t>Siedma žiadosť</w:t>
      </w:r>
      <w:r w:rsidR="00083739" w:rsidRPr="00083739">
        <w:rPr>
          <w:rFonts w:cs="Times New Roman"/>
          <w:noProof/>
          <w:lang w:val="sk-SK"/>
        </w:rPr>
        <w:t xml:space="preserve"> o </w:t>
      </w:r>
      <w:r w:rsidRPr="00083739">
        <w:rPr>
          <w:rFonts w:cs="Times New Roman"/>
          <w:noProof/>
          <w:lang w:val="sk-SK"/>
        </w:rPr>
        <w:t>platbu (nenávratná podpora)</w:t>
      </w:r>
      <w:r w:rsidR="00083739" w:rsidRPr="00083739">
        <w:rPr>
          <w:rFonts w:cs="Times New Roman"/>
          <w:noProof/>
          <w:lang w:val="sk-SK"/>
        </w:rPr>
        <w:t>:</w:t>
      </w:r>
    </w:p>
    <w:p w14:paraId="6259FE40" w14:textId="73882C8B" w:rsidR="002D49B0" w:rsidRPr="00083739" w:rsidRDefault="002D49B0">
      <w:pPr>
        <w:keepNext/>
        <w:spacing w:before="40" w:after="160" w:line="259" w:lineRule="auto"/>
        <w:contextualSpacing/>
        <w:jc w:val="both"/>
        <w:rPr>
          <w:rFonts w:ascii="Times New Roman" w:eastAsia="Times New Roman" w:hAnsi="Times New Roman" w:cs="Times New Roman"/>
          <w:noProof/>
          <w:sz w:val="24"/>
          <w:lang w:val="sk-SK"/>
        </w:rPr>
      </w:pPr>
    </w:p>
    <w:tbl>
      <w:tblPr>
        <w:tblpPr w:leftFromText="180" w:rightFromText="180" w:vertAnchor="text" w:tblpX="-252" w:tblpY="1"/>
        <w:tblOverlap w:val="never"/>
        <w:tblW w:w="9595" w:type="dxa"/>
        <w:tblLayout w:type="fixed"/>
        <w:tblLook w:val="04A0" w:firstRow="1" w:lastRow="0" w:firstColumn="1" w:lastColumn="0" w:noHBand="0" w:noVBand="1"/>
      </w:tblPr>
      <w:tblGrid>
        <w:gridCol w:w="1795"/>
        <w:gridCol w:w="4320"/>
        <w:gridCol w:w="1560"/>
        <w:gridCol w:w="1920"/>
      </w:tblGrid>
      <w:tr w:rsidR="002D49B0" w:rsidRPr="00083739" w14:paraId="290E14DE" w14:textId="77777777">
        <w:trPr>
          <w:trHeight w:val="906"/>
          <w:tblHeader/>
        </w:trPr>
        <w:tc>
          <w:tcPr>
            <w:tcW w:w="179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036AD22" w14:textId="77777777" w:rsidR="002D49B0" w:rsidRPr="00083739" w:rsidRDefault="00BF4125">
            <w:pPr>
              <w:pStyle w:val="P68B1DB1-Normal7"/>
              <w:keepNext/>
              <w:spacing w:before="40" w:after="0" w:line="259" w:lineRule="auto"/>
              <w:jc w:val="center"/>
              <w:rPr>
                <w:rFonts w:eastAsia="Times New Roman" w:cs="Times New Roman"/>
                <w:bCs/>
                <w:noProof/>
                <w:szCs w:val="18"/>
                <w:lang w:val="sk-SK"/>
              </w:rPr>
            </w:pPr>
            <w:r w:rsidRPr="00083739">
              <w:rPr>
                <w:rFonts w:cs="Times New Roman"/>
                <w:noProof/>
                <w:lang w:val="sk-SK"/>
              </w:rPr>
              <w:t>Poradové číslo</w:t>
            </w:r>
          </w:p>
        </w:tc>
        <w:tc>
          <w:tcPr>
            <w:tcW w:w="432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C9CAE6B" w14:textId="77777777" w:rsidR="002D49B0" w:rsidRPr="00083739" w:rsidRDefault="00BF4125">
            <w:pPr>
              <w:pStyle w:val="P68B1DB1-Normal7"/>
              <w:keepNext/>
              <w:spacing w:before="40" w:after="0" w:line="259" w:lineRule="auto"/>
              <w:jc w:val="center"/>
              <w:rPr>
                <w:rFonts w:eastAsia="Times New Roman" w:cs="Times New Roman"/>
                <w:bCs/>
                <w:noProof/>
                <w:szCs w:val="18"/>
                <w:lang w:val="sk-SK"/>
              </w:rPr>
            </w:pPr>
            <w:r w:rsidRPr="00083739">
              <w:rPr>
                <w:rFonts w:cs="Times New Roman"/>
                <w:noProof/>
                <w:lang w:val="sk-SK"/>
              </w:rPr>
              <w:t xml:space="preserve">Súvisiace </w:t>
            </w:r>
            <w:r w:rsidRPr="00083739">
              <w:rPr>
                <w:rFonts w:cs="Times New Roman"/>
                <w:noProof/>
                <w:lang w:val="sk-SK"/>
              </w:rPr>
              <w:t>opatrenie (reforma alebo investícia)</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1DC1A23" w14:textId="77777777" w:rsidR="002D49B0" w:rsidRPr="00083739" w:rsidRDefault="00BF4125">
            <w:pPr>
              <w:pStyle w:val="P68B1DB1-Normal7"/>
              <w:keepNext/>
              <w:spacing w:before="40" w:after="0" w:line="259" w:lineRule="auto"/>
              <w:jc w:val="center"/>
              <w:rPr>
                <w:rFonts w:eastAsia="Times New Roman" w:cs="Times New Roman"/>
                <w:bCs/>
                <w:noProof/>
                <w:szCs w:val="18"/>
                <w:lang w:val="sk-SK"/>
              </w:rPr>
            </w:pPr>
            <w:r w:rsidRPr="00083739">
              <w:rPr>
                <w:rFonts w:cs="Times New Roman"/>
                <w:noProof/>
                <w:lang w:val="sk-SK"/>
              </w:rPr>
              <w:t>Míľnik/cieľ</w:t>
            </w:r>
          </w:p>
        </w:tc>
        <w:tc>
          <w:tcPr>
            <w:tcW w:w="192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3E37BB7" w14:textId="77777777" w:rsidR="002D49B0" w:rsidRPr="00083739" w:rsidRDefault="00BF4125">
            <w:pPr>
              <w:pStyle w:val="P68B1DB1-Normal7"/>
              <w:keepNext/>
              <w:spacing w:before="40" w:after="0" w:line="259" w:lineRule="auto"/>
              <w:jc w:val="center"/>
              <w:rPr>
                <w:rFonts w:eastAsia="Times New Roman" w:cs="Times New Roman"/>
                <w:bCs/>
                <w:noProof/>
                <w:szCs w:val="18"/>
                <w:lang w:val="sk-SK"/>
              </w:rPr>
            </w:pPr>
            <w:r w:rsidRPr="00083739">
              <w:rPr>
                <w:rFonts w:cs="Times New Roman"/>
                <w:noProof/>
                <w:lang w:val="sk-SK"/>
              </w:rPr>
              <w:t>Názov</w:t>
            </w:r>
          </w:p>
        </w:tc>
      </w:tr>
      <w:tr w:rsidR="002D49B0" w:rsidRPr="00083739" w14:paraId="3F585188" w14:textId="77777777">
        <w:trPr>
          <w:trHeight w:val="990"/>
        </w:trPr>
        <w:tc>
          <w:tcPr>
            <w:tcW w:w="1795" w:type="dxa"/>
            <w:vMerge/>
            <w:tcBorders>
              <w:top w:val="single" w:sz="4" w:space="0" w:color="auto"/>
              <w:left w:val="single" w:sz="4" w:space="0" w:color="auto"/>
              <w:bottom w:val="single" w:sz="4" w:space="0" w:color="auto"/>
              <w:right w:val="single" w:sz="4" w:space="0" w:color="auto"/>
            </w:tcBorders>
            <w:vAlign w:val="center"/>
            <w:hideMark/>
          </w:tcPr>
          <w:p w14:paraId="1C434604"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c>
          <w:tcPr>
            <w:tcW w:w="4320" w:type="dxa"/>
            <w:vMerge/>
            <w:tcBorders>
              <w:top w:val="single" w:sz="4" w:space="0" w:color="auto"/>
              <w:left w:val="single" w:sz="4" w:space="0" w:color="auto"/>
              <w:bottom w:val="single" w:sz="4" w:space="0" w:color="auto"/>
              <w:right w:val="single" w:sz="4" w:space="0" w:color="auto"/>
            </w:tcBorders>
            <w:vAlign w:val="center"/>
            <w:hideMark/>
          </w:tcPr>
          <w:p w14:paraId="5BE1D839"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0230FB92"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c>
          <w:tcPr>
            <w:tcW w:w="1920" w:type="dxa"/>
            <w:vMerge/>
            <w:tcBorders>
              <w:top w:val="single" w:sz="4" w:space="0" w:color="auto"/>
              <w:left w:val="single" w:sz="4" w:space="0" w:color="auto"/>
              <w:bottom w:val="single" w:sz="4" w:space="0" w:color="auto"/>
              <w:right w:val="single" w:sz="4" w:space="0" w:color="auto"/>
            </w:tcBorders>
            <w:vAlign w:val="center"/>
            <w:hideMark/>
          </w:tcPr>
          <w:p w14:paraId="2C2FC2FE"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r>
      <w:tr w:rsidR="002D49B0" w:rsidRPr="00083739" w14:paraId="71FBDE28"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tcPr>
          <w:p w14:paraId="6265750C"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45a</w:t>
            </w:r>
          </w:p>
        </w:tc>
        <w:tc>
          <w:tcPr>
            <w:tcW w:w="4320" w:type="dxa"/>
            <w:tcBorders>
              <w:top w:val="nil"/>
              <w:left w:val="nil"/>
              <w:bottom w:val="single" w:sz="4" w:space="0" w:color="auto"/>
              <w:right w:val="single" w:sz="4" w:space="0" w:color="auto"/>
            </w:tcBorders>
            <w:shd w:val="clear" w:color="auto" w:fill="C6EFCE"/>
            <w:noWrap/>
          </w:tcPr>
          <w:p w14:paraId="69484145" w14:textId="5FDE08E9" w:rsidR="002D49B0" w:rsidRPr="00083739" w:rsidRDefault="00BF4125">
            <w:pPr>
              <w:pStyle w:val="P68B1DB1-Normal8"/>
              <w:spacing w:after="0" w:line="240" w:lineRule="auto"/>
              <w:rPr>
                <w:rFonts w:cs="Times New Roman"/>
                <w:noProof/>
                <w:szCs w:val="18"/>
                <w:lang w:val="sk-SK"/>
              </w:rPr>
            </w:pPr>
            <w:r w:rsidRPr="00083739">
              <w:rPr>
                <w:rFonts w:cs="Times New Roman"/>
                <w:noProof/>
                <w:lang w:val="sk-SK"/>
              </w:rPr>
              <w:t>3 – 1.3. Nabíjanie</w:t>
            </w:r>
            <w:r w:rsidR="00083739" w:rsidRPr="00083739">
              <w:rPr>
                <w:rFonts w:cs="Times New Roman"/>
                <w:noProof/>
                <w:lang w:val="sk-SK"/>
              </w:rPr>
              <w:t xml:space="preserve"> a </w:t>
            </w:r>
            <w:r w:rsidRPr="00083739">
              <w:rPr>
                <w:rFonts w:cs="Times New Roman"/>
                <w:noProof/>
                <w:lang w:val="sk-SK"/>
              </w:rPr>
              <w:t>dopĺňanie paliva –16924_ Elektromobilita</w:t>
            </w:r>
          </w:p>
        </w:tc>
        <w:tc>
          <w:tcPr>
            <w:tcW w:w="1560" w:type="dxa"/>
            <w:tcBorders>
              <w:top w:val="nil"/>
              <w:left w:val="nil"/>
              <w:bottom w:val="single" w:sz="4" w:space="0" w:color="auto"/>
              <w:right w:val="single" w:sz="4" w:space="0" w:color="auto"/>
            </w:tcBorders>
            <w:shd w:val="clear" w:color="auto" w:fill="C6EFCE"/>
            <w:noWrap/>
          </w:tcPr>
          <w:p w14:paraId="13FCF432"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Míľnik</w:t>
            </w:r>
          </w:p>
        </w:tc>
        <w:tc>
          <w:tcPr>
            <w:tcW w:w="1920" w:type="dxa"/>
            <w:tcBorders>
              <w:top w:val="nil"/>
              <w:left w:val="nil"/>
              <w:bottom w:val="single" w:sz="4" w:space="0" w:color="auto"/>
              <w:right w:val="single" w:sz="4" w:space="0" w:color="auto"/>
            </w:tcBorders>
            <w:shd w:val="clear" w:color="auto" w:fill="C6EFCE"/>
            <w:noWrap/>
          </w:tcPr>
          <w:p w14:paraId="6A30ECDE" w14:textId="48E4B5E8"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 xml:space="preserve">Verejná doprava – začatie postupov verejného obstarávania pre prevádzkovateľov autobusovej dopravy prostredníctvom </w:t>
            </w:r>
            <w:r w:rsidRPr="00083739">
              <w:rPr>
                <w:rFonts w:cs="Times New Roman"/>
                <w:noProof/>
                <w:lang w:val="sk-SK"/>
              </w:rPr>
              <w:t>uverejnenia príslušných výziev pre 12 regiónov</w:t>
            </w:r>
          </w:p>
        </w:tc>
      </w:tr>
      <w:tr w:rsidR="002D49B0" w:rsidRPr="00083739" w14:paraId="5F1E256F"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01EACAAE" w14:textId="130321D4"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51</w:t>
            </w:r>
          </w:p>
        </w:tc>
        <w:tc>
          <w:tcPr>
            <w:tcW w:w="4320" w:type="dxa"/>
            <w:tcBorders>
              <w:top w:val="nil"/>
              <w:left w:val="nil"/>
              <w:bottom w:val="single" w:sz="4" w:space="0" w:color="auto"/>
              <w:right w:val="single" w:sz="4" w:space="0" w:color="auto"/>
            </w:tcBorders>
            <w:shd w:val="clear" w:color="auto" w:fill="C6EFCE"/>
            <w:noWrap/>
            <w:vAlign w:val="center"/>
          </w:tcPr>
          <w:p w14:paraId="276E30DB" w14:textId="3C57DC83" w:rsidR="002D49B0" w:rsidRPr="00083739" w:rsidRDefault="00BF4125">
            <w:pPr>
              <w:pStyle w:val="P68B1DB1-Normal8"/>
              <w:spacing w:after="0" w:line="240" w:lineRule="auto"/>
              <w:rPr>
                <w:rFonts w:cs="Times New Roman"/>
                <w:noProof/>
                <w:lang w:val="sk-SK"/>
              </w:rPr>
            </w:pPr>
            <w:r w:rsidRPr="00083739">
              <w:rPr>
                <w:rFonts w:cs="Times New Roman"/>
                <w:noProof/>
                <w:lang w:val="sk-SK"/>
              </w:rPr>
              <w:t>3 – 1.3. Dobíjanie</w:t>
            </w:r>
            <w:r w:rsidR="00083739" w:rsidRPr="00083739">
              <w:rPr>
                <w:rFonts w:cs="Times New Roman"/>
                <w:noProof/>
                <w:lang w:val="sk-SK"/>
              </w:rPr>
              <w:t xml:space="preserve"> a </w:t>
            </w:r>
            <w:r w:rsidRPr="00083739">
              <w:rPr>
                <w:rFonts w:cs="Times New Roman"/>
                <w:noProof/>
                <w:lang w:val="sk-SK"/>
              </w:rPr>
              <w:t>dopĺňanie paliva – 16831_výrobok – E zelená</w:t>
            </w:r>
          </w:p>
        </w:tc>
        <w:tc>
          <w:tcPr>
            <w:tcW w:w="1560" w:type="dxa"/>
            <w:tcBorders>
              <w:top w:val="nil"/>
              <w:left w:val="nil"/>
              <w:bottom w:val="single" w:sz="4" w:space="0" w:color="auto"/>
              <w:right w:val="single" w:sz="4" w:space="0" w:color="auto"/>
            </w:tcBorders>
            <w:shd w:val="clear" w:color="auto" w:fill="C6EFCE"/>
            <w:noWrap/>
            <w:vAlign w:val="center"/>
          </w:tcPr>
          <w:p w14:paraId="49550B84" w14:textId="722DDA52"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Míľnik</w:t>
            </w:r>
          </w:p>
        </w:tc>
        <w:tc>
          <w:tcPr>
            <w:tcW w:w="1920" w:type="dxa"/>
            <w:tcBorders>
              <w:top w:val="nil"/>
              <w:left w:val="nil"/>
              <w:bottom w:val="single" w:sz="4" w:space="0" w:color="auto"/>
              <w:right w:val="single" w:sz="4" w:space="0" w:color="auto"/>
            </w:tcBorders>
            <w:shd w:val="clear" w:color="auto" w:fill="C6EFCE"/>
            <w:noWrap/>
            <w:vAlign w:val="center"/>
          </w:tcPr>
          <w:p w14:paraId="5EA79C25" w14:textId="299C83C2"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Zachytávanie</w:t>
            </w:r>
            <w:r w:rsidR="00083739" w:rsidRPr="00083739">
              <w:rPr>
                <w:rFonts w:cs="Times New Roman"/>
                <w:noProof/>
                <w:lang w:val="sk-SK"/>
              </w:rPr>
              <w:t xml:space="preserve"> a </w:t>
            </w:r>
            <w:r w:rsidRPr="00083739">
              <w:rPr>
                <w:rFonts w:cs="Times New Roman"/>
                <w:noProof/>
                <w:lang w:val="sk-SK"/>
              </w:rPr>
              <w:t>ukladanie oxidu uhličitého (CCS) – povolenie na ukladanie</w:t>
            </w:r>
          </w:p>
        </w:tc>
      </w:tr>
      <w:tr w:rsidR="002D49B0" w:rsidRPr="00083739" w14:paraId="74CE2558"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tcPr>
          <w:p w14:paraId="668698BE"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62a</w:t>
            </w:r>
          </w:p>
        </w:tc>
        <w:tc>
          <w:tcPr>
            <w:tcW w:w="4320" w:type="dxa"/>
            <w:tcBorders>
              <w:top w:val="nil"/>
              <w:left w:val="nil"/>
              <w:bottom w:val="single" w:sz="4" w:space="0" w:color="auto"/>
              <w:right w:val="single" w:sz="4" w:space="0" w:color="auto"/>
            </w:tcBorders>
            <w:shd w:val="clear" w:color="auto" w:fill="C6EFCE"/>
            <w:noWrap/>
          </w:tcPr>
          <w:p w14:paraId="549EA6BC" w14:textId="4EECE430"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 xml:space="preserve">4 – 1.4. Udržateľné využívanie zdrojov, odolnosť proti </w:t>
            </w:r>
            <w:r w:rsidRPr="00083739">
              <w:rPr>
                <w:rFonts w:cs="Times New Roman"/>
                <w:noProof/>
                <w:lang w:val="sk-SK"/>
              </w:rPr>
              <w:t>zmene klímy</w:t>
            </w:r>
            <w:r w:rsidR="00083739" w:rsidRPr="00083739">
              <w:rPr>
                <w:rFonts w:cs="Times New Roman"/>
                <w:noProof/>
                <w:lang w:val="sk-SK"/>
              </w:rPr>
              <w:t xml:space="preserve"> a </w:t>
            </w:r>
            <w:r w:rsidRPr="00083739">
              <w:rPr>
                <w:rFonts w:cs="Times New Roman"/>
                <w:noProof/>
                <w:lang w:val="sk-SK"/>
              </w:rPr>
              <w:t>ochrana životného prostredia – 16849_ Národný plán obnovy lesov, obnova</w:t>
            </w:r>
            <w:r w:rsidR="00083739" w:rsidRPr="00083739">
              <w:rPr>
                <w:rFonts w:cs="Times New Roman"/>
                <w:noProof/>
                <w:lang w:val="sk-SK"/>
              </w:rPr>
              <w:t xml:space="preserve"> a </w:t>
            </w:r>
            <w:r w:rsidRPr="00083739">
              <w:rPr>
                <w:rFonts w:cs="Times New Roman"/>
                <w:noProof/>
                <w:lang w:val="sk-SK"/>
              </w:rPr>
              <w:t>prevencia („antiNERO“), opatrenia proti erózii</w:t>
            </w:r>
            <w:r w:rsidR="00083739" w:rsidRPr="00083739">
              <w:rPr>
                <w:rFonts w:cs="Times New Roman"/>
                <w:noProof/>
                <w:lang w:val="sk-SK"/>
              </w:rPr>
              <w:t xml:space="preserve"> a </w:t>
            </w:r>
            <w:r w:rsidRPr="00083739">
              <w:rPr>
                <w:rFonts w:cs="Times New Roman"/>
                <w:noProof/>
                <w:lang w:val="sk-SK"/>
              </w:rPr>
              <w:t>protipovodňovej ochrane</w:t>
            </w:r>
          </w:p>
        </w:tc>
        <w:tc>
          <w:tcPr>
            <w:tcW w:w="1560" w:type="dxa"/>
            <w:tcBorders>
              <w:top w:val="nil"/>
              <w:left w:val="nil"/>
              <w:bottom w:val="single" w:sz="4" w:space="0" w:color="auto"/>
              <w:right w:val="single" w:sz="4" w:space="0" w:color="auto"/>
            </w:tcBorders>
            <w:shd w:val="clear" w:color="auto" w:fill="C6EFCE"/>
            <w:noWrap/>
          </w:tcPr>
          <w:p w14:paraId="656F61D9"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Míľnik</w:t>
            </w:r>
          </w:p>
        </w:tc>
        <w:tc>
          <w:tcPr>
            <w:tcW w:w="1920" w:type="dxa"/>
            <w:tcBorders>
              <w:top w:val="nil"/>
              <w:left w:val="nil"/>
              <w:bottom w:val="single" w:sz="4" w:space="0" w:color="auto"/>
              <w:right w:val="single" w:sz="4" w:space="0" w:color="auto"/>
            </w:tcBorders>
            <w:shd w:val="clear" w:color="auto" w:fill="C6EFCE"/>
            <w:noWrap/>
          </w:tcPr>
          <w:p w14:paraId="7D099CB7" w14:textId="65E99AB8"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Obnova</w:t>
            </w:r>
            <w:r w:rsidR="00083739" w:rsidRPr="00083739">
              <w:rPr>
                <w:rFonts w:cs="Times New Roman"/>
                <w:noProof/>
                <w:lang w:val="sk-SK"/>
              </w:rPr>
              <w:t xml:space="preserve"> a </w:t>
            </w:r>
            <w:r w:rsidRPr="00083739">
              <w:rPr>
                <w:rFonts w:cs="Times New Roman"/>
                <w:noProof/>
                <w:lang w:val="sk-SK"/>
              </w:rPr>
              <w:t>prevencia opätovného zalesňovania – zmluvy 3</w:t>
            </w:r>
          </w:p>
        </w:tc>
      </w:tr>
      <w:tr w:rsidR="002D49B0" w:rsidRPr="00083739" w14:paraId="78084EFB"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215D2CBD"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98</w:t>
            </w:r>
          </w:p>
        </w:tc>
        <w:tc>
          <w:tcPr>
            <w:tcW w:w="4320" w:type="dxa"/>
            <w:tcBorders>
              <w:top w:val="nil"/>
              <w:left w:val="nil"/>
              <w:bottom w:val="single" w:sz="4" w:space="0" w:color="auto"/>
              <w:right w:val="single" w:sz="4" w:space="0" w:color="auto"/>
            </w:tcBorders>
            <w:shd w:val="clear" w:color="auto" w:fill="C6EFCE"/>
            <w:noWrap/>
            <w:vAlign w:val="center"/>
          </w:tcPr>
          <w:p w14:paraId="0E8A1FF6" w14:textId="06B6EA38"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 xml:space="preserve">6 – 2.2. Modernizácia – </w:t>
            </w:r>
            <w:r w:rsidRPr="00083739">
              <w:rPr>
                <w:rFonts w:cs="Times New Roman"/>
                <w:noProof/>
                <w:lang w:val="sk-SK"/>
              </w:rPr>
              <w:t>16782_Prepojenie</w:t>
            </w:r>
            <w:r w:rsidR="00083739" w:rsidRPr="00083739">
              <w:rPr>
                <w:rFonts w:cs="Times New Roman"/>
                <w:noProof/>
                <w:lang w:val="sk-SK"/>
              </w:rPr>
              <w:t xml:space="preserve"> a </w:t>
            </w:r>
            <w:r w:rsidRPr="00083739">
              <w:rPr>
                <w:rFonts w:cs="Times New Roman"/>
                <w:noProof/>
                <w:lang w:val="sk-SK"/>
              </w:rPr>
              <w:t>interoperabilita registrov, systémov</w:t>
            </w:r>
            <w:r w:rsidR="00083739" w:rsidRPr="00083739">
              <w:rPr>
                <w:rFonts w:cs="Times New Roman"/>
                <w:noProof/>
                <w:lang w:val="sk-SK"/>
              </w:rPr>
              <w:t xml:space="preserve"> a </w:t>
            </w:r>
            <w:r w:rsidRPr="00083739">
              <w:rPr>
                <w:rFonts w:cs="Times New Roman"/>
                <w:noProof/>
                <w:lang w:val="sk-SK"/>
              </w:rPr>
              <w:t>služieb na výmenu údajov medzi vnútroštátnymi verejnými organizáciami</w:t>
            </w:r>
          </w:p>
        </w:tc>
        <w:tc>
          <w:tcPr>
            <w:tcW w:w="1560" w:type="dxa"/>
            <w:tcBorders>
              <w:top w:val="nil"/>
              <w:left w:val="nil"/>
              <w:bottom w:val="single" w:sz="4" w:space="0" w:color="auto"/>
              <w:right w:val="single" w:sz="4" w:space="0" w:color="auto"/>
            </w:tcBorders>
            <w:shd w:val="clear" w:color="auto" w:fill="C6EFCE"/>
            <w:noWrap/>
            <w:vAlign w:val="center"/>
          </w:tcPr>
          <w:p w14:paraId="63F8D6EA"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920" w:type="dxa"/>
            <w:tcBorders>
              <w:top w:val="nil"/>
              <w:left w:val="nil"/>
              <w:bottom w:val="single" w:sz="4" w:space="0" w:color="auto"/>
              <w:right w:val="single" w:sz="4" w:space="0" w:color="auto"/>
            </w:tcBorders>
            <w:shd w:val="clear" w:color="auto" w:fill="C6EFCE"/>
            <w:noWrap/>
            <w:vAlign w:val="center"/>
          </w:tcPr>
          <w:p w14:paraId="5C59B1D6" w14:textId="7C00C38A"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Regulačný základ pre prepojenie</w:t>
            </w:r>
            <w:r w:rsidR="00083739" w:rsidRPr="00083739">
              <w:rPr>
                <w:rFonts w:cs="Times New Roman"/>
                <w:noProof/>
                <w:lang w:val="sk-SK"/>
              </w:rPr>
              <w:t xml:space="preserve"> a </w:t>
            </w:r>
            <w:r w:rsidRPr="00083739">
              <w:rPr>
                <w:rFonts w:cs="Times New Roman"/>
                <w:noProof/>
                <w:lang w:val="sk-SK"/>
              </w:rPr>
              <w:t>interoperabilitu registrov</w:t>
            </w:r>
          </w:p>
        </w:tc>
      </w:tr>
      <w:tr w:rsidR="002D49B0" w:rsidRPr="00083739" w14:paraId="7F8BA7F3"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28EF0F56"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110</w:t>
            </w:r>
          </w:p>
        </w:tc>
        <w:tc>
          <w:tcPr>
            <w:tcW w:w="4320" w:type="dxa"/>
            <w:tcBorders>
              <w:top w:val="nil"/>
              <w:left w:val="nil"/>
              <w:bottom w:val="single" w:sz="4" w:space="0" w:color="auto"/>
              <w:right w:val="single" w:sz="4" w:space="0" w:color="auto"/>
            </w:tcBorders>
            <w:shd w:val="clear" w:color="auto" w:fill="C6EFCE"/>
            <w:noWrap/>
            <w:vAlign w:val="center"/>
          </w:tcPr>
          <w:p w14:paraId="762C1FE5"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 xml:space="preserve">6 – 2.2. Modernizácia – 16780_Ďalšia modernizácia </w:t>
            </w:r>
            <w:r w:rsidRPr="00083739">
              <w:rPr>
                <w:rFonts w:cs="Times New Roman"/>
                <w:noProof/>
                <w:lang w:val="sk-SK"/>
              </w:rPr>
              <w:t>jednotných kontaktných miest verejnej správy</w:t>
            </w:r>
          </w:p>
        </w:tc>
        <w:tc>
          <w:tcPr>
            <w:tcW w:w="1560" w:type="dxa"/>
            <w:tcBorders>
              <w:top w:val="nil"/>
              <w:left w:val="nil"/>
              <w:bottom w:val="single" w:sz="4" w:space="0" w:color="auto"/>
              <w:right w:val="single" w:sz="4" w:space="0" w:color="auto"/>
            </w:tcBorders>
            <w:shd w:val="clear" w:color="auto" w:fill="C6EFCE"/>
            <w:noWrap/>
            <w:vAlign w:val="center"/>
          </w:tcPr>
          <w:p w14:paraId="15D0833D"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920" w:type="dxa"/>
            <w:tcBorders>
              <w:top w:val="nil"/>
              <w:left w:val="nil"/>
              <w:bottom w:val="single" w:sz="4" w:space="0" w:color="auto"/>
              <w:right w:val="single" w:sz="4" w:space="0" w:color="auto"/>
            </w:tcBorders>
            <w:shd w:val="clear" w:color="auto" w:fill="C6EFCE"/>
            <w:noWrap/>
            <w:vAlign w:val="center"/>
          </w:tcPr>
          <w:p w14:paraId="7B477620"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Dokončenie projektu jednotných kontaktných miest</w:t>
            </w:r>
          </w:p>
        </w:tc>
      </w:tr>
      <w:tr w:rsidR="002D49B0" w:rsidRPr="00083739" w14:paraId="2D10FC63"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57FD7745"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112</w:t>
            </w:r>
          </w:p>
        </w:tc>
        <w:tc>
          <w:tcPr>
            <w:tcW w:w="4320" w:type="dxa"/>
            <w:tcBorders>
              <w:top w:val="nil"/>
              <w:left w:val="nil"/>
              <w:bottom w:val="single" w:sz="4" w:space="0" w:color="auto"/>
              <w:right w:val="single" w:sz="4" w:space="0" w:color="auto"/>
            </w:tcBorders>
            <w:shd w:val="clear" w:color="auto" w:fill="C6EFCE"/>
            <w:noWrap/>
            <w:vAlign w:val="center"/>
          </w:tcPr>
          <w:p w14:paraId="31D567EF" w14:textId="2B0FE67A"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6 – 2.2. Modernizácia – 16823_Stratégia kybernetickej bezpečnosti</w:t>
            </w:r>
            <w:r w:rsidR="00083739" w:rsidRPr="00083739">
              <w:rPr>
                <w:rFonts w:cs="Times New Roman"/>
                <w:noProof/>
                <w:lang w:val="sk-SK"/>
              </w:rPr>
              <w:t xml:space="preserve"> a </w:t>
            </w:r>
            <w:r w:rsidRPr="00083739">
              <w:rPr>
                <w:rFonts w:cs="Times New Roman"/>
                <w:noProof/>
                <w:lang w:val="sk-SK"/>
              </w:rPr>
              <w:t>politiky pre verejný sektor</w:t>
            </w:r>
            <w:r w:rsidR="00083739" w:rsidRPr="00083739">
              <w:rPr>
                <w:rFonts w:cs="Times New Roman"/>
                <w:noProof/>
                <w:lang w:val="sk-SK"/>
              </w:rPr>
              <w:t xml:space="preserve"> a </w:t>
            </w:r>
            <w:r w:rsidRPr="00083739">
              <w:rPr>
                <w:rFonts w:cs="Times New Roman"/>
                <w:noProof/>
                <w:lang w:val="sk-SK"/>
              </w:rPr>
              <w:t>pokročilé bezpečnostné služby pre vnútroštátne kriti</w:t>
            </w:r>
            <w:r w:rsidRPr="00083739">
              <w:rPr>
                <w:rFonts w:cs="Times New Roman"/>
                <w:noProof/>
                <w:lang w:val="sk-SK"/>
              </w:rPr>
              <w:t>cké infraštruktúry</w:t>
            </w:r>
          </w:p>
        </w:tc>
        <w:tc>
          <w:tcPr>
            <w:tcW w:w="1560" w:type="dxa"/>
            <w:tcBorders>
              <w:top w:val="nil"/>
              <w:left w:val="nil"/>
              <w:bottom w:val="single" w:sz="4" w:space="0" w:color="auto"/>
              <w:right w:val="single" w:sz="4" w:space="0" w:color="auto"/>
            </w:tcBorders>
            <w:shd w:val="clear" w:color="auto" w:fill="C6EFCE"/>
            <w:noWrap/>
            <w:vAlign w:val="center"/>
          </w:tcPr>
          <w:p w14:paraId="63011BCE"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920" w:type="dxa"/>
            <w:tcBorders>
              <w:top w:val="nil"/>
              <w:left w:val="nil"/>
              <w:bottom w:val="single" w:sz="4" w:space="0" w:color="auto"/>
              <w:right w:val="single" w:sz="4" w:space="0" w:color="auto"/>
            </w:tcBorders>
            <w:shd w:val="clear" w:color="auto" w:fill="C6EFCE"/>
            <w:noWrap/>
            <w:vAlign w:val="center"/>
          </w:tcPr>
          <w:p w14:paraId="3C94A1D3"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Dokončenie projektu Stratégia kybernetickej bezpečnosti</w:t>
            </w:r>
          </w:p>
        </w:tc>
      </w:tr>
      <w:tr w:rsidR="002D49B0" w:rsidRPr="00083739" w14:paraId="7F93D2F0"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tcPr>
          <w:p w14:paraId="796F29DA"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142a</w:t>
            </w:r>
          </w:p>
        </w:tc>
        <w:tc>
          <w:tcPr>
            <w:tcW w:w="4320" w:type="dxa"/>
            <w:tcBorders>
              <w:top w:val="nil"/>
              <w:left w:val="nil"/>
              <w:bottom w:val="single" w:sz="4" w:space="0" w:color="auto"/>
              <w:right w:val="single" w:sz="4" w:space="0" w:color="auto"/>
            </w:tcBorders>
            <w:shd w:val="clear" w:color="auto" w:fill="C6EFCE"/>
            <w:noWrap/>
          </w:tcPr>
          <w:p w14:paraId="38A57F3D" w14:textId="381A24B3"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8 – 3.1. Podpora vytvárania pracovných miest</w:t>
            </w:r>
            <w:r w:rsidR="00083739" w:rsidRPr="00083739">
              <w:rPr>
                <w:rFonts w:cs="Times New Roman"/>
                <w:noProof/>
                <w:lang w:val="sk-SK"/>
              </w:rPr>
              <w:t xml:space="preserve"> a </w:t>
            </w:r>
            <w:r w:rsidRPr="00083739">
              <w:rPr>
                <w:rFonts w:cs="Times New Roman"/>
                <w:noProof/>
                <w:lang w:val="sk-SK"/>
              </w:rPr>
              <w:t>účasti na trhu práce – 16746_Reforma pasívnych politík trhu práce na podporu prechodu do zamestnania</w:t>
            </w:r>
          </w:p>
        </w:tc>
        <w:tc>
          <w:tcPr>
            <w:tcW w:w="1560" w:type="dxa"/>
            <w:tcBorders>
              <w:top w:val="nil"/>
              <w:left w:val="nil"/>
              <w:bottom w:val="single" w:sz="4" w:space="0" w:color="auto"/>
              <w:right w:val="single" w:sz="4" w:space="0" w:color="auto"/>
            </w:tcBorders>
            <w:shd w:val="clear" w:color="auto" w:fill="C6EFCE"/>
            <w:noWrap/>
          </w:tcPr>
          <w:p w14:paraId="400F287E"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Míľnik</w:t>
            </w:r>
          </w:p>
        </w:tc>
        <w:tc>
          <w:tcPr>
            <w:tcW w:w="1920" w:type="dxa"/>
            <w:tcBorders>
              <w:top w:val="nil"/>
              <w:left w:val="nil"/>
              <w:bottom w:val="single" w:sz="4" w:space="0" w:color="auto"/>
              <w:right w:val="single" w:sz="4" w:space="0" w:color="auto"/>
            </w:tcBorders>
            <w:shd w:val="clear" w:color="auto" w:fill="C6EFCE"/>
            <w:noWrap/>
          </w:tcPr>
          <w:p w14:paraId="209141BE" w14:textId="1153B529"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 xml:space="preserve">Právne </w:t>
            </w:r>
            <w:r w:rsidRPr="00083739">
              <w:rPr>
                <w:rFonts w:cs="Times New Roman"/>
                <w:noProof/>
                <w:lang w:val="sk-SK"/>
              </w:rPr>
              <w:t>predpisy</w:t>
            </w:r>
            <w:r w:rsidR="00083739" w:rsidRPr="00083739">
              <w:rPr>
                <w:rFonts w:cs="Times New Roman"/>
                <w:noProof/>
                <w:lang w:val="sk-SK"/>
              </w:rPr>
              <w:t xml:space="preserve"> o </w:t>
            </w:r>
            <w:r w:rsidRPr="00083739">
              <w:rPr>
                <w:rFonts w:cs="Times New Roman"/>
                <w:noProof/>
                <w:lang w:val="sk-SK"/>
              </w:rPr>
              <w:t>dávkach</w:t>
            </w:r>
            <w:r w:rsidR="00083739" w:rsidRPr="00083739">
              <w:rPr>
                <w:rFonts w:cs="Times New Roman"/>
                <w:noProof/>
                <w:lang w:val="sk-SK"/>
              </w:rPr>
              <w:t xml:space="preserve"> a </w:t>
            </w:r>
            <w:r w:rsidRPr="00083739">
              <w:rPr>
                <w:rFonts w:cs="Times New Roman"/>
                <w:noProof/>
                <w:lang w:val="sk-SK"/>
              </w:rPr>
              <w:t>prídavkoch</w:t>
            </w:r>
            <w:r w:rsidR="00083739" w:rsidRPr="00083739">
              <w:rPr>
                <w:rFonts w:cs="Times New Roman"/>
                <w:noProof/>
                <w:lang w:val="sk-SK"/>
              </w:rPr>
              <w:t xml:space="preserve"> v </w:t>
            </w:r>
            <w:r w:rsidRPr="00083739">
              <w:rPr>
                <w:rFonts w:cs="Times New Roman"/>
                <w:noProof/>
                <w:lang w:val="sk-SK"/>
              </w:rPr>
              <w:t>nezamestnanosti, pilotné projekty týkajúce sa dávok</w:t>
            </w:r>
            <w:r w:rsidR="00083739" w:rsidRPr="00083739">
              <w:rPr>
                <w:rFonts w:cs="Times New Roman"/>
                <w:noProof/>
                <w:lang w:val="sk-SK"/>
              </w:rPr>
              <w:t xml:space="preserve"> v </w:t>
            </w:r>
            <w:r w:rsidRPr="00083739">
              <w:rPr>
                <w:rFonts w:cs="Times New Roman"/>
                <w:noProof/>
                <w:lang w:val="sk-SK"/>
              </w:rPr>
              <w:t>nezamestnanosti</w:t>
            </w:r>
          </w:p>
        </w:tc>
      </w:tr>
      <w:tr w:rsidR="002D49B0" w:rsidRPr="00083739" w14:paraId="187C6ECB"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651034E0"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144</w:t>
            </w:r>
          </w:p>
        </w:tc>
        <w:tc>
          <w:tcPr>
            <w:tcW w:w="4320" w:type="dxa"/>
            <w:tcBorders>
              <w:top w:val="nil"/>
              <w:left w:val="nil"/>
              <w:bottom w:val="single" w:sz="4" w:space="0" w:color="auto"/>
              <w:right w:val="single" w:sz="4" w:space="0" w:color="auto"/>
            </w:tcBorders>
            <w:shd w:val="clear" w:color="auto" w:fill="C6EFCE"/>
            <w:noWrap/>
            <w:vAlign w:val="center"/>
          </w:tcPr>
          <w:p w14:paraId="39C96099" w14:textId="2F7D41C3"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8 – 3.1. Podpora vytvárania pracovných miest</w:t>
            </w:r>
            <w:r w:rsidR="00083739" w:rsidRPr="00083739">
              <w:rPr>
                <w:rFonts w:cs="Times New Roman"/>
                <w:noProof/>
                <w:lang w:val="sk-SK"/>
              </w:rPr>
              <w:t xml:space="preserve"> a </w:t>
            </w:r>
            <w:r w:rsidRPr="00083739">
              <w:rPr>
                <w:rFonts w:cs="Times New Roman"/>
                <w:noProof/>
                <w:lang w:val="sk-SK"/>
              </w:rPr>
              <w:t>účasti na trhu práce – 16747_Aktívne reformy politík trhu práce</w:t>
            </w:r>
          </w:p>
        </w:tc>
        <w:tc>
          <w:tcPr>
            <w:tcW w:w="1560" w:type="dxa"/>
            <w:tcBorders>
              <w:top w:val="nil"/>
              <w:left w:val="nil"/>
              <w:bottom w:val="single" w:sz="4" w:space="0" w:color="auto"/>
              <w:right w:val="single" w:sz="4" w:space="0" w:color="auto"/>
            </w:tcBorders>
            <w:shd w:val="clear" w:color="auto" w:fill="C6EFCE"/>
            <w:noWrap/>
            <w:vAlign w:val="center"/>
          </w:tcPr>
          <w:p w14:paraId="7D8BA4A5"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Cieľ</w:t>
            </w:r>
          </w:p>
        </w:tc>
        <w:tc>
          <w:tcPr>
            <w:tcW w:w="1920" w:type="dxa"/>
            <w:tcBorders>
              <w:top w:val="nil"/>
              <w:left w:val="nil"/>
              <w:bottom w:val="single" w:sz="4" w:space="0" w:color="auto"/>
              <w:right w:val="single" w:sz="4" w:space="0" w:color="auto"/>
            </w:tcBorders>
            <w:shd w:val="clear" w:color="auto" w:fill="C6EFCE"/>
            <w:noWrap/>
            <w:vAlign w:val="center"/>
          </w:tcPr>
          <w:p w14:paraId="713850B0" w14:textId="58613F83"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 xml:space="preserve">Dokončenie programu zvyšovania </w:t>
            </w:r>
            <w:r w:rsidRPr="00083739">
              <w:rPr>
                <w:rFonts w:cs="Times New Roman"/>
                <w:noProof/>
                <w:lang w:val="sk-SK"/>
              </w:rPr>
              <w:t>úrovne zručností</w:t>
            </w:r>
            <w:r w:rsidR="00083739" w:rsidRPr="00083739">
              <w:rPr>
                <w:rFonts w:cs="Times New Roman"/>
                <w:noProof/>
                <w:lang w:val="sk-SK"/>
              </w:rPr>
              <w:t xml:space="preserve"> v </w:t>
            </w:r>
            <w:r w:rsidRPr="00083739">
              <w:rPr>
                <w:rFonts w:cs="Times New Roman"/>
                <w:noProof/>
                <w:lang w:val="sk-SK"/>
              </w:rPr>
              <w:t>oblasti zamestnanosti</w:t>
            </w:r>
            <w:r w:rsidR="00083739" w:rsidRPr="00083739">
              <w:rPr>
                <w:rFonts w:cs="Times New Roman"/>
                <w:noProof/>
                <w:lang w:val="sk-SK"/>
              </w:rPr>
              <w:t xml:space="preserve"> v </w:t>
            </w:r>
            <w:r w:rsidRPr="00083739">
              <w:rPr>
                <w:rFonts w:cs="Times New Roman"/>
                <w:noProof/>
                <w:lang w:val="sk-SK"/>
              </w:rPr>
              <w:t xml:space="preserve">rámci aktívnych politík trhu práce </w:t>
            </w:r>
          </w:p>
        </w:tc>
      </w:tr>
      <w:tr w:rsidR="002D49B0" w:rsidRPr="00083739" w14:paraId="36D25963"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tcPr>
          <w:p w14:paraId="78B32926"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145a</w:t>
            </w:r>
          </w:p>
        </w:tc>
        <w:tc>
          <w:tcPr>
            <w:tcW w:w="4320" w:type="dxa"/>
            <w:tcBorders>
              <w:top w:val="nil"/>
              <w:left w:val="nil"/>
              <w:bottom w:val="single" w:sz="4" w:space="0" w:color="auto"/>
              <w:right w:val="single" w:sz="4" w:space="0" w:color="auto"/>
            </w:tcBorders>
            <w:shd w:val="clear" w:color="auto" w:fill="C6EFCE"/>
            <w:noWrap/>
          </w:tcPr>
          <w:p w14:paraId="0C3E9AFB" w14:textId="4DEA75DF"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9 – 3.2. Vzdelávanie, odborné vzdelávanie</w:t>
            </w:r>
            <w:r w:rsidR="00083739" w:rsidRPr="00083739">
              <w:rPr>
                <w:rFonts w:cs="Times New Roman"/>
                <w:noProof/>
                <w:lang w:val="sk-SK"/>
              </w:rPr>
              <w:t xml:space="preserve"> a </w:t>
            </w:r>
            <w:r w:rsidRPr="00083739">
              <w:rPr>
                <w:rFonts w:cs="Times New Roman"/>
                <w:noProof/>
                <w:lang w:val="sk-SK"/>
              </w:rPr>
              <w:t>príprava</w:t>
            </w:r>
            <w:r w:rsidR="00083739" w:rsidRPr="00083739">
              <w:rPr>
                <w:rFonts w:cs="Times New Roman"/>
                <w:noProof/>
                <w:lang w:val="sk-SK"/>
              </w:rPr>
              <w:t xml:space="preserve"> a </w:t>
            </w:r>
            <w:r w:rsidRPr="00083739">
              <w:rPr>
                <w:rFonts w:cs="Times New Roman"/>
                <w:noProof/>
                <w:lang w:val="sk-SK"/>
              </w:rPr>
              <w:t xml:space="preserve">zručnosti – 16794_Posilnenie systému učňovskej prípravy </w:t>
            </w:r>
          </w:p>
        </w:tc>
        <w:tc>
          <w:tcPr>
            <w:tcW w:w="1560" w:type="dxa"/>
            <w:tcBorders>
              <w:top w:val="nil"/>
              <w:left w:val="nil"/>
              <w:bottom w:val="single" w:sz="4" w:space="0" w:color="auto"/>
              <w:right w:val="single" w:sz="4" w:space="0" w:color="auto"/>
            </w:tcBorders>
            <w:shd w:val="clear" w:color="auto" w:fill="C6EFCE"/>
            <w:noWrap/>
          </w:tcPr>
          <w:p w14:paraId="58CC528B"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Míľnik</w:t>
            </w:r>
          </w:p>
        </w:tc>
        <w:tc>
          <w:tcPr>
            <w:tcW w:w="1920" w:type="dxa"/>
            <w:tcBorders>
              <w:top w:val="nil"/>
              <w:left w:val="nil"/>
              <w:bottom w:val="single" w:sz="4" w:space="0" w:color="auto"/>
              <w:right w:val="single" w:sz="4" w:space="0" w:color="auto"/>
            </w:tcBorders>
            <w:shd w:val="clear" w:color="auto" w:fill="C6EFCE"/>
            <w:noWrap/>
          </w:tcPr>
          <w:p w14:paraId="318783A7"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Právny rámec – vnútroštátny systém OVP</w:t>
            </w:r>
          </w:p>
        </w:tc>
      </w:tr>
      <w:tr w:rsidR="002D49B0" w:rsidRPr="00083739" w14:paraId="2FA4FE8E"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33B21868" w14:textId="4E6A76E7"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175</w:t>
            </w:r>
          </w:p>
        </w:tc>
        <w:tc>
          <w:tcPr>
            <w:tcW w:w="4320" w:type="dxa"/>
            <w:tcBorders>
              <w:top w:val="nil"/>
              <w:left w:val="nil"/>
              <w:bottom w:val="single" w:sz="4" w:space="0" w:color="auto"/>
              <w:right w:val="single" w:sz="4" w:space="0" w:color="auto"/>
            </w:tcBorders>
            <w:shd w:val="clear" w:color="auto" w:fill="C6EFCE"/>
            <w:noWrap/>
            <w:vAlign w:val="center"/>
          </w:tcPr>
          <w:p w14:paraId="525F2380" w14:textId="685D3B72"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 xml:space="preserve">11 – </w:t>
            </w:r>
            <w:r w:rsidRPr="00083739">
              <w:rPr>
                <w:rFonts w:cs="Times New Roman"/>
                <w:noProof/>
                <w:lang w:val="sk-SK"/>
              </w:rPr>
              <w:t>3.4. Zlepšiť prístup</w:t>
            </w:r>
            <w:r w:rsidR="00083739" w:rsidRPr="00083739">
              <w:rPr>
                <w:rFonts w:cs="Times New Roman"/>
                <w:noProof/>
                <w:lang w:val="sk-SK"/>
              </w:rPr>
              <w:t xml:space="preserve"> k </w:t>
            </w:r>
            <w:r w:rsidRPr="00083739">
              <w:rPr>
                <w:rFonts w:cs="Times New Roman"/>
                <w:noProof/>
                <w:lang w:val="sk-SK"/>
              </w:rPr>
              <w:t>účinným</w:t>
            </w:r>
            <w:r w:rsidR="00083739" w:rsidRPr="00083739">
              <w:rPr>
                <w:rFonts w:cs="Times New Roman"/>
                <w:noProof/>
                <w:lang w:val="sk-SK"/>
              </w:rPr>
              <w:t xml:space="preserve"> a </w:t>
            </w:r>
            <w:r w:rsidRPr="00083739">
              <w:rPr>
                <w:rFonts w:cs="Times New Roman"/>
                <w:noProof/>
                <w:lang w:val="sk-SK"/>
              </w:rPr>
              <w:t>inkluzívnym sociálnym politikám – 16726 Optimizácia sociálnych dávok</w:t>
            </w:r>
          </w:p>
        </w:tc>
        <w:tc>
          <w:tcPr>
            <w:tcW w:w="1560" w:type="dxa"/>
            <w:tcBorders>
              <w:top w:val="nil"/>
              <w:left w:val="nil"/>
              <w:bottom w:val="single" w:sz="4" w:space="0" w:color="auto"/>
              <w:right w:val="single" w:sz="4" w:space="0" w:color="auto"/>
            </w:tcBorders>
            <w:shd w:val="clear" w:color="auto" w:fill="C6EFCE"/>
            <w:noWrap/>
            <w:vAlign w:val="center"/>
          </w:tcPr>
          <w:p w14:paraId="26E1B78C" w14:textId="3E870577"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Míľnik</w:t>
            </w:r>
          </w:p>
        </w:tc>
        <w:tc>
          <w:tcPr>
            <w:tcW w:w="1920" w:type="dxa"/>
            <w:tcBorders>
              <w:top w:val="nil"/>
              <w:left w:val="nil"/>
              <w:bottom w:val="single" w:sz="4" w:space="0" w:color="auto"/>
              <w:right w:val="single" w:sz="4" w:space="0" w:color="auto"/>
            </w:tcBorders>
            <w:shd w:val="clear" w:color="auto" w:fill="C6EFCE"/>
            <w:noWrap/>
            <w:vAlign w:val="center"/>
          </w:tcPr>
          <w:p w14:paraId="3C4B4BBA" w14:textId="5CE97368"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Predplatené karty Optimizácie sociálnych dávok</w:t>
            </w:r>
          </w:p>
        </w:tc>
      </w:tr>
      <w:tr w:rsidR="002D49B0" w:rsidRPr="00083739" w14:paraId="7C4963FA"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7C141C2E"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176</w:t>
            </w:r>
          </w:p>
        </w:tc>
        <w:tc>
          <w:tcPr>
            <w:tcW w:w="4320" w:type="dxa"/>
            <w:tcBorders>
              <w:top w:val="nil"/>
              <w:left w:val="nil"/>
              <w:bottom w:val="single" w:sz="4" w:space="0" w:color="auto"/>
              <w:right w:val="single" w:sz="4" w:space="0" w:color="auto"/>
            </w:tcBorders>
            <w:shd w:val="clear" w:color="auto" w:fill="C6EFCE"/>
            <w:noWrap/>
            <w:vAlign w:val="center"/>
          </w:tcPr>
          <w:p w14:paraId="2A8A0EAB" w14:textId="32BC8392"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11 – 3.4. Zlepšiť prístup</w:t>
            </w:r>
            <w:r w:rsidR="00083739" w:rsidRPr="00083739">
              <w:rPr>
                <w:rFonts w:cs="Times New Roman"/>
                <w:noProof/>
                <w:lang w:val="sk-SK"/>
              </w:rPr>
              <w:t xml:space="preserve"> k </w:t>
            </w:r>
            <w:r w:rsidRPr="00083739">
              <w:rPr>
                <w:rFonts w:cs="Times New Roman"/>
                <w:noProof/>
                <w:lang w:val="sk-SK"/>
              </w:rPr>
              <w:t>účinným</w:t>
            </w:r>
            <w:r w:rsidR="00083739" w:rsidRPr="00083739">
              <w:rPr>
                <w:rFonts w:cs="Times New Roman"/>
                <w:noProof/>
                <w:lang w:val="sk-SK"/>
              </w:rPr>
              <w:t xml:space="preserve"> a </w:t>
            </w:r>
            <w:r w:rsidRPr="00083739">
              <w:rPr>
                <w:rFonts w:cs="Times New Roman"/>
                <w:noProof/>
                <w:lang w:val="sk-SK"/>
              </w:rPr>
              <w:t xml:space="preserve">inkluzívnym sociálnym politikám – 16904_Zdravotné </w:t>
            </w:r>
            <w:r w:rsidRPr="00083739">
              <w:rPr>
                <w:rFonts w:cs="Times New Roman"/>
                <w:noProof/>
                <w:lang w:val="sk-SK"/>
              </w:rPr>
              <w:t>postihnutie</w:t>
            </w:r>
          </w:p>
        </w:tc>
        <w:tc>
          <w:tcPr>
            <w:tcW w:w="1560" w:type="dxa"/>
            <w:tcBorders>
              <w:top w:val="nil"/>
              <w:left w:val="nil"/>
              <w:bottom w:val="single" w:sz="4" w:space="0" w:color="auto"/>
              <w:right w:val="single" w:sz="4" w:space="0" w:color="auto"/>
            </w:tcBorders>
            <w:shd w:val="clear" w:color="auto" w:fill="C6EFCE"/>
            <w:noWrap/>
            <w:vAlign w:val="center"/>
          </w:tcPr>
          <w:p w14:paraId="0D6176A3"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Míľnik</w:t>
            </w:r>
          </w:p>
        </w:tc>
        <w:tc>
          <w:tcPr>
            <w:tcW w:w="1920" w:type="dxa"/>
            <w:tcBorders>
              <w:top w:val="nil"/>
              <w:left w:val="nil"/>
              <w:bottom w:val="single" w:sz="4" w:space="0" w:color="auto"/>
              <w:right w:val="single" w:sz="4" w:space="0" w:color="auto"/>
            </w:tcBorders>
            <w:shd w:val="clear" w:color="auto" w:fill="C6EFCE"/>
            <w:noWrap/>
            <w:vAlign w:val="center"/>
          </w:tcPr>
          <w:p w14:paraId="6F110DC0" w14:textId="7C482E41"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Dokončenie druhej fázy posúdenia zdravotného postihnutia</w:t>
            </w:r>
            <w:r w:rsidR="00083739" w:rsidRPr="00083739">
              <w:rPr>
                <w:rFonts w:cs="Times New Roman"/>
                <w:noProof/>
                <w:lang w:val="sk-SK"/>
              </w:rPr>
              <w:t xml:space="preserve"> v </w:t>
            </w:r>
            <w:r w:rsidRPr="00083739">
              <w:rPr>
                <w:rFonts w:cs="Times New Roman"/>
                <w:noProof/>
                <w:lang w:val="sk-SK"/>
              </w:rPr>
              <w:t>oblasti osobnej asistencie</w:t>
            </w:r>
          </w:p>
        </w:tc>
      </w:tr>
      <w:tr w:rsidR="002D49B0" w:rsidRPr="00083739" w14:paraId="4F4A11F8"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352CD80A"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184</w:t>
            </w:r>
          </w:p>
        </w:tc>
        <w:tc>
          <w:tcPr>
            <w:tcW w:w="4320" w:type="dxa"/>
            <w:tcBorders>
              <w:top w:val="nil"/>
              <w:left w:val="nil"/>
              <w:bottom w:val="single" w:sz="4" w:space="0" w:color="auto"/>
              <w:right w:val="single" w:sz="4" w:space="0" w:color="auto"/>
            </w:tcBorders>
            <w:shd w:val="clear" w:color="auto" w:fill="C6EFCE"/>
            <w:noWrap/>
            <w:vAlign w:val="center"/>
          </w:tcPr>
          <w:p w14:paraId="1468B680" w14:textId="59F1C6A6"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11 – 3.4. Zlepšiť prístup</w:t>
            </w:r>
            <w:r w:rsidR="00083739" w:rsidRPr="00083739">
              <w:rPr>
                <w:rFonts w:cs="Times New Roman"/>
                <w:noProof/>
                <w:lang w:val="sk-SK"/>
              </w:rPr>
              <w:t xml:space="preserve"> k </w:t>
            </w:r>
            <w:r w:rsidRPr="00083739">
              <w:rPr>
                <w:rFonts w:cs="Times New Roman"/>
                <w:noProof/>
                <w:lang w:val="sk-SK"/>
              </w:rPr>
              <w:t>účinným</w:t>
            </w:r>
            <w:r w:rsidR="00083739" w:rsidRPr="00083739">
              <w:rPr>
                <w:rFonts w:cs="Times New Roman"/>
                <w:noProof/>
                <w:lang w:val="sk-SK"/>
              </w:rPr>
              <w:t xml:space="preserve"> a </w:t>
            </w:r>
            <w:r w:rsidRPr="00083739">
              <w:rPr>
                <w:rFonts w:cs="Times New Roman"/>
                <w:noProof/>
                <w:lang w:val="sk-SK"/>
              </w:rPr>
              <w:t>inkluzívnym sociálnym politikám – 16685_Informačná informovanosť</w:t>
            </w:r>
            <w:r w:rsidR="00083739" w:rsidRPr="00083739">
              <w:rPr>
                <w:rFonts w:cs="Times New Roman"/>
                <w:noProof/>
                <w:lang w:val="sk-SK"/>
              </w:rPr>
              <w:t xml:space="preserve"> o </w:t>
            </w:r>
            <w:r w:rsidRPr="00083739">
              <w:rPr>
                <w:rFonts w:cs="Times New Roman"/>
                <w:noProof/>
                <w:lang w:val="sk-SK"/>
              </w:rPr>
              <w:t>rozmanitosti</w:t>
            </w:r>
          </w:p>
        </w:tc>
        <w:tc>
          <w:tcPr>
            <w:tcW w:w="1560" w:type="dxa"/>
            <w:tcBorders>
              <w:top w:val="nil"/>
              <w:left w:val="nil"/>
              <w:bottom w:val="single" w:sz="4" w:space="0" w:color="auto"/>
              <w:right w:val="single" w:sz="4" w:space="0" w:color="auto"/>
            </w:tcBorders>
            <w:shd w:val="clear" w:color="auto" w:fill="C6EFCE"/>
            <w:noWrap/>
            <w:vAlign w:val="center"/>
          </w:tcPr>
          <w:p w14:paraId="102E0F30"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Cieľ</w:t>
            </w:r>
          </w:p>
        </w:tc>
        <w:tc>
          <w:tcPr>
            <w:tcW w:w="1920" w:type="dxa"/>
            <w:tcBorders>
              <w:top w:val="nil"/>
              <w:left w:val="nil"/>
              <w:bottom w:val="single" w:sz="4" w:space="0" w:color="auto"/>
              <w:right w:val="single" w:sz="4" w:space="0" w:color="auto"/>
            </w:tcBorders>
            <w:shd w:val="clear" w:color="auto" w:fill="C6EFCE"/>
            <w:noWrap/>
            <w:vAlign w:val="center"/>
          </w:tcPr>
          <w:p w14:paraId="5209713D" w14:textId="02CB8E81"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 xml:space="preserve">Ukončenie odbornej </w:t>
            </w:r>
            <w:r w:rsidRPr="00083739">
              <w:rPr>
                <w:rFonts w:cs="Times New Roman"/>
                <w:noProof/>
                <w:lang w:val="sk-SK"/>
              </w:rPr>
              <w:t>prípravy</w:t>
            </w:r>
            <w:r w:rsidR="00083739" w:rsidRPr="00083739">
              <w:rPr>
                <w:rFonts w:cs="Times New Roman"/>
                <w:noProof/>
                <w:lang w:val="sk-SK"/>
              </w:rPr>
              <w:t xml:space="preserve"> v </w:t>
            </w:r>
            <w:r w:rsidRPr="00083739">
              <w:rPr>
                <w:rFonts w:cs="Times New Roman"/>
                <w:noProof/>
                <w:lang w:val="sk-SK"/>
              </w:rPr>
              <w:t>oblasti informovanosti</w:t>
            </w:r>
            <w:r w:rsidR="00083739" w:rsidRPr="00083739">
              <w:rPr>
                <w:rFonts w:cs="Times New Roman"/>
                <w:noProof/>
                <w:lang w:val="sk-SK"/>
              </w:rPr>
              <w:t xml:space="preserve"> o </w:t>
            </w:r>
            <w:r w:rsidRPr="00083739">
              <w:rPr>
                <w:rFonts w:cs="Times New Roman"/>
                <w:noProof/>
                <w:lang w:val="sk-SK"/>
              </w:rPr>
              <w:t>rozmanitosti pre zamestnancov podnikov súkromného sektora</w:t>
            </w:r>
          </w:p>
        </w:tc>
      </w:tr>
      <w:tr w:rsidR="002D49B0" w:rsidRPr="00083739" w14:paraId="6C22724D"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67A024A4"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185</w:t>
            </w:r>
          </w:p>
        </w:tc>
        <w:tc>
          <w:tcPr>
            <w:tcW w:w="4320" w:type="dxa"/>
            <w:tcBorders>
              <w:top w:val="nil"/>
              <w:left w:val="nil"/>
              <w:bottom w:val="single" w:sz="4" w:space="0" w:color="auto"/>
              <w:right w:val="single" w:sz="4" w:space="0" w:color="auto"/>
            </w:tcBorders>
            <w:shd w:val="clear" w:color="auto" w:fill="C6EFCE"/>
            <w:noWrap/>
            <w:vAlign w:val="center"/>
          </w:tcPr>
          <w:p w14:paraId="05AAA7B6" w14:textId="54878234"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11 – 3.4. Zlepšenie prístupu</w:t>
            </w:r>
            <w:r w:rsidR="00083739" w:rsidRPr="00083739">
              <w:rPr>
                <w:rFonts w:cs="Times New Roman"/>
                <w:noProof/>
                <w:lang w:val="sk-SK"/>
              </w:rPr>
              <w:t xml:space="preserve"> k </w:t>
            </w:r>
            <w:r w:rsidRPr="00083739">
              <w:rPr>
                <w:rFonts w:cs="Times New Roman"/>
                <w:noProof/>
                <w:lang w:val="sk-SK"/>
              </w:rPr>
              <w:t>účinným</w:t>
            </w:r>
            <w:r w:rsidR="00083739" w:rsidRPr="00083739">
              <w:rPr>
                <w:rFonts w:cs="Times New Roman"/>
                <w:noProof/>
                <w:lang w:val="sk-SK"/>
              </w:rPr>
              <w:t xml:space="preserve"> a </w:t>
            </w:r>
            <w:r w:rsidRPr="00083739">
              <w:rPr>
                <w:rFonts w:cs="Times New Roman"/>
                <w:noProof/>
                <w:lang w:val="sk-SK"/>
              </w:rPr>
              <w:t>inkluzívnym sociálnym politikám – 16763_Digitálna transformácia prisťahovaleckého</w:t>
            </w:r>
            <w:r w:rsidR="00083739" w:rsidRPr="00083739">
              <w:rPr>
                <w:rFonts w:cs="Times New Roman"/>
                <w:noProof/>
                <w:lang w:val="sk-SK"/>
              </w:rPr>
              <w:t xml:space="preserve"> a </w:t>
            </w:r>
            <w:r w:rsidRPr="00083739">
              <w:rPr>
                <w:rFonts w:cs="Times New Roman"/>
                <w:noProof/>
                <w:lang w:val="sk-SK"/>
              </w:rPr>
              <w:t xml:space="preserve">azylového systému </w:t>
            </w:r>
          </w:p>
        </w:tc>
        <w:tc>
          <w:tcPr>
            <w:tcW w:w="1560" w:type="dxa"/>
            <w:tcBorders>
              <w:top w:val="nil"/>
              <w:left w:val="nil"/>
              <w:bottom w:val="single" w:sz="4" w:space="0" w:color="auto"/>
              <w:right w:val="single" w:sz="4" w:space="0" w:color="auto"/>
            </w:tcBorders>
            <w:shd w:val="clear" w:color="auto" w:fill="C6EFCE"/>
            <w:noWrap/>
            <w:vAlign w:val="center"/>
          </w:tcPr>
          <w:p w14:paraId="7EF09574"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920" w:type="dxa"/>
            <w:tcBorders>
              <w:top w:val="nil"/>
              <w:left w:val="nil"/>
              <w:bottom w:val="single" w:sz="4" w:space="0" w:color="auto"/>
              <w:right w:val="single" w:sz="4" w:space="0" w:color="auto"/>
            </w:tcBorders>
            <w:shd w:val="clear" w:color="auto" w:fill="C6EFCE"/>
            <w:noWrap/>
            <w:vAlign w:val="center"/>
          </w:tcPr>
          <w:p w14:paraId="6EA28703"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Digitalizácia migračného azylového systému</w:t>
            </w:r>
          </w:p>
        </w:tc>
      </w:tr>
      <w:tr w:rsidR="002D49B0" w:rsidRPr="00083739" w14:paraId="7BC1F70F"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tcPr>
          <w:p w14:paraId="0087E9B0"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195a</w:t>
            </w:r>
          </w:p>
        </w:tc>
        <w:tc>
          <w:tcPr>
            <w:tcW w:w="4320" w:type="dxa"/>
            <w:tcBorders>
              <w:top w:val="nil"/>
              <w:left w:val="nil"/>
              <w:bottom w:val="single" w:sz="4" w:space="0" w:color="auto"/>
              <w:right w:val="single" w:sz="4" w:space="0" w:color="auto"/>
            </w:tcBorders>
            <w:shd w:val="clear" w:color="auto" w:fill="C6EFCE"/>
            <w:noWrap/>
          </w:tcPr>
          <w:p w14:paraId="791CC632" w14:textId="79CFD36F"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12 – 4.1. Zabezpečiť, aby dane boli priaznivejšie pre rast</w:t>
            </w:r>
            <w:r w:rsidR="00083739" w:rsidRPr="00083739">
              <w:rPr>
                <w:rFonts w:cs="Times New Roman"/>
                <w:noProof/>
                <w:lang w:val="sk-SK"/>
              </w:rPr>
              <w:t xml:space="preserve"> a </w:t>
            </w:r>
            <w:r w:rsidRPr="00083739">
              <w:rPr>
                <w:rFonts w:cs="Times New Roman"/>
                <w:noProof/>
                <w:lang w:val="sk-SK"/>
              </w:rPr>
              <w:t>zlepšiť daňovú správu</w:t>
            </w:r>
            <w:r w:rsidR="00083739" w:rsidRPr="00083739">
              <w:rPr>
                <w:rFonts w:cs="Times New Roman"/>
                <w:noProof/>
                <w:lang w:val="sk-SK"/>
              </w:rPr>
              <w:t xml:space="preserve"> a </w:t>
            </w:r>
            <w:r w:rsidRPr="00083739">
              <w:rPr>
                <w:rFonts w:cs="Times New Roman"/>
                <w:noProof/>
                <w:lang w:val="sk-SK"/>
              </w:rPr>
              <w:t>výber daní – 16291_Digitálna transformácia daňovej</w:t>
            </w:r>
            <w:r w:rsidR="00083739" w:rsidRPr="00083739">
              <w:rPr>
                <w:rFonts w:cs="Times New Roman"/>
                <w:noProof/>
                <w:lang w:val="sk-SK"/>
              </w:rPr>
              <w:t xml:space="preserve"> a </w:t>
            </w:r>
            <w:r w:rsidRPr="00083739">
              <w:rPr>
                <w:rFonts w:cs="Times New Roman"/>
                <w:noProof/>
                <w:lang w:val="sk-SK"/>
              </w:rPr>
              <w:t>colnej správy</w:t>
            </w:r>
          </w:p>
        </w:tc>
        <w:tc>
          <w:tcPr>
            <w:tcW w:w="1560" w:type="dxa"/>
            <w:tcBorders>
              <w:top w:val="nil"/>
              <w:left w:val="nil"/>
              <w:bottom w:val="single" w:sz="4" w:space="0" w:color="auto"/>
              <w:right w:val="single" w:sz="4" w:space="0" w:color="auto"/>
            </w:tcBorders>
            <w:shd w:val="clear" w:color="auto" w:fill="C6EFCE"/>
            <w:noWrap/>
          </w:tcPr>
          <w:p w14:paraId="5FEC7462"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Míľnik</w:t>
            </w:r>
          </w:p>
        </w:tc>
        <w:tc>
          <w:tcPr>
            <w:tcW w:w="1920" w:type="dxa"/>
            <w:tcBorders>
              <w:top w:val="nil"/>
              <w:left w:val="nil"/>
              <w:bottom w:val="single" w:sz="4" w:space="0" w:color="auto"/>
              <w:right w:val="single" w:sz="4" w:space="0" w:color="auto"/>
            </w:tcBorders>
            <w:shd w:val="clear" w:color="auto" w:fill="C6EFCE"/>
            <w:noWrap/>
          </w:tcPr>
          <w:p w14:paraId="0D39C186"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Realizácia čiastkových projektov</w:t>
            </w:r>
          </w:p>
        </w:tc>
      </w:tr>
      <w:tr w:rsidR="002D49B0" w:rsidRPr="00083739" w14:paraId="04BC3E83"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28BB2570"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236</w:t>
            </w:r>
          </w:p>
        </w:tc>
        <w:tc>
          <w:tcPr>
            <w:tcW w:w="4320" w:type="dxa"/>
            <w:tcBorders>
              <w:top w:val="nil"/>
              <w:left w:val="nil"/>
              <w:bottom w:val="single" w:sz="4" w:space="0" w:color="auto"/>
              <w:right w:val="single" w:sz="4" w:space="0" w:color="auto"/>
            </w:tcBorders>
            <w:shd w:val="clear" w:color="auto" w:fill="C6EFCE"/>
            <w:noWrap/>
            <w:vAlign w:val="center"/>
          </w:tcPr>
          <w:p w14:paraId="2E980537"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 xml:space="preserve">14 – 4.3. </w:t>
            </w:r>
            <w:r w:rsidRPr="00083739">
              <w:rPr>
                <w:rFonts w:cs="Times New Roman"/>
                <w:noProof/>
                <w:lang w:val="sk-SK"/>
              </w:rPr>
              <w:t>Zlepšiť efektívnosť justičného systému – 16575 Urýchlenie výkonu spravodlivosti</w:t>
            </w:r>
          </w:p>
        </w:tc>
        <w:tc>
          <w:tcPr>
            <w:tcW w:w="1560" w:type="dxa"/>
            <w:tcBorders>
              <w:top w:val="nil"/>
              <w:left w:val="nil"/>
              <w:bottom w:val="single" w:sz="4" w:space="0" w:color="auto"/>
              <w:right w:val="single" w:sz="4" w:space="0" w:color="auto"/>
            </w:tcBorders>
            <w:shd w:val="clear" w:color="auto" w:fill="C6EFCE"/>
            <w:noWrap/>
            <w:vAlign w:val="center"/>
          </w:tcPr>
          <w:p w14:paraId="190CEC6B"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920" w:type="dxa"/>
            <w:tcBorders>
              <w:top w:val="nil"/>
              <w:left w:val="nil"/>
              <w:bottom w:val="single" w:sz="4" w:space="0" w:color="auto"/>
              <w:right w:val="single" w:sz="4" w:space="0" w:color="auto"/>
            </w:tcBorders>
            <w:shd w:val="clear" w:color="auto" w:fill="C6EFCE"/>
            <w:noWrap/>
            <w:vAlign w:val="center"/>
          </w:tcPr>
          <w:p w14:paraId="1FD68BC1" w14:textId="57BBE44B"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Revízia súdnej mapy – úplné vykonávanie</w:t>
            </w:r>
          </w:p>
        </w:tc>
      </w:tr>
      <w:tr w:rsidR="002D49B0" w:rsidRPr="00083739" w14:paraId="01C880F2"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44B6E16F"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247a</w:t>
            </w:r>
          </w:p>
        </w:tc>
        <w:tc>
          <w:tcPr>
            <w:tcW w:w="4320" w:type="dxa"/>
            <w:tcBorders>
              <w:top w:val="nil"/>
              <w:left w:val="nil"/>
              <w:bottom w:val="single" w:sz="4" w:space="0" w:color="auto"/>
              <w:right w:val="single" w:sz="4" w:space="0" w:color="auto"/>
            </w:tcBorders>
            <w:shd w:val="clear" w:color="auto" w:fill="C6EFCE"/>
            <w:noWrap/>
            <w:vAlign w:val="center"/>
          </w:tcPr>
          <w:p w14:paraId="36F341DB" w14:textId="60865938"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16 – 4.5. Podpora výskumu</w:t>
            </w:r>
            <w:r w:rsidR="00083739" w:rsidRPr="00083739">
              <w:rPr>
                <w:rFonts w:cs="Times New Roman"/>
                <w:noProof/>
                <w:lang w:val="sk-SK"/>
              </w:rPr>
              <w:t xml:space="preserve"> a </w:t>
            </w:r>
            <w:r w:rsidRPr="00083739">
              <w:rPr>
                <w:rFonts w:cs="Times New Roman"/>
                <w:noProof/>
                <w:lang w:val="sk-SK"/>
              </w:rPr>
              <w:t xml:space="preserve">inovácií – 16624_Vytvorenie – Rozšírenie – modernizácia infraštruktúr výskumných centier pod </w:t>
            </w:r>
            <w:r w:rsidRPr="00083739">
              <w:rPr>
                <w:rFonts w:cs="Times New Roman"/>
                <w:noProof/>
                <w:lang w:val="sk-SK"/>
              </w:rPr>
              <w:t>dohľadom Generálneho sekretariátu pre výskum</w:t>
            </w:r>
            <w:r w:rsidR="00083739" w:rsidRPr="00083739">
              <w:rPr>
                <w:rFonts w:cs="Times New Roman"/>
                <w:noProof/>
                <w:lang w:val="sk-SK"/>
              </w:rPr>
              <w:t xml:space="preserve"> a </w:t>
            </w:r>
            <w:r w:rsidRPr="00083739">
              <w:rPr>
                <w:rFonts w:cs="Times New Roman"/>
                <w:noProof/>
                <w:lang w:val="sk-SK"/>
              </w:rPr>
              <w:t>inováciu (GSRI)</w:t>
            </w:r>
          </w:p>
        </w:tc>
        <w:tc>
          <w:tcPr>
            <w:tcW w:w="1560" w:type="dxa"/>
            <w:tcBorders>
              <w:top w:val="nil"/>
              <w:left w:val="nil"/>
              <w:bottom w:val="single" w:sz="4" w:space="0" w:color="auto"/>
              <w:right w:val="single" w:sz="4" w:space="0" w:color="auto"/>
            </w:tcBorders>
            <w:shd w:val="clear" w:color="auto" w:fill="C6EFCE"/>
            <w:noWrap/>
            <w:vAlign w:val="center"/>
          </w:tcPr>
          <w:p w14:paraId="2D3242EE"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Míľnik</w:t>
            </w:r>
          </w:p>
        </w:tc>
        <w:tc>
          <w:tcPr>
            <w:tcW w:w="1920" w:type="dxa"/>
            <w:tcBorders>
              <w:top w:val="nil"/>
              <w:left w:val="nil"/>
              <w:bottom w:val="single" w:sz="4" w:space="0" w:color="auto"/>
              <w:right w:val="single" w:sz="4" w:space="0" w:color="auto"/>
            </w:tcBorders>
            <w:shd w:val="clear" w:color="auto" w:fill="C6EFCE"/>
            <w:noWrap/>
            <w:vAlign w:val="center"/>
          </w:tcPr>
          <w:p w14:paraId="7C3E6C2A" w14:textId="7A021A4D"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Zadávanie zákaziek na výskumné centrá – nákupy zariadení</w:t>
            </w:r>
            <w:r w:rsidR="00083739" w:rsidRPr="00083739">
              <w:rPr>
                <w:rFonts w:cs="Times New Roman"/>
                <w:noProof/>
                <w:lang w:val="sk-SK"/>
              </w:rPr>
              <w:t xml:space="preserve"> a </w:t>
            </w:r>
            <w:r w:rsidRPr="00083739">
              <w:rPr>
                <w:rFonts w:cs="Times New Roman"/>
                <w:noProof/>
                <w:lang w:val="sk-SK"/>
              </w:rPr>
              <w:t>budov</w:t>
            </w:r>
          </w:p>
        </w:tc>
      </w:tr>
      <w:tr w:rsidR="002D49B0" w:rsidRPr="00083739" w14:paraId="733CA3E7"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4A617199" w14:textId="2277F623"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277</w:t>
            </w:r>
          </w:p>
        </w:tc>
        <w:tc>
          <w:tcPr>
            <w:tcW w:w="4320" w:type="dxa"/>
            <w:tcBorders>
              <w:top w:val="nil"/>
              <w:left w:val="nil"/>
              <w:bottom w:val="single" w:sz="4" w:space="0" w:color="auto"/>
              <w:right w:val="single" w:sz="4" w:space="0" w:color="auto"/>
            </w:tcBorders>
            <w:shd w:val="clear" w:color="auto" w:fill="C6EFCE"/>
            <w:noWrap/>
            <w:vAlign w:val="center"/>
          </w:tcPr>
          <w:p w14:paraId="174FDB18" w14:textId="10C7A379"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17 – 4.6. Modernizácia</w:t>
            </w:r>
            <w:r w:rsidR="00083739" w:rsidRPr="00083739">
              <w:rPr>
                <w:rFonts w:cs="Times New Roman"/>
                <w:noProof/>
                <w:lang w:val="sk-SK"/>
              </w:rPr>
              <w:t xml:space="preserve"> a </w:t>
            </w:r>
            <w:r w:rsidRPr="00083739">
              <w:rPr>
                <w:rFonts w:cs="Times New Roman"/>
                <w:noProof/>
                <w:lang w:val="sk-SK"/>
              </w:rPr>
              <w:t xml:space="preserve">zlepšenie odolnosti kľúčových hospodárskych odvetví – 16786_Zjednodušenie postupov </w:t>
            </w:r>
            <w:r w:rsidRPr="00083739">
              <w:rPr>
                <w:rFonts w:cs="Times New Roman"/>
                <w:noProof/>
                <w:lang w:val="sk-SK"/>
              </w:rPr>
              <w:t>ministerstva infraštruktúry</w:t>
            </w:r>
            <w:r w:rsidR="00083739" w:rsidRPr="00083739">
              <w:rPr>
                <w:rFonts w:cs="Times New Roman"/>
                <w:noProof/>
                <w:lang w:val="sk-SK"/>
              </w:rPr>
              <w:t xml:space="preserve"> a </w:t>
            </w:r>
            <w:r w:rsidRPr="00083739">
              <w:rPr>
                <w:rFonts w:cs="Times New Roman"/>
                <w:noProof/>
                <w:lang w:val="sk-SK"/>
              </w:rPr>
              <w:t>dopravy</w:t>
            </w:r>
          </w:p>
        </w:tc>
        <w:tc>
          <w:tcPr>
            <w:tcW w:w="1560" w:type="dxa"/>
            <w:tcBorders>
              <w:top w:val="nil"/>
              <w:left w:val="nil"/>
              <w:bottom w:val="single" w:sz="4" w:space="0" w:color="auto"/>
              <w:right w:val="single" w:sz="4" w:space="0" w:color="auto"/>
            </w:tcBorders>
            <w:shd w:val="clear" w:color="auto" w:fill="C6EFCE"/>
            <w:noWrap/>
            <w:vAlign w:val="center"/>
          </w:tcPr>
          <w:p w14:paraId="6D94D965" w14:textId="605235CA"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Míľnik</w:t>
            </w:r>
          </w:p>
        </w:tc>
        <w:tc>
          <w:tcPr>
            <w:tcW w:w="1920" w:type="dxa"/>
            <w:tcBorders>
              <w:top w:val="nil"/>
              <w:left w:val="nil"/>
              <w:bottom w:val="single" w:sz="4" w:space="0" w:color="auto"/>
              <w:right w:val="single" w:sz="4" w:space="0" w:color="auto"/>
            </w:tcBorders>
            <w:shd w:val="clear" w:color="auto" w:fill="C6EFCE"/>
            <w:noWrap/>
            <w:vAlign w:val="center"/>
          </w:tcPr>
          <w:p w14:paraId="0264E1F2" w14:textId="34B19F42"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Zjednodušenie postupov pre ministerstvo infraštruktúry</w:t>
            </w:r>
            <w:r w:rsidR="00083739" w:rsidRPr="00083739">
              <w:rPr>
                <w:rFonts w:cs="Times New Roman"/>
                <w:noProof/>
                <w:lang w:val="sk-SK"/>
              </w:rPr>
              <w:t xml:space="preserve"> a </w:t>
            </w:r>
            <w:r w:rsidRPr="00083739">
              <w:rPr>
                <w:rFonts w:cs="Times New Roman"/>
                <w:noProof/>
                <w:lang w:val="sk-SK"/>
              </w:rPr>
              <w:t>dopravy</w:t>
            </w:r>
          </w:p>
        </w:tc>
      </w:tr>
      <w:tr w:rsidR="002D49B0" w:rsidRPr="00083739" w14:paraId="6597D391"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040776CB"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280</w:t>
            </w:r>
          </w:p>
        </w:tc>
        <w:tc>
          <w:tcPr>
            <w:tcW w:w="4320" w:type="dxa"/>
            <w:tcBorders>
              <w:top w:val="nil"/>
              <w:left w:val="nil"/>
              <w:bottom w:val="single" w:sz="4" w:space="0" w:color="auto"/>
              <w:right w:val="single" w:sz="4" w:space="0" w:color="auto"/>
            </w:tcBorders>
            <w:shd w:val="clear" w:color="auto" w:fill="C6EFCE"/>
            <w:noWrap/>
            <w:vAlign w:val="center"/>
          </w:tcPr>
          <w:p w14:paraId="2D650A0A" w14:textId="736739D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17 – 4.6. Modernizácia</w:t>
            </w:r>
            <w:r w:rsidR="00083739" w:rsidRPr="00083739">
              <w:rPr>
                <w:rFonts w:cs="Times New Roman"/>
                <w:noProof/>
                <w:lang w:val="sk-SK"/>
              </w:rPr>
              <w:t xml:space="preserve"> a </w:t>
            </w:r>
            <w:r w:rsidRPr="00083739">
              <w:rPr>
                <w:rFonts w:cs="Times New Roman"/>
                <w:noProof/>
                <w:lang w:val="sk-SK"/>
              </w:rPr>
              <w:t>zlepšenie odolnosti kľúčových hospodárskych odvetví – 16293_Kultúra ako hnacia sila rastu</w:t>
            </w:r>
          </w:p>
        </w:tc>
        <w:tc>
          <w:tcPr>
            <w:tcW w:w="1560" w:type="dxa"/>
            <w:tcBorders>
              <w:top w:val="nil"/>
              <w:left w:val="nil"/>
              <w:bottom w:val="single" w:sz="4" w:space="0" w:color="auto"/>
              <w:right w:val="single" w:sz="4" w:space="0" w:color="auto"/>
            </w:tcBorders>
            <w:shd w:val="clear" w:color="auto" w:fill="C6EFCE"/>
            <w:noWrap/>
            <w:vAlign w:val="center"/>
          </w:tcPr>
          <w:p w14:paraId="183EE643"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Míľnik</w:t>
            </w:r>
          </w:p>
        </w:tc>
        <w:tc>
          <w:tcPr>
            <w:tcW w:w="1920" w:type="dxa"/>
            <w:tcBorders>
              <w:top w:val="nil"/>
              <w:left w:val="nil"/>
              <w:bottom w:val="single" w:sz="4" w:space="0" w:color="auto"/>
              <w:right w:val="single" w:sz="4" w:space="0" w:color="auto"/>
            </w:tcBorders>
            <w:shd w:val="clear" w:color="auto" w:fill="C6EFCE"/>
            <w:noWrap/>
            <w:vAlign w:val="center"/>
          </w:tcPr>
          <w:p w14:paraId="40144B41" w14:textId="05E324E3"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 xml:space="preserve">Súčasná grécka </w:t>
            </w:r>
            <w:r w:rsidRPr="00083739">
              <w:rPr>
                <w:rFonts w:cs="Times New Roman"/>
                <w:noProof/>
                <w:lang w:val="sk-SK"/>
              </w:rPr>
              <w:t>kultúrna značka</w:t>
            </w:r>
            <w:r w:rsidR="00083739" w:rsidRPr="00083739">
              <w:rPr>
                <w:rFonts w:cs="Times New Roman"/>
                <w:noProof/>
                <w:lang w:val="sk-SK"/>
              </w:rPr>
              <w:t xml:space="preserve"> a </w:t>
            </w:r>
            <w:r w:rsidRPr="00083739">
              <w:rPr>
                <w:rFonts w:cs="Times New Roman"/>
                <w:noProof/>
                <w:lang w:val="sk-SK"/>
              </w:rPr>
              <w:t>platforma</w:t>
            </w:r>
          </w:p>
        </w:tc>
      </w:tr>
      <w:tr w:rsidR="002D49B0" w:rsidRPr="00083739" w14:paraId="43320A2F"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tcPr>
          <w:p w14:paraId="0C9C46D5"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333</w:t>
            </w:r>
          </w:p>
        </w:tc>
        <w:tc>
          <w:tcPr>
            <w:tcW w:w="4320" w:type="dxa"/>
            <w:tcBorders>
              <w:top w:val="nil"/>
              <w:left w:val="nil"/>
              <w:bottom w:val="single" w:sz="4" w:space="0" w:color="auto"/>
              <w:right w:val="single" w:sz="4" w:space="0" w:color="auto"/>
            </w:tcBorders>
            <w:shd w:val="clear" w:color="auto" w:fill="C6EFCE"/>
            <w:noWrap/>
          </w:tcPr>
          <w:p w14:paraId="62561518"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5 – 2.1. Pripojenie – 16844_ Prechod na technológiu 5G, uľahčenie rozvoja inovačných služieb na diaľku</w:t>
            </w:r>
          </w:p>
        </w:tc>
        <w:tc>
          <w:tcPr>
            <w:tcW w:w="1560" w:type="dxa"/>
            <w:tcBorders>
              <w:top w:val="nil"/>
              <w:left w:val="nil"/>
              <w:bottom w:val="single" w:sz="4" w:space="0" w:color="auto"/>
              <w:right w:val="single" w:sz="4" w:space="0" w:color="auto"/>
            </w:tcBorders>
            <w:shd w:val="clear" w:color="auto" w:fill="C6EFCE"/>
            <w:noWrap/>
          </w:tcPr>
          <w:p w14:paraId="1B743102"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Míľnik</w:t>
            </w:r>
          </w:p>
        </w:tc>
        <w:tc>
          <w:tcPr>
            <w:tcW w:w="1920" w:type="dxa"/>
            <w:tcBorders>
              <w:top w:val="nil"/>
              <w:left w:val="nil"/>
              <w:bottom w:val="single" w:sz="4" w:space="0" w:color="auto"/>
              <w:right w:val="single" w:sz="4" w:space="0" w:color="auto"/>
            </w:tcBorders>
            <w:shd w:val="clear" w:color="auto" w:fill="C6EFCE"/>
            <w:noWrap/>
          </w:tcPr>
          <w:p w14:paraId="5388D3CC"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Nadobudnutie účinnosti prechodu na technologickú reformu 5G</w:t>
            </w:r>
          </w:p>
        </w:tc>
      </w:tr>
      <w:tr w:rsidR="002D49B0" w:rsidRPr="00083739" w14:paraId="7EFA0BC8" w14:textId="77777777">
        <w:trPr>
          <w:trHeight w:val="302"/>
        </w:trPr>
        <w:tc>
          <w:tcPr>
            <w:tcW w:w="1795"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6DF7FE8" w14:textId="77777777" w:rsidR="002D49B0" w:rsidRPr="00083739" w:rsidRDefault="00BF4125">
            <w:pPr>
              <w:pStyle w:val="P68B1DB1-Normal8"/>
              <w:keepNext/>
              <w:spacing w:before="40" w:after="0" w:line="259" w:lineRule="auto"/>
              <w:jc w:val="both"/>
              <w:rPr>
                <w:rFonts w:eastAsia="Times New Roman" w:cs="Times New Roman"/>
                <w:bCs/>
                <w:noProof/>
                <w:szCs w:val="18"/>
                <w:lang w:val="sk-SK"/>
              </w:rPr>
            </w:pPr>
            <w:r w:rsidRPr="00083739">
              <w:rPr>
                <w:rFonts w:cs="Times New Roman"/>
                <w:noProof/>
                <w:lang w:val="sk-SK"/>
              </w:rPr>
              <w:t>268a</w:t>
            </w:r>
          </w:p>
        </w:tc>
        <w:tc>
          <w:tcPr>
            <w:tcW w:w="4320" w:type="dxa"/>
            <w:tcBorders>
              <w:top w:val="single" w:sz="4" w:space="0" w:color="auto"/>
              <w:left w:val="nil"/>
              <w:bottom w:val="single" w:sz="4" w:space="0" w:color="auto"/>
              <w:right w:val="single" w:sz="4" w:space="0" w:color="auto"/>
            </w:tcBorders>
            <w:shd w:val="clear" w:color="auto" w:fill="C6EFCE"/>
            <w:noWrap/>
            <w:vAlign w:val="bottom"/>
          </w:tcPr>
          <w:p w14:paraId="673AB056" w14:textId="14F7287B" w:rsidR="002D49B0" w:rsidRPr="00083739" w:rsidRDefault="00BF4125">
            <w:pPr>
              <w:pStyle w:val="P68B1DB1-Normal8"/>
              <w:keepNext/>
              <w:spacing w:before="40" w:after="0" w:line="259" w:lineRule="auto"/>
              <w:jc w:val="both"/>
              <w:rPr>
                <w:rFonts w:eastAsia="Times New Roman" w:cs="Times New Roman"/>
                <w:bCs/>
                <w:noProof/>
                <w:szCs w:val="18"/>
                <w:lang w:val="sk-SK"/>
              </w:rPr>
            </w:pPr>
            <w:r w:rsidRPr="00083739">
              <w:rPr>
                <w:rFonts w:cs="Times New Roman"/>
                <w:noProof/>
                <w:lang w:val="sk-SK"/>
              </w:rPr>
              <w:t>17 – 4.6. Modernizácia</w:t>
            </w:r>
            <w:r w:rsidR="00083739" w:rsidRPr="00083739">
              <w:rPr>
                <w:rFonts w:cs="Times New Roman"/>
                <w:noProof/>
                <w:lang w:val="sk-SK"/>
              </w:rPr>
              <w:t xml:space="preserve"> a </w:t>
            </w:r>
            <w:r w:rsidRPr="00083739">
              <w:rPr>
                <w:rFonts w:cs="Times New Roman"/>
                <w:noProof/>
                <w:lang w:val="sk-SK"/>
              </w:rPr>
              <w:t xml:space="preserve">zlepšenie odolnosti </w:t>
            </w:r>
            <w:r w:rsidRPr="00083739">
              <w:rPr>
                <w:rFonts w:cs="Times New Roman"/>
                <w:noProof/>
                <w:lang w:val="sk-SK"/>
              </w:rPr>
              <w:t>kľúčových hospodárskych odvetví – 16982_Organizačná reforma</w:t>
            </w:r>
            <w:r w:rsidR="00083739" w:rsidRPr="00083739">
              <w:rPr>
                <w:rFonts w:cs="Times New Roman"/>
                <w:noProof/>
                <w:lang w:val="sk-SK"/>
              </w:rPr>
              <w:t xml:space="preserve"> v </w:t>
            </w:r>
            <w:r w:rsidRPr="00083739">
              <w:rPr>
                <w:rFonts w:cs="Times New Roman"/>
                <w:noProof/>
                <w:lang w:val="sk-SK"/>
              </w:rPr>
              <w:t>železničnom sektore</w:t>
            </w:r>
          </w:p>
        </w:tc>
        <w:tc>
          <w:tcPr>
            <w:tcW w:w="1560" w:type="dxa"/>
            <w:tcBorders>
              <w:top w:val="single" w:sz="4" w:space="0" w:color="auto"/>
              <w:left w:val="nil"/>
              <w:bottom w:val="single" w:sz="4" w:space="0" w:color="auto"/>
              <w:right w:val="single" w:sz="4" w:space="0" w:color="auto"/>
            </w:tcBorders>
            <w:shd w:val="clear" w:color="auto" w:fill="C6EFCE"/>
            <w:noWrap/>
            <w:vAlign w:val="bottom"/>
          </w:tcPr>
          <w:p w14:paraId="518BB0E7" w14:textId="77777777" w:rsidR="002D49B0" w:rsidRPr="00083739" w:rsidRDefault="00BF4125">
            <w:pPr>
              <w:pStyle w:val="P68B1DB1-Normal8"/>
              <w:keepNext/>
              <w:spacing w:before="40" w:after="0" w:line="259" w:lineRule="auto"/>
              <w:jc w:val="both"/>
              <w:rPr>
                <w:rFonts w:eastAsia="Times New Roman" w:cs="Times New Roman"/>
                <w:noProof/>
                <w:szCs w:val="18"/>
                <w:lang w:val="sk-SK"/>
              </w:rPr>
            </w:pPr>
            <w:r w:rsidRPr="00083739">
              <w:rPr>
                <w:rFonts w:cs="Times New Roman"/>
                <w:noProof/>
                <w:lang w:val="sk-SK"/>
              </w:rPr>
              <w:t>Míľnik</w:t>
            </w:r>
          </w:p>
        </w:tc>
        <w:tc>
          <w:tcPr>
            <w:tcW w:w="1920" w:type="dxa"/>
            <w:tcBorders>
              <w:top w:val="single" w:sz="4" w:space="0" w:color="auto"/>
              <w:left w:val="nil"/>
              <w:bottom w:val="single" w:sz="4" w:space="0" w:color="auto"/>
              <w:right w:val="single" w:sz="4" w:space="0" w:color="auto"/>
            </w:tcBorders>
            <w:shd w:val="clear" w:color="auto" w:fill="C6EFCE"/>
            <w:noWrap/>
            <w:vAlign w:val="bottom"/>
          </w:tcPr>
          <w:p w14:paraId="770E69B4" w14:textId="59D9C604" w:rsidR="002D49B0" w:rsidRPr="00083739" w:rsidRDefault="00BF4125">
            <w:pPr>
              <w:pStyle w:val="P68B1DB1-Normal24"/>
              <w:keepNext/>
              <w:spacing w:before="40" w:after="0" w:line="259" w:lineRule="auto"/>
              <w:jc w:val="both"/>
              <w:rPr>
                <w:rFonts w:ascii="Times New Roman" w:eastAsia="Times New Roman" w:hAnsi="Times New Roman" w:cs="Times New Roman"/>
                <w:noProof/>
                <w:color w:val="006100"/>
                <w:lang w:val="sk-SK"/>
              </w:rPr>
            </w:pPr>
            <w:r w:rsidRPr="00083739">
              <w:rPr>
                <w:rFonts w:ascii="Times New Roman" w:hAnsi="Times New Roman" w:cs="Times New Roman"/>
                <w:noProof/>
                <w:lang w:val="sk-SK"/>
              </w:rPr>
              <w:t>Právne predpisy pre grécke železnice</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color w:val="006100"/>
                <w:lang w:val="sk-SK"/>
              </w:rPr>
              <w:t xml:space="preserve"> </w:t>
            </w:r>
            <w:r w:rsidRPr="00083739">
              <w:rPr>
                <w:rFonts w:ascii="Times New Roman" w:hAnsi="Times New Roman" w:cs="Times New Roman"/>
                <w:noProof/>
                <w:lang w:val="sk-SK"/>
              </w:rPr>
              <w:t>uzavretie dohody pre technického manažéra</w:t>
            </w:r>
          </w:p>
        </w:tc>
      </w:tr>
      <w:tr w:rsidR="002D49B0" w:rsidRPr="00083739" w14:paraId="03BA9E6A" w14:textId="77777777">
        <w:trPr>
          <w:trHeight w:val="302"/>
        </w:trPr>
        <w:tc>
          <w:tcPr>
            <w:tcW w:w="1795" w:type="dxa"/>
            <w:tcBorders>
              <w:top w:val="single" w:sz="4" w:space="0" w:color="auto"/>
              <w:left w:val="single" w:sz="4" w:space="0" w:color="auto"/>
              <w:bottom w:val="single" w:sz="4" w:space="0" w:color="auto"/>
              <w:right w:val="single" w:sz="4" w:space="0" w:color="auto"/>
            </w:tcBorders>
            <w:shd w:val="clear" w:color="auto" w:fill="C6EFCE"/>
            <w:noWrap/>
          </w:tcPr>
          <w:p w14:paraId="59A2FF5A" w14:textId="77777777" w:rsidR="002D49B0" w:rsidRPr="00083739" w:rsidRDefault="00BF4125">
            <w:pPr>
              <w:pStyle w:val="P68B1DB1-Normal8"/>
              <w:keepNext/>
              <w:spacing w:before="40" w:after="0" w:line="259" w:lineRule="auto"/>
              <w:jc w:val="both"/>
              <w:rPr>
                <w:rFonts w:eastAsia="Times New Roman" w:cs="Times New Roman"/>
                <w:bCs/>
                <w:noProof/>
                <w:szCs w:val="18"/>
                <w:lang w:val="sk-SK"/>
              </w:rPr>
            </w:pPr>
            <w:r w:rsidRPr="00083739">
              <w:rPr>
                <w:rFonts w:cs="Times New Roman"/>
                <w:noProof/>
                <w:lang w:val="sk-SK"/>
              </w:rPr>
              <w:t>353</w:t>
            </w:r>
          </w:p>
        </w:tc>
        <w:tc>
          <w:tcPr>
            <w:tcW w:w="4320" w:type="dxa"/>
            <w:tcBorders>
              <w:top w:val="single" w:sz="4" w:space="0" w:color="auto"/>
              <w:left w:val="nil"/>
              <w:bottom w:val="single" w:sz="4" w:space="0" w:color="auto"/>
              <w:right w:val="single" w:sz="4" w:space="0" w:color="auto"/>
            </w:tcBorders>
            <w:shd w:val="clear" w:color="auto" w:fill="C6EFCE"/>
            <w:noWrap/>
          </w:tcPr>
          <w:p w14:paraId="5D2AF7BC" w14:textId="323A6AC5" w:rsidR="002D49B0" w:rsidRPr="00083739" w:rsidRDefault="00BF4125">
            <w:pPr>
              <w:pStyle w:val="P68B1DB1-Normal8"/>
              <w:keepNext/>
              <w:spacing w:before="40" w:after="0" w:line="259" w:lineRule="auto"/>
              <w:jc w:val="both"/>
              <w:rPr>
                <w:rFonts w:eastAsia="Times New Roman" w:cs="Times New Roman"/>
                <w:bCs/>
                <w:noProof/>
                <w:szCs w:val="18"/>
                <w:lang w:val="sk-SK"/>
              </w:rPr>
            </w:pPr>
            <w:r w:rsidRPr="00083739">
              <w:rPr>
                <w:rFonts w:cs="Times New Roman"/>
                <w:noProof/>
                <w:lang w:val="sk-SK"/>
              </w:rPr>
              <w:t>20 – 5.1. Reformy REPowerEU – 16989_Optimizácia využívania pevniny</w:t>
            </w:r>
            <w:r w:rsidR="00083739" w:rsidRPr="00083739">
              <w:rPr>
                <w:rFonts w:cs="Times New Roman"/>
                <w:noProof/>
                <w:lang w:val="sk-SK"/>
              </w:rPr>
              <w:t xml:space="preserve"> a </w:t>
            </w:r>
            <w:r w:rsidRPr="00083739">
              <w:rPr>
                <w:rFonts w:cs="Times New Roman"/>
                <w:noProof/>
                <w:lang w:val="sk-SK"/>
              </w:rPr>
              <w:t xml:space="preserve">morského </w:t>
            </w:r>
            <w:r w:rsidRPr="00083739">
              <w:rPr>
                <w:rFonts w:cs="Times New Roman"/>
                <w:noProof/>
                <w:lang w:val="sk-SK"/>
              </w:rPr>
              <w:t>priestoru na rozvoj obnoviteľných zdrojov energie</w:t>
            </w:r>
            <w:r w:rsidR="00083739" w:rsidRPr="00083739">
              <w:rPr>
                <w:rFonts w:cs="Times New Roman"/>
                <w:noProof/>
                <w:lang w:val="sk-SK"/>
              </w:rPr>
              <w:t xml:space="preserve"> a </w:t>
            </w:r>
            <w:r w:rsidRPr="00083739">
              <w:rPr>
                <w:rFonts w:cs="Times New Roman"/>
                <w:noProof/>
                <w:lang w:val="sk-SK"/>
              </w:rPr>
              <w:t>rozvoja veternej energie na mori</w:t>
            </w:r>
          </w:p>
        </w:tc>
        <w:tc>
          <w:tcPr>
            <w:tcW w:w="1560" w:type="dxa"/>
            <w:tcBorders>
              <w:top w:val="single" w:sz="4" w:space="0" w:color="auto"/>
              <w:left w:val="nil"/>
              <w:bottom w:val="single" w:sz="4" w:space="0" w:color="auto"/>
              <w:right w:val="single" w:sz="4" w:space="0" w:color="auto"/>
            </w:tcBorders>
            <w:shd w:val="clear" w:color="auto" w:fill="C6EFCE"/>
            <w:noWrap/>
          </w:tcPr>
          <w:p w14:paraId="546ED18B" w14:textId="77777777" w:rsidR="002D49B0" w:rsidRPr="00083739" w:rsidRDefault="00BF4125">
            <w:pPr>
              <w:pStyle w:val="P68B1DB1-Normal8"/>
              <w:keepNext/>
              <w:spacing w:before="40" w:after="0" w:line="259" w:lineRule="auto"/>
              <w:jc w:val="both"/>
              <w:rPr>
                <w:rFonts w:eastAsia="Times New Roman" w:cs="Times New Roman"/>
                <w:noProof/>
                <w:szCs w:val="18"/>
                <w:lang w:val="sk-SK"/>
              </w:rPr>
            </w:pPr>
            <w:r w:rsidRPr="00083739">
              <w:rPr>
                <w:rFonts w:cs="Times New Roman"/>
                <w:noProof/>
                <w:lang w:val="sk-SK"/>
              </w:rPr>
              <w:t>Míľnik</w:t>
            </w:r>
          </w:p>
        </w:tc>
        <w:tc>
          <w:tcPr>
            <w:tcW w:w="1920" w:type="dxa"/>
            <w:tcBorders>
              <w:top w:val="single" w:sz="4" w:space="0" w:color="auto"/>
              <w:left w:val="nil"/>
              <w:bottom w:val="single" w:sz="4" w:space="0" w:color="auto"/>
              <w:right w:val="single" w:sz="4" w:space="0" w:color="auto"/>
            </w:tcBorders>
            <w:shd w:val="clear" w:color="auto" w:fill="C6EFCE"/>
            <w:noWrap/>
          </w:tcPr>
          <w:p w14:paraId="3A69B111" w14:textId="09CA88A0" w:rsidR="002D49B0" w:rsidRPr="00083739" w:rsidRDefault="00BF4125">
            <w:pPr>
              <w:pStyle w:val="P68B1DB1-Normal8"/>
              <w:keepNext/>
              <w:spacing w:before="40" w:after="0" w:line="259" w:lineRule="auto"/>
              <w:jc w:val="both"/>
              <w:rPr>
                <w:rFonts w:eastAsia="Times New Roman" w:cs="Times New Roman"/>
                <w:noProof/>
                <w:szCs w:val="18"/>
                <w:lang w:val="sk-SK"/>
              </w:rPr>
            </w:pPr>
            <w:r w:rsidRPr="00083739">
              <w:rPr>
                <w:rFonts w:cs="Times New Roman"/>
                <w:noProof/>
                <w:lang w:val="sk-SK"/>
              </w:rPr>
              <w:t>Štúdia na určenie optimálnych oblastí rozvoja OZE</w:t>
            </w:r>
            <w:r w:rsidR="00083739" w:rsidRPr="00083739">
              <w:rPr>
                <w:rFonts w:cs="Times New Roman"/>
                <w:noProof/>
                <w:lang w:val="sk-SK"/>
              </w:rPr>
              <w:t xml:space="preserve"> a </w:t>
            </w:r>
            <w:r w:rsidRPr="00083739">
              <w:rPr>
                <w:rFonts w:cs="Times New Roman"/>
                <w:noProof/>
                <w:lang w:val="sk-SK"/>
              </w:rPr>
              <w:t>nadobudnutie účinnosti politického rámca pre dvojaké využívanie pôdy na poľnohospodársku výrobu</w:t>
            </w:r>
            <w:r w:rsidR="00083739" w:rsidRPr="00083739">
              <w:rPr>
                <w:rFonts w:cs="Times New Roman"/>
                <w:noProof/>
                <w:lang w:val="sk-SK"/>
              </w:rPr>
              <w:t xml:space="preserve"> a </w:t>
            </w:r>
            <w:r w:rsidRPr="00083739">
              <w:rPr>
                <w:rFonts w:cs="Times New Roman"/>
                <w:noProof/>
                <w:lang w:val="sk-SK"/>
              </w:rPr>
              <w:t>výrobu solárne</w:t>
            </w:r>
            <w:r w:rsidRPr="00083739">
              <w:rPr>
                <w:rFonts w:cs="Times New Roman"/>
                <w:noProof/>
                <w:lang w:val="sk-SK"/>
              </w:rPr>
              <w:t>j fotovoltiky</w:t>
            </w:r>
          </w:p>
        </w:tc>
      </w:tr>
      <w:tr w:rsidR="002D49B0" w:rsidRPr="00083739" w14:paraId="31F29204" w14:textId="77777777">
        <w:trPr>
          <w:trHeight w:val="302"/>
        </w:trPr>
        <w:tc>
          <w:tcPr>
            <w:tcW w:w="1795" w:type="dxa"/>
            <w:tcBorders>
              <w:top w:val="single" w:sz="4" w:space="0" w:color="auto"/>
              <w:left w:val="single" w:sz="4" w:space="0" w:color="auto"/>
              <w:bottom w:val="single" w:sz="4" w:space="0" w:color="auto"/>
              <w:right w:val="single" w:sz="4" w:space="0" w:color="auto"/>
            </w:tcBorders>
            <w:shd w:val="clear" w:color="auto" w:fill="C6EFCE"/>
            <w:noWrap/>
          </w:tcPr>
          <w:p w14:paraId="17A4D9C0" w14:textId="65A444E1" w:rsidR="002D49B0" w:rsidRPr="00083739" w:rsidRDefault="00BF4125">
            <w:pPr>
              <w:pStyle w:val="P68B1DB1-Normal8"/>
              <w:keepNext/>
              <w:spacing w:before="40" w:after="0" w:line="259" w:lineRule="auto"/>
              <w:jc w:val="both"/>
              <w:rPr>
                <w:rFonts w:cs="Times New Roman"/>
                <w:noProof/>
                <w:lang w:val="sk-SK"/>
              </w:rPr>
            </w:pPr>
            <w:r w:rsidRPr="00083739">
              <w:rPr>
                <w:rFonts w:cs="Times New Roman"/>
                <w:noProof/>
                <w:lang w:val="sk-SK"/>
              </w:rPr>
              <w:t>355</w:t>
            </w:r>
          </w:p>
        </w:tc>
        <w:tc>
          <w:tcPr>
            <w:tcW w:w="4320" w:type="dxa"/>
            <w:tcBorders>
              <w:top w:val="single" w:sz="4" w:space="0" w:color="auto"/>
              <w:left w:val="nil"/>
              <w:bottom w:val="single" w:sz="4" w:space="0" w:color="auto"/>
              <w:right w:val="single" w:sz="4" w:space="0" w:color="auto"/>
            </w:tcBorders>
            <w:shd w:val="clear" w:color="auto" w:fill="C6EFCE"/>
            <w:noWrap/>
          </w:tcPr>
          <w:p w14:paraId="2A426B86" w14:textId="38AE3601" w:rsidR="002D49B0" w:rsidRPr="00083739" w:rsidRDefault="00BF4125">
            <w:pPr>
              <w:pStyle w:val="P68B1DB1-Normal8"/>
              <w:keepNext/>
              <w:spacing w:before="40" w:after="0" w:line="259" w:lineRule="auto"/>
              <w:jc w:val="both"/>
              <w:rPr>
                <w:rFonts w:cs="Times New Roman"/>
                <w:noProof/>
                <w:lang w:val="sk-SK"/>
              </w:rPr>
            </w:pPr>
            <w:r w:rsidRPr="00083739">
              <w:rPr>
                <w:rFonts w:cs="Times New Roman"/>
                <w:noProof/>
                <w:lang w:val="sk-SK"/>
              </w:rPr>
              <w:t>20 – 5.1. Reformy REPowerEU – 16988_Rámec regulácie</w:t>
            </w:r>
            <w:r w:rsidR="00083739" w:rsidRPr="00083739">
              <w:rPr>
                <w:rFonts w:cs="Times New Roman"/>
                <w:noProof/>
                <w:lang w:val="sk-SK"/>
              </w:rPr>
              <w:t xml:space="preserve"> a </w:t>
            </w:r>
            <w:r w:rsidRPr="00083739">
              <w:rPr>
                <w:rFonts w:cs="Times New Roman"/>
                <w:noProof/>
                <w:lang w:val="sk-SK"/>
              </w:rPr>
              <w:t>prevádzky trhu pre technológie zachytávania, využívania</w:t>
            </w:r>
            <w:r w:rsidR="00083739" w:rsidRPr="00083739">
              <w:rPr>
                <w:rFonts w:cs="Times New Roman"/>
                <w:noProof/>
                <w:lang w:val="sk-SK"/>
              </w:rPr>
              <w:t xml:space="preserve"> a </w:t>
            </w:r>
            <w:r w:rsidRPr="00083739">
              <w:rPr>
                <w:rFonts w:cs="Times New Roman"/>
                <w:noProof/>
                <w:lang w:val="sk-SK"/>
              </w:rPr>
              <w:t xml:space="preserve">ukladania oxidu uhličitého na podporu dekarbonizácie priemyslu </w:t>
            </w:r>
          </w:p>
        </w:tc>
        <w:tc>
          <w:tcPr>
            <w:tcW w:w="1560" w:type="dxa"/>
            <w:tcBorders>
              <w:top w:val="single" w:sz="4" w:space="0" w:color="auto"/>
              <w:left w:val="nil"/>
              <w:bottom w:val="single" w:sz="4" w:space="0" w:color="auto"/>
              <w:right w:val="single" w:sz="4" w:space="0" w:color="auto"/>
            </w:tcBorders>
            <w:shd w:val="clear" w:color="auto" w:fill="C6EFCE"/>
            <w:noWrap/>
          </w:tcPr>
          <w:p w14:paraId="5123C62D" w14:textId="38B7C2C9" w:rsidR="002D49B0" w:rsidRPr="00083739" w:rsidRDefault="00BF4125">
            <w:pPr>
              <w:pStyle w:val="P68B1DB1-Normal8"/>
              <w:keepNext/>
              <w:spacing w:before="40" w:after="0" w:line="259" w:lineRule="auto"/>
              <w:jc w:val="both"/>
              <w:rPr>
                <w:rFonts w:cs="Times New Roman"/>
                <w:noProof/>
                <w:lang w:val="sk-SK"/>
              </w:rPr>
            </w:pPr>
            <w:r w:rsidRPr="00083739">
              <w:rPr>
                <w:rFonts w:cs="Times New Roman"/>
                <w:noProof/>
                <w:lang w:val="sk-SK"/>
              </w:rPr>
              <w:t>Míľnik</w:t>
            </w:r>
          </w:p>
        </w:tc>
        <w:tc>
          <w:tcPr>
            <w:tcW w:w="1920" w:type="dxa"/>
            <w:tcBorders>
              <w:top w:val="single" w:sz="4" w:space="0" w:color="auto"/>
              <w:left w:val="nil"/>
              <w:bottom w:val="single" w:sz="4" w:space="0" w:color="auto"/>
              <w:right w:val="single" w:sz="4" w:space="0" w:color="auto"/>
            </w:tcBorders>
            <w:shd w:val="clear" w:color="auto" w:fill="C6EFCE"/>
            <w:noWrap/>
          </w:tcPr>
          <w:p w14:paraId="647685A9" w14:textId="461D9AEF" w:rsidR="002D49B0" w:rsidRPr="00083739" w:rsidRDefault="00BF4125">
            <w:pPr>
              <w:pStyle w:val="P68B1DB1-Normal8"/>
              <w:keepNext/>
              <w:spacing w:before="40" w:after="0" w:line="259" w:lineRule="auto"/>
              <w:jc w:val="both"/>
              <w:rPr>
                <w:rFonts w:cs="Times New Roman"/>
                <w:noProof/>
                <w:lang w:val="sk-SK"/>
              </w:rPr>
            </w:pPr>
            <w:r w:rsidRPr="00083739">
              <w:rPr>
                <w:rFonts w:cs="Times New Roman"/>
                <w:noProof/>
                <w:lang w:val="sk-SK"/>
              </w:rPr>
              <w:t>Vytvorenie právneho rámca pre zachytávanie, využívanie</w:t>
            </w:r>
            <w:r w:rsidR="00083739" w:rsidRPr="00083739">
              <w:rPr>
                <w:rFonts w:cs="Times New Roman"/>
                <w:noProof/>
                <w:lang w:val="sk-SK"/>
              </w:rPr>
              <w:t xml:space="preserve"> a </w:t>
            </w:r>
            <w:r w:rsidRPr="00083739">
              <w:rPr>
                <w:rFonts w:cs="Times New Roman"/>
                <w:noProof/>
                <w:lang w:val="sk-SK"/>
              </w:rPr>
              <w:t>ukladanie oxidu uhličitého.</w:t>
            </w:r>
          </w:p>
        </w:tc>
      </w:tr>
      <w:tr w:rsidR="002D49B0" w:rsidRPr="00083739" w14:paraId="5788C06F" w14:textId="77777777">
        <w:trPr>
          <w:trHeight w:val="302"/>
        </w:trPr>
        <w:tc>
          <w:tcPr>
            <w:tcW w:w="1795" w:type="dxa"/>
            <w:tcBorders>
              <w:top w:val="single" w:sz="4" w:space="0" w:color="auto"/>
              <w:left w:val="single" w:sz="4" w:space="0" w:color="auto"/>
              <w:bottom w:val="single" w:sz="4" w:space="0" w:color="auto"/>
              <w:right w:val="single" w:sz="4" w:space="0" w:color="auto"/>
            </w:tcBorders>
            <w:shd w:val="clear" w:color="auto" w:fill="C6EFCE"/>
            <w:noWrap/>
          </w:tcPr>
          <w:p w14:paraId="295BF5B1" w14:textId="77777777" w:rsidR="002D49B0" w:rsidRPr="00083739" w:rsidRDefault="00BF4125">
            <w:pPr>
              <w:pStyle w:val="P68B1DB1-Normal8"/>
              <w:keepNext/>
              <w:spacing w:before="40" w:after="0" w:line="259" w:lineRule="auto"/>
              <w:jc w:val="both"/>
              <w:rPr>
                <w:rFonts w:cs="Times New Roman"/>
                <w:noProof/>
                <w:lang w:val="sk-SK"/>
              </w:rPr>
            </w:pPr>
            <w:r w:rsidRPr="00083739">
              <w:rPr>
                <w:rFonts w:cs="Times New Roman"/>
                <w:noProof/>
                <w:lang w:val="sk-SK"/>
              </w:rPr>
              <w:t>359</w:t>
            </w:r>
          </w:p>
        </w:tc>
        <w:tc>
          <w:tcPr>
            <w:tcW w:w="4320" w:type="dxa"/>
            <w:tcBorders>
              <w:top w:val="single" w:sz="4" w:space="0" w:color="auto"/>
              <w:left w:val="nil"/>
              <w:bottom w:val="single" w:sz="4" w:space="0" w:color="auto"/>
              <w:right w:val="single" w:sz="4" w:space="0" w:color="auto"/>
            </w:tcBorders>
            <w:shd w:val="clear" w:color="auto" w:fill="C6EFCE"/>
            <w:noWrap/>
          </w:tcPr>
          <w:p w14:paraId="47ED4F15" w14:textId="341FBADD" w:rsidR="002D49B0" w:rsidRPr="00083739" w:rsidRDefault="00BF4125">
            <w:pPr>
              <w:pStyle w:val="P68B1DB1-Normal8"/>
              <w:keepNext/>
              <w:spacing w:before="40" w:after="0" w:line="259" w:lineRule="auto"/>
              <w:jc w:val="both"/>
              <w:rPr>
                <w:rFonts w:cs="Times New Roman"/>
                <w:noProof/>
                <w:lang w:val="sk-SK"/>
              </w:rPr>
            </w:pPr>
            <w:r w:rsidRPr="00083739">
              <w:rPr>
                <w:rFonts w:cs="Times New Roman"/>
                <w:noProof/>
                <w:lang w:val="sk-SK"/>
              </w:rPr>
              <w:t>20 – 5.1. Reformy REPowerEU – 16991_Regulačný rámec smerom</w:t>
            </w:r>
            <w:r w:rsidR="00083739" w:rsidRPr="00083739">
              <w:rPr>
                <w:rFonts w:cs="Times New Roman"/>
                <w:noProof/>
                <w:lang w:val="sk-SK"/>
              </w:rPr>
              <w:t xml:space="preserve"> k </w:t>
            </w:r>
            <w:r w:rsidRPr="00083739">
              <w:rPr>
                <w:rFonts w:cs="Times New Roman"/>
                <w:noProof/>
                <w:lang w:val="sk-SK"/>
              </w:rPr>
              <w:t>inteligentnej sieti</w:t>
            </w:r>
          </w:p>
        </w:tc>
        <w:tc>
          <w:tcPr>
            <w:tcW w:w="1560" w:type="dxa"/>
            <w:tcBorders>
              <w:top w:val="single" w:sz="4" w:space="0" w:color="auto"/>
              <w:left w:val="nil"/>
              <w:bottom w:val="single" w:sz="4" w:space="0" w:color="auto"/>
              <w:right w:val="single" w:sz="4" w:space="0" w:color="auto"/>
            </w:tcBorders>
            <w:shd w:val="clear" w:color="auto" w:fill="C6EFCE"/>
            <w:noWrap/>
          </w:tcPr>
          <w:p w14:paraId="75FFB2EA" w14:textId="77777777" w:rsidR="002D49B0" w:rsidRPr="00083739" w:rsidRDefault="00BF4125">
            <w:pPr>
              <w:pStyle w:val="P68B1DB1-Normal8"/>
              <w:keepNext/>
              <w:spacing w:before="40" w:after="0" w:line="259" w:lineRule="auto"/>
              <w:jc w:val="both"/>
              <w:rPr>
                <w:rFonts w:cs="Times New Roman"/>
                <w:noProof/>
                <w:lang w:val="sk-SK"/>
              </w:rPr>
            </w:pPr>
            <w:r w:rsidRPr="00083739">
              <w:rPr>
                <w:rFonts w:cs="Times New Roman"/>
                <w:noProof/>
                <w:lang w:val="sk-SK"/>
              </w:rPr>
              <w:t xml:space="preserve">Míľnik </w:t>
            </w:r>
          </w:p>
        </w:tc>
        <w:tc>
          <w:tcPr>
            <w:tcW w:w="1920" w:type="dxa"/>
            <w:tcBorders>
              <w:top w:val="single" w:sz="4" w:space="0" w:color="auto"/>
              <w:left w:val="nil"/>
              <w:bottom w:val="single" w:sz="4" w:space="0" w:color="auto"/>
              <w:right w:val="single" w:sz="4" w:space="0" w:color="auto"/>
            </w:tcBorders>
            <w:shd w:val="clear" w:color="auto" w:fill="C6EFCE"/>
            <w:noWrap/>
          </w:tcPr>
          <w:p w14:paraId="6D7FB67D" w14:textId="7429F04B" w:rsidR="002D49B0" w:rsidRPr="00083739" w:rsidRDefault="00BF4125">
            <w:pPr>
              <w:pStyle w:val="P68B1DB1-Normal8"/>
              <w:keepNext/>
              <w:spacing w:before="40" w:after="0" w:line="259" w:lineRule="auto"/>
              <w:jc w:val="both"/>
              <w:rPr>
                <w:rFonts w:cs="Times New Roman"/>
                <w:noProof/>
                <w:lang w:val="sk-SK"/>
              </w:rPr>
            </w:pPr>
            <w:r w:rsidRPr="00083739">
              <w:rPr>
                <w:rFonts w:cs="Times New Roman"/>
                <w:noProof/>
                <w:lang w:val="sk-SK"/>
              </w:rPr>
              <w:t>Rámec pre zmluvy</w:t>
            </w:r>
            <w:r w:rsidR="00083739" w:rsidRPr="00083739">
              <w:rPr>
                <w:rFonts w:cs="Times New Roman"/>
                <w:noProof/>
                <w:lang w:val="sk-SK"/>
              </w:rPr>
              <w:t xml:space="preserve"> o </w:t>
            </w:r>
            <w:r w:rsidRPr="00083739">
              <w:rPr>
                <w:rFonts w:cs="Times New Roman"/>
                <w:noProof/>
                <w:lang w:val="sk-SK"/>
              </w:rPr>
              <w:t xml:space="preserve">dynamickom oceňovaní </w:t>
            </w:r>
          </w:p>
        </w:tc>
      </w:tr>
      <w:tr w:rsidR="002D49B0" w:rsidRPr="00083739" w14:paraId="0CBBD273" w14:textId="77777777">
        <w:trPr>
          <w:trHeight w:val="302"/>
        </w:trPr>
        <w:tc>
          <w:tcPr>
            <w:tcW w:w="1795"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2609C51"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c>
          <w:tcPr>
            <w:tcW w:w="4320" w:type="dxa"/>
            <w:tcBorders>
              <w:top w:val="single" w:sz="4" w:space="0" w:color="auto"/>
              <w:left w:val="nil"/>
              <w:bottom w:val="single" w:sz="4" w:space="0" w:color="auto"/>
              <w:right w:val="single" w:sz="4" w:space="0" w:color="auto"/>
            </w:tcBorders>
            <w:shd w:val="clear" w:color="auto" w:fill="C6EFCE"/>
            <w:noWrap/>
            <w:vAlign w:val="bottom"/>
          </w:tcPr>
          <w:p w14:paraId="2F59AC6A"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c>
          <w:tcPr>
            <w:tcW w:w="1560" w:type="dxa"/>
            <w:tcBorders>
              <w:top w:val="single" w:sz="4" w:space="0" w:color="auto"/>
              <w:left w:val="nil"/>
              <w:bottom w:val="single" w:sz="4" w:space="0" w:color="auto"/>
              <w:right w:val="single" w:sz="4" w:space="0" w:color="auto"/>
            </w:tcBorders>
            <w:shd w:val="clear" w:color="auto" w:fill="C6EFCE"/>
            <w:noWrap/>
            <w:vAlign w:val="bottom"/>
          </w:tcPr>
          <w:p w14:paraId="1E3821F2" w14:textId="77777777" w:rsidR="002D49B0" w:rsidRPr="00083739" w:rsidRDefault="00BF4125">
            <w:pPr>
              <w:pStyle w:val="P68B1DB1-Normal8"/>
              <w:keepNext/>
              <w:spacing w:before="40" w:after="0" w:line="259" w:lineRule="auto"/>
              <w:jc w:val="both"/>
              <w:rPr>
                <w:rFonts w:eastAsia="Times New Roman" w:cs="Times New Roman"/>
                <w:noProof/>
                <w:szCs w:val="18"/>
                <w:lang w:val="sk-SK"/>
              </w:rPr>
            </w:pPr>
            <w:r w:rsidRPr="00083739">
              <w:rPr>
                <w:rFonts w:cs="Times New Roman"/>
                <w:noProof/>
                <w:lang w:val="sk-SK"/>
              </w:rPr>
              <w:t>Suma splátky</w:t>
            </w:r>
          </w:p>
        </w:tc>
        <w:tc>
          <w:tcPr>
            <w:tcW w:w="1920" w:type="dxa"/>
            <w:tcBorders>
              <w:top w:val="single" w:sz="4" w:space="0" w:color="auto"/>
              <w:left w:val="nil"/>
              <w:bottom w:val="single" w:sz="4" w:space="0" w:color="auto"/>
              <w:right w:val="single" w:sz="4" w:space="0" w:color="auto"/>
            </w:tcBorders>
            <w:shd w:val="clear" w:color="auto" w:fill="C6EFCE"/>
            <w:noWrap/>
            <w:vAlign w:val="bottom"/>
          </w:tcPr>
          <w:p w14:paraId="6A7B06AC" w14:textId="3FB3E431" w:rsidR="002D49B0" w:rsidRPr="00083739" w:rsidRDefault="00BF4125">
            <w:pPr>
              <w:pStyle w:val="P68B1DB1-Normal8"/>
              <w:keepNext/>
              <w:spacing w:before="40" w:after="0" w:line="259" w:lineRule="auto"/>
              <w:jc w:val="both"/>
              <w:rPr>
                <w:rFonts w:eastAsia="Times New Roman" w:cs="Times New Roman"/>
                <w:noProof/>
                <w:szCs w:val="18"/>
                <w:lang w:val="sk-SK"/>
              </w:rPr>
            </w:pPr>
            <w:r w:rsidRPr="00083739">
              <w:rPr>
                <w:rFonts w:cs="Times New Roman"/>
                <w:noProof/>
                <w:lang w:val="sk-SK"/>
              </w:rPr>
              <w:t>1 522 674 930 EUR</w:t>
            </w:r>
          </w:p>
        </w:tc>
      </w:tr>
    </w:tbl>
    <w:p w14:paraId="1B0A7FF2" w14:textId="43FE4A38" w:rsidR="00083739" w:rsidRPr="00083739" w:rsidRDefault="00BF4125">
      <w:pPr>
        <w:pStyle w:val="P68B1DB1-Normal4"/>
        <w:keepNext/>
        <w:numPr>
          <w:ilvl w:val="1"/>
          <w:numId w:val="22"/>
        </w:numPr>
        <w:spacing w:before="40" w:after="160" w:line="259" w:lineRule="auto"/>
        <w:ind w:left="0"/>
        <w:contextualSpacing/>
        <w:jc w:val="both"/>
        <w:rPr>
          <w:rFonts w:cs="Times New Roman"/>
          <w:noProof/>
          <w:lang w:val="sk-SK"/>
        </w:rPr>
      </w:pPr>
      <w:r w:rsidRPr="00083739">
        <w:rPr>
          <w:rFonts w:cs="Times New Roman"/>
          <w:noProof/>
          <w:lang w:val="sk-SK"/>
        </w:rPr>
        <w:t xml:space="preserve"> Ôsma žiadosť</w:t>
      </w:r>
      <w:r w:rsidR="00083739" w:rsidRPr="00083739">
        <w:rPr>
          <w:rFonts w:cs="Times New Roman"/>
          <w:noProof/>
          <w:lang w:val="sk-SK"/>
        </w:rPr>
        <w:t xml:space="preserve"> o </w:t>
      </w:r>
      <w:r w:rsidRPr="00083739">
        <w:rPr>
          <w:rFonts w:cs="Times New Roman"/>
          <w:noProof/>
          <w:lang w:val="sk-SK"/>
        </w:rPr>
        <w:t>platbu (nenávratná podpora)</w:t>
      </w:r>
      <w:r w:rsidR="00083739" w:rsidRPr="00083739">
        <w:rPr>
          <w:rFonts w:cs="Times New Roman"/>
          <w:noProof/>
          <w:lang w:val="sk-SK"/>
        </w:rPr>
        <w:t>:</w:t>
      </w:r>
    </w:p>
    <w:p w14:paraId="6EB2767A" w14:textId="0AD7FCD0" w:rsidR="002D49B0" w:rsidRPr="00083739" w:rsidRDefault="002D49B0">
      <w:pPr>
        <w:keepNext/>
        <w:spacing w:before="40" w:after="160" w:line="259" w:lineRule="auto"/>
        <w:contextualSpacing/>
        <w:jc w:val="both"/>
        <w:rPr>
          <w:rFonts w:ascii="Times New Roman" w:eastAsia="Times New Roman" w:hAnsi="Times New Roman" w:cs="Times New Roman"/>
          <w:noProof/>
          <w:sz w:val="24"/>
          <w:lang w:val="sk-SK"/>
        </w:rPr>
      </w:pPr>
    </w:p>
    <w:tbl>
      <w:tblPr>
        <w:tblpPr w:leftFromText="180" w:rightFromText="180" w:vertAnchor="text" w:tblpXSpec="center" w:tblpY="1"/>
        <w:tblOverlap w:val="never"/>
        <w:tblW w:w="9536" w:type="dxa"/>
        <w:tblLayout w:type="fixed"/>
        <w:tblLook w:val="04A0" w:firstRow="1" w:lastRow="0" w:firstColumn="1" w:lastColumn="0" w:noHBand="0" w:noVBand="1"/>
      </w:tblPr>
      <w:tblGrid>
        <w:gridCol w:w="1804"/>
        <w:gridCol w:w="4283"/>
        <w:gridCol w:w="1692"/>
        <w:gridCol w:w="1757"/>
      </w:tblGrid>
      <w:tr w:rsidR="002D49B0" w:rsidRPr="00083739" w14:paraId="4B6EB1EA" w14:textId="77777777">
        <w:trPr>
          <w:trHeight w:val="906"/>
          <w:tblHeader/>
        </w:trPr>
        <w:tc>
          <w:tcPr>
            <w:tcW w:w="180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6D7565F" w14:textId="77777777" w:rsidR="002D49B0" w:rsidRPr="00083739" w:rsidRDefault="00BF4125">
            <w:pPr>
              <w:pStyle w:val="P68B1DB1-Normal7"/>
              <w:keepNext/>
              <w:spacing w:before="40" w:after="0" w:line="259" w:lineRule="auto"/>
              <w:jc w:val="center"/>
              <w:rPr>
                <w:rFonts w:eastAsia="Times New Roman" w:cs="Times New Roman"/>
                <w:bCs/>
                <w:noProof/>
                <w:szCs w:val="18"/>
                <w:lang w:val="sk-SK"/>
              </w:rPr>
            </w:pPr>
            <w:r w:rsidRPr="00083739">
              <w:rPr>
                <w:rFonts w:cs="Times New Roman"/>
                <w:noProof/>
                <w:lang w:val="sk-SK"/>
              </w:rPr>
              <w:t xml:space="preserve">Poradové </w:t>
            </w:r>
            <w:r w:rsidRPr="00083739">
              <w:rPr>
                <w:rFonts w:cs="Times New Roman"/>
                <w:noProof/>
                <w:lang w:val="sk-SK"/>
              </w:rPr>
              <w:t>číslo</w:t>
            </w:r>
          </w:p>
        </w:tc>
        <w:tc>
          <w:tcPr>
            <w:tcW w:w="428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E196AC1" w14:textId="77777777" w:rsidR="002D49B0" w:rsidRPr="00083739" w:rsidRDefault="00BF4125">
            <w:pPr>
              <w:pStyle w:val="P68B1DB1-Normal7"/>
              <w:keepNext/>
              <w:spacing w:before="40" w:after="0" w:line="259" w:lineRule="auto"/>
              <w:jc w:val="center"/>
              <w:rPr>
                <w:rFonts w:eastAsia="Times New Roman" w:cs="Times New Roman"/>
                <w:bCs/>
                <w:noProof/>
                <w:szCs w:val="18"/>
                <w:lang w:val="sk-SK"/>
              </w:rPr>
            </w:pPr>
            <w:r w:rsidRPr="00083739">
              <w:rPr>
                <w:rFonts w:cs="Times New Roman"/>
                <w:noProof/>
                <w:lang w:val="sk-SK"/>
              </w:rPr>
              <w:t>Súvisiace opatrenie (reforma alebo investícia)</w:t>
            </w:r>
          </w:p>
        </w:tc>
        <w:tc>
          <w:tcPr>
            <w:tcW w:w="1692"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0214BD9" w14:textId="77777777" w:rsidR="002D49B0" w:rsidRPr="00083739" w:rsidRDefault="00BF4125">
            <w:pPr>
              <w:pStyle w:val="P68B1DB1-Normal7"/>
              <w:keepNext/>
              <w:spacing w:before="40" w:after="0" w:line="259" w:lineRule="auto"/>
              <w:jc w:val="center"/>
              <w:rPr>
                <w:rFonts w:eastAsia="Times New Roman" w:cs="Times New Roman"/>
                <w:bCs/>
                <w:noProof/>
                <w:szCs w:val="18"/>
                <w:lang w:val="sk-SK"/>
              </w:rPr>
            </w:pPr>
            <w:r w:rsidRPr="00083739">
              <w:rPr>
                <w:rFonts w:cs="Times New Roman"/>
                <w:noProof/>
                <w:lang w:val="sk-SK"/>
              </w:rPr>
              <w:t>Míľnik/cieľ</w:t>
            </w:r>
          </w:p>
        </w:tc>
        <w:tc>
          <w:tcPr>
            <w:tcW w:w="175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867A696" w14:textId="77777777" w:rsidR="002D49B0" w:rsidRPr="00083739" w:rsidRDefault="00BF4125">
            <w:pPr>
              <w:pStyle w:val="P68B1DB1-Normal7"/>
              <w:keepNext/>
              <w:spacing w:before="40" w:after="0" w:line="259" w:lineRule="auto"/>
              <w:jc w:val="center"/>
              <w:rPr>
                <w:rFonts w:eastAsia="Times New Roman" w:cs="Times New Roman"/>
                <w:bCs/>
                <w:noProof/>
                <w:szCs w:val="18"/>
                <w:lang w:val="sk-SK"/>
              </w:rPr>
            </w:pPr>
            <w:r w:rsidRPr="00083739">
              <w:rPr>
                <w:rFonts w:cs="Times New Roman"/>
                <w:noProof/>
                <w:lang w:val="sk-SK"/>
              </w:rPr>
              <w:t>Názov</w:t>
            </w:r>
          </w:p>
        </w:tc>
      </w:tr>
      <w:tr w:rsidR="002D49B0" w:rsidRPr="00083739" w14:paraId="1E217021" w14:textId="77777777">
        <w:trPr>
          <w:trHeight w:val="990"/>
        </w:trPr>
        <w:tc>
          <w:tcPr>
            <w:tcW w:w="1804" w:type="dxa"/>
            <w:vMerge/>
            <w:tcBorders>
              <w:top w:val="single" w:sz="4" w:space="0" w:color="auto"/>
              <w:left w:val="single" w:sz="4" w:space="0" w:color="auto"/>
              <w:bottom w:val="single" w:sz="4" w:space="0" w:color="auto"/>
              <w:right w:val="single" w:sz="4" w:space="0" w:color="auto"/>
            </w:tcBorders>
            <w:vAlign w:val="center"/>
            <w:hideMark/>
          </w:tcPr>
          <w:p w14:paraId="70AC4DA6"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c>
          <w:tcPr>
            <w:tcW w:w="4283" w:type="dxa"/>
            <w:vMerge/>
            <w:tcBorders>
              <w:top w:val="single" w:sz="4" w:space="0" w:color="auto"/>
              <w:left w:val="single" w:sz="4" w:space="0" w:color="auto"/>
              <w:bottom w:val="single" w:sz="4" w:space="0" w:color="auto"/>
              <w:right w:val="single" w:sz="4" w:space="0" w:color="auto"/>
            </w:tcBorders>
            <w:vAlign w:val="center"/>
            <w:hideMark/>
          </w:tcPr>
          <w:p w14:paraId="1D2BCBDF"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c>
          <w:tcPr>
            <w:tcW w:w="1692" w:type="dxa"/>
            <w:vMerge/>
            <w:tcBorders>
              <w:top w:val="single" w:sz="4" w:space="0" w:color="auto"/>
              <w:left w:val="single" w:sz="4" w:space="0" w:color="auto"/>
              <w:bottom w:val="single" w:sz="4" w:space="0" w:color="auto"/>
              <w:right w:val="single" w:sz="4" w:space="0" w:color="auto"/>
            </w:tcBorders>
            <w:vAlign w:val="center"/>
            <w:hideMark/>
          </w:tcPr>
          <w:p w14:paraId="3438F983"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c>
          <w:tcPr>
            <w:tcW w:w="1757" w:type="dxa"/>
            <w:vMerge/>
            <w:tcBorders>
              <w:top w:val="single" w:sz="4" w:space="0" w:color="auto"/>
              <w:left w:val="single" w:sz="4" w:space="0" w:color="auto"/>
              <w:bottom w:val="single" w:sz="4" w:space="0" w:color="auto"/>
              <w:right w:val="single" w:sz="4" w:space="0" w:color="auto"/>
            </w:tcBorders>
            <w:vAlign w:val="center"/>
            <w:hideMark/>
          </w:tcPr>
          <w:p w14:paraId="08C8E5B8"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r>
      <w:tr w:rsidR="002D49B0" w:rsidRPr="00083739" w14:paraId="413CBFB1" w14:textId="77777777">
        <w:trPr>
          <w:trHeight w:val="302"/>
        </w:trPr>
        <w:tc>
          <w:tcPr>
            <w:tcW w:w="180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1EABAF" w14:textId="75432DFF"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109</w:t>
            </w:r>
          </w:p>
        </w:tc>
        <w:tc>
          <w:tcPr>
            <w:tcW w:w="4283" w:type="dxa"/>
            <w:tcBorders>
              <w:top w:val="single" w:sz="4" w:space="0" w:color="auto"/>
              <w:left w:val="nil"/>
              <w:bottom w:val="single" w:sz="4" w:space="0" w:color="auto"/>
              <w:right w:val="single" w:sz="4" w:space="0" w:color="auto"/>
            </w:tcBorders>
            <w:shd w:val="clear" w:color="auto" w:fill="C6EFCE"/>
            <w:noWrap/>
            <w:vAlign w:val="center"/>
          </w:tcPr>
          <w:p w14:paraId="4BAD58DA" w14:textId="2D488DBE"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6 – 2.2. Modernizácia – 16810_CRM pre verejnú správu</w:t>
            </w:r>
          </w:p>
        </w:tc>
        <w:tc>
          <w:tcPr>
            <w:tcW w:w="1692" w:type="dxa"/>
            <w:tcBorders>
              <w:top w:val="single" w:sz="4" w:space="0" w:color="auto"/>
              <w:left w:val="nil"/>
              <w:bottom w:val="single" w:sz="4" w:space="0" w:color="auto"/>
              <w:right w:val="single" w:sz="4" w:space="0" w:color="auto"/>
            </w:tcBorders>
            <w:shd w:val="clear" w:color="auto" w:fill="C6EFCE"/>
            <w:noWrap/>
            <w:vAlign w:val="center"/>
          </w:tcPr>
          <w:p w14:paraId="54367BD6" w14:textId="53728079"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Míľnik</w:t>
            </w:r>
          </w:p>
        </w:tc>
        <w:tc>
          <w:tcPr>
            <w:tcW w:w="1757" w:type="dxa"/>
            <w:tcBorders>
              <w:top w:val="single" w:sz="4" w:space="0" w:color="auto"/>
              <w:left w:val="nil"/>
              <w:bottom w:val="single" w:sz="4" w:space="0" w:color="auto"/>
              <w:right w:val="single" w:sz="4" w:space="0" w:color="auto"/>
            </w:tcBorders>
            <w:shd w:val="clear" w:color="auto" w:fill="C6EFCE"/>
            <w:noWrap/>
            <w:vAlign w:val="center"/>
          </w:tcPr>
          <w:p w14:paraId="49399603" w14:textId="00FD6E95"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Dokončenie kapacitného mechanizmu pre verejnú vládu</w:t>
            </w:r>
            <w:r w:rsidR="00083739" w:rsidRPr="00083739">
              <w:rPr>
                <w:rFonts w:cs="Times New Roman"/>
                <w:noProof/>
                <w:lang w:val="sk-SK"/>
              </w:rPr>
              <w:t xml:space="preserve"> a </w:t>
            </w:r>
            <w:r w:rsidRPr="00083739">
              <w:rPr>
                <w:rFonts w:cs="Times New Roman"/>
                <w:noProof/>
                <w:lang w:val="sk-SK"/>
              </w:rPr>
              <w:t>Gov.gr – projekty týkajúce sa posolstiev</w:t>
            </w:r>
          </w:p>
        </w:tc>
      </w:tr>
      <w:tr w:rsidR="002D49B0" w:rsidRPr="00083739" w14:paraId="5AE00E46" w14:textId="77777777">
        <w:trPr>
          <w:trHeight w:val="302"/>
        </w:trPr>
        <w:tc>
          <w:tcPr>
            <w:tcW w:w="1804" w:type="dxa"/>
            <w:tcBorders>
              <w:top w:val="nil"/>
              <w:left w:val="single" w:sz="4" w:space="0" w:color="auto"/>
              <w:bottom w:val="single" w:sz="4" w:space="0" w:color="auto"/>
              <w:right w:val="single" w:sz="4" w:space="0" w:color="auto"/>
            </w:tcBorders>
            <w:shd w:val="clear" w:color="auto" w:fill="C6EFCE"/>
            <w:noWrap/>
            <w:vAlign w:val="center"/>
          </w:tcPr>
          <w:p w14:paraId="34167560"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114</w:t>
            </w:r>
          </w:p>
        </w:tc>
        <w:tc>
          <w:tcPr>
            <w:tcW w:w="4283" w:type="dxa"/>
            <w:tcBorders>
              <w:top w:val="nil"/>
              <w:left w:val="nil"/>
              <w:bottom w:val="single" w:sz="4" w:space="0" w:color="auto"/>
              <w:right w:val="single" w:sz="4" w:space="0" w:color="auto"/>
            </w:tcBorders>
            <w:shd w:val="clear" w:color="auto" w:fill="C6EFCE"/>
            <w:noWrap/>
            <w:vAlign w:val="center"/>
          </w:tcPr>
          <w:p w14:paraId="5CA1C5E1"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 xml:space="preserve">6 – 2.2. </w:t>
            </w:r>
            <w:r w:rsidRPr="00083739">
              <w:rPr>
                <w:rFonts w:cs="Times New Roman"/>
                <w:noProof/>
                <w:lang w:val="sk-SK"/>
              </w:rPr>
              <w:t>Modernizácia – 16742_Digitálna transformácia ministerstva zahraničných vecí</w:t>
            </w:r>
          </w:p>
        </w:tc>
        <w:tc>
          <w:tcPr>
            <w:tcW w:w="1692" w:type="dxa"/>
            <w:tcBorders>
              <w:top w:val="nil"/>
              <w:left w:val="nil"/>
              <w:bottom w:val="single" w:sz="4" w:space="0" w:color="auto"/>
              <w:right w:val="single" w:sz="4" w:space="0" w:color="auto"/>
            </w:tcBorders>
            <w:shd w:val="clear" w:color="auto" w:fill="C6EFCE"/>
            <w:noWrap/>
            <w:vAlign w:val="center"/>
          </w:tcPr>
          <w:p w14:paraId="4531390E"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757" w:type="dxa"/>
            <w:tcBorders>
              <w:top w:val="nil"/>
              <w:left w:val="nil"/>
              <w:bottom w:val="single" w:sz="4" w:space="0" w:color="auto"/>
              <w:right w:val="single" w:sz="4" w:space="0" w:color="auto"/>
            </w:tcBorders>
            <w:shd w:val="clear" w:color="auto" w:fill="C6EFCE"/>
            <w:noWrap/>
            <w:vAlign w:val="center"/>
          </w:tcPr>
          <w:p w14:paraId="0C66B2A5"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Dokončenie digitálnej transformácie ministerstva zahraničných vecí</w:t>
            </w:r>
          </w:p>
        </w:tc>
      </w:tr>
      <w:tr w:rsidR="002D49B0" w:rsidRPr="00083739" w14:paraId="2502548E" w14:textId="77777777">
        <w:trPr>
          <w:trHeight w:val="302"/>
        </w:trPr>
        <w:tc>
          <w:tcPr>
            <w:tcW w:w="1804" w:type="dxa"/>
            <w:tcBorders>
              <w:top w:val="nil"/>
              <w:left w:val="single" w:sz="4" w:space="0" w:color="auto"/>
              <w:bottom w:val="single" w:sz="4" w:space="0" w:color="auto"/>
              <w:right w:val="single" w:sz="4" w:space="0" w:color="auto"/>
            </w:tcBorders>
            <w:shd w:val="clear" w:color="auto" w:fill="C6EFCE"/>
            <w:noWrap/>
            <w:vAlign w:val="center"/>
          </w:tcPr>
          <w:p w14:paraId="60908552"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115</w:t>
            </w:r>
          </w:p>
        </w:tc>
        <w:tc>
          <w:tcPr>
            <w:tcW w:w="4283" w:type="dxa"/>
            <w:tcBorders>
              <w:top w:val="nil"/>
              <w:left w:val="nil"/>
              <w:bottom w:val="single" w:sz="4" w:space="0" w:color="auto"/>
              <w:right w:val="single" w:sz="4" w:space="0" w:color="auto"/>
            </w:tcBorders>
            <w:shd w:val="clear" w:color="auto" w:fill="C6EFCE"/>
            <w:noWrap/>
            <w:vAlign w:val="center"/>
          </w:tcPr>
          <w:p w14:paraId="2357783A"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6 – 2.2. Modernizácia – 16791_Digitálna transformácia gréckej národnej organizácie cestovného ruchu</w:t>
            </w:r>
          </w:p>
        </w:tc>
        <w:tc>
          <w:tcPr>
            <w:tcW w:w="1692" w:type="dxa"/>
            <w:tcBorders>
              <w:top w:val="nil"/>
              <w:left w:val="nil"/>
              <w:bottom w:val="single" w:sz="4" w:space="0" w:color="auto"/>
              <w:right w:val="single" w:sz="4" w:space="0" w:color="auto"/>
            </w:tcBorders>
            <w:shd w:val="clear" w:color="auto" w:fill="C6EFCE"/>
            <w:noWrap/>
            <w:vAlign w:val="center"/>
          </w:tcPr>
          <w:p w14:paraId="6DAC0FF3"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757" w:type="dxa"/>
            <w:tcBorders>
              <w:top w:val="nil"/>
              <w:left w:val="nil"/>
              <w:bottom w:val="single" w:sz="4" w:space="0" w:color="auto"/>
              <w:right w:val="single" w:sz="4" w:space="0" w:color="auto"/>
            </w:tcBorders>
            <w:shd w:val="clear" w:color="auto" w:fill="C6EFCE"/>
            <w:noWrap/>
            <w:vAlign w:val="center"/>
          </w:tcPr>
          <w:p w14:paraId="7CECD708"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 xml:space="preserve">Dokončenie digitalizácie gréckej národnej organizácie cestovného ruchu </w:t>
            </w:r>
          </w:p>
        </w:tc>
      </w:tr>
      <w:tr w:rsidR="002D49B0" w:rsidRPr="00083739" w14:paraId="5DE1061E" w14:textId="77777777">
        <w:trPr>
          <w:trHeight w:val="302"/>
        </w:trPr>
        <w:tc>
          <w:tcPr>
            <w:tcW w:w="1804" w:type="dxa"/>
            <w:tcBorders>
              <w:top w:val="nil"/>
              <w:left w:val="single" w:sz="4" w:space="0" w:color="auto"/>
              <w:bottom w:val="single" w:sz="4" w:space="0" w:color="auto"/>
              <w:right w:val="single" w:sz="4" w:space="0" w:color="auto"/>
            </w:tcBorders>
            <w:shd w:val="clear" w:color="auto" w:fill="C6EFCE"/>
            <w:noWrap/>
            <w:vAlign w:val="center"/>
          </w:tcPr>
          <w:p w14:paraId="65728ECB"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116</w:t>
            </w:r>
          </w:p>
        </w:tc>
        <w:tc>
          <w:tcPr>
            <w:tcW w:w="4283" w:type="dxa"/>
            <w:tcBorders>
              <w:top w:val="nil"/>
              <w:left w:val="nil"/>
              <w:bottom w:val="single" w:sz="4" w:space="0" w:color="auto"/>
              <w:right w:val="single" w:sz="4" w:space="0" w:color="auto"/>
            </w:tcBorders>
            <w:shd w:val="clear" w:color="auto" w:fill="C6EFCE"/>
            <w:noWrap/>
            <w:vAlign w:val="center"/>
          </w:tcPr>
          <w:p w14:paraId="76DCFF53"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6 – 2.2. Modernizácia – 16964_Centrum interoperability novej generácie (KED)</w:t>
            </w:r>
          </w:p>
        </w:tc>
        <w:tc>
          <w:tcPr>
            <w:tcW w:w="1692" w:type="dxa"/>
            <w:tcBorders>
              <w:top w:val="nil"/>
              <w:left w:val="nil"/>
              <w:bottom w:val="single" w:sz="4" w:space="0" w:color="auto"/>
              <w:right w:val="single" w:sz="4" w:space="0" w:color="auto"/>
            </w:tcBorders>
            <w:shd w:val="clear" w:color="auto" w:fill="C6EFCE"/>
            <w:noWrap/>
            <w:vAlign w:val="center"/>
          </w:tcPr>
          <w:p w14:paraId="173BFD7A"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757" w:type="dxa"/>
            <w:tcBorders>
              <w:top w:val="nil"/>
              <w:left w:val="nil"/>
              <w:bottom w:val="single" w:sz="4" w:space="0" w:color="auto"/>
              <w:right w:val="single" w:sz="4" w:space="0" w:color="auto"/>
            </w:tcBorders>
            <w:shd w:val="clear" w:color="auto" w:fill="C6EFCE"/>
            <w:noWrap/>
            <w:vAlign w:val="center"/>
          </w:tcPr>
          <w:p w14:paraId="73780191"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Dokončenie centra pre interoperabilitu novej generácie</w:t>
            </w:r>
          </w:p>
        </w:tc>
      </w:tr>
      <w:tr w:rsidR="002D49B0" w:rsidRPr="00083739" w14:paraId="76CC0A37" w14:textId="77777777">
        <w:trPr>
          <w:trHeight w:val="302"/>
        </w:trPr>
        <w:tc>
          <w:tcPr>
            <w:tcW w:w="1804" w:type="dxa"/>
            <w:tcBorders>
              <w:top w:val="nil"/>
              <w:left w:val="single" w:sz="4" w:space="0" w:color="auto"/>
              <w:bottom w:val="single" w:sz="4" w:space="0" w:color="auto"/>
              <w:right w:val="single" w:sz="4" w:space="0" w:color="auto"/>
            </w:tcBorders>
            <w:shd w:val="clear" w:color="auto" w:fill="C6EFCE"/>
            <w:noWrap/>
            <w:vAlign w:val="center"/>
          </w:tcPr>
          <w:p w14:paraId="1CB4A336"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117</w:t>
            </w:r>
          </w:p>
        </w:tc>
        <w:tc>
          <w:tcPr>
            <w:tcW w:w="4283" w:type="dxa"/>
            <w:tcBorders>
              <w:top w:val="nil"/>
              <w:left w:val="nil"/>
              <w:bottom w:val="single" w:sz="4" w:space="0" w:color="auto"/>
              <w:right w:val="single" w:sz="4" w:space="0" w:color="auto"/>
            </w:tcBorders>
            <w:shd w:val="clear" w:color="auto" w:fill="C6EFCE"/>
            <w:noWrap/>
            <w:vAlign w:val="center"/>
          </w:tcPr>
          <w:p w14:paraId="58E62130"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6 – 2.2. Modernizácia – 1678</w:t>
            </w:r>
            <w:r w:rsidRPr="00083739">
              <w:rPr>
                <w:rFonts w:cs="Times New Roman"/>
                <w:noProof/>
                <w:lang w:val="sk-SK"/>
              </w:rPr>
              <w:t>5_register cestovného ruchu e-MHTE</w:t>
            </w:r>
          </w:p>
        </w:tc>
        <w:tc>
          <w:tcPr>
            <w:tcW w:w="1692" w:type="dxa"/>
            <w:tcBorders>
              <w:top w:val="nil"/>
              <w:left w:val="nil"/>
              <w:bottom w:val="single" w:sz="4" w:space="0" w:color="auto"/>
              <w:right w:val="single" w:sz="4" w:space="0" w:color="auto"/>
            </w:tcBorders>
            <w:shd w:val="clear" w:color="auto" w:fill="C6EFCE"/>
            <w:noWrap/>
            <w:vAlign w:val="center"/>
          </w:tcPr>
          <w:p w14:paraId="0F940EB9"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757" w:type="dxa"/>
            <w:tcBorders>
              <w:top w:val="nil"/>
              <w:left w:val="nil"/>
              <w:bottom w:val="single" w:sz="4" w:space="0" w:color="auto"/>
              <w:right w:val="single" w:sz="4" w:space="0" w:color="auto"/>
            </w:tcBorders>
            <w:shd w:val="clear" w:color="auto" w:fill="C6EFCE"/>
            <w:noWrap/>
            <w:vAlign w:val="center"/>
          </w:tcPr>
          <w:p w14:paraId="3E059258"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 xml:space="preserve">Dokončenie digitálneho registra cestovného ruchu </w:t>
            </w:r>
          </w:p>
        </w:tc>
      </w:tr>
      <w:tr w:rsidR="002D49B0" w:rsidRPr="00083739" w14:paraId="5EA9F5C3" w14:textId="77777777">
        <w:trPr>
          <w:trHeight w:val="302"/>
        </w:trPr>
        <w:tc>
          <w:tcPr>
            <w:tcW w:w="1804" w:type="dxa"/>
            <w:tcBorders>
              <w:top w:val="nil"/>
              <w:left w:val="single" w:sz="4" w:space="0" w:color="auto"/>
              <w:bottom w:val="single" w:sz="4" w:space="0" w:color="auto"/>
              <w:right w:val="single" w:sz="4" w:space="0" w:color="auto"/>
            </w:tcBorders>
            <w:shd w:val="clear" w:color="auto" w:fill="C6EFCE"/>
            <w:noWrap/>
            <w:vAlign w:val="center"/>
          </w:tcPr>
          <w:p w14:paraId="33D57615"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131</w:t>
            </w:r>
          </w:p>
        </w:tc>
        <w:tc>
          <w:tcPr>
            <w:tcW w:w="4283" w:type="dxa"/>
            <w:tcBorders>
              <w:top w:val="nil"/>
              <w:left w:val="nil"/>
              <w:bottom w:val="single" w:sz="4" w:space="0" w:color="auto"/>
              <w:right w:val="single" w:sz="4" w:space="0" w:color="auto"/>
            </w:tcBorders>
            <w:shd w:val="clear" w:color="auto" w:fill="C6EFCE"/>
            <w:noWrap/>
            <w:vAlign w:val="center"/>
          </w:tcPr>
          <w:p w14:paraId="1F1FC857"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7 – 2.3. Digitalizácia podnikov – 16706_Digitálna transformácia MSP</w:t>
            </w:r>
          </w:p>
        </w:tc>
        <w:tc>
          <w:tcPr>
            <w:tcW w:w="1692" w:type="dxa"/>
            <w:tcBorders>
              <w:top w:val="nil"/>
              <w:left w:val="nil"/>
              <w:bottom w:val="single" w:sz="4" w:space="0" w:color="auto"/>
              <w:right w:val="single" w:sz="4" w:space="0" w:color="auto"/>
            </w:tcBorders>
            <w:shd w:val="clear" w:color="auto" w:fill="C6EFCE"/>
            <w:noWrap/>
            <w:vAlign w:val="center"/>
          </w:tcPr>
          <w:p w14:paraId="21557ABD"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757" w:type="dxa"/>
            <w:tcBorders>
              <w:top w:val="nil"/>
              <w:left w:val="nil"/>
              <w:bottom w:val="single" w:sz="4" w:space="0" w:color="auto"/>
              <w:right w:val="single" w:sz="4" w:space="0" w:color="auto"/>
            </w:tcBorders>
            <w:shd w:val="clear" w:color="auto" w:fill="C6EFCE"/>
            <w:noWrap/>
            <w:vAlign w:val="center"/>
          </w:tcPr>
          <w:p w14:paraId="675262EC" w14:textId="1E5AE680"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Digitálna transformácia MSP – Dodávanie výrobkov</w:t>
            </w:r>
            <w:r w:rsidR="00083739" w:rsidRPr="00083739">
              <w:rPr>
                <w:rFonts w:cs="Times New Roman"/>
                <w:noProof/>
                <w:lang w:val="sk-SK"/>
              </w:rPr>
              <w:t xml:space="preserve"> a </w:t>
            </w:r>
            <w:r w:rsidRPr="00083739">
              <w:rPr>
                <w:rFonts w:cs="Times New Roman"/>
                <w:noProof/>
                <w:lang w:val="sk-SK"/>
              </w:rPr>
              <w:t>služieb</w:t>
            </w:r>
          </w:p>
        </w:tc>
      </w:tr>
      <w:tr w:rsidR="002D49B0" w:rsidRPr="00083739" w14:paraId="2C383DE7" w14:textId="77777777">
        <w:trPr>
          <w:trHeight w:val="302"/>
        </w:trPr>
        <w:tc>
          <w:tcPr>
            <w:tcW w:w="1804" w:type="dxa"/>
            <w:tcBorders>
              <w:top w:val="nil"/>
              <w:left w:val="single" w:sz="4" w:space="0" w:color="auto"/>
              <w:bottom w:val="single" w:sz="4" w:space="0" w:color="auto"/>
              <w:right w:val="single" w:sz="4" w:space="0" w:color="auto"/>
            </w:tcBorders>
            <w:shd w:val="clear" w:color="auto" w:fill="C6EFCE"/>
            <w:noWrap/>
            <w:vAlign w:val="center"/>
          </w:tcPr>
          <w:p w14:paraId="5626D9BA" w14:textId="1711549D"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181a</w:t>
            </w:r>
          </w:p>
        </w:tc>
        <w:tc>
          <w:tcPr>
            <w:tcW w:w="4283" w:type="dxa"/>
            <w:tcBorders>
              <w:top w:val="nil"/>
              <w:left w:val="nil"/>
              <w:bottom w:val="single" w:sz="4" w:space="0" w:color="auto"/>
              <w:right w:val="single" w:sz="4" w:space="0" w:color="auto"/>
            </w:tcBorders>
            <w:shd w:val="clear" w:color="auto" w:fill="C6EFCE"/>
            <w:noWrap/>
            <w:vAlign w:val="center"/>
          </w:tcPr>
          <w:p w14:paraId="2B7B9528" w14:textId="4BD8EE2F"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 xml:space="preserve">11 – 3.4 Zlepšiť </w:t>
            </w:r>
            <w:r w:rsidRPr="00083739">
              <w:rPr>
                <w:rFonts w:cs="Times New Roman"/>
                <w:noProof/>
                <w:lang w:val="sk-SK"/>
              </w:rPr>
              <w:t>prístup</w:t>
            </w:r>
            <w:r w:rsidR="00083739" w:rsidRPr="00083739">
              <w:rPr>
                <w:rFonts w:cs="Times New Roman"/>
                <w:noProof/>
                <w:lang w:val="sk-SK"/>
              </w:rPr>
              <w:t xml:space="preserve"> k </w:t>
            </w:r>
            <w:r w:rsidRPr="00083739">
              <w:rPr>
                <w:rFonts w:cs="Times New Roman"/>
                <w:noProof/>
                <w:lang w:val="sk-SK"/>
              </w:rPr>
              <w:t>účinným</w:t>
            </w:r>
            <w:r w:rsidR="00083739" w:rsidRPr="00083739">
              <w:rPr>
                <w:rFonts w:cs="Times New Roman"/>
                <w:noProof/>
                <w:lang w:val="sk-SK"/>
              </w:rPr>
              <w:t xml:space="preserve"> a </w:t>
            </w:r>
            <w:r w:rsidRPr="00083739">
              <w:rPr>
                <w:rFonts w:cs="Times New Roman"/>
                <w:noProof/>
                <w:lang w:val="sk-SK"/>
              </w:rPr>
              <w:t>inkluzívnym sociálnym politikám – 16402_Sociálne</w:t>
            </w:r>
            <w:r w:rsidR="00083739" w:rsidRPr="00083739">
              <w:rPr>
                <w:rFonts w:cs="Times New Roman"/>
                <w:noProof/>
                <w:lang w:val="sk-SK"/>
              </w:rPr>
              <w:t xml:space="preserve"> a </w:t>
            </w:r>
            <w:r w:rsidRPr="00083739">
              <w:rPr>
                <w:rFonts w:cs="Times New Roman"/>
                <w:noProof/>
                <w:lang w:val="sk-SK"/>
              </w:rPr>
              <w:t>cenovo dostupné bývanie</w:t>
            </w:r>
          </w:p>
        </w:tc>
        <w:tc>
          <w:tcPr>
            <w:tcW w:w="1692" w:type="dxa"/>
            <w:tcBorders>
              <w:top w:val="nil"/>
              <w:left w:val="nil"/>
              <w:bottom w:val="single" w:sz="4" w:space="0" w:color="auto"/>
              <w:right w:val="single" w:sz="4" w:space="0" w:color="auto"/>
            </w:tcBorders>
            <w:shd w:val="clear" w:color="auto" w:fill="C6EFCE"/>
            <w:noWrap/>
            <w:vAlign w:val="center"/>
          </w:tcPr>
          <w:p w14:paraId="3F15D82D" w14:textId="6EC8F3A0"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Míľnik</w:t>
            </w:r>
          </w:p>
        </w:tc>
        <w:tc>
          <w:tcPr>
            <w:tcW w:w="1757" w:type="dxa"/>
            <w:tcBorders>
              <w:top w:val="nil"/>
              <w:left w:val="nil"/>
              <w:bottom w:val="single" w:sz="4" w:space="0" w:color="auto"/>
              <w:right w:val="single" w:sz="4" w:space="0" w:color="auto"/>
            </w:tcBorders>
            <w:shd w:val="clear" w:color="auto" w:fill="C6EFCE"/>
            <w:noWrap/>
            <w:vAlign w:val="center"/>
          </w:tcPr>
          <w:p w14:paraId="44131C7A" w14:textId="6D3E28C5"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Nadobudnutie účinnosti právnych predpisov, ktorými sa mení zákon</w:t>
            </w:r>
            <w:r w:rsidR="00083739" w:rsidRPr="00083739">
              <w:rPr>
                <w:rFonts w:cs="Times New Roman"/>
                <w:noProof/>
                <w:lang w:val="sk-SK"/>
              </w:rPr>
              <w:t xml:space="preserve"> o </w:t>
            </w:r>
            <w:r w:rsidRPr="00083739">
              <w:rPr>
                <w:rFonts w:cs="Times New Roman"/>
                <w:noProof/>
                <w:szCs w:val="18"/>
                <w:lang w:val="sk-SK"/>
              </w:rPr>
              <w:t xml:space="preserve">bývaní </w:t>
            </w:r>
            <w:r w:rsidRPr="00083739">
              <w:rPr>
                <w:rFonts w:cs="Times New Roman"/>
                <w:noProof/>
                <w:lang w:val="sk-SK"/>
              </w:rPr>
              <w:t xml:space="preserve">5006/2022.  </w:t>
            </w:r>
          </w:p>
        </w:tc>
      </w:tr>
      <w:tr w:rsidR="002D49B0" w:rsidRPr="00083739" w14:paraId="145529E9" w14:textId="77777777">
        <w:trPr>
          <w:trHeight w:val="302"/>
        </w:trPr>
        <w:tc>
          <w:tcPr>
            <w:tcW w:w="1804" w:type="dxa"/>
            <w:tcBorders>
              <w:top w:val="nil"/>
              <w:left w:val="single" w:sz="4" w:space="0" w:color="auto"/>
              <w:bottom w:val="single" w:sz="4" w:space="0" w:color="auto"/>
              <w:right w:val="single" w:sz="4" w:space="0" w:color="auto"/>
            </w:tcBorders>
            <w:shd w:val="clear" w:color="auto" w:fill="C6EFCE"/>
            <w:noWrap/>
            <w:vAlign w:val="center"/>
          </w:tcPr>
          <w:p w14:paraId="3946279C"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132</w:t>
            </w:r>
          </w:p>
        </w:tc>
        <w:tc>
          <w:tcPr>
            <w:tcW w:w="4283" w:type="dxa"/>
            <w:tcBorders>
              <w:top w:val="nil"/>
              <w:left w:val="nil"/>
              <w:bottom w:val="single" w:sz="4" w:space="0" w:color="auto"/>
              <w:right w:val="single" w:sz="4" w:space="0" w:color="auto"/>
            </w:tcBorders>
            <w:shd w:val="clear" w:color="auto" w:fill="C6EFCE"/>
            <w:noWrap/>
            <w:vAlign w:val="center"/>
          </w:tcPr>
          <w:p w14:paraId="536A697B" w14:textId="7345F8D3"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 xml:space="preserve"> 7 – 2.3. Digitalizácia podnikov – 16973_Zriadenie ekosystému </w:t>
            </w:r>
            <w:r w:rsidRPr="00083739">
              <w:rPr>
                <w:rFonts w:cs="Times New Roman"/>
                <w:noProof/>
                <w:lang w:val="sk-SK"/>
              </w:rPr>
              <w:t>digitálnych podnikov na uľahčenie digitálnej transformácie MSP</w:t>
            </w:r>
          </w:p>
        </w:tc>
        <w:tc>
          <w:tcPr>
            <w:tcW w:w="1692" w:type="dxa"/>
            <w:tcBorders>
              <w:top w:val="nil"/>
              <w:left w:val="nil"/>
              <w:bottom w:val="single" w:sz="4" w:space="0" w:color="auto"/>
              <w:right w:val="single" w:sz="4" w:space="0" w:color="auto"/>
            </w:tcBorders>
            <w:shd w:val="clear" w:color="auto" w:fill="C6EFCE"/>
            <w:noWrap/>
            <w:vAlign w:val="center"/>
          </w:tcPr>
          <w:p w14:paraId="345D7D69"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757" w:type="dxa"/>
            <w:tcBorders>
              <w:top w:val="nil"/>
              <w:left w:val="nil"/>
              <w:bottom w:val="single" w:sz="4" w:space="0" w:color="auto"/>
              <w:right w:val="single" w:sz="4" w:space="0" w:color="auto"/>
            </w:tcBorders>
            <w:shd w:val="clear" w:color="auto" w:fill="C6EFCE"/>
            <w:noWrap/>
            <w:vAlign w:val="center"/>
          </w:tcPr>
          <w:p w14:paraId="01A0E3F0" w14:textId="5E67AC5D"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Digitálna transformácia MSP – legislatívna reforma na stimulovanie zavádzania technológií</w:t>
            </w:r>
          </w:p>
        </w:tc>
      </w:tr>
      <w:tr w:rsidR="002D49B0" w:rsidRPr="00083739" w14:paraId="44028F05" w14:textId="77777777">
        <w:trPr>
          <w:trHeight w:val="302"/>
        </w:trPr>
        <w:tc>
          <w:tcPr>
            <w:tcW w:w="1804" w:type="dxa"/>
            <w:tcBorders>
              <w:top w:val="nil"/>
              <w:left w:val="single" w:sz="4" w:space="0" w:color="auto"/>
              <w:bottom w:val="single" w:sz="4" w:space="0" w:color="auto"/>
              <w:right w:val="single" w:sz="4" w:space="0" w:color="auto"/>
            </w:tcBorders>
            <w:shd w:val="clear" w:color="auto" w:fill="C6EFCE"/>
            <w:noWrap/>
          </w:tcPr>
          <w:p w14:paraId="5C4E5B12"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148a</w:t>
            </w:r>
          </w:p>
        </w:tc>
        <w:tc>
          <w:tcPr>
            <w:tcW w:w="4283" w:type="dxa"/>
            <w:tcBorders>
              <w:top w:val="nil"/>
              <w:left w:val="nil"/>
              <w:bottom w:val="single" w:sz="4" w:space="0" w:color="auto"/>
              <w:right w:val="single" w:sz="4" w:space="0" w:color="auto"/>
            </w:tcBorders>
            <w:shd w:val="clear" w:color="auto" w:fill="C6EFCE"/>
            <w:noWrap/>
          </w:tcPr>
          <w:p w14:paraId="4508B9E0" w14:textId="08FAE265"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9 – 3.2. Vzdelávanie, odborné vzdelávanie</w:t>
            </w:r>
            <w:r w:rsidR="00083739" w:rsidRPr="00083739">
              <w:rPr>
                <w:rFonts w:cs="Times New Roman"/>
                <w:noProof/>
                <w:lang w:val="sk-SK"/>
              </w:rPr>
              <w:t xml:space="preserve"> a </w:t>
            </w:r>
            <w:r w:rsidRPr="00083739">
              <w:rPr>
                <w:rFonts w:cs="Times New Roman"/>
                <w:noProof/>
                <w:lang w:val="sk-SK"/>
              </w:rPr>
              <w:t>príprava</w:t>
            </w:r>
            <w:r w:rsidR="00083739" w:rsidRPr="00083739">
              <w:rPr>
                <w:rFonts w:cs="Times New Roman"/>
                <w:noProof/>
                <w:lang w:val="sk-SK"/>
              </w:rPr>
              <w:t xml:space="preserve"> a </w:t>
            </w:r>
            <w:r w:rsidRPr="00083739">
              <w:rPr>
                <w:rFonts w:cs="Times New Roman"/>
                <w:noProof/>
                <w:lang w:val="sk-SK"/>
              </w:rPr>
              <w:t>zručnosti – 16676_Digitálna transfo</w:t>
            </w:r>
            <w:r w:rsidRPr="00083739">
              <w:rPr>
                <w:rFonts w:cs="Times New Roman"/>
                <w:noProof/>
                <w:lang w:val="sk-SK"/>
              </w:rPr>
              <w:t>rmácia vzdelávania</w:t>
            </w:r>
          </w:p>
        </w:tc>
        <w:tc>
          <w:tcPr>
            <w:tcW w:w="1692" w:type="dxa"/>
            <w:tcBorders>
              <w:top w:val="nil"/>
              <w:left w:val="nil"/>
              <w:bottom w:val="single" w:sz="4" w:space="0" w:color="auto"/>
              <w:right w:val="single" w:sz="4" w:space="0" w:color="auto"/>
            </w:tcBorders>
            <w:shd w:val="clear" w:color="auto" w:fill="C6EFCE"/>
            <w:noWrap/>
          </w:tcPr>
          <w:p w14:paraId="7ACF9545"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Míľnik</w:t>
            </w:r>
          </w:p>
        </w:tc>
        <w:tc>
          <w:tcPr>
            <w:tcW w:w="1757" w:type="dxa"/>
            <w:tcBorders>
              <w:top w:val="nil"/>
              <w:left w:val="nil"/>
              <w:bottom w:val="single" w:sz="4" w:space="0" w:color="auto"/>
              <w:right w:val="single" w:sz="4" w:space="0" w:color="auto"/>
            </w:tcBorders>
            <w:shd w:val="clear" w:color="auto" w:fill="C6EFCE"/>
            <w:noWrap/>
          </w:tcPr>
          <w:p w14:paraId="089E828A" w14:textId="7B72E026"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Stratégia aktualizácie učebných plánov, racionalizácie služieb</w:t>
            </w:r>
            <w:r w:rsidR="00083739" w:rsidRPr="00083739">
              <w:rPr>
                <w:rFonts w:cs="Times New Roman"/>
                <w:noProof/>
                <w:lang w:val="sk-SK"/>
              </w:rPr>
              <w:t xml:space="preserve"> a </w:t>
            </w:r>
            <w:r w:rsidRPr="00083739">
              <w:rPr>
                <w:rFonts w:cs="Times New Roman"/>
                <w:noProof/>
                <w:lang w:val="sk-SK"/>
              </w:rPr>
              <w:t>monitorovania výsledkov vzdelávania</w:t>
            </w:r>
          </w:p>
        </w:tc>
      </w:tr>
      <w:tr w:rsidR="002D49B0" w:rsidRPr="00083739" w14:paraId="1AF8AC26" w14:textId="77777777">
        <w:trPr>
          <w:trHeight w:val="302"/>
        </w:trPr>
        <w:tc>
          <w:tcPr>
            <w:tcW w:w="1804" w:type="dxa"/>
            <w:tcBorders>
              <w:top w:val="nil"/>
              <w:left w:val="single" w:sz="4" w:space="0" w:color="auto"/>
              <w:bottom w:val="single" w:sz="4" w:space="0" w:color="auto"/>
              <w:right w:val="single" w:sz="4" w:space="0" w:color="auto"/>
            </w:tcBorders>
            <w:shd w:val="clear" w:color="auto" w:fill="C6EFCE"/>
            <w:noWrap/>
            <w:vAlign w:val="center"/>
          </w:tcPr>
          <w:p w14:paraId="31359712"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157</w:t>
            </w:r>
          </w:p>
        </w:tc>
        <w:tc>
          <w:tcPr>
            <w:tcW w:w="4283" w:type="dxa"/>
            <w:tcBorders>
              <w:top w:val="nil"/>
              <w:left w:val="nil"/>
              <w:bottom w:val="single" w:sz="4" w:space="0" w:color="auto"/>
              <w:right w:val="single" w:sz="4" w:space="0" w:color="auto"/>
            </w:tcBorders>
            <w:shd w:val="clear" w:color="auto" w:fill="C6EFCE"/>
            <w:noWrap/>
            <w:vAlign w:val="center"/>
          </w:tcPr>
          <w:p w14:paraId="6FF168B9" w14:textId="1432E414"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10 – 3.3. Zlepšenie odolnosti, dostupnosti</w:t>
            </w:r>
            <w:r w:rsidR="00083739" w:rsidRPr="00083739">
              <w:rPr>
                <w:rFonts w:cs="Times New Roman"/>
                <w:noProof/>
                <w:lang w:val="sk-SK"/>
              </w:rPr>
              <w:t xml:space="preserve"> a </w:t>
            </w:r>
            <w:r w:rsidRPr="00083739">
              <w:rPr>
                <w:rFonts w:cs="Times New Roman"/>
                <w:noProof/>
                <w:lang w:val="sk-SK"/>
              </w:rPr>
              <w:t>udržateľnosti zdravotnej starostlivosti – 16816_Reformy</w:t>
            </w:r>
            <w:r w:rsidR="00083739" w:rsidRPr="00083739">
              <w:rPr>
                <w:rFonts w:cs="Times New Roman"/>
                <w:noProof/>
                <w:lang w:val="sk-SK"/>
              </w:rPr>
              <w:t xml:space="preserve"> a </w:t>
            </w:r>
            <w:r w:rsidRPr="00083739">
              <w:rPr>
                <w:rFonts w:cs="Times New Roman"/>
                <w:noProof/>
                <w:lang w:val="sk-SK"/>
              </w:rPr>
              <w:t>urýchlenie investícií</w:t>
            </w:r>
            <w:r w:rsidR="00083739" w:rsidRPr="00083739">
              <w:rPr>
                <w:rFonts w:cs="Times New Roman"/>
                <w:noProof/>
                <w:lang w:val="sk-SK"/>
              </w:rPr>
              <w:t xml:space="preserve"> v </w:t>
            </w:r>
            <w:r w:rsidRPr="00083739">
              <w:rPr>
                <w:rFonts w:cs="Times New Roman"/>
                <w:noProof/>
                <w:lang w:val="sk-SK"/>
              </w:rPr>
              <w:t>sektore zdravotnej starostlivosti – Zníženie vrátenia prostriedkov</w:t>
            </w:r>
            <w:r w:rsidR="00083739" w:rsidRPr="00083739">
              <w:rPr>
                <w:rFonts w:cs="Times New Roman"/>
                <w:noProof/>
                <w:lang w:val="sk-SK"/>
              </w:rPr>
              <w:t xml:space="preserve"> a </w:t>
            </w:r>
            <w:r w:rsidRPr="00083739">
              <w:rPr>
                <w:rFonts w:cs="Times New Roman"/>
                <w:noProof/>
                <w:lang w:val="sk-SK"/>
              </w:rPr>
              <w:t>racionalizácia výdavkov na zdravotnú starostlivosť</w:t>
            </w:r>
          </w:p>
        </w:tc>
        <w:tc>
          <w:tcPr>
            <w:tcW w:w="1692" w:type="dxa"/>
            <w:tcBorders>
              <w:top w:val="nil"/>
              <w:left w:val="nil"/>
              <w:bottom w:val="single" w:sz="4" w:space="0" w:color="auto"/>
              <w:right w:val="single" w:sz="4" w:space="0" w:color="auto"/>
            </w:tcBorders>
            <w:shd w:val="clear" w:color="auto" w:fill="C6EFCE"/>
            <w:noWrap/>
            <w:vAlign w:val="center"/>
          </w:tcPr>
          <w:p w14:paraId="1B4B8396"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Cieľ</w:t>
            </w:r>
          </w:p>
        </w:tc>
        <w:tc>
          <w:tcPr>
            <w:tcW w:w="1757" w:type="dxa"/>
            <w:tcBorders>
              <w:top w:val="nil"/>
              <w:left w:val="nil"/>
              <w:bottom w:val="single" w:sz="4" w:space="0" w:color="auto"/>
              <w:right w:val="single" w:sz="4" w:space="0" w:color="auto"/>
            </w:tcBorders>
            <w:shd w:val="clear" w:color="auto" w:fill="C6EFCE"/>
            <w:noWrap/>
            <w:vAlign w:val="center"/>
          </w:tcPr>
          <w:p w14:paraId="3B03C711" w14:textId="2B460575"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Zníženie vrátenia poskytnutých prostriedkov 300000000 – krok 3</w:t>
            </w:r>
          </w:p>
        </w:tc>
      </w:tr>
      <w:tr w:rsidR="002D49B0" w:rsidRPr="00083739" w14:paraId="6A57C8C9" w14:textId="77777777">
        <w:trPr>
          <w:trHeight w:val="302"/>
        </w:trPr>
        <w:tc>
          <w:tcPr>
            <w:tcW w:w="1804" w:type="dxa"/>
            <w:tcBorders>
              <w:top w:val="nil"/>
              <w:left w:val="single" w:sz="4" w:space="0" w:color="auto"/>
              <w:bottom w:val="single" w:sz="4" w:space="0" w:color="auto"/>
              <w:right w:val="single" w:sz="4" w:space="0" w:color="auto"/>
            </w:tcBorders>
            <w:shd w:val="clear" w:color="auto" w:fill="C6EFCE"/>
            <w:noWrap/>
            <w:vAlign w:val="center"/>
          </w:tcPr>
          <w:p w14:paraId="50F0E088" w14:textId="77777777" w:rsidR="002D49B0" w:rsidRPr="00083739" w:rsidRDefault="00BF4125">
            <w:pPr>
              <w:pStyle w:val="P68B1DB1-Normal49"/>
              <w:keepNext/>
              <w:spacing w:before="40" w:after="0" w:line="240" w:lineRule="auto"/>
              <w:jc w:val="both"/>
              <w:rPr>
                <w:rFonts w:eastAsia="Times New Roman" w:cs="Times New Roman"/>
                <w:bCs/>
                <w:noProof/>
                <w:lang w:val="sk-SK"/>
              </w:rPr>
            </w:pPr>
            <w:r w:rsidRPr="00083739">
              <w:rPr>
                <w:rFonts w:cs="Times New Roman"/>
                <w:noProof/>
                <w:lang w:val="sk-SK"/>
              </w:rPr>
              <w:t>163</w:t>
            </w:r>
          </w:p>
        </w:tc>
        <w:tc>
          <w:tcPr>
            <w:tcW w:w="4283" w:type="dxa"/>
            <w:tcBorders>
              <w:top w:val="nil"/>
              <w:left w:val="nil"/>
              <w:bottom w:val="single" w:sz="4" w:space="0" w:color="auto"/>
              <w:right w:val="single" w:sz="4" w:space="0" w:color="auto"/>
            </w:tcBorders>
            <w:shd w:val="clear" w:color="auto" w:fill="C6EFCE"/>
            <w:noWrap/>
            <w:vAlign w:val="center"/>
          </w:tcPr>
          <w:p w14:paraId="43E29A1F" w14:textId="4DA3636E"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10 – 3.3. Zlepšenie odolnosti, dostupnosti</w:t>
            </w:r>
            <w:r w:rsidR="00083739" w:rsidRPr="00083739">
              <w:rPr>
                <w:rFonts w:cs="Times New Roman"/>
                <w:noProof/>
                <w:lang w:val="sk-SK"/>
              </w:rPr>
              <w:t xml:space="preserve"> a </w:t>
            </w:r>
            <w:r w:rsidRPr="00083739">
              <w:rPr>
                <w:rFonts w:cs="Times New Roman"/>
                <w:noProof/>
                <w:lang w:val="sk-SK"/>
              </w:rPr>
              <w:t xml:space="preserve">udržateľnosti </w:t>
            </w:r>
            <w:r w:rsidRPr="00083739">
              <w:rPr>
                <w:rFonts w:cs="Times New Roman"/>
                <w:noProof/>
                <w:lang w:val="sk-SK"/>
              </w:rPr>
              <w:t>zdravotnej starostlivosti – 16756_Organizačné reformy</w:t>
            </w:r>
            <w:r w:rsidR="00083739" w:rsidRPr="00083739">
              <w:rPr>
                <w:rFonts w:cs="Times New Roman"/>
                <w:noProof/>
                <w:lang w:val="sk-SK"/>
              </w:rPr>
              <w:t xml:space="preserve"> v </w:t>
            </w:r>
            <w:r w:rsidRPr="00083739">
              <w:rPr>
                <w:rFonts w:cs="Times New Roman"/>
                <w:noProof/>
                <w:lang w:val="sk-SK"/>
              </w:rPr>
              <w:t xml:space="preserve">systéme zdravotnej starostlivosti </w:t>
            </w:r>
          </w:p>
        </w:tc>
        <w:tc>
          <w:tcPr>
            <w:tcW w:w="1692" w:type="dxa"/>
            <w:tcBorders>
              <w:top w:val="nil"/>
              <w:left w:val="nil"/>
              <w:bottom w:val="single" w:sz="4" w:space="0" w:color="auto"/>
              <w:right w:val="single" w:sz="4" w:space="0" w:color="auto"/>
            </w:tcBorders>
            <w:shd w:val="clear" w:color="auto" w:fill="C6EFCE"/>
            <w:noWrap/>
            <w:vAlign w:val="center"/>
          </w:tcPr>
          <w:p w14:paraId="673F737F"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757" w:type="dxa"/>
            <w:tcBorders>
              <w:top w:val="nil"/>
              <w:left w:val="nil"/>
              <w:bottom w:val="single" w:sz="4" w:space="0" w:color="auto"/>
              <w:right w:val="single" w:sz="4" w:space="0" w:color="auto"/>
            </w:tcBorders>
            <w:shd w:val="clear" w:color="auto" w:fill="C6EFCE"/>
            <w:noWrap/>
            <w:vAlign w:val="center"/>
          </w:tcPr>
          <w:p w14:paraId="083EBFFC" w14:textId="41472C5A"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Systém zdravotnej starostlivosti – dokončenie gréckeho inštitútu DRG KETEKNY</w:t>
            </w:r>
            <w:r w:rsidR="00083739" w:rsidRPr="00083739">
              <w:rPr>
                <w:rFonts w:cs="Times New Roman"/>
                <w:noProof/>
                <w:lang w:val="sk-SK"/>
              </w:rPr>
              <w:t xml:space="preserve"> a </w:t>
            </w:r>
            <w:r w:rsidRPr="00083739">
              <w:rPr>
                <w:rFonts w:cs="Times New Roman"/>
                <w:noProof/>
                <w:lang w:val="sk-SK"/>
              </w:rPr>
              <w:t xml:space="preserve">novej Agentúry pre zabezpečenie kvality zdravotnej starostlivosti ODIPY (okrem </w:t>
            </w:r>
            <w:r w:rsidRPr="00083739">
              <w:rPr>
                <w:rFonts w:cs="Times New Roman"/>
                <w:noProof/>
                <w:lang w:val="sk-SK"/>
              </w:rPr>
              <w:t>odbornej prípravy)</w:t>
            </w:r>
          </w:p>
        </w:tc>
      </w:tr>
      <w:tr w:rsidR="002D49B0" w:rsidRPr="00083739" w14:paraId="7F011813" w14:textId="77777777">
        <w:trPr>
          <w:trHeight w:val="302"/>
        </w:trPr>
        <w:tc>
          <w:tcPr>
            <w:tcW w:w="1804" w:type="dxa"/>
            <w:tcBorders>
              <w:top w:val="nil"/>
              <w:left w:val="single" w:sz="4" w:space="0" w:color="auto"/>
              <w:bottom w:val="single" w:sz="4" w:space="0" w:color="auto"/>
              <w:right w:val="single" w:sz="4" w:space="0" w:color="auto"/>
            </w:tcBorders>
            <w:shd w:val="clear" w:color="auto" w:fill="C6EFCE"/>
            <w:noWrap/>
            <w:vAlign w:val="center"/>
          </w:tcPr>
          <w:p w14:paraId="44BEC799" w14:textId="77777777" w:rsidR="002D49B0" w:rsidRPr="00083739" w:rsidRDefault="00BF4125">
            <w:pPr>
              <w:pStyle w:val="P68B1DB1-Normal49"/>
              <w:keepNext/>
              <w:spacing w:before="40" w:after="0" w:line="240" w:lineRule="auto"/>
              <w:jc w:val="both"/>
              <w:rPr>
                <w:rFonts w:eastAsia="Times New Roman" w:cs="Times New Roman"/>
                <w:bCs/>
                <w:noProof/>
                <w:lang w:val="sk-SK"/>
              </w:rPr>
            </w:pPr>
            <w:r w:rsidRPr="00083739">
              <w:rPr>
                <w:rFonts w:cs="Times New Roman"/>
                <w:noProof/>
                <w:lang w:val="sk-SK"/>
              </w:rPr>
              <w:t>164</w:t>
            </w:r>
          </w:p>
        </w:tc>
        <w:tc>
          <w:tcPr>
            <w:tcW w:w="4283" w:type="dxa"/>
            <w:tcBorders>
              <w:top w:val="nil"/>
              <w:left w:val="nil"/>
              <w:bottom w:val="single" w:sz="4" w:space="0" w:color="auto"/>
              <w:right w:val="single" w:sz="4" w:space="0" w:color="auto"/>
            </w:tcBorders>
            <w:shd w:val="clear" w:color="auto" w:fill="C6EFCE"/>
            <w:noWrap/>
            <w:vAlign w:val="center"/>
          </w:tcPr>
          <w:p w14:paraId="65FC06BB" w14:textId="7DA8D9DE"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10 – 3.3. Zlepšenie odolnosti, dostupnosti</w:t>
            </w:r>
            <w:r w:rsidR="00083739" w:rsidRPr="00083739">
              <w:rPr>
                <w:rFonts w:cs="Times New Roman"/>
                <w:noProof/>
                <w:lang w:val="sk-SK"/>
              </w:rPr>
              <w:t xml:space="preserve"> a </w:t>
            </w:r>
            <w:r w:rsidRPr="00083739">
              <w:rPr>
                <w:rFonts w:cs="Times New Roman"/>
                <w:noProof/>
                <w:lang w:val="sk-SK"/>
              </w:rPr>
              <w:t>udržateľnosti zdravotnej starostlivosti – 16756_Organizačné reformy</w:t>
            </w:r>
            <w:r w:rsidR="00083739" w:rsidRPr="00083739">
              <w:rPr>
                <w:rFonts w:cs="Times New Roman"/>
                <w:noProof/>
                <w:lang w:val="sk-SK"/>
              </w:rPr>
              <w:t xml:space="preserve"> v </w:t>
            </w:r>
            <w:r w:rsidRPr="00083739">
              <w:rPr>
                <w:rFonts w:cs="Times New Roman"/>
                <w:noProof/>
                <w:lang w:val="sk-SK"/>
              </w:rPr>
              <w:t xml:space="preserve">systéme zdravotnej starostlivosti </w:t>
            </w:r>
          </w:p>
        </w:tc>
        <w:tc>
          <w:tcPr>
            <w:tcW w:w="1692" w:type="dxa"/>
            <w:tcBorders>
              <w:top w:val="nil"/>
              <w:left w:val="nil"/>
              <w:bottom w:val="single" w:sz="4" w:space="0" w:color="auto"/>
              <w:right w:val="single" w:sz="4" w:space="0" w:color="auto"/>
            </w:tcBorders>
            <w:shd w:val="clear" w:color="auto" w:fill="C6EFCE"/>
            <w:noWrap/>
            <w:vAlign w:val="center"/>
          </w:tcPr>
          <w:p w14:paraId="109B1F16"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Cieľ</w:t>
            </w:r>
          </w:p>
        </w:tc>
        <w:tc>
          <w:tcPr>
            <w:tcW w:w="1757" w:type="dxa"/>
            <w:tcBorders>
              <w:top w:val="nil"/>
              <w:left w:val="nil"/>
              <w:bottom w:val="single" w:sz="4" w:space="0" w:color="auto"/>
              <w:right w:val="single" w:sz="4" w:space="0" w:color="auto"/>
            </w:tcBorders>
            <w:shd w:val="clear" w:color="auto" w:fill="C6EFCE"/>
            <w:noWrap/>
            <w:vAlign w:val="center"/>
          </w:tcPr>
          <w:p w14:paraId="2A0438BB"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Systém zdravotnej starostlivosti – kompletná odborná príprava KETEKNY</w:t>
            </w:r>
          </w:p>
        </w:tc>
      </w:tr>
      <w:tr w:rsidR="002D49B0" w:rsidRPr="00083739" w14:paraId="6759C216" w14:textId="77777777">
        <w:trPr>
          <w:trHeight w:val="302"/>
        </w:trPr>
        <w:tc>
          <w:tcPr>
            <w:tcW w:w="1804" w:type="dxa"/>
            <w:tcBorders>
              <w:top w:val="nil"/>
              <w:left w:val="single" w:sz="4" w:space="0" w:color="auto"/>
              <w:bottom w:val="single" w:sz="4" w:space="0" w:color="auto"/>
              <w:right w:val="single" w:sz="4" w:space="0" w:color="auto"/>
            </w:tcBorders>
            <w:shd w:val="clear" w:color="auto" w:fill="C6EFCE"/>
            <w:noWrap/>
            <w:vAlign w:val="center"/>
          </w:tcPr>
          <w:p w14:paraId="68058F4E"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168</w:t>
            </w:r>
          </w:p>
        </w:tc>
        <w:tc>
          <w:tcPr>
            <w:tcW w:w="4283" w:type="dxa"/>
            <w:tcBorders>
              <w:top w:val="nil"/>
              <w:left w:val="nil"/>
              <w:bottom w:val="single" w:sz="4" w:space="0" w:color="auto"/>
              <w:right w:val="single" w:sz="4" w:space="0" w:color="auto"/>
            </w:tcBorders>
            <w:shd w:val="clear" w:color="auto" w:fill="C6EFCE"/>
            <w:noWrap/>
            <w:vAlign w:val="center"/>
          </w:tcPr>
          <w:p w14:paraId="38578DA9" w14:textId="12150F5C"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10</w:t>
            </w:r>
            <w:r w:rsidRPr="00083739">
              <w:rPr>
                <w:rFonts w:cs="Times New Roman"/>
                <w:noProof/>
                <w:lang w:val="sk-SK"/>
              </w:rPr>
              <w:t xml:space="preserve"> – 3.3. Zlepšenie odolnosti, dostupnosti</w:t>
            </w:r>
            <w:r w:rsidR="00083739" w:rsidRPr="00083739">
              <w:rPr>
                <w:rFonts w:cs="Times New Roman"/>
                <w:noProof/>
                <w:lang w:val="sk-SK"/>
              </w:rPr>
              <w:t xml:space="preserve"> a </w:t>
            </w:r>
            <w:r w:rsidRPr="00083739">
              <w:rPr>
                <w:rFonts w:cs="Times New Roman"/>
                <w:noProof/>
                <w:lang w:val="sk-SK"/>
              </w:rPr>
              <w:t>udržateľnosti zdravotnej starostlivosti – 16752_Digitálna transformácia zdravia (DigHealth)</w:t>
            </w:r>
          </w:p>
        </w:tc>
        <w:tc>
          <w:tcPr>
            <w:tcW w:w="1692" w:type="dxa"/>
            <w:tcBorders>
              <w:top w:val="nil"/>
              <w:left w:val="nil"/>
              <w:bottom w:val="single" w:sz="4" w:space="0" w:color="auto"/>
              <w:right w:val="single" w:sz="4" w:space="0" w:color="auto"/>
            </w:tcBorders>
            <w:shd w:val="clear" w:color="auto" w:fill="C6EFCE"/>
            <w:noWrap/>
            <w:vAlign w:val="center"/>
          </w:tcPr>
          <w:p w14:paraId="11E25C92"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Míľnik</w:t>
            </w:r>
          </w:p>
        </w:tc>
        <w:tc>
          <w:tcPr>
            <w:tcW w:w="1757" w:type="dxa"/>
            <w:tcBorders>
              <w:top w:val="nil"/>
              <w:left w:val="nil"/>
              <w:bottom w:val="single" w:sz="4" w:space="0" w:color="auto"/>
              <w:right w:val="single" w:sz="4" w:space="0" w:color="auto"/>
            </w:tcBorders>
            <w:shd w:val="clear" w:color="auto" w:fill="C6EFCE"/>
            <w:noWrap/>
            <w:vAlign w:val="center"/>
          </w:tcPr>
          <w:p w14:paraId="34060E27" w14:textId="51F1BACE" w:rsidR="002D49B0" w:rsidRPr="00083739" w:rsidRDefault="00BF4125">
            <w:pPr>
              <w:pStyle w:val="P68B1DB1-Normal49"/>
              <w:keepNext/>
              <w:spacing w:before="40" w:after="0" w:line="240" w:lineRule="auto"/>
              <w:jc w:val="both"/>
              <w:rPr>
                <w:rFonts w:cs="Times New Roman"/>
                <w:noProof/>
                <w:lang w:val="sk-SK"/>
              </w:rPr>
            </w:pPr>
            <w:r w:rsidRPr="00083739">
              <w:rPr>
                <w:rFonts w:cs="Times New Roman"/>
                <w:noProof/>
                <w:lang w:val="sk-SK"/>
              </w:rPr>
              <w:t>Digitálna transformácia – Služby na rozšírenie tvorby termínov, modernizácia infraštruktúry elektronického systému</w:t>
            </w:r>
            <w:r w:rsidRPr="00083739">
              <w:rPr>
                <w:rFonts w:cs="Times New Roman"/>
                <w:noProof/>
                <w:lang w:val="sk-SK"/>
              </w:rPr>
              <w:t xml:space="preserve"> predpisov</w:t>
            </w:r>
            <w:r w:rsidR="00083739" w:rsidRPr="00083739">
              <w:rPr>
                <w:rFonts w:cs="Times New Roman"/>
                <w:noProof/>
                <w:lang w:val="sk-SK"/>
              </w:rPr>
              <w:t xml:space="preserve"> a </w:t>
            </w:r>
            <w:r w:rsidRPr="00083739">
              <w:rPr>
                <w:rFonts w:cs="Times New Roman"/>
                <w:noProof/>
                <w:lang w:val="sk-SK"/>
              </w:rPr>
              <w:t xml:space="preserve">prevádzkové služby pre informačné systémy spoločnosti IDIKA SA  </w:t>
            </w:r>
          </w:p>
        </w:tc>
      </w:tr>
      <w:tr w:rsidR="002D49B0" w:rsidRPr="00083739" w14:paraId="72B8A4F9" w14:textId="77777777">
        <w:trPr>
          <w:trHeight w:val="302"/>
        </w:trPr>
        <w:tc>
          <w:tcPr>
            <w:tcW w:w="1804" w:type="dxa"/>
            <w:tcBorders>
              <w:top w:val="nil"/>
              <w:left w:val="single" w:sz="4" w:space="0" w:color="auto"/>
              <w:bottom w:val="single" w:sz="4" w:space="0" w:color="auto"/>
              <w:right w:val="single" w:sz="4" w:space="0" w:color="auto"/>
            </w:tcBorders>
            <w:shd w:val="clear" w:color="auto" w:fill="C6EFCE"/>
            <w:noWrap/>
            <w:vAlign w:val="center"/>
          </w:tcPr>
          <w:p w14:paraId="7977B09D"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169</w:t>
            </w:r>
          </w:p>
        </w:tc>
        <w:tc>
          <w:tcPr>
            <w:tcW w:w="4283" w:type="dxa"/>
            <w:tcBorders>
              <w:top w:val="nil"/>
              <w:left w:val="nil"/>
              <w:bottom w:val="single" w:sz="4" w:space="0" w:color="auto"/>
              <w:right w:val="single" w:sz="4" w:space="0" w:color="auto"/>
            </w:tcBorders>
            <w:shd w:val="clear" w:color="auto" w:fill="C6EFCE"/>
            <w:noWrap/>
            <w:vAlign w:val="center"/>
          </w:tcPr>
          <w:p w14:paraId="7FBF6314" w14:textId="7A91D4E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10 – 3.3. Zlepšenie odolnosti, dostupnosti</w:t>
            </w:r>
            <w:r w:rsidR="00083739" w:rsidRPr="00083739">
              <w:rPr>
                <w:rFonts w:cs="Times New Roman"/>
                <w:noProof/>
                <w:lang w:val="sk-SK"/>
              </w:rPr>
              <w:t xml:space="preserve"> a </w:t>
            </w:r>
            <w:r w:rsidRPr="00083739">
              <w:rPr>
                <w:rFonts w:cs="Times New Roman"/>
                <w:noProof/>
                <w:lang w:val="sk-SK"/>
              </w:rPr>
              <w:t>udržateľnosti zdravotnej starostlivosti – 16753_Zriadenie systémov domácej zdravotnej starostlivosti</w:t>
            </w:r>
            <w:r w:rsidR="00083739" w:rsidRPr="00083739">
              <w:rPr>
                <w:rFonts w:cs="Times New Roman"/>
                <w:noProof/>
                <w:lang w:val="sk-SK"/>
              </w:rPr>
              <w:t xml:space="preserve"> a </w:t>
            </w:r>
            <w:r w:rsidRPr="00083739">
              <w:rPr>
                <w:rFonts w:cs="Times New Roman"/>
                <w:noProof/>
                <w:lang w:val="sk-SK"/>
              </w:rPr>
              <w:t>nemocníc</w:t>
            </w:r>
            <w:r w:rsidR="00083739" w:rsidRPr="00083739">
              <w:rPr>
                <w:rFonts w:cs="Times New Roman"/>
                <w:noProof/>
                <w:lang w:val="sk-SK"/>
              </w:rPr>
              <w:t xml:space="preserve"> v </w:t>
            </w:r>
            <w:r w:rsidRPr="00083739">
              <w:rPr>
                <w:rFonts w:cs="Times New Roman"/>
                <w:noProof/>
                <w:lang w:val="sk-SK"/>
              </w:rPr>
              <w:t>domácnosti</w:t>
            </w:r>
          </w:p>
        </w:tc>
        <w:tc>
          <w:tcPr>
            <w:tcW w:w="1692" w:type="dxa"/>
            <w:tcBorders>
              <w:top w:val="nil"/>
              <w:left w:val="nil"/>
              <w:bottom w:val="single" w:sz="4" w:space="0" w:color="auto"/>
              <w:right w:val="single" w:sz="4" w:space="0" w:color="auto"/>
            </w:tcBorders>
            <w:shd w:val="clear" w:color="auto" w:fill="C6EFCE"/>
            <w:noWrap/>
            <w:vAlign w:val="center"/>
          </w:tcPr>
          <w:p w14:paraId="6C48F3C5"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757" w:type="dxa"/>
            <w:tcBorders>
              <w:top w:val="nil"/>
              <w:left w:val="nil"/>
              <w:bottom w:val="single" w:sz="4" w:space="0" w:color="auto"/>
              <w:right w:val="single" w:sz="4" w:space="0" w:color="auto"/>
            </w:tcBorders>
            <w:shd w:val="clear" w:color="auto" w:fill="C6EFCE"/>
            <w:noWrap/>
            <w:vAlign w:val="center"/>
          </w:tcPr>
          <w:p w14:paraId="45BCAFFF"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Domáca starostlivosť – otvorenie jednotiek</w:t>
            </w:r>
          </w:p>
        </w:tc>
      </w:tr>
      <w:tr w:rsidR="002D49B0" w:rsidRPr="00083739" w14:paraId="455BEB70" w14:textId="77777777">
        <w:trPr>
          <w:trHeight w:val="302"/>
        </w:trPr>
        <w:tc>
          <w:tcPr>
            <w:tcW w:w="1804" w:type="dxa"/>
            <w:tcBorders>
              <w:top w:val="nil"/>
              <w:left w:val="single" w:sz="4" w:space="0" w:color="auto"/>
              <w:bottom w:val="single" w:sz="4" w:space="0" w:color="auto"/>
              <w:right w:val="single" w:sz="4" w:space="0" w:color="auto"/>
            </w:tcBorders>
            <w:shd w:val="clear" w:color="auto" w:fill="C6EFCE"/>
            <w:noWrap/>
          </w:tcPr>
          <w:p w14:paraId="711D8094"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184a</w:t>
            </w:r>
          </w:p>
        </w:tc>
        <w:tc>
          <w:tcPr>
            <w:tcW w:w="4283" w:type="dxa"/>
            <w:tcBorders>
              <w:top w:val="nil"/>
              <w:left w:val="nil"/>
              <w:bottom w:val="single" w:sz="4" w:space="0" w:color="auto"/>
              <w:right w:val="single" w:sz="4" w:space="0" w:color="auto"/>
            </w:tcBorders>
            <w:shd w:val="clear" w:color="auto" w:fill="C6EFCE"/>
            <w:noWrap/>
          </w:tcPr>
          <w:p w14:paraId="13DA989E" w14:textId="1D3A436E"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11 – 3.4. Zlepšiť prístup</w:t>
            </w:r>
            <w:r w:rsidR="00083739" w:rsidRPr="00083739">
              <w:rPr>
                <w:rFonts w:cs="Times New Roman"/>
                <w:noProof/>
                <w:lang w:val="sk-SK"/>
              </w:rPr>
              <w:t xml:space="preserve"> k </w:t>
            </w:r>
            <w:r w:rsidRPr="00083739">
              <w:rPr>
                <w:rFonts w:cs="Times New Roman"/>
                <w:noProof/>
                <w:lang w:val="sk-SK"/>
              </w:rPr>
              <w:t>účinným</w:t>
            </w:r>
            <w:r w:rsidR="00083739" w:rsidRPr="00083739">
              <w:rPr>
                <w:rFonts w:cs="Times New Roman"/>
                <w:noProof/>
                <w:lang w:val="sk-SK"/>
              </w:rPr>
              <w:t xml:space="preserve"> a </w:t>
            </w:r>
            <w:r w:rsidRPr="00083739">
              <w:rPr>
                <w:rFonts w:cs="Times New Roman"/>
                <w:noProof/>
                <w:lang w:val="sk-SK"/>
              </w:rPr>
              <w:t>inkluzívnym sociálnym politikám – 16685_Informačná informovanosť</w:t>
            </w:r>
            <w:r w:rsidR="00083739" w:rsidRPr="00083739">
              <w:rPr>
                <w:rFonts w:cs="Times New Roman"/>
                <w:noProof/>
                <w:lang w:val="sk-SK"/>
              </w:rPr>
              <w:t xml:space="preserve"> o </w:t>
            </w:r>
            <w:r w:rsidRPr="00083739">
              <w:rPr>
                <w:rFonts w:cs="Times New Roman"/>
                <w:noProof/>
                <w:lang w:val="sk-SK"/>
              </w:rPr>
              <w:t>rozmanitosti</w:t>
            </w:r>
          </w:p>
        </w:tc>
        <w:tc>
          <w:tcPr>
            <w:tcW w:w="1692" w:type="dxa"/>
            <w:tcBorders>
              <w:top w:val="nil"/>
              <w:left w:val="nil"/>
              <w:bottom w:val="single" w:sz="4" w:space="0" w:color="auto"/>
              <w:right w:val="single" w:sz="4" w:space="0" w:color="auto"/>
            </w:tcBorders>
            <w:shd w:val="clear" w:color="auto" w:fill="C6EFCE"/>
            <w:noWrap/>
          </w:tcPr>
          <w:p w14:paraId="441D99C6"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Míľnik</w:t>
            </w:r>
          </w:p>
        </w:tc>
        <w:tc>
          <w:tcPr>
            <w:tcW w:w="1757" w:type="dxa"/>
            <w:tcBorders>
              <w:top w:val="nil"/>
              <w:left w:val="nil"/>
              <w:bottom w:val="single" w:sz="4" w:space="0" w:color="auto"/>
              <w:right w:val="single" w:sz="4" w:space="0" w:color="auto"/>
            </w:tcBorders>
            <w:shd w:val="clear" w:color="auto" w:fill="C6EFCE"/>
            <w:noWrap/>
          </w:tcPr>
          <w:p w14:paraId="3EA1197F" w14:textId="3EE9D136"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Mechanizmus pre rovnosť</w:t>
            </w:r>
            <w:r w:rsidR="00083739" w:rsidRPr="00083739">
              <w:rPr>
                <w:rFonts w:cs="Times New Roman"/>
                <w:noProof/>
                <w:lang w:val="sk-SK"/>
              </w:rPr>
              <w:t xml:space="preserve"> a </w:t>
            </w:r>
            <w:r w:rsidRPr="00083739">
              <w:rPr>
                <w:rFonts w:cs="Times New Roman"/>
                <w:noProof/>
                <w:lang w:val="sk-SK"/>
              </w:rPr>
              <w:t xml:space="preserve">diskrimináciu, Stredisko pre monitorovanie </w:t>
            </w:r>
            <w:r w:rsidRPr="00083739">
              <w:rPr>
                <w:rFonts w:cs="Times New Roman"/>
                <w:noProof/>
                <w:lang w:val="sk-SK"/>
              </w:rPr>
              <w:t>rovnosti, systém udeľovania grantov</w:t>
            </w:r>
          </w:p>
        </w:tc>
      </w:tr>
      <w:tr w:rsidR="002D49B0" w:rsidRPr="00083739" w14:paraId="558D6836" w14:textId="77777777">
        <w:trPr>
          <w:trHeight w:val="302"/>
        </w:trPr>
        <w:tc>
          <w:tcPr>
            <w:tcW w:w="1804" w:type="dxa"/>
            <w:tcBorders>
              <w:top w:val="nil"/>
              <w:left w:val="single" w:sz="4" w:space="0" w:color="auto"/>
              <w:bottom w:val="single" w:sz="4" w:space="0" w:color="auto"/>
              <w:right w:val="single" w:sz="4" w:space="0" w:color="auto"/>
            </w:tcBorders>
            <w:shd w:val="clear" w:color="auto" w:fill="C6EFCE"/>
            <w:noWrap/>
            <w:vAlign w:val="center"/>
          </w:tcPr>
          <w:p w14:paraId="7263FA68"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186</w:t>
            </w:r>
          </w:p>
        </w:tc>
        <w:tc>
          <w:tcPr>
            <w:tcW w:w="4283" w:type="dxa"/>
            <w:tcBorders>
              <w:top w:val="nil"/>
              <w:left w:val="nil"/>
              <w:bottom w:val="single" w:sz="4" w:space="0" w:color="auto"/>
              <w:right w:val="single" w:sz="4" w:space="0" w:color="auto"/>
            </w:tcBorders>
            <w:shd w:val="clear" w:color="auto" w:fill="C6EFCE"/>
            <w:noWrap/>
            <w:vAlign w:val="center"/>
          </w:tcPr>
          <w:p w14:paraId="008A5601" w14:textId="00007016"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11 – 3.4. Zlepšenie prístupu</w:t>
            </w:r>
            <w:r w:rsidR="00083739" w:rsidRPr="00083739">
              <w:rPr>
                <w:rFonts w:cs="Times New Roman"/>
                <w:noProof/>
                <w:lang w:val="sk-SK"/>
              </w:rPr>
              <w:t xml:space="preserve"> k </w:t>
            </w:r>
            <w:r w:rsidRPr="00083739">
              <w:rPr>
                <w:rFonts w:cs="Times New Roman"/>
                <w:noProof/>
                <w:lang w:val="sk-SK"/>
              </w:rPr>
              <w:t>účinným</w:t>
            </w:r>
            <w:r w:rsidR="00083739" w:rsidRPr="00083739">
              <w:rPr>
                <w:rFonts w:cs="Times New Roman"/>
                <w:noProof/>
                <w:lang w:val="sk-SK"/>
              </w:rPr>
              <w:t xml:space="preserve"> a </w:t>
            </w:r>
            <w:r w:rsidRPr="00083739">
              <w:rPr>
                <w:rFonts w:cs="Times New Roman"/>
                <w:noProof/>
                <w:lang w:val="sk-SK"/>
              </w:rPr>
              <w:t>inkluzívnym sociálnym politikám – 16922_Sociálna integrácia</w:t>
            </w:r>
          </w:p>
        </w:tc>
        <w:tc>
          <w:tcPr>
            <w:tcW w:w="1692" w:type="dxa"/>
            <w:tcBorders>
              <w:top w:val="nil"/>
              <w:left w:val="nil"/>
              <w:bottom w:val="single" w:sz="4" w:space="0" w:color="auto"/>
              <w:right w:val="single" w:sz="4" w:space="0" w:color="auto"/>
            </w:tcBorders>
            <w:shd w:val="clear" w:color="auto" w:fill="C6EFCE"/>
            <w:noWrap/>
            <w:vAlign w:val="center"/>
          </w:tcPr>
          <w:p w14:paraId="56121F55"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Cieľ</w:t>
            </w:r>
          </w:p>
        </w:tc>
        <w:tc>
          <w:tcPr>
            <w:tcW w:w="1757" w:type="dxa"/>
            <w:tcBorders>
              <w:top w:val="nil"/>
              <w:left w:val="nil"/>
              <w:bottom w:val="single" w:sz="4" w:space="0" w:color="auto"/>
              <w:right w:val="single" w:sz="4" w:space="0" w:color="auto"/>
            </w:tcBorders>
            <w:shd w:val="clear" w:color="auto" w:fill="C6EFCE"/>
            <w:noWrap/>
            <w:vAlign w:val="center"/>
          </w:tcPr>
          <w:p w14:paraId="1048D7D9"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 xml:space="preserve">Dokončenie rekonštrukcie bytu na sociálne bývanie </w:t>
            </w:r>
          </w:p>
        </w:tc>
      </w:tr>
      <w:tr w:rsidR="002D49B0" w:rsidRPr="00083739" w14:paraId="70850409" w14:textId="77777777">
        <w:trPr>
          <w:trHeight w:val="302"/>
        </w:trPr>
        <w:tc>
          <w:tcPr>
            <w:tcW w:w="1804" w:type="dxa"/>
            <w:tcBorders>
              <w:top w:val="nil"/>
              <w:left w:val="single" w:sz="4" w:space="0" w:color="auto"/>
              <w:bottom w:val="single" w:sz="4" w:space="0" w:color="auto"/>
              <w:right w:val="single" w:sz="4" w:space="0" w:color="auto"/>
            </w:tcBorders>
            <w:shd w:val="clear" w:color="auto" w:fill="C6EFCE"/>
            <w:noWrap/>
            <w:vAlign w:val="center"/>
          </w:tcPr>
          <w:p w14:paraId="2CE3CB4A"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213</w:t>
            </w:r>
          </w:p>
        </w:tc>
        <w:tc>
          <w:tcPr>
            <w:tcW w:w="4283" w:type="dxa"/>
            <w:tcBorders>
              <w:top w:val="nil"/>
              <w:left w:val="nil"/>
              <w:bottom w:val="single" w:sz="4" w:space="0" w:color="auto"/>
              <w:right w:val="single" w:sz="4" w:space="0" w:color="auto"/>
            </w:tcBorders>
            <w:shd w:val="clear" w:color="auto" w:fill="C6EFCE"/>
            <w:noWrap/>
            <w:vAlign w:val="center"/>
          </w:tcPr>
          <w:p w14:paraId="39FAB066" w14:textId="516117C5"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13 – 4.2. Modernizácia verejnej správy,</w:t>
            </w:r>
            <w:r w:rsidR="00083739" w:rsidRPr="00083739">
              <w:rPr>
                <w:rFonts w:cs="Times New Roman"/>
                <w:noProof/>
                <w:lang w:val="sk-SK"/>
              </w:rPr>
              <w:t xml:space="preserve"> a </w:t>
            </w:r>
            <w:r w:rsidRPr="00083739">
              <w:rPr>
                <w:rFonts w:cs="Times New Roman"/>
                <w:noProof/>
                <w:lang w:val="sk-SK"/>
              </w:rPr>
              <w:t xml:space="preserve">to aj </w:t>
            </w:r>
            <w:r w:rsidRPr="00083739">
              <w:rPr>
                <w:rFonts w:cs="Times New Roman"/>
                <w:noProof/>
                <w:lang w:val="sk-SK"/>
              </w:rPr>
              <w:t>urýchlením realizácie verejných investícií, zlepšením rámca verejného obstarávania, opatreniami na budovanie kapacít</w:t>
            </w:r>
            <w:r w:rsidR="00083739" w:rsidRPr="00083739">
              <w:rPr>
                <w:rFonts w:cs="Times New Roman"/>
                <w:noProof/>
                <w:lang w:val="sk-SK"/>
              </w:rPr>
              <w:t xml:space="preserve"> a </w:t>
            </w:r>
            <w:r w:rsidRPr="00083739">
              <w:rPr>
                <w:rFonts w:cs="Times New Roman"/>
                <w:noProof/>
                <w:lang w:val="sk-SK"/>
              </w:rPr>
              <w:t>bojom proti korupcii – 16703_Boj proti nezákonnému obchodu</w:t>
            </w:r>
            <w:r w:rsidR="00083739" w:rsidRPr="00083739">
              <w:rPr>
                <w:rFonts w:cs="Times New Roman"/>
                <w:noProof/>
                <w:lang w:val="sk-SK"/>
              </w:rPr>
              <w:t xml:space="preserve"> a </w:t>
            </w:r>
            <w:r w:rsidRPr="00083739">
              <w:rPr>
                <w:rFonts w:cs="Times New Roman"/>
                <w:noProof/>
                <w:lang w:val="sk-SK"/>
              </w:rPr>
              <w:t>ochrana duševného vlastníctva</w:t>
            </w:r>
          </w:p>
        </w:tc>
        <w:tc>
          <w:tcPr>
            <w:tcW w:w="1692" w:type="dxa"/>
            <w:tcBorders>
              <w:top w:val="nil"/>
              <w:left w:val="nil"/>
              <w:bottom w:val="single" w:sz="4" w:space="0" w:color="auto"/>
              <w:right w:val="single" w:sz="4" w:space="0" w:color="auto"/>
            </w:tcBorders>
            <w:shd w:val="clear" w:color="auto" w:fill="C6EFCE"/>
            <w:noWrap/>
            <w:vAlign w:val="center"/>
          </w:tcPr>
          <w:p w14:paraId="614DFCB7"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757" w:type="dxa"/>
            <w:tcBorders>
              <w:top w:val="nil"/>
              <w:left w:val="nil"/>
              <w:bottom w:val="single" w:sz="4" w:space="0" w:color="auto"/>
              <w:right w:val="single" w:sz="4" w:space="0" w:color="auto"/>
            </w:tcBorders>
            <w:shd w:val="clear" w:color="auto" w:fill="C6EFCE"/>
            <w:noWrap/>
            <w:vAlign w:val="center"/>
          </w:tcPr>
          <w:p w14:paraId="07E4D326" w14:textId="01AE23FD"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Boj proti nezákonnému obchodu – informa</w:t>
            </w:r>
            <w:r w:rsidRPr="00083739">
              <w:rPr>
                <w:rFonts w:cs="Times New Roman"/>
                <w:noProof/>
                <w:lang w:val="sk-SK"/>
              </w:rPr>
              <w:t>čný systém</w:t>
            </w:r>
            <w:r w:rsidR="00083739" w:rsidRPr="00083739">
              <w:rPr>
                <w:rFonts w:cs="Times New Roman"/>
                <w:noProof/>
                <w:lang w:val="sk-SK"/>
              </w:rPr>
              <w:t xml:space="preserve"> a </w:t>
            </w:r>
            <w:r w:rsidRPr="00083739">
              <w:rPr>
                <w:rFonts w:cs="Times New Roman"/>
                <w:noProof/>
                <w:lang w:val="sk-SK"/>
              </w:rPr>
              <w:t>kontrolné stanice</w:t>
            </w:r>
          </w:p>
        </w:tc>
      </w:tr>
      <w:tr w:rsidR="002D49B0" w:rsidRPr="00083739" w14:paraId="428C73F4" w14:textId="77777777">
        <w:trPr>
          <w:trHeight w:val="302"/>
        </w:trPr>
        <w:tc>
          <w:tcPr>
            <w:tcW w:w="1804" w:type="dxa"/>
            <w:tcBorders>
              <w:top w:val="nil"/>
              <w:left w:val="single" w:sz="4" w:space="0" w:color="auto"/>
              <w:bottom w:val="single" w:sz="4" w:space="0" w:color="auto"/>
              <w:right w:val="single" w:sz="4" w:space="0" w:color="auto"/>
            </w:tcBorders>
            <w:shd w:val="clear" w:color="auto" w:fill="C6EFCE"/>
            <w:noWrap/>
            <w:vAlign w:val="center"/>
          </w:tcPr>
          <w:p w14:paraId="39F8C60E"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217</w:t>
            </w:r>
          </w:p>
        </w:tc>
        <w:tc>
          <w:tcPr>
            <w:tcW w:w="4283" w:type="dxa"/>
            <w:tcBorders>
              <w:top w:val="nil"/>
              <w:left w:val="nil"/>
              <w:bottom w:val="single" w:sz="4" w:space="0" w:color="auto"/>
              <w:right w:val="single" w:sz="4" w:space="0" w:color="auto"/>
            </w:tcBorders>
            <w:shd w:val="clear" w:color="auto" w:fill="C6EFCE"/>
            <w:noWrap/>
            <w:vAlign w:val="center"/>
          </w:tcPr>
          <w:p w14:paraId="17D2D96F" w14:textId="3D00DF6C"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13 – 4.2. Modernizácia verejnej správy,</w:t>
            </w:r>
            <w:r w:rsidR="00083739" w:rsidRPr="00083739">
              <w:rPr>
                <w:rFonts w:cs="Times New Roman"/>
                <w:noProof/>
                <w:lang w:val="sk-SK"/>
              </w:rPr>
              <w:t xml:space="preserve"> a </w:t>
            </w:r>
            <w:r w:rsidRPr="00083739">
              <w:rPr>
                <w:rFonts w:cs="Times New Roman"/>
                <w:noProof/>
                <w:lang w:val="sk-SK"/>
              </w:rPr>
              <w:t>to aj urýchlením realizácie verejných investícií, zlepšením rámca verejného obstarávania, opatreniami na budovanie kapacít</w:t>
            </w:r>
            <w:r w:rsidR="00083739" w:rsidRPr="00083739">
              <w:rPr>
                <w:rFonts w:cs="Times New Roman"/>
                <w:noProof/>
                <w:lang w:val="sk-SK"/>
              </w:rPr>
              <w:t xml:space="preserve"> a </w:t>
            </w:r>
            <w:r w:rsidRPr="00083739">
              <w:rPr>
                <w:rFonts w:cs="Times New Roman"/>
                <w:noProof/>
                <w:lang w:val="sk-SK"/>
              </w:rPr>
              <w:t>bojom proti korupcii – 16940_Modernizovať grécky fond</w:t>
            </w:r>
            <w:r w:rsidRPr="00083739">
              <w:rPr>
                <w:rFonts w:cs="Times New Roman"/>
                <w:noProof/>
                <w:lang w:val="sk-SK"/>
              </w:rPr>
              <w:t xml:space="preserve"> pre vklady</w:t>
            </w:r>
            <w:r w:rsidR="00083739" w:rsidRPr="00083739">
              <w:rPr>
                <w:rFonts w:cs="Times New Roman"/>
                <w:noProof/>
                <w:lang w:val="sk-SK"/>
              </w:rPr>
              <w:t xml:space="preserve"> a </w:t>
            </w:r>
            <w:r w:rsidRPr="00083739">
              <w:rPr>
                <w:rFonts w:cs="Times New Roman"/>
                <w:noProof/>
                <w:lang w:val="sk-SK"/>
              </w:rPr>
              <w:t>úvery </w:t>
            </w:r>
          </w:p>
        </w:tc>
        <w:tc>
          <w:tcPr>
            <w:tcW w:w="1692" w:type="dxa"/>
            <w:tcBorders>
              <w:top w:val="nil"/>
              <w:left w:val="nil"/>
              <w:bottom w:val="single" w:sz="4" w:space="0" w:color="auto"/>
              <w:right w:val="single" w:sz="4" w:space="0" w:color="auto"/>
            </w:tcBorders>
            <w:shd w:val="clear" w:color="auto" w:fill="C6EFCE"/>
            <w:noWrap/>
            <w:vAlign w:val="center"/>
          </w:tcPr>
          <w:p w14:paraId="0EEC42B5"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757" w:type="dxa"/>
            <w:tcBorders>
              <w:top w:val="nil"/>
              <w:left w:val="nil"/>
              <w:bottom w:val="single" w:sz="4" w:space="0" w:color="auto"/>
              <w:right w:val="single" w:sz="4" w:space="0" w:color="auto"/>
            </w:tcBorders>
            <w:shd w:val="clear" w:color="auto" w:fill="C6EFCE"/>
            <w:noWrap/>
            <w:vAlign w:val="center"/>
          </w:tcPr>
          <w:p w14:paraId="18C7C2E4" w14:textId="2EBCECA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Dokončenie všetkých čiastkových projektov Helénskeho fondu pre vklady</w:t>
            </w:r>
            <w:r w:rsidR="00083739" w:rsidRPr="00083739">
              <w:rPr>
                <w:rFonts w:cs="Times New Roman"/>
                <w:noProof/>
                <w:lang w:val="sk-SK"/>
              </w:rPr>
              <w:t xml:space="preserve"> a </w:t>
            </w:r>
            <w:r w:rsidRPr="00083739">
              <w:rPr>
                <w:rFonts w:cs="Times New Roman"/>
                <w:noProof/>
                <w:lang w:val="sk-SK"/>
              </w:rPr>
              <w:t>úvery</w:t>
            </w:r>
          </w:p>
        </w:tc>
      </w:tr>
      <w:tr w:rsidR="002D49B0" w:rsidRPr="00083739" w14:paraId="17FC8F56" w14:textId="77777777">
        <w:trPr>
          <w:trHeight w:val="302"/>
        </w:trPr>
        <w:tc>
          <w:tcPr>
            <w:tcW w:w="1804" w:type="dxa"/>
            <w:tcBorders>
              <w:top w:val="nil"/>
              <w:left w:val="single" w:sz="4" w:space="0" w:color="auto"/>
              <w:bottom w:val="single" w:sz="4" w:space="0" w:color="auto"/>
              <w:right w:val="single" w:sz="4" w:space="0" w:color="auto"/>
            </w:tcBorders>
            <w:shd w:val="clear" w:color="auto" w:fill="C6EFCE"/>
            <w:noWrap/>
            <w:vAlign w:val="center"/>
          </w:tcPr>
          <w:p w14:paraId="24B600EF"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268b</w:t>
            </w:r>
          </w:p>
        </w:tc>
        <w:tc>
          <w:tcPr>
            <w:tcW w:w="4283" w:type="dxa"/>
            <w:tcBorders>
              <w:top w:val="nil"/>
              <w:left w:val="nil"/>
              <w:bottom w:val="single" w:sz="4" w:space="0" w:color="auto"/>
              <w:right w:val="single" w:sz="4" w:space="0" w:color="auto"/>
            </w:tcBorders>
            <w:shd w:val="clear" w:color="auto" w:fill="C6EFCE"/>
            <w:noWrap/>
            <w:vAlign w:val="center"/>
          </w:tcPr>
          <w:p w14:paraId="754E9E4C" w14:textId="57EA9671"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17 – 4.6. Modernizácia</w:t>
            </w:r>
            <w:r w:rsidR="00083739" w:rsidRPr="00083739">
              <w:rPr>
                <w:rFonts w:cs="Times New Roman"/>
                <w:noProof/>
                <w:lang w:val="sk-SK"/>
              </w:rPr>
              <w:t xml:space="preserve"> a </w:t>
            </w:r>
            <w:r w:rsidRPr="00083739">
              <w:rPr>
                <w:rFonts w:cs="Times New Roman"/>
                <w:noProof/>
                <w:lang w:val="sk-SK"/>
              </w:rPr>
              <w:t>zlepšenie odolnosti kľúčových hospodárskych odvetví – 16982_Organizačná reforma</w:t>
            </w:r>
            <w:r w:rsidR="00083739" w:rsidRPr="00083739">
              <w:rPr>
                <w:rFonts w:cs="Times New Roman"/>
                <w:noProof/>
                <w:lang w:val="sk-SK"/>
              </w:rPr>
              <w:t xml:space="preserve"> v </w:t>
            </w:r>
            <w:r w:rsidRPr="00083739">
              <w:rPr>
                <w:rFonts w:cs="Times New Roman"/>
                <w:noProof/>
                <w:lang w:val="sk-SK"/>
              </w:rPr>
              <w:t>železničnom sektore</w:t>
            </w:r>
          </w:p>
        </w:tc>
        <w:tc>
          <w:tcPr>
            <w:tcW w:w="1692" w:type="dxa"/>
            <w:tcBorders>
              <w:top w:val="nil"/>
              <w:left w:val="nil"/>
              <w:bottom w:val="single" w:sz="4" w:space="0" w:color="auto"/>
              <w:right w:val="single" w:sz="4" w:space="0" w:color="auto"/>
            </w:tcBorders>
            <w:shd w:val="clear" w:color="auto" w:fill="C6EFCE"/>
            <w:noWrap/>
            <w:vAlign w:val="center"/>
          </w:tcPr>
          <w:p w14:paraId="641BC2C4"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Míľnik</w:t>
            </w:r>
          </w:p>
        </w:tc>
        <w:tc>
          <w:tcPr>
            <w:tcW w:w="1757" w:type="dxa"/>
            <w:tcBorders>
              <w:top w:val="nil"/>
              <w:left w:val="nil"/>
              <w:bottom w:val="single" w:sz="4" w:space="0" w:color="auto"/>
              <w:right w:val="single" w:sz="4" w:space="0" w:color="auto"/>
            </w:tcBorders>
            <w:shd w:val="clear" w:color="auto" w:fill="C6EFCE"/>
            <w:noWrap/>
            <w:vAlign w:val="center"/>
          </w:tcPr>
          <w:p w14:paraId="180BCE78" w14:textId="6D28C500" w:rsidR="002D49B0" w:rsidRPr="00083739" w:rsidRDefault="00BF4125">
            <w:pPr>
              <w:pStyle w:val="P68B1DB1-Normal49"/>
              <w:keepNext/>
              <w:spacing w:before="40" w:after="0" w:line="240" w:lineRule="auto"/>
              <w:jc w:val="both"/>
              <w:rPr>
                <w:rFonts w:cs="Times New Roman"/>
                <w:noProof/>
                <w:lang w:val="sk-SK"/>
              </w:rPr>
            </w:pPr>
            <w:r w:rsidRPr="00083739">
              <w:rPr>
                <w:rFonts w:cs="Times New Roman"/>
                <w:noProof/>
                <w:lang w:val="sk-SK"/>
              </w:rPr>
              <w:t xml:space="preserve">Prijatie </w:t>
            </w:r>
            <w:r w:rsidRPr="00083739">
              <w:rPr>
                <w:rFonts w:cs="Times New Roman"/>
                <w:noProof/>
                <w:lang w:val="sk-SK"/>
              </w:rPr>
              <w:t>viacročného investičného programu, podpísanie novej zmluvnej dohody</w:t>
            </w:r>
          </w:p>
        </w:tc>
      </w:tr>
      <w:tr w:rsidR="002D49B0" w:rsidRPr="00083739" w14:paraId="46D22CDA" w14:textId="77777777">
        <w:trPr>
          <w:trHeight w:val="302"/>
        </w:trPr>
        <w:tc>
          <w:tcPr>
            <w:tcW w:w="1804" w:type="dxa"/>
            <w:tcBorders>
              <w:top w:val="nil"/>
              <w:left w:val="single" w:sz="4" w:space="0" w:color="auto"/>
              <w:bottom w:val="single" w:sz="4" w:space="0" w:color="auto"/>
              <w:right w:val="single" w:sz="4" w:space="0" w:color="auto"/>
            </w:tcBorders>
            <w:shd w:val="clear" w:color="auto" w:fill="C6EFCE"/>
            <w:noWrap/>
            <w:vAlign w:val="center"/>
          </w:tcPr>
          <w:p w14:paraId="4F13A37E"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294</w:t>
            </w:r>
          </w:p>
        </w:tc>
        <w:tc>
          <w:tcPr>
            <w:tcW w:w="4283" w:type="dxa"/>
            <w:tcBorders>
              <w:top w:val="nil"/>
              <w:left w:val="nil"/>
              <w:bottom w:val="single" w:sz="4" w:space="0" w:color="auto"/>
              <w:right w:val="single" w:sz="4" w:space="0" w:color="auto"/>
            </w:tcBorders>
            <w:shd w:val="clear" w:color="auto" w:fill="C6EFCE"/>
            <w:noWrap/>
            <w:vAlign w:val="center"/>
          </w:tcPr>
          <w:p w14:paraId="3F73FD07" w14:textId="0250CDFF"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17 – 4.6. Modernizácia</w:t>
            </w:r>
            <w:r w:rsidR="00083739" w:rsidRPr="00083739">
              <w:rPr>
                <w:rFonts w:cs="Times New Roman"/>
                <w:noProof/>
                <w:lang w:val="sk-SK"/>
              </w:rPr>
              <w:t xml:space="preserve"> a </w:t>
            </w:r>
            <w:r w:rsidRPr="00083739">
              <w:rPr>
                <w:rFonts w:cs="Times New Roman"/>
                <w:noProof/>
                <w:lang w:val="sk-SK"/>
              </w:rPr>
              <w:t>zlepšenie odolnosti kľúčových hospodárskych odvetví – 16944_Hlavný plán obnovy gréckeho vozového parku osobnej lodnej dopravy</w:t>
            </w:r>
          </w:p>
        </w:tc>
        <w:tc>
          <w:tcPr>
            <w:tcW w:w="1692" w:type="dxa"/>
            <w:tcBorders>
              <w:top w:val="nil"/>
              <w:left w:val="nil"/>
              <w:bottom w:val="single" w:sz="4" w:space="0" w:color="auto"/>
              <w:right w:val="single" w:sz="4" w:space="0" w:color="auto"/>
            </w:tcBorders>
            <w:shd w:val="clear" w:color="auto" w:fill="C6EFCE"/>
            <w:noWrap/>
            <w:vAlign w:val="center"/>
          </w:tcPr>
          <w:p w14:paraId="5FBED0BB"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757" w:type="dxa"/>
            <w:tcBorders>
              <w:top w:val="nil"/>
              <w:left w:val="nil"/>
              <w:bottom w:val="single" w:sz="4" w:space="0" w:color="auto"/>
              <w:right w:val="single" w:sz="4" w:space="0" w:color="auto"/>
            </w:tcBorders>
            <w:shd w:val="clear" w:color="auto" w:fill="C6EFCE"/>
            <w:noWrap/>
            <w:vAlign w:val="center"/>
          </w:tcPr>
          <w:p w14:paraId="365A71F2"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Hlavný plán gréckej osobn</w:t>
            </w:r>
            <w:r w:rsidRPr="00083739">
              <w:rPr>
                <w:rFonts w:cs="Times New Roman"/>
                <w:noProof/>
                <w:lang w:val="sk-SK"/>
              </w:rPr>
              <w:t>ej lodnej dopravy</w:t>
            </w:r>
          </w:p>
        </w:tc>
      </w:tr>
      <w:tr w:rsidR="002D49B0" w:rsidRPr="00083739" w14:paraId="40B09710" w14:textId="77777777">
        <w:trPr>
          <w:trHeight w:val="302"/>
        </w:trPr>
        <w:tc>
          <w:tcPr>
            <w:tcW w:w="1804" w:type="dxa"/>
            <w:tcBorders>
              <w:top w:val="nil"/>
              <w:left w:val="single" w:sz="4" w:space="0" w:color="auto"/>
              <w:bottom w:val="single" w:sz="4" w:space="0" w:color="auto"/>
              <w:right w:val="single" w:sz="4" w:space="0" w:color="auto"/>
            </w:tcBorders>
            <w:shd w:val="clear" w:color="auto" w:fill="C6EFCE"/>
            <w:noWrap/>
            <w:vAlign w:val="center"/>
          </w:tcPr>
          <w:p w14:paraId="080F7C2B"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313</w:t>
            </w:r>
          </w:p>
        </w:tc>
        <w:tc>
          <w:tcPr>
            <w:tcW w:w="4283" w:type="dxa"/>
            <w:tcBorders>
              <w:top w:val="nil"/>
              <w:left w:val="nil"/>
              <w:bottom w:val="single" w:sz="4" w:space="0" w:color="auto"/>
              <w:right w:val="single" w:sz="4" w:space="0" w:color="auto"/>
            </w:tcBorders>
            <w:shd w:val="clear" w:color="auto" w:fill="C6EFCE"/>
            <w:noWrap/>
            <w:vAlign w:val="center"/>
          </w:tcPr>
          <w:p w14:paraId="551B3059" w14:textId="76724894"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 17 – 4.6. Modernizácia</w:t>
            </w:r>
            <w:r w:rsidR="00083739" w:rsidRPr="00083739">
              <w:rPr>
                <w:rFonts w:cs="Times New Roman"/>
                <w:noProof/>
                <w:lang w:val="sk-SK"/>
              </w:rPr>
              <w:t xml:space="preserve"> a </w:t>
            </w:r>
            <w:r w:rsidRPr="00083739">
              <w:rPr>
                <w:rFonts w:cs="Times New Roman"/>
                <w:noProof/>
                <w:lang w:val="sk-SK"/>
              </w:rPr>
              <w:t>zlepšenie odolnosti kľúčových hospodárskych odvetví – 16653_Digitálna transformácia agropotravinárskeho sektora</w:t>
            </w:r>
          </w:p>
        </w:tc>
        <w:tc>
          <w:tcPr>
            <w:tcW w:w="1692" w:type="dxa"/>
            <w:tcBorders>
              <w:top w:val="nil"/>
              <w:left w:val="nil"/>
              <w:bottom w:val="single" w:sz="4" w:space="0" w:color="auto"/>
              <w:right w:val="single" w:sz="4" w:space="0" w:color="auto"/>
            </w:tcBorders>
            <w:shd w:val="clear" w:color="auto" w:fill="C6EFCE"/>
            <w:noWrap/>
            <w:vAlign w:val="center"/>
          </w:tcPr>
          <w:p w14:paraId="0F1A9F0D"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1757" w:type="dxa"/>
            <w:tcBorders>
              <w:top w:val="nil"/>
              <w:left w:val="nil"/>
              <w:bottom w:val="single" w:sz="4" w:space="0" w:color="auto"/>
              <w:right w:val="single" w:sz="4" w:space="0" w:color="auto"/>
            </w:tcBorders>
            <w:shd w:val="clear" w:color="auto" w:fill="C6EFCE"/>
            <w:noWrap/>
            <w:vAlign w:val="center"/>
          </w:tcPr>
          <w:p w14:paraId="0B546B9A"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Dokončenie projektu digitálnej transformácie poľnohospodárstva</w:t>
            </w:r>
          </w:p>
        </w:tc>
      </w:tr>
      <w:tr w:rsidR="002D49B0" w:rsidRPr="00083739" w14:paraId="0AA1C32C" w14:textId="77777777">
        <w:trPr>
          <w:trHeight w:val="302"/>
        </w:trPr>
        <w:tc>
          <w:tcPr>
            <w:tcW w:w="1804" w:type="dxa"/>
            <w:tcBorders>
              <w:top w:val="nil"/>
              <w:left w:val="single" w:sz="4" w:space="0" w:color="auto"/>
              <w:bottom w:val="single" w:sz="4" w:space="0" w:color="auto"/>
              <w:right w:val="single" w:sz="4" w:space="0" w:color="auto"/>
            </w:tcBorders>
            <w:shd w:val="clear" w:color="auto" w:fill="C6EFCE"/>
            <w:noWrap/>
          </w:tcPr>
          <w:p w14:paraId="51A0096B"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332</w:t>
            </w:r>
          </w:p>
        </w:tc>
        <w:tc>
          <w:tcPr>
            <w:tcW w:w="4283" w:type="dxa"/>
            <w:tcBorders>
              <w:top w:val="nil"/>
              <w:left w:val="nil"/>
              <w:bottom w:val="single" w:sz="4" w:space="0" w:color="auto"/>
              <w:right w:val="single" w:sz="4" w:space="0" w:color="auto"/>
            </w:tcBorders>
            <w:shd w:val="clear" w:color="auto" w:fill="C6EFCE"/>
            <w:noWrap/>
          </w:tcPr>
          <w:p w14:paraId="03962817" w14:textId="44E06FFB"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 xml:space="preserve">4 – 1.4. Udržateľné </w:t>
            </w:r>
            <w:r w:rsidRPr="00083739">
              <w:rPr>
                <w:rFonts w:cs="Times New Roman"/>
                <w:noProof/>
                <w:lang w:val="sk-SK"/>
              </w:rPr>
              <w:t>využívanie zdrojov, odolnosť proti zmene klímy</w:t>
            </w:r>
            <w:r w:rsidR="00083739" w:rsidRPr="00083739">
              <w:rPr>
                <w:rFonts w:cs="Times New Roman"/>
                <w:noProof/>
                <w:lang w:val="sk-SK"/>
              </w:rPr>
              <w:t xml:space="preserve"> a </w:t>
            </w:r>
            <w:r w:rsidRPr="00083739">
              <w:rPr>
                <w:rFonts w:cs="Times New Roman"/>
                <w:noProof/>
                <w:lang w:val="sk-SK"/>
              </w:rPr>
              <w:t>ochrana životného prostredia – 16983_Predbežná kontrola seizmickej odolnosti verejných budov</w:t>
            </w:r>
          </w:p>
        </w:tc>
        <w:tc>
          <w:tcPr>
            <w:tcW w:w="1692" w:type="dxa"/>
            <w:tcBorders>
              <w:top w:val="nil"/>
              <w:left w:val="nil"/>
              <w:bottom w:val="single" w:sz="4" w:space="0" w:color="auto"/>
              <w:right w:val="single" w:sz="4" w:space="0" w:color="auto"/>
            </w:tcBorders>
            <w:shd w:val="clear" w:color="auto" w:fill="C6EFCE"/>
            <w:noWrap/>
          </w:tcPr>
          <w:p w14:paraId="328CA225"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Míľnik</w:t>
            </w:r>
          </w:p>
        </w:tc>
        <w:tc>
          <w:tcPr>
            <w:tcW w:w="1757" w:type="dxa"/>
            <w:tcBorders>
              <w:top w:val="nil"/>
              <w:left w:val="nil"/>
              <w:bottom w:val="single" w:sz="4" w:space="0" w:color="auto"/>
              <w:right w:val="single" w:sz="4" w:space="0" w:color="auto"/>
            </w:tcBorders>
            <w:shd w:val="clear" w:color="auto" w:fill="C6EFCE"/>
            <w:noWrap/>
          </w:tcPr>
          <w:p w14:paraId="58352A39"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Ukončenie predbežných seizmických inšpekcií</w:t>
            </w:r>
          </w:p>
        </w:tc>
      </w:tr>
      <w:tr w:rsidR="002D49B0" w:rsidRPr="00083739" w14:paraId="215834C4" w14:textId="77777777">
        <w:trPr>
          <w:trHeight w:val="302"/>
        </w:trPr>
        <w:tc>
          <w:tcPr>
            <w:tcW w:w="1804" w:type="dxa"/>
            <w:tcBorders>
              <w:top w:val="nil"/>
              <w:left w:val="single" w:sz="4" w:space="0" w:color="auto"/>
              <w:bottom w:val="single" w:sz="4" w:space="0" w:color="auto"/>
              <w:right w:val="single" w:sz="4" w:space="0" w:color="auto"/>
            </w:tcBorders>
            <w:shd w:val="clear" w:color="auto" w:fill="C6EFCE"/>
            <w:noWrap/>
          </w:tcPr>
          <w:p w14:paraId="7AC92920" w14:textId="77777777" w:rsidR="002D49B0" w:rsidRPr="00083739" w:rsidRDefault="00BF4125">
            <w:pPr>
              <w:pStyle w:val="P68B1DB1-Normal8"/>
              <w:keepNext/>
              <w:spacing w:before="40" w:after="0" w:line="259" w:lineRule="auto"/>
              <w:jc w:val="both"/>
              <w:rPr>
                <w:rFonts w:cs="Times New Roman"/>
                <w:noProof/>
                <w:lang w:val="sk-SK"/>
              </w:rPr>
            </w:pPr>
            <w:r w:rsidRPr="00083739">
              <w:rPr>
                <w:rFonts w:cs="Times New Roman"/>
                <w:noProof/>
                <w:lang w:val="sk-SK"/>
              </w:rPr>
              <w:t>336</w:t>
            </w:r>
          </w:p>
        </w:tc>
        <w:tc>
          <w:tcPr>
            <w:tcW w:w="4283" w:type="dxa"/>
            <w:tcBorders>
              <w:top w:val="nil"/>
              <w:left w:val="nil"/>
              <w:bottom w:val="single" w:sz="4" w:space="0" w:color="auto"/>
              <w:right w:val="single" w:sz="4" w:space="0" w:color="auto"/>
            </w:tcBorders>
            <w:shd w:val="clear" w:color="auto" w:fill="C6EFCE"/>
            <w:noWrap/>
          </w:tcPr>
          <w:p w14:paraId="123BAF08" w14:textId="119BB554" w:rsidR="002D49B0" w:rsidRPr="00083739" w:rsidRDefault="00BF4125">
            <w:pPr>
              <w:pStyle w:val="P68B1DB1-Normal8"/>
              <w:keepNext/>
              <w:spacing w:before="40" w:after="0" w:line="259" w:lineRule="auto"/>
              <w:jc w:val="both"/>
              <w:rPr>
                <w:rFonts w:cs="Times New Roman"/>
                <w:noProof/>
                <w:lang w:val="sk-SK"/>
              </w:rPr>
            </w:pPr>
            <w:r w:rsidRPr="00083739">
              <w:rPr>
                <w:rFonts w:cs="Times New Roman"/>
                <w:noProof/>
                <w:lang w:val="sk-SK"/>
              </w:rPr>
              <w:t>10 – 3.3. Zlepšenie odolnosti, dostupnosti</w:t>
            </w:r>
            <w:r w:rsidR="00083739" w:rsidRPr="00083739">
              <w:rPr>
                <w:rFonts w:cs="Times New Roman"/>
                <w:noProof/>
                <w:lang w:val="sk-SK"/>
              </w:rPr>
              <w:t xml:space="preserve"> a </w:t>
            </w:r>
            <w:r w:rsidRPr="00083739">
              <w:rPr>
                <w:rFonts w:cs="Times New Roman"/>
                <w:noProof/>
                <w:lang w:val="sk-SK"/>
              </w:rPr>
              <w:t>udržateľnosti</w:t>
            </w:r>
            <w:r w:rsidRPr="00083739">
              <w:rPr>
                <w:rFonts w:cs="Times New Roman"/>
                <w:noProof/>
                <w:lang w:val="sk-SK"/>
              </w:rPr>
              <w:t xml:space="preserve"> zdravotnej starostlivosti – 16984_Reforma osobného lekára</w:t>
            </w:r>
          </w:p>
        </w:tc>
        <w:tc>
          <w:tcPr>
            <w:tcW w:w="1692" w:type="dxa"/>
            <w:tcBorders>
              <w:top w:val="nil"/>
              <w:left w:val="nil"/>
              <w:bottom w:val="single" w:sz="4" w:space="0" w:color="auto"/>
              <w:right w:val="single" w:sz="4" w:space="0" w:color="auto"/>
            </w:tcBorders>
            <w:shd w:val="clear" w:color="auto" w:fill="C6EFCE"/>
            <w:noWrap/>
          </w:tcPr>
          <w:p w14:paraId="16B689DE" w14:textId="77777777" w:rsidR="002D49B0" w:rsidRPr="00083739" w:rsidRDefault="00BF4125">
            <w:pPr>
              <w:pStyle w:val="P68B1DB1-Normal8"/>
              <w:keepNext/>
              <w:spacing w:before="40" w:after="0" w:line="259" w:lineRule="auto"/>
              <w:jc w:val="both"/>
              <w:rPr>
                <w:rFonts w:cs="Times New Roman"/>
                <w:noProof/>
                <w:lang w:val="sk-SK"/>
              </w:rPr>
            </w:pPr>
            <w:r w:rsidRPr="00083739">
              <w:rPr>
                <w:rFonts w:cs="Times New Roman"/>
                <w:noProof/>
                <w:lang w:val="sk-SK"/>
              </w:rPr>
              <w:t>Míľnik</w:t>
            </w:r>
          </w:p>
        </w:tc>
        <w:tc>
          <w:tcPr>
            <w:tcW w:w="1757" w:type="dxa"/>
            <w:tcBorders>
              <w:top w:val="nil"/>
              <w:left w:val="nil"/>
              <w:bottom w:val="single" w:sz="4" w:space="0" w:color="auto"/>
              <w:right w:val="single" w:sz="4" w:space="0" w:color="auto"/>
            </w:tcBorders>
            <w:shd w:val="clear" w:color="auto" w:fill="C6EFCE"/>
            <w:noWrap/>
          </w:tcPr>
          <w:p w14:paraId="73D3D9D2" w14:textId="77777777" w:rsidR="002D49B0" w:rsidRPr="00083739" w:rsidRDefault="00BF4125">
            <w:pPr>
              <w:pStyle w:val="P68B1DB1-Normal8"/>
              <w:keepNext/>
              <w:spacing w:before="40" w:after="0" w:line="259" w:lineRule="auto"/>
              <w:jc w:val="both"/>
              <w:rPr>
                <w:rFonts w:cs="Times New Roman"/>
                <w:noProof/>
                <w:lang w:val="sk-SK"/>
              </w:rPr>
            </w:pPr>
            <w:r w:rsidRPr="00083739">
              <w:rPr>
                <w:rFonts w:cs="Times New Roman"/>
                <w:noProof/>
                <w:lang w:val="sk-SK"/>
              </w:rPr>
              <w:t xml:space="preserve">Reforma osobného lekára – registrácia obyvateľstva </w:t>
            </w:r>
          </w:p>
        </w:tc>
      </w:tr>
      <w:tr w:rsidR="002D49B0" w:rsidRPr="00083739" w14:paraId="7176D30B" w14:textId="77777777">
        <w:trPr>
          <w:trHeight w:val="302"/>
        </w:trPr>
        <w:tc>
          <w:tcPr>
            <w:tcW w:w="1804" w:type="dxa"/>
            <w:tcBorders>
              <w:top w:val="nil"/>
              <w:left w:val="single" w:sz="4" w:space="0" w:color="auto"/>
              <w:bottom w:val="single" w:sz="4" w:space="0" w:color="auto"/>
              <w:right w:val="single" w:sz="4" w:space="0" w:color="auto"/>
            </w:tcBorders>
            <w:shd w:val="clear" w:color="auto" w:fill="C6EFCE"/>
            <w:noWrap/>
          </w:tcPr>
          <w:p w14:paraId="4FED1732" w14:textId="77777777" w:rsidR="002D49B0" w:rsidRPr="00083739" w:rsidRDefault="00BF4125">
            <w:pPr>
              <w:pStyle w:val="P68B1DB1-Normal8"/>
              <w:keepNext/>
              <w:spacing w:before="40" w:after="0" w:line="259" w:lineRule="auto"/>
              <w:jc w:val="both"/>
              <w:rPr>
                <w:rFonts w:cs="Times New Roman"/>
                <w:noProof/>
                <w:lang w:val="sk-SK"/>
              </w:rPr>
            </w:pPr>
            <w:r w:rsidRPr="00083739">
              <w:rPr>
                <w:rFonts w:cs="Times New Roman"/>
                <w:noProof/>
                <w:lang w:val="sk-SK"/>
              </w:rPr>
              <w:t>344</w:t>
            </w:r>
          </w:p>
        </w:tc>
        <w:tc>
          <w:tcPr>
            <w:tcW w:w="4283" w:type="dxa"/>
            <w:tcBorders>
              <w:top w:val="nil"/>
              <w:left w:val="nil"/>
              <w:bottom w:val="single" w:sz="4" w:space="0" w:color="auto"/>
              <w:right w:val="single" w:sz="4" w:space="0" w:color="auto"/>
            </w:tcBorders>
            <w:shd w:val="clear" w:color="auto" w:fill="C6EFCE"/>
            <w:noWrap/>
          </w:tcPr>
          <w:p w14:paraId="559FCAC1" w14:textId="2EF2DA7D" w:rsidR="002D49B0" w:rsidRPr="00083739" w:rsidRDefault="00BF4125">
            <w:pPr>
              <w:pStyle w:val="P68B1DB1-Normal8"/>
              <w:keepNext/>
              <w:spacing w:before="40" w:after="0" w:line="259" w:lineRule="auto"/>
              <w:jc w:val="both"/>
              <w:rPr>
                <w:rFonts w:cs="Times New Roman"/>
                <w:noProof/>
                <w:lang w:val="sk-SK"/>
              </w:rPr>
            </w:pPr>
            <w:r w:rsidRPr="00083739">
              <w:rPr>
                <w:rFonts w:cs="Times New Roman"/>
                <w:noProof/>
                <w:lang w:val="sk-SK"/>
              </w:rPr>
              <w:t>13 – 4.2. Modernizácia verejnej správy,</w:t>
            </w:r>
            <w:r w:rsidR="00083739" w:rsidRPr="00083739">
              <w:rPr>
                <w:rFonts w:cs="Times New Roman"/>
                <w:noProof/>
                <w:lang w:val="sk-SK"/>
              </w:rPr>
              <w:t xml:space="preserve"> a </w:t>
            </w:r>
            <w:r w:rsidRPr="00083739">
              <w:rPr>
                <w:rFonts w:cs="Times New Roman"/>
                <w:noProof/>
                <w:lang w:val="sk-SK"/>
              </w:rPr>
              <w:t>to aj urýchlením realizácie verejných investícií, zlepšením rámca verejného obstarávania, o</w:t>
            </w:r>
            <w:r w:rsidRPr="00083739">
              <w:rPr>
                <w:rFonts w:cs="Times New Roman"/>
                <w:noProof/>
                <w:lang w:val="sk-SK"/>
              </w:rPr>
              <w:t>patreniami na budovanie kapacít</w:t>
            </w:r>
            <w:r w:rsidR="00083739" w:rsidRPr="00083739">
              <w:rPr>
                <w:rFonts w:cs="Times New Roman"/>
                <w:noProof/>
                <w:lang w:val="sk-SK"/>
              </w:rPr>
              <w:t xml:space="preserve"> a </w:t>
            </w:r>
            <w:r w:rsidRPr="00083739">
              <w:rPr>
                <w:rFonts w:cs="Times New Roman"/>
                <w:noProof/>
                <w:lang w:val="sk-SK"/>
              </w:rPr>
              <w:t>bojom proti korupcii – 16986_Dokončenie národného katastra</w:t>
            </w:r>
          </w:p>
        </w:tc>
        <w:tc>
          <w:tcPr>
            <w:tcW w:w="1692" w:type="dxa"/>
            <w:tcBorders>
              <w:top w:val="nil"/>
              <w:left w:val="nil"/>
              <w:bottom w:val="single" w:sz="4" w:space="0" w:color="auto"/>
              <w:right w:val="single" w:sz="4" w:space="0" w:color="auto"/>
            </w:tcBorders>
            <w:shd w:val="clear" w:color="auto" w:fill="C6EFCE"/>
            <w:noWrap/>
          </w:tcPr>
          <w:p w14:paraId="6E323609" w14:textId="77777777" w:rsidR="002D49B0" w:rsidRPr="00083739" w:rsidRDefault="00BF4125">
            <w:pPr>
              <w:pStyle w:val="P68B1DB1-Normal8"/>
              <w:keepNext/>
              <w:spacing w:before="40" w:after="0" w:line="259" w:lineRule="auto"/>
              <w:jc w:val="both"/>
              <w:rPr>
                <w:rFonts w:cs="Times New Roman"/>
                <w:noProof/>
                <w:lang w:val="sk-SK"/>
              </w:rPr>
            </w:pPr>
            <w:r w:rsidRPr="00083739">
              <w:rPr>
                <w:rFonts w:cs="Times New Roman"/>
                <w:noProof/>
                <w:lang w:val="sk-SK"/>
              </w:rPr>
              <w:t>Cieľ</w:t>
            </w:r>
          </w:p>
        </w:tc>
        <w:tc>
          <w:tcPr>
            <w:tcW w:w="1757" w:type="dxa"/>
            <w:tcBorders>
              <w:top w:val="nil"/>
              <w:left w:val="nil"/>
              <w:bottom w:val="single" w:sz="4" w:space="0" w:color="auto"/>
              <w:right w:val="single" w:sz="4" w:space="0" w:color="auto"/>
            </w:tcBorders>
            <w:shd w:val="clear" w:color="auto" w:fill="C6EFCE"/>
            <w:noWrap/>
          </w:tcPr>
          <w:p w14:paraId="174FF501" w14:textId="77777777" w:rsidR="002D49B0" w:rsidRPr="00083739" w:rsidRDefault="00BF4125">
            <w:pPr>
              <w:pStyle w:val="P68B1DB1-Normal8"/>
              <w:keepNext/>
              <w:spacing w:before="40" w:after="0" w:line="259" w:lineRule="auto"/>
              <w:jc w:val="both"/>
              <w:rPr>
                <w:rFonts w:cs="Times New Roman"/>
                <w:noProof/>
                <w:lang w:val="sk-SK"/>
              </w:rPr>
            </w:pPr>
            <w:r w:rsidRPr="00083739">
              <w:rPr>
                <w:rFonts w:cs="Times New Roman"/>
                <w:noProof/>
                <w:lang w:val="sk-SK"/>
              </w:rPr>
              <w:t>Katastrálne mapovanie – úplné dokončenie</w:t>
            </w:r>
          </w:p>
        </w:tc>
      </w:tr>
      <w:tr w:rsidR="002D49B0" w:rsidRPr="00083739" w14:paraId="58F14487" w14:textId="77777777">
        <w:trPr>
          <w:trHeight w:val="300"/>
        </w:trPr>
        <w:tc>
          <w:tcPr>
            <w:tcW w:w="1804" w:type="dxa"/>
            <w:tcBorders>
              <w:top w:val="single" w:sz="4" w:space="0" w:color="auto"/>
              <w:left w:val="single" w:sz="4" w:space="0" w:color="auto"/>
              <w:bottom w:val="single" w:sz="4" w:space="0" w:color="auto"/>
              <w:right w:val="single" w:sz="4" w:space="0" w:color="auto"/>
            </w:tcBorders>
            <w:shd w:val="clear" w:color="auto" w:fill="C6EFCE"/>
            <w:noWrap/>
          </w:tcPr>
          <w:p w14:paraId="2284D8B9" w14:textId="5A27404B" w:rsidR="002D49B0" w:rsidRPr="00083739" w:rsidRDefault="00BF4125">
            <w:pPr>
              <w:pStyle w:val="P68B1DB1-Normal49"/>
              <w:keepNext/>
              <w:spacing w:before="40" w:after="0" w:line="259" w:lineRule="auto"/>
              <w:jc w:val="both"/>
              <w:rPr>
                <w:rFonts w:cs="Times New Roman"/>
                <w:noProof/>
                <w:lang w:val="sk-SK"/>
              </w:rPr>
            </w:pPr>
            <w:r w:rsidRPr="00083739">
              <w:rPr>
                <w:rFonts w:cs="Times New Roman"/>
                <w:noProof/>
                <w:lang w:val="sk-SK"/>
              </w:rPr>
              <w:t>352</w:t>
            </w:r>
          </w:p>
        </w:tc>
        <w:tc>
          <w:tcPr>
            <w:tcW w:w="4283" w:type="dxa"/>
            <w:tcBorders>
              <w:top w:val="single" w:sz="4" w:space="0" w:color="auto"/>
              <w:left w:val="nil"/>
              <w:bottom w:val="single" w:sz="4" w:space="0" w:color="auto"/>
              <w:right w:val="single" w:sz="4" w:space="0" w:color="auto"/>
            </w:tcBorders>
            <w:shd w:val="clear" w:color="auto" w:fill="C6EFCE"/>
            <w:noWrap/>
          </w:tcPr>
          <w:p w14:paraId="5517FE9E" w14:textId="0E4FCBA7" w:rsidR="002D49B0" w:rsidRPr="00083739" w:rsidRDefault="00BF4125">
            <w:pPr>
              <w:pStyle w:val="P68B1DB1-Normal49"/>
              <w:keepNext/>
              <w:spacing w:before="40" w:after="0" w:line="259" w:lineRule="auto"/>
              <w:jc w:val="both"/>
              <w:rPr>
                <w:rFonts w:cs="Times New Roman"/>
                <w:noProof/>
                <w:lang w:val="sk-SK"/>
              </w:rPr>
            </w:pPr>
            <w:r w:rsidRPr="00083739">
              <w:rPr>
                <w:rFonts w:cs="Times New Roman"/>
                <w:noProof/>
                <w:lang w:val="sk-SK"/>
              </w:rPr>
              <w:t>20 – 5.1. Reformy REPowerEU – 16989_Optimizácia využívania pevniny</w:t>
            </w:r>
            <w:r w:rsidR="00083739" w:rsidRPr="00083739">
              <w:rPr>
                <w:rFonts w:cs="Times New Roman"/>
                <w:noProof/>
                <w:lang w:val="sk-SK"/>
              </w:rPr>
              <w:t xml:space="preserve"> a </w:t>
            </w:r>
            <w:r w:rsidRPr="00083739">
              <w:rPr>
                <w:rFonts w:cs="Times New Roman"/>
                <w:noProof/>
                <w:lang w:val="sk-SK"/>
              </w:rPr>
              <w:t xml:space="preserve">morského priestoru na rozvoj obnoviteľných </w:t>
            </w:r>
            <w:r w:rsidRPr="00083739">
              <w:rPr>
                <w:rFonts w:cs="Times New Roman"/>
                <w:noProof/>
                <w:lang w:val="sk-SK"/>
              </w:rPr>
              <w:t>zdrojov energie</w:t>
            </w:r>
            <w:r w:rsidR="00083739" w:rsidRPr="00083739">
              <w:rPr>
                <w:rFonts w:cs="Times New Roman"/>
                <w:noProof/>
                <w:lang w:val="sk-SK"/>
              </w:rPr>
              <w:t xml:space="preserve"> a </w:t>
            </w:r>
            <w:r w:rsidRPr="00083739">
              <w:rPr>
                <w:rFonts w:cs="Times New Roman"/>
                <w:noProof/>
                <w:lang w:val="sk-SK"/>
              </w:rPr>
              <w:t>rozvoja veternej energie na mori</w:t>
            </w:r>
          </w:p>
        </w:tc>
        <w:tc>
          <w:tcPr>
            <w:tcW w:w="1692" w:type="dxa"/>
            <w:tcBorders>
              <w:top w:val="single" w:sz="4" w:space="0" w:color="auto"/>
              <w:left w:val="nil"/>
              <w:bottom w:val="single" w:sz="4" w:space="0" w:color="auto"/>
              <w:right w:val="single" w:sz="4" w:space="0" w:color="auto"/>
            </w:tcBorders>
            <w:shd w:val="clear" w:color="auto" w:fill="C6EFCE"/>
            <w:noWrap/>
          </w:tcPr>
          <w:p w14:paraId="71846A91" w14:textId="09237A7A" w:rsidR="002D49B0" w:rsidRPr="00083739" w:rsidRDefault="00BF4125">
            <w:pPr>
              <w:pStyle w:val="P68B1DB1-Normal49"/>
              <w:keepNext/>
              <w:spacing w:before="40" w:after="0" w:line="259" w:lineRule="auto"/>
              <w:jc w:val="both"/>
              <w:rPr>
                <w:rFonts w:cs="Times New Roman"/>
                <w:noProof/>
                <w:lang w:val="sk-SK"/>
              </w:rPr>
            </w:pPr>
            <w:r w:rsidRPr="00083739">
              <w:rPr>
                <w:rFonts w:cs="Times New Roman"/>
                <w:noProof/>
                <w:lang w:val="sk-SK"/>
              </w:rPr>
              <w:t>Míľnik</w:t>
            </w:r>
          </w:p>
        </w:tc>
        <w:tc>
          <w:tcPr>
            <w:tcW w:w="1757" w:type="dxa"/>
            <w:tcBorders>
              <w:top w:val="single" w:sz="4" w:space="0" w:color="auto"/>
              <w:left w:val="nil"/>
              <w:bottom w:val="single" w:sz="4" w:space="0" w:color="auto"/>
              <w:right w:val="single" w:sz="4" w:space="0" w:color="auto"/>
            </w:tcBorders>
            <w:shd w:val="clear" w:color="auto" w:fill="C6EFCE"/>
            <w:noWrap/>
          </w:tcPr>
          <w:p w14:paraId="72EE4900" w14:textId="311E60AE" w:rsidR="002D49B0" w:rsidRPr="00083739" w:rsidRDefault="00BF4125">
            <w:pPr>
              <w:pStyle w:val="P68B1DB1-Normal49"/>
              <w:keepNext/>
              <w:spacing w:before="40" w:after="0" w:line="259" w:lineRule="auto"/>
              <w:jc w:val="both"/>
              <w:rPr>
                <w:rFonts w:cs="Times New Roman"/>
                <w:noProof/>
                <w:lang w:val="sk-SK"/>
              </w:rPr>
            </w:pPr>
            <w:r w:rsidRPr="00083739">
              <w:rPr>
                <w:rFonts w:cs="Times New Roman"/>
                <w:noProof/>
                <w:lang w:val="sk-SK"/>
              </w:rPr>
              <w:t>Prijatie stratégie rozvoja veterných fariem na mori (OWF)</w:t>
            </w:r>
          </w:p>
        </w:tc>
      </w:tr>
      <w:tr w:rsidR="002D49B0" w:rsidRPr="00083739" w14:paraId="67B271E6" w14:textId="77777777">
        <w:trPr>
          <w:trHeight w:val="302"/>
        </w:trPr>
        <w:tc>
          <w:tcPr>
            <w:tcW w:w="1804" w:type="dxa"/>
            <w:tcBorders>
              <w:top w:val="single" w:sz="4" w:space="0" w:color="auto"/>
              <w:left w:val="single" w:sz="4" w:space="0" w:color="auto"/>
              <w:bottom w:val="single" w:sz="4" w:space="0" w:color="auto"/>
              <w:right w:val="single" w:sz="4" w:space="0" w:color="auto"/>
            </w:tcBorders>
            <w:shd w:val="clear" w:color="auto" w:fill="C6EFCE"/>
            <w:noWrap/>
          </w:tcPr>
          <w:p w14:paraId="6810061E" w14:textId="77777777" w:rsidR="002D49B0" w:rsidRPr="00083739" w:rsidRDefault="00BF4125">
            <w:pPr>
              <w:pStyle w:val="P68B1DB1-Normal8"/>
              <w:keepNext/>
              <w:spacing w:before="40" w:after="0" w:line="259" w:lineRule="auto"/>
              <w:jc w:val="both"/>
              <w:rPr>
                <w:rFonts w:eastAsia="Times New Roman" w:cs="Times New Roman"/>
                <w:bCs/>
                <w:noProof/>
                <w:szCs w:val="18"/>
                <w:lang w:val="sk-SK"/>
              </w:rPr>
            </w:pPr>
            <w:r w:rsidRPr="00083739">
              <w:rPr>
                <w:rFonts w:cs="Times New Roman"/>
                <w:noProof/>
                <w:lang w:val="sk-SK"/>
              </w:rPr>
              <w:t>354</w:t>
            </w:r>
          </w:p>
        </w:tc>
        <w:tc>
          <w:tcPr>
            <w:tcW w:w="4283" w:type="dxa"/>
            <w:tcBorders>
              <w:top w:val="single" w:sz="4" w:space="0" w:color="auto"/>
              <w:left w:val="nil"/>
              <w:bottom w:val="single" w:sz="4" w:space="0" w:color="auto"/>
              <w:right w:val="single" w:sz="4" w:space="0" w:color="auto"/>
            </w:tcBorders>
            <w:shd w:val="clear" w:color="auto" w:fill="C6EFCE"/>
            <w:noWrap/>
          </w:tcPr>
          <w:p w14:paraId="49C79739" w14:textId="1FC290B7" w:rsidR="002D49B0" w:rsidRPr="00083739" w:rsidRDefault="00BF4125">
            <w:pPr>
              <w:pStyle w:val="P68B1DB1-Normal8"/>
              <w:keepNext/>
              <w:spacing w:before="40" w:after="0" w:line="259" w:lineRule="auto"/>
              <w:jc w:val="both"/>
              <w:rPr>
                <w:rFonts w:eastAsia="Times New Roman" w:cs="Times New Roman"/>
                <w:noProof/>
                <w:color w:val="006100"/>
                <w:szCs w:val="18"/>
                <w:lang w:val="sk-SK"/>
              </w:rPr>
            </w:pPr>
            <w:r w:rsidRPr="00083739">
              <w:rPr>
                <w:rFonts w:cs="Times New Roman"/>
                <w:noProof/>
                <w:lang w:val="sk-SK"/>
              </w:rPr>
              <w:t>20 – 5.1. Reformy REPowerEU – 16989_Optimizácia využívania pevniny</w:t>
            </w:r>
            <w:r w:rsidR="00083739" w:rsidRPr="00083739">
              <w:rPr>
                <w:rFonts w:cs="Times New Roman"/>
                <w:noProof/>
                <w:lang w:val="sk-SK"/>
              </w:rPr>
              <w:t xml:space="preserve"> a </w:t>
            </w:r>
            <w:r w:rsidRPr="00083739">
              <w:rPr>
                <w:rFonts w:cs="Times New Roman"/>
                <w:noProof/>
                <w:lang w:val="sk-SK"/>
              </w:rPr>
              <w:t>morského priestoru na rozvoj obnoviteľných zdrojov energie</w:t>
            </w:r>
            <w:r w:rsidR="00083739" w:rsidRPr="00083739">
              <w:rPr>
                <w:rFonts w:cs="Times New Roman"/>
                <w:noProof/>
                <w:lang w:val="sk-SK"/>
              </w:rPr>
              <w:t xml:space="preserve"> a </w:t>
            </w:r>
            <w:r w:rsidRPr="00083739">
              <w:rPr>
                <w:rFonts w:cs="Times New Roman"/>
                <w:noProof/>
                <w:lang w:val="sk-SK"/>
              </w:rPr>
              <w:t>rozvo</w:t>
            </w:r>
            <w:r w:rsidRPr="00083739">
              <w:rPr>
                <w:rFonts w:cs="Times New Roman"/>
                <w:noProof/>
                <w:lang w:val="sk-SK"/>
              </w:rPr>
              <w:t>ja veternej energie na mori</w:t>
            </w:r>
          </w:p>
        </w:tc>
        <w:tc>
          <w:tcPr>
            <w:tcW w:w="1692" w:type="dxa"/>
            <w:tcBorders>
              <w:top w:val="single" w:sz="4" w:space="0" w:color="auto"/>
              <w:left w:val="nil"/>
              <w:bottom w:val="single" w:sz="4" w:space="0" w:color="auto"/>
              <w:right w:val="single" w:sz="4" w:space="0" w:color="auto"/>
            </w:tcBorders>
            <w:shd w:val="clear" w:color="auto" w:fill="C6EFCE"/>
            <w:noWrap/>
          </w:tcPr>
          <w:p w14:paraId="090135E2" w14:textId="77777777" w:rsidR="002D49B0" w:rsidRPr="00083739" w:rsidRDefault="00BF4125">
            <w:pPr>
              <w:pStyle w:val="P68B1DB1-Normal8"/>
              <w:keepNext/>
              <w:spacing w:before="40" w:after="0" w:line="259" w:lineRule="auto"/>
              <w:jc w:val="both"/>
              <w:rPr>
                <w:rFonts w:eastAsia="Times New Roman" w:cs="Times New Roman"/>
                <w:noProof/>
                <w:szCs w:val="18"/>
                <w:lang w:val="sk-SK"/>
              </w:rPr>
            </w:pPr>
            <w:r w:rsidRPr="00083739">
              <w:rPr>
                <w:rFonts w:cs="Times New Roman"/>
                <w:noProof/>
                <w:lang w:val="sk-SK"/>
              </w:rPr>
              <w:t>Míľnik</w:t>
            </w:r>
          </w:p>
        </w:tc>
        <w:tc>
          <w:tcPr>
            <w:tcW w:w="1757" w:type="dxa"/>
            <w:tcBorders>
              <w:top w:val="single" w:sz="4" w:space="0" w:color="auto"/>
              <w:left w:val="nil"/>
              <w:bottom w:val="single" w:sz="4" w:space="0" w:color="auto"/>
              <w:right w:val="single" w:sz="4" w:space="0" w:color="auto"/>
            </w:tcBorders>
            <w:shd w:val="clear" w:color="auto" w:fill="C6EFCE"/>
            <w:noWrap/>
          </w:tcPr>
          <w:p w14:paraId="0E7CE038" w14:textId="2171F638" w:rsidR="002D49B0" w:rsidRPr="00083739" w:rsidRDefault="00BF4125">
            <w:pPr>
              <w:pStyle w:val="P68B1DB1-Normal8"/>
              <w:keepNext/>
              <w:spacing w:before="40" w:after="0" w:line="259" w:lineRule="auto"/>
              <w:jc w:val="both"/>
              <w:rPr>
                <w:rFonts w:eastAsia="Times New Roman" w:cs="Times New Roman"/>
                <w:noProof/>
                <w:color w:val="006100"/>
                <w:szCs w:val="18"/>
                <w:lang w:val="sk-SK"/>
              </w:rPr>
            </w:pPr>
            <w:r w:rsidRPr="00083739">
              <w:rPr>
                <w:rFonts w:cs="Times New Roman"/>
                <w:noProof/>
                <w:lang w:val="sk-SK"/>
              </w:rPr>
              <w:t>Nadobudnutie účinnosti prezidentského dekrétu</w:t>
            </w:r>
            <w:r w:rsidR="00083739" w:rsidRPr="00083739">
              <w:rPr>
                <w:rFonts w:cs="Times New Roman"/>
                <w:noProof/>
                <w:lang w:val="sk-SK"/>
              </w:rPr>
              <w:t xml:space="preserve"> o </w:t>
            </w:r>
            <w:r w:rsidRPr="00083739">
              <w:rPr>
                <w:rFonts w:cs="Times New Roman"/>
                <w:noProof/>
                <w:lang w:val="sk-SK"/>
              </w:rPr>
              <w:t>určení prvej skupiny oblastí pre projekty veternej energie na mori</w:t>
            </w:r>
          </w:p>
        </w:tc>
      </w:tr>
      <w:tr w:rsidR="002D49B0" w:rsidRPr="00083739" w14:paraId="58C354AE" w14:textId="77777777">
        <w:trPr>
          <w:trHeight w:val="302"/>
        </w:trPr>
        <w:tc>
          <w:tcPr>
            <w:tcW w:w="1804" w:type="dxa"/>
            <w:tcBorders>
              <w:top w:val="single" w:sz="4" w:space="0" w:color="auto"/>
              <w:left w:val="single" w:sz="4" w:space="0" w:color="auto"/>
              <w:bottom w:val="single" w:sz="4" w:space="0" w:color="auto"/>
              <w:right w:val="single" w:sz="4" w:space="0" w:color="auto"/>
            </w:tcBorders>
            <w:shd w:val="clear" w:color="auto" w:fill="C6EFCE"/>
            <w:noWrap/>
          </w:tcPr>
          <w:p w14:paraId="43C86F2E" w14:textId="77777777" w:rsidR="002D49B0" w:rsidRPr="00083739" w:rsidRDefault="00BF4125">
            <w:pPr>
              <w:pStyle w:val="P68B1DB1-Normal8"/>
              <w:keepNext/>
              <w:spacing w:before="40" w:after="0" w:line="259" w:lineRule="auto"/>
              <w:jc w:val="both"/>
              <w:rPr>
                <w:rFonts w:cs="Times New Roman"/>
                <w:noProof/>
                <w:lang w:val="sk-SK"/>
              </w:rPr>
            </w:pPr>
            <w:r w:rsidRPr="00083739">
              <w:rPr>
                <w:rFonts w:cs="Times New Roman"/>
                <w:noProof/>
                <w:lang w:val="sk-SK"/>
              </w:rPr>
              <w:t>357</w:t>
            </w:r>
          </w:p>
        </w:tc>
        <w:tc>
          <w:tcPr>
            <w:tcW w:w="4283" w:type="dxa"/>
            <w:tcBorders>
              <w:top w:val="single" w:sz="4" w:space="0" w:color="auto"/>
              <w:left w:val="nil"/>
              <w:bottom w:val="single" w:sz="4" w:space="0" w:color="auto"/>
              <w:right w:val="single" w:sz="4" w:space="0" w:color="auto"/>
            </w:tcBorders>
            <w:shd w:val="clear" w:color="auto" w:fill="C6EFCE"/>
            <w:noWrap/>
          </w:tcPr>
          <w:p w14:paraId="7B5DFD64" w14:textId="76AA7F89" w:rsidR="002D49B0" w:rsidRPr="00083739" w:rsidRDefault="00BF4125">
            <w:pPr>
              <w:pStyle w:val="P68B1DB1-Normal8"/>
              <w:keepNext/>
              <w:spacing w:before="40" w:after="0" w:line="259" w:lineRule="auto"/>
              <w:jc w:val="both"/>
              <w:rPr>
                <w:rFonts w:cs="Times New Roman"/>
                <w:noProof/>
                <w:lang w:val="sk-SK"/>
              </w:rPr>
            </w:pPr>
            <w:r w:rsidRPr="00083739">
              <w:rPr>
                <w:rFonts w:cs="Times New Roman"/>
                <w:noProof/>
                <w:lang w:val="sk-SK"/>
              </w:rPr>
              <w:t>20 – 5.1. Reformy REPowerEU – 16990_Sieť</w:t>
            </w:r>
            <w:r w:rsidR="00083739" w:rsidRPr="00083739">
              <w:rPr>
                <w:rFonts w:cs="Times New Roman"/>
                <w:noProof/>
                <w:lang w:val="sk-SK"/>
              </w:rPr>
              <w:t xml:space="preserve"> a </w:t>
            </w:r>
            <w:r w:rsidRPr="00083739">
              <w:rPr>
                <w:rFonts w:cs="Times New Roman"/>
                <w:noProof/>
                <w:lang w:val="sk-SK"/>
              </w:rPr>
              <w:t xml:space="preserve">uskladňovacia kapacita – podpora investícií do </w:t>
            </w:r>
            <w:r w:rsidRPr="00083739">
              <w:rPr>
                <w:rFonts w:cs="Times New Roman"/>
                <w:noProof/>
                <w:lang w:val="sk-SK"/>
              </w:rPr>
              <w:t>uskladňovania</w:t>
            </w:r>
          </w:p>
        </w:tc>
        <w:tc>
          <w:tcPr>
            <w:tcW w:w="1692" w:type="dxa"/>
            <w:tcBorders>
              <w:top w:val="single" w:sz="4" w:space="0" w:color="auto"/>
              <w:left w:val="nil"/>
              <w:bottom w:val="single" w:sz="4" w:space="0" w:color="auto"/>
              <w:right w:val="single" w:sz="4" w:space="0" w:color="auto"/>
            </w:tcBorders>
            <w:shd w:val="clear" w:color="auto" w:fill="C6EFCE"/>
            <w:noWrap/>
          </w:tcPr>
          <w:p w14:paraId="5FCEE2AE" w14:textId="77777777" w:rsidR="002D49B0" w:rsidRPr="00083739" w:rsidRDefault="00BF4125">
            <w:pPr>
              <w:pStyle w:val="P68B1DB1-Normal8"/>
              <w:keepNext/>
              <w:spacing w:before="40" w:after="0" w:line="259" w:lineRule="auto"/>
              <w:jc w:val="both"/>
              <w:rPr>
                <w:rFonts w:cs="Times New Roman"/>
                <w:noProof/>
                <w:lang w:val="sk-SK"/>
              </w:rPr>
            </w:pPr>
            <w:r w:rsidRPr="00083739">
              <w:rPr>
                <w:rFonts w:cs="Times New Roman"/>
                <w:noProof/>
                <w:lang w:val="sk-SK"/>
              </w:rPr>
              <w:t xml:space="preserve">Míľnik </w:t>
            </w:r>
          </w:p>
        </w:tc>
        <w:tc>
          <w:tcPr>
            <w:tcW w:w="1757" w:type="dxa"/>
            <w:tcBorders>
              <w:top w:val="single" w:sz="4" w:space="0" w:color="auto"/>
              <w:left w:val="nil"/>
              <w:bottom w:val="single" w:sz="4" w:space="0" w:color="auto"/>
              <w:right w:val="single" w:sz="4" w:space="0" w:color="auto"/>
            </w:tcBorders>
            <w:shd w:val="clear" w:color="auto" w:fill="C6EFCE"/>
            <w:noWrap/>
          </w:tcPr>
          <w:p w14:paraId="1EDB2912" w14:textId="77777777" w:rsidR="002D49B0" w:rsidRPr="00083739" w:rsidRDefault="00BF4125">
            <w:pPr>
              <w:pStyle w:val="P68B1DB1-Normal8"/>
              <w:keepNext/>
              <w:spacing w:before="40" w:after="0" w:line="259" w:lineRule="auto"/>
              <w:jc w:val="both"/>
              <w:rPr>
                <w:rFonts w:cs="Times New Roman"/>
                <w:noProof/>
                <w:lang w:val="sk-SK"/>
              </w:rPr>
            </w:pPr>
            <w:r w:rsidRPr="00083739">
              <w:rPr>
                <w:rFonts w:cs="Times New Roman"/>
                <w:noProof/>
                <w:lang w:val="sk-SK"/>
              </w:rPr>
              <w:t>Nadobudnutie účinnosti systému podpory</w:t>
            </w:r>
          </w:p>
        </w:tc>
      </w:tr>
      <w:tr w:rsidR="002D49B0" w:rsidRPr="00083739" w14:paraId="717F0EA3" w14:textId="77777777">
        <w:trPr>
          <w:trHeight w:val="302"/>
        </w:trPr>
        <w:tc>
          <w:tcPr>
            <w:tcW w:w="1804" w:type="dxa"/>
            <w:tcBorders>
              <w:top w:val="single" w:sz="4" w:space="0" w:color="auto"/>
              <w:left w:val="single" w:sz="4" w:space="0" w:color="auto"/>
              <w:bottom w:val="single" w:sz="4" w:space="0" w:color="auto"/>
              <w:right w:val="single" w:sz="4" w:space="0" w:color="auto"/>
            </w:tcBorders>
            <w:shd w:val="clear" w:color="auto" w:fill="C6EFCE"/>
            <w:noWrap/>
          </w:tcPr>
          <w:p w14:paraId="58947971" w14:textId="77777777" w:rsidR="002D49B0" w:rsidRPr="00083739" w:rsidRDefault="00BF4125">
            <w:pPr>
              <w:pStyle w:val="P68B1DB1-Normal8"/>
              <w:keepNext/>
              <w:spacing w:before="40" w:after="0" w:line="259" w:lineRule="auto"/>
              <w:jc w:val="both"/>
              <w:rPr>
                <w:rFonts w:eastAsia="Times New Roman" w:cs="Times New Roman"/>
                <w:noProof/>
                <w:szCs w:val="18"/>
                <w:lang w:val="sk-SK"/>
              </w:rPr>
            </w:pPr>
            <w:r w:rsidRPr="00083739">
              <w:rPr>
                <w:rFonts w:cs="Times New Roman"/>
                <w:noProof/>
                <w:lang w:val="sk-SK"/>
              </w:rPr>
              <w:t>362</w:t>
            </w:r>
          </w:p>
        </w:tc>
        <w:tc>
          <w:tcPr>
            <w:tcW w:w="4283" w:type="dxa"/>
            <w:tcBorders>
              <w:top w:val="single" w:sz="4" w:space="0" w:color="auto"/>
              <w:left w:val="nil"/>
              <w:bottom w:val="single" w:sz="4" w:space="0" w:color="auto"/>
              <w:right w:val="single" w:sz="4" w:space="0" w:color="auto"/>
            </w:tcBorders>
            <w:shd w:val="clear" w:color="auto" w:fill="C6EFCE"/>
            <w:noWrap/>
          </w:tcPr>
          <w:p w14:paraId="5303C2E9" w14:textId="3D4181D2" w:rsidR="002D49B0" w:rsidRPr="00083739" w:rsidRDefault="00BF4125">
            <w:pPr>
              <w:pStyle w:val="P68B1DB1-Normal8"/>
              <w:keepNext/>
              <w:spacing w:before="40" w:after="0" w:line="259" w:lineRule="auto"/>
              <w:jc w:val="both"/>
              <w:rPr>
                <w:rFonts w:eastAsia="Times New Roman" w:cs="Times New Roman"/>
                <w:noProof/>
                <w:szCs w:val="18"/>
                <w:lang w:val="sk-SK"/>
              </w:rPr>
            </w:pPr>
            <w:r w:rsidRPr="00083739">
              <w:rPr>
                <w:rFonts w:cs="Times New Roman"/>
                <w:noProof/>
                <w:lang w:val="sk-SK"/>
              </w:rPr>
              <w:t>20 – 5. Reformy REPowerEU – 16992_Nástroj na podporu spoločného využívania energie, vlastnej spotreby</w:t>
            </w:r>
            <w:r w:rsidR="00083739" w:rsidRPr="00083739">
              <w:rPr>
                <w:rFonts w:cs="Times New Roman"/>
                <w:noProof/>
                <w:lang w:val="sk-SK"/>
              </w:rPr>
              <w:t xml:space="preserve"> a </w:t>
            </w:r>
            <w:r w:rsidRPr="00083739">
              <w:rPr>
                <w:rFonts w:cs="Times New Roman"/>
                <w:noProof/>
                <w:lang w:val="sk-SK"/>
              </w:rPr>
              <w:t>komunít vyrábajúcich energiu</w:t>
            </w:r>
            <w:r w:rsidR="00083739" w:rsidRPr="00083739">
              <w:rPr>
                <w:rFonts w:cs="Times New Roman"/>
                <w:noProof/>
                <w:lang w:val="sk-SK"/>
              </w:rPr>
              <w:t xml:space="preserve"> z </w:t>
            </w:r>
            <w:r w:rsidRPr="00083739">
              <w:rPr>
                <w:rFonts w:cs="Times New Roman"/>
                <w:noProof/>
                <w:lang w:val="sk-SK"/>
              </w:rPr>
              <w:t>obnoviteľných zdrojov</w:t>
            </w:r>
          </w:p>
        </w:tc>
        <w:tc>
          <w:tcPr>
            <w:tcW w:w="1692" w:type="dxa"/>
            <w:tcBorders>
              <w:top w:val="single" w:sz="4" w:space="0" w:color="auto"/>
              <w:left w:val="nil"/>
              <w:bottom w:val="single" w:sz="4" w:space="0" w:color="auto"/>
              <w:right w:val="single" w:sz="4" w:space="0" w:color="auto"/>
            </w:tcBorders>
            <w:shd w:val="clear" w:color="auto" w:fill="C6EFCE"/>
            <w:noWrap/>
          </w:tcPr>
          <w:p w14:paraId="52593CD6" w14:textId="77777777" w:rsidR="002D49B0" w:rsidRPr="00083739" w:rsidRDefault="00BF4125">
            <w:pPr>
              <w:pStyle w:val="P68B1DB1-Normal8"/>
              <w:keepNext/>
              <w:spacing w:before="40" w:after="0" w:line="259" w:lineRule="auto"/>
              <w:jc w:val="both"/>
              <w:rPr>
                <w:rFonts w:eastAsia="Times New Roman" w:cs="Times New Roman"/>
                <w:noProof/>
                <w:szCs w:val="18"/>
                <w:lang w:val="sk-SK"/>
              </w:rPr>
            </w:pPr>
            <w:r w:rsidRPr="00083739">
              <w:rPr>
                <w:rFonts w:cs="Times New Roman"/>
                <w:noProof/>
                <w:lang w:val="sk-SK"/>
              </w:rPr>
              <w:t>Míľnik</w:t>
            </w:r>
          </w:p>
        </w:tc>
        <w:tc>
          <w:tcPr>
            <w:tcW w:w="1757" w:type="dxa"/>
            <w:tcBorders>
              <w:top w:val="single" w:sz="4" w:space="0" w:color="auto"/>
              <w:left w:val="nil"/>
              <w:bottom w:val="single" w:sz="4" w:space="0" w:color="auto"/>
              <w:right w:val="single" w:sz="4" w:space="0" w:color="auto"/>
            </w:tcBorders>
            <w:shd w:val="clear" w:color="auto" w:fill="C6EFCE"/>
            <w:noWrap/>
            <w:vAlign w:val="bottom"/>
          </w:tcPr>
          <w:p w14:paraId="447FAF90" w14:textId="43CBE219" w:rsidR="002D49B0" w:rsidRPr="00083739" w:rsidRDefault="00BF4125">
            <w:pPr>
              <w:pStyle w:val="P68B1DB1-Normal8"/>
              <w:keepNext/>
              <w:spacing w:before="40" w:after="0" w:line="259" w:lineRule="auto"/>
              <w:jc w:val="both"/>
              <w:rPr>
                <w:rFonts w:eastAsia="Times New Roman" w:cs="Times New Roman"/>
                <w:noProof/>
                <w:szCs w:val="18"/>
                <w:lang w:val="sk-SK"/>
              </w:rPr>
            </w:pPr>
            <w:r w:rsidRPr="00083739">
              <w:rPr>
                <w:rFonts w:cs="Times New Roman"/>
                <w:noProof/>
                <w:lang w:val="sk-SK"/>
              </w:rPr>
              <w:t>Zriadenie samospotrebiteľs</w:t>
            </w:r>
            <w:r w:rsidRPr="00083739">
              <w:rPr>
                <w:rFonts w:cs="Times New Roman"/>
                <w:noProof/>
                <w:lang w:val="sk-SK"/>
              </w:rPr>
              <w:t>kého registra</w:t>
            </w:r>
            <w:r w:rsidR="00083739" w:rsidRPr="00083739">
              <w:rPr>
                <w:rFonts w:cs="Times New Roman"/>
                <w:noProof/>
                <w:lang w:val="sk-SK"/>
              </w:rPr>
              <w:t xml:space="preserve"> a </w:t>
            </w:r>
            <w:r w:rsidRPr="00083739">
              <w:rPr>
                <w:rFonts w:cs="Times New Roman"/>
                <w:noProof/>
                <w:lang w:val="sk-SK"/>
              </w:rPr>
              <w:t>technická pomoc energetickým spoločenstvám</w:t>
            </w:r>
          </w:p>
        </w:tc>
      </w:tr>
      <w:tr w:rsidR="002D49B0" w:rsidRPr="00083739" w14:paraId="52CA55AD" w14:textId="77777777">
        <w:trPr>
          <w:trHeight w:val="302"/>
        </w:trPr>
        <w:tc>
          <w:tcPr>
            <w:tcW w:w="1804" w:type="dxa"/>
            <w:tcBorders>
              <w:top w:val="single" w:sz="4" w:space="0" w:color="auto"/>
              <w:left w:val="single" w:sz="4" w:space="0" w:color="auto"/>
              <w:bottom w:val="single" w:sz="4" w:space="0" w:color="auto"/>
              <w:right w:val="single" w:sz="4" w:space="0" w:color="auto"/>
            </w:tcBorders>
            <w:shd w:val="clear" w:color="auto" w:fill="C6EFCE"/>
            <w:noWrap/>
          </w:tcPr>
          <w:p w14:paraId="32616F90" w14:textId="77777777" w:rsidR="002D49B0" w:rsidRPr="00083739" w:rsidRDefault="00BF4125">
            <w:pPr>
              <w:pStyle w:val="P68B1DB1-Normal8"/>
              <w:keepNext/>
              <w:spacing w:before="40" w:after="0" w:line="259" w:lineRule="auto"/>
              <w:jc w:val="both"/>
              <w:rPr>
                <w:rFonts w:eastAsia="Times New Roman" w:cs="Times New Roman"/>
                <w:bCs/>
                <w:noProof/>
                <w:szCs w:val="18"/>
                <w:lang w:val="sk-SK"/>
              </w:rPr>
            </w:pPr>
            <w:r w:rsidRPr="00083739">
              <w:rPr>
                <w:rFonts w:cs="Times New Roman"/>
                <w:noProof/>
                <w:lang w:val="sk-SK"/>
              </w:rPr>
              <w:t>364</w:t>
            </w:r>
          </w:p>
        </w:tc>
        <w:tc>
          <w:tcPr>
            <w:tcW w:w="4283" w:type="dxa"/>
            <w:tcBorders>
              <w:top w:val="single" w:sz="4" w:space="0" w:color="auto"/>
              <w:left w:val="nil"/>
              <w:bottom w:val="single" w:sz="4" w:space="0" w:color="auto"/>
              <w:right w:val="single" w:sz="4" w:space="0" w:color="auto"/>
            </w:tcBorders>
            <w:shd w:val="clear" w:color="auto" w:fill="C6EFCE"/>
            <w:noWrap/>
          </w:tcPr>
          <w:p w14:paraId="5F01B3F6" w14:textId="452EBF7C" w:rsidR="002D49B0" w:rsidRPr="00083739" w:rsidRDefault="00BF4125">
            <w:pPr>
              <w:pStyle w:val="P68B1DB1-Normal8"/>
              <w:keepNext/>
              <w:spacing w:before="40" w:after="0" w:line="259" w:lineRule="auto"/>
              <w:jc w:val="both"/>
              <w:rPr>
                <w:rFonts w:eastAsia="Times New Roman" w:cs="Times New Roman"/>
                <w:bCs/>
                <w:noProof/>
                <w:szCs w:val="18"/>
                <w:lang w:val="sk-SK"/>
              </w:rPr>
            </w:pPr>
            <w:r w:rsidRPr="00083739">
              <w:rPr>
                <w:rFonts w:cs="Times New Roman"/>
                <w:noProof/>
                <w:lang w:val="sk-SK"/>
              </w:rPr>
              <w:t>20 – 5. Reformy REPowerEU – 16993_Plán inovačných intervencií</w:t>
            </w:r>
            <w:r w:rsidR="00083739" w:rsidRPr="00083739">
              <w:rPr>
                <w:rFonts w:cs="Times New Roman"/>
                <w:noProof/>
                <w:lang w:val="sk-SK"/>
              </w:rPr>
              <w:t xml:space="preserve"> v </w:t>
            </w:r>
            <w:r w:rsidRPr="00083739">
              <w:rPr>
                <w:rFonts w:cs="Times New Roman"/>
                <w:noProof/>
                <w:lang w:val="sk-SK"/>
              </w:rPr>
              <w:t>oblasti energetickej efektívnosti</w:t>
            </w:r>
            <w:r w:rsidR="00083739" w:rsidRPr="00083739">
              <w:rPr>
                <w:rFonts w:cs="Times New Roman"/>
                <w:noProof/>
                <w:lang w:val="sk-SK"/>
              </w:rPr>
              <w:t xml:space="preserve"> a </w:t>
            </w:r>
            <w:r w:rsidRPr="00083739">
              <w:rPr>
                <w:rFonts w:cs="Times New Roman"/>
                <w:noProof/>
                <w:lang w:val="sk-SK"/>
              </w:rPr>
              <w:t>identifikácia nových finančných nástrojov</w:t>
            </w:r>
          </w:p>
        </w:tc>
        <w:tc>
          <w:tcPr>
            <w:tcW w:w="1692" w:type="dxa"/>
            <w:tcBorders>
              <w:top w:val="single" w:sz="4" w:space="0" w:color="auto"/>
              <w:left w:val="nil"/>
              <w:bottom w:val="single" w:sz="4" w:space="0" w:color="auto"/>
              <w:right w:val="single" w:sz="4" w:space="0" w:color="auto"/>
            </w:tcBorders>
            <w:shd w:val="clear" w:color="auto" w:fill="C6EFCE"/>
            <w:noWrap/>
          </w:tcPr>
          <w:p w14:paraId="5F61DD99" w14:textId="77777777" w:rsidR="002D49B0" w:rsidRPr="00083739" w:rsidRDefault="00BF4125">
            <w:pPr>
              <w:pStyle w:val="P68B1DB1-Normal8"/>
              <w:keepNext/>
              <w:spacing w:before="40" w:after="0" w:line="259" w:lineRule="auto"/>
              <w:jc w:val="both"/>
              <w:rPr>
                <w:rFonts w:eastAsia="Times New Roman" w:cs="Times New Roman"/>
                <w:noProof/>
                <w:szCs w:val="18"/>
                <w:lang w:val="sk-SK"/>
              </w:rPr>
            </w:pPr>
            <w:r w:rsidRPr="00083739">
              <w:rPr>
                <w:rFonts w:cs="Times New Roman"/>
                <w:noProof/>
                <w:lang w:val="sk-SK"/>
              </w:rPr>
              <w:t>Míľnik</w:t>
            </w:r>
          </w:p>
        </w:tc>
        <w:tc>
          <w:tcPr>
            <w:tcW w:w="1757" w:type="dxa"/>
            <w:tcBorders>
              <w:top w:val="single" w:sz="4" w:space="0" w:color="auto"/>
              <w:left w:val="nil"/>
              <w:bottom w:val="single" w:sz="4" w:space="0" w:color="auto"/>
              <w:right w:val="single" w:sz="4" w:space="0" w:color="auto"/>
            </w:tcBorders>
            <w:shd w:val="clear" w:color="auto" w:fill="C6EFCE"/>
            <w:noWrap/>
          </w:tcPr>
          <w:p w14:paraId="487F32BD" w14:textId="77777777" w:rsidR="002D49B0" w:rsidRPr="00083739" w:rsidRDefault="00BF4125">
            <w:pPr>
              <w:pStyle w:val="P68B1DB1-Normal8"/>
              <w:keepNext/>
              <w:spacing w:before="40" w:after="0" w:line="259" w:lineRule="auto"/>
              <w:jc w:val="both"/>
              <w:rPr>
                <w:rFonts w:eastAsia="Times New Roman" w:cs="Times New Roman"/>
                <w:noProof/>
                <w:szCs w:val="18"/>
                <w:lang w:val="sk-SK"/>
              </w:rPr>
            </w:pPr>
            <w:r w:rsidRPr="00083739">
              <w:rPr>
                <w:rFonts w:cs="Times New Roman"/>
                <w:noProof/>
                <w:lang w:val="sk-SK"/>
              </w:rPr>
              <w:t>Spustenie negrantového finančného nástroja</w:t>
            </w:r>
          </w:p>
        </w:tc>
      </w:tr>
      <w:tr w:rsidR="002D49B0" w:rsidRPr="00083739" w14:paraId="48CF2989" w14:textId="77777777">
        <w:trPr>
          <w:trHeight w:val="302"/>
        </w:trPr>
        <w:tc>
          <w:tcPr>
            <w:tcW w:w="18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7459F98"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c>
          <w:tcPr>
            <w:tcW w:w="4283" w:type="dxa"/>
            <w:tcBorders>
              <w:top w:val="single" w:sz="4" w:space="0" w:color="auto"/>
              <w:left w:val="nil"/>
              <w:bottom w:val="single" w:sz="4" w:space="0" w:color="auto"/>
              <w:right w:val="single" w:sz="4" w:space="0" w:color="auto"/>
            </w:tcBorders>
            <w:shd w:val="clear" w:color="auto" w:fill="C6EFCE"/>
            <w:noWrap/>
            <w:vAlign w:val="bottom"/>
          </w:tcPr>
          <w:p w14:paraId="05086A95"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c>
          <w:tcPr>
            <w:tcW w:w="1692" w:type="dxa"/>
            <w:tcBorders>
              <w:top w:val="single" w:sz="4" w:space="0" w:color="auto"/>
              <w:left w:val="nil"/>
              <w:bottom w:val="single" w:sz="4" w:space="0" w:color="auto"/>
              <w:right w:val="single" w:sz="4" w:space="0" w:color="auto"/>
            </w:tcBorders>
            <w:shd w:val="clear" w:color="auto" w:fill="C6EFCE"/>
            <w:noWrap/>
            <w:vAlign w:val="bottom"/>
          </w:tcPr>
          <w:p w14:paraId="2EED79DF" w14:textId="77777777" w:rsidR="002D49B0" w:rsidRPr="00083739" w:rsidRDefault="00BF4125">
            <w:pPr>
              <w:pStyle w:val="P68B1DB1-Normal8"/>
              <w:keepNext/>
              <w:spacing w:before="40" w:after="0" w:line="259" w:lineRule="auto"/>
              <w:jc w:val="both"/>
              <w:rPr>
                <w:rFonts w:eastAsia="Times New Roman" w:cs="Times New Roman"/>
                <w:noProof/>
                <w:szCs w:val="18"/>
                <w:lang w:val="sk-SK"/>
              </w:rPr>
            </w:pPr>
            <w:r w:rsidRPr="00083739">
              <w:rPr>
                <w:rFonts w:cs="Times New Roman"/>
                <w:noProof/>
                <w:lang w:val="sk-SK"/>
              </w:rPr>
              <w:t>Suma splátky</w:t>
            </w:r>
          </w:p>
        </w:tc>
        <w:tc>
          <w:tcPr>
            <w:tcW w:w="1757" w:type="dxa"/>
            <w:tcBorders>
              <w:top w:val="single" w:sz="4" w:space="0" w:color="auto"/>
              <w:left w:val="nil"/>
              <w:bottom w:val="single" w:sz="4" w:space="0" w:color="auto"/>
              <w:right w:val="single" w:sz="4" w:space="0" w:color="auto"/>
            </w:tcBorders>
            <w:shd w:val="clear" w:color="auto" w:fill="C6EFCE"/>
            <w:noWrap/>
            <w:vAlign w:val="bottom"/>
          </w:tcPr>
          <w:p w14:paraId="67692C23" w14:textId="320BF82E" w:rsidR="002D49B0" w:rsidRPr="00083739" w:rsidRDefault="00BF4125">
            <w:pPr>
              <w:pStyle w:val="P68B1DB1-Normal8"/>
              <w:keepNext/>
              <w:spacing w:before="40" w:after="0" w:line="259" w:lineRule="auto"/>
              <w:jc w:val="both"/>
              <w:rPr>
                <w:rFonts w:eastAsia="Times New Roman" w:cs="Times New Roman"/>
                <w:noProof/>
                <w:szCs w:val="18"/>
                <w:lang w:val="sk-SK"/>
              </w:rPr>
            </w:pPr>
            <w:r w:rsidRPr="00083739">
              <w:rPr>
                <w:rFonts w:cs="Times New Roman"/>
                <w:noProof/>
                <w:lang w:val="sk-SK"/>
              </w:rPr>
              <w:t>1 696 474 735 EUR</w:t>
            </w:r>
          </w:p>
        </w:tc>
      </w:tr>
    </w:tbl>
    <w:p w14:paraId="4E79390C" w14:textId="77777777" w:rsidR="002D49B0" w:rsidRPr="00083739" w:rsidRDefault="002D49B0">
      <w:pPr>
        <w:keepNext/>
        <w:spacing w:before="40" w:after="0" w:line="259" w:lineRule="auto"/>
        <w:jc w:val="both"/>
        <w:rPr>
          <w:rFonts w:ascii="Times New Roman" w:eastAsia="Times New Roman" w:hAnsi="Times New Roman" w:cs="Times New Roman"/>
          <w:bCs/>
          <w:noProof/>
          <w:sz w:val="24"/>
          <w:szCs w:val="26"/>
          <w:lang w:val="sk-SK"/>
        </w:rPr>
      </w:pPr>
    </w:p>
    <w:p w14:paraId="7F3C6138" w14:textId="0609806B" w:rsidR="00083739" w:rsidRPr="00083739" w:rsidRDefault="00BF4125">
      <w:pPr>
        <w:pStyle w:val="P68B1DB1-Normal4"/>
        <w:keepNext/>
        <w:numPr>
          <w:ilvl w:val="1"/>
          <w:numId w:val="22"/>
        </w:numPr>
        <w:spacing w:before="40" w:after="160" w:line="259" w:lineRule="auto"/>
        <w:ind w:left="0"/>
        <w:contextualSpacing/>
        <w:jc w:val="both"/>
        <w:rPr>
          <w:rFonts w:cs="Times New Roman"/>
          <w:noProof/>
          <w:lang w:val="sk-SK"/>
        </w:rPr>
      </w:pPr>
      <w:r w:rsidRPr="00083739">
        <w:rPr>
          <w:rFonts w:cs="Times New Roman"/>
          <w:noProof/>
          <w:lang w:val="sk-SK"/>
        </w:rPr>
        <w:t>Deviata žiadosť</w:t>
      </w:r>
      <w:r w:rsidR="00083739" w:rsidRPr="00083739">
        <w:rPr>
          <w:rFonts w:cs="Times New Roman"/>
          <w:noProof/>
          <w:lang w:val="sk-SK"/>
        </w:rPr>
        <w:t xml:space="preserve"> o </w:t>
      </w:r>
      <w:r w:rsidRPr="00083739">
        <w:rPr>
          <w:rFonts w:cs="Times New Roman"/>
          <w:noProof/>
          <w:lang w:val="sk-SK"/>
        </w:rPr>
        <w:t>platbu (nenávratná podpora)</w:t>
      </w:r>
      <w:r w:rsidR="00083739" w:rsidRPr="00083739">
        <w:rPr>
          <w:rFonts w:cs="Times New Roman"/>
          <w:noProof/>
          <w:lang w:val="sk-SK"/>
        </w:rPr>
        <w:t>:</w:t>
      </w:r>
    </w:p>
    <w:p w14:paraId="3EC94B26" w14:textId="7CDB2C38" w:rsidR="002D49B0" w:rsidRPr="00083739" w:rsidRDefault="002D49B0">
      <w:pPr>
        <w:keepNext/>
        <w:spacing w:before="40" w:after="160" w:line="259" w:lineRule="auto"/>
        <w:contextualSpacing/>
        <w:jc w:val="both"/>
        <w:rPr>
          <w:rFonts w:ascii="Times New Roman" w:eastAsia="Times New Roman" w:hAnsi="Times New Roman" w:cs="Times New Roman"/>
          <w:noProof/>
          <w:sz w:val="24"/>
          <w:lang w:val="sk-SK"/>
        </w:rPr>
      </w:pPr>
    </w:p>
    <w:tbl>
      <w:tblPr>
        <w:tblpPr w:leftFromText="180" w:rightFromText="180" w:vertAnchor="text" w:tblpX="-245" w:tblpY="1"/>
        <w:tblOverlap w:val="never"/>
        <w:tblW w:w="10075" w:type="dxa"/>
        <w:tblLook w:val="04A0" w:firstRow="1" w:lastRow="0" w:firstColumn="1" w:lastColumn="0" w:noHBand="0" w:noVBand="1"/>
      </w:tblPr>
      <w:tblGrid>
        <w:gridCol w:w="1795"/>
        <w:gridCol w:w="4320"/>
        <w:gridCol w:w="1680"/>
        <w:gridCol w:w="2280"/>
      </w:tblGrid>
      <w:tr w:rsidR="002D49B0" w:rsidRPr="00083739" w14:paraId="6E97D91E" w14:textId="77777777">
        <w:trPr>
          <w:trHeight w:val="906"/>
          <w:tblHeader/>
        </w:trPr>
        <w:tc>
          <w:tcPr>
            <w:tcW w:w="179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B54C7F2" w14:textId="77777777" w:rsidR="002D49B0" w:rsidRPr="00083739" w:rsidRDefault="00BF4125">
            <w:pPr>
              <w:pStyle w:val="P68B1DB1-Normal7"/>
              <w:keepNext/>
              <w:spacing w:before="40" w:after="0" w:line="256" w:lineRule="auto"/>
              <w:jc w:val="center"/>
              <w:rPr>
                <w:rFonts w:eastAsia="Times New Roman" w:cs="Times New Roman"/>
                <w:bCs/>
                <w:noProof/>
                <w:szCs w:val="18"/>
                <w:lang w:val="sk-SK"/>
              </w:rPr>
            </w:pPr>
            <w:r w:rsidRPr="00083739">
              <w:rPr>
                <w:rFonts w:cs="Times New Roman"/>
                <w:noProof/>
                <w:lang w:val="sk-SK"/>
              </w:rPr>
              <w:t>Poradové číslo</w:t>
            </w:r>
          </w:p>
        </w:tc>
        <w:tc>
          <w:tcPr>
            <w:tcW w:w="432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E877246" w14:textId="77777777" w:rsidR="002D49B0" w:rsidRPr="00083739" w:rsidRDefault="00BF4125">
            <w:pPr>
              <w:pStyle w:val="P68B1DB1-Normal7"/>
              <w:keepNext/>
              <w:spacing w:before="40" w:after="0" w:line="256" w:lineRule="auto"/>
              <w:jc w:val="center"/>
              <w:rPr>
                <w:rFonts w:eastAsia="Times New Roman" w:cs="Times New Roman"/>
                <w:bCs/>
                <w:noProof/>
                <w:szCs w:val="18"/>
                <w:lang w:val="sk-SK"/>
              </w:rPr>
            </w:pPr>
            <w:r w:rsidRPr="00083739">
              <w:rPr>
                <w:rFonts w:cs="Times New Roman"/>
                <w:noProof/>
                <w:lang w:val="sk-SK"/>
              </w:rPr>
              <w:t>Súvisiace opatrenie (reforma alebo investícia)</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D37955B" w14:textId="77777777" w:rsidR="002D49B0" w:rsidRPr="00083739" w:rsidRDefault="00BF4125">
            <w:pPr>
              <w:pStyle w:val="P68B1DB1-Normal7"/>
              <w:keepNext/>
              <w:spacing w:before="40" w:after="0" w:line="256" w:lineRule="auto"/>
              <w:jc w:val="center"/>
              <w:rPr>
                <w:rFonts w:eastAsia="Times New Roman" w:cs="Times New Roman"/>
                <w:bCs/>
                <w:noProof/>
                <w:szCs w:val="18"/>
                <w:lang w:val="sk-SK"/>
              </w:rPr>
            </w:pPr>
            <w:r w:rsidRPr="00083739">
              <w:rPr>
                <w:rFonts w:cs="Times New Roman"/>
                <w:noProof/>
                <w:lang w:val="sk-SK"/>
              </w:rPr>
              <w:t>Míľnik/cieľ</w:t>
            </w:r>
          </w:p>
        </w:tc>
        <w:tc>
          <w:tcPr>
            <w:tcW w:w="228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869D186" w14:textId="77777777" w:rsidR="002D49B0" w:rsidRPr="00083739" w:rsidRDefault="00BF4125">
            <w:pPr>
              <w:pStyle w:val="P68B1DB1-Normal7"/>
              <w:keepNext/>
              <w:spacing w:before="40" w:after="0" w:line="256" w:lineRule="auto"/>
              <w:jc w:val="center"/>
              <w:rPr>
                <w:rFonts w:eastAsia="Times New Roman" w:cs="Times New Roman"/>
                <w:bCs/>
                <w:noProof/>
                <w:szCs w:val="18"/>
                <w:lang w:val="sk-SK"/>
              </w:rPr>
            </w:pPr>
            <w:r w:rsidRPr="00083739">
              <w:rPr>
                <w:rFonts w:cs="Times New Roman"/>
                <w:noProof/>
                <w:lang w:val="sk-SK"/>
              </w:rPr>
              <w:t>Názov</w:t>
            </w:r>
          </w:p>
        </w:tc>
      </w:tr>
      <w:tr w:rsidR="002D49B0" w:rsidRPr="00083739" w14:paraId="385E1E89" w14:textId="77777777">
        <w:trPr>
          <w:trHeight w:val="990"/>
        </w:trPr>
        <w:tc>
          <w:tcPr>
            <w:tcW w:w="1795" w:type="dxa"/>
            <w:vMerge/>
            <w:tcBorders>
              <w:top w:val="single" w:sz="4" w:space="0" w:color="auto"/>
              <w:left w:val="single" w:sz="4" w:space="0" w:color="auto"/>
              <w:bottom w:val="single" w:sz="4" w:space="0" w:color="auto"/>
              <w:right w:val="single" w:sz="4" w:space="0" w:color="auto"/>
            </w:tcBorders>
            <w:vAlign w:val="center"/>
            <w:hideMark/>
          </w:tcPr>
          <w:p w14:paraId="52715320" w14:textId="77777777" w:rsidR="002D49B0" w:rsidRPr="00083739" w:rsidRDefault="002D49B0">
            <w:pPr>
              <w:spacing w:after="0"/>
              <w:rPr>
                <w:rFonts w:ascii="Times New Roman" w:eastAsia="Times New Roman" w:hAnsi="Times New Roman" w:cs="Times New Roman"/>
                <w:noProof/>
                <w:sz w:val="18"/>
                <w:szCs w:val="18"/>
                <w:lang w:val="sk-SK"/>
              </w:rPr>
            </w:pPr>
          </w:p>
        </w:tc>
        <w:tc>
          <w:tcPr>
            <w:tcW w:w="4320" w:type="dxa"/>
            <w:vMerge/>
            <w:tcBorders>
              <w:top w:val="single" w:sz="4" w:space="0" w:color="auto"/>
              <w:left w:val="single" w:sz="4" w:space="0" w:color="auto"/>
              <w:bottom w:val="single" w:sz="4" w:space="0" w:color="auto"/>
              <w:right w:val="single" w:sz="4" w:space="0" w:color="auto"/>
            </w:tcBorders>
            <w:vAlign w:val="center"/>
            <w:hideMark/>
          </w:tcPr>
          <w:p w14:paraId="608EDCF2" w14:textId="77777777" w:rsidR="002D49B0" w:rsidRPr="00083739" w:rsidRDefault="002D49B0">
            <w:pPr>
              <w:spacing w:after="0"/>
              <w:rPr>
                <w:rFonts w:ascii="Times New Roman" w:eastAsia="Times New Roman" w:hAnsi="Times New Roman" w:cs="Times New Roman"/>
                <w:noProof/>
                <w:sz w:val="18"/>
                <w:szCs w:val="18"/>
                <w:lang w:val="sk-SK"/>
              </w:rPr>
            </w:pPr>
          </w:p>
        </w:tc>
        <w:tc>
          <w:tcPr>
            <w:tcW w:w="1680" w:type="dxa"/>
            <w:vMerge/>
            <w:tcBorders>
              <w:top w:val="single" w:sz="4" w:space="0" w:color="auto"/>
              <w:left w:val="single" w:sz="4" w:space="0" w:color="auto"/>
              <w:bottom w:val="single" w:sz="4" w:space="0" w:color="auto"/>
              <w:right w:val="single" w:sz="4" w:space="0" w:color="auto"/>
            </w:tcBorders>
            <w:vAlign w:val="center"/>
            <w:hideMark/>
          </w:tcPr>
          <w:p w14:paraId="63BF2673" w14:textId="77777777" w:rsidR="002D49B0" w:rsidRPr="00083739" w:rsidRDefault="002D49B0">
            <w:pPr>
              <w:spacing w:after="0"/>
              <w:rPr>
                <w:rFonts w:ascii="Times New Roman" w:eastAsia="Times New Roman" w:hAnsi="Times New Roman" w:cs="Times New Roman"/>
                <w:noProof/>
                <w:sz w:val="18"/>
                <w:szCs w:val="18"/>
                <w:lang w:val="sk-SK"/>
              </w:rPr>
            </w:pPr>
          </w:p>
        </w:tc>
        <w:tc>
          <w:tcPr>
            <w:tcW w:w="2280" w:type="dxa"/>
            <w:vMerge/>
            <w:tcBorders>
              <w:top w:val="single" w:sz="4" w:space="0" w:color="auto"/>
              <w:left w:val="single" w:sz="4" w:space="0" w:color="auto"/>
              <w:bottom w:val="single" w:sz="4" w:space="0" w:color="auto"/>
              <w:right w:val="single" w:sz="4" w:space="0" w:color="auto"/>
            </w:tcBorders>
            <w:vAlign w:val="center"/>
            <w:hideMark/>
          </w:tcPr>
          <w:p w14:paraId="3732F141" w14:textId="77777777" w:rsidR="002D49B0" w:rsidRPr="00083739" w:rsidRDefault="002D49B0">
            <w:pPr>
              <w:spacing w:after="0"/>
              <w:rPr>
                <w:rFonts w:ascii="Times New Roman" w:eastAsia="Times New Roman" w:hAnsi="Times New Roman" w:cs="Times New Roman"/>
                <w:noProof/>
                <w:sz w:val="18"/>
                <w:szCs w:val="18"/>
                <w:lang w:val="sk-SK"/>
              </w:rPr>
            </w:pPr>
          </w:p>
        </w:tc>
      </w:tr>
      <w:tr w:rsidR="002D49B0" w:rsidRPr="00083739" w14:paraId="12923ECA" w14:textId="77777777">
        <w:trPr>
          <w:trHeight w:val="302"/>
        </w:trPr>
        <w:tc>
          <w:tcPr>
            <w:tcW w:w="1795"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0DC63208"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3</w:t>
            </w:r>
          </w:p>
        </w:tc>
        <w:tc>
          <w:tcPr>
            <w:tcW w:w="4320" w:type="dxa"/>
            <w:tcBorders>
              <w:top w:val="single" w:sz="4" w:space="0" w:color="auto"/>
              <w:left w:val="nil"/>
              <w:bottom w:val="single" w:sz="4" w:space="0" w:color="auto"/>
              <w:right w:val="single" w:sz="4" w:space="0" w:color="auto"/>
            </w:tcBorders>
            <w:shd w:val="clear" w:color="auto" w:fill="C6EFCE"/>
            <w:noWrap/>
            <w:vAlign w:val="center"/>
            <w:hideMark/>
          </w:tcPr>
          <w:p w14:paraId="077A2298" w14:textId="75DE408C"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 1 – 1.1. Power up</w:t>
            </w:r>
            <w:r w:rsidRPr="00083739">
              <w:rPr>
                <w:rFonts w:cs="Times New Roman"/>
                <w:noProof/>
                <w:lang w:val="sk-SK"/>
              </w:rPr>
              <w:t xml:space="preserve"> – 16870_Intervencie týkajúce sa prepojenia elektrických sietí ostrovov</w:t>
            </w:r>
            <w:r w:rsidR="00083739" w:rsidRPr="00083739">
              <w:rPr>
                <w:rFonts w:cs="Times New Roman"/>
                <w:noProof/>
                <w:lang w:val="sk-SK"/>
              </w:rPr>
              <w:t xml:space="preserve"> a </w:t>
            </w:r>
            <w:r w:rsidRPr="00083739">
              <w:rPr>
                <w:rFonts w:cs="Times New Roman"/>
                <w:noProof/>
                <w:lang w:val="sk-SK"/>
              </w:rPr>
              <w:t>modernizácie elektrizačnej sústavy</w:t>
            </w:r>
          </w:p>
        </w:tc>
        <w:tc>
          <w:tcPr>
            <w:tcW w:w="1680" w:type="dxa"/>
            <w:tcBorders>
              <w:top w:val="single" w:sz="4" w:space="0" w:color="auto"/>
              <w:left w:val="nil"/>
              <w:bottom w:val="single" w:sz="4" w:space="0" w:color="auto"/>
              <w:right w:val="single" w:sz="4" w:space="0" w:color="auto"/>
            </w:tcBorders>
            <w:shd w:val="clear" w:color="auto" w:fill="C6EFCE"/>
            <w:noWrap/>
            <w:vAlign w:val="center"/>
            <w:hideMark/>
          </w:tcPr>
          <w:p w14:paraId="738DD1D8"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Míľnik</w:t>
            </w:r>
          </w:p>
        </w:tc>
        <w:tc>
          <w:tcPr>
            <w:tcW w:w="2280" w:type="dxa"/>
            <w:tcBorders>
              <w:top w:val="single" w:sz="4" w:space="0" w:color="auto"/>
              <w:left w:val="nil"/>
              <w:bottom w:val="single" w:sz="4" w:space="0" w:color="auto"/>
              <w:right w:val="single" w:sz="4" w:space="0" w:color="auto"/>
            </w:tcBorders>
            <w:shd w:val="clear" w:color="auto" w:fill="C6EFCE"/>
            <w:noWrap/>
            <w:vAlign w:val="center"/>
            <w:hideMark/>
          </w:tcPr>
          <w:p w14:paraId="22B84741"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Prepojenie ostrovov – dokončenie</w:t>
            </w:r>
          </w:p>
        </w:tc>
      </w:tr>
      <w:tr w:rsidR="002D49B0" w:rsidRPr="00083739" w14:paraId="4FE1E2EE"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0F7F8B60"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15</w:t>
            </w:r>
          </w:p>
        </w:tc>
        <w:tc>
          <w:tcPr>
            <w:tcW w:w="4320" w:type="dxa"/>
            <w:tcBorders>
              <w:top w:val="nil"/>
              <w:left w:val="nil"/>
              <w:bottom w:val="single" w:sz="4" w:space="0" w:color="auto"/>
              <w:right w:val="single" w:sz="4" w:space="0" w:color="auto"/>
            </w:tcBorders>
            <w:shd w:val="clear" w:color="auto" w:fill="C6EFCE"/>
            <w:noWrap/>
            <w:vAlign w:val="center"/>
            <w:hideMark/>
          </w:tcPr>
          <w:p w14:paraId="2B1299FF"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 – 1.1. Power up</w:t>
            </w:r>
            <w:r w:rsidRPr="00083739">
              <w:rPr>
                <w:rFonts w:cs="Times New Roman"/>
                <w:noProof/>
                <w:lang w:val="sk-SK"/>
              </w:rPr>
              <w:t xml:space="preserve"> – 16871_Revitalizačné opatrenia najviac postihnutých území (územia spravodlivej transformácie)</w:t>
            </w:r>
          </w:p>
        </w:tc>
        <w:tc>
          <w:tcPr>
            <w:tcW w:w="1680" w:type="dxa"/>
            <w:tcBorders>
              <w:top w:val="nil"/>
              <w:left w:val="nil"/>
              <w:bottom w:val="single" w:sz="4" w:space="0" w:color="auto"/>
              <w:right w:val="single" w:sz="4" w:space="0" w:color="auto"/>
            </w:tcBorders>
            <w:shd w:val="clear" w:color="auto" w:fill="C6EFCE"/>
            <w:noWrap/>
            <w:vAlign w:val="center"/>
            <w:hideMark/>
          </w:tcPr>
          <w:p w14:paraId="03AAA75A"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Cieľ</w:t>
            </w:r>
          </w:p>
        </w:tc>
        <w:tc>
          <w:tcPr>
            <w:tcW w:w="2280" w:type="dxa"/>
            <w:tcBorders>
              <w:top w:val="nil"/>
              <w:left w:val="nil"/>
              <w:bottom w:val="single" w:sz="4" w:space="0" w:color="auto"/>
              <w:right w:val="single" w:sz="4" w:space="0" w:color="auto"/>
            </w:tcBorders>
            <w:shd w:val="clear" w:color="auto" w:fill="C6EFCE"/>
            <w:noWrap/>
            <w:vAlign w:val="center"/>
            <w:hideMark/>
          </w:tcPr>
          <w:p w14:paraId="44E2E7C2"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Rekultivácia pôdy – dokončenie</w:t>
            </w:r>
          </w:p>
        </w:tc>
      </w:tr>
      <w:tr w:rsidR="002D49B0" w:rsidRPr="00083739" w14:paraId="6B88497D"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27CB9C0E"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16</w:t>
            </w:r>
          </w:p>
        </w:tc>
        <w:tc>
          <w:tcPr>
            <w:tcW w:w="4320" w:type="dxa"/>
            <w:tcBorders>
              <w:top w:val="nil"/>
              <w:left w:val="nil"/>
              <w:bottom w:val="single" w:sz="4" w:space="0" w:color="auto"/>
              <w:right w:val="single" w:sz="4" w:space="0" w:color="auto"/>
            </w:tcBorders>
            <w:shd w:val="clear" w:color="auto" w:fill="C6EFCE"/>
            <w:noWrap/>
            <w:vAlign w:val="center"/>
            <w:hideMark/>
          </w:tcPr>
          <w:p w14:paraId="492E8586"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 – 1.1. Napájanie – 16926_Podpora inštalácie systémov uskladnenia na zlepšenie prieniku OZE</w:t>
            </w:r>
          </w:p>
        </w:tc>
        <w:tc>
          <w:tcPr>
            <w:tcW w:w="1680" w:type="dxa"/>
            <w:tcBorders>
              <w:top w:val="nil"/>
              <w:left w:val="nil"/>
              <w:bottom w:val="single" w:sz="4" w:space="0" w:color="auto"/>
              <w:right w:val="single" w:sz="4" w:space="0" w:color="auto"/>
            </w:tcBorders>
            <w:shd w:val="clear" w:color="auto" w:fill="C6EFCE"/>
            <w:noWrap/>
            <w:vAlign w:val="center"/>
            <w:hideMark/>
          </w:tcPr>
          <w:p w14:paraId="18C5479D"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63591505"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 xml:space="preserve">Uskladňovanie </w:t>
            </w:r>
            <w:r w:rsidRPr="00083739">
              <w:rPr>
                <w:rFonts w:cs="Times New Roman"/>
                <w:noProof/>
                <w:lang w:val="sk-SK"/>
              </w:rPr>
              <w:t>energie – dokončenie</w:t>
            </w:r>
          </w:p>
        </w:tc>
      </w:tr>
      <w:tr w:rsidR="002D49B0" w:rsidRPr="00083739" w14:paraId="7AD56202"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66783718"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17</w:t>
            </w:r>
          </w:p>
        </w:tc>
        <w:tc>
          <w:tcPr>
            <w:tcW w:w="4320" w:type="dxa"/>
            <w:tcBorders>
              <w:top w:val="nil"/>
              <w:left w:val="nil"/>
              <w:bottom w:val="single" w:sz="4" w:space="0" w:color="auto"/>
              <w:right w:val="single" w:sz="4" w:space="0" w:color="auto"/>
            </w:tcBorders>
            <w:shd w:val="clear" w:color="auto" w:fill="C6EFCE"/>
            <w:noWrap/>
            <w:vAlign w:val="center"/>
            <w:hideMark/>
          </w:tcPr>
          <w:p w14:paraId="2CE68922" w14:textId="617DF12A"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 – 1.1. Power up – 16901_HEDNO modernizácia siete zameraná na zvýšenie odolnosti</w:t>
            </w:r>
            <w:r w:rsidR="00083739" w:rsidRPr="00083739">
              <w:rPr>
                <w:rFonts w:cs="Times New Roman"/>
                <w:noProof/>
                <w:lang w:val="sk-SK"/>
              </w:rPr>
              <w:t xml:space="preserve"> a </w:t>
            </w:r>
            <w:r w:rsidRPr="00083739">
              <w:rPr>
                <w:rFonts w:cs="Times New Roman"/>
                <w:noProof/>
                <w:lang w:val="sk-SK"/>
              </w:rPr>
              <w:t>ochranu životného prostredia</w:t>
            </w:r>
          </w:p>
        </w:tc>
        <w:tc>
          <w:tcPr>
            <w:tcW w:w="1680" w:type="dxa"/>
            <w:tcBorders>
              <w:top w:val="nil"/>
              <w:left w:val="nil"/>
              <w:bottom w:val="single" w:sz="4" w:space="0" w:color="auto"/>
              <w:right w:val="single" w:sz="4" w:space="0" w:color="auto"/>
            </w:tcBorders>
            <w:shd w:val="clear" w:color="auto" w:fill="C6EFCE"/>
            <w:noWrap/>
            <w:vAlign w:val="center"/>
            <w:hideMark/>
          </w:tcPr>
          <w:p w14:paraId="2327A908"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438C5CEA"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HEDNO – dokončenie 1</w:t>
            </w:r>
          </w:p>
        </w:tc>
      </w:tr>
      <w:tr w:rsidR="002D49B0" w:rsidRPr="00083739" w14:paraId="07F40788"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671DE13B"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18</w:t>
            </w:r>
          </w:p>
        </w:tc>
        <w:tc>
          <w:tcPr>
            <w:tcW w:w="4320" w:type="dxa"/>
            <w:tcBorders>
              <w:top w:val="nil"/>
              <w:left w:val="nil"/>
              <w:bottom w:val="single" w:sz="4" w:space="0" w:color="auto"/>
              <w:right w:val="single" w:sz="4" w:space="0" w:color="auto"/>
            </w:tcBorders>
            <w:shd w:val="clear" w:color="auto" w:fill="C6EFCE"/>
            <w:noWrap/>
            <w:vAlign w:val="center"/>
            <w:hideMark/>
          </w:tcPr>
          <w:p w14:paraId="0056940A" w14:textId="49221D16"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 – 1.1. Power up – 16900_HEDNO – modernizácia nadzemnej siete</w:t>
            </w:r>
            <w:r w:rsidR="00083739" w:rsidRPr="00083739">
              <w:rPr>
                <w:rFonts w:cs="Times New Roman"/>
                <w:noProof/>
                <w:lang w:val="sk-SK"/>
              </w:rPr>
              <w:t xml:space="preserve"> v </w:t>
            </w:r>
            <w:r w:rsidRPr="00083739">
              <w:rPr>
                <w:rFonts w:cs="Times New Roman"/>
                <w:noProof/>
                <w:lang w:val="sk-SK"/>
              </w:rPr>
              <w:t>lesných oblastiach</w:t>
            </w:r>
          </w:p>
        </w:tc>
        <w:tc>
          <w:tcPr>
            <w:tcW w:w="1680" w:type="dxa"/>
            <w:tcBorders>
              <w:top w:val="nil"/>
              <w:left w:val="nil"/>
              <w:bottom w:val="single" w:sz="4" w:space="0" w:color="auto"/>
              <w:right w:val="single" w:sz="4" w:space="0" w:color="auto"/>
            </w:tcBorders>
            <w:shd w:val="clear" w:color="auto" w:fill="C6EFCE"/>
            <w:noWrap/>
            <w:vAlign w:val="center"/>
            <w:hideMark/>
          </w:tcPr>
          <w:p w14:paraId="147A03ED"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27F548BB"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HEDNO – dokončenie 2</w:t>
            </w:r>
          </w:p>
        </w:tc>
      </w:tr>
      <w:tr w:rsidR="002D49B0" w:rsidRPr="00083739" w14:paraId="14EC82B6"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37D1B10B"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19</w:t>
            </w:r>
          </w:p>
        </w:tc>
        <w:tc>
          <w:tcPr>
            <w:tcW w:w="4320" w:type="dxa"/>
            <w:tcBorders>
              <w:top w:val="nil"/>
              <w:left w:val="nil"/>
              <w:bottom w:val="single" w:sz="4" w:space="0" w:color="auto"/>
              <w:right w:val="single" w:sz="4" w:space="0" w:color="auto"/>
            </w:tcBorders>
            <w:shd w:val="clear" w:color="auto" w:fill="C6EFCE"/>
            <w:noWrap/>
            <w:vAlign w:val="center"/>
            <w:hideMark/>
          </w:tcPr>
          <w:p w14:paraId="0281B529" w14:textId="14D0C682"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 – 1.1. Napájanie – 16899_Inštalované zvýšenie kapacity</w:t>
            </w:r>
            <w:r w:rsidR="00083739" w:rsidRPr="00083739">
              <w:rPr>
                <w:rFonts w:cs="Times New Roman"/>
                <w:noProof/>
                <w:lang w:val="sk-SK"/>
              </w:rPr>
              <w:t xml:space="preserve"> v </w:t>
            </w:r>
            <w:r w:rsidRPr="00083739">
              <w:rPr>
                <w:rFonts w:cs="Times New Roman"/>
                <w:noProof/>
                <w:lang w:val="sk-SK"/>
              </w:rPr>
              <w:t>HV/MV rozvodniach gréckeho prevádzkovateľa distribučnej siete (HEDNO) pre nové pripojenie OZE</w:t>
            </w:r>
          </w:p>
        </w:tc>
        <w:tc>
          <w:tcPr>
            <w:tcW w:w="1680" w:type="dxa"/>
            <w:tcBorders>
              <w:top w:val="nil"/>
              <w:left w:val="nil"/>
              <w:bottom w:val="single" w:sz="4" w:space="0" w:color="auto"/>
              <w:right w:val="single" w:sz="4" w:space="0" w:color="auto"/>
            </w:tcBorders>
            <w:shd w:val="clear" w:color="auto" w:fill="C6EFCE"/>
            <w:noWrap/>
            <w:vAlign w:val="center"/>
            <w:hideMark/>
          </w:tcPr>
          <w:p w14:paraId="450FA848"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04B7A974"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HEDNO – dokončenie 3</w:t>
            </w:r>
          </w:p>
        </w:tc>
      </w:tr>
      <w:tr w:rsidR="002D49B0" w:rsidRPr="00083739" w14:paraId="66DDBB2C"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505F431A"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25</w:t>
            </w:r>
          </w:p>
        </w:tc>
        <w:tc>
          <w:tcPr>
            <w:tcW w:w="4320" w:type="dxa"/>
            <w:tcBorders>
              <w:top w:val="nil"/>
              <w:left w:val="nil"/>
              <w:bottom w:val="single" w:sz="4" w:space="0" w:color="auto"/>
              <w:right w:val="single" w:sz="4" w:space="0" w:color="auto"/>
            </w:tcBorders>
            <w:shd w:val="clear" w:color="auto" w:fill="C6EFCE"/>
            <w:noWrap/>
            <w:vAlign w:val="center"/>
            <w:hideMark/>
          </w:tcPr>
          <w:p w14:paraId="719E251E"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 xml:space="preserve">2 – 1.2. Renovácia – 16872_Energetická </w:t>
            </w:r>
            <w:r w:rsidRPr="00083739">
              <w:rPr>
                <w:rFonts w:cs="Times New Roman"/>
                <w:noProof/>
                <w:lang w:val="sk-SK"/>
              </w:rPr>
              <w:t>obnova obytných budov</w:t>
            </w:r>
          </w:p>
        </w:tc>
        <w:tc>
          <w:tcPr>
            <w:tcW w:w="1680" w:type="dxa"/>
            <w:tcBorders>
              <w:top w:val="nil"/>
              <w:left w:val="nil"/>
              <w:bottom w:val="single" w:sz="4" w:space="0" w:color="auto"/>
              <w:right w:val="single" w:sz="4" w:space="0" w:color="auto"/>
            </w:tcBorders>
            <w:shd w:val="clear" w:color="auto" w:fill="C6EFCE"/>
            <w:noWrap/>
            <w:vAlign w:val="center"/>
            <w:hideMark/>
          </w:tcPr>
          <w:p w14:paraId="5B02E695"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Cieľ</w:t>
            </w:r>
          </w:p>
        </w:tc>
        <w:tc>
          <w:tcPr>
            <w:tcW w:w="2280" w:type="dxa"/>
            <w:tcBorders>
              <w:top w:val="nil"/>
              <w:left w:val="nil"/>
              <w:bottom w:val="single" w:sz="4" w:space="0" w:color="auto"/>
              <w:right w:val="single" w:sz="4" w:space="0" w:color="auto"/>
            </w:tcBorders>
            <w:shd w:val="clear" w:color="auto" w:fill="C6EFCE"/>
            <w:noWrap/>
            <w:vAlign w:val="center"/>
            <w:hideMark/>
          </w:tcPr>
          <w:p w14:paraId="1954D78B"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Obnova obytných budov – zelená energia vyrobená pre energeticky chudobné domácnosti</w:t>
            </w:r>
          </w:p>
        </w:tc>
      </w:tr>
      <w:tr w:rsidR="002D49B0" w:rsidRPr="00083739" w14:paraId="337F1C4E"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6362725B"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26</w:t>
            </w:r>
          </w:p>
        </w:tc>
        <w:tc>
          <w:tcPr>
            <w:tcW w:w="4320" w:type="dxa"/>
            <w:tcBorders>
              <w:top w:val="nil"/>
              <w:left w:val="nil"/>
              <w:bottom w:val="single" w:sz="4" w:space="0" w:color="auto"/>
              <w:right w:val="single" w:sz="4" w:space="0" w:color="auto"/>
            </w:tcBorders>
            <w:shd w:val="clear" w:color="auto" w:fill="C6EFCE"/>
            <w:noWrap/>
            <w:vAlign w:val="center"/>
            <w:hideMark/>
          </w:tcPr>
          <w:p w14:paraId="52C9F210"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 – 1.2. Renovácia – 16872_Energetická obnova obytných budov</w:t>
            </w:r>
          </w:p>
        </w:tc>
        <w:tc>
          <w:tcPr>
            <w:tcW w:w="1680" w:type="dxa"/>
            <w:tcBorders>
              <w:top w:val="nil"/>
              <w:left w:val="nil"/>
              <w:bottom w:val="single" w:sz="4" w:space="0" w:color="auto"/>
              <w:right w:val="single" w:sz="4" w:space="0" w:color="auto"/>
            </w:tcBorders>
            <w:shd w:val="clear" w:color="auto" w:fill="C6EFCE"/>
            <w:noWrap/>
            <w:vAlign w:val="center"/>
            <w:hideMark/>
          </w:tcPr>
          <w:p w14:paraId="285823F5"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Cieľ</w:t>
            </w:r>
          </w:p>
        </w:tc>
        <w:tc>
          <w:tcPr>
            <w:tcW w:w="2280" w:type="dxa"/>
            <w:tcBorders>
              <w:top w:val="nil"/>
              <w:left w:val="nil"/>
              <w:bottom w:val="single" w:sz="4" w:space="0" w:color="auto"/>
              <w:right w:val="single" w:sz="4" w:space="0" w:color="auto"/>
            </w:tcBorders>
            <w:shd w:val="clear" w:color="auto" w:fill="C6EFCE"/>
            <w:noWrap/>
            <w:vAlign w:val="center"/>
            <w:hideMark/>
          </w:tcPr>
          <w:p w14:paraId="5868472B"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Obnova obytných jednotiek – obnova obydlí #3</w:t>
            </w:r>
          </w:p>
        </w:tc>
      </w:tr>
      <w:tr w:rsidR="002D49B0" w:rsidRPr="00083739" w14:paraId="27DECAF3"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2E6DB474"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29</w:t>
            </w:r>
          </w:p>
        </w:tc>
        <w:tc>
          <w:tcPr>
            <w:tcW w:w="4320" w:type="dxa"/>
            <w:tcBorders>
              <w:top w:val="nil"/>
              <w:left w:val="nil"/>
              <w:bottom w:val="single" w:sz="4" w:space="0" w:color="auto"/>
              <w:right w:val="single" w:sz="4" w:space="0" w:color="auto"/>
            </w:tcBorders>
            <w:shd w:val="clear" w:color="auto" w:fill="C6EFCE"/>
            <w:noWrap/>
            <w:vAlign w:val="center"/>
            <w:hideMark/>
          </w:tcPr>
          <w:p w14:paraId="41B090FF"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 xml:space="preserve">2 – 1.2. Renovácia – </w:t>
            </w:r>
            <w:r w:rsidRPr="00083739">
              <w:rPr>
                <w:rFonts w:cs="Times New Roman"/>
                <w:noProof/>
                <w:lang w:val="sk-SK"/>
              </w:rPr>
              <w:t>16879_Príprava mestských plánov pri vykonávaní reformy mestskej politiky</w:t>
            </w:r>
          </w:p>
        </w:tc>
        <w:tc>
          <w:tcPr>
            <w:tcW w:w="1680" w:type="dxa"/>
            <w:tcBorders>
              <w:top w:val="nil"/>
              <w:left w:val="nil"/>
              <w:bottom w:val="single" w:sz="4" w:space="0" w:color="auto"/>
              <w:right w:val="single" w:sz="4" w:space="0" w:color="auto"/>
            </w:tcBorders>
            <w:shd w:val="clear" w:color="auto" w:fill="C6EFCE"/>
            <w:noWrap/>
            <w:vAlign w:val="center"/>
            <w:hideMark/>
          </w:tcPr>
          <w:p w14:paraId="2DB74BB9" w14:textId="035A0E0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6BE0BDD0"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Dokončenie územného plánovania</w:t>
            </w:r>
          </w:p>
        </w:tc>
      </w:tr>
      <w:tr w:rsidR="002D49B0" w:rsidRPr="00083739" w14:paraId="3FCAA1B7"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291CA5D2"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30</w:t>
            </w:r>
          </w:p>
        </w:tc>
        <w:tc>
          <w:tcPr>
            <w:tcW w:w="4320" w:type="dxa"/>
            <w:tcBorders>
              <w:top w:val="nil"/>
              <w:left w:val="nil"/>
              <w:bottom w:val="single" w:sz="4" w:space="0" w:color="auto"/>
              <w:right w:val="single" w:sz="4" w:space="0" w:color="auto"/>
            </w:tcBorders>
            <w:shd w:val="clear" w:color="auto" w:fill="C6EFCE"/>
            <w:noWrap/>
            <w:vAlign w:val="center"/>
            <w:hideMark/>
          </w:tcPr>
          <w:p w14:paraId="4B121F16" w14:textId="1E329C2E"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 – 1.2. Renovácia – 16894_Zriadenie nového špeciálneho územného plánovania pre obnoviteľné zdroje energie, priemysel</w:t>
            </w:r>
            <w:r w:rsidR="00083739" w:rsidRPr="00083739">
              <w:rPr>
                <w:rFonts w:cs="Times New Roman"/>
                <w:noProof/>
                <w:lang w:val="sk-SK"/>
              </w:rPr>
              <w:t xml:space="preserve"> a </w:t>
            </w:r>
            <w:r w:rsidRPr="00083739">
              <w:rPr>
                <w:rFonts w:cs="Times New Roman"/>
                <w:noProof/>
                <w:lang w:val="sk-SK"/>
              </w:rPr>
              <w:t>cestovný ruch</w:t>
            </w:r>
          </w:p>
        </w:tc>
        <w:tc>
          <w:tcPr>
            <w:tcW w:w="1680" w:type="dxa"/>
            <w:tcBorders>
              <w:top w:val="nil"/>
              <w:left w:val="nil"/>
              <w:bottom w:val="single" w:sz="4" w:space="0" w:color="auto"/>
              <w:right w:val="single" w:sz="4" w:space="0" w:color="auto"/>
            </w:tcBorders>
            <w:shd w:val="clear" w:color="auto" w:fill="C6EFCE"/>
            <w:noWrap/>
            <w:vAlign w:val="center"/>
            <w:hideMark/>
          </w:tcPr>
          <w:p w14:paraId="113F78DE"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4B0CA960"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Prijatie osobitných priestorových rámcov</w:t>
            </w:r>
          </w:p>
        </w:tc>
      </w:tr>
      <w:tr w:rsidR="002D49B0" w:rsidRPr="00083739" w14:paraId="4C47DFAB"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03B3DD9E"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36</w:t>
            </w:r>
          </w:p>
        </w:tc>
        <w:tc>
          <w:tcPr>
            <w:tcW w:w="4320" w:type="dxa"/>
            <w:tcBorders>
              <w:top w:val="nil"/>
              <w:left w:val="nil"/>
              <w:bottom w:val="single" w:sz="4" w:space="0" w:color="auto"/>
              <w:right w:val="single" w:sz="4" w:space="0" w:color="auto"/>
            </w:tcBorders>
            <w:shd w:val="clear" w:color="auto" w:fill="C6EFCE"/>
            <w:noWrap/>
            <w:vAlign w:val="center"/>
            <w:hideMark/>
          </w:tcPr>
          <w:p w14:paraId="2649A4EE" w14:textId="51A4CBDB"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 – 1.2. Renovácia – 16874_Energia</w:t>
            </w:r>
            <w:r w:rsidR="00083739" w:rsidRPr="00083739">
              <w:rPr>
                <w:rFonts w:cs="Times New Roman"/>
                <w:noProof/>
                <w:lang w:val="sk-SK"/>
              </w:rPr>
              <w:t xml:space="preserve"> a </w:t>
            </w:r>
            <w:r w:rsidRPr="00083739">
              <w:rPr>
                <w:rFonts w:cs="Times New Roman"/>
                <w:noProof/>
                <w:lang w:val="sk-SK"/>
              </w:rPr>
              <w:t>podnikanie</w:t>
            </w:r>
          </w:p>
        </w:tc>
        <w:tc>
          <w:tcPr>
            <w:tcW w:w="1680" w:type="dxa"/>
            <w:tcBorders>
              <w:top w:val="nil"/>
              <w:left w:val="nil"/>
              <w:bottom w:val="single" w:sz="4" w:space="0" w:color="auto"/>
              <w:right w:val="single" w:sz="4" w:space="0" w:color="auto"/>
            </w:tcBorders>
            <w:shd w:val="clear" w:color="auto" w:fill="C6EFCE"/>
            <w:noWrap/>
            <w:vAlign w:val="center"/>
            <w:hideMark/>
          </w:tcPr>
          <w:p w14:paraId="72491094"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Cieľ</w:t>
            </w:r>
          </w:p>
        </w:tc>
        <w:tc>
          <w:tcPr>
            <w:tcW w:w="2280" w:type="dxa"/>
            <w:tcBorders>
              <w:top w:val="nil"/>
              <w:left w:val="nil"/>
              <w:bottom w:val="single" w:sz="4" w:space="0" w:color="auto"/>
              <w:right w:val="single" w:sz="4" w:space="0" w:color="auto"/>
            </w:tcBorders>
            <w:shd w:val="clear" w:color="auto" w:fill="C6EFCE"/>
            <w:noWrap/>
            <w:vAlign w:val="center"/>
            <w:hideMark/>
          </w:tcPr>
          <w:p w14:paraId="780E00F6"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Energetická efektívnosť súkromný sektor – dokončený #2</w:t>
            </w:r>
          </w:p>
        </w:tc>
      </w:tr>
      <w:tr w:rsidR="002D49B0" w:rsidRPr="00083739" w14:paraId="3C3460B4"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7C5C7829"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39</w:t>
            </w:r>
          </w:p>
        </w:tc>
        <w:tc>
          <w:tcPr>
            <w:tcW w:w="4320" w:type="dxa"/>
            <w:tcBorders>
              <w:top w:val="nil"/>
              <w:left w:val="nil"/>
              <w:bottom w:val="single" w:sz="4" w:space="0" w:color="auto"/>
              <w:right w:val="single" w:sz="4" w:space="0" w:color="auto"/>
            </w:tcBorders>
            <w:shd w:val="clear" w:color="auto" w:fill="C6EFCE"/>
            <w:noWrap/>
            <w:vAlign w:val="center"/>
            <w:hideMark/>
          </w:tcPr>
          <w:p w14:paraId="027AC352" w14:textId="740A716D"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2 – 1.2. Renovácia – 16932_Olympicové atletické centrum</w:t>
            </w:r>
            <w:r w:rsidR="00083739" w:rsidRPr="00083739">
              <w:rPr>
                <w:rFonts w:cs="Times New Roman"/>
                <w:noProof/>
                <w:lang w:val="sk-SK"/>
              </w:rPr>
              <w:t xml:space="preserve"> v </w:t>
            </w:r>
            <w:r w:rsidRPr="00083739">
              <w:rPr>
                <w:rFonts w:cs="Times New Roman"/>
                <w:noProof/>
                <w:lang w:val="sk-SK"/>
              </w:rPr>
              <w:t>Aténach</w:t>
            </w:r>
          </w:p>
        </w:tc>
        <w:tc>
          <w:tcPr>
            <w:tcW w:w="1680" w:type="dxa"/>
            <w:tcBorders>
              <w:top w:val="nil"/>
              <w:left w:val="nil"/>
              <w:bottom w:val="single" w:sz="4" w:space="0" w:color="auto"/>
              <w:right w:val="single" w:sz="4" w:space="0" w:color="auto"/>
            </w:tcBorders>
            <w:shd w:val="clear" w:color="auto" w:fill="C6EFCE"/>
            <w:noWrap/>
            <w:vAlign w:val="center"/>
            <w:hideMark/>
          </w:tcPr>
          <w:p w14:paraId="3AA3CF2C"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394F8F2C"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 xml:space="preserve">OAKA – dokončenie prác </w:t>
            </w:r>
          </w:p>
        </w:tc>
      </w:tr>
      <w:tr w:rsidR="002D49B0" w:rsidRPr="00083739" w14:paraId="205CC05D"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406EAB70"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40</w:t>
            </w:r>
          </w:p>
        </w:tc>
        <w:tc>
          <w:tcPr>
            <w:tcW w:w="4320" w:type="dxa"/>
            <w:tcBorders>
              <w:top w:val="nil"/>
              <w:left w:val="nil"/>
              <w:bottom w:val="single" w:sz="4" w:space="0" w:color="auto"/>
              <w:right w:val="single" w:sz="4" w:space="0" w:color="auto"/>
            </w:tcBorders>
            <w:shd w:val="clear" w:color="auto" w:fill="C6EFCE"/>
            <w:noWrap/>
            <w:vAlign w:val="center"/>
            <w:hideMark/>
          </w:tcPr>
          <w:p w14:paraId="70B3BD8D" w14:textId="7F09522D"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 – 1.2. Renovácia – 16873_ – Intervencie</w:t>
            </w:r>
            <w:r w:rsidR="00083739" w:rsidRPr="00083739">
              <w:rPr>
                <w:rFonts w:cs="Times New Roman"/>
                <w:noProof/>
                <w:lang w:val="sk-SK"/>
              </w:rPr>
              <w:t xml:space="preserve"> v </w:t>
            </w:r>
            <w:r w:rsidRPr="00083739">
              <w:rPr>
                <w:rFonts w:cs="Times New Roman"/>
                <w:noProof/>
                <w:lang w:val="sk-SK"/>
              </w:rPr>
              <w:t>obytných oblastiach</w:t>
            </w:r>
            <w:r w:rsidR="00083739" w:rsidRPr="00083739">
              <w:rPr>
                <w:rFonts w:cs="Times New Roman"/>
                <w:noProof/>
                <w:lang w:val="sk-SK"/>
              </w:rPr>
              <w:t xml:space="preserve"> a </w:t>
            </w:r>
            <w:r w:rsidRPr="00083739">
              <w:rPr>
                <w:rFonts w:cs="Times New Roman"/>
                <w:noProof/>
                <w:lang w:val="sk-SK"/>
              </w:rPr>
              <w:t>vo fonde budov</w:t>
            </w:r>
          </w:p>
        </w:tc>
        <w:tc>
          <w:tcPr>
            <w:tcW w:w="1680" w:type="dxa"/>
            <w:tcBorders>
              <w:top w:val="nil"/>
              <w:left w:val="nil"/>
              <w:bottom w:val="single" w:sz="4" w:space="0" w:color="auto"/>
              <w:right w:val="single" w:sz="4" w:space="0" w:color="auto"/>
            </w:tcBorders>
            <w:shd w:val="clear" w:color="auto" w:fill="C6EFCE"/>
            <w:noWrap/>
            <w:vAlign w:val="center"/>
            <w:hideMark/>
          </w:tcPr>
          <w:p w14:paraId="3A7BD092"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3AFD3EBE"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Mestské zásahy – dokončenie všetkých prác</w:t>
            </w:r>
          </w:p>
        </w:tc>
      </w:tr>
      <w:tr w:rsidR="002D49B0" w:rsidRPr="00083739" w14:paraId="0B298F33"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214C7240"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41</w:t>
            </w:r>
          </w:p>
        </w:tc>
        <w:tc>
          <w:tcPr>
            <w:tcW w:w="4320" w:type="dxa"/>
            <w:tcBorders>
              <w:top w:val="nil"/>
              <w:left w:val="nil"/>
              <w:bottom w:val="single" w:sz="4" w:space="0" w:color="auto"/>
              <w:right w:val="single" w:sz="4" w:space="0" w:color="auto"/>
            </w:tcBorders>
            <w:shd w:val="clear" w:color="auto" w:fill="C6EFCE"/>
            <w:noWrap/>
            <w:vAlign w:val="center"/>
            <w:hideMark/>
          </w:tcPr>
          <w:p w14:paraId="0CC7B926" w14:textId="2B551274"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 – 1.2. Renovácia – 16875_Rozvoj infraštruktúry</w:t>
            </w:r>
            <w:r w:rsidR="00083739" w:rsidRPr="00083739">
              <w:rPr>
                <w:rFonts w:cs="Times New Roman"/>
                <w:noProof/>
                <w:lang w:val="sk-SK"/>
              </w:rPr>
              <w:t xml:space="preserve"> a </w:t>
            </w:r>
            <w:r w:rsidRPr="00083739">
              <w:rPr>
                <w:rFonts w:cs="Times New Roman"/>
                <w:noProof/>
                <w:lang w:val="sk-SK"/>
              </w:rPr>
              <w:t>obnova budov</w:t>
            </w:r>
            <w:r w:rsidR="00083739" w:rsidRPr="00083739">
              <w:rPr>
                <w:rFonts w:cs="Times New Roman"/>
                <w:noProof/>
                <w:lang w:val="sk-SK"/>
              </w:rPr>
              <w:t xml:space="preserve"> v </w:t>
            </w:r>
            <w:r w:rsidRPr="00083739">
              <w:rPr>
                <w:rFonts w:cs="Times New Roman"/>
                <w:noProof/>
                <w:lang w:val="sk-SK"/>
              </w:rPr>
              <w:t>bývalej kráľovskej nehnuteľnosti</w:t>
            </w:r>
            <w:r w:rsidR="00083739" w:rsidRPr="00083739">
              <w:rPr>
                <w:rFonts w:cs="Times New Roman"/>
                <w:noProof/>
                <w:lang w:val="sk-SK"/>
              </w:rPr>
              <w:t xml:space="preserve"> v </w:t>
            </w:r>
            <w:r w:rsidRPr="00083739">
              <w:rPr>
                <w:rFonts w:cs="Times New Roman"/>
                <w:noProof/>
                <w:lang w:val="sk-SK"/>
              </w:rPr>
              <w:t>Tatoi</w:t>
            </w:r>
          </w:p>
        </w:tc>
        <w:tc>
          <w:tcPr>
            <w:tcW w:w="1680" w:type="dxa"/>
            <w:tcBorders>
              <w:top w:val="nil"/>
              <w:left w:val="nil"/>
              <w:bottom w:val="single" w:sz="4" w:space="0" w:color="auto"/>
              <w:right w:val="single" w:sz="4" w:space="0" w:color="auto"/>
            </w:tcBorders>
            <w:shd w:val="clear" w:color="auto" w:fill="C6EFCE"/>
            <w:noWrap/>
            <w:vAlign w:val="center"/>
            <w:hideMark/>
          </w:tcPr>
          <w:p w14:paraId="6516AD9C"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320F2C77"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Tatoi</w:t>
            </w:r>
            <w:r w:rsidRPr="00083739">
              <w:rPr>
                <w:rFonts w:cs="Times New Roman"/>
                <w:noProof/>
                <w:lang w:val="sk-SK"/>
              </w:rPr>
              <w:t xml:space="preserve"> – dokončenie všetkých prác</w:t>
            </w:r>
          </w:p>
        </w:tc>
      </w:tr>
      <w:tr w:rsidR="002D49B0" w:rsidRPr="00083739" w14:paraId="70335378"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54675352" w14:textId="77777777"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52</w:t>
            </w:r>
          </w:p>
        </w:tc>
        <w:tc>
          <w:tcPr>
            <w:tcW w:w="4320" w:type="dxa"/>
            <w:tcBorders>
              <w:top w:val="nil"/>
              <w:left w:val="nil"/>
              <w:bottom w:val="single" w:sz="4" w:space="0" w:color="auto"/>
              <w:right w:val="single" w:sz="4" w:space="0" w:color="auto"/>
            </w:tcBorders>
            <w:shd w:val="clear" w:color="auto" w:fill="C6EFCE"/>
            <w:noWrap/>
            <w:vAlign w:val="center"/>
            <w:hideMark/>
          </w:tcPr>
          <w:p w14:paraId="1AF448AF" w14:textId="32D72D70"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3 – 1.3. Nabíjanie</w:t>
            </w:r>
            <w:r w:rsidR="00083739" w:rsidRPr="00083739">
              <w:rPr>
                <w:rFonts w:cs="Times New Roman"/>
                <w:noProof/>
                <w:lang w:val="sk-SK"/>
              </w:rPr>
              <w:t xml:space="preserve"> a </w:t>
            </w:r>
            <w:r w:rsidRPr="00083739">
              <w:rPr>
                <w:rFonts w:cs="Times New Roman"/>
                <w:noProof/>
                <w:lang w:val="sk-SK"/>
              </w:rPr>
              <w:t>dopĺňanie paliva – 16924_ elektromobilita</w:t>
            </w:r>
          </w:p>
        </w:tc>
        <w:tc>
          <w:tcPr>
            <w:tcW w:w="1680" w:type="dxa"/>
            <w:tcBorders>
              <w:top w:val="nil"/>
              <w:left w:val="nil"/>
              <w:bottom w:val="single" w:sz="4" w:space="0" w:color="auto"/>
              <w:right w:val="single" w:sz="4" w:space="0" w:color="auto"/>
            </w:tcBorders>
            <w:shd w:val="clear" w:color="auto" w:fill="C6EFCE"/>
            <w:noWrap/>
            <w:vAlign w:val="center"/>
            <w:hideMark/>
          </w:tcPr>
          <w:p w14:paraId="28951786" w14:textId="77777777"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Cieľ</w:t>
            </w:r>
          </w:p>
        </w:tc>
        <w:tc>
          <w:tcPr>
            <w:tcW w:w="2280" w:type="dxa"/>
            <w:tcBorders>
              <w:top w:val="nil"/>
              <w:left w:val="nil"/>
              <w:bottom w:val="single" w:sz="4" w:space="0" w:color="auto"/>
              <w:right w:val="single" w:sz="4" w:space="0" w:color="auto"/>
            </w:tcBorders>
            <w:shd w:val="clear" w:color="auto" w:fill="C6EFCE"/>
            <w:noWrap/>
            <w:vAlign w:val="center"/>
            <w:hideMark/>
          </w:tcPr>
          <w:p w14:paraId="7AB44120" w14:textId="30E92C15"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Busses – výmena elektrickej energie</w:t>
            </w:r>
            <w:r w:rsidR="00083739" w:rsidRPr="00083739">
              <w:rPr>
                <w:rFonts w:cs="Times New Roman"/>
                <w:noProof/>
                <w:lang w:val="sk-SK"/>
              </w:rPr>
              <w:t xml:space="preserve"> a </w:t>
            </w:r>
            <w:r w:rsidRPr="00083739">
              <w:rPr>
                <w:rFonts w:cs="Times New Roman"/>
                <w:noProof/>
                <w:lang w:val="sk-SK"/>
              </w:rPr>
              <w:t>zadanie zmluvy</w:t>
            </w:r>
            <w:r w:rsidR="00083739" w:rsidRPr="00083739">
              <w:rPr>
                <w:rFonts w:cs="Times New Roman"/>
                <w:noProof/>
                <w:lang w:val="sk-SK"/>
              </w:rPr>
              <w:t xml:space="preserve"> o </w:t>
            </w:r>
            <w:r w:rsidRPr="00083739">
              <w:rPr>
                <w:rFonts w:cs="Times New Roman"/>
                <w:noProof/>
                <w:lang w:val="sk-SK"/>
              </w:rPr>
              <w:t>službách vo verejnom záujme</w:t>
            </w:r>
            <w:r w:rsidR="00083739" w:rsidRPr="00083739">
              <w:rPr>
                <w:rFonts w:cs="Times New Roman"/>
                <w:noProof/>
                <w:lang w:val="sk-SK"/>
              </w:rPr>
              <w:t xml:space="preserve"> v </w:t>
            </w:r>
            <w:r w:rsidRPr="00083739">
              <w:rPr>
                <w:rFonts w:cs="Times New Roman"/>
                <w:noProof/>
                <w:lang w:val="sk-SK"/>
              </w:rPr>
              <w:t>oblasti pravidelnej autobusovej dopravy</w:t>
            </w:r>
            <w:r w:rsidR="00083739" w:rsidRPr="00083739">
              <w:rPr>
                <w:rFonts w:cs="Times New Roman"/>
                <w:noProof/>
                <w:lang w:val="sk-SK"/>
              </w:rPr>
              <w:t xml:space="preserve"> v </w:t>
            </w:r>
            <w:r w:rsidRPr="00083739">
              <w:rPr>
                <w:rFonts w:cs="Times New Roman"/>
                <w:noProof/>
                <w:lang w:val="sk-SK"/>
              </w:rPr>
              <w:t xml:space="preserve">mestských oblastiach </w:t>
            </w:r>
            <w:r w:rsidRPr="00083739">
              <w:rPr>
                <w:rFonts w:cs="Times New Roman"/>
                <w:noProof/>
                <w:lang w:val="sk-SK"/>
              </w:rPr>
              <w:t>regionálnej jednotky Solún.</w:t>
            </w:r>
          </w:p>
        </w:tc>
      </w:tr>
      <w:tr w:rsidR="002D49B0" w:rsidRPr="00083739" w14:paraId="77067DA2"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7C1623B1"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53</w:t>
            </w:r>
          </w:p>
        </w:tc>
        <w:tc>
          <w:tcPr>
            <w:tcW w:w="4320" w:type="dxa"/>
            <w:tcBorders>
              <w:top w:val="nil"/>
              <w:left w:val="nil"/>
              <w:bottom w:val="single" w:sz="4" w:space="0" w:color="auto"/>
              <w:right w:val="single" w:sz="4" w:space="0" w:color="auto"/>
            </w:tcBorders>
            <w:shd w:val="clear" w:color="auto" w:fill="C6EFCE"/>
            <w:noWrap/>
            <w:vAlign w:val="center"/>
            <w:hideMark/>
          </w:tcPr>
          <w:p w14:paraId="78643C4D" w14:textId="3149716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3 – 1.3. Dobíjanie</w:t>
            </w:r>
            <w:r w:rsidR="00083739" w:rsidRPr="00083739">
              <w:rPr>
                <w:rFonts w:cs="Times New Roman"/>
                <w:noProof/>
                <w:lang w:val="sk-SK"/>
              </w:rPr>
              <w:t xml:space="preserve"> a </w:t>
            </w:r>
            <w:r w:rsidRPr="00083739">
              <w:rPr>
                <w:rFonts w:cs="Times New Roman"/>
                <w:noProof/>
                <w:lang w:val="sk-SK"/>
              </w:rPr>
              <w:t>dopĺňanie paliva – 16831_výrobok – E zelená</w:t>
            </w:r>
          </w:p>
        </w:tc>
        <w:tc>
          <w:tcPr>
            <w:tcW w:w="1680" w:type="dxa"/>
            <w:tcBorders>
              <w:top w:val="nil"/>
              <w:left w:val="nil"/>
              <w:bottom w:val="single" w:sz="4" w:space="0" w:color="auto"/>
              <w:right w:val="single" w:sz="4" w:space="0" w:color="auto"/>
            </w:tcBorders>
            <w:shd w:val="clear" w:color="auto" w:fill="C6EFCE"/>
            <w:noWrap/>
            <w:vAlign w:val="center"/>
            <w:hideMark/>
          </w:tcPr>
          <w:p w14:paraId="386A51AE"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61CC55DA" w14:textId="13A06ACF" w:rsidR="002D49B0" w:rsidRPr="00083739" w:rsidRDefault="00BF4125">
            <w:pPr>
              <w:keepNext/>
              <w:spacing w:before="40" w:after="0" w:line="240" w:lineRule="auto"/>
              <w:jc w:val="both"/>
              <w:rPr>
                <w:rFonts w:ascii="Times New Roman" w:eastAsia="Times New Roman" w:hAnsi="Times New Roman" w:cs="Times New Roman"/>
                <w:noProof/>
                <w:sz w:val="18"/>
                <w:szCs w:val="18"/>
                <w:lang w:val="sk-SK"/>
              </w:rPr>
            </w:pPr>
            <w:r w:rsidRPr="00083739">
              <w:rPr>
                <w:rFonts w:ascii="Times New Roman" w:hAnsi="Times New Roman" w:cs="Times New Roman"/>
                <w:noProof/>
                <w:sz w:val="18"/>
                <w:lang w:val="sk-SK"/>
              </w:rPr>
              <w:t xml:space="preserve">CCS – </w:t>
            </w:r>
            <w:r w:rsidRPr="00083739">
              <w:rPr>
                <w:rFonts w:ascii="Times New Roman" w:hAnsi="Times New Roman" w:cs="Times New Roman"/>
                <w:noProof/>
                <w:lang w:val="sk-SK"/>
              </w:rPr>
              <w:t xml:space="preserve"> </w:t>
            </w:r>
            <w:r w:rsidRPr="00083739">
              <w:rPr>
                <w:rFonts w:ascii="Times New Roman" w:hAnsi="Times New Roman" w:cs="Times New Roman"/>
                <w:noProof/>
                <w:sz w:val="18"/>
                <w:lang w:val="sk-SK"/>
              </w:rPr>
              <w:t>dokončenie vrtných prác</w:t>
            </w:r>
          </w:p>
        </w:tc>
      </w:tr>
      <w:tr w:rsidR="002D49B0" w:rsidRPr="00083739" w14:paraId="7D75B687"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4F0EB034"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54</w:t>
            </w:r>
          </w:p>
        </w:tc>
        <w:tc>
          <w:tcPr>
            <w:tcW w:w="4320" w:type="dxa"/>
            <w:tcBorders>
              <w:top w:val="nil"/>
              <w:left w:val="nil"/>
              <w:bottom w:val="single" w:sz="4" w:space="0" w:color="auto"/>
              <w:right w:val="single" w:sz="4" w:space="0" w:color="auto"/>
            </w:tcBorders>
            <w:shd w:val="clear" w:color="auto" w:fill="C6EFCE"/>
            <w:noWrap/>
            <w:vAlign w:val="center"/>
            <w:hideMark/>
          </w:tcPr>
          <w:p w14:paraId="018A9A94" w14:textId="611BF5B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3 – 1.3. Dobíjanie</w:t>
            </w:r>
            <w:r w:rsidR="00083739" w:rsidRPr="00083739">
              <w:rPr>
                <w:rFonts w:cs="Times New Roman"/>
                <w:noProof/>
                <w:lang w:val="sk-SK"/>
              </w:rPr>
              <w:t xml:space="preserve"> a </w:t>
            </w:r>
            <w:r w:rsidRPr="00083739">
              <w:rPr>
                <w:rFonts w:cs="Times New Roman"/>
                <w:noProof/>
                <w:lang w:val="sk-SK"/>
              </w:rPr>
              <w:t>dopĺňanie paliva – 16831_výrobok – E zelená</w:t>
            </w:r>
          </w:p>
        </w:tc>
        <w:tc>
          <w:tcPr>
            <w:tcW w:w="1680" w:type="dxa"/>
            <w:tcBorders>
              <w:top w:val="nil"/>
              <w:left w:val="nil"/>
              <w:bottom w:val="single" w:sz="4" w:space="0" w:color="auto"/>
              <w:right w:val="single" w:sz="4" w:space="0" w:color="auto"/>
            </w:tcBorders>
            <w:shd w:val="clear" w:color="auto" w:fill="C6EFCE"/>
            <w:noWrap/>
            <w:vAlign w:val="center"/>
            <w:hideMark/>
          </w:tcPr>
          <w:p w14:paraId="3D58D185"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136AA62D" w14:textId="250377A6"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 xml:space="preserve">Priemyselné jednotky – dokončenie stavebných </w:t>
            </w:r>
            <w:r w:rsidRPr="00083739">
              <w:rPr>
                <w:rFonts w:cs="Times New Roman"/>
                <w:noProof/>
                <w:lang w:val="sk-SK"/>
              </w:rPr>
              <w:t>prác</w:t>
            </w:r>
            <w:r w:rsidR="00083739" w:rsidRPr="00083739">
              <w:rPr>
                <w:rFonts w:cs="Times New Roman"/>
                <w:noProof/>
                <w:lang w:val="sk-SK"/>
              </w:rPr>
              <w:t xml:space="preserve"> a </w:t>
            </w:r>
            <w:r w:rsidRPr="00083739">
              <w:rPr>
                <w:rFonts w:cs="Times New Roman"/>
                <w:noProof/>
                <w:lang w:val="sk-SK"/>
              </w:rPr>
              <w:t xml:space="preserve">inštalácia zariadení </w:t>
            </w:r>
          </w:p>
        </w:tc>
      </w:tr>
      <w:tr w:rsidR="002D49B0" w:rsidRPr="00083739" w14:paraId="0526F038"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5401CF6F" w14:textId="77777777"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59a</w:t>
            </w:r>
          </w:p>
        </w:tc>
        <w:tc>
          <w:tcPr>
            <w:tcW w:w="4320" w:type="dxa"/>
            <w:tcBorders>
              <w:top w:val="nil"/>
              <w:left w:val="nil"/>
              <w:bottom w:val="single" w:sz="4" w:space="0" w:color="auto"/>
              <w:right w:val="single" w:sz="4" w:space="0" w:color="auto"/>
            </w:tcBorders>
            <w:shd w:val="clear" w:color="auto" w:fill="C6EFCE"/>
            <w:noWrap/>
            <w:vAlign w:val="center"/>
            <w:hideMark/>
          </w:tcPr>
          <w:p w14:paraId="647FCA10" w14:textId="0F6AD021"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4 – 1.4. Udržateľné využívanie zdrojov, odolnosť proti zmene klímy</w:t>
            </w:r>
            <w:r w:rsidR="00083739" w:rsidRPr="00083739">
              <w:rPr>
                <w:rFonts w:cs="Times New Roman"/>
                <w:noProof/>
                <w:lang w:val="sk-SK"/>
              </w:rPr>
              <w:t xml:space="preserve"> a </w:t>
            </w:r>
            <w:r w:rsidRPr="00083739">
              <w:rPr>
                <w:rFonts w:cs="Times New Roman"/>
                <w:noProof/>
                <w:lang w:val="sk-SK"/>
              </w:rPr>
              <w:t>ochrana životného prostredia – 16772_zákon</w:t>
            </w:r>
            <w:r w:rsidR="00083739" w:rsidRPr="00083739">
              <w:rPr>
                <w:rFonts w:cs="Times New Roman"/>
                <w:noProof/>
                <w:lang w:val="sk-SK"/>
              </w:rPr>
              <w:t xml:space="preserve"> o </w:t>
            </w:r>
            <w:r w:rsidRPr="00083739">
              <w:rPr>
                <w:rFonts w:cs="Times New Roman"/>
                <w:noProof/>
                <w:lang w:val="sk-SK"/>
              </w:rPr>
              <w:t>nakladaní</w:t>
            </w:r>
            <w:r w:rsidR="00083739" w:rsidRPr="00083739">
              <w:rPr>
                <w:rFonts w:cs="Times New Roman"/>
                <w:noProof/>
                <w:lang w:val="sk-SK"/>
              </w:rPr>
              <w:t xml:space="preserve"> s </w:t>
            </w:r>
            <w:r w:rsidRPr="00083739">
              <w:rPr>
                <w:rFonts w:cs="Times New Roman"/>
                <w:noProof/>
                <w:lang w:val="sk-SK"/>
              </w:rPr>
              <w:t>odpadom na vykonávanie udržateľného skládkovania</w:t>
            </w:r>
            <w:r w:rsidR="00083739" w:rsidRPr="00083739">
              <w:rPr>
                <w:rFonts w:cs="Times New Roman"/>
                <w:noProof/>
                <w:lang w:val="sk-SK"/>
              </w:rPr>
              <w:t xml:space="preserve"> a </w:t>
            </w:r>
            <w:r w:rsidRPr="00083739">
              <w:rPr>
                <w:rFonts w:cs="Times New Roman"/>
                <w:noProof/>
                <w:lang w:val="sk-SK"/>
              </w:rPr>
              <w:t>recyklácie</w:t>
            </w:r>
          </w:p>
        </w:tc>
        <w:tc>
          <w:tcPr>
            <w:tcW w:w="1680" w:type="dxa"/>
            <w:tcBorders>
              <w:top w:val="nil"/>
              <w:left w:val="nil"/>
              <w:bottom w:val="single" w:sz="4" w:space="0" w:color="auto"/>
              <w:right w:val="single" w:sz="4" w:space="0" w:color="auto"/>
            </w:tcBorders>
            <w:shd w:val="clear" w:color="auto" w:fill="C6EFCE"/>
            <w:noWrap/>
            <w:vAlign w:val="center"/>
            <w:hideMark/>
          </w:tcPr>
          <w:p w14:paraId="1577A181" w14:textId="77777777"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297B959A" w14:textId="3D8CE9D8"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 xml:space="preserve">Certifikácia orgánov </w:t>
            </w:r>
            <w:r w:rsidRPr="00083739">
              <w:rPr>
                <w:rFonts w:cs="Times New Roman"/>
                <w:noProof/>
                <w:lang w:val="sk-SK"/>
              </w:rPr>
              <w:t>nakladania</w:t>
            </w:r>
            <w:r w:rsidR="00083739" w:rsidRPr="00083739">
              <w:rPr>
                <w:rFonts w:cs="Times New Roman"/>
                <w:noProof/>
                <w:lang w:val="sk-SK"/>
              </w:rPr>
              <w:t xml:space="preserve"> s </w:t>
            </w:r>
            <w:r w:rsidRPr="00083739">
              <w:rPr>
                <w:rFonts w:cs="Times New Roman"/>
                <w:noProof/>
                <w:lang w:val="sk-SK"/>
              </w:rPr>
              <w:t>tuhým odpadom (FODSA) regulačným orgánom</w:t>
            </w:r>
          </w:p>
        </w:tc>
      </w:tr>
      <w:tr w:rsidR="002D49B0" w:rsidRPr="00083739" w14:paraId="04039F43"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41DA3B75"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63</w:t>
            </w:r>
          </w:p>
        </w:tc>
        <w:tc>
          <w:tcPr>
            <w:tcW w:w="4320" w:type="dxa"/>
            <w:tcBorders>
              <w:top w:val="nil"/>
              <w:left w:val="nil"/>
              <w:bottom w:val="single" w:sz="4" w:space="0" w:color="auto"/>
              <w:right w:val="single" w:sz="4" w:space="0" w:color="auto"/>
            </w:tcBorders>
            <w:shd w:val="clear" w:color="auto" w:fill="C6EFCE"/>
            <w:noWrap/>
            <w:vAlign w:val="center"/>
            <w:hideMark/>
          </w:tcPr>
          <w:p w14:paraId="6C27CA4C" w14:textId="234F9831" w:rsidR="002D49B0" w:rsidRPr="00083739" w:rsidRDefault="00BF4125">
            <w:pPr>
              <w:keepNext/>
              <w:spacing w:before="40" w:after="0" w:line="240" w:lineRule="auto"/>
              <w:jc w:val="both"/>
              <w:rPr>
                <w:rFonts w:ascii="Times New Roman" w:eastAsia="Times New Roman" w:hAnsi="Times New Roman" w:cs="Times New Roman"/>
                <w:bCs/>
                <w:noProof/>
                <w:sz w:val="18"/>
                <w:szCs w:val="18"/>
                <w:lang w:val="sk-SK"/>
              </w:rPr>
            </w:pPr>
            <w:r w:rsidRPr="00083739">
              <w:rPr>
                <w:rFonts w:ascii="Times New Roman" w:hAnsi="Times New Roman" w:cs="Times New Roman"/>
                <w:noProof/>
                <w:sz w:val="18"/>
                <w:lang w:val="sk-SK"/>
              </w:rPr>
              <w:t>4 – 1.4. Udržateľné využívanie zdrojov, odolnosť proti zmene klímy</w:t>
            </w:r>
            <w:r w:rsidR="00083739" w:rsidRPr="00083739">
              <w:rPr>
                <w:rFonts w:ascii="Times New Roman" w:hAnsi="Times New Roman" w:cs="Times New Roman"/>
                <w:noProof/>
                <w:sz w:val="18"/>
                <w:lang w:val="sk-SK"/>
              </w:rPr>
              <w:t xml:space="preserve"> a </w:t>
            </w:r>
            <w:r w:rsidRPr="00083739">
              <w:rPr>
                <w:rFonts w:ascii="Times New Roman" w:hAnsi="Times New Roman" w:cs="Times New Roman"/>
                <w:noProof/>
                <w:sz w:val="18"/>
                <w:lang w:val="sk-SK"/>
              </w:rPr>
              <w:t xml:space="preserve">ochrana životného prostredia – 16849_Národný plán zalesňovania, </w:t>
            </w:r>
            <w:r w:rsidRPr="00083739">
              <w:rPr>
                <w:rFonts w:ascii="Times New Roman" w:hAnsi="Times New Roman" w:cs="Times New Roman"/>
                <w:noProof/>
                <w:lang w:val="sk-SK"/>
              </w:rPr>
              <w:t xml:space="preserve"> </w:t>
            </w:r>
            <w:r w:rsidRPr="00083739">
              <w:rPr>
                <w:rFonts w:ascii="Times New Roman" w:hAnsi="Times New Roman" w:cs="Times New Roman"/>
                <w:noProof/>
                <w:sz w:val="18"/>
                <w:lang w:val="sk-SK"/>
              </w:rPr>
              <w:t>obnova</w:t>
            </w:r>
            <w:r w:rsidR="00083739" w:rsidRPr="00083739">
              <w:rPr>
                <w:rFonts w:ascii="Times New Roman" w:hAnsi="Times New Roman" w:cs="Times New Roman"/>
                <w:noProof/>
                <w:sz w:val="18"/>
                <w:lang w:val="sk-SK"/>
              </w:rPr>
              <w:t xml:space="preserve"> a </w:t>
            </w:r>
            <w:r w:rsidRPr="00083739">
              <w:rPr>
                <w:rFonts w:ascii="Times New Roman" w:hAnsi="Times New Roman" w:cs="Times New Roman"/>
                <w:noProof/>
                <w:sz w:val="18"/>
                <w:lang w:val="sk-SK"/>
              </w:rPr>
              <w:t>prevencia („antiNERO“), opatrenia proti erózii</w:t>
            </w:r>
            <w:r w:rsidR="00083739" w:rsidRPr="00083739">
              <w:rPr>
                <w:rFonts w:ascii="Times New Roman" w:hAnsi="Times New Roman" w:cs="Times New Roman"/>
                <w:noProof/>
                <w:sz w:val="18"/>
                <w:lang w:val="sk-SK"/>
              </w:rPr>
              <w:t xml:space="preserve"> a </w:t>
            </w:r>
            <w:r w:rsidRPr="00083739">
              <w:rPr>
                <w:rFonts w:ascii="Times New Roman" w:hAnsi="Times New Roman" w:cs="Times New Roman"/>
                <w:noProof/>
                <w:sz w:val="18"/>
                <w:lang w:val="sk-SK"/>
              </w:rPr>
              <w:t>protip</w:t>
            </w:r>
            <w:r w:rsidRPr="00083739">
              <w:rPr>
                <w:rFonts w:ascii="Times New Roman" w:hAnsi="Times New Roman" w:cs="Times New Roman"/>
                <w:noProof/>
                <w:sz w:val="18"/>
                <w:lang w:val="sk-SK"/>
              </w:rPr>
              <w:t>ovodňovej ochrane</w:t>
            </w:r>
          </w:p>
        </w:tc>
        <w:tc>
          <w:tcPr>
            <w:tcW w:w="1680" w:type="dxa"/>
            <w:tcBorders>
              <w:top w:val="nil"/>
              <w:left w:val="nil"/>
              <w:bottom w:val="single" w:sz="4" w:space="0" w:color="auto"/>
              <w:right w:val="single" w:sz="4" w:space="0" w:color="auto"/>
            </w:tcBorders>
            <w:shd w:val="clear" w:color="auto" w:fill="C6EFCE"/>
            <w:noWrap/>
            <w:vAlign w:val="center"/>
            <w:hideMark/>
          </w:tcPr>
          <w:p w14:paraId="4D88BACC"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11730140" w14:textId="523E8F5E"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Opätovné zalesňovanie, obnova lesov</w:t>
            </w:r>
            <w:r w:rsidR="00083739" w:rsidRPr="00083739">
              <w:rPr>
                <w:rFonts w:cs="Times New Roman"/>
                <w:noProof/>
                <w:lang w:val="sk-SK"/>
              </w:rPr>
              <w:t xml:space="preserve"> a </w:t>
            </w:r>
            <w:r w:rsidRPr="00083739">
              <w:rPr>
                <w:rFonts w:cs="Times New Roman"/>
                <w:noProof/>
                <w:lang w:val="sk-SK"/>
              </w:rPr>
              <w:t>prevencia – Ukončenie prác</w:t>
            </w:r>
          </w:p>
        </w:tc>
      </w:tr>
      <w:tr w:rsidR="002D49B0" w:rsidRPr="00083739" w14:paraId="09334BC7"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1A018ADC"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64</w:t>
            </w:r>
          </w:p>
        </w:tc>
        <w:tc>
          <w:tcPr>
            <w:tcW w:w="4320" w:type="dxa"/>
            <w:tcBorders>
              <w:top w:val="nil"/>
              <w:left w:val="nil"/>
              <w:bottom w:val="single" w:sz="4" w:space="0" w:color="auto"/>
              <w:right w:val="single" w:sz="4" w:space="0" w:color="auto"/>
            </w:tcBorders>
            <w:shd w:val="clear" w:color="auto" w:fill="C6EFCE"/>
            <w:noWrap/>
            <w:vAlign w:val="center"/>
            <w:hideMark/>
          </w:tcPr>
          <w:p w14:paraId="4838D245" w14:textId="661B819B"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4 – 1.4. Udržateľné využívanie zdrojov, odolnosť proti zmene klímy</w:t>
            </w:r>
            <w:r w:rsidR="00083739" w:rsidRPr="00083739">
              <w:rPr>
                <w:rFonts w:cs="Times New Roman"/>
                <w:noProof/>
                <w:lang w:val="sk-SK"/>
              </w:rPr>
              <w:t xml:space="preserve"> a </w:t>
            </w:r>
            <w:r w:rsidRPr="00083739">
              <w:rPr>
                <w:rFonts w:cs="Times New Roman"/>
                <w:noProof/>
                <w:lang w:val="sk-SK"/>
              </w:rPr>
              <w:t>ochrana životného prostredia – 16851_Ochrana biodiverzity ako hnacia sila udržateľného rastu</w:t>
            </w:r>
          </w:p>
        </w:tc>
        <w:tc>
          <w:tcPr>
            <w:tcW w:w="1680" w:type="dxa"/>
            <w:tcBorders>
              <w:top w:val="nil"/>
              <w:left w:val="nil"/>
              <w:bottom w:val="single" w:sz="4" w:space="0" w:color="auto"/>
              <w:right w:val="single" w:sz="4" w:space="0" w:color="auto"/>
            </w:tcBorders>
            <w:shd w:val="clear" w:color="auto" w:fill="C6EFCE"/>
            <w:noWrap/>
            <w:vAlign w:val="center"/>
            <w:hideMark/>
          </w:tcPr>
          <w:p w14:paraId="46E76B52"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370D02DB"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Biodiverzita – Ukončenie</w:t>
            </w:r>
          </w:p>
        </w:tc>
      </w:tr>
      <w:tr w:rsidR="002D49B0" w:rsidRPr="00083739" w14:paraId="391E5A6F"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0FEEB7F6"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73</w:t>
            </w:r>
          </w:p>
        </w:tc>
        <w:tc>
          <w:tcPr>
            <w:tcW w:w="4320" w:type="dxa"/>
            <w:tcBorders>
              <w:top w:val="nil"/>
              <w:left w:val="nil"/>
              <w:bottom w:val="single" w:sz="4" w:space="0" w:color="auto"/>
              <w:right w:val="single" w:sz="4" w:space="0" w:color="auto"/>
            </w:tcBorders>
            <w:shd w:val="clear" w:color="auto" w:fill="C6EFCE"/>
            <w:noWrap/>
            <w:vAlign w:val="center"/>
            <w:hideMark/>
          </w:tcPr>
          <w:p w14:paraId="5414015A" w14:textId="72A596ED"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4 – 1.4. Udržateľné využívanie zdrojov, odolnosť proti zmene klímy</w:t>
            </w:r>
            <w:r w:rsidR="00083739" w:rsidRPr="00083739">
              <w:rPr>
                <w:rFonts w:cs="Times New Roman"/>
                <w:noProof/>
                <w:lang w:val="sk-SK"/>
              </w:rPr>
              <w:t xml:space="preserve"> a </w:t>
            </w:r>
            <w:r w:rsidRPr="00083739">
              <w:rPr>
                <w:rFonts w:cs="Times New Roman"/>
                <w:noProof/>
                <w:lang w:val="sk-SK"/>
              </w:rPr>
              <w:t>ochrana životného prostredia – 16846_ Infraštruktúry na nakladanie</w:t>
            </w:r>
            <w:r w:rsidR="00083739" w:rsidRPr="00083739">
              <w:rPr>
                <w:rFonts w:cs="Times New Roman"/>
                <w:noProof/>
                <w:lang w:val="sk-SK"/>
              </w:rPr>
              <w:t xml:space="preserve"> s </w:t>
            </w:r>
            <w:r w:rsidRPr="00083739">
              <w:rPr>
                <w:rFonts w:cs="Times New Roman"/>
                <w:noProof/>
                <w:lang w:val="sk-SK"/>
              </w:rPr>
              <w:t>komunálnymi odpadovými vodami</w:t>
            </w:r>
            <w:r w:rsidR="00083739" w:rsidRPr="00083739">
              <w:rPr>
                <w:rFonts w:cs="Times New Roman"/>
                <w:noProof/>
                <w:lang w:val="sk-SK"/>
              </w:rPr>
              <w:t xml:space="preserve"> a </w:t>
            </w:r>
            <w:r w:rsidRPr="00083739">
              <w:rPr>
                <w:rFonts w:cs="Times New Roman"/>
                <w:noProof/>
                <w:lang w:val="sk-SK"/>
              </w:rPr>
              <w:t>kalmi</w:t>
            </w:r>
            <w:r w:rsidR="00083739" w:rsidRPr="00083739">
              <w:rPr>
                <w:rFonts w:cs="Times New Roman"/>
                <w:noProof/>
                <w:lang w:val="sk-SK"/>
              </w:rPr>
              <w:t xml:space="preserve"> z </w:t>
            </w:r>
            <w:r w:rsidRPr="00083739">
              <w:rPr>
                <w:rFonts w:cs="Times New Roman"/>
                <w:noProof/>
                <w:lang w:val="sk-SK"/>
              </w:rPr>
              <w:t>čistenia odpadových vôd</w:t>
            </w:r>
          </w:p>
        </w:tc>
        <w:tc>
          <w:tcPr>
            <w:tcW w:w="1680" w:type="dxa"/>
            <w:tcBorders>
              <w:top w:val="nil"/>
              <w:left w:val="nil"/>
              <w:bottom w:val="single" w:sz="4" w:space="0" w:color="auto"/>
              <w:right w:val="single" w:sz="4" w:space="0" w:color="auto"/>
            </w:tcBorders>
            <w:shd w:val="clear" w:color="auto" w:fill="C6EFCE"/>
            <w:noWrap/>
            <w:vAlign w:val="center"/>
            <w:hideMark/>
          </w:tcPr>
          <w:p w14:paraId="1E84C140"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65F668C6" w14:textId="5B030D4F"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 xml:space="preserve">Dokončenie </w:t>
            </w:r>
            <w:r w:rsidRPr="00083739">
              <w:rPr>
                <w:rFonts w:cs="Times New Roman"/>
                <w:noProof/>
                <w:lang w:val="sk-SK"/>
              </w:rPr>
              <w:t>infraštruktúry na nakladanie</w:t>
            </w:r>
            <w:r w:rsidR="00083739" w:rsidRPr="00083739">
              <w:rPr>
                <w:rFonts w:cs="Times New Roman"/>
                <w:noProof/>
                <w:lang w:val="sk-SK"/>
              </w:rPr>
              <w:t xml:space="preserve"> s </w:t>
            </w:r>
            <w:r w:rsidRPr="00083739">
              <w:rPr>
                <w:rFonts w:cs="Times New Roman"/>
                <w:noProof/>
                <w:lang w:val="sk-SK"/>
              </w:rPr>
              <w:t>komunálnymi odpadovými vodami</w:t>
            </w:r>
            <w:r w:rsidR="00083739" w:rsidRPr="00083739">
              <w:rPr>
                <w:rFonts w:cs="Times New Roman"/>
                <w:noProof/>
                <w:lang w:val="sk-SK"/>
              </w:rPr>
              <w:t xml:space="preserve"> a </w:t>
            </w:r>
            <w:r w:rsidRPr="00083739">
              <w:rPr>
                <w:rFonts w:cs="Times New Roman"/>
                <w:noProof/>
                <w:lang w:val="sk-SK"/>
              </w:rPr>
              <w:t>kalmi</w:t>
            </w:r>
          </w:p>
        </w:tc>
      </w:tr>
      <w:tr w:rsidR="002D49B0" w:rsidRPr="00083739" w14:paraId="2BEECB93"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5C801A61"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74</w:t>
            </w:r>
          </w:p>
        </w:tc>
        <w:tc>
          <w:tcPr>
            <w:tcW w:w="4320" w:type="dxa"/>
            <w:tcBorders>
              <w:top w:val="nil"/>
              <w:left w:val="nil"/>
              <w:bottom w:val="single" w:sz="4" w:space="0" w:color="auto"/>
              <w:right w:val="single" w:sz="4" w:space="0" w:color="auto"/>
            </w:tcBorders>
            <w:shd w:val="clear" w:color="auto" w:fill="C6EFCE"/>
            <w:noWrap/>
            <w:vAlign w:val="center"/>
            <w:hideMark/>
          </w:tcPr>
          <w:p w14:paraId="3980F513" w14:textId="0CB6CE6A"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4 – 1.4. Udržateľné využívanie zdrojov, odolnosť proti zmene klímy</w:t>
            </w:r>
            <w:r w:rsidR="00083739" w:rsidRPr="00083739">
              <w:rPr>
                <w:rFonts w:cs="Times New Roman"/>
                <w:noProof/>
                <w:lang w:val="sk-SK"/>
              </w:rPr>
              <w:t xml:space="preserve"> a </w:t>
            </w:r>
            <w:r w:rsidRPr="00083739">
              <w:rPr>
                <w:rFonts w:cs="Times New Roman"/>
                <w:noProof/>
                <w:lang w:val="sk-SK"/>
              </w:rPr>
              <w:t>ochrana životného prostredia – 16850_Infraštruktúra zásobovania pitnou vodou</w:t>
            </w:r>
            <w:r w:rsidR="00083739" w:rsidRPr="00083739">
              <w:rPr>
                <w:rFonts w:cs="Times New Roman"/>
                <w:noProof/>
                <w:lang w:val="sk-SK"/>
              </w:rPr>
              <w:t xml:space="preserve"> a </w:t>
            </w:r>
            <w:r w:rsidRPr="00083739">
              <w:rPr>
                <w:rFonts w:cs="Times New Roman"/>
                <w:noProof/>
                <w:lang w:val="sk-SK"/>
              </w:rPr>
              <w:t>úspora pitnej vody</w:t>
            </w:r>
          </w:p>
        </w:tc>
        <w:tc>
          <w:tcPr>
            <w:tcW w:w="1680" w:type="dxa"/>
            <w:tcBorders>
              <w:top w:val="nil"/>
              <w:left w:val="nil"/>
              <w:bottom w:val="single" w:sz="4" w:space="0" w:color="auto"/>
              <w:right w:val="single" w:sz="4" w:space="0" w:color="auto"/>
            </w:tcBorders>
            <w:shd w:val="clear" w:color="auto" w:fill="C6EFCE"/>
            <w:noWrap/>
            <w:vAlign w:val="center"/>
            <w:hideMark/>
          </w:tcPr>
          <w:p w14:paraId="23469AB8"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66AA3CE3"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Dokončenie vodohospodárskej infraštruktúry</w:t>
            </w:r>
          </w:p>
        </w:tc>
      </w:tr>
      <w:tr w:rsidR="002D49B0" w:rsidRPr="00083739" w14:paraId="646FFCF9"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39754AE0"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81</w:t>
            </w:r>
          </w:p>
        </w:tc>
        <w:tc>
          <w:tcPr>
            <w:tcW w:w="4320" w:type="dxa"/>
            <w:tcBorders>
              <w:top w:val="nil"/>
              <w:left w:val="nil"/>
              <w:bottom w:val="single" w:sz="4" w:space="0" w:color="auto"/>
              <w:right w:val="single" w:sz="4" w:space="0" w:color="auto"/>
            </w:tcBorders>
            <w:shd w:val="clear" w:color="auto" w:fill="C6EFCE"/>
            <w:noWrap/>
            <w:vAlign w:val="center"/>
            <w:hideMark/>
          </w:tcPr>
          <w:p w14:paraId="63C64FE9" w14:textId="72990145"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4 – 1.4. Udržateľné využívanie zdrojov, odolnosť proti zmene klímy</w:t>
            </w:r>
            <w:r w:rsidR="00083739" w:rsidRPr="00083739">
              <w:rPr>
                <w:rFonts w:cs="Times New Roman"/>
                <w:noProof/>
                <w:lang w:val="sk-SK"/>
              </w:rPr>
              <w:t xml:space="preserve"> a </w:t>
            </w:r>
            <w:r w:rsidRPr="00083739">
              <w:rPr>
                <w:rFonts w:cs="Times New Roman"/>
                <w:noProof/>
                <w:lang w:val="sk-SK"/>
              </w:rPr>
              <w:t>ochrana životného prostredia – 16910_Systém monitorovania</w:t>
            </w:r>
            <w:r w:rsidR="00083739" w:rsidRPr="00083739">
              <w:rPr>
                <w:rFonts w:cs="Times New Roman"/>
                <w:noProof/>
                <w:lang w:val="sk-SK"/>
              </w:rPr>
              <w:t xml:space="preserve"> a </w:t>
            </w:r>
            <w:r w:rsidRPr="00083739">
              <w:rPr>
                <w:rFonts w:cs="Times New Roman"/>
                <w:noProof/>
                <w:lang w:val="sk-SK"/>
              </w:rPr>
              <w:t>riadenia</w:t>
            </w:r>
          </w:p>
        </w:tc>
        <w:tc>
          <w:tcPr>
            <w:tcW w:w="1680" w:type="dxa"/>
            <w:tcBorders>
              <w:top w:val="nil"/>
              <w:left w:val="nil"/>
              <w:bottom w:val="single" w:sz="4" w:space="0" w:color="auto"/>
              <w:right w:val="single" w:sz="4" w:space="0" w:color="auto"/>
            </w:tcBorders>
            <w:shd w:val="clear" w:color="auto" w:fill="C6EFCE"/>
            <w:noWrap/>
            <w:vAlign w:val="center"/>
            <w:hideMark/>
          </w:tcPr>
          <w:p w14:paraId="49F483FF"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4478AC1F" w14:textId="18352E92"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Dokončenie monitorovacieho</w:t>
            </w:r>
            <w:r w:rsidR="00083739" w:rsidRPr="00083739">
              <w:rPr>
                <w:rFonts w:cs="Times New Roman"/>
                <w:noProof/>
                <w:lang w:val="sk-SK"/>
              </w:rPr>
              <w:t xml:space="preserve"> a </w:t>
            </w:r>
            <w:r w:rsidRPr="00083739">
              <w:rPr>
                <w:rFonts w:cs="Times New Roman"/>
                <w:noProof/>
                <w:lang w:val="sk-SK"/>
              </w:rPr>
              <w:t>riadiaceho systému civilnej ochrany</w:t>
            </w:r>
          </w:p>
        </w:tc>
      </w:tr>
      <w:tr w:rsidR="002D49B0" w:rsidRPr="00083739" w14:paraId="6D19EC9B"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3748C2E3"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82</w:t>
            </w:r>
          </w:p>
        </w:tc>
        <w:tc>
          <w:tcPr>
            <w:tcW w:w="4320" w:type="dxa"/>
            <w:tcBorders>
              <w:top w:val="nil"/>
              <w:left w:val="nil"/>
              <w:bottom w:val="single" w:sz="4" w:space="0" w:color="auto"/>
              <w:right w:val="single" w:sz="4" w:space="0" w:color="auto"/>
            </w:tcBorders>
            <w:shd w:val="clear" w:color="auto" w:fill="C6EFCE"/>
            <w:noWrap/>
            <w:vAlign w:val="center"/>
            <w:hideMark/>
          </w:tcPr>
          <w:p w14:paraId="7D693D8D" w14:textId="33AF49F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4 – 1.4. Udržateľné využívanie zdrojov, odolnosť proti zmene klímy</w:t>
            </w:r>
            <w:r w:rsidR="00083739" w:rsidRPr="00083739">
              <w:rPr>
                <w:rFonts w:cs="Times New Roman"/>
                <w:noProof/>
                <w:lang w:val="sk-SK"/>
              </w:rPr>
              <w:t xml:space="preserve"> a </w:t>
            </w:r>
            <w:r w:rsidRPr="00083739">
              <w:rPr>
                <w:rFonts w:cs="Times New Roman"/>
                <w:noProof/>
                <w:lang w:val="sk-SK"/>
              </w:rPr>
              <w:t>ochrana životného prostredia – 16911_Letecké prostriedky krízového riadenia</w:t>
            </w:r>
          </w:p>
        </w:tc>
        <w:tc>
          <w:tcPr>
            <w:tcW w:w="1680" w:type="dxa"/>
            <w:tcBorders>
              <w:top w:val="nil"/>
              <w:left w:val="nil"/>
              <w:bottom w:val="single" w:sz="4" w:space="0" w:color="auto"/>
              <w:right w:val="single" w:sz="4" w:space="0" w:color="auto"/>
            </w:tcBorders>
            <w:shd w:val="clear" w:color="auto" w:fill="C6EFCE"/>
            <w:noWrap/>
            <w:vAlign w:val="center"/>
            <w:hideMark/>
          </w:tcPr>
          <w:p w14:paraId="496B482D"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33BCCD3A"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Dokončenie projektu leteckých prostriedkov krízového riadenia</w:t>
            </w:r>
          </w:p>
        </w:tc>
      </w:tr>
      <w:tr w:rsidR="002D49B0" w:rsidRPr="00083739" w14:paraId="59BFB816"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1696DB8A"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83</w:t>
            </w:r>
          </w:p>
        </w:tc>
        <w:tc>
          <w:tcPr>
            <w:tcW w:w="4320" w:type="dxa"/>
            <w:tcBorders>
              <w:top w:val="nil"/>
              <w:left w:val="nil"/>
              <w:bottom w:val="single" w:sz="4" w:space="0" w:color="auto"/>
              <w:right w:val="single" w:sz="4" w:space="0" w:color="auto"/>
            </w:tcBorders>
            <w:shd w:val="clear" w:color="auto" w:fill="C6EFCE"/>
            <w:noWrap/>
            <w:vAlign w:val="center"/>
            <w:hideMark/>
          </w:tcPr>
          <w:p w14:paraId="3470FFE5" w14:textId="691E3D4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 xml:space="preserve">4 – 1.4. Udržateľné využívanie </w:t>
            </w:r>
            <w:r w:rsidRPr="00083739">
              <w:rPr>
                <w:rFonts w:cs="Times New Roman"/>
                <w:noProof/>
                <w:lang w:val="sk-SK"/>
              </w:rPr>
              <w:t>zdrojov, odolnosť proti zmene klímy</w:t>
            </w:r>
            <w:r w:rsidR="00083739" w:rsidRPr="00083739">
              <w:rPr>
                <w:rFonts w:cs="Times New Roman"/>
                <w:noProof/>
                <w:lang w:val="sk-SK"/>
              </w:rPr>
              <w:t xml:space="preserve"> a </w:t>
            </w:r>
            <w:r w:rsidRPr="00083739">
              <w:rPr>
                <w:rFonts w:cs="Times New Roman"/>
                <w:noProof/>
                <w:lang w:val="sk-SK"/>
              </w:rPr>
              <w:t>ochrana životného prostredia – 16912_Zariadenia na hasenie lesných požiarov, prevenciu</w:t>
            </w:r>
            <w:r w:rsidR="00083739" w:rsidRPr="00083739">
              <w:rPr>
                <w:rFonts w:cs="Times New Roman"/>
                <w:noProof/>
                <w:lang w:val="sk-SK"/>
              </w:rPr>
              <w:t xml:space="preserve"> a </w:t>
            </w:r>
            <w:r w:rsidRPr="00083739">
              <w:rPr>
                <w:rFonts w:cs="Times New Roman"/>
                <w:noProof/>
                <w:lang w:val="sk-SK"/>
              </w:rPr>
              <w:t>reakciu na ne</w:t>
            </w:r>
          </w:p>
        </w:tc>
        <w:tc>
          <w:tcPr>
            <w:tcW w:w="1680" w:type="dxa"/>
            <w:tcBorders>
              <w:top w:val="nil"/>
              <w:left w:val="nil"/>
              <w:bottom w:val="single" w:sz="4" w:space="0" w:color="auto"/>
              <w:right w:val="single" w:sz="4" w:space="0" w:color="auto"/>
            </w:tcBorders>
            <w:shd w:val="clear" w:color="auto" w:fill="C6EFCE"/>
            <w:noWrap/>
            <w:vAlign w:val="center"/>
            <w:hideMark/>
          </w:tcPr>
          <w:p w14:paraId="6E15C7F5"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54A5050D"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Dokončenie lesníckeho bojového zariadenia</w:t>
            </w:r>
          </w:p>
        </w:tc>
      </w:tr>
      <w:tr w:rsidR="002D49B0" w:rsidRPr="00083739" w14:paraId="70BF1845"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2B060134"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84</w:t>
            </w:r>
          </w:p>
        </w:tc>
        <w:tc>
          <w:tcPr>
            <w:tcW w:w="4320" w:type="dxa"/>
            <w:tcBorders>
              <w:top w:val="nil"/>
              <w:left w:val="nil"/>
              <w:bottom w:val="single" w:sz="4" w:space="0" w:color="auto"/>
              <w:right w:val="single" w:sz="4" w:space="0" w:color="auto"/>
            </w:tcBorders>
            <w:shd w:val="clear" w:color="auto" w:fill="C6EFCE"/>
            <w:noWrap/>
            <w:vAlign w:val="center"/>
            <w:hideMark/>
          </w:tcPr>
          <w:p w14:paraId="2069003C" w14:textId="536068B4"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4 – 1.4. Udržateľné využívanie zdrojov, odolnosť proti zmene k</w:t>
            </w:r>
            <w:r w:rsidRPr="00083739">
              <w:rPr>
                <w:rFonts w:cs="Times New Roman"/>
                <w:noProof/>
                <w:lang w:val="sk-SK"/>
              </w:rPr>
              <w:t>límy</w:t>
            </w:r>
            <w:r w:rsidR="00083739" w:rsidRPr="00083739">
              <w:rPr>
                <w:rFonts w:cs="Times New Roman"/>
                <w:noProof/>
                <w:lang w:val="sk-SK"/>
              </w:rPr>
              <w:t xml:space="preserve"> a </w:t>
            </w:r>
            <w:r w:rsidRPr="00083739">
              <w:rPr>
                <w:rFonts w:cs="Times New Roman"/>
                <w:noProof/>
                <w:lang w:val="sk-SK"/>
              </w:rPr>
              <w:t>ochrana životného prostredia – 16909_Infraštruktúra – Stanovenie strategického národného riadenia rizika katastrof</w:t>
            </w:r>
          </w:p>
        </w:tc>
        <w:tc>
          <w:tcPr>
            <w:tcW w:w="1680" w:type="dxa"/>
            <w:tcBorders>
              <w:top w:val="nil"/>
              <w:left w:val="nil"/>
              <w:bottom w:val="single" w:sz="4" w:space="0" w:color="auto"/>
              <w:right w:val="single" w:sz="4" w:space="0" w:color="auto"/>
            </w:tcBorders>
            <w:shd w:val="clear" w:color="auto" w:fill="C6EFCE"/>
            <w:noWrap/>
            <w:vAlign w:val="center"/>
            <w:hideMark/>
          </w:tcPr>
          <w:p w14:paraId="773AB730"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2292B1E3"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Ukončenie vnútroštátneho riadenia rizika katastrof</w:t>
            </w:r>
          </w:p>
        </w:tc>
      </w:tr>
      <w:tr w:rsidR="002D49B0" w:rsidRPr="00083739" w14:paraId="77F85C04"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6E1301DB"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90</w:t>
            </w:r>
          </w:p>
        </w:tc>
        <w:tc>
          <w:tcPr>
            <w:tcW w:w="4320" w:type="dxa"/>
            <w:tcBorders>
              <w:top w:val="nil"/>
              <w:left w:val="nil"/>
              <w:bottom w:val="single" w:sz="4" w:space="0" w:color="auto"/>
              <w:right w:val="single" w:sz="4" w:space="0" w:color="auto"/>
            </w:tcBorders>
            <w:shd w:val="clear" w:color="auto" w:fill="C6EFCE"/>
            <w:noWrap/>
            <w:vAlign w:val="center"/>
            <w:hideMark/>
          </w:tcPr>
          <w:p w14:paraId="6A3B12E3" w14:textId="08CA3AF9"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5 – 2.1. Pripojenie – 16818_Infraštruktúra optických vlákien</w:t>
            </w:r>
            <w:r w:rsidR="00083739" w:rsidRPr="00083739">
              <w:rPr>
                <w:rFonts w:cs="Times New Roman"/>
                <w:noProof/>
                <w:lang w:val="sk-SK"/>
              </w:rPr>
              <w:t xml:space="preserve"> v </w:t>
            </w:r>
            <w:r w:rsidRPr="00083739">
              <w:rPr>
                <w:rFonts w:cs="Times New Roman"/>
                <w:noProof/>
                <w:lang w:val="sk-SK"/>
              </w:rPr>
              <w:t>budovách</w:t>
            </w:r>
          </w:p>
        </w:tc>
        <w:tc>
          <w:tcPr>
            <w:tcW w:w="1680" w:type="dxa"/>
            <w:tcBorders>
              <w:top w:val="nil"/>
              <w:left w:val="nil"/>
              <w:bottom w:val="single" w:sz="4" w:space="0" w:color="auto"/>
              <w:right w:val="single" w:sz="4" w:space="0" w:color="auto"/>
            </w:tcBorders>
            <w:shd w:val="clear" w:color="auto" w:fill="C6EFCE"/>
            <w:noWrap/>
            <w:vAlign w:val="center"/>
            <w:hideMark/>
          </w:tcPr>
          <w:p w14:paraId="775070B1"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Cieľ</w:t>
            </w:r>
          </w:p>
        </w:tc>
        <w:tc>
          <w:tcPr>
            <w:tcW w:w="2280" w:type="dxa"/>
            <w:tcBorders>
              <w:top w:val="nil"/>
              <w:left w:val="nil"/>
              <w:bottom w:val="single" w:sz="4" w:space="0" w:color="auto"/>
              <w:right w:val="single" w:sz="4" w:space="0" w:color="auto"/>
            </w:tcBorders>
            <w:shd w:val="clear" w:color="auto" w:fill="C6EFCE"/>
            <w:noWrap/>
            <w:vAlign w:val="center"/>
            <w:hideMark/>
          </w:tcPr>
          <w:p w14:paraId="64003B85" w14:textId="63F3FD26"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Dokončenie projektu „Infraštruktúra optických vlákien</w:t>
            </w:r>
            <w:r w:rsidR="00083739" w:rsidRPr="00083739">
              <w:rPr>
                <w:rFonts w:cs="Times New Roman"/>
                <w:noProof/>
                <w:lang w:val="sk-SK"/>
              </w:rPr>
              <w:t xml:space="preserve"> v </w:t>
            </w:r>
            <w:r w:rsidRPr="00083739">
              <w:rPr>
                <w:rFonts w:cs="Times New Roman"/>
                <w:noProof/>
                <w:lang w:val="sk-SK"/>
              </w:rPr>
              <w:t>budovách“</w:t>
            </w:r>
          </w:p>
        </w:tc>
      </w:tr>
      <w:tr w:rsidR="002D49B0" w:rsidRPr="00083739" w14:paraId="06F99B6A"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0DEF0B94"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92</w:t>
            </w:r>
          </w:p>
        </w:tc>
        <w:tc>
          <w:tcPr>
            <w:tcW w:w="4320" w:type="dxa"/>
            <w:tcBorders>
              <w:top w:val="nil"/>
              <w:left w:val="nil"/>
              <w:bottom w:val="single" w:sz="4" w:space="0" w:color="auto"/>
              <w:right w:val="single" w:sz="4" w:space="0" w:color="auto"/>
            </w:tcBorders>
            <w:shd w:val="clear" w:color="auto" w:fill="C6EFCE"/>
            <w:noWrap/>
            <w:vAlign w:val="center"/>
            <w:hideMark/>
          </w:tcPr>
          <w:p w14:paraId="269BE5A3"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5 – 2.1. Pripojiť – 16855_Small-satelity</w:t>
            </w:r>
          </w:p>
        </w:tc>
        <w:tc>
          <w:tcPr>
            <w:tcW w:w="1680" w:type="dxa"/>
            <w:tcBorders>
              <w:top w:val="nil"/>
              <w:left w:val="nil"/>
              <w:bottom w:val="single" w:sz="4" w:space="0" w:color="auto"/>
              <w:right w:val="single" w:sz="4" w:space="0" w:color="auto"/>
            </w:tcBorders>
            <w:shd w:val="clear" w:color="auto" w:fill="C6EFCE"/>
            <w:noWrap/>
            <w:vAlign w:val="center"/>
            <w:hideMark/>
          </w:tcPr>
          <w:p w14:paraId="45C572E2"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42D52BAE"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 xml:space="preserve">Dokončenie projektu „malé satelity“ </w:t>
            </w:r>
          </w:p>
        </w:tc>
      </w:tr>
      <w:tr w:rsidR="002D49B0" w:rsidRPr="00083739" w14:paraId="0CF5BCDD"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30CBE5E2"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95</w:t>
            </w:r>
          </w:p>
        </w:tc>
        <w:tc>
          <w:tcPr>
            <w:tcW w:w="4320" w:type="dxa"/>
            <w:tcBorders>
              <w:top w:val="nil"/>
              <w:left w:val="nil"/>
              <w:bottom w:val="single" w:sz="4" w:space="0" w:color="auto"/>
              <w:right w:val="single" w:sz="4" w:space="0" w:color="auto"/>
            </w:tcBorders>
            <w:shd w:val="clear" w:color="auto" w:fill="C6EFCE"/>
            <w:noWrap/>
            <w:vAlign w:val="center"/>
            <w:hideMark/>
          </w:tcPr>
          <w:p w14:paraId="193EE7AB" w14:textId="2107CDB0"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 6 – 2.2. Modernizácia – 16778_Digitizácia archívov</w:t>
            </w:r>
            <w:r w:rsidR="00083739" w:rsidRPr="00083739">
              <w:rPr>
                <w:rFonts w:cs="Times New Roman"/>
                <w:noProof/>
                <w:lang w:val="sk-SK"/>
              </w:rPr>
              <w:t xml:space="preserve"> a </w:t>
            </w:r>
            <w:r w:rsidRPr="00083739">
              <w:rPr>
                <w:rFonts w:cs="Times New Roman"/>
                <w:noProof/>
                <w:lang w:val="sk-SK"/>
              </w:rPr>
              <w:t>súvisiacich služieb</w:t>
            </w:r>
          </w:p>
        </w:tc>
        <w:tc>
          <w:tcPr>
            <w:tcW w:w="1680" w:type="dxa"/>
            <w:tcBorders>
              <w:top w:val="nil"/>
              <w:left w:val="nil"/>
              <w:bottom w:val="single" w:sz="4" w:space="0" w:color="auto"/>
              <w:right w:val="single" w:sz="4" w:space="0" w:color="auto"/>
            </w:tcBorders>
            <w:shd w:val="clear" w:color="auto" w:fill="C6EFCE"/>
            <w:noWrap/>
            <w:vAlign w:val="center"/>
            <w:hideMark/>
          </w:tcPr>
          <w:p w14:paraId="1D4A596C"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Cieľ</w:t>
            </w:r>
          </w:p>
        </w:tc>
        <w:tc>
          <w:tcPr>
            <w:tcW w:w="2280" w:type="dxa"/>
            <w:tcBorders>
              <w:top w:val="nil"/>
              <w:left w:val="nil"/>
              <w:bottom w:val="single" w:sz="4" w:space="0" w:color="auto"/>
              <w:right w:val="single" w:sz="4" w:space="0" w:color="auto"/>
            </w:tcBorders>
            <w:shd w:val="clear" w:color="auto" w:fill="C6EFCE"/>
            <w:noWrap/>
            <w:vAlign w:val="center"/>
            <w:hideMark/>
          </w:tcPr>
          <w:p w14:paraId="485556F4"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Digitalizácia</w:t>
            </w:r>
            <w:r w:rsidRPr="00083739">
              <w:rPr>
                <w:rFonts w:cs="Times New Roman"/>
                <w:noProof/>
                <w:lang w:val="sk-SK"/>
              </w:rPr>
              <w:t xml:space="preserve"> archívov – úplné vykonávanie</w:t>
            </w:r>
          </w:p>
        </w:tc>
      </w:tr>
      <w:tr w:rsidR="002D49B0" w:rsidRPr="00083739" w14:paraId="6FC4596D"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hideMark/>
          </w:tcPr>
          <w:p w14:paraId="4A5B252E"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95a</w:t>
            </w:r>
          </w:p>
        </w:tc>
        <w:tc>
          <w:tcPr>
            <w:tcW w:w="4320" w:type="dxa"/>
            <w:tcBorders>
              <w:top w:val="nil"/>
              <w:left w:val="nil"/>
              <w:bottom w:val="single" w:sz="4" w:space="0" w:color="auto"/>
              <w:right w:val="single" w:sz="4" w:space="0" w:color="auto"/>
            </w:tcBorders>
            <w:shd w:val="clear" w:color="auto" w:fill="C6EFCE"/>
            <w:noWrap/>
            <w:hideMark/>
          </w:tcPr>
          <w:p w14:paraId="25AE26B6" w14:textId="6DEF1E42"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6 – 2.2. Modernizácia – 16778_Digitizácia archívov</w:t>
            </w:r>
            <w:r w:rsidR="00083739" w:rsidRPr="00083739">
              <w:rPr>
                <w:rFonts w:cs="Times New Roman"/>
                <w:noProof/>
                <w:lang w:val="sk-SK"/>
              </w:rPr>
              <w:t xml:space="preserve"> a </w:t>
            </w:r>
            <w:r w:rsidRPr="00083739">
              <w:rPr>
                <w:rFonts w:cs="Times New Roman"/>
                <w:noProof/>
                <w:lang w:val="sk-SK"/>
              </w:rPr>
              <w:t>súvisiacich služieb</w:t>
            </w:r>
          </w:p>
        </w:tc>
        <w:tc>
          <w:tcPr>
            <w:tcW w:w="1680" w:type="dxa"/>
            <w:tcBorders>
              <w:top w:val="nil"/>
              <w:left w:val="nil"/>
              <w:bottom w:val="single" w:sz="4" w:space="0" w:color="auto"/>
              <w:right w:val="single" w:sz="4" w:space="0" w:color="auto"/>
            </w:tcBorders>
            <w:shd w:val="clear" w:color="auto" w:fill="C6EFCE"/>
            <w:noWrap/>
            <w:hideMark/>
          </w:tcPr>
          <w:p w14:paraId="250FD528"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hideMark/>
          </w:tcPr>
          <w:p w14:paraId="6B712C7B" w14:textId="1163B804"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Realizácia čiastkových projektov 7B</w:t>
            </w:r>
            <w:r w:rsidR="00083739" w:rsidRPr="00083739">
              <w:rPr>
                <w:rFonts w:cs="Times New Roman"/>
                <w:noProof/>
                <w:lang w:val="sk-SK"/>
              </w:rPr>
              <w:t xml:space="preserve"> a </w:t>
            </w:r>
            <w:r w:rsidRPr="00083739">
              <w:rPr>
                <w:rFonts w:cs="Times New Roman"/>
                <w:noProof/>
                <w:lang w:val="sk-SK"/>
              </w:rPr>
              <w:t>9</w:t>
            </w:r>
          </w:p>
        </w:tc>
      </w:tr>
      <w:tr w:rsidR="002D49B0" w:rsidRPr="00083739" w14:paraId="0976B6E7"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5AA7966B"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99</w:t>
            </w:r>
          </w:p>
        </w:tc>
        <w:tc>
          <w:tcPr>
            <w:tcW w:w="4320" w:type="dxa"/>
            <w:tcBorders>
              <w:top w:val="nil"/>
              <w:left w:val="nil"/>
              <w:bottom w:val="single" w:sz="4" w:space="0" w:color="auto"/>
              <w:right w:val="single" w:sz="4" w:space="0" w:color="auto"/>
            </w:tcBorders>
            <w:shd w:val="clear" w:color="auto" w:fill="C6EFCE"/>
            <w:noWrap/>
            <w:vAlign w:val="center"/>
            <w:hideMark/>
          </w:tcPr>
          <w:p w14:paraId="6A426F65" w14:textId="5B10E418"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 6 – 2.2. Modernizácia – 16929_ Smerom</w:t>
            </w:r>
            <w:r w:rsidR="00083739" w:rsidRPr="00083739">
              <w:rPr>
                <w:rFonts w:cs="Times New Roman"/>
                <w:noProof/>
                <w:lang w:val="sk-SK"/>
              </w:rPr>
              <w:t xml:space="preserve"> k </w:t>
            </w:r>
            <w:r w:rsidRPr="00083739">
              <w:rPr>
                <w:rFonts w:cs="Times New Roman"/>
                <w:noProof/>
                <w:lang w:val="sk-SK"/>
              </w:rPr>
              <w:t xml:space="preserve">službám verejnej správy zameraným na zákazníka </w:t>
            </w:r>
            <w:r w:rsidRPr="00083739">
              <w:rPr>
                <w:rFonts w:cs="Times New Roman"/>
                <w:noProof/>
                <w:lang w:val="sk-SK"/>
              </w:rPr>
              <w:t>prostredníctvom zjednodušenia</w:t>
            </w:r>
            <w:r w:rsidR="00083739" w:rsidRPr="00083739">
              <w:rPr>
                <w:rFonts w:cs="Times New Roman"/>
                <w:noProof/>
                <w:lang w:val="sk-SK"/>
              </w:rPr>
              <w:t xml:space="preserve"> a </w:t>
            </w:r>
            <w:r w:rsidRPr="00083739">
              <w:rPr>
                <w:rFonts w:cs="Times New Roman"/>
                <w:noProof/>
                <w:lang w:val="sk-SK"/>
              </w:rPr>
              <w:t>zlepšenia procesov, zlepšenia systémov</w:t>
            </w:r>
            <w:r w:rsidR="00083739" w:rsidRPr="00083739">
              <w:rPr>
                <w:rFonts w:cs="Times New Roman"/>
                <w:noProof/>
                <w:lang w:val="sk-SK"/>
              </w:rPr>
              <w:t xml:space="preserve"> a </w:t>
            </w:r>
            <w:r w:rsidRPr="00083739">
              <w:rPr>
                <w:rFonts w:cs="Times New Roman"/>
                <w:noProof/>
                <w:lang w:val="sk-SK"/>
              </w:rPr>
              <w:t>súladu</w:t>
            </w:r>
            <w:r w:rsidR="00083739" w:rsidRPr="00083739">
              <w:rPr>
                <w:rFonts w:cs="Times New Roman"/>
                <w:noProof/>
                <w:lang w:val="sk-SK"/>
              </w:rPr>
              <w:t xml:space="preserve"> s </w:t>
            </w:r>
            <w:r w:rsidRPr="00083739">
              <w:rPr>
                <w:rFonts w:cs="Times New Roman"/>
                <w:noProof/>
                <w:lang w:val="sk-SK"/>
              </w:rPr>
              <w:t>európskymi stratégiami</w:t>
            </w:r>
            <w:r w:rsidR="00083739" w:rsidRPr="00083739">
              <w:rPr>
                <w:rFonts w:cs="Times New Roman"/>
                <w:noProof/>
                <w:lang w:val="sk-SK"/>
              </w:rPr>
              <w:t xml:space="preserve"> a </w:t>
            </w:r>
            <w:r w:rsidRPr="00083739">
              <w:rPr>
                <w:rFonts w:cs="Times New Roman"/>
                <w:noProof/>
                <w:lang w:val="sk-SK"/>
              </w:rPr>
              <w:t>politikami</w:t>
            </w:r>
          </w:p>
        </w:tc>
        <w:tc>
          <w:tcPr>
            <w:tcW w:w="1680" w:type="dxa"/>
            <w:tcBorders>
              <w:top w:val="nil"/>
              <w:left w:val="nil"/>
              <w:bottom w:val="single" w:sz="4" w:space="0" w:color="auto"/>
              <w:right w:val="single" w:sz="4" w:space="0" w:color="auto"/>
            </w:tcBorders>
            <w:shd w:val="clear" w:color="auto" w:fill="C6EFCE"/>
            <w:noWrap/>
            <w:vAlign w:val="center"/>
            <w:hideMark/>
          </w:tcPr>
          <w:p w14:paraId="11B85E72"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690BEC57" w14:textId="79AC5EEE"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Dokončenie stratégie na zníženie administratívnej záťaže</w:t>
            </w:r>
            <w:r w:rsidR="00083739" w:rsidRPr="00083739">
              <w:rPr>
                <w:rFonts w:cs="Times New Roman"/>
                <w:noProof/>
                <w:lang w:val="sk-SK"/>
              </w:rPr>
              <w:t xml:space="preserve"> a </w:t>
            </w:r>
            <w:r w:rsidRPr="00083739">
              <w:rPr>
                <w:rFonts w:cs="Times New Roman"/>
                <w:noProof/>
                <w:lang w:val="sk-SK"/>
              </w:rPr>
              <w:t>národného plánu na zjednodušenie procesov (záverečná fáza)</w:t>
            </w:r>
          </w:p>
        </w:tc>
      </w:tr>
      <w:tr w:rsidR="002D49B0" w:rsidRPr="00083739" w14:paraId="14B9F40F" w14:textId="77777777">
        <w:trPr>
          <w:trHeight w:val="300"/>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51DCDC19" w14:textId="027E072F" w:rsidR="002D49B0" w:rsidRPr="00083739" w:rsidRDefault="00BF4125">
            <w:pPr>
              <w:pStyle w:val="P68B1DB1-Normal49"/>
              <w:keepNext/>
              <w:spacing w:before="40" w:after="0" w:line="240" w:lineRule="auto"/>
              <w:jc w:val="both"/>
              <w:rPr>
                <w:rFonts w:eastAsia="Times New Roman" w:cs="Times New Roman"/>
                <w:noProof/>
                <w:lang w:val="sk-SK"/>
              </w:rPr>
            </w:pPr>
            <w:r w:rsidRPr="00083739">
              <w:rPr>
                <w:rFonts w:cs="Times New Roman"/>
                <w:noProof/>
                <w:lang w:val="sk-SK"/>
              </w:rPr>
              <w:t>108</w:t>
            </w:r>
          </w:p>
        </w:tc>
        <w:tc>
          <w:tcPr>
            <w:tcW w:w="4320" w:type="dxa"/>
            <w:tcBorders>
              <w:top w:val="nil"/>
              <w:left w:val="nil"/>
              <w:bottom w:val="single" w:sz="4" w:space="0" w:color="auto"/>
              <w:right w:val="single" w:sz="4" w:space="0" w:color="auto"/>
            </w:tcBorders>
            <w:shd w:val="clear" w:color="auto" w:fill="C6EFCE"/>
            <w:noWrap/>
            <w:vAlign w:val="center"/>
          </w:tcPr>
          <w:p w14:paraId="15360C51" w14:textId="21FF6DBE" w:rsidR="002D49B0" w:rsidRPr="00083739" w:rsidRDefault="00BF4125">
            <w:pPr>
              <w:pStyle w:val="P68B1DB1-Normal49"/>
              <w:keepNext/>
              <w:spacing w:before="40" w:after="0" w:line="240" w:lineRule="auto"/>
              <w:jc w:val="both"/>
              <w:rPr>
                <w:rFonts w:eastAsia="Times New Roman" w:cs="Times New Roman"/>
                <w:noProof/>
                <w:lang w:val="sk-SK"/>
              </w:rPr>
            </w:pPr>
            <w:r w:rsidRPr="00083739">
              <w:rPr>
                <w:rFonts w:cs="Times New Roman"/>
                <w:noProof/>
                <w:lang w:val="sk-SK"/>
              </w:rPr>
              <w:t>6 – 2.2.</w:t>
            </w:r>
            <w:r w:rsidRPr="00083739">
              <w:rPr>
                <w:rFonts w:cs="Times New Roman"/>
                <w:noProof/>
                <w:lang w:val="sk-SK"/>
              </w:rPr>
              <w:t xml:space="preserve"> Modernizácia – 16779_Interoperabilita</w:t>
            </w:r>
            <w:r w:rsidR="00083739" w:rsidRPr="00083739">
              <w:rPr>
                <w:rFonts w:cs="Times New Roman"/>
                <w:noProof/>
                <w:lang w:val="sk-SK"/>
              </w:rPr>
              <w:t xml:space="preserve"> a </w:t>
            </w:r>
            <w:r w:rsidRPr="00083739">
              <w:rPr>
                <w:rFonts w:cs="Times New Roman"/>
                <w:noProof/>
                <w:lang w:val="sk-SK"/>
              </w:rPr>
              <w:t>rozvoj webových služieb</w:t>
            </w:r>
          </w:p>
        </w:tc>
        <w:tc>
          <w:tcPr>
            <w:tcW w:w="1680" w:type="dxa"/>
            <w:tcBorders>
              <w:top w:val="nil"/>
              <w:left w:val="nil"/>
              <w:bottom w:val="single" w:sz="4" w:space="0" w:color="auto"/>
              <w:right w:val="single" w:sz="4" w:space="0" w:color="auto"/>
            </w:tcBorders>
            <w:shd w:val="clear" w:color="auto" w:fill="C6EFCE"/>
            <w:noWrap/>
            <w:vAlign w:val="center"/>
          </w:tcPr>
          <w:p w14:paraId="7C58ED3B" w14:textId="556C2308" w:rsidR="002D49B0" w:rsidRPr="00083739" w:rsidRDefault="00BF4125">
            <w:pPr>
              <w:pStyle w:val="P68B1DB1-Normal49"/>
              <w:keepNext/>
              <w:spacing w:before="40" w:after="0" w:line="240" w:lineRule="auto"/>
              <w:jc w:val="both"/>
              <w:rPr>
                <w:rFonts w:eastAsia="Times New Roman" w:cs="Times New Roman"/>
                <w:noProof/>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44894CCF" w14:textId="32907866" w:rsidR="002D49B0" w:rsidRPr="00083739" w:rsidRDefault="00BF4125">
            <w:pPr>
              <w:pStyle w:val="P68B1DB1-Normal49"/>
              <w:keepNext/>
              <w:spacing w:before="40" w:after="0" w:line="240" w:lineRule="auto"/>
              <w:jc w:val="both"/>
              <w:rPr>
                <w:rFonts w:eastAsia="Times New Roman" w:cs="Times New Roman"/>
                <w:noProof/>
                <w:lang w:val="sk-SK"/>
              </w:rPr>
            </w:pPr>
            <w:r w:rsidRPr="00083739">
              <w:rPr>
                <w:rFonts w:cs="Times New Roman"/>
                <w:noProof/>
                <w:lang w:val="sk-SK"/>
              </w:rPr>
              <w:t>Dokončenie projektu Interoperabilita</w:t>
            </w:r>
            <w:r w:rsidR="00083739" w:rsidRPr="00083739">
              <w:rPr>
                <w:rFonts w:cs="Times New Roman"/>
                <w:noProof/>
                <w:lang w:val="sk-SK"/>
              </w:rPr>
              <w:t xml:space="preserve"> a </w:t>
            </w:r>
            <w:r w:rsidRPr="00083739">
              <w:rPr>
                <w:rFonts w:cs="Times New Roman"/>
                <w:noProof/>
                <w:lang w:val="sk-SK"/>
              </w:rPr>
              <w:t>rozvoj webových služieb</w:t>
            </w:r>
          </w:p>
        </w:tc>
      </w:tr>
      <w:tr w:rsidR="002D49B0" w:rsidRPr="00083739" w14:paraId="13C91743"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2A53619C"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119</w:t>
            </w:r>
          </w:p>
        </w:tc>
        <w:tc>
          <w:tcPr>
            <w:tcW w:w="4320" w:type="dxa"/>
            <w:tcBorders>
              <w:top w:val="nil"/>
              <w:left w:val="nil"/>
              <w:bottom w:val="single" w:sz="4" w:space="0" w:color="auto"/>
              <w:right w:val="single" w:sz="4" w:space="0" w:color="auto"/>
            </w:tcBorders>
            <w:shd w:val="clear" w:color="auto" w:fill="C6EFCE"/>
            <w:noWrap/>
            <w:vAlign w:val="center"/>
            <w:hideMark/>
          </w:tcPr>
          <w:p w14:paraId="5BD45F28"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6 – 2.2. Modernizácia – 16736_Nový systém verejného obstarávania</w:t>
            </w:r>
          </w:p>
        </w:tc>
        <w:tc>
          <w:tcPr>
            <w:tcW w:w="1680" w:type="dxa"/>
            <w:tcBorders>
              <w:top w:val="nil"/>
              <w:left w:val="nil"/>
              <w:bottom w:val="single" w:sz="4" w:space="0" w:color="auto"/>
              <w:right w:val="single" w:sz="4" w:space="0" w:color="auto"/>
            </w:tcBorders>
            <w:shd w:val="clear" w:color="auto" w:fill="C6EFCE"/>
            <w:noWrap/>
            <w:vAlign w:val="center"/>
            <w:hideMark/>
          </w:tcPr>
          <w:p w14:paraId="7D53784A"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063AAB45"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 xml:space="preserve">Dokončenie nového systému verejného obstarávania </w:t>
            </w:r>
          </w:p>
        </w:tc>
      </w:tr>
      <w:tr w:rsidR="002D49B0" w:rsidRPr="00083739" w14:paraId="6F1BB997"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248E2ABA"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120</w:t>
            </w:r>
          </w:p>
        </w:tc>
        <w:tc>
          <w:tcPr>
            <w:tcW w:w="4320" w:type="dxa"/>
            <w:tcBorders>
              <w:top w:val="nil"/>
              <w:left w:val="nil"/>
              <w:bottom w:val="single" w:sz="4" w:space="0" w:color="auto"/>
              <w:right w:val="single" w:sz="4" w:space="0" w:color="auto"/>
            </w:tcBorders>
            <w:shd w:val="clear" w:color="auto" w:fill="C6EFCE"/>
            <w:noWrap/>
            <w:vAlign w:val="center"/>
            <w:hideMark/>
          </w:tcPr>
          <w:p w14:paraId="7D09DCAF"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6 – 2.2. Modernizácia – 16824_ERegistre</w:t>
            </w:r>
          </w:p>
        </w:tc>
        <w:tc>
          <w:tcPr>
            <w:tcW w:w="1680" w:type="dxa"/>
            <w:tcBorders>
              <w:top w:val="nil"/>
              <w:left w:val="nil"/>
              <w:bottom w:val="single" w:sz="4" w:space="0" w:color="auto"/>
              <w:right w:val="single" w:sz="4" w:space="0" w:color="auto"/>
            </w:tcBorders>
            <w:shd w:val="clear" w:color="auto" w:fill="C6EFCE"/>
            <w:noWrap/>
            <w:vAlign w:val="center"/>
            <w:hideMark/>
          </w:tcPr>
          <w:p w14:paraId="7E6431D6"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64D8E024"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 xml:space="preserve">Dokončenie projektu ERegistries </w:t>
            </w:r>
          </w:p>
        </w:tc>
      </w:tr>
      <w:tr w:rsidR="002D49B0" w:rsidRPr="00083739" w14:paraId="66301367"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15ABC101"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123</w:t>
            </w:r>
          </w:p>
        </w:tc>
        <w:tc>
          <w:tcPr>
            <w:tcW w:w="4320" w:type="dxa"/>
            <w:tcBorders>
              <w:top w:val="nil"/>
              <w:left w:val="nil"/>
              <w:bottom w:val="single" w:sz="4" w:space="0" w:color="auto"/>
              <w:right w:val="single" w:sz="4" w:space="0" w:color="auto"/>
            </w:tcBorders>
            <w:shd w:val="clear" w:color="auto" w:fill="C6EFCE"/>
            <w:noWrap/>
            <w:vAlign w:val="center"/>
            <w:hideMark/>
          </w:tcPr>
          <w:p w14:paraId="7918139C"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6 – 2.2. Modernizácia – 16854_Inteligentné mestá</w:t>
            </w:r>
          </w:p>
        </w:tc>
        <w:tc>
          <w:tcPr>
            <w:tcW w:w="1680" w:type="dxa"/>
            <w:tcBorders>
              <w:top w:val="nil"/>
              <w:left w:val="nil"/>
              <w:bottom w:val="single" w:sz="4" w:space="0" w:color="auto"/>
              <w:right w:val="single" w:sz="4" w:space="0" w:color="auto"/>
            </w:tcBorders>
            <w:shd w:val="clear" w:color="auto" w:fill="C6EFCE"/>
            <w:noWrap/>
            <w:vAlign w:val="center"/>
            <w:hideMark/>
          </w:tcPr>
          <w:p w14:paraId="2BB5361E"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Cieľ</w:t>
            </w:r>
          </w:p>
        </w:tc>
        <w:tc>
          <w:tcPr>
            <w:tcW w:w="2280" w:type="dxa"/>
            <w:tcBorders>
              <w:top w:val="nil"/>
              <w:left w:val="nil"/>
              <w:bottom w:val="single" w:sz="4" w:space="0" w:color="auto"/>
              <w:right w:val="single" w:sz="4" w:space="0" w:color="auto"/>
            </w:tcBorders>
            <w:shd w:val="clear" w:color="auto" w:fill="C6EFCE"/>
            <w:noWrap/>
            <w:vAlign w:val="center"/>
            <w:hideMark/>
          </w:tcPr>
          <w:p w14:paraId="61E9ECD8"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Úplná realizácia projektov inteligentných miest</w:t>
            </w:r>
          </w:p>
        </w:tc>
      </w:tr>
      <w:tr w:rsidR="002D49B0" w:rsidRPr="00083739" w14:paraId="29A39C51"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5D6536B3"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124</w:t>
            </w:r>
          </w:p>
        </w:tc>
        <w:tc>
          <w:tcPr>
            <w:tcW w:w="4320" w:type="dxa"/>
            <w:tcBorders>
              <w:top w:val="nil"/>
              <w:left w:val="nil"/>
              <w:bottom w:val="single" w:sz="4" w:space="0" w:color="auto"/>
              <w:right w:val="single" w:sz="4" w:space="0" w:color="auto"/>
            </w:tcBorders>
            <w:shd w:val="clear" w:color="auto" w:fill="C6EFCE"/>
            <w:noWrap/>
            <w:vAlign w:val="center"/>
            <w:hideMark/>
          </w:tcPr>
          <w:p w14:paraId="0EF05A88" w14:textId="11B1B74B"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 xml:space="preserve">6 – 2.2. </w:t>
            </w:r>
            <w:r w:rsidRPr="00083739">
              <w:rPr>
                <w:rFonts w:cs="Times New Roman"/>
                <w:noProof/>
                <w:lang w:val="sk-SK"/>
              </w:rPr>
              <w:t>Modernizácia – 16928_Začlenenie nových technológií</w:t>
            </w:r>
            <w:r w:rsidR="00083739" w:rsidRPr="00083739">
              <w:rPr>
                <w:rFonts w:cs="Times New Roman"/>
                <w:noProof/>
                <w:lang w:val="sk-SK"/>
              </w:rPr>
              <w:t xml:space="preserve"> a </w:t>
            </w:r>
            <w:r w:rsidRPr="00083739">
              <w:rPr>
                <w:rFonts w:cs="Times New Roman"/>
                <w:noProof/>
                <w:lang w:val="sk-SK"/>
              </w:rPr>
              <w:t>trendov smerom</w:t>
            </w:r>
            <w:r w:rsidR="00083739" w:rsidRPr="00083739">
              <w:rPr>
                <w:rFonts w:cs="Times New Roman"/>
                <w:noProof/>
                <w:lang w:val="sk-SK"/>
              </w:rPr>
              <w:t xml:space="preserve"> k </w:t>
            </w:r>
            <w:r w:rsidRPr="00083739">
              <w:rPr>
                <w:rFonts w:cs="Times New Roman"/>
                <w:noProof/>
                <w:lang w:val="sk-SK"/>
              </w:rPr>
              <w:t>pokročilým službám verejnej správy, zvýšenie efektívnosti</w:t>
            </w:r>
            <w:r w:rsidR="00083739" w:rsidRPr="00083739">
              <w:rPr>
                <w:rFonts w:cs="Times New Roman"/>
                <w:noProof/>
                <w:lang w:val="sk-SK"/>
              </w:rPr>
              <w:t xml:space="preserve"> a </w:t>
            </w:r>
            <w:r w:rsidRPr="00083739">
              <w:rPr>
                <w:rFonts w:cs="Times New Roman"/>
                <w:noProof/>
                <w:lang w:val="sk-SK"/>
              </w:rPr>
              <w:t>účinnosti</w:t>
            </w:r>
            <w:r w:rsidR="00083739" w:rsidRPr="00083739">
              <w:rPr>
                <w:rFonts w:cs="Times New Roman"/>
                <w:noProof/>
                <w:lang w:val="sk-SK"/>
              </w:rPr>
              <w:t xml:space="preserve"> a </w:t>
            </w:r>
            <w:r w:rsidRPr="00083739">
              <w:rPr>
                <w:rFonts w:cs="Times New Roman"/>
                <w:noProof/>
                <w:lang w:val="sk-SK"/>
              </w:rPr>
              <w:t>zníženie nákladov na prevádzku, modernizáciu</w:t>
            </w:r>
            <w:r w:rsidR="00083739" w:rsidRPr="00083739">
              <w:rPr>
                <w:rFonts w:cs="Times New Roman"/>
                <w:noProof/>
                <w:lang w:val="sk-SK"/>
              </w:rPr>
              <w:t xml:space="preserve"> a </w:t>
            </w:r>
            <w:r w:rsidRPr="00083739">
              <w:rPr>
                <w:rFonts w:cs="Times New Roman"/>
                <w:noProof/>
                <w:lang w:val="sk-SK"/>
              </w:rPr>
              <w:t>údržbu systémov</w:t>
            </w:r>
          </w:p>
        </w:tc>
        <w:tc>
          <w:tcPr>
            <w:tcW w:w="1680" w:type="dxa"/>
            <w:tcBorders>
              <w:top w:val="nil"/>
              <w:left w:val="nil"/>
              <w:bottom w:val="single" w:sz="4" w:space="0" w:color="auto"/>
              <w:right w:val="single" w:sz="4" w:space="0" w:color="auto"/>
            </w:tcBorders>
            <w:shd w:val="clear" w:color="auto" w:fill="C6EFCE"/>
            <w:noWrap/>
            <w:vAlign w:val="center"/>
            <w:hideMark/>
          </w:tcPr>
          <w:p w14:paraId="35CDBD4B"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30E3AE54" w14:textId="0C2E417F"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Rámec pre začlenenie nových technológií do v</w:t>
            </w:r>
            <w:r w:rsidRPr="00083739">
              <w:rPr>
                <w:rFonts w:cs="Times New Roman"/>
                <w:noProof/>
                <w:lang w:val="sk-SK"/>
              </w:rPr>
              <w:t>erejnej správy</w:t>
            </w:r>
          </w:p>
        </w:tc>
      </w:tr>
      <w:tr w:rsidR="002D49B0" w:rsidRPr="00083739" w14:paraId="5F5AC5C9"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04B09410"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125</w:t>
            </w:r>
          </w:p>
        </w:tc>
        <w:tc>
          <w:tcPr>
            <w:tcW w:w="4320" w:type="dxa"/>
            <w:tcBorders>
              <w:top w:val="nil"/>
              <w:left w:val="nil"/>
              <w:bottom w:val="single" w:sz="4" w:space="0" w:color="auto"/>
              <w:right w:val="single" w:sz="4" w:space="0" w:color="auto"/>
            </w:tcBorders>
            <w:shd w:val="clear" w:color="auto" w:fill="C6EFCE"/>
            <w:noWrap/>
            <w:vAlign w:val="center"/>
            <w:hideMark/>
          </w:tcPr>
          <w:p w14:paraId="052CEBFA" w14:textId="3A3DEA5D"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6 – 2.2. Modernizácia – 16955_modernizácia cloudovej výpočtovej infraštruktúry</w:t>
            </w:r>
            <w:r w:rsidR="00083739" w:rsidRPr="00083739">
              <w:rPr>
                <w:rFonts w:cs="Times New Roman"/>
                <w:noProof/>
                <w:lang w:val="sk-SK"/>
              </w:rPr>
              <w:t xml:space="preserve"> a </w:t>
            </w:r>
            <w:r w:rsidRPr="00083739">
              <w:rPr>
                <w:rFonts w:cs="Times New Roman"/>
                <w:noProof/>
                <w:lang w:val="sk-SK"/>
              </w:rPr>
              <w:t>služieb národných výskumných</w:t>
            </w:r>
            <w:r w:rsidR="00083739" w:rsidRPr="00083739">
              <w:rPr>
                <w:rFonts w:cs="Times New Roman"/>
                <w:noProof/>
                <w:lang w:val="sk-SK"/>
              </w:rPr>
              <w:t xml:space="preserve"> a </w:t>
            </w:r>
            <w:r w:rsidRPr="00083739">
              <w:rPr>
                <w:rFonts w:cs="Times New Roman"/>
                <w:noProof/>
                <w:lang w:val="sk-SK"/>
              </w:rPr>
              <w:t>technologických infraštruktúr (GRNET)</w:t>
            </w:r>
          </w:p>
        </w:tc>
        <w:tc>
          <w:tcPr>
            <w:tcW w:w="1680" w:type="dxa"/>
            <w:tcBorders>
              <w:top w:val="nil"/>
              <w:left w:val="nil"/>
              <w:bottom w:val="single" w:sz="4" w:space="0" w:color="auto"/>
              <w:right w:val="single" w:sz="4" w:space="0" w:color="auto"/>
            </w:tcBorders>
            <w:shd w:val="clear" w:color="auto" w:fill="C6EFCE"/>
            <w:noWrap/>
            <w:vAlign w:val="center"/>
            <w:hideMark/>
          </w:tcPr>
          <w:p w14:paraId="27659835"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7F8D008B"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 xml:space="preserve">Dokončenie siete GRNET </w:t>
            </w:r>
          </w:p>
        </w:tc>
      </w:tr>
      <w:tr w:rsidR="002D49B0" w:rsidRPr="00083739" w14:paraId="15D25057"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3862A270"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127</w:t>
            </w:r>
          </w:p>
        </w:tc>
        <w:tc>
          <w:tcPr>
            <w:tcW w:w="4320" w:type="dxa"/>
            <w:tcBorders>
              <w:top w:val="nil"/>
              <w:left w:val="nil"/>
              <w:bottom w:val="single" w:sz="4" w:space="0" w:color="auto"/>
              <w:right w:val="single" w:sz="4" w:space="0" w:color="auto"/>
            </w:tcBorders>
            <w:shd w:val="clear" w:color="auto" w:fill="C6EFCE"/>
            <w:noWrap/>
            <w:vAlign w:val="center"/>
            <w:hideMark/>
          </w:tcPr>
          <w:p w14:paraId="3AFE642D"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6 – 2.2. Modernizácia – 16956_rozšírenie Syzefksis</w:t>
            </w:r>
            <w:r w:rsidRPr="00083739">
              <w:rPr>
                <w:rFonts w:cs="Times New Roman"/>
                <w:noProof/>
                <w:lang w:val="sk-SK"/>
              </w:rPr>
              <w:t xml:space="preserve"> II</w:t>
            </w:r>
          </w:p>
        </w:tc>
        <w:tc>
          <w:tcPr>
            <w:tcW w:w="1680" w:type="dxa"/>
            <w:tcBorders>
              <w:top w:val="nil"/>
              <w:left w:val="nil"/>
              <w:bottom w:val="single" w:sz="4" w:space="0" w:color="auto"/>
              <w:right w:val="single" w:sz="4" w:space="0" w:color="auto"/>
            </w:tcBorders>
            <w:shd w:val="clear" w:color="auto" w:fill="C6EFCE"/>
            <w:noWrap/>
            <w:vAlign w:val="center"/>
            <w:hideMark/>
          </w:tcPr>
          <w:p w14:paraId="4C55E2BF"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15E88F68"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Ukončenie Syzefksis II</w:t>
            </w:r>
          </w:p>
        </w:tc>
      </w:tr>
      <w:tr w:rsidR="002D49B0" w:rsidRPr="00083739" w14:paraId="77284107"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4060DEFD"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128</w:t>
            </w:r>
          </w:p>
        </w:tc>
        <w:tc>
          <w:tcPr>
            <w:tcW w:w="4320" w:type="dxa"/>
            <w:tcBorders>
              <w:top w:val="nil"/>
              <w:left w:val="nil"/>
              <w:bottom w:val="single" w:sz="4" w:space="0" w:color="auto"/>
              <w:right w:val="single" w:sz="4" w:space="0" w:color="auto"/>
            </w:tcBorders>
            <w:shd w:val="clear" w:color="auto" w:fill="C6EFCE"/>
            <w:noWrap/>
            <w:vAlign w:val="center"/>
            <w:hideMark/>
          </w:tcPr>
          <w:p w14:paraId="5F577164" w14:textId="707F940D"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6 – 2.2. Modernizácia – 16827_Stratégia správy údajov</w:t>
            </w:r>
            <w:r w:rsidR="00083739" w:rsidRPr="00083739">
              <w:rPr>
                <w:rFonts w:cs="Times New Roman"/>
                <w:noProof/>
                <w:lang w:val="sk-SK"/>
              </w:rPr>
              <w:t xml:space="preserve"> a </w:t>
            </w:r>
            <w:r w:rsidRPr="00083739">
              <w:rPr>
                <w:rFonts w:cs="Times New Roman"/>
                <w:noProof/>
                <w:lang w:val="sk-SK"/>
              </w:rPr>
              <w:t>politiky pre verejný sektor</w:t>
            </w:r>
          </w:p>
        </w:tc>
        <w:tc>
          <w:tcPr>
            <w:tcW w:w="1680" w:type="dxa"/>
            <w:tcBorders>
              <w:top w:val="nil"/>
              <w:left w:val="nil"/>
              <w:bottom w:val="single" w:sz="4" w:space="0" w:color="auto"/>
              <w:right w:val="single" w:sz="4" w:space="0" w:color="auto"/>
            </w:tcBorders>
            <w:shd w:val="clear" w:color="auto" w:fill="C6EFCE"/>
            <w:noWrap/>
            <w:vAlign w:val="center"/>
            <w:hideMark/>
          </w:tcPr>
          <w:p w14:paraId="38A5EF3B"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50D78579"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Dokončenie stratégie správy údajov</w:t>
            </w:r>
          </w:p>
        </w:tc>
      </w:tr>
      <w:tr w:rsidR="002D49B0" w:rsidRPr="00083739" w14:paraId="614E25D4"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5E53B415"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129</w:t>
            </w:r>
          </w:p>
        </w:tc>
        <w:tc>
          <w:tcPr>
            <w:tcW w:w="4320" w:type="dxa"/>
            <w:tcBorders>
              <w:top w:val="nil"/>
              <w:left w:val="nil"/>
              <w:bottom w:val="single" w:sz="4" w:space="0" w:color="auto"/>
              <w:right w:val="single" w:sz="4" w:space="0" w:color="auto"/>
            </w:tcBorders>
            <w:shd w:val="clear" w:color="auto" w:fill="C6EFCE"/>
            <w:noWrap/>
            <w:vAlign w:val="center"/>
            <w:hideMark/>
          </w:tcPr>
          <w:p w14:paraId="4C308449"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6 – 2.2. Modernizácia – 16842_centrálna BI – Analýza údajov</w:t>
            </w:r>
          </w:p>
        </w:tc>
        <w:tc>
          <w:tcPr>
            <w:tcW w:w="1680" w:type="dxa"/>
            <w:tcBorders>
              <w:top w:val="nil"/>
              <w:left w:val="nil"/>
              <w:bottom w:val="single" w:sz="4" w:space="0" w:color="auto"/>
              <w:right w:val="single" w:sz="4" w:space="0" w:color="auto"/>
            </w:tcBorders>
            <w:shd w:val="clear" w:color="auto" w:fill="C6EFCE"/>
            <w:noWrap/>
            <w:vAlign w:val="center"/>
            <w:hideMark/>
          </w:tcPr>
          <w:p w14:paraId="7C4FCB9E"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1C436A35"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 xml:space="preserve">Dokončenie </w:t>
            </w:r>
            <w:r w:rsidRPr="00083739">
              <w:rPr>
                <w:rFonts w:cs="Times New Roman"/>
                <w:noProof/>
                <w:lang w:val="sk-SK"/>
              </w:rPr>
              <w:t>centrálnej BI</w:t>
            </w:r>
          </w:p>
        </w:tc>
      </w:tr>
      <w:tr w:rsidR="002D49B0" w:rsidRPr="00083739" w14:paraId="24049708"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245AECC8" w14:textId="57C25D41" w:rsidR="002D49B0" w:rsidRPr="00083739" w:rsidRDefault="00BF4125">
            <w:pPr>
              <w:pStyle w:val="P68B1DB1-Normal49"/>
              <w:spacing w:line="240" w:lineRule="auto"/>
              <w:jc w:val="both"/>
              <w:rPr>
                <w:rFonts w:cs="Times New Roman"/>
                <w:noProof/>
                <w:lang w:val="sk-SK"/>
              </w:rPr>
            </w:pPr>
            <w:r w:rsidRPr="00083739">
              <w:rPr>
                <w:rFonts w:cs="Times New Roman"/>
                <w:noProof/>
                <w:lang w:val="sk-SK"/>
              </w:rPr>
              <w:t>131a</w:t>
            </w:r>
          </w:p>
        </w:tc>
        <w:tc>
          <w:tcPr>
            <w:tcW w:w="4320" w:type="dxa"/>
            <w:tcBorders>
              <w:top w:val="nil"/>
              <w:left w:val="nil"/>
              <w:bottom w:val="single" w:sz="4" w:space="0" w:color="auto"/>
              <w:right w:val="single" w:sz="4" w:space="0" w:color="auto"/>
            </w:tcBorders>
            <w:shd w:val="clear" w:color="auto" w:fill="C6EFCE"/>
            <w:noWrap/>
            <w:vAlign w:val="center"/>
          </w:tcPr>
          <w:p w14:paraId="386650D7" w14:textId="77777777" w:rsidR="002D49B0" w:rsidRPr="00083739" w:rsidRDefault="00BF4125">
            <w:pPr>
              <w:pStyle w:val="P68B1DB1-Normal49"/>
              <w:keepNext/>
              <w:spacing w:before="40" w:after="0" w:line="240" w:lineRule="auto"/>
              <w:jc w:val="both"/>
              <w:rPr>
                <w:rFonts w:eastAsia="Times New Roman" w:cs="Times New Roman"/>
                <w:noProof/>
                <w:lang w:val="sk-SK"/>
              </w:rPr>
            </w:pPr>
            <w:r w:rsidRPr="00083739">
              <w:rPr>
                <w:rFonts w:cs="Times New Roman"/>
                <w:noProof/>
                <w:lang w:val="sk-SK"/>
              </w:rPr>
              <w:t>7 – 2.3. Digitalizácia podnikov – 16706_Digitálna transformácia MSP</w:t>
            </w:r>
          </w:p>
        </w:tc>
        <w:tc>
          <w:tcPr>
            <w:tcW w:w="1680" w:type="dxa"/>
            <w:tcBorders>
              <w:top w:val="nil"/>
              <w:left w:val="nil"/>
              <w:bottom w:val="single" w:sz="4" w:space="0" w:color="auto"/>
              <w:right w:val="single" w:sz="4" w:space="0" w:color="auto"/>
            </w:tcBorders>
            <w:shd w:val="clear" w:color="auto" w:fill="C6EFCE"/>
            <w:noWrap/>
            <w:vAlign w:val="center"/>
          </w:tcPr>
          <w:p w14:paraId="1F02B869" w14:textId="77777777" w:rsidR="002D49B0" w:rsidRPr="00083739" w:rsidRDefault="00BF4125">
            <w:pPr>
              <w:pStyle w:val="P68B1DB1-Normal49"/>
              <w:keepNext/>
              <w:spacing w:before="40" w:after="0" w:line="240" w:lineRule="auto"/>
              <w:jc w:val="both"/>
              <w:rPr>
                <w:rFonts w:eastAsia="Times New Roman" w:cs="Times New Roman"/>
                <w:noProof/>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6F84E192" w14:textId="13B524FE"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szCs w:val="18"/>
                <w:lang w:val="sk-SK"/>
              </w:rPr>
              <w:t xml:space="preserve">Digitálna transformácia MSP </w:t>
            </w:r>
            <w:r w:rsidRPr="00083739">
              <w:rPr>
                <w:rFonts w:cs="Times New Roman"/>
                <w:noProof/>
                <w:lang w:val="sk-SK"/>
              </w:rPr>
              <w:t>– zavádzanie digitálnych produktov</w:t>
            </w:r>
            <w:r w:rsidR="00083739" w:rsidRPr="00083739">
              <w:rPr>
                <w:rFonts w:cs="Times New Roman"/>
                <w:noProof/>
                <w:lang w:val="sk-SK"/>
              </w:rPr>
              <w:t xml:space="preserve"> a </w:t>
            </w:r>
            <w:r w:rsidRPr="00083739">
              <w:rPr>
                <w:rFonts w:cs="Times New Roman"/>
                <w:noProof/>
                <w:lang w:val="sk-SK"/>
              </w:rPr>
              <w:t xml:space="preserve">zriadené centrum pre MSP </w:t>
            </w:r>
            <w:r w:rsidRPr="00083739">
              <w:rPr>
                <w:rFonts w:cs="Times New Roman"/>
                <w:noProof/>
                <w:szCs w:val="18"/>
                <w:lang w:val="sk-SK"/>
              </w:rPr>
              <w:t>Gaia-X</w:t>
            </w:r>
          </w:p>
        </w:tc>
      </w:tr>
      <w:tr w:rsidR="002D49B0" w:rsidRPr="00083739" w14:paraId="40760140"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hideMark/>
          </w:tcPr>
          <w:p w14:paraId="0E0E2729"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135a</w:t>
            </w:r>
          </w:p>
        </w:tc>
        <w:tc>
          <w:tcPr>
            <w:tcW w:w="4320" w:type="dxa"/>
            <w:tcBorders>
              <w:top w:val="nil"/>
              <w:left w:val="nil"/>
              <w:bottom w:val="single" w:sz="4" w:space="0" w:color="auto"/>
              <w:right w:val="single" w:sz="4" w:space="0" w:color="auto"/>
            </w:tcBorders>
            <w:shd w:val="clear" w:color="auto" w:fill="C6EFCE"/>
            <w:noWrap/>
            <w:hideMark/>
          </w:tcPr>
          <w:p w14:paraId="50010E02" w14:textId="164B5312"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8 – 3.1. Podpora vytvárania pracovných miest</w:t>
            </w:r>
            <w:r w:rsidR="00083739" w:rsidRPr="00083739">
              <w:rPr>
                <w:rFonts w:cs="Times New Roman"/>
                <w:noProof/>
                <w:lang w:val="sk-SK"/>
              </w:rPr>
              <w:t xml:space="preserve"> a </w:t>
            </w:r>
            <w:r w:rsidRPr="00083739">
              <w:rPr>
                <w:rFonts w:cs="Times New Roman"/>
                <w:noProof/>
                <w:lang w:val="sk-SK"/>
              </w:rPr>
              <w:t xml:space="preserve">účasti na </w:t>
            </w:r>
            <w:r w:rsidRPr="00083739">
              <w:rPr>
                <w:rFonts w:cs="Times New Roman"/>
                <w:noProof/>
                <w:lang w:val="sk-SK"/>
              </w:rPr>
              <w:t>trhu práce – 16942_Digitálna transformácia verejných služieb zamestnanosti</w:t>
            </w:r>
          </w:p>
        </w:tc>
        <w:tc>
          <w:tcPr>
            <w:tcW w:w="1680" w:type="dxa"/>
            <w:tcBorders>
              <w:top w:val="nil"/>
              <w:left w:val="nil"/>
              <w:bottom w:val="single" w:sz="4" w:space="0" w:color="auto"/>
              <w:right w:val="single" w:sz="4" w:space="0" w:color="auto"/>
            </w:tcBorders>
            <w:shd w:val="clear" w:color="auto" w:fill="C6EFCE"/>
            <w:noWrap/>
            <w:hideMark/>
          </w:tcPr>
          <w:p w14:paraId="538352D2"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Cieľ</w:t>
            </w:r>
          </w:p>
        </w:tc>
        <w:tc>
          <w:tcPr>
            <w:tcW w:w="2280" w:type="dxa"/>
            <w:tcBorders>
              <w:top w:val="nil"/>
              <w:left w:val="nil"/>
              <w:bottom w:val="single" w:sz="4" w:space="0" w:color="auto"/>
              <w:right w:val="single" w:sz="4" w:space="0" w:color="auto"/>
            </w:tcBorders>
            <w:shd w:val="clear" w:color="auto" w:fill="C6EFCE"/>
            <w:noWrap/>
            <w:hideMark/>
          </w:tcPr>
          <w:p w14:paraId="700D11EF"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Digitálna transformácia DYPA</w:t>
            </w:r>
          </w:p>
        </w:tc>
      </w:tr>
      <w:tr w:rsidR="002D49B0" w:rsidRPr="00083739" w14:paraId="57563133"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0A1ABECF"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140</w:t>
            </w:r>
          </w:p>
        </w:tc>
        <w:tc>
          <w:tcPr>
            <w:tcW w:w="4320" w:type="dxa"/>
            <w:tcBorders>
              <w:top w:val="nil"/>
              <w:left w:val="nil"/>
              <w:bottom w:val="single" w:sz="4" w:space="0" w:color="auto"/>
              <w:right w:val="single" w:sz="4" w:space="0" w:color="auto"/>
            </w:tcBorders>
            <w:shd w:val="clear" w:color="auto" w:fill="C6EFCE"/>
            <w:noWrap/>
            <w:vAlign w:val="center"/>
            <w:hideMark/>
          </w:tcPr>
          <w:p w14:paraId="3F16B469" w14:textId="468EAF0C"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 9 – 3.2. Vzdelávanie, odborné vzdelávanie</w:t>
            </w:r>
            <w:r w:rsidR="00083739" w:rsidRPr="00083739">
              <w:rPr>
                <w:rFonts w:cs="Times New Roman"/>
                <w:noProof/>
                <w:lang w:val="sk-SK"/>
              </w:rPr>
              <w:t xml:space="preserve"> a </w:t>
            </w:r>
            <w:r w:rsidRPr="00083739">
              <w:rPr>
                <w:rFonts w:cs="Times New Roman"/>
                <w:noProof/>
                <w:lang w:val="sk-SK"/>
              </w:rPr>
              <w:t>príprava</w:t>
            </w:r>
            <w:r w:rsidR="00083739" w:rsidRPr="00083739">
              <w:rPr>
                <w:rFonts w:cs="Times New Roman"/>
                <w:noProof/>
                <w:lang w:val="sk-SK"/>
              </w:rPr>
              <w:t xml:space="preserve"> a </w:t>
            </w:r>
            <w:r w:rsidRPr="00083739">
              <w:rPr>
                <w:rFonts w:cs="Times New Roman"/>
                <w:noProof/>
                <w:lang w:val="sk-SK"/>
              </w:rPr>
              <w:t>zručnosti – 16913_A Nová stratégia pre celoživotné zručnosti: Modernizácia</w:t>
            </w:r>
            <w:r w:rsidR="00083739" w:rsidRPr="00083739">
              <w:rPr>
                <w:rFonts w:cs="Times New Roman"/>
                <w:noProof/>
                <w:lang w:val="sk-SK"/>
              </w:rPr>
              <w:t xml:space="preserve"> a </w:t>
            </w:r>
            <w:r w:rsidRPr="00083739">
              <w:rPr>
                <w:rFonts w:cs="Times New Roman"/>
                <w:noProof/>
                <w:lang w:val="sk-SK"/>
              </w:rPr>
              <w:t>aktualizácia gréckeho systému zvyšovania úrovne zručností</w:t>
            </w:r>
            <w:r w:rsidR="00083739" w:rsidRPr="00083739">
              <w:rPr>
                <w:rFonts w:cs="Times New Roman"/>
                <w:noProof/>
                <w:lang w:val="sk-SK"/>
              </w:rPr>
              <w:t xml:space="preserve"> a </w:t>
            </w:r>
            <w:r w:rsidRPr="00083739">
              <w:rPr>
                <w:rFonts w:cs="Times New Roman"/>
                <w:noProof/>
                <w:lang w:val="sk-SK"/>
              </w:rPr>
              <w:t>rekvalifikácie</w:t>
            </w:r>
          </w:p>
        </w:tc>
        <w:tc>
          <w:tcPr>
            <w:tcW w:w="1680" w:type="dxa"/>
            <w:tcBorders>
              <w:top w:val="nil"/>
              <w:left w:val="nil"/>
              <w:bottom w:val="single" w:sz="4" w:space="0" w:color="auto"/>
              <w:right w:val="single" w:sz="4" w:space="0" w:color="auto"/>
            </w:tcBorders>
            <w:shd w:val="clear" w:color="auto" w:fill="C6EFCE"/>
            <w:noWrap/>
            <w:vAlign w:val="center"/>
            <w:hideMark/>
          </w:tcPr>
          <w:p w14:paraId="6513F63C"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Cieľ</w:t>
            </w:r>
          </w:p>
        </w:tc>
        <w:tc>
          <w:tcPr>
            <w:tcW w:w="2280" w:type="dxa"/>
            <w:tcBorders>
              <w:top w:val="nil"/>
              <w:left w:val="nil"/>
              <w:bottom w:val="single" w:sz="4" w:space="0" w:color="auto"/>
              <w:right w:val="single" w:sz="4" w:space="0" w:color="auto"/>
            </w:tcBorders>
            <w:shd w:val="clear" w:color="auto" w:fill="C6EFCE"/>
            <w:noWrap/>
            <w:vAlign w:val="center"/>
            <w:hideMark/>
          </w:tcPr>
          <w:p w14:paraId="49DA50AF"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 Potvrdzovanie postupného dokončenia programov celoživotného vzdelávania</w:t>
            </w:r>
          </w:p>
        </w:tc>
      </w:tr>
      <w:tr w:rsidR="002D49B0" w:rsidRPr="00083739" w14:paraId="7FA8ACEB"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20AA5363"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141a</w:t>
            </w:r>
          </w:p>
        </w:tc>
        <w:tc>
          <w:tcPr>
            <w:tcW w:w="4320" w:type="dxa"/>
            <w:tcBorders>
              <w:top w:val="nil"/>
              <w:left w:val="nil"/>
              <w:bottom w:val="single" w:sz="4" w:space="0" w:color="auto"/>
              <w:right w:val="single" w:sz="4" w:space="0" w:color="auto"/>
            </w:tcBorders>
            <w:shd w:val="clear" w:color="auto" w:fill="C6EFCE"/>
            <w:noWrap/>
            <w:vAlign w:val="center"/>
            <w:hideMark/>
          </w:tcPr>
          <w:p w14:paraId="414DB8FC" w14:textId="3D92438D"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8 – 3.1. Podpora vytvárania pracovných miest</w:t>
            </w:r>
            <w:r w:rsidR="00083739" w:rsidRPr="00083739">
              <w:rPr>
                <w:rFonts w:cs="Times New Roman"/>
                <w:noProof/>
                <w:lang w:val="sk-SK"/>
              </w:rPr>
              <w:t xml:space="preserve"> a </w:t>
            </w:r>
            <w:r w:rsidRPr="00083739">
              <w:rPr>
                <w:rFonts w:cs="Times New Roman"/>
                <w:noProof/>
                <w:lang w:val="sk-SK"/>
              </w:rPr>
              <w:t>účasti na trhu práce – 16941_Reštrukturalizácia</w:t>
            </w:r>
            <w:r w:rsidR="00083739" w:rsidRPr="00083739">
              <w:rPr>
                <w:rFonts w:cs="Times New Roman"/>
                <w:noProof/>
                <w:lang w:val="sk-SK"/>
              </w:rPr>
              <w:t xml:space="preserve"> a </w:t>
            </w:r>
            <w:r w:rsidRPr="00083739">
              <w:rPr>
                <w:rFonts w:cs="Times New Roman"/>
                <w:noProof/>
                <w:lang w:val="sk-SK"/>
              </w:rPr>
              <w:t>premena miestnych pobočiek DYPA na podporu zamestnanosti (KPA2)</w:t>
            </w:r>
          </w:p>
        </w:tc>
        <w:tc>
          <w:tcPr>
            <w:tcW w:w="1680" w:type="dxa"/>
            <w:tcBorders>
              <w:top w:val="nil"/>
              <w:left w:val="nil"/>
              <w:bottom w:val="single" w:sz="4" w:space="0" w:color="auto"/>
              <w:right w:val="single" w:sz="4" w:space="0" w:color="auto"/>
            </w:tcBorders>
            <w:shd w:val="clear" w:color="auto" w:fill="C6EFCE"/>
            <w:noWrap/>
            <w:vAlign w:val="center"/>
            <w:hideMark/>
          </w:tcPr>
          <w:p w14:paraId="5DBE61FA"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6BC1AA21" w14:textId="534FF1F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Renovácia KPA2, komunikačná stratégia, kontrola kvality služieb zákazníkom, nové formy profilovania</w:t>
            </w:r>
            <w:r w:rsidR="00083739" w:rsidRPr="00083739">
              <w:rPr>
                <w:rFonts w:cs="Times New Roman"/>
                <w:noProof/>
                <w:lang w:val="sk-SK"/>
              </w:rPr>
              <w:t xml:space="preserve"> a </w:t>
            </w:r>
            <w:r w:rsidRPr="00083739">
              <w:rPr>
                <w:rFonts w:cs="Times New Roman"/>
                <w:noProof/>
                <w:lang w:val="sk-SK"/>
              </w:rPr>
              <w:t>poradenských služieb.</w:t>
            </w:r>
          </w:p>
        </w:tc>
      </w:tr>
      <w:tr w:rsidR="002D49B0" w:rsidRPr="00083739" w14:paraId="7CFB6761"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04FEBA2C" w14:textId="77777777"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142b</w:t>
            </w:r>
          </w:p>
        </w:tc>
        <w:tc>
          <w:tcPr>
            <w:tcW w:w="4320" w:type="dxa"/>
            <w:tcBorders>
              <w:top w:val="nil"/>
              <w:left w:val="nil"/>
              <w:bottom w:val="single" w:sz="4" w:space="0" w:color="auto"/>
              <w:right w:val="single" w:sz="4" w:space="0" w:color="auto"/>
            </w:tcBorders>
            <w:shd w:val="clear" w:color="auto" w:fill="C6EFCE"/>
            <w:noWrap/>
            <w:vAlign w:val="center"/>
          </w:tcPr>
          <w:p w14:paraId="3B38D4C5" w14:textId="214EEE3F"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8 – 3.1. Podpora vytvárania pracovných miest</w:t>
            </w:r>
            <w:r w:rsidR="00083739" w:rsidRPr="00083739">
              <w:rPr>
                <w:rFonts w:cs="Times New Roman"/>
                <w:noProof/>
                <w:lang w:val="sk-SK"/>
              </w:rPr>
              <w:t xml:space="preserve"> a </w:t>
            </w:r>
            <w:r w:rsidRPr="00083739">
              <w:rPr>
                <w:rFonts w:cs="Times New Roman"/>
                <w:noProof/>
                <w:lang w:val="sk-SK"/>
              </w:rPr>
              <w:t>účasti n</w:t>
            </w:r>
            <w:r w:rsidRPr="00083739">
              <w:rPr>
                <w:rFonts w:cs="Times New Roman"/>
                <w:noProof/>
                <w:lang w:val="sk-SK"/>
              </w:rPr>
              <w:t>a trhu práce – 16746_Reforma pasívnych politík trhu práce na podporu prechodu do zamestnania</w:t>
            </w:r>
          </w:p>
        </w:tc>
        <w:tc>
          <w:tcPr>
            <w:tcW w:w="1680" w:type="dxa"/>
            <w:tcBorders>
              <w:top w:val="nil"/>
              <w:left w:val="nil"/>
              <w:bottom w:val="single" w:sz="4" w:space="0" w:color="auto"/>
              <w:right w:val="single" w:sz="4" w:space="0" w:color="auto"/>
            </w:tcBorders>
            <w:shd w:val="clear" w:color="auto" w:fill="C6EFCE"/>
            <w:noWrap/>
            <w:vAlign w:val="center"/>
          </w:tcPr>
          <w:p w14:paraId="0E47588B" w14:textId="77777777"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tcPr>
          <w:p w14:paraId="621C9134" w14:textId="3DB90A97"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Pilotný projekt týkajúci sa konsolidácie</w:t>
            </w:r>
            <w:r w:rsidR="00083739" w:rsidRPr="00083739">
              <w:rPr>
                <w:rFonts w:cs="Times New Roman"/>
                <w:noProof/>
                <w:lang w:val="sk-SK"/>
              </w:rPr>
              <w:t xml:space="preserve"> a </w:t>
            </w:r>
            <w:r w:rsidRPr="00083739">
              <w:rPr>
                <w:rFonts w:cs="Times New Roman"/>
                <w:noProof/>
                <w:lang w:val="sk-SK"/>
              </w:rPr>
              <w:t>zefektívnenia dávok</w:t>
            </w:r>
            <w:r w:rsidR="00083739" w:rsidRPr="00083739">
              <w:rPr>
                <w:rFonts w:cs="Times New Roman"/>
                <w:noProof/>
                <w:lang w:val="sk-SK"/>
              </w:rPr>
              <w:t xml:space="preserve"> v </w:t>
            </w:r>
            <w:r w:rsidRPr="00083739">
              <w:rPr>
                <w:rFonts w:cs="Times New Roman"/>
                <w:noProof/>
                <w:lang w:val="sk-SK"/>
              </w:rPr>
              <w:t xml:space="preserve">nezamestnanosti  </w:t>
            </w:r>
          </w:p>
        </w:tc>
      </w:tr>
      <w:tr w:rsidR="002D49B0" w:rsidRPr="00083739" w14:paraId="68E3CB5D"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hideMark/>
          </w:tcPr>
          <w:p w14:paraId="53B9FF3B"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144a</w:t>
            </w:r>
          </w:p>
        </w:tc>
        <w:tc>
          <w:tcPr>
            <w:tcW w:w="4320" w:type="dxa"/>
            <w:tcBorders>
              <w:top w:val="nil"/>
              <w:left w:val="nil"/>
              <w:bottom w:val="single" w:sz="4" w:space="0" w:color="auto"/>
              <w:right w:val="single" w:sz="4" w:space="0" w:color="auto"/>
            </w:tcBorders>
            <w:shd w:val="clear" w:color="auto" w:fill="C6EFCE"/>
            <w:noWrap/>
            <w:hideMark/>
          </w:tcPr>
          <w:p w14:paraId="2181522D" w14:textId="4416A73B"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8 – 3.1. Podpora vytvárania pracovných miest</w:t>
            </w:r>
            <w:r w:rsidR="00083739" w:rsidRPr="00083739">
              <w:rPr>
                <w:rFonts w:cs="Times New Roman"/>
                <w:noProof/>
                <w:lang w:val="sk-SK"/>
              </w:rPr>
              <w:t xml:space="preserve"> a </w:t>
            </w:r>
            <w:r w:rsidRPr="00083739">
              <w:rPr>
                <w:rFonts w:cs="Times New Roman"/>
                <w:noProof/>
                <w:lang w:val="sk-SK"/>
              </w:rPr>
              <w:t>účasti na trhu práce</w:t>
            </w:r>
            <w:r w:rsidRPr="00083739">
              <w:rPr>
                <w:rFonts w:cs="Times New Roman"/>
                <w:noProof/>
                <w:lang w:val="sk-SK"/>
              </w:rPr>
              <w:t xml:space="preserve"> – 16747_Aktívne reformy politík trhu práce</w:t>
            </w:r>
          </w:p>
        </w:tc>
        <w:tc>
          <w:tcPr>
            <w:tcW w:w="1680" w:type="dxa"/>
            <w:tcBorders>
              <w:top w:val="nil"/>
              <w:left w:val="nil"/>
              <w:bottom w:val="single" w:sz="4" w:space="0" w:color="auto"/>
              <w:right w:val="single" w:sz="4" w:space="0" w:color="auto"/>
            </w:tcBorders>
            <w:shd w:val="clear" w:color="auto" w:fill="C6EFCE"/>
            <w:noWrap/>
            <w:hideMark/>
          </w:tcPr>
          <w:p w14:paraId="793A56B8"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hideMark/>
          </w:tcPr>
          <w:p w14:paraId="4E1DD0E5"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 xml:space="preserve">Dokončenie programu zamestnanosti aktívnych politík trhu práce </w:t>
            </w:r>
          </w:p>
        </w:tc>
      </w:tr>
      <w:tr w:rsidR="002D49B0" w:rsidRPr="00083739" w14:paraId="03B67464" w14:textId="77777777">
        <w:trPr>
          <w:trHeight w:val="300"/>
        </w:trPr>
        <w:tc>
          <w:tcPr>
            <w:tcW w:w="1795" w:type="dxa"/>
            <w:tcBorders>
              <w:top w:val="nil"/>
              <w:left w:val="single" w:sz="4" w:space="0" w:color="auto"/>
              <w:bottom w:val="single" w:sz="4" w:space="0" w:color="auto"/>
              <w:right w:val="single" w:sz="4" w:space="0" w:color="auto"/>
            </w:tcBorders>
            <w:shd w:val="clear" w:color="auto" w:fill="C6EFCE"/>
            <w:noWrap/>
            <w:hideMark/>
          </w:tcPr>
          <w:p w14:paraId="4C7C3368" w14:textId="05D5773C" w:rsidR="002D49B0" w:rsidRPr="00083739" w:rsidRDefault="00BF4125">
            <w:pPr>
              <w:pStyle w:val="P68B1DB1-Normal49"/>
              <w:keepNext/>
              <w:spacing w:before="40" w:after="0" w:line="240" w:lineRule="auto"/>
              <w:jc w:val="both"/>
              <w:rPr>
                <w:rFonts w:eastAsia="Times New Roman" w:cs="Times New Roman"/>
                <w:noProof/>
                <w:lang w:val="sk-SK"/>
              </w:rPr>
            </w:pPr>
            <w:r w:rsidRPr="00083739">
              <w:rPr>
                <w:rFonts w:cs="Times New Roman"/>
                <w:noProof/>
                <w:lang w:val="sk-SK"/>
              </w:rPr>
              <w:t>134a</w:t>
            </w:r>
          </w:p>
          <w:p w14:paraId="37474F8A" w14:textId="5B7B4D10" w:rsidR="002D49B0" w:rsidRPr="00083739" w:rsidRDefault="002D49B0">
            <w:pPr>
              <w:keepNext/>
              <w:spacing w:before="40" w:after="0" w:line="240" w:lineRule="auto"/>
              <w:jc w:val="both"/>
              <w:rPr>
                <w:rFonts w:ascii="Times New Roman" w:eastAsia="Times New Roman" w:hAnsi="Times New Roman" w:cs="Times New Roman"/>
                <w:noProof/>
                <w:sz w:val="18"/>
                <w:szCs w:val="18"/>
                <w:lang w:val="sk-SK"/>
              </w:rPr>
            </w:pPr>
          </w:p>
        </w:tc>
        <w:tc>
          <w:tcPr>
            <w:tcW w:w="4320" w:type="dxa"/>
            <w:tcBorders>
              <w:top w:val="nil"/>
              <w:left w:val="nil"/>
              <w:bottom w:val="single" w:sz="4" w:space="0" w:color="auto"/>
              <w:right w:val="single" w:sz="4" w:space="0" w:color="auto"/>
            </w:tcBorders>
            <w:shd w:val="clear" w:color="auto" w:fill="C6EFCE"/>
            <w:noWrap/>
            <w:hideMark/>
          </w:tcPr>
          <w:p w14:paraId="697EA0F4" w14:textId="74B41FAE" w:rsidR="002D49B0" w:rsidRPr="00083739" w:rsidRDefault="00BF4125">
            <w:pPr>
              <w:pStyle w:val="P68B1DB1-Normal49"/>
              <w:keepNext/>
              <w:spacing w:before="40" w:after="0" w:line="240" w:lineRule="auto"/>
              <w:jc w:val="both"/>
              <w:rPr>
                <w:rFonts w:eastAsia="Times New Roman" w:cs="Times New Roman"/>
                <w:noProof/>
                <w:lang w:val="sk-SK"/>
              </w:rPr>
            </w:pPr>
            <w:r w:rsidRPr="00083739">
              <w:rPr>
                <w:rFonts w:cs="Times New Roman"/>
                <w:noProof/>
                <w:lang w:val="sk-SK"/>
              </w:rPr>
              <w:t>8 – 3.1. Podpora vytvárania pracovných miest</w:t>
            </w:r>
            <w:r w:rsidR="00083739" w:rsidRPr="00083739">
              <w:rPr>
                <w:rFonts w:cs="Times New Roman"/>
                <w:noProof/>
                <w:lang w:val="sk-SK"/>
              </w:rPr>
              <w:t xml:space="preserve"> a </w:t>
            </w:r>
            <w:r w:rsidRPr="00083739">
              <w:rPr>
                <w:rFonts w:cs="Times New Roman"/>
                <w:noProof/>
                <w:lang w:val="sk-SK"/>
              </w:rPr>
              <w:t>účasti na trhu práce – 16750_Digitálna transformácia systémov práce</w:t>
            </w:r>
          </w:p>
        </w:tc>
        <w:tc>
          <w:tcPr>
            <w:tcW w:w="1680" w:type="dxa"/>
            <w:tcBorders>
              <w:top w:val="nil"/>
              <w:left w:val="nil"/>
              <w:bottom w:val="single" w:sz="4" w:space="0" w:color="auto"/>
              <w:right w:val="single" w:sz="4" w:space="0" w:color="auto"/>
            </w:tcBorders>
            <w:shd w:val="clear" w:color="auto" w:fill="C6EFCE"/>
            <w:noWrap/>
            <w:hideMark/>
          </w:tcPr>
          <w:p w14:paraId="62FDB1AB" w14:textId="7D0E0224" w:rsidR="002D49B0" w:rsidRPr="00083739" w:rsidRDefault="00BF4125">
            <w:pPr>
              <w:pStyle w:val="P68B1DB1-Normal49"/>
              <w:keepNext/>
              <w:spacing w:before="40" w:after="0" w:line="240" w:lineRule="auto"/>
              <w:jc w:val="both"/>
              <w:rPr>
                <w:rFonts w:eastAsia="Times New Roman" w:cs="Times New Roman"/>
                <w:noProof/>
                <w:lang w:val="sk-SK"/>
              </w:rPr>
            </w:pPr>
            <w:r w:rsidRPr="00083739">
              <w:rPr>
                <w:rFonts w:cs="Times New Roman"/>
                <w:noProof/>
                <w:lang w:val="sk-SK"/>
              </w:rPr>
              <w:t xml:space="preserve"> Míľnik</w:t>
            </w:r>
          </w:p>
        </w:tc>
        <w:tc>
          <w:tcPr>
            <w:tcW w:w="2280" w:type="dxa"/>
            <w:tcBorders>
              <w:top w:val="nil"/>
              <w:left w:val="nil"/>
              <w:bottom w:val="single" w:sz="4" w:space="0" w:color="auto"/>
              <w:right w:val="single" w:sz="4" w:space="0" w:color="auto"/>
            </w:tcBorders>
            <w:shd w:val="clear" w:color="auto" w:fill="C6EFCE"/>
            <w:noWrap/>
            <w:hideMark/>
          </w:tcPr>
          <w:p w14:paraId="6C5C2B5F" w14:textId="2CC9D365" w:rsidR="002D49B0" w:rsidRPr="00083739" w:rsidRDefault="00BF4125">
            <w:pPr>
              <w:pStyle w:val="P68B1DB1-Normal49"/>
              <w:keepNext/>
              <w:spacing w:before="40" w:after="0" w:line="240" w:lineRule="auto"/>
              <w:jc w:val="both"/>
              <w:rPr>
                <w:rFonts w:eastAsia="Times New Roman" w:cs="Times New Roman"/>
                <w:noProof/>
                <w:lang w:val="sk-SK"/>
              </w:rPr>
            </w:pPr>
            <w:r w:rsidRPr="00083739">
              <w:rPr>
                <w:rFonts w:cs="Times New Roman"/>
                <w:noProof/>
                <w:lang w:val="sk-SK"/>
              </w:rPr>
              <w:t xml:space="preserve"> Dokončenie systémov IT</w:t>
            </w:r>
            <w:r w:rsidR="00083739" w:rsidRPr="00083739">
              <w:rPr>
                <w:rFonts w:cs="Times New Roman"/>
                <w:noProof/>
                <w:lang w:val="sk-SK"/>
              </w:rPr>
              <w:t xml:space="preserve"> v </w:t>
            </w:r>
            <w:r w:rsidRPr="00083739">
              <w:rPr>
                <w:rFonts w:cs="Times New Roman"/>
                <w:noProof/>
                <w:lang w:val="sk-SK"/>
              </w:rPr>
              <w:t>oblasti práce</w:t>
            </w:r>
          </w:p>
        </w:tc>
      </w:tr>
      <w:tr w:rsidR="002D49B0" w:rsidRPr="00083739" w14:paraId="0414B4C3"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05FD9764"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145</w:t>
            </w:r>
          </w:p>
        </w:tc>
        <w:tc>
          <w:tcPr>
            <w:tcW w:w="4320" w:type="dxa"/>
            <w:tcBorders>
              <w:top w:val="nil"/>
              <w:left w:val="nil"/>
              <w:bottom w:val="single" w:sz="4" w:space="0" w:color="auto"/>
              <w:right w:val="single" w:sz="4" w:space="0" w:color="auto"/>
            </w:tcBorders>
            <w:shd w:val="clear" w:color="auto" w:fill="C6EFCE"/>
            <w:noWrap/>
            <w:vAlign w:val="center"/>
            <w:hideMark/>
          </w:tcPr>
          <w:p w14:paraId="6CA57A51" w14:textId="56109BDD"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9 – 3.2. Vzdelávanie, odborné vzdelávanie</w:t>
            </w:r>
            <w:r w:rsidR="00083739" w:rsidRPr="00083739">
              <w:rPr>
                <w:rFonts w:cs="Times New Roman"/>
                <w:noProof/>
                <w:lang w:val="sk-SK"/>
              </w:rPr>
              <w:t xml:space="preserve"> a </w:t>
            </w:r>
            <w:r w:rsidRPr="00083739">
              <w:rPr>
                <w:rFonts w:cs="Times New Roman"/>
                <w:noProof/>
                <w:lang w:val="sk-SK"/>
              </w:rPr>
              <w:t>príprava</w:t>
            </w:r>
            <w:r w:rsidR="00083739" w:rsidRPr="00083739">
              <w:rPr>
                <w:rFonts w:cs="Times New Roman"/>
                <w:noProof/>
                <w:lang w:val="sk-SK"/>
              </w:rPr>
              <w:t xml:space="preserve"> a </w:t>
            </w:r>
            <w:r w:rsidRPr="00083739">
              <w:rPr>
                <w:rFonts w:cs="Times New Roman"/>
                <w:noProof/>
                <w:lang w:val="sk-SK"/>
              </w:rPr>
              <w:t xml:space="preserve">zručnosti – 16794_Posilnenie systému učňovskej prípravy </w:t>
            </w:r>
          </w:p>
        </w:tc>
        <w:tc>
          <w:tcPr>
            <w:tcW w:w="1680" w:type="dxa"/>
            <w:tcBorders>
              <w:top w:val="nil"/>
              <w:left w:val="nil"/>
              <w:bottom w:val="single" w:sz="4" w:space="0" w:color="auto"/>
              <w:right w:val="single" w:sz="4" w:space="0" w:color="auto"/>
            </w:tcBorders>
            <w:shd w:val="clear" w:color="auto" w:fill="C6EFCE"/>
            <w:noWrap/>
            <w:vAlign w:val="center"/>
            <w:hideMark/>
          </w:tcPr>
          <w:p w14:paraId="23526EF6"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Cieľ</w:t>
            </w:r>
          </w:p>
        </w:tc>
        <w:tc>
          <w:tcPr>
            <w:tcW w:w="2280" w:type="dxa"/>
            <w:tcBorders>
              <w:top w:val="nil"/>
              <w:left w:val="nil"/>
              <w:bottom w:val="single" w:sz="4" w:space="0" w:color="auto"/>
              <w:right w:val="single" w:sz="4" w:space="0" w:color="auto"/>
            </w:tcBorders>
            <w:shd w:val="clear" w:color="auto" w:fill="C6EFCE"/>
            <w:noWrap/>
            <w:vAlign w:val="center"/>
            <w:hideMark/>
          </w:tcPr>
          <w:p w14:paraId="2C779ED2" w14:textId="3413E88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Ukončenie kurzov odbornej prípravy</w:t>
            </w:r>
            <w:r w:rsidR="00083739" w:rsidRPr="00083739">
              <w:rPr>
                <w:rFonts w:cs="Times New Roman"/>
                <w:noProof/>
                <w:lang w:val="sk-SK"/>
              </w:rPr>
              <w:t xml:space="preserve"> v </w:t>
            </w:r>
            <w:r w:rsidRPr="00083739">
              <w:rPr>
                <w:rFonts w:cs="Times New Roman"/>
                <w:noProof/>
                <w:lang w:val="sk-SK"/>
              </w:rPr>
              <w:t>oblasti digitalizácie elektronického vzdelávania</w:t>
            </w:r>
          </w:p>
        </w:tc>
      </w:tr>
      <w:tr w:rsidR="002D49B0" w:rsidRPr="00083739" w14:paraId="2939C4A3"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hideMark/>
          </w:tcPr>
          <w:p w14:paraId="2967417B"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145b</w:t>
            </w:r>
          </w:p>
        </w:tc>
        <w:tc>
          <w:tcPr>
            <w:tcW w:w="4320" w:type="dxa"/>
            <w:tcBorders>
              <w:top w:val="nil"/>
              <w:left w:val="nil"/>
              <w:bottom w:val="single" w:sz="4" w:space="0" w:color="auto"/>
              <w:right w:val="single" w:sz="4" w:space="0" w:color="auto"/>
            </w:tcBorders>
            <w:shd w:val="clear" w:color="auto" w:fill="C6EFCE"/>
            <w:noWrap/>
            <w:hideMark/>
          </w:tcPr>
          <w:p w14:paraId="7947DEB3" w14:textId="37AF5800"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 xml:space="preserve">9 </w:t>
            </w:r>
            <w:r w:rsidRPr="00083739">
              <w:rPr>
                <w:rFonts w:cs="Times New Roman"/>
                <w:noProof/>
                <w:lang w:val="sk-SK"/>
              </w:rPr>
              <w:t>– 3.2. Vzdelávanie, odborné vzdelávanie</w:t>
            </w:r>
            <w:r w:rsidR="00083739" w:rsidRPr="00083739">
              <w:rPr>
                <w:rFonts w:cs="Times New Roman"/>
                <w:noProof/>
                <w:lang w:val="sk-SK"/>
              </w:rPr>
              <w:t xml:space="preserve"> a </w:t>
            </w:r>
            <w:r w:rsidRPr="00083739">
              <w:rPr>
                <w:rFonts w:cs="Times New Roman"/>
                <w:noProof/>
                <w:lang w:val="sk-SK"/>
              </w:rPr>
              <w:t>príprava</w:t>
            </w:r>
            <w:r w:rsidR="00083739" w:rsidRPr="00083739">
              <w:rPr>
                <w:rFonts w:cs="Times New Roman"/>
                <w:noProof/>
                <w:lang w:val="sk-SK"/>
              </w:rPr>
              <w:t xml:space="preserve"> a </w:t>
            </w:r>
            <w:r w:rsidRPr="00083739">
              <w:rPr>
                <w:rFonts w:cs="Times New Roman"/>
                <w:noProof/>
                <w:lang w:val="sk-SK"/>
              </w:rPr>
              <w:t xml:space="preserve">zručnosti – 16794_Posilnenie systému učňovskej prípravy </w:t>
            </w:r>
          </w:p>
        </w:tc>
        <w:tc>
          <w:tcPr>
            <w:tcW w:w="1680" w:type="dxa"/>
            <w:tcBorders>
              <w:top w:val="nil"/>
              <w:left w:val="nil"/>
              <w:bottom w:val="single" w:sz="4" w:space="0" w:color="auto"/>
              <w:right w:val="single" w:sz="4" w:space="0" w:color="auto"/>
            </w:tcBorders>
            <w:shd w:val="clear" w:color="auto" w:fill="C6EFCE"/>
            <w:noWrap/>
            <w:hideMark/>
          </w:tcPr>
          <w:p w14:paraId="5537831F"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hideMark/>
          </w:tcPr>
          <w:p w14:paraId="4DAE0D1C" w14:textId="13A60581"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Kontrola kvality škôl odborného vzdelávania</w:t>
            </w:r>
            <w:r w:rsidR="00083739" w:rsidRPr="00083739">
              <w:rPr>
                <w:rFonts w:cs="Times New Roman"/>
                <w:noProof/>
                <w:lang w:val="sk-SK"/>
              </w:rPr>
              <w:t xml:space="preserve"> a </w:t>
            </w:r>
            <w:r w:rsidRPr="00083739">
              <w:rPr>
                <w:rFonts w:cs="Times New Roman"/>
                <w:noProof/>
                <w:lang w:val="sk-SK"/>
              </w:rPr>
              <w:t>prípravy, reforma učebných plánov, infraštruktúra OVP</w:t>
            </w:r>
            <w:r w:rsidR="00083739" w:rsidRPr="00083739">
              <w:rPr>
                <w:rFonts w:cs="Times New Roman"/>
                <w:noProof/>
                <w:lang w:val="sk-SK"/>
              </w:rPr>
              <w:t xml:space="preserve"> a </w:t>
            </w:r>
            <w:r w:rsidRPr="00083739">
              <w:rPr>
                <w:rFonts w:cs="Times New Roman"/>
                <w:noProof/>
                <w:lang w:val="sk-SK"/>
              </w:rPr>
              <w:t>ďalšie projekty</w:t>
            </w:r>
            <w:r w:rsidR="00083739" w:rsidRPr="00083739">
              <w:rPr>
                <w:rFonts w:cs="Times New Roman"/>
                <w:noProof/>
                <w:lang w:val="sk-SK"/>
              </w:rPr>
              <w:t xml:space="preserve"> v </w:t>
            </w:r>
            <w:r w:rsidRPr="00083739">
              <w:rPr>
                <w:rFonts w:cs="Times New Roman"/>
                <w:noProof/>
                <w:lang w:val="sk-SK"/>
              </w:rPr>
              <w:t>rámci programu DYPA</w:t>
            </w:r>
          </w:p>
        </w:tc>
      </w:tr>
      <w:tr w:rsidR="002D49B0" w:rsidRPr="00083739" w14:paraId="35903E40"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28397669"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146</w:t>
            </w:r>
          </w:p>
        </w:tc>
        <w:tc>
          <w:tcPr>
            <w:tcW w:w="4320" w:type="dxa"/>
            <w:tcBorders>
              <w:top w:val="nil"/>
              <w:left w:val="nil"/>
              <w:bottom w:val="single" w:sz="4" w:space="0" w:color="auto"/>
              <w:right w:val="single" w:sz="4" w:space="0" w:color="auto"/>
            </w:tcBorders>
            <w:shd w:val="clear" w:color="auto" w:fill="C6EFCE"/>
            <w:noWrap/>
            <w:vAlign w:val="center"/>
            <w:hideMark/>
          </w:tcPr>
          <w:p w14:paraId="3F8061C7" w14:textId="61F0145F"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9 – 3.2. Vzdelávanie, odborné vzdelávanie</w:t>
            </w:r>
            <w:r w:rsidR="00083739" w:rsidRPr="00083739">
              <w:rPr>
                <w:rFonts w:cs="Times New Roman"/>
                <w:noProof/>
                <w:lang w:val="sk-SK"/>
              </w:rPr>
              <w:t xml:space="preserve"> a </w:t>
            </w:r>
            <w:r w:rsidRPr="00083739">
              <w:rPr>
                <w:rFonts w:cs="Times New Roman"/>
                <w:noProof/>
                <w:lang w:val="sk-SK"/>
              </w:rPr>
              <w:t>príprava</w:t>
            </w:r>
            <w:r w:rsidR="00083739" w:rsidRPr="00083739">
              <w:rPr>
                <w:rFonts w:cs="Times New Roman"/>
                <w:noProof/>
                <w:lang w:val="sk-SK"/>
              </w:rPr>
              <w:t xml:space="preserve"> a </w:t>
            </w:r>
            <w:r w:rsidRPr="00083739">
              <w:rPr>
                <w:rFonts w:cs="Times New Roman"/>
                <w:noProof/>
                <w:lang w:val="sk-SK"/>
              </w:rPr>
              <w:t>zručnosti – 16792_Rekvalifikácia, rekvalifikácia</w:t>
            </w:r>
            <w:r w:rsidR="00083739" w:rsidRPr="00083739">
              <w:rPr>
                <w:rFonts w:cs="Times New Roman"/>
                <w:noProof/>
                <w:lang w:val="sk-SK"/>
              </w:rPr>
              <w:t xml:space="preserve"> a </w:t>
            </w:r>
            <w:r w:rsidRPr="00083739">
              <w:rPr>
                <w:rFonts w:cs="Times New Roman"/>
                <w:noProof/>
                <w:lang w:val="sk-SK"/>
              </w:rPr>
              <w:t>zvyšovanie úrovne zručností prostredníctvom reformovaného modelu odbornej prípravy (reforma odborného vzdelávania</w:t>
            </w:r>
            <w:r w:rsidR="00083739" w:rsidRPr="00083739">
              <w:rPr>
                <w:rFonts w:cs="Times New Roman"/>
                <w:noProof/>
                <w:lang w:val="sk-SK"/>
              </w:rPr>
              <w:t xml:space="preserve"> a </w:t>
            </w:r>
            <w:r w:rsidRPr="00083739">
              <w:rPr>
                <w:rFonts w:cs="Times New Roman"/>
                <w:noProof/>
                <w:lang w:val="sk-SK"/>
              </w:rPr>
              <w:t>odbornej prípravy)</w:t>
            </w:r>
          </w:p>
        </w:tc>
        <w:tc>
          <w:tcPr>
            <w:tcW w:w="1680" w:type="dxa"/>
            <w:tcBorders>
              <w:top w:val="nil"/>
              <w:left w:val="nil"/>
              <w:bottom w:val="single" w:sz="4" w:space="0" w:color="auto"/>
              <w:right w:val="single" w:sz="4" w:space="0" w:color="auto"/>
            </w:tcBorders>
            <w:shd w:val="clear" w:color="auto" w:fill="C6EFCE"/>
            <w:noWrap/>
            <w:vAlign w:val="center"/>
            <w:hideMark/>
          </w:tcPr>
          <w:p w14:paraId="3B33DBA5"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4F7E264D" w14:textId="6AFA5F83" w:rsidR="002D49B0" w:rsidRPr="00083739" w:rsidRDefault="00BF4125">
            <w:pPr>
              <w:pStyle w:val="P68B1DB1-Normal24"/>
              <w:spacing w:after="0" w:line="240" w:lineRule="auto"/>
              <w:rPr>
                <w:rFonts w:ascii="Times New Roman" w:eastAsia="Times New Roman" w:hAnsi="Times New Roman" w:cs="Times New Roman"/>
                <w:noProof/>
                <w:lang w:val="sk-SK"/>
              </w:rPr>
            </w:pPr>
            <w:r w:rsidRPr="00083739">
              <w:rPr>
                <w:rFonts w:ascii="Times New Roman" w:hAnsi="Times New Roman" w:cs="Times New Roman"/>
                <w:noProof/>
                <w:lang w:val="sk-SK"/>
              </w:rPr>
              <w:t>Aktualizácia modulov útvarov odbornej prípravy verejných služieb zamestnanosti (DYPA), digitálnych kurzov,</w:t>
            </w:r>
            <w:r w:rsidRPr="00083739">
              <w:rPr>
                <w:rFonts w:ascii="Times New Roman" w:eastAsiaTheme="minorEastAsia" w:hAnsi="Times New Roman" w:cs="Times New Roman"/>
                <w:noProof/>
                <w:lang w:val="sk-SK"/>
              </w:rPr>
              <w:t xml:space="preserve">dodávok </w:t>
            </w:r>
            <w:r w:rsidRPr="00083739">
              <w:rPr>
                <w:rFonts w:ascii="Times New Roman" w:hAnsi="Times New Roman" w:cs="Times New Roman"/>
                <w:noProof/>
                <w:color w:val="006100"/>
                <w:lang w:val="sk-SK"/>
              </w:rPr>
              <w:t xml:space="preserve"> </w:t>
            </w:r>
            <w:r w:rsidRPr="00083739">
              <w:rPr>
                <w:rFonts w:ascii="Times New Roman" w:eastAsiaTheme="minorEastAsia" w:hAnsi="Times New Roman" w:cs="Times New Roman"/>
                <w:noProof/>
                <w:lang w:val="sk-SK"/>
              </w:rPr>
              <w:t>vybavenia 49 laboratórií, sektorových programov odbornej prípravy</w:t>
            </w:r>
          </w:p>
        </w:tc>
      </w:tr>
      <w:tr w:rsidR="002D49B0" w:rsidRPr="00083739" w14:paraId="64649F13"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hideMark/>
          </w:tcPr>
          <w:p w14:paraId="79B0F4C3"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148b</w:t>
            </w:r>
          </w:p>
        </w:tc>
        <w:tc>
          <w:tcPr>
            <w:tcW w:w="4320" w:type="dxa"/>
            <w:tcBorders>
              <w:top w:val="nil"/>
              <w:left w:val="nil"/>
              <w:bottom w:val="single" w:sz="4" w:space="0" w:color="auto"/>
              <w:right w:val="single" w:sz="4" w:space="0" w:color="auto"/>
            </w:tcBorders>
            <w:shd w:val="clear" w:color="auto" w:fill="C6EFCE"/>
            <w:noWrap/>
            <w:hideMark/>
          </w:tcPr>
          <w:p w14:paraId="14AAE30A" w14:textId="271C4DC6"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9 – 3.2. Vzdelávanie, odborné vzdelávanie</w:t>
            </w:r>
            <w:r w:rsidR="00083739" w:rsidRPr="00083739">
              <w:rPr>
                <w:rFonts w:cs="Times New Roman"/>
                <w:noProof/>
                <w:lang w:val="sk-SK"/>
              </w:rPr>
              <w:t xml:space="preserve"> a </w:t>
            </w:r>
            <w:r w:rsidRPr="00083739">
              <w:rPr>
                <w:rFonts w:cs="Times New Roman"/>
                <w:noProof/>
                <w:lang w:val="sk-SK"/>
              </w:rPr>
              <w:t>príprava</w:t>
            </w:r>
            <w:r w:rsidR="00083739" w:rsidRPr="00083739">
              <w:rPr>
                <w:rFonts w:cs="Times New Roman"/>
                <w:noProof/>
                <w:lang w:val="sk-SK"/>
              </w:rPr>
              <w:t xml:space="preserve"> a </w:t>
            </w:r>
            <w:r w:rsidRPr="00083739">
              <w:rPr>
                <w:rFonts w:cs="Times New Roman"/>
                <w:noProof/>
                <w:lang w:val="sk-SK"/>
              </w:rPr>
              <w:t xml:space="preserve">zručnosti – </w:t>
            </w:r>
            <w:r w:rsidRPr="00083739">
              <w:rPr>
                <w:rFonts w:cs="Times New Roman"/>
                <w:noProof/>
                <w:lang w:val="sk-SK"/>
              </w:rPr>
              <w:t>16676_Digitálna transformácia vzdelávania</w:t>
            </w:r>
          </w:p>
        </w:tc>
        <w:tc>
          <w:tcPr>
            <w:tcW w:w="1680" w:type="dxa"/>
            <w:tcBorders>
              <w:top w:val="nil"/>
              <w:left w:val="nil"/>
              <w:bottom w:val="single" w:sz="4" w:space="0" w:color="auto"/>
              <w:right w:val="single" w:sz="4" w:space="0" w:color="auto"/>
            </w:tcBorders>
            <w:shd w:val="clear" w:color="auto" w:fill="C6EFCE"/>
            <w:noWrap/>
            <w:hideMark/>
          </w:tcPr>
          <w:p w14:paraId="7AD4B665"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hideMark/>
          </w:tcPr>
          <w:p w14:paraId="4D6630A2"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Digitálna transformácia vzdelávania</w:t>
            </w:r>
          </w:p>
        </w:tc>
      </w:tr>
      <w:tr w:rsidR="002D49B0" w:rsidRPr="00083739" w14:paraId="422A2F31"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03378F25"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149</w:t>
            </w:r>
          </w:p>
        </w:tc>
        <w:tc>
          <w:tcPr>
            <w:tcW w:w="4320" w:type="dxa"/>
            <w:tcBorders>
              <w:top w:val="nil"/>
              <w:left w:val="nil"/>
              <w:bottom w:val="single" w:sz="4" w:space="0" w:color="auto"/>
              <w:right w:val="single" w:sz="4" w:space="0" w:color="auto"/>
            </w:tcBorders>
            <w:shd w:val="clear" w:color="auto" w:fill="C6EFCE"/>
            <w:noWrap/>
            <w:vAlign w:val="center"/>
            <w:hideMark/>
          </w:tcPr>
          <w:p w14:paraId="057B3FDC" w14:textId="5BB02173"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9 – 3.2. Vzdelávanie, odborné vzdelávanie</w:t>
            </w:r>
            <w:r w:rsidR="00083739" w:rsidRPr="00083739">
              <w:rPr>
                <w:rFonts w:cs="Times New Roman"/>
                <w:noProof/>
                <w:lang w:val="sk-SK"/>
              </w:rPr>
              <w:t xml:space="preserve"> a </w:t>
            </w:r>
            <w:r w:rsidRPr="00083739">
              <w:rPr>
                <w:rFonts w:cs="Times New Roman"/>
                <w:noProof/>
                <w:lang w:val="sk-SK"/>
              </w:rPr>
              <w:t>príprava</w:t>
            </w:r>
            <w:r w:rsidR="00083739" w:rsidRPr="00083739">
              <w:rPr>
                <w:rFonts w:cs="Times New Roman"/>
                <w:noProof/>
                <w:lang w:val="sk-SK"/>
              </w:rPr>
              <w:t xml:space="preserve"> a </w:t>
            </w:r>
            <w:r w:rsidRPr="00083739">
              <w:rPr>
                <w:rFonts w:cs="Times New Roman"/>
                <w:noProof/>
                <w:lang w:val="sk-SK"/>
              </w:rPr>
              <w:t>zručnosti – 16933_Zlepšenie odborného vzdelávania</w:t>
            </w:r>
            <w:r w:rsidR="00083739" w:rsidRPr="00083739">
              <w:rPr>
                <w:rFonts w:cs="Times New Roman"/>
                <w:noProof/>
                <w:lang w:val="sk-SK"/>
              </w:rPr>
              <w:t xml:space="preserve"> a </w:t>
            </w:r>
            <w:r w:rsidRPr="00083739">
              <w:rPr>
                <w:rFonts w:cs="Times New Roman"/>
                <w:noProof/>
                <w:lang w:val="sk-SK"/>
              </w:rPr>
              <w:t xml:space="preserve">prípravy (OVP): Poskytovanie laboratórneho vybavenia </w:t>
            </w:r>
            <w:r w:rsidRPr="00083739">
              <w:rPr>
                <w:rFonts w:cs="Times New Roman"/>
                <w:noProof/>
                <w:lang w:val="sk-SK"/>
              </w:rPr>
              <w:t>laboratórnym centrám pre SAEK, EPAL, post-druhý ročník učňovskej prípravy</w:t>
            </w:r>
            <w:r w:rsidR="00083739" w:rsidRPr="00083739">
              <w:rPr>
                <w:rFonts w:cs="Times New Roman"/>
                <w:noProof/>
                <w:lang w:val="sk-SK"/>
              </w:rPr>
              <w:t xml:space="preserve"> a </w:t>
            </w:r>
            <w:r w:rsidRPr="00083739">
              <w:rPr>
                <w:rFonts w:cs="Times New Roman"/>
                <w:noProof/>
                <w:lang w:val="sk-SK"/>
              </w:rPr>
              <w:t>školy odbornej prípravy</w:t>
            </w:r>
          </w:p>
        </w:tc>
        <w:tc>
          <w:tcPr>
            <w:tcW w:w="1680" w:type="dxa"/>
            <w:tcBorders>
              <w:top w:val="nil"/>
              <w:left w:val="nil"/>
              <w:bottom w:val="single" w:sz="4" w:space="0" w:color="auto"/>
              <w:right w:val="single" w:sz="4" w:space="0" w:color="auto"/>
            </w:tcBorders>
            <w:shd w:val="clear" w:color="auto" w:fill="C6EFCE"/>
            <w:noWrap/>
            <w:vAlign w:val="center"/>
            <w:hideMark/>
          </w:tcPr>
          <w:p w14:paraId="644D7DFD"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Cieľ</w:t>
            </w:r>
          </w:p>
        </w:tc>
        <w:tc>
          <w:tcPr>
            <w:tcW w:w="2280" w:type="dxa"/>
            <w:tcBorders>
              <w:top w:val="nil"/>
              <w:left w:val="nil"/>
              <w:bottom w:val="single" w:sz="4" w:space="0" w:color="auto"/>
              <w:right w:val="single" w:sz="4" w:space="0" w:color="auto"/>
            </w:tcBorders>
            <w:shd w:val="clear" w:color="auto" w:fill="C6EFCE"/>
            <w:noWrap/>
            <w:vAlign w:val="center"/>
            <w:hideMark/>
          </w:tcPr>
          <w:p w14:paraId="0BE7440C" w14:textId="1256C7D9"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Modernizácia modernizácie laboratórnych centier odborného vzdelávania</w:t>
            </w:r>
            <w:r w:rsidR="00083739" w:rsidRPr="00083739">
              <w:rPr>
                <w:rFonts w:cs="Times New Roman"/>
                <w:noProof/>
                <w:lang w:val="sk-SK"/>
              </w:rPr>
              <w:t xml:space="preserve"> a </w:t>
            </w:r>
            <w:r w:rsidRPr="00083739">
              <w:rPr>
                <w:rFonts w:cs="Times New Roman"/>
                <w:noProof/>
                <w:lang w:val="sk-SK"/>
              </w:rPr>
              <w:t>prípravy</w:t>
            </w:r>
          </w:p>
        </w:tc>
      </w:tr>
      <w:tr w:rsidR="002D49B0" w:rsidRPr="00083739" w14:paraId="252EE5ED"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6761326E" w14:textId="77777777" w:rsidR="002D49B0" w:rsidRPr="00083739" w:rsidRDefault="00BF4125">
            <w:pPr>
              <w:pStyle w:val="P68B1DB1-Normal49"/>
              <w:keepNext/>
              <w:spacing w:before="40" w:after="0" w:line="240" w:lineRule="auto"/>
              <w:jc w:val="both"/>
              <w:rPr>
                <w:rFonts w:eastAsia="Times New Roman" w:cs="Times New Roman"/>
                <w:bCs/>
                <w:noProof/>
                <w:lang w:val="sk-SK"/>
              </w:rPr>
            </w:pPr>
            <w:r w:rsidRPr="00083739">
              <w:rPr>
                <w:rFonts w:cs="Times New Roman"/>
                <w:noProof/>
                <w:lang w:val="sk-SK"/>
              </w:rPr>
              <w:t>150</w:t>
            </w:r>
          </w:p>
        </w:tc>
        <w:tc>
          <w:tcPr>
            <w:tcW w:w="4320" w:type="dxa"/>
            <w:tcBorders>
              <w:top w:val="nil"/>
              <w:left w:val="nil"/>
              <w:bottom w:val="single" w:sz="4" w:space="0" w:color="auto"/>
              <w:right w:val="single" w:sz="4" w:space="0" w:color="auto"/>
            </w:tcBorders>
            <w:shd w:val="clear" w:color="auto" w:fill="C6EFCE"/>
            <w:noWrap/>
            <w:vAlign w:val="center"/>
            <w:hideMark/>
          </w:tcPr>
          <w:p w14:paraId="16D898AE" w14:textId="59E783AD"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9 – 3.2. Vzdelávanie, odborné vzdelávanie</w:t>
            </w:r>
            <w:r w:rsidR="00083739" w:rsidRPr="00083739">
              <w:rPr>
                <w:rFonts w:cs="Times New Roman"/>
                <w:noProof/>
                <w:lang w:val="sk-SK"/>
              </w:rPr>
              <w:t xml:space="preserve"> a </w:t>
            </w:r>
            <w:r w:rsidRPr="00083739">
              <w:rPr>
                <w:rFonts w:cs="Times New Roman"/>
                <w:noProof/>
                <w:lang w:val="sk-SK"/>
              </w:rPr>
              <w:t>príprava</w:t>
            </w:r>
            <w:r w:rsidR="00083739" w:rsidRPr="00083739">
              <w:rPr>
                <w:rFonts w:cs="Times New Roman"/>
                <w:noProof/>
                <w:lang w:val="sk-SK"/>
              </w:rPr>
              <w:t xml:space="preserve"> a </w:t>
            </w:r>
            <w:r w:rsidRPr="00083739">
              <w:rPr>
                <w:rFonts w:cs="Times New Roman"/>
                <w:noProof/>
                <w:lang w:val="sk-SK"/>
              </w:rPr>
              <w:t xml:space="preserve">zručnosti </w:t>
            </w:r>
            <w:r w:rsidRPr="00083739">
              <w:rPr>
                <w:rFonts w:cs="Times New Roman"/>
                <w:noProof/>
                <w:lang w:val="sk-SK"/>
              </w:rPr>
              <w:t>– 16289_Stratégia excelentnosti na univerzitách</w:t>
            </w:r>
            <w:r w:rsidR="00083739" w:rsidRPr="00083739">
              <w:rPr>
                <w:rFonts w:cs="Times New Roman"/>
                <w:noProof/>
                <w:lang w:val="sk-SK"/>
              </w:rPr>
              <w:t xml:space="preserve"> a v </w:t>
            </w:r>
            <w:r w:rsidRPr="00083739">
              <w:rPr>
                <w:rFonts w:cs="Times New Roman"/>
                <w:noProof/>
                <w:lang w:val="sk-SK"/>
              </w:rPr>
              <w:t>inováciách</w:t>
            </w:r>
          </w:p>
        </w:tc>
        <w:tc>
          <w:tcPr>
            <w:tcW w:w="1680" w:type="dxa"/>
            <w:tcBorders>
              <w:top w:val="nil"/>
              <w:left w:val="nil"/>
              <w:bottom w:val="single" w:sz="4" w:space="0" w:color="auto"/>
              <w:right w:val="single" w:sz="4" w:space="0" w:color="auto"/>
            </w:tcBorders>
            <w:shd w:val="clear" w:color="auto" w:fill="C6EFCE"/>
            <w:noWrap/>
            <w:vAlign w:val="center"/>
            <w:hideMark/>
          </w:tcPr>
          <w:p w14:paraId="0E660236"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7A6F9187" w14:textId="7CCCD030"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Dokončenie všetkých projektov opatrenia Stratégia excelentnosti na univerzitách</w:t>
            </w:r>
            <w:r w:rsidR="00083739" w:rsidRPr="00083739">
              <w:rPr>
                <w:rFonts w:cs="Times New Roman"/>
                <w:noProof/>
                <w:lang w:val="sk-SK"/>
              </w:rPr>
              <w:t xml:space="preserve"> a </w:t>
            </w:r>
            <w:r w:rsidRPr="00083739">
              <w:rPr>
                <w:rFonts w:cs="Times New Roman"/>
                <w:noProof/>
                <w:lang w:val="sk-SK"/>
              </w:rPr>
              <w:t>inováciách</w:t>
            </w:r>
          </w:p>
        </w:tc>
      </w:tr>
      <w:tr w:rsidR="002D49B0" w:rsidRPr="00083739" w14:paraId="5284A01F"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5F52A19C"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152</w:t>
            </w:r>
          </w:p>
        </w:tc>
        <w:tc>
          <w:tcPr>
            <w:tcW w:w="4320" w:type="dxa"/>
            <w:tcBorders>
              <w:top w:val="nil"/>
              <w:left w:val="nil"/>
              <w:bottom w:val="single" w:sz="4" w:space="0" w:color="auto"/>
              <w:right w:val="single" w:sz="4" w:space="0" w:color="auto"/>
            </w:tcBorders>
            <w:shd w:val="clear" w:color="auto" w:fill="C6EFCE"/>
            <w:noWrap/>
            <w:vAlign w:val="center"/>
            <w:hideMark/>
          </w:tcPr>
          <w:p w14:paraId="000EBAF6" w14:textId="324692FE"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9 – 3.2. Vzdelávanie, odborné vzdelávanie</w:t>
            </w:r>
            <w:r w:rsidR="00083739" w:rsidRPr="00083739">
              <w:rPr>
                <w:rFonts w:cs="Times New Roman"/>
                <w:noProof/>
                <w:lang w:val="sk-SK"/>
              </w:rPr>
              <w:t xml:space="preserve"> a </w:t>
            </w:r>
            <w:r w:rsidRPr="00083739">
              <w:rPr>
                <w:rFonts w:cs="Times New Roman"/>
                <w:noProof/>
                <w:lang w:val="sk-SK"/>
              </w:rPr>
              <w:t>príprava</w:t>
            </w:r>
            <w:r w:rsidR="00083739" w:rsidRPr="00083739">
              <w:rPr>
                <w:rFonts w:cs="Times New Roman"/>
                <w:noProof/>
                <w:lang w:val="sk-SK"/>
              </w:rPr>
              <w:t xml:space="preserve"> a </w:t>
            </w:r>
            <w:r w:rsidRPr="00083739">
              <w:rPr>
                <w:rFonts w:cs="Times New Roman"/>
                <w:noProof/>
                <w:lang w:val="sk-SK"/>
              </w:rPr>
              <w:t>zručnosti – 16934_Zlepšenie odbor</w:t>
            </w:r>
            <w:r w:rsidRPr="00083739">
              <w:rPr>
                <w:rFonts w:cs="Times New Roman"/>
                <w:noProof/>
                <w:lang w:val="sk-SK"/>
              </w:rPr>
              <w:t>ného vzdelávania</w:t>
            </w:r>
            <w:r w:rsidR="00083739" w:rsidRPr="00083739">
              <w:rPr>
                <w:rFonts w:cs="Times New Roman"/>
                <w:noProof/>
                <w:lang w:val="sk-SK"/>
              </w:rPr>
              <w:t xml:space="preserve"> a </w:t>
            </w:r>
            <w:r w:rsidRPr="00083739">
              <w:rPr>
                <w:rFonts w:cs="Times New Roman"/>
                <w:noProof/>
                <w:lang w:val="sk-SK"/>
              </w:rPr>
              <w:t>prípravy</w:t>
            </w:r>
          </w:p>
        </w:tc>
        <w:tc>
          <w:tcPr>
            <w:tcW w:w="1680" w:type="dxa"/>
            <w:tcBorders>
              <w:top w:val="nil"/>
              <w:left w:val="nil"/>
              <w:bottom w:val="single" w:sz="4" w:space="0" w:color="auto"/>
              <w:right w:val="single" w:sz="4" w:space="0" w:color="auto"/>
            </w:tcBorders>
            <w:shd w:val="clear" w:color="auto" w:fill="C6EFCE"/>
            <w:noWrap/>
            <w:vAlign w:val="center"/>
            <w:hideMark/>
          </w:tcPr>
          <w:p w14:paraId="50272850"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094260B4" w14:textId="09964FB5"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Modernizácia systému OVP SAEK, navrhovanie</w:t>
            </w:r>
            <w:r w:rsidR="00083739" w:rsidRPr="00083739">
              <w:rPr>
                <w:rFonts w:cs="Times New Roman"/>
                <w:noProof/>
                <w:lang w:val="sk-SK"/>
              </w:rPr>
              <w:t xml:space="preserve"> a </w:t>
            </w:r>
            <w:r w:rsidRPr="00083739">
              <w:rPr>
                <w:rFonts w:cs="Times New Roman"/>
                <w:noProof/>
                <w:lang w:val="sk-SK"/>
              </w:rPr>
              <w:t>vývoj modelu EPAL Digitalizácie EOPPEP</w:t>
            </w:r>
          </w:p>
        </w:tc>
      </w:tr>
      <w:tr w:rsidR="002D49B0" w:rsidRPr="00083739" w14:paraId="3337703D"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19C87BF9" w14:textId="3EDF23B4" w:rsidR="002D49B0" w:rsidRPr="00083739" w:rsidRDefault="00BF4125">
            <w:pPr>
              <w:pStyle w:val="P68B1DB1-Normal49"/>
              <w:spacing w:line="240" w:lineRule="auto"/>
              <w:jc w:val="both"/>
              <w:rPr>
                <w:rFonts w:cs="Times New Roman"/>
                <w:noProof/>
                <w:lang w:val="sk-SK"/>
              </w:rPr>
            </w:pPr>
            <w:r w:rsidRPr="00083739">
              <w:rPr>
                <w:rFonts w:cs="Times New Roman"/>
                <w:noProof/>
                <w:lang w:val="sk-SK"/>
              </w:rPr>
              <w:t>156a</w:t>
            </w:r>
          </w:p>
        </w:tc>
        <w:tc>
          <w:tcPr>
            <w:tcW w:w="4320" w:type="dxa"/>
            <w:tcBorders>
              <w:top w:val="nil"/>
              <w:left w:val="nil"/>
              <w:bottom w:val="single" w:sz="4" w:space="0" w:color="auto"/>
              <w:right w:val="single" w:sz="4" w:space="0" w:color="auto"/>
            </w:tcBorders>
            <w:shd w:val="clear" w:color="auto" w:fill="C6EFCE"/>
            <w:noWrap/>
            <w:vAlign w:val="center"/>
            <w:hideMark/>
          </w:tcPr>
          <w:p w14:paraId="32D0AC12" w14:textId="799233B3" w:rsidR="002D49B0" w:rsidRPr="00083739" w:rsidRDefault="00BF4125">
            <w:pPr>
              <w:pStyle w:val="P68B1DB1-Normal49"/>
              <w:keepNext/>
              <w:spacing w:before="40" w:after="0" w:line="240" w:lineRule="auto"/>
              <w:jc w:val="both"/>
              <w:rPr>
                <w:rFonts w:eastAsia="Times New Roman" w:cs="Times New Roman"/>
                <w:noProof/>
                <w:lang w:val="sk-SK"/>
              </w:rPr>
            </w:pPr>
            <w:r w:rsidRPr="00083739">
              <w:rPr>
                <w:rFonts w:cs="Times New Roman"/>
                <w:noProof/>
                <w:lang w:val="sk-SK"/>
              </w:rPr>
              <w:t>10 – 3.3. Zlepšenie odolnosti, dostupnosti</w:t>
            </w:r>
            <w:r w:rsidR="00083739" w:rsidRPr="00083739">
              <w:rPr>
                <w:rFonts w:cs="Times New Roman"/>
                <w:noProof/>
                <w:lang w:val="sk-SK"/>
              </w:rPr>
              <w:t xml:space="preserve"> a </w:t>
            </w:r>
            <w:r w:rsidRPr="00083739">
              <w:rPr>
                <w:rFonts w:cs="Times New Roman"/>
                <w:noProof/>
                <w:lang w:val="sk-SK"/>
              </w:rPr>
              <w:t>udržateľnosti zdravotnej starostlivosti – 16816_Reformy</w:t>
            </w:r>
            <w:r w:rsidR="00083739" w:rsidRPr="00083739">
              <w:rPr>
                <w:rFonts w:cs="Times New Roman"/>
                <w:noProof/>
                <w:lang w:val="sk-SK"/>
              </w:rPr>
              <w:t xml:space="preserve"> a </w:t>
            </w:r>
            <w:r w:rsidRPr="00083739">
              <w:rPr>
                <w:rFonts w:cs="Times New Roman"/>
                <w:noProof/>
                <w:lang w:val="sk-SK"/>
              </w:rPr>
              <w:t>urýchlenie investícií</w:t>
            </w:r>
            <w:r w:rsidR="00083739" w:rsidRPr="00083739">
              <w:rPr>
                <w:rFonts w:cs="Times New Roman"/>
                <w:noProof/>
                <w:lang w:val="sk-SK"/>
              </w:rPr>
              <w:t xml:space="preserve"> v </w:t>
            </w:r>
            <w:r w:rsidRPr="00083739">
              <w:rPr>
                <w:rFonts w:cs="Times New Roman"/>
                <w:noProof/>
                <w:lang w:val="sk-SK"/>
              </w:rPr>
              <w:t>sektore zdravotnej starostlivosti – Zníženie vrátenia prostriedkov</w:t>
            </w:r>
            <w:r w:rsidR="00083739" w:rsidRPr="00083739">
              <w:rPr>
                <w:rFonts w:cs="Times New Roman"/>
                <w:noProof/>
                <w:lang w:val="sk-SK"/>
              </w:rPr>
              <w:t xml:space="preserve"> a </w:t>
            </w:r>
            <w:r w:rsidRPr="00083739">
              <w:rPr>
                <w:rFonts w:cs="Times New Roman"/>
                <w:noProof/>
                <w:lang w:val="sk-SK"/>
              </w:rPr>
              <w:t>racionalizácia výdavkov na zdravotnú starostlivosť</w:t>
            </w:r>
          </w:p>
        </w:tc>
        <w:tc>
          <w:tcPr>
            <w:tcW w:w="1680" w:type="dxa"/>
            <w:tcBorders>
              <w:top w:val="nil"/>
              <w:left w:val="nil"/>
              <w:bottom w:val="single" w:sz="4" w:space="0" w:color="auto"/>
              <w:right w:val="single" w:sz="4" w:space="0" w:color="auto"/>
            </w:tcBorders>
            <w:shd w:val="clear" w:color="auto" w:fill="C6EFCE"/>
            <w:noWrap/>
            <w:vAlign w:val="center"/>
            <w:hideMark/>
          </w:tcPr>
          <w:p w14:paraId="6CC4E55C" w14:textId="77777777" w:rsidR="002D49B0" w:rsidRPr="00083739" w:rsidRDefault="00BF4125">
            <w:pPr>
              <w:pStyle w:val="P68B1DB1-Normal49"/>
              <w:keepNext/>
              <w:spacing w:before="40" w:after="0" w:line="240" w:lineRule="auto"/>
              <w:jc w:val="both"/>
              <w:rPr>
                <w:rFonts w:eastAsia="Times New Roman" w:cs="Times New Roman"/>
                <w:noProof/>
                <w:lang w:val="sk-SK"/>
              </w:rPr>
            </w:pPr>
            <w:r w:rsidRPr="00083739">
              <w:rPr>
                <w:rFonts w:cs="Times New Roman"/>
                <w:noProof/>
                <w:lang w:val="sk-SK"/>
              </w:rPr>
              <w:t>Cieľ</w:t>
            </w:r>
          </w:p>
        </w:tc>
        <w:tc>
          <w:tcPr>
            <w:tcW w:w="2280" w:type="dxa"/>
            <w:tcBorders>
              <w:top w:val="nil"/>
              <w:left w:val="nil"/>
              <w:bottom w:val="single" w:sz="4" w:space="0" w:color="auto"/>
              <w:right w:val="single" w:sz="4" w:space="0" w:color="auto"/>
            </w:tcBorders>
            <w:shd w:val="clear" w:color="auto" w:fill="C6EFCE"/>
            <w:noWrap/>
            <w:vAlign w:val="center"/>
            <w:hideMark/>
          </w:tcPr>
          <w:p w14:paraId="7AC00303" w14:textId="4F22DFB4" w:rsidR="002D49B0" w:rsidRPr="00083739" w:rsidRDefault="00BF4125">
            <w:pPr>
              <w:pStyle w:val="P68B1DB1-Normal49"/>
              <w:keepNext/>
              <w:spacing w:before="40" w:after="0" w:line="240" w:lineRule="auto"/>
              <w:jc w:val="both"/>
              <w:rPr>
                <w:rFonts w:cs="Times New Roman"/>
                <w:noProof/>
                <w:lang w:val="sk-SK"/>
              </w:rPr>
            </w:pPr>
            <w:r w:rsidRPr="00083739">
              <w:rPr>
                <w:rFonts w:cs="Times New Roman"/>
                <w:noProof/>
                <w:lang w:val="sk-SK"/>
              </w:rPr>
              <w:t>Farmaceutický výskum</w:t>
            </w:r>
            <w:r w:rsidR="00083739" w:rsidRPr="00083739">
              <w:rPr>
                <w:rFonts w:cs="Times New Roman"/>
                <w:noProof/>
                <w:lang w:val="sk-SK"/>
              </w:rPr>
              <w:t xml:space="preserve"> a </w:t>
            </w:r>
            <w:r w:rsidRPr="00083739">
              <w:rPr>
                <w:rFonts w:cs="Times New Roman"/>
                <w:noProof/>
                <w:lang w:val="sk-SK"/>
              </w:rPr>
              <w:t>vývoj</w:t>
            </w:r>
          </w:p>
          <w:p w14:paraId="6C5D6EB8" w14:textId="4D65E155" w:rsidR="002D49B0" w:rsidRPr="00083739" w:rsidRDefault="00BF4125">
            <w:pPr>
              <w:pStyle w:val="P68B1DB1-Normal49"/>
              <w:keepNext/>
              <w:spacing w:before="40" w:after="0" w:line="240" w:lineRule="auto"/>
              <w:jc w:val="both"/>
              <w:rPr>
                <w:rFonts w:cs="Times New Roman"/>
                <w:noProof/>
                <w:lang w:val="sk-SK"/>
              </w:rPr>
            </w:pPr>
            <w:r w:rsidRPr="00083739">
              <w:rPr>
                <w:rFonts w:cs="Times New Roman"/>
                <w:noProof/>
                <w:lang w:val="sk-SK"/>
              </w:rPr>
              <w:t>dôkaz</w:t>
            </w:r>
            <w:r w:rsidR="00083739" w:rsidRPr="00083739">
              <w:rPr>
                <w:rFonts w:cs="Times New Roman"/>
                <w:noProof/>
                <w:lang w:val="sk-SK"/>
              </w:rPr>
              <w:t xml:space="preserve"> o </w:t>
            </w:r>
            <w:r w:rsidRPr="00083739">
              <w:rPr>
                <w:rFonts w:cs="Times New Roman"/>
                <w:noProof/>
                <w:lang w:val="sk-SK"/>
              </w:rPr>
              <w:t>investícii – krok 2</w:t>
            </w:r>
          </w:p>
        </w:tc>
      </w:tr>
      <w:tr w:rsidR="002D49B0" w:rsidRPr="00083739" w14:paraId="146411A0"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44FFB115"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158</w:t>
            </w:r>
          </w:p>
        </w:tc>
        <w:tc>
          <w:tcPr>
            <w:tcW w:w="4320" w:type="dxa"/>
            <w:tcBorders>
              <w:top w:val="nil"/>
              <w:left w:val="nil"/>
              <w:bottom w:val="single" w:sz="4" w:space="0" w:color="auto"/>
              <w:right w:val="single" w:sz="4" w:space="0" w:color="auto"/>
            </w:tcBorders>
            <w:shd w:val="clear" w:color="auto" w:fill="C6EFCE"/>
            <w:noWrap/>
            <w:vAlign w:val="center"/>
            <w:hideMark/>
          </w:tcPr>
          <w:p w14:paraId="20395B15" w14:textId="47EFE2FD"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10 – 3.3. Zlepšiť odolnosť, dostupnosť</w:t>
            </w:r>
            <w:r w:rsidR="00083739" w:rsidRPr="00083739">
              <w:rPr>
                <w:rFonts w:cs="Times New Roman"/>
                <w:noProof/>
                <w:lang w:val="sk-SK"/>
              </w:rPr>
              <w:t xml:space="preserve"> a </w:t>
            </w:r>
            <w:r w:rsidRPr="00083739">
              <w:rPr>
                <w:rFonts w:cs="Times New Roman"/>
                <w:noProof/>
                <w:lang w:val="sk-SK"/>
              </w:rPr>
              <w:t xml:space="preserve">udržateľnosť zdravotnej </w:t>
            </w:r>
            <w:r w:rsidRPr="00083739">
              <w:rPr>
                <w:rFonts w:cs="Times New Roman"/>
                <w:noProof/>
                <w:lang w:val="sk-SK"/>
              </w:rPr>
              <w:t>starostlivosti – 16816_Reformy</w:t>
            </w:r>
            <w:r w:rsidR="00083739" w:rsidRPr="00083739">
              <w:rPr>
                <w:rFonts w:cs="Times New Roman"/>
                <w:noProof/>
                <w:lang w:val="sk-SK"/>
              </w:rPr>
              <w:t xml:space="preserve"> a </w:t>
            </w:r>
            <w:r w:rsidRPr="00083739">
              <w:rPr>
                <w:rFonts w:cs="Times New Roman"/>
                <w:noProof/>
                <w:lang w:val="sk-SK"/>
              </w:rPr>
              <w:t>urýchlenie investícií</w:t>
            </w:r>
            <w:r w:rsidR="00083739" w:rsidRPr="00083739">
              <w:rPr>
                <w:rFonts w:cs="Times New Roman"/>
                <w:noProof/>
                <w:lang w:val="sk-SK"/>
              </w:rPr>
              <w:t xml:space="preserve"> v </w:t>
            </w:r>
            <w:r w:rsidRPr="00083739">
              <w:rPr>
                <w:rFonts w:cs="Times New Roman"/>
                <w:noProof/>
                <w:lang w:val="sk-SK"/>
              </w:rPr>
              <w:t>sektore zdravotnej starostlivosti – Zníženie vrátenia prostriedkov</w:t>
            </w:r>
            <w:r w:rsidR="00083739" w:rsidRPr="00083739">
              <w:rPr>
                <w:rFonts w:cs="Times New Roman"/>
                <w:noProof/>
                <w:lang w:val="sk-SK"/>
              </w:rPr>
              <w:t xml:space="preserve"> a </w:t>
            </w:r>
            <w:r w:rsidRPr="00083739">
              <w:rPr>
                <w:rFonts w:cs="Times New Roman"/>
                <w:noProof/>
                <w:lang w:val="sk-SK"/>
              </w:rPr>
              <w:t>racionalizácia výdavkov na zdravotnú starostlivosť</w:t>
            </w:r>
          </w:p>
        </w:tc>
        <w:tc>
          <w:tcPr>
            <w:tcW w:w="1680" w:type="dxa"/>
            <w:tcBorders>
              <w:top w:val="nil"/>
              <w:left w:val="nil"/>
              <w:bottom w:val="single" w:sz="4" w:space="0" w:color="auto"/>
              <w:right w:val="single" w:sz="4" w:space="0" w:color="auto"/>
            </w:tcBorders>
            <w:shd w:val="clear" w:color="auto" w:fill="C6EFCE"/>
            <w:noWrap/>
            <w:vAlign w:val="center"/>
            <w:hideMark/>
          </w:tcPr>
          <w:p w14:paraId="5367F00C"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Cieľ</w:t>
            </w:r>
          </w:p>
        </w:tc>
        <w:tc>
          <w:tcPr>
            <w:tcW w:w="2280" w:type="dxa"/>
            <w:tcBorders>
              <w:top w:val="nil"/>
              <w:left w:val="nil"/>
              <w:bottom w:val="single" w:sz="4" w:space="0" w:color="auto"/>
              <w:right w:val="single" w:sz="4" w:space="0" w:color="auto"/>
            </w:tcBorders>
            <w:shd w:val="clear" w:color="auto" w:fill="C6EFCE"/>
            <w:noWrap/>
            <w:vAlign w:val="center"/>
            <w:hideMark/>
          </w:tcPr>
          <w:p w14:paraId="58E47948" w14:textId="77777777" w:rsidR="00083739"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Zníženie spätného vymáhania poskytnutých prostriedkov</w:t>
            </w:r>
          </w:p>
          <w:p w14:paraId="6512917B" w14:textId="5F8DAAF6"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400000000 – krok 4</w:t>
            </w:r>
          </w:p>
        </w:tc>
      </w:tr>
      <w:tr w:rsidR="002D49B0" w:rsidRPr="00083739" w14:paraId="1B178BD9"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5E04D6DA" w14:textId="77777777" w:rsidR="002D49B0" w:rsidRPr="00083739" w:rsidRDefault="00BF4125">
            <w:pPr>
              <w:pStyle w:val="P68B1DB1-Normal49"/>
              <w:keepNext/>
              <w:spacing w:before="40" w:after="0" w:line="240" w:lineRule="auto"/>
              <w:jc w:val="both"/>
              <w:rPr>
                <w:rFonts w:cs="Times New Roman"/>
                <w:noProof/>
                <w:lang w:val="sk-SK"/>
              </w:rPr>
            </w:pPr>
            <w:r w:rsidRPr="00083739">
              <w:rPr>
                <w:rFonts w:cs="Times New Roman"/>
                <w:noProof/>
                <w:lang w:val="sk-SK"/>
              </w:rPr>
              <w:t>164a</w:t>
            </w:r>
          </w:p>
        </w:tc>
        <w:tc>
          <w:tcPr>
            <w:tcW w:w="4320" w:type="dxa"/>
            <w:tcBorders>
              <w:top w:val="nil"/>
              <w:left w:val="nil"/>
              <w:bottom w:val="single" w:sz="4" w:space="0" w:color="auto"/>
              <w:right w:val="single" w:sz="4" w:space="0" w:color="auto"/>
            </w:tcBorders>
            <w:shd w:val="clear" w:color="auto" w:fill="C6EFCE"/>
            <w:noWrap/>
            <w:vAlign w:val="center"/>
            <w:hideMark/>
          </w:tcPr>
          <w:p w14:paraId="7AB35E15" w14:textId="398257A1"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10 – 3.3. Zlepšenie odolnosti, dostupnosti</w:t>
            </w:r>
            <w:r w:rsidR="00083739" w:rsidRPr="00083739">
              <w:rPr>
                <w:rFonts w:cs="Times New Roman"/>
                <w:noProof/>
                <w:lang w:val="sk-SK"/>
              </w:rPr>
              <w:t xml:space="preserve"> a </w:t>
            </w:r>
            <w:r w:rsidRPr="00083739">
              <w:rPr>
                <w:rFonts w:cs="Times New Roman"/>
                <w:noProof/>
                <w:lang w:val="sk-SK"/>
              </w:rPr>
              <w:t>udržateľnosti zdravotnej starostlivosti – 16756_Organizačné reformy</w:t>
            </w:r>
            <w:r w:rsidR="00083739" w:rsidRPr="00083739">
              <w:rPr>
                <w:rFonts w:cs="Times New Roman"/>
                <w:noProof/>
                <w:lang w:val="sk-SK"/>
              </w:rPr>
              <w:t xml:space="preserve"> v </w:t>
            </w:r>
            <w:r w:rsidRPr="00083739">
              <w:rPr>
                <w:rFonts w:cs="Times New Roman"/>
                <w:noProof/>
                <w:lang w:val="sk-SK"/>
              </w:rPr>
              <w:t xml:space="preserve">systéme zdravotnej starostlivosti </w:t>
            </w:r>
          </w:p>
        </w:tc>
        <w:tc>
          <w:tcPr>
            <w:tcW w:w="1680" w:type="dxa"/>
            <w:tcBorders>
              <w:top w:val="nil"/>
              <w:left w:val="nil"/>
              <w:bottom w:val="single" w:sz="4" w:space="0" w:color="auto"/>
              <w:right w:val="single" w:sz="4" w:space="0" w:color="auto"/>
            </w:tcBorders>
            <w:shd w:val="clear" w:color="auto" w:fill="C6EFCE"/>
            <w:noWrap/>
            <w:vAlign w:val="center"/>
            <w:hideMark/>
          </w:tcPr>
          <w:p w14:paraId="4E2D3341" w14:textId="77777777"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Cieľ</w:t>
            </w:r>
          </w:p>
        </w:tc>
        <w:tc>
          <w:tcPr>
            <w:tcW w:w="2280" w:type="dxa"/>
            <w:tcBorders>
              <w:top w:val="nil"/>
              <w:left w:val="nil"/>
              <w:bottom w:val="single" w:sz="4" w:space="0" w:color="auto"/>
              <w:right w:val="single" w:sz="4" w:space="0" w:color="auto"/>
            </w:tcBorders>
            <w:shd w:val="clear" w:color="auto" w:fill="C6EFCE"/>
            <w:noWrap/>
            <w:vAlign w:val="center"/>
            <w:hideMark/>
          </w:tcPr>
          <w:p w14:paraId="3714268C" w14:textId="77777777"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Skrátenie čakacieho zoznamu chirurgických zákrokov</w:t>
            </w:r>
          </w:p>
        </w:tc>
      </w:tr>
      <w:tr w:rsidR="002D49B0" w:rsidRPr="00083739" w14:paraId="148D5242"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715CC624"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165</w:t>
            </w:r>
          </w:p>
        </w:tc>
        <w:tc>
          <w:tcPr>
            <w:tcW w:w="4320" w:type="dxa"/>
            <w:tcBorders>
              <w:top w:val="nil"/>
              <w:left w:val="nil"/>
              <w:bottom w:val="single" w:sz="4" w:space="0" w:color="auto"/>
              <w:right w:val="single" w:sz="4" w:space="0" w:color="auto"/>
            </w:tcBorders>
            <w:shd w:val="clear" w:color="auto" w:fill="C6EFCE"/>
            <w:noWrap/>
            <w:vAlign w:val="center"/>
            <w:hideMark/>
          </w:tcPr>
          <w:p w14:paraId="0F2A49C5" w14:textId="3D63DE24"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 xml:space="preserve">10 – 3.3. Zlepšenie odolnosti, </w:t>
            </w:r>
            <w:r w:rsidRPr="00083739">
              <w:rPr>
                <w:rFonts w:cs="Times New Roman"/>
                <w:noProof/>
                <w:lang w:val="sk-SK"/>
              </w:rPr>
              <w:t>dostupnosti</w:t>
            </w:r>
            <w:r w:rsidR="00083739" w:rsidRPr="00083739">
              <w:rPr>
                <w:rFonts w:cs="Times New Roman"/>
                <w:noProof/>
                <w:lang w:val="sk-SK"/>
              </w:rPr>
              <w:t xml:space="preserve"> a </w:t>
            </w:r>
            <w:r w:rsidRPr="00083739">
              <w:rPr>
                <w:rFonts w:cs="Times New Roman"/>
                <w:noProof/>
                <w:lang w:val="sk-SK"/>
              </w:rPr>
              <w:t>udržateľnosti zdravotnej starostlivosti – 16783_Vykonávanie národného programu prevencie verejného zdravia „Spiros Doxiadis“ (NPP)</w:t>
            </w:r>
          </w:p>
        </w:tc>
        <w:tc>
          <w:tcPr>
            <w:tcW w:w="1680" w:type="dxa"/>
            <w:tcBorders>
              <w:top w:val="nil"/>
              <w:left w:val="nil"/>
              <w:bottom w:val="single" w:sz="4" w:space="0" w:color="auto"/>
              <w:right w:val="single" w:sz="4" w:space="0" w:color="auto"/>
            </w:tcBorders>
            <w:shd w:val="clear" w:color="auto" w:fill="C6EFCE"/>
            <w:noWrap/>
            <w:vAlign w:val="center"/>
            <w:hideMark/>
          </w:tcPr>
          <w:p w14:paraId="645CB340"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5355904A" w14:textId="57EBB878"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Národný program prevencie verejného zdravia</w:t>
            </w:r>
            <w:r w:rsidRPr="00083739">
              <w:rPr>
                <w:rFonts w:cs="Times New Roman"/>
                <w:noProof/>
                <w:szCs w:val="18"/>
                <w:lang w:val="sk-SK"/>
              </w:rPr>
              <w:t xml:space="preserve">Spiros </w:t>
            </w:r>
            <w:r w:rsidRPr="00083739">
              <w:rPr>
                <w:rFonts w:cs="Times New Roman"/>
                <w:noProof/>
                <w:lang w:val="sk-SK"/>
              </w:rPr>
              <w:t>Doxiadis – všetky projekty dokončené</w:t>
            </w:r>
          </w:p>
        </w:tc>
      </w:tr>
      <w:tr w:rsidR="002D49B0" w:rsidRPr="00083739" w14:paraId="43E5A41F"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0C996C9F"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166</w:t>
            </w:r>
          </w:p>
        </w:tc>
        <w:tc>
          <w:tcPr>
            <w:tcW w:w="4320" w:type="dxa"/>
            <w:tcBorders>
              <w:top w:val="nil"/>
              <w:left w:val="nil"/>
              <w:bottom w:val="single" w:sz="4" w:space="0" w:color="auto"/>
              <w:right w:val="single" w:sz="4" w:space="0" w:color="auto"/>
            </w:tcBorders>
            <w:shd w:val="clear" w:color="auto" w:fill="C6EFCE"/>
            <w:noWrap/>
            <w:vAlign w:val="center"/>
            <w:hideMark/>
          </w:tcPr>
          <w:p w14:paraId="74E8BD8A" w14:textId="32D30565"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10 – 3.3. Zl</w:t>
            </w:r>
            <w:r w:rsidRPr="00083739">
              <w:rPr>
                <w:rFonts w:cs="Times New Roman"/>
                <w:noProof/>
                <w:lang w:val="sk-SK"/>
              </w:rPr>
              <w:t>epšenie odolnosti, dostupnosti</w:t>
            </w:r>
            <w:r w:rsidR="00083739" w:rsidRPr="00083739">
              <w:rPr>
                <w:rFonts w:cs="Times New Roman"/>
                <w:noProof/>
                <w:lang w:val="sk-SK"/>
              </w:rPr>
              <w:t xml:space="preserve"> a </w:t>
            </w:r>
            <w:r w:rsidRPr="00083739">
              <w:rPr>
                <w:rFonts w:cs="Times New Roman"/>
                <w:noProof/>
                <w:lang w:val="sk-SK"/>
              </w:rPr>
              <w:t>udržateľnosti zdravotnej starostlivosti – 16755_Ekologické investície – Reforma systému primárnej zdravotnej starostlivosti</w:t>
            </w:r>
          </w:p>
        </w:tc>
        <w:tc>
          <w:tcPr>
            <w:tcW w:w="1680" w:type="dxa"/>
            <w:tcBorders>
              <w:top w:val="nil"/>
              <w:left w:val="nil"/>
              <w:bottom w:val="single" w:sz="4" w:space="0" w:color="auto"/>
              <w:right w:val="single" w:sz="4" w:space="0" w:color="auto"/>
            </w:tcBorders>
            <w:shd w:val="clear" w:color="auto" w:fill="C6EFCE"/>
            <w:noWrap/>
            <w:vAlign w:val="center"/>
            <w:hideMark/>
          </w:tcPr>
          <w:p w14:paraId="1FBC56AA"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Cieľ</w:t>
            </w:r>
          </w:p>
        </w:tc>
        <w:tc>
          <w:tcPr>
            <w:tcW w:w="2280" w:type="dxa"/>
            <w:tcBorders>
              <w:top w:val="nil"/>
              <w:left w:val="nil"/>
              <w:bottom w:val="single" w:sz="4" w:space="0" w:color="auto"/>
              <w:right w:val="single" w:sz="4" w:space="0" w:color="auto"/>
            </w:tcBorders>
            <w:shd w:val="clear" w:color="auto" w:fill="C6EFCE"/>
            <w:noWrap/>
            <w:vAlign w:val="center"/>
            <w:hideMark/>
          </w:tcPr>
          <w:p w14:paraId="1755713B"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PHC – plne renovované zdravotné strediská</w:t>
            </w:r>
          </w:p>
        </w:tc>
      </w:tr>
      <w:tr w:rsidR="002D49B0" w:rsidRPr="00083739" w14:paraId="56F34D76"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5BD6223C"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170</w:t>
            </w:r>
          </w:p>
        </w:tc>
        <w:tc>
          <w:tcPr>
            <w:tcW w:w="4320" w:type="dxa"/>
            <w:tcBorders>
              <w:top w:val="nil"/>
              <w:left w:val="nil"/>
              <w:bottom w:val="single" w:sz="4" w:space="0" w:color="auto"/>
              <w:right w:val="single" w:sz="4" w:space="0" w:color="auto"/>
            </w:tcBorders>
            <w:shd w:val="clear" w:color="auto" w:fill="C6EFCE"/>
            <w:noWrap/>
            <w:vAlign w:val="center"/>
            <w:hideMark/>
          </w:tcPr>
          <w:p w14:paraId="40EC43FE" w14:textId="06398CEE" w:rsidR="002D49B0" w:rsidRPr="00083739" w:rsidRDefault="00BF4125">
            <w:pPr>
              <w:pStyle w:val="P68B1DB1-Normal49"/>
              <w:keepNext/>
              <w:spacing w:before="40" w:after="0" w:line="240" w:lineRule="auto"/>
              <w:jc w:val="both"/>
              <w:rPr>
                <w:rFonts w:eastAsia="Times New Roman" w:cs="Times New Roman"/>
                <w:bCs/>
                <w:noProof/>
                <w:lang w:val="sk-SK"/>
              </w:rPr>
            </w:pPr>
            <w:r w:rsidRPr="00083739">
              <w:rPr>
                <w:rFonts w:cs="Times New Roman"/>
                <w:noProof/>
                <w:lang w:val="sk-SK"/>
              </w:rPr>
              <w:t>10 – 3.3. Zlepšenie odolnosti, dostupnosti</w:t>
            </w:r>
            <w:r w:rsidR="00083739" w:rsidRPr="00083739">
              <w:rPr>
                <w:rFonts w:cs="Times New Roman"/>
                <w:noProof/>
                <w:lang w:val="sk-SK"/>
              </w:rPr>
              <w:t xml:space="preserve"> a </w:t>
            </w:r>
            <w:r w:rsidRPr="00083739">
              <w:rPr>
                <w:rFonts w:cs="Times New Roman"/>
                <w:noProof/>
                <w:lang w:val="sk-SK"/>
              </w:rPr>
              <w:t>udržateľnosti zdravotnej starostlivosti – 16795_ Infraštruktúra</w:t>
            </w:r>
            <w:r w:rsidR="00083739" w:rsidRPr="00083739">
              <w:rPr>
                <w:rFonts w:cs="Times New Roman"/>
                <w:noProof/>
                <w:lang w:val="sk-SK"/>
              </w:rPr>
              <w:t xml:space="preserve"> v </w:t>
            </w:r>
            <w:r w:rsidRPr="00083739">
              <w:rPr>
                <w:rFonts w:cs="Times New Roman"/>
                <w:noProof/>
                <w:lang w:val="sk-SK"/>
              </w:rPr>
              <w:t>oblasti zdravia</w:t>
            </w:r>
          </w:p>
        </w:tc>
        <w:tc>
          <w:tcPr>
            <w:tcW w:w="1680" w:type="dxa"/>
            <w:tcBorders>
              <w:top w:val="nil"/>
              <w:left w:val="nil"/>
              <w:bottom w:val="single" w:sz="4" w:space="0" w:color="auto"/>
              <w:right w:val="single" w:sz="4" w:space="0" w:color="auto"/>
            </w:tcBorders>
            <w:shd w:val="clear" w:color="auto" w:fill="C6EFCE"/>
            <w:noWrap/>
            <w:vAlign w:val="center"/>
            <w:hideMark/>
          </w:tcPr>
          <w:p w14:paraId="42F94C34"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70ED3410"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Dokončenie modernizácie infraštruktúry NHS</w:t>
            </w:r>
          </w:p>
        </w:tc>
      </w:tr>
      <w:tr w:rsidR="002D49B0" w:rsidRPr="00083739" w14:paraId="62AB47C5"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4EEF8740"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171</w:t>
            </w:r>
          </w:p>
        </w:tc>
        <w:tc>
          <w:tcPr>
            <w:tcW w:w="4320" w:type="dxa"/>
            <w:tcBorders>
              <w:top w:val="nil"/>
              <w:left w:val="nil"/>
              <w:bottom w:val="single" w:sz="4" w:space="0" w:color="auto"/>
              <w:right w:val="single" w:sz="4" w:space="0" w:color="auto"/>
            </w:tcBorders>
            <w:shd w:val="clear" w:color="auto" w:fill="C6EFCE"/>
            <w:noWrap/>
            <w:vAlign w:val="center"/>
            <w:hideMark/>
          </w:tcPr>
          <w:p w14:paraId="562484DB" w14:textId="7EADEBC0"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10 – 3.3. Zlepšenie odolnosti, dostupnosti</w:t>
            </w:r>
            <w:r w:rsidR="00083739" w:rsidRPr="00083739">
              <w:rPr>
                <w:rFonts w:cs="Times New Roman"/>
                <w:noProof/>
                <w:lang w:val="sk-SK"/>
              </w:rPr>
              <w:t xml:space="preserve"> a </w:t>
            </w:r>
            <w:r w:rsidRPr="00083739">
              <w:rPr>
                <w:rFonts w:cs="Times New Roman"/>
                <w:noProof/>
                <w:lang w:val="sk-SK"/>
              </w:rPr>
              <w:t>udržateľnosti zdravotnej starostlivosti – 16757_Zriadenie rá</w:t>
            </w:r>
            <w:r w:rsidRPr="00083739">
              <w:rPr>
                <w:rFonts w:cs="Times New Roman"/>
                <w:noProof/>
                <w:lang w:val="sk-SK"/>
              </w:rPr>
              <w:t>dioterapeutického centra</w:t>
            </w:r>
            <w:r w:rsidR="00083739" w:rsidRPr="00083739">
              <w:rPr>
                <w:rFonts w:cs="Times New Roman"/>
                <w:noProof/>
                <w:lang w:val="sk-SK"/>
              </w:rPr>
              <w:t xml:space="preserve"> v </w:t>
            </w:r>
            <w:r w:rsidRPr="00083739">
              <w:rPr>
                <w:rFonts w:cs="Times New Roman"/>
                <w:noProof/>
                <w:lang w:val="sk-SK"/>
              </w:rPr>
              <w:t>Thorakci „Sotiria“</w:t>
            </w:r>
          </w:p>
        </w:tc>
        <w:tc>
          <w:tcPr>
            <w:tcW w:w="1680" w:type="dxa"/>
            <w:tcBorders>
              <w:top w:val="nil"/>
              <w:left w:val="nil"/>
              <w:bottom w:val="single" w:sz="4" w:space="0" w:color="auto"/>
              <w:right w:val="single" w:sz="4" w:space="0" w:color="auto"/>
            </w:tcBorders>
            <w:shd w:val="clear" w:color="auto" w:fill="C6EFCE"/>
            <w:noWrap/>
            <w:vAlign w:val="center"/>
            <w:hideMark/>
          </w:tcPr>
          <w:p w14:paraId="5209A0E5"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566E5B24"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Centrum rádioterapie Sotiria</w:t>
            </w:r>
          </w:p>
        </w:tc>
      </w:tr>
      <w:tr w:rsidR="002D49B0" w:rsidRPr="00083739" w14:paraId="73243D3B"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5FED4CA5"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172</w:t>
            </w:r>
          </w:p>
        </w:tc>
        <w:tc>
          <w:tcPr>
            <w:tcW w:w="4320" w:type="dxa"/>
            <w:tcBorders>
              <w:top w:val="nil"/>
              <w:left w:val="nil"/>
              <w:bottom w:val="single" w:sz="4" w:space="0" w:color="auto"/>
              <w:right w:val="single" w:sz="4" w:space="0" w:color="auto"/>
            </w:tcBorders>
            <w:shd w:val="clear" w:color="auto" w:fill="C6EFCE"/>
            <w:noWrap/>
            <w:vAlign w:val="center"/>
            <w:hideMark/>
          </w:tcPr>
          <w:p w14:paraId="2DA24E5A" w14:textId="24B5B6FA"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10 – 3.3. Zlepšenie odolnosti, dostupnosti</w:t>
            </w:r>
            <w:r w:rsidR="00083739" w:rsidRPr="00083739">
              <w:rPr>
                <w:rFonts w:cs="Times New Roman"/>
                <w:noProof/>
                <w:lang w:val="sk-SK"/>
              </w:rPr>
              <w:t xml:space="preserve"> a </w:t>
            </w:r>
            <w:r w:rsidRPr="00083739">
              <w:rPr>
                <w:rFonts w:cs="Times New Roman"/>
                <w:noProof/>
                <w:lang w:val="sk-SK"/>
              </w:rPr>
              <w:t>udržateľnosti zdravotnej starostlivosti – 16793_Projekt výstavby budovy určenej na bunkové</w:t>
            </w:r>
            <w:r w:rsidR="00083739" w:rsidRPr="00083739">
              <w:rPr>
                <w:rFonts w:cs="Times New Roman"/>
                <w:noProof/>
                <w:lang w:val="sk-SK"/>
              </w:rPr>
              <w:t xml:space="preserve"> a </w:t>
            </w:r>
            <w:r w:rsidRPr="00083739">
              <w:rPr>
                <w:rFonts w:cs="Times New Roman"/>
                <w:noProof/>
                <w:lang w:val="sk-SK"/>
              </w:rPr>
              <w:t>genetické terapie</w:t>
            </w:r>
            <w:r w:rsidR="00083739" w:rsidRPr="00083739">
              <w:rPr>
                <w:rFonts w:cs="Times New Roman"/>
                <w:noProof/>
                <w:lang w:val="sk-SK"/>
              </w:rPr>
              <w:t xml:space="preserve"> a </w:t>
            </w:r>
            <w:r w:rsidRPr="00083739">
              <w:rPr>
                <w:rFonts w:cs="Times New Roman"/>
                <w:noProof/>
                <w:lang w:val="sk-SK"/>
              </w:rPr>
              <w:t>hematologické klinikové laboratóriá</w:t>
            </w:r>
            <w:r w:rsidR="00083739" w:rsidRPr="00083739">
              <w:rPr>
                <w:rFonts w:cs="Times New Roman"/>
                <w:noProof/>
                <w:lang w:val="sk-SK"/>
              </w:rPr>
              <w:t xml:space="preserve"> v </w:t>
            </w:r>
            <w:r w:rsidRPr="00083739">
              <w:rPr>
                <w:rFonts w:cs="Times New Roman"/>
                <w:noProof/>
                <w:lang w:val="sk-SK"/>
              </w:rPr>
              <w:t>rámci všeobecnej nemocnice Solún „Papanikolaou“</w:t>
            </w:r>
          </w:p>
        </w:tc>
        <w:tc>
          <w:tcPr>
            <w:tcW w:w="1680" w:type="dxa"/>
            <w:tcBorders>
              <w:top w:val="nil"/>
              <w:left w:val="nil"/>
              <w:bottom w:val="single" w:sz="4" w:space="0" w:color="auto"/>
              <w:right w:val="single" w:sz="4" w:space="0" w:color="auto"/>
            </w:tcBorders>
            <w:shd w:val="clear" w:color="auto" w:fill="C6EFCE"/>
            <w:noWrap/>
            <w:vAlign w:val="center"/>
            <w:hideMark/>
          </w:tcPr>
          <w:p w14:paraId="46A4A890"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35E37C4C"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Dokončenie nemocnice Papanikolau</w:t>
            </w:r>
          </w:p>
        </w:tc>
      </w:tr>
      <w:tr w:rsidR="002D49B0" w:rsidRPr="00083739" w14:paraId="253E1EED"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504E0787"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173</w:t>
            </w:r>
          </w:p>
        </w:tc>
        <w:tc>
          <w:tcPr>
            <w:tcW w:w="4320" w:type="dxa"/>
            <w:tcBorders>
              <w:top w:val="nil"/>
              <w:left w:val="nil"/>
              <w:bottom w:val="single" w:sz="4" w:space="0" w:color="auto"/>
              <w:right w:val="single" w:sz="4" w:space="0" w:color="auto"/>
            </w:tcBorders>
            <w:shd w:val="clear" w:color="auto" w:fill="C6EFCE"/>
            <w:noWrap/>
            <w:vAlign w:val="center"/>
            <w:hideMark/>
          </w:tcPr>
          <w:p w14:paraId="5C83B310" w14:textId="35465E60"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10 – 3.3. Zlepšenie odolnosti, dostupnosti</w:t>
            </w:r>
            <w:r w:rsidR="00083739" w:rsidRPr="00083739">
              <w:rPr>
                <w:rFonts w:cs="Times New Roman"/>
                <w:noProof/>
                <w:lang w:val="sk-SK"/>
              </w:rPr>
              <w:t xml:space="preserve"> a </w:t>
            </w:r>
            <w:r w:rsidRPr="00083739">
              <w:rPr>
                <w:rFonts w:cs="Times New Roman"/>
                <w:noProof/>
                <w:lang w:val="sk-SK"/>
              </w:rPr>
              <w:t xml:space="preserve">udržateľnosti zdravotnej starostlivosti – 16752_Digitálna transformácia zdravia </w:t>
            </w:r>
            <w:r w:rsidRPr="00083739">
              <w:rPr>
                <w:rFonts w:cs="Times New Roman"/>
                <w:noProof/>
                <w:lang w:val="sk-SK"/>
              </w:rPr>
              <w:t>(DigHealth)</w:t>
            </w:r>
          </w:p>
        </w:tc>
        <w:tc>
          <w:tcPr>
            <w:tcW w:w="1680" w:type="dxa"/>
            <w:tcBorders>
              <w:top w:val="nil"/>
              <w:left w:val="nil"/>
              <w:bottom w:val="single" w:sz="4" w:space="0" w:color="auto"/>
              <w:right w:val="single" w:sz="4" w:space="0" w:color="auto"/>
            </w:tcBorders>
            <w:shd w:val="clear" w:color="auto" w:fill="C6EFCE"/>
            <w:noWrap/>
            <w:vAlign w:val="center"/>
            <w:hideMark/>
          </w:tcPr>
          <w:p w14:paraId="437951AB"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203ED355"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Digitálna transformácia – všetky čiastkové projekty sú dokončené</w:t>
            </w:r>
          </w:p>
        </w:tc>
      </w:tr>
      <w:tr w:rsidR="002D49B0" w:rsidRPr="00083739" w14:paraId="7C30CDCC"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hideMark/>
          </w:tcPr>
          <w:p w14:paraId="5B3522AB"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174a</w:t>
            </w:r>
          </w:p>
        </w:tc>
        <w:tc>
          <w:tcPr>
            <w:tcW w:w="4320" w:type="dxa"/>
            <w:tcBorders>
              <w:top w:val="nil"/>
              <w:left w:val="nil"/>
              <w:bottom w:val="single" w:sz="4" w:space="0" w:color="auto"/>
              <w:right w:val="single" w:sz="4" w:space="0" w:color="auto"/>
            </w:tcBorders>
            <w:shd w:val="clear" w:color="auto" w:fill="C6EFCE"/>
            <w:noWrap/>
            <w:hideMark/>
          </w:tcPr>
          <w:p w14:paraId="207FD948" w14:textId="4C9C2A01" w:rsidR="002D49B0" w:rsidRPr="00083739" w:rsidRDefault="00BF4125">
            <w:pPr>
              <w:pStyle w:val="P68B1DB1-Normal24"/>
              <w:keepNext/>
              <w:spacing w:before="40" w:after="0" w:line="240" w:lineRule="auto"/>
              <w:jc w:val="both"/>
              <w:rPr>
                <w:rFonts w:ascii="Times New Roman" w:hAnsi="Times New Roman" w:cs="Times New Roman"/>
                <w:noProof/>
                <w:color w:val="006100"/>
                <w:lang w:val="sk-SK"/>
              </w:rPr>
            </w:pPr>
            <w:r w:rsidRPr="00083739">
              <w:rPr>
                <w:rFonts w:ascii="Times New Roman" w:hAnsi="Times New Roman" w:cs="Times New Roman"/>
                <w:noProof/>
                <w:lang w:val="sk-SK"/>
              </w:rPr>
              <w:t>11 – 3.4. Zlepšenie prístupu</w:t>
            </w:r>
            <w:r w:rsidR="00083739" w:rsidRPr="00083739">
              <w:rPr>
                <w:rFonts w:ascii="Times New Roman" w:hAnsi="Times New Roman" w:cs="Times New Roman"/>
                <w:noProof/>
                <w:lang w:val="sk-SK"/>
              </w:rPr>
              <w:t xml:space="preserve"> k </w:t>
            </w:r>
            <w:r w:rsidRPr="00083739">
              <w:rPr>
                <w:rFonts w:ascii="Times New Roman" w:hAnsi="Times New Roman" w:cs="Times New Roman"/>
                <w:noProof/>
                <w:lang w:val="sk-SK"/>
              </w:rPr>
              <w:t>účinným</w:t>
            </w:r>
            <w:r w:rsidR="00083739" w:rsidRPr="00083739">
              <w:rPr>
                <w:rFonts w:ascii="Times New Roman" w:hAnsi="Times New Roman" w:cs="Times New Roman"/>
                <w:noProof/>
                <w:lang w:val="sk-SK"/>
              </w:rPr>
              <w:t xml:space="preserve"> a </w:t>
            </w:r>
            <w:r w:rsidRPr="00083739">
              <w:rPr>
                <w:rFonts w:ascii="Times New Roman" w:hAnsi="Times New Roman" w:cs="Times New Roman"/>
                <w:noProof/>
                <w:lang w:val="sk-SK"/>
              </w:rPr>
              <w:t>inkluzívnym sociálnym politikám – 16904_</w:t>
            </w:r>
            <w:r w:rsidRPr="00083739">
              <w:rPr>
                <w:rFonts w:ascii="Times New Roman" w:hAnsi="Times New Roman" w:cs="Times New Roman"/>
                <w:noProof/>
                <w:color w:val="006100"/>
                <w:lang w:val="sk-SK"/>
              </w:rPr>
              <w:t xml:space="preserve"> Prístupnosť</w:t>
            </w:r>
            <w:r w:rsidR="00083739" w:rsidRPr="00083739">
              <w:rPr>
                <w:rFonts w:ascii="Times New Roman" w:hAnsi="Times New Roman" w:cs="Times New Roman"/>
                <w:noProof/>
                <w:color w:val="006100"/>
                <w:lang w:val="sk-SK"/>
              </w:rPr>
              <w:t xml:space="preserve"> a </w:t>
            </w:r>
            <w:r w:rsidRPr="00083739">
              <w:rPr>
                <w:rFonts w:ascii="Times New Roman" w:hAnsi="Times New Roman" w:cs="Times New Roman"/>
                <w:noProof/>
                <w:color w:val="006100"/>
                <w:lang w:val="sk-SK"/>
              </w:rPr>
              <w:t>podpora infraštruktúry</w:t>
            </w:r>
            <w:r w:rsidR="00083739" w:rsidRPr="00083739">
              <w:rPr>
                <w:rFonts w:ascii="Times New Roman" w:hAnsi="Times New Roman" w:cs="Times New Roman"/>
                <w:noProof/>
                <w:color w:val="006100"/>
                <w:lang w:val="sk-SK"/>
              </w:rPr>
              <w:t xml:space="preserve"> v </w:t>
            </w:r>
            <w:r w:rsidRPr="00083739">
              <w:rPr>
                <w:rFonts w:ascii="Times New Roman" w:hAnsi="Times New Roman" w:cs="Times New Roman"/>
                <w:noProof/>
                <w:color w:val="006100"/>
                <w:lang w:val="sk-SK"/>
              </w:rPr>
              <w:t>oblasti intervencií</w:t>
            </w:r>
            <w:r w:rsidR="00083739" w:rsidRPr="00083739">
              <w:rPr>
                <w:rFonts w:ascii="Times New Roman" w:hAnsi="Times New Roman" w:cs="Times New Roman"/>
                <w:noProof/>
                <w:color w:val="006100"/>
                <w:lang w:val="sk-SK"/>
              </w:rPr>
              <w:t xml:space="preserve"> v </w:t>
            </w:r>
            <w:r w:rsidRPr="00083739">
              <w:rPr>
                <w:rFonts w:ascii="Times New Roman" w:hAnsi="Times New Roman" w:cs="Times New Roman"/>
                <w:noProof/>
                <w:color w:val="006100"/>
                <w:lang w:val="sk-SK"/>
              </w:rPr>
              <w:t xml:space="preserve">ranom detstve, </w:t>
            </w:r>
            <w:r w:rsidRPr="00083739">
              <w:rPr>
                <w:rFonts w:ascii="Times New Roman" w:hAnsi="Times New Roman" w:cs="Times New Roman"/>
                <w:noProof/>
                <w:color w:val="006100"/>
                <w:lang w:val="sk-SK"/>
              </w:rPr>
              <w:t>vnútroštátne zavádzanie systému osobnej asistencie pre osoby so zdravotným postihnutím</w:t>
            </w:r>
          </w:p>
        </w:tc>
        <w:tc>
          <w:tcPr>
            <w:tcW w:w="1680" w:type="dxa"/>
            <w:tcBorders>
              <w:top w:val="nil"/>
              <w:left w:val="nil"/>
              <w:bottom w:val="single" w:sz="4" w:space="0" w:color="auto"/>
              <w:right w:val="single" w:sz="4" w:space="0" w:color="auto"/>
            </w:tcBorders>
            <w:shd w:val="clear" w:color="auto" w:fill="C6EFCE"/>
            <w:noWrap/>
            <w:hideMark/>
          </w:tcPr>
          <w:p w14:paraId="63BF6CDB"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hideMark/>
          </w:tcPr>
          <w:p w14:paraId="41BFF542" w14:textId="23950044"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Prístupnosť</w:t>
            </w:r>
            <w:r w:rsidR="00083739" w:rsidRPr="00083739">
              <w:rPr>
                <w:rFonts w:cs="Times New Roman"/>
                <w:noProof/>
                <w:lang w:val="sk-SK"/>
              </w:rPr>
              <w:t xml:space="preserve"> a </w:t>
            </w:r>
            <w:r w:rsidRPr="00083739">
              <w:rPr>
                <w:rFonts w:cs="Times New Roman"/>
                <w:noProof/>
                <w:lang w:val="sk-SK"/>
              </w:rPr>
              <w:t>podporná infraštruktúra, sociálne začlenenie osôb</w:t>
            </w:r>
            <w:r w:rsidR="00083739" w:rsidRPr="00083739">
              <w:rPr>
                <w:rFonts w:cs="Times New Roman"/>
                <w:noProof/>
                <w:lang w:val="sk-SK"/>
              </w:rPr>
              <w:t xml:space="preserve"> s </w:t>
            </w:r>
            <w:r w:rsidRPr="00083739">
              <w:rPr>
                <w:rFonts w:cs="Times New Roman"/>
                <w:noProof/>
                <w:lang w:val="sk-SK"/>
              </w:rPr>
              <w:t>ASD, intervencie</w:t>
            </w:r>
            <w:r w:rsidR="00083739" w:rsidRPr="00083739">
              <w:rPr>
                <w:rFonts w:cs="Times New Roman"/>
                <w:noProof/>
                <w:lang w:val="sk-SK"/>
              </w:rPr>
              <w:t xml:space="preserve"> v </w:t>
            </w:r>
            <w:r w:rsidRPr="00083739">
              <w:rPr>
                <w:rFonts w:cs="Times New Roman"/>
                <w:noProof/>
                <w:lang w:val="sk-SK"/>
              </w:rPr>
              <w:t>ranom detstve, vnútroštátne zavedenie systému osobnej asistencie</w:t>
            </w:r>
          </w:p>
        </w:tc>
      </w:tr>
      <w:tr w:rsidR="002D49B0" w:rsidRPr="00083739" w14:paraId="040FC55D"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18798B5C" w14:textId="6FB425B0"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178</w:t>
            </w:r>
          </w:p>
        </w:tc>
        <w:tc>
          <w:tcPr>
            <w:tcW w:w="4320" w:type="dxa"/>
            <w:tcBorders>
              <w:top w:val="nil"/>
              <w:left w:val="nil"/>
              <w:bottom w:val="single" w:sz="4" w:space="0" w:color="auto"/>
              <w:right w:val="single" w:sz="4" w:space="0" w:color="auto"/>
            </w:tcBorders>
            <w:shd w:val="clear" w:color="auto" w:fill="C6EFCE"/>
            <w:noWrap/>
            <w:vAlign w:val="center"/>
          </w:tcPr>
          <w:p w14:paraId="09E418D3" w14:textId="497BA768"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11 – 3.</w:t>
            </w:r>
            <w:r w:rsidRPr="00083739">
              <w:rPr>
                <w:rFonts w:cs="Times New Roman"/>
                <w:noProof/>
                <w:lang w:val="sk-SK"/>
              </w:rPr>
              <w:t>4. Zlepšiť prístup</w:t>
            </w:r>
            <w:r w:rsidR="00083739" w:rsidRPr="00083739">
              <w:rPr>
                <w:rFonts w:cs="Times New Roman"/>
                <w:noProof/>
                <w:lang w:val="sk-SK"/>
              </w:rPr>
              <w:t xml:space="preserve"> k </w:t>
            </w:r>
            <w:r w:rsidRPr="00083739">
              <w:rPr>
                <w:rFonts w:cs="Times New Roman"/>
                <w:noProof/>
                <w:lang w:val="sk-SK"/>
              </w:rPr>
              <w:t>účinným</w:t>
            </w:r>
            <w:r w:rsidR="00083739" w:rsidRPr="00083739">
              <w:rPr>
                <w:rFonts w:cs="Times New Roman"/>
                <w:noProof/>
                <w:lang w:val="sk-SK"/>
              </w:rPr>
              <w:t xml:space="preserve"> a </w:t>
            </w:r>
            <w:r w:rsidRPr="00083739">
              <w:rPr>
                <w:rFonts w:cs="Times New Roman"/>
                <w:noProof/>
                <w:lang w:val="sk-SK"/>
              </w:rPr>
              <w:t>inkluzívnym sociálnym politikám – 16919_Ochrana detí</w:t>
            </w:r>
          </w:p>
        </w:tc>
        <w:tc>
          <w:tcPr>
            <w:tcW w:w="1680" w:type="dxa"/>
            <w:tcBorders>
              <w:top w:val="nil"/>
              <w:left w:val="nil"/>
              <w:bottom w:val="single" w:sz="4" w:space="0" w:color="auto"/>
              <w:right w:val="single" w:sz="4" w:space="0" w:color="auto"/>
            </w:tcBorders>
            <w:shd w:val="clear" w:color="auto" w:fill="C6EFCE"/>
            <w:noWrap/>
            <w:vAlign w:val="center"/>
          </w:tcPr>
          <w:p w14:paraId="0E99064F" w14:textId="1C1800B9"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Cieľ</w:t>
            </w:r>
          </w:p>
        </w:tc>
        <w:tc>
          <w:tcPr>
            <w:tcW w:w="2280" w:type="dxa"/>
            <w:tcBorders>
              <w:top w:val="nil"/>
              <w:left w:val="nil"/>
              <w:bottom w:val="single" w:sz="4" w:space="0" w:color="auto"/>
              <w:right w:val="single" w:sz="4" w:space="0" w:color="auto"/>
            </w:tcBorders>
            <w:shd w:val="clear" w:color="auto" w:fill="C6EFCE"/>
            <w:noWrap/>
            <w:vAlign w:val="center"/>
          </w:tcPr>
          <w:p w14:paraId="1F93CC42" w14:textId="5FE07C6B"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 xml:space="preserve">Samostatné byty na deinštitucionalizáciu osôb do 26 rokov </w:t>
            </w:r>
          </w:p>
        </w:tc>
      </w:tr>
      <w:tr w:rsidR="002D49B0" w:rsidRPr="00083739" w14:paraId="25481149"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48925BBA" w14:textId="603D622C"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179</w:t>
            </w:r>
          </w:p>
        </w:tc>
        <w:tc>
          <w:tcPr>
            <w:tcW w:w="4320" w:type="dxa"/>
            <w:tcBorders>
              <w:top w:val="nil"/>
              <w:left w:val="nil"/>
              <w:bottom w:val="single" w:sz="4" w:space="0" w:color="auto"/>
              <w:right w:val="single" w:sz="4" w:space="0" w:color="auto"/>
            </w:tcBorders>
            <w:shd w:val="clear" w:color="auto" w:fill="C6EFCE"/>
            <w:noWrap/>
            <w:vAlign w:val="center"/>
          </w:tcPr>
          <w:p w14:paraId="31D5C3D7" w14:textId="454DD52A"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11 – 3.4. Zlepšiť prístup</w:t>
            </w:r>
            <w:r w:rsidR="00083739" w:rsidRPr="00083739">
              <w:rPr>
                <w:rFonts w:cs="Times New Roman"/>
                <w:noProof/>
                <w:lang w:val="sk-SK"/>
              </w:rPr>
              <w:t xml:space="preserve"> k </w:t>
            </w:r>
            <w:r w:rsidRPr="00083739">
              <w:rPr>
                <w:rFonts w:cs="Times New Roman"/>
                <w:noProof/>
                <w:lang w:val="sk-SK"/>
              </w:rPr>
              <w:t>účinným</w:t>
            </w:r>
            <w:r w:rsidR="00083739" w:rsidRPr="00083739">
              <w:rPr>
                <w:rFonts w:cs="Times New Roman"/>
                <w:noProof/>
                <w:lang w:val="sk-SK"/>
              </w:rPr>
              <w:t xml:space="preserve"> a </w:t>
            </w:r>
            <w:r w:rsidRPr="00083739">
              <w:rPr>
                <w:rFonts w:cs="Times New Roman"/>
                <w:noProof/>
                <w:lang w:val="sk-SK"/>
              </w:rPr>
              <w:t>inkluzívnym sociálnym politikám – 16904_Zdravotné postihnutie</w:t>
            </w:r>
          </w:p>
        </w:tc>
        <w:tc>
          <w:tcPr>
            <w:tcW w:w="1680" w:type="dxa"/>
            <w:tcBorders>
              <w:top w:val="nil"/>
              <w:left w:val="nil"/>
              <w:bottom w:val="single" w:sz="4" w:space="0" w:color="auto"/>
              <w:right w:val="single" w:sz="4" w:space="0" w:color="auto"/>
            </w:tcBorders>
            <w:shd w:val="clear" w:color="auto" w:fill="C6EFCE"/>
            <w:noWrap/>
            <w:vAlign w:val="center"/>
          </w:tcPr>
          <w:p w14:paraId="70C6DDB4" w14:textId="559F5787"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tcPr>
          <w:p w14:paraId="183430FD" w14:textId="111FFE71"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Vnútroštátne zavedenie systému osobnej asistencie</w:t>
            </w:r>
            <w:r w:rsidR="00083739" w:rsidRPr="00083739">
              <w:rPr>
                <w:rFonts w:cs="Times New Roman"/>
                <w:noProof/>
                <w:lang w:val="sk-SK"/>
              </w:rPr>
              <w:t xml:space="preserve"> a </w:t>
            </w:r>
            <w:r w:rsidRPr="00083739">
              <w:rPr>
                <w:rFonts w:cs="Times New Roman"/>
                <w:noProof/>
                <w:lang w:val="sk-SK"/>
              </w:rPr>
              <w:t>dokončenie druhej fázy posudzovania zdravotného postihnutia osobnej asistencie – hodnotenie.</w:t>
            </w:r>
          </w:p>
        </w:tc>
      </w:tr>
      <w:tr w:rsidR="002D49B0" w:rsidRPr="00083739" w14:paraId="6A724805"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hideMark/>
          </w:tcPr>
          <w:p w14:paraId="77540FBB"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180a</w:t>
            </w:r>
          </w:p>
        </w:tc>
        <w:tc>
          <w:tcPr>
            <w:tcW w:w="4320" w:type="dxa"/>
            <w:tcBorders>
              <w:top w:val="nil"/>
              <w:left w:val="nil"/>
              <w:bottom w:val="single" w:sz="4" w:space="0" w:color="auto"/>
              <w:right w:val="single" w:sz="4" w:space="0" w:color="auto"/>
            </w:tcBorders>
            <w:shd w:val="clear" w:color="auto" w:fill="C6EFCE"/>
            <w:noWrap/>
            <w:hideMark/>
          </w:tcPr>
          <w:p w14:paraId="6EEC6640" w14:textId="6F58A068"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11 – 3.4. Zlepšiť prístup</w:t>
            </w:r>
            <w:r w:rsidR="00083739" w:rsidRPr="00083739">
              <w:rPr>
                <w:rFonts w:cs="Times New Roman"/>
                <w:noProof/>
                <w:lang w:val="sk-SK"/>
              </w:rPr>
              <w:t xml:space="preserve"> k </w:t>
            </w:r>
            <w:r w:rsidRPr="00083739">
              <w:rPr>
                <w:rFonts w:cs="Times New Roman"/>
                <w:noProof/>
                <w:lang w:val="sk-SK"/>
              </w:rPr>
              <w:t>účinným</w:t>
            </w:r>
            <w:r w:rsidR="00083739" w:rsidRPr="00083739">
              <w:rPr>
                <w:rFonts w:cs="Times New Roman"/>
                <w:noProof/>
                <w:lang w:val="sk-SK"/>
              </w:rPr>
              <w:t xml:space="preserve"> a </w:t>
            </w:r>
            <w:r w:rsidRPr="00083739">
              <w:rPr>
                <w:rFonts w:cs="Times New Roman"/>
                <w:noProof/>
                <w:lang w:val="sk-SK"/>
              </w:rPr>
              <w:t>inkluzívnym sociálnym politikám – 16919_Ochrana detí</w:t>
            </w:r>
          </w:p>
        </w:tc>
        <w:tc>
          <w:tcPr>
            <w:tcW w:w="1680" w:type="dxa"/>
            <w:tcBorders>
              <w:top w:val="nil"/>
              <w:left w:val="nil"/>
              <w:bottom w:val="single" w:sz="4" w:space="0" w:color="auto"/>
              <w:right w:val="single" w:sz="4" w:space="0" w:color="auto"/>
            </w:tcBorders>
            <w:shd w:val="clear" w:color="auto" w:fill="C6EFCE"/>
            <w:noWrap/>
            <w:hideMark/>
          </w:tcPr>
          <w:p w14:paraId="7E1BA60C"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hideMark/>
          </w:tcPr>
          <w:p w14:paraId="05BE23DB"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Reforma učebných osnov</w:t>
            </w:r>
          </w:p>
        </w:tc>
      </w:tr>
      <w:tr w:rsidR="002D49B0" w:rsidRPr="00083739" w14:paraId="243BF65F"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tcPr>
          <w:p w14:paraId="3D41E240" w14:textId="77777777"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181</w:t>
            </w:r>
          </w:p>
        </w:tc>
        <w:tc>
          <w:tcPr>
            <w:tcW w:w="4320" w:type="dxa"/>
            <w:tcBorders>
              <w:top w:val="nil"/>
              <w:left w:val="nil"/>
              <w:bottom w:val="single" w:sz="4" w:space="0" w:color="auto"/>
              <w:right w:val="single" w:sz="4" w:space="0" w:color="auto"/>
            </w:tcBorders>
            <w:shd w:val="clear" w:color="auto" w:fill="C6EFCE"/>
            <w:noWrap/>
          </w:tcPr>
          <w:p w14:paraId="23918373" w14:textId="5DAC3A3A"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11 – 3.4 Zlepšiť prístup</w:t>
            </w:r>
            <w:r w:rsidR="00083739" w:rsidRPr="00083739">
              <w:rPr>
                <w:rFonts w:cs="Times New Roman"/>
                <w:noProof/>
                <w:lang w:val="sk-SK"/>
              </w:rPr>
              <w:t xml:space="preserve"> k </w:t>
            </w:r>
            <w:r w:rsidRPr="00083739">
              <w:rPr>
                <w:rFonts w:cs="Times New Roman"/>
                <w:noProof/>
                <w:lang w:val="sk-SK"/>
              </w:rPr>
              <w:t>účinným</w:t>
            </w:r>
            <w:r w:rsidR="00083739" w:rsidRPr="00083739">
              <w:rPr>
                <w:rFonts w:cs="Times New Roman"/>
                <w:noProof/>
                <w:lang w:val="sk-SK"/>
              </w:rPr>
              <w:t xml:space="preserve"> a </w:t>
            </w:r>
            <w:r w:rsidRPr="00083739">
              <w:rPr>
                <w:rFonts w:cs="Times New Roman"/>
                <w:noProof/>
                <w:lang w:val="sk-SK"/>
              </w:rPr>
              <w:t>inkluzívnym sociálnym politikám – 16402_Sociálne</w:t>
            </w:r>
            <w:r w:rsidR="00083739" w:rsidRPr="00083739">
              <w:rPr>
                <w:rFonts w:cs="Times New Roman"/>
                <w:noProof/>
                <w:lang w:val="sk-SK"/>
              </w:rPr>
              <w:t xml:space="preserve"> a </w:t>
            </w:r>
            <w:r w:rsidRPr="00083739">
              <w:rPr>
                <w:rFonts w:cs="Times New Roman"/>
                <w:noProof/>
                <w:lang w:val="sk-SK"/>
              </w:rPr>
              <w:t>cenovo dostupné bývanie</w:t>
            </w:r>
          </w:p>
        </w:tc>
        <w:tc>
          <w:tcPr>
            <w:tcW w:w="1680" w:type="dxa"/>
            <w:tcBorders>
              <w:top w:val="nil"/>
              <w:left w:val="nil"/>
              <w:bottom w:val="single" w:sz="4" w:space="0" w:color="auto"/>
              <w:right w:val="single" w:sz="4" w:space="0" w:color="auto"/>
            </w:tcBorders>
            <w:shd w:val="clear" w:color="auto" w:fill="C6EFCE"/>
            <w:noWrap/>
          </w:tcPr>
          <w:p w14:paraId="206C9039" w14:textId="77777777"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tcPr>
          <w:p w14:paraId="7FE58C15" w14:textId="52452E98"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Národné bývanie STRARTEGY</w:t>
            </w:r>
          </w:p>
        </w:tc>
      </w:tr>
      <w:tr w:rsidR="002D49B0" w:rsidRPr="00083739" w14:paraId="162BC540"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hideMark/>
          </w:tcPr>
          <w:p w14:paraId="2B674DFD"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182a</w:t>
            </w:r>
          </w:p>
        </w:tc>
        <w:tc>
          <w:tcPr>
            <w:tcW w:w="4320" w:type="dxa"/>
            <w:tcBorders>
              <w:top w:val="nil"/>
              <w:left w:val="nil"/>
              <w:bottom w:val="single" w:sz="4" w:space="0" w:color="auto"/>
              <w:right w:val="single" w:sz="4" w:space="0" w:color="auto"/>
            </w:tcBorders>
            <w:shd w:val="clear" w:color="auto" w:fill="C6EFCE"/>
            <w:noWrap/>
            <w:hideMark/>
          </w:tcPr>
          <w:p w14:paraId="3527B495" w14:textId="1EE358CD"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11 – 3.4. Zlepšenie prístupu</w:t>
            </w:r>
            <w:r w:rsidR="00083739" w:rsidRPr="00083739">
              <w:rPr>
                <w:rFonts w:cs="Times New Roman"/>
                <w:noProof/>
                <w:lang w:val="sk-SK"/>
              </w:rPr>
              <w:t xml:space="preserve"> k </w:t>
            </w:r>
            <w:r w:rsidRPr="00083739">
              <w:rPr>
                <w:rFonts w:cs="Times New Roman"/>
                <w:noProof/>
                <w:lang w:val="sk-SK"/>
              </w:rPr>
              <w:t>účinným</w:t>
            </w:r>
            <w:r w:rsidR="00083739" w:rsidRPr="00083739">
              <w:rPr>
                <w:rFonts w:cs="Times New Roman"/>
                <w:noProof/>
                <w:lang w:val="sk-SK"/>
              </w:rPr>
              <w:t xml:space="preserve"> a </w:t>
            </w:r>
            <w:r w:rsidRPr="00083739">
              <w:rPr>
                <w:rFonts w:cs="Times New Roman"/>
                <w:noProof/>
                <w:lang w:val="sk-SK"/>
              </w:rPr>
              <w:t xml:space="preserve">inkluzívnym sociálnym politikám – </w:t>
            </w:r>
            <w:r w:rsidRPr="00083739">
              <w:rPr>
                <w:rFonts w:cs="Times New Roman"/>
                <w:noProof/>
                <w:lang w:val="sk-SK"/>
              </w:rPr>
              <w:t>16925_Digitálna transformácia systému sociálnej podpory</w:t>
            </w:r>
          </w:p>
        </w:tc>
        <w:tc>
          <w:tcPr>
            <w:tcW w:w="1680" w:type="dxa"/>
            <w:tcBorders>
              <w:top w:val="nil"/>
              <w:left w:val="nil"/>
              <w:bottom w:val="single" w:sz="4" w:space="0" w:color="auto"/>
              <w:right w:val="single" w:sz="4" w:space="0" w:color="auto"/>
            </w:tcBorders>
            <w:shd w:val="clear" w:color="auto" w:fill="C6EFCE"/>
            <w:noWrap/>
            <w:hideMark/>
          </w:tcPr>
          <w:p w14:paraId="4F479185"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hideMark/>
          </w:tcPr>
          <w:p w14:paraId="07A6698C"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Jednotný portál digitálneho prístupu, digitálna odborná príprava, úplný súpis verejných nehnuteľností</w:t>
            </w:r>
          </w:p>
        </w:tc>
      </w:tr>
      <w:tr w:rsidR="002D49B0" w:rsidRPr="00083739" w14:paraId="627CA136"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283AF43B"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182</w:t>
            </w:r>
          </w:p>
        </w:tc>
        <w:tc>
          <w:tcPr>
            <w:tcW w:w="4320" w:type="dxa"/>
            <w:tcBorders>
              <w:top w:val="nil"/>
              <w:left w:val="nil"/>
              <w:bottom w:val="single" w:sz="4" w:space="0" w:color="auto"/>
              <w:right w:val="single" w:sz="4" w:space="0" w:color="auto"/>
            </w:tcBorders>
            <w:shd w:val="clear" w:color="auto" w:fill="C6EFCE"/>
            <w:noWrap/>
            <w:vAlign w:val="center"/>
            <w:hideMark/>
          </w:tcPr>
          <w:p w14:paraId="78B835F3" w14:textId="2CE0EC7C"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11 – 3.4. Zlepšenie prístupu</w:t>
            </w:r>
            <w:r w:rsidR="00083739" w:rsidRPr="00083739">
              <w:rPr>
                <w:rFonts w:cs="Times New Roman"/>
                <w:noProof/>
                <w:lang w:val="sk-SK"/>
              </w:rPr>
              <w:t xml:space="preserve"> k </w:t>
            </w:r>
            <w:r w:rsidRPr="00083739">
              <w:rPr>
                <w:rFonts w:cs="Times New Roman"/>
                <w:noProof/>
                <w:lang w:val="sk-SK"/>
              </w:rPr>
              <w:t>účinným</w:t>
            </w:r>
            <w:r w:rsidR="00083739" w:rsidRPr="00083739">
              <w:rPr>
                <w:rFonts w:cs="Times New Roman"/>
                <w:noProof/>
                <w:lang w:val="sk-SK"/>
              </w:rPr>
              <w:t xml:space="preserve"> a </w:t>
            </w:r>
            <w:r w:rsidRPr="00083739">
              <w:rPr>
                <w:rFonts w:cs="Times New Roman"/>
                <w:noProof/>
                <w:lang w:val="sk-SK"/>
              </w:rPr>
              <w:t xml:space="preserve">inkluzívnym sociálnym politikám – </w:t>
            </w:r>
            <w:r w:rsidRPr="00083739">
              <w:rPr>
                <w:rFonts w:cs="Times New Roman"/>
                <w:noProof/>
                <w:lang w:val="sk-SK"/>
              </w:rPr>
              <w:t>16925_Digitálna transformácia systému sociálnej podpory</w:t>
            </w:r>
          </w:p>
        </w:tc>
        <w:tc>
          <w:tcPr>
            <w:tcW w:w="1680" w:type="dxa"/>
            <w:tcBorders>
              <w:top w:val="nil"/>
              <w:left w:val="nil"/>
              <w:bottom w:val="single" w:sz="4" w:space="0" w:color="auto"/>
              <w:right w:val="single" w:sz="4" w:space="0" w:color="auto"/>
            </w:tcBorders>
            <w:shd w:val="clear" w:color="auto" w:fill="C6EFCE"/>
            <w:noWrap/>
            <w:vAlign w:val="center"/>
            <w:hideMark/>
          </w:tcPr>
          <w:p w14:paraId="4DFAA629"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Cieľ</w:t>
            </w:r>
          </w:p>
        </w:tc>
        <w:tc>
          <w:tcPr>
            <w:tcW w:w="2280" w:type="dxa"/>
            <w:tcBorders>
              <w:top w:val="nil"/>
              <w:left w:val="nil"/>
              <w:bottom w:val="single" w:sz="4" w:space="0" w:color="auto"/>
              <w:right w:val="single" w:sz="4" w:space="0" w:color="auto"/>
            </w:tcBorders>
            <w:shd w:val="clear" w:color="auto" w:fill="C6EFCE"/>
            <w:noWrap/>
            <w:vAlign w:val="center"/>
            <w:hideMark/>
          </w:tcPr>
          <w:p w14:paraId="23C5488A"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Dokončenie poskytovania preukazov riadiaceho orgánu pre osoby so zdravotným postihnutím</w:t>
            </w:r>
          </w:p>
        </w:tc>
      </w:tr>
      <w:tr w:rsidR="002D49B0" w:rsidRPr="00083739" w14:paraId="399254F6"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62416E9B"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183</w:t>
            </w:r>
          </w:p>
        </w:tc>
        <w:tc>
          <w:tcPr>
            <w:tcW w:w="4320" w:type="dxa"/>
            <w:tcBorders>
              <w:top w:val="nil"/>
              <w:left w:val="nil"/>
              <w:bottom w:val="single" w:sz="4" w:space="0" w:color="auto"/>
              <w:right w:val="single" w:sz="4" w:space="0" w:color="auto"/>
            </w:tcBorders>
            <w:shd w:val="clear" w:color="auto" w:fill="C6EFCE"/>
            <w:noWrap/>
            <w:vAlign w:val="center"/>
            <w:hideMark/>
          </w:tcPr>
          <w:p w14:paraId="033D0FEC" w14:textId="7C8FB17B"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11 – 3.4. Zlepšenie prístupu</w:t>
            </w:r>
            <w:r w:rsidR="00083739" w:rsidRPr="00083739">
              <w:rPr>
                <w:rFonts w:cs="Times New Roman"/>
                <w:noProof/>
                <w:lang w:val="sk-SK"/>
              </w:rPr>
              <w:t xml:space="preserve"> k </w:t>
            </w:r>
            <w:r w:rsidRPr="00083739">
              <w:rPr>
                <w:rFonts w:cs="Times New Roman"/>
                <w:noProof/>
                <w:lang w:val="sk-SK"/>
              </w:rPr>
              <w:t>účinným</w:t>
            </w:r>
            <w:r w:rsidR="00083739" w:rsidRPr="00083739">
              <w:rPr>
                <w:rFonts w:cs="Times New Roman"/>
                <w:noProof/>
                <w:lang w:val="sk-SK"/>
              </w:rPr>
              <w:t xml:space="preserve"> a </w:t>
            </w:r>
            <w:r w:rsidRPr="00083739">
              <w:rPr>
                <w:rFonts w:cs="Times New Roman"/>
                <w:noProof/>
                <w:lang w:val="sk-SK"/>
              </w:rPr>
              <w:t>inkluzívnym sociálnym politikám – 16922_Sociálna integrácia</w:t>
            </w:r>
          </w:p>
        </w:tc>
        <w:tc>
          <w:tcPr>
            <w:tcW w:w="1680" w:type="dxa"/>
            <w:tcBorders>
              <w:top w:val="nil"/>
              <w:left w:val="nil"/>
              <w:bottom w:val="single" w:sz="4" w:space="0" w:color="auto"/>
              <w:right w:val="single" w:sz="4" w:space="0" w:color="auto"/>
            </w:tcBorders>
            <w:shd w:val="clear" w:color="auto" w:fill="C6EFCE"/>
            <w:noWrap/>
            <w:vAlign w:val="center"/>
            <w:hideMark/>
          </w:tcPr>
          <w:p w14:paraId="58987B84"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Cieľ</w:t>
            </w:r>
          </w:p>
        </w:tc>
        <w:tc>
          <w:tcPr>
            <w:tcW w:w="2280" w:type="dxa"/>
            <w:tcBorders>
              <w:top w:val="nil"/>
              <w:left w:val="nil"/>
              <w:bottom w:val="single" w:sz="4" w:space="0" w:color="auto"/>
              <w:right w:val="single" w:sz="4" w:space="0" w:color="auto"/>
            </w:tcBorders>
            <w:shd w:val="clear" w:color="auto" w:fill="C6EFCE"/>
            <w:noWrap/>
            <w:vAlign w:val="center"/>
            <w:hideMark/>
          </w:tcPr>
          <w:p w14:paraId="6CC76C4A"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 xml:space="preserve">Sociálna integrácia – príjemcovia GMI bez domova </w:t>
            </w:r>
          </w:p>
        </w:tc>
      </w:tr>
      <w:tr w:rsidR="002D49B0" w:rsidRPr="00083739" w14:paraId="3FC79108"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hideMark/>
          </w:tcPr>
          <w:p w14:paraId="3DD2216E"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186a</w:t>
            </w:r>
          </w:p>
        </w:tc>
        <w:tc>
          <w:tcPr>
            <w:tcW w:w="4320" w:type="dxa"/>
            <w:tcBorders>
              <w:top w:val="nil"/>
              <w:left w:val="nil"/>
              <w:bottom w:val="single" w:sz="4" w:space="0" w:color="auto"/>
              <w:right w:val="single" w:sz="4" w:space="0" w:color="auto"/>
            </w:tcBorders>
            <w:shd w:val="clear" w:color="auto" w:fill="C6EFCE"/>
            <w:noWrap/>
            <w:hideMark/>
          </w:tcPr>
          <w:p w14:paraId="41595E6A" w14:textId="11AC025F"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11 – 3.4. Zlepšenie prístupu</w:t>
            </w:r>
            <w:r w:rsidR="00083739" w:rsidRPr="00083739">
              <w:rPr>
                <w:rFonts w:cs="Times New Roman"/>
                <w:noProof/>
                <w:lang w:val="sk-SK"/>
              </w:rPr>
              <w:t xml:space="preserve"> k </w:t>
            </w:r>
            <w:r w:rsidRPr="00083739">
              <w:rPr>
                <w:rFonts w:cs="Times New Roman"/>
                <w:noProof/>
                <w:lang w:val="sk-SK"/>
              </w:rPr>
              <w:t>účinným</w:t>
            </w:r>
            <w:r w:rsidR="00083739" w:rsidRPr="00083739">
              <w:rPr>
                <w:rFonts w:cs="Times New Roman"/>
                <w:noProof/>
                <w:lang w:val="sk-SK"/>
              </w:rPr>
              <w:t xml:space="preserve"> a </w:t>
            </w:r>
            <w:r w:rsidRPr="00083739">
              <w:rPr>
                <w:rFonts w:cs="Times New Roman"/>
                <w:noProof/>
                <w:lang w:val="sk-SK"/>
              </w:rPr>
              <w:t>inkluzívnym sociálnym politikám – 16922_Sociálna integrácia</w:t>
            </w:r>
          </w:p>
        </w:tc>
        <w:tc>
          <w:tcPr>
            <w:tcW w:w="1680" w:type="dxa"/>
            <w:tcBorders>
              <w:top w:val="nil"/>
              <w:left w:val="nil"/>
              <w:bottom w:val="single" w:sz="4" w:space="0" w:color="auto"/>
              <w:right w:val="single" w:sz="4" w:space="0" w:color="auto"/>
            </w:tcBorders>
            <w:shd w:val="clear" w:color="auto" w:fill="C6EFCE"/>
            <w:noWrap/>
            <w:hideMark/>
          </w:tcPr>
          <w:p w14:paraId="1C87E01A"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hideMark/>
          </w:tcPr>
          <w:p w14:paraId="23AD05E3"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Sociálna integrácia zraniteľných skupín, digitálna odborná príprava</w:t>
            </w:r>
          </w:p>
        </w:tc>
      </w:tr>
      <w:tr w:rsidR="002D49B0" w:rsidRPr="00083739" w14:paraId="4198F204"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6613C941"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187</w:t>
            </w:r>
          </w:p>
        </w:tc>
        <w:tc>
          <w:tcPr>
            <w:tcW w:w="4320" w:type="dxa"/>
            <w:tcBorders>
              <w:top w:val="nil"/>
              <w:left w:val="nil"/>
              <w:bottom w:val="single" w:sz="4" w:space="0" w:color="auto"/>
              <w:right w:val="single" w:sz="4" w:space="0" w:color="auto"/>
            </w:tcBorders>
            <w:shd w:val="clear" w:color="auto" w:fill="C6EFCE"/>
            <w:noWrap/>
            <w:vAlign w:val="center"/>
            <w:hideMark/>
          </w:tcPr>
          <w:p w14:paraId="201CAB4A" w14:textId="4DE08D62"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 xml:space="preserve">11 – 3.4. </w:t>
            </w:r>
            <w:r w:rsidRPr="00083739">
              <w:rPr>
                <w:rFonts w:cs="Times New Roman"/>
                <w:noProof/>
                <w:lang w:val="sk-SK"/>
              </w:rPr>
              <w:t>Zlepšiť prístup</w:t>
            </w:r>
            <w:r w:rsidR="00083739" w:rsidRPr="00083739">
              <w:rPr>
                <w:rFonts w:cs="Times New Roman"/>
                <w:noProof/>
                <w:lang w:val="sk-SK"/>
              </w:rPr>
              <w:t xml:space="preserve"> k </w:t>
            </w:r>
            <w:r w:rsidRPr="00083739">
              <w:rPr>
                <w:rFonts w:cs="Times New Roman"/>
                <w:noProof/>
                <w:lang w:val="sk-SK"/>
              </w:rPr>
              <w:t>účinným</w:t>
            </w:r>
            <w:r w:rsidR="00083739" w:rsidRPr="00083739">
              <w:rPr>
                <w:rFonts w:cs="Times New Roman"/>
                <w:noProof/>
                <w:lang w:val="sk-SK"/>
              </w:rPr>
              <w:t xml:space="preserve"> a </w:t>
            </w:r>
            <w:r w:rsidRPr="00083739">
              <w:rPr>
                <w:rFonts w:cs="Times New Roman"/>
                <w:noProof/>
                <w:lang w:val="sk-SK"/>
              </w:rPr>
              <w:t>inkluzívnym sociálnym politikám – 16688: Podporovať integráciu utečencov do trhu práce </w:t>
            </w:r>
          </w:p>
        </w:tc>
        <w:tc>
          <w:tcPr>
            <w:tcW w:w="1680" w:type="dxa"/>
            <w:tcBorders>
              <w:top w:val="nil"/>
              <w:left w:val="nil"/>
              <w:bottom w:val="single" w:sz="4" w:space="0" w:color="auto"/>
              <w:right w:val="single" w:sz="4" w:space="0" w:color="auto"/>
            </w:tcBorders>
            <w:shd w:val="clear" w:color="auto" w:fill="C6EFCE"/>
            <w:noWrap/>
            <w:vAlign w:val="center"/>
            <w:hideMark/>
          </w:tcPr>
          <w:p w14:paraId="06E40636"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Cieľ</w:t>
            </w:r>
          </w:p>
        </w:tc>
        <w:tc>
          <w:tcPr>
            <w:tcW w:w="2280" w:type="dxa"/>
            <w:tcBorders>
              <w:top w:val="nil"/>
              <w:left w:val="nil"/>
              <w:bottom w:val="single" w:sz="4" w:space="0" w:color="auto"/>
              <w:right w:val="single" w:sz="4" w:space="0" w:color="auto"/>
            </w:tcBorders>
            <w:shd w:val="clear" w:color="auto" w:fill="C6EFCE"/>
            <w:noWrap/>
            <w:vAlign w:val="center"/>
            <w:hideMark/>
          </w:tcPr>
          <w:p w14:paraId="74CEEE4D"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Integrácia utečencov na trhu práce</w:t>
            </w:r>
          </w:p>
        </w:tc>
      </w:tr>
      <w:tr w:rsidR="002D49B0" w:rsidRPr="00083739" w14:paraId="197A7417"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2389489D"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194</w:t>
            </w:r>
          </w:p>
        </w:tc>
        <w:tc>
          <w:tcPr>
            <w:tcW w:w="4320" w:type="dxa"/>
            <w:tcBorders>
              <w:top w:val="nil"/>
              <w:left w:val="nil"/>
              <w:bottom w:val="single" w:sz="4" w:space="0" w:color="auto"/>
              <w:right w:val="single" w:sz="4" w:space="0" w:color="auto"/>
            </w:tcBorders>
            <w:shd w:val="clear" w:color="auto" w:fill="C6EFCE"/>
            <w:noWrap/>
            <w:vAlign w:val="center"/>
            <w:hideMark/>
          </w:tcPr>
          <w:p w14:paraId="64B37B9C" w14:textId="1E60407E"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12 – 4.1. Zabezpečiť, aby dane boli priaznivejšie pre rast</w:t>
            </w:r>
            <w:r w:rsidR="00083739" w:rsidRPr="00083739">
              <w:rPr>
                <w:rFonts w:cs="Times New Roman"/>
                <w:noProof/>
                <w:lang w:val="sk-SK"/>
              </w:rPr>
              <w:t xml:space="preserve"> a </w:t>
            </w:r>
            <w:r w:rsidRPr="00083739">
              <w:rPr>
                <w:rFonts w:cs="Times New Roman"/>
                <w:noProof/>
                <w:lang w:val="sk-SK"/>
              </w:rPr>
              <w:t>zlepšiť daňovú správu</w:t>
            </w:r>
            <w:r w:rsidR="00083739" w:rsidRPr="00083739">
              <w:rPr>
                <w:rFonts w:cs="Times New Roman"/>
                <w:noProof/>
                <w:lang w:val="sk-SK"/>
              </w:rPr>
              <w:t xml:space="preserve"> a </w:t>
            </w:r>
            <w:r w:rsidRPr="00083739">
              <w:rPr>
                <w:rFonts w:cs="Times New Roman"/>
                <w:noProof/>
                <w:lang w:val="sk-SK"/>
              </w:rPr>
              <w:t>výber daní</w:t>
            </w:r>
            <w:r w:rsidRPr="00083739">
              <w:rPr>
                <w:rFonts w:cs="Times New Roman"/>
                <w:noProof/>
                <w:lang w:val="sk-SK"/>
              </w:rPr>
              <w:t xml:space="preserve"> – 16611_Digitálna transformácia daňových auditov</w:t>
            </w:r>
          </w:p>
        </w:tc>
        <w:tc>
          <w:tcPr>
            <w:tcW w:w="1680" w:type="dxa"/>
            <w:tcBorders>
              <w:top w:val="nil"/>
              <w:left w:val="nil"/>
              <w:bottom w:val="single" w:sz="4" w:space="0" w:color="auto"/>
              <w:right w:val="single" w:sz="4" w:space="0" w:color="auto"/>
            </w:tcBorders>
            <w:shd w:val="clear" w:color="auto" w:fill="C6EFCE"/>
            <w:noWrap/>
            <w:vAlign w:val="center"/>
            <w:hideMark/>
          </w:tcPr>
          <w:p w14:paraId="549A01F0"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33492E1A"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Dokončenie digitálnej transformácie daňových auditov</w:t>
            </w:r>
          </w:p>
        </w:tc>
      </w:tr>
      <w:tr w:rsidR="002D49B0" w:rsidRPr="00083739" w14:paraId="1C15F716"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09C44544"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195</w:t>
            </w:r>
          </w:p>
        </w:tc>
        <w:tc>
          <w:tcPr>
            <w:tcW w:w="4320" w:type="dxa"/>
            <w:tcBorders>
              <w:top w:val="nil"/>
              <w:left w:val="nil"/>
              <w:bottom w:val="single" w:sz="4" w:space="0" w:color="auto"/>
              <w:right w:val="single" w:sz="4" w:space="0" w:color="auto"/>
            </w:tcBorders>
            <w:shd w:val="clear" w:color="auto" w:fill="C6EFCE"/>
            <w:noWrap/>
            <w:vAlign w:val="center"/>
            <w:hideMark/>
          </w:tcPr>
          <w:p w14:paraId="49A1E9F0" w14:textId="6AE779B5"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12 – 4.1. Zabezpečiť, aby dane boli priaznivejšie pre rast</w:t>
            </w:r>
            <w:r w:rsidR="00083739" w:rsidRPr="00083739">
              <w:rPr>
                <w:rFonts w:cs="Times New Roman"/>
                <w:noProof/>
                <w:lang w:val="sk-SK"/>
              </w:rPr>
              <w:t xml:space="preserve"> a </w:t>
            </w:r>
            <w:r w:rsidRPr="00083739">
              <w:rPr>
                <w:rFonts w:cs="Times New Roman"/>
                <w:noProof/>
                <w:lang w:val="sk-SK"/>
              </w:rPr>
              <w:t>zlepšiť daňovú správu</w:t>
            </w:r>
            <w:r w:rsidR="00083739" w:rsidRPr="00083739">
              <w:rPr>
                <w:rFonts w:cs="Times New Roman"/>
                <w:noProof/>
                <w:lang w:val="sk-SK"/>
              </w:rPr>
              <w:t xml:space="preserve"> a </w:t>
            </w:r>
            <w:r w:rsidRPr="00083739">
              <w:rPr>
                <w:rFonts w:cs="Times New Roman"/>
                <w:noProof/>
                <w:lang w:val="sk-SK"/>
              </w:rPr>
              <w:t>výber daní – 16291_Digitálna transformácia daňovej</w:t>
            </w:r>
            <w:r w:rsidR="00083739" w:rsidRPr="00083739">
              <w:rPr>
                <w:rFonts w:cs="Times New Roman"/>
                <w:noProof/>
                <w:lang w:val="sk-SK"/>
              </w:rPr>
              <w:t xml:space="preserve"> a </w:t>
            </w:r>
            <w:r w:rsidRPr="00083739">
              <w:rPr>
                <w:rFonts w:cs="Times New Roman"/>
                <w:noProof/>
                <w:lang w:val="sk-SK"/>
              </w:rPr>
              <w:t>col</w:t>
            </w:r>
            <w:r w:rsidRPr="00083739">
              <w:rPr>
                <w:rFonts w:cs="Times New Roman"/>
                <w:noProof/>
                <w:lang w:val="sk-SK"/>
              </w:rPr>
              <w:t>nej správy</w:t>
            </w:r>
          </w:p>
        </w:tc>
        <w:tc>
          <w:tcPr>
            <w:tcW w:w="1680" w:type="dxa"/>
            <w:tcBorders>
              <w:top w:val="nil"/>
              <w:left w:val="nil"/>
              <w:bottom w:val="single" w:sz="4" w:space="0" w:color="auto"/>
              <w:right w:val="single" w:sz="4" w:space="0" w:color="auto"/>
            </w:tcBorders>
            <w:shd w:val="clear" w:color="auto" w:fill="C6EFCE"/>
            <w:noWrap/>
            <w:vAlign w:val="center"/>
            <w:hideMark/>
          </w:tcPr>
          <w:p w14:paraId="63988AC8"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6E10F864" w14:textId="077A97E0" w:rsidR="002D49B0" w:rsidRPr="00083739" w:rsidRDefault="00BF4125">
            <w:pPr>
              <w:keepNext/>
              <w:spacing w:before="40" w:after="0" w:line="240" w:lineRule="auto"/>
              <w:jc w:val="both"/>
              <w:rPr>
                <w:rFonts w:ascii="Times New Roman" w:eastAsia="Times New Roman" w:hAnsi="Times New Roman" w:cs="Times New Roman"/>
                <w:noProof/>
                <w:sz w:val="18"/>
                <w:szCs w:val="18"/>
                <w:lang w:val="sk-SK"/>
              </w:rPr>
            </w:pPr>
            <w:r w:rsidRPr="00083739">
              <w:rPr>
                <w:rFonts w:ascii="Times New Roman" w:hAnsi="Times New Roman" w:cs="Times New Roman"/>
                <w:noProof/>
                <w:sz w:val="18"/>
                <w:lang w:val="sk-SK"/>
              </w:rPr>
              <w:t>Dokončenie prvej fázy výsledkov integrovaného</w:t>
            </w:r>
            <w:r w:rsidRPr="00083739">
              <w:rPr>
                <w:rFonts w:ascii="Times New Roman" w:hAnsi="Times New Roman" w:cs="Times New Roman"/>
                <w:noProof/>
                <w:lang w:val="sk-SK"/>
              </w:rPr>
              <w:t xml:space="preserve"> </w:t>
            </w:r>
            <w:r w:rsidRPr="00083739">
              <w:rPr>
                <w:rFonts w:ascii="Times New Roman" w:hAnsi="Times New Roman" w:cs="Times New Roman"/>
                <w:noProof/>
                <w:sz w:val="18"/>
                <w:lang w:val="sk-SK"/>
              </w:rPr>
              <w:t>daňového</w:t>
            </w:r>
            <w:r w:rsidR="00083739" w:rsidRPr="00083739">
              <w:rPr>
                <w:rFonts w:ascii="Times New Roman" w:hAnsi="Times New Roman" w:cs="Times New Roman"/>
                <w:noProof/>
                <w:sz w:val="18"/>
                <w:lang w:val="sk-SK"/>
              </w:rPr>
              <w:t xml:space="preserve"> a </w:t>
            </w:r>
            <w:r w:rsidRPr="00083739">
              <w:rPr>
                <w:rFonts w:ascii="Times New Roman" w:hAnsi="Times New Roman" w:cs="Times New Roman"/>
                <w:noProof/>
                <w:sz w:val="18"/>
                <w:lang w:val="sk-SK"/>
              </w:rPr>
              <w:t>audítorského IT prostredia nezávislého orgánu pre verejné príjmy</w:t>
            </w:r>
            <w:r w:rsidR="00083739" w:rsidRPr="00083739">
              <w:rPr>
                <w:rFonts w:ascii="Times New Roman" w:hAnsi="Times New Roman" w:cs="Times New Roman"/>
                <w:noProof/>
                <w:sz w:val="18"/>
                <w:lang w:val="sk-SK"/>
              </w:rPr>
              <w:t xml:space="preserve"> v </w:t>
            </w:r>
            <w:r w:rsidRPr="00083739">
              <w:rPr>
                <w:rFonts w:ascii="Times New Roman" w:hAnsi="Times New Roman" w:cs="Times New Roman"/>
                <w:noProof/>
                <w:sz w:val="18"/>
                <w:lang w:val="sk-SK"/>
              </w:rPr>
              <w:t xml:space="preserve">rámci jeho digitálnej transformácie. Realizácia čiastkových projektov </w:t>
            </w:r>
          </w:p>
        </w:tc>
      </w:tr>
      <w:tr w:rsidR="002D49B0" w:rsidRPr="00083739" w14:paraId="7995CF6A"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11B4CA0E"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196</w:t>
            </w:r>
          </w:p>
        </w:tc>
        <w:tc>
          <w:tcPr>
            <w:tcW w:w="4320" w:type="dxa"/>
            <w:tcBorders>
              <w:top w:val="nil"/>
              <w:left w:val="nil"/>
              <w:bottom w:val="single" w:sz="4" w:space="0" w:color="auto"/>
              <w:right w:val="single" w:sz="4" w:space="0" w:color="auto"/>
            </w:tcBorders>
            <w:shd w:val="clear" w:color="auto" w:fill="C6EFCE"/>
            <w:noWrap/>
            <w:vAlign w:val="center"/>
            <w:hideMark/>
          </w:tcPr>
          <w:p w14:paraId="5FB8445D" w14:textId="0C132946"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 xml:space="preserve">12 – 4.1. Zabezpečiť, aby dane boli </w:t>
            </w:r>
            <w:r w:rsidRPr="00083739">
              <w:rPr>
                <w:rFonts w:cs="Times New Roman"/>
                <w:noProof/>
                <w:lang w:val="sk-SK"/>
              </w:rPr>
              <w:t>priaznivejšie pre rast</w:t>
            </w:r>
            <w:r w:rsidR="00083739" w:rsidRPr="00083739">
              <w:rPr>
                <w:rFonts w:cs="Times New Roman"/>
                <w:noProof/>
                <w:lang w:val="sk-SK"/>
              </w:rPr>
              <w:t xml:space="preserve"> a </w:t>
            </w:r>
            <w:r w:rsidRPr="00083739">
              <w:rPr>
                <w:rFonts w:cs="Times New Roman"/>
                <w:noProof/>
                <w:lang w:val="sk-SK"/>
              </w:rPr>
              <w:t>zlepšiť daňovú správu</w:t>
            </w:r>
            <w:r w:rsidR="00083739" w:rsidRPr="00083739">
              <w:rPr>
                <w:rFonts w:cs="Times New Roman"/>
                <w:noProof/>
                <w:lang w:val="sk-SK"/>
              </w:rPr>
              <w:t xml:space="preserve"> a </w:t>
            </w:r>
            <w:r w:rsidRPr="00083739">
              <w:rPr>
                <w:rFonts w:cs="Times New Roman"/>
                <w:noProof/>
                <w:lang w:val="sk-SK"/>
              </w:rPr>
              <w:t>výber daní – 16291_Digitálna transformácia daňovej</w:t>
            </w:r>
            <w:r w:rsidR="00083739" w:rsidRPr="00083739">
              <w:rPr>
                <w:rFonts w:cs="Times New Roman"/>
                <w:noProof/>
                <w:lang w:val="sk-SK"/>
              </w:rPr>
              <w:t xml:space="preserve"> a </w:t>
            </w:r>
            <w:r w:rsidRPr="00083739">
              <w:rPr>
                <w:rFonts w:cs="Times New Roman"/>
                <w:noProof/>
                <w:lang w:val="sk-SK"/>
              </w:rPr>
              <w:t>colnej správy</w:t>
            </w:r>
          </w:p>
        </w:tc>
        <w:tc>
          <w:tcPr>
            <w:tcW w:w="1680" w:type="dxa"/>
            <w:tcBorders>
              <w:top w:val="nil"/>
              <w:left w:val="nil"/>
              <w:bottom w:val="single" w:sz="4" w:space="0" w:color="auto"/>
              <w:right w:val="single" w:sz="4" w:space="0" w:color="auto"/>
            </w:tcBorders>
            <w:shd w:val="clear" w:color="auto" w:fill="C6EFCE"/>
            <w:noWrap/>
            <w:vAlign w:val="center"/>
            <w:hideMark/>
          </w:tcPr>
          <w:p w14:paraId="3B23965A"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5F4BCA1E" w14:textId="1D483D38"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Spustenie systému dohľadu nad úžitkovými vozidlami</w:t>
            </w:r>
            <w:r w:rsidR="00083739" w:rsidRPr="00083739">
              <w:rPr>
                <w:rFonts w:cs="Times New Roman"/>
                <w:noProof/>
                <w:lang w:val="sk-SK"/>
              </w:rPr>
              <w:t xml:space="preserve"> a </w:t>
            </w:r>
            <w:r w:rsidRPr="00083739">
              <w:rPr>
                <w:rFonts w:cs="Times New Roman"/>
                <w:noProof/>
                <w:lang w:val="sk-SK"/>
              </w:rPr>
              <w:t>kontajnermi. Realizácia čiastkových projektov.</w:t>
            </w:r>
          </w:p>
        </w:tc>
      </w:tr>
      <w:tr w:rsidR="002D49B0" w:rsidRPr="00083739" w14:paraId="7184F571"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07BDC322" w14:textId="161FC85E"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204a</w:t>
            </w:r>
          </w:p>
        </w:tc>
        <w:tc>
          <w:tcPr>
            <w:tcW w:w="4320" w:type="dxa"/>
            <w:tcBorders>
              <w:top w:val="nil"/>
              <w:left w:val="nil"/>
              <w:bottom w:val="single" w:sz="4" w:space="0" w:color="auto"/>
              <w:right w:val="single" w:sz="4" w:space="0" w:color="auto"/>
            </w:tcBorders>
            <w:shd w:val="clear" w:color="auto" w:fill="C6EFCE"/>
            <w:noWrap/>
            <w:vAlign w:val="center"/>
          </w:tcPr>
          <w:p w14:paraId="15F3956B" w14:textId="2555B761"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12 – 4.1. Zabezpečiť, aby d</w:t>
            </w:r>
            <w:r w:rsidRPr="00083739">
              <w:rPr>
                <w:rFonts w:cs="Times New Roman"/>
                <w:noProof/>
                <w:lang w:val="sk-SK"/>
              </w:rPr>
              <w:t>ane boli priaznivejšie pre rast</w:t>
            </w:r>
            <w:r w:rsidR="00083739" w:rsidRPr="00083739">
              <w:rPr>
                <w:rFonts w:cs="Times New Roman"/>
                <w:noProof/>
                <w:lang w:val="sk-SK"/>
              </w:rPr>
              <w:t xml:space="preserve"> a </w:t>
            </w:r>
            <w:r w:rsidRPr="00083739">
              <w:rPr>
                <w:rFonts w:cs="Times New Roman"/>
                <w:noProof/>
                <w:lang w:val="sk-SK"/>
              </w:rPr>
              <w:t>zlepšiť daňovú správu</w:t>
            </w:r>
            <w:r w:rsidR="00083739" w:rsidRPr="00083739">
              <w:rPr>
                <w:rFonts w:cs="Times New Roman"/>
                <w:noProof/>
                <w:lang w:val="sk-SK"/>
              </w:rPr>
              <w:t xml:space="preserve"> a </w:t>
            </w:r>
            <w:r w:rsidRPr="00083739">
              <w:rPr>
                <w:rFonts w:cs="Times New Roman"/>
                <w:noProof/>
                <w:lang w:val="sk-SK"/>
              </w:rPr>
              <w:t>výber daní – 16643_Kodifikácia</w:t>
            </w:r>
            <w:r w:rsidR="00083739" w:rsidRPr="00083739">
              <w:rPr>
                <w:rFonts w:cs="Times New Roman"/>
                <w:noProof/>
                <w:lang w:val="sk-SK"/>
              </w:rPr>
              <w:t xml:space="preserve"> a </w:t>
            </w:r>
            <w:r w:rsidRPr="00083739">
              <w:rPr>
                <w:rFonts w:cs="Times New Roman"/>
                <w:noProof/>
                <w:lang w:val="sk-SK"/>
              </w:rPr>
              <w:t>zjednodušenie daňových právnych predpisov</w:t>
            </w:r>
          </w:p>
        </w:tc>
        <w:tc>
          <w:tcPr>
            <w:tcW w:w="1680" w:type="dxa"/>
            <w:tcBorders>
              <w:top w:val="nil"/>
              <w:left w:val="nil"/>
              <w:bottom w:val="single" w:sz="4" w:space="0" w:color="auto"/>
              <w:right w:val="single" w:sz="4" w:space="0" w:color="auto"/>
            </w:tcBorders>
            <w:shd w:val="clear" w:color="auto" w:fill="C6EFCE"/>
            <w:noWrap/>
            <w:vAlign w:val="center"/>
          </w:tcPr>
          <w:p w14:paraId="3CB7E7D6" w14:textId="00876833"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tcPr>
          <w:p w14:paraId="7645DEE5" w14:textId="2E11B28E"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Dokončenie informačného systému daňovníka</w:t>
            </w:r>
          </w:p>
        </w:tc>
      </w:tr>
      <w:tr w:rsidR="002D49B0" w:rsidRPr="00083739" w14:paraId="63DDDCDB"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034312A4"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208</w:t>
            </w:r>
          </w:p>
        </w:tc>
        <w:tc>
          <w:tcPr>
            <w:tcW w:w="4320" w:type="dxa"/>
            <w:tcBorders>
              <w:top w:val="nil"/>
              <w:left w:val="nil"/>
              <w:bottom w:val="single" w:sz="4" w:space="0" w:color="auto"/>
              <w:right w:val="single" w:sz="4" w:space="0" w:color="auto"/>
            </w:tcBorders>
            <w:shd w:val="clear" w:color="auto" w:fill="C6EFCE"/>
            <w:noWrap/>
            <w:vAlign w:val="center"/>
            <w:hideMark/>
          </w:tcPr>
          <w:p w14:paraId="3F2EDE3E" w14:textId="0E0D180A"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13 – 4.2. Modernizácia verejnej správy,</w:t>
            </w:r>
            <w:r w:rsidR="00083739" w:rsidRPr="00083739">
              <w:rPr>
                <w:rFonts w:cs="Times New Roman"/>
                <w:noProof/>
                <w:lang w:val="sk-SK"/>
              </w:rPr>
              <w:t xml:space="preserve"> a </w:t>
            </w:r>
            <w:r w:rsidRPr="00083739">
              <w:rPr>
                <w:rFonts w:cs="Times New Roman"/>
                <w:noProof/>
                <w:lang w:val="sk-SK"/>
              </w:rPr>
              <w:t>to aj urýchlením realizácie</w:t>
            </w:r>
            <w:r w:rsidRPr="00083739">
              <w:rPr>
                <w:rFonts w:cs="Times New Roman"/>
                <w:noProof/>
                <w:lang w:val="sk-SK"/>
              </w:rPr>
              <w:t xml:space="preserve"> verejných investícií, zlepšením rámca verejného obstarávania, opatreniami na budovanie kapacít</w:t>
            </w:r>
            <w:r w:rsidR="00083739" w:rsidRPr="00083739">
              <w:rPr>
                <w:rFonts w:cs="Times New Roman"/>
                <w:noProof/>
                <w:lang w:val="sk-SK"/>
              </w:rPr>
              <w:t xml:space="preserve"> a </w:t>
            </w:r>
            <w:r w:rsidRPr="00083739">
              <w:rPr>
                <w:rFonts w:cs="Times New Roman"/>
                <w:noProof/>
                <w:lang w:val="sk-SK"/>
              </w:rPr>
              <w:t>bojom proti korupcii – 16972_Reforma verejnej správy</w:t>
            </w:r>
          </w:p>
        </w:tc>
        <w:tc>
          <w:tcPr>
            <w:tcW w:w="1680" w:type="dxa"/>
            <w:tcBorders>
              <w:top w:val="nil"/>
              <w:left w:val="nil"/>
              <w:bottom w:val="single" w:sz="4" w:space="0" w:color="auto"/>
              <w:right w:val="single" w:sz="4" w:space="0" w:color="auto"/>
            </w:tcBorders>
            <w:shd w:val="clear" w:color="auto" w:fill="C6EFCE"/>
            <w:noWrap/>
            <w:vAlign w:val="center"/>
            <w:hideMark/>
          </w:tcPr>
          <w:p w14:paraId="0410C101"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Cieľ</w:t>
            </w:r>
          </w:p>
        </w:tc>
        <w:tc>
          <w:tcPr>
            <w:tcW w:w="2280" w:type="dxa"/>
            <w:tcBorders>
              <w:top w:val="nil"/>
              <w:left w:val="nil"/>
              <w:bottom w:val="single" w:sz="4" w:space="0" w:color="auto"/>
              <w:right w:val="single" w:sz="4" w:space="0" w:color="auto"/>
            </w:tcBorders>
            <w:shd w:val="clear" w:color="auto" w:fill="C6EFCE"/>
            <w:noWrap/>
            <w:vAlign w:val="center"/>
            <w:hideMark/>
          </w:tcPr>
          <w:p w14:paraId="11C8EAA1" w14:textId="27FEC97F"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 xml:space="preserve">Verejná správa – ukončenie odbornej prípravy pre štátnych zamestnancov. Dokončenie akcií týkajúcich </w:t>
            </w:r>
            <w:r w:rsidRPr="00083739">
              <w:rPr>
                <w:rFonts w:cs="Times New Roman"/>
                <w:noProof/>
                <w:lang w:val="sk-SK"/>
              </w:rPr>
              <w:t>sa postupov prijímania zamestnancov</w:t>
            </w:r>
            <w:r w:rsidR="00083739" w:rsidRPr="00083739">
              <w:rPr>
                <w:rFonts w:cs="Times New Roman"/>
                <w:noProof/>
                <w:lang w:val="sk-SK"/>
              </w:rPr>
              <w:t xml:space="preserve"> a </w:t>
            </w:r>
            <w:r w:rsidRPr="00083739">
              <w:rPr>
                <w:rFonts w:cs="Times New Roman"/>
                <w:noProof/>
                <w:lang w:val="sk-SK"/>
              </w:rPr>
              <w:t>strategického plánovania pracovnej sily</w:t>
            </w:r>
          </w:p>
        </w:tc>
      </w:tr>
      <w:tr w:rsidR="002D49B0" w:rsidRPr="00083739" w14:paraId="5525E1E7"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tcPr>
          <w:p w14:paraId="702FB661" w14:textId="357ABA45"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211a</w:t>
            </w:r>
          </w:p>
        </w:tc>
        <w:tc>
          <w:tcPr>
            <w:tcW w:w="4320" w:type="dxa"/>
            <w:tcBorders>
              <w:top w:val="nil"/>
              <w:left w:val="nil"/>
              <w:bottom w:val="single" w:sz="4" w:space="0" w:color="auto"/>
              <w:right w:val="single" w:sz="4" w:space="0" w:color="auto"/>
            </w:tcBorders>
            <w:shd w:val="clear" w:color="auto" w:fill="C6EFCE"/>
            <w:noWrap/>
            <w:vAlign w:val="center"/>
          </w:tcPr>
          <w:p w14:paraId="71749575" w14:textId="305C96A3"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13 – 4.2. Modernizovať verejnú správu,</w:t>
            </w:r>
            <w:r w:rsidR="00083739" w:rsidRPr="00083739">
              <w:rPr>
                <w:rFonts w:cs="Times New Roman"/>
                <w:noProof/>
                <w:lang w:val="sk-SK"/>
              </w:rPr>
              <w:t xml:space="preserve"> a </w:t>
            </w:r>
            <w:r w:rsidRPr="00083739">
              <w:rPr>
                <w:rFonts w:cs="Times New Roman"/>
                <w:noProof/>
                <w:lang w:val="sk-SK"/>
              </w:rPr>
              <w:t>to aj urýchlením realizácie verejných investícií, zlepšením rámca verejného obstarávania, opatreniami na budovanie kapacít</w:t>
            </w:r>
            <w:r w:rsidR="00083739" w:rsidRPr="00083739">
              <w:rPr>
                <w:rFonts w:cs="Times New Roman"/>
                <w:noProof/>
                <w:lang w:val="sk-SK"/>
              </w:rPr>
              <w:t xml:space="preserve"> a </w:t>
            </w:r>
            <w:r w:rsidRPr="00083739">
              <w:rPr>
                <w:rFonts w:cs="Times New Roman"/>
                <w:noProof/>
                <w:lang w:val="sk-SK"/>
              </w:rPr>
              <w:t xml:space="preserve">bojom </w:t>
            </w:r>
            <w:r w:rsidRPr="00083739">
              <w:rPr>
                <w:rFonts w:cs="Times New Roman"/>
                <w:noProof/>
                <w:lang w:val="sk-SK"/>
              </w:rPr>
              <w:t>proti korupcii – 16952_Posilnenie národného protikorupčného rámca prostredníctvom cielených intervencií</w:t>
            </w:r>
            <w:r w:rsidR="00083739" w:rsidRPr="00083739">
              <w:rPr>
                <w:rFonts w:cs="Times New Roman"/>
                <w:noProof/>
                <w:lang w:val="sk-SK"/>
              </w:rPr>
              <w:t xml:space="preserve"> v </w:t>
            </w:r>
            <w:r w:rsidRPr="00083739">
              <w:rPr>
                <w:rFonts w:cs="Times New Roman"/>
                <w:noProof/>
                <w:lang w:val="sk-SK"/>
              </w:rPr>
              <w:t>oblasti odhaľovania, prevencie</w:t>
            </w:r>
            <w:r w:rsidR="00083739" w:rsidRPr="00083739">
              <w:rPr>
                <w:rFonts w:cs="Times New Roman"/>
                <w:noProof/>
                <w:lang w:val="sk-SK"/>
              </w:rPr>
              <w:t xml:space="preserve"> a </w:t>
            </w:r>
            <w:r w:rsidRPr="00083739">
              <w:rPr>
                <w:rFonts w:cs="Times New Roman"/>
                <w:noProof/>
                <w:lang w:val="sk-SK"/>
              </w:rPr>
              <w:t>zvyšovania informovanosti</w:t>
            </w:r>
          </w:p>
        </w:tc>
        <w:tc>
          <w:tcPr>
            <w:tcW w:w="1680" w:type="dxa"/>
            <w:tcBorders>
              <w:top w:val="nil"/>
              <w:left w:val="nil"/>
              <w:bottom w:val="single" w:sz="4" w:space="0" w:color="auto"/>
              <w:right w:val="single" w:sz="4" w:space="0" w:color="auto"/>
            </w:tcBorders>
            <w:shd w:val="clear" w:color="auto" w:fill="C6EFCE"/>
            <w:noWrap/>
            <w:vAlign w:val="center"/>
          </w:tcPr>
          <w:p w14:paraId="20968AD7" w14:textId="54BF5256"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tcPr>
          <w:p w14:paraId="4A590BC8" w14:textId="397A4AF6"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Dokončenie projektov týkajúcich sa digitálnych</w:t>
            </w:r>
            <w:r w:rsidR="00083739" w:rsidRPr="00083739">
              <w:rPr>
                <w:rFonts w:cs="Times New Roman"/>
                <w:noProof/>
                <w:lang w:val="sk-SK"/>
              </w:rPr>
              <w:t xml:space="preserve"> a </w:t>
            </w:r>
            <w:r w:rsidRPr="00083739">
              <w:rPr>
                <w:rFonts w:cs="Times New Roman"/>
                <w:noProof/>
                <w:lang w:val="sk-SK"/>
              </w:rPr>
              <w:t>infraštruktúrnych kapacít národného</w:t>
            </w:r>
            <w:r w:rsidRPr="00083739">
              <w:rPr>
                <w:rFonts w:cs="Times New Roman"/>
                <w:noProof/>
                <w:lang w:val="sk-SK"/>
              </w:rPr>
              <w:t xml:space="preserve"> orgánu pre transparentnosť</w:t>
            </w:r>
          </w:p>
        </w:tc>
      </w:tr>
      <w:tr w:rsidR="002D49B0" w:rsidRPr="00083739" w14:paraId="647E7A10"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516EAA81"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218</w:t>
            </w:r>
          </w:p>
        </w:tc>
        <w:tc>
          <w:tcPr>
            <w:tcW w:w="4320" w:type="dxa"/>
            <w:tcBorders>
              <w:top w:val="nil"/>
              <w:left w:val="nil"/>
              <w:bottom w:val="single" w:sz="4" w:space="0" w:color="auto"/>
              <w:right w:val="single" w:sz="4" w:space="0" w:color="auto"/>
            </w:tcBorders>
            <w:shd w:val="clear" w:color="auto" w:fill="C6EFCE"/>
            <w:noWrap/>
            <w:vAlign w:val="center"/>
            <w:hideMark/>
          </w:tcPr>
          <w:p w14:paraId="1D8FF4C0" w14:textId="62FA9664"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13 – 4.2. Modernizácia verejnej správy,</w:t>
            </w:r>
            <w:r w:rsidR="00083739" w:rsidRPr="00083739">
              <w:rPr>
                <w:rFonts w:cs="Times New Roman"/>
                <w:noProof/>
                <w:lang w:val="sk-SK"/>
              </w:rPr>
              <w:t xml:space="preserve"> a </w:t>
            </w:r>
            <w:r w:rsidRPr="00083739">
              <w:rPr>
                <w:rFonts w:cs="Times New Roman"/>
                <w:noProof/>
                <w:lang w:val="sk-SK"/>
              </w:rPr>
              <w:t>to aj urýchlením realizácie verejných investícií, zlepšením rámca verejného obstarávania, opatreniami na budovanie kapacít</w:t>
            </w:r>
            <w:r w:rsidR="00083739" w:rsidRPr="00083739">
              <w:rPr>
                <w:rFonts w:cs="Times New Roman"/>
                <w:noProof/>
                <w:lang w:val="sk-SK"/>
              </w:rPr>
              <w:t xml:space="preserve"> a </w:t>
            </w:r>
            <w:r w:rsidRPr="00083739">
              <w:rPr>
                <w:rFonts w:cs="Times New Roman"/>
                <w:noProof/>
                <w:lang w:val="sk-SK"/>
              </w:rPr>
              <w:t>bojom proti korupcii – 16711_Profesijná oblasť verejného</w:t>
            </w:r>
            <w:r w:rsidRPr="00083739">
              <w:rPr>
                <w:rFonts w:cs="Times New Roman"/>
                <w:noProof/>
                <w:lang w:val="sk-SK"/>
              </w:rPr>
              <w:t xml:space="preserve"> obstarávania</w:t>
            </w:r>
          </w:p>
        </w:tc>
        <w:tc>
          <w:tcPr>
            <w:tcW w:w="1680" w:type="dxa"/>
            <w:tcBorders>
              <w:top w:val="nil"/>
              <w:left w:val="nil"/>
              <w:bottom w:val="single" w:sz="4" w:space="0" w:color="auto"/>
              <w:right w:val="single" w:sz="4" w:space="0" w:color="auto"/>
            </w:tcBorders>
            <w:shd w:val="clear" w:color="auto" w:fill="C6EFCE"/>
            <w:noWrap/>
            <w:vAlign w:val="center"/>
            <w:hideMark/>
          </w:tcPr>
          <w:p w14:paraId="36AD3414"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2DB3C44D"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Vykonávanie národnej stratégie verejného obstarávania na roky 2021 – 2025</w:t>
            </w:r>
          </w:p>
        </w:tc>
      </w:tr>
      <w:tr w:rsidR="002D49B0" w:rsidRPr="00083739" w14:paraId="16D57EDD"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631DAB93"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219</w:t>
            </w:r>
          </w:p>
        </w:tc>
        <w:tc>
          <w:tcPr>
            <w:tcW w:w="4320" w:type="dxa"/>
            <w:tcBorders>
              <w:top w:val="nil"/>
              <w:left w:val="nil"/>
              <w:bottom w:val="single" w:sz="4" w:space="0" w:color="auto"/>
              <w:right w:val="single" w:sz="4" w:space="0" w:color="auto"/>
            </w:tcBorders>
            <w:shd w:val="clear" w:color="auto" w:fill="C6EFCE"/>
            <w:noWrap/>
            <w:vAlign w:val="center"/>
            <w:hideMark/>
          </w:tcPr>
          <w:p w14:paraId="044C1899" w14:textId="0145D748"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13 – 4.2. Modernizácia verejnej správy,</w:t>
            </w:r>
            <w:r w:rsidR="00083739" w:rsidRPr="00083739">
              <w:rPr>
                <w:rFonts w:cs="Times New Roman"/>
                <w:noProof/>
                <w:lang w:val="sk-SK"/>
              </w:rPr>
              <w:t xml:space="preserve"> a </w:t>
            </w:r>
            <w:r w:rsidRPr="00083739">
              <w:rPr>
                <w:rFonts w:cs="Times New Roman"/>
                <w:noProof/>
                <w:lang w:val="sk-SK"/>
              </w:rPr>
              <w:t>to aj urýchlením realizácie verejných investícií, zlepšením rámca verejného obstarávania, opatreniami na budovanie</w:t>
            </w:r>
            <w:r w:rsidRPr="00083739">
              <w:rPr>
                <w:rFonts w:cs="Times New Roman"/>
                <w:noProof/>
                <w:lang w:val="sk-SK"/>
              </w:rPr>
              <w:t xml:space="preserve"> kapacít</w:t>
            </w:r>
            <w:r w:rsidR="00083739" w:rsidRPr="00083739">
              <w:rPr>
                <w:rFonts w:cs="Times New Roman"/>
                <w:noProof/>
                <w:lang w:val="sk-SK"/>
              </w:rPr>
              <w:t xml:space="preserve"> a </w:t>
            </w:r>
            <w:r w:rsidRPr="00083739">
              <w:rPr>
                <w:rFonts w:cs="Times New Roman"/>
                <w:noProof/>
                <w:lang w:val="sk-SK"/>
              </w:rPr>
              <w:t>bojom proti korupcii – 16974_Reforma účtovníctva</w:t>
            </w:r>
          </w:p>
        </w:tc>
        <w:tc>
          <w:tcPr>
            <w:tcW w:w="1680" w:type="dxa"/>
            <w:tcBorders>
              <w:top w:val="nil"/>
              <w:left w:val="nil"/>
              <w:bottom w:val="single" w:sz="4" w:space="0" w:color="auto"/>
              <w:right w:val="single" w:sz="4" w:space="0" w:color="auto"/>
            </w:tcBorders>
            <w:shd w:val="clear" w:color="auto" w:fill="C6EFCE"/>
            <w:noWrap/>
            <w:vAlign w:val="center"/>
            <w:hideMark/>
          </w:tcPr>
          <w:p w14:paraId="76585229"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3554F205"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Reforma účtovníctva: Konsolidované finančné výkazy</w:t>
            </w:r>
          </w:p>
        </w:tc>
      </w:tr>
      <w:tr w:rsidR="002D49B0" w:rsidRPr="00083739" w14:paraId="58557D86"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17709DFC"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220</w:t>
            </w:r>
          </w:p>
        </w:tc>
        <w:tc>
          <w:tcPr>
            <w:tcW w:w="4320" w:type="dxa"/>
            <w:tcBorders>
              <w:top w:val="nil"/>
              <w:left w:val="nil"/>
              <w:bottom w:val="single" w:sz="4" w:space="0" w:color="auto"/>
              <w:right w:val="single" w:sz="4" w:space="0" w:color="auto"/>
            </w:tcBorders>
            <w:shd w:val="clear" w:color="auto" w:fill="C6EFCE"/>
            <w:noWrap/>
            <w:vAlign w:val="center"/>
            <w:hideMark/>
          </w:tcPr>
          <w:p w14:paraId="56697AC7" w14:textId="21E88180"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13 – 4.2. Modernizácia verejnej správy,</w:t>
            </w:r>
            <w:r w:rsidR="00083739" w:rsidRPr="00083739">
              <w:rPr>
                <w:rFonts w:cs="Times New Roman"/>
                <w:noProof/>
                <w:lang w:val="sk-SK"/>
              </w:rPr>
              <w:t xml:space="preserve"> a </w:t>
            </w:r>
            <w:r w:rsidRPr="00083739">
              <w:rPr>
                <w:rFonts w:cs="Times New Roman"/>
                <w:noProof/>
                <w:lang w:val="sk-SK"/>
              </w:rPr>
              <w:t>to aj urýchlením realizácie verejných investícií, zlepšením rámca verejného obstarávania, o</w:t>
            </w:r>
            <w:r w:rsidRPr="00083739">
              <w:rPr>
                <w:rFonts w:cs="Times New Roman"/>
                <w:noProof/>
                <w:lang w:val="sk-SK"/>
              </w:rPr>
              <w:t>patreniami na budovanie kapacít</w:t>
            </w:r>
            <w:r w:rsidR="00083739" w:rsidRPr="00083739">
              <w:rPr>
                <w:rFonts w:cs="Times New Roman"/>
                <w:noProof/>
                <w:lang w:val="sk-SK"/>
              </w:rPr>
              <w:t xml:space="preserve"> a </w:t>
            </w:r>
            <w:r w:rsidRPr="00083739">
              <w:rPr>
                <w:rFonts w:cs="Times New Roman"/>
                <w:noProof/>
                <w:lang w:val="sk-SK"/>
              </w:rPr>
              <w:t>bojom proti korupcii – 16705_Digitálna transformácia fiškálneho riadenia</w:t>
            </w:r>
            <w:r w:rsidR="00083739" w:rsidRPr="00083739">
              <w:rPr>
                <w:rFonts w:cs="Times New Roman"/>
                <w:noProof/>
                <w:lang w:val="sk-SK"/>
              </w:rPr>
              <w:t xml:space="preserve"> a </w:t>
            </w:r>
            <w:r w:rsidRPr="00083739">
              <w:rPr>
                <w:rFonts w:cs="Times New Roman"/>
                <w:noProof/>
                <w:lang w:val="sk-SK"/>
              </w:rPr>
              <w:t>dohľadu</w:t>
            </w:r>
            <w:r w:rsidR="00083739" w:rsidRPr="00083739">
              <w:rPr>
                <w:rFonts w:cs="Times New Roman"/>
                <w:noProof/>
                <w:lang w:val="sk-SK"/>
              </w:rPr>
              <w:t xml:space="preserve"> v </w:t>
            </w:r>
            <w:r w:rsidRPr="00083739">
              <w:rPr>
                <w:rFonts w:cs="Times New Roman"/>
                <w:noProof/>
                <w:lang w:val="sk-SK"/>
              </w:rPr>
              <w:t>oblasti správy</w:t>
            </w:r>
            <w:r w:rsidR="00083739" w:rsidRPr="00083739">
              <w:rPr>
                <w:rFonts w:cs="Times New Roman"/>
                <w:noProof/>
                <w:lang w:val="sk-SK"/>
              </w:rPr>
              <w:t xml:space="preserve"> a </w:t>
            </w:r>
            <w:r w:rsidRPr="00083739">
              <w:rPr>
                <w:rFonts w:cs="Times New Roman"/>
                <w:noProof/>
                <w:lang w:val="sk-SK"/>
              </w:rPr>
              <w:t>elektronickej fakturácie</w:t>
            </w:r>
          </w:p>
        </w:tc>
        <w:tc>
          <w:tcPr>
            <w:tcW w:w="1680" w:type="dxa"/>
            <w:tcBorders>
              <w:top w:val="nil"/>
              <w:left w:val="nil"/>
              <w:bottom w:val="single" w:sz="4" w:space="0" w:color="auto"/>
              <w:right w:val="single" w:sz="4" w:space="0" w:color="auto"/>
            </w:tcBorders>
            <w:shd w:val="clear" w:color="auto" w:fill="C6EFCE"/>
            <w:noWrap/>
            <w:vAlign w:val="center"/>
            <w:hideMark/>
          </w:tcPr>
          <w:p w14:paraId="279800E8"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0D678B3E"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Plánovanie štátnych podnikových zdrojov (GOV-ERP)</w:t>
            </w:r>
          </w:p>
        </w:tc>
      </w:tr>
      <w:tr w:rsidR="002D49B0" w:rsidRPr="00083739" w14:paraId="5D188280"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62BD59C4"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221</w:t>
            </w:r>
          </w:p>
        </w:tc>
        <w:tc>
          <w:tcPr>
            <w:tcW w:w="4320" w:type="dxa"/>
            <w:tcBorders>
              <w:top w:val="nil"/>
              <w:left w:val="nil"/>
              <w:bottom w:val="single" w:sz="4" w:space="0" w:color="auto"/>
              <w:right w:val="single" w:sz="4" w:space="0" w:color="auto"/>
            </w:tcBorders>
            <w:shd w:val="clear" w:color="auto" w:fill="C6EFCE"/>
            <w:noWrap/>
            <w:vAlign w:val="center"/>
            <w:hideMark/>
          </w:tcPr>
          <w:p w14:paraId="1529971D" w14:textId="356AC698"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 xml:space="preserve">13 – 4.2. Modernizácia verejnej </w:t>
            </w:r>
            <w:r w:rsidRPr="00083739">
              <w:rPr>
                <w:rFonts w:cs="Times New Roman"/>
                <w:noProof/>
                <w:lang w:val="sk-SK"/>
              </w:rPr>
              <w:t>správy,</w:t>
            </w:r>
            <w:r w:rsidR="00083739" w:rsidRPr="00083739">
              <w:rPr>
                <w:rFonts w:cs="Times New Roman"/>
                <w:noProof/>
                <w:lang w:val="sk-SK"/>
              </w:rPr>
              <w:t xml:space="preserve"> a </w:t>
            </w:r>
            <w:r w:rsidRPr="00083739">
              <w:rPr>
                <w:rFonts w:cs="Times New Roman"/>
                <w:noProof/>
                <w:lang w:val="sk-SK"/>
              </w:rPr>
              <w:t>to aj urýchlením realizácie verejných investícií, zlepšením rámca verejného obstarávania, opatreniami na budovanie kapacít</w:t>
            </w:r>
            <w:r w:rsidR="00083739" w:rsidRPr="00083739">
              <w:rPr>
                <w:rFonts w:cs="Times New Roman"/>
                <w:noProof/>
                <w:lang w:val="sk-SK"/>
              </w:rPr>
              <w:t xml:space="preserve"> a </w:t>
            </w:r>
            <w:r w:rsidRPr="00083739">
              <w:rPr>
                <w:rFonts w:cs="Times New Roman"/>
                <w:noProof/>
                <w:lang w:val="sk-SK"/>
              </w:rPr>
              <w:t>bojom proti korupcii – 16711_Profesijná oblasť verejného obstarávania</w:t>
            </w:r>
          </w:p>
        </w:tc>
        <w:tc>
          <w:tcPr>
            <w:tcW w:w="1680" w:type="dxa"/>
            <w:tcBorders>
              <w:top w:val="nil"/>
              <w:left w:val="nil"/>
              <w:bottom w:val="single" w:sz="4" w:space="0" w:color="auto"/>
              <w:right w:val="single" w:sz="4" w:space="0" w:color="auto"/>
            </w:tcBorders>
            <w:shd w:val="clear" w:color="auto" w:fill="C6EFCE"/>
            <w:noWrap/>
            <w:vAlign w:val="center"/>
            <w:hideMark/>
          </w:tcPr>
          <w:p w14:paraId="7796DE04"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Cieľ</w:t>
            </w:r>
          </w:p>
        </w:tc>
        <w:tc>
          <w:tcPr>
            <w:tcW w:w="2280" w:type="dxa"/>
            <w:tcBorders>
              <w:top w:val="nil"/>
              <w:left w:val="nil"/>
              <w:bottom w:val="single" w:sz="4" w:space="0" w:color="auto"/>
              <w:right w:val="single" w:sz="4" w:space="0" w:color="auto"/>
            </w:tcBorders>
            <w:shd w:val="clear" w:color="auto" w:fill="C6EFCE"/>
            <w:noWrap/>
            <w:vAlign w:val="center"/>
            <w:hideMark/>
          </w:tcPr>
          <w:p w14:paraId="71D03F47" w14:textId="13817B39"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Dokončenie programov zvyšovania úrovne zručnos</w:t>
            </w:r>
            <w:r w:rsidRPr="00083739">
              <w:rPr>
                <w:rFonts w:cs="Times New Roman"/>
                <w:noProof/>
                <w:lang w:val="sk-SK"/>
              </w:rPr>
              <w:t>tí/rekvalifikácie</w:t>
            </w:r>
            <w:r w:rsidR="00083739" w:rsidRPr="00083739">
              <w:rPr>
                <w:rFonts w:cs="Times New Roman"/>
                <w:noProof/>
                <w:lang w:val="sk-SK"/>
              </w:rPr>
              <w:t xml:space="preserve"> v </w:t>
            </w:r>
            <w:r w:rsidRPr="00083739">
              <w:rPr>
                <w:rFonts w:cs="Times New Roman"/>
                <w:noProof/>
                <w:lang w:val="sk-SK"/>
              </w:rPr>
              <w:t>oblasti verejného obstarávania</w:t>
            </w:r>
          </w:p>
        </w:tc>
      </w:tr>
      <w:tr w:rsidR="002D49B0" w:rsidRPr="00083739" w14:paraId="1F2F5C10"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10533E25"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237</w:t>
            </w:r>
          </w:p>
        </w:tc>
        <w:tc>
          <w:tcPr>
            <w:tcW w:w="4320" w:type="dxa"/>
            <w:tcBorders>
              <w:top w:val="nil"/>
              <w:left w:val="nil"/>
              <w:bottom w:val="single" w:sz="4" w:space="0" w:color="auto"/>
              <w:right w:val="single" w:sz="4" w:space="0" w:color="auto"/>
            </w:tcBorders>
            <w:shd w:val="clear" w:color="auto" w:fill="C6EFCE"/>
            <w:noWrap/>
            <w:vAlign w:val="center"/>
            <w:hideMark/>
          </w:tcPr>
          <w:p w14:paraId="6483DC85"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14 – 4.3. Zlepšiť efektívnosť justičného systému – 16292_Nové budovy súdnictva</w:t>
            </w:r>
          </w:p>
        </w:tc>
        <w:tc>
          <w:tcPr>
            <w:tcW w:w="1680" w:type="dxa"/>
            <w:tcBorders>
              <w:top w:val="nil"/>
              <w:left w:val="nil"/>
              <w:bottom w:val="single" w:sz="4" w:space="0" w:color="auto"/>
              <w:right w:val="single" w:sz="4" w:space="0" w:color="auto"/>
            </w:tcBorders>
            <w:shd w:val="clear" w:color="auto" w:fill="C6EFCE"/>
            <w:noWrap/>
            <w:vAlign w:val="center"/>
            <w:hideMark/>
          </w:tcPr>
          <w:p w14:paraId="31AFB44E"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3CA4F3F2" w14:textId="40A1FBD8"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Stavebné</w:t>
            </w:r>
            <w:r w:rsidR="00083739" w:rsidRPr="00083739">
              <w:rPr>
                <w:rFonts w:cs="Times New Roman"/>
                <w:noProof/>
                <w:lang w:val="sk-SK"/>
              </w:rPr>
              <w:t xml:space="preserve"> a </w:t>
            </w:r>
            <w:r w:rsidRPr="00083739">
              <w:rPr>
                <w:rFonts w:cs="Times New Roman"/>
                <w:noProof/>
                <w:lang w:val="sk-SK"/>
              </w:rPr>
              <w:t xml:space="preserve">renovačné práce – elektronická totožnosť – dokončenie </w:t>
            </w:r>
          </w:p>
        </w:tc>
      </w:tr>
      <w:tr w:rsidR="002D49B0" w:rsidRPr="00083739" w14:paraId="2658106D"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76EBA0C9"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238</w:t>
            </w:r>
          </w:p>
        </w:tc>
        <w:tc>
          <w:tcPr>
            <w:tcW w:w="4320" w:type="dxa"/>
            <w:tcBorders>
              <w:top w:val="nil"/>
              <w:left w:val="nil"/>
              <w:bottom w:val="single" w:sz="4" w:space="0" w:color="auto"/>
              <w:right w:val="single" w:sz="4" w:space="0" w:color="auto"/>
            </w:tcBorders>
            <w:shd w:val="clear" w:color="auto" w:fill="C6EFCE"/>
            <w:noWrap/>
            <w:vAlign w:val="center"/>
            <w:hideMark/>
          </w:tcPr>
          <w:p w14:paraId="48842A18"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14 – 4.3. Zlepšiť efektívnosť justičného sy</w:t>
            </w:r>
            <w:r w:rsidRPr="00083739">
              <w:rPr>
                <w:rFonts w:cs="Times New Roman"/>
                <w:noProof/>
                <w:lang w:val="sk-SK"/>
              </w:rPr>
              <w:t>stému – 16575 Urýchlenie výkonu spravodlivosti</w:t>
            </w:r>
          </w:p>
        </w:tc>
        <w:tc>
          <w:tcPr>
            <w:tcW w:w="1680" w:type="dxa"/>
            <w:tcBorders>
              <w:top w:val="nil"/>
              <w:left w:val="nil"/>
              <w:bottom w:val="single" w:sz="4" w:space="0" w:color="auto"/>
              <w:right w:val="single" w:sz="4" w:space="0" w:color="auto"/>
            </w:tcBorders>
            <w:shd w:val="clear" w:color="auto" w:fill="C6EFCE"/>
            <w:noWrap/>
            <w:vAlign w:val="center"/>
            <w:hideMark/>
          </w:tcPr>
          <w:p w14:paraId="114FA3ED"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tcPr>
          <w:p w14:paraId="37508055" w14:textId="4BF9CBDF"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 xml:space="preserve"> Odborná príprava</w:t>
            </w:r>
            <w:r w:rsidR="00083739" w:rsidRPr="00083739">
              <w:rPr>
                <w:rFonts w:cs="Times New Roman"/>
                <w:noProof/>
                <w:lang w:val="sk-SK"/>
              </w:rPr>
              <w:t xml:space="preserve"> v </w:t>
            </w:r>
            <w:r w:rsidRPr="00083739">
              <w:rPr>
                <w:rFonts w:cs="Times New Roman"/>
                <w:noProof/>
                <w:lang w:val="sk-SK"/>
              </w:rPr>
              <w:t>oblasti mediácie</w:t>
            </w:r>
            <w:r w:rsidR="00083739" w:rsidRPr="00083739">
              <w:rPr>
                <w:rFonts w:cs="Times New Roman"/>
                <w:noProof/>
                <w:lang w:val="sk-SK"/>
              </w:rPr>
              <w:t xml:space="preserve"> a </w:t>
            </w:r>
            <w:r w:rsidRPr="00083739">
              <w:rPr>
                <w:rFonts w:cs="Times New Roman"/>
                <w:noProof/>
                <w:lang w:val="sk-SK"/>
              </w:rPr>
              <w:t>prevádzky jednotného digitálneho systému pre akreditované mediačné centrá</w:t>
            </w:r>
          </w:p>
        </w:tc>
      </w:tr>
      <w:tr w:rsidR="002D49B0" w:rsidRPr="00083739" w14:paraId="751A2934"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1B7AED62"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239</w:t>
            </w:r>
          </w:p>
        </w:tc>
        <w:tc>
          <w:tcPr>
            <w:tcW w:w="4320" w:type="dxa"/>
            <w:tcBorders>
              <w:top w:val="nil"/>
              <w:left w:val="nil"/>
              <w:bottom w:val="single" w:sz="4" w:space="0" w:color="auto"/>
              <w:right w:val="single" w:sz="4" w:space="0" w:color="auto"/>
            </w:tcBorders>
            <w:shd w:val="clear" w:color="auto" w:fill="C6EFCE"/>
            <w:noWrap/>
            <w:vAlign w:val="center"/>
            <w:hideMark/>
          </w:tcPr>
          <w:p w14:paraId="55F17C87"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 xml:space="preserve">14 – 4.3. Zlepšiť efektívnosť justičného systému – 16727_Digitálna transformácia </w:t>
            </w:r>
            <w:r w:rsidRPr="00083739">
              <w:rPr>
                <w:rFonts w:cs="Times New Roman"/>
                <w:noProof/>
                <w:lang w:val="sk-SK"/>
              </w:rPr>
              <w:t>justície (elektronická justícia)</w:t>
            </w:r>
          </w:p>
        </w:tc>
        <w:tc>
          <w:tcPr>
            <w:tcW w:w="1680" w:type="dxa"/>
            <w:tcBorders>
              <w:top w:val="nil"/>
              <w:left w:val="nil"/>
              <w:bottom w:val="single" w:sz="4" w:space="0" w:color="auto"/>
              <w:right w:val="single" w:sz="4" w:space="0" w:color="auto"/>
            </w:tcBorders>
            <w:shd w:val="clear" w:color="auto" w:fill="C6EFCE"/>
            <w:noWrap/>
            <w:vAlign w:val="center"/>
            <w:hideMark/>
          </w:tcPr>
          <w:p w14:paraId="2C431C2A"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259C37EC" w14:textId="5EAF23E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Vedenie záznamov</w:t>
            </w:r>
            <w:r w:rsidR="00083739" w:rsidRPr="00083739">
              <w:rPr>
                <w:rFonts w:cs="Times New Roman"/>
                <w:noProof/>
                <w:lang w:val="sk-SK"/>
              </w:rPr>
              <w:t xml:space="preserve"> a </w:t>
            </w:r>
            <w:r w:rsidRPr="00083739">
              <w:rPr>
                <w:rFonts w:cs="Times New Roman"/>
                <w:noProof/>
                <w:lang w:val="sk-SK"/>
              </w:rPr>
              <w:t>modernizácia IT</w:t>
            </w:r>
          </w:p>
        </w:tc>
      </w:tr>
      <w:tr w:rsidR="002D49B0" w:rsidRPr="00083739" w14:paraId="60085FFE"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07ABB33E"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241</w:t>
            </w:r>
          </w:p>
        </w:tc>
        <w:tc>
          <w:tcPr>
            <w:tcW w:w="4320" w:type="dxa"/>
            <w:tcBorders>
              <w:top w:val="nil"/>
              <w:left w:val="nil"/>
              <w:bottom w:val="single" w:sz="4" w:space="0" w:color="auto"/>
              <w:right w:val="single" w:sz="4" w:space="0" w:color="auto"/>
            </w:tcBorders>
            <w:shd w:val="clear" w:color="auto" w:fill="C6EFCE"/>
            <w:noWrap/>
            <w:vAlign w:val="center"/>
            <w:hideMark/>
          </w:tcPr>
          <w:p w14:paraId="61081508" w14:textId="6DBA4349"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15 – 4.4. Posilnenie finančného sektora</w:t>
            </w:r>
            <w:r w:rsidR="00083739" w:rsidRPr="00083739">
              <w:rPr>
                <w:rFonts w:cs="Times New Roman"/>
                <w:noProof/>
                <w:lang w:val="sk-SK"/>
              </w:rPr>
              <w:t xml:space="preserve"> a </w:t>
            </w:r>
            <w:r w:rsidRPr="00083739">
              <w:rPr>
                <w:rFonts w:cs="Times New Roman"/>
                <w:noProof/>
                <w:lang w:val="sk-SK"/>
              </w:rPr>
              <w:t>kapitálových trhov – 16580_Vykonávanie nového jednotného rámca pre platobnú neschopnosť pre reštrukturalizáciu dlhu</w:t>
            </w:r>
            <w:r w:rsidR="00083739" w:rsidRPr="00083739">
              <w:rPr>
                <w:rFonts w:cs="Times New Roman"/>
                <w:noProof/>
                <w:lang w:val="sk-SK"/>
              </w:rPr>
              <w:t xml:space="preserve"> a </w:t>
            </w:r>
            <w:r w:rsidRPr="00083739">
              <w:rPr>
                <w:rFonts w:cs="Times New Roman"/>
                <w:noProof/>
                <w:lang w:val="sk-SK"/>
              </w:rPr>
              <w:t>druhú šancu</w:t>
            </w:r>
          </w:p>
        </w:tc>
        <w:tc>
          <w:tcPr>
            <w:tcW w:w="1680" w:type="dxa"/>
            <w:tcBorders>
              <w:top w:val="nil"/>
              <w:left w:val="nil"/>
              <w:bottom w:val="single" w:sz="4" w:space="0" w:color="auto"/>
              <w:right w:val="single" w:sz="4" w:space="0" w:color="auto"/>
            </w:tcBorders>
            <w:shd w:val="clear" w:color="auto" w:fill="C6EFCE"/>
            <w:noWrap/>
            <w:vAlign w:val="center"/>
            <w:hideMark/>
          </w:tcPr>
          <w:p w14:paraId="0E1BC700"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5AADFE79"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Dohľad, digitalizácia procesov dohľadu, únia kapitálových trhov, preventívna reštrukturalizácia dlhu</w:t>
            </w:r>
          </w:p>
        </w:tc>
      </w:tr>
      <w:tr w:rsidR="002D49B0" w:rsidRPr="00083739" w14:paraId="52F60DA9"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3C576CAA"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243</w:t>
            </w:r>
          </w:p>
        </w:tc>
        <w:tc>
          <w:tcPr>
            <w:tcW w:w="4320" w:type="dxa"/>
            <w:tcBorders>
              <w:top w:val="nil"/>
              <w:left w:val="nil"/>
              <w:bottom w:val="single" w:sz="4" w:space="0" w:color="auto"/>
              <w:right w:val="single" w:sz="4" w:space="0" w:color="auto"/>
            </w:tcBorders>
            <w:shd w:val="clear" w:color="auto" w:fill="C6EFCE"/>
            <w:noWrap/>
            <w:vAlign w:val="center"/>
            <w:hideMark/>
          </w:tcPr>
          <w:p w14:paraId="00F083FD" w14:textId="39F1F88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15 – 4.4. Posilnenie finančného sektora</w:t>
            </w:r>
            <w:r w:rsidR="00083739" w:rsidRPr="00083739">
              <w:rPr>
                <w:rFonts w:cs="Times New Roman"/>
                <w:noProof/>
                <w:lang w:val="sk-SK"/>
              </w:rPr>
              <w:t xml:space="preserve"> a </w:t>
            </w:r>
            <w:r w:rsidRPr="00083739">
              <w:rPr>
                <w:rFonts w:cs="Times New Roman"/>
                <w:noProof/>
                <w:lang w:val="sk-SK"/>
              </w:rPr>
              <w:t>kapitálových trhov – 16581_Posilnený dohľad nad kapitálovým trhom</w:t>
            </w:r>
            <w:r w:rsidR="00083739" w:rsidRPr="00083739">
              <w:rPr>
                <w:rFonts w:cs="Times New Roman"/>
                <w:noProof/>
                <w:lang w:val="sk-SK"/>
              </w:rPr>
              <w:t xml:space="preserve"> a </w:t>
            </w:r>
            <w:r w:rsidRPr="00083739">
              <w:rPr>
                <w:rFonts w:cs="Times New Roman"/>
                <w:noProof/>
                <w:lang w:val="sk-SK"/>
              </w:rPr>
              <w:t>dôveryhodnosť</w:t>
            </w:r>
          </w:p>
        </w:tc>
        <w:tc>
          <w:tcPr>
            <w:tcW w:w="1680" w:type="dxa"/>
            <w:tcBorders>
              <w:top w:val="nil"/>
              <w:left w:val="nil"/>
              <w:bottom w:val="single" w:sz="4" w:space="0" w:color="auto"/>
              <w:right w:val="single" w:sz="4" w:space="0" w:color="auto"/>
            </w:tcBorders>
            <w:shd w:val="clear" w:color="auto" w:fill="C6EFCE"/>
            <w:noWrap/>
            <w:vAlign w:val="center"/>
            <w:hideMark/>
          </w:tcPr>
          <w:p w14:paraId="2604264D"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083E23F4" w14:textId="0AF9835F"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Digitalizáci</w:t>
            </w:r>
            <w:r w:rsidRPr="00083739">
              <w:rPr>
                <w:rFonts w:cs="Times New Roman"/>
                <w:noProof/>
                <w:lang w:val="sk-SK"/>
              </w:rPr>
              <w:t>a procesu dohľadu</w:t>
            </w:r>
            <w:r w:rsidR="00083739" w:rsidRPr="00083739">
              <w:rPr>
                <w:rFonts w:cs="Times New Roman"/>
                <w:noProof/>
                <w:lang w:val="sk-SK"/>
              </w:rPr>
              <w:t xml:space="preserve"> a </w:t>
            </w:r>
            <w:r w:rsidRPr="00083739">
              <w:rPr>
                <w:rFonts w:cs="Times New Roman"/>
                <w:noProof/>
                <w:lang w:val="sk-SK"/>
              </w:rPr>
              <w:t>organizácia Helénskej komisie pre kapitálový trh</w:t>
            </w:r>
          </w:p>
        </w:tc>
      </w:tr>
      <w:tr w:rsidR="002D49B0" w:rsidRPr="00083739" w14:paraId="591AFF2B"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4476EF90"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244c</w:t>
            </w:r>
          </w:p>
        </w:tc>
        <w:tc>
          <w:tcPr>
            <w:tcW w:w="4320" w:type="dxa"/>
            <w:tcBorders>
              <w:top w:val="nil"/>
              <w:left w:val="nil"/>
              <w:bottom w:val="single" w:sz="4" w:space="0" w:color="auto"/>
              <w:right w:val="single" w:sz="4" w:space="0" w:color="auto"/>
            </w:tcBorders>
            <w:shd w:val="clear" w:color="auto" w:fill="C6EFCE"/>
            <w:noWrap/>
            <w:hideMark/>
          </w:tcPr>
          <w:p w14:paraId="21D13D55" w14:textId="56067726"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15 – 4.4. Posilnenie finančného sektora</w:t>
            </w:r>
            <w:r w:rsidR="00083739" w:rsidRPr="00083739">
              <w:rPr>
                <w:rFonts w:cs="Times New Roman"/>
                <w:noProof/>
                <w:lang w:val="sk-SK"/>
              </w:rPr>
              <w:t xml:space="preserve"> a </w:t>
            </w:r>
            <w:r w:rsidRPr="00083739">
              <w:rPr>
                <w:rFonts w:cs="Times New Roman"/>
                <w:noProof/>
                <w:lang w:val="sk-SK"/>
              </w:rPr>
              <w:t>kapitálových trhov – 16957_Posilnenie kapacity finančného systému</w:t>
            </w:r>
            <w:r w:rsidR="00083739" w:rsidRPr="00083739">
              <w:rPr>
                <w:rFonts w:cs="Times New Roman"/>
                <w:noProof/>
                <w:lang w:val="sk-SK"/>
              </w:rPr>
              <w:t xml:space="preserve"> s </w:t>
            </w:r>
            <w:r w:rsidRPr="00083739">
              <w:rPr>
                <w:rFonts w:cs="Times New Roman"/>
                <w:noProof/>
                <w:lang w:val="sk-SK"/>
              </w:rPr>
              <w:t>cieľom prekonať výzvy</w:t>
            </w:r>
            <w:r w:rsidR="00083739" w:rsidRPr="00083739">
              <w:rPr>
                <w:rFonts w:cs="Times New Roman"/>
                <w:noProof/>
                <w:lang w:val="sk-SK"/>
              </w:rPr>
              <w:t xml:space="preserve"> z </w:t>
            </w:r>
            <w:r w:rsidRPr="00083739">
              <w:rPr>
                <w:rFonts w:cs="Times New Roman"/>
                <w:noProof/>
                <w:lang w:val="sk-SK"/>
              </w:rPr>
              <w:t>minulosti</w:t>
            </w:r>
            <w:r w:rsidR="00083739" w:rsidRPr="00083739">
              <w:rPr>
                <w:rFonts w:cs="Times New Roman"/>
                <w:noProof/>
                <w:lang w:val="sk-SK"/>
              </w:rPr>
              <w:t xml:space="preserve"> a </w:t>
            </w:r>
            <w:r w:rsidRPr="00083739">
              <w:rPr>
                <w:rFonts w:cs="Times New Roman"/>
                <w:noProof/>
                <w:lang w:val="sk-SK"/>
              </w:rPr>
              <w:t>financovať reálnu ekonomiku</w:t>
            </w:r>
          </w:p>
        </w:tc>
        <w:tc>
          <w:tcPr>
            <w:tcW w:w="1680" w:type="dxa"/>
            <w:tcBorders>
              <w:top w:val="nil"/>
              <w:left w:val="nil"/>
              <w:bottom w:val="single" w:sz="4" w:space="0" w:color="auto"/>
              <w:right w:val="single" w:sz="4" w:space="0" w:color="auto"/>
            </w:tcBorders>
            <w:shd w:val="clear" w:color="auto" w:fill="C6EFCE"/>
            <w:noWrap/>
            <w:hideMark/>
          </w:tcPr>
          <w:p w14:paraId="732AAD6F"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hideMark/>
          </w:tcPr>
          <w:p w14:paraId="474C6712"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Dokončenie politických opatrení národnej stratégie pre správu súkromného dlhu, zriadenie centrálneho registra úverov</w:t>
            </w:r>
          </w:p>
        </w:tc>
      </w:tr>
      <w:tr w:rsidR="002D49B0" w:rsidRPr="00083739" w14:paraId="45C0ADE9"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7BBC0875"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249</w:t>
            </w:r>
          </w:p>
        </w:tc>
        <w:tc>
          <w:tcPr>
            <w:tcW w:w="4320" w:type="dxa"/>
            <w:tcBorders>
              <w:top w:val="nil"/>
              <w:left w:val="nil"/>
              <w:bottom w:val="single" w:sz="4" w:space="0" w:color="auto"/>
              <w:right w:val="single" w:sz="4" w:space="0" w:color="auto"/>
            </w:tcBorders>
            <w:shd w:val="clear" w:color="auto" w:fill="C6EFCE"/>
            <w:noWrap/>
            <w:vAlign w:val="center"/>
            <w:hideMark/>
          </w:tcPr>
          <w:p w14:paraId="779D69A9" w14:textId="405759EE"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16 – 4.5. Podpora výskumu</w:t>
            </w:r>
            <w:r w:rsidR="00083739" w:rsidRPr="00083739">
              <w:rPr>
                <w:rFonts w:cs="Times New Roman"/>
                <w:noProof/>
                <w:lang w:val="sk-SK"/>
              </w:rPr>
              <w:t xml:space="preserve"> a </w:t>
            </w:r>
            <w:r w:rsidRPr="00083739">
              <w:rPr>
                <w:rFonts w:cs="Times New Roman"/>
                <w:noProof/>
                <w:lang w:val="sk-SK"/>
              </w:rPr>
              <w:t>inovácií – 16624_Vytvorenie – Rozšírenie – modernizácia infraštruktúr výskumných centier pod dohľadom Gene</w:t>
            </w:r>
            <w:r w:rsidRPr="00083739">
              <w:rPr>
                <w:rFonts w:cs="Times New Roman"/>
                <w:noProof/>
                <w:lang w:val="sk-SK"/>
              </w:rPr>
              <w:t>rálneho sekretariátu pre výskum</w:t>
            </w:r>
            <w:r w:rsidR="00083739" w:rsidRPr="00083739">
              <w:rPr>
                <w:rFonts w:cs="Times New Roman"/>
                <w:noProof/>
                <w:lang w:val="sk-SK"/>
              </w:rPr>
              <w:t xml:space="preserve"> a </w:t>
            </w:r>
            <w:r w:rsidRPr="00083739">
              <w:rPr>
                <w:rFonts w:cs="Times New Roman"/>
                <w:noProof/>
                <w:lang w:val="sk-SK"/>
              </w:rPr>
              <w:t>inováciu (GSRI)</w:t>
            </w:r>
          </w:p>
        </w:tc>
        <w:tc>
          <w:tcPr>
            <w:tcW w:w="1680" w:type="dxa"/>
            <w:tcBorders>
              <w:top w:val="nil"/>
              <w:left w:val="nil"/>
              <w:bottom w:val="single" w:sz="4" w:space="0" w:color="auto"/>
              <w:right w:val="single" w:sz="4" w:space="0" w:color="auto"/>
            </w:tcBorders>
            <w:shd w:val="clear" w:color="auto" w:fill="C6EFCE"/>
            <w:noWrap/>
            <w:vAlign w:val="center"/>
            <w:hideMark/>
          </w:tcPr>
          <w:p w14:paraId="6CEB6DA8"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1EDAAA36"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Dokončenie projektov výskumných centier</w:t>
            </w:r>
          </w:p>
        </w:tc>
      </w:tr>
      <w:tr w:rsidR="002D49B0" w:rsidRPr="00083739" w14:paraId="3582AD3F"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0BDCAAC0"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250</w:t>
            </w:r>
          </w:p>
        </w:tc>
        <w:tc>
          <w:tcPr>
            <w:tcW w:w="4320" w:type="dxa"/>
            <w:tcBorders>
              <w:top w:val="nil"/>
              <w:left w:val="nil"/>
              <w:bottom w:val="single" w:sz="4" w:space="0" w:color="auto"/>
              <w:right w:val="single" w:sz="4" w:space="0" w:color="auto"/>
            </w:tcBorders>
            <w:shd w:val="clear" w:color="auto" w:fill="C6EFCE"/>
            <w:noWrap/>
            <w:vAlign w:val="center"/>
            <w:hideMark/>
          </w:tcPr>
          <w:p w14:paraId="2B8F38D4" w14:textId="20BDE0BE"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16 – 4.5. Podpora výskumu</w:t>
            </w:r>
            <w:r w:rsidR="00083739" w:rsidRPr="00083739">
              <w:rPr>
                <w:rFonts w:cs="Times New Roman"/>
                <w:noProof/>
                <w:lang w:val="sk-SK"/>
              </w:rPr>
              <w:t xml:space="preserve"> a </w:t>
            </w:r>
            <w:r w:rsidRPr="00083739">
              <w:rPr>
                <w:rFonts w:cs="Times New Roman"/>
                <w:noProof/>
                <w:lang w:val="sk-SK"/>
              </w:rPr>
              <w:t>inovácií – 16618_Základný</w:t>
            </w:r>
            <w:r w:rsidR="00083739" w:rsidRPr="00083739">
              <w:rPr>
                <w:rFonts w:cs="Times New Roman"/>
                <w:noProof/>
                <w:lang w:val="sk-SK"/>
              </w:rPr>
              <w:t xml:space="preserve"> a </w:t>
            </w:r>
            <w:r w:rsidRPr="00083739">
              <w:rPr>
                <w:rFonts w:cs="Times New Roman"/>
                <w:noProof/>
                <w:lang w:val="sk-SK"/>
              </w:rPr>
              <w:t>aplikovaný výskum</w:t>
            </w:r>
          </w:p>
        </w:tc>
        <w:tc>
          <w:tcPr>
            <w:tcW w:w="1680" w:type="dxa"/>
            <w:tcBorders>
              <w:top w:val="nil"/>
              <w:left w:val="nil"/>
              <w:bottom w:val="single" w:sz="4" w:space="0" w:color="auto"/>
              <w:right w:val="single" w:sz="4" w:space="0" w:color="auto"/>
            </w:tcBorders>
            <w:shd w:val="clear" w:color="auto" w:fill="C6EFCE"/>
            <w:noWrap/>
            <w:vAlign w:val="center"/>
            <w:hideMark/>
          </w:tcPr>
          <w:p w14:paraId="3083F5E2"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517CA2E9" w14:textId="1AF4C673"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Dokončenie základných</w:t>
            </w:r>
            <w:r w:rsidR="00083739" w:rsidRPr="00083739">
              <w:rPr>
                <w:rFonts w:cs="Times New Roman"/>
                <w:noProof/>
                <w:lang w:val="sk-SK"/>
              </w:rPr>
              <w:t xml:space="preserve"> a </w:t>
            </w:r>
            <w:r w:rsidRPr="00083739">
              <w:rPr>
                <w:rFonts w:cs="Times New Roman"/>
                <w:noProof/>
                <w:lang w:val="sk-SK"/>
              </w:rPr>
              <w:t>aplikovaných výskumných projektov</w:t>
            </w:r>
          </w:p>
        </w:tc>
      </w:tr>
      <w:tr w:rsidR="002D49B0" w:rsidRPr="00083739" w14:paraId="1B320E27"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713D133D"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251</w:t>
            </w:r>
          </w:p>
        </w:tc>
        <w:tc>
          <w:tcPr>
            <w:tcW w:w="4320" w:type="dxa"/>
            <w:tcBorders>
              <w:top w:val="nil"/>
              <w:left w:val="nil"/>
              <w:bottom w:val="single" w:sz="4" w:space="0" w:color="auto"/>
              <w:right w:val="single" w:sz="4" w:space="0" w:color="auto"/>
            </w:tcBorders>
            <w:shd w:val="clear" w:color="auto" w:fill="C6EFCE"/>
            <w:noWrap/>
            <w:vAlign w:val="center"/>
            <w:hideMark/>
          </w:tcPr>
          <w:p w14:paraId="4F1804B1" w14:textId="00779C2B"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 xml:space="preserve">16 – 4.5. </w:t>
            </w:r>
            <w:r w:rsidRPr="00083739">
              <w:rPr>
                <w:rFonts w:cs="Times New Roman"/>
                <w:noProof/>
                <w:lang w:val="sk-SK"/>
              </w:rPr>
              <w:t>Podpora výskumu</w:t>
            </w:r>
            <w:r w:rsidR="00083739" w:rsidRPr="00083739">
              <w:rPr>
                <w:rFonts w:cs="Times New Roman"/>
                <w:noProof/>
                <w:lang w:val="sk-SK"/>
              </w:rPr>
              <w:t xml:space="preserve"> a </w:t>
            </w:r>
            <w:r w:rsidRPr="00083739">
              <w:rPr>
                <w:rFonts w:cs="Times New Roman"/>
                <w:noProof/>
                <w:lang w:val="sk-SK"/>
              </w:rPr>
              <w:t>inovácií – 16654_TH 2 ORAX: Trellis Holistic &amp; Hybrid Prevádzkový riadený autonómny eXemplárny systém</w:t>
            </w:r>
          </w:p>
        </w:tc>
        <w:tc>
          <w:tcPr>
            <w:tcW w:w="1680" w:type="dxa"/>
            <w:tcBorders>
              <w:top w:val="nil"/>
              <w:left w:val="nil"/>
              <w:bottom w:val="single" w:sz="4" w:space="0" w:color="auto"/>
              <w:right w:val="single" w:sz="4" w:space="0" w:color="auto"/>
            </w:tcBorders>
            <w:shd w:val="clear" w:color="auto" w:fill="C6EFCE"/>
            <w:noWrap/>
            <w:vAlign w:val="center"/>
            <w:hideMark/>
          </w:tcPr>
          <w:p w14:paraId="6778EC1D"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2507115E"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Dokončenie projektu TH2ORAX</w:t>
            </w:r>
          </w:p>
        </w:tc>
      </w:tr>
      <w:tr w:rsidR="002D49B0" w:rsidRPr="00083739" w14:paraId="49EE977E"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6A55C130"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252</w:t>
            </w:r>
          </w:p>
        </w:tc>
        <w:tc>
          <w:tcPr>
            <w:tcW w:w="4320" w:type="dxa"/>
            <w:tcBorders>
              <w:top w:val="nil"/>
              <w:left w:val="nil"/>
              <w:bottom w:val="single" w:sz="4" w:space="0" w:color="auto"/>
              <w:right w:val="single" w:sz="4" w:space="0" w:color="auto"/>
            </w:tcBorders>
            <w:shd w:val="clear" w:color="auto" w:fill="C6EFCE"/>
            <w:noWrap/>
            <w:vAlign w:val="center"/>
            <w:hideMark/>
          </w:tcPr>
          <w:p w14:paraId="76E1322A" w14:textId="59CEEFC9"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16 – 4.5. Podpora výskumu</w:t>
            </w:r>
            <w:r w:rsidR="00083739" w:rsidRPr="00083739">
              <w:rPr>
                <w:rFonts w:cs="Times New Roman"/>
                <w:noProof/>
                <w:lang w:val="sk-SK"/>
              </w:rPr>
              <w:t xml:space="preserve"> a </w:t>
            </w:r>
            <w:r w:rsidRPr="00083739">
              <w:rPr>
                <w:rFonts w:cs="Times New Roman"/>
                <w:noProof/>
                <w:lang w:val="sk-SK"/>
              </w:rPr>
              <w:t>inovácií – 16971_Výskum – Vytvorenie – Inovácia</w:t>
            </w:r>
          </w:p>
        </w:tc>
        <w:tc>
          <w:tcPr>
            <w:tcW w:w="1680" w:type="dxa"/>
            <w:tcBorders>
              <w:top w:val="nil"/>
              <w:left w:val="nil"/>
              <w:bottom w:val="single" w:sz="4" w:space="0" w:color="auto"/>
              <w:right w:val="single" w:sz="4" w:space="0" w:color="auto"/>
            </w:tcBorders>
            <w:shd w:val="clear" w:color="auto" w:fill="C6EFCE"/>
            <w:noWrap/>
            <w:vAlign w:val="center"/>
            <w:hideMark/>
          </w:tcPr>
          <w:p w14:paraId="384E6C65"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33A13157"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 xml:space="preserve">Ukončenie </w:t>
            </w:r>
            <w:r w:rsidRPr="00083739">
              <w:rPr>
                <w:rFonts w:cs="Times New Roman"/>
                <w:noProof/>
                <w:lang w:val="sk-SK"/>
              </w:rPr>
              <w:t>výskumu – Vytvoriť – Inovačné projekty</w:t>
            </w:r>
          </w:p>
        </w:tc>
      </w:tr>
      <w:tr w:rsidR="002D49B0" w:rsidRPr="00083739" w14:paraId="4B5FFEB3"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6136A226"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253</w:t>
            </w:r>
          </w:p>
        </w:tc>
        <w:tc>
          <w:tcPr>
            <w:tcW w:w="4320" w:type="dxa"/>
            <w:tcBorders>
              <w:top w:val="nil"/>
              <w:left w:val="nil"/>
              <w:bottom w:val="single" w:sz="4" w:space="0" w:color="auto"/>
              <w:right w:val="single" w:sz="4" w:space="0" w:color="auto"/>
            </w:tcBorders>
            <w:shd w:val="clear" w:color="auto" w:fill="C6EFCE"/>
            <w:noWrap/>
            <w:vAlign w:val="center"/>
            <w:hideMark/>
          </w:tcPr>
          <w:p w14:paraId="07F782CB" w14:textId="50496B30"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16 – 4.5. Podpora výskumu</w:t>
            </w:r>
            <w:r w:rsidR="00083739" w:rsidRPr="00083739">
              <w:rPr>
                <w:rFonts w:cs="Times New Roman"/>
                <w:noProof/>
                <w:lang w:val="sk-SK"/>
              </w:rPr>
              <w:t xml:space="preserve"> a </w:t>
            </w:r>
            <w:r w:rsidRPr="00083739">
              <w:rPr>
                <w:rFonts w:cs="Times New Roman"/>
                <w:noProof/>
                <w:lang w:val="sk-SK"/>
              </w:rPr>
              <w:t>inovácií – 16621_Extroverzia Výskumného</w:t>
            </w:r>
            <w:r w:rsidR="00083739" w:rsidRPr="00083739">
              <w:rPr>
                <w:rFonts w:cs="Times New Roman"/>
                <w:noProof/>
                <w:lang w:val="sk-SK"/>
              </w:rPr>
              <w:t xml:space="preserve"> a </w:t>
            </w:r>
            <w:r w:rsidRPr="00083739">
              <w:rPr>
                <w:rFonts w:cs="Times New Roman"/>
                <w:noProof/>
                <w:lang w:val="sk-SK"/>
              </w:rPr>
              <w:t>inovačného ekosystému Grécka</w:t>
            </w:r>
          </w:p>
        </w:tc>
        <w:tc>
          <w:tcPr>
            <w:tcW w:w="1680" w:type="dxa"/>
            <w:tcBorders>
              <w:top w:val="nil"/>
              <w:left w:val="nil"/>
              <w:bottom w:val="single" w:sz="4" w:space="0" w:color="auto"/>
              <w:right w:val="single" w:sz="4" w:space="0" w:color="auto"/>
            </w:tcBorders>
            <w:shd w:val="clear" w:color="auto" w:fill="C6EFCE"/>
            <w:noWrap/>
            <w:vAlign w:val="center"/>
            <w:hideMark/>
          </w:tcPr>
          <w:p w14:paraId="3D616A4E"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5D3813E4" w14:textId="00D2F2DF"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Dokončenie extroverzie projektov ekosystémov</w:t>
            </w:r>
            <w:r w:rsidR="00083739" w:rsidRPr="00083739">
              <w:rPr>
                <w:rFonts w:cs="Times New Roman"/>
                <w:noProof/>
                <w:lang w:val="sk-SK"/>
              </w:rPr>
              <w:t xml:space="preserve"> v </w:t>
            </w:r>
            <w:r w:rsidRPr="00083739">
              <w:rPr>
                <w:rFonts w:cs="Times New Roman"/>
                <w:noProof/>
                <w:lang w:val="sk-SK"/>
              </w:rPr>
              <w:t>oblasti výskumu</w:t>
            </w:r>
            <w:r w:rsidR="00083739" w:rsidRPr="00083739">
              <w:rPr>
                <w:rFonts w:cs="Times New Roman"/>
                <w:noProof/>
                <w:lang w:val="sk-SK"/>
              </w:rPr>
              <w:t xml:space="preserve"> a </w:t>
            </w:r>
            <w:r w:rsidRPr="00083739">
              <w:rPr>
                <w:rFonts w:cs="Times New Roman"/>
                <w:noProof/>
                <w:lang w:val="sk-SK"/>
              </w:rPr>
              <w:t>inovácií</w:t>
            </w:r>
          </w:p>
        </w:tc>
      </w:tr>
      <w:tr w:rsidR="002D49B0" w:rsidRPr="00083739" w14:paraId="04EB188E"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3CBAEFF2"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256</w:t>
            </w:r>
          </w:p>
        </w:tc>
        <w:tc>
          <w:tcPr>
            <w:tcW w:w="4320" w:type="dxa"/>
            <w:tcBorders>
              <w:top w:val="nil"/>
              <w:left w:val="nil"/>
              <w:bottom w:val="single" w:sz="4" w:space="0" w:color="auto"/>
              <w:right w:val="single" w:sz="4" w:space="0" w:color="auto"/>
            </w:tcBorders>
            <w:shd w:val="clear" w:color="auto" w:fill="C6EFCE"/>
            <w:noWrap/>
            <w:vAlign w:val="center"/>
            <w:hideMark/>
          </w:tcPr>
          <w:p w14:paraId="1CE1BA5A" w14:textId="413FF05F"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 17 – 4.6. Modernizovať</w:t>
            </w:r>
            <w:r w:rsidR="00083739" w:rsidRPr="00083739">
              <w:rPr>
                <w:rFonts w:cs="Times New Roman"/>
                <w:noProof/>
                <w:lang w:val="sk-SK"/>
              </w:rPr>
              <w:t xml:space="preserve"> a </w:t>
            </w:r>
            <w:r w:rsidRPr="00083739">
              <w:rPr>
                <w:rFonts w:cs="Times New Roman"/>
                <w:noProof/>
                <w:lang w:val="sk-SK"/>
              </w:rPr>
              <w:t>z</w:t>
            </w:r>
            <w:r w:rsidRPr="00083739">
              <w:rPr>
                <w:rFonts w:cs="Times New Roman"/>
                <w:noProof/>
                <w:lang w:val="sk-SK"/>
              </w:rPr>
              <w:t>lepšiť odolnosť kľúčových hospodárskych odvetví – 16628</w:t>
            </w:r>
          </w:p>
          <w:p w14:paraId="6A93E55D" w14:textId="5264991A"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Diaľnica E-65</w:t>
            </w:r>
            <w:r w:rsidR="00083739" w:rsidRPr="00083739">
              <w:rPr>
                <w:rFonts w:cs="Times New Roman"/>
                <w:noProof/>
                <w:lang w:val="sk-SK"/>
              </w:rPr>
              <w:t xml:space="preserve"> v </w:t>
            </w:r>
            <w:r w:rsidRPr="00083739">
              <w:rPr>
                <w:rFonts w:cs="Times New Roman"/>
                <w:noProof/>
                <w:lang w:val="sk-SK"/>
              </w:rPr>
              <w:t>strednom Grécku: Trikala – Egnatia sekcia</w:t>
            </w:r>
          </w:p>
        </w:tc>
        <w:tc>
          <w:tcPr>
            <w:tcW w:w="1680" w:type="dxa"/>
            <w:tcBorders>
              <w:top w:val="nil"/>
              <w:left w:val="nil"/>
              <w:bottom w:val="single" w:sz="4" w:space="0" w:color="auto"/>
              <w:right w:val="single" w:sz="4" w:space="0" w:color="auto"/>
            </w:tcBorders>
            <w:shd w:val="clear" w:color="auto" w:fill="C6EFCE"/>
            <w:noWrap/>
            <w:vAlign w:val="center"/>
            <w:hideMark/>
          </w:tcPr>
          <w:p w14:paraId="46D30171"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27EB3208"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Práce e-65 – dokončenie</w:t>
            </w:r>
          </w:p>
        </w:tc>
      </w:tr>
      <w:tr w:rsidR="002D49B0" w:rsidRPr="00083739" w14:paraId="63289488"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4A19A32D"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262</w:t>
            </w:r>
          </w:p>
        </w:tc>
        <w:tc>
          <w:tcPr>
            <w:tcW w:w="4320" w:type="dxa"/>
            <w:tcBorders>
              <w:top w:val="nil"/>
              <w:left w:val="nil"/>
              <w:bottom w:val="single" w:sz="4" w:space="0" w:color="auto"/>
              <w:right w:val="single" w:sz="4" w:space="0" w:color="auto"/>
            </w:tcBorders>
            <w:shd w:val="clear" w:color="auto" w:fill="C6EFCE"/>
            <w:noWrap/>
            <w:vAlign w:val="center"/>
            <w:hideMark/>
          </w:tcPr>
          <w:p w14:paraId="5495D9E7" w14:textId="7853BF78"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 17 – 4.6. Modernizácia</w:t>
            </w:r>
            <w:r w:rsidR="00083739" w:rsidRPr="00083739">
              <w:rPr>
                <w:rFonts w:cs="Times New Roman"/>
                <w:noProof/>
                <w:lang w:val="sk-SK"/>
              </w:rPr>
              <w:t xml:space="preserve"> a </w:t>
            </w:r>
            <w:r w:rsidRPr="00083739">
              <w:rPr>
                <w:rFonts w:cs="Times New Roman"/>
                <w:noProof/>
                <w:lang w:val="sk-SK"/>
              </w:rPr>
              <w:t xml:space="preserve">zlepšenie odolnosti kľúčových hospodárskych odvetví – 16630_Cretan Northern </w:t>
            </w:r>
            <w:r w:rsidRPr="00083739">
              <w:rPr>
                <w:rFonts w:cs="Times New Roman"/>
                <w:noProof/>
                <w:lang w:val="sk-SK"/>
              </w:rPr>
              <w:t>Highway (severná diaľnica).</w:t>
            </w:r>
          </w:p>
        </w:tc>
        <w:tc>
          <w:tcPr>
            <w:tcW w:w="1680" w:type="dxa"/>
            <w:tcBorders>
              <w:top w:val="nil"/>
              <w:left w:val="nil"/>
              <w:bottom w:val="single" w:sz="4" w:space="0" w:color="auto"/>
              <w:right w:val="single" w:sz="4" w:space="0" w:color="auto"/>
            </w:tcBorders>
            <w:shd w:val="clear" w:color="auto" w:fill="C6EFCE"/>
            <w:noWrap/>
            <w:vAlign w:val="center"/>
            <w:hideMark/>
          </w:tcPr>
          <w:p w14:paraId="13D5439E"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778FCFEC"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Dokončenie projektu BOAK</w:t>
            </w:r>
          </w:p>
        </w:tc>
      </w:tr>
      <w:tr w:rsidR="002D49B0" w:rsidRPr="00083739" w14:paraId="0147C613"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26D712BA"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268c</w:t>
            </w:r>
          </w:p>
        </w:tc>
        <w:tc>
          <w:tcPr>
            <w:tcW w:w="4320" w:type="dxa"/>
            <w:tcBorders>
              <w:top w:val="nil"/>
              <w:left w:val="nil"/>
              <w:bottom w:val="single" w:sz="4" w:space="0" w:color="auto"/>
              <w:right w:val="single" w:sz="4" w:space="0" w:color="auto"/>
            </w:tcBorders>
            <w:shd w:val="clear" w:color="auto" w:fill="C6EFCE"/>
            <w:noWrap/>
            <w:hideMark/>
          </w:tcPr>
          <w:p w14:paraId="23F643F0" w14:textId="5AF46691"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17 – 4.6. Modernizácia</w:t>
            </w:r>
            <w:r w:rsidR="00083739" w:rsidRPr="00083739">
              <w:rPr>
                <w:rFonts w:cs="Times New Roman"/>
                <w:noProof/>
                <w:lang w:val="sk-SK"/>
              </w:rPr>
              <w:t xml:space="preserve"> a </w:t>
            </w:r>
            <w:r w:rsidRPr="00083739">
              <w:rPr>
                <w:rFonts w:cs="Times New Roman"/>
                <w:noProof/>
                <w:lang w:val="sk-SK"/>
              </w:rPr>
              <w:t>zlepšenie odolnosti kľúčových hospodárskych odvetví – 16982_Organizačná reforma</w:t>
            </w:r>
            <w:r w:rsidR="00083739" w:rsidRPr="00083739">
              <w:rPr>
                <w:rFonts w:cs="Times New Roman"/>
                <w:noProof/>
                <w:lang w:val="sk-SK"/>
              </w:rPr>
              <w:t xml:space="preserve"> v </w:t>
            </w:r>
            <w:r w:rsidRPr="00083739">
              <w:rPr>
                <w:rFonts w:cs="Times New Roman"/>
                <w:noProof/>
                <w:lang w:val="sk-SK"/>
              </w:rPr>
              <w:t>železničnom sektore</w:t>
            </w:r>
          </w:p>
        </w:tc>
        <w:tc>
          <w:tcPr>
            <w:tcW w:w="1680" w:type="dxa"/>
            <w:tcBorders>
              <w:top w:val="nil"/>
              <w:left w:val="nil"/>
              <w:bottom w:val="single" w:sz="4" w:space="0" w:color="auto"/>
              <w:right w:val="single" w:sz="4" w:space="0" w:color="auto"/>
            </w:tcBorders>
            <w:shd w:val="clear" w:color="auto" w:fill="C6EFCE"/>
            <w:noWrap/>
            <w:hideMark/>
          </w:tcPr>
          <w:p w14:paraId="399903E9"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hideMark/>
          </w:tcPr>
          <w:p w14:paraId="3E37E48D"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Finalizácia organizačnej reformy železničnej dopravy</w:t>
            </w:r>
          </w:p>
        </w:tc>
      </w:tr>
      <w:tr w:rsidR="002D49B0" w:rsidRPr="00083739" w14:paraId="0DEF3331"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39867A01"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269</w:t>
            </w:r>
          </w:p>
        </w:tc>
        <w:tc>
          <w:tcPr>
            <w:tcW w:w="4320" w:type="dxa"/>
            <w:tcBorders>
              <w:top w:val="nil"/>
              <w:left w:val="nil"/>
              <w:bottom w:val="single" w:sz="4" w:space="0" w:color="auto"/>
              <w:right w:val="single" w:sz="4" w:space="0" w:color="auto"/>
            </w:tcBorders>
            <w:shd w:val="clear" w:color="auto" w:fill="C6EFCE"/>
            <w:noWrap/>
            <w:vAlign w:val="center"/>
            <w:hideMark/>
          </w:tcPr>
          <w:p w14:paraId="77034D8E" w14:textId="0BF452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17 – 4.6. Modernizácia</w:t>
            </w:r>
            <w:r w:rsidR="00083739" w:rsidRPr="00083739">
              <w:rPr>
                <w:rFonts w:cs="Times New Roman"/>
                <w:noProof/>
                <w:lang w:val="sk-SK"/>
              </w:rPr>
              <w:t xml:space="preserve"> a </w:t>
            </w:r>
            <w:r w:rsidRPr="00083739">
              <w:rPr>
                <w:rFonts w:cs="Times New Roman"/>
                <w:noProof/>
                <w:lang w:val="sk-SK"/>
              </w:rPr>
              <w:t>zlepšenie odolnosti kľúčových hospodárskych odvetví – 16833_Vykonávanie prác EASA na nápravu súladu</w:t>
            </w:r>
          </w:p>
        </w:tc>
        <w:tc>
          <w:tcPr>
            <w:tcW w:w="1680" w:type="dxa"/>
            <w:tcBorders>
              <w:top w:val="nil"/>
              <w:left w:val="nil"/>
              <w:bottom w:val="single" w:sz="4" w:space="0" w:color="auto"/>
              <w:right w:val="single" w:sz="4" w:space="0" w:color="auto"/>
            </w:tcBorders>
            <w:shd w:val="clear" w:color="auto" w:fill="C6EFCE"/>
            <w:noWrap/>
            <w:vAlign w:val="center"/>
            <w:hideMark/>
          </w:tcPr>
          <w:p w14:paraId="54C33A0B"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6096A2C4" w14:textId="5ECD31EB" w:rsidR="002D49B0" w:rsidRPr="00083739" w:rsidRDefault="00BF4125">
            <w:pPr>
              <w:pStyle w:val="P68B1DB1-Normal49"/>
              <w:keepNext/>
              <w:spacing w:before="40" w:after="0" w:line="240" w:lineRule="auto"/>
              <w:jc w:val="both"/>
              <w:rPr>
                <w:rFonts w:cs="Times New Roman"/>
                <w:noProof/>
                <w:lang w:val="sk-SK"/>
              </w:rPr>
            </w:pPr>
            <w:r w:rsidRPr="00083739">
              <w:rPr>
                <w:rFonts w:cs="Times New Roman"/>
                <w:noProof/>
                <w:lang w:val="sk-SK"/>
              </w:rPr>
              <w:t xml:space="preserve">Dokončenie prác agentúry EASA na nápravu súladu </w:t>
            </w:r>
          </w:p>
        </w:tc>
      </w:tr>
      <w:tr w:rsidR="002D49B0" w:rsidRPr="00083739" w14:paraId="6587A8EC"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2C8B8730"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271</w:t>
            </w:r>
          </w:p>
        </w:tc>
        <w:tc>
          <w:tcPr>
            <w:tcW w:w="4320" w:type="dxa"/>
            <w:tcBorders>
              <w:top w:val="nil"/>
              <w:left w:val="nil"/>
              <w:bottom w:val="single" w:sz="4" w:space="0" w:color="auto"/>
              <w:right w:val="single" w:sz="4" w:space="0" w:color="auto"/>
            </w:tcBorders>
            <w:shd w:val="clear" w:color="auto" w:fill="C6EFCE"/>
            <w:noWrap/>
            <w:vAlign w:val="center"/>
            <w:hideMark/>
          </w:tcPr>
          <w:p w14:paraId="7FCE129A" w14:textId="6EF039DF"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17 – 4.6. Modernizácia</w:t>
            </w:r>
            <w:r w:rsidR="00083739" w:rsidRPr="00083739">
              <w:rPr>
                <w:rFonts w:cs="Times New Roman"/>
                <w:noProof/>
                <w:lang w:val="sk-SK"/>
              </w:rPr>
              <w:t xml:space="preserve"> a </w:t>
            </w:r>
            <w:r w:rsidRPr="00083739">
              <w:rPr>
                <w:rFonts w:cs="Times New Roman"/>
                <w:noProof/>
                <w:lang w:val="sk-SK"/>
              </w:rPr>
              <w:t xml:space="preserve">zlepšenie odolnosti kľúčových </w:t>
            </w:r>
            <w:r w:rsidRPr="00083739">
              <w:rPr>
                <w:rFonts w:cs="Times New Roman"/>
                <w:noProof/>
                <w:lang w:val="sk-SK"/>
              </w:rPr>
              <w:t>hospodárskych odvetví – 16892_Zmodernizácia prímestskej železničnej dopravy západnej Atika</w:t>
            </w:r>
          </w:p>
        </w:tc>
        <w:tc>
          <w:tcPr>
            <w:tcW w:w="1680" w:type="dxa"/>
            <w:tcBorders>
              <w:top w:val="nil"/>
              <w:left w:val="nil"/>
              <w:bottom w:val="single" w:sz="4" w:space="0" w:color="auto"/>
              <w:right w:val="single" w:sz="4" w:space="0" w:color="auto"/>
            </w:tcBorders>
            <w:shd w:val="clear" w:color="auto" w:fill="C6EFCE"/>
            <w:noWrap/>
            <w:vAlign w:val="center"/>
            <w:hideMark/>
          </w:tcPr>
          <w:p w14:paraId="1FAC99CE"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3B95310E" w14:textId="58CB03A4" w:rsidR="002D49B0" w:rsidRPr="00083739" w:rsidRDefault="00BF4125">
            <w:pPr>
              <w:pStyle w:val="P68B1DB1-Normal49"/>
              <w:keepNext/>
              <w:spacing w:before="40" w:after="0" w:line="240" w:lineRule="auto"/>
              <w:jc w:val="both"/>
              <w:rPr>
                <w:rFonts w:cs="Times New Roman"/>
                <w:noProof/>
                <w:sz w:val="24"/>
                <w:szCs w:val="24"/>
                <w:lang w:val="sk-SK"/>
              </w:rPr>
            </w:pPr>
            <w:r w:rsidRPr="00083739">
              <w:rPr>
                <w:rFonts w:cs="Times New Roman"/>
                <w:noProof/>
                <w:lang w:val="sk-SK"/>
              </w:rPr>
              <w:t>Dokončenie časti železničnej trate západná Atika od Ano Liossia po začiatok úseku</w:t>
            </w:r>
            <w:r w:rsidR="00083739" w:rsidRPr="00083739">
              <w:rPr>
                <w:rFonts w:cs="Times New Roman"/>
                <w:noProof/>
                <w:lang w:val="sk-SK"/>
              </w:rPr>
              <w:t xml:space="preserve"> v </w:t>
            </w:r>
            <w:r w:rsidRPr="00083739">
              <w:rPr>
                <w:rFonts w:cs="Times New Roman"/>
                <w:noProof/>
                <w:lang w:val="sk-SK"/>
              </w:rPr>
              <w:t>ELPE Elefsina</w:t>
            </w:r>
            <w:r w:rsidR="00083739" w:rsidRPr="00083739">
              <w:rPr>
                <w:rFonts w:cs="Times New Roman"/>
                <w:noProof/>
                <w:lang w:val="sk-SK"/>
              </w:rPr>
              <w:t xml:space="preserve"> a </w:t>
            </w:r>
            <w:r w:rsidRPr="00083739">
              <w:rPr>
                <w:rFonts w:cs="Times New Roman"/>
                <w:noProof/>
                <w:lang w:val="sk-SK"/>
              </w:rPr>
              <w:t>od konca úseku ELPE Elefsina po novú stanicu Megara</w:t>
            </w:r>
          </w:p>
        </w:tc>
      </w:tr>
      <w:tr w:rsidR="002D49B0" w:rsidRPr="00083739" w14:paraId="5A6E7323"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2068407A"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272</w:t>
            </w:r>
          </w:p>
        </w:tc>
        <w:tc>
          <w:tcPr>
            <w:tcW w:w="4320" w:type="dxa"/>
            <w:tcBorders>
              <w:top w:val="nil"/>
              <w:left w:val="nil"/>
              <w:bottom w:val="single" w:sz="4" w:space="0" w:color="auto"/>
              <w:right w:val="single" w:sz="4" w:space="0" w:color="auto"/>
            </w:tcBorders>
            <w:shd w:val="clear" w:color="auto" w:fill="C6EFCE"/>
            <w:noWrap/>
            <w:vAlign w:val="center"/>
            <w:hideMark/>
          </w:tcPr>
          <w:p w14:paraId="5A7E3A85" w14:textId="5F98FF56"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17 – 4.6. Modernizácia</w:t>
            </w:r>
            <w:r w:rsidR="00083739" w:rsidRPr="00083739">
              <w:rPr>
                <w:rFonts w:cs="Times New Roman"/>
                <w:noProof/>
                <w:lang w:val="sk-SK"/>
              </w:rPr>
              <w:t xml:space="preserve"> a </w:t>
            </w:r>
            <w:r w:rsidRPr="00083739">
              <w:rPr>
                <w:rFonts w:cs="Times New Roman"/>
                <w:noProof/>
                <w:lang w:val="sk-SK"/>
              </w:rPr>
              <w:t>zlepšenie odolnosti kľúčových hospodárskych odvetví – 16949_Inteligentné mosty</w:t>
            </w:r>
          </w:p>
        </w:tc>
        <w:tc>
          <w:tcPr>
            <w:tcW w:w="1680" w:type="dxa"/>
            <w:tcBorders>
              <w:top w:val="nil"/>
              <w:left w:val="nil"/>
              <w:bottom w:val="single" w:sz="4" w:space="0" w:color="auto"/>
              <w:right w:val="single" w:sz="4" w:space="0" w:color="auto"/>
            </w:tcBorders>
            <w:shd w:val="clear" w:color="auto" w:fill="C6EFCE"/>
            <w:noWrap/>
            <w:vAlign w:val="center"/>
            <w:hideMark/>
          </w:tcPr>
          <w:p w14:paraId="3797F4FB"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5B9E13E7"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Dokončenie projektu inteligentných mostov I. fáza</w:t>
            </w:r>
          </w:p>
        </w:tc>
      </w:tr>
      <w:tr w:rsidR="002D49B0" w:rsidRPr="00083739" w14:paraId="39A33D29"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5A43E6F8"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272a</w:t>
            </w:r>
          </w:p>
        </w:tc>
        <w:tc>
          <w:tcPr>
            <w:tcW w:w="4320" w:type="dxa"/>
            <w:tcBorders>
              <w:top w:val="nil"/>
              <w:left w:val="nil"/>
              <w:bottom w:val="single" w:sz="4" w:space="0" w:color="auto"/>
              <w:right w:val="single" w:sz="4" w:space="0" w:color="auto"/>
            </w:tcBorders>
            <w:shd w:val="clear" w:color="auto" w:fill="C6EFCE"/>
            <w:noWrap/>
            <w:vAlign w:val="center"/>
            <w:hideMark/>
          </w:tcPr>
          <w:p w14:paraId="7A00AF74" w14:textId="0E58A393"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17 – 4.6. Modernizácia</w:t>
            </w:r>
            <w:r w:rsidR="00083739" w:rsidRPr="00083739">
              <w:rPr>
                <w:rFonts w:cs="Times New Roman"/>
                <w:noProof/>
                <w:lang w:val="sk-SK"/>
              </w:rPr>
              <w:t xml:space="preserve"> a </w:t>
            </w:r>
            <w:r w:rsidRPr="00083739">
              <w:rPr>
                <w:rFonts w:cs="Times New Roman"/>
                <w:noProof/>
                <w:lang w:val="sk-SK"/>
              </w:rPr>
              <w:t xml:space="preserve">zlepšenie odolnosti kľúčových hospodárskych odvetví – </w:t>
            </w:r>
            <w:r w:rsidRPr="00083739">
              <w:rPr>
                <w:rFonts w:cs="Times New Roman"/>
                <w:noProof/>
                <w:lang w:val="sk-SK"/>
              </w:rPr>
              <w:t>16949_Inteligentné mosty</w:t>
            </w:r>
          </w:p>
        </w:tc>
        <w:tc>
          <w:tcPr>
            <w:tcW w:w="1680" w:type="dxa"/>
            <w:tcBorders>
              <w:top w:val="nil"/>
              <w:left w:val="nil"/>
              <w:bottom w:val="single" w:sz="4" w:space="0" w:color="auto"/>
              <w:right w:val="single" w:sz="4" w:space="0" w:color="auto"/>
            </w:tcBorders>
            <w:shd w:val="clear" w:color="auto" w:fill="C6EFCE"/>
            <w:noWrap/>
            <w:vAlign w:val="center"/>
            <w:hideMark/>
          </w:tcPr>
          <w:p w14:paraId="0757DC8C"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50B48D72"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Dokončenie projektu inteligentných mostov, fáza II</w:t>
            </w:r>
          </w:p>
        </w:tc>
      </w:tr>
      <w:tr w:rsidR="002D49B0" w:rsidRPr="00083739" w14:paraId="4F98E014"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466E1334"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274</w:t>
            </w:r>
          </w:p>
        </w:tc>
        <w:tc>
          <w:tcPr>
            <w:tcW w:w="4320" w:type="dxa"/>
            <w:tcBorders>
              <w:top w:val="nil"/>
              <w:left w:val="nil"/>
              <w:bottom w:val="single" w:sz="4" w:space="0" w:color="auto"/>
              <w:right w:val="single" w:sz="4" w:space="0" w:color="auto"/>
            </w:tcBorders>
            <w:shd w:val="clear" w:color="auto" w:fill="C6EFCE"/>
            <w:noWrap/>
            <w:vAlign w:val="center"/>
            <w:hideMark/>
          </w:tcPr>
          <w:p w14:paraId="07E38C68" w14:textId="6F73D51D"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17 – 4.6. Modernizácia</w:t>
            </w:r>
            <w:r w:rsidR="00083739" w:rsidRPr="00083739">
              <w:rPr>
                <w:rFonts w:cs="Times New Roman"/>
                <w:noProof/>
                <w:lang w:val="sk-SK"/>
              </w:rPr>
              <w:t xml:space="preserve"> a </w:t>
            </w:r>
            <w:r w:rsidRPr="00083739">
              <w:rPr>
                <w:rFonts w:cs="Times New Roman"/>
                <w:noProof/>
                <w:lang w:val="sk-SK"/>
              </w:rPr>
              <w:t>zlepšenie odolnosti kľúčových hospodárskych odvetví – 16959_Digitálna transformácia Helénskej železničnej organizácie</w:t>
            </w:r>
          </w:p>
        </w:tc>
        <w:tc>
          <w:tcPr>
            <w:tcW w:w="1680" w:type="dxa"/>
            <w:tcBorders>
              <w:top w:val="nil"/>
              <w:left w:val="nil"/>
              <w:bottom w:val="single" w:sz="4" w:space="0" w:color="auto"/>
              <w:right w:val="single" w:sz="4" w:space="0" w:color="auto"/>
            </w:tcBorders>
            <w:shd w:val="clear" w:color="auto" w:fill="C6EFCE"/>
            <w:noWrap/>
            <w:vAlign w:val="center"/>
            <w:hideMark/>
          </w:tcPr>
          <w:p w14:paraId="3F8E3571"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4DA50AB7"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Dokončenie digitál</w:t>
            </w:r>
            <w:r w:rsidRPr="00083739">
              <w:rPr>
                <w:rFonts w:cs="Times New Roman"/>
                <w:noProof/>
                <w:lang w:val="sk-SK"/>
              </w:rPr>
              <w:t>nej transformácie projektu OSE</w:t>
            </w:r>
          </w:p>
        </w:tc>
      </w:tr>
      <w:tr w:rsidR="002D49B0" w:rsidRPr="00083739" w14:paraId="76528135"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36D931B0"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275</w:t>
            </w:r>
          </w:p>
        </w:tc>
        <w:tc>
          <w:tcPr>
            <w:tcW w:w="4320" w:type="dxa"/>
            <w:tcBorders>
              <w:top w:val="nil"/>
              <w:left w:val="nil"/>
              <w:bottom w:val="single" w:sz="4" w:space="0" w:color="auto"/>
              <w:right w:val="single" w:sz="4" w:space="0" w:color="auto"/>
            </w:tcBorders>
            <w:shd w:val="clear" w:color="auto" w:fill="C6EFCE"/>
            <w:noWrap/>
            <w:vAlign w:val="center"/>
            <w:hideMark/>
          </w:tcPr>
          <w:p w14:paraId="4553FF49" w14:textId="000B256A"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17 – 4.6. Modernizácia</w:t>
            </w:r>
            <w:r w:rsidR="00083739" w:rsidRPr="00083739">
              <w:rPr>
                <w:rFonts w:cs="Times New Roman"/>
                <w:noProof/>
                <w:lang w:val="sk-SK"/>
              </w:rPr>
              <w:t xml:space="preserve"> a </w:t>
            </w:r>
            <w:r w:rsidRPr="00083739">
              <w:rPr>
                <w:rFonts w:cs="Times New Roman"/>
                <w:noProof/>
                <w:lang w:val="sk-SK"/>
              </w:rPr>
              <w:t>zlepšenie odolnosti kľúčových hospodárskych odvetví – 16960_Inteligentná infraštruktúra so zameraním na životné prostredie</w:t>
            </w:r>
            <w:r w:rsidR="00083739" w:rsidRPr="00083739">
              <w:rPr>
                <w:rFonts w:cs="Times New Roman"/>
                <w:noProof/>
                <w:lang w:val="sk-SK"/>
              </w:rPr>
              <w:t xml:space="preserve"> a </w:t>
            </w:r>
            <w:r w:rsidRPr="00083739">
              <w:rPr>
                <w:rFonts w:cs="Times New Roman"/>
                <w:noProof/>
                <w:lang w:val="sk-SK"/>
              </w:rPr>
              <w:t>kultúru</w:t>
            </w:r>
          </w:p>
        </w:tc>
        <w:tc>
          <w:tcPr>
            <w:tcW w:w="1680" w:type="dxa"/>
            <w:tcBorders>
              <w:top w:val="nil"/>
              <w:left w:val="nil"/>
              <w:bottom w:val="single" w:sz="4" w:space="0" w:color="auto"/>
              <w:right w:val="single" w:sz="4" w:space="0" w:color="auto"/>
            </w:tcBorders>
            <w:shd w:val="clear" w:color="auto" w:fill="C6EFCE"/>
            <w:noWrap/>
            <w:vAlign w:val="center"/>
            <w:hideMark/>
          </w:tcPr>
          <w:p w14:paraId="42755EE6"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2BC66D0E"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Dokončenie projektu inteligentnej infraštruktúry</w:t>
            </w:r>
          </w:p>
        </w:tc>
      </w:tr>
      <w:tr w:rsidR="002D49B0" w:rsidRPr="00083739" w14:paraId="60CC7BFF"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5633C743"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276</w:t>
            </w:r>
          </w:p>
        </w:tc>
        <w:tc>
          <w:tcPr>
            <w:tcW w:w="4320" w:type="dxa"/>
            <w:tcBorders>
              <w:top w:val="nil"/>
              <w:left w:val="nil"/>
              <w:bottom w:val="single" w:sz="4" w:space="0" w:color="auto"/>
              <w:right w:val="single" w:sz="4" w:space="0" w:color="auto"/>
            </w:tcBorders>
            <w:shd w:val="clear" w:color="auto" w:fill="C6EFCE"/>
            <w:noWrap/>
            <w:vAlign w:val="center"/>
            <w:hideMark/>
          </w:tcPr>
          <w:p w14:paraId="1B703CAB" w14:textId="03D7840F"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17 – 4.6. Modernizácia</w:t>
            </w:r>
            <w:r w:rsidR="00083739" w:rsidRPr="00083739">
              <w:rPr>
                <w:rFonts w:cs="Times New Roman"/>
                <w:noProof/>
                <w:lang w:val="sk-SK"/>
              </w:rPr>
              <w:t xml:space="preserve"> a </w:t>
            </w:r>
            <w:r w:rsidRPr="00083739">
              <w:rPr>
                <w:rFonts w:cs="Times New Roman"/>
                <w:noProof/>
                <w:lang w:val="sk-SK"/>
              </w:rPr>
              <w:t>zlepšenie odolnosti kľúčových hospodárskych odvetví – 16937_Digitálny integrovaný systém riadenia programov pre správu technických prác</w:t>
            </w:r>
            <w:r w:rsidR="00083739" w:rsidRPr="00083739">
              <w:rPr>
                <w:rFonts w:cs="Times New Roman"/>
                <w:noProof/>
                <w:lang w:val="sk-SK"/>
              </w:rPr>
              <w:t xml:space="preserve"> a </w:t>
            </w:r>
            <w:r w:rsidRPr="00083739">
              <w:rPr>
                <w:rFonts w:cs="Times New Roman"/>
                <w:noProof/>
                <w:lang w:val="sk-SK"/>
              </w:rPr>
              <w:t>štrukturálnych aktív ministerstva infraštruktúry</w:t>
            </w:r>
            <w:r w:rsidR="00083739" w:rsidRPr="00083739">
              <w:rPr>
                <w:rFonts w:cs="Times New Roman"/>
                <w:noProof/>
                <w:lang w:val="sk-SK"/>
              </w:rPr>
              <w:t xml:space="preserve"> a </w:t>
            </w:r>
            <w:r w:rsidRPr="00083739">
              <w:rPr>
                <w:rFonts w:cs="Times New Roman"/>
                <w:noProof/>
                <w:lang w:val="sk-SK"/>
              </w:rPr>
              <w:t>dopravy</w:t>
            </w:r>
          </w:p>
        </w:tc>
        <w:tc>
          <w:tcPr>
            <w:tcW w:w="1680" w:type="dxa"/>
            <w:tcBorders>
              <w:top w:val="nil"/>
              <w:left w:val="nil"/>
              <w:bottom w:val="single" w:sz="4" w:space="0" w:color="auto"/>
              <w:right w:val="single" w:sz="4" w:space="0" w:color="auto"/>
            </w:tcBorders>
            <w:shd w:val="clear" w:color="auto" w:fill="C6EFCE"/>
            <w:noWrap/>
            <w:vAlign w:val="center"/>
            <w:hideMark/>
          </w:tcPr>
          <w:p w14:paraId="3BD4321B"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5693024F"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Ukončenie PMIS pre minister</w:t>
            </w:r>
            <w:r w:rsidRPr="00083739">
              <w:rPr>
                <w:rFonts w:cs="Times New Roman"/>
                <w:noProof/>
                <w:lang w:val="sk-SK"/>
              </w:rPr>
              <w:t>stvo infraštruktúry</w:t>
            </w:r>
          </w:p>
        </w:tc>
      </w:tr>
      <w:tr w:rsidR="002D49B0" w:rsidRPr="00083739" w14:paraId="39352571"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0DEE73CA"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283</w:t>
            </w:r>
          </w:p>
        </w:tc>
        <w:tc>
          <w:tcPr>
            <w:tcW w:w="4320" w:type="dxa"/>
            <w:tcBorders>
              <w:top w:val="nil"/>
              <w:left w:val="nil"/>
              <w:bottom w:val="single" w:sz="4" w:space="0" w:color="auto"/>
              <w:right w:val="single" w:sz="4" w:space="0" w:color="auto"/>
            </w:tcBorders>
            <w:shd w:val="clear" w:color="auto" w:fill="C6EFCE"/>
            <w:noWrap/>
            <w:vAlign w:val="center"/>
            <w:hideMark/>
          </w:tcPr>
          <w:p w14:paraId="0FDCC3C2" w14:textId="41EA7E2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17 – 4.6. Modernizácia</w:t>
            </w:r>
            <w:r w:rsidR="00083739" w:rsidRPr="00083739">
              <w:rPr>
                <w:rFonts w:cs="Times New Roman"/>
                <w:noProof/>
                <w:lang w:val="sk-SK"/>
              </w:rPr>
              <w:t xml:space="preserve"> a </w:t>
            </w:r>
            <w:r w:rsidRPr="00083739">
              <w:rPr>
                <w:rFonts w:cs="Times New Roman"/>
                <w:noProof/>
                <w:lang w:val="sk-SK"/>
              </w:rPr>
              <w:t>zlepšenie odolnosti kľúčových hospodárskych odvetví – 16293_Kultúra ako hnacia sila rastu</w:t>
            </w:r>
          </w:p>
        </w:tc>
        <w:tc>
          <w:tcPr>
            <w:tcW w:w="1680" w:type="dxa"/>
            <w:tcBorders>
              <w:top w:val="nil"/>
              <w:left w:val="nil"/>
              <w:bottom w:val="single" w:sz="4" w:space="0" w:color="auto"/>
              <w:right w:val="single" w:sz="4" w:space="0" w:color="auto"/>
            </w:tcBorders>
            <w:shd w:val="clear" w:color="auto" w:fill="C6EFCE"/>
            <w:noWrap/>
            <w:vAlign w:val="center"/>
            <w:hideMark/>
          </w:tcPr>
          <w:p w14:paraId="234EA5DF"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1B3E1EED"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Kultúra ako hnacia sila rastu</w:t>
            </w:r>
          </w:p>
        </w:tc>
      </w:tr>
      <w:tr w:rsidR="002D49B0" w:rsidRPr="00083739" w14:paraId="741BBB45"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46EA347F"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284</w:t>
            </w:r>
          </w:p>
        </w:tc>
        <w:tc>
          <w:tcPr>
            <w:tcW w:w="4320" w:type="dxa"/>
            <w:tcBorders>
              <w:top w:val="nil"/>
              <w:left w:val="nil"/>
              <w:bottom w:val="single" w:sz="4" w:space="0" w:color="auto"/>
              <w:right w:val="single" w:sz="4" w:space="0" w:color="auto"/>
            </w:tcBorders>
            <w:shd w:val="clear" w:color="auto" w:fill="C6EFCE"/>
            <w:noWrap/>
            <w:vAlign w:val="center"/>
            <w:hideMark/>
          </w:tcPr>
          <w:p w14:paraId="21ECBAD0" w14:textId="00D9FB5A"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17 – 4.6. Modernizácia</w:t>
            </w:r>
            <w:r w:rsidR="00083739" w:rsidRPr="00083739">
              <w:rPr>
                <w:rFonts w:cs="Times New Roman"/>
                <w:noProof/>
                <w:lang w:val="sk-SK"/>
              </w:rPr>
              <w:t xml:space="preserve"> a </w:t>
            </w:r>
            <w:r w:rsidRPr="00083739">
              <w:rPr>
                <w:rFonts w:cs="Times New Roman"/>
                <w:noProof/>
                <w:lang w:val="sk-SK"/>
              </w:rPr>
              <w:t xml:space="preserve">zlepšenie odolnosti kľúčových hospodárskych </w:t>
            </w:r>
            <w:r w:rsidRPr="00083739">
              <w:rPr>
                <w:rFonts w:cs="Times New Roman"/>
                <w:noProof/>
                <w:lang w:val="sk-SK"/>
              </w:rPr>
              <w:t>odvetví – 16536_modernizácia infraštruktúry, obnova vybavenia</w:t>
            </w:r>
            <w:r w:rsidR="00083739" w:rsidRPr="00083739">
              <w:rPr>
                <w:rFonts w:cs="Times New Roman"/>
                <w:noProof/>
                <w:lang w:val="sk-SK"/>
              </w:rPr>
              <w:t xml:space="preserve"> a </w:t>
            </w:r>
            <w:r w:rsidRPr="00083739">
              <w:rPr>
                <w:rFonts w:cs="Times New Roman"/>
                <w:noProof/>
                <w:lang w:val="sk-SK"/>
              </w:rPr>
              <w:t>zvýšenie kvality služieb poskytovaných obchodmi HOCRED – bývalé úložiská ARF (na mieste</w:t>
            </w:r>
            <w:r w:rsidR="00083739" w:rsidRPr="00083739">
              <w:rPr>
                <w:rFonts w:cs="Times New Roman"/>
                <w:noProof/>
                <w:lang w:val="sk-SK"/>
              </w:rPr>
              <w:t xml:space="preserve"> a </w:t>
            </w:r>
            <w:r w:rsidRPr="00083739">
              <w:rPr>
                <w:rFonts w:cs="Times New Roman"/>
                <w:noProof/>
                <w:lang w:val="sk-SK"/>
              </w:rPr>
              <w:t>elektronicky)</w:t>
            </w:r>
          </w:p>
        </w:tc>
        <w:tc>
          <w:tcPr>
            <w:tcW w:w="1680" w:type="dxa"/>
            <w:tcBorders>
              <w:top w:val="nil"/>
              <w:left w:val="nil"/>
              <w:bottom w:val="single" w:sz="4" w:space="0" w:color="auto"/>
              <w:right w:val="single" w:sz="4" w:space="0" w:color="auto"/>
            </w:tcBorders>
            <w:shd w:val="clear" w:color="auto" w:fill="C6EFCE"/>
            <w:noWrap/>
            <w:vAlign w:val="center"/>
            <w:hideMark/>
          </w:tcPr>
          <w:p w14:paraId="11C78CC4"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2F6FEE75"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 xml:space="preserve">Modernizácia Helénskej organizácie pre rozvoj kultúrnych zdrojov (HOCRED) </w:t>
            </w:r>
          </w:p>
        </w:tc>
      </w:tr>
      <w:tr w:rsidR="002D49B0" w:rsidRPr="00083739" w14:paraId="7D6F172D"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66EC2BD1"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285</w:t>
            </w:r>
          </w:p>
        </w:tc>
        <w:tc>
          <w:tcPr>
            <w:tcW w:w="4320" w:type="dxa"/>
            <w:tcBorders>
              <w:top w:val="nil"/>
              <w:left w:val="nil"/>
              <w:bottom w:val="single" w:sz="4" w:space="0" w:color="auto"/>
              <w:right w:val="single" w:sz="4" w:space="0" w:color="auto"/>
            </w:tcBorders>
            <w:shd w:val="clear" w:color="auto" w:fill="C6EFCE"/>
            <w:noWrap/>
            <w:vAlign w:val="center"/>
            <w:hideMark/>
          </w:tcPr>
          <w:p w14:paraId="0D59E48B" w14:textId="34403743"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w:t>
            </w:r>
            <w:r w:rsidRPr="00083739">
              <w:rPr>
                <w:rFonts w:cs="Times New Roman"/>
                <w:noProof/>
                <w:lang w:val="sk-SK"/>
              </w:rPr>
              <w:t>7 – 4.6. Modernizácia</w:t>
            </w:r>
            <w:r w:rsidR="00083739" w:rsidRPr="00083739">
              <w:rPr>
                <w:rFonts w:cs="Times New Roman"/>
                <w:noProof/>
                <w:lang w:val="sk-SK"/>
              </w:rPr>
              <w:t xml:space="preserve"> a </w:t>
            </w:r>
            <w:r w:rsidRPr="00083739">
              <w:rPr>
                <w:rFonts w:cs="Times New Roman"/>
                <w:noProof/>
                <w:lang w:val="sk-SK"/>
              </w:rPr>
              <w:t>zlepšenie odolnosti kľúčových hospodárskych odvetví – 16725_Zlepšenie vysokoškolského vzdelávania</w:t>
            </w:r>
            <w:r w:rsidR="00083739" w:rsidRPr="00083739">
              <w:rPr>
                <w:rFonts w:cs="Times New Roman"/>
                <w:noProof/>
                <w:lang w:val="sk-SK"/>
              </w:rPr>
              <w:t xml:space="preserve"> v </w:t>
            </w:r>
            <w:r w:rsidRPr="00083739">
              <w:rPr>
                <w:rFonts w:cs="Times New Roman"/>
                <w:noProof/>
                <w:lang w:val="sk-SK"/>
              </w:rPr>
              <w:t>oblasti umenia</w:t>
            </w:r>
          </w:p>
        </w:tc>
        <w:tc>
          <w:tcPr>
            <w:tcW w:w="1680" w:type="dxa"/>
            <w:tcBorders>
              <w:top w:val="nil"/>
              <w:left w:val="nil"/>
              <w:bottom w:val="single" w:sz="4" w:space="0" w:color="auto"/>
              <w:right w:val="single" w:sz="4" w:space="0" w:color="auto"/>
            </w:tcBorders>
            <w:shd w:val="clear" w:color="auto" w:fill="C6EFCE"/>
            <w:noWrap/>
            <w:vAlign w:val="center"/>
            <w:hideMark/>
          </w:tcPr>
          <w:p w14:paraId="4CA16663"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66E1BF27"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Modernizácia vysokoškolského umeleckého vzdelávania</w:t>
            </w:r>
          </w:p>
        </w:tc>
      </w:tr>
      <w:tr w:rsidR="002D49B0" w:rsidRPr="00083739" w14:paraId="10DDC459"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29D91BA6"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287</w:t>
            </w:r>
          </w:p>
        </w:tc>
        <w:tc>
          <w:tcPr>
            <w:tcW w:w="4320" w:type="dxa"/>
            <w:tcBorders>
              <w:top w:val="nil"/>
              <w:left w:val="nil"/>
              <w:bottom w:val="single" w:sz="4" w:space="0" w:color="auto"/>
              <w:right w:val="single" w:sz="4" w:space="0" w:color="auto"/>
            </w:tcBorders>
            <w:shd w:val="clear" w:color="auto" w:fill="C6EFCE"/>
            <w:noWrap/>
            <w:vAlign w:val="center"/>
            <w:hideMark/>
          </w:tcPr>
          <w:p w14:paraId="0906845A" w14:textId="50CF930C"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17 – 4.6. Modernizácia</w:t>
            </w:r>
            <w:r w:rsidR="00083739" w:rsidRPr="00083739">
              <w:rPr>
                <w:rFonts w:cs="Times New Roman"/>
                <w:noProof/>
                <w:lang w:val="sk-SK"/>
              </w:rPr>
              <w:t xml:space="preserve"> a </w:t>
            </w:r>
            <w:r w:rsidRPr="00083739">
              <w:rPr>
                <w:rFonts w:cs="Times New Roman"/>
                <w:noProof/>
                <w:lang w:val="sk-SK"/>
              </w:rPr>
              <w:t xml:space="preserve">zlepšenie odolnosti </w:t>
            </w:r>
            <w:r w:rsidRPr="00083739">
              <w:rPr>
                <w:rFonts w:cs="Times New Roman"/>
                <w:noProof/>
                <w:lang w:val="sk-SK"/>
              </w:rPr>
              <w:t>kľúčových hospodárskych odvetví – 16486_Museum podmorských starožitností</w:t>
            </w:r>
          </w:p>
        </w:tc>
        <w:tc>
          <w:tcPr>
            <w:tcW w:w="1680" w:type="dxa"/>
            <w:tcBorders>
              <w:top w:val="nil"/>
              <w:left w:val="nil"/>
              <w:bottom w:val="single" w:sz="4" w:space="0" w:color="auto"/>
              <w:right w:val="single" w:sz="4" w:space="0" w:color="auto"/>
            </w:tcBorders>
            <w:shd w:val="clear" w:color="auto" w:fill="C6EFCE"/>
            <w:noWrap/>
            <w:vAlign w:val="center"/>
            <w:hideMark/>
          </w:tcPr>
          <w:p w14:paraId="5A102A64"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393712EC"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Múzeum podmorských starožitností</w:t>
            </w:r>
          </w:p>
        </w:tc>
      </w:tr>
      <w:tr w:rsidR="002D49B0" w:rsidRPr="00083739" w14:paraId="3081C9A2"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26C2514A"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288</w:t>
            </w:r>
          </w:p>
        </w:tc>
        <w:tc>
          <w:tcPr>
            <w:tcW w:w="4320" w:type="dxa"/>
            <w:tcBorders>
              <w:top w:val="nil"/>
              <w:left w:val="nil"/>
              <w:bottom w:val="single" w:sz="4" w:space="0" w:color="auto"/>
              <w:right w:val="single" w:sz="4" w:space="0" w:color="auto"/>
            </w:tcBorders>
            <w:shd w:val="clear" w:color="auto" w:fill="C6EFCE"/>
            <w:noWrap/>
            <w:vAlign w:val="center"/>
            <w:hideMark/>
          </w:tcPr>
          <w:p w14:paraId="07B55E40" w14:textId="3BEB2902"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17 – 4.6. Modernizácia</w:t>
            </w:r>
            <w:r w:rsidR="00083739" w:rsidRPr="00083739">
              <w:rPr>
                <w:rFonts w:cs="Times New Roman"/>
                <w:noProof/>
                <w:lang w:val="sk-SK"/>
              </w:rPr>
              <w:t xml:space="preserve"> a </w:t>
            </w:r>
            <w:r w:rsidRPr="00083739">
              <w:rPr>
                <w:rFonts w:cs="Times New Roman"/>
                <w:noProof/>
                <w:lang w:val="sk-SK"/>
              </w:rPr>
              <w:t>zlepšenie odolnosti kľúčových hospodárskych odvetví – 16485_Kultúrne trasy na emblematických archeologických loka</w:t>
            </w:r>
            <w:r w:rsidRPr="00083739">
              <w:rPr>
                <w:rFonts w:cs="Times New Roman"/>
                <w:noProof/>
                <w:lang w:val="sk-SK"/>
              </w:rPr>
              <w:t>litách</w:t>
            </w:r>
            <w:r w:rsidR="00083739" w:rsidRPr="00083739">
              <w:rPr>
                <w:rFonts w:cs="Times New Roman"/>
                <w:noProof/>
                <w:lang w:val="sk-SK"/>
              </w:rPr>
              <w:t xml:space="preserve"> a </w:t>
            </w:r>
            <w:r w:rsidRPr="00083739">
              <w:rPr>
                <w:rFonts w:cs="Times New Roman"/>
                <w:noProof/>
                <w:lang w:val="sk-SK"/>
              </w:rPr>
              <w:t>pamiatkach</w:t>
            </w:r>
          </w:p>
        </w:tc>
        <w:tc>
          <w:tcPr>
            <w:tcW w:w="1680" w:type="dxa"/>
            <w:tcBorders>
              <w:top w:val="nil"/>
              <w:left w:val="nil"/>
              <w:bottom w:val="single" w:sz="4" w:space="0" w:color="auto"/>
              <w:right w:val="single" w:sz="4" w:space="0" w:color="auto"/>
            </w:tcBorders>
            <w:shd w:val="clear" w:color="auto" w:fill="C6EFCE"/>
            <w:noWrap/>
            <w:vAlign w:val="center"/>
            <w:hideMark/>
          </w:tcPr>
          <w:p w14:paraId="53ED72F9"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57609D5C"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Kultúrne trasy na emblematických archeologických lokalitách</w:t>
            </w:r>
          </w:p>
        </w:tc>
      </w:tr>
      <w:tr w:rsidR="002D49B0" w:rsidRPr="00083739" w14:paraId="6350803F"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7E212550"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289</w:t>
            </w:r>
          </w:p>
        </w:tc>
        <w:tc>
          <w:tcPr>
            <w:tcW w:w="4320" w:type="dxa"/>
            <w:tcBorders>
              <w:top w:val="nil"/>
              <w:left w:val="nil"/>
              <w:bottom w:val="single" w:sz="4" w:space="0" w:color="auto"/>
              <w:right w:val="single" w:sz="4" w:space="0" w:color="auto"/>
            </w:tcBorders>
            <w:shd w:val="clear" w:color="auto" w:fill="C6EFCE"/>
            <w:noWrap/>
            <w:vAlign w:val="center"/>
            <w:hideMark/>
          </w:tcPr>
          <w:p w14:paraId="58A1699E" w14:textId="15DEC16F"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17 – 4.6. Modernizácia</w:t>
            </w:r>
            <w:r w:rsidR="00083739" w:rsidRPr="00083739">
              <w:rPr>
                <w:rFonts w:cs="Times New Roman"/>
                <w:noProof/>
                <w:lang w:val="sk-SK"/>
              </w:rPr>
              <w:t xml:space="preserve"> a </w:t>
            </w:r>
            <w:r w:rsidRPr="00083739">
              <w:rPr>
                <w:rFonts w:cs="Times New Roman"/>
                <w:noProof/>
                <w:lang w:val="sk-SK"/>
              </w:rPr>
              <w:t>zlepšenie odolnosti kľúčových hospodárskych odvetví – 16735_Využívanie „umelcov na predpis“, podpora sociálnej súdržnosti</w:t>
            </w:r>
            <w:r w:rsidR="00083739" w:rsidRPr="00083739">
              <w:rPr>
                <w:rFonts w:cs="Times New Roman"/>
                <w:noProof/>
                <w:lang w:val="sk-SK"/>
              </w:rPr>
              <w:t xml:space="preserve"> a </w:t>
            </w:r>
            <w:r w:rsidRPr="00083739">
              <w:rPr>
                <w:rFonts w:cs="Times New Roman"/>
                <w:noProof/>
                <w:lang w:val="sk-SK"/>
              </w:rPr>
              <w:t xml:space="preserve">využívanie </w:t>
            </w:r>
            <w:r w:rsidRPr="00083739">
              <w:rPr>
                <w:rFonts w:cs="Times New Roman"/>
                <w:noProof/>
                <w:lang w:val="sk-SK"/>
              </w:rPr>
              <w:t>striebornej ekonomiky</w:t>
            </w:r>
          </w:p>
        </w:tc>
        <w:tc>
          <w:tcPr>
            <w:tcW w:w="1680" w:type="dxa"/>
            <w:tcBorders>
              <w:top w:val="nil"/>
              <w:left w:val="nil"/>
              <w:bottom w:val="single" w:sz="4" w:space="0" w:color="auto"/>
              <w:right w:val="single" w:sz="4" w:space="0" w:color="auto"/>
            </w:tcBorders>
            <w:shd w:val="clear" w:color="auto" w:fill="C6EFCE"/>
            <w:noWrap/>
            <w:vAlign w:val="center"/>
            <w:hideMark/>
          </w:tcPr>
          <w:p w14:paraId="435DC078"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7EAD8EE9" w14:textId="1CCF54A1"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Používanie „umelca</w:t>
            </w:r>
            <w:r w:rsidR="00083739" w:rsidRPr="00083739">
              <w:rPr>
                <w:rFonts w:cs="Times New Roman"/>
                <w:noProof/>
                <w:lang w:val="sk-SK"/>
              </w:rPr>
              <w:t xml:space="preserve"> o </w:t>
            </w:r>
            <w:r w:rsidRPr="00083739">
              <w:rPr>
                <w:rFonts w:cs="Times New Roman"/>
                <w:noProof/>
                <w:lang w:val="sk-SK"/>
              </w:rPr>
              <w:t>predpisovaní“,</w:t>
            </w:r>
          </w:p>
        </w:tc>
      </w:tr>
      <w:tr w:rsidR="002D49B0" w:rsidRPr="00083739" w14:paraId="5D6F5A04"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2254D79E"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290</w:t>
            </w:r>
          </w:p>
        </w:tc>
        <w:tc>
          <w:tcPr>
            <w:tcW w:w="4320" w:type="dxa"/>
            <w:tcBorders>
              <w:top w:val="nil"/>
              <w:left w:val="nil"/>
              <w:bottom w:val="single" w:sz="4" w:space="0" w:color="auto"/>
              <w:right w:val="single" w:sz="4" w:space="0" w:color="auto"/>
            </w:tcBorders>
            <w:shd w:val="clear" w:color="auto" w:fill="C6EFCE"/>
            <w:noWrap/>
            <w:vAlign w:val="center"/>
            <w:hideMark/>
          </w:tcPr>
          <w:p w14:paraId="2BE07D00" w14:textId="5C9E4AFC"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17 – 4.6. Modernizácia</w:t>
            </w:r>
            <w:r w:rsidR="00083739" w:rsidRPr="00083739">
              <w:rPr>
                <w:rFonts w:cs="Times New Roman"/>
                <w:noProof/>
                <w:lang w:val="sk-SK"/>
              </w:rPr>
              <w:t xml:space="preserve"> a </w:t>
            </w:r>
            <w:r w:rsidRPr="00083739">
              <w:rPr>
                <w:rFonts w:cs="Times New Roman"/>
                <w:noProof/>
                <w:lang w:val="sk-SK"/>
              </w:rPr>
              <w:t>zlepšenie odolnosti kľúčových hospodárskych odvetví – 16433_Ochrana kultúrnych pamiatok</w:t>
            </w:r>
            <w:r w:rsidR="00083739" w:rsidRPr="00083739">
              <w:rPr>
                <w:rFonts w:cs="Times New Roman"/>
                <w:noProof/>
                <w:lang w:val="sk-SK"/>
              </w:rPr>
              <w:t xml:space="preserve"> a </w:t>
            </w:r>
            <w:r w:rsidRPr="00083739">
              <w:rPr>
                <w:rFonts w:cs="Times New Roman"/>
                <w:noProof/>
                <w:lang w:val="sk-SK"/>
              </w:rPr>
              <w:t>archeologických nálezísk pred zmenou klímy</w:t>
            </w:r>
          </w:p>
        </w:tc>
        <w:tc>
          <w:tcPr>
            <w:tcW w:w="1680" w:type="dxa"/>
            <w:tcBorders>
              <w:top w:val="nil"/>
              <w:left w:val="nil"/>
              <w:bottom w:val="single" w:sz="4" w:space="0" w:color="auto"/>
              <w:right w:val="single" w:sz="4" w:space="0" w:color="auto"/>
            </w:tcBorders>
            <w:shd w:val="clear" w:color="auto" w:fill="C6EFCE"/>
            <w:noWrap/>
            <w:vAlign w:val="center"/>
            <w:hideMark/>
          </w:tcPr>
          <w:p w14:paraId="5E28301B"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 xml:space="preserve">Míľnik </w:t>
            </w:r>
          </w:p>
        </w:tc>
        <w:tc>
          <w:tcPr>
            <w:tcW w:w="2280" w:type="dxa"/>
            <w:tcBorders>
              <w:top w:val="nil"/>
              <w:left w:val="nil"/>
              <w:bottom w:val="single" w:sz="4" w:space="0" w:color="auto"/>
              <w:right w:val="single" w:sz="4" w:space="0" w:color="auto"/>
            </w:tcBorders>
            <w:shd w:val="clear" w:color="auto" w:fill="C6EFCE"/>
            <w:noWrap/>
            <w:vAlign w:val="center"/>
            <w:hideMark/>
          </w:tcPr>
          <w:p w14:paraId="46CA641C"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 xml:space="preserve">Ochrana kultúrnych </w:t>
            </w:r>
            <w:r w:rsidRPr="00083739">
              <w:rPr>
                <w:rFonts w:cs="Times New Roman"/>
                <w:noProof/>
                <w:lang w:val="sk-SK"/>
              </w:rPr>
              <w:t>pamiatok pred zmenou klímy</w:t>
            </w:r>
          </w:p>
        </w:tc>
      </w:tr>
      <w:tr w:rsidR="002D49B0" w:rsidRPr="00083739" w14:paraId="0D0F2358"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13DD2F1C"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291</w:t>
            </w:r>
          </w:p>
        </w:tc>
        <w:tc>
          <w:tcPr>
            <w:tcW w:w="4320" w:type="dxa"/>
            <w:tcBorders>
              <w:top w:val="nil"/>
              <w:left w:val="nil"/>
              <w:bottom w:val="single" w:sz="4" w:space="0" w:color="auto"/>
              <w:right w:val="single" w:sz="4" w:space="0" w:color="auto"/>
            </w:tcBorders>
            <w:shd w:val="clear" w:color="auto" w:fill="C6EFCE"/>
            <w:noWrap/>
            <w:vAlign w:val="center"/>
            <w:hideMark/>
          </w:tcPr>
          <w:p w14:paraId="27650EFA" w14:textId="4E79BF50"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17 – 4.6. Modernizácia</w:t>
            </w:r>
            <w:r w:rsidR="00083739" w:rsidRPr="00083739">
              <w:rPr>
                <w:rFonts w:cs="Times New Roman"/>
                <w:noProof/>
                <w:lang w:val="sk-SK"/>
              </w:rPr>
              <w:t xml:space="preserve"> a </w:t>
            </w:r>
            <w:r w:rsidRPr="00083739">
              <w:rPr>
                <w:rFonts w:cs="Times New Roman"/>
                <w:noProof/>
                <w:lang w:val="sk-SK"/>
              </w:rPr>
              <w:t>zlepšenie odolnosti kľúčových hospodárskych odvetví – 16435_Obnova – Ochrana – Posilnenie pamiatok Acropolis</w:t>
            </w:r>
          </w:p>
        </w:tc>
        <w:tc>
          <w:tcPr>
            <w:tcW w:w="1680" w:type="dxa"/>
            <w:tcBorders>
              <w:top w:val="nil"/>
              <w:left w:val="nil"/>
              <w:bottom w:val="single" w:sz="4" w:space="0" w:color="auto"/>
              <w:right w:val="single" w:sz="4" w:space="0" w:color="auto"/>
            </w:tcBorders>
            <w:shd w:val="clear" w:color="auto" w:fill="C6EFCE"/>
            <w:noWrap/>
            <w:vAlign w:val="center"/>
            <w:hideMark/>
          </w:tcPr>
          <w:p w14:paraId="6AFC636F"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6F7F98A0"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Obnova – ochrana – zlepšenie akropolisu</w:t>
            </w:r>
          </w:p>
        </w:tc>
      </w:tr>
      <w:tr w:rsidR="002D49B0" w:rsidRPr="00083739" w14:paraId="1D37CEDB"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18CBAC21"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296</w:t>
            </w:r>
          </w:p>
        </w:tc>
        <w:tc>
          <w:tcPr>
            <w:tcW w:w="4320" w:type="dxa"/>
            <w:tcBorders>
              <w:top w:val="nil"/>
              <w:left w:val="nil"/>
              <w:bottom w:val="single" w:sz="4" w:space="0" w:color="auto"/>
              <w:right w:val="single" w:sz="4" w:space="0" w:color="auto"/>
            </w:tcBorders>
            <w:shd w:val="clear" w:color="auto" w:fill="C6EFCE"/>
            <w:noWrap/>
            <w:vAlign w:val="center"/>
            <w:hideMark/>
          </w:tcPr>
          <w:p w14:paraId="58973A90" w14:textId="2A7D2551"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17 – 4.6. Modernizácia</w:t>
            </w:r>
            <w:r w:rsidR="00083739" w:rsidRPr="00083739">
              <w:rPr>
                <w:rFonts w:cs="Times New Roman"/>
                <w:noProof/>
                <w:lang w:val="sk-SK"/>
              </w:rPr>
              <w:t xml:space="preserve"> a </w:t>
            </w:r>
            <w:r w:rsidRPr="00083739">
              <w:rPr>
                <w:rFonts w:cs="Times New Roman"/>
                <w:noProof/>
                <w:lang w:val="sk-SK"/>
              </w:rPr>
              <w:t xml:space="preserve">zlepšenie </w:t>
            </w:r>
            <w:r w:rsidRPr="00083739">
              <w:rPr>
                <w:rFonts w:cs="Times New Roman"/>
                <w:noProof/>
                <w:lang w:val="sk-SK"/>
              </w:rPr>
              <w:t>odolnosti kľúčových hospodárskych odvetví – 16921_Rekvalifikácia</w:t>
            </w:r>
            <w:r w:rsidR="00083739" w:rsidRPr="00083739">
              <w:rPr>
                <w:rFonts w:cs="Times New Roman"/>
                <w:noProof/>
                <w:lang w:val="sk-SK"/>
              </w:rPr>
              <w:t xml:space="preserve"> a </w:t>
            </w:r>
            <w:r w:rsidRPr="00083739">
              <w:rPr>
                <w:rFonts w:cs="Times New Roman"/>
                <w:noProof/>
                <w:lang w:val="sk-SK"/>
              </w:rPr>
              <w:t>zvyšovanie úrovne zručností</w:t>
            </w:r>
            <w:r w:rsidR="00083739" w:rsidRPr="00083739">
              <w:rPr>
                <w:rFonts w:cs="Times New Roman"/>
                <w:noProof/>
                <w:lang w:val="sk-SK"/>
              </w:rPr>
              <w:t xml:space="preserve"> v </w:t>
            </w:r>
            <w:r w:rsidRPr="00083739">
              <w:rPr>
                <w:rFonts w:cs="Times New Roman"/>
                <w:noProof/>
                <w:lang w:val="sk-SK"/>
              </w:rPr>
              <w:t>cestovnom ruchu</w:t>
            </w:r>
          </w:p>
        </w:tc>
        <w:tc>
          <w:tcPr>
            <w:tcW w:w="1680" w:type="dxa"/>
            <w:tcBorders>
              <w:top w:val="nil"/>
              <w:left w:val="nil"/>
              <w:bottom w:val="single" w:sz="4" w:space="0" w:color="auto"/>
              <w:right w:val="single" w:sz="4" w:space="0" w:color="auto"/>
            </w:tcBorders>
            <w:shd w:val="clear" w:color="auto" w:fill="C6EFCE"/>
            <w:noWrap/>
            <w:vAlign w:val="center"/>
            <w:hideMark/>
          </w:tcPr>
          <w:p w14:paraId="3CAE9894"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Cieľ</w:t>
            </w:r>
          </w:p>
        </w:tc>
        <w:tc>
          <w:tcPr>
            <w:tcW w:w="2280" w:type="dxa"/>
            <w:tcBorders>
              <w:top w:val="nil"/>
              <w:left w:val="nil"/>
              <w:bottom w:val="single" w:sz="4" w:space="0" w:color="auto"/>
              <w:right w:val="single" w:sz="4" w:space="0" w:color="auto"/>
            </w:tcBorders>
            <w:shd w:val="clear" w:color="auto" w:fill="C6EFCE"/>
            <w:noWrap/>
            <w:vAlign w:val="center"/>
            <w:hideMark/>
          </w:tcPr>
          <w:p w14:paraId="11203FAF" w14:textId="01A876C5"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Rekvalifikácia</w:t>
            </w:r>
            <w:r w:rsidR="00083739" w:rsidRPr="00083739">
              <w:rPr>
                <w:rFonts w:cs="Times New Roman"/>
                <w:noProof/>
                <w:lang w:val="sk-SK"/>
              </w:rPr>
              <w:t xml:space="preserve"> a </w:t>
            </w:r>
            <w:r w:rsidRPr="00083739">
              <w:rPr>
                <w:rFonts w:cs="Times New Roman"/>
                <w:noProof/>
                <w:lang w:val="sk-SK"/>
              </w:rPr>
              <w:t>zvyšovanie úrovne zručností</w:t>
            </w:r>
            <w:r w:rsidR="00083739" w:rsidRPr="00083739">
              <w:rPr>
                <w:rFonts w:cs="Times New Roman"/>
                <w:noProof/>
                <w:lang w:val="sk-SK"/>
              </w:rPr>
              <w:t xml:space="preserve"> v </w:t>
            </w:r>
            <w:r w:rsidRPr="00083739">
              <w:rPr>
                <w:rFonts w:cs="Times New Roman"/>
                <w:noProof/>
                <w:lang w:val="sk-SK"/>
              </w:rPr>
              <w:t>cestovnom ruchu (dokončenie)</w:t>
            </w:r>
          </w:p>
        </w:tc>
      </w:tr>
      <w:tr w:rsidR="002D49B0" w:rsidRPr="00083739" w14:paraId="17FC2ABA"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01075678"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297</w:t>
            </w:r>
          </w:p>
        </w:tc>
        <w:tc>
          <w:tcPr>
            <w:tcW w:w="4320" w:type="dxa"/>
            <w:tcBorders>
              <w:top w:val="nil"/>
              <w:left w:val="nil"/>
              <w:bottom w:val="single" w:sz="4" w:space="0" w:color="auto"/>
              <w:right w:val="single" w:sz="4" w:space="0" w:color="auto"/>
            </w:tcBorders>
            <w:shd w:val="clear" w:color="auto" w:fill="C6EFCE"/>
            <w:noWrap/>
            <w:vAlign w:val="center"/>
            <w:hideMark/>
          </w:tcPr>
          <w:p w14:paraId="118CE1D5" w14:textId="7593E34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17 – 4.6. Modernizácia</w:t>
            </w:r>
            <w:r w:rsidR="00083739" w:rsidRPr="00083739">
              <w:rPr>
                <w:rFonts w:cs="Times New Roman"/>
                <w:noProof/>
                <w:lang w:val="sk-SK"/>
              </w:rPr>
              <w:t xml:space="preserve"> a </w:t>
            </w:r>
            <w:r w:rsidRPr="00083739">
              <w:rPr>
                <w:rFonts w:cs="Times New Roman"/>
                <w:noProof/>
                <w:lang w:val="sk-SK"/>
              </w:rPr>
              <w:t>zlepšenie odolnosti kľúčových ho</w:t>
            </w:r>
            <w:r w:rsidRPr="00083739">
              <w:rPr>
                <w:rFonts w:cs="Times New Roman"/>
                <w:noProof/>
                <w:lang w:val="sk-SK"/>
              </w:rPr>
              <w:t>spodárskych odvetví – 16931_Rozvoj cestovného ruchu</w:t>
            </w:r>
          </w:p>
        </w:tc>
        <w:tc>
          <w:tcPr>
            <w:tcW w:w="1680" w:type="dxa"/>
            <w:tcBorders>
              <w:top w:val="nil"/>
              <w:left w:val="nil"/>
              <w:bottom w:val="single" w:sz="4" w:space="0" w:color="auto"/>
              <w:right w:val="single" w:sz="4" w:space="0" w:color="auto"/>
            </w:tcBorders>
            <w:shd w:val="clear" w:color="auto" w:fill="C6EFCE"/>
            <w:noWrap/>
            <w:vAlign w:val="center"/>
            <w:hideMark/>
          </w:tcPr>
          <w:p w14:paraId="64C0709C"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45ACF9E9"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Dokončenie projektu rozvoja cestovného ruchu</w:t>
            </w:r>
          </w:p>
        </w:tc>
      </w:tr>
      <w:tr w:rsidR="002D49B0" w:rsidRPr="00083739" w14:paraId="23AAC03D"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3FFFD532"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298</w:t>
            </w:r>
          </w:p>
        </w:tc>
        <w:tc>
          <w:tcPr>
            <w:tcW w:w="4320" w:type="dxa"/>
            <w:tcBorders>
              <w:top w:val="nil"/>
              <w:left w:val="nil"/>
              <w:bottom w:val="single" w:sz="4" w:space="0" w:color="auto"/>
              <w:right w:val="single" w:sz="4" w:space="0" w:color="auto"/>
            </w:tcBorders>
            <w:shd w:val="clear" w:color="auto" w:fill="C6EFCE"/>
            <w:noWrap/>
            <w:vAlign w:val="center"/>
            <w:hideMark/>
          </w:tcPr>
          <w:p w14:paraId="54A2BEC6" w14:textId="4ED55B3B"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17 – 4.6. Modernizácia</w:t>
            </w:r>
            <w:r w:rsidR="00083739" w:rsidRPr="00083739">
              <w:rPr>
                <w:rFonts w:cs="Times New Roman"/>
                <w:noProof/>
                <w:lang w:val="sk-SK"/>
              </w:rPr>
              <w:t xml:space="preserve"> a </w:t>
            </w:r>
            <w:r w:rsidRPr="00083739">
              <w:rPr>
                <w:rFonts w:cs="Times New Roman"/>
                <w:noProof/>
                <w:lang w:val="sk-SK"/>
              </w:rPr>
              <w:t>zlepšenie odolnosti kľúčových hospodárskych odvetví – 16975_Zlepšiť intervencie pre regionálne prístavy</w:t>
            </w:r>
          </w:p>
        </w:tc>
        <w:tc>
          <w:tcPr>
            <w:tcW w:w="1680" w:type="dxa"/>
            <w:tcBorders>
              <w:top w:val="nil"/>
              <w:left w:val="nil"/>
              <w:bottom w:val="single" w:sz="4" w:space="0" w:color="auto"/>
              <w:right w:val="single" w:sz="4" w:space="0" w:color="auto"/>
            </w:tcBorders>
            <w:shd w:val="clear" w:color="auto" w:fill="C6EFCE"/>
            <w:noWrap/>
            <w:vAlign w:val="center"/>
            <w:hideMark/>
          </w:tcPr>
          <w:p w14:paraId="027D8315" w14:textId="0CD174D4" w:rsidR="002D49B0" w:rsidRPr="00083739" w:rsidRDefault="00BF4125">
            <w:pPr>
              <w:pStyle w:val="P68B1DB1-Normal49"/>
              <w:keepNext/>
              <w:spacing w:before="40" w:after="0" w:line="240" w:lineRule="auto"/>
              <w:jc w:val="both"/>
              <w:rPr>
                <w:rFonts w:eastAsia="Times New Roman" w:cs="Times New Roman"/>
                <w:noProof/>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241A653E"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Modernizácia intervencií pre regionálne prístavy</w:t>
            </w:r>
          </w:p>
        </w:tc>
      </w:tr>
      <w:tr w:rsidR="002D49B0" w:rsidRPr="00083739" w14:paraId="751C7B79"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2B677759"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307</w:t>
            </w:r>
          </w:p>
        </w:tc>
        <w:tc>
          <w:tcPr>
            <w:tcW w:w="4320" w:type="dxa"/>
            <w:tcBorders>
              <w:top w:val="nil"/>
              <w:left w:val="nil"/>
              <w:bottom w:val="single" w:sz="4" w:space="0" w:color="auto"/>
              <w:right w:val="single" w:sz="4" w:space="0" w:color="auto"/>
            </w:tcBorders>
            <w:shd w:val="clear" w:color="auto" w:fill="C6EFCE"/>
            <w:noWrap/>
            <w:vAlign w:val="center"/>
            <w:hideMark/>
          </w:tcPr>
          <w:p w14:paraId="3B5A5092" w14:textId="7B8FD0F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17 – 4.6. Modernizácia</w:t>
            </w:r>
            <w:r w:rsidR="00083739" w:rsidRPr="00083739">
              <w:rPr>
                <w:rFonts w:cs="Times New Roman"/>
                <w:noProof/>
                <w:lang w:val="sk-SK"/>
              </w:rPr>
              <w:t xml:space="preserve"> a </w:t>
            </w:r>
            <w:r w:rsidRPr="00083739">
              <w:rPr>
                <w:rFonts w:cs="Times New Roman"/>
                <w:noProof/>
                <w:lang w:val="sk-SK"/>
              </w:rPr>
              <w:t>zlepšenie odolnosti kľúčových hospodárskych odvetví – 16634_Nové priemyselné parky</w:t>
            </w:r>
          </w:p>
        </w:tc>
        <w:tc>
          <w:tcPr>
            <w:tcW w:w="1680" w:type="dxa"/>
            <w:tcBorders>
              <w:top w:val="nil"/>
              <w:left w:val="nil"/>
              <w:bottom w:val="single" w:sz="4" w:space="0" w:color="auto"/>
              <w:right w:val="single" w:sz="4" w:space="0" w:color="auto"/>
            </w:tcBorders>
            <w:shd w:val="clear" w:color="auto" w:fill="C6EFCE"/>
            <w:noWrap/>
            <w:vAlign w:val="center"/>
            <w:hideMark/>
          </w:tcPr>
          <w:p w14:paraId="12D1D692"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1721573D"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Priemyselné parky- realizácia investícií</w:t>
            </w:r>
          </w:p>
        </w:tc>
      </w:tr>
      <w:tr w:rsidR="002D49B0" w:rsidRPr="00083739" w14:paraId="59CEA0F1"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60B9D9A0"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308</w:t>
            </w:r>
          </w:p>
        </w:tc>
        <w:tc>
          <w:tcPr>
            <w:tcW w:w="4320" w:type="dxa"/>
            <w:tcBorders>
              <w:top w:val="nil"/>
              <w:left w:val="nil"/>
              <w:bottom w:val="single" w:sz="4" w:space="0" w:color="auto"/>
              <w:right w:val="single" w:sz="4" w:space="0" w:color="auto"/>
            </w:tcBorders>
            <w:shd w:val="clear" w:color="auto" w:fill="C6EFCE"/>
            <w:noWrap/>
            <w:vAlign w:val="center"/>
            <w:hideMark/>
          </w:tcPr>
          <w:p w14:paraId="54DEB4F4" w14:textId="490BAC5D"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17 – 4.6. Modernizácia</w:t>
            </w:r>
            <w:r w:rsidR="00083739" w:rsidRPr="00083739">
              <w:rPr>
                <w:rFonts w:cs="Times New Roman"/>
                <w:noProof/>
                <w:lang w:val="sk-SK"/>
              </w:rPr>
              <w:t xml:space="preserve"> a </w:t>
            </w:r>
            <w:r w:rsidRPr="00083739">
              <w:rPr>
                <w:rFonts w:cs="Times New Roman"/>
                <w:noProof/>
                <w:lang w:val="sk-SK"/>
              </w:rPr>
              <w:t xml:space="preserve">zlepšenie </w:t>
            </w:r>
            <w:r w:rsidRPr="00083739">
              <w:rPr>
                <w:rFonts w:cs="Times New Roman"/>
                <w:noProof/>
                <w:lang w:val="sk-SK"/>
              </w:rPr>
              <w:t>odolnosti kľúčových hospodárskych odvetví – 16593_Zmena právneho rámca na prilákanie strategických investícií</w:t>
            </w:r>
          </w:p>
        </w:tc>
        <w:tc>
          <w:tcPr>
            <w:tcW w:w="1680" w:type="dxa"/>
            <w:tcBorders>
              <w:top w:val="nil"/>
              <w:left w:val="nil"/>
              <w:bottom w:val="single" w:sz="4" w:space="0" w:color="auto"/>
              <w:right w:val="single" w:sz="4" w:space="0" w:color="auto"/>
            </w:tcBorders>
            <w:shd w:val="clear" w:color="auto" w:fill="C6EFCE"/>
            <w:noWrap/>
            <w:vAlign w:val="center"/>
            <w:hideMark/>
          </w:tcPr>
          <w:p w14:paraId="7ED0C8B5"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2AB0C051"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Strategické investície – realizácia investícií</w:t>
            </w:r>
          </w:p>
        </w:tc>
      </w:tr>
      <w:tr w:rsidR="002D49B0" w:rsidRPr="00083739" w14:paraId="55F85266"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67011C42"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309</w:t>
            </w:r>
          </w:p>
        </w:tc>
        <w:tc>
          <w:tcPr>
            <w:tcW w:w="4320" w:type="dxa"/>
            <w:tcBorders>
              <w:top w:val="nil"/>
              <w:left w:val="nil"/>
              <w:bottom w:val="single" w:sz="4" w:space="0" w:color="auto"/>
              <w:right w:val="single" w:sz="4" w:space="0" w:color="auto"/>
            </w:tcBorders>
            <w:shd w:val="clear" w:color="auto" w:fill="C6EFCE"/>
            <w:noWrap/>
            <w:vAlign w:val="center"/>
            <w:hideMark/>
          </w:tcPr>
          <w:p w14:paraId="30A60098" w14:textId="379A16CB"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17 – 4.6. Modernizácia</w:t>
            </w:r>
            <w:r w:rsidR="00083739" w:rsidRPr="00083739">
              <w:rPr>
                <w:rFonts w:cs="Times New Roman"/>
                <w:noProof/>
                <w:lang w:val="sk-SK"/>
              </w:rPr>
              <w:t xml:space="preserve"> a </w:t>
            </w:r>
            <w:r w:rsidRPr="00083739">
              <w:rPr>
                <w:rFonts w:cs="Times New Roman"/>
                <w:noProof/>
                <w:lang w:val="sk-SK"/>
              </w:rPr>
              <w:t>zlepšenie odolnosti kľúčových hospodárskych odvetví – 16721_zr</w:t>
            </w:r>
            <w:r w:rsidRPr="00083739">
              <w:rPr>
                <w:rFonts w:cs="Times New Roman"/>
                <w:noProof/>
                <w:lang w:val="sk-SK"/>
              </w:rPr>
              <w:t>ýchlenie inteligentnej výroby</w:t>
            </w:r>
          </w:p>
        </w:tc>
        <w:tc>
          <w:tcPr>
            <w:tcW w:w="1680" w:type="dxa"/>
            <w:tcBorders>
              <w:top w:val="nil"/>
              <w:left w:val="nil"/>
              <w:bottom w:val="single" w:sz="4" w:space="0" w:color="auto"/>
              <w:right w:val="single" w:sz="4" w:space="0" w:color="auto"/>
            </w:tcBorders>
            <w:shd w:val="clear" w:color="auto" w:fill="C6EFCE"/>
            <w:noWrap/>
            <w:vAlign w:val="center"/>
            <w:hideMark/>
          </w:tcPr>
          <w:p w14:paraId="6B71A148"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01452DBD"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Výroba, sektor – realizácia investícií</w:t>
            </w:r>
          </w:p>
        </w:tc>
      </w:tr>
      <w:tr w:rsidR="002D49B0" w:rsidRPr="00083739" w14:paraId="4BA73D7C"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327DE960"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314</w:t>
            </w:r>
          </w:p>
        </w:tc>
        <w:tc>
          <w:tcPr>
            <w:tcW w:w="4320" w:type="dxa"/>
            <w:tcBorders>
              <w:top w:val="nil"/>
              <w:left w:val="nil"/>
              <w:bottom w:val="single" w:sz="4" w:space="0" w:color="auto"/>
              <w:right w:val="single" w:sz="4" w:space="0" w:color="auto"/>
            </w:tcBorders>
            <w:shd w:val="clear" w:color="auto" w:fill="C6EFCE"/>
            <w:noWrap/>
            <w:vAlign w:val="center"/>
            <w:hideMark/>
          </w:tcPr>
          <w:p w14:paraId="236ED068" w14:textId="37E89EF8"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17 – 4.6. Modernizácia</w:t>
            </w:r>
            <w:r w:rsidR="00083739" w:rsidRPr="00083739">
              <w:rPr>
                <w:rFonts w:cs="Times New Roman"/>
                <w:noProof/>
                <w:lang w:val="sk-SK"/>
              </w:rPr>
              <w:t xml:space="preserve"> a </w:t>
            </w:r>
            <w:r w:rsidRPr="00083739">
              <w:rPr>
                <w:rFonts w:cs="Times New Roman"/>
                <w:noProof/>
                <w:lang w:val="sk-SK"/>
              </w:rPr>
              <w:t>zlepšenie odolnosti kľúčových hospodárskych odvetví – 16626_Hospodárska transformácia</w:t>
            </w:r>
            <w:r w:rsidR="00083739" w:rsidRPr="00083739">
              <w:rPr>
                <w:rFonts w:cs="Times New Roman"/>
                <w:noProof/>
                <w:lang w:val="sk-SK"/>
              </w:rPr>
              <w:t xml:space="preserve"> v </w:t>
            </w:r>
            <w:r w:rsidRPr="00083739">
              <w:rPr>
                <w:rFonts w:cs="Times New Roman"/>
                <w:noProof/>
                <w:lang w:val="sk-SK"/>
              </w:rPr>
              <w:t>sektore poľnohospodárstva</w:t>
            </w:r>
          </w:p>
        </w:tc>
        <w:tc>
          <w:tcPr>
            <w:tcW w:w="1680" w:type="dxa"/>
            <w:tcBorders>
              <w:top w:val="nil"/>
              <w:left w:val="nil"/>
              <w:bottom w:val="single" w:sz="4" w:space="0" w:color="auto"/>
              <w:right w:val="single" w:sz="4" w:space="0" w:color="auto"/>
            </w:tcBorders>
            <w:shd w:val="clear" w:color="auto" w:fill="C6EFCE"/>
            <w:noWrap/>
            <w:vAlign w:val="center"/>
            <w:hideMark/>
          </w:tcPr>
          <w:p w14:paraId="6D3DF906"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7D8753D0"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 xml:space="preserve">Dokončenie hospodárskej </w:t>
            </w:r>
            <w:r w:rsidRPr="00083739">
              <w:rPr>
                <w:rFonts w:cs="Times New Roman"/>
                <w:noProof/>
                <w:lang w:val="sk-SK"/>
              </w:rPr>
              <w:t>transformácie poľnohospodárstva</w:t>
            </w:r>
          </w:p>
        </w:tc>
      </w:tr>
      <w:tr w:rsidR="002D49B0" w:rsidRPr="00083739" w14:paraId="02723968"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69EE9FAD"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315</w:t>
            </w:r>
          </w:p>
        </w:tc>
        <w:tc>
          <w:tcPr>
            <w:tcW w:w="4320" w:type="dxa"/>
            <w:tcBorders>
              <w:top w:val="nil"/>
              <w:left w:val="nil"/>
              <w:bottom w:val="single" w:sz="4" w:space="0" w:color="auto"/>
              <w:right w:val="single" w:sz="4" w:space="0" w:color="auto"/>
            </w:tcBorders>
            <w:shd w:val="clear" w:color="auto" w:fill="C6EFCE"/>
            <w:noWrap/>
            <w:vAlign w:val="center"/>
            <w:hideMark/>
          </w:tcPr>
          <w:p w14:paraId="0270A3B1" w14:textId="6D9361EF"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17 – 4.6. Modernizácia</w:t>
            </w:r>
            <w:r w:rsidR="00083739" w:rsidRPr="00083739">
              <w:rPr>
                <w:rFonts w:cs="Times New Roman"/>
                <w:noProof/>
                <w:lang w:val="sk-SK"/>
              </w:rPr>
              <w:t xml:space="preserve"> a </w:t>
            </w:r>
            <w:r w:rsidRPr="00083739">
              <w:rPr>
                <w:rFonts w:cs="Times New Roman"/>
                <w:noProof/>
                <w:lang w:val="sk-SK"/>
              </w:rPr>
              <w:t>zlepšenie odolnosti kľúčových hospodárskych odvetví – 16584_Návrhy opatrení</w:t>
            </w:r>
            <w:r w:rsidR="00083739" w:rsidRPr="00083739">
              <w:rPr>
                <w:rFonts w:cs="Times New Roman"/>
                <w:noProof/>
                <w:lang w:val="sk-SK"/>
              </w:rPr>
              <w:t xml:space="preserve"> v </w:t>
            </w:r>
            <w:r w:rsidRPr="00083739">
              <w:rPr>
                <w:rFonts w:cs="Times New Roman"/>
                <w:noProof/>
                <w:lang w:val="sk-SK"/>
              </w:rPr>
              <w:t>odvetví akvakultúry</w:t>
            </w:r>
          </w:p>
        </w:tc>
        <w:tc>
          <w:tcPr>
            <w:tcW w:w="1680" w:type="dxa"/>
            <w:tcBorders>
              <w:top w:val="nil"/>
              <w:left w:val="nil"/>
              <w:bottom w:val="single" w:sz="4" w:space="0" w:color="auto"/>
              <w:right w:val="single" w:sz="4" w:space="0" w:color="auto"/>
            </w:tcBorders>
            <w:shd w:val="clear" w:color="auto" w:fill="C6EFCE"/>
            <w:noWrap/>
            <w:vAlign w:val="center"/>
            <w:hideMark/>
          </w:tcPr>
          <w:p w14:paraId="364469BC"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7999201F"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Dokončená akvakultúra</w:t>
            </w:r>
          </w:p>
        </w:tc>
      </w:tr>
      <w:tr w:rsidR="002D49B0" w:rsidRPr="00083739" w14:paraId="2BB7892C"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7310ECDF"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316</w:t>
            </w:r>
          </w:p>
        </w:tc>
        <w:tc>
          <w:tcPr>
            <w:tcW w:w="4320" w:type="dxa"/>
            <w:tcBorders>
              <w:top w:val="nil"/>
              <w:left w:val="nil"/>
              <w:bottom w:val="single" w:sz="4" w:space="0" w:color="auto"/>
              <w:right w:val="single" w:sz="4" w:space="0" w:color="auto"/>
            </w:tcBorders>
            <w:shd w:val="clear" w:color="auto" w:fill="C6EFCE"/>
            <w:noWrap/>
            <w:vAlign w:val="center"/>
            <w:hideMark/>
          </w:tcPr>
          <w:p w14:paraId="6B5C19A7" w14:textId="6D865DEE"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 xml:space="preserve">4 – 1.4. Udržateľné využívanie zdrojov, odolnosť proti zmene </w:t>
            </w:r>
            <w:r w:rsidRPr="00083739">
              <w:rPr>
                <w:rFonts w:cs="Times New Roman"/>
                <w:noProof/>
                <w:lang w:val="sk-SK"/>
              </w:rPr>
              <w:t>klímy</w:t>
            </w:r>
            <w:r w:rsidR="00083739" w:rsidRPr="00083739">
              <w:rPr>
                <w:rFonts w:cs="Times New Roman"/>
                <w:noProof/>
                <w:lang w:val="sk-SK"/>
              </w:rPr>
              <w:t xml:space="preserve"> a </w:t>
            </w:r>
            <w:r w:rsidRPr="00083739">
              <w:rPr>
                <w:rFonts w:cs="Times New Roman"/>
                <w:noProof/>
                <w:lang w:val="sk-SK"/>
              </w:rPr>
              <w:t>ochrana životného prostredia – 16285_Investície do vnútroštátnej zavlažovacej siete prostredníctvom systémov PPP</w:t>
            </w:r>
          </w:p>
        </w:tc>
        <w:tc>
          <w:tcPr>
            <w:tcW w:w="1680" w:type="dxa"/>
            <w:tcBorders>
              <w:top w:val="nil"/>
              <w:left w:val="nil"/>
              <w:bottom w:val="single" w:sz="4" w:space="0" w:color="auto"/>
              <w:right w:val="single" w:sz="4" w:space="0" w:color="auto"/>
            </w:tcBorders>
            <w:shd w:val="clear" w:color="auto" w:fill="C6EFCE"/>
            <w:noWrap/>
            <w:vAlign w:val="center"/>
            <w:hideMark/>
          </w:tcPr>
          <w:p w14:paraId="47510923"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0AD86C18"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Dokončenie zavlažovania</w:t>
            </w:r>
          </w:p>
        </w:tc>
      </w:tr>
      <w:tr w:rsidR="002D49B0" w:rsidRPr="00083739" w14:paraId="0F772915"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3B161628"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319</w:t>
            </w:r>
          </w:p>
        </w:tc>
        <w:tc>
          <w:tcPr>
            <w:tcW w:w="4320" w:type="dxa"/>
            <w:tcBorders>
              <w:top w:val="nil"/>
              <w:left w:val="nil"/>
              <w:bottom w:val="single" w:sz="4" w:space="0" w:color="auto"/>
              <w:right w:val="single" w:sz="4" w:space="0" w:color="auto"/>
            </w:tcBorders>
            <w:shd w:val="clear" w:color="auto" w:fill="C6EFCE"/>
            <w:noWrap/>
            <w:vAlign w:val="center"/>
            <w:hideMark/>
          </w:tcPr>
          <w:p w14:paraId="595CC6B6" w14:textId="2D090AD0"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18 – 4.7. Zlepšenie konkurencieschopnosti</w:t>
            </w:r>
            <w:r w:rsidR="00083739" w:rsidRPr="00083739">
              <w:rPr>
                <w:rFonts w:cs="Times New Roman"/>
                <w:noProof/>
                <w:lang w:val="sk-SK"/>
              </w:rPr>
              <w:t xml:space="preserve"> a </w:t>
            </w:r>
            <w:r w:rsidRPr="00083739">
              <w:rPr>
                <w:rFonts w:cs="Times New Roman"/>
                <w:noProof/>
                <w:lang w:val="sk-SK"/>
              </w:rPr>
              <w:t>podpora súkromných investícií</w:t>
            </w:r>
            <w:r w:rsidR="00083739" w:rsidRPr="00083739">
              <w:rPr>
                <w:rFonts w:cs="Times New Roman"/>
                <w:noProof/>
                <w:lang w:val="sk-SK"/>
              </w:rPr>
              <w:t xml:space="preserve"> a </w:t>
            </w:r>
            <w:r w:rsidRPr="00083739">
              <w:rPr>
                <w:rFonts w:cs="Times New Roman"/>
                <w:noProof/>
                <w:lang w:val="sk-SK"/>
              </w:rPr>
              <w:t xml:space="preserve">vývozu – </w:t>
            </w:r>
            <w:r w:rsidRPr="00083739">
              <w:rPr>
                <w:rFonts w:cs="Times New Roman"/>
                <w:noProof/>
                <w:lang w:val="sk-SK"/>
              </w:rPr>
              <w:t>16543_Opatrenia na zjednodušenie podnikateľského prostredia</w:t>
            </w:r>
            <w:r w:rsidR="00083739" w:rsidRPr="00083739">
              <w:rPr>
                <w:rFonts w:cs="Times New Roman"/>
                <w:noProof/>
                <w:lang w:val="sk-SK"/>
              </w:rPr>
              <w:t xml:space="preserve"> a </w:t>
            </w:r>
            <w:r w:rsidRPr="00083739">
              <w:rPr>
                <w:rFonts w:cs="Times New Roman"/>
                <w:noProof/>
                <w:lang w:val="sk-SK"/>
              </w:rPr>
              <w:t>zlepšenie jeho kvality</w:t>
            </w:r>
            <w:r w:rsidR="00083739" w:rsidRPr="00083739">
              <w:rPr>
                <w:rFonts w:cs="Times New Roman"/>
                <w:noProof/>
                <w:lang w:val="sk-SK"/>
              </w:rPr>
              <w:t xml:space="preserve"> a </w:t>
            </w:r>
            <w:r w:rsidRPr="00083739">
              <w:rPr>
                <w:rFonts w:cs="Times New Roman"/>
                <w:noProof/>
                <w:lang w:val="sk-SK"/>
              </w:rPr>
              <w:t>bezpečnosti</w:t>
            </w:r>
          </w:p>
        </w:tc>
        <w:tc>
          <w:tcPr>
            <w:tcW w:w="1680" w:type="dxa"/>
            <w:tcBorders>
              <w:top w:val="nil"/>
              <w:left w:val="nil"/>
              <w:bottom w:val="single" w:sz="4" w:space="0" w:color="auto"/>
              <w:right w:val="single" w:sz="4" w:space="0" w:color="auto"/>
            </w:tcBorders>
            <w:shd w:val="clear" w:color="auto" w:fill="C6EFCE"/>
            <w:noWrap/>
            <w:vAlign w:val="center"/>
            <w:hideMark/>
          </w:tcPr>
          <w:p w14:paraId="57400736"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4E618D51" w14:textId="7CCC8034"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Zlepšenie podnikateľského prostredia – udeľovanie licencií na zjednodušenie</w:t>
            </w:r>
            <w:r w:rsidR="00083739" w:rsidRPr="00083739">
              <w:rPr>
                <w:rFonts w:cs="Times New Roman"/>
                <w:noProof/>
                <w:lang w:val="sk-SK"/>
              </w:rPr>
              <w:t xml:space="preserve"> a </w:t>
            </w:r>
            <w:r w:rsidRPr="00083739">
              <w:rPr>
                <w:rFonts w:cs="Times New Roman"/>
                <w:noProof/>
                <w:lang w:val="sk-SK"/>
              </w:rPr>
              <w:t>dohľad nad trhom</w:t>
            </w:r>
          </w:p>
        </w:tc>
      </w:tr>
      <w:tr w:rsidR="002D49B0" w:rsidRPr="00083739" w14:paraId="1A7D2280"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696FB722"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259</w:t>
            </w:r>
          </w:p>
        </w:tc>
        <w:tc>
          <w:tcPr>
            <w:tcW w:w="4320" w:type="dxa"/>
            <w:tcBorders>
              <w:top w:val="nil"/>
              <w:left w:val="nil"/>
              <w:bottom w:val="single" w:sz="4" w:space="0" w:color="auto"/>
              <w:right w:val="single" w:sz="4" w:space="0" w:color="auto"/>
            </w:tcBorders>
            <w:shd w:val="clear" w:color="auto" w:fill="C6EFCE"/>
            <w:noWrap/>
            <w:vAlign w:val="center"/>
            <w:hideMark/>
          </w:tcPr>
          <w:p w14:paraId="7DD18F81" w14:textId="006BB70D"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 17 – 4.6. Modernizácia</w:t>
            </w:r>
            <w:r w:rsidR="00083739" w:rsidRPr="00083739">
              <w:rPr>
                <w:rFonts w:cs="Times New Roman"/>
                <w:noProof/>
                <w:lang w:val="sk-SK"/>
              </w:rPr>
              <w:t xml:space="preserve"> a </w:t>
            </w:r>
            <w:r w:rsidRPr="00083739">
              <w:rPr>
                <w:rFonts w:cs="Times New Roman"/>
                <w:noProof/>
                <w:lang w:val="sk-SK"/>
              </w:rPr>
              <w:t>zlepšenie odolnosti kľúč</w:t>
            </w:r>
            <w:r w:rsidRPr="00083739">
              <w:rPr>
                <w:rFonts w:cs="Times New Roman"/>
                <w:noProof/>
                <w:lang w:val="sk-SK"/>
              </w:rPr>
              <w:t>ových hospodárskych odvetví – 16631_modernizácia bezpečnosti cestnej premávky</w:t>
            </w:r>
          </w:p>
        </w:tc>
        <w:tc>
          <w:tcPr>
            <w:tcW w:w="1680" w:type="dxa"/>
            <w:tcBorders>
              <w:top w:val="nil"/>
              <w:left w:val="nil"/>
              <w:bottom w:val="single" w:sz="4" w:space="0" w:color="auto"/>
              <w:right w:val="single" w:sz="4" w:space="0" w:color="auto"/>
            </w:tcBorders>
            <w:shd w:val="clear" w:color="auto" w:fill="C6EFCE"/>
            <w:noWrap/>
            <w:vAlign w:val="center"/>
            <w:hideMark/>
          </w:tcPr>
          <w:p w14:paraId="6B7B473D"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7368E744"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Dokončenie projektu bezpečnosti cestnej premávky</w:t>
            </w:r>
          </w:p>
        </w:tc>
      </w:tr>
      <w:tr w:rsidR="002D49B0" w:rsidRPr="00083739" w14:paraId="0D2501ED"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4DA159A6"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346</w:t>
            </w:r>
          </w:p>
        </w:tc>
        <w:tc>
          <w:tcPr>
            <w:tcW w:w="4320" w:type="dxa"/>
            <w:tcBorders>
              <w:top w:val="nil"/>
              <w:left w:val="nil"/>
              <w:bottom w:val="single" w:sz="4" w:space="0" w:color="auto"/>
              <w:right w:val="single" w:sz="4" w:space="0" w:color="auto"/>
            </w:tcBorders>
            <w:shd w:val="clear" w:color="auto" w:fill="C6EFCE"/>
            <w:noWrap/>
            <w:vAlign w:val="center"/>
            <w:hideMark/>
          </w:tcPr>
          <w:p w14:paraId="41F90448" w14:textId="7FAA13D8"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16 – 4.5. Podpora výskumu</w:t>
            </w:r>
            <w:r w:rsidR="00083739" w:rsidRPr="00083739">
              <w:rPr>
                <w:rFonts w:cs="Times New Roman"/>
                <w:noProof/>
                <w:lang w:val="sk-SK"/>
              </w:rPr>
              <w:t xml:space="preserve"> a </w:t>
            </w:r>
            <w:r w:rsidRPr="00083739">
              <w:rPr>
                <w:rFonts w:cs="Times New Roman"/>
                <w:noProof/>
                <w:lang w:val="sk-SK"/>
              </w:rPr>
              <w:t xml:space="preserve">inovácií – 16622_HORIZON 2020 „Známka excelentnosti“: financovanie špičkových inovačných </w:t>
            </w:r>
            <w:r w:rsidRPr="00083739">
              <w:rPr>
                <w:rFonts w:cs="Times New Roman"/>
                <w:noProof/>
                <w:lang w:val="sk-SK"/>
              </w:rPr>
              <w:t>spoločností</w:t>
            </w:r>
          </w:p>
        </w:tc>
        <w:tc>
          <w:tcPr>
            <w:tcW w:w="1680" w:type="dxa"/>
            <w:tcBorders>
              <w:top w:val="nil"/>
              <w:left w:val="nil"/>
              <w:bottom w:val="single" w:sz="4" w:space="0" w:color="auto"/>
              <w:right w:val="single" w:sz="4" w:space="0" w:color="auto"/>
            </w:tcBorders>
            <w:shd w:val="clear" w:color="auto" w:fill="C6EFCE"/>
            <w:noWrap/>
            <w:vAlign w:val="center"/>
            <w:hideMark/>
          </w:tcPr>
          <w:p w14:paraId="092602DF"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1248C7C8" w14:textId="2F22F4DF"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Dokončenie projektov realizovaných malými</w:t>
            </w:r>
            <w:r w:rsidR="00083739" w:rsidRPr="00083739">
              <w:rPr>
                <w:rFonts w:cs="Times New Roman"/>
                <w:noProof/>
                <w:lang w:val="sk-SK"/>
              </w:rPr>
              <w:t xml:space="preserve"> a </w:t>
            </w:r>
            <w:r w:rsidRPr="00083739">
              <w:rPr>
                <w:rFonts w:cs="Times New Roman"/>
                <w:noProof/>
                <w:lang w:val="sk-SK"/>
              </w:rPr>
              <w:t>strednými podnikmi</w:t>
            </w:r>
          </w:p>
        </w:tc>
      </w:tr>
      <w:tr w:rsidR="002D49B0" w:rsidRPr="00083739" w14:paraId="02B35A03"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5FC79266"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349</w:t>
            </w:r>
          </w:p>
        </w:tc>
        <w:tc>
          <w:tcPr>
            <w:tcW w:w="4320" w:type="dxa"/>
            <w:tcBorders>
              <w:top w:val="nil"/>
              <w:left w:val="nil"/>
              <w:bottom w:val="single" w:sz="4" w:space="0" w:color="auto"/>
              <w:right w:val="single" w:sz="4" w:space="0" w:color="auto"/>
            </w:tcBorders>
            <w:shd w:val="clear" w:color="auto" w:fill="C6EFCE"/>
            <w:noWrap/>
            <w:vAlign w:val="center"/>
            <w:hideMark/>
          </w:tcPr>
          <w:p w14:paraId="064840D4" w14:textId="34BB2F9A"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4.6. Modernizácia</w:t>
            </w:r>
            <w:r w:rsidR="00083739" w:rsidRPr="00083739">
              <w:rPr>
                <w:rFonts w:cs="Times New Roman"/>
                <w:noProof/>
                <w:lang w:val="sk-SK"/>
              </w:rPr>
              <w:t xml:space="preserve"> a </w:t>
            </w:r>
            <w:r w:rsidRPr="00083739">
              <w:rPr>
                <w:rFonts w:cs="Times New Roman"/>
                <w:noProof/>
                <w:lang w:val="sk-SK"/>
              </w:rPr>
              <w:t>zlepšenie odolnosti kľúčových hospodárskych odvetví – 16999_Obnova prístupnosti po ničivých účinkoch búrky „DANIEL“</w:t>
            </w:r>
          </w:p>
        </w:tc>
        <w:tc>
          <w:tcPr>
            <w:tcW w:w="1680" w:type="dxa"/>
            <w:tcBorders>
              <w:top w:val="nil"/>
              <w:left w:val="nil"/>
              <w:bottom w:val="single" w:sz="4" w:space="0" w:color="auto"/>
              <w:right w:val="single" w:sz="4" w:space="0" w:color="auto"/>
            </w:tcBorders>
            <w:shd w:val="clear" w:color="auto" w:fill="C6EFCE"/>
            <w:noWrap/>
            <w:vAlign w:val="center"/>
            <w:hideMark/>
          </w:tcPr>
          <w:p w14:paraId="1CEBBC77"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1AA9E498"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 xml:space="preserve">Dokončené projekty obnovy </w:t>
            </w:r>
            <w:r w:rsidRPr="00083739">
              <w:rPr>
                <w:rFonts w:cs="Times New Roman"/>
                <w:noProof/>
                <w:lang w:val="sk-SK"/>
              </w:rPr>
              <w:t>ciest</w:t>
            </w:r>
          </w:p>
        </w:tc>
      </w:tr>
      <w:tr w:rsidR="002D49B0" w:rsidRPr="00083739" w14:paraId="2CE4FB1A" w14:textId="77777777">
        <w:trPr>
          <w:trHeight w:val="302"/>
        </w:trPr>
        <w:tc>
          <w:tcPr>
            <w:tcW w:w="1795" w:type="dxa"/>
            <w:tcBorders>
              <w:top w:val="nil"/>
              <w:left w:val="single" w:sz="4" w:space="0" w:color="auto"/>
              <w:bottom w:val="single" w:sz="4" w:space="0" w:color="auto"/>
              <w:right w:val="single" w:sz="4" w:space="0" w:color="auto"/>
            </w:tcBorders>
            <w:shd w:val="clear" w:color="auto" w:fill="C6EFCE"/>
            <w:noWrap/>
            <w:vAlign w:val="center"/>
            <w:hideMark/>
          </w:tcPr>
          <w:p w14:paraId="3590E0CF"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350</w:t>
            </w:r>
          </w:p>
        </w:tc>
        <w:tc>
          <w:tcPr>
            <w:tcW w:w="4320" w:type="dxa"/>
            <w:tcBorders>
              <w:top w:val="nil"/>
              <w:left w:val="nil"/>
              <w:bottom w:val="single" w:sz="4" w:space="0" w:color="auto"/>
              <w:right w:val="single" w:sz="4" w:space="0" w:color="auto"/>
            </w:tcBorders>
            <w:shd w:val="clear" w:color="auto" w:fill="C6EFCE"/>
            <w:noWrap/>
            <w:vAlign w:val="center"/>
            <w:hideMark/>
          </w:tcPr>
          <w:p w14:paraId="120D3621" w14:textId="7586F6E5"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4.6. Modernizácia</w:t>
            </w:r>
            <w:r w:rsidR="00083739" w:rsidRPr="00083739">
              <w:rPr>
                <w:rFonts w:cs="Times New Roman"/>
                <w:noProof/>
                <w:lang w:val="sk-SK"/>
              </w:rPr>
              <w:t xml:space="preserve"> a </w:t>
            </w:r>
            <w:r w:rsidRPr="00083739">
              <w:rPr>
                <w:rFonts w:cs="Times New Roman"/>
                <w:noProof/>
                <w:lang w:val="sk-SK"/>
              </w:rPr>
              <w:t>zlepšenie odolnosti kľúčových hospodárskych odvetví – 16999_Obnova prístupnosti po ničivých účinkoch búrky „DANIEL“</w:t>
            </w:r>
          </w:p>
        </w:tc>
        <w:tc>
          <w:tcPr>
            <w:tcW w:w="1680" w:type="dxa"/>
            <w:tcBorders>
              <w:top w:val="nil"/>
              <w:left w:val="nil"/>
              <w:bottom w:val="single" w:sz="4" w:space="0" w:color="auto"/>
              <w:right w:val="single" w:sz="4" w:space="0" w:color="auto"/>
            </w:tcBorders>
            <w:shd w:val="clear" w:color="auto" w:fill="C6EFCE"/>
            <w:noWrap/>
            <w:vAlign w:val="center"/>
            <w:hideMark/>
          </w:tcPr>
          <w:p w14:paraId="1FE23AB3"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Míľnik</w:t>
            </w:r>
          </w:p>
        </w:tc>
        <w:tc>
          <w:tcPr>
            <w:tcW w:w="2280" w:type="dxa"/>
            <w:tcBorders>
              <w:top w:val="nil"/>
              <w:left w:val="nil"/>
              <w:bottom w:val="single" w:sz="4" w:space="0" w:color="auto"/>
              <w:right w:val="single" w:sz="4" w:space="0" w:color="auto"/>
            </w:tcBorders>
            <w:shd w:val="clear" w:color="auto" w:fill="C6EFCE"/>
            <w:noWrap/>
            <w:vAlign w:val="center"/>
            <w:hideMark/>
          </w:tcPr>
          <w:p w14:paraId="44F2AD09"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Dokončené projekty obnovy železníc</w:t>
            </w:r>
          </w:p>
        </w:tc>
      </w:tr>
      <w:tr w:rsidR="002D49B0" w:rsidRPr="00083739" w14:paraId="46AA4709" w14:textId="77777777">
        <w:trPr>
          <w:trHeight w:val="302"/>
        </w:trPr>
        <w:tc>
          <w:tcPr>
            <w:tcW w:w="1795" w:type="dxa"/>
            <w:tcBorders>
              <w:top w:val="single" w:sz="4" w:space="0" w:color="auto"/>
              <w:left w:val="single" w:sz="4" w:space="0" w:color="auto"/>
              <w:bottom w:val="single" w:sz="4" w:space="0" w:color="auto"/>
              <w:right w:val="single" w:sz="4" w:space="0" w:color="auto"/>
            </w:tcBorders>
            <w:shd w:val="clear" w:color="auto" w:fill="C6EFCE"/>
            <w:noWrap/>
            <w:hideMark/>
          </w:tcPr>
          <w:p w14:paraId="6781DD33" w14:textId="77777777" w:rsidR="002D49B0" w:rsidRPr="00083739" w:rsidRDefault="00BF4125">
            <w:pPr>
              <w:pStyle w:val="P68B1DB1-Normal8"/>
              <w:keepNext/>
              <w:spacing w:before="40" w:after="0" w:line="256" w:lineRule="auto"/>
              <w:jc w:val="both"/>
              <w:rPr>
                <w:rFonts w:eastAsia="Times New Roman" w:cs="Times New Roman"/>
                <w:bCs/>
                <w:noProof/>
                <w:szCs w:val="18"/>
                <w:lang w:val="sk-SK"/>
              </w:rPr>
            </w:pPr>
            <w:r w:rsidRPr="00083739">
              <w:rPr>
                <w:rFonts w:cs="Times New Roman"/>
                <w:noProof/>
                <w:lang w:val="sk-SK"/>
              </w:rPr>
              <w:t>360</w:t>
            </w:r>
          </w:p>
        </w:tc>
        <w:tc>
          <w:tcPr>
            <w:tcW w:w="4320" w:type="dxa"/>
            <w:tcBorders>
              <w:top w:val="single" w:sz="4" w:space="0" w:color="auto"/>
              <w:left w:val="nil"/>
              <w:bottom w:val="single" w:sz="4" w:space="0" w:color="auto"/>
              <w:right w:val="single" w:sz="4" w:space="0" w:color="auto"/>
            </w:tcBorders>
            <w:shd w:val="clear" w:color="auto" w:fill="C6EFCE"/>
            <w:noWrap/>
            <w:hideMark/>
          </w:tcPr>
          <w:p w14:paraId="7C0FD5AD" w14:textId="794D6569" w:rsidR="002D49B0" w:rsidRPr="00083739" w:rsidRDefault="00BF4125">
            <w:pPr>
              <w:pStyle w:val="P68B1DB1-Normal8"/>
              <w:keepNext/>
              <w:spacing w:before="40" w:after="0" w:line="256" w:lineRule="auto"/>
              <w:jc w:val="both"/>
              <w:rPr>
                <w:rFonts w:eastAsia="Times New Roman" w:cs="Times New Roman"/>
                <w:bCs/>
                <w:noProof/>
                <w:szCs w:val="18"/>
                <w:lang w:val="sk-SK"/>
              </w:rPr>
            </w:pPr>
            <w:r w:rsidRPr="00083739">
              <w:rPr>
                <w:rFonts w:cs="Times New Roman"/>
                <w:noProof/>
                <w:lang w:val="sk-SK"/>
              </w:rPr>
              <w:t>20 – 5.1. Reformy REPowerEU – 16991_Regulačný rámec smerom</w:t>
            </w:r>
            <w:r w:rsidR="00083739" w:rsidRPr="00083739">
              <w:rPr>
                <w:rFonts w:cs="Times New Roman"/>
                <w:noProof/>
                <w:lang w:val="sk-SK"/>
              </w:rPr>
              <w:t xml:space="preserve"> k </w:t>
            </w:r>
            <w:r w:rsidRPr="00083739">
              <w:rPr>
                <w:rFonts w:cs="Times New Roman"/>
                <w:noProof/>
                <w:lang w:val="sk-SK"/>
              </w:rPr>
              <w:t>inteligentnej sieti</w:t>
            </w:r>
          </w:p>
        </w:tc>
        <w:tc>
          <w:tcPr>
            <w:tcW w:w="1680" w:type="dxa"/>
            <w:tcBorders>
              <w:top w:val="single" w:sz="4" w:space="0" w:color="auto"/>
              <w:left w:val="nil"/>
              <w:bottom w:val="single" w:sz="4" w:space="0" w:color="auto"/>
              <w:right w:val="single" w:sz="4" w:space="0" w:color="auto"/>
            </w:tcBorders>
            <w:shd w:val="clear" w:color="auto" w:fill="C6EFCE"/>
            <w:noWrap/>
            <w:hideMark/>
          </w:tcPr>
          <w:p w14:paraId="06853A1F" w14:textId="77777777" w:rsidR="002D49B0" w:rsidRPr="00083739" w:rsidRDefault="00BF4125">
            <w:pPr>
              <w:pStyle w:val="P68B1DB1-Normal8"/>
              <w:keepNext/>
              <w:spacing w:before="40" w:after="0" w:line="256" w:lineRule="auto"/>
              <w:jc w:val="both"/>
              <w:rPr>
                <w:rFonts w:eastAsia="Times New Roman" w:cs="Times New Roman"/>
                <w:noProof/>
                <w:szCs w:val="18"/>
                <w:lang w:val="sk-SK"/>
              </w:rPr>
            </w:pPr>
            <w:r w:rsidRPr="00083739">
              <w:rPr>
                <w:rFonts w:cs="Times New Roman"/>
                <w:noProof/>
                <w:lang w:val="sk-SK"/>
              </w:rPr>
              <w:t>Míľnik</w:t>
            </w:r>
          </w:p>
        </w:tc>
        <w:tc>
          <w:tcPr>
            <w:tcW w:w="2280" w:type="dxa"/>
            <w:tcBorders>
              <w:top w:val="single" w:sz="4" w:space="0" w:color="auto"/>
              <w:left w:val="nil"/>
              <w:bottom w:val="single" w:sz="4" w:space="0" w:color="auto"/>
              <w:right w:val="single" w:sz="4" w:space="0" w:color="auto"/>
            </w:tcBorders>
            <w:shd w:val="clear" w:color="auto" w:fill="C6EFCE"/>
            <w:noWrap/>
            <w:hideMark/>
          </w:tcPr>
          <w:p w14:paraId="40137CDF" w14:textId="77777777" w:rsidR="002D49B0" w:rsidRPr="00083739" w:rsidRDefault="00BF4125">
            <w:pPr>
              <w:pStyle w:val="P68B1DB1-Normal8"/>
              <w:keepNext/>
              <w:spacing w:before="40" w:after="0" w:line="256" w:lineRule="auto"/>
              <w:jc w:val="both"/>
              <w:rPr>
                <w:rFonts w:eastAsia="Times New Roman" w:cs="Times New Roman"/>
                <w:noProof/>
                <w:szCs w:val="18"/>
                <w:lang w:val="sk-SK"/>
              </w:rPr>
            </w:pPr>
            <w:r w:rsidRPr="00083739">
              <w:rPr>
                <w:rFonts w:cs="Times New Roman"/>
                <w:noProof/>
                <w:lang w:val="sk-SK"/>
              </w:rPr>
              <w:t>Rozvoj kontrolného centra prevádzkovateľa distribučnej sústavy</w:t>
            </w:r>
          </w:p>
        </w:tc>
      </w:tr>
      <w:tr w:rsidR="002D49B0" w:rsidRPr="00083739" w14:paraId="1E40AA15" w14:textId="77777777">
        <w:trPr>
          <w:trHeight w:val="302"/>
        </w:trPr>
        <w:tc>
          <w:tcPr>
            <w:tcW w:w="1795" w:type="dxa"/>
            <w:tcBorders>
              <w:top w:val="single" w:sz="4" w:space="0" w:color="auto"/>
              <w:left w:val="single" w:sz="4" w:space="0" w:color="auto"/>
              <w:bottom w:val="single" w:sz="4" w:space="0" w:color="auto"/>
              <w:right w:val="single" w:sz="4" w:space="0" w:color="auto"/>
            </w:tcBorders>
            <w:shd w:val="clear" w:color="auto" w:fill="C6EFCE"/>
            <w:noWrap/>
            <w:hideMark/>
          </w:tcPr>
          <w:p w14:paraId="0D73FDD0" w14:textId="77777777" w:rsidR="002D49B0" w:rsidRPr="00083739" w:rsidRDefault="00BF4125">
            <w:pPr>
              <w:pStyle w:val="P68B1DB1-Normal8"/>
              <w:keepNext/>
              <w:spacing w:before="40" w:after="0" w:line="256" w:lineRule="auto"/>
              <w:jc w:val="both"/>
              <w:rPr>
                <w:rFonts w:eastAsia="Times New Roman" w:cs="Times New Roman"/>
                <w:bCs/>
                <w:noProof/>
                <w:szCs w:val="18"/>
                <w:lang w:val="sk-SK"/>
              </w:rPr>
            </w:pPr>
            <w:r w:rsidRPr="00083739">
              <w:rPr>
                <w:rFonts w:cs="Times New Roman"/>
                <w:noProof/>
                <w:lang w:val="sk-SK"/>
              </w:rPr>
              <w:t>366</w:t>
            </w:r>
          </w:p>
        </w:tc>
        <w:tc>
          <w:tcPr>
            <w:tcW w:w="4320" w:type="dxa"/>
            <w:tcBorders>
              <w:top w:val="single" w:sz="4" w:space="0" w:color="auto"/>
              <w:left w:val="nil"/>
              <w:bottom w:val="single" w:sz="4" w:space="0" w:color="auto"/>
              <w:right w:val="single" w:sz="4" w:space="0" w:color="auto"/>
            </w:tcBorders>
            <w:shd w:val="clear" w:color="auto" w:fill="C6EFCE"/>
            <w:noWrap/>
            <w:hideMark/>
          </w:tcPr>
          <w:p w14:paraId="35DCCA5D" w14:textId="77777777" w:rsidR="002D49B0" w:rsidRPr="00083739" w:rsidRDefault="00BF4125">
            <w:pPr>
              <w:pStyle w:val="P68B1DB1-Normal8"/>
              <w:keepNext/>
              <w:spacing w:before="40" w:after="0" w:line="256" w:lineRule="auto"/>
              <w:jc w:val="both"/>
              <w:rPr>
                <w:rFonts w:eastAsia="Times New Roman" w:cs="Times New Roman"/>
                <w:bCs/>
                <w:noProof/>
                <w:szCs w:val="18"/>
                <w:lang w:val="sk-SK"/>
              </w:rPr>
            </w:pPr>
            <w:r w:rsidRPr="00083739">
              <w:rPr>
                <w:rFonts w:cs="Times New Roman"/>
                <w:noProof/>
                <w:lang w:val="sk-SK"/>
              </w:rPr>
              <w:t>21 – 5.2 Investície REPowerEU – 16996_Inštalácia uskladňovania energie na účely ďalšieho rozšírenia obnoviteľných zdrojov energie</w:t>
            </w:r>
          </w:p>
        </w:tc>
        <w:tc>
          <w:tcPr>
            <w:tcW w:w="1680" w:type="dxa"/>
            <w:tcBorders>
              <w:top w:val="single" w:sz="4" w:space="0" w:color="auto"/>
              <w:left w:val="nil"/>
              <w:bottom w:val="single" w:sz="4" w:space="0" w:color="auto"/>
              <w:right w:val="single" w:sz="4" w:space="0" w:color="auto"/>
            </w:tcBorders>
            <w:shd w:val="clear" w:color="auto" w:fill="C6EFCE"/>
            <w:noWrap/>
            <w:hideMark/>
          </w:tcPr>
          <w:p w14:paraId="724C154B" w14:textId="77777777" w:rsidR="002D49B0" w:rsidRPr="00083739" w:rsidRDefault="00BF4125">
            <w:pPr>
              <w:pStyle w:val="P68B1DB1-Normal8"/>
              <w:keepNext/>
              <w:spacing w:before="40" w:after="0" w:line="256" w:lineRule="auto"/>
              <w:jc w:val="both"/>
              <w:rPr>
                <w:rFonts w:eastAsia="Times New Roman" w:cs="Times New Roman"/>
                <w:noProof/>
                <w:szCs w:val="18"/>
                <w:lang w:val="sk-SK"/>
              </w:rPr>
            </w:pPr>
            <w:r w:rsidRPr="00083739">
              <w:rPr>
                <w:rFonts w:cs="Times New Roman"/>
                <w:noProof/>
                <w:lang w:val="sk-SK"/>
              </w:rPr>
              <w:t>Míľnik</w:t>
            </w:r>
          </w:p>
        </w:tc>
        <w:tc>
          <w:tcPr>
            <w:tcW w:w="2280" w:type="dxa"/>
            <w:tcBorders>
              <w:top w:val="single" w:sz="4" w:space="0" w:color="auto"/>
              <w:left w:val="nil"/>
              <w:bottom w:val="single" w:sz="4" w:space="0" w:color="auto"/>
              <w:right w:val="single" w:sz="4" w:space="0" w:color="auto"/>
            </w:tcBorders>
            <w:shd w:val="clear" w:color="auto" w:fill="C6EFCE"/>
            <w:noWrap/>
            <w:hideMark/>
          </w:tcPr>
          <w:p w14:paraId="6BD9D155" w14:textId="647E0D5E" w:rsidR="002D49B0" w:rsidRPr="00083739" w:rsidRDefault="00BF4125">
            <w:pPr>
              <w:pStyle w:val="P68B1DB1-Normal8"/>
              <w:keepNext/>
              <w:spacing w:before="40" w:after="0" w:line="256" w:lineRule="auto"/>
              <w:jc w:val="both"/>
              <w:rPr>
                <w:rFonts w:eastAsia="Times New Roman" w:cs="Times New Roman"/>
                <w:noProof/>
                <w:szCs w:val="18"/>
                <w:lang w:val="sk-SK"/>
              </w:rPr>
            </w:pPr>
            <w:r w:rsidRPr="00083739">
              <w:rPr>
                <w:rFonts w:cs="Times New Roman"/>
                <w:noProof/>
                <w:lang w:val="sk-SK"/>
              </w:rPr>
              <w:t xml:space="preserve">Dokončenie inštalácie </w:t>
            </w:r>
            <w:r w:rsidRPr="00083739">
              <w:rPr>
                <w:rFonts w:cs="Times New Roman"/>
                <w:noProof/>
                <w:lang w:val="sk-SK"/>
              </w:rPr>
              <w:t>skladov</w:t>
            </w:r>
          </w:p>
        </w:tc>
      </w:tr>
      <w:tr w:rsidR="002D49B0" w:rsidRPr="00083739" w14:paraId="5207ADD0" w14:textId="77777777">
        <w:trPr>
          <w:trHeight w:val="302"/>
        </w:trPr>
        <w:tc>
          <w:tcPr>
            <w:tcW w:w="1795" w:type="dxa"/>
            <w:tcBorders>
              <w:top w:val="single" w:sz="4" w:space="0" w:color="auto"/>
              <w:left w:val="single" w:sz="4" w:space="0" w:color="auto"/>
              <w:bottom w:val="single" w:sz="4" w:space="0" w:color="auto"/>
              <w:right w:val="single" w:sz="4" w:space="0" w:color="auto"/>
            </w:tcBorders>
            <w:shd w:val="clear" w:color="auto" w:fill="C6EFCE"/>
            <w:noWrap/>
            <w:hideMark/>
          </w:tcPr>
          <w:p w14:paraId="31C9B960" w14:textId="77777777" w:rsidR="002D49B0" w:rsidRPr="00083739" w:rsidRDefault="00BF4125">
            <w:pPr>
              <w:pStyle w:val="P68B1DB1-Normal8"/>
              <w:keepNext/>
              <w:spacing w:before="40" w:after="0" w:line="256" w:lineRule="auto"/>
              <w:jc w:val="both"/>
              <w:rPr>
                <w:rFonts w:eastAsia="Times New Roman" w:cs="Times New Roman"/>
                <w:bCs/>
                <w:noProof/>
                <w:szCs w:val="18"/>
                <w:lang w:val="sk-SK"/>
              </w:rPr>
            </w:pPr>
            <w:r w:rsidRPr="00083739">
              <w:rPr>
                <w:rFonts w:cs="Times New Roman"/>
                <w:noProof/>
                <w:lang w:val="sk-SK"/>
              </w:rPr>
              <w:t>369</w:t>
            </w:r>
          </w:p>
        </w:tc>
        <w:tc>
          <w:tcPr>
            <w:tcW w:w="4320" w:type="dxa"/>
            <w:tcBorders>
              <w:top w:val="single" w:sz="4" w:space="0" w:color="auto"/>
              <w:left w:val="nil"/>
              <w:bottom w:val="single" w:sz="4" w:space="0" w:color="auto"/>
              <w:right w:val="single" w:sz="4" w:space="0" w:color="auto"/>
            </w:tcBorders>
            <w:shd w:val="clear" w:color="auto" w:fill="C6EFCE"/>
            <w:noWrap/>
            <w:hideMark/>
          </w:tcPr>
          <w:p w14:paraId="22D9783C" w14:textId="76BC3DDD" w:rsidR="002D49B0" w:rsidRPr="00083739" w:rsidRDefault="00BF4125">
            <w:pPr>
              <w:pStyle w:val="P68B1DB1-Normal8"/>
              <w:keepNext/>
              <w:spacing w:before="40" w:after="0" w:line="256" w:lineRule="auto"/>
              <w:jc w:val="both"/>
              <w:rPr>
                <w:rFonts w:eastAsia="Times New Roman" w:cs="Times New Roman"/>
                <w:bCs/>
                <w:noProof/>
                <w:szCs w:val="18"/>
                <w:lang w:val="sk-SK"/>
              </w:rPr>
            </w:pPr>
            <w:r w:rsidRPr="00083739">
              <w:rPr>
                <w:rFonts w:cs="Times New Roman"/>
                <w:noProof/>
                <w:lang w:val="sk-SK"/>
              </w:rPr>
              <w:t>21 – 5.2 Investície REPowerEU – 16994_Energetická efektívnosť</w:t>
            </w:r>
            <w:r w:rsidR="00083739" w:rsidRPr="00083739">
              <w:rPr>
                <w:rFonts w:cs="Times New Roman"/>
                <w:noProof/>
                <w:lang w:val="sk-SK"/>
              </w:rPr>
              <w:t xml:space="preserve"> a </w:t>
            </w:r>
            <w:r w:rsidRPr="00083739">
              <w:rPr>
                <w:rFonts w:cs="Times New Roman"/>
                <w:noProof/>
                <w:lang w:val="sk-SK"/>
              </w:rPr>
              <w:t>podpora OZE pre vlastnú spotrebu</w:t>
            </w:r>
          </w:p>
        </w:tc>
        <w:tc>
          <w:tcPr>
            <w:tcW w:w="1680" w:type="dxa"/>
            <w:tcBorders>
              <w:top w:val="single" w:sz="4" w:space="0" w:color="auto"/>
              <w:left w:val="nil"/>
              <w:bottom w:val="single" w:sz="4" w:space="0" w:color="auto"/>
              <w:right w:val="single" w:sz="4" w:space="0" w:color="auto"/>
            </w:tcBorders>
            <w:shd w:val="clear" w:color="auto" w:fill="C6EFCE"/>
            <w:noWrap/>
            <w:hideMark/>
          </w:tcPr>
          <w:p w14:paraId="0BE65FE8" w14:textId="77777777" w:rsidR="002D49B0" w:rsidRPr="00083739" w:rsidRDefault="00BF4125">
            <w:pPr>
              <w:pStyle w:val="P68B1DB1-Normal8"/>
              <w:keepNext/>
              <w:spacing w:before="40" w:after="0" w:line="256" w:lineRule="auto"/>
              <w:jc w:val="both"/>
              <w:rPr>
                <w:rFonts w:eastAsia="Times New Roman" w:cs="Times New Roman"/>
                <w:noProof/>
                <w:szCs w:val="18"/>
                <w:lang w:val="sk-SK"/>
              </w:rPr>
            </w:pPr>
            <w:r w:rsidRPr="00083739">
              <w:rPr>
                <w:rFonts w:cs="Times New Roman"/>
                <w:noProof/>
                <w:lang w:val="sk-SK"/>
              </w:rPr>
              <w:t>Cieľ</w:t>
            </w:r>
          </w:p>
        </w:tc>
        <w:tc>
          <w:tcPr>
            <w:tcW w:w="2280" w:type="dxa"/>
            <w:tcBorders>
              <w:top w:val="single" w:sz="4" w:space="0" w:color="auto"/>
              <w:left w:val="nil"/>
              <w:bottom w:val="single" w:sz="4" w:space="0" w:color="auto"/>
              <w:right w:val="single" w:sz="4" w:space="0" w:color="auto"/>
            </w:tcBorders>
            <w:shd w:val="clear" w:color="auto" w:fill="C6EFCE"/>
            <w:noWrap/>
            <w:hideMark/>
          </w:tcPr>
          <w:p w14:paraId="1FF9ED0C" w14:textId="23D4AFF5" w:rsidR="002D49B0" w:rsidRPr="00083739" w:rsidRDefault="00BF4125">
            <w:pPr>
              <w:pStyle w:val="P68B1DB1-Normal8"/>
              <w:keepNext/>
              <w:spacing w:before="40" w:after="0" w:line="256" w:lineRule="auto"/>
              <w:jc w:val="both"/>
              <w:rPr>
                <w:rFonts w:eastAsia="Times New Roman" w:cs="Times New Roman"/>
                <w:noProof/>
                <w:szCs w:val="18"/>
                <w:lang w:val="sk-SK"/>
              </w:rPr>
            </w:pPr>
            <w:r w:rsidRPr="00083739">
              <w:rPr>
                <w:rFonts w:cs="Times New Roman"/>
                <w:noProof/>
                <w:lang w:val="sk-SK"/>
              </w:rPr>
              <w:t>Dokončenie čiastkových investícií do obnovy zameranej na energetickú efektívnosť, solárnych ohrievačov vody</w:t>
            </w:r>
            <w:r w:rsidR="00083739" w:rsidRPr="00083739">
              <w:rPr>
                <w:rFonts w:cs="Times New Roman"/>
                <w:noProof/>
                <w:lang w:val="sk-SK"/>
              </w:rPr>
              <w:t xml:space="preserve"> a </w:t>
            </w:r>
            <w:r w:rsidRPr="00083739">
              <w:rPr>
                <w:rFonts w:cs="Times New Roman"/>
                <w:noProof/>
                <w:lang w:val="sk-SK"/>
              </w:rPr>
              <w:t>obecných vodohospodárskych</w:t>
            </w:r>
            <w:r w:rsidR="00083739" w:rsidRPr="00083739">
              <w:rPr>
                <w:rFonts w:cs="Times New Roman"/>
                <w:noProof/>
                <w:lang w:val="sk-SK"/>
              </w:rPr>
              <w:t xml:space="preserve"> a </w:t>
            </w:r>
            <w:r w:rsidRPr="00083739">
              <w:rPr>
                <w:rFonts w:cs="Times New Roman"/>
                <w:noProof/>
                <w:lang w:val="sk-SK"/>
              </w:rPr>
              <w:t>ka</w:t>
            </w:r>
            <w:r w:rsidRPr="00083739">
              <w:rPr>
                <w:rFonts w:cs="Times New Roman"/>
                <w:noProof/>
                <w:lang w:val="sk-SK"/>
              </w:rPr>
              <w:t>nalizačných spoločností</w:t>
            </w:r>
          </w:p>
        </w:tc>
      </w:tr>
      <w:tr w:rsidR="002D49B0" w:rsidRPr="00083739" w14:paraId="49EEC900" w14:textId="77777777">
        <w:trPr>
          <w:trHeight w:val="302"/>
        </w:trPr>
        <w:tc>
          <w:tcPr>
            <w:tcW w:w="1795" w:type="dxa"/>
            <w:tcBorders>
              <w:top w:val="single" w:sz="4" w:space="0" w:color="auto"/>
              <w:left w:val="single" w:sz="4" w:space="0" w:color="auto"/>
              <w:bottom w:val="single" w:sz="4" w:space="0" w:color="auto"/>
              <w:right w:val="single" w:sz="4" w:space="0" w:color="auto"/>
            </w:tcBorders>
            <w:shd w:val="clear" w:color="auto" w:fill="C6EFCE"/>
            <w:noWrap/>
            <w:hideMark/>
          </w:tcPr>
          <w:p w14:paraId="0BA3F735" w14:textId="77777777" w:rsidR="002D49B0" w:rsidRPr="00083739" w:rsidRDefault="00BF4125">
            <w:pPr>
              <w:pStyle w:val="P68B1DB1-Normal8"/>
              <w:keepNext/>
              <w:spacing w:before="40" w:after="0" w:line="256" w:lineRule="auto"/>
              <w:jc w:val="both"/>
              <w:rPr>
                <w:rFonts w:eastAsia="Times New Roman" w:cs="Times New Roman"/>
                <w:bCs/>
                <w:noProof/>
                <w:szCs w:val="18"/>
                <w:lang w:val="sk-SK"/>
              </w:rPr>
            </w:pPr>
            <w:r w:rsidRPr="00083739">
              <w:rPr>
                <w:rFonts w:cs="Times New Roman"/>
                <w:noProof/>
                <w:lang w:val="sk-SK"/>
              </w:rPr>
              <w:t>371</w:t>
            </w:r>
          </w:p>
        </w:tc>
        <w:tc>
          <w:tcPr>
            <w:tcW w:w="4320" w:type="dxa"/>
            <w:tcBorders>
              <w:top w:val="single" w:sz="4" w:space="0" w:color="auto"/>
              <w:left w:val="nil"/>
              <w:bottom w:val="single" w:sz="4" w:space="0" w:color="auto"/>
              <w:right w:val="single" w:sz="4" w:space="0" w:color="auto"/>
            </w:tcBorders>
            <w:shd w:val="clear" w:color="auto" w:fill="C6EFCE"/>
            <w:noWrap/>
            <w:hideMark/>
          </w:tcPr>
          <w:p w14:paraId="2C4F5C49" w14:textId="5A7B9DFD" w:rsidR="002D49B0" w:rsidRPr="00083739" w:rsidRDefault="00BF4125">
            <w:pPr>
              <w:keepNext/>
              <w:spacing w:before="40" w:after="0" w:line="256" w:lineRule="auto"/>
              <w:jc w:val="both"/>
              <w:rPr>
                <w:rFonts w:ascii="Times New Roman" w:eastAsia="Times New Roman" w:hAnsi="Times New Roman" w:cs="Times New Roman"/>
                <w:bCs/>
                <w:noProof/>
                <w:sz w:val="18"/>
                <w:szCs w:val="18"/>
                <w:lang w:val="sk-SK"/>
              </w:rPr>
            </w:pPr>
            <w:r w:rsidRPr="00083739">
              <w:rPr>
                <w:rFonts w:ascii="Times New Roman" w:hAnsi="Times New Roman" w:cs="Times New Roman"/>
                <w:noProof/>
                <w:sz w:val="18"/>
                <w:lang w:val="sk-SK"/>
              </w:rPr>
              <w:t>21 – 5.2 Investície REPowerEU – 16995_</w:t>
            </w:r>
            <w:r w:rsidRPr="00083739">
              <w:rPr>
                <w:rFonts w:ascii="Times New Roman" w:hAnsi="Times New Roman" w:cs="Times New Roman"/>
                <w:noProof/>
                <w:lang w:val="sk-SK"/>
              </w:rPr>
              <w:t xml:space="preserve"> </w:t>
            </w:r>
            <w:r w:rsidRPr="00083739">
              <w:rPr>
                <w:rFonts w:ascii="Times New Roman" w:hAnsi="Times New Roman" w:cs="Times New Roman"/>
                <w:noProof/>
                <w:sz w:val="18"/>
                <w:lang w:val="sk-SK"/>
              </w:rPr>
              <w:t>Projekt výroby obnoviteľného vodíka</w:t>
            </w:r>
          </w:p>
        </w:tc>
        <w:tc>
          <w:tcPr>
            <w:tcW w:w="1680" w:type="dxa"/>
            <w:tcBorders>
              <w:top w:val="single" w:sz="4" w:space="0" w:color="auto"/>
              <w:left w:val="nil"/>
              <w:bottom w:val="single" w:sz="4" w:space="0" w:color="auto"/>
              <w:right w:val="single" w:sz="4" w:space="0" w:color="auto"/>
            </w:tcBorders>
            <w:shd w:val="clear" w:color="auto" w:fill="C6EFCE"/>
            <w:noWrap/>
            <w:hideMark/>
          </w:tcPr>
          <w:p w14:paraId="7B94208D" w14:textId="77777777" w:rsidR="002D49B0" w:rsidRPr="00083739" w:rsidRDefault="00BF4125">
            <w:pPr>
              <w:pStyle w:val="P68B1DB1-Normal8"/>
              <w:keepNext/>
              <w:spacing w:before="40" w:after="0" w:line="256" w:lineRule="auto"/>
              <w:jc w:val="both"/>
              <w:rPr>
                <w:rFonts w:eastAsia="Times New Roman" w:cs="Times New Roman"/>
                <w:noProof/>
                <w:szCs w:val="18"/>
                <w:lang w:val="sk-SK"/>
              </w:rPr>
            </w:pPr>
            <w:r w:rsidRPr="00083739">
              <w:rPr>
                <w:rFonts w:cs="Times New Roman"/>
                <w:noProof/>
                <w:lang w:val="sk-SK"/>
              </w:rPr>
              <w:t>Cieľ</w:t>
            </w:r>
          </w:p>
        </w:tc>
        <w:tc>
          <w:tcPr>
            <w:tcW w:w="2280" w:type="dxa"/>
            <w:tcBorders>
              <w:top w:val="single" w:sz="4" w:space="0" w:color="auto"/>
              <w:left w:val="nil"/>
              <w:bottom w:val="single" w:sz="4" w:space="0" w:color="auto"/>
              <w:right w:val="single" w:sz="4" w:space="0" w:color="auto"/>
            </w:tcBorders>
            <w:shd w:val="clear" w:color="auto" w:fill="C6EFCE"/>
            <w:noWrap/>
            <w:hideMark/>
          </w:tcPr>
          <w:p w14:paraId="7CB1BEB9" w14:textId="0BD7BA89" w:rsidR="002D49B0" w:rsidRPr="00083739" w:rsidRDefault="00BF4125">
            <w:pPr>
              <w:pStyle w:val="P68B1DB1-Normal8"/>
              <w:keepNext/>
              <w:spacing w:before="40" w:after="0" w:line="256" w:lineRule="auto"/>
              <w:jc w:val="both"/>
              <w:rPr>
                <w:rFonts w:eastAsia="Times New Roman" w:cs="Times New Roman"/>
                <w:noProof/>
                <w:szCs w:val="18"/>
                <w:lang w:val="sk-SK"/>
              </w:rPr>
            </w:pPr>
            <w:r w:rsidRPr="00083739">
              <w:rPr>
                <w:rFonts w:cs="Times New Roman"/>
                <w:noProof/>
                <w:lang w:val="sk-SK"/>
              </w:rPr>
              <w:t>Dodatočná kapacita na výrobu vodíka</w:t>
            </w:r>
            <w:r w:rsidR="00083739" w:rsidRPr="00083739">
              <w:rPr>
                <w:rFonts w:cs="Times New Roman"/>
                <w:noProof/>
                <w:lang w:val="sk-SK"/>
              </w:rPr>
              <w:t xml:space="preserve"> z </w:t>
            </w:r>
            <w:r w:rsidRPr="00083739">
              <w:rPr>
                <w:rFonts w:cs="Times New Roman"/>
                <w:noProof/>
                <w:lang w:val="sk-SK"/>
              </w:rPr>
              <w:t>obnoviteľných zdrojov</w:t>
            </w:r>
          </w:p>
        </w:tc>
      </w:tr>
      <w:tr w:rsidR="002D49B0" w:rsidRPr="00083739" w14:paraId="4220C52A" w14:textId="77777777">
        <w:trPr>
          <w:trHeight w:val="302"/>
        </w:trPr>
        <w:tc>
          <w:tcPr>
            <w:tcW w:w="1795"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FFC602D" w14:textId="77777777" w:rsidR="002D49B0" w:rsidRPr="00083739" w:rsidRDefault="002D49B0">
            <w:pPr>
              <w:keepNext/>
              <w:spacing w:before="40" w:after="0" w:line="256" w:lineRule="auto"/>
              <w:jc w:val="both"/>
              <w:rPr>
                <w:rFonts w:ascii="Times New Roman" w:eastAsia="Times New Roman" w:hAnsi="Times New Roman" w:cs="Times New Roman"/>
                <w:bCs/>
                <w:noProof/>
                <w:sz w:val="18"/>
                <w:szCs w:val="18"/>
                <w:lang w:val="sk-SK"/>
              </w:rPr>
            </w:pPr>
          </w:p>
        </w:tc>
        <w:tc>
          <w:tcPr>
            <w:tcW w:w="4320" w:type="dxa"/>
            <w:tcBorders>
              <w:top w:val="single" w:sz="4" w:space="0" w:color="auto"/>
              <w:left w:val="nil"/>
              <w:bottom w:val="single" w:sz="4" w:space="0" w:color="auto"/>
              <w:right w:val="single" w:sz="4" w:space="0" w:color="auto"/>
            </w:tcBorders>
            <w:shd w:val="clear" w:color="auto" w:fill="C6EFCE"/>
            <w:noWrap/>
            <w:vAlign w:val="bottom"/>
          </w:tcPr>
          <w:p w14:paraId="20027E55" w14:textId="77777777" w:rsidR="002D49B0" w:rsidRPr="00083739" w:rsidRDefault="002D49B0">
            <w:pPr>
              <w:keepNext/>
              <w:spacing w:before="40" w:after="0" w:line="256" w:lineRule="auto"/>
              <w:jc w:val="both"/>
              <w:rPr>
                <w:rFonts w:ascii="Times New Roman" w:eastAsia="Times New Roman" w:hAnsi="Times New Roman" w:cs="Times New Roman"/>
                <w:bCs/>
                <w:noProof/>
                <w:sz w:val="18"/>
                <w:szCs w:val="18"/>
                <w:lang w:val="sk-SK"/>
              </w:rPr>
            </w:pPr>
          </w:p>
        </w:tc>
        <w:tc>
          <w:tcPr>
            <w:tcW w:w="1680" w:type="dxa"/>
            <w:tcBorders>
              <w:top w:val="single" w:sz="4" w:space="0" w:color="auto"/>
              <w:left w:val="nil"/>
              <w:bottom w:val="single" w:sz="4" w:space="0" w:color="auto"/>
              <w:right w:val="single" w:sz="4" w:space="0" w:color="auto"/>
            </w:tcBorders>
            <w:shd w:val="clear" w:color="auto" w:fill="C6EFCE"/>
            <w:noWrap/>
            <w:vAlign w:val="bottom"/>
            <w:hideMark/>
          </w:tcPr>
          <w:p w14:paraId="1AB55082" w14:textId="77777777" w:rsidR="002D49B0" w:rsidRPr="00083739" w:rsidRDefault="00BF4125">
            <w:pPr>
              <w:pStyle w:val="P68B1DB1-Normal8"/>
              <w:keepNext/>
              <w:spacing w:before="40" w:after="0" w:line="256" w:lineRule="auto"/>
              <w:jc w:val="both"/>
              <w:rPr>
                <w:rFonts w:eastAsia="Times New Roman" w:cs="Times New Roman"/>
                <w:noProof/>
                <w:szCs w:val="18"/>
                <w:lang w:val="sk-SK"/>
              </w:rPr>
            </w:pPr>
            <w:r w:rsidRPr="00083739">
              <w:rPr>
                <w:rFonts w:cs="Times New Roman"/>
                <w:noProof/>
                <w:lang w:val="sk-SK"/>
              </w:rPr>
              <w:t>Suma splátky</w:t>
            </w:r>
          </w:p>
        </w:tc>
        <w:tc>
          <w:tcPr>
            <w:tcW w:w="2280" w:type="dxa"/>
            <w:tcBorders>
              <w:top w:val="single" w:sz="4" w:space="0" w:color="auto"/>
              <w:left w:val="nil"/>
              <w:bottom w:val="single" w:sz="4" w:space="0" w:color="auto"/>
              <w:right w:val="single" w:sz="4" w:space="0" w:color="auto"/>
            </w:tcBorders>
            <w:shd w:val="clear" w:color="auto" w:fill="C6EFCE"/>
            <w:noWrap/>
            <w:vAlign w:val="bottom"/>
            <w:hideMark/>
          </w:tcPr>
          <w:p w14:paraId="38DE4599" w14:textId="5E8696F2" w:rsidR="002D49B0" w:rsidRPr="00083739" w:rsidRDefault="00BF4125">
            <w:pPr>
              <w:pStyle w:val="P68B1DB1-Normal8"/>
              <w:keepNext/>
              <w:spacing w:before="40" w:after="0" w:line="256" w:lineRule="auto"/>
              <w:jc w:val="both"/>
              <w:rPr>
                <w:rFonts w:eastAsia="Times New Roman" w:cs="Times New Roman"/>
                <w:noProof/>
                <w:szCs w:val="18"/>
                <w:lang w:val="sk-SK"/>
              </w:rPr>
            </w:pPr>
            <w:r w:rsidRPr="00083739">
              <w:rPr>
                <w:rFonts w:cs="Times New Roman"/>
                <w:noProof/>
                <w:lang w:val="sk-SK"/>
              </w:rPr>
              <w:t>3 925 660 305 EUR</w:t>
            </w:r>
          </w:p>
        </w:tc>
      </w:tr>
    </w:tbl>
    <w:p w14:paraId="7E38BA24" w14:textId="77777777" w:rsidR="002D49B0" w:rsidRPr="00083739" w:rsidRDefault="002D49B0">
      <w:pPr>
        <w:keepNext/>
        <w:spacing w:before="40" w:after="160" w:line="259" w:lineRule="auto"/>
        <w:contextualSpacing/>
        <w:jc w:val="both"/>
        <w:rPr>
          <w:rFonts w:ascii="Times New Roman" w:hAnsi="Times New Roman" w:cs="Times New Roman"/>
          <w:noProof/>
          <w:sz w:val="24"/>
          <w:lang w:val="sk-SK"/>
        </w:rPr>
      </w:pPr>
    </w:p>
    <w:p w14:paraId="6149E7C5" w14:textId="77777777" w:rsidR="002D49B0" w:rsidRPr="00083739" w:rsidRDefault="002D49B0">
      <w:pPr>
        <w:keepNext/>
        <w:spacing w:before="40" w:after="160" w:line="259" w:lineRule="auto"/>
        <w:contextualSpacing/>
        <w:jc w:val="both"/>
        <w:rPr>
          <w:rFonts w:ascii="Times New Roman" w:hAnsi="Times New Roman" w:cs="Times New Roman"/>
          <w:noProof/>
          <w:sz w:val="24"/>
          <w:lang w:val="sk-SK"/>
        </w:rPr>
      </w:pPr>
    </w:p>
    <w:p w14:paraId="6B4D5199"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p w14:paraId="10403D0B" w14:textId="2377B999" w:rsidR="002D49B0" w:rsidRPr="00083739" w:rsidRDefault="00BF4125">
      <w:pPr>
        <w:pStyle w:val="P68B1DB1-Normal51"/>
        <w:rPr>
          <w:noProof/>
          <w:lang w:val="sk-SK"/>
        </w:rPr>
      </w:pPr>
      <w:r w:rsidRPr="00083739">
        <w:rPr>
          <w:noProof/>
          <w:lang w:val="sk-SK"/>
        </w:rPr>
        <w:br w:type="page"/>
      </w:r>
    </w:p>
    <w:p w14:paraId="4317E904" w14:textId="77777777" w:rsidR="002D49B0" w:rsidRPr="00083739" w:rsidRDefault="002D49B0">
      <w:pPr>
        <w:keepNext/>
        <w:spacing w:before="40" w:after="160" w:line="259" w:lineRule="auto"/>
        <w:contextualSpacing/>
        <w:jc w:val="both"/>
        <w:rPr>
          <w:rFonts w:ascii="Times New Roman" w:eastAsia="Times New Roman" w:hAnsi="Times New Roman" w:cs="Times New Roman"/>
          <w:noProof/>
          <w:sz w:val="18"/>
          <w:szCs w:val="18"/>
          <w:lang w:val="sk-SK"/>
        </w:rPr>
      </w:pPr>
    </w:p>
    <w:p w14:paraId="34854261" w14:textId="77777777" w:rsidR="00083739" w:rsidRPr="00083739" w:rsidRDefault="00BF4125">
      <w:pPr>
        <w:pStyle w:val="P68B1DB1-Normal25"/>
        <w:keepNext/>
        <w:numPr>
          <w:ilvl w:val="0"/>
          <w:numId w:val="22"/>
        </w:numPr>
        <w:spacing w:before="40" w:after="0" w:line="259" w:lineRule="auto"/>
        <w:ind w:left="0"/>
        <w:jc w:val="both"/>
        <w:outlineLvl w:val="1"/>
        <w:rPr>
          <w:rFonts w:cs="Times New Roman"/>
          <w:noProof/>
          <w:lang w:val="sk-SK"/>
        </w:rPr>
      </w:pPr>
      <w:r w:rsidRPr="00083739">
        <w:rPr>
          <w:rFonts w:cs="Times New Roman"/>
          <w:noProof/>
          <w:lang w:val="sk-SK"/>
        </w:rPr>
        <w:t>Pôžička</w:t>
      </w:r>
    </w:p>
    <w:p w14:paraId="6D3B7CCE" w14:textId="500D97CC" w:rsidR="002D49B0" w:rsidRPr="00083739" w:rsidRDefault="00BF4125">
      <w:pPr>
        <w:pStyle w:val="P68B1DB1-Normal4"/>
        <w:keepNext/>
        <w:spacing w:before="40" w:after="0" w:line="259" w:lineRule="auto"/>
        <w:jc w:val="both"/>
        <w:outlineLvl w:val="1"/>
        <w:rPr>
          <w:rFonts w:cs="Times New Roman"/>
          <w:b/>
          <w:noProof/>
          <w:u w:val="single"/>
          <w:lang w:val="sk-SK"/>
        </w:rPr>
      </w:pPr>
      <w:r w:rsidRPr="00083739">
        <w:rPr>
          <w:rFonts w:cs="Times New Roman"/>
          <w:noProof/>
          <w:lang w:val="sk-SK"/>
        </w:rPr>
        <w:t>Splátky uvedené</w:t>
      </w:r>
      <w:r w:rsidR="00083739" w:rsidRPr="00083739">
        <w:rPr>
          <w:rFonts w:cs="Times New Roman"/>
          <w:noProof/>
          <w:lang w:val="sk-SK"/>
        </w:rPr>
        <w:t xml:space="preserve"> v </w:t>
      </w:r>
      <w:r w:rsidRPr="00083739">
        <w:rPr>
          <w:rFonts w:cs="Times New Roman"/>
          <w:noProof/>
          <w:lang w:val="sk-SK"/>
        </w:rPr>
        <w:t xml:space="preserve">článku 3 ods. 2 sú </w:t>
      </w:r>
      <w:r w:rsidRPr="00083739">
        <w:rPr>
          <w:rFonts w:cs="Times New Roman"/>
          <w:noProof/>
          <w:lang w:val="sk-SK"/>
        </w:rPr>
        <w:t>štruktúrované takto:</w:t>
      </w:r>
    </w:p>
    <w:p w14:paraId="1E2FEEB6" w14:textId="77777777" w:rsidR="002D49B0" w:rsidRPr="00083739" w:rsidRDefault="002D49B0">
      <w:pPr>
        <w:keepNext/>
        <w:spacing w:before="120" w:after="160" w:line="259" w:lineRule="auto"/>
        <w:contextualSpacing/>
        <w:jc w:val="both"/>
        <w:rPr>
          <w:rFonts w:ascii="Times New Roman" w:eastAsia="Times New Roman" w:hAnsi="Times New Roman" w:cs="Times New Roman"/>
          <w:bCs/>
          <w:noProof/>
          <w:sz w:val="24"/>
          <w:szCs w:val="24"/>
          <w:lang w:val="sk-SK"/>
        </w:rPr>
      </w:pPr>
    </w:p>
    <w:p w14:paraId="2FE589F8" w14:textId="4A8C1215" w:rsidR="002D49B0" w:rsidRPr="00083739" w:rsidRDefault="00BF4125">
      <w:pPr>
        <w:pStyle w:val="P68B1DB1-Normal4"/>
        <w:keepNext/>
        <w:numPr>
          <w:ilvl w:val="1"/>
          <w:numId w:val="22"/>
        </w:numPr>
        <w:spacing w:before="40" w:after="160" w:line="259" w:lineRule="auto"/>
        <w:ind w:left="0"/>
        <w:contextualSpacing/>
        <w:jc w:val="both"/>
        <w:rPr>
          <w:rFonts w:eastAsia="Times New Roman" w:cs="Times New Roman"/>
          <w:noProof/>
          <w:lang w:val="sk-SK"/>
        </w:rPr>
      </w:pPr>
      <w:r w:rsidRPr="00083739">
        <w:rPr>
          <w:rFonts w:cs="Times New Roman"/>
          <w:noProof/>
          <w:lang w:val="sk-SK"/>
        </w:rPr>
        <w:t xml:space="preserve"> Prvá žiadosť</w:t>
      </w:r>
      <w:r w:rsidR="00083739" w:rsidRPr="00083739">
        <w:rPr>
          <w:rFonts w:cs="Times New Roman"/>
          <w:noProof/>
          <w:lang w:val="sk-SK"/>
        </w:rPr>
        <w:t xml:space="preserve"> o </w:t>
      </w:r>
      <w:r w:rsidRPr="00083739">
        <w:rPr>
          <w:rFonts w:cs="Times New Roman"/>
          <w:noProof/>
          <w:lang w:val="sk-SK"/>
        </w:rPr>
        <w:t xml:space="preserve">platbu (úverová podpora): </w:t>
      </w:r>
    </w:p>
    <w:tbl>
      <w:tblPr>
        <w:tblW w:w="9535" w:type="dxa"/>
        <w:tblInd w:w="113" w:type="dxa"/>
        <w:tblLook w:val="04A0" w:firstRow="1" w:lastRow="0" w:firstColumn="1" w:lastColumn="0" w:noHBand="0" w:noVBand="1"/>
      </w:tblPr>
      <w:tblGrid>
        <w:gridCol w:w="1804"/>
        <w:gridCol w:w="4283"/>
        <w:gridCol w:w="1692"/>
        <w:gridCol w:w="1756"/>
      </w:tblGrid>
      <w:tr w:rsidR="002D49B0" w:rsidRPr="00083739" w14:paraId="30A3E3CB" w14:textId="77777777">
        <w:trPr>
          <w:trHeight w:val="906"/>
        </w:trPr>
        <w:tc>
          <w:tcPr>
            <w:tcW w:w="1804"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13EABE5F" w14:textId="77777777" w:rsidR="002D49B0" w:rsidRPr="00083739" w:rsidRDefault="00BF4125">
            <w:pPr>
              <w:pStyle w:val="P68B1DB1-Normal7"/>
              <w:keepNext/>
              <w:spacing w:before="40" w:after="0" w:line="259" w:lineRule="auto"/>
              <w:jc w:val="center"/>
              <w:rPr>
                <w:rFonts w:eastAsia="Times New Roman" w:cs="Times New Roman"/>
                <w:bCs/>
                <w:noProof/>
                <w:szCs w:val="18"/>
                <w:lang w:val="sk-SK"/>
              </w:rPr>
            </w:pPr>
            <w:r w:rsidRPr="00083739">
              <w:rPr>
                <w:rFonts w:cs="Times New Roman"/>
                <w:noProof/>
                <w:lang w:val="sk-SK"/>
              </w:rPr>
              <w:t>Poradové číslo</w:t>
            </w:r>
          </w:p>
        </w:tc>
        <w:tc>
          <w:tcPr>
            <w:tcW w:w="428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2F95FCBB" w14:textId="77777777" w:rsidR="002D49B0" w:rsidRPr="00083739" w:rsidRDefault="00BF4125">
            <w:pPr>
              <w:pStyle w:val="P68B1DB1-Normal7"/>
              <w:keepNext/>
              <w:spacing w:before="40" w:after="0" w:line="259" w:lineRule="auto"/>
              <w:jc w:val="center"/>
              <w:rPr>
                <w:rFonts w:eastAsia="Times New Roman" w:cs="Times New Roman"/>
                <w:bCs/>
                <w:noProof/>
                <w:szCs w:val="18"/>
                <w:lang w:val="sk-SK"/>
              </w:rPr>
            </w:pPr>
            <w:r w:rsidRPr="00083739">
              <w:rPr>
                <w:rFonts w:cs="Times New Roman"/>
                <w:noProof/>
                <w:lang w:val="sk-SK"/>
              </w:rPr>
              <w:t>Súvisiace opatrenie (reforma alebo investícia)</w:t>
            </w:r>
          </w:p>
        </w:tc>
        <w:tc>
          <w:tcPr>
            <w:tcW w:w="1692"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280D70F2" w14:textId="77777777" w:rsidR="002D49B0" w:rsidRPr="00083739" w:rsidRDefault="00BF4125">
            <w:pPr>
              <w:pStyle w:val="P68B1DB1-Normal7"/>
              <w:keepNext/>
              <w:spacing w:before="40" w:after="0" w:line="259" w:lineRule="auto"/>
              <w:jc w:val="center"/>
              <w:rPr>
                <w:rFonts w:eastAsia="Times New Roman" w:cs="Times New Roman"/>
                <w:bCs/>
                <w:noProof/>
                <w:szCs w:val="18"/>
                <w:lang w:val="sk-SK"/>
              </w:rPr>
            </w:pPr>
            <w:r w:rsidRPr="00083739">
              <w:rPr>
                <w:rFonts w:cs="Times New Roman"/>
                <w:noProof/>
                <w:lang w:val="sk-SK"/>
              </w:rPr>
              <w:t>Míľnik/cieľ</w:t>
            </w:r>
          </w:p>
        </w:tc>
        <w:tc>
          <w:tcPr>
            <w:tcW w:w="1756" w:type="dxa"/>
            <w:vMerge w:val="restart"/>
            <w:tcBorders>
              <w:top w:val="single" w:sz="4" w:space="0" w:color="auto"/>
              <w:left w:val="nil"/>
              <w:bottom w:val="single" w:sz="4" w:space="0" w:color="000000"/>
              <w:right w:val="single" w:sz="4" w:space="0" w:color="auto"/>
            </w:tcBorders>
            <w:shd w:val="clear" w:color="auto" w:fill="BDD7EE"/>
            <w:vAlign w:val="center"/>
            <w:hideMark/>
          </w:tcPr>
          <w:p w14:paraId="26B2B3AE" w14:textId="77777777" w:rsidR="002D49B0" w:rsidRPr="00083739" w:rsidRDefault="00BF4125">
            <w:pPr>
              <w:pStyle w:val="P68B1DB1-Normal7"/>
              <w:keepNext/>
              <w:spacing w:before="40" w:after="0" w:line="259" w:lineRule="auto"/>
              <w:jc w:val="center"/>
              <w:rPr>
                <w:rFonts w:eastAsia="Times New Roman" w:cs="Times New Roman"/>
                <w:bCs/>
                <w:noProof/>
                <w:szCs w:val="18"/>
                <w:lang w:val="sk-SK"/>
              </w:rPr>
            </w:pPr>
            <w:r w:rsidRPr="00083739">
              <w:rPr>
                <w:rFonts w:cs="Times New Roman"/>
                <w:noProof/>
                <w:lang w:val="sk-SK"/>
              </w:rPr>
              <w:t>Názov</w:t>
            </w:r>
          </w:p>
        </w:tc>
      </w:tr>
      <w:tr w:rsidR="002D49B0" w:rsidRPr="00083739" w14:paraId="1B889A37" w14:textId="77777777">
        <w:trPr>
          <w:trHeight w:val="990"/>
        </w:trPr>
        <w:tc>
          <w:tcPr>
            <w:tcW w:w="1804" w:type="dxa"/>
            <w:vMerge/>
            <w:tcBorders>
              <w:top w:val="single" w:sz="4" w:space="0" w:color="auto"/>
              <w:left w:val="single" w:sz="4" w:space="0" w:color="auto"/>
              <w:bottom w:val="single" w:sz="4" w:space="0" w:color="000000"/>
              <w:right w:val="single" w:sz="4" w:space="0" w:color="auto"/>
            </w:tcBorders>
            <w:vAlign w:val="center"/>
            <w:hideMark/>
          </w:tcPr>
          <w:p w14:paraId="1A66A476" w14:textId="77777777" w:rsidR="002D49B0" w:rsidRPr="00083739" w:rsidRDefault="002D49B0">
            <w:pPr>
              <w:keepNext/>
              <w:spacing w:before="40" w:after="0" w:line="259" w:lineRule="auto"/>
              <w:jc w:val="both"/>
              <w:rPr>
                <w:rFonts w:ascii="Times New Roman" w:eastAsia="Times New Roman" w:hAnsi="Times New Roman" w:cs="Times New Roman"/>
                <w:bCs/>
                <w:noProof/>
                <w:sz w:val="24"/>
                <w:szCs w:val="26"/>
                <w:lang w:val="sk-SK"/>
              </w:rPr>
            </w:pPr>
          </w:p>
        </w:tc>
        <w:tc>
          <w:tcPr>
            <w:tcW w:w="4283" w:type="dxa"/>
            <w:vMerge/>
            <w:tcBorders>
              <w:top w:val="single" w:sz="4" w:space="0" w:color="auto"/>
              <w:left w:val="single" w:sz="4" w:space="0" w:color="auto"/>
              <w:bottom w:val="single" w:sz="4" w:space="0" w:color="000000"/>
              <w:right w:val="single" w:sz="4" w:space="0" w:color="auto"/>
            </w:tcBorders>
            <w:vAlign w:val="center"/>
            <w:hideMark/>
          </w:tcPr>
          <w:p w14:paraId="6EC001CE" w14:textId="77777777" w:rsidR="002D49B0" w:rsidRPr="00083739" w:rsidRDefault="002D49B0">
            <w:pPr>
              <w:keepNext/>
              <w:spacing w:before="40" w:after="0" w:line="259" w:lineRule="auto"/>
              <w:jc w:val="both"/>
              <w:rPr>
                <w:rFonts w:ascii="Times New Roman" w:eastAsia="Times New Roman" w:hAnsi="Times New Roman" w:cs="Times New Roman"/>
                <w:bCs/>
                <w:noProof/>
                <w:sz w:val="24"/>
                <w:szCs w:val="26"/>
                <w:lang w:val="sk-SK"/>
              </w:rPr>
            </w:pPr>
          </w:p>
        </w:tc>
        <w:tc>
          <w:tcPr>
            <w:tcW w:w="1692" w:type="dxa"/>
            <w:vMerge/>
            <w:tcBorders>
              <w:top w:val="single" w:sz="4" w:space="0" w:color="auto"/>
              <w:left w:val="single" w:sz="4" w:space="0" w:color="auto"/>
              <w:bottom w:val="single" w:sz="4" w:space="0" w:color="000000"/>
              <w:right w:val="single" w:sz="4" w:space="0" w:color="auto"/>
            </w:tcBorders>
            <w:vAlign w:val="center"/>
            <w:hideMark/>
          </w:tcPr>
          <w:p w14:paraId="57122BDA" w14:textId="77777777" w:rsidR="002D49B0" w:rsidRPr="00083739" w:rsidRDefault="002D49B0">
            <w:pPr>
              <w:keepNext/>
              <w:spacing w:before="40" w:after="0" w:line="259" w:lineRule="auto"/>
              <w:jc w:val="both"/>
              <w:rPr>
                <w:rFonts w:ascii="Times New Roman" w:eastAsia="Times New Roman" w:hAnsi="Times New Roman" w:cs="Times New Roman"/>
                <w:bCs/>
                <w:noProof/>
                <w:sz w:val="24"/>
                <w:szCs w:val="26"/>
                <w:lang w:val="sk-SK"/>
              </w:rPr>
            </w:pPr>
          </w:p>
        </w:tc>
        <w:tc>
          <w:tcPr>
            <w:tcW w:w="1756" w:type="dxa"/>
            <w:vMerge/>
            <w:tcBorders>
              <w:top w:val="single" w:sz="4" w:space="0" w:color="auto"/>
              <w:left w:val="nil"/>
              <w:bottom w:val="single" w:sz="4" w:space="0" w:color="000000"/>
              <w:right w:val="single" w:sz="4" w:space="0" w:color="auto"/>
            </w:tcBorders>
            <w:vAlign w:val="center"/>
            <w:hideMark/>
          </w:tcPr>
          <w:p w14:paraId="6F293950" w14:textId="77777777" w:rsidR="002D49B0" w:rsidRPr="00083739" w:rsidRDefault="002D49B0">
            <w:pPr>
              <w:keepNext/>
              <w:spacing w:before="40" w:after="0" w:line="259" w:lineRule="auto"/>
              <w:jc w:val="both"/>
              <w:rPr>
                <w:rFonts w:ascii="Times New Roman" w:eastAsia="Times New Roman" w:hAnsi="Times New Roman" w:cs="Times New Roman"/>
                <w:bCs/>
                <w:noProof/>
                <w:sz w:val="24"/>
                <w:szCs w:val="26"/>
                <w:lang w:val="sk-SK"/>
              </w:rPr>
            </w:pPr>
          </w:p>
        </w:tc>
      </w:tr>
      <w:tr w:rsidR="002D49B0" w:rsidRPr="00083739" w14:paraId="71159799" w14:textId="77777777">
        <w:trPr>
          <w:trHeight w:val="302"/>
        </w:trPr>
        <w:tc>
          <w:tcPr>
            <w:tcW w:w="1804"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6290F609"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320</w:t>
            </w:r>
          </w:p>
        </w:tc>
        <w:tc>
          <w:tcPr>
            <w:tcW w:w="4283" w:type="dxa"/>
            <w:tcBorders>
              <w:top w:val="single" w:sz="4" w:space="0" w:color="auto"/>
              <w:left w:val="nil"/>
              <w:bottom w:val="single" w:sz="4" w:space="0" w:color="auto"/>
              <w:right w:val="single" w:sz="4" w:space="0" w:color="auto"/>
            </w:tcBorders>
            <w:shd w:val="clear" w:color="000000" w:fill="C6EFCE"/>
            <w:noWrap/>
            <w:vAlign w:val="center"/>
            <w:hideMark/>
          </w:tcPr>
          <w:p w14:paraId="6E3BB11A" w14:textId="6A66F1F8"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4.7. Zlepšiť konkurencieschopnosť</w:t>
            </w:r>
            <w:r w:rsidR="00083739" w:rsidRPr="00083739">
              <w:rPr>
                <w:rFonts w:cs="Times New Roman"/>
                <w:noProof/>
                <w:lang w:val="sk-SK"/>
              </w:rPr>
              <w:t xml:space="preserve"> a </w:t>
            </w:r>
            <w:r w:rsidRPr="00083739">
              <w:rPr>
                <w:rFonts w:cs="Times New Roman"/>
                <w:noProof/>
                <w:lang w:val="sk-SK"/>
              </w:rPr>
              <w:t>podporiť súkromné investície</w:t>
            </w:r>
            <w:r w:rsidR="00083739" w:rsidRPr="00083739">
              <w:rPr>
                <w:rFonts w:cs="Times New Roman"/>
                <w:noProof/>
                <w:lang w:val="sk-SK"/>
              </w:rPr>
              <w:t xml:space="preserve"> a </w:t>
            </w:r>
            <w:r w:rsidRPr="00083739">
              <w:rPr>
                <w:rFonts w:cs="Times New Roman"/>
                <w:noProof/>
                <w:lang w:val="sk-SK"/>
              </w:rPr>
              <w:t>vývoz – úverový nástroj 16980_RRP</w:t>
            </w:r>
          </w:p>
        </w:tc>
        <w:tc>
          <w:tcPr>
            <w:tcW w:w="1692" w:type="dxa"/>
            <w:tcBorders>
              <w:top w:val="single" w:sz="4" w:space="0" w:color="auto"/>
              <w:left w:val="nil"/>
              <w:bottom w:val="single" w:sz="4" w:space="0" w:color="auto"/>
              <w:right w:val="single" w:sz="4" w:space="0" w:color="auto"/>
            </w:tcBorders>
            <w:shd w:val="clear" w:color="000000" w:fill="C6EFCE"/>
            <w:noWrap/>
            <w:vAlign w:val="center"/>
            <w:hideMark/>
          </w:tcPr>
          <w:p w14:paraId="030619A0"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Míľnik</w:t>
            </w:r>
          </w:p>
        </w:tc>
        <w:tc>
          <w:tcPr>
            <w:tcW w:w="1756" w:type="dxa"/>
            <w:tcBorders>
              <w:top w:val="single" w:sz="4" w:space="0" w:color="auto"/>
              <w:left w:val="nil"/>
              <w:bottom w:val="single" w:sz="4" w:space="0" w:color="auto"/>
              <w:right w:val="single" w:sz="4" w:space="0" w:color="auto"/>
            </w:tcBorders>
            <w:shd w:val="clear" w:color="000000" w:fill="C6EFCE"/>
            <w:noWrap/>
            <w:vAlign w:val="center"/>
            <w:hideMark/>
          </w:tcPr>
          <w:p w14:paraId="1C11C740" w14:textId="4036C449"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Operačné dohody</w:t>
            </w:r>
            <w:r w:rsidR="00083739" w:rsidRPr="00083739">
              <w:rPr>
                <w:rFonts w:cs="Times New Roman"/>
                <w:noProof/>
                <w:lang w:val="sk-SK"/>
              </w:rPr>
              <w:t xml:space="preserve"> s </w:t>
            </w:r>
            <w:r w:rsidRPr="00083739">
              <w:rPr>
                <w:rFonts w:cs="Times New Roman"/>
                <w:noProof/>
                <w:lang w:val="sk-SK"/>
              </w:rPr>
              <w:t>medzinárodnými finančnými inštitúciami</w:t>
            </w:r>
          </w:p>
        </w:tc>
      </w:tr>
      <w:tr w:rsidR="002D49B0" w:rsidRPr="00083739" w14:paraId="722F998C" w14:textId="77777777">
        <w:trPr>
          <w:trHeight w:val="302"/>
        </w:trPr>
        <w:tc>
          <w:tcPr>
            <w:tcW w:w="1804" w:type="dxa"/>
            <w:tcBorders>
              <w:top w:val="nil"/>
              <w:left w:val="single" w:sz="4" w:space="0" w:color="auto"/>
              <w:bottom w:val="single" w:sz="4" w:space="0" w:color="auto"/>
              <w:right w:val="single" w:sz="4" w:space="0" w:color="auto"/>
            </w:tcBorders>
            <w:shd w:val="clear" w:color="000000" w:fill="C6EFCE"/>
            <w:noWrap/>
            <w:vAlign w:val="center"/>
            <w:hideMark/>
          </w:tcPr>
          <w:p w14:paraId="6465C603"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321</w:t>
            </w:r>
          </w:p>
        </w:tc>
        <w:tc>
          <w:tcPr>
            <w:tcW w:w="4283" w:type="dxa"/>
            <w:tcBorders>
              <w:top w:val="nil"/>
              <w:left w:val="nil"/>
              <w:bottom w:val="single" w:sz="4" w:space="0" w:color="auto"/>
              <w:right w:val="single" w:sz="4" w:space="0" w:color="auto"/>
            </w:tcBorders>
            <w:shd w:val="clear" w:color="000000" w:fill="C6EFCE"/>
            <w:noWrap/>
            <w:vAlign w:val="center"/>
            <w:hideMark/>
          </w:tcPr>
          <w:p w14:paraId="2F6A3DA1" w14:textId="17E8C445"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4.7. Zlepšiť konkurencieschopnosť</w:t>
            </w:r>
            <w:r w:rsidR="00083739" w:rsidRPr="00083739">
              <w:rPr>
                <w:rFonts w:cs="Times New Roman"/>
                <w:noProof/>
                <w:lang w:val="sk-SK"/>
              </w:rPr>
              <w:t xml:space="preserve"> a </w:t>
            </w:r>
            <w:r w:rsidRPr="00083739">
              <w:rPr>
                <w:rFonts w:cs="Times New Roman"/>
                <w:noProof/>
                <w:lang w:val="sk-SK"/>
              </w:rPr>
              <w:t>podporiť súkromné investície</w:t>
            </w:r>
            <w:r w:rsidR="00083739" w:rsidRPr="00083739">
              <w:rPr>
                <w:rFonts w:cs="Times New Roman"/>
                <w:noProof/>
                <w:lang w:val="sk-SK"/>
              </w:rPr>
              <w:t xml:space="preserve"> a </w:t>
            </w:r>
            <w:r w:rsidRPr="00083739">
              <w:rPr>
                <w:rFonts w:cs="Times New Roman"/>
                <w:noProof/>
                <w:lang w:val="sk-SK"/>
              </w:rPr>
              <w:t>vývoz – úverový nástroj 16980_RRP</w:t>
            </w:r>
          </w:p>
        </w:tc>
        <w:tc>
          <w:tcPr>
            <w:tcW w:w="1692" w:type="dxa"/>
            <w:tcBorders>
              <w:top w:val="nil"/>
              <w:left w:val="nil"/>
              <w:bottom w:val="single" w:sz="4" w:space="0" w:color="auto"/>
              <w:right w:val="single" w:sz="4" w:space="0" w:color="auto"/>
            </w:tcBorders>
            <w:shd w:val="clear" w:color="000000" w:fill="C6EFCE"/>
            <w:noWrap/>
            <w:vAlign w:val="center"/>
            <w:hideMark/>
          </w:tcPr>
          <w:p w14:paraId="19CB097B"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Míľnik</w:t>
            </w:r>
          </w:p>
        </w:tc>
        <w:tc>
          <w:tcPr>
            <w:tcW w:w="1756" w:type="dxa"/>
            <w:tcBorders>
              <w:top w:val="nil"/>
              <w:left w:val="nil"/>
              <w:bottom w:val="single" w:sz="4" w:space="0" w:color="auto"/>
              <w:right w:val="single" w:sz="4" w:space="0" w:color="auto"/>
            </w:tcBorders>
            <w:shd w:val="clear" w:color="000000" w:fill="C6EFCE"/>
            <w:noWrap/>
            <w:vAlign w:val="center"/>
            <w:hideMark/>
          </w:tcPr>
          <w:p w14:paraId="1D376BCF"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Vyhlásenie výzvy pre komerčné banky</w:t>
            </w:r>
          </w:p>
        </w:tc>
      </w:tr>
      <w:tr w:rsidR="002D49B0" w:rsidRPr="00083739" w14:paraId="20B304C6" w14:textId="77777777">
        <w:trPr>
          <w:trHeight w:val="302"/>
        </w:trPr>
        <w:tc>
          <w:tcPr>
            <w:tcW w:w="18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22764A"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c>
          <w:tcPr>
            <w:tcW w:w="4283" w:type="dxa"/>
            <w:tcBorders>
              <w:top w:val="single" w:sz="4" w:space="0" w:color="auto"/>
              <w:left w:val="nil"/>
              <w:bottom w:val="single" w:sz="4" w:space="0" w:color="auto"/>
              <w:right w:val="single" w:sz="4" w:space="0" w:color="auto"/>
            </w:tcBorders>
            <w:shd w:val="clear" w:color="auto" w:fill="C6EFCE"/>
            <w:noWrap/>
            <w:vAlign w:val="bottom"/>
          </w:tcPr>
          <w:p w14:paraId="7020B40B"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c>
          <w:tcPr>
            <w:tcW w:w="1692" w:type="dxa"/>
            <w:tcBorders>
              <w:top w:val="single" w:sz="4" w:space="0" w:color="auto"/>
              <w:left w:val="nil"/>
              <w:bottom w:val="single" w:sz="4" w:space="0" w:color="auto"/>
              <w:right w:val="single" w:sz="4" w:space="0" w:color="auto"/>
            </w:tcBorders>
            <w:shd w:val="clear" w:color="auto" w:fill="C6EFCE"/>
            <w:noWrap/>
            <w:vAlign w:val="bottom"/>
          </w:tcPr>
          <w:p w14:paraId="31A80EEC" w14:textId="77777777" w:rsidR="002D49B0" w:rsidRPr="00083739" w:rsidRDefault="00BF4125">
            <w:pPr>
              <w:pStyle w:val="P68B1DB1-Normal8"/>
              <w:keepNext/>
              <w:spacing w:before="40" w:after="0" w:line="259" w:lineRule="auto"/>
              <w:jc w:val="both"/>
              <w:rPr>
                <w:rFonts w:eastAsia="Times New Roman" w:cs="Times New Roman"/>
                <w:noProof/>
                <w:szCs w:val="18"/>
                <w:lang w:val="sk-SK"/>
              </w:rPr>
            </w:pPr>
            <w:r w:rsidRPr="00083739">
              <w:rPr>
                <w:rFonts w:cs="Times New Roman"/>
                <w:noProof/>
                <w:lang w:val="sk-SK"/>
              </w:rPr>
              <w:t>Suma splátky</w:t>
            </w:r>
          </w:p>
        </w:tc>
        <w:tc>
          <w:tcPr>
            <w:tcW w:w="1756" w:type="dxa"/>
            <w:tcBorders>
              <w:top w:val="single" w:sz="4" w:space="0" w:color="auto"/>
              <w:left w:val="nil"/>
              <w:bottom w:val="single" w:sz="4" w:space="0" w:color="auto"/>
              <w:right w:val="single" w:sz="4" w:space="0" w:color="auto"/>
            </w:tcBorders>
            <w:shd w:val="clear" w:color="auto" w:fill="C6EFCE"/>
            <w:noWrap/>
            <w:vAlign w:val="bottom"/>
          </w:tcPr>
          <w:p w14:paraId="17513034" w14:textId="77777777" w:rsidR="002D49B0" w:rsidRPr="00083739" w:rsidRDefault="00BF4125">
            <w:pPr>
              <w:pStyle w:val="P68B1DB1-Normal8"/>
              <w:keepNext/>
              <w:spacing w:before="40" w:after="0" w:line="259" w:lineRule="auto"/>
              <w:jc w:val="both"/>
              <w:rPr>
                <w:rFonts w:eastAsia="Times New Roman" w:cs="Times New Roman"/>
                <w:noProof/>
                <w:szCs w:val="18"/>
                <w:lang w:val="sk-SK"/>
              </w:rPr>
            </w:pPr>
            <w:r w:rsidRPr="00083739">
              <w:rPr>
                <w:rFonts w:cs="Times New Roman"/>
                <w:noProof/>
                <w:lang w:val="sk-SK"/>
              </w:rPr>
              <w:t>2 121 256 487 EUR</w:t>
            </w:r>
          </w:p>
        </w:tc>
      </w:tr>
    </w:tbl>
    <w:p w14:paraId="0ECAD728" w14:textId="77777777" w:rsidR="002D49B0" w:rsidRPr="00083739" w:rsidRDefault="002D49B0">
      <w:pPr>
        <w:keepNext/>
        <w:spacing w:before="120" w:after="160" w:line="259" w:lineRule="auto"/>
        <w:ind w:hanging="360"/>
        <w:contextualSpacing/>
        <w:jc w:val="both"/>
        <w:rPr>
          <w:rFonts w:ascii="Times New Roman" w:eastAsia="Times New Roman" w:hAnsi="Times New Roman" w:cs="Times New Roman"/>
          <w:bCs/>
          <w:noProof/>
          <w:sz w:val="24"/>
          <w:szCs w:val="24"/>
          <w:lang w:val="sk-SK"/>
        </w:rPr>
      </w:pPr>
    </w:p>
    <w:p w14:paraId="16ACC7FD" w14:textId="3142D8CA" w:rsidR="002D49B0" w:rsidRPr="00083739" w:rsidRDefault="00BF4125">
      <w:pPr>
        <w:pStyle w:val="P68B1DB1-Normal4"/>
        <w:keepNext/>
        <w:numPr>
          <w:ilvl w:val="1"/>
          <w:numId w:val="22"/>
        </w:numPr>
        <w:spacing w:before="40" w:after="160" w:line="259" w:lineRule="auto"/>
        <w:ind w:left="0"/>
        <w:contextualSpacing/>
        <w:jc w:val="both"/>
        <w:rPr>
          <w:rFonts w:eastAsia="Times New Roman" w:cs="Times New Roman"/>
          <w:noProof/>
          <w:lang w:val="sk-SK"/>
        </w:rPr>
      </w:pPr>
      <w:r w:rsidRPr="00083739">
        <w:rPr>
          <w:rFonts w:cs="Times New Roman"/>
          <w:noProof/>
          <w:lang w:val="sk-SK"/>
        </w:rPr>
        <w:t xml:space="preserve"> Druhá žiadosť</w:t>
      </w:r>
      <w:r w:rsidR="00083739" w:rsidRPr="00083739">
        <w:rPr>
          <w:rFonts w:cs="Times New Roman"/>
          <w:noProof/>
          <w:lang w:val="sk-SK"/>
        </w:rPr>
        <w:t xml:space="preserve"> o </w:t>
      </w:r>
      <w:r w:rsidRPr="00083739">
        <w:rPr>
          <w:rFonts w:cs="Times New Roman"/>
          <w:noProof/>
          <w:lang w:val="sk-SK"/>
        </w:rPr>
        <w:t xml:space="preserve">platbu (úverová podpora): </w:t>
      </w:r>
    </w:p>
    <w:tbl>
      <w:tblPr>
        <w:tblW w:w="9535" w:type="dxa"/>
        <w:tblInd w:w="113" w:type="dxa"/>
        <w:tblLook w:val="04A0" w:firstRow="1" w:lastRow="0" w:firstColumn="1" w:lastColumn="0" w:noHBand="0" w:noVBand="1"/>
      </w:tblPr>
      <w:tblGrid>
        <w:gridCol w:w="1804"/>
        <w:gridCol w:w="4283"/>
        <w:gridCol w:w="1692"/>
        <w:gridCol w:w="1756"/>
      </w:tblGrid>
      <w:tr w:rsidR="002D49B0" w:rsidRPr="00083739" w14:paraId="0508890F" w14:textId="77777777">
        <w:trPr>
          <w:trHeight w:val="906"/>
        </w:trPr>
        <w:tc>
          <w:tcPr>
            <w:tcW w:w="1804"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7D81000F" w14:textId="77777777" w:rsidR="002D49B0" w:rsidRPr="00083739" w:rsidRDefault="00BF4125">
            <w:pPr>
              <w:pStyle w:val="P68B1DB1-Normal7"/>
              <w:keepNext/>
              <w:spacing w:before="40" w:after="0" w:line="259" w:lineRule="auto"/>
              <w:jc w:val="center"/>
              <w:rPr>
                <w:rFonts w:eastAsia="Times New Roman" w:cs="Times New Roman"/>
                <w:bCs/>
                <w:noProof/>
                <w:szCs w:val="18"/>
                <w:lang w:val="sk-SK"/>
              </w:rPr>
            </w:pPr>
            <w:r w:rsidRPr="00083739">
              <w:rPr>
                <w:rFonts w:cs="Times New Roman"/>
                <w:noProof/>
                <w:lang w:val="sk-SK"/>
              </w:rPr>
              <w:t>Poradové číslo</w:t>
            </w:r>
          </w:p>
        </w:tc>
        <w:tc>
          <w:tcPr>
            <w:tcW w:w="428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58EC46C5" w14:textId="77777777" w:rsidR="002D49B0" w:rsidRPr="00083739" w:rsidRDefault="00BF4125">
            <w:pPr>
              <w:pStyle w:val="P68B1DB1-Normal7"/>
              <w:keepNext/>
              <w:spacing w:before="40" w:after="0" w:line="259" w:lineRule="auto"/>
              <w:jc w:val="center"/>
              <w:rPr>
                <w:rFonts w:eastAsia="Times New Roman" w:cs="Times New Roman"/>
                <w:bCs/>
                <w:noProof/>
                <w:szCs w:val="18"/>
                <w:lang w:val="sk-SK"/>
              </w:rPr>
            </w:pPr>
            <w:r w:rsidRPr="00083739">
              <w:rPr>
                <w:rFonts w:cs="Times New Roman"/>
                <w:noProof/>
                <w:lang w:val="sk-SK"/>
              </w:rPr>
              <w:t>Súvisiace opatrenie (reforma alebo investícia)</w:t>
            </w:r>
          </w:p>
        </w:tc>
        <w:tc>
          <w:tcPr>
            <w:tcW w:w="1692"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7B63CF33" w14:textId="77777777" w:rsidR="002D49B0" w:rsidRPr="00083739" w:rsidRDefault="00BF4125">
            <w:pPr>
              <w:pStyle w:val="P68B1DB1-Normal7"/>
              <w:keepNext/>
              <w:spacing w:before="40" w:after="0" w:line="259" w:lineRule="auto"/>
              <w:jc w:val="center"/>
              <w:rPr>
                <w:rFonts w:eastAsia="Times New Roman" w:cs="Times New Roman"/>
                <w:bCs/>
                <w:noProof/>
                <w:szCs w:val="18"/>
                <w:lang w:val="sk-SK"/>
              </w:rPr>
            </w:pPr>
            <w:r w:rsidRPr="00083739">
              <w:rPr>
                <w:rFonts w:cs="Times New Roman"/>
                <w:noProof/>
                <w:lang w:val="sk-SK"/>
              </w:rPr>
              <w:t>Míľnik/cieľ</w:t>
            </w:r>
          </w:p>
        </w:tc>
        <w:tc>
          <w:tcPr>
            <w:tcW w:w="1756" w:type="dxa"/>
            <w:vMerge w:val="restart"/>
            <w:tcBorders>
              <w:top w:val="single" w:sz="4" w:space="0" w:color="auto"/>
              <w:left w:val="nil"/>
              <w:bottom w:val="single" w:sz="4" w:space="0" w:color="000000"/>
              <w:right w:val="single" w:sz="4" w:space="0" w:color="auto"/>
            </w:tcBorders>
            <w:shd w:val="clear" w:color="auto" w:fill="BDD7EE"/>
            <w:vAlign w:val="center"/>
            <w:hideMark/>
          </w:tcPr>
          <w:p w14:paraId="3F10DD5A" w14:textId="77777777" w:rsidR="002D49B0" w:rsidRPr="00083739" w:rsidRDefault="00BF4125">
            <w:pPr>
              <w:pStyle w:val="P68B1DB1-Normal7"/>
              <w:keepNext/>
              <w:spacing w:before="40" w:after="0" w:line="259" w:lineRule="auto"/>
              <w:jc w:val="center"/>
              <w:rPr>
                <w:rFonts w:eastAsia="Times New Roman" w:cs="Times New Roman"/>
                <w:bCs/>
                <w:noProof/>
                <w:szCs w:val="18"/>
                <w:lang w:val="sk-SK"/>
              </w:rPr>
            </w:pPr>
            <w:r w:rsidRPr="00083739">
              <w:rPr>
                <w:rFonts w:cs="Times New Roman"/>
                <w:noProof/>
                <w:lang w:val="sk-SK"/>
              </w:rPr>
              <w:t>Názov</w:t>
            </w:r>
          </w:p>
        </w:tc>
      </w:tr>
      <w:tr w:rsidR="002D49B0" w:rsidRPr="00083739" w14:paraId="3BC7DAE8" w14:textId="77777777">
        <w:trPr>
          <w:trHeight w:val="990"/>
        </w:trPr>
        <w:tc>
          <w:tcPr>
            <w:tcW w:w="1804" w:type="dxa"/>
            <w:vMerge/>
            <w:tcBorders>
              <w:top w:val="single" w:sz="4" w:space="0" w:color="auto"/>
              <w:left w:val="single" w:sz="4" w:space="0" w:color="auto"/>
              <w:bottom w:val="single" w:sz="4" w:space="0" w:color="000000"/>
              <w:right w:val="single" w:sz="4" w:space="0" w:color="auto"/>
            </w:tcBorders>
            <w:vAlign w:val="center"/>
            <w:hideMark/>
          </w:tcPr>
          <w:p w14:paraId="337EC33D"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c>
          <w:tcPr>
            <w:tcW w:w="4283" w:type="dxa"/>
            <w:vMerge/>
            <w:tcBorders>
              <w:top w:val="single" w:sz="4" w:space="0" w:color="auto"/>
              <w:left w:val="single" w:sz="4" w:space="0" w:color="auto"/>
              <w:bottom w:val="single" w:sz="4" w:space="0" w:color="000000"/>
              <w:right w:val="single" w:sz="4" w:space="0" w:color="auto"/>
            </w:tcBorders>
            <w:vAlign w:val="center"/>
            <w:hideMark/>
          </w:tcPr>
          <w:p w14:paraId="2114DD3E"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c>
          <w:tcPr>
            <w:tcW w:w="1692" w:type="dxa"/>
            <w:vMerge/>
            <w:tcBorders>
              <w:top w:val="single" w:sz="4" w:space="0" w:color="auto"/>
              <w:left w:val="single" w:sz="4" w:space="0" w:color="auto"/>
              <w:bottom w:val="single" w:sz="4" w:space="0" w:color="000000"/>
              <w:right w:val="single" w:sz="4" w:space="0" w:color="auto"/>
            </w:tcBorders>
            <w:vAlign w:val="center"/>
            <w:hideMark/>
          </w:tcPr>
          <w:p w14:paraId="38786472"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c>
          <w:tcPr>
            <w:tcW w:w="1756" w:type="dxa"/>
            <w:vMerge/>
            <w:tcBorders>
              <w:top w:val="single" w:sz="4" w:space="0" w:color="auto"/>
              <w:left w:val="nil"/>
              <w:bottom w:val="single" w:sz="4" w:space="0" w:color="000000"/>
              <w:right w:val="single" w:sz="4" w:space="0" w:color="auto"/>
            </w:tcBorders>
            <w:vAlign w:val="center"/>
            <w:hideMark/>
          </w:tcPr>
          <w:p w14:paraId="7DB249D8"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r>
      <w:tr w:rsidR="002D49B0" w:rsidRPr="00083739" w14:paraId="3E95F9B5" w14:textId="77777777">
        <w:trPr>
          <w:trHeight w:val="302"/>
        </w:trPr>
        <w:tc>
          <w:tcPr>
            <w:tcW w:w="1804"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D25BE6F"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322</w:t>
            </w:r>
          </w:p>
        </w:tc>
        <w:tc>
          <w:tcPr>
            <w:tcW w:w="4283" w:type="dxa"/>
            <w:tcBorders>
              <w:top w:val="single" w:sz="4" w:space="0" w:color="auto"/>
              <w:left w:val="nil"/>
              <w:bottom w:val="single" w:sz="4" w:space="0" w:color="auto"/>
              <w:right w:val="single" w:sz="4" w:space="0" w:color="auto"/>
            </w:tcBorders>
            <w:shd w:val="clear" w:color="000000" w:fill="C6EFCE"/>
            <w:noWrap/>
            <w:vAlign w:val="center"/>
            <w:hideMark/>
          </w:tcPr>
          <w:p w14:paraId="2C07A575" w14:textId="72206652"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4.7. Zlepšiť konkurencieschopnosť</w:t>
            </w:r>
            <w:r w:rsidR="00083739" w:rsidRPr="00083739">
              <w:rPr>
                <w:rFonts w:cs="Times New Roman"/>
                <w:noProof/>
                <w:lang w:val="sk-SK"/>
              </w:rPr>
              <w:t xml:space="preserve"> a </w:t>
            </w:r>
            <w:r w:rsidRPr="00083739">
              <w:rPr>
                <w:rFonts w:cs="Times New Roman"/>
                <w:noProof/>
                <w:lang w:val="sk-SK"/>
              </w:rPr>
              <w:t>podporiť súkromné investície</w:t>
            </w:r>
            <w:r w:rsidR="00083739" w:rsidRPr="00083739">
              <w:rPr>
                <w:rFonts w:cs="Times New Roman"/>
                <w:noProof/>
                <w:lang w:val="sk-SK"/>
              </w:rPr>
              <w:t xml:space="preserve"> a </w:t>
            </w:r>
            <w:r w:rsidRPr="00083739">
              <w:rPr>
                <w:rFonts w:cs="Times New Roman"/>
                <w:noProof/>
                <w:lang w:val="sk-SK"/>
              </w:rPr>
              <w:t>vývoz – úverový nástroj 16980_RRP</w:t>
            </w:r>
          </w:p>
        </w:tc>
        <w:tc>
          <w:tcPr>
            <w:tcW w:w="1692" w:type="dxa"/>
            <w:tcBorders>
              <w:top w:val="single" w:sz="4" w:space="0" w:color="auto"/>
              <w:left w:val="nil"/>
              <w:bottom w:val="single" w:sz="4" w:space="0" w:color="auto"/>
              <w:right w:val="single" w:sz="4" w:space="0" w:color="auto"/>
            </w:tcBorders>
            <w:shd w:val="clear" w:color="000000" w:fill="C6EFCE"/>
            <w:noWrap/>
            <w:vAlign w:val="center"/>
            <w:hideMark/>
          </w:tcPr>
          <w:p w14:paraId="3C633A2B"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Míľnik</w:t>
            </w:r>
          </w:p>
        </w:tc>
        <w:tc>
          <w:tcPr>
            <w:tcW w:w="1756" w:type="dxa"/>
            <w:tcBorders>
              <w:top w:val="single" w:sz="4" w:space="0" w:color="auto"/>
              <w:left w:val="nil"/>
              <w:bottom w:val="single" w:sz="4" w:space="0" w:color="auto"/>
              <w:right w:val="single" w:sz="4" w:space="0" w:color="auto"/>
            </w:tcBorders>
            <w:shd w:val="clear" w:color="000000" w:fill="C6EFCE"/>
            <w:noWrap/>
            <w:vAlign w:val="center"/>
            <w:hideMark/>
          </w:tcPr>
          <w:p w14:paraId="45BB5418" w14:textId="0E5042C3"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Dohoda</w:t>
            </w:r>
            <w:r w:rsidR="00083739" w:rsidRPr="00083739">
              <w:rPr>
                <w:rFonts w:cs="Times New Roman"/>
                <w:noProof/>
                <w:lang w:val="sk-SK"/>
              </w:rPr>
              <w:t xml:space="preserve"> o </w:t>
            </w:r>
            <w:r w:rsidRPr="00083739">
              <w:rPr>
                <w:rFonts w:cs="Times New Roman"/>
                <w:noProof/>
                <w:lang w:val="sk-SK"/>
              </w:rPr>
              <w:t>kapitálovej platforme</w:t>
            </w:r>
          </w:p>
        </w:tc>
      </w:tr>
      <w:tr w:rsidR="002D49B0" w:rsidRPr="00083739" w14:paraId="343B3577" w14:textId="77777777">
        <w:trPr>
          <w:trHeight w:val="302"/>
        </w:trPr>
        <w:tc>
          <w:tcPr>
            <w:tcW w:w="1804" w:type="dxa"/>
            <w:tcBorders>
              <w:top w:val="nil"/>
              <w:left w:val="single" w:sz="4" w:space="0" w:color="auto"/>
              <w:bottom w:val="single" w:sz="4" w:space="0" w:color="auto"/>
              <w:right w:val="single" w:sz="4" w:space="0" w:color="auto"/>
            </w:tcBorders>
            <w:shd w:val="clear" w:color="000000" w:fill="C6EFCE"/>
            <w:noWrap/>
            <w:vAlign w:val="center"/>
          </w:tcPr>
          <w:p w14:paraId="1A995831"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323</w:t>
            </w:r>
          </w:p>
        </w:tc>
        <w:tc>
          <w:tcPr>
            <w:tcW w:w="4283" w:type="dxa"/>
            <w:tcBorders>
              <w:top w:val="nil"/>
              <w:left w:val="nil"/>
              <w:bottom w:val="single" w:sz="4" w:space="0" w:color="auto"/>
              <w:right w:val="single" w:sz="4" w:space="0" w:color="auto"/>
            </w:tcBorders>
            <w:shd w:val="clear" w:color="000000" w:fill="C6EFCE"/>
            <w:noWrap/>
            <w:vAlign w:val="center"/>
          </w:tcPr>
          <w:p w14:paraId="07D91590" w14:textId="4FB1C0BE"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4.7. Zlepšiť konkurencieschopnosť</w:t>
            </w:r>
            <w:r w:rsidR="00083739" w:rsidRPr="00083739">
              <w:rPr>
                <w:rFonts w:cs="Times New Roman"/>
                <w:noProof/>
                <w:lang w:val="sk-SK"/>
              </w:rPr>
              <w:t xml:space="preserve"> a </w:t>
            </w:r>
            <w:r w:rsidRPr="00083739">
              <w:rPr>
                <w:rFonts w:cs="Times New Roman"/>
                <w:noProof/>
                <w:lang w:val="sk-SK"/>
              </w:rPr>
              <w:t>podporiť súkromné investície</w:t>
            </w:r>
            <w:r w:rsidR="00083739" w:rsidRPr="00083739">
              <w:rPr>
                <w:rFonts w:cs="Times New Roman"/>
                <w:noProof/>
                <w:lang w:val="sk-SK"/>
              </w:rPr>
              <w:t xml:space="preserve"> a </w:t>
            </w:r>
            <w:r w:rsidRPr="00083739">
              <w:rPr>
                <w:rFonts w:cs="Times New Roman"/>
                <w:noProof/>
                <w:lang w:val="sk-SK"/>
              </w:rPr>
              <w:t>vývoz – úverový nástroj 16980_RRP</w:t>
            </w:r>
          </w:p>
        </w:tc>
        <w:tc>
          <w:tcPr>
            <w:tcW w:w="1692" w:type="dxa"/>
            <w:tcBorders>
              <w:top w:val="nil"/>
              <w:left w:val="nil"/>
              <w:bottom w:val="single" w:sz="4" w:space="0" w:color="auto"/>
              <w:right w:val="single" w:sz="4" w:space="0" w:color="auto"/>
            </w:tcBorders>
            <w:shd w:val="clear" w:color="000000" w:fill="C6EFCE"/>
            <w:noWrap/>
            <w:vAlign w:val="center"/>
          </w:tcPr>
          <w:p w14:paraId="2E1CECE9"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Míľnik</w:t>
            </w:r>
          </w:p>
        </w:tc>
        <w:tc>
          <w:tcPr>
            <w:tcW w:w="1756" w:type="dxa"/>
            <w:tcBorders>
              <w:top w:val="nil"/>
              <w:left w:val="nil"/>
              <w:bottom w:val="single" w:sz="4" w:space="0" w:color="auto"/>
              <w:right w:val="single" w:sz="4" w:space="0" w:color="auto"/>
            </w:tcBorders>
            <w:shd w:val="clear" w:color="000000" w:fill="C6EFCE"/>
            <w:noWrap/>
            <w:vAlign w:val="center"/>
          </w:tcPr>
          <w:p w14:paraId="26B977F2" w14:textId="39CC1083"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Dohoda</w:t>
            </w:r>
            <w:r w:rsidR="00083739" w:rsidRPr="00083739">
              <w:rPr>
                <w:rFonts w:cs="Times New Roman"/>
                <w:noProof/>
                <w:lang w:val="sk-SK"/>
              </w:rPr>
              <w:t xml:space="preserve"> o </w:t>
            </w:r>
            <w:r w:rsidRPr="00083739">
              <w:rPr>
                <w:rFonts w:cs="Times New Roman"/>
                <w:noProof/>
                <w:lang w:val="sk-SK"/>
              </w:rPr>
              <w:t>príspevku</w:t>
            </w:r>
            <w:r w:rsidR="00083739" w:rsidRPr="00083739">
              <w:rPr>
                <w:rFonts w:cs="Times New Roman"/>
                <w:noProof/>
                <w:lang w:val="sk-SK"/>
              </w:rPr>
              <w:t xml:space="preserve"> z </w:t>
            </w:r>
            <w:r w:rsidRPr="00083739">
              <w:rPr>
                <w:rFonts w:cs="Times New Roman"/>
                <w:noProof/>
                <w:lang w:val="sk-SK"/>
              </w:rPr>
              <w:t>Programu InvestEU</w:t>
            </w:r>
          </w:p>
        </w:tc>
      </w:tr>
      <w:tr w:rsidR="002D49B0" w:rsidRPr="00083739" w14:paraId="6D83C2BF" w14:textId="77777777">
        <w:trPr>
          <w:trHeight w:val="302"/>
        </w:trPr>
        <w:tc>
          <w:tcPr>
            <w:tcW w:w="1804" w:type="dxa"/>
            <w:tcBorders>
              <w:top w:val="nil"/>
              <w:left w:val="single" w:sz="4" w:space="0" w:color="auto"/>
              <w:bottom w:val="single" w:sz="4" w:space="0" w:color="auto"/>
              <w:right w:val="single" w:sz="4" w:space="0" w:color="auto"/>
            </w:tcBorders>
            <w:shd w:val="clear" w:color="000000" w:fill="C6EFCE"/>
            <w:noWrap/>
            <w:vAlign w:val="center"/>
          </w:tcPr>
          <w:p w14:paraId="5E7ED2B2"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324</w:t>
            </w:r>
          </w:p>
        </w:tc>
        <w:tc>
          <w:tcPr>
            <w:tcW w:w="4283" w:type="dxa"/>
            <w:tcBorders>
              <w:top w:val="nil"/>
              <w:left w:val="nil"/>
              <w:bottom w:val="single" w:sz="4" w:space="0" w:color="auto"/>
              <w:right w:val="single" w:sz="4" w:space="0" w:color="auto"/>
            </w:tcBorders>
            <w:shd w:val="clear" w:color="000000" w:fill="C6EFCE"/>
            <w:noWrap/>
            <w:vAlign w:val="center"/>
          </w:tcPr>
          <w:p w14:paraId="4265E6E8" w14:textId="2F468F1E"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4.7. Zlepšiť konkurencieschopnosť</w:t>
            </w:r>
            <w:r w:rsidR="00083739" w:rsidRPr="00083739">
              <w:rPr>
                <w:rFonts w:cs="Times New Roman"/>
                <w:noProof/>
                <w:lang w:val="sk-SK"/>
              </w:rPr>
              <w:t xml:space="preserve"> a </w:t>
            </w:r>
            <w:r w:rsidRPr="00083739">
              <w:rPr>
                <w:rFonts w:cs="Times New Roman"/>
                <w:noProof/>
                <w:lang w:val="sk-SK"/>
              </w:rPr>
              <w:t>podporiť súkromné investície</w:t>
            </w:r>
            <w:r w:rsidR="00083739" w:rsidRPr="00083739">
              <w:rPr>
                <w:rFonts w:cs="Times New Roman"/>
                <w:noProof/>
                <w:lang w:val="sk-SK"/>
              </w:rPr>
              <w:t xml:space="preserve"> a </w:t>
            </w:r>
            <w:r w:rsidRPr="00083739">
              <w:rPr>
                <w:rFonts w:cs="Times New Roman"/>
                <w:noProof/>
                <w:lang w:val="sk-SK"/>
              </w:rPr>
              <w:t xml:space="preserve">vývoz – </w:t>
            </w:r>
            <w:r w:rsidRPr="00083739">
              <w:rPr>
                <w:rFonts w:cs="Times New Roman"/>
                <w:noProof/>
                <w:lang w:val="sk-SK"/>
              </w:rPr>
              <w:t>úverový nástroj 16980_RRP</w:t>
            </w:r>
          </w:p>
        </w:tc>
        <w:tc>
          <w:tcPr>
            <w:tcW w:w="1692" w:type="dxa"/>
            <w:tcBorders>
              <w:top w:val="nil"/>
              <w:left w:val="nil"/>
              <w:bottom w:val="single" w:sz="4" w:space="0" w:color="auto"/>
              <w:right w:val="single" w:sz="4" w:space="0" w:color="auto"/>
            </w:tcBorders>
            <w:shd w:val="clear" w:color="000000" w:fill="C6EFCE"/>
            <w:noWrap/>
            <w:vAlign w:val="center"/>
          </w:tcPr>
          <w:p w14:paraId="5A582FDE"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Cieľ</w:t>
            </w:r>
          </w:p>
        </w:tc>
        <w:tc>
          <w:tcPr>
            <w:tcW w:w="1756" w:type="dxa"/>
            <w:tcBorders>
              <w:top w:val="nil"/>
              <w:left w:val="nil"/>
              <w:bottom w:val="single" w:sz="4" w:space="0" w:color="auto"/>
              <w:right w:val="single" w:sz="4" w:space="0" w:color="auto"/>
            </w:tcBorders>
            <w:shd w:val="clear" w:color="000000" w:fill="C6EFCE"/>
            <w:noWrap/>
            <w:vAlign w:val="center"/>
          </w:tcPr>
          <w:p w14:paraId="04312C79" w14:textId="3DB3B4FC"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586,4 milióna EUR</w:t>
            </w:r>
            <w:r w:rsidR="00083739" w:rsidRPr="00083739">
              <w:rPr>
                <w:rFonts w:cs="Times New Roman"/>
                <w:noProof/>
                <w:lang w:val="sk-SK"/>
              </w:rPr>
              <w:t xml:space="preserve"> z </w:t>
            </w:r>
            <w:r w:rsidRPr="00083739">
              <w:rPr>
                <w:rFonts w:cs="Times New Roman"/>
                <w:noProof/>
                <w:lang w:val="sk-SK"/>
              </w:rPr>
              <w:t>finančných prostriedkov finančných inštitúcií podpísaných</w:t>
            </w:r>
            <w:r w:rsidR="00083739" w:rsidRPr="00083739">
              <w:rPr>
                <w:rFonts w:cs="Times New Roman"/>
                <w:noProof/>
                <w:lang w:val="sk-SK"/>
              </w:rPr>
              <w:t xml:space="preserve"> s </w:t>
            </w:r>
            <w:r w:rsidRPr="00083739">
              <w:rPr>
                <w:rFonts w:cs="Times New Roman"/>
                <w:noProof/>
                <w:lang w:val="sk-SK"/>
              </w:rPr>
              <w:t>konečnými príjemcami</w:t>
            </w:r>
          </w:p>
        </w:tc>
      </w:tr>
      <w:tr w:rsidR="002D49B0" w:rsidRPr="00083739" w14:paraId="1D382D67" w14:textId="77777777">
        <w:trPr>
          <w:trHeight w:val="302"/>
        </w:trPr>
        <w:tc>
          <w:tcPr>
            <w:tcW w:w="18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2D2FA57"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c>
          <w:tcPr>
            <w:tcW w:w="4283" w:type="dxa"/>
            <w:tcBorders>
              <w:top w:val="single" w:sz="4" w:space="0" w:color="auto"/>
              <w:left w:val="nil"/>
              <w:bottom w:val="single" w:sz="4" w:space="0" w:color="auto"/>
              <w:right w:val="single" w:sz="4" w:space="0" w:color="auto"/>
            </w:tcBorders>
            <w:shd w:val="clear" w:color="auto" w:fill="C6EFCE"/>
            <w:noWrap/>
            <w:vAlign w:val="bottom"/>
          </w:tcPr>
          <w:p w14:paraId="22DADD9C"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c>
          <w:tcPr>
            <w:tcW w:w="1692" w:type="dxa"/>
            <w:tcBorders>
              <w:top w:val="single" w:sz="4" w:space="0" w:color="auto"/>
              <w:left w:val="nil"/>
              <w:bottom w:val="single" w:sz="4" w:space="0" w:color="auto"/>
              <w:right w:val="single" w:sz="4" w:space="0" w:color="auto"/>
            </w:tcBorders>
            <w:shd w:val="clear" w:color="auto" w:fill="C6EFCE"/>
            <w:noWrap/>
            <w:vAlign w:val="bottom"/>
          </w:tcPr>
          <w:p w14:paraId="417462D8" w14:textId="77777777" w:rsidR="002D49B0" w:rsidRPr="00083739" w:rsidRDefault="00BF4125">
            <w:pPr>
              <w:pStyle w:val="P68B1DB1-Normal8"/>
              <w:keepNext/>
              <w:spacing w:before="40" w:after="0" w:line="259" w:lineRule="auto"/>
              <w:jc w:val="both"/>
              <w:rPr>
                <w:rFonts w:eastAsia="Times New Roman" w:cs="Times New Roman"/>
                <w:noProof/>
                <w:szCs w:val="18"/>
                <w:lang w:val="sk-SK"/>
              </w:rPr>
            </w:pPr>
            <w:r w:rsidRPr="00083739">
              <w:rPr>
                <w:rFonts w:cs="Times New Roman"/>
                <w:noProof/>
                <w:lang w:val="sk-SK"/>
              </w:rPr>
              <w:t>Suma splátky</w:t>
            </w:r>
          </w:p>
        </w:tc>
        <w:tc>
          <w:tcPr>
            <w:tcW w:w="1756" w:type="dxa"/>
            <w:tcBorders>
              <w:top w:val="single" w:sz="4" w:space="0" w:color="auto"/>
              <w:left w:val="nil"/>
              <w:bottom w:val="single" w:sz="4" w:space="0" w:color="auto"/>
              <w:right w:val="single" w:sz="4" w:space="0" w:color="auto"/>
            </w:tcBorders>
            <w:shd w:val="clear" w:color="auto" w:fill="C6EFCE"/>
            <w:noWrap/>
            <w:vAlign w:val="bottom"/>
          </w:tcPr>
          <w:p w14:paraId="2900C2A6" w14:textId="77777777" w:rsidR="002D49B0" w:rsidRPr="00083739" w:rsidRDefault="00BF4125">
            <w:pPr>
              <w:pStyle w:val="P68B1DB1-Normal8"/>
              <w:keepNext/>
              <w:spacing w:before="40" w:after="0" w:line="259" w:lineRule="auto"/>
              <w:jc w:val="both"/>
              <w:rPr>
                <w:rFonts w:eastAsia="Times New Roman" w:cs="Times New Roman"/>
                <w:noProof/>
                <w:szCs w:val="18"/>
                <w:lang w:val="sk-SK"/>
              </w:rPr>
            </w:pPr>
            <w:r w:rsidRPr="00083739">
              <w:rPr>
                <w:rFonts w:cs="Times New Roman"/>
                <w:noProof/>
                <w:lang w:val="sk-SK"/>
              </w:rPr>
              <w:t>2 121 256 487 EUR</w:t>
            </w:r>
          </w:p>
        </w:tc>
      </w:tr>
    </w:tbl>
    <w:p w14:paraId="0F328CC2" w14:textId="77777777" w:rsidR="002D49B0" w:rsidRPr="00083739" w:rsidRDefault="002D49B0">
      <w:pPr>
        <w:keepNext/>
        <w:spacing w:before="40" w:after="160" w:line="259" w:lineRule="auto"/>
        <w:contextualSpacing/>
        <w:jc w:val="both"/>
        <w:rPr>
          <w:rFonts w:ascii="Times New Roman" w:eastAsia="Times New Roman" w:hAnsi="Times New Roman" w:cs="Times New Roman"/>
          <w:noProof/>
          <w:sz w:val="24"/>
          <w:lang w:val="sk-SK"/>
        </w:rPr>
      </w:pPr>
    </w:p>
    <w:p w14:paraId="55343648" w14:textId="77777777" w:rsidR="002D49B0" w:rsidRPr="00083739" w:rsidRDefault="002D49B0">
      <w:pPr>
        <w:keepNext/>
        <w:numPr>
          <w:ilvl w:val="1"/>
          <w:numId w:val="22"/>
        </w:numPr>
        <w:spacing w:before="40" w:after="160" w:line="259" w:lineRule="auto"/>
        <w:ind w:left="0"/>
        <w:contextualSpacing/>
        <w:jc w:val="both"/>
        <w:rPr>
          <w:rFonts w:ascii="Times New Roman" w:hAnsi="Times New Roman" w:cs="Times New Roman"/>
          <w:noProof/>
          <w:sz w:val="24"/>
          <w:lang w:val="sk-SK"/>
        </w:rPr>
        <w:sectPr w:rsidR="002D49B0" w:rsidRPr="00083739" w:rsidSect="00271D33">
          <w:headerReference w:type="even" r:id="rId369"/>
          <w:headerReference w:type="default" r:id="rId370"/>
          <w:footerReference w:type="even" r:id="rId371"/>
          <w:footerReference w:type="default" r:id="rId372"/>
          <w:headerReference w:type="first" r:id="rId373"/>
          <w:footerReference w:type="first" r:id="rId374"/>
          <w:pgSz w:w="11907" w:h="16839"/>
          <w:pgMar w:top="1134" w:right="1418" w:bottom="1134" w:left="1418" w:header="709" w:footer="468" w:gutter="0"/>
          <w:cols w:space="720"/>
          <w:docGrid w:linePitch="360"/>
        </w:sectPr>
      </w:pPr>
    </w:p>
    <w:p w14:paraId="4F1345E4" w14:textId="4B95AA8D" w:rsidR="002D49B0" w:rsidRPr="00083739" w:rsidRDefault="00BF4125">
      <w:pPr>
        <w:pStyle w:val="P68B1DB1-Normal4"/>
        <w:keepNext/>
        <w:numPr>
          <w:ilvl w:val="1"/>
          <w:numId w:val="22"/>
        </w:numPr>
        <w:spacing w:before="40" w:after="160" w:line="259" w:lineRule="auto"/>
        <w:ind w:left="0"/>
        <w:contextualSpacing/>
        <w:jc w:val="both"/>
        <w:rPr>
          <w:rFonts w:eastAsia="Times New Roman" w:cs="Times New Roman"/>
          <w:noProof/>
          <w:lang w:val="sk-SK"/>
        </w:rPr>
      </w:pPr>
      <w:r w:rsidRPr="00083739">
        <w:rPr>
          <w:rFonts w:cs="Times New Roman"/>
          <w:noProof/>
          <w:lang w:val="sk-SK"/>
        </w:rPr>
        <w:t xml:space="preserve"> Tretia žiadosť</w:t>
      </w:r>
      <w:r w:rsidR="00083739" w:rsidRPr="00083739">
        <w:rPr>
          <w:rFonts w:cs="Times New Roman"/>
          <w:noProof/>
          <w:lang w:val="sk-SK"/>
        </w:rPr>
        <w:t xml:space="preserve"> o </w:t>
      </w:r>
      <w:r w:rsidRPr="00083739">
        <w:rPr>
          <w:rFonts w:cs="Times New Roman"/>
          <w:noProof/>
          <w:lang w:val="sk-SK"/>
        </w:rPr>
        <w:t xml:space="preserve">platbu (úverová podpora): </w:t>
      </w:r>
    </w:p>
    <w:tbl>
      <w:tblPr>
        <w:tblW w:w="9535" w:type="dxa"/>
        <w:tblInd w:w="113" w:type="dxa"/>
        <w:tblLook w:val="04A0" w:firstRow="1" w:lastRow="0" w:firstColumn="1" w:lastColumn="0" w:noHBand="0" w:noVBand="1"/>
      </w:tblPr>
      <w:tblGrid>
        <w:gridCol w:w="1804"/>
        <w:gridCol w:w="4283"/>
        <w:gridCol w:w="1692"/>
        <w:gridCol w:w="1756"/>
      </w:tblGrid>
      <w:tr w:rsidR="002D49B0" w:rsidRPr="00083739" w14:paraId="05BEE94B" w14:textId="77777777">
        <w:trPr>
          <w:trHeight w:val="906"/>
        </w:trPr>
        <w:tc>
          <w:tcPr>
            <w:tcW w:w="1804"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316D1E96" w14:textId="77777777" w:rsidR="002D49B0" w:rsidRPr="00083739" w:rsidRDefault="00BF4125">
            <w:pPr>
              <w:pStyle w:val="P68B1DB1-Normal7"/>
              <w:keepNext/>
              <w:spacing w:before="40" w:after="0" w:line="259" w:lineRule="auto"/>
              <w:jc w:val="center"/>
              <w:rPr>
                <w:rFonts w:eastAsia="Times New Roman" w:cs="Times New Roman"/>
                <w:bCs/>
                <w:noProof/>
                <w:szCs w:val="18"/>
                <w:lang w:val="sk-SK"/>
              </w:rPr>
            </w:pPr>
            <w:r w:rsidRPr="00083739">
              <w:rPr>
                <w:rFonts w:cs="Times New Roman"/>
                <w:noProof/>
                <w:lang w:val="sk-SK"/>
              </w:rPr>
              <w:t>Poradové číslo</w:t>
            </w:r>
          </w:p>
        </w:tc>
        <w:tc>
          <w:tcPr>
            <w:tcW w:w="428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423B2367" w14:textId="77777777" w:rsidR="002D49B0" w:rsidRPr="00083739" w:rsidRDefault="00BF4125">
            <w:pPr>
              <w:pStyle w:val="P68B1DB1-Normal7"/>
              <w:keepNext/>
              <w:spacing w:before="40" w:after="0" w:line="259" w:lineRule="auto"/>
              <w:jc w:val="center"/>
              <w:rPr>
                <w:rFonts w:eastAsia="Times New Roman" w:cs="Times New Roman"/>
                <w:bCs/>
                <w:noProof/>
                <w:szCs w:val="18"/>
                <w:lang w:val="sk-SK"/>
              </w:rPr>
            </w:pPr>
            <w:r w:rsidRPr="00083739">
              <w:rPr>
                <w:rFonts w:cs="Times New Roman"/>
                <w:noProof/>
                <w:lang w:val="sk-SK"/>
              </w:rPr>
              <w:t>Súvisiace opatrenie (reforma alebo investícia)</w:t>
            </w:r>
          </w:p>
        </w:tc>
        <w:tc>
          <w:tcPr>
            <w:tcW w:w="1692"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71CA081F" w14:textId="77777777" w:rsidR="002D49B0" w:rsidRPr="00083739" w:rsidRDefault="00BF4125">
            <w:pPr>
              <w:pStyle w:val="P68B1DB1-Normal7"/>
              <w:keepNext/>
              <w:spacing w:before="40" w:after="0" w:line="259" w:lineRule="auto"/>
              <w:jc w:val="center"/>
              <w:rPr>
                <w:rFonts w:eastAsia="Times New Roman" w:cs="Times New Roman"/>
                <w:bCs/>
                <w:noProof/>
                <w:szCs w:val="18"/>
                <w:lang w:val="sk-SK"/>
              </w:rPr>
            </w:pPr>
            <w:r w:rsidRPr="00083739">
              <w:rPr>
                <w:rFonts w:cs="Times New Roman"/>
                <w:noProof/>
                <w:lang w:val="sk-SK"/>
              </w:rPr>
              <w:t>Míľnik/cieľ</w:t>
            </w:r>
          </w:p>
        </w:tc>
        <w:tc>
          <w:tcPr>
            <w:tcW w:w="1756" w:type="dxa"/>
            <w:vMerge w:val="restart"/>
            <w:tcBorders>
              <w:top w:val="single" w:sz="4" w:space="0" w:color="auto"/>
              <w:left w:val="nil"/>
              <w:bottom w:val="single" w:sz="4" w:space="0" w:color="000000"/>
              <w:right w:val="single" w:sz="4" w:space="0" w:color="auto"/>
            </w:tcBorders>
            <w:shd w:val="clear" w:color="auto" w:fill="BDD7EE"/>
            <w:vAlign w:val="center"/>
            <w:hideMark/>
          </w:tcPr>
          <w:p w14:paraId="6EA68811" w14:textId="77777777" w:rsidR="002D49B0" w:rsidRPr="00083739" w:rsidRDefault="00BF4125">
            <w:pPr>
              <w:pStyle w:val="P68B1DB1-Normal7"/>
              <w:keepNext/>
              <w:spacing w:before="40" w:after="0" w:line="259" w:lineRule="auto"/>
              <w:jc w:val="center"/>
              <w:rPr>
                <w:rFonts w:eastAsia="Times New Roman" w:cs="Times New Roman"/>
                <w:bCs/>
                <w:noProof/>
                <w:szCs w:val="18"/>
                <w:lang w:val="sk-SK"/>
              </w:rPr>
            </w:pPr>
            <w:r w:rsidRPr="00083739">
              <w:rPr>
                <w:rFonts w:cs="Times New Roman"/>
                <w:noProof/>
                <w:lang w:val="sk-SK"/>
              </w:rPr>
              <w:t>Názov</w:t>
            </w:r>
          </w:p>
        </w:tc>
      </w:tr>
      <w:tr w:rsidR="002D49B0" w:rsidRPr="00083739" w14:paraId="510B9805" w14:textId="77777777">
        <w:trPr>
          <w:trHeight w:val="990"/>
        </w:trPr>
        <w:tc>
          <w:tcPr>
            <w:tcW w:w="1804" w:type="dxa"/>
            <w:vMerge/>
            <w:tcBorders>
              <w:top w:val="single" w:sz="4" w:space="0" w:color="auto"/>
              <w:left w:val="single" w:sz="4" w:space="0" w:color="auto"/>
              <w:bottom w:val="single" w:sz="4" w:space="0" w:color="000000"/>
              <w:right w:val="single" w:sz="4" w:space="0" w:color="auto"/>
            </w:tcBorders>
            <w:vAlign w:val="center"/>
            <w:hideMark/>
          </w:tcPr>
          <w:p w14:paraId="08089221"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c>
          <w:tcPr>
            <w:tcW w:w="4283" w:type="dxa"/>
            <w:vMerge/>
            <w:tcBorders>
              <w:top w:val="single" w:sz="4" w:space="0" w:color="auto"/>
              <w:left w:val="single" w:sz="4" w:space="0" w:color="auto"/>
              <w:bottom w:val="single" w:sz="4" w:space="0" w:color="000000"/>
              <w:right w:val="single" w:sz="4" w:space="0" w:color="auto"/>
            </w:tcBorders>
            <w:vAlign w:val="center"/>
            <w:hideMark/>
          </w:tcPr>
          <w:p w14:paraId="4BDAB216"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c>
          <w:tcPr>
            <w:tcW w:w="1692" w:type="dxa"/>
            <w:vMerge/>
            <w:tcBorders>
              <w:top w:val="single" w:sz="4" w:space="0" w:color="auto"/>
              <w:left w:val="single" w:sz="4" w:space="0" w:color="auto"/>
              <w:bottom w:val="single" w:sz="4" w:space="0" w:color="000000"/>
              <w:right w:val="single" w:sz="4" w:space="0" w:color="auto"/>
            </w:tcBorders>
            <w:vAlign w:val="center"/>
            <w:hideMark/>
          </w:tcPr>
          <w:p w14:paraId="1FEED561"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c>
          <w:tcPr>
            <w:tcW w:w="1756" w:type="dxa"/>
            <w:vMerge/>
            <w:tcBorders>
              <w:top w:val="single" w:sz="4" w:space="0" w:color="auto"/>
              <w:left w:val="nil"/>
              <w:bottom w:val="single" w:sz="4" w:space="0" w:color="000000"/>
              <w:right w:val="single" w:sz="4" w:space="0" w:color="auto"/>
            </w:tcBorders>
            <w:vAlign w:val="center"/>
            <w:hideMark/>
          </w:tcPr>
          <w:p w14:paraId="287CA67B"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r>
      <w:tr w:rsidR="002D49B0" w:rsidRPr="00083739" w14:paraId="64B1F130" w14:textId="77777777">
        <w:trPr>
          <w:trHeight w:val="302"/>
        </w:trPr>
        <w:tc>
          <w:tcPr>
            <w:tcW w:w="1804"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4D3E1C4"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325</w:t>
            </w:r>
          </w:p>
        </w:tc>
        <w:tc>
          <w:tcPr>
            <w:tcW w:w="4283" w:type="dxa"/>
            <w:tcBorders>
              <w:top w:val="single" w:sz="4" w:space="0" w:color="auto"/>
              <w:left w:val="nil"/>
              <w:bottom w:val="single" w:sz="4" w:space="0" w:color="auto"/>
              <w:right w:val="single" w:sz="4" w:space="0" w:color="auto"/>
            </w:tcBorders>
            <w:shd w:val="clear" w:color="000000" w:fill="C6EFCE"/>
            <w:noWrap/>
            <w:vAlign w:val="center"/>
            <w:hideMark/>
          </w:tcPr>
          <w:p w14:paraId="0F88EFE7" w14:textId="2523DA3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4.7. Zlepšiť konkurencieschopnosť</w:t>
            </w:r>
            <w:r w:rsidR="00083739" w:rsidRPr="00083739">
              <w:rPr>
                <w:rFonts w:cs="Times New Roman"/>
                <w:noProof/>
                <w:lang w:val="sk-SK"/>
              </w:rPr>
              <w:t xml:space="preserve"> a </w:t>
            </w:r>
            <w:r w:rsidRPr="00083739">
              <w:rPr>
                <w:rFonts w:cs="Times New Roman"/>
                <w:noProof/>
                <w:lang w:val="sk-SK"/>
              </w:rPr>
              <w:t>podporiť súkromné investície</w:t>
            </w:r>
            <w:r w:rsidR="00083739" w:rsidRPr="00083739">
              <w:rPr>
                <w:rFonts w:cs="Times New Roman"/>
                <w:noProof/>
                <w:lang w:val="sk-SK"/>
              </w:rPr>
              <w:t xml:space="preserve"> a </w:t>
            </w:r>
            <w:r w:rsidRPr="00083739">
              <w:rPr>
                <w:rFonts w:cs="Times New Roman"/>
                <w:noProof/>
                <w:lang w:val="sk-SK"/>
              </w:rPr>
              <w:t>vývoz – úverový nástroj 16980_RRP</w:t>
            </w:r>
          </w:p>
        </w:tc>
        <w:tc>
          <w:tcPr>
            <w:tcW w:w="1692" w:type="dxa"/>
            <w:tcBorders>
              <w:top w:val="single" w:sz="4" w:space="0" w:color="auto"/>
              <w:left w:val="nil"/>
              <w:bottom w:val="single" w:sz="4" w:space="0" w:color="auto"/>
              <w:right w:val="single" w:sz="4" w:space="0" w:color="auto"/>
            </w:tcBorders>
            <w:shd w:val="clear" w:color="000000" w:fill="C6EFCE"/>
            <w:noWrap/>
            <w:vAlign w:val="center"/>
            <w:hideMark/>
          </w:tcPr>
          <w:p w14:paraId="13682047"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Cieľ</w:t>
            </w:r>
          </w:p>
        </w:tc>
        <w:tc>
          <w:tcPr>
            <w:tcW w:w="1756" w:type="dxa"/>
            <w:tcBorders>
              <w:top w:val="single" w:sz="4" w:space="0" w:color="auto"/>
              <w:left w:val="nil"/>
              <w:bottom w:val="single" w:sz="4" w:space="0" w:color="auto"/>
              <w:right w:val="single" w:sz="4" w:space="0" w:color="auto"/>
            </w:tcBorders>
            <w:shd w:val="clear" w:color="000000" w:fill="C6EFCE"/>
            <w:noWrap/>
            <w:vAlign w:val="center"/>
            <w:hideMark/>
          </w:tcPr>
          <w:p w14:paraId="1CAAEF7B" w14:textId="1B9C5118"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 xml:space="preserve">Finančné prostriedky finančných </w:t>
            </w:r>
            <w:r w:rsidRPr="00083739">
              <w:rPr>
                <w:rFonts w:cs="Times New Roman"/>
                <w:noProof/>
                <w:lang w:val="sk-SK"/>
              </w:rPr>
              <w:t>inštitúcií vo výške 3518.4 mil. EUR podpísané</w:t>
            </w:r>
            <w:r w:rsidR="00083739" w:rsidRPr="00083739">
              <w:rPr>
                <w:rFonts w:cs="Times New Roman"/>
                <w:noProof/>
                <w:lang w:val="sk-SK"/>
              </w:rPr>
              <w:t xml:space="preserve"> s </w:t>
            </w:r>
            <w:r w:rsidRPr="00083739">
              <w:rPr>
                <w:rFonts w:cs="Times New Roman"/>
                <w:noProof/>
                <w:lang w:val="sk-SK"/>
              </w:rPr>
              <w:t>konečnými príjemcami</w:t>
            </w:r>
          </w:p>
        </w:tc>
      </w:tr>
      <w:tr w:rsidR="002D49B0" w:rsidRPr="00083739" w14:paraId="53D82DEB" w14:textId="77777777">
        <w:trPr>
          <w:trHeight w:val="302"/>
        </w:trPr>
        <w:tc>
          <w:tcPr>
            <w:tcW w:w="18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97E9E6C"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c>
          <w:tcPr>
            <w:tcW w:w="4283" w:type="dxa"/>
            <w:tcBorders>
              <w:top w:val="single" w:sz="4" w:space="0" w:color="auto"/>
              <w:left w:val="nil"/>
              <w:bottom w:val="single" w:sz="4" w:space="0" w:color="auto"/>
              <w:right w:val="single" w:sz="4" w:space="0" w:color="auto"/>
            </w:tcBorders>
            <w:shd w:val="clear" w:color="auto" w:fill="C6EFCE"/>
            <w:noWrap/>
            <w:vAlign w:val="bottom"/>
          </w:tcPr>
          <w:p w14:paraId="299062DD" w14:textId="77777777" w:rsidR="002D49B0" w:rsidRPr="00083739" w:rsidRDefault="002D49B0">
            <w:pPr>
              <w:keepNext/>
              <w:spacing w:before="40" w:after="0" w:line="240" w:lineRule="auto"/>
              <w:jc w:val="both"/>
              <w:rPr>
                <w:rFonts w:ascii="Times New Roman" w:eastAsia="Times New Roman" w:hAnsi="Times New Roman" w:cs="Times New Roman"/>
                <w:bCs/>
                <w:noProof/>
                <w:sz w:val="18"/>
                <w:szCs w:val="18"/>
                <w:lang w:val="sk-SK"/>
              </w:rPr>
            </w:pPr>
          </w:p>
        </w:tc>
        <w:tc>
          <w:tcPr>
            <w:tcW w:w="1692" w:type="dxa"/>
            <w:tcBorders>
              <w:top w:val="single" w:sz="4" w:space="0" w:color="auto"/>
              <w:left w:val="nil"/>
              <w:bottom w:val="single" w:sz="4" w:space="0" w:color="auto"/>
              <w:right w:val="single" w:sz="4" w:space="0" w:color="auto"/>
            </w:tcBorders>
            <w:shd w:val="clear" w:color="auto" w:fill="C6EFCE"/>
            <w:noWrap/>
            <w:vAlign w:val="bottom"/>
          </w:tcPr>
          <w:p w14:paraId="232D72A8"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Suma splátky</w:t>
            </w:r>
          </w:p>
        </w:tc>
        <w:tc>
          <w:tcPr>
            <w:tcW w:w="1756" w:type="dxa"/>
            <w:tcBorders>
              <w:top w:val="single" w:sz="4" w:space="0" w:color="auto"/>
              <w:left w:val="nil"/>
              <w:bottom w:val="single" w:sz="4" w:space="0" w:color="auto"/>
              <w:right w:val="single" w:sz="4" w:space="0" w:color="auto"/>
            </w:tcBorders>
            <w:shd w:val="clear" w:color="auto" w:fill="C6EFCE"/>
            <w:noWrap/>
            <w:vAlign w:val="bottom"/>
          </w:tcPr>
          <w:p w14:paraId="21945D9E"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2 121 256 487 EUR</w:t>
            </w:r>
          </w:p>
        </w:tc>
      </w:tr>
    </w:tbl>
    <w:p w14:paraId="27668111" w14:textId="77777777" w:rsidR="002D49B0" w:rsidRPr="00083739" w:rsidRDefault="002D49B0">
      <w:pPr>
        <w:keepNext/>
        <w:spacing w:before="40" w:after="0" w:line="259" w:lineRule="auto"/>
        <w:jc w:val="both"/>
        <w:rPr>
          <w:rFonts w:ascii="Times New Roman" w:eastAsia="Times New Roman" w:hAnsi="Times New Roman" w:cs="Times New Roman"/>
          <w:bCs/>
          <w:noProof/>
          <w:sz w:val="24"/>
          <w:szCs w:val="26"/>
          <w:lang w:val="sk-SK"/>
        </w:rPr>
      </w:pPr>
    </w:p>
    <w:p w14:paraId="227223D9" w14:textId="308DEAE3" w:rsidR="002D49B0" w:rsidRPr="00083739" w:rsidRDefault="00BF4125">
      <w:pPr>
        <w:pStyle w:val="P68B1DB1-Normal4"/>
        <w:keepNext/>
        <w:numPr>
          <w:ilvl w:val="1"/>
          <w:numId w:val="22"/>
        </w:numPr>
        <w:spacing w:before="40" w:after="160" w:line="259" w:lineRule="auto"/>
        <w:ind w:left="0"/>
        <w:contextualSpacing/>
        <w:jc w:val="both"/>
        <w:rPr>
          <w:rFonts w:eastAsia="Times New Roman" w:cs="Times New Roman"/>
          <w:noProof/>
          <w:lang w:val="sk-SK"/>
        </w:rPr>
      </w:pPr>
      <w:r w:rsidRPr="00083739">
        <w:rPr>
          <w:rFonts w:cs="Times New Roman"/>
          <w:noProof/>
          <w:lang w:val="sk-SK"/>
        </w:rPr>
        <w:t>Štvrtá žiadosť</w:t>
      </w:r>
      <w:r w:rsidR="00083739" w:rsidRPr="00083739">
        <w:rPr>
          <w:rFonts w:cs="Times New Roman"/>
          <w:noProof/>
          <w:lang w:val="sk-SK"/>
        </w:rPr>
        <w:t xml:space="preserve"> o </w:t>
      </w:r>
      <w:r w:rsidRPr="00083739">
        <w:rPr>
          <w:rFonts w:cs="Times New Roman"/>
          <w:noProof/>
          <w:lang w:val="sk-SK"/>
        </w:rPr>
        <w:t xml:space="preserve">platbu (úverová podpora): </w:t>
      </w:r>
    </w:p>
    <w:tbl>
      <w:tblPr>
        <w:tblW w:w="9535" w:type="dxa"/>
        <w:tblInd w:w="113" w:type="dxa"/>
        <w:tblLayout w:type="fixed"/>
        <w:tblLook w:val="04A0" w:firstRow="1" w:lastRow="0" w:firstColumn="1" w:lastColumn="0" w:noHBand="0" w:noVBand="1"/>
      </w:tblPr>
      <w:tblGrid>
        <w:gridCol w:w="1804"/>
        <w:gridCol w:w="4283"/>
        <w:gridCol w:w="1692"/>
        <w:gridCol w:w="1756"/>
      </w:tblGrid>
      <w:tr w:rsidR="002D49B0" w:rsidRPr="00083739" w14:paraId="14E636A2" w14:textId="77777777">
        <w:trPr>
          <w:trHeight w:val="906"/>
        </w:trPr>
        <w:tc>
          <w:tcPr>
            <w:tcW w:w="1804"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0FD5F7EE" w14:textId="77777777" w:rsidR="002D49B0" w:rsidRPr="00083739" w:rsidRDefault="00BF4125">
            <w:pPr>
              <w:pStyle w:val="P68B1DB1-Normal8"/>
              <w:keepNext/>
              <w:spacing w:before="40" w:after="0" w:line="259" w:lineRule="auto"/>
              <w:jc w:val="center"/>
              <w:rPr>
                <w:rFonts w:eastAsia="Times New Roman" w:cs="Times New Roman"/>
                <w:noProof/>
                <w:szCs w:val="18"/>
                <w:lang w:val="sk-SK"/>
              </w:rPr>
            </w:pPr>
            <w:bookmarkStart w:id="2" w:name="_Hlk150347477"/>
            <w:r w:rsidRPr="00083739">
              <w:rPr>
                <w:rFonts w:cs="Times New Roman"/>
                <w:noProof/>
                <w:lang w:val="sk-SK"/>
              </w:rPr>
              <w:t>Poradové číslo</w:t>
            </w:r>
          </w:p>
        </w:tc>
        <w:tc>
          <w:tcPr>
            <w:tcW w:w="428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1E950C80" w14:textId="77777777" w:rsidR="002D49B0" w:rsidRPr="00083739" w:rsidRDefault="00BF4125">
            <w:pPr>
              <w:pStyle w:val="P68B1DB1-Normal8"/>
              <w:keepNext/>
              <w:spacing w:before="40" w:after="0" w:line="259" w:lineRule="auto"/>
              <w:jc w:val="center"/>
              <w:rPr>
                <w:rFonts w:eastAsia="Times New Roman" w:cs="Times New Roman"/>
                <w:noProof/>
                <w:szCs w:val="18"/>
                <w:lang w:val="sk-SK"/>
              </w:rPr>
            </w:pPr>
            <w:r w:rsidRPr="00083739">
              <w:rPr>
                <w:rFonts w:cs="Times New Roman"/>
                <w:noProof/>
                <w:lang w:val="sk-SK"/>
              </w:rPr>
              <w:t>Súvisiace opatrenie (reforma alebo investícia)</w:t>
            </w:r>
          </w:p>
        </w:tc>
        <w:tc>
          <w:tcPr>
            <w:tcW w:w="1692"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570D5654" w14:textId="77777777" w:rsidR="002D49B0" w:rsidRPr="00083739" w:rsidRDefault="00BF4125">
            <w:pPr>
              <w:pStyle w:val="P68B1DB1-Normal8"/>
              <w:keepNext/>
              <w:spacing w:before="40" w:after="0" w:line="259" w:lineRule="auto"/>
              <w:jc w:val="center"/>
              <w:rPr>
                <w:rFonts w:eastAsia="Times New Roman" w:cs="Times New Roman"/>
                <w:noProof/>
                <w:szCs w:val="18"/>
                <w:lang w:val="sk-SK"/>
              </w:rPr>
            </w:pPr>
            <w:r w:rsidRPr="00083739">
              <w:rPr>
                <w:rFonts w:cs="Times New Roman"/>
                <w:noProof/>
                <w:lang w:val="sk-SK"/>
              </w:rPr>
              <w:t>Míľnik/cieľ</w:t>
            </w:r>
          </w:p>
        </w:tc>
        <w:tc>
          <w:tcPr>
            <w:tcW w:w="1756" w:type="dxa"/>
            <w:vMerge w:val="restart"/>
            <w:tcBorders>
              <w:top w:val="single" w:sz="4" w:space="0" w:color="auto"/>
              <w:left w:val="nil"/>
              <w:bottom w:val="single" w:sz="4" w:space="0" w:color="000000"/>
              <w:right w:val="single" w:sz="4" w:space="0" w:color="auto"/>
            </w:tcBorders>
            <w:shd w:val="clear" w:color="auto" w:fill="BDD7EE"/>
            <w:vAlign w:val="center"/>
            <w:hideMark/>
          </w:tcPr>
          <w:p w14:paraId="35B5A776" w14:textId="77777777" w:rsidR="002D49B0" w:rsidRPr="00083739" w:rsidRDefault="00BF4125">
            <w:pPr>
              <w:pStyle w:val="P68B1DB1-Normal8"/>
              <w:keepNext/>
              <w:spacing w:before="40" w:after="0" w:line="259" w:lineRule="auto"/>
              <w:jc w:val="center"/>
              <w:rPr>
                <w:rFonts w:eastAsia="Times New Roman" w:cs="Times New Roman"/>
                <w:noProof/>
                <w:szCs w:val="18"/>
                <w:lang w:val="sk-SK"/>
              </w:rPr>
            </w:pPr>
            <w:r w:rsidRPr="00083739">
              <w:rPr>
                <w:rFonts w:cs="Times New Roman"/>
                <w:noProof/>
                <w:lang w:val="sk-SK"/>
              </w:rPr>
              <w:t>Názov</w:t>
            </w:r>
          </w:p>
        </w:tc>
      </w:tr>
      <w:tr w:rsidR="002D49B0" w:rsidRPr="00083739" w14:paraId="660CF0EC" w14:textId="77777777">
        <w:trPr>
          <w:trHeight w:val="990"/>
        </w:trPr>
        <w:tc>
          <w:tcPr>
            <w:tcW w:w="1804" w:type="dxa"/>
            <w:vMerge/>
            <w:tcBorders>
              <w:top w:val="single" w:sz="4" w:space="0" w:color="auto"/>
              <w:left w:val="single" w:sz="4" w:space="0" w:color="auto"/>
              <w:bottom w:val="single" w:sz="4" w:space="0" w:color="000000"/>
              <w:right w:val="single" w:sz="4" w:space="0" w:color="auto"/>
            </w:tcBorders>
            <w:vAlign w:val="center"/>
            <w:hideMark/>
          </w:tcPr>
          <w:p w14:paraId="5ECA9361"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c>
          <w:tcPr>
            <w:tcW w:w="4283" w:type="dxa"/>
            <w:vMerge/>
            <w:tcBorders>
              <w:top w:val="single" w:sz="4" w:space="0" w:color="auto"/>
              <w:left w:val="single" w:sz="4" w:space="0" w:color="auto"/>
              <w:bottom w:val="single" w:sz="4" w:space="0" w:color="000000"/>
              <w:right w:val="single" w:sz="4" w:space="0" w:color="auto"/>
            </w:tcBorders>
            <w:vAlign w:val="center"/>
            <w:hideMark/>
          </w:tcPr>
          <w:p w14:paraId="1C84E8BA"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c>
          <w:tcPr>
            <w:tcW w:w="1692" w:type="dxa"/>
            <w:vMerge/>
            <w:tcBorders>
              <w:top w:val="single" w:sz="4" w:space="0" w:color="auto"/>
              <w:left w:val="single" w:sz="4" w:space="0" w:color="auto"/>
              <w:bottom w:val="single" w:sz="4" w:space="0" w:color="000000"/>
              <w:right w:val="single" w:sz="4" w:space="0" w:color="auto"/>
            </w:tcBorders>
            <w:vAlign w:val="center"/>
            <w:hideMark/>
          </w:tcPr>
          <w:p w14:paraId="31E0DE0B"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c>
          <w:tcPr>
            <w:tcW w:w="1756" w:type="dxa"/>
            <w:vMerge/>
            <w:tcBorders>
              <w:top w:val="single" w:sz="4" w:space="0" w:color="auto"/>
              <w:left w:val="nil"/>
              <w:bottom w:val="single" w:sz="4" w:space="0" w:color="000000"/>
              <w:right w:val="single" w:sz="4" w:space="0" w:color="auto"/>
            </w:tcBorders>
            <w:vAlign w:val="center"/>
            <w:hideMark/>
          </w:tcPr>
          <w:p w14:paraId="1AB327DC"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r>
      <w:tr w:rsidR="002D49B0" w:rsidRPr="00083739" w14:paraId="016DDE52" w14:textId="77777777">
        <w:trPr>
          <w:trHeight w:val="302"/>
        </w:trPr>
        <w:tc>
          <w:tcPr>
            <w:tcW w:w="1804"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9836AF3"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325a</w:t>
            </w:r>
          </w:p>
        </w:tc>
        <w:tc>
          <w:tcPr>
            <w:tcW w:w="4283" w:type="dxa"/>
            <w:tcBorders>
              <w:top w:val="single" w:sz="4" w:space="0" w:color="auto"/>
              <w:left w:val="nil"/>
              <w:bottom w:val="single" w:sz="4" w:space="0" w:color="auto"/>
              <w:right w:val="single" w:sz="4" w:space="0" w:color="auto"/>
            </w:tcBorders>
            <w:shd w:val="clear" w:color="000000" w:fill="C6EFCE"/>
            <w:noWrap/>
            <w:vAlign w:val="center"/>
            <w:hideMark/>
          </w:tcPr>
          <w:p w14:paraId="61AA9E41" w14:textId="2B21627E"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 xml:space="preserve">4.7. Zlepšiť </w:t>
            </w:r>
            <w:r w:rsidRPr="00083739">
              <w:rPr>
                <w:rFonts w:cs="Times New Roman"/>
                <w:noProof/>
                <w:lang w:val="sk-SK"/>
              </w:rPr>
              <w:t>konkurencieschopnosť</w:t>
            </w:r>
            <w:r w:rsidR="00083739" w:rsidRPr="00083739">
              <w:rPr>
                <w:rFonts w:cs="Times New Roman"/>
                <w:noProof/>
                <w:lang w:val="sk-SK"/>
              </w:rPr>
              <w:t xml:space="preserve"> a </w:t>
            </w:r>
            <w:r w:rsidRPr="00083739">
              <w:rPr>
                <w:rFonts w:cs="Times New Roman"/>
                <w:noProof/>
                <w:lang w:val="sk-SK"/>
              </w:rPr>
              <w:t>podporiť súkromné investície</w:t>
            </w:r>
            <w:r w:rsidR="00083739" w:rsidRPr="00083739">
              <w:rPr>
                <w:rFonts w:cs="Times New Roman"/>
                <w:noProof/>
                <w:lang w:val="sk-SK"/>
              </w:rPr>
              <w:t xml:space="preserve"> a </w:t>
            </w:r>
            <w:r w:rsidRPr="00083739">
              <w:rPr>
                <w:rFonts w:cs="Times New Roman"/>
                <w:noProof/>
                <w:lang w:val="sk-SK"/>
              </w:rPr>
              <w:t>vývoz – úverový nástroj 16980_RRP</w:t>
            </w:r>
          </w:p>
        </w:tc>
        <w:tc>
          <w:tcPr>
            <w:tcW w:w="1692" w:type="dxa"/>
            <w:tcBorders>
              <w:top w:val="single" w:sz="4" w:space="0" w:color="auto"/>
              <w:left w:val="nil"/>
              <w:bottom w:val="single" w:sz="4" w:space="0" w:color="auto"/>
              <w:right w:val="single" w:sz="4" w:space="0" w:color="auto"/>
            </w:tcBorders>
            <w:shd w:val="clear" w:color="000000" w:fill="C6EFCE"/>
            <w:noWrap/>
            <w:vAlign w:val="center"/>
            <w:hideMark/>
          </w:tcPr>
          <w:p w14:paraId="6986035F"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Cieľ</w:t>
            </w:r>
          </w:p>
        </w:tc>
        <w:tc>
          <w:tcPr>
            <w:tcW w:w="1756" w:type="dxa"/>
            <w:tcBorders>
              <w:top w:val="single" w:sz="4" w:space="0" w:color="auto"/>
              <w:left w:val="nil"/>
              <w:bottom w:val="single" w:sz="4" w:space="0" w:color="auto"/>
              <w:right w:val="single" w:sz="4" w:space="0" w:color="auto"/>
            </w:tcBorders>
            <w:shd w:val="clear" w:color="000000" w:fill="C6EFCE"/>
            <w:noWrap/>
            <w:vAlign w:val="center"/>
            <w:hideMark/>
          </w:tcPr>
          <w:p w14:paraId="553C3298" w14:textId="60A53B44"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Finančné prostriedky finančných inštitúcií vo výške 4518.4 mil. EUR podpísané</w:t>
            </w:r>
            <w:r w:rsidR="00083739" w:rsidRPr="00083739">
              <w:rPr>
                <w:rFonts w:cs="Times New Roman"/>
                <w:noProof/>
                <w:lang w:val="sk-SK"/>
              </w:rPr>
              <w:t xml:space="preserve"> s </w:t>
            </w:r>
            <w:r w:rsidRPr="00083739">
              <w:rPr>
                <w:rFonts w:cs="Times New Roman"/>
                <w:noProof/>
                <w:lang w:val="sk-SK"/>
              </w:rPr>
              <w:t>konečnými príjemcami</w:t>
            </w:r>
          </w:p>
        </w:tc>
      </w:tr>
      <w:tr w:rsidR="002D49B0" w:rsidRPr="00083739" w14:paraId="2956D403" w14:textId="77777777">
        <w:trPr>
          <w:trHeight w:val="302"/>
        </w:trPr>
        <w:tc>
          <w:tcPr>
            <w:tcW w:w="18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EF68EE2"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c>
          <w:tcPr>
            <w:tcW w:w="4283" w:type="dxa"/>
            <w:tcBorders>
              <w:top w:val="single" w:sz="4" w:space="0" w:color="auto"/>
              <w:left w:val="nil"/>
              <w:bottom w:val="single" w:sz="4" w:space="0" w:color="auto"/>
              <w:right w:val="single" w:sz="4" w:space="0" w:color="auto"/>
            </w:tcBorders>
            <w:shd w:val="clear" w:color="auto" w:fill="C6EFCE"/>
            <w:noWrap/>
            <w:vAlign w:val="bottom"/>
          </w:tcPr>
          <w:p w14:paraId="03D45C8F" w14:textId="77777777" w:rsidR="002D49B0" w:rsidRPr="00083739" w:rsidRDefault="002D49B0">
            <w:pPr>
              <w:keepNext/>
              <w:spacing w:before="40" w:after="0" w:line="240" w:lineRule="auto"/>
              <w:jc w:val="both"/>
              <w:rPr>
                <w:rFonts w:ascii="Times New Roman" w:eastAsia="Times New Roman" w:hAnsi="Times New Roman" w:cs="Times New Roman"/>
                <w:bCs/>
                <w:noProof/>
                <w:sz w:val="18"/>
                <w:szCs w:val="18"/>
                <w:lang w:val="sk-SK"/>
              </w:rPr>
            </w:pPr>
          </w:p>
        </w:tc>
        <w:tc>
          <w:tcPr>
            <w:tcW w:w="1692" w:type="dxa"/>
            <w:tcBorders>
              <w:top w:val="single" w:sz="4" w:space="0" w:color="auto"/>
              <w:left w:val="nil"/>
              <w:bottom w:val="single" w:sz="4" w:space="0" w:color="auto"/>
              <w:right w:val="single" w:sz="4" w:space="0" w:color="auto"/>
            </w:tcBorders>
            <w:shd w:val="clear" w:color="auto" w:fill="C6EFCE"/>
            <w:noWrap/>
            <w:vAlign w:val="bottom"/>
          </w:tcPr>
          <w:p w14:paraId="04EF7A8C"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Suma splátky</w:t>
            </w:r>
          </w:p>
        </w:tc>
        <w:tc>
          <w:tcPr>
            <w:tcW w:w="1756" w:type="dxa"/>
            <w:tcBorders>
              <w:top w:val="single" w:sz="4" w:space="0" w:color="auto"/>
              <w:left w:val="nil"/>
              <w:bottom w:val="single" w:sz="4" w:space="0" w:color="auto"/>
              <w:right w:val="single" w:sz="4" w:space="0" w:color="auto"/>
            </w:tcBorders>
            <w:shd w:val="clear" w:color="auto" w:fill="C6EFCE"/>
            <w:noWrap/>
            <w:vAlign w:val="bottom"/>
          </w:tcPr>
          <w:p w14:paraId="723D00DB" w14:textId="3226433A"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2 534 514 342 EUR</w:t>
            </w:r>
          </w:p>
        </w:tc>
      </w:tr>
      <w:bookmarkEnd w:id="2"/>
    </w:tbl>
    <w:p w14:paraId="031033B6" w14:textId="77777777" w:rsidR="002D49B0" w:rsidRPr="00083739" w:rsidRDefault="002D49B0">
      <w:pPr>
        <w:keepNext/>
        <w:spacing w:before="40" w:after="0" w:line="259" w:lineRule="auto"/>
        <w:jc w:val="both"/>
        <w:rPr>
          <w:rFonts w:ascii="Times New Roman" w:eastAsia="Times New Roman" w:hAnsi="Times New Roman" w:cs="Times New Roman"/>
          <w:bCs/>
          <w:noProof/>
          <w:sz w:val="24"/>
          <w:szCs w:val="26"/>
          <w:lang w:val="sk-SK"/>
        </w:rPr>
      </w:pPr>
    </w:p>
    <w:p w14:paraId="51B07C62" w14:textId="6B89BEC6" w:rsidR="002D49B0" w:rsidRPr="00083739" w:rsidRDefault="00BF4125">
      <w:pPr>
        <w:pStyle w:val="P68B1DB1-Normal4"/>
        <w:keepNext/>
        <w:numPr>
          <w:ilvl w:val="1"/>
          <w:numId w:val="22"/>
        </w:numPr>
        <w:spacing w:before="40" w:after="160" w:line="259" w:lineRule="auto"/>
        <w:ind w:left="0"/>
        <w:contextualSpacing/>
        <w:jc w:val="both"/>
        <w:rPr>
          <w:rFonts w:eastAsia="Times New Roman" w:cs="Times New Roman"/>
          <w:noProof/>
          <w:lang w:val="sk-SK"/>
        </w:rPr>
      </w:pPr>
      <w:r w:rsidRPr="00083739">
        <w:rPr>
          <w:rFonts w:cs="Times New Roman"/>
          <w:noProof/>
          <w:lang w:val="sk-SK"/>
        </w:rPr>
        <w:t xml:space="preserve"> Piata žiadosť</w:t>
      </w:r>
      <w:r w:rsidR="00083739" w:rsidRPr="00083739">
        <w:rPr>
          <w:rFonts w:cs="Times New Roman"/>
          <w:noProof/>
          <w:lang w:val="sk-SK"/>
        </w:rPr>
        <w:t xml:space="preserve"> o </w:t>
      </w:r>
      <w:r w:rsidRPr="00083739">
        <w:rPr>
          <w:rFonts w:cs="Times New Roman"/>
          <w:noProof/>
          <w:lang w:val="sk-SK"/>
        </w:rPr>
        <w:t xml:space="preserve">platbu (úverová podpora): </w:t>
      </w:r>
    </w:p>
    <w:tbl>
      <w:tblPr>
        <w:tblpPr w:leftFromText="180" w:rightFromText="180" w:vertAnchor="text" w:tblpX="113" w:tblpY="1"/>
        <w:tblOverlap w:val="never"/>
        <w:tblW w:w="9519" w:type="dxa"/>
        <w:tblLayout w:type="fixed"/>
        <w:tblLook w:val="04A0" w:firstRow="1" w:lastRow="0" w:firstColumn="1" w:lastColumn="0" w:noHBand="0" w:noVBand="1"/>
      </w:tblPr>
      <w:tblGrid>
        <w:gridCol w:w="1804"/>
        <w:gridCol w:w="4283"/>
        <w:gridCol w:w="1692"/>
        <w:gridCol w:w="1740"/>
      </w:tblGrid>
      <w:tr w:rsidR="002D49B0" w:rsidRPr="00083739" w14:paraId="51412791" w14:textId="77777777">
        <w:trPr>
          <w:trHeight w:val="906"/>
          <w:tblHeader/>
        </w:trPr>
        <w:tc>
          <w:tcPr>
            <w:tcW w:w="1804"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7AA0A82B" w14:textId="77777777" w:rsidR="002D49B0" w:rsidRPr="00083739" w:rsidRDefault="00BF4125">
            <w:pPr>
              <w:pStyle w:val="P68B1DB1-Normal7"/>
              <w:keepNext/>
              <w:spacing w:before="40" w:after="0" w:line="240" w:lineRule="auto"/>
              <w:jc w:val="center"/>
              <w:rPr>
                <w:rFonts w:eastAsia="Times New Roman" w:cs="Times New Roman"/>
                <w:bCs/>
                <w:noProof/>
                <w:szCs w:val="18"/>
                <w:lang w:val="sk-SK"/>
              </w:rPr>
            </w:pPr>
            <w:r w:rsidRPr="00083739">
              <w:rPr>
                <w:rFonts w:cs="Times New Roman"/>
                <w:noProof/>
                <w:lang w:val="sk-SK"/>
              </w:rPr>
              <w:t>Poradové číslo</w:t>
            </w:r>
          </w:p>
        </w:tc>
        <w:tc>
          <w:tcPr>
            <w:tcW w:w="428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00608165" w14:textId="77777777" w:rsidR="002D49B0" w:rsidRPr="00083739" w:rsidRDefault="00BF4125">
            <w:pPr>
              <w:pStyle w:val="P68B1DB1-Normal7"/>
              <w:keepNext/>
              <w:spacing w:before="40" w:after="0" w:line="240" w:lineRule="auto"/>
              <w:jc w:val="center"/>
              <w:rPr>
                <w:rFonts w:eastAsia="Times New Roman" w:cs="Times New Roman"/>
                <w:bCs/>
                <w:noProof/>
                <w:szCs w:val="18"/>
                <w:lang w:val="sk-SK"/>
              </w:rPr>
            </w:pPr>
            <w:r w:rsidRPr="00083739">
              <w:rPr>
                <w:rFonts w:cs="Times New Roman"/>
                <w:noProof/>
                <w:lang w:val="sk-SK"/>
              </w:rPr>
              <w:t>Súvisiace opatrenie (reforma alebo investícia)</w:t>
            </w:r>
          </w:p>
        </w:tc>
        <w:tc>
          <w:tcPr>
            <w:tcW w:w="1692"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1150B844" w14:textId="77777777" w:rsidR="002D49B0" w:rsidRPr="00083739" w:rsidRDefault="00BF4125">
            <w:pPr>
              <w:pStyle w:val="P68B1DB1-Normal7"/>
              <w:keepNext/>
              <w:spacing w:before="40" w:after="0" w:line="240" w:lineRule="auto"/>
              <w:jc w:val="center"/>
              <w:rPr>
                <w:rFonts w:eastAsia="Times New Roman" w:cs="Times New Roman"/>
                <w:bCs/>
                <w:noProof/>
                <w:szCs w:val="18"/>
                <w:lang w:val="sk-SK"/>
              </w:rPr>
            </w:pPr>
            <w:r w:rsidRPr="00083739">
              <w:rPr>
                <w:rFonts w:cs="Times New Roman"/>
                <w:noProof/>
                <w:lang w:val="sk-SK"/>
              </w:rPr>
              <w:t>Míľnik/cieľ</w:t>
            </w:r>
          </w:p>
        </w:tc>
        <w:tc>
          <w:tcPr>
            <w:tcW w:w="1740" w:type="dxa"/>
            <w:vMerge w:val="restart"/>
            <w:tcBorders>
              <w:top w:val="single" w:sz="4" w:space="0" w:color="auto"/>
              <w:left w:val="nil"/>
              <w:bottom w:val="single" w:sz="4" w:space="0" w:color="000000"/>
              <w:right w:val="single" w:sz="4" w:space="0" w:color="auto"/>
            </w:tcBorders>
            <w:shd w:val="clear" w:color="auto" w:fill="BDD7EE"/>
            <w:vAlign w:val="center"/>
            <w:hideMark/>
          </w:tcPr>
          <w:p w14:paraId="60B9C180" w14:textId="77777777" w:rsidR="002D49B0" w:rsidRPr="00083739" w:rsidRDefault="00BF4125">
            <w:pPr>
              <w:pStyle w:val="P68B1DB1-Normal7"/>
              <w:keepNext/>
              <w:spacing w:before="40" w:after="0" w:line="240" w:lineRule="auto"/>
              <w:jc w:val="center"/>
              <w:rPr>
                <w:rFonts w:eastAsia="Times New Roman" w:cs="Times New Roman"/>
                <w:bCs/>
                <w:noProof/>
                <w:szCs w:val="18"/>
                <w:lang w:val="sk-SK"/>
              </w:rPr>
            </w:pPr>
            <w:r w:rsidRPr="00083739">
              <w:rPr>
                <w:rFonts w:cs="Times New Roman"/>
                <w:noProof/>
                <w:lang w:val="sk-SK"/>
              </w:rPr>
              <w:t>Názov</w:t>
            </w:r>
          </w:p>
        </w:tc>
      </w:tr>
      <w:tr w:rsidR="002D49B0" w:rsidRPr="00083739" w14:paraId="51C3E6DB" w14:textId="77777777">
        <w:trPr>
          <w:trHeight w:val="990"/>
          <w:tblHeader/>
        </w:trPr>
        <w:tc>
          <w:tcPr>
            <w:tcW w:w="1804" w:type="dxa"/>
            <w:vMerge/>
            <w:tcBorders>
              <w:top w:val="single" w:sz="4" w:space="0" w:color="auto"/>
              <w:left w:val="single" w:sz="4" w:space="0" w:color="auto"/>
              <w:bottom w:val="single" w:sz="4" w:space="0" w:color="000000"/>
              <w:right w:val="single" w:sz="4" w:space="0" w:color="auto"/>
            </w:tcBorders>
            <w:vAlign w:val="center"/>
            <w:hideMark/>
          </w:tcPr>
          <w:p w14:paraId="4B97D073"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c>
          <w:tcPr>
            <w:tcW w:w="4283" w:type="dxa"/>
            <w:vMerge/>
            <w:tcBorders>
              <w:top w:val="single" w:sz="4" w:space="0" w:color="auto"/>
              <w:left w:val="single" w:sz="4" w:space="0" w:color="auto"/>
              <w:bottom w:val="single" w:sz="4" w:space="0" w:color="000000"/>
              <w:right w:val="single" w:sz="4" w:space="0" w:color="auto"/>
            </w:tcBorders>
            <w:vAlign w:val="center"/>
            <w:hideMark/>
          </w:tcPr>
          <w:p w14:paraId="1A249F66"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c>
          <w:tcPr>
            <w:tcW w:w="1692" w:type="dxa"/>
            <w:vMerge/>
            <w:tcBorders>
              <w:top w:val="single" w:sz="4" w:space="0" w:color="auto"/>
              <w:left w:val="single" w:sz="4" w:space="0" w:color="auto"/>
              <w:bottom w:val="single" w:sz="4" w:space="0" w:color="000000"/>
              <w:right w:val="single" w:sz="4" w:space="0" w:color="auto"/>
            </w:tcBorders>
            <w:vAlign w:val="center"/>
            <w:hideMark/>
          </w:tcPr>
          <w:p w14:paraId="0A03DACF"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c>
          <w:tcPr>
            <w:tcW w:w="1740" w:type="dxa"/>
            <w:vMerge/>
            <w:tcBorders>
              <w:top w:val="single" w:sz="4" w:space="0" w:color="auto"/>
              <w:left w:val="nil"/>
              <w:bottom w:val="single" w:sz="4" w:space="0" w:color="000000"/>
              <w:right w:val="single" w:sz="4" w:space="0" w:color="auto"/>
            </w:tcBorders>
            <w:vAlign w:val="center"/>
            <w:hideMark/>
          </w:tcPr>
          <w:p w14:paraId="50EDE701"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r>
      <w:tr w:rsidR="002D49B0" w:rsidRPr="00083739" w14:paraId="4F81D4AE" w14:textId="77777777">
        <w:trPr>
          <w:trHeight w:val="302"/>
        </w:trPr>
        <w:tc>
          <w:tcPr>
            <w:tcW w:w="1804" w:type="dxa"/>
            <w:tcBorders>
              <w:top w:val="single" w:sz="4" w:space="0" w:color="auto"/>
              <w:left w:val="single" w:sz="4" w:space="0" w:color="auto"/>
              <w:bottom w:val="single" w:sz="4" w:space="0" w:color="auto"/>
              <w:right w:val="single" w:sz="4" w:space="0" w:color="auto"/>
            </w:tcBorders>
            <w:shd w:val="clear" w:color="000000" w:fill="C6EFCE"/>
            <w:noWrap/>
            <w:vAlign w:val="center"/>
          </w:tcPr>
          <w:p w14:paraId="165FB75E" w14:textId="1C537199"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374</w:t>
            </w:r>
          </w:p>
        </w:tc>
        <w:tc>
          <w:tcPr>
            <w:tcW w:w="4283" w:type="dxa"/>
            <w:tcBorders>
              <w:top w:val="single" w:sz="4" w:space="0" w:color="auto"/>
              <w:left w:val="nil"/>
              <w:bottom w:val="single" w:sz="4" w:space="0" w:color="auto"/>
              <w:right w:val="single" w:sz="4" w:space="0" w:color="auto"/>
            </w:tcBorders>
            <w:shd w:val="clear" w:color="000000" w:fill="C6EFCE"/>
            <w:noWrap/>
            <w:vAlign w:val="center"/>
          </w:tcPr>
          <w:p w14:paraId="710A5721"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 – 1.2. Renovovať – 16401_Program energetickej modernizácie „Zmodernizovať môj domov“</w:t>
            </w:r>
          </w:p>
        </w:tc>
        <w:tc>
          <w:tcPr>
            <w:tcW w:w="1692" w:type="dxa"/>
            <w:tcBorders>
              <w:top w:val="single" w:sz="4" w:space="0" w:color="auto"/>
              <w:left w:val="nil"/>
              <w:bottom w:val="single" w:sz="4" w:space="0" w:color="auto"/>
              <w:right w:val="single" w:sz="4" w:space="0" w:color="auto"/>
            </w:tcBorders>
            <w:shd w:val="clear" w:color="000000" w:fill="C6EFCE"/>
            <w:noWrap/>
            <w:vAlign w:val="center"/>
          </w:tcPr>
          <w:p w14:paraId="34BD7FDB"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Míľnik</w:t>
            </w:r>
          </w:p>
        </w:tc>
        <w:tc>
          <w:tcPr>
            <w:tcW w:w="1740" w:type="dxa"/>
            <w:tcBorders>
              <w:top w:val="single" w:sz="4" w:space="0" w:color="auto"/>
              <w:left w:val="nil"/>
              <w:bottom w:val="single" w:sz="4" w:space="0" w:color="auto"/>
              <w:right w:val="single" w:sz="4" w:space="0" w:color="auto"/>
            </w:tcBorders>
            <w:shd w:val="clear" w:color="000000" w:fill="C6EFCE"/>
            <w:noWrap/>
            <w:vAlign w:val="center"/>
          </w:tcPr>
          <w:p w14:paraId="64DEB991" w14:textId="4235FF95"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 xml:space="preserve">Modernizácia Môj domov – vykonávacia dohoda </w:t>
            </w:r>
            <w:r w:rsidRPr="00083739">
              <w:rPr>
                <w:rFonts w:cs="Times New Roman"/>
                <w:noProof/>
                <w:lang w:val="sk-SK"/>
              </w:rPr>
              <w:t>medzi Helénskou rozvojovou bankou</w:t>
            </w:r>
            <w:r w:rsidR="00083739" w:rsidRPr="00083739">
              <w:rPr>
                <w:rFonts w:cs="Times New Roman"/>
                <w:noProof/>
                <w:lang w:val="sk-SK"/>
              </w:rPr>
              <w:t xml:space="preserve"> a </w:t>
            </w:r>
            <w:r w:rsidRPr="00083739">
              <w:rPr>
                <w:rFonts w:cs="Times New Roman"/>
                <w:noProof/>
                <w:lang w:val="sk-SK"/>
              </w:rPr>
              <w:t>ministerstvom financií</w:t>
            </w:r>
          </w:p>
        </w:tc>
      </w:tr>
      <w:tr w:rsidR="002D49B0" w:rsidRPr="00083739" w14:paraId="050AFA45" w14:textId="77777777">
        <w:trPr>
          <w:trHeight w:val="302"/>
        </w:trPr>
        <w:tc>
          <w:tcPr>
            <w:tcW w:w="1804" w:type="dxa"/>
            <w:tcBorders>
              <w:top w:val="single" w:sz="4" w:space="0" w:color="auto"/>
              <w:left w:val="single" w:sz="4" w:space="0" w:color="auto"/>
              <w:bottom w:val="single" w:sz="4" w:space="0" w:color="auto"/>
              <w:right w:val="single" w:sz="4" w:space="0" w:color="auto"/>
            </w:tcBorders>
            <w:shd w:val="clear" w:color="000000" w:fill="C6EFCE"/>
            <w:noWrap/>
            <w:vAlign w:val="center"/>
          </w:tcPr>
          <w:p w14:paraId="67E2CD39" w14:textId="12CFE0D5"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378</w:t>
            </w:r>
          </w:p>
        </w:tc>
        <w:tc>
          <w:tcPr>
            <w:tcW w:w="4283" w:type="dxa"/>
            <w:tcBorders>
              <w:top w:val="single" w:sz="4" w:space="0" w:color="auto"/>
              <w:left w:val="nil"/>
              <w:bottom w:val="single" w:sz="4" w:space="0" w:color="auto"/>
              <w:right w:val="single" w:sz="4" w:space="0" w:color="auto"/>
            </w:tcBorders>
            <w:shd w:val="clear" w:color="000000" w:fill="C6EFCE"/>
            <w:noWrap/>
            <w:vAlign w:val="center"/>
          </w:tcPr>
          <w:p w14:paraId="02E7F6A7" w14:textId="498EF46E"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11 – 3.4. Zlepšiť prístup</w:t>
            </w:r>
            <w:r w:rsidR="00083739" w:rsidRPr="00083739">
              <w:rPr>
                <w:rFonts w:cs="Times New Roman"/>
                <w:noProof/>
                <w:lang w:val="sk-SK"/>
              </w:rPr>
              <w:t xml:space="preserve"> k </w:t>
            </w:r>
            <w:r w:rsidRPr="00083739">
              <w:rPr>
                <w:rFonts w:cs="Times New Roman"/>
                <w:noProof/>
                <w:lang w:val="sk-SK"/>
              </w:rPr>
              <w:t>účinným</w:t>
            </w:r>
            <w:r w:rsidR="00083739" w:rsidRPr="00083739">
              <w:rPr>
                <w:rFonts w:cs="Times New Roman"/>
                <w:noProof/>
                <w:lang w:val="sk-SK"/>
              </w:rPr>
              <w:t xml:space="preserve"> a </w:t>
            </w:r>
            <w:r w:rsidRPr="00083739">
              <w:rPr>
                <w:rFonts w:cs="Times New Roman"/>
                <w:noProof/>
                <w:lang w:val="sk-SK"/>
              </w:rPr>
              <w:t>inkluzívnym sociálnym politikám – 16400_Program cenovo dostupného bývania Môj domov II</w:t>
            </w:r>
            <w:r w:rsidRPr="00083739">
              <w:rPr>
                <w:rFonts w:cs="Times New Roman"/>
                <w:noProof/>
                <w:lang w:val="sk-SK"/>
              </w:rPr>
              <w:tab/>
            </w:r>
          </w:p>
        </w:tc>
        <w:tc>
          <w:tcPr>
            <w:tcW w:w="1692" w:type="dxa"/>
            <w:tcBorders>
              <w:top w:val="single" w:sz="4" w:space="0" w:color="auto"/>
              <w:left w:val="nil"/>
              <w:bottom w:val="single" w:sz="4" w:space="0" w:color="auto"/>
              <w:right w:val="single" w:sz="4" w:space="0" w:color="auto"/>
            </w:tcBorders>
            <w:shd w:val="clear" w:color="000000" w:fill="C6EFCE"/>
            <w:noWrap/>
            <w:vAlign w:val="center"/>
          </w:tcPr>
          <w:p w14:paraId="17EE0A36"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Míľnik</w:t>
            </w:r>
          </w:p>
        </w:tc>
        <w:tc>
          <w:tcPr>
            <w:tcW w:w="1740" w:type="dxa"/>
            <w:tcBorders>
              <w:top w:val="single" w:sz="4" w:space="0" w:color="auto"/>
              <w:left w:val="nil"/>
              <w:bottom w:val="single" w:sz="4" w:space="0" w:color="auto"/>
              <w:right w:val="single" w:sz="4" w:space="0" w:color="auto"/>
            </w:tcBorders>
            <w:shd w:val="clear" w:color="000000" w:fill="C6EFCE"/>
            <w:noWrap/>
            <w:vAlign w:val="center"/>
          </w:tcPr>
          <w:p w14:paraId="220A6D2C" w14:textId="27E412DC"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 xml:space="preserve">Môj domov II – vykonávacia dohoda medzi Helénskou </w:t>
            </w:r>
            <w:r w:rsidRPr="00083739">
              <w:rPr>
                <w:rFonts w:cs="Times New Roman"/>
                <w:noProof/>
                <w:lang w:val="sk-SK"/>
              </w:rPr>
              <w:t>rozvojovou bankou</w:t>
            </w:r>
            <w:r w:rsidR="00083739" w:rsidRPr="00083739">
              <w:rPr>
                <w:rFonts w:cs="Times New Roman"/>
                <w:noProof/>
                <w:lang w:val="sk-SK"/>
              </w:rPr>
              <w:t xml:space="preserve"> a </w:t>
            </w:r>
            <w:r w:rsidRPr="00083739">
              <w:rPr>
                <w:rFonts w:cs="Times New Roman"/>
                <w:noProof/>
                <w:lang w:val="sk-SK"/>
              </w:rPr>
              <w:t>ministerstvom financií</w:t>
            </w:r>
          </w:p>
        </w:tc>
      </w:tr>
      <w:tr w:rsidR="002D49B0" w:rsidRPr="00083739" w14:paraId="12AD0BE5" w14:textId="77777777">
        <w:trPr>
          <w:trHeight w:val="302"/>
        </w:trPr>
        <w:tc>
          <w:tcPr>
            <w:tcW w:w="1804" w:type="dxa"/>
            <w:tcBorders>
              <w:top w:val="single" w:sz="4" w:space="0" w:color="auto"/>
              <w:left w:val="single" w:sz="4" w:space="0" w:color="auto"/>
              <w:bottom w:val="single" w:sz="4" w:space="0" w:color="auto"/>
              <w:right w:val="single" w:sz="4" w:space="0" w:color="auto"/>
            </w:tcBorders>
            <w:shd w:val="clear" w:color="000000" w:fill="C6EFCE"/>
            <w:noWrap/>
            <w:vAlign w:val="center"/>
          </w:tcPr>
          <w:p w14:paraId="112FCEE9" w14:textId="77777777"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326</w:t>
            </w:r>
          </w:p>
        </w:tc>
        <w:tc>
          <w:tcPr>
            <w:tcW w:w="4283" w:type="dxa"/>
            <w:tcBorders>
              <w:top w:val="single" w:sz="4" w:space="0" w:color="auto"/>
              <w:left w:val="nil"/>
              <w:bottom w:val="single" w:sz="4" w:space="0" w:color="auto"/>
              <w:right w:val="single" w:sz="4" w:space="0" w:color="auto"/>
            </w:tcBorders>
            <w:shd w:val="clear" w:color="000000" w:fill="C6EFCE"/>
            <w:noWrap/>
            <w:vAlign w:val="center"/>
          </w:tcPr>
          <w:p w14:paraId="722169B4" w14:textId="580877C5"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4.7. Zlepšiť konkurencieschopnosť</w:t>
            </w:r>
            <w:r w:rsidR="00083739" w:rsidRPr="00083739">
              <w:rPr>
                <w:rFonts w:cs="Times New Roman"/>
                <w:noProof/>
                <w:lang w:val="sk-SK"/>
              </w:rPr>
              <w:t xml:space="preserve"> a </w:t>
            </w:r>
            <w:r w:rsidRPr="00083739">
              <w:rPr>
                <w:rFonts w:cs="Times New Roman"/>
                <w:noProof/>
                <w:lang w:val="sk-SK"/>
              </w:rPr>
              <w:t>podporiť súkromné investície</w:t>
            </w:r>
            <w:r w:rsidR="00083739" w:rsidRPr="00083739">
              <w:rPr>
                <w:rFonts w:cs="Times New Roman"/>
                <w:noProof/>
                <w:lang w:val="sk-SK"/>
              </w:rPr>
              <w:t xml:space="preserve"> a </w:t>
            </w:r>
            <w:r w:rsidRPr="00083739">
              <w:rPr>
                <w:rFonts w:cs="Times New Roman"/>
                <w:noProof/>
                <w:lang w:val="sk-SK"/>
              </w:rPr>
              <w:t>vývoz – úverový nástroj 16980_RRP</w:t>
            </w:r>
          </w:p>
        </w:tc>
        <w:tc>
          <w:tcPr>
            <w:tcW w:w="1692" w:type="dxa"/>
            <w:tcBorders>
              <w:top w:val="single" w:sz="4" w:space="0" w:color="auto"/>
              <w:left w:val="nil"/>
              <w:bottom w:val="single" w:sz="4" w:space="0" w:color="auto"/>
              <w:right w:val="single" w:sz="4" w:space="0" w:color="auto"/>
            </w:tcBorders>
            <w:shd w:val="clear" w:color="000000" w:fill="C6EFCE"/>
            <w:noWrap/>
            <w:vAlign w:val="center"/>
          </w:tcPr>
          <w:p w14:paraId="06E10CEA" w14:textId="77777777"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Cieľ</w:t>
            </w:r>
          </w:p>
        </w:tc>
        <w:tc>
          <w:tcPr>
            <w:tcW w:w="1740" w:type="dxa"/>
            <w:tcBorders>
              <w:top w:val="single" w:sz="4" w:space="0" w:color="auto"/>
              <w:left w:val="nil"/>
              <w:bottom w:val="single" w:sz="4" w:space="0" w:color="auto"/>
              <w:right w:val="single" w:sz="4" w:space="0" w:color="auto"/>
            </w:tcBorders>
            <w:shd w:val="clear" w:color="000000" w:fill="C6EFCE"/>
            <w:noWrap/>
            <w:vAlign w:val="center"/>
          </w:tcPr>
          <w:p w14:paraId="02B91D7E" w14:textId="14BB63CB"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7064 mil. EUR finančných prostriedkov finančných inštitúcií podpísaných</w:t>
            </w:r>
            <w:r w:rsidR="00083739" w:rsidRPr="00083739">
              <w:rPr>
                <w:rFonts w:cs="Times New Roman"/>
                <w:noProof/>
                <w:lang w:val="sk-SK"/>
              </w:rPr>
              <w:t xml:space="preserve"> s </w:t>
            </w:r>
            <w:r w:rsidRPr="00083739">
              <w:rPr>
                <w:rFonts w:cs="Times New Roman"/>
                <w:noProof/>
                <w:lang w:val="sk-SK"/>
              </w:rPr>
              <w:t>konečnými príjemcami</w:t>
            </w:r>
          </w:p>
        </w:tc>
      </w:tr>
      <w:tr w:rsidR="002D49B0" w:rsidRPr="00083739" w14:paraId="43FE1C6D" w14:textId="77777777">
        <w:trPr>
          <w:trHeight w:val="302"/>
        </w:trPr>
        <w:tc>
          <w:tcPr>
            <w:tcW w:w="18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3AE0E9D"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c>
          <w:tcPr>
            <w:tcW w:w="4283" w:type="dxa"/>
            <w:tcBorders>
              <w:top w:val="single" w:sz="4" w:space="0" w:color="auto"/>
              <w:left w:val="nil"/>
              <w:bottom w:val="single" w:sz="4" w:space="0" w:color="auto"/>
              <w:right w:val="single" w:sz="4" w:space="0" w:color="auto"/>
            </w:tcBorders>
            <w:shd w:val="clear" w:color="auto" w:fill="C6EFCE"/>
            <w:noWrap/>
            <w:vAlign w:val="bottom"/>
          </w:tcPr>
          <w:p w14:paraId="17734CEB" w14:textId="77777777" w:rsidR="002D49B0" w:rsidRPr="00083739" w:rsidRDefault="002D49B0">
            <w:pPr>
              <w:keepNext/>
              <w:spacing w:before="40" w:after="0" w:line="240" w:lineRule="auto"/>
              <w:jc w:val="both"/>
              <w:rPr>
                <w:rFonts w:ascii="Times New Roman" w:eastAsia="Times New Roman" w:hAnsi="Times New Roman" w:cs="Times New Roman"/>
                <w:bCs/>
                <w:noProof/>
                <w:sz w:val="18"/>
                <w:szCs w:val="18"/>
                <w:lang w:val="sk-SK"/>
              </w:rPr>
            </w:pPr>
          </w:p>
        </w:tc>
        <w:tc>
          <w:tcPr>
            <w:tcW w:w="1692" w:type="dxa"/>
            <w:tcBorders>
              <w:top w:val="single" w:sz="4" w:space="0" w:color="auto"/>
              <w:left w:val="nil"/>
              <w:bottom w:val="single" w:sz="4" w:space="0" w:color="auto"/>
              <w:right w:val="single" w:sz="4" w:space="0" w:color="auto"/>
            </w:tcBorders>
            <w:shd w:val="clear" w:color="auto" w:fill="C6EFCE"/>
            <w:noWrap/>
            <w:vAlign w:val="bottom"/>
          </w:tcPr>
          <w:p w14:paraId="3D5A8978"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Suma</w:t>
            </w:r>
            <w:r w:rsidRPr="00083739">
              <w:rPr>
                <w:rFonts w:cs="Times New Roman"/>
                <w:noProof/>
                <w:lang w:val="sk-SK"/>
              </w:rPr>
              <w:t xml:space="preserve"> splátky</w:t>
            </w:r>
          </w:p>
        </w:tc>
        <w:tc>
          <w:tcPr>
            <w:tcW w:w="1740" w:type="dxa"/>
            <w:tcBorders>
              <w:top w:val="single" w:sz="4" w:space="0" w:color="auto"/>
              <w:left w:val="nil"/>
              <w:bottom w:val="single" w:sz="4" w:space="0" w:color="auto"/>
              <w:right w:val="single" w:sz="4" w:space="0" w:color="auto"/>
            </w:tcBorders>
            <w:shd w:val="clear" w:color="auto" w:fill="C6EFCE"/>
            <w:noWrap/>
            <w:vAlign w:val="bottom"/>
          </w:tcPr>
          <w:p w14:paraId="55589FFA" w14:textId="157119AB"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1 940 000 000 EUR</w:t>
            </w:r>
          </w:p>
        </w:tc>
      </w:tr>
    </w:tbl>
    <w:p w14:paraId="3B391E80" w14:textId="77777777" w:rsidR="002D49B0" w:rsidRPr="00083739" w:rsidRDefault="002D49B0">
      <w:pPr>
        <w:keepNext/>
        <w:spacing w:before="40" w:after="160" w:line="259" w:lineRule="auto"/>
        <w:contextualSpacing/>
        <w:jc w:val="both"/>
        <w:rPr>
          <w:rFonts w:ascii="Times New Roman" w:hAnsi="Times New Roman" w:cs="Times New Roman"/>
          <w:noProof/>
          <w:sz w:val="24"/>
          <w:lang w:val="sk-SK"/>
        </w:rPr>
      </w:pPr>
    </w:p>
    <w:p w14:paraId="4BAB4DA0" w14:textId="2D846258" w:rsidR="002D49B0" w:rsidRPr="00083739" w:rsidRDefault="00BF4125">
      <w:pPr>
        <w:pStyle w:val="P68B1DB1-Normal4"/>
        <w:keepNext/>
        <w:numPr>
          <w:ilvl w:val="1"/>
          <w:numId w:val="22"/>
        </w:numPr>
        <w:spacing w:before="40" w:after="160" w:line="259" w:lineRule="auto"/>
        <w:ind w:left="0"/>
        <w:contextualSpacing/>
        <w:jc w:val="both"/>
        <w:rPr>
          <w:rFonts w:eastAsia="Times New Roman" w:cs="Times New Roman"/>
          <w:noProof/>
          <w:lang w:val="sk-SK"/>
        </w:rPr>
      </w:pPr>
      <w:r w:rsidRPr="00083739">
        <w:rPr>
          <w:rFonts w:cs="Times New Roman"/>
          <w:noProof/>
          <w:lang w:val="sk-SK"/>
        </w:rPr>
        <w:t xml:space="preserve"> Šiesta žiadosť</w:t>
      </w:r>
      <w:r w:rsidR="00083739" w:rsidRPr="00083739">
        <w:rPr>
          <w:rFonts w:cs="Times New Roman"/>
          <w:noProof/>
          <w:lang w:val="sk-SK"/>
        </w:rPr>
        <w:t xml:space="preserve"> o </w:t>
      </w:r>
      <w:r w:rsidRPr="00083739">
        <w:rPr>
          <w:rFonts w:cs="Times New Roman"/>
          <w:noProof/>
          <w:lang w:val="sk-SK"/>
        </w:rPr>
        <w:t xml:space="preserve">platbu (úverová podpora): </w:t>
      </w:r>
    </w:p>
    <w:tbl>
      <w:tblPr>
        <w:tblW w:w="951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4283"/>
        <w:gridCol w:w="1692"/>
        <w:gridCol w:w="1740"/>
      </w:tblGrid>
      <w:tr w:rsidR="002D49B0" w:rsidRPr="00083739" w14:paraId="00A1C00F" w14:textId="77777777">
        <w:trPr>
          <w:trHeight w:val="906"/>
        </w:trPr>
        <w:tc>
          <w:tcPr>
            <w:tcW w:w="1804" w:type="dxa"/>
            <w:vMerge w:val="restart"/>
            <w:shd w:val="clear" w:color="auto" w:fill="BDD7EE"/>
            <w:vAlign w:val="center"/>
            <w:hideMark/>
          </w:tcPr>
          <w:p w14:paraId="05CDC8D9" w14:textId="77777777" w:rsidR="002D49B0" w:rsidRPr="00083739" w:rsidRDefault="00BF4125">
            <w:pPr>
              <w:pStyle w:val="P68B1DB1-Normal7"/>
              <w:keepNext/>
              <w:spacing w:before="40" w:after="0" w:line="240" w:lineRule="auto"/>
              <w:jc w:val="center"/>
              <w:rPr>
                <w:rFonts w:eastAsia="Times New Roman" w:cs="Times New Roman"/>
                <w:bCs/>
                <w:noProof/>
                <w:szCs w:val="18"/>
                <w:lang w:val="sk-SK"/>
              </w:rPr>
            </w:pPr>
            <w:r w:rsidRPr="00083739">
              <w:rPr>
                <w:rFonts w:cs="Times New Roman"/>
                <w:noProof/>
                <w:lang w:val="sk-SK"/>
              </w:rPr>
              <w:t>Poradové číslo</w:t>
            </w:r>
          </w:p>
        </w:tc>
        <w:tc>
          <w:tcPr>
            <w:tcW w:w="4283" w:type="dxa"/>
            <w:vMerge w:val="restart"/>
            <w:shd w:val="clear" w:color="auto" w:fill="BDD7EE"/>
            <w:vAlign w:val="center"/>
            <w:hideMark/>
          </w:tcPr>
          <w:p w14:paraId="429ED884" w14:textId="77777777" w:rsidR="002D49B0" w:rsidRPr="00083739" w:rsidRDefault="00BF4125">
            <w:pPr>
              <w:pStyle w:val="P68B1DB1-Normal7"/>
              <w:keepNext/>
              <w:spacing w:before="40" w:after="0" w:line="240" w:lineRule="auto"/>
              <w:jc w:val="center"/>
              <w:rPr>
                <w:rFonts w:eastAsia="Times New Roman" w:cs="Times New Roman"/>
                <w:bCs/>
                <w:noProof/>
                <w:szCs w:val="18"/>
                <w:lang w:val="sk-SK"/>
              </w:rPr>
            </w:pPr>
            <w:r w:rsidRPr="00083739">
              <w:rPr>
                <w:rFonts w:cs="Times New Roman"/>
                <w:noProof/>
                <w:lang w:val="sk-SK"/>
              </w:rPr>
              <w:t>Súvisiace opatrenie (reforma alebo investícia)</w:t>
            </w:r>
          </w:p>
        </w:tc>
        <w:tc>
          <w:tcPr>
            <w:tcW w:w="1692" w:type="dxa"/>
            <w:vMerge w:val="restart"/>
            <w:shd w:val="clear" w:color="auto" w:fill="BDD7EE"/>
            <w:vAlign w:val="center"/>
            <w:hideMark/>
          </w:tcPr>
          <w:p w14:paraId="62E515D2" w14:textId="77777777" w:rsidR="002D49B0" w:rsidRPr="00083739" w:rsidRDefault="00BF4125">
            <w:pPr>
              <w:pStyle w:val="P68B1DB1-Normal7"/>
              <w:keepNext/>
              <w:spacing w:before="40" w:after="0" w:line="240" w:lineRule="auto"/>
              <w:jc w:val="center"/>
              <w:rPr>
                <w:rFonts w:eastAsia="Times New Roman" w:cs="Times New Roman"/>
                <w:bCs/>
                <w:noProof/>
                <w:szCs w:val="18"/>
                <w:lang w:val="sk-SK"/>
              </w:rPr>
            </w:pPr>
            <w:r w:rsidRPr="00083739">
              <w:rPr>
                <w:rFonts w:cs="Times New Roman"/>
                <w:noProof/>
                <w:lang w:val="sk-SK"/>
              </w:rPr>
              <w:t>Míľnik/cieľ</w:t>
            </w:r>
          </w:p>
        </w:tc>
        <w:tc>
          <w:tcPr>
            <w:tcW w:w="1740" w:type="dxa"/>
            <w:vMerge w:val="restart"/>
            <w:shd w:val="clear" w:color="auto" w:fill="BDD7EE"/>
            <w:vAlign w:val="center"/>
            <w:hideMark/>
          </w:tcPr>
          <w:p w14:paraId="0982F947" w14:textId="77777777" w:rsidR="002D49B0" w:rsidRPr="00083739" w:rsidRDefault="00BF4125">
            <w:pPr>
              <w:pStyle w:val="P68B1DB1-Normal7"/>
              <w:keepNext/>
              <w:spacing w:before="40" w:after="0" w:line="240" w:lineRule="auto"/>
              <w:jc w:val="center"/>
              <w:rPr>
                <w:rFonts w:eastAsia="Times New Roman" w:cs="Times New Roman"/>
                <w:bCs/>
                <w:noProof/>
                <w:szCs w:val="18"/>
                <w:lang w:val="sk-SK"/>
              </w:rPr>
            </w:pPr>
            <w:r w:rsidRPr="00083739">
              <w:rPr>
                <w:rFonts w:cs="Times New Roman"/>
                <w:noProof/>
                <w:lang w:val="sk-SK"/>
              </w:rPr>
              <w:t>Názov</w:t>
            </w:r>
          </w:p>
        </w:tc>
      </w:tr>
      <w:tr w:rsidR="002D49B0" w:rsidRPr="00083739" w14:paraId="70076C67" w14:textId="77777777">
        <w:trPr>
          <w:trHeight w:val="990"/>
        </w:trPr>
        <w:tc>
          <w:tcPr>
            <w:tcW w:w="1804" w:type="dxa"/>
            <w:vMerge/>
            <w:vAlign w:val="center"/>
            <w:hideMark/>
          </w:tcPr>
          <w:p w14:paraId="5851B9D1"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c>
          <w:tcPr>
            <w:tcW w:w="4283" w:type="dxa"/>
            <w:vMerge/>
            <w:vAlign w:val="center"/>
            <w:hideMark/>
          </w:tcPr>
          <w:p w14:paraId="525273DF"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c>
          <w:tcPr>
            <w:tcW w:w="1692" w:type="dxa"/>
            <w:vMerge/>
            <w:vAlign w:val="center"/>
            <w:hideMark/>
          </w:tcPr>
          <w:p w14:paraId="40341B5C"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c>
          <w:tcPr>
            <w:tcW w:w="1740" w:type="dxa"/>
            <w:vMerge/>
            <w:vAlign w:val="center"/>
            <w:hideMark/>
          </w:tcPr>
          <w:p w14:paraId="2A0A8119"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r>
      <w:tr w:rsidR="002D49B0" w:rsidRPr="00083739" w14:paraId="72FED212" w14:textId="77777777">
        <w:trPr>
          <w:trHeight w:val="302"/>
        </w:trPr>
        <w:tc>
          <w:tcPr>
            <w:tcW w:w="1804" w:type="dxa"/>
            <w:shd w:val="clear" w:color="auto" w:fill="C6EFCE"/>
            <w:noWrap/>
            <w:vAlign w:val="center"/>
          </w:tcPr>
          <w:p w14:paraId="5D5A6800" w14:textId="77777777"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326a</w:t>
            </w:r>
          </w:p>
        </w:tc>
        <w:tc>
          <w:tcPr>
            <w:tcW w:w="4283" w:type="dxa"/>
            <w:shd w:val="clear" w:color="auto" w:fill="C6EFCE"/>
            <w:noWrap/>
            <w:vAlign w:val="center"/>
          </w:tcPr>
          <w:p w14:paraId="70549DF1" w14:textId="592729EB"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4.7. Zlepšiť konkurencieschopnosť</w:t>
            </w:r>
            <w:r w:rsidR="00083739" w:rsidRPr="00083739">
              <w:rPr>
                <w:rFonts w:cs="Times New Roman"/>
                <w:noProof/>
                <w:lang w:val="sk-SK"/>
              </w:rPr>
              <w:t xml:space="preserve"> a </w:t>
            </w:r>
            <w:r w:rsidRPr="00083739">
              <w:rPr>
                <w:rFonts w:cs="Times New Roman"/>
                <w:noProof/>
                <w:lang w:val="sk-SK"/>
              </w:rPr>
              <w:t>podporiť súkromné investície</w:t>
            </w:r>
            <w:r w:rsidR="00083739" w:rsidRPr="00083739">
              <w:rPr>
                <w:rFonts w:cs="Times New Roman"/>
                <w:noProof/>
                <w:lang w:val="sk-SK"/>
              </w:rPr>
              <w:t xml:space="preserve"> a </w:t>
            </w:r>
            <w:r w:rsidRPr="00083739">
              <w:rPr>
                <w:rFonts w:cs="Times New Roman"/>
                <w:noProof/>
                <w:lang w:val="sk-SK"/>
              </w:rPr>
              <w:t xml:space="preserve">vývoz – úverový nástroj </w:t>
            </w:r>
            <w:r w:rsidRPr="00083739">
              <w:rPr>
                <w:rFonts w:cs="Times New Roman"/>
                <w:noProof/>
                <w:lang w:val="sk-SK"/>
              </w:rPr>
              <w:t>16980_RRP</w:t>
            </w:r>
          </w:p>
        </w:tc>
        <w:tc>
          <w:tcPr>
            <w:tcW w:w="1692" w:type="dxa"/>
            <w:shd w:val="clear" w:color="auto" w:fill="C6EFCE"/>
            <w:noWrap/>
            <w:vAlign w:val="center"/>
          </w:tcPr>
          <w:p w14:paraId="793C0D80" w14:textId="77777777"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Cieľ</w:t>
            </w:r>
          </w:p>
        </w:tc>
        <w:tc>
          <w:tcPr>
            <w:tcW w:w="1740" w:type="dxa"/>
            <w:shd w:val="clear" w:color="auto" w:fill="C6EFCE"/>
            <w:noWrap/>
            <w:vAlign w:val="center"/>
          </w:tcPr>
          <w:p w14:paraId="0FDED785" w14:textId="5D46723B"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Finančné prostriedky finančných inštitúcií vo výške 9000 mil. EUR podpísané</w:t>
            </w:r>
            <w:r w:rsidR="00083739" w:rsidRPr="00083739">
              <w:rPr>
                <w:rFonts w:cs="Times New Roman"/>
                <w:noProof/>
                <w:lang w:val="sk-SK"/>
              </w:rPr>
              <w:t xml:space="preserve"> s </w:t>
            </w:r>
            <w:r w:rsidRPr="00083739">
              <w:rPr>
                <w:rFonts w:cs="Times New Roman"/>
                <w:noProof/>
                <w:lang w:val="sk-SK"/>
              </w:rPr>
              <w:t>konečnými príjemcami</w:t>
            </w:r>
          </w:p>
        </w:tc>
      </w:tr>
      <w:tr w:rsidR="002D49B0" w:rsidRPr="00083739" w14:paraId="1ADAAAC7" w14:textId="77777777">
        <w:trPr>
          <w:trHeight w:val="302"/>
        </w:trPr>
        <w:tc>
          <w:tcPr>
            <w:tcW w:w="1804" w:type="dxa"/>
            <w:shd w:val="clear" w:color="auto" w:fill="C6EFCE"/>
            <w:noWrap/>
            <w:vAlign w:val="bottom"/>
          </w:tcPr>
          <w:p w14:paraId="34CDE4B1"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c>
          <w:tcPr>
            <w:tcW w:w="4283" w:type="dxa"/>
            <w:shd w:val="clear" w:color="auto" w:fill="C6EFCE"/>
            <w:noWrap/>
            <w:vAlign w:val="bottom"/>
          </w:tcPr>
          <w:p w14:paraId="59CB205C" w14:textId="77777777" w:rsidR="002D49B0" w:rsidRPr="00083739" w:rsidRDefault="002D49B0">
            <w:pPr>
              <w:keepNext/>
              <w:spacing w:before="40" w:after="0" w:line="240" w:lineRule="auto"/>
              <w:jc w:val="both"/>
              <w:rPr>
                <w:rFonts w:ascii="Times New Roman" w:eastAsia="Times New Roman" w:hAnsi="Times New Roman" w:cs="Times New Roman"/>
                <w:bCs/>
                <w:noProof/>
                <w:sz w:val="18"/>
                <w:szCs w:val="18"/>
                <w:lang w:val="sk-SK"/>
              </w:rPr>
            </w:pPr>
          </w:p>
        </w:tc>
        <w:tc>
          <w:tcPr>
            <w:tcW w:w="1692" w:type="dxa"/>
            <w:shd w:val="clear" w:color="auto" w:fill="C6EFCE"/>
            <w:noWrap/>
            <w:vAlign w:val="bottom"/>
          </w:tcPr>
          <w:p w14:paraId="60A53CE4" w14:textId="7777777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Suma splátky</w:t>
            </w:r>
          </w:p>
        </w:tc>
        <w:tc>
          <w:tcPr>
            <w:tcW w:w="1740" w:type="dxa"/>
            <w:shd w:val="clear" w:color="auto" w:fill="C6EFCE"/>
            <w:noWrap/>
            <w:vAlign w:val="bottom"/>
          </w:tcPr>
          <w:p w14:paraId="3E1DDE01" w14:textId="2DF5BF2A"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1 940 000 000 EUR</w:t>
            </w:r>
          </w:p>
        </w:tc>
      </w:tr>
    </w:tbl>
    <w:p w14:paraId="51D642AC" w14:textId="77777777" w:rsidR="002D49B0" w:rsidRPr="00083739" w:rsidRDefault="002D49B0">
      <w:pPr>
        <w:keepNext/>
        <w:spacing w:before="40" w:after="0" w:line="259" w:lineRule="auto"/>
        <w:jc w:val="both"/>
        <w:rPr>
          <w:rFonts w:ascii="Times New Roman" w:eastAsia="Times New Roman" w:hAnsi="Times New Roman" w:cs="Times New Roman"/>
          <w:bCs/>
          <w:noProof/>
          <w:sz w:val="24"/>
          <w:szCs w:val="26"/>
          <w:lang w:val="sk-SK"/>
        </w:rPr>
      </w:pPr>
    </w:p>
    <w:p w14:paraId="7DEF7F63" w14:textId="77777777" w:rsidR="002D49B0" w:rsidRPr="00083739" w:rsidRDefault="002D49B0">
      <w:pPr>
        <w:keepNext/>
        <w:spacing w:before="40" w:after="0" w:line="259" w:lineRule="auto"/>
        <w:jc w:val="both"/>
        <w:rPr>
          <w:rFonts w:ascii="Times New Roman" w:eastAsia="Times New Roman" w:hAnsi="Times New Roman" w:cs="Times New Roman"/>
          <w:bCs/>
          <w:noProof/>
          <w:sz w:val="24"/>
          <w:szCs w:val="26"/>
          <w:lang w:val="sk-SK"/>
        </w:rPr>
      </w:pPr>
    </w:p>
    <w:p w14:paraId="23C8AB09" w14:textId="668A41A8" w:rsidR="002D49B0" w:rsidRPr="00083739" w:rsidRDefault="00BF4125">
      <w:pPr>
        <w:pStyle w:val="P68B1DB1-Normal4"/>
        <w:keepNext/>
        <w:numPr>
          <w:ilvl w:val="1"/>
          <w:numId w:val="22"/>
        </w:numPr>
        <w:spacing w:before="40" w:after="160" w:line="259" w:lineRule="auto"/>
        <w:ind w:left="0"/>
        <w:contextualSpacing/>
        <w:jc w:val="both"/>
        <w:rPr>
          <w:rFonts w:eastAsia="Times New Roman" w:cs="Times New Roman"/>
          <w:noProof/>
          <w:lang w:val="sk-SK"/>
        </w:rPr>
      </w:pPr>
      <w:r w:rsidRPr="00083739">
        <w:rPr>
          <w:rFonts w:cs="Times New Roman"/>
          <w:noProof/>
          <w:lang w:val="sk-SK"/>
        </w:rPr>
        <w:t xml:space="preserve"> Siedma žiadosť</w:t>
      </w:r>
      <w:r w:rsidR="00083739" w:rsidRPr="00083739">
        <w:rPr>
          <w:rFonts w:cs="Times New Roman"/>
          <w:noProof/>
          <w:lang w:val="sk-SK"/>
        </w:rPr>
        <w:t xml:space="preserve"> o </w:t>
      </w:r>
      <w:r w:rsidRPr="00083739">
        <w:rPr>
          <w:rFonts w:cs="Times New Roman"/>
          <w:noProof/>
          <w:lang w:val="sk-SK"/>
        </w:rPr>
        <w:t xml:space="preserve">platbu (úverová podpora): </w:t>
      </w:r>
    </w:p>
    <w:tbl>
      <w:tblPr>
        <w:tblW w:w="9634" w:type="dxa"/>
        <w:tblInd w:w="113" w:type="dxa"/>
        <w:tblLook w:val="04A0" w:firstRow="1" w:lastRow="0" w:firstColumn="1" w:lastColumn="0" w:noHBand="0" w:noVBand="1"/>
      </w:tblPr>
      <w:tblGrid>
        <w:gridCol w:w="1804"/>
        <w:gridCol w:w="4283"/>
        <w:gridCol w:w="1692"/>
        <w:gridCol w:w="1855"/>
      </w:tblGrid>
      <w:tr w:rsidR="002D49B0" w:rsidRPr="00083739" w14:paraId="57E60FFB" w14:textId="77777777">
        <w:trPr>
          <w:trHeight w:val="906"/>
        </w:trPr>
        <w:tc>
          <w:tcPr>
            <w:tcW w:w="1804"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645636FC" w14:textId="77777777" w:rsidR="002D49B0" w:rsidRPr="00083739" w:rsidRDefault="00BF4125">
            <w:pPr>
              <w:pStyle w:val="P68B1DB1-Normal7"/>
              <w:keepNext/>
              <w:spacing w:before="40" w:after="0" w:line="259" w:lineRule="auto"/>
              <w:jc w:val="center"/>
              <w:rPr>
                <w:rFonts w:eastAsia="Times New Roman" w:cs="Times New Roman"/>
                <w:bCs/>
                <w:noProof/>
                <w:szCs w:val="18"/>
                <w:lang w:val="sk-SK"/>
              </w:rPr>
            </w:pPr>
            <w:r w:rsidRPr="00083739">
              <w:rPr>
                <w:rFonts w:cs="Times New Roman"/>
                <w:noProof/>
                <w:lang w:val="sk-SK"/>
              </w:rPr>
              <w:t>Poradové číslo</w:t>
            </w:r>
          </w:p>
        </w:tc>
        <w:tc>
          <w:tcPr>
            <w:tcW w:w="428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5A883CA9" w14:textId="77777777" w:rsidR="002D49B0" w:rsidRPr="00083739" w:rsidRDefault="00BF4125">
            <w:pPr>
              <w:pStyle w:val="P68B1DB1-Normal7"/>
              <w:keepNext/>
              <w:spacing w:before="40" w:after="0" w:line="259" w:lineRule="auto"/>
              <w:jc w:val="center"/>
              <w:rPr>
                <w:rFonts w:eastAsia="Times New Roman" w:cs="Times New Roman"/>
                <w:bCs/>
                <w:noProof/>
                <w:szCs w:val="18"/>
                <w:lang w:val="sk-SK"/>
              </w:rPr>
            </w:pPr>
            <w:r w:rsidRPr="00083739">
              <w:rPr>
                <w:rFonts w:cs="Times New Roman"/>
                <w:noProof/>
                <w:lang w:val="sk-SK"/>
              </w:rPr>
              <w:t xml:space="preserve">Súvisiace opatrenie (reforma alebo </w:t>
            </w:r>
            <w:r w:rsidRPr="00083739">
              <w:rPr>
                <w:rFonts w:cs="Times New Roman"/>
                <w:noProof/>
                <w:lang w:val="sk-SK"/>
              </w:rPr>
              <w:t>investícia)</w:t>
            </w:r>
          </w:p>
        </w:tc>
        <w:tc>
          <w:tcPr>
            <w:tcW w:w="1692"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378BF470" w14:textId="77777777" w:rsidR="002D49B0" w:rsidRPr="00083739" w:rsidRDefault="00BF4125">
            <w:pPr>
              <w:pStyle w:val="P68B1DB1-Normal7"/>
              <w:keepNext/>
              <w:spacing w:before="40" w:after="0" w:line="259" w:lineRule="auto"/>
              <w:jc w:val="center"/>
              <w:rPr>
                <w:rFonts w:eastAsia="Times New Roman" w:cs="Times New Roman"/>
                <w:bCs/>
                <w:noProof/>
                <w:szCs w:val="18"/>
                <w:lang w:val="sk-SK"/>
              </w:rPr>
            </w:pPr>
            <w:r w:rsidRPr="00083739">
              <w:rPr>
                <w:rFonts w:cs="Times New Roman"/>
                <w:noProof/>
                <w:lang w:val="sk-SK"/>
              </w:rPr>
              <w:t>Míľnik/cieľ</w:t>
            </w:r>
          </w:p>
        </w:tc>
        <w:tc>
          <w:tcPr>
            <w:tcW w:w="1855" w:type="dxa"/>
            <w:vMerge w:val="restart"/>
            <w:tcBorders>
              <w:top w:val="single" w:sz="4" w:space="0" w:color="auto"/>
              <w:left w:val="nil"/>
              <w:bottom w:val="single" w:sz="4" w:space="0" w:color="000000"/>
              <w:right w:val="single" w:sz="4" w:space="0" w:color="auto"/>
            </w:tcBorders>
            <w:shd w:val="clear" w:color="auto" w:fill="BDD7EE"/>
            <w:vAlign w:val="center"/>
            <w:hideMark/>
          </w:tcPr>
          <w:p w14:paraId="0F2D4CC0" w14:textId="77777777" w:rsidR="002D49B0" w:rsidRPr="00083739" w:rsidRDefault="00BF4125">
            <w:pPr>
              <w:pStyle w:val="P68B1DB1-Normal7"/>
              <w:keepNext/>
              <w:spacing w:before="40" w:after="0" w:line="259" w:lineRule="auto"/>
              <w:jc w:val="center"/>
              <w:rPr>
                <w:rFonts w:eastAsia="Times New Roman" w:cs="Times New Roman"/>
                <w:bCs/>
                <w:noProof/>
                <w:szCs w:val="18"/>
                <w:lang w:val="sk-SK"/>
              </w:rPr>
            </w:pPr>
            <w:r w:rsidRPr="00083739">
              <w:rPr>
                <w:rFonts w:cs="Times New Roman"/>
                <w:noProof/>
                <w:lang w:val="sk-SK"/>
              </w:rPr>
              <w:t>Názov</w:t>
            </w:r>
          </w:p>
        </w:tc>
      </w:tr>
      <w:tr w:rsidR="002D49B0" w:rsidRPr="00083739" w14:paraId="1069E841" w14:textId="77777777">
        <w:trPr>
          <w:trHeight w:val="990"/>
        </w:trPr>
        <w:tc>
          <w:tcPr>
            <w:tcW w:w="1804" w:type="dxa"/>
            <w:vMerge/>
            <w:tcBorders>
              <w:top w:val="single" w:sz="4" w:space="0" w:color="auto"/>
              <w:left w:val="single" w:sz="4" w:space="0" w:color="auto"/>
              <w:bottom w:val="single" w:sz="4" w:space="0" w:color="000000"/>
              <w:right w:val="single" w:sz="4" w:space="0" w:color="auto"/>
            </w:tcBorders>
            <w:vAlign w:val="center"/>
            <w:hideMark/>
          </w:tcPr>
          <w:p w14:paraId="2FFFECCC"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c>
          <w:tcPr>
            <w:tcW w:w="4283" w:type="dxa"/>
            <w:vMerge/>
            <w:tcBorders>
              <w:top w:val="single" w:sz="4" w:space="0" w:color="auto"/>
              <w:left w:val="single" w:sz="4" w:space="0" w:color="auto"/>
              <w:bottom w:val="single" w:sz="4" w:space="0" w:color="000000"/>
              <w:right w:val="single" w:sz="4" w:space="0" w:color="auto"/>
            </w:tcBorders>
            <w:vAlign w:val="center"/>
            <w:hideMark/>
          </w:tcPr>
          <w:p w14:paraId="082C1512"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c>
          <w:tcPr>
            <w:tcW w:w="1692" w:type="dxa"/>
            <w:vMerge/>
            <w:tcBorders>
              <w:top w:val="single" w:sz="4" w:space="0" w:color="auto"/>
              <w:left w:val="single" w:sz="4" w:space="0" w:color="auto"/>
              <w:bottom w:val="single" w:sz="4" w:space="0" w:color="000000"/>
              <w:right w:val="single" w:sz="4" w:space="0" w:color="auto"/>
            </w:tcBorders>
            <w:vAlign w:val="center"/>
            <w:hideMark/>
          </w:tcPr>
          <w:p w14:paraId="1E31078B"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c>
          <w:tcPr>
            <w:tcW w:w="1855" w:type="dxa"/>
            <w:vMerge/>
            <w:tcBorders>
              <w:top w:val="single" w:sz="4" w:space="0" w:color="auto"/>
              <w:left w:val="nil"/>
              <w:bottom w:val="single" w:sz="4" w:space="0" w:color="000000"/>
              <w:right w:val="single" w:sz="4" w:space="0" w:color="auto"/>
            </w:tcBorders>
            <w:vAlign w:val="center"/>
            <w:hideMark/>
          </w:tcPr>
          <w:p w14:paraId="59FB1538"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r>
      <w:tr w:rsidR="002D49B0" w:rsidRPr="00083739" w14:paraId="28909711" w14:textId="77777777">
        <w:trPr>
          <w:trHeight w:val="302"/>
        </w:trPr>
        <w:tc>
          <w:tcPr>
            <w:tcW w:w="1804"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9FFB019" w14:textId="0C8D64A8"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375</w:t>
            </w:r>
          </w:p>
        </w:tc>
        <w:tc>
          <w:tcPr>
            <w:tcW w:w="4283" w:type="dxa"/>
            <w:tcBorders>
              <w:top w:val="single" w:sz="4" w:space="0" w:color="auto"/>
              <w:left w:val="nil"/>
              <w:bottom w:val="single" w:sz="4" w:space="0" w:color="auto"/>
              <w:right w:val="single" w:sz="4" w:space="0" w:color="auto"/>
            </w:tcBorders>
            <w:shd w:val="clear" w:color="000000" w:fill="C6EFCE"/>
            <w:noWrap/>
            <w:vAlign w:val="center"/>
            <w:hideMark/>
          </w:tcPr>
          <w:p w14:paraId="7113888B"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 – 1.2. Renovovať – 16401_Program energetickej modernizácie „Zmodernizovať môj domov“</w:t>
            </w:r>
          </w:p>
        </w:tc>
        <w:tc>
          <w:tcPr>
            <w:tcW w:w="1692" w:type="dxa"/>
            <w:tcBorders>
              <w:top w:val="single" w:sz="4" w:space="0" w:color="auto"/>
              <w:left w:val="nil"/>
              <w:bottom w:val="single" w:sz="4" w:space="0" w:color="auto"/>
              <w:right w:val="single" w:sz="4" w:space="0" w:color="auto"/>
            </w:tcBorders>
            <w:shd w:val="clear" w:color="000000" w:fill="C6EFCE"/>
            <w:noWrap/>
            <w:vAlign w:val="center"/>
            <w:hideMark/>
          </w:tcPr>
          <w:p w14:paraId="156A380E"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Cieľ</w:t>
            </w:r>
          </w:p>
        </w:tc>
        <w:tc>
          <w:tcPr>
            <w:tcW w:w="1855" w:type="dxa"/>
            <w:tcBorders>
              <w:top w:val="single" w:sz="4" w:space="0" w:color="auto"/>
              <w:left w:val="nil"/>
              <w:bottom w:val="single" w:sz="4" w:space="0" w:color="auto"/>
              <w:right w:val="single" w:sz="4" w:space="0" w:color="auto"/>
            </w:tcBorders>
            <w:shd w:val="clear" w:color="000000" w:fill="C6EFCE"/>
            <w:noWrap/>
            <w:vAlign w:val="center"/>
            <w:hideMark/>
          </w:tcPr>
          <w:p w14:paraId="26F538CB" w14:textId="010241EE" w:rsidR="002D49B0" w:rsidRPr="00083739" w:rsidRDefault="00BF4125">
            <w:pPr>
              <w:pStyle w:val="P68B1DB1-Normal51"/>
              <w:keepNext/>
              <w:spacing w:before="40" w:after="0" w:line="240" w:lineRule="auto"/>
              <w:jc w:val="both"/>
              <w:rPr>
                <w:bCs/>
                <w:noProof/>
                <w:lang w:val="sk-SK"/>
              </w:rPr>
            </w:pPr>
            <w:r w:rsidRPr="00083739">
              <w:rPr>
                <w:noProof/>
                <w:lang w:val="sk-SK"/>
              </w:rPr>
              <w:t>Modernizácia Môj domov – právne dohody podpísané</w:t>
            </w:r>
            <w:r w:rsidR="00083739" w:rsidRPr="00083739">
              <w:rPr>
                <w:noProof/>
                <w:lang w:val="sk-SK"/>
              </w:rPr>
              <w:t xml:space="preserve"> s </w:t>
            </w:r>
            <w:r w:rsidRPr="00083739">
              <w:rPr>
                <w:noProof/>
                <w:lang w:val="sk-SK"/>
              </w:rPr>
              <w:t>konečnými príjemcami – 50</w:t>
            </w:r>
            <w:r w:rsidR="00083739" w:rsidRPr="00083739">
              <w:rPr>
                <w:noProof/>
                <w:lang w:val="sk-SK"/>
              </w:rPr>
              <w:t> %</w:t>
            </w:r>
          </w:p>
        </w:tc>
      </w:tr>
      <w:tr w:rsidR="002D49B0" w:rsidRPr="00083739" w14:paraId="362E23E2" w14:textId="77777777">
        <w:trPr>
          <w:trHeight w:val="302"/>
        </w:trPr>
        <w:tc>
          <w:tcPr>
            <w:tcW w:w="1804" w:type="dxa"/>
            <w:tcBorders>
              <w:top w:val="single" w:sz="4" w:space="0" w:color="auto"/>
              <w:left w:val="single" w:sz="4" w:space="0" w:color="auto"/>
              <w:bottom w:val="single" w:sz="4" w:space="0" w:color="auto"/>
              <w:right w:val="single" w:sz="4" w:space="0" w:color="auto"/>
            </w:tcBorders>
            <w:shd w:val="clear" w:color="000000" w:fill="C6EFCE"/>
            <w:noWrap/>
            <w:vAlign w:val="center"/>
          </w:tcPr>
          <w:p w14:paraId="4E00406A" w14:textId="66A0F65A"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379</w:t>
            </w:r>
          </w:p>
        </w:tc>
        <w:tc>
          <w:tcPr>
            <w:tcW w:w="4283" w:type="dxa"/>
            <w:tcBorders>
              <w:top w:val="single" w:sz="4" w:space="0" w:color="auto"/>
              <w:left w:val="nil"/>
              <w:bottom w:val="single" w:sz="4" w:space="0" w:color="auto"/>
              <w:right w:val="single" w:sz="4" w:space="0" w:color="auto"/>
            </w:tcBorders>
            <w:shd w:val="clear" w:color="000000" w:fill="C6EFCE"/>
            <w:noWrap/>
            <w:vAlign w:val="center"/>
          </w:tcPr>
          <w:p w14:paraId="7AB40928" w14:textId="1F5458F0"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11 – 3.4. Zlepšiť prístup</w:t>
            </w:r>
            <w:r w:rsidR="00083739" w:rsidRPr="00083739">
              <w:rPr>
                <w:rFonts w:cs="Times New Roman"/>
                <w:noProof/>
                <w:lang w:val="sk-SK"/>
              </w:rPr>
              <w:t xml:space="preserve"> k </w:t>
            </w:r>
            <w:r w:rsidRPr="00083739">
              <w:rPr>
                <w:rFonts w:cs="Times New Roman"/>
                <w:noProof/>
                <w:lang w:val="sk-SK"/>
              </w:rPr>
              <w:t>účinným</w:t>
            </w:r>
            <w:r w:rsidR="00083739" w:rsidRPr="00083739">
              <w:rPr>
                <w:rFonts w:cs="Times New Roman"/>
                <w:noProof/>
                <w:lang w:val="sk-SK"/>
              </w:rPr>
              <w:t xml:space="preserve"> a </w:t>
            </w:r>
            <w:r w:rsidRPr="00083739">
              <w:rPr>
                <w:rFonts w:cs="Times New Roman"/>
                <w:noProof/>
                <w:lang w:val="sk-SK"/>
              </w:rPr>
              <w:t>inkluzívnym sociálnym politikám – 16400_Program cenovo dostupného bývania Môj domov II</w:t>
            </w:r>
            <w:r w:rsidRPr="00083739">
              <w:rPr>
                <w:rFonts w:cs="Times New Roman"/>
                <w:noProof/>
                <w:lang w:val="sk-SK"/>
              </w:rPr>
              <w:tab/>
            </w:r>
          </w:p>
        </w:tc>
        <w:tc>
          <w:tcPr>
            <w:tcW w:w="1692" w:type="dxa"/>
            <w:tcBorders>
              <w:top w:val="single" w:sz="4" w:space="0" w:color="auto"/>
              <w:left w:val="nil"/>
              <w:bottom w:val="single" w:sz="4" w:space="0" w:color="auto"/>
              <w:right w:val="single" w:sz="4" w:space="0" w:color="auto"/>
            </w:tcBorders>
            <w:shd w:val="clear" w:color="000000" w:fill="C6EFCE"/>
            <w:noWrap/>
            <w:vAlign w:val="center"/>
          </w:tcPr>
          <w:p w14:paraId="67D03DE3"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Cieľ</w:t>
            </w:r>
          </w:p>
        </w:tc>
        <w:tc>
          <w:tcPr>
            <w:tcW w:w="1855" w:type="dxa"/>
            <w:tcBorders>
              <w:top w:val="single" w:sz="4" w:space="0" w:color="auto"/>
              <w:left w:val="nil"/>
              <w:bottom w:val="single" w:sz="4" w:space="0" w:color="auto"/>
              <w:right w:val="single" w:sz="4" w:space="0" w:color="auto"/>
            </w:tcBorders>
            <w:shd w:val="clear" w:color="000000" w:fill="C6EFCE"/>
            <w:noWrap/>
            <w:vAlign w:val="center"/>
          </w:tcPr>
          <w:p w14:paraId="3AE31F22" w14:textId="1A4A7DC8" w:rsidR="002D49B0" w:rsidRPr="00083739" w:rsidRDefault="00BF4125">
            <w:pPr>
              <w:pStyle w:val="P68B1DB1-Normal51"/>
              <w:keepNext/>
              <w:spacing w:before="40" w:after="0" w:line="240" w:lineRule="auto"/>
              <w:jc w:val="both"/>
              <w:rPr>
                <w:bCs/>
                <w:noProof/>
                <w:lang w:val="sk-SK"/>
              </w:rPr>
            </w:pPr>
            <w:r w:rsidRPr="00083739">
              <w:rPr>
                <w:noProof/>
                <w:lang w:val="sk-SK"/>
              </w:rPr>
              <w:t>Môj domov II – právne dohody podpísané</w:t>
            </w:r>
            <w:r w:rsidR="00083739" w:rsidRPr="00083739">
              <w:rPr>
                <w:noProof/>
                <w:lang w:val="sk-SK"/>
              </w:rPr>
              <w:t xml:space="preserve"> s </w:t>
            </w:r>
            <w:r w:rsidRPr="00083739">
              <w:rPr>
                <w:noProof/>
                <w:lang w:val="sk-SK"/>
              </w:rPr>
              <w:t>konečnými príjemcami – 50</w:t>
            </w:r>
            <w:r w:rsidR="00083739" w:rsidRPr="00083739">
              <w:rPr>
                <w:noProof/>
                <w:lang w:val="sk-SK"/>
              </w:rPr>
              <w:t> %</w:t>
            </w:r>
          </w:p>
        </w:tc>
      </w:tr>
      <w:tr w:rsidR="002D49B0" w:rsidRPr="00083739" w14:paraId="393ACFFB" w14:textId="77777777">
        <w:trPr>
          <w:trHeight w:val="302"/>
        </w:trPr>
        <w:tc>
          <w:tcPr>
            <w:tcW w:w="1804" w:type="dxa"/>
            <w:tcBorders>
              <w:top w:val="single" w:sz="4" w:space="0" w:color="auto"/>
              <w:left w:val="single" w:sz="4" w:space="0" w:color="auto"/>
              <w:bottom w:val="single" w:sz="4" w:space="0" w:color="auto"/>
              <w:right w:val="single" w:sz="4" w:space="0" w:color="auto"/>
            </w:tcBorders>
            <w:shd w:val="clear" w:color="000000" w:fill="C6EFCE"/>
            <w:noWrap/>
            <w:vAlign w:val="center"/>
          </w:tcPr>
          <w:p w14:paraId="23236859" w14:textId="77777777"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327</w:t>
            </w:r>
          </w:p>
        </w:tc>
        <w:tc>
          <w:tcPr>
            <w:tcW w:w="4283" w:type="dxa"/>
            <w:tcBorders>
              <w:top w:val="single" w:sz="4" w:space="0" w:color="auto"/>
              <w:left w:val="nil"/>
              <w:bottom w:val="single" w:sz="4" w:space="0" w:color="auto"/>
              <w:right w:val="single" w:sz="4" w:space="0" w:color="auto"/>
            </w:tcBorders>
            <w:shd w:val="clear" w:color="000000" w:fill="C6EFCE"/>
            <w:noWrap/>
            <w:vAlign w:val="center"/>
          </w:tcPr>
          <w:p w14:paraId="2066F09B" w14:textId="75ADA69D"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4.7. Zlepšiť konkurencieschopnosť</w:t>
            </w:r>
            <w:r w:rsidR="00083739" w:rsidRPr="00083739">
              <w:rPr>
                <w:rFonts w:cs="Times New Roman"/>
                <w:noProof/>
                <w:lang w:val="sk-SK"/>
              </w:rPr>
              <w:t xml:space="preserve"> a </w:t>
            </w:r>
            <w:r w:rsidRPr="00083739">
              <w:rPr>
                <w:rFonts w:cs="Times New Roman"/>
                <w:noProof/>
                <w:lang w:val="sk-SK"/>
              </w:rPr>
              <w:t>podporiť súkromné investície</w:t>
            </w:r>
            <w:r w:rsidR="00083739" w:rsidRPr="00083739">
              <w:rPr>
                <w:rFonts w:cs="Times New Roman"/>
                <w:noProof/>
                <w:lang w:val="sk-SK"/>
              </w:rPr>
              <w:t xml:space="preserve"> a </w:t>
            </w:r>
            <w:r w:rsidRPr="00083739">
              <w:rPr>
                <w:rFonts w:cs="Times New Roman"/>
                <w:noProof/>
                <w:lang w:val="sk-SK"/>
              </w:rPr>
              <w:t xml:space="preserve">vývoz – úverový </w:t>
            </w:r>
            <w:r w:rsidRPr="00083739">
              <w:rPr>
                <w:rFonts w:cs="Times New Roman"/>
                <w:noProof/>
                <w:lang w:val="sk-SK"/>
              </w:rPr>
              <w:t>nástroj 16980_RRP</w:t>
            </w:r>
          </w:p>
        </w:tc>
        <w:tc>
          <w:tcPr>
            <w:tcW w:w="1692" w:type="dxa"/>
            <w:tcBorders>
              <w:top w:val="single" w:sz="4" w:space="0" w:color="auto"/>
              <w:left w:val="nil"/>
              <w:bottom w:val="single" w:sz="4" w:space="0" w:color="auto"/>
              <w:right w:val="single" w:sz="4" w:space="0" w:color="auto"/>
            </w:tcBorders>
            <w:shd w:val="clear" w:color="000000" w:fill="C6EFCE"/>
            <w:noWrap/>
            <w:vAlign w:val="center"/>
          </w:tcPr>
          <w:p w14:paraId="28292EB8" w14:textId="77777777"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Cieľ</w:t>
            </w:r>
          </w:p>
        </w:tc>
        <w:tc>
          <w:tcPr>
            <w:tcW w:w="1855" w:type="dxa"/>
            <w:tcBorders>
              <w:top w:val="single" w:sz="4" w:space="0" w:color="auto"/>
              <w:left w:val="nil"/>
              <w:bottom w:val="single" w:sz="4" w:space="0" w:color="auto"/>
              <w:right w:val="single" w:sz="4" w:space="0" w:color="auto"/>
            </w:tcBorders>
            <w:shd w:val="clear" w:color="000000" w:fill="C6EFCE"/>
            <w:noWrap/>
            <w:vAlign w:val="center"/>
          </w:tcPr>
          <w:p w14:paraId="4EF21C77" w14:textId="6085D22F"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Finančné prostriedky finančných inštitúcií vo výške 11182 mil. EUR podpísané</w:t>
            </w:r>
            <w:r w:rsidR="00083739" w:rsidRPr="00083739">
              <w:rPr>
                <w:rFonts w:cs="Times New Roman"/>
                <w:noProof/>
                <w:lang w:val="sk-SK"/>
              </w:rPr>
              <w:t xml:space="preserve"> s </w:t>
            </w:r>
            <w:r w:rsidRPr="00083739">
              <w:rPr>
                <w:rFonts w:cs="Times New Roman"/>
                <w:noProof/>
                <w:lang w:val="sk-SK"/>
              </w:rPr>
              <w:t>konečnými príjemcami</w:t>
            </w:r>
          </w:p>
        </w:tc>
      </w:tr>
      <w:tr w:rsidR="002D49B0" w:rsidRPr="00083739" w14:paraId="2ED74E97" w14:textId="77777777">
        <w:trPr>
          <w:trHeight w:val="302"/>
        </w:trPr>
        <w:tc>
          <w:tcPr>
            <w:tcW w:w="1804" w:type="dxa"/>
            <w:tcBorders>
              <w:top w:val="single" w:sz="4" w:space="0" w:color="auto"/>
              <w:left w:val="single" w:sz="4" w:space="0" w:color="auto"/>
              <w:bottom w:val="single" w:sz="4" w:space="0" w:color="auto"/>
              <w:right w:val="single" w:sz="4" w:space="0" w:color="auto"/>
            </w:tcBorders>
            <w:shd w:val="clear" w:color="000000" w:fill="C6EFCE"/>
            <w:noWrap/>
            <w:vAlign w:val="center"/>
          </w:tcPr>
          <w:p w14:paraId="2049A65A" w14:textId="77777777"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329</w:t>
            </w:r>
          </w:p>
        </w:tc>
        <w:tc>
          <w:tcPr>
            <w:tcW w:w="4283" w:type="dxa"/>
            <w:tcBorders>
              <w:top w:val="single" w:sz="4" w:space="0" w:color="auto"/>
              <w:left w:val="nil"/>
              <w:bottom w:val="single" w:sz="4" w:space="0" w:color="auto"/>
              <w:right w:val="single" w:sz="4" w:space="0" w:color="auto"/>
            </w:tcBorders>
            <w:shd w:val="clear" w:color="000000" w:fill="C6EFCE"/>
            <w:noWrap/>
            <w:vAlign w:val="center"/>
          </w:tcPr>
          <w:p w14:paraId="447FA030" w14:textId="2D11F5FD"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4.7. Zlepšiť konkurencieschopnosť</w:t>
            </w:r>
            <w:r w:rsidR="00083739" w:rsidRPr="00083739">
              <w:rPr>
                <w:rFonts w:cs="Times New Roman"/>
                <w:noProof/>
                <w:lang w:val="sk-SK"/>
              </w:rPr>
              <w:t xml:space="preserve"> a </w:t>
            </w:r>
            <w:r w:rsidRPr="00083739">
              <w:rPr>
                <w:rFonts w:cs="Times New Roman"/>
                <w:noProof/>
                <w:lang w:val="sk-SK"/>
              </w:rPr>
              <w:t>podporiť súkromné investície</w:t>
            </w:r>
            <w:r w:rsidR="00083739" w:rsidRPr="00083739">
              <w:rPr>
                <w:rFonts w:cs="Times New Roman"/>
                <w:noProof/>
                <w:lang w:val="sk-SK"/>
              </w:rPr>
              <w:t xml:space="preserve"> a </w:t>
            </w:r>
            <w:r w:rsidRPr="00083739">
              <w:rPr>
                <w:rFonts w:cs="Times New Roman"/>
                <w:noProof/>
                <w:lang w:val="sk-SK"/>
              </w:rPr>
              <w:t>vývoz – úverový nástroj 16980_RRP</w:t>
            </w:r>
          </w:p>
        </w:tc>
        <w:tc>
          <w:tcPr>
            <w:tcW w:w="1692" w:type="dxa"/>
            <w:tcBorders>
              <w:top w:val="single" w:sz="4" w:space="0" w:color="auto"/>
              <w:left w:val="nil"/>
              <w:bottom w:val="single" w:sz="4" w:space="0" w:color="auto"/>
              <w:right w:val="single" w:sz="4" w:space="0" w:color="auto"/>
            </w:tcBorders>
            <w:shd w:val="clear" w:color="000000" w:fill="C6EFCE"/>
            <w:noWrap/>
            <w:vAlign w:val="center"/>
          </w:tcPr>
          <w:p w14:paraId="6F3134F1" w14:textId="77777777"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Cieľ</w:t>
            </w:r>
          </w:p>
        </w:tc>
        <w:tc>
          <w:tcPr>
            <w:tcW w:w="1855" w:type="dxa"/>
            <w:tcBorders>
              <w:top w:val="single" w:sz="4" w:space="0" w:color="auto"/>
              <w:left w:val="nil"/>
              <w:bottom w:val="single" w:sz="4" w:space="0" w:color="auto"/>
              <w:right w:val="single" w:sz="4" w:space="0" w:color="auto"/>
            </w:tcBorders>
            <w:shd w:val="clear" w:color="000000" w:fill="C6EFCE"/>
            <w:noWrap/>
            <w:vAlign w:val="center"/>
          </w:tcPr>
          <w:p w14:paraId="4DC8E3C8" w14:textId="368BD7C1"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Investície vo výške 10</w:t>
            </w:r>
            <w:r w:rsidRPr="00083739">
              <w:rPr>
                <w:rFonts w:cs="Times New Roman"/>
                <w:noProof/>
                <w:lang w:val="sk-SK"/>
              </w:rPr>
              <w:t>0</w:t>
            </w:r>
            <w:r w:rsidR="00083739" w:rsidRPr="00083739">
              <w:rPr>
                <w:rFonts w:cs="Times New Roman"/>
                <w:noProof/>
                <w:lang w:val="sk-SK"/>
              </w:rPr>
              <w:t> %</w:t>
            </w:r>
            <w:r w:rsidRPr="00083739">
              <w:rPr>
                <w:rFonts w:cs="Times New Roman"/>
                <w:noProof/>
                <w:lang w:val="sk-SK"/>
              </w:rPr>
              <w:t xml:space="preserve"> kapitálovej podpory </w:t>
            </w:r>
          </w:p>
        </w:tc>
      </w:tr>
      <w:tr w:rsidR="002D49B0" w:rsidRPr="00083739" w14:paraId="43200938" w14:textId="77777777">
        <w:trPr>
          <w:trHeight w:val="302"/>
        </w:trPr>
        <w:tc>
          <w:tcPr>
            <w:tcW w:w="1804" w:type="dxa"/>
            <w:tcBorders>
              <w:top w:val="single" w:sz="4" w:space="0" w:color="auto"/>
              <w:left w:val="single" w:sz="4" w:space="0" w:color="auto"/>
              <w:bottom w:val="single" w:sz="4" w:space="0" w:color="auto"/>
              <w:right w:val="single" w:sz="4" w:space="0" w:color="auto"/>
            </w:tcBorders>
            <w:shd w:val="clear" w:color="000000" w:fill="C6EFCE"/>
            <w:noWrap/>
            <w:vAlign w:val="center"/>
          </w:tcPr>
          <w:p w14:paraId="14EED604" w14:textId="77777777"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330</w:t>
            </w:r>
          </w:p>
        </w:tc>
        <w:tc>
          <w:tcPr>
            <w:tcW w:w="4283" w:type="dxa"/>
            <w:tcBorders>
              <w:top w:val="single" w:sz="4" w:space="0" w:color="auto"/>
              <w:left w:val="nil"/>
              <w:bottom w:val="single" w:sz="4" w:space="0" w:color="auto"/>
              <w:right w:val="single" w:sz="4" w:space="0" w:color="auto"/>
            </w:tcBorders>
            <w:shd w:val="clear" w:color="000000" w:fill="C6EFCE"/>
            <w:noWrap/>
            <w:vAlign w:val="center"/>
          </w:tcPr>
          <w:p w14:paraId="29952528" w14:textId="77FAB3C1"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4.7. Zlepšiť konkurencieschopnosť</w:t>
            </w:r>
            <w:r w:rsidR="00083739" w:rsidRPr="00083739">
              <w:rPr>
                <w:rFonts w:cs="Times New Roman"/>
                <w:noProof/>
                <w:lang w:val="sk-SK"/>
              </w:rPr>
              <w:t xml:space="preserve"> a </w:t>
            </w:r>
            <w:r w:rsidRPr="00083739">
              <w:rPr>
                <w:rFonts w:cs="Times New Roman"/>
                <w:noProof/>
                <w:lang w:val="sk-SK"/>
              </w:rPr>
              <w:t>podporiť súkromné investície</w:t>
            </w:r>
            <w:r w:rsidR="00083739" w:rsidRPr="00083739">
              <w:rPr>
                <w:rFonts w:cs="Times New Roman"/>
                <w:noProof/>
                <w:lang w:val="sk-SK"/>
              </w:rPr>
              <w:t xml:space="preserve"> a </w:t>
            </w:r>
            <w:r w:rsidRPr="00083739">
              <w:rPr>
                <w:rFonts w:cs="Times New Roman"/>
                <w:noProof/>
                <w:lang w:val="sk-SK"/>
              </w:rPr>
              <w:t>vývoz – úverový nástroj 16980_RRP</w:t>
            </w:r>
          </w:p>
        </w:tc>
        <w:tc>
          <w:tcPr>
            <w:tcW w:w="1692" w:type="dxa"/>
            <w:tcBorders>
              <w:top w:val="single" w:sz="4" w:space="0" w:color="auto"/>
              <w:left w:val="nil"/>
              <w:bottom w:val="single" w:sz="4" w:space="0" w:color="auto"/>
              <w:right w:val="single" w:sz="4" w:space="0" w:color="auto"/>
            </w:tcBorders>
            <w:shd w:val="clear" w:color="000000" w:fill="C6EFCE"/>
            <w:noWrap/>
            <w:vAlign w:val="center"/>
          </w:tcPr>
          <w:p w14:paraId="59BF30DE" w14:textId="77777777"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Cieľ</w:t>
            </w:r>
          </w:p>
        </w:tc>
        <w:tc>
          <w:tcPr>
            <w:tcW w:w="1855" w:type="dxa"/>
            <w:tcBorders>
              <w:top w:val="single" w:sz="4" w:space="0" w:color="auto"/>
              <w:left w:val="nil"/>
              <w:bottom w:val="single" w:sz="4" w:space="0" w:color="auto"/>
              <w:right w:val="single" w:sz="4" w:space="0" w:color="auto"/>
            </w:tcBorders>
            <w:shd w:val="clear" w:color="000000" w:fill="C6EFCE"/>
            <w:noWrap/>
            <w:vAlign w:val="center"/>
          </w:tcPr>
          <w:p w14:paraId="16C29D7A" w14:textId="32B2CF3F"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Schvaľovanie operácií</w:t>
            </w:r>
            <w:r w:rsidR="00083739" w:rsidRPr="00083739">
              <w:rPr>
                <w:rFonts w:cs="Times New Roman"/>
                <w:noProof/>
                <w:lang w:val="sk-SK"/>
              </w:rPr>
              <w:t xml:space="preserve"> v </w:t>
            </w:r>
            <w:r w:rsidRPr="00083739">
              <w:rPr>
                <w:rFonts w:cs="Times New Roman"/>
                <w:noProof/>
                <w:lang w:val="sk-SK"/>
              </w:rPr>
              <w:t>rámci Programu InvestEU</w:t>
            </w:r>
          </w:p>
        </w:tc>
      </w:tr>
      <w:tr w:rsidR="002D49B0" w:rsidRPr="00083739" w14:paraId="43BFA17E" w14:textId="77777777">
        <w:trPr>
          <w:trHeight w:val="302"/>
        </w:trPr>
        <w:tc>
          <w:tcPr>
            <w:tcW w:w="18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F0E7027"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c>
          <w:tcPr>
            <w:tcW w:w="4283" w:type="dxa"/>
            <w:tcBorders>
              <w:top w:val="single" w:sz="4" w:space="0" w:color="auto"/>
              <w:left w:val="nil"/>
              <w:bottom w:val="single" w:sz="4" w:space="0" w:color="auto"/>
              <w:right w:val="single" w:sz="4" w:space="0" w:color="auto"/>
            </w:tcBorders>
            <w:shd w:val="clear" w:color="auto" w:fill="C6EFCE"/>
            <w:noWrap/>
            <w:vAlign w:val="bottom"/>
          </w:tcPr>
          <w:p w14:paraId="27F15499"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c>
          <w:tcPr>
            <w:tcW w:w="1692" w:type="dxa"/>
            <w:tcBorders>
              <w:top w:val="single" w:sz="4" w:space="0" w:color="auto"/>
              <w:left w:val="nil"/>
              <w:bottom w:val="single" w:sz="4" w:space="0" w:color="auto"/>
              <w:right w:val="single" w:sz="4" w:space="0" w:color="auto"/>
            </w:tcBorders>
            <w:shd w:val="clear" w:color="auto" w:fill="C6EFCE"/>
            <w:noWrap/>
            <w:vAlign w:val="bottom"/>
          </w:tcPr>
          <w:p w14:paraId="70472F8C" w14:textId="77777777" w:rsidR="002D49B0" w:rsidRPr="00083739" w:rsidRDefault="00BF4125">
            <w:pPr>
              <w:pStyle w:val="P68B1DB1-Normal8"/>
              <w:keepNext/>
              <w:spacing w:before="40" w:after="0" w:line="259" w:lineRule="auto"/>
              <w:jc w:val="both"/>
              <w:rPr>
                <w:rFonts w:eastAsia="Times New Roman" w:cs="Times New Roman"/>
                <w:noProof/>
                <w:szCs w:val="18"/>
                <w:lang w:val="sk-SK"/>
              </w:rPr>
            </w:pPr>
            <w:r w:rsidRPr="00083739">
              <w:rPr>
                <w:rFonts w:cs="Times New Roman"/>
                <w:noProof/>
                <w:lang w:val="sk-SK"/>
              </w:rPr>
              <w:t>Suma splátky</w:t>
            </w:r>
          </w:p>
        </w:tc>
        <w:tc>
          <w:tcPr>
            <w:tcW w:w="1855" w:type="dxa"/>
            <w:tcBorders>
              <w:top w:val="single" w:sz="4" w:space="0" w:color="auto"/>
              <w:left w:val="nil"/>
              <w:bottom w:val="single" w:sz="4" w:space="0" w:color="auto"/>
              <w:right w:val="single" w:sz="4" w:space="0" w:color="auto"/>
            </w:tcBorders>
            <w:shd w:val="clear" w:color="auto" w:fill="C6EFCE"/>
            <w:noWrap/>
            <w:vAlign w:val="bottom"/>
          </w:tcPr>
          <w:p w14:paraId="75F7F003" w14:textId="29EB8E4B" w:rsidR="002D49B0" w:rsidRPr="00083739" w:rsidRDefault="00BF4125">
            <w:pPr>
              <w:pStyle w:val="P68B1DB1-Normal8"/>
              <w:keepNext/>
              <w:spacing w:before="40" w:after="0" w:line="259" w:lineRule="auto"/>
              <w:jc w:val="both"/>
              <w:rPr>
                <w:rFonts w:eastAsia="Times New Roman" w:cs="Times New Roman"/>
                <w:noProof/>
                <w:szCs w:val="18"/>
                <w:lang w:val="sk-SK"/>
              </w:rPr>
            </w:pPr>
            <w:r w:rsidRPr="00083739">
              <w:rPr>
                <w:rFonts w:cs="Times New Roman"/>
                <w:noProof/>
                <w:lang w:val="sk-SK"/>
              </w:rPr>
              <w:t>1 940 000 000 EUR</w:t>
            </w:r>
          </w:p>
        </w:tc>
      </w:tr>
    </w:tbl>
    <w:p w14:paraId="29A34919" w14:textId="77777777" w:rsidR="002D49B0" w:rsidRPr="00083739" w:rsidRDefault="002D49B0">
      <w:pPr>
        <w:keepNext/>
        <w:spacing w:before="40" w:after="0" w:line="259" w:lineRule="auto"/>
        <w:jc w:val="both"/>
        <w:rPr>
          <w:rFonts w:ascii="Times New Roman" w:eastAsia="Times New Roman" w:hAnsi="Times New Roman" w:cs="Times New Roman"/>
          <w:bCs/>
          <w:noProof/>
          <w:sz w:val="24"/>
          <w:szCs w:val="26"/>
          <w:lang w:val="sk-SK"/>
        </w:rPr>
      </w:pPr>
    </w:p>
    <w:p w14:paraId="0540E0B9" w14:textId="24F9C09F" w:rsidR="002D49B0" w:rsidRPr="00083739" w:rsidRDefault="00BF4125">
      <w:pPr>
        <w:pStyle w:val="P68B1DB1-Normal52"/>
        <w:rPr>
          <w:bCs/>
          <w:noProof/>
          <w:lang w:val="sk-SK"/>
        </w:rPr>
      </w:pPr>
      <w:r w:rsidRPr="00083739">
        <w:rPr>
          <w:noProof/>
          <w:lang w:val="sk-SK"/>
        </w:rPr>
        <w:br w:type="page"/>
      </w:r>
    </w:p>
    <w:p w14:paraId="1C5F5C12" w14:textId="77777777" w:rsidR="002D49B0" w:rsidRPr="00083739" w:rsidRDefault="002D49B0">
      <w:pPr>
        <w:keepNext/>
        <w:spacing w:before="40" w:after="0" w:line="259" w:lineRule="auto"/>
        <w:jc w:val="both"/>
        <w:rPr>
          <w:rFonts w:ascii="Times New Roman" w:eastAsia="Times New Roman" w:hAnsi="Times New Roman" w:cs="Times New Roman"/>
          <w:bCs/>
          <w:noProof/>
          <w:sz w:val="24"/>
          <w:szCs w:val="26"/>
          <w:lang w:val="sk-SK"/>
        </w:rPr>
      </w:pPr>
    </w:p>
    <w:p w14:paraId="78381441" w14:textId="32DC379F" w:rsidR="002D49B0" w:rsidRPr="00083739" w:rsidRDefault="00BF4125">
      <w:pPr>
        <w:pStyle w:val="P68B1DB1-Normal4"/>
        <w:keepNext/>
        <w:numPr>
          <w:ilvl w:val="1"/>
          <w:numId w:val="22"/>
        </w:numPr>
        <w:spacing w:before="40" w:after="160" w:line="259" w:lineRule="auto"/>
        <w:ind w:left="0"/>
        <w:contextualSpacing/>
        <w:jc w:val="both"/>
        <w:rPr>
          <w:rFonts w:eastAsia="Times New Roman" w:cs="Times New Roman"/>
          <w:noProof/>
          <w:lang w:val="sk-SK"/>
        </w:rPr>
      </w:pPr>
      <w:r w:rsidRPr="00083739">
        <w:rPr>
          <w:rFonts w:cs="Times New Roman"/>
          <w:noProof/>
          <w:lang w:val="sk-SK"/>
        </w:rPr>
        <w:t xml:space="preserve"> Ôsma žiadosť</w:t>
      </w:r>
      <w:r w:rsidR="00083739" w:rsidRPr="00083739">
        <w:rPr>
          <w:rFonts w:cs="Times New Roman"/>
          <w:noProof/>
          <w:lang w:val="sk-SK"/>
        </w:rPr>
        <w:t xml:space="preserve"> o </w:t>
      </w:r>
      <w:r w:rsidRPr="00083739">
        <w:rPr>
          <w:rFonts w:cs="Times New Roman"/>
          <w:noProof/>
          <w:lang w:val="sk-SK"/>
        </w:rPr>
        <w:t xml:space="preserve">platbu (úverová podpora): </w:t>
      </w:r>
    </w:p>
    <w:tbl>
      <w:tblPr>
        <w:tblpPr w:leftFromText="180" w:rightFromText="180" w:vertAnchor="text" w:tblpX="113" w:tblpY="1"/>
        <w:tblOverlap w:val="never"/>
        <w:tblW w:w="9634" w:type="dxa"/>
        <w:tblLook w:val="04A0" w:firstRow="1" w:lastRow="0" w:firstColumn="1" w:lastColumn="0" w:noHBand="0" w:noVBand="1"/>
      </w:tblPr>
      <w:tblGrid>
        <w:gridCol w:w="1804"/>
        <w:gridCol w:w="4283"/>
        <w:gridCol w:w="1692"/>
        <w:gridCol w:w="1855"/>
      </w:tblGrid>
      <w:tr w:rsidR="002D49B0" w:rsidRPr="00083739" w14:paraId="297591C3" w14:textId="77777777">
        <w:trPr>
          <w:trHeight w:val="906"/>
        </w:trPr>
        <w:tc>
          <w:tcPr>
            <w:tcW w:w="1804"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1A6DE918" w14:textId="77777777" w:rsidR="002D49B0" w:rsidRPr="00083739" w:rsidRDefault="00BF4125">
            <w:pPr>
              <w:pStyle w:val="P68B1DB1-Normal7"/>
              <w:keepNext/>
              <w:spacing w:before="40" w:after="0" w:line="259" w:lineRule="auto"/>
              <w:jc w:val="center"/>
              <w:rPr>
                <w:rFonts w:eastAsia="Times New Roman" w:cs="Times New Roman"/>
                <w:bCs/>
                <w:noProof/>
                <w:szCs w:val="18"/>
                <w:lang w:val="sk-SK"/>
              </w:rPr>
            </w:pPr>
            <w:r w:rsidRPr="00083739">
              <w:rPr>
                <w:rFonts w:cs="Times New Roman"/>
                <w:noProof/>
                <w:lang w:val="sk-SK"/>
              </w:rPr>
              <w:t>Poradové číslo</w:t>
            </w:r>
          </w:p>
        </w:tc>
        <w:tc>
          <w:tcPr>
            <w:tcW w:w="428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0593EB5B" w14:textId="77777777" w:rsidR="002D49B0" w:rsidRPr="00083739" w:rsidRDefault="00BF4125">
            <w:pPr>
              <w:pStyle w:val="P68B1DB1-Normal7"/>
              <w:keepNext/>
              <w:spacing w:before="40" w:after="0" w:line="259" w:lineRule="auto"/>
              <w:jc w:val="center"/>
              <w:rPr>
                <w:rFonts w:eastAsia="Times New Roman" w:cs="Times New Roman"/>
                <w:bCs/>
                <w:noProof/>
                <w:szCs w:val="18"/>
                <w:lang w:val="sk-SK"/>
              </w:rPr>
            </w:pPr>
            <w:r w:rsidRPr="00083739">
              <w:rPr>
                <w:rFonts w:cs="Times New Roman"/>
                <w:noProof/>
                <w:lang w:val="sk-SK"/>
              </w:rPr>
              <w:t>Súvisiace opatrenie (reforma alebo investícia)</w:t>
            </w:r>
          </w:p>
        </w:tc>
        <w:tc>
          <w:tcPr>
            <w:tcW w:w="1692"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16B8A6ED" w14:textId="77777777" w:rsidR="002D49B0" w:rsidRPr="00083739" w:rsidRDefault="00BF4125">
            <w:pPr>
              <w:pStyle w:val="P68B1DB1-Normal7"/>
              <w:keepNext/>
              <w:spacing w:before="40" w:after="0" w:line="259" w:lineRule="auto"/>
              <w:jc w:val="center"/>
              <w:rPr>
                <w:rFonts w:eastAsia="Times New Roman" w:cs="Times New Roman"/>
                <w:bCs/>
                <w:noProof/>
                <w:szCs w:val="18"/>
                <w:lang w:val="sk-SK"/>
              </w:rPr>
            </w:pPr>
            <w:r w:rsidRPr="00083739">
              <w:rPr>
                <w:rFonts w:cs="Times New Roman"/>
                <w:noProof/>
                <w:lang w:val="sk-SK"/>
              </w:rPr>
              <w:t>Míľnik/cieľ</w:t>
            </w:r>
          </w:p>
        </w:tc>
        <w:tc>
          <w:tcPr>
            <w:tcW w:w="1855" w:type="dxa"/>
            <w:vMerge w:val="restart"/>
            <w:tcBorders>
              <w:top w:val="single" w:sz="4" w:space="0" w:color="auto"/>
              <w:left w:val="nil"/>
              <w:bottom w:val="single" w:sz="4" w:space="0" w:color="000000"/>
              <w:right w:val="single" w:sz="4" w:space="0" w:color="auto"/>
            </w:tcBorders>
            <w:shd w:val="clear" w:color="auto" w:fill="BDD7EE"/>
            <w:vAlign w:val="center"/>
            <w:hideMark/>
          </w:tcPr>
          <w:p w14:paraId="44E893A9" w14:textId="77777777" w:rsidR="002D49B0" w:rsidRPr="00083739" w:rsidRDefault="00BF4125">
            <w:pPr>
              <w:pStyle w:val="P68B1DB1-Normal7"/>
              <w:keepNext/>
              <w:spacing w:before="40" w:after="0" w:line="259" w:lineRule="auto"/>
              <w:jc w:val="center"/>
              <w:rPr>
                <w:rFonts w:eastAsia="Times New Roman" w:cs="Times New Roman"/>
                <w:bCs/>
                <w:noProof/>
                <w:szCs w:val="18"/>
                <w:lang w:val="sk-SK"/>
              </w:rPr>
            </w:pPr>
            <w:r w:rsidRPr="00083739">
              <w:rPr>
                <w:rFonts w:cs="Times New Roman"/>
                <w:noProof/>
                <w:lang w:val="sk-SK"/>
              </w:rPr>
              <w:t>Názov</w:t>
            </w:r>
          </w:p>
        </w:tc>
      </w:tr>
      <w:tr w:rsidR="002D49B0" w:rsidRPr="00083739" w14:paraId="3FABA0A4" w14:textId="77777777">
        <w:trPr>
          <w:trHeight w:val="990"/>
        </w:trPr>
        <w:tc>
          <w:tcPr>
            <w:tcW w:w="1804" w:type="dxa"/>
            <w:vMerge/>
            <w:tcBorders>
              <w:top w:val="single" w:sz="4" w:space="0" w:color="auto"/>
              <w:left w:val="single" w:sz="4" w:space="0" w:color="auto"/>
              <w:bottom w:val="single" w:sz="4" w:space="0" w:color="000000"/>
              <w:right w:val="single" w:sz="4" w:space="0" w:color="auto"/>
            </w:tcBorders>
            <w:vAlign w:val="center"/>
            <w:hideMark/>
          </w:tcPr>
          <w:p w14:paraId="1E65B7BD"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c>
          <w:tcPr>
            <w:tcW w:w="4283" w:type="dxa"/>
            <w:vMerge/>
            <w:tcBorders>
              <w:top w:val="single" w:sz="4" w:space="0" w:color="auto"/>
              <w:left w:val="single" w:sz="4" w:space="0" w:color="auto"/>
              <w:bottom w:val="single" w:sz="4" w:space="0" w:color="000000"/>
              <w:right w:val="single" w:sz="4" w:space="0" w:color="auto"/>
            </w:tcBorders>
            <w:vAlign w:val="center"/>
            <w:hideMark/>
          </w:tcPr>
          <w:p w14:paraId="3F469597"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c>
          <w:tcPr>
            <w:tcW w:w="1692" w:type="dxa"/>
            <w:vMerge/>
            <w:tcBorders>
              <w:top w:val="single" w:sz="4" w:space="0" w:color="auto"/>
              <w:left w:val="single" w:sz="4" w:space="0" w:color="auto"/>
              <w:bottom w:val="single" w:sz="4" w:space="0" w:color="000000"/>
              <w:right w:val="single" w:sz="4" w:space="0" w:color="auto"/>
            </w:tcBorders>
            <w:vAlign w:val="center"/>
            <w:hideMark/>
          </w:tcPr>
          <w:p w14:paraId="11E5AA15"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c>
          <w:tcPr>
            <w:tcW w:w="1855" w:type="dxa"/>
            <w:vMerge/>
            <w:tcBorders>
              <w:top w:val="single" w:sz="4" w:space="0" w:color="auto"/>
              <w:left w:val="nil"/>
              <w:bottom w:val="single" w:sz="4" w:space="0" w:color="000000"/>
              <w:right w:val="single" w:sz="4" w:space="0" w:color="auto"/>
            </w:tcBorders>
            <w:vAlign w:val="center"/>
            <w:hideMark/>
          </w:tcPr>
          <w:p w14:paraId="32BAB482"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r>
      <w:tr w:rsidR="002D49B0" w:rsidRPr="00083739" w14:paraId="5393923E" w14:textId="77777777">
        <w:trPr>
          <w:trHeight w:val="302"/>
        </w:trPr>
        <w:tc>
          <w:tcPr>
            <w:tcW w:w="1804"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363E7D02" w14:textId="758B03AD"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327a</w:t>
            </w:r>
          </w:p>
        </w:tc>
        <w:tc>
          <w:tcPr>
            <w:tcW w:w="4283" w:type="dxa"/>
            <w:tcBorders>
              <w:top w:val="single" w:sz="4" w:space="0" w:color="auto"/>
              <w:left w:val="nil"/>
              <w:bottom w:val="single" w:sz="4" w:space="0" w:color="auto"/>
              <w:right w:val="single" w:sz="4" w:space="0" w:color="auto"/>
            </w:tcBorders>
            <w:shd w:val="clear" w:color="000000" w:fill="C6EFCE"/>
            <w:noWrap/>
            <w:vAlign w:val="center"/>
            <w:hideMark/>
          </w:tcPr>
          <w:p w14:paraId="164E8FDE" w14:textId="5D792273"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4.7. Zlepšiť konkurencieschopnosť</w:t>
            </w:r>
            <w:r w:rsidR="00083739" w:rsidRPr="00083739">
              <w:rPr>
                <w:rFonts w:cs="Times New Roman"/>
                <w:noProof/>
                <w:lang w:val="sk-SK"/>
              </w:rPr>
              <w:t xml:space="preserve"> a </w:t>
            </w:r>
            <w:r w:rsidRPr="00083739">
              <w:rPr>
                <w:rFonts w:cs="Times New Roman"/>
                <w:noProof/>
                <w:lang w:val="sk-SK"/>
              </w:rPr>
              <w:t>podporiť súkromné investície</w:t>
            </w:r>
            <w:r w:rsidR="00083739" w:rsidRPr="00083739">
              <w:rPr>
                <w:rFonts w:cs="Times New Roman"/>
                <w:noProof/>
                <w:lang w:val="sk-SK"/>
              </w:rPr>
              <w:t xml:space="preserve"> a </w:t>
            </w:r>
            <w:r w:rsidRPr="00083739">
              <w:rPr>
                <w:rFonts w:cs="Times New Roman"/>
                <w:noProof/>
                <w:lang w:val="sk-SK"/>
              </w:rPr>
              <w:t>vývoz – úverový nástroj 16980_RRP</w:t>
            </w:r>
          </w:p>
        </w:tc>
        <w:tc>
          <w:tcPr>
            <w:tcW w:w="1692" w:type="dxa"/>
            <w:tcBorders>
              <w:top w:val="single" w:sz="4" w:space="0" w:color="auto"/>
              <w:left w:val="nil"/>
              <w:bottom w:val="single" w:sz="4" w:space="0" w:color="auto"/>
              <w:right w:val="single" w:sz="4" w:space="0" w:color="auto"/>
            </w:tcBorders>
            <w:shd w:val="clear" w:color="000000" w:fill="C6EFCE"/>
            <w:noWrap/>
            <w:vAlign w:val="center"/>
            <w:hideMark/>
          </w:tcPr>
          <w:p w14:paraId="5EF1FED4"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Cieľ</w:t>
            </w:r>
          </w:p>
        </w:tc>
        <w:tc>
          <w:tcPr>
            <w:tcW w:w="1855" w:type="dxa"/>
            <w:tcBorders>
              <w:top w:val="single" w:sz="4" w:space="0" w:color="auto"/>
              <w:left w:val="nil"/>
              <w:bottom w:val="single" w:sz="4" w:space="0" w:color="auto"/>
              <w:right w:val="single" w:sz="4" w:space="0" w:color="auto"/>
            </w:tcBorders>
            <w:shd w:val="clear" w:color="000000" w:fill="C6EFCE"/>
            <w:noWrap/>
            <w:vAlign w:val="center"/>
            <w:hideMark/>
          </w:tcPr>
          <w:p w14:paraId="04C9FA4A" w14:textId="2912B089"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 xml:space="preserve">Finančné prostriedky finančných </w:t>
            </w:r>
            <w:r w:rsidRPr="00083739">
              <w:rPr>
                <w:rFonts w:cs="Times New Roman"/>
                <w:noProof/>
                <w:lang w:val="sk-SK"/>
              </w:rPr>
              <w:t>inštitúcií vo výške 13364 mil. EUR podpísané</w:t>
            </w:r>
            <w:r w:rsidR="00083739" w:rsidRPr="00083739">
              <w:rPr>
                <w:rFonts w:cs="Times New Roman"/>
                <w:noProof/>
                <w:lang w:val="sk-SK"/>
              </w:rPr>
              <w:t xml:space="preserve"> s </w:t>
            </w:r>
            <w:r w:rsidRPr="00083739">
              <w:rPr>
                <w:rFonts w:cs="Times New Roman"/>
                <w:noProof/>
                <w:lang w:val="sk-SK"/>
              </w:rPr>
              <w:t>konečnými príjemcami</w:t>
            </w:r>
          </w:p>
        </w:tc>
      </w:tr>
      <w:tr w:rsidR="002D49B0" w:rsidRPr="00083739" w14:paraId="1871FDCF" w14:textId="77777777">
        <w:trPr>
          <w:trHeight w:val="302"/>
        </w:trPr>
        <w:tc>
          <w:tcPr>
            <w:tcW w:w="1804" w:type="dxa"/>
            <w:tcBorders>
              <w:top w:val="single" w:sz="4" w:space="0" w:color="auto"/>
              <w:left w:val="single" w:sz="4" w:space="0" w:color="auto"/>
              <w:bottom w:val="single" w:sz="4" w:space="0" w:color="auto"/>
              <w:right w:val="single" w:sz="4" w:space="0" w:color="auto"/>
            </w:tcBorders>
            <w:shd w:val="clear" w:color="000000" w:fill="C6EFCE"/>
            <w:noWrap/>
            <w:vAlign w:val="center"/>
          </w:tcPr>
          <w:p w14:paraId="5F5E388D" w14:textId="77777777" w:rsidR="002D49B0" w:rsidRPr="00083739" w:rsidRDefault="002D49B0">
            <w:pPr>
              <w:keepNext/>
              <w:spacing w:before="40" w:after="0" w:line="240" w:lineRule="auto"/>
              <w:jc w:val="both"/>
              <w:rPr>
                <w:rFonts w:ascii="Times New Roman" w:hAnsi="Times New Roman" w:cs="Times New Roman"/>
                <w:noProof/>
                <w:sz w:val="18"/>
                <w:lang w:val="sk-SK"/>
              </w:rPr>
            </w:pPr>
          </w:p>
        </w:tc>
        <w:tc>
          <w:tcPr>
            <w:tcW w:w="4283" w:type="dxa"/>
            <w:tcBorders>
              <w:top w:val="single" w:sz="4" w:space="0" w:color="auto"/>
              <w:left w:val="nil"/>
              <w:bottom w:val="single" w:sz="4" w:space="0" w:color="auto"/>
              <w:right w:val="single" w:sz="4" w:space="0" w:color="auto"/>
            </w:tcBorders>
            <w:shd w:val="clear" w:color="000000" w:fill="C6EFCE"/>
            <w:noWrap/>
            <w:vAlign w:val="center"/>
          </w:tcPr>
          <w:p w14:paraId="3CAC65DF" w14:textId="77777777" w:rsidR="002D49B0" w:rsidRPr="00083739" w:rsidRDefault="002D49B0">
            <w:pPr>
              <w:keepNext/>
              <w:spacing w:before="40" w:after="0" w:line="240" w:lineRule="auto"/>
              <w:jc w:val="both"/>
              <w:rPr>
                <w:rFonts w:ascii="Times New Roman" w:hAnsi="Times New Roman" w:cs="Times New Roman"/>
                <w:noProof/>
                <w:sz w:val="18"/>
                <w:lang w:val="sk-SK"/>
              </w:rPr>
            </w:pPr>
          </w:p>
        </w:tc>
        <w:tc>
          <w:tcPr>
            <w:tcW w:w="1692" w:type="dxa"/>
            <w:tcBorders>
              <w:top w:val="single" w:sz="4" w:space="0" w:color="auto"/>
              <w:left w:val="nil"/>
              <w:bottom w:val="single" w:sz="4" w:space="0" w:color="auto"/>
              <w:right w:val="single" w:sz="4" w:space="0" w:color="auto"/>
            </w:tcBorders>
            <w:shd w:val="clear" w:color="000000" w:fill="C6EFCE"/>
            <w:noWrap/>
            <w:vAlign w:val="bottom"/>
          </w:tcPr>
          <w:p w14:paraId="3CCCDE06" w14:textId="77777777"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Suma splátky</w:t>
            </w:r>
          </w:p>
        </w:tc>
        <w:tc>
          <w:tcPr>
            <w:tcW w:w="1855" w:type="dxa"/>
            <w:tcBorders>
              <w:top w:val="single" w:sz="4" w:space="0" w:color="auto"/>
              <w:left w:val="nil"/>
              <w:bottom w:val="single" w:sz="4" w:space="0" w:color="auto"/>
              <w:right w:val="single" w:sz="4" w:space="0" w:color="auto"/>
            </w:tcBorders>
            <w:shd w:val="clear" w:color="000000" w:fill="C6EFCE"/>
            <w:noWrap/>
            <w:vAlign w:val="bottom"/>
          </w:tcPr>
          <w:p w14:paraId="1A6E66FF" w14:textId="159CA711"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400 000 000 EUR</w:t>
            </w:r>
          </w:p>
        </w:tc>
      </w:tr>
    </w:tbl>
    <w:p w14:paraId="6822B860" w14:textId="77777777" w:rsidR="002D49B0" w:rsidRPr="00083739" w:rsidRDefault="002D49B0">
      <w:pPr>
        <w:keepNext/>
        <w:spacing w:before="40" w:after="0" w:line="259" w:lineRule="auto"/>
        <w:jc w:val="both"/>
        <w:rPr>
          <w:rFonts w:ascii="Times New Roman" w:eastAsia="Times New Roman" w:hAnsi="Times New Roman" w:cs="Times New Roman"/>
          <w:bCs/>
          <w:noProof/>
          <w:sz w:val="24"/>
          <w:szCs w:val="26"/>
          <w:lang w:val="sk-SK"/>
        </w:rPr>
      </w:pPr>
    </w:p>
    <w:p w14:paraId="17083456" w14:textId="73CCA2F4" w:rsidR="002D49B0" w:rsidRPr="00083739" w:rsidRDefault="00BF4125">
      <w:pPr>
        <w:pStyle w:val="P68B1DB1-Normal4"/>
        <w:keepNext/>
        <w:numPr>
          <w:ilvl w:val="1"/>
          <w:numId w:val="22"/>
        </w:numPr>
        <w:spacing w:before="40" w:after="160" w:line="259" w:lineRule="auto"/>
        <w:ind w:left="0"/>
        <w:contextualSpacing/>
        <w:jc w:val="both"/>
        <w:rPr>
          <w:rFonts w:cs="Times New Roman"/>
          <w:noProof/>
          <w:lang w:val="sk-SK"/>
        </w:rPr>
      </w:pPr>
      <w:r w:rsidRPr="00083739">
        <w:rPr>
          <w:rFonts w:cs="Times New Roman"/>
          <w:noProof/>
          <w:lang w:val="sk-SK"/>
        </w:rPr>
        <w:t xml:space="preserve"> Deviata žiadosť</w:t>
      </w:r>
      <w:r w:rsidR="00083739" w:rsidRPr="00083739">
        <w:rPr>
          <w:rFonts w:cs="Times New Roman"/>
          <w:noProof/>
          <w:lang w:val="sk-SK"/>
        </w:rPr>
        <w:t xml:space="preserve"> o </w:t>
      </w:r>
      <w:r w:rsidRPr="00083739">
        <w:rPr>
          <w:rFonts w:cs="Times New Roman"/>
          <w:noProof/>
          <w:lang w:val="sk-SK"/>
        </w:rPr>
        <w:t xml:space="preserve">platbu (úverová podpora): </w:t>
      </w:r>
    </w:p>
    <w:tbl>
      <w:tblPr>
        <w:tblW w:w="9639" w:type="dxa"/>
        <w:tblInd w:w="137" w:type="dxa"/>
        <w:tblLook w:val="04A0" w:firstRow="1" w:lastRow="0" w:firstColumn="1" w:lastColumn="0" w:noHBand="0" w:noVBand="1"/>
      </w:tblPr>
      <w:tblGrid>
        <w:gridCol w:w="1843"/>
        <w:gridCol w:w="4252"/>
        <w:gridCol w:w="1701"/>
        <w:gridCol w:w="1843"/>
      </w:tblGrid>
      <w:tr w:rsidR="002D49B0" w:rsidRPr="00083739" w14:paraId="0301D0F2" w14:textId="77777777">
        <w:trPr>
          <w:trHeight w:val="964"/>
        </w:trPr>
        <w:tc>
          <w:tcPr>
            <w:tcW w:w="18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30CC8B94" w14:textId="77777777" w:rsidR="002D49B0" w:rsidRPr="00083739" w:rsidRDefault="00BF4125">
            <w:pPr>
              <w:pStyle w:val="P68B1DB1-Normal7"/>
              <w:keepNext/>
              <w:spacing w:before="40" w:after="0" w:line="259" w:lineRule="auto"/>
              <w:jc w:val="center"/>
              <w:rPr>
                <w:rFonts w:eastAsia="Times New Roman" w:cs="Times New Roman"/>
                <w:bCs/>
                <w:noProof/>
                <w:szCs w:val="18"/>
                <w:lang w:val="sk-SK"/>
              </w:rPr>
            </w:pPr>
            <w:r w:rsidRPr="00083739">
              <w:rPr>
                <w:rFonts w:cs="Times New Roman"/>
                <w:noProof/>
                <w:lang w:val="sk-SK"/>
              </w:rPr>
              <w:t>Poradové číslo</w:t>
            </w:r>
          </w:p>
        </w:tc>
        <w:tc>
          <w:tcPr>
            <w:tcW w:w="4252"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3213796B" w14:textId="77777777" w:rsidR="002D49B0" w:rsidRPr="00083739" w:rsidRDefault="00BF4125">
            <w:pPr>
              <w:pStyle w:val="P68B1DB1-Normal7"/>
              <w:keepNext/>
              <w:spacing w:before="40" w:after="0" w:line="259" w:lineRule="auto"/>
              <w:jc w:val="center"/>
              <w:rPr>
                <w:rFonts w:eastAsia="Times New Roman" w:cs="Times New Roman"/>
                <w:bCs/>
                <w:noProof/>
                <w:szCs w:val="18"/>
                <w:lang w:val="sk-SK"/>
              </w:rPr>
            </w:pPr>
            <w:r w:rsidRPr="00083739">
              <w:rPr>
                <w:rFonts w:cs="Times New Roman"/>
                <w:noProof/>
                <w:lang w:val="sk-SK"/>
              </w:rPr>
              <w:t>Súvisiace opatrenie (reforma alebo investícia)</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3025D0BE" w14:textId="77777777" w:rsidR="002D49B0" w:rsidRPr="00083739" w:rsidRDefault="00BF4125">
            <w:pPr>
              <w:pStyle w:val="P68B1DB1-Normal7"/>
              <w:keepNext/>
              <w:spacing w:before="40" w:after="0" w:line="259" w:lineRule="auto"/>
              <w:jc w:val="center"/>
              <w:rPr>
                <w:rFonts w:eastAsia="Times New Roman" w:cs="Times New Roman"/>
                <w:bCs/>
                <w:noProof/>
                <w:szCs w:val="18"/>
                <w:lang w:val="sk-SK"/>
              </w:rPr>
            </w:pPr>
            <w:r w:rsidRPr="00083739">
              <w:rPr>
                <w:rFonts w:cs="Times New Roman"/>
                <w:noProof/>
                <w:lang w:val="sk-SK"/>
              </w:rPr>
              <w:t>Míľnik/cieľ</w:t>
            </w:r>
          </w:p>
        </w:tc>
        <w:tc>
          <w:tcPr>
            <w:tcW w:w="1843" w:type="dxa"/>
            <w:vMerge w:val="restart"/>
            <w:tcBorders>
              <w:top w:val="single" w:sz="4" w:space="0" w:color="auto"/>
              <w:left w:val="nil"/>
              <w:bottom w:val="single" w:sz="4" w:space="0" w:color="000000"/>
              <w:right w:val="single" w:sz="4" w:space="0" w:color="auto"/>
            </w:tcBorders>
            <w:shd w:val="clear" w:color="auto" w:fill="BDD7EE"/>
            <w:vAlign w:val="center"/>
            <w:hideMark/>
          </w:tcPr>
          <w:p w14:paraId="35C5DED1" w14:textId="77777777" w:rsidR="002D49B0" w:rsidRPr="00083739" w:rsidRDefault="00BF4125">
            <w:pPr>
              <w:pStyle w:val="P68B1DB1-Normal7"/>
              <w:keepNext/>
              <w:spacing w:before="40" w:after="0" w:line="259" w:lineRule="auto"/>
              <w:jc w:val="center"/>
              <w:rPr>
                <w:rFonts w:eastAsia="Times New Roman" w:cs="Times New Roman"/>
                <w:bCs/>
                <w:noProof/>
                <w:szCs w:val="18"/>
                <w:lang w:val="sk-SK"/>
              </w:rPr>
            </w:pPr>
            <w:r w:rsidRPr="00083739">
              <w:rPr>
                <w:rFonts w:cs="Times New Roman"/>
                <w:noProof/>
                <w:lang w:val="sk-SK"/>
              </w:rPr>
              <w:t>Názov</w:t>
            </w:r>
          </w:p>
        </w:tc>
      </w:tr>
      <w:tr w:rsidR="002D49B0" w:rsidRPr="00083739" w14:paraId="63A19DCF" w14:textId="77777777">
        <w:trPr>
          <w:trHeight w:val="1053"/>
        </w:trPr>
        <w:tc>
          <w:tcPr>
            <w:tcW w:w="1843" w:type="dxa"/>
            <w:vMerge/>
            <w:tcBorders>
              <w:top w:val="single" w:sz="4" w:space="0" w:color="auto"/>
              <w:left w:val="single" w:sz="4" w:space="0" w:color="auto"/>
              <w:bottom w:val="single" w:sz="4" w:space="0" w:color="000000"/>
              <w:right w:val="single" w:sz="4" w:space="0" w:color="auto"/>
            </w:tcBorders>
            <w:vAlign w:val="center"/>
            <w:hideMark/>
          </w:tcPr>
          <w:p w14:paraId="77B97F4B"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c>
          <w:tcPr>
            <w:tcW w:w="4252" w:type="dxa"/>
            <w:vMerge/>
            <w:tcBorders>
              <w:top w:val="single" w:sz="4" w:space="0" w:color="auto"/>
              <w:left w:val="single" w:sz="4" w:space="0" w:color="auto"/>
              <w:bottom w:val="single" w:sz="4" w:space="0" w:color="000000"/>
              <w:right w:val="single" w:sz="4" w:space="0" w:color="auto"/>
            </w:tcBorders>
            <w:vAlign w:val="center"/>
            <w:hideMark/>
          </w:tcPr>
          <w:p w14:paraId="225566F9"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415C1947"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c>
          <w:tcPr>
            <w:tcW w:w="1843" w:type="dxa"/>
            <w:vMerge/>
            <w:tcBorders>
              <w:top w:val="single" w:sz="4" w:space="0" w:color="auto"/>
              <w:left w:val="nil"/>
              <w:bottom w:val="single" w:sz="4" w:space="0" w:color="000000"/>
              <w:right w:val="single" w:sz="4" w:space="0" w:color="auto"/>
            </w:tcBorders>
            <w:vAlign w:val="center"/>
            <w:hideMark/>
          </w:tcPr>
          <w:p w14:paraId="054282D3" w14:textId="77777777" w:rsidR="002D49B0" w:rsidRPr="00083739" w:rsidRDefault="002D49B0">
            <w:pPr>
              <w:keepNext/>
              <w:spacing w:before="40" w:after="0" w:line="259" w:lineRule="auto"/>
              <w:jc w:val="both"/>
              <w:rPr>
                <w:rFonts w:ascii="Times New Roman" w:eastAsia="Times New Roman" w:hAnsi="Times New Roman" w:cs="Times New Roman"/>
                <w:bCs/>
                <w:noProof/>
                <w:sz w:val="18"/>
                <w:szCs w:val="18"/>
                <w:lang w:val="sk-SK"/>
              </w:rPr>
            </w:pPr>
          </w:p>
        </w:tc>
      </w:tr>
      <w:tr w:rsidR="002D49B0" w:rsidRPr="00083739" w14:paraId="1A86997A" w14:textId="77777777">
        <w:trPr>
          <w:trHeight w:val="320"/>
        </w:trPr>
        <w:tc>
          <w:tcPr>
            <w:tcW w:w="1843"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A300124" w14:textId="4273B55E"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376</w:t>
            </w:r>
          </w:p>
        </w:tc>
        <w:tc>
          <w:tcPr>
            <w:tcW w:w="4252" w:type="dxa"/>
            <w:tcBorders>
              <w:top w:val="single" w:sz="4" w:space="0" w:color="auto"/>
              <w:left w:val="nil"/>
              <w:bottom w:val="single" w:sz="4" w:space="0" w:color="auto"/>
              <w:right w:val="single" w:sz="4" w:space="0" w:color="auto"/>
            </w:tcBorders>
            <w:shd w:val="clear" w:color="000000" w:fill="C6EFCE"/>
            <w:noWrap/>
            <w:vAlign w:val="center"/>
          </w:tcPr>
          <w:p w14:paraId="2EA88DFB"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 – 1.2. Renovovať</w:t>
            </w:r>
            <w:r w:rsidRPr="00083739">
              <w:rPr>
                <w:rFonts w:cs="Times New Roman"/>
                <w:noProof/>
                <w:lang w:val="sk-SK"/>
              </w:rPr>
              <w:t xml:space="preserve"> – 16401_Program energetickej modernizácie „Zmodernizovať môj domov“</w:t>
            </w:r>
          </w:p>
        </w:tc>
        <w:tc>
          <w:tcPr>
            <w:tcW w:w="1701" w:type="dxa"/>
            <w:tcBorders>
              <w:top w:val="single" w:sz="4" w:space="0" w:color="auto"/>
              <w:left w:val="nil"/>
              <w:bottom w:val="single" w:sz="4" w:space="0" w:color="auto"/>
              <w:right w:val="single" w:sz="4" w:space="0" w:color="auto"/>
            </w:tcBorders>
            <w:shd w:val="clear" w:color="000000" w:fill="C6EFCE"/>
            <w:noWrap/>
            <w:vAlign w:val="center"/>
          </w:tcPr>
          <w:p w14:paraId="135BB01A"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Cieľ</w:t>
            </w:r>
          </w:p>
        </w:tc>
        <w:tc>
          <w:tcPr>
            <w:tcW w:w="1843" w:type="dxa"/>
            <w:tcBorders>
              <w:top w:val="single" w:sz="4" w:space="0" w:color="auto"/>
              <w:left w:val="nil"/>
              <w:bottom w:val="single" w:sz="4" w:space="0" w:color="auto"/>
              <w:right w:val="single" w:sz="4" w:space="0" w:color="auto"/>
            </w:tcBorders>
            <w:shd w:val="clear" w:color="000000" w:fill="C6EFCE"/>
            <w:noWrap/>
            <w:vAlign w:val="center"/>
          </w:tcPr>
          <w:p w14:paraId="3F7F87B9" w14:textId="2708E37A" w:rsidR="002D49B0" w:rsidRPr="00083739" w:rsidRDefault="00BF4125">
            <w:pPr>
              <w:pStyle w:val="P68B1DB1-Normal51"/>
              <w:keepNext/>
              <w:spacing w:before="40" w:after="0" w:line="240" w:lineRule="auto"/>
              <w:jc w:val="both"/>
              <w:rPr>
                <w:bCs/>
                <w:noProof/>
                <w:lang w:val="sk-SK"/>
              </w:rPr>
            </w:pPr>
            <w:r w:rsidRPr="00083739">
              <w:rPr>
                <w:noProof/>
                <w:lang w:val="sk-SK"/>
              </w:rPr>
              <w:t>Modernizácia Môj domov – právne dohody podpísané</w:t>
            </w:r>
            <w:r w:rsidR="00083739" w:rsidRPr="00083739">
              <w:rPr>
                <w:noProof/>
                <w:lang w:val="sk-SK"/>
              </w:rPr>
              <w:t xml:space="preserve"> s </w:t>
            </w:r>
            <w:r w:rsidRPr="00083739">
              <w:rPr>
                <w:noProof/>
                <w:lang w:val="sk-SK"/>
              </w:rPr>
              <w:t>konečnými príjemcami – 100</w:t>
            </w:r>
            <w:r w:rsidR="00083739" w:rsidRPr="00083739">
              <w:rPr>
                <w:noProof/>
                <w:lang w:val="sk-SK"/>
              </w:rPr>
              <w:t> %</w:t>
            </w:r>
          </w:p>
        </w:tc>
      </w:tr>
      <w:tr w:rsidR="002D49B0" w:rsidRPr="00083739" w14:paraId="7FDA04B0" w14:textId="77777777">
        <w:trPr>
          <w:trHeight w:val="320"/>
        </w:trPr>
        <w:tc>
          <w:tcPr>
            <w:tcW w:w="1843" w:type="dxa"/>
            <w:tcBorders>
              <w:top w:val="single" w:sz="4" w:space="0" w:color="auto"/>
              <w:left w:val="single" w:sz="4" w:space="0" w:color="auto"/>
              <w:bottom w:val="single" w:sz="4" w:space="0" w:color="auto"/>
              <w:right w:val="single" w:sz="4" w:space="0" w:color="auto"/>
            </w:tcBorders>
            <w:shd w:val="clear" w:color="000000" w:fill="C6EFCE"/>
            <w:noWrap/>
            <w:vAlign w:val="center"/>
          </w:tcPr>
          <w:p w14:paraId="38BAABEC" w14:textId="45721310"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377</w:t>
            </w:r>
          </w:p>
        </w:tc>
        <w:tc>
          <w:tcPr>
            <w:tcW w:w="4252" w:type="dxa"/>
            <w:tcBorders>
              <w:top w:val="single" w:sz="4" w:space="0" w:color="auto"/>
              <w:left w:val="nil"/>
              <w:bottom w:val="single" w:sz="4" w:space="0" w:color="auto"/>
              <w:right w:val="single" w:sz="4" w:space="0" w:color="auto"/>
            </w:tcBorders>
            <w:shd w:val="clear" w:color="000000" w:fill="C6EFCE"/>
            <w:noWrap/>
            <w:vAlign w:val="center"/>
          </w:tcPr>
          <w:p w14:paraId="6C6244F6"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2 – 1.2. Renovovať – 16401_Program energetickej modernizácie „Zmodernizovať môj domov“</w:t>
            </w:r>
          </w:p>
        </w:tc>
        <w:tc>
          <w:tcPr>
            <w:tcW w:w="1701" w:type="dxa"/>
            <w:tcBorders>
              <w:top w:val="single" w:sz="4" w:space="0" w:color="auto"/>
              <w:left w:val="nil"/>
              <w:bottom w:val="single" w:sz="4" w:space="0" w:color="auto"/>
              <w:right w:val="single" w:sz="4" w:space="0" w:color="auto"/>
            </w:tcBorders>
            <w:shd w:val="clear" w:color="000000" w:fill="C6EFCE"/>
            <w:noWrap/>
            <w:vAlign w:val="center"/>
          </w:tcPr>
          <w:p w14:paraId="10FC9578"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Míľnik</w:t>
            </w:r>
          </w:p>
        </w:tc>
        <w:tc>
          <w:tcPr>
            <w:tcW w:w="1843" w:type="dxa"/>
            <w:tcBorders>
              <w:top w:val="single" w:sz="4" w:space="0" w:color="auto"/>
              <w:left w:val="nil"/>
              <w:bottom w:val="single" w:sz="4" w:space="0" w:color="auto"/>
              <w:right w:val="single" w:sz="4" w:space="0" w:color="auto"/>
            </w:tcBorders>
            <w:shd w:val="clear" w:color="000000" w:fill="C6EFCE"/>
            <w:noWrap/>
            <w:vAlign w:val="center"/>
          </w:tcPr>
          <w:p w14:paraId="44FED910" w14:textId="77777777" w:rsidR="002D49B0" w:rsidRPr="00083739" w:rsidRDefault="00BF4125">
            <w:pPr>
              <w:pStyle w:val="P68B1DB1-Normal51"/>
              <w:keepNext/>
              <w:spacing w:before="40" w:after="0" w:line="240" w:lineRule="auto"/>
              <w:jc w:val="both"/>
              <w:rPr>
                <w:bCs/>
                <w:noProof/>
                <w:lang w:val="sk-SK"/>
              </w:rPr>
            </w:pPr>
            <w:r w:rsidRPr="00083739">
              <w:rPr>
                <w:noProof/>
                <w:lang w:val="sk-SK"/>
              </w:rPr>
              <w:t>Modernizácia Môj domov – ministerstvo financií dokončilo investíciu</w:t>
            </w:r>
          </w:p>
        </w:tc>
      </w:tr>
      <w:tr w:rsidR="002D49B0" w:rsidRPr="00083739" w14:paraId="18245CBE" w14:textId="77777777">
        <w:trPr>
          <w:trHeight w:val="320"/>
        </w:trPr>
        <w:tc>
          <w:tcPr>
            <w:tcW w:w="1843" w:type="dxa"/>
            <w:tcBorders>
              <w:top w:val="single" w:sz="4" w:space="0" w:color="auto"/>
              <w:left w:val="single" w:sz="4" w:space="0" w:color="auto"/>
              <w:bottom w:val="single" w:sz="4" w:space="0" w:color="auto"/>
              <w:right w:val="single" w:sz="4" w:space="0" w:color="auto"/>
            </w:tcBorders>
            <w:shd w:val="clear" w:color="000000" w:fill="C6EFCE"/>
            <w:noWrap/>
            <w:vAlign w:val="center"/>
          </w:tcPr>
          <w:p w14:paraId="69F2D7E2" w14:textId="2907F839"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380</w:t>
            </w:r>
          </w:p>
        </w:tc>
        <w:tc>
          <w:tcPr>
            <w:tcW w:w="4252" w:type="dxa"/>
            <w:tcBorders>
              <w:top w:val="single" w:sz="4" w:space="0" w:color="auto"/>
              <w:left w:val="nil"/>
              <w:bottom w:val="single" w:sz="4" w:space="0" w:color="auto"/>
              <w:right w:val="single" w:sz="4" w:space="0" w:color="auto"/>
            </w:tcBorders>
            <w:shd w:val="clear" w:color="000000" w:fill="C6EFCE"/>
            <w:noWrap/>
            <w:vAlign w:val="center"/>
          </w:tcPr>
          <w:p w14:paraId="2450F45C" w14:textId="200C080B"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11 – 3.4. Zlepšiť prístup</w:t>
            </w:r>
            <w:r w:rsidR="00083739" w:rsidRPr="00083739">
              <w:rPr>
                <w:rFonts w:cs="Times New Roman"/>
                <w:noProof/>
                <w:lang w:val="sk-SK"/>
              </w:rPr>
              <w:t xml:space="preserve"> k </w:t>
            </w:r>
            <w:r w:rsidRPr="00083739">
              <w:rPr>
                <w:rFonts w:cs="Times New Roman"/>
                <w:noProof/>
                <w:lang w:val="sk-SK"/>
              </w:rPr>
              <w:t>účinným</w:t>
            </w:r>
            <w:r w:rsidR="00083739" w:rsidRPr="00083739">
              <w:rPr>
                <w:rFonts w:cs="Times New Roman"/>
                <w:noProof/>
                <w:lang w:val="sk-SK"/>
              </w:rPr>
              <w:t xml:space="preserve"> a </w:t>
            </w:r>
            <w:r w:rsidRPr="00083739">
              <w:rPr>
                <w:rFonts w:cs="Times New Roman"/>
                <w:noProof/>
                <w:lang w:val="sk-SK"/>
              </w:rPr>
              <w:t>inkluzívnym sociálnym politikám – 16400_Program cenovo dostupného bývania Môj domov II</w:t>
            </w:r>
            <w:r w:rsidRPr="00083739">
              <w:rPr>
                <w:rFonts w:cs="Times New Roman"/>
                <w:noProof/>
                <w:lang w:val="sk-SK"/>
              </w:rPr>
              <w:tab/>
            </w:r>
          </w:p>
        </w:tc>
        <w:tc>
          <w:tcPr>
            <w:tcW w:w="1701" w:type="dxa"/>
            <w:tcBorders>
              <w:top w:val="single" w:sz="4" w:space="0" w:color="auto"/>
              <w:left w:val="nil"/>
              <w:bottom w:val="single" w:sz="4" w:space="0" w:color="auto"/>
              <w:right w:val="single" w:sz="4" w:space="0" w:color="auto"/>
            </w:tcBorders>
            <w:shd w:val="clear" w:color="000000" w:fill="C6EFCE"/>
            <w:noWrap/>
            <w:vAlign w:val="center"/>
          </w:tcPr>
          <w:p w14:paraId="50BB3F8B"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Cieľ</w:t>
            </w:r>
          </w:p>
        </w:tc>
        <w:tc>
          <w:tcPr>
            <w:tcW w:w="1843" w:type="dxa"/>
            <w:tcBorders>
              <w:top w:val="single" w:sz="4" w:space="0" w:color="auto"/>
              <w:left w:val="nil"/>
              <w:bottom w:val="single" w:sz="4" w:space="0" w:color="auto"/>
              <w:right w:val="single" w:sz="4" w:space="0" w:color="auto"/>
            </w:tcBorders>
            <w:shd w:val="clear" w:color="000000" w:fill="C6EFCE"/>
            <w:noWrap/>
            <w:vAlign w:val="center"/>
          </w:tcPr>
          <w:p w14:paraId="3A819455" w14:textId="26BD6E8B" w:rsidR="002D49B0" w:rsidRPr="00083739" w:rsidRDefault="00BF4125">
            <w:pPr>
              <w:pStyle w:val="P68B1DB1-Normal51"/>
              <w:keepNext/>
              <w:spacing w:before="40" w:after="0" w:line="240" w:lineRule="auto"/>
              <w:jc w:val="both"/>
              <w:rPr>
                <w:bCs/>
                <w:noProof/>
                <w:lang w:val="sk-SK"/>
              </w:rPr>
            </w:pPr>
            <w:r w:rsidRPr="00083739">
              <w:rPr>
                <w:noProof/>
                <w:lang w:val="sk-SK"/>
              </w:rPr>
              <w:t>Môj domov II – právne dohody podpísané</w:t>
            </w:r>
            <w:r w:rsidR="00083739" w:rsidRPr="00083739">
              <w:rPr>
                <w:noProof/>
                <w:lang w:val="sk-SK"/>
              </w:rPr>
              <w:t xml:space="preserve"> s </w:t>
            </w:r>
            <w:r w:rsidRPr="00083739">
              <w:rPr>
                <w:noProof/>
                <w:lang w:val="sk-SK"/>
              </w:rPr>
              <w:t xml:space="preserve">konečnými </w:t>
            </w:r>
            <w:r w:rsidRPr="00083739">
              <w:rPr>
                <w:noProof/>
                <w:lang w:val="sk-SK"/>
              </w:rPr>
              <w:t>príjemcami – 100</w:t>
            </w:r>
            <w:r w:rsidR="00083739" w:rsidRPr="00083739">
              <w:rPr>
                <w:noProof/>
                <w:lang w:val="sk-SK"/>
              </w:rPr>
              <w:t> %</w:t>
            </w:r>
          </w:p>
        </w:tc>
      </w:tr>
      <w:tr w:rsidR="002D49B0" w:rsidRPr="00083739" w14:paraId="6D7C1FF8" w14:textId="77777777">
        <w:trPr>
          <w:trHeight w:val="320"/>
        </w:trPr>
        <w:tc>
          <w:tcPr>
            <w:tcW w:w="1843" w:type="dxa"/>
            <w:tcBorders>
              <w:top w:val="single" w:sz="4" w:space="0" w:color="auto"/>
              <w:left w:val="single" w:sz="4" w:space="0" w:color="auto"/>
              <w:bottom w:val="single" w:sz="4" w:space="0" w:color="auto"/>
              <w:right w:val="single" w:sz="4" w:space="0" w:color="auto"/>
            </w:tcBorders>
            <w:shd w:val="clear" w:color="000000" w:fill="C6EFCE"/>
            <w:noWrap/>
            <w:vAlign w:val="center"/>
          </w:tcPr>
          <w:p w14:paraId="4606B306" w14:textId="7F023EF7" w:rsidR="002D49B0" w:rsidRPr="00083739" w:rsidRDefault="00BF4125">
            <w:pPr>
              <w:pStyle w:val="P68B1DB1-Normal8"/>
              <w:keepNext/>
              <w:spacing w:before="40" w:after="0" w:line="240" w:lineRule="auto"/>
              <w:jc w:val="both"/>
              <w:rPr>
                <w:rFonts w:eastAsia="Times New Roman" w:cs="Times New Roman"/>
                <w:noProof/>
                <w:szCs w:val="18"/>
                <w:lang w:val="sk-SK"/>
              </w:rPr>
            </w:pPr>
            <w:r w:rsidRPr="00083739">
              <w:rPr>
                <w:rFonts w:cs="Times New Roman"/>
                <w:noProof/>
                <w:lang w:val="sk-SK"/>
              </w:rPr>
              <w:t>381</w:t>
            </w:r>
          </w:p>
        </w:tc>
        <w:tc>
          <w:tcPr>
            <w:tcW w:w="4252" w:type="dxa"/>
            <w:tcBorders>
              <w:top w:val="single" w:sz="4" w:space="0" w:color="auto"/>
              <w:left w:val="nil"/>
              <w:bottom w:val="single" w:sz="4" w:space="0" w:color="auto"/>
              <w:right w:val="single" w:sz="4" w:space="0" w:color="auto"/>
            </w:tcBorders>
            <w:shd w:val="clear" w:color="000000" w:fill="C6EFCE"/>
            <w:noWrap/>
            <w:vAlign w:val="center"/>
          </w:tcPr>
          <w:p w14:paraId="0A0ECA65" w14:textId="1455AB9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11 – 3.4. Zlepšiť prístup</w:t>
            </w:r>
            <w:r w:rsidR="00083739" w:rsidRPr="00083739">
              <w:rPr>
                <w:rFonts w:cs="Times New Roman"/>
                <w:noProof/>
                <w:lang w:val="sk-SK"/>
              </w:rPr>
              <w:t xml:space="preserve"> k </w:t>
            </w:r>
            <w:r w:rsidRPr="00083739">
              <w:rPr>
                <w:rFonts w:cs="Times New Roman"/>
                <w:noProof/>
                <w:lang w:val="sk-SK"/>
              </w:rPr>
              <w:t>účinným</w:t>
            </w:r>
            <w:r w:rsidR="00083739" w:rsidRPr="00083739">
              <w:rPr>
                <w:rFonts w:cs="Times New Roman"/>
                <w:noProof/>
                <w:lang w:val="sk-SK"/>
              </w:rPr>
              <w:t xml:space="preserve"> a </w:t>
            </w:r>
            <w:r w:rsidRPr="00083739">
              <w:rPr>
                <w:rFonts w:cs="Times New Roman"/>
                <w:noProof/>
                <w:lang w:val="sk-SK"/>
              </w:rPr>
              <w:t>inkluzívnym sociálnym politikám – 16400_Program cenovo dostupného bývania Môj domov II</w:t>
            </w:r>
            <w:r w:rsidRPr="00083739">
              <w:rPr>
                <w:rFonts w:cs="Times New Roman"/>
                <w:noProof/>
                <w:lang w:val="sk-SK"/>
              </w:rPr>
              <w:tab/>
            </w:r>
          </w:p>
        </w:tc>
        <w:tc>
          <w:tcPr>
            <w:tcW w:w="1701" w:type="dxa"/>
            <w:tcBorders>
              <w:top w:val="single" w:sz="4" w:space="0" w:color="auto"/>
              <w:left w:val="nil"/>
              <w:bottom w:val="single" w:sz="4" w:space="0" w:color="auto"/>
              <w:right w:val="single" w:sz="4" w:space="0" w:color="auto"/>
            </w:tcBorders>
            <w:shd w:val="clear" w:color="000000" w:fill="C6EFCE"/>
            <w:noWrap/>
            <w:vAlign w:val="center"/>
          </w:tcPr>
          <w:p w14:paraId="747736AA" w14:textId="77777777" w:rsidR="002D49B0" w:rsidRPr="00083739" w:rsidRDefault="00BF4125">
            <w:pPr>
              <w:pStyle w:val="P68B1DB1-Normal8"/>
              <w:keepNext/>
              <w:spacing w:before="40" w:after="0" w:line="240" w:lineRule="auto"/>
              <w:jc w:val="both"/>
              <w:rPr>
                <w:rFonts w:eastAsia="Times New Roman" w:cs="Times New Roman"/>
                <w:bCs/>
                <w:noProof/>
                <w:szCs w:val="18"/>
                <w:lang w:val="sk-SK"/>
              </w:rPr>
            </w:pPr>
            <w:r w:rsidRPr="00083739">
              <w:rPr>
                <w:rFonts w:cs="Times New Roman"/>
                <w:noProof/>
                <w:lang w:val="sk-SK"/>
              </w:rPr>
              <w:t>Míľnik</w:t>
            </w:r>
          </w:p>
        </w:tc>
        <w:tc>
          <w:tcPr>
            <w:tcW w:w="1843" w:type="dxa"/>
            <w:tcBorders>
              <w:top w:val="single" w:sz="4" w:space="0" w:color="auto"/>
              <w:left w:val="nil"/>
              <w:bottom w:val="single" w:sz="4" w:space="0" w:color="auto"/>
              <w:right w:val="single" w:sz="4" w:space="0" w:color="auto"/>
            </w:tcBorders>
            <w:shd w:val="clear" w:color="000000" w:fill="C6EFCE"/>
            <w:noWrap/>
            <w:vAlign w:val="center"/>
          </w:tcPr>
          <w:p w14:paraId="1C791DE2" w14:textId="77777777" w:rsidR="002D49B0" w:rsidRPr="00083739" w:rsidRDefault="00BF4125">
            <w:pPr>
              <w:pStyle w:val="P68B1DB1-Normal51"/>
              <w:keepNext/>
              <w:spacing w:before="40" w:after="0" w:line="240" w:lineRule="auto"/>
              <w:jc w:val="both"/>
              <w:rPr>
                <w:bCs/>
                <w:noProof/>
                <w:lang w:val="sk-SK"/>
              </w:rPr>
            </w:pPr>
            <w:r w:rsidRPr="00083739">
              <w:rPr>
                <w:noProof/>
                <w:lang w:val="sk-SK"/>
              </w:rPr>
              <w:t>Môj domov II – Ministerstvo financií dokončilo investíciu</w:t>
            </w:r>
          </w:p>
        </w:tc>
      </w:tr>
      <w:tr w:rsidR="002D49B0" w:rsidRPr="00083739" w14:paraId="64B8B1B0" w14:textId="77777777">
        <w:trPr>
          <w:trHeight w:val="320"/>
        </w:trPr>
        <w:tc>
          <w:tcPr>
            <w:tcW w:w="1843" w:type="dxa"/>
            <w:tcBorders>
              <w:top w:val="single" w:sz="4" w:space="0" w:color="auto"/>
              <w:left w:val="single" w:sz="4" w:space="0" w:color="auto"/>
              <w:bottom w:val="single" w:sz="4" w:space="0" w:color="auto"/>
              <w:right w:val="single" w:sz="4" w:space="0" w:color="auto"/>
            </w:tcBorders>
            <w:shd w:val="clear" w:color="000000" w:fill="C6EFCE"/>
            <w:noWrap/>
            <w:vAlign w:val="center"/>
          </w:tcPr>
          <w:p w14:paraId="4DE36820" w14:textId="77777777"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328</w:t>
            </w:r>
          </w:p>
        </w:tc>
        <w:tc>
          <w:tcPr>
            <w:tcW w:w="4252" w:type="dxa"/>
            <w:tcBorders>
              <w:top w:val="single" w:sz="4" w:space="0" w:color="auto"/>
              <w:left w:val="nil"/>
              <w:bottom w:val="single" w:sz="4" w:space="0" w:color="auto"/>
              <w:right w:val="single" w:sz="4" w:space="0" w:color="auto"/>
            </w:tcBorders>
            <w:shd w:val="clear" w:color="000000" w:fill="C6EFCE"/>
            <w:noWrap/>
            <w:vAlign w:val="center"/>
          </w:tcPr>
          <w:p w14:paraId="281E775B" w14:textId="13D89F87"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4.7. Zlepšiť konkurencieschopnosť</w:t>
            </w:r>
            <w:r w:rsidR="00083739" w:rsidRPr="00083739">
              <w:rPr>
                <w:rFonts w:cs="Times New Roman"/>
                <w:noProof/>
                <w:lang w:val="sk-SK"/>
              </w:rPr>
              <w:t xml:space="preserve"> a </w:t>
            </w:r>
            <w:r w:rsidRPr="00083739">
              <w:rPr>
                <w:rFonts w:cs="Times New Roman"/>
                <w:noProof/>
                <w:lang w:val="sk-SK"/>
              </w:rPr>
              <w:t>podporiť súkromné investície</w:t>
            </w:r>
            <w:r w:rsidR="00083739" w:rsidRPr="00083739">
              <w:rPr>
                <w:rFonts w:cs="Times New Roman"/>
                <w:noProof/>
                <w:lang w:val="sk-SK"/>
              </w:rPr>
              <w:t xml:space="preserve"> a </w:t>
            </w:r>
            <w:r w:rsidRPr="00083739">
              <w:rPr>
                <w:rFonts w:cs="Times New Roman"/>
                <w:noProof/>
                <w:lang w:val="sk-SK"/>
              </w:rPr>
              <w:t>vývoz – úverový nástroj 16980_RRP</w:t>
            </w:r>
          </w:p>
        </w:tc>
        <w:tc>
          <w:tcPr>
            <w:tcW w:w="1701" w:type="dxa"/>
            <w:tcBorders>
              <w:top w:val="single" w:sz="4" w:space="0" w:color="auto"/>
              <w:left w:val="nil"/>
              <w:bottom w:val="single" w:sz="4" w:space="0" w:color="auto"/>
              <w:right w:val="single" w:sz="4" w:space="0" w:color="auto"/>
            </w:tcBorders>
            <w:shd w:val="clear" w:color="000000" w:fill="C6EFCE"/>
            <w:noWrap/>
            <w:vAlign w:val="center"/>
          </w:tcPr>
          <w:p w14:paraId="33D5AED5" w14:textId="77777777"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Cieľ</w:t>
            </w:r>
          </w:p>
        </w:tc>
        <w:tc>
          <w:tcPr>
            <w:tcW w:w="1843" w:type="dxa"/>
            <w:tcBorders>
              <w:top w:val="single" w:sz="4" w:space="0" w:color="auto"/>
              <w:left w:val="nil"/>
              <w:bottom w:val="single" w:sz="4" w:space="0" w:color="auto"/>
              <w:right w:val="single" w:sz="4" w:space="0" w:color="auto"/>
            </w:tcBorders>
            <w:shd w:val="clear" w:color="000000" w:fill="C6EFCE"/>
            <w:noWrap/>
            <w:vAlign w:val="center"/>
          </w:tcPr>
          <w:p w14:paraId="27A0F3E0" w14:textId="3D6ACAC2"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Finančné prostriedky finančných inštitúcií vo výške 15428 mil. EUR podpísané</w:t>
            </w:r>
            <w:r w:rsidR="00083739" w:rsidRPr="00083739">
              <w:rPr>
                <w:rFonts w:cs="Times New Roman"/>
                <w:noProof/>
                <w:lang w:val="sk-SK"/>
              </w:rPr>
              <w:t xml:space="preserve"> s </w:t>
            </w:r>
            <w:r w:rsidRPr="00083739">
              <w:rPr>
                <w:rFonts w:cs="Times New Roman"/>
                <w:noProof/>
                <w:lang w:val="sk-SK"/>
              </w:rPr>
              <w:t>konečnými príjemcami</w:t>
            </w:r>
          </w:p>
        </w:tc>
      </w:tr>
      <w:tr w:rsidR="002D49B0" w:rsidRPr="00083739" w14:paraId="5CCF8193" w14:textId="77777777">
        <w:trPr>
          <w:trHeight w:val="320"/>
        </w:trPr>
        <w:tc>
          <w:tcPr>
            <w:tcW w:w="1843" w:type="dxa"/>
            <w:tcBorders>
              <w:top w:val="single" w:sz="4" w:space="0" w:color="auto"/>
              <w:left w:val="single" w:sz="4" w:space="0" w:color="auto"/>
              <w:bottom w:val="single" w:sz="4" w:space="0" w:color="auto"/>
              <w:right w:val="single" w:sz="4" w:space="0" w:color="auto"/>
            </w:tcBorders>
            <w:shd w:val="clear" w:color="000000" w:fill="C6EFCE"/>
            <w:noWrap/>
            <w:vAlign w:val="center"/>
          </w:tcPr>
          <w:p w14:paraId="1C859A8F"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328a</w:t>
            </w:r>
          </w:p>
        </w:tc>
        <w:tc>
          <w:tcPr>
            <w:tcW w:w="4252" w:type="dxa"/>
            <w:tcBorders>
              <w:top w:val="single" w:sz="4" w:space="0" w:color="auto"/>
              <w:left w:val="nil"/>
              <w:bottom w:val="single" w:sz="4" w:space="0" w:color="auto"/>
              <w:right w:val="single" w:sz="4" w:space="0" w:color="auto"/>
            </w:tcBorders>
            <w:shd w:val="clear" w:color="000000" w:fill="C6EFCE"/>
            <w:noWrap/>
            <w:vAlign w:val="center"/>
          </w:tcPr>
          <w:p w14:paraId="4C872FD3" w14:textId="217AD9FC"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4.7. Zlepšiť konkurencieschopnosť</w:t>
            </w:r>
            <w:r w:rsidR="00083739" w:rsidRPr="00083739">
              <w:rPr>
                <w:rFonts w:cs="Times New Roman"/>
                <w:noProof/>
                <w:lang w:val="sk-SK"/>
              </w:rPr>
              <w:t xml:space="preserve"> a </w:t>
            </w:r>
            <w:r w:rsidRPr="00083739">
              <w:rPr>
                <w:rFonts w:cs="Times New Roman"/>
                <w:noProof/>
                <w:lang w:val="sk-SK"/>
              </w:rPr>
              <w:t>podporiť súkromné investície</w:t>
            </w:r>
            <w:r w:rsidR="00083739" w:rsidRPr="00083739">
              <w:rPr>
                <w:rFonts w:cs="Times New Roman"/>
                <w:noProof/>
                <w:lang w:val="sk-SK"/>
              </w:rPr>
              <w:t xml:space="preserve"> a </w:t>
            </w:r>
            <w:r w:rsidRPr="00083739">
              <w:rPr>
                <w:rFonts w:cs="Times New Roman"/>
                <w:noProof/>
                <w:lang w:val="sk-SK"/>
              </w:rPr>
              <w:t>vývoz – úvero</w:t>
            </w:r>
            <w:r w:rsidRPr="00083739">
              <w:rPr>
                <w:rFonts w:cs="Times New Roman"/>
                <w:noProof/>
                <w:lang w:val="sk-SK"/>
              </w:rPr>
              <w:t>vý nástroj 16980_RRP</w:t>
            </w:r>
          </w:p>
        </w:tc>
        <w:tc>
          <w:tcPr>
            <w:tcW w:w="1701" w:type="dxa"/>
            <w:tcBorders>
              <w:top w:val="single" w:sz="4" w:space="0" w:color="auto"/>
              <w:left w:val="nil"/>
              <w:bottom w:val="single" w:sz="4" w:space="0" w:color="auto"/>
              <w:right w:val="single" w:sz="4" w:space="0" w:color="auto"/>
            </w:tcBorders>
            <w:shd w:val="clear" w:color="000000" w:fill="C6EFCE"/>
            <w:noWrap/>
            <w:vAlign w:val="center"/>
          </w:tcPr>
          <w:p w14:paraId="79427D40"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Míľnik</w:t>
            </w:r>
          </w:p>
        </w:tc>
        <w:tc>
          <w:tcPr>
            <w:tcW w:w="1843" w:type="dxa"/>
            <w:tcBorders>
              <w:top w:val="single" w:sz="4" w:space="0" w:color="auto"/>
              <w:left w:val="nil"/>
              <w:bottom w:val="single" w:sz="4" w:space="0" w:color="auto"/>
              <w:right w:val="single" w:sz="4" w:space="0" w:color="auto"/>
            </w:tcBorders>
            <w:shd w:val="clear" w:color="000000" w:fill="C6EFCE"/>
            <w:noWrap/>
            <w:vAlign w:val="center"/>
          </w:tcPr>
          <w:p w14:paraId="06CC0B05" w14:textId="2662F99D"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Úverový nástroj – Ministerstvo financií dokončilo investíciu</w:t>
            </w:r>
          </w:p>
        </w:tc>
      </w:tr>
      <w:tr w:rsidR="002D49B0" w:rsidRPr="00083739" w14:paraId="3DDA1CF3" w14:textId="77777777">
        <w:trPr>
          <w:trHeight w:val="320"/>
        </w:trPr>
        <w:tc>
          <w:tcPr>
            <w:tcW w:w="184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0F40258" w14:textId="77777777" w:rsidR="002D49B0" w:rsidRPr="00083739" w:rsidRDefault="002D49B0">
            <w:pPr>
              <w:keepNext/>
              <w:spacing w:before="40" w:after="0" w:line="240" w:lineRule="auto"/>
              <w:jc w:val="both"/>
              <w:rPr>
                <w:rFonts w:ascii="Times New Roman" w:eastAsia="Times New Roman" w:hAnsi="Times New Roman" w:cs="Times New Roman"/>
                <w:noProof/>
                <w:sz w:val="18"/>
                <w:szCs w:val="18"/>
                <w:lang w:val="sk-SK"/>
              </w:rPr>
            </w:pPr>
          </w:p>
        </w:tc>
        <w:tc>
          <w:tcPr>
            <w:tcW w:w="4252" w:type="dxa"/>
            <w:tcBorders>
              <w:top w:val="single" w:sz="4" w:space="0" w:color="auto"/>
              <w:left w:val="nil"/>
              <w:bottom w:val="single" w:sz="4" w:space="0" w:color="auto"/>
              <w:right w:val="single" w:sz="4" w:space="0" w:color="auto"/>
            </w:tcBorders>
            <w:shd w:val="clear" w:color="auto" w:fill="C6EFCE"/>
            <w:noWrap/>
            <w:vAlign w:val="bottom"/>
          </w:tcPr>
          <w:p w14:paraId="5C0AE24D" w14:textId="77777777" w:rsidR="002D49B0" w:rsidRPr="00083739" w:rsidRDefault="002D49B0">
            <w:pPr>
              <w:keepNext/>
              <w:spacing w:before="40" w:after="0" w:line="240" w:lineRule="auto"/>
              <w:jc w:val="both"/>
              <w:rPr>
                <w:rFonts w:ascii="Times New Roman" w:hAnsi="Times New Roman" w:cs="Times New Roman"/>
                <w:noProof/>
                <w:sz w:val="18"/>
                <w:szCs w:val="18"/>
                <w:lang w:val="sk-SK"/>
              </w:rPr>
            </w:pPr>
          </w:p>
        </w:tc>
        <w:tc>
          <w:tcPr>
            <w:tcW w:w="1701" w:type="dxa"/>
            <w:tcBorders>
              <w:top w:val="single" w:sz="4" w:space="0" w:color="auto"/>
              <w:left w:val="nil"/>
              <w:bottom w:val="single" w:sz="4" w:space="0" w:color="auto"/>
              <w:right w:val="single" w:sz="4" w:space="0" w:color="auto"/>
            </w:tcBorders>
            <w:shd w:val="clear" w:color="auto" w:fill="C6EFCE"/>
            <w:noWrap/>
            <w:vAlign w:val="bottom"/>
          </w:tcPr>
          <w:p w14:paraId="28989963" w14:textId="77777777" w:rsidR="002D49B0" w:rsidRPr="00083739" w:rsidRDefault="00BF4125">
            <w:pPr>
              <w:pStyle w:val="P68B1DB1-Normal8"/>
              <w:keepNext/>
              <w:spacing w:before="40" w:after="0" w:line="240" w:lineRule="auto"/>
              <w:jc w:val="both"/>
              <w:rPr>
                <w:rFonts w:cs="Times New Roman"/>
                <w:noProof/>
                <w:szCs w:val="18"/>
                <w:lang w:val="sk-SK"/>
              </w:rPr>
            </w:pPr>
            <w:r w:rsidRPr="00083739">
              <w:rPr>
                <w:rFonts w:cs="Times New Roman"/>
                <w:noProof/>
                <w:lang w:val="sk-SK"/>
              </w:rPr>
              <w:t>Suma splátky</w:t>
            </w:r>
          </w:p>
        </w:tc>
        <w:tc>
          <w:tcPr>
            <w:tcW w:w="1843" w:type="dxa"/>
            <w:tcBorders>
              <w:top w:val="single" w:sz="4" w:space="0" w:color="auto"/>
              <w:left w:val="nil"/>
              <w:bottom w:val="single" w:sz="4" w:space="0" w:color="auto"/>
              <w:right w:val="single" w:sz="4" w:space="0" w:color="auto"/>
            </w:tcBorders>
            <w:shd w:val="clear" w:color="auto" w:fill="C6EFCE"/>
            <w:noWrap/>
            <w:vAlign w:val="bottom"/>
          </w:tcPr>
          <w:p w14:paraId="014136A6" w14:textId="77DEE208" w:rsidR="002D49B0" w:rsidRPr="00083739" w:rsidRDefault="00BF4125">
            <w:pPr>
              <w:pStyle w:val="P68B1DB1-Normal8"/>
              <w:keepNext/>
              <w:spacing w:before="40" w:after="0" w:line="240" w:lineRule="auto"/>
              <w:jc w:val="both"/>
              <w:rPr>
                <w:rFonts w:cs="Times New Roman"/>
                <w:noProof/>
                <w:lang w:val="sk-SK"/>
              </w:rPr>
            </w:pPr>
            <w:r w:rsidRPr="00083739">
              <w:rPr>
                <w:rFonts w:cs="Times New Roman"/>
                <w:noProof/>
                <w:lang w:val="sk-SK"/>
              </w:rPr>
              <w:t>2 609 255 117 EUR</w:t>
            </w:r>
          </w:p>
        </w:tc>
      </w:tr>
    </w:tbl>
    <w:p w14:paraId="73957B47" w14:textId="77777777" w:rsidR="002D49B0" w:rsidRPr="00083739" w:rsidRDefault="00BF4125">
      <w:pPr>
        <w:rPr>
          <w:rFonts w:ascii="Times New Roman" w:hAnsi="Times New Roman" w:cs="Times New Roman"/>
          <w:b/>
          <w:bCs/>
          <w:noProof/>
          <w:sz w:val="24"/>
          <w:lang w:val="sk-SK"/>
        </w:rPr>
      </w:pPr>
      <w:r w:rsidRPr="00083739">
        <w:rPr>
          <w:rFonts w:ascii="Times New Roman" w:hAnsi="Times New Roman" w:cs="Times New Roman"/>
          <w:noProof/>
          <w:lang w:val="sk-SK"/>
        </w:rPr>
        <w:br w:type="page"/>
      </w:r>
    </w:p>
    <w:p w14:paraId="2C3BAE94" w14:textId="77777777" w:rsidR="00083739" w:rsidRPr="00083739" w:rsidRDefault="00BF4125">
      <w:pPr>
        <w:pStyle w:val="P68B1DB1-Normal48"/>
        <w:keepNext/>
        <w:tabs>
          <w:tab w:val="num" w:pos="850"/>
        </w:tabs>
        <w:spacing w:before="120" w:after="120" w:line="259" w:lineRule="auto"/>
        <w:ind w:hanging="850"/>
        <w:jc w:val="both"/>
        <w:outlineLvl w:val="0"/>
        <w:rPr>
          <w:rFonts w:cs="Times New Roman"/>
          <w:noProof/>
          <w:lang w:val="sk-SK"/>
        </w:rPr>
      </w:pPr>
      <w:r w:rsidRPr="00083739">
        <w:rPr>
          <w:rFonts w:cs="Times New Roman"/>
          <w:noProof/>
          <w:lang w:val="sk-SK"/>
        </w:rPr>
        <w:t>ODDIEL 4: ĎALŠIE OPATRENIA</w:t>
      </w:r>
    </w:p>
    <w:p w14:paraId="57052859" w14:textId="114F59FB" w:rsidR="002D49B0" w:rsidRPr="00083739" w:rsidRDefault="00BF4125">
      <w:pPr>
        <w:pStyle w:val="P68B1DB1-Normal2"/>
        <w:numPr>
          <w:ilvl w:val="6"/>
          <w:numId w:val="17"/>
        </w:numPr>
        <w:spacing w:before="120" w:after="120" w:line="240" w:lineRule="auto"/>
        <w:ind w:left="0" w:hanging="567"/>
        <w:jc w:val="both"/>
        <w:rPr>
          <w:rFonts w:eastAsia="Times New Roman" w:cs="Times New Roman"/>
          <w:noProof/>
          <w:lang w:val="sk-SK"/>
        </w:rPr>
      </w:pPr>
      <w:r w:rsidRPr="00083739">
        <w:rPr>
          <w:rFonts w:cs="Times New Roman"/>
          <w:noProof/>
          <w:lang w:val="sk-SK"/>
        </w:rPr>
        <w:t>Opatrenia na monitorovanie</w:t>
      </w:r>
      <w:r w:rsidR="00083739" w:rsidRPr="00083739">
        <w:rPr>
          <w:rFonts w:cs="Times New Roman"/>
          <w:noProof/>
          <w:lang w:val="sk-SK"/>
        </w:rPr>
        <w:t xml:space="preserve"> a </w:t>
      </w:r>
      <w:r w:rsidRPr="00083739">
        <w:rPr>
          <w:rFonts w:cs="Times New Roman"/>
          <w:noProof/>
          <w:lang w:val="sk-SK"/>
        </w:rPr>
        <w:t>realizáciu plánu obnovy</w:t>
      </w:r>
      <w:r w:rsidR="00083739" w:rsidRPr="00083739">
        <w:rPr>
          <w:rFonts w:cs="Times New Roman"/>
          <w:noProof/>
          <w:lang w:val="sk-SK"/>
        </w:rPr>
        <w:t xml:space="preserve"> a </w:t>
      </w:r>
      <w:r w:rsidRPr="00083739">
        <w:rPr>
          <w:rFonts w:cs="Times New Roman"/>
          <w:noProof/>
          <w:lang w:val="sk-SK"/>
        </w:rPr>
        <w:t>odolnosti</w:t>
      </w:r>
    </w:p>
    <w:p w14:paraId="5DC6AD78" w14:textId="180694AB" w:rsidR="00083739"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Monitorovanie</w:t>
      </w:r>
      <w:r w:rsidR="00083739" w:rsidRPr="00083739">
        <w:rPr>
          <w:rFonts w:cs="Times New Roman"/>
          <w:noProof/>
          <w:lang w:val="sk-SK"/>
        </w:rPr>
        <w:t xml:space="preserve"> a </w:t>
      </w:r>
      <w:r w:rsidRPr="00083739">
        <w:rPr>
          <w:rFonts w:cs="Times New Roman"/>
          <w:noProof/>
          <w:lang w:val="sk-SK"/>
        </w:rPr>
        <w:t xml:space="preserve">vykonávanie plánu </w:t>
      </w:r>
      <w:r w:rsidRPr="00083739">
        <w:rPr>
          <w:rFonts w:cs="Times New Roman"/>
          <w:noProof/>
          <w:lang w:val="sk-SK"/>
        </w:rPr>
        <w:t>obnovy</w:t>
      </w:r>
      <w:r w:rsidR="00083739" w:rsidRPr="00083739">
        <w:rPr>
          <w:rFonts w:cs="Times New Roman"/>
          <w:noProof/>
          <w:lang w:val="sk-SK"/>
        </w:rPr>
        <w:t xml:space="preserve"> a </w:t>
      </w:r>
      <w:r w:rsidRPr="00083739">
        <w:rPr>
          <w:rFonts w:cs="Times New Roman"/>
          <w:noProof/>
          <w:lang w:val="sk-SK"/>
        </w:rPr>
        <w:t>odolnosti Grécka sa uskutočňuje</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týmito opatreniami</w:t>
      </w:r>
      <w:r w:rsidR="00083739" w:rsidRPr="00083739">
        <w:rPr>
          <w:rFonts w:cs="Times New Roman"/>
          <w:noProof/>
          <w:lang w:val="sk-SK"/>
        </w:rPr>
        <w:t>.</w:t>
      </w:r>
    </w:p>
    <w:p w14:paraId="546A3231" w14:textId="6ACA304F"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Hlavným orgánom zodpovedným za koordináciu vykonávania</w:t>
      </w:r>
      <w:r w:rsidR="00083739" w:rsidRPr="00083739">
        <w:rPr>
          <w:rFonts w:cs="Times New Roman"/>
          <w:noProof/>
          <w:lang w:val="sk-SK"/>
        </w:rPr>
        <w:t xml:space="preserve"> a </w:t>
      </w:r>
      <w:r w:rsidRPr="00083739">
        <w:rPr>
          <w:rFonts w:cs="Times New Roman"/>
          <w:noProof/>
          <w:lang w:val="sk-SK"/>
        </w:rPr>
        <w:t>monitorovania plánu obnovy</w:t>
      </w:r>
      <w:r w:rsidR="00083739" w:rsidRPr="00083739">
        <w:rPr>
          <w:rFonts w:cs="Times New Roman"/>
          <w:noProof/>
          <w:lang w:val="sk-SK"/>
        </w:rPr>
        <w:t xml:space="preserve"> a </w:t>
      </w:r>
      <w:r w:rsidRPr="00083739">
        <w:rPr>
          <w:rFonts w:cs="Times New Roman"/>
          <w:noProof/>
          <w:lang w:val="sk-SK"/>
        </w:rPr>
        <w:t>odolnosti bude Agentúra pre koordináciu Mechanizmu na podporu obnovy</w:t>
      </w:r>
      <w:r w:rsidR="00083739" w:rsidRPr="00083739">
        <w:rPr>
          <w:rFonts w:cs="Times New Roman"/>
          <w:noProof/>
          <w:lang w:val="sk-SK"/>
        </w:rPr>
        <w:t xml:space="preserve"> a </w:t>
      </w:r>
      <w:r w:rsidRPr="00083739">
        <w:rPr>
          <w:rFonts w:cs="Times New Roman"/>
          <w:noProof/>
          <w:lang w:val="sk-SK"/>
        </w:rPr>
        <w:t>odolnosti, nezávislá osobit</w:t>
      </w:r>
      <w:r w:rsidRPr="00083739">
        <w:rPr>
          <w:rFonts w:cs="Times New Roman"/>
          <w:noProof/>
          <w:lang w:val="sk-SK"/>
        </w:rPr>
        <w:t>ná verejná služba ministerstva financií zriadená zákonom č. 4738/2020. Agentúra pre koordináciu Mechanizmu na podporu obnovy</w:t>
      </w:r>
      <w:r w:rsidR="00083739" w:rsidRPr="00083739">
        <w:rPr>
          <w:rFonts w:cs="Times New Roman"/>
          <w:noProof/>
          <w:lang w:val="sk-SK"/>
        </w:rPr>
        <w:t xml:space="preserve"> a </w:t>
      </w:r>
      <w:r w:rsidRPr="00083739">
        <w:rPr>
          <w:rFonts w:cs="Times New Roman"/>
          <w:noProof/>
          <w:lang w:val="sk-SK"/>
        </w:rPr>
        <w:t>odolnosti je takisto zodpovedným orgánom, ktorý overuje, či boli splnené stanovené míľniky</w:t>
      </w:r>
      <w:r w:rsidR="00083739" w:rsidRPr="00083739">
        <w:rPr>
          <w:rFonts w:cs="Times New Roman"/>
          <w:noProof/>
          <w:lang w:val="sk-SK"/>
        </w:rPr>
        <w:t xml:space="preserve"> a </w:t>
      </w:r>
      <w:r w:rsidRPr="00083739">
        <w:rPr>
          <w:rFonts w:cs="Times New Roman"/>
          <w:noProof/>
          <w:lang w:val="sk-SK"/>
        </w:rPr>
        <w:t>ciele plánu podpory obnovy</w:t>
      </w:r>
      <w:r w:rsidR="00083739" w:rsidRPr="00083739">
        <w:rPr>
          <w:rFonts w:cs="Times New Roman"/>
          <w:noProof/>
          <w:lang w:val="sk-SK"/>
        </w:rPr>
        <w:t xml:space="preserve"> a </w:t>
      </w:r>
      <w:r w:rsidRPr="00083739">
        <w:rPr>
          <w:rFonts w:cs="Times New Roman"/>
          <w:noProof/>
          <w:lang w:val="sk-SK"/>
        </w:rPr>
        <w:t>odolnos</w:t>
      </w:r>
      <w:r w:rsidRPr="00083739">
        <w:rPr>
          <w:rFonts w:cs="Times New Roman"/>
          <w:noProof/>
          <w:lang w:val="sk-SK"/>
        </w:rPr>
        <w:t>ti,</w:t>
      </w:r>
      <w:r w:rsidR="00083739" w:rsidRPr="00083739">
        <w:rPr>
          <w:rFonts w:cs="Times New Roman"/>
          <w:noProof/>
          <w:lang w:val="sk-SK"/>
        </w:rPr>
        <w:t xml:space="preserve"> a </w:t>
      </w:r>
      <w:r w:rsidRPr="00083739">
        <w:rPr>
          <w:rFonts w:cs="Times New Roman"/>
          <w:noProof/>
          <w:lang w:val="sk-SK"/>
        </w:rPr>
        <w:t>pôsobí aj ako (jednotná) spolupráca medzi Európskou komisiou</w:t>
      </w:r>
      <w:r w:rsidR="00083739" w:rsidRPr="00083739">
        <w:rPr>
          <w:rFonts w:cs="Times New Roman"/>
          <w:noProof/>
          <w:lang w:val="sk-SK"/>
        </w:rPr>
        <w:t xml:space="preserve"> a </w:t>
      </w:r>
      <w:r w:rsidRPr="00083739">
        <w:rPr>
          <w:rFonts w:cs="Times New Roman"/>
          <w:noProof/>
          <w:lang w:val="sk-SK"/>
        </w:rPr>
        <w:t>gréckymi orgánmi. Jej úlohy konkrétne zahŕňajú aktívne monitorovanie pokroku projektov na základe dohodnutých míľnikov</w:t>
      </w:r>
      <w:r w:rsidR="00083739" w:rsidRPr="00083739">
        <w:rPr>
          <w:rFonts w:cs="Times New Roman"/>
          <w:noProof/>
          <w:lang w:val="sk-SK"/>
        </w:rPr>
        <w:t xml:space="preserve"> a </w:t>
      </w:r>
      <w:r w:rsidRPr="00083739">
        <w:rPr>
          <w:rFonts w:cs="Times New Roman"/>
          <w:noProof/>
          <w:lang w:val="sk-SK"/>
        </w:rPr>
        <w:t>cieľov</w:t>
      </w:r>
      <w:r w:rsidR="00083739" w:rsidRPr="00083739">
        <w:rPr>
          <w:rFonts w:cs="Times New Roman"/>
          <w:noProof/>
          <w:lang w:val="sk-SK"/>
        </w:rPr>
        <w:t xml:space="preserve"> a </w:t>
      </w:r>
      <w:r w:rsidRPr="00083739">
        <w:rPr>
          <w:rFonts w:cs="Times New Roman"/>
          <w:noProof/>
          <w:lang w:val="sk-SK"/>
        </w:rPr>
        <w:t>predkladanie žiadostí</w:t>
      </w:r>
      <w:r w:rsidR="00083739" w:rsidRPr="00083739">
        <w:rPr>
          <w:rFonts w:cs="Times New Roman"/>
          <w:noProof/>
          <w:lang w:val="sk-SK"/>
        </w:rPr>
        <w:t xml:space="preserve"> o </w:t>
      </w:r>
      <w:r w:rsidRPr="00083739">
        <w:rPr>
          <w:rFonts w:cs="Times New Roman"/>
          <w:noProof/>
          <w:lang w:val="sk-SK"/>
        </w:rPr>
        <w:t>platbu Európskej komisii po overe</w:t>
      </w:r>
      <w:r w:rsidRPr="00083739">
        <w:rPr>
          <w:rFonts w:cs="Times New Roman"/>
          <w:noProof/>
          <w:lang w:val="sk-SK"/>
        </w:rPr>
        <w:t>ní ich dokončenia.</w:t>
      </w:r>
      <w:r w:rsidR="00083739" w:rsidRPr="00083739">
        <w:rPr>
          <w:rFonts w:cs="Times New Roman"/>
          <w:noProof/>
          <w:lang w:val="sk-SK"/>
        </w:rPr>
        <w:t xml:space="preserve"> K </w:t>
      </w:r>
      <w:r w:rsidRPr="00083739">
        <w:rPr>
          <w:rFonts w:cs="Times New Roman"/>
          <w:noProof/>
          <w:lang w:val="sk-SK"/>
        </w:rPr>
        <w:t>správe sa priloží vyhlásenie riadiaceho subjektu, že finančné prostriedky boli použité na zamýšľané účely</w:t>
      </w:r>
      <w:r w:rsidR="00083739" w:rsidRPr="00083739">
        <w:rPr>
          <w:rFonts w:cs="Times New Roman"/>
          <w:noProof/>
          <w:lang w:val="sk-SK"/>
        </w:rPr>
        <w:t xml:space="preserve"> a v </w:t>
      </w:r>
      <w:r w:rsidRPr="00083739">
        <w:rPr>
          <w:rFonts w:cs="Times New Roman"/>
          <w:noProof/>
          <w:lang w:val="sk-SK"/>
        </w:rPr>
        <w:t>súlade so zásadou riadneho finančného hospodárenia, ako aj súhrn vykonaných auditov vrátane zistených nedostatkov</w:t>
      </w:r>
      <w:r w:rsidR="00083739" w:rsidRPr="00083739">
        <w:rPr>
          <w:rFonts w:cs="Times New Roman"/>
          <w:noProof/>
          <w:lang w:val="sk-SK"/>
        </w:rPr>
        <w:t xml:space="preserve"> a </w:t>
      </w:r>
      <w:r w:rsidRPr="00083739">
        <w:rPr>
          <w:rFonts w:cs="Times New Roman"/>
          <w:noProof/>
          <w:lang w:val="sk-SK"/>
        </w:rPr>
        <w:t xml:space="preserve">všetkých </w:t>
      </w:r>
      <w:r w:rsidRPr="00083739">
        <w:rPr>
          <w:rFonts w:cs="Times New Roman"/>
          <w:noProof/>
          <w:lang w:val="sk-SK"/>
        </w:rPr>
        <w:t>prijatých nápravných opatrení.</w:t>
      </w:r>
    </w:p>
    <w:p w14:paraId="6FA7B050" w14:textId="26409027" w:rsidR="00083739"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Celková zodpovednosť za vykonávanie každého konkrétneho opatrenia patrí do právomoci príslušného ministerstva, ktorého útvary budú podporovať monitorovanie pokroku projektov</w:t>
      </w:r>
      <w:r w:rsidR="00083739" w:rsidRPr="00083739">
        <w:rPr>
          <w:rFonts w:cs="Times New Roman"/>
          <w:noProof/>
          <w:lang w:val="sk-SK"/>
        </w:rPr>
        <w:t xml:space="preserve"> a </w:t>
      </w:r>
      <w:r w:rsidRPr="00083739">
        <w:rPr>
          <w:rFonts w:cs="Times New Roman"/>
          <w:noProof/>
          <w:lang w:val="sk-SK"/>
        </w:rPr>
        <w:t>udržiavať úzku spoluprácu</w:t>
      </w:r>
      <w:r w:rsidR="00083739" w:rsidRPr="00083739">
        <w:rPr>
          <w:rFonts w:cs="Times New Roman"/>
          <w:noProof/>
          <w:lang w:val="sk-SK"/>
        </w:rPr>
        <w:t xml:space="preserve"> s </w:t>
      </w:r>
      <w:r w:rsidRPr="00083739">
        <w:rPr>
          <w:rFonts w:cs="Times New Roman"/>
          <w:noProof/>
          <w:lang w:val="sk-SK"/>
        </w:rPr>
        <w:t xml:space="preserve">Agentúrou pre </w:t>
      </w:r>
      <w:r w:rsidRPr="00083739">
        <w:rPr>
          <w:rFonts w:cs="Times New Roman"/>
          <w:noProof/>
          <w:lang w:val="sk-SK"/>
        </w:rPr>
        <w:t>koordináciu Mechanizmu na podporu obnovy</w:t>
      </w:r>
      <w:r w:rsidR="00083739" w:rsidRPr="00083739">
        <w:rPr>
          <w:rFonts w:cs="Times New Roman"/>
          <w:noProof/>
          <w:lang w:val="sk-SK"/>
        </w:rPr>
        <w:t xml:space="preserve"> a </w:t>
      </w:r>
      <w:r w:rsidRPr="00083739">
        <w:rPr>
          <w:rFonts w:cs="Times New Roman"/>
          <w:noProof/>
          <w:lang w:val="sk-SK"/>
        </w:rPr>
        <w:t>odolnosti</w:t>
      </w:r>
      <w:r w:rsidR="00083739" w:rsidRPr="00083739">
        <w:rPr>
          <w:rFonts w:cs="Times New Roman"/>
          <w:noProof/>
          <w:lang w:val="sk-SK"/>
        </w:rPr>
        <w:t>.</w:t>
      </w:r>
    </w:p>
    <w:p w14:paraId="70C51646" w14:textId="2BC529DF" w:rsidR="00083739"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Všetky opatrenia uvedené</w:t>
      </w:r>
      <w:r w:rsidR="00083739" w:rsidRPr="00083739">
        <w:rPr>
          <w:rFonts w:cs="Times New Roman"/>
          <w:noProof/>
          <w:lang w:val="sk-SK"/>
        </w:rPr>
        <w:t xml:space="preserve"> v </w:t>
      </w:r>
      <w:r w:rsidRPr="00083739">
        <w:rPr>
          <w:rFonts w:cs="Times New Roman"/>
          <w:noProof/>
          <w:lang w:val="sk-SK"/>
        </w:rPr>
        <w:t>pláne vykonávajú vnútroštátne orgány (ďalej len „vykonávacie orgány“) vymenované príslušným ministerstvom</w:t>
      </w:r>
      <w:r w:rsidR="00083739" w:rsidRPr="00083739">
        <w:rPr>
          <w:rFonts w:cs="Times New Roman"/>
          <w:noProof/>
          <w:lang w:val="sk-SK"/>
        </w:rPr>
        <w:t xml:space="preserve"> a </w:t>
      </w:r>
      <w:r w:rsidRPr="00083739">
        <w:rPr>
          <w:rFonts w:cs="Times New Roman"/>
          <w:noProof/>
          <w:lang w:val="sk-SK"/>
        </w:rPr>
        <w:t>sú zodpovedné za dosiahnutie dohodnutých míľnikov</w:t>
      </w:r>
      <w:r w:rsidR="00083739" w:rsidRPr="00083739">
        <w:rPr>
          <w:rFonts w:cs="Times New Roman"/>
          <w:noProof/>
          <w:lang w:val="sk-SK"/>
        </w:rPr>
        <w:t xml:space="preserve"> a </w:t>
      </w:r>
      <w:r w:rsidRPr="00083739">
        <w:rPr>
          <w:rFonts w:cs="Times New Roman"/>
          <w:noProof/>
          <w:lang w:val="sk-SK"/>
        </w:rPr>
        <w:t xml:space="preserve">cieľov, ako aj </w:t>
      </w:r>
      <w:r w:rsidRPr="00083739">
        <w:rPr>
          <w:rFonts w:cs="Times New Roman"/>
          <w:noProof/>
          <w:lang w:val="sk-SK"/>
        </w:rPr>
        <w:t>za nahlasovanie všetkých údajov</w:t>
      </w:r>
      <w:r w:rsidR="00083739" w:rsidRPr="00083739">
        <w:rPr>
          <w:rFonts w:cs="Times New Roman"/>
          <w:noProof/>
          <w:lang w:val="sk-SK"/>
        </w:rPr>
        <w:t xml:space="preserve"> a </w:t>
      </w:r>
      <w:r w:rsidRPr="00083739">
        <w:rPr>
          <w:rFonts w:cs="Times New Roman"/>
          <w:noProof/>
          <w:lang w:val="sk-SK"/>
        </w:rPr>
        <w:t>dokumentácie Koordinačnej agentúre pre Mechanizmus na podporu obnovy</w:t>
      </w:r>
      <w:r w:rsidR="00083739" w:rsidRPr="00083739">
        <w:rPr>
          <w:rFonts w:cs="Times New Roman"/>
          <w:noProof/>
          <w:lang w:val="sk-SK"/>
        </w:rPr>
        <w:t xml:space="preserve"> a </w:t>
      </w:r>
      <w:r w:rsidRPr="00083739">
        <w:rPr>
          <w:rFonts w:cs="Times New Roman"/>
          <w:noProof/>
          <w:lang w:val="sk-SK"/>
        </w:rPr>
        <w:t>odolnosti prostredníctvom riadiaceho informačného systému, ktorý sa zriadi</w:t>
      </w:r>
      <w:r w:rsidR="00083739" w:rsidRPr="00083739">
        <w:rPr>
          <w:rFonts w:cs="Times New Roman"/>
          <w:noProof/>
          <w:lang w:val="sk-SK"/>
        </w:rPr>
        <w:t>.</w:t>
      </w:r>
    </w:p>
    <w:p w14:paraId="7D9888EE" w14:textId="0F23F044"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 xml:space="preserve">Výbor pre finančný audit (EDEL, ktorý je súčasťou Generálneho sekretariátu </w:t>
      </w:r>
      <w:r w:rsidRPr="00083739">
        <w:rPr>
          <w:rFonts w:cs="Times New Roman"/>
          <w:noProof/>
          <w:lang w:val="sk-SK"/>
        </w:rPr>
        <w:t>pre fiškálnu politiku (Štátny generálny účtovný úrad) ministerstva financií) zabezpečuje dodržiavanie zásad riadneho finančného hospodárenia.</w:t>
      </w:r>
    </w:p>
    <w:p w14:paraId="5FCA00AE" w14:textId="77777777" w:rsidR="002D49B0" w:rsidRPr="00083739" w:rsidRDefault="002D49B0">
      <w:pPr>
        <w:spacing w:before="120" w:after="120" w:line="240" w:lineRule="auto"/>
        <w:jc w:val="both"/>
        <w:rPr>
          <w:rFonts w:ascii="Times New Roman" w:hAnsi="Times New Roman" w:cs="Times New Roman"/>
          <w:noProof/>
          <w:sz w:val="24"/>
          <w:lang w:val="sk-SK"/>
        </w:rPr>
      </w:pPr>
    </w:p>
    <w:p w14:paraId="6388F48A" w14:textId="614AACD5" w:rsidR="002D49B0" w:rsidRPr="00083739" w:rsidRDefault="00BF4125">
      <w:pPr>
        <w:pStyle w:val="P68B1DB1-Normal2"/>
        <w:numPr>
          <w:ilvl w:val="6"/>
          <w:numId w:val="17"/>
        </w:numPr>
        <w:spacing w:before="120" w:after="120" w:line="240" w:lineRule="auto"/>
        <w:ind w:left="0" w:hanging="567"/>
        <w:jc w:val="both"/>
        <w:rPr>
          <w:rFonts w:cs="Times New Roman"/>
          <w:noProof/>
          <w:lang w:val="sk-SK"/>
        </w:rPr>
      </w:pPr>
      <w:r w:rsidRPr="00083739">
        <w:rPr>
          <w:rFonts w:cs="Times New Roman"/>
          <w:noProof/>
          <w:lang w:val="sk-SK"/>
        </w:rPr>
        <w:t>Opatrenia na poskytnutie plného prístupu</w:t>
      </w:r>
      <w:r w:rsidR="00083739" w:rsidRPr="00083739">
        <w:rPr>
          <w:rFonts w:cs="Times New Roman"/>
          <w:noProof/>
          <w:lang w:val="sk-SK"/>
        </w:rPr>
        <w:t xml:space="preserve"> k </w:t>
      </w:r>
      <w:r w:rsidRPr="00083739">
        <w:rPr>
          <w:rFonts w:cs="Times New Roman"/>
          <w:noProof/>
          <w:lang w:val="sk-SK"/>
        </w:rPr>
        <w:t>podkladovým údajom Komisii</w:t>
      </w:r>
    </w:p>
    <w:p w14:paraId="181A5077" w14:textId="79AF41F1"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S cieľom poskytnúť Komisii úplný prístup</w:t>
      </w:r>
      <w:r w:rsidR="00083739" w:rsidRPr="00083739">
        <w:rPr>
          <w:rFonts w:cs="Times New Roman"/>
          <w:noProof/>
          <w:lang w:val="sk-SK"/>
        </w:rPr>
        <w:t xml:space="preserve"> k </w:t>
      </w:r>
      <w:r w:rsidRPr="00083739">
        <w:rPr>
          <w:rFonts w:cs="Times New Roman"/>
          <w:noProof/>
          <w:lang w:val="sk-SK"/>
        </w:rPr>
        <w:t>príslušným podkladovým údajom Grécko zavedie tieto opatrenia:</w:t>
      </w:r>
    </w:p>
    <w:p w14:paraId="448DA226" w14:textId="7DB62E62" w:rsidR="002D49B0"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Za celkovú koordináciu</w:t>
      </w:r>
      <w:r w:rsidR="00083739" w:rsidRPr="00083739">
        <w:rPr>
          <w:rFonts w:cs="Times New Roman"/>
          <w:noProof/>
          <w:lang w:val="sk-SK"/>
        </w:rPr>
        <w:t xml:space="preserve"> a </w:t>
      </w:r>
      <w:r w:rsidRPr="00083739">
        <w:rPr>
          <w:rFonts w:cs="Times New Roman"/>
          <w:noProof/>
          <w:lang w:val="sk-SK"/>
        </w:rPr>
        <w:t>monitorovanie plánu je zodpovedná Agentúra pre koordináciu Mechanizmu na podporu obnovy</w:t>
      </w:r>
      <w:r w:rsidR="00083739" w:rsidRPr="00083739">
        <w:rPr>
          <w:rFonts w:cs="Times New Roman"/>
          <w:noProof/>
          <w:lang w:val="sk-SK"/>
        </w:rPr>
        <w:t xml:space="preserve"> a </w:t>
      </w:r>
      <w:r w:rsidRPr="00083739">
        <w:rPr>
          <w:rFonts w:cs="Times New Roman"/>
          <w:noProof/>
          <w:lang w:val="sk-SK"/>
        </w:rPr>
        <w:t>odolnosti ako ústredný koordinačný orgán pre plán obnovy</w:t>
      </w:r>
      <w:r w:rsidR="00083739" w:rsidRPr="00083739">
        <w:rPr>
          <w:rFonts w:cs="Times New Roman"/>
          <w:noProof/>
          <w:lang w:val="sk-SK"/>
        </w:rPr>
        <w:t xml:space="preserve"> a </w:t>
      </w:r>
      <w:r w:rsidRPr="00083739">
        <w:rPr>
          <w:rFonts w:cs="Times New Roman"/>
          <w:noProof/>
          <w:lang w:val="sk-SK"/>
        </w:rPr>
        <w:t>odolnosti Grécka</w:t>
      </w:r>
      <w:r w:rsidR="00083739" w:rsidRPr="00083739">
        <w:rPr>
          <w:rFonts w:cs="Times New Roman"/>
          <w:noProof/>
          <w:lang w:val="sk-SK"/>
        </w:rPr>
        <w:t xml:space="preserve"> a </w:t>
      </w:r>
      <w:r w:rsidRPr="00083739">
        <w:rPr>
          <w:rFonts w:cs="Times New Roman"/>
          <w:noProof/>
          <w:lang w:val="sk-SK"/>
        </w:rPr>
        <w:t>j</w:t>
      </w:r>
      <w:r w:rsidRPr="00083739">
        <w:rPr>
          <w:rFonts w:cs="Times New Roman"/>
          <w:noProof/>
          <w:lang w:val="sk-SK"/>
        </w:rPr>
        <w:t>eho vykonávanie. Pôsobí najmä ako koordinačný orgán na monitorovanie pokroku pri dosahovaní míľnikov</w:t>
      </w:r>
      <w:r w:rsidR="00083739" w:rsidRPr="00083739">
        <w:rPr>
          <w:rFonts w:cs="Times New Roman"/>
          <w:noProof/>
          <w:lang w:val="sk-SK"/>
        </w:rPr>
        <w:t xml:space="preserve"> a </w:t>
      </w:r>
      <w:r w:rsidRPr="00083739">
        <w:rPr>
          <w:rFonts w:cs="Times New Roman"/>
          <w:noProof/>
          <w:lang w:val="sk-SK"/>
        </w:rPr>
        <w:t>cieľov, na monitorovanie</w:t>
      </w:r>
      <w:r w:rsidR="00083739" w:rsidRPr="00083739">
        <w:rPr>
          <w:rFonts w:cs="Times New Roman"/>
          <w:noProof/>
          <w:lang w:val="sk-SK"/>
        </w:rPr>
        <w:t xml:space="preserve"> a v </w:t>
      </w:r>
      <w:r w:rsidRPr="00083739">
        <w:rPr>
          <w:rFonts w:cs="Times New Roman"/>
          <w:noProof/>
          <w:lang w:val="sk-SK"/>
        </w:rPr>
        <w:t>prípade potreby na vykonávanie kontrolných</w:t>
      </w:r>
      <w:r w:rsidR="00083739" w:rsidRPr="00083739">
        <w:rPr>
          <w:rFonts w:cs="Times New Roman"/>
          <w:noProof/>
          <w:lang w:val="sk-SK"/>
        </w:rPr>
        <w:t xml:space="preserve"> a </w:t>
      </w:r>
      <w:r w:rsidRPr="00083739">
        <w:rPr>
          <w:rFonts w:cs="Times New Roman"/>
          <w:noProof/>
          <w:lang w:val="sk-SK"/>
        </w:rPr>
        <w:t>audítorských činností</w:t>
      </w:r>
      <w:r w:rsidR="00083739" w:rsidRPr="00083739">
        <w:rPr>
          <w:rFonts w:cs="Times New Roman"/>
          <w:noProof/>
          <w:lang w:val="sk-SK"/>
        </w:rPr>
        <w:t xml:space="preserve"> a </w:t>
      </w:r>
      <w:r w:rsidRPr="00083739">
        <w:rPr>
          <w:rFonts w:cs="Times New Roman"/>
          <w:noProof/>
          <w:lang w:val="sk-SK"/>
        </w:rPr>
        <w:t>na poskytovanie správ</w:t>
      </w:r>
      <w:r w:rsidR="00083739" w:rsidRPr="00083739">
        <w:rPr>
          <w:rFonts w:cs="Times New Roman"/>
          <w:noProof/>
          <w:lang w:val="sk-SK"/>
        </w:rPr>
        <w:t xml:space="preserve"> a </w:t>
      </w:r>
      <w:r w:rsidRPr="00083739">
        <w:rPr>
          <w:rFonts w:cs="Times New Roman"/>
          <w:noProof/>
          <w:lang w:val="sk-SK"/>
        </w:rPr>
        <w:t>žiadostí</w:t>
      </w:r>
      <w:r w:rsidR="00083739" w:rsidRPr="00083739">
        <w:rPr>
          <w:rFonts w:cs="Times New Roman"/>
          <w:noProof/>
          <w:lang w:val="sk-SK"/>
        </w:rPr>
        <w:t xml:space="preserve"> o </w:t>
      </w:r>
      <w:r w:rsidRPr="00083739">
        <w:rPr>
          <w:rFonts w:cs="Times New Roman"/>
          <w:noProof/>
          <w:lang w:val="sk-SK"/>
        </w:rPr>
        <w:t>platby. Koordinuje p</w:t>
      </w:r>
      <w:r w:rsidRPr="00083739">
        <w:rPr>
          <w:rFonts w:cs="Times New Roman"/>
          <w:noProof/>
          <w:lang w:val="sk-SK"/>
        </w:rPr>
        <w:t>odávanie správ</w:t>
      </w:r>
      <w:r w:rsidR="00083739" w:rsidRPr="00083739">
        <w:rPr>
          <w:rFonts w:cs="Times New Roman"/>
          <w:noProof/>
          <w:lang w:val="sk-SK"/>
        </w:rPr>
        <w:t xml:space="preserve"> o </w:t>
      </w:r>
      <w:r w:rsidRPr="00083739">
        <w:rPr>
          <w:rFonts w:cs="Times New Roman"/>
          <w:noProof/>
          <w:lang w:val="sk-SK"/>
        </w:rPr>
        <w:t>míľnikoch</w:t>
      </w:r>
      <w:r w:rsidR="00083739" w:rsidRPr="00083739">
        <w:rPr>
          <w:rFonts w:cs="Times New Roman"/>
          <w:noProof/>
          <w:lang w:val="sk-SK"/>
        </w:rPr>
        <w:t xml:space="preserve"> a </w:t>
      </w:r>
      <w:r w:rsidRPr="00083739">
        <w:rPr>
          <w:rFonts w:cs="Times New Roman"/>
          <w:noProof/>
          <w:lang w:val="sk-SK"/>
        </w:rPr>
        <w:t>cieľoch, príslušných ukazovateľoch, ale aj kvalitatívnych finančných informáciách</w:t>
      </w:r>
      <w:r w:rsidR="00083739" w:rsidRPr="00083739">
        <w:rPr>
          <w:rFonts w:cs="Times New Roman"/>
          <w:noProof/>
          <w:lang w:val="sk-SK"/>
        </w:rPr>
        <w:t xml:space="preserve"> a </w:t>
      </w:r>
      <w:r w:rsidRPr="00083739">
        <w:rPr>
          <w:rFonts w:cs="Times New Roman"/>
          <w:noProof/>
          <w:lang w:val="sk-SK"/>
        </w:rPr>
        <w:t>iných údajoch, napríklad</w:t>
      </w:r>
      <w:r w:rsidR="00083739" w:rsidRPr="00083739">
        <w:rPr>
          <w:rFonts w:cs="Times New Roman"/>
          <w:noProof/>
          <w:lang w:val="sk-SK"/>
        </w:rPr>
        <w:t xml:space="preserve"> o </w:t>
      </w:r>
      <w:r w:rsidRPr="00083739">
        <w:rPr>
          <w:rFonts w:cs="Times New Roman"/>
          <w:noProof/>
          <w:lang w:val="sk-SK"/>
        </w:rPr>
        <w:t>konečných príjemcoch. Kódovanie údajov prebieha vo všetkých vykonávacích orgánoch, ktoré sú povinné oznamovať požado</w:t>
      </w:r>
      <w:r w:rsidRPr="00083739">
        <w:rPr>
          <w:rFonts w:cs="Times New Roman"/>
          <w:noProof/>
          <w:lang w:val="sk-SK"/>
        </w:rPr>
        <w:t>vané údaje koordinačnej agentúre Mechanizmu na podporu obnovy</w:t>
      </w:r>
      <w:r w:rsidR="00083739" w:rsidRPr="00083739">
        <w:rPr>
          <w:rFonts w:cs="Times New Roman"/>
          <w:noProof/>
          <w:lang w:val="sk-SK"/>
        </w:rPr>
        <w:t xml:space="preserve"> a </w:t>
      </w:r>
      <w:r w:rsidRPr="00083739">
        <w:rPr>
          <w:rFonts w:cs="Times New Roman"/>
          <w:noProof/>
          <w:lang w:val="sk-SK"/>
        </w:rPr>
        <w:t>odolnosti prostredníctvom informačného systému riadenia.</w:t>
      </w:r>
    </w:p>
    <w:p w14:paraId="647CF014" w14:textId="578005EA" w:rsidR="00083739" w:rsidRPr="00083739" w:rsidRDefault="00BF4125">
      <w:pPr>
        <w:pStyle w:val="P68B1DB1-Normal4"/>
        <w:spacing w:before="120" w:after="120" w:line="240" w:lineRule="auto"/>
        <w:jc w:val="both"/>
        <w:rPr>
          <w:rFonts w:cs="Times New Roman"/>
          <w:noProof/>
          <w:lang w:val="sk-SK"/>
        </w:rPr>
      </w:pPr>
      <w:r w:rsidRPr="00083739">
        <w:rPr>
          <w:rFonts w:cs="Times New Roman"/>
          <w:noProof/>
          <w:lang w:val="sk-SK"/>
        </w:rPr>
        <w:t>V súlade</w:t>
      </w:r>
      <w:r w:rsidR="00083739" w:rsidRPr="00083739">
        <w:rPr>
          <w:rFonts w:cs="Times New Roman"/>
          <w:noProof/>
          <w:lang w:val="sk-SK"/>
        </w:rPr>
        <w:t xml:space="preserve"> s </w:t>
      </w:r>
      <w:r w:rsidRPr="00083739">
        <w:rPr>
          <w:rFonts w:cs="Times New Roman"/>
          <w:noProof/>
          <w:lang w:val="sk-SK"/>
        </w:rPr>
        <w:t>článkom 24 ods. 2 nariadenia (EÚ) 2021/241 po splnení príslušných dohodnutých míľnikov</w:t>
      </w:r>
      <w:r w:rsidR="00083739" w:rsidRPr="00083739">
        <w:rPr>
          <w:rFonts w:cs="Times New Roman"/>
          <w:noProof/>
          <w:lang w:val="sk-SK"/>
        </w:rPr>
        <w:t xml:space="preserve"> a </w:t>
      </w:r>
      <w:r w:rsidRPr="00083739">
        <w:rPr>
          <w:rFonts w:cs="Times New Roman"/>
          <w:noProof/>
          <w:lang w:val="sk-SK"/>
        </w:rPr>
        <w:t>cieľov uvedených</w:t>
      </w:r>
      <w:r w:rsidR="00083739" w:rsidRPr="00083739">
        <w:rPr>
          <w:rFonts w:cs="Times New Roman"/>
          <w:noProof/>
          <w:lang w:val="sk-SK"/>
        </w:rPr>
        <w:t xml:space="preserve"> v </w:t>
      </w:r>
      <w:r w:rsidRPr="00083739">
        <w:rPr>
          <w:rFonts w:cs="Times New Roman"/>
          <w:noProof/>
          <w:lang w:val="sk-SK"/>
        </w:rPr>
        <w:t>oddiele 2.1 tejt</w:t>
      </w:r>
      <w:r w:rsidRPr="00083739">
        <w:rPr>
          <w:rFonts w:cs="Times New Roman"/>
          <w:noProof/>
          <w:lang w:val="sk-SK"/>
        </w:rPr>
        <w:t>o prílohy Grécko predloží Komisii riadne odôvodnenú žiadosť</w:t>
      </w:r>
      <w:r w:rsidR="00083739" w:rsidRPr="00083739">
        <w:rPr>
          <w:rFonts w:cs="Times New Roman"/>
          <w:noProof/>
          <w:lang w:val="sk-SK"/>
        </w:rPr>
        <w:t xml:space="preserve"> o </w:t>
      </w:r>
      <w:r w:rsidRPr="00083739">
        <w:rPr>
          <w:rFonts w:cs="Times New Roman"/>
          <w:noProof/>
          <w:lang w:val="sk-SK"/>
        </w:rPr>
        <w:t>platbu finančného príspevku</w:t>
      </w:r>
      <w:r w:rsidR="00083739" w:rsidRPr="00083739">
        <w:rPr>
          <w:rFonts w:cs="Times New Roman"/>
          <w:noProof/>
          <w:lang w:val="sk-SK"/>
        </w:rPr>
        <w:t xml:space="preserve"> a v </w:t>
      </w:r>
      <w:r w:rsidRPr="00083739">
        <w:rPr>
          <w:rFonts w:cs="Times New Roman"/>
          <w:noProof/>
          <w:lang w:val="sk-SK"/>
        </w:rPr>
        <w:t>relevantných prípadoch úveru. Grécko zabezpečí, aby Komisia mala na požiadanie úplný prístup</w:t>
      </w:r>
      <w:r w:rsidR="00083739" w:rsidRPr="00083739">
        <w:rPr>
          <w:rFonts w:cs="Times New Roman"/>
          <w:noProof/>
          <w:lang w:val="sk-SK"/>
        </w:rPr>
        <w:t xml:space="preserve"> k </w:t>
      </w:r>
      <w:r w:rsidRPr="00083739">
        <w:rPr>
          <w:rFonts w:cs="Times New Roman"/>
          <w:noProof/>
          <w:lang w:val="sk-SK"/>
        </w:rPr>
        <w:t xml:space="preserve">podkladovým relevantným údajom, ktoré podporujú riadne odôvodnenie </w:t>
      </w:r>
      <w:r w:rsidRPr="00083739">
        <w:rPr>
          <w:rFonts w:cs="Times New Roman"/>
          <w:noProof/>
          <w:lang w:val="sk-SK"/>
        </w:rPr>
        <w:t>žiadosti</w:t>
      </w:r>
      <w:r w:rsidR="00083739" w:rsidRPr="00083739">
        <w:rPr>
          <w:rFonts w:cs="Times New Roman"/>
          <w:noProof/>
          <w:lang w:val="sk-SK"/>
        </w:rPr>
        <w:t xml:space="preserve"> o </w:t>
      </w:r>
      <w:r w:rsidRPr="00083739">
        <w:rPr>
          <w:rFonts w:cs="Times New Roman"/>
          <w:noProof/>
          <w:lang w:val="sk-SK"/>
        </w:rPr>
        <w:t>platbu,</w:t>
      </w:r>
      <w:r w:rsidR="00083739" w:rsidRPr="00083739">
        <w:rPr>
          <w:rFonts w:cs="Times New Roman"/>
          <w:noProof/>
          <w:lang w:val="sk-SK"/>
        </w:rPr>
        <w:t xml:space="preserve"> a </w:t>
      </w:r>
      <w:r w:rsidRPr="00083739">
        <w:rPr>
          <w:rFonts w:cs="Times New Roman"/>
          <w:noProof/>
          <w:lang w:val="sk-SK"/>
        </w:rPr>
        <w:t>to na účely posúdenia žiadosti</w:t>
      </w:r>
      <w:r w:rsidR="00083739" w:rsidRPr="00083739">
        <w:rPr>
          <w:rFonts w:cs="Times New Roman"/>
          <w:noProof/>
          <w:lang w:val="sk-SK"/>
        </w:rPr>
        <w:t xml:space="preserve"> o </w:t>
      </w:r>
      <w:r w:rsidRPr="00083739">
        <w:rPr>
          <w:rFonts w:cs="Times New Roman"/>
          <w:noProof/>
          <w:lang w:val="sk-SK"/>
        </w:rPr>
        <w:t>platbu</w:t>
      </w:r>
      <w:r w:rsidR="00083739" w:rsidRPr="00083739">
        <w:rPr>
          <w:rFonts w:cs="Times New Roman"/>
          <w:noProof/>
          <w:lang w:val="sk-SK"/>
        </w:rPr>
        <w:t xml:space="preserve"> v </w:t>
      </w:r>
      <w:r w:rsidRPr="00083739">
        <w:rPr>
          <w:rFonts w:cs="Times New Roman"/>
          <w:noProof/>
          <w:lang w:val="sk-SK"/>
        </w:rPr>
        <w:t>súlade</w:t>
      </w:r>
      <w:r w:rsidR="00083739" w:rsidRPr="00083739">
        <w:rPr>
          <w:rFonts w:cs="Times New Roman"/>
          <w:noProof/>
          <w:lang w:val="sk-SK"/>
        </w:rPr>
        <w:t xml:space="preserve"> s </w:t>
      </w:r>
      <w:r w:rsidRPr="00083739">
        <w:rPr>
          <w:rFonts w:cs="Times New Roman"/>
          <w:noProof/>
          <w:lang w:val="sk-SK"/>
        </w:rPr>
        <w:t>článkom 24 ods. 3 nariadenia (EÚ) 2021/241, ako aj na účely auditu</w:t>
      </w:r>
      <w:r w:rsidR="00083739" w:rsidRPr="00083739">
        <w:rPr>
          <w:rFonts w:cs="Times New Roman"/>
          <w:noProof/>
          <w:lang w:val="sk-SK"/>
        </w:rPr>
        <w:t xml:space="preserve"> a </w:t>
      </w:r>
      <w:r w:rsidRPr="00083739">
        <w:rPr>
          <w:rFonts w:cs="Times New Roman"/>
          <w:noProof/>
          <w:lang w:val="sk-SK"/>
        </w:rPr>
        <w:t>kontroly</w:t>
      </w:r>
      <w:r w:rsidR="00083739" w:rsidRPr="00083739">
        <w:rPr>
          <w:rFonts w:cs="Times New Roman"/>
          <w:noProof/>
          <w:lang w:val="sk-SK"/>
        </w:rPr>
        <w:t>.</w:t>
      </w:r>
    </w:p>
    <w:p w14:paraId="71723235" w14:textId="53F476C3" w:rsidR="002D49B0" w:rsidRPr="00083739" w:rsidRDefault="002D49B0">
      <w:pPr>
        <w:keepNext/>
        <w:spacing w:before="120" w:after="160" w:line="259" w:lineRule="auto"/>
        <w:ind w:hanging="360"/>
        <w:contextualSpacing/>
        <w:jc w:val="both"/>
        <w:rPr>
          <w:rFonts w:ascii="Times New Roman" w:hAnsi="Times New Roman" w:cs="Times New Roman"/>
          <w:noProof/>
          <w:sz w:val="24"/>
          <w:lang w:val="sk-SK"/>
        </w:rPr>
      </w:pPr>
    </w:p>
    <w:sectPr w:rsidR="002D49B0" w:rsidRPr="00083739">
      <w:headerReference w:type="even" r:id="rId375"/>
      <w:headerReference w:type="default" r:id="rId376"/>
      <w:footerReference w:type="even" r:id="rId377"/>
      <w:footerReference w:type="default" r:id="rId378"/>
      <w:headerReference w:type="first" r:id="rId379"/>
      <w:footerReference w:type="first" r:id="rId380"/>
      <w:pgSz w:w="11907" w:h="16839"/>
      <w:pgMar w:top="1134" w:right="1418" w:bottom="1134" w:left="1418"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FF3849" w14:textId="77777777" w:rsidR="00201F30" w:rsidRDefault="00201F30">
      <w:pPr>
        <w:spacing w:after="0" w:line="240" w:lineRule="auto"/>
      </w:pPr>
      <w:r>
        <w:separator/>
      </w:r>
    </w:p>
  </w:endnote>
  <w:endnote w:type="continuationSeparator" w:id="0">
    <w:p w14:paraId="460DF75F" w14:textId="77777777" w:rsidR="00201F30" w:rsidRDefault="00201F30">
      <w:pPr>
        <w:spacing w:after="0" w:line="240" w:lineRule="auto"/>
      </w:pPr>
      <w:r>
        <w:continuationSeparator/>
      </w:r>
    </w:p>
  </w:endnote>
  <w:endnote w:type="continuationNotice" w:id="1">
    <w:p w14:paraId="0FDDFA05" w14:textId="77777777" w:rsidR="00201F30" w:rsidRDefault="00201F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55E3D" w14:textId="26E94672" w:rsidR="00BF4125" w:rsidRPr="00BF4125" w:rsidRDefault="00BF4125" w:rsidP="00BF4125">
    <w:pPr>
      <w:pStyle w:val="FooterCoverPage"/>
      <w:rPr>
        <w:rFonts w:ascii="Arial" w:hAnsi="Arial" w:cs="Arial"/>
        <w:b/>
        <w:sz w:val="48"/>
      </w:rPr>
    </w:pPr>
    <w:r w:rsidRPr="00BF4125">
      <w:rPr>
        <w:rFonts w:ascii="Arial" w:hAnsi="Arial" w:cs="Arial"/>
        <w:b/>
        <w:sz w:val="48"/>
      </w:rPr>
      <w:t>SK</w:t>
    </w:r>
    <w:r w:rsidRPr="00BF4125">
      <w:rPr>
        <w:rFonts w:ascii="Arial" w:hAnsi="Arial" w:cs="Arial"/>
        <w:b/>
        <w:sz w:val="48"/>
      </w:rPr>
      <w:tab/>
    </w:r>
    <w:r w:rsidRPr="00BF4125">
      <w:rPr>
        <w:rFonts w:ascii="Arial" w:hAnsi="Arial" w:cs="Arial"/>
        <w:b/>
        <w:sz w:val="48"/>
      </w:rPr>
      <w:tab/>
    </w:r>
    <w:r w:rsidRPr="00BF4125">
      <w:tab/>
    </w:r>
    <w:r w:rsidRPr="00BF4125">
      <w:rPr>
        <w:rFonts w:ascii="Arial" w:hAnsi="Arial" w:cs="Arial"/>
        <w:b/>
        <w:sz w:val="48"/>
      </w:rPr>
      <w:t>SK</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758BE" w14:textId="77777777" w:rsidR="002D49B0" w:rsidRDefault="002D49B0">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3DDFF" w14:textId="77777777" w:rsidR="002D49B0" w:rsidRDefault="002D49B0">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1177095"/>
      <w:docPartObj>
        <w:docPartGallery w:val="Page Numbers (Bottom of Page)"/>
        <w:docPartUnique/>
      </w:docPartObj>
    </w:sdtPr>
    <w:sdtEndPr>
      <w:rPr>
        <w:noProof/>
      </w:rPr>
    </w:sdtEndPr>
    <w:sdtContent>
      <w:p w14:paraId="1FEEE3D5" w14:textId="16D72BE5" w:rsidR="002D49B0" w:rsidRDefault="00BF4125">
        <w:pPr>
          <w:pStyle w:val="Footer"/>
          <w:jc w:val="center"/>
        </w:pPr>
        <w:r>
          <w:fldChar w:fldCharType="begin"/>
        </w:r>
        <w:r>
          <w:instrText xml:space="preserve"> PAGE   \* MERGEFORMAT </w:instrText>
        </w:r>
        <w:r>
          <w:fldChar w:fldCharType="separate"/>
        </w:r>
        <w:r>
          <w:t>2</w:t>
        </w:r>
        <w:r>
          <w:fldChar w:fldCharType="end"/>
        </w:r>
      </w:p>
    </w:sdtContent>
  </w:sdt>
  <w:p w14:paraId="7F1623D7" w14:textId="77777777" w:rsidR="002D49B0" w:rsidRDefault="002D49B0">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771AA" w14:textId="77777777" w:rsidR="002D49B0" w:rsidRDefault="002D49B0">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48A73" w14:textId="77777777" w:rsidR="002D49B0" w:rsidRDefault="002D49B0">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0530411"/>
      <w:docPartObj>
        <w:docPartGallery w:val="Page Numbers (Bottom of Page)"/>
        <w:docPartUnique/>
      </w:docPartObj>
    </w:sdtPr>
    <w:sdtEndPr>
      <w:rPr>
        <w:noProof/>
      </w:rPr>
    </w:sdtEndPr>
    <w:sdtContent>
      <w:p w14:paraId="5C721E3E" w14:textId="6D3B14EC" w:rsidR="002D49B0" w:rsidRDefault="00BF4125">
        <w:pPr>
          <w:pStyle w:val="Footer"/>
          <w:jc w:val="center"/>
        </w:pPr>
        <w:r>
          <w:fldChar w:fldCharType="begin"/>
        </w:r>
        <w:r>
          <w:instrText xml:space="preserve"> PAGE   \* MERGEFORMAT </w:instrText>
        </w:r>
        <w:r>
          <w:fldChar w:fldCharType="separate"/>
        </w:r>
        <w:r>
          <w:t>2</w:t>
        </w:r>
        <w:r>
          <w:fldChar w:fldCharType="end"/>
        </w:r>
      </w:p>
    </w:sdtContent>
  </w:sdt>
  <w:p w14:paraId="01114F20" w14:textId="77777777" w:rsidR="002D49B0" w:rsidRDefault="002D49B0">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6E5DE" w14:textId="77777777" w:rsidR="002D49B0" w:rsidRDefault="002D49B0">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7A797" w14:textId="77777777" w:rsidR="002D49B0" w:rsidRDefault="002D49B0">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1349528"/>
      <w:docPartObj>
        <w:docPartGallery w:val="Page Numbers (Bottom of Page)"/>
        <w:docPartUnique/>
      </w:docPartObj>
    </w:sdtPr>
    <w:sdtEndPr>
      <w:rPr>
        <w:noProof/>
      </w:rPr>
    </w:sdtEndPr>
    <w:sdtContent>
      <w:p w14:paraId="0DF7644A" w14:textId="45CE56B9" w:rsidR="002D49B0" w:rsidRDefault="00BF4125">
        <w:pPr>
          <w:pStyle w:val="Footer"/>
          <w:jc w:val="center"/>
        </w:pPr>
        <w:r>
          <w:fldChar w:fldCharType="begin"/>
        </w:r>
        <w:r>
          <w:instrText xml:space="preserve"> PAGE   \* MERGEFORMAT </w:instrText>
        </w:r>
        <w:r>
          <w:fldChar w:fldCharType="separate"/>
        </w:r>
        <w:r>
          <w:t>2</w:t>
        </w:r>
        <w:r>
          <w:fldChar w:fldCharType="end"/>
        </w:r>
      </w:p>
    </w:sdtContent>
  </w:sdt>
  <w:p w14:paraId="7003C998" w14:textId="77777777" w:rsidR="002D49B0" w:rsidRDefault="002D49B0">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31275C" w14:textId="77777777" w:rsidR="002D49B0" w:rsidRDefault="002D49B0">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9DA9C" w14:textId="77777777" w:rsidR="002D49B0" w:rsidRDefault="002D49B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5458966"/>
      <w:docPartObj>
        <w:docPartGallery w:val="Page Numbers (Bottom of Page)"/>
        <w:docPartUnique/>
      </w:docPartObj>
    </w:sdtPr>
    <w:sdtEndPr>
      <w:rPr>
        <w:noProof/>
      </w:rPr>
    </w:sdtEndPr>
    <w:sdtContent>
      <w:p w14:paraId="0CCAFC9F" w14:textId="0EBDE914" w:rsidR="002D49B0" w:rsidRDefault="00BF4125">
        <w:pPr>
          <w:pStyle w:val="Footer"/>
          <w:jc w:val="center"/>
        </w:pPr>
        <w:r>
          <w:fldChar w:fldCharType="begin"/>
        </w:r>
        <w:r>
          <w:instrText xml:space="preserve"> PAGE   \* MERGEFORMAT </w:instrText>
        </w:r>
        <w:r>
          <w:fldChar w:fldCharType="separate"/>
        </w:r>
        <w:r w:rsidR="001814DA">
          <w:rPr>
            <w:noProof/>
          </w:rPr>
          <w:t>14</w:t>
        </w:r>
        <w:r>
          <w:fldChar w:fldCharType="end"/>
        </w:r>
      </w:p>
    </w:sdtContent>
  </w:sdt>
  <w:p w14:paraId="45A15471" w14:textId="77777777" w:rsidR="002D49B0" w:rsidRDefault="002D49B0">
    <w:pPr>
      <w:pStyle w:val="FooterCouncil"/>
    </w:pP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3870871"/>
      <w:docPartObj>
        <w:docPartGallery w:val="Page Numbers (Bottom of Page)"/>
        <w:docPartUnique/>
      </w:docPartObj>
    </w:sdtPr>
    <w:sdtEndPr>
      <w:rPr>
        <w:noProof/>
      </w:rPr>
    </w:sdtEndPr>
    <w:sdtContent>
      <w:p w14:paraId="6262EC58" w14:textId="541F416C" w:rsidR="002D49B0" w:rsidRDefault="00BF4125">
        <w:pPr>
          <w:pStyle w:val="Footer"/>
          <w:jc w:val="center"/>
        </w:pPr>
        <w:r>
          <w:fldChar w:fldCharType="begin"/>
        </w:r>
        <w:r>
          <w:instrText xml:space="preserve"> PAGE   \* MERGEFORMAT </w:instrText>
        </w:r>
        <w:r>
          <w:fldChar w:fldCharType="separate"/>
        </w:r>
        <w:r>
          <w:t>2</w:t>
        </w:r>
        <w:r>
          <w:fldChar w:fldCharType="end"/>
        </w:r>
      </w:p>
    </w:sdtContent>
  </w:sdt>
  <w:p w14:paraId="64D06854" w14:textId="77777777" w:rsidR="002D49B0" w:rsidRDefault="002D49B0">
    <w:pPr>
      <w:pStyle w:val="Footer"/>
      <w:tabs>
        <w:tab w:val="clear" w:pos="4535"/>
        <w:tab w:val="clear" w:pos="9071"/>
        <w:tab w:val="clear" w:pos="9921"/>
        <w:tab w:val="left" w:pos="1675"/>
      </w:tabs>
    </w:pP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E0021" w14:textId="77777777" w:rsidR="002D49B0" w:rsidRDefault="002D49B0">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1D284" w14:textId="77777777" w:rsidR="002D49B0" w:rsidRDefault="002D49B0">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6318742"/>
      <w:docPartObj>
        <w:docPartGallery w:val="Page Numbers (Bottom of Page)"/>
        <w:docPartUnique/>
      </w:docPartObj>
    </w:sdtPr>
    <w:sdtEndPr>
      <w:rPr>
        <w:noProof/>
      </w:rPr>
    </w:sdtEndPr>
    <w:sdtContent>
      <w:p w14:paraId="419C51EA" w14:textId="0B1FBFC9" w:rsidR="002D49B0" w:rsidRDefault="00BF4125">
        <w:pPr>
          <w:pStyle w:val="Footer"/>
          <w:jc w:val="center"/>
        </w:pPr>
        <w:r>
          <w:fldChar w:fldCharType="begin"/>
        </w:r>
        <w:r>
          <w:instrText xml:space="preserve"> PAGE   \* M</w:instrText>
        </w:r>
        <w:r>
          <w:instrText xml:space="preserve">ERGEFORMAT </w:instrText>
        </w:r>
        <w:r>
          <w:fldChar w:fldCharType="separate"/>
        </w:r>
        <w:r>
          <w:t>2</w:t>
        </w:r>
        <w:r>
          <w:fldChar w:fldCharType="end"/>
        </w:r>
      </w:p>
    </w:sdtContent>
  </w:sdt>
  <w:p w14:paraId="16CDB2EB" w14:textId="77777777" w:rsidR="002D49B0" w:rsidRDefault="002D49B0">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8C6EF" w14:textId="77777777" w:rsidR="002D49B0" w:rsidRDefault="002D49B0">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0E85D" w14:textId="77777777" w:rsidR="002D49B0" w:rsidRDefault="002D49B0">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5382215"/>
      <w:docPartObj>
        <w:docPartGallery w:val="Page Numbers (Bottom of Page)"/>
        <w:docPartUnique/>
      </w:docPartObj>
    </w:sdtPr>
    <w:sdtEndPr>
      <w:rPr>
        <w:noProof/>
      </w:rPr>
    </w:sdtEndPr>
    <w:sdtContent>
      <w:p w14:paraId="1B2BC6B9" w14:textId="6A8E2C52" w:rsidR="002D49B0" w:rsidRDefault="00BF4125">
        <w:pPr>
          <w:pStyle w:val="Footer"/>
          <w:jc w:val="center"/>
        </w:pPr>
        <w:r>
          <w:fldChar w:fldCharType="begin"/>
        </w:r>
        <w:r>
          <w:instrText xml:space="preserve"> PAGE   \* MERGEFORMAT </w:instrText>
        </w:r>
        <w:r>
          <w:fldChar w:fldCharType="separate"/>
        </w:r>
        <w:r>
          <w:t>2</w:t>
        </w:r>
        <w:r>
          <w:fldChar w:fldCharType="end"/>
        </w:r>
      </w:p>
    </w:sdtContent>
  </w:sdt>
  <w:p w14:paraId="3DF5B47D" w14:textId="77777777" w:rsidR="002D49B0" w:rsidRDefault="002D49B0">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651AE" w14:textId="77777777" w:rsidR="002D49B0" w:rsidRDefault="002D49B0">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E0253" w14:textId="77777777" w:rsidR="002D49B0" w:rsidRDefault="002D49B0">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4508692"/>
      <w:docPartObj>
        <w:docPartGallery w:val="Page Numbers (Bottom of Page)"/>
        <w:docPartUnique/>
      </w:docPartObj>
    </w:sdtPr>
    <w:sdtEndPr>
      <w:rPr>
        <w:noProof/>
      </w:rPr>
    </w:sdtEndPr>
    <w:sdtContent>
      <w:p w14:paraId="073DA152" w14:textId="1BB95FC2" w:rsidR="002D49B0" w:rsidRDefault="00BF4125">
        <w:pPr>
          <w:pStyle w:val="Footer"/>
          <w:jc w:val="center"/>
        </w:pPr>
        <w:r>
          <w:fldChar w:fldCharType="begin"/>
        </w:r>
        <w:r>
          <w:instrText xml:space="preserve"> PAGE   \* MERGEFORMAT </w:instrText>
        </w:r>
        <w:r>
          <w:fldChar w:fldCharType="separate"/>
        </w:r>
        <w:r>
          <w:t>2</w:t>
        </w:r>
        <w:r>
          <w:fldChar w:fldCharType="end"/>
        </w:r>
      </w:p>
    </w:sdtContent>
  </w:sdt>
  <w:p w14:paraId="0B4C50CA" w14:textId="77777777" w:rsidR="002D49B0" w:rsidRDefault="002D49B0">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5FBAB" w14:textId="77777777" w:rsidR="002D49B0" w:rsidRDefault="002D49B0">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B37C0" w14:textId="77777777" w:rsidR="002D49B0" w:rsidRDefault="002D49B0">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09312" w14:textId="77777777" w:rsidR="002D49B0" w:rsidRDefault="002D49B0">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5767307"/>
      <w:docPartObj>
        <w:docPartGallery w:val="Page Numbers (Bottom of Page)"/>
        <w:docPartUnique/>
      </w:docPartObj>
    </w:sdtPr>
    <w:sdtEndPr>
      <w:rPr>
        <w:noProof/>
      </w:rPr>
    </w:sdtEndPr>
    <w:sdtContent>
      <w:p w14:paraId="7033C71A" w14:textId="57AFC7EC" w:rsidR="002D49B0" w:rsidRDefault="00BF4125">
        <w:pPr>
          <w:pStyle w:val="Footer"/>
          <w:jc w:val="center"/>
        </w:pPr>
        <w:r>
          <w:fldChar w:fldCharType="begin"/>
        </w:r>
        <w:r>
          <w:instrText xml:space="preserve"> PAGE   \* MERGEFORMAT </w:instrText>
        </w:r>
        <w:r>
          <w:fldChar w:fldCharType="separate"/>
        </w:r>
        <w:r>
          <w:t>2</w:t>
        </w:r>
        <w:r>
          <w:fldChar w:fldCharType="end"/>
        </w:r>
      </w:p>
    </w:sdtContent>
  </w:sdt>
  <w:p w14:paraId="2D8E6199" w14:textId="77777777" w:rsidR="002D49B0" w:rsidRDefault="002D49B0">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D0792" w14:textId="77777777" w:rsidR="002D49B0" w:rsidRDefault="002D49B0">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B3E59" w14:textId="77777777" w:rsidR="002D49B0" w:rsidRDefault="002D49B0">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7625519"/>
      <w:docPartObj>
        <w:docPartGallery w:val="Page Numbers (Bottom of Page)"/>
        <w:docPartUnique/>
      </w:docPartObj>
    </w:sdtPr>
    <w:sdtEndPr>
      <w:rPr>
        <w:noProof/>
      </w:rPr>
    </w:sdtEndPr>
    <w:sdtContent>
      <w:p w14:paraId="08B99CC7" w14:textId="290C6226" w:rsidR="002D49B0" w:rsidRDefault="00BF4125">
        <w:pPr>
          <w:pStyle w:val="Footer"/>
          <w:jc w:val="center"/>
        </w:pPr>
        <w:r>
          <w:fldChar w:fldCharType="begin"/>
        </w:r>
        <w:r>
          <w:instrText xml:space="preserve"> PAGE   \* MERGEFORMAT </w:instrText>
        </w:r>
        <w:r>
          <w:fldChar w:fldCharType="separate"/>
        </w:r>
        <w:r>
          <w:t>2</w:t>
        </w:r>
        <w:r>
          <w:fldChar w:fldCharType="end"/>
        </w:r>
      </w:p>
    </w:sdtContent>
  </w:sdt>
  <w:p w14:paraId="2C6759AF" w14:textId="77777777" w:rsidR="002D49B0" w:rsidRDefault="002D49B0">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F66A1" w14:textId="77777777" w:rsidR="002D49B0" w:rsidRDefault="002D49B0">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10528" w14:textId="77777777" w:rsidR="002D49B0" w:rsidRDefault="002D49B0">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501151"/>
      <w:docPartObj>
        <w:docPartGallery w:val="Page Numbers (Bottom of Page)"/>
        <w:docPartUnique/>
      </w:docPartObj>
    </w:sdtPr>
    <w:sdtEndPr>
      <w:rPr>
        <w:noProof/>
      </w:rPr>
    </w:sdtEndPr>
    <w:sdtContent>
      <w:p w14:paraId="7CD2E1DC" w14:textId="0D473F7D" w:rsidR="002D49B0" w:rsidRDefault="00BF4125">
        <w:pPr>
          <w:pStyle w:val="Footer"/>
          <w:jc w:val="center"/>
        </w:pPr>
        <w:r>
          <w:fldChar w:fldCharType="begin"/>
        </w:r>
        <w:r>
          <w:instrText xml:space="preserve"> PAGE   \* MERGEFORMAT </w:instrText>
        </w:r>
        <w:r>
          <w:fldChar w:fldCharType="separate"/>
        </w:r>
        <w:r>
          <w:t>2</w:t>
        </w:r>
        <w:r>
          <w:fldChar w:fldCharType="end"/>
        </w:r>
      </w:p>
    </w:sdtContent>
  </w:sdt>
  <w:p w14:paraId="69A7DEF6" w14:textId="77777777" w:rsidR="002D49B0" w:rsidRDefault="002D49B0">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9D60F" w14:textId="77777777" w:rsidR="002D49B0" w:rsidRDefault="002D49B0">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63755" w14:textId="77777777" w:rsidR="002D49B0" w:rsidRDefault="002D49B0">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8B48B" w14:textId="77777777" w:rsidR="002D49B0" w:rsidRDefault="002D49B0">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1911246"/>
      <w:docPartObj>
        <w:docPartGallery w:val="Page Numbers (Bottom of Page)"/>
        <w:docPartUnique/>
      </w:docPartObj>
    </w:sdtPr>
    <w:sdtEndPr>
      <w:rPr>
        <w:noProof/>
      </w:rPr>
    </w:sdtEndPr>
    <w:sdtContent>
      <w:p w14:paraId="26950E60" w14:textId="1B4821DA" w:rsidR="002D49B0" w:rsidRDefault="00BF4125">
        <w:pPr>
          <w:pStyle w:val="Footer"/>
          <w:jc w:val="center"/>
        </w:pPr>
        <w:r>
          <w:fldChar w:fldCharType="begin"/>
        </w:r>
        <w:r>
          <w:instrText xml:space="preserve"> PAGE   \* MERGEFORMAT </w:instrText>
        </w:r>
        <w:r>
          <w:fldChar w:fldCharType="separate"/>
        </w:r>
        <w:r>
          <w:t>2</w:t>
        </w:r>
        <w:r>
          <w:fldChar w:fldCharType="end"/>
        </w:r>
      </w:p>
    </w:sdtContent>
  </w:sdt>
  <w:p w14:paraId="62B73936" w14:textId="77777777" w:rsidR="002D49B0" w:rsidRDefault="002D49B0">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ED9E3E" w14:textId="77777777" w:rsidR="002D49B0" w:rsidRDefault="002D49B0">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BABC6" w14:textId="77777777" w:rsidR="002D49B0" w:rsidRDefault="002D49B0">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8077946"/>
      <w:docPartObj>
        <w:docPartGallery w:val="Page Numbers (Bottom of Page)"/>
        <w:docPartUnique/>
      </w:docPartObj>
    </w:sdtPr>
    <w:sdtEndPr>
      <w:rPr>
        <w:noProof/>
      </w:rPr>
    </w:sdtEndPr>
    <w:sdtContent>
      <w:p w14:paraId="35E31C0C" w14:textId="056D6442" w:rsidR="002D49B0" w:rsidRDefault="00BF4125">
        <w:pPr>
          <w:pStyle w:val="Footer"/>
          <w:jc w:val="center"/>
        </w:pPr>
        <w:r>
          <w:fldChar w:fldCharType="begin"/>
        </w:r>
        <w:r>
          <w:instrText xml:space="preserve"> PAGE   \* MERGEFORMAT </w:instrText>
        </w:r>
        <w:r>
          <w:fldChar w:fldCharType="separate"/>
        </w:r>
        <w:r>
          <w:t>2</w:t>
        </w:r>
        <w:r>
          <w:fldChar w:fldCharType="end"/>
        </w:r>
      </w:p>
    </w:sdtContent>
  </w:sdt>
  <w:p w14:paraId="2BF94ED8" w14:textId="77777777" w:rsidR="002D49B0" w:rsidRDefault="002D49B0">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06214E" w14:textId="77777777" w:rsidR="002D49B0" w:rsidRDefault="002D49B0">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1E635" w14:textId="77777777" w:rsidR="002D49B0" w:rsidRDefault="002D49B0">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5053473"/>
      <w:docPartObj>
        <w:docPartGallery w:val="Page Numbers (Bottom of Page)"/>
        <w:docPartUnique/>
      </w:docPartObj>
    </w:sdtPr>
    <w:sdtEndPr>
      <w:rPr>
        <w:noProof/>
      </w:rPr>
    </w:sdtEndPr>
    <w:sdtContent>
      <w:p w14:paraId="00DFC4B6" w14:textId="0538125E" w:rsidR="002D49B0" w:rsidRDefault="00BF4125">
        <w:pPr>
          <w:pStyle w:val="Footer"/>
          <w:jc w:val="center"/>
        </w:pPr>
        <w:r>
          <w:fldChar w:fldCharType="begin"/>
        </w:r>
        <w:r>
          <w:instrText xml:space="preserve"> PAGE   \* MERGEFORMAT </w:instrText>
        </w:r>
        <w:r>
          <w:fldChar w:fldCharType="separate"/>
        </w:r>
        <w:r>
          <w:t>2</w:t>
        </w:r>
        <w:r>
          <w:fldChar w:fldCharType="end"/>
        </w:r>
      </w:p>
    </w:sdtContent>
  </w:sdt>
  <w:p w14:paraId="78A5DBF2" w14:textId="77777777" w:rsidR="002D49B0" w:rsidRDefault="002D49B0">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A6567" w14:textId="77777777" w:rsidR="002D49B0" w:rsidRDefault="002D49B0">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9517D" w14:textId="77777777" w:rsidR="002D49B0" w:rsidRDefault="002D49B0">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4510226"/>
      <w:docPartObj>
        <w:docPartGallery w:val="Page Numbers (Bottom of Page)"/>
        <w:docPartUnique/>
      </w:docPartObj>
    </w:sdtPr>
    <w:sdtEndPr>
      <w:rPr>
        <w:noProof/>
      </w:rPr>
    </w:sdtEndPr>
    <w:sdtContent>
      <w:p w14:paraId="49B2D1A1" w14:textId="19814CC5" w:rsidR="002D49B0" w:rsidRDefault="00BF4125">
        <w:pPr>
          <w:pStyle w:val="Footer"/>
          <w:jc w:val="center"/>
        </w:pPr>
        <w:r>
          <w:fldChar w:fldCharType="begin"/>
        </w:r>
        <w:r>
          <w:instrText xml:space="preserve"> PAGE   \* MERGEFORMAT </w:instrText>
        </w:r>
        <w:r>
          <w:fldChar w:fldCharType="separate"/>
        </w:r>
        <w:r w:rsidR="001814DA">
          <w:rPr>
            <w:noProof/>
          </w:rPr>
          <w:t>18</w:t>
        </w:r>
        <w:r>
          <w:fldChar w:fldCharType="end"/>
        </w:r>
      </w:p>
    </w:sdtContent>
  </w:sdt>
  <w:p w14:paraId="30A1BA14" w14:textId="77777777" w:rsidR="002D49B0" w:rsidRDefault="002D49B0">
    <w:pPr>
      <w:pStyle w:val="FooterCouncil"/>
    </w:pP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9291891"/>
      <w:docPartObj>
        <w:docPartGallery w:val="Page Numbers (Bottom of Page)"/>
        <w:docPartUnique/>
      </w:docPartObj>
    </w:sdtPr>
    <w:sdtEndPr>
      <w:rPr>
        <w:noProof/>
      </w:rPr>
    </w:sdtEndPr>
    <w:sdtContent>
      <w:p w14:paraId="19EBF0F2" w14:textId="1B2E8DCA" w:rsidR="002D49B0" w:rsidRDefault="00BF4125">
        <w:pPr>
          <w:pStyle w:val="Footer"/>
          <w:jc w:val="center"/>
        </w:pPr>
        <w:r>
          <w:fldChar w:fldCharType="begin"/>
        </w:r>
        <w:r>
          <w:instrText xml:space="preserve"> PAGE   \* MERGEFORMAT </w:instrText>
        </w:r>
        <w:r>
          <w:fldChar w:fldCharType="separate"/>
        </w:r>
        <w:r>
          <w:t>2</w:t>
        </w:r>
        <w:r>
          <w:fldChar w:fldCharType="end"/>
        </w:r>
      </w:p>
    </w:sdtContent>
  </w:sdt>
  <w:p w14:paraId="74EB488D" w14:textId="77777777" w:rsidR="002D49B0" w:rsidRDefault="002D49B0">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B10EF" w14:textId="77777777" w:rsidR="002D49B0" w:rsidRDefault="002D49B0">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D615E" w14:textId="77777777" w:rsidR="002D49B0" w:rsidRDefault="002D49B0">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0654521"/>
      <w:docPartObj>
        <w:docPartGallery w:val="Page Numbers (Bottom of Page)"/>
        <w:docPartUnique/>
      </w:docPartObj>
    </w:sdtPr>
    <w:sdtEndPr>
      <w:rPr>
        <w:noProof/>
      </w:rPr>
    </w:sdtEndPr>
    <w:sdtContent>
      <w:p w14:paraId="3252F59E" w14:textId="2F700601" w:rsidR="002D49B0" w:rsidRDefault="00BF4125">
        <w:pPr>
          <w:pStyle w:val="Footer"/>
          <w:jc w:val="center"/>
        </w:pPr>
        <w:r>
          <w:fldChar w:fldCharType="begin"/>
        </w:r>
        <w:r>
          <w:instrText xml:space="preserve"> PAGE   \* MERGEFORMAT </w:instrText>
        </w:r>
        <w:r>
          <w:fldChar w:fldCharType="separate"/>
        </w:r>
        <w:r>
          <w:t>2</w:t>
        </w:r>
        <w:r>
          <w:fldChar w:fldCharType="end"/>
        </w:r>
      </w:p>
    </w:sdtContent>
  </w:sdt>
  <w:p w14:paraId="56B7B50F" w14:textId="77777777" w:rsidR="002D49B0" w:rsidRDefault="002D49B0">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A4576" w14:textId="77777777" w:rsidR="002D49B0" w:rsidRDefault="002D49B0">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7257E2" w14:textId="77777777" w:rsidR="002D49B0" w:rsidRDefault="002D49B0">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3837362"/>
      <w:docPartObj>
        <w:docPartGallery w:val="Page Numbers (Bottom of Page)"/>
        <w:docPartUnique/>
      </w:docPartObj>
    </w:sdtPr>
    <w:sdtEndPr>
      <w:rPr>
        <w:noProof/>
      </w:rPr>
    </w:sdtEndPr>
    <w:sdtContent>
      <w:p w14:paraId="5C9D5D30" w14:textId="33D624FF" w:rsidR="002D49B0" w:rsidRDefault="00BF4125">
        <w:pPr>
          <w:pStyle w:val="Footer"/>
          <w:jc w:val="center"/>
        </w:pPr>
        <w:r>
          <w:fldChar w:fldCharType="begin"/>
        </w:r>
        <w:r>
          <w:instrText xml:space="preserve"> PAGE   \* MERGEFORMAT </w:instrText>
        </w:r>
        <w:r>
          <w:fldChar w:fldCharType="separate"/>
        </w:r>
        <w:r>
          <w:t>2</w:t>
        </w:r>
        <w:r>
          <w:fldChar w:fldCharType="end"/>
        </w:r>
      </w:p>
    </w:sdtContent>
  </w:sdt>
  <w:p w14:paraId="78ADAE90" w14:textId="77777777" w:rsidR="002D49B0" w:rsidRDefault="002D49B0">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42353" w14:textId="77777777" w:rsidR="002D49B0" w:rsidRDefault="002D49B0">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9B88F" w14:textId="77777777" w:rsidR="002D49B0" w:rsidRDefault="002D49B0">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4945361"/>
      <w:docPartObj>
        <w:docPartGallery w:val="Page Numbers (Bottom of Page)"/>
        <w:docPartUnique/>
      </w:docPartObj>
    </w:sdtPr>
    <w:sdtEndPr>
      <w:rPr>
        <w:noProof/>
      </w:rPr>
    </w:sdtEndPr>
    <w:sdtContent>
      <w:p w14:paraId="1FB3F801" w14:textId="511D13BA" w:rsidR="002D49B0" w:rsidRDefault="00BF4125">
        <w:pPr>
          <w:pStyle w:val="Footer"/>
          <w:jc w:val="center"/>
        </w:pPr>
        <w:r>
          <w:fldChar w:fldCharType="begin"/>
        </w:r>
        <w:r>
          <w:instrText xml:space="preserve"> PAGE   \* MERGEFORMAT </w:instrText>
        </w:r>
        <w:r>
          <w:fldChar w:fldCharType="separate"/>
        </w:r>
        <w:r>
          <w:t>2</w:t>
        </w:r>
        <w:r>
          <w:fldChar w:fldCharType="end"/>
        </w:r>
      </w:p>
    </w:sdtContent>
  </w:sdt>
  <w:p w14:paraId="058F37DE" w14:textId="77777777" w:rsidR="002D49B0" w:rsidRDefault="002D49B0">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45540" w14:textId="77777777" w:rsidR="002D49B0" w:rsidRDefault="002D49B0">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9D98A" w14:textId="77777777" w:rsidR="002D49B0" w:rsidRDefault="002D49B0">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BBEEB3" w14:textId="77777777" w:rsidR="002D49B0" w:rsidRDefault="002D49B0">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8964355"/>
      <w:docPartObj>
        <w:docPartGallery w:val="Page Numbers (Bottom of Page)"/>
        <w:docPartUnique/>
      </w:docPartObj>
    </w:sdtPr>
    <w:sdtEndPr>
      <w:rPr>
        <w:noProof/>
      </w:rPr>
    </w:sdtEndPr>
    <w:sdtContent>
      <w:p w14:paraId="024995AA" w14:textId="510C7812" w:rsidR="002D49B0" w:rsidRDefault="00BF4125">
        <w:pPr>
          <w:pStyle w:val="Footer"/>
          <w:jc w:val="center"/>
        </w:pPr>
        <w:r>
          <w:fldChar w:fldCharType="begin"/>
        </w:r>
        <w:r>
          <w:instrText xml:space="preserve"> PAGE   \* MERGEFORMAT </w:instrText>
        </w:r>
        <w:r>
          <w:fldChar w:fldCharType="separate"/>
        </w:r>
        <w:r>
          <w:t>2</w:t>
        </w:r>
        <w:r>
          <w:fldChar w:fldCharType="end"/>
        </w:r>
      </w:p>
    </w:sdtContent>
  </w:sdt>
  <w:p w14:paraId="629FC809" w14:textId="77777777" w:rsidR="002D49B0" w:rsidRDefault="002D49B0">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A54BC1" w14:textId="77777777" w:rsidR="002D49B0" w:rsidRDefault="002D49B0">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63506" w14:textId="77777777" w:rsidR="002D49B0" w:rsidRDefault="002D49B0">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5861585"/>
      <w:docPartObj>
        <w:docPartGallery w:val="Page Numbers (Bottom of Page)"/>
        <w:docPartUnique/>
      </w:docPartObj>
    </w:sdtPr>
    <w:sdtEndPr>
      <w:rPr>
        <w:noProof/>
      </w:rPr>
    </w:sdtEndPr>
    <w:sdtContent>
      <w:p w14:paraId="39B47366" w14:textId="2E32817E" w:rsidR="002D49B0" w:rsidRDefault="00BF4125">
        <w:pPr>
          <w:pStyle w:val="Footer"/>
          <w:jc w:val="center"/>
        </w:pPr>
        <w:r>
          <w:fldChar w:fldCharType="begin"/>
        </w:r>
        <w:r>
          <w:instrText xml:space="preserve"> PAGE   \* MERGEFORMAT </w:instrText>
        </w:r>
        <w:r>
          <w:fldChar w:fldCharType="separate"/>
        </w:r>
        <w:r>
          <w:t>2</w:t>
        </w:r>
        <w:r>
          <w:fldChar w:fldCharType="end"/>
        </w:r>
      </w:p>
    </w:sdtContent>
  </w:sdt>
  <w:p w14:paraId="7B134BE4" w14:textId="77777777" w:rsidR="002D49B0" w:rsidRDefault="002D49B0">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2F8331" w14:textId="77777777" w:rsidR="002D49B0" w:rsidRDefault="002D49B0">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69325" w14:textId="77777777" w:rsidR="002D49B0" w:rsidRDefault="002D49B0">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4549482"/>
      <w:docPartObj>
        <w:docPartGallery w:val="Page Numbers (Bottom of Page)"/>
        <w:docPartUnique/>
      </w:docPartObj>
    </w:sdtPr>
    <w:sdtEndPr>
      <w:rPr>
        <w:noProof/>
      </w:rPr>
    </w:sdtEndPr>
    <w:sdtContent>
      <w:p w14:paraId="5866029F" w14:textId="2C8A98F4" w:rsidR="002D49B0" w:rsidRDefault="00BF4125">
        <w:pPr>
          <w:pStyle w:val="Footer"/>
          <w:jc w:val="center"/>
        </w:pPr>
        <w:r>
          <w:fldChar w:fldCharType="begin"/>
        </w:r>
        <w:r>
          <w:instrText xml:space="preserve"> PAGE   \* MERGEFORMAT </w:instrText>
        </w:r>
        <w:r>
          <w:fldChar w:fldCharType="separate"/>
        </w:r>
        <w:r>
          <w:t>2</w:t>
        </w:r>
        <w:r>
          <w:fldChar w:fldCharType="end"/>
        </w:r>
      </w:p>
    </w:sdtContent>
  </w:sdt>
  <w:p w14:paraId="00949047" w14:textId="77777777" w:rsidR="002D49B0" w:rsidRDefault="002D49B0">
    <w:pPr>
      <w:pStyle w:val="Footer"/>
    </w:pPr>
  </w:p>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D6E808" w14:textId="77777777" w:rsidR="002D49B0" w:rsidRDefault="002D49B0">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9EAF5" w14:textId="77777777" w:rsidR="002D49B0" w:rsidRDefault="002D49B0">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6217A" w14:textId="77777777" w:rsidR="002D49B0" w:rsidRDefault="002D49B0">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4661904"/>
      <w:docPartObj>
        <w:docPartGallery w:val="Page Numbers (Bottom of Page)"/>
        <w:docPartUnique/>
      </w:docPartObj>
    </w:sdtPr>
    <w:sdtEndPr>
      <w:rPr>
        <w:noProof/>
      </w:rPr>
    </w:sdtEndPr>
    <w:sdtContent>
      <w:p w14:paraId="1057DDB1" w14:textId="0F74F3A7" w:rsidR="002D49B0" w:rsidRDefault="00BF4125">
        <w:pPr>
          <w:pStyle w:val="Footer"/>
          <w:jc w:val="center"/>
        </w:pPr>
        <w:r>
          <w:fldChar w:fldCharType="begin"/>
        </w:r>
        <w:r>
          <w:instrText xml:space="preserve"> PAGE   \* MERGEFORMAT </w:instrText>
        </w:r>
        <w:r>
          <w:fldChar w:fldCharType="separate"/>
        </w:r>
        <w:r>
          <w:t>2</w:t>
        </w:r>
        <w:r>
          <w:fldChar w:fldCharType="end"/>
        </w:r>
      </w:p>
    </w:sdtContent>
  </w:sdt>
  <w:p w14:paraId="4E7860EE" w14:textId="77777777" w:rsidR="002D49B0" w:rsidRDefault="002D49B0">
    <w:pPr>
      <w:pStyle w:val="Footer"/>
    </w:pPr>
  </w:p>
</w:ftr>
</file>

<file path=word/footer1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07A18D" w14:textId="77777777" w:rsidR="002D49B0" w:rsidRDefault="002D49B0">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8618390"/>
      <w:docPartObj>
        <w:docPartGallery w:val="Page Numbers (Bottom of Page)"/>
        <w:docPartUnique/>
      </w:docPartObj>
    </w:sdtPr>
    <w:sdtEndPr>
      <w:rPr>
        <w:noProof/>
      </w:rPr>
    </w:sdtEndPr>
    <w:sdtContent>
      <w:p w14:paraId="06DADBBC" w14:textId="4CB3756D" w:rsidR="002D49B0" w:rsidRDefault="00BF4125">
        <w:pPr>
          <w:pStyle w:val="Footer"/>
          <w:jc w:val="center"/>
        </w:pPr>
        <w:r>
          <w:fldChar w:fldCharType="begin"/>
        </w:r>
        <w:r>
          <w:instrText xml:space="preserve"> PAGE   \* MERGEFORMAT </w:instrText>
        </w:r>
        <w:r>
          <w:fldChar w:fldCharType="separate"/>
        </w:r>
        <w:r>
          <w:t>2</w:t>
        </w:r>
        <w:r>
          <w:fldChar w:fldCharType="end"/>
        </w:r>
      </w:p>
    </w:sdtContent>
  </w:sdt>
  <w:p w14:paraId="5A1E9E32" w14:textId="77777777" w:rsidR="002D49B0" w:rsidRDefault="002D49B0">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331AB" w14:textId="77777777" w:rsidR="002D49B0" w:rsidRDefault="002D49B0">
    <w:pPr>
      <w:pStyle w:val="Footer"/>
    </w:pPr>
  </w:p>
</w:ftr>
</file>

<file path=word/footer1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0200008"/>
      <w:docPartObj>
        <w:docPartGallery w:val="Page Numbers (Bottom of Page)"/>
        <w:docPartUnique/>
      </w:docPartObj>
    </w:sdtPr>
    <w:sdtEndPr>
      <w:rPr>
        <w:noProof/>
      </w:rPr>
    </w:sdtEndPr>
    <w:sdtContent>
      <w:p w14:paraId="4FFC6C48" w14:textId="7AC1600B" w:rsidR="002D49B0" w:rsidRDefault="00BF4125">
        <w:pPr>
          <w:pStyle w:val="Footer"/>
          <w:jc w:val="center"/>
        </w:pPr>
        <w:r>
          <w:fldChar w:fldCharType="begin"/>
        </w:r>
        <w:r>
          <w:instrText xml:space="preserve"> PAGE   \* MERGEFORMAT </w:instrText>
        </w:r>
        <w:r>
          <w:fldChar w:fldCharType="separate"/>
        </w:r>
        <w:r>
          <w:t>2</w:t>
        </w:r>
        <w:r>
          <w:fldChar w:fldCharType="end"/>
        </w:r>
      </w:p>
    </w:sdtContent>
  </w:sdt>
  <w:p w14:paraId="3B078622" w14:textId="77777777" w:rsidR="002D49B0" w:rsidRDefault="002D49B0">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3F658" w14:textId="77777777" w:rsidR="002D49B0" w:rsidRDefault="002D49B0">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3B2171" w14:textId="77777777" w:rsidR="002D49B0" w:rsidRDefault="002D49B0">
    <w:pPr>
      <w:pStyle w:val="Footer"/>
    </w:pPr>
  </w:p>
</w:ftr>
</file>

<file path=word/footer1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7611318"/>
      <w:docPartObj>
        <w:docPartGallery w:val="Page Numbers (Bottom of Page)"/>
        <w:docPartUnique/>
      </w:docPartObj>
    </w:sdtPr>
    <w:sdtEndPr>
      <w:rPr>
        <w:noProof/>
      </w:rPr>
    </w:sdtEndPr>
    <w:sdtContent>
      <w:p w14:paraId="409B8AC3" w14:textId="5BD6FCCB" w:rsidR="002D49B0" w:rsidRDefault="00BF4125">
        <w:pPr>
          <w:pStyle w:val="Footer"/>
          <w:jc w:val="center"/>
        </w:pPr>
        <w:r>
          <w:fldChar w:fldCharType="begin"/>
        </w:r>
        <w:r>
          <w:instrText xml:space="preserve"> PAGE   \* MERGEFORMAT </w:instrText>
        </w:r>
        <w:r>
          <w:fldChar w:fldCharType="separate"/>
        </w:r>
        <w:r>
          <w:t>2</w:t>
        </w:r>
        <w:r>
          <w:fldChar w:fldCharType="end"/>
        </w:r>
      </w:p>
    </w:sdtContent>
  </w:sdt>
  <w:p w14:paraId="335DE0FF" w14:textId="77777777" w:rsidR="002D49B0" w:rsidRDefault="002D49B0">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B06A0" w14:textId="77777777" w:rsidR="002D49B0" w:rsidRDefault="002D49B0">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1949093"/>
      <w:docPartObj>
        <w:docPartGallery w:val="Page Numbers (Bottom of Page)"/>
        <w:docPartUnique/>
      </w:docPartObj>
    </w:sdtPr>
    <w:sdtEndPr>
      <w:rPr>
        <w:noProof/>
      </w:rPr>
    </w:sdtEndPr>
    <w:sdtContent>
      <w:p w14:paraId="1519446F" w14:textId="33F43604" w:rsidR="002D49B0" w:rsidRDefault="00BF4125">
        <w:pPr>
          <w:pStyle w:val="Footer"/>
          <w:jc w:val="center"/>
        </w:pPr>
        <w:r>
          <w:fldChar w:fldCharType="begin"/>
        </w:r>
        <w:r>
          <w:instrText xml:space="preserve"> PAGE   \* MERGEFORMAT </w:instrText>
        </w:r>
        <w:r>
          <w:fldChar w:fldCharType="separate"/>
        </w:r>
        <w:r w:rsidR="001814DA">
          <w:rPr>
            <w:noProof/>
          </w:rPr>
          <w:t>19</w:t>
        </w:r>
        <w:r>
          <w:fldChar w:fldCharType="end"/>
        </w:r>
      </w:p>
    </w:sdtContent>
  </w:sdt>
  <w:p w14:paraId="322974C0" w14:textId="77777777" w:rsidR="002D49B0" w:rsidRDefault="002D49B0">
    <w:pPr>
      <w:pStyle w:val="FooterCouncil"/>
    </w:pPr>
  </w:p>
</w:ftr>
</file>

<file path=word/footer1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CA701" w14:textId="77777777" w:rsidR="002D49B0" w:rsidRDefault="002D49B0">
    <w:pPr>
      <w:pStyle w:val="Footer"/>
    </w:pPr>
  </w:p>
</w:ftr>
</file>

<file path=word/footer1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9785745"/>
      <w:docPartObj>
        <w:docPartGallery w:val="Page Numbers (Bottom of Page)"/>
        <w:docPartUnique/>
      </w:docPartObj>
    </w:sdtPr>
    <w:sdtEndPr>
      <w:rPr>
        <w:noProof/>
      </w:rPr>
    </w:sdtEndPr>
    <w:sdtContent>
      <w:p w14:paraId="4F5A3916" w14:textId="4DF6A8DC" w:rsidR="002D49B0" w:rsidRDefault="00BF4125">
        <w:pPr>
          <w:pStyle w:val="Footer"/>
          <w:jc w:val="center"/>
        </w:pPr>
        <w:r>
          <w:fldChar w:fldCharType="begin"/>
        </w:r>
        <w:r>
          <w:instrText xml:space="preserve"> PAGE   \* MERGEFORMAT </w:instrText>
        </w:r>
        <w:r>
          <w:fldChar w:fldCharType="separate"/>
        </w:r>
        <w:r>
          <w:t>2</w:t>
        </w:r>
        <w:r>
          <w:fldChar w:fldCharType="end"/>
        </w:r>
      </w:p>
    </w:sdtContent>
  </w:sdt>
  <w:p w14:paraId="29D46347" w14:textId="77777777" w:rsidR="002D49B0" w:rsidRDefault="002D49B0">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CD545" w14:textId="77777777" w:rsidR="002D49B0" w:rsidRDefault="002D49B0">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AA656" w14:textId="77777777" w:rsidR="002D49B0" w:rsidRDefault="002D49B0">
    <w:pPr>
      <w:pStyle w:val="Footer"/>
    </w:pPr>
  </w:p>
</w:ftr>
</file>

<file path=word/footer1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3465893"/>
      <w:docPartObj>
        <w:docPartGallery w:val="Page Numbers (Bottom of Page)"/>
        <w:docPartUnique/>
      </w:docPartObj>
    </w:sdtPr>
    <w:sdtEndPr>
      <w:rPr>
        <w:noProof/>
      </w:rPr>
    </w:sdtEndPr>
    <w:sdtContent>
      <w:p w14:paraId="7E36C6D5" w14:textId="30F07703" w:rsidR="002D49B0" w:rsidRDefault="00BF4125">
        <w:pPr>
          <w:pStyle w:val="Footer"/>
          <w:jc w:val="center"/>
        </w:pPr>
        <w:r>
          <w:fldChar w:fldCharType="begin"/>
        </w:r>
        <w:r>
          <w:instrText xml:space="preserve"> PAGE   \* MERGEFORMAT </w:instrText>
        </w:r>
        <w:r>
          <w:fldChar w:fldCharType="separate"/>
        </w:r>
        <w:r>
          <w:t>2</w:t>
        </w:r>
        <w:r>
          <w:fldChar w:fldCharType="end"/>
        </w:r>
      </w:p>
    </w:sdtContent>
  </w:sdt>
  <w:p w14:paraId="10D952BE" w14:textId="77777777" w:rsidR="002D49B0" w:rsidRDefault="002D49B0">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5D031" w14:textId="77777777" w:rsidR="002D49B0" w:rsidRDefault="002D49B0">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B59D4" w14:textId="77777777" w:rsidR="002D49B0" w:rsidRDefault="002D49B0">
    <w:pPr>
      <w:pStyle w:val="Footer"/>
    </w:pPr>
  </w:p>
</w:ftr>
</file>

<file path=word/footer1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2577138"/>
      <w:docPartObj>
        <w:docPartGallery w:val="Page Numbers (Bottom of Page)"/>
        <w:docPartUnique/>
      </w:docPartObj>
    </w:sdtPr>
    <w:sdtEndPr>
      <w:rPr>
        <w:noProof/>
      </w:rPr>
    </w:sdtEndPr>
    <w:sdtContent>
      <w:p w14:paraId="11B2149F" w14:textId="181D9720" w:rsidR="002D49B0" w:rsidRDefault="00BF4125">
        <w:pPr>
          <w:pStyle w:val="Footer"/>
          <w:jc w:val="center"/>
        </w:pPr>
        <w:r>
          <w:fldChar w:fldCharType="begin"/>
        </w:r>
        <w:r>
          <w:instrText xml:space="preserve"> PAGE   \* MERGEFORMAT </w:instrText>
        </w:r>
        <w:r>
          <w:fldChar w:fldCharType="separate"/>
        </w:r>
        <w:r>
          <w:t>2</w:t>
        </w:r>
        <w:r>
          <w:fldChar w:fldCharType="end"/>
        </w:r>
      </w:p>
    </w:sdtContent>
  </w:sdt>
  <w:p w14:paraId="09E3B11B" w14:textId="77777777" w:rsidR="002D49B0" w:rsidRDefault="002D49B0">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4FC4A" w14:textId="77777777" w:rsidR="002D49B0" w:rsidRDefault="002D49B0">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1145D" w14:textId="77777777" w:rsidR="002D49B0" w:rsidRDefault="002D49B0">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F8E6B" w14:textId="77777777" w:rsidR="002D49B0" w:rsidRDefault="002D49B0">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1416010"/>
      <w:docPartObj>
        <w:docPartGallery w:val="Page Numbers (Bottom of Page)"/>
        <w:docPartUnique/>
      </w:docPartObj>
    </w:sdtPr>
    <w:sdtEndPr>
      <w:rPr>
        <w:noProof/>
      </w:rPr>
    </w:sdtEndPr>
    <w:sdtContent>
      <w:p w14:paraId="7D27DFA4" w14:textId="144FB6FB" w:rsidR="002D49B0" w:rsidRDefault="00BF4125">
        <w:pPr>
          <w:pStyle w:val="Footer"/>
          <w:jc w:val="center"/>
        </w:pPr>
        <w:r>
          <w:fldChar w:fldCharType="begin"/>
        </w:r>
        <w:r>
          <w:instrText xml:space="preserve"> PAGE   \* MERGEFORMAT </w:instrText>
        </w:r>
        <w:r>
          <w:fldChar w:fldCharType="separate"/>
        </w:r>
        <w:r>
          <w:t>2</w:t>
        </w:r>
        <w:r>
          <w:fldChar w:fldCharType="end"/>
        </w:r>
      </w:p>
    </w:sdtContent>
  </w:sdt>
  <w:p w14:paraId="614FBF47" w14:textId="77777777" w:rsidR="002D49B0" w:rsidRDefault="002D49B0">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09A81" w14:textId="77777777" w:rsidR="002D49B0" w:rsidRDefault="002D49B0">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2B6AD" w14:textId="77777777" w:rsidR="002D49B0" w:rsidRDefault="002D49B0">
    <w:pPr>
      <w:pStyle w:val="Footer"/>
    </w:pPr>
  </w:p>
</w:ftr>
</file>

<file path=word/footer1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5207250"/>
      <w:docPartObj>
        <w:docPartGallery w:val="Page Numbers (Bottom of Page)"/>
        <w:docPartUnique/>
      </w:docPartObj>
    </w:sdtPr>
    <w:sdtEndPr>
      <w:rPr>
        <w:noProof/>
      </w:rPr>
    </w:sdtEndPr>
    <w:sdtContent>
      <w:p w14:paraId="6CCCADAE" w14:textId="532BA642" w:rsidR="002D49B0" w:rsidRDefault="00BF4125">
        <w:pPr>
          <w:pStyle w:val="Footer"/>
          <w:jc w:val="center"/>
        </w:pPr>
        <w:r>
          <w:fldChar w:fldCharType="begin"/>
        </w:r>
        <w:r>
          <w:instrText xml:space="preserve"> PAGE   \* MERGEFORMAT </w:instrText>
        </w:r>
        <w:r>
          <w:fldChar w:fldCharType="separate"/>
        </w:r>
        <w:r>
          <w:t>2</w:t>
        </w:r>
        <w:r>
          <w:fldChar w:fldCharType="end"/>
        </w:r>
      </w:p>
    </w:sdtContent>
  </w:sdt>
  <w:p w14:paraId="2332C368" w14:textId="77777777" w:rsidR="002D49B0" w:rsidRDefault="002D49B0">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C391F8" w14:textId="77777777" w:rsidR="002D49B0" w:rsidRDefault="002D49B0">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B196F" w14:textId="77777777" w:rsidR="002D49B0" w:rsidRDefault="002D49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92A13" w14:textId="07A782B7" w:rsidR="00BF4125" w:rsidRPr="00BF4125" w:rsidRDefault="00BF4125" w:rsidP="00BF4125">
    <w:pPr>
      <w:pStyle w:val="FooterCoverPage"/>
      <w:rPr>
        <w:rFonts w:ascii="Arial" w:hAnsi="Arial" w:cs="Arial"/>
        <w:b/>
        <w:sz w:val="48"/>
      </w:rPr>
    </w:pPr>
    <w:r w:rsidRPr="00BF4125">
      <w:rPr>
        <w:rFonts w:ascii="Arial" w:hAnsi="Arial" w:cs="Arial"/>
        <w:b/>
        <w:sz w:val="48"/>
      </w:rPr>
      <w:t>SK</w:t>
    </w:r>
    <w:r w:rsidRPr="00BF4125">
      <w:rPr>
        <w:rFonts w:ascii="Arial" w:hAnsi="Arial" w:cs="Arial"/>
        <w:b/>
        <w:sz w:val="48"/>
      </w:rPr>
      <w:tab/>
    </w:r>
    <w:r w:rsidRPr="00BF4125">
      <w:rPr>
        <w:rFonts w:ascii="Arial" w:hAnsi="Arial" w:cs="Arial"/>
        <w:b/>
        <w:sz w:val="48"/>
      </w:rPr>
      <w:tab/>
    </w:r>
    <w:r w:rsidRPr="00BF4125">
      <w:tab/>
    </w:r>
    <w:r w:rsidRPr="00BF4125">
      <w:rPr>
        <w:rFonts w:ascii="Arial" w:hAnsi="Arial" w:cs="Arial"/>
        <w:b/>
        <w:sz w:val="48"/>
      </w:rPr>
      <w:t>SK</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331507"/>
      <w:docPartObj>
        <w:docPartGallery w:val="Page Numbers (Bottom of Page)"/>
        <w:docPartUnique/>
      </w:docPartObj>
    </w:sdtPr>
    <w:sdtEndPr>
      <w:rPr>
        <w:noProof/>
      </w:rPr>
    </w:sdtEndPr>
    <w:sdtContent>
      <w:p w14:paraId="313CB759" w14:textId="7831FEF0" w:rsidR="002D49B0" w:rsidRDefault="00BF4125">
        <w:pPr>
          <w:pStyle w:val="Footer"/>
          <w:jc w:val="center"/>
        </w:pPr>
        <w:r>
          <w:fldChar w:fldCharType="begin"/>
        </w:r>
        <w:r>
          <w:instrText xml:space="preserve"> PAGE   \* MERGEFORMAT </w:instrText>
        </w:r>
        <w:r>
          <w:fldChar w:fldCharType="separate"/>
        </w:r>
        <w:r w:rsidR="001814DA">
          <w:rPr>
            <w:noProof/>
          </w:rPr>
          <w:t>22</w:t>
        </w:r>
        <w:r>
          <w:fldChar w:fldCharType="end"/>
        </w:r>
      </w:p>
    </w:sdtContent>
  </w:sdt>
  <w:p w14:paraId="6C59A3D3" w14:textId="77777777" w:rsidR="002D49B0" w:rsidRDefault="002D49B0">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70B46" w14:textId="77777777" w:rsidR="002D49B0" w:rsidRDefault="002D49B0">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37B62" w14:textId="77777777" w:rsidR="002D49B0" w:rsidRDefault="002D49B0">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9677880"/>
      <w:docPartObj>
        <w:docPartGallery w:val="Page Numbers (Bottom of Page)"/>
        <w:docPartUnique/>
      </w:docPartObj>
    </w:sdtPr>
    <w:sdtEndPr>
      <w:rPr>
        <w:noProof/>
      </w:rPr>
    </w:sdtEndPr>
    <w:sdtContent>
      <w:p w14:paraId="166B22D4" w14:textId="74C1AC6C" w:rsidR="002D49B0" w:rsidRDefault="00BF4125">
        <w:pPr>
          <w:pStyle w:val="Footer"/>
          <w:jc w:val="center"/>
        </w:pPr>
        <w:r>
          <w:fldChar w:fldCharType="begin"/>
        </w:r>
        <w:r>
          <w:instrText xml:space="preserve"> PAGE   \* MERGEFORMAT </w:instrText>
        </w:r>
        <w:r>
          <w:fldChar w:fldCharType="separate"/>
        </w:r>
        <w:r>
          <w:t>2</w:t>
        </w:r>
        <w:r>
          <w:fldChar w:fldCharType="end"/>
        </w:r>
      </w:p>
    </w:sdtContent>
  </w:sdt>
  <w:p w14:paraId="410A09BE" w14:textId="77777777" w:rsidR="002D49B0" w:rsidRDefault="002D49B0">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F09ED" w14:textId="77777777" w:rsidR="002D49B0" w:rsidRDefault="002D49B0">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2D03F" w14:textId="77777777" w:rsidR="002D49B0" w:rsidRDefault="002D49B0">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7991082"/>
      <w:docPartObj>
        <w:docPartGallery w:val="Page Numbers (Bottom of Page)"/>
        <w:docPartUnique/>
      </w:docPartObj>
    </w:sdtPr>
    <w:sdtEndPr>
      <w:rPr>
        <w:noProof/>
      </w:rPr>
    </w:sdtEndPr>
    <w:sdtContent>
      <w:p w14:paraId="0A3307E9" w14:textId="69429CF0" w:rsidR="002D49B0" w:rsidRDefault="00BF4125">
        <w:pPr>
          <w:pStyle w:val="Footer"/>
          <w:jc w:val="center"/>
        </w:pPr>
        <w:r>
          <w:fldChar w:fldCharType="begin"/>
        </w:r>
        <w:r>
          <w:instrText xml:space="preserve"> PAGE   \* MERGEFORMAT </w:instrText>
        </w:r>
        <w:r>
          <w:fldChar w:fldCharType="separate"/>
        </w:r>
        <w:r>
          <w:t>2</w:t>
        </w:r>
        <w:r>
          <w:fldChar w:fldCharType="end"/>
        </w:r>
      </w:p>
    </w:sdtContent>
  </w:sdt>
  <w:p w14:paraId="34F6D65F" w14:textId="77777777" w:rsidR="002D49B0" w:rsidRDefault="002D49B0">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192A7" w14:textId="77777777" w:rsidR="002D49B0" w:rsidRDefault="002D49B0">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A4449" w14:textId="77777777" w:rsidR="002D49B0" w:rsidRDefault="002D49B0">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1436849"/>
      <w:docPartObj>
        <w:docPartGallery w:val="Page Numbers (Bottom of Page)"/>
        <w:docPartUnique/>
      </w:docPartObj>
    </w:sdtPr>
    <w:sdtEndPr>
      <w:rPr>
        <w:noProof/>
      </w:rPr>
    </w:sdtEndPr>
    <w:sdtContent>
      <w:p w14:paraId="53250271" w14:textId="3160359B" w:rsidR="002D49B0" w:rsidRDefault="00BF4125">
        <w:pPr>
          <w:pStyle w:val="Footer"/>
          <w:jc w:val="center"/>
        </w:pPr>
        <w:r>
          <w:fldChar w:fldCharType="begin"/>
        </w:r>
        <w:r>
          <w:instrText xml:space="preserve"> PAGE   \* MERGEFORMAT </w:instrText>
        </w:r>
        <w:r>
          <w:fldChar w:fldCharType="separate"/>
        </w:r>
        <w:r>
          <w:t>2</w:t>
        </w:r>
        <w:r>
          <w:fldChar w:fldCharType="end"/>
        </w:r>
      </w:p>
    </w:sdtContent>
  </w:sdt>
  <w:p w14:paraId="50FC98E4" w14:textId="77777777" w:rsidR="002D49B0" w:rsidRDefault="002D49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1662F" w14:textId="77777777" w:rsidR="00BF4125" w:rsidRPr="00BF4125" w:rsidRDefault="00BF4125" w:rsidP="00BF4125">
    <w:pPr>
      <w:pStyle w:val="FooterCoverPage"/>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F284A" w14:textId="77777777" w:rsidR="002D49B0" w:rsidRDefault="002D49B0">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50B3D" w14:textId="77777777" w:rsidR="002D49B0" w:rsidRDefault="002D49B0">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0561688"/>
      <w:docPartObj>
        <w:docPartGallery w:val="Page Numbers (Bottom of Page)"/>
        <w:docPartUnique/>
      </w:docPartObj>
    </w:sdtPr>
    <w:sdtEndPr>
      <w:rPr>
        <w:noProof/>
      </w:rPr>
    </w:sdtEndPr>
    <w:sdtContent>
      <w:p w14:paraId="6172152B" w14:textId="3F7887FF" w:rsidR="002D49B0" w:rsidRDefault="00BF4125">
        <w:pPr>
          <w:pStyle w:val="Footer"/>
          <w:jc w:val="center"/>
        </w:pPr>
        <w:r>
          <w:fldChar w:fldCharType="begin"/>
        </w:r>
        <w:r>
          <w:instrText xml:space="preserve"> PAGE   \* MERGEFORMAT </w:instrText>
        </w:r>
        <w:r>
          <w:fldChar w:fldCharType="separate"/>
        </w:r>
        <w:r>
          <w:t>2</w:t>
        </w:r>
        <w:r>
          <w:fldChar w:fldCharType="end"/>
        </w:r>
      </w:p>
    </w:sdtContent>
  </w:sdt>
  <w:p w14:paraId="34DF345D" w14:textId="77777777" w:rsidR="002D49B0" w:rsidRDefault="002D49B0">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A0291" w14:textId="77777777" w:rsidR="002D49B0" w:rsidRDefault="002D49B0">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5D493" w14:textId="77777777" w:rsidR="002D49B0" w:rsidRDefault="002D49B0">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4385061"/>
      <w:docPartObj>
        <w:docPartGallery w:val="Page Numbers (Bottom of Page)"/>
        <w:docPartUnique/>
      </w:docPartObj>
    </w:sdtPr>
    <w:sdtEndPr>
      <w:rPr>
        <w:noProof/>
      </w:rPr>
    </w:sdtEndPr>
    <w:sdtContent>
      <w:p w14:paraId="0D64EA38" w14:textId="74B4FDEA" w:rsidR="002D49B0" w:rsidRDefault="00BF4125">
        <w:pPr>
          <w:pStyle w:val="Footer"/>
          <w:jc w:val="center"/>
        </w:pPr>
        <w:r>
          <w:fldChar w:fldCharType="begin"/>
        </w:r>
        <w:r>
          <w:instrText xml:space="preserve"> PAGE   \* MERGEFORMAT </w:instrText>
        </w:r>
        <w:r>
          <w:fldChar w:fldCharType="separate"/>
        </w:r>
        <w:r>
          <w:t>2</w:t>
        </w:r>
        <w:r>
          <w:fldChar w:fldCharType="end"/>
        </w:r>
      </w:p>
    </w:sdtContent>
  </w:sdt>
  <w:p w14:paraId="5459F4E4" w14:textId="77777777" w:rsidR="002D49B0" w:rsidRDefault="002D49B0">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48C57" w14:textId="77777777" w:rsidR="002D49B0" w:rsidRDefault="002D49B0">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A0669" w14:textId="77777777" w:rsidR="002D49B0" w:rsidRDefault="002D49B0">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9191281"/>
      <w:docPartObj>
        <w:docPartGallery w:val="Page Numbers (Bottom of Page)"/>
        <w:docPartUnique/>
      </w:docPartObj>
    </w:sdtPr>
    <w:sdtEndPr>
      <w:rPr>
        <w:noProof/>
      </w:rPr>
    </w:sdtEndPr>
    <w:sdtContent>
      <w:p w14:paraId="38383463" w14:textId="795408F9" w:rsidR="002D49B0" w:rsidRDefault="00BF4125">
        <w:pPr>
          <w:pStyle w:val="Footer"/>
          <w:jc w:val="center"/>
        </w:pPr>
        <w:r>
          <w:fldChar w:fldCharType="begin"/>
        </w:r>
        <w:r>
          <w:instrText xml:space="preserve"> PAGE   \* MERGEFORMAT </w:instrText>
        </w:r>
        <w:r>
          <w:fldChar w:fldCharType="separate"/>
        </w:r>
        <w:r>
          <w:t>2</w:t>
        </w:r>
        <w:r>
          <w:fldChar w:fldCharType="end"/>
        </w:r>
      </w:p>
    </w:sdtContent>
  </w:sdt>
  <w:p w14:paraId="2EB701C2" w14:textId="77777777" w:rsidR="002D49B0" w:rsidRDefault="002D49B0">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EB0E5D" w14:textId="77777777" w:rsidR="002D49B0" w:rsidRDefault="002D49B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BCB1A" w14:textId="77777777" w:rsidR="002D49B0" w:rsidRDefault="002D49B0">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532B8" w14:textId="77777777" w:rsidR="002D49B0" w:rsidRDefault="002D49B0">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3736444"/>
      <w:docPartObj>
        <w:docPartGallery w:val="Page Numbers (Bottom of Page)"/>
        <w:docPartUnique/>
      </w:docPartObj>
    </w:sdtPr>
    <w:sdtEndPr>
      <w:rPr>
        <w:noProof/>
      </w:rPr>
    </w:sdtEndPr>
    <w:sdtContent>
      <w:p w14:paraId="1A2CED13" w14:textId="7D8B9D22" w:rsidR="002D49B0" w:rsidRDefault="00BF4125">
        <w:pPr>
          <w:pStyle w:val="Footer"/>
          <w:jc w:val="center"/>
        </w:pPr>
        <w:r>
          <w:fldChar w:fldCharType="begin"/>
        </w:r>
        <w:r>
          <w:instrText xml:space="preserve"> PAGE   \* MERGEFORMAT </w:instrText>
        </w:r>
        <w:r>
          <w:fldChar w:fldCharType="separate"/>
        </w:r>
        <w:r>
          <w:t>2</w:t>
        </w:r>
        <w:r>
          <w:fldChar w:fldCharType="end"/>
        </w:r>
      </w:p>
    </w:sdtContent>
  </w:sdt>
  <w:p w14:paraId="0234AD52" w14:textId="77777777" w:rsidR="002D49B0" w:rsidRDefault="002D49B0">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6F1A6" w14:textId="77777777" w:rsidR="002D49B0" w:rsidRDefault="002D49B0">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D7D70" w14:textId="77777777" w:rsidR="002D49B0" w:rsidRDefault="002D49B0">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9118577"/>
      <w:docPartObj>
        <w:docPartGallery w:val="Page Numbers (Bottom of Page)"/>
        <w:docPartUnique/>
      </w:docPartObj>
    </w:sdtPr>
    <w:sdtEndPr>
      <w:rPr>
        <w:noProof/>
      </w:rPr>
    </w:sdtEndPr>
    <w:sdtContent>
      <w:p w14:paraId="11063F35" w14:textId="469A013D" w:rsidR="002D49B0" w:rsidRDefault="00BF4125">
        <w:pPr>
          <w:pStyle w:val="Footer"/>
          <w:jc w:val="center"/>
        </w:pPr>
        <w:r>
          <w:fldChar w:fldCharType="begin"/>
        </w:r>
        <w:r>
          <w:instrText xml:space="preserve"> PAGE   \* MERGEFORMAT </w:instrText>
        </w:r>
        <w:r>
          <w:fldChar w:fldCharType="separate"/>
        </w:r>
        <w:r>
          <w:t>2</w:t>
        </w:r>
        <w:r>
          <w:fldChar w:fldCharType="end"/>
        </w:r>
      </w:p>
    </w:sdtContent>
  </w:sdt>
  <w:p w14:paraId="103A86CE" w14:textId="77777777" w:rsidR="002D49B0" w:rsidRDefault="002D49B0">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F848D" w14:textId="77777777" w:rsidR="002D49B0" w:rsidRDefault="002D49B0">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0B4D3" w14:textId="77777777" w:rsidR="002D49B0" w:rsidRDefault="002D49B0">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7733478"/>
      <w:docPartObj>
        <w:docPartGallery w:val="Page Numbers (Bottom of Page)"/>
        <w:docPartUnique/>
      </w:docPartObj>
    </w:sdtPr>
    <w:sdtEndPr>
      <w:rPr>
        <w:noProof/>
      </w:rPr>
    </w:sdtEndPr>
    <w:sdtContent>
      <w:p w14:paraId="5CD7ED12" w14:textId="64B0F202" w:rsidR="002D49B0" w:rsidRDefault="00BF4125">
        <w:pPr>
          <w:pStyle w:val="Footer"/>
          <w:jc w:val="center"/>
        </w:pPr>
        <w:r>
          <w:fldChar w:fldCharType="begin"/>
        </w:r>
        <w:r>
          <w:instrText xml:space="preserve"> PAGE   \* MERGEFORMAT </w:instrText>
        </w:r>
        <w:r>
          <w:fldChar w:fldCharType="separate"/>
        </w:r>
        <w:r>
          <w:t>2</w:t>
        </w:r>
        <w:r>
          <w:fldChar w:fldCharType="end"/>
        </w:r>
      </w:p>
    </w:sdtContent>
  </w:sdt>
  <w:p w14:paraId="4B714049" w14:textId="77777777" w:rsidR="002D49B0" w:rsidRDefault="002D49B0">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FD856" w14:textId="77777777" w:rsidR="002D49B0" w:rsidRDefault="002D49B0">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46C28" w14:textId="77777777" w:rsidR="002D49B0" w:rsidRDefault="002D49B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6338444"/>
      <w:docPartObj>
        <w:docPartGallery w:val="Page Numbers (Bottom of Page)"/>
        <w:docPartUnique/>
      </w:docPartObj>
    </w:sdtPr>
    <w:sdtEndPr>
      <w:rPr>
        <w:noProof/>
      </w:rPr>
    </w:sdtEndPr>
    <w:sdtContent>
      <w:p w14:paraId="1F18D3F9" w14:textId="4E4D5DFC" w:rsidR="002D49B0" w:rsidRDefault="00BF4125">
        <w:pPr>
          <w:pStyle w:val="Footer"/>
          <w:jc w:val="center"/>
        </w:pPr>
        <w:r>
          <w:fldChar w:fldCharType="begin"/>
        </w:r>
        <w:r>
          <w:instrText xml:space="preserve"> PAGE   \* MERGEFORMAT </w:instrText>
        </w:r>
        <w:r>
          <w:fldChar w:fldCharType="separate"/>
        </w:r>
        <w:r>
          <w:rPr>
            <w:noProof/>
          </w:rPr>
          <w:t>3</w:t>
        </w:r>
        <w:r>
          <w:fldChar w:fldCharType="end"/>
        </w:r>
      </w:p>
    </w:sdtContent>
  </w:sdt>
  <w:p w14:paraId="3F800480" w14:textId="77777777" w:rsidR="002D49B0" w:rsidRDefault="002D49B0">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7208066"/>
      <w:docPartObj>
        <w:docPartGallery w:val="Page Numbers (Bottom of Page)"/>
        <w:docPartUnique/>
      </w:docPartObj>
    </w:sdtPr>
    <w:sdtEndPr>
      <w:rPr>
        <w:noProof/>
      </w:rPr>
    </w:sdtEndPr>
    <w:sdtContent>
      <w:p w14:paraId="157400F1" w14:textId="476233D9" w:rsidR="002D49B0" w:rsidRDefault="00BF4125">
        <w:pPr>
          <w:pStyle w:val="Footer"/>
          <w:jc w:val="center"/>
        </w:pPr>
        <w:r>
          <w:fldChar w:fldCharType="begin"/>
        </w:r>
        <w:r>
          <w:instrText xml:space="preserve"> PAGE   \* MERGEFORMAT </w:instrText>
        </w:r>
        <w:r>
          <w:fldChar w:fldCharType="separate"/>
        </w:r>
        <w:r>
          <w:t>2</w:t>
        </w:r>
        <w:r>
          <w:fldChar w:fldCharType="end"/>
        </w:r>
      </w:p>
    </w:sdtContent>
  </w:sdt>
  <w:p w14:paraId="5EFB1EE6" w14:textId="77777777" w:rsidR="002D49B0" w:rsidRDefault="002D49B0">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31422" w14:textId="77777777" w:rsidR="002D49B0" w:rsidRDefault="002D49B0">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075C9" w14:textId="77777777" w:rsidR="002D49B0" w:rsidRDefault="002D49B0">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4830461"/>
      <w:docPartObj>
        <w:docPartGallery w:val="Page Numbers (Bottom of Page)"/>
        <w:docPartUnique/>
      </w:docPartObj>
    </w:sdtPr>
    <w:sdtEndPr>
      <w:rPr>
        <w:noProof/>
      </w:rPr>
    </w:sdtEndPr>
    <w:sdtContent>
      <w:p w14:paraId="2C2D4531" w14:textId="0DDD2092" w:rsidR="002D49B0" w:rsidRDefault="00BF4125">
        <w:pPr>
          <w:pStyle w:val="Footer"/>
          <w:jc w:val="center"/>
        </w:pPr>
        <w:r>
          <w:fldChar w:fldCharType="begin"/>
        </w:r>
        <w:r>
          <w:instrText xml:space="preserve"> PAGE   \* MERGEFORMAT </w:instrText>
        </w:r>
        <w:r>
          <w:fldChar w:fldCharType="separate"/>
        </w:r>
        <w:r>
          <w:t>2</w:t>
        </w:r>
        <w:r>
          <w:fldChar w:fldCharType="end"/>
        </w:r>
      </w:p>
    </w:sdtContent>
  </w:sdt>
  <w:p w14:paraId="3C31C0F9" w14:textId="77777777" w:rsidR="002D49B0" w:rsidRDefault="002D49B0">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714F7" w14:textId="77777777" w:rsidR="002D49B0" w:rsidRDefault="002D49B0">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88DE1" w14:textId="77777777" w:rsidR="002D49B0" w:rsidRDefault="002D49B0">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3109275"/>
      <w:docPartObj>
        <w:docPartGallery w:val="Page Numbers (Bottom of Page)"/>
        <w:docPartUnique/>
      </w:docPartObj>
    </w:sdtPr>
    <w:sdtEndPr>
      <w:rPr>
        <w:noProof/>
      </w:rPr>
    </w:sdtEndPr>
    <w:sdtContent>
      <w:p w14:paraId="15EE6F25" w14:textId="04E022D5" w:rsidR="002D49B0" w:rsidRDefault="00BF4125">
        <w:pPr>
          <w:pStyle w:val="Footer"/>
          <w:jc w:val="center"/>
        </w:pPr>
        <w:r>
          <w:fldChar w:fldCharType="begin"/>
        </w:r>
        <w:r>
          <w:instrText xml:space="preserve"> PAGE   \* MERGEFORMAT </w:instrText>
        </w:r>
        <w:r>
          <w:fldChar w:fldCharType="separate"/>
        </w:r>
        <w:r>
          <w:t>2</w:t>
        </w:r>
        <w:r>
          <w:fldChar w:fldCharType="end"/>
        </w:r>
      </w:p>
    </w:sdtContent>
  </w:sdt>
  <w:p w14:paraId="361B7D5B" w14:textId="77777777" w:rsidR="002D49B0" w:rsidRDefault="002D49B0">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DBA33" w14:textId="77777777" w:rsidR="002D49B0" w:rsidRDefault="002D49B0">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A5F8C" w14:textId="77777777" w:rsidR="002D49B0" w:rsidRDefault="002D49B0">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8613676"/>
      <w:docPartObj>
        <w:docPartGallery w:val="Page Numbers (Bottom of Page)"/>
        <w:docPartUnique/>
      </w:docPartObj>
    </w:sdtPr>
    <w:sdtEndPr>
      <w:rPr>
        <w:noProof/>
      </w:rPr>
    </w:sdtEndPr>
    <w:sdtContent>
      <w:p w14:paraId="1725C933" w14:textId="3F89424C" w:rsidR="002D49B0" w:rsidRDefault="00BF4125">
        <w:pPr>
          <w:pStyle w:val="Footer"/>
          <w:jc w:val="center"/>
        </w:pPr>
        <w:r>
          <w:fldChar w:fldCharType="begin"/>
        </w:r>
        <w:r>
          <w:instrText xml:space="preserve"> PAGE   \* MERGEFORMAT </w:instrText>
        </w:r>
        <w:r>
          <w:fldChar w:fldCharType="separate"/>
        </w:r>
        <w:r>
          <w:t>2</w:t>
        </w:r>
        <w:r>
          <w:fldChar w:fldCharType="end"/>
        </w:r>
      </w:p>
    </w:sdtContent>
  </w:sdt>
  <w:p w14:paraId="4D317E13" w14:textId="77777777" w:rsidR="002D49B0" w:rsidRDefault="002D49B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92DFF" w14:textId="77777777" w:rsidR="002D49B0" w:rsidRDefault="002D49B0">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AC13B3" w14:textId="77777777" w:rsidR="002D49B0" w:rsidRDefault="002D49B0">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45FB2" w14:textId="77777777" w:rsidR="002D49B0" w:rsidRDefault="002D49B0">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7920688"/>
      <w:docPartObj>
        <w:docPartGallery w:val="Page Numbers (Bottom of Page)"/>
        <w:docPartUnique/>
      </w:docPartObj>
    </w:sdtPr>
    <w:sdtEndPr>
      <w:rPr>
        <w:noProof/>
      </w:rPr>
    </w:sdtEndPr>
    <w:sdtContent>
      <w:p w14:paraId="3C98CCB5" w14:textId="4F7B8B0F" w:rsidR="002D49B0" w:rsidRDefault="00BF4125">
        <w:pPr>
          <w:pStyle w:val="Footer"/>
          <w:jc w:val="center"/>
        </w:pPr>
        <w:r>
          <w:fldChar w:fldCharType="begin"/>
        </w:r>
        <w:r>
          <w:instrText xml:space="preserve"> PAGE   \* MERGEFOR</w:instrText>
        </w:r>
        <w:r>
          <w:instrText xml:space="preserve">MAT </w:instrText>
        </w:r>
        <w:r>
          <w:fldChar w:fldCharType="separate"/>
        </w:r>
        <w:r>
          <w:t>2</w:t>
        </w:r>
        <w:r>
          <w:fldChar w:fldCharType="end"/>
        </w:r>
      </w:p>
    </w:sdtContent>
  </w:sdt>
  <w:p w14:paraId="167FBE57" w14:textId="77777777" w:rsidR="002D49B0" w:rsidRDefault="002D49B0">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7B2EF6" w14:textId="77777777" w:rsidR="002D49B0" w:rsidRDefault="002D49B0">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AD963D" w14:textId="77777777" w:rsidR="002D49B0" w:rsidRDefault="002D49B0">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0806263"/>
      <w:docPartObj>
        <w:docPartGallery w:val="Page Numbers (Bottom of Page)"/>
        <w:docPartUnique/>
      </w:docPartObj>
    </w:sdtPr>
    <w:sdtEndPr>
      <w:rPr>
        <w:noProof/>
      </w:rPr>
    </w:sdtEndPr>
    <w:sdtContent>
      <w:p w14:paraId="5F3F825D" w14:textId="028878B6" w:rsidR="002D49B0" w:rsidRDefault="00BF4125">
        <w:pPr>
          <w:pStyle w:val="Footer"/>
          <w:jc w:val="center"/>
        </w:pPr>
        <w:r>
          <w:fldChar w:fldCharType="begin"/>
        </w:r>
        <w:r>
          <w:instrText xml:space="preserve"> PAGE   \* MERGEFORMAT </w:instrText>
        </w:r>
        <w:r>
          <w:fldChar w:fldCharType="separate"/>
        </w:r>
        <w:r>
          <w:t>2</w:t>
        </w:r>
        <w:r>
          <w:fldChar w:fldCharType="end"/>
        </w:r>
      </w:p>
    </w:sdtContent>
  </w:sdt>
  <w:p w14:paraId="683B6394" w14:textId="77777777" w:rsidR="002D49B0" w:rsidRDefault="002D49B0">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4269A" w14:textId="77777777" w:rsidR="002D49B0" w:rsidRDefault="002D49B0">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0BDE5" w14:textId="77777777" w:rsidR="002D49B0" w:rsidRDefault="002D49B0">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4206954"/>
      <w:docPartObj>
        <w:docPartGallery w:val="Page Numbers (Bottom of Page)"/>
        <w:docPartUnique/>
      </w:docPartObj>
    </w:sdtPr>
    <w:sdtEndPr>
      <w:rPr>
        <w:noProof/>
      </w:rPr>
    </w:sdtEndPr>
    <w:sdtContent>
      <w:p w14:paraId="0615702D" w14:textId="3B650C82" w:rsidR="002D49B0" w:rsidRDefault="00BF4125">
        <w:pPr>
          <w:pStyle w:val="Footer"/>
          <w:jc w:val="center"/>
        </w:pPr>
        <w:r>
          <w:fldChar w:fldCharType="begin"/>
        </w:r>
        <w:r>
          <w:instrText xml:space="preserve"> PAGE   \* MERGEFORMAT </w:instrText>
        </w:r>
        <w:r>
          <w:fldChar w:fldCharType="separate"/>
        </w:r>
        <w:r>
          <w:t>2</w:t>
        </w:r>
        <w:r>
          <w:fldChar w:fldCharType="end"/>
        </w:r>
      </w:p>
    </w:sdtContent>
  </w:sdt>
  <w:p w14:paraId="6FEFC7F0" w14:textId="77777777" w:rsidR="002D49B0" w:rsidRDefault="002D49B0">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6CD64" w14:textId="77777777" w:rsidR="002D49B0" w:rsidRDefault="002D49B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74656" w14:textId="77777777" w:rsidR="002D49B0" w:rsidRDefault="002D49B0">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38537" w14:textId="77777777" w:rsidR="002D49B0" w:rsidRDefault="002D49B0">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2485347"/>
      <w:docPartObj>
        <w:docPartGallery w:val="Page Numbers (Bottom of Page)"/>
        <w:docPartUnique/>
      </w:docPartObj>
    </w:sdtPr>
    <w:sdtEndPr>
      <w:rPr>
        <w:noProof/>
      </w:rPr>
    </w:sdtEndPr>
    <w:sdtContent>
      <w:p w14:paraId="3C8B01D8" w14:textId="14C546E2" w:rsidR="002D49B0" w:rsidRDefault="00BF4125">
        <w:pPr>
          <w:pStyle w:val="Footer"/>
          <w:jc w:val="center"/>
        </w:pPr>
        <w:r>
          <w:fldChar w:fldCharType="begin"/>
        </w:r>
        <w:r>
          <w:instrText xml:space="preserve"> PAGE   \* MERGEFORMAT </w:instrText>
        </w:r>
        <w:r>
          <w:fldChar w:fldCharType="separate"/>
        </w:r>
        <w:r>
          <w:t>2</w:t>
        </w:r>
        <w:r>
          <w:fldChar w:fldCharType="end"/>
        </w:r>
      </w:p>
    </w:sdtContent>
  </w:sdt>
  <w:p w14:paraId="57DC8782" w14:textId="77777777" w:rsidR="002D49B0" w:rsidRDefault="002D49B0">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9C387" w14:textId="77777777" w:rsidR="002D49B0" w:rsidRDefault="002D49B0">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A6F974" w14:textId="77777777" w:rsidR="002D49B0" w:rsidRDefault="002D49B0">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1728755"/>
      <w:docPartObj>
        <w:docPartGallery w:val="Page Numbers (Bottom of Page)"/>
        <w:docPartUnique/>
      </w:docPartObj>
    </w:sdtPr>
    <w:sdtEndPr>
      <w:rPr>
        <w:noProof/>
      </w:rPr>
    </w:sdtEndPr>
    <w:sdtContent>
      <w:p w14:paraId="1D1701D7" w14:textId="23A881C6" w:rsidR="002D49B0" w:rsidRDefault="00BF4125">
        <w:pPr>
          <w:pStyle w:val="Footer"/>
          <w:jc w:val="center"/>
        </w:pPr>
        <w:r>
          <w:fldChar w:fldCharType="begin"/>
        </w:r>
        <w:r>
          <w:instrText xml:space="preserve"> PAGE   \* MERGEFORMAT </w:instrText>
        </w:r>
        <w:r>
          <w:fldChar w:fldCharType="separate"/>
        </w:r>
        <w:r>
          <w:t>2</w:t>
        </w:r>
        <w:r>
          <w:fldChar w:fldCharType="end"/>
        </w:r>
      </w:p>
    </w:sdtContent>
  </w:sdt>
  <w:p w14:paraId="6697D7DA" w14:textId="77777777" w:rsidR="002D49B0" w:rsidRDefault="002D49B0">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FD8EAF" w14:textId="77777777" w:rsidR="002D49B0" w:rsidRDefault="002D49B0">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70126" w14:textId="77777777" w:rsidR="002D49B0" w:rsidRDefault="002D49B0">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6515896"/>
      <w:docPartObj>
        <w:docPartGallery w:val="Page Numbers (Bottom of Page)"/>
        <w:docPartUnique/>
      </w:docPartObj>
    </w:sdtPr>
    <w:sdtEndPr>
      <w:rPr>
        <w:noProof/>
      </w:rPr>
    </w:sdtEndPr>
    <w:sdtContent>
      <w:p w14:paraId="2206EFB4" w14:textId="6579D0DF" w:rsidR="002D49B0" w:rsidRDefault="00BF4125">
        <w:pPr>
          <w:pStyle w:val="Footer"/>
          <w:jc w:val="center"/>
        </w:pPr>
        <w:r>
          <w:fldChar w:fldCharType="begin"/>
        </w:r>
        <w:r>
          <w:instrText xml:space="preserve"> PAGE   \* MERGEFORMAT </w:instrText>
        </w:r>
        <w:r>
          <w:fldChar w:fldCharType="separate"/>
        </w:r>
        <w:r>
          <w:t>2</w:t>
        </w:r>
        <w:r>
          <w:fldChar w:fldCharType="end"/>
        </w:r>
      </w:p>
    </w:sdtContent>
  </w:sdt>
  <w:p w14:paraId="0A89BE6D" w14:textId="77777777" w:rsidR="002D49B0" w:rsidRDefault="002D49B0">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202B2" w14:textId="77777777" w:rsidR="002D49B0" w:rsidRDefault="002D49B0">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F6A4C" w14:textId="77777777" w:rsidR="002D49B0" w:rsidRDefault="002D49B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4667612"/>
      <w:docPartObj>
        <w:docPartGallery w:val="Page Numbers (Bottom of Page)"/>
        <w:docPartUnique/>
      </w:docPartObj>
    </w:sdtPr>
    <w:sdtEndPr>
      <w:rPr>
        <w:noProof/>
      </w:rPr>
    </w:sdtEndPr>
    <w:sdtContent>
      <w:p w14:paraId="0A07D898" w14:textId="54EC6F28" w:rsidR="002D49B0" w:rsidRDefault="00BF4125">
        <w:pPr>
          <w:pStyle w:val="Footer"/>
          <w:jc w:val="center"/>
        </w:pPr>
        <w:r>
          <w:fldChar w:fldCharType="begin"/>
        </w:r>
        <w:r>
          <w:instrText xml:space="preserve"> PAGE   \* MERGEFORMAT </w:instrText>
        </w:r>
        <w:r>
          <w:fldChar w:fldCharType="separate"/>
        </w:r>
        <w:r>
          <w:rPr>
            <w:noProof/>
          </w:rPr>
          <w:t>4</w:t>
        </w:r>
        <w:r>
          <w:fldChar w:fldCharType="end"/>
        </w:r>
      </w:p>
    </w:sdtContent>
  </w:sdt>
  <w:p w14:paraId="101336F3" w14:textId="77777777" w:rsidR="002D49B0" w:rsidRDefault="002D49B0">
    <w:pPr>
      <w:pStyle w:val="FooterCouncil"/>
    </w:pP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8390863"/>
      <w:docPartObj>
        <w:docPartGallery w:val="Page Numbers (Bottom of Page)"/>
        <w:docPartUnique/>
      </w:docPartObj>
    </w:sdtPr>
    <w:sdtEndPr>
      <w:rPr>
        <w:noProof/>
      </w:rPr>
    </w:sdtEndPr>
    <w:sdtContent>
      <w:p w14:paraId="52E075B0" w14:textId="7146D09D" w:rsidR="002D49B0" w:rsidRDefault="00BF4125">
        <w:pPr>
          <w:pStyle w:val="Footer"/>
          <w:jc w:val="center"/>
        </w:pPr>
        <w:r>
          <w:fldChar w:fldCharType="begin"/>
        </w:r>
        <w:r>
          <w:instrText xml:space="preserve"> PAGE   \* MERGEFORMAT </w:instrText>
        </w:r>
        <w:r>
          <w:fldChar w:fldCharType="separate"/>
        </w:r>
        <w:r>
          <w:t>2</w:t>
        </w:r>
        <w:r>
          <w:fldChar w:fldCharType="end"/>
        </w:r>
      </w:p>
    </w:sdtContent>
  </w:sdt>
  <w:p w14:paraId="4A50EF83" w14:textId="77777777" w:rsidR="002D49B0" w:rsidRDefault="002D49B0">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B3C9D" w14:textId="77777777" w:rsidR="002D49B0" w:rsidRDefault="002D49B0">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67AF4E" w14:textId="77777777" w:rsidR="002D49B0" w:rsidRDefault="002D49B0">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5812423"/>
      <w:docPartObj>
        <w:docPartGallery w:val="Page Numbers (Bottom of Page)"/>
        <w:docPartUnique/>
      </w:docPartObj>
    </w:sdtPr>
    <w:sdtEndPr>
      <w:rPr>
        <w:noProof/>
      </w:rPr>
    </w:sdtEndPr>
    <w:sdtContent>
      <w:p w14:paraId="743C7B20" w14:textId="398B7B34" w:rsidR="002D49B0" w:rsidRDefault="00BF4125">
        <w:pPr>
          <w:pStyle w:val="Footer"/>
          <w:jc w:val="center"/>
        </w:pPr>
        <w:r>
          <w:fldChar w:fldCharType="begin"/>
        </w:r>
        <w:r>
          <w:instrText xml:space="preserve"> PAGE   \* MERGEFORMAT </w:instrText>
        </w:r>
        <w:r>
          <w:fldChar w:fldCharType="separate"/>
        </w:r>
        <w:r>
          <w:t>2</w:t>
        </w:r>
        <w:r>
          <w:fldChar w:fldCharType="end"/>
        </w:r>
      </w:p>
    </w:sdtContent>
  </w:sdt>
  <w:p w14:paraId="03DB0DEF" w14:textId="77777777" w:rsidR="002D49B0" w:rsidRDefault="002D49B0">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AD06C" w14:textId="77777777" w:rsidR="002D49B0" w:rsidRDefault="002D49B0">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980D2" w14:textId="77777777" w:rsidR="002D49B0" w:rsidRDefault="002D49B0">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7188481"/>
      <w:docPartObj>
        <w:docPartGallery w:val="Page Numbers (Bottom of Page)"/>
        <w:docPartUnique/>
      </w:docPartObj>
    </w:sdtPr>
    <w:sdtEndPr>
      <w:rPr>
        <w:noProof/>
      </w:rPr>
    </w:sdtEndPr>
    <w:sdtContent>
      <w:p w14:paraId="531197B9" w14:textId="58CA080F" w:rsidR="002D49B0" w:rsidRDefault="00BF4125">
        <w:pPr>
          <w:pStyle w:val="Footer"/>
          <w:jc w:val="center"/>
        </w:pPr>
        <w:r>
          <w:fldChar w:fldCharType="begin"/>
        </w:r>
        <w:r>
          <w:instrText xml:space="preserve"> PAGE   \* MERGEFORMAT </w:instrText>
        </w:r>
        <w:r>
          <w:fldChar w:fldCharType="separate"/>
        </w:r>
        <w:r>
          <w:t>2</w:t>
        </w:r>
        <w:r>
          <w:fldChar w:fldCharType="end"/>
        </w:r>
      </w:p>
    </w:sdtContent>
  </w:sdt>
  <w:p w14:paraId="1F7C009F" w14:textId="77777777" w:rsidR="002D49B0" w:rsidRDefault="002D49B0">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41A44" w14:textId="77777777" w:rsidR="002D49B0" w:rsidRDefault="002D49B0">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841E1" w14:textId="77777777" w:rsidR="002D49B0" w:rsidRDefault="002D49B0">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4264556"/>
      <w:docPartObj>
        <w:docPartGallery w:val="Page Numbers (Bottom of Page)"/>
        <w:docPartUnique/>
      </w:docPartObj>
    </w:sdtPr>
    <w:sdtEndPr>
      <w:rPr>
        <w:noProof/>
      </w:rPr>
    </w:sdtEndPr>
    <w:sdtContent>
      <w:p w14:paraId="1EF70092" w14:textId="3C84D582" w:rsidR="002D49B0" w:rsidRDefault="00BF4125">
        <w:pPr>
          <w:pStyle w:val="Footer"/>
          <w:jc w:val="center"/>
        </w:pPr>
        <w:r>
          <w:fldChar w:fldCharType="begin"/>
        </w:r>
        <w:r>
          <w:instrText xml:space="preserve"> PAGE   \* MERGEFORMAT </w:instrText>
        </w:r>
        <w:r>
          <w:fldChar w:fldCharType="separate"/>
        </w:r>
        <w:r>
          <w:t>2</w:t>
        </w:r>
        <w:r>
          <w:fldChar w:fldCharType="end"/>
        </w:r>
      </w:p>
    </w:sdtContent>
  </w:sdt>
  <w:p w14:paraId="607D3548" w14:textId="77777777" w:rsidR="002D49B0" w:rsidRDefault="002D49B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A4D1E" w14:textId="77777777" w:rsidR="002D49B0" w:rsidRDefault="002D49B0">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B61B6" w14:textId="77777777" w:rsidR="002D49B0" w:rsidRDefault="002D49B0">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D9728" w14:textId="77777777" w:rsidR="002D49B0" w:rsidRDefault="002D49B0">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0866608"/>
      <w:docPartObj>
        <w:docPartGallery w:val="Page Numbers (Bottom of Page)"/>
        <w:docPartUnique/>
      </w:docPartObj>
    </w:sdtPr>
    <w:sdtEndPr>
      <w:rPr>
        <w:noProof/>
      </w:rPr>
    </w:sdtEndPr>
    <w:sdtContent>
      <w:p w14:paraId="68E6E629" w14:textId="23268390" w:rsidR="002D49B0" w:rsidRDefault="00BF4125">
        <w:pPr>
          <w:pStyle w:val="Footer"/>
          <w:jc w:val="center"/>
        </w:pPr>
        <w:r>
          <w:fldChar w:fldCharType="begin"/>
        </w:r>
        <w:r>
          <w:instrText xml:space="preserve"> PAGE   \* MERGEFORMAT </w:instrText>
        </w:r>
        <w:r>
          <w:fldChar w:fldCharType="separate"/>
        </w:r>
        <w:r>
          <w:t>2</w:t>
        </w:r>
        <w:r>
          <w:fldChar w:fldCharType="end"/>
        </w:r>
      </w:p>
    </w:sdtContent>
  </w:sdt>
  <w:p w14:paraId="05F88D91" w14:textId="77777777" w:rsidR="002D49B0" w:rsidRDefault="002D49B0">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36B54" w14:textId="77777777" w:rsidR="002D49B0" w:rsidRDefault="002D49B0">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63E27" w14:textId="77777777" w:rsidR="002D49B0" w:rsidRDefault="002D49B0">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8149381"/>
      <w:docPartObj>
        <w:docPartGallery w:val="Page Numbers (Bottom of Page)"/>
        <w:docPartUnique/>
      </w:docPartObj>
    </w:sdtPr>
    <w:sdtEndPr>
      <w:rPr>
        <w:noProof/>
      </w:rPr>
    </w:sdtEndPr>
    <w:sdtContent>
      <w:p w14:paraId="08C2B1DA" w14:textId="216C784D" w:rsidR="002D49B0" w:rsidRDefault="00BF4125">
        <w:pPr>
          <w:pStyle w:val="Footer"/>
          <w:jc w:val="center"/>
        </w:pPr>
        <w:r>
          <w:fldChar w:fldCharType="begin"/>
        </w:r>
        <w:r>
          <w:instrText xml:space="preserve"> PAGE   \* MERGEFORMAT </w:instrText>
        </w:r>
        <w:r>
          <w:fldChar w:fldCharType="separate"/>
        </w:r>
        <w:r>
          <w:t>2</w:t>
        </w:r>
        <w:r>
          <w:fldChar w:fldCharType="end"/>
        </w:r>
      </w:p>
    </w:sdtContent>
  </w:sdt>
  <w:p w14:paraId="16304212" w14:textId="77777777" w:rsidR="002D49B0" w:rsidRDefault="002D49B0">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9D66D" w14:textId="77777777" w:rsidR="002D49B0" w:rsidRDefault="002D49B0">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3FFE2" w14:textId="77777777" w:rsidR="002D49B0" w:rsidRDefault="002D49B0">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3730295"/>
      <w:docPartObj>
        <w:docPartGallery w:val="Page Numbers (Bottom of Page)"/>
        <w:docPartUnique/>
      </w:docPartObj>
    </w:sdtPr>
    <w:sdtEndPr>
      <w:rPr>
        <w:noProof/>
      </w:rPr>
    </w:sdtEndPr>
    <w:sdtContent>
      <w:p w14:paraId="7AE2887B" w14:textId="5450FE26" w:rsidR="002D49B0" w:rsidRDefault="00BF4125">
        <w:pPr>
          <w:pStyle w:val="Footer"/>
          <w:jc w:val="center"/>
        </w:pPr>
        <w:r>
          <w:fldChar w:fldCharType="begin"/>
        </w:r>
        <w:r>
          <w:instrText xml:space="preserve"> PAGE   \* MERGEFORMAT </w:instrText>
        </w:r>
        <w:r>
          <w:fldChar w:fldCharType="separate"/>
        </w:r>
        <w:r>
          <w:t>2</w:t>
        </w:r>
        <w:r>
          <w:fldChar w:fldCharType="end"/>
        </w:r>
      </w:p>
    </w:sdtContent>
  </w:sdt>
  <w:p w14:paraId="03976E22" w14:textId="77777777" w:rsidR="002D49B0" w:rsidRDefault="002D49B0">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4F2CDA" w14:textId="77777777" w:rsidR="002D49B0" w:rsidRDefault="002D49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FACC1D" w14:textId="77777777" w:rsidR="00201F30" w:rsidRDefault="00201F30">
      <w:pPr>
        <w:spacing w:after="0" w:line="240" w:lineRule="auto"/>
      </w:pPr>
      <w:r>
        <w:separator/>
      </w:r>
    </w:p>
  </w:footnote>
  <w:footnote w:type="continuationSeparator" w:id="0">
    <w:p w14:paraId="4DE22F55" w14:textId="77777777" w:rsidR="00201F30" w:rsidRDefault="00201F30">
      <w:pPr>
        <w:spacing w:after="0" w:line="240" w:lineRule="auto"/>
      </w:pPr>
      <w:r>
        <w:continuationSeparator/>
      </w:r>
    </w:p>
  </w:footnote>
  <w:footnote w:type="continuationNotice" w:id="1">
    <w:p w14:paraId="73CB2BF8" w14:textId="77777777" w:rsidR="00201F30" w:rsidRDefault="00201F30">
      <w:pPr>
        <w:spacing w:after="0" w:line="240" w:lineRule="auto"/>
      </w:pPr>
    </w:p>
  </w:footnote>
  <w:footnote w:id="2">
    <w:p w14:paraId="10D84F86" w14:textId="77777777" w:rsidR="002D49B0" w:rsidRDefault="00BF4125">
      <w:pPr>
        <w:pStyle w:val="FootnoteText"/>
        <w:ind w:left="0" w:firstLine="0"/>
        <w:rPr>
          <w:rStyle w:val="FootnoteReference"/>
        </w:rPr>
      </w:pPr>
      <w:r>
        <w:rPr>
          <w:rStyle w:val="FootnoteReference"/>
        </w:rPr>
        <w:footnoteRef/>
      </w:r>
      <w:r>
        <w:rPr>
          <w:rStyle w:val="FootnoteReference"/>
        </w:rPr>
        <w:t xml:space="preserve"> </w:t>
      </w:r>
      <w:r>
        <w:rPr>
          <w:rStyle w:val="FootnoteReference"/>
          <w:vertAlign w:val="baseline"/>
        </w:rPr>
        <w:t xml:space="preserve">Okrem projektov v rámci tohto opatrenia v oblasti výroby </w:t>
      </w:r>
      <w:r>
        <w:rPr>
          <w:rStyle w:val="FootnoteReference"/>
          <w:vertAlign w:val="baseline"/>
        </w:rPr>
        <w:t>elektrickej energie a/alebo tepla, ako aj súvisiacej prenosovej a distribučnej infraštruktúry využívajúcej zemný plyn, ktoré spĺňajú podmienky stanovené v prílohe III k technickému usmerneniu „nespôsobiť žiadne významné škody“ (2021/C58/01).</w:t>
      </w:r>
    </w:p>
  </w:footnote>
  <w:footnote w:id="3">
    <w:p w14:paraId="556F86D8" w14:textId="77777777" w:rsidR="002D49B0" w:rsidRDefault="00BF4125">
      <w:pPr>
        <w:pStyle w:val="FootnoteText"/>
        <w:ind w:left="0" w:firstLine="0"/>
        <w:rPr>
          <w:rStyle w:val="FootnoteReference"/>
        </w:rPr>
      </w:pPr>
      <w:r>
        <w:rPr>
          <w:rStyle w:val="FootnoteReference"/>
        </w:rPr>
        <w:footnoteRef/>
      </w:r>
      <w:r>
        <w:rPr>
          <w:rStyle w:val="FootnoteReference"/>
        </w:rPr>
        <w:t xml:space="preserve"> </w:t>
      </w:r>
      <w:r>
        <w:rPr>
          <w:rStyle w:val="FootnoteReference"/>
          <w:vertAlign w:val="baseline"/>
        </w:rPr>
        <w:t>Ak sa v rámc</w:t>
      </w:r>
      <w:r>
        <w:rPr>
          <w:rStyle w:val="FootnoteReference"/>
          <w:vertAlign w:val="baseline"/>
        </w:rPr>
        <w:t>i podporovanej činnosti dosiahnu predpokladané emisie skleníkových plynov, ktoré nie sú výrazne nižšie ako príslušné referenčné hodnoty, malo by sa poskytnúť vysvetlenie dôvodov, prečo to nie je možné. Referenčné hodnoty stanovené pre bezodplatné prideľova</w:t>
      </w:r>
      <w:r>
        <w:rPr>
          <w:rStyle w:val="FootnoteReference"/>
          <w:vertAlign w:val="baseline"/>
        </w:rPr>
        <w:t>nie kvót pre činnosti, ktoré patria do rozsahu pôsobnosti systému obchodovania s emisiami, ako sa stanovuje vo vykonávacom nariadení Komisie (EÚ) 2021/447.</w:t>
      </w:r>
    </w:p>
  </w:footnote>
  <w:footnote w:id="4">
    <w:p w14:paraId="3294EB08" w14:textId="77777777" w:rsidR="002D49B0" w:rsidRDefault="00BF4125">
      <w:pPr>
        <w:pStyle w:val="FootnoteText"/>
        <w:ind w:left="0" w:firstLine="0"/>
        <w:rPr>
          <w:rStyle w:val="FootnoteReference"/>
        </w:rPr>
      </w:pPr>
      <w:r>
        <w:rPr>
          <w:rStyle w:val="FootnoteReference"/>
        </w:rPr>
        <w:footnoteRef/>
      </w:r>
      <w:r>
        <w:rPr>
          <w:rStyle w:val="FootnoteReference"/>
        </w:rPr>
        <w:t xml:space="preserve"> </w:t>
      </w:r>
      <w:r>
        <w:rPr>
          <w:rStyle w:val="FootnoteReference"/>
          <w:vertAlign w:val="baseline"/>
        </w:rPr>
        <w:t>Toto vylúčenie sa nevzťahuje na činnosti v rámci tohto opatrenia v zariadeniach určených výlučne n</w:t>
      </w:r>
      <w:r>
        <w:rPr>
          <w:rStyle w:val="FootnoteReference"/>
          <w:vertAlign w:val="baseline"/>
        </w:rPr>
        <w:t>a spracovanie nerecyklovateľného nebezpečného odpadu a na existujúce zariadenia, ak sú činnosti v rámci tohto opatrenia zamerané na zvýšenie energetickej účinnosti, zachytávanie výfukových plynov na skladovanie alebo používanie alebo zhodnocovanie materiál</w:t>
      </w:r>
      <w:r>
        <w:rPr>
          <w:rStyle w:val="FootnoteReference"/>
          <w:vertAlign w:val="baseline"/>
        </w:rPr>
        <w:t>ov zo spaľovania popola za predpokladu, že takéto opatrenia v rámci tohto opatrenia nevedú k zvýšeniu kapacity zariadení na spracovanie odpadu alebo k predĺženiu životnosti zariadení; v prípade ktorých sa poskytujú dôkazy na úrovni zariadenia.</w:t>
      </w:r>
    </w:p>
  </w:footnote>
  <w:footnote w:id="5">
    <w:p w14:paraId="16094E3A" w14:textId="77777777" w:rsidR="002D49B0" w:rsidRDefault="00BF4125">
      <w:pPr>
        <w:pStyle w:val="FootnoteText"/>
        <w:ind w:left="0" w:firstLine="0"/>
      </w:pPr>
      <w:r>
        <w:rPr>
          <w:rStyle w:val="FootnoteReference"/>
        </w:rPr>
        <w:footnoteRef/>
      </w:r>
      <w:r>
        <w:rPr>
          <w:rStyle w:val="FootnoteReference"/>
        </w:rPr>
        <w:t xml:space="preserve"> </w:t>
      </w:r>
      <w:r>
        <w:rPr>
          <w:rStyle w:val="FootnoteReference"/>
          <w:vertAlign w:val="baseline"/>
        </w:rPr>
        <w:t>Toto vylúč</w:t>
      </w:r>
      <w:r>
        <w:rPr>
          <w:rStyle w:val="FootnoteReference"/>
          <w:vertAlign w:val="baseline"/>
        </w:rPr>
        <w:t>enie sa nevzťahuje na akcie v rámci tohto opatrenia v existujúcich zariadeniach na mechanické biologické spracovanie, ak sú činnosti v rámci tohto opatrenia zamerané na zvýšenie energetickej účinnosti alebo prispôsobenie triedeného odpadu na činnosti recyk</w:t>
      </w:r>
      <w:r>
        <w:rPr>
          <w:rStyle w:val="FootnoteReference"/>
          <w:vertAlign w:val="baseline"/>
        </w:rPr>
        <w:t>lácie kompostovaného biologického odpadu a anaeróbnej digescie biologického odpadu za predpokladu, že takéto opatrenia v rámci tohto opatrenia nevedú k zvýšeniu kapacity zariadení na spracovanie odpadu alebo k predĺženiu životnosti zariadení; v prípade kto</w:t>
      </w:r>
      <w:r>
        <w:rPr>
          <w:rStyle w:val="FootnoteReference"/>
          <w:vertAlign w:val="baseline"/>
        </w:rPr>
        <w:t>rých sa poskytujú dôkazy na úrovni zariadenia.</w:t>
      </w:r>
    </w:p>
  </w:footnote>
  <w:footnote w:id="6">
    <w:p w14:paraId="69E6CCB7" w14:textId="77777777" w:rsidR="002D49B0" w:rsidRDefault="00BF4125">
      <w:pPr>
        <w:pStyle w:val="FootnoteText"/>
        <w:ind w:left="0" w:firstLine="0"/>
      </w:pPr>
      <w:r>
        <w:rPr>
          <w:rStyle w:val="FootnoteReference"/>
        </w:rPr>
        <w:footnoteRef/>
      </w:r>
      <w:r>
        <w:t xml:space="preserve"> </w:t>
      </w:r>
      <w:r>
        <w:rPr>
          <w:rFonts w:eastAsia="Times New Roman"/>
        </w:rPr>
        <w:t xml:space="preserve">Finanční sprostredkovatelia sú povinní poskytnúť odôvodnenie vybranej oblasti intervencie pre každý podporovaný projekt spolu s opisom projektu na účely výpočtu príspevku na opatrenia v oblasti klímy. </w:t>
      </w:r>
      <w:r>
        <w:rPr>
          <w:rStyle w:val="FootnoteReference"/>
          <w:vertAlign w:val="baseline"/>
        </w:rPr>
        <w:t>Implem</w:t>
      </w:r>
      <w:r>
        <w:rPr>
          <w:rStyle w:val="FootnoteReference"/>
          <w:vertAlign w:val="baseline"/>
        </w:rPr>
        <w:t>entujúci</w:t>
      </w:r>
      <w:r>
        <w:rPr>
          <w:rFonts w:eastAsia="Times New Roman"/>
        </w:rPr>
        <w:t xml:space="preserve"> partner je takisto povinný poskytnúť členskému štátu polročnú správu o vykonávaní každého projektu/činnosti</w:t>
      </w:r>
      <w:r>
        <w:t>.</w:t>
      </w:r>
    </w:p>
  </w:footnote>
  <w:footnote w:id="7">
    <w:p w14:paraId="7DE82FEA" w14:textId="77777777" w:rsidR="002D49B0" w:rsidRDefault="00BF4125">
      <w:pPr>
        <w:pStyle w:val="FootnoteText"/>
        <w:ind w:left="0" w:firstLine="0"/>
        <w:rPr>
          <w:rStyle w:val="FootnoteReference"/>
        </w:rPr>
      </w:pPr>
      <w:r>
        <w:rPr>
          <w:rStyle w:val="FootnoteReference"/>
        </w:rPr>
        <w:footnoteRef/>
      </w:r>
      <w:r>
        <w:rPr>
          <w:rStyle w:val="FootnoteReference"/>
        </w:rPr>
        <w:t xml:space="preserve"> </w:t>
      </w:r>
      <w:r>
        <w:rPr>
          <w:rStyle w:val="FootnoteReference"/>
          <w:vertAlign w:val="baseline"/>
        </w:rPr>
        <w:t xml:space="preserve">Okrem projektov v rámci tohto opatrenia v oblasti výroby elektrickej energie a/alebo tepla, ako aj súvisiacej prenosovej a distribučnej </w:t>
      </w:r>
      <w:r>
        <w:rPr>
          <w:rStyle w:val="FootnoteReference"/>
          <w:vertAlign w:val="baseline"/>
        </w:rPr>
        <w:t>infraštruktúry využívajúcej zemný plyn, ktoré spĺňajú podmienky stanovené v prílohe III k technickému usmerneniu „nespôsobiť žiadne významné škody“ (2021/C58/01).</w:t>
      </w:r>
    </w:p>
  </w:footnote>
  <w:footnote w:id="8">
    <w:p w14:paraId="4F831E84" w14:textId="77777777" w:rsidR="002D49B0" w:rsidRDefault="00BF4125">
      <w:pPr>
        <w:pStyle w:val="FootnoteText"/>
        <w:ind w:left="0" w:firstLine="0"/>
        <w:rPr>
          <w:rStyle w:val="FootnoteReference"/>
        </w:rPr>
      </w:pPr>
      <w:r>
        <w:rPr>
          <w:rStyle w:val="FootnoteReference"/>
        </w:rPr>
        <w:footnoteRef/>
      </w:r>
      <w:r>
        <w:rPr>
          <w:rStyle w:val="FootnoteReference"/>
        </w:rPr>
        <w:t xml:space="preserve"> </w:t>
      </w:r>
      <w:r>
        <w:rPr>
          <w:rStyle w:val="FootnoteReference"/>
          <w:vertAlign w:val="baseline"/>
        </w:rPr>
        <w:t>Ak sa v rámci podporovanej činnosti dosiahnu predpokladané emisie skleníkových plynov, ktor</w:t>
      </w:r>
      <w:r>
        <w:rPr>
          <w:rStyle w:val="FootnoteReference"/>
          <w:vertAlign w:val="baseline"/>
        </w:rPr>
        <w:t xml:space="preserve">é nie sú výrazne nižšie ako príslušné referenčné hodnoty, malo by sa poskytnúť vysvetlenie dôvodov, prečo to nie je možné. Referenčné hodnoty stanovené pre bezodplatné prideľovanie kvót pre činnosti, ktoré patria do rozsahu pôsobnosti systému obchodovania </w:t>
      </w:r>
      <w:r>
        <w:rPr>
          <w:rStyle w:val="FootnoteReference"/>
          <w:vertAlign w:val="baseline"/>
        </w:rPr>
        <w:t>s emisiami, ako sa stanovuje vo vykonávacom nariadení Komisie (EÚ) 2021/447.</w:t>
      </w:r>
    </w:p>
  </w:footnote>
  <w:footnote w:id="9">
    <w:p w14:paraId="74368731" w14:textId="77777777" w:rsidR="002D49B0" w:rsidRDefault="00BF4125">
      <w:pPr>
        <w:pStyle w:val="FootnoteText"/>
        <w:ind w:left="0" w:firstLine="0"/>
        <w:rPr>
          <w:rStyle w:val="FootnoteReference"/>
        </w:rPr>
      </w:pPr>
      <w:r>
        <w:rPr>
          <w:rStyle w:val="FootnoteReference"/>
        </w:rPr>
        <w:footnoteRef/>
      </w:r>
      <w:r>
        <w:rPr>
          <w:rStyle w:val="FootnoteReference"/>
        </w:rPr>
        <w:t xml:space="preserve"> </w:t>
      </w:r>
      <w:r>
        <w:rPr>
          <w:rStyle w:val="FootnoteReference"/>
          <w:vertAlign w:val="baseline"/>
        </w:rPr>
        <w:t>Toto vylúčenie sa nevzťahuje na činnosti v rámci tohto opatrenia v zariadeniach určených výlučne na spracovanie nerecyklovateľného nebezpečného odpadu a na existujúce zariadenia</w:t>
      </w:r>
      <w:r>
        <w:rPr>
          <w:rStyle w:val="FootnoteReference"/>
          <w:vertAlign w:val="baseline"/>
        </w:rPr>
        <w:t>, ak sú činnosti v rámci tohto opatrenia zamerané na zvýšenie energetickej účinnosti, zachytávanie výfukových plynov na skladovanie alebo používanie alebo zhodnocovanie materiálov zo spaľovania popola za predpokladu, že takéto opatrenia v rámci tohto opatr</w:t>
      </w:r>
      <w:r>
        <w:rPr>
          <w:rStyle w:val="FootnoteReference"/>
          <w:vertAlign w:val="baseline"/>
        </w:rPr>
        <w:t>enia nevedú k zvýšeniu kapacity zariadení na spracovanie odpadu alebo k predĺženiu životnosti zariadení; v prípade ktorých sa poskytujú dôkazy na úrovni zariadenia.</w:t>
      </w:r>
    </w:p>
  </w:footnote>
  <w:footnote w:id="10">
    <w:p w14:paraId="6AED4973" w14:textId="77777777" w:rsidR="002D49B0" w:rsidRDefault="00BF4125">
      <w:pPr>
        <w:pStyle w:val="FootnoteText"/>
        <w:ind w:left="0" w:firstLine="0"/>
      </w:pPr>
      <w:r>
        <w:rPr>
          <w:rStyle w:val="FootnoteReference"/>
        </w:rPr>
        <w:footnoteRef/>
      </w:r>
      <w:r>
        <w:rPr>
          <w:rStyle w:val="FootnoteReference"/>
        </w:rPr>
        <w:t xml:space="preserve"> </w:t>
      </w:r>
      <w:r>
        <w:rPr>
          <w:rStyle w:val="FootnoteReference"/>
          <w:vertAlign w:val="baseline"/>
        </w:rPr>
        <w:t>Toto vylúčenie sa nevzťahuje na akcie v rámci tohto opatrenia v existujúcich zariadeniach</w:t>
      </w:r>
      <w:r>
        <w:rPr>
          <w:rStyle w:val="FootnoteReference"/>
          <w:vertAlign w:val="baseline"/>
        </w:rPr>
        <w:t xml:space="preserve"> na mechanické biologické spracovanie, ak sú činnosti v rámci tohto opatrenia zamerané na zvýšenie energetickej účinnosti alebo prispôsobenie triedeného odpadu na činnosti recyklácie kompostovaného biologického odpadu a anaeróbnej digescie biologického odp</w:t>
      </w:r>
      <w:r>
        <w:rPr>
          <w:rStyle w:val="FootnoteReference"/>
          <w:vertAlign w:val="baseline"/>
        </w:rPr>
        <w:t>adu za predpokladu, že takéto opatrenia v rámci tohto opatrenia nevedú k zvýšeniu kapacity zariadení na spracovanie odpadu alebo k predĺženiu životnosti zariadení; v prípade ktorých sa poskytujú dôkazy na úrovni zariadenia.</w:t>
      </w:r>
    </w:p>
  </w:footnote>
  <w:footnote w:id="11">
    <w:p w14:paraId="5BDA38D9" w14:textId="77777777" w:rsidR="002D49B0" w:rsidRDefault="00BF4125">
      <w:pPr>
        <w:pStyle w:val="FootnoteText"/>
        <w:ind w:left="0" w:firstLine="0"/>
      </w:pPr>
      <w:r>
        <w:rPr>
          <w:rStyle w:val="FootnoteReference"/>
        </w:rPr>
        <w:footnoteRef/>
      </w:r>
      <w:r>
        <w:t xml:space="preserve"> Okrem projektov v rámci tohto </w:t>
      </w:r>
      <w:r>
        <w:t>opatrenia v oblasti výroby elektrickej energie a/alebo tepla, ako aj súvisiacej prenosovej a distribučnej infraštruktúry využívajúcej zemný plyn, ktoré spĺňajú podmienky stanovené v prílohe III k technickému usmerneniu „nespôsobiť žiadne významné škody“ (2</w:t>
      </w:r>
      <w:r>
        <w:t>021/C58/01).</w:t>
      </w:r>
    </w:p>
  </w:footnote>
  <w:footnote w:id="12">
    <w:p w14:paraId="5DC3CBB9" w14:textId="77777777" w:rsidR="002D49B0" w:rsidRDefault="00BF4125">
      <w:pPr>
        <w:pStyle w:val="FootnoteText"/>
        <w:ind w:left="0" w:firstLine="0"/>
      </w:pPr>
      <w:r>
        <w:rPr>
          <w:rStyle w:val="FootnoteReference"/>
        </w:rPr>
        <w:footnoteRef/>
      </w:r>
      <w:r>
        <w:t xml:space="preserve"> Ak sa v rámci podporovanej činnosti dosiahnu predpokladané emisie skleníkových plynov, ktoré nie sú výrazne nižšie ako príslušné referenčné hodnoty, malo by sa poskytnúť vysvetlenie dôvodov, prečo to nie je možné. Referenčné hodnoty stanoven</w:t>
      </w:r>
      <w:r>
        <w:t>é pre bezodplatné prideľovanie kvót pre činnosti, ktoré patria do rozsahu pôsobnosti systému obchodovania s emisiami, ako sa stanovuje vo vykonávacom nariadení Komisie (EÚ) 2021/447.</w:t>
      </w:r>
    </w:p>
  </w:footnote>
  <w:footnote w:id="13">
    <w:p w14:paraId="3B6B71D1" w14:textId="77777777" w:rsidR="002D49B0" w:rsidRDefault="00BF4125">
      <w:pPr>
        <w:spacing w:after="0" w:line="240" w:lineRule="auto"/>
        <w:jc w:val="both"/>
        <w:rPr>
          <w:rFonts w:ascii="Times New Roman" w:hAnsi="Times New Roman" w:cs="Times New Roman"/>
        </w:rPr>
      </w:pPr>
      <w:r>
        <w:rPr>
          <w:rStyle w:val="FootnoteReference"/>
          <w:rFonts w:ascii="Times New Roman" w:hAnsi="Times New Roman" w:cs="Times New Roman"/>
          <w:sz w:val="20"/>
          <w:szCs w:val="20"/>
        </w:rPr>
        <w:footnoteRef/>
      </w:r>
      <w:r>
        <w:rPr>
          <w:rFonts w:ascii="Times New Roman" w:hAnsi="Times New Roman"/>
          <w:sz w:val="20"/>
        </w:rPr>
        <w:t xml:space="preserve"> Toto vylúčenie sa nevzťahuje na činnosti v rámci tohto opatrenia v zari</w:t>
      </w:r>
      <w:r>
        <w:rPr>
          <w:rFonts w:ascii="Times New Roman" w:hAnsi="Times New Roman"/>
          <w:sz w:val="20"/>
        </w:rPr>
        <w:t>adeniach určených výlučne na spracovanie nerecyklovateľného nebezpečného odpadu a na existujúce zariadenia, ak sú činnosti v rámci tohto opatrenia zamerané na zvýšenie energetickej účinnosti, zachytávanie výfukových plynov na skladovanie alebo používanie a</w:t>
      </w:r>
      <w:r>
        <w:rPr>
          <w:rFonts w:ascii="Times New Roman" w:hAnsi="Times New Roman"/>
          <w:sz w:val="20"/>
        </w:rPr>
        <w:t>lebo zhodnocovanie materiálov zo spaľovania popola za predpokladu, že takéto opatrenia v rámci tohto opatrenia nevedú k zvýšeniu kapacity zariadení na spracovanie odpadu alebo k predĺženiu životnosti zariadení; v prípade ktorých sa poskytujú dôkazy na úrov</w:t>
      </w:r>
      <w:r>
        <w:rPr>
          <w:rFonts w:ascii="Times New Roman" w:hAnsi="Times New Roman"/>
          <w:sz w:val="20"/>
        </w:rPr>
        <w:t>ni zariadenia.</w:t>
      </w:r>
    </w:p>
  </w:footnote>
  <w:footnote w:id="14">
    <w:p w14:paraId="23FA3133" w14:textId="77777777" w:rsidR="002D49B0" w:rsidRDefault="00BF4125">
      <w:pPr>
        <w:pStyle w:val="FootnoteText"/>
        <w:ind w:left="0" w:firstLine="0"/>
      </w:pPr>
      <w:r>
        <w:rPr>
          <w:rStyle w:val="FootnoteReference"/>
        </w:rPr>
        <w:footnoteRef/>
      </w:r>
      <w:r>
        <w:t xml:space="preserve"> Toto vylúčenie sa nevzťahuje na akcie v rámci tohto opatrenia v existujúcich zariadeniach na mechanické biologické spracovanie, ak sú činnosti v rámci tohto opatrenia zamerané na zvýšenie energetickej účinnosti alebo prispôsobenie triedené</w:t>
      </w:r>
      <w:r>
        <w:t>ho odpadu na činnosti recyklácie kompostovaného biologického odpadu a anaeróbnej digescie biologického odpadu za predpokladu, že takéto opatrenia v rámci tohto opatrenia nevedú k zvýšeniu kapacity zariadení na spracovanie odpadu alebo k predĺženiu životnos</w:t>
      </w:r>
      <w:r>
        <w:t>ti zariadení; v prípade ktorých sa poskytujú dôkazy na úrovni zariadenia.</w:t>
      </w:r>
    </w:p>
  </w:footnote>
  <w:footnote w:id="15">
    <w:p w14:paraId="503E35F0" w14:textId="77777777" w:rsidR="002D49B0" w:rsidRDefault="00BF4125">
      <w:pPr>
        <w:pStyle w:val="FootnoteText"/>
        <w:ind w:left="0" w:firstLine="0"/>
      </w:pPr>
      <w:r>
        <w:rPr>
          <w:rStyle w:val="FootnoteReference"/>
        </w:rPr>
        <w:footnoteRef/>
      </w:r>
      <w:r>
        <w:t xml:space="preserve"> Okrem projektov v rámci tohto opatrenia v oblasti výroby elektrickej energie a/alebo tepla, ako aj súvisiacej prenosovej a distribučnej infraštruktúry využívajúcej zemný plyn, ktor</w:t>
      </w:r>
      <w:r>
        <w:t>é spĺňajú podmienky stanovené v prílohe III k technickému usmerneniu „nespôsobiť žiadne významné škody“ (2021/C58/01).</w:t>
      </w:r>
    </w:p>
  </w:footnote>
  <w:footnote w:id="16">
    <w:p w14:paraId="7DA80BCE" w14:textId="77777777" w:rsidR="002D49B0" w:rsidRDefault="00BF4125">
      <w:pPr>
        <w:pStyle w:val="FootnoteText"/>
        <w:ind w:left="0" w:firstLine="0"/>
      </w:pPr>
      <w:r>
        <w:rPr>
          <w:rStyle w:val="FootnoteReference"/>
        </w:rPr>
        <w:footnoteRef/>
      </w:r>
      <w:r>
        <w:t xml:space="preserve"> Ak sa v rámci podporovanej činnosti dosiahnu predpokladané emisie skleníkových plynov, ktoré nie sú výrazne nižšie ako príslušné refere</w:t>
      </w:r>
      <w:r>
        <w:t xml:space="preserve">nčné hodnoty, malo by sa poskytnúť vysvetlenie dôvodov, prečo to nie je možné. Referenčné hodnoty stanovené pre bezodplatné prideľovanie kvót pre činnosti, ktoré patria do rozsahu pôsobnosti systému obchodovania s emisiami, ako sa stanovuje vo vykonávacom </w:t>
      </w:r>
      <w:r>
        <w:t>nariadení Komisie (EÚ) 2021/447.</w:t>
      </w:r>
    </w:p>
  </w:footnote>
  <w:footnote w:id="17">
    <w:p w14:paraId="32D9D2F3" w14:textId="77777777" w:rsidR="002D49B0" w:rsidRDefault="00BF4125">
      <w:pPr>
        <w:spacing w:after="0" w:line="240" w:lineRule="auto"/>
        <w:jc w:val="both"/>
        <w:rPr>
          <w:rFonts w:ascii="Times New Roman" w:hAnsi="Times New Roman" w:cs="Times New Roman"/>
        </w:rPr>
      </w:pPr>
      <w:r>
        <w:rPr>
          <w:rStyle w:val="FootnoteReference"/>
          <w:rFonts w:ascii="Times New Roman" w:hAnsi="Times New Roman" w:cs="Times New Roman"/>
          <w:sz w:val="20"/>
          <w:szCs w:val="20"/>
        </w:rPr>
        <w:footnoteRef/>
      </w:r>
      <w:r>
        <w:rPr>
          <w:rFonts w:ascii="Times New Roman" w:hAnsi="Times New Roman"/>
          <w:sz w:val="20"/>
        </w:rPr>
        <w:t xml:space="preserve"> Toto vylúčenie sa nevzťahuje na činnosti v rámci tohto opatrenia v zariadeniach určených výlučne na spracovanie nerecyklovateľného nebezpečného odpadu a na existujúce zariadenia, ak sú činnosti v rámci tohto opatrenia zam</w:t>
      </w:r>
      <w:r>
        <w:rPr>
          <w:rFonts w:ascii="Times New Roman" w:hAnsi="Times New Roman"/>
          <w:sz w:val="20"/>
        </w:rPr>
        <w:t>erané na zvýšenie energetickej účinnosti, zachytávanie výfukových plynov na skladovanie alebo používanie alebo zhodnocovanie materiálov zo spaľovania popola za predpokladu, že takéto opatrenia v rámci tohto opatrenia nevedú k zvýšeniu kapacity zariadení na</w:t>
      </w:r>
      <w:r>
        <w:rPr>
          <w:rFonts w:ascii="Times New Roman" w:hAnsi="Times New Roman"/>
          <w:sz w:val="20"/>
        </w:rPr>
        <w:t xml:space="preserve"> spracovanie odpadu alebo k predĺženiu životnosti zariadení; v prípade ktorých sa poskytujú dôkazy na úrovni zariadenia.</w:t>
      </w:r>
    </w:p>
  </w:footnote>
  <w:footnote w:id="18">
    <w:p w14:paraId="697E8A85" w14:textId="77777777" w:rsidR="002D49B0" w:rsidRDefault="00BF4125">
      <w:pPr>
        <w:pStyle w:val="FootnoteText"/>
        <w:ind w:left="0" w:firstLine="0"/>
      </w:pPr>
      <w:r>
        <w:rPr>
          <w:rStyle w:val="FootnoteReference"/>
        </w:rPr>
        <w:footnoteRef/>
      </w:r>
      <w:r>
        <w:t xml:space="preserve"> Toto vylúčenie sa nevzťahuje na akcie v rámci tohto opatrenia</w:t>
      </w:r>
      <w:r>
        <w:t xml:space="preserve"> v existujúcich zariadeniach na mechanické biologické spracovanie, ak sú činnosti v rámci tohto opatrenia zamerané na zvýšenie energetickej účinnosti alebo prispôsobenie triedeného odpadu na činnosti recyklácie kompostovaného biologického odpadu a anaeróbn</w:t>
      </w:r>
      <w:r>
        <w:t>ej digescie biologického odpadu za predpokladu, že takéto opatrenia v rámci tohto opatrenia nevedú k zvýšeniu kapacity zariadení na spracovanie odpadu alebo k predĺženiu životnosti zariadení; v prípade ktorých sa poskytujú dôkazy na úrovni zariadenia.</w:t>
      </w:r>
    </w:p>
  </w:footnote>
  <w:footnote w:id="19">
    <w:p w14:paraId="3694ECC7" w14:textId="77777777" w:rsidR="002D49B0" w:rsidRDefault="00BF4125">
      <w:pPr>
        <w:pStyle w:val="FootnoteText"/>
        <w:ind w:left="57" w:firstLine="0"/>
      </w:pPr>
      <w:r>
        <w:rPr>
          <w:rStyle w:val="FootnoteReference"/>
        </w:rPr>
        <w:footnoteRef/>
      </w:r>
      <w:r>
        <w:t xml:space="preserve"> Ok</w:t>
      </w:r>
      <w:r>
        <w:t>rem projektov v rámci tohto opatrenia v oblasti výroby elektrickej energie a/alebo tepla, ako aj súvisiacej prenosovej a distribučnej infraštruktúry využívajúcej zemný plyn, ktoré spĺňajú podmienky stanovené v prílohe III k technickému usmerneniu „nespôsob</w:t>
      </w:r>
      <w:r>
        <w:t>iť žiadne významné škody“ (2021/C58/01).</w:t>
      </w:r>
    </w:p>
  </w:footnote>
  <w:footnote w:id="20">
    <w:p w14:paraId="0A4C6DAE" w14:textId="77777777" w:rsidR="002D49B0" w:rsidRDefault="00BF4125">
      <w:pPr>
        <w:pStyle w:val="FootnoteText"/>
        <w:ind w:left="57" w:firstLine="0"/>
      </w:pPr>
      <w:r>
        <w:rPr>
          <w:rStyle w:val="FootnoteReference"/>
        </w:rPr>
        <w:footnoteRef/>
      </w:r>
      <w:r>
        <w:t xml:space="preserve"> Ak sa v rámci podporovanej činnosti dosiahnu predpokladané emisie skleníkových plynov, ktoré nie sú výrazne nižšie ako príslušné referenčné hodnoty, malo by sa poskytnúť vysvetlenie dôvodov, prečo to nie je možné.</w:t>
      </w:r>
      <w:r>
        <w:t xml:space="preserve"> Referenčné hodnoty stanovené pre bezodplatné prideľovanie kvót pre činnosti, ktoré patria do rozsahu pôsobnosti systému obchodovania s emisiami, ako sa stanovuje vo vykonávacom nariadení Komisie (EÚ) 2021/447.</w:t>
      </w:r>
    </w:p>
  </w:footnote>
  <w:footnote w:id="21">
    <w:p w14:paraId="31186874" w14:textId="77777777" w:rsidR="002D49B0" w:rsidRDefault="00BF4125">
      <w:pPr>
        <w:spacing w:after="0" w:line="240" w:lineRule="auto"/>
        <w:ind w:left="57"/>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Toto vylúčenie sa nevzťahuje na činnosti v </w:t>
      </w:r>
      <w:r>
        <w:rPr>
          <w:rFonts w:ascii="Times New Roman" w:hAnsi="Times New Roman"/>
          <w:sz w:val="20"/>
        </w:rPr>
        <w:t>rámci tohto opatrenia v zariadeniach určených výlučne na spracovanie nerecyklovateľného nebezpečného odpadu a na existujúce zariadenia, ak sú činnosti v rámci tohto opatrenia zamerané na zvýšenie energetickej účinnosti, zachytávanie výfukových plynov na sk</w:t>
      </w:r>
      <w:r>
        <w:rPr>
          <w:rFonts w:ascii="Times New Roman" w:hAnsi="Times New Roman"/>
          <w:sz w:val="20"/>
        </w:rPr>
        <w:t>ladovanie alebo používanie alebo zhodnocovanie materiálov zo spaľovania popola za predpokladu, že takéto opatrenia v rámci tohto opatrenia nevedú k zvýšeniu kapacity zariadení na spracovanie odpadu alebo k predĺženiu životnosti zariadení; v prípade ktorých</w:t>
      </w:r>
      <w:r>
        <w:rPr>
          <w:rFonts w:ascii="Times New Roman" w:hAnsi="Times New Roman"/>
          <w:sz w:val="20"/>
        </w:rPr>
        <w:t xml:space="preserve"> sa poskytujú dôkazy na úrovni zariadenia.</w:t>
      </w:r>
    </w:p>
  </w:footnote>
  <w:footnote w:id="22">
    <w:p w14:paraId="106C057B" w14:textId="77777777" w:rsidR="002D49B0" w:rsidRDefault="00BF4125">
      <w:pPr>
        <w:pStyle w:val="FootnoteText"/>
        <w:ind w:left="57" w:firstLine="0"/>
      </w:pPr>
      <w:r>
        <w:rPr>
          <w:rStyle w:val="FootnoteReference"/>
        </w:rPr>
        <w:footnoteRef/>
      </w:r>
      <w:r>
        <w:t xml:space="preserve"> Toto vylúčenie sa nevzťahuje na akcie v rámci tohto opatrenia v existujúcich zariadeniach na mechanické biologické spracovanie, ak sú činnosti v rámci tohto opatrenia zamerané na zvýšenie energetickej účinnosti </w:t>
      </w:r>
      <w:r>
        <w:t>alebo prispôsobenie triedeného odpadu na činnosti recyklácie kompostovaného biologického odpadu a anaeróbnej digescie biologického odpadu za predpokladu, že takéto opatrenia v rámci tohto opatrenia nevedú k zvýšeniu kapacity zariadení na spracovanie odpadu</w:t>
      </w:r>
      <w:r>
        <w:t xml:space="preserve"> alebo k predĺženiu životnosti zariadení; v prípade ktorých sa poskytujú dôkazy na úrovni zariadenia.</w:t>
      </w:r>
    </w:p>
  </w:footnote>
  <w:footnote w:id="23">
    <w:p w14:paraId="1B1B0346" w14:textId="77777777" w:rsidR="002D49B0" w:rsidRDefault="00BF4125">
      <w:pPr>
        <w:pStyle w:val="FootnoteText"/>
        <w:ind w:left="0" w:firstLine="0"/>
      </w:pPr>
      <w:r>
        <w:rPr>
          <w:rStyle w:val="FootnoteReference"/>
        </w:rPr>
        <w:footnoteRef/>
      </w:r>
      <w:r>
        <w:t xml:space="preserve"> Okrem projektov v rámci tohto opatrenia v oblasti výroby elektrickej energie a/alebo tepla, ako aj súvisiacej prenosovej a distribučnej infraštruktúry v</w:t>
      </w:r>
      <w:r>
        <w:t>yužívajúcej zemný plyn, ktoré spĺňajú podmienky stanovené v prílohe III k technickému usmerneniu „nespôsobiť žiadne významné škody“ (2021/C58/01).</w:t>
      </w:r>
    </w:p>
  </w:footnote>
  <w:footnote w:id="24">
    <w:p w14:paraId="765941C2" w14:textId="77777777" w:rsidR="002D49B0" w:rsidRDefault="00BF4125">
      <w:pPr>
        <w:pStyle w:val="FootnoteText"/>
        <w:ind w:left="0" w:firstLine="0"/>
      </w:pPr>
      <w:r>
        <w:rPr>
          <w:rStyle w:val="FootnoteReference"/>
        </w:rPr>
        <w:footnoteRef/>
      </w:r>
      <w:r>
        <w:t xml:space="preserve"> Ak sa v rámci podporovanej činnosti dosiahnu predpokladané emisie skleníkových plynov, ktoré nie sú výrazne</w:t>
      </w:r>
      <w:r>
        <w:t xml:space="preserve"> nižšie ako príslušné referenčné hodnoty, malo by sa poskytnúť vysvetlenie dôvodov, prečo to nie je možné. Referenčné hodnoty stanovené pre bezodplatné prideľovanie kvót pre činnosti, ktoré patria do rozsahu pôsobnosti systému obchodovania s emisiami, ako </w:t>
      </w:r>
      <w:r>
        <w:t>sa stanovuje vo vykonávacom nariadení Komisie (EÚ) 2021/447.</w:t>
      </w:r>
    </w:p>
  </w:footnote>
  <w:footnote w:id="25">
    <w:p w14:paraId="593CAB8E" w14:textId="77777777" w:rsidR="002D49B0" w:rsidRDefault="00BF4125">
      <w:pPr>
        <w:spacing w:after="0" w:line="240" w:lineRule="auto"/>
        <w:jc w:val="both"/>
      </w:pPr>
      <w:r>
        <w:rPr>
          <w:rStyle w:val="FootnoteReference"/>
          <w:rFonts w:ascii="Times New Roman" w:hAnsi="Times New Roman" w:cs="Times New Roman"/>
          <w:sz w:val="20"/>
          <w:szCs w:val="20"/>
        </w:rPr>
        <w:footnoteRef/>
      </w:r>
      <w:r>
        <w:rPr>
          <w:rFonts w:ascii="Times New Roman" w:hAnsi="Times New Roman"/>
          <w:sz w:val="20"/>
        </w:rPr>
        <w:t xml:space="preserve"> Toto vylúčenie sa nevzťahuje na činnosti v rámci tohto opatrenia v zariadeniach určených výlučne na spracovanie nerecyklovateľného nebezpečného odpadu a na existujúce zariadenia, ak sú činnosti</w:t>
      </w:r>
      <w:r>
        <w:rPr>
          <w:rFonts w:ascii="Times New Roman" w:hAnsi="Times New Roman"/>
          <w:sz w:val="20"/>
        </w:rPr>
        <w:t xml:space="preserve"> v rámci tohto opatrenia zamerané na zvýšenie energetickej účinnosti, zachytávanie výfukových plynov na skladovanie alebo používanie alebo zhodnocovanie materiálov zo spaľovania popola za predpokladu, že takéto opatrenia v rámci tohto opatrenia nevedú k zv</w:t>
      </w:r>
      <w:r>
        <w:rPr>
          <w:rFonts w:ascii="Times New Roman" w:hAnsi="Times New Roman"/>
          <w:sz w:val="20"/>
        </w:rPr>
        <w:t>ýšeniu kapacity zariadení na spracovanie odpadu alebo k predĺženiu životnosti zariadení; v prípade ktorých sa poskytujú dôkazy na úrovni zariadenia.</w:t>
      </w:r>
    </w:p>
  </w:footnote>
  <w:footnote w:id="26">
    <w:p w14:paraId="078E5F00" w14:textId="77777777" w:rsidR="002D49B0" w:rsidRDefault="00BF4125">
      <w:pPr>
        <w:pStyle w:val="FootnoteText"/>
        <w:ind w:left="0" w:firstLine="0"/>
      </w:pPr>
      <w:r>
        <w:rPr>
          <w:rStyle w:val="FootnoteReference"/>
        </w:rPr>
        <w:footnoteRef/>
      </w:r>
      <w:r>
        <w:t xml:space="preserve"> Toto vylúčenie sa nevzťahuje na akcie v rámci tohto opatrenia v existujúcich zariadeniach na mechanické biologické spracovanie, ak sú činnosti v rámci tohto opatrenia zamerané na zvýšenie energetickej účinnosti alebo prispôsobenie triedeného odpadu na čin</w:t>
      </w:r>
      <w:r>
        <w:t xml:space="preserve">nosti recyklácie kompostovaného biologického odpadu a anaeróbnej digescie biologického odpadu za predpokladu, že takéto opatrenia v rámci tohto opatrenia nevedú k zvýšeniu kapacity zariadení na spracovanie odpadu alebo k predĺženiu životnosti zariadení; v </w:t>
      </w:r>
      <w:r>
        <w:t>prípade ktorých sa poskytujú dôkazy na úrovni zariadenia.</w:t>
      </w:r>
    </w:p>
  </w:footnote>
  <w:footnote w:id="27">
    <w:p w14:paraId="7BDF3280" w14:textId="77777777" w:rsidR="002D49B0" w:rsidRDefault="00BF4125">
      <w:pPr>
        <w:pStyle w:val="FootnoteText"/>
        <w:ind w:left="0" w:firstLine="0"/>
      </w:pPr>
      <w:r>
        <w:rPr>
          <w:rStyle w:val="FootnoteReference"/>
        </w:rPr>
        <w:footnoteRef/>
      </w:r>
      <w:r>
        <w:t xml:space="preserve"> Okrem projektov v rámci tohto opatrenia v oblasti výroby elektrickej energie a/alebo tepla, ako aj súvisiacej prenosovej a distribučnej infraštruktúry využívajúcej zemný plyn, ktoré spĺňajú podmie</w:t>
      </w:r>
      <w:r>
        <w:t>nky stanovené v prílohe III k technickému usmerneniu „nespôsobiť žiadne významné škody“ (2021/C58/01).</w:t>
      </w:r>
    </w:p>
  </w:footnote>
  <w:footnote w:id="28">
    <w:p w14:paraId="3CA15ED9" w14:textId="77777777" w:rsidR="002D49B0" w:rsidRDefault="00BF4125">
      <w:pPr>
        <w:pStyle w:val="FootnoteText"/>
        <w:ind w:left="0" w:firstLine="0"/>
      </w:pPr>
      <w:r>
        <w:rPr>
          <w:rStyle w:val="FootnoteReference"/>
        </w:rPr>
        <w:footnoteRef/>
      </w:r>
      <w:r>
        <w:t xml:space="preserve"> Ak sa v rámci podporovanej činnosti dosiahnu predpokladané emisie skleníkových plynov, ktoré nie sú výrazne nižšie ako príslušné referenčné hodnoty, ma</w:t>
      </w:r>
      <w:r>
        <w:t>lo by sa poskytnúť vysvetlenie dôvodov, prečo to nie je možné. Referenčné hodnoty stanovené pre bezodplatné prideľovanie kvót pre činnosti, ktoré patria do rozsahu pôsobnosti systému obchodovania s emisiami, ako sa stanovuje vo vykonávacom nariadení Komisi</w:t>
      </w:r>
      <w:r>
        <w:t>e (EÚ) 2021/447.</w:t>
      </w:r>
    </w:p>
  </w:footnote>
  <w:footnote w:id="29">
    <w:p w14:paraId="15C07889" w14:textId="77777777" w:rsidR="002D49B0" w:rsidRDefault="00BF4125">
      <w:pPr>
        <w:spacing w:after="0"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Toto vylúčenie sa nevzťahuje na činnosti v rámci tohto opatrenia v zariadeniach určených výlučne na spracovanie nerecyklovateľného nebezpečného odpadu a na existujúce zariadenia, ak sú činnosti v rámci tohto opatrenia zamerané na zvýšeni</w:t>
      </w:r>
      <w:r>
        <w:rPr>
          <w:rFonts w:ascii="Times New Roman" w:hAnsi="Times New Roman"/>
          <w:sz w:val="20"/>
        </w:rPr>
        <w:t>e energetickej účinnosti, zachytávanie výfukových plynov na skladovanie alebo používanie alebo zhodnocovanie materiálov zo spaľovania popola za predpokladu, že takéto opatrenia v rámci tohto opatrenia nevedú k zvýšeniu kapacity zariadení na spracovanie odp</w:t>
      </w:r>
      <w:r>
        <w:rPr>
          <w:rFonts w:ascii="Times New Roman" w:hAnsi="Times New Roman"/>
          <w:sz w:val="20"/>
        </w:rPr>
        <w:t>adu alebo k predĺženiu životnosti zariadení; v prípade ktorých sa poskytujú dôkazy na úrovni zariadenia.</w:t>
      </w:r>
    </w:p>
  </w:footnote>
  <w:footnote w:id="30">
    <w:p w14:paraId="13DCE11C" w14:textId="77777777" w:rsidR="002D49B0" w:rsidRDefault="00BF4125">
      <w:pPr>
        <w:pStyle w:val="FootnoteText"/>
        <w:ind w:left="0" w:firstLine="0"/>
      </w:pPr>
      <w:r>
        <w:rPr>
          <w:rStyle w:val="FootnoteReference"/>
        </w:rPr>
        <w:footnoteRef/>
      </w:r>
      <w:r>
        <w:t xml:space="preserve"> Toto vylúčenie sa nevzťahuje na akcie v rámci tohto opatrenia v existujúcich zariadeniach na mechanické biologické spracovanie, ak sú činnosti v rámc</w:t>
      </w:r>
      <w:r>
        <w:t>i tohto opatrenia zamerané na zvýšenie energetickej účinnosti alebo prispôsobenie triedeného odpadu na činnosti recyklácie kompostovaného biologického odpadu a anaeróbnej digescie biologického odpadu za predpokladu, že takéto opatrenia v rámci tohto opatre</w:t>
      </w:r>
      <w:r>
        <w:t>nia nevedú k zvýšeniu kapacity zariadení na spracovanie odpadu alebo k predĺženiu životnosti zariadení; v prípade ktorých sa poskytujú dôkazy na úrovni zariadenia.</w:t>
      </w:r>
    </w:p>
  </w:footnote>
  <w:footnote w:id="31">
    <w:p w14:paraId="1BB4B1A3" w14:textId="77777777" w:rsidR="002D49B0" w:rsidRDefault="00BF4125">
      <w:pPr>
        <w:pStyle w:val="FootnoteText"/>
        <w:ind w:left="0" w:firstLine="0"/>
        <w:rPr>
          <w:rStyle w:val="FootnoteReference"/>
          <w:vertAlign w:val="baseline"/>
        </w:rPr>
      </w:pPr>
      <w:r>
        <w:rPr>
          <w:rStyle w:val="FootnoteReference"/>
        </w:rPr>
        <w:footnoteRef/>
      </w:r>
      <w:r>
        <w:rPr>
          <w:rStyle w:val="FootnoteReference"/>
        </w:rPr>
        <w:t xml:space="preserve"> </w:t>
      </w:r>
      <w:r>
        <w:rPr>
          <w:rStyle w:val="FootnoteReference"/>
          <w:vertAlign w:val="baseline"/>
        </w:rPr>
        <w:t>Okrem projektov v rámci tohto opatrenia v oblasti výroby elektrickej energie a/alebo tepla</w:t>
      </w:r>
      <w:r>
        <w:rPr>
          <w:rStyle w:val="FootnoteReference"/>
          <w:vertAlign w:val="baseline"/>
        </w:rPr>
        <w:t>, ako aj súvisiacej prenosovej a distribučnej infraštruktúry využívajúcej zemný plyn, ktoré spĺňajú podmienky stanovené v prílohe III k technickému usmerneniu „nespôsobiť žiadne významné škody“ (2021/C58/01).</w:t>
      </w:r>
    </w:p>
  </w:footnote>
  <w:footnote w:id="32">
    <w:p w14:paraId="7E0F721C" w14:textId="77777777" w:rsidR="002D49B0" w:rsidRDefault="00BF4125">
      <w:pPr>
        <w:pStyle w:val="FootnoteText"/>
        <w:ind w:left="0" w:firstLine="0"/>
        <w:rPr>
          <w:rStyle w:val="FootnoteReference"/>
        </w:rPr>
      </w:pPr>
      <w:r>
        <w:rPr>
          <w:rStyle w:val="FootnoteReference"/>
        </w:rPr>
        <w:footnoteRef/>
      </w:r>
      <w:r>
        <w:rPr>
          <w:rStyle w:val="FootnoteReference"/>
        </w:rPr>
        <w:t xml:space="preserve"> </w:t>
      </w:r>
      <w:r>
        <w:rPr>
          <w:rStyle w:val="FootnoteReference"/>
          <w:vertAlign w:val="baseline"/>
        </w:rPr>
        <w:t xml:space="preserve">Ak sa v rámci podporovanej činnosti dosiahnu </w:t>
      </w:r>
      <w:r>
        <w:rPr>
          <w:rStyle w:val="FootnoteReference"/>
          <w:vertAlign w:val="baseline"/>
        </w:rPr>
        <w:t>predpokladané emisie skleníkových plynov, ktoré nie sú výrazne nižšie ako príslušné referenčné hodnoty, malo by sa poskytnúť vysvetlenie dôvodov, prečo to nie je možné. Referenčné hodnoty stanovené pre bezodplatné prideľovanie kvót pre činnosti, ktoré patr</w:t>
      </w:r>
      <w:r>
        <w:rPr>
          <w:rStyle w:val="FootnoteReference"/>
          <w:vertAlign w:val="baseline"/>
        </w:rPr>
        <w:t>ia do rozsahu pôsobnosti systému obchodovania s emisiami, ako sa stanovuje vo vykonávacom nariadení Komisie (EÚ) 2021/447.</w:t>
      </w:r>
    </w:p>
  </w:footnote>
  <w:footnote w:id="33">
    <w:p w14:paraId="31998958" w14:textId="77777777" w:rsidR="002D49B0" w:rsidRDefault="00BF4125">
      <w:pPr>
        <w:pStyle w:val="FootnoteText"/>
        <w:ind w:left="0" w:firstLine="0"/>
        <w:rPr>
          <w:rStyle w:val="FootnoteReference"/>
        </w:rPr>
      </w:pPr>
      <w:r>
        <w:rPr>
          <w:rStyle w:val="FootnoteReference"/>
        </w:rPr>
        <w:footnoteRef/>
      </w:r>
      <w:r>
        <w:rPr>
          <w:rStyle w:val="FootnoteReference"/>
        </w:rPr>
        <w:t xml:space="preserve"> </w:t>
      </w:r>
      <w:r>
        <w:rPr>
          <w:rStyle w:val="FootnoteReference"/>
          <w:vertAlign w:val="baseline"/>
        </w:rPr>
        <w:t xml:space="preserve">Toto vylúčenie sa nevzťahuje na činnosti v rámci tohto opatrenia v zariadeniach určených výlučne na spracovanie nerecyklovateľného </w:t>
      </w:r>
      <w:r>
        <w:rPr>
          <w:rStyle w:val="FootnoteReference"/>
          <w:vertAlign w:val="baseline"/>
        </w:rPr>
        <w:t>nebezpečného odpadu a na existujúce zariadenia, ak sú činnosti v rámci tohto opatrenia zamerané na zvýšenie energetickej účinnosti, zachytávanie výfukových plynov na skladovanie alebo používanie alebo zhodnocovanie materiálov zo spaľovania popola za predpo</w:t>
      </w:r>
      <w:r>
        <w:rPr>
          <w:rStyle w:val="FootnoteReference"/>
          <w:vertAlign w:val="baseline"/>
        </w:rPr>
        <w:t>kladu, že takéto opatrenia v rámci tohto opatrenia nevedú k zvýšeniu kapacity zariadení na spracovanie odpadu alebo k predĺženiu životnosti zariadení; v prípade ktorých sa poskytujú dôkazy na úrovni zariadenia.</w:t>
      </w:r>
    </w:p>
  </w:footnote>
  <w:footnote w:id="34">
    <w:p w14:paraId="6A36C178" w14:textId="77777777" w:rsidR="002D49B0" w:rsidRDefault="00BF4125">
      <w:pPr>
        <w:pStyle w:val="FootnoteText"/>
        <w:ind w:left="0" w:firstLine="0"/>
      </w:pPr>
      <w:r>
        <w:rPr>
          <w:rStyle w:val="FootnoteReference"/>
        </w:rPr>
        <w:footnoteRef/>
      </w:r>
      <w:r>
        <w:rPr>
          <w:rStyle w:val="FootnoteReference"/>
        </w:rPr>
        <w:t xml:space="preserve"> </w:t>
      </w:r>
      <w:r>
        <w:rPr>
          <w:rStyle w:val="FootnoteReference"/>
          <w:vertAlign w:val="baseline"/>
        </w:rPr>
        <w:t>Toto vylúčenie sa nevzťahuje na akcie v rám</w:t>
      </w:r>
      <w:r>
        <w:rPr>
          <w:rStyle w:val="FootnoteReference"/>
          <w:vertAlign w:val="baseline"/>
        </w:rPr>
        <w:t>ci tohto opatrenia v existujúcich zariadeniach na mechanické biologické spracovanie, ak sú činnosti v rámci tohto opatrenia zamerané na zvýšenie energetickej účinnosti alebo prispôsobenie triedeného odpadu na činnosti recyklácie kompostovaného biologického</w:t>
      </w:r>
      <w:r>
        <w:rPr>
          <w:rStyle w:val="FootnoteReference"/>
          <w:vertAlign w:val="baseline"/>
        </w:rPr>
        <w:t xml:space="preserve"> odpadu a anaeróbnej digescie biologického odpadu za predpokladu, že takéto opatrenia v rámci tohto opatrenia nevedú k zvýšeniu kapacity zariadení na spracovanie odpadu alebo k predĺženiu životnosti zariadení; v prípade ktorých sa poskytujú dôkazy na úrovn</w:t>
      </w:r>
      <w:r>
        <w:rPr>
          <w:rStyle w:val="FootnoteReference"/>
          <w:vertAlign w:val="baseline"/>
        </w:rPr>
        <w:t>i zariadenia.</w:t>
      </w:r>
    </w:p>
  </w:footnote>
  <w:footnote w:id="35">
    <w:p w14:paraId="51A903E4" w14:textId="77777777" w:rsidR="002D49B0" w:rsidRDefault="00BF4125">
      <w:pPr>
        <w:pStyle w:val="FootnoteText"/>
        <w:ind w:left="0" w:firstLine="0"/>
      </w:pPr>
      <w:r>
        <w:rPr>
          <w:rStyle w:val="FootnoteReference"/>
        </w:rPr>
        <w:footnoteRef/>
      </w:r>
      <w:r>
        <w:t xml:space="preserve"> Okrem projektov v rámci tohto opatrenia v oblasti výroby elektrickej energie a/alebo tepla, ako aj súvisiacej prenosovej a distribučnej infraštruktúry využívajúcej zemný plyn, ktoré spĺňajú podmienky stanovené v prílohe III k technickému us</w:t>
      </w:r>
      <w:r>
        <w:t>merneniu „nespôsobiť žiadne významné škody“ (2021/C58/01).</w:t>
      </w:r>
    </w:p>
  </w:footnote>
  <w:footnote w:id="36">
    <w:p w14:paraId="5C071FDD" w14:textId="77777777" w:rsidR="002D49B0" w:rsidRDefault="00BF4125">
      <w:pPr>
        <w:pStyle w:val="FootnoteText"/>
        <w:ind w:left="0" w:firstLine="0"/>
      </w:pPr>
      <w:r>
        <w:rPr>
          <w:rStyle w:val="FootnoteReference"/>
        </w:rPr>
        <w:footnoteRef/>
      </w:r>
      <w:r>
        <w:t xml:space="preserve"> Ak sa v rámci podporovanej činnosti dosiahnu predpokladané emisie skleníkových plynov, ktoré nie sú výrazne nižšie ako príslušné referenčné hodnoty, malo by sa poskytnúť vysvetlenie dôvodov, preč</w:t>
      </w:r>
      <w:r>
        <w:t>o to nie je možné. Referenčné hodnoty stanovené pre bezodplatné prideľovanie kvót pre činnosti, ktoré patria do rozsahu pôsobnosti systému obchodovania s emisiami, ako sa stanovuje vo vykonávacom nariadení Komisie (EÚ) 2021/447.</w:t>
      </w:r>
    </w:p>
  </w:footnote>
  <w:footnote w:id="37">
    <w:p w14:paraId="185E398E" w14:textId="77777777" w:rsidR="002D49B0" w:rsidRDefault="00BF4125">
      <w:pPr>
        <w:spacing w:after="0" w:line="240" w:lineRule="auto"/>
        <w:jc w:val="both"/>
        <w:rPr>
          <w:rFonts w:ascii="Times New Roman" w:hAnsi="Times New Roman" w:cs="Times New Roman"/>
        </w:rPr>
      </w:pPr>
      <w:r>
        <w:rPr>
          <w:rStyle w:val="FootnoteReference"/>
          <w:rFonts w:ascii="Times New Roman" w:hAnsi="Times New Roman" w:cs="Times New Roman"/>
          <w:sz w:val="20"/>
          <w:szCs w:val="20"/>
        </w:rPr>
        <w:footnoteRef/>
      </w:r>
      <w:r>
        <w:rPr>
          <w:rFonts w:ascii="Times New Roman" w:hAnsi="Times New Roman"/>
          <w:sz w:val="20"/>
        </w:rPr>
        <w:t xml:space="preserve"> Toto vylúčenie sa nevzťah</w:t>
      </w:r>
      <w:r>
        <w:rPr>
          <w:rFonts w:ascii="Times New Roman" w:hAnsi="Times New Roman"/>
          <w:sz w:val="20"/>
        </w:rPr>
        <w:t>uje na činnosti v rámci tohto opatrenia v zariadeniach určených výlučne na spracovanie nerecyklovateľného nebezpečného odpadu a na existujúce zariadenia, ak sú činnosti v rámci tohto opatrenia zamerané na zvýšenie energetickej účinnosti, zachytávanie výfuk</w:t>
      </w:r>
      <w:r>
        <w:rPr>
          <w:rFonts w:ascii="Times New Roman" w:hAnsi="Times New Roman"/>
          <w:sz w:val="20"/>
        </w:rPr>
        <w:t>ových plynov na skladovanie alebo používanie alebo zhodnocovanie materiálov zo spaľovania popola za predpokladu, že takéto opatrenia v rámci tohto opatrenia nevedú k zvýšeniu kapacity zariadení na spracovanie odpadu alebo k predĺženiu životnosti zariadení;</w:t>
      </w:r>
      <w:r>
        <w:rPr>
          <w:rFonts w:ascii="Times New Roman" w:hAnsi="Times New Roman"/>
          <w:sz w:val="20"/>
        </w:rPr>
        <w:t xml:space="preserve"> v prípade ktorých sa poskytujú dôkazy na úrovni zariadenia.</w:t>
      </w:r>
    </w:p>
  </w:footnote>
  <w:footnote w:id="38">
    <w:p w14:paraId="71D2AF03" w14:textId="77777777" w:rsidR="002D49B0" w:rsidRDefault="00BF4125">
      <w:pPr>
        <w:pStyle w:val="FootnoteText"/>
        <w:ind w:left="0" w:firstLine="0"/>
      </w:pPr>
      <w:r>
        <w:rPr>
          <w:rStyle w:val="FootnoteReference"/>
        </w:rPr>
        <w:footnoteRef/>
      </w:r>
      <w:r>
        <w:t xml:space="preserve"> Toto vylúčenie sa nevzťahuje na akcie v rámci tohto opatrenia v existujúcich zariadeniach na mechanické biologické spracovanie, ak sú činnosti v rámci tohto opatrenia zamerané na zvýšenie energetickej účinnosti alebo prispôsobenie triedeného odpadu na čin</w:t>
      </w:r>
      <w:r>
        <w:t xml:space="preserve">nosti recyklácie kompostovaného biologického odpadu a anaeróbnej digescie biologického odpadu za predpokladu, že takéto opatrenia v rámci tohto opatrenia nevedú k zvýšeniu kapacity zariadení na spracovanie odpadu alebo k predĺženiu životnosti zariadení; v </w:t>
      </w:r>
      <w:r>
        <w:t>prípade ktorých sa poskytujú dôkazy na úrovni zariadenia.</w:t>
      </w:r>
    </w:p>
  </w:footnote>
  <w:footnote w:id="39">
    <w:p w14:paraId="3A90E94C" w14:textId="77777777" w:rsidR="002D49B0" w:rsidRDefault="00BF4125">
      <w:pPr>
        <w:pStyle w:val="FootnoteText"/>
        <w:ind w:left="0" w:firstLine="0"/>
      </w:pPr>
      <w:r>
        <w:rPr>
          <w:rStyle w:val="FootnoteReference"/>
        </w:rPr>
        <w:footnoteRef/>
      </w:r>
      <w:r>
        <w:t xml:space="preserve"> Okrem projektov v rámci tohto opatrenia v oblasti výroby elektrickej energie a/alebo tepla, ako aj súvisiacej prenosovej a distribučnej infraštruktúry využívajúcej zemný plyn, ktoré spĺňajú podmie</w:t>
      </w:r>
      <w:r>
        <w:t>nky stanovené v prílohe III k technickému usmerneniu „nespôsobiť žiadne významné škody“ (2021/C58/01).</w:t>
      </w:r>
    </w:p>
  </w:footnote>
  <w:footnote w:id="40">
    <w:p w14:paraId="6452CEF7" w14:textId="77777777" w:rsidR="002D49B0" w:rsidRDefault="00BF4125">
      <w:pPr>
        <w:pStyle w:val="FootnoteText"/>
        <w:ind w:left="0" w:firstLine="0"/>
      </w:pPr>
      <w:r>
        <w:rPr>
          <w:rStyle w:val="FootnoteReference"/>
        </w:rPr>
        <w:footnoteRef/>
      </w:r>
      <w:r>
        <w:t xml:space="preserve"> Ak sa v rámci podporovanej činnosti dosiahnu predpokladané emisie skleníkových plynov, ktoré nie sú výrazne nižšie ako príslušné referenčné hodnoty, ma</w:t>
      </w:r>
      <w:r>
        <w:t>lo by sa poskytnúť vysvetlenie dôvodov, prečo to nie je možné. Referenčné hodnoty stanovené pre bezodplatné prideľovanie kvót pre činnosti, ktoré patria do rozsahu pôsobnosti systému obchodovania s emisiami, ako sa stanovuje vo vykonávacom nariadení Komisi</w:t>
      </w:r>
      <w:r>
        <w:t>e (EÚ) 2021/447.</w:t>
      </w:r>
    </w:p>
  </w:footnote>
  <w:footnote w:id="41">
    <w:p w14:paraId="57DAC913" w14:textId="77777777" w:rsidR="002D49B0" w:rsidRDefault="00BF4125">
      <w:pPr>
        <w:spacing w:after="0" w:line="240" w:lineRule="auto"/>
        <w:jc w:val="both"/>
        <w:rPr>
          <w:rFonts w:ascii="Times New Roman" w:hAnsi="Times New Roman" w:cs="Times New Roman"/>
        </w:rPr>
      </w:pPr>
      <w:r>
        <w:rPr>
          <w:rStyle w:val="FootnoteReference"/>
          <w:rFonts w:ascii="Times New Roman" w:hAnsi="Times New Roman" w:cs="Times New Roman"/>
          <w:sz w:val="20"/>
          <w:szCs w:val="20"/>
        </w:rPr>
        <w:footnoteRef/>
      </w:r>
      <w:r>
        <w:rPr>
          <w:rFonts w:ascii="Times New Roman" w:hAnsi="Times New Roman"/>
          <w:sz w:val="20"/>
        </w:rPr>
        <w:t xml:space="preserve"> Toto vylúčenie sa nevzťahuje na činnosti v rámci tohto opatrenia v zariadeniach určených výlučne na spracovanie nerecyklovateľného nebezpečného odpadu a na existujúce zariadenia, ak sú činnosti v rámci tohto opatrenia zamerané na zvýšeni</w:t>
      </w:r>
      <w:r>
        <w:rPr>
          <w:rFonts w:ascii="Times New Roman" w:hAnsi="Times New Roman"/>
          <w:sz w:val="20"/>
        </w:rPr>
        <w:t>e energetickej účinnosti, zachytávanie výfukových plynov na skladovanie alebo používanie alebo zhodnocovanie materiálov zo spaľovania popola za predpokladu, že takéto opatrenia v rámci tohto opatrenia nevedú k zvýšeniu kapacity zariadení na spracovanie odp</w:t>
      </w:r>
      <w:r>
        <w:rPr>
          <w:rFonts w:ascii="Times New Roman" w:hAnsi="Times New Roman"/>
          <w:sz w:val="20"/>
        </w:rPr>
        <w:t>adu alebo k predĺženiu životnosti zariadení; v prípade ktorých sa poskytujú dôkazy na úrovni zariadenia.</w:t>
      </w:r>
    </w:p>
  </w:footnote>
  <w:footnote w:id="42">
    <w:p w14:paraId="7F60B497" w14:textId="77777777" w:rsidR="002D49B0" w:rsidRDefault="00BF4125">
      <w:pPr>
        <w:pStyle w:val="FootnoteText"/>
        <w:ind w:left="0" w:firstLine="0"/>
      </w:pPr>
      <w:r>
        <w:rPr>
          <w:rStyle w:val="FootnoteReference"/>
        </w:rPr>
        <w:footnoteRef/>
      </w:r>
      <w:r>
        <w:t xml:space="preserve"> Toto vylúčenie sa nevzťahuje na akcie v rámci tohto opatrenia v existujúcich zariadeniach na mechanické biologické spracovanie, ak sú činnosti v rámc</w:t>
      </w:r>
      <w:r>
        <w:t>i tohto opatrenia zamerané na zvýšenie energetickej účinnosti alebo prispôsobenie triedeného odpadu na činnosti recyklácie kompostovaného biologického odpadu a anaeróbnej digescie biologického odpadu za predpokladu, že takéto opatrenia v rámci tohto opatre</w:t>
      </w:r>
      <w:r>
        <w:t>nia nevedú k zvýšeniu kapacity zariadení na spracovanie odpadu alebo k predĺženiu životnosti zariadení; v prípade ktorých sa poskytujú dôkazy na úrovni zariadenia.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89C34" w14:textId="77777777" w:rsidR="00BF4125" w:rsidRPr="00BF4125" w:rsidRDefault="00BF4125" w:rsidP="00BF4125">
    <w:pPr>
      <w:pStyle w:val="HeaderCoverPag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FD7C2B" w14:textId="77777777" w:rsidR="002D49B0" w:rsidRDefault="002D49B0">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EF6A8" w14:textId="77777777" w:rsidR="002D49B0" w:rsidRDefault="002D49B0">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8B728" w14:textId="77777777" w:rsidR="002D49B0" w:rsidRDefault="002D49B0">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F12DB" w14:textId="77777777" w:rsidR="002D49B0" w:rsidRDefault="002D49B0">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A3ADD" w14:textId="77777777" w:rsidR="002D49B0" w:rsidRDefault="002D49B0">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4E924" w14:textId="77777777" w:rsidR="002D49B0" w:rsidRDefault="002D49B0">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D733A" w14:textId="77777777" w:rsidR="002D49B0" w:rsidRDefault="002D49B0">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EAEC7" w14:textId="77777777" w:rsidR="002D49B0" w:rsidRDefault="002D49B0">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8BB634" w14:textId="77777777" w:rsidR="002D49B0" w:rsidRDefault="002D49B0">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1AF15" w14:textId="77777777" w:rsidR="002D49B0" w:rsidRDefault="002D49B0">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F3403" w14:textId="77777777" w:rsidR="002D49B0" w:rsidRDefault="002D49B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8DF5C" w14:textId="77777777" w:rsidR="002D49B0" w:rsidRDefault="002D49B0">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69B52" w14:textId="77777777" w:rsidR="002D49B0" w:rsidRDefault="002D49B0">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9ADBF" w14:textId="77777777" w:rsidR="002D49B0" w:rsidRDefault="002D49B0">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C5384" w14:textId="77777777" w:rsidR="002D49B0" w:rsidRDefault="002D49B0">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12F0C" w14:textId="77777777" w:rsidR="002D49B0" w:rsidRDefault="002D49B0">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68A86" w14:textId="77777777" w:rsidR="002D49B0" w:rsidRDefault="002D49B0">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1178E" w14:textId="77777777" w:rsidR="002D49B0" w:rsidRDefault="002D49B0">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4CDA6" w14:textId="77777777" w:rsidR="002D49B0" w:rsidRDefault="002D49B0">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FA1BE" w14:textId="77777777" w:rsidR="002D49B0" w:rsidRDefault="002D49B0">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1BE6A" w14:textId="77777777" w:rsidR="002D49B0" w:rsidRDefault="002D49B0">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87EB7" w14:textId="77777777" w:rsidR="002D49B0" w:rsidRDefault="002D49B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CEE8A" w14:textId="77777777" w:rsidR="002D49B0" w:rsidRDefault="002D49B0">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B1313" w14:textId="77777777" w:rsidR="002D49B0" w:rsidRDefault="002D49B0">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2878A" w14:textId="77777777" w:rsidR="002D49B0" w:rsidRDefault="002D49B0">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9CBBE" w14:textId="77777777" w:rsidR="002D49B0" w:rsidRDefault="002D49B0">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DBB60" w14:textId="77777777" w:rsidR="002D49B0" w:rsidRDefault="002D49B0">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2E6B8" w14:textId="77777777" w:rsidR="002D49B0" w:rsidRDefault="002D49B0">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C6DB3C" w14:textId="77777777" w:rsidR="002D49B0" w:rsidRDefault="002D49B0">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F9A2F" w14:textId="77777777" w:rsidR="002D49B0" w:rsidRDefault="002D49B0">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D5D69" w14:textId="77777777" w:rsidR="002D49B0" w:rsidRDefault="002D49B0">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EDD79" w14:textId="77777777" w:rsidR="002D49B0" w:rsidRDefault="002D49B0">
    <w:pPr>
      <w:pStyle w:val="Header"/>
    </w:pP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A6173" w14:textId="77777777" w:rsidR="002D49B0" w:rsidRDefault="002D49B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0FD56" w14:textId="77777777" w:rsidR="002D49B0" w:rsidRDefault="002D49B0">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550CA" w14:textId="77777777" w:rsidR="002D49B0" w:rsidRDefault="002D49B0">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440B5" w14:textId="77777777" w:rsidR="002D49B0" w:rsidRDefault="002D49B0">
    <w:pPr>
      <w:pStyle w:val="Header"/>
    </w:pP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6575D" w14:textId="77777777" w:rsidR="002D49B0" w:rsidRDefault="002D49B0">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43CE7" w14:textId="77777777" w:rsidR="002D49B0" w:rsidRDefault="002D49B0">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4AC5A" w14:textId="77777777" w:rsidR="002D49B0" w:rsidRDefault="002D49B0">
    <w:pPr>
      <w:pStyle w:val="Header"/>
    </w:pP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07A7D" w14:textId="77777777" w:rsidR="002D49B0" w:rsidRDefault="002D49B0">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21102" w14:textId="77777777" w:rsidR="002D49B0" w:rsidRDefault="002D49B0">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DF0743" w14:textId="77777777" w:rsidR="002D49B0" w:rsidRDefault="002D49B0">
    <w:pPr>
      <w:pStyle w:val="Header"/>
    </w:pP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9B23B" w14:textId="77777777" w:rsidR="002D49B0" w:rsidRDefault="002D49B0">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F879B" w14:textId="77777777" w:rsidR="002D49B0" w:rsidRDefault="002D49B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704FC" w14:textId="77777777" w:rsidR="002D49B0" w:rsidRDefault="002D49B0">
    <w:pPr>
      <w:pStyle w:val="Header"/>
    </w:pP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ACADA" w14:textId="77777777" w:rsidR="002D49B0" w:rsidRDefault="002D49B0">
    <w:pPr>
      <w:pStyle w:val="Header"/>
    </w:pP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2D012" w14:textId="77777777" w:rsidR="002D49B0" w:rsidRDefault="002D49B0">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5BE0B" w14:textId="77777777" w:rsidR="002D49B0" w:rsidRDefault="002D49B0">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1ECEDB" w14:textId="77777777" w:rsidR="002D49B0" w:rsidRDefault="002D49B0">
    <w:pPr>
      <w:pStyle w:val="Header"/>
    </w:pP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A77E5" w14:textId="77777777" w:rsidR="002D49B0" w:rsidRDefault="002D49B0">
    <w:pPr>
      <w:pStyle w:val="Header"/>
    </w:pP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E6A2F" w14:textId="77777777" w:rsidR="002D49B0" w:rsidRDefault="002D49B0">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BD4B1" w14:textId="77777777" w:rsidR="002D49B0" w:rsidRDefault="002D49B0">
    <w:pPr>
      <w:pStyle w:val="Header"/>
    </w:pP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3DE9E" w14:textId="77777777" w:rsidR="002D49B0" w:rsidRDefault="002D49B0">
    <w:pPr>
      <w:pStyle w:val="Header"/>
    </w:pP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997C3" w14:textId="77777777" w:rsidR="002D49B0" w:rsidRDefault="002D49B0">
    <w:pPr>
      <w:pStyle w:val="Header"/>
    </w:pP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7B5DC6" w14:textId="77777777" w:rsidR="002D49B0" w:rsidRDefault="002D49B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2603C" w14:textId="77777777" w:rsidR="002D49B0" w:rsidRDefault="002D49B0">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247EE" w14:textId="77777777" w:rsidR="002D49B0" w:rsidRDefault="002D49B0">
    <w:pPr>
      <w:pStyle w:val="Header"/>
    </w:pPr>
  </w:p>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61643" w14:textId="77777777" w:rsidR="002D49B0" w:rsidRDefault="002D49B0">
    <w:pPr>
      <w:pStyle w:val="Header"/>
    </w:pPr>
  </w:p>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52861" w14:textId="77777777" w:rsidR="002D49B0" w:rsidRDefault="002D49B0">
    <w:pPr>
      <w:pStyle w:val="Header"/>
    </w:pP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FBA54" w14:textId="77777777" w:rsidR="002D49B0" w:rsidRDefault="002D49B0">
    <w:pPr>
      <w:pStyle w:val="Header"/>
    </w:pPr>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2E327" w14:textId="77777777" w:rsidR="002D49B0" w:rsidRDefault="002D49B0">
    <w:pPr>
      <w:pStyle w:val="Header"/>
    </w:pPr>
  </w:p>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1A2F4" w14:textId="77777777" w:rsidR="002D49B0" w:rsidRDefault="002D49B0">
    <w:pPr>
      <w:pStyle w:val="Header"/>
    </w:pP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EF785" w14:textId="77777777" w:rsidR="002D49B0" w:rsidRDefault="002D49B0">
    <w:pPr>
      <w:pStyle w:val="Header"/>
    </w:pPr>
  </w:p>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3F11C" w14:textId="77777777" w:rsidR="002D49B0" w:rsidRDefault="002D49B0">
    <w:pPr>
      <w:pStyle w:val="Header"/>
    </w:pPr>
  </w:p>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79990" w14:textId="77777777" w:rsidR="002D49B0" w:rsidRDefault="002D49B0">
    <w:pPr>
      <w:pStyle w:val="Header"/>
    </w:pPr>
  </w:p>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8A8710" w14:textId="77777777" w:rsidR="002D49B0" w:rsidRDefault="002D49B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46A31" w14:textId="77777777" w:rsidR="002D49B0" w:rsidRDefault="002D49B0">
    <w:pPr>
      <w:pStyle w:val="Header"/>
    </w:pPr>
  </w:p>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30604" w14:textId="77777777" w:rsidR="002D49B0" w:rsidRDefault="002D49B0">
    <w:pPr>
      <w:pStyle w:val="Header"/>
    </w:pPr>
  </w:p>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19B6F" w14:textId="77777777" w:rsidR="002D49B0" w:rsidRDefault="002D49B0">
    <w:pPr>
      <w:pStyle w:val="Header"/>
    </w:pPr>
  </w:p>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5AB90" w14:textId="77777777" w:rsidR="002D49B0" w:rsidRDefault="002D49B0">
    <w:pPr>
      <w:pStyle w:val="Header"/>
    </w:pPr>
  </w:p>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6D7D2" w14:textId="77777777" w:rsidR="002D49B0" w:rsidRDefault="002D49B0">
    <w:pPr>
      <w:pStyle w:val="Header"/>
    </w:pPr>
  </w:p>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20F3F" w14:textId="77777777" w:rsidR="002D49B0" w:rsidRDefault="002D49B0">
    <w:pPr>
      <w:pStyle w:val="Header"/>
    </w:pPr>
  </w:p>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937FC" w14:textId="77777777" w:rsidR="002D49B0" w:rsidRDefault="002D49B0">
    <w:pPr>
      <w:pStyle w:val="Header"/>
    </w:pPr>
  </w:p>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AEFCBD" w14:textId="77777777" w:rsidR="002D49B0" w:rsidRDefault="002D49B0">
    <w:pPr>
      <w:pStyle w:val="Header"/>
    </w:pPr>
  </w:p>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361EA" w14:textId="77777777" w:rsidR="002D49B0" w:rsidRDefault="002D49B0">
    <w:pPr>
      <w:pStyle w:val="Header"/>
    </w:pPr>
  </w:p>
</w:hdr>
</file>

<file path=word/header1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E85A5" w14:textId="77777777" w:rsidR="002D49B0" w:rsidRDefault="002D49B0">
    <w:pPr>
      <w:pStyle w:val="Header"/>
    </w:pPr>
  </w:p>
</w:hdr>
</file>

<file path=word/header1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6DFF26" w14:textId="77777777" w:rsidR="002D49B0" w:rsidRDefault="002D49B0">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EE1C0" w14:textId="77777777" w:rsidR="002D49B0" w:rsidRDefault="002D49B0">
    <w:pPr>
      <w:pStyle w:val="Header"/>
    </w:pPr>
  </w:p>
</w:hdr>
</file>

<file path=word/header1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BF7EC" w14:textId="77777777" w:rsidR="002D49B0" w:rsidRDefault="002D49B0">
    <w:pPr>
      <w:pStyle w:val="Header"/>
    </w:pPr>
  </w:p>
</w:hdr>
</file>

<file path=word/header1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F5243" w14:textId="77777777" w:rsidR="002D49B0" w:rsidRDefault="002D49B0">
    <w:pPr>
      <w:pStyle w:val="Header"/>
    </w:pPr>
  </w:p>
</w:hdr>
</file>

<file path=word/header1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6BAF8" w14:textId="77777777" w:rsidR="002D49B0" w:rsidRDefault="002D49B0">
    <w:pPr>
      <w:pStyle w:val="Header"/>
    </w:pPr>
  </w:p>
</w:hdr>
</file>

<file path=word/header1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7EE79" w14:textId="77777777" w:rsidR="002D49B0" w:rsidRDefault="002D49B0">
    <w:pPr>
      <w:pStyle w:val="Header"/>
    </w:pPr>
  </w:p>
</w:hdr>
</file>

<file path=word/header1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BF87C" w14:textId="77777777" w:rsidR="002D49B0" w:rsidRDefault="002D49B0">
    <w:pPr>
      <w:pStyle w:val="Header"/>
    </w:pPr>
  </w:p>
</w:hdr>
</file>

<file path=word/header1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3BB004" w14:textId="77777777" w:rsidR="002D49B0" w:rsidRDefault="002D49B0">
    <w:pPr>
      <w:pStyle w:val="Header"/>
    </w:pPr>
  </w:p>
</w:hdr>
</file>

<file path=word/header1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BDDD4" w14:textId="77777777" w:rsidR="002D49B0" w:rsidRDefault="002D49B0">
    <w:pPr>
      <w:pStyle w:val="Header"/>
    </w:pPr>
  </w:p>
</w:hdr>
</file>

<file path=word/header1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37000" w14:textId="77777777" w:rsidR="002D49B0" w:rsidRDefault="002D49B0">
    <w:pPr>
      <w:pStyle w:val="Header"/>
    </w:pPr>
  </w:p>
</w:hdr>
</file>

<file path=word/header1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1F416" w14:textId="77777777" w:rsidR="002D49B0" w:rsidRDefault="002D49B0">
    <w:pPr>
      <w:pStyle w:val="Header"/>
    </w:pPr>
  </w:p>
</w:hdr>
</file>

<file path=word/header1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DF613" w14:textId="77777777" w:rsidR="002D49B0" w:rsidRDefault="002D49B0">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1BAB4" w14:textId="77777777" w:rsidR="002D49B0" w:rsidRDefault="002D49B0">
    <w:pPr>
      <w:pStyle w:val="Header"/>
    </w:pPr>
  </w:p>
</w:hdr>
</file>

<file path=word/header1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1E1AF" w14:textId="77777777" w:rsidR="002D49B0" w:rsidRDefault="002D49B0">
    <w:pPr>
      <w:pStyle w:val="Header"/>
    </w:pPr>
  </w:p>
</w:hdr>
</file>

<file path=word/header1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F1B3D" w14:textId="77777777" w:rsidR="002D49B0" w:rsidRDefault="002D49B0">
    <w:pPr>
      <w:pStyle w:val="Header"/>
    </w:pPr>
  </w:p>
</w:hdr>
</file>

<file path=word/header1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91B8C" w14:textId="77777777" w:rsidR="002D49B0" w:rsidRDefault="002D49B0">
    <w:pPr>
      <w:pStyle w:val="Header"/>
    </w:pPr>
  </w:p>
</w:hdr>
</file>

<file path=word/header1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FC092" w14:textId="77777777" w:rsidR="002D49B0" w:rsidRDefault="002D49B0">
    <w:pPr>
      <w:pStyle w:val="Header"/>
    </w:pPr>
  </w:p>
</w:hdr>
</file>

<file path=word/header1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835BCB" w14:textId="77777777" w:rsidR="002D49B0" w:rsidRDefault="002D49B0">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939EA" w14:textId="77777777" w:rsidR="002D49B0" w:rsidRDefault="002D49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10062" w14:textId="77777777" w:rsidR="00BF4125" w:rsidRPr="00BF4125" w:rsidRDefault="00BF4125" w:rsidP="00BF4125">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1D120" w14:textId="77777777" w:rsidR="002D49B0" w:rsidRDefault="002D49B0">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B5B0F" w14:textId="77777777" w:rsidR="002D49B0" w:rsidRDefault="002D49B0">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82CF9" w14:textId="77777777" w:rsidR="002D49B0" w:rsidRDefault="002D49B0">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74053" w14:textId="77777777" w:rsidR="002D49B0" w:rsidRDefault="002D49B0">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78163" w14:textId="77777777" w:rsidR="002D49B0" w:rsidRDefault="002D49B0">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5FFB6" w14:textId="77777777" w:rsidR="002D49B0" w:rsidRDefault="002D49B0">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7C145" w14:textId="77777777" w:rsidR="002D49B0" w:rsidRDefault="002D49B0">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129197" w14:textId="77777777" w:rsidR="002D49B0" w:rsidRDefault="002D49B0">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59626" w14:textId="77777777" w:rsidR="002D49B0" w:rsidRDefault="002D49B0">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4C1F5" w14:textId="77777777" w:rsidR="002D49B0" w:rsidRDefault="002D49B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C48B6" w14:textId="77777777" w:rsidR="00BF4125" w:rsidRPr="00BF4125" w:rsidRDefault="00BF4125" w:rsidP="00BF4125">
    <w:pPr>
      <w:pStyle w:val="HeaderCoverPage"/>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8FA6E" w14:textId="77777777" w:rsidR="002D49B0" w:rsidRDefault="002D49B0">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FB6C1" w14:textId="77777777" w:rsidR="002D49B0" w:rsidRDefault="002D49B0">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A04C4" w14:textId="77777777" w:rsidR="002D49B0" w:rsidRDefault="002D49B0">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1E2FD" w14:textId="77777777" w:rsidR="002D49B0" w:rsidRDefault="002D49B0">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63D3F6" w14:textId="77777777" w:rsidR="002D49B0" w:rsidRDefault="002D49B0">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2C297" w14:textId="77777777" w:rsidR="002D49B0" w:rsidRDefault="002D49B0">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8470B" w14:textId="77777777" w:rsidR="002D49B0" w:rsidRDefault="002D49B0">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FBF87B" w14:textId="77777777" w:rsidR="002D49B0" w:rsidRDefault="002D49B0">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1ED81" w14:textId="77777777" w:rsidR="002D49B0" w:rsidRDefault="002D49B0">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090C1" w14:textId="77777777" w:rsidR="002D49B0" w:rsidRDefault="002D49B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2C7B4" w14:textId="77777777" w:rsidR="002D49B0" w:rsidRDefault="002D49B0">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FBEA5" w14:textId="77777777" w:rsidR="002D49B0" w:rsidRDefault="002D49B0">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52D48" w14:textId="77777777" w:rsidR="002D49B0" w:rsidRDefault="002D49B0">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B34F23" w14:textId="77777777" w:rsidR="002D49B0" w:rsidRDefault="002D49B0">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2FB1C" w14:textId="77777777" w:rsidR="002D49B0" w:rsidRDefault="002D49B0">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C7EB7A" w14:textId="77777777" w:rsidR="002D49B0" w:rsidRDefault="002D49B0">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CB4AB7" w14:textId="77777777" w:rsidR="002D49B0" w:rsidRDefault="002D49B0">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91C9E" w14:textId="77777777" w:rsidR="002D49B0" w:rsidRDefault="002D49B0">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971F8" w14:textId="77777777" w:rsidR="002D49B0" w:rsidRDefault="002D49B0">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7CD31" w14:textId="77777777" w:rsidR="002D49B0" w:rsidRDefault="002D49B0">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11E8F" w14:textId="77777777" w:rsidR="002D49B0" w:rsidRDefault="002D49B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A560C3" w14:textId="77777777" w:rsidR="002D49B0" w:rsidRDefault="00BF4125">
    <w:pPr>
      <w:pStyle w:val="HeaderCouncilLarge"/>
    </w:pPr>
    <w:r>
      <w:t> </w: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99B82" w14:textId="77777777" w:rsidR="002D49B0" w:rsidRDefault="002D49B0">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46C7FE" w14:textId="77777777" w:rsidR="002D49B0" w:rsidRDefault="002D49B0">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E359D" w14:textId="77777777" w:rsidR="002D49B0" w:rsidRDefault="002D49B0">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73942" w14:textId="77777777" w:rsidR="002D49B0" w:rsidRDefault="002D49B0">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B81091" w14:textId="77777777" w:rsidR="002D49B0" w:rsidRDefault="002D49B0">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69C6E" w14:textId="77777777" w:rsidR="002D49B0" w:rsidRDefault="002D49B0">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867B7" w14:textId="77777777" w:rsidR="002D49B0" w:rsidRDefault="002D49B0">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5EF5C" w14:textId="77777777" w:rsidR="002D49B0" w:rsidRDefault="002D49B0">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C8BB5" w14:textId="77777777" w:rsidR="002D49B0" w:rsidRDefault="002D49B0">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EEC8C" w14:textId="77777777" w:rsidR="002D49B0" w:rsidRDefault="002D49B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BA830" w14:textId="77777777" w:rsidR="002D49B0" w:rsidRDefault="002D49B0">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33D953" w14:textId="77777777" w:rsidR="002D49B0" w:rsidRDefault="002D49B0">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1DF38" w14:textId="77777777" w:rsidR="002D49B0" w:rsidRDefault="002D49B0">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77483" w14:textId="77777777" w:rsidR="002D49B0" w:rsidRDefault="002D49B0">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050E4" w14:textId="77777777" w:rsidR="002D49B0" w:rsidRDefault="002D49B0">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940C8" w14:textId="77777777" w:rsidR="002D49B0" w:rsidRDefault="002D49B0">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CF597" w14:textId="509C7276" w:rsidR="002D49B0" w:rsidRDefault="002D49B0">
    <w:pPr>
      <w:pStyle w:val="Header"/>
      <w:jc w:val="center"/>
    </w:pPr>
  </w:p>
  <w:p w14:paraId="510D0889" w14:textId="77777777" w:rsidR="002D49B0" w:rsidRDefault="002D49B0">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25736" w14:textId="77777777" w:rsidR="002D49B0" w:rsidRDefault="002D49B0">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A5792" w14:textId="77777777" w:rsidR="002D49B0" w:rsidRDefault="002D49B0">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CD0B00" w14:textId="77777777" w:rsidR="002D49B0" w:rsidRDefault="002D49B0">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44AAA" w14:textId="77777777" w:rsidR="002D49B0" w:rsidRDefault="002D49B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22A60" w14:textId="77777777" w:rsidR="002D49B0" w:rsidRDefault="002D49B0">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4706C" w14:textId="77777777" w:rsidR="002D49B0" w:rsidRDefault="002D49B0">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C72714" w14:textId="77777777" w:rsidR="002D49B0" w:rsidRDefault="002D49B0">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77E1B" w14:textId="77777777" w:rsidR="002D49B0" w:rsidRDefault="002D49B0">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F362B" w14:textId="77777777" w:rsidR="002D49B0" w:rsidRDefault="002D49B0">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FB6CED" w14:textId="77777777" w:rsidR="002D49B0" w:rsidRDefault="002D49B0">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4DF5BC" w14:textId="77777777" w:rsidR="002D49B0" w:rsidRDefault="002D49B0">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F7866" w14:textId="77777777" w:rsidR="002D49B0" w:rsidRDefault="002D49B0">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323A8D" w14:textId="77777777" w:rsidR="002D49B0" w:rsidRDefault="002D49B0">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1DB3E" w14:textId="77777777" w:rsidR="002D49B0" w:rsidRDefault="002D49B0">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60419" w14:textId="77777777" w:rsidR="002D49B0" w:rsidRDefault="002D49B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189E7" w14:textId="77777777" w:rsidR="002D49B0" w:rsidRDefault="002D49B0">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70D823" w14:textId="77777777" w:rsidR="002D49B0" w:rsidRDefault="002D49B0">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FFDC98" w14:textId="77777777" w:rsidR="002D49B0" w:rsidRDefault="002D49B0">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5D238" w14:textId="77777777" w:rsidR="002D49B0" w:rsidRDefault="002D49B0">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0A310" w14:textId="77777777" w:rsidR="002D49B0" w:rsidRDefault="002D49B0">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60845" w14:textId="77777777" w:rsidR="002D49B0" w:rsidRDefault="002D49B0">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8C670" w14:textId="77777777" w:rsidR="002D49B0" w:rsidRDefault="002D49B0">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48A4B" w14:textId="77777777" w:rsidR="002D49B0" w:rsidRDefault="002D49B0">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5CC12" w14:textId="77777777" w:rsidR="002D49B0" w:rsidRDefault="002D49B0">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F2B0C" w14:textId="77777777" w:rsidR="002D49B0" w:rsidRDefault="002D49B0">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6D80F" w14:textId="77777777" w:rsidR="002D49B0" w:rsidRDefault="002D49B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B41FE" w14:textId="77777777" w:rsidR="002D49B0" w:rsidRDefault="002D49B0">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FFE78" w14:textId="77777777" w:rsidR="002D49B0" w:rsidRDefault="002D49B0">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B33B8" w14:textId="77777777" w:rsidR="002D49B0" w:rsidRDefault="002D49B0">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53A56" w14:textId="77777777" w:rsidR="002D49B0" w:rsidRDefault="002D49B0">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8C6D0" w14:textId="77777777" w:rsidR="002D49B0" w:rsidRDefault="002D49B0">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65982" w14:textId="77777777" w:rsidR="002D49B0" w:rsidRDefault="002D49B0">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FAEDA" w14:textId="77777777" w:rsidR="002D49B0" w:rsidRDefault="002D49B0">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FA446" w14:textId="77777777" w:rsidR="002D49B0" w:rsidRDefault="002D49B0">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57A99" w14:textId="77777777" w:rsidR="002D49B0" w:rsidRDefault="002D49B0">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8C759" w14:textId="77777777" w:rsidR="002D49B0" w:rsidRDefault="002D49B0">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3AE84" w14:textId="77777777" w:rsidR="002D49B0" w:rsidRDefault="002D49B0">
    <w:pPr>
      <w:pStyle w:val="Header"/>
    </w:pPr>
  </w:p>
</w:hdr>
</file>

<file path=word/intelligence2.xml><?xml version="1.0" encoding="utf-8"?>
<int2:intelligence xmlns:int2="http://schemas.microsoft.com/office/intelligence/2020/intelligence" xmlns:oel="http://schemas.microsoft.com/office/2019/extlst">
  <int2:observations>
    <int2:textHash int2:hashCode="1RcjimNWjCvAqU" int2:id="1byL0n9n">
      <int2:state int2:value="Rejected" int2:type="AugLoop_Text_Critique"/>
    </int2:textHash>
    <int2:textHash int2:hashCode="0SD8ostRAPjjYa" int2:id="3VirOZZk">
      <int2:state int2:value="Rejected" int2:type="AugLoop_Text_Critique"/>
    </int2:textHash>
    <int2:textHash int2:hashCode="YFVnNQBLESNkvH" int2:id="D7mqEvF6">
      <int2:state int2:value="Rejected" int2:type="AugLoop_Text_Critique"/>
    </int2:textHash>
    <int2:textHash int2:hashCode="F8WBIRZ+E/D3/L" int2:id="IgCDTn9P">
      <int2:state int2:value="Rejected" int2:type="AugLoop_Text_Critique"/>
    </int2:textHash>
    <int2:textHash int2:hashCode="+4iRv9ld5PONSt" int2:id="SqgFDCx2">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71682140"/>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BBC045FC"/>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B4EC6180"/>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D31E9FD2"/>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1321A28"/>
    <w:multiLevelType w:val="multilevel"/>
    <w:tmpl w:val="7174EE0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 w15:restartNumberingAfterBreak="0">
    <w:nsid w:val="02A22527"/>
    <w:multiLevelType w:val="multilevel"/>
    <w:tmpl w:val="F63276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6D42E32"/>
    <w:multiLevelType w:val="hybridMultilevel"/>
    <w:tmpl w:val="17A42E36"/>
    <w:lvl w:ilvl="0" w:tplc="58B0CEB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764457B"/>
    <w:multiLevelType w:val="multilevel"/>
    <w:tmpl w:val="905ED7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7F6236F"/>
    <w:multiLevelType w:val="multilevel"/>
    <w:tmpl w:val="1F7410D2"/>
    <w:lvl w:ilvl="0">
      <w:start w:val="1"/>
      <w:numFmt w:val="decimal"/>
      <w:lvlText w:val="%1."/>
      <w:lvlJc w:val="left"/>
      <w:pPr>
        <w:ind w:left="476" w:hanging="476"/>
      </w:pPr>
      <w:rPr>
        <w:rFonts w:hint="default"/>
        <w:b/>
        <w:bCs/>
        <w:lang w:val="de-DE"/>
      </w:rPr>
    </w:lvl>
    <w:lvl w:ilvl="1">
      <w:start w:val="1"/>
      <w:numFmt w:val="bullet"/>
      <w:lvlText w:val=""/>
      <w:lvlJc w:val="left"/>
      <w:pPr>
        <w:ind w:left="644" w:hanging="360"/>
      </w:pPr>
      <w:rPr>
        <w:rFonts w:ascii="Symbol" w:hAnsi="Symbol" w:hint="default"/>
      </w:r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93E395C"/>
    <w:multiLevelType w:val="hybridMultilevel"/>
    <w:tmpl w:val="4D4A8CA4"/>
    <w:lvl w:ilvl="0" w:tplc="7EB43C0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 w15:restartNumberingAfterBreak="0">
    <w:nsid w:val="09B22FCB"/>
    <w:multiLevelType w:val="multilevel"/>
    <w:tmpl w:val="5A1C7EA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 w15:restartNumberingAfterBreak="0">
    <w:nsid w:val="0DC866E5"/>
    <w:multiLevelType w:val="hybridMultilevel"/>
    <w:tmpl w:val="3EB87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666A71"/>
    <w:multiLevelType w:val="hybridMultilevel"/>
    <w:tmpl w:val="99862E8E"/>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10175DC"/>
    <w:multiLevelType w:val="multilevel"/>
    <w:tmpl w:val="7FF44A7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4" w15:restartNumberingAfterBreak="0">
    <w:nsid w:val="12EE5687"/>
    <w:multiLevelType w:val="multilevel"/>
    <w:tmpl w:val="A3A219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55D3EF1"/>
    <w:multiLevelType w:val="multilevel"/>
    <w:tmpl w:val="DBAE268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6" w15:restartNumberingAfterBreak="0">
    <w:nsid w:val="16F01D6B"/>
    <w:multiLevelType w:val="hybridMultilevel"/>
    <w:tmpl w:val="7BDC30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90205AA"/>
    <w:multiLevelType w:val="multilevel"/>
    <w:tmpl w:val="98B8582E"/>
    <w:lvl w:ilvl="0">
      <w:start w:val="1"/>
      <w:numFmt w:val="decimal"/>
      <w:lvlText w:val="%1."/>
      <w:lvlJc w:val="left"/>
      <w:pPr>
        <w:ind w:left="476" w:hanging="476"/>
      </w:pPr>
      <w:rPr>
        <w:rFonts w:hint="default"/>
        <w:b/>
        <w:bCs/>
        <w:lang w:val="de-DE"/>
      </w:rPr>
    </w:lvl>
    <w:lvl w:ilvl="1">
      <w:start w:val="1"/>
      <w:numFmt w:val="bullet"/>
      <w:lvlText w:val=""/>
      <w:lvlJc w:val="left"/>
      <w:pPr>
        <w:ind w:left="836" w:hanging="360"/>
      </w:pPr>
      <w:rPr>
        <w:rFonts w:ascii="Symbol" w:hAnsi="Symbol" w:hint="default"/>
      </w:rPr>
    </w:lvl>
    <w:lvl w:ilvl="2">
      <w:start w:val="1"/>
      <w:numFmt w:val="bullet"/>
      <w:lvlText w:val="o"/>
      <w:lvlJc w:val="left"/>
      <w:pPr>
        <w:ind w:left="1069" w:hanging="360"/>
      </w:pPr>
      <w:rPr>
        <w:rFonts w:ascii="Courier New" w:hAnsi="Courier New" w:cs="Courier New"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19921D6B"/>
    <w:multiLevelType w:val="multilevel"/>
    <w:tmpl w:val="9BAEDC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9E64B66"/>
    <w:multiLevelType w:val="multilevel"/>
    <w:tmpl w:val="A908053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0" w15:restartNumberingAfterBreak="0">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21" w15:restartNumberingAfterBreak="0">
    <w:nsid w:val="1E38874A"/>
    <w:multiLevelType w:val="hybridMultilevel"/>
    <w:tmpl w:val="61EC2FB0"/>
    <w:lvl w:ilvl="0" w:tplc="C6E4CC22">
      <w:start w:val="1"/>
      <w:numFmt w:val="bullet"/>
      <w:lvlText w:val=""/>
      <w:lvlJc w:val="left"/>
      <w:pPr>
        <w:ind w:left="720" w:hanging="360"/>
      </w:pPr>
      <w:rPr>
        <w:rFonts w:ascii="Symbol" w:hAnsi="Symbol" w:hint="default"/>
      </w:rPr>
    </w:lvl>
    <w:lvl w:ilvl="1" w:tplc="D554866C">
      <w:start w:val="1"/>
      <w:numFmt w:val="bullet"/>
      <w:lvlText w:val="o"/>
      <w:lvlJc w:val="left"/>
      <w:pPr>
        <w:ind w:left="1440" w:hanging="360"/>
      </w:pPr>
      <w:rPr>
        <w:rFonts w:ascii="Courier New" w:hAnsi="Courier New" w:hint="default"/>
      </w:rPr>
    </w:lvl>
    <w:lvl w:ilvl="2" w:tplc="7CC06FA0">
      <w:start w:val="1"/>
      <w:numFmt w:val="bullet"/>
      <w:lvlText w:val=""/>
      <w:lvlJc w:val="left"/>
      <w:pPr>
        <w:ind w:left="2160" w:hanging="360"/>
      </w:pPr>
      <w:rPr>
        <w:rFonts w:ascii="Wingdings" w:hAnsi="Wingdings" w:hint="default"/>
      </w:rPr>
    </w:lvl>
    <w:lvl w:ilvl="3" w:tplc="AD4E3414">
      <w:start w:val="1"/>
      <w:numFmt w:val="bullet"/>
      <w:lvlText w:val=""/>
      <w:lvlJc w:val="left"/>
      <w:pPr>
        <w:ind w:left="2880" w:hanging="360"/>
      </w:pPr>
      <w:rPr>
        <w:rFonts w:ascii="Symbol" w:hAnsi="Symbol" w:hint="default"/>
      </w:rPr>
    </w:lvl>
    <w:lvl w:ilvl="4" w:tplc="4B7ADA3A">
      <w:start w:val="1"/>
      <w:numFmt w:val="bullet"/>
      <w:lvlText w:val="o"/>
      <w:lvlJc w:val="left"/>
      <w:pPr>
        <w:ind w:left="3600" w:hanging="360"/>
      </w:pPr>
      <w:rPr>
        <w:rFonts w:ascii="Courier New" w:hAnsi="Courier New" w:hint="default"/>
      </w:rPr>
    </w:lvl>
    <w:lvl w:ilvl="5" w:tplc="6A2C8D24">
      <w:start w:val="1"/>
      <w:numFmt w:val="bullet"/>
      <w:lvlText w:val=""/>
      <w:lvlJc w:val="left"/>
      <w:pPr>
        <w:ind w:left="4320" w:hanging="360"/>
      </w:pPr>
      <w:rPr>
        <w:rFonts w:ascii="Wingdings" w:hAnsi="Wingdings" w:hint="default"/>
      </w:rPr>
    </w:lvl>
    <w:lvl w:ilvl="6" w:tplc="46DCDF80">
      <w:start w:val="1"/>
      <w:numFmt w:val="bullet"/>
      <w:lvlText w:val=""/>
      <w:lvlJc w:val="left"/>
      <w:pPr>
        <w:ind w:left="5040" w:hanging="360"/>
      </w:pPr>
      <w:rPr>
        <w:rFonts w:ascii="Symbol" w:hAnsi="Symbol" w:hint="default"/>
      </w:rPr>
    </w:lvl>
    <w:lvl w:ilvl="7" w:tplc="CDFCC9F4">
      <w:start w:val="1"/>
      <w:numFmt w:val="bullet"/>
      <w:lvlText w:val="o"/>
      <w:lvlJc w:val="left"/>
      <w:pPr>
        <w:ind w:left="5760" w:hanging="360"/>
      </w:pPr>
      <w:rPr>
        <w:rFonts w:ascii="Courier New" w:hAnsi="Courier New" w:hint="default"/>
      </w:rPr>
    </w:lvl>
    <w:lvl w:ilvl="8" w:tplc="33B6186C">
      <w:start w:val="1"/>
      <w:numFmt w:val="bullet"/>
      <w:lvlText w:val=""/>
      <w:lvlJc w:val="left"/>
      <w:pPr>
        <w:ind w:left="6480" w:hanging="360"/>
      </w:pPr>
      <w:rPr>
        <w:rFonts w:ascii="Wingdings" w:hAnsi="Wingdings" w:hint="default"/>
      </w:rPr>
    </w:lvl>
  </w:abstractNum>
  <w:abstractNum w:abstractNumId="22" w15:restartNumberingAfterBreak="0">
    <w:nsid w:val="201921A2"/>
    <w:multiLevelType w:val="hybridMultilevel"/>
    <w:tmpl w:val="FCE8F21E"/>
    <w:lvl w:ilvl="0" w:tplc="143EE164">
      <w:start w:val="1"/>
      <w:numFmt w:val="lowerRoman"/>
      <w:lvlText w:val="(%1)"/>
      <w:lvlJc w:val="left"/>
      <w:pPr>
        <w:ind w:left="772" w:hanging="720"/>
      </w:pPr>
      <w:rPr>
        <w:rFonts w:hint="default"/>
        <w:color w:val="006100"/>
        <w:sz w:val="18"/>
        <w:szCs w:val="18"/>
      </w:rPr>
    </w:lvl>
    <w:lvl w:ilvl="1" w:tplc="08090019" w:tentative="1">
      <w:start w:val="1"/>
      <w:numFmt w:val="lowerLetter"/>
      <w:lvlText w:val="%2."/>
      <w:lvlJc w:val="left"/>
      <w:pPr>
        <w:ind w:left="1132" w:hanging="360"/>
      </w:pPr>
    </w:lvl>
    <w:lvl w:ilvl="2" w:tplc="0809001B" w:tentative="1">
      <w:start w:val="1"/>
      <w:numFmt w:val="lowerRoman"/>
      <w:lvlText w:val="%3."/>
      <w:lvlJc w:val="right"/>
      <w:pPr>
        <w:ind w:left="1852" w:hanging="180"/>
      </w:pPr>
    </w:lvl>
    <w:lvl w:ilvl="3" w:tplc="0809000F" w:tentative="1">
      <w:start w:val="1"/>
      <w:numFmt w:val="decimal"/>
      <w:lvlText w:val="%4."/>
      <w:lvlJc w:val="left"/>
      <w:pPr>
        <w:ind w:left="2572" w:hanging="360"/>
      </w:pPr>
    </w:lvl>
    <w:lvl w:ilvl="4" w:tplc="08090019" w:tentative="1">
      <w:start w:val="1"/>
      <w:numFmt w:val="lowerLetter"/>
      <w:lvlText w:val="%5."/>
      <w:lvlJc w:val="left"/>
      <w:pPr>
        <w:ind w:left="3292" w:hanging="360"/>
      </w:pPr>
    </w:lvl>
    <w:lvl w:ilvl="5" w:tplc="0809001B" w:tentative="1">
      <w:start w:val="1"/>
      <w:numFmt w:val="lowerRoman"/>
      <w:lvlText w:val="%6."/>
      <w:lvlJc w:val="right"/>
      <w:pPr>
        <w:ind w:left="4012" w:hanging="180"/>
      </w:pPr>
    </w:lvl>
    <w:lvl w:ilvl="6" w:tplc="0809000F" w:tentative="1">
      <w:start w:val="1"/>
      <w:numFmt w:val="decimal"/>
      <w:lvlText w:val="%7."/>
      <w:lvlJc w:val="left"/>
      <w:pPr>
        <w:ind w:left="4732" w:hanging="360"/>
      </w:pPr>
    </w:lvl>
    <w:lvl w:ilvl="7" w:tplc="08090019" w:tentative="1">
      <w:start w:val="1"/>
      <w:numFmt w:val="lowerLetter"/>
      <w:lvlText w:val="%8."/>
      <w:lvlJc w:val="left"/>
      <w:pPr>
        <w:ind w:left="5452" w:hanging="360"/>
      </w:pPr>
    </w:lvl>
    <w:lvl w:ilvl="8" w:tplc="0809001B" w:tentative="1">
      <w:start w:val="1"/>
      <w:numFmt w:val="lowerRoman"/>
      <w:lvlText w:val="%9."/>
      <w:lvlJc w:val="right"/>
      <w:pPr>
        <w:ind w:left="6172" w:hanging="180"/>
      </w:pPr>
    </w:lvl>
  </w:abstractNum>
  <w:abstractNum w:abstractNumId="23"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49404C2"/>
    <w:multiLevelType w:val="hybridMultilevel"/>
    <w:tmpl w:val="4888F43E"/>
    <w:lvl w:ilvl="0" w:tplc="C8283302">
      <w:start w:val="1"/>
      <w:numFmt w:val="lowerRoman"/>
      <w:lvlText w:val="(%1)"/>
      <w:lvlJc w:val="left"/>
      <w:pPr>
        <w:ind w:left="720" w:hanging="72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5" w15:restartNumberingAfterBreak="0">
    <w:nsid w:val="2862737E"/>
    <w:multiLevelType w:val="hybridMultilevel"/>
    <w:tmpl w:val="09AC7B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89F20F6"/>
    <w:multiLevelType w:val="hybridMultilevel"/>
    <w:tmpl w:val="6812F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90B4A7A"/>
    <w:multiLevelType w:val="hybridMultilevel"/>
    <w:tmpl w:val="D418427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29" w15:restartNumberingAfterBreak="0">
    <w:nsid w:val="2CD05BB1"/>
    <w:multiLevelType w:val="hybridMultilevel"/>
    <w:tmpl w:val="DF902CD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 w15:restartNumberingAfterBreak="0">
    <w:nsid w:val="2CD116E7"/>
    <w:multiLevelType w:val="multilevel"/>
    <w:tmpl w:val="C26074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32" w15:restartNumberingAfterBreak="0">
    <w:nsid w:val="300D3194"/>
    <w:multiLevelType w:val="multilevel"/>
    <w:tmpl w:val="8368AE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37A0803"/>
    <w:multiLevelType w:val="hybridMultilevel"/>
    <w:tmpl w:val="7EDE79A4"/>
    <w:lvl w:ilvl="0" w:tplc="98E2A84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4" w15:restartNumberingAfterBreak="0">
    <w:nsid w:val="382E7287"/>
    <w:multiLevelType w:val="hybridMultilevel"/>
    <w:tmpl w:val="DFC87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9203A52"/>
    <w:multiLevelType w:val="multilevel"/>
    <w:tmpl w:val="24C884B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15:restartNumberingAfterBreak="0">
    <w:nsid w:val="3A800118"/>
    <w:multiLevelType w:val="hybridMultilevel"/>
    <w:tmpl w:val="B2C4AB56"/>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7" w15:restartNumberingAfterBreak="0">
    <w:nsid w:val="3C066981"/>
    <w:multiLevelType w:val="hybridMultilevel"/>
    <w:tmpl w:val="6126504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8" w15:restartNumberingAfterBreak="0">
    <w:nsid w:val="400A7B18"/>
    <w:multiLevelType w:val="multilevel"/>
    <w:tmpl w:val="2DB03C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41080531"/>
    <w:multiLevelType w:val="hybridMultilevel"/>
    <w:tmpl w:val="9AE829F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15:restartNumberingAfterBreak="0">
    <w:nsid w:val="42016359"/>
    <w:multiLevelType w:val="hybridMultilevel"/>
    <w:tmpl w:val="4D4A8CA4"/>
    <w:lvl w:ilvl="0" w:tplc="7EB43C0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1"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42" w15:restartNumberingAfterBreak="0">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43" w15:restartNumberingAfterBreak="0">
    <w:nsid w:val="444248FB"/>
    <w:multiLevelType w:val="hybridMultilevel"/>
    <w:tmpl w:val="0B04F26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4" w15:restartNumberingAfterBreak="0">
    <w:nsid w:val="450F048E"/>
    <w:multiLevelType w:val="hybridMultilevel"/>
    <w:tmpl w:val="E91C889C"/>
    <w:lvl w:ilvl="0" w:tplc="6D42D6BE">
      <w:start w:val="1"/>
      <w:numFmt w:val="bullet"/>
      <w:lvlText w:val=""/>
      <w:lvlJc w:val="left"/>
      <w:pPr>
        <w:ind w:left="720" w:hanging="360"/>
      </w:pPr>
      <w:rPr>
        <w:rFonts w:ascii="Symbol" w:hAnsi="Symbol"/>
      </w:rPr>
    </w:lvl>
    <w:lvl w:ilvl="1" w:tplc="CFAEE40A">
      <w:start w:val="1"/>
      <w:numFmt w:val="bullet"/>
      <w:lvlText w:val=""/>
      <w:lvlJc w:val="left"/>
      <w:pPr>
        <w:ind w:left="720" w:hanging="360"/>
      </w:pPr>
      <w:rPr>
        <w:rFonts w:ascii="Symbol" w:hAnsi="Symbol"/>
      </w:rPr>
    </w:lvl>
    <w:lvl w:ilvl="2" w:tplc="DE062FBE">
      <w:start w:val="1"/>
      <w:numFmt w:val="bullet"/>
      <w:lvlText w:val=""/>
      <w:lvlJc w:val="left"/>
      <w:pPr>
        <w:ind w:left="720" w:hanging="360"/>
      </w:pPr>
      <w:rPr>
        <w:rFonts w:ascii="Symbol" w:hAnsi="Symbol"/>
      </w:rPr>
    </w:lvl>
    <w:lvl w:ilvl="3" w:tplc="FC923336">
      <w:start w:val="1"/>
      <w:numFmt w:val="bullet"/>
      <w:lvlText w:val=""/>
      <w:lvlJc w:val="left"/>
      <w:pPr>
        <w:ind w:left="720" w:hanging="360"/>
      </w:pPr>
      <w:rPr>
        <w:rFonts w:ascii="Symbol" w:hAnsi="Symbol"/>
      </w:rPr>
    </w:lvl>
    <w:lvl w:ilvl="4" w:tplc="E42060BE">
      <w:start w:val="1"/>
      <w:numFmt w:val="bullet"/>
      <w:lvlText w:val=""/>
      <w:lvlJc w:val="left"/>
      <w:pPr>
        <w:ind w:left="720" w:hanging="360"/>
      </w:pPr>
      <w:rPr>
        <w:rFonts w:ascii="Symbol" w:hAnsi="Symbol"/>
      </w:rPr>
    </w:lvl>
    <w:lvl w:ilvl="5" w:tplc="F49A420C">
      <w:start w:val="1"/>
      <w:numFmt w:val="bullet"/>
      <w:lvlText w:val=""/>
      <w:lvlJc w:val="left"/>
      <w:pPr>
        <w:ind w:left="720" w:hanging="360"/>
      </w:pPr>
      <w:rPr>
        <w:rFonts w:ascii="Symbol" w:hAnsi="Symbol"/>
      </w:rPr>
    </w:lvl>
    <w:lvl w:ilvl="6" w:tplc="3788DFD4">
      <w:start w:val="1"/>
      <w:numFmt w:val="bullet"/>
      <w:lvlText w:val=""/>
      <w:lvlJc w:val="left"/>
      <w:pPr>
        <w:ind w:left="720" w:hanging="360"/>
      </w:pPr>
      <w:rPr>
        <w:rFonts w:ascii="Symbol" w:hAnsi="Symbol"/>
      </w:rPr>
    </w:lvl>
    <w:lvl w:ilvl="7" w:tplc="5442CDFA">
      <w:start w:val="1"/>
      <w:numFmt w:val="bullet"/>
      <w:lvlText w:val=""/>
      <w:lvlJc w:val="left"/>
      <w:pPr>
        <w:ind w:left="720" w:hanging="360"/>
      </w:pPr>
      <w:rPr>
        <w:rFonts w:ascii="Symbol" w:hAnsi="Symbol"/>
      </w:rPr>
    </w:lvl>
    <w:lvl w:ilvl="8" w:tplc="6FAA32F0">
      <w:start w:val="1"/>
      <w:numFmt w:val="bullet"/>
      <w:lvlText w:val=""/>
      <w:lvlJc w:val="left"/>
      <w:pPr>
        <w:ind w:left="720" w:hanging="360"/>
      </w:pPr>
      <w:rPr>
        <w:rFonts w:ascii="Symbol" w:hAnsi="Symbol"/>
      </w:rPr>
    </w:lvl>
  </w:abstractNum>
  <w:abstractNum w:abstractNumId="45" w15:restartNumberingAfterBreak="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46" w15:restartNumberingAfterBreak="0">
    <w:nsid w:val="46EE6E57"/>
    <w:multiLevelType w:val="hybridMultilevel"/>
    <w:tmpl w:val="9A38D79A"/>
    <w:lvl w:ilvl="0" w:tplc="A4B2B7E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7" w15:restartNumberingAfterBreak="0">
    <w:nsid w:val="47CE62D2"/>
    <w:multiLevelType w:val="hybridMultilevel"/>
    <w:tmpl w:val="89DE6B22"/>
    <w:lvl w:ilvl="0" w:tplc="A4B2B7E6">
      <w:start w:val="1"/>
      <w:numFmt w:val="decimal"/>
      <w:lvlText w:val="%1)"/>
      <w:lvlJc w:val="left"/>
      <w:pPr>
        <w:ind w:left="1778"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8" w15:restartNumberingAfterBreak="0">
    <w:nsid w:val="4B054A94"/>
    <w:multiLevelType w:val="hybridMultilevel"/>
    <w:tmpl w:val="8F0E9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BE2717E"/>
    <w:multiLevelType w:val="hybridMultilevel"/>
    <w:tmpl w:val="4FB0A9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C3B34F7"/>
    <w:multiLevelType w:val="multilevel"/>
    <w:tmpl w:val="50DED88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1" w15:restartNumberingAfterBreak="0">
    <w:nsid w:val="4F4F6024"/>
    <w:multiLevelType w:val="hybridMultilevel"/>
    <w:tmpl w:val="2B2817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26B06BC"/>
    <w:multiLevelType w:val="hybridMultilevel"/>
    <w:tmpl w:val="DA907C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32B6C49"/>
    <w:multiLevelType w:val="hybridMultilevel"/>
    <w:tmpl w:val="108AE942"/>
    <w:lvl w:ilvl="0" w:tplc="1616BC1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37906D9"/>
    <w:multiLevelType w:val="hybridMultilevel"/>
    <w:tmpl w:val="BEAEAED8"/>
    <w:lvl w:ilvl="0" w:tplc="2ABE0FB2">
      <w:start w:val="1"/>
      <w:numFmt w:val="decimal"/>
      <w:lvlText w:val="%1."/>
      <w:lvlJc w:val="left"/>
      <w:pPr>
        <w:ind w:left="360" w:hanging="360"/>
      </w:pPr>
      <w:rPr>
        <w:rFonts w:ascii="Times New Roman" w:hAnsi="Times New Roman" w:cs="Times New Roman" w:hint="default"/>
        <w:i/>
        <w:sz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53EE1BB8"/>
    <w:multiLevelType w:val="hybridMultilevel"/>
    <w:tmpl w:val="04604954"/>
    <w:lvl w:ilvl="0" w:tplc="E87431E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57" w15:restartNumberingAfterBreak="0">
    <w:nsid w:val="55B679E1"/>
    <w:multiLevelType w:val="hybridMultilevel"/>
    <w:tmpl w:val="1F22A3BC"/>
    <w:lvl w:ilvl="0" w:tplc="78D05602">
      <w:start w:val="1"/>
      <w:numFmt w:val="lowerRoman"/>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8" w15:restartNumberingAfterBreak="0">
    <w:nsid w:val="55C10E65"/>
    <w:multiLevelType w:val="multilevel"/>
    <w:tmpl w:val="466AA280"/>
    <w:lvl w:ilvl="0">
      <w:start w:val="1"/>
      <w:numFmt w:val="decimal"/>
      <w:pStyle w:val="LegalNumPar"/>
      <w:lvlText w:val="%1."/>
      <w:lvlJc w:val="left"/>
      <w:pPr>
        <w:ind w:left="476" w:hanging="476"/>
      </w:pPr>
      <w:rPr>
        <w:rFonts w:hint="default"/>
        <w:b/>
        <w:bCs/>
        <w:lang w:val="de-DE"/>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15:restartNumberingAfterBreak="0">
    <w:nsid w:val="569A0DCB"/>
    <w:multiLevelType w:val="hybridMultilevel"/>
    <w:tmpl w:val="EB48C94C"/>
    <w:lvl w:ilvl="0" w:tplc="FFFFFFFF">
      <w:start w:val="19"/>
      <w:numFmt w:val="bullet"/>
      <w:lvlText w:val="-"/>
      <w:lvlJc w:val="left"/>
      <w:pPr>
        <w:ind w:left="408" w:hanging="360"/>
      </w:pPr>
      <w:rPr>
        <w:rFonts w:ascii="Times New Roman" w:hAnsi="Times New Roman"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abstractNum w:abstractNumId="60" w15:restartNumberingAfterBreak="0">
    <w:nsid w:val="56B10038"/>
    <w:multiLevelType w:val="hybridMultilevel"/>
    <w:tmpl w:val="94E2346C"/>
    <w:lvl w:ilvl="0" w:tplc="0E1A799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15:restartNumberingAfterBreak="0">
    <w:nsid w:val="57A47275"/>
    <w:multiLevelType w:val="hybridMultilevel"/>
    <w:tmpl w:val="A8B0FA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57E44920"/>
    <w:multiLevelType w:val="hybridMultilevel"/>
    <w:tmpl w:val="C4FEE898"/>
    <w:lvl w:ilvl="0" w:tplc="8F9A74A8">
      <w:start w:val="1"/>
      <w:numFmt w:val="decimal"/>
      <w:lvlText w:val="%1."/>
      <w:lvlJc w:val="left"/>
      <w:pPr>
        <w:ind w:left="720" w:hanging="360"/>
      </w:pPr>
    </w:lvl>
    <w:lvl w:ilvl="1" w:tplc="C83C3CD6">
      <w:start w:val="1"/>
      <w:numFmt w:val="lowerLetter"/>
      <w:lvlText w:val="%2."/>
      <w:lvlJc w:val="left"/>
      <w:pPr>
        <w:ind w:left="1440" w:hanging="360"/>
      </w:pPr>
    </w:lvl>
    <w:lvl w:ilvl="2" w:tplc="67523E22">
      <w:start w:val="1"/>
      <w:numFmt w:val="lowerRoman"/>
      <w:lvlText w:val="%3."/>
      <w:lvlJc w:val="right"/>
      <w:pPr>
        <w:ind w:left="2160" w:hanging="180"/>
      </w:pPr>
    </w:lvl>
    <w:lvl w:ilvl="3" w:tplc="02E434DE">
      <w:start w:val="1"/>
      <w:numFmt w:val="decimal"/>
      <w:lvlText w:val="%4."/>
      <w:lvlJc w:val="left"/>
      <w:pPr>
        <w:ind w:left="2880" w:hanging="360"/>
      </w:pPr>
    </w:lvl>
    <w:lvl w:ilvl="4" w:tplc="8BDE5CFA">
      <w:start w:val="1"/>
      <w:numFmt w:val="lowerLetter"/>
      <w:lvlText w:val="%5."/>
      <w:lvlJc w:val="left"/>
      <w:pPr>
        <w:ind w:left="3600" w:hanging="360"/>
      </w:pPr>
    </w:lvl>
    <w:lvl w:ilvl="5" w:tplc="39BA1CD6">
      <w:start w:val="1"/>
      <w:numFmt w:val="lowerRoman"/>
      <w:lvlText w:val="%6."/>
      <w:lvlJc w:val="right"/>
      <w:pPr>
        <w:ind w:left="4320" w:hanging="180"/>
      </w:pPr>
    </w:lvl>
    <w:lvl w:ilvl="6" w:tplc="820C8938">
      <w:start w:val="1"/>
      <w:numFmt w:val="decimal"/>
      <w:lvlText w:val="%7."/>
      <w:lvlJc w:val="left"/>
      <w:pPr>
        <w:ind w:left="5040" w:hanging="360"/>
      </w:pPr>
    </w:lvl>
    <w:lvl w:ilvl="7" w:tplc="916EC56C">
      <w:start w:val="1"/>
      <w:numFmt w:val="lowerLetter"/>
      <w:lvlText w:val="%8."/>
      <w:lvlJc w:val="left"/>
      <w:pPr>
        <w:ind w:left="5760" w:hanging="360"/>
      </w:pPr>
    </w:lvl>
    <w:lvl w:ilvl="8" w:tplc="7DE668F2">
      <w:start w:val="1"/>
      <w:numFmt w:val="lowerRoman"/>
      <w:lvlText w:val="%9."/>
      <w:lvlJc w:val="right"/>
      <w:pPr>
        <w:ind w:left="6480" w:hanging="180"/>
      </w:pPr>
    </w:lvl>
  </w:abstractNum>
  <w:abstractNum w:abstractNumId="63" w15:restartNumberingAfterBreak="0">
    <w:nsid w:val="59F422D7"/>
    <w:multiLevelType w:val="multilevel"/>
    <w:tmpl w:val="7618F69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4" w15:restartNumberingAfterBreak="0">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65" w15:restartNumberingAfterBreak="0">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66" w15:restartNumberingAfterBreak="0">
    <w:nsid w:val="5C184A6A"/>
    <w:multiLevelType w:val="hybridMultilevel"/>
    <w:tmpl w:val="20F8182E"/>
    <w:lvl w:ilvl="0" w:tplc="782E153C">
      <w:start w:val="1"/>
      <w:numFmt w:val="upperLetter"/>
      <w:lvlText w:val="%1."/>
      <w:lvlJc w:val="left"/>
      <w:pPr>
        <w:ind w:left="366" w:hanging="360"/>
      </w:pPr>
      <w:rPr>
        <w:rFonts w:hint="default"/>
      </w:rPr>
    </w:lvl>
    <w:lvl w:ilvl="1" w:tplc="08090019" w:tentative="1">
      <w:start w:val="1"/>
      <w:numFmt w:val="lowerLetter"/>
      <w:lvlText w:val="%2."/>
      <w:lvlJc w:val="left"/>
      <w:pPr>
        <w:ind w:left="1086" w:hanging="360"/>
      </w:pPr>
    </w:lvl>
    <w:lvl w:ilvl="2" w:tplc="0809001B" w:tentative="1">
      <w:start w:val="1"/>
      <w:numFmt w:val="lowerRoman"/>
      <w:lvlText w:val="%3."/>
      <w:lvlJc w:val="right"/>
      <w:pPr>
        <w:ind w:left="1806" w:hanging="180"/>
      </w:pPr>
    </w:lvl>
    <w:lvl w:ilvl="3" w:tplc="0809000F" w:tentative="1">
      <w:start w:val="1"/>
      <w:numFmt w:val="decimal"/>
      <w:lvlText w:val="%4."/>
      <w:lvlJc w:val="left"/>
      <w:pPr>
        <w:ind w:left="2526" w:hanging="360"/>
      </w:pPr>
    </w:lvl>
    <w:lvl w:ilvl="4" w:tplc="08090019" w:tentative="1">
      <w:start w:val="1"/>
      <w:numFmt w:val="lowerLetter"/>
      <w:lvlText w:val="%5."/>
      <w:lvlJc w:val="left"/>
      <w:pPr>
        <w:ind w:left="3246" w:hanging="360"/>
      </w:pPr>
    </w:lvl>
    <w:lvl w:ilvl="5" w:tplc="0809001B" w:tentative="1">
      <w:start w:val="1"/>
      <w:numFmt w:val="lowerRoman"/>
      <w:lvlText w:val="%6."/>
      <w:lvlJc w:val="right"/>
      <w:pPr>
        <w:ind w:left="3966" w:hanging="180"/>
      </w:pPr>
    </w:lvl>
    <w:lvl w:ilvl="6" w:tplc="0809000F" w:tentative="1">
      <w:start w:val="1"/>
      <w:numFmt w:val="decimal"/>
      <w:lvlText w:val="%7."/>
      <w:lvlJc w:val="left"/>
      <w:pPr>
        <w:ind w:left="4686" w:hanging="360"/>
      </w:pPr>
    </w:lvl>
    <w:lvl w:ilvl="7" w:tplc="08090019" w:tentative="1">
      <w:start w:val="1"/>
      <w:numFmt w:val="lowerLetter"/>
      <w:lvlText w:val="%8."/>
      <w:lvlJc w:val="left"/>
      <w:pPr>
        <w:ind w:left="5406" w:hanging="360"/>
      </w:pPr>
    </w:lvl>
    <w:lvl w:ilvl="8" w:tplc="0809001B" w:tentative="1">
      <w:start w:val="1"/>
      <w:numFmt w:val="lowerRoman"/>
      <w:lvlText w:val="%9."/>
      <w:lvlJc w:val="right"/>
      <w:pPr>
        <w:ind w:left="6126" w:hanging="180"/>
      </w:pPr>
    </w:lvl>
  </w:abstractNum>
  <w:abstractNum w:abstractNumId="67"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68" w15:restartNumberingAfterBreak="0">
    <w:nsid w:val="5D111E8D"/>
    <w:multiLevelType w:val="hybridMultilevel"/>
    <w:tmpl w:val="6730273A"/>
    <w:lvl w:ilvl="0" w:tplc="AE28AF10">
      <w:start w:val="5"/>
      <w:numFmt w:val="upperLetter"/>
      <w:lvlText w:val="%1."/>
      <w:lvlJc w:val="left"/>
      <w:pPr>
        <w:ind w:left="366" w:hanging="360"/>
      </w:pPr>
      <w:rPr>
        <w:rFonts w:hint="default"/>
      </w:rPr>
    </w:lvl>
    <w:lvl w:ilvl="1" w:tplc="18090019" w:tentative="1">
      <w:start w:val="1"/>
      <w:numFmt w:val="lowerLetter"/>
      <w:lvlText w:val="%2."/>
      <w:lvlJc w:val="left"/>
      <w:pPr>
        <w:ind w:left="1086" w:hanging="360"/>
      </w:pPr>
    </w:lvl>
    <w:lvl w:ilvl="2" w:tplc="1809001B" w:tentative="1">
      <w:start w:val="1"/>
      <w:numFmt w:val="lowerRoman"/>
      <w:lvlText w:val="%3."/>
      <w:lvlJc w:val="right"/>
      <w:pPr>
        <w:ind w:left="1806" w:hanging="180"/>
      </w:pPr>
    </w:lvl>
    <w:lvl w:ilvl="3" w:tplc="1809000F" w:tentative="1">
      <w:start w:val="1"/>
      <w:numFmt w:val="decimal"/>
      <w:lvlText w:val="%4."/>
      <w:lvlJc w:val="left"/>
      <w:pPr>
        <w:ind w:left="2526" w:hanging="360"/>
      </w:pPr>
    </w:lvl>
    <w:lvl w:ilvl="4" w:tplc="18090019" w:tentative="1">
      <w:start w:val="1"/>
      <w:numFmt w:val="lowerLetter"/>
      <w:lvlText w:val="%5."/>
      <w:lvlJc w:val="left"/>
      <w:pPr>
        <w:ind w:left="3246" w:hanging="360"/>
      </w:pPr>
    </w:lvl>
    <w:lvl w:ilvl="5" w:tplc="1809001B" w:tentative="1">
      <w:start w:val="1"/>
      <w:numFmt w:val="lowerRoman"/>
      <w:lvlText w:val="%6."/>
      <w:lvlJc w:val="right"/>
      <w:pPr>
        <w:ind w:left="3966" w:hanging="180"/>
      </w:pPr>
    </w:lvl>
    <w:lvl w:ilvl="6" w:tplc="1809000F" w:tentative="1">
      <w:start w:val="1"/>
      <w:numFmt w:val="decimal"/>
      <w:lvlText w:val="%7."/>
      <w:lvlJc w:val="left"/>
      <w:pPr>
        <w:ind w:left="4686" w:hanging="360"/>
      </w:pPr>
    </w:lvl>
    <w:lvl w:ilvl="7" w:tplc="18090019" w:tentative="1">
      <w:start w:val="1"/>
      <w:numFmt w:val="lowerLetter"/>
      <w:lvlText w:val="%8."/>
      <w:lvlJc w:val="left"/>
      <w:pPr>
        <w:ind w:left="5406" w:hanging="360"/>
      </w:pPr>
    </w:lvl>
    <w:lvl w:ilvl="8" w:tplc="1809001B" w:tentative="1">
      <w:start w:val="1"/>
      <w:numFmt w:val="lowerRoman"/>
      <w:lvlText w:val="%9."/>
      <w:lvlJc w:val="right"/>
      <w:pPr>
        <w:ind w:left="6126" w:hanging="180"/>
      </w:pPr>
    </w:lvl>
  </w:abstractNum>
  <w:abstractNum w:abstractNumId="69" w15:restartNumberingAfterBreak="0">
    <w:nsid w:val="5DCC1A5E"/>
    <w:multiLevelType w:val="multilevel"/>
    <w:tmpl w:val="64044F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5F1446F8"/>
    <w:multiLevelType w:val="hybridMultilevel"/>
    <w:tmpl w:val="CBCA9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FCB40F2"/>
    <w:multiLevelType w:val="hybridMultilevel"/>
    <w:tmpl w:val="9E5A62F8"/>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2" w15:restartNumberingAfterBreak="0">
    <w:nsid w:val="63C14204"/>
    <w:multiLevelType w:val="hybridMultilevel"/>
    <w:tmpl w:val="FD265596"/>
    <w:lvl w:ilvl="0" w:tplc="8EB40B82">
      <w:start w:val="1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3" w15:restartNumberingAfterBreak="0">
    <w:nsid w:val="63C42873"/>
    <w:multiLevelType w:val="multilevel"/>
    <w:tmpl w:val="17462D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64A12FA4"/>
    <w:multiLevelType w:val="multilevel"/>
    <w:tmpl w:val="BC1C158C"/>
    <w:name w:val="Heading"/>
    <w:lvl w:ilvl="0">
      <w:start w:val="1"/>
      <w:numFmt w:val="decimal"/>
      <w:lvlRestart w:val="0"/>
      <w:pStyle w:val="Heading1"/>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b/>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5" w15:restartNumberingAfterBreak="0">
    <w:nsid w:val="67121A1F"/>
    <w:multiLevelType w:val="multilevel"/>
    <w:tmpl w:val="56824504"/>
    <w:lvl w:ilvl="0">
      <w:start w:val="1"/>
      <w:numFmt w:val="decimal"/>
      <w:lvlText w:val="%1."/>
      <w:lvlJc w:val="left"/>
      <w:pPr>
        <w:ind w:left="720" w:hanging="360"/>
      </w:pPr>
      <w:rPr>
        <w:rFonts w:ascii="Times New Roman" w:hAnsi="Times New Roman" w:cs="Times New Roman" w:hint="default"/>
        <w:sz w:val="24"/>
        <w:szCs w:val="24"/>
      </w:r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76"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77" w15:restartNumberingAfterBreak="0">
    <w:nsid w:val="6D367641"/>
    <w:multiLevelType w:val="hybridMultilevel"/>
    <w:tmpl w:val="2B744C64"/>
    <w:lvl w:ilvl="0" w:tplc="A4B2B7E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8" w15:restartNumberingAfterBreak="0">
    <w:nsid w:val="6E184B22"/>
    <w:multiLevelType w:val="multilevel"/>
    <w:tmpl w:val="1A34B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6FD63E69"/>
    <w:multiLevelType w:val="hybridMultilevel"/>
    <w:tmpl w:val="9E722B94"/>
    <w:lvl w:ilvl="0" w:tplc="3014CE9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0" w15:restartNumberingAfterBreak="0">
    <w:nsid w:val="70140041"/>
    <w:multiLevelType w:val="multilevel"/>
    <w:tmpl w:val="817E2E62"/>
    <w:lvl w:ilvl="0">
      <w:start w:val="3"/>
      <w:numFmt w:val="decimal"/>
      <w:lvlText w:val="%1."/>
      <w:lvlJc w:val="left"/>
      <w:pPr>
        <w:ind w:left="720" w:hanging="360"/>
      </w:pPr>
      <w:rPr>
        <w:rFonts w:hint="default"/>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81" w15:restartNumberingAfterBreak="0">
    <w:nsid w:val="702E54AB"/>
    <w:multiLevelType w:val="hybridMultilevel"/>
    <w:tmpl w:val="99862E8E"/>
    <w:lvl w:ilvl="0" w:tplc="0809001B">
      <w:start w:val="1"/>
      <w:numFmt w:val="lowerRoman"/>
      <w:lvlText w:val="%1."/>
      <w:lvlJc w:val="right"/>
      <w:pPr>
        <w:ind w:left="719"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72B72642"/>
    <w:multiLevelType w:val="multilevel"/>
    <w:tmpl w:val="24C884B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3" w15:restartNumberingAfterBreak="0">
    <w:nsid w:val="7412391E"/>
    <w:multiLevelType w:val="hybridMultilevel"/>
    <w:tmpl w:val="FF46E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52436E5"/>
    <w:multiLevelType w:val="hybridMultilevel"/>
    <w:tmpl w:val="650AC2E6"/>
    <w:lvl w:ilvl="0" w:tplc="080C0011">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5" w15:restartNumberingAfterBreak="0">
    <w:nsid w:val="75C14FE6"/>
    <w:multiLevelType w:val="hybridMultilevel"/>
    <w:tmpl w:val="E848B8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76D06977"/>
    <w:multiLevelType w:val="hybridMultilevel"/>
    <w:tmpl w:val="42E4798A"/>
    <w:lvl w:ilvl="0" w:tplc="991C3E1E">
      <w:start w:val="1"/>
      <w:numFmt w:val="bullet"/>
      <w:lvlText w:val="-"/>
      <w:lvlJc w:val="left"/>
      <w:pPr>
        <w:ind w:left="1080" w:hanging="720"/>
      </w:pPr>
      <w:rPr>
        <w:rFonts w:ascii="Calibri" w:hAnsi="Calibri" w:hint="default"/>
      </w:rPr>
    </w:lvl>
    <w:lvl w:ilvl="1" w:tplc="548ABFEE">
      <w:start w:val="1"/>
      <w:numFmt w:val="decimal"/>
      <w:lvlText w:val="%2."/>
      <w:lvlJc w:val="left"/>
      <w:pPr>
        <w:ind w:left="1440" w:hanging="360"/>
      </w:pPr>
      <w:rPr>
        <w:rFonts w:hint="default"/>
      </w:rPr>
    </w:lvl>
    <w:lvl w:ilvl="2" w:tplc="450EA25E">
      <w:start w:val="1"/>
      <w:numFmt w:val="lowerRoman"/>
      <w:lvlText w:val="(%3)"/>
      <w:lvlJc w:val="left"/>
      <w:pPr>
        <w:ind w:left="2700" w:hanging="720"/>
      </w:pPr>
      <w:rPr>
        <w:rFonts w:hint="default"/>
      </w:r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7" w15:restartNumberingAfterBreak="0">
    <w:nsid w:val="77566D51"/>
    <w:multiLevelType w:val="hybridMultilevel"/>
    <w:tmpl w:val="334A26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7816483B"/>
    <w:multiLevelType w:val="hybridMultilevel"/>
    <w:tmpl w:val="14569A86"/>
    <w:lvl w:ilvl="0" w:tplc="B22E0E32">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9" w15:restartNumberingAfterBreak="0">
    <w:nsid w:val="7BF94956"/>
    <w:multiLevelType w:val="hybridMultilevel"/>
    <w:tmpl w:val="26F287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abstractNum w:abstractNumId="91" w15:restartNumberingAfterBreak="0">
    <w:nsid w:val="7CD26665"/>
    <w:multiLevelType w:val="multilevel"/>
    <w:tmpl w:val="13DA11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7F010CB7"/>
    <w:multiLevelType w:val="multilevel"/>
    <w:tmpl w:val="08ECA51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3" w15:restartNumberingAfterBreak="0">
    <w:nsid w:val="7F332538"/>
    <w:multiLevelType w:val="multilevel"/>
    <w:tmpl w:val="2094396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4" w15:restartNumberingAfterBreak="0">
    <w:nsid w:val="7F830756"/>
    <w:multiLevelType w:val="hybridMultilevel"/>
    <w:tmpl w:val="8A4CF84E"/>
    <w:lvl w:ilvl="0" w:tplc="F96681D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2"/>
  </w:num>
  <w:num w:numId="2">
    <w:abstractNumId w:val="21"/>
  </w:num>
  <w:num w:numId="3">
    <w:abstractNumId w:val="67"/>
  </w:num>
  <w:num w:numId="4">
    <w:abstractNumId w:val="41"/>
  </w:num>
  <w:num w:numId="5">
    <w:abstractNumId w:val="76"/>
  </w:num>
  <w:num w:numId="6">
    <w:abstractNumId w:val="31"/>
  </w:num>
  <w:num w:numId="7">
    <w:abstractNumId w:val="42"/>
  </w:num>
  <w:num w:numId="8">
    <w:abstractNumId w:val="23"/>
  </w:num>
  <w:num w:numId="9">
    <w:abstractNumId w:val="74"/>
  </w:num>
  <w:num w:numId="10">
    <w:abstractNumId w:val="20"/>
  </w:num>
  <w:num w:numId="11">
    <w:abstractNumId w:val="45"/>
  </w:num>
  <w:num w:numId="12">
    <w:abstractNumId w:val="64"/>
  </w:num>
  <w:num w:numId="13">
    <w:abstractNumId w:val="65"/>
  </w:num>
  <w:num w:numId="14">
    <w:abstractNumId w:val="28"/>
  </w:num>
  <w:num w:numId="15">
    <w:abstractNumId w:val="56"/>
  </w:num>
  <w:num w:numId="16">
    <w:abstractNumId w:val="90"/>
  </w:num>
  <w:num w:numId="1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2"/>
  </w:num>
  <w:num w:numId="20">
    <w:abstractNumId w:val="1"/>
  </w:num>
  <w:num w:numId="21">
    <w:abstractNumId w:val="0"/>
  </w:num>
  <w:num w:numId="22">
    <w:abstractNumId w:val="38"/>
  </w:num>
  <w:num w:numId="23">
    <w:abstractNumId w:val="73"/>
  </w:num>
  <w:num w:numId="24">
    <w:abstractNumId w:val="14"/>
  </w:num>
  <w:num w:numId="25">
    <w:abstractNumId w:val="80"/>
  </w:num>
  <w:num w:numId="26">
    <w:abstractNumId w:val="35"/>
  </w:num>
  <w:num w:numId="27">
    <w:abstractNumId w:val="30"/>
  </w:num>
  <w:num w:numId="28">
    <w:abstractNumId w:val="18"/>
  </w:num>
  <w:num w:numId="29">
    <w:abstractNumId w:val="51"/>
  </w:num>
  <w:num w:numId="30">
    <w:abstractNumId w:val="91"/>
  </w:num>
  <w:num w:numId="31">
    <w:abstractNumId w:val="5"/>
  </w:num>
  <w:num w:numId="32">
    <w:abstractNumId w:val="32"/>
  </w:num>
  <w:num w:numId="33">
    <w:abstractNumId w:val="7"/>
  </w:num>
  <w:num w:numId="34">
    <w:abstractNumId w:val="69"/>
  </w:num>
  <w:num w:numId="35">
    <w:abstractNumId w:val="78"/>
  </w:num>
  <w:num w:numId="36">
    <w:abstractNumId w:val="4"/>
  </w:num>
  <w:num w:numId="37">
    <w:abstractNumId w:val="50"/>
  </w:num>
  <w:num w:numId="38">
    <w:abstractNumId w:val="19"/>
  </w:num>
  <w:num w:numId="39">
    <w:abstractNumId w:val="13"/>
  </w:num>
  <w:num w:numId="40">
    <w:abstractNumId w:val="93"/>
  </w:num>
  <w:num w:numId="41">
    <w:abstractNumId w:val="10"/>
  </w:num>
  <w:num w:numId="42">
    <w:abstractNumId w:val="15"/>
  </w:num>
  <w:num w:numId="43">
    <w:abstractNumId w:val="63"/>
  </w:num>
  <w:num w:numId="44">
    <w:abstractNumId w:val="92"/>
  </w:num>
  <w:num w:numId="45">
    <w:abstractNumId w:val="53"/>
  </w:num>
  <w:num w:numId="46">
    <w:abstractNumId w:val="48"/>
  </w:num>
  <w:num w:numId="47">
    <w:abstractNumId w:val="22"/>
  </w:num>
  <w:num w:numId="48">
    <w:abstractNumId w:val="52"/>
  </w:num>
  <w:num w:numId="49">
    <w:abstractNumId w:val="49"/>
  </w:num>
  <w:num w:numId="50">
    <w:abstractNumId w:val="89"/>
  </w:num>
  <w:num w:numId="51">
    <w:abstractNumId w:val="25"/>
  </w:num>
  <w:num w:numId="52">
    <w:abstractNumId w:val="85"/>
  </w:num>
  <w:num w:numId="53">
    <w:abstractNumId w:val="94"/>
  </w:num>
  <w:num w:numId="54">
    <w:abstractNumId w:val="11"/>
  </w:num>
  <w:num w:numId="55">
    <w:abstractNumId w:val="82"/>
  </w:num>
  <w:num w:numId="56">
    <w:abstractNumId w:val="70"/>
  </w:num>
  <w:num w:numId="57">
    <w:abstractNumId w:val="33"/>
  </w:num>
  <w:num w:numId="5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3"/>
  </w:num>
  <w:num w:numId="60">
    <w:abstractNumId w:val="29"/>
  </w:num>
  <w:num w:numId="6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6"/>
  </w:num>
  <w:num w:numId="65">
    <w:abstractNumId w:val="47"/>
  </w:num>
  <w:num w:numId="66">
    <w:abstractNumId w:val="9"/>
  </w:num>
  <w:num w:numId="67">
    <w:abstractNumId w:val="40"/>
  </w:num>
  <w:num w:numId="68">
    <w:abstractNumId w:val="84"/>
  </w:num>
  <w:num w:numId="69">
    <w:abstractNumId w:val="12"/>
  </w:num>
  <w:num w:numId="70">
    <w:abstractNumId w:val="81"/>
  </w:num>
  <w:num w:numId="71">
    <w:abstractNumId w:val="54"/>
  </w:num>
  <w:num w:numId="72">
    <w:abstractNumId w:val="37"/>
  </w:num>
  <w:num w:numId="73">
    <w:abstractNumId w:val="26"/>
  </w:num>
  <w:num w:numId="74">
    <w:abstractNumId w:val="59"/>
  </w:num>
  <w:num w:numId="75">
    <w:abstractNumId w:val="34"/>
  </w:num>
  <w:num w:numId="76">
    <w:abstractNumId w:val="61"/>
  </w:num>
  <w:num w:numId="77">
    <w:abstractNumId w:val="60"/>
  </w:num>
  <w:num w:numId="78">
    <w:abstractNumId w:val="6"/>
  </w:num>
  <w:num w:numId="79">
    <w:abstractNumId w:val="83"/>
  </w:num>
  <w:num w:numId="80">
    <w:abstractNumId w:val="87"/>
  </w:num>
  <w:num w:numId="81">
    <w:abstractNumId w:val="16"/>
  </w:num>
  <w:num w:numId="82">
    <w:abstractNumId w:val="88"/>
  </w:num>
  <w:num w:numId="83">
    <w:abstractNumId w:val="75"/>
  </w:num>
  <w:num w:numId="84">
    <w:abstractNumId w:val="27"/>
  </w:num>
  <w:num w:numId="85">
    <w:abstractNumId w:val="57"/>
  </w:num>
  <w:num w:numId="86">
    <w:abstractNumId w:val="24"/>
  </w:num>
  <w:num w:numId="87">
    <w:abstractNumId w:val="39"/>
  </w:num>
  <w:num w:numId="88">
    <w:abstractNumId w:val="71"/>
  </w:num>
  <w:num w:numId="89">
    <w:abstractNumId w:val="55"/>
  </w:num>
  <w:num w:numId="90">
    <w:abstractNumId w:val="66"/>
  </w:num>
  <w:num w:numId="91">
    <w:abstractNumId w:val="68"/>
  </w:num>
  <w:num w:numId="92">
    <w:abstractNumId w:val="72"/>
  </w:num>
  <w:num w:numId="93">
    <w:abstractNumId w:val="58"/>
  </w:num>
  <w:num w:numId="9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8"/>
  </w:num>
  <w:num w:numId="96">
    <w:abstractNumId w:val="17"/>
  </w:num>
  <w:num w:numId="9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4"/>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activeWritingStyle w:appName="MSWord" w:lang="sv-SE" w:vendorID="64" w:dllVersion="0" w:nlCheck="1" w:checkStyle="0"/>
  <w:activeWritingStyle w:appName="MSWord" w:lang="en-GB" w:vendorID="64" w:dllVersion="0" w:nlCheck="1" w:checkStyle="0"/>
  <w:activeWritingStyle w:appName="MSWord" w:lang="en-IE" w:vendorID="64" w:dllVersion="0" w:nlCheck="1" w:checkStyle="0"/>
  <w:activeWritingStyle w:appName="MSWord" w:lang="en-US" w:vendorID="64" w:dllVersion="0" w:nlCheck="1" w:checkStyle="0"/>
  <w:activeWritingStyle w:appName="MSWord" w:lang="fr-BE" w:vendorID="64" w:dllVersion="0" w:nlCheck="1" w:checkStyle="0"/>
  <w:activeWritingStyle w:appName="MSWord" w:lang="de-DE" w:vendorID="64" w:dllVersion="0" w:nlCheck="1" w:checkStyle="0"/>
  <w:activeWritingStyle w:appName="MSWord" w:lang="pt-PT" w:vendorID="64" w:dllVersion="0" w:nlCheck="1" w:checkStyle="0"/>
  <w:revisionView w:markup="0"/>
  <w:defaultTabStop w:val="720"/>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uncil" w:val="true"/>
    <w:docVar w:name="CoverPageOnWordDoc" w:val="false"/>
    <w:docVar w:name="DocStatus" w:val="Green"/>
    <w:docVar w:name="DocuWriteMetaData" w:val="&lt;metadataset docuwriteversion=&quot;4.9.1&quot; technicalblockguid=&quot;5556041328963110992&quot;&gt;_x000d__x000a_  &lt;metadata key=&quot;md_DocumentLanguages&quot;&gt;_x000d__x000a_    &lt;basicdatatypelist&gt;_x000d__x000a_      &lt;language key=&quot;EN&quot; text=&quot;EN&quot; /&gt;_x000d__x000a_    &lt;/basicdatatypelist&gt;_x000d__x000a_  &lt;/metadata&gt;_x000d__x000a_  &lt;metadata key=&quot;md_OriginalLanguages&quot;&gt;_x000d__x000a_    &lt;basicdatatypelist&gt;_x000d__x000a_      &lt;language key=&quot;EN&quot; text=&quot;EN&quot; /&gt;_x000d__x000a_    &lt;/basicdatatypelist&gt;_x000d__x000a_  &lt;/metadata&gt;_x000d__x000a_  &lt;metadata key=&quot;md_DocumentLanguagesAutomatic&quot;&gt;_x000d__x000a_    &lt;text&gt;&lt;/text&gt;_x000d__x000a_  &lt;/metadata&gt;_x000d__x000a_  &lt;metadata key=&quot;md_UniqueHeading&quot;&gt;_x000d__x000a_    &lt;basicdatatype&gt;_x000d__x000a_      &lt;heading key=&quot;uh_66&quot; text=&quot;NOTE&quot; /&gt;_x000d__x000a_    &lt;/basicdatatype&gt;_x000d__x000a_  &lt;/metadata&gt;_x000d__x000a_  &lt;metadata key=&quot;md_HeadingText&quot;&gt;_x000d__x000a_    &lt;headingtext text=&quot;NOTE&quot;&gt;_x000d__x000a_      &lt;formattedtext&gt;_x000d__x000a_        &lt;xaml text=&quot;NOTE&quot;&gt;&amp;lt;FlowDocument xmlns=&quot;http://schemas.microsoft.com/winfx/2006/xaml/presentation&quot;&amp;gt;&amp;lt;Paragraph&amp;gt;NOTE&amp;lt;/Paragraph&amp;gt;&amp;lt;/FlowDocument&amp;gt;&lt;/xaml&gt;_x000d__x000a_      &lt;/formattedtext&gt;_x000d__x000a_    &lt;/headingtext&gt;_x000d__x000a_  &lt;/metadata&gt;_x000d__x000a_  &lt;metadata key=&quot;md_CustomFootnote&quot; /&gt;_x000d__x000a_  &lt;metadata key=&quot;md_DocumentGroup&quot;&gt;_x000d__x000a_    &lt;basicdatatype&gt;_x000d__x000a_      &lt;document_group key=&quot;dg_12&quot; text=&quot;Cover Page&quot; /&gt;_x000d__x000a_    &lt;/basicdatatype&gt;_x000d__x000a_  &lt;/metadata&gt;_x000d__x000a_  &lt;metadata key=&quot;md_DocumentType&quot;&gt;_x000d__x000a_    &lt;basicdatatype&gt;_x000d__x000a_      &lt;doc_type key=&quot;dt_ST&quot; text=&quot;ST&quot; /&gt;_x000d__x000a_    &lt;/basicdatatype&gt;_x000d__x000a_  &lt;/metadata&gt;_x000d__x000a_  &lt;metadata key=&quot;md_InstitutionalFramework&quot;&gt;_x000d__x000a_    &lt;basicdatatype&gt;_x000d__x000a_      &lt;framework key=&quot;if_01&quot; text=&quot;Council of the European Union&quot; institution=&quot;instfr_institution&quot; acronym=&quot;instfr_acronym&quot; /&gt;_x000d__x000a_    &lt;/basicdatatype&gt;_x000d__x000a_  &lt;/metadata&gt;_x000d__x000a_  &lt;metadata key=&quot;md_DraftNote&quot; /&gt;_x000d__x000a_  &lt;metadata key=&quot;md_DGName&quot;&gt;_x000d__x000a_    &lt;basicdatatype&gt;_x000d__x000a_      &lt;dgname key=&quot;&quot; /&gt;_x000d__x000a_    &lt;/basicdatatype&gt;_x000d__x000a_  &lt;/metadata&gt;_x000d__x000a_  &lt;metadata key=&quot;md_ContributingService&quot;&gt;_x000d__x000a_    &lt;text&gt;&lt;/text&gt;_x000d__x000a_  &lt;/metadata&gt;_x000d__x000a_  &lt;metadata key=&quot;md_DocumentLocation&quot;&gt;_x000d__x000a_    &lt;basicdatatype&gt;_x000d__x000a_      &lt;location key=&quot;loc_01&quot; text=&quot;Brussels&quot; /&gt;_x000d__x000a_    &lt;/basicdatatype&gt;_x000d__x000a_  &lt;/metadata&gt;_x000d__x000a_  &lt;metadata key=&quot;md_DocumentDate&quot;&gt;_x000d__x000a_    &lt;text&gt;2024-07-09&lt;/text&gt;_x000d__x000a_  &lt;/metadata&gt;_x000d__x000a_  &lt;metadata key=&quot;md_Prefix&quot;&gt;_x000d__x000a_    &lt;text&gt;&lt;/text&gt;_x000d__x000a_  &lt;/metadata&gt;_x000d__x000a_  &lt;metadata key=&quot;md_DocumentNumber&quot;&gt;_x000d__x000a_    &lt;text&gt;11858&lt;/text&gt;_x000d__x000a_  &lt;/metadata&gt;_x000d__x000a_  &lt;metadata key=&quot;md_YearDocumentNumber&quot;&gt;_x000d__x000a_    &lt;text&gt;2024&lt;/text&gt;_x000d__x000a_  &lt;/metadata&gt;_x000d__x000a_  &lt;metadata key=&quot;md_Suffixes&quot;&gt;_x000d__x000a_    &lt;text&gt;ADD 1&lt;/text&gt;_x000d__x000a_  &lt;/metadata&gt;_x000d__x000a_  &lt;metadata key=&quot;md_SuffixLanguagesInvolved&quot;&gt;_x000d__x000a_    &lt;text&gt;&lt;/text&gt;_x000d__x000a_  &lt;/metadata&gt;_x000d__x000a_  &lt;metadata key=&quot;md_FirstRevNumber&quot;&gt;_x000d__x000a_    &lt;text&gt;&lt;/text&gt;_x000d__x000a_  &lt;/metadata&gt;_x000d__x000a_  &lt;metadata key=&quot;md_Distribution&quot;&gt;_x000d__x000a_    &lt;basicdatatype&gt;_x000d__x000a_      &lt;distribution key=&quot;dis_01&quot; text=&quot;PUBLIC&quot; /&gt;_x000d__x000a_    &lt;/basicdatatype&gt;_x000d__x000a_  &lt;/metadata&gt;_x000d__x000a_  &lt;metadata key=&quot;md_SubjectCodes&quot;&gt;_x000d__x000a_    &lt;textlist&gt;_x000d__x000a_      &lt;text&gt;ECOFIN 820&lt;/text&gt;_x000d__x000a_      &lt;text&gt;UEM 229&lt;/text&gt;_x000d__x000a_      &lt;text&gt;FIN 650&lt;/text&gt;_x000d__x000a_      &lt;text&gt;CADREFIN 124&lt;/text&gt;_x000d__x000a_    &lt;/textlist&gt;_x000d__x000a_  &lt;/metadata&gt;_x000d__x000a_  &lt;metadata key=&quot;md_Contact&quot; /&gt;_x000d__x000a_  &lt;metadata key=&quot;md_ContactPhoneFax&quot; /&gt;_x000d__x000a_  &lt;metadata key=&quot;md_MeetingVenue&quot; /&gt;_x000d__x000a_  &lt;metadata key=&quot;md_ProvisionalVersion&quot;&gt;_x000d__x000a_    &lt;text&gt;&lt;/text&gt;_x000d__x000a_  &lt;/metadata&gt;_x000d__x000a_  &lt;metadata key=&quot;md_PresidentInformation&quot; /&gt;_x000d__x000a_  &lt;metadata key=&quot;md_MeetingNumber&quot; /&gt;_x000d__x000a_  &lt;metadata key=&quot;md_CouncilConfiguration&quot; /&gt;_x000d__x000a_  &lt;metadata key=&quot;md_CouncilIssue&quot; /&gt;_x000d__x000a_  &lt;metadata key=&quot;md_PhoneNumber&quot; /&gt;_x000d__x000a_  &lt;metadata key=&quot;md_TypeOfHeading&quot;&gt;_x000d__x000a_    &lt;basicdatatype&gt;_x000d__x000a_      &lt;typeofheading key=&quot;&quot; /&gt;_x000d__x000a_    &lt;/basicdatatype&gt;_x000d__x000a_  &lt;/metadata&gt;_x000d__x000a_  &lt;metadata key=&quot;md_ReplyName&quot; /&gt;_x000d__x000a_  &lt;metadata key=&quot;md_EPQuestionsData&quot; /&gt;_x000d__x000a_  &lt;metadata key=&quot;md_Deadline&quot; /&gt;_x000d__x000a_  &lt;metadata key=&quot;md_InterinstitutionalFiles&quot;&gt;_x000d__x000a_    &lt;textlist&gt;_x000d__x000a_      &lt;text&gt;2024/0157(NLE)&lt;/text&gt;_x000d__x000a_    &lt;/textlist&gt;_x000d__x000a_  &lt;/metadata&gt;_x000d__x000a_  &lt;metadata key=&quot;md_AdditionalReferences&quot;&gt;_x000d__x000a_    &lt;textlist /&gt;_x000d__x000a_  &lt;/metadata&gt;_x000d__x000a_  &lt;metadata key=&quot;md_LEXNumber&quot;&gt;_x000d__x000a_    &lt;text&gt;&lt;/text&gt;_x000d__x000a_  &lt;/metadata&gt;_x000d__x000a_  &lt;metadata key=&quot;md_SousEmbargo&quot;&gt;_x000d__x000a_    &lt;text&gt;&lt;/text&gt;_x000d__x000a_  &lt;/metadata&gt;_x000d__x000a_  &lt;metadata key=&quot;md_DraftVersion&quot;&gt;_x000d__x000a_    &lt;text&gt;&lt;/text&gt;_x000d__x000a_  &lt;/metadata&gt;_x000d__x000a_  &lt;metadata key=&quot;md_Originator&quot;&gt;_x000d__x000a_    &lt;basicdatatype&gt;_x000d__x000a_      &lt;originator key=&quot;or_09&quot; text=&quot;General Secretariat of the Council&quot; /&gt;_x000d__x000a_    &lt;/basicdatatype&gt;_x000d__x000a_  &lt;/metadata&gt;_x000d__x000a_  &lt;metadata key=&quot;md_Recipient&quot;&gt;_x000d__x000a_    &lt;basicdatatype&gt;_x000d__x000a_      &lt;recipient key=&quot;re_07&quot; text=&quot;Delegations&quot; /&gt;_x000d__x000a_    &lt;/basicdatatype&gt;_x000d__x000a_  &lt;/metadata&gt;_x000d__x000a_  &lt;metadata key=&quot;md_DateOfReceipt&quot;&gt;_x000d__x000a_    &lt;text&gt;&lt;/text&gt;_x000d__x000a_  &lt;/metadata&gt;_x000d__x000a_  &lt;metadata key=&quot;md_FreeDate&quot;&gt;_x000d__x000a_    &lt;textlist /&gt;_x000d__x000a_  &lt;/metadata&gt;_x000d__x000a_  &lt;metadata key=&quot;md_PrecedingDocuments&quot;&gt;_x000d__x000a_    &lt;textlist /&gt;_x000d__x000a_  &lt;/metadata&gt;_x000d__x000a_  &lt;metadata key=&quot;md_CommissionDocuments&quot;&gt;_x000d__x000a_    &lt;textlist&gt;_x000d__x000a_      &lt;text&gt;COM(2024) 283 final&lt;/text&gt;_x000d__x000a_    &lt;/textlist&gt;_x000d__x000a_  &lt;/metadata&gt;_x000d__x000a_  &lt;metadata key=&quot;md_DocForDWNDCL&quot; /&gt;_x000d__x000a_  &lt;metadata key=&quot;md_Distribution_NewClassification&quot; /&gt;_x000d__x000a_  &lt;metadata key=&quot;md_DWNDCLAuthorization&quot; /&gt;_x000d__x000a_  &lt;metadata key=&quot;md_DateOfAuthorization&quot; /&gt;_x000d__x000a_  &lt;metadata key=&quot;md_MeetingLocation&quot; /&gt;_x000d__x000a_  &lt;metadata key=&quot;md_MeetingDate&quot; /&gt;_x000d__x000a_  &lt;metadata key=&quot;md_DateFormatOr&quot;&gt;_x000d__x000a_    &lt;text&gt;&lt;/text&gt;_x000d__x000a_  &lt;/metadata&gt;_x000d__x000a_  &lt;metadata key=&quot;md_MeetingInformation&quot; /&gt;_x000d__x000a_  &lt;metadata key=&quot;md_Item&quot; /&gt;_x000d__x000a_  &lt;metadata key=&quot;md_SubjectPrefix&quot;&gt;_x000d__x000a_    &lt;text&gt;&lt;/text&gt;_x000d__x000a_  &lt;/metadata&gt;_x000d__x000a_  &lt;metadata key=&quot;md_Subject&quot;&gt;_x000d__x000a_    &lt;xaml text=&quot;ANNEX to the COUNCIL IMPLEMENTING DECISION amending Implementing Decision of 13 July 2021 on the approval of the assessment of the recovery and resilience plan for Greece&quot;&gt;&amp;lt;FlowDocument FontFamily=&quot;Segoe UI&quot; FontSize=&quot;12&quot; LineHeight=&quot;6&quot; PageWidth=&quot;329&quot; PagePadding=&quot;2,2,2,2&quot; AllowDrop=&quot;False&quot; xmlns=&quot;http://schemas.microsoft.com/winfx/2006/xaml/presentation&quot;&amp;gt;&amp;lt;Paragraph&amp;gt;ANNEX to the COUNCIL IMPLEMENTING DECISION amending Implementing Decision of 13 July 2021 on the approval of the assessment of the recovery and resilience plan for Greece&amp;lt;/Paragraph&amp;gt;&amp;lt;/FlowDocument&amp;gt;&lt;/xaml&gt;_x000d__x000a_  &lt;/metadata&gt;_x000d__x000a_  &lt;metadata key=&quot;md_SubjectFootnote&quot; /&gt;_x000d__x000a_  &lt;metadata key=&quot;md_DG&quot;&gt;_x000d__x000a_    &lt;text&gt;ECOFIN 1A&lt;/text&gt;_x000d__x000a_  &lt;/metadata&gt;_x000d__x000a_  &lt;metadata key=&quot;md_Initials&quot;&gt;_x000d__x000a_    &lt;text&gt;LEB/sr&lt;/text&gt;_x000d__x000a_  &lt;/metadata&gt;_x000d__x000a_  &lt;metadata key=&quot;md_SensitivityLabel&quot;&gt;_x000d__x000a_    &lt;basicdatatype&gt;_x000d__x000a_      &lt;sensitivity_label key=&quot;senslabel_02&quot; text=&quot;NON-PUBLIC&quot; labelid=&quot;b1df41d6-74a9-4a97-809c-213cd32520cc&quot; siteid=&quot;03ad1c97-0a4d-4e82-8f93-27291a6a0767&quot; isdefault=&quot;true&quot; /&gt;_x000d__x000a_    &lt;/basicdatatype&gt;_x000d__x000a_  &lt;/metadata&gt;_x000d__x000a_  &lt;metadata key=&quot;md_RectifProcedureType&quot;&gt;_x000d__x000a_    &lt;basicdatatype&gt;_x000d__x000a_      &lt;rectifprocedure key=&quot;&quot; /&gt;_x000d__x000a_    &lt;/basicdatatype&gt;_x000d__x000a_  &lt;/metadata&gt;_x000d__x000a_  &lt;metadata key=&quot;md_RectifLanguagesBase&quot; /&gt;_x000d__x000a_  &lt;metadata key=&quot;md_RectifLanguagesConcerned&quot; /&gt;_x000d__x000a_  &lt;metadata key=&quot;md_RectifIsLangSpec&quot; /&gt;_x000d__x000a_  &lt;metadata key=&quot;md_RectifLangSpecValue&quot; /&gt;_x000d__x000a_  &lt;metadata key=&quot;md_RectifNumberOfMistakes&quot; /&gt;_x000d__x000a_  &lt;metadata key=&quot;md_RectifHasRemarks&quot; /&gt;_x000d__x000a_  &lt;metadata key=&quot;md_RectifUseDocRef&quot; /&gt;_x000d__x000a_  &lt;metadata key=&quot;md_RectifDocRefNumber&quot; /&gt;_x000d__x000a_  &lt;metadata key=&quot;md_RectifDocRefDate&quot; /&gt;_x000d__x000a_  &lt;metadata key=&quot;md_RectifUseOJRef&quot; /&gt;_x000d__x000a_  &lt;metadata key=&quot;md_RectifOJRefType&quot; /&gt;_x000d__x000a_  &lt;metadata key=&quot;md_RectifOJLRefNumber&quot; /&gt;_x000d__x000a_  &lt;metadata key=&quot;md_RectifOJCRefNumber&quot; /&gt;_x000d__x000a_  &lt;metadata key=&quot;md_RectifOJLRefDate&quot; /&gt;_x000d__x000a_  &lt;metadata key=&quot;md_RectifOJCRefDate&quot; /&gt;_x000d__x000a_  &lt;metadata key=&quot;md_RectifOJLRefPage&quot; /&gt;_x000d__x000a_  &lt;metadata key=&quot;md_RectifOJCRefPage&quot; /&gt;_x000d__x000a_  &lt;metadata key=&quot;md_RectifUseOJCorRef&quot; /&gt;_x000d__x000a_  &lt;metadata key=&quot;md_RectifOJCorRefNumber&quot; /&gt;_x000d__x000a_  &lt;metadata key=&quot;md_RectifOJCorRefDate&quot; /&gt;_x000d__x000a_  &lt;metadata key=&quot;md_RectifOJCorRefPage&quot; /&gt;_x000d__x000a_  &lt;metadata key=&quot;md_RectifTimeLimit&quot; /&gt;_x000d__x000a_  &lt;metadata key=&quot;md_RectifCodecision&quot; /&gt;_x000d__x000a_  &lt;metadata key=&quot;md_RectifCorrectionNewLang&quot; /&gt;_x000d__x000a_  &lt;metadata key=&quot;md_RectifAgreement&quot; /&gt;_x000d__x000a_  &lt;metadata key=&quot;md_RectifSignature&quot; /&gt;_x000d__x000a_  &lt;metadata key=&quot;md_RectifLastMergeDate&quot; /&gt;_x000d__x000a_  &lt;metadata key=&quot;md_Rectif_Source1_UniqueHeading&quot;&gt;_x000d__x000a_    &lt;basicdatatype&gt;_x000d__x000a_      &lt;text&gt;&lt;/text&gt;_x000d__x000a_    &lt;/basicdatatype&gt;_x000d__x000a_  &lt;/metadata&gt;_x000d__x000a_  &lt;metadata key=&quot;md_Rectif_Source1_DocumentType&quot;&gt;_x000d__x000a_    &lt;basicdatatype&gt;_x000d__x000a_      &lt;doc_type key=&quot;&quot; /&gt;_x000d__x000a_    &lt;/basicdatatype&gt;_x000d__x000a_  &lt;/metadata&gt;_x000d__x000a_  &lt;metadata key=&quot;md_Rectif_Source1_DocumentNumber&quot;&gt;_x000d__x000a_    &lt;text&gt;&lt;/text&gt;_x000d__x000a_  &lt;/metadata&gt;_x000d__x000a_  &lt;metadata key=&quot;md_Rectif_Source1_YearDocumentNumber&quot;&gt;_x000d__x000a_    &lt;text&gt;2024&lt;/text&gt;_x000d__x000a_  &lt;/metadata&gt;_x000d__x000a_  &lt;metadata key=&quot;md_Rectif_Source1_Suffixes&quot;&gt;_x000d__x000a_    &lt;text&gt;&lt;/text&gt;_x000d__x000a_  &lt;/metadata&gt;_x000d__x000a_  &lt;metadata key=&quot;md_Rectif_Source2_UniqueHeading&quot;&gt;_x000d__x000a_    &lt;basicdatatype&gt;_x000d__x000a_      &lt;text&gt;&lt;/text&gt;_x000d__x000a_    &lt;/basicdatatype&gt;_x000d__x000a_  &lt;/metadata&gt;_x000d__x000a_  &lt;metadata key=&quot;md_Rectif_Source2_DocumentType&quot;&gt;_x000d__x000a_    &lt;basicdatatype&gt;_x000d__x000a_      &lt;doc_type key=&quot;&quot; /&gt;_x000d__x000a_    &lt;/basicdatatype&gt;_x000d__x000a_  &lt;/metadata&gt;_x000d__x000a_  &lt;metadata key=&quot;md_Rectif_Source2_DocumentNumber&quot;&gt;_x000d__x000a_    &lt;text&gt;&lt;/text&gt;_x000d__x000a_  &lt;/metadata&gt;_x000d__x000a_  &lt;metadata key=&quot;md_Rectif_Source2_YearDocumentNumber&quot;&gt;_x000d__x000a_    &lt;text&gt;&lt;/text&gt;_x000d__x000a_  &lt;/metadata&gt;_x000d__x000a_  &lt;metadata key=&quot;md_Rectif_Source2_Suffixes&quot;&gt;_x000d__x000a_    &lt;text&gt;&lt;/text&gt;_x000d__x000a_  &lt;/metadata&gt;_x000d__x000a_  &lt;metadata key=&quot;md_CoverPageDocWithCouncilFooter&quot;&gt;_x000d__x000a_    &lt;text&gt;true&lt;/text&gt;_x000d__x000a_  &lt;/metadata&gt;_x000d__x000a_  &lt;metadata key=&quot;md_SourceDocLanguage&quot;&gt;_x000d__x000a_    &lt;text&gt;DE&lt;/text&gt;_x000d__x000a_  &lt;/metadata&gt;_x000d__x000a_  &lt;metadata key=&quot;md_SourceDocType&quot;&gt;_x000d__x000a_    &lt;text&gt;ANNEX&lt;/text&gt;_x000d__x000a_  &lt;/metadata&gt;_x000d__x000a_  &lt;metadata key=&quot;md_SourceDocTitle&quot;&gt;_x000d__x000a_    &lt;text&gt;to the _x000d__x000a_Proposal for a COUNCIL IMPLEMENTING DECISION _x000d__x000a_amending Implementing Decision (EU) (ST 10152/21; ST 10152/2021 ADD 1) of 13 July 2021 on the approval of the assessment of the recovery and resilience plan for Greece&lt;/text&gt;_x000d__x000a_  &lt;/metadata&gt;_x000d__x000a_  &lt;metadata key=&quot;md_SourceDocIsCECDoc&quot;&gt;_x000d__x000a_    &lt;text&gt;true&lt;/text&gt;_x000d__x000a_  &lt;/metadata&gt;_x000d__x000a_  &lt;metadata key=&quot;md_NB1&quot; /&gt;_x000d__x000a_  &lt;metadata key=&quot;md_NB2&quot; /&gt;_x000d__x000a_  &lt;metadata key=&quot;md_NB3&quot; /&gt;_x000d__x000a_  &lt;metadata key=&quot;md_NB4&quot; /&gt;_x000d__x000a_  &lt;metadata key=&quot;md_NB5&quot; /&gt;_x000d__x000a_  &lt;metadata key=&quot;md_CustomNB&quot; /&gt;_x000d__x000a_  &lt;metadata key=&quot;md_Meetings&quot;&gt;_x000d__x000a_    &lt;meetings /&gt;_x000d__x000a_  &lt;/metadata&gt;_x000d__x000a_  &lt;metadata key=&quot;md_VisualRepresentation&quot;&gt;_x000d__x000a_    &lt;basicdatatype&gt;_x000d__x000a_      &lt;visualrepresentation key=&quot;visrep_02&quot; text=&quot;New visual identity&quot; /&gt;_x000d__x000a_    &lt;/basicdatatype&gt;_x000d__x000a_  &lt;/metadata&gt;_x000d__x000a_  &lt;metadata key=&quot;md_LetterData&quot; /&gt;_x000d__x000a_  &lt;metadata key=&quot;md_InstFrSubWordmark&quot;&gt;_x000d__x000a_    &lt;xaml text=&quot;&quot;&gt;&amp;lt;FlowDocument FontFamily=&quot;Segoe UI&quot; FontSize=&quot;12&quot; PagePadding=&quot;2,2,2,2&quot; AllowDrop=&quot;False&quot; xmlns=&quot;http://schemas.microsoft.com/winfx/2006/xaml/presentation&quot; /&amp;gt;&lt;/xaml&gt;_x000d__x000a_  &lt;/metadata&gt;_x000d__x000a_  &lt;metadata key=&quot;md_WorkflowLinkStatus&quot;&gt;_x000d__x000a_    &lt;text&gt;Linked&lt;/text&gt;_x000d__x000a_  &lt;/metadata&gt;_x000d__x000a_  &lt;metadata key=&quot;md_eAgendaLinkStatus&quot; /&gt;_x000d__x000a_  &lt;metadata key=&quot;md_Caveat&quot;&gt;_x000d__x000a_    &lt;text&gt;&lt;/text&gt;_x000d__x000a_  &lt;/metadata&gt;_x000d__x000a_  &lt;metadata key=&quot;md_TechnicalKey&quot; /&gt;_x000d__x000a_&lt;/metadataset&gt;"/>
    <w:docVar w:name="DW_DocType" w:val="Normal"/>
    <w:docVar w:name="DW_KeepCompatibilityMode" w:val="true"/>
    <w:docVar w:name="EPKit_DocumentHasBeenSaved" w:val="true"/>
    <w:docVar w:name="LW_ACCOMPAGNANT.CP" w:val="k"/>
    <w:docVar w:name="LW_ANNEX_NBR_FIRST" w:val="1"/>
    <w:docVar w:name="LW_ANNEX_NBR_LAST" w:val="1"/>
    <w:docVar w:name="LW_ANNEX_UNIQUE" w:val="1"/>
    <w:docVar w:name="LW_CORRIGENDUM" w:val="&lt;UNUSED&gt;"/>
    <w:docVar w:name="LW_COVERPAGE_EXISTS" w:val="True"/>
    <w:docVar w:name="LW_COVERPAGE_GUID" w:val="3432CA98-E6F3-48B5-BEA3-65EC4CF35E8A"/>
    <w:docVar w:name="LW_COVERPAGE_TYPE" w:val="1"/>
    <w:docVar w:name="LW_CROSSREFERENCE" w:val="{SWD(2025) 177 final}"/>
    <w:docVar w:name="LW_DocType" w:val="NORMAL"/>
    <w:docVar w:name="LW_EMISSION" w:val="30. 6. 2025"/>
    <w:docVar w:name="LW_EMISSION_ISODATE" w:val="2025-06-30"/>
    <w:docVar w:name="LW_EMISSION_LOCATION" w:val="BRX"/>
    <w:docVar w:name="LW_EMISSION_PREFIX" w:val="V Bruseli"/>
    <w:docVar w:name="LW_EMISSION_SUFFIX" w:val=" "/>
    <w:docVar w:name="LW_ID_DOCTYPE_NONLW" w:val="CP-036"/>
    <w:docVar w:name="LW_LANGUE" w:val="SK"/>
    <w:docVar w:name="LW_LEVEL_OF_SENSITIVITY" w:val="Standard treatment"/>
    <w:docVar w:name="LW_NOM.INST" w:val="EURÓPSKA KOMISIA"/>
    <w:docVar w:name="LW_NOM.INST_JOINTDOC" w:val="&lt;EMPTY&gt;"/>
    <w:docVar w:name="LW_OBJETACTEPRINCIPAL.CP" w:val="ktorým sa mení vykonávacie rozhodnutie (EÚ) (ST 10152/21 INIT; ST 10152/21 ADD 1) z 13. júla 2021 o schválení posúdenia plánu obnovy a odolnosti Grécka"/>
    <w:docVar w:name="LW_PART_NBR" w:val="1"/>
    <w:docVar w:name="LW_PART_NBR_TOTAL" w:val="1"/>
    <w:docVar w:name="LW_REF.INST.NEW" w:val="COM"/>
    <w:docVar w:name="LW_REF.INST.NEW_ADOPTED" w:val="final"/>
    <w:docVar w:name="LW_REF.INST.NEW_TEXT" w:val="(2025) 36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YPE.DOC.CP" w:val="PRÍLOHA_x000b_"/>
    <w:docVar w:name="LW_TYPEACTEPRINCIPAL.CP" w:val="návrhu VYKONÁVACIEHO ROZHODNUTIA RADY,"/>
    <w:docVar w:name="LwApiVersions" w:val="LW4CoDe 1.24.5.0; LW 9.0, Build 20240221"/>
  </w:docVars>
  <w:rsids>
    <w:rsidRoot w:val="002A7953"/>
    <w:rsid w:val="00000154"/>
    <w:rsid w:val="000001B6"/>
    <w:rsid w:val="00000317"/>
    <w:rsid w:val="000003D0"/>
    <w:rsid w:val="000004D2"/>
    <w:rsid w:val="0000054D"/>
    <w:rsid w:val="0000058D"/>
    <w:rsid w:val="000006A0"/>
    <w:rsid w:val="00000800"/>
    <w:rsid w:val="00000829"/>
    <w:rsid w:val="00000901"/>
    <w:rsid w:val="00000971"/>
    <w:rsid w:val="00000A13"/>
    <w:rsid w:val="00000D94"/>
    <w:rsid w:val="00000E0D"/>
    <w:rsid w:val="0000109B"/>
    <w:rsid w:val="000011A1"/>
    <w:rsid w:val="000011D0"/>
    <w:rsid w:val="00001360"/>
    <w:rsid w:val="00001557"/>
    <w:rsid w:val="000015C8"/>
    <w:rsid w:val="000019C8"/>
    <w:rsid w:val="00001A85"/>
    <w:rsid w:val="00001CFE"/>
    <w:rsid w:val="00001D3C"/>
    <w:rsid w:val="00001DDF"/>
    <w:rsid w:val="000020DE"/>
    <w:rsid w:val="00002155"/>
    <w:rsid w:val="00002177"/>
    <w:rsid w:val="000021BC"/>
    <w:rsid w:val="000021FB"/>
    <w:rsid w:val="000022EA"/>
    <w:rsid w:val="000023A2"/>
    <w:rsid w:val="00002468"/>
    <w:rsid w:val="000025E2"/>
    <w:rsid w:val="000027AC"/>
    <w:rsid w:val="000029CC"/>
    <w:rsid w:val="000029F9"/>
    <w:rsid w:val="00002AF0"/>
    <w:rsid w:val="00002BE4"/>
    <w:rsid w:val="00002F62"/>
    <w:rsid w:val="0000300C"/>
    <w:rsid w:val="000030CB"/>
    <w:rsid w:val="000030FA"/>
    <w:rsid w:val="00003218"/>
    <w:rsid w:val="00003220"/>
    <w:rsid w:val="000034B5"/>
    <w:rsid w:val="00003506"/>
    <w:rsid w:val="00003529"/>
    <w:rsid w:val="00003631"/>
    <w:rsid w:val="0000399B"/>
    <w:rsid w:val="000039B2"/>
    <w:rsid w:val="00003F94"/>
    <w:rsid w:val="000042A7"/>
    <w:rsid w:val="00004385"/>
    <w:rsid w:val="0000442B"/>
    <w:rsid w:val="00004678"/>
    <w:rsid w:val="00004731"/>
    <w:rsid w:val="000047C2"/>
    <w:rsid w:val="00004883"/>
    <w:rsid w:val="000049DB"/>
    <w:rsid w:val="00004A77"/>
    <w:rsid w:val="00004BB0"/>
    <w:rsid w:val="00004BEF"/>
    <w:rsid w:val="00004C37"/>
    <w:rsid w:val="00004CBB"/>
    <w:rsid w:val="00004F1A"/>
    <w:rsid w:val="0000520D"/>
    <w:rsid w:val="000052F2"/>
    <w:rsid w:val="000053BD"/>
    <w:rsid w:val="00005681"/>
    <w:rsid w:val="000059CA"/>
    <w:rsid w:val="00005C10"/>
    <w:rsid w:val="00005D2B"/>
    <w:rsid w:val="000062BE"/>
    <w:rsid w:val="000062E6"/>
    <w:rsid w:val="00006651"/>
    <w:rsid w:val="00006A4E"/>
    <w:rsid w:val="00006C79"/>
    <w:rsid w:val="00006DC7"/>
    <w:rsid w:val="00006EA6"/>
    <w:rsid w:val="00007023"/>
    <w:rsid w:val="00007150"/>
    <w:rsid w:val="00007175"/>
    <w:rsid w:val="000072C8"/>
    <w:rsid w:val="00007355"/>
    <w:rsid w:val="000073F6"/>
    <w:rsid w:val="000073F7"/>
    <w:rsid w:val="00007444"/>
    <w:rsid w:val="00007524"/>
    <w:rsid w:val="000076FD"/>
    <w:rsid w:val="0000777A"/>
    <w:rsid w:val="00007A02"/>
    <w:rsid w:val="00007BD1"/>
    <w:rsid w:val="00007DDF"/>
    <w:rsid w:val="0001003F"/>
    <w:rsid w:val="000101F7"/>
    <w:rsid w:val="0001023C"/>
    <w:rsid w:val="000103D8"/>
    <w:rsid w:val="000104C9"/>
    <w:rsid w:val="0001054C"/>
    <w:rsid w:val="000105B1"/>
    <w:rsid w:val="000105DC"/>
    <w:rsid w:val="0001065D"/>
    <w:rsid w:val="00010875"/>
    <w:rsid w:val="000108A9"/>
    <w:rsid w:val="000109ED"/>
    <w:rsid w:val="00010AC5"/>
    <w:rsid w:val="00010C4C"/>
    <w:rsid w:val="00011287"/>
    <w:rsid w:val="0001152D"/>
    <w:rsid w:val="00011580"/>
    <w:rsid w:val="000115BB"/>
    <w:rsid w:val="000115DE"/>
    <w:rsid w:val="00011692"/>
    <w:rsid w:val="000116C5"/>
    <w:rsid w:val="000117A3"/>
    <w:rsid w:val="000117CE"/>
    <w:rsid w:val="00011821"/>
    <w:rsid w:val="00011951"/>
    <w:rsid w:val="00011BE4"/>
    <w:rsid w:val="00011C70"/>
    <w:rsid w:val="00011D16"/>
    <w:rsid w:val="00011E43"/>
    <w:rsid w:val="00011F0D"/>
    <w:rsid w:val="00011F5E"/>
    <w:rsid w:val="00012118"/>
    <w:rsid w:val="0001231A"/>
    <w:rsid w:val="000124F8"/>
    <w:rsid w:val="000125EF"/>
    <w:rsid w:val="00012631"/>
    <w:rsid w:val="000126BD"/>
    <w:rsid w:val="00012843"/>
    <w:rsid w:val="0001296C"/>
    <w:rsid w:val="00012A1D"/>
    <w:rsid w:val="00012A79"/>
    <w:rsid w:val="00012B3D"/>
    <w:rsid w:val="00012B85"/>
    <w:rsid w:val="00012CDA"/>
    <w:rsid w:val="00012D73"/>
    <w:rsid w:val="00012D74"/>
    <w:rsid w:val="00012F19"/>
    <w:rsid w:val="00012F80"/>
    <w:rsid w:val="00013178"/>
    <w:rsid w:val="000131F1"/>
    <w:rsid w:val="0001328C"/>
    <w:rsid w:val="000132E4"/>
    <w:rsid w:val="00013335"/>
    <w:rsid w:val="000133E8"/>
    <w:rsid w:val="00013414"/>
    <w:rsid w:val="0001364F"/>
    <w:rsid w:val="0001365F"/>
    <w:rsid w:val="00013B24"/>
    <w:rsid w:val="00013B9E"/>
    <w:rsid w:val="00013C00"/>
    <w:rsid w:val="00013C1E"/>
    <w:rsid w:val="00013C6E"/>
    <w:rsid w:val="00013D63"/>
    <w:rsid w:val="00013DA4"/>
    <w:rsid w:val="00013E81"/>
    <w:rsid w:val="00013FEE"/>
    <w:rsid w:val="00014067"/>
    <w:rsid w:val="000142A8"/>
    <w:rsid w:val="0001430B"/>
    <w:rsid w:val="00014337"/>
    <w:rsid w:val="00014534"/>
    <w:rsid w:val="00014543"/>
    <w:rsid w:val="0001462A"/>
    <w:rsid w:val="00014740"/>
    <w:rsid w:val="000147F0"/>
    <w:rsid w:val="000148C4"/>
    <w:rsid w:val="00014986"/>
    <w:rsid w:val="00014B28"/>
    <w:rsid w:val="00014CE0"/>
    <w:rsid w:val="00014D99"/>
    <w:rsid w:val="00014E1D"/>
    <w:rsid w:val="000150C8"/>
    <w:rsid w:val="0001513C"/>
    <w:rsid w:val="0001521A"/>
    <w:rsid w:val="00015527"/>
    <w:rsid w:val="000155E3"/>
    <w:rsid w:val="000158A5"/>
    <w:rsid w:val="000159E4"/>
    <w:rsid w:val="00015A0D"/>
    <w:rsid w:val="00015B94"/>
    <w:rsid w:val="00015BAD"/>
    <w:rsid w:val="00015CD6"/>
    <w:rsid w:val="00015D77"/>
    <w:rsid w:val="00015E16"/>
    <w:rsid w:val="00015F96"/>
    <w:rsid w:val="00016144"/>
    <w:rsid w:val="000161D0"/>
    <w:rsid w:val="000161D8"/>
    <w:rsid w:val="00016222"/>
    <w:rsid w:val="00016258"/>
    <w:rsid w:val="00016438"/>
    <w:rsid w:val="00016680"/>
    <w:rsid w:val="00016698"/>
    <w:rsid w:val="0001673F"/>
    <w:rsid w:val="0001678F"/>
    <w:rsid w:val="000167C4"/>
    <w:rsid w:val="00016976"/>
    <w:rsid w:val="000169AB"/>
    <w:rsid w:val="000169C2"/>
    <w:rsid w:val="00016A15"/>
    <w:rsid w:val="00016AC3"/>
    <w:rsid w:val="00016AD3"/>
    <w:rsid w:val="00016BDF"/>
    <w:rsid w:val="00016CD5"/>
    <w:rsid w:val="00016D95"/>
    <w:rsid w:val="00016F88"/>
    <w:rsid w:val="000170CC"/>
    <w:rsid w:val="000171E3"/>
    <w:rsid w:val="000171FA"/>
    <w:rsid w:val="000174E2"/>
    <w:rsid w:val="00017752"/>
    <w:rsid w:val="000178A5"/>
    <w:rsid w:val="000178B6"/>
    <w:rsid w:val="000179F9"/>
    <w:rsid w:val="00017A60"/>
    <w:rsid w:val="00017C0A"/>
    <w:rsid w:val="00017C9B"/>
    <w:rsid w:val="00017DB8"/>
    <w:rsid w:val="00017F62"/>
    <w:rsid w:val="0002006A"/>
    <w:rsid w:val="00020142"/>
    <w:rsid w:val="000203AE"/>
    <w:rsid w:val="00020519"/>
    <w:rsid w:val="00020767"/>
    <w:rsid w:val="00020783"/>
    <w:rsid w:val="000207EC"/>
    <w:rsid w:val="0002095C"/>
    <w:rsid w:val="00020996"/>
    <w:rsid w:val="00020D50"/>
    <w:rsid w:val="00020D6D"/>
    <w:rsid w:val="00020DD8"/>
    <w:rsid w:val="00020DE7"/>
    <w:rsid w:val="00020DEA"/>
    <w:rsid w:val="00020DFB"/>
    <w:rsid w:val="00020E60"/>
    <w:rsid w:val="0002102E"/>
    <w:rsid w:val="0002118A"/>
    <w:rsid w:val="0002125A"/>
    <w:rsid w:val="00021383"/>
    <w:rsid w:val="00021394"/>
    <w:rsid w:val="000216BD"/>
    <w:rsid w:val="00021896"/>
    <w:rsid w:val="000218C0"/>
    <w:rsid w:val="00021A8A"/>
    <w:rsid w:val="00021E02"/>
    <w:rsid w:val="00021EAF"/>
    <w:rsid w:val="00021F3F"/>
    <w:rsid w:val="00021F9C"/>
    <w:rsid w:val="0002223B"/>
    <w:rsid w:val="000222F0"/>
    <w:rsid w:val="00022321"/>
    <w:rsid w:val="000224F2"/>
    <w:rsid w:val="0002255B"/>
    <w:rsid w:val="0002260F"/>
    <w:rsid w:val="00022712"/>
    <w:rsid w:val="000227A9"/>
    <w:rsid w:val="000227DA"/>
    <w:rsid w:val="00022856"/>
    <w:rsid w:val="0002290A"/>
    <w:rsid w:val="00022931"/>
    <w:rsid w:val="00022A8A"/>
    <w:rsid w:val="00022ADA"/>
    <w:rsid w:val="00022CC4"/>
    <w:rsid w:val="00022CD2"/>
    <w:rsid w:val="00022DEB"/>
    <w:rsid w:val="00022DF9"/>
    <w:rsid w:val="000231B5"/>
    <w:rsid w:val="00023383"/>
    <w:rsid w:val="0002339C"/>
    <w:rsid w:val="0002341E"/>
    <w:rsid w:val="00023676"/>
    <w:rsid w:val="00023719"/>
    <w:rsid w:val="00023A0C"/>
    <w:rsid w:val="00023B97"/>
    <w:rsid w:val="00023C61"/>
    <w:rsid w:val="00023CCF"/>
    <w:rsid w:val="00023CDD"/>
    <w:rsid w:val="00023D3B"/>
    <w:rsid w:val="00023EA5"/>
    <w:rsid w:val="00023FF1"/>
    <w:rsid w:val="000240B8"/>
    <w:rsid w:val="000240F1"/>
    <w:rsid w:val="00024119"/>
    <w:rsid w:val="000244D1"/>
    <w:rsid w:val="00024587"/>
    <w:rsid w:val="000245A9"/>
    <w:rsid w:val="000245BD"/>
    <w:rsid w:val="00024940"/>
    <w:rsid w:val="00024967"/>
    <w:rsid w:val="000249AA"/>
    <w:rsid w:val="000249C6"/>
    <w:rsid w:val="00024C00"/>
    <w:rsid w:val="00024C48"/>
    <w:rsid w:val="00024D46"/>
    <w:rsid w:val="00024F16"/>
    <w:rsid w:val="0002549D"/>
    <w:rsid w:val="000254C8"/>
    <w:rsid w:val="00025504"/>
    <w:rsid w:val="00025766"/>
    <w:rsid w:val="000257D7"/>
    <w:rsid w:val="000257DE"/>
    <w:rsid w:val="000257EB"/>
    <w:rsid w:val="0002581E"/>
    <w:rsid w:val="00025838"/>
    <w:rsid w:val="00025BD4"/>
    <w:rsid w:val="00025C10"/>
    <w:rsid w:val="00025C66"/>
    <w:rsid w:val="0002622A"/>
    <w:rsid w:val="00026264"/>
    <w:rsid w:val="0002646A"/>
    <w:rsid w:val="0002648F"/>
    <w:rsid w:val="00026559"/>
    <w:rsid w:val="00026568"/>
    <w:rsid w:val="000265A8"/>
    <w:rsid w:val="00026733"/>
    <w:rsid w:val="00026885"/>
    <w:rsid w:val="000269B5"/>
    <w:rsid w:val="00026AE6"/>
    <w:rsid w:val="00026B51"/>
    <w:rsid w:val="00026C88"/>
    <w:rsid w:val="00026D5D"/>
    <w:rsid w:val="00026D92"/>
    <w:rsid w:val="00026D97"/>
    <w:rsid w:val="000271D8"/>
    <w:rsid w:val="000272D1"/>
    <w:rsid w:val="0002730C"/>
    <w:rsid w:val="000273B2"/>
    <w:rsid w:val="0002751F"/>
    <w:rsid w:val="0002761A"/>
    <w:rsid w:val="00027635"/>
    <w:rsid w:val="0002784D"/>
    <w:rsid w:val="00027993"/>
    <w:rsid w:val="00027CB7"/>
    <w:rsid w:val="00027DA8"/>
    <w:rsid w:val="00027E9F"/>
    <w:rsid w:val="00027F86"/>
    <w:rsid w:val="00030069"/>
    <w:rsid w:val="0003022C"/>
    <w:rsid w:val="000303C8"/>
    <w:rsid w:val="00030490"/>
    <w:rsid w:val="000304EC"/>
    <w:rsid w:val="00030640"/>
    <w:rsid w:val="00030643"/>
    <w:rsid w:val="00030852"/>
    <w:rsid w:val="00030871"/>
    <w:rsid w:val="00030A03"/>
    <w:rsid w:val="00030D15"/>
    <w:rsid w:val="00030D90"/>
    <w:rsid w:val="00030DEF"/>
    <w:rsid w:val="00030FF5"/>
    <w:rsid w:val="0003118C"/>
    <w:rsid w:val="000311F6"/>
    <w:rsid w:val="00031484"/>
    <w:rsid w:val="000314B0"/>
    <w:rsid w:val="000314CD"/>
    <w:rsid w:val="00031535"/>
    <w:rsid w:val="0003158C"/>
    <w:rsid w:val="00031750"/>
    <w:rsid w:val="00031762"/>
    <w:rsid w:val="00031A33"/>
    <w:rsid w:val="00031C88"/>
    <w:rsid w:val="00031CFC"/>
    <w:rsid w:val="00031D26"/>
    <w:rsid w:val="00031DC1"/>
    <w:rsid w:val="00031F1F"/>
    <w:rsid w:val="00032105"/>
    <w:rsid w:val="00032152"/>
    <w:rsid w:val="00032165"/>
    <w:rsid w:val="0003217A"/>
    <w:rsid w:val="0003227B"/>
    <w:rsid w:val="000326EC"/>
    <w:rsid w:val="0003271D"/>
    <w:rsid w:val="00032849"/>
    <w:rsid w:val="000329A7"/>
    <w:rsid w:val="00032A1F"/>
    <w:rsid w:val="00032A9A"/>
    <w:rsid w:val="00032C4A"/>
    <w:rsid w:val="00032FA6"/>
    <w:rsid w:val="000331DE"/>
    <w:rsid w:val="00033251"/>
    <w:rsid w:val="00033260"/>
    <w:rsid w:val="00033288"/>
    <w:rsid w:val="000333E0"/>
    <w:rsid w:val="00033465"/>
    <w:rsid w:val="00033525"/>
    <w:rsid w:val="00033639"/>
    <w:rsid w:val="0003364A"/>
    <w:rsid w:val="0003371D"/>
    <w:rsid w:val="00033801"/>
    <w:rsid w:val="00033822"/>
    <w:rsid w:val="00033837"/>
    <w:rsid w:val="00033B07"/>
    <w:rsid w:val="00033BF4"/>
    <w:rsid w:val="00033DFD"/>
    <w:rsid w:val="00033F01"/>
    <w:rsid w:val="00033F0A"/>
    <w:rsid w:val="00033F1E"/>
    <w:rsid w:val="0003411C"/>
    <w:rsid w:val="0003415E"/>
    <w:rsid w:val="00034273"/>
    <w:rsid w:val="00034278"/>
    <w:rsid w:val="000342D5"/>
    <w:rsid w:val="0003431F"/>
    <w:rsid w:val="000343D5"/>
    <w:rsid w:val="000345C7"/>
    <w:rsid w:val="00034758"/>
    <w:rsid w:val="00034829"/>
    <w:rsid w:val="00034847"/>
    <w:rsid w:val="00034953"/>
    <w:rsid w:val="00034ACF"/>
    <w:rsid w:val="00034F85"/>
    <w:rsid w:val="0003503F"/>
    <w:rsid w:val="00035151"/>
    <w:rsid w:val="0003518C"/>
    <w:rsid w:val="00035678"/>
    <w:rsid w:val="000359FD"/>
    <w:rsid w:val="00035A8A"/>
    <w:rsid w:val="00035BFB"/>
    <w:rsid w:val="00035CF1"/>
    <w:rsid w:val="00035E18"/>
    <w:rsid w:val="00035EDB"/>
    <w:rsid w:val="00035F16"/>
    <w:rsid w:val="00035F6A"/>
    <w:rsid w:val="00036063"/>
    <w:rsid w:val="00036142"/>
    <w:rsid w:val="00036195"/>
    <w:rsid w:val="000361DA"/>
    <w:rsid w:val="00036534"/>
    <w:rsid w:val="0003670C"/>
    <w:rsid w:val="000367A9"/>
    <w:rsid w:val="00036959"/>
    <w:rsid w:val="0003699E"/>
    <w:rsid w:val="000369B4"/>
    <w:rsid w:val="00036A80"/>
    <w:rsid w:val="00036C62"/>
    <w:rsid w:val="00036D00"/>
    <w:rsid w:val="00036D14"/>
    <w:rsid w:val="00036F39"/>
    <w:rsid w:val="000370B0"/>
    <w:rsid w:val="000370D5"/>
    <w:rsid w:val="00037337"/>
    <w:rsid w:val="00037384"/>
    <w:rsid w:val="000373A8"/>
    <w:rsid w:val="00037494"/>
    <w:rsid w:val="00037637"/>
    <w:rsid w:val="000376A7"/>
    <w:rsid w:val="00037753"/>
    <w:rsid w:val="00037775"/>
    <w:rsid w:val="0003785A"/>
    <w:rsid w:val="00037A74"/>
    <w:rsid w:val="00037AE7"/>
    <w:rsid w:val="00037B93"/>
    <w:rsid w:val="00037C22"/>
    <w:rsid w:val="00037E4E"/>
    <w:rsid w:val="00037E53"/>
    <w:rsid w:val="0004002E"/>
    <w:rsid w:val="000400D4"/>
    <w:rsid w:val="000401A6"/>
    <w:rsid w:val="0004030E"/>
    <w:rsid w:val="0004045C"/>
    <w:rsid w:val="0004045F"/>
    <w:rsid w:val="00040474"/>
    <w:rsid w:val="00040529"/>
    <w:rsid w:val="000406C0"/>
    <w:rsid w:val="000407AD"/>
    <w:rsid w:val="000407B4"/>
    <w:rsid w:val="000407F9"/>
    <w:rsid w:val="000409BE"/>
    <w:rsid w:val="000409DC"/>
    <w:rsid w:val="00040B16"/>
    <w:rsid w:val="00040F3F"/>
    <w:rsid w:val="000413CE"/>
    <w:rsid w:val="0004154E"/>
    <w:rsid w:val="000415CE"/>
    <w:rsid w:val="000415FA"/>
    <w:rsid w:val="00041BDE"/>
    <w:rsid w:val="00041C3B"/>
    <w:rsid w:val="00041D3B"/>
    <w:rsid w:val="00041DD3"/>
    <w:rsid w:val="00041DE6"/>
    <w:rsid w:val="00041FE5"/>
    <w:rsid w:val="0004210B"/>
    <w:rsid w:val="000422A5"/>
    <w:rsid w:val="000422EF"/>
    <w:rsid w:val="000423CA"/>
    <w:rsid w:val="000427C4"/>
    <w:rsid w:val="000427F0"/>
    <w:rsid w:val="00042A3A"/>
    <w:rsid w:val="00042A56"/>
    <w:rsid w:val="00042AB8"/>
    <w:rsid w:val="00042C17"/>
    <w:rsid w:val="00042D40"/>
    <w:rsid w:val="00042D9D"/>
    <w:rsid w:val="000430FE"/>
    <w:rsid w:val="00043276"/>
    <w:rsid w:val="0004329C"/>
    <w:rsid w:val="00043367"/>
    <w:rsid w:val="000433B3"/>
    <w:rsid w:val="000434E1"/>
    <w:rsid w:val="00043606"/>
    <w:rsid w:val="0004369F"/>
    <w:rsid w:val="0004374B"/>
    <w:rsid w:val="0004388E"/>
    <w:rsid w:val="000438D2"/>
    <w:rsid w:val="00043969"/>
    <w:rsid w:val="0004397B"/>
    <w:rsid w:val="00043A74"/>
    <w:rsid w:val="00043BDC"/>
    <w:rsid w:val="00043C04"/>
    <w:rsid w:val="00043FCA"/>
    <w:rsid w:val="000440C4"/>
    <w:rsid w:val="00044118"/>
    <w:rsid w:val="00044161"/>
    <w:rsid w:val="0004422F"/>
    <w:rsid w:val="000442D4"/>
    <w:rsid w:val="000443CD"/>
    <w:rsid w:val="00044413"/>
    <w:rsid w:val="0004445C"/>
    <w:rsid w:val="000444A6"/>
    <w:rsid w:val="00044613"/>
    <w:rsid w:val="0004462E"/>
    <w:rsid w:val="000446F8"/>
    <w:rsid w:val="00044773"/>
    <w:rsid w:val="00044978"/>
    <w:rsid w:val="00044A60"/>
    <w:rsid w:val="00044B4F"/>
    <w:rsid w:val="00044B82"/>
    <w:rsid w:val="00044C64"/>
    <w:rsid w:val="00044D77"/>
    <w:rsid w:val="00044E5A"/>
    <w:rsid w:val="00045066"/>
    <w:rsid w:val="00045313"/>
    <w:rsid w:val="000454B3"/>
    <w:rsid w:val="0004563B"/>
    <w:rsid w:val="00045738"/>
    <w:rsid w:val="000457F9"/>
    <w:rsid w:val="00045AE5"/>
    <w:rsid w:val="00045B77"/>
    <w:rsid w:val="00046023"/>
    <w:rsid w:val="00046428"/>
    <w:rsid w:val="000464E5"/>
    <w:rsid w:val="00046529"/>
    <w:rsid w:val="0004655F"/>
    <w:rsid w:val="000465FC"/>
    <w:rsid w:val="000467A3"/>
    <w:rsid w:val="0004696E"/>
    <w:rsid w:val="00046AF8"/>
    <w:rsid w:val="00046B4D"/>
    <w:rsid w:val="00046B83"/>
    <w:rsid w:val="00046BFA"/>
    <w:rsid w:val="00046CBB"/>
    <w:rsid w:val="00046E65"/>
    <w:rsid w:val="00046F77"/>
    <w:rsid w:val="000470FD"/>
    <w:rsid w:val="000471CE"/>
    <w:rsid w:val="000471E5"/>
    <w:rsid w:val="000472CA"/>
    <w:rsid w:val="000472E1"/>
    <w:rsid w:val="0004732D"/>
    <w:rsid w:val="000473AC"/>
    <w:rsid w:val="000474FA"/>
    <w:rsid w:val="0004768C"/>
    <w:rsid w:val="000477D9"/>
    <w:rsid w:val="0004794D"/>
    <w:rsid w:val="00047A65"/>
    <w:rsid w:val="00047CAC"/>
    <w:rsid w:val="00047CE6"/>
    <w:rsid w:val="00047D5D"/>
    <w:rsid w:val="00047DB6"/>
    <w:rsid w:val="00047E59"/>
    <w:rsid w:val="00047E90"/>
    <w:rsid w:val="00047F94"/>
    <w:rsid w:val="00047FA0"/>
    <w:rsid w:val="00047FBF"/>
    <w:rsid w:val="00047FCF"/>
    <w:rsid w:val="00047FE6"/>
    <w:rsid w:val="00050017"/>
    <w:rsid w:val="00050177"/>
    <w:rsid w:val="000501DB"/>
    <w:rsid w:val="0005020A"/>
    <w:rsid w:val="000502C9"/>
    <w:rsid w:val="00050332"/>
    <w:rsid w:val="00050428"/>
    <w:rsid w:val="00050526"/>
    <w:rsid w:val="00050675"/>
    <w:rsid w:val="000507B0"/>
    <w:rsid w:val="00050ACD"/>
    <w:rsid w:val="00050C06"/>
    <w:rsid w:val="00050C21"/>
    <w:rsid w:val="00050C8C"/>
    <w:rsid w:val="00050DA5"/>
    <w:rsid w:val="00050DDC"/>
    <w:rsid w:val="00050DFE"/>
    <w:rsid w:val="00050F57"/>
    <w:rsid w:val="00051326"/>
    <w:rsid w:val="0005134B"/>
    <w:rsid w:val="000514B0"/>
    <w:rsid w:val="00051522"/>
    <w:rsid w:val="00051580"/>
    <w:rsid w:val="00051666"/>
    <w:rsid w:val="00051851"/>
    <w:rsid w:val="00051855"/>
    <w:rsid w:val="00051B2F"/>
    <w:rsid w:val="00051BB2"/>
    <w:rsid w:val="00051C25"/>
    <w:rsid w:val="00051D2C"/>
    <w:rsid w:val="00051F50"/>
    <w:rsid w:val="0005202D"/>
    <w:rsid w:val="00052072"/>
    <w:rsid w:val="000521EB"/>
    <w:rsid w:val="000522CD"/>
    <w:rsid w:val="00052305"/>
    <w:rsid w:val="0005237D"/>
    <w:rsid w:val="000523CD"/>
    <w:rsid w:val="000523E6"/>
    <w:rsid w:val="00052591"/>
    <w:rsid w:val="0005261C"/>
    <w:rsid w:val="00052852"/>
    <w:rsid w:val="000528DA"/>
    <w:rsid w:val="00052A32"/>
    <w:rsid w:val="00052AF5"/>
    <w:rsid w:val="00052B05"/>
    <w:rsid w:val="00052B12"/>
    <w:rsid w:val="00052F2B"/>
    <w:rsid w:val="00052F43"/>
    <w:rsid w:val="00052FDD"/>
    <w:rsid w:val="0005301B"/>
    <w:rsid w:val="000532D5"/>
    <w:rsid w:val="0005335C"/>
    <w:rsid w:val="0005350A"/>
    <w:rsid w:val="0005355D"/>
    <w:rsid w:val="000535CA"/>
    <w:rsid w:val="00053677"/>
    <w:rsid w:val="0005367E"/>
    <w:rsid w:val="000536AC"/>
    <w:rsid w:val="0005370A"/>
    <w:rsid w:val="00053782"/>
    <w:rsid w:val="00053843"/>
    <w:rsid w:val="00053881"/>
    <w:rsid w:val="00053A68"/>
    <w:rsid w:val="00053B34"/>
    <w:rsid w:val="00053C4C"/>
    <w:rsid w:val="00054095"/>
    <w:rsid w:val="00054096"/>
    <w:rsid w:val="00054282"/>
    <w:rsid w:val="00054328"/>
    <w:rsid w:val="0005435C"/>
    <w:rsid w:val="0005477B"/>
    <w:rsid w:val="0005487D"/>
    <w:rsid w:val="00054906"/>
    <w:rsid w:val="000549C0"/>
    <w:rsid w:val="00054A2E"/>
    <w:rsid w:val="00054B23"/>
    <w:rsid w:val="00054C03"/>
    <w:rsid w:val="00054C40"/>
    <w:rsid w:val="00054EBB"/>
    <w:rsid w:val="00054EE5"/>
    <w:rsid w:val="00054F5B"/>
    <w:rsid w:val="00054FB1"/>
    <w:rsid w:val="00055008"/>
    <w:rsid w:val="00055279"/>
    <w:rsid w:val="000553C2"/>
    <w:rsid w:val="000553F5"/>
    <w:rsid w:val="00055428"/>
    <w:rsid w:val="00055497"/>
    <w:rsid w:val="0005569D"/>
    <w:rsid w:val="000557DF"/>
    <w:rsid w:val="00055881"/>
    <w:rsid w:val="00055979"/>
    <w:rsid w:val="000559F0"/>
    <w:rsid w:val="00055AD1"/>
    <w:rsid w:val="00055C03"/>
    <w:rsid w:val="00055C26"/>
    <w:rsid w:val="00055C51"/>
    <w:rsid w:val="0005609A"/>
    <w:rsid w:val="000562E8"/>
    <w:rsid w:val="0005639E"/>
    <w:rsid w:val="00056576"/>
    <w:rsid w:val="000565A6"/>
    <w:rsid w:val="000565AA"/>
    <w:rsid w:val="000565F4"/>
    <w:rsid w:val="0005672A"/>
    <w:rsid w:val="00056856"/>
    <w:rsid w:val="000568F2"/>
    <w:rsid w:val="000569BD"/>
    <w:rsid w:val="00056CAC"/>
    <w:rsid w:val="00056DDA"/>
    <w:rsid w:val="00056E8D"/>
    <w:rsid w:val="00056F52"/>
    <w:rsid w:val="000570A4"/>
    <w:rsid w:val="0005715B"/>
    <w:rsid w:val="0005716D"/>
    <w:rsid w:val="000571CE"/>
    <w:rsid w:val="000575AD"/>
    <w:rsid w:val="0005769D"/>
    <w:rsid w:val="000577F3"/>
    <w:rsid w:val="000579C3"/>
    <w:rsid w:val="00057A1D"/>
    <w:rsid w:val="00057B8F"/>
    <w:rsid w:val="00057BD5"/>
    <w:rsid w:val="00057C11"/>
    <w:rsid w:val="00057C1B"/>
    <w:rsid w:val="00057CFB"/>
    <w:rsid w:val="00057EC8"/>
    <w:rsid w:val="00057F93"/>
    <w:rsid w:val="0006005F"/>
    <w:rsid w:val="00060093"/>
    <w:rsid w:val="000600A7"/>
    <w:rsid w:val="00060152"/>
    <w:rsid w:val="00060199"/>
    <w:rsid w:val="000601B3"/>
    <w:rsid w:val="00060208"/>
    <w:rsid w:val="00060233"/>
    <w:rsid w:val="00060403"/>
    <w:rsid w:val="00060601"/>
    <w:rsid w:val="0006068F"/>
    <w:rsid w:val="000608CA"/>
    <w:rsid w:val="00060A2E"/>
    <w:rsid w:val="00060C42"/>
    <w:rsid w:val="00060C6D"/>
    <w:rsid w:val="00060E67"/>
    <w:rsid w:val="00060F6E"/>
    <w:rsid w:val="00060F9D"/>
    <w:rsid w:val="000612B5"/>
    <w:rsid w:val="00061431"/>
    <w:rsid w:val="000614DF"/>
    <w:rsid w:val="00061755"/>
    <w:rsid w:val="000617B1"/>
    <w:rsid w:val="0006188D"/>
    <w:rsid w:val="000618B3"/>
    <w:rsid w:val="00061A42"/>
    <w:rsid w:val="00061BCA"/>
    <w:rsid w:val="00061BE7"/>
    <w:rsid w:val="00061D25"/>
    <w:rsid w:val="00062246"/>
    <w:rsid w:val="000622AE"/>
    <w:rsid w:val="00062384"/>
    <w:rsid w:val="00062459"/>
    <w:rsid w:val="000627F6"/>
    <w:rsid w:val="00062844"/>
    <w:rsid w:val="000628C5"/>
    <w:rsid w:val="00062A4A"/>
    <w:rsid w:val="00062B61"/>
    <w:rsid w:val="00062BE4"/>
    <w:rsid w:val="00062C52"/>
    <w:rsid w:val="00062C6D"/>
    <w:rsid w:val="00062D7D"/>
    <w:rsid w:val="00062DDF"/>
    <w:rsid w:val="00062DE3"/>
    <w:rsid w:val="000630E4"/>
    <w:rsid w:val="0006325E"/>
    <w:rsid w:val="000632A3"/>
    <w:rsid w:val="000633FF"/>
    <w:rsid w:val="00063504"/>
    <w:rsid w:val="00063506"/>
    <w:rsid w:val="0006379B"/>
    <w:rsid w:val="000637F9"/>
    <w:rsid w:val="0006386F"/>
    <w:rsid w:val="00063953"/>
    <w:rsid w:val="0006398D"/>
    <w:rsid w:val="00063A95"/>
    <w:rsid w:val="00063BCB"/>
    <w:rsid w:val="00063D2B"/>
    <w:rsid w:val="00063DC2"/>
    <w:rsid w:val="000642BD"/>
    <w:rsid w:val="000644A0"/>
    <w:rsid w:val="00064616"/>
    <w:rsid w:val="00064726"/>
    <w:rsid w:val="00064730"/>
    <w:rsid w:val="00064752"/>
    <w:rsid w:val="00064810"/>
    <w:rsid w:val="00064817"/>
    <w:rsid w:val="000648A1"/>
    <w:rsid w:val="00064AA4"/>
    <w:rsid w:val="00064F9D"/>
    <w:rsid w:val="00064FC3"/>
    <w:rsid w:val="00065001"/>
    <w:rsid w:val="0006515F"/>
    <w:rsid w:val="00065199"/>
    <w:rsid w:val="00065380"/>
    <w:rsid w:val="000659E1"/>
    <w:rsid w:val="000659E8"/>
    <w:rsid w:val="00065AD5"/>
    <w:rsid w:val="00065C19"/>
    <w:rsid w:val="00065CE8"/>
    <w:rsid w:val="00065D44"/>
    <w:rsid w:val="00065E8C"/>
    <w:rsid w:val="00065F18"/>
    <w:rsid w:val="00065FF0"/>
    <w:rsid w:val="000661BC"/>
    <w:rsid w:val="00066352"/>
    <w:rsid w:val="0006646F"/>
    <w:rsid w:val="00066542"/>
    <w:rsid w:val="000666D6"/>
    <w:rsid w:val="000666E5"/>
    <w:rsid w:val="000667B7"/>
    <w:rsid w:val="0006691C"/>
    <w:rsid w:val="00066A82"/>
    <w:rsid w:val="00066B1A"/>
    <w:rsid w:val="00066B20"/>
    <w:rsid w:val="00066CF4"/>
    <w:rsid w:val="00066CFA"/>
    <w:rsid w:val="00066D5F"/>
    <w:rsid w:val="00066D6B"/>
    <w:rsid w:val="00067221"/>
    <w:rsid w:val="000672EB"/>
    <w:rsid w:val="000673DE"/>
    <w:rsid w:val="00067406"/>
    <w:rsid w:val="0006751B"/>
    <w:rsid w:val="00067640"/>
    <w:rsid w:val="00067769"/>
    <w:rsid w:val="000678B1"/>
    <w:rsid w:val="00067980"/>
    <w:rsid w:val="00067F3F"/>
    <w:rsid w:val="00067FCD"/>
    <w:rsid w:val="00070076"/>
    <w:rsid w:val="000700F1"/>
    <w:rsid w:val="00070340"/>
    <w:rsid w:val="000703CD"/>
    <w:rsid w:val="00070535"/>
    <w:rsid w:val="0007059C"/>
    <w:rsid w:val="000705BF"/>
    <w:rsid w:val="00070611"/>
    <w:rsid w:val="000706FD"/>
    <w:rsid w:val="00070934"/>
    <w:rsid w:val="00070BB7"/>
    <w:rsid w:val="00070D33"/>
    <w:rsid w:val="00070E0F"/>
    <w:rsid w:val="00070F3C"/>
    <w:rsid w:val="00071167"/>
    <w:rsid w:val="000711D4"/>
    <w:rsid w:val="000712E3"/>
    <w:rsid w:val="0007130A"/>
    <w:rsid w:val="0007140E"/>
    <w:rsid w:val="00071770"/>
    <w:rsid w:val="0007181E"/>
    <w:rsid w:val="000719B6"/>
    <w:rsid w:val="00071B85"/>
    <w:rsid w:val="00071C16"/>
    <w:rsid w:val="00071E1A"/>
    <w:rsid w:val="00071EDB"/>
    <w:rsid w:val="0007208A"/>
    <w:rsid w:val="00072133"/>
    <w:rsid w:val="0007221C"/>
    <w:rsid w:val="0007231A"/>
    <w:rsid w:val="000723BC"/>
    <w:rsid w:val="00072762"/>
    <w:rsid w:val="0007277E"/>
    <w:rsid w:val="000727C9"/>
    <w:rsid w:val="000728DA"/>
    <w:rsid w:val="000728EB"/>
    <w:rsid w:val="000729AA"/>
    <w:rsid w:val="000729B8"/>
    <w:rsid w:val="00072AAE"/>
    <w:rsid w:val="00072C39"/>
    <w:rsid w:val="00072CA3"/>
    <w:rsid w:val="00072CC0"/>
    <w:rsid w:val="00072D1A"/>
    <w:rsid w:val="00072D25"/>
    <w:rsid w:val="00072D3A"/>
    <w:rsid w:val="00072DEB"/>
    <w:rsid w:val="00072F43"/>
    <w:rsid w:val="00072F66"/>
    <w:rsid w:val="000730FD"/>
    <w:rsid w:val="000732DD"/>
    <w:rsid w:val="00073362"/>
    <w:rsid w:val="0007357E"/>
    <w:rsid w:val="000735E2"/>
    <w:rsid w:val="00073637"/>
    <w:rsid w:val="00073B85"/>
    <w:rsid w:val="00073C28"/>
    <w:rsid w:val="00073C2A"/>
    <w:rsid w:val="00074260"/>
    <w:rsid w:val="000745D0"/>
    <w:rsid w:val="00074660"/>
    <w:rsid w:val="0007469B"/>
    <w:rsid w:val="000749AA"/>
    <w:rsid w:val="00074ABB"/>
    <w:rsid w:val="00074B42"/>
    <w:rsid w:val="00074D00"/>
    <w:rsid w:val="00074D9B"/>
    <w:rsid w:val="00074E8C"/>
    <w:rsid w:val="00075032"/>
    <w:rsid w:val="00075085"/>
    <w:rsid w:val="00075186"/>
    <w:rsid w:val="0007524F"/>
    <w:rsid w:val="000754C0"/>
    <w:rsid w:val="000754F5"/>
    <w:rsid w:val="000755F1"/>
    <w:rsid w:val="00075814"/>
    <w:rsid w:val="00075A0A"/>
    <w:rsid w:val="00075BCA"/>
    <w:rsid w:val="00075E9B"/>
    <w:rsid w:val="00075FB6"/>
    <w:rsid w:val="00076077"/>
    <w:rsid w:val="0007614A"/>
    <w:rsid w:val="0007620E"/>
    <w:rsid w:val="000763DF"/>
    <w:rsid w:val="000766C5"/>
    <w:rsid w:val="0007676C"/>
    <w:rsid w:val="0007686C"/>
    <w:rsid w:val="000768A4"/>
    <w:rsid w:val="00076A54"/>
    <w:rsid w:val="00076A6F"/>
    <w:rsid w:val="00076D58"/>
    <w:rsid w:val="00076DEB"/>
    <w:rsid w:val="00076DF8"/>
    <w:rsid w:val="00076DFC"/>
    <w:rsid w:val="00077104"/>
    <w:rsid w:val="0007719D"/>
    <w:rsid w:val="000771C9"/>
    <w:rsid w:val="00077234"/>
    <w:rsid w:val="000772C2"/>
    <w:rsid w:val="0007732E"/>
    <w:rsid w:val="00077556"/>
    <w:rsid w:val="0007780C"/>
    <w:rsid w:val="00077921"/>
    <w:rsid w:val="000779A5"/>
    <w:rsid w:val="000779C0"/>
    <w:rsid w:val="00077BB0"/>
    <w:rsid w:val="00077D1C"/>
    <w:rsid w:val="00077DB0"/>
    <w:rsid w:val="00080121"/>
    <w:rsid w:val="0008019F"/>
    <w:rsid w:val="000801F1"/>
    <w:rsid w:val="00080273"/>
    <w:rsid w:val="000802F9"/>
    <w:rsid w:val="000803F6"/>
    <w:rsid w:val="0008045B"/>
    <w:rsid w:val="00080864"/>
    <w:rsid w:val="00080B1E"/>
    <w:rsid w:val="00080B27"/>
    <w:rsid w:val="00080BFE"/>
    <w:rsid w:val="00080C50"/>
    <w:rsid w:val="00080D00"/>
    <w:rsid w:val="00080E29"/>
    <w:rsid w:val="00080ED1"/>
    <w:rsid w:val="00080F1E"/>
    <w:rsid w:val="00080F3A"/>
    <w:rsid w:val="00080F9C"/>
    <w:rsid w:val="0008102A"/>
    <w:rsid w:val="00081060"/>
    <w:rsid w:val="000810AA"/>
    <w:rsid w:val="000810B2"/>
    <w:rsid w:val="000810EF"/>
    <w:rsid w:val="00081165"/>
    <w:rsid w:val="0008125D"/>
    <w:rsid w:val="00081271"/>
    <w:rsid w:val="000813E2"/>
    <w:rsid w:val="0008146A"/>
    <w:rsid w:val="000814CD"/>
    <w:rsid w:val="00081682"/>
    <w:rsid w:val="000816AB"/>
    <w:rsid w:val="000816E4"/>
    <w:rsid w:val="000817B8"/>
    <w:rsid w:val="000818C2"/>
    <w:rsid w:val="000818C7"/>
    <w:rsid w:val="000818DC"/>
    <w:rsid w:val="00081A68"/>
    <w:rsid w:val="00081A8D"/>
    <w:rsid w:val="00081B81"/>
    <w:rsid w:val="00081DBF"/>
    <w:rsid w:val="00081DE5"/>
    <w:rsid w:val="00081DFF"/>
    <w:rsid w:val="00081F46"/>
    <w:rsid w:val="00081F99"/>
    <w:rsid w:val="00081FBA"/>
    <w:rsid w:val="000820A8"/>
    <w:rsid w:val="000820E8"/>
    <w:rsid w:val="000822CD"/>
    <w:rsid w:val="000823E5"/>
    <w:rsid w:val="000825ED"/>
    <w:rsid w:val="000827FF"/>
    <w:rsid w:val="000829AC"/>
    <w:rsid w:val="00082AFE"/>
    <w:rsid w:val="00082BFF"/>
    <w:rsid w:val="00082C2E"/>
    <w:rsid w:val="00082C43"/>
    <w:rsid w:val="00082C58"/>
    <w:rsid w:val="00082CAE"/>
    <w:rsid w:val="00082DE9"/>
    <w:rsid w:val="00082EE7"/>
    <w:rsid w:val="00082FA5"/>
    <w:rsid w:val="0008340C"/>
    <w:rsid w:val="00083477"/>
    <w:rsid w:val="000835F0"/>
    <w:rsid w:val="00083739"/>
    <w:rsid w:val="00083911"/>
    <w:rsid w:val="00083A7E"/>
    <w:rsid w:val="00083C49"/>
    <w:rsid w:val="00083C7D"/>
    <w:rsid w:val="00083D0F"/>
    <w:rsid w:val="00083E62"/>
    <w:rsid w:val="00083FD1"/>
    <w:rsid w:val="00084115"/>
    <w:rsid w:val="000841C6"/>
    <w:rsid w:val="000841D7"/>
    <w:rsid w:val="0008420E"/>
    <w:rsid w:val="000842C5"/>
    <w:rsid w:val="000842DF"/>
    <w:rsid w:val="00084397"/>
    <w:rsid w:val="000843D4"/>
    <w:rsid w:val="0008453B"/>
    <w:rsid w:val="00084668"/>
    <w:rsid w:val="000846AA"/>
    <w:rsid w:val="00084962"/>
    <w:rsid w:val="00084A0D"/>
    <w:rsid w:val="00084C59"/>
    <w:rsid w:val="00084E27"/>
    <w:rsid w:val="00084EFD"/>
    <w:rsid w:val="00084FFE"/>
    <w:rsid w:val="000850BE"/>
    <w:rsid w:val="00085355"/>
    <w:rsid w:val="00085406"/>
    <w:rsid w:val="00085498"/>
    <w:rsid w:val="00085524"/>
    <w:rsid w:val="00085604"/>
    <w:rsid w:val="000856A3"/>
    <w:rsid w:val="0008571C"/>
    <w:rsid w:val="00085737"/>
    <w:rsid w:val="00085785"/>
    <w:rsid w:val="0008580A"/>
    <w:rsid w:val="000858CC"/>
    <w:rsid w:val="00085905"/>
    <w:rsid w:val="0008590E"/>
    <w:rsid w:val="00085941"/>
    <w:rsid w:val="00085A57"/>
    <w:rsid w:val="00085B01"/>
    <w:rsid w:val="00085CA2"/>
    <w:rsid w:val="00085E80"/>
    <w:rsid w:val="00086348"/>
    <w:rsid w:val="00086394"/>
    <w:rsid w:val="0008668D"/>
    <w:rsid w:val="000866C1"/>
    <w:rsid w:val="00086712"/>
    <w:rsid w:val="000867A7"/>
    <w:rsid w:val="000867B8"/>
    <w:rsid w:val="000867DC"/>
    <w:rsid w:val="00086825"/>
    <w:rsid w:val="00086885"/>
    <w:rsid w:val="00086BE3"/>
    <w:rsid w:val="00086CDE"/>
    <w:rsid w:val="00086D00"/>
    <w:rsid w:val="00086FDC"/>
    <w:rsid w:val="0008703F"/>
    <w:rsid w:val="000870AF"/>
    <w:rsid w:val="0008714E"/>
    <w:rsid w:val="00087222"/>
    <w:rsid w:val="0008731F"/>
    <w:rsid w:val="00087474"/>
    <w:rsid w:val="0008748D"/>
    <w:rsid w:val="00087559"/>
    <w:rsid w:val="000876DF"/>
    <w:rsid w:val="00087A46"/>
    <w:rsid w:val="00087A51"/>
    <w:rsid w:val="00087AB8"/>
    <w:rsid w:val="00087ACA"/>
    <w:rsid w:val="00087C76"/>
    <w:rsid w:val="00087CC2"/>
    <w:rsid w:val="00087D43"/>
    <w:rsid w:val="00087D8E"/>
    <w:rsid w:val="00087DA8"/>
    <w:rsid w:val="00087E2E"/>
    <w:rsid w:val="00087E41"/>
    <w:rsid w:val="0009023F"/>
    <w:rsid w:val="0009038D"/>
    <w:rsid w:val="00090481"/>
    <w:rsid w:val="00090725"/>
    <w:rsid w:val="000907E3"/>
    <w:rsid w:val="00090BED"/>
    <w:rsid w:val="00090FC2"/>
    <w:rsid w:val="0009103A"/>
    <w:rsid w:val="0009115A"/>
    <w:rsid w:val="0009133F"/>
    <w:rsid w:val="0009136A"/>
    <w:rsid w:val="00091404"/>
    <w:rsid w:val="0009142F"/>
    <w:rsid w:val="0009146F"/>
    <w:rsid w:val="0009162A"/>
    <w:rsid w:val="000916EF"/>
    <w:rsid w:val="000917AB"/>
    <w:rsid w:val="000917C4"/>
    <w:rsid w:val="000919EB"/>
    <w:rsid w:val="00091CBB"/>
    <w:rsid w:val="00091E25"/>
    <w:rsid w:val="000920A3"/>
    <w:rsid w:val="00092264"/>
    <w:rsid w:val="0009258E"/>
    <w:rsid w:val="00092683"/>
    <w:rsid w:val="000929D7"/>
    <w:rsid w:val="00092A55"/>
    <w:rsid w:val="00092CF1"/>
    <w:rsid w:val="00092D6A"/>
    <w:rsid w:val="00092FD0"/>
    <w:rsid w:val="00093174"/>
    <w:rsid w:val="000931B3"/>
    <w:rsid w:val="000931F1"/>
    <w:rsid w:val="00093214"/>
    <w:rsid w:val="000936E2"/>
    <w:rsid w:val="000938CD"/>
    <w:rsid w:val="0009394D"/>
    <w:rsid w:val="00093C0B"/>
    <w:rsid w:val="00093CB0"/>
    <w:rsid w:val="00093E1C"/>
    <w:rsid w:val="00093F6A"/>
    <w:rsid w:val="00093F98"/>
    <w:rsid w:val="00093FFA"/>
    <w:rsid w:val="00094126"/>
    <w:rsid w:val="00094455"/>
    <w:rsid w:val="000944AE"/>
    <w:rsid w:val="0009489C"/>
    <w:rsid w:val="000948DA"/>
    <w:rsid w:val="00094A8F"/>
    <w:rsid w:val="00094BAD"/>
    <w:rsid w:val="00094EC1"/>
    <w:rsid w:val="00094FF5"/>
    <w:rsid w:val="00095392"/>
    <w:rsid w:val="00095557"/>
    <w:rsid w:val="000955BD"/>
    <w:rsid w:val="000958FD"/>
    <w:rsid w:val="0009592D"/>
    <w:rsid w:val="00095BB9"/>
    <w:rsid w:val="00095BED"/>
    <w:rsid w:val="00095C74"/>
    <w:rsid w:val="00095D1F"/>
    <w:rsid w:val="00095F9C"/>
    <w:rsid w:val="00096043"/>
    <w:rsid w:val="0009648C"/>
    <w:rsid w:val="0009657C"/>
    <w:rsid w:val="000967B3"/>
    <w:rsid w:val="000968FC"/>
    <w:rsid w:val="0009692F"/>
    <w:rsid w:val="00096A7E"/>
    <w:rsid w:val="00096AC8"/>
    <w:rsid w:val="00096C38"/>
    <w:rsid w:val="00096D56"/>
    <w:rsid w:val="00096DC9"/>
    <w:rsid w:val="00096DE9"/>
    <w:rsid w:val="00096E33"/>
    <w:rsid w:val="00096FFD"/>
    <w:rsid w:val="0009718A"/>
    <w:rsid w:val="0009722F"/>
    <w:rsid w:val="0009724D"/>
    <w:rsid w:val="000972C3"/>
    <w:rsid w:val="00097316"/>
    <w:rsid w:val="00097381"/>
    <w:rsid w:val="0009738F"/>
    <w:rsid w:val="00097418"/>
    <w:rsid w:val="00097531"/>
    <w:rsid w:val="0009758D"/>
    <w:rsid w:val="000976C6"/>
    <w:rsid w:val="000977B3"/>
    <w:rsid w:val="00097811"/>
    <w:rsid w:val="00097C90"/>
    <w:rsid w:val="00097F1A"/>
    <w:rsid w:val="00097F1D"/>
    <w:rsid w:val="000A0385"/>
    <w:rsid w:val="000A048B"/>
    <w:rsid w:val="000A0520"/>
    <w:rsid w:val="000A05B1"/>
    <w:rsid w:val="000A05B9"/>
    <w:rsid w:val="000A064D"/>
    <w:rsid w:val="000A06E9"/>
    <w:rsid w:val="000A0721"/>
    <w:rsid w:val="000A08F0"/>
    <w:rsid w:val="000A0925"/>
    <w:rsid w:val="000A0A08"/>
    <w:rsid w:val="000A0A0E"/>
    <w:rsid w:val="000A0A51"/>
    <w:rsid w:val="000A0BFA"/>
    <w:rsid w:val="000A0E8E"/>
    <w:rsid w:val="000A0F50"/>
    <w:rsid w:val="000A0F53"/>
    <w:rsid w:val="000A0F85"/>
    <w:rsid w:val="000A0F92"/>
    <w:rsid w:val="000A0FB7"/>
    <w:rsid w:val="000A1046"/>
    <w:rsid w:val="000A1220"/>
    <w:rsid w:val="000A135A"/>
    <w:rsid w:val="000A13BD"/>
    <w:rsid w:val="000A13D9"/>
    <w:rsid w:val="000A1490"/>
    <w:rsid w:val="000A14F7"/>
    <w:rsid w:val="000A14FE"/>
    <w:rsid w:val="000A18D8"/>
    <w:rsid w:val="000A1ADF"/>
    <w:rsid w:val="000A1B7A"/>
    <w:rsid w:val="000A1C06"/>
    <w:rsid w:val="000A1C5E"/>
    <w:rsid w:val="000A1D42"/>
    <w:rsid w:val="000A1E0A"/>
    <w:rsid w:val="000A2021"/>
    <w:rsid w:val="000A2038"/>
    <w:rsid w:val="000A221C"/>
    <w:rsid w:val="000A22EB"/>
    <w:rsid w:val="000A24B1"/>
    <w:rsid w:val="000A26D6"/>
    <w:rsid w:val="000A280A"/>
    <w:rsid w:val="000A284D"/>
    <w:rsid w:val="000A28F1"/>
    <w:rsid w:val="000A2B53"/>
    <w:rsid w:val="000A2C6B"/>
    <w:rsid w:val="000A2D0E"/>
    <w:rsid w:val="000A3055"/>
    <w:rsid w:val="000A317E"/>
    <w:rsid w:val="000A31B7"/>
    <w:rsid w:val="000A3287"/>
    <w:rsid w:val="000A3429"/>
    <w:rsid w:val="000A34AB"/>
    <w:rsid w:val="000A3576"/>
    <w:rsid w:val="000A3638"/>
    <w:rsid w:val="000A36ED"/>
    <w:rsid w:val="000A3873"/>
    <w:rsid w:val="000A387D"/>
    <w:rsid w:val="000A3A15"/>
    <w:rsid w:val="000A3A84"/>
    <w:rsid w:val="000A3E87"/>
    <w:rsid w:val="000A3F1C"/>
    <w:rsid w:val="000A3FDF"/>
    <w:rsid w:val="000A409C"/>
    <w:rsid w:val="000A4498"/>
    <w:rsid w:val="000A4543"/>
    <w:rsid w:val="000A46DA"/>
    <w:rsid w:val="000A4829"/>
    <w:rsid w:val="000A4B69"/>
    <w:rsid w:val="000A4C05"/>
    <w:rsid w:val="000A4D62"/>
    <w:rsid w:val="000A4D7F"/>
    <w:rsid w:val="000A4E7C"/>
    <w:rsid w:val="000A4EED"/>
    <w:rsid w:val="000A4F0C"/>
    <w:rsid w:val="000A4F30"/>
    <w:rsid w:val="000A5246"/>
    <w:rsid w:val="000A53A4"/>
    <w:rsid w:val="000A5402"/>
    <w:rsid w:val="000A55CC"/>
    <w:rsid w:val="000A562F"/>
    <w:rsid w:val="000A5763"/>
    <w:rsid w:val="000A577E"/>
    <w:rsid w:val="000A590E"/>
    <w:rsid w:val="000A5996"/>
    <w:rsid w:val="000A59EA"/>
    <w:rsid w:val="000A5E91"/>
    <w:rsid w:val="000A6406"/>
    <w:rsid w:val="000A6621"/>
    <w:rsid w:val="000A66D2"/>
    <w:rsid w:val="000A670B"/>
    <w:rsid w:val="000A68FD"/>
    <w:rsid w:val="000A69AB"/>
    <w:rsid w:val="000A6A56"/>
    <w:rsid w:val="000A6B72"/>
    <w:rsid w:val="000A6C32"/>
    <w:rsid w:val="000A6C4A"/>
    <w:rsid w:val="000A6DF9"/>
    <w:rsid w:val="000A6E30"/>
    <w:rsid w:val="000A708B"/>
    <w:rsid w:val="000A7245"/>
    <w:rsid w:val="000A7347"/>
    <w:rsid w:val="000A7396"/>
    <w:rsid w:val="000A73AC"/>
    <w:rsid w:val="000A74A9"/>
    <w:rsid w:val="000A750F"/>
    <w:rsid w:val="000A7550"/>
    <w:rsid w:val="000A7669"/>
    <w:rsid w:val="000A7683"/>
    <w:rsid w:val="000A769C"/>
    <w:rsid w:val="000A773D"/>
    <w:rsid w:val="000A7A61"/>
    <w:rsid w:val="000A7B43"/>
    <w:rsid w:val="000A7CB7"/>
    <w:rsid w:val="000A7CD1"/>
    <w:rsid w:val="000A7D5F"/>
    <w:rsid w:val="000A7FE5"/>
    <w:rsid w:val="000B00D8"/>
    <w:rsid w:val="000B03A7"/>
    <w:rsid w:val="000B03DF"/>
    <w:rsid w:val="000B04F8"/>
    <w:rsid w:val="000B0506"/>
    <w:rsid w:val="000B052A"/>
    <w:rsid w:val="000B059E"/>
    <w:rsid w:val="000B064A"/>
    <w:rsid w:val="000B0754"/>
    <w:rsid w:val="000B0BFF"/>
    <w:rsid w:val="000B0D6F"/>
    <w:rsid w:val="000B0D72"/>
    <w:rsid w:val="000B0EF2"/>
    <w:rsid w:val="000B0F4E"/>
    <w:rsid w:val="000B102C"/>
    <w:rsid w:val="000B1043"/>
    <w:rsid w:val="000B1069"/>
    <w:rsid w:val="000B118A"/>
    <w:rsid w:val="000B11A8"/>
    <w:rsid w:val="000B125F"/>
    <w:rsid w:val="000B138F"/>
    <w:rsid w:val="000B144F"/>
    <w:rsid w:val="000B1465"/>
    <w:rsid w:val="000B14D7"/>
    <w:rsid w:val="000B1551"/>
    <w:rsid w:val="000B15E2"/>
    <w:rsid w:val="000B15E9"/>
    <w:rsid w:val="000B1637"/>
    <w:rsid w:val="000B191D"/>
    <w:rsid w:val="000B198A"/>
    <w:rsid w:val="000B1BA8"/>
    <w:rsid w:val="000B1C9D"/>
    <w:rsid w:val="000B1D06"/>
    <w:rsid w:val="000B1E21"/>
    <w:rsid w:val="000B200D"/>
    <w:rsid w:val="000B2074"/>
    <w:rsid w:val="000B20DC"/>
    <w:rsid w:val="000B220D"/>
    <w:rsid w:val="000B24AE"/>
    <w:rsid w:val="000B2554"/>
    <w:rsid w:val="000B26AD"/>
    <w:rsid w:val="000B2A6C"/>
    <w:rsid w:val="000B2A8B"/>
    <w:rsid w:val="000B2B19"/>
    <w:rsid w:val="000B2CFC"/>
    <w:rsid w:val="000B2EF3"/>
    <w:rsid w:val="000B305C"/>
    <w:rsid w:val="000B3090"/>
    <w:rsid w:val="000B3107"/>
    <w:rsid w:val="000B3183"/>
    <w:rsid w:val="000B3349"/>
    <w:rsid w:val="000B3387"/>
    <w:rsid w:val="000B3457"/>
    <w:rsid w:val="000B345C"/>
    <w:rsid w:val="000B346F"/>
    <w:rsid w:val="000B35A0"/>
    <w:rsid w:val="000B3618"/>
    <w:rsid w:val="000B3733"/>
    <w:rsid w:val="000B3B7C"/>
    <w:rsid w:val="000B3CC7"/>
    <w:rsid w:val="000B3F16"/>
    <w:rsid w:val="000B43B4"/>
    <w:rsid w:val="000B43C2"/>
    <w:rsid w:val="000B4464"/>
    <w:rsid w:val="000B46B8"/>
    <w:rsid w:val="000B471C"/>
    <w:rsid w:val="000B4B16"/>
    <w:rsid w:val="000B4B9A"/>
    <w:rsid w:val="000B4D41"/>
    <w:rsid w:val="000B4DA5"/>
    <w:rsid w:val="000B4F0F"/>
    <w:rsid w:val="000B506A"/>
    <w:rsid w:val="000B509C"/>
    <w:rsid w:val="000B50C2"/>
    <w:rsid w:val="000B5358"/>
    <w:rsid w:val="000B5495"/>
    <w:rsid w:val="000B54AB"/>
    <w:rsid w:val="000B5841"/>
    <w:rsid w:val="000B58C2"/>
    <w:rsid w:val="000B58FA"/>
    <w:rsid w:val="000B5965"/>
    <w:rsid w:val="000B5BFB"/>
    <w:rsid w:val="000B5C1B"/>
    <w:rsid w:val="000B5C8D"/>
    <w:rsid w:val="000B5CAC"/>
    <w:rsid w:val="000B5D3D"/>
    <w:rsid w:val="000B5D58"/>
    <w:rsid w:val="000B603E"/>
    <w:rsid w:val="000B60B8"/>
    <w:rsid w:val="000B6185"/>
    <w:rsid w:val="000B62DE"/>
    <w:rsid w:val="000B6376"/>
    <w:rsid w:val="000B63DF"/>
    <w:rsid w:val="000B642A"/>
    <w:rsid w:val="000B6510"/>
    <w:rsid w:val="000B653F"/>
    <w:rsid w:val="000B6887"/>
    <w:rsid w:val="000B6888"/>
    <w:rsid w:val="000B692F"/>
    <w:rsid w:val="000B6969"/>
    <w:rsid w:val="000B6A29"/>
    <w:rsid w:val="000B6BC0"/>
    <w:rsid w:val="000B6CFD"/>
    <w:rsid w:val="000B6EF9"/>
    <w:rsid w:val="000B6FD8"/>
    <w:rsid w:val="000B71A4"/>
    <w:rsid w:val="000B71CF"/>
    <w:rsid w:val="000B728D"/>
    <w:rsid w:val="000B72B2"/>
    <w:rsid w:val="000B733E"/>
    <w:rsid w:val="000B7430"/>
    <w:rsid w:val="000B74CA"/>
    <w:rsid w:val="000B74D0"/>
    <w:rsid w:val="000B779C"/>
    <w:rsid w:val="000B77D6"/>
    <w:rsid w:val="000B7AD2"/>
    <w:rsid w:val="000B7B71"/>
    <w:rsid w:val="000B7BBB"/>
    <w:rsid w:val="000B7C10"/>
    <w:rsid w:val="000B7C9B"/>
    <w:rsid w:val="000B7D4F"/>
    <w:rsid w:val="000B7D72"/>
    <w:rsid w:val="000B7D92"/>
    <w:rsid w:val="000B7DE6"/>
    <w:rsid w:val="000B7F01"/>
    <w:rsid w:val="000B7F86"/>
    <w:rsid w:val="000C004C"/>
    <w:rsid w:val="000C00AA"/>
    <w:rsid w:val="000C017F"/>
    <w:rsid w:val="000C01A5"/>
    <w:rsid w:val="000C01E7"/>
    <w:rsid w:val="000C01EC"/>
    <w:rsid w:val="000C0266"/>
    <w:rsid w:val="000C029F"/>
    <w:rsid w:val="000C04E1"/>
    <w:rsid w:val="000C05D9"/>
    <w:rsid w:val="000C06D5"/>
    <w:rsid w:val="000C077E"/>
    <w:rsid w:val="000C08B8"/>
    <w:rsid w:val="000C0918"/>
    <w:rsid w:val="000C0B19"/>
    <w:rsid w:val="000C0BED"/>
    <w:rsid w:val="000C0D13"/>
    <w:rsid w:val="000C12F8"/>
    <w:rsid w:val="000C1308"/>
    <w:rsid w:val="000C1317"/>
    <w:rsid w:val="000C1325"/>
    <w:rsid w:val="000C1570"/>
    <w:rsid w:val="000C17D5"/>
    <w:rsid w:val="000C1EA5"/>
    <w:rsid w:val="000C1F05"/>
    <w:rsid w:val="000C1FF4"/>
    <w:rsid w:val="000C202D"/>
    <w:rsid w:val="000C2167"/>
    <w:rsid w:val="000C2309"/>
    <w:rsid w:val="000C230B"/>
    <w:rsid w:val="000C23BF"/>
    <w:rsid w:val="000C2728"/>
    <w:rsid w:val="000C2821"/>
    <w:rsid w:val="000C2A21"/>
    <w:rsid w:val="000C2A69"/>
    <w:rsid w:val="000C2ADB"/>
    <w:rsid w:val="000C2C1C"/>
    <w:rsid w:val="000C2C8E"/>
    <w:rsid w:val="000C3009"/>
    <w:rsid w:val="000C3140"/>
    <w:rsid w:val="000C3339"/>
    <w:rsid w:val="000C3350"/>
    <w:rsid w:val="000C33EC"/>
    <w:rsid w:val="000C3412"/>
    <w:rsid w:val="000C372C"/>
    <w:rsid w:val="000C3844"/>
    <w:rsid w:val="000C38D4"/>
    <w:rsid w:val="000C38D8"/>
    <w:rsid w:val="000C39CB"/>
    <w:rsid w:val="000C3A75"/>
    <w:rsid w:val="000C3C74"/>
    <w:rsid w:val="000C3CE2"/>
    <w:rsid w:val="000C3E51"/>
    <w:rsid w:val="000C3ED8"/>
    <w:rsid w:val="000C3F12"/>
    <w:rsid w:val="000C3F60"/>
    <w:rsid w:val="000C41C1"/>
    <w:rsid w:val="000C426A"/>
    <w:rsid w:val="000C4604"/>
    <w:rsid w:val="000C465C"/>
    <w:rsid w:val="000C4729"/>
    <w:rsid w:val="000C4941"/>
    <w:rsid w:val="000C4A67"/>
    <w:rsid w:val="000C4D35"/>
    <w:rsid w:val="000C4F90"/>
    <w:rsid w:val="000C5171"/>
    <w:rsid w:val="000C51DF"/>
    <w:rsid w:val="000C558D"/>
    <w:rsid w:val="000C55B1"/>
    <w:rsid w:val="000C55D1"/>
    <w:rsid w:val="000C55F2"/>
    <w:rsid w:val="000C5623"/>
    <w:rsid w:val="000C59BE"/>
    <w:rsid w:val="000C5A16"/>
    <w:rsid w:val="000C5C9C"/>
    <w:rsid w:val="000C5D40"/>
    <w:rsid w:val="000C5D47"/>
    <w:rsid w:val="000C5D61"/>
    <w:rsid w:val="000C5DF2"/>
    <w:rsid w:val="000C6013"/>
    <w:rsid w:val="000C61A7"/>
    <w:rsid w:val="000C620E"/>
    <w:rsid w:val="000C6284"/>
    <w:rsid w:val="000C637C"/>
    <w:rsid w:val="000C648A"/>
    <w:rsid w:val="000C6531"/>
    <w:rsid w:val="000C6639"/>
    <w:rsid w:val="000C66B3"/>
    <w:rsid w:val="000C687A"/>
    <w:rsid w:val="000C6A06"/>
    <w:rsid w:val="000C6A68"/>
    <w:rsid w:val="000C6AF0"/>
    <w:rsid w:val="000C6B08"/>
    <w:rsid w:val="000C6B2C"/>
    <w:rsid w:val="000C6E3F"/>
    <w:rsid w:val="000C6E4A"/>
    <w:rsid w:val="000C6E64"/>
    <w:rsid w:val="000C6ED8"/>
    <w:rsid w:val="000C6EF2"/>
    <w:rsid w:val="000C6F4E"/>
    <w:rsid w:val="000C70B3"/>
    <w:rsid w:val="000C713E"/>
    <w:rsid w:val="000C71FE"/>
    <w:rsid w:val="000C72FD"/>
    <w:rsid w:val="000C73F5"/>
    <w:rsid w:val="000C75B6"/>
    <w:rsid w:val="000C75B9"/>
    <w:rsid w:val="000C76B6"/>
    <w:rsid w:val="000C7749"/>
    <w:rsid w:val="000C779A"/>
    <w:rsid w:val="000C7802"/>
    <w:rsid w:val="000C7AFA"/>
    <w:rsid w:val="000C7B56"/>
    <w:rsid w:val="000C7E2C"/>
    <w:rsid w:val="000C7ECA"/>
    <w:rsid w:val="000C7FB7"/>
    <w:rsid w:val="000C7FD0"/>
    <w:rsid w:val="000D0045"/>
    <w:rsid w:val="000D009C"/>
    <w:rsid w:val="000D00AE"/>
    <w:rsid w:val="000D01EF"/>
    <w:rsid w:val="000D0289"/>
    <w:rsid w:val="000D02DF"/>
    <w:rsid w:val="000D0339"/>
    <w:rsid w:val="000D0427"/>
    <w:rsid w:val="000D04BD"/>
    <w:rsid w:val="000D04E2"/>
    <w:rsid w:val="000D070E"/>
    <w:rsid w:val="000D0812"/>
    <w:rsid w:val="000D08A1"/>
    <w:rsid w:val="000D09EF"/>
    <w:rsid w:val="000D0A01"/>
    <w:rsid w:val="000D0A48"/>
    <w:rsid w:val="000D0A79"/>
    <w:rsid w:val="000D0A8E"/>
    <w:rsid w:val="000D0C6D"/>
    <w:rsid w:val="000D0D9C"/>
    <w:rsid w:val="000D0E0F"/>
    <w:rsid w:val="000D0E79"/>
    <w:rsid w:val="000D0FCC"/>
    <w:rsid w:val="000D101B"/>
    <w:rsid w:val="000D108F"/>
    <w:rsid w:val="000D117E"/>
    <w:rsid w:val="000D1486"/>
    <w:rsid w:val="000D1585"/>
    <w:rsid w:val="000D15E3"/>
    <w:rsid w:val="000D19D9"/>
    <w:rsid w:val="000D1A7F"/>
    <w:rsid w:val="000D1C23"/>
    <w:rsid w:val="000D1E63"/>
    <w:rsid w:val="000D1E97"/>
    <w:rsid w:val="000D1EC6"/>
    <w:rsid w:val="000D2058"/>
    <w:rsid w:val="000D21C6"/>
    <w:rsid w:val="000D226C"/>
    <w:rsid w:val="000D2386"/>
    <w:rsid w:val="000D23B4"/>
    <w:rsid w:val="000D2593"/>
    <w:rsid w:val="000D288A"/>
    <w:rsid w:val="000D28ED"/>
    <w:rsid w:val="000D2BA1"/>
    <w:rsid w:val="000D2C20"/>
    <w:rsid w:val="000D2C56"/>
    <w:rsid w:val="000D35A6"/>
    <w:rsid w:val="000D35C3"/>
    <w:rsid w:val="000D35C8"/>
    <w:rsid w:val="000D382B"/>
    <w:rsid w:val="000D388B"/>
    <w:rsid w:val="000D3905"/>
    <w:rsid w:val="000D399A"/>
    <w:rsid w:val="000D39E1"/>
    <w:rsid w:val="000D3AC6"/>
    <w:rsid w:val="000D3BAF"/>
    <w:rsid w:val="000D3C9B"/>
    <w:rsid w:val="000D3CC4"/>
    <w:rsid w:val="000D3DC1"/>
    <w:rsid w:val="000D3FDB"/>
    <w:rsid w:val="000D4050"/>
    <w:rsid w:val="000D4139"/>
    <w:rsid w:val="000D4443"/>
    <w:rsid w:val="000D46A5"/>
    <w:rsid w:val="000D48CF"/>
    <w:rsid w:val="000D4A1E"/>
    <w:rsid w:val="000D4AD3"/>
    <w:rsid w:val="000D4B86"/>
    <w:rsid w:val="000D4D6F"/>
    <w:rsid w:val="000D5017"/>
    <w:rsid w:val="000D5432"/>
    <w:rsid w:val="000D56FF"/>
    <w:rsid w:val="000D59FB"/>
    <w:rsid w:val="000D5B1F"/>
    <w:rsid w:val="000D5BF6"/>
    <w:rsid w:val="000D5C37"/>
    <w:rsid w:val="000D5C39"/>
    <w:rsid w:val="000D5CC5"/>
    <w:rsid w:val="000D5FCD"/>
    <w:rsid w:val="000D6114"/>
    <w:rsid w:val="000D616E"/>
    <w:rsid w:val="000D6231"/>
    <w:rsid w:val="000D62AC"/>
    <w:rsid w:val="000D630A"/>
    <w:rsid w:val="000D63E6"/>
    <w:rsid w:val="000D6452"/>
    <w:rsid w:val="000D645F"/>
    <w:rsid w:val="000D659B"/>
    <w:rsid w:val="000D6647"/>
    <w:rsid w:val="000D6912"/>
    <w:rsid w:val="000D6943"/>
    <w:rsid w:val="000D6CBE"/>
    <w:rsid w:val="000D7083"/>
    <w:rsid w:val="000D71C4"/>
    <w:rsid w:val="000D7214"/>
    <w:rsid w:val="000D722F"/>
    <w:rsid w:val="000D724C"/>
    <w:rsid w:val="000D7402"/>
    <w:rsid w:val="000D7525"/>
    <w:rsid w:val="000D766D"/>
    <w:rsid w:val="000D77C5"/>
    <w:rsid w:val="000D78BA"/>
    <w:rsid w:val="000D78D4"/>
    <w:rsid w:val="000D78DA"/>
    <w:rsid w:val="000D7928"/>
    <w:rsid w:val="000D79F8"/>
    <w:rsid w:val="000D7A63"/>
    <w:rsid w:val="000D7CAB"/>
    <w:rsid w:val="000D7D91"/>
    <w:rsid w:val="000D7E0A"/>
    <w:rsid w:val="000D7EE5"/>
    <w:rsid w:val="000D7F30"/>
    <w:rsid w:val="000D7FD7"/>
    <w:rsid w:val="000DA1DA"/>
    <w:rsid w:val="000E004A"/>
    <w:rsid w:val="000E0052"/>
    <w:rsid w:val="000E0209"/>
    <w:rsid w:val="000E031F"/>
    <w:rsid w:val="000E0417"/>
    <w:rsid w:val="000E0465"/>
    <w:rsid w:val="000E056C"/>
    <w:rsid w:val="000E05CF"/>
    <w:rsid w:val="000E05FB"/>
    <w:rsid w:val="000E071D"/>
    <w:rsid w:val="000E08FF"/>
    <w:rsid w:val="000E0A12"/>
    <w:rsid w:val="000E0AB1"/>
    <w:rsid w:val="000E0B40"/>
    <w:rsid w:val="000E0C3A"/>
    <w:rsid w:val="000E0CB1"/>
    <w:rsid w:val="000E0DEF"/>
    <w:rsid w:val="000E105A"/>
    <w:rsid w:val="000E116B"/>
    <w:rsid w:val="000E11C0"/>
    <w:rsid w:val="000E12A5"/>
    <w:rsid w:val="000E14EF"/>
    <w:rsid w:val="000E15E0"/>
    <w:rsid w:val="000E1777"/>
    <w:rsid w:val="000E1865"/>
    <w:rsid w:val="000E1B62"/>
    <w:rsid w:val="000E1BA5"/>
    <w:rsid w:val="000E1BB3"/>
    <w:rsid w:val="000E1C36"/>
    <w:rsid w:val="000E2250"/>
    <w:rsid w:val="000E22B4"/>
    <w:rsid w:val="000E22E1"/>
    <w:rsid w:val="000E2642"/>
    <w:rsid w:val="000E2822"/>
    <w:rsid w:val="000E2868"/>
    <w:rsid w:val="000E28B5"/>
    <w:rsid w:val="000E28F8"/>
    <w:rsid w:val="000E292E"/>
    <w:rsid w:val="000E29E4"/>
    <w:rsid w:val="000E2A2A"/>
    <w:rsid w:val="000E2A79"/>
    <w:rsid w:val="000E2B3F"/>
    <w:rsid w:val="000E2C22"/>
    <w:rsid w:val="000E2C62"/>
    <w:rsid w:val="000E2E5D"/>
    <w:rsid w:val="000E2ED8"/>
    <w:rsid w:val="000E2F0D"/>
    <w:rsid w:val="000E2F4E"/>
    <w:rsid w:val="000E2F87"/>
    <w:rsid w:val="000E31BD"/>
    <w:rsid w:val="000E3237"/>
    <w:rsid w:val="000E344C"/>
    <w:rsid w:val="000E34B1"/>
    <w:rsid w:val="000E3A79"/>
    <w:rsid w:val="000E3C23"/>
    <w:rsid w:val="000E3D47"/>
    <w:rsid w:val="000E419A"/>
    <w:rsid w:val="000E42AE"/>
    <w:rsid w:val="000E42D0"/>
    <w:rsid w:val="000E4508"/>
    <w:rsid w:val="000E465E"/>
    <w:rsid w:val="000E478A"/>
    <w:rsid w:val="000E480D"/>
    <w:rsid w:val="000E4A04"/>
    <w:rsid w:val="000E4BFA"/>
    <w:rsid w:val="000E4BFD"/>
    <w:rsid w:val="000E4C66"/>
    <w:rsid w:val="000E4E5E"/>
    <w:rsid w:val="000E5057"/>
    <w:rsid w:val="000E51E8"/>
    <w:rsid w:val="000E52AC"/>
    <w:rsid w:val="000E5575"/>
    <w:rsid w:val="000E55F8"/>
    <w:rsid w:val="000E5725"/>
    <w:rsid w:val="000E59BB"/>
    <w:rsid w:val="000E5A95"/>
    <w:rsid w:val="000E5D3C"/>
    <w:rsid w:val="000E5D5C"/>
    <w:rsid w:val="000E5D62"/>
    <w:rsid w:val="000E5E5F"/>
    <w:rsid w:val="000E5EFC"/>
    <w:rsid w:val="000E602A"/>
    <w:rsid w:val="000E6130"/>
    <w:rsid w:val="000E6313"/>
    <w:rsid w:val="000E6589"/>
    <w:rsid w:val="000E65B7"/>
    <w:rsid w:val="000E678A"/>
    <w:rsid w:val="000E67CA"/>
    <w:rsid w:val="000E68EC"/>
    <w:rsid w:val="000E6C93"/>
    <w:rsid w:val="000E6DCC"/>
    <w:rsid w:val="000E6DD1"/>
    <w:rsid w:val="000E71C4"/>
    <w:rsid w:val="000E7352"/>
    <w:rsid w:val="000E744E"/>
    <w:rsid w:val="000E76E2"/>
    <w:rsid w:val="000E7840"/>
    <w:rsid w:val="000E7924"/>
    <w:rsid w:val="000E7A76"/>
    <w:rsid w:val="000E7CC6"/>
    <w:rsid w:val="000E7D25"/>
    <w:rsid w:val="000E7ECD"/>
    <w:rsid w:val="000E7F4B"/>
    <w:rsid w:val="000F0005"/>
    <w:rsid w:val="000F003E"/>
    <w:rsid w:val="000F0236"/>
    <w:rsid w:val="000F02BC"/>
    <w:rsid w:val="000F02E6"/>
    <w:rsid w:val="000F0512"/>
    <w:rsid w:val="000F062D"/>
    <w:rsid w:val="000F0690"/>
    <w:rsid w:val="000F0B90"/>
    <w:rsid w:val="000F0C0C"/>
    <w:rsid w:val="000F0C2D"/>
    <w:rsid w:val="000F0F2B"/>
    <w:rsid w:val="000F0FDB"/>
    <w:rsid w:val="000F1015"/>
    <w:rsid w:val="000F1092"/>
    <w:rsid w:val="000F13D1"/>
    <w:rsid w:val="000F1505"/>
    <w:rsid w:val="000F1541"/>
    <w:rsid w:val="000F1620"/>
    <w:rsid w:val="000F16E6"/>
    <w:rsid w:val="000F18E0"/>
    <w:rsid w:val="000F1996"/>
    <w:rsid w:val="000F1B62"/>
    <w:rsid w:val="000F1F41"/>
    <w:rsid w:val="000F2080"/>
    <w:rsid w:val="000F23E5"/>
    <w:rsid w:val="000F245E"/>
    <w:rsid w:val="000F2556"/>
    <w:rsid w:val="000F2791"/>
    <w:rsid w:val="000F284E"/>
    <w:rsid w:val="000F296F"/>
    <w:rsid w:val="000F29D2"/>
    <w:rsid w:val="000F2B20"/>
    <w:rsid w:val="000F2C3B"/>
    <w:rsid w:val="000F2D4D"/>
    <w:rsid w:val="000F2F7C"/>
    <w:rsid w:val="000F2FEC"/>
    <w:rsid w:val="000F3031"/>
    <w:rsid w:val="000F3122"/>
    <w:rsid w:val="000F3281"/>
    <w:rsid w:val="000F33DB"/>
    <w:rsid w:val="000F33E1"/>
    <w:rsid w:val="000F3486"/>
    <w:rsid w:val="000F366F"/>
    <w:rsid w:val="000F3843"/>
    <w:rsid w:val="000F39F0"/>
    <w:rsid w:val="000F3A97"/>
    <w:rsid w:val="000F3B23"/>
    <w:rsid w:val="000F3BFF"/>
    <w:rsid w:val="000F3DA1"/>
    <w:rsid w:val="000F3E0C"/>
    <w:rsid w:val="000F3F52"/>
    <w:rsid w:val="000F4003"/>
    <w:rsid w:val="000F4078"/>
    <w:rsid w:val="000F40CB"/>
    <w:rsid w:val="000F4637"/>
    <w:rsid w:val="000F4693"/>
    <w:rsid w:val="000F46D9"/>
    <w:rsid w:val="000F4782"/>
    <w:rsid w:val="000F493A"/>
    <w:rsid w:val="000F4B64"/>
    <w:rsid w:val="000F4E3A"/>
    <w:rsid w:val="000F4F08"/>
    <w:rsid w:val="000F4F19"/>
    <w:rsid w:val="000F510A"/>
    <w:rsid w:val="000F5208"/>
    <w:rsid w:val="000F54DE"/>
    <w:rsid w:val="000F5636"/>
    <w:rsid w:val="000F5711"/>
    <w:rsid w:val="000F5796"/>
    <w:rsid w:val="000F58E8"/>
    <w:rsid w:val="000F597D"/>
    <w:rsid w:val="000F59BA"/>
    <w:rsid w:val="000F59D9"/>
    <w:rsid w:val="000F5B6A"/>
    <w:rsid w:val="000F5C64"/>
    <w:rsid w:val="000F5C89"/>
    <w:rsid w:val="000F5E20"/>
    <w:rsid w:val="000F5FAE"/>
    <w:rsid w:val="000F5FE8"/>
    <w:rsid w:val="000F604A"/>
    <w:rsid w:val="000F608F"/>
    <w:rsid w:val="000F60A6"/>
    <w:rsid w:val="000F60B5"/>
    <w:rsid w:val="000F6194"/>
    <w:rsid w:val="000F620C"/>
    <w:rsid w:val="000F626F"/>
    <w:rsid w:val="000F6306"/>
    <w:rsid w:val="000F64BD"/>
    <w:rsid w:val="000F6534"/>
    <w:rsid w:val="000F65C8"/>
    <w:rsid w:val="000F66BB"/>
    <w:rsid w:val="000F6729"/>
    <w:rsid w:val="000F6765"/>
    <w:rsid w:val="000F6852"/>
    <w:rsid w:val="000F68C3"/>
    <w:rsid w:val="000F698A"/>
    <w:rsid w:val="000F69B7"/>
    <w:rsid w:val="000F6CC6"/>
    <w:rsid w:val="000F704B"/>
    <w:rsid w:val="000F7062"/>
    <w:rsid w:val="000F7189"/>
    <w:rsid w:val="000F72C0"/>
    <w:rsid w:val="000F75C2"/>
    <w:rsid w:val="000F7740"/>
    <w:rsid w:val="000F7990"/>
    <w:rsid w:val="000F79B4"/>
    <w:rsid w:val="000F7A65"/>
    <w:rsid w:val="000F7B86"/>
    <w:rsid w:val="000F7E2A"/>
    <w:rsid w:val="001000B6"/>
    <w:rsid w:val="00100119"/>
    <w:rsid w:val="00100296"/>
    <w:rsid w:val="0010050C"/>
    <w:rsid w:val="00100605"/>
    <w:rsid w:val="001006F1"/>
    <w:rsid w:val="001007F8"/>
    <w:rsid w:val="001008A8"/>
    <w:rsid w:val="00100931"/>
    <w:rsid w:val="0010096B"/>
    <w:rsid w:val="0010097F"/>
    <w:rsid w:val="00100A33"/>
    <w:rsid w:val="00100A38"/>
    <w:rsid w:val="00100A90"/>
    <w:rsid w:val="00100B7C"/>
    <w:rsid w:val="00100C17"/>
    <w:rsid w:val="00100E27"/>
    <w:rsid w:val="00100F0A"/>
    <w:rsid w:val="00100F2D"/>
    <w:rsid w:val="0010103E"/>
    <w:rsid w:val="001010AA"/>
    <w:rsid w:val="001010EA"/>
    <w:rsid w:val="00101325"/>
    <w:rsid w:val="00101428"/>
    <w:rsid w:val="00101443"/>
    <w:rsid w:val="0010167B"/>
    <w:rsid w:val="001016FF"/>
    <w:rsid w:val="001017F6"/>
    <w:rsid w:val="0010192E"/>
    <w:rsid w:val="00101B6E"/>
    <w:rsid w:val="00101C20"/>
    <w:rsid w:val="00101C56"/>
    <w:rsid w:val="00101D18"/>
    <w:rsid w:val="00101D7F"/>
    <w:rsid w:val="00101DA7"/>
    <w:rsid w:val="00101DD0"/>
    <w:rsid w:val="00101F23"/>
    <w:rsid w:val="00102117"/>
    <w:rsid w:val="00102159"/>
    <w:rsid w:val="00102456"/>
    <w:rsid w:val="001026D4"/>
    <w:rsid w:val="00102700"/>
    <w:rsid w:val="00102702"/>
    <w:rsid w:val="00102717"/>
    <w:rsid w:val="0010274C"/>
    <w:rsid w:val="0010275D"/>
    <w:rsid w:val="0010293F"/>
    <w:rsid w:val="00102B4A"/>
    <w:rsid w:val="00102C34"/>
    <w:rsid w:val="00102CEE"/>
    <w:rsid w:val="00102DC7"/>
    <w:rsid w:val="00102F52"/>
    <w:rsid w:val="00103053"/>
    <w:rsid w:val="00103071"/>
    <w:rsid w:val="00103092"/>
    <w:rsid w:val="00103121"/>
    <w:rsid w:val="0010322C"/>
    <w:rsid w:val="00103358"/>
    <w:rsid w:val="0010344D"/>
    <w:rsid w:val="0010361D"/>
    <w:rsid w:val="001036EA"/>
    <w:rsid w:val="0010374F"/>
    <w:rsid w:val="00103B1B"/>
    <w:rsid w:val="00103D19"/>
    <w:rsid w:val="00103E02"/>
    <w:rsid w:val="00103E0F"/>
    <w:rsid w:val="00103F2F"/>
    <w:rsid w:val="0010403B"/>
    <w:rsid w:val="0010403F"/>
    <w:rsid w:val="001040F3"/>
    <w:rsid w:val="00104260"/>
    <w:rsid w:val="001042AF"/>
    <w:rsid w:val="001044FA"/>
    <w:rsid w:val="00104723"/>
    <w:rsid w:val="00104864"/>
    <w:rsid w:val="00104B5E"/>
    <w:rsid w:val="00104BD0"/>
    <w:rsid w:val="00104D03"/>
    <w:rsid w:val="00104EE6"/>
    <w:rsid w:val="00104FC9"/>
    <w:rsid w:val="00105022"/>
    <w:rsid w:val="0010507C"/>
    <w:rsid w:val="001051C0"/>
    <w:rsid w:val="00105306"/>
    <w:rsid w:val="00105502"/>
    <w:rsid w:val="0010572D"/>
    <w:rsid w:val="00105804"/>
    <w:rsid w:val="00105806"/>
    <w:rsid w:val="00105830"/>
    <w:rsid w:val="0010586F"/>
    <w:rsid w:val="00105A18"/>
    <w:rsid w:val="00105AA0"/>
    <w:rsid w:val="00105B66"/>
    <w:rsid w:val="00105BE0"/>
    <w:rsid w:val="00105D87"/>
    <w:rsid w:val="00105EA0"/>
    <w:rsid w:val="00105EC5"/>
    <w:rsid w:val="00105ED1"/>
    <w:rsid w:val="00105F9B"/>
    <w:rsid w:val="00106049"/>
    <w:rsid w:val="001061FD"/>
    <w:rsid w:val="00106259"/>
    <w:rsid w:val="00106324"/>
    <w:rsid w:val="00106425"/>
    <w:rsid w:val="00106993"/>
    <w:rsid w:val="00106B39"/>
    <w:rsid w:val="00106DB8"/>
    <w:rsid w:val="00106E4F"/>
    <w:rsid w:val="00106ED4"/>
    <w:rsid w:val="00106F55"/>
    <w:rsid w:val="0010701C"/>
    <w:rsid w:val="0010702C"/>
    <w:rsid w:val="001074E0"/>
    <w:rsid w:val="001075C5"/>
    <w:rsid w:val="00107646"/>
    <w:rsid w:val="0010767E"/>
    <w:rsid w:val="00107769"/>
    <w:rsid w:val="00107959"/>
    <w:rsid w:val="00107A49"/>
    <w:rsid w:val="00107B71"/>
    <w:rsid w:val="00107DFE"/>
    <w:rsid w:val="00107E0E"/>
    <w:rsid w:val="00107E65"/>
    <w:rsid w:val="00107EB7"/>
    <w:rsid w:val="00107EE2"/>
    <w:rsid w:val="00107FD3"/>
    <w:rsid w:val="001101FB"/>
    <w:rsid w:val="0011027F"/>
    <w:rsid w:val="001102BE"/>
    <w:rsid w:val="00110447"/>
    <w:rsid w:val="001105CA"/>
    <w:rsid w:val="001105DA"/>
    <w:rsid w:val="001105E8"/>
    <w:rsid w:val="0011061D"/>
    <w:rsid w:val="00110862"/>
    <w:rsid w:val="00110945"/>
    <w:rsid w:val="001109E2"/>
    <w:rsid w:val="00110A0E"/>
    <w:rsid w:val="00110ADF"/>
    <w:rsid w:val="00110BFE"/>
    <w:rsid w:val="00110C02"/>
    <w:rsid w:val="00110C7F"/>
    <w:rsid w:val="00110D10"/>
    <w:rsid w:val="00110E4A"/>
    <w:rsid w:val="00110E80"/>
    <w:rsid w:val="00110F38"/>
    <w:rsid w:val="00110F9A"/>
    <w:rsid w:val="00110FB9"/>
    <w:rsid w:val="00111034"/>
    <w:rsid w:val="0011120E"/>
    <w:rsid w:val="0011133C"/>
    <w:rsid w:val="0011163C"/>
    <w:rsid w:val="00111674"/>
    <w:rsid w:val="00111A9E"/>
    <w:rsid w:val="00111E67"/>
    <w:rsid w:val="00111F21"/>
    <w:rsid w:val="00111FB2"/>
    <w:rsid w:val="001121DB"/>
    <w:rsid w:val="001121FE"/>
    <w:rsid w:val="001122BE"/>
    <w:rsid w:val="001123A8"/>
    <w:rsid w:val="0011240E"/>
    <w:rsid w:val="00112412"/>
    <w:rsid w:val="00112620"/>
    <w:rsid w:val="00112673"/>
    <w:rsid w:val="001126DB"/>
    <w:rsid w:val="00112831"/>
    <w:rsid w:val="00112B6C"/>
    <w:rsid w:val="00112CE4"/>
    <w:rsid w:val="00112D68"/>
    <w:rsid w:val="00112EC1"/>
    <w:rsid w:val="00112EF2"/>
    <w:rsid w:val="00112F63"/>
    <w:rsid w:val="00112F90"/>
    <w:rsid w:val="001131F2"/>
    <w:rsid w:val="0011321E"/>
    <w:rsid w:val="0011336D"/>
    <w:rsid w:val="00113477"/>
    <w:rsid w:val="0011348D"/>
    <w:rsid w:val="0011371D"/>
    <w:rsid w:val="00113AEF"/>
    <w:rsid w:val="00113D94"/>
    <w:rsid w:val="00113E81"/>
    <w:rsid w:val="00113EA8"/>
    <w:rsid w:val="0011401F"/>
    <w:rsid w:val="00114060"/>
    <w:rsid w:val="00114192"/>
    <w:rsid w:val="001141DA"/>
    <w:rsid w:val="0011432F"/>
    <w:rsid w:val="0011435D"/>
    <w:rsid w:val="001143BA"/>
    <w:rsid w:val="00114612"/>
    <w:rsid w:val="00114669"/>
    <w:rsid w:val="00114740"/>
    <w:rsid w:val="0011496A"/>
    <w:rsid w:val="00114A3B"/>
    <w:rsid w:val="00114CDE"/>
    <w:rsid w:val="00114D02"/>
    <w:rsid w:val="00115256"/>
    <w:rsid w:val="001152CC"/>
    <w:rsid w:val="001154F3"/>
    <w:rsid w:val="00115729"/>
    <w:rsid w:val="00115757"/>
    <w:rsid w:val="00115A6E"/>
    <w:rsid w:val="00115BE7"/>
    <w:rsid w:val="00115BF5"/>
    <w:rsid w:val="00115E18"/>
    <w:rsid w:val="00115E7C"/>
    <w:rsid w:val="00115EC7"/>
    <w:rsid w:val="00115F7F"/>
    <w:rsid w:val="0011602A"/>
    <w:rsid w:val="001160B7"/>
    <w:rsid w:val="0011616A"/>
    <w:rsid w:val="001161C7"/>
    <w:rsid w:val="00116588"/>
    <w:rsid w:val="00116599"/>
    <w:rsid w:val="001165AB"/>
    <w:rsid w:val="00116819"/>
    <w:rsid w:val="00116890"/>
    <w:rsid w:val="00116999"/>
    <w:rsid w:val="00116C01"/>
    <w:rsid w:val="00116C34"/>
    <w:rsid w:val="00116D10"/>
    <w:rsid w:val="00116E86"/>
    <w:rsid w:val="00116EC3"/>
    <w:rsid w:val="00116F00"/>
    <w:rsid w:val="00117001"/>
    <w:rsid w:val="00117177"/>
    <w:rsid w:val="00117230"/>
    <w:rsid w:val="0011726C"/>
    <w:rsid w:val="001173ED"/>
    <w:rsid w:val="0011761B"/>
    <w:rsid w:val="0011774B"/>
    <w:rsid w:val="00117B0C"/>
    <w:rsid w:val="00117C1E"/>
    <w:rsid w:val="00117C78"/>
    <w:rsid w:val="00117E74"/>
    <w:rsid w:val="00120186"/>
    <w:rsid w:val="0012024A"/>
    <w:rsid w:val="001202C5"/>
    <w:rsid w:val="001203E9"/>
    <w:rsid w:val="00120552"/>
    <w:rsid w:val="001205D5"/>
    <w:rsid w:val="00120605"/>
    <w:rsid w:val="001206AD"/>
    <w:rsid w:val="00120737"/>
    <w:rsid w:val="00120AC4"/>
    <w:rsid w:val="00120B0C"/>
    <w:rsid w:val="00120B16"/>
    <w:rsid w:val="00120B97"/>
    <w:rsid w:val="00120BCD"/>
    <w:rsid w:val="00120F4B"/>
    <w:rsid w:val="00121015"/>
    <w:rsid w:val="0012130A"/>
    <w:rsid w:val="001213C6"/>
    <w:rsid w:val="00121488"/>
    <w:rsid w:val="0012148D"/>
    <w:rsid w:val="00121564"/>
    <w:rsid w:val="001216B5"/>
    <w:rsid w:val="00121738"/>
    <w:rsid w:val="001217C7"/>
    <w:rsid w:val="001219AA"/>
    <w:rsid w:val="00121A85"/>
    <w:rsid w:val="00121ACA"/>
    <w:rsid w:val="00121B3A"/>
    <w:rsid w:val="00121BC5"/>
    <w:rsid w:val="00121CF9"/>
    <w:rsid w:val="00121D3D"/>
    <w:rsid w:val="00121D88"/>
    <w:rsid w:val="00121DC6"/>
    <w:rsid w:val="00121F40"/>
    <w:rsid w:val="0012215C"/>
    <w:rsid w:val="001222F3"/>
    <w:rsid w:val="0012250C"/>
    <w:rsid w:val="001225C7"/>
    <w:rsid w:val="00122827"/>
    <w:rsid w:val="001228B6"/>
    <w:rsid w:val="001228C2"/>
    <w:rsid w:val="001229BB"/>
    <w:rsid w:val="00122C4C"/>
    <w:rsid w:val="00122CC4"/>
    <w:rsid w:val="00122D79"/>
    <w:rsid w:val="00122E7C"/>
    <w:rsid w:val="00122EBA"/>
    <w:rsid w:val="00123031"/>
    <w:rsid w:val="0012304F"/>
    <w:rsid w:val="00123093"/>
    <w:rsid w:val="001231D3"/>
    <w:rsid w:val="0012323E"/>
    <w:rsid w:val="00123308"/>
    <w:rsid w:val="00123324"/>
    <w:rsid w:val="0012355D"/>
    <w:rsid w:val="0012366C"/>
    <w:rsid w:val="001238C9"/>
    <w:rsid w:val="00123A4A"/>
    <w:rsid w:val="00123AD3"/>
    <w:rsid w:val="00123B8C"/>
    <w:rsid w:val="00123D1B"/>
    <w:rsid w:val="00123DA1"/>
    <w:rsid w:val="00123DE6"/>
    <w:rsid w:val="00123F47"/>
    <w:rsid w:val="00123F97"/>
    <w:rsid w:val="00123FAB"/>
    <w:rsid w:val="0012435C"/>
    <w:rsid w:val="001243BA"/>
    <w:rsid w:val="001243F3"/>
    <w:rsid w:val="00124426"/>
    <w:rsid w:val="00124445"/>
    <w:rsid w:val="001244E1"/>
    <w:rsid w:val="00124523"/>
    <w:rsid w:val="001245F0"/>
    <w:rsid w:val="001247B8"/>
    <w:rsid w:val="0012480A"/>
    <w:rsid w:val="00124C38"/>
    <w:rsid w:val="00124CE4"/>
    <w:rsid w:val="0012504C"/>
    <w:rsid w:val="00125090"/>
    <w:rsid w:val="00125109"/>
    <w:rsid w:val="001251EC"/>
    <w:rsid w:val="00125345"/>
    <w:rsid w:val="0012543D"/>
    <w:rsid w:val="001254C4"/>
    <w:rsid w:val="00125524"/>
    <w:rsid w:val="00125558"/>
    <w:rsid w:val="0012568E"/>
    <w:rsid w:val="00125695"/>
    <w:rsid w:val="001256E3"/>
    <w:rsid w:val="00125783"/>
    <w:rsid w:val="001257AC"/>
    <w:rsid w:val="0012581B"/>
    <w:rsid w:val="00125B42"/>
    <w:rsid w:val="00125B56"/>
    <w:rsid w:val="00125BF2"/>
    <w:rsid w:val="00125C8A"/>
    <w:rsid w:val="00125E9F"/>
    <w:rsid w:val="00125EA9"/>
    <w:rsid w:val="00126034"/>
    <w:rsid w:val="00126126"/>
    <w:rsid w:val="00126144"/>
    <w:rsid w:val="001264A3"/>
    <w:rsid w:val="001265DD"/>
    <w:rsid w:val="00126861"/>
    <w:rsid w:val="001268A3"/>
    <w:rsid w:val="001268BA"/>
    <w:rsid w:val="00126CBC"/>
    <w:rsid w:val="00126D32"/>
    <w:rsid w:val="00126D68"/>
    <w:rsid w:val="00127015"/>
    <w:rsid w:val="001271A4"/>
    <w:rsid w:val="00127212"/>
    <w:rsid w:val="0012722E"/>
    <w:rsid w:val="001273F2"/>
    <w:rsid w:val="00127681"/>
    <w:rsid w:val="001276AA"/>
    <w:rsid w:val="00127724"/>
    <w:rsid w:val="00127739"/>
    <w:rsid w:val="00127A48"/>
    <w:rsid w:val="00127A92"/>
    <w:rsid w:val="00127A93"/>
    <w:rsid w:val="00127B63"/>
    <w:rsid w:val="00127E31"/>
    <w:rsid w:val="00127EA9"/>
    <w:rsid w:val="00127F92"/>
    <w:rsid w:val="00130187"/>
    <w:rsid w:val="00130260"/>
    <w:rsid w:val="0013036E"/>
    <w:rsid w:val="0013040D"/>
    <w:rsid w:val="00130572"/>
    <w:rsid w:val="00130869"/>
    <w:rsid w:val="00130A56"/>
    <w:rsid w:val="00130C27"/>
    <w:rsid w:val="00130C35"/>
    <w:rsid w:val="00130CD4"/>
    <w:rsid w:val="00130D2B"/>
    <w:rsid w:val="00130DA4"/>
    <w:rsid w:val="00130E45"/>
    <w:rsid w:val="00130EF4"/>
    <w:rsid w:val="00130F6C"/>
    <w:rsid w:val="00130FAC"/>
    <w:rsid w:val="00130FAE"/>
    <w:rsid w:val="00131028"/>
    <w:rsid w:val="001312D2"/>
    <w:rsid w:val="001315B3"/>
    <w:rsid w:val="00131676"/>
    <w:rsid w:val="0013168F"/>
    <w:rsid w:val="0013187B"/>
    <w:rsid w:val="0013188D"/>
    <w:rsid w:val="00131B07"/>
    <w:rsid w:val="00131B65"/>
    <w:rsid w:val="00131B79"/>
    <w:rsid w:val="00131BD2"/>
    <w:rsid w:val="00131FF6"/>
    <w:rsid w:val="0013202A"/>
    <w:rsid w:val="00132106"/>
    <w:rsid w:val="0013215E"/>
    <w:rsid w:val="001321D6"/>
    <w:rsid w:val="0013237F"/>
    <w:rsid w:val="001323CA"/>
    <w:rsid w:val="001326EE"/>
    <w:rsid w:val="001326FF"/>
    <w:rsid w:val="001327DE"/>
    <w:rsid w:val="00132A5F"/>
    <w:rsid w:val="00132AA9"/>
    <w:rsid w:val="00132B09"/>
    <w:rsid w:val="00132BF6"/>
    <w:rsid w:val="00132F28"/>
    <w:rsid w:val="00132FDA"/>
    <w:rsid w:val="0013336B"/>
    <w:rsid w:val="00133535"/>
    <w:rsid w:val="00133783"/>
    <w:rsid w:val="001338F8"/>
    <w:rsid w:val="0013399A"/>
    <w:rsid w:val="00133A95"/>
    <w:rsid w:val="00133ABE"/>
    <w:rsid w:val="00133AC7"/>
    <w:rsid w:val="00133CC9"/>
    <w:rsid w:val="00133DA6"/>
    <w:rsid w:val="00133EA2"/>
    <w:rsid w:val="00133F27"/>
    <w:rsid w:val="00133F3F"/>
    <w:rsid w:val="00133FD2"/>
    <w:rsid w:val="00133FE7"/>
    <w:rsid w:val="00134090"/>
    <w:rsid w:val="001340E4"/>
    <w:rsid w:val="001340E9"/>
    <w:rsid w:val="001340FB"/>
    <w:rsid w:val="00134290"/>
    <w:rsid w:val="001343E9"/>
    <w:rsid w:val="00134482"/>
    <w:rsid w:val="0013458A"/>
    <w:rsid w:val="0013469B"/>
    <w:rsid w:val="001346CE"/>
    <w:rsid w:val="00134858"/>
    <w:rsid w:val="0013496E"/>
    <w:rsid w:val="00134AC7"/>
    <w:rsid w:val="00134DD9"/>
    <w:rsid w:val="00134EC9"/>
    <w:rsid w:val="00134FA6"/>
    <w:rsid w:val="0013513D"/>
    <w:rsid w:val="0013514A"/>
    <w:rsid w:val="001352EE"/>
    <w:rsid w:val="001354BF"/>
    <w:rsid w:val="001355C5"/>
    <w:rsid w:val="00135642"/>
    <w:rsid w:val="001358EC"/>
    <w:rsid w:val="00135923"/>
    <w:rsid w:val="0013594B"/>
    <w:rsid w:val="0013596F"/>
    <w:rsid w:val="00135B63"/>
    <w:rsid w:val="00135C9B"/>
    <w:rsid w:val="00135E3D"/>
    <w:rsid w:val="00135F05"/>
    <w:rsid w:val="00135FF4"/>
    <w:rsid w:val="001360EE"/>
    <w:rsid w:val="001361CD"/>
    <w:rsid w:val="00136227"/>
    <w:rsid w:val="00136595"/>
    <w:rsid w:val="001365C3"/>
    <w:rsid w:val="0013680A"/>
    <w:rsid w:val="00136882"/>
    <w:rsid w:val="00136C56"/>
    <w:rsid w:val="00136D89"/>
    <w:rsid w:val="00136DAB"/>
    <w:rsid w:val="00136DB1"/>
    <w:rsid w:val="00136EBB"/>
    <w:rsid w:val="00137123"/>
    <w:rsid w:val="001371A0"/>
    <w:rsid w:val="00137240"/>
    <w:rsid w:val="0013727E"/>
    <w:rsid w:val="001373AF"/>
    <w:rsid w:val="0013744A"/>
    <w:rsid w:val="001374DE"/>
    <w:rsid w:val="00137546"/>
    <w:rsid w:val="00137B09"/>
    <w:rsid w:val="00137B41"/>
    <w:rsid w:val="00137BCA"/>
    <w:rsid w:val="00137D6B"/>
    <w:rsid w:val="00140173"/>
    <w:rsid w:val="00140438"/>
    <w:rsid w:val="001404E8"/>
    <w:rsid w:val="001405F6"/>
    <w:rsid w:val="001406F7"/>
    <w:rsid w:val="001407A8"/>
    <w:rsid w:val="0014086F"/>
    <w:rsid w:val="0014090F"/>
    <w:rsid w:val="00140C24"/>
    <w:rsid w:val="00140D47"/>
    <w:rsid w:val="00140EA4"/>
    <w:rsid w:val="001410A5"/>
    <w:rsid w:val="001410D5"/>
    <w:rsid w:val="00141222"/>
    <w:rsid w:val="00141266"/>
    <w:rsid w:val="001416BE"/>
    <w:rsid w:val="001416CA"/>
    <w:rsid w:val="00141B6B"/>
    <w:rsid w:val="00141BB1"/>
    <w:rsid w:val="00141BBF"/>
    <w:rsid w:val="00141D5C"/>
    <w:rsid w:val="00141DC3"/>
    <w:rsid w:val="00141E81"/>
    <w:rsid w:val="00141F94"/>
    <w:rsid w:val="00141FB7"/>
    <w:rsid w:val="00142039"/>
    <w:rsid w:val="00142051"/>
    <w:rsid w:val="0014214C"/>
    <w:rsid w:val="00142168"/>
    <w:rsid w:val="0014221A"/>
    <w:rsid w:val="001424B5"/>
    <w:rsid w:val="00142565"/>
    <w:rsid w:val="00142625"/>
    <w:rsid w:val="00142876"/>
    <w:rsid w:val="001429E1"/>
    <w:rsid w:val="00142BAB"/>
    <w:rsid w:val="00142BE7"/>
    <w:rsid w:val="00142BEF"/>
    <w:rsid w:val="00142C67"/>
    <w:rsid w:val="00142CEE"/>
    <w:rsid w:val="00142D68"/>
    <w:rsid w:val="00142F0A"/>
    <w:rsid w:val="0014300D"/>
    <w:rsid w:val="00143051"/>
    <w:rsid w:val="001431B4"/>
    <w:rsid w:val="0014321E"/>
    <w:rsid w:val="001432C5"/>
    <w:rsid w:val="001433D6"/>
    <w:rsid w:val="001434B8"/>
    <w:rsid w:val="00143525"/>
    <w:rsid w:val="00143542"/>
    <w:rsid w:val="0014359C"/>
    <w:rsid w:val="001435EE"/>
    <w:rsid w:val="00143636"/>
    <w:rsid w:val="001438CE"/>
    <w:rsid w:val="00143955"/>
    <w:rsid w:val="00143A77"/>
    <w:rsid w:val="00143A9B"/>
    <w:rsid w:val="00143AA2"/>
    <w:rsid w:val="00143B0D"/>
    <w:rsid w:val="00143B34"/>
    <w:rsid w:val="00143BC7"/>
    <w:rsid w:val="00143D0B"/>
    <w:rsid w:val="00143D1E"/>
    <w:rsid w:val="00143D87"/>
    <w:rsid w:val="00143DFE"/>
    <w:rsid w:val="00144452"/>
    <w:rsid w:val="00144507"/>
    <w:rsid w:val="00144583"/>
    <w:rsid w:val="001445AC"/>
    <w:rsid w:val="001449A3"/>
    <w:rsid w:val="00144A9D"/>
    <w:rsid w:val="00144BA3"/>
    <w:rsid w:val="00144BD0"/>
    <w:rsid w:val="00144DBA"/>
    <w:rsid w:val="00144E61"/>
    <w:rsid w:val="00144FD0"/>
    <w:rsid w:val="00145233"/>
    <w:rsid w:val="0014525C"/>
    <w:rsid w:val="0014556A"/>
    <w:rsid w:val="001456C1"/>
    <w:rsid w:val="001458D5"/>
    <w:rsid w:val="00145A15"/>
    <w:rsid w:val="00145A33"/>
    <w:rsid w:val="00145A4D"/>
    <w:rsid w:val="00145A6E"/>
    <w:rsid w:val="00145B4B"/>
    <w:rsid w:val="00145BFB"/>
    <w:rsid w:val="00145D39"/>
    <w:rsid w:val="00145F7D"/>
    <w:rsid w:val="00145F82"/>
    <w:rsid w:val="001460FD"/>
    <w:rsid w:val="00146135"/>
    <w:rsid w:val="001461E1"/>
    <w:rsid w:val="001461E3"/>
    <w:rsid w:val="0014622A"/>
    <w:rsid w:val="00146479"/>
    <w:rsid w:val="00146533"/>
    <w:rsid w:val="001467AF"/>
    <w:rsid w:val="0014688D"/>
    <w:rsid w:val="001469E3"/>
    <w:rsid w:val="00146BF4"/>
    <w:rsid w:val="00146C8F"/>
    <w:rsid w:val="00146DC3"/>
    <w:rsid w:val="00146E31"/>
    <w:rsid w:val="0014703E"/>
    <w:rsid w:val="0014726A"/>
    <w:rsid w:val="001473B8"/>
    <w:rsid w:val="001473B9"/>
    <w:rsid w:val="00147411"/>
    <w:rsid w:val="001474B3"/>
    <w:rsid w:val="001474EE"/>
    <w:rsid w:val="00147748"/>
    <w:rsid w:val="0014774B"/>
    <w:rsid w:val="00147880"/>
    <w:rsid w:val="00147B1B"/>
    <w:rsid w:val="00147C8B"/>
    <w:rsid w:val="00147C95"/>
    <w:rsid w:val="00147E39"/>
    <w:rsid w:val="00147E96"/>
    <w:rsid w:val="00150017"/>
    <w:rsid w:val="0015025A"/>
    <w:rsid w:val="0015028C"/>
    <w:rsid w:val="0015058E"/>
    <w:rsid w:val="0015066B"/>
    <w:rsid w:val="00150711"/>
    <w:rsid w:val="0015072A"/>
    <w:rsid w:val="001509C0"/>
    <w:rsid w:val="00150AB9"/>
    <w:rsid w:val="00150B80"/>
    <w:rsid w:val="00150BC0"/>
    <w:rsid w:val="00150C9D"/>
    <w:rsid w:val="00150CD7"/>
    <w:rsid w:val="00150DB9"/>
    <w:rsid w:val="00150F18"/>
    <w:rsid w:val="001510EF"/>
    <w:rsid w:val="00151231"/>
    <w:rsid w:val="00151413"/>
    <w:rsid w:val="00151656"/>
    <w:rsid w:val="00151685"/>
    <w:rsid w:val="00151797"/>
    <w:rsid w:val="00151966"/>
    <w:rsid w:val="00151B5E"/>
    <w:rsid w:val="00151CA7"/>
    <w:rsid w:val="00152148"/>
    <w:rsid w:val="00152246"/>
    <w:rsid w:val="001523E1"/>
    <w:rsid w:val="0015255D"/>
    <w:rsid w:val="0015259A"/>
    <w:rsid w:val="00152648"/>
    <w:rsid w:val="00152713"/>
    <w:rsid w:val="0015284D"/>
    <w:rsid w:val="00152960"/>
    <w:rsid w:val="00152B6D"/>
    <w:rsid w:val="00152BBE"/>
    <w:rsid w:val="00152D3A"/>
    <w:rsid w:val="00152F06"/>
    <w:rsid w:val="00152F1C"/>
    <w:rsid w:val="0015316C"/>
    <w:rsid w:val="001532A7"/>
    <w:rsid w:val="001534D9"/>
    <w:rsid w:val="001535CA"/>
    <w:rsid w:val="0015363D"/>
    <w:rsid w:val="0015368D"/>
    <w:rsid w:val="0015380D"/>
    <w:rsid w:val="001539C9"/>
    <w:rsid w:val="00153AE3"/>
    <w:rsid w:val="00153BD3"/>
    <w:rsid w:val="00153C0E"/>
    <w:rsid w:val="00153E63"/>
    <w:rsid w:val="00154257"/>
    <w:rsid w:val="00154389"/>
    <w:rsid w:val="001546BC"/>
    <w:rsid w:val="0015497B"/>
    <w:rsid w:val="00154A24"/>
    <w:rsid w:val="00154B2D"/>
    <w:rsid w:val="00154B7C"/>
    <w:rsid w:val="00154B9A"/>
    <w:rsid w:val="00154BBE"/>
    <w:rsid w:val="00154BFF"/>
    <w:rsid w:val="00154D0B"/>
    <w:rsid w:val="00154E5F"/>
    <w:rsid w:val="00154FD8"/>
    <w:rsid w:val="00155006"/>
    <w:rsid w:val="001552B6"/>
    <w:rsid w:val="001552B7"/>
    <w:rsid w:val="0015531B"/>
    <w:rsid w:val="0015538D"/>
    <w:rsid w:val="00155474"/>
    <w:rsid w:val="00155677"/>
    <w:rsid w:val="001558A9"/>
    <w:rsid w:val="001558B7"/>
    <w:rsid w:val="00155C56"/>
    <w:rsid w:val="00155CE4"/>
    <w:rsid w:val="001560DE"/>
    <w:rsid w:val="0015618B"/>
    <w:rsid w:val="00156233"/>
    <w:rsid w:val="0015671B"/>
    <w:rsid w:val="00156870"/>
    <w:rsid w:val="00156991"/>
    <w:rsid w:val="00156AFA"/>
    <w:rsid w:val="00156D3A"/>
    <w:rsid w:val="00156DC2"/>
    <w:rsid w:val="00156E52"/>
    <w:rsid w:val="00156F04"/>
    <w:rsid w:val="00156FA2"/>
    <w:rsid w:val="00156FD9"/>
    <w:rsid w:val="0015729F"/>
    <w:rsid w:val="00157364"/>
    <w:rsid w:val="00157366"/>
    <w:rsid w:val="00157568"/>
    <w:rsid w:val="001575A4"/>
    <w:rsid w:val="00157602"/>
    <w:rsid w:val="00157609"/>
    <w:rsid w:val="001579A3"/>
    <w:rsid w:val="001579BF"/>
    <w:rsid w:val="00157B78"/>
    <w:rsid w:val="00157CB3"/>
    <w:rsid w:val="001601AC"/>
    <w:rsid w:val="001601B0"/>
    <w:rsid w:val="00160300"/>
    <w:rsid w:val="0016035E"/>
    <w:rsid w:val="00160400"/>
    <w:rsid w:val="00160685"/>
    <w:rsid w:val="001606CF"/>
    <w:rsid w:val="0016074E"/>
    <w:rsid w:val="001607BF"/>
    <w:rsid w:val="001609E8"/>
    <w:rsid w:val="00160B10"/>
    <w:rsid w:val="00160BA0"/>
    <w:rsid w:val="00160C69"/>
    <w:rsid w:val="00160C7F"/>
    <w:rsid w:val="00160D9B"/>
    <w:rsid w:val="00160DC4"/>
    <w:rsid w:val="00160FA3"/>
    <w:rsid w:val="001610DE"/>
    <w:rsid w:val="00161221"/>
    <w:rsid w:val="0016137D"/>
    <w:rsid w:val="001614A9"/>
    <w:rsid w:val="001617BD"/>
    <w:rsid w:val="00161869"/>
    <w:rsid w:val="001618F4"/>
    <w:rsid w:val="0016190A"/>
    <w:rsid w:val="00161A07"/>
    <w:rsid w:val="00161AB6"/>
    <w:rsid w:val="00161BC1"/>
    <w:rsid w:val="00161E53"/>
    <w:rsid w:val="00161E75"/>
    <w:rsid w:val="00161F76"/>
    <w:rsid w:val="001621CC"/>
    <w:rsid w:val="00162377"/>
    <w:rsid w:val="001624EB"/>
    <w:rsid w:val="001625E3"/>
    <w:rsid w:val="00162639"/>
    <w:rsid w:val="001627BF"/>
    <w:rsid w:val="00162891"/>
    <w:rsid w:val="00162BC9"/>
    <w:rsid w:val="00162C04"/>
    <w:rsid w:val="00162D57"/>
    <w:rsid w:val="00162FA8"/>
    <w:rsid w:val="0016304A"/>
    <w:rsid w:val="00163216"/>
    <w:rsid w:val="0016328C"/>
    <w:rsid w:val="0016339C"/>
    <w:rsid w:val="00163555"/>
    <w:rsid w:val="00163598"/>
    <w:rsid w:val="001636D6"/>
    <w:rsid w:val="0016390A"/>
    <w:rsid w:val="0016392F"/>
    <w:rsid w:val="00163D46"/>
    <w:rsid w:val="00163E77"/>
    <w:rsid w:val="00163F1A"/>
    <w:rsid w:val="00163F81"/>
    <w:rsid w:val="00163F99"/>
    <w:rsid w:val="00164336"/>
    <w:rsid w:val="001644BC"/>
    <w:rsid w:val="001646D3"/>
    <w:rsid w:val="001647FF"/>
    <w:rsid w:val="00164902"/>
    <w:rsid w:val="00164962"/>
    <w:rsid w:val="00164DBE"/>
    <w:rsid w:val="00164DF4"/>
    <w:rsid w:val="00164E54"/>
    <w:rsid w:val="001650A0"/>
    <w:rsid w:val="0016522C"/>
    <w:rsid w:val="001652B9"/>
    <w:rsid w:val="0016543A"/>
    <w:rsid w:val="001655ED"/>
    <w:rsid w:val="00165704"/>
    <w:rsid w:val="0016594E"/>
    <w:rsid w:val="0016597D"/>
    <w:rsid w:val="001659BD"/>
    <w:rsid w:val="00165AFE"/>
    <w:rsid w:val="00165B8F"/>
    <w:rsid w:val="00165CD4"/>
    <w:rsid w:val="00165F92"/>
    <w:rsid w:val="001660B5"/>
    <w:rsid w:val="00166115"/>
    <w:rsid w:val="00166263"/>
    <w:rsid w:val="00166400"/>
    <w:rsid w:val="001665B8"/>
    <w:rsid w:val="001665BB"/>
    <w:rsid w:val="001665C5"/>
    <w:rsid w:val="00166618"/>
    <w:rsid w:val="00166966"/>
    <w:rsid w:val="00166B02"/>
    <w:rsid w:val="00166EBF"/>
    <w:rsid w:val="00166EDA"/>
    <w:rsid w:val="00166EF9"/>
    <w:rsid w:val="00166F14"/>
    <w:rsid w:val="00166FDA"/>
    <w:rsid w:val="00167235"/>
    <w:rsid w:val="0016753E"/>
    <w:rsid w:val="00167568"/>
    <w:rsid w:val="001675D2"/>
    <w:rsid w:val="00167685"/>
    <w:rsid w:val="00167696"/>
    <w:rsid w:val="00167770"/>
    <w:rsid w:val="00167858"/>
    <w:rsid w:val="0016785B"/>
    <w:rsid w:val="001678C2"/>
    <w:rsid w:val="0016799B"/>
    <w:rsid w:val="001679AD"/>
    <w:rsid w:val="00167E1F"/>
    <w:rsid w:val="0017028C"/>
    <w:rsid w:val="00170329"/>
    <w:rsid w:val="001703CB"/>
    <w:rsid w:val="00170467"/>
    <w:rsid w:val="001704B3"/>
    <w:rsid w:val="0017051A"/>
    <w:rsid w:val="00170745"/>
    <w:rsid w:val="00170A2A"/>
    <w:rsid w:val="00170B08"/>
    <w:rsid w:val="00170B70"/>
    <w:rsid w:val="00170BF0"/>
    <w:rsid w:val="001710BF"/>
    <w:rsid w:val="00171271"/>
    <w:rsid w:val="001715DE"/>
    <w:rsid w:val="00171790"/>
    <w:rsid w:val="001717AB"/>
    <w:rsid w:val="001719B6"/>
    <w:rsid w:val="00171AD9"/>
    <w:rsid w:val="00171B6D"/>
    <w:rsid w:val="00171D58"/>
    <w:rsid w:val="00171DE6"/>
    <w:rsid w:val="00171E4D"/>
    <w:rsid w:val="00171E5C"/>
    <w:rsid w:val="00171F18"/>
    <w:rsid w:val="00171F5C"/>
    <w:rsid w:val="0017208E"/>
    <w:rsid w:val="00172135"/>
    <w:rsid w:val="00172385"/>
    <w:rsid w:val="00172480"/>
    <w:rsid w:val="00172502"/>
    <w:rsid w:val="00172640"/>
    <w:rsid w:val="0017267E"/>
    <w:rsid w:val="00172912"/>
    <w:rsid w:val="0017295D"/>
    <w:rsid w:val="00172B82"/>
    <w:rsid w:val="00172BF1"/>
    <w:rsid w:val="00172DFE"/>
    <w:rsid w:val="00173032"/>
    <w:rsid w:val="001731E6"/>
    <w:rsid w:val="00173226"/>
    <w:rsid w:val="001732F6"/>
    <w:rsid w:val="00173541"/>
    <w:rsid w:val="00173579"/>
    <w:rsid w:val="001735E9"/>
    <w:rsid w:val="001737BF"/>
    <w:rsid w:val="0017389A"/>
    <w:rsid w:val="00173923"/>
    <w:rsid w:val="00173A4B"/>
    <w:rsid w:val="00173B8C"/>
    <w:rsid w:val="00173BE6"/>
    <w:rsid w:val="00173C3A"/>
    <w:rsid w:val="00173CE9"/>
    <w:rsid w:val="00174054"/>
    <w:rsid w:val="001741B2"/>
    <w:rsid w:val="00174247"/>
    <w:rsid w:val="001742E2"/>
    <w:rsid w:val="00174613"/>
    <w:rsid w:val="001746DD"/>
    <w:rsid w:val="00174744"/>
    <w:rsid w:val="00174774"/>
    <w:rsid w:val="00174855"/>
    <w:rsid w:val="001748D1"/>
    <w:rsid w:val="00174AF9"/>
    <w:rsid w:val="00174B1A"/>
    <w:rsid w:val="00174B29"/>
    <w:rsid w:val="00174BFB"/>
    <w:rsid w:val="00174D5B"/>
    <w:rsid w:val="00174D74"/>
    <w:rsid w:val="00174F32"/>
    <w:rsid w:val="00175219"/>
    <w:rsid w:val="00175390"/>
    <w:rsid w:val="001754E3"/>
    <w:rsid w:val="00175628"/>
    <w:rsid w:val="001757B9"/>
    <w:rsid w:val="001758C2"/>
    <w:rsid w:val="00175925"/>
    <w:rsid w:val="00175C39"/>
    <w:rsid w:val="00175CF2"/>
    <w:rsid w:val="00175DED"/>
    <w:rsid w:val="00175E0B"/>
    <w:rsid w:val="00175FEF"/>
    <w:rsid w:val="00176137"/>
    <w:rsid w:val="001761E0"/>
    <w:rsid w:val="001762C6"/>
    <w:rsid w:val="0017638F"/>
    <w:rsid w:val="00176413"/>
    <w:rsid w:val="001764DB"/>
    <w:rsid w:val="0017654B"/>
    <w:rsid w:val="00176740"/>
    <w:rsid w:val="00176AAE"/>
    <w:rsid w:val="00176B94"/>
    <w:rsid w:val="00176BBC"/>
    <w:rsid w:val="00176C2B"/>
    <w:rsid w:val="00176CCB"/>
    <w:rsid w:val="00176E26"/>
    <w:rsid w:val="00176FD2"/>
    <w:rsid w:val="001770C0"/>
    <w:rsid w:val="00177312"/>
    <w:rsid w:val="0017776D"/>
    <w:rsid w:val="001777E7"/>
    <w:rsid w:val="00177831"/>
    <w:rsid w:val="001778A7"/>
    <w:rsid w:val="001778B5"/>
    <w:rsid w:val="00177AF7"/>
    <w:rsid w:val="00177BA9"/>
    <w:rsid w:val="00177F29"/>
    <w:rsid w:val="00177FBC"/>
    <w:rsid w:val="00180129"/>
    <w:rsid w:val="001801F6"/>
    <w:rsid w:val="001802CE"/>
    <w:rsid w:val="001802FC"/>
    <w:rsid w:val="001806AE"/>
    <w:rsid w:val="001806C3"/>
    <w:rsid w:val="0018089B"/>
    <w:rsid w:val="001808EA"/>
    <w:rsid w:val="00180947"/>
    <w:rsid w:val="001809E0"/>
    <w:rsid w:val="00180BD8"/>
    <w:rsid w:val="00180C6D"/>
    <w:rsid w:val="00180C9F"/>
    <w:rsid w:val="00180DDE"/>
    <w:rsid w:val="00180EAC"/>
    <w:rsid w:val="00180EB2"/>
    <w:rsid w:val="00181097"/>
    <w:rsid w:val="00181148"/>
    <w:rsid w:val="001812A9"/>
    <w:rsid w:val="001814B7"/>
    <w:rsid w:val="001814DA"/>
    <w:rsid w:val="0018161D"/>
    <w:rsid w:val="0018182A"/>
    <w:rsid w:val="00181EB6"/>
    <w:rsid w:val="00181FD8"/>
    <w:rsid w:val="0018202E"/>
    <w:rsid w:val="001820C0"/>
    <w:rsid w:val="00182424"/>
    <w:rsid w:val="00182508"/>
    <w:rsid w:val="0018258B"/>
    <w:rsid w:val="00182682"/>
    <w:rsid w:val="001827A5"/>
    <w:rsid w:val="00182824"/>
    <w:rsid w:val="00182877"/>
    <w:rsid w:val="00182A6F"/>
    <w:rsid w:val="00182A70"/>
    <w:rsid w:val="00182AA0"/>
    <w:rsid w:val="00182B22"/>
    <w:rsid w:val="00182BC3"/>
    <w:rsid w:val="00182C4B"/>
    <w:rsid w:val="00182C58"/>
    <w:rsid w:val="00182D00"/>
    <w:rsid w:val="00182DF3"/>
    <w:rsid w:val="00182E2A"/>
    <w:rsid w:val="00182E40"/>
    <w:rsid w:val="00182E5F"/>
    <w:rsid w:val="00182FA2"/>
    <w:rsid w:val="0018300C"/>
    <w:rsid w:val="001830A0"/>
    <w:rsid w:val="00183269"/>
    <w:rsid w:val="0018328F"/>
    <w:rsid w:val="00183302"/>
    <w:rsid w:val="00183310"/>
    <w:rsid w:val="00183396"/>
    <w:rsid w:val="00183510"/>
    <w:rsid w:val="00183670"/>
    <w:rsid w:val="001836C9"/>
    <w:rsid w:val="00183701"/>
    <w:rsid w:val="00183753"/>
    <w:rsid w:val="0018379B"/>
    <w:rsid w:val="001837CA"/>
    <w:rsid w:val="001837F9"/>
    <w:rsid w:val="0018383A"/>
    <w:rsid w:val="001838ED"/>
    <w:rsid w:val="00183A25"/>
    <w:rsid w:val="00183BFB"/>
    <w:rsid w:val="00183CCE"/>
    <w:rsid w:val="00183EB6"/>
    <w:rsid w:val="00183F16"/>
    <w:rsid w:val="00183F2F"/>
    <w:rsid w:val="00184065"/>
    <w:rsid w:val="00184153"/>
    <w:rsid w:val="0018423F"/>
    <w:rsid w:val="0018430B"/>
    <w:rsid w:val="00184788"/>
    <w:rsid w:val="00184805"/>
    <w:rsid w:val="0018489E"/>
    <w:rsid w:val="00184B1A"/>
    <w:rsid w:val="00184C04"/>
    <w:rsid w:val="00184E03"/>
    <w:rsid w:val="00184F5D"/>
    <w:rsid w:val="00184FFC"/>
    <w:rsid w:val="00184FFF"/>
    <w:rsid w:val="0018507B"/>
    <w:rsid w:val="001851EC"/>
    <w:rsid w:val="00185232"/>
    <w:rsid w:val="001852D6"/>
    <w:rsid w:val="00185440"/>
    <w:rsid w:val="001854C2"/>
    <w:rsid w:val="00185628"/>
    <w:rsid w:val="00185858"/>
    <w:rsid w:val="00185908"/>
    <w:rsid w:val="00185974"/>
    <w:rsid w:val="00185ADA"/>
    <w:rsid w:val="00185F71"/>
    <w:rsid w:val="00185F9B"/>
    <w:rsid w:val="0018607D"/>
    <w:rsid w:val="0018610F"/>
    <w:rsid w:val="00186215"/>
    <w:rsid w:val="00186230"/>
    <w:rsid w:val="0018633D"/>
    <w:rsid w:val="00186341"/>
    <w:rsid w:val="0018641D"/>
    <w:rsid w:val="00186564"/>
    <w:rsid w:val="00186667"/>
    <w:rsid w:val="0018682B"/>
    <w:rsid w:val="001869DD"/>
    <w:rsid w:val="00186ADA"/>
    <w:rsid w:val="00186B1D"/>
    <w:rsid w:val="00186B78"/>
    <w:rsid w:val="00186C95"/>
    <w:rsid w:val="00187114"/>
    <w:rsid w:val="0018724B"/>
    <w:rsid w:val="0018756A"/>
    <w:rsid w:val="0018761F"/>
    <w:rsid w:val="001876A8"/>
    <w:rsid w:val="00187815"/>
    <w:rsid w:val="00187871"/>
    <w:rsid w:val="00187894"/>
    <w:rsid w:val="001879A5"/>
    <w:rsid w:val="00187A02"/>
    <w:rsid w:val="00187B28"/>
    <w:rsid w:val="00187BEF"/>
    <w:rsid w:val="00187C25"/>
    <w:rsid w:val="00187C71"/>
    <w:rsid w:val="00187C7E"/>
    <w:rsid w:val="00190195"/>
    <w:rsid w:val="001901C6"/>
    <w:rsid w:val="00190552"/>
    <w:rsid w:val="001905BE"/>
    <w:rsid w:val="00190986"/>
    <w:rsid w:val="001909F3"/>
    <w:rsid w:val="00190A01"/>
    <w:rsid w:val="00190B92"/>
    <w:rsid w:val="00190BD5"/>
    <w:rsid w:val="00190BDF"/>
    <w:rsid w:val="00190BF4"/>
    <w:rsid w:val="00190C65"/>
    <w:rsid w:val="00190C9D"/>
    <w:rsid w:val="001910BF"/>
    <w:rsid w:val="00191106"/>
    <w:rsid w:val="00191185"/>
    <w:rsid w:val="0019123C"/>
    <w:rsid w:val="0019128E"/>
    <w:rsid w:val="0019135C"/>
    <w:rsid w:val="00191387"/>
    <w:rsid w:val="0019141B"/>
    <w:rsid w:val="00191453"/>
    <w:rsid w:val="001914E0"/>
    <w:rsid w:val="00191574"/>
    <w:rsid w:val="00191653"/>
    <w:rsid w:val="00191710"/>
    <w:rsid w:val="00191906"/>
    <w:rsid w:val="001919C1"/>
    <w:rsid w:val="00191A2D"/>
    <w:rsid w:val="00191AE3"/>
    <w:rsid w:val="00191C86"/>
    <w:rsid w:val="001922E1"/>
    <w:rsid w:val="001922F0"/>
    <w:rsid w:val="0019232B"/>
    <w:rsid w:val="00192338"/>
    <w:rsid w:val="00192356"/>
    <w:rsid w:val="001925D4"/>
    <w:rsid w:val="00192686"/>
    <w:rsid w:val="0019277C"/>
    <w:rsid w:val="00192816"/>
    <w:rsid w:val="00192A0B"/>
    <w:rsid w:val="00192A28"/>
    <w:rsid w:val="00192AEF"/>
    <w:rsid w:val="00192B60"/>
    <w:rsid w:val="00192B7C"/>
    <w:rsid w:val="00192C1F"/>
    <w:rsid w:val="00192F8D"/>
    <w:rsid w:val="00193089"/>
    <w:rsid w:val="001931B4"/>
    <w:rsid w:val="0019331D"/>
    <w:rsid w:val="001933BD"/>
    <w:rsid w:val="00193406"/>
    <w:rsid w:val="0019342E"/>
    <w:rsid w:val="0019353A"/>
    <w:rsid w:val="001938AA"/>
    <w:rsid w:val="0019391B"/>
    <w:rsid w:val="00193C44"/>
    <w:rsid w:val="00193C71"/>
    <w:rsid w:val="00193CFA"/>
    <w:rsid w:val="00193D4F"/>
    <w:rsid w:val="00193E60"/>
    <w:rsid w:val="00194043"/>
    <w:rsid w:val="001940F0"/>
    <w:rsid w:val="00194116"/>
    <w:rsid w:val="00194237"/>
    <w:rsid w:val="001944AB"/>
    <w:rsid w:val="001944DF"/>
    <w:rsid w:val="0019452F"/>
    <w:rsid w:val="001945A7"/>
    <w:rsid w:val="001947A2"/>
    <w:rsid w:val="001947BA"/>
    <w:rsid w:val="001949CA"/>
    <w:rsid w:val="00194A22"/>
    <w:rsid w:val="00194DB0"/>
    <w:rsid w:val="00194F35"/>
    <w:rsid w:val="0019500B"/>
    <w:rsid w:val="001950C3"/>
    <w:rsid w:val="001951E0"/>
    <w:rsid w:val="0019521D"/>
    <w:rsid w:val="0019547B"/>
    <w:rsid w:val="00195558"/>
    <w:rsid w:val="001955F6"/>
    <w:rsid w:val="0019573E"/>
    <w:rsid w:val="0019579E"/>
    <w:rsid w:val="00195805"/>
    <w:rsid w:val="0019584A"/>
    <w:rsid w:val="0019586D"/>
    <w:rsid w:val="00195886"/>
    <w:rsid w:val="00195A08"/>
    <w:rsid w:val="00195B4A"/>
    <w:rsid w:val="00195BCA"/>
    <w:rsid w:val="00195DFD"/>
    <w:rsid w:val="0019600E"/>
    <w:rsid w:val="00196064"/>
    <w:rsid w:val="00196181"/>
    <w:rsid w:val="00196271"/>
    <w:rsid w:val="001962AE"/>
    <w:rsid w:val="00196395"/>
    <w:rsid w:val="001965A5"/>
    <w:rsid w:val="0019666A"/>
    <w:rsid w:val="00196742"/>
    <w:rsid w:val="001967CD"/>
    <w:rsid w:val="001967D6"/>
    <w:rsid w:val="00196831"/>
    <w:rsid w:val="001968CC"/>
    <w:rsid w:val="0019696A"/>
    <w:rsid w:val="00196AF1"/>
    <w:rsid w:val="00196B83"/>
    <w:rsid w:val="00196BD6"/>
    <w:rsid w:val="00196C58"/>
    <w:rsid w:val="00196ED8"/>
    <w:rsid w:val="00197352"/>
    <w:rsid w:val="00197579"/>
    <w:rsid w:val="00197651"/>
    <w:rsid w:val="0019765B"/>
    <w:rsid w:val="00197876"/>
    <w:rsid w:val="00197923"/>
    <w:rsid w:val="0019797B"/>
    <w:rsid w:val="001979B3"/>
    <w:rsid w:val="001979C7"/>
    <w:rsid w:val="00197AAD"/>
    <w:rsid w:val="00197ADA"/>
    <w:rsid w:val="00197C10"/>
    <w:rsid w:val="00197C8D"/>
    <w:rsid w:val="00197CBB"/>
    <w:rsid w:val="00197D13"/>
    <w:rsid w:val="00197DD9"/>
    <w:rsid w:val="00197EB9"/>
    <w:rsid w:val="0019A335"/>
    <w:rsid w:val="001A0019"/>
    <w:rsid w:val="001A011B"/>
    <w:rsid w:val="001A0299"/>
    <w:rsid w:val="001A035C"/>
    <w:rsid w:val="001A039D"/>
    <w:rsid w:val="001A0471"/>
    <w:rsid w:val="001A059C"/>
    <w:rsid w:val="001A05B8"/>
    <w:rsid w:val="001A0750"/>
    <w:rsid w:val="001A0836"/>
    <w:rsid w:val="001A0935"/>
    <w:rsid w:val="001A0B70"/>
    <w:rsid w:val="001A0B9C"/>
    <w:rsid w:val="001A0B9E"/>
    <w:rsid w:val="001A0BDA"/>
    <w:rsid w:val="001A0C25"/>
    <w:rsid w:val="001A0C84"/>
    <w:rsid w:val="001A0D54"/>
    <w:rsid w:val="001A0D60"/>
    <w:rsid w:val="001A0DEE"/>
    <w:rsid w:val="001A0F1A"/>
    <w:rsid w:val="001A1033"/>
    <w:rsid w:val="001A1039"/>
    <w:rsid w:val="001A12AC"/>
    <w:rsid w:val="001A148D"/>
    <w:rsid w:val="001A15B3"/>
    <w:rsid w:val="001A184C"/>
    <w:rsid w:val="001A1957"/>
    <w:rsid w:val="001A1A88"/>
    <w:rsid w:val="001A1B11"/>
    <w:rsid w:val="001A1B2F"/>
    <w:rsid w:val="001A1BC0"/>
    <w:rsid w:val="001A1C77"/>
    <w:rsid w:val="001A1F08"/>
    <w:rsid w:val="001A1FE3"/>
    <w:rsid w:val="001A2477"/>
    <w:rsid w:val="001A25EE"/>
    <w:rsid w:val="001A2614"/>
    <w:rsid w:val="001A261E"/>
    <w:rsid w:val="001A289A"/>
    <w:rsid w:val="001A29E0"/>
    <w:rsid w:val="001A2A03"/>
    <w:rsid w:val="001A2BA1"/>
    <w:rsid w:val="001A3032"/>
    <w:rsid w:val="001A3092"/>
    <w:rsid w:val="001A3158"/>
    <w:rsid w:val="001A326D"/>
    <w:rsid w:val="001A3447"/>
    <w:rsid w:val="001A3597"/>
    <w:rsid w:val="001A35B9"/>
    <w:rsid w:val="001A35DA"/>
    <w:rsid w:val="001A3825"/>
    <w:rsid w:val="001A3885"/>
    <w:rsid w:val="001A3A2B"/>
    <w:rsid w:val="001A3B7F"/>
    <w:rsid w:val="001A3BF6"/>
    <w:rsid w:val="001A3C77"/>
    <w:rsid w:val="001A3FDD"/>
    <w:rsid w:val="001A45EA"/>
    <w:rsid w:val="001A469C"/>
    <w:rsid w:val="001A46B4"/>
    <w:rsid w:val="001A482D"/>
    <w:rsid w:val="001A488D"/>
    <w:rsid w:val="001A49B0"/>
    <w:rsid w:val="001A4A57"/>
    <w:rsid w:val="001A4C95"/>
    <w:rsid w:val="001A50E0"/>
    <w:rsid w:val="001A519B"/>
    <w:rsid w:val="001A5373"/>
    <w:rsid w:val="001A537E"/>
    <w:rsid w:val="001A5438"/>
    <w:rsid w:val="001A5476"/>
    <w:rsid w:val="001A5489"/>
    <w:rsid w:val="001A5575"/>
    <w:rsid w:val="001A588D"/>
    <w:rsid w:val="001A5B2E"/>
    <w:rsid w:val="001A5BFC"/>
    <w:rsid w:val="001A5C1D"/>
    <w:rsid w:val="001A5D1F"/>
    <w:rsid w:val="001A5D61"/>
    <w:rsid w:val="001A5DEF"/>
    <w:rsid w:val="001A5E97"/>
    <w:rsid w:val="001A5F17"/>
    <w:rsid w:val="001A5F2D"/>
    <w:rsid w:val="001A5F44"/>
    <w:rsid w:val="001A5FCA"/>
    <w:rsid w:val="001A602A"/>
    <w:rsid w:val="001A6080"/>
    <w:rsid w:val="001A6170"/>
    <w:rsid w:val="001A6194"/>
    <w:rsid w:val="001A61CC"/>
    <w:rsid w:val="001A61FD"/>
    <w:rsid w:val="001A6373"/>
    <w:rsid w:val="001A63E7"/>
    <w:rsid w:val="001A66A2"/>
    <w:rsid w:val="001A66BA"/>
    <w:rsid w:val="001A673C"/>
    <w:rsid w:val="001A6956"/>
    <w:rsid w:val="001A6A5D"/>
    <w:rsid w:val="001A6C2E"/>
    <w:rsid w:val="001A6CE9"/>
    <w:rsid w:val="001A6DB0"/>
    <w:rsid w:val="001A6DF7"/>
    <w:rsid w:val="001A6E9A"/>
    <w:rsid w:val="001A6F58"/>
    <w:rsid w:val="001A70D0"/>
    <w:rsid w:val="001A7389"/>
    <w:rsid w:val="001A74B7"/>
    <w:rsid w:val="001A7507"/>
    <w:rsid w:val="001A7647"/>
    <w:rsid w:val="001A780C"/>
    <w:rsid w:val="001A7B0B"/>
    <w:rsid w:val="001A7B1C"/>
    <w:rsid w:val="001A7CE3"/>
    <w:rsid w:val="001A7CEC"/>
    <w:rsid w:val="001A7E77"/>
    <w:rsid w:val="001A7F96"/>
    <w:rsid w:val="001A7FEB"/>
    <w:rsid w:val="001B000D"/>
    <w:rsid w:val="001B0A13"/>
    <w:rsid w:val="001B0D3C"/>
    <w:rsid w:val="001B0E2C"/>
    <w:rsid w:val="001B10EE"/>
    <w:rsid w:val="001B11CD"/>
    <w:rsid w:val="001B1232"/>
    <w:rsid w:val="001B1383"/>
    <w:rsid w:val="001B13FA"/>
    <w:rsid w:val="001B1486"/>
    <w:rsid w:val="001B15A8"/>
    <w:rsid w:val="001B1D33"/>
    <w:rsid w:val="001B1E4E"/>
    <w:rsid w:val="001B1F81"/>
    <w:rsid w:val="001B1F9D"/>
    <w:rsid w:val="001B2025"/>
    <w:rsid w:val="001B20A3"/>
    <w:rsid w:val="001B22B9"/>
    <w:rsid w:val="001B24C0"/>
    <w:rsid w:val="001B257A"/>
    <w:rsid w:val="001B267E"/>
    <w:rsid w:val="001B272B"/>
    <w:rsid w:val="001B27E8"/>
    <w:rsid w:val="001B2815"/>
    <w:rsid w:val="001B2BA4"/>
    <w:rsid w:val="001B2C4C"/>
    <w:rsid w:val="001B2FF4"/>
    <w:rsid w:val="001B300A"/>
    <w:rsid w:val="001B305B"/>
    <w:rsid w:val="001B31CD"/>
    <w:rsid w:val="001B3222"/>
    <w:rsid w:val="001B33DC"/>
    <w:rsid w:val="001B3407"/>
    <w:rsid w:val="001B3418"/>
    <w:rsid w:val="001B353F"/>
    <w:rsid w:val="001B3598"/>
    <w:rsid w:val="001B35D3"/>
    <w:rsid w:val="001B3733"/>
    <w:rsid w:val="001B37E9"/>
    <w:rsid w:val="001B3812"/>
    <w:rsid w:val="001B385D"/>
    <w:rsid w:val="001B3893"/>
    <w:rsid w:val="001B38E1"/>
    <w:rsid w:val="001B3B1A"/>
    <w:rsid w:val="001B3DBE"/>
    <w:rsid w:val="001B4008"/>
    <w:rsid w:val="001B4261"/>
    <w:rsid w:val="001B42E9"/>
    <w:rsid w:val="001B436E"/>
    <w:rsid w:val="001B44B8"/>
    <w:rsid w:val="001B463B"/>
    <w:rsid w:val="001B46D6"/>
    <w:rsid w:val="001B4720"/>
    <w:rsid w:val="001B4756"/>
    <w:rsid w:val="001B4998"/>
    <w:rsid w:val="001B4C59"/>
    <w:rsid w:val="001B4E73"/>
    <w:rsid w:val="001B5046"/>
    <w:rsid w:val="001B50C4"/>
    <w:rsid w:val="001B5189"/>
    <w:rsid w:val="001B51A8"/>
    <w:rsid w:val="001B5207"/>
    <w:rsid w:val="001B53B3"/>
    <w:rsid w:val="001B5453"/>
    <w:rsid w:val="001B54BC"/>
    <w:rsid w:val="001B577C"/>
    <w:rsid w:val="001B57E1"/>
    <w:rsid w:val="001B58AC"/>
    <w:rsid w:val="001B591C"/>
    <w:rsid w:val="001B597E"/>
    <w:rsid w:val="001B5AA2"/>
    <w:rsid w:val="001B5B28"/>
    <w:rsid w:val="001B62F0"/>
    <w:rsid w:val="001B634F"/>
    <w:rsid w:val="001B638D"/>
    <w:rsid w:val="001B6472"/>
    <w:rsid w:val="001B6642"/>
    <w:rsid w:val="001B66FF"/>
    <w:rsid w:val="001B6875"/>
    <w:rsid w:val="001B69B1"/>
    <w:rsid w:val="001B6C03"/>
    <w:rsid w:val="001B6E90"/>
    <w:rsid w:val="001B6FBB"/>
    <w:rsid w:val="001B70DE"/>
    <w:rsid w:val="001B70FF"/>
    <w:rsid w:val="001B73CA"/>
    <w:rsid w:val="001B75E5"/>
    <w:rsid w:val="001B76AC"/>
    <w:rsid w:val="001B77A7"/>
    <w:rsid w:val="001B7918"/>
    <w:rsid w:val="001B7BC8"/>
    <w:rsid w:val="001B7C35"/>
    <w:rsid w:val="001B7DF0"/>
    <w:rsid w:val="001C0054"/>
    <w:rsid w:val="001C0070"/>
    <w:rsid w:val="001C00F0"/>
    <w:rsid w:val="001C0618"/>
    <w:rsid w:val="001C06F4"/>
    <w:rsid w:val="001C0727"/>
    <w:rsid w:val="001C0A24"/>
    <w:rsid w:val="001C0A26"/>
    <w:rsid w:val="001C0A39"/>
    <w:rsid w:val="001C0C27"/>
    <w:rsid w:val="001C0CD1"/>
    <w:rsid w:val="001C0E78"/>
    <w:rsid w:val="001C0FFB"/>
    <w:rsid w:val="001C11A6"/>
    <w:rsid w:val="001C1241"/>
    <w:rsid w:val="001C17B2"/>
    <w:rsid w:val="001C1A71"/>
    <w:rsid w:val="001C1C4D"/>
    <w:rsid w:val="001C1CB4"/>
    <w:rsid w:val="001C1D7C"/>
    <w:rsid w:val="001C1EF3"/>
    <w:rsid w:val="001C232B"/>
    <w:rsid w:val="001C238A"/>
    <w:rsid w:val="001C246D"/>
    <w:rsid w:val="001C2540"/>
    <w:rsid w:val="001C28AC"/>
    <w:rsid w:val="001C28B1"/>
    <w:rsid w:val="001C2901"/>
    <w:rsid w:val="001C2BBF"/>
    <w:rsid w:val="001C2CC3"/>
    <w:rsid w:val="001C2DA2"/>
    <w:rsid w:val="001C2E1B"/>
    <w:rsid w:val="001C2EB1"/>
    <w:rsid w:val="001C2F8E"/>
    <w:rsid w:val="001C3019"/>
    <w:rsid w:val="001C319D"/>
    <w:rsid w:val="001C33E0"/>
    <w:rsid w:val="001C3503"/>
    <w:rsid w:val="001C3547"/>
    <w:rsid w:val="001C3548"/>
    <w:rsid w:val="001C362E"/>
    <w:rsid w:val="001C36F2"/>
    <w:rsid w:val="001C3800"/>
    <w:rsid w:val="001C3A16"/>
    <w:rsid w:val="001C3A52"/>
    <w:rsid w:val="001C3CD9"/>
    <w:rsid w:val="001C3D21"/>
    <w:rsid w:val="001C3D6F"/>
    <w:rsid w:val="001C3E03"/>
    <w:rsid w:val="001C3E71"/>
    <w:rsid w:val="001C3F11"/>
    <w:rsid w:val="001C3F61"/>
    <w:rsid w:val="001C43A1"/>
    <w:rsid w:val="001C463C"/>
    <w:rsid w:val="001C4951"/>
    <w:rsid w:val="001C4A63"/>
    <w:rsid w:val="001C4AF8"/>
    <w:rsid w:val="001C4B7E"/>
    <w:rsid w:val="001C4CAF"/>
    <w:rsid w:val="001C4D71"/>
    <w:rsid w:val="001C4E44"/>
    <w:rsid w:val="001C4E8A"/>
    <w:rsid w:val="001C4F37"/>
    <w:rsid w:val="001C4FC4"/>
    <w:rsid w:val="001C50D0"/>
    <w:rsid w:val="001C5263"/>
    <w:rsid w:val="001C5348"/>
    <w:rsid w:val="001C554F"/>
    <w:rsid w:val="001C55DB"/>
    <w:rsid w:val="001C5634"/>
    <w:rsid w:val="001C57B8"/>
    <w:rsid w:val="001C5933"/>
    <w:rsid w:val="001C597A"/>
    <w:rsid w:val="001C5B96"/>
    <w:rsid w:val="001C5D1F"/>
    <w:rsid w:val="001C5DC9"/>
    <w:rsid w:val="001C5E25"/>
    <w:rsid w:val="001C60DF"/>
    <w:rsid w:val="001C6206"/>
    <w:rsid w:val="001C63B9"/>
    <w:rsid w:val="001C63C0"/>
    <w:rsid w:val="001C6705"/>
    <w:rsid w:val="001C685B"/>
    <w:rsid w:val="001C692D"/>
    <w:rsid w:val="001C6A7A"/>
    <w:rsid w:val="001C6AD4"/>
    <w:rsid w:val="001C6B48"/>
    <w:rsid w:val="001C6C7C"/>
    <w:rsid w:val="001C6D07"/>
    <w:rsid w:val="001C6E3E"/>
    <w:rsid w:val="001C6ED8"/>
    <w:rsid w:val="001C6F53"/>
    <w:rsid w:val="001C7181"/>
    <w:rsid w:val="001C71E3"/>
    <w:rsid w:val="001C7621"/>
    <w:rsid w:val="001C76E9"/>
    <w:rsid w:val="001C7941"/>
    <w:rsid w:val="001C797B"/>
    <w:rsid w:val="001C79A9"/>
    <w:rsid w:val="001C7ABE"/>
    <w:rsid w:val="001C7C51"/>
    <w:rsid w:val="001C7E0B"/>
    <w:rsid w:val="001D0042"/>
    <w:rsid w:val="001D0232"/>
    <w:rsid w:val="001D0293"/>
    <w:rsid w:val="001D04F8"/>
    <w:rsid w:val="001D066F"/>
    <w:rsid w:val="001D0916"/>
    <w:rsid w:val="001D0A1B"/>
    <w:rsid w:val="001D0AF8"/>
    <w:rsid w:val="001D0B46"/>
    <w:rsid w:val="001D0C67"/>
    <w:rsid w:val="001D0D50"/>
    <w:rsid w:val="001D0EB2"/>
    <w:rsid w:val="001D0FFC"/>
    <w:rsid w:val="001D1013"/>
    <w:rsid w:val="001D1059"/>
    <w:rsid w:val="001D10C5"/>
    <w:rsid w:val="001D1166"/>
    <w:rsid w:val="001D13F6"/>
    <w:rsid w:val="001D1B2C"/>
    <w:rsid w:val="001D1BE8"/>
    <w:rsid w:val="001D1D43"/>
    <w:rsid w:val="001D1EDC"/>
    <w:rsid w:val="001D202D"/>
    <w:rsid w:val="001D21EB"/>
    <w:rsid w:val="001D222B"/>
    <w:rsid w:val="001D22A8"/>
    <w:rsid w:val="001D2364"/>
    <w:rsid w:val="001D2411"/>
    <w:rsid w:val="001D2475"/>
    <w:rsid w:val="001D24E8"/>
    <w:rsid w:val="001D2535"/>
    <w:rsid w:val="001D26A1"/>
    <w:rsid w:val="001D26E1"/>
    <w:rsid w:val="001D27D3"/>
    <w:rsid w:val="001D27EA"/>
    <w:rsid w:val="001D2903"/>
    <w:rsid w:val="001D2930"/>
    <w:rsid w:val="001D2B5B"/>
    <w:rsid w:val="001D2E18"/>
    <w:rsid w:val="001D2F56"/>
    <w:rsid w:val="001D3137"/>
    <w:rsid w:val="001D3409"/>
    <w:rsid w:val="001D34F0"/>
    <w:rsid w:val="001D3677"/>
    <w:rsid w:val="001D3A95"/>
    <w:rsid w:val="001D3A99"/>
    <w:rsid w:val="001D3AF8"/>
    <w:rsid w:val="001D3B0E"/>
    <w:rsid w:val="001D3B3F"/>
    <w:rsid w:val="001D3B79"/>
    <w:rsid w:val="001D4024"/>
    <w:rsid w:val="001D412A"/>
    <w:rsid w:val="001D4212"/>
    <w:rsid w:val="001D455A"/>
    <w:rsid w:val="001D45B0"/>
    <w:rsid w:val="001D4633"/>
    <w:rsid w:val="001D4728"/>
    <w:rsid w:val="001D49EF"/>
    <w:rsid w:val="001D4B36"/>
    <w:rsid w:val="001D4D8C"/>
    <w:rsid w:val="001D4DAC"/>
    <w:rsid w:val="001D50F8"/>
    <w:rsid w:val="001D54C5"/>
    <w:rsid w:val="001D5710"/>
    <w:rsid w:val="001D5721"/>
    <w:rsid w:val="001D575E"/>
    <w:rsid w:val="001D5768"/>
    <w:rsid w:val="001D588F"/>
    <w:rsid w:val="001D5A12"/>
    <w:rsid w:val="001D5A93"/>
    <w:rsid w:val="001D5B4E"/>
    <w:rsid w:val="001D5C8B"/>
    <w:rsid w:val="001D5DF3"/>
    <w:rsid w:val="001D5F59"/>
    <w:rsid w:val="001D5FBB"/>
    <w:rsid w:val="001D6024"/>
    <w:rsid w:val="001D62F9"/>
    <w:rsid w:val="001D6525"/>
    <w:rsid w:val="001D6575"/>
    <w:rsid w:val="001D65F3"/>
    <w:rsid w:val="001D683C"/>
    <w:rsid w:val="001D6853"/>
    <w:rsid w:val="001D6D7F"/>
    <w:rsid w:val="001D6E6F"/>
    <w:rsid w:val="001D6FD8"/>
    <w:rsid w:val="001D6FEA"/>
    <w:rsid w:val="001D71A0"/>
    <w:rsid w:val="001D7315"/>
    <w:rsid w:val="001D7346"/>
    <w:rsid w:val="001D73ED"/>
    <w:rsid w:val="001D7467"/>
    <w:rsid w:val="001D74F1"/>
    <w:rsid w:val="001D7607"/>
    <w:rsid w:val="001D7608"/>
    <w:rsid w:val="001D788F"/>
    <w:rsid w:val="001D79CD"/>
    <w:rsid w:val="001D7A68"/>
    <w:rsid w:val="001D7AC4"/>
    <w:rsid w:val="001D7BAE"/>
    <w:rsid w:val="001D7BFE"/>
    <w:rsid w:val="001D7E87"/>
    <w:rsid w:val="001E00BD"/>
    <w:rsid w:val="001E0309"/>
    <w:rsid w:val="001E03BE"/>
    <w:rsid w:val="001E03D4"/>
    <w:rsid w:val="001E04CE"/>
    <w:rsid w:val="001E04E6"/>
    <w:rsid w:val="001E0617"/>
    <w:rsid w:val="001E0652"/>
    <w:rsid w:val="001E08FA"/>
    <w:rsid w:val="001E091B"/>
    <w:rsid w:val="001E0B78"/>
    <w:rsid w:val="001E0BA4"/>
    <w:rsid w:val="001E10F3"/>
    <w:rsid w:val="001E1200"/>
    <w:rsid w:val="001E1249"/>
    <w:rsid w:val="001E1267"/>
    <w:rsid w:val="001E12B8"/>
    <w:rsid w:val="001E1306"/>
    <w:rsid w:val="001E1374"/>
    <w:rsid w:val="001E146A"/>
    <w:rsid w:val="001E149B"/>
    <w:rsid w:val="001E153D"/>
    <w:rsid w:val="001E1593"/>
    <w:rsid w:val="001E15EA"/>
    <w:rsid w:val="001E191B"/>
    <w:rsid w:val="001E1A80"/>
    <w:rsid w:val="001E1BE9"/>
    <w:rsid w:val="001E1DA9"/>
    <w:rsid w:val="001E1DC5"/>
    <w:rsid w:val="001E1EA5"/>
    <w:rsid w:val="001E1F3E"/>
    <w:rsid w:val="001E2028"/>
    <w:rsid w:val="001E2064"/>
    <w:rsid w:val="001E2523"/>
    <w:rsid w:val="001E287F"/>
    <w:rsid w:val="001E2BC2"/>
    <w:rsid w:val="001E2D6A"/>
    <w:rsid w:val="001E2DBB"/>
    <w:rsid w:val="001E3024"/>
    <w:rsid w:val="001E3235"/>
    <w:rsid w:val="001E3485"/>
    <w:rsid w:val="001E3595"/>
    <w:rsid w:val="001E36AB"/>
    <w:rsid w:val="001E377C"/>
    <w:rsid w:val="001E39B7"/>
    <w:rsid w:val="001E3A10"/>
    <w:rsid w:val="001E3AA9"/>
    <w:rsid w:val="001E3DCA"/>
    <w:rsid w:val="001E3FC7"/>
    <w:rsid w:val="001E4050"/>
    <w:rsid w:val="001E4127"/>
    <w:rsid w:val="001E4314"/>
    <w:rsid w:val="001E4863"/>
    <w:rsid w:val="001E4900"/>
    <w:rsid w:val="001E49E0"/>
    <w:rsid w:val="001E4A8D"/>
    <w:rsid w:val="001E4A92"/>
    <w:rsid w:val="001E4CA4"/>
    <w:rsid w:val="001E4CBF"/>
    <w:rsid w:val="001E4E59"/>
    <w:rsid w:val="001E4FF6"/>
    <w:rsid w:val="001E5102"/>
    <w:rsid w:val="001E54F3"/>
    <w:rsid w:val="001E556A"/>
    <w:rsid w:val="001E560A"/>
    <w:rsid w:val="001E5628"/>
    <w:rsid w:val="001E5893"/>
    <w:rsid w:val="001E592D"/>
    <w:rsid w:val="001E5AD5"/>
    <w:rsid w:val="001E5DF0"/>
    <w:rsid w:val="001E5F2C"/>
    <w:rsid w:val="001E604C"/>
    <w:rsid w:val="001E619A"/>
    <w:rsid w:val="001E636E"/>
    <w:rsid w:val="001E6428"/>
    <w:rsid w:val="001E64BE"/>
    <w:rsid w:val="001E663A"/>
    <w:rsid w:val="001E6667"/>
    <w:rsid w:val="001E6680"/>
    <w:rsid w:val="001E669F"/>
    <w:rsid w:val="001E66EC"/>
    <w:rsid w:val="001E6756"/>
    <w:rsid w:val="001E67AF"/>
    <w:rsid w:val="001E6BF7"/>
    <w:rsid w:val="001E6DA5"/>
    <w:rsid w:val="001E6E9F"/>
    <w:rsid w:val="001E7073"/>
    <w:rsid w:val="001E708E"/>
    <w:rsid w:val="001E7356"/>
    <w:rsid w:val="001E74DD"/>
    <w:rsid w:val="001E75BF"/>
    <w:rsid w:val="001E7734"/>
    <w:rsid w:val="001E77BC"/>
    <w:rsid w:val="001E7819"/>
    <w:rsid w:val="001E7898"/>
    <w:rsid w:val="001E7A95"/>
    <w:rsid w:val="001E7CB6"/>
    <w:rsid w:val="001E7CFE"/>
    <w:rsid w:val="001E7D13"/>
    <w:rsid w:val="001E7E70"/>
    <w:rsid w:val="001E7E95"/>
    <w:rsid w:val="001E7F31"/>
    <w:rsid w:val="001F0110"/>
    <w:rsid w:val="001F0341"/>
    <w:rsid w:val="001F04DD"/>
    <w:rsid w:val="001F05D9"/>
    <w:rsid w:val="001F0655"/>
    <w:rsid w:val="001F082E"/>
    <w:rsid w:val="001F0AC3"/>
    <w:rsid w:val="001F0BDC"/>
    <w:rsid w:val="001F0CBD"/>
    <w:rsid w:val="001F0EB7"/>
    <w:rsid w:val="001F1042"/>
    <w:rsid w:val="001F1216"/>
    <w:rsid w:val="001F14D1"/>
    <w:rsid w:val="001F1597"/>
    <w:rsid w:val="001F1814"/>
    <w:rsid w:val="001F1B02"/>
    <w:rsid w:val="001F1B21"/>
    <w:rsid w:val="001F1CA9"/>
    <w:rsid w:val="001F1EB8"/>
    <w:rsid w:val="001F1F29"/>
    <w:rsid w:val="001F1FB4"/>
    <w:rsid w:val="001F2050"/>
    <w:rsid w:val="001F205A"/>
    <w:rsid w:val="001F226E"/>
    <w:rsid w:val="001F22A1"/>
    <w:rsid w:val="001F270E"/>
    <w:rsid w:val="001F2833"/>
    <w:rsid w:val="001F295A"/>
    <w:rsid w:val="001F2A38"/>
    <w:rsid w:val="001F2CA6"/>
    <w:rsid w:val="001F3118"/>
    <w:rsid w:val="001F3146"/>
    <w:rsid w:val="001F31B5"/>
    <w:rsid w:val="001F365F"/>
    <w:rsid w:val="001F397D"/>
    <w:rsid w:val="001F3A95"/>
    <w:rsid w:val="001F3AC3"/>
    <w:rsid w:val="001F3C04"/>
    <w:rsid w:val="001F3E89"/>
    <w:rsid w:val="001F4155"/>
    <w:rsid w:val="001F418A"/>
    <w:rsid w:val="001F42D0"/>
    <w:rsid w:val="001F4384"/>
    <w:rsid w:val="001F440D"/>
    <w:rsid w:val="001F470C"/>
    <w:rsid w:val="001F4850"/>
    <w:rsid w:val="001F4853"/>
    <w:rsid w:val="001F4854"/>
    <w:rsid w:val="001F486A"/>
    <w:rsid w:val="001F4D92"/>
    <w:rsid w:val="001F4DDA"/>
    <w:rsid w:val="001F4E27"/>
    <w:rsid w:val="001F4EDC"/>
    <w:rsid w:val="001F5225"/>
    <w:rsid w:val="001F52BE"/>
    <w:rsid w:val="001F556A"/>
    <w:rsid w:val="001F568C"/>
    <w:rsid w:val="001F5692"/>
    <w:rsid w:val="001F5845"/>
    <w:rsid w:val="001F5872"/>
    <w:rsid w:val="001F5932"/>
    <w:rsid w:val="001F593E"/>
    <w:rsid w:val="001F59BA"/>
    <w:rsid w:val="001F5ACE"/>
    <w:rsid w:val="001F5B19"/>
    <w:rsid w:val="001F5B2B"/>
    <w:rsid w:val="001F5CB6"/>
    <w:rsid w:val="001F5CEC"/>
    <w:rsid w:val="001F5D38"/>
    <w:rsid w:val="001F5D6B"/>
    <w:rsid w:val="001F5E32"/>
    <w:rsid w:val="001F5E93"/>
    <w:rsid w:val="001F5F26"/>
    <w:rsid w:val="001F60CC"/>
    <w:rsid w:val="001F6169"/>
    <w:rsid w:val="001F623E"/>
    <w:rsid w:val="001F63BE"/>
    <w:rsid w:val="001F646E"/>
    <w:rsid w:val="001F649C"/>
    <w:rsid w:val="001F65E0"/>
    <w:rsid w:val="001F6611"/>
    <w:rsid w:val="001F6A21"/>
    <w:rsid w:val="001F6B66"/>
    <w:rsid w:val="001F6CB1"/>
    <w:rsid w:val="001F6F5E"/>
    <w:rsid w:val="001F707C"/>
    <w:rsid w:val="001F72A2"/>
    <w:rsid w:val="001F7428"/>
    <w:rsid w:val="001F75BD"/>
    <w:rsid w:val="001F75C0"/>
    <w:rsid w:val="001F7817"/>
    <w:rsid w:val="001F7974"/>
    <w:rsid w:val="001F79DE"/>
    <w:rsid w:val="001F7AB4"/>
    <w:rsid w:val="001F7D89"/>
    <w:rsid w:val="001F7E56"/>
    <w:rsid w:val="001F7E67"/>
    <w:rsid w:val="001F7E86"/>
    <w:rsid w:val="001F7FC5"/>
    <w:rsid w:val="00200052"/>
    <w:rsid w:val="002000D7"/>
    <w:rsid w:val="00200111"/>
    <w:rsid w:val="002001BC"/>
    <w:rsid w:val="00200219"/>
    <w:rsid w:val="002003CC"/>
    <w:rsid w:val="0020046A"/>
    <w:rsid w:val="0020047C"/>
    <w:rsid w:val="00200676"/>
    <w:rsid w:val="0020082D"/>
    <w:rsid w:val="002009E2"/>
    <w:rsid w:val="00200ABC"/>
    <w:rsid w:val="00200E4E"/>
    <w:rsid w:val="00200EDF"/>
    <w:rsid w:val="00200F29"/>
    <w:rsid w:val="00200F30"/>
    <w:rsid w:val="0020117C"/>
    <w:rsid w:val="00201221"/>
    <w:rsid w:val="00201267"/>
    <w:rsid w:val="002012E7"/>
    <w:rsid w:val="002014B6"/>
    <w:rsid w:val="002014F8"/>
    <w:rsid w:val="00201559"/>
    <w:rsid w:val="002015DB"/>
    <w:rsid w:val="002017E0"/>
    <w:rsid w:val="00201852"/>
    <w:rsid w:val="0020192D"/>
    <w:rsid w:val="002019BD"/>
    <w:rsid w:val="00201A0B"/>
    <w:rsid w:val="00201AA8"/>
    <w:rsid w:val="00201B21"/>
    <w:rsid w:val="00201B3C"/>
    <w:rsid w:val="00201BC4"/>
    <w:rsid w:val="00201CD9"/>
    <w:rsid w:val="00201E1C"/>
    <w:rsid w:val="00201EAF"/>
    <w:rsid w:val="00201F02"/>
    <w:rsid w:val="00201F30"/>
    <w:rsid w:val="00201FAF"/>
    <w:rsid w:val="00201FF4"/>
    <w:rsid w:val="0020220C"/>
    <w:rsid w:val="0020231A"/>
    <w:rsid w:val="0020245C"/>
    <w:rsid w:val="0020261A"/>
    <w:rsid w:val="002027B7"/>
    <w:rsid w:val="00202A2A"/>
    <w:rsid w:val="00202A78"/>
    <w:rsid w:val="00202BD6"/>
    <w:rsid w:val="00202D8E"/>
    <w:rsid w:val="00202DCF"/>
    <w:rsid w:val="00202F28"/>
    <w:rsid w:val="0020304F"/>
    <w:rsid w:val="002030D7"/>
    <w:rsid w:val="002031DC"/>
    <w:rsid w:val="00203215"/>
    <w:rsid w:val="0020349F"/>
    <w:rsid w:val="002034F8"/>
    <w:rsid w:val="002035ED"/>
    <w:rsid w:val="00203770"/>
    <w:rsid w:val="002038EA"/>
    <w:rsid w:val="00203A4C"/>
    <w:rsid w:val="00203D62"/>
    <w:rsid w:val="00203D67"/>
    <w:rsid w:val="00203EEB"/>
    <w:rsid w:val="00203F1C"/>
    <w:rsid w:val="00203F60"/>
    <w:rsid w:val="00203FE8"/>
    <w:rsid w:val="0020405C"/>
    <w:rsid w:val="00204098"/>
    <w:rsid w:val="002040CE"/>
    <w:rsid w:val="002041C6"/>
    <w:rsid w:val="0020427E"/>
    <w:rsid w:val="00204286"/>
    <w:rsid w:val="002042E7"/>
    <w:rsid w:val="00204391"/>
    <w:rsid w:val="002044EC"/>
    <w:rsid w:val="00204546"/>
    <w:rsid w:val="00204576"/>
    <w:rsid w:val="002045FB"/>
    <w:rsid w:val="002046C0"/>
    <w:rsid w:val="002046D6"/>
    <w:rsid w:val="002047D6"/>
    <w:rsid w:val="0020487E"/>
    <w:rsid w:val="0020494F"/>
    <w:rsid w:val="00204A57"/>
    <w:rsid w:val="00204A71"/>
    <w:rsid w:val="00204A90"/>
    <w:rsid w:val="00204AA5"/>
    <w:rsid w:val="00204BF3"/>
    <w:rsid w:val="00204C3F"/>
    <w:rsid w:val="00204C85"/>
    <w:rsid w:val="00204D99"/>
    <w:rsid w:val="00204DEB"/>
    <w:rsid w:val="00204F7E"/>
    <w:rsid w:val="00204FDC"/>
    <w:rsid w:val="002050A7"/>
    <w:rsid w:val="00205133"/>
    <w:rsid w:val="00205348"/>
    <w:rsid w:val="00205353"/>
    <w:rsid w:val="00205433"/>
    <w:rsid w:val="00205436"/>
    <w:rsid w:val="002055AC"/>
    <w:rsid w:val="0020566F"/>
    <w:rsid w:val="0020573B"/>
    <w:rsid w:val="00205838"/>
    <w:rsid w:val="00205914"/>
    <w:rsid w:val="0020596A"/>
    <w:rsid w:val="00205AAA"/>
    <w:rsid w:val="00205AF6"/>
    <w:rsid w:val="00205E56"/>
    <w:rsid w:val="00205EED"/>
    <w:rsid w:val="0020601B"/>
    <w:rsid w:val="002060CD"/>
    <w:rsid w:val="002062DA"/>
    <w:rsid w:val="002063CC"/>
    <w:rsid w:val="002064D6"/>
    <w:rsid w:val="002067C0"/>
    <w:rsid w:val="00206AE0"/>
    <w:rsid w:val="00206D0F"/>
    <w:rsid w:val="00206D48"/>
    <w:rsid w:val="00206DF0"/>
    <w:rsid w:val="00206DF4"/>
    <w:rsid w:val="00207105"/>
    <w:rsid w:val="00207248"/>
    <w:rsid w:val="00207287"/>
    <w:rsid w:val="00207411"/>
    <w:rsid w:val="00207565"/>
    <w:rsid w:val="002075B7"/>
    <w:rsid w:val="002075EF"/>
    <w:rsid w:val="00207619"/>
    <w:rsid w:val="002076CE"/>
    <w:rsid w:val="002076EE"/>
    <w:rsid w:val="00207890"/>
    <w:rsid w:val="002078EC"/>
    <w:rsid w:val="0020798C"/>
    <w:rsid w:val="00207AC9"/>
    <w:rsid w:val="00207B51"/>
    <w:rsid w:val="00207B8B"/>
    <w:rsid w:val="00207BEA"/>
    <w:rsid w:val="00207C0D"/>
    <w:rsid w:val="00207CB7"/>
    <w:rsid w:val="00207D60"/>
    <w:rsid w:val="00207F5A"/>
    <w:rsid w:val="00210113"/>
    <w:rsid w:val="00210293"/>
    <w:rsid w:val="00210363"/>
    <w:rsid w:val="00210625"/>
    <w:rsid w:val="00210626"/>
    <w:rsid w:val="00210892"/>
    <w:rsid w:val="00210978"/>
    <w:rsid w:val="00210A38"/>
    <w:rsid w:val="00210ABE"/>
    <w:rsid w:val="00210B4A"/>
    <w:rsid w:val="00210B53"/>
    <w:rsid w:val="00210B5B"/>
    <w:rsid w:val="00210DFD"/>
    <w:rsid w:val="00210EA2"/>
    <w:rsid w:val="00210F65"/>
    <w:rsid w:val="00210FB4"/>
    <w:rsid w:val="002110DB"/>
    <w:rsid w:val="00211245"/>
    <w:rsid w:val="00211429"/>
    <w:rsid w:val="002117D1"/>
    <w:rsid w:val="0021182B"/>
    <w:rsid w:val="00211909"/>
    <w:rsid w:val="00211A89"/>
    <w:rsid w:val="00211AC9"/>
    <w:rsid w:val="00211B46"/>
    <w:rsid w:val="00211B4A"/>
    <w:rsid w:val="00211C75"/>
    <w:rsid w:val="00211CCE"/>
    <w:rsid w:val="00211FEF"/>
    <w:rsid w:val="0021208E"/>
    <w:rsid w:val="00212131"/>
    <w:rsid w:val="0021219B"/>
    <w:rsid w:val="0021223A"/>
    <w:rsid w:val="002123A3"/>
    <w:rsid w:val="002125C3"/>
    <w:rsid w:val="00212633"/>
    <w:rsid w:val="00212A3A"/>
    <w:rsid w:val="00212A62"/>
    <w:rsid w:val="00212B67"/>
    <w:rsid w:val="00212BDC"/>
    <w:rsid w:val="00212C7B"/>
    <w:rsid w:val="00212CC7"/>
    <w:rsid w:val="00212CD9"/>
    <w:rsid w:val="00212E90"/>
    <w:rsid w:val="00212FF1"/>
    <w:rsid w:val="0021312C"/>
    <w:rsid w:val="0021313D"/>
    <w:rsid w:val="00213212"/>
    <w:rsid w:val="0021335B"/>
    <w:rsid w:val="002133B8"/>
    <w:rsid w:val="0021354E"/>
    <w:rsid w:val="0021356F"/>
    <w:rsid w:val="00213601"/>
    <w:rsid w:val="002138D1"/>
    <w:rsid w:val="00213B02"/>
    <w:rsid w:val="00213B7E"/>
    <w:rsid w:val="00213C36"/>
    <w:rsid w:val="00213C93"/>
    <w:rsid w:val="00213E10"/>
    <w:rsid w:val="00213E92"/>
    <w:rsid w:val="00213F34"/>
    <w:rsid w:val="00213FC4"/>
    <w:rsid w:val="002144BF"/>
    <w:rsid w:val="00214645"/>
    <w:rsid w:val="002146DA"/>
    <w:rsid w:val="002146F3"/>
    <w:rsid w:val="00214941"/>
    <w:rsid w:val="00214ADD"/>
    <w:rsid w:val="00214D20"/>
    <w:rsid w:val="0021501A"/>
    <w:rsid w:val="0021536C"/>
    <w:rsid w:val="00215464"/>
    <w:rsid w:val="002154F0"/>
    <w:rsid w:val="00215502"/>
    <w:rsid w:val="002156DA"/>
    <w:rsid w:val="00215760"/>
    <w:rsid w:val="0021596B"/>
    <w:rsid w:val="00215C45"/>
    <w:rsid w:val="00215D3E"/>
    <w:rsid w:val="00215DCC"/>
    <w:rsid w:val="00215DD2"/>
    <w:rsid w:val="002160B6"/>
    <w:rsid w:val="002162E3"/>
    <w:rsid w:val="0021644E"/>
    <w:rsid w:val="0021655F"/>
    <w:rsid w:val="002166CA"/>
    <w:rsid w:val="00216854"/>
    <w:rsid w:val="00216C63"/>
    <w:rsid w:val="00217180"/>
    <w:rsid w:val="002173F3"/>
    <w:rsid w:val="0021745D"/>
    <w:rsid w:val="00217471"/>
    <w:rsid w:val="0021763E"/>
    <w:rsid w:val="00217736"/>
    <w:rsid w:val="00217740"/>
    <w:rsid w:val="002178C3"/>
    <w:rsid w:val="002178CC"/>
    <w:rsid w:val="00217E3B"/>
    <w:rsid w:val="00217F6C"/>
    <w:rsid w:val="0022051F"/>
    <w:rsid w:val="00220551"/>
    <w:rsid w:val="00220693"/>
    <w:rsid w:val="002206F4"/>
    <w:rsid w:val="002209BB"/>
    <w:rsid w:val="00220ABB"/>
    <w:rsid w:val="00220D23"/>
    <w:rsid w:val="00220DE1"/>
    <w:rsid w:val="00220E00"/>
    <w:rsid w:val="00220E21"/>
    <w:rsid w:val="00220EE1"/>
    <w:rsid w:val="00220F7C"/>
    <w:rsid w:val="00221031"/>
    <w:rsid w:val="002211B7"/>
    <w:rsid w:val="00221376"/>
    <w:rsid w:val="002213C3"/>
    <w:rsid w:val="002216D7"/>
    <w:rsid w:val="0022187C"/>
    <w:rsid w:val="0022189B"/>
    <w:rsid w:val="002218EB"/>
    <w:rsid w:val="00221AAD"/>
    <w:rsid w:val="00221E29"/>
    <w:rsid w:val="00221EE2"/>
    <w:rsid w:val="00221F73"/>
    <w:rsid w:val="00222017"/>
    <w:rsid w:val="002221F9"/>
    <w:rsid w:val="00222215"/>
    <w:rsid w:val="002222E9"/>
    <w:rsid w:val="0022238A"/>
    <w:rsid w:val="002223D2"/>
    <w:rsid w:val="00222527"/>
    <w:rsid w:val="002225BA"/>
    <w:rsid w:val="002225D4"/>
    <w:rsid w:val="00222638"/>
    <w:rsid w:val="0022283B"/>
    <w:rsid w:val="00222EF5"/>
    <w:rsid w:val="00222FA8"/>
    <w:rsid w:val="00223154"/>
    <w:rsid w:val="00223656"/>
    <w:rsid w:val="0022367A"/>
    <w:rsid w:val="002237B9"/>
    <w:rsid w:val="00223853"/>
    <w:rsid w:val="00223896"/>
    <w:rsid w:val="00223A25"/>
    <w:rsid w:val="00223C48"/>
    <w:rsid w:val="00223C97"/>
    <w:rsid w:val="00223D6F"/>
    <w:rsid w:val="00223DAD"/>
    <w:rsid w:val="00223DB4"/>
    <w:rsid w:val="00223F81"/>
    <w:rsid w:val="00224011"/>
    <w:rsid w:val="002242B7"/>
    <w:rsid w:val="0022456F"/>
    <w:rsid w:val="002245BE"/>
    <w:rsid w:val="00224741"/>
    <w:rsid w:val="00224837"/>
    <w:rsid w:val="002249AF"/>
    <w:rsid w:val="00224A7C"/>
    <w:rsid w:val="00224BCD"/>
    <w:rsid w:val="00224CE2"/>
    <w:rsid w:val="00224D45"/>
    <w:rsid w:val="00224DE7"/>
    <w:rsid w:val="00225164"/>
    <w:rsid w:val="002251CF"/>
    <w:rsid w:val="0022545D"/>
    <w:rsid w:val="0022566C"/>
    <w:rsid w:val="0022574E"/>
    <w:rsid w:val="00225A84"/>
    <w:rsid w:val="00225D80"/>
    <w:rsid w:val="00225F6D"/>
    <w:rsid w:val="00225FA4"/>
    <w:rsid w:val="00226287"/>
    <w:rsid w:val="00226587"/>
    <w:rsid w:val="0022660C"/>
    <w:rsid w:val="002267D2"/>
    <w:rsid w:val="00226954"/>
    <w:rsid w:val="00226B40"/>
    <w:rsid w:val="00226BB6"/>
    <w:rsid w:val="00226D96"/>
    <w:rsid w:val="00226D9C"/>
    <w:rsid w:val="00226EBB"/>
    <w:rsid w:val="00226F2D"/>
    <w:rsid w:val="00226F6C"/>
    <w:rsid w:val="00226F79"/>
    <w:rsid w:val="00226F9D"/>
    <w:rsid w:val="0022708E"/>
    <w:rsid w:val="00227585"/>
    <w:rsid w:val="0022767B"/>
    <w:rsid w:val="002278C0"/>
    <w:rsid w:val="00227D39"/>
    <w:rsid w:val="00227DA3"/>
    <w:rsid w:val="00227DAE"/>
    <w:rsid w:val="00227FD4"/>
    <w:rsid w:val="00230154"/>
    <w:rsid w:val="002301B9"/>
    <w:rsid w:val="00230374"/>
    <w:rsid w:val="002303AA"/>
    <w:rsid w:val="002304DD"/>
    <w:rsid w:val="002304ED"/>
    <w:rsid w:val="00230835"/>
    <w:rsid w:val="00230D8F"/>
    <w:rsid w:val="00230DFD"/>
    <w:rsid w:val="00230EEB"/>
    <w:rsid w:val="00230EFF"/>
    <w:rsid w:val="00230F85"/>
    <w:rsid w:val="00230FE1"/>
    <w:rsid w:val="0023119A"/>
    <w:rsid w:val="002313A2"/>
    <w:rsid w:val="002313D2"/>
    <w:rsid w:val="002313E5"/>
    <w:rsid w:val="00231564"/>
    <w:rsid w:val="002317EB"/>
    <w:rsid w:val="00231808"/>
    <w:rsid w:val="0023194C"/>
    <w:rsid w:val="00231E7E"/>
    <w:rsid w:val="00231EC5"/>
    <w:rsid w:val="002321E1"/>
    <w:rsid w:val="00232566"/>
    <w:rsid w:val="002327AB"/>
    <w:rsid w:val="00232816"/>
    <w:rsid w:val="00232844"/>
    <w:rsid w:val="0023288D"/>
    <w:rsid w:val="0023293F"/>
    <w:rsid w:val="00232B06"/>
    <w:rsid w:val="00232DDC"/>
    <w:rsid w:val="00232E73"/>
    <w:rsid w:val="00232F9E"/>
    <w:rsid w:val="00233186"/>
    <w:rsid w:val="002331D6"/>
    <w:rsid w:val="0023320A"/>
    <w:rsid w:val="00233222"/>
    <w:rsid w:val="00233229"/>
    <w:rsid w:val="002333C9"/>
    <w:rsid w:val="002334F0"/>
    <w:rsid w:val="0023351B"/>
    <w:rsid w:val="002336D4"/>
    <w:rsid w:val="0023381B"/>
    <w:rsid w:val="00233B00"/>
    <w:rsid w:val="00233B19"/>
    <w:rsid w:val="00233BAB"/>
    <w:rsid w:val="00233C2D"/>
    <w:rsid w:val="0023401A"/>
    <w:rsid w:val="002340A8"/>
    <w:rsid w:val="002340CB"/>
    <w:rsid w:val="002341C0"/>
    <w:rsid w:val="002343D2"/>
    <w:rsid w:val="00234500"/>
    <w:rsid w:val="0023464D"/>
    <w:rsid w:val="00234781"/>
    <w:rsid w:val="00234796"/>
    <w:rsid w:val="00234C5D"/>
    <w:rsid w:val="00234CAF"/>
    <w:rsid w:val="00234D0A"/>
    <w:rsid w:val="00234DED"/>
    <w:rsid w:val="00234E56"/>
    <w:rsid w:val="00234F3A"/>
    <w:rsid w:val="00234FC8"/>
    <w:rsid w:val="0023500A"/>
    <w:rsid w:val="002351A8"/>
    <w:rsid w:val="00235426"/>
    <w:rsid w:val="002354A7"/>
    <w:rsid w:val="002355FA"/>
    <w:rsid w:val="0023564D"/>
    <w:rsid w:val="0023574C"/>
    <w:rsid w:val="00235910"/>
    <w:rsid w:val="0023597E"/>
    <w:rsid w:val="0023598E"/>
    <w:rsid w:val="00235996"/>
    <w:rsid w:val="00235B3B"/>
    <w:rsid w:val="00235BCB"/>
    <w:rsid w:val="00235BCD"/>
    <w:rsid w:val="00235C23"/>
    <w:rsid w:val="00235C2B"/>
    <w:rsid w:val="00235CA4"/>
    <w:rsid w:val="00235F4D"/>
    <w:rsid w:val="00236001"/>
    <w:rsid w:val="00236078"/>
    <w:rsid w:val="00236210"/>
    <w:rsid w:val="002362B7"/>
    <w:rsid w:val="002362E4"/>
    <w:rsid w:val="00236572"/>
    <w:rsid w:val="00236A39"/>
    <w:rsid w:val="00236D0B"/>
    <w:rsid w:val="00237067"/>
    <w:rsid w:val="002370EC"/>
    <w:rsid w:val="0023719A"/>
    <w:rsid w:val="002372A5"/>
    <w:rsid w:val="002372BC"/>
    <w:rsid w:val="00237446"/>
    <w:rsid w:val="0023747D"/>
    <w:rsid w:val="0023749E"/>
    <w:rsid w:val="002377F0"/>
    <w:rsid w:val="00237840"/>
    <w:rsid w:val="002378EE"/>
    <w:rsid w:val="0023795E"/>
    <w:rsid w:val="00237965"/>
    <w:rsid w:val="002379D8"/>
    <w:rsid w:val="00237A2E"/>
    <w:rsid w:val="00237AC1"/>
    <w:rsid w:val="00237AC8"/>
    <w:rsid w:val="00237BCD"/>
    <w:rsid w:val="00237CEE"/>
    <w:rsid w:val="00237D94"/>
    <w:rsid w:val="00237E67"/>
    <w:rsid w:val="00237E8F"/>
    <w:rsid w:val="00237ED4"/>
    <w:rsid w:val="00237F52"/>
    <w:rsid w:val="0024008F"/>
    <w:rsid w:val="00240158"/>
    <w:rsid w:val="002402E3"/>
    <w:rsid w:val="00240335"/>
    <w:rsid w:val="00240372"/>
    <w:rsid w:val="002403E7"/>
    <w:rsid w:val="002404B5"/>
    <w:rsid w:val="002405F3"/>
    <w:rsid w:val="002406AA"/>
    <w:rsid w:val="00240881"/>
    <w:rsid w:val="00240AD2"/>
    <w:rsid w:val="00240D00"/>
    <w:rsid w:val="00240DA9"/>
    <w:rsid w:val="002413A4"/>
    <w:rsid w:val="002413C1"/>
    <w:rsid w:val="00241890"/>
    <w:rsid w:val="002418A5"/>
    <w:rsid w:val="002419CC"/>
    <w:rsid w:val="00241AA6"/>
    <w:rsid w:val="00241ABF"/>
    <w:rsid w:val="00241F69"/>
    <w:rsid w:val="00241FB6"/>
    <w:rsid w:val="002420CF"/>
    <w:rsid w:val="0024236E"/>
    <w:rsid w:val="00242567"/>
    <w:rsid w:val="0024261E"/>
    <w:rsid w:val="002426F7"/>
    <w:rsid w:val="00242823"/>
    <w:rsid w:val="00242A24"/>
    <w:rsid w:val="00242ABE"/>
    <w:rsid w:val="00242CF2"/>
    <w:rsid w:val="00242E7F"/>
    <w:rsid w:val="00242F5A"/>
    <w:rsid w:val="00242FFC"/>
    <w:rsid w:val="00243002"/>
    <w:rsid w:val="002430A8"/>
    <w:rsid w:val="0024313A"/>
    <w:rsid w:val="00243176"/>
    <w:rsid w:val="0024338B"/>
    <w:rsid w:val="00243421"/>
    <w:rsid w:val="002435CA"/>
    <w:rsid w:val="002435FD"/>
    <w:rsid w:val="002438A9"/>
    <w:rsid w:val="00243986"/>
    <w:rsid w:val="002439A0"/>
    <w:rsid w:val="002439F2"/>
    <w:rsid w:val="00243C30"/>
    <w:rsid w:val="00243CC7"/>
    <w:rsid w:val="00243D58"/>
    <w:rsid w:val="00243F76"/>
    <w:rsid w:val="00243F7B"/>
    <w:rsid w:val="00243FD5"/>
    <w:rsid w:val="00244001"/>
    <w:rsid w:val="00244230"/>
    <w:rsid w:val="002442D4"/>
    <w:rsid w:val="002444E6"/>
    <w:rsid w:val="002447B6"/>
    <w:rsid w:val="002448DF"/>
    <w:rsid w:val="00244AD7"/>
    <w:rsid w:val="00244B61"/>
    <w:rsid w:val="00244C27"/>
    <w:rsid w:val="00244DBA"/>
    <w:rsid w:val="002450EE"/>
    <w:rsid w:val="0024516F"/>
    <w:rsid w:val="002452FF"/>
    <w:rsid w:val="00245339"/>
    <w:rsid w:val="002453D1"/>
    <w:rsid w:val="002454CD"/>
    <w:rsid w:val="002456D4"/>
    <w:rsid w:val="0024582B"/>
    <w:rsid w:val="002458C4"/>
    <w:rsid w:val="002459A9"/>
    <w:rsid w:val="00245A5E"/>
    <w:rsid w:val="00245B36"/>
    <w:rsid w:val="00245DF2"/>
    <w:rsid w:val="00245E48"/>
    <w:rsid w:val="00246091"/>
    <w:rsid w:val="002460D6"/>
    <w:rsid w:val="00246176"/>
    <w:rsid w:val="0024620E"/>
    <w:rsid w:val="0024624B"/>
    <w:rsid w:val="0024627C"/>
    <w:rsid w:val="00246556"/>
    <w:rsid w:val="00246605"/>
    <w:rsid w:val="00246612"/>
    <w:rsid w:val="002466A4"/>
    <w:rsid w:val="002468ED"/>
    <w:rsid w:val="00246A42"/>
    <w:rsid w:val="00246BF3"/>
    <w:rsid w:val="00246CE7"/>
    <w:rsid w:val="00246D37"/>
    <w:rsid w:val="00246DC7"/>
    <w:rsid w:val="00246DF4"/>
    <w:rsid w:val="00246F3E"/>
    <w:rsid w:val="0024705D"/>
    <w:rsid w:val="00247093"/>
    <w:rsid w:val="002470D9"/>
    <w:rsid w:val="0024714A"/>
    <w:rsid w:val="002473E8"/>
    <w:rsid w:val="002474B8"/>
    <w:rsid w:val="0024756E"/>
    <w:rsid w:val="002476CE"/>
    <w:rsid w:val="00247B63"/>
    <w:rsid w:val="00247B76"/>
    <w:rsid w:val="00247D24"/>
    <w:rsid w:val="00250113"/>
    <w:rsid w:val="002502A7"/>
    <w:rsid w:val="00250357"/>
    <w:rsid w:val="00250575"/>
    <w:rsid w:val="002505F6"/>
    <w:rsid w:val="00250625"/>
    <w:rsid w:val="0025063B"/>
    <w:rsid w:val="00250697"/>
    <w:rsid w:val="002506E2"/>
    <w:rsid w:val="002506F0"/>
    <w:rsid w:val="00250838"/>
    <w:rsid w:val="00250C14"/>
    <w:rsid w:val="00250C1A"/>
    <w:rsid w:val="00250C56"/>
    <w:rsid w:val="00250DC2"/>
    <w:rsid w:val="00250F54"/>
    <w:rsid w:val="00250F7F"/>
    <w:rsid w:val="00250FA5"/>
    <w:rsid w:val="00251114"/>
    <w:rsid w:val="00251125"/>
    <w:rsid w:val="00251182"/>
    <w:rsid w:val="0025139C"/>
    <w:rsid w:val="002514E7"/>
    <w:rsid w:val="00251A48"/>
    <w:rsid w:val="00251C32"/>
    <w:rsid w:val="00251CC3"/>
    <w:rsid w:val="00251E00"/>
    <w:rsid w:val="002520A8"/>
    <w:rsid w:val="00252358"/>
    <w:rsid w:val="0025253D"/>
    <w:rsid w:val="00252643"/>
    <w:rsid w:val="002528A7"/>
    <w:rsid w:val="002528AE"/>
    <w:rsid w:val="002528EB"/>
    <w:rsid w:val="00252901"/>
    <w:rsid w:val="0025298E"/>
    <w:rsid w:val="00252A4F"/>
    <w:rsid w:val="00252DA5"/>
    <w:rsid w:val="00252EAC"/>
    <w:rsid w:val="00252FB9"/>
    <w:rsid w:val="00253304"/>
    <w:rsid w:val="002533C9"/>
    <w:rsid w:val="002534CE"/>
    <w:rsid w:val="00253578"/>
    <w:rsid w:val="0025364C"/>
    <w:rsid w:val="002538E5"/>
    <w:rsid w:val="00253942"/>
    <w:rsid w:val="0025398A"/>
    <w:rsid w:val="00253BCA"/>
    <w:rsid w:val="00253C5A"/>
    <w:rsid w:val="00253DDB"/>
    <w:rsid w:val="00253DEF"/>
    <w:rsid w:val="00253E96"/>
    <w:rsid w:val="0025401E"/>
    <w:rsid w:val="002540D1"/>
    <w:rsid w:val="0025410F"/>
    <w:rsid w:val="0025416E"/>
    <w:rsid w:val="00254426"/>
    <w:rsid w:val="0025453E"/>
    <w:rsid w:val="0025455B"/>
    <w:rsid w:val="00254598"/>
    <w:rsid w:val="0025468E"/>
    <w:rsid w:val="0025478D"/>
    <w:rsid w:val="00254B6B"/>
    <w:rsid w:val="00254CA6"/>
    <w:rsid w:val="00254EC6"/>
    <w:rsid w:val="00255014"/>
    <w:rsid w:val="002551D4"/>
    <w:rsid w:val="00255390"/>
    <w:rsid w:val="002553D0"/>
    <w:rsid w:val="002553E6"/>
    <w:rsid w:val="00255436"/>
    <w:rsid w:val="00255461"/>
    <w:rsid w:val="00255485"/>
    <w:rsid w:val="00255632"/>
    <w:rsid w:val="00255839"/>
    <w:rsid w:val="00255DDB"/>
    <w:rsid w:val="00255EF4"/>
    <w:rsid w:val="00255F56"/>
    <w:rsid w:val="00255F5E"/>
    <w:rsid w:val="00255F7E"/>
    <w:rsid w:val="002560D9"/>
    <w:rsid w:val="00256241"/>
    <w:rsid w:val="00256265"/>
    <w:rsid w:val="00256485"/>
    <w:rsid w:val="002564DA"/>
    <w:rsid w:val="00256738"/>
    <w:rsid w:val="00256973"/>
    <w:rsid w:val="00256A95"/>
    <w:rsid w:val="00256B4E"/>
    <w:rsid w:val="00256D60"/>
    <w:rsid w:val="00256D63"/>
    <w:rsid w:val="00256D8B"/>
    <w:rsid w:val="0025705B"/>
    <w:rsid w:val="00257070"/>
    <w:rsid w:val="002570C2"/>
    <w:rsid w:val="002570FB"/>
    <w:rsid w:val="00257150"/>
    <w:rsid w:val="002576F6"/>
    <w:rsid w:val="002577AE"/>
    <w:rsid w:val="002577F8"/>
    <w:rsid w:val="00257800"/>
    <w:rsid w:val="00257958"/>
    <w:rsid w:val="0025796E"/>
    <w:rsid w:val="0025797D"/>
    <w:rsid w:val="00257A01"/>
    <w:rsid w:val="00257BF0"/>
    <w:rsid w:val="00257D64"/>
    <w:rsid w:val="0026005F"/>
    <w:rsid w:val="00260168"/>
    <w:rsid w:val="002601F0"/>
    <w:rsid w:val="00260338"/>
    <w:rsid w:val="00260378"/>
    <w:rsid w:val="002605C2"/>
    <w:rsid w:val="0026060E"/>
    <w:rsid w:val="00260849"/>
    <w:rsid w:val="0026086F"/>
    <w:rsid w:val="00260A79"/>
    <w:rsid w:val="00260B73"/>
    <w:rsid w:val="00260C67"/>
    <w:rsid w:val="00260CAD"/>
    <w:rsid w:val="00260DCC"/>
    <w:rsid w:val="00260FC7"/>
    <w:rsid w:val="0026107D"/>
    <w:rsid w:val="0026118B"/>
    <w:rsid w:val="002611D0"/>
    <w:rsid w:val="00261227"/>
    <w:rsid w:val="0026141A"/>
    <w:rsid w:val="00261823"/>
    <w:rsid w:val="00261871"/>
    <w:rsid w:val="002618D9"/>
    <w:rsid w:val="00261A3C"/>
    <w:rsid w:val="00261B03"/>
    <w:rsid w:val="00261D71"/>
    <w:rsid w:val="00261D89"/>
    <w:rsid w:val="00261F61"/>
    <w:rsid w:val="00262448"/>
    <w:rsid w:val="0026250D"/>
    <w:rsid w:val="002625F4"/>
    <w:rsid w:val="002626D0"/>
    <w:rsid w:val="0026280F"/>
    <w:rsid w:val="0026299A"/>
    <w:rsid w:val="00262B53"/>
    <w:rsid w:val="00262B55"/>
    <w:rsid w:val="00262D08"/>
    <w:rsid w:val="00262E3D"/>
    <w:rsid w:val="00262E48"/>
    <w:rsid w:val="00262E56"/>
    <w:rsid w:val="00262F0F"/>
    <w:rsid w:val="00262F77"/>
    <w:rsid w:val="00263230"/>
    <w:rsid w:val="0026326F"/>
    <w:rsid w:val="002633C1"/>
    <w:rsid w:val="00263572"/>
    <w:rsid w:val="002636CA"/>
    <w:rsid w:val="002636FB"/>
    <w:rsid w:val="00263832"/>
    <w:rsid w:val="00263900"/>
    <w:rsid w:val="00263C17"/>
    <w:rsid w:val="00263D50"/>
    <w:rsid w:val="00263D54"/>
    <w:rsid w:val="00263FA8"/>
    <w:rsid w:val="0026423D"/>
    <w:rsid w:val="0026425A"/>
    <w:rsid w:val="002645FB"/>
    <w:rsid w:val="00264620"/>
    <w:rsid w:val="00264643"/>
    <w:rsid w:val="002647C9"/>
    <w:rsid w:val="002649EE"/>
    <w:rsid w:val="00264A1D"/>
    <w:rsid w:val="00264A2D"/>
    <w:rsid w:val="00264A8E"/>
    <w:rsid w:val="00264CB8"/>
    <w:rsid w:val="0026501D"/>
    <w:rsid w:val="002650D7"/>
    <w:rsid w:val="002652C6"/>
    <w:rsid w:val="002655A3"/>
    <w:rsid w:val="0026575C"/>
    <w:rsid w:val="002657D1"/>
    <w:rsid w:val="00265822"/>
    <w:rsid w:val="00265839"/>
    <w:rsid w:val="00265B7B"/>
    <w:rsid w:val="00265D17"/>
    <w:rsid w:val="00265D66"/>
    <w:rsid w:val="00265E93"/>
    <w:rsid w:val="00265F31"/>
    <w:rsid w:val="00266033"/>
    <w:rsid w:val="002660D3"/>
    <w:rsid w:val="002662F6"/>
    <w:rsid w:val="002665C6"/>
    <w:rsid w:val="002666BA"/>
    <w:rsid w:val="00266885"/>
    <w:rsid w:val="00266B1C"/>
    <w:rsid w:val="00266D20"/>
    <w:rsid w:val="00267205"/>
    <w:rsid w:val="002672CE"/>
    <w:rsid w:val="002672F5"/>
    <w:rsid w:val="00267361"/>
    <w:rsid w:val="0026736A"/>
    <w:rsid w:val="00267498"/>
    <w:rsid w:val="00267661"/>
    <w:rsid w:val="002676B4"/>
    <w:rsid w:val="00267922"/>
    <w:rsid w:val="00267A2A"/>
    <w:rsid w:val="00267D7D"/>
    <w:rsid w:val="00267DEA"/>
    <w:rsid w:val="00267FC4"/>
    <w:rsid w:val="0027028A"/>
    <w:rsid w:val="0027039F"/>
    <w:rsid w:val="002703AE"/>
    <w:rsid w:val="00270492"/>
    <w:rsid w:val="00270644"/>
    <w:rsid w:val="00270721"/>
    <w:rsid w:val="00270748"/>
    <w:rsid w:val="0027094C"/>
    <w:rsid w:val="00270A6E"/>
    <w:rsid w:val="00270B9F"/>
    <w:rsid w:val="00270C50"/>
    <w:rsid w:val="00270CA9"/>
    <w:rsid w:val="00270D9E"/>
    <w:rsid w:val="00270E97"/>
    <w:rsid w:val="00270F6B"/>
    <w:rsid w:val="00270F79"/>
    <w:rsid w:val="00270F80"/>
    <w:rsid w:val="002710FD"/>
    <w:rsid w:val="002712E5"/>
    <w:rsid w:val="002716C5"/>
    <w:rsid w:val="00271819"/>
    <w:rsid w:val="0027183E"/>
    <w:rsid w:val="002718D3"/>
    <w:rsid w:val="00271A93"/>
    <w:rsid w:val="00271C84"/>
    <w:rsid w:val="00271CC5"/>
    <w:rsid w:val="00271D33"/>
    <w:rsid w:val="00271FAB"/>
    <w:rsid w:val="002720B3"/>
    <w:rsid w:val="0027212D"/>
    <w:rsid w:val="0027220F"/>
    <w:rsid w:val="00272302"/>
    <w:rsid w:val="002723D6"/>
    <w:rsid w:val="00272410"/>
    <w:rsid w:val="00272A22"/>
    <w:rsid w:val="00272A36"/>
    <w:rsid w:val="00272A89"/>
    <w:rsid w:val="00272C93"/>
    <w:rsid w:val="00272DB5"/>
    <w:rsid w:val="00272F36"/>
    <w:rsid w:val="00272F39"/>
    <w:rsid w:val="002731C6"/>
    <w:rsid w:val="00273204"/>
    <w:rsid w:val="0027320D"/>
    <w:rsid w:val="00273248"/>
    <w:rsid w:val="002732B3"/>
    <w:rsid w:val="002734A0"/>
    <w:rsid w:val="002734B6"/>
    <w:rsid w:val="00273541"/>
    <w:rsid w:val="0027365A"/>
    <w:rsid w:val="002736BE"/>
    <w:rsid w:val="002737DB"/>
    <w:rsid w:val="0027383D"/>
    <w:rsid w:val="002738A2"/>
    <w:rsid w:val="0027396F"/>
    <w:rsid w:val="00273C10"/>
    <w:rsid w:val="00273D23"/>
    <w:rsid w:val="00273E5A"/>
    <w:rsid w:val="00273E79"/>
    <w:rsid w:val="00273F81"/>
    <w:rsid w:val="00273FC4"/>
    <w:rsid w:val="00273FC5"/>
    <w:rsid w:val="00273FF1"/>
    <w:rsid w:val="00274087"/>
    <w:rsid w:val="002740C2"/>
    <w:rsid w:val="0027411B"/>
    <w:rsid w:val="00274362"/>
    <w:rsid w:val="00274678"/>
    <w:rsid w:val="002747C4"/>
    <w:rsid w:val="002747CA"/>
    <w:rsid w:val="002749CA"/>
    <w:rsid w:val="002749F6"/>
    <w:rsid w:val="00274B41"/>
    <w:rsid w:val="00274C0A"/>
    <w:rsid w:val="00274CD9"/>
    <w:rsid w:val="00274F8F"/>
    <w:rsid w:val="00275093"/>
    <w:rsid w:val="0027524E"/>
    <w:rsid w:val="00275295"/>
    <w:rsid w:val="0027531A"/>
    <w:rsid w:val="00275456"/>
    <w:rsid w:val="00275658"/>
    <w:rsid w:val="00275776"/>
    <w:rsid w:val="00275928"/>
    <w:rsid w:val="00275A96"/>
    <w:rsid w:val="00275DFC"/>
    <w:rsid w:val="00275E98"/>
    <w:rsid w:val="00275FAF"/>
    <w:rsid w:val="002760E0"/>
    <w:rsid w:val="002761E9"/>
    <w:rsid w:val="002762E0"/>
    <w:rsid w:val="002763F1"/>
    <w:rsid w:val="002765C0"/>
    <w:rsid w:val="002765DD"/>
    <w:rsid w:val="00276614"/>
    <w:rsid w:val="0027674A"/>
    <w:rsid w:val="00276A98"/>
    <w:rsid w:val="00276AA6"/>
    <w:rsid w:val="00276B4B"/>
    <w:rsid w:val="002771DB"/>
    <w:rsid w:val="0027724F"/>
    <w:rsid w:val="0027731B"/>
    <w:rsid w:val="002773B2"/>
    <w:rsid w:val="00277412"/>
    <w:rsid w:val="00277474"/>
    <w:rsid w:val="002774DE"/>
    <w:rsid w:val="002775FE"/>
    <w:rsid w:val="002776C4"/>
    <w:rsid w:val="002776CC"/>
    <w:rsid w:val="00277796"/>
    <w:rsid w:val="002778F2"/>
    <w:rsid w:val="00277924"/>
    <w:rsid w:val="00277A43"/>
    <w:rsid w:val="00277B1E"/>
    <w:rsid w:val="00277B55"/>
    <w:rsid w:val="00277C26"/>
    <w:rsid w:val="00277D9B"/>
    <w:rsid w:val="002800B4"/>
    <w:rsid w:val="002800D4"/>
    <w:rsid w:val="0028029A"/>
    <w:rsid w:val="002802AC"/>
    <w:rsid w:val="00280451"/>
    <w:rsid w:val="0028055C"/>
    <w:rsid w:val="0028056B"/>
    <w:rsid w:val="00280848"/>
    <w:rsid w:val="002808B6"/>
    <w:rsid w:val="00280C87"/>
    <w:rsid w:val="00280D46"/>
    <w:rsid w:val="00280D5A"/>
    <w:rsid w:val="00280E03"/>
    <w:rsid w:val="00280E58"/>
    <w:rsid w:val="00281295"/>
    <w:rsid w:val="0028137D"/>
    <w:rsid w:val="00281518"/>
    <w:rsid w:val="00281687"/>
    <w:rsid w:val="002817F4"/>
    <w:rsid w:val="00281BD6"/>
    <w:rsid w:val="00281CB6"/>
    <w:rsid w:val="00281EE9"/>
    <w:rsid w:val="00281F8D"/>
    <w:rsid w:val="00281FA5"/>
    <w:rsid w:val="00282025"/>
    <w:rsid w:val="0028203C"/>
    <w:rsid w:val="00282124"/>
    <w:rsid w:val="00282200"/>
    <w:rsid w:val="00282326"/>
    <w:rsid w:val="00282379"/>
    <w:rsid w:val="002826CC"/>
    <w:rsid w:val="002826DE"/>
    <w:rsid w:val="00282728"/>
    <w:rsid w:val="002827F4"/>
    <w:rsid w:val="0028282E"/>
    <w:rsid w:val="00282851"/>
    <w:rsid w:val="00282920"/>
    <w:rsid w:val="00282A0E"/>
    <w:rsid w:val="00282C42"/>
    <w:rsid w:val="00282CCD"/>
    <w:rsid w:val="00283086"/>
    <w:rsid w:val="002831AD"/>
    <w:rsid w:val="00283241"/>
    <w:rsid w:val="00283271"/>
    <w:rsid w:val="0028343E"/>
    <w:rsid w:val="0028343F"/>
    <w:rsid w:val="00283465"/>
    <w:rsid w:val="00283498"/>
    <w:rsid w:val="002834DF"/>
    <w:rsid w:val="00283559"/>
    <w:rsid w:val="00283830"/>
    <w:rsid w:val="0028385A"/>
    <w:rsid w:val="00283A50"/>
    <w:rsid w:val="00283A99"/>
    <w:rsid w:val="00283B6F"/>
    <w:rsid w:val="00283C85"/>
    <w:rsid w:val="00283FA9"/>
    <w:rsid w:val="00284231"/>
    <w:rsid w:val="00284290"/>
    <w:rsid w:val="002842F0"/>
    <w:rsid w:val="00284451"/>
    <w:rsid w:val="00284483"/>
    <w:rsid w:val="0028458B"/>
    <w:rsid w:val="002845FC"/>
    <w:rsid w:val="002847A3"/>
    <w:rsid w:val="002849AB"/>
    <w:rsid w:val="00284A88"/>
    <w:rsid w:val="00284B27"/>
    <w:rsid w:val="00284BB6"/>
    <w:rsid w:val="00284D7B"/>
    <w:rsid w:val="00284E28"/>
    <w:rsid w:val="00284E4A"/>
    <w:rsid w:val="0028529C"/>
    <w:rsid w:val="0028541D"/>
    <w:rsid w:val="0028559D"/>
    <w:rsid w:val="00285683"/>
    <w:rsid w:val="00285857"/>
    <w:rsid w:val="00285A65"/>
    <w:rsid w:val="00285D1D"/>
    <w:rsid w:val="00285E0B"/>
    <w:rsid w:val="00285FCC"/>
    <w:rsid w:val="002860C5"/>
    <w:rsid w:val="00286372"/>
    <w:rsid w:val="002864E0"/>
    <w:rsid w:val="002865F2"/>
    <w:rsid w:val="00286936"/>
    <w:rsid w:val="00286D01"/>
    <w:rsid w:val="00286D0F"/>
    <w:rsid w:val="00286DD7"/>
    <w:rsid w:val="00286DE9"/>
    <w:rsid w:val="00286E6B"/>
    <w:rsid w:val="00286EC0"/>
    <w:rsid w:val="00286F71"/>
    <w:rsid w:val="0028717E"/>
    <w:rsid w:val="002871E9"/>
    <w:rsid w:val="00287231"/>
    <w:rsid w:val="002872CF"/>
    <w:rsid w:val="0028733F"/>
    <w:rsid w:val="0028734C"/>
    <w:rsid w:val="00287577"/>
    <w:rsid w:val="002875C6"/>
    <w:rsid w:val="002875F8"/>
    <w:rsid w:val="002878D0"/>
    <w:rsid w:val="002879DC"/>
    <w:rsid w:val="00287A28"/>
    <w:rsid w:val="00287A7D"/>
    <w:rsid w:val="00287D4C"/>
    <w:rsid w:val="0029054F"/>
    <w:rsid w:val="002905FC"/>
    <w:rsid w:val="00290626"/>
    <w:rsid w:val="002906FE"/>
    <w:rsid w:val="002909FF"/>
    <w:rsid w:val="00290A3C"/>
    <w:rsid w:val="00290AD9"/>
    <w:rsid w:val="00290B33"/>
    <w:rsid w:val="00290BB3"/>
    <w:rsid w:val="00290BFB"/>
    <w:rsid w:val="00290DD5"/>
    <w:rsid w:val="00291021"/>
    <w:rsid w:val="00291045"/>
    <w:rsid w:val="0029107E"/>
    <w:rsid w:val="002910A5"/>
    <w:rsid w:val="00291357"/>
    <w:rsid w:val="00291943"/>
    <w:rsid w:val="00291CC3"/>
    <w:rsid w:val="00291DF5"/>
    <w:rsid w:val="00291E9A"/>
    <w:rsid w:val="00291EA0"/>
    <w:rsid w:val="00291F38"/>
    <w:rsid w:val="00291F47"/>
    <w:rsid w:val="00292031"/>
    <w:rsid w:val="0029204C"/>
    <w:rsid w:val="00292060"/>
    <w:rsid w:val="002920ED"/>
    <w:rsid w:val="00292170"/>
    <w:rsid w:val="002921F5"/>
    <w:rsid w:val="002922AB"/>
    <w:rsid w:val="00292363"/>
    <w:rsid w:val="0029241E"/>
    <w:rsid w:val="00292473"/>
    <w:rsid w:val="0029248E"/>
    <w:rsid w:val="002924AE"/>
    <w:rsid w:val="002924D0"/>
    <w:rsid w:val="0029250F"/>
    <w:rsid w:val="00292728"/>
    <w:rsid w:val="00292947"/>
    <w:rsid w:val="0029298D"/>
    <w:rsid w:val="002929A7"/>
    <w:rsid w:val="00292B05"/>
    <w:rsid w:val="00292BC6"/>
    <w:rsid w:val="00292D4B"/>
    <w:rsid w:val="00292E49"/>
    <w:rsid w:val="00292F35"/>
    <w:rsid w:val="00292F47"/>
    <w:rsid w:val="00292FFB"/>
    <w:rsid w:val="0029309E"/>
    <w:rsid w:val="0029312D"/>
    <w:rsid w:val="002932DB"/>
    <w:rsid w:val="00293384"/>
    <w:rsid w:val="002933F0"/>
    <w:rsid w:val="002934E4"/>
    <w:rsid w:val="002935F6"/>
    <w:rsid w:val="002935FF"/>
    <w:rsid w:val="0029361F"/>
    <w:rsid w:val="00293888"/>
    <w:rsid w:val="002938B1"/>
    <w:rsid w:val="00293A08"/>
    <w:rsid w:val="00293A7F"/>
    <w:rsid w:val="00293B55"/>
    <w:rsid w:val="00293C10"/>
    <w:rsid w:val="00293C7C"/>
    <w:rsid w:val="00293D3D"/>
    <w:rsid w:val="00293DCC"/>
    <w:rsid w:val="00293FF7"/>
    <w:rsid w:val="00294017"/>
    <w:rsid w:val="0029420E"/>
    <w:rsid w:val="00294282"/>
    <w:rsid w:val="002942A4"/>
    <w:rsid w:val="00294387"/>
    <w:rsid w:val="002943FA"/>
    <w:rsid w:val="0029488B"/>
    <w:rsid w:val="00294A0A"/>
    <w:rsid w:val="00294A13"/>
    <w:rsid w:val="00294A63"/>
    <w:rsid w:val="00294B07"/>
    <w:rsid w:val="00294D0D"/>
    <w:rsid w:val="00294E13"/>
    <w:rsid w:val="0029500A"/>
    <w:rsid w:val="00295060"/>
    <w:rsid w:val="0029519D"/>
    <w:rsid w:val="00295285"/>
    <w:rsid w:val="0029530F"/>
    <w:rsid w:val="002953AC"/>
    <w:rsid w:val="002954D5"/>
    <w:rsid w:val="0029559B"/>
    <w:rsid w:val="0029598C"/>
    <w:rsid w:val="002959F4"/>
    <w:rsid w:val="00295ADB"/>
    <w:rsid w:val="00295BBC"/>
    <w:rsid w:val="00295DEC"/>
    <w:rsid w:val="00295E86"/>
    <w:rsid w:val="00295F3C"/>
    <w:rsid w:val="0029607F"/>
    <w:rsid w:val="0029633C"/>
    <w:rsid w:val="00296417"/>
    <w:rsid w:val="002964A2"/>
    <w:rsid w:val="00296944"/>
    <w:rsid w:val="00296A6B"/>
    <w:rsid w:val="00296BE8"/>
    <w:rsid w:val="00296D84"/>
    <w:rsid w:val="00296E7A"/>
    <w:rsid w:val="00297012"/>
    <w:rsid w:val="00297105"/>
    <w:rsid w:val="0029719B"/>
    <w:rsid w:val="0029721C"/>
    <w:rsid w:val="002972B4"/>
    <w:rsid w:val="0029735A"/>
    <w:rsid w:val="00297491"/>
    <w:rsid w:val="002974A8"/>
    <w:rsid w:val="0029787D"/>
    <w:rsid w:val="00297BB0"/>
    <w:rsid w:val="00297D26"/>
    <w:rsid w:val="00297D6A"/>
    <w:rsid w:val="002A0068"/>
    <w:rsid w:val="002A011F"/>
    <w:rsid w:val="002A0381"/>
    <w:rsid w:val="002A0382"/>
    <w:rsid w:val="002A0387"/>
    <w:rsid w:val="002A039F"/>
    <w:rsid w:val="002A0416"/>
    <w:rsid w:val="002A05EB"/>
    <w:rsid w:val="002A0774"/>
    <w:rsid w:val="002A0775"/>
    <w:rsid w:val="002A0846"/>
    <w:rsid w:val="002A084F"/>
    <w:rsid w:val="002A0AD9"/>
    <w:rsid w:val="002A0C1D"/>
    <w:rsid w:val="002A0E02"/>
    <w:rsid w:val="002A0E15"/>
    <w:rsid w:val="002A1060"/>
    <w:rsid w:val="002A1068"/>
    <w:rsid w:val="002A129C"/>
    <w:rsid w:val="002A14B1"/>
    <w:rsid w:val="002A1533"/>
    <w:rsid w:val="002A15CF"/>
    <w:rsid w:val="002A16C6"/>
    <w:rsid w:val="002A1983"/>
    <w:rsid w:val="002A1989"/>
    <w:rsid w:val="002A19D8"/>
    <w:rsid w:val="002A19F3"/>
    <w:rsid w:val="002A1A0E"/>
    <w:rsid w:val="002A1A1A"/>
    <w:rsid w:val="002A1B0C"/>
    <w:rsid w:val="002A1DD2"/>
    <w:rsid w:val="002A1F34"/>
    <w:rsid w:val="002A1F5C"/>
    <w:rsid w:val="002A2150"/>
    <w:rsid w:val="002A2297"/>
    <w:rsid w:val="002A2486"/>
    <w:rsid w:val="002A26A0"/>
    <w:rsid w:val="002A2847"/>
    <w:rsid w:val="002A2A2D"/>
    <w:rsid w:val="002A2A3D"/>
    <w:rsid w:val="002A2AFA"/>
    <w:rsid w:val="002A2B24"/>
    <w:rsid w:val="002A2C7E"/>
    <w:rsid w:val="002A2CAA"/>
    <w:rsid w:val="002A2D48"/>
    <w:rsid w:val="002A2FED"/>
    <w:rsid w:val="002A30B7"/>
    <w:rsid w:val="002A3185"/>
    <w:rsid w:val="002A3439"/>
    <w:rsid w:val="002A3570"/>
    <w:rsid w:val="002A3956"/>
    <w:rsid w:val="002A3B35"/>
    <w:rsid w:val="002A3F66"/>
    <w:rsid w:val="002A4084"/>
    <w:rsid w:val="002A40B2"/>
    <w:rsid w:val="002A432C"/>
    <w:rsid w:val="002A44CD"/>
    <w:rsid w:val="002A4507"/>
    <w:rsid w:val="002A4584"/>
    <w:rsid w:val="002A469A"/>
    <w:rsid w:val="002A47F2"/>
    <w:rsid w:val="002A4835"/>
    <w:rsid w:val="002A495C"/>
    <w:rsid w:val="002A4EAA"/>
    <w:rsid w:val="002A4FF2"/>
    <w:rsid w:val="002A529C"/>
    <w:rsid w:val="002A52B4"/>
    <w:rsid w:val="002A530F"/>
    <w:rsid w:val="002A567D"/>
    <w:rsid w:val="002A5778"/>
    <w:rsid w:val="002A598C"/>
    <w:rsid w:val="002A5A6A"/>
    <w:rsid w:val="002A5A76"/>
    <w:rsid w:val="002A5B6F"/>
    <w:rsid w:val="002A5BC5"/>
    <w:rsid w:val="002A5C26"/>
    <w:rsid w:val="002A5C37"/>
    <w:rsid w:val="002A5E9A"/>
    <w:rsid w:val="002A5F45"/>
    <w:rsid w:val="002A5F8E"/>
    <w:rsid w:val="002A638F"/>
    <w:rsid w:val="002A64DD"/>
    <w:rsid w:val="002A6569"/>
    <w:rsid w:val="002A66E9"/>
    <w:rsid w:val="002A679D"/>
    <w:rsid w:val="002A686E"/>
    <w:rsid w:val="002A687E"/>
    <w:rsid w:val="002A68F7"/>
    <w:rsid w:val="002A6A01"/>
    <w:rsid w:val="002A6B44"/>
    <w:rsid w:val="002A6BDD"/>
    <w:rsid w:val="002A6C23"/>
    <w:rsid w:val="002A6C30"/>
    <w:rsid w:val="002A6D3E"/>
    <w:rsid w:val="002A6F2B"/>
    <w:rsid w:val="002A7198"/>
    <w:rsid w:val="002A71CF"/>
    <w:rsid w:val="002A73C9"/>
    <w:rsid w:val="002A7464"/>
    <w:rsid w:val="002A75D6"/>
    <w:rsid w:val="002A7953"/>
    <w:rsid w:val="002A7B7F"/>
    <w:rsid w:val="002A7BF5"/>
    <w:rsid w:val="002A7D3C"/>
    <w:rsid w:val="002A7D98"/>
    <w:rsid w:val="002A7FEF"/>
    <w:rsid w:val="002B026D"/>
    <w:rsid w:val="002B03EE"/>
    <w:rsid w:val="002B04EB"/>
    <w:rsid w:val="002B057C"/>
    <w:rsid w:val="002B05B2"/>
    <w:rsid w:val="002B06F3"/>
    <w:rsid w:val="002B070A"/>
    <w:rsid w:val="002B07BD"/>
    <w:rsid w:val="002B0985"/>
    <w:rsid w:val="002B09B6"/>
    <w:rsid w:val="002B0A21"/>
    <w:rsid w:val="002B0AB8"/>
    <w:rsid w:val="002B0CB6"/>
    <w:rsid w:val="002B1045"/>
    <w:rsid w:val="002B1078"/>
    <w:rsid w:val="002B1235"/>
    <w:rsid w:val="002B1305"/>
    <w:rsid w:val="002B158C"/>
    <w:rsid w:val="002B165D"/>
    <w:rsid w:val="002B16E5"/>
    <w:rsid w:val="002B18FC"/>
    <w:rsid w:val="002B1ADD"/>
    <w:rsid w:val="002B1B3C"/>
    <w:rsid w:val="002B1B43"/>
    <w:rsid w:val="002B1C72"/>
    <w:rsid w:val="002B2008"/>
    <w:rsid w:val="002B23E4"/>
    <w:rsid w:val="002B23E7"/>
    <w:rsid w:val="002B25C9"/>
    <w:rsid w:val="002B264F"/>
    <w:rsid w:val="002B2741"/>
    <w:rsid w:val="002B282D"/>
    <w:rsid w:val="002B283F"/>
    <w:rsid w:val="002B29A0"/>
    <w:rsid w:val="002B2A21"/>
    <w:rsid w:val="002B2B13"/>
    <w:rsid w:val="002B2B24"/>
    <w:rsid w:val="002B2B3B"/>
    <w:rsid w:val="002B2BF8"/>
    <w:rsid w:val="002B3082"/>
    <w:rsid w:val="002B3322"/>
    <w:rsid w:val="002B338E"/>
    <w:rsid w:val="002B34B7"/>
    <w:rsid w:val="002B384E"/>
    <w:rsid w:val="002B38C0"/>
    <w:rsid w:val="002B3A12"/>
    <w:rsid w:val="002B3AAC"/>
    <w:rsid w:val="002B3B69"/>
    <w:rsid w:val="002B3BA0"/>
    <w:rsid w:val="002B3D14"/>
    <w:rsid w:val="002B3D58"/>
    <w:rsid w:val="002B3ED7"/>
    <w:rsid w:val="002B3FB0"/>
    <w:rsid w:val="002B3FEB"/>
    <w:rsid w:val="002B4287"/>
    <w:rsid w:val="002B4418"/>
    <w:rsid w:val="002B4587"/>
    <w:rsid w:val="002B4665"/>
    <w:rsid w:val="002B46CA"/>
    <w:rsid w:val="002B4814"/>
    <w:rsid w:val="002B48FA"/>
    <w:rsid w:val="002B4E33"/>
    <w:rsid w:val="002B4E6A"/>
    <w:rsid w:val="002B4EB1"/>
    <w:rsid w:val="002B52E8"/>
    <w:rsid w:val="002B534A"/>
    <w:rsid w:val="002B5434"/>
    <w:rsid w:val="002B54CA"/>
    <w:rsid w:val="002B5741"/>
    <w:rsid w:val="002B574E"/>
    <w:rsid w:val="002B577A"/>
    <w:rsid w:val="002B57AD"/>
    <w:rsid w:val="002B57C1"/>
    <w:rsid w:val="002B5918"/>
    <w:rsid w:val="002B59C4"/>
    <w:rsid w:val="002B5A25"/>
    <w:rsid w:val="002B5F33"/>
    <w:rsid w:val="002B6006"/>
    <w:rsid w:val="002B6068"/>
    <w:rsid w:val="002B6121"/>
    <w:rsid w:val="002B6354"/>
    <w:rsid w:val="002B63CA"/>
    <w:rsid w:val="002B6498"/>
    <w:rsid w:val="002B65C6"/>
    <w:rsid w:val="002B671E"/>
    <w:rsid w:val="002B6768"/>
    <w:rsid w:val="002B6BB5"/>
    <w:rsid w:val="002B6CCB"/>
    <w:rsid w:val="002B6CD7"/>
    <w:rsid w:val="002B6D76"/>
    <w:rsid w:val="002B6E69"/>
    <w:rsid w:val="002B6F26"/>
    <w:rsid w:val="002B6FA7"/>
    <w:rsid w:val="002B7178"/>
    <w:rsid w:val="002B7232"/>
    <w:rsid w:val="002B7433"/>
    <w:rsid w:val="002B75A4"/>
    <w:rsid w:val="002B762F"/>
    <w:rsid w:val="002B7794"/>
    <w:rsid w:val="002B7826"/>
    <w:rsid w:val="002B78B3"/>
    <w:rsid w:val="002B7906"/>
    <w:rsid w:val="002B79DE"/>
    <w:rsid w:val="002B7A6C"/>
    <w:rsid w:val="002B7BFF"/>
    <w:rsid w:val="002B7C3F"/>
    <w:rsid w:val="002B7C59"/>
    <w:rsid w:val="002B7D0C"/>
    <w:rsid w:val="002C00D4"/>
    <w:rsid w:val="002C0158"/>
    <w:rsid w:val="002C018E"/>
    <w:rsid w:val="002C0191"/>
    <w:rsid w:val="002C02B6"/>
    <w:rsid w:val="002C03A6"/>
    <w:rsid w:val="002C04C6"/>
    <w:rsid w:val="002C059C"/>
    <w:rsid w:val="002C065C"/>
    <w:rsid w:val="002C06B5"/>
    <w:rsid w:val="002C0837"/>
    <w:rsid w:val="002C0923"/>
    <w:rsid w:val="002C092A"/>
    <w:rsid w:val="002C0964"/>
    <w:rsid w:val="002C0ADB"/>
    <w:rsid w:val="002C0BFF"/>
    <w:rsid w:val="002C0C6C"/>
    <w:rsid w:val="002C0E56"/>
    <w:rsid w:val="002C0E9D"/>
    <w:rsid w:val="002C0F44"/>
    <w:rsid w:val="002C1101"/>
    <w:rsid w:val="002C1114"/>
    <w:rsid w:val="002C11DC"/>
    <w:rsid w:val="002C1309"/>
    <w:rsid w:val="002C1463"/>
    <w:rsid w:val="002C147D"/>
    <w:rsid w:val="002C14B2"/>
    <w:rsid w:val="002C1584"/>
    <w:rsid w:val="002C15F5"/>
    <w:rsid w:val="002C16B5"/>
    <w:rsid w:val="002C16F7"/>
    <w:rsid w:val="002C16FE"/>
    <w:rsid w:val="002C17DA"/>
    <w:rsid w:val="002C1856"/>
    <w:rsid w:val="002C1960"/>
    <w:rsid w:val="002C1DC5"/>
    <w:rsid w:val="002C1FB2"/>
    <w:rsid w:val="002C21E7"/>
    <w:rsid w:val="002C2408"/>
    <w:rsid w:val="002C241E"/>
    <w:rsid w:val="002C25DC"/>
    <w:rsid w:val="002C2724"/>
    <w:rsid w:val="002C278A"/>
    <w:rsid w:val="002C279C"/>
    <w:rsid w:val="002C27B3"/>
    <w:rsid w:val="002C2884"/>
    <w:rsid w:val="002C2911"/>
    <w:rsid w:val="002C2953"/>
    <w:rsid w:val="002C29CE"/>
    <w:rsid w:val="002C2A06"/>
    <w:rsid w:val="002C2A28"/>
    <w:rsid w:val="002C2B62"/>
    <w:rsid w:val="002C2D47"/>
    <w:rsid w:val="002C2F50"/>
    <w:rsid w:val="002C2FA1"/>
    <w:rsid w:val="002C314A"/>
    <w:rsid w:val="002C33FA"/>
    <w:rsid w:val="002C38E8"/>
    <w:rsid w:val="002C395E"/>
    <w:rsid w:val="002C3A28"/>
    <w:rsid w:val="002C3A63"/>
    <w:rsid w:val="002C3B04"/>
    <w:rsid w:val="002C441F"/>
    <w:rsid w:val="002C4440"/>
    <w:rsid w:val="002C460A"/>
    <w:rsid w:val="002C4751"/>
    <w:rsid w:val="002C4CE5"/>
    <w:rsid w:val="002C4CF8"/>
    <w:rsid w:val="002C4E72"/>
    <w:rsid w:val="002C4EA6"/>
    <w:rsid w:val="002C4F96"/>
    <w:rsid w:val="002C520B"/>
    <w:rsid w:val="002C521D"/>
    <w:rsid w:val="002C5367"/>
    <w:rsid w:val="002C5505"/>
    <w:rsid w:val="002C5686"/>
    <w:rsid w:val="002C57E4"/>
    <w:rsid w:val="002C5B83"/>
    <w:rsid w:val="002C5BA9"/>
    <w:rsid w:val="002C5C66"/>
    <w:rsid w:val="002C5D45"/>
    <w:rsid w:val="002C5E27"/>
    <w:rsid w:val="002C5F51"/>
    <w:rsid w:val="002C61D8"/>
    <w:rsid w:val="002C61E4"/>
    <w:rsid w:val="002C64A5"/>
    <w:rsid w:val="002C653B"/>
    <w:rsid w:val="002C668C"/>
    <w:rsid w:val="002C6775"/>
    <w:rsid w:val="002C678F"/>
    <w:rsid w:val="002C6A72"/>
    <w:rsid w:val="002C6AB1"/>
    <w:rsid w:val="002C6B37"/>
    <w:rsid w:val="002C6B5F"/>
    <w:rsid w:val="002C6C8F"/>
    <w:rsid w:val="002C6C90"/>
    <w:rsid w:val="002C6C9B"/>
    <w:rsid w:val="002C6D9F"/>
    <w:rsid w:val="002C6DE0"/>
    <w:rsid w:val="002C6ED7"/>
    <w:rsid w:val="002C6F15"/>
    <w:rsid w:val="002C7025"/>
    <w:rsid w:val="002C710A"/>
    <w:rsid w:val="002C7117"/>
    <w:rsid w:val="002C719B"/>
    <w:rsid w:val="002C74F2"/>
    <w:rsid w:val="002C7580"/>
    <w:rsid w:val="002C77DB"/>
    <w:rsid w:val="002C7AE3"/>
    <w:rsid w:val="002C7C88"/>
    <w:rsid w:val="002C7CDB"/>
    <w:rsid w:val="002C7DCA"/>
    <w:rsid w:val="002C7E61"/>
    <w:rsid w:val="002CF241"/>
    <w:rsid w:val="002D00F3"/>
    <w:rsid w:val="002D011F"/>
    <w:rsid w:val="002D0327"/>
    <w:rsid w:val="002D03D4"/>
    <w:rsid w:val="002D0417"/>
    <w:rsid w:val="002D0433"/>
    <w:rsid w:val="002D04A4"/>
    <w:rsid w:val="002D056F"/>
    <w:rsid w:val="002D0636"/>
    <w:rsid w:val="002D065B"/>
    <w:rsid w:val="002D065E"/>
    <w:rsid w:val="002D07C6"/>
    <w:rsid w:val="002D0A17"/>
    <w:rsid w:val="002D0A90"/>
    <w:rsid w:val="002D0B82"/>
    <w:rsid w:val="002D0C43"/>
    <w:rsid w:val="002D0DC0"/>
    <w:rsid w:val="002D0E6A"/>
    <w:rsid w:val="002D0EA3"/>
    <w:rsid w:val="002D0EC0"/>
    <w:rsid w:val="002D0F73"/>
    <w:rsid w:val="002D1288"/>
    <w:rsid w:val="002D12A3"/>
    <w:rsid w:val="002D12AB"/>
    <w:rsid w:val="002D14DC"/>
    <w:rsid w:val="002D1537"/>
    <w:rsid w:val="002D1652"/>
    <w:rsid w:val="002D1722"/>
    <w:rsid w:val="002D17DC"/>
    <w:rsid w:val="002D18EF"/>
    <w:rsid w:val="002D196E"/>
    <w:rsid w:val="002D1BC7"/>
    <w:rsid w:val="002D1BF7"/>
    <w:rsid w:val="002D1D6F"/>
    <w:rsid w:val="002D1DB3"/>
    <w:rsid w:val="002D1F96"/>
    <w:rsid w:val="002D1FB6"/>
    <w:rsid w:val="002D1FE3"/>
    <w:rsid w:val="002D22A5"/>
    <w:rsid w:val="002D23AB"/>
    <w:rsid w:val="002D245C"/>
    <w:rsid w:val="002D24CC"/>
    <w:rsid w:val="002D255C"/>
    <w:rsid w:val="002D271B"/>
    <w:rsid w:val="002D2870"/>
    <w:rsid w:val="002D2906"/>
    <w:rsid w:val="002D292C"/>
    <w:rsid w:val="002D2CED"/>
    <w:rsid w:val="002D2E0E"/>
    <w:rsid w:val="002D2E3D"/>
    <w:rsid w:val="002D2EA4"/>
    <w:rsid w:val="002D2EDF"/>
    <w:rsid w:val="002D2EFB"/>
    <w:rsid w:val="002D3116"/>
    <w:rsid w:val="002D31F0"/>
    <w:rsid w:val="002D3224"/>
    <w:rsid w:val="002D33AD"/>
    <w:rsid w:val="002D3580"/>
    <w:rsid w:val="002D38AC"/>
    <w:rsid w:val="002D3900"/>
    <w:rsid w:val="002D3992"/>
    <w:rsid w:val="002D39E3"/>
    <w:rsid w:val="002D39EE"/>
    <w:rsid w:val="002D3AAA"/>
    <w:rsid w:val="002D3D51"/>
    <w:rsid w:val="002D3D6F"/>
    <w:rsid w:val="002D3F2A"/>
    <w:rsid w:val="002D4002"/>
    <w:rsid w:val="002D4146"/>
    <w:rsid w:val="002D45D3"/>
    <w:rsid w:val="002D46FA"/>
    <w:rsid w:val="002D4708"/>
    <w:rsid w:val="002D472E"/>
    <w:rsid w:val="002D47EE"/>
    <w:rsid w:val="002D48FB"/>
    <w:rsid w:val="002D4901"/>
    <w:rsid w:val="002D495A"/>
    <w:rsid w:val="002D49B0"/>
    <w:rsid w:val="002D4BD9"/>
    <w:rsid w:val="002D4E43"/>
    <w:rsid w:val="002D5260"/>
    <w:rsid w:val="002D53BC"/>
    <w:rsid w:val="002D53E7"/>
    <w:rsid w:val="002D5501"/>
    <w:rsid w:val="002D55A4"/>
    <w:rsid w:val="002D5890"/>
    <w:rsid w:val="002D58E2"/>
    <w:rsid w:val="002D5AA9"/>
    <w:rsid w:val="002D5CEA"/>
    <w:rsid w:val="002D5D12"/>
    <w:rsid w:val="002D5EF0"/>
    <w:rsid w:val="002D5FC2"/>
    <w:rsid w:val="002D5FEA"/>
    <w:rsid w:val="002D63C7"/>
    <w:rsid w:val="002D644A"/>
    <w:rsid w:val="002D64FF"/>
    <w:rsid w:val="002D6855"/>
    <w:rsid w:val="002D694F"/>
    <w:rsid w:val="002D6AD8"/>
    <w:rsid w:val="002D6B26"/>
    <w:rsid w:val="002D6C7A"/>
    <w:rsid w:val="002D6D60"/>
    <w:rsid w:val="002D71D1"/>
    <w:rsid w:val="002D7406"/>
    <w:rsid w:val="002D7409"/>
    <w:rsid w:val="002D758A"/>
    <w:rsid w:val="002D75C3"/>
    <w:rsid w:val="002D75C4"/>
    <w:rsid w:val="002D76B0"/>
    <w:rsid w:val="002D7891"/>
    <w:rsid w:val="002D78F0"/>
    <w:rsid w:val="002D79FF"/>
    <w:rsid w:val="002D7B44"/>
    <w:rsid w:val="002D7C94"/>
    <w:rsid w:val="002E01C5"/>
    <w:rsid w:val="002E047C"/>
    <w:rsid w:val="002E055D"/>
    <w:rsid w:val="002E062C"/>
    <w:rsid w:val="002E07CE"/>
    <w:rsid w:val="002E07EA"/>
    <w:rsid w:val="002E0804"/>
    <w:rsid w:val="002E0872"/>
    <w:rsid w:val="002E0AA4"/>
    <w:rsid w:val="002E0E2D"/>
    <w:rsid w:val="002E0E9E"/>
    <w:rsid w:val="002E0FDE"/>
    <w:rsid w:val="002E10BA"/>
    <w:rsid w:val="002E11D6"/>
    <w:rsid w:val="002E130F"/>
    <w:rsid w:val="002E150B"/>
    <w:rsid w:val="002E1772"/>
    <w:rsid w:val="002E18EB"/>
    <w:rsid w:val="002E198C"/>
    <w:rsid w:val="002E19A7"/>
    <w:rsid w:val="002E1AFB"/>
    <w:rsid w:val="002E1E52"/>
    <w:rsid w:val="002E2048"/>
    <w:rsid w:val="002E2059"/>
    <w:rsid w:val="002E209C"/>
    <w:rsid w:val="002E20BE"/>
    <w:rsid w:val="002E2242"/>
    <w:rsid w:val="002E22F4"/>
    <w:rsid w:val="002E2314"/>
    <w:rsid w:val="002E2315"/>
    <w:rsid w:val="002E23A0"/>
    <w:rsid w:val="002E23F0"/>
    <w:rsid w:val="002E2404"/>
    <w:rsid w:val="002E240F"/>
    <w:rsid w:val="002E2424"/>
    <w:rsid w:val="002E2478"/>
    <w:rsid w:val="002E2570"/>
    <w:rsid w:val="002E27C6"/>
    <w:rsid w:val="002E281D"/>
    <w:rsid w:val="002E2891"/>
    <w:rsid w:val="002E29D0"/>
    <w:rsid w:val="002E29DF"/>
    <w:rsid w:val="002E2A2D"/>
    <w:rsid w:val="002E2DD2"/>
    <w:rsid w:val="002E2E93"/>
    <w:rsid w:val="002E3035"/>
    <w:rsid w:val="002E3291"/>
    <w:rsid w:val="002E3344"/>
    <w:rsid w:val="002E3518"/>
    <w:rsid w:val="002E364F"/>
    <w:rsid w:val="002E37C9"/>
    <w:rsid w:val="002E3848"/>
    <w:rsid w:val="002E3C07"/>
    <w:rsid w:val="002E3E49"/>
    <w:rsid w:val="002E3E65"/>
    <w:rsid w:val="002E3EB1"/>
    <w:rsid w:val="002E3F5F"/>
    <w:rsid w:val="002E4054"/>
    <w:rsid w:val="002E44EE"/>
    <w:rsid w:val="002E451E"/>
    <w:rsid w:val="002E45D6"/>
    <w:rsid w:val="002E478E"/>
    <w:rsid w:val="002E4812"/>
    <w:rsid w:val="002E48D4"/>
    <w:rsid w:val="002E48D6"/>
    <w:rsid w:val="002E4A43"/>
    <w:rsid w:val="002E4A9B"/>
    <w:rsid w:val="002E4AA3"/>
    <w:rsid w:val="002E4B75"/>
    <w:rsid w:val="002E4DEB"/>
    <w:rsid w:val="002E4FBD"/>
    <w:rsid w:val="002E50E9"/>
    <w:rsid w:val="002E51A5"/>
    <w:rsid w:val="002E51DF"/>
    <w:rsid w:val="002E52AA"/>
    <w:rsid w:val="002E542E"/>
    <w:rsid w:val="002E5569"/>
    <w:rsid w:val="002E565B"/>
    <w:rsid w:val="002E5A22"/>
    <w:rsid w:val="002E5CB6"/>
    <w:rsid w:val="002E5E8B"/>
    <w:rsid w:val="002E619A"/>
    <w:rsid w:val="002E6476"/>
    <w:rsid w:val="002E652D"/>
    <w:rsid w:val="002E66B9"/>
    <w:rsid w:val="002E68BD"/>
    <w:rsid w:val="002E6983"/>
    <w:rsid w:val="002E6FE4"/>
    <w:rsid w:val="002E710B"/>
    <w:rsid w:val="002E73D9"/>
    <w:rsid w:val="002E73DC"/>
    <w:rsid w:val="002E7486"/>
    <w:rsid w:val="002E7556"/>
    <w:rsid w:val="002E7582"/>
    <w:rsid w:val="002E760D"/>
    <w:rsid w:val="002E7807"/>
    <w:rsid w:val="002E7889"/>
    <w:rsid w:val="002E78A2"/>
    <w:rsid w:val="002E7914"/>
    <w:rsid w:val="002E7B7F"/>
    <w:rsid w:val="002E7CAA"/>
    <w:rsid w:val="002E7EF8"/>
    <w:rsid w:val="002E7F65"/>
    <w:rsid w:val="002F0186"/>
    <w:rsid w:val="002F01DE"/>
    <w:rsid w:val="002F0234"/>
    <w:rsid w:val="002F02BC"/>
    <w:rsid w:val="002F03BD"/>
    <w:rsid w:val="002F06D4"/>
    <w:rsid w:val="002F070A"/>
    <w:rsid w:val="002F07DD"/>
    <w:rsid w:val="002F0805"/>
    <w:rsid w:val="002F08BA"/>
    <w:rsid w:val="002F0999"/>
    <w:rsid w:val="002F09CC"/>
    <w:rsid w:val="002F09E5"/>
    <w:rsid w:val="002F0A24"/>
    <w:rsid w:val="002F0A36"/>
    <w:rsid w:val="002F0BB6"/>
    <w:rsid w:val="002F0C4E"/>
    <w:rsid w:val="002F0E07"/>
    <w:rsid w:val="002F0E54"/>
    <w:rsid w:val="002F0F9A"/>
    <w:rsid w:val="002F108B"/>
    <w:rsid w:val="002F11F7"/>
    <w:rsid w:val="002F141B"/>
    <w:rsid w:val="002F1477"/>
    <w:rsid w:val="002F14CC"/>
    <w:rsid w:val="002F162C"/>
    <w:rsid w:val="002F17A1"/>
    <w:rsid w:val="002F1891"/>
    <w:rsid w:val="002F1C2B"/>
    <w:rsid w:val="002F1C7F"/>
    <w:rsid w:val="002F1CE1"/>
    <w:rsid w:val="002F1D51"/>
    <w:rsid w:val="002F1E79"/>
    <w:rsid w:val="002F2151"/>
    <w:rsid w:val="002F21B8"/>
    <w:rsid w:val="002F21D3"/>
    <w:rsid w:val="002F2305"/>
    <w:rsid w:val="002F2592"/>
    <w:rsid w:val="002F2668"/>
    <w:rsid w:val="002F266B"/>
    <w:rsid w:val="002F26BE"/>
    <w:rsid w:val="002F276D"/>
    <w:rsid w:val="002F27B0"/>
    <w:rsid w:val="002F2A7C"/>
    <w:rsid w:val="002F2A87"/>
    <w:rsid w:val="002F2ACD"/>
    <w:rsid w:val="002F2AFC"/>
    <w:rsid w:val="002F2B1A"/>
    <w:rsid w:val="002F2D0C"/>
    <w:rsid w:val="002F2E04"/>
    <w:rsid w:val="002F2E22"/>
    <w:rsid w:val="002F2E45"/>
    <w:rsid w:val="002F3003"/>
    <w:rsid w:val="002F3023"/>
    <w:rsid w:val="002F31F2"/>
    <w:rsid w:val="002F3233"/>
    <w:rsid w:val="002F3305"/>
    <w:rsid w:val="002F3488"/>
    <w:rsid w:val="002F35EA"/>
    <w:rsid w:val="002F360B"/>
    <w:rsid w:val="002F3755"/>
    <w:rsid w:val="002F38E2"/>
    <w:rsid w:val="002F38FF"/>
    <w:rsid w:val="002F392B"/>
    <w:rsid w:val="002F395E"/>
    <w:rsid w:val="002F3BB0"/>
    <w:rsid w:val="002F3BC6"/>
    <w:rsid w:val="002F3BF2"/>
    <w:rsid w:val="002F3DC7"/>
    <w:rsid w:val="002F3DF6"/>
    <w:rsid w:val="002F3E07"/>
    <w:rsid w:val="002F3ED1"/>
    <w:rsid w:val="002F3F09"/>
    <w:rsid w:val="002F3F9D"/>
    <w:rsid w:val="002F4057"/>
    <w:rsid w:val="002F4199"/>
    <w:rsid w:val="002F4291"/>
    <w:rsid w:val="002F432A"/>
    <w:rsid w:val="002F4350"/>
    <w:rsid w:val="002F43DC"/>
    <w:rsid w:val="002F44EE"/>
    <w:rsid w:val="002F469E"/>
    <w:rsid w:val="002F487D"/>
    <w:rsid w:val="002F4B83"/>
    <w:rsid w:val="002F4C1D"/>
    <w:rsid w:val="002F4C41"/>
    <w:rsid w:val="002F4C42"/>
    <w:rsid w:val="002F4C73"/>
    <w:rsid w:val="002F4CD9"/>
    <w:rsid w:val="002F4F4A"/>
    <w:rsid w:val="002F5016"/>
    <w:rsid w:val="002F5056"/>
    <w:rsid w:val="002F511B"/>
    <w:rsid w:val="002F538A"/>
    <w:rsid w:val="002F5397"/>
    <w:rsid w:val="002F54A9"/>
    <w:rsid w:val="002F54CD"/>
    <w:rsid w:val="002F54E8"/>
    <w:rsid w:val="002F5575"/>
    <w:rsid w:val="002F5577"/>
    <w:rsid w:val="002F5637"/>
    <w:rsid w:val="002F5884"/>
    <w:rsid w:val="002F5A16"/>
    <w:rsid w:val="002F5C05"/>
    <w:rsid w:val="002F5FA5"/>
    <w:rsid w:val="002F6038"/>
    <w:rsid w:val="002F60A0"/>
    <w:rsid w:val="002F61C5"/>
    <w:rsid w:val="002F61C8"/>
    <w:rsid w:val="002F6356"/>
    <w:rsid w:val="002F63C5"/>
    <w:rsid w:val="002F646B"/>
    <w:rsid w:val="002F6546"/>
    <w:rsid w:val="002F66C6"/>
    <w:rsid w:val="002F6829"/>
    <w:rsid w:val="002F6A03"/>
    <w:rsid w:val="002F6B38"/>
    <w:rsid w:val="002F6D53"/>
    <w:rsid w:val="002F6D87"/>
    <w:rsid w:val="002F6EFC"/>
    <w:rsid w:val="002F7055"/>
    <w:rsid w:val="002F7063"/>
    <w:rsid w:val="002F750C"/>
    <w:rsid w:val="002F766A"/>
    <w:rsid w:val="002F76DF"/>
    <w:rsid w:val="002F76EB"/>
    <w:rsid w:val="002F7745"/>
    <w:rsid w:val="002F7783"/>
    <w:rsid w:val="002F786C"/>
    <w:rsid w:val="002F78BF"/>
    <w:rsid w:val="002F78F3"/>
    <w:rsid w:val="002F7902"/>
    <w:rsid w:val="002F79E1"/>
    <w:rsid w:val="002F7AAA"/>
    <w:rsid w:val="002F7AB6"/>
    <w:rsid w:val="002F7AD6"/>
    <w:rsid w:val="002F7BFF"/>
    <w:rsid w:val="002F7CD2"/>
    <w:rsid w:val="002F7D22"/>
    <w:rsid w:val="002F7D60"/>
    <w:rsid w:val="0030008F"/>
    <w:rsid w:val="00300395"/>
    <w:rsid w:val="003003E4"/>
    <w:rsid w:val="0030052F"/>
    <w:rsid w:val="0030059A"/>
    <w:rsid w:val="00300650"/>
    <w:rsid w:val="00300685"/>
    <w:rsid w:val="0030076B"/>
    <w:rsid w:val="003008FB"/>
    <w:rsid w:val="00300BC8"/>
    <w:rsid w:val="00300C05"/>
    <w:rsid w:val="00301241"/>
    <w:rsid w:val="00301275"/>
    <w:rsid w:val="00301371"/>
    <w:rsid w:val="00301388"/>
    <w:rsid w:val="003014F4"/>
    <w:rsid w:val="0030157F"/>
    <w:rsid w:val="0030160A"/>
    <w:rsid w:val="00301823"/>
    <w:rsid w:val="0030192D"/>
    <w:rsid w:val="00301982"/>
    <w:rsid w:val="00301A83"/>
    <w:rsid w:val="00301AFD"/>
    <w:rsid w:val="00301B05"/>
    <w:rsid w:val="00301CE1"/>
    <w:rsid w:val="00301DDA"/>
    <w:rsid w:val="0030238F"/>
    <w:rsid w:val="003024AC"/>
    <w:rsid w:val="00302516"/>
    <w:rsid w:val="00302665"/>
    <w:rsid w:val="00302675"/>
    <w:rsid w:val="00302769"/>
    <w:rsid w:val="0030278B"/>
    <w:rsid w:val="003027FB"/>
    <w:rsid w:val="00302C8A"/>
    <w:rsid w:val="00302D42"/>
    <w:rsid w:val="00303023"/>
    <w:rsid w:val="0030327D"/>
    <w:rsid w:val="00303429"/>
    <w:rsid w:val="0030343C"/>
    <w:rsid w:val="00303457"/>
    <w:rsid w:val="003034C8"/>
    <w:rsid w:val="0030371B"/>
    <w:rsid w:val="00303729"/>
    <w:rsid w:val="0030383F"/>
    <w:rsid w:val="0030391A"/>
    <w:rsid w:val="00303944"/>
    <w:rsid w:val="00303A20"/>
    <w:rsid w:val="00303A67"/>
    <w:rsid w:val="00303A90"/>
    <w:rsid w:val="00303C8B"/>
    <w:rsid w:val="00303CFF"/>
    <w:rsid w:val="00303D58"/>
    <w:rsid w:val="00303D8C"/>
    <w:rsid w:val="003041EA"/>
    <w:rsid w:val="00304216"/>
    <w:rsid w:val="00304244"/>
    <w:rsid w:val="00304353"/>
    <w:rsid w:val="003043DE"/>
    <w:rsid w:val="00304434"/>
    <w:rsid w:val="0030444C"/>
    <w:rsid w:val="00304619"/>
    <w:rsid w:val="0030467F"/>
    <w:rsid w:val="003046B3"/>
    <w:rsid w:val="003046B5"/>
    <w:rsid w:val="003046FD"/>
    <w:rsid w:val="00304909"/>
    <w:rsid w:val="0030492C"/>
    <w:rsid w:val="00304942"/>
    <w:rsid w:val="00304AE5"/>
    <w:rsid w:val="00304AF8"/>
    <w:rsid w:val="00304DA5"/>
    <w:rsid w:val="00304E7E"/>
    <w:rsid w:val="00304EBE"/>
    <w:rsid w:val="00304ECB"/>
    <w:rsid w:val="00304F56"/>
    <w:rsid w:val="00304F58"/>
    <w:rsid w:val="0030515C"/>
    <w:rsid w:val="00305233"/>
    <w:rsid w:val="00305301"/>
    <w:rsid w:val="00305431"/>
    <w:rsid w:val="003054BA"/>
    <w:rsid w:val="003055BC"/>
    <w:rsid w:val="003055DE"/>
    <w:rsid w:val="0030564C"/>
    <w:rsid w:val="0030569E"/>
    <w:rsid w:val="00305963"/>
    <w:rsid w:val="0030599A"/>
    <w:rsid w:val="00305A78"/>
    <w:rsid w:val="00305BB6"/>
    <w:rsid w:val="00305D76"/>
    <w:rsid w:val="00305D83"/>
    <w:rsid w:val="00305DB9"/>
    <w:rsid w:val="00305E63"/>
    <w:rsid w:val="00305ED4"/>
    <w:rsid w:val="00306069"/>
    <w:rsid w:val="0030614D"/>
    <w:rsid w:val="00306159"/>
    <w:rsid w:val="003061AA"/>
    <w:rsid w:val="00306363"/>
    <w:rsid w:val="00306560"/>
    <w:rsid w:val="003066B4"/>
    <w:rsid w:val="00306728"/>
    <w:rsid w:val="00306751"/>
    <w:rsid w:val="00306867"/>
    <w:rsid w:val="00306AB1"/>
    <w:rsid w:val="00306AEC"/>
    <w:rsid w:val="00306BFB"/>
    <w:rsid w:val="00306C1D"/>
    <w:rsid w:val="00306CCD"/>
    <w:rsid w:val="003070D9"/>
    <w:rsid w:val="003071C6"/>
    <w:rsid w:val="003071D9"/>
    <w:rsid w:val="00307214"/>
    <w:rsid w:val="0030730E"/>
    <w:rsid w:val="00307650"/>
    <w:rsid w:val="00307690"/>
    <w:rsid w:val="003077DA"/>
    <w:rsid w:val="003078F2"/>
    <w:rsid w:val="00307999"/>
    <w:rsid w:val="00307A5B"/>
    <w:rsid w:val="00307A65"/>
    <w:rsid w:val="00307C92"/>
    <w:rsid w:val="00307C9F"/>
    <w:rsid w:val="00307E65"/>
    <w:rsid w:val="00307F09"/>
    <w:rsid w:val="00310158"/>
    <w:rsid w:val="00310251"/>
    <w:rsid w:val="00310382"/>
    <w:rsid w:val="0031073C"/>
    <w:rsid w:val="003107F5"/>
    <w:rsid w:val="00310A8F"/>
    <w:rsid w:val="00310B42"/>
    <w:rsid w:val="00310F9B"/>
    <w:rsid w:val="00310FC6"/>
    <w:rsid w:val="00311057"/>
    <w:rsid w:val="00311086"/>
    <w:rsid w:val="003110C8"/>
    <w:rsid w:val="003110EC"/>
    <w:rsid w:val="003111F9"/>
    <w:rsid w:val="00311268"/>
    <w:rsid w:val="0031131C"/>
    <w:rsid w:val="003113BC"/>
    <w:rsid w:val="003114C0"/>
    <w:rsid w:val="003118F8"/>
    <w:rsid w:val="00311AE4"/>
    <w:rsid w:val="00311B64"/>
    <w:rsid w:val="00311BA1"/>
    <w:rsid w:val="00311C7E"/>
    <w:rsid w:val="00311DBF"/>
    <w:rsid w:val="00311E5B"/>
    <w:rsid w:val="00311E7A"/>
    <w:rsid w:val="00312009"/>
    <w:rsid w:val="00312111"/>
    <w:rsid w:val="00312197"/>
    <w:rsid w:val="0031237D"/>
    <w:rsid w:val="003125BB"/>
    <w:rsid w:val="00312761"/>
    <w:rsid w:val="00312A7E"/>
    <w:rsid w:val="00312B54"/>
    <w:rsid w:val="00312B8A"/>
    <w:rsid w:val="00312D4D"/>
    <w:rsid w:val="00312EFC"/>
    <w:rsid w:val="00312F1C"/>
    <w:rsid w:val="00312F87"/>
    <w:rsid w:val="00312FAF"/>
    <w:rsid w:val="00312FEF"/>
    <w:rsid w:val="003133EC"/>
    <w:rsid w:val="003134AA"/>
    <w:rsid w:val="0031375D"/>
    <w:rsid w:val="003139AD"/>
    <w:rsid w:val="00313B47"/>
    <w:rsid w:val="00313B7D"/>
    <w:rsid w:val="00313C40"/>
    <w:rsid w:val="00314293"/>
    <w:rsid w:val="003144A5"/>
    <w:rsid w:val="003144DA"/>
    <w:rsid w:val="00314583"/>
    <w:rsid w:val="003146F8"/>
    <w:rsid w:val="00314B0B"/>
    <w:rsid w:val="00314C54"/>
    <w:rsid w:val="00314D7A"/>
    <w:rsid w:val="00315150"/>
    <w:rsid w:val="0031526B"/>
    <w:rsid w:val="0031528C"/>
    <w:rsid w:val="00315293"/>
    <w:rsid w:val="00315297"/>
    <w:rsid w:val="003154B9"/>
    <w:rsid w:val="0031555D"/>
    <w:rsid w:val="003155CC"/>
    <w:rsid w:val="00315628"/>
    <w:rsid w:val="0031589E"/>
    <w:rsid w:val="00315920"/>
    <w:rsid w:val="00315B7B"/>
    <w:rsid w:val="00315CFD"/>
    <w:rsid w:val="00315D46"/>
    <w:rsid w:val="00315E95"/>
    <w:rsid w:val="00315EEF"/>
    <w:rsid w:val="00315F30"/>
    <w:rsid w:val="00315F64"/>
    <w:rsid w:val="00315F97"/>
    <w:rsid w:val="003161E8"/>
    <w:rsid w:val="003161F2"/>
    <w:rsid w:val="0031624B"/>
    <w:rsid w:val="003164D3"/>
    <w:rsid w:val="00316614"/>
    <w:rsid w:val="003167D9"/>
    <w:rsid w:val="0031681E"/>
    <w:rsid w:val="0031684E"/>
    <w:rsid w:val="003168FA"/>
    <w:rsid w:val="00316B02"/>
    <w:rsid w:val="00316D26"/>
    <w:rsid w:val="00316D5F"/>
    <w:rsid w:val="00316DC4"/>
    <w:rsid w:val="00316F33"/>
    <w:rsid w:val="00316F8E"/>
    <w:rsid w:val="003170A5"/>
    <w:rsid w:val="0031726C"/>
    <w:rsid w:val="00317383"/>
    <w:rsid w:val="003175CA"/>
    <w:rsid w:val="003175ED"/>
    <w:rsid w:val="003176C8"/>
    <w:rsid w:val="003177E5"/>
    <w:rsid w:val="00317861"/>
    <w:rsid w:val="00317905"/>
    <w:rsid w:val="00317BBC"/>
    <w:rsid w:val="00317D5F"/>
    <w:rsid w:val="0032003A"/>
    <w:rsid w:val="00320067"/>
    <w:rsid w:val="00320117"/>
    <w:rsid w:val="00320157"/>
    <w:rsid w:val="00320255"/>
    <w:rsid w:val="003202F6"/>
    <w:rsid w:val="00320348"/>
    <w:rsid w:val="00320431"/>
    <w:rsid w:val="00320450"/>
    <w:rsid w:val="00320573"/>
    <w:rsid w:val="00320797"/>
    <w:rsid w:val="003207B4"/>
    <w:rsid w:val="00320908"/>
    <w:rsid w:val="00320930"/>
    <w:rsid w:val="0032093D"/>
    <w:rsid w:val="00320AE0"/>
    <w:rsid w:val="00320B0E"/>
    <w:rsid w:val="00320CE4"/>
    <w:rsid w:val="00320DA4"/>
    <w:rsid w:val="00320F77"/>
    <w:rsid w:val="0032102F"/>
    <w:rsid w:val="0032104D"/>
    <w:rsid w:val="003210B8"/>
    <w:rsid w:val="00321101"/>
    <w:rsid w:val="00321125"/>
    <w:rsid w:val="003211B1"/>
    <w:rsid w:val="003214B2"/>
    <w:rsid w:val="0032152F"/>
    <w:rsid w:val="00321632"/>
    <w:rsid w:val="0032166E"/>
    <w:rsid w:val="00321724"/>
    <w:rsid w:val="00321759"/>
    <w:rsid w:val="00321832"/>
    <w:rsid w:val="00321897"/>
    <w:rsid w:val="0032196C"/>
    <w:rsid w:val="00321B6C"/>
    <w:rsid w:val="00321C62"/>
    <w:rsid w:val="00321EDF"/>
    <w:rsid w:val="00321F08"/>
    <w:rsid w:val="00322052"/>
    <w:rsid w:val="00322090"/>
    <w:rsid w:val="003220F5"/>
    <w:rsid w:val="00322258"/>
    <w:rsid w:val="003222E6"/>
    <w:rsid w:val="003226F9"/>
    <w:rsid w:val="003226FA"/>
    <w:rsid w:val="00322767"/>
    <w:rsid w:val="0032285D"/>
    <w:rsid w:val="00322917"/>
    <w:rsid w:val="00322A33"/>
    <w:rsid w:val="00322B78"/>
    <w:rsid w:val="00322DE5"/>
    <w:rsid w:val="00322E9F"/>
    <w:rsid w:val="00322F50"/>
    <w:rsid w:val="00322FE0"/>
    <w:rsid w:val="00323567"/>
    <w:rsid w:val="0032365B"/>
    <w:rsid w:val="00323680"/>
    <w:rsid w:val="0032371E"/>
    <w:rsid w:val="00323754"/>
    <w:rsid w:val="00323766"/>
    <w:rsid w:val="003237AE"/>
    <w:rsid w:val="00323A87"/>
    <w:rsid w:val="00323AEE"/>
    <w:rsid w:val="00323E17"/>
    <w:rsid w:val="00323EB0"/>
    <w:rsid w:val="00323F90"/>
    <w:rsid w:val="00323FD3"/>
    <w:rsid w:val="00324214"/>
    <w:rsid w:val="003242FF"/>
    <w:rsid w:val="003244E9"/>
    <w:rsid w:val="00324768"/>
    <w:rsid w:val="00324A48"/>
    <w:rsid w:val="00324A53"/>
    <w:rsid w:val="00324ABF"/>
    <w:rsid w:val="00324B2E"/>
    <w:rsid w:val="00324C5C"/>
    <w:rsid w:val="00324D90"/>
    <w:rsid w:val="00324F1A"/>
    <w:rsid w:val="003250FC"/>
    <w:rsid w:val="00325240"/>
    <w:rsid w:val="0032528A"/>
    <w:rsid w:val="0032532E"/>
    <w:rsid w:val="003253A4"/>
    <w:rsid w:val="00325529"/>
    <w:rsid w:val="0032558F"/>
    <w:rsid w:val="0032560B"/>
    <w:rsid w:val="00325687"/>
    <w:rsid w:val="003256DB"/>
    <w:rsid w:val="0032573E"/>
    <w:rsid w:val="0032592A"/>
    <w:rsid w:val="00325954"/>
    <w:rsid w:val="0032599C"/>
    <w:rsid w:val="00325B84"/>
    <w:rsid w:val="00325DB0"/>
    <w:rsid w:val="00325E8C"/>
    <w:rsid w:val="00325F0D"/>
    <w:rsid w:val="00325F73"/>
    <w:rsid w:val="00325F75"/>
    <w:rsid w:val="00325FC6"/>
    <w:rsid w:val="003263D2"/>
    <w:rsid w:val="003265EB"/>
    <w:rsid w:val="00326640"/>
    <w:rsid w:val="00326991"/>
    <w:rsid w:val="00326B4A"/>
    <w:rsid w:val="00326CAE"/>
    <w:rsid w:val="00326CCD"/>
    <w:rsid w:val="00326E3D"/>
    <w:rsid w:val="00326EE8"/>
    <w:rsid w:val="00326F19"/>
    <w:rsid w:val="00327022"/>
    <w:rsid w:val="0032744C"/>
    <w:rsid w:val="003276B9"/>
    <w:rsid w:val="003276DC"/>
    <w:rsid w:val="0032781B"/>
    <w:rsid w:val="00330010"/>
    <w:rsid w:val="0033003E"/>
    <w:rsid w:val="00330045"/>
    <w:rsid w:val="0033021E"/>
    <w:rsid w:val="0033059A"/>
    <w:rsid w:val="003305B1"/>
    <w:rsid w:val="003305EC"/>
    <w:rsid w:val="003305FB"/>
    <w:rsid w:val="00330633"/>
    <w:rsid w:val="00330639"/>
    <w:rsid w:val="003306AA"/>
    <w:rsid w:val="00330758"/>
    <w:rsid w:val="00330777"/>
    <w:rsid w:val="00330848"/>
    <w:rsid w:val="00330954"/>
    <w:rsid w:val="0033095C"/>
    <w:rsid w:val="00330C91"/>
    <w:rsid w:val="00330CEA"/>
    <w:rsid w:val="00330F97"/>
    <w:rsid w:val="00330FCD"/>
    <w:rsid w:val="00330FDD"/>
    <w:rsid w:val="003310B4"/>
    <w:rsid w:val="003311F4"/>
    <w:rsid w:val="003312BF"/>
    <w:rsid w:val="0033134C"/>
    <w:rsid w:val="003313B1"/>
    <w:rsid w:val="003314B0"/>
    <w:rsid w:val="00331511"/>
    <w:rsid w:val="0033163B"/>
    <w:rsid w:val="0033176D"/>
    <w:rsid w:val="00331771"/>
    <w:rsid w:val="00331B7F"/>
    <w:rsid w:val="00331CC3"/>
    <w:rsid w:val="003320A7"/>
    <w:rsid w:val="0033229F"/>
    <w:rsid w:val="003323EA"/>
    <w:rsid w:val="00332439"/>
    <w:rsid w:val="003324BF"/>
    <w:rsid w:val="003324F9"/>
    <w:rsid w:val="003327D5"/>
    <w:rsid w:val="0033283C"/>
    <w:rsid w:val="00332954"/>
    <w:rsid w:val="00332961"/>
    <w:rsid w:val="00332BDD"/>
    <w:rsid w:val="00332C35"/>
    <w:rsid w:val="00332D08"/>
    <w:rsid w:val="00332D33"/>
    <w:rsid w:val="00332FB0"/>
    <w:rsid w:val="00333301"/>
    <w:rsid w:val="00333622"/>
    <w:rsid w:val="00333680"/>
    <w:rsid w:val="003336A5"/>
    <w:rsid w:val="0033380C"/>
    <w:rsid w:val="00333865"/>
    <w:rsid w:val="00333BFD"/>
    <w:rsid w:val="00333CE3"/>
    <w:rsid w:val="00333DC9"/>
    <w:rsid w:val="00333E19"/>
    <w:rsid w:val="00333E55"/>
    <w:rsid w:val="00333FE0"/>
    <w:rsid w:val="00334024"/>
    <w:rsid w:val="0033451A"/>
    <w:rsid w:val="0033455C"/>
    <w:rsid w:val="0033457C"/>
    <w:rsid w:val="00334705"/>
    <w:rsid w:val="00334779"/>
    <w:rsid w:val="003349DA"/>
    <w:rsid w:val="00334A4D"/>
    <w:rsid w:val="00334AE6"/>
    <w:rsid w:val="00334B37"/>
    <w:rsid w:val="00334CAA"/>
    <w:rsid w:val="00334DA0"/>
    <w:rsid w:val="00334E6E"/>
    <w:rsid w:val="00334EB2"/>
    <w:rsid w:val="00334F19"/>
    <w:rsid w:val="00334FEF"/>
    <w:rsid w:val="003350CC"/>
    <w:rsid w:val="00335138"/>
    <w:rsid w:val="003353CB"/>
    <w:rsid w:val="00335494"/>
    <w:rsid w:val="003355BE"/>
    <w:rsid w:val="003356E7"/>
    <w:rsid w:val="00335A57"/>
    <w:rsid w:val="00335AE5"/>
    <w:rsid w:val="00335B81"/>
    <w:rsid w:val="00335CF2"/>
    <w:rsid w:val="00335D9C"/>
    <w:rsid w:val="00335ED5"/>
    <w:rsid w:val="003361E3"/>
    <w:rsid w:val="0033628E"/>
    <w:rsid w:val="003362EE"/>
    <w:rsid w:val="003364A9"/>
    <w:rsid w:val="00336573"/>
    <w:rsid w:val="003366F8"/>
    <w:rsid w:val="003367B3"/>
    <w:rsid w:val="003369C1"/>
    <w:rsid w:val="003369CD"/>
    <w:rsid w:val="00336DDE"/>
    <w:rsid w:val="00336E91"/>
    <w:rsid w:val="00336F8D"/>
    <w:rsid w:val="0033719B"/>
    <w:rsid w:val="00337401"/>
    <w:rsid w:val="003374B5"/>
    <w:rsid w:val="00337532"/>
    <w:rsid w:val="003375CD"/>
    <w:rsid w:val="0033778F"/>
    <w:rsid w:val="00337AA9"/>
    <w:rsid w:val="00337AF6"/>
    <w:rsid w:val="00337AFE"/>
    <w:rsid w:val="00337C6A"/>
    <w:rsid w:val="00337D21"/>
    <w:rsid w:val="00337DB0"/>
    <w:rsid w:val="00340136"/>
    <w:rsid w:val="003401D8"/>
    <w:rsid w:val="003402D6"/>
    <w:rsid w:val="00340573"/>
    <w:rsid w:val="00340827"/>
    <w:rsid w:val="00340A3C"/>
    <w:rsid w:val="00340BA4"/>
    <w:rsid w:val="00340BE5"/>
    <w:rsid w:val="00340CF1"/>
    <w:rsid w:val="00340DD0"/>
    <w:rsid w:val="00340E38"/>
    <w:rsid w:val="003410C0"/>
    <w:rsid w:val="00341279"/>
    <w:rsid w:val="00341287"/>
    <w:rsid w:val="003413A7"/>
    <w:rsid w:val="003414EB"/>
    <w:rsid w:val="003414EF"/>
    <w:rsid w:val="00341810"/>
    <w:rsid w:val="003419FC"/>
    <w:rsid w:val="00341B84"/>
    <w:rsid w:val="00341DE9"/>
    <w:rsid w:val="00341E2A"/>
    <w:rsid w:val="00341F45"/>
    <w:rsid w:val="00341F9E"/>
    <w:rsid w:val="00342049"/>
    <w:rsid w:val="00342091"/>
    <w:rsid w:val="003421B4"/>
    <w:rsid w:val="003421E9"/>
    <w:rsid w:val="00342294"/>
    <w:rsid w:val="003423DE"/>
    <w:rsid w:val="003424F1"/>
    <w:rsid w:val="0034253B"/>
    <w:rsid w:val="00342570"/>
    <w:rsid w:val="00342701"/>
    <w:rsid w:val="00342A4F"/>
    <w:rsid w:val="00342B71"/>
    <w:rsid w:val="00342BAB"/>
    <w:rsid w:val="00342C33"/>
    <w:rsid w:val="00342DA6"/>
    <w:rsid w:val="00342DFB"/>
    <w:rsid w:val="00342E1A"/>
    <w:rsid w:val="00342EB2"/>
    <w:rsid w:val="00343001"/>
    <w:rsid w:val="0034304B"/>
    <w:rsid w:val="003431EA"/>
    <w:rsid w:val="003431F5"/>
    <w:rsid w:val="003438F4"/>
    <w:rsid w:val="0034393A"/>
    <w:rsid w:val="003439C6"/>
    <w:rsid w:val="00343A06"/>
    <w:rsid w:val="00343A8D"/>
    <w:rsid w:val="00343ADD"/>
    <w:rsid w:val="00343B36"/>
    <w:rsid w:val="00343B68"/>
    <w:rsid w:val="00343C46"/>
    <w:rsid w:val="00343E64"/>
    <w:rsid w:val="00343E6E"/>
    <w:rsid w:val="00344023"/>
    <w:rsid w:val="003440D7"/>
    <w:rsid w:val="003442FE"/>
    <w:rsid w:val="00344316"/>
    <w:rsid w:val="00344330"/>
    <w:rsid w:val="0034435C"/>
    <w:rsid w:val="00344367"/>
    <w:rsid w:val="0034445E"/>
    <w:rsid w:val="0034450E"/>
    <w:rsid w:val="003445C3"/>
    <w:rsid w:val="00344694"/>
    <w:rsid w:val="00344708"/>
    <w:rsid w:val="00344836"/>
    <w:rsid w:val="00344953"/>
    <w:rsid w:val="00344B0F"/>
    <w:rsid w:val="00344BFB"/>
    <w:rsid w:val="00344C8A"/>
    <w:rsid w:val="00344E62"/>
    <w:rsid w:val="00344ED7"/>
    <w:rsid w:val="00345295"/>
    <w:rsid w:val="003453EB"/>
    <w:rsid w:val="003453ED"/>
    <w:rsid w:val="00345413"/>
    <w:rsid w:val="0034552F"/>
    <w:rsid w:val="00345557"/>
    <w:rsid w:val="003455A1"/>
    <w:rsid w:val="003455DA"/>
    <w:rsid w:val="003457E9"/>
    <w:rsid w:val="00345B1C"/>
    <w:rsid w:val="00345B8B"/>
    <w:rsid w:val="00345CB2"/>
    <w:rsid w:val="00345CB9"/>
    <w:rsid w:val="00345CEE"/>
    <w:rsid w:val="00345F25"/>
    <w:rsid w:val="00346156"/>
    <w:rsid w:val="003461F9"/>
    <w:rsid w:val="00346208"/>
    <w:rsid w:val="0034629C"/>
    <w:rsid w:val="0034634D"/>
    <w:rsid w:val="00346420"/>
    <w:rsid w:val="003464E8"/>
    <w:rsid w:val="00346503"/>
    <w:rsid w:val="00346571"/>
    <w:rsid w:val="0034657D"/>
    <w:rsid w:val="003468E4"/>
    <w:rsid w:val="00346A13"/>
    <w:rsid w:val="00346A29"/>
    <w:rsid w:val="00346A2A"/>
    <w:rsid w:val="00346BAB"/>
    <w:rsid w:val="00346DA6"/>
    <w:rsid w:val="00346DE6"/>
    <w:rsid w:val="00346E78"/>
    <w:rsid w:val="00346F1F"/>
    <w:rsid w:val="00346F4B"/>
    <w:rsid w:val="00346F93"/>
    <w:rsid w:val="00346FDC"/>
    <w:rsid w:val="003470E3"/>
    <w:rsid w:val="0034736F"/>
    <w:rsid w:val="00347399"/>
    <w:rsid w:val="00347413"/>
    <w:rsid w:val="0034745D"/>
    <w:rsid w:val="0034753B"/>
    <w:rsid w:val="003475B9"/>
    <w:rsid w:val="003477DB"/>
    <w:rsid w:val="00347894"/>
    <w:rsid w:val="00347A1F"/>
    <w:rsid w:val="00347D46"/>
    <w:rsid w:val="00347FD2"/>
    <w:rsid w:val="00350206"/>
    <w:rsid w:val="00350294"/>
    <w:rsid w:val="003502A4"/>
    <w:rsid w:val="003502BA"/>
    <w:rsid w:val="00350319"/>
    <w:rsid w:val="003503C6"/>
    <w:rsid w:val="003504FB"/>
    <w:rsid w:val="00350555"/>
    <w:rsid w:val="00350679"/>
    <w:rsid w:val="0035071E"/>
    <w:rsid w:val="003507CB"/>
    <w:rsid w:val="00350DD2"/>
    <w:rsid w:val="00350EC7"/>
    <w:rsid w:val="00350EF9"/>
    <w:rsid w:val="00350F71"/>
    <w:rsid w:val="00350FFC"/>
    <w:rsid w:val="0035107A"/>
    <w:rsid w:val="00351087"/>
    <w:rsid w:val="003510E1"/>
    <w:rsid w:val="00351105"/>
    <w:rsid w:val="0035112A"/>
    <w:rsid w:val="0035112E"/>
    <w:rsid w:val="003513D5"/>
    <w:rsid w:val="0035149D"/>
    <w:rsid w:val="00351552"/>
    <w:rsid w:val="00351559"/>
    <w:rsid w:val="00351730"/>
    <w:rsid w:val="003517B6"/>
    <w:rsid w:val="00351B89"/>
    <w:rsid w:val="00351D06"/>
    <w:rsid w:val="00351DE1"/>
    <w:rsid w:val="00351E4A"/>
    <w:rsid w:val="00351EB5"/>
    <w:rsid w:val="00352024"/>
    <w:rsid w:val="003520D6"/>
    <w:rsid w:val="003522B2"/>
    <w:rsid w:val="003524A8"/>
    <w:rsid w:val="003524B1"/>
    <w:rsid w:val="003524C7"/>
    <w:rsid w:val="00352571"/>
    <w:rsid w:val="003525DE"/>
    <w:rsid w:val="00352601"/>
    <w:rsid w:val="0035264C"/>
    <w:rsid w:val="00352708"/>
    <w:rsid w:val="00352A0B"/>
    <w:rsid w:val="00352B1D"/>
    <w:rsid w:val="00352BBC"/>
    <w:rsid w:val="00352CA5"/>
    <w:rsid w:val="00352D71"/>
    <w:rsid w:val="00352E83"/>
    <w:rsid w:val="0035310D"/>
    <w:rsid w:val="00353251"/>
    <w:rsid w:val="003532AF"/>
    <w:rsid w:val="003532C7"/>
    <w:rsid w:val="003533C0"/>
    <w:rsid w:val="00353496"/>
    <w:rsid w:val="003535D9"/>
    <w:rsid w:val="00353682"/>
    <w:rsid w:val="00353A3C"/>
    <w:rsid w:val="00353A67"/>
    <w:rsid w:val="00353B38"/>
    <w:rsid w:val="00353C4F"/>
    <w:rsid w:val="00353CD6"/>
    <w:rsid w:val="00353D42"/>
    <w:rsid w:val="00353D90"/>
    <w:rsid w:val="00353E96"/>
    <w:rsid w:val="00354105"/>
    <w:rsid w:val="0035424A"/>
    <w:rsid w:val="00354264"/>
    <w:rsid w:val="003542CA"/>
    <w:rsid w:val="0035446A"/>
    <w:rsid w:val="00354589"/>
    <w:rsid w:val="003545B1"/>
    <w:rsid w:val="0035469C"/>
    <w:rsid w:val="003546D9"/>
    <w:rsid w:val="003546E3"/>
    <w:rsid w:val="003546FC"/>
    <w:rsid w:val="0035482A"/>
    <w:rsid w:val="00354936"/>
    <w:rsid w:val="00354968"/>
    <w:rsid w:val="003549B7"/>
    <w:rsid w:val="00354A0C"/>
    <w:rsid w:val="00354A86"/>
    <w:rsid w:val="00354ACF"/>
    <w:rsid w:val="00354DD8"/>
    <w:rsid w:val="00354DEB"/>
    <w:rsid w:val="00354E55"/>
    <w:rsid w:val="00354E84"/>
    <w:rsid w:val="00355020"/>
    <w:rsid w:val="00355214"/>
    <w:rsid w:val="0035547A"/>
    <w:rsid w:val="003554EB"/>
    <w:rsid w:val="00355643"/>
    <w:rsid w:val="0035567C"/>
    <w:rsid w:val="00355714"/>
    <w:rsid w:val="0035585E"/>
    <w:rsid w:val="0035586D"/>
    <w:rsid w:val="003558FE"/>
    <w:rsid w:val="00355BA3"/>
    <w:rsid w:val="00355EE6"/>
    <w:rsid w:val="00356087"/>
    <w:rsid w:val="0035609E"/>
    <w:rsid w:val="003562D8"/>
    <w:rsid w:val="003562FA"/>
    <w:rsid w:val="00356304"/>
    <w:rsid w:val="0035636A"/>
    <w:rsid w:val="0035637E"/>
    <w:rsid w:val="003563E5"/>
    <w:rsid w:val="00356465"/>
    <w:rsid w:val="003566C7"/>
    <w:rsid w:val="003567DE"/>
    <w:rsid w:val="003568E5"/>
    <w:rsid w:val="003568EA"/>
    <w:rsid w:val="0035695D"/>
    <w:rsid w:val="003569E3"/>
    <w:rsid w:val="00356A44"/>
    <w:rsid w:val="00356A6A"/>
    <w:rsid w:val="00356A9F"/>
    <w:rsid w:val="00356AB8"/>
    <w:rsid w:val="00356B22"/>
    <w:rsid w:val="00356BC2"/>
    <w:rsid w:val="00356C00"/>
    <w:rsid w:val="00356CBA"/>
    <w:rsid w:val="00356E3D"/>
    <w:rsid w:val="00356F39"/>
    <w:rsid w:val="003572BC"/>
    <w:rsid w:val="00357392"/>
    <w:rsid w:val="0035759B"/>
    <w:rsid w:val="003576D7"/>
    <w:rsid w:val="003576D9"/>
    <w:rsid w:val="0035774B"/>
    <w:rsid w:val="00357791"/>
    <w:rsid w:val="00357878"/>
    <w:rsid w:val="003578B8"/>
    <w:rsid w:val="0035797A"/>
    <w:rsid w:val="003579E5"/>
    <w:rsid w:val="00357AD0"/>
    <w:rsid w:val="00357EBF"/>
    <w:rsid w:val="00357ECA"/>
    <w:rsid w:val="00357ECE"/>
    <w:rsid w:val="00360027"/>
    <w:rsid w:val="00360179"/>
    <w:rsid w:val="00360278"/>
    <w:rsid w:val="003602C5"/>
    <w:rsid w:val="0036031E"/>
    <w:rsid w:val="0036039F"/>
    <w:rsid w:val="00360400"/>
    <w:rsid w:val="0036047B"/>
    <w:rsid w:val="003604CF"/>
    <w:rsid w:val="00360510"/>
    <w:rsid w:val="00360DC4"/>
    <w:rsid w:val="00360E02"/>
    <w:rsid w:val="00360F06"/>
    <w:rsid w:val="00360F21"/>
    <w:rsid w:val="00360FEC"/>
    <w:rsid w:val="00360FF6"/>
    <w:rsid w:val="0036101B"/>
    <w:rsid w:val="00361150"/>
    <w:rsid w:val="003611E0"/>
    <w:rsid w:val="00361687"/>
    <w:rsid w:val="003616F0"/>
    <w:rsid w:val="00361768"/>
    <w:rsid w:val="003617B2"/>
    <w:rsid w:val="00361865"/>
    <w:rsid w:val="00361A0C"/>
    <w:rsid w:val="00361A1B"/>
    <w:rsid w:val="00361AE1"/>
    <w:rsid w:val="00361B7A"/>
    <w:rsid w:val="00361CF2"/>
    <w:rsid w:val="00361D0E"/>
    <w:rsid w:val="00361D6E"/>
    <w:rsid w:val="00361D81"/>
    <w:rsid w:val="00361E3B"/>
    <w:rsid w:val="00361F1D"/>
    <w:rsid w:val="00361F84"/>
    <w:rsid w:val="00361F85"/>
    <w:rsid w:val="00362041"/>
    <w:rsid w:val="003620BA"/>
    <w:rsid w:val="0036214F"/>
    <w:rsid w:val="0036218A"/>
    <w:rsid w:val="0036219A"/>
    <w:rsid w:val="00362401"/>
    <w:rsid w:val="003624A6"/>
    <w:rsid w:val="003625E6"/>
    <w:rsid w:val="00362640"/>
    <w:rsid w:val="00362655"/>
    <w:rsid w:val="00362720"/>
    <w:rsid w:val="0036279F"/>
    <w:rsid w:val="0036281E"/>
    <w:rsid w:val="003628A9"/>
    <w:rsid w:val="00362990"/>
    <w:rsid w:val="00362AB0"/>
    <w:rsid w:val="00362EB2"/>
    <w:rsid w:val="00362EE5"/>
    <w:rsid w:val="00362FB5"/>
    <w:rsid w:val="0036326A"/>
    <w:rsid w:val="0036332A"/>
    <w:rsid w:val="00363423"/>
    <w:rsid w:val="003634A5"/>
    <w:rsid w:val="003634CF"/>
    <w:rsid w:val="003634FF"/>
    <w:rsid w:val="003637B1"/>
    <w:rsid w:val="003637DF"/>
    <w:rsid w:val="0036390A"/>
    <w:rsid w:val="00363BE7"/>
    <w:rsid w:val="00363C0E"/>
    <w:rsid w:val="00363FCA"/>
    <w:rsid w:val="00363FCF"/>
    <w:rsid w:val="003640B4"/>
    <w:rsid w:val="003640E6"/>
    <w:rsid w:val="0036419C"/>
    <w:rsid w:val="00364386"/>
    <w:rsid w:val="00364492"/>
    <w:rsid w:val="00364575"/>
    <w:rsid w:val="00364761"/>
    <w:rsid w:val="003647E8"/>
    <w:rsid w:val="00364876"/>
    <w:rsid w:val="00364A06"/>
    <w:rsid w:val="00364A97"/>
    <w:rsid w:val="00364B2B"/>
    <w:rsid w:val="00364B74"/>
    <w:rsid w:val="00364D9A"/>
    <w:rsid w:val="00364F15"/>
    <w:rsid w:val="00364F8D"/>
    <w:rsid w:val="00365246"/>
    <w:rsid w:val="003652CF"/>
    <w:rsid w:val="003653F8"/>
    <w:rsid w:val="00365571"/>
    <w:rsid w:val="0036558D"/>
    <w:rsid w:val="0036567F"/>
    <w:rsid w:val="003656C3"/>
    <w:rsid w:val="003656FE"/>
    <w:rsid w:val="003657C3"/>
    <w:rsid w:val="003658DA"/>
    <w:rsid w:val="00365925"/>
    <w:rsid w:val="00365995"/>
    <w:rsid w:val="003659E1"/>
    <w:rsid w:val="00365B89"/>
    <w:rsid w:val="00365C17"/>
    <w:rsid w:val="00365C50"/>
    <w:rsid w:val="00365C8F"/>
    <w:rsid w:val="00365E18"/>
    <w:rsid w:val="00365E2D"/>
    <w:rsid w:val="00365FE0"/>
    <w:rsid w:val="003660AA"/>
    <w:rsid w:val="003662EF"/>
    <w:rsid w:val="0036640B"/>
    <w:rsid w:val="00366480"/>
    <w:rsid w:val="00366483"/>
    <w:rsid w:val="003664EB"/>
    <w:rsid w:val="003665D6"/>
    <w:rsid w:val="0036678F"/>
    <w:rsid w:val="00366C79"/>
    <w:rsid w:val="00366EC8"/>
    <w:rsid w:val="00366F02"/>
    <w:rsid w:val="00366FFF"/>
    <w:rsid w:val="003672F1"/>
    <w:rsid w:val="00367588"/>
    <w:rsid w:val="003675AF"/>
    <w:rsid w:val="003675E5"/>
    <w:rsid w:val="003676B0"/>
    <w:rsid w:val="003676FA"/>
    <w:rsid w:val="00367CA2"/>
    <w:rsid w:val="00367D00"/>
    <w:rsid w:val="00367D2D"/>
    <w:rsid w:val="00367E13"/>
    <w:rsid w:val="00367E2D"/>
    <w:rsid w:val="00367E8B"/>
    <w:rsid w:val="00367FE1"/>
    <w:rsid w:val="00370105"/>
    <w:rsid w:val="00370239"/>
    <w:rsid w:val="00370365"/>
    <w:rsid w:val="003703BC"/>
    <w:rsid w:val="003704EC"/>
    <w:rsid w:val="003705F7"/>
    <w:rsid w:val="003707AC"/>
    <w:rsid w:val="003707FB"/>
    <w:rsid w:val="00370D87"/>
    <w:rsid w:val="00370F43"/>
    <w:rsid w:val="00370FA7"/>
    <w:rsid w:val="0037100A"/>
    <w:rsid w:val="00371151"/>
    <w:rsid w:val="003711D0"/>
    <w:rsid w:val="0037121E"/>
    <w:rsid w:val="00371237"/>
    <w:rsid w:val="0037126B"/>
    <w:rsid w:val="0037148D"/>
    <w:rsid w:val="003715B1"/>
    <w:rsid w:val="003715B8"/>
    <w:rsid w:val="003715E1"/>
    <w:rsid w:val="00371749"/>
    <w:rsid w:val="00371BC7"/>
    <w:rsid w:val="00371BD5"/>
    <w:rsid w:val="00371BF0"/>
    <w:rsid w:val="00371BFE"/>
    <w:rsid w:val="00371F0C"/>
    <w:rsid w:val="00372002"/>
    <w:rsid w:val="003722D6"/>
    <w:rsid w:val="003724D8"/>
    <w:rsid w:val="0037251B"/>
    <w:rsid w:val="00372531"/>
    <w:rsid w:val="0037261B"/>
    <w:rsid w:val="00372651"/>
    <w:rsid w:val="0037267D"/>
    <w:rsid w:val="003726BA"/>
    <w:rsid w:val="00372706"/>
    <w:rsid w:val="00372A58"/>
    <w:rsid w:val="00372D26"/>
    <w:rsid w:val="00372D7F"/>
    <w:rsid w:val="00372D90"/>
    <w:rsid w:val="00372F8A"/>
    <w:rsid w:val="00373154"/>
    <w:rsid w:val="003734B4"/>
    <w:rsid w:val="003734D4"/>
    <w:rsid w:val="0037350C"/>
    <w:rsid w:val="0037353D"/>
    <w:rsid w:val="00373673"/>
    <w:rsid w:val="003736C3"/>
    <w:rsid w:val="003738D2"/>
    <w:rsid w:val="00373968"/>
    <w:rsid w:val="00373A9E"/>
    <w:rsid w:val="00373B81"/>
    <w:rsid w:val="00373C2B"/>
    <w:rsid w:val="00373C6C"/>
    <w:rsid w:val="00373CAF"/>
    <w:rsid w:val="0037456F"/>
    <w:rsid w:val="003745A3"/>
    <w:rsid w:val="0037469B"/>
    <w:rsid w:val="003746B9"/>
    <w:rsid w:val="003746E8"/>
    <w:rsid w:val="00374834"/>
    <w:rsid w:val="00374C11"/>
    <w:rsid w:val="00374C36"/>
    <w:rsid w:val="00374D23"/>
    <w:rsid w:val="00374D55"/>
    <w:rsid w:val="00374DDE"/>
    <w:rsid w:val="00374EE9"/>
    <w:rsid w:val="00374FBB"/>
    <w:rsid w:val="00374FD6"/>
    <w:rsid w:val="00375416"/>
    <w:rsid w:val="003756C7"/>
    <w:rsid w:val="00375784"/>
    <w:rsid w:val="003757F8"/>
    <w:rsid w:val="00375806"/>
    <w:rsid w:val="00375861"/>
    <w:rsid w:val="00375AC2"/>
    <w:rsid w:val="00375BAD"/>
    <w:rsid w:val="00375DF3"/>
    <w:rsid w:val="00375EC2"/>
    <w:rsid w:val="00375EC3"/>
    <w:rsid w:val="00375EFF"/>
    <w:rsid w:val="00376004"/>
    <w:rsid w:val="003763C1"/>
    <w:rsid w:val="0037658E"/>
    <w:rsid w:val="00376632"/>
    <w:rsid w:val="003766AB"/>
    <w:rsid w:val="0037681F"/>
    <w:rsid w:val="00376835"/>
    <w:rsid w:val="0037686A"/>
    <w:rsid w:val="00376951"/>
    <w:rsid w:val="00376FBA"/>
    <w:rsid w:val="00376FD5"/>
    <w:rsid w:val="0037700C"/>
    <w:rsid w:val="0037702D"/>
    <w:rsid w:val="00377140"/>
    <w:rsid w:val="003771A9"/>
    <w:rsid w:val="003771D3"/>
    <w:rsid w:val="0037728E"/>
    <w:rsid w:val="0037733C"/>
    <w:rsid w:val="0037739C"/>
    <w:rsid w:val="00377472"/>
    <w:rsid w:val="00377579"/>
    <w:rsid w:val="003775DD"/>
    <w:rsid w:val="003775EE"/>
    <w:rsid w:val="00377992"/>
    <w:rsid w:val="00377999"/>
    <w:rsid w:val="00377A15"/>
    <w:rsid w:val="00377A76"/>
    <w:rsid w:val="00377B74"/>
    <w:rsid w:val="00377D10"/>
    <w:rsid w:val="00377D51"/>
    <w:rsid w:val="00377E91"/>
    <w:rsid w:val="00377E9D"/>
    <w:rsid w:val="00380252"/>
    <w:rsid w:val="003802EA"/>
    <w:rsid w:val="0038041E"/>
    <w:rsid w:val="0038048C"/>
    <w:rsid w:val="003804C1"/>
    <w:rsid w:val="00380528"/>
    <w:rsid w:val="00380586"/>
    <w:rsid w:val="0038080A"/>
    <w:rsid w:val="0038081B"/>
    <w:rsid w:val="0038097F"/>
    <w:rsid w:val="00380C12"/>
    <w:rsid w:val="00380C53"/>
    <w:rsid w:val="00380DFA"/>
    <w:rsid w:val="00380E33"/>
    <w:rsid w:val="00380E44"/>
    <w:rsid w:val="003810D7"/>
    <w:rsid w:val="00381562"/>
    <w:rsid w:val="003815CD"/>
    <w:rsid w:val="00381649"/>
    <w:rsid w:val="00381819"/>
    <w:rsid w:val="0038186D"/>
    <w:rsid w:val="00381984"/>
    <w:rsid w:val="00381AAD"/>
    <w:rsid w:val="00381CEC"/>
    <w:rsid w:val="00381E6E"/>
    <w:rsid w:val="00382086"/>
    <w:rsid w:val="003823C8"/>
    <w:rsid w:val="0038248D"/>
    <w:rsid w:val="00382520"/>
    <w:rsid w:val="00382682"/>
    <w:rsid w:val="00382703"/>
    <w:rsid w:val="003827F8"/>
    <w:rsid w:val="00382A78"/>
    <w:rsid w:val="00382B3C"/>
    <w:rsid w:val="00382C7B"/>
    <w:rsid w:val="00382F4A"/>
    <w:rsid w:val="00382FF0"/>
    <w:rsid w:val="003830C0"/>
    <w:rsid w:val="003830D0"/>
    <w:rsid w:val="0038312C"/>
    <w:rsid w:val="003832EC"/>
    <w:rsid w:val="00383516"/>
    <w:rsid w:val="00383536"/>
    <w:rsid w:val="0038365A"/>
    <w:rsid w:val="0038367D"/>
    <w:rsid w:val="00383681"/>
    <w:rsid w:val="0038375C"/>
    <w:rsid w:val="003837AE"/>
    <w:rsid w:val="003837C0"/>
    <w:rsid w:val="00383913"/>
    <w:rsid w:val="00383B29"/>
    <w:rsid w:val="00383CEB"/>
    <w:rsid w:val="00383D8F"/>
    <w:rsid w:val="00383DC1"/>
    <w:rsid w:val="00383E47"/>
    <w:rsid w:val="00383ECB"/>
    <w:rsid w:val="00383FE8"/>
    <w:rsid w:val="0038405E"/>
    <w:rsid w:val="00384080"/>
    <w:rsid w:val="003840B9"/>
    <w:rsid w:val="00384199"/>
    <w:rsid w:val="00384407"/>
    <w:rsid w:val="003848A4"/>
    <w:rsid w:val="003849D5"/>
    <w:rsid w:val="003849FA"/>
    <w:rsid w:val="00384A6E"/>
    <w:rsid w:val="00384E06"/>
    <w:rsid w:val="00384F4F"/>
    <w:rsid w:val="00384F5D"/>
    <w:rsid w:val="00385163"/>
    <w:rsid w:val="0038528F"/>
    <w:rsid w:val="0038534E"/>
    <w:rsid w:val="0038592E"/>
    <w:rsid w:val="003859A6"/>
    <w:rsid w:val="003859F7"/>
    <w:rsid w:val="00385A05"/>
    <w:rsid w:val="00385A1A"/>
    <w:rsid w:val="00385D4F"/>
    <w:rsid w:val="00385E45"/>
    <w:rsid w:val="00385E8E"/>
    <w:rsid w:val="00385F18"/>
    <w:rsid w:val="00385FA7"/>
    <w:rsid w:val="00386055"/>
    <w:rsid w:val="003860E7"/>
    <w:rsid w:val="003861E3"/>
    <w:rsid w:val="00386213"/>
    <w:rsid w:val="0038627D"/>
    <w:rsid w:val="0038632D"/>
    <w:rsid w:val="003864CE"/>
    <w:rsid w:val="00386615"/>
    <w:rsid w:val="00386764"/>
    <w:rsid w:val="00386BFC"/>
    <w:rsid w:val="00386C8B"/>
    <w:rsid w:val="00386FE1"/>
    <w:rsid w:val="00387092"/>
    <w:rsid w:val="0038714E"/>
    <w:rsid w:val="00387173"/>
    <w:rsid w:val="0038722B"/>
    <w:rsid w:val="003872D3"/>
    <w:rsid w:val="0038752B"/>
    <w:rsid w:val="0038757B"/>
    <w:rsid w:val="00387587"/>
    <w:rsid w:val="003876AE"/>
    <w:rsid w:val="00387774"/>
    <w:rsid w:val="003877E7"/>
    <w:rsid w:val="00387AFD"/>
    <w:rsid w:val="00387B15"/>
    <w:rsid w:val="00387C9C"/>
    <w:rsid w:val="00387D12"/>
    <w:rsid w:val="00387E39"/>
    <w:rsid w:val="00387F22"/>
    <w:rsid w:val="003901E4"/>
    <w:rsid w:val="0039022C"/>
    <w:rsid w:val="0039026A"/>
    <w:rsid w:val="00390373"/>
    <w:rsid w:val="00390480"/>
    <w:rsid w:val="003905FF"/>
    <w:rsid w:val="0039069D"/>
    <w:rsid w:val="00390738"/>
    <w:rsid w:val="00390773"/>
    <w:rsid w:val="00390ABD"/>
    <w:rsid w:val="00390B1A"/>
    <w:rsid w:val="00390B6C"/>
    <w:rsid w:val="00390ECD"/>
    <w:rsid w:val="00390F2A"/>
    <w:rsid w:val="003911CA"/>
    <w:rsid w:val="0039136B"/>
    <w:rsid w:val="00391503"/>
    <w:rsid w:val="0039159F"/>
    <w:rsid w:val="003916C2"/>
    <w:rsid w:val="00391943"/>
    <w:rsid w:val="0039197B"/>
    <w:rsid w:val="00391B17"/>
    <w:rsid w:val="00391D73"/>
    <w:rsid w:val="00391DA2"/>
    <w:rsid w:val="00391DE8"/>
    <w:rsid w:val="00391E0B"/>
    <w:rsid w:val="0039210E"/>
    <w:rsid w:val="0039212B"/>
    <w:rsid w:val="0039212D"/>
    <w:rsid w:val="003922DD"/>
    <w:rsid w:val="0039230D"/>
    <w:rsid w:val="00392438"/>
    <w:rsid w:val="0039262E"/>
    <w:rsid w:val="003927F5"/>
    <w:rsid w:val="003929BD"/>
    <w:rsid w:val="00392A6E"/>
    <w:rsid w:val="00392B7A"/>
    <w:rsid w:val="00392C15"/>
    <w:rsid w:val="00392E99"/>
    <w:rsid w:val="00393047"/>
    <w:rsid w:val="003931C4"/>
    <w:rsid w:val="003931FD"/>
    <w:rsid w:val="00393289"/>
    <w:rsid w:val="00393338"/>
    <w:rsid w:val="00393393"/>
    <w:rsid w:val="003936EC"/>
    <w:rsid w:val="00393834"/>
    <w:rsid w:val="0039387D"/>
    <w:rsid w:val="00393995"/>
    <w:rsid w:val="00393A27"/>
    <w:rsid w:val="00393AF6"/>
    <w:rsid w:val="00393B30"/>
    <w:rsid w:val="00393BB9"/>
    <w:rsid w:val="00393CE1"/>
    <w:rsid w:val="00393EA4"/>
    <w:rsid w:val="00393FA0"/>
    <w:rsid w:val="0039401E"/>
    <w:rsid w:val="00394129"/>
    <w:rsid w:val="00394261"/>
    <w:rsid w:val="0039430A"/>
    <w:rsid w:val="003943E5"/>
    <w:rsid w:val="00394652"/>
    <w:rsid w:val="0039495E"/>
    <w:rsid w:val="003949AA"/>
    <w:rsid w:val="00394CCD"/>
    <w:rsid w:val="00394E66"/>
    <w:rsid w:val="003950A2"/>
    <w:rsid w:val="003950D7"/>
    <w:rsid w:val="00395147"/>
    <w:rsid w:val="0039514E"/>
    <w:rsid w:val="003951BF"/>
    <w:rsid w:val="0039557A"/>
    <w:rsid w:val="003955A1"/>
    <w:rsid w:val="00395773"/>
    <w:rsid w:val="0039589A"/>
    <w:rsid w:val="003958F7"/>
    <w:rsid w:val="0039592E"/>
    <w:rsid w:val="00395A1E"/>
    <w:rsid w:val="00395A27"/>
    <w:rsid w:val="00395E38"/>
    <w:rsid w:val="00395E8E"/>
    <w:rsid w:val="00395F0F"/>
    <w:rsid w:val="00395F1E"/>
    <w:rsid w:val="00395F9D"/>
    <w:rsid w:val="0039617F"/>
    <w:rsid w:val="00396206"/>
    <w:rsid w:val="003962FA"/>
    <w:rsid w:val="003963D5"/>
    <w:rsid w:val="003965DA"/>
    <w:rsid w:val="00396887"/>
    <w:rsid w:val="00396925"/>
    <w:rsid w:val="00396A05"/>
    <w:rsid w:val="00396A30"/>
    <w:rsid w:val="00396BFF"/>
    <w:rsid w:val="00396DF8"/>
    <w:rsid w:val="00396DF9"/>
    <w:rsid w:val="00396FD5"/>
    <w:rsid w:val="003971C8"/>
    <w:rsid w:val="003971F5"/>
    <w:rsid w:val="003972B0"/>
    <w:rsid w:val="003974D2"/>
    <w:rsid w:val="003974EE"/>
    <w:rsid w:val="00397518"/>
    <w:rsid w:val="0039782E"/>
    <w:rsid w:val="00397892"/>
    <w:rsid w:val="0039798B"/>
    <w:rsid w:val="00397A58"/>
    <w:rsid w:val="00397A61"/>
    <w:rsid w:val="00397AA3"/>
    <w:rsid w:val="00397FE7"/>
    <w:rsid w:val="00397FEB"/>
    <w:rsid w:val="003A021B"/>
    <w:rsid w:val="003A02A3"/>
    <w:rsid w:val="003A0468"/>
    <w:rsid w:val="003A04B9"/>
    <w:rsid w:val="003A05EA"/>
    <w:rsid w:val="003A0621"/>
    <w:rsid w:val="003A06B9"/>
    <w:rsid w:val="003A06FF"/>
    <w:rsid w:val="003A0790"/>
    <w:rsid w:val="003A0A5E"/>
    <w:rsid w:val="003A0A87"/>
    <w:rsid w:val="003A0B8A"/>
    <w:rsid w:val="003A0BE2"/>
    <w:rsid w:val="003A0D27"/>
    <w:rsid w:val="003A0DB7"/>
    <w:rsid w:val="003A0EE0"/>
    <w:rsid w:val="003A1185"/>
    <w:rsid w:val="003A14EF"/>
    <w:rsid w:val="003A1500"/>
    <w:rsid w:val="003A1564"/>
    <w:rsid w:val="003A16C7"/>
    <w:rsid w:val="003A1923"/>
    <w:rsid w:val="003A1926"/>
    <w:rsid w:val="003A193B"/>
    <w:rsid w:val="003A199C"/>
    <w:rsid w:val="003A1AD4"/>
    <w:rsid w:val="003A1D08"/>
    <w:rsid w:val="003A1D27"/>
    <w:rsid w:val="003A1DBC"/>
    <w:rsid w:val="003A1E5F"/>
    <w:rsid w:val="003A1FAA"/>
    <w:rsid w:val="003A2065"/>
    <w:rsid w:val="003A20B0"/>
    <w:rsid w:val="003A210B"/>
    <w:rsid w:val="003A220E"/>
    <w:rsid w:val="003A2245"/>
    <w:rsid w:val="003A2285"/>
    <w:rsid w:val="003A2347"/>
    <w:rsid w:val="003A24FE"/>
    <w:rsid w:val="003A2599"/>
    <w:rsid w:val="003A27D4"/>
    <w:rsid w:val="003A2843"/>
    <w:rsid w:val="003A2C27"/>
    <w:rsid w:val="003A2C58"/>
    <w:rsid w:val="003A2D7B"/>
    <w:rsid w:val="003A2D82"/>
    <w:rsid w:val="003A2DA6"/>
    <w:rsid w:val="003A2F6F"/>
    <w:rsid w:val="003A3036"/>
    <w:rsid w:val="003A30E7"/>
    <w:rsid w:val="003A33A6"/>
    <w:rsid w:val="003A3439"/>
    <w:rsid w:val="003A35C6"/>
    <w:rsid w:val="003A35FD"/>
    <w:rsid w:val="003A3627"/>
    <w:rsid w:val="003A3980"/>
    <w:rsid w:val="003A3A67"/>
    <w:rsid w:val="003A3A8B"/>
    <w:rsid w:val="003A3D45"/>
    <w:rsid w:val="003A3E7C"/>
    <w:rsid w:val="003A3EE6"/>
    <w:rsid w:val="003A3F77"/>
    <w:rsid w:val="003A3FD0"/>
    <w:rsid w:val="003A408A"/>
    <w:rsid w:val="003A40A0"/>
    <w:rsid w:val="003A4136"/>
    <w:rsid w:val="003A4316"/>
    <w:rsid w:val="003A441B"/>
    <w:rsid w:val="003A441E"/>
    <w:rsid w:val="003A4494"/>
    <w:rsid w:val="003A4496"/>
    <w:rsid w:val="003A4605"/>
    <w:rsid w:val="003A466A"/>
    <w:rsid w:val="003A47FD"/>
    <w:rsid w:val="003A4989"/>
    <w:rsid w:val="003A4C4B"/>
    <w:rsid w:val="003A4D59"/>
    <w:rsid w:val="003A4D99"/>
    <w:rsid w:val="003A4E90"/>
    <w:rsid w:val="003A4EA3"/>
    <w:rsid w:val="003A4EBC"/>
    <w:rsid w:val="003A522D"/>
    <w:rsid w:val="003A5248"/>
    <w:rsid w:val="003A52B5"/>
    <w:rsid w:val="003A534E"/>
    <w:rsid w:val="003A53C5"/>
    <w:rsid w:val="003A546E"/>
    <w:rsid w:val="003A5607"/>
    <w:rsid w:val="003A5622"/>
    <w:rsid w:val="003A56EF"/>
    <w:rsid w:val="003A5891"/>
    <w:rsid w:val="003A5A4D"/>
    <w:rsid w:val="003A5BE1"/>
    <w:rsid w:val="003A5D30"/>
    <w:rsid w:val="003A5E3D"/>
    <w:rsid w:val="003A6084"/>
    <w:rsid w:val="003A61A6"/>
    <w:rsid w:val="003A6275"/>
    <w:rsid w:val="003A627E"/>
    <w:rsid w:val="003A6623"/>
    <w:rsid w:val="003A66BD"/>
    <w:rsid w:val="003A6958"/>
    <w:rsid w:val="003A6A47"/>
    <w:rsid w:val="003A6E28"/>
    <w:rsid w:val="003A6F39"/>
    <w:rsid w:val="003A7030"/>
    <w:rsid w:val="003A724A"/>
    <w:rsid w:val="003A7548"/>
    <w:rsid w:val="003A7643"/>
    <w:rsid w:val="003A78C4"/>
    <w:rsid w:val="003A79F4"/>
    <w:rsid w:val="003A7A2C"/>
    <w:rsid w:val="003A7CAB"/>
    <w:rsid w:val="003A7D66"/>
    <w:rsid w:val="003A7E93"/>
    <w:rsid w:val="003A7F66"/>
    <w:rsid w:val="003A7FEA"/>
    <w:rsid w:val="003B0066"/>
    <w:rsid w:val="003B0177"/>
    <w:rsid w:val="003B0260"/>
    <w:rsid w:val="003B0398"/>
    <w:rsid w:val="003B092D"/>
    <w:rsid w:val="003B09FE"/>
    <w:rsid w:val="003B0A0B"/>
    <w:rsid w:val="003B0BF7"/>
    <w:rsid w:val="003B0DC5"/>
    <w:rsid w:val="003B0F88"/>
    <w:rsid w:val="003B1288"/>
    <w:rsid w:val="003B132A"/>
    <w:rsid w:val="003B145D"/>
    <w:rsid w:val="003B14DB"/>
    <w:rsid w:val="003B14F4"/>
    <w:rsid w:val="003B1556"/>
    <w:rsid w:val="003B17C5"/>
    <w:rsid w:val="003B1848"/>
    <w:rsid w:val="003B18C0"/>
    <w:rsid w:val="003B1913"/>
    <w:rsid w:val="003B1A28"/>
    <w:rsid w:val="003B1A2C"/>
    <w:rsid w:val="003B1A73"/>
    <w:rsid w:val="003B1B0F"/>
    <w:rsid w:val="003B1B21"/>
    <w:rsid w:val="003B1E9F"/>
    <w:rsid w:val="003B201E"/>
    <w:rsid w:val="003B2033"/>
    <w:rsid w:val="003B2048"/>
    <w:rsid w:val="003B2197"/>
    <w:rsid w:val="003B242D"/>
    <w:rsid w:val="003B249B"/>
    <w:rsid w:val="003B24FB"/>
    <w:rsid w:val="003B251C"/>
    <w:rsid w:val="003B259A"/>
    <w:rsid w:val="003B2627"/>
    <w:rsid w:val="003B2633"/>
    <w:rsid w:val="003B27AC"/>
    <w:rsid w:val="003B2AAD"/>
    <w:rsid w:val="003B2B45"/>
    <w:rsid w:val="003B2B95"/>
    <w:rsid w:val="003B2C0D"/>
    <w:rsid w:val="003B2CFA"/>
    <w:rsid w:val="003B2D11"/>
    <w:rsid w:val="003B2E14"/>
    <w:rsid w:val="003B2E84"/>
    <w:rsid w:val="003B3030"/>
    <w:rsid w:val="003B303A"/>
    <w:rsid w:val="003B303F"/>
    <w:rsid w:val="003B3258"/>
    <w:rsid w:val="003B3600"/>
    <w:rsid w:val="003B3690"/>
    <w:rsid w:val="003B36A1"/>
    <w:rsid w:val="003B37EB"/>
    <w:rsid w:val="003B3945"/>
    <w:rsid w:val="003B3971"/>
    <w:rsid w:val="003B39BA"/>
    <w:rsid w:val="003B3A3F"/>
    <w:rsid w:val="003B3C3A"/>
    <w:rsid w:val="003B3DB3"/>
    <w:rsid w:val="003B3F83"/>
    <w:rsid w:val="003B3FD2"/>
    <w:rsid w:val="003B40B4"/>
    <w:rsid w:val="003B41C6"/>
    <w:rsid w:val="003B4347"/>
    <w:rsid w:val="003B4423"/>
    <w:rsid w:val="003B4448"/>
    <w:rsid w:val="003B463F"/>
    <w:rsid w:val="003B478D"/>
    <w:rsid w:val="003B47D9"/>
    <w:rsid w:val="003B4829"/>
    <w:rsid w:val="003B4AC2"/>
    <w:rsid w:val="003B4B30"/>
    <w:rsid w:val="003B4C1A"/>
    <w:rsid w:val="003B4C21"/>
    <w:rsid w:val="003B4E55"/>
    <w:rsid w:val="003B507E"/>
    <w:rsid w:val="003B52EA"/>
    <w:rsid w:val="003B537F"/>
    <w:rsid w:val="003B53E2"/>
    <w:rsid w:val="003B54A6"/>
    <w:rsid w:val="003B56BA"/>
    <w:rsid w:val="003B5780"/>
    <w:rsid w:val="003B5792"/>
    <w:rsid w:val="003B591D"/>
    <w:rsid w:val="003B5A8E"/>
    <w:rsid w:val="003B6021"/>
    <w:rsid w:val="003B60E4"/>
    <w:rsid w:val="003B6266"/>
    <w:rsid w:val="003B6361"/>
    <w:rsid w:val="003B64EF"/>
    <w:rsid w:val="003B66E8"/>
    <w:rsid w:val="003B6746"/>
    <w:rsid w:val="003B677D"/>
    <w:rsid w:val="003B682F"/>
    <w:rsid w:val="003B6AD8"/>
    <w:rsid w:val="003B6B8A"/>
    <w:rsid w:val="003B6FC8"/>
    <w:rsid w:val="003B7059"/>
    <w:rsid w:val="003B71FA"/>
    <w:rsid w:val="003B7204"/>
    <w:rsid w:val="003B7656"/>
    <w:rsid w:val="003B76DF"/>
    <w:rsid w:val="003B788C"/>
    <w:rsid w:val="003B7940"/>
    <w:rsid w:val="003B7ABB"/>
    <w:rsid w:val="003B7B57"/>
    <w:rsid w:val="003B7B87"/>
    <w:rsid w:val="003B7BBC"/>
    <w:rsid w:val="003B7C14"/>
    <w:rsid w:val="003B7D92"/>
    <w:rsid w:val="003B7D9C"/>
    <w:rsid w:val="003B7DEA"/>
    <w:rsid w:val="003B7E2D"/>
    <w:rsid w:val="003B7E3D"/>
    <w:rsid w:val="003B7FE3"/>
    <w:rsid w:val="003C006C"/>
    <w:rsid w:val="003C022B"/>
    <w:rsid w:val="003C0456"/>
    <w:rsid w:val="003C061F"/>
    <w:rsid w:val="003C067D"/>
    <w:rsid w:val="003C08DD"/>
    <w:rsid w:val="003C08EA"/>
    <w:rsid w:val="003C09A9"/>
    <w:rsid w:val="003C0B25"/>
    <w:rsid w:val="003C0C33"/>
    <w:rsid w:val="003C0D3B"/>
    <w:rsid w:val="003C0D4D"/>
    <w:rsid w:val="003C0DA3"/>
    <w:rsid w:val="003C0F10"/>
    <w:rsid w:val="003C0F62"/>
    <w:rsid w:val="003C0FB2"/>
    <w:rsid w:val="003C10FD"/>
    <w:rsid w:val="003C149D"/>
    <w:rsid w:val="003C14FF"/>
    <w:rsid w:val="003C152B"/>
    <w:rsid w:val="003C1664"/>
    <w:rsid w:val="003C1843"/>
    <w:rsid w:val="003C18D7"/>
    <w:rsid w:val="003C1910"/>
    <w:rsid w:val="003C1947"/>
    <w:rsid w:val="003C1BD1"/>
    <w:rsid w:val="003C1CE1"/>
    <w:rsid w:val="003C1DC1"/>
    <w:rsid w:val="003C1DCC"/>
    <w:rsid w:val="003C1EE6"/>
    <w:rsid w:val="003C21D7"/>
    <w:rsid w:val="003C22D5"/>
    <w:rsid w:val="003C23B9"/>
    <w:rsid w:val="003C2408"/>
    <w:rsid w:val="003C2469"/>
    <w:rsid w:val="003C2519"/>
    <w:rsid w:val="003C259D"/>
    <w:rsid w:val="003C25CD"/>
    <w:rsid w:val="003C2677"/>
    <w:rsid w:val="003C2AD2"/>
    <w:rsid w:val="003C2B01"/>
    <w:rsid w:val="003C2B58"/>
    <w:rsid w:val="003C2C00"/>
    <w:rsid w:val="003C2CEA"/>
    <w:rsid w:val="003C2EE4"/>
    <w:rsid w:val="003C2FEC"/>
    <w:rsid w:val="003C312A"/>
    <w:rsid w:val="003C3218"/>
    <w:rsid w:val="003C32C6"/>
    <w:rsid w:val="003C3515"/>
    <w:rsid w:val="003C35D3"/>
    <w:rsid w:val="003C35FC"/>
    <w:rsid w:val="003C3738"/>
    <w:rsid w:val="003C3955"/>
    <w:rsid w:val="003C39CE"/>
    <w:rsid w:val="003C39D5"/>
    <w:rsid w:val="003C3A7C"/>
    <w:rsid w:val="003C3B42"/>
    <w:rsid w:val="003C3BE7"/>
    <w:rsid w:val="003C3CBC"/>
    <w:rsid w:val="003C3CFC"/>
    <w:rsid w:val="003C3D3D"/>
    <w:rsid w:val="003C3D50"/>
    <w:rsid w:val="003C3E0B"/>
    <w:rsid w:val="003C3F67"/>
    <w:rsid w:val="003C3FD3"/>
    <w:rsid w:val="003C4171"/>
    <w:rsid w:val="003C422A"/>
    <w:rsid w:val="003C4424"/>
    <w:rsid w:val="003C4585"/>
    <w:rsid w:val="003C4598"/>
    <w:rsid w:val="003C497F"/>
    <w:rsid w:val="003C4A98"/>
    <w:rsid w:val="003C4C92"/>
    <w:rsid w:val="003C4DBD"/>
    <w:rsid w:val="003C4E28"/>
    <w:rsid w:val="003C4EA1"/>
    <w:rsid w:val="003C4EF4"/>
    <w:rsid w:val="003C4FD5"/>
    <w:rsid w:val="003C50F3"/>
    <w:rsid w:val="003C5560"/>
    <w:rsid w:val="003C5676"/>
    <w:rsid w:val="003C57D8"/>
    <w:rsid w:val="003C5822"/>
    <w:rsid w:val="003C5C7C"/>
    <w:rsid w:val="003C5E15"/>
    <w:rsid w:val="003C5EDD"/>
    <w:rsid w:val="003C5FF6"/>
    <w:rsid w:val="003C613F"/>
    <w:rsid w:val="003C6357"/>
    <w:rsid w:val="003C6519"/>
    <w:rsid w:val="003C67FE"/>
    <w:rsid w:val="003C680F"/>
    <w:rsid w:val="003C69B6"/>
    <w:rsid w:val="003C69C6"/>
    <w:rsid w:val="003C69CF"/>
    <w:rsid w:val="003C69E0"/>
    <w:rsid w:val="003C6A70"/>
    <w:rsid w:val="003C6BB2"/>
    <w:rsid w:val="003C6CC5"/>
    <w:rsid w:val="003C6E8A"/>
    <w:rsid w:val="003C6EEF"/>
    <w:rsid w:val="003C6EF0"/>
    <w:rsid w:val="003C70AB"/>
    <w:rsid w:val="003C717A"/>
    <w:rsid w:val="003C7188"/>
    <w:rsid w:val="003C7281"/>
    <w:rsid w:val="003C7296"/>
    <w:rsid w:val="003C73ED"/>
    <w:rsid w:val="003C7453"/>
    <w:rsid w:val="003C75E3"/>
    <w:rsid w:val="003C7657"/>
    <w:rsid w:val="003C767A"/>
    <w:rsid w:val="003C783A"/>
    <w:rsid w:val="003C7910"/>
    <w:rsid w:val="003C7C03"/>
    <w:rsid w:val="003C7F06"/>
    <w:rsid w:val="003D02A3"/>
    <w:rsid w:val="003D0357"/>
    <w:rsid w:val="003D05F1"/>
    <w:rsid w:val="003D06E0"/>
    <w:rsid w:val="003D08D3"/>
    <w:rsid w:val="003D0A3B"/>
    <w:rsid w:val="003D0BE7"/>
    <w:rsid w:val="003D0CD2"/>
    <w:rsid w:val="003D0D04"/>
    <w:rsid w:val="003D0E54"/>
    <w:rsid w:val="003D1088"/>
    <w:rsid w:val="003D1091"/>
    <w:rsid w:val="003D11D7"/>
    <w:rsid w:val="003D124C"/>
    <w:rsid w:val="003D1522"/>
    <w:rsid w:val="003D15F5"/>
    <w:rsid w:val="003D1677"/>
    <w:rsid w:val="003D167F"/>
    <w:rsid w:val="003D175A"/>
    <w:rsid w:val="003D18F3"/>
    <w:rsid w:val="003D1C00"/>
    <w:rsid w:val="003D1DA0"/>
    <w:rsid w:val="003D1DD0"/>
    <w:rsid w:val="003D1EA0"/>
    <w:rsid w:val="003D1FF0"/>
    <w:rsid w:val="003D204F"/>
    <w:rsid w:val="003D2084"/>
    <w:rsid w:val="003D2177"/>
    <w:rsid w:val="003D219B"/>
    <w:rsid w:val="003D21F9"/>
    <w:rsid w:val="003D2324"/>
    <w:rsid w:val="003D23DF"/>
    <w:rsid w:val="003D2481"/>
    <w:rsid w:val="003D2821"/>
    <w:rsid w:val="003D28A4"/>
    <w:rsid w:val="003D2950"/>
    <w:rsid w:val="003D2A84"/>
    <w:rsid w:val="003D2A95"/>
    <w:rsid w:val="003D2BB6"/>
    <w:rsid w:val="003D2C24"/>
    <w:rsid w:val="003D2DCB"/>
    <w:rsid w:val="003D32BC"/>
    <w:rsid w:val="003D337C"/>
    <w:rsid w:val="003D3593"/>
    <w:rsid w:val="003D38CA"/>
    <w:rsid w:val="003D3B1F"/>
    <w:rsid w:val="003D3D71"/>
    <w:rsid w:val="003D3DB5"/>
    <w:rsid w:val="003D3EC7"/>
    <w:rsid w:val="003D3FA9"/>
    <w:rsid w:val="003D3FB2"/>
    <w:rsid w:val="003D3FD6"/>
    <w:rsid w:val="003D4750"/>
    <w:rsid w:val="003D48E5"/>
    <w:rsid w:val="003D48FF"/>
    <w:rsid w:val="003D4A2B"/>
    <w:rsid w:val="003D4AF5"/>
    <w:rsid w:val="003D4B9F"/>
    <w:rsid w:val="003D4BDF"/>
    <w:rsid w:val="003D4ED9"/>
    <w:rsid w:val="003D501B"/>
    <w:rsid w:val="003D501C"/>
    <w:rsid w:val="003D521F"/>
    <w:rsid w:val="003D533B"/>
    <w:rsid w:val="003D5478"/>
    <w:rsid w:val="003D54DC"/>
    <w:rsid w:val="003D56C3"/>
    <w:rsid w:val="003D5741"/>
    <w:rsid w:val="003D5AEB"/>
    <w:rsid w:val="003D5B9C"/>
    <w:rsid w:val="003D5F5C"/>
    <w:rsid w:val="003D5FDE"/>
    <w:rsid w:val="003D62EA"/>
    <w:rsid w:val="003D6328"/>
    <w:rsid w:val="003D6455"/>
    <w:rsid w:val="003D6581"/>
    <w:rsid w:val="003D66B4"/>
    <w:rsid w:val="003D66DF"/>
    <w:rsid w:val="003D6833"/>
    <w:rsid w:val="003D6973"/>
    <w:rsid w:val="003D6E96"/>
    <w:rsid w:val="003D6EC4"/>
    <w:rsid w:val="003D6FA1"/>
    <w:rsid w:val="003D72FE"/>
    <w:rsid w:val="003D736E"/>
    <w:rsid w:val="003D756F"/>
    <w:rsid w:val="003D7704"/>
    <w:rsid w:val="003D78F7"/>
    <w:rsid w:val="003D7910"/>
    <w:rsid w:val="003D7A14"/>
    <w:rsid w:val="003D7A9B"/>
    <w:rsid w:val="003D7B18"/>
    <w:rsid w:val="003D7BD3"/>
    <w:rsid w:val="003D7C08"/>
    <w:rsid w:val="003D7D17"/>
    <w:rsid w:val="003E01A3"/>
    <w:rsid w:val="003E0450"/>
    <w:rsid w:val="003E0768"/>
    <w:rsid w:val="003E07CC"/>
    <w:rsid w:val="003E096A"/>
    <w:rsid w:val="003E0D9B"/>
    <w:rsid w:val="003E0E01"/>
    <w:rsid w:val="003E0E73"/>
    <w:rsid w:val="003E0ED0"/>
    <w:rsid w:val="003E0FDA"/>
    <w:rsid w:val="003E108D"/>
    <w:rsid w:val="003E11D5"/>
    <w:rsid w:val="003E123D"/>
    <w:rsid w:val="003E12A6"/>
    <w:rsid w:val="003E1375"/>
    <w:rsid w:val="003E1400"/>
    <w:rsid w:val="003E144E"/>
    <w:rsid w:val="003E1457"/>
    <w:rsid w:val="003E184C"/>
    <w:rsid w:val="003E18A2"/>
    <w:rsid w:val="003E1A3F"/>
    <w:rsid w:val="003E1AB9"/>
    <w:rsid w:val="003E1B6A"/>
    <w:rsid w:val="003E1C34"/>
    <w:rsid w:val="003E1C6C"/>
    <w:rsid w:val="003E1F77"/>
    <w:rsid w:val="003E2057"/>
    <w:rsid w:val="003E256B"/>
    <w:rsid w:val="003E2585"/>
    <w:rsid w:val="003E262A"/>
    <w:rsid w:val="003E2717"/>
    <w:rsid w:val="003E2B40"/>
    <w:rsid w:val="003E2DAF"/>
    <w:rsid w:val="003E2E1C"/>
    <w:rsid w:val="003E3131"/>
    <w:rsid w:val="003E31DD"/>
    <w:rsid w:val="003E3364"/>
    <w:rsid w:val="003E3693"/>
    <w:rsid w:val="003E36F6"/>
    <w:rsid w:val="003E374C"/>
    <w:rsid w:val="003E3826"/>
    <w:rsid w:val="003E3899"/>
    <w:rsid w:val="003E38A0"/>
    <w:rsid w:val="003E3913"/>
    <w:rsid w:val="003E391C"/>
    <w:rsid w:val="003E3A81"/>
    <w:rsid w:val="003E3BFD"/>
    <w:rsid w:val="003E3CA0"/>
    <w:rsid w:val="003E3CA8"/>
    <w:rsid w:val="003E3E1D"/>
    <w:rsid w:val="003E3F58"/>
    <w:rsid w:val="003E42CC"/>
    <w:rsid w:val="003E4635"/>
    <w:rsid w:val="003E47CB"/>
    <w:rsid w:val="003E48F7"/>
    <w:rsid w:val="003E492B"/>
    <w:rsid w:val="003E499C"/>
    <w:rsid w:val="003E4AB1"/>
    <w:rsid w:val="003E4AEB"/>
    <w:rsid w:val="003E4AF2"/>
    <w:rsid w:val="003E532F"/>
    <w:rsid w:val="003E5483"/>
    <w:rsid w:val="003E573A"/>
    <w:rsid w:val="003E5761"/>
    <w:rsid w:val="003E57AD"/>
    <w:rsid w:val="003E5AE0"/>
    <w:rsid w:val="003E5B0F"/>
    <w:rsid w:val="003E5B1E"/>
    <w:rsid w:val="003E5C00"/>
    <w:rsid w:val="003E5C08"/>
    <w:rsid w:val="003E5C0E"/>
    <w:rsid w:val="003E5C18"/>
    <w:rsid w:val="003E5C89"/>
    <w:rsid w:val="003E5D61"/>
    <w:rsid w:val="003E62DA"/>
    <w:rsid w:val="003E66BD"/>
    <w:rsid w:val="003E6AC7"/>
    <w:rsid w:val="003E6BCA"/>
    <w:rsid w:val="003E6C1D"/>
    <w:rsid w:val="003E6CFD"/>
    <w:rsid w:val="003E6E91"/>
    <w:rsid w:val="003E6F19"/>
    <w:rsid w:val="003E7011"/>
    <w:rsid w:val="003E7101"/>
    <w:rsid w:val="003E718B"/>
    <w:rsid w:val="003E719B"/>
    <w:rsid w:val="003E73BC"/>
    <w:rsid w:val="003E770C"/>
    <w:rsid w:val="003E771F"/>
    <w:rsid w:val="003E7750"/>
    <w:rsid w:val="003E7811"/>
    <w:rsid w:val="003E7822"/>
    <w:rsid w:val="003E7915"/>
    <w:rsid w:val="003E7971"/>
    <w:rsid w:val="003E7A6A"/>
    <w:rsid w:val="003E7B2A"/>
    <w:rsid w:val="003E7B30"/>
    <w:rsid w:val="003E7BCE"/>
    <w:rsid w:val="003E7BFA"/>
    <w:rsid w:val="003E7D4D"/>
    <w:rsid w:val="003E7F26"/>
    <w:rsid w:val="003F0093"/>
    <w:rsid w:val="003F01BE"/>
    <w:rsid w:val="003F0316"/>
    <w:rsid w:val="003F05F6"/>
    <w:rsid w:val="003F06B3"/>
    <w:rsid w:val="003F0707"/>
    <w:rsid w:val="003F0895"/>
    <w:rsid w:val="003F0935"/>
    <w:rsid w:val="003F0A1E"/>
    <w:rsid w:val="003F0A2F"/>
    <w:rsid w:val="003F0C43"/>
    <w:rsid w:val="003F0C91"/>
    <w:rsid w:val="003F0DD9"/>
    <w:rsid w:val="003F0E6C"/>
    <w:rsid w:val="003F0F7D"/>
    <w:rsid w:val="003F0F8D"/>
    <w:rsid w:val="003F0FB5"/>
    <w:rsid w:val="003F10D5"/>
    <w:rsid w:val="003F10F7"/>
    <w:rsid w:val="003F1155"/>
    <w:rsid w:val="003F162C"/>
    <w:rsid w:val="003F1633"/>
    <w:rsid w:val="003F191E"/>
    <w:rsid w:val="003F19C6"/>
    <w:rsid w:val="003F1B07"/>
    <w:rsid w:val="003F1DA3"/>
    <w:rsid w:val="003F1FCA"/>
    <w:rsid w:val="003F2245"/>
    <w:rsid w:val="003F2363"/>
    <w:rsid w:val="003F2676"/>
    <w:rsid w:val="003F268B"/>
    <w:rsid w:val="003F29EA"/>
    <w:rsid w:val="003F2A09"/>
    <w:rsid w:val="003F2A8C"/>
    <w:rsid w:val="003F2B88"/>
    <w:rsid w:val="003F2C18"/>
    <w:rsid w:val="003F2D05"/>
    <w:rsid w:val="003F2DC7"/>
    <w:rsid w:val="003F3059"/>
    <w:rsid w:val="003F3141"/>
    <w:rsid w:val="003F320D"/>
    <w:rsid w:val="003F32F2"/>
    <w:rsid w:val="003F3405"/>
    <w:rsid w:val="003F35B0"/>
    <w:rsid w:val="003F363B"/>
    <w:rsid w:val="003F36D5"/>
    <w:rsid w:val="003F37FE"/>
    <w:rsid w:val="003F3A7A"/>
    <w:rsid w:val="003F3BA6"/>
    <w:rsid w:val="003F3C1D"/>
    <w:rsid w:val="003F3D55"/>
    <w:rsid w:val="003F3E3E"/>
    <w:rsid w:val="003F3F38"/>
    <w:rsid w:val="003F4029"/>
    <w:rsid w:val="003F40CD"/>
    <w:rsid w:val="003F41BA"/>
    <w:rsid w:val="003F4290"/>
    <w:rsid w:val="003F444E"/>
    <w:rsid w:val="003F4587"/>
    <w:rsid w:val="003F45E4"/>
    <w:rsid w:val="003F4637"/>
    <w:rsid w:val="003F4671"/>
    <w:rsid w:val="003F4694"/>
    <w:rsid w:val="003F4759"/>
    <w:rsid w:val="003F49CC"/>
    <w:rsid w:val="003F4A28"/>
    <w:rsid w:val="003F4B6A"/>
    <w:rsid w:val="003F4C64"/>
    <w:rsid w:val="003F4C68"/>
    <w:rsid w:val="003F4DA8"/>
    <w:rsid w:val="003F4DAC"/>
    <w:rsid w:val="003F4DB5"/>
    <w:rsid w:val="003F4EC6"/>
    <w:rsid w:val="003F4EC9"/>
    <w:rsid w:val="003F5084"/>
    <w:rsid w:val="003F51DE"/>
    <w:rsid w:val="003F52C5"/>
    <w:rsid w:val="003F54B8"/>
    <w:rsid w:val="003F54ED"/>
    <w:rsid w:val="003F5644"/>
    <w:rsid w:val="003F56D8"/>
    <w:rsid w:val="003F56E5"/>
    <w:rsid w:val="003F5757"/>
    <w:rsid w:val="003F580F"/>
    <w:rsid w:val="003F590C"/>
    <w:rsid w:val="003F5975"/>
    <w:rsid w:val="003F5BF6"/>
    <w:rsid w:val="003F5E1D"/>
    <w:rsid w:val="003F618A"/>
    <w:rsid w:val="003F64C2"/>
    <w:rsid w:val="003F6655"/>
    <w:rsid w:val="003F6661"/>
    <w:rsid w:val="003F690C"/>
    <w:rsid w:val="003F6971"/>
    <w:rsid w:val="003F6AC1"/>
    <w:rsid w:val="003F6CBA"/>
    <w:rsid w:val="003F6CEE"/>
    <w:rsid w:val="003F6D1C"/>
    <w:rsid w:val="003F6DA3"/>
    <w:rsid w:val="003F6EAC"/>
    <w:rsid w:val="003F6EB9"/>
    <w:rsid w:val="003F6F18"/>
    <w:rsid w:val="003F6F82"/>
    <w:rsid w:val="003F700C"/>
    <w:rsid w:val="003F75D8"/>
    <w:rsid w:val="003F75DE"/>
    <w:rsid w:val="003F7686"/>
    <w:rsid w:val="003F77B6"/>
    <w:rsid w:val="003F77EC"/>
    <w:rsid w:val="003F785A"/>
    <w:rsid w:val="003F7985"/>
    <w:rsid w:val="003F7997"/>
    <w:rsid w:val="003F7C57"/>
    <w:rsid w:val="003F7C8D"/>
    <w:rsid w:val="003F7CE7"/>
    <w:rsid w:val="0040006B"/>
    <w:rsid w:val="00400196"/>
    <w:rsid w:val="00400523"/>
    <w:rsid w:val="0040057D"/>
    <w:rsid w:val="0040069A"/>
    <w:rsid w:val="004007B5"/>
    <w:rsid w:val="004007EC"/>
    <w:rsid w:val="004009A1"/>
    <w:rsid w:val="00400A44"/>
    <w:rsid w:val="00400B8C"/>
    <w:rsid w:val="00400B9C"/>
    <w:rsid w:val="00400C25"/>
    <w:rsid w:val="00400C50"/>
    <w:rsid w:val="00400DAB"/>
    <w:rsid w:val="00400DBE"/>
    <w:rsid w:val="00400E1D"/>
    <w:rsid w:val="00400E9E"/>
    <w:rsid w:val="00401291"/>
    <w:rsid w:val="00401809"/>
    <w:rsid w:val="00401879"/>
    <w:rsid w:val="00401967"/>
    <w:rsid w:val="00401A38"/>
    <w:rsid w:val="00401B44"/>
    <w:rsid w:val="00401C0C"/>
    <w:rsid w:val="00401CA6"/>
    <w:rsid w:val="00401D88"/>
    <w:rsid w:val="00401DAB"/>
    <w:rsid w:val="00401DCE"/>
    <w:rsid w:val="0040203E"/>
    <w:rsid w:val="0040260C"/>
    <w:rsid w:val="0040268F"/>
    <w:rsid w:val="004026AC"/>
    <w:rsid w:val="0040285E"/>
    <w:rsid w:val="004028BF"/>
    <w:rsid w:val="00402A07"/>
    <w:rsid w:val="00402AA3"/>
    <w:rsid w:val="00402AD4"/>
    <w:rsid w:val="00402B47"/>
    <w:rsid w:val="00402BA2"/>
    <w:rsid w:val="00402BC7"/>
    <w:rsid w:val="00402CD3"/>
    <w:rsid w:val="00402CDD"/>
    <w:rsid w:val="00402D5B"/>
    <w:rsid w:val="00402EBC"/>
    <w:rsid w:val="00403057"/>
    <w:rsid w:val="00403060"/>
    <w:rsid w:val="004030C1"/>
    <w:rsid w:val="0040315C"/>
    <w:rsid w:val="00403230"/>
    <w:rsid w:val="0040327D"/>
    <w:rsid w:val="004032B5"/>
    <w:rsid w:val="004032DE"/>
    <w:rsid w:val="00403539"/>
    <w:rsid w:val="00403585"/>
    <w:rsid w:val="0040365C"/>
    <w:rsid w:val="00403698"/>
    <w:rsid w:val="004036F0"/>
    <w:rsid w:val="004036F2"/>
    <w:rsid w:val="00403811"/>
    <w:rsid w:val="00403857"/>
    <w:rsid w:val="0040385E"/>
    <w:rsid w:val="004038F9"/>
    <w:rsid w:val="0040396D"/>
    <w:rsid w:val="00403AC7"/>
    <w:rsid w:val="00403CD7"/>
    <w:rsid w:val="00403E01"/>
    <w:rsid w:val="00403E04"/>
    <w:rsid w:val="00403E1E"/>
    <w:rsid w:val="00403F97"/>
    <w:rsid w:val="00404083"/>
    <w:rsid w:val="004041CB"/>
    <w:rsid w:val="004041D1"/>
    <w:rsid w:val="00404217"/>
    <w:rsid w:val="0040445A"/>
    <w:rsid w:val="004045E4"/>
    <w:rsid w:val="00404A7E"/>
    <w:rsid w:val="00404BB9"/>
    <w:rsid w:val="00404C83"/>
    <w:rsid w:val="00404D32"/>
    <w:rsid w:val="00404D53"/>
    <w:rsid w:val="00404D90"/>
    <w:rsid w:val="00404E18"/>
    <w:rsid w:val="004050EF"/>
    <w:rsid w:val="00405442"/>
    <w:rsid w:val="004054D8"/>
    <w:rsid w:val="0040556C"/>
    <w:rsid w:val="004055E5"/>
    <w:rsid w:val="00405669"/>
    <w:rsid w:val="004058C7"/>
    <w:rsid w:val="00405907"/>
    <w:rsid w:val="004059F8"/>
    <w:rsid w:val="00405A68"/>
    <w:rsid w:val="00405C4F"/>
    <w:rsid w:val="00405CA7"/>
    <w:rsid w:val="00405CB8"/>
    <w:rsid w:val="00405D19"/>
    <w:rsid w:val="00405E22"/>
    <w:rsid w:val="00405ECC"/>
    <w:rsid w:val="00405FFD"/>
    <w:rsid w:val="004060A3"/>
    <w:rsid w:val="0040616D"/>
    <w:rsid w:val="004061AC"/>
    <w:rsid w:val="00406269"/>
    <w:rsid w:val="00406276"/>
    <w:rsid w:val="0040632D"/>
    <w:rsid w:val="004068AF"/>
    <w:rsid w:val="004069D4"/>
    <w:rsid w:val="004069EE"/>
    <w:rsid w:val="00406A3D"/>
    <w:rsid w:val="00406A48"/>
    <w:rsid w:val="00406AEF"/>
    <w:rsid w:val="00406B31"/>
    <w:rsid w:val="00406B51"/>
    <w:rsid w:val="00406C0F"/>
    <w:rsid w:val="00406D7E"/>
    <w:rsid w:val="00406D89"/>
    <w:rsid w:val="00406F8E"/>
    <w:rsid w:val="004071F6"/>
    <w:rsid w:val="0040735E"/>
    <w:rsid w:val="004075AD"/>
    <w:rsid w:val="0040761E"/>
    <w:rsid w:val="00407710"/>
    <w:rsid w:val="0040776E"/>
    <w:rsid w:val="00407797"/>
    <w:rsid w:val="004077DD"/>
    <w:rsid w:val="00407927"/>
    <w:rsid w:val="00407AC1"/>
    <w:rsid w:val="00407B35"/>
    <w:rsid w:val="00407D60"/>
    <w:rsid w:val="00407D93"/>
    <w:rsid w:val="00407E42"/>
    <w:rsid w:val="00407E79"/>
    <w:rsid w:val="00407F2D"/>
    <w:rsid w:val="004100C8"/>
    <w:rsid w:val="00410161"/>
    <w:rsid w:val="004101DD"/>
    <w:rsid w:val="0041055A"/>
    <w:rsid w:val="004105F1"/>
    <w:rsid w:val="00410678"/>
    <w:rsid w:val="00410729"/>
    <w:rsid w:val="00410777"/>
    <w:rsid w:val="004107C6"/>
    <w:rsid w:val="0041082D"/>
    <w:rsid w:val="004109B1"/>
    <w:rsid w:val="00410D37"/>
    <w:rsid w:val="00410F2A"/>
    <w:rsid w:val="0041109C"/>
    <w:rsid w:val="004110F7"/>
    <w:rsid w:val="004111F6"/>
    <w:rsid w:val="004112C1"/>
    <w:rsid w:val="004114A3"/>
    <w:rsid w:val="004115F0"/>
    <w:rsid w:val="004116C1"/>
    <w:rsid w:val="00411795"/>
    <w:rsid w:val="004117F5"/>
    <w:rsid w:val="00411B69"/>
    <w:rsid w:val="00411C70"/>
    <w:rsid w:val="00411CE7"/>
    <w:rsid w:val="00411DDF"/>
    <w:rsid w:val="00411E9A"/>
    <w:rsid w:val="00412209"/>
    <w:rsid w:val="004123B3"/>
    <w:rsid w:val="004124BA"/>
    <w:rsid w:val="00412548"/>
    <w:rsid w:val="0041258F"/>
    <w:rsid w:val="004125EC"/>
    <w:rsid w:val="004126AF"/>
    <w:rsid w:val="004126E1"/>
    <w:rsid w:val="00412705"/>
    <w:rsid w:val="004127DF"/>
    <w:rsid w:val="004129CE"/>
    <w:rsid w:val="004129FB"/>
    <w:rsid w:val="00412A33"/>
    <w:rsid w:val="00412A5E"/>
    <w:rsid w:val="00412C49"/>
    <w:rsid w:val="00412CD2"/>
    <w:rsid w:val="00412EDC"/>
    <w:rsid w:val="00412F88"/>
    <w:rsid w:val="0041302D"/>
    <w:rsid w:val="004131CA"/>
    <w:rsid w:val="0041339F"/>
    <w:rsid w:val="004133B9"/>
    <w:rsid w:val="00413628"/>
    <w:rsid w:val="00413636"/>
    <w:rsid w:val="00413644"/>
    <w:rsid w:val="00413956"/>
    <w:rsid w:val="00413ACE"/>
    <w:rsid w:val="00413B1D"/>
    <w:rsid w:val="00413CFA"/>
    <w:rsid w:val="00413D93"/>
    <w:rsid w:val="00413F01"/>
    <w:rsid w:val="004141F4"/>
    <w:rsid w:val="0041423E"/>
    <w:rsid w:val="00414302"/>
    <w:rsid w:val="00414386"/>
    <w:rsid w:val="004143C1"/>
    <w:rsid w:val="004143F9"/>
    <w:rsid w:val="00414466"/>
    <w:rsid w:val="00414468"/>
    <w:rsid w:val="004144A4"/>
    <w:rsid w:val="004146F2"/>
    <w:rsid w:val="004146FF"/>
    <w:rsid w:val="00414917"/>
    <w:rsid w:val="004149C0"/>
    <w:rsid w:val="00414E8C"/>
    <w:rsid w:val="00414EB8"/>
    <w:rsid w:val="00414ED0"/>
    <w:rsid w:val="0041527A"/>
    <w:rsid w:val="004153CA"/>
    <w:rsid w:val="00415498"/>
    <w:rsid w:val="00415511"/>
    <w:rsid w:val="00415641"/>
    <w:rsid w:val="00415661"/>
    <w:rsid w:val="00415792"/>
    <w:rsid w:val="00415A10"/>
    <w:rsid w:val="00415A6A"/>
    <w:rsid w:val="00415B17"/>
    <w:rsid w:val="00415B58"/>
    <w:rsid w:val="00415C37"/>
    <w:rsid w:val="00415F65"/>
    <w:rsid w:val="00416024"/>
    <w:rsid w:val="00416069"/>
    <w:rsid w:val="00416070"/>
    <w:rsid w:val="00416258"/>
    <w:rsid w:val="004164D5"/>
    <w:rsid w:val="00416522"/>
    <w:rsid w:val="00416752"/>
    <w:rsid w:val="00416842"/>
    <w:rsid w:val="004168C3"/>
    <w:rsid w:val="00416B00"/>
    <w:rsid w:val="00416BA0"/>
    <w:rsid w:val="00416BD2"/>
    <w:rsid w:val="00416C52"/>
    <w:rsid w:val="00416CE5"/>
    <w:rsid w:val="00416D5B"/>
    <w:rsid w:val="00416DE9"/>
    <w:rsid w:val="00416E4E"/>
    <w:rsid w:val="004171E9"/>
    <w:rsid w:val="00417205"/>
    <w:rsid w:val="00417487"/>
    <w:rsid w:val="004175A7"/>
    <w:rsid w:val="004175DC"/>
    <w:rsid w:val="004176EA"/>
    <w:rsid w:val="00417889"/>
    <w:rsid w:val="004178CF"/>
    <w:rsid w:val="00417A48"/>
    <w:rsid w:val="00417B45"/>
    <w:rsid w:val="00417B77"/>
    <w:rsid w:val="00417BF8"/>
    <w:rsid w:val="00417CB1"/>
    <w:rsid w:val="00417D0B"/>
    <w:rsid w:val="00417D1D"/>
    <w:rsid w:val="00417DD7"/>
    <w:rsid w:val="00417DF1"/>
    <w:rsid w:val="00417F7E"/>
    <w:rsid w:val="0042027C"/>
    <w:rsid w:val="004203A7"/>
    <w:rsid w:val="004203DA"/>
    <w:rsid w:val="004204AF"/>
    <w:rsid w:val="004204C3"/>
    <w:rsid w:val="004204DE"/>
    <w:rsid w:val="00420741"/>
    <w:rsid w:val="00420757"/>
    <w:rsid w:val="00420847"/>
    <w:rsid w:val="004209BC"/>
    <w:rsid w:val="00420BA0"/>
    <w:rsid w:val="00420E7B"/>
    <w:rsid w:val="00420EC0"/>
    <w:rsid w:val="0042118E"/>
    <w:rsid w:val="004212D3"/>
    <w:rsid w:val="0042132B"/>
    <w:rsid w:val="004213B4"/>
    <w:rsid w:val="0042155E"/>
    <w:rsid w:val="004215FB"/>
    <w:rsid w:val="0042161D"/>
    <w:rsid w:val="0042161E"/>
    <w:rsid w:val="004217FE"/>
    <w:rsid w:val="00421915"/>
    <w:rsid w:val="0042193F"/>
    <w:rsid w:val="00421CC7"/>
    <w:rsid w:val="00421D3B"/>
    <w:rsid w:val="00421DC7"/>
    <w:rsid w:val="00421E07"/>
    <w:rsid w:val="00421E26"/>
    <w:rsid w:val="00421EBC"/>
    <w:rsid w:val="00421F6A"/>
    <w:rsid w:val="0042212F"/>
    <w:rsid w:val="004221DA"/>
    <w:rsid w:val="004221E7"/>
    <w:rsid w:val="00422250"/>
    <w:rsid w:val="00422277"/>
    <w:rsid w:val="00422297"/>
    <w:rsid w:val="0042232E"/>
    <w:rsid w:val="0042234C"/>
    <w:rsid w:val="004223B7"/>
    <w:rsid w:val="004223EE"/>
    <w:rsid w:val="00422421"/>
    <w:rsid w:val="00422493"/>
    <w:rsid w:val="00422555"/>
    <w:rsid w:val="0042260B"/>
    <w:rsid w:val="00422935"/>
    <w:rsid w:val="00422B01"/>
    <w:rsid w:val="00422BCD"/>
    <w:rsid w:val="00422D3D"/>
    <w:rsid w:val="00422EC1"/>
    <w:rsid w:val="0042309D"/>
    <w:rsid w:val="004232B0"/>
    <w:rsid w:val="004233E1"/>
    <w:rsid w:val="004234F0"/>
    <w:rsid w:val="00423699"/>
    <w:rsid w:val="00423993"/>
    <w:rsid w:val="00423A29"/>
    <w:rsid w:val="00423B32"/>
    <w:rsid w:val="00423BB1"/>
    <w:rsid w:val="00423C23"/>
    <w:rsid w:val="00423C64"/>
    <w:rsid w:val="00423D8C"/>
    <w:rsid w:val="00423DB2"/>
    <w:rsid w:val="00423F32"/>
    <w:rsid w:val="00423F64"/>
    <w:rsid w:val="00423F71"/>
    <w:rsid w:val="0042410A"/>
    <w:rsid w:val="00424390"/>
    <w:rsid w:val="004243B6"/>
    <w:rsid w:val="004244CF"/>
    <w:rsid w:val="0042459A"/>
    <w:rsid w:val="004246CE"/>
    <w:rsid w:val="00424717"/>
    <w:rsid w:val="00424A26"/>
    <w:rsid w:val="00424B49"/>
    <w:rsid w:val="00424B75"/>
    <w:rsid w:val="00424BE8"/>
    <w:rsid w:val="00424BFF"/>
    <w:rsid w:val="00424C63"/>
    <w:rsid w:val="00424C65"/>
    <w:rsid w:val="00424CB6"/>
    <w:rsid w:val="00424CF5"/>
    <w:rsid w:val="00424E88"/>
    <w:rsid w:val="00424EC0"/>
    <w:rsid w:val="00424F0C"/>
    <w:rsid w:val="00424F7B"/>
    <w:rsid w:val="00424FBA"/>
    <w:rsid w:val="004251F2"/>
    <w:rsid w:val="004252F7"/>
    <w:rsid w:val="00425756"/>
    <w:rsid w:val="0042578F"/>
    <w:rsid w:val="00425791"/>
    <w:rsid w:val="00425815"/>
    <w:rsid w:val="004258F1"/>
    <w:rsid w:val="00425A4E"/>
    <w:rsid w:val="00425AB2"/>
    <w:rsid w:val="00425C5F"/>
    <w:rsid w:val="00425CC3"/>
    <w:rsid w:val="00425DDF"/>
    <w:rsid w:val="00425E7E"/>
    <w:rsid w:val="004260C7"/>
    <w:rsid w:val="00426272"/>
    <w:rsid w:val="00426392"/>
    <w:rsid w:val="004263A6"/>
    <w:rsid w:val="004263DD"/>
    <w:rsid w:val="004263E0"/>
    <w:rsid w:val="00426480"/>
    <w:rsid w:val="00426548"/>
    <w:rsid w:val="00426593"/>
    <w:rsid w:val="004265D4"/>
    <w:rsid w:val="0042660E"/>
    <w:rsid w:val="00426769"/>
    <w:rsid w:val="00426898"/>
    <w:rsid w:val="00426A2A"/>
    <w:rsid w:val="00426A39"/>
    <w:rsid w:val="00426C06"/>
    <w:rsid w:val="00426C11"/>
    <w:rsid w:val="00426C40"/>
    <w:rsid w:val="00426EA3"/>
    <w:rsid w:val="00426EF1"/>
    <w:rsid w:val="00426F0F"/>
    <w:rsid w:val="00426F36"/>
    <w:rsid w:val="0042700F"/>
    <w:rsid w:val="0042717F"/>
    <w:rsid w:val="0042745C"/>
    <w:rsid w:val="00427565"/>
    <w:rsid w:val="00427572"/>
    <w:rsid w:val="00427673"/>
    <w:rsid w:val="00427766"/>
    <w:rsid w:val="004277F8"/>
    <w:rsid w:val="0042792F"/>
    <w:rsid w:val="00427A24"/>
    <w:rsid w:val="00427A65"/>
    <w:rsid w:val="00427B4B"/>
    <w:rsid w:val="00427BEF"/>
    <w:rsid w:val="00427F4D"/>
    <w:rsid w:val="00427FA3"/>
    <w:rsid w:val="0043003E"/>
    <w:rsid w:val="00430090"/>
    <w:rsid w:val="0043010F"/>
    <w:rsid w:val="00430120"/>
    <w:rsid w:val="00430124"/>
    <w:rsid w:val="00430139"/>
    <w:rsid w:val="004301B4"/>
    <w:rsid w:val="00430366"/>
    <w:rsid w:val="004304E4"/>
    <w:rsid w:val="00430623"/>
    <w:rsid w:val="0043070B"/>
    <w:rsid w:val="0043075C"/>
    <w:rsid w:val="00430808"/>
    <w:rsid w:val="004308BE"/>
    <w:rsid w:val="00430B4B"/>
    <w:rsid w:val="00430B5D"/>
    <w:rsid w:val="00430C0A"/>
    <w:rsid w:val="00430F37"/>
    <w:rsid w:val="00430F84"/>
    <w:rsid w:val="00431037"/>
    <w:rsid w:val="004310AB"/>
    <w:rsid w:val="00431151"/>
    <w:rsid w:val="004312B3"/>
    <w:rsid w:val="004312BD"/>
    <w:rsid w:val="00431340"/>
    <w:rsid w:val="004313B0"/>
    <w:rsid w:val="004313F9"/>
    <w:rsid w:val="00431501"/>
    <w:rsid w:val="004315AB"/>
    <w:rsid w:val="004316D8"/>
    <w:rsid w:val="004316EA"/>
    <w:rsid w:val="00431913"/>
    <w:rsid w:val="004319DD"/>
    <w:rsid w:val="00431B5A"/>
    <w:rsid w:val="00431B6F"/>
    <w:rsid w:val="00431CF2"/>
    <w:rsid w:val="00431DC0"/>
    <w:rsid w:val="00431DCB"/>
    <w:rsid w:val="00431E50"/>
    <w:rsid w:val="00431ECC"/>
    <w:rsid w:val="004321F7"/>
    <w:rsid w:val="0043252B"/>
    <w:rsid w:val="004326DE"/>
    <w:rsid w:val="004327F1"/>
    <w:rsid w:val="0043293E"/>
    <w:rsid w:val="00432AB7"/>
    <w:rsid w:val="00432E3B"/>
    <w:rsid w:val="0043303C"/>
    <w:rsid w:val="004330D7"/>
    <w:rsid w:val="004331FE"/>
    <w:rsid w:val="00433386"/>
    <w:rsid w:val="00433392"/>
    <w:rsid w:val="0043339C"/>
    <w:rsid w:val="004333D1"/>
    <w:rsid w:val="004334E2"/>
    <w:rsid w:val="0043391E"/>
    <w:rsid w:val="00433CFC"/>
    <w:rsid w:val="00433D5A"/>
    <w:rsid w:val="00433EFB"/>
    <w:rsid w:val="00433F42"/>
    <w:rsid w:val="00434073"/>
    <w:rsid w:val="004340D7"/>
    <w:rsid w:val="004340F7"/>
    <w:rsid w:val="0043422A"/>
    <w:rsid w:val="004343E4"/>
    <w:rsid w:val="004344E5"/>
    <w:rsid w:val="004345AB"/>
    <w:rsid w:val="0043482F"/>
    <w:rsid w:val="00434AC9"/>
    <w:rsid w:val="00434D6B"/>
    <w:rsid w:val="00434D7C"/>
    <w:rsid w:val="00434E47"/>
    <w:rsid w:val="00434F1B"/>
    <w:rsid w:val="00434F55"/>
    <w:rsid w:val="00435133"/>
    <w:rsid w:val="00435280"/>
    <w:rsid w:val="00435291"/>
    <w:rsid w:val="004352C8"/>
    <w:rsid w:val="00435490"/>
    <w:rsid w:val="00435542"/>
    <w:rsid w:val="0043558F"/>
    <w:rsid w:val="00435607"/>
    <w:rsid w:val="0043561D"/>
    <w:rsid w:val="004356AD"/>
    <w:rsid w:val="0043594F"/>
    <w:rsid w:val="00435C6B"/>
    <w:rsid w:val="00435C80"/>
    <w:rsid w:val="00435C9E"/>
    <w:rsid w:val="00435CBF"/>
    <w:rsid w:val="00435DE7"/>
    <w:rsid w:val="00435EC3"/>
    <w:rsid w:val="00435EE1"/>
    <w:rsid w:val="00435EEB"/>
    <w:rsid w:val="004361A7"/>
    <w:rsid w:val="00436220"/>
    <w:rsid w:val="00436275"/>
    <w:rsid w:val="00436377"/>
    <w:rsid w:val="00436455"/>
    <w:rsid w:val="004367A4"/>
    <w:rsid w:val="00436882"/>
    <w:rsid w:val="004368B7"/>
    <w:rsid w:val="004369E4"/>
    <w:rsid w:val="00436A0A"/>
    <w:rsid w:val="00436B92"/>
    <w:rsid w:val="00436BC0"/>
    <w:rsid w:val="00436CA6"/>
    <w:rsid w:val="00436E13"/>
    <w:rsid w:val="00436E9E"/>
    <w:rsid w:val="00437214"/>
    <w:rsid w:val="00437278"/>
    <w:rsid w:val="004374D1"/>
    <w:rsid w:val="0043786C"/>
    <w:rsid w:val="0043793F"/>
    <w:rsid w:val="004379DE"/>
    <w:rsid w:val="00437B59"/>
    <w:rsid w:val="00437E4F"/>
    <w:rsid w:val="00437FC1"/>
    <w:rsid w:val="0044004F"/>
    <w:rsid w:val="0044021F"/>
    <w:rsid w:val="00440285"/>
    <w:rsid w:val="0044045E"/>
    <w:rsid w:val="00440661"/>
    <w:rsid w:val="00440681"/>
    <w:rsid w:val="004408E8"/>
    <w:rsid w:val="00440DA9"/>
    <w:rsid w:val="00440DCE"/>
    <w:rsid w:val="00441189"/>
    <w:rsid w:val="004414B7"/>
    <w:rsid w:val="004414BB"/>
    <w:rsid w:val="00441516"/>
    <w:rsid w:val="0044156A"/>
    <w:rsid w:val="004415BA"/>
    <w:rsid w:val="00441795"/>
    <w:rsid w:val="0044195E"/>
    <w:rsid w:val="00441989"/>
    <w:rsid w:val="00441A67"/>
    <w:rsid w:val="00441AD4"/>
    <w:rsid w:val="00441B47"/>
    <w:rsid w:val="00441B4C"/>
    <w:rsid w:val="00441E46"/>
    <w:rsid w:val="00441E59"/>
    <w:rsid w:val="00441E71"/>
    <w:rsid w:val="00442051"/>
    <w:rsid w:val="004420AB"/>
    <w:rsid w:val="0044211B"/>
    <w:rsid w:val="0044229A"/>
    <w:rsid w:val="00442477"/>
    <w:rsid w:val="004425F7"/>
    <w:rsid w:val="004425FA"/>
    <w:rsid w:val="00442644"/>
    <w:rsid w:val="00442765"/>
    <w:rsid w:val="00442775"/>
    <w:rsid w:val="00442810"/>
    <w:rsid w:val="00442B33"/>
    <w:rsid w:val="00442BA0"/>
    <w:rsid w:val="00442D07"/>
    <w:rsid w:val="00442D1D"/>
    <w:rsid w:val="00442E32"/>
    <w:rsid w:val="00442EA9"/>
    <w:rsid w:val="00442F61"/>
    <w:rsid w:val="00443052"/>
    <w:rsid w:val="004431F7"/>
    <w:rsid w:val="00443248"/>
    <w:rsid w:val="004432FF"/>
    <w:rsid w:val="00443447"/>
    <w:rsid w:val="00443453"/>
    <w:rsid w:val="004436AC"/>
    <w:rsid w:val="00443755"/>
    <w:rsid w:val="00443994"/>
    <w:rsid w:val="004439F6"/>
    <w:rsid w:val="00443B02"/>
    <w:rsid w:val="00443B76"/>
    <w:rsid w:val="00443D43"/>
    <w:rsid w:val="00443DD5"/>
    <w:rsid w:val="00443DF9"/>
    <w:rsid w:val="00443FE4"/>
    <w:rsid w:val="00444003"/>
    <w:rsid w:val="00444603"/>
    <w:rsid w:val="0044472F"/>
    <w:rsid w:val="0044478E"/>
    <w:rsid w:val="004447D5"/>
    <w:rsid w:val="004447DC"/>
    <w:rsid w:val="004449C1"/>
    <w:rsid w:val="00444ACD"/>
    <w:rsid w:val="00444B22"/>
    <w:rsid w:val="00444BEA"/>
    <w:rsid w:val="00444C21"/>
    <w:rsid w:val="00444EDB"/>
    <w:rsid w:val="00444F64"/>
    <w:rsid w:val="00444F9B"/>
    <w:rsid w:val="0044507A"/>
    <w:rsid w:val="004452B3"/>
    <w:rsid w:val="004453BE"/>
    <w:rsid w:val="00445423"/>
    <w:rsid w:val="00445470"/>
    <w:rsid w:val="004454D5"/>
    <w:rsid w:val="00445516"/>
    <w:rsid w:val="00445577"/>
    <w:rsid w:val="0044566C"/>
    <w:rsid w:val="004457C8"/>
    <w:rsid w:val="004458C2"/>
    <w:rsid w:val="00445A7D"/>
    <w:rsid w:val="00445CFA"/>
    <w:rsid w:val="00445D84"/>
    <w:rsid w:val="0044617E"/>
    <w:rsid w:val="004461FF"/>
    <w:rsid w:val="00446269"/>
    <w:rsid w:val="0044639E"/>
    <w:rsid w:val="0044658E"/>
    <w:rsid w:val="00446847"/>
    <w:rsid w:val="004468FE"/>
    <w:rsid w:val="00446957"/>
    <w:rsid w:val="00446A10"/>
    <w:rsid w:val="00446A36"/>
    <w:rsid w:val="00446A9C"/>
    <w:rsid w:val="00446B18"/>
    <w:rsid w:val="00446BC7"/>
    <w:rsid w:val="00446EC6"/>
    <w:rsid w:val="00446FDC"/>
    <w:rsid w:val="004470AC"/>
    <w:rsid w:val="0044730C"/>
    <w:rsid w:val="004473D6"/>
    <w:rsid w:val="004475CC"/>
    <w:rsid w:val="0044765D"/>
    <w:rsid w:val="004476F8"/>
    <w:rsid w:val="0044774E"/>
    <w:rsid w:val="00447806"/>
    <w:rsid w:val="00447808"/>
    <w:rsid w:val="0044782E"/>
    <w:rsid w:val="00447B76"/>
    <w:rsid w:val="00447CFD"/>
    <w:rsid w:val="00447DD4"/>
    <w:rsid w:val="00447EED"/>
    <w:rsid w:val="00447F16"/>
    <w:rsid w:val="0045030D"/>
    <w:rsid w:val="00450346"/>
    <w:rsid w:val="004503D0"/>
    <w:rsid w:val="0045046D"/>
    <w:rsid w:val="004505CA"/>
    <w:rsid w:val="004507B1"/>
    <w:rsid w:val="0045085B"/>
    <w:rsid w:val="00450923"/>
    <w:rsid w:val="00450A96"/>
    <w:rsid w:val="00450B0F"/>
    <w:rsid w:val="00450B2D"/>
    <w:rsid w:val="00450CCA"/>
    <w:rsid w:val="004510E4"/>
    <w:rsid w:val="00451146"/>
    <w:rsid w:val="00451183"/>
    <w:rsid w:val="0045123E"/>
    <w:rsid w:val="004512AF"/>
    <w:rsid w:val="00451383"/>
    <w:rsid w:val="004513A2"/>
    <w:rsid w:val="00451454"/>
    <w:rsid w:val="00451506"/>
    <w:rsid w:val="00451507"/>
    <w:rsid w:val="00451659"/>
    <w:rsid w:val="0045172D"/>
    <w:rsid w:val="0045194F"/>
    <w:rsid w:val="0045198F"/>
    <w:rsid w:val="00451A63"/>
    <w:rsid w:val="00451A8A"/>
    <w:rsid w:val="00451B2C"/>
    <w:rsid w:val="00451DB9"/>
    <w:rsid w:val="00451EAE"/>
    <w:rsid w:val="00451EFE"/>
    <w:rsid w:val="0045201E"/>
    <w:rsid w:val="0045212B"/>
    <w:rsid w:val="004521F0"/>
    <w:rsid w:val="0045232B"/>
    <w:rsid w:val="00452349"/>
    <w:rsid w:val="004525CC"/>
    <w:rsid w:val="0045296A"/>
    <w:rsid w:val="00452A43"/>
    <w:rsid w:val="00452A89"/>
    <w:rsid w:val="00452AF5"/>
    <w:rsid w:val="00452BF9"/>
    <w:rsid w:val="00452ECC"/>
    <w:rsid w:val="004532B4"/>
    <w:rsid w:val="00453372"/>
    <w:rsid w:val="0045340D"/>
    <w:rsid w:val="004536F0"/>
    <w:rsid w:val="004537C9"/>
    <w:rsid w:val="004538CC"/>
    <w:rsid w:val="00453B2C"/>
    <w:rsid w:val="00453B2F"/>
    <w:rsid w:val="00453C29"/>
    <w:rsid w:val="00453DA1"/>
    <w:rsid w:val="00453F4A"/>
    <w:rsid w:val="0045412B"/>
    <w:rsid w:val="0045417D"/>
    <w:rsid w:val="004543BE"/>
    <w:rsid w:val="00454504"/>
    <w:rsid w:val="004545AC"/>
    <w:rsid w:val="00454689"/>
    <w:rsid w:val="004546C4"/>
    <w:rsid w:val="0045484A"/>
    <w:rsid w:val="00454852"/>
    <w:rsid w:val="00454927"/>
    <w:rsid w:val="00454956"/>
    <w:rsid w:val="0045497A"/>
    <w:rsid w:val="00454B57"/>
    <w:rsid w:val="00454CCE"/>
    <w:rsid w:val="00454D32"/>
    <w:rsid w:val="00455011"/>
    <w:rsid w:val="00455061"/>
    <w:rsid w:val="004550CE"/>
    <w:rsid w:val="0045532F"/>
    <w:rsid w:val="004553F9"/>
    <w:rsid w:val="00455488"/>
    <w:rsid w:val="004554BE"/>
    <w:rsid w:val="004554DC"/>
    <w:rsid w:val="00455564"/>
    <w:rsid w:val="00455669"/>
    <w:rsid w:val="00455680"/>
    <w:rsid w:val="0045576A"/>
    <w:rsid w:val="00455B09"/>
    <w:rsid w:val="00455B64"/>
    <w:rsid w:val="00455DC8"/>
    <w:rsid w:val="00455F22"/>
    <w:rsid w:val="00455F40"/>
    <w:rsid w:val="0045621C"/>
    <w:rsid w:val="00456598"/>
    <w:rsid w:val="00456686"/>
    <w:rsid w:val="0045678C"/>
    <w:rsid w:val="0045696F"/>
    <w:rsid w:val="004569AD"/>
    <w:rsid w:val="00456BB6"/>
    <w:rsid w:val="00456E58"/>
    <w:rsid w:val="00456F15"/>
    <w:rsid w:val="00457000"/>
    <w:rsid w:val="00457189"/>
    <w:rsid w:val="00457281"/>
    <w:rsid w:val="004577DB"/>
    <w:rsid w:val="00457829"/>
    <w:rsid w:val="004578C8"/>
    <w:rsid w:val="004578D0"/>
    <w:rsid w:val="00457933"/>
    <w:rsid w:val="00457956"/>
    <w:rsid w:val="00457988"/>
    <w:rsid w:val="004579C7"/>
    <w:rsid w:val="00457A1F"/>
    <w:rsid w:val="00457AF1"/>
    <w:rsid w:val="00457B93"/>
    <w:rsid w:val="00457C0B"/>
    <w:rsid w:val="00457EB1"/>
    <w:rsid w:val="0046004D"/>
    <w:rsid w:val="00460070"/>
    <w:rsid w:val="004600DE"/>
    <w:rsid w:val="00460216"/>
    <w:rsid w:val="00460291"/>
    <w:rsid w:val="004602C8"/>
    <w:rsid w:val="0046037D"/>
    <w:rsid w:val="004603CA"/>
    <w:rsid w:val="004604FA"/>
    <w:rsid w:val="00460602"/>
    <w:rsid w:val="00460741"/>
    <w:rsid w:val="004607A6"/>
    <w:rsid w:val="004607B5"/>
    <w:rsid w:val="004609C7"/>
    <w:rsid w:val="00460C17"/>
    <w:rsid w:val="00460E5F"/>
    <w:rsid w:val="00461036"/>
    <w:rsid w:val="004610AB"/>
    <w:rsid w:val="004611E5"/>
    <w:rsid w:val="0046120D"/>
    <w:rsid w:val="00461237"/>
    <w:rsid w:val="0046125A"/>
    <w:rsid w:val="004613D6"/>
    <w:rsid w:val="00461415"/>
    <w:rsid w:val="0046175A"/>
    <w:rsid w:val="00461B17"/>
    <w:rsid w:val="00461C76"/>
    <w:rsid w:val="00461F77"/>
    <w:rsid w:val="00461FB8"/>
    <w:rsid w:val="004620F7"/>
    <w:rsid w:val="00462400"/>
    <w:rsid w:val="004624B2"/>
    <w:rsid w:val="0046263F"/>
    <w:rsid w:val="004627A8"/>
    <w:rsid w:val="004627B2"/>
    <w:rsid w:val="004627DD"/>
    <w:rsid w:val="00462886"/>
    <w:rsid w:val="004628E2"/>
    <w:rsid w:val="004629D6"/>
    <w:rsid w:val="00462B34"/>
    <w:rsid w:val="00462BFE"/>
    <w:rsid w:val="00462DA0"/>
    <w:rsid w:val="00462EA7"/>
    <w:rsid w:val="00462F49"/>
    <w:rsid w:val="004630E0"/>
    <w:rsid w:val="00463275"/>
    <w:rsid w:val="004632D4"/>
    <w:rsid w:val="0046337B"/>
    <w:rsid w:val="004633E7"/>
    <w:rsid w:val="004634BC"/>
    <w:rsid w:val="004634D9"/>
    <w:rsid w:val="004634F4"/>
    <w:rsid w:val="0046356C"/>
    <w:rsid w:val="004636D8"/>
    <w:rsid w:val="004636EA"/>
    <w:rsid w:val="004639F7"/>
    <w:rsid w:val="00463A24"/>
    <w:rsid w:val="00463D83"/>
    <w:rsid w:val="00463FC9"/>
    <w:rsid w:val="0046416A"/>
    <w:rsid w:val="0046464D"/>
    <w:rsid w:val="004647D8"/>
    <w:rsid w:val="004648C5"/>
    <w:rsid w:val="00464BA8"/>
    <w:rsid w:val="00464C9F"/>
    <w:rsid w:val="00464D0E"/>
    <w:rsid w:val="0046508F"/>
    <w:rsid w:val="00465258"/>
    <w:rsid w:val="0046531D"/>
    <w:rsid w:val="00465370"/>
    <w:rsid w:val="00465533"/>
    <w:rsid w:val="00465650"/>
    <w:rsid w:val="00465658"/>
    <w:rsid w:val="004657C3"/>
    <w:rsid w:val="004659A3"/>
    <w:rsid w:val="004659FE"/>
    <w:rsid w:val="00465A83"/>
    <w:rsid w:val="00466027"/>
    <w:rsid w:val="00466059"/>
    <w:rsid w:val="00466089"/>
    <w:rsid w:val="00466253"/>
    <w:rsid w:val="004662E6"/>
    <w:rsid w:val="0046630D"/>
    <w:rsid w:val="004663B2"/>
    <w:rsid w:val="004664C3"/>
    <w:rsid w:val="0046657B"/>
    <w:rsid w:val="00466692"/>
    <w:rsid w:val="0046677B"/>
    <w:rsid w:val="00466808"/>
    <w:rsid w:val="00466B7D"/>
    <w:rsid w:val="00466E76"/>
    <w:rsid w:val="00466EFE"/>
    <w:rsid w:val="00466FAC"/>
    <w:rsid w:val="00466FB8"/>
    <w:rsid w:val="0046713F"/>
    <w:rsid w:val="004672FB"/>
    <w:rsid w:val="00467379"/>
    <w:rsid w:val="0046753C"/>
    <w:rsid w:val="0046759E"/>
    <w:rsid w:val="00467793"/>
    <w:rsid w:val="004677AA"/>
    <w:rsid w:val="004678A4"/>
    <w:rsid w:val="00467AF4"/>
    <w:rsid w:val="00467C68"/>
    <w:rsid w:val="00467CC9"/>
    <w:rsid w:val="00467D33"/>
    <w:rsid w:val="00467DAE"/>
    <w:rsid w:val="00467E3A"/>
    <w:rsid w:val="00467E84"/>
    <w:rsid w:val="00467F7F"/>
    <w:rsid w:val="00467F9D"/>
    <w:rsid w:val="00467FC4"/>
    <w:rsid w:val="0046B0D8"/>
    <w:rsid w:val="0046B104"/>
    <w:rsid w:val="004700D0"/>
    <w:rsid w:val="00470267"/>
    <w:rsid w:val="0047030F"/>
    <w:rsid w:val="004703CD"/>
    <w:rsid w:val="00470440"/>
    <w:rsid w:val="00470447"/>
    <w:rsid w:val="0047046A"/>
    <w:rsid w:val="00470550"/>
    <w:rsid w:val="00470636"/>
    <w:rsid w:val="004706BF"/>
    <w:rsid w:val="00470BA7"/>
    <w:rsid w:val="00470C34"/>
    <w:rsid w:val="00470D2B"/>
    <w:rsid w:val="00470EBF"/>
    <w:rsid w:val="00471456"/>
    <w:rsid w:val="004715A5"/>
    <w:rsid w:val="0047174D"/>
    <w:rsid w:val="004717E5"/>
    <w:rsid w:val="004717E9"/>
    <w:rsid w:val="0047189B"/>
    <w:rsid w:val="004719B3"/>
    <w:rsid w:val="00471A2A"/>
    <w:rsid w:val="00471A70"/>
    <w:rsid w:val="00471A94"/>
    <w:rsid w:val="00471B55"/>
    <w:rsid w:val="00471B56"/>
    <w:rsid w:val="00471B9F"/>
    <w:rsid w:val="00471BF0"/>
    <w:rsid w:val="00471C4B"/>
    <w:rsid w:val="00471E74"/>
    <w:rsid w:val="00471FEA"/>
    <w:rsid w:val="00472040"/>
    <w:rsid w:val="00472249"/>
    <w:rsid w:val="0047229B"/>
    <w:rsid w:val="004722D3"/>
    <w:rsid w:val="004724B7"/>
    <w:rsid w:val="004727DE"/>
    <w:rsid w:val="004728E9"/>
    <w:rsid w:val="004729E7"/>
    <w:rsid w:val="00472AEE"/>
    <w:rsid w:val="00472B26"/>
    <w:rsid w:val="00472C34"/>
    <w:rsid w:val="00472DA2"/>
    <w:rsid w:val="00472E46"/>
    <w:rsid w:val="004730E7"/>
    <w:rsid w:val="004731E7"/>
    <w:rsid w:val="0047334B"/>
    <w:rsid w:val="0047342A"/>
    <w:rsid w:val="00473560"/>
    <w:rsid w:val="004735B8"/>
    <w:rsid w:val="004735D2"/>
    <w:rsid w:val="00473694"/>
    <w:rsid w:val="00473961"/>
    <w:rsid w:val="00473A90"/>
    <w:rsid w:val="00473C6E"/>
    <w:rsid w:val="00473C8C"/>
    <w:rsid w:val="00473D07"/>
    <w:rsid w:val="00473DCD"/>
    <w:rsid w:val="00473DFD"/>
    <w:rsid w:val="00473FA8"/>
    <w:rsid w:val="00474066"/>
    <w:rsid w:val="00474100"/>
    <w:rsid w:val="0047437E"/>
    <w:rsid w:val="004743E2"/>
    <w:rsid w:val="00474450"/>
    <w:rsid w:val="004744E0"/>
    <w:rsid w:val="004744FD"/>
    <w:rsid w:val="004745F1"/>
    <w:rsid w:val="00474671"/>
    <w:rsid w:val="004748DA"/>
    <w:rsid w:val="004749FF"/>
    <w:rsid w:val="00474FF6"/>
    <w:rsid w:val="00474FFB"/>
    <w:rsid w:val="00475004"/>
    <w:rsid w:val="00475226"/>
    <w:rsid w:val="00475534"/>
    <w:rsid w:val="004755C9"/>
    <w:rsid w:val="0047561F"/>
    <w:rsid w:val="004757DA"/>
    <w:rsid w:val="0047584A"/>
    <w:rsid w:val="004758C0"/>
    <w:rsid w:val="004759A0"/>
    <w:rsid w:val="00475C7E"/>
    <w:rsid w:val="00475C92"/>
    <w:rsid w:val="00475D8D"/>
    <w:rsid w:val="00475E15"/>
    <w:rsid w:val="00475E77"/>
    <w:rsid w:val="00475E93"/>
    <w:rsid w:val="00475FFC"/>
    <w:rsid w:val="004762DA"/>
    <w:rsid w:val="00476382"/>
    <w:rsid w:val="004765A1"/>
    <w:rsid w:val="00476854"/>
    <w:rsid w:val="004768F6"/>
    <w:rsid w:val="00476ABC"/>
    <w:rsid w:val="00476BA9"/>
    <w:rsid w:val="00476FDA"/>
    <w:rsid w:val="0047710B"/>
    <w:rsid w:val="004772DC"/>
    <w:rsid w:val="00477568"/>
    <w:rsid w:val="00477630"/>
    <w:rsid w:val="004778B1"/>
    <w:rsid w:val="00477A25"/>
    <w:rsid w:val="00477BDD"/>
    <w:rsid w:val="00477BF4"/>
    <w:rsid w:val="00477CB3"/>
    <w:rsid w:val="00477D0B"/>
    <w:rsid w:val="004800B0"/>
    <w:rsid w:val="00480166"/>
    <w:rsid w:val="004801FD"/>
    <w:rsid w:val="0048039B"/>
    <w:rsid w:val="004803F6"/>
    <w:rsid w:val="004805D6"/>
    <w:rsid w:val="00480605"/>
    <w:rsid w:val="00480683"/>
    <w:rsid w:val="00480768"/>
    <w:rsid w:val="00480940"/>
    <w:rsid w:val="004809BC"/>
    <w:rsid w:val="00480A42"/>
    <w:rsid w:val="00480B8E"/>
    <w:rsid w:val="00480D0D"/>
    <w:rsid w:val="00480E59"/>
    <w:rsid w:val="00480EF0"/>
    <w:rsid w:val="00480FA3"/>
    <w:rsid w:val="0048119D"/>
    <w:rsid w:val="0048131C"/>
    <w:rsid w:val="00481329"/>
    <w:rsid w:val="00481442"/>
    <w:rsid w:val="00481582"/>
    <w:rsid w:val="004815BF"/>
    <w:rsid w:val="0048162C"/>
    <w:rsid w:val="004816E2"/>
    <w:rsid w:val="004817EB"/>
    <w:rsid w:val="004818CF"/>
    <w:rsid w:val="00481A6B"/>
    <w:rsid w:val="00481BB7"/>
    <w:rsid w:val="00481D3E"/>
    <w:rsid w:val="00481F0C"/>
    <w:rsid w:val="00481F19"/>
    <w:rsid w:val="00482133"/>
    <w:rsid w:val="004822E1"/>
    <w:rsid w:val="0048233D"/>
    <w:rsid w:val="004825C2"/>
    <w:rsid w:val="004825CB"/>
    <w:rsid w:val="0048261B"/>
    <w:rsid w:val="00482646"/>
    <w:rsid w:val="00482692"/>
    <w:rsid w:val="0048283E"/>
    <w:rsid w:val="004828F4"/>
    <w:rsid w:val="00482A58"/>
    <w:rsid w:val="00482BAF"/>
    <w:rsid w:val="00482D0F"/>
    <w:rsid w:val="00482D72"/>
    <w:rsid w:val="00482E26"/>
    <w:rsid w:val="00482FAF"/>
    <w:rsid w:val="00483146"/>
    <w:rsid w:val="00483208"/>
    <w:rsid w:val="00483214"/>
    <w:rsid w:val="004834A8"/>
    <w:rsid w:val="004835D0"/>
    <w:rsid w:val="004837A2"/>
    <w:rsid w:val="00483851"/>
    <w:rsid w:val="004838FF"/>
    <w:rsid w:val="00483AF7"/>
    <w:rsid w:val="00483B95"/>
    <w:rsid w:val="00483C56"/>
    <w:rsid w:val="00483D9F"/>
    <w:rsid w:val="004840DF"/>
    <w:rsid w:val="0048416F"/>
    <w:rsid w:val="004841C1"/>
    <w:rsid w:val="004841D0"/>
    <w:rsid w:val="0048451C"/>
    <w:rsid w:val="0048456E"/>
    <w:rsid w:val="00484588"/>
    <w:rsid w:val="00484626"/>
    <w:rsid w:val="0048473A"/>
    <w:rsid w:val="0048477E"/>
    <w:rsid w:val="00484C29"/>
    <w:rsid w:val="00484C32"/>
    <w:rsid w:val="00484C8A"/>
    <w:rsid w:val="00484D0A"/>
    <w:rsid w:val="00484D1A"/>
    <w:rsid w:val="00484F5B"/>
    <w:rsid w:val="004852A1"/>
    <w:rsid w:val="00485338"/>
    <w:rsid w:val="004853E8"/>
    <w:rsid w:val="00485488"/>
    <w:rsid w:val="00485493"/>
    <w:rsid w:val="004854AF"/>
    <w:rsid w:val="00485590"/>
    <w:rsid w:val="004855EC"/>
    <w:rsid w:val="0048568B"/>
    <w:rsid w:val="00485782"/>
    <w:rsid w:val="0048581F"/>
    <w:rsid w:val="0048585A"/>
    <w:rsid w:val="004858A8"/>
    <w:rsid w:val="00485E1B"/>
    <w:rsid w:val="00485FAA"/>
    <w:rsid w:val="00486153"/>
    <w:rsid w:val="00486275"/>
    <w:rsid w:val="004862B1"/>
    <w:rsid w:val="00486328"/>
    <w:rsid w:val="00486364"/>
    <w:rsid w:val="00486573"/>
    <w:rsid w:val="0048657E"/>
    <w:rsid w:val="004865AC"/>
    <w:rsid w:val="00486665"/>
    <w:rsid w:val="00486897"/>
    <w:rsid w:val="004868E2"/>
    <w:rsid w:val="00486967"/>
    <w:rsid w:val="0048699E"/>
    <w:rsid w:val="004869D9"/>
    <w:rsid w:val="00486DC4"/>
    <w:rsid w:val="00486DDA"/>
    <w:rsid w:val="004870AF"/>
    <w:rsid w:val="004871A6"/>
    <w:rsid w:val="00487371"/>
    <w:rsid w:val="004877C2"/>
    <w:rsid w:val="00487A9F"/>
    <w:rsid w:val="00487C0A"/>
    <w:rsid w:val="00487E92"/>
    <w:rsid w:val="00487F63"/>
    <w:rsid w:val="00487F71"/>
    <w:rsid w:val="004900A1"/>
    <w:rsid w:val="004902EA"/>
    <w:rsid w:val="00490431"/>
    <w:rsid w:val="00490498"/>
    <w:rsid w:val="00490548"/>
    <w:rsid w:val="004908B6"/>
    <w:rsid w:val="004908E7"/>
    <w:rsid w:val="00490A56"/>
    <w:rsid w:val="00490AE1"/>
    <w:rsid w:val="00490BC8"/>
    <w:rsid w:val="00490BE2"/>
    <w:rsid w:val="00490C9A"/>
    <w:rsid w:val="00490CAF"/>
    <w:rsid w:val="00490CB1"/>
    <w:rsid w:val="00490CB8"/>
    <w:rsid w:val="00490D2B"/>
    <w:rsid w:val="00490EE0"/>
    <w:rsid w:val="00491515"/>
    <w:rsid w:val="004917AB"/>
    <w:rsid w:val="00491989"/>
    <w:rsid w:val="004919B8"/>
    <w:rsid w:val="00491A06"/>
    <w:rsid w:val="00491B67"/>
    <w:rsid w:val="00491B74"/>
    <w:rsid w:val="00491C1A"/>
    <w:rsid w:val="00491C66"/>
    <w:rsid w:val="00491FA5"/>
    <w:rsid w:val="00492121"/>
    <w:rsid w:val="00492203"/>
    <w:rsid w:val="0049228D"/>
    <w:rsid w:val="004923C0"/>
    <w:rsid w:val="004923CE"/>
    <w:rsid w:val="00492535"/>
    <w:rsid w:val="004925BE"/>
    <w:rsid w:val="00492673"/>
    <w:rsid w:val="004927AB"/>
    <w:rsid w:val="004927C7"/>
    <w:rsid w:val="00492995"/>
    <w:rsid w:val="00492AB3"/>
    <w:rsid w:val="00492B04"/>
    <w:rsid w:val="00492B96"/>
    <w:rsid w:val="00492BB5"/>
    <w:rsid w:val="00492C0E"/>
    <w:rsid w:val="00492DC3"/>
    <w:rsid w:val="00492DCD"/>
    <w:rsid w:val="00492EDA"/>
    <w:rsid w:val="00492F7C"/>
    <w:rsid w:val="00492FC5"/>
    <w:rsid w:val="00493163"/>
    <w:rsid w:val="00493196"/>
    <w:rsid w:val="00493387"/>
    <w:rsid w:val="00493606"/>
    <w:rsid w:val="00493786"/>
    <w:rsid w:val="004938B6"/>
    <w:rsid w:val="004938DF"/>
    <w:rsid w:val="00493A85"/>
    <w:rsid w:val="00493C78"/>
    <w:rsid w:val="00493CC5"/>
    <w:rsid w:val="00493E98"/>
    <w:rsid w:val="00493F09"/>
    <w:rsid w:val="00493F8B"/>
    <w:rsid w:val="00494573"/>
    <w:rsid w:val="004945FC"/>
    <w:rsid w:val="004947F2"/>
    <w:rsid w:val="00494894"/>
    <w:rsid w:val="00494DED"/>
    <w:rsid w:val="00494E92"/>
    <w:rsid w:val="00494FF0"/>
    <w:rsid w:val="004950E9"/>
    <w:rsid w:val="0049517D"/>
    <w:rsid w:val="00495380"/>
    <w:rsid w:val="004953E6"/>
    <w:rsid w:val="0049541F"/>
    <w:rsid w:val="0049563E"/>
    <w:rsid w:val="0049570C"/>
    <w:rsid w:val="00495B07"/>
    <w:rsid w:val="00495C17"/>
    <w:rsid w:val="004960D4"/>
    <w:rsid w:val="0049610C"/>
    <w:rsid w:val="0049613D"/>
    <w:rsid w:val="00496257"/>
    <w:rsid w:val="0049626A"/>
    <w:rsid w:val="004962A1"/>
    <w:rsid w:val="004963C7"/>
    <w:rsid w:val="004964DD"/>
    <w:rsid w:val="004964E4"/>
    <w:rsid w:val="0049676B"/>
    <w:rsid w:val="00496836"/>
    <w:rsid w:val="0049683A"/>
    <w:rsid w:val="00496995"/>
    <w:rsid w:val="004969EA"/>
    <w:rsid w:val="00496BF4"/>
    <w:rsid w:val="00496D0D"/>
    <w:rsid w:val="00496D34"/>
    <w:rsid w:val="00496E5B"/>
    <w:rsid w:val="00496EA6"/>
    <w:rsid w:val="00496F61"/>
    <w:rsid w:val="004972C9"/>
    <w:rsid w:val="004974AA"/>
    <w:rsid w:val="004979CB"/>
    <w:rsid w:val="00497CE0"/>
    <w:rsid w:val="00497E2B"/>
    <w:rsid w:val="004A0226"/>
    <w:rsid w:val="004A043B"/>
    <w:rsid w:val="004A0598"/>
    <w:rsid w:val="004A077D"/>
    <w:rsid w:val="004A0866"/>
    <w:rsid w:val="004A0902"/>
    <w:rsid w:val="004A0AD8"/>
    <w:rsid w:val="004A0B9D"/>
    <w:rsid w:val="004A0CD4"/>
    <w:rsid w:val="004A0DA5"/>
    <w:rsid w:val="004A0EAF"/>
    <w:rsid w:val="004A0EF6"/>
    <w:rsid w:val="004A1464"/>
    <w:rsid w:val="004A1917"/>
    <w:rsid w:val="004A1A01"/>
    <w:rsid w:val="004A1AA7"/>
    <w:rsid w:val="004A1B4F"/>
    <w:rsid w:val="004A1BE6"/>
    <w:rsid w:val="004A1E66"/>
    <w:rsid w:val="004A2086"/>
    <w:rsid w:val="004A20B4"/>
    <w:rsid w:val="004A2127"/>
    <w:rsid w:val="004A21A2"/>
    <w:rsid w:val="004A239C"/>
    <w:rsid w:val="004A2411"/>
    <w:rsid w:val="004A242D"/>
    <w:rsid w:val="004A2449"/>
    <w:rsid w:val="004A2503"/>
    <w:rsid w:val="004A25F0"/>
    <w:rsid w:val="004A2735"/>
    <w:rsid w:val="004A276D"/>
    <w:rsid w:val="004A28AA"/>
    <w:rsid w:val="004A29A8"/>
    <w:rsid w:val="004A2AA5"/>
    <w:rsid w:val="004A2AF8"/>
    <w:rsid w:val="004A2B31"/>
    <w:rsid w:val="004A2C8E"/>
    <w:rsid w:val="004A2D79"/>
    <w:rsid w:val="004A303F"/>
    <w:rsid w:val="004A30D8"/>
    <w:rsid w:val="004A3129"/>
    <w:rsid w:val="004A333C"/>
    <w:rsid w:val="004A348F"/>
    <w:rsid w:val="004A35A8"/>
    <w:rsid w:val="004A375D"/>
    <w:rsid w:val="004A391B"/>
    <w:rsid w:val="004A3BA2"/>
    <w:rsid w:val="004A3C63"/>
    <w:rsid w:val="004A41FE"/>
    <w:rsid w:val="004A42F9"/>
    <w:rsid w:val="004A43D7"/>
    <w:rsid w:val="004A4551"/>
    <w:rsid w:val="004A473C"/>
    <w:rsid w:val="004A4C46"/>
    <w:rsid w:val="004A4D4F"/>
    <w:rsid w:val="004A4EDA"/>
    <w:rsid w:val="004A4EEE"/>
    <w:rsid w:val="004A4F28"/>
    <w:rsid w:val="004A501D"/>
    <w:rsid w:val="004A527F"/>
    <w:rsid w:val="004A5463"/>
    <w:rsid w:val="004A54C8"/>
    <w:rsid w:val="004A5842"/>
    <w:rsid w:val="004A59D2"/>
    <w:rsid w:val="004A5A49"/>
    <w:rsid w:val="004A5A6F"/>
    <w:rsid w:val="004A5D83"/>
    <w:rsid w:val="004A5FCE"/>
    <w:rsid w:val="004A607A"/>
    <w:rsid w:val="004A6149"/>
    <w:rsid w:val="004A64C2"/>
    <w:rsid w:val="004A657E"/>
    <w:rsid w:val="004A660D"/>
    <w:rsid w:val="004A6884"/>
    <w:rsid w:val="004A695E"/>
    <w:rsid w:val="004A6CD3"/>
    <w:rsid w:val="004A6E63"/>
    <w:rsid w:val="004A6ED2"/>
    <w:rsid w:val="004A70E9"/>
    <w:rsid w:val="004A7117"/>
    <w:rsid w:val="004A71D8"/>
    <w:rsid w:val="004A74D3"/>
    <w:rsid w:val="004A7558"/>
    <w:rsid w:val="004A758C"/>
    <w:rsid w:val="004A7A16"/>
    <w:rsid w:val="004A7C40"/>
    <w:rsid w:val="004A7EE1"/>
    <w:rsid w:val="004A7F14"/>
    <w:rsid w:val="004A7FC8"/>
    <w:rsid w:val="004B0039"/>
    <w:rsid w:val="004B0160"/>
    <w:rsid w:val="004B01FA"/>
    <w:rsid w:val="004B039A"/>
    <w:rsid w:val="004B03FF"/>
    <w:rsid w:val="004B0417"/>
    <w:rsid w:val="004B0508"/>
    <w:rsid w:val="004B0606"/>
    <w:rsid w:val="004B06B1"/>
    <w:rsid w:val="004B06CE"/>
    <w:rsid w:val="004B074F"/>
    <w:rsid w:val="004B0986"/>
    <w:rsid w:val="004B0A0F"/>
    <w:rsid w:val="004B0BBE"/>
    <w:rsid w:val="004B0D24"/>
    <w:rsid w:val="004B0E35"/>
    <w:rsid w:val="004B0EF0"/>
    <w:rsid w:val="004B1049"/>
    <w:rsid w:val="004B106D"/>
    <w:rsid w:val="004B11C4"/>
    <w:rsid w:val="004B1222"/>
    <w:rsid w:val="004B12D1"/>
    <w:rsid w:val="004B13F0"/>
    <w:rsid w:val="004B1492"/>
    <w:rsid w:val="004B1799"/>
    <w:rsid w:val="004B1827"/>
    <w:rsid w:val="004B192B"/>
    <w:rsid w:val="004B1BB6"/>
    <w:rsid w:val="004B1D88"/>
    <w:rsid w:val="004B1DA7"/>
    <w:rsid w:val="004B1FAB"/>
    <w:rsid w:val="004B2106"/>
    <w:rsid w:val="004B211B"/>
    <w:rsid w:val="004B2307"/>
    <w:rsid w:val="004B23A8"/>
    <w:rsid w:val="004B2590"/>
    <w:rsid w:val="004B2613"/>
    <w:rsid w:val="004B26E1"/>
    <w:rsid w:val="004B276D"/>
    <w:rsid w:val="004B27AD"/>
    <w:rsid w:val="004B27CB"/>
    <w:rsid w:val="004B27D9"/>
    <w:rsid w:val="004B2954"/>
    <w:rsid w:val="004B2A04"/>
    <w:rsid w:val="004B2B9C"/>
    <w:rsid w:val="004B2BA7"/>
    <w:rsid w:val="004B2BAC"/>
    <w:rsid w:val="004B2D96"/>
    <w:rsid w:val="004B2EFA"/>
    <w:rsid w:val="004B2FA7"/>
    <w:rsid w:val="004B34AC"/>
    <w:rsid w:val="004B34E1"/>
    <w:rsid w:val="004B3800"/>
    <w:rsid w:val="004B39E3"/>
    <w:rsid w:val="004B3AF6"/>
    <w:rsid w:val="004B3B6F"/>
    <w:rsid w:val="004B3BAA"/>
    <w:rsid w:val="004B3CBB"/>
    <w:rsid w:val="004B3E3B"/>
    <w:rsid w:val="004B401B"/>
    <w:rsid w:val="004B4092"/>
    <w:rsid w:val="004B4120"/>
    <w:rsid w:val="004B42AB"/>
    <w:rsid w:val="004B430C"/>
    <w:rsid w:val="004B444E"/>
    <w:rsid w:val="004B4500"/>
    <w:rsid w:val="004B46B2"/>
    <w:rsid w:val="004B472A"/>
    <w:rsid w:val="004B483C"/>
    <w:rsid w:val="004B493B"/>
    <w:rsid w:val="004B4A76"/>
    <w:rsid w:val="004B5070"/>
    <w:rsid w:val="004B50F9"/>
    <w:rsid w:val="004B5174"/>
    <w:rsid w:val="004B5379"/>
    <w:rsid w:val="004B538C"/>
    <w:rsid w:val="004B53B2"/>
    <w:rsid w:val="004B53C5"/>
    <w:rsid w:val="004B54D0"/>
    <w:rsid w:val="004B55A0"/>
    <w:rsid w:val="004B56BB"/>
    <w:rsid w:val="004B57BC"/>
    <w:rsid w:val="004B59D1"/>
    <w:rsid w:val="004B5A01"/>
    <w:rsid w:val="004B5AEB"/>
    <w:rsid w:val="004B5B3F"/>
    <w:rsid w:val="004B5C10"/>
    <w:rsid w:val="004B5D4E"/>
    <w:rsid w:val="004B5EA9"/>
    <w:rsid w:val="004B5F30"/>
    <w:rsid w:val="004B6043"/>
    <w:rsid w:val="004B6321"/>
    <w:rsid w:val="004B6406"/>
    <w:rsid w:val="004B668A"/>
    <w:rsid w:val="004B6B00"/>
    <w:rsid w:val="004B6E7B"/>
    <w:rsid w:val="004B6E9E"/>
    <w:rsid w:val="004B71A8"/>
    <w:rsid w:val="004B72E6"/>
    <w:rsid w:val="004B7571"/>
    <w:rsid w:val="004B7620"/>
    <w:rsid w:val="004B77D5"/>
    <w:rsid w:val="004B7808"/>
    <w:rsid w:val="004B78D0"/>
    <w:rsid w:val="004B7972"/>
    <w:rsid w:val="004B7B6F"/>
    <w:rsid w:val="004B7BF5"/>
    <w:rsid w:val="004B7CF0"/>
    <w:rsid w:val="004B7D6B"/>
    <w:rsid w:val="004B7DD8"/>
    <w:rsid w:val="004B7F27"/>
    <w:rsid w:val="004C0096"/>
    <w:rsid w:val="004C00F5"/>
    <w:rsid w:val="004C026A"/>
    <w:rsid w:val="004C02BA"/>
    <w:rsid w:val="004C0342"/>
    <w:rsid w:val="004C04D6"/>
    <w:rsid w:val="004C04F1"/>
    <w:rsid w:val="004C0520"/>
    <w:rsid w:val="004C0526"/>
    <w:rsid w:val="004C07BE"/>
    <w:rsid w:val="004C09AB"/>
    <w:rsid w:val="004C09EF"/>
    <w:rsid w:val="004C0D08"/>
    <w:rsid w:val="004C0D6F"/>
    <w:rsid w:val="004C0F1D"/>
    <w:rsid w:val="004C0F82"/>
    <w:rsid w:val="004C10B8"/>
    <w:rsid w:val="004C1353"/>
    <w:rsid w:val="004C1389"/>
    <w:rsid w:val="004C13AC"/>
    <w:rsid w:val="004C15D6"/>
    <w:rsid w:val="004C160F"/>
    <w:rsid w:val="004C1686"/>
    <w:rsid w:val="004C17D2"/>
    <w:rsid w:val="004C1854"/>
    <w:rsid w:val="004C190A"/>
    <w:rsid w:val="004C192C"/>
    <w:rsid w:val="004C1A33"/>
    <w:rsid w:val="004C1B64"/>
    <w:rsid w:val="004C1CBE"/>
    <w:rsid w:val="004C1D10"/>
    <w:rsid w:val="004C1EBF"/>
    <w:rsid w:val="004C1F7F"/>
    <w:rsid w:val="004C1FB9"/>
    <w:rsid w:val="004C2077"/>
    <w:rsid w:val="004C24CF"/>
    <w:rsid w:val="004C289E"/>
    <w:rsid w:val="004C2947"/>
    <w:rsid w:val="004C2AE7"/>
    <w:rsid w:val="004C2D7E"/>
    <w:rsid w:val="004C2E90"/>
    <w:rsid w:val="004C3066"/>
    <w:rsid w:val="004C32B1"/>
    <w:rsid w:val="004C33BD"/>
    <w:rsid w:val="004C369A"/>
    <w:rsid w:val="004C3940"/>
    <w:rsid w:val="004C3B90"/>
    <w:rsid w:val="004C3BBB"/>
    <w:rsid w:val="004C3C1E"/>
    <w:rsid w:val="004C3C53"/>
    <w:rsid w:val="004C3D60"/>
    <w:rsid w:val="004C3F9E"/>
    <w:rsid w:val="004C4163"/>
    <w:rsid w:val="004C42A7"/>
    <w:rsid w:val="004C4537"/>
    <w:rsid w:val="004C4540"/>
    <w:rsid w:val="004C455A"/>
    <w:rsid w:val="004C472A"/>
    <w:rsid w:val="004C4779"/>
    <w:rsid w:val="004C4924"/>
    <w:rsid w:val="004C49FA"/>
    <w:rsid w:val="004C4AE3"/>
    <w:rsid w:val="004C4BDD"/>
    <w:rsid w:val="004C4C70"/>
    <w:rsid w:val="004C4CED"/>
    <w:rsid w:val="004C4D6F"/>
    <w:rsid w:val="004C4DBF"/>
    <w:rsid w:val="004C4F71"/>
    <w:rsid w:val="004C50A1"/>
    <w:rsid w:val="004C50AD"/>
    <w:rsid w:val="004C50D9"/>
    <w:rsid w:val="004C51C0"/>
    <w:rsid w:val="004C5297"/>
    <w:rsid w:val="004C5317"/>
    <w:rsid w:val="004C53B6"/>
    <w:rsid w:val="004C5571"/>
    <w:rsid w:val="004C55F6"/>
    <w:rsid w:val="004C5645"/>
    <w:rsid w:val="004C5745"/>
    <w:rsid w:val="004C5870"/>
    <w:rsid w:val="004C5875"/>
    <w:rsid w:val="004C5CBB"/>
    <w:rsid w:val="004C5D9F"/>
    <w:rsid w:val="004C5E36"/>
    <w:rsid w:val="004C6109"/>
    <w:rsid w:val="004C618A"/>
    <w:rsid w:val="004C629F"/>
    <w:rsid w:val="004C63F2"/>
    <w:rsid w:val="004C6402"/>
    <w:rsid w:val="004C6600"/>
    <w:rsid w:val="004C68FA"/>
    <w:rsid w:val="004C6A28"/>
    <w:rsid w:val="004C6EB6"/>
    <w:rsid w:val="004C7097"/>
    <w:rsid w:val="004C70F9"/>
    <w:rsid w:val="004C7307"/>
    <w:rsid w:val="004C7322"/>
    <w:rsid w:val="004C737C"/>
    <w:rsid w:val="004C7453"/>
    <w:rsid w:val="004C772E"/>
    <w:rsid w:val="004C7749"/>
    <w:rsid w:val="004C7762"/>
    <w:rsid w:val="004C7811"/>
    <w:rsid w:val="004C796B"/>
    <w:rsid w:val="004C7994"/>
    <w:rsid w:val="004C79B1"/>
    <w:rsid w:val="004C7AAD"/>
    <w:rsid w:val="004C7B0C"/>
    <w:rsid w:val="004C7C4C"/>
    <w:rsid w:val="004C7CB0"/>
    <w:rsid w:val="004C7D36"/>
    <w:rsid w:val="004C7F95"/>
    <w:rsid w:val="004D035C"/>
    <w:rsid w:val="004D03EA"/>
    <w:rsid w:val="004D0428"/>
    <w:rsid w:val="004D0581"/>
    <w:rsid w:val="004D0595"/>
    <w:rsid w:val="004D066C"/>
    <w:rsid w:val="004D0843"/>
    <w:rsid w:val="004D0B8F"/>
    <w:rsid w:val="004D0CE5"/>
    <w:rsid w:val="004D0D1E"/>
    <w:rsid w:val="004D0D3C"/>
    <w:rsid w:val="004D1009"/>
    <w:rsid w:val="004D11C3"/>
    <w:rsid w:val="004D120A"/>
    <w:rsid w:val="004D12DE"/>
    <w:rsid w:val="004D13D2"/>
    <w:rsid w:val="004D161A"/>
    <w:rsid w:val="004D163D"/>
    <w:rsid w:val="004D16EC"/>
    <w:rsid w:val="004D17C5"/>
    <w:rsid w:val="004D17F7"/>
    <w:rsid w:val="004D1802"/>
    <w:rsid w:val="004D1809"/>
    <w:rsid w:val="004D1A29"/>
    <w:rsid w:val="004D1C28"/>
    <w:rsid w:val="004D1C4C"/>
    <w:rsid w:val="004D1D1B"/>
    <w:rsid w:val="004D1D1E"/>
    <w:rsid w:val="004D2075"/>
    <w:rsid w:val="004D20B0"/>
    <w:rsid w:val="004D231B"/>
    <w:rsid w:val="004D243B"/>
    <w:rsid w:val="004D25FD"/>
    <w:rsid w:val="004D272B"/>
    <w:rsid w:val="004D2B97"/>
    <w:rsid w:val="004D2C46"/>
    <w:rsid w:val="004D3009"/>
    <w:rsid w:val="004D3159"/>
    <w:rsid w:val="004D3392"/>
    <w:rsid w:val="004D370F"/>
    <w:rsid w:val="004D38A0"/>
    <w:rsid w:val="004D39CC"/>
    <w:rsid w:val="004D3BFA"/>
    <w:rsid w:val="004D3C96"/>
    <w:rsid w:val="004D3CBB"/>
    <w:rsid w:val="004D3D3C"/>
    <w:rsid w:val="004D3FFE"/>
    <w:rsid w:val="004D401B"/>
    <w:rsid w:val="004D4066"/>
    <w:rsid w:val="004D4180"/>
    <w:rsid w:val="004D449F"/>
    <w:rsid w:val="004D44B6"/>
    <w:rsid w:val="004D4612"/>
    <w:rsid w:val="004D462D"/>
    <w:rsid w:val="004D4637"/>
    <w:rsid w:val="004D4BB5"/>
    <w:rsid w:val="004D4C13"/>
    <w:rsid w:val="004D4C20"/>
    <w:rsid w:val="004D51F0"/>
    <w:rsid w:val="004D5285"/>
    <w:rsid w:val="004D5787"/>
    <w:rsid w:val="004D57F9"/>
    <w:rsid w:val="004D58D4"/>
    <w:rsid w:val="004D5B53"/>
    <w:rsid w:val="004D5CB6"/>
    <w:rsid w:val="004D5D68"/>
    <w:rsid w:val="004D5D7E"/>
    <w:rsid w:val="004D5F84"/>
    <w:rsid w:val="004D60F5"/>
    <w:rsid w:val="004D618C"/>
    <w:rsid w:val="004D627D"/>
    <w:rsid w:val="004D62A1"/>
    <w:rsid w:val="004D6372"/>
    <w:rsid w:val="004D647C"/>
    <w:rsid w:val="004D6530"/>
    <w:rsid w:val="004D695D"/>
    <w:rsid w:val="004D698B"/>
    <w:rsid w:val="004D6C0E"/>
    <w:rsid w:val="004D6F6F"/>
    <w:rsid w:val="004D7132"/>
    <w:rsid w:val="004D71E6"/>
    <w:rsid w:val="004D7311"/>
    <w:rsid w:val="004D748B"/>
    <w:rsid w:val="004D7620"/>
    <w:rsid w:val="004D7663"/>
    <w:rsid w:val="004D772C"/>
    <w:rsid w:val="004D7740"/>
    <w:rsid w:val="004D7773"/>
    <w:rsid w:val="004D77BE"/>
    <w:rsid w:val="004D7DCD"/>
    <w:rsid w:val="004D7E16"/>
    <w:rsid w:val="004D7F9E"/>
    <w:rsid w:val="004E0048"/>
    <w:rsid w:val="004E0096"/>
    <w:rsid w:val="004E00D6"/>
    <w:rsid w:val="004E0221"/>
    <w:rsid w:val="004E05C0"/>
    <w:rsid w:val="004E0627"/>
    <w:rsid w:val="004E0674"/>
    <w:rsid w:val="004E06DE"/>
    <w:rsid w:val="004E0799"/>
    <w:rsid w:val="004E0814"/>
    <w:rsid w:val="004E08BD"/>
    <w:rsid w:val="004E09B4"/>
    <w:rsid w:val="004E0AD4"/>
    <w:rsid w:val="004E0C44"/>
    <w:rsid w:val="004E0D8D"/>
    <w:rsid w:val="004E1027"/>
    <w:rsid w:val="004E10BA"/>
    <w:rsid w:val="004E11D9"/>
    <w:rsid w:val="004E124E"/>
    <w:rsid w:val="004E1293"/>
    <w:rsid w:val="004E1578"/>
    <w:rsid w:val="004E167E"/>
    <w:rsid w:val="004E1720"/>
    <w:rsid w:val="004E197C"/>
    <w:rsid w:val="004E1A23"/>
    <w:rsid w:val="004E21EB"/>
    <w:rsid w:val="004E2226"/>
    <w:rsid w:val="004E223F"/>
    <w:rsid w:val="004E2330"/>
    <w:rsid w:val="004E2385"/>
    <w:rsid w:val="004E2480"/>
    <w:rsid w:val="004E24E7"/>
    <w:rsid w:val="004E2513"/>
    <w:rsid w:val="004E2877"/>
    <w:rsid w:val="004E2967"/>
    <w:rsid w:val="004E2B3E"/>
    <w:rsid w:val="004E2B6F"/>
    <w:rsid w:val="004E2BBE"/>
    <w:rsid w:val="004E2D0D"/>
    <w:rsid w:val="004E2D68"/>
    <w:rsid w:val="004E2E74"/>
    <w:rsid w:val="004E2F1E"/>
    <w:rsid w:val="004E2FC0"/>
    <w:rsid w:val="004E30AA"/>
    <w:rsid w:val="004E316F"/>
    <w:rsid w:val="004E319D"/>
    <w:rsid w:val="004E32FA"/>
    <w:rsid w:val="004E3305"/>
    <w:rsid w:val="004E3526"/>
    <w:rsid w:val="004E3581"/>
    <w:rsid w:val="004E35AC"/>
    <w:rsid w:val="004E3612"/>
    <w:rsid w:val="004E363A"/>
    <w:rsid w:val="004E3650"/>
    <w:rsid w:val="004E3741"/>
    <w:rsid w:val="004E3A0A"/>
    <w:rsid w:val="004E3A83"/>
    <w:rsid w:val="004E3B76"/>
    <w:rsid w:val="004E3BD5"/>
    <w:rsid w:val="004E3C31"/>
    <w:rsid w:val="004E3C44"/>
    <w:rsid w:val="004E3D07"/>
    <w:rsid w:val="004E3D2A"/>
    <w:rsid w:val="004E3D60"/>
    <w:rsid w:val="004E3E43"/>
    <w:rsid w:val="004E3E56"/>
    <w:rsid w:val="004E41CF"/>
    <w:rsid w:val="004E4235"/>
    <w:rsid w:val="004E46D2"/>
    <w:rsid w:val="004E4778"/>
    <w:rsid w:val="004E479B"/>
    <w:rsid w:val="004E47E8"/>
    <w:rsid w:val="004E4868"/>
    <w:rsid w:val="004E4A5B"/>
    <w:rsid w:val="004E4A5D"/>
    <w:rsid w:val="004E4A70"/>
    <w:rsid w:val="004E4C82"/>
    <w:rsid w:val="004E4E04"/>
    <w:rsid w:val="004E4F41"/>
    <w:rsid w:val="004E4F8E"/>
    <w:rsid w:val="004E500B"/>
    <w:rsid w:val="004E503D"/>
    <w:rsid w:val="004E5199"/>
    <w:rsid w:val="004E51A1"/>
    <w:rsid w:val="004E525E"/>
    <w:rsid w:val="004E539D"/>
    <w:rsid w:val="004E54CF"/>
    <w:rsid w:val="004E59CC"/>
    <w:rsid w:val="004E5A32"/>
    <w:rsid w:val="004E5B89"/>
    <w:rsid w:val="004E5BC6"/>
    <w:rsid w:val="004E5D70"/>
    <w:rsid w:val="004E5F76"/>
    <w:rsid w:val="004E605C"/>
    <w:rsid w:val="004E605F"/>
    <w:rsid w:val="004E6109"/>
    <w:rsid w:val="004E621F"/>
    <w:rsid w:val="004E6321"/>
    <w:rsid w:val="004E69FF"/>
    <w:rsid w:val="004E6A6B"/>
    <w:rsid w:val="004E6BA4"/>
    <w:rsid w:val="004E6C58"/>
    <w:rsid w:val="004E6CC0"/>
    <w:rsid w:val="004E6EF5"/>
    <w:rsid w:val="004E6F06"/>
    <w:rsid w:val="004E6F88"/>
    <w:rsid w:val="004E70CB"/>
    <w:rsid w:val="004E72E5"/>
    <w:rsid w:val="004E7468"/>
    <w:rsid w:val="004E7599"/>
    <w:rsid w:val="004E76C5"/>
    <w:rsid w:val="004E7874"/>
    <w:rsid w:val="004E787B"/>
    <w:rsid w:val="004E78FB"/>
    <w:rsid w:val="004E799F"/>
    <w:rsid w:val="004E79D2"/>
    <w:rsid w:val="004E7A70"/>
    <w:rsid w:val="004E7B55"/>
    <w:rsid w:val="004E7FB2"/>
    <w:rsid w:val="004F00BD"/>
    <w:rsid w:val="004F0102"/>
    <w:rsid w:val="004F010B"/>
    <w:rsid w:val="004F033B"/>
    <w:rsid w:val="004F05F2"/>
    <w:rsid w:val="004F06BB"/>
    <w:rsid w:val="004F09A3"/>
    <w:rsid w:val="004F09BA"/>
    <w:rsid w:val="004F09D1"/>
    <w:rsid w:val="004F09E9"/>
    <w:rsid w:val="004F0AE5"/>
    <w:rsid w:val="004F0B0B"/>
    <w:rsid w:val="004F0B25"/>
    <w:rsid w:val="004F0C57"/>
    <w:rsid w:val="004F0E0D"/>
    <w:rsid w:val="004F0E27"/>
    <w:rsid w:val="004F0E55"/>
    <w:rsid w:val="004F0EAD"/>
    <w:rsid w:val="004F0FF8"/>
    <w:rsid w:val="004F101C"/>
    <w:rsid w:val="004F1175"/>
    <w:rsid w:val="004F1482"/>
    <w:rsid w:val="004F1565"/>
    <w:rsid w:val="004F1588"/>
    <w:rsid w:val="004F15F9"/>
    <w:rsid w:val="004F16FB"/>
    <w:rsid w:val="004F1754"/>
    <w:rsid w:val="004F1A81"/>
    <w:rsid w:val="004F1E85"/>
    <w:rsid w:val="004F204C"/>
    <w:rsid w:val="004F207A"/>
    <w:rsid w:val="004F2081"/>
    <w:rsid w:val="004F20C4"/>
    <w:rsid w:val="004F2117"/>
    <w:rsid w:val="004F2183"/>
    <w:rsid w:val="004F21D8"/>
    <w:rsid w:val="004F22B4"/>
    <w:rsid w:val="004F25C1"/>
    <w:rsid w:val="004F25E7"/>
    <w:rsid w:val="004F284E"/>
    <w:rsid w:val="004F287A"/>
    <w:rsid w:val="004F293C"/>
    <w:rsid w:val="004F29AB"/>
    <w:rsid w:val="004F2AAA"/>
    <w:rsid w:val="004F2AF3"/>
    <w:rsid w:val="004F2C3B"/>
    <w:rsid w:val="004F2CA9"/>
    <w:rsid w:val="004F2D07"/>
    <w:rsid w:val="004F2D3C"/>
    <w:rsid w:val="004F2F74"/>
    <w:rsid w:val="004F3152"/>
    <w:rsid w:val="004F31AF"/>
    <w:rsid w:val="004F3211"/>
    <w:rsid w:val="004F35A8"/>
    <w:rsid w:val="004F35FD"/>
    <w:rsid w:val="004F3648"/>
    <w:rsid w:val="004F3713"/>
    <w:rsid w:val="004F3791"/>
    <w:rsid w:val="004F38F9"/>
    <w:rsid w:val="004F3B76"/>
    <w:rsid w:val="004F3E0D"/>
    <w:rsid w:val="004F3EE3"/>
    <w:rsid w:val="004F3F7E"/>
    <w:rsid w:val="004F3FED"/>
    <w:rsid w:val="004F402C"/>
    <w:rsid w:val="004F4131"/>
    <w:rsid w:val="004F41DE"/>
    <w:rsid w:val="004F4392"/>
    <w:rsid w:val="004F43F3"/>
    <w:rsid w:val="004F4423"/>
    <w:rsid w:val="004F4430"/>
    <w:rsid w:val="004F4B05"/>
    <w:rsid w:val="004F4B7D"/>
    <w:rsid w:val="004F4CAA"/>
    <w:rsid w:val="004F4E5F"/>
    <w:rsid w:val="004F5110"/>
    <w:rsid w:val="004F51D8"/>
    <w:rsid w:val="004F51E6"/>
    <w:rsid w:val="004F5209"/>
    <w:rsid w:val="004F522A"/>
    <w:rsid w:val="004F5559"/>
    <w:rsid w:val="004F55BC"/>
    <w:rsid w:val="004F5812"/>
    <w:rsid w:val="004F585A"/>
    <w:rsid w:val="004F5863"/>
    <w:rsid w:val="004F58C4"/>
    <w:rsid w:val="004F595E"/>
    <w:rsid w:val="004F5C76"/>
    <w:rsid w:val="004F5F1D"/>
    <w:rsid w:val="004F6112"/>
    <w:rsid w:val="004F6285"/>
    <w:rsid w:val="004F63F2"/>
    <w:rsid w:val="004F6437"/>
    <w:rsid w:val="004F645F"/>
    <w:rsid w:val="004F64B2"/>
    <w:rsid w:val="004F67CE"/>
    <w:rsid w:val="004F6C42"/>
    <w:rsid w:val="004F6DAC"/>
    <w:rsid w:val="004F6E0C"/>
    <w:rsid w:val="004F6E4D"/>
    <w:rsid w:val="004F6E8D"/>
    <w:rsid w:val="004F6F64"/>
    <w:rsid w:val="004F7197"/>
    <w:rsid w:val="004F74C6"/>
    <w:rsid w:val="004F74E3"/>
    <w:rsid w:val="004F74E4"/>
    <w:rsid w:val="004F7512"/>
    <w:rsid w:val="004F770D"/>
    <w:rsid w:val="004F773E"/>
    <w:rsid w:val="004F7A45"/>
    <w:rsid w:val="004F7D5C"/>
    <w:rsid w:val="004F7D9D"/>
    <w:rsid w:val="004F7E15"/>
    <w:rsid w:val="004F7E3A"/>
    <w:rsid w:val="004F7E88"/>
    <w:rsid w:val="004F7F37"/>
    <w:rsid w:val="004F7F98"/>
    <w:rsid w:val="004F7F9A"/>
    <w:rsid w:val="004F7FA8"/>
    <w:rsid w:val="0050004A"/>
    <w:rsid w:val="0050010B"/>
    <w:rsid w:val="00500148"/>
    <w:rsid w:val="0050038F"/>
    <w:rsid w:val="0050040C"/>
    <w:rsid w:val="00500443"/>
    <w:rsid w:val="0050047D"/>
    <w:rsid w:val="005006E5"/>
    <w:rsid w:val="005008CE"/>
    <w:rsid w:val="00500902"/>
    <w:rsid w:val="00500A2D"/>
    <w:rsid w:val="00500ACD"/>
    <w:rsid w:val="00500B7F"/>
    <w:rsid w:val="00500B92"/>
    <w:rsid w:val="00500DA7"/>
    <w:rsid w:val="00500F19"/>
    <w:rsid w:val="00500F4B"/>
    <w:rsid w:val="00500FF5"/>
    <w:rsid w:val="00501044"/>
    <w:rsid w:val="00501072"/>
    <w:rsid w:val="0050108C"/>
    <w:rsid w:val="005012C6"/>
    <w:rsid w:val="0050136E"/>
    <w:rsid w:val="00501386"/>
    <w:rsid w:val="00501402"/>
    <w:rsid w:val="0050141C"/>
    <w:rsid w:val="0050147A"/>
    <w:rsid w:val="005014A1"/>
    <w:rsid w:val="005016E3"/>
    <w:rsid w:val="00501980"/>
    <w:rsid w:val="00501B36"/>
    <w:rsid w:val="00501BFD"/>
    <w:rsid w:val="00501E18"/>
    <w:rsid w:val="00501E42"/>
    <w:rsid w:val="00502067"/>
    <w:rsid w:val="00502214"/>
    <w:rsid w:val="00502320"/>
    <w:rsid w:val="00502332"/>
    <w:rsid w:val="005023E1"/>
    <w:rsid w:val="0050245E"/>
    <w:rsid w:val="0050260E"/>
    <w:rsid w:val="00502641"/>
    <w:rsid w:val="005027AA"/>
    <w:rsid w:val="005028A0"/>
    <w:rsid w:val="00502A3B"/>
    <w:rsid w:val="00502AAE"/>
    <w:rsid w:val="00502C38"/>
    <w:rsid w:val="00502CAE"/>
    <w:rsid w:val="00502D3F"/>
    <w:rsid w:val="00502F04"/>
    <w:rsid w:val="0050301D"/>
    <w:rsid w:val="00503115"/>
    <w:rsid w:val="00503411"/>
    <w:rsid w:val="005035F5"/>
    <w:rsid w:val="005036BE"/>
    <w:rsid w:val="005037D1"/>
    <w:rsid w:val="005038A5"/>
    <w:rsid w:val="00503988"/>
    <w:rsid w:val="00503A37"/>
    <w:rsid w:val="00503C64"/>
    <w:rsid w:val="00503D09"/>
    <w:rsid w:val="00503D31"/>
    <w:rsid w:val="00503FE8"/>
    <w:rsid w:val="00504269"/>
    <w:rsid w:val="005044B0"/>
    <w:rsid w:val="005044BD"/>
    <w:rsid w:val="005045F4"/>
    <w:rsid w:val="0050464D"/>
    <w:rsid w:val="0050471B"/>
    <w:rsid w:val="005048B4"/>
    <w:rsid w:val="00504DE2"/>
    <w:rsid w:val="00504FE9"/>
    <w:rsid w:val="005050D6"/>
    <w:rsid w:val="00505215"/>
    <w:rsid w:val="00505321"/>
    <w:rsid w:val="005054AF"/>
    <w:rsid w:val="0050555E"/>
    <w:rsid w:val="00505588"/>
    <w:rsid w:val="0050558E"/>
    <w:rsid w:val="0050578E"/>
    <w:rsid w:val="005059ED"/>
    <w:rsid w:val="00505A47"/>
    <w:rsid w:val="00505A9F"/>
    <w:rsid w:val="00505AFB"/>
    <w:rsid w:val="00505B64"/>
    <w:rsid w:val="00505DBF"/>
    <w:rsid w:val="00505E21"/>
    <w:rsid w:val="00505F6D"/>
    <w:rsid w:val="00505F7C"/>
    <w:rsid w:val="005061FD"/>
    <w:rsid w:val="0050625B"/>
    <w:rsid w:val="0050634A"/>
    <w:rsid w:val="00506378"/>
    <w:rsid w:val="00506574"/>
    <w:rsid w:val="005065A1"/>
    <w:rsid w:val="0050663F"/>
    <w:rsid w:val="00506655"/>
    <w:rsid w:val="0050667A"/>
    <w:rsid w:val="005067FA"/>
    <w:rsid w:val="00506948"/>
    <w:rsid w:val="0050697D"/>
    <w:rsid w:val="0050701D"/>
    <w:rsid w:val="00507083"/>
    <w:rsid w:val="005071C3"/>
    <w:rsid w:val="005071C7"/>
    <w:rsid w:val="0050721D"/>
    <w:rsid w:val="005073A2"/>
    <w:rsid w:val="005075EF"/>
    <w:rsid w:val="005077A4"/>
    <w:rsid w:val="005077B4"/>
    <w:rsid w:val="00507830"/>
    <w:rsid w:val="005078C6"/>
    <w:rsid w:val="0050793A"/>
    <w:rsid w:val="00507944"/>
    <w:rsid w:val="00507B8C"/>
    <w:rsid w:val="0051018C"/>
    <w:rsid w:val="00510221"/>
    <w:rsid w:val="00510475"/>
    <w:rsid w:val="00510498"/>
    <w:rsid w:val="005105EF"/>
    <w:rsid w:val="00510623"/>
    <w:rsid w:val="00510649"/>
    <w:rsid w:val="00510918"/>
    <w:rsid w:val="0051093F"/>
    <w:rsid w:val="00510D22"/>
    <w:rsid w:val="00510DAA"/>
    <w:rsid w:val="00510DDF"/>
    <w:rsid w:val="00510ECA"/>
    <w:rsid w:val="00510F6A"/>
    <w:rsid w:val="00511071"/>
    <w:rsid w:val="0051112D"/>
    <w:rsid w:val="00511175"/>
    <w:rsid w:val="005116C0"/>
    <w:rsid w:val="005116EE"/>
    <w:rsid w:val="00511781"/>
    <w:rsid w:val="0051186A"/>
    <w:rsid w:val="005118CF"/>
    <w:rsid w:val="005118D3"/>
    <w:rsid w:val="00511A5E"/>
    <w:rsid w:val="00511AE9"/>
    <w:rsid w:val="00511B02"/>
    <w:rsid w:val="00511B0A"/>
    <w:rsid w:val="00511BA7"/>
    <w:rsid w:val="00511BBC"/>
    <w:rsid w:val="00511E18"/>
    <w:rsid w:val="00511E3B"/>
    <w:rsid w:val="005120E9"/>
    <w:rsid w:val="005123A2"/>
    <w:rsid w:val="00512487"/>
    <w:rsid w:val="00512565"/>
    <w:rsid w:val="00512922"/>
    <w:rsid w:val="005129B3"/>
    <w:rsid w:val="00512B1F"/>
    <w:rsid w:val="00512C1A"/>
    <w:rsid w:val="00512CB6"/>
    <w:rsid w:val="00512DA0"/>
    <w:rsid w:val="00512FEC"/>
    <w:rsid w:val="00513072"/>
    <w:rsid w:val="005130FB"/>
    <w:rsid w:val="005131FE"/>
    <w:rsid w:val="00513211"/>
    <w:rsid w:val="00513245"/>
    <w:rsid w:val="0051325A"/>
    <w:rsid w:val="0051334B"/>
    <w:rsid w:val="0051362E"/>
    <w:rsid w:val="00513699"/>
    <w:rsid w:val="0051372F"/>
    <w:rsid w:val="00513756"/>
    <w:rsid w:val="005137C8"/>
    <w:rsid w:val="00513825"/>
    <w:rsid w:val="00513AAC"/>
    <w:rsid w:val="00513BBF"/>
    <w:rsid w:val="00513BD8"/>
    <w:rsid w:val="00513CEB"/>
    <w:rsid w:val="00514094"/>
    <w:rsid w:val="005140AE"/>
    <w:rsid w:val="0051434F"/>
    <w:rsid w:val="0051435B"/>
    <w:rsid w:val="0051464A"/>
    <w:rsid w:val="00514677"/>
    <w:rsid w:val="00514885"/>
    <w:rsid w:val="005148A6"/>
    <w:rsid w:val="005148C8"/>
    <w:rsid w:val="00514A42"/>
    <w:rsid w:val="00514A68"/>
    <w:rsid w:val="00514C82"/>
    <w:rsid w:val="00514CD0"/>
    <w:rsid w:val="00514EA5"/>
    <w:rsid w:val="00514F1E"/>
    <w:rsid w:val="0051509E"/>
    <w:rsid w:val="005151E3"/>
    <w:rsid w:val="00515262"/>
    <w:rsid w:val="005152D4"/>
    <w:rsid w:val="00515416"/>
    <w:rsid w:val="0051560A"/>
    <w:rsid w:val="0051561C"/>
    <w:rsid w:val="005156B7"/>
    <w:rsid w:val="0051571B"/>
    <w:rsid w:val="00515931"/>
    <w:rsid w:val="00515B56"/>
    <w:rsid w:val="00515B75"/>
    <w:rsid w:val="00515CCA"/>
    <w:rsid w:val="00515D9D"/>
    <w:rsid w:val="00515DAD"/>
    <w:rsid w:val="00515E0C"/>
    <w:rsid w:val="00515E26"/>
    <w:rsid w:val="00515FD7"/>
    <w:rsid w:val="00516010"/>
    <w:rsid w:val="00516538"/>
    <w:rsid w:val="00516687"/>
    <w:rsid w:val="005166E4"/>
    <w:rsid w:val="0051679B"/>
    <w:rsid w:val="005167AB"/>
    <w:rsid w:val="0051688E"/>
    <w:rsid w:val="005168BD"/>
    <w:rsid w:val="005169E0"/>
    <w:rsid w:val="005169F8"/>
    <w:rsid w:val="00516A3F"/>
    <w:rsid w:val="00516AED"/>
    <w:rsid w:val="00516EA6"/>
    <w:rsid w:val="00516F40"/>
    <w:rsid w:val="0051700C"/>
    <w:rsid w:val="0051711D"/>
    <w:rsid w:val="00517145"/>
    <w:rsid w:val="00517467"/>
    <w:rsid w:val="005178FB"/>
    <w:rsid w:val="00517AC9"/>
    <w:rsid w:val="00517CD6"/>
    <w:rsid w:val="00517D55"/>
    <w:rsid w:val="00517D6F"/>
    <w:rsid w:val="00517E33"/>
    <w:rsid w:val="00517E9C"/>
    <w:rsid w:val="0052029A"/>
    <w:rsid w:val="00520309"/>
    <w:rsid w:val="00520388"/>
    <w:rsid w:val="0052056B"/>
    <w:rsid w:val="00520736"/>
    <w:rsid w:val="005208FA"/>
    <w:rsid w:val="005209C1"/>
    <w:rsid w:val="00520B47"/>
    <w:rsid w:val="00520B79"/>
    <w:rsid w:val="00520D16"/>
    <w:rsid w:val="00520E46"/>
    <w:rsid w:val="00520FE0"/>
    <w:rsid w:val="00521053"/>
    <w:rsid w:val="00521136"/>
    <w:rsid w:val="00521301"/>
    <w:rsid w:val="0052137A"/>
    <w:rsid w:val="005213C7"/>
    <w:rsid w:val="0052157A"/>
    <w:rsid w:val="005215F1"/>
    <w:rsid w:val="00521757"/>
    <w:rsid w:val="0052180D"/>
    <w:rsid w:val="00521889"/>
    <w:rsid w:val="005218C7"/>
    <w:rsid w:val="00521AA8"/>
    <w:rsid w:val="00521B25"/>
    <w:rsid w:val="00521E46"/>
    <w:rsid w:val="00521EBD"/>
    <w:rsid w:val="005220DF"/>
    <w:rsid w:val="00522146"/>
    <w:rsid w:val="005221A5"/>
    <w:rsid w:val="00522279"/>
    <w:rsid w:val="005222F5"/>
    <w:rsid w:val="005223C7"/>
    <w:rsid w:val="00522477"/>
    <w:rsid w:val="005227B0"/>
    <w:rsid w:val="0052298B"/>
    <w:rsid w:val="00522A5E"/>
    <w:rsid w:val="00522C05"/>
    <w:rsid w:val="00522C27"/>
    <w:rsid w:val="00522E3B"/>
    <w:rsid w:val="00522EE8"/>
    <w:rsid w:val="0052342B"/>
    <w:rsid w:val="005235DE"/>
    <w:rsid w:val="00523733"/>
    <w:rsid w:val="00523744"/>
    <w:rsid w:val="00523965"/>
    <w:rsid w:val="00523AF6"/>
    <w:rsid w:val="00523C91"/>
    <w:rsid w:val="00523D84"/>
    <w:rsid w:val="00523EF6"/>
    <w:rsid w:val="00524242"/>
    <w:rsid w:val="00524404"/>
    <w:rsid w:val="0052442A"/>
    <w:rsid w:val="005244B7"/>
    <w:rsid w:val="0052450D"/>
    <w:rsid w:val="00524523"/>
    <w:rsid w:val="00524782"/>
    <w:rsid w:val="005249B2"/>
    <w:rsid w:val="00524AF4"/>
    <w:rsid w:val="00524BE4"/>
    <w:rsid w:val="00524C57"/>
    <w:rsid w:val="00524D0F"/>
    <w:rsid w:val="00524E02"/>
    <w:rsid w:val="00524EAF"/>
    <w:rsid w:val="00524F4C"/>
    <w:rsid w:val="00525390"/>
    <w:rsid w:val="00525510"/>
    <w:rsid w:val="00525574"/>
    <w:rsid w:val="00525721"/>
    <w:rsid w:val="005257EC"/>
    <w:rsid w:val="005258A5"/>
    <w:rsid w:val="00525954"/>
    <w:rsid w:val="00525A23"/>
    <w:rsid w:val="00525AD6"/>
    <w:rsid w:val="00525B95"/>
    <w:rsid w:val="00525C00"/>
    <w:rsid w:val="00525CA2"/>
    <w:rsid w:val="00525DBE"/>
    <w:rsid w:val="00525DCE"/>
    <w:rsid w:val="00525E71"/>
    <w:rsid w:val="00525E83"/>
    <w:rsid w:val="00525FAF"/>
    <w:rsid w:val="00525FEC"/>
    <w:rsid w:val="00526030"/>
    <w:rsid w:val="00526165"/>
    <w:rsid w:val="005261BE"/>
    <w:rsid w:val="0052620A"/>
    <w:rsid w:val="005262F7"/>
    <w:rsid w:val="00526763"/>
    <w:rsid w:val="00526992"/>
    <w:rsid w:val="00526AC5"/>
    <w:rsid w:val="00526C52"/>
    <w:rsid w:val="00526C6E"/>
    <w:rsid w:val="00526D3F"/>
    <w:rsid w:val="00526F42"/>
    <w:rsid w:val="00526FC3"/>
    <w:rsid w:val="00527029"/>
    <w:rsid w:val="005274FE"/>
    <w:rsid w:val="005277F4"/>
    <w:rsid w:val="00527BE7"/>
    <w:rsid w:val="00527D42"/>
    <w:rsid w:val="00527D85"/>
    <w:rsid w:val="00527E91"/>
    <w:rsid w:val="00527EC1"/>
    <w:rsid w:val="005302E3"/>
    <w:rsid w:val="005302FC"/>
    <w:rsid w:val="0053032F"/>
    <w:rsid w:val="005304DF"/>
    <w:rsid w:val="00530700"/>
    <w:rsid w:val="00530774"/>
    <w:rsid w:val="005307FF"/>
    <w:rsid w:val="00530BCC"/>
    <w:rsid w:val="00530D9D"/>
    <w:rsid w:val="00530DF3"/>
    <w:rsid w:val="00530E8A"/>
    <w:rsid w:val="00530EFC"/>
    <w:rsid w:val="00530FB5"/>
    <w:rsid w:val="00530FB6"/>
    <w:rsid w:val="00531155"/>
    <w:rsid w:val="005311C8"/>
    <w:rsid w:val="00531350"/>
    <w:rsid w:val="00531431"/>
    <w:rsid w:val="00531463"/>
    <w:rsid w:val="005314FE"/>
    <w:rsid w:val="00531BDA"/>
    <w:rsid w:val="00531CC3"/>
    <w:rsid w:val="00531E1F"/>
    <w:rsid w:val="00531E62"/>
    <w:rsid w:val="00531FBD"/>
    <w:rsid w:val="0053213C"/>
    <w:rsid w:val="00532321"/>
    <w:rsid w:val="00532355"/>
    <w:rsid w:val="005323AA"/>
    <w:rsid w:val="005323C3"/>
    <w:rsid w:val="0053255E"/>
    <w:rsid w:val="005326D4"/>
    <w:rsid w:val="0053279B"/>
    <w:rsid w:val="0053286A"/>
    <w:rsid w:val="00532A58"/>
    <w:rsid w:val="00532C33"/>
    <w:rsid w:val="00532CE1"/>
    <w:rsid w:val="00532D7D"/>
    <w:rsid w:val="00532F27"/>
    <w:rsid w:val="00532F49"/>
    <w:rsid w:val="00532FC4"/>
    <w:rsid w:val="00532FE9"/>
    <w:rsid w:val="0053302D"/>
    <w:rsid w:val="00533037"/>
    <w:rsid w:val="00533045"/>
    <w:rsid w:val="00533152"/>
    <w:rsid w:val="0053326E"/>
    <w:rsid w:val="00533307"/>
    <w:rsid w:val="00533476"/>
    <w:rsid w:val="00533484"/>
    <w:rsid w:val="005334A1"/>
    <w:rsid w:val="00533791"/>
    <w:rsid w:val="005338BD"/>
    <w:rsid w:val="005338C0"/>
    <w:rsid w:val="00533946"/>
    <w:rsid w:val="00533B1C"/>
    <w:rsid w:val="00533B7A"/>
    <w:rsid w:val="00533B8C"/>
    <w:rsid w:val="00533C9C"/>
    <w:rsid w:val="00533D4C"/>
    <w:rsid w:val="00533DD4"/>
    <w:rsid w:val="00533E1C"/>
    <w:rsid w:val="00533E36"/>
    <w:rsid w:val="00533E3E"/>
    <w:rsid w:val="00533E9C"/>
    <w:rsid w:val="005340E7"/>
    <w:rsid w:val="0053418B"/>
    <w:rsid w:val="005341D9"/>
    <w:rsid w:val="005342A4"/>
    <w:rsid w:val="005342C0"/>
    <w:rsid w:val="00534300"/>
    <w:rsid w:val="005343C8"/>
    <w:rsid w:val="0053450A"/>
    <w:rsid w:val="00534545"/>
    <w:rsid w:val="005345A8"/>
    <w:rsid w:val="00534738"/>
    <w:rsid w:val="0053489E"/>
    <w:rsid w:val="005348DF"/>
    <w:rsid w:val="00534907"/>
    <w:rsid w:val="0053499C"/>
    <w:rsid w:val="00534A1E"/>
    <w:rsid w:val="00534A4B"/>
    <w:rsid w:val="00534BBE"/>
    <w:rsid w:val="00534CA8"/>
    <w:rsid w:val="00534DE5"/>
    <w:rsid w:val="00534E48"/>
    <w:rsid w:val="00534FF7"/>
    <w:rsid w:val="00535232"/>
    <w:rsid w:val="00535520"/>
    <w:rsid w:val="005356B3"/>
    <w:rsid w:val="005356BF"/>
    <w:rsid w:val="0053582E"/>
    <w:rsid w:val="00535927"/>
    <w:rsid w:val="00535A39"/>
    <w:rsid w:val="00535B33"/>
    <w:rsid w:val="00535C3B"/>
    <w:rsid w:val="00535CE7"/>
    <w:rsid w:val="00535DC8"/>
    <w:rsid w:val="00535F21"/>
    <w:rsid w:val="00535FDC"/>
    <w:rsid w:val="00536017"/>
    <w:rsid w:val="0053604F"/>
    <w:rsid w:val="0053623D"/>
    <w:rsid w:val="00536391"/>
    <w:rsid w:val="00536455"/>
    <w:rsid w:val="00536476"/>
    <w:rsid w:val="005364E6"/>
    <w:rsid w:val="005366E0"/>
    <w:rsid w:val="005367E0"/>
    <w:rsid w:val="005369DC"/>
    <w:rsid w:val="00536A85"/>
    <w:rsid w:val="00536BF6"/>
    <w:rsid w:val="00536E3E"/>
    <w:rsid w:val="005372C4"/>
    <w:rsid w:val="005373A2"/>
    <w:rsid w:val="005373D6"/>
    <w:rsid w:val="00537530"/>
    <w:rsid w:val="00537756"/>
    <w:rsid w:val="0053780E"/>
    <w:rsid w:val="0053784E"/>
    <w:rsid w:val="0053793C"/>
    <w:rsid w:val="005379F3"/>
    <w:rsid w:val="00537A07"/>
    <w:rsid w:val="00537AEC"/>
    <w:rsid w:val="00537B1A"/>
    <w:rsid w:val="00537FC6"/>
    <w:rsid w:val="00540057"/>
    <w:rsid w:val="0054029C"/>
    <w:rsid w:val="0054030D"/>
    <w:rsid w:val="00540406"/>
    <w:rsid w:val="00540665"/>
    <w:rsid w:val="00540715"/>
    <w:rsid w:val="00540779"/>
    <w:rsid w:val="005408A1"/>
    <w:rsid w:val="005409EA"/>
    <w:rsid w:val="00540ACA"/>
    <w:rsid w:val="00540AE2"/>
    <w:rsid w:val="00540B15"/>
    <w:rsid w:val="00540B2A"/>
    <w:rsid w:val="00540B43"/>
    <w:rsid w:val="00540B4E"/>
    <w:rsid w:val="00540B53"/>
    <w:rsid w:val="00540C5D"/>
    <w:rsid w:val="00540D2C"/>
    <w:rsid w:val="00540D92"/>
    <w:rsid w:val="00540ED7"/>
    <w:rsid w:val="00541510"/>
    <w:rsid w:val="00541692"/>
    <w:rsid w:val="0054173D"/>
    <w:rsid w:val="00541AD7"/>
    <w:rsid w:val="00541BA7"/>
    <w:rsid w:val="00541D80"/>
    <w:rsid w:val="005420E4"/>
    <w:rsid w:val="00542365"/>
    <w:rsid w:val="005423F7"/>
    <w:rsid w:val="0054244C"/>
    <w:rsid w:val="00542477"/>
    <w:rsid w:val="005425EE"/>
    <w:rsid w:val="0054267E"/>
    <w:rsid w:val="00542689"/>
    <w:rsid w:val="005427D2"/>
    <w:rsid w:val="005428D8"/>
    <w:rsid w:val="00542A01"/>
    <w:rsid w:val="00542A12"/>
    <w:rsid w:val="00542B8B"/>
    <w:rsid w:val="00542CDF"/>
    <w:rsid w:val="00542FCB"/>
    <w:rsid w:val="00543155"/>
    <w:rsid w:val="0054322C"/>
    <w:rsid w:val="00543264"/>
    <w:rsid w:val="005432D5"/>
    <w:rsid w:val="00543321"/>
    <w:rsid w:val="00543365"/>
    <w:rsid w:val="00543382"/>
    <w:rsid w:val="005435D7"/>
    <w:rsid w:val="00543648"/>
    <w:rsid w:val="00543D07"/>
    <w:rsid w:val="00543D16"/>
    <w:rsid w:val="00543E66"/>
    <w:rsid w:val="00543E7F"/>
    <w:rsid w:val="00544006"/>
    <w:rsid w:val="0054404D"/>
    <w:rsid w:val="005441B2"/>
    <w:rsid w:val="0054421F"/>
    <w:rsid w:val="005442C4"/>
    <w:rsid w:val="00544361"/>
    <w:rsid w:val="00544372"/>
    <w:rsid w:val="00544425"/>
    <w:rsid w:val="005444DB"/>
    <w:rsid w:val="005445E0"/>
    <w:rsid w:val="005445E2"/>
    <w:rsid w:val="00544A25"/>
    <w:rsid w:val="00544A41"/>
    <w:rsid w:val="00544B1D"/>
    <w:rsid w:val="00544B2F"/>
    <w:rsid w:val="00544CDB"/>
    <w:rsid w:val="00544E08"/>
    <w:rsid w:val="00544FAF"/>
    <w:rsid w:val="005452BC"/>
    <w:rsid w:val="005452F3"/>
    <w:rsid w:val="0054530B"/>
    <w:rsid w:val="00545539"/>
    <w:rsid w:val="00545589"/>
    <w:rsid w:val="0054560A"/>
    <w:rsid w:val="005456AA"/>
    <w:rsid w:val="005456C9"/>
    <w:rsid w:val="005457AF"/>
    <w:rsid w:val="00545A1D"/>
    <w:rsid w:val="00545A36"/>
    <w:rsid w:val="00545BD9"/>
    <w:rsid w:val="00545D4F"/>
    <w:rsid w:val="00545D73"/>
    <w:rsid w:val="00545E5B"/>
    <w:rsid w:val="00546869"/>
    <w:rsid w:val="005468C9"/>
    <w:rsid w:val="005469F7"/>
    <w:rsid w:val="00546A61"/>
    <w:rsid w:val="00546C0E"/>
    <w:rsid w:val="00546CEA"/>
    <w:rsid w:val="00546CF3"/>
    <w:rsid w:val="0054707F"/>
    <w:rsid w:val="00547134"/>
    <w:rsid w:val="00547198"/>
    <w:rsid w:val="0054719D"/>
    <w:rsid w:val="005473E5"/>
    <w:rsid w:val="0054765B"/>
    <w:rsid w:val="005476F9"/>
    <w:rsid w:val="00547770"/>
    <w:rsid w:val="0054779D"/>
    <w:rsid w:val="00547829"/>
    <w:rsid w:val="005478BD"/>
    <w:rsid w:val="00547986"/>
    <w:rsid w:val="005479CD"/>
    <w:rsid w:val="00547B61"/>
    <w:rsid w:val="00547B75"/>
    <w:rsid w:val="00547C7A"/>
    <w:rsid w:val="00547FE4"/>
    <w:rsid w:val="005501D5"/>
    <w:rsid w:val="0055020E"/>
    <w:rsid w:val="00550469"/>
    <w:rsid w:val="00550487"/>
    <w:rsid w:val="005505CD"/>
    <w:rsid w:val="0055060C"/>
    <w:rsid w:val="005506AD"/>
    <w:rsid w:val="00550708"/>
    <w:rsid w:val="005507A2"/>
    <w:rsid w:val="005508CE"/>
    <w:rsid w:val="005508D0"/>
    <w:rsid w:val="00550998"/>
    <w:rsid w:val="00550A68"/>
    <w:rsid w:val="00550A9B"/>
    <w:rsid w:val="00550B50"/>
    <w:rsid w:val="00550BC8"/>
    <w:rsid w:val="00550CA2"/>
    <w:rsid w:val="00550CAD"/>
    <w:rsid w:val="00550D62"/>
    <w:rsid w:val="00551052"/>
    <w:rsid w:val="005510CE"/>
    <w:rsid w:val="0055110F"/>
    <w:rsid w:val="00551182"/>
    <w:rsid w:val="00551270"/>
    <w:rsid w:val="00551393"/>
    <w:rsid w:val="005513F9"/>
    <w:rsid w:val="005514A4"/>
    <w:rsid w:val="005515C2"/>
    <w:rsid w:val="005518F4"/>
    <w:rsid w:val="0055195C"/>
    <w:rsid w:val="00551DFD"/>
    <w:rsid w:val="00551F2E"/>
    <w:rsid w:val="0055234A"/>
    <w:rsid w:val="00552659"/>
    <w:rsid w:val="00552681"/>
    <w:rsid w:val="005528FA"/>
    <w:rsid w:val="00552ABB"/>
    <w:rsid w:val="00552C86"/>
    <w:rsid w:val="00552CB7"/>
    <w:rsid w:val="00552F5D"/>
    <w:rsid w:val="00552FE4"/>
    <w:rsid w:val="00553108"/>
    <w:rsid w:val="00553148"/>
    <w:rsid w:val="00553194"/>
    <w:rsid w:val="005531A9"/>
    <w:rsid w:val="00553282"/>
    <w:rsid w:val="005532C6"/>
    <w:rsid w:val="005533F8"/>
    <w:rsid w:val="00553431"/>
    <w:rsid w:val="005534E0"/>
    <w:rsid w:val="0055353C"/>
    <w:rsid w:val="00553548"/>
    <w:rsid w:val="00553791"/>
    <w:rsid w:val="00553845"/>
    <w:rsid w:val="005538C7"/>
    <w:rsid w:val="00553904"/>
    <w:rsid w:val="00553A4E"/>
    <w:rsid w:val="00553B70"/>
    <w:rsid w:val="00553D43"/>
    <w:rsid w:val="00553DD5"/>
    <w:rsid w:val="00553E58"/>
    <w:rsid w:val="00553FBE"/>
    <w:rsid w:val="005540A9"/>
    <w:rsid w:val="005542E6"/>
    <w:rsid w:val="005544F4"/>
    <w:rsid w:val="0055481E"/>
    <w:rsid w:val="005548A2"/>
    <w:rsid w:val="0055494A"/>
    <w:rsid w:val="0055497F"/>
    <w:rsid w:val="00554A05"/>
    <w:rsid w:val="00554A10"/>
    <w:rsid w:val="00554AD2"/>
    <w:rsid w:val="00554BB5"/>
    <w:rsid w:val="00554CC4"/>
    <w:rsid w:val="00554D98"/>
    <w:rsid w:val="00554F09"/>
    <w:rsid w:val="00554F83"/>
    <w:rsid w:val="00555088"/>
    <w:rsid w:val="005552BA"/>
    <w:rsid w:val="005552D0"/>
    <w:rsid w:val="0055532B"/>
    <w:rsid w:val="00555374"/>
    <w:rsid w:val="0055562C"/>
    <w:rsid w:val="005559AC"/>
    <w:rsid w:val="00555A55"/>
    <w:rsid w:val="00555D6F"/>
    <w:rsid w:val="00555E13"/>
    <w:rsid w:val="00555EB3"/>
    <w:rsid w:val="00555EF2"/>
    <w:rsid w:val="00556541"/>
    <w:rsid w:val="0055671C"/>
    <w:rsid w:val="005568CD"/>
    <w:rsid w:val="005569F9"/>
    <w:rsid w:val="00556C90"/>
    <w:rsid w:val="00556DE7"/>
    <w:rsid w:val="0055700E"/>
    <w:rsid w:val="00557049"/>
    <w:rsid w:val="005571B6"/>
    <w:rsid w:val="005571C5"/>
    <w:rsid w:val="00557375"/>
    <w:rsid w:val="0055747D"/>
    <w:rsid w:val="005579CD"/>
    <w:rsid w:val="00557B8B"/>
    <w:rsid w:val="00557BDF"/>
    <w:rsid w:val="00557D36"/>
    <w:rsid w:val="00560102"/>
    <w:rsid w:val="00560121"/>
    <w:rsid w:val="00560230"/>
    <w:rsid w:val="0056029A"/>
    <w:rsid w:val="00560351"/>
    <w:rsid w:val="005604F4"/>
    <w:rsid w:val="00560513"/>
    <w:rsid w:val="005605CC"/>
    <w:rsid w:val="00560827"/>
    <w:rsid w:val="005609DC"/>
    <w:rsid w:val="00560A20"/>
    <w:rsid w:val="00560CCE"/>
    <w:rsid w:val="00560DAC"/>
    <w:rsid w:val="00560F26"/>
    <w:rsid w:val="005610D8"/>
    <w:rsid w:val="005611A1"/>
    <w:rsid w:val="005611F4"/>
    <w:rsid w:val="005613C4"/>
    <w:rsid w:val="00561400"/>
    <w:rsid w:val="005614A2"/>
    <w:rsid w:val="0056151D"/>
    <w:rsid w:val="00561720"/>
    <w:rsid w:val="005617A2"/>
    <w:rsid w:val="005617EB"/>
    <w:rsid w:val="00561C4E"/>
    <w:rsid w:val="00561DEA"/>
    <w:rsid w:val="00562195"/>
    <w:rsid w:val="00562293"/>
    <w:rsid w:val="005622B6"/>
    <w:rsid w:val="005622BB"/>
    <w:rsid w:val="00562339"/>
    <w:rsid w:val="00562571"/>
    <w:rsid w:val="0056280E"/>
    <w:rsid w:val="00562816"/>
    <w:rsid w:val="005628DC"/>
    <w:rsid w:val="00562AB1"/>
    <w:rsid w:val="00562AD6"/>
    <w:rsid w:val="00562B9E"/>
    <w:rsid w:val="00562D6A"/>
    <w:rsid w:val="00562DE0"/>
    <w:rsid w:val="00562FC9"/>
    <w:rsid w:val="00562FFC"/>
    <w:rsid w:val="00563113"/>
    <w:rsid w:val="00563172"/>
    <w:rsid w:val="005631C3"/>
    <w:rsid w:val="0056325F"/>
    <w:rsid w:val="005632FD"/>
    <w:rsid w:val="00563595"/>
    <w:rsid w:val="0056378E"/>
    <w:rsid w:val="005637BA"/>
    <w:rsid w:val="005637D6"/>
    <w:rsid w:val="0056395F"/>
    <w:rsid w:val="005639DB"/>
    <w:rsid w:val="00563A18"/>
    <w:rsid w:val="00563DDF"/>
    <w:rsid w:val="00563DE5"/>
    <w:rsid w:val="00563F16"/>
    <w:rsid w:val="00563F95"/>
    <w:rsid w:val="00564012"/>
    <w:rsid w:val="005641C9"/>
    <w:rsid w:val="005642AE"/>
    <w:rsid w:val="005642FC"/>
    <w:rsid w:val="005643A3"/>
    <w:rsid w:val="005644C8"/>
    <w:rsid w:val="0056453A"/>
    <w:rsid w:val="00564641"/>
    <w:rsid w:val="005646C1"/>
    <w:rsid w:val="005647FE"/>
    <w:rsid w:val="0056482F"/>
    <w:rsid w:val="00564957"/>
    <w:rsid w:val="00564A1A"/>
    <w:rsid w:val="00564A7D"/>
    <w:rsid w:val="00564DAA"/>
    <w:rsid w:val="0056511F"/>
    <w:rsid w:val="005656BA"/>
    <w:rsid w:val="00565715"/>
    <w:rsid w:val="0056587A"/>
    <w:rsid w:val="0056589A"/>
    <w:rsid w:val="00565959"/>
    <w:rsid w:val="00565A1E"/>
    <w:rsid w:val="00565D31"/>
    <w:rsid w:val="00565D70"/>
    <w:rsid w:val="00565D99"/>
    <w:rsid w:val="00565E50"/>
    <w:rsid w:val="00565E7F"/>
    <w:rsid w:val="00566177"/>
    <w:rsid w:val="005661AE"/>
    <w:rsid w:val="0056621E"/>
    <w:rsid w:val="00566324"/>
    <w:rsid w:val="005663A1"/>
    <w:rsid w:val="0056646F"/>
    <w:rsid w:val="005664A6"/>
    <w:rsid w:val="005666B7"/>
    <w:rsid w:val="005667E6"/>
    <w:rsid w:val="005668F8"/>
    <w:rsid w:val="00566C82"/>
    <w:rsid w:val="00566CD8"/>
    <w:rsid w:val="00566E33"/>
    <w:rsid w:val="00566FF2"/>
    <w:rsid w:val="0056704B"/>
    <w:rsid w:val="00567081"/>
    <w:rsid w:val="005670AA"/>
    <w:rsid w:val="005670D2"/>
    <w:rsid w:val="005670FE"/>
    <w:rsid w:val="00567128"/>
    <w:rsid w:val="00567211"/>
    <w:rsid w:val="00567281"/>
    <w:rsid w:val="00567388"/>
    <w:rsid w:val="00567491"/>
    <w:rsid w:val="005675BF"/>
    <w:rsid w:val="0056769A"/>
    <w:rsid w:val="005676A4"/>
    <w:rsid w:val="005676C3"/>
    <w:rsid w:val="005676E0"/>
    <w:rsid w:val="005678BF"/>
    <w:rsid w:val="0056798B"/>
    <w:rsid w:val="005679FC"/>
    <w:rsid w:val="00567CFF"/>
    <w:rsid w:val="00567D19"/>
    <w:rsid w:val="00567E0A"/>
    <w:rsid w:val="00567F09"/>
    <w:rsid w:val="00569547"/>
    <w:rsid w:val="00570064"/>
    <w:rsid w:val="005701BB"/>
    <w:rsid w:val="005703FE"/>
    <w:rsid w:val="0057042C"/>
    <w:rsid w:val="00570451"/>
    <w:rsid w:val="00570480"/>
    <w:rsid w:val="005704E8"/>
    <w:rsid w:val="0057071A"/>
    <w:rsid w:val="00570756"/>
    <w:rsid w:val="00570892"/>
    <w:rsid w:val="00570B92"/>
    <w:rsid w:val="00570C25"/>
    <w:rsid w:val="00570DC2"/>
    <w:rsid w:val="00570E72"/>
    <w:rsid w:val="00571098"/>
    <w:rsid w:val="00571172"/>
    <w:rsid w:val="005711C4"/>
    <w:rsid w:val="0057134B"/>
    <w:rsid w:val="0057147C"/>
    <w:rsid w:val="005715B6"/>
    <w:rsid w:val="0057164E"/>
    <w:rsid w:val="00571725"/>
    <w:rsid w:val="005717C7"/>
    <w:rsid w:val="00571831"/>
    <w:rsid w:val="0057192E"/>
    <w:rsid w:val="0057198C"/>
    <w:rsid w:val="00571AB5"/>
    <w:rsid w:val="00571AC8"/>
    <w:rsid w:val="00571C07"/>
    <w:rsid w:val="00571E8D"/>
    <w:rsid w:val="00571ECE"/>
    <w:rsid w:val="0057243F"/>
    <w:rsid w:val="0057280A"/>
    <w:rsid w:val="00572879"/>
    <w:rsid w:val="005728C7"/>
    <w:rsid w:val="00572A08"/>
    <w:rsid w:val="00572A09"/>
    <w:rsid w:val="00572A1D"/>
    <w:rsid w:val="00572B23"/>
    <w:rsid w:val="00572B28"/>
    <w:rsid w:val="00572B2A"/>
    <w:rsid w:val="00572D4E"/>
    <w:rsid w:val="00572DC5"/>
    <w:rsid w:val="00572F32"/>
    <w:rsid w:val="0057319F"/>
    <w:rsid w:val="005731A1"/>
    <w:rsid w:val="00573217"/>
    <w:rsid w:val="005736C1"/>
    <w:rsid w:val="005738F6"/>
    <w:rsid w:val="0057392D"/>
    <w:rsid w:val="0057395D"/>
    <w:rsid w:val="005739A7"/>
    <w:rsid w:val="00573B07"/>
    <w:rsid w:val="00573BD9"/>
    <w:rsid w:val="00573D5E"/>
    <w:rsid w:val="00573E52"/>
    <w:rsid w:val="00573EBC"/>
    <w:rsid w:val="00573F3D"/>
    <w:rsid w:val="005740E3"/>
    <w:rsid w:val="005741FD"/>
    <w:rsid w:val="0057438B"/>
    <w:rsid w:val="005743AA"/>
    <w:rsid w:val="005745AE"/>
    <w:rsid w:val="00574680"/>
    <w:rsid w:val="0057470A"/>
    <w:rsid w:val="005747F2"/>
    <w:rsid w:val="0057487A"/>
    <w:rsid w:val="00574B03"/>
    <w:rsid w:val="00574BA9"/>
    <w:rsid w:val="00574CB6"/>
    <w:rsid w:val="00574D1A"/>
    <w:rsid w:val="00575015"/>
    <w:rsid w:val="00575031"/>
    <w:rsid w:val="00575482"/>
    <w:rsid w:val="0057548B"/>
    <w:rsid w:val="005754B5"/>
    <w:rsid w:val="005754C4"/>
    <w:rsid w:val="0057557E"/>
    <w:rsid w:val="005755B3"/>
    <w:rsid w:val="0057583A"/>
    <w:rsid w:val="00575957"/>
    <w:rsid w:val="00575BC3"/>
    <w:rsid w:val="00575D3C"/>
    <w:rsid w:val="00576158"/>
    <w:rsid w:val="00576367"/>
    <w:rsid w:val="005765A4"/>
    <w:rsid w:val="005766BF"/>
    <w:rsid w:val="00576755"/>
    <w:rsid w:val="00576773"/>
    <w:rsid w:val="0057677F"/>
    <w:rsid w:val="005768B7"/>
    <w:rsid w:val="005768BC"/>
    <w:rsid w:val="00576B07"/>
    <w:rsid w:val="00576BA5"/>
    <w:rsid w:val="00576BBC"/>
    <w:rsid w:val="00576BF0"/>
    <w:rsid w:val="00576C2F"/>
    <w:rsid w:val="00576C58"/>
    <w:rsid w:val="00576EDF"/>
    <w:rsid w:val="00576F4F"/>
    <w:rsid w:val="005770A1"/>
    <w:rsid w:val="005771F7"/>
    <w:rsid w:val="00577330"/>
    <w:rsid w:val="00577393"/>
    <w:rsid w:val="0057745E"/>
    <w:rsid w:val="00577A1A"/>
    <w:rsid w:val="00577D8B"/>
    <w:rsid w:val="00577DCB"/>
    <w:rsid w:val="00577F80"/>
    <w:rsid w:val="00577F81"/>
    <w:rsid w:val="00580059"/>
    <w:rsid w:val="0058009F"/>
    <w:rsid w:val="00580143"/>
    <w:rsid w:val="00580305"/>
    <w:rsid w:val="005804DC"/>
    <w:rsid w:val="005805F8"/>
    <w:rsid w:val="00580876"/>
    <w:rsid w:val="005808E5"/>
    <w:rsid w:val="00580AE0"/>
    <w:rsid w:val="00580E30"/>
    <w:rsid w:val="00581045"/>
    <w:rsid w:val="005810DF"/>
    <w:rsid w:val="0058115B"/>
    <w:rsid w:val="00581347"/>
    <w:rsid w:val="005813CC"/>
    <w:rsid w:val="005814FA"/>
    <w:rsid w:val="005815BF"/>
    <w:rsid w:val="00581605"/>
    <w:rsid w:val="005817B9"/>
    <w:rsid w:val="00581AD7"/>
    <w:rsid w:val="00581B72"/>
    <w:rsid w:val="00581D7A"/>
    <w:rsid w:val="00581D7B"/>
    <w:rsid w:val="00582153"/>
    <w:rsid w:val="00582266"/>
    <w:rsid w:val="005824BE"/>
    <w:rsid w:val="0058261D"/>
    <w:rsid w:val="005826D5"/>
    <w:rsid w:val="00582865"/>
    <w:rsid w:val="00582B10"/>
    <w:rsid w:val="00582BE1"/>
    <w:rsid w:val="00582C48"/>
    <w:rsid w:val="00582CB7"/>
    <w:rsid w:val="00582FE8"/>
    <w:rsid w:val="00583006"/>
    <w:rsid w:val="0058312A"/>
    <w:rsid w:val="005831D7"/>
    <w:rsid w:val="00583241"/>
    <w:rsid w:val="005832F0"/>
    <w:rsid w:val="005833C3"/>
    <w:rsid w:val="00583568"/>
    <w:rsid w:val="005837AE"/>
    <w:rsid w:val="005837D5"/>
    <w:rsid w:val="00583876"/>
    <w:rsid w:val="005838CA"/>
    <w:rsid w:val="0058395E"/>
    <w:rsid w:val="00583F15"/>
    <w:rsid w:val="00583F3A"/>
    <w:rsid w:val="00584163"/>
    <w:rsid w:val="0058424E"/>
    <w:rsid w:val="005843C8"/>
    <w:rsid w:val="005843EF"/>
    <w:rsid w:val="00584564"/>
    <w:rsid w:val="0058459B"/>
    <w:rsid w:val="00584B4C"/>
    <w:rsid w:val="00584B5E"/>
    <w:rsid w:val="00584B76"/>
    <w:rsid w:val="00584C04"/>
    <w:rsid w:val="00584C80"/>
    <w:rsid w:val="00584D3E"/>
    <w:rsid w:val="00584D9D"/>
    <w:rsid w:val="00584DBB"/>
    <w:rsid w:val="00584ECC"/>
    <w:rsid w:val="00584FD6"/>
    <w:rsid w:val="0058506F"/>
    <w:rsid w:val="00585431"/>
    <w:rsid w:val="005855B4"/>
    <w:rsid w:val="00585685"/>
    <w:rsid w:val="00585768"/>
    <w:rsid w:val="0058580E"/>
    <w:rsid w:val="00585909"/>
    <w:rsid w:val="00585939"/>
    <w:rsid w:val="0058597A"/>
    <w:rsid w:val="00585AEA"/>
    <w:rsid w:val="00585AF9"/>
    <w:rsid w:val="00585BD3"/>
    <w:rsid w:val="00585BE2"/>
    <w:rsid w:val="00585CBF"/>
    <w:rsid w:val="00585CF1"/>
    <w:rsid w:val="00585EC7"/>
    <w:rsid w:val="00585FED"/>
    <w:rsid w:val="0058608A"/>
    <w:rsid w:val="00586141"/>
    <w:rsid w:val="005862D6"/>
    <w:rsid w:val="005864AB"/>
    <w:rsid w:val="0058664F"/>
    <w:rsid w:val="005866BD"/>
    <w:rsid w:val="005869C5"/>
    <w:rsid w:val="00586A57"/>
    <w:rsid w:val="00586ACB"/>
    <w:rsid w:val="00586AF5"/>
    <w:rsid w:val="00586B67"/>
    <w:rsid w:val="00586BFC"/>
    <w:rsid w:val="00587029"/>
    <w:rsid w:val="00587125"/>
    <w:rsid w:val="005874E7"/>
    <w:rsid w:val="00587521"/>
    <w:rsid w:val="0058758D"/>
    <w:rsid w:val="005876BF"/>
    <w:rsid w:val="00587750"/>
    <w:rsid w:val="005877CF"/>
    <w:rsid w:val="005877FC"/>
    <w:rsid w:val="00587888"/>
    <w:rsid w:val="005878A7"/>
    <w:rsid w:val="005879A6"/>
    <w:rsid w:val="00587AD5"/>
    <w:rsid w:val="00587FD0"/>
    <w:rsid w:val="0059019D"/>
    <w:rsid w:val="0059029D"/>
    <w:rsid w:val="005902EE"/>
    <w:rsid w:val="00590342"/>
    <w:rsid w:val="005904F0"/>
    <w:rsid w:val="005906E6"/>
    <w:rsid w:val="005906F5"/>
    <w:rsid w:val="00590787"/>
    <w:rsid w:val="0059084D"/>
    <w:rsid w:val="00590A40"/>
    <w:rsid w:val="00590D4A"/>
    <w:rsid w:val="00590FC1"/>
    <w:rsid w:val="00590FF7"/>
    <w:rsid w:val="00591053"/>
    <w:rsid w:val="005910A8"/>
    <w:rsid w:val="00591301"/>
    <w:rsid w:val="00591479"/>
    <w:rsid w:val="00591715"/>
    <w:rsid w:val="0059183A"/>
    <w:rsid w:val="0059193F"/>
    <w:rsid w:val="00591AB3"/>
    <w:rsid w:val="00591FA0"/>
    <w:rsid w:val="0059201C"/>
    <w:rsid w:val="00592024"/>
    <w:rsid w:val="00592043"/>
    <w:rsid w:val="0059206F"/>
    <w:rsid w:val="00592089"/>
    <w:rsid w:val="005921BC"/>
    <w:rsid w:val="005924DC"/>
    <w:rsid w:val="0059260D"/>
    <w:rsid w:val="00592983"/>
    <w:rsid w:val="005929E8"/>
    <w:rsid w:val="00592A26"/>
    <w:rsid w:val="00592AB3"/>
    <w:rsid w:val="00592B24"/>
    <w:rsid w:val="00592D3A"/>
    <w:rsid w:val="00592E44"/>
    <w:rsid w:val="00592F87"/>
    <w:rsid w:val="00592FC5"/>
    <w:rsid w:val="0059315C"/>
    <w:rsid w:val="005932A4"/>
    <w:rsid w:val="005933D3"/>
    <w:rsid w:val="00593594"/>
    <w:rsid w:val="005936F6"/>
    <w:rsid w:val="00593735"/>
    <w:rsid w:val="005937CA"/>
    <w:rsid w:val="005938B9"/>
    <w:rsid w:val="0059395C"/>
    <w:rsid w:val="00593A02"/>
    <w:rsid w:val="00593BDD"/>
    <w:rsid w:val="00593C2E"/>
    <w:rsid w:val="00593D7A"/>
    <w:rsid w:val="00593DBE"/>
    <w:rsid w:val="00593E11"/>
    <w:rsid w:val="00593E32"/>
    <w:rsid w:val="00593F3F"/>
    <w:rsid w:val="00593F4A"/>
    <w:rsid w:val="0059418D"/>
    <w:rsid w:val="0059429F"/>
    <w:rsid w:val="005942AD"/>
    <w:rsid w:val="005943AA"/>
    <w:rsid w:val="00594597"/>
    <w:rsid w:val="005945A5"/>
    <w:rsid w:val="0059464C"/>
    <w:rsid w:val="0059466E"/>
    <w:rsid w:val="00594AC3"/>
    <w:rsid w:val="00594C6D"/>
    <w:rsid w:val="00594CBD"/>
    <w:rsid w:val="00594D3F"/>
    <w:rsid w:val="00595074"/>
    <w:rsid w:val="00595224"/>
    <w:rsid w:val="00595286"/>
    <w:rsid w:val="0059546C"/>
    <w:rsid w:val="005954DB"/>
    <w:rsid w:val="005954E6"/>
    <w:rsid w:val="00595590"/>
    <w:rsid w:val="0059566C"/>
    <w:rsid w:val="00595731"/>
    <w:rsid w:val="0059575F"/>
    <w:rsid w:val="0059577B"/>
    <w:rsid w:val="005959FA"/>
    <w:rsid w:val="00595AF6"/>
    <w:rsid w:val="00595D80"/>
    <w:rsid w:val="00596002"/>
    <w:rsid w:val="0059601E"/>
    <w:rsid w:val="0059602D"/>
    <w:rsid w:val="005960F4"/>
    <w:rsid w:val="005961C5"/>
    <w:rsid w:val="0059621F"/>
    <w:rsid w:val="005964A2"/>
    <w:rsid w:val="005964FB"/>
    <w:rsid w:val="005965DE"/>
    <w:rsid w:val="00596618"/>
    <w:rsid w:val="005969D1"/>
    <w:rsid w:val="005969D2"/>
    <w:rsid w:val="00596AED"/>
    <w:rsid w:val="00596C01"/>
    <w:rsid w:val="00596C84"/>
    <w:rsid w:val="00596EDF"/>
    <w:rsid w:val="00596F5F"/>
    <w:rsid w:val="00596FD3"/>
    <w:rsid w:val="0059700A"/>
    <w:rsid w:val="005970A5"/>
    <w:rsid w:val="00597122"/>
    <w:rsid w:val="005971DC"/>
    <w:rsid w:val="00597208"/>
    <w:rsid w:val="005973FF"/>
    <w:rsid w:val="00597423"/>
    <w:rsid w:val="0059762E"/>
    <w:rsid w:val="0059771B"/>
    <w:rsid w:val="00597C85"/>
    <w:rsid w:val="00597E67"/>
    <w:rsid w:val="00597EB3"/>
    <w:rsid w:val="00597FB1"/>
    <w:rsid w:val="005A001D"/>
    <w:rsid w:val="005A00B6"/>
    <w:rsid w:val="005A0162"/>
    <w:rsid w:val="005A01A9"/>
    <w:rsid w:val="005A01DD"/>
    <w:rsid w:val="005A0270"/>
    <w:rsid w:val="005A03F2"/>
    <w:rsid w:val="005A0499"/>
    <w:rsid w:val="005A04AD"/>
    <w:rsid w:val="005A0750"/>
    <w:rsid w:val="005A0791"/>
    <w:rsid w:val="005A07A8"/>
    <w:rsid w:val="005A082D"/>
    <w:rsid w:val="005A0C8F"/>
    <w:rsid w:val="005A0E14"/>
    <w:rsid w:val="005A0F9C"/>
    <w:rsid w:val="005A1078"/>
    <w:rsid w:val="005A1524"/>
    <w:rsid w:val="005A1536"/>
    <w:rsid w:val="005A15D9"/>
    <w:rsid w:val="005A1994"/>
    <w:rsid w:val="005A1A1A"/>
    <w:rsid w:val="005A1A32"/>
    <w:rsid w:val="005A1B55"/>
    <w:rsid w:val="005A1C4D"/>
    <w:rsid w:val="005A1D60"/>
    <w:rsid w:val="005A201C"/>
    <w:rsid w:val="005A2510"/>
    <w:rsid w:val="005A25AD"/>
    <w:rsid w:val="005A25B5"/>
    <w:rsid w:val="005A2719"/>
    <w:rsid w:val="005A2786"/>
    <w:rsid w:val="005A284F"/>
    <w:rsid w:val="005A28D4"/>
    <w:rsid w:val="005A299B"/>
    <w:rsid w:val="005A2B32"/>
    <w:rsid w:val="005A2C9A"/>
    <w:rsid w:val="005A2D6F"/>
    <w:rsid w:val="005A2DDA"/>
    <w:rsid w:val="005A2E07"/>
    <w:rsid w:val="005A2EA1"/>
    <w:rsid w:val="005A3065"/>
    <w:rsid w:val="005A31DA"/>
    <w:rsid w:val="005A343F"/>
    <w:rsid w:val="005A3459"/>
    <w:rsid w:val="005A37EE"/>
    <w:rsid w:val="005A3CC0"/>
    <w:rsid w:val="005A3CC3"/>
    <w:rsid w:val="005A3CF8"/>
    <w:rsid w:val="005A3D29"/>
    <w:rsid w:val="005A403F"/>
    <w:rsid w:val="005A40C2"/>
    <w:rsid w:val="005A4156"/>
    <w:rsid w:val="005A4372"/>
    <w:rsid w:val="005A4457"/>
    <w:rsid w:val="005A44BD"/>
    <w:rsid w:val="005A45C9"/>
    <w:rsid w:val="005A4852"/>
    <w:rsid w:val="005A4959"/>
    <w:rsid w:val="005A4A8A"/>
    <w:rsid w:val="005A4C61"/>
    <w:rsid w:val="005A4C6F"/>
    <w:rsid w:val="005A4CE4"/>
    <w:rsid w:val="005A4E1C"/>
    <w:rsid w:val="005A4ED8"/>
    <w:rsid w:val="005A4EF9"/>
    <w:rsid w:val="005A51DD"/>
    <w:rsid w:val="005A51EF"/>
    <w:rsid w:val="005A52EC"/>
    <w:rsid w:val="005A54F3"/>
    <w:rsid w:val="005A5555"/>
    <w:rsid w:val="005A55B4"/>
    <w:rsid w:val="005A57F2"/>
    <w:rsid w:val="005A58B0"/>
    <w:rsid w:val="005A58D3"/>
    <w:rsid w:val="005A593A"/>
    <w:rsid w:val="005A597A"/>
    <w:rsid w:val="005A5A6B"/>
    <w:rsid w:val="005A5A7A"/>
    <w:rsid w:val="005A5B17"/>
    <w:rsid w:val="005A5BAE"/>
    <w:rsid w:val="005A5DA6"/>
    <w:rsid w:val="005A5EB0"/>
    <w:rsid w:val="005A61D5"/>
    <w:rsid w:val="005A61F1"/>
    <w:rsid w:val="005A629A"/>
    <w:rsid w:val="005A6351"/>
    <w:rsid w:val="005A6383"/>
    <w:rsid w:val="005A6431"/>
    <w:rsid w:val="005A6562"/>
    <w:rsid w:val="005A67C9"/>
    <w:rsid w:val="005A687A"/>
    <w:rsid w:val="005A6AAC"/>
    <w:rsid w:val="005A6B69"/>
    <w:rsid w:val="005A6BFA"/>
    <w:rsid w:val="005A6C11"/>
    <w:rsid w:val="005A6CA3"/>
    <w:rsid w:val="005A6CE8"/>
    <w:rsid w:val="005A6EAA"/>
    <w:rsid w:val="005A70BD"/>
    <w:rsid w:val="005A7180"/>
    <w:rsid w:val="005A720B"/>
    <w:rsid w:val="005A7223"/>
    <w:rsid w:val="005A72C2"/>
    <w:rsid w:val="005A7510"/>
    <w:rsid w:val="005A761B"/>
    <w:rsid w:val="005A76F4"/>
    <w:rsid w:val="005A790C"/>
    <w:rsid w:val="005A7B12"/>
    <w:rsid w:val="005A7B45"/>
    <w:rsid w:val="005A7BE9"/>
    <w:rsid w:val="005A7C30"/>
    <w:rsid w:val="005A7CBF"/>
    <w:rsid w:val="005A7D86"/>
    <w:rsid w:val="005A7F36"/>
    <w:rsid w:val="005B012E"/>
    <w:rsid w:val="005B0216"/>
    <w:rsid w:val="005B0246"/>
    <w:rsid w:val="005B03E7"/>
    <w:rsid w:val="005B0475"/>
    <w:rsid w:val="005B04B2"/>
    <w:rsid w:val="005B0713"/>
    <w:rsid w:val="005B07F7"/>
    <w:rsid w:val="005B088F"/>
    <w:rsid w:val="005B0A68"/>
    <w:rsid w:val="005B0B67"/>
    <w:rsid w:val="005B0D24"/>
    <w:rsid w:val="005B0E20"/>
    <w:rsid w:val="005B0EB1"/>
    <w:rsid w:val="005B0EEB"/>
    <w:rsid w:val="005B146C"/>
    <w:rsid w:val="005B1485"/>
    <w:rsid w:val="005B1504"/>
    <w:rsid w:val="005B176F"/>
    <w:rsid w:val="005B186C"/>
    <w:rsid w:val="005B18EE"/>
    <w:rsid w:val="005B1A9D"/>
    <w:rsid w:val="005B1B59"/>
    <w:rsid w:val="005B1C76"/>
    <w:rsid w:val="005B1C9A"/>
    <w:rsid w:val="005B1E84"/>
    <w:rsid w:val="005B1E87"/>
    <w:rsid w:val="005B1EBA"/>
    <w:rsid w:val="005B2228"/>
    <w:rsid w:val="005B2317"/>
    <w:rsid w:val="005B2371"/>
    <w:rsid w:val="005B2419"/>
    <w:rsid w:val="005B246F"/>
    <w:rsid w:val="005B266C"/>
    <w:rsid w:val="005B2715"/>
    <w:rsid w:val="005B2719"/>
    <w:rsid w:val="005B278B"/>
    <w:rsid w:val="005B283D"/>
    <w:rsid w:val="005B287F"/>
    <w:rsid w:val="005B28E7"/>
    <w:rsid w:val="005B2A4D"/>
    <w:rsid w:val="005B2B92"/>
    <w:rsid w:val="005B2C66"/>
    <w:rsid w:val="005B2F0B"/>
    <w:rsid w:val="005B2F56"/>
    <w:rsid w:val="005B31DD"/>
    <w:rsid w:val="005B3297"/>
    <w:rsid w:val="005B34C4"/>
    <w:rsid w:val="005B3505"/>
    <w:rsid w:val="005B367A"/>
    <w:rsid w:val="005B3762"/>
    <w:rsid w:val="005B3969"/>
    <w:rsid w:val="005B3AB1"/>
    <w:rsid w:val="005B3BCA"/>
    <w:rsid w:val="005B3CD0"/>
    <w:rsid w:val="005B3CF6"/>
    <w:rsid w:val="005B3E84"/>
    <w:rsid w:val="005B3F7E"/>
    <w:rsid w:val="005B4150"/>
    <w:rsid w:val="005B41C3"/>
    <w:rsid w:val="005B41D8"/>
    <w:rsid w:val="005B42B1"/>
    <w:rsid w:val="005B442A"/>
    <w:rsid w:val="005B445F"/>
    <w:rsid w:val="005B44EF"/>
    <w:rsid w:val="005B4595"/>
    <w:rsid w:val="005B46E0"/>
    <w:rsid w:val="005B47A0"/>
    <w:rsid w:val="005B47B0"/>
    <w:rsid w:val="005B48CA"/>
    <w:rsid w:val="005B4A49"/>
    <w:rsid w:val="005B4AAC"/>
    <w:rsid w:val="005B4CD2"/>
    <w:rsid w:val="005B4E9F"/>
    <w:rsid w:val="005B4F0B"/>
    <w:rsid w:val="005B4F3A"/>
    <w:rsid w:val="005B50AC"/>
    <w:rsid w:val="005B5213"/>
    <w:rsid w:val="005B54A1"/>
    <w:rsid w:val="005B5627"/>
    <w:rsid w:val="005B5689"/>
    <w:rsid w:val="005B5755"/>
    <w:rsid w:val="005B5797"/>
    <w:rsid w:val="005B585E"/>
    <w:rsid w:val="005B59D4"/>
    <w:rsid w:val="005B5A8D"/>
    <w:rsid w:val="005B5FB9"/>
    <w:rsid w:val="005B6092"/>
    <w:rsid w:val="005B6253"/>
    <w:rsid w:val="005B6358"/>
    <w:rsid w:val="005B6490"/>
    <w:rsid w:val="005B651F"/>
    <w:rsid w:val="005B662F"/>
    <w:rsid w:val="005B6698"/>
    <w:rsid w:val="005B67D3"/>
    <w:rsid w:val="005B6838"/>
    <w:rsid w:val="005B696D"/>
    <w:rsid w:val="005B69C9"/>
    <w:rsid w:val="005B6B28"/>
    <w:rsid w:val="005B6B6C"/>
    <w:rsid w:val="005B6BEE"/>
    <w:rsid w:val="005B6C14"/>
    <w:rsid w:val="005B6C80"/>
    <w:rsid w:val="005B6D12"/>
    <w:rsid w:val="005B6F11"/>
    <w:rsid w:val="005B6F57"/>
    <w:rsid w:val="005B7072"/>
    <w:rsid w:val="005B70DB"/>
    <w:rsid w:val="005B722B"/>
    <w:rsid w:val="005B731F"/>
    <w:rsid w:val="005B73F1"/>
    <w:rsid w:val="005B742F"/>
    <w:rsid w:val="005B7909"/>
    <w:rsid w:val="005B7A00"/>
    <w:rsid w:val="005B7C66"/>
    <w:rsid w:val="005B7DE0"/>
    <w:rsid w:val="005B7DF3"/>
    <w:rsid w:val="005B7E5E"/>
    <w:rsid w:val="005B7EF0"/>
    <w:rsid w:val="005C03B2"/>
    <w:rsid w:val="005C04C1"/>
    <w:rsid w:val="005C055B"/>
    <w:rsid w:val="005C05C9"/>
    <w:rsid w:val="005C05D0"/>
    <w:rsid w:val="005C0749"/>
    <w:rsid w:val="005C08F1"/>
    <w:rsid w:val="005C0B48"/>
    <w:rsid w:val="005C0BBF"/>
    <w:rsid w:val="005C0C35"/>
    <w:rsid w:val="005C0E62"/>
    <w:rsid w:val="005C0E63"/>
    <w:rsid w:val="005C1030"/>
    <w:rsid w:val="005C1069"/>
    <w:rsid w:val="005C10C8"/>
    <w:rsid w:val="005C11E3"/>
    <w:rsid w:val="005C11EB"/>
    <w:rsid w:val="005C1431"/>
    <w:rsid w:val="005C163B"/>
    <w:rsid w:val="005C1703"/>
    <w:rsid w:val="005C1711"/>
    <w:rsid w:val="005C1795"/>
    <w:rsid w:val="005C194C"/>
    <w:rsid w:val="005C1A04"/>
    <w:rsid w:val="005C1A15"/>
    <w:rsid w:val="005C1A27"/>
    <w:rsid w:val="005C1F93"/>
    <w:rsid w:val="005C213E"/>
    <w:rsid w:val="005C2151"/>
    <w:rsid w:val="005C2464"/>
    <w:rsid w:val="005C26AD"/>
    <w:rsid w:val="005C2978"/>
    <w:rsid w:val="005C29F3"/>
    <w:rsid w:val="005C2A3A"/>
    <w:rsid w:val="005C2ACC"/>
    <w:rsid w:val="005C2B27"/>
    <w:rsid w:val="005C2C4E"/>
    <w:rsid w:val="005C2D9A"/>
    <w:rsid w:val="005C2DDD"/>
    <w:rsid w:val="005C2DF8"/>
    <w:rsid w:val="005C2EB6"/>
    <w:rsid w:val="005C2FF5"/>
    <w:rsid w:val="005C30D6"/>
    <w:rsid w:val="005C30E2"/>
    <w:rsid w:val="005C323A"/>
    <w:rsid w:val="005C347D"/>
    <w:rsid w:val="005C35D0"/>
    <w:rsid w:val="005C362D"/>
    <w:rsid w:val="005C3668"/>
    <w:rsid w:val="005C38DF"/>
    <w:rsid w:val="005C38F3"/>
    <w:rsid w:val="005C3922"/>
    <w:rsid w:val="005C3937"/>
    <w:rsid w:val="005C3B35"/>
    <w:rsid w:val="005C3D48"/>
    <w:rsid w:val="005C3D93"/>
    <w:rsid w:val="005C3E20"/>
    <w:rsid w:val="005C3E37"/>
    <w:rsid w:val="005C3EC2"/>
    <w:rsid w:val="005C3F20"/>
    <w:rsid w:val="005C3FE5"/>
    <w:rsid w:val="005C400B"/>
    <w:rsid w:val="005C415C"/>
    <w:rsid w:val="005C437C"/>
    <w:rsid w:val="005C444F"/>
    <w:rsid w:val="005C44E9"/>
    <w:rsid w:val="005C4519"/>
    <w:rsid w:val="005C45CB"/>
    <w:rsid w:val="005C47C2"/>
    <w:rsid w:val="005C47CA"/>
    <w:rsid w:val="005C48E9"/>
    <w:rsid w:val="005C4A09"/>
    <w:rsid w:val="005C4CDB"/>
    <w:rsid w:val="005C4E46"/>
    <w:rsid w:val="005C5059"/>
    <w:rsid w:val="005C50C8"/>
    <w:rsid w:val="005C50D5"/>
    <w:rsid w:val="005C5178"/>
    <w:rsid w:val="005C54DF"/>
    <w:rsid w:val="005C5596"/>
    <w:rsid w:val="005C564B"/>
    <w:rsid w:val="005C564D"/>
    <w:rsid w:val="005C57F6"/>
    <w:rsid w:val="005C583F"/>
    <w:rsid w:val="005C58EA"/>
    <w:rsid w:val="005C597F"/>
    <w:rsid w:val="005C59AB"/>
    <w:rsid w:val="005C5E4D"/>
    <w:rsid w:val="005C5EDE"/>
    <w:rsid w:val="005C61AC"/>
    <w:rsid w:val="005C61CB"/>
    <w:rsid w:val="005C6232"/>
    <w:rsid w:val="005C62A9"/>
    <w:rsid w:val="005C6346"/>
    <w:rsid w:val="005C647D"/>
    <w:rsid w:val="005C64EA"/>
    <w:rsid w:val="005C6722"/>
    <w:rsid w:val="005C67E6"/>
    <w:rsid w:val="005C682F"/>
    <w:rsid w:val="005C6890"/>
    <w:rsid w:val="005C6BA3"/>
    <w:rsid w:val="005C6D98"/>
    <w:rsid w:val="005C6E20"/>
    <w:rsid w:val="005C6EF1"/>
    <w:rsid w:val="005C6F78"/>
    <w:rsid w:val="005C70C6"/>
    <w:rsid w:val="005C72E6"/>
    <w:rsid w:val="005C7353"/>
    <w:rsid w:val="005C735E"/>
    <w:rsid w:val="005C7365"/>
    <w:rsid w:val="005C73CF"/>
    <w:rsid w:val="005C7413"/>
    <w:rsid w:val="005C7481"/>
    <w:rsid w:val="005C7527"/>
    <w:rsid w:val="005C7582"/>
    <w:rsid w:val="005C762D"/>
    <w:rsid w:val="005C7819"/>
    <w:rsid w:val="005C789D"/>
    <w:rsid w:val="005C7935"/>
    <w:rsid w:val="005C7987"/>
    <w:rsid w:val="005C7C0A"/>
    <w:rsid w:val="005C7CF8"/>
    <w:rsid w:val="005C7CFB"/>
    <w:rsid w:val="005C7EC8"/>
    <w:rsid w:val="005C7F76"/>
    <w:rsid w:val="005D0099"/>
    <w:rsid w:val="005D00EE"/>
    <w:rsid w:val="005D0356"/>
    <w:rsid w:val="005D0361"/>
    <w:rsid w:val="005D03E7"/>
    <w:rsid w:val="005D06B0"/>
    <w:rsid w:val="005D0B73"/>
    <w:rsid w:val="005D0B7E"/>
    <w:rsid w:val="005D0C47"/>
    <w:rsid w:val="005D0CEF"/>
    <w:rsid w:val="005D0D17"/>
    <w:rsid w:val="005D0D68"/>
    <w:rsid w:val="005D0E32"/>
    <w:rsid w:val="005D10B0"/>
    <w:rsid w:val="005D1311"/>
    <w:rsid w:val="005D15F1"/>
    <w:rsid w:val="005D1612"/>
    <w:rsid w:val="005D16B9"/>
    <w:rsid w:val="005D16D0"/>
    <w:rsid w:val="005D1708"/>
    <w:rsid w:val="005D17FF"/>
    <w:rsid w:val="005D18A1"/>
    <w:rsid w:val="005D19CD"/>
    <w:rsid w:val="005D1AAB"/>
    <w:rsid w:val="005D1B04"/>
    <w:rsid w:val="005D1B73"/>
    <w:rsid w:val="005D1BBD"/>
    <w:rsid w:val="005D1D19"/>
    <w:rsid w:val="005D1DBD"/>
    <w:rsid w:val="005D20FF"/>
    <w:rsid w:val="005D210E"/>
    <w:rsid w:val="005D2111"/>
    <w:rsid w:val="005D21E8"/>
    <w:rsid w:val="005D2256"/>
    <w:rsid w:val="005D2362"/>
    <w:rsid w:val="005D2376"/>
    <w:rsid w:val="005D24C9"/>
    <w:rsid w:val="005D252D"/>
    <w:rsid w:val="005D2705"/>
    <w:rsid w:val="005D2757"/>
    <w:rsid w:val="005D27A3"/>
    <w:rsid w:val="005D28E7"/>
    <w:rsid w:val="005D29AF"/>
    <w:rsid w:val="005D2AE4"/>
    <w:rsid w:val="005D2AEA"/>
    <w:rsid w:val="005D2B4D"/>
    <w:rsid w:val="005D2B69"/>
    <w:rsid w:val="005D2F2B"/>
    <w:rsid w:val="005D318E"/>
    <w:rsid w:val="005D3574"/>
    <w:rsid w:val="005D35CD"/>
    <w:rsid w:val="005D3629"/>
    <w:rsid w:val="005D39B4"/>
    <w:rsid w:val="005D39CD"/>
    <w:rsid w:val="005D3DA6"/>
    <w:rsid w:val="005D3F50"/>
    <w:rsid w:val="005D3F81"/>
    <w:rsid w:val="005D3FD9"/>
    <w:rsid w:val="005D404A"/>
    <w:rsid w:val="005D40DE"/>
    <w:rsid w:val="005D4100"/>
    <w:rsid w:val="005D42CF"/>
    <w:rsid w:val="005D42EC"/>
    <w:rsid w:val="005D43A9"/>
    <w:rsid w:val="005D43D1"/>
    <w:rsid w:val="005D44C8"/>
    <w:rsid w:val="005D4673"/>
    <w:rsid w:val="005D4674"/>
    <w:rsid w:val="005D49DC"/>
    <w:rsid w:val="005D4B26"/>
    <w:rsid w:val="005D4B8F"/>
    <w:rsid w:val="005D4C02"/>
    <w:rsid w:val="005D4D88"/>
    <w:rsid w:val="005D4D9D"/>
    <w:rsid w:val="005D4F42"/>
    <w:rsid w:val="005D4F80"/>
    <w:rsid w:val="005D5000"/>
    <w:rsid w:val="005D50A3"/>
    <w:rsid w:val="005D50FF"/>
    <w:rsid w:val="005D52E5"/>
    <w:rsid w:val="005D5491"/>
    <w:rsid w:val="005D59CF"/>
    <w:rsid w:val="005D5ABE"/>
    <w:rsid w:val="005D5C3F"/>
    <w:rsid w:val="005D5D24"/>
    <w:rsid w:val="005D5D5B"/>
    <w:rsid w:val="005D5D9A"/>
    <w:rsid w:val="005D5E0F"/>
    <w:rsid w:val="005D5F0F"/>
    <w:rsid w:val="005D62B9"/>
    <w:rsid w:val="005D62C8"/>
    <w:rsid w:val="005D62D5"/>
    <w:rsid w:val="005D63A7"/>
    <w:rsid w:val="005D6595"/>
    <w:rsid w:val="005D66D7"/>
    <w:rsid w:val="005D680B"/>
    <w:rsid w:val="005D6858"/>
    <w:rsid w:val="005D68B4"/>
    <w:rsid w:val="005D6965"/>
    <w:rsid w:val="005D6CEB"/>
    <w:rsid w:val="005D6D0D"/>
    <w:rsid w:val="005D6D18"/>
    <w:rsid w:val="005D6DB0"/>
    <w:rsid w:val="005D6E4D"/>
    <w:rsid w:val="005D6ECC"/>
    <w:rsid w:val="005D71B9"/>
    <w:rsid w:val="005D7378"/>
    <w:rsid w:val="005D73F4"/>
    <w:rsid w:val="005D75A0"/>
    <w:rsid w:val="005D76D6"/>
    <w:rsid w:val="005D7978"/>
    <w:rsid w:val="005D79B6"/>
    <w:rsid w:val="005D7A45"/>
    <w:rsid w:val="005D7AB2"/>
    <w:rsid w:val="005D7ACB"/>
    <w:rsid w:val="005D7B11"/>
    <w:rsid w:val="005D7B77"/>
    <w:rsid w:val="005D7C5D"/>
    <w:rsid w:val="005D7CAE"/>
    <w:rsid w:val="005D7CCB"/>
    <w:rsid w:val="005D7D2C"/>
    <w:rsid w:val="005D7EC1"/>
    <w:rsid w:val="005D7EE3"/>
    <w:rsid w:val="005E00A5"/>
    <w:rsid w:val="005E0324"/>
    <w:rsid w:val="005E05BD"/>
    <w:rsid w:val="005E07DA"/>
    <w:rsid w:val="005E080C"/>
    <w:rsid w:val="005E088E"/>
    <w:rsid w:val="005E0C69"/>
    <w:rsid w:val="005E10F5"/>
    <w:rsid w:val="005E12ED"/>
    <w:rsid w:val="005E1370"/>
    <w:rsid w:val="005E1472"/>
    <w:rsid w:val="005E147F"/>
    <w:rsid w:val="005E14F0"/>
    <w:rsid w:val="005E1506"/>
    <w:rsid w:val="005E15BE"/>
    <w:rsid w:val="005E1882"/>
    <w:rsid w:val="005E1AF2"/>
    <w:rsid w:val="005E1C60"/>
    <w:rsid w:val="005E1C63"/>
    <w:rsid w:val="005E1C66"/>
    <w:rsid w:val="005E1D3A"/>
    <w:rsid w:val="005E1F87"/>
    <w:rsid w:val="005E1FB7"/>
    <w:rsid w:val="005E1FDA"/>
    <w:rsid w:val="005E2107"/>
    <w:rsid w:val="005E2322"/>
    <w:rsid w:val="005E28C9"/>
    <w:rsid w:val="005E28D6"/>
    <w:rsid w:val="005E2903"/>
    <w:rsid w:val="005E2939"/>
    <w:rsid w:val="005E2987"/>
    <w:rsid w:val="005E2A55"/>
    <w:rsid w:val="005E2A6F"/>
    <w:rsid w:val="005E2C8F"/>
    <w:rsid w:val="005E2D34"/>
    <w:rsid w:val="005E2D89"/>
    <w:rsid w:val="005E2EBE"/>
    <w:rsid w:val="005E3025"/>
    <w:rsid w:val="005E3097"/>
    <w:rsid w:val="005E3468"/>
    <w:rsid w:val="005E353A"/>
    <w:rsid w:val="005E35BB"/>
    <w:rsid w:val="005E3722"/>
    <w:rsid w:val="005E37F5"/>
    <w:rsid w:val="005E3817"/>
    <w:rsid w:val="005E3953"/>
    <w:rsid w:val="005E39F1"/>
    <w:rsid w:val="005E3B18"/>
    <w:rsid w:val="005E3B4E"/>
    <w:rsid w:val="005E3D35"/>
    <w:rsid w:val="005E3DD1"/>
    <w:rsid w:val="005E3E1F"/>
    <w:rsid w:val="005E40FE"/>
    <w:rsid w:val="005E41D6"/>
    <w:rsid w:val="005E4253"/>
    <w:rsid w:val="005E4304"/>
    <w:rsid w:val="005E433B"/>
    <w:rsid w:val="005E43C3"/>
    <w:rsid w:val="005E449C"/>
    <w:rsid w:val="005E4582"/>
    <w:rsid w:val="005E464D"/>
    <w:rsid w:val="005E4653"/>
    <w:rsid w:val="005E47F1"/>
    <w:rsid w:val="005E49D5"/>
    <w:rsid w:val="005E4A58"/>
    <w:rsid w:val="005E4AE1"/>
    <w:rsid w:val="005E4B6A"/>
    <w:rsid w:val="005E4BAF"/>
    <w:rsid w:val="005E4CF3"/>
    <w:rsid w:val="005E4F0A"/>
    <w:rsid w:val="005E5062"/>
    <w:rsid w:val="005E5099"/>
    <w:rsid w:val="005E51DB"/>
    <w:rsid w:val="005E51FB"/>
    <w:rsid w:val="005E53AE"/>
    <w:rsid w:val="005E540F"/>
    <w:rsid w:val="005E589F"/>
    <w:rsid w:val="005E5A36"/>
    <w:rsid w:val="005E5A73"/>
    <w:rsid w:val="005E5D67"/>
    <w:rsid w:val="005E5F21"/>
    <w:rsid w:val="005E61EA"/>
    <w:rsid w:val="005E6352"/>
    <w:rsid w:val="005E63DE"/>
    <w:rsid w:val="005E6439"/>
    <w:rsid w:val="005E662B"/>
    <w:rsid w:val="005E6813"/>
    <w:rsid w:val="005E6A70"/>
    <w:rsid w:val="005E7272"/>
    <w:rsid w:val="005E739E"/>
    <w:rsid w:val="005E73D2"/>
    <w:rsid w:val="005E7455"/>
    <w:rsid w:val="005E750C"/>
    <w:rsid w:val="005E756A"/>
    <w:rsid w:val="005E763F"/>
    <w:rsid w:val="005E7651"/>
    <w:rsid w:val="005E77B0"/>
    <w:rsid w:val="005E783A"/>
    <w:rsid w:val="005E7871"/>
    <w:rsid w:val="005E78E0"/>
    <w:rsid w:val="005E7989"/>
    <w:rsid w:val="005E7E77"/>
    <w:rsid w:val="005F009D"/>
    <w:rsid w:val="005F0236"/>
    <w:rsid w:val="005F024E"/>
    <w:rsid w:val="005F0418"/>
    <w:rsid w:val="005F04F3"/>
    <w:rsid w:val="005F0866"/>
    <w:rsid w:val="005F0921"/>
    <w:rsid w:val="005F0936"/>
    <w:rsid w:val="005F09B2"/>
    <w:rsid w:val="005F0A21"/>
    <w:rsid w:val="005F0A34"/>
    <w:rsid w:val="005F0CFB"/>
    <w:rsid w:val="005F0F0C"/>
    <w:rsid w:val="005F0FFE"/>
    <w:rsid w:val="005F101D"/>
    <w:rsid w:val="005F10F2"/>
    <w:rsid w:val="005F1160"/>
    <w:rsid w:val="005F1208"/>
    <w:rsid w:val="005F1429"/>
    <w:rsid w:val="005F1555"/>
    <w:rsid w:val="005F1700"/>
    <w:rsid w:val="005F1796"/>
    <w:rsid w:val="005F17B7"/>
    <w:rsid w:val="005F18B2"/>
    <w:rsid w:val="005F1B73"/>
    <w:rsid w:val="005F1E80"/>
    <w:rsid w:val="005F212D"/>
    <w:rsid w:val="005F2320"/>
    <w:rsid w:val="005F2483"/>
    <w:rsid w:val="005F2738"/>
    <w:rsid w:val="005F2785"/>
    <w:rsid w:val="005F27BF"/>
    <w:rsid w:val="005F27C7"/>
    <w:rsid w:val="005F29D4"/>
    <w:rsid w:val="005F2B79"/>
    <w:rsid w:val="005F2C18"/>
    <w:rsid w:val="005F2F3B"/>
    <w:rsid w:val="005F304C"/>
    <w:rsid w:val="005F3095"/>
    <w:rsid w:val="005F3162"/>
    <w:rsid w:val="005F3196"/>
    <w:rsid w:val="005F3356"/>
    <w:rsid w:val="005F356E"/>
    <w:rsid w:val="005F379E"/>
    <w:rsid w:val="005F38A0"/>
    <w:rsid w:val="005F38A5"/>
    <w:rsid w:val="005F39E5"/>
    <w:rsid w:val="005F3BA8"/>
    <w:rsid w:val="005F3CFF"/>
    <w:rsid w:val="005F3F24"/>
    <w:rsid w:val="005F416F"/>
    <w:rsid w:val="005F4253"/>
    <w:rsid w:val="005F450E"/>
    <w:rsid w:val="005F458C"/>
    <w:rsid w:val="005F477C"/>
    <w:rsid w:val="005F47A4"/>
    <w:rsid w:val="005F4A5D"/>
    <w:rsid w:val="005F4ACF"/>
    <w:rsid w:val="005F4C7E"/>
    <w:rsid w:val="005F4C93"/>
    <w:rsid w:val="005F4EF2"/>
    <w:rsid w:val="005F4F87"/>
    <w:rsid w:val="005F4F90"/>
    <w:rsid w:val="005F4FC5"/>
    <w:rsid w:val="005F50F3"/>
    <w:rsid w:val="005F51A3"/>
    <w:rsid w:val="005F51A8"/>
    <w:rsid w:val="005F5282"/>
    <w:rsid w:val="005F533C"/>
    <w:rsid w:val="005F539C"/>
    <w:rsid w:val="005F53F0"/>
    <w:rsid w:val="005F543D"/>
    <w:rsid w:val="005F549A"/>
    <w:rsid w:val="005F5711"/>
    <w:rsid w:val="005F5719"/>
    <w:rsid w:val="005F5761"/>
    <w:rsid w:val="005F58B4"/>
    <w:rsid w:val="005F5A30"/>
    <w:rsid w:val="005F5ACD"/>
    <w:rsid w:val="005F5C1C"/>
    <w:rsid w:val="005F5C54"/>
    <w:rsid w:val="005F5D9B"/>
    <w:rsid w:val="005F5EBC"/>
    <w:rsid w:val="005F5F6A"/>
    <w:rsid w:val="005F601F"/>
    <w:rsid w:val="005F6214"/>
    <w:rsid w:val="005F6240"/>
    <w:rsid w:val="005F6485"/>
    <w:rsid w:val="005F6499"/>
    <w:rsid w:val="005F64BC"/>
    <w:rsid w:val="005F6741"/>
    <w:rsid w:val="005F68DF"/>
    <w:rsid w:val="005F69CA"/>
    <w:rsid w:val="005F6A1D"/>
    <w:rsid w:val="005F6ABE"/>
    <w:rsid w:val="005F6AD1"/>
    <w:rsid w:val="005F6F23"/>
    <w:rsid w:val="005F6F29"/>
    <w:rsid w:val="005F734E"/>
    <w:rsid w:val="005F77AE"/>
    <w:rsid w:val="005F78F6"/>
    <w:rsid w:val="005F7C5F"/>
    <w:rsid w:val="005F7E3E"/>
    <w:rsid w:val="005F7E71"/>
    <w:rsid w:val="00600298"/>
    <w:rsid w:val="006002DF"/>
    <w:rsid w:val="00600328"/>
    <w:rsid w:val="00600340"/>
    <w:rsid w:val="00600444"/>
    <w:rsid w:val="0060054A"/>
    <w:rsid w:val="00600718"/>
    <w:rsid w:val="0060094E"/>
    <w:rsid w:val="00600FB5"/>
    <w:rsid w:val="00600FE4"/>
    <w:rsid w:val="006010B3"/>
    <w:rsid w:val="006012C4"/>
    <w:rsid w:val="006012D9"/>
    <w:rsid w:val="006014D9"/>
    <w:rsid w:val="006016F5"/>
    <w:rsid w:val="00601738"/>
    <w:rsid w:val="00601870"/>
    <w:rsid w:val="00601884"/>
    <w:rsid w:val="006019B3"/>
    <w:rsid w:val="00601AA1"/>
    <w:rsid w:val="00601B17"/>
    <w:rsid w:val="00601BBA"/>
    <w:rsid w:val="00601C7A"/>
    <w:rsid w:val="00601E37"/>
    <w:rsid w:val="00601EF1"/>
    <w:rsid w:val="00601F54"/>
    <w:rsid w:val="00601F9A"/>
    <w:rsid w:val="0060204A"/>
    <w:rsid w:val="00602197"/>
    <w:rsid w:val="00602321"/>
    <w:rsid w:val="00602698"/>
    <w:rsid w:val="00602837"/>
    <w:rsid w:val="006028D5"/>
    <w:rsid w:val="00602984"/>
    <w:rsid w:val="006029C3"/>
    <w:rsid w:val="00602D17"/>
    <w:rsid w:val="00602E5D"/>
    <w:rsid w:val="0060308C"/>
    <w:rsid w:val="0060310A"/>
    <w:rsid w:val="0060326A"/>
    <w:rsid w:val="00603522"/>
    <w:rsid w:val="006035B2"/>
    <w:rsid w:val="006036B6"/>
    <w:rsid w:val="00603789"/>
    <w:rsid w:val="00603AC0"/>
    <w:rsid w:val="00603BC5"/>
    <w:rsid w:val="00603DDB"/>
    <w:rsid w:val="00603E3B"/>
    <w:rsid w:val="00603EED"/>
    <w:rsid w:val="00604059"/>
    <w:rsid w:val="006047B2"/>
    <w:rsid w:val="006047C5"/>
    <w:rsid w:val="00604942"/>
    <w:rsid w:val="00604980"/>
    <w:rsid w:val="00604A81"/>
    <w:rsid w:val="00604CBF"/>
    <w:rsid w:val="00604F28"/>
    <w:rsid w:val="00604FAC"/>
    <w:rsid w:val="0060506D"/>
    <w:rsid w:val="006050EE"/>
    <w:rsid w:val="00605150"/>
    <w:rsid w:val="0060517C"/>
    <w:rsid w:val="00605183"/>
    <w:rsid w:val="00605215"/>
    <w:rsid w:val="0060523D"/>
    <w:rsid w:val="00605404"/>
    <w:rsid w:val="006055BD"/>
    <w:rsid w:val="0060569A"/>
    <w:rsid w:val="00605732"/>
    <w:rsid w:val="00605905"/>
    <w:rsid w:val="00605971"/>
    <w:rsid w:val="00605A26"/>
    <w:rsid w:val="00605AA0"/>
    <w:rsid w:val="00605CB1"/>
    <w:rsid w:val="00605CBA"/>
    <w:rsid w:val="00605D0F"/>
    <w:rsid w:val="00605FBA"/>
    <w:rsid w:val="006061A9"/>
    <w:rsid w:val="00606219"/>
    <w:rsid w:val="0060621B"/>
    <w:rsid w:val="00606250"/>
    <w:rsid w:val="0060669D"/>
    <w:rsid w:val="006066E7"/>
    <w:rsid w:val="0060680E"/>
    <w:rsid w:val="0060683C"/>
    <w:rsid w:val="00606A75"/>
    <w:rsid w:val="00606B0C"/>
    <w:rsid w:val="00606B28"/>
    <w:rsid w:val="00606BC8"/>
    <w:rsid w:val="00606DD7"/>
    <w:rsid w:val="00606E30"/>
    <w:rsid w:val="006070E4"/>
    <w:rsid w:val="006070EE"/>
    <w:rsid w:val="0060714B"/>
    <w:rsid w:val="006072F7"/>
    <w:rsid w:val="00607357"/>
    <w:rsid w:val="006073ED"/>
    <w:rsid w:val="00607487"/>
    <w:rsid w:val="00607666"/>
    <w:rsid w:val="006077E4"/>
    <w:rsid w:val="00607804"/>
    <w:rsid w:val="006078AB"/>
    <w:rsid w:val="006079F0"/>
    <w:rsid w:val="00607D94"/>
    <w:rsid w:val="00607DE2"/>
    <w:rsid w:val="00607E85"/>
    <w:rsid w:val="00607E89"/>
    <w:rsid w:val="00607F9D"/>
    <w:rsid w:val="0061031F"/>
    <w:rsid w:val="006106E9"/>
    <w:rsid w:val="0061073F"/>
    <w:rsid w:val="006108EF"/>
    <w:rsid w:val="00610B82"/>
    <w:rsid w:val="00610B8C"/>
    <w:rsid w:val="00610BCB"/>
    <w:rsid w:val="00610D0D"/>
    <w:rsid w:val="00610EA0"/>
    <w:rsid w:val="00611457"/>
    <w:rsid w:val="00611497"/>
    <w:rsid w:val="00611573"/>
    <w:rsid w:val="00611596"/>
    <w:rsid w:val="006118D7"/>
    <w:rsid w:val="00611CA3"/>
    <w:rsid w:val="00611D04"/>
    <w:rsid w:val="00611D64"/>
    <w:rsid w:val="00611F5C"/>
    <w:rsid w:val="00612007"/>
    <w:rsid w:val="0061201C"/>
    <w:rsid w:val="006121CE"/>
    <w:rsid w:val="00612231"/>
    <w:rsid w:val="00612345"/>
    <w:rsid w:val="00612556"/>
    <w:rsid w:val="00612653"/>
    <w:rsid w:val="0061269C"/>
    <w:rsid w:val="006127F2"/>
    <w:rsid w:val="006128E2"/>
    <w:rsid w:val="006128FC"/>
    <w:rsid w:val="006129A4"/>
    <w:rsid w:val="006129E0"/>
    <w:rsid w:val="00612A98"/>
    <w:rsid w:val="00612C8F"/>
    <w:rsid w:val="00612DB3"/>
    <w:rsid w:val="00612E5A"/>
    <w:rsid w:val="00612EB9"/>
    <w:rsid w:val="00612FBF"/>
    <w:rsid w:val="00613118"/>
    <w:rsid w:val="006132E0"/>
    <w:rsid w:val="006133B9"/>
    <w:rsid w:val="0061343D"/>
    <w:rsid w:val="00613574"/>
    <w:rsid w:val="006136E2"/>
    <w:rsid w:val="00613777"/>
    <w:rsid w:val="00613876"/>
    <w:rsid w:val="006139C3"/>
    <w:rsid w:val="00613CFE"/>
    <w:rsid w:val="00613DC4"/>
    <w:rsid w:val="006140E5"/>
    <w:rsid w:val="006142F4"/>
    <w:rsid w:val="0061436D"/>
    <w:rsid w:val="00614586"/>
    <w:rsid w:val="00614609"/>
    <w:rsid w:val="006147BE"/>
    <w:rsid w:val="0061484D"/>
    <w:rsid w:val="006148E2"/>
    <w:rsid w:val="00614B09"/>
    <w:rsid w:val="00614BB0"/>
    <w:rsid w:val="00614F0A"/>
    <w:rsid w:val="00614FB3"/>
    <w:rsid w:val="00615114"/>
    <w:rsid w:val="00615170"/>
    <w:rsid w:val="006151CD"/>
    <w:rsid w:val="00615295"/>
    <w:rsid w:val="0061540A"/>
    <w:rsid w:val="0061544B"/>
    <w:rsid w:val="00615451"/>
    <w:rsid w:val="0061549D"/>
    <w:rsid w:val="0061557C"/>
    <w:rsid w:val="00615923"/>
    <w:rsid w:val="006159F4"/>
    <w:rsid w:val="00615A8A"/>
    <w:rsid w:val="00615A8B"/>
    <w:rsid w:val="00615AA5"/>
    <w:rsid w:val="00615AC2"/>
    <w:rsid w:val="00615AFB"/>
    <w:rsid w:val="00615C48"/>
    <w:rsid w:val="00615CF1"/>
    <w:rsid w:val="00615DB0"/>
    <w:rsid w:val="00615E89"/>
    <w:rsid w:val="00615FE1"/>
    <w:rsid w:val="0061606A"/>
    <w:rsid w:val="00616095"/>
    <w:rsid w:val="0061609A"/>
    <w:rsid w:val="00616160"/>
    <w:rsid w:val="006162F8"/>
    <w:rsid w:val="006163FF"/>
    <w:rsid w:val="00616472"/>
    <w:rsid w:val="006165BF"/>
    <w:rsid w:val="006167F7"/>
    <w:rsid w:val="00616B1D"/>
    <w:rsid w:val="00616BE1"/>
    <w:rsid w:val="00616C18"/>
    <w:rsid w:val="00616C35"/>
    <w:rsid w:val="00616C5C"/>
    <w:rsid w:val="00616CCE"/>
    <w:rsid w:val="00616E90"/>
    <w:rsid w:val="00616F60"/>
    <w:rsid w:val="00617059"/>
    <w:rsid w:val="00617129"/>
    <w:rsid w:val="0061723B"/>
    <w:rsid w:val="006172AD"/>
    <w:rsid w:val="0061735B"/>
    <w:rsid w:val="006174C5"/>
    <w:rsid w:val="0061755F"/>
    <w:rsid w:val="0061759F"/>
    <w:rsid w:val="00617770"/>
    <w:rsid w:val="006178EE"/>
    <w:rsid w:val="00617902"/>
    <w:rsid w:val="00617935"/>
    <w:rsid w:val="00617A24"/>
    <w:rsid w:val="00617A2C"/>
    <w:rsid w:val="00620129"/>
    <w:rsid w:val="006201C9"/>
    <w:rsid w:val="006201D0"/>
    <w:rsid w:val="006201F6"/>
    <w:rsid w:val="006203BD"/>
    <w:rsid w:val="0062045A"/>
    <w:rsid w:val="00620466"/>
    <w:rsid w:val="00620489"/>
    <w:rsid w:val="00620573"/>
    <w:rsid w:val="0062061A"/>
    <w:rsid w:val="006207F8"/>
    <w:rsid w:val="00620A60"/>
    <w:rsid w:val="00620A71"/>
    <w:rsid w:val="00620B12"/>
    <w:rsid w:val="00620BB9"/>
    <w:rsid w:val="00620D7B"/>
    <w:rsid w:val="00620DCF"/>
    <w:rsid w:val="00620EA9"/>
    <w:rsid w:val="00620F6F"/>
    <w:rsid w:val="006211D0"/>
    <w:rsid w:val="0062120C"/>
    <w:rsid w:val="00621413"/>
    <w:rsid w:val="00621669"/>
    <w:rsid w:val="00621725"/>
    <w:rsid w:val="0062179A"/>
    <w:rsid w:val="00621826"/>
    <w:rsid w:val="006218C6"/>
    <w:rsid w:val="00621903"/>
    <w:rsid w:val="00621BAE"/>
    <w:rsid w:val="00621C3F"/>
    <w:rsid w:val="00621C93"/>
    <w:rsid w:val="0062207F"/>
    <w:rsid w:val="00622163"/>
    <w:rsid w:val="00622185"/>
    <w:rsid w:val="0062236D"/>
    <w:rsid w:val="006224DB"/>
    <w:rsid w:val="006224FF"/>
    <w:rsid w:val="006225EE"/>
    <w:rsid w:val="0062266F"/>
    <w:rsid w:val="00622761"/>
    <w:rsid w:val="0062278B"/>
    <w:rsid w:val="0062280B"/>
    <w:rsid w:val="00622BDA"/>
    <w:rsid w:val="00622BFC"/>
    <w:rsid w:val="00622D29"/>
    <w:rsid w:val="006230CA"/>
    <w:rsid w:val="0062319F"/>
    <w:rsid w:val="006232F4"/>
    <w:rsid w:val="00623377"/>
    <w:rsid w:val="00623482"/>
    <w:rsid w:val="00623731"/>
    <w:rsid w:val="006238D9"/>
    <w:rsid w:val="00623916"/>
    <w:rsid w:val="0062398D"/>
    <w:rsid w:val="00623A38"/>
    <w:rsid w:val="00623A3B"/>
    <w:rsid w:val="00623B09"/>
    <w:rsid w:val="00623BC8"/>
    <w:rsid w:val="00623ED3"/>
    <w:rsid w:val="00624520"/>
    <w:rsid w:val="006246AD"/>
    <w:rsid w:val="00624719"/>
    <w:rsid w:val="00624724"/>
    <w:rsid w:val="00624862"/>
    <w:rsid w:val="0062498A"/>
    <w:rsid w:val="006249A8"/>
    <w:rsid w:val="006249C9"/>
    <w:rsid w:val="00624A96"/>
    <w:rsid w:val="00624B41"/>
    <w:rsid w:val="00624EDE"/>
    <w:rsid w:val="00624F69"/>
    <w:rsid w:val="00624F9D"/>
    <w:rsid w:val="00625262"/>
    <w:rsid w:val="00625699"/>
    <w:rsid w:val="006256C9"/>
    <w:rsid w:val="0062575F"/>
    <w:rsid w:val="0062593B"/>
    <w:rsid w:val="00625B64"/>
    <w:rsid w:val="00625D46"/>
    <w:rsid w:val="006261B7"/>
    <w:rsid w:val="00626207"/>
    <w:rsid w:val="0062620D"/>
    <w:rsid w:val="0062637A"/>
    <w:rsid w:val="00626501"/>
    <w:rsid w:val="006266BF"/>
    <w:rsid w:val="00626758"/>
    <w:rsid w:val="006268E8"/>
    <w:rsid w:val="00626923"/>
    <w:rsid w:val="0062692B"/>
    <w:rsid w:val="00626996"/>
    <w:rsid w:val="00626AFC"/>
    <w:rsid w:val="00626C75"/>
    <w:rsid w:val="00626CA6"/>
    <w:rsid w:val="00626DB7"/>
    <w:rsid w:val="00626E24"/>
    <w:rsid w:val="00626EDA"/>
    <w:rsid w:val="00626F9A"/>
    <w:rsid w:val="00627069"/>
    <w:rsid w:val="006270A1"/>
    <w:rsid w:val="00627149"/>
    <w:rsid w:val="0062715C"/>
    <w:rsid w:val="0062727E"/>
    <w:rsid w:val="0062733F"/>
    <w:rsid w:val="0062772F"/>
    <w:rsid w:val="00627783"/>
    <w:rsid w:val="006277CE"/>
    <w:rsid w:val="006279C2"/>
    <w:rsid w:val="00627C68"/>
    <w:rsid w:val="00627E8E"/>
    <w:rsid w:val="00627EF3"/>
    <w:rsid w:val="00627F1C"/>
    <w:rsid w:val="006301DE"/>
    <w:rsid w:val="00630328"/>
    <w:rsid w:val="0063034F"/>
    <w:rsid w:val="00630386"/>
    <w:rsid w:val="00630445"/>
    <w:rsid w:val="00630483"/>
    <w:rsid w:val="0063054B"/>
    <w:rsid w:val="00630605"/>
    <w:rsid w:val="006306B0"/>
    <w:rsid w:val="0063071A"/>
    <w:rsid w:val="00630744"/>
    <w:rsid w:val="006307F5"/>
    <w:rsid w:val="00630810"/>
    <w:rsid w:val="00630979"/>
    <w:rsid w:val="006309A9"/>
    <w:rsid w:val="00630ABF"/>
    <w:rsid w:val="00630F9A"/>
    <w:rsid w:val="0063115F"/>
    <w:rsid w:val="00631203"/>
    <w:rsid w:val="00631290"/>
    <w:rsid w:val="006313BE"/>
    <w:rsid w:val="006313CF"/>
    <w:rsid w:val="006314CD"/>
    <w:rsid w:val="00631609"/>
    <w:rsid w:val="0063169F"/>
    <w:rsid w:val="006316D6"/>
    <w:rsid w:val="00631768"/>
    <w:rsid w:val="006317FA"/>
    <w:rsid w:val="006319F4"/>
    <w:rsid w:val="00631AB7"/>
    <w:rsid w:val="00631BC5"/>
    <w:rsid w:val="00631BE4"/>
    <w:rsid w:val="00631EC2"/>
    <w:rsid w:val="0063203A"/>
    <w:rsid w:val="0063203E"/>
    <w:rsid w:val="00632066"/>
    <w:rsid w:val="0063213D"/>
    <w:rsid w:val="006321E8"/>
    <w:rsid w:val="00632277"/>
    <w:rsid w:val="00632291"/>
    <w:rsid w:val="006323F1"/>
    <w:rsid w:val="00632404"/>
    <w:rsid w:val="0063241C"/>
    <w:rsid w:val="006325E9"/>
    <w:rsid w:val="0063260B"/>
    <w:rsid w:val="00632639"/>
    <w:rsid w:val="006327BA"/>
    <w:rsid w:val="00632889"/>
    <w:rsid w:val="006328B7"/>
    <w:rsid w:val="0063294E"/>
    <w:rsid w:val="00632955"/>
    <w:rsid w:val="0063295E"/>
    <w:rsid w:val="00632D63"/>
    <w:rsid w:val="00632DE2"/>
    <w:rsid w:val="00632E4E"/>
    <w:rsid w:val="00632EC8"/>
    <w:rsid w:val="00632F8B"/>
    <w:rsid w:val="006330CD"/>
    <w:rsid w:val="006333D3"/>
    <w:rsid w:val="0063342E"/>
    <w:rsid w:val="006334CD"/>
    <w:rsid w:val="006334D9"/>
    <w:rsid w:val="0063359C"/>
    <w:rsid w:val="00633678"/>
    <w:rsid w:val="006336B5"/>
    <w:rsid w:val="00633A99"/>
    <w:rsid w:val="00633F16"/>
    <w:rsid w:val="006341A5"/>
    <w:rsid w:val="0063432D"/>
    <w:rsid w:val="00634386"/>
    <w:rsid w:val="00634397"/>
    <w:rsid w:val="006343C6"/>
    <w:rsid w:val="006343EA"/>
    <w:rsid w:val="00634BAF"/>
    <w:rsid w:val="00634D8C"/>
    <w:rsid w:val="00634DB5"/>
    <w:rsid w:val="00634DDE"/>
    <w:rsid w:val="00634F5A"/>
    <w:rsid w:val="00634F76"/>
    <w:rsid w:val="00634F84"/>
    <w:rsid w:val="00635188"/>
    <w:rsid w:val="00635418"/>
    <w:rsid w:val="0063542E"/>
    <w:rsid w:val="0063543D"/>
    <w:rsid w:val="00635620"/>
    <w:rsid w:val="0063562B"/>
    <w:rsid w:val="0063567A"/>
    <w:rsid w:val="00635760"/>
    <w:rsid w:val="00635801"/>
    <w:rsid w:val="00635BE8"/>
    <w:rsid w:val="00635CC5"/>
    <w:rsid w:val="00635CED"/>
    <w:rsid w:val="00635F5D"/>
    <w:rsid w:val="00635FA3"/>
    <w:rsid w:val="0063607B"/>
    <w:rsid w:val="00636129"/>
    <w:rsid w:val="006361A6"/>
    <w:rsid w:val="006362B2"/>
    <w:rsid w:val="006362EC"/>
    <w:rsid w:val="00636468"/>
    <w:rsid w:val="006364C3"/>
    <w:rsid w:val="006364F3"/>
    <w:rsid w:val="0063650D"/>
    <w:rsid w:val="0063682B"/>
    <w:rsid w:val="006368D2"/>
    <w:rsid w:val="00636904"/>
    <w:rsid w:val="006369CA"/>
    <w:rsid w:val="00636C19"/>
    <w:rsid w:val="00636CD1"/>
    <w:rsid w:val="00636CDD"/>
    <w:rsid w:val="00636D96"/>
    <w:rsid w:val="00636DC8"/>
    <w:rsid w:val="00636E13"/>
    <w:rsid w:val="00636FCB"/>
    <w:rsid w:val="00637131"/>
    <w:rsid w:val="0063714D"/>
    <w:rsid w:val="00637336"/>
    <w:rsid w:val="00637380"/>
    <w:rsid w:val="00637413"/>
    <w:rsid w:val="00637416"/>
    <w:rsid w:val="0063758F"/>
    <w:rsid w:val="00637722"/>
    <w:rsid w:val="0063783A"/>
    <w:rsid w:val="0063798D"/>
    <w:rsid w:val="00637A52"/>
    <w:rsid w:val="00637A6E"/>
    <w:rsid w:val="00637C90"/>
    <w:rsid w:val="00640069"/>
    <w:rsid w:val="006400E3"/>
    <w:rsid w:val="0064013A"/>
    <w:rsid w:val="00640195"/>
    <w:rsid w:val="0064024C"/>
    <w:rsid w:val="0064059E"/>
    <w:rsid w:val="006405A9"/>
    <w:rsid w:val="006406F7"/>
    <w:rsid w:val="00640733"/>
    <w:rsid w:val="006409E0"/>
    <w:rsid w:val="00640A24"/>
    <w:rsid w:val="00640AAC"/>
    <w:rsid w:val="00640D23"/>
    <w:rsid w:val="00640E5D"/>
    <w:rsid w:val="00640E97"/>
    <w:rsid w:val="00640EE7"/>
    <w:rsid w:val="00640F42"/>
    <w:rsid w:val="00640FA6"/>
    <w:rsid w:val="00641048"/>
    <w:rsid w:val="00641197"/>
    <w:rsid w:val="006411C9"/>
    <w:rsid w:val="006412F7"/>
    <w:rsid w:val="00641311"/>
    <w:rsid w:val="00641495"/>
    <w:rsid w:val="00641508"/>
    <w:rsid w:val="00641693"/>
    <w:rsid w:val="006419F5"/>
    <w:rsid w:val="00641A17"/>
    <w:rsid w:val="00641A20"/>
    <w:rsid w:val="00641A4A"/>
    <w:rsid w:val="00641C07"/>
    <w:rsid w:val="00641FDD"/>
    <w:rsid w:val="00642098"/>
    <w:rsid w:val="00642243"/>
    <w:rsid w:val="00642591"/>
    <w:rsid w:val="00642640"/>
    <w:rsid w:val="00642CF4"/>
    <w:rsid w:val="00642D49"/>
    <w:rsid w:val="00642E13"/>
    <w:rsid w:val="00642EBC"/>
    <w:rsid w:val="006432E6"/>
    <w:rsid w:val="0064354E"/>
    <w:rsid w:val="006435CD"/>
    <w:rsid w:val="006436DE"/>
    <w:rsid w:val="0064377A"/>
    <w:rsid w:val="006438FD"/>
    <w:rsid w:val="00643C54"/>
    <w:rsid w:val="00643C87"/>
    <w:rsid w:val="00643D56"/>
    <w:rsid w:val="00643EA5"/>
    <w:rsid w:val="00643FC5"/>
    <w:rsid w:val="006443BB"/>
    <w:rsid w:val="0064469C"/>
    <w:rsid w:val="006446A8"/>
    <w:rsid w:val="00644768"/>
    <w:rsid w:val="00644C06"/>
    <w:rsid w:val="00644CDC"/>
    <w:rsid w:val="00644D11"/>
    <w:rsid w:val="00644EE1"/>
    <w:rsid w:val="00644EE3"/>
    <w:rsid w:val="0064502D"/>
    <w:rsid w:val="00645185"/>
    <w:rsid w:val="006451F3"/>
    <w:rsid w:val="0064546F"/>
    <w:rsid w:val="006454AA"/>
    <w:rsid w:val="00645596"/>
    <w:rsid w:val="0064589B"/>
    <w:rsid w:val="00645A50"/>
    <w:rsid w:val="00645BC7"/>
    <w:rsid w:val="00645C97"/>
    <w:rsid w:val="00645CAD"/>
    <w:rsid w:val="00645E25"/>
    <w:rsid w:val="00645F0D"/>
    <w:rsid w:val="00645F78"/>
    <w:rsid w:val="00646004"/>
    <w:rsid w:val="006460B3"/>
    <w:rsid w:val="006462F1"/>
    <w:rsid w:val="006463D9"/>
    <w:rsid w:val="006463DB"/>
    <w:rsid w:val="006463F8"/>
    <w:rsid w:val="00646485"/>
    <w:rsid w:val="006464A1"/>
    <w:rsid w:val="0064685C"/>
    <w:rsid w:val="0064696B"/>
    <w:rsid w:val="0064697F"/>
    <w:rsid w:val="006469C6"/>
    <w:rsid w:val="00646B4F"/>
    <w:rsid w:val="00646C0E"/>
    <w:rsid w:val="00646CCF"/>
    <w:rsid w:val="00646E12"/>
    <w:rsid w:val="00646E13"/>
    <w:rsid w:val="00646FF7"/>
    <w:rsid w:val="00647052"/>
    <w:rsid w:val="006472BF"/>
    <w:rsid w:val="006472CE"/>
    <w:rsid w:val="00647308"/>
    <w:rsid w:val="006474B3"/>
    <w:rsid w:val="00647535"/>
    <w:rsid w:val="0064755D"/>
    <w:rsid w:val="0064773B"/>
    <w:rsid w:val="006477C7"/>
    <w:rsid w:val="00647927"/>
    <w:rsid w:val="00647A15"/>
    <w:rsid w:val="00647ABE"/>
    <w:rsid w:val="00647AEB"/>
    <w:rsid w:val="00647B0A"/>
    <w:rsid w:val="00647E23"/>
    <w:rsid w:val="0065003F"/>
    <w:rsid w:val="00650220"/>
    <w:rsid w:val="006506A1"/>
    <w:rsid w:val="006506A4"/>
    <w:rsid w:val="00650797"/>
    <w:rsid w:val="006507CB"/>
    <w:rsid w:val="006509FD"/>
    <w:rsid w:val="00650A31"/>
    <w:rsid w:val="00650ADD"/>
    <w:rsid w:val="00650B21"/>
    <w:rsid w:val="00650BC6"/>
    <w:rsid w:val="00650F3E"/>
    <w:rsid w:val="00650FAF"/>
    <w:rsid w:val="006510C2"/>
    <w:rsid w:val="006511E1"/>
    <w:rsid w:val="0065123C"/>
    <w:rsid w:val="006512DB"/>
    <w:rsid w:val="00651333"/>
    <w:rsid w:val="006514C4"/>
    <w:rsid w:val="00651630"/>
    <w:rsid w:val="0065163A"/>
    <w:rsid w:val="0065177C"/>
    <w:rsid w:val="00651980"/>
    <w:rsid w:val="00651AAF"/>
    <w:rsid w:val="00651BE0"/>
    <w:rsid w:val="00651C2E"/>
    <w:rsid w:val="00651D23"/>
    <w:rsid w:val="00651D2E"/>
    <w:rsid w:val="00651FA2"/>
    <w:rsid w:val="0065216D"/>
    <w:rsid w:val="0065217D"/>
    <w:rsid w:val="0065238E"/>
    <w:rsid w:val="00652406"/>
    <w:rsid w:val="006525C8"/>
    <w:rsid w:val="006525D1"/>
    <w:rsid w:val="00652621"/>
    <w:rsid w:val="0065279B"/>
    <w:rsid w:val="006528BF"/>
    <w:rsid w:val="00652A63"/>
    <w:rsid w:val="00652F86"/>
    <w:rsid w:val="00652FB7"/>
    <w:rsid w:val="00653229"/>
    <w:rsid w:val="00653325"/>
    <w:rsid w:val="00653392"/>
    <w:rsid w:val="0065346B"/>
    <w:rsid w:val="0065374A"/>
    <w:rsid w:val="006537B5"/>
    <w:rsid w:val="00653891"/>
    <w:rsid w:val="00653997"/>
    <w:rsid w:val="00653C85"/>
    <w:rsid w:val="00653E6C"/>
    <w:rsid w:val="00654049"/>
    <w:rsid w:val="006540FB"/>
    <w:rsid w:val="0065427A"/>
    <w:rsid w:val="006545C9"/>
    <w:rsid w:val="006547F0"/>
    <w:rsid w:val="0065485F"/>
    <w:rsid w:val="00654A8B"/>
    <w:rsid w:val="00654C35"/>
    <w:rsid w:val="00654D40"/>
    <w:rsid w:val="00654E46"/>
    <w:rsid w:val="00654E4D"/>
    <w:rsid w:val="0065502A"/>
    <w:rsid w:val="00655095"/>
    <w:rsid w:val="006551F4"/>
    <w:rsid w:val="00655299"/>
    <w:rsid w:val="006553DA"/>
    <w:rsid w:val="00655550"/>
    <w:rsid w:val="00655573"/>
    <w:rsid w:val="006555E6"/>
    <w:rsid w:val="006555F7"/>
    <w:rsid w:val="00655A2E"/>
    <w:rsid w:val="00655C46"/>
    <w:rsid w:val="00655C8A"/>
    <w:rsid w:val="00655D3C"/>
    <w:rsid w:val="00655ED5"/>
    <w:rsid w:val="0065617D"/>
    <w:rsid w:val="00656222"/>
    <w:rsid w:val="00656270"/>
    <w:rsid w:val="006563FD"/>
    <w:rsid w:val="006564F5"/>
    <w:rsid w:val="0065656F"/>
    <w:rsid w:val="00656629"/>
    <w:rsid w:val="0065666E"/>
    <w:rsid w:val="00656690"/>
    <w:rsid w:val="0065676F"/>
    <w:rsid w:val="00656990"/>
    <w:rsid w:val="00656A51"/>
    <w:rsid w:val="00656AB7"/>
    <w:rsid w:val="00656B5F"/>
    <w:rsid w:val="00656B86"/>
    <w:rsid w:val="00656C56"/>
    <w:rsid w:val="00656CCA"/>
    <w:rsid w:val="00656DB0"/>
    <w:rsid w:val="00657021"/>
    <w:rsid w:val="00657275"/>
    <w:rsid w:val="0065744C"/>
    <w:rsid w:val="00657470"/>
    <w:rsid w:val="00657563"/>
    <w:rsid w:val="006576FB"/>
    <w:rsid w:val="0065780E"/>
    <w:rsid w:val="006579CC"/>
    <w:rsid w:val="00657D85"/>
    <w:rsid w:val="00657EA8"/>
    <w:rsid w:val="00657FA4"/>
    <w:rsid w:val="006601E5"/>
    <w:rsid w:val="00660349"/>
    <w:rsid w:val="00660479"/>
    <w:rsid w:val="00660496"/>
    <w:rsid w:val="006604D6"/>
    <w:rsid w:val="0066057C"/>
    <w:rsid w:val="00660655"/>
    <w:rsid w:val="006607D8"/>
    <w:rsid w:val="0066090D"/>
    <w:rsid w:val="00660AC6"/>
    <w:rsid w:val="00660D27"/>
    <w:rsid w:val="006610E3"/>
    <w:rsid w:val="006610F6"/>
    <w:rsid w:val="006615F0"/>
    <w:rsid w:val="00661617"/>
    <w:rsid w:val="00661671"/>
    <w:rsid w:val="00661740"/>
    <w:rsid w:val="006617FF"/>
    <w:rsid w:val="0066182B"/>
    <w:rsid w:val="006618CF"/>
    <w:rsid w:val="006618EE"/>
    <w:rsid w:val="00661A96"/>
    <w:rsid w:val="00661B83"/>
    <w:rsid w:val="00661C0F"/>
    <w:rsid w:val="00661FAC"/>
    <w:rsid w:val="00661FCD"/>
    <w:rsid w:val="0066200F"/>
    <w:rsid w:val="00662029"/>
    <w:rsid w:val="006620D6"/>
    <w:rsid w:val="006620E3"/>
    <w:rsid w:val="00662122"/>
    <w:rsid w:val="006621EF"/>
    <w:rsid w:val="00662401"/>
    <w:rsid w:val="00662410"/>
    <w:rsid w:val="0066242B"/>
    <w:rsid w:val="006625C4"/>
    <w:rsid w:val="00662632"/>
    <w:rsid w:val="0066272B"/>
    <w:rsid w:val="00662A24"/>
    <w:rsid w:val="00662A43"/>
    <w:rsid w:val="00662A93"/>
    <w:rsid w:val="00662A96"/>
    <w:rsid w:val="00662AA9"/>
    <w:rsid w:val="00662C82"/>
    <w:rsid w:val="00662D00"/>
    <w:rsid w:val="00662D97"/>
    <w:rsid w:val="0066302A"/>
    <w:rsid w:val="00663161"/>
    <w:rsid w:val="00663171"/>
    <w:rsid w:val="0066325A"/>
    <w:rsid w:val="00663384"/>
    <w:rsid w:val="006633C2"/>
    <w:rsid w:val="006635A9"/>
    <w:rsid w:val="006636AE"/>
    <w:rsid w:val="0066375E"/>
    <w:rsid w:val="006637ED"/>
    <w:rsid w:val="00663F13"/>
    <w:rsid w:val="00663F99"/>
    <w:rsid w:val="006641CE"/>
    <w:rsid w:val="006641FB"/>
    <w:rsid w:val="00664306"/>
    <w:rsid w:val="0066433F"/>
    <w:rsid w:val="00664353"/>
    <w:rsid w:val="006643CA"/>
    <w:rsid w:val="0066445D"/>
    <w:rsid w:val="00664465"/>
    <w:rsid w:val="006646CB"/>
    <w:rsid w:val="006647AC"/>
    <w:rsid w:val="00664879"/>
    <w:rsid w:val="006649AD"/>
    <w:rsid w:val="00664B69"/>
    <w:rsid w:val="006651A2"/>
    <w:rsid w:val="00665285"/>
    <w:rsid w:val="006652C2"/>
    <w:rsid w:val="00665414"/>
    <w:rsid w:val="006655A4"/>
    <w:rsid w:val="0066562E"/>
    <w:rsid w:val="006656AF"/>
    <w:rsid w:val="0066591C"/>
    <w:rsid w:val="00665C79"/>
    <w:rsid w:val="00665D26"/>
    <w:rsid w:val="00665F36"/>
    <w:rsid w:val="00665F6A"/>
    <w:rsid w:val="0066606E"/>
    <w:rsid w:val="00666086"/>
    <w:rsid w:val="00666240"/>
    <w:rsid w:val="006662C2"/>
    <w:rsid w:val="00666343"/>
    <w:rsid w:val="00666490"/>
    <w:rsid w:val="006666B7"/>
    <w:rsid w:val="00666742"/>
    <w:rsid w:val="006668FC"/>
    <w:rsid w:val="00666B92"/>
    <w:rsid w:val="00666BA9"/>
    <w:rsid w:val="00666C0B"/>
    <w:rsid w:val="00666C62"/>
    <w:rsid w:val="00666CD2"/>
    <w:rsid w:val="00666CD7"/>
    <w:rsid w:val="00666DFA"/>
    <w:rsid w:val="00666E5E"/>
    <w:rsid w:val="00666F12"/>
    <w:rsid w:val="0066715A"/>
    <w:rsid w:val="00667176"/>
    <w:rsid w:val="006671DF"/>
    <w:rsid w:val="00667207"/>
    <w:rsid w:val="006673FC"/>
    <w:rsid w:val="0066740F"/>
    <w:rsid w:val="00667742"/>
    <w:rsid w:val="00667756"/>
    <w:rsid w:val="0066781E"/>
    <w:rsid w:val="0066787A"/>
    <w:rsid w:val="0066797E"/>
    <w:rsid w:val="00667A4B"/>
    <w:rsid w:val="00667B03"/>
    <w:rsid w:val="00667B13"/>
    <w:rsid w:val="00667B3B"/>
    <w:rsid w:val="00667B80"/>
    <w:rsid w:val="00667DAC"/>
    <w:rsid w:val="00667FD9"/>
    <w:rsid w:val="00670174"/>
    <w:rsid w:val="00670222"/>
    <w:rsid w:val="0067032F"/>
    <w:rsid w:val="00670465"/>
    <w:rsid w:val="00670510"/>
    <w:rsid w:val="00670839"/>
    <w:rsid w:val="00670B8D"/>
    <w:rsid w:val="00670BE6"/>
    <w:rsid w:val="00670C4B"/>
    <w:rsid w:val="00670D9C"/>
    <w:rsid w:val="00670E8A"/>
    <w:rsid w:val="00670F6B"/>
    <w:rsid w:val="0067105F"/>
    <w:rsid w:val="00671069"/>
    <w:rsid w:val="006710CC"/>
    <w:rsid w:val="006711F5"/>
    <w:rsid w:val="0067128C"/>
    <w:rsid w:val="00671352"/>
    <w:rsid w:val="006713A5"/>
    <w:rsid w:val="006713AD"/>
    <w:rsid w:val="0067145B"/>
    <w:rsid w:val="0067159A"/>
    <w:rsid w:val="006715DB"/>
    <w:rsid w:val="0067166C"/>
    <w:rsid w:val="006716AE"/>
    <w:rsid w:val="006716BE"/>
    <w:rsid w:val="006717B9"/>
    <w:rsid w:val="0067190F"/>
    <w:rsid w:val="00671A51"/>
    <w:rsid w:val="00671A88"/>
    <w:rsid w:val="00671AD1"/>
    <w:rsid w:val="00671C7B"/>
    <w:rsid w:val="00671DBE"/>
    <w:rsid w:val="00671DEF"/>
    <w:rsid w:val="00671DFD"/>
    <w:rsid w:val="00671E77"/>
    <w:rsid w:val="006722F4"/>
    <w:rsid w:val="00672316"/>
    <w:rsid w:val="00672452"/>
    <w:rsid w:val="006724F0"/>
    <w:rsid w:val="006726C1"/>
    <w:rsid w:val="00672A5E"/>
    <w:rsid w:val="00672AEF"/>
    <w:rsid w:val="00672CF1"/>
    <w:rsid w:val="006730BD"/>
    <w:rsid w:val="0067312F"/>
    <w:rsid w:val="006732B2"/>
    <w:rsid w:val="00673302"/>
    <w:rsid w:val="0067357F"/>
    <w:rsid w:val="00673658"/>
    <w:rsid w:val="00673903"/>
    <w:rsid w:val="00673B2F"/>
    <w:rsid w:val="00673BFC"/>
    <w:rsid w:val="00673CA4"/>
    <w:rsid w:val="0067402D"/>
    <w:rsid w:val="0067402F"/>
    <w:rsid w:val="0067417D"/>
    <w:rsid w:val="006741E5"/>
    <w:rsid w:val="006742BE"/>
    <w:rsid w:val="00674398"/>
    <w:rsid w:val="006743EF"/>
    <w:rsid w:val="00674414"/>
    <w:rsid w:val="0067458D"/>
    <w:rsid w:val="00674698"/>
    <w:rsid w:val="006746EF"/>
    <w:rsid w:val="00674A71"/>
    <w:rsid w:val="00674A80"/>
    <w:rsid w:val="00674C58"/>
    <w:rsid w:val="00675032"/>
    <w:rsid w:val="00675067"/>
    <w:rsid w:val="006750C2"/>
    <w:rsid w:val="00675174"/>
    <w:rsid w:val="00675263"/>
    <w:rsid w:val="006752A6"/>
    <w:rsid w:val="0067544C"/>
    <w:rsid w:val="0067559E"/>
    <w:rsid w:val="00675766"/>
    <w:rsid w:val="0067580D"/>
    <w:rsid w:val="0067588F"/>
    <w:rsid w:val="00675A1E"/>
    <w:rsid w:val="00675A9D"/>
    <w:rsid w:val="00675B8D"/>
    <w:rsid w:val="00675B91"/>
    <w:rsid w:val="00675C1A"/>
    <w:rsid w:val="00675C9F"/>
    <w:rsid w:val="00675CF1"/>
    <w:rsid w:val="0067620B"/>
    <w:rsid w:val="0067645F"/>
    <w:rsid w:val="006766AF"/>
    <w:rsid w:val="00676865"/>
    <w:rsid w:val="00676988"/>
    <w:rsid w:val="00676A18"/>
    <w:rsid w:val="00676A54"/>
    <w:rsid w:val="00676ADA"/>
    <w:rsid w:val="00676AED"/>
    <w:rsid w:val="00676B41"/>
    <w:rsid w:val="00676B58"/>
    <w:rsid w:val="00676D99"/>
    <w:rsid w:val="00676E7D"/>
    <w:rsid w:val="00676F58"/>
    <w:rsid w:val="0067717D"/>
    <w:rsid w:val="00677239"/>
    <w:rsid w:val="006772B5"/>
    <w:rsid w:val="00677754"/>
    <w:rsid w:val="006777DF"/>
    <w:rsid w:val="00677A34"/>
    <w:rsid w:val="00677C0A"/>
    <w:rsid w:val="00677CDF"/>
    <w:rsid w:val="00680121"/>
    <w:rsid w:val="0068055E"/>
    <w:rsid w:val="006808A2"/>
    <w:rsid w:val="00680BBF"/>
    <w:rsid w:val="00680C16"/>
    <w:rsid w:val="00680C7E"/>
    <w:rsid w:val="00680DF7"/>
    <w:rsid w:val="00680E09"/>
    <w:rsid w:val="00680EE5"/>
    <w:rsid w:val="006811DC"/>
    <w:rsid w:val="00681379"/>
    <w:rsid w:val="0068140B"/>
    <w:rsid w:val="0068154D"/>
    <w:rsid w:val="00681582"/>
    <w:rsid w:val="006815FF"/>
    <w:rsid w:val="00681643"/>
    <w:rsid w:val="006817CC"/>
    <w:rsid w:val="00681994"/>
    <w:rsid w:val="00681A49"/>
    <w:rsid w:val="00681B5B"/>
    <w:rsid w:val="00681BAB"/>
    <w:rsid w:val="00681C6B"/>
    <w:rsid w:val="00681CD3"/>
    <w:rsid w:val="00681E47"/>
    <w:rsid w:val="00681F9F"/>
    <w:rsid w:val="00681FB8"/>
    <w:rsid w:val="00682096"/>
    <w:rsid w:val="0068214D"/>
    <w:rsid w:val="006825EF"/>
    <w:rsid w:val="0068262C"/>
    <w:rsid w:val="00682739"/>
    <w:rsid w:val="0068278F"/>
    <w:rsid w:val="00682791"/>
    <w:rsid w:val="006827A5"/>
    <w:rsid w:val="00682834"/>
    <w:rsid w:val="006828DF"/>
    <w:rsid w:val="00682BE6"/>
    <w:rsid w:val="00682CFA"/>
    <w:rsid w:val="00682D5F"/>
    <w:rsid w:val="00682E5C"/>
    <w:rsid w:val="0068300C"/>
    <w:rsid w:val="0068306A"/>
    <w:rsid w:val="00683070"/>
    <w:rsid w:val="00683091"/>
    <w:rsid w:val="006831BE"/>
    <w:rsid w:val="00683280"/>
    <w:rsid w:val="0068336D"/>
    <w:rsid w:val="006833D4"/>
    <w:rsid w:val="00683514"/>
    <w:rsid w:val="0068357A"/>
    <w:rsid w:val="00683608"/>
    <w:rsid w:val="006837CF"/>
    <w:rsid w:val="00683946"/>
    <w:rsid w:val="006839F0"/>
    <w:rsid w:val="00683A04"/>
    <w:rsid w:val="00683A30"/>
    <w:rsid w:val="00683BB1"/>
    <w:rsid w:val="00683C62"/>
    <w:rsid w:val="00683D3E"/>
    <w:rsid w:val="00683E5A"/>
    <w:rsid w:val="00684043"/>
    <w:rsid w:val="006840A9"/>
    <w:rsid w:val="006840C0"/>
    <w:rsid w:val="00684131"/>
    <w:rsid w:val="006841E0"/>
    <w:rsid w:val="006841EC"/>
    <w:rsid w:val="00684216"/>
    <w:rsid w:val="0068429E"/>
    <w:rsid w:val="006842D6"/>
    <w:rsid w:val="0068435D"/>
    <w:rsid w:val="00684397"/>
    <w:rsid w:val="00684741"/>
    <w:rsid w:val="0068478B"/>
    <w:rsid w:val="0068482E"/>
    <w:rsid w:val="006849C1"/>
    <w:rsid w:val="006849EE"/>
    <w:rsid w:val="006849F8"/>
    <w:rsid w:val="00684BAE"/>
    <w:rsid w:val="00684BB4"/>
    <w:rsid w:val="00684BBB"/>
    <w:rsid w:val="00684CE4"/>
    <w:rsid w:val="00684D82"/>
    <w:rsid w:val="00684E80"/>
    <w:rsid w:val="00684F70"/>
    <w:rsid w:val="00684F86"/>
    <w:rsid w:val="00685178"/>
    <w:rsid w:val="006851EA"/>
    <w:rsid w:val="00685343"/>
    <w:rsid w:val="00685365"/>
    <w:rsid w:val="006853BB"/>
    <w:rsid w:val="006854E5"/>
    <w:rsid w:val="00685587"/>
    <w:rsid w:val="0068571B"/>
    <w:rsid w:val="00685752"/>
    <w:rsid w:val="0068578B"/>
    <w:rsid w:val="0068593E"/>
    <w:rsid w:val="00685956"/>
    <w:rsid w:val="00685989"/>
    <w:rsid w:val="00685D42"/>
    <w:rsid w:val="00685D6A"/>
    <w:rsid w:val="00685D7B"/>
    <w:rsid w:val="00685E73"/>
    <w:rsid w:val="00685F21"/>
    <w:rsid w:val="00685F85"/>
    <w:rsid w:val="00685F99"/>
    <w:rsid w:val="00686227"/>
    <w:rsid w:val="006862C6"/>
    <w:rsid w:val="0068632D"/>
    <w:rsid w:val="006863C1"/>
    <w:rsid w:val="0068669C"/>
    <w:rsid w:val="0068674B"/>
    <w:rsid w:val="00686756"/>
    <w:rsid w:val="006868A2"/>
    <w:rsid w:val="006868BA"/>
    <w:rsid w:val="00686C3A"/>
    <w:rsid w:val="00686F06"/>
    <w:rsid w:val="00686FCF"/>
    <w:rsid w:val="00687017"/>
    <w:rsid w:val="006870A6"/>
    <w:rsid w:val="006870C1"/>
    <w:rsid w:val="0068729F"/>
    <w:rsid w:val="00687342"/>
    <w:rsid w:val="006874C9"/>
    <w:rsid w:val="006875FB"/>
    <w:rsid w:val="0068760A"/>
    <w:rsid w:val="00687789"/>
    <w:rsid w:val="006877FE"/>
    <w:rsid w:val="00687930"/>
    <w:rsid w:val="006879FC"/>
    <w:rsid w:val="00687D47"/>
    <w:rsid w:val="00687E26"/>
    <w:rsid w:val="00690159"/>
    <w:rsid w:val="0069039A"/>
    <w:rsid w:val="00690456"/>
    <w:rsid w:val="006904F8"/>
    <w:rsid w:val="00690504"/>
    <w:rsid w:val="00690578"/>
    <w:rsid w:val="006905E9"/>
    <w:rsid w:val="00690628"/>
    <w:rsid w:val="0069063C"/>
    <w:rsid w:val="00690726"/>
    <w:rsid w:val="006909A5"/>
    <w:rsid w:val="00690AF9"/>
    <w:rsid w:val="00690C48"/>
    <w:rsid w:val="00690C86"/>
    <w:rsid w:val="00690C9E"/>
    <w:rsid w:val="00690D87"/>
    <w:rsid w:val="00690DCA"/>
    <w:rsid w:val="00690EC9"/>
    <w:rsid w:val="00691093"/>
    <w:rsid w:val="006911D2"/>
    <w:rsid w:val="00691238"/>
    <w:rsid w:val="006912A0"/>
    <w:rsid w:val="006912E7"/>
    <w:rsid w:val="0069135B"/>
    <w:rsid w:val="00691380"/>
    <w:rsid w:val="00691387"/>
    <w:rsid w:val="0069149E"/>
    <w:rsid w:val="00691504"/>
    <w:rsid w:val="006915CD"/>
    <w:rsid w:val="0069162A"/>
    <w:rsid w:val="006917EF"/>
    <w:rsid w:val="00691A64"/>
    <w:rsid w:val="00691ADB"/>
    <w:rsid w:val="00691C42"/>
    <w:rsid w:val="00691EC1"/>
    <w:rsid w:val="00691EDD"/>
    <w:rsid w:val="0069202D"/>
    <w:rsid w:val="00692058"/>
    <w:rsid w:val="006921AD"/>
    <w:rsid w:val="00692254"/>
    <w:rsid w:val="0069225A"/>
    <w:rsid w:val="0069239D"/>
    <w:rsid w:val="0069244F"/>
    <w:rsid w:val="006926BD"/>
    <w:rsid w:val="00692716"/>
    <w:rsid w:val="00692740"/>
    <w:rsid w:val="00692785"/>
    <w:rsid w:val="00692DFC"/>
    <w:rsid w:val="00692F26"/>
    <w:rsid w:val="00692F89"/>
    <w:rsid w:val="006932AA"/>
    <w:rsid w:val="00693448"/>
    <w:rsid w:val="00693493"/>
    <w:rsid w:val="006935A3"/>
    <w:rsid w:val="006935F1"/>
    <w:rsid w:val="00693613"/>
    <w:rsid w:val="006936B8"/>
    <w:rsid w:val="006936E3"/>
    <w:rsid w:val="00693774"/>
    <w:rsid w:val="006937E2"/>
    <w:rsid w:val="0069386F"/>
    <w:rsid w:val="006938E5"/>
    <w:rsid w:val="00693948"/>
    <w:rsid w:val="00693CE4"/>
    <w:rsid w:val="00693D32"/>
    <w:rsid w:val="00693E03"/>
    <w:rsid w:val="00694117"/>
    <w:rsid w:val="006941D5"/>
    <w:rsid w:val="006941FD"/>
    <w:rsid w:val="00694652"/>
    <w:rsid w:val="00694911"/>
    <w:rsid w:val="006949A3"/>
    <w:rsid w:val="00694AE6"/>
    <w:rsid w:val="00694CD6"/>
    <w:rsid w:val="00694D08"/>
    <w:rsid w:val="00694E6E"/>
    <w:rsid w:val="00694F5F"/>
    <w:rsid w:val="00694F63"/>
    <w:rsid w:val="00694F6E"/>
    <w:rsid w:val="006950EA"/>
    <w:rsid w:val="006951CA"/>
    <w:rsid w:val="00695379"/>
    <w:rsid w:val="0069583F"/>
    <w:rsid w:val="00695885"/>
    <w:rsid w:val="006959C2"/>
    <w:rsid w:val="00695B98"/>
    <w:rsid w:val="00695F65"/>
    <w:rsid w:val="00695FDC"/>
    <w:rsid w:val="00695FEC"/>
    <w:rsid w:val="0069611A"/>
    <w:rsid w:val="006962D7"/>
    <w:rsid w:val="00696585"/>
    <w:rsid w:val="006965D3"/>
    <w:rsid w:val="006967B1"/>
    <w:rsid w:val="00696891"/>
    <w:rsid w:val="0069693F"/>
    <w:rsid w:val="006969FD"/>
    <w:rsid w:val="00696A57"/>
    <w:rsid w:val="00696C50"/>
    <w:rsid w:val="00696CE1"/>
    <w:rsid w:val="00697410"/>
    <w:rsid w:val="0069767B"/>
    <w:rsid w:val="006976A5"/>
    <w:rsid w:val="00697A6C"/>
    <w:rsid w:val="00697BAE"/>
    <w:rsid w:val="00697C12"/>
    <w:rsid w:val="00697D47"/>
    <w:rsid w:val="00697DC1"/>
    <w:rsid w:val="00697EDA"/>
    <w:rsid w:val="006A01C1"/>
    <w:rsid w:val="006A046D"/>
    <w:rsid w:val="006A04FC"/>
    <w:rsid w:val="006A050B"/>
    <w:rsid w:val="006A05BF"/>
    <w:rsid w:val="006A07BA"/>
    <w:rsid w:val="006A07F6"/>
    <w:rsid w:val="006A08F9"/>
    <w:rsid w:val="006A0A10"/>
    <w:rsid w:val="006A0C1A"/>
    <w:rsid w:val="006A0C34"/>
    <w:rsid w:val="006A0C4F"/>
    <w:rsid w:val="006A0C91"/>
    <w:rsid w:val="006A0F4C"/>
    <w:rsid w:val="006A0F71"/>
    <w:rsid w:val="006A11D1"/>
    <w:rsid w:val="006A1503"/>
    <w:rsid w:val="006A161C"/>
    <w:rsid w:val="006A161D"/>
    <w:rsid w:val="006A18A6"/>
    <w:rsid w:val="006A191F"/>
    <w:rsid w:val="006A19A8"/>
    <w:rsid w:val="006A19E4"/>
    <w:rsid w:val="006A1A1C"/>
    <w:rsid w:val="006A1C50"/>
    <w:rsid w:val="006A1CB8"/>
    <w:rsid w:val="006A1E98"/>
    <w:rsid w:val="006A1F32"/>
    <w:rsid w:val="006A1F5A"/>
    <w:rsid w:val="006A1FDA"/>
    <w:rsid w:val="006A209F"/>
    <w:rsid w:val="006A212A"/>
    <w:rsid w:val="006A221F"/>
    <w:rsid w:val="006A2242"/>
    <w:rsid w:val="006A2394"/>
    <w:rsid w:val="006A2560"/>
    <w:rsid w:val="006A2570"/>
    <w:rsid w:val="006A25D7"/>
    <w:rsid w:val="006A25E2"/>
    <w:rsid w:val="006A26E3"/>
    <w:rsid w:val="006A2745"/>
    <w:rsid w:val="006A27E3"/>
    <w:rsid w:val="006A2821"/>
    <w:rsid w:val="006A2969"/>
    <w:rsid w:val="006A297B"/>
    <w:rsid w:val="006A2A5E"/>
    <w:rsid w:val="006A2AB1"/>
    <w:rsid w:val="006A2E9B"/>
    <w:rsid w:val="006A2EF6"/>
    <w:rsid w:val="006A2F69"/>
    <w:rsid w:val="006A3169"/>
    <w:rsid w:val="006A33E7"/>
    <w:rsid w:val="006A345C"/>
    <w:rsid w:val="006A34E2"/>
    <w:rsid w:val="006A37B6"/>
    <w:rsid w:val="006A380E"/>
    <w:rsid w:val="006A394B"/>
    <w:rsid w:val="006A3A79"/>
    <w:rsid w:val="006A3B36"/>
    <w:rsid w:val="006A3BA4"/>
    <w:rsid w:val="006A3BAD"/>
    <w:rsid w:val="006A3C81"/>
    <w:rsid w:val="006A3CB2"/>
    <w:rsid w:val="006A3E0B"/>
    <w:rsid w:val="006A3F47"/>
    <w:rsid w:val="006A403C"/>
    <w:rsid w:val="006A40BF"/>
    <w:rsid w:val="006A42B2"/>
    <w:rsid w:val="006A462A"/>
    <w:rsid w:val="006A4813"/>
    <w:rsid w:val="006A483A"/>
    <w:rsid w:val="006A4946"/>
    <w:rsid w:val="006A4A29"/>
    <w:rsid w:val="006A4C7D"/>
    <w:rsid w:val="006A4D34"/>
    <w:rsid w:val="006A4D41"/>
    <w:rsid w:val="006A4DB8"/>
    <w:rsid w:val="006A4DC8"/>
    <w:rsid w:val="006A4E17"/>
    <w:rsid w:val="006A4F0D"/>
    <w:rsid w:val="006A50E7"/>
    <w:rsid w:val="006A52A2"/>
    <w:rsid w:val="006A531A"/>
    <w:rsid w:val="006A54AD"/>
    <w:rsid w:val="006A554E"/>
    <w:rsid w:val="006A5719"/>
    <w:rsid w:val="006A5789"/>
    <w:rsid w:val="006A5836"/>
    <w:rsid w:val="006A5889"/>
    <w:rsid w:val="006A593F"/>
    <w:rsid w:val="006A5A56"/>
    <w:rsid w:val="006A5F0C"/>
    <w:rsid w:val="006A5F97"/>
    <w:rsid w:val="006A625C"/>
    <w:rsid w:val="006A6381"/>
    <w:rsid w:val="006A6383"/>
    <w:rsid w:val="006A639A"/>
    <w:rsid w:val="006A63A4"/>
    <w:rsid w:val="006A63E2"/>
    <w:rsid w:val="006A65E7"/>
    <w:rsid w:val="006A6706"/>
    <w:rsid w:val="006A6854"/>
    <w:rsid w:val="006A70D8"/>
    <w:rsid w:val="006A71C9"/>
    <w:rsid w:val="006A71D4"/>
    <w:rsid w:val="006A725C"/>
    <w:rsid w:val="006A731D"/>
    <w:rsid w:val="006A7328"/>
    <w:rsid w:val="006A73F1"/>
    <w:rsid w:val="006A78B7"/>
    <w:rsid w:val="006A7A9D"/>
    <w:rsid w:val="006A7AFD"/>
    <w:rsid w:val="006A7BD1"/>
    <w:rsid w:val="006A7BEF"/>
    <w:rsid w:val="006A7CE9"/>
    <w:rsid w:val="006A7CEF"/>
    <w:rsid w:val="006A7D2F"/>
    <w:rsid w:val="006A7D45"/>
    <w:rsid w:val="006A7DA2"/>
    <w:rsid w:val="006A7EA0"/>
    <w:rsid w:val="006B0006"/>
    <w:rsid w:val="006B0218"/>
    <w:rsid w:val="006B027F"/>
    <w:rsid w:val="006B0378"/>
    <w:rsid w:val="006B0460"/>
    <w:rsid w:val="006B04D4"/>
    <w:rsid w:val="006B05F7"/>
    <w:rsid w:val="006B077B"/>
    <w:rsid w:val="006B0784"/>
    <w:rsid w:val="006B0793"/>
    <w:rsid w:val="006B0800"/>
    <w:rsid w:val="006B08CA"/>
    <w:rsid w:val="006B08D6"/>
    <w:rsid w:val="006B0A4D"/>
    <w:rsid w:val="006B0AC5"/>
    <w:rsid w:val="006B0B79"/>
    <w:rsid w:val="006B0BF0"/>
    <w:rsid w:val="006B0EF9"/>
    <w:rsid w:val="006B110E"/>
    <w:rsid w:val="006B1133"/>
    <w:rsid w:val="006B11DA"/>
    <w:rsid w:val="006B181A"/>
    <w:rsid w:val="006B19D0"/>
    <w:rsid w:val="006B1C6F"/>
    <w:rsid w:val="006B1D81"/>
    <w:rsid w:val="006B1EA0"/>
    <w:rsid w:val="006B1ED4"/>
    <w:rsid w:val="006B1FEC"/>
    <w:rsid w:val="006B2039"/>
    <w:rsid w:val="006B2173"/>
    <w:rsid w:val="006B21D7"/>
    <w:rsid w:val="006B2293"/>
    <w:rsid w:val="006B22F1"/>
    <w:rsid w:val="006B23AE"/>
    <w:rsid w:val="006B23B6"/>
    <w:rsid w:val="006B2680"/>
    <w:rsid w:val="006B2684"/>
    <w:rsid w:val="006B296C"/>
    <w:rsid w:val="006B2A52"/>
    <w:rsid w:val="006B2A83"/>
    <w:rsid w:val="006B2CB6"/>
    <w:rsid w:val="006B2D2B"/>
    <w:rsid w:val="006B2F06"/>
    <w:rsid w:val="006B31B9"/>
    <w:rsid w:val="006B337D"/>
    <w:rsid w:val="006B34FB"/>
    <w:rsid w:val="006B3593"/>
    <w:rsid w:val="006B35ED"/>
    <w:rsid w:val="006B36E3"/>
    <w:rsid w:val="006B3BBD"/>
    <w:rsid w:val="006B3E73"/>
    <w:rsid w:val="006B3EAE"/>
    <w:rsid w:val="006B3EB2"/>
    <w:rsid w:val="006B3F52"/>
    <w:rsid w:val="006B4065"/>
    <w:rsid w:val="006B4157"/>
    <w:rsid w:val="006B41F6"/>
    <w:rsid w:val="006B4312"/>
    <w:rsid w:val="006B4398"/>
    <w:rsid w:val="006B4451"/>
    <w:rsid w:val="006B445E"/>
    <w:rsid w:val="006B4704"/>
    <w:rsid w:val="006B474B"/>
    <w:rsid w:val="006B47EB"/>
    <w:rsid w:val="006B47FD"/>
    <w:rsid w:val="006B480C"/>
    <w:rsid w:val="006B48B6"/>
    <w:rsid w:val="006B495E"/>
    <w:rsid w:val="006B497A"/>
    <w:rsid w:val="006B4B90"/>
    <w:rsid w:val="006B4BF7"/>
    <w:rsid w:val="006B4C0A"/>
    <w:rsid w:val="006B4D09"/>
    <w:rsid w:val="006B4D29"/>
    <w:rsid w:val="006B4EE6"/>
    <w:rsid w:val="006B4EF8"/>
    <w:rsid w:val="006B528E"/>
    <w:rsid w:val="006B53DB"/>
    <w:rsid w:val="006B53F5"/>
    <w:rsid w:val="006B54AB"/>
    <w:rsid w:val="006B567A"/>
    <w:rsid w:val="006B5780"/>
    <w:rsid w:val="006B57FE"/>
    <w:rsid w:val="006B5930"/>
    <w:rsid w:val="006B5B70"/>
    <w:rsid w:val="006B5E98"/>
    <w:rsid w:val="006B61B9"/>
    <w:rsid w:val="006B6273"/>
    <w:rsid w:val="006B627D"/>
    <w:rsid w:val="006B635F"/>
    <w:rsid w:val="006B6492"/>
    <w:rsid w:val="006B65C2"/>
    <w:rsid w:val="006B6613"/>
    <w:rsid w:val="006B67FB"/>
    <w:rsid w:val="006B6845"/>
    <w:rsid w:val="006B695D"/>
    <w:rsid w:val="006B6AC1"/>
    <w:rsid w:val="006B6ACA"/>
    <w:rsid w:val="006B6BED"/>
    <w:rsid w:val="006B6C52"/>
    <w:rsid w:val="006B6CD8"/>
    <w:rsid w:val="006B6CF2"/>
    <w:rsid w:val="006B7104"/>
    <w:rsid w:val="006B7158"/>
    <w:rsid w:val="006B7161"/>
    <w:rsid w:val="006B72E6"/>
    <w:rsid w:val="006B7389"/>
    <w:rsid w:val="006B73B1"/>
    <w:rsid w:val="006B74AF"/>
    <w:rsid w:val="006B75B4"/>
    <w:rsid w:val="006B7628"/>
    <w:rsid w:val="006B7685"/>
    <w:rsid w:val="006B7758"/>
    <w:rsid w:val="006B7764"/>
    <w:rsid w:val="006B777A"/>
    <w:rsid w:val="006B7795"/>
    <w:rsid w:val="006B7816"/>
    <w:rsid w:val="006B78C1"/>
    <w:rsid w:val="006B791E"/>
    <w:rsid w:val="006B7A65"/>
    <w:rsid w:val="006B7C53"/>
    <w:rsid w:val="006B7D26"/>
    <w:rsid w:val="006B7D6C"/>
    <w:rsid w:val="006B7D90"/>
    <w:rsid w:val="006B7FA6"/>
    <w:rsid w:val="006C043A"/>
    <w:rsid w:val="006C04AF"/>
    <w:rsid w:val="006C089F"/>
    <w:rsid w:val="006C08EA"/>
    <w:rsid w:val="006C0A88"/>
    <w:rsid w:val="006C0D00"/>
    <w:rsid w:val="006C0D68"/>
    <w:rsid w:val="006C112A"/>
    <w:rsid w:val="006C123C"/>
    <w:rsid w:val="006C12A4"/>
    <w:rsid w:val="006C14FF"/>
    <w:rsid w:val="006C1525"/>
    <w:rsid w:val="006C1816"/>
    <w:rsid w:val="006C1831"/>
    <w:rsid w:val="006C1A7C"/>
    <w:rsid w:val="006C1AA0"/>
    <w:rsid w:val="006C1AC7"/>
    <w:rsid w:val="006C1ACC"/>
    <w:rsid w:val="006C1C08"/>
    <w:rsid w:val="006C1DB5"/>
    <w:rsid w:val="006C1E7C"/>
    <w:rsid w:val="006C1FE4"/>
    <w:rsid w:val="006C1FFF"/>
    <w:rsid w:val="006C20BB"/>
    <w:rsid w:val="006C2200"/>
    <w:rsid w:val="006C2592"/>
    <w:rsid w:val="006C269C"/>
    <w:rsid w:val="006C2737"/>
    <w:rsid w:val="006C277E"/>
    <w:rsid w:val="006C27BF"/>
    <w:rsid w:val="006C28A1"/>
    <w:rsid w:val="006C2970"/>
    <w:rsid w:val="006C2ACF"/>
    <w:rsid w:val="006C2B90"/>
    <w:rsid w:val="006C2BB1"/>
    <w:rsid w:val="006C2C85"/>
    <w:rsid w:val="006C2E44"/>
    <w:rsid w:val="006C2ECB"/>
    <w:rsid w:val="006C2EDB"/>
    <w:rsid w:val="006C300D"/>
    <w:rsid w:val="006C3063"/>
    <w:rsid w:val="006C32E1"/>
    <w:rsid w:val="006C33A1"/>
    <w:rsid w:val="006C3465"/>
    <w:rsid w:val="006C34CD"/>
    <w:rsid w:val="006C3554"/>
    <w:rsid w:val="006C394B"/>
    <w:rsid w:val="006C3A2F"/>
    <w:rsid w:val="006C3AB6"/>
    <w:rsid w:val="006C3B88"/>
    <w:rsid w:val="006C3BC1"/>
    <w:rsid w:val="006C3DFB"/>
    <w:rsid w:val="006C3E36"/>
    <w:rsid w:val="006C3EFD"/>
    <w:rsid w:val="006C3FD6"/>
    <w:rsid w:val="006C403B"/>
    <w:rsid w:val="006C41C7"/>
    <w:rsid w:val="006C4202"/>
    <w:rsid w:val="006C4252"/>
    <w:rsid w:val="006C44EB"/>
    <w:rsid w:val="006C4840"/>
    <w:rsid w:val="006C4871"/>
    <w:rsid w:val="006C4AEC"/>
    <w:rsid w:val="006C4BBE"/>
    <w:rsid w:val="006C4E41"/>
    <w:rsid w:val="006C4FA9"/>
    <w:rsid w:val="006C50E0"/>
    <w:rsid w:val="006C50E5"/>
    <w:rsid w:val="006C5210"/>
    <w:rsid w:val="006C53C9"/>
    <w:rsid w:val="006C5446"/>
    <w:rsid w:val="006C5459"/>
    <w:rsid w:val="006C5547"/>
    <w:rsid w:val="006C55A2"/>
    <w:rsid w:val="006C56A2"/>
    <w:rsid w:val="006C56CD"/>
    <w:rsid w:val="006C56F0"/>
    <w:rsid w:val="006C5874"/>
    <w:rsid w:val="006C5AE5"/>
    <w:rsid w:val="006C5B90"/>
    <w:rsid w:val="006C5C7E"/>
    <w:rsid w:val="006C5F9F"/>
    <w:rsid w:val="006C6049"/>
    <w:rsid w:val="006C60D6"/>
    <w:rsid w:val="006C6107"/>
    <w:rsid w:val="006C62A1"/>
    <w:rsid w:val="006C62BF"/>
    <w:rsid w:val="006C6573"/>
    <w:rsid w:val="006C6729"/>
    <w:rsid w:val="006C67B9"/>
    <w:rsid w:val="006C67C4"/>
    <w:rsid w:val="006C6926"/>
    <w:rsid w:val="006C6A2F"/>
    <w:rsid w:val="006C6DDC"/>
    <w:rsid w:val="006C6E42"/>
    <w:rsid w:val="006C6F2B"/>
    <w:rsid w:val="006C7025"/>
    <w:rsid w:val="006C7061"/>
    <w:rsid w:val="006C71F9"/>
    <w:rsid w:val="006C721B"/>
    <w:rsid w:val="006C727D"/>
    <w:rsid w:val="006C7513"/>
    <w:rsid w:val="006C75EE"/>
    <w:rsid w:val="006C7633"/>
    <w:rsid w:val="006C7713"/>
    <w:rsid w:val="006C7790"/>
    <w:rsid w:val="006C7879"/>
    <w:rsid w:val="006C7AF8"/>
    <w:rsid w:val="006C7B06"/>
    <w:rsid w:val="006C7B62"/>
    <w:rsid w:val="006C7BC3"/>
    <w:rsid w:val="006C7D3B"/>
    <w:rsid w:val="006D000D"/>
    <w:rsid w:val="006D00C4"/>
    <w:rsid w:val="006D012A"/>
    <w:rsid w:val="006D01E8"/>
    <w:rsid w:val="006D0207"/>
    <w:rsid w:val="006D0301"/>
    <w:rsid w:val="006D03B0"/>
    <w:rsid w:val="006D085C"/>
    <w:rsid w:val="006D0945"/>
    <w:rsid w:val="006D0A02"/>
    <w:rsid w:val="006D0A09"/>
    <w:rsid w:val="006D0B3A"/>
    <w:rsid w:val="006D0E91"/>
    <w:rsid w:val="006D0ED9"/>
    <w:rsid w:val="006D0F15"/>
    <w:rsid w:val="006D1134"/>
    <w:rsid w:val="006D1138"/>
    <w:rsid w:val="006D11F0"/>
    <w:rsid w:val="006D13B7"/>
    <w:rsid w:val="006D13FC"/>
    <w:rsid w:val="006D15A6"/>
    <w:rsid w:val="006D16AB"/>
    <w:rsid w:val="006D1799"/>
    <w:rsid w:val="006D1874"/>
    <w:rsid w:val="006D19C4"/>
    <w:rsid w:val="006D1F6D"/>
    <w:rsid w:val="006D1F9C"/>
    <w:rsid w:val="006D2039"/>
    <w:rsid w:val="006D2052"/>
    <w:rsid w:val="006D20C6"/>
    <w:rsid w:val="006D217F"/>
    <w:rsid w:val="006D2197"/>
    <w:rsid w:val="006D21AB"/>
    <w:rsid w:val="006D2270"/>
    <w:rsid w:val="006D22FB"/>
    <w:rsid w:val="006D2349"/>
    <w:rsid w:val="006D2545"/>
    <w:rsid w:val="006D285C"/>
    <w:rsid w:val="006D2A03"/>
    <w:rsid w:val="006D2AB2"/>
    <w:rsid w:val="006D2ACA"/>
    <w:rsid w:val="006D2B09"/>
    <w:rsid w:val="006D2B9C"/>
    <w:rsid w:val="006D2BA4"/>
    <w:rsid w:val="006D2BA8"/>
    <w:rsid w:val="006D2D0E"/>
    <w:rsid w:val="006D2EBB"/>
    <w:rsid w:val="006D2EBF"/>
    <w:rsid w:val="006D2F92"/>
    <w:rsid w:val="006D333F"/>
    <w:rsid w:val="006D33D1"/>
    <w:rsid w:val="006D33FF"/>
    <w:rsid w:val="006D3473"/>
    <w:rsid w:val="006D35A1"/>
    <w:rsid w:val="006D35AC"/>
    <w:rsid w:val="006D3728"/>
    <w:rsid w:val="006D3766"/>
    <w:rsid w:val="006D37B6"/>
    <w:rsid w:val="006D3A36"/>
    <w:rsid w:val="006D3A3A"/>
    <w:rsid w:val="006D3E02"/>
    <w:rsid w:val="006D4290"/>
    <w:rsid w:val="006D42EA"/>
    <w:rsid w:val="006D42F8"/>
    <w:rsid w:val="006D435E"/>
    <w:rsid w:val="006D43B1"/>
    <w:rsid w:val="006D441C"/>
    <w:rsid w:val="006D4464"/>
    <w:rsid w:val="006D44A1"/>
    <w:rsid w:val="006D479D"/>
    <w:rsid w:val="006D4A5D"/>
    <w:rsid w:val="006D4D44"/>
    <w:rsid w:val="006D4D5E"/>
    <w:rsid w:val="006D4DC8"/>
    <w:rsid w:val="006D4E30"/>
    <w:rsid w:val="006D4E7C"/>
    <w:rsid w:val="006D5118"/>
    <w:rsid w:val="006D53BF"/>
    <w:rsid w:val="006D5417"/>
    <w:rsid w:val="006D5696"/>
    <w:rsid w:val="006D56D2"/>
    <w:rsid w:val="006D5714"/>
    <w:rsid w:val="006D578A"/>
    <w:rsid w:val="006D59A7"/>
    <w:rsid w:val="006D59CF"/>
    <w:rsid w:val="006D5B38"/>
    <w:rsid w:val="006D5DD2"/>
    <w:rsid w:val="006D5F25"/>
    <w:rsid w:val="006D5F8B"/>
    <w:rsid w:val="006D60C7"/>
    <w:rsid w:val="006D64F6"/>
    <w:rsid w:val="006D6508"/>
    <w:rsid w:val="006D66A9"/>
    <w:rsid w:val="006D6878"/>
    <w:rsid w:val="006D68D8"/>
    <w:rsid w:val="006D6A86"/>
    <w:rsid w:val="006D6DB1"/>
    <w:rsid w:val="006D6E70"/>
    <w:rsid w:val="006D7173"/>
    <w:rsid w:val="006D7192"/>
    <w:rsid w:val="006D71B3"/>
    <w:rsid w:val="006D71B9"/>
    <w:rsid w:val="006D71DA"/>
    <w:rsid w:val="006D71E6"/>
    <w:rsid w:val="006D72BF"/>
    <w:rsid w:val="006D7442"/>
    <w:rsid w:val="006D74BD"/>
    <w:rsid w:val="006D7711"/>
    <w:rsid w:val="006D7864"/>
    <w:rsid w:val="006D78B5"/>
    <w:rsid w:val="006D7961"/>
    <w:rsid w:val="006D799A"/>
    <w:rsid w:val="006D79DB"/>
    <w:rsid w:val="006D79EB"/>
    <w:rsid w:val="006D79F2"/>
    <w:rsid w:val="006D7A40"/>
    <w:rsid w:val="006D7BD6"/>
    <w:rsid w:val="006D7C7E"/>
    <w:rsid w:val="006D7D13"/>
    <w:rsid w:val="006D7E75"/>
    <w:rsid w:val="006D7E8E"/>
    <w:rsid w:val="006D7EB4"/>
    <w:rsid w:val="006D7EBA"/>
    <w:rsid w:val="006D7F09"/>
    <w:rsid w:val="006D7F50"/>
    <w:rsid w:val="006D7FFA"/>
    <w:rsid w:val="006E008F"/>
    <w:rsid w:val="006E026E"/>
    <w:rsid w:val="006E0380"/>
    <w:rsid w:val="006E048E"/>
    <w:rsid w:val="006E04EA"/>
    <w:rsid w:val="006E05D1"/>
    <w:rsid w:val="006E05E9"/>
    <w:rsid w:val="006E0639"/>
    <w:rsid w:val="006E06BC"/>
    <w:rsid w:val="006E08BB"/>
    <w:rsid w:val="006E0A4D"/>
    <w:rsid w:val="006E0ABF"/>
    <w:rsid w:val="006E0EA2"/>
    <w:rsid w:val="006E117A"/>
    <w:rsid w:val="006E1238"/>
    <w:rsid w:val="006E128D"/>
    <w:rsid w:val="006E1518"/>
    <w:rsid w:val="006E15BF"/>
    <w:rsid w:val="006E15D2"/>
    <w:rsid w:val="006E1636"/>
    <w:rsid w:val="006E16B9"/>
    <w:rsid w:val="006E18A3"/>
    <w:rsid w:val="006E18AD"/>
    <w:rsid w:val="006E1B3B"/>
    <w:rsid w:val="006E1E86"/>
    <w:rsid w:val="006E1EE1"/>
    <w:rsid w:val="006E1F3D"/>
    <w:rsid w:val="006E21C6"/>
    <w:rsid w:val="006E21EF"/>
    <w:rsid w:val="006E2366"/>
    <w:rsid w:val="006E2375"/>
    <w:rsid w:val="006E2554"/>
    <w:rsid w:val="006E25AD"/>
    <w:rsid w:val="006E25B1"/>
    <w:rsid w:val="006E25F9"/>
    <w:rsid w:val="006E26BA"/>
    <w:rsid w:val="006E274C"/>
    <w:rsid w:val="006E2864"/>
    <w:rsid w:val="006E2937"/>
    <w:rsid w:val="006E2972"/>
    <w:rsid w:val="006E2A4B"/>
    <w:rsid w:val="006E2B93"/>
    <w:rsid w:val="006E2B9E"/>
    <w:rsid w:val="006E2EF9"/>
    <w:rsid w:val="006E3180"/>
    <w:rsid w:val="006E331D"/>
    <w:rsid w:val="006E36DC"/>
    <w:rsid w:val="006E386D"/>
    <w:rsid w:val="006E3AA0"/>
    <w:rsid w:val="006E3D79"/>
    <w:rsid w:val="006E3DD5"/>
    <w:rsid w:val="006E4074"/>
    <w:rsid w:val="006E4096"/>
    <w:rsid w:val="006E429F"/>
    <w:rsid w:val="006E42B4"/>
    <w:rsid w:val="006E433E"/>
    <w:rsid w:val="006E4460"/>
    <w:rsid w:val="006E4689"/>
    <w:rsid w:val="006E46D5"/>
    <w:rsid w:val="006E46E5"/>
    <w:rsid w:val="006E473D"/>
    <w:rsid w:val="006E4772"/>
    <w:rsid w:val="006E49D5"/>
    <w:rsid w:val="006E4A8E"/>
    <w:rsid w:val="006E4B99"/>
    <w:rsid w:val="006E4BE4"/>
    <w:rsid w:val="006E4CAE"/>
    <w:rsid w:val="006E51A5"/>
    <w:rsid w:val="006E5240"/>
    <w:rsid w:val="006E5316"/>
    <w:rsid w:val="006E5371"/>
    <w:rsid w:val="006E53AB"/>
    <w:rsid w:val="006E559D"/>
    <w:rsid w:val="006E561A"/>
    <w:rsid w:val="006E56AC"/>
    <w:rsid w:val="006E56D4"/>
    <w:rsid w:val="006E5842"/>
    <w:rsid w:val="006E58EB"/>
    <w:rsid w:val="006E59A4"/>
    <w:rsid w:val="006E59BB"/>
    <w:rsid w:val="006E5B6D"/>
    <w:rsid w:val="006E5C87"/>
    <w:rsid w:val="006E5C9C"/>
    <w:rsid w:val="006E5D84"/>
    <w:rsid w:val="006E5DB9"/>
    <w:rsid w:val="006E5E16"/>
    <w:rsid w:val="006E5E47"/>
    <w:rsid w:val="006E5E5D"/>
    <w:rsid w:val="006E5E6D"/>
    <w:rsid w:val="006E5E72"/>
    <w:rsid w:val="006E5F36"/>
    <w:rsid w:val="006E6016"/>
    <w:rsid w:val="006E61BF"/>
    <w:rsid w:val="006E625D"/>
    <w:rsid w:val="006E6402"/>
    <w:rsid w:val="006E64B3"/>
    <w:rsid w:val="006E65EA"/>
    <w:rsid w:val="006E692E"/>
    <w:rsid w:val="006E693E"/>
    <w:rsid w:val="006E697B"/>
    <w:rsid w:val="006E6AEA"/>
    <w:rsid w:val="006E6C7E"/>
    <w:rsid w:val="006E6D3C"/>
    <w:rsid w:val="006E6D51"/>
    <w:rsid w:val="006E6F3B"/>
    <w:rsid w:val="006E6F41"/>
    <w:rsid w:val="006E7208"/>
    <w:rsid w:val="006E7217"/>
    <w:rsid w:val="006E72C5"/>
    <w:rsid w:val="006E7496"/>
    <w:rsid w:val="006E74E5"/>
    <w:rsid w:val="006E7510"/>
    <w:rsid w:val="006E76A8"/>
    <w:rsid w:val="006E7954"/>
    <w:rsid w:val="006E7968"/>
    <w:rsid w:val="006E7BF8"/>
    <w:rsid w:val="006E7C4D"/>
    <w:rsid w:val="006E7CA1"/>
    <w:rsid w:val="006E7F22"/>
    <w:rsid w:val="006E7F97"/>
    <w:rsid w:val="006E9F09"/>
    <w:rsid w:val="006F0092"/>
    <w:rsid w:val="006F0172"/>
    <w:rsid w:val="006F01C1"/>
    <w:rsid w:val="006F028C"/>
    <w:rsid w:val="006F03D1"/>
    <w:rsid w:val="006F07C5"/>
    <w:rsid w:val="006F07FB"/>
    <w:rsid w:val="006F086E"/>
    <w:rsid w:val="006F0928"/>
    <w:rsid w:val="006F0B92"/>
    <w:rsid w:val="006F0C0E"/>
    <w:rsid w:val="006F0DE9"/>
    <w:rsid w:val="006F1009"/>
    <w:rsid w:val="006F10CC"/>
    <w:rsid w:val="006F10F1"/>
    <w:rsid w:val="006F11AE"/>
    <w:rsid w:val="006F11EC"/>
    <w:rsid w:val="006F1419"/>
    <w:rsid w:val="006F1426"/>
    <w:rsid w:val="006F153A"/>
    <w:rsid w:val="006F1632"/>
    <w:rsid w:val="006F1806"/>
    <w:rsid w:val="006F185E"/>
    <w:rsid w:val="006F18FD"/>
    <w:rsid w:val="006F19A5"/>
    <w:rsid w:val="006F1B0E"/>
    <w:rsid w:val="006F1D18"/>
    <w:rsid w:val="006F1E4B"/>
    <w:rsid w:val="006F2114"/>
    <w:rsid w:val="006F2146"/>
    <w:rsid w:val="006F22AB"/>
    <w:rsid w:val="006F2362"/>
    <w:rsid w:val="006F2472"/>
    <w:rsid w:val="006F24C4"/>
    <w:rsid w:val="006F2558"/>
    <w:rsid w:val="006F25D3"/>
    <w:rsid w:val="006F26CF"/>
    <w:rsid w:val="006F280C"/>
    <w:rsid w:val="006F283C"/>
    <w:rsid w:val="006F288A"/>
    <w:rsid w:val="006F296E"/>
    <w:rsid w:val="006F2ABC"/>
    <w:rsid w:val="006F2DD3"/>
    <w:rsid w:val="006F2EF7"/>
    <w:rsid w:val="006F2F53"/>
    <w:rsid w:val="006F2F5F"/>
    <w:rsid w:val="006F324A"/>
    <w:rsid w:val="006F3288"/>
    <w:rsid w:val="006F32CA"/>
    <w:rsid w:val="006F3364"/>
    <w:rsid w:val="006F34C6"/>
    <w:rsid w:val="006F34D6"/>
    <w:rsid w:val="006F3871"/>
    <w:rsid w:val="006F3BA0"/>
    <w:rsid w:val="006F3BD8"/>
    <w:rsid w:val="006F3D73"/>
    <w:rsid w:val="006F3E4E"/>
    <w:rsid w:val="006F40A5"/>
    <w:rsid w:val="006F4262"/>
    <w:rsid w:val="006F441E"/>
    <w:rsid w:val="006F47B8"/>
    <w:rsid w:val="006F4CBB"/>
    <w:rsid w:val="006F4F65"/>
    <w:rsid w:val="006F540B"/>
    <w:rsid w:val="006F55FD"/>
    <w:rsid w:val="006F58A1"/>
    <w:rsid w:val="006F59E5"/>
    <w:rsid w:val="006F5B71"/>
    <w:rsid w:val="006F5C2D"/>
    <w:rsid w:val="006F5E77"/>
    <w:rsid w:val="006F5F7B"/>
    <w:rsid w:val="006F6147"/>
    <w:rsid w:val="006F63D8"/>
    <w:rsid w:val="006F6807"/>
    <w:rsid w:val="006F690E"/>
    <w:rsid w:val="006F6950"/>
    <w:rsid w:val="006F6999"/>
    <w:rsid w:val="006F6B25"/>
    <w:rsid w:val="006F6B6E"/>
    <w:rsid w:val="006F6E6E"/>
    <w:rsid w:val="006F6EC8"/>
    <w:rsid w:val="006F6F7E"/>
    <w:rsid w:val="006F6FB4"/>
    <w:rsid w:val="006F6FE0"/>
    <w:rsid w:val="006F70F1"/>
    <w:rsid w:val="006F70F5"/>
    <w:rsid w:val="006F712A"/>
    <w:rsid w:val="006F71BE"/>
    <w:rsid w:val="006F72C3"/>
    <w:rsid w:val="006F7315"/>
    <w:rsid w:val="006F74A3"/>
    <w:rsid w:val="006F74F1"/>
    <w:rsid w:val="006F75A9"/>
    <w:rsid w:val="006F7616"/>
    <w:rsid w:val="006F76F2"/>
    <w:rsid w:val="006F77D8"/>
    <w:rsid w:val="006F7936"/>
    <w:rsid w:val="006F7953"/>
    <w:rsid w:val="006F7965"/>
    <w:rsid w:val="006F7B83"/>
    <w:rsid w:val="006F7E59"/>
    <w:rsid w:val="006F7F6C"/>
    <w:rsid w:val="0070017C"/>
    <w:rsid w:val="00700672"/>
    <w:rsid w:val="0070072C"/>
    <w:rsid w:val="00700808"/>
    <w:rsid w:val="007009D6"/>
    <w:rsid w:val="00700A7E"/>
    <w:rsid w:val="00700A9C"/>
    <w:rsid w:val="00700BCF"/>
    <w:rsid w:val="00700C26"/>
    <w:rsid w:val="00700F0F"/>
    <w:rsid w:val="007010CD"/>
    <w:rsid w:val="007011BE"/>
    <w:rsid w:val="007012DC"/>
    <w:rsid w:val="007013E6"/>
    <w:rsid w:val="0070143F"/>
    <w:rsid w:val="0070158E"/>
    <w:rsid w:val="0070159A"/>
    <w:rsid w:val="00701667"/>
    <w:rsid w:val="00701684"/>
    <w:rsid w:val="0070190D"/>
    <w:rsid w:val="00701994"/>
    <w:rsid w:val="007019D2"/>
    <w:rsid w:val="00701A6A"/>
    <w:rsid w:val="00701AF3"/>
    <w:rsid w:val="00701D88"/>
    <w:rsid w:val="00701DF0"/>
    <w:rsid w:val="00702179"/>
    <w:rsid w:val="0070218C"/>
    <w:rsid w:val="00702208"/>
    <w:rsid w:val="0070225F"/>
    <w:rsid w:val="007022B9"/>
    <w:rsid w:val="0070248F"/>
    <w:rsid w:val="0070256C"/>
    <w:rsid w:val="00702715"/>
    <w:rsid w:val="00702856"/>
    <w:rsid w:val="00702A14"/>
    <w:rsid w:val="00702B19"/>
    <w:rsid w:val="00702C5E"/>
    <w:rsid w:val="00702EB6"/>
    <w:rsid w:val="00702F95"/>
    <w:rsid w:val="00702F9B"/>
    <w:rsid w:val="0070304A"/>
    <w:rsid w:val="0070332D"/>
    <w:rsid w:val="00703451"/>
    <w:rsid w:val="00703626"/>
    <w:rsid w:val="0070364A"/>
    <w:rsid w:val="00703910"/>
    <w:rsid w:val="00703A54"/>
    <w:rsid w:val="00703AD7"/>
    <w:rsid w:val="00703C33"/>
    <w:rsid w:val="00703D68"/>
    <w:rsid w:val="00703E37"/>
    <w:rsid w:val="00703F37"/>
    <w:rsid w:val="007041D2"/>
    <w:rsid w:val="007043AB"/>
    <w:rsid w:val="00704419"/>
    <w:rsid w:val="0070447D"/>
    <w:rsid w:val="00704806"/>
    <w:rsid w:val="0070493A"/>
    <w:rsid w:val="007049A0"/>
    <w:rsid w:val="00704B6C"/>
    <w:rsid w:val="00704C44"/>
    <w:rsid w:val="00704F48"/>
    <w:rsid w:val="00704FBC"/>
    <w:rsid w:val="00704FBD"/>
    <w:rsid w:val="00704FFA"/>
    <w:rsid w:val="0070505B"/>
    <w:rsid w:val="00705077"/>
    <w:rsid w:val="007050D9"/>
    <w:rsid w:val="0070510A"/>
    <w:rsid w:val="00705422"/>
    <w:rsid w:val="00705473"/>
    <w:rsid w:val="007054A7"/>
    <w:rsid w:val="00705A1D"/>
    <w:rsid w:val="00705B2F"/>
    <w:rsid w:val="00705B99"/>
    <w:rsid w:val="00705BB0"/>
    <w:rsid w:val="00705C17"/>
    <w:rsid w:val="00705C30"/>
    <w:rsid w:val="00705D61"/>
    <w:rsid w:val="00705DC7"/>
    <w:rsid w:val="00705EA7"/>
    <w:rsid w:val="0070603A"/>
    <w:rsid w:val="00706117"/>
    <w:rsid w:val="00706157"/>
    <w:rsid w:val="007061B1"/>
    <w:rsid w:val="007061C5"/>
    <w:rsid w:val="0070625F"/>
    <w:rsid w:val="00706279"/>
    <w:rsid w:val="00706504"/>
    <w:rsid w:val="007065E9"/>
    <w:rsid w:val="00706607"/>
    <w:rsid w:val="0070663B"/>
    <w:rsid w:val="00706778"/>
    <w:rsid w:val="0070679E"/>
    <w:rsid w:val="007067EB"/>
    <w:rsid w:val="007068A5"/>
    <w:rsid w:val="00706913"/>
    <w:rsid w:val="00706987"/>
    <w:rsid w:val="00706AE7"/>
    <w:rsid w:val="00706B0B"/>
    <w:rsid w:val="00706B18"/>
    <w:rsid w:val="00706B3C"/>
    <w:rsid w:val="00706B53"/>
    <w:rsid w:val="00706B73"/>
    <w:rsid w:val="00706CB8"/>
    <w:rsid w:val="00706EA6"/>
    <w:rsid w:val="00707011"/>
    <w:rsid w:val="0070721E"/>
    <w:rsid w:val="007074BF"/>
    <w:rsid w:val="007074C8"/>
    <w:rsid w:val="007076F2"/>
    <w:rsid w:val="00707818"/>
    <w:rsid w:val="007078E5"/>
    <w:rsid w:val="00707912"/>
    <w:rsid w:val="00707A80"/>
    <w:rsid w:val="00707B3E"/>
    <w:rsid w:val="00707CDB"/>
    <w:rsid w:val="00707EAA"/>
    <w:rsid w:val="00707EF4"/>
    <w:rsid w:val="00710008"/>
    <w:rsid w:val="0071000B"/>
    <w:rsid w:val="007100F9"/>
    <w:rsid w:val="0071045A"/>
    <w:rsid w:val="0071053D"/>
    <w:rsid w:val="0071057B"/>
    <w:rsid w:val="007105E6"/>
    <w:rsid w:val="007108C9"/>
    <w:rsid w:val="00710A2B"/>
    <w:rsid w:val="00710C5C"/>
    <w:rsid w:val="00710C89"/>
    <w:rsid w:val="00710D3C"/>
    <w:rsid w:val="00710D49"/>
    <w:rsid w:val="00710EA7"/>
    <w:rsid w:val="00710F80"/>
    <w:rsid w:val="007114A5"/>
    <w:rsid w:val="007115F6"/>
    <w:rsid w:val="0071161E"/>
    <w:rsid w:val="00711715"/>
    <w:rsid w:val="00711780"/>
    <w:rsid w:val="00711829"/>
    <w:rsid w:val="007118F4"/>
    <w:rsid w:val="00711976"/>
    <w:rsid w:val="00711A0D"/>
    <w:rsid w:val="00711A6E"/>
    <w:rsid w:val="00711C1B"/>
    <w:rsid w:val="00711C6C"/>
    <w:rsid w:val="00711C7B"/>
    <w:rsid w:val="00711DA4"/>
    <w:rsid w:val="00711E11"/>
    <w:rsid w:val="00711E39"/>
    <w:rsid w:val="00711F41"/>
    <w:rsid w:val="0071279F"/>
    <w:rsid w:val="007129BC"/>
    <w:rsid w:val="007129D9"/>
    <w:rsid w:val="007129E4"/>
    <w:rsid w:val="00712A54"/>
    <w:rsid w:val="00712B03"/>
    <w:rsid w:val="00712C94"/>
    <w:rsid w:val="00712CE2"/>
    <w:rsid w:val="00712D69"/>
    <w:rsid w:val="00712D81"/>
    <w:rsid w:val="00712F05"/>
    <w:rsid w:val="00712FD5"/>
    <w:rsid w:val="0071322D"/>
    <w:rsid w:val="007134C7"/>
    <w:rsid w:val="007135C6"/>
    <w:rsid w:val="007135D8"/>
    <w:rsid w:val="007135F1"/>
    <w:rsid w:val="00713651"/>
    <w:rsid w:val="007138BA"/>
    <w:rsid w:val="00713DDE"/>
    <w:rsid w:val="00713E8A"/>
    <w:rsid w:val="00713EC9"/>
    <w:rsid w:val="00713FAB"/>
    <w:rsid w:val="00714233"/>
    <w:rsid w:val="00714239"/>
    <w:rsid w:val="0071434D"/>
    <w:rsid w:val="00714453"/>
    <w:rsid w:val="007144B1"/>
    <w:rsid w:val="007145A5"/>
    <w:rsid w:val="0071462C"/>
    <w:rsid w:val="0071462E"/>
    <w:rsid w:val="00714682"/>
    <w:rsid w:val="00714703"/>
    <w:rsid w:val="007147AD"/>
    <w:rsid w:val="007147BE"/>
    <w:rsid w:val="007148EC"/>
    <w:rsid w:val="0071499D"/>
    <w:rsid w:val="00714A2E"/>
    <w:rsid w:val="00714ACF"/>
    <w:rsid w:val="00714BF6"/>
    <w:rsid w:val="00714C96"/>
    <w:rsid w:val="00714CB4"/>
    <w:rsid w:val="00714CCD"/>
    <w:rsid w:val="00714FEC"/>
    <w:rsid w:val="00715059"/>
    <w:rsid w:val="00715129"/>
    <w:rsid w:val="007154C8"/>
    <w:rsid w:val="00715589"/>
    <w:rsid w:val="00715637"/>
    <w:rsid w:val="00715654"/>
    <w:rsid w:val="0071571D"/>
    <w:rsid w:val="007157F3"/>
    <w:rsid w:val="0071580D"/>
    <w:rsid w:val="007158F5"/>
    <w:rsid w:val="00715947"/>
    <w:rsid w:val="007159E0"/>
    <w:rsid w:val="00715C48"/>
    <w:rsid w:val="00715CDD"/>
    <w:rsid w:val="00715DB8"/>
    <w:rsid w:val="00715E08"/>
    <w:rsid w:val="00715F62"/>
    <w:rsid w:val="00716006"/>
    <w:rsid w:val="00716008"/>
    <w:rsid w:val="0071611E"/>
    <w:rsid w:val="0071613E"/>
    <w:rsid w:val="007161E0"/>
    <w:rsid w:val="0071626A"/>
    <w:rsid w:val="007162EA"/>
    <w:rsid w:val="0071635D"/>
    <w:rsid w:val="0071640B"/>
    <w:rsid w:val="0071644F"/>
    <w:rsid w:val="007165B9"/>
    <w:rsid w:val="007168A6"/>
    <w:rsid w:val="007169B3"/>
    <w:rsid w:val="00716A00"/>
    <w:rsid w:val="00716A7C"/>
    <w:rsid w:val="00716D38"/>
    <w:rsid w:val="00716DF5"/>
    <w:rsid w:val="00716FFC"/>
    <w:rsid w:val="00717404"/>
    <w:rsid w:val="007174F3"/>
    <w:rsid w:val="00717551"/>
    <w:rsid w:val="00717576"/>
    <w:rsid w:val="007177BF"/>
    <w:rsid w:val="007177E9"/>
    <w:rsid w:val="00717802"/>
    <w:rsid w:val="00717D18"/>
    <w:rsid w:val="00717D33"/>
    <w:rsid w:val="00717E83"/>
    <w:rsid w:val="0072005E"/>
    <w:rsid w:val="00720234"/>
    <w:rsid w:val="0072041D"/>
    <w:rsid w:val="007204EC"/>
    <w:rsid w:val="00720541"/>
    <w:rsid w:val="007207D2"/>
    <w:rsid w:val="00720A59"/>
    <w:rsid w:val="00720B3E"/>
    <w:rsid w:val="00720B4E"/>
    <w:rsid w:val="00720C45"/>
    <w:rsid w:val="00720C77"/>
    <w:rsid w:val="00720D7E"/>
    <w:rsid w:val="00720FF7"/>
    <w:rsid w:val="00721257"/>
    <w:rsid w:val="007212A6"/>
    <w:rsid w:val="007212A9"/>
    <w:rsid w:val="007212AD"/>
    <w:rsid w:val="00721673"/>
    <w:rsid w:val="007216E0"/>
    <w:rsid w:val="007217E7"/>
    <w:rsid w:val="0072188D"/>
    <w:rsid w:val="0072198E"/>
    <w:rsid w:val="007219C2"/>
    <w:rsid w:val="007219FA"/>
    <w:rsid w:val="00721A64"/>
    <w:rsid w:val="00721B19"/>
    <w:rsid w:val="00721BAC"/>
    <w:rsid w:val="00721C85"/>
    <w:rsid w:val="00721D80"/>
    <w:rsid w:val="00721E37"/>
    <w:rsid w:val="00721ED8"/>
    <w:rsid w:val="007220AD"/>
    <w:rsid w:val="0072212C"/>
    <w:rsid w:val="00722159"/>
    <w:rsid w:val="0072215C"/>
    <w:rsid w:val="00722215"/>
    <w:rsid w:val="007222B2"/>
    <w:rsid w:val="00722313"/>
    <w:rsid w:val="00722409"/>
    <w:rsid w:val="00722486"/>
    <w:rsid w:val="007226B8"/>
    <w:rsid w:val="0072271C"/>
    <w:rsid w:val="00722767"/>
    <w:rsid w:val="00722896"/>
    <w:rsid w:val="00722940"/>
    <w:rsid w:val="0072294F"/>
    <w:rsid w:val="007229E4"/>
    <w:rsid w:val="00722A8E"/>
    <w:rsid w:val="00722AA6"/>
    <w:rsid w:val="00722AC5"/>
    <w:rsid w:val="00722B51"/>
    <w:rsid w:val="00722D78"/>
    <w:rsid w:val="00722E10"/>
    <w:rsid w:val="00722EB4"/>
    <w:rsid w:val="00723051"/>
    <w:rsid w:val="00723099"/>
    <w:rsid w:val="00723124"/>
    <w:rsid w:val="0072313A"/>
    <w:rsid w:val="00723327"/>
    <w:rsid w:val="00723556"/>
    <w:rsid w:val="007236C9"/>
    <w:rsid w:val="007238C3"/>
    <w:rsid w:val="007239E5"/>
    <w:rsid w:val="00723C29"/>
    <w:rsid w:val="00723C74"/>
    <w:rsid w:val="00723E93"/>
    <w:rsid w:val="007240F1"/>
    <w:rsid w:val="0072413A"/>
    <w:rsid w:val="0072413F"/>
    <w:rsid w:val="007243B5"/>
    <w:rsid w:val="00724455"/>
    <w:rsid w:val="007244D2"/>
    <w:rsid w:val="0072452D"/>
    <w:rsid w:val="0072459A"/>
    <w:rsid w:val="00724854"/>
    <w:rsid w:val="00724878"/>
    <w:rsid w:val="007249A7"/>
    <w:rsid w:val="007249DC"/>
    <w:rsid w:val="007249E2"/>
    <w:rsid w:val="00724A0C"/>
    <w:rsid w:val="00725063"/>
    <w:rsid w:val="007253A2"/>
    <w:rsid w:val="007253F4"/>
    <w:rsid w:val="007254A7"/>
    <w:rsid w:val="0072568A"/>
    <w:rsid w:val="0072572F"/>
    <w:rsid w:val="00725768"/>
    <w:rsid w:val="007257B0"/>
    <w:rsid w:val="007257F6"/>
    <w:rsid w:val="00725853"/>
    <w:rsid w:val="007258BD"/>
    <w:rsid w:val="007258F7"/>
    <w:rsid w:val="007258FB"/>
    <w:rsid w:val="00725951"/>
    <w:rsid w:val="00725956"/>
    <w:rsid w:val="00725BA4"/>
    <w:rsid w:val="00725E10"/>
    <w:rsid w:val="00725F2E"/>
    <w:rsid w:val="007260E0"/>
    <w:rsid w:val="007260EA"/>
    <w:rsid w:val="0072617F"/>
    <w:rsid w:val="00726375"/>
    <w:rsid w:val="007263A9"/>
    <w:rsid w:val="0072652F"/>
    <w:rsid w:val="0072655B"/>
    <w:rsid w:val="0072675A"/>
    <w:rsid w:val="0072675F"/>
    <w:rsid w:val="007267FF"/>
    <w:rsid w:val="0072683A"/>
    <w:rsid w:val="0072683C"/>
    <w:rsid w:val="00726983"/>
    <w:rsid w:val="00726BD1"/>
    <w:rsid w:val="00726C01"/>
    <w:rsid w:val="00726C16"/>
    <w:rsid w:val="00726C34"/>
    <w:rsid w:val="00726D2B"/>
    <w:rsid w:val="00726E84"/>
    <w:rsid w:val="00726FB7"/>
    <w:rsid w:val="00727415"/>
    <w:rsid w:val="0072746C"/>
    <w:rsid w:val="00727488"/>
    <w:rsid w:val="00727570"/>
    <w:rsid w:val="00727616"/>
    <w:rsid w:val="0072761D"/>
    <w:rsid w:val="0072776D"/>
    <w:rsid w:val="0072782E"/>
    <w:rsid w:val="007279A5"/>
    <w:rsid w:val="00727A89"/>
    <w:rsid w:val="00727C67"/>
    <w:rsid w:val="00727F51"/>
    <w:rsid w:val="007301EA"/>
    <w:rsid w:val="00730343"/>
    <w:rsid w:val="007305AD"/>
    <w:rsid w:val="00730619"/>
    <w:rsid w:val="007306F2"/>
    <w:rsid w:val="00730750"/>
    <w:rsid w:val="00730761"/>
    <w:rsid w:val="007307AD"/>
    <w:rsid w:val="00730806"/>
    <w:rsid w:val="007308BA"/>
    <w:rsid w:val="0073099E"/>
    <w:rsid w:val="00730A2E"/>
    <w:rsid w:val="00730A67"/>
    <w:rsid w:val="00730AAF"/>
    <w:rsid w:val="00730B08"/>
    <w:rsid w:val="00730CBD"/>
    <w:rsid w:val="00730CF5"/>
    <w:rsid w:val="00730E40"/>
    <w:rsid w:val="00730EB8"/>
    <w:rsid w:val="00730ED2"/>
    <w:rsid w:val="00731046"/>
    <w:rsid w:val="007310C9"/>
    <w:rsid w:val="007310F3"/>
    <w:rsid w:val="007311CF"/>
    <w:rsid w:val="007311F4"/>
    <w:rsid w:val="0073134C"/>
    <w:rsid w:val="00731409"/>
    <w:rsid w:val="0073154F"/>
    <w:rsid w:val="0073160D"/>
    <w:rsid w:val="007317B7"/>
    <w:rsid w:val="00731944"/>
    <w:rsid w:val="00731A19"/>
    <w:rsid w:val="00731D14"/>
    <w:rsid w:val="00732019"/>
    <w:rsid w:val="00732096"/>
    <w:rsid w:val="00732319"/>
    <w:rsid w:val="0073238C"/>
    <w:rsid w:val="0073238E"/>
    <w:rsid w:val="007324FA"/>
    <w:rsid w:val="00732698"/>
    <w:rsid w:val="0073270F"/>
    <w:rsid w:val="00732766"/>
    <w:rsid w:val="007327EE"/>
    <w:rsid w:val="00732853"/>
    <w:rsid w:val="007329A2"/>
    <w:rsid w:val="007329B9"/>
    <w:rsid w:val="00732A89"/>
    <w:rsid w:val="00732B20"/>
    <w:rsid w:val="00732B3B"/>
    <w:rsid w:val="00732B48"/>
    <w:rsid w:val="007331B6"/>
    <w:rsid w:val="0073321E"/>
    <w:rsid w:val="007334E8"/>
    <w:rsid w:val="007335E1"/>
    <w:rsid w:val="00733696"/>
    <w:rsid w:val="00733793"/>
    <w:rsid w:val="0073396E"/>
    <w:rsid w:val="00733EEF"/>
    <w:rsid w:val="00733F44"/>
    <w:rsid w:val="00734185"/>
    <w:rsid w:val="0073423B"/>
    <w:rsid w:val="0073425E"/>
    <w:rsid w:val="007344B2"/>
    <w:rsid w:val="007344B4"/>
    <w:rsid w:val="00734505"/>
    <w:rsid w:val="00734649"/>
    <w:rsid w:val="00734ABE"/>
    <w:rsid w:val="00734DA3"/>
    <w:rsid w:val="00734DD9"/>
    <w:rsid w:val="007350D9"/>
    <w:rsid w:val="007352DC"/>
    <w:rsid w:val="007354B0"/>
    <w:rsid w:val="00735530"/>
    <w:rsid w:val="00735622"/>
    <w:rsid w:val="0073564E"/>
    <w:rsid w:val="007356B7"/>
    <w:rsid w:val="0073577A"/>
    <w:rsid w:val="007357E1"/>
    <w:rsid w:val="0073587A"/>
    <w:rsid w:val="007358C9"/>
    <w:rsid w:val="007358D6"/>
    <w:rsid w:val="00735959"/>
    <w:rsid w:val="00735A70"/>
    <w:rsid w:val="00735C6B"/>
    <w:rsid w:val="00735C82"/>
    <w:rsid w:val="00735CFA"/>
    <w:rsid w:val="00735D00"/>
    <w:rsid w:val="00735DD4"/>
    <w:rsid w:val="00735F69"/>
    <w:rsid w:val="00735F70"/>
    <w:rsid w:val="00736001"/>
    <w:rsid w:val="00736171"/>
    <w:rsid w:val="00736429"/>
    <w:rsid w:val="00736546"/>
    <w:rsid w:val="0073667C"/>
    <w:rsid w:val="007366FF"/>
    <w:rsid w:val="007368BD"/>
    <w:rsid w:val="007368C6"/>
    <w:rsid w:val="00736A0D"/>
    <w:rsid w:val="00736A45"/>
    <w:rsid w:val="00736AA6"/>
    <w:rsid w:val="00736BC2"/>
    <w:rsid w:val="00736C35"/>
    <w:rsid w:val="00736E82"/>
    <w:rsid w:val="007370D7"/>
    <w:rsid w:val="0073713B"/>
    <w:rsid w:val="007371D5"/>
    <w:rsid w:val="00737255"/>
    <w:rsid w:val="007373AC"/>
    <w:rsid w:val="007373EB"/>
    <w:rsid w:val="00737409"/>
    <w:rsid w:val="007374D9"/>
    <w:rsid w:val="0073761A"/>
    <w:rsid w:val="00737863"/>
    <w:rsid w:val="00737A42"/>
    <w:rsid w:val="00737B45"/>
    <w:rsid w:val="00737C14"/>
    <w:rsid w:val="00737C88"/>
    <w:rsid w:val="00737CCC"/>
    <w:rsid w:val="00737DD5"/>
    <w:rsid w:val="007400D2"/>
    <w:rsid w:val="0074028F"/>
    <w:rsid w:val="00740708"/>
    <w:rsid w:val="007408DA"/>
    <w:rsid w:val="00740B06"/>
    <w:rsid w:val="00740E05"/>
    <w:rsid w:val="00740F42"/>
    <w:rsid w:val="00741038"/>
    <w:rsid w:val="007412C2"/>
    <w:rsid w:val="007414DB"/>
    <w:rsid w:val="0074164B"/>
    <w:rsid w:val="00741738"/>
    <w:rsid w:val="00741917"/>
    <w:rsid w:val="00741A56"/>
    <w:rsid w:val="00741B9F"/>
    <w:rsid w:val="00741DA1"/>
    <w:rsid w:val="00741E88"/>
    <w:rsid w:val="00741EBF"/>
    <w:rsid w:val="00741F6D"/>
    <w:rsid w:val="0074204A"/>
    <w:rsid w:val="00742063"/>
    <w:rsid w:val="007420EF"/>
    <w:rsid w:val="0074227B"/>
    <w:rsid w:val="007422E8"/>
    <w:rsid w:val="007422FD"/>
    <w:rsid w:val="007423D3"/>
    <w:rsid w:val="007424D1"/>
    <w:rsid w:val="0074256F"/>
    <w:rsid w:val="00742638"/>
    <w:rsid w:val="007426AB"/>
    <w:rsid w:val="00742932"/>
    <w:rsid w:val="00742A12"/>
    <w:rsid w:val="00742B7A"/>
    <w:rsid w:val="00742BBC"/>
    <w:rsid w:val="00742BC0"/>
    <w:rsid w:val="00742C12"/>
    <w:rsid w:val="00742F2F"/>
    <w:rsid w:val="007430FC"/>
    <w:rsid w:val="00743194"/>
    <w:rsid w:val="00743279"/>
    <w:rsid w:val="00743365"/>
    <w:rsid w:val="007433B7"/>
    <w:rsid w:val="00743667"/>
    <w:rsid w:val="00743685"/>
    <w:rsid w:val="007436C6"/>
    <w:rsid w:val="007436EE"/>
    <w:rsid w:val="007436F6"/>
    <w:rsid w:val="00743814"/>
    <w:rsid w:val="007439ED"/>
    <w:rsid w:val="00743A41"/>
    <w:rsid w:val="00743B89"/>
    <w:rsid w:val="00743CF6"/>
    <w:rsid w:val="00743D96"/>
    <w:rsid w:val="00743DC4"/>
    <w:rsid w:val="00744011"/>
    <w:rsid w:val="00744180"/>
    <w:rsid w:val="00744241"/>
    <w:rsid w:val="007443A5"/>
    <w:rsid w:val="00744502"/>
    <w:rsid w:val="00744586"/>
    <w:rsid w:val="00744902"/>
    <w:rsid w:val="0074493A"/>
    <w:rsid w:val="0074498C"/>
    <w:rsid w:val="00744B0E"/>
    <w:rsid w:val="00744C71"/>
    <w:rsid w:val="00744CAB"/>
    <w:rsid w:val="00744CE9"/>
    <w:rsid w:val="00744ECE"/>
    <w:rsid w:val="00744EF7"/>
    <w:rsid w:val="00744FDC"/>
    <w:rsid w:val="00745269"/>
    <w:rsid w:val="007453A4"/>
    <w:rsid w:val="0074547E"/>
    <w:rsid w:val="00745980"/>
    <w:rsid w:val="00745A57"/>
    <w:rsid w:val="00745C67"/>
    <w:rsid w:val="00745E27"/>
    <w:rsid w:val="00745F12"/>
    <w:rsid w:val="00745F3B"/>
    <w:rsid w:val="00746214"/>
    <w:rsid w:val="0074634B"/>
    <w:rsid w:val="0074651A"/>
    <w:rsid w:val="0074666A"/>
    <w:rsid w:val="007466B6"/>
    <w:rsid w:val="007467BD"/>
    <w:rsid w:val="007467D6"/>
    <w:rsid w:val="00746A11"/>
    <w:rsid w:val="00746D1A"/>
    <w:rsid w:val="00746E1F"/>
    <w:rsid w:val="00746F26"/>
    <w:rsid w:val="00746F39"/>
    <w:rsid w:val="00746FB8"/>
    <w:rsid w:val="00746FCA"/>
    <w:rsid w:val="00746FE6"/>
    <w:rsid w:val="0074701C"/>
    <w:rsid w:val="007470C9"/>
    <w:rsid w:val="0074726A"/>
    <w:rsid w:val="007472CF"/>
    <w:rsid w:val="00747458"/>
    <w:rsid w:val="0074775A"/>
    <w:rsid w:val="00747767"/>
    <w:rsid w:val="007479F2"/>
    <w:rsid w:val="00747A0A"/>
    <w:rsid w:val="00747B91"/>
    <w:rsid w:val="00747DAB"/>
    <w:rsid w:val="00747FFB"/>
    <w:rsid w:val="007501A8"/>
    <w:rsid w:val="007501D9"/>
    <w:rsid w:val="00750221"/>
    <w:rsid w:val="0075047A"/>
    <w:rsid w:val="0075047E"/>
    <w:rsid w:val="0075049F"/>
    <w:rsid w:val="007505DB"/>
    <w:rsid w:val="00750766"/>
    <w:rsid w:val="00750A26"/>
    <w:rsid w:val="00750D38"/>
    <w:rsid w:val="00750D45"/>
    <w:rsid w:val="00750DF8"/>
    <w:rsid w:val="0075117D"/>
    <w:rsid w:val="0075120B"/>
    <w:rsid w:val="007512A1"/>
    <w:rsid w:val="00751379"/>
    <w:rsid w:val="00751393"/>
    <w:rsid w:val="00751423"/>
    <w:rsid w:val="00751472"/>
    <w:rsid w:val="00751577"/>
    <w:rsid w:val="007515A7"/>
    <w:rsid w:val="00751673"/>
    <w:rsid w:val="00751709"/>
    <w:rsid w:val="00751760"/>
    <w:rsid w:val="00751B0B"/>
    <w:rsid w:val="00751B19"/>
    <w:rsid w:val="00751C19"/>
    <w:rsid w:val="00751F15"/>
    <w:rsid w:val="00751F91"/>
    <w:rsid w:val="00752000"/>
    <w:rsid w:val="007521F8"/>
    <w:rsid w:val="007522F3"/>
    <w:rsid w:val="0075239F"/>
    <w:rsid w:val="0075282A"/>
    <w:rsid w:val="007528F6"/>
    <w:rsid w:val="00752926"/>
    <w:rsid w:val="00752B99"/>
    <w:rsid w:val="00752CCC"/>
    <w:rsid w:val="00752D75"/>
    <w:rsid w:val="00752D7F"/>
    <w:rsid w:val="00752DBA"/>
    <w:rsid w:val="00752E43"/>
    <w:rsid w:val="00753042"/>
    <w:rsid w:val="007530B3"/>
    <w:rsid w:val="00753319"/>
    <w:rsid w:val="007533A4"/>
    <w:rsid w:val="0075350E"/>
    <w:rsid w:val="00753745"/>
    <w:rsid w:val="007537F7"/>
    <w:rsid w:val="00753919"/>
    <w:rsid w:val="00753A55"/>
    <w:rsid w:val="00753A9F"/>
    <w:rsid w:val="00753AA0"/>
    <w:rsid w:val="00753B21"/>
    <w:rsid w:val="00753B90"/>
    <w:rsid w:val="00753C46"/>
    <w:rsid w:val="00753E01"/>
    <w:rsid w:val="007541E9"/>
    <w:rsid w:val="00754215"/>
    <w:rsid w:val="00754231"/>
    <w:rsid w:val="00754320"/>
    <w:rsid w:val="0075436C"/>
    <w:rsid w:val="0075443F"/>
    <w:rsid w:val="0075477C"/>
    <w:rsid w:val="0075485E"/>
    <w:rsid w:val="00754953"/>
    <w:rsid w:val="007549EE"/>
    <w:rsid w:val="00754A9F"/>
    <w:rsid w:val="00754CAC"/>
    <w:rsid w:val="00754DBD"/>
    <w:rsid w:val="00754E8B"/>
    <w:rsid w:val="00754F25"/>
    <w:rsid w:val="00755636"/>
    <w:rsid w:val="0075563E"/>
    <w:rsid w:val="0075580C"/>
    <w:rsid w:val="0075586D"/>
    <w:rsid w:val="00755BE2"/>
    <w:rsid w:val="00755C33"/>
    <w:rsid w:val="00755C8B"/>
    <w:rsid w:val="00755F0A"/>
    <w:rsid w:val="00756040"/>
    <w:rsid w:val="007560D0"/>
    <w:rsid w:val="00756109"/>
    <w:rsid w:val="00756319"/>
    <w:rsid w:val="007563FA"/>
    <w:rsid w:val="00756429"/>
    <w:rsid w:val="0075642E"/>
    <w:rsid w:val="007565A8"/>
    <w:rsid w:val="0075672A"/>
    <w:rsid w:val="0075683E"/>
    <w:rsid w:val="00756A03"/>
    <w:rsid w:val="00756A99"/>
    <w:rsid w:val="00756C36"/>
    <w:rsid w:val="00756C3D"/>
    <w:rsid w:val="00756C4C"/>
    <w:rsid w:val="00756CA0"/>
    <w:rsid w:val="00756CC8"/>
    <w:rsid w:val="00756D13"/>
    <w:rsid w:val="00756F9B"/>
    <w:rsid w:val="0075703A"/>
    <w:rsid w:val="007570AA"/>
    <w:rsid w:val="007570D8"/>
    <w:rsid w:val="007570ED"/>
    <w:rsid w:val="00757151"/>
    <w:rsid w:val="0075716F"/>
    <w:rsid w:val="0075723B"/>
    <w:rsid w:val="00757572"/>
    <w:rsid w:val="00757699"/>
    <w:rsid w:val="007578C3"/>
    <w:rsid w:val="007579D9"/>
    <w:rsid w:val="007579E0"/>
    <w:rsid w:val="00757A00"/>
    <w:rsid w:val="00757C5B"/>
    <w:rsid w:val="0076013E"/>
    <w:rsid w:val="00760167"/>
    <w:rsid w:val="00760278"/>
    <w:rsid w:val="00760511"/>
    <w:rsid w:val="007605CD"/>
    <w:rsid w:val="00760635"/>
    <w:rsid w:val="00760681"/>
    <w:rsid w:val="0076090D"/>
    <w:rsid w:val="00760A07"/>
    <w:rsid w:val="00760A4A"/>
    <w:rsid w:val="00760A5E"/>
    <w:rsid w:val="00760B9E"/>
    <w:rsid w:val="00760BB4"/>
    <w:rsid w:val="0076108E"/>
    <w:rsid w:val="007610D6"/>
    <w:rsid w:val="007610DC"/>
    <w:rsid w:val="0076113A"/>
    <w:rsid w:val="0076120D"/>
    <w:rsid w:val="00761370"/>
    <w:rsid w:val="007613B3"/>
    <w:rsid w:val="00761535"/>
    <w:rsid w:val="0076155D"/>
    <w:rsid w:val="0076162D"/>
    <w:rsid w:val="007616DC"/>
    <w:rsid w:val="00761712"/>
    <w:rsid w:val="007617C0"/>
    <w:rsid w:val="007617DA"/>
    <w:rsid w:val="00761A60"/>
    <w:rsid w:val="00761D46"/>
    <w:rsid w:val="00761E0B"/>
    <w:rsid w:val="00762023"/>
    <w:rsid w:val="007621E4"/>
    <w:rsid w:val="007622C2"/>
    <w:rsid w:val="00762384"/>
    <w:rsid w:val="007623C8"/>
    <w:rsid w:val="00762490"/>
    <w:rsid w:val="007624A1"/>
    <w:rsid w:val="007624EB"/>
    <w:rsid w:val="007625E1"/>
    <w:rsid w:val="00762713"/>
    <w:rsid w:val="00762762"/>
    <w:rsid w:val="0076284F"/>
    <w:rsid w:val="00762A2B"/>
    <w:rsid w:val="00762A3B"/>
    <w:rsid w:val="00762A54"/>
    <w:rsid w:val="0076332B"/>
    <w:rsid w:val="0076340C"/>
    <w:rsid w:val="0076362B"/>
    <w:rsid w:val="00763824"/>
    <w:rsid w:val="00763B4B"/>
    <w:rsid w:val="00763BD1"/>
    <w:rsid w:val="00763C71"/>
    <w:rsid w:val="00763D15"/>
    <w:rsid w:val="00763F05"/>
    <w:rsid w:val="00763F42"/>
    <w:rsid w:val="00764173"/>
    <w:rsid w:val="007641C5"/>
    <w:rsid w:val="007642C5"/>
    <w:rsid w:val="007642D3"/>
    <w:rsid w:val="007643B4"/>
    <w:rsid w:val="0076473F"/>
    <w:rsid w:val="00764877"/>
    <w:rsid w:val="0076496D"/>
    <w:rsid w:val="00764B82"/>
    <w:rsid w:val="00764DB4"/>
    <w:rsid w:val="00764E3D"/>
    <w:rsid w:val="0076514D"/>
    <w:rsid w:val="00765174"/>
    <w:rsid w:val="0076527E"/>
    <w:rsid w:val="00765297"/>
    <w:rsid w:val="007652AF"/>
    <w:rsid w:val="007653B9"/>
    <w:rsid w:val="007653D3"/>
    <w:rsid w:val="00765423"/>
    <w:rsid w:val="00765485"/>
    <w:rsid w:val="007654BA"/>
    <w:rsid w:val="007654EE"/>
    <w:rsid w:val="007656AB"/>
    <w:rsid w:val="007656D5"/>
    <w:rsid w:val="007657BF"/>
    <w:rsid w:val="007657E6"/>
    <w:rsid w:val="0076597F"/>
    <w:rsid w:val="0076599A"/>
    <w:rsid w:val="00765CBB"/>
    <w:rsid w:val="00765DD1"/>
    <w:rsid w:val="00765ED5"/>
    <w:rsid w:val="00765F0D"/>
    <w:rsid w:val="00765FD9"/>
    <w:rsid w:val="007662E6"/>
    <w:rsid w:val="007663CF"/>
    <w:rsid w:val="00766493"/>
    <w:rsid w:val="007664B1"/>
    <w:rsid w:val="00766513"/>
    <w:rsid w:val="0076665A"/>
    <w:rsid w:val="00766743"/>
    <w:rsid w:val="00766779"/>
    <w:rsid w:val="0076680A"/>
    <w:rsid w:val="007668E9"/>
    <w:rsid w:val="007669CB"/>
    <w:rsid w:val="00766C15"/>
    <w:rsid w:val="00767073"/>
    <w:rsid w:val="00767184"/>
    <w:rsid w:val="00767488"/>
    <w:rsid w:val="0076750E"/>
    <w:rsid w:val="00767546"/>
    <w:rsid w:val="0076756B"/>
    <w:rsid w:val="007677BF"/>
    <w:rsid w:val="007678D2"/>
    <w:rsid w:val="007679DC"/>
    <w:rsid w:val="00767B8A"/>
    <w:rsid w:val="00767D43"/>
    <w:rsid w:val="00770173"/>
    <w:rsid w:val="00770243"/>
    <w:rsid w:val="007703DE"/>
    <w:rsid w:val="007704BA"/>
    <w:rsid w:val="0077062C"/>
    <w:rsid w:val="007706FA"/>
    <w:rsid w:val="00770826"/>
    <w:rsid w:val="007708C3"/>
    <w:rsid w:val="00770914"/>
    <w:rsid w:val="00770966"/>
    <w:rsid w:val="00770A96"/>
    <w:rsid w:val="00770B2E"/>
    <w:rsid w:val="00770CB7"/>
    <w:rsid w:val="00770CB9"/>
    <w:rsid w:val="00770D1E"/>
    <w:rsid w:val="00770FAD"/>
    <w:rsid w:val="0077106D"/>
    <w:rsid w:val="00771277"/>
    <w:rsid w:val="0077132C"/>
    <w:rsid w:val="00771364"/>
    <w:rsid w:val="0077147B"/>
    <w:rsid w:val="007714A9"/>
    <w:rsid w:val="0077152B"/>
    <w:rsid w:val="007715D9"/>
    <w:rsid w:val="00771724"/>
    <w:rsid w:val="0077196C"/>
    <w:rsid w:val="007719A7"/>
    <w:rsid w:val="00771BE6"/>
    <w:rsid w:val="00771CB9"/>
    <w:rsid w:val="00771CD0"/>
    <w:rsid w:val="00771F24"/>
    <w:rsid w:val="00772054"/>
    <w:rsid w:val="00772072"/>
    <w:rsid w:val="007720C4"/>
    <w:rsid w:val="00772197"/>
    <w:rsid w:val="00772229"/>
    <w:rsid w:val="00772326"/>
    <w:rsid w:val="0077233B"/>
    <w:rsid w:val="00772511"/>
    <w:rsid w:val="0077272C"/>
    <w:rsid w:val="00772791"/>
    <w:rsid w:val="00772798"/>
    <w:rsid w:val="0077290D"/>
    <w:rsid w:val="00772A14"/>
    <w:rsid w:val="00772B24"/>
    <w:rsid w:val="00772D0D"/>
    <w:rsid w:val="00772D5F"/>
    <w:rsid w:val="00772E30"/>
    <w:rsid w:val="0077347A"/>
    <w:rsid w:val="00773638"/>
    <w:rsid w:val="0077387C"/>
    <w:rsid w:val="00773A01"/>
    <w:rsid w:val="00773A84"/>
    <w:rsid w:val="00773BE0"/>
    <w:rsid w:val="00773D09"/>
    <w:rsid w:val="00773E55"/>
    <w:rsid w:val="00773F5B"/>
    <w:rsid w:val="00773FEE"/>
    <w:rsid w:val="00774171"/>
    <w:rsid w:val="007744AE"/>
    <w:rsid w:val="007744CF"/>
    <w:rsid w:val="007745FF"/>
    <w:rsid w:val="00774620"/>
    <w:rsid w:val="0077485D"/>
    <w:rsid w:val="00774A9C"/>
    <w:rsid w:val="00774ADB"/>
    <w:rsid w:val="00774AEB"/>
    <w:rsid w:val="00774B6D"/>
    <w:rsid w:val="00774C1E"/>
    <w:rsid w:val="00774D04"/>
    <w:rsid w:val="00774D79"/>
    <w:rsid w:val="007751CA"/>
    <w:rsid w:val="0077550B"/>
    <w:rsid w:val="00775728"/>
    <w:rsid w:val="00775891"/>
    <w:rsid w:val="007758D1"/>
    <w:rsid w:val="007759E1"/>
    <w:rsid w:val="00775AE0"/>
    <w:rsid w:val="00775D39"/>
    <w:rsid w:val="00775F1E"/>
    <w:rsid w:val="00775F97"/>
    <w:rsid w:val="00775FFC"/>
    <w:rsid w:val="007760BA"/>
    <w:rsid w:val="007760F8"/>
    <w:rsid w:val="0077621C"/>
    <w:rsid w:val="00776587"/>
    <w:rsid w:val="007767DD"/>
    <w:rsid w:val="00776801"/>
    <w:rsid w:val="00776924"/>
    <w:rsid w:val="00776A20"/>
    <w:rsid w:val="00776A83"/>
    <w:rsid w:val="00776B0F"/>
    <w:rsid w:val="00776C4D"/>
    <w:rsid w:val="00776C68"/>
    <w:rsid w:val="00776D5F"/>
    <w:rsid w:val="00776DD4"/>
    <w:rsid w:val="00776FB5"/>
    <w:rsid w:val="00777028"/>
    <w:rsid w:val="0077716C"/>
    <w:rsid w:val="007771D1"/>
    <w:rsid w:val="0077736E"/>
    <w:rsid w:val="00777378"/>
    <w:rsid w:val="0077739A"/>
    <w:rsid w:val="00777474"/>
    <w:rsid w:val="00777621"/>
    <w:rsid w:val="007777D8"/>
    <w:rsid w:val="00777848"/>
    <w:rsid w:val="007778D0"/>
    <w:rsid w:val="00777AD0"/>
    <w:rsid w:val="00777C15"/>
    <w:rsid w:val="00777D27"/>
    <w:rsid w:val="00777D72"/>
    <w:rsid w:val="00777F5F"/>
    <w:rsid w:val="00777F99"/>
    <w:rsid w:val="00780086"/>
    <w:rsid w:val="00780194"/>
    <w:rsid w:val="0078028E"/>
    <w:rsid w:val="00780347"/>
    <w:rsid w:val="00780580"/>
    <w:rsid w:val="0078070C"/>
    <w:rsid w:val="0078070F"/>
    <w:rsid w:val="00780714"/>
    <w:rsid w:val="0078073A"/>
    <w:rsid w:val="007807AD"/>
    <w:rsid w:val="0078083D"/>
    <w:rsid w:val="00780904"/>
    <w:rsid w:val="00780B90"/>
    <w:rsid w:val="007810D7"/>
    <w:rsid w:val="0078119A"/>
    <w:rsid w:val="007813C6"/>
    <w:rsid w:val="00781756"/>
    <w:rsid w:val="007818EC"/>
    <w:rsid w:val="00781931"/>
    <w:rsid w:val="00781A3C"/>
    <w:rsid w:val="00781A74"/>
    <w:rsid w:val="00781ABD"/>
    <w:rsid w:val="00781E4B"/>
    <w:rsid w:val="00781F80"/>
    <w:rsid w:val="00782006"/>
    <w:rsid w:val="00782079"/>
    <w:rsid w:val="007820B4"/>
    <w:rsid w:val="00782498"/>
    <w:rsid w:val="007825D5"/>
    <w:rsid w:val="007827E4"/>
    <w:rsid w:val="00782821"/>
    <w:rsid w:val="00782A98"/>
    <w:rsid w:val="00782AD9"/>
    <w:rsid w:val="00782D3E"/>
    <w:rsid w:val="00782D88"/>
    <w:rsid w:val="00782D9D"/>
    <w:rsid w:val="00782EEB"/>
    <w:rsid w:val="00782F07"/>
    <w:rsid w:val="00782F23"/>
    <w:rsid w:val="00783095"/>
    <w:rsid w:val="0078314E"/>
    <w:rsid w:val="007831F6"/>
    <w:rsid w:val="0078334E"/>
    <w:rsid w:val="007833F8"/>
    <w:rsid w:val="007835C6"/>
    <w:rsid w:val="00783677"/>
    <w:rsid w:val="007836F5"/>
    <w:rsid w:val="00783A7C"/>
    <w:rsid w:val="00783B07"/>
    <w:rsid w:val="00783C88"/>
    <w:rsid w:val="00783CA8"/>
    <w:rsid w:val="00783D2A"/>
    <w:rsid w:val="00783D4D"/>
    <w:rsid w:val="00783D8A"/>
    <w:rsid w:val="00783E64"/>
    <w:rsid w:val="00783F70"/>
    <w:rsid w:val="00783FC1"/>
    <w:rsid w:val="00784050"/>
    <w:rsid w:val="007841A0"/>
    <w:rsid w:val="007843A4"/>
    <w:rsid w:val="00784416"/>
    <w:rsid w:val="007844A9"/>
    <w:rsid w:val="00784596"/>
    <w:rsid w:val="0078463E"/>
    <w:rsid w:val="00784675"/>
    <w:rsid w:val="007847B9"/>
    <w:rsid w:val="00784848"/>
    <w:rsid w:val="007848AB"/>
    <w:rsid w:val="00784BA6"/>
    <w:rsid w:val="00784BF8"/>
    <w:rsid w:val="00784C6F"/>
    <w:rsid w:val="00784D16"/>
    <w:rsid w:val="00784DF2"/>
    <w:rsid w:val="00785047"/>
    <w:rsid w:val="007854C0"/>
    <w:rsid w:val="007854DE"/>
    <w:rsid w:val="00785505"/>
    <w:rsid w:val="0078561A"/>
    <w:rsid w:val="007856BA"/>
    <w:rsid w:val="007858CF"/>
    <w:rsid w:val="00785973"/>
    <w:rsid w:val="00785A70"/>
    <w:rsid w:val="00785B76"/>
    <w:rsid w:val="00785DE6"/>
    <w:rsid w:val="00785FDA"/>
    <w:rsid w:val="00786021"/>
    <w:rsid w:val="00786044"/>
    <w:rsid w:val="00786097"/>
    <w:rsid w:val="007860FA"/>
    <w:rsid w:val="00786228"/>
    <w:rsid w:val="0078658A"/>
    <w:rsid w:val="00786599"/>
    <w:rsid w:val="007865AD"/>
    <w:rsid w:val="00786622"/>
    <w:rsid w:val="007866E4"/>
    <w:rsid w:val="00786793"/>
    <w:rsid w:val="0078699A"/>
    <w:rsid w:val="00786A9E"/>
    <w:rsid w:val="00786B2A"/>
    <w:rsid w:val="00786B85"/>
    <w:rsid w:val="00786CDA"/>
    <w:rsid w:val="00786DC1"/>
    <w:rsid w:val="00786F6A"/>
    <w:rsid w:val="0078705A"/>
    <w:rsid w:val="0078706C"/>
    <w:rsid w:val="00787085"/>
    <w:rsid w:val="00787096"/>
    <w:rsid w:val="00787166"/>
    <w:rsid w:val="0078725E"/>
    <w:rsid w:val="00787278"/>
    <w:rsid w:val="00787308"/>
    <w:rsid w:val="00787463"/>
    <w:rsid w:val="007878B2"/>
    <w:rsid w:val="007878E3"/>
    <w:rsid w:val="00787B00"/>
    <w:rsid w:val="00787C02"/>
    <w:rsid w:val="00787C47"/>
    <w:rsid w:val="00787D7B"/>
    <w:rsid w:val="00787E48"/>
    <w:rsid w:val="00787E7E"/>
    <w:rsid w:val="00787E92"/>
    <w:rsid w:val="00787FCC"/>
    <w:rsid w:val="007900E9"/>
    <w:rsid w:val="00790102"/>
    <w:rsid w:val="007901F2"/>
    <w:rsid w:val="00790344"/>
    <w:rsid w:val="007903E1"/>
    <w:rsid w:val="007904D9"/>
    <w:rsid w:val="007905ED"/>
    <w:rsid w:val="007906E2"/>
    <w:rsid w:val="00790979"/>
    <w:rsid w:val="00790988"/>
    <w:rsid w:val="00790C0B"/>
    <w:rsid w:val="00790FCE"/>
    <w:rsid w:val="007910F4"/>
    <w:rsid w:val="0079144A"/>
    <w:rsid w:val="007916A8"/>
    <w:rsid w:val="00791BBD"/>
    <w:rsid w:val="00791CE3"/>
    <w:rsid w:val="00791DD3"/>
    <w:rsid w:val="00791F0C"/>
    <w:rsid w:val="0079201E"/>
    <w:rsid w:val="0079250F"/>
    <w:rsid w:val="007925B5"/>
    <w:rsid w:val="00792864"/>
    <w:rsid w:val="007928C7"/>
    <w:rsid w:val="0079297C"/>
    <w:rsid w:val="00792A56"/>
    <w:rsid w:val="00792A73"/>
    <w:rsid w:val="00792E12"/>
    <w:rsid w:val="00792E9A"/>
    <w:rsid w:val="00792FAE"/>
    <w:rsid w:val="00793026"/>
    <w:rsid w:val="007930A9"/>
    <w:rsid w:val="00793143"/>
    <w:rsid w:val="007931D5"/>
    <w:rsid w:val="00793560"/>
    <w:rsid w:val="00793645"/>
    <w:rsid w:val="007936E4"/>
    <w:rsid w:val="0079386D"/>
    <w:rsid w:val="007938EA"/>
    <w:rsid w:val="00793926"/>
    <w:rsid w:val="00793986"/>
    <w:rsid w:val="00793B32"/>
    <w:rsid w:val="00793CF1"/>
    <w:rsid w:val="00793DE8"/>
    <w:rsid w:val="00793E03"/>
    <w:rsid w:val="00793FCA"/>
    <w:rsid w:val="00793FF0"/>
    <w:rsid w:val="00794051"/>
    <w:rsid w:val="00794284"/>
    <w:rsid w:val="00794733"/>
    <w:rsid w:val="00794744"/>
    <w:rsid w:val="007947A1"/>
    <w:rsid w:val="00794860"/>
    <w:rsid w:val="0079486F"/>
    <w:rsid w:val="007948B5"/>
    <w:rsid w:val="0079493F"/>
    <w:rsid w:val="007949EC"/>
    <w:rsid w:val="00794AC1"/>
    <w:rsid w:val="00794CC1"/>
    <w:rsid w:val="00794CF0"/>
    <w:rsid w:val="00794DA5"/>
    <w:rsid w:val="00795150"/>
    <w:rsid w:val="0079517B"/>
    <w:rsid w:val="007952B7"/>
    <w:rsid w:val="007952F8"/>
    <w:rsid w:val="007955DF"/>
    <w:rsid w:val="007956A4"/>
    <w:rsid w:val="00795801"/>
    <w:rsid w:val="00795879"/>
    <w:rsid w:val="0079593A"/>
    <w:rsid w:val="00795B24"/>
    <w:rsid w:val="00795C10"/>
    <w:rsid w:val="00795D5B"/>
    <w:rsid w:val="00795DD1"/>
    <w:rsid w:val="00795ECA"/>
    <w:rsid w:val="00795F7D"/>
    <w:rsid w:val="00795F90"/>
    <w:rsid w:val="00795FC6"/>
    <w:rsid w:val="00796018"/>
    <w:rsid w:val="0079601C"/>
    <w:rsid w:val="0079602C"/>
    <w:rsid w:val="00796209"/>
    <w:rsid w:val="0079621B"/>
    <w:rsid w:val="00796304"/>
    <w:rsid w:val="00796393"/>
    <w:rsid w:val="00796576"/>
    <w:rsid w:val="0079668C"/>
    <w:rsid w:val="007967A6"/>
    <w:rsid w:val="00796936"/>
    <w:rsid w:val="00796A00"/>
    <w:rsid w:val="00796AEC"/>
    <w:rsid w:val="00796D22"/>
    <w:rsid w:val="00796D98"/>
    <w:rsid w:val="00796E92"/>
    <w:rsid w:val="00797327"/>
    <w:rsid w:val="0079739E"/>
    <w:rsid w:val="00797569"/>
    <w:rsid w:val="00797689"/>
    <w:rsid w:val="0079774D"/>
    <w:rsid w:val="007A0032"/>
    <w:rsid w:val="007A0060"/>
    <w:rsid w:val="007A00CB"/>
    <w:rsid w:val="007A00D7"/>
    <w:rsid w:val="007A011D"/>
    <w:rsid w:val="007A028A"/>
    <w:rsid w:val="007A02FB"/>
    <w:rsid w:val="007A0593"/>
    <w:rsid w:val="007A05E9"/>
    <w:rsid w:val="007A07AF"/>
    <w:rsid w:val="007A0818"/>
    <w:rsid w:val="007A0BFC"/>
    <w:rsid w:val="007A0BFE"/>
    <w:rsid w:val="007A0DB4"/>
    <w:rsid w:val="007A0E74"/>
    <w:rsid w:val="007A0EEF"/>
    <w:rsid w:val="007A0F89"/>
    <w:rsid w:val="007A10CE"/>
    <w:rsid w:val="007A12AE"/>
    <w:rsid w:val="007A160F"/>
    <w:rsid w:val="007A1926"/>
    <w:rsid w:val="007A199B"/>
    <w:rsid w:val="007A19D7"/>
    <w:rsid w:val="007A1B48"/>
    <w:rsid w:val="007A1C4F"/>
    <w:rsid w:val="007A1C66"/>
    <w:rsid w:val="007A1C83"/>
    <w:rsid w:val="007A1CC6"/>
    <w:rsid w:val="007A1EFC"/>
    <w:rsid w:val="007A1FBE"/>
    <w:rsid w:val="007A20C0"/>
    <w:rsid w:val="007A2139"/>
    <w:rsid w:val="007A21E5"/>
    <w:rsid w:val="007A22E1"/>
    <w:rsid w:val="007A2357"/>
    <w:rsid w:val="007A25CA"/>
    <w:rsid w:val="007A27B6"/>
    <w:rsid w:val="007A27E6"/>
    <w:rsid w:val="007A2B57"/>
    <w:rsid w:val="007A2B8E"/>
    <w:rsid w:val="007A2CFC"/>
    <w:rsid w:val="007A2D94"/>
    <w:rsid w:val="007A313E"/>
    <w:rsid w:val="007A31D1"/>
    <w:rsid w:val="007A320E"/>
    <w:rsid w:val="007A32A6"/>
    <w:rsid w:val="007A348C"/>
    <w:rsid w:val="007A3A12"/>
    <w:rsid w:val="007A3A51"/>
    <w:rsid w:val="007A3B73"/>
    <w:rsid w:val="007A3BBD"/>
    <w:rsid w:val="007A3D8F"/>
    <w:rsid w:val="007A3FFB"/>
    <w:rsid w:val="007A40E4"/>
    <w:rsid w:val="007A413A"/>
    <w:rsid w:val="007A4376"/>
    <w:rsid w:val="007A43CF"/>
    <w:rsid w:val="007A43EA"/>
    <w:rsid w:val="007A45C5"/>
    <w:rsid w:val="007A461B"/>
    <w:rsid w:val="007A475B"/>
    <w:rsid w:val="007A483B"/>
    <w:rsid w:val="007A4D04"/>
    <w:rsid w:val="007A4D5E"/>
    <w:rsid w:val="007A4EEA"/>
    <w:rsid w:val="007A5213"/>
    <w:rsid w:val="007A5385"/>
    <w:rsid w:val="007A54AB"/>
    <w:rsid w:val="007A55C2"/>
    <w:rsid w:val="007A5871"/>
    <w:rsid w:val="007A590C"/>
    <w:rsid w:val="007A59FF"/>
    <w:rsid w:val="007A5A1D"/>
    <w:rsid w:val="007A5CD3"/>
    <w:rsid w:val="007A5CF2"/>
    <w:rsid w:val="007A5E6A"/>
    <w:rsid w:val="007A5E9B"/>
    <w:rsid w:val="007A602B"/>
    <w:rsid w:val="007A604E"/>
    <w:rsid w:val="007A6318"/>
    <w:rsid w:val="007A635A"/>
    <w:rsid w:val="007A66FA"/>
    <w:rsid w:val="007A6799"/>
    <w:rsid w:val="007A69D2"/>
    <w:rsid w:val="007A6A56"/>
    <w:rsid w:val="007A6AAC"/>
    <w:rsid w:val="007A6CA2"/>
    <w:rsid w:val="007A6E53"/>
    <w:rsid w:val="007A6E61"/>
    <w:rsid w:val="007A6FC7"/>
    <w:rsid w:val="007A7085"/>
    <w:rsid w:val="007A7166"/>
    <w:rsid w:val="007A731A"/>
    <w:rsid w:val="007A75E1"/>
    <w:rsid w:val="007A7601"/>
    <w:rsid w:val="007A76A5"/>
    <w:rsid w:val="007A774C"/>
    <w:rsid w:val="007A7808"/>
    <w:rsid w:val="007A78BE"/>
    <w:rsid w:val="007A7A2C"/>
    <w:rsid w:val="007A7B00"/>
    <w:rsid w:val="007A7CBC"/>
    <w:rsid w:val="007A7D7D"/>
    <w:rsid w:val="007A7D7F"/>
    <w:rsid w:val="007A7DA0"/>
    <w:rsid w:val="007A7E08"/>
    <w:rsid w:val="007A7E42"/>
    <w:rsid w:val="007A7E46"/>
    <w:rsid w:val="007A7F0B"/>
    <w:rsid w:val="007A7F18"/>
    <w:rsid w:val="007A7F90"/>
    <w:rsid w:val="007B0051"/>
    <w:rsid w:val="007B0100"/>
    <w:rsid w:val="007B0386"/>
    <w:rsid w:val="007B05F7"/>
    <w:rsid w:val="007B06D5"/>
    <w:rsid w:val="007B0780"/>
    <w:rsid w:val="007B0F90"/>
    <w:rsid w:val="007B0FED"/>
    <w:rsid w:val="007B12D2"/>
    <w:rsid w:val="007B1403"/>
    <w:rsid w:val="007B146E"/>
    <w:rsid w:val="007B1549"/>
    <w:rsid w:val="007B15C8"/>
    <w:rsid w:val="007B16B8"/>
    <w:rsid w:val="007B1864"/>
    <w:rsid w:val="007B1943"/>
    <w:rsid w:val="007B1965"/>
    <w:rsid w:val="007B1A71"/>
    <w:rsid w:val="007B1A9B"/>
    <w:rsid w:val="007B1B3A"/>
    <w:rsid w:val="007B1CDB"/>
    <w:rsid w:val="007B1DBF"/>
    <w:rsid w:val="007B1DDA"/>
    <w:rsid w:val="007B2161"/>
    <w:rsid w:val="007B21C1"/>
    <w:rsid w:val="007B21D4"/>
    <w:rsid w:val="007B21E9"/>
    <w:rsid w:val="007B2492"/>
    <w:rsid w:val="007B2760"/>
    <w:rsid w:val="007B27DE"/>
    <w:rsid w:val="007B28CA"/>
    <w:rsid w:val="007B2921"/>
    <w:rsid w:val="007B29E3"/>
    <w:rsid w:val="007B2C30"/>
    <w:rsid w:val="007B2DAA"/>
    <w:rsid w:val="007B2E0F"/>
    <w:rsid w:val="007B2E33"/>
    <w:rsid w:val="007B2FD4"/>
    <w:rsid w:val="007B3215"/>
    <w:rsid w:val="007B321A"/>
    <w:rsid w:val="007B3278"/>
    <w:rsid w:val="007B335D"/>
    <w:rsid w:val="007B3417"/>
    <w:rsid w:val="007B342D"/>
    <w:rsid w:val="007B343E"/>
    <w:rsid w:val="007B34E5"/>
    <w:rsid w:val="007B35FD"/>
    <w:rsid w:val="007B3603"/>
    <w:rsid w:val="007B3666"/>
    <w:rsid w:val="007B3C9C"/>
    <w:rsid w:val="007B3D08"/>
    <w:rsid w:val="007B3DD7"/>
    <w:rsid w:val="007B3E80"/>
    <w:rsid w:val="007B402B"/>
    <w:rsid w:val="007B407B"/>
    <w:rsid w:val="007B4203"/>
    <w:rsid w:val="007B44E6"/>
    <w:rsid w:val="007B4555"/>
    <w:rsid w:val="007B4881"/>
    <w:rsid w:val="007B4933"/>
    <w:rsid w:val="007B4AA6"/>
    <w:rsid w:val="007B4B2D"/>
    <w:rsid w:val="007B4D63"/>
    <w:rsid w:val="007B4EDA"/>
    <w:rsid w:val="007B4F98"/>
    <w:rsid w:val="007B4FF3"/>
    <w:rsid w:val="007B50CD"/>
    <w:rsid w:val="007B51EE"/>
    <w:rsid w:val="007B5377"/>
    <w:rsid w:val="007B53CD"/>
    <w:rsid w:val="007B549E"/>
    <w:rsid w:val="007B577A"/>
    <w:rsid w:val="007B57D2"/>
    <w:rsid w:val="007B586C"/>
    <w:rsid w:val="007B591E"/>
    <w:rsid w:val="007B5DFF"/>
    <w:rsid w:val="007B5FB4"/>
    <w:rsid w:val="007B5FD7"/>
    <w:rsid w:val="007B61E1"/>
    <w:rsid w:val="007B6332"/>
    <w:rsid w:val="007B6435"/>
    <w:rsid w:val="007B650A"/>
    <w:rsid w:val="007B651F"/>
    <w:rsid w:val="007B6524"/>
    <w:rsid w:val="007B6749"/>
    <w:rsid w:val="007B6D1F"/>
    <w:rsid w:val="007B6D37"/>
    <w:rsid w:val="007B6DBD"/>
    <w:rsid w:val="007B6F1B"/>
    <w:rsid w:val="007B7308"/>
    <w:rsid w:val="007B74AC"/>
    <w:rsid w:val="007B758E"/>
    <w:rsid w:val="007B759D"/>
    <w:rsid w:val="007B7693"/>
    <w:rsid w:val="007B7708"/>
    <w:rsid w:val="007B7790"/>
    <w:rsid w:val="007B787E"/>
    <w:rsid w:val="007B788E"/>
    <w:rsid w:val="007B7950"/>
    <w:rsid w:val="007B79BD"/>
    <w:rsid w:val="007B79DE"/>
    <w:rsid w:val="007B7A19"/>
    <w:rsid w:val="007B7A5B"/>
    <w:rsid w:val="007B7A9C"/>
    <w:rsid w:val="007B7AA7"/>
    <w:rsid w:val="007B7EDB"/>
    <w:rsid w:val="007B7EEB"/>
    <w:rsid w:val="007B7F26"/>
    <w:rsid w:val="007B7F93"/>
    <w:rsid w:val="007B7FCE"/>
    <w:rsid w:val="007B7FDB"/>
    <w:rsid w:val="007B7FEE"/>
    <w:rsid w:val="007C0016"/>
    <w:rsid w:val="007C008D"/>
    <w:rsid w:val="007C00AB"/>
    <w:rsid w:val="007C01C7"/>
    <w:rsid w:val="007C03D0"/>
    <w:rsid w:val="007C04C0"/>
    <w:rsid w:val="007C05E2"/>
    <w:rsid w:val="007C06A3"/>
    <w:rsid w:val="007C09A5"/>
    <w:rsid w:val="007C10E5"/>
    <w:rsid w:val="007C1109"/>
    <w:rsid w:val="007C1273"/>
    <w:rsid w:val="007C13BC"/>
    <w:rsid w:val="007C13D6"/>
    <w:rsid w:val="007C1409"/>
    <w:rsid w:val="007C166B"/>
    <w:rsid w:val="007C17C9"/>
    <w:rsid w:val="007C1A52"/>
    <w:rsid w:val="007C1A5F"/>
    <w:rsid w:val="007C1ABF"/>
    <w:rsid w:val="007C1D79"/>
    <w:rsid w:val="007C1D95"/>
    <w:rsid w:val="007C1E98"/>
    <w:rsid w:val="007C1FA0"/>
    <w:rsid w:val="007C1FF1"/>
    <w:rsid w:val="007C2144"/>
    <w:rsid w:val="007C2226"/>
    <w:rsid w:val="007C2334"/>
    <w:rsid w:val="007C23D8"/>
    <w:rsid w:val="007C249B"/>
    <w:rsid w:val="007C26A2"/>
    <w:rsid w:val="007C2853"/>
    <w:rsid w:val="007C28A4"/>
    <w:rsid w:val="007C2A83"/>
    <w:rsid w:val="007C2BBD"/>
    <w:rsid w:val="007C2BE4"/>
    <w:rsid w:val="007C2CBB"/>
    <w:rsid w:val="007C2D37"/>
    <w:rsid w:val="007C2E0A"/>
    <w:rsid w:val="007C2F1D"/>
    <w:rsid w:val="007C2F72"/>
    <w:rsid w:val="007C3293"/>
    <w:rsid w:val="007C335C"/>
    <w:rsid w:val="007C3533"/>
    <w:rsid w:val="007C358B"/>
    <w:rsid w:val="007C35AA"/>
    <w:rsid w:val="007C36FD"/>
    <w:rsid w:val="007C3736"/>
    <w:rsid w:val="007C3846"/>
    <w:rsid w:val="007C38D7"/>
    <w:rsid w:val="007C3AA5"/>
    <w:rsid w:val="007C3B97"/>
    <w:rsid w:val="007C3C0F"/>
    <w:rsid w:val="007C3DCD"/>
    <w:rsid w:val="007C3E6F"/>
    <w:rsid w:val="007C3FF9"/>
    <w:rsid w:val="007C4084"/>
    <w:rsid w:val="007C415C"/>
    <w:rsid w:val="007C41CC"/>
    <w:rsid w:val="007C41F2"/>
    <w:rsid w:val="007C42F8"/>
    <w:rsid w:val="007C431E"/>
    <w:rsid w:val="007C44F0"/>
    <w:rsid w:val="007C45C4"/>
    <w:rsid w:val="007C472B"/>
    <w:rsid w:val="007C483E"/>
    <w:rsid w:val="007C4853"/>
    <w:rsid w:val="007C4945"/>
    <w:rsid w:val="007C49B6"/>
    <w:rsid w:val="007C4A94"/>
    <w:rsid w:val="007C4B15"/>
    <w:rsid w:val="007C4B28"/>
    <w:rsid w:val="007C4B3E"/>
    <w:rsid w:val="007C4FF7"/>
    <w:rsid w:val="007C50B0"/>
    <w:rsid w:val="007C50D3"/>
    <w:rsid w:val="007C5175"/>
    <w:rsid w:val="007C521E"/>
    <w:rsid w:val="007C52DD"/>
    <w:rsid w:val="007C530D"/>
    <w:rsid w:val="007C5449"/>
    <w:rsid w:val="007C5537"/>
    <w:rsid w:val="007C55BF"/>
    <w:rsid w:val="007C563F"/>
    <w:rsid w:val="007C575F"/>
    <w:rsid w:val="007C5B04"/>
    <w:rsid w:val="007C5D15"/>
    <w:rsid w:val="007C6086"/>
    <w:rsid w:val="007C61CC"/>
    <w:rsid w:val="007C6213"/>
    <w:rsid w:val="007C6261"/>
    <w:rsid w:val="007C63C1"/>
    <w:rsid w:val="007C6441"/>
    <w:rsid w:val="007C64A9"/>
    <w:rsid w:val="007C65F7"/>
    <w:rsid w:val="007C668D"/>
    <w:rsid w:val="007C6832"/>
    <w:rsid w:val="007C687D"/>
    <w:rsid w:val="007C6993"/>
    <w:rsid w:val="007C6CAD"/>
    <w:rsid w:val="007C6DA2"/>
    <w:rsid w:val="007C6E06"/>
    <w:rsid w:val="007C6FBC"/>
    <w:rsid w:val="007C729E"/>
    <w:rsid w:val="007C7468"/>
    <w:rsid w:val="007C7556"/>
    <w:rsid w:val="007C758C"/>
    <w:rsid w:val="007C7755"/>
    <w:rsid w:val="007C77EC"/>
    <w:rsid w:val="007C7C11"/>
    <w:rsid w:val="007C7CDD"/>
    <w:rsid w:val="007C7D6D"/>
    <w:rsid w:val="007C7E34"/>
    <w:rsid w:val="007D00FF"/>
    <w:rsid w:val="007D0241"/>
    <w:rsid w:val="007D02D0"/>
    <w:rsid w:val="007D0518"/>
    <w:rsid w:val="007D0629"/>
    <w:rsid w:val="007D064F"/>
    <w:rsid w:val="007D0705"/>
    <w:rsid w:val="007D0737"/>
    <w:rsid w:val="007D0757"/>
    <w:rsid w:val="007D098A"/>
    <w:rsid w:val="007D0B66"/>
    <w:rsid w:val="007D0CD7"/>
    <w:rsid w:val="007D0D56"/>
    <w:rsid w:val="007D0E1F"/>
    <w:rsid w:val="007D0EEF"/>
    <w:rsid w:val="007D0EFC"/>
    <w:rsid w:val="007D0F7B"/>
    <w:rsid w:val="007D119D"/>
    <w:rsid w:val="007D11BC"/>
    <w:rsid w:val="007D13FB"/>
    <w:rsid w:val="007D1452"/>
    <w:rsid w:val="007D1493"/>
    <w:rsid w:val="007D14E9"/>
    <w:rsid w:val="007D14FE"/>
    <w:rsid w:val="007D1519"/>
    <w:rsid w:val="007D1714"/>
    <w:rsid w:val="007D18C2"/>
    <w:rsid w:val="007D190B"/>
    <w:rsid w:val="007D19A0"/>
    <w:rsid w:val="007D1A02"/>
    <w:rsid w:val="007D1A51"/>
    <w:rsid w:val="007D1B46"/>
    <w:rsid w:val="007D1D94"/>
    <w:rsid w:val="007D1E10"/>
    <w:rsid w:val="007D1EB8"/>
    <w:rsid w:val="007D1FF8"/>
    <w:rsid w:val="007D20C1"/>
    <w:rsid w:val="007D2347"/>
    <w:rsid w:val="007D2411"/>
    <w:rsid w:val="007D24A2"/>
    <w:rsid w:val="007D26EB"/>
    <w:rsid w:val="007D2702"/>
    <w:rsid w:val="007D299F"/>
    <w:rsid w:val="007D29D8"/>
    <w:rsid w:val="007D2A37"/>
    <w:rsid w:val="007D2CC9"/>
    <w:rsid w:val="007D2EB7"/>
    <w:rsid w:val="007D2FF1"/>
    <w:rsid w:val="007D301F"/>
    <w:rsid w:val="007D3037"/>
    <w:rsid w:val="007D3133"/>
    <w:rsid w:val="007D31AA"/>
    <w:rsid w:val="007D3305"/>
    <w:rsid w:val="007D33D2"/>
    <w:rsid w:val="007D34EE"/>
    <w:rsid w:val="007D35DD"/>
    <w:rsid w:val="007D37E8"/>
    <w:rsid w:val="007D3A2B"/>
    <w:rsid w:val="007D3CFD"/>
    <w:rsid w:val="007D3E5F"/>
    <w:rsid w:val="007D3F97"/>
    <w:rsid w:val="007D4298"/>
    <w:rsid w:val="007D4365"/>
    <w:rsid w:val="007D447A"/>
    <w:rsid w:val="007D4774"/>
    <w:rsid w:val="007D480B"/>
    <w:rsid w:val="007D49A5"/>
    <w:rsid w:val="007D4B7B"/>
    <w:rsid w:val="007D4B8D"/>
    <w:rsid w:val="007D4BD3"/>
    <w:rsid w:val="007D4E02"/>
    <w:rsid w:val="007D4ED9"/>
    <w:rsid w:val="007D5291"/>
    <w:rsid w:val="007D541C"/>
    <w:rsid w:val="007D5443"/>
    <w:rsid w:val="007D55BB"/>
    <w:rsid w:val="007D55E3"/>
    <w:rsid w:val="007D5609"/>
    <w:rsid w:val="007D59EC"/>
    <w:rsid w:val="007D5B78"/>
    <w:rsid w:val="007D5BDD"/>
    <w:rsid w:val="007D5CE4"/>
    <w:rsid w:val="007D5DCD"/>
    <w:rsid w:val="007D5EF5"/>
    <w:rsid w:val="007D654F"/>
    <w:rsid w:val="007D6568"/>
    <w:rsid w:val="007D68E7"/>
    <w:rsid w:val="007D6C47"/>
    <w:rsid w:val="007D6CAD"/>
    <w:rsid w:val="007D6D66"/>
    <w:rsid w:val="007D6E43"/>
    <w:rsid w:val="007D71A4"/>
    <w:rsid w:val="007D7294"/>
    <w:rsid w:val="007D7797"/>
    <w:rsid w:val="007D7876"/>
    <w:rsid w:val="007D7921"/>
    <w:rsid w:val="007D79A5"/>
    <w:rsid w:val="007D7A93"/>
    <w:rsid w:val="007D7B3A"/>
    <w:rsid w:val="007D7C19"/>
    <w:rsid w:val="007D7EA4"/>
    <w:rsid w:val="007E0021"/>
    <w:rsid w:val="007E00AB"/>
    <w:rsid w:val="007E029F"/>
    <w:rsid w:val="007E02A8"/>
    <w:rsid w:val="007E03C5"/>
    <w:rsid w:val="007E03ED"/>
    <w:rsid w:val="007E0446"/>
    <w:rsid w:val="007E04D1"/>
    <w:rsid w:val="007E057C"/>
    <w:rsid w:val="007E05B5"/>
    <w:rsid w:val="007E05D1"/>
    <w:rsid w:val="007E0685"/>
    <w:rsid w:val="007E07DE"/>
    <w:rsid w:val="007E0AAB"/>
    <w:rsid w:val="007E0BC7"/>
    <w:rsid w:val="007E0C20"/>
    <w:rsid w:val="007E0C89"/>
    <w:rsid w:val="007E0F23"/>
    <w:rsid w:val="007E0F66"/>
    <w:rsid w:val="007E112F"/>
    <w:rsid w:val="007E1305"/>
    <w:rsid w:val="007E1530"/>
    <w:rsid w:val="007E160B"/>
    <w:rsid w:val="007E16A8"/>
    <w:rsid w:val="007E16E5"/>
    <w:rsid w:val="007E1737"/>
    <w:rsid w:val="007E173D"/>
    <w:rsid w:val="007E17E0"/>
    <w:rsid w:val="007E1898"/>
    <w:rsid w:val="007E18D3"/>
    <w:rsid w:val="007E1A96"/>
    <w:rsid w:val="007E1B77"/>
    <w:rsid w:val="007E1DD7"/>
    <w:rsid w:val="007E1DEA"/>
    <w:rsid w:val="007E1F3F"/>
    <w:rsid w:val="007E1FC0"/>
    <w:rsid w:val="007E2173"/>
    <w:rsid w:val="007E2199"/>
    <w:rsid w:val="007E245D"/>
    <w:rsid w:val="007E245F"/>
    <w:rsid w:val="007E277B"/>
    <w:rsid w:val="007E281F"/>
    <w:rsid w:val="007E2883"/>
    <w:rsid w:val="007E2950"/>
    <w:rsid w:val="007E2AEC"/>
    <w:rsid w:val="007E2C33"/>
    <w:rsid w:val="007E2E2F"/>
    <w:rsid w:val="007E2EB2"/>
    <w:rsid w:val="007E30F8"/>
    <w:rsid w:val="007E3141"/>
    <w:rsid w:val="007E3161"/>
    <w:rsid w:val="007E3196"/>
    <w:rsid w:val="007E31F1"/>
    <w:rsid w:val="007E32C2"/>
    <w:rsid w:val="007E33BF"/>
    <w:rsid w:val="007E35F7"/>
    <w:rsid w:val="007E3746"/>
    <w:rsid w:val="007E378A"/>
    <w:rsid w:val="007E3959"/>
    <w:rsid w:val="007E3D09"/>
    <w:rsid w:val="007E3F83"/>
    <w:rsid w:val="007E410F"/>
    <w:rsid w:val="007E4195"/>
    <w:rsid w:val="007E4213"/>
    <w:rsid w:val="007E4216"/>
    <w:rsid w:val="007E4246"/>
    <w:rsid w:val="007E443F"/>
    <w:rsid w:val="007E447C"/>
    <w:rsid w:val="007E45F3"/>
    <w:rsid w:val="007E460D"/>
    <w:rsid w:val="007E4888"/>
    <w:rsid w:val="007E493D"/>
    <w:rsid w:val="007E4B4B"/>
    <w:rsid w:val="007E4CB9"/>
    <w:rsid w:val="007E4D41"/>
    <w:rsid w:val="007E4D6E"/>
    <w:rsid w:val="007E4E13"/>
    <w:rsid w:val="007E4F50"/>
    <w:rsid w:val="007E50F5"/>
    <w:rsid w:val="007E50F6"/>
    <w:rsid w:val="007E5364"/>
    <w:rsid w:val="007E53DB"/>
    <w:rsid w:val="007E541D"/>
    <w:rsid w:val="007E54E7"/>
    <w:rsid w:val="007E56F0"/>
    <w:rsid w:val="007E573A"/>
    <w:rsid w:val="007E5757"/>
    <w:rsid w:val="007E57F3"/>
    <w:rsid w:val="007E5A35"/>
    <w:rsid w:val="007E5A86"/>
    <w:rsid w:val="007E5B2A"/>
    <w:rsid w:val="007E5F89"/>
    <w:rsid w:val="007E5F90"/>
    <w:rsid w:val="007E5FA6"/>
    <w:rsid w:val="007E5FDD"/>
    <w:rsid w:val="007E60BC"/>
    <w:rsid w:val="007E61F3"/>
    <w:rsid w:val="007E64B2"/>
    <w:rsid w:val="007E6528"/>
    <w:rsid w:val="007E683D"/>
    <w:rsid w:val="007E685A"/>
    <w:rsid w:val="007E68A2"/>
    <w:rsid w:val="007E6918"/>
    <w:rsid w:val="007E69A0"/>
    <w:rsid w:val="007E69C0"/>
    <w:rsid w:val="007E6A6C"/>
    <w:rsid w:val="007E6ABC"/>
    <w:rsid w:val="007E6C39"/>
    <w:rsid w:val="007E6CCA"/>
    <w:rsid w:val="007E6D3C"/>
    <w:rsid w:val="007E6E8C"/>
    <w:rsid w:val="007E6EC8"/>
    <w:rsid w:val="007E6ED4"/>
    <w:rsid w:val="007E6EF1"/>
    <w:rsid w:val="007E6F47"/>
    <w:rsid w:val="007E6F50"/>
    <w:rsid w:val="007E70B2"/>
    <w:rsid w:val="007E7365"/>
    <w:rsid w:val="007E73DA"/>
    <w:rsid w:val="007E751B"/>
    <w:rsid w:val="007E75DB"/>
    <w:rsid w:val="007E761A"/>
    <w:rsid w:val="007E7819"/>
    <w:rsid w:val="007E782B"/>
    <w:rsid w:val="007E7AB2"/>
    <w:rsid w:val="007E7ADF"/>
    <w:rsid w:val="007E7B22"/>
    <w:rsid w:val="007E7B48"/>
    <w:rsid w:val="007E7B54"/>
    <w:rsid w:val="007E7C94"/>
    <w:rsid w:val="007E7CAA"/>
    <w:rsid w:val="007E7CB0"/>
    <w:rsid w:val="007E7D27"/>
    <w:rsid w:val="007E7F91"/>
    <w:rsid w:val="007F005C"/>
    <w:rsid w:val="007F0189"/>
    <w:rsid w:val="007F01C0"/>
    <w:rsid w:val="007F01CA"/>
    <w:rsid w:val="007F021A"/>
    <w:rsid w:val="007F037A"/>
    <w:rsid w:val="007F0602"/>
    <w:rsid w:val="007F0633"/>
    <w:rsid w:val="007F0878"/>
    <w:rsid w:val="007F08EB"/>
    <w:rsid w:val="007F095B"/>
    <w:rsid w:val="007F0999"/>
    <w:rsid w:val="007F0D6A"/>
    <w:rsid w:val="007F0E85"/>
    <w:rsid w:val="007F0F88"/>
    <w:rsid w:val="007F11AC"/>
    <w:rsid w:val="007F1248"/>
    <w:rsid w:val="007F14B1"/>
    <w:rsid w:val="007F14C9"/>
    <w:rsid w:val="007F1907"/>
    <w:rsid w:val="007F1A28"/>
    <w:rsid w:val="007F1A60"/>
    <w:rsid w:val="007F1CE7"/>
    <w:rsid w:val="007F1F1B"/>
    <w:rsid w:val="007F22AE"/>
    <w:rsid w:val="007F230C"/>
    <w:rsid w:val="007F23FD"/>
    <w:rsid w:val="007F243F"/>
    <w:rsid w:val="007F2526"/>
    <w:rsid w:val="007F2547"/>
    <w:rsid w:val="007F254D"/>
    <w:rsid w:val="007F258A"/>
    <w:rsid w:val="007F2633"/>
    <w:rsid w:val="007F2650"/>
    <w:rsid w:val="007F2654"/>
    <w:rsid w:val="007F2672"/>
    <w:rsid w:val="007F26CD"/>
    <w:rsid w:val="007F2843"/>
    <w:rsid w:val="007F2855"/>
    <w:rsid w:val="007F28B8"/>
    <w:rsid w:val="007F2922"/>
    <w:rsid w:val="007F29A2"/>
    <w:rsid w:val="007F29F0"/>
    <w:rsid w:val="007F2A0A"/>
    <w:rsid w:val="007F2A57"/>
    <w:rsid w:val="007F2B00"/>
    <w:rsid w:val="007F2BAF"/>
    <w:rsid w:val="007F2CBF"/>
    <w:rsid w:val="007F2CE3"/>
    <w:rsid w:val="007F2E26"/>
    <w:rsid w:val="007F2E71"/>
    <w:rsid w:val="007F2ECE"/>
    <w:rsid w:val="007F31DD"/>
    <w:rsid w:val="007F3492"/>
    <w:rsid w:val="007F3A02"/>
    <w:rsid w:val="007F3A5F"/>
    <w:rsid w:val="007F3AEF"/>
    <w:rsid w:val="007F3B06"/>
    <w:rsid w:val="007F3B32"/>
    <w:rsid w:val="007F3DF3"/>
    <w:rsid w:val="007F3FE0"/>
    <w:rsid w:val="007F430F"/>
    <w:rsid w:val="007F4365"/>
    <w:rsid w:val="007F448F"/>
    <w:rsid w:val="007F4516"/>
    <w:rsid w:val="007F457D"/>
    <w:rsid w:val="007F4669"/>
    <w:rsid w:val="007F46E4"/>
    <w:rsid w:val="007F4839"/>
    <w:rsid w:val="007F4877"/>
    <w:rsid w:val="007F48C3"/>
    <w:rsid w:val="007F4917"/>
    <w:rsid w:val="007F4AEE"/>
    <w:rsid w:val="007F4B24"/>
    <w:rsid w:val="007F4CEA"/>
    <w:rsid w:val="007F4D13"/>
    <w:rsid w:val="007F4F4E"/>
    <w:rsid w:val="007F4F70"/>
    <w:rsid w:val="007F51D7"/>
    <w:rsid w:val="007F536B"/>
    <w:rsid w:val="007F53B4"/>
    <w:rsid w:val="007F53C9"/>
    <w:rsid w:val="007F5404"/>
    <w:rsid w:val="007F5432"/>
    <w:rsid w:val="007F54F8"/>
    <w:rsid w:val="007F566B"/>
    <w:rsid w:val="007F56BC"/>
    <w:rsid w:val="007F576B"/>
    <w:rsid w:val="007F5784"/>
    <w:rsid w:val="007F5797"/>
    <w:rsid w:val="007F590C"/>
    <w:rsid w:val="007F5950"/>
    <w:rsid w:val="007F5967"/>
    <w:rsid w:val="007F5A4A"/>
    <w:rsid w:val="007F5B22"/>
    <w:rsid w:val="007F6157"/>
    <w:rsid w:val="007F61F5"/>
    <w:rsid w:val="007F6273"/>
    <w:rsid w:val="007F6386"/>
    <w:rsid w:val="007F64AD"/>
    <w:rsid w:val="007F65BB"/>
    <w:rsid w:val="007F66E3"/>
    <w:rsid w:val="007F6704"/>
    <w:rsid w:val="007F6723"/>
    <w:rsid w:val="007F67CD"/>
    <w:rsid w:val="007F68DF"/>
    <w:rsid w:val="007F6BA8"/>
    <w:rsid w:val="007F6CE2"/>
    <w:rsid w:val="007F6D00"/>
    <w:rsid w:val="007F6E74"/>
    <w:rsid w:val="007F6F92"/>
    <w:rsid w:val="007F71A5"/>
    <w:rsid w:val="007F71C3"/>
    <w:rsid w:val="007F724C"/>
    <w:rsid w:val="007F73AB"/>
    <w:rsid w:val="007F7651"/>
    <w:rsid w:val="007F768E"/>
    <w:rsid w:val="007F76BD"/>
    <w:rsid w:val="007F777B"/>
    <w:rsid w:val="007F78B1"/>
    <w:rsid w:val="007F78D0"/>
    <w:rsid w:val="007F799B"/>
    <w:rsid w:val="007F7B32"/>
    <w:rsid w:val="007F7B44"/>
    <w:rsid w:val="007F7B69"/>
    <w:rsid w:val="007F7C82"/>
    <w:rsid w:val="007F7D12"/>
    <w:rsid w:val="007F7DB9"/>
    <w:rsid w:val="007F7F62"/>
    <w:rsid w:val="008000AB"/>
    <w:rsid w:val="008000D5"/>
    <w:rsid w:val="00800697"/>
    <w:rsid w:val="0080074F"/>
    <w:rsid w:val="00800764"/>
    <w:rsid w:val="00800792"/>
    <w:rsid w:val="00800896"/>
    <w:rsid w:val="008008C4"/>
    <w:rsid w:val="00800AE6"/>
    <w:rsid w:val="00800B53"/>
    <w:rsid w:val="00800B9F"/>
    <w:rsid w:val="00800BE5"/>
    <w:rsid w:val="008010B7"/>
    <w:rsid w:val="008011C8"/>
    <w:rsid w:val="0080178A"/>
    <w:rsid w:val="00801862"/>
    <w:rsid w:val="008018FD"/>
    <w:rsid w:val="00801B38"/>
    <w:rsid w:val="00801BA9"/>
    <w:rsid w:val="00801CE1"/>
    <w:rsid w:val="00801DFA"/>
    <w:rsid w:val="00801E43"/>
    <w:rsid w:val="00801F7C"/>
    <w:rsid w:val="00801F89"/>
    <w:rsid w:val="0080229E"/>
    <w:rsid w:val="008022F1"/>
    <w:rsid w:val="008023A1"/>
    <w:rsid w:val="008023CB"/>
    <w:rsid w:val="0080248C"/>
    <w:rsid w:val="008024AB"/>
    <w:rsid w:val="0080258B"/>
    <w:rsid w:val="0080275C"/>
    <w:rsid w:val="00802790"/>
    <w:rsid w:val="008028C0"/>
    <w:rsid w:val="008029D9"/>
    <w:rsid w:val="00802ABF"/>
    <w:rsid w:val="00802B0E"/>
    <w:rsid w:val="00802CA4"/>
    <w:rsid w:val="00802CD7"/>
    <w:rsid w:val="00802D45"/>
    <w:rsid w:val="00802DD7"/>
    <w:rsid w:val="00802EB0"/>
    <w:rsid w:val="00802F0D"/>
    <w:rsid w:val="0080300D"/>
    <w:rsid w:val="0080329A"/>
    <w:rsid w:val="0080343E"/>
    <w:rsid w:val="0080361B"/>
    <w:rsid w:val="008036E5"/>
    <w:rsid w:val="008037FE"/>
    <w:rsid w:val="008038B4"/>
    <w:rsid w:val="008038E0"/>
    <w:rsid w:val="00803941"/>
    <w:rsid w:val="00803978"/>
    <w:rsid w:val="00803A8A"/>
    <w:rsid w:val="00803D33"/>
    <w:rsid w:val="00803D41"/>
    <w:rsid w:val="00803E1B"/>
    <w:rsid w:val="00803E69"/>
    <w:rsid w:val="00804190"/>
    <w:rsid w:val="008041A7"/>
    <w:rsid w:val="008041EB"/>
    <w:rsid w:val="00804244"/>
    <w:rsid w:val="00804367"/>
    <w:rsid w:val="0080443E"/>
    <w:rsid w:val="0080465F"/>
    <w:rsid w:val="00804822"/>
    <w:rsid w:val="00804C0C"/>
    <w:rsid w:val="00804E38"/>
    <w:rsid w:val="00804E51"/>
    <w:rsid w:val="00804E9D"/>
    <w:rsid w:val="00804FB3"/>
    <w:rsid w:val="0080505D"/>
    <w:rsid w:val="00805070"/>
    <w:rsid w:val="00805175"/>
    <w:rsid w:val="00805302"/>
    <w:rsid w:val="0080564D"/>
    <w:rsid w:val="0080569E"/>
    <w:rsid w:val="008056E0"/>
    <w:rsid w:val="00805828"/>
    <w:rsid w:val="008058AC"/>
    <w:rsid w:val="008059E3"/>
    <w:rsid w:val="00805B1F"/>
    <w:rsid w:val="00805BBD"/>
    <w:rsid w:val="00805C0D"/>
    <w:rsid w:val="00805C8A"/>
    <w:rsid w:val="00805E14"/>
    <w:rsid w:val="00805F66"/>
    <w:rsid w:val="00806105"/>
    <w:rsid w:val="00806129"/>
    <w:rsid w:val="008061EC"/>
    <w:rsid w:val="00806238"/>
    <w:rsid w:val="0080652D"/>
    <w:rsid w:val="008065FF"/>
    <w:rsid w:val="0080675E"/>
    <w:rsid w:val="008067C5"/>
    <w:rsid w:val="0080685E"/>
    <w:rsid w:val="008069DB"/>
    <w:rsid w:val="00806B75"/>
    <w:rsid w:val="00806D88"/>
    <w:rsid w:val="00806E14"/>
    <w:rsid w:val="00807192"/>
    <w:rsid w:val="008071E9"/>
    <w:rsid w:val="008072E2"/>
    <w:rsid w:val="008073B7"/>
    <w:rsid w:val="008074A2"/>
    <w:rsid w:val="008074E4"/>
    <w:rsid w:val="008074FE"/>
    <w:rsid w:val="008075EE"/>
    <w:rsid w:val="0080777B"/>
    <w:rsid w:val="00807B28"/>
    <w:rsid w:val="00807B39"/>
    <w:rsid w:val="00807BAB"/>
    <w:rsid w:val="00807D38"/>
    <w:rsid w:val="00807D87"/>
    <w:rsid w:val="00807DC7"/>
    <w:rsid w:val="00807FE8"/>
    <w:rsid w:val="00810014"/>
    <w:rsid w:val="0081012C"/>
    <w:rsid w:val="008102D8"/>
    <w:rsid w:val="00810309"/>
    <w:rsid w:val="008103D2"/>
    <w:rsid w:val="0081049D"/>
    <w:rsid w:val="0081066B"/>
    <w:rsid w:val="008106DC"/>
    <w:rsid w:val="008107C9"/>
    <w:rsid w:val="0081086A"/>
    <w:rsid w:val="00810878"/>
    <w:rsid w:val="008108E6"/>
    <w:rsid w:val="008109A9"/>
    <w:rsid w:val="00810A51"/>
    <w:rsid w:val="00810A6E"/>
    <w:rsid w:val="00810B68"/>
    <w:rsid w:val="00810B97"/>
    <w:rsid w:val="00810E49"/>
    <w:rsid w:val="00810E6E"/>
    <w:rsid w:val="0081105E"/>
    <w:rsid w:val="008111D8"/>
    <w:rsid w:val="0081141F"/>
    <w:rsid w:val="00811456"/>
    <w:rsid w:val="0081149B"/>
    <w:rsid w:val="008114F1"/>
    <w:rsid w:val="0081157A"/>
    <w:rsid w:val="00811886"/>
    <w:rsid w:val="008118A9"/>
    <w:rsid w:val="008118C4"/>
    <w:rsid w:val="008118EA"/>
    <w:rsid w:val="0081194D"/>
    <w:rsid w:val="008119AF"/>
    <w:rsid w:val="00811B17"/>
    <w:rsid w:val="00811C87"/>
    <w:rsid w:val="00811C96"/>
    <w:rsid w:val="00811E19"/>
    <w:rsid w:val="00811E6B"/>
    <w:rsid w:val="00811F73"/>
    <w:rsid w:val="008122BE"/>
    <w:rsid w:val="008123B4"/>
    <w:rsid w:val="008123E4"/>
    <w:rsid w:val="00812492"/>
    <w:rsid w:val="00812506"/>
    <w:rsid w:val="00812756"/>
    <w:rsid w:val="0081285E"/>
    <w:rsid w:val="00812AEA"/>
    <w:rsid w:val="00812C44"/>
    <w:rsid w:val="00812D65"/>
    <w:rsid w:val="00812E0E"/>
    <w:rsid w:val="00812E1A"/>
    <w:rsid w:val="00812F50"/>
    <w:rsid w:val="00813238"/>
    <w:rsid w:val="00813241"/>
    <w:rsid w:val="008133D9"/>
    <w:rsid w:val="00813514"/>
    <w:rsid w:val="00813523"/>
    <w:rsid w:val="00813638"/>
    <w:rsid w:val="00813A09"/>
    <w:rsid w:val="00813A9E"/>
    <w:rsid w:val="00813BBE"/>
    <w:rsid w:val="00813DEA"/>
    <w:rsid w:val="00813F52"/>
    <w:rsid w:val="00814117"/>
    <w:rsid w:val="0081411E"/>
    <w:rsid w:val="00814359"/>
    <w:rsid w:val="008143AD"/>
    <w:rsid w:val="0081456F"/>
    <w:rsid w:val="008146BE"/>
    <w:rsid w:val="008147BC"/>
    <w:rsid w:val="008147CD"/>
    <w:rsid w:val="008147E9"/>
    <w:rsid w:val="0081485D"/>
    <w:rsid w:val="008148E0"/>
    <w:rsid w:val="0081495C"/>
    <w:rsid w:val="008149D7"/>
    <w:rsid w:val="00814AA2"/>
    <w:rsid w:val="00814ABC"/>
    <w:rsid w:val="00814B0F"/>
    <w:rsid w:val="00814BBA"/>
    <w:rsid w:val="00814C1B"/>
    <w:rsid w:val="00814E49"/>
    <w:rsid w:val="00814FA5"/>
    <w:rsid w:val="008151F9"/>
    <w:rsid w:val="00815547"/>
    <w:rsid w:val="00815583"/>
    <w:rsid w:val="0081583E"/>
    <w:rsid w:val="00815B3B"/>
    <w:rsid w:val="00815B92"/>
    <w:rsid w:val="00815C39"/>
    <w:rsid w:val="00815D7A"/>
    <w:rsid w:val="00815E2F"/>
    <w:rsid w:val="00815F38"/>
    <w:rsid w:val="0081601E"/>
    <w:rsid w:val="008160A7"/>
    <w:rsid w:val="008161BC"/>
    <w:rsid w:val="00816413"/>
    <w:rsid w:val="00816421"/>
    <w:rsid w:val="00816695"/>
    <w:rsid w:val="00816834"/>
    <w:rsid w:val="00816A1C"/>
    <w:rsid w:val="00816CC4"/>
    <w:rsid w:val="00816D6F"/>
    <w:rsid w:val="00816D9A"/>
    <w:rsid w:val="00816E8B"/>
    <w:rsid w:val="00816F6C"/>
    <w:rsid w:val="00816FD4"/>
    <w:rsid w:val="00816FDC"/>
    <w:rsid w:val="00817033"/>
    <w:rsid w:val="0081705B"/>
    <w:rsid w:val="00817237"/>
    <w:rsid w:val="00817361"/>
    <w:rsid w:val="00817384"/>
    <w:rsid w:val="0081738F"/>
    <w:rsid w:val="00817539"/>
    <w:rsid w:val="00817580"/>
    <w:rsid w:val="008177A8"/>
    <w:rsid w:val="008177C7"/>
    <w:rsid w:val="0081791A"/>
    <w:rsid w:val="00817BE6"/>
    <w:rsid w:val="00817C88"/>
    <w:rsid w:val="00817CB5"/>
    <w:rsid w:val="00817DB2"/>
    <w:rsid w:val="00817DBE"/>
    <w:rsid w:val="00817E04"/>
    <w:rsid w:val="00817E6C"/>
    <w:rsid w:val="00817F96"/>
    <w:rsid w:val="00820059"/>
    <w:rsid w:val="0082020E"/>
    <w:rsid w:val="00820218"/>
    <w:rsid w:val="0082022C"/>
    <w:rsid w:val="00820351"/>
    <w:rsid w:val="008206C4"/>
    <w:rsid w:val="008206E2"/>
    <w:rsid w:val="008207B6"/>
    <w:rsid w:val="008207F5"/>
    <w:rsid w:val="00820905"/>
    <w:rsid w:val="0082092E"/>
    <w:rsid w:val="00820945"/>
    <w:rsid w:val="00820A0C"/>
    <w:rsid w:val="00820A33"/>
    <w:rsid w:val="00820AF4"/>
    <w:rsid w:val="00820C2A"/>
    <w:rsid w:val="00820C9C"/>
    <w:rsid w:val="00820E8F"/>
    <w:rsid w:val="00820ED0"/>
    <w:rsid w:val="00820F3D"/>
    <w:rsid w:val="00821013"/>
    <w:rsid w:val="00821074"/>
    <w:rsid w:val="00821173"/>
    <w:rsid w:val="008211B5"/>
    <w:rsid w:val="008212AC"/>
    <w:rsid w:val="00821394"/>
    <w:rsid w:val="008213C4"/>
    <w:rsid w:val="008213FE"/>
    <w:rsid w:val="00821445"/>
    <w:rsid w:val="00821688"/>
    <w:rsid w:val="008216F6"/>
    <w:rsid w:val="00821704"/>
    <w:rsid w:val="008218AB"/>
    <w:rsid w:val="008218C8"/>
    <w:rsid w:val="008219A1"/>
    <w:rsid w:val="00821B0B"/>
    <w:rsid w:val="00821B65"/>
    <w:rsid w:val="00821C5C"/>
    <w:rsid w:val="00821EB8"/>
    <w:rsid w:val="00821F96"/>
    <w:rsid w:val="00821FEE"/>
    <w:rsid w:val="008221BA"/>
    <w:rsid w:val="008221FD"/>
    <w:rsid w:val="00822231"/>
    <w:rsid w:val="008223D6"/>
    <w:rsid w:val="0082244A"/>
    <w:rsid w:val="0082253E"/>
    <w:rsid w:val="008226AD"/>
    <w:rsid w:val="00822849"/>
    <w:rsid w:val="008229E6"/>
    <w:rsid w:val="00822A9E"/>
    <w:rsid w:val="00822AD5"/>
    <w:rsid w:val="00822AF9"/>
    <w:rsid w:val="00822C65"/>
    <w:rsid w:val="00822DD7"/>
    <w:rsid w:val="00823555"/>
    <w:rsid w:val="0082368D"/>
    <w:rsid w:val="0082369B"/>
    <w:rsid w:val="0082371D"/>
    <w:rsid w:val="00823765"/>
    <w:rsid w:val="008238A7"/>
    <w:rsid w:val="008239A5"/>
    <w:rsid w:val="00823B2B"/>
    <w:rsid w:val="00823C53"/>
    <w:rsid w:val="00823CA2"/>
    <w:rsid w:val="00823DFE"/>
    <w:rsid w:val="0082406A"/>
    <w:rsid w:val="00824164"/>
    <w:rsid w:val="0082417A"/>
    <w:rsid w:val="008243B9"/>
    <w:rsid w:val="00824663"/>
    <w:rsid w:val="00824944"/>
    <w:rsid w:val="00824CA3"/>
    <w:rsid w:val="00824F6D"/>
    <w:rsid w:val="00824FDE"/>
    <w:rsid w:val="00825239"/>
    <w:rsid w:val="00825374"/>
    <w:rsid w:val="00825381"/>
    <w:rsid w:val="008253FF"/>
    <w:rsid w:val="0082550A"/>
    <w:rsid w:val="0082569A"/>
    <w:rsid w:val="008256E0"/>
    <w:rsid w:val="00825765"/>
    <w:rsid w:val="00825820"/>
    <w:rsid w:val="008258FC"/>
    <w:rsid w:val="0082593C"/>
    <w:rsid w:val="00825AE7"/>
    <w:rsid w:val="00825D68"/>
    <w:rsid w:val="00825D77"/>
    <w:rsid w:val="00825E3C"/>
    <w:rsid w:val="00825E43"/>
    <w:rsid w:val="00825F3F"/>
    <w:rsid w:val="00825FD1"/>
    <w:rsid w:val="00825FEE"/>
    <w:rsid w:val="00826029"/>
    <w:rsid w:val="0082609A"/>
    <w:rsid w:val="008260C8"/>
    <w:rsid w:val="008264E4"/>
    <w:rsid w:val="0082666E"/>
    <w:rsid w:val="00826695"/>
    <w:rsid w:val="0082679A"/>
    <w:rsid w:val="008268A4"/>
    <w:rsid w:val="00826B25"/>
    <w:rsid w:val="00826C9F"/>
    <w:rsid w:val="00826CC4"/>
    <w:rsid w:val="00827026"/>
    <w:rsid w:val="008270C3"/>
    <w:rsid w:val="00827230"/>
    <w:rsid w:val="008272E1"/>
    <w:rsid w:val="008278E6"/>
    <w:rsid w:val="008279C4"/>
    <w:rsid w:val="00827B7B"/>
    <w:rsid w:val="00827C5E"/>
    <w:rsid w:val="00827C6B"/>
    <w:rsid w:val="0083023F"/>
    <w:rsid w:val="0083034F"/>
    <w:rsid w:val="00830518"/>
    <w:rsid w:val="008305EB"/>
    <w:rsid w:val="008306A0"/>
    <w:rsid w:val="008306EB"/>
    <w:rsid w:val="0083070B"/>
    <w:rsid w:val="00830806"/>
    <w:rsid w:val="00830891"/>
    <w:rsid w:val="008308DD"/>
    <w:rsid w:val="0083096A"/>
    <w:rsid w:val="00830BAE"/>
    <w:rsid w:val="00831049"/>
    <w:rsid w:val="008310D0"/>
    <w:rsid w:val="0083115A"/>
    <w:rsid w:val="0083128C"/>
    <w:rsid w:val="00831350"/>
    <w:rsid w:val="00831357"/>
    <w:rsid w:val="0083148C"/>
    <w:rsid w:val="0083152D"/>
    <w:rsid w:val="00831682"/>
    <w:rsid w:val="008316D9"/>
    <w:rsid w:val="00831A52"/>
    <w:rsid w:val="00831ABB"/>
    <w:rsid w:val="00831C39"/>
    <w:rsid w:val="00831F05"/>
    <w:rsid w:val="0083200C"/>
    <w:rsid w:val="0083202F"/>
    <w:rsid w:val="008321FE"/>
    <w:rsid w:val="0083230D"/>
    <w:rsid w:val="008324B4"/>
    <w:rsid w:val="008327F4"/>
    <w:rsid w:val="00832893"/>
    <w:rsid w:val="00832A41"/>
    <w:rsid w:val="00832A54"/>
    <w:rsid w:val="00832D26"/>
    <w:rsid w:val="00832ED7"/>
    <w:rsid w:val="00832F3A"/>
    <w:rsid w:val="008330DF"/>
    <w:rsid w:val="00833275"/>
    <w:rsid w:val="00833373"/>
    <w:rsid w:val="008335C9"/>
    <w:rsid w:val="008338B1"/>
    <w:rsid w:val="0083397D"/>
    <w:rsid w:val="00833E8B"/>
    <w:rsid w:val="00833F95"/>
    <w:rsid w:val="0083407B"/>
    <w:rsid w:val="008341CA"/>
    <w:rsid w:val="0083434B"/>
    <w:rsid w:val="008343D6"/>
    <w:rsid w:val="0083444F"/>
    <w:rsid w:val="008344E9"/>
    <w:rsid w:val="00834513"/>
    <w:rsid w:val="00834751"/>
    <w:rsid w:val="00834787"/>
    <w:rsid w:val="008348B3"/>
    <w:rsid w:val="008348C4"/>
    <w:rsid w:val="00834C04"/>
    <w:rsid w:val="00834C23"/>
    <w:rsid w:val="00834CB8"/>
    <w:rsid w:val="00835035"/>
    <w:rsid w:val="008350EE"/>
    <w:rsid w:val="00835234"/>
    <w:rsid w:val="00835278"/>
    <w:rsid w:val="0083531F"/>
    <w:rsid w:val="0083555B"/>
    <w:rsid w:val="0083560A"/>
    <w:rsid w:val="00835634"/>
    <w:rsid w:val="0083567B"/>
    <w:rsid w:val="0083586C"/>
    <w:rsid w:val="00835908"/>
    <w:rsid w:val="00835AA8"/>
    <w:rsid w:val="00835C4B"/>
    <w:rsid w:val="00835C75"/>
    <w:rsid w:val="00835D14"/>
    <w:rsid w:val="00835EBD"/>
    <w:rsid w:val="0083603C"/>
    <w:rsid w:val="0083610D"/>
    <w:rsid w:val="00836142"/>
    <w:rsid w:val="008361FD"/>
    <w:rsid w:val="00836297"/>
    <w:rsid w:val="00836381"/>
    <w:rsid w:val="008363B8"/>
    <w:rsid w:val="0083642D"/>
    <w:rsid w:val="008364E2"/>
    <w:rsid w:val="00836573"/>
    <w:rsid w:val="008365E5"/>
    <w:rsid w:val="0083664A"/>
    <w:rsid w:val="008366D9"/>
    <w:rsid w:val="00836974"/>
    <w:rsid w:val="00836A3B"/>
    <w:rsid w:val="00836ADE"/>
    <w:rsid w:val="00836B46"/>
    <w:rsid w:val="00836F8D"/>
    <w:rsid w:val="00837054"/>
    <w:rsid w:val="00837062"/>
    <w:rsid w:val="00837076"/>
    <w:rsid w:val="00837170"/>
    <w:rsid w:val="0083728B"/>
    <w:rsid w:val="008372AD"/>
    <w:rsid w:val="008375B2"/>
    <w:rsid w:val="0083764F"/>
    <w:rsid w:val="00837703"/>
    <w:rsid w:val="0083777F"/>
    <w:rsid w:val="00837A13"/>
    <w:rsid w:val="00837B95"/>
    <w:rsid w:val="00837BB7"/>
    <w:rsid w:val="00837D0A"/>
    <w:rsid w:val="00837E31"/>
    <w:rsid w:val="00837E87"/>
    <w:rsid w:val="00837EF6"/>
    <w:rsid w:val="0084007B"/>
    <w:rsid w:val="008400FC"/>
    <w:rsid w:val="00840150"/>
    <w:rsid w:val="008401B8"/>
    <w:rsid w:val="0084020D"/>
    <w:rsid w:val="00840226"/>
    <w:rsid w:val="00840272"/>
    <w:rsid w:val="00840332"/>
    <w:rsid w:val="008403CD"/>
    <w:rsid w:val="00840485"/>
    <w:rsid w:val="00840531"/>
    <w:rsid w:val="00840623"/>
    <w:rsid w:val="0084088C"/>
    <w:rsid w:val="00840DD4"/>
    <w:rsid w:val="00840DF5"/>
    <w:rsid w:val="00840EC9"/>
    <w:rsid w:val="00841010"/>
    <w:rsid w:val="008411DB"/>
    <w:rsid w:val="008412D5"/>
    <w:rsid w:val="008412E8"/>
    <w:rsid w:val="008415FD"/>
    <w:rsid w:val="00841805"/>
    <w:rsid w:val="008418D4"/>
    <w:rsid w:val="00841999"/>
    <w:rsid w:val="00841B7B"/>
    <w:rsid w:val="00841BF1"/>
    <w:rsid w:val="00841E32"/>
    <w:rsid w:val="00841EAC"/>
    <w:rsid w:val="00841F7F"/>
    <w:rsid w:val="00841FBE"/>
    <w:rsid w:val="0084211F"/>
    <w:rsid w:val="00842178"/>
    <w:rsid w:val="00842191"/>
    <w:rsid w:val="008421DD"/>
    <w:rsid w:val="00842232"/>
    <w:rsid w:val="00842399"/>
    <w:rsid w:val="0084247E"/>
    <w:rsid w:val="008424A1"/>
    <w:rsid w:val="008424AE"/>
    <w:rsid w:val="008425FD"/>
    <w:rsid w:val="0084265A"/>
    <w:rsid w:val="00842867"/>
    <w:rsid w:val="00842958"/>
    <w:rsid w:val="008429C6"/>
    <w:rsid w:val="008429CA"/>
    <w:rsid w:val="00842ABC"/>
    <w:rsid w:val="00842ADC"/>
    <w:rsid w:val="00842B7A"/>
    <w:rsid w:val="008430A2"/>
    <w:rsid w:val="008430DF"/>
    <w:rsid w:val="00843185"/>
    <w:rsid w:val="00843217"/>
    <w:rsid w:val="00843389"/>
    <w:rsid w:val="008433B7"/>
    <w:rsid w:val="00843520"/>
    <w:rsid w:val="00843966"/>
    <w:rsid w:val="00843A12"/>
    <w:rsid w:val="00843C9D"/>
    <w:rsid w:val="00843D90"/>
    <w:rsid w:val="00843F81"/>
    <w:rsid w:val="0084400E"/>
    <w:rsid w:val="00844146"/>
    <w:rsid w:val="008441FF"/>
    <w:rsid w:val="008443C0"/>
    <w:rsid w:val="00844442"/>
    <w:rsid w:val="008444A9"/>
    <w:rsid w:val="0084453F"/>
    <w:rsid w:val="0084455E"/>
    <w:rsid w:val="008445D6"/>
    <w:rsid w:val="00844824"/>
    <w:rsid w:val="0084498D"/>
    <w:rsid w:val="008449F1"/>
    <w:rsid w:val="00844AB5"/>
    <w:rsid w:val="00844AE6"/>
    <w:rsid w:val="00844CD8"/>
    <w:rsid w:val="00844EFD"/>
    <w:rsid w:val="00845147"/>
    <w:rsid w:val="0084516F"/>
    <w:rsid w:val="0084519B"/>
    <w:rsid w:val="0084525E"/>
    <w:rsid w:val="00845287"/>
    <w:rsid w:val="0084547A"/>
    <w:rsid w:val="008455B5"/>
    <w:rsid w:val="00845607"/>
    <w:rsid w:val="008457B7"/>
    <w:rsid w:val="008457BA"/>
    <w:rsid w:val="00845A47"/>
    <w:rsid w:val="00846117"/>
    <w:rsid w:val="00846154"/>
    <w:rsid w:val="00846203"/>
    <w:rsid w:val="00846335"/>
    <w:rsid w:val="008464C1"/>
    <w:rsid w:val="0084663E"/>
    <w:rsid w:val="0084667E"/>
    <w:rsid w:val="00846708"/>
    <w:rsid w:val="008469D3"/>
    <w:rsid w:val="00846A21"/>
    <w:rsid w:val="00846C13"/>
    <w:rsid w:val="00846D85"/>
    <w:rsid w:val="00846E8F"/>
    <w:rsid w:val="00846FA7"/>
    <w:rsid w:val="0084722E"/>
    <w:rsid w:val="00847382"/>
    <w:rsid w:val="0084744E"/>
    <w:rsid w:val="008474DC"/>
    <w:rsid w:val="0084758B"/>
    <w:rsid w:val="008475CC"/>
    <w:rsid w:val="0084777C"/>
    <w:rsid w:val="00847817"/>
    <w:rsid w:val="00847B32"/>
    <w:rsid w:val="00847CF6"/>
    <w:rsid w:val="00847E07"/>
    <w:rsid w:val="00847F03"/>
    <w:rsid w:val="00847F8D"/>
    <w:rsid w:val="00850048"/>
    <w:rsid w:val="0085017E"/>
    <w:rsid w:val="0085023C"/>
    <w:rsid w:val="0085027B"/>
    <w:rsid w:val="00850430"/>
    <w:rsid w:val="00850464"/>
    <w:rsid w:val="00850485"/>
    <w:rsid w:val="008504B0"/>
    <w:rsid w:val="008504F3"/>
    <w:rsid w:val="008506E6"/>
    <w:rsid w:val="00850822"/>
    <w:rsid w:val="0085083E"/>
    <w:rsid w:val="00850921"/>
    <w:rsid w:val="00850981"/>
    <w:rsid w:val="00850B18"/>
    <w:rsid w:val="00850B63"/>
    <w:rsid w:val="00850D53"/>
    <w:rsid w:val="00850E3D"/>
    <w:rsid w:val="00850EDE"/>
    <w:rsid w:val="00850F3E"/>
    <w:rsid w:val="00850F66"/>
    <w:rsid w:val="008510DC"/>
    <w:rsid w:val="008510DD"/>
    <w:rsid w:val="00851154"/>
    <w:rsid w:val="008512A2"/>
    <w:rsid w:val="008512E9"/>
    <w:rsid w:val="008513D9"/>
    <w:rsid w:val="008518E8"/>
    <w:rsid w:val="00851A4D"/>
    <w:rsid w:val="00851B8C"/>
    <w:rsid w:val="00851C90"/>
    <w:rsid w:val="00851D4D"/>
    <w:rsid w:val="00851E7A"/>
    <w:rsid w:val="00851E90"/>
    <w:rsid w:val="00851EBA"/>
    <w:rsid w:val="00851FE9"/>
    <w:rsid w:val="008521EF"/>
    <w:rsid w:val="008522EC"/>
    <w:rsid w:val="008524E0"/>
    <w:rsid w:val="008525C3"/>
    <w:rsid w:val="008526C3"/>
    <w:rsid w:val="00852752"/>
    <w:rsid w:val="00852801"/>
    <w:rsid w:val="008528D1"/>
    <w:rsid w:val="008528D5"/>
    <w:rsid w:val="008529CF"/>
    <w:rsid w:val="00852AF9"/>
    <w:rsid w:val="00852C31"/>
    <w:rsid w:val="00852C5E"/>
    <w:rsid w:val="00852DA2"/>
    <w:rsid w:val="00852DE4"/>
    <w:rsid w:val="008530CF"/>
    <w:rsid w:val="00853148"/>
    <w:rsid w:val="008534FC"/>
    <w:rsid w:val="0085372D"/>
    <w:rsid w:val="00853744"/>
    <w:rsid w:val="00853969"/>
    <w:rsid w:val="008539D9"/>
    <w:rsid w:val="00853A11"/>
    <w:rsid w:val="00853B3F"/>
    <w:rsid w:val="00853B58"/>
    <w:rsid w:val="00853BDA"/>
    <w:rsid w:val="00853DF4"/>
    <w:rsid w:val="00853F93"/>
    <w:rsid w:val="00853F95"/>
    <w:rsid w:val="008540F0"/>
    <w:rsid w:val="00854145"/>
    <w:rsid w:val="00854165"/>
    <w:rsid w:val="0085423B"/>
    <w:rsid w:val="00854402"/>
    <w:rsid w:val="00854533"/>
    <w:rsid w:val="0085462D"/>
    <w:rsid w:val="008546CD"/>
    <w:rsid w:val="008546F6"/>
    <w:rsid w:val="00854720"/>
    <w:rsid w:val="00854732"/>
    <w:rsid w:val="0085475B"/>
    <w:rsid w:val="0085478C"/>
    <w:rsid w:val="00854823"/>
    <w:rsid w:val="008548AA"/>
    <w:rsid w:val="00854C1A"/>
    <w:rsid w:val="00854C64"/>
    <w:rsid w:val="00854D4E"/>
    <w:rsid w:val="00854E10"/>
    <w:rsid w:val="008550B4"/>
    <w:rsid w:val="00855274"/>
    <w:rsid w:val="00855467"/>
    <w:rsid w:val="00855582"/>
    <w:rsid w:val="008557CC"/>
    <w:rsid w:val="00855821"/>
    <w:rsid w:val="00855BA5"/>
    <w:rsid w:val="00855EAC"/>
    <w:rsid w:val="00855F6A"/>
    <w:rsid w:val="00855FEF"/>
    <w:rsid w:val="0085647E"/>
    <w:rsid w:val="00856693"/>
    <w:rsid w:val="0085674A"/>
    <w:rsid w:val="00856785"/>
    <w:rsid w:val="008569A9"/>
    <w:rsid w:val="00856A7B"/>
    <w:rsid w:val="00856BB7"/>
    <w:rsid w:val="00856DFA"/>
    <w:rsid w:val="00856F4E"/>
    <w:rsid w:val="00856F55"/>
    <w:rsid w:val="00856FDA"/>
    <w:rsid w:val="008572A9"/>
    <w:rsid w:val="00857369"/>
    <w:rsid w:val="008574DD"/>
    <w:rsid w:val="008574E6"/>
    <w:rsid w:val="00857521"/>
    <w:rsid w:val="00857793"/>
    <w:rsid w:val="00857852"/>
    <w:rsid w:val="00857964"/>
    <w:rsid w:val="00857973"/>
    <w:rsid w:val="008579B1"/>
    <w:rsid w:val="00857A7C"/>
    <w:rsid w:val="00857B0D"/>
    <w:rsid w:val="00857B30"/>
    <w:rsid w:val="00857B33"/>
    <w:rsid w:val="00857B68"/>
    <w:rsid w:val="00857BD8"/>
    <w:rsid w:val="00857BFB"/>
    <w:rsid w:val="00857CCA"/>
    <w:rsid w:val="00857ECE"/>
    <w:rsid w:val="008600D0"/>
    <w:rsid w:val="008604FD"/>
    <w:rsid w:val="00860599"/>
    <w:rsid w:val="00860657"/>
    <w:rsid w:val="008608F2"/>
    <w:rsid w:val="00860B81"/>
    <w:rsid w:val="00860C8F"/>
    <w:rsid w:val="00860D19"/>
    <w:rsid w:val="00860F2F"/>
    <w:rsid w:val="0086104C"/>
    <w:rsid w:val="008610B1"/>
    <w:rsid w:val="0086122C"/>
    <w:rsid w:val="008612C6"/>
    <w:rsid w:val="008615EC"/>
    <w:rsid w:val="00861611"/>
    <w:rsid w:val="008617A8"/>
    <w:rsid w:val="008618A7"/>
    <w:rsid w:val="008619E6"/>
    <w:rsid w:val="00861A2B"/>
    <w:rsid w:val="00861A5C"/>
    <w:rsid w:val="00861D93"/>
    <w:rsid w:val="00861EAD"/>
    <w:rsid w:val="00861F8C"/>
    <w:rsid w:val="008620CA"/>
    <w:rsid w:val="008621BC"/>
    <w:rsid w:val="0086259C"/>
    <w:rsid w:val="00862608"/>
    <w:rsid w:val="008626A0"/>
    <w:rsid w:val="008626EF"/>
    <w:rsid w:val="00862705"/>
    <w:rsid w:val="0086273E"/>
    <w:rsid w:val="00862943"/>
    <w:rsid w:val="00862A30"/>
    <w:rsid w:val="00862C61"/>
    <w:rsid w:val="00862CF7"/>
    <w:rsid w:val="00862D82"/>
    <w:rsid w:val="00862E0F"/>
    <w:rsid w:val="00862EC9"/>
    <w:rsid w:val="00862EDE"/>
    <w:rsid w:val="00862EEE"/>
    <w:rsid w:val="00862FEA"/>
    <w:rsid w:val="00863010"/>
    <w:rsid w:val="0086311C"/>
    <w:rsid w:val="0086329C"/>
    <w:rsid w:val="008633B3"/>
    <w:rsid w:val="008633EF"/>
    <w:rsid w:val="00863533"/>
    <w:rsid w:val="00863682"/>
    <w:rsid w:val="0086373A"/>
    <w:rsid w:val="008637AD"/>
    <w:rsid w:val="0086398B"/>
    <w:rsid w:val="00863C36"/>
    <w:rsid w:val="00863C74"/>
    <w:rsid w:val="00863C8D"/>
    <w:rsid w:val="00863FD5"/>
    <w:rsid w:val="0086404B"/>
    <w:rsid w:val="00864074"/>
    <w:rsid w:val="008640CB"/>
    <w:rsid w:val="00864288"/>
    <w:rsid w:val="00864314"/>
    <w:rsid w:val="008643AA"/>
    <w:rsid w:val="008643F4"/>
    <w:rsid w:val="008644F4"/>
    <w:rsid w:val="00864865"/>
    <w:rsid w:val="00864947"/>
    <w:rsid w:val="00864B32"/>
    <w:rsid w:val="00864C3F"/>
    <w:rsid w:val="00864C48"/>
    <w:rsid w:val="00864CDE"/>
    <w:rsid w:val="00864D09"/>
    <w:rsid w:val="00864FDF"/>
    <w:rsid w:val="0086505E"/>
    <w:rsid w:val="0086508A"/>
    <w:rsid w:val="0086509F"/>
    <w:rsid w:val="008652A7"/>
    <w:rsid w:val="0086537B"/>
    <w:rsid w:val="00865392"/>
    <w:rsid w:val="0086586F"/>
    <w:rsid w:val="008658DB"/>
    <w:rsid w:val="00865957"/>
    <w:rsid w:val="00865AC2"/>
    <w:rsid w:val="00865BB1"/>
    <w:rsid w:val="00865BBE"/>
    <w:rsid w:val="00865C58"/>
    <w:rsid w:val="00865F69"/>
    <w:rsid w:val="00866079"/>
    <w:rsid w:val="008660AA"/>
    <w:rsid w:val="008660F0"/>
    <w:rsid w:val="008661EE"/>
    <w:rsid w:val="00866215"/>
    <w:rsid w:val="00866677"/>
    <w:rsid w:val="00866913"/>
    <w:rsid w:val="00866A7B"/>
    <w:rsid w:val="00866ACA"/>
    <w:rsid w:val="00866B42"/>
    <w:rsid w:val="00866C37"/>
    <w:rsid w:val="00866CFD"/>
    <w:rsid w:val="008672D8"/>
    <w:rsid w:val="00867670"/>
    <w:rsid w:val="008678AE"/>
    <w:rsid w:val="00867943"/>
    <w:rsid w:val="00867B35"/>
    <w:rsid w:val="00867CE0"/>
    <w:rsid w:val="00867E12"/>
    <w:rsid w:val="0087003C"/>
    <w:rsid w:val="00870125"/>
    <w:rsid w:val="0087015C"/>
    <w:rsid w:val="00870181"/>
    <w:rsid w:val="00870184"/>
    <w:rsid w:val="00870227"/>
    <w:rsid w:val="008704A6"/>
    <w:rsid w:val="0087055C"/>
    <w:rsid w:val="00870823"/>
    <w:rsid w:val="0087094A"/>
    <w:rsid w:val="00870A21"/>
    <w:rsid w:val="00870A3D"/>
    <w:rsid w:val="00870A6A"/>
    <w:rsid w:val="00870B2C"/>
    <w:rsid w:val="00870B3E"/>
    <w:rsid w:val="00870C08"/>
    <w:rsid w:val="00870D0A"/>
    <w:rsid w:val="00870D0E"/>
    <w:rsid w:val="00870DF7"/>
    <w:rsid w:val="00870F2E"/>
    <w:rsid w:val="00870FEF"/>
    <w:rsid w:val="008710AC"/>
    <w:rsid w:val="008710EF"/>
    <w:rsid w:val="0087116C"/>
    <w:rsid w:val="00871455"/>
    <w:rsid w:val="0087145D"/>
    <w:rsid w:val="008717B8"/>
    <w:rsid w:val="0087182E"/>
    <w:rsid w:val="00871B39"/>
    <w:rsid w:val="00871B3B"/>
    <w:rsid w:val="00871DA3"/>
    <w:rsid w:val="00871DF7"/>
    <w:rsid w:val="00871E54"/>
    <w:rsid w:val="00871E99"/>
    <w:rsid w:val="00871EA8"/>
    <w:rsid w:val="00871EBF"/>
    <w:rsid w:val="00871F0A"/>
    <w:rsid w:val="0087220F"/>
    <w:rsid w:val="0087225F"/>
    <w:rsid w:val="008723A9"/>
    <w:rsid w:val="00872414"/>
    <w:rsid w:val="008726EC"/>
    <w:rsid w:val="00872861"/>
    <w:rsid w:val="00872906"/>
    <w:rsid w:val="00872925"/>
    <w:rsid w:val="00872B23"/>
    <w:rsid w:val="00872C19"/>
    <w:rsid w:val="00872C29"/>
    <w:rsid w:val="00872DC0"/>
    <w:rsid w:val="00872EBD"/>
    <w:rsid w:val="00873156"/>
    <w:rsid w:val="00873569"/>
    <w:rsid w:val="00873584"/>
    <w:rsid w:val="0087371B"/>
    <w:rsid w:val="00873732"/>
    <w:rsid w:val="00873794"/>
    <w:rsid w:val="0087384E"/>
    <w:rsid w:val="008739A9"/>
    <w:rsid w:val="00873A06"/>
    <w:rsid w:val="00873A80"/>
    <w:rsid w:val="00873AF5"/>
    <w:rsid w:val="00873DEC"/>
    <w:rsid w:val="00873F9A"/>
    <w:rsid w:val="00874012"/>
    <w:rsid w:val="0087414C"/>
    <w:rsid w:val="00874156"/>
    <w:rsid w:val="008741F4"/>
    <w:rsid w:val="008742DE"/>
    <w:rsid w:val="00874459"/>
    <w:rsid w:val="008745A8"/>
    <w:rsid w:val="00874950"/>
    <w:rsid w:val="00874961"/>
    <w:rsid w:val="008749FF"/>
    <w:rsid w:val="00874AD1"/>
    <w:rsid w:val="00874E5E"/>
    <w:rsid w:val="00874EFD"/>
    <w:rsid w:val="00875022"/>
    <w:rsid w:val="00875169"/>
    <w:rsid w:val="008753D1"/>
    <w:rsid w:val="008754B7"/>
    <w:rsid w:val="00875505"/>
    <w:rsid w:val="0087556A"/>
    <w:rsid w:val="008757B1"/>
    <w:rsid w:val="00875888"/>
    <w:rsid w:val="0087596C"/>
    <w:rsid w:val="00875CF8"/>
    <w:rsid w:val="00875D86"/>
    <w:rsid w:val="00875E8A"/>
    <w:rsid w:val="008760BE"/>
    <w:rsid w:val="00876127"/>
    <w:rsid w:val="00876130"/>
    <w:rsid w:val="008761E9"/>
    <w:rsid w:val="008762F9"/>
    <w:rsid w:val="0087631C"/>
    <w:rsid w:val="00876346"/>
    <w:rsid w:val="00876560"/>
    <w:rsid w:val="00876575"/>
    <w:rsid w:val="008768B2"/>
    <w:rsid w:val="00876A40"/>
    <w:rsid w:val="00876A73"/>
    <w:rsid w:val="00876A81"/>
    <w:rsid w:val="00876AA0"/>
    <w:rsid w:val="00876C5B"/>
    <w:rsid w:val="00876DBA"/>
    <w:rsid w:val="00876F72"/>
    <w:rsid w:val="00877073"/>
    <w:rsid w:val="008770FD"/>
    <w:rsid w:val="008770FE"/>
    <w:rsid w:val="008771C3"/>
    <w:rsid w:val="00877227"/>
    <w:rsid w:val="008772F3"/>
    <w:rsid w:val="008776BB"/>
    <w:rsid w:val="008777C6"/>
    <w:rsid w:val="0087785C"/>
    <w:rsid w:val="008778BC"/>
    <w:rsid w:val="00877B63"/>
    <w:rsid w:val="00877BEB"/>
    <w:rsid w:val="00877C26"/>
    <w:rsid w:val="00877C7F"/>
    <w:rsid w:val="00877DEF"/>
    <w:rsid w:val="00877FBD"/>
    <w:rsid w:val="0088014E"/>
    <w:rsid w:val="00880165"/>
    <w:rsid w:val="00880179"/>
    <w:rsid w:val="0088026E"/>
    <w:rsid w:val="00880343"/>
    <w:rsid w:val="0088035D"/>
    <w:rsid w:val="00880360"/>
    <w:rsid w:val="00880392"/>
    <w:rsid w:val="00880538"/>
    <w:rsid w:val="0088068F"/>
    <w:rsid w:val="0088072C"/>
    <w:rsid w:val="0088096D"/>
    <w:rsid w:val="00880BA3"/>
    <w:rsid w:val="00880E37"/>
    <w:rsid w:val="00880F4D"/>
    <w:rsid w:val="00880FF3"/>
    <w:rsid w:val="008815AC"/>
    <w:rsid w:val="008816B3"/>
    <w:rsid w:val="008816E5"/>
    <w:rsid w:val="00881757"/>
    <w:rsid w:val="008818A9"/>
    <w:rsid w:val="00881B25"/>
    <w:rsid w:val="00881CC3"/>
    <w:rsid w:val="00881CFA"/>
    <w:rsid w:val="00881D8D"/>
    <w:rsid w:val="00882A52"/>
    <w:rsid w:val="00882AA4"/>
    <w:rsid w:val="00882CFE"/>
    <w:rsid w:val="00882F1B"/>
    <w:rsid w:val="00883157"/>
    <w:rsid w:val="008831A2"/>
    <w:rsid w:val="008834CE"/>
    <w:rsid w:val="008836A4"/>
    <w:rsid w:val="0088382A"/>
    <w:rsid w:val="00883852"/>
    <w:rsid w:val="008838D2"/>
    <w:rsid w:val="00883A35"/>
    <w:rsid w:val="00883BA3"/>
    <w:rsid w:val="00883DCF"/>
    <w:rsid w:val="008841A8"/>
    <w:rsid w:val="00884546"/>
    <w:rsid w:val="00884660"/>
    <w:rsid w:val="0088472F"/>
    <w:rsid w:val="0088479C"/>
    <w:rsid w:val="0088480B"/>
    <w:rsid w:val="00884936"/>
    <w:rsid w:val="00884D46"/>
    <w:rsid w:val="00884E64"/>
    <w:rsid w:val="0088537A"/>
    <w:rsid w:val="00885435"/>
    <w:rsid w:val="0088549A"/>
    <w:rsid w:val="00885540"/>
    <w:rsid w:val="008855CA"/>
    <w:rsid w:val="008855D2"/>
    <w:rsid w:val="008856A7"/>
    <w:rsid w:val="00885769"/>
    <w:rsid w:val="008857EE"/>
    <w:rsid w:val="00885857"/>
    <w:rsid w:val="00885B33"/>
    <w:rsid w:val="00885B68"/>
    <w:rsid w:val="00885BD1"/>
    <w:rsid w:val="00885EB3"/>
    <w:rsid w:val="00886012"/>
    <w:rsid w:val="00886028"/>
    <w:rsid w:val="008861D0"/>
    <w:rsid w:val="008862E7"/>
    <w:rsid w:val="00886317"/>
    <w:rsid w:val="0088648B"/>
    <w:rsid w:val="008864C6"/>
    <w:rsid w:val="008864D0"/>
    <w:rsid w:val="008866BB"/>
    <w:rsid w:val="00886B35"/>
    <w:rsid w:val="00886C63"/>
    <w:rsid w:val="00886CCE"/>
    <w:rsid w:val="00886CEA"/>
    <w:rsid w:val="00886DB1"/>
    <w:rsid w:val="00886E57"/>
    <w:rsid w:val="008870CD"/>
    <w:rsid w:val="00887235"/>
    <w:rsid w:val="00887301"/>
    <w:rsid w:val="00887377"/>
    <w:rsid w:val="008873A4"/>
    <w:rsid w:val="008873E7"/>
    <w:rsid w:val="00887430"/>
    <w:rsid w:val="008875BE"/>
    <w:rsid w:val="00887802"/>
    <w:rsid w:val="008879DB"/>
    <w:rsid w:val="00887AB6"/>
    <w:rsid w:val="00887B0E"/>
    <w:rsid w:val="00887B55"/>
    <w:rsid w:val="00887CED"/>
    <w:rsid w:val="00887D7E"/>
    <w:rsid w:val="00887F76"/>
    <w:rsid w:val="00887FCD"/>
    <w:rsid w:val="008901E5"/>
    <w:rsid w:val="00890525"/>
    <w:rsid w:val="008906D9"/>
    <w:rsid w:val="0089075A"/>
    <w:rsid w:val="00890773"/>
    <w:rsid w:val="00890786"/>
    <w:rsid w:val="008907F3"/>
    <w:rsid w:val="0089097A"/>
    <w:rsid w:val="00890984"/>
    <w:rsid w:val="00890AC7"/>
    <w:rsid w:val="00890C20"/>
    <w:rsid w:val="00890C2F"/>
    <w:rsid w:val="00890C38"/>
    <w:rsid w:val="00890C4D"/>
    <w:rsid w:val="00890C5D"/>
    <w:rsid w:val="00890CCF"/>
    <w:rsid w:val="00890EA6"/>
    <w:rsid w:val="00891060"/>
    <w:rsid w:val="008910CB"/>
    <w:rsid w:val="00891293"/>
    <w:rsid w:val="008913DD"/>
    <w:rsid w:val="00891459"/>
    <w:rsid w:val="0089153B"/>
    <w:rsid w:val="0089165F"/>
    <w:rsid w:val="008916B1"/>
    <w:rsid w:val="008917E4"/>
    <w:rsid w:val="0089189B"/>
    <w:rsid w:val="008918DD"/>
    <w:rsid w:val="00891D7C"/>
    <w:rsid w:val="00891F14"/>
    <w:rsid w:val="00891FD7"/>
    <w:rsid w:val="00892069"/>
    <w:rsid w:val="00892139"/>
    <w:rsid w:val="00892216"/>
    <w:rsid w:val="00892295"/>
    <w:rsid w:val="00892373"/>
    <w:rsid w:val="008924AB"/>
    <w:rsid w:val="0089257C"/>
    <w:rsid w:val="0089258B"/>
    <w:rsid w:val="008925DE"/>
    <w:rsid w:val="008925FE"/>
    <w:rsid w:val="00892A10"/>
    <w:rsid w:val="00892A93"/>
    <w:rsid w:val="00892DEB"/>
    <w:rsid w:val="00892ED2"/>
    <w:rsid w:val="00892FF5"/>
    <w:rsid w:val="0089308F"/>
    <w:rsid w:val="00893091"/>
    <w:rsid w:val="00893206"/>
    <w:rsid w:val="00893292"/>
    <w:rsid w:val="00893306"/>
    <w:rsid w:val="00893307"/>
    <w:rsid w:val="0089330B"/>
    <w:rsid w:val="00893380"/>
    <w:rsid w:val="00893549"/>
    <w:rsid w:val="00893830"/>
    <w:rsid w:val="00893843"/>
    <w:rsid w:val="0089395B"/>
    <w:rsid w:val="008939A9"/>
    <w:rsid w:val="00893B42"/>
    <w:rsid w:val="00893C65"/>
    <w:rsid w:val="00893D7E"/>
    <w:rsid w:val="00893E17"/>
    <w:rsid w:val="00893E95"/>
    <w:rsid w:val="008941BC"/>
    <w:rsid w:val="008943ED"/>
    <w:rsid w:val="008945E2"/>
    <w:rsid w:val="0089467D"/>
    <w:rsid w:val="00894AE6"/>
    <w:rsid w:val="00894BB2"/>
    <w:rsid w:val="00894CCA"/>
    <w:rsid w:val="00894D41"/>
    <w:rsid w:val="00894FBD"/>
    <w:rsid w:val="00894FD1"/>
    <w:rsid w:val="00895414"/>
    <w:rsid w:val="00895483"/>
    <w:rsid w:val="00895508"/>
    <w:rsid w:val="00895619"/>
    <w:rsid w:val="0089578F"/>
    <w:rsid w:val="00895807"/>
    <w:rsid w:val="00895818"/>
    <w:rsid w:val="0089582A"/>
    <w:rsid w:val="00895A0F"/>
    <w:rsid w:val="00895C1D"/>
    <w:rsid w:val="00895CC1"/>
    <w:rsid w:val="00895EA6"/>
    <w:rsid w:val="00895FAF"/>
    <w:rsid w:val="0089617C"/>
    <w:rsid w:val="00896352"/>
    <w:rsid w:val="00896438"/>
    <w:rsid w:val="00896501"/>
    <w:rsid w:val="008966AA"/>
    <w:rsid w:val="008968DB"/>
    <w:rsid w:val="008969A7"/>
    <w:rsid w:val="00896AC9"/>
    <w:rsid w:val="00896C9E"/>
    <w:rsid w:val="00896E84"/>
    <w:rsid w:val="00896EA0"/>
    <w:rsid w:val="00896F50"/>
    <w:rsid w:val="00896FAD"/>
    <w:rsid w:val="00897042"/>
    <w:rsid w:val="00897104"/>
    <w:rsid w:val="00897107"/>
    <w:rsid w:val="0089719C"/>
    <w:rsid w:val="008972D3"/>
    <w:rsid w:val="008973FF"/>
    <w:rsid w:val="00897607"/>
    <w:rsid w:val="008976CA"/>
    <w:rsid w:val="00897951"/>
    <w:rsid w:val="00897991"/>
    <w:rsid w:val="008979D1"/>
    <w:rsid w:val="00897AB9"/>
    <w:rsid w:val="00897CA6"/>
    <w:rsid w:val="00897D10"/>
    <w:rsid w:val="008A08A1"/>
    <w:rsid w:val="008A0908"/>
    <w:rsid w:val="008A091E"/>
    <w:rsid w:val="008A0964"/>
    <w:rsid w:val="008A0997"/>
    <w:rsid w:val="008A0AC4"/>
    <w:rsid w:val="008A0BD9"/>
    <w:rsid w:val="008A0C5B"/>
    <w:rsid w:val="008A0FE1"/>
    <w:rsid w:val="008A104F"/>
    <w:rsid w:val="008A1532"/>
    <w:rsid w:val="008A1620"/>
    <w:rsid w:val="008A1705"/>
    <w:rsid w:val="008A1706"/>
    <w:rsid w:val="008A18DA"/>
    <w:rsid w:val="008A192D"/>
    <w:rsid w:val="008A1939"/>
    <w:rsid w:val="008A1A6E"/>
    <w:rsid w:val="008A1C6A"/>
    <w:rsid w:val="008A1D40"/>
    <w:rsid w:val="008A1E5D"/>
    <w:rsid w:val="008A1FAF"/>
    <w:rsid w:val="008A236B"/>
    <w:rsid w:val="008A23E3"/>
    <w:rsid w:val="008A23E8"/>
    <w:rsid w:val="008A254A"/>
    <w:rsid w:val="008A2582"/>
    <w:rsid w:val="008A25AD"/>
    <w:rsid w:val="008A28C5"/>
    <w:rsid w:val="008A2A3B"/>
    <w:rsid w:val="008A2B58"/>
    <w:rsid w:val="008A2BAB"/>
    <w:rsid w:val="008A2D9A"/>
    <w:rsid w:val="008A2DEA"/>
    <w:rsid w:val="008A2E12"/>
    <w:rsid w:val="008A2FB1"/>
    <w:rsid w:val="008A2FF9"/>
    <w:rsid w:val="008A3027"/>
    <w:rsid w:val="008A3128"/>
    <w:rsid w:val="008A312E"/>
    <w:rsid w:val="008A326D"/>
    <w:rsid w:val="008A3329"/>
    <w:rsid w:val="008A33F0"/>
    <w:rsid w:val="008A3535"/>
    <w:rsid w:val="008A38A5"/>
    <w:rsid w:val="008A38C6"/>
    <w:rsid w:val="008A393A"/>
    <w:rsid w:val="008A3964"/>
    <w:rsid w:val="008A3B03"/>
    <w:rsid w:val="008A3B3B"/>
    <w:rsid w:val="008A3C37"/>
    <w:rsid w:val="008A3C76"/>
    <w:rsid w:val="008A3FFE"/>
    <w:rsid w:val="008A4062"/>
    <w:rsid w:val="008A4085"/>
    <w:rsid w:val="008A40BA"/>
    <w:rsid w:val="008A41A3"/>
    <w:rsid w:val="008A45D1"/>
    <w:rsid w:val="008A461C"/>
    <w:rsid w:val="008A4692"/>
    <w:rsid w:val="008A46BD"/>
    <w:rsid w:val="008A4745"/>
    <w:rsid w:val="008A4763"/>
    <w:rsid w:val="008A485D"/>
    <w:rsid w:val="008A4A8C"/>
    <w:rsid w:val="008A4AD6"/>
    <w:rsid w:val="008A52B6"/>
    <w:rsid w:val="008A538D"/>
    <w:rsid w:val="008A55A1"/>
    <w:rsid w:val="008A55A3"/>
    <w:rsid w:val="008A561F"/>
    <w:rsid w:val="008A5620"/>
    <w:rsid w:val="008A574E"/>
    <w:rsid w:val="008A5762"/>
    <w:rsid w:val="008A5B9A"/>
    <w:rsid w:val="008A5C79"/>
    <w:rsid w:val="008A5EF2"/>
    <w:rsid w:val="008A6054"/>
    <w:rsid w:val="008A607B"/>
    <w:rsid w:val="008A612F"/>
    <w:rsid w:val="008A649E"/>
    <w:rsid w:val="008A67EF"/>
    <w:rsid w:val="008A6885"/>
    <w:rsid w:val="008A69A5"/>
    <w:rsid w:val="008A6A0F"/>
    <w:rsid w:val="008A6A61"/>
    <w:rsid w:val="008A6AA5"/>
    <w:rsid w:val="008A6D78"/>
    <w:rsid w:val="008A6DD1"/>
    <w:rsid w:val="008A6E59"/>
    <w:rsid w:val="008A6E63"/>
    <w:rsid w:val="008A6F75"/>
    <w:rsid w:val="008A6FB8"/>
    <w:rsid w:val="008A7019"/>
    <w:rsid w:val="008A70A9"/>
    <w:rsid w:val="008A71D7"/>
    <w:rsid w:val="008A753C"/>
    <w:rsid w:val="008A753F"/>
    <w:rsid w:val="008A75B8"/>
    <w:rsid w:val="008A76AB"/>
    <w:rsid w:val="008A76D1"/>
    <w:rsid w:val="008A7815"/>
    <w:rsid w:val="008A7AAF"/>
    <w:rsid w:val="008A7C8E"/>
    <w:rsid w:val="008A7EDC"/>
    <w:rsid w:val="008AECE0"/>
    <w:rsid w:val="008B003D"/>
    <w:rsid w:val="008B0485"/>
    <w:rsid w:val="008B0565"/>
    <w:rsid w:val="008B077C"/>
    <w:rsid w:val="008B07BD"/>
    <w:rsid w:val="008B087A"/>
    <w:rsid w:val="008B08B0"/>
    <w:rsid w:val="008B0977"/>
    <w:rsid w:val="008B0B93"/>
    <w:rsid w:val="008B0D84"/>
    <w:rsid w:val="008B0DB9"/>
    <w:rsid w:val="008B0DDF"/>
    <w:rsid w:val="008B0E84"/>
    <w:rsid w:val="008B0E9E"/>
    <w:rsid w:val="008B0EBB"/>
    <w:rsid w:val="008B0F18"/>
    <w:rsid w:val="008B1110"/>
    <w:rsid w:val="008B132E"/>
    <w:rsid w:val="008B159D"/>
    <w:rsid w:val="008B15A6"/>
    <w:rsid w:val="008B184C"/>
    <w:rsid w:val="008B1AC5"/>
    <w:rsid w:val="008B1ADB"/>
    <w:rsid w:val="008B1B0E"/>
    <w:rsid w:val="008B1CA4"/>
    <w:rsid w:val="008B1D8C"/>
    <w:rsid w:val="008B1F52"/>
    <w:rsid w:val="008B1FCB"/>
    <w:rsid w:val="008B2074"/>
    <w:rsid w:val="008B2091"/>
    <w:rsid w:val="008B20DC"/>
    <w:rsid w:val="008B20ED"/>
    <w:rsid w:val="008B216A"/>
    <w:rsid w:val="008B217A"/>
    <w:rsid w:val="008B21C9"/>
    <w:rsid w:val="008B224B"/>
    <w:rsid w:val="008B22CD"/>
    <w:rsid w:val="008B232E"/>
    <w:rsid w:val="008B2405"/>
    <w:rsid w:val="008B271B"/>
    <w:rsid w:val="008B2761"/>
    <w:rsid w:val="008B278D"/>
    <w:rsid w:val="008B29CA"/>
    <w:rsid w:val="008B2A13"/>
    <w:rsid w:val="008B2ADF"/>
    <w:rsid w:val="008B2AE4"/>
    <w:rsid w:val="008B2C5B"/>
    <w:rsid w:val="008B2CEC"/>
    <w:rsid w:val="008B2D05"/>
    <w:rsid w:val="008B2DBB"/>
    <w:rsid w:val="008B2F78"/>
    <w:rsid w:val="008B311D"/>
    <w:rsid w:val="008B33D5"/>
    <w:rsid w:val="008B3501"/>
    <w:rsid w:val="008B3575"/>
    <w:rsid w:val="008B35BC"/>
    <w:rsid w:val="008B3783"/>
    <w:rsid w:val="008B3A2F"/>
    <w:rsid w:val="008B3A76"/>
    <w:rsid w:val="008B3D6C"/>
    <w:rsid w:val="008B3DE2"/>
    <w:rsid w:val="008B3DE6"/>
    <w:rsid w:val="008B4065"/>
    <w:rsid w:val="008B40C3"/>
    <w:rsid w:val="008B4437"/>
    <w:rsid w:val="008B447C"/>
    <w:rsid w:val="008B4645"/>
    <w:rsid w:val="008B46FB"/>
    <w:rsid w:val="008B470E"/>
    <w:rsid w:val="008B4825"/>
    <w:rsid w:val="008B4940"/>
    <w:rsid w:val="008B4950"/>
    <w:rsid w:val="008B4951"/>
    <w:rsid w:val="008B4A1E"/>
    <w:rsid w:val="008B4B6F"/>
    <w:rsid w:val="008B4C8E"/>
    <w:rsid w:val="008B4D7D"/>
    <w:rsid w:val="008B4FDB"/>
    <w:rsid w:val="008B50B9"/>
    <w:rsid w:val="008B51B8"/>
    <w:rsid w:val="008B51C1"/>
    <w:rsid w:val="008B5457"/>
    <w:rsid w:val="008B571C"/>
    <w:rsid w:val="008B577E"/>
    <w:rsid w:val="008B58A6"/>
    <w:rsid w:val="008B5924"/>
    <w:rsid w:val="008B5B30"/>
    <w:rsid w:val="008B5C5A"/>
    <w:rsid w:val="008B5D21"/>
    <w:rsid w:val="008B612D"/>
    <w:rsid w:val="008B64AE"/>
    <w:rsid w:val="008B66D4"/>
    <w:rsid w:val="008B676E"/>
    <w:rsid w:val="008B67E9"/>
    <w:rsid w:val="008B6814"/>
    <w:rsid w:val="008B6876"/>
    <w:rsid w:val="008B6A09"/>
    <w:rsid w:val="008B6AAC"/>
    <w:rsid w:val="008B6B23"/>
    <w:rsid w:val="008B6DAD"/>
    <w:rsid w:val="008B6EF4"/>
    <w:rsid w:val="008B6F02"/>
    <w:rsid w:val="008B7074"/>
    <w:rsid w:val="008B70CE"/>
    <w:rsid w:val="008B7386"/>
    <w:rsid w:val="008B7460"/>
    <w:rsid w:val="008B7586"/>
    <w:rsid w:val="008B7685"/>
    <w:rsid w:val="008B7725"/>
    <w:rsid w:val="008B7784"/>
    <w:rsid w:val="008B79FE"/>
    <w:rsid w:val="008B7B6E"/>
    <w:rsid w:val="008B7E4C"/>
    <w:rsid w:val="008C001F"/>
    <w:rsid w:val="008C0378"/>
    <w:rsid w:val="008C050E"/>
    <w:rsid w:val="008C0514"/>
    <w:rsid w:val="008C0525"/>
    <w:rsid w:val="008C055B"/>
    <w:rsid w:val="008C078E"/>
    <w:rsid w:val="008C08E9"/>
    <w:rsid w:val="008C0A8E"/>
    <w:rsid w:val="008C0ADA"/>
    <w:rsid w:val="008C0B2A"/>
    <w:rsid w:val="008C0C03"/>
    <w:rsid w:val="008C0DA3"/>
    <w:rsid w:val="008C0E47"/>
    <w:rsid w:val="008C0E72"/>
    <w:rsid w:val="008C0E9F"/>
    <w:rsid w:val="008C0EF0"/>
    <w:rsid w:val="008C10AA"/>
    <w:rsid w:val="008C1134"/>
    <w:rsid w:val="008C127F"/>
    <w:rsid w:val="008C13D1"/>
    <w:rsid w:val="008C14E8"/>
    <w:rsid w:val="008C164A"/>
    <w:rsid w:val="008C16DB"/>
    <w:rsid w:val="008C1A1D"/>
    <w:rsid w:val="008C1CC9"/>
    <w:rsid w:val="008C1D5E"/>
    <w:rsid w:val="008C1FEA"/>
    <w:rsid w:val="008C212A"/>
    <w:rsid w:val="008C214C"/>
    <w:rsid w:val="008C252D"/>
    <w:rsid w:val="008C2620"/>
    <w:rsid w:val="008C2696"/>
    <w:rsid w:val="008C27DC"/>
    <w:rsid w:val="008C2A8B"/>
    <w:rsid w:val="008C2B9F"/>
    <w:rsid w:val="008C2CA0"/>
    <w:rsid w:val="008C2E1E"/>
    <w:rsid w:val="008C2F5E"/>
    <w:rsid w:val="008C3009"/>
    <w:rsid w:val="008C307F"/>
    <w:rsid w:val="008C30C4"/>
    <w:rsid w:val="008C3174"/>
    <w:rsid w:val="008C3216"/>
    <w:rsid w:val="008C3382"/>
    <w:rsid w:val="008C35EC"/>
    <w:rsid w:val="008C3B5C"/>
    <w:rsid w:val="008C3B9D"/>
    <w:rsid w:val="008C3BD2"/>
    <w:rsid w:val="008C3BEF"/>
    <w:rsid w:val="008C3CB2"/>
    <w:rsid w:val="008C3D16"/>
    <w:rsid w:val="008C3D1D"/>
    <w:rsid w:val="008C3D4F"/>
    <w:rsid w:val="008C3D6E"/>
    <w:rsid w:val="008C3E13"/>
    <w:rsid w:val="008C3FD4"/>
    <w:rsid w:val="008C425B"/>
    <w:rsid w:val="008C4310"/>
    <w:rsid w:val="008C441A"/>
    <w:rsid w:val="008C45DA"/>
    <w:rsid w:val="008C4871"/>
    <w:rsid w:val="008C4AED"/>
    <w:rsid w:val="008C4E67"/>
    <w:rsid w:val="008C4E8D"/>
    <w:rsid w:val="008C4EEA"/>
    <w:rsid w:val="008C4FC4"/>
    <w:rsid w:val="008C5178"/>
    <w:rsid w:val="008C51CE"/>
    <w:rsid w:val="008C5311"/>
    <w:rsid w:val="008C53AE"/>
    <w:rsid w:val="008C5895"/>
    <w:rsid w:val="008C58D1"/>
    <w:rsid w:val="008C596E"/>
    <w:rsid w:val="008C5A3C"/>
    <w:rsid w:val="008C5B0F"/>
    <w:rsid w:val="008C5C77"/>
    <w:rsid w:val="008C5D79"/>
    <w:rsid w:val="008C602F"/>
    <w:rsid w:val="008C622A"/>
    <w:rsid w:val="008C628C"/>
    <w:rsid w:val="008C62CE"/>
    <w:rsid w:val="008C6322"/>
    <w:rsid w:val="008C6379"/>
    <w:rsid w:val="008C6387"/>
    <w:rsid w:val="008C6430"/>
    <w:rsid w:val="008C64DF"/>
    <w:rsid w:val="008C6694"/>
    <w:rsid w:val="008C66D1"/>
    <w:rsid w:val="008C68D6"/>
    <w:rsid w:val="008C6BF1"/>
    <w:rsid w:val="008C6D13"/>
    <w:rsid w:val="008C6D1A"/>
    <w:rsid w:val="008C6F66"/>
    <w:rsid w:val="008C70CD"/>
    <w:rsid w:val="008C7385"/>
    <w:rsid w:val="008C73AC"/>
    <w:rsid w:val="008C767C"/>
    <w:rsid w:val="008C7870"/>
    <w:rsid w:val="008C79D4"/>
    <w:rsid w:val="008C7A0A"/>
    <w:rsid w:val="008C7AE7"/>
    <w:rsid w:val="008C7B14"/>
    <w:rsid w:val="008C7C56"/>
    <w:rsid w:val="008C7E2B"/>
    <w:rsid w:val="008C7E4D"/>
    <w:rsid w:val="008C7EFD"/>
    <w:rsid w:val="008C7F30"/>
    <w:rsid w:val="008D00D9"/>
    <w:rsid w:val="008D01AD"/>
    <w:rsid w:val="008D03B3"/>
    <w:rsid w:val="008D0519"/>
    <w:rsid w:val="008D05B1"/>
    <w:rsid w:val="008D061D"/>
    <w:rsid w:val="008D07A0"/>
    <w:rsid w:val="008D07F6"/>
    <w:rsid w:val="008D08B5"/>
    <w:rsid w:val="008D0945"/>
    <w:rsid w:val="008D09DB"/>
    <w:rsid w:val="008D0A87"/>
    <w:rsid w:val="008D0AC6"/>
    <w:rsid w:val="008D0CF6"/>
    <w:rsid w:val="008D0D90"/>
    <w:rsid w:val="008D0ED3"/>
    <w:rsid w:val="008D0F82"/>
    <w:rsid w:val="008D1015"/>
    <w:rsid w:val="008D1559"/>
    <w:rsid w:val="008D1588"/>
    <w:rsid w:val="008D17C9"/>
    <w:rsid w:val="008D1804"/>
    <w:rsid w:val="008D1999"/>
    <w:rsid w:val="008D1A11"/>
    <w:rsid w:val="008D1A16"/>
    <w:rsid w:val="008D1B09"/>
    <w:rsid w:val="008D1C2F"/>
    <w:rsid w:val="008D1C32"/>
    <w:rsid w:val="008D1C40"/>
    <w:rsid w:val="008D20CB"/>
    <w:rsid w:val="008D2131"/>
    <w:rsid w:val="008D21EF"/>
    <w:rsid w:val="008D2300"/>
    <w:rsid w:val="008D2640"/>
    <w:rsid w:val="008D283B"/>
    <w:rsid w:val="008D28E4"/>
    <w:rsid w:val="008D2979"/>
    <w:rsid w:val="008D2A0C"/>
    <w:rsid w:val="008D2A1A"/>
    <w:rsid w:val="008D2C85"/>
    <w:rsid w:val="008D2D7B"/>
    <w:rsid w:val="008D2DEE"/>
    <w:rsid w:val="008D2E0A"/>
    <w:rsid w:val="008D2E21"/>
    <w:rsid w:val="008D2EC4"/>
    <w:rsid w:val="008D2F1C"/>
    <w:rsid w:val="008D3076"/>
    <w:rsid w:val="008D30BC"/>
    <w:rsid w:val="008D30C7"/>
    <w:rsid w:val="008D30D7"/>
    <w:rsid w:val="008D318E"/>
    <w:rsid w:val="008D3311"/>
    <w:rsid w:val="008D34E9"/>
    <w:rsid w:val="008D372B"/>
    <w:rsid w:val="008D3755"/>
    <w:rsid w:val="008D383F"/>
    <w:rsid w:val="008D3843"/>
    <w:rsid w:val="008D388F"/>
    <w:rsid w:val="008D394B"/>
    <w:rsid w:val="008D3A64"/>
    <w:rsid w:val="008D3AF9"/>
    <w:rsid w:val="008D3C5F"/>
    <w:rsid w:val="008D3CFD"/>
    <w:rsid w:val="008D3EE1"/>
    <w:rsid w:val="008D40E5"/>
    <w:rsid w:val="008D4233"/>
    <w:rsid w:val="008D426A"/>
    <w:rsid w:val="008D44DC"/>
    <w:rsid w:val="008D44FE"/>
    <w:rsid w:val="008D4647"/>
    <w:rsid w:val="008D496B"/>
    <w:rsid w:val="008D498A"/>
    <w:rsid w:val="008D4BD8"/>
    <w:rsid w:val="008D4CB3"/>
    <w:rsid w:val="008D4D3F"/>
    <w:rsid w:val="008D4D80"/>
    <w:rsid w:val="008D4ED5"/>
    <w:rsid w:val="008D50CE"/>
    <w:rsid w:val="008D5460"/>
    <w:rsid w:val="008D5976"/>
    <w:rsid w:val="008D5A18"/>
    <w:rsid w:val="008D5AF3"/>
    <w:rsid w:val="008D6286"/>
    <w:rsid w:val="008D630A"/>
    <w:rsid w:val="008D6340"/>
    <w:rsid w:val="008D664D"/>
    <w:rsid w:val="008D66DE"/>
    <w:rsid w:val="008D66EE"/>
    <w:rsid w:val="008D676E"/>
    <w:rsid w:val="008D6AB4"/>
    <w:rsid w:val="008D6CF6"/>
    <w:rsid w:val="008D6D06"/>
    <w:rsid w:val="008D6E1B"/>
    <w:rsid w:val="008D6FE7"/>
    <w:rsid w:val="008D7164"/>
    <w:rsid w:val="008D71FB"/>
    <w:rsid w:val="008D7640"/>
    <w:rsid w:val="008D7653"/>
    <w:rsid w:val="008D76E9"/>
    <w:rsid w:val="008D7759"/>
    <w:rsid w:val="008D7A27"/>
    <w:rsid w:val="008D7B94"/>
    <w:rsid w:val="008D7CEA"/>
    <w:rsid w:val="008D7CFF"/>
    <w:rsid w:val="008D7D41"/>
    <w:rsid w:val="008D7E1F"/>
    <w:rsid w:val="008D7ED3"/>
    <w:rsid w:val="008D7F07"/>
    <w:rsid w:val="008D7F4B"/>
    <w:rsid w:val="008D7F6A"/>
    <w:rsid w:val="008D7FD8"/>
    <w:rsid w:val="008E018F"/>
    <w:rsid w:val="008E01C4"/>
    <w:rsid w:val="008E045A"/>
    <w:rsid w:val="008E0533"/>
    <w:rsid w:val="008E05DD"/>
    <w:rsid w:val="008E05F6"/>
    <w:rsid w:val="008E05FA"/>
    <w:rsid w:val="008E07E1"/>
    <w:rsid w:val="008E0806"/>
    <w:rsid w:val="008E0A28"/>
    <w:rsid w:val="008E0BC0"/>
    <w:rsid w:val="008E0C4E"/>
    <w:rsid w:val="008E0E81"/>
    <w:rsid w:val="008E0E9E"/>
    <w:rsid w:val="008E0F75"/>
    <w:rsid w:val="008E10C7"/>
    <w:rsid w:val="008E12EB"/>
    <w:rsid w:val="008E1653"/>
    <w:rsid w:val="008E1792"/>
    <w:rsid w:val="008E1806"/>
    <w:rsid w:val="008E1835"/>
    <w:rsid w:val="008E186A"/>
    <w:rsid w:val="008E190D"/>
    <w:rsid w:val="008E1A92"/>
    <w:rsid w:val="008E1A9B"/>
    <w:rsid w:val="008E1B67"/>
    <w:rsid w:val="008E1BEC"/>
    <w:rsid w:val="008E1C7C"/>
    <w:rsid w:val="008E1D33"/>
    <w:rsid w:val="008E1D70"/>
    <w:rsid w:val="008E1E97"/>
    <w:rsid w:val="008E1EA7"/>
    <w:rsid w:val="008E21E1"/>
    <w:rsid w:val="008E225B"/>
    <w:rsid w:val="008E2537"/>
    <w:rsid w:val="008E2853"/>
    <w:rsid w:val="008E28B1"/>
    <w:rsid w:val="008E2985"/>
    <w:rsid w:val="008E29AC"/>
    <w:rsid w:val="008E2A4B"/>
    <w:rsid w:val="008E2AAB"/>
    <w:rsid w:val="008E2ADB"/>
    <w:rsid w:val="008E2AE0"/>
    <w:rsid w:val="008E2BD6"/>
    <w:rsid w:val="008E2CD9"/>
    <w:rsid w:val="008E2DBF"/>
    <w:rsid w:val="008E2EE8"/>
    <w:rsid w:val="008E2F1E"/>
    <w:rsid w:val="008E30E8"/>
    <w:rsid w:val="008E31B2"/>
    <w:rsid w:val="008E3219"/>
    <w:rsid w:val="008E34A1"/>
    <w:rsid w:val="008E34A7"/>
    <w:rsid w:val="008E3586"/>
    <w:rsid w:val="008E35B3"/>
    <w:rsid w:val="008E3786"/>
    <w:rsid w:val="008E3872"/>
    <w:rsid w:val="008E3A4E"/>
    <w:rsid w:val="008E3A91"/>
    <w:rsid w:val="008E3DCC"/>
    <w:rsid w:val="008E41C8"/>
    <w:rsid w:val="008E4276"/>
    <w:rsid w:val="008E43B8"/>
    <w:rsid w:val="008E4487"/>
    <w:rsid w:val="008E4573"/>
    <w:rsid w:val="008E4637"/>
    <w:rsid w:val="008E48DE"/>
    <w:rsid w:val="008E4B38"/>
    <w:rsid w:val="008E4C37"/>
    <w:rsid w:val="008E4DF2"/>
    <w:rsid w:val="008E4E31"/>
    <w:rsid w:val="008E51D3"/>
    <w:rsid w:val="008E5205"/>
    <w:rsid w:val="008E5532"/>
    <w:rsid w:val="008E55A1"/>
    <w:rsid w:val="008E565F"/>
    <w:rsid w:val="008E5748"/>
    <w:rsid w:val="008E580F"/>
    <w:rsid w:val="008E5978"/>
    <w:rsid w:val="008E599A"/>
    <w:rsid w:val="008E59C7"/>
    <w:rsid w:val="008E5A58"/>
    <w:rsid w:val="008E5ABA"/>
    <w:rsid w:val="008E5AFA"/>
    <w:rsid w:val="008E5B0D"/>
    <w:rsid w:val="008E5B96"/>
    <w:rsid w:val="008E5C7F"/>
    <w:rsid w:val="008E5E83"/>
    <w:rsid w:val="008E60ED"/>
    <w:rsid w:val="008E6168"/>
    <w:rsid w:val="008E6190"/>
    <w:rsid w:val="008E64A0"/>
    <w:rsid w:val="008E64FB"/>
    <w:rsid w:val="008E680A"/>
    <w:rsid w:val="008E683B"/>
    <w:rsid w:val="008E6897"/>
    <w:rsid w:val="008E6941"/>
    <w:rsid w:val="008E697C"/>
    <w:rsid w:val="008E6BB6"/>
    <w:rsid w:val="008E6C42"/>
    <w:rsid w:val="008E6CA8"/>
    <w:rsid w:val="008E6D5E"/>
    <w:rsid w:val="008E6D64"/>
    <w:rsid w:val="008E6EA0"/>
    <w:rsid w:val="008E72D1"/>
    <w:rsid w:val="008E7379"/>
    <w:rsid w:val="008E73B4"/>
    <w:rsid w:val="008E7434"/>
    <w:rsid w:val="008E743A"/>
    <w:rsid w:val="008E7504"/>
    <w:rsid w:val="008E7837"/>
    <w:rsid w:val="008E790A"/>
    <w:rsid w:val="008E7924"/>
    <w:rsid w:val="008E79AC"/>
    <w:rsid w:val="008E7B72"/>
    <w:rsid w:val="008E7C09"/>
    <w:rsid w:val="008E7C62"/>
    <w:rsid w:val="008E7D5C"/>
    <w:rsid w:val="008E7E1D"/>
    <w:rsid w:val="008E7E48"/>
    <w:rsid w:val="008E7EB0"/>
    <w:rsid w:val="008EDC24"/>
    <w:rsid w:val="008F0258"/>
    <w:rsid w:val="008F029D"/>
    <w:rsid w:val="008F0321"/>
    <w:rsid w:val="008F045C"/>
    <w:rsid w:val="008F0677"/>
    <w:rsid w:val="008F0724"/>
    <w:rsid w:val="008F07B2"/>
    <w:rsid w:val="008F0E5F"/>
    <w:rsid w:val="008F0FDB"/>
    <w:rsid w:val="008F116A"/>
    <w:rsid w:val="008F12EF"/>
    <w:rsid w:val="008F13B1"/>
    <w:rsid w:val="008F158D"/>
    <w:rsid w:val="008F162B"/>
    <w:rsid w:val="008F166A"/>
    <w:rsid w:val="008F1694"/>
    <w:rsid w:val="008F16CB"/>
    <w:rsid w:val="008F18B9"/>
    <w:rsid w:val="008F19AC"/>
    <w:rsid w:val="008F1B2B"/>
    <w:rsid w:val="008F1B57"/>
    <w:rsid w:val="008F1BF7"/>
    <w:rsid w:val="008F1E92"/>
    <w:rsid w:val="008F1EE0"/>
    <w:rsid w:val="008F1F87"/>
    <w:rsid w:val="008F1F96"/>
    <w:rsid w:val="008F1FC7"/>
    <w:rsid w:val="008F209B"/>
    <w:rsid w:val="008F20E6"/>
    <w:rsid w:val="008F213F"/>
    <w:rsid w:val="008F2328"/>
    <w:rsid w:val="008F238F"/>
    <w:rsid w:val="008F23C5"/>
    <w:rsid w:val="008F2638"/>
    <w:rsid w:val="008F2780"/>
    <w:rsid w:val="008F2848"/>
    <w:rsid w:val="008F29A4"/>
    <w:rsid w:val="008F2B38"/>
    <w:rsid w:val="008F2B7F"/>
    <w:rsid w:val="008F2BED"/>
    <w:rsid w:val="008F2CD7"/>
    <w:rsid w:val="008F2D3A"/>
    <w:rsid w:val="008F2D3D"/>
    <w:rsid w:val="008F2E06"/>
    <w:rsid w:val="008F2E15"/>
    <w:rsid w:val="008F2E26"/>
    <w:rsid w:val="008F31D5"/>
    <w:rsid w:val="008F3273"/>
    <w:rsid w:val="008F32D7"/>
    <w:rsid w:val="008F34B2"/>
    <w:rsid w:val="008F350F"/>
    <w:rsid w:val="008F362B"/>
    <w:rsid w:val="008F39B0"/>
    <w:rsid w:val="008F3CC7"/>
    <w:rsid w:val="008F3D30"/>
    <w:rsid w:val="008F3E86"/>
    <w:rsid w:val="008F3F8C"/>
    <w:rsid w:val="008F40DC"/>
    <w:rsid w:val="008F410B"/>
    <w:rsid w:val="008F42C0"/>
    <w:rsid w:val="008F432A"/>
    <w:rsid w:val="008F4494"/>
    <w:rsid w:val="008F451D"/>
    <w:rsid w:val="008F45E0"/>
    <w:rsid w:val="008F4721"/>
    <w:rsid w:val="008F4B05"/>
    <w:rsid w:val="008F4E16"/>
    <w:rsid w:val="008F4E22"/>
    <w:rsid w:val="008F4FAF"/>
    <w:rsid w:val="008F4FB2"/>
    <w:rsid w:val="008F50A1"/>
    <w:rsid w:val="008F510E"/>
    <w:rsid w:val="008F5150"/>
    <w:rsid w:val="008F5240"/>
    <w:rsid w:val="008F5311"/>
    <w:rsid w:val="008F544B"/>
    <w:rsid w:val="008F5590"/>
    <w:rsid w:val="008F565E"/>
    <w:rsid w:val="008F5661"/>
    <w:rsid w:val="008F5674"/>
    <w:rsid w:val="008F576B"/>
    <w:rsid w:val="008F5AC1"/>
    <w:rsid w:val="008F5AFF"/>
    <w:rsid w:val="008F5B3E"/>
    <w:rsid w:val="008F5B9C"/>
    <w:rsid w:val="008F5D7B"/>
    <w:rsid w:val="008F5E31"/>
    <w:rsid w:val="008F5E7C"/>
    <w:rsid w:val="008F6086"/>
    <w:rsid w:val="008F616F"/>
    <w:rsid w:val="008F639D"/>
    <w:rsid w:val="008F646E"/>
    <w:rsid w:val="008F64E4"/>
    <w:rsid w:val="008F655E"/>
    <w:rsid w:val="008F66DD"/>
    <w:rsid w:val="008F66F3"/>
    <w:rsid w:val="008F6747"/>
    <w:rsid w:val="008F67AF"/>
    <w:rsid w:val="008F681F"/>
    <w:rsid w:val="008F6918"/>
    <w:rsid w:val="008F6A8A"/>
    <w:rsid w:val="008F6CE6"/>
    <w:rsid w:val="008F6EC7"/>
    <w:rsid w:val="008F70A4"/>
    <w:rsid w:val="008F7109"/>
    <w:rsid w:val="008F717A"/>
    <w:rsid w:val="008F7333"/>
    <w:rsid w:val="008F738F"/>
    <w:rsid w:val="008F73A6"/>
    <w:rsid w:val="008F74E5"/>
    <w:rsid w:val="008F7670"/>
    <w:rsid w:val="008F7683"/>
    <w:rsid w:val="008F77FC"/>
    <w:rsid w:val="008F7915"/>
    <w:rsid w:val="008F7A0F"/>
    <w:rsid w:val="008F7A5F"/>
    <w:rsid w:val="008F7B5D"/>
    <w:rsid w:val="008F7B69"/>
    <w:rsid w:val="008F7BD7"/>
    <w:rsid w:val="008F7DEE"/>
    <w:rsid w:val="008F7F5D"/>
    <w:rsid w:val="0090013C"/>
    <w:rsid w:val="0090013D"/>
    <w:rsid w:val="009001A2"/>
    <w:rsid w:val="0090044B"/>
    <w:rsid w:val="009005A9"/>
    <w:rsid w:val="00900717"/>
    <w:rsid w:val="009008A1"/>
    <w:rsid w:val="00900985"/>
    <w:rsid w:val="00900A20"/>
    <w:rsid w:val="00900A2E"/>
    <w:rsid w:val="00900A30"/>
    <w:rsid w:val="00900A5E"/>
    <w:rsid w:val="00900B95"/>
    <w:rsid w:val="00900BF7"/>
    <w:rsid w:val="00900C99"/>
    <w:rsid w:val="00900F3B"/>
    <w:rsid w:val="00901095"/>
    <w:rsid w:val="009010BD"/>
    <w:rsid w:val="00901103"/>
    <w:rsid w:val="0090124A"/>
    <w:rsid w:val="00901487"/>
    <w:rsid w:val="00901686"/>
    <w:rsid w:val="009016E9"/>
    <w:rsid w:val="009017DE"/>
    <w:rsid w:val="0090188E"/>
    <w:rsid w:val="00901945"/>
    <w:rsid w:val="00901A97"/>
    <w:rsid w:val="00901B74"/>
    <w:rsid w:val="00901C7B"/>
    <w:rsid w:val="00901D65"/>
    <w:rsid w:val="00901EAB"/>
    <w:rsid w:val="00901F0A"/>
    <w:rsid w:val="00901F2A"/>
    <w:rsid w:val="00901F91"/>
    <w:rsid w:val="00901FB9"/>
    <w:rsid w:val="00901FC7"/>
    <w:rsid w:val="009020F0"/>
    <w:rsid w:val="0090225F"/>
    <w:rsid w:val="00902321"/>
    <w:rsid w:val="0090232C"/>
    <w:rsid w:val="00902373"/>
    <w:rsid w:val="009024BC"/>
    <w:rsid w:val="009024F7"/>
    <w:rsid w:val="009024FD"/>
    <w:rsid w:val="0090265E"/>
    <w:rsid w:val="0090268B"/>
    <w:rsid w:val="009029D9"/>
    <w:rsid w:val="00902A86"/>
    <w:rsid w:val="00902C79"/>
    <w:rsid w:val="009030A8"/>
    <w:rsid w:val="009031B6"/>
    <w:rsid w:val="00903207"/>
    <w:rsid w:val="00903239"/>
    <w:rsid w:val="00903249"/>
    <w:rsid w:val="00903286"/>
    <w:rsid w:val="009032D0"/>
    <w:rsid w:val="0090334C"/>
    <w:rsid w:val="0090347B"/>
    <w:rsid w:val="0090363D"/>
    <w:rsid w:val="0090399D"/>
    <w:rsid w:val="00903B36"/>
    <w:rsid w:val="00903BCC"/>
    <w:rsid w:val="00903D0E"/>
    <w:rsid w:val="00903DC1"/>
    <w:rsid w:val="00903DDB"/>
    <w:rsid w:val="00903E85"/>
    <w:rsid w:val="00903EFB"/>
    <w:rsid w:val="00904063"/>
    <w:rsid w:val="00904293"/>
    <w:rsid w:val="009046FF"/>
    <w:rsid w:val="009047F1"/>
    <w:rsid w:val="0090484C"/>
    <w:rsid w:val="00904858"/>
    <w:rsid w:val="00904966"/>
    <w:rsid w:val="00904A0E"/>
    <w:rsid w:val="00904B2B"/>
    <w:rsid w:val="00904BDB"/>
    <w:rsid w:val="00904EAD"/>
    <w:rsid w:val="00904F1A"/>
    <w:rsid w:val="00904FC7"/>
    <w:rsid w:val="009050D7"/>
    <w:rsid w:val="0090512E"/>
    <w:rsid w:val="009051E6"/>
    <w:rsid w:val="009052BE"/>
    <w:rsid w:val="0090548C"/>
    <w:rsid w:val="009055C7"/>
    <w:rsid w:val="009056B0"/>
    <w:rsid w:val="009057FF"/>
    <w:rsid w:val="009059E4"/>
    <w:rsid w:val="009059EF"/>
    <w:rsid w:val="00905A80"/>
    <w:rsid w:val="00905B0B"/>
    <w:rsid w:val="00905B54"/>
    <w:rsid w:val="00905E19"/>
    <w:rsid w:val="00906010"/>
    <w:rsid w:val="0090604E"/>
    <w:rsid w:val="009060DD"/>
    <w:rsid w:val="00906146"/>
    <w:rsid w:val="00906366"/>
    <w:rsid w:val="009063C0"/>
    <w:rsid w:val="009064C4"/>
    <w:rsid w:val="00906561"/>
    <w:rsid w:val="0090667D"/>
    <w:rsid w:val="00906752"/>
    <w:rsid w:val="0090675D"/>
    <w:rsid w:val="00906A02"/>
    <w:rsid w:val="00906C08"/>
    <w:rsid w:val="00906E95"/>
    <w:rsid w:val="00906FCB"/>
    <w:rsid w:val="0090700F"/>
    <w:rsid w:val="0090702F"/>
    <w:rsid w:val="00907046"/>
    <w:rsid w:val="00907082"/>
    <w:rsid w:val="0090711A"/>
    <w:rsid w:val="009071A8"/>
    <w:rsid w:val="009071C3"/>
    <w:rsid w:val="009071E4"/>
    <w:rsid w:val="0090755B"/>
    <w:rsid w:val="009075C7"/>
    <w:rsid w:val="0090764F"/>
    <w:rsid w:val="00907876"/>
    <w:rsid w:val="00907A1A"/>
    <w:rsid w:val="00907B82"/>
    <w:rsid w:val="00907D8A"/>
    <w:rsid w:val="00907E2C"/>
    <w:rsid w:val="00907ECC"/>
    <w:rsid w:val="009100A0"/>
    <w:rsid w:val="009100E0"/>
    <w:rsid w:val="009101DB"/>
    <w:rsid w:val="009101F9"/>
    <w:rsid w:val="00910302"/>
    <w:rsid w:val="009103E8"/>
    <w:rsid w:val="0091041B"/>
    <w:rsid w:val="00910552"/>
    <w:rsid w:val="009105D9"/>
    <w:rsid w:val="00910614"/>
    <w:rsid w:val="0091070A"/>
    <w:rsid w:val="0091098A"/>
    <w:rsid w:val="00910A68"/>
    <w:rsid w:val="00910BF4"/>
    <w:rsid w:val="00910C38"/>
    <w:rsid w:val="009110EE"/>
    <w:rsid w:val="0091128A"/>
    <w:rsid w:val="0091145A"/>
    <w:rsid w:val="00911556"/>
    <w:rsid w:val="00911724"/>
    <w:rsid w:val="00911737"/>
    <w:rsid w:val="009117CF"/>
    <w:rsid w:val="009119A5"/>
    <w:rsid w:val="00911A1B"/>
    <w:rsid w:val="00911B5D"/>
    <w:rsid w:val="00911CA8"/>
    <w:rsid w:val="00911E5C"/>
    <w:rsid w:val="00911EF1"/>
    <w:rsid w:val="00912275"/>
    <w:rsid w:val="009123C7"/>
    <w:rsid w:val="00912810"/>
    <w:rsid w:val="0091288D"/>
    <w:rsid w:val="009129B1"/>
    <w:rsid w:val="00912AF3"/>
    <w:rsid w:val="00912B80"/>
    <w:rsid w:val="00912C54"/>
    <w:rsid w:val="00912D54"/>
    <w:rsid w:val="00912E9E"/>
    <w:rsid w:val="00912FA3"/>
    <w:rsid w:val="0091305B"/>
    <w:rsid w:val="009131E4"/>
    <w:rsid w:val="00913255"/>
    <w:rsid w:val="009132C9"/>
    <w:rsid w:val="009134A4"/>
    <w:rsid w:val="009137A4"/>
    <w:rsid w:val="009138DA"/>
    <w:rsid w:val="0091395C"/>
    <w:rsid w:val="00913A23"/>
    <w:rsid w:val="00913A4E"/>
    <w:rsid w:val="00913AEC"/>
    <w:rsid w:val="00913B2C"/>
    <w:rsid w:val="00913B9A"/>
    <w:rsid w:val="00913BE3"/>
    <w:rsid w:val="00913D3F"/>
    <w:rsid w:val="00913DAE"/>
    <w:rsid w:val="00913DB2"/>
    <w:rsid w:val="00913DDF"/>
    <w:rsid w:val="00913FDE"/>
    <w:rsid w:val="00914219"/>
    <w:rsid w:val="00914295"/>
    <w:rsid w:val="009142AF"/>
    <w:rsid w:val="00914513"/>
    <w:rsid w:val="0091464A"/>
    <w:rsid w:val="009146F8"/>
    <w:rsid w:val="00914B6E"/>
    <w:rsid w:val="00914D4D"/>
    <w:rsid w:val="00914D7F"/>
    <w:rsid w:val="00914EA2"/>
    <w:rsid w:val="0091519C"/>
    <w:rsid w:val="009153C2"/>
    <w:rsid w:val="009155EF"/>
    <w:rsid w:val="009156F8"/>
    <w:rsid w:val="00915B98"/>
    <w:rsid w:val="00915C09"/>
    <w:rsid w:val="00915D21"/>
    <w:rsid w:val="00915D9C"/>
    <w:rsid w:val="00915E6C"/>
    <w:rsid w:val="00915FBB"/>
    <w:rsid w:val="009160A3"/>
    <w:rsid w:val="00916142"/>
    <w:rsid w:val="009166A3"/>
    <w:rsid w:val="00916778"/>
    <w:rsid w:val="00916780"/>
    <w:rsid w:val="009169A8"/>
    <w:rsid w:val="00916B60"/>
    <w:rsid w:val="00916CD1"/>
    <w:rsid w:val="00916ED1"/>
    <w:rsid w:val="00916F78"/>
    <w:rsid w:val="009172CC"/>
    <w:rsid w:val="0091741D"/>
    <w:rsid w:val="00917846"/>
    <w:rsid w:val="00917872"/>
    <w:rsid w:val="0091794F"/>
    <w:rsid w:val="00917985"/>
    <w:rsid w:val="009179CB"/>
    <w:rsid w:val="00917AB6"/>
    <w:rsid w:val="00917C1E"/>
    <w:rsid w:val="00917F54"/>
    <w:rsid w:val="00920017"/>
    <w:rsid w:val="0092031B"/>
    <w:rsid w:val="009206A9"/>
    <w:rsid w:val="009208E6"/>
    <w:rsid w:val="00920937"/>
    <w:rsid w:val="00920A27"/>
    <w:rsid w:val="00920B5B"/>
    <w:rsid w:val="00920BE3"/>
    <w:rsid w:val="00920C1E"/>
    <w:rsid w:val="00920D3D"/>
    <w:rsid w:val="00920D94"/>
    <w:rsid w:val="00921014"/>
    <w:rsid w:val="00921257"/>
    <w:rsid w:val="0092137C"/>
    <w:rsid w:val="00921677"/>
    <w:rsid w:val="00921931"/>
    <w:rsid w:val="00921A32"/>
    <w:rsid w:val="00921C0B"/>
    <w:rsid w:val="00921C20"/>
    <w:rsid w:val="00921DAE"/>
    <w:rsid w:val="00921F7F"/>
    <w:rsid w:val="0092204B"/>
    <w:rsid w:val="0092209F"/>
    <w:rsid w:val="00922119"/>
    <w:rsid w:val="00922139"/>
    <w:rsid w:val="009221E2"/>
    <w:rsid w:val="00922217"/>
    <w:rsid w:val="00922400"/>
    <w:rsid w:val="00922563"/>
    <w:rsid w:val="00922591"/>
    <w:rsid w:val="009225E2"/>
    <w:rsid w:val="0092284B"/>
    <w:rsid w:val="00922A3C"/>
    <w:rsid w:val="00922A66"/>
    <w:rsid w:val="00922B22"/>
    <w:rsid w:val="00922C0C"/>
    <w:rsid w:val="00922CB4"/>
    <w:rsid w:val="00922ED1"/>
    <w:rsid w:val="0092338F"/>
    <w:rsid w:val="00923771"/>
    <w:rsid w:val="009237BA"/>
    <w:rsid w:val="00923B16"/>
    <w:rsid w:val="00923B69"/>
    <w:rsid w:val="00923BB8"/>
    <w:rsid w:val="00923BE7"/>
    <w:rsid w:val="00923CAA"/>
    <w:rsid w:val="00923FC1"/>
    <w:rsid w:val="00923FFA"/>
    <w:rsid w:val="009241C0"/>
    <w:rsid w:val="00924577"/>
    <w:rsid w:val="0092475A"/>
    <w:rsid w:val="009247DF"/>
    <w:rsid w:val="0092496C"/>
    <w:rsid w:val="00924B5A"/>
    <w:rsid w:val="00924BCD"/>
    <w:rsid w:val="00924E7D"/>
    <w:rsid w:val="00925001"/>
    <w:rsid w:val="00925047"/>
    <w:rsid w:val="00925069"/>
    <w:rsid w:val="009250A5"/>
    <w:rsid w:val="00925416"/>
    <w:rsid w:val="00925494"/>
    <w:rsid w:val="00925495"/>
    <w:rsid w:val="0092549D"/>
    <w:rsid w:val="0092551F"/>
    <w:rsid w:val="0092553E"/>
    <w:rsid w:val="009255B5"/>
    <w:rsid w:val="00925606"/>
    <w:rsid w:val="00925623"/>
    <w:rsid w:val="009256DE"/>
    <w:rsid w:val="00925CB7"/>
    <w:rsid w:val="00925CFD"/>
    <w:rsid w:val="00925E85"/>
    <w:rsid w:val="00925ED3"/>
    <w:rsid w:val="00925F36"/>
    <w:rsid w:val="0092617B"/>
    <w:rsid w:val="009261F2"/>
    <w:rsid w:val="00926691"/>
    <w:rsid w:val="009267CB"/>
    <w:rsid w:val="00926867"/>
    <w:rsid w:val="009268E5"/>
    <w:rsid w:val="00926930"/>
    <w:rsid w:val="00926B32"/>
    <w:rsid w:val="00926B6A"/>
    <w:rsid w:val="00926DA1"/>
    <w:rsid w:val="00926E3D"/>
    <w:rsid w:val="00926E90"/>
    <w:rsid w:val="00926E9E"/>
    <w:rsid w:val="00926F80"/>
    <w:rsid w:val="00927102"/>
    <w:rsid w:val="0092734F"/>
    <w:rsid w:val="0092757B"/>
    <w:rsid w:val="0092757C"/>
    <w:rsid w:val="009276DC"/>
    <w:rsid w:val="00927980"/>
    <w:rsid w:val="00927A18"/>
    <w:rsid w:val="00927B82"/>
    <w:rsid w:val="00927CB9"/>
    <w:rsid w:val="00927F3C"/>
    <w:rsid w:val="0093006C"/>
    <w:rsid w:val="0093024F"/>
    <w:rsid w:val="009302A5"/>
    <w:rsid w:val="00930323"/>
    <w:rsid w:val="00930344"/>
    <w:rsid w:val="009306AC"/>
    <w:rsid w:val="0093084A"/>
    <w:rsid w:val="00930984"/>
    <w:rsid w:val="009309F4"/>
    <w:rsid w:val="009309F6"/>
    <w:rsid w:val="00930AD6"/>
    <w:rsid w:val="00930C73"/>
    <w:rsid w:val="00930D47"/>
    <w:rsid w:val="00930E04"/>
    <w:rsid w:val="00930E9F"/>
    <w:rsid w:val="00930FE2"/>
    <w:rsid w:val="009310DC"/>
    <w:rsid w:val="00931593"/>
    <w:rsid w:val="009315EE"/>
    <w:rsid w:val="009316D5"/>
    <w:rsid w:val="00931926"/>
    <w:rsid w:val="00931A01"/>
    <w:rsid w:val="00931B47"/>
    <w:rsid w:val="00931B79"/>
    <w:rsid w:val="00931CDB"/>
    <w:rsid w:val="00931D09"/>
    <w:rsid w:val="00931D2C"/>
    <w:rsid w:val="00931E9F"/>
    <w:rsid w:val="00931FC1"/>
    <w:rsid w:val="00932076"/>
    <w:rsid w:val="009320E0"/>
    <w:rsid w:val="009323AD"/>
    <w:rsid w:val="009323D7"/>
    <w:rsid w:val="00932408"/>
    <w:rsid w:val="00932459"/>
    <w:rsid w:val="009324F7"/>
    <w:rsid w:val="009325D4"/>
    <w:rsid w:val="00932713"/>
    <w:rsid w:val="009329C4"/>
    <w:rsid w:val="00932AB5"/>
    <w:rsid w:val="00932CB8"/>
    <w:rsid w:val="00932CC0"/>
    <w:rsid w:val="00932F00"/>
    <w:rsid w:val="0093300B"/>
    <w:rsid w:val="0093330C"/>
    <w:rsid w:val="0093331D"/>
    <w:rsid w:val="0093336F"/>
    <w:rsid w:val="0093348B"/>
    <w:rsid w:val="009334FA"/>
    <w:rsid w:val="00933578"/>
    <w:rsid w:val="009335C3"/>
    <w:rsid w:val="00933644"/>
    <w:rsid w:val="00933741"/>
    <w:rsid w:val="0093376C"/>
    <w:rsid w:val="009338CF"/>
    <w:rsid w:val="009339D6"/>
    <w:rsid w:val="00933A0A"/>
    <w:rsid w:val="00933A37"/>
    <w:rsid w:val="00933D7D"/>
    <w:rsid w:val="00933D81"/>
    <w:rsid w:val="00933D9B"/>
    <w:rsid w:val="00933F3C"/>
    <w:rsid w:val="009341CA"/>
    <w:rsid w:val="009341E7"/>
    <w:rsid w:val="0093422C"/>
    <w:rsid w:val="00934249"/>
    <w:rsid w:val="0093435F"/>
    <w:rsid w:val="009343F5"/>
    <w:rsid w:val="009343F8"/>
    <w:rsid w:val="00934622"/>
    <w:rsid w:val="00934642"/>
    <w:rsid w:val="00934773"/>
    <w:rsid w:val="0093480D"/>
    <w:rsid w:val="0093481D"/>
    <w:rsid w:val="009348B8"/>
    <w:rsid w:val="0093494A"/>
    <w:rsid w:val="00934997"/>
    <w:rsid w:val="009349E8"/>
    <w:rsid w:val="00934A13"/>
    <w:rsid w:val="00934C2C"/>
    <w:rsid w:val="00934D0B"/>
    <w:rsid w:val="00934ED4"/>
    <w:rsid w:val="00934FC4"/>
    <w:rsid w:val="00934FD9"/>
    <w:rsid w:val="00935071"/>
    <w:rsid w:val="00935093"/>
    <w:rsid w:val="0093551C"/>
    <w:rsid w:val="0093569A"/>
    <w:rsid w:val="00935817"/>
    <w:rsid w:val="009358D5"/>
    <w:rsid w:val="00935A15"/>
    <w:rsid w:val="00935A35"/>
    <w:rsid w:val="00935B2B"/>
    <w:rsid w:val="00935BC1"/>
    <w:rsid w:val="00935C32"/>
    <w:rsid w:val="00935C9B"/>
    <w:rsid w:val="00935CB2"/>
    <w:rsid w:val="00935DE2"/>
    <w:rsid w:val="00935ED1"/>
    <w:rsid w:val="00935F1A"/>
    <w:rsid w:val="00935F81"/>
    <w:rsid w:val="00935FC4"/>
    <w:rsid w:val="00936347"/>
    <w:rsid w:val="009363F6"/>
    <w:rsid w:val="00936904"/>
    <w:rsid w:val="0093694B"/>
    <w:rsid w:val="00936961"/>
    <w:rsid w:val="00936A2F"/>
    <w:rsid w:val="00936C89"/>
    <w:rsid w:val="00936C94"/>
    <w:rsid w:val="00936CCB"/>
    <w:rsid w:val="00936CF4"/>
    <w:rsid w:val="00936E72"/>
    <w:rsid w:val="00936EA8"/>
    <w:rsid w:val="00936FBA"/>
    <w:rsid w:val="0093738B"/>
    <w:rsid w:val="00937394"/>
    <w:rsid w:val="009373A4"/>
    <w:rsid w:val="0093744B"/>
    <w:rsid w:val="0093765E"/>
    <w:rsid w:val="009376DD"/>
    <w:rsid w:val="0093774A"/>
    <w:rsid w:val="009377CD"/>
    <w:rsid w:val="00937983"/>
    <w:rsid w:val="00937A91"/>
    <w:rsid w:val="00937DA2"/>
    <w:rsid w:val="00937FC2"/>
    <w:rsid w:val="009400BA"/>
    <w:rsid w:val="009400C4"/>
    <w:rsid w:val="009402D5"/>
    <w:rsid w:val="00940388"/>
    <w:rsid w:val="0094046A"/>
    <w:rsid w:val="0094049B"/>
    <w:rsid w:val="0094051F"/>
    <w:rsid w:val="0094052D"/>
    <w:rsid w:val="0094069C"/>
    <w:rsid w:val="009407C6"/>
    <w:rsid w:val="0094098D"/>
    <w:rsid w:val="00940E80"/>
    <w:rsid w:val="0094111C"/>
    <w:rsid w:val="0094113E"/>
    <w:rsid w:val="0094128D"/>
    <w:rsid w:val="00941336"/>
    <w:rsid w:val="0094147C"/>
    <w:rsid w:val="0094154F"/>
    <w:rsid w:val="0094184C"/>
    <w:rsid w:val="00941867"/>
    <w:rsid w:val="0094191A"/>
    <w:rsid w:val="00941B5E"/>
    <w:rsid w:val="00941DC3"/>
    <w:rsid w:val="00941EE4"/>
    <w:rsid w:val="00941F45"/>
    <w:rsid w:val="00942078"/>
    <w:rsid w:val="009420B7"/>
    <w:rsid w:val="00942236"/>
    <w:rsid w:val="00942386"/>
    <w:rsid w:val="00942462"/>
    <w:rsid w:val="009425F5"/>
    <w:rsid w:val="0094264F"/>
    <w:rsid w:val="009429AB"/>
    <w:rsid w:val="009429BE"/>
    <w:rsid w:val="00942C31"/>
    <w:rsid w:val="00942C6F"/>
    <w:rsid w:val="009433C8"/>
    <w:rsid w:val="0094342A"/>
    <w:rsid w:val="00943557"/>
    <w:rsid w:val="009436AE"/>
    <w:rsid w:val="00943DAB"/>
    <w:rsid w:val="00943DCB"/>
    <w:rsid w:val="00943F85"/>
    <w:rsid w:val="00943FA7"/>
    <w:rsid w:val="00944029"/>
    <w:rsid w:val="0094407D"/>
    <w:rsid w:val="00944082"/>
    <w:rsid w:val="0094413D"/>
    <w:rsid w:val="0094417B"/>
    <w:rsid w:val="00944208"/>
    <w:rsid w:val="009443D7"/>
    <w:rsid w:val="0094447E"/>
    <w:rsid w:val="009444D8"/>
    <w:rsid w:val="009445C4"/>
    <w:rsid w:val="009446B8"/>
    <w:rsid w:val="009446E6"/>
    <w:rsid w:val="00944712"/>
    <w:rsid w:val="009448AA"/>
    <w:rsid w:val="00944B96"/>
    <w:rsid w:val="00944CAB"/>
    <w:rsid w:val="00944CC8"/>
    <w:rsid w:val="00944CD8"/>
    <w:rsid w:val="0094504D"/>
    <w:rsid w:val="00945273"/>
    <w:rsid w:val="009453F4"/>
    <w:rsid w:val="009455D7"/>
    <w:rsid w:val="0094570C"/>
    <w:rsid w:val="00945721"/>
    <w:rsid w:val="0094580D"/>
    <w:rsid w:val="00945935"/>
    <w:rsid w:val="00945A15"/>
    <w:rsid w:val="00945AC2"/>
    <w:rsid w:val="00945B0A"/>
    <w:rsid w:val="00945FF8"/>
    <w:rsid w:val="00946309"/>
    <w:rsid w:val="00946405"/>
    <w:rsid w:val="009466FD"/>
    <w:rsid w:val="00946A8F"/>
    <w:rsid w:val="00946CF9"/>
    <w:rsid w:val="00946DC1"/>
    <w:rsid w:val="00946F60"/>
    <w:rsid w:val="00947058"/>
    <w:rsid w:val="009471A1"/>
    <w:rsid w:val="00947226"/>
    <w:rsid w:val="009472AB"/>
    <w:rsid w:val="00947598"/>
    <w:rsid w:val="009475AD"/>
    <w:rsid w:val="009475B2"/>
    <w:rsid w:val="00947735"/>
    <w:rsid w:val="009477C8"/>
    <w:rsid w:val="00947A65"/>
    <w:rsid w:val="00947A91"/>
    <w:rsid w:val="00947A9D"/>
    <w:rsid w:val="00947B1A"/>
    <w:rsid w:val="00947DCD"/>
    <w:rsid w:val="00947EB1"/>
    <w:rsid w:val="00947EEC"/>
    <w:rsid w:val="0095004C"/>
    <w:rsid w:val="0095007B"/>
    <w:rsid w:val="0095009C"/>
    <w:rsid w:val="0095038E"/>
    <w:rsid w:val="0095045C"/>
    <w:rsid w:val="009505A1"/>
    <w:rsid w:val="00950602"/>
    <w:rsid w:val="0095070F"/>
    <w:rsid w:val="0095075B"/>
    <w:rsid w:val="0095082B"/>
    <w:rsid w:val="00950B5C"/>
    <w:rsid w:val="00950D12"/>
    <w:rsid w:val="00950E44"/>
    <w:rsid w:val="00950EDF"/>
    <w:rsid w:val="00950F08"/>
    <w:rsid w:val="00950F37"/>
    <w:rsid w:val="00951057"/>
    <w:rsid w:val="00951364"/>
    <w:rsid w:val="009514F9"/>
    <w:rsid w:val="0095150A"/>
    <w:rsid w:val="00951521"/>
    <w:rsid w:val="00951703"/>
    <w:rsid w:val="009517D7"/>
    <w:rsid w:val="00951804"/>
    <w:rsid w:val="0095199F"/>
    <w:rsid w:val="00951B96"/>
    <w:rsid w:val="00951BCC"/>
    <w:rsid w:val="00951DF2"/>
    <w:rsid w:val="00951F29"/>
    <w:rsid w:val="0095203C"/>
    <w:rsid w:val="009520AA"/>
    <w:rsid w:val="009521CD"/>
    <w:rsid w:val="00952306"/>
    <w:rsid w:val="00952426"/>
    <w:rsid w:val="00952562"/>
    <w:rsid w:val="00952574"/>
    <w:rsid w:val="0095260F"/>
    <w:rsid w:val="009528B8"/>
    <w:rsid w:val="00952B6A"/>
    <w:rsid w:val="00952BB4"/>
    <w:rsid w:val="00952C3E"/>
    <w:rsid w:val="00952D6E"/>
    <w:rsid w:val="00952E0E"/>
    <w:rsid w:val="00952F8A"/>
    <w:rsid w:val="0095313C"/>
    <w:rsid w:val="009535CA"/>
    <w:rsid w:val="00953B9A"/>
    <w:rsid w:val="00953BB1"/>
    <w:rsid w:val="00953BD3"/>
    <w:rsid w:val="00953F85"/>
    <w:rsid w:val="00954013"/>
    <w:rsid w:val="00954015"/>
    <w:rsid w:val="00954092"/>
    <w:rsid w:val="00954137"/>
    <w:rsid w:val="009542B3"/>
    <w:rsid w:val="0095436D"/>
    <w:rsid w:val="009544A8"/>
    <w:rsid w:val="009544E7"/>
    <w:rsid w:val="00954516"/>
    <w:rsid w:val="0095469A"/>
    <w:rsid w:val="009546C7"/>
    <w:rsid w:val="00954794"/>
    <w:rsid w:val="00954904"/>
    <w:rsid w:val="00954D89"/>
    <w:rsid w:val="00954EB0"/>
    <w:rsid w:val="009550DD"/>
    <w:rsid w:val="009552BF"/>
    <w:rsid w:val="00955316"/>
    <w:rsid w:val="00955380"/>
    <w:rsid w:val="009553D1"/>
    <w:rsid w:val="0095565B"/>
    <w:rsid w:val="009556D6"/>
    <w:rsid w:val="00955864"/>
    <w:rsid w:val="00955867"/>
    <w:rsid w:val="00955870"/>
    <w:rsid w:val="00955896"/>
    <w:rsid w:val="009558E5"/>
    <w:rsid w:val="00955B7C"/>
    <w:rsid w:val="00955BB1"/>
    <w:rsid w:val="00955C5F"/>
    <w:rsid w:val="00955C77"/>
    <w:rsid w:val="00955D9E"/>
    <w:rsid w:val="00955ED4"/>
    <w:rsid w:val="00956038"/>
    <w:rsid w:val="00956084"/>
    <w:rsid w:val="009560C3"/>
    <w:rsid w:val="00956134"/>
    <w:rsid w:val="00956209"/>
    <w:rsid w:val="009562D5"/>
    <w:rsid w:val="0095632F"/>
    <w:rsid w:val="00956412"/>
    <w:rsid w:val="00956489"/>
    <w:rsid w:val="00956640"/>
    <w:rsid w:val="0095686B"/>
    <w:rsid w:val="00956870"/>
    <w:rsid w:val="00956CF7"/>
    <w:rsid w:val="00956E22"/>
    <w:rsid w:val="00956E36"/>
    <w:rsid w:val="00956E59"/>
    <w:rsid w:val="00956EB3"/>
    <w:rsid w:val="009572C3"/>
    <w:rsid w:val="0095730C"/>
    <w:rsid w:val="0095735C"/>
    <w:rsid w:val="009573D0"/>
    <w:rsid w:val="00957652"/>
    <w:rsid w:val="00957788"/>
    <w:rsid w:val="00957793"/>
    <w:rsid w:val="00957830"/>
    <w:rsid w:val="00957833"/>
    <w:rsid w:val="0095786C"/>
    <w:rsid w:val="0095789C"/>
    <w:rsid w:val="0095790E"/>
    <w:rsid w:val="00957992"/>
    <w:rsid w:val="009579DB"/>
    <w:rsid w:val="00957BEC"/>
    <w:rsid w:val="00960148"/>
    <w:rsid w:val="009601C3"/>
    <w:rsid w:val="00960577"/>
    <w:rsid w:val="009606D1"/>
    <w:rsid w:val="00960719"/>
    <w:rsid w:val="00960965"/>
    <w:rsid w:val="00960D2E"/>
    <w:rsid w:val="00960E75"/>
    <w:rsid w:val="00960EF5"/>
    <w:rsid w:val="0096100F"/>
    <w:rsid w:val="009611EB"/>
    <w:rsid w:val="009613D8"/>
    <w:rsid w:val="00961458"/>
    <w:rsid w:val="009614A8"/>
    <w:rsid w:val="00961551"/>
    <w:rsid w:val="00961773"/>
    <w:rsid w:val="0096181B"/>
    <w:rsid w:val="009618BB"/>
    <w:rsid w:val="009618E1"/>
    <w:rsid w:val="009618E4"/>
    <w:rsid w:val="0096192F"/>
    <w:rsid w:val="00961A91"/>
    <w:rsid w:val="00961C49"/>
    <w:rsid w:val="00961CB1"/>
    <w:rsid w:val="00961CDC"/>
    <w:rsid w:val="00961D8C"/>
    <w:rsid w:val="00961E40"/>
    <w:rsid w:val="00961FEA"/>
    <w:rsid w:val="0096203E"/>
    <w:rsid w:val="009621B4"/>
    <w:rsid w:val="00962208"/>
    <w:rsid w:val="009623BE"/>
    <w:rsid w:val="009623F0"/>
    <w:rsid w:val="00962466"/>
    <w:rsid w:val="0096256C"/>
    <w:rsid w:val="009626A3"/>
    <w:rsid w:val="009626B3"/>
    <w:rsid w:val="009627D4"/>
    <w:rsid w:val="00962AA8"/>
    <w:rsid w:val="00962BA8"/>
    <w:rsid w:val="00962BD4"/>
    <w:rsid w:val="00962C21"/>
    <w:rsid w:val="00962F99"/>
    <w:rsid w:val="009631C8"/>
    <w:rsid w:val="0096338A"/>
    <w:rsid w:val="00963442"/>
    <w:rsid w:val="00963450"/>
    <w:rsid w:val="00963478"/>
    <w:rsid w:val="009635D1"/>
    <w:rsid w:val="00963783"/>
    <w:rsid w:val="009637FB"/>
    <w:rsid w:val="009638F6"/>
    <w:rsid w:val="00963A42"/>
    <w:rsid w:val="00963B0F"/>
    <w:rsid w:val="00963B5D"/>
    <w:rsid w:val="00963CFC"/>
    <w:rsid w:val="00963CFF"/>
    <w:rsid w:val="00963DE5"/>
    <w:rsid w:val="00963E35"/>
    <w:rsid w:val="00963E55"/>
    <w:rsid w:val="0096408A"/>
    <w:rsid w:val="009640E9"/>
    <w:rsid w:val="00964381"/>
    <w:rsid w:val="009644EF"/>
    <w:rsid w:val="009649DB"/>
    <w:rsid w:val="00964A43"/>
    <w:rsid w:val="00964D7F"/>
    <w:rsid w:val="00964D80"/>
    <w:rsid w:val="0096509F"/>
    <w:rsid w:val="009650E6"/>
    <w:rsid w:val="009650F3"/>
    <w:rsid w:val="00965139"/>
    <w:rsid w:val="009651B8"/>
    <w:rsid w:val="009651CB"/>
    <w:rsid w:val="00965321"/>
    <w:rsid w:val="009654F1"/>
    <w:rsid w:val="009654F9"/>
    <w:rsid w:val="009654FF"/>
    <w:rsid w:val="00965546"/>
    <w:rsid w:val="00965551"/>
    <w:rsid w:val="009655B0"/>
    <w:rsid w:val="0096588D"/>
    <w:rsid w:val="009658C4"/>
    <w:rsid w:val="00965910"/>
    <w:rsid w:val="0096598C"/>
    <w:rsid w:val="009659A1"/>
    <w:rsid w:val="00965A79"/>
    <w:rsid w:val="00965C81"/>
    <w:rsid w:val="00965CEB"/>
    <w:rsid w:val="00965DF5"/>
    <w:rsid w:val="00965DF6"/>
    <w:rsid w:val="00965EC0"/>
    <w:rsid w:val="0096621A"/>
    <w:rsid w:val="00966222"/>
    <w:rsid w:val="00966361"/>
    <w:rsid w:val="009663E8"/>
    <w:rsid w:val="009664B3"/>
    <w:rsid w:val="0096650C"/>
    <w:rsid w:val="00966607"/>
    <w:rsid w:val="0096661A"/>
    <w:rsid w:val="0096681A"/>
    <w:rsid w:val="009669EF"/>
    <w:rsid w:val="00966E54"/>
    <w:rsid w:val="0096715B"/>
    <w:rsid w:val="00967207"/>
    <w:rsid w:val="00967230"/>
    <w:rsid w:val="00967370"/>
    <w:rsid w:val="0096778A"/>
    <w:rsid w:val="009678F7"/>
    <w:rsid w:val="0096793A"/>
    <w:rsid w:val="00967995"/>
    <w:rsid w:val="00967F33"/>
    <w:rsid w:val="00970029"/>
    <w:rsid w:val="009705E6"/>
    <w:rsid w:val="009708CD"/>
    <w:rsid w:val="00970C83"/>
    <w:rsid w:val="00970CD1"/>
    <w:rsid w:val="00970DAD"/>
    <w:rsid w:val="00970DBD"/>
    <w:rsid w:val="00971129"/>
    <w:rsid w:val="009711B7"/>
    <w:rsid w:val="009715F5"/>
    <w:rsid w:val="009718F3"/>
    <w:rsid w:val="0097191A"/>
    <w:rsid w:val="009719F2"/>
    <w:rsid w:val="00971B7F"/>
    <w:rsid w:val="00971C6B"/>
    <w:rsid w:val="00971CDD"/>
    <w:rsid w:val="00971E43"/>
    <w:rsid w:val="00971ED7"/>
    <w:rsid w:val="00971F07"/>
    <w:rsid w:val="00972172"/>
    <w:rsid w:val="00972223"/>
    <w:rsid w:val="0097238E"/>
    <w:rsid w:val="00972579"/>
    <w:rsid w:val="009726AC"/>
    <w:rsid w:val="00972803"/>
    <w:rsid w:val="00972865"/>
    <w:rsid w:val="0097292B"/>
    <w:rsid w:val="009729CC"/>
    <w:rsid w:val="00972A08"/>
    <w:rsid w:val="00972CE7"/>
    <w:rsid w:val="00972F0E"/>
    <w:rsid w:val="00972F2D"/>
    <w:rsid w:val="00972FF8"/>
    <w:rsid w:val="009730A3"/>
    <w:rsid w:val="009733EC"/>
    <w:rsid w:val="009734C1"/>
    <w:rsid w:val="009735CC"/>
    <w:rsid w:val="009738DF"/>
    <w:rsid w:val="00973987"/>
    <w:rsid w:val="009739DA"/>
    <w:rsid w:val="00973AB3"/>
    <w:rsid w:val="00973AC3"/>
    <w:rsid w:val="00973B37"/>
    <w:rsid w:val="00973C88"/>
    <w:rsid w:val="00973D1A"/>
    <w:rsid w:val="00973F6E"/>
    <w:rsid w:val="009740A9"/>
    <w:rsid w:val="00974247"/>
    <w:rsid w:val="009742B4"/>
    <w:rsid w:val="0097433B"/>
    <w:rsid w:val="00974590"/>
    <w:rsid w:val="00974741"/>
    <w:rsid w:val="00974749"/>
    <w:rsid w:val="0097488C"/>
    <w:rsid w:val="009748FB"/>
    <w:rsid w:val="00974955"/>
    <w:rsid w:val="00974AB9"/>
    <w:rsid w:val="00974CF7"/>
    <w:rsid w:val="00974DE8"/>
    <w:rsid w:val="00974E02"/>
    <w:rsid w:val="00974E1D"/>
    <w:rsid w:val="00974E2D"/>
    <w:rsid w:val="00974F96"/>
    <w:rsid w:val="00975176"/>
    <w:rsid w:val="009751DB"/>
    <w:rsid w:val="009751FB"/>
    <w:rsid w:val="009753D1"/>
    <w:rsid w:val="0097547D"/>
    <w:rsid w:val="009754CF"/>
    <w:rsid w:val="00975518"/>
    <w:rsid w:val="009755A0"/>
    <w:rsid w:val="00975631"/>
    <w:rsid w:val="0097564F"/>
    <w:rsid w:val="00975726"/>
    <w:rsid w:val="00975823"/>
    <w:rsid w:val="00975C88"/>
    <w:rsid w:val="00975E4D"/>
    <w:rsid w:val="00975E50"/>
    <w:rsid w:val="00975F10"/>
    <w:rsid w:val="00975F62"/>
    <w:rsid w:val="00975F8C"/>
    <w:rsid w:val="00976034"/>
    <w:rsid w:val="0097628B"/>
    <w:rsid w:val="0097643F"/>
    <w:rsid w:val="009765F5"/>
    <w:rsid w:val="0097673B"/>
    <w:rsid w:val="009767D0"/>
    <w:rsid w:val="00976905"/>
    <w:rsid w:val="00976978"/>
    <w:rsid w:val="00976B6B"/>
    <w:rsid w:val="00976C29"/>
    <w:rsid w:val="00976CB2"/>
    <w:rsid w:val="00976CE0"/>
    <w:rsid w:val="00976D09"/>
    <w:rsid w:val="00976D5D"/>
    <w:rsid w:val="00976D6F"/>
    <w:rsid w:val="00976EAD"/>
    <w:rsid w:val="00976F2D"/>
    <w:rsid w:val="00977269"/>
    <w:rsid w:val="0097733F"/>
    <w:rsid w:val="00977547"/>
    <w:rsid w:val="0097760A"/>
    <w:rsid w:val="009776AF"/>
    <w:rsid w:val="00977ACD"/>
    <w:rsid w:val="00977AD5"/>
    <w:rsid w:val="00977B4E"/>
    <w:rsid w:val="00977D2D"/>
    <w:rsid w:val="00977E23"/>
    <w:rsid w:val="00980111"/>
    <w:rsid w:val="00980125"/>
    <w:rsid w:val="00980369"/>
    <w:rsid w:val="009805D8"/>
    <w:rsid w:val="0098075F"/>
    <w:rsid w:val="00980798"/>
    <w:rsid w:val="009808BB"/>
    <w:rsid w:val="00980997"/>
    <w:rsid w:val="00980A1E"/>
    <w:rsid w:val="00980ABD"/>
    <w:rsid w:val="00980EA7"/>
    <w:rsid w:val="00980EE9"/>
    <w:rsid w:val="00981061"/>
    <w:rsid w:val="009810FE"/>
    <w:rsid w:val="0098119F"/>
    <w:rsid w:val="009812DF"/>
    <w:rsid w:val="009812F2"/>
    <w:rsid w:val="00981349"/>
    <w:rsid w:val="0098164F"/>
    <w:rsid w:val="009817B3"/>
    <w:rsid w:val="009818DF"/>
    <w:rsid w:val="009818EA"/>
    <w:rsid w:val="00981905"/>
    <w:rsid w:val="0098190A"/>
    <w:rsid w:val="00981959"/>
    <w:rsid w:val="00981C09"/>
    <w:rsid w:val="00981C31"/>
    <w:rsid w:val="00981CE6"/>
    <w:rsid w:val="00981CF5"/>
    <w:rsid w:val="00981D20"/>
    <w:rsid w:val="00981ECA"/>
    <w:rsid w:val="009820BE"/>
    <w:rsid w:val="00982102"/>
    <w:rsid w:val="00982106"/>
    <w:rsid w:val="00982123"/>
    <w:rsid w:val="00982354"/>
    <w:rsid w:val="00982385"/>
    <w:rsid w:val="009823AF"/>
    <w:rsid w:val="009823E8"/>
    <w:rsid w:val="0098242E"/>
    <w:rsid w:val="00982636"/>
    <w:rsid w:val="00982B6D"/>
    <w:rsid w:val="00982C39"/>
    <w:rsid w:val="00982DB0"/>
    <w:rsid w:val="00982DD3"/>
    <w:rsid w:val="0098301D"/>
    <w:rsid w:val="00983080"/>
    <w:rsid w:val="00983084"/>
    <w:rsid w:val="00983096"/>
    <w:rsid w:val="009832C9"/>
    <w:rsid w:val="009833A1"/>
    <w:rsid w:val="0098353F"/>
    <w:rsid w:val="00983558"/>
    <w:rsid w:val="009836DF"/>
    <w:rsid w:val="00983963"/>
    <w:rsid w:val="00983A69"/>
    <w:rsid w:val="00983B94"/>
    <w:rsid w:val="00983B98"/>
    <w:rsid w:val="00983BFC"/>
    <w:rsid w:val="00983CA8"/>
    <w:rsid w:val="00983CC0"/>
    <w:rsid w:val="00983D1A"/>
    <w:rsid w:val="00983F2E"/>
    <w:rsid w:val="00984028"/>
    <w:rsid w:val="00984091"/>
    <w:rsid w:val="009840E4"/>
    <w:rsid w:val="009845A9"/>
    <w:rsid w:val="009845BA"/>
    <w:rsid w:val="00984737"/>
    <w:rsid w:val="00984A26"/>
    <w:rsid w:val="00984B42"/>
    <w:rsid w:val="00984BD8"/>
    <w:rsid w:val="00984C33"/>
    <w:rsid w:val="00984EF6"/>
    <w:rsid w:val="009853B5"/>
    <w:rsid w:val="00985681"/>
    <w:rsid w:val="009856FF"/>
    <w:rsid w:val="00985826"/>
    <w:rsid w:val="00985894"/>
    <w:rsid w:val="0098598A"/>
    <w:rsid w:val="00985B5E"/>
    <w:rsid w:val="00985BB3"/>
    <w:rsid w:val="00985C35"/>
    <w:rsid w:val="00985DC4"/>
    <w:rsid w:val="00985E0E"/>
    <w:rsid w:val="00985EE0"/>
    <w:rsid w:val="00986220"/>
    <w:rsid w:val="00986393"/>
    <w:rsid w:val="009864CD"/>
    <w:rsid w:val="00986564"/>
    <w:rsid w:val="009865D3"/>
    <w:rsid w:val="009866EE"/>
    <w:rsid w:val="0098678B"/>
    <w:rsid w:val="0098686C"/>
    <w:rsid w:val="00986A06"/>
    <w:rsid w:val="00986A3E"/>
    <w:rsid w:val="00986A7F"/>
    <w:rsid w:val="00986AA0"/>
    <w:rsid w:val="00986B20"/>
    <w:rsid w:val="00986CA0"/>
    <w:rsid w:val="00986D2E"/>
    <w:rsid w:val="00986E50"/>
    <w:rsid w:val="00986E93"/>
    <w:rsid w:val="00987108"/>
    <w:rsid w:val="009871BC"/>
    <w:rsid w:val="009871D2"/>
    <w:rsid w:val="00987325"/>
    <w:rsid w:val="0098748F"/>
    <w:rsid w:val="009875D9"/>
    <w:rsid w:val="009875F7"/>
    <w:rsid w:val="0098766D"/>
    <w:rsid w:val="009876E1"/>
    <w:rsid w:val="009877A4"/>
    <w:rsid w:val="0098790C"/>
    <w:rsid w:val="0098790F"/>
    <w:rsid w:val="009879C9"/>
    <w:rsid w:val="00987A4C"/>
    <w:rsid w:val="00987C62"/>
    <w:rsid w:val="00987C92"/>
    <w:rsid w:val="00990128"/>
    <w:rsid w:val="00990253"/>
    <w:rsid w:val="00990293"/>
    <w:rsid w:val="009902B8"/>
    <w:rsid w:val="0099033F"/>
    <w:rsid w:val="00990691"/>
    <w:rsid w:val="009907E5"/>
    <w:rsid w:val="0099081A"/>
    <w:rsid w:val="009908BB"/>
    <w:rsid w:val="00990A49"/>
    <w:rsid w:val="00990C31"/>
    <w:rsid w:val="00990C81"/>
    <w:rsid w:val="00990D13"/>
    <w:rsid w:val="00990DCE"/>
    <w:rsid w:val="00990EA7"/>
    <w:rsid w:val="00990FFF"/>
    <w:rsid w:val="009910C5"/>
    <w:rsid w:val="00991135"/>
    <w:rsid w:val="0099126A"/>
    <w:rsid w:val="00991394"/>
    <w:rsid w:val="009914CF"/>
    <w:rsid w:val="0099153F"/>
    <w:rsid w:val="009916C5"/>
    <w:rsid w:val="00991794"/>
    <w:rsid w:val="009917BD"/>
    <w:rsid w:val="009918B1"/>
    <w:rsid w:val="009919C9"/>
    <w:rsid w:val="00991A60"/>
    <w:rsid w:val="00991C92"/>
    <w:rsid w:val="00991CC1"/>
    <w:rsid w:val="00991D30"/>
    <w:rsid w:val="00991E60"/>
    <w:rsid w:val="00991E9D"/>
    <w:rsid w:val="00991EAB"/>
    <w:rsid w:val="00991F4D"/>
    <w:rsid w:val="0099240C"/>
    <w:rsid w:val="00992479"/>
    <w:rsid w:val="00992628"/>
    <w:rsid w:val="0099287E"/>
    <w:rsid w:val="009929A6"/>
    <w:rsid w:val="00992A90"/>
    <w:rsid w:val="00992D28"/>
    <w:rsid w:val="00992D88"/>
    <w:rsid w:val="00992E11"/>
    <w:rsid w:val="00992F28"/>
    <w:rsid w:val="00992F2A"/>
    <w:rsid w:val="0099315D"/>
    <w:rsid w:val="0099333C"/>
    <w:rsid w:val="00993422"/>
    <w:rsid w:val="00993448"/>
    <w:rsid w:val="00993520"/>
    <w:rsid w:val="00993558"/>
    <w:rsid w:val="00993624"/>
    <w:rsid w:val="0099362A"/>
    <w:rsid w:val="0099380F"/>
    <w:rsid w:val="009938AD"/>
    <w:rsid w:val="00993AFC"/>
    <w:rsid w:val="00993BBC"/>
    <w:rsid w:val="00993C22"/>
    <w:rsid w:val="00993DB3"/>
    <w:rsid w:val="00993E4C"/>
    <w:rsid w:val="00993EA2"/>
    <w:rsid w:val="00994365"/>
    <w:rsid w:val="0099436D"/>
    <w:rsid w:val="009943CA"/>
    <w:rsid w:val="0099443C"/>
    <w:rsid w:val="0099446D"/>
    <w:rsid w:val="00994495"/>
    <w:rsid w:val="009944D7"/>
    <w:rsid w:val="009944E6"/>
    <w:rsid w:val="00994661"/>
    <w:rsid w:val="0099482F"/>
    <w:rsid w:val="0099487F"/>
    <w:rsid w:val="009948B3"/>
    <w:rsid w:val="009948E7"/>
    <w:rsid w:val="00994A03"/>
    <w:rsid w:val="00994A86"/>
    <w:rsid w:val="00994B6C"/>
    <w:rsid w:val="00994B7D"/>
    <w:rsid w:val="00994BAF"/>
    <w:rsid w:val="00994E7F"/>
    <w:rsid w:val="0099512E"/>
    <w:rsid w:val="00995169"/>
    <w:rsid w:val="00995178"/>
    <w:rsid w:val="00995378"/>
    <w:rsid w:val="009954CC"/>
    <w:rsid w:val="0099562F"/>
    <w:rsid w:val="00995633"/>
    <w:rsid w:val="009957B4"/>
    <w:rsid w:val="0099582B"/>
    <w:rsid w:val="009958B7"/>
    <w:rsid w:val="00995978"/>
    <w:rsid w:val="00995B4A"/>
    <w:rsid w:val="00995B98"/>
    <w:rsid w:val="00995BB4"/>
    <w:rsid w:val="00995CAF"/>
    <w:rsid w:val="00995CB0"/>
    <w:rsid w:val="00995DCC"/>
    <w:rsid w:val="00995F15"/>
    <w:rsid w:val="00995F1C"/>
    <w:rsid w:val="00995FA8"/>
    <w:rsid w:val="00996121"/>
    <w:rsid w:val="00996239"/>
    <w:rsid w:val="00996244"/>
    <w:rsid w:val="0099636C"/>
    <w:rsid w:val="00996370"/>
    <w:rsid w:val="009963C2"/>
    <w:rsid w:val="0099660B"/>
    <w:rsid w:val="00996656"/>
    <w:rsid w:val="009967D5"/>
    <w:rsid w:val="00996898"/>
    <w:rsid w:val="00996A05"/>
    <w:rsid w:val="00996D81"/>
    <w:rsid w:val="00996FA9"/>
    <w:rsid w:val="0099703E"/>
    <w:rsid w:val="00997100"/>
    <w:rsid w:val="009971D7"/>
    <w:rsid w:val="009971F7"/>
    <w:rsid w:val="0099723E"/>
    <w:rsid w:val="009972A8"/>
    <w:rsid w:val="009973F3"/>
    <w:rsid w:val="00997416"/>
    <w:rsid w:val="009975EF"/>
    <w:rsid w:val="00997620"/>
    <w:rsid w:val="0099763C"/>
    <w:rsid w:val="00997774"/>
    <w:rsid w:val="00997783"/>
    <w:rsid w:val="00997A9A"/>
    <w:rsid w:val="00997BB1"/>
    <w:rsid w:val="00997CBA"/>
    <w:rsid w:val="00997D04"/>
    <w:rsid w:val="00997DE0"/>
    <w:rsid w:val="00997E21"/>
    <w:rsid w:val="00997EFB"/>
    <w:rsid w:val="00997F42"/>
    <w:rsid w:val="00997FC4"/>
    <w:rsid w:val="009A0179"/>
    <w:rsid w:val="009A02F0"/>
    <w:rsid w:val="009A03E0"/>
    <w:rsid w:val="009A03E2"/>
    <w:rsid w:val="009A03E4"/>
    <w:rsid w:val="009A0475"/>
    <w:rsid w:val="009A049B"/>
    <w:rsid w:val="009A049D"/>
    <w:rsid w:val="009A0553"/>
    <w:rsid w:val="009A05CF"/>
    <w:rsid w:val="009A0767"/>
    <w:rsid w:val="009A089E"/>
    <w:rsid w:val="009A095B"/>
    <w:rsid w:val="009A0A07"/>
    <w:rsid w:val="009A0A6B"/>
    <w:rsid w:val="009A0B18"/>
    <w:rsid w:val="009A0B55"/>
    <w:rsid w:val="009A0C02"/>
    <w:rsid w:val="009A0D1B"/>
    <w:rsid w:val="009A0D77"/>
    <w:rsid w:val="009A0E47"/>
    <w:rsid w:val="009A0E93"/>
    <w:rsid w:val="009A0EC8"/>
    <w:rsid w:val="009A1046"/>
    <w:rsid w:val="009A1665"/>
    <w:rsid w:val="009A1694"/>
    <w:rsid w:val="009A1838"/>
    <w:rsid w:val="009A18BE"/>
    <w:rsid w:val="009A1917"/>
    <w:rsid w:val="009A1980"/>
    <w:rsid w:val="009A1A41"/>
    <w:rsid w:val="009A1D6D"/>
    <w:rsid w:val="009A1DAD"/>
    <w:rsid w:val="009A1E2A"/>
    <w:rsid w:val="009A1E93"/>
    <w:rsid w:val="009A1F67"/>
    <w:rsid w:val="009A20B6"/>
    <w:rsid w:val="009A212D"/>
    <w:rsid w:val="009A2268"/>
    <w:rsid w:val="009A22F9"/>
    <w:rsid w:val="009A274C"/>
    <w:rsid w:val="009A2980"/>
    <w:rsid w:val="009A2AAD"/>
    <w:rsid w:val="009A2B41"/>
    <w:rsid w:val="009A2C59"/>
    <w:rsid w:val="009A2C88"/>
    <w:rsid w:val="009A2DAC"/>
    <w:rsid w:val="009A2DF5"/>
    <w:rsid w:val="009A2E5B"/>
    <w:rsid w:val="009A2EFA"/>
    <w:rsid w:val="009A2F34"/>
    <w:rsid w:val="009A2FD8"/>
    <w:rsid w:val="009A30CE"/>
    <w:rsid w:val="009A345A"/>
    <w:rsid w:val="009A3548"/>
    <w:rsid w:val="009A36DE"/>
    <w:rsid w:val="009A36ED"/>
    <w:rsid w:val="009A3939"/>
    <w:rsid w:val="009A3A09"/>
    <w:rsid w:val="009A3A51"/>
    <w:rsid w:val="009A3ABA"/>
    <w:rsid w:val="009A3CB6"/>
    <w:rsid w:val="009A3F8B"/>
    <w:rsid w:val="009A4031"/>
    <w:rsid w:val="009A406C"/>
    <w:rsid w:val="009A4110"/>
    <w:rsid w:val="009A4190"/>
    <w:rsid w:val="009A41CE"/>
    <w:rsid w:val="009A492A"/>
    <w:rsid w:val="009A4A47"/>
    <w:rsid w:val="009A4C1B"/>
    <w:rsid w:val="009A4F17"/>
    <w:rsid w:val="009A4F9E"/>
    <w:rsid w:val="009A5037"/>
    <w:rsid w:val="009A5168"/>
    <w:rsid w:val="009A525D"/>
    <w:rsid w:val="009A54F8"/>
    <w:rsid w:val="009A585A"/>
    <w:rsid w:val="009A58CD"/>
    <w:rsid w:val="009A5906"/>
    <w:rsid w:val="009A591D"/>
    <w:rsid w:val="009A5AFA"/>
    <w:rsid w:val="009A5B18"/>
    <w:rsid w:val="009A5C14"/>
    <w:rsid w:val="009A5E05"/>
    <w:rsid w:val="009A6629"/>
    <w:rsid w:val="009A6632"/>
    <w:rsid w:val="009A672D"/>
    <w:rsid w:val="009A674E"/>
    <w:rsid w:val="009A6867"/>
    <w:rsid w:val="009A688F"/>
    <w:rsid w:val="009A6A79"/>
    <w:rsid w:val="009A6CAE"/>
    <w:rsid w:val="009A6D0D"/>
    <w:rsid w:val="009A6D2F"/>
    <w:rsid w:val="009A6DB1"/>
    <w:rsid w:val="009A6DD9"/>
    <w:rsid w:val="009A6DFA"/>
    <w:rsid w:val="009A6DFC"/>
    <w:rsid w:val="009A6EF4"/>
    <w:rsid w:val="009A6F1F"/>
    <w:rsid w:val="009A706D"/>
    <w:rsid w:val="009A71BA"/>
    <w:rsid w:val="009A7528"/>
    <w:rsid w:val="009A7593"/>
    <w:rsid w:val="009A75E8"/>
    <w:rsid w:val="009A7755"/>
    <w:rsid w:val="009A7959"/>
    <w:rsid w:val="009A799D"/>
    <w:rsid w:val="009A79B8"/>
    <w:rsid w:val="009A7A5B"/>
    <w:rsid w:val="009A7B32"/>
    <w:rsid w:val="009A7CBB"/>
    <w:rsid w:val="009A7CD7"/>
    <w:rsid w:val="009A7CDB"/>
    <w:rsid w:val="009A7CF8"/>
    <w:rsid w:val="009A7D7A"/>
    <w:rsid w:val="009A7E9D"/>
    <w:rsid w:val="009B0011"/>
    <w:rsid w:val="009B017D"/>
    <w:rsid w:val="009B02B8"/>
    <w:rsid w:val="009B039A"/>
    <w:rsid w:val="009B07AC"/>
    <w:rsid w:val="009B082A"/>
    <w:rsid w:val="009B0A90"/>
    <w:rsid w:val="009B0AA8"/>
    <w:rsid w:val="009B0D95"/>
    <w:rsid w:val="009B0EB8"/>
    <w:rsid w:val="009B0F39"/>
    <w:rsid w:val="009B1009"/>
    <w:rsid w:val="009B11D0"/>
    <w:rsid w:val="009B1301"/>
    <w:rsid w:val="009B140B"/>
    <w:rsid w:val="009B141B"/>
    <w:rsid w:val="009B15AA"/>
    <w:rsid w:val="009B16A6"/>
    <w:rsid w:val="009B16BF"/>
    <w:rsid w:val="009B186A"/>
    <w:rsid w:val="009B1B30"/>
    <w:rsid w:val="009B1D27"/>
    <w:rsid w:val="009B1E02"/>
    <w:rsid w:val="009B1EC0"/>
    <w:rsid w:val="009B2190"/>
    <w:rsid w:val="009B228F"/>
    <w:rsid w:val="009B24D8"/>
    <w:rsid w:val="009B26F5"/>
    <w:rsid w:val="009B2973"/>
    <w:rsid w:val="009B2A24"/>
    <w:rsid w:val="009B2A43"/>
    <w:rsid w:val="009B2C6C"/>
    <w:rsid w:val="009B2F33"/>
    <w:rsid w:val="009B2FF4"/>
    <w:rsid w:val="009B30F8"/>
    <w:rsid w:val="009B326F"/>
    <w:rsid w:val="009B329B"/>
    <w:rsid w:val="009B32C2"/>
    <w:rsid w:val="009B32E8"/>
    <w:rsid w:val="009B32ED"/>
    <w:rsid w:val="009B32FE"/>
    <w:rsid w:val="009B3398"/>
    <w:rsid w:val="009B3519"/>
    <w:rsid w:val="009B358C"/>
    <w:rsid w:val="009B3630"/>
    <w:rsid w:val="009B376A"/>
    <w:rsid w:val="009B3AF5"/>
    <w:rsid w:val="009B3F12"/>
    <w:rsid w:val="009B3FED"/>
    <w:rsid w:val="009B4278"/>
    <w:rsid w:val="009B4584"/>
    <w:rsid w:val="009B45CA"/>
    <w:rsid w:val="009B462B"/>
    <w:rsid w:val="009B4877"/>
    <w:rsid w:val="009B4C7C"/>
    <w:rsid w:val="009B4E35"/>
    <w:rsid w:val="009B501C"/>
    <w:rsid w:val="009B501F"/>
    <w:rsid w:val="009B5092"/>
    <w:rsid w:val="009B50EE"/>
    <w:rsid w:val="009B51C9"/>
    <w:rsid w:val="009B5228"/>
    <w:rsid w:val="009B524F"/>
    <w:rsid w:val="009B530C"/>
    <w:rsid w:val="009B53DE"/>
    <w:rsid w:val="009B5484"/>
    <w:rsid w:val="009B5511"/>
    <w:rsid w:val="009B555D"/>
    <w:rsid w:val="009B558D"/>
    <w:rsid w:val="009B55AC"/>
    <w:rsid w:val="009B55F9"/>
    <w:rsid w:val="009B5682"/>
    <w:rsid w:val="009B569F"/>
    <w:rsid w:val="009B57AC"/>
    <w:rsid w:val="009B588B"/>
    <w:rsid w:val="009B5A73"/>
    <w:rsid w:val="009B5B9F"/>
    <w:rsid w:val="009B5BD0"/>
    <w:rsid w:val="009B5D27"/>
    <w:rsid w:val="009B5E84"/>
    <w:rsid w:val="009B5F5E"/>
    <w:rsid w:val="009B6154"/>
    <w:rsid w:val="009B61E6"/>
    <w:rsid w:val="009B63EE"/>
    <w:rsid w:val="009B64EB"/>
    <w:rsid w:val="009B657E"/>
    <w:rsid w:val="009B6754"/>
    <w:rsid w:val="009B67EB"/>
    <w:rsid w:val="009B6917"/>
    <w:rsid w:val="009B6A3F"/>
    <w:rsid w:val="009B6B44"/>
    <w:rsid w:val="009B6B54"/>
    <w:rsid w:val="009B6BEB"/>
    <w:rsid w:val="009B6C5E"/>
    <w:rsid w:val="009B6D33"/>
    <w:rsid w:val="009B6DB2"/>
    <w:rsid w:val="009B73F2"/>
    <w:rsid w:val="009B740D"/>
    <w:rsid w:val="009B74FB"/>
    <w:rsid w:val="009B7557"/>
    <w:rsid w:val="009B757A"/>
    <w:rsid w:val="009B757E"/>
    <w:rsid w:val="009B77DC"/>
    <w:rsid w:val="009B78AD"/>
    <w:rsid w:val="009B79AC"/>
    <w:rsid w:val="009B7AAF"/>
    <w:rsid w:val="009B7B83"/>
    <w:rsid w:val="009B7C59"/>
    <w:rsid w:val="009B7DE9"/>
    <w:rsid w:val="009B7F66"/>
    <w:rsid w:val="009C0027"/>
    <w:rsid w:val="009C0189"/>
    <w:rsid w:val="009C0461"/>
    <w:rsid w:val="009C067B"/>
    <w:rsid w:val="009C0776"/>
    <w:rsid w:val="009C0860"/>
    <w:rsid w:val="009C08C9"/>
    <w:rsid w:val="009C092B"/>
    <w:rsid w:val="009C09CC"/>
    <w:rsid w:val="009C0A35"/>
    <w:rsid w:val="009C0C4F"/>
    <w:rsid w:val="009C0D12"/>
    <w:rsid w:val="009C0D40"/>
    <w:rsid w:val="009C0E79"/>
    <w:rsid w:val="009C0EDA"/>
    <w:rsid w:val="009C0F4A"/>
    <w:rsid w:val="009C0F67"/>
    <w:rsid w:val="009C1021"/>
    <w:rsid w:val="009C1085"/>
    <w:rsid w:val="009C1525"/>
    <w:rsid w:val="009C156A"/>
    <w:rsid w:val="009C1768"/>
    <w:rsid w:val="009C1AC4"/>
    <w:rsid w:val="009C1B59"/>
    <w:rsid w:val="009C1B90"/>
    <w:rsid w:val="009C1BB9"/>
    <w:rsid w:val="009C1D55"/>
    <w:rsid w:val="009C1DA1"/>
    <w:rsid w:val="009C1EC3"/>
    <w:rsid w:val="009C1F3E"/>
    <w:rsid w:val="009C1F64"/>
    <w:rsid w:val="009C2071"/>
    <w:rsid w:val="009C21FF"/>
    <w:rsid w:val="009C2387"/>
    <w:rsid w:val="009C24FB"/>
    <w:rsid w:val="009C2537"/>
    <w:rsid w:val="009C25E5"/>
    <w:rsid w:val="009C25EE"/>
    <w:rsid w:val="009C2652"/>
    <w:rsid w:val="009C26FF"/>
    <w:rsid w:val="009C289B"/>
    <w:rsid w:val="009C2A63"/>
    <w:rsid w:val="009C2BF0"/>
    <w:rsid w:val="009C2D27"/>
    <w:rsid w:val="009C2D73"/>
    <w:rsid w:val="009C2DA5"/>
    <w:rsid w:val="009C2E41"/>
    <w:rsid w:val="009C30BC"/>
    <w:rsid w:val="009C317E"/>
    <w:rsid w:val="009C31D2"/>
    <w:rsid w:val="009C320C"/>
    <w:rsid w:val="009C33A0"/>
    <w:rsid w:val="009C33F1"/>
    <w:rsid w:val="009C3406"/>
    <w:rsid w:val="009C350A"/>
    <w:rsid w:val="009C3588"/>
    <w:rsid w:val="009C369B"/>
    <w:rsid w:val="009C3A8B"/>
    <w:rsid w:val="009C3B3C"/>
    <w:rsid w:val="009C3CBC"/>
    <w:rsid w:val="009C3D5B"/>
    <w:rsid w:val="009C40BA"/>
    <w:rsid w:val="009C40D4"/>
    <w:rsid w:val="009C411C"/>
    <w:rsid w:val="009C43F7"/>
    <w:rsid w:val="009C4643"/>
    <w:rsid w:val="009C4675"/>
    <w:rsid w:val="009C472B"/>
    <w:rsid w:val="009C4755"/>
    <w:rsid w:val="009C47C4"/>
    <w:rsid w:val="009C489C"/>
    <w:rsid w:val="009C48C2"/>
    <w:rsid w:val="009C48D9"/>
    <w:rsid w:val="009C494B"/>
    <w:rsid w:val="009C4955"/>
    <w:rsid w:val="009C49D9"/>
    <w:rsid w:val="009C4A66"/>
    <w:rsid w:val="009C4B64"/>
    <w:rsid w:val="009C4BF0"/>
    <w:rsid w:val="009C4BF1"/>
    <w:rsid w:val="009C4D30"/>
    <w:rsid w:val="009C5075"/>
    <w:rsid w:val="009C509D"/>
    <w:rsid w:val="009C516F"/>
    <w:rsid w:val="009C526D"/>
    <w:rsid w:val="009C5276"/>
    <w:rsid w:val="009C531B"/>
    <w:rsid w:val="009C53EB"/>
    <w:rsid w:val="009C5427"/>
    <w:rsid w:val="009C5429"/>
    <w:rsid w:val="009C54C7"/>
    <w:rsid w:val="009C553D"/>
    <w:rsid w:val="009C55DF"/>
    <w:rsid w:val="009C5615"/>
    <w:rsid w:val="009C56A9"/>
    <w:rsid w:val="009C579C"/>
    <w:rsid w:val="009C57AE"/>
    <w:rsid w:val="009C589D"/>
    <w:rsid w:val="009C5987"/>
    <w:rsid w:val="009C5BEA"/>
    <w:rsid w:val="009C5C83"/>
    <w:rsid w:val="009C5DD7"/>
    <w:rsid w:val="009C5EE7"/>
    <w:rsid w:val="009C5F19"/>
    <w:rsid w:val="009C5F59"/>
    <w:rsid w:val="009C5FED"/>
    <w:rsid w:val="009C6761"/>
    <w:rsid w:val="009C67BA"/>
    <w:rsid w:val="009C6823"/>
    <w:rsid w:val="009C68D0"/>
    <w:rsid w:val="009C6A02"/>
    <w:rsid w:val="009C6ACD"/>
    <w:rsid w:val="009C6B39"/>
    <w:rsid w:val="009C6BF6"/>
    <w:rsid w:val="009C6CC6"/>
    <w:rsid w:val="009C6F33"/>
    <w:rsid w:val="009C7332"/>
    <w:rsid w:val="009C73B7"/>
    <w:rsid w:val="009C73E8"/>
    <w:rsid w:val="009C75B9"/>
    <w:rsid w:val="009C76FA"/>
    <w:rsid w:val="009C78D0"/>
    <w:rsid w:val="009C7A44"/>
    <w:rsid w:val="009C7A5D"/>
    <w:rsid w:val="009C7AA5"/>
    <w:rsid w:val="009C7ACE"/>
    <w:rsid w:val="009C7DB9"/>
    <w:rsid w:val="009C7E89"/>
    <w:rsid w:val="009C7E8B"/>
    <w:rsid w:val="009D0008"/>
    <w:rsid w:val="009D0022"/>
    <w:rsid w:val="009D0198"/>
    <w:rsid w:val="009D01A2"/>
    <w:rsid w:val="009D0206"/>
    <w:rsid w:val="009D0217"/>
    <w:rsid w:val="009D0388"/>
    <w:rsid w:val="009D04AD"/>
    <w:rsid w:val="009D050A"/>
    <w:rsid w:val="009D060B"/>
    <w:rsid w:val="009D0646"/>
    <w:rsid w:val="009D066F"/>
    <w:rsid w:val="009D09EB"/>
    <w:rsid w:val="009D0C15"/>
    <w:rsid w:val="009D0C44"/>
    <w:rsid w:val="009D0DD4"/>
    <w:rsid w:val="009D0E2A"/>
    <w:rsid w:val="009D0F6E"/>
    <w:rsid w:val="009D0FA0"/>
    <w:rsid w:val="009D117E"/>
    <w:rsid w:val="009D120E"/>
    <w:rsid w:val="009D1233"/>
    <w:rsid w:val="009D1328"/>
    <w:rsid w:val="009D13BD"/>
    <w:rsid w:val="009D13EB"/>
    <w:rsid w:val="009D1772"/>
    <w:rsid w:val="009D1A14"/>
    <w:rsid w:val="009D1A4E"/>
    <w:rsid w:val="009D1A83"/>
    <w:rsid w:val="009D1B8A"/>
    <w:rsid w:val="009D1D48"/>
    <w:rsid w:val="009D1DAC"/>
    <w:rsid w:val="009D1E50"/>
    <w:rsid w:val="009D1F9B"/>
    <w:rsid w:val="009D2023"/>
    <w:rsid w:val="009D20AE"/>
    <w:rsid w:val="009D2190"/>
    <w:rsid w:val="009D21CE"/>
    <w:rsid w:val="009D23CB"/>
    <w:rsid w:val="009D24A4"/>
    <w:rsid w:val="009D25AB"/>
    <w:rsid w:val="009D2830"/>
    <w:rsid w:val="009D2B09"/>
    <w:rsid w:val="009D2B3E"/>
    <w:rsid w:val="009D2D7F"/>
    <w:rsid w:val="009D2E84"/>
    <w:rsid w:val="009D2EC6"/>
    <w:rsid w:val="009D2F2A"/>
    <w:rsid w:val="009D2FD7"/>
    <w:rsid w:val="009D3189"/>
    <w:rsid w:val="009D31AC"/>
    <w:rsid w:val="009D31CA"/>
    <w:rsid w:val="009D3205"/>
    <w:rsid w:val="009D32CA"/>
    <w:rsid w:val="009D32EB"/>
    <w:rsid w:val="009D3348"/>
    <w:rsid w:val="009D3403"/>
    <w:rsid w:val="009D3419"/>
    <w:rsid w:val="009D3470"/>
    <w:rsid w:val="009D34AB"/>
    <w:rsid w:val="009D359B"/>
    <w:rsid w:val="009D35E3"/>
    <w:rsid w:val="009D3613"/>
    <w:rsid w:val="009D374D"/>
    <w:rsid w:val="009D3764"/>
    <w:rsid w:val="009D378D"/>
    <w:rsid w:val="009D38CB"/>
    <w:rsid w:val="009D3A1E"/>
    <w:rsid w:val="009D3B9F"/>
    <w:rsid w:val="009D3C4E"/>
    <w:rsid w:val="009D3C8A"/>
    <w:rsid w:val="009D3CB7"/>
    <w:rsid w:val="009D3F55"/>
    <w:rsid w:val="009D400D"/>
    <w:rsid w:val="009D41B6"/>
    <w:rsid w:val="009D42D3"/>
    <w:rsid w:val="009D4306"/>
    <w:rsid w:val="009D430F"/>
    <w:rsid w:val="009D4652"/>
    <w:rsid w:val="009D469D"/>
    <w:rsid w:val="009D46AE"/>
    <w:rsid w:val="009D46C7"/>
    <w:rsid w:val="009D47C9"/>
    <w:rsid w:val="009D4850"/>
    <w:rsid w:val="009D48DE"/>
    <w:rsid w:val="009D495C"/>
    <w:rsid w:val="009D4997"/>
    <w:rsid w:val="009D4A68"/>
    <w:rsid w:val="009D4BD6"/>
    <w:rsid w:val="009D4F81"/>
    <w:rsid w:val="009D4FAC"/>
    <w:rsid w:val="009D5020"/>
    <w:rsid w:val="009D5108"/>
    <w:rsid w:val="009D5112"/>
    <w:rsid w:val="009D5371"/>
    <w:rsid w:val="009D53C0"/>
    <w:rsid w:val="009D5450"/>
    <w:rsid w:val="009D5597"/>
    <w:rsid w:val="009D56B7"/>
    <w:rsid w:val="009D56F6"/>
    <w:rsid w:val="009D5A5D"/>
    <w:rsid w:val="009D5A75"/>
    <w:rsid w:val="009D5C41"/>
    <w:rsid w:val="009D5C81"/>
    <w:rsid w:val="009D5C9F"/>
    <w:rsid w:val="009D5CAB"/>
    <w:rsid w:val="009D5CE1"/>
    <w:rsid w:val="009D5D06"/>
    <w:rsid w:val="009D5DBC"/>
    <w:rsid w:val="009D5ED9"/>
    <w:rsid w:val="009D5F04"/>
    <w:rsid w:val="009D5F7D"/>
    <w:rsid w:val="009D6189"/>
    <w:rsid w:val="009D6327"/>
    <w:rsid w:val="009D637B"/>
    <w:rsid w:val="009D63E5"/>
    <w:rsid w:val="009D63F8"/>
    <w:rsid w:val="009D644F"/>
    <w:rsid w:val="009D6542"/>
    <w:rsid w:val="009D6544"/>
    <w:rsid w:val="009D6551"/>
    <w:rsid w:val="009D657A"/>
    <w:rsid w:val="009D65FF"/>
    <w:rsid w:val="009D6614"/>
    <w:rsid w:val="009D67B1"/>
    <w:rsid w:val="009D67E7"/>
    <w:rsid w:val="009D682C"/>
    <w:rsid w:val="009D68E4"/>
    <w:rsid w:val="009D6A2D"/>
    <w:rsid w:val="009D6B6C"/>
    <w:rsid w:val="009D6CE0"/>
    <w:rsid w:val="009D6CFF"/>
    <w:rsid w:val="009D6DCF"/>
    <w:rsid w:val="009D6FE6"/>
    <w:rsid w:val="009D7449"/>
    <w:rsid w:val="009D7575"/>
    <w:rsid w:val="009D764D"/>
    <w:rsid w:val="009D77DC"/>
    <w:rsid w:val="009D78E5"/>
    <w:rsid w:val="009D7919"/>
    <w:rsid w:val="009D79E4"/>
    <w:rsid w:val="009D7B45"/>
    <w:rsid w:val="009D7BA4"/>
    <w:rsid w:val="009D7E95"/>
    <w:rsid w:val="009E0154"/>
    <w:rsid w:val="009E0394"/>
    <w:rsid w:val="009E0447"/>
    <w:rsid w:val="009E0487"/>
    <w:rsid w:val="009E059D"/>
    <w:rsid w:val="009E06E5"/>
    <w:rsid w:val="009E09BE"/>
    <w:rsid w:val="009E0A42"/>
    <w:rsid w:val="009E0A5C"/>
    <w:rsid w:val="009E0C5C"/>
    <w:rsid w:val="009E0D21"/>
    <w:rsid w:val="009E0D27"/>
    <w:rsid w:val="009E0E3B"/>
    <w:rsid w:val="009E0F15"/>
    <w:rsid w:val="009E1032"/>
    <w:rsid w:val="009E1142"/>
    <w:rsid w:val="009E1200"/>
    <w:rsid w:val="009E12D8"/>
    <w:rsid w:val="009E12EF"/>
    <w:rsid w:val="009E13DC"/>
    <w:rsid w:val="009E13F3"/>
    <w:rsid w:val="009E1444"/>
    <w:rsid w:val="009E1614"/>
    <w:rsid w:val="009E16AB"/>
    <w:rsid w:val="009E1722"/>
    <w:rsid w:val="009E178C"/>
    <w:rsid w:val="009E17F6"/>
    <w:rsid w:val="009E1B9F"/>
    <w:rsid w:val="009E1C24"/>
    <w:rsid w:val="009E1CDD"/>
    <w:rsid w:val="009E1D45"/>
    <w:rsid w:val="009E1E64"/>
    <w:rsid w:val="009E1E72"/>
    <w:rsid w:val="009E1F27"/>
    <w:rsid w:val="009E2270"/>
    <w:rsid w:val="009E22BB"/>
    <w:rsid w:val="009E24AD"/>
    <w:rsid w:val="009E2532"/>
    <w:rsid w:val="009E2564"/>
    <w:rsid w:val="009E2878"/>
    <w:rsid w:val="009E29F7"/>
    <w:rsid w:val="009E2AC9"/>
    <w:rsid w:val="009E2B00"/>
    <w:rsid w:val="009E2B54"/>
    <w:rsid w:val="009E2BC0"/>
    <w:rsid w:val="009E2F56"/>
    <w:rsid w:val="009E2FFB"/>
    <w:rsid w:val="009E304C"/>
    <w:rsid w:val="009E327F"/>
    <w:rsid w:val="009E33F3"/>
    <w:rsid w:val="009E348B"/>
    <w:rsid w:val="009E3551"/>
    <w:rsid w:val="009E3A00"/>
    <w:rsid w:val="009E3A19"/>
    <w:rsid w:val="009E3B82"/>
    <w:rsid w:val="009E3C0C"/>
    <w:rsid w:val="009E3C7E"/>
    <w:rsid w:val="009E3EB5"/>
    <w:rsid w:val="009E3F6E"/>
    <w:rsid w:val="009E3F8A"/>
    <w:rsid w:val="009E3FCD"/>
    <w:rsid w:val="009E40A2"/>
    <w:rsid w:val="009E41DE"/>
    <w:rsid w:val="009E426D"/>
    <w:rsid w:val="009E4368"/>
    <w:rsid w:val="009E443D"/>
    <w:rsid w:val="009E45D0"/>
    <w:rsid w:val="009E4716"/>
    <w:rsid w:val="009E4882"/>
    <w:rsid w:val="009E48CA"/>
    <w:rsid w:val="009E4910"/>
    <w:rsid w:val="009E495C"/>
    <w:rsid w:val="009E4AD1"/>
    <w:rsid w:val="009E4B18"/>
    <w:rsid w:val="009E4B31"/>
    <w:rsid w:val="009E4C28"/>
    <w:rsid w:val="009E4D3F"/>
    <w:rsid w:val="009E4EFE"/>
    <w:rsid w:val="009E4F04"/>
    <w:rsid w:val="009E4F15"/>
    <w:rsid w:val="009E4FCA"/>
    <w:rsid w:val="009E5091"/>
    <w:rsid w:val="009E5252"/>
    <w:rsid w:val="009E52AC"/>
    <w:rsid w:val="009E53AF"/>
    <w:rsid w:val="009E5414"/>
    <w:rsid w:val="009E558A"/>
    <w:rsid w:val="009E5A68"/>
    <w:rsid w:val="009E5A8B"/>
    <w:rsid w:val="009E5AFC"/>
    <w:rsid w:val="009E5BDC"/>
    <w:rsid w:val="009E5CDA"/>
    <w:rsid w:val="009E5DA8"/>
    <w:rsid w:val="009E5E5B"/>
    <w:rsid w:val="009E5EA7"/>
    <w:rsid w:val="009E6152"/>
    <w:rsid w:val="009E627E"/>
    <w:rsid w:val="009E62A1"/>
    <w:rsid w:val="009E6301"/>
    <w:rsid w:val="009E63F0"/>
    <w:rsid w:val="009E63F6"/>
    <w:rsid w:val="009E64CC"/>
    <w:rsid w:val="009E6643"/>
    <w:rsid w:val="009E670E"/>
    <w:rsid w:val="009E675A"/>
    <w:rsid w:val="009E686D"/>
    <w:rsid w:val="009E68D4"/>
    <w:rsid w:val="009E69B9"/>
    <w:rsid w:val="009E69D6"/>
    <w:rsid w:val="009E6A62"/>
    <w:rsid w:val="009E6B46"/>
    <w:rsid w:val="009E6D2F"/>
    <w:rsid w:val="009E6D96"/>
    <w:rsid w:val="009E6E52"/>
    <w:rsid w:val="009E6EF0"/>
    <w:rsid w:val="009E6F71"/>
    <w:rsid w:val="009E6FA8"/>
    <w:rsid w:val="009E6FF1"/>
    <w:rsid w:val="009E7003"/>
    <w:rsid w:val="009E7365"/>
    <w:rsid w:val="009E757F"/>
    <w:rsid w:val="009E765A"/>
    <w:rsid w:val="009E7715"/>
    <w:rsid w:val="009E7816"/>
    <w:rsid w:val="009E785D"/>
    <w:rsid w:val="009E78BC"/>
    <w:rsid w:val="009E78F1"/>
    <w:rsid w:val="009E79D6"/>
    <w:rsid w:val="009E7A2F"/>
    <w:rsid w:val="009E7AC3"/>
    <w:rsid w:val="009E7AC5"/>
    <w:rsid w:val="009E7DF6"/>
    <w:rsid w:val="009E7E2A"/>
    <w:rsid w:val="009E7E60"/>
    <w:rsid w:val="009E7ED3"/>
    <w:rsid w:val="009F00F1"/>
    <w:rsid w:val="009F020D"/>
    <w:rsid w:val="009F0461"/>
    <w:rsid w:val="009F0516"/>
    <w:rsid w:val="009F0563"/>
    <w:rsid w:val="009F0691"/>
    <w:rsid w:val="009F0793"/>
    <w:rsid w:val="009F090E"/>
    <w:rsid w:val="009F0A4D"/>
    <w:rsid w:val="009F0B50"/>
    <w:rsid w:val="009F0BA6"/>
    <w:rsid w:val="009F0BB2"/>
    <w:rsid w:val="009F0C3C"/>
    <w:rsid w:val="009F0E5F"/>
    <w:rsid w:val="009F0F36"/>
    <w:rsid w:val="009F1147"/>
    <w:rsid w:val="009F13AB"/>
    <w:rsid w:val="009F13F3"/>
    <w:rsid w:val="009F148A"/>
    <w:rsid w:val="009F1583"/>
    <w:rsid w:val="009F1608"/>
    <w:rsid w:val="009F16B4"/>
    <w:rsid w:val="009F174E"/>
    <w:rsid w:val="009F1800"/>
    <w:rsid w:val="009F1821"/>
    <w:rsid w:val="009F1A23"/>
    <w:rsid w:val="009F1B8C"/>
    <w:rsid w:val="009F1E9E"/>
    <w:rsid w:val="009F23A0"/>
    <w:rsid w:val="009F24E5"/>
    <w:rsid w:val="009F25AC"/>
    <w:rsid w:val="009F25B9"/>
    <w:rsid w:val="009F28DA"/>
    <w:rsid w:val="009F2943"/>
    <w:rsid w:val="009F2AD0"/>
    <w:rsid w:val="009F2D23"/>
    <w:rsid w:val="009F2FEA"/>
    <w:rsid w:val="009F31B4"/>
    <w:rsid w:val="009F3903"/>
    <w:rsid w:val="009F394A"/>
    <w:rsid w:val="009F3960"/>
    <w:rsid w:val="009F39F8"/>
    <w:rsid w:val="009F3A7A"/>
    <w:rsid w:val="009F3BC4"/>
    <w:rsid w:val="009F3BE6"/>
    <w:rsid w:val="009F3BF3"/>
    <w:rsid w:val="009F3F8C"/>
    <w:rsid w:val="009F3FD9"/>
    <w:rsid w:val="009F4081"/>
    <w:rsid w:val="009F4123"/>
    <w:rsid w:val="009F421B"/>
    <w:rsid w:val="009F424D"/>
    <w:rsid w:val="009F432A"/>
    <w:rsid w:val="009F43BB"/>
    <w:rsid w:val="009F43E5"/>
    <w:rsid w:val="009F45A4"/>
    <w:rsid w:val="009F4721"/>
    <w:rsid w:val="009F4915"/>
    <w:rsid w:val="009F4B77"/>
    <w:rsid w:val="009F4C36"/>
    <w:rsid w:val="009F4D79"/>
    <w:rsid w:val="009F4F30"/>
    <w:rsid w:val="009F4FE8"/>
    <w:rsid w:val="009F529A"/>
    <w:rsid w:val="009F54F8"/>
    <w:rsid w:val="009F558E"/>
    <w:rsid w:val="009F57F0"/>
    <w:rsid w:val="009F5905"/>
    <w:rsid w:val="009F59CC"/>
    <w:rsid w:val="009F5A4E"/>
    <w:rsid w:val="009F5B05"/>
    <w:rsid w:val="009F5B54"/>
    <w:rsid w:val="009F5F7F"/>
    <w:rsid w:val="009F6244"/>
    <w:rsid w:val="009F6281"/>
    <w:rsid w:val="009F63DA"/>
    <w:rsid w:val="009F66FE"/>
    <w:rsid w:val="009F69E7"/>
    <w:rsid w:val="009F6DB9"/>
    <w:rsid w:val="009F6EAB"/>
    <w:rsid w:val="009F6F0B"/>
    <w:rsid w:val="009F6FF2"/>
    <w:rsid w:val="009F709B"/>
    <w:rsid w:val="009F710F"/>
    <w:rsid w:val="009F71D8"/>
    <w:rsid w:val="009F7476"/>
    <w:rsid w:val="009F74CE"/>
    <w:rsid w:val="009F7568"/>
    <w:rsid w:val="009F7621"/>
    <w:rsid w:val="009F772C"/>
    <w:rsid w:val="009F7B43"/>
    <w:rsid w:val="009F7B51"/>
    <w:rsid w:val="009F7BF0"/>
    <w:rsid w:val="009F7D18"/>
    <w:rsid w:val="00A00008"/>
    <w:rsid w:val="00A00066"/>
    <w:rsid w:val="00A0014F"/>
    <w:rsid w:val="00A00172"/>
    <w:rsid w:val="00A00176"/>
    <w:rsid w:val="00A00216"/>
    <w:rsid w:val="00A002DF"/>
    <w:rsid w:val="00A00336"/>
    <w:rsid w:val="00A00496"/>
    <w:rsid w:val="00A00A1E"/>
    <w:rsid w:val="00A00A43"/>
    <w:rsid w:val="00A00A71"/>
    <w:rsid w:val="00A00C41"/>
    <w:rsid w:val="00A00D3C"/>
    <w:rsid w:val="00A00D70"/>
    <w:rsid w:val="00A00E3A"/>
    <w:rsid w:val="00A00F18"/>
    <w:rsid w:val="00A00F29"/>
    <w:rsid w:val="00A0101D"/>
    <w:rsid w:val="00A013F1"/>
    <w:rsid w:val="00A01692"/>
    <w:rsid w:val="00A01811"/>
    <w:rsid w:val="00A01927"/>
    <w:rsid w:val="00A01AD2"/>
    <w:rsid w:val="00A01B40"/>
    <w:rsid w:val="00A01C91"/>
    <w:rsid w:val="00A01CA0"/>
    <w:rsid w:val="00A01CEA"/>
    <w:rsid w:val="00A01DFD"/>
    <w:rsid w:val="00A01F29"/>
    <w:rsid w:val="00A02231"/>
    <w:rsid w:val="00A02276"/>
    <w:rsid w:val="00A0245F"/>
    <w:rsid w:val="00A028DF"/>
    <w:rsid w:val="00A02A75"/>
    <w:rsid w:val="00A02A7C"/>
    <w:rsid w:val="00A02AA7"/>
    <w:rsid w:val="00A02B1F"/>
    <w:rsid w:val="00A02B66"/>
    <w:rsid w:val="00A02F1F"/>
    <w:rsid w:val="00A02F59"/>
    <w:rsid w:val="00A0302D"/>
    <w:rsid w:val="00A03159"/>
    <w:rsid w:val="00A0322A"/>
    <w:rsid w:val="00A0333A"/>
    <w:rsid w:val="00A03488"/>
    <w:rsid w:val="00A0394D"/>
    <w:rsid w:val="00A03A42"/>
    <w:rsid w:val="00A03A99"/>
    <w:rsid w:val="00A03ACB"/>
    <w:rsid w:val="00A03D14"/>
    <w:rsid w:val="00A040B0"/>
    <w:rsid w:val="00A040F1"/>
    <w:rsid w:val="00A04130"/>
    <w:rsid w:val="00A04233"/>
    <w:rsid w:val="00A04256"/>
    <w:rsid w:val="00A043A2"/>
    <w:rsid w:val="00A043E3"/>
    <w:rsid w:val="00A04483"/>
    <w:rsid w:val="00A0448A"/>
    <w:rsid w:val="00A0457E"/>
    <w:rsid w:val="00A0490B"/>
    <w:rsid w:val="00A049EB"/>
    <w:rsid w:val="00A04A65"/>
    <w:rsid w:val="00A04C71"/>
    <w:rsid w:val="00A04E97"/>
    <w:rsid w:val="00A05002"/>
    <w:rsid w:val="00A0500B"/>
    <w:rsid w:val="00A0506D"/>
    <w:rsid w:val="00A050A2"/>
    <w:rsid w:val="00A05294"/>
    <w:rsid w:val="00A0532D"/>
    <w:rsid w:val="00A0560D"/>
    <w:rsid w:val="00A057FB"/>
    <w:rsid w:val="00A05934"/>
    <w:rsid w:val="00A05A7E"/>
    <w:rsid w:val="00A05AA4"/>
    <w:rsid w:val="00A05B7D"/>
    <w:rsid w:val="00A05D6B"/>
    <w:rsid w:val="00A05E25"/>
    <w:rsid w:val="00A05E2D"/>
    <w:rsid w:val="00A05FC4"/>
    <w:rsid w:val="00A060F7"/>
    <w:rsid w:val="00A06205"/>
    <w:rsid w:val="00A0630C"/>
    <w:rsid w:val="00A063F9"/>
    <w:rsid w:val="00A064AD"/>
    <w:rsid w:val="00A0655F"/>
    <w:rsid w:val="00A0656C"/>
    <w:rsid w:val="00A0682C"/>
    <w:rsid w:val="00A06964"/>
    <w:rsid w:val="00A06E80"/>
    <w:rsid w:val="00A06E97"/>
    <w:rsid w:val="00A07065"/>
    <w:rsid w:val="00A07086"/>
    <w:rsid w:val="00A071E5"/>
    <w:rsid w:val="00A07277"/>
    <w:rsid w:val="00A07285"/>
    <w:rsid w:val="00A072A7"/>
    <w:rsid w:val="00A072F5"/>
    <w:rsid w:val="00A07419"/>
    <w:rsid w:val="00A0748E"/>
    <w:rsid w:val="00A07637"/>
    <w:rsid w:val="00A0772F"/>
    <w:rsid w:val="00A0781F"/>
    <w:rsid w:val="00A079CE"/>
    <w:rsid w:val="00A07A4B"/>
    <w:rsid w:val="00A07B74"/>
    <w:rsid w:val="00A07E6A"/>
    <w:rsid w:val="00A07E74"/>
    <w:rsid w:val="00A07ED9"/>
    <w:rsid w:val="00A07EE8"/>
    <w:rsid w:val="00A07FD9"/>
    <w:rsid w:val="00A101B0"/>
    <w:rsid w:val="00A1026C"/>
    <w:rsid w:val="00A102EA"/>
    <w:rsid w:val="00A10554"/>
    <w:rsid w:val="00A1074C"/>
    <w:rsid w:val="00A1081E"/>
    <w:rsid w:val="00A10DF6"/>
    <w:rsid w:val="00A10DFF"/>
    <w:rsid w:val="00A10ED8"/>
    <w:rsid w:val="00A10F87"/>
    <w:rsid w:val="00A1116B"/>
    <w:rsid w:val="00A11217"/>
    <w:rsid w:val="00A1123B"/>
    <w:rsid w:val="00A11248"/>
    <w:rsid w:val="00A1137F"/>
    <w:rsid w:val="00A11420"/>
    <w:rsid w:val="00A116A6"/>
    <w:rsid w:val="00A117DD"/>
    <w:rsid w:val="00A119C5"/>
    <w:rsid w:val="00A11B72"/>
    <w:rsid w:val="00A11BE6"/>
    <w:rsid w:val="00A11D12"/>
    <w:rsid w:val="00A11D24"/>
    <w:rsid w:val="00A11D95"/>
    <w:rsid w:val="00A12043"/>
    <w:rsid w:val="00A120DA"/>
    <w:rsid w:val="00A12155"/>
    <w:rsid w:val="00A121BD"/>
    <w:rsid w:val="00A12361"/>
    <w:rsid w:val="00A124F6"/>
    <w:rsid w:val="00A1274C"/>
    <w:rsid w:val="00A1275A"/>
    <w:rsid w:val="00A128A9"/>
    <w:rsid w:val="00A128D7"/>
    <w:rsid w:val="00A128E8"/>
    <w:rsid w:val="00A12920"/>
    <w:rsid w:val="00A12B8F"/>
    <w:rsid w:val="00A12CF8"/>
    <w:rsid w:val="00A12D64"/>
    <w:rsid w:val="00A12D6C"/>
    <w:rsid w:val="00A1305F"/>
    <w:rsid w:val="00A1308F"/>
    <w:rsid w:val="00A1312D"/>
    <w:rsid w:val="00A13634"/>
    <w:rsid w:val="00A136A0"/>
    <w:rsid w:val="00A1380C"/>
    <w:rsid w:val="00A1382A"/>
    <w:rsid w:val="00A1388B"/>
    <w:rsid w:val="00A13B30"/>
    <w:rsid w:val="00A13BE6"/>
    <w:rsid w:val="00A13BE9"/>
    <w:rsid w:val="00A13CD9"/>
    <w:rsid w:val="00A13D38"/>
    <w:rsid w:val="00A13E21"/>
    <w:rsid w:val="00A13E54"/>
    <w:rsid w:val="00A13EC4"/>
    <w:rsid w:val="00A13EEC"/>
    <w:rsid w:val="00A140A2"/>
    <w:rsid w:val="00A14279"/>
    <w:rsid w:val="00A142C9"/>
    <w:rsid w:val="00A14343"/>
    <w:rsid w:val="00A1435E"/>
    <w:rsid w:val="00A14452"/>
    <w:rsid w:val="00A1470C"/>
    <w:rsid w:val="00A1489C"/>
    <w:rsid w:val="00A1490F"/>
    <w:rsid w:val="00A1494F"/>
    <w:rsid w:val="00A14992"/>
    <w:rsid w:val="00A14A30"/>
    <w:rsid w:val="00A14ADC"/>
    <w:rsid w:val="00A14AE1"/>
    <w:rsid w:val="00A14B09"/>
    <w:rsid w:val="00A14BF0"/>
    <w:rsid w:val="00A14C84"/>
    <w:rsid w:val="00A14E9C"/>
    <w:rsid w:val="00A14EAF"/>
    <w:rsid w:val="00A14F12"/>
    <w:rsid w:val="00A14F52"/>
    <w:rsid w:val="00A14FD1"/>
    <w:rsid w:val="00A14FEA"/>
    <w:rsid w:val="00A1505C"/>
    <w:rsid w:val="00A15470"/>
    <w:rsid w:val="00A1553E"/>
    <w:rsid w:val="00A156AA"/>
    <w:rsid w:val="00A1575D"/>
    <w:rsid w:val="00A157BC"/>
    <w:rsid w:val="00A15B28"/>
    <w:rsid w:val="00A15C03"/>
    <w:rsid w:val="00A15C11"/>
    <w:rsid w:val="00A15C14"/>
    <w:rsid w:val="00A15C51"/>
    <w:rsid w:val="00A15DF4"/>
    <w:rsid w:val="00A15E60"/>
    <w:rsid w:val="00A15E76"/>
    <w:rsid w:val="00A160B4"/>
    <w:rsid w:val="00A16135"/>
    <w:rsid w:val="00A161C7"/>
    <w:rsid w:val="00A16231"/>
    <w:rsid w:val="00A16341"/>
    <w:rsid w:val="00A163E9"/>
    <w:rsid w:val="00A1643F"/>
    <w:rsid w:val="00A16496"/>
    <w:rsid w:val="00A16618"/>
    <w:rsid w:val="00A16656"/>
    <w:rsid w:val="00A16805"/>
    <w:rsid w:val="00A16BF7"/>
    <w:rsid w:val="00A16C08"/>
    <w:rsid w:val="00A16C86"/>
    <w:rsid w:val="00A16D61"/>
    <w:rsid w:val="00A16DE4"/>
    <w:rsid w:val="00A16F5B"/>
    <w:rsid w:val="00A16F66"/>
    <w:rsid w:val="00A16FA1"/>
    <w:rsid w:val="00A17000"/>
    <w:rsid w:val="00A17013"/>
    <w:rsid w:val="00A1701F"/>
    <w:rsid w:val="00A1710F"/>
    <w:rsid w:val="00A1718F"/>
    <w:rsid w:val="00A1744F"/>
    <w:rsid w:val="00A174A1"/>
    <w:rsid w:val="00A175C6"/>
    <w:rsid w:val="00A17690"/>
    <w:rsid w:val="00A17725"/>
    <w:rsid w:val="00A17A6A"/>
    <w:rsid w:val="00A17B6E"/>
    <w:rsid w:val="00A17BD3"/>
    <w:rsid w:val="00A17D91"/>
    <w:rsid w:val="00A17F4A"/>
    <w:rsid w:val="00A17F55"/>
    <w:rsid w:val="00A17FD3"/>
    <w:rsid w:val="00A2000E"/>
    <w:rsid w:val="00A20022"/>
    <w:rsid w:val="00A200FD"/>
    <w:rsid w:val="00A203AB"/>
    <w:rsid w:val="00A2054B"/>
    <w:rsid w:val="00A205BA"/>
    <w:rsid w:val="00A206A3"/>
    <w:rsid w:val="00A206B5"/>
    <w:rsid w:val="00A20718"/>
    <w:rsid w:val="00A207C9"/>
    <w:rsid w:val="00A20879"/>
    <w:rsid w:val="00A20881"/>
    <w:rsid w:val="00A20A9C"/>
    <w:rsid w:val="00A20B57"/>
    <w:rsid w:val="00A20C65"/>
    <w:rsid w:val="00A20F9F"/>
    <w:rsid w:val="00A21092"/>
    <w:rsid w:val="00A213D6"/>
    <w:rsid w:val="00A215AF"/>
    <w:rsid w:val="00A215CE"/>
    <w:rsid w:val="00A21629"/>
    <w:rsid w:val="00A21DAF"/>
    <w:rsid w:val="00A21DC4"/>
    <w:rsid w:val="00A21EA2"/>
    <w:rsid w:val="00A22181"/>
    <w:rsid w:val="00A22237"/>
    <w:rsid w:val="00A22296"/>
    <w:rsid w:val="00A222DF"/>
    <w:rsid w:val="00A222F9"/>
    <w:rsid w:val="00A22346"/>
    <w:rsid w:val="00A22442"/>
    <w:rsid w:val="00A2266D"/>
    <w:rsid w:val="00A226D8"/>
    <w:rsid w:val="00A227E2"/>
    <w:rsid w:val="00A22835"/>
    <w:rsid w:val="00A228F6"/>
    <w:rsid w:val="00A22A77"/>
    <w:rsid w:val="00A22B42"/>
    <w:rsid w:val="00A22B99"/>
    <w:rsid w:val="00A22C69"/>
    <w:rsid w:val="00A22CED"/>
    <w:rsid w:val="00A22DB2"/>
    <w:rsid w:val="00A22E6F"/>
    <w:rsid w:val="00A2313B"/>
    <w:rsid w:val="00A231B8"/>
    <w:rsid w:val="00A2324A"/>
    <w:rsid w:val="00A23602"/>
    <w:rsid w:val="00A23626"/>
    <w:rsid w:val="00A2368F"/>
    <w:rsid w:val="00A23815"/>
    <w:rsid w:val="00A2390A"/>
    <w:rsid w:val="00A2390E"/>
    <w:rsid w:val="00A23A79"/>
    <w:rsid w:val="00A23ABA"/>
    <w:rsid w:val="00A23B46"/>
    <w:rsid w:val="00A23E57"/>
    <w:rsid w:val="00A2403B"/>
    <w:rsid w:val="00A240A0"/>
    <w:rsid w:val="00A245C5"/>
    <w:rsid w:val="00A2474A"/>
    <w:rsid w:val="00A24804"/>
    <w:rsid w:val="00A2499C"/>
    <w:rsid w:val="00A24AF7"/>
    <w:rsid w:val="00A24C24"/>
    <w:rsid w:val="00A24D4F"/>
    <w:rsid w:val="00A24DE0"/>
    <w:rsid w:val="00A24E12"/>
    <w:rsid w:val="00A24EF8"/>
    <w:rsid w:val="00A25088"/>
    <w:rsid w:val="00A25147"/>
    <w:rsid w:val="00A25306"/>
    <w:rsid w:val="00A253D0"/>
    <w:rsid w:val="00A2541B"/>
    <w:rsid w:val="00A25609"/>
    <w:rsid w:val="00A256D6"/>
    <w:rsid w:val="00A2570E"/>
    <w:rsid w:val="00A25A28"/>
    <w:rsid w:val="00A25B01"/>
    <w:rsid w:val="00A25D9B"/>
    <w:rsid w:val="00A2601A"/>
    <w:rsid w:val="00A2605F"/>
    <w:rsid w:val="00A260E8"/>
    <w:rsid w:val="00A263D2"/>
    <w:rsid w:val="00A264E4"/>
    <w:rsid w:val="00A26569"/>
    <w:rsid w:val="00A26786"/>
    <w:rsid w:val="00A2685B"/>
    <w:rsid w:val="00A26A8D"/>
    <w:rsid w:val="00A26C8A"/>
    <w:rsid w:val="00A26D1B"/>
    <w:rsid w:val="00A26D2A"/>
    <w:rsid w:val="00A26D9A"/>
    <w:rsid w:val="00A26E44"/>
    <w:rsid w:val="00A26E4E"/>
    <w:rsid w:val="00A26F0E"/>
    <w:rsid w:val="00A27116"/>
    <w:rsid w:val="00A27316"/>
    <w:rsid w:val="00A27473"/>
    <w:rsid w:val="00A27555"/>
    <w:rsid w:val="00A277F6"/>
    <w:rsid w:val="00A2794F"/>
    <w:rsid w:val="00A279BB"/>
    <w:rsid w:val="00A27AB4"/>
    <w:rsid w:val="00A27CAC"/>
    <w:rsid w:val="00A27CD6"/>
    <w:rsid w:val="00A27DCA"/>
    <w:rsid w:val="00A27EBF"/>
    <w:rsid w:val="00A3019D"/>
    <w:rsid w:val="00A30201"/>
    <w:rsid w:val="00A302C8"/>
    <w:rsid w:val="00A30380"/>
    <w:rsid w:val="00A30509"/>
    <w:rsid w:val="00A306FE"/>
    <w:rsid w:val="00A30832"/>
    <w:rsid w:val="00A30891"/>
    <w:rsid w:val="00A30A08"/>
    <w:rsid w:val="00A30A61"/>
    <w:rsid w:val="00A30B14"/>
    <w:rsid w:val="00A30BC2"/>
    <w:rsid w:val="00A30C14"/>
    <w:rsid w:val="00A30C24"/>
    <w:rsid w:val="00A30C4E"/>
    <w:rsid w:val="00A30CB5"/>
    <w:rsid w:val="00A30CED"/>
    <w:rsid w:val="00A30E9C"/>
    <w:rsid w:val="00A30F7E"/>
    <w:rsid w:val="00A30FA1"/>
    <w:rsid w:val="00A30FAA"/>
    <w:rsid w:val="00A31092"/>
    <w:rsid w:val="00A315BC"/>
    <w:rsid w:val="00A316F2"/>
    <w:rsid w:val="00A3184D"/>
    <w:rsid w:val="00A318D8"/>
    <w:rsid w:val="00A31A23"/>
    <w:rsid w:val="00A31CAE"/>
    <w:rsid w:val="00A31D4C"/>
    <w:rsid w:val="00A31DB4"/>
    <w:rsid w:val="00A31EEA"/>
    <w:rsid w:val="00A31F18"/>
    <w:rsid w:val="00A31FA3"/>
    <w:rsid w:val="00A3200D"/>
    <w:rsid w:val="00A3206E"/>
    <w:rsid w:val="00A321AE"/>
    <w:rsid w:val="00A32259"/>
    <w:rsid w:val="00A32348"/>
    <w:rsid w:val="00A3245B"/>
    <w:rsid w:val="00A32632"/>
    <w:rsid w:val="00A326B2"/>
    <w:rsid w:val="00A32771"/>
    <w:rsid w:val="00A3288D"/>
    <w:rsid w:val="00A32A7D"/>
    <w:rsid w:val="00A32ABF"/>
    <w:rsid w:val="00A32BBC"/>
    <w:rsid w:val="00A32C6D"/>
    <w:rsid w:val="00A32DEE"/>
    <w:rsid w:val="00A32DF5"/>
    <w:rsid w:val="00A33492"/>
    <w:rsid w:val="00A33810"/>
    <w:rsid w:val="00A33891"/>
    <w:rsid w:val="00A338FB"/>
    <w:rsid w:val="00A33902"/>
    <w:rsid w:val="00A33AD4"/>
    <w:rsid w:val="00A33C10"/>
    <w:rsid w:val="00A33E4C"/>
    <w:rsid w:val="00A33E66"/>
    <w:rsid w:val="00A33E79"/>
    <w:rsid w:val="00A33E95"/>
    <w:rsid w:val="00A33FD8"/>
    <w:rsid w:val="00A34022"/>
    <w:rsid w:val="00A3415E"/>
    <w:rsid w:val="00A3437D"/>
    <w:rsid w:val="00A343BD"/>
    <w:rsid w:val="00A344CC"/>
    <w:rsid w:val="00A34517"/>
    <w:rsid w:val="00A346A7"/>
    <w:rsid w:val="00A34757"/>
    <w:rsid w:val="00A34927"/>
    <w:rsid w:val="00A34966"/>
    <w:rsid w:val="00A349BA"/>
    <w:rsid w:val="00A349BE"/>
    <w:rsid w:val="00A34A8E"/>
    <w:rsid w:val="00A34AAB"/>
    <w:rsid w:val="00A34B36"/>
    <w:rsid w:val="00A34C77"/>
    <w:rsid w:val="00A34D05"/>
    <w:rsid w:val="00A34D0F"/>
    <w:rsid w:val="00A34DD3"/>
    <w:rsid w:val="00A3509A"/>
    <w:rsid w:val="00A350A8"/>
    <w:rsid w:val="00A352AE"/>
    <w:rsid w:val="00A353D0"/>
    <w:rsid w:val="00A357BC"/>
    <w:rsid w:val="00A359C3"/>
    <w:rsid w:val="00A35AB9"/>
    <w:rsid w:val="00A35ADE"/>
    <w:rsid w:val="00A35C11"/>
    <w:rsid w:val="00A35C72"/>
    <w:rsid w:val="00A35D03"/>
    <w:rsid w:val="00A35EF7"/>
    <w:rsid w:val="00A3604C"/>
    <w:rsid w:val="00A360FC"/>
    <w:rsid w:val="00A361FB"/>
    <w:rsid w:val="00A36353"/>
    <w:rsid w:val="00A36354"/>
    <w:rsid w:val="00A365D0"/>
    <w:rsid w:val="00A368C9"/>
    <w:rsid w:val="00A36A65"/>
    <w:rsid w:val="00A36A74"/>
    <w:rsid w:val="00A36C3F"/>
    <w:rsid w:val="00A36E7E"/>
    <w:rsid w:val="00A36EF6"/>
    <w:rsid w:val="00A36FAE"/>
    <w:rsid w:val="00A3702D"/>
    <w:rsid w:val="00A3714D"/>
    <w:rsid w:val="00A3726D"/>
    <w:rsid w:val="00A37349"/>
    <w:rsid w:val="00A37389"/>
    <w:rsid w:val="00A3760D"/>
    <w:rsid w:val="00A3764B"/>
    <w:rsid w:val="00A376D6"/>
    <w:rsid w:val="00A3784A"/>
    <w:rsid w:val="00A378FF"/>
    <w:rsid w:val="00A379D1"/>
    <w:rsid w:val="00A37B06"/>
    <w:rsid w:val="00A37B17"/>
    <w:rsid w:val="00A37E61"/>
    <w:rsid w:val="00A40225"/>
    <w:rsid w:val="00A40231"/>
    <w:rsid w:val="00A403B5"/>
    <w:rsid w:val="00A405A5"/>
    <w:rsid w:val="00A405ED"/>
    <w:rsid w:val="00A40832"/>
    <w:rsid w:val="00A40842"/>
    <w:rsid w:val="00A408B4"/>
    <w:rsid w:val="00A40957"/>
    <w:rsid w:val="00A40B01"/>
    <w:rsid w:val="00A40DFF"/>
    <w:rsid w:val="00A40E60"/>
    <w:rsid w:val="00A40FDD"/>
    <w:rsid w:val="00A41112"/>
    <w:rsid w:val="00A411F5"/>
    <w:rsid w:val="00A41379"/>
    <w:rsid w:val="00A41499"/>
    <w:rsid w:val="00A4160D"/>
    <w:rsid w:val="00A4174D"/>
    <w:rsid w:val="00A41750"/>
    <w:rsid w:val="00A41805"/>
    <w:rsid w:val="00A418C4"/>
    <w:rsid w:val="00A419E4"/>
    <w:rsid w:val="00A41BB9"/>
    <w:rsid w:val="00A41BD3"/>
    <w:rsid w:val="00A41C6A"/>
    <w:rsid w:val="00A41F9D"/>
    <w:rsid w:val="00A42026"/>
    <w:rsid w:val="00A4207A"/>
    <w:rsid w:val="00A421E6"/>
    <w:rsid w:val="00A422AE"/>
    <w:rsid w:val="00A422C3"/>
    <w:rsid w:val="00A424A8"/>
    <w:rsid w:val="00A424C6"/>
    <w:rsid w:val="00A424DA"/>
    <w:rsid w:val="00A42780"/>
    <w:rsid w:val="00A42944"/>
    <w:rsid w:val="00A429C2"/>
    <w:rsid w:val="00A42AC3"/>
    <w:rsid w:val="00A42ADE"/>
    <w:rsid w:val="00A42AE0"/>
    <w:rsid w:val="00A42CD8"/>
    <w:rsid w:val="00A42D5C"/>
    <w:rsid w:val="00A42DAE"/>
    <w:rsid w:val="00A42DF4"/>
    <w:rsid w:val="00A42E3E"/>
    <w:rsid w:val="00A42F74"/>
    <w:rsid w:val="00A4323F"/>
    <w:rsid w:val="00A432CB"/>
    <w:rsid w:val="00A4352F"/>
    <w:rsid w:val="00A438B0"/>
    <w:rsid w:val="00A438BE"/>
    <w:rsid w:val="00A438DA"/>
    <w:rsid w:val="00A43A5F"/>
    <w:rsid w:val="00A43A87"/>
    <w:rsid w:val="00A43B09"/>
    <w:rsid w:val="00A43C4A"/>
    <w:rsid w:val="00A43CD6"/>
    <w:rsid w:val="00A43EDB"/>
    <w:rsid w:val="00A43FB7"/>
    <w:rsid w:val="00A44411"/>
    <w:rsid w:val="00A44619"/>
    <w:rsid w:val="00A446EA"/>
    <w:rsid w:val="00A448DF"/>
    <w:rsid w:val="00A449CD"/>
    <w:rsid w:val="00A449DF"/>
    <w:rsid w:val="00A44A24"/>
    <w:rsid w:val="00A44B85"/>
    <w:rsid w:val="00A44D18"/>
    <w:rsid w:val="00A44E8B"/>
    <w:rsid w:val="00A44F40"/>
    <w:rsid w:val="00A4509A"/>
    <w:rsid w:val="00A45127"/>
    <w:rsid w:val="00A452BE"/>
    <w:rsid w:val="00A452E7"/>
    <w:rsid w:val="00A4533A"/>
    <w:rsid w:val="00A4534F"/>
    <w:rsid w:val="00A4541B"/>
    <w:rsid w:val="00A4548D"/>
    <w:rsid w:val="00A45512"/>
    <w:rsid w:val="00A455AC"/>
    <w:rsid w:val="00A45608"/>
    <w:rsid w:val="00A45677"/>
    <w:rsid w:val="00A457A1"/>
    <w:rsid w:val="00A4581A"/>
    <w:rsid w:val="00A45DF6"/>
    <w:rsid w:val="00A45F18"/>
    <w:rsid w:val="00A45FDD"/>
    <w:rsid w:val="00A4613D"/>
    <w:rsid w:val="00A4616F"/>
    <w:rsid w:val="00A469F3"/>
    <w:rsid w:val="00A46BA1"/>
    <w:rsid w:val="00A46CA6"/>
    <w:rsid w:val="00A46DD5"/>
    <w:rsid w:val="00A46E47"/>
    <w:rsid w:val="00A46E54"/>
    <w:rsid w:val="00A46ED7"/>
    <w:rsid w:val="00A47255"/>
    <w:rsid w:val="00A473B6"/>
    <w:rsid w:val="00A473D7"/>
    <w:rsid w:val="00A47409"/>
    <w:rsid w:val="00A4740C"/>
    <w:rsid w:val="00A4745E"/>
    <w:rsid w:val="00A4757E"/>
    <w:rsid w:val="00A4770E"/>
    <w:rsid w:val="00A47936"/>
    <w:rsid w:val="00A479EF"/>
    <w:rsid w:val="00A47C68"/>
    <w:rsid w:val="00A47C8A"/>
    <w:rsid w:val="00A47EB0"/>
    <w:rsid w:val="00A47F88"/>
    <w:rsid w:val="00A50122"/>
    <w:rsid w:val="00A50252"/>
    <w:rsid w:val="00A505A8"/>
    <w:rsid w:val="00A50B39"/>
    <w:rsid w:val="00A50DD4"/>
    <w:rsid w:val="00A5108F"/>
    <w:rsid w:val="00A51165"/>
    <w:rsid w:val="00A511AA"/>
    <w:rsid w:val="00A5122F"/>
    <w:rsid w:val="00A5131A"/>
    <w:rsid w:val="00A5143A"/>
    <w:rsid w:val="00A5158C"/>
    <w:rsid w:val="00A515E1"/>
    <w:rsid w:val="00A516C6"/>
    <w:rsid w:val="00A517A7"/>
    <w:rsid w:val="00A517FF"/>
    <w:rsid w:val="00A519D2"/>
    <w:rsid w:val="00A519D4"/>
    <w:rsid w:val="00A51B1D"/>
    <w:rsid w:val="00A51B55"/>
    <w:rsid w:val="00A51B7B"/>
    <w:rsid w:val="00A51BBC"/>
    <w:rsid w:val="00A51C20"/>
    <w:rsid w:val="00A51CA6"/>
    <w:rsid w:val="00A521AD"/>
    <w:rsid w:val="00A524BB"/>
    <w:rsid w:val="00A52505"/>
    <w:rsid w:val="00A52787"/>
    <w:rsid w:val="00A52794"/>
    <w:rsid w:val="00A527BE"/>
    <w:rsid w:val="00A52828"/>
    <w:rsid w:val="00A528E6"/>
    <w:rsid w:val="00A52902"/>
    <w:rsid w:val="00A5291E"/>
    <w:rsid w:val="00A52A27"/>
    <w:rsid w:val="00A52B9E"/>
    <w:rsid w:val="00A52D01"/>
    <w:rsid w:val="00A52DD3"/>
    <w:rsid w:val="00A5301A"/>
    <w:rsid w:val="00A530CB"/>
    <w:rsid w:val="00A53108"/>
    <w:rsid w:val="00A53157"/>
    <w:rsid w:val="00A531CF"/>
    <w:rsid w:val="00A53222"/>
    <w:rsid w:val="00A53235"/>
    <w:rsid w:val="00A5326B"/>
    <w:rsid w:val="00A53329"/>
    <w:rsid w:val="00A53364"/>
    <w:rsid w:val="00A534FE"/>
    <w:rsid w:val="00A53526"/>
    <w:rsid w:val="00A535E1"/>
    <w:rsid w:val="00A539B3"/>
    <w:rsid w:val="00A53A05"/>
    <w:rsid w:val="00A53A8E"/>
    <w:rsid w:val="00A53CEE"/>
    <w:rsid w:val="00A53E14"/>
    <w:rsid w:val="00A53E4D"/>
    <w:rsid w:val="00A53E98"/>
    <w:rsid w:val="00A54013"/>
    <w:rsid w:val="00A54015"/>
    <w:rsid w:val="00A540CD"/>
    <w:rsid w:val="00A5424C"/>
    <w:rsid w:val="00A542E0"/>
    <w:rsid w:val="00A545D4"/>
    <w:rsid w:val="00A54799"/>
    <w:rsid w:val="00A5489C"/>
    <w:rsid w:val="00A54987"/>
    <w:rsid w:val="00A54A18"/>
    <w:rsid w:val="00A54B2A"/>
    <w:rsid w:val="00A54C3B"/>
    <w:rsid w:val="00A54D93"/>
    <w:rsid w:val="00A54F54"/>
    <w:rsid w:val="00A550D1"/>
    <w:rsid w:val="00A553E7"/>
    <w:rsid w:val="00A554FE"/>
    <w:rsid w:val="00A557AC"/>
    <w:rsid w:val="00A558B2"/>
    <w:rsid w:val="00A558D8"/>
    <w:rsid w:val="00A559C5"/>
    <w:rsid w:val="00A55A95"/>
    <w:rsid w:val="00A55AEC"/>
    <w:rsid w:val="00A55C19"/>
    <w:rsid w:val="00A55C3A"/>
    <w:rsid w:val="00A55CE5"/>
    <w:rsid w:val="00A55D8D"/>
    <w:rsid w:val="00A561DE"/>
    <w:rsid w:val="00A563C4"/>
    <w:rsid w:val="00A565D7"/>
    <w:rsid w:val="00A566F4"/>
    <w:rsid w:val="00A56843"/>
    <w:rsid w:val="00A568FF"/>
    <w:rsid w:val="00A56A16"/>
    <w:rsid w:val="00A56A7C"/>
    <w:rsid w:val="00A56C43"/>
    <w:rsid w:val="00A56CB5"/>
    <w:rsid w:val="00A56CE2"/>
    <w:rsid w:val="00A56D2A"/>
    <w:rsid w:val="00A56D8F"/>
    <w:rsid w:val="00A56E1F"/>
    <w:rsid w:val="00A56F76"/>
    <w:rsid w:val="00A573C0"/>
    <w:rsid w:val="00A573C2"/>
    <w:rsid w:val="00A5752F"/>
    <w:rsid w:val="00A57ACD"/>
    <w:rsid w:val="00A57C77"/>
    <w:rsid w:val="00A57D83"/>
    <w:rsid w:val="00A57E11"/>
    <w:rsid w:val="00A57E5A"/>
    <w:rsid w:val="00A600E3"/>
    <w:rsid w:val="00A60216"/>
    <w:rsid w:val="00A6044D"/>
    <w:rsid w:val="00A6071B"/>
    <w:rsid w:val="00A607B2"/>
    <w:rsid w:val="00A608F7"/>
    <w:rsid w:val="00A60BFA"/>
    <w:rsid w:val="00A60C23"/>
    <w:rsid w:val="00A60CE6"/>
    <w:rsid w:val="00A60CED"/>
    <w:rsid w:val="00A60E42"/>
    <w:rsid w:val="00A60E5A"/>
    <w:rsid w:val="00A60F85"/>
    <w:rsid w:val="00A61070"/>
    <w:rsid w:val="00A610F7"/>
    <w:rsid w:val="00A611B7"/>
    <w:rsid w:val="00A612E3"/>
    <w:rsid w:val="00A61399"/>
    <w:rsid w:val="00A614EA"/>
    <w:rsid w:val="00A61970"/>
    <w:rsid w:val="00A6199E"/>
    <w:rsid w:val="00A619B9"/>
    <w:rsid w:val="00A61B6F"/>
    <w:rsid w:val="00A61B89"/>
    <w:rsid w:val="00A61E4D"/>
    <w:rsid w:val="00A61EAF"/>
    <w:rsid w:val="00A621E3"/>
    <w:rsid w:val="00A62250"/>
    <w:rsid w:val="00A62286"/>
    <w:rsid w:val="00A6229B"/>
    <w:rsid w:val="00A62686"/>
    <w:rsid w:val="00A62895"/>
    <w:rsid w:val="00A628EB"/>
    <w:rsid w:val="00A6297A"/>
    <w:rsid w:val="00A62A6B"/>
    <w:rsid w:val="00A62AF8"/>
    <w:rsid w:val="00A62B9E"/>
    <w:rsid w:val="00A62BCE"/>
    <w:rsid w:val="00A62C47"/>
    <w:rsid w:val="00A62FE4"/>
    <w:rsid w:val="00A63011"/>
    <w:rsid w:val="00A632A0"/>
    <w:rsid w:val="00A6332E"/>
    <w:rsid w:val="00A633AC"/>
    <w:rsid w:val="00A6359A"/>
    <w:rsid w:val="00A63752"/>
    <w:rsid w:val="00A6388E"/>
    <w:rsid w:val="00A6399A"/>
    <w:rsid w:val="00A63A23"/>
    <w:rsid w:val="00A63A5B"/>
    <w:rsid w:val="00A63C60"/>
    <w:rsid w:val="00A6426C"/>
    <w:rsid w:val="00A6427D"/>
    <w:rsid w:val="00A643D1"/>
    <w:rsid w:val="00A6450D"/>
    <w:rsid w:val="00A645C0"/>
    <w:rsid w:val="00A64765"/>
    <w:rsid w:val="00A6482B"/>
    <w:rsid w:val="00A6484C"/>
    <w:rsid w:val="00A649BC"/>
    <w:rsid w:val="00A64F5E"/>
    <w:rsid w:val="00A650DA"/>
    <w:rsid w:val="00A65186"/>
    <w:rsid w:val="00A65197"/>
    <w:rsid w:val="00A6528F"/>
    <w:rsid w:val="00A652A8"/>
    <w:rsid w:val="00A65553"/>
    <w:rsid w:val="00A656C6"/>
    <w:rsid w:val="00A65744"/>
    <w:rsid w:val="00A65748"/>
    <w:rsid w:val="00A65772"/>
    <w:rsid w:val="00A65E5B"/>
    <w:rsid w:val="00A66099"/>
    <w:rsid w:val="00A661A7"/>
    <w:rsid w:val="00A66232"/>
    <w:rsid w:val="00A6632F"/>
    <w:rsid w:val="00A6659A"/>
    <w:rsid w:val="00A66665"/>
    <w:rsid w:val="00A6668D"/>
    <w:rsid w:val="00A666F4"/>
    <w:rsid w:val="00A667A9"/>
    <w:rsid w:val="00A66A56"/>
    <w:rsid w:val="00A66C1B"/>
    <w:rsid w:val="00A66CBB"/>
    <w:rsid w:val="00A66D81"/>
    <w:rsid w:val="00A66E92"/>
    <w:rsid w:val="00A66F6B"/>
    <w:rsid w:val="00A66FA2"/>
    <w:rsid w:val="00A67042"/>
    <w:rsid w:val="00A670E3"/>
    <w:rsid w:val="00A67261"/>
    <w:rsid w:val="00A67581"/>
    <w:rsid w:val="00A67681"/>
    <w:rsid w:val="00A676A5"/>
    <w:rsid w:val="00A678DF"/>
    <w:rsid w:val="00A679AE"/>
    <w:rsid w:val="00A67E14"/>
    <w:rsid w:val="00A67E32"/>
    <w:rsid w:val="00A67F11"/>
    <w:rsid w:val="00A67F1C"/>
    <w:rsid w:val="00A67F27"/>
    <w:rsid w:val="00A70041"/>
    <w:rsid w:val="00A70150"/>
    <w:rsid w:val="00A701C1"/>
    <w:rsid w:val="00A702B9"/>
    <w:rsid w:val="00A706A0"/>
    <w:rsid w:val="00A70763"/>
    <w:rsid w:val="00A7090B"/>
    <w:rsid w:val="00A70A1C"/>
    <w:rsid w:val="00A70BCF"/>
    <w:rsid w:val="00A70C98"/>
    <w:rsid w:val="00A70CF2"/>
    <w:rsid w:val="00A70EBB"/>
    <w:rsid w:val="00A70EED"/>
    <w:rsid w:val="00A70FA0"/>
    <w:rsid w:val="00A71044"/>
    <w:rsid w:val="00A71285"/>
    <w:rsid w:val="00A713BC"/>
    <w:rsid w:val="00A714DD"/>
    <w:rsid w:val="00A7150E"/>
    <w:rsid w:val="00A7194F"/>
    <w:rsid w:val="00A719DF"/>
    <w:rsid w:val="00A71B57"/>
    <w:rsid w:val="00A71B86"/>
    <w:rsid w:val="00A71C28"/>
    <w:rsid w:val="00A71D26"/>
    <w:rsid w:val="00A72080"/>
    <w:rsid w:val="00A722B0"/>
    <w:rsid w:val="00A72303"/>
    <w:rsid w:val="00A72362"/>
    <w:rsid w:val="00A7240C"/>
    <w:rsid w:val="00A72431"/>
    <w:rsid w:val="00A7248E"/>
    <w:rsid w:val="00A7253E"/>
    <w:rsid w:val="00A726F7"/>
    <w:rsid w:val="00A72861"/>
    <w:rsid w:val="00A72A69"/>
    <w:rsid w:val="00A72AA9"/>
    <w:rsid w:val="00A72AF5"/>
    <w:rsid w:val="00A72CCF"/>
    <w:rsid w:val="00A72DDB"/>
    <w:rsid w:val="00A72DFD"/>
    <w:rsid w:val="00A72F2B"/>
    <w:rsid w:val="00A72F86"/>
    <w:rsid w:val="00A73636"/>
    <w:rsid w:val="00A73680"/>
    <w:rsid w:val="00A736BF"/>
    <w:rsid w:val="00A73888"/>
    <w:rsid w:val="00A738A0"/>
    <w:rsid w:val="00A738BD"/>
    <w:rsid w:val="00A73A98"/>
    <w:rsid w:val="00A73B06"/>
    <w:rsid w:val="00A73B5E"/>
    <w:rsid w:val="00A73C1D"/>
    <w:rsid w:val="00A73D50"/>
    <w:rsid w:val="00A73DA2"/>
    <w:rsid w:val="00A73DBC"/>
    <w:rsid w:val="00A73E0E"/>
    <w:rsid w:val="00A73E15"/>
    <w:rsid w:val="00A73E9D"/>
    <w:rsid w:val="00A73FAC"/>
    <w:rsid w:val="00A74050"/>
    <w:rsid w:val="00A7409F"/>
    <w:rsid w:val="00A7412F"/>
    <w:rsid w:val="00A74279"/>
    <w:rsid w:val="00A74364"/>
    <w:rsid w:val="00A74378"/>
    <w:rsid w:val="00A74537"/>
    <w:rsid w:val="00A74573"/>
    <w:rsid w:val="00A747B4"/>
    <w:rsid w:val="00A748DE"/>
    <w:rsid w:val="00A74907"/>
    <w:rsid w:val="00A74985"/>
    <w:rsid w:val="00A74A29"/>
    <w:rsid w:val="00A74B8B"/>
    <w:rsid w:val="00A74C87"/>
    <w:rsid w:val="00A74DC0"/>
    <w:rsid w:val="00A74DDD"/>
    <w:rsid w:val="00A74E65"/>
    <w:rsid w:val="00A74F13"/>
    <w:rsid w:val="00A752B6"/>
    <w:rsid w:val="00A753F9"/>
    <w:rsid w:val="00A75557"/>
    <w:rsid w:val="00A7577B"/>
    <w:rsid w:val="00A75826"/>
    <w:rsid w:val="00A75860"/>
    <w:rsid w:val="00A75AF2"/>
    <w:rsid w:val="00A75B00"/>
    <w:rsid w:val="00A75BFF"/>
    <w:rsid w:val="00A75E93"/>
    <w:rsid w:val="00A75F77"/>
    <w:rsid w:val="00A760BE"/>
    <w:rsid w:val="00A76249"/>
    <w:rsid w:val="00A763EB"/>
    <w:rsid w:val="00A763FC"/>
    <w:rsid w:val="00A76530"/>
    <w:rsid w:val="00A7659D"/>
    <w:rsid w:val="00A76867"/>
    <w:rsid w:val="00A7686D"/>
    <w:rsid w:val="00A768DC"/>
    <w:rsid w:val="00A7691D"/>
    <w:rsid w:val="00A7694C"/>
    <w:rsid w:val="00A76972"/>
    <w:rsid w:val="00A76A79"/>
    <w:rsid w:val="00A76A85"/>
    <w:rsid w:val="00A76D45"/>
    <w:rsid w:val="00A76E56"/>
    <w:rsid w:val="00A76E84"/>
    <w:rsid w:val="00A76F3D"/>
    <w:rsid w:val="00A770C4"/>
    <w:rsid w:val="00A77190"/>
    <w:rsid w:val="00A7722C"/>
    <w:rsid w:val="00A77246"/>
    <w:rsid w:val="00A772E6"/>
    <w:rsid w:val="00A773D3"/>
    <w:rsid w:val="00A77423"/>
    <w:rsid w:val="00A77494"/>
    <w:rsid w:val="00A774FF"/>
    <w:rsid w:val="00A775E4"/>
    <w:rsid w:val="00A77646"/>
    <w:rsid w:val="00A7767E"/>
    <w:rsid w:val="00A776A4"/>
    <w:rsid w:val="00A776E1"/>
    <w:rsid w:val="00A776F5"/>
    <w:rsid w:val="00A77805"/>
    <w:rsid w:val="00A77838"/>
    <w:rsid w:val="00A77936"/>
    <w:rsid w:val="00A77987"/>
    <w:rsid w:val="00A77A6E"/>
    <w:rsid w:val="00A77C7D"/>
    <w:rsid w:val="00A77DC0"/>
    <w:rsid w:val="00A800B2"/>
    <w:rsid w:val="00A800E4"/>
    <w:rsid w:val="00A802A9"/>
    <w:rsid w:val="00A802AF"/>
    <w:rsid w:val="00A80394"/>
    <w:rsid w:val="00A80512"/>
    <w:rsid w:val="00A8051C"/>
    <w:rsid w:val="00A80689"/>
    <w:rsid w:val="00A80772"/>
    <w:rsid w:val="00A80899"/>
    <w:rsid w:val="00A80B28"/>
    <w:rsid w:val="00A80C0A"/>
    <w:rsid w:val="00A80CD3"/>
    <w:rsid w:val="00A80E3B"/>
    <w:rsid w:val="00A812A1"/>
    <w:rsid w:val="00A81604"/>
    <w:rsid w:val="00A81705"/>
    <w:rsid w:val="00A81778"/>
    <w:rsid w:val="00A81818"/>
    <w:rsid w:val="00A81A01"/>
    <w:rsid w:val="00A81A2D"/>
    <w:rsid w:val="00A81C6D"/>
    <w:rsid w:val="00A81DA5"/>
    <w:rsid w:val="00A81E55"/>
    <w:rsid w:val="00A821D4"/>
    <w:rsid w:val="00A823EB"/>
    <w:rsid w:val="00A82508"/>
    <w:rsid w:val="00A826D4"/>
    <w:rsid w:val="00A82752"/>
    <w:rsid w:val="00A82866"/>
    <w:rsid w:val="00A828E4"/>
    <w:rsid w:val="00A82CF7"/>
    <w:rsid w:val="00A82CFC"/>
    <w:rsid w:val="00A82D40"/>
    <w:rsid w:val="00A82D93"/>
    <w:rsid w:val="00A82F49"/>
    <w:rsid w:val="00A83215"/>
    <w:rsid w:val="00A8332D"/>
    <w:rsid w:val="00A8345A"/>
    <w:rsid w:val="00A8346E"/>
    <w:rsid w:val="00A83486"/>
    <w:rsid w:val="00A8354A"/>
    <w:rsid w:val="00A8364B"/>
    <w:rsid w:val="00A83726"/>
    <w:rsid w:val="00A83774"/>
    <w:rsid w:val="00A83784"/>
    <w:rsid w:val="00A838A6"/>
    <w:rsid w:val="00A839BF"/>
    <w:rsid w:val="00A83B1F"/>
    <w:rsid w:val="00A83D07"/>
    <w:rsid w:val="00A83F20"/>
    <w:rsid w:val="00A841AD"/>
    <w:rsid w:val="00A84243"/>
    <w:rsid w:val="00A8428A"/>
    <w:rsid w:val="00A842B4"/>
    <w:rsid w:val="00A84350"/>
    <w:rsid w:val="00A84469"/>
    <w:rsid w:val="00A8463A"/>
    <w:rsid w:val="00A84669"/>
    <w:rsid w:val="00A8467F"/>
    <w:rsid w:val="00A846C4"/>
    <w:rsid w:val="00A8473A"/>
    <w:rsid w:val="00A84778"/>
    <w:rsid w:val="00A8480C"/>
    <w:rsid w:val="00A84BAC"/>
    <w:rsid w:val="00A84C46"/>
    <w:rsid w:val="00A84E82"/>
    <w:rsid w:val="00A84EAD"/>
    <w:rsid w:val="00A84ECD"/>
    <w:rsid w:val="00A85040"/>
    <w:rsid w:val="00A85112"/>
    <w:rsid w:val="00A8511C"/>
    <w:rsid w:val="00A8512E"/>
    <w:rsid w:val="00A85189"/>
    <w:rsid w:val="00A852D0"/>
    <w:rsid w:val="00A855F7"/>
    <w:rsid w:val="00A857B5"/>
    <w:rsid w:val="00A857B7"/>
    <w:rsid w:val="00A859BA"/>
    <w:rsid w:val="00A85B78"/>
    <w:rsid w:val="00A85B8E"/>
    <w:rsid w:val="00A85C20"/>
    <w:rsid w:val="00A85C25"/>
    <w:rsid w:val="00A85C78"/>
    <w:rsid w:val="00A85D0B"/>
    <w:rsid w:val="00A8602E"/>
    <w:rsid w:val="00A862E4"/>
    <w:rsid w:val="00A862F3"/>
    <w:rsid w:val="00A8638C"/>
    <w:rsid w:val="00A8654F"/>
    <w:rsid w:val="00A86626"/>
    <w:rsid w:val="00A86850"/>
    <w:rsid w:val="00A8688F"/>
    <w:rsid w:val="00A868CD"/>
    <w:rsid w:val="00A86AB9"/>
    <w:rsid w:val="00A86BFA"/>
    <w:rsid w:val="00A86C8C"/>
    <w:rsid w:val="00A86E89"/>
    <w:rsid w:val="00A8713D"/>
    <w:rsid w:val="00A872A7"/>
    <w:rsid w:val="00A873C1"/>
    <w:rsid w:val="00A873DC"/>
    <w:rsid w:val="00A8744B"/>
    <w:rsid w:val="00A874F2"/>
    <w:rsid w:val="00A87553"/>
    <w:rsid w:val="00A87576"/>
    <w:rsid w:val="00A876F7"/>
    <w:rsid w:val="00A87779"/>
    <w:rsid w:val="00A877AE"/>
    <w:rsid w:val="00A87881"/>
    <w:rsid w:val="00A87984"/>
    <w:rsid w:val="00A87A54"/>
    <w:rsid w:val="00A87AE5"/>
    <w:rsid w:val="00A87B59"/>
    <w:rsid w:val="00A87D5E"/>
    <w:rsid w:val="00A87E6F"/>
    <w:rsid w:val="00A87EE0"/>
    <w:rsid w:val="00A9016B"/>
    <w:rsid w:val="00A90232"/>
    <w:rsid w:val="00A90382"/>
    <w:rsid w:val="00A903C9"/>
    <w:rsid w:val="00A90408"/>
    <w:rsid w:val="00A90907"/>
    <w:rsid w:val="00A90964"/>
    <w:rsid w:val="00A90C8E"/>
    <w:rsid w:val="00A90CD7"/>
    <w:rsid w:val="00A90D91"/>
    <w:rsid w:val="00A90DA5"/>
    <w:rsid w:val="00A90EB2"/>
    <w:rsid w:val="00A90ECA"/>
    <w:rsid w:val="00A90F58"/>
    <w:rsid w:val="00A911ED"/>
    <w:rsid w:val="00A912B9"/>
    <w:rsid w:val="00A9136D"/>
    <w:rsid w:val="00A91386"/>
    <w:rsid w:val="00A914A2"/>
    <w:rsid w:val="00A91656"/>
    <w:rsid w:val="00A91C16"/>
    <w:rsid w:val="00A91CF2"/>
    <w:rsid w:val="00A91D52"/>
    <w:rsid w:val="00A91D91"/>
    <w:rsid w:val="00A91E27"/>
    <w:rsid w:val="00A920D0"/>
    <w:rsid w:val="00A92122"/>
    <w:rsid w:val="00A92226"/>
    <w:rsid w:val="00A92230"/>
    <w:rsid w:val="00A923BD"/>
    <w:rsid w:val="00A92449"/>
    <w:rsid w:val="00A9244E"/>
    <w:rsid w:val="00A926FB"/>
    <w:rsid w:val="00A92753"/>
    <w:rsid w:val="00A928A8"/>
    <w:rsid w:val="00A9298B"/>
    <w:rsid w:val="00A92A95"/>
    <w:rsid w:val="00A92B1D"/>
    <w:rsid w:val="00A92DAF"/>
    <w:rsid w:val="00A93280"/>
    <w:rsid w:val="00A9344E"/>
    <w:rsid w:val="00A93490"/>
    <w:rsid w:val="00A934FA"/>
    <w:rsid w:val="00A9365C"/>
    <w:rsid w:val="00A936BC"/>
    <w:rsid w:val="00A936EB"/>
    <w:rsid w:val="00A9376F"/>
    <w:rsid w:val="00A937D0"/>
    <w:rsid w:val="00A93996"/>
    <w:rsid w:val="00A939D7"/>
    <w:rsid w:val="00A939DB"/>
    <w:rsid w:val="00A93AEC"/>
    <w:rsid w:val="00A93B60"/>
    <w:rsid w:val="00A93CE6"/>
    <w:rsid w:val="00A93E3E"/>
    <w:rsid w:val="00A93E43"/>
    <w:rsid w:val="00A93E75"/>
    <w:rsid w:val="00A93E8E"/>
    <w:rsid w:val="00A93EDF"/>
    <w:rsid w:val="00A94097"/>
    <w:rsid w:val="00A9416B"/>
    <w:rsid w:val="00A9416E"/>
    <w:rsid w:val="00A942C9"/>
    <w:rsid w:val="00A943B5"/>
    <w:rsid w:val="00A94ABF"/>
    <w:rsid w:val="00A94D4F"/>
    <w:rsid w:val="00A94EE2"/>
    <w:rsid w:val="00A94F24"/>
    <w:rsid w:val="00A9509E"/>
    <w:rsid w:val="00A95128"/>
    <w:rsid w:val="00A951CF"/>
    <w:rsid w:val="00A954DF"/>
    <w:rsid w:val="00A954F5"/>
    <w:rsid w:val="00A957EC"/>
    <w:rsid w:val="00A95978"/>
    <w:rsid w:val="00A959F3"/>
    <w:rsid w:val="00A95A26"/>
    <w:rsid w:val="00A95CCE"/>
    <w:rsid w:val="00A95D66"/>
    <w:rsid w:val="00A95E74"/>
    <w:rsid w:val="00A95EE8"/>
    <w:rsid w:val="00A95EF2"/>
    <w:rsid w:val="00A96034"/>
    <w:rsid w:val="00A96496"/>
    <w:rsid w:val="00A9662B"/>
    <w:rsid w:val="00A9668F"/>
    <w:rsid w:val="00A96781"/>
    <w:rsid w:val="00A967D0"/>
    <w:rsid w:val="00A968F8"/>
    <w:rsid w:val="00A969DC"/>
    <w:rsid w:val="00A96A2D"/>
    <w:rsid w:val="00A96B69"/>
    <w:rsid w:val="00A96B79"/>
    <w:rsid w:val="00A96C3C"/>
    <w:rsid w:val="00A96CD2"/>
    <w:rsid w:val="00A96D14"/>
    <w:rsid w:val="00A96D29"/>
    <w:rsid w:val="00A96D73"/>
    <w:rsid w:val="00A96D82"/>
    <w:rsid w:val="00A96DFC"/>
    <w:rsid w:val="00A96FA3"/>
    <w:rsid w:val="00A96FD6"/>
    <w:rsid w:val="00A97194"/>
    <w:rsid w:val="00A9721A"/>
    <w:rsid w:val="00A973DA"/>
    <w:rsid w:val="00A975A6"/>
    <w:rsid w:val="00A9772F"/>
    <w:rsid w:val="00A978AB"/>
    <w:rsid w:val="00A979B4"/>
    <w:rsid w:val="00A979B5"/>
    <w:rsid w:val="00A979B9"/>
    <w:rsid w:val="00A979CF"/>
    <w:rsid w:val="00A97B7D"/>
    <w:rsid w:val="00A97C8F"/>
    <w:rsid w:val="00A97D4E"/>
    <w:rsid w:val="00A97E46"/>
    <w:rsid w:val="00A97F4A"/>
    <w:rsid w:val="00A97F6B"/>
    <w:rsid w:val="00A97FE3"/>
    <w:rsid w:val="00AA010C"/>
    <w:rsid w:val="00AA018C"/>
    <w:rsid w:val="00AA0317"/>
    <w:rsid w:val="00AA0399"/>
    <w:rsid w:val="00AA041B"/>
    <w:rsid w:val="00AA0484"/>
    <w:rsid w:val="00AA056B"/>
    <w:rsid w:val="00AA0627"/>
    <w:rsid w:val="00AA0928"/>
    <w:rsid w:val="00AA0A6D"/>
    <w:rsid w:val="00AA0D17"/>
    <w:rsid w:val="00AA0E48"/>
    <w:rsid w:val="00AA0FDC"/>
    <w:rsid w:val="00AA1007"/>
    <w:rsid w:val="00AA11BD"/>
    <w:rsid w:val="00AA120E"/>
    <w:rsid w:val="00AA123C"/>
    <w:rsid w:val="00AA12DC"/>
    <w:rsid w:val="00AA13B3"/>
    <w:rsid w:val="00AA155B"/>
    <w:rsid w:val="00AA159F"/>
    <w:rsid w:val="00AA166E"/>
    <w:rsid w:val="00AA16F0"/>
    <w:rsid w:val="00AA16FB"/>
    <w:rsid w:val="00AA172C"/>
    <w:rsid w:val="00AA1833"/>
    <w:rsid w:val="00AA1987"/>
    <w:rsid w:val="00AA19B4"/>
    <w:rsid w:val="00AA1C5A"/>
    <w:rsid w:val="00AA1E66"/>
    <w:rsid w:val="00AA1F9F"/>
    <w:rsid w:val="00AA21D1"/>
    <w:rsid w:val="00AA222B"/>
    <w:rsid w:val="00AA2243"/>
    <w:rsid w:val="00AA224F"/>
    <w:rsid w:val="00AA23CE"/>
    <w:rsid w:val="00AA2882"/>
    <w:rsid w:val="00AA29B0"/>
    <w:rsid w:val="00AA2A48"/>
    <w:rsid w:val="00AA2E1A"/>
    <w:rsid w:val="00AA2E8A"/>
    <w:rsid w:val="00AA2F25"/>
    <w:rsid w:val="00AA2F70"/>
    <w:rsid w:val="00AA2F99"/>
    <w:rsid w:val="00AA31C5"/>
    <w:rsid w:val="00AA32CE"/>
    <w:rsid w:val="00AA3385"/>
    <w:rsid w:val="00AA348C"/>
    <w:rsid w:val="00AA35EA"/>
    <w:rsid w:val="00AA39CE"/>
    <w:rsid w:val="00AA3C3C"/>
    <w:rsid w:val="00AA3C90"/>
    <w:rsid w:val="00AA3DE2"/>
    <w:rsid w:val="00AA3E53"/>
    <w:rsid w:val="00AA3E93"/>
    <w:rsid w:val="00AA3ED8"/>
    <w:rsid w:val="00AA3F4D"/>
    <w:rsid w:val="00AA3F5D"/>
    <w:rsid w:val="00AA3FC4"/>
    <w:rsid w:val="00AA4013"/>
    <w:rsid w:val="00AA40BC"/>
    <w:rsid w:val="00AA40D0"/>
    <w:rsid w:val="00AA41CD"/>
    <w:rsid w:val="00AA42AA"/>
    <w:rsid w:val="00AA432B"/>
    <w:rsid w:val="00AA44EA"/>
    <w:rsid w:val="00AA45E4"/>
    <w:rsid w:val="00AA4690"/>
    <w:rsid w:val="00AA47AD"/>
    <w:rsid w:val="00AA48A5"/>
    <w:rsid w:val="00AA49B4"/>
    <w:rsid w:val="00AA4A42"/>
    <w:rsid w:val="00AA4C5A"/>
    <w:rsid w:val="00AA5097"/>
    <w:rsid w:val="00AA5165"/>
    <w:rsid w:val="00AA52ED"/>
    <w:rsid w:val="00AA5319"/>
    <w:rsid w:val="00AA531F"/>
    <w:rsid w:val="00AA541B"/>
    <w:rsid w:val="00AA5447"/>
    <w:rsid w:val="00AA5471"/>
    <w:rsid w:val="00AA5496"/>
    <w:rsid w:val="00AA56AE"/>
    <w:rsid w:val="00AA5811"/>
    <w:rsid w:val="00AA592F"/>
    <w:rsid w:val="00AA5A06"/>
    <w:rsid w:val="00AA5BB4"/>
    <w:rsid w:val="00AA5CE5"/>
    <w:rsid w:val="00AA5D01"/>
    <w:rsid w:val="00AA5DA4"/>
    <w:rsid w:val="00AA5F4B"/>
    <w:rsid w:val="00AA5F5D"/>
    <w:rsid w:val="00AA5FCB"/>
    <w:rsid w:val="00AA601D"/>
    <w:rsid w:val="00AA6056"/>
    <w:rsid w:val="00AA609A"/>
    <w:rsid w:val="00AA6159"/>
    <w:rsid w:val="00AA619C"/>
    <w:rsid w:val="00AA623A"/>
    <w:rsid w:val="00AA6344"/>
    <w:rsid w:val="00AA63F1"/>
    <w:rsid w:val="00AA64AB"/>
    <w:rsid w:val="00AA656B"/>
    <w:rsid w:val="00AA6591"/>
    <w:rsid w:val="00AA66A2"/>
    <w:rsid w:val="00AA673A"/>
    <w:rsid w:val="00AA68A1"/>
    <w:rsid w:val="00AA698D"/>
    <w:rsid w:val="00AA6A9E"/>
    <w:rsid w:val="00AA6ACB"/>
    <w:rsid w:val="00AA6B40"/>
    <w:rsid w:val="00AA6C5A"/>
    <w:rsid w:val="00AA6D60"/>
    <w:rsid w:val="00AA6E06"/>
    <w:rsid w:val="00AA711B"/>
    <w:rsid w:val="00AA71D2"/>
    <w:rsid w:val="00AA720A"/>
    <w:rsid w:val="00AA7256"/>
    <w:rsid w:val="00AA725D"/>
    <w:rsid w:val="00AA7269"/>
    <w:rsid w:val="00AA739C"/>
    <w:rsid w:val="00AA767D"/>
    <w:rsid w:val="00AA778E"/>
    <w:rsid w:val="00AA781A"/>
    <w:rsid w:val="00AA789F"/>
    <w:rsid w:val="00AA7A25"/>
    <w:rsid w:val="00AA7AD1"/>
    <w:rsid w:val="00AA7AD5"/>
    <w:rsid w:val="00AA7B3A"/>
    <w:rsid w:val="00AA7B5A"/>
    <w:rsid w:val="00AA7BD7"/>
    <w:rsid w:val="00AA7C85"/>
    <w:rsid w:val="00AA7C99"/>
    <w:rsid w:val="00AA7CE9"/>
    <w:rsid w:val="00AA7E74"/>
    <w:rsid w:val="00AA7F0A"/>
    <w:rsid w:val="00AB013E"/>
    <w:rsid w:val="00AB0341"/>
    <w:rsid w:val="00AB03A1"/>
    <w:rsid w:val="00AB041A"/>
    <w:rsid w:val="00AB04C8"/>
    <w:rsid w:val="00AB04F3"/>
    <w:rsid w:val="00AB088F"/>
    <w:rsid w:val="00AB0A1F"/>
    <w:rsid w:val="00AB0B05"/>
    <w:rsid w:val="00AB0B21"/>
    <w:rsid w:val="00AB0BD2"/>
    <w:rsid w:val="00AB0DA1"/>
    <w:rsid w:val="00AB0E38"/>
    <w:rsid w:val="00AB0EEE"/>
    <w:rsid w:val="00AB10E6"/>
    <w:rsid w:val="00AB1203"/>
    <w:rsid w:val="00AB1288"/>
    <w:rsid w:val="00AB1354"/>
    <w:rsid w:val="00AB1372"/>
    <w:rsid w:val="00AB138E"/>
    <w:rsid w:val="00AB14DF"/>
    <w:rsid w:val="00AB15D4"/>
    <w:rsid w:val="00AB1633"/>
    <w:rsid w:val="00AB1860"/>
    <w:rsid w:val="00AB1A3E"/>
    <w:rsid w:val="00AB1A64"/>
    <w:rsid w:val="00AB1B90"/>
    <w:rsid w:val="00AB1CC1"/>
    <w:rsid w:val="00AB1D08"/>
    <w:rsid w:val="00AB1E54"/>
    <w:rsid w:val="00AB1F15"/>
    <w:rsid w:val="00AB2035"/>
    <w:rsid w:val="00AB2156"/>
    <w:rsid w:val="00AB23D3"/>
    <w:rsid w:val="00AB23F3"/>
    <w:rsid w:val="00AB256D"/>
    <w:rsid w:val="00AB25E7"/>
    <w:rsid w:val="00AB278F"/>
    <w:rsid w:val="00AB2815"/>
    <w:rsid w:val="00AB2968"/>
    <w:rsid w:val="00AB2979"/>
    <w:rsid w:val="00AB2AD5"/>
    <w:rsid w:val="00AB2ADE"/>
    <w:rsid w:val="00AB2B82"/>
    <w:rsid w:val="00AB2D9A"/>
    <w:rsid w:val="00AB2E87"/>
    <w:rsid w:val="00AB2F2C"/>
    <w:rsid w:val="00AB3035"/>
    <w:rsid w:val="00AB318B"/>
    <w:rsid w:val="00AB31C5"/>
    <w:rsid w:val="00AB3202"/>
    <w:rsid w:val="00AB32D5"/>
    <w:rsid w:val="00AB32DA"/>
    <w:rsid w:val="00AB33B1"/>
    <w:rsid w:val="00AB343C"/>
    <w:rsid w:val="00AB34FD"/>
    <w:rsid w:val="00AB365A"/>
    <w:rsid w:val="00AB3684"/>
    <w:rsid w:val="00AB375B"/>
    <w:rsid w:val="00AB378E"/>
    <w:rsid w:val="00AB38BF"/>
    <w:rsid w:val="00AB39A1"/>
    <w:rsid w:val="00AB3AED"/>
    <w:rsid w:val="00AB3AF0"/>
    <w:rsid w:val="00AB3B01"/>
    <w:rsid w:val="00AB3B2E"/>
    <w:rsid w:val="00AB3B48"/>
    <w:rsid w:val="00AB3C37"/>
    <w:rsid w:val="00AB3E88"/>
    <w:rsid w:val="00AB4053"/>
    <w:rsid w:val="00AB4251"/>
    <w:rsid w:val="00AB43C0"/>
    <w:rsid w:val="00AB4418"/>
    <w:rsid w:val="00AB441F"/>
    <w:rsid w:val="00AB44AB"/>
    <w:rsid w:val="00AB4610"/>
    <w:rsid w:val="00AB4647"/>
    <w:rsid w:val="00AB4716"/>
    <w:rsid w:val="00AB4A19"/>
    <w:rsid w:val="00AB4A2B"/>
    <w:rsid w:val="00AB4A63"/>
    <w:rsid w:val="00AB4BDC"/>
    <w:rsid w:val="00AB4C14"/>
    <w:rsid w:val="00AB4CD5"/>
    <w:rsid w:val="00AB4D51"/>
    <w:rsid w:val="00AB4DBF"/>
    <w:rsid w:val="00AB510D"/>
    <w:rsid w:val="00AB5355"/>
    <w:rsid w:val="00AB5414"/>
    <w:rsid w:val="00AB54E8"/>
    <w:rsid w:val="00AB5579"/>
    <w:rsid w:val="00AB55C5"/>
    <w:rsid w:val="00AB5627"/>
    <w:rsid w:val="00AB56F8"/>
    <w:rsid w:val="00AB5716"/>
    <w:rsid w:val="00AB5789"/>
    <w:rsid w:val="00AB5923"/>
    <w:rsid w:val="00AB59D8"/>
    <w:rsid w:val="00AB5B0A"/>
    <w:rsid w:val="00AB5B2F"/>
    <w:rsid w:val="00AB5B7F"/>
    <w:rsid w:val="00AB5C9C"/>
    <w:rsid w:val="00AB620A"/>
    <w:rsid w:val="00AB620B"/>
    <w:rsid w:val="00AB624E"/>
    <w:rsid w:val="00AB6306"/>
    <w:rsid w:val="00AB6374"/>
    <w:rsid w:val="00AB665C"/>
    <w:rsid w:val="00AB6920"/>
    <w:rsid w:val="00AB69BA"/>
    <w:rsid w:val="00AB6D02"/>
    <w:rsid w:val="00AB6EC0"/>
    <w:rsid w:val="00AB6EFC"/>
    <w:rsid w:val="00AB702A"/>
    <w:rsid w:val="00AB7139"/>
    <w:rsid w:val="00AB71A2"/>
    <w:rsid w:val="00AB723C"/>
    <w:rsid w:val="00AB758E"/>
    <w:rsid w:val="00AB7685"/>
    <w:rsid w:val="00AB76E4"/>
    <w:rsid w:val="00AB77D7"/>
    <w:rsid w:val="00AB79EE"/>
    <w:rsid w:val="00AB7B9B"/>
    <w:rsid w:val="00AB7C02"/>
    <w:rsid w:val="00AB7DFF"/>
    <w:rsid w:val="00AB7E37"/>
    <w:rsid w:val="00AB7E7E"/>
    <w:rsid w:val="00AC0056"/>
    <w:rsid w:val="00AC02D6"/>
    <w:rsid w:val="00AC039B"/>
    <w:rsid w:val="00AC03A0"/>
    <w:rsid w:val="00AC03D4"/>
    <w:rsid w:val="00AC03E0"/>
    <w:rsid w:val="00AC03FA"/>
    <w:rsid w:val="00AC0463"/>
    <w:rsid w:val="00AC04A7"/>
    <w:rsid w:val="00AC04A9"/>
    <w:rsid w:val="00AC060E"/>
    <w:rsid w:val="00AC060F"/>
    <w:rsid w:val="00AC069E"/>
    <w:rsid w:val="00AC07CA"/>
    <w:rsid w:val="00AC07F6"/>
    <w:rsid w:val="00AC090A"/>
    <w:rsid w:val="00AC0935"/>
    <w:rsid w:val="00AC0A9D"/>
    <w:rsid w:val="00AC0AAD"/>
    <w:rsid w:val="00AC0FCA"/>
    <w:rsid w:val="00AC100C"/>
    <w:rsid w:val="00AC1026"/>
    <w:rsid w:val="00AC12FE"/>
    <w:rsid w:val="00AC137F"/>
    <w:rsid w:val="00AC16DB"/>
    <w:rsid w:val="00AC170C"/>
    <w:rsid w:val="00AC186E"/>
    <w:rsid w:val="00AC1985"/>
    <w:rsid w:val="00AC1A5D"/>
    <w:rsid w:val="00AC1E06"/>
    <w:rsid w:val="00AC1E17"/>
    <w:rsid w:val="00AC224C"/>
    <w:rsid w:val="00AC2276"/>
    <w:rsid w:val="00AC22B6"/>
    <w:rsid w:val="00AC240D"/>
    <w:rsid w:val="00AC25AB"/>
    <w:rsid w:val="00AC2709"/>
    <w:rsid w:val="00AC28BF"/>
    <w:rsid w:val="00AC293C"/>
    <w:rsid w:val="00AC29DB"/>
    <w:rsid w:val="00AC2B7E"/>
    <w:rsid w:val="00AC2BAA"/>
    <w:rsid w:val="00AC2EF1"/>
    <w:rsid w:val="00AC2F0D"/>
    <w:rsid w:val="00AC300D"/>
    <w:rsid w:val="00AC34C9"/>
    <w:rsid w:val="00AC34CB"/>
    <w:rsid w:val="00AC35CE"/>
    <w:rsid w:val="00AC3614"/>
    <w:rsid w:val="00AC3771"/>
    <w:rsid w:val="00AC37E4"/>
    <w:rsid w:val="00AC38F0"/>
    <w:rsid w:val="00AC3948"/>
    <w:rsid w:val="00AC3B19"/>
    <w:rsid w:val="00AC3E7C"/>
    <w:rsid w:val="00AC3F7A"/>
    <w:rsid w:val="00AC3FBF"/>
    <w:rsid w:val="00AC4065"/>
    <w:rsid w:val="00AC4128"/>
    <w:rsid w:val="00AC4193"/>
    <w:rsid w:val="00AC43C4"/>
    <w:rsid w:val="00AC43C5"/>
    <w:rsid w:val="00AC44E3"/>
    <w:rsid w:val="00AC4500"/>
    <w:rsid w:val="00AC46CA"/>
    <w:rsid w:val="00AC4702"/>
    <w:rsid w:val="00AC4760"/>
    <w:rsid w:val="00AC489A"/>
    <w:rsid w:val="00AC49C7"/>
    <w:rsid w:val="00AC4B58"/>
    <w:rsid w:val="00AC4C7A"/>
    <w:rsid w:val="00AC4EA5"/>
    <w:rsid w:val="00AC5053"/>
    <w:rsid w:val="00AC505C"/>
    <w:rsid w:val="00AC523E"/>
    <w:rsid w:val="00AC5291"/>
    <w:rsid w:val="00AC53A3"/>
    <w:rsid w:val="00AC5609"/>
    <w:rsid w:val="00AC5737"/>
    <w:rsid w:val="00AC5914"/>
    <w:rsid w:val="00AC5BCA"/>
    <w:rsid w:val="00AC5C83"/>
    <w:rsid w:val="00AC5DA2"/>
    <w:rsid w:val="00AC5F2B"/>
    <w:rsid w:val="00AC5F85"/>
    <w:rsid w:val="00AC605F"/>
    <w:rsid w:val="00AC60B3"/>
    <w:rsid w:val="00AC60BD"/>
    <w:rsid w:val="00AC6110"/>
    <w:rsid w:val="00AC6117"/>
    <w:rsid w:val="00AC61CE"/>
    <w:rsid w:val="00AC63D9"/>
    <w:rsid w:val="00AC64C1"/>
    <w:rsid w:val="00AC6543"/>
    <w:rsid w:val="00AC660D"/>
    <w:rsid w:val="00AC662E"/>
    <w:rsid w:val="00AC669C"/>
    <w:rsid w:val="00AC698B"/>
    <w:rsid w:val="00AC6B15"/>
    <w:rsid w:val="00AC6BF8"/>
    <w:rsid w:val="00AC6C3F"/>
    <w:rsid w:val="00AC6D74"/>
    <w:rsid w:val="00AC6E2C"/>
    <w:rsid w:val="00AC6E3F"/>
    <w:rsid w:val="00AC6EE1"/>
    <w:rsid w:val="00AC716E"/>
    <w:rsid w:val="00AC72C3"/>
    <w:rsid w:val="00AC73CE"/>
    <w:rsid w:val="00AC7658"/>
    <w:rsid w:val="00AC76D2"/>
    <w:rsid w:val="00AC7733"/>
    <w:rsid w:val="00AC7A28"/>
    <w:rsid w:val="00AC7AAC"/>
    <w:rsid w:val="00AC7BC0"/>
    <w:rsid w:val="00AC7CC3"/>
    <w:rsid w:val="00AD00E5"/>
    <w:rsid w:val="00AD0181"/>
    <w:rsid w:val="00AD01EE"/>
    <w:rsid w:val="00AD03C4"/>
    <w:rsid w:val="00AD047E"/>
    <w:rsid w:val="00AD04A6"/>
    <w:rsid w:val="00AD04BB"/>
    <w:rsid w:val="00AD04F3"/>
    <w:rsid w:val="00AD05CC"/>
    <w:rsid w:val="00AD061B"/>
    <w:rsid w:val="00AD0982"/>
    <w:rsid w:val="00AD0A46"/>
    <w:rsid w:val="00AD1035"/>
    <w:rsid w:val="00AD165F"/>
    <w:rsid w:val="00AD1736"/>
    <w:rsid w:val="00AD176F"/>
    <w:rsid w:val="00AD180B"/>
    <w:rsid w:val="00AD185B"/>
    <w:rsid w:val="00AD1897"/>
    <w:rsid w:val="00AD18BC"/>
    <w:rsid w:val="00AD1A0C"/>
    <w:rsid w:val="00AD1ADD"/>
    <w:rsid w:val="00AD1C5B"/>
    <w:rsid w:val="00AD1E84"/>
    <w:rsid w:val="00AD1EC6"/>
    <w:rsid w:val="00AD1FFF"/>
    <w:rsid w:val="00AD2006"/>
    <w:rsid w:val="00AD23BF"/>
    <w:rsid w:val="00AD24C0"/>
    <w:rsid w:val="00AD27BB"/>
    <w:rsid w:val="00AD286B"/>
    <w:rsid w:val="00AD2A6A"/>
    <w:rsid w:val="00AD2A71"/>
    <w:rsid w:val="00AD2D47"/>
    <w:rsid w:val="00AD2E4A"/>
    <w:rsid w:val="00AD2E87"/>
    <w:rsid w:val="00AD2F77"/>
    <w:rsid w:val="00AD302E"/>
    <w:rsid w:val="00AD3140"/>
    <w:rsid w:val="00AD31ED"/>
    <w:rsid w:val="00AD33F6"/>
    <w:rsid w:val="00AD3513"/>
    <w:rsid w:val="00AD370B"/>
    <w:rsid w:val="00AD374F"/>
    <w:rsid w:val="00AD38B7"/>
    <w:rsid w:val="00AD38B8"/>
    <w:rsid w:val="00AD38BE"/>
    <w:rsid w:val="00AD3B9F"/>
    <w:rsid w:val="00AD3CCD"/>
    <w:rsid w:val="00AD3EE9"/>
    <w:rsid w:val="00AD3F7A"/>
    <w:rsid w:val="00AD4045"/>
    <w:rsid w:val="00AD40D1"/>
    <w:rsid w:val="00AD41A8"/>
    <w:rsid w:val="00AD4384"/>
    <w:rsid w:val="00AD460D"/>
    <w:rsid w:val="00AD4649"/>
    <w:rsid w:val="00AD46E5"/>
    <w:rsid w:val="00AD4A9D"/>
    <w:rsid w:val="00AD4B1D"/>
    <w:rsid w:val="00AD4B24"/>
    <w:rsid w:val="00AD4C24"/>
    <w:rsid w:val="00AD4C42"/>
    <w:rsid w:val="00AD4EF8"/>
    <w:rsid w:val="00AD502D"/>
    <w:rsid w:val="00AD52F1"/>
    <w:rsid w:val="00AD55B2"/>
    <w:rsid w:val="00AD56BF"/>
    <w:rsid w:val="00AD57C3"/>
    <w:rsid w:val="00AD57D4"/>
    <w:rsid w:val="00AD5841"/>
    <w:rsid w:val="00AD5865"/>
    <w:rsid w:val="00AD58C0"/>
    <w:rsid w:val="00AD58D5"/>
    <w:rsid w:val="00AD5A5B"/>
    <w:rsid w:val="00AD5BBF"/>
    <w:rsid w:val="00AD5D43"/>
    <w:rsid w:val="00AD5E20"/>
    <w:rsid w:val="00AD5E83"/>
    <w:rsid w:val="00AD5F11"/>
    <w:rsid w:val="00AD60F8"/>
    <w:rsid w:val="00AD619A"/>
    <w:rsid w:val="00AD61D4"/>
    <w:rsid w:val="00AD6239"/>
    <w:rsid w:val="00AD6525"/>
    <w:rsid w:val="00AD652E"/>
    <w:rsid w:val="00AD669A"/>
    <w:rsid w:val="00AD6777"/>
    <w:rsid w:val="00AD6B11"/>
    <w:rsid w:val="00AD6B16"/>
    <w:rsid w:val="00AD6CAF"/>
    <w:rsid w:val="00AD6D35"/>
    <w:rsid w:val="00AD6D48"/>
    <w:rsid w:val="00AD6DCD"/>
    <w:rsid w:val="00AD7177"/>
    <w:rsid w:val="00AD72C4"/>
    <w:rsid w:val="00AD73E3"/>
    <w:rsid w:val="00AD7490"/>
    <w:rsid w:val="00AD7515"/>
    <w:rsid w:val="00AD7659"/>
    <w:rsid w:val="00AD767E"/>
    <w:rsid w:val="00AD76E4"/>
    <w:rsid w:val="00AD77A8"/>
    <w:rsid w:val="00AD79DC"/>
    <w:rsid w:val="00AD7B15"/>
    <w:rsid w:val="00AD7D7D"/>
    <w:rsid w:val="00AD7E67"/>
    <w:rsid w:val="00AD7EEE"/>
    <w:rsid w:val="00AD7F52"/>
    <w:rsid w:val="00AD7F6C"/>
    <w:rsid w:val="00AE0161"/>
    <w:rsid w:val="00AE01AF"/>
    <w:rsid w:val="00AE033D"/>
    <w:rsid w:val="00AE05F5"/>
    <w:rsid w:val="00AE074A"/>
    <w:rsid w:val="00AE08F7"/>
    <w:rsid w:val="00AE0971"/>
    <w:rsid w:val="00AE0ACB"/>
    <w:rsid w:val="00AE0C03"/>
    <w:rsid w:val="00AE0ECD"/>
    <w:rsid w:val="00AE10D0"/>
    <w:rsid w:val="00AE10E4"/>
    <w:rsid w:val="00AE1169"/>
    <w:rsid w:val="00AE11EB"/>
    <w:rsid w:val="00AE1362"/>
    <w:rsid w:val="00AE1381"/>
    <w:rsid w:val="00AE1397"/>
    <w:rsid w:val="00AE13D6"/>
    <w:rsid w:val="00AE1419"/>
    <w:rsid w:val="00AE1555"/>
    <w:rsid w:val="00AE1790"/>
    <w:rsid w:val="00AE1A1B"/>
    <w:rsid w:val="00AE1AF1"/>
    <w:rsid w:val="00AE1BB4"/>
    <w:rsid w:val="00AE1D53"/>
    <w:rsid w:val="00AE1D7D"/>
    <w:rsid w:val="00AE1E05"/>
    <w:rsid w:val="00AE1E0A"/>
    <w:rsid w:val="00AE1F63"/>
    <w:rsid w:val="00AE215A"/>
    <w:rsid w:val="00AE21AD"/>
    <w:rsid w:val="00AE2444"/>
    <w:rsid w:val="00AE25A4"/>
    <w:rsid w:val="00AE2704"/>
    <w:rsid w:val="00AE274A"/>
    <w:rsid w:val="00AE2762"/>
    <w:rsid w:val="00AE2855"/>
    <w:rsid w:val="00AE28C2"/>
    <w:rsid w:val="00AE2B7F"/>
    <w:rsid w:val="00AE2BC3"/>
    <w:rsid w:val="00AE2DDF"/>
    <w:rsid w:val="00AE3283"/>
    <w:rsid w:val="00AE3293"/>
    <w:rsid w:val="00AE347E"/>
    <w:rsid w:val="00AE34A7"/>
    <w:rsid w:val="00AE34E6"/>
    <w:rsid w:val="00AE358A"/>
    <w:rsid w:val="00AE36DE"/>
    <w:rsid w:val="00AE37B6"/>
    <w:rsid w:val="00AE3869"/>
    <w:rsid w:val="00AE38BF"/>
    <w:rsid w:val="00AE38F7"/>
    <w:rsid w:val="00AE398C"/>
    <w:rsid w:val="00AE39B0"/>
    <w:rsid w:val="00AE39F3"/>
    <w:rsid w:val="00AE3A67"/>
    <w:rsid w:val="00AE3B33"/>
    <w:rsid w:val="00AE3D6E"/>
    <w:rsid w:val="00AE3F87"/>
    <w:rsid w:val="00AE41E0"/>
    <w:rsid w:val="00AE432B"/>
    <w:rsid w:val="00AE4437"/>
    <w:rsid w:val="00AE44D0"/>
    <w:rsid w:val="00AE4547"/>
    <w:rsid w:val="00AE4565"/>
    <w:rsid w:val="00AE457E"/>
    <w:rsid w:val="00AE4664"/>
    <w:rsid w:val="00AE4871"/>
    <w:rsid w:val="00AE4998"/>
    <w:rsid w:val="00AE4B53"/>
    <w:rsid w:val="00AE4D67"/>
    <w:rsid w:val="00AE524F"/>
    <w:rsid w:val="00AE534E"/>
    <w:rsid w:val="00AE5633"/>
    <w:rsid w:val="00AE5698"/>
    <w:rsid w:val="00AE56C8"/>
    <w:rsid w:val="00AE571F"/>
    <w:rsid w:val="00AE572A"/>
    <w:rsid w:val="00AE5782"/>
    <w:rsid w:val="00AE5AD4"/>
    <w:rsid w:val="00AE5C1A"/>
    <w:rsid w:val="00AE5C7F"/>
    <w:rsid w:val="00AE5D3A"/>
    <w:rsid w:val="00AE5D55"/>
    <w:rsid w:val="00AE5DAD"/>
    <w:rsid w:val="00AE5EBB"/>
    <w:rsid w:val="00AE6185"/>
    <w:rsid w:val="00AE65FC"/>
    <w:rsid w:val="00AE6675"/>
    <w:rsid w:val="00AE66B8"/>
    <w:rsid w:val="00AE6796"/>
    <w:rsid w:val="00AE67F4"/>
    <w:rsid w:val="00AE68CF"/>
    <w:rsid w:val="00AE69DC"/>
    <w:rsid w:val="00AE6A6B"/>
    <w:rsid w:val="00AE6C7A"/>
    <w:rsid w:val="00AE71D1"/>
    <w:rsid w:val="00AE72C1"/>
    <w:rsid w:val="00AE73A5"/>
    <w:rsid w:val="00AE7440"/>
    <w:rsid w:val="00AE7485"/>
    <w:rsid w:val="00AE751C"/>
    <w:rsid w:val="00AE7552"/>
    <w:rsid w:val="00AE7567"/>
    <w:rsid w:val="00AE76A6"/>
    <w:rsid w:val="00AE76C4"/>
    <w:rsid w:val="00AE77D5"/>
    <w:rsid w:val="00AE77DD"/>
    <w:rsid w:val="00AE7815"/>
    <w:rsid w:val="00AE792D"/>
    <w:rsid w:val="00AE7A42"/>
    <w:rsid w:val="00AE7BA7"/>
    <w:rsid w:val="00AE7BDE"/>
    <w:rsid w:val="00AE7C9D"/>
    <w:rsid w:val="00AE7E10"/>
    <w:rsid w:val="00AE7E53"/>
    <w:rsid w:val="00AE7F08"/>
    <w:rsid w:val="00AE7F46"/>
    <w:rsid w:val="00AF013E"/>
    <w:rsid w:val="00AF01A2"/>
    <w:rsid w:val="00AF036A"/>
    <w:rsid w:val="00AF0508"/>
    <w:rsid w:val="00AF070C"/>
    <w:rsid w:val="00AF079E"/>
    <w:rsid w:val="00AF07B0"/>
    <w:rsid w:val="00AF07F3"/>
    <w:rsid w:val="00AF083F"/>
    <w:rsid w:val="00AF0A24"/>
    <w:rsid w:val="00AF0A93"/>
    <w:rsid w:val="00AF0B19"/>
    <w:rsid w:val="00AF0B92"/>
    <w:rsid w:val="00AF0D04"/>
    <w:rsid w:val="00AF0D9D"/>
    <w:rsid w:val="00AF10DC"/>
    <w:rsid w:val="00AF1294"/>
    <w:rsid w:val="00AF12ED"/>
    <w:rsid w:val="00AF130E"/>
    <w:rsid w:val="00AF1822"/>
    <w:rsid w:val="00AF187E"/>
    <w:rsid w:val="00AF1B9C"/>
    <w:rsid w:val="00AF1BEE"/>
    <w:rsid w:val="00AF1FCE"/>
    <w:rsid w:val="00AF2018"/>
    <w:rsid w:val="00AF222E"/>
    <w:rsid w:val="00AF235A"/>
    <w:rsid w:val="00AF23AA"/>
    <w:rsid w:val="00AF276B"/>
    <w:rsid w:val="00AF27E7"/>
    <w:rsid w:val="00AF2924"/>
    <w:rsid w:val="00AF2A29"/>
    <w:rsid w:val="00AF2AD3"/>
    <w:rsid w:val="00AF2AFE"/>
    <w:rsid w:val="00AF2B04"/>
    <w:rsid w:val="00AF2D56"/>
    <w:rsid w:val="00AF2DF2"/>
    <w:rsid w:val="00AF2F2D"/>
    <w:rsid w:val="00AF2FB6"/>
    <w:rsid w:val="00AF329D"/>
    <w:rsid w:val="00AF3304"/>
    <w:rsid w:val="00AF336D"/>
    <w:rsid w:val="00AF33A8"/>
    <w:rsid w:val="00AF363A"/>
    <w:rsid w:val="00AF366B"/>
    <w:rsid w:val="00AF369A"/>
    <w:rsid w:val="00AF3843"/>
    <w:rsid w:val="00AF3A2E"/>
    <w:rsid w:val="00AF3C43"/>
    <w:rsid w:val="00AF3D9C"/>
    <w:rsid w:val="00AF3E3A"/>
    <w:rsid w:val="00AF3FC4"/>
    <w:rsid w:val="00AF3FEE"/>
    <w:rsid w:val="00AF4009"/>
    <w:rsid w:val="00AF4040"/>
    <w:rsid w:val="00AF411F"/>
    <w:rsid w:val="00AF422D"/>
    <w:rsid w:val="00AF425C"/>
    <w:rsid w:val="00AF435A"/>
    <w:rsid w:val="00AF44BD"/>
    <w:rsid w:val="00AF45EE"/>
    <w:rsid w:val="00AF4762"/>
    <w:rsid w:val="00AF4895"/>
    <w:rsid w:val="00AF49F1"/>
    <w:rsid w:val="00AF49FD"/>
    <w:rsid w:val="00AF4B07"/>
    <w:rsid w:val="00AF4B43"/>
    <w:rsid w:val="00AF4C58"/>
    <w:rsid w:val="00AF4DA7"/>
    <w:rsid w:val="00AF4E77"/>
    <w:rsid w:val="00AF50F8"/>
    <w:rsid w:val="00AF518A"/>
    <w:rsid w:val="00AF5300"/>
    <w:rsid w:val="00AF54D3"/>
    <w:rsid w:val="00AF5525"/>
    <w:rsid w:val="00AF5721"/>
    <w:rsid w:val="00AF5723"/>
    <w:rsid w:val="00AF583F"/>
    <w:rsid w:val="00AF58D0"/>
    <w:rsid w:val="00AF59BC"/>
    <w:rsid w:val="00AF5A7B"/>
    <w:rsid w:val="00AF5AD4"/>
    <w:rsid w:val="00AF5BEC"/>
    <w:rsid w:val="00AF5F4B"/>
    <w:rsid w:val="00AF61E0"/>
    <w:rsid w:val="00AF6277"/>
    <w:rsid w:val="00AF637B"/>
    <w:rsid w:val="00AF64D5"/>
    <w:rsid w:val="00AF64E2"/>
    <w:rsid w:val="00AF6582"/>
    <w:rsid w:val="00AF65A9"/>
    <w:rsid w:val="00AF65F6"/>
    <w:rsid w:val="00AF67CE"/>
    <w:rsid w:val="00AF68E9"/>
    <w:rsid w:val="00AF69B4"/>
    <w:rsid w:val="00AF6B04"/>
    <w:rsid w:val="00AF6BC9"/>
    <w:rsid w:val="00AF6C2D"/>
    <w:rsid w:val="00AF6D5A"/>
    <w:rsid w:val="00AF6E94"/>
    <w:rsid w:val="00AF70B7"/>
    <w:rsid w:val="00AF769C"/>
    <w:rsid w:val="00AF76B8"/>
    <w:rsid w:val="00AF7832"/>
    <w:rsid w:val="00AF791E"/>
    <w:rsid w:val="00AF79BF"/>
    <w:rsid w:val="00AF7E6F"/>
    <w:rsid w:val="00AF7E7D"/>
    <w:rsid w:val="00AF7EFF"/>
    <w:rsid w:val="00B0012C"/>
    <w:rsid w:val="00B00176"/>
    <w:rsid w:val="00B001DD"/>
    <w:rsid w:val="00B003DB"/>
    <w:rsid w:val="00B003EC"/>
    <w:rsid w:val="00B004E5"/>
    <w:rsid w:val="00B004E7"/>
    <w:rsid w:val="00B005BD"/>
    <w:rsid w:val="00B005F9"/>
    <w:rsid w:val="00B0074A"/>
    <w:rsid w:val="00B008D9"/>
    <w:rsid w:val="00B00B79"/>
    <w:rsid w:val="00B00CCD"/>
    <w:rsid w:val="00B00E3E"/>
    <w:rsid w:val="00B00F39"/>
    <w:rsid w:val="00B00F84"/>
    <w:rsid w:val="00B01161"/>
    <w:rsid w:val="00B012B8"/>
    <w:rsid w:val="00B012E9"/>
    <w:rsid w:val="00B01304"/>
    <w:rsid w:val="00B0132C"/>
    <w:rsid w:val="00B01374"/>
    <w:rsid w:val="00B014AB"/>
    <w:rsid w:val="00B01678"/>
    <w:rsid w:val="00B0170F"/>
    <w:rsid w:val="00B01838"/>
    <w:rsid w:val="00B01B2B"/>
    <w:rsid w:val="00B01C2D"/>
    <w:rsid w:val="00B01C4E"/>
    <w:rsid w:val="00B01E19"/>
    <w:rsid w:val="00B01F3E"/>
    <w:rsid w:val="00B0202C"/>
    <w:rsid w:val="00B020CF"/>
    <w:rsid w:val="00B02233"/>
    <w:rsid w:val="00B0223E"/>
    <w:rsid w:val="00B0232F"/>
    <w:rsid w:val="00B025FD"/>
    <w:rsid w:val="00B026BB"/>
    <w:rsid w:val="00B02797"/>
    <w:rsid w:val="00B0281B"/>
    <w:rsid w:val="00B028D9"/>
    <w:rsid w:val="00B029AD"/>
    <w:rsid w:val="00B02E6E"/>
    <w:rsid w:val="00B030AE"/>
    <w:rsid w:val="00B03198"/>
    <w:rsid w:val="00B03548"/>
    <w:rsid w:val="00B03754"/>
    <w:rsid w:val="00B03ACE"/>
    <w:rsid w:val="00B03AD3"/>
    <w:rsid w:val="00B03AD5"/>
    <w:rsid w:val="00B03B0E"/>
    <w:rsid w:val="00B03B23"/>
    <w:rsid w:val="00B03B5D"/>
    <w:rsid w:val="00B03C3B"/>
    <w:rsid w:val="00B03C75"/>
    <w:rsid w:val="00B03F6F"/>
    <w:rsid w:val="00B04043"/>
    <w:rsid w:val="00B0408E"/>
    <w:rsid w:val="00B04160"/>
    <w:rsid w:val="00B0443D"/>
    <w:rsid w:val="00B045F5"/>
    <w:rsid w:val="00B04609"/>
    <w:rsid w:val="00B04882"/>
    <w:rsid w:val="00B04995"/>
    <w:rsid w:val="00B04B47"/>
    <w:rsid w:val="00B04B72"/>
    <w:rsid w:val="00B04E58"/>
    <w:rsid w:val="00B04E83"/>
    <w:rsid w:val="00B04F2D"/>
    <w:rsid w:val="00B050CF"/>
    <w:rsid w:val="00B0513C"/>
    <w:rsid w:val="00B05184"/>
    <w:rsid w:val="00B05245"/>
    <w:rsid w:val="00B052FD"/>
    <w:rsid w:val="00B05378"/>
    <w:rsid w:val="00B0570C"/>
    <w:rsid w:val="00B0578F"/>
    <w:rsid w:val="00B0594C"/>
    <w:rsid w:val="00B05C59"/>
    <w:rsid w:val="00B05C61"/>
    <w:rsid w:val="00B05CC1"/>
    <w:rsid w:val="00B05CEB"/>
    <w:rsid w:val="00B05D16"/>
    <w:rsid w:val="00B05D54"/>
    <w:rsid w:val="00B05F86"/>
    <w:rsid w:val="00B06100"/>
    <w:rsid w:val="00B06136"/>
    <w:rsid w:val="00B0619E"/>
    <w:rsid w:val="00B061C7"/>
    <w:rsid w:val="00B0638E"/>
    <w:rsid w:val="00B06479"/>
    <w:rsid w:val="00B06495"/>
    <w:rsid w:val="00B066E4"/>
    <w:rsid w:val="00B0679A"/>
    <w:rsid w:val="00B068B4"/>
    <w:rsid w:val="00B068C2"/>
    <w:rsid w:val="00B068C5"/>
    <w:rsid w:val="00B069A9"/>
    <w:rsid w:val="00B069B4"/>
    <w:rsid w:val="00B06BC3"/>
    <w:rsid w:val="00B06D85"/>
    <w:rsid w:val="00B06DA2"/>
    <w:rsid w:val="00B06DDD"/>
    <w:rsid w:val="00B06FC5"/>
    <w:rsid w:val="00B07081"/>
    <w:rsid w:val="00B07109"/>
    <w:rsid w:val="00B071FB"/>
    <w:rsid w:val="00B073C0"/>
    <w:rsid w:val="00B07422"/>
    <w:rsid w:val="00B076EF"/>
    <w:rsid w:val="00B077A9"/>
    <w:rsid w:val="00B078D2"/>
    <w:rsid w:val="00B07954"/>
    <w:rsid w:val="00B07D01"/>
    <w:rsid w:val="00B07DB3"/>
    <w:rsid w:val="00B07E4D"/>
    <w:rsid w:val="00B07ED0"/>
    <w:rsid w:val="00B07F8E"/>
    <w:rsid w:val="00B1008A"/>
    <w:rsid w:val="00B100EF"/>
    <w:rsid w:val="00B10251"/>
    <w:rsid w:val="00B1027B"/>
    <w:rsid w:val="00B102A0"/>
    <w:rsid w:val="00B10427"/>
    <w:rsid w:val="00B104C9"/>
    <w:rsid w:val="00B1052B"/>
    <w:rsid w:val="00B10582"/>
    <w:rsid w:val="00B1066E"/>
    <w:rsid w:val="00B10670"/>
    <w:rsid w:val="00B106F4"/>
    <w:rsid w:val="00B10705"/>
    <w:rsid w:val="00B107AD"/>
    <w:rsid w:val="00B107C8"/>
    <w:rsid w:val="00B10828"/>
    <w:rsid w:val="00B1089A"/>
    <w:rsid w:val="00B109EA"/>
    <w:rsid w:val="00B10AC5"/>
    <w:rsid w:val="00B10B54"/>
    <w:rsid w:val="00B10B59"/>
    <w:rsid w:val="00B10BBE"/>
    <w:rsid w:val="00B10D61"/>
    <w:rsid w:val="00B10DBC"/>
    <w:rsid w:val="00B10E15"/>
    <w:rsid w:val="00B10EBC"/>
    <w:rsid w:val="00B112B5"/>
    <w:rsid w:val="00B1140B"/>
    <w:rsid w:val="00B11415"/>
    <w:rsid w:val="00B11515"/>
    <w:rsid w:val="00B119CD"/>
    <w:rsid w:val="00B11A77"/>
    <w:rsid w:val="00B11AC5"/>
    <w:rsid w:val="00B11B5A"/>
    <w:rsid w:val="00B11C1C"/>
    <w:rsid w:val="00B11C5C"/>
    <w:rsid w:val="00B11CEA"/>
    <w:rsid w:val="00B11D44"/>
    <w:rsid w:val="00B12093"/>
    <w:rsid w:val="00B12409"/>
    <w:rsid w:val="00B12501"/>
    <w:rsid w:val="00B125AE"/>
    <w:rsid w:val="00B128C2"/>
    <w:rsid w:val="00B12A22"/>
    <w:rsid w:val="00B12A83"/>
    <w:rsid w:val="00B12DAE"/>
    <w:rsid w:val="00B12F6F"/>
    <w:rsid w:val="00B12F96"/>
    <w:rsid w:val="00B133A6"/>
    <w:rsid w:val="00B13615"/>
    <w:rsid w:val="00B13699"/>
    <w:rsid w:val="00B137AA"/>
    <w:rsid w:val="00B13830"/>
    <w:rsid w:val="00B13ACB"/>
    <w:rsid w:val="00B13B57"/>
    <w:rsid w:val="00B13D52"/>
    <w:rsid w:val="00B13E12"/>
    <w:rsid w:val="00B13E71"/>
    <w:rsid w:val="00B13EFB"/>
    <w:rsid w:val="00B13FE3"/>
    <w:rsid w:val="00B1418D"/>
    <w:rsid w:val="00B14205"/>
    <w:rsid w:val="00B1428E"/>
    <w:rsid w:val="00B1438D"/>
    <w:rsid w:val="00B14550"/>
    <w:rsid w:val="00B14684"/>
    <w:rsid w:val="00B14768"/>
    <w:rsid w:val="00B1494A"/>
    <w:rsid w:val="00B149BA"/>
    <w:rsid w:val="00B149DC"/>
    <w:rsid w:val="00B14A4C"/>
    <w:rsid w:val="00B14B41"/>
    <w:rsid w:val="00B14D09"/>
    <w:rsid w:val="00B14D9E"/>
    <w:rsid w:val="00B14E83"/>
    <w:rsid w:val="00B14F6E"/>
    <w:rsid w:val="00B14FED"/>
    <w:rsid w:val="00B1504D"/>
    <w:rsid w:val="00B150F5"/>
    <w:rsid w:val="00B1526D"/>
    <w:rsid w:val="00B152A4"/>
    <w:rsid w:val="00B153F5"/>
    <w:rsid w:val="00B15420"/>
    <w:rsid w:val="00B1547E"/>
    <w:rsid w:val="00B154AB"/>
    <w:rsid w:val="00B154DF"/>
    <w:rsid w:val="00B157B4"/>
    <w:rsid w:val="00B157F8"/>
    <w:rsid w:val="00B15899"/>
    <w:rsid w:val="00B15A22"/>
    <w:rsid w:val="00B15C63"/>
    <w:rsid w:val="00B15F9D"/>
    <w:rsid w:val="00B1604E"/>
    <w:rsid w:val="00B16176"/>
    <w:rsid w:val="00B161A4"/>
    <w:rsid w:val="00B161ED"/>
    <w:rsid w:val="00B16375"/>
    <w:rsid w:val="00B16530"/>
    <w:rsid w:val="00B16555"/>
    <w:rsid w:val="00B16583"/>
    <w:rsid w:val="00B166DE"/>
    <w:rsid w:val="00B16745"/>
    <w:rsid w:val="00B167C2"/>
    <w:rsid w:val="00B16A17"/>
    <w:rsid w:val="00B16BE9"/>
    <w:rsid w:val="00B16C05"/>
    <w:rsid w:val="00B16D83"/>
    <w:rsid w:val="00B17185"/>
    <w:rsid w:val="00B171C2"/>
    <w:rsid w:val="00B172D9"/>
    <w:rsid w:val="00B17446"/>
    <w:rsid w:val="00B174DF"/>
    <w:rsid w:val="00B1760C"/>
    <w:rsid w:val="00B178A1"/>
    <w:rsid w:val="00B1794B"/>
    <w:rsid w:val="00B179AA"/>
    <w:rsid w:val="00B17AFC"/>
    <w:rsid w:val="00B17D05"/>
    <w:rsid w:val="00B17DEA"/>
    <w:rsid w:val="00B2022A"/>
    <w:rsid w:val="00B20257"/>
    <w:rsid w:val="00B20274"/>
    <w:rsid w:val="00B20298"/>
    <w:rsid w:val="00B203CB"/>
    <w:rsid w:val="00B20442"/>
    <w:rsid w:val="00B20957"/>
    <w:rsid w:val="00B209C0"/>
    <w:rsid w:val="00B20A66"/>
    <w:rsid w:val="00B20A82"/>
    <w:rsid w:val="00B20B20"/>
    <w:rsid w:val="00B20DC4"/>
    <w:rsid w:val="00B20E94"/>
    <w:rsid w:val="00B20EE9"/>
    <w:rsid w:val="00B20EF8"/>
    <w:rsid w:val="00B20F70"/>
    <w:rsid w:val="00B20FB3"/>
    <w:rsid w:val="00B21221"/>
    <w:rsid w:val="00B21308"/>
    <w:rsid w:val="00B2131D"/>
    <w:rsid w:val="00B21473"/>
    <w:rsid w:val="00B215FA"/>
    <w:rsid w:val="00B2161E"/>
    <w:rsid w:val="00B21624"/>
    <w:rsid w:val="00B216F1"/>
    <w:rsid w:val="00B21840"/>
    <w:rsid w:val="00B219BC"/>
    <w:rsid w:val="00B21B33"/>
    <w:rsid w:val="00B21B4F"/>
    <w:rsid w:val="00B21C65"/>
    <w:rsid w:val="00B21F92"/>
    <w:rsid w:val="00B2203F"/>
    <w:rsid w:val="00B220E0"/>
    <w:rsid w:val="00B221ED"/>
    <w:rsid w:val="00B22277"/>
    <w:rsid w:val="00B22331"/>
    <w:rsid w:val="00B2237A"/>
    <w:rsid w:val="00B22568"/>
    <w:rsid w:val="00B225DE"/>
    <w:rsid w:val="00B22662"/>
    <w:rsid w:val="00B226CF"/>
    <w:rsid w:val="00B2291C"/>
    <w:rsid w:val="00B229D5"/>
    <w:rsid w:val="00B22F80"/>
    <w:rsid w:val="00B23053"/>
    <w:rsid w:val="00B23345"/>
    <w:rsid w:val="00B2345E"/>
    <w:rsid w:val="00B2346A"/>
    <w:rsid w:val="00B23B40"/>
    <w:rsid w:val="00B23D63"/>
    <w:rsid w:val="00B23DBC"/>
    <w:rsid w:val="00B24154"/>
    <w:rsid w:val="00B241A4"/>
    <w:rsid w:val="00B24275"/>
    <w:rsid w:val="00B24290"/>
    <w:rsid w:val="00B242A3"/>
    <w:rsid w:val="00B2443A"/>
    <w:rsid w:val="00B24607"/>
    <w:rsid w:val="00B2499C"/>
    <w:rsid w:val="00B249E4"/>
    <w:rsid w:val="00B24D17"/>
    <w:rsid w:val="00B25036"/>
    <w:rsid w:val="00B2507D"/>
    <w:rsid w:val="00B250A0"/>
    <w:rsid w:val="00B25171"/>
    <w:rsid w:val="00B25189"/>
    <w:rsid w:val="00B252A6"/>
    <w:rsid w:val="00B25324"/>
    <w:rsid w:val="00B253C2"/>
    <w:rsid w:val="00B25868"/>
    <w:rsid w:val="00B258D6"/>
    <w:rsid w:val="00B25940"/>
    <w:rsid w:val="00B25AC1"/>
    <w:rsid w:val="00B25B38"/>
    <w:rsid w:val="00B25B93"/>
    <w:rsid w:val="00B25CA2"/>
    <w:rsid w:val="00B25E9B"/>
    <w:rsid w:val="00B25EFF"/>
    <w:rsid w:val="00B26157"/>
    <w:rsid w:val="00B26178"/>
    <w:rsid w:val="00B2632D"/>
    <w:rsid w:val="00B26381"/>
    <w:rsid w:val="00B2651F"/>
    <w:rsid w:val="00B266F0"/>
    <w:rsid w:val="00B26864"/>
    <w:rsid w:val="00B26923"/>
    <w:rsid w:val="00B26A5E"/>
    <w:rsid w:val="00B26B6F"/>
    <w:rsid w:val="00B26BBE"/>
    <w:rsid w:val="00B26C5F"/>
    <w:rsid w:val="00B26E6B"/>
    <w:rsid w:val="00B26E93"/>
    <w:rsid w:val="00B270AC"/>
    <w:rsid w:val="00B27119"/>
    <w:rsid w:val="00B27135"/>
    <w:rsid w:val="00B272DD"/>
    <w:rsid w:val="00B2731A"/>
    <w:rsid w:val="00B27373"/>
    <w:rsid w:val="00B276AA"/>
    <w:rsid w:val="00B276D0"/>
    <w:rsid w:val="00B2783D"/>
    <w:rsid w:val="00B279D8"/>
    <w:rsid w:val="00B27A1E"/>
    <w:rsid w:val="00B27A6E"/>
    <w:rsid w:val="00B27C9B"/>
    <w:rsid w:val="00B27CEF"/>
    <w:rsid w:val="00B27D32"/>
    <w:rsid w:val="00B302F2"/>
    <w:rsid w:val="00B30428"/>
    <w:rsid w:val="00B30451"/>
    <w:rsid w:val="00B304B3"/>
    <w:rsid w:val="00B30767"/>
    <w:rsid w:val="00B3083D"/>
    <w:rsid w:val="00B309DC"/>
    <w:rsid w:val="00B30A48"/>
    <w:rsid w:val="00B30D61"/>
    <w:rsid w:val="00B311D4"/>
    <w:rsid w:val="00B31447"/>
    <w:rsid w:val="00B314BA"/>
    <w:rsid w:val="00B314D9"/>
    <w:rsid w:val="00B3151C"/>
    <w:rsid w:val="00B31594"/>
    <w:rsid w:val="00B315C4"/>
    <w:rsid w:val="00B31663"/>
    <w:rsid w:val="00B3166E"/>
    <w:rsid w:val="00B316F6"/>
    <w:rsid w:val="00B31993"/>
    <w:rsid w:val="00B31B49"/>
    <w:rsid w:val="00B31CC1"/>
    <w:rsid w:val="00B31E13"/>
    <w:rsid w:val="00B31EAA"/>
    <w:rsid w:val="00B3204F"/>
    <w:rsid w:val="00B32119"/>
    <w:rsid w:val="00B32410"/>
    <w:rsid w:val="00B327D0"/>
    <w:rsid w:val="00B3292E"/>
    <w:rsid w:val="00B32AC2"/>
    <w:rsid w:val="00B32AEF"/>
    <w:rsid w:val="00B32B65"/>
    <w:rsid w:val="00B32E50"/>
    <w:rsid w:val="00B32FEA"/>
    <w:rsid w:val="00B32FF0"/>
    <w:rsid w:val="00B33027"/>
    <w:rsid w:val="00B330B9"/>
    <w:rsid w:val="00B33267"/>
    <w:rsid w:val="00B33619"/>
    <w:rsid w:val="00B3385A"/>
    <w:rsid w:val="00B33A34"/>
    <w:rsid w:val="00B33CA2"/>
    <w:rsid w:val="00B340D9"/>
    <w:rsid w:val="00B3414D"/>
    <w:rsid w:val="00B34209"/>
    <w:rsid w:val="00B342EB"/>
    <w:rsid w:val="00B342F7"/>
    <w:rsid w:val="00B343A1"/>
    <w:rsid w:val="00B343DB"/>
    <w:rsid w:val="00B346A8"/>
    <w:rsid w:val="00B34733"/>
    <w:rsid w:val="00B34AB6"/>
    <w:rsid w:val="00B34BA2"/>
    <w:rsid w:val="00B34D3A"/>
    <w:rsid w:val="00B34D52"/>
    <w:rsid w:val="00B34E2B"/>
    <w:rsid w:val="00B34EA4"/>
    <w:rsid w:val="00B34F89"/>
    <w:rsid w:val="00B3507E"/>
    <w:rsid w:val="00B353D0"/>
    <w:rsid w:val="00B3549B"/>
    <w:rsid w:val="00B35623"/>
    <w:rsid w:val="00B356FD"/>
    <w:rsid w:val="00B357BB"/>
    <w:rsid w:val="00B359BB"/>
    <w:rsid w:val="00B35A36"/>
    <w:rsid w:val="00B35D5F"/>
    <w:rsid w:val="00B35DC5"/>
    <w:rsid w:val="00B35DDA"/>
    <w:rsid w:val="00B35F46"/>
    <w:rsid w:val="00B36484"/>
    <w:rsid w:val="00B364AD"/>
    <w:rsid w:val="00B364BD"/>
    <w:rsid w:val="00B364C0"/>
    <w:rsid w:val="00B3669D"/>
    <w:rsid w:val="00B36826"/>
    <w:rsid w:val="00B36885"/>
    <w:rsid w:val="00B368C6"/>
    <w:rsid w:val="00B36A72"/>
    <w:rsid w:val="00B36A94"/>
    <w:rsid w:val="00B36AEA"/>
    <w:rsid w:val="00B36AF4"/>
    <w:rsid w:val="00B36B85"/>
    <w:rsid w:val="00B37122"/>
    <w:rsid w:val="00B3716D"/>
    <w:rsid w:val="00B37280"/>
    <w:rsid w:val="00B3742F"/>
    <w:rsid w:val="00B3745D"/>
    <w:rsid w:val="00B375A0"/>
    <w:rsid w:val="00B375E7"/>
    <w:rsid w:val="00B37610"/>
    <w:rsid w:val="00B37666"/>
    <w:rsid w:val="00B3782F"/>
    <w:rsid w:val="00B37B07"/>
    <w:rsid w:val="00B37B16"/>
    <w:rsid w:val="00B37F4D"/>
    <w:rsid w:val="00B400CC"/>
    <w:rsid w:val="00B40196"/>
    <w:rsid w:val="00B4026B"/>
    <w:rsid w:val="00B4053E"/>
    <w:rsid w:val="00B40566"/>
    <w:rsid w:val="00B406B1"/>
    <w:rsid w:val="00B40969"/>
    <w:rsid w:val="00B409C1"/>
    <w:rsid w:val="00B40A82"/>
    <w:rsid w:val="00B40C9A"/>
    <w:rsid w:val="00B40DE8"/>
    <w:rsid w:val="00B40E23"/>
    <w:rsid w:val="00B411F2"/>
    <w:rsid w:val="00B4131A"/>
    <w:rsid w:val="00B41356"/>
    <w:rsid w:val="00B416B2"/>
    <w:rsid w:val="00B4185B"/>
    <w:rsid w:val="00B41A0E"/>
    <w:rsid w:val="00B41A33"/>
    <w:rsid w:val="00B41A50"/>
    <w:rsid w:val="00B41D11"/>
    <w:rsid w:val="00B41D62"/>
    <w:rsid w:val="00B41E05"/>
    <w:rsid w:val="00B41FA5"/>
    <w:rsid w:val="00B42051"/>
    <w:rsid w:val="00B42066"/>
    <w:rsid w:val="00B423C4"/>
    <w:rsid w:val="00B4242B"/>
    <w:rsid w:val="00B425DC"/>
    <w:rsid w:val="00B426C7"/>
    <w:rsid w:val="00B42959"/>
    <w:rsid w:val="00B42A4C"/>
    <w:rsid w:val="00B42AF4"/>
    <w:rsid w:val="00B42C6C"/>
    <w:rsid w:val="00B42DAC"/>
    <w:rsid w:val="00B42E26"/>
    <w:rsid w:val="00B42E7B"/>
    <w:rsid w:val="00B42E95"/>
    <w:rsid w:val="00B42ED4"/>
    <w:rsid w:val="00B42F02"/>
    <w:rsid w:val="00B43010"/>
    <w:rsid w:val="00B4305C"/>
    <w:rsid w:val="00B430F0"/>
    <w:rsid w:val="00B43102"/>
    <w:rsid w:val="00B4323D"/>
    <w:rsid w:val="00B43278"/>
    <w:rsid w:val="00B432CC"/>
    <w:rsid w:val="00B4330E"/>
    <w:rsid w:val="00B435AA"/>
    <w:rsid w:val="00B435D9"/>
    <w:rsid w:val="00B4379D"/>
    <w:rsid w:val="00B437FD"/>
    <w:rsid w:val="00B4382E"/>
    <w:rsid w:val="00B438DF"/>
    <w:rsid w:val="00B43976"/>
    <w:rsid w:val="00B439FB"/>
    <w:rsid w:val="00B43B10"/>
    <w:rsid w:val="00B43D39"/>
    <w:rsid w:val="00B43DE3"/>
    <w:rsid w:val="00B43DF7"/>
    <w:rsid w:val="00B43E91"/>
    <w:rsid w:val="00B43EBA"/>
    <w:rsid w:val="00B43EBF"/>
    <w:rsid w:val="00B43F71"/>
    <w:rsid w:val="00B43F85"/>
    <w:rsid w:val="00B43FE5"/>
    <w:rsid w:val="00B440F0"/>
    <w:rsid w:val="00B4425A"/>
    <w:rsid w:val="00B44292"/>
    <w:rsid w:val="00B443F0"/>
    <w:rsid w:val="00B4452F"/>
    <w:rsid w:val="00B445E5"/>
    <w:rsid w:val="00B4475E"/>
    <w:rsid w:val="00B448FA"/>
    <w:rsid w:val="00B449EF"/>
    <w:rsid w:val="00B44AE6"/>
    <w:rsid w:val="00B44AED"/>
    <w:rsid w:val="00B44C14"/>
    <w:rsid w:val="00B44D2C"/>
    <w:rsid w:val="00B45473"/>
    <w:rsid w:val="00B45977"/>
    <w:rsid w:val="00B45C01"/>
    <w:rsid w:val="00B45D52"/>
    <w:rsid w:val="00B45E7C"/>
    <w:rsid w:val="00B45F15"/>
    <w:rsid w:val="00B45F21"/>
    <w:rsid w:val="00B4610E"/>
    <w:rsid w:val="00B46416"/>
    <w:rsid w:val="00B46595"/>
    <w:rsid w:val="00B46605"/>
    <w:rsid w:val="00B4661C"/>
    <w:rsid w:val="00B466CA"/>
    <w:rsid w:val="00B4679E"/>
    <w:rsid w:val="00B467BE"/>
    <w:rsid w:val="00B46972"/>
    <w:rsid w:val="00B4699B"/>
    <w:rsid w:val="00B469E0"/>
    <w:rsid w:val="00B46AB8"/>
    <w:rsid w:val="00B46AEA"/>
    <w:rsid w:val="00B46FF7"/>
    <w:rsid w:val="00B470E7"/>
    <w:rsid w:val="00B475D2"/>
    <w:rsid w:val="00B476BE"/>
    <w:rsid w:val="00B476E0"/>
    <w:rsid w:val="00B476FF"/>
    <w:rsid w:val="00B47707"/>
    <w:rsid w:val="00B47725"/>
    <w:rsid w:val="00B47769"/>
    <w:rsid w:val="00B4781E"/>
    <w:rsid w:val="00B4794A"/>
    <w:rsid w:val="00B479F9"/>
    <w:rsid w:val="00B47C33"/>
    <w:rsid w:val="00B47C91"/>
    <w:rsid w:val="00B47DEC"/>
    <w:rsid w:val="00B47DED"/>
    <w:rsid w:val="00B500C2"/>
    <w:rsid w:val="00B500E5"/>
    <w:rsid w:val="00B5030F"/>
    <w:rsid w:val="00B50474"/>
    <w:rsid w:val="00B50561"/>
    <w:rsid w:val="00B5063D"/>
    <w:rsid w:val="00B50802"/>
    <w:rsid w:val="00B508FF"/>
    <w:rsid w:val="00B50B28"/>
    <w:rsid w:val="00B50B9D"/>
    <w:rsid w:val="00B50CCC"/>
    <w:rsid w:val="00B50CE8"/>
    <w:rsid w:val="00B50CF4"/>
    <w:rsid w:val="00B50DB7"/>
    <w:rsid w:val="00B50E91"/>
    <w:rsid w:val="00B511CA"/>
    <w:rsid w:val="00B5127F"/>
    <w:rsid w:val="00B51292"/>
    <w:rsid w:val="00B5139C"/>
    <w:rsid w:val="00B513D3"/>
    <w:rsid w:val="00B5146D"/>
    <w:rsid w:val="00B51615"/>
    <w:rsid w:val="00B51678"/>
    <w:rsid w:val="00B5168A"/>
    <w:rsid w:val="00B5177F"/>
    <w:rsid w:val="00B5181F"/>
    <w:rsid w:val="00B5189D"/>
    <w:rsid w:val="00B519C3"/>
    <w:rsid w:val="00B519F8"/>
    <w:rsid w:val="00B51BFF"/>
    <w:rsid w:val="00B51CF1"/>
    <w:rsid w:val="00B51D15"/>
    <w:rsid w:val="00B51D82"/>
    <w:rsid w:val="00B51DAB"/>
    <w:rsid w:val="00B51EA1"/>
    <w:rsid w:val="00B51FFC"/>
    <w:rsid w:val="00B5205D"/>
    <w:rsid w:val="00B52250"/>
    <w:rsid w:val="00B522C3"/>
    <w:rsid w:val="00B522CB"/>
    <w:rsid w:val="00B526FB"/>
    <w:rsid w:val="00B52933"/>
    <w:rsid w:val="00B5293C"/>
    <w:rsid w:val="00B529F6"/>
    <w:rsid w:val="00B52AFA"/>
    <w:rsid w:val="00B530CB"/>
    <w:rsid w:val="00B5317B"/>
    <w:rsid w:val="00B53311"/>
    <w:rsid w:val="00B533FE"/>
    <w:rsid w:val="00B5345E"/>
    <w:rsid w:val="00B5348B"/>
    <w:rsid w:val="00B534AD"/>
    <w:rsid w:val="00B53544"/>
    <w:rsid w:val="00B5359D"/>
    <w:rsid w:val="00B5359E"/>
    <w:rsid w:val="00B5364E"/>
    <w:rsid w:val="00B539F4"/>
    <w:rsid w:val="00B53BCB"/>
    <w:rsid w:val="00B53C4E"/>
    <w:rsid w:val="00B53CA3"/>
    <w:rsid w:val="00B53D29"/>
    <w:rsid w:val="00B53D84"/>
    <w:rsid w:val="00B53F23"/>
    <w:rsid w:val="00B540B2"/>
    <w:rsid w:val="00B540DB"/>
    <w:rsid w:val="00B543C4"/>
    <w:rsid w:val="00B544DE"/>
    <w:rsid w:val="00B545B1"/>
    <w:rsid w:val="00B54632"/>
    <w:rsid w:val="00B5478A"/>
    <w:rsid w:val="00B54828"/>
    <w:rsid w:val="00B54845"/>
    <w:rsid w:val="00B5499B"/>
    <w:rsid w:val="00B549DC"/>
    <w:rsid w:val="00B54A07"/>
    <w:rsid w:val="00B54A0A"/>
    <w:rsid w:val="00B54B53"/>
    <w:rsid w:val="00B54D7D"/>
    <w:rsid w:val="00B54DD5"/>
    <w:rsid w:val="00B54E0C"/>
    <w:rsid w:val="00B54E60"/>
    <w:rsid w:val="00B54EF9"/>
    <w:rsid w:val="00B54F39"/>
    <w:rsid w:val="00B54FB8"/>
    <w:rsid w:val="00B54FF1"/>
    <w:rsid w:val="00B55068"/>
    <w:rsid w:val="00B550F7"/>
    <w:rsid w:val="00B55196"/>
    <w:rsid w:val="00B5538C"/>
    <w:rsid w:val="00B555B7"/>
    <w:rsid w:val="00B556B6"/>
    <w:rsid w:val="00B5573C"/>
    <w:rsid w:val="00B55838"/>
    <w:rsid w:val="00B55A5D"/>
    <w:rsid w:val="00B55C80"/>
    <w:rsid w:val="00B55D00"/>
    <w:rsid w:val="00B55E4F"/>
    <w:rsid w:val="00B55FBB"/>
    <w:rsid w:val="00B55FF0"/>
    <w:rsid w:val="00B56065"/>
    <w:rsid w:val="00B5610B"/>
    <w:rsid w:val="00B565AD"/>
    <w:rsid w:val="00B567A1"/>
    <w:rsid w:val="00B567C4"/>
    <w:rsid w:val="00B568E7"/>
    <w:rsid w:val="00B56B5C"/>
    <w:rsid w:val="00B56B81"/>
    <w:rsid w:val="00B56BAC"/>
    <w:rsid w:val="00B56BD1"/>
    <w:rsid w:val="00B56E3C"/>
    <w:rsid w:val="00B56E95"/>
    <w:rsid w:val="00B56FFE"/>
    <w:rsid w:val="00B5710A"/>
    <w:rsid w:val="00B57375"/>
    <w:rsid w:val="00B57387"/>
    <w:rsid w:val="00B57402"/>
    <w:rsid w:val="00B5743A"/>
    <w:rsid w:val="00B57490"/>
    <w:rsid w:val="00B57677"/>
    <w:rsid w:val="00B57821"/>
    <w:rsid w:val="00B57987"/>
    <w:rsid w:val="00B57A42"/>
    <w:rsid w:val="00B57DC2"/>
    <w:rsid w:val="00B57E69"/>
    <w:rsid w:val="00B6005D"/>
    <w:rsid w:val="00B6014A"/>
    <w:rsid w:val="00B603B1"/>
    <w:rsid w:val="00B6046A"/>
    <w:rsid w:val="00B605BC"/>
    <w:rsid w:val="00B605F3"/>
    <w:rsid w:val="00B6067D"/>
    <w:rsid w:val="00B606E7"/>
    <w:rsid w:val="00B6090F"/>
    <w:rsid w:val="00B60930"/>
    <w:rsid w:val="00B60A26"/>
    <w:rsid w:val="00B60EFA"/>
    <w:rsid w:val="00B6107D"/>
    <w:rsid w:val="00B6115B"/>
    <w:rsid w:val="00B61201"/>
    <w:rsid w:val="00B61425"/>
    <w:rsid w:val="00B61446"/>
    <w:rsid w:val="00B6154F"/>
    <w:rsid w:val="00B61563"/>
    <w:rsid w:val="00B617C2"/>
    <w:rsid w:val="00B6181B"/>
    <w:rsid w:val="00B61843"/>
    <w:rsid w:val="00B618AA"/>
    <w:rsid w:val="00B61A3C"/>
    <w:rsid w:val="00B61A64"/>
    <w:rsid w:val="00B61C20"/>
    <w:rsid w:val="00B61CA9"/>
    <w:rsid w:val="00B620AC"/>
    <w:rsid w:val="00B62121"/>
    <w:rsid w:val="00B6227E"/>
    <w:rsid w:val="00B622CB"/>
    <w:rsid w:val="00B6237A"/>
    <w:rsid w:val="00B62393"/>
    <w:rsid w:val="00B623FB"/>
    <w:rsid w:val="00B6242B"/>
    <w:rsid w:val="00B62747"/>
    <w:rsid w:val="00B628B6"/>
    <w:rsid w:val="00B62A3F"/>
    <w:rsid w:val="00B62BC8"/>
    <w:rsid w:val="00B62D03"/>
    <w:rsid w:val="00B62D27"/>
    <w:rsid w:val="00B62D2C"/>
    <w:rsid w:val="00B62D4A"/>
    <w:rsid w:val="00B62D8F"/>
    <w:rsid w:val="00B62E4E"/>
    <w:rsid w:val="00B62F9D"/>
    <w:rsid w:val="00B62FD9"/>
    <w:rsid w:val="00B6302C"/>
    <w:rsid w:val="00B6309F"/>
    <w:rsid w:val="00B631BA"/>
    <w:rsid w:val="00B631ED"/>
    <w:rsid w:val="00B6325F"/>
    <w:rsid w:val="00B632B7"/>
    <w:rsid w:val="00B63441"/>
    <w:rsid w:val="00B6386C"/>
    <w:rsid w:val="00B63896"/>
    <w:rsid w:val="00B63A8E"/>
    <w:rsid w:val="00B63B92"/>
    <w:rsid w:val="00B63D4E"/>
    <w:rsid w:val="00B63D85"/>
    <w:rsid w:val="00B63EBF"/>
    <w:rsid w:val="00B63F91"/>
    <w:rsid w:val="00B6429E"/>
    <w:rsid w:val="00B64384"/>
    <w:rsid w:val="00B6458D"/>
    <w:rsid w:val="00B6464A"/>
    <w:rsid w:val="00B647CC"/>
    <w:rsid w:val="00B64882"/>
    <w:rsid w:val="00B64897"/>
    <w:rsid w:val="00B648A2"/>
    <w:rsid w:val="00B64940"/>
    <w:rsid w:val="00B6495B"/>
    <w:rsid w:val="00B649A1"/>
    <w:rsid w:val="00B649D3"/>
    <w:rsid w:val="00B64AAA"/>
    <w:rsid w:val="00B64AAE"/>
    <w:rsid w:val="00B64BFC"/>
    <w:rsid w:val="00B64C7E"/>
    <w:rsid w:val="00B64E73"/>
    <w:rsid w:val="00B64ED4"/>
    <w:rsid w:val="00B64F90"/>
    <w:rsid w:val="00B64FA3"/>
    <w:rsid w:val="00B64FC2"/>
    <w:rsid w:val="00B65066"/>
    <w:rsid w:val="00B65098"/>
    <w:rsid w:val="00B6515B"/>
    <w:rsid w:val="00B65166"/>
    <w:rsid w:val="00B651C1"/>
    <w:rsid w:val="00B651CE"/>
    <w:rsid w:val="00B652C5"/>
    <w:rsid w:val="00B6530D"/>
    <w:rsid w:val="00B65340"/>
    <w:rsid w:val="00B65359"/>
    <w:rsid w:val="00B653DA"/>
    <w:rsid w:val="00B655C3"/>
    <w:rsid w:val="00B65609"/>
    <w:rsid w:val="00B65802"/>
    <w:rsid w:val="00B6585A"/>
    <w:rsid w:val="00B658D6"/>
    <w:rsid w:val="00B65941"/>
    <w:rsid w:val="00B65BB8"/>
    <w:rsid w:val="00B65C74"/>
    <w:rsid w:val="00B65D4D"/>
    <w:rsid w:val="00B65EEA"/>
    <w:rsid w:val="00B65F03"/>
    <w:rsid w:val="00B66179"/>
    <w:rsid w:val="00B66398"/>
    <w:rsid w:val="00B664EA"/>
    <w:rsid w:val="00B66501"/>
    <w:rsid w:val="00B665BC"/>
    <w:rsid w:val="00B666D9"/>
    <w:rsid w:val="00B668DF"/>
    <w:rsid w:val="00B66A53"/>
    <w:rsid w:val="00B66C06"/>
    <w:rsid w:val="00B66CE2"/>
    <w:rsid w:val="00B66D9D"/>
    <w:rsid w:val="00B66E32"/>
    <w:rsid w:val="00B66EFF"/>
    <w:rsid w:val="00B67099"/>
    <w:rsid w:val="00B670A2"/>
    <w:rsid w:val="00B675E0"/>
    <w:rsid w:val="00B67636"/>
    <w:rsid w:val="00B67A58"/>
    <w:rsid w:val="00B67AD8"/>
    <w:rsid w:val="00B67BBD"/>
    <w:rsid w:val="00B67D33"/>
    <w:rsid w:val="00B70066"/>
    <w:rsid w:val="00B701B1"/>
    <w:rsid w:val="00B701EF"/>
    <w:rsid w:val="00B7028B"/>
    <w:rsid w:val="00B7029C"/>
    <w:rsid w:val="00B70342"/>
    <w:rsid w:val="00B7050E"/>
    <w:rsid w:val="00B70726"/>
    <w:rsid w:val="00B70B1E"/>
    <w:rsid w:val="00B70B2F"/>
    <w:rsid w:val="00B70DE7"/>
    <w:rsid w:val="00B70E06"/>
    <w:rsid w:val="00B70E20"/>
    <w:rsid w:val="00B70E4B"/>
    <w:rsid w:val="00B70FEB"/>
    <w:rsid w:val="00B71086"/>
    <w:rsid w:val="00B710FE"/>
    <w:rsid w:val="00B71209"/>
    <w:rsid w:val="00B71220"/>
    <w:rsid w:val="00B71537"/>
    <w:rsid w:val="00B7157E"/>
    <w:rsid w:val="00B71631"/>
    <w:rsid w:val="00B71730"/>
    <w:rsid w:val="00B71875"/>
    <w:rsid w:val="00B7193A"/>
    <w:rsid w:val="00B71D2C"/>
    <w:rsid w:val="00B71EDC"/>
    <w:rsid w:val="00B71F7F"/>
    <w:rsid w:val="00B71F8E"/>
    <w:rsid w:val="00B7211B"/>
    <w:rsid w:val="00B72158"/>
    <w:rsid w:val="00B72293"/>
    <w:rsid w:val="00B722BE"/>
    <w:rsid w:val="00B722F2"/>
    <w:rsid w:val="00B723FC"/>
    <w:rsid w:val="00B72514"/>
    <w:rsid w:val="00B72528"/>
    <w:rsid w:val="00B72953"/>
    <w:rsid w:val="00B72A52"/>
    <w:rsid w:val="00B72A7C"/>
    <w:rsid w:val="00B72D82"/>
    <w:rsid w:val="00B72F29"/>
    <w:rsid w:val="00B730DB"/>
    <w:rsid w:val="00B73408"/>
    <w:rsid w:val="00B73446"/>
    <w:rsid w:val="00B7355D"/>
    <w:rsid w:val="00B7364B"/>
    <w:rsid w:val="00B7376F"/>
    <w:rsid w:val="00B73951"/>
    <w:rsid w:val="00B73D99"/>
    <w:rsid w:val="00B74164"/>
    <w:rsid w:val="00B74253"/>
    <w:rsid w:val="00B7440E"/>
    <w:rsid w:val="00B745F3"/>
    <w:rsid w:val="00B74665"/>
    <w:rsid w:val="00B74774"/>
    <w:rsid w:val="00B747E1"/>
    <w:rsid w:val="00B748BD"/>
    <w:rsid w:val="00B748D3"/>
    <w:rsid w:val="00B74BD0"/>
    <w:rsid w:val="00B74F06"/>
    <w:rsid w:val="00B74FFA"/>
    <w:rsid w:val="00B750D0"/>
    <w:rsid w:val="00B75177"/>
    <w:rsid w:val="00B75242"/>
    <w:rsid w:val="00B7560B"/>
    <w:rsid w:val="00B75776"/>
    <w:rsid w:val="00B75986"/>
    <w:rsid w:val="00B75994"/>
    <w:rsid w:val="00B75B1F"/>
    <w:rsid w:val="00B75BE5"/>
    <w:rsid w:val="00B75DC2"/>
    <w:rsid w:val="00B75E31"/>
    <w:rsid w:val="00B75F19"/>
    <w:rsid w:val="00B7604B"/>
    <w:rsid w:val="00B7609D"/>
    <w:rsid w:val="00B76373"/>
    <w:rsid w:val="00B7652C"/>
    <w:rsid w:val="00B7665C"/>
    <w:rsid w:val="00B7684A"/>
    <w:rsid w:val="00B7690E"/>
    <w:rsid w:val="00B7692A"/>
    <w:rsid w:val="00B769ED"/>
    <w:rsid w:val="00B769F0"/>
    <w:rsid w:val="00B76BDA"/>
    <w:rsid w:val="00B76BFA"/>
    <w:rsid w:val="00B76EB7"/>
    <w:rsid w:val="00B76F06"/>
    <w:rsid w:val="00B7708E"/>
    <w:rsid w:val="00B773EA"/>
    <w:rsid w:val="00B7748E"/>
    <w:rsid w:val="00B77513"/>
    <w:rsid w:val="00B77544"/>
    <w:rsid w:val="00B77963"/>
    <w:rsid w:val="00B77B5E"/>
    <w:rsid w:val="00B77BEB"/>
    <w:rsid w:val="00B77C95"/>
    <w:rsid w:val="00B77CA0"/>
    <w:rsid w:val="00B77E95"/>
    <w:rsid w:val="00B77EF7"/>
    <w:rsid w:val="00B801FB"/>
    <w:rsid w:val="00B802D9"/>
    <w:rsid w:val="00B803C0"/>
    <w:rsid w:val="00B80418"/>
    <w:rsid w:val="00B80474"/>
    <w:rsid w:val="00B80AC6"/>
    <w:rsid w:val="00B80B15"/>
    <w:rsid w:val="00B80B55"/>
    <w:rsid w:val="00B80BB1"/>
    <w:rsid w:val="00B80CF7"/>
    <w:rsid w:val="00B80DD7"/>
    <w:rsid w:val="00B80EC6"/>
    <w:rsid w:val="00B80F10"/>
    <w:rsid w:val="00B80F68"/>
    <w:rsid w:val="00B810E2"/>
    <w:rsid w:val="00B812D6"/>
    <w:rsid w:val="00B8130D"/>
    <w:rsid w:val="00B8147A"/>
    <w:rsid w:val="00B8162F"/>
    <w:rsid w:val="00B817D5"/>
    <w:rsid w:val="00B8180E"/>
    <w:rsid w:val="00B81826"/>
    <w:rsid w:val="00B81847"/>
    <w:rsid w:val="00B81952"/>
    <w:rsid w:val="00B81E6E"/>
    <w:rsid w:val="00B82195"/>
    <w:rsid w:val="00B8254B"/>
    <w:rsid w:val="00B825CD"/>
    <w:rsid w:val="00B82648"/>
    <w:rsid w:val="00B82843"/>
    <w:rsid w:val="00B8292C"/>
    <w:rsid w:val="00B82B38"/>
    <w:rsid w:val="00B82E76"/>
    <w:rsid w:val="00B82EEB"/>
    <w:rsid w:val="00B82F4C"/>
    <w:rsid w:val="00B830C2"/>
    <w:rsid w:val="00B83240"/>
    <w:rsid w:val="00B832E0"/>
    <w:rsid w:val="00B83432"/>
    <w:rsid w:val="00B8345D"/>
    <w:rsid w:val="00B83502"/>
    <w:rsid w:val="00B8350A"/>
    <w:rsid w:val="00B8354D"/>
    <w:rsid w:val="00B83747"/>
    <w:rsid w:val="00B837D0"/>
    <w:rsid w:val="00B838B0"/>
    <w:rsid w:val="00B83A04"/>
    <w:rsid w:val="00B83A61"/>
    <w:rsid w:val="00B83A7E"/>
    <w:rsid w:val="00B83AD7"/>
    <w:rsid w:val="00B83C41"/>
    <w:rsid w:val="00B83C76"/>
    <w:rsid w:val="00B83D18"/>
    <w:rsid w:val="00B83E0E"/>
    <w:rsid w:val="00B83F59"/>
    <w:rsid w:val="00B83F7A"/>
    <w:rsid w:val="00B83F7E"/>
    <w:rsid w:val="00B83FEC"/>
    <w:rsid w:val="00B84025"/>
    <w:rsid w:val="00B840B1"/>
    <w:rsid w:val="00B84142"/>
    <w:rsid w:val="00B843C8"/>
    <w:rsid w:val="00B84596"/>
    <w:rsid w:val="00B84643"/>
    <w:rsid w:val="00B8478F"/>
    <w:rsid w:val="00B8481D"/>
    <w:rsid w:val="00B8483F"/>
    <w:rsid w:val="00B84A59"/>
    <w:rsid w:val="00B84B41"/>
    <w:rsid w:val="00B84BA0"/>
    <w:rsid w:val="00B84C8E"/>
    <w:rsid w:val="00B85042"/>
    <w:rsid w:val="00B8504B"/>
    <w:rsid w:val="00B851DB"/>
    <w:rsid w:val="00B85445"/>
    <w:rsid w:val="00B8567E"/>
    <w:rsid w:val="00B8571B"/>
    <w:rsid w:val="00B85756"/>
    <w:rsid w:val="00B8575B"/>
    <w:rsid w:val="00B8584A"/>
    <w:rsid w:val="00B858DA"/>
    <w:rsid w:val="00B85B96"/>
    <w:rsid w:val="00B85C2B"/>
    <w:rsid w:val="00B85D9B"/>
    <w:rsid w:val="00B85DC0"/>
    <w:rsid w:val="00B85E2F"/>
    <w:rsid w:val="00B85EEE"/>
    <w:rsid w:val="00B85F38"/>
    <w:rsid w:val="00B85FE8"/>
    <w:rsid w:val="00B86311"/>
    <w:rsid w:val="00B86384"/>
    <w:rsid w:val="00B86429"/>
    <w:rsid w:val="00B864FB"/>
    <w:rsid w:val="00B86634"/>
    <w:rsid w:val="00B86642"/>
    <w:rsid w:val="00B866DB"/>
    <w:rsid w:val="00B8694C"/>
    <w:rsid w:val="00B86974"/>
    <w:rsid w:val="00B86ACF"/>
    <w:rsid w:val="00B86B94"/>
    <w:rsid w:val="00B86DB2"/>
    <w:rsid w:val="00B86FED"/>
    <w:rsid w:val="00B8700F"/>
    <w:rsid w:val="00B8712F"/>
    <w:rsid w:val="00B871D2"/>
    <w:rsid w:val="00B87357"/>
    <w:rsid w:val="00B873AB"/>
    <w:rsid w:val="00B873C6"/>
    <w:rsid w:val="00B87494"/>
    <w:rsid w:val="00B874C7"/>
    <w:rsid w:val="00B8755C"/>
    <w:rsid w:val="00B87582"/>
    <w:rsid w:val="00B8760D"/>
    <w:rsid w:val="00B8768D"/>
    <w:rsid w:val="00B876AB"/>
    <w:rsid w:val="00B87C85"/>
    <w:rsid w:val="00B87D19"/>
    <w:rsid w:val="00B87E03"/>
    <w:rsid w:val="00B9011C"/>
    <w:rsid w:val="00B9013F"/>
    <w:rsid w:val="00B90188"/>
    <w:rsid w:val="00B90189"/>
    <w:rsid w:val="00B90631"/>
    <w:rsid w:val="00B907A8"/>
    <w:rsid w:val="00B90833"/>
    <w:rsid w:val="00B909C6"/>
    <w:rsid w:val="00B90C83"/>
    <w:rsid w:val="00B90D7A"/>
    <w:rsid w:val="00B90EC0"/>
    <w:rsid w:val="00B90FE1"/>
    <w:rsid w:val="00B9110D"/>
    <w:rsid w:val="00B91149"/>
    <w:rsid w:val="00B911C2"/>
    <w:rsid w:val="00B91302"/>
    <w:rsid w:val="00B91470"/>
    <w:rsid w:val="00B91599"/>
    <w:rsid w:val="00B91619"/>
    <w:rsid w:val="00B91683"/>
    <w:rsid w:val="00B916BE"/>
    <w:rsid w:val="00B9175A"/>
    <w:rsid w:val="00B917EF"/>
    <w:rsid w:val="00B91921"/>
    <w:rsid w:val="00B919E5"/>
    <w:rsid w:val="00B91AD3"/>
    <w:rsid w:val="00B91ADB"/>
    <w:rsid w:val="00B91D45"/>
    <w:rsid w:val="00B91E2E"/>
    <w:rsid w:val="00B92012"/>
    <w:rsid w:val="00B920D5"/>
    <w:rsid w:val="00B92279"/>
    <w:rsid w:val="00B92331"/>
    <w:rsid w:val="00B92466"/>
    <w:rsid w:val="00B92589"/>
    <w:rsid w:val="00B92889"/>
    <w:rsid w:val="00B92906"/>
    <w:rsid w:val="00B92AE3"/>
    <w:rsid w:val="00B92E4D"/>
    <w:rsid w:val="00B92E73"/>
    <w:rsid w:val="00B9308B"/>
    <w:rsid w:val="00B93265"/>
    <w:rsid w:val="00B933BF"/>
    <w:rsid w:val="00B9365D"/>
    <w:rsid w:val="00B93665"/>
    <w:rsid w:val="00B9389E"/>
    <w:rsid w:val="00B93F51"/>
    <w:rsid w:val="00B94035"/>
    <w:rsid w:val="00B943BD"/>
    <w:rsid w:val="00B94605"/>
    <w:rsid w:val="00B94811"/>
    <w:rsid w:val="00B94A3F"/>
    <w:rsid w:val="00B94C23"/>
    <w:rsid w:val="00B94C50"/>
    <w:rsid w:val="00B94E62"/>
    <w:rsid w:val="00B94F86"/>
    <w:rsid w:val="00B94FB4"/>
    <w:rsid w:val="00B94FE1"/>
    <w:rsid w:val="00B950BD"/>
    <w:rsid w:val="00B951C8"/>
    <w:rsid w:val="00B9538E"/>
    <w:rsid w:val="00B956B9"/>
    <w:rsid w:val="00B95841"/>
    <w:rsid w:val="00B958AD"/>
    <w:rsid w:val="00B95A48"/>
    <w:rsid w:val="00B95BD8"/>
    <w:rsid w:val="00B95C45"/>
    <w:rsid w:val="00B95D4A"/>
    <w:rsid w:val="00B95DB6"/>
    <w:rsid w:val="00B95E10"/>
    <w:rsid w:val="00B95F26"/>
    <w:rsid w:val="00B95F51"/>
    <w:rsid w:val="00B95F68"/>
    <w:rsid w:val="00B96091"/>
    <w:rsid w:val="00B960DB"/>
    <w:rsid w:val="00B96103"/>
    <w:rsid w:val="00B96116"/>
    <w:rsid w:val="00B9617E"/>
    <w:rsid w:val="00B9624D"/>
    <w:rsid w:val="00B96279"/>
    <w:rsid w:val="00B96284"/>
    <w:rsid w:val="00B96386"/>
    <w:rsid w:val="00B96448"/>
    <w:rsid w:val="00B964CE"/>
    <w:rsid w:val="00B964DE"/>
    <w:rsid w:val="00B964E4"/>
    <w:rsid w:val="00B966DF"/>
    <w:rsid w:val="00B969AC"/>
    <w:rsid w:val="00B96B68"/>
    <w:rsid w:val="00B96DDC"/>
    <w:rsid w:val="00B96EA2"/>
    <w:rsid w:val="00B96EC9"/>
    <w:rsid w:val="00B9706F"/>
    <w:rsid w:val="00B9709E"/>
    <w:rsid w:val="00B972E0"/>
    <w:rsid w:val="00B97387"/>
    <w:rsid w:val="00B9747A"/>
    <w:rsid w:val="00B974BC"/>
    <w:rsid w:val="00B974D4"/>
    <w:rsid w:val="00B97533"/>
    <w:rsid w:val="00B9774B"/>
    <w:rsid w:val="00B9784D"/>
    <w:rsid w:val="00B97AFC"/>
    <w:rsid w:val="00B97B61"/>
    <w:rsid w:val="00B97B86"/>
    <w:rsid w:val="00B97BD8"/>
    <w:rsid w:val="00B97CE9"/>
    <w:rsid w:val="00B97F06"/>
    <w:rsid w:val="00BA01EB"/>
    <w:rsid w:val="00BA0380"/>
    <w:rsid w:val="00BA040A"/>
    <w:rsid w:val="00BA05D2"/>
    <w:rsid w:val="00BA0743"/>
    <w:rsid w:val="00BA07DA"/>
    <w:rsid w:val="00BA0846"/>
    <w:rsid w:val="00BA0B8B"/>
    <w:rsid w:val="00BA0C9F"/>
    <w:rsid w:val="00BA0FF5"/>
    <w:rsid w:val="00BA1001"/>
    <w:rsid w:val="00BA1005"/>
    <w:rsid w:val="00BA11F3"/>
    <w:rsid w:val="00BA1264"/>
    <w:rsid w:val="00BA1388"/>
    <w:rsid w:val="00BA149B"/>
    <w:rsid w:val="00BA1686"/>
    <w:rsid w:val="00BA1696"/>
    <w:rsid w:val="00BA1842"/>
    <w:rsid w:val="00BA18D4"/>
    <w:rsid w:val="00BA19F3"/>
    <w:rsid w:val="00BA1A08"/>
    <w:rsid w:val="00BA1AEC"/>
    <w:rsid w:val="00BA1B73"/>
    <w:rsid w:val="00BA1D08"/>
    <w:rsid w:val="00BA1D0C"/>
    <w:rsid w:val="00BA1DA8"/>
    <w:rsid w:val="00BA1DD2"/>
    <w:rsid w:val="00BA1E1C"/>
    <w:rsid w:val="00BA1EFE"/>
    <w:rsid w:val="00BA2090"/>
    <w:rsid w:val="00BA220A"/>
    <w:rsid w:val="00BA2392"/>
    <w:rsid w:val="00BA26D9"/>
    <w:rsid w:val="00BA2786"/>
    <w:rsid w:val="00BA28AB"/>
    <w:rsid w:val="00BA29B6"/>
    <w:rsid w:val="00BA2B2F"/>
    <w:rsid w:val="00BA2FA6"/>
    <w:rsid w:val="00BA313F"/>
    <w:rsid w:val="00BA32C4"/>
    <w:rsid w:val="00BA32E1"/>
    <w:rsid w:val="00BA3467"/>
    <w:rsid w:val="00BA352C"/>
    <w:rsid w:val="00BA36F2"/>
    <w:rsid w:val="00BA39E8"/>
    <w:rsid w:val="00BA3D54"/>
    <w:rsid w:val="00BA3FC0"/>
    <w:rsid w:val="00BA4019"/>
    <w:rsid w:val="00BA40D8"/>
    <w:rsid w:val="00BA42ED"/>
    <w:rsid w:val="00BA449D"/>
    <w:rsid w:val="00BA4800"/>
    <w:rsid w:val="00BA48C6"/>
    <w:rsid w:val="00BA492B"/>
    <w:rsid w:val="00BA4AA7"/>
    <w:rsid w:val="00BA4D19"/>
    <w:rsid w:val="00BA4D74"/>
    <w:rsid w:val="00BA4F13"/>
    <w:rsid w:val="00BA5052"/>
    <w:rsid w:val="00BA5073"/>
    <w:rsid w:val="00BA53AC"/>
    <w:rsid w:val="00BA546E"/>
    <w:rsid w:val="00BA54E8"/>
    <w:rsid w:val="00BA55E8"/>
    <w:rsid w:val="00BA5639"/>
    <w:rsid w:val="00BA5722"/>
    <w:rsid w:val="00BA57B0"/>
    <w:rsid w:val="00BA597E"/>
    <w:rsid w:val="00BA59F4"/>
    <w:rsid w:val="00BA5A50"/>
    <w:rsid w:val="00BA5BAA"/>
    <w:rsid w:val="00BA5BD8"/>
    <w:rsid w:val="00BA5CFD"/>
    <w:rsid w:val="00BA5DC7"/>
    <w:rsid w:val="00BA5E8F"/>
    <w:rsid w:val="00BA5F3C"/>
    <w:rsid w:val="00BA6142"/>
    <w:rsid w:val="00BA6172"/>
    <w:rsid w:val="00BA61F6"/>
    <w:rsid w:val="00BA623D"/>
    <w:rsid w:val="00BA6445"/>
    <w:rsid w:val="00BA64AF"/>
    <w:rsid w:val="00BA6507"/>
    <w:rsid w:val="00BA6518"/>
    <w:rsid w:val="00BA6973"/>
    <w:rsid w:val="00BA69D6"/>
    <w:rsid w:val="00BA6B68"/>
    <w:rsid w:val="00BA6C51"/>
    <w:rsid w:val="00BA6C56"/>
    <w:rsid w:val="00BA6D85"/>
    <w:rsid w:val="00BA6E0A"/>
    <w:rsid w:val="00BA6E62"/>
    <w:rsid w:val="00BA6E79"/>
    <w:rsid w:val="00BA7136"/>
    <w:rsid w:val="00BA72B9"/>
    <w:rsid w:val="00BA7397"/>
    <w:rsid w:val="00BA74DD"/>
    <w:rsid w:val="00BA773C"/>
    <w:rsid w:val="00BA79BB"/>
    <w:rsid w:val="00BA7A63"/>
    <w:rsid w:val="00BA7C89"/>
    <w:rsid w:val="00BA7D1A"/>
    <w:rsid w:val="00BA7DD4"/>
    <w:rsid w:val="00BA7EFD"/>
    <w:rsid w:val="00BA7F64"/>
    <w:rsid w:val="00BB0023"/>
    <w:rsid w:val="00BB007A"/>
    <w:rsid w:val="00BB00BB"/>
    <w:rsid w:val="00BB0135"/>
    <w:rsid w:val="00BB0362"/>
    <w:rsid w:val="00BB056F"/>
    <w:rsid w:val="00BB06C0"/>
    <w:rsid w:val="00BB06F6"/>
    <w:rsid w:val="00BB07DE"/>
    <w:rsid w:val="00BB08D2"/>
    <w:rsid w:val="00BB0976"/>
    <w:rsid w:val="00BB0A39"/>
    <w:rsid w:val="00BB0B37"/>
    <w:rsid w:val="00BB0C4A"/>
    <w:rsid w:val="00BB0CB1"/>
    <w:rsid w:val="00BB0EA1"/>
    <w:rsid w:val="00BB104C"/>
    <w:rsid w:val="00BB10CB"/>
    <w:rsid w:val="00BB1109"/>
    <w:rsid w:val="00BB1121"/>
    <w:rsid w:val="00BB1183"/>
    <w:rsid w:val="00BB11D1"/>
    <w:rsid w:val="00BB1206"/>
    <w:rsid w:val="00BB1235"/>
    <w:rsid w:val="00BB1248"/>
    <w:rsid w:val="00BB1262"/>
    <w:rsid w:val="00BB154C"/>
    <w:rsid w:val="00BB1844"/>
    <w:rsid w:val="00BB1A59"/>
    <w:rsid w:val="00BB1AC2"/>
    <w:rsid w:val="00BB1CF3"/>
    <w:rsid w:val="00BB1D19"/>
    <w:rsid w:val="00BB1DB6"/>
    <w:rsid w:val="00BB1EBD"/>
    <w:rsid w:val="00BB20B3"/>
    <w:rsid w:val="00BB2179"/>
    <w:rsid w:val="00BB21D7"/>
    <w:rsid w:val="00BB2475"/>
    <w:rsid w:val="00BB2589"/>
    <w:rsid w:val="00BB25A3"/>
    <w:rsid w:val="00BB25B3"/>
    <w:rsid w:val="00BB280F"/>
    <w:rsid w:val="00BB2CC4"/>
    <w:rsid w:val="00BB2D84"/>
    <w:rsid w:val="00BB3090"/>
    <w:rsid w:val="00BB326B"/>
    <w:rsid w:val="00BB3278"/>
    <w:rsid w:val="00BB36FD"/>
    <w:rsid w:val="00BB37BF"/>
    <w:rsid w:val="00BB391C"/>
    <w:rsid w:val="00BB39F4"/>
    <w:rsid w:val="00BB3B44"/>
    <w:rsid w:val="00BB3BF7"/>
    <w:rsid w:val="00BB3E6A"/>
    <w:rsid w:val="00BB3FD1"/>
    <w:rsid w:val="00BB4019"/>
    <w:rsid w:val="00BB40FD"/>
    <w:rsid w:val="00BB4249"/>
    <w:rsid w:val="00BB45D4"/>
    <w:rsid w:val="00BB4652"/>
    <w:rsid w:val="00BB47A4"/>
    <w:rsid w:val="00BB48FE"/>
    <w:rsid w:val="00BB493A"/>
    <w:rsid w:val="00BB4F6B"/>
    <w:rsid w:val="00BB50A0"/>
    <w:rsid w:val="00BB50CD"/>
    <w:rsid w:val="00BB5382"/>
    <w:rsid w:val="00BB57C9"/>
    <w:rsid w:val="00BB57CC"/>
    <w:rsid w:val="00BB586B"/>
    <w:rsid w:val="00BB5A3D"/>
    <w:rsid w:val="00BB5B85"/>
    <w:rsid w:val="00BB5CB4"/>
    <w:rsid w:val="00BB5F40"/>
    <w:rsid w:val="00BB6011"/>
    <w:rsid w:val="00BB6126"/>
    <w:rsid w:val="00BB6563"/>
    <w:rsid w:val="00BB679F"/>
    <w:rsid w:val="00BB689D"/>
    <w:rsid w:val="00BB6A73"/>
    <w:rsid w:val="00BB6AC9"/>
    <w:rsid w:val="00BB6B53"/>
    <w:rsid w:val="00BB6BD3"/>
    <w:rsid w:val="00BB6C81"/>
    <w:rsid w:val="00BB6C8E"/>
    <w:rsid w:val="00BB6CC0"/>
    <w:rsid w:val="00BB6D3B"/>
    <w:rsid w:val="00BB6EFF"/>
    <w:rsid w:val="00BB6F44"/>
    <w:rsid w:val="00BB6F85"/>
    <w:rsid w:val="00BB6FAB"/>
    <w:rsid w:val="00BB708C"/>
    <w:rsid w:val="00BB718D"/>
    <w:rsid w:val="00BB7416"/>
    <w:rsid w:val="00BB7672"/>
    <w:rsid w:val="00BB76AC"/>
    <w:rsid w:val="00BB7724"/>
    <w:rsid w:val="00BB779F"/>
    <w:rsid w:val="00BB786C"/>
    <w:rsid w:val="00BB78B8"/>
    <w:rsid w:val="00BB798B"/>
    <w:rsid w:val="00BB7B49"/>
    <w:rsid w:val="00BB7DEB"/>
    <w:rsid w:val="00BB7E05"/>
    <w:rsid w:val="00BB7E25"/>
    <w:rsid w:val="00BB7F1E"/>
    <w:rsid w:val="00BB7F85"/>
    <w:rsid w:val="00BB7F8E"/>
    <w:rsid w:val="00BB7FF8"/>
    <w:rsid w:val="00BC00D1"/>
    <w:rsid w:val="00BC0107"/>
    <w:rsid w:val="00BC018A"/>
    <w:rsid w:val="00BC0420"/>
    <w:rsid w:val="00BC04D4"/>
    <w:rsid w:val="00BC05D5"/>
    <w:rsid w:val="00BC0E7C"/>
    <w:rsid w:val="00BC0F54"/>
    <w:rsid w:val="00BC1236"/>
    <w:rsid w:val="00BC12A0"/>
    <w:rsid w:val="00BC13E0"/>
    <w:rsid w:val="00BC157D"/>
    <w:rsid w:val="00BC161E"/>
    <w:rsid w:val="00BC16BF"/>
    <w:rsid w:val="00BC16E2"/>
    <w:rsid w:val="00BC1B1E"/>
    <w:rsid w:val="00BC1B3B"/>
    <w:rsid w:val="00BC1B45"/>
    <w:rsid w:val="00BC1BFE"/>
    <w:rsid w:val="00BC1C38"/>
    <w:rsid w:val="00BC1D0A"/>
    <w:rsid w:val="00BC1D29"/>
    <w:rsid w:val="00BC1D34"/>
    <w:rsid w:val="00BC1D78"/>
    <w:rsid w:val="00BC1DE6"/>
    <w:rsid w:val="00BC1FFD"/>
    <w:rsid w:val="00BC207A"/>
    <w:rsid w:val="00BC228A"/>
    <w:rsid w:val="00BC229B"/>
    <w:rsid w:val="00BC252D"/>
    <w:rsid w:val="00BC2593"/>
    <w:rsid w:val="00BC2623"/>
    <w:rsid w:val="00BC276E"/>
    <w:rsid w:val="00BC2983"/>
    <w:rsid w:val="00BC29D3"/>
    <w:rsid w:val="00BC2A14"/>
    <w:rsid w:val="00BC2A45"/>
    <w:rsid w:val="00BC2AA2"/>
    <w:rsid w:val="00BC2AF1"/>
    <w:rsid w:val="00BC2B45"/>
    <w:rsid w:val="00BC2B8C"/>
    <w:rsid w:val="00BC2B99"/>
    <w:rsid w:val="00BC2E73"/>
    <w:rsid w:val="00BC2EB5"/>
    <w:rsid w:val="00BC2FDA"/>
    <w:rsid w:val="00BC3001"/>
    <w:rsid w:val="00BC30FB"/>
    <w:rsid w:val="00BC3127"/>
    <w:rsid w:val="00BC32F8"/>
    <w:rsid w:val="00BC3500"/>
    <w:rsid w:val="00BC37A3"/>
    <w:rsid w:val="00BC37CA"/>
    <w:rsid w:val="00BC3806"/>
    <w:rsid w:val="00BC387A"/>
    <w:rsid w:val="00BC39F0"/>
    <w:rsid w:val="00BC3B38"/>
    <w:rsid w:val="00BC3E75"/>
    <w:rsid w:val="00BC3E7E"/>
    <w:rsid w:val="00BC3FDA"/>
    <w:rsid w:val="00BC40F2"/>
    <w:rsid w:val="00BC4230"/>
    <w:rsid w:val="00BC436A"/>
    <w:rsid w:val="00BC437A"/>
    <w:rsid w:val="00BC447A"/>
    <w:rsid w:val="00BC45DD"/>
    <w:rsid w:val="00BC46C6"/>
    <w:rsid w:val="00BC475A"/>
    <w:rsid w:val="00BC4765"/>
    <w:rsid w:val="00BC4AEC"/>
    <w:rsid w:val="00BC4C54"/>
    <w:rsid w:val="00BC4D0D"/>
    <w:rsid w:val="00BC4F44"/>
    <w:rsid w:val="00BC4FBA"/>
    <w:rsid w:val="00BC5065"/>
    <w:rsid w:val="00BC51C3"/>
    <w:rsid w:val="00BC51EE"/>
    <w:rsid w:val="00BC547E"/>
    <w:rsid w:val="00BC556A"/>
    <w:rsid w:val="00BC55FF"/>
    <w:rsid w:val="00BC572B"/>
    <w:rsid w:val="00BC5AA5"/>
    <w:rsid w:val="00BC5E23"/>
    <w:rsid w:val="00BC5E3F"/>
    <w:rsid w:val="00BC603D"/>
    <w:rsid w:val="00BC63A9"/>
    <w:rsid w:val="00BC640C"/>
    <w:rsid w:val="00BC66DC"/>
    <w:rsid w:val="00BC6A7E"/>
    <w:rsid w:val="00BC6BBA"/>
    <w:rsid w:val="00BC6BF7"/>
    <w:rsid w:val="00BC6CBD"/>
    <w:rsid w:val="00BC6F13"/>
    <w:rsid w:val="00BC7020"/>
    <w:rsid w:val="00BC705B"/>
    <w:rsid w:val="00BC7195"/>
    <w:rsid w:val="00BC724C"/>
    <w:rsid w:val="00BC74DE"/>
    <w:rsid w:val="00BC7558"/>
    <w:rsid w:val="00BC757B"/>
    <w:rsid w:val="00BC75D5"/>
    <w:rsid w:val="00BC75E4"/>
    <w:rsid w:val="00BC7606"/>
    <w:rsid w:val="00BC7821"/>
    <w:rsid w:val="00BC7B15"/>
    <w:rsid w:val="00BC7D0E"/>
    <w:rsid w:val="00BC7D60"/>
    <w:rsid w:val="00BC7E4C"/>
    <w:rsid w:val="00BC7F1B"/>
    <w:rsid w:val="00BC7F2F"/>
    <w:rsid w:val="00BD001E"/>
    <w:rsid w:val="00BD003D"/>
    <w:rsid w:val="00BD0180"/>
    <w:rsid w:val="00BD01FC"/>
    <w:rsid w:val="00BD025A"/>
    <w:rsid w:val="00BD0358"/>
    <w:rsid w:val="00BD0377"/>
    <w:rsid w:val="00BD03A6"/>
    <w:rsid w:val="00BD0595"/>
    <w:rsid w:val="00BD05D3"/>
    <w:rsid w:val="00BD05EE"/>
    <w:rsid w:val="00BD06B6"/>
    <w:rsid w:val="00BD0911"/>
    <w:rsid w:val="00BD0965"/>
    <w:rsid w:val="00BD0990"/>
    <w:rsid w:val="00BD09D7"/>
    <w:rsid w:val="00BD0A11"/>
    <w:rsid w:val="00BD0A8A"/>
    <w:rsid w:val="00BD0B18"/>
    <w:rsid w:val="00BD0C48"/>
    <w:rsid w:val="00BD0DFF"/>
    <w:rsid w:val="00BD0EA3"/>
    <w:rsid w:val="00BD0FE4"/>
    <w:rsid w:val="00BD1085"/>
    <w:rsid w:val="00BD10AC"/>
    <w:rsid w:val="00BD10FE"/>
    <w:rsid w:val="00BD12BA"/>
    <w:rsid w:val="00BD138D"/>
    <w:rsid w:val="00BD15F3"/>
    <w:rsid w:val="00BD1659"/>
    <w:rsid w:val="00BD1691"/>
    <w:rsid w:val="00BD1998"/>
    <w:rsid w:val="00BD1C03"/>
    <w:rsid w:val="00BD1C66"/>
    <w:rsid w:val="00BD1C75"/>
    <w:rsid w:val="00BD1CDE"/>
    <w:rsid w:val="00BD1ECF"/>
    <w:rsid w:val="00BD2062"/>
    <w:rsid w:val="00BD20D9"/>
    <w:rsid w:val="00BD22A8"/>
    <w:rsid w:val="00BD2371"/>
    <w:rsid w:val="00BD2425"/>
    <w:rsid w:val="00BD2503"/>
    <w:rsid w:val="00BD28C5"/>
    <w:rsid w:val="00BD2CA7"/>
    <w:rsid w:val="00BD2CFF"/>
    <w:rsid w:val="00BD2D13"/>
    <w:rsid w:val="00BD2ED2"/>
    <w:rsid w:val="00BD2F0C"/>
    <w:rsid w:val="00BD2F8B"/>
    <w:rsid w:val="00BD302C"/>
    <w:rsid w:val="00BD304D"/>
    <w:rsid w:val="00BD30BF"/>
    <w:rsid w:val="00BD3297"/>
    <w:rsid w:val="00BD32BB"/>
    <w:rsid w:val="00BD32D1"/>
    <w:rsid w:val="00BD334B"/>
    <w:rsid w:val="00BD3407"/>
    <w:rsid w:val="00BD3588"/>
    <w:rsid w:val="00BD39EE"/>
    <w:rsid w:val="00BD39F1"/>
    <w:rsid w:val="00BD3A4B"/>
    <w:rsid w:val="00BD3A7E"/>
    <w:rsid w:val="00BD3D44"/>
    <w:rsid w:val="00BD3EA9"/>
    <w:rsid w:val="00BD3FAA"/>
    <w:rsid w:val="00BD40B9"/>
    <w:rsid w:val="00BD40BD"/>
    <w:rsid w:val="00BD41C0"/>
    <w:rsid w:val="00BD41C6"/>
    <w:rsid w:val="00BD423B"/>
    <w:rsid w:val="00BD425D"/>
    <w:rsid w:val="00BD44CB"/>
    <w:rsid w:val="00BD490A"/>
    <w:rsid w:val="00BD499C"/>
    <w:rsid w:val="00BD4A5D"/>
    <w:rsid w:val="00BD4AE7"/>
    <w:rsid w:val="00BD4B4A"/>
    <w:rsid w:val="00BD4B5F"/>
    <w:rsid w:val="00BD4D59"/>
    <w:rsid w:val="00BD4D64"/>
    <w:rsid w:val="00BD4DA2"/>
    <w:rsid w:val="00BD4FD0"/>
    <w:rsid w:val="00BD5007"/>
    <w:rsid w:val="00BD511F"/>
    <w:rsid w:val="00BD51B7"/>
    <w:rsid w:val="00BD5466"/>
    <w:rsid w:val="00BD54DD"/>
    <w:rsid w:val="00BD562E"/>
    <w:rsid w:val="00BD56CC"/>
    <w:rsid w:val="00BD5712"/>
    <w:rsid w:val="00BD5713"/>
    <w:rsid w:val="00BD57C9"/>
    <w:rsid w:val="00BD58CF"/>
    <w:rsid w:val="00BD59C7"/>
    <w:rsid w:val="00BD5CD4"/>
    <w:rsid w:val="00BD5D45"/>
    <w:rsid w:val="00BD618C"/>
    <w:rsid w:val="00BD6195"/>
    <w:rsid w:val="00BD6313"/>
    <w:rsid w:val="00BD63AE"/>
    <w:rsid w:val="00BD63C9"/>
    <w:rsid w:val="00BD64D6"/>
    <w:rsid w:val="00BD64D9"/>
    <w:rsid w:val="00BD66CD"/>
    <w:rsid w:val="00BD6731"/>
    <w:rsid w:val="00BD67E2"/>
    <w:rsid w:val="00BD68BA"/>
    <w:rsid w:val="00BD6908"/>
    <w:rsid w:val="00BD6991"/>
    <w:rsid w:val="00BD6A2B"/>
    <w:rsid w:val="00BD6BC4"/>
    <w:rsid w:val="00BD6D88"/>
    <w:rsid w:val="00BD6D95"/>
    <w:rsid w:val="00BD6E34"/>
    <w:rsid w:val="00BD7544"/>
    <w:rsid w:val="00BD75AD"/>
    <w:rsid w:val="00BD78CE"/>
    <w:rsid w:val="00BD7962"/>
    <w:rsid w:val="00BD7A03"/>
    <w:rsid w:val="00BD7A07"/>
    <w:rsid w:val="00BD7A25"/>
    <w:rsid w:val="00BD7C39"/>
    <w:rsid w:val="00BD7E5A"/>
    <w:rsid w:val="00BD7EEA"/>
    <w:rsid w:val="00BD7FA6"/>
    <w:rsid w:val="00BE0115"/>
    <w:rsid w:val="00BE02CB"/>
    <w:rsid w:val="00BE032C"/>
    <w:rsid w:val="00BE036C"/>
    <w:rsid w:val="00BE0964"/>
    <w:rsid w:val="00BE0AFA"/>
    <w:rsid w:val="00BE0CB2"/>
    <w:rsid w:val="00BE0CE9"/>
    <w:rsid w:val="00BE0D2D"/>
    <w:rsid w:val="00BE0D33"/>
    <w:rsid w:val="00BE11E1"/>
    <w:rsid w:val="00BE120B"/>
    <w:rsid w:val="00BE136F"/>
    <w:rsid w:val="00BE13B1"/>
    <w:rsid w:val="00BE1516"/>
    <w:rsid w:val="00BE161B"/>
    <w:rsid w:val="00BE165D"/>
    <w:rsid w:val="00BE16C8"/>
    <w:rsid w:val="00BE178A"/>
    <w:rsid w:val="00BE188D"/>
    <w:rsid w:val="00BE1AD4"/>
    <w:rsid w:val="00BE1BA4"/>
    <w:rsid w:val="00BE1C3A"/>
    <w:rsid w:val="00BE206D"/>
    <w:rsid w:val="00BE20DC"/>
    <w:rsid w:val="00BE20F3"/>
    <w:rsid w:val="00BE2138"/>
    <w:rsid w:val="00BE2262"/>
    <w:rsid w:val="00BE2266"/>
    <w:rsid w:val="00BE22CE"/>
    <w:rsid w:val="00BE23C6"/>
    <w:rsid w:val="00BE2528"/>
    <w:rsid w:val="00BE2764"/>
    <w:rsid w:val="00BE2A32"/>
    <w:rsid w:val="00BE2AF6"/>
    <w:rsid w:val="00BE2BC3"/>
    <w:rsid w:val="00BE2BDE"/>
    <w:rsid w:val="00BE2C4C"/>
    <w:rsid w:val="00BE2CA2"/>
    <w:rsid w:val="00BE2E78"/>
    <w:rsid w:val="00BE2E89"/>
    <w:rsid w:val="00BE2FDD"/>
    <w:rsid w:val="00BE300B"/>
    <w:rsid w:val="00BE33B0"/>
    <w:rsid w:val="00BE34D8"/>
    <w:rsid w:val="00BE352D"/>
    <w:rsid w:val="00BE3601"/>
    <w:rsid w:val="00BE3641"/>
    <w:rsid w:val="00BE379B"/>
    <w:rsid w:val="00BE3819"/>
    <w:rsid w:val="00BE3853"/>
    <w:rsid w:val="00BE3928"/>
    <w:rsid w:val="00BE3E51"/>
    <w:rsid w:val="00BE3E9C"/>
    <w:rsid w:val="00BE3FDB"/>
    <w:rsid w:val="00BE42FD"/>
    <w:rsid w:val="00BE4493"/>
    <w:rsid w:val="00BE4514"/>
    <w:rsid w:val="00BE493E"/>
    <w:rsid w:val="00BE49A1"/>
    <w:rsid w:val="00BE49C4"/>
    <w:rsid w:val="00BE4A27"/>
    <w:rsid w:val="00BE4AA9"/>
    <w:rsid w:val="00BE4AD0"/>
    <w:rsid w:val="00BE4ADF"/>
    <w:rsid w:val="00BE4B26"/>
    <w:rsid w:val="00BE4B2B"/>
    <w:rsid w:val="00BE4D81"/>
    <w:rsid w:val="00BE4E03"/>
    <w:rsid w:val="00BE4E04"/>
    <w:rsid w:val="00BE4F3D"/>
    <w:rsid w:val="00BE50BF"/>
    <w:rsid w:val="00BE50D3"/>
    <w:rsid w:val="00BE5387"/>
    <w:rsid w:val="00BE54A4"/>
    <w:rsid w:val="00BE58F5"/>
    <w:rsid w:val="00BE5DAC"/>
    <w:rsid w:val="00BE5E78"/>
    <w:rsid w:val="00BE5E99"/>
    <w:rsid w:val="00BE603E"/>
    <w:rsid w:val="00BE609B"/>
    <w:rsid w:val="00BE60C2"/>
    <w:rsid w:val="00BE615B"/>
    <w:rsid w:val="00BE615E"/>
    <w:rsid w:val="00BE6638"/>
    <w:rsid w:val="00BE6C98"/>
    <w:rsid w:val="00BE6D12"/>
    <w:rsid w:val="00BE6DB3"/>
    <w:rsid w:val="00BE6E94"/>
    <w:rsid w:val="00BE6F02"/>
    <w:rsid w:val="00BE7155"/>
    <w:rsid w:val="00BE7364"/>
    <w:rsid w:val="00BE736F"/>
    <w:rsid w:val="00BE7491"/>
    <w:rsid w:val="00BE765C"/>
    <w:rsid w:val="00BE7707"/>
    <w:rsid w:val="00BE799B"/>
    <w:rsid w:val="00BE7B6B"/>
    <w:rsid w:val="00BE7E38"/>
    <w:rsid w:val="00BE7E65"/>
    <w:rsid w:val="00BE7F43"/>
    <w:rsid w:val="00BE7F4C"/>
    <w:rsid w:val="00BE7F78"/>
    <w:rsid w:val="00BF00AA"/>
    <w:rsid w:val="00BF0249"/>
    <w:rsid w:val="00BF0391"/>
    <w:rsid w:val="00BF040A"/>
    <w:rsid w:val="00BF0497"/>
    <w:rsid w:val="00BF0518"/>
    <w:rsid w:val="00BF059C"/>
    <w:rsid w:val="00BF05B1"/>
    <w:rsid w:val="00BF0780"/>
    <w:rsid w:val="00BF0A15"/>
    <w:rsid w:val="00BF0A4C"/>
    <w:rsid w:val="00BF0C65"/>
    <w:rsid w:val="00BF0DC5"/>
    <w:rsid w:val="00BF0E77"/>
    <w:rsid w:val="00BF108F"/>
    <w:rsid w:val="00BF1151"/>
    <w:rsid w:val="00BF1315"/>
    <w:rsid w:val="00BF1391"/>
    <w:rsid w:val="00BF141B"/>
    <w:rsid w:val="00BF1439"/>
    <w:rsid w:val="00BF14A9"/>
    <w:rsid w:val="00BF14BB"/>
    <w:rsid w:val="00BF1571"/>
    <w:rsid w:val="00BF1576"/>
    <w:rsid w:val="00BF17A2"/>
    <w:rsid w:val="00BF180F"/>
    <w:rsid w:val="00BF18AC"/>
    <w:rsid w:val="00BF19B1"/>
    <w:rsid w:val="00BF19EF"/>
    <w:rsid w:val="00BF1CBB"/>
    <w:rsid w:val="00BF1DE8"/>
    <w:rsid w:val="00BF201F"/>
    <w:rsid w:val="00BF20D9"/>
    <w:rsid w:val="00BF2168"/>
    <w:rsid w:val="00BF21B6"/>
    <w:rsid w:val="00BF22AB"/>
    <w:rsid w:val="00BF24DB"/>
    <w:rsid w:val="00BF278D"/>
    <w:rsid w:val="00BF27CA"/>
    <w:rsid w:val="00BF2800"/>
    <w:rsid w:val="00BF291C"/>
    <w:rsid w:val="00BF2A4A"/>
    <w:rsid w:val="00BF2A53"/>
    <w:rsid w:val="00BF2A98"/>
    <w:rsid w:val="00BF2BBE"/>
    <w:rsid w:val="00BF2BDE"/>
    <w:rsid w:val="00BF2C93"/>
    <w:rsid w:val="00BF2D05"/>
    <w:rsid w:val="00BF2D8C"/>
    <w:rsid w:val="00BF32A8"/>
    <w:rsid w:val="00BF32DD"/>
    <w:rsid w:val="00BF3436"/>
    <w:rsid w:val="00BF3489"/>
    <w:rsid w:val="00BF3683"/>
    <w:rsid w:val="00BF36CD"/>
    <w:rsid w:val="00BF375E"/>
    <w:rsid w:val="00BF3816"/>
    <w:rsid w:val="00BF3847"/>
    <w:rsid w:val="00BF3B8F"/>
    <w:rsid w:val="00BF3E1D"/>
    <w:rsid w:val="00BF3E71"/>
    <w:rsid w:val="00BF3E84"/>
    <w:rsid w:val="00BF3E9C"/>
    <w:rsid w:val="00BF3F3E"/>
    <w:rsid w:val="00BF3F80"/>
    <w:rsid w:val="00BF408E"/>
    <w:rsid w:val="00BF4123"/>
    <w:rsid w:val="00BF4125"/>
    <w:rsid w:val="00BF417E"/>
    <w:rsid w:val="00BF441F"/>
    <w:rsid w:val="00BF44D2"/>
    <w:rsid w:val="00BF4577"/>
    <w:rsid w:val="00BF45A8"/>
    <w:rsid w:val="00BF47F1"/>
    <w:rsid w:val="00BF48FB"/>
    <w:rsid w:val="00BF4B1B"/>
    <w:rsid w:val="00BF4E84"/>
    <w:rsid w:val="00BF4EC3"/>
    <w:rsid w:val="00BF4EDF"/>
    <w:rsid w:val="00BF4F96"/>
    <w:rsid w:val="00BF4FEF"/>
    <w:rsid w:val="00BF529A"/>
    <w:rsid w:val="00BF530B"/>
    <w:rsid w:val="00BF5418"/>
    <w:rsid w:val="00BF57BA"/>
    <w:rsid w:val="00BF5865"/>
    <w:rsid w:val="00BF5AEB"/>
    <w:rsid w:val="00BF5B2F"/>
    <w:rsid w:val="00BF5CD4"/>
    <w:rsid w:val="00BF5DA7"/>
    <w:rsid w:val="00BF5E1D"/>
    <w:rsid w:val="00BF60C5"/>
    <w:rsid w:val="00BF623C"/>
    <w:rsid w:val="00BF63B8"/>
    <w:rsid w:val="00BF64CF"/>
    <w:rsid w:val="00BF6692"/>
    <w:rsid w:val="00BF67A3"/>
    <w:rsid w:val="00BF67C9"/>
    <w:rsid w:val="00BF69A9"/>
    <w:rsid w:val="00BF6A99"/>
    <w:rsid w:val="00BF6B46"/>
    <w:rsid w:val="00BF6B6E"/>
    <w:rsid w:val="00BF6D03"/>
    <w:rsid w:val="00BF6D4F"/>
    <w:rsid w:val="00BF6EBA"/>
    <w:rsid w:val="00BF70BF"/>
    <w:rsid w:val="00BF741F"/>
    <w:rsid w:val="00BF753F"/>
    <w:rsid w:val="00BF7609"/>
    <w:rsid w:val="00BF7724"/>
    <w:rsid w:val="00BF7791"/>
    <w:rsid w:val="00BF77B6"/>
    <w:rsid w:val="00BF7890"/>
    <w:rsid w:val="00BF7B09"/>
    <w:rsid w:val="00BF7B35"/>
    <w:rsid w:val="00BF7B60"/>
    <w:rsid w:val="00BF7BBD"/>
    <w:rsid w:val="00BF7D0B"/>
    <w:rsid w:val="00BF7D0D"/>
    <w:rsid w:val="00BF7D17"/>
    <w:rsid w:val="00BF7D29"/>
    <w:rsid w:val="00BF7D85"/>
    <w:rsid w:val="00BF7E13"/>
    <w:rsid w:val="00BF7F37"/>
    <w:rsid w:val="00C0002D"/>
    <w:rsid w:val="00C003EF"/>
    <w:rsid w:val="00C00445"/>
    <w:rsid w:val="00C00494"/>
    <w:rsid w:val="00C004BF"/>
    <w:rsid w:val="00C0050C"/>
    <w:rsid w:val="00C0059D"/>
    <w:rsid w:val="00C00615"/>
    <w:rsid w:val="00C00671"/>
    <w:rsid w:val="00C006FA"/>
    <w:rsid w:val="00C00715"/>
    <w:rsid w:val="00C00747"/>
    <w:rsid w:val="00C00810"/>
    <w:rsid w:val="00C00826"/>
    <w:rsid w:val="00C0084B"/>
    <w:rsid w:val="00C008F7"/>
    <w:rsid w:val="00C00975"/>
    <w:rsid w:val="00C00D2F"/>
    <w:rsid w:val="00C00DCA"/>
    <w:rsid w:val="00C00F45"/>
    <w:rsid w:val="00C00F53"/>
    <w:rsid w:val="00C00F72"/>
    <w:rsid w:val="00C00FBC"/>
    <w:rsid w:val="00C013F0"/>
    <w:rsid w:val="00C015FF"/>
    <w:rsid w:val="00C01623"/>
    <w:rsid w:val="00C01661"/>
    <w:rsid w:val="00C01723"/>
    <w:rsid w:val="00C01880"/>
    <w:rsid w:val="00C01899"/>
    <w:rsid w:val="00C018DE"/>
    <w:rsid w:val="00C019E5"/>
    <w:rsid w:val="00C01A60"/>
    <w:rsid w:val="00C01B26"/>
    <w:rsid w:val="00C01C0C"/>
    <w:rsid w:val="00C01CB9"/>
    <w:rsid w:val="00C01D40"/>
    <w:rsid w:val="00C01E30"/>
    <w:rsid w:val="00C01F70"/>
    <w:rsid w:val="00C01FE3"/>
    <w:rsid w:val="00C02185"/>
    <w:rsid w:val="00C02229"/>
    <w:rsid w:val="00C0262E"/>
    <w:rsid w:val="00C02797"/>
    <w:rsid w:val="00C027A7"/>
    <w:rsid w:val="00C02986"/>
    <w:rsid w:val="00C02A07"/>
    <w:rsid w:val="00C02A0A"/>
    <w:rsid w:val="00C02BA5"/>
    <w:rsid w:val="00C02C6C"/>
    <w:rsid w:val="00C02D13"/>
    <w:rsid w:val="00C02DB0"/>
    <w:rsid w:val="00C03108"/>
    <w:rsid w:val="00C0320D"/>
    <w:rsid w:val="00C032B4"/>
    <w:rsid w:val="00C032CC"/>
    <w:rsid w:val="00C03413"/>
    <w:rsid w:val="00C0352E"/>
    <w:rsid w:val="00C036D7"/>
    <w:rsid w:val="00C03764"/>
    <w:rsid w:val="00C03855"/>
    <w:rsid w:val="00C03A2B"/>
    <w:rsid w:val="00C03BBE"/>
    <w:rsid w:val="00C03C0E"/>
    <w:rsid w:val="00C03D96"/>
    <w:rsid w:val="00C03DC8"/>
    <w:rsid w:val="00C041C3"/>
    <w:rsid w:val="00C04233"/>
    <w:rsid w:val="00C043B4"/>
    <w:rsid w:val="00C0447F"/>
    <w:rsid w:val="00C045BF"/>
    <w:rsid w:val="00C045FA"/>
    <w:rsid w:val="00C04830"/>
    <w:rsid w:val="00C04852"/>
    <w:rsid w:val="00C0497B"/>
    <w:rsid w:val="00C04B7D"/>
    <w:rsid w:val="00C04CD2"/>
    <w:rsid w:val="00C04DB0"/>
    <w:rsid w:val="00C04E53"/>
    <w:rsid w:val="00C04F20"/>
    <w:rsid w:val="00C04F3D"/>
    <w:rsid w:val="00C04F9F"/>
    <w:rsid w:val="00C05028"/>
    <w:rsid w:val="00C050AF"/>
    <w:rsid w:val="00C050DC"/>
    <w:rsid w:val="00C05119"/>
    <w:rsid w:val="00C05357"/>
    <w:rsid w:val="00C0544C"/>
    <w:rsid w:val="00C0544E"/>
    <w:rsid w:val="00C05732"/>
    <w:rsid w:val="00C057AE"/>
    <w:rsid w:val="00C05838"/>
    <w:rsid w:val="00C058B0"/>
    <w:rsid w:val="00C05994"/>
    <w:rsid w:val="00C05A0F"/>
    <w:rsid w:val="00C05A72"/>
    <w:rsid w:val="00C05B1B"/>
    <w:rsid w:val="00C05F96"/>
    <w:rsid w:val="00C06047"/>
    <w:rsid w:val="00C06275"/>
    <w:rsid w:val="00C062E9"/>
    <w:rsid w:val="00C06610"/>
    <w:rsid w:val="00C06971"/>
    <w:rsid w:val="00C069EE"/>
    <w:rsid w:val="00C06B8C"/>
    <w:rsid w:val="00C06BB5"/>
    <w:rsid w:val="00C06EA8"/>
    <w:rsid w:val="00C07006"/>
    <w:rsid w:val="00C070F0"/>
    <w:rsid w:val="00C0738E"/>
    <w:rsid w:val="00C0752E"/>
    <w:rsid w:val="00C075AB"/>
    <w:rsid w:val="00C0774F"/>
    <w:rsid w:val="00C0784C"/>
    <w:rsid w:val="00C07876"/>
    <w:rsid w:val="00C078EB"/>
    <w:rsid w:val="00C07997"/>
    <w:rsid w:val="00C07C51"/>
    <w:rsid w:val="00C07EBD"/>
    <w:rsid w:val="00C07F50"/>
    <w:rsid w:val="00C07FDC"/>
    <w:rsid w:val="00C10148"/>
    <w:rsid w:val="00C101F7"/>
    <w:rsid w:val="00C10307"/>
    <w:rsid w:val="00C10310"/>
    <w:rsid w:val="00C1038B"/>
    <w:rsid w:val="00C105A8"/>
    <w:rsid w:val="00C1063E"/>
    <w:rsid w:val="00C107ED"/>
    <w:rsid w:val="00C10AEC"/>
    <w:rsid w:val="00C10AF2"/>
    <w:rsid w:val="00C10C66"/>
    <w:rsid w:val="00C10D93"/>
    <w:rsid w:val="00C10F6C"/>
    <w:rsid w:val="00C11163"/>
    <w:rsid w:val="00C111D2"/>
    <w:rsid w:val="00C112D0"/>
    <w:rsid w:val="00C1133E"/>
    <w:rsid w:val="00C11357"/>
    <w:rsid w:val="00C11436"/>
    <w:rsid w:val="00C11603"/>
    <w:rsid w:val="00C11646"/>
    <w:rsid w:val="00C116E8"/>
    <w:rsid w:val="00C117F3"/>
    <w:rsid w:val="00C1186F"/>
    <w:rsid w:val="00C1195B"/>
    <w:rsid w:val="00C119A7"/>
    <w:rsid w:val="00C119BE"/>
    <w:rsid w:val="00C11AFF"/>
    <w:rsid w:val="00C11DBB"/>
    <w:rsid w:val="00C11E19"/>
    <w:rsid w:val="00C1214B"/>
    <w:rsid w:val="00C1220B"/>
    <w:rsid w:val="00C12382"/>
    <w:rsid w:val="00C1249A"/>
    <w:rsid w:val="00C12589"/>
    <w:rsid w:val="00C12619"/>
    <w:rsid w:val="00C126EF"/>
    <w:rsid w:val="00C12744"/>
    <w:rsid w:val="00C127BD"/>
    <w:rsid w:val="00C128E5"/>
    <w:rsid w:val="00C129CA"/>
    <w:rsid w:val="00C12B5E"/>
    <w:rsid w:val="00C12B76"/>
    <w:rsid w:val="00C12BBC"/>
    <w:rsid w:val="00C12BBD"/>
    <w:rsid w:val="00C12E88"/>
    <w:rsid w:val="00C1315B"/>
    <w:rsid w:val="00C13231"/>
    <w:rsid w:val="00C13384"/>
    <w:rsid w:val="00C13407"/>
    <w:rsid w:val="00C1347E"/>
    <w:rsid w:val="00C1352B"/>
    <w:rsid w:val="00C13666"/>
    <w:rsid w:val="00C13701"/>
    <w:rsid w:val="00C13816"/>
    <w:rsid w:val="00C139B7"/>
    <w:rsid w:val="00C13B54"/>
    <w:rsid w:val="00C13BDE"/>
    <w:rsid w:val="00C13D5D"/>
    <w:rsid w:val="00C13DB4"/>
    <w:rsid w:val="00C13E7D"/>
    <w:rsid w:val="00C13F01"/>
    <w:rsid w:val="00C141ED"/>
    <w:rsid w:val="00C14215"/>
    <w:rsid w:val="00C1437A"/>
    <w:rsid w:val="00C14572"/>
    <w:rsid w:val="00C14877"/>
    <w:rsid w:val="00C1493F"/>
    <w:rsid w:val="00C14A05"/>
    <w:rsid w:val="00C14ACF"/>
    <w:rsid w:val="00C14BA3"/>
    <w:rsid w:val="00C14C0C"/>
    <w:rsid w:val="00C14D76"/>
    <w:rsid w:val="00C14D85"/>
    <w:rsid w:val="00C14DEF"/>
    <w:rsid w:val="00C14EE4"/>
    <w:rsid w:val="00C14EF0"/>
    <w:rsid w:val="00C1518D"/>
    <w:rsid w:val="00C1523C"/>
    <w:rsid w:val="00C1525A"/>
    <w:rsid w:val="00C15289"/>
    <w:rsid w:val="00C155D5"/>
    <w:rsid w:val="00C15717"/>
    <w:rsid w:val="00C15750"/>
    <w:rsid w:val="00C1582F"/>
    <w:rsid w:val="00C15B06"/>
    <w:rsid w:val="00C15B49"/>
    <w:rsid w:val="00C15C41"/>
    <w:rsid w:val="00C15FAA"/>
    <w:rsid w:val="00C1611C"/>
    <w:rsid w:val="00C16188"/>
    <w:rsid w:val="00C161F6"/>
    <w:rsid w:val="00C163EC"/>
    <w:rsid w:val="00C16466"/>
    <w:rsid w:val="00C164EE"/>
    <w:rsid w:val="00C165BF"/>
    <w:rsid w:val="00C1671F"/>
    <w:rsid w:val="00C168C9"/>
    <w:rsid w:val="00C16CE5"/>
    <w:rsid w:val="00C16FE2"/>
    <w:rsid w:val="00C17018"/>
    <w:rsid w:val="00C17076"/>
    <w:rsid w:val="00C17212"/>
    <w:rsid w:val="00C1760D"/>
    <w:rsid w:val="00C176D3"/>
    <w:rsid w:val="00C176D8"/>
    <w:rsid w:val="00C17712"/>
    <w:rsid w:val="00C17737"/>
    <w:rsid w:val="00C179BD"/>
    <w:rsid w:val="00C179C8"/>
    <w:rsid w:val="00C17B9C"/>
    <w:rsid w:val="00C17F82"/>
    <w:rsid w:val="00C20060"/>
    <w:rsid w:val="00C20094"/>
    <w:rsid w:val="00C2014B"/>
    <w:rsid w:val="00C202B6"/>
    <w:rsid w:val="00C205EB"/>
    <w:rsid w:val="00C207F4"/>
    <w:rsid w:val="00C208DD"/>
    <w:rsid w:val="00C209C5"/>
    <w:rsid w:val="00C20AC3"/>
    <w:rsid w:val="00C20B0F"/>
    <w:rsid w:val="00C20B23"/>
    <w:rsid w:val="00C20B27"/>
    <w:rsid w:val="00C20B8B"/>
    <w:rsid w:val="00C20C67"/>
    <w:rsid w:val="00C20C86"/>
    <w:rsid w:val="00C20E70"/>
    <w:rsid w:val="00C20FBC"/>
    <w:rsid w:val="00C20FD1"/>
    <w:rsid w:val="00C21003"/>
    <w:rsid w:val="00C2105F"/>
    <w:rsid w:val="00C211B5"/>
    <w:rsid w:val="00C212BC"/>
    <w:rsid w:val="00C214C3"/>
    <w:rsid w:val="00C21797"/>
    <w:rsid w:val="00C2187E"/>
    <w:rsid w:val="00C21930"/>
    <w:rsid w:val="00C21A02"/>
    <w:rsid w:val="00C21CB4"/>
    <w:rsid w:val="00C21CDF"/>
    <w:rsid w:val="00C21D40"/>
    <w:rsid w:val="00C21D7E"/>
    <w:rsid w:val="00C21DB7"/>
    <w:rsid w:val="00C21E2B"/>
    <w:rsid w:val="00C21F49"/>
    <w:rsid w:val="00C22021"/>
    <w:rsid w:val="00C22061"/>
    <w:rsid w:val="00C22088"/>
    <w:rsid w:val="00C2234D"/>
    <w:rsid w:val="00C22366"/>
    <w:rsid w:val="00C22391"/>
    <w:rsid w:val="00C225FB"/>
    <w:rsid w:val="00C2284C"/>
    <w:rsid w:val="00C228F2"/>
    <w:rsid w:val="00C2299A"/>
    <w:rsid w:val="00C22A36"/>
    <w:rsid w:val="00C22B15"/>
    <w:rsid w:val="00C22D78"/>
    <w:rsid w:val="00C230BE"/>
    <w:rsid w:val="00C23119"/>
    <w:rsid w:val="00C23133"/>
    <w:rsid w:val="00C231F1"/>
    <w:rsid w:val="00C231F9"/>
    <w:rsid w:val="00C234A3"/>
    <w:rsid w:val="00C23691"/>
    <w:rsid w:val="00C23A92"/>
    <w:rsid w:val="00C23AB8"/>
    <w:rsid w:val="00C23C9D"/>
    <w:rsid w:val="00C23C9E"/>
    <w:rsid w:val="00C23D13"/>
    <w:rsid w:val="00C23DC3"/>
    <w:rsid w:val="00C23EC3"/>
    <w:rsid w:val="00C24214"/>
    <w:rsid w:val="00C2444F"/>
    <w:rsid w:val="00C24460"/>
    <w:rsid w:val="00C24518"/>
    <w:rsid w:val="00C2458E"/>
    <w:rsid w:val="00C24A95"/>
    <w:rsid w:val="00C24B0F"/>
    <w:rsid w:val="00C24D11"/>
    <w:rsid w:val="00C24E48"/>
    <w:rsid w:val="00C24E81"/>
    <w:rsid w:val="00C24EA7"/>
    <w:rsid w:val="00C24F37"/>
    <w:rsid w:val="00C251D2"/>
    <w:rsid w:val="00C251E8"/>
    <w:rsid w:val="00C2525C"/>
    <w:rsid w:val="00C255B3"/>
    <w:rsid w:val="00C25663"/>
    <w:rsid w:val="00C257AD"/>
    <w:rsid w:val="00C257F6"/>
    <w:rsid w:val="00C25C48"/>
    <w:rsid w:val="00C25CDE"/>
    <w:rsid w:val="00C25DCF"/>
    <w:rsid w:val="00C25FC1"/>
    <w:rsid w:val="00C2602E"/>
    <w:rsid w:val="00C26039"/>
    <w:rsid w:val="00C260AA"/>
    <w:rsid w:val="00C2613D"/>
    <w:rsid w:val="00C261C5"/>
    <w:rsid w:val="00C262B1"/>
    <w:rsid w:val="00C262ED"/>
    <w:rsid w:val="00C26402"/>
    <w:rsid w:val="00C2642C"/>
    <w:rsid w:val="00C2645A"/>
    <w:rsid w:val="00C2648A"/>
    <w:rsid w:val="00C26535"/>
    <w:rsid w:val="00C26635"/>
    <w:rsid w:val="00C26AD0"/>
    <w:rsid w:val="00C26B6B"/>
    <w:rsid w:val="00C26CD1"/>
    <w:rsid w:val="00C26CDC"/>
    <w:rsid w:val="00C26E57"/>
    <w:rsid w:val="00C27073"/>
    <w:rsid w:val="00C2714F"/>
    <w:rsid w:val="00C2743C"/>
    <w:rsid w:val="00C2760D"/>
    <w:rsid w:val="00C27ACD"/>
    <w:rsid w:val="00C27AF9"/>
    <w:rsid w:val="00C27B8A"/>
    <w:rsid w:val="00C27B8D"/>
    <w:rsid w:val="00C27D4D"/>
    <w:rsid w:val="00C27E4A"/>
    <w:rsid w:val="00C27FAE"/>
    <w:rsid w:val="00C30021"/>
    <w:rsid w:val="00C300E0"/>
    <w:rsid w:val="00C3031D"/>
    <w:rsid w:val="00C3036F"/>
    <w:rsid w:val="00C30391"/>
    <w:rsid w:val="00C30429"/>
    <w:rsid w:val="00C30430"/>
    <w:rsid w:val="00C304E1"/>
    <w:rsid w:val="00C30508"/>
    <w:rsid w:val="00C3069E"/>
    <w:rsid w:val="00C30726"/>
    <w:rsid w:val="00C307D3"/>
    <w:rsid w:val="00C30853"/>
    <w:rsid w:val="00C30889"/>
    <w:rsid w:val="00C30C48"/>
    <w:rsid w:val="00C30CA3"/>
    <w:rsid w:val="00C31323"/>
    <w:rsid w:val="00C31337"/>
    <w:rsid w:val="00C315C1"/>
    <w:rsid w:val="00C31714"/>
    <w:rsid w:val="00C31734"/>
    <w:rsid w:val="00C318B4"/>
    <w:rsid w:val="00C3191F"/>
    <w:rsid w:val="00C31996"/>
    <w:rsid w:val="00C31999"/>
    <w:rsid w:val="00C31A29"/>
    <w:rsid w:val="00C31C1E"/>
    <w:rsid w:val="00C31D69"/>
    <w:rsid w:val="00C31EDF"/>
    <w:rsid w:val="00C32083"/>
    <w:rsid w:val="00C3225C"/>
    <w:rsid w:val="00C32422"/>
    <w:rsid w:val="00C32534"/>
    <w:rsid w:val="00C32603"/>
    <w:rsid w:val="00C32650"/>
    <w:rsid w:val="00C327CE"/>
    <w:rsid w:val="00C3281F"/>
    <w:rsid w:val="00C3288F"/>
    <w:rsid w:val="00C328BD"/>
    <w:rsid w:val="00C328C8"/>
    <w:rsid w:val="00C32946"/>
    <w:rsid w:val="00C3294A"/>
    <w:rsid w:val="00C32A7B"/>
    <w:rsid w:val="00C32B8A"/>
    <w:rsid w:val="00C32C40"/>
    <w:rsid w:val="00C32DC1"/>
    <w:rsid w:val="00C33071"/>
    <w:rsid w:val="00C33167"/>
    <w:rsid w:val="00C331A9"/>
    <w:rsid w:val="00C334C3"/>
    <w:rsid w:val="00C33DB5"/>
    <w:rsid w:val="00C33E9E"/>
    <w:rsid w:val="00C33EAF"/>
    <w:rsid w:val="00C33FB2"/>
    <w:rsid w:val="00C3416F"/>
    <w:rsid w:val="00C342D9"/>
    <w:rsid w:val="00C3430C"/>
    <w:rsid w:val="00C3459F"/>
    <w:rsid w:val="00C3471F"/>
    <w:rsid w:val="00C3478D"/>
    <w:rsid w:val="00C34838"/>
    <w:rsid w:val="00C349E3"/>
    <w:rsid w:val="00C34BE2"/>
    <w:rsid w:val="00C34E4F"/>
    <w:rsid w:val="00C34FE4"/>
    <w:rsid w:val="00C351EA"/>
    <w:rsid w:val="00C3520A"/>
    <w:rsid w:val="00C35801"/>
    <w:rsid w:val="00C35931"/>
    <w:rsid w:val="00C359C0"/>
    <w:rsid w:val="00C35BF9"/>
    <w:rsid w:val="00C35D67"/>
    <w:rsid w:val="00C35E51"/>
    <w:rsid w:val="00C35EEC"/>
    <w:rsid w:val="00C35EF3"/>
    <w:rsid w:val="00C35F16"/>
    <w:rsid w:val="00C35F2A"/>
    <w:rsid w:val="00C35F37"/>
    <w:rsid w:val="00C35F67"/>
    <w:rsid w:val="00C35FCC"/>
    <w:rsid w:val="00C36047"/>
    <w:rsid w:val="00C360DC"/>
    <w:rsid w:val="00C36112"/>
    <w:rsid w:val="00C36123"/>
    <w:rsid w:val="00C36159"/>
    <w:rsid w:val="00C36219"/>
    <w:rsid w:val="00C362CB"/>
    <w:rsid w:val="00C362D7"/>
    <w:rsid w:val="00C3630D"/>
    <w:rsid w:val="00C3633B"/>
    <w:rsid w:val="00C36652"/>
    <w:rsid w:val="00C366C9"/>
    <w:rsid w:val="00C366DB"/>
    <w:rsid w:val="00C36765"/>
    <w:rsid w:val="00C36B05"/>
    <w:rsid w:val="00C36B76"/>
    <w:rsid w:val="00C36C99"/>
    <w:rsid w:val="00C36F58"/>
    <w:rsid w:val="00C36F64"/>
    <w:rsid w:val="00C36F73"/>
    <w:rsid w:val="00C370D4"/>
    <w:rsid w:val="00C370E6"/>
    <w:rsid w:val="00C3715D"/>
    <w:rsid w:val="00C372BF"/>
    <w:rsid w:val="00C37352"/>
    <w:rsid w:val="00C3741E"/>
    <w:rsid w:val="00C3761E"/>
    <w:rsid w:val="00C376C8"/>
    <w:rsid w:val="00C37734"/>
    <w:rsid w:val="00C37976"/>
    <w:rsid w:val="00C3799B"/>
    <w:rsid w:val="00C37AE0"/>
    <w:rsid w:val="00C37B41"/>
    <w:rsid w:val="00C37B90"/>
    <w:rsid w:val="00C37BAE"/>
    <w:rsid w:val="00C37E00"/>
    <w:rsid w:val="00C37E09"/>
    <w:rsid w:val="00C37E2B"/>
    <w:rsid w:val="00C37F09"/>
    <w:rsid w:val="00C4006A"/>
    <w:rsid w:val="00C400E3"/>
    <w:rsid w:val="00C40278"/>
    <w:rsid w:val="00C40444"/>
    <w:rsid w:val="00C40545"/>
    <w:rsid w:val="00C405F2"/>
    <w:rsid w:val="00C405FC"/>
    <w:rsid w:val="00C40749"/>
    <w:rsid w:val="00C40790"/>
    <w:rsid w:val="00C407B6"/>
    <w:rsid w:val="00C4090C"/>
    <w:rsid w:val="00C40B17"/>
    <w:rsid w:val="00C40C03"/>
    <w:rsid w:val="00C40D25"/>
    <w:rsid w:val="00C40D8A"/>
    <w:rsid w:val="00C40DD5"/>
    <w:rsid w:val="00C40EFF"/>
    <w:rsid w:val="00C40F90"/>
    <w:rsid w:val="00C40FC5"/>
    <w:rsid w:val="00C40FE4"/>
    <w:rsid w:val="00C41037"/>
    <w:rsid w:val="00C41043"/>
    <w:rsid w:val="00C410BF"/>
    <w:rsid w:val="00C410DF"/>
    <w:rsid w:val="00C41342"/>
    <w:rsid w:val="00C4142F"/>
    <w:rsid w:val="00C4147B"/>
    <w:rsid w:val="00C41498"/>
    <w:rsid w:val="00C416AB"/>
    <w:rsid w:val="00C4182A"/>
    <w:rsid w:val="00C41861"/>
    <w:rsid w:val="00C41C46"/>
    <w:rsid w:val="00C41C4E"/>
    <w:rsid w:val="00C41D3F"/>
    <w:rsid w:val="00C41DBF"/>
    <w:rsid w:val="00C41ED6"/>
    <w:rsid w:val="00C41FC9"/>
    <w:rsid w:val="00C42060"/>
    <w:rsid w:val="00C4208C"/>
    <w:rsid w:val="00C42097"/>
    <w:rsid w:val="00C4254B"/>
    <w:rsid w:val="00C42582"/>
    <w:rsid w:val="00C42759"/>
    <w:rsid w:val="00C4276C"/>
    <w:rsid w:val="00C4283E"/>
    <w:rsid w:val="00C4286D"/>
    <w:rsid w:val="00C42B04"/>
    <w:rsid w:val="00C42B98"/>
    <w:rsid w:val="00C42E14"/>
    <w:rsid w:val="00C42E6D"/>
    <w:rsid w:val="00C4304B"/>
    <w:rsid w:val="00C43058"/>
    <w:rsid w:val="00C432A8"/>
    <w:rsid w:val="00C433A7"/>
    <w:rsid w:val="00C4348E"/>
    <w:rsid w:val="00C435A5"/>
    <w:rsid w:val="00C436BD"/>
    <w:rsid w:val="00C436D0"/>
    <w:rsid w:val="00C43850"/>
    <w:rsid w:val="00C4385C"/>
    <w:rsid w:val="00C439B8"/>
    <w:rsid w:val="00C43A50"/>
    <w:rsid w:val="00C43B50"/>
    <w:rsid w:val="00C43C21"/>
    <w:rsid w:val="00C43C4C"/>
    <w:rsid w:val="00C43C8D"/>
    <w:rsid w:val="00C43CD2"/>
    <w:rsid w:val="00C43D5B"/>
    <w:rsid w:val="00C43D6D"/>
    <w:rsid w:val="00C43E60"/>
    <w:rsid w:val="00C43FEA"/>
    <w:rsid w:val="00C43FF7"/>
    <w:rsid w:val="00C44070"/>
    <w:rsid w:val="00C441FD"/>
    <w:rsid w:val="00C4427B"/>
    <w:rsid w:val="00C4464C"/>
    <w:rsid w:val="00C44759"/>
    <w:rsid w:val="00C4482B"/>
    <w:rsid w:val="00C44B9E"/>
    <w:rsid w:val="00C44C54"/>
    <w:rsid w:val="00C44D24"/>
    <w:rsid w:val="00C44E12"/>
    <w:rsid w:val="00C44E75"/>
    <w:rsid w:val="00C44EA1"/>
    <w:rsid w:val="00C44ED2"/>
    <w:rsid w:val="00C44F91"/>
    <w:rsid w:val="00C450CD"/>
    <w:rsid w:val="00C45121"/>
    <w:rsid w:val="00C4513A"/>
    <w:rsid w:val="00C45185"/>
    <w:rsid w:val="00C4527B"/>
    <w:rsid w:val="00C457C1"/>
    <w:rsid w:val="00C45897"/>
    <w:rsid w:val="00C45923"/>
    <w:rsid w:val="00C4593A"/>
    <w:rsid w:val="00C45983"/>
    <w:rsid w:val="00C45B1D"/>
    <w:rsid w:val="00C45B91"/>
    <w:rsid w:val="00C45C6F"/>
    <w:rsid w:val="00C45CF9"/>
    <w:rsid w:val="00C45D32"/>
    <w:rsid w:val="00C45EA4"/>
    <w:rsid w:val="00C45F05"/>
    <w:rsid w:val="00C45FE5"/>
    <w:rsid w:val="00C4614E"/>
    <w:rsid w:val="00C462E5"/>
    <w:rsid w:val="00C462EB"/>
    <w:rsid w:val="00C462FD"/>
    <w:rsid w:val="00C46361"/>
    <w:rsid w:val="00C46449"/>
    <w:rsid w:val="00C464BC"/>
    <w:rsid w:val="00C46574"/>
    <w:rsid w:val="00C4674D"/>
    <w:rsid w:val="00C467A0"/>
    <w:rsid w:val="00C4691F"/>
    <w:rsid w:val="00C469CE"/>
    <w:rsid w:val="00C46CE2"/>
    <w:rsid w:val="00C46D51"/>
    <w:rsid w:val="00C46E17"/>
    <w:rsid w:val="00C46FA8"/>
    <w:rsid w:val="00C4700E"/>
    <w:rsid w:val="00C47024"/>
    <w:rsid w:val="00C471A6"/>
    <w:rsid w:val="00C471C0"/>
    <w:rsid w:val="00C47213"/>
    <w:rsid w:val="00C472A8"/>
    <w:rsid w:val="00C475C5"/>
    <w:rsid w:val="00C47627"/>
    <w:rsid w:val="00C47844"/>
    <w:rsid w:val="00C47C59"/>
    <w:rsid w:val="00C47C81"/>
    <w:rsid w:val="00C47D27"/>
    <w:rsid w:val="00C47DBA"/>
    <w:rsid w:val="00C47EDF"/>
    <w:rsid w:val="00C47F07"/>
    <w:rsid w:val="00C47F89"/>
    <w:rsid w:val="00C50104"/>
    <w:rsid w:val="00C502EF"/>
    <w:rsid w:val="00C50335"/>
    <w:rsid w:val="00C503A4"/>
    <w:rsid w:val="00C506A7"/>
    <w:rsid w:val="00C507C1"/>
    <w:rsid w:val="00C507E6"/>
    <w:rsid w:val="00C50A0F"/>
    <w:rsid w:val="00C50ACD"/>
    <w:rsid w:val="00C50B20"/>
    <w:rsid w:val="00C50BC7"/>
    <w:rsid w:val="00C50E3A"/>
    <w:rsid w:val="00C50F0A"/>
    <w:rsid w:val="00C51101"/>
    <w:rsid w:val="00C51221"/>
    <w:rsid w:val="00C51272"/>
    <w:rsid w:val="00C5127A"/>
    <w:rsid w:val="00C513EC"/>
    <w:rsid w:val="00C5174B"/>
    <w:rsid w:val="00C5175B"/>
    <w:rsid w:val="00C517B6"/>
    <w:rsid w:val="00C5183C"/>
    <w:rsid w:val="00C5184E"/>
    <w:rsid w:val="00C51909"/>
    <w:rsid w:val="00C519F9"/>
    <w:rsid w:val="00C51DD1"/>
    <w:rsid w:val="00C51DE9"/>
    <w:rsid w:val="00C51FF5"/>
    <w:rsid w:val="00C52609"/>
    <w:rsid w:val="00C5261E"/>
    <w:rsid w:val="00C52631"/>
    <w:rsid w:val="00C526EE"/>
    <w:rsid w:val="00C52774"/>
    <w:rsid w:val="00C529F7"/>
    <w:rsid w:val="00C52A5D"/>
    <w:rsid w:val="00C52CDA"/>
    <w:rsid w:val="00C52DFA"/>
    <w:rsid w:val="00C52EA2"/>
    <w:rsid w:val="00C52FA5"/>
    <w:rsid w:val="00C53249"/>
    <w:rsid w:val="00C532F6"/>
    <w:rsid w:val="00C5347F"/>
    <w:rsid w:val="00C534DB"/>
    <w:rsid w:val="00C538D1"/>
    <w:rsid w:val="00C53C36"/>
    <w:rsid w:val="00C53F15"/>
    <w:rsid w:val="00C53FAC"/>
    <w:rsid w:val="00C5410D"/>
    <w:rsid w:val="00C54619"/>
    <w:rsid w:val="00C5468F"/>
    <w:rsid w:val="00C54746"/>
    <w:rsid w:val="00C54863"/>
    <w:rsid w:val="00C5498A"/>
    <w:rsid w:val="00C54A49"/>
    <w:rsid w:val="00C54AE1"/>
    <w:rsid w:val="00C54B26"/>
    <w:rsid w:val="00C54C0B"/>
    <w:rsid w:val="00C54C81"/>
    <w:rsid w:val="00C55620"/>
    <w:rsid w:val="00C556A2"/>
    <w:rsid w:val="00C55895"/>
    <w:rsid w:val="00C55C76"/>
    <w:rsid w:val="00C55CB0"/>
    <w:rsid w:val="00C5609F"/>
    <w:rsid w:val="00C561A3"/>
    <w:rsid w:val="00C561C6"/>
    <w:rsid w:val="00C5659C"/>
    <w:rsid w:val="00C56618"/>
    <w:rsid w:val="00C56710"/>
    <w:rsid w:val="00C56885"/>
    <w:rsid w:val="00C56A85"/>
    <w:rsid w:val="00C56C79"/>
    <w:rsid w:val="00C56CB6"/>
    <w:rsid w:val="00C56CF8"/>
    <w:rsid w:val="00C56EFE"/>
    <w:rsid w:val="00C57054"/>
    <w:rsid w:val="00C571C5"/>
    <w:rsid w:val="00C5725B"/>
    <w:rsid w:val="00C57344"/>
    <w:rsid w:val="00C573D2"/>
    <w:rsid w:val="00C57413"/>
    <w:rsid w:val="00C574FD"/>
    <w:rsid w:val="00C576BC"/>
    <w:rsid w:val="00C57777"/>
    <w:rsid w:val="00C578A4"/>
    <w:rsid w:val="00C57AFE"/>
    <w:rsid w:val="00C57BDA"/>
    <w:rsid w:val="00C57C00"/>
    <w:rsid w:val="00C57C56"/>
    <w:rsid w:val="00C57EEB"/>
    <w:rsid w:val="00C57EF7"/>
    <w:rsid w:val="00C6005A"/>
    <w:rsid w:val="00C600A4"/>
    <w:rsid w:val="00C600F1"/>
    <w:rsid w:val="00C60181"/>
    <w:rsid w:val="00C601E9"/>
    <w:rsid w:val="00C601ED"/>
    <w:rsid w:val="00C6073A"/>
    <w:rsid w:val="00C607AE"/>
    <w:rsid w:val="00C60846"/>
    <w:rsid w:val="00C608F3"/>
    <w:rsid w:val="00C60AE8"/>
    <w:rsid w:val="00C60B5B"/>
    <w:rsid w:val="00C60B6D"/>
    <w:rsid w:val="00C60CD1"/>
    <w:rsid w:val="00C60D22"/>
    <w:rsid w:val="00C60D50"/>
    <w:rsid w:val="00C60DF1"/>
    <w:rsid w:val="00C60F63"/>
    <w:rsid w:val="00C61064"/>
    <w:rsid w:val="00C6120A"/>
    <w:rsid w:val="00C61357"/>
    <w:rsid w:val="00C613DC"/>
    <w:rsid w:val="00C61737"/>
    <w:rsid w:val="00C6177A"/>
    <w:rsid w:val="00C61977"/>
    <w:rsid w:val="00C61A1C"/>
    <w:rsid w:val="00C61B02"/>
    <w:rsid w:val="00C61B04"/>
    <w:rsid w:val="00C61B21"/>
    <w:rsid w:val="00C61C23"/>
    <w:rsid w:val="00C61DFF"/>
    <w:rsid w:val="00C61E35"/>
    <w:rsid w:val="00C62015"/>
    <w:rsid w:val="00C620AE"/>
    <w:rsid w:val="00C621A5"/>
    <w:rsid w:val="00C621F9"/>
    <w:rsid w:val="00C62252"/>
    <w:rsid w:val="00C6226A"/>
    <w:rsid w:val="00C622C4"/>
    <w:rsid w:val="00C62362"/>
    <w:rsid w:val="00C626A4"/>
    <w:rsid w:val="00C626ED"/>
    <w:rsid w:val="00C6278D"/>
    <w:rsid w:val="00C62986"/>
    <w:rsid w:val="00C62AF4"/>
    <w:rsid w:val="00C62C7C"/>
    <w:rsid w:val="00C62DB2"/>
    <w:rsid w:val="00C62E2F"/>
    <w:rsid w:val="00C62EFB"/>
    <w:rsid w:val="00C62F2E"/>
    <w:rsid w:val="00C63126"/>
    <w:rsid w:val="00C63536"/>
    <w:rsid w:val="00C63623"/>
    <w:rsid w:val="00C636FB"/>
    <w:rsid w:val="00C6387D"/>
    <w:rsid w:val="00C638DF"/>
    <w:rsid w:val="00C63973"/>
    <w:rsid w:val="00C63A91"/>
    <w:rsid w:val="00C63C89"/>
    <w:rsid w:val="00C63D9B"/>
    <w:rsid w:val="00C64031"/>
    <w:rsid w:val="00C641FE"/>
    <w:rsid w:val="00C64234"/>
    <w:rsid w:val="00C642B3"/>
    <w:rsid w:val="00C642C6"/>
    <w:rsid w:val="00C6448C"/>
    <w:rsid w:val="00C64559"/>
    <w:rsid w:val="00C6456D"/>
    <w:rsid w:val="00C64657"/>
    <w:rsid w:val="00C647E7"/>
    <w:rsid w:val="00C64800"/>
    <w:rsid w:val="00C650E7"/>
    <w:rsid w:val="00C6510D"/>
    <w:rsid w:val="00C651D8"/>
    <w:rsid w:val="00C6522E"/>
    <w:rsid w:val="00C653C5"/>
    <w:rsid w:val="00C654C6"/>
    <w:rsid w:val="00C654C8"/>
    <w:rsid w:val="00C65668"/>
    <w:rsid w:val="00C657B3"/>
    <w:rsid w:val="00C657B4"/>
    <w:rsid w:val="00C65830"/>
    <w:rsid w:val="00C659EB"/>
    <w:rsid w:val="00C65AB0"/>
    <w:rsid w:val="00C65C41"/>
    <w:rsid w:val="00C65CD2"/>
    <w:rsid w:val="00C65D72"/>
    <w:rsid w:val="00C65DD0"/>
    <w:rsid w:val="00C65E55"/>
    <w:rsid w:val="00C6617A"/>
    <w:rsid w:val="00C66229"/>
    <w:rsid w:val="00C662F8"/>
    <w:rsid w:val="00C663FD"/>
    <w:rsid w:val="00C664B2"/>
    <w:rsid w:val="00C66562"/>
    <w:rsid w:val="00C66596"/>
    <w:rsid w:val="00C66790"/>
    <w:rsid w:val="00C66AC3"/>
    <w:rsid w:val="00C66B33"/>
    <w:rsid w:val="00C66B5E"/>
    <w:rsid w:val="00C66CF9"/>
    <w:rsid w:val="00C66D09"/>
    <w:rsid w:val="00C66E46"/>
    <w:rsid w:val="00C67284"/>
    <w:rsid w:val="00C6739E"/>
    <w:rsid w:val="00C6754F"/>
    <w:rsid w:val="00C6774A"/>
    <w:rsid w:val="00C67760"/>
    <w:rsid w:val="00C67A26"/>
    <w:rsid w:val="00C67C5E"/>
    <w:rsid w:val="00C67D54"/>
    <w:rsid w:val="00C67DB1"/>
    <w:rsid w:val="00C67E1A"/>
    <w:rsid w:val="00C70159"/>
    <w:rsid w:val="00C701C1"/>
    <w:rsid w:val="00C70213"/>
    <w:rsid w:val="00C702B5"/>
    <w:rsid w:val="00C70741"/>
    <w:rsid w:val="00C70F2E"/>
    <w:rsid w:val="00C71037"/>
    <w:rsid w:val="00C710D0"/>
    <w:rsid w:val="00C710D1"/>
    <w:rsid w:val="00C7111E"/>
    <w:rsid w:val="00C711EB"/>
    <w:rsid w:val="00C713D6"/>
    <w:rsid w:val="00C71446"/>
    <w:rsid w:val="00C71788"/>
    <w:rsid w:val="00C71869"/>
    <w:rsid w:val="00C71C3F"/>
    <w:rsid w:val="00C71C57"/>
    <w:rsid w:val="00C71C94"/>
    <w:rsid w:val="00C71DC9"/>
    <w:rsid w:val="00C71DCB"/>
    <w:rsid w:val="00C7205D"/>
    <w:rsid w:val="00C72158"/>
    <w:rsid w:val="00C7238A"/>
    <w:rsid w:val="00C725AF"/>
    <w:rsid w:val="00C725C8"/>
    <w:rsid w:val="00C7270C"/>
    <w:rsid w:val="00C728DC"/>
    <w:rsid w:val="00C72974"/>
    <w:rsid w:val="00C729F9"/>
    <w:rsid w:val="00C72AB5"/>
    <w:rsid w:val="00C72BA4"/>
    <w:rsid w:val="00C72ED8"/>
    <w:rsid w:val="00C73045"/>
    <w:rsid w:val="00C730A4"/>
    <w:rsid w:val="00C73422"/>
    <w:rsid w:val="00C73694"/>
    <w:rsid w:val="00C73817"/>
    <w:rsid w:val="00C73ACB"/>
    <w:rsid w:val="00C73B1B"/>
    <w:rsid w:val="00C73D20"/>
    <w:rsid w:val="00C73DFA"/>
    <w:rsid w:val="00C73E39"/>
    <w:rsid w:val="00C73F59"/>
    <w:rsid w:val="00C73FD5"/>
    <w:rsid w:val="00C74033"/>
    <w:rsid w:val="00C7406A"/>
    <w:rsid w:val="00C741CB"/>
    <w:rsid w:val="00C743CD"/>
    <w:rsid w:val="00C743E0"/>
    <w:rsid w:val="00C74585"/>
    <w:rsid w:val="00C746DF"/>
    <w:rsid w:val="00C74711"/>
    <w:rsid w:val="00C74761"/>
    <w:rsid w:val="00C7482F"/>
    <w:rsid w:val="00C7484A"/>
    <w:rsid w:val="00C74B63"/>
    <w:rsid w:val="00C74B9B"/>
    <w:rsid w:val="00C74E94"/>
    <w:rsid w:val="00C74E96"/>
    <w:rsid w:val="00C752B6"/>
    <w:rsid w:val="00C75383"/>
    <w:rsid w:val="00C754E6"/>
    <w:rsid w:val="00C7557F"/>
    <w:rsid w:val="00C755E5"/>
    <w:rsid w:val="00C758A6"/>
    <w:rsid w:val="00C75C78"/>
    <w:rsid w:val="00C75D28"/>
    <w:rsid w:val="00C7644E"/>
    <w:rsid w:val="00C7649A"/>
    <w:rsid w:val="00C7689D"/>
    <w:rsid w:val="00C76B9D"/>
    <w:rsid w:val="00C76C02"/>
    <w:rsid w:val="00C76D06"/>
    <w:rsid w:val="00C76DB0"/>
    <w:rsid w:val="00C76E30"/>
    <w:rsid w:val="00C76E88"/>
    <w:rsid w:val="00C76F4B"/>
    <w:rsid w:val="00C76FBC"/>
    <w:rsid w:val="00C77183"/>
    <w:rsid w:val="00C7741C"/>
    <w:rsid w:val="00C77571"/>
    <w:rsid w:val="00C77595"/>
    <w:rsid w:val="00C77640"/>
    <w:rsid w:val="00C7782E"/>
    <w:rsid w:val="00C7796F"/>
    <w:rsid w:val="00C77A03"/>
    <w:rsid w:val="00C77D9A"/>
    <w:rsid w:val="00C77EEF"/>
    <w:rsid w:val="00C77FE5"/>
    <w:rsid w:val="00C801B1"/>
    <w:rsid w:val="00C80367"/>
    <w:rsid w:val="00C803E2"/>
    <w:rsid w:val="00C804BE"/>
    <w:rsid w:val="00C80573"/>
    <w:rsid w:val="00C80650"/>
    <w:rsid w:val="00C80888"/>
    <w:rsid w:val="00C80899"/>
    <w:rsid w:val="00C80982"/>
    <w:rsid w:val="00C809D8"/>
    <w:rsid w:val="00C80B5B"/>
    <w:rsid w:val="00C80C3C"/>
    <w:rsid w:val="00C80E9C"/>
    <w:rsid w:val="00C80F09"/>
    <w:rsid w:val="00C81170"/>
    <w:rsid w:val="00C811C8"/>
    <w:rsid w:val="00C812E6"/>
    <w:rsid w:val="00C813EA"/>
    <w:rsid w:val="00C81501"/>
    <w:rsid w:val="00C815FD"/>
    <w:rsid w:val="00C816CE"/>
    <w:rsid w:val="00C81BB5"/>
    <w:rsid w:val="00C81C83"/>
    <w:rsid w:val="00C81CDA"/>
    <w:rsid w:val="00C81D41"/>
    <w:rsid w:val="00C81E91"/>
    <w:rsid w:val="00C81ECE"/>
    <w:rsid w:val="00C81EE2"/>
    <w:rsid w:val="00C820BB"/>
    <w:rsid w:val="00C820EF"/>
    <w:rsid w:val="00C82214"/>
    <w:rsid w:val="00C82324"/>
    <w:rsid w:val="00C82353"/>
    <w:rsid w:val="00C8242F"/>
    <w:rsid w:val="00C82476"/>
    <w:rsid w:val="00C82690"/>
    <w:rsid w:val="00C828AD"/>
    <w:rsid w:val="00C828C1"/>
    <w:rsid w:val="00C829D2"/>
    <w:rsid w:val="00C82A5B"/>
    <w:rsid w:val="00C82AAC"/>
    <w:rsid w:val="00C82B04"/>
    <w:rsid w:val="00C82BF5"/>
    <w:rsid w:val="00C82C41"/>
    <w:rsid w:val="00C82C8A"/>
    <w:rsid w:val="00C82D5C"/>
    <w:rsid w:val="00C82F7A"/>
    <w:rsid w:val="00C82FAF"/>
    <w:rsid w:val="00C8306B"/>
    <w:rsid w:val="00C8314C"/>
    <w:rsid w:val="00C831C7"/>
    <w:rsid w:val="00C8329F"/>
    <w:rsid w:val="00C83357"/>
    <w:rsid w:val="00C8347D"/>
    <w:rsid w:val="00C836FF"/>
    <w:rsid w:val="00C83792"/>
    <w:rsid w:val="00C838E3"/>
    <w:rsid w:val="00C838F3"/>
    <w:rsid w:val="00C838FD"/>
    <w:rsid w:val="00C8395B"/>
    <w:rsid w:val="00C83998"/>
    <w:rsid w:val="00C839D5"/>
    <w:rsid w:val="00C83B21"/>
    <w:rsid w:val="00C83CA4"/>
    <w:rsid w:val="00C83DF7"/>
    <w:rsid w:val="00C83E1B"/>
    <w:rsid w:val="00C83FB1"/>
    <w:rsid w:val="00C841CC"/>
    <w:rsid w:val="00C84382"/>
    <w:rsid w:val="00C844CF"/>
    <w:rsid w:val="00C84559"/>
    <w:rsid w:val="00C846DA"/>
    <w:rsid w:val="00C846FB"/>
    <w:rsid w:val="00C84A0D"/>
    <w:rsid w:val="00C84A0F"/>
    <w:rsid w:val="00C84ACC"/>
    <w:rsid w:val="00C84DEE"/>
    <w:rsid w:val="00C84E43"/>
    <w:rsid w:val="00C84E5B"/>
    <w:rsid w:val="00C85057"/>
    <w:rsid w:val="00C850D9"/>
    <w:rsid w:val="00C851D0"/>
    <w:rsid w:val="00C853D1"/>
    <w:rsid w:val="00C854A8"/>
    <w:rsid w:val="00C85599"/>
    <w:rsid w:val="00C85675"/>
    <w:rsid w:val="00C8571E"/>
    <w:rsid w:val="00C858F0"/>
    <w:rsid w:val="00C8599F"/>
    <w:rsid w:val="00C859A6"/>
    <w:rsid w:val="00C859EC"/>
    <w:rsid w:val="00C85A3C"/>
    <w:rsid w:val="00C85C45"/>
    <w:rsid w:val="00C85E33"/>
    <w:rsid w:val="00C85E91"/>
    <w:rsid w:val="00C85F7D"/>
    <w:rsid w:val="00C85FD2"/>
    <w:rsid w:val="00C863D3"/>
    <w:rsid w:val="00C863E9"/>
    <w:rsid w:val="00C8642C"/>
    <w:rsid w:val="00C864E5"/>
    <w:rsid w:val="00C865B5"/>
    <w:rsid w:val="00C866E1"/>
    <w:rsid w:val="00C86735"/>
    <w:rsid w:val="00C8684E"/>
    <w:rsid w:val="00C868EF"/>
    <w:rsid w:val="00C86931"/>
    <w:rsid w:val="00C86957"/>
    <w:rsid w:val="00C869F8"/>
    <w:rsid w:val="00C86AE9"/>
    <w:rsid w:val="00C86DDB"/>
    <w:rsid w:val="00C8709C"/>
    <w:rsid w:val="00C87224"/>
    <w:rsid w:val="00C873C6"/>
    <w:rsid w:val="00C874D6"/>
    <w:rsid w:val="00C8761B"/>
    <w:rsid w:val="00C8768E"/>
    <w:rsid w:val="00C87743"/>
    <w:rsid w:val="00C87745"/>
    <w:rsid w:val="00C87853"/>
    <w:rsid w:val="00C8791C"/>
    <w:rsid w:val="00C87BE0"/>
    <w:rsid w:val="00C87CB3"/>
    <w:rsid w:val="00C87DDD"/>
    <w:rsid w:val="00C87DED"/>
    <w:rsid w:val="00C87E09"/>
    <w:rsid w:val="00C87EE0"/>
    <w:rsid w:val="00C87F9D"/>
    <w:rsid w:val="00C90055"/>
    <w:rsid w:val="00C90379"/>
    <w:rsid w:val="00C903BE"/>
    <w:rsid w:val="00C904A1"/>
    <w:rsid w:val="00C9059E"/>
    <w:rsid w:val="00C905E3"/>
    <w:rsid w:val="00C907AD"/>
    <w:rsid w:val="00C9086F"/>
    <w:rsid w:val="00C908B0"/>
    <w:rsid w:val="00C9093F"/>
    <w:rsid w:val="00C90965"/>
    <w:rsid w:val="00C909A3"/>
    <w:rsid w:val="00C90A13"/>
    <w:rsid w:val="00C90B9F"/>
    <w:rsid w:val="00C90C21"/>
    <w:rsid w:val="00C90DF5"/>
    <w:rsid w:val="00C90E7E"/>
    <w:rsid w:val="00C9101A"/>
    <w:rsid w:val="00C9106C"/>
    <w:rsid w:val="00C910F8"/>
    <w:rsid w:val="00C911DC"/>
    <w:rsid w:val="00C912E0"/>
    <w:rsid w:val="00C9142A"/>
    <w:rsid w:val="00C9162E"/>
    <w:rsid w:val="00C917DC"/>
    <w:rsid w:val="00C91911"/>
    <w:rsid w:val="00C91BD4"/>
    <w:rsid w:val="00C91F39"/>
    <w:rsid w:val="00C91F53"/>
    <w:rsid w:val="00C91FC1"/>
    <w:rsid w:val="00C91FF4"/>
    <w:rsid w:val="00C9224B"/>
    <w:rsid w:val="00C92275"/>
    <w:rsid w:val="00C92362"/>
    <w:rsid w:val="00C923EF"/>
    <w:rsid w:val="00C9243F"/>
    <w:rsid w:val="00C925F7"/>
    <w:rsid w:val="00C9278B"/>
    <w:rsid w:val="00C9288F"/>
    <w:rsid w:val="00C92D55"/>
    <w:rsid w:val="00C92DB7"/>
    <w:rsid w:val="00C92DEF"/>
    <w:rsid w:val="00C92ECD"/>
    <w:rsid w:val="00C92EE6"/>
    <w:rsid w:val="00C92F4D"/>
    <w:rsid w:val="00C93040"/>
    <w:rsid w:val="00C930A0"/>
    <w:rsid w:val="00C931D1"/>
    <w:rsid w:val="00C93342"/>
    <w:rsid w:val="00C933A6"/>
    <w:rsid w:val="00C93664"/>
    <w:rsid w:val="00C93861"/>
    <w:rsid w:val="00C9388B"/>
    <w:rsid w:val="00C93954"/>
    <w:rsid w:val="00C93A85"/>
    <w:rsid w:val="00C93AEB"/>
    <w:rsid w:val="00C93D22"/>
    <w:rsid w:val="00C93E01"/>
    <w:rsid w:val="00C93E25"/>
    <w:rsid w:val="00C93E30"/>
    <w:rsid w:val="00C93F73"/>
    <w:rsid w:val="00C94164"/>
    <w:rsid w:val="00C941AA"/>
    <w:rsid w:val="00C9421D"/>
    <w:rsid w:val="00C94297"/>
    <w:rsid w:val="00C942CF"/>
    <w:rsid w:val="00C9436C"/>
    <w:rsid w:val="00C94727"/>
    <w:rsid w:val="00C947C2"/>
    <w:rsid w:val="00C9481F"/>
    <w:rsid w:val="00C94878"/>
    <w:rsid w:val="00C948C9"/>
    <w:rsid w:val="00C94CEB"/>
    <w:rsid w:val="00C94D09"/>
    <w:rsid w:val="00C94D9A"/>
    <w:rsid w:val="00C94E44"/>
    <w:rsid w:val="00C9507A"/>
    <w:rsid w:val="00C95202"/>
    <w:rsid w:val="00C952C7"/>
    <w:rsid w:val="00C95472"/>
    <w:rsid w:val="00C9555B"/>
    <w:rsid w:val="00C9593D"/>
    <w:rsid w:val="00C959F2"/>
    <w:rsid w:val="00C95A95"/>
    <w:rsid w:val="00C95AE3"/>
    <w:rsid w:val="00C95B5C"/>
    <w:rsid w:val="00C95C8F"/>
    <w:rsid w:val="00C95E90"/>
    <w:rsid w:val="00C95EE1"/>
    <w:rsid w:val="00C960E7"/>
    <w:rsid w:val="00C96194"/>
    <w:rsid w:val="00C962C2"/>
    <w:rsid w:val="00C9657D"/>
    <w:rsid w:val="00C965BB"/>
    <w:rsid w:val="00C9661C"/>
    <w:rsid w:val="00C96627"/>
    <w:rsid w:val="00C9668C"/>
    <w:rsid w:val="00C966B5"/>
    <w:rsid w:val="00C9678F"/>
    <w:rsid w:val="00C96793"/>
    <w:rsid w:val="00C968D9"/>
    <w:rsid w:val="00C96909"/>
    <w:rsid w:val="00C96911"/>
    <w:rsid w:val="00C9693C"/>
    <w:rsid w:val="00C96B40"/>
    <w:rsid w:val="00C96BB3"/>
    <w:rsid w:val="00C96C45"/>
    <w:rsid w:val="00C96CD0"/>
    <w:rsid w:val="00C96E00"/>
    <w:rsid w:val="00C96E9D"/>
    <w:rsid w:val="00C96ECB"/>
    <w:rsid w:val="00C96F73"/>
    <w:rsid w:val="00C9730A"/>
    <w:rsid w:val="00C97323"/>
    <w:rsid w:val="00C97387"/>
    <w:rsid w:val="00C97521"/>
    <w:rsid w:val="00C97630"/>
    <w:rsid w:val="00C976C0"/>
    <w:rsid w:val="00C9777D"/>
    <w:rsid w:val="00C97797"/>
    <w:rsid w:val="00C977C1"/>
    <w:rsid w:val="00C9783D"/>
    <w:rsid w:val="00C97851"/>
    <w:rsid w:val="00C97AB0"/>
    <w:rsid w:val="00C97BE0"/>
    <w:rsid w:val="00C97DA9"/>
    <w:rsid w:val="00C97DDD"/>
    <w:rsid w:val="00C97E13"/>
    <w:rsid w:val="00C97EB6"/>
    <w:rsid w:val="00C9B37C"/>
    <w:rsid w:val="00CA00A2"/>
    <w:rsid w:val="00CA00D8"/>
    <w:rsid w:val="00CA04D3"/>
    <w:rsid w:val="00CA0555"/>
    <w:rsid w:val="00CA0561"/>
    <w:rsid w:val="00CA0662"/>
    <w:rsid w:val="00CA0699"/>
    <w:rsid w:val="00CA0743"/>
    <w:rsid w:val="00CA0782"/>
    <w:rsid w:val="00CA0A8E"/>
    <w:rsid w:val="00CA0EE2"/>
    <w:rsid w:val="00CA0FEA"/>
    <w:rsid w:val="00CA1212"/>
    <w:rsid w:val="00CA1297"/>
    <w:rsid w:val="00CA1393"/>
    <w:rsid w:val="00CA162B"/>
    <w:rsid w:val="00CA1776"/>
    <w:rsid w:val="00CA1897"/>
    <w:rsid w:val="00CA190F"/>
    <w:rsid w:val="00CA1947"/>
    <w:rsid w:val="00CA19C6"/>
    <w:rsid w:val="00CA1ABE"/>
    <w:rsid w:val="00CA1E62"/>
    <w:rsid w:val="00CA1F4F"/>
    <w:rsid w:val="00CA1F8F"/>
    <w:rsid w:val="00CA201F"/>
    <w:rsid w:val="00CA2095"/>
    <w:rsid w:val="00CA222D"/>
    <w:rsid w:val="00CA2243"/>
    <w:rsid w:val="00CA22E7"/>
    <w:rsid w:val="00CA2550"/>
    <w:rsid w:val="00CA2720"/>
    <w:rsid w:val="00CA272C"/>
    <w:rsid w:val="00CA2758"/>
    <w:rsid w:val="00CA275B"/>
    <w:rsid w:val="00CA280C"/>
    <w:rsid w:val="00CA2A70"/>
    <w:rsid w:val="00CA2B85"/>
    <w:rsid w:val="00CA2C7E"/>
    <w:rsid w:val="00CA2CFD"/>
    <w:rsid w:val="00CA2E9A"/>
    <w:rsid w:val="00CA2EC1"/>
    <w:rsid w:val="00CA32BF"/>
    <w:rsid w:val="00CA32D4"/>
    <w:rsid w:val="00CA3324"/>
    <w:rsid w:val="00CA3419"/>
    <w:rsid w:val="00CA3485"/>
    <w:rsid w:val="00CA35FC"/>
    <w:rsid w:val="00CA3698"/>
    <w:rsid w:val="00CA388D"/>
    <w:rsid w:val="00CA39B4"/>
    <w:rsid w:val="00CA39C0"/>
    <w:rsid w:val="00CA3C27"/>
    <w:rsid w:val="00CA3D49"/>
    <w:rsid w:val="00CA3E56"/>
    <w:rsid w:val="00CA3E61"/>
    <w:rsid w:val="00CA3FB4"/>
    <w:rsid w:val="00CA3FDA"/>
    <w:rsid w:val="00CA3FF8"/>
    <w:rsid w:val="00CA4105"/>
    <w:rsid w:val="00CA4137"/>
    <w:rsid w:val="00CA41F5"/>
    <w:rsid w:val="00CA43EC"/>
    <w:rsid w:val="00CA462B"/>
    <w:rsid w:val="00CA4668"/>
    <w:rsid w:val="00CA46AF"/>
    <w:rsid w:val="00CA46FB"/>
    <w:rsid w:val="00CA4A96"/>
    <w:rsid w:val="00CA4BEB"/>
    <w:rsid w:val="00CA4D87"/>
    <w:rsid w:val="00CA4F13"/>
    <w:rsid w:val="00CA5341"/>
    <w:rsid w:val="00CA53CE"/>
    <w:rsid w:val="00CA5484"/>
    <w:rsid w:val="00CA58B3"/>
    <w:rsid w:val="00CA5ADC"/>
    <w:rsid w:val="00CA5BC9"/>
    <w:rsid w:val="00CA5D8B"/>
    <w:rsid w:val="00CA5E91"/>
    <w:rsid w:val="00CA5FC2"/>
    <w:rsid w:val="00CA606C"/>
    <w:rsid w:val="00CA60D6"/>
    <w:rsid w:val="00CA60DB"/>
    <w:rsid w:val="00CA647D"/>
    <w:rsid w:val="00CA6520"/>
    <w:rsid w:val="00CA655D"/>
    <w:rsid w:val="00CA65A2"/>
    <w:rsid w:val="00CA65B7"/>
    <w:rsid w:val="00CA660F"/>
    <w:rsid w:val="00CA6734"/>
    <w:rsid w:val="00CA67E4"/>
    <w:rsid w:val="00CA67FC"/>
    <w:rsid w:val="00CA68D3"/>
    <w:rsid w:val="00CA68D8"/>
    <w:rsid w:val="00CA68E9"/>
    <w:rsid w:val="00CA6993"/>
    <w:rsid w:val="00CA6F2B"/>
    <w:rsid w:val="00CA6F6F"/>
    <w:rsid w:val="00CA7027"/>
    <w:rsid w:val="00CA7089"/>
    <w:rsid w:val="00CA70F3"/>
    <w:rsid w:val="00CA7113"/>
    <w:rsid w:val="00CA73AE"/>
    <w:rsid w:val="00CA74A5"/>
    <w:rsid w:val="00CA7555"/>
    <w:rsid w:val="00CA75E3"/>
    <w:rsid w:val="00CA76CF"/>
    <w:rsid w:val="00CA7703"/>
    <w:rsid w:val="00CA770F"/>
    <w:rsid w:val="00CA77BA"/>
    <w:rsid w:val="00CA7913"/>
    <w:rsid w:val="00CA7972"/>
    <w:rsid w:val="00CA7A48"/>
    <w:rsid w:val="00CA7A62"/>
    <w:rsid w:val="00CA7B51"/>
    <w:rsid w:val="00CA7BA8"/>
    <w:rsid w:val="00CA7EA4"/>
    <w:rsid w:val="00CAE5B1"/>
    <w:rsid w:val="00CB0101"/>
    <w:rsid w:val="00CB0361"/>
    <w:rsid w:val="00CB03E0"/>
    <w:rsid w:val="00CB04AF"/>
    <w:rsid w:val="00CB04F7"/>
    <w:rsid w:val="00CB0615"/>
    <w:rsid w:val="00CB07E0"/>
    <w:rsid w:val="00CB08C2"/>
    <w:rsid w:val="00CB08C7"/>
    <w:rsid w:val="00CB0922"/>
    <w:rsid w:val="00CB0954"/>
    <w:rsid w:val="00CB09CE"/>
    <w:rsid w:val="00CB0A9E"/>
    <w:rsid w:val="00CB0B52"/>
    <w:rsid w:val="00CB0B76"/>
    <w:rsid w:val="00CB0CBE"/>
    <w:rsid w:val="00CB0EA3"/>
    <w:rsid w:val="00CB0F2A"/>
    <w:rsid w:val="00CB0F37"/>
    <w:rsid w:val="00CB0FE9"/>
    <w:rsid w:val="00CB11A7"/>
    <w:rsid w:val="00CB1296"/>
    <w:rsid w:val="00CB132B"/>
    <w:rsid w:val="00CB170C"/>
    <w:rsid w:val="00CB17E8"/>
    <w:rsid w:val="00CB1974"/>
    <w:rsid w:val="00CB1A33"/>
    <w:rsid w:val="00CB1A4C"/>
    <w:rsid w:val="00CB1C4C"/>
    <w:rsid w:val="00CB1D47"/>
    <w:rsid w:val="00CB1E30"/>
    <w:rsid w:val="00CB1F03"/>
    <w:rsid w:val="00CB2215"/>
    <w:rsid w:val="00CB2258"/>
    <w:rsid w:val="00CB226F"/>
    <w:rsid w:val="00CB2270"/>
    <w:rsid w:val="00CB23CD"/>
    <w:rsid w:val="00CB2478"/>
    <w:rsid w:val="00CB24B2"/>
    <w:rsid w:val="00CB25A8"/>
    <w:rsid w:val="00CB2619"/>
    <w:rsid w:val="00CB2686"/>
    <w:rsid w:val="00CB2923"/>
    <w:rsid w:val="00CB2A71"/>
    <w:rsid w:val="00CB2AC9"/>
    <w:rsid w:val="00CB2B5A"/>
    <w:rsid w:val="00CB2CBD"/>
    <w:rsid w:val="00CB2CC7"/>
    <w:rsid w:val="00CB2D73"/>
    <w:rsid w:val="00CB2E5D"/>
    <w:rsid w:val="00CB2FC0"/>
    <w:rsid w:val="00CB2FE9"/>
    <w:rsid w:val="00CB3069"/>
    <w:rsid w:val="00CB3077"/>
    <w:rsid w:val="00CB3221"/>
    <w:rsid w:val="00CB3503"/>
    <w:rsid w:val="00CB35C3"/>
    <w:rsid w:val="00CB368A"/>
    <w:rsid w:val="00CB37C4"/>
    <w:rsid w:val="00CB392C"/>
    <w:rsid w:val="00CB3D75"/>
    <w:rsid w:val="00CB3DE5"/>
    <w:rsid w:val="00CB3E37"/>
    <w:rsid w:val="00CB4066"/>
    <w:rsid w:val="00CB409A"/>
    <w:rsid w:val="00CB40AB"/>
    <w:rsid w:val="00CB414C"/>
    <w:rsid w:val="00CB41E1"/>
    <w:rsid w:val="00CB45D0"/>
    <w:rsid w:val="00CB45F4"/>
    <w:rsid w:val="00CB4703"/>
    <w:rsid w:val="00CB4838"/>
    <w:rsid w:val="00CB48C9"/>
    <w:rsid w:val="00CB4906"/>
    <w:rsid w:val="00CB4985"/>
    <w:rsid w:val="00CB4C87"/>
    <w:rsid w:val="00CB4D08"/>
    <w:rsid w:val="00CB4E0B"/>
    <w:rsid w:val="00CB4E27"/>
    <w:rsid w:val="00CB4E92"/>
    <w:rsid w:val="00CB50A6"/>
    <w:rsid w:val="00CB50D7"/>
    <w:rsid w:val="00CB51C4"/>
    <w:rsid w:val="00CB5200"/>
    <w:rsid w:val="00CB5337"/>
    <w:rsid w:val="00CB5370"/>
    <w:rsid w:val="00CB5394"/>
    <w:rsid w:val="00CB560F"/>
    <w:rsid w:val="00CB571D"/>
    <w:rsid w:val="00CB57CC"/>
    <w:rsid w:val="00CB5A5C"/>
    <w:rsid w:val="00CB5B19"/>
    <w:rsid w:val="00CB5BE0"/>
    <w:rsid w:val="00CB5C1F"/>
    <w:rsid w:val="00CB5DBD"/>
    <w:rsid w:val="00CB5F67"/>
    <w:rsid w:val="00CB631B"/>
    <w:rsid w:val="00CB63AC"/>
    <w:rsid w:val="00CB646B"/>
    <w:rsid w:val="00CB668D"/>
    <w:rsid w:val="00CB66DD"/>
    <w:rsid w:val="00CB66F7"/>
    <w:rsid w:val="00CB6718"/>
    <w:rsid w:val="00CB6868"/>
    <w:rsid w:val="00CB6923"/>
    <w:rsid w:val="00CB6978"/>
    <w:rsid w:val="00CB6A67"/>
    <w:rsid w:val="00CB6AA5"/>
    <w:rsid w:val="00CB6ABD"/>
    <w:rsid w:val="00CB6C7F"/>
    <w:rsid w:val="00CB6D25"/>
    <w:rsid w:val="00CB6D51"/>
    <w:rsid w:val="00CB6F96"/>
    <w:rsid w:val="00CB700C"/>
    <w:rsid w:val="00CB734D"/>
    <w:rsid w:val="00CB7425"/>
    <w:rsid w:val="00CB7570"/>
    <w:rsid w:val="00CB76BB"/>
    <w:rsid w:val="00CB770D"/>
    <w:rsid w:val="00CB7846"/>
    <w:rsid w:val="00CB79DE"/>
    <w:rsid w:val="00CB7A1C"/>
    <w:rsid w:val="00CB7A20"/>
    <w:rsid w:val="00CB7B50"/>
    <w:rsid w:val="00CB7B7D"/>
    <w:rsid w:val="00CB7C71"/>
    <w:rsid w:val="00CC004B"/>
    <w:rsid w:val="00CC007A"/>
    <w:rsid w:val="00CC00E6"/>
    <w:rsid w:val="00CC026B"/>
    <w:rsid w:val="00CC02A0"/>
    <w:rsid w:val="00CC031B"/>
    <w:rsid w:val="00CC04FE"/>
    <w:rsid w:val="00CC054D"/>
    <w:rsid w:val="00CC0643"/>
    <w:rsid w:val="00CC0697"/>
    <w:rsid w:val="00CC06E7"/>
    <w:rsid w:val="00CC06F0"/>
    <w:rsid w:val="00CC07BD"/>
    <w:rsid w:val="00CC0889"/>
    <w:rsid w:val="00CC0948"/>
    <w:rsid w:val="00CC09B7"/>
    <w:rsid w:val="00CC0A3A"/>
    <w:rsid w:val="00CC0AE3"/>
    <w:rsid w:val="00CC0FBF"/>
    <w:rsid w:val="00CC0FF0"/>
    <w:rsid w:val="00CC11C6"/>
    <w:rsid w:val="00CC12BB"/>
    <w:rsid w:val="00CC13BE"/>
    <w:rsid w:val="00CC14BB"/>
    <w:rsid w:val="00CC1998"/>
    <w:rsid w:val="00CC19B4"/>
    <w:rsid w:val="00CC19C9"/>
    <w:rsid w:val="00CC1CD1"/>
    <w:rsid w:val="00CC1DAE"/>
    <w:rsid w:val="00CC1DD9"/>
    <w:rsid w:val="00CC1F6C"/>
    <w:rsid w:val="00CC1F95"/>
    <w:rsid w:val="00CC21DB"/>
    <w:rsid w:val="00CC239C"/>
    <w:rsid w:val="00CC25B6"/>
    <w:rsid w:val="00CC2643"/>
    <w:rsid w:val="00CC2671"/>
    <w:rsid w:val="00CC2674"/>
    <w:rsid w:val="00CC26B2"/>
    <w:rsid w:val="00CC26F1"/>
    <w:rsid w:val="00CC2A7C"/>
    <w:rsid w:val="00CC2A82"/>
    <w:rsid w:val="00CC2AEC"/>
    <w:rsid w:val="00CC2B0B"/>
    <w:rsid w:val="00CC2D77"/>
    <w:rsid w:val="00CC2DA2"/>
    <w:rsid w:val="00CC2FF3"/>
    <w:rsid w:val="00CC31AF"/>
    <w:rsid w:val="00CC31CC"/>
    <w:rsid w:val="00CC3254"/>
    <w:rsid w:val="00CC32C5"/>
    <w:rsid w:val="00CC34A7"/>
    <w:rsid w:val="00CC35EA"/>
    <w:rsid w:val="00CC37A8"/>
    <w:rsid w:val="00CC3C98"/>
    <w:rsid w:val="00CC3FF6"/>
    <w:rsid w:val="00CC40B6"/>
    <w:rsid w:val="00CC428C"/>
    <w:rsid w:val="00CC436A"/>
    <w:rsid w:val="00CC4464"/>
    <w:rsid w:val="00CC44CC"/>
    <w:rsid w:val="00CC455F"/>
    <w:rsid w:val="00CC480F"/>
    <w:rsid w:val="00CC4997"/>
    <w:rsid w:val="00CC49BE"/>
    <w:rsid w:val="00CC4C41"/>
    <w:rsid w:val="00CC4FDF"/>
    <w:rsid w:val="00CC5045"/>
    <w:rsid w:val="00CC5073"/>
    <w:rsid w:val="00CC512A"/>
    <w:rsid w:val="00CC52EE"/>
    <w:rsid w:val="00CC52F2"/>
    <w:rsid w:val="00CC5357"/>
    <w:rsid w:val="00CC55BA"/>
    <w:rsid w:val="00CC58D4"/>
    <w:rsid w:val="00CC5A15"/>
    <w:rsid w:val="00CC5A87"/>
    <w:rsid w:val="00CC5B7E"/>
    <w:rsid w:val="00CC5CA6"/>
    <w:rsid w:val="00CC5CE2"/>
    <w:rsid w:val="00CC5D12"/>
    <w:rsid w:val="00CC5F0E"/>
    <w:rsid w:val="00CC60A5"/>
    <w:rsid w:val="00CC6239"/>
    <w:rsid w:val="00CC62CF"/>
    <w:rsid w:val="00CC63AA"/>
    <w:rsid w:val="00CC63B9"/>
    <w:rsid w:val="00CC6430"/>
    <w:rsid w:val="00CC6779"/>
    <w:rsid w:val="00CC6859"/>
    <w:rsid w:val="00CC69F4"/>
    <w:rsid w:val="00CC6BD3"/>
    <w:rsid w:val="00CC6CBA"/>
    <w:rsid w:val="00CC6CC9"/>
    <w:rsid w:val="00CC6D72"/>
    <w:rsid w:val="00CC6DF1"/>
    <w:rsid w:val="00CC6E27"/>
    <w:rsid w:val="00CC6E2F"/>
    <w:rsid w:val="00CC6F63"/>
    <w:rsid w:val="00CC7073"/>
    <w:rsid w:val="00CC7089"/>
    <w:rsid w:val="00CC70F1"/>
    <w:rsid w:val="00CC7321"/>
    <w:rsid w:val="00CC7413"/>
    <w:rsid w:val="00CC7472"/>
    <w:rsid w:val="00CC748F"/>
    <w:rsid w:val="00CC74F1"/>
    <w:rsid w:val="00CC75E8"/>
    <w:rsid w:val="00CC75F8"/>
    <w:rsid w:val="00CC7656"/>
    <w:rsid w:val="00CC77C7"/>
    <w:rsid w:val="00CC77DA"/>
    <w:rsid w:val="00CC78EB"/>
    <w:rsid w:val="00CC7BAA"/>
    <w:rsid w:val="00CC7C49"/>
    <w:rsid w:val="00CC7CAB"/>
    <w:rsid w:val="00CC7D6E"/>
    <w:rsid w:val="00CC7D78"/>
    <w:rsid w:val="00CC7DF8"/>
    <w:rsid w:val="00CC7F4A"/>
    <w:rsid w:val="00CC7FFD"/>
    <w:rsid w:val="00CD01D8"/>
    <w:rsid w:val="00CD02CE"/>
    <w:rsid w:val="00CD034D"/>
    <w:rsid w:val="00CD0383"/>
    <w:rsid w:val="00CD043E"/>
    <w:rsid w:val="00CD04BD"/>
    <w:rsid w:val="00CD055E"/>
    <w:rsid w:val="00CD07E2"/>
    <w:rsid w:val="00CD0842"/>
    <w:rsid w:val="00CD087C"/>
    <w:rsid w:val="00CD0C6E"/>
    <w:rsid w:val="00CD0D0F"/>
    <w:rsid w:val="00CD0EAD"/>
    <w:rsid w:val="00CD1090"/>
    <w:rsid w:val="00CD10B6"/>
    <w:rsid w:val="00CD10C3"/>
    <w:rsid w:val="00CD11F1"/>
    <w:rsid w:val="00CD1219"/>
    <w:rsid w:val="00CD126B"/>
    <w:rsid w:val="00CD1433"/>
    <w:rsid w:val="00CD155E"/>
    <w:rsid w:val="00CD158B"/>
    <w:rsid w:val="00CD1738"/>
    <w:rsid w:val="00CD181E"/>
    <w:rsid w:val="00CD18A3"/>
    <w:rsid w:val="00CD1902"/>
    <w:rsid w:val="00CD1944"/>
    <w:rsid w:val="00CD1B67"/>
    <w:rsid w:val="00CD1BFE"/>
    <w:rsid w:val="00CD1CAD"/>
    <w:rsid w:val="00CD1DD1"/>
    <w:rsid w:val="00CD204A"/>
    <w:rsid w:val="00CD23F2"/>
    <w:rsid w:val="00CD2741"/>
    <w:rsid w:val="00CD2746"/>
    <w:rsid w:val="00CD28FD"/>
    <w:rsid w:val="00CD2A57"/>
    <w:rsid w:val="00CD2A78"/>
    <w:rsid w:val="00CD2B3D"/>
    <w:rsid w:val="00CD2C19"/>
    <w:rsid w:val="00CD2FAA"/>
    <w:rsid w:val="00CD30A2"/>
    <w:rsid w:val="00CD30DC"/>
    <w:rsid w:val="00CD31F6"/>
    <w:rsid w:val="00CD3225"/>
    <w:rsid w:val="00CD3269"/>
    <w:rsid w:val="00CD32EF"/>
    <w:rsid w:val="00CD330E"/>
    <w:rsid w:val="00CD3357"/>
    <w:rsid w:val="00CD335D"/>
    <w:rsid w:val="00CD34F4"/>
    <w:rsid w:val="00CD3537"/>
    <w:rsid w:val="00CD3554"/>
    <w:rsid w:val="00CD3615"/>
    <w:rsid w:val="00CD363F"/>
    <w:rsid w:val="00CD36DB"/>
    <w:rsid w:val="00CD3876"/>
    <w:rsid w:val="00CD38D8"/>
    <w:rsid w:val="00CD396B"/>
    <w:rsid w:val="00CD3A13"/>
    <w:rsid w:val="00CD3A3D"/>
    <w:rsid w:val="00CD3B3A"/>
    <w:rsid w:val="00CD3BD5"/>
    <w:rsid w:val="00CD3DDE"/>
    <w:rsid w:val="00CD40E5"/>
    <w:rsid w:val="00CD4146"/>
    <w:rsid w:val="00CD462F"/>
    <w:rsid w:val="00CD473F"/>
    <w:rsid w:val="00CD47D1"/>
    <w:rsid w:val="00CD49D3"/>
    <w:rsid w:val="00CD4FD3"/>
    <w:rsid w:val="00CD5191"/>
    <w:rsid w:val="00CD55D9"/>
    <w:rsid w:val="00CD55DF"/>
    <w:rsid w:val="00CD5915"/>
    <w:rsid w:val="00CD59C6"/>
    <w:rsid w:val="00CD5F5D"/>
    <w:rsid w:val="00CD6448"/>
    <w:rsid w:val="00CD6528"/>
    <w:rsid w:val="00CD653E"/>
    <w:rsid w:val="00CD6542"/>
    <w:rsid w:val="00CD660D"/>
    <w:rsid w:val="00CD6873"/>
    <w:rsid w:val="00CD69D3"/>
    <w:rsid w:val="00CD6A80"/>
    <w:rsid w:val="00CD6B2F"/>
    <w:rsid w:val="00CD6B92"/>
    <w:rsid w:val="00CD6D00"/>
    <w:rsid w:val="00CD6D47"/>
    <w:rsid w:val="00CD6D7F"/>
    <w:rsid w:val="00CD6DB2"/>
    <w:rsid w:val="00CD6E73"/>
    <w:rsid w:val="00CD7056"/>
    <w:rsid w:val="00CD7153"/>
    <w:rsid w:val="00CD7189"/>
    <w:rsid w:val="00CD71E1"/>
    <w:rsid w:val="00CD722E"/>
    <w:rsid w:val="00CD72F9"/>
    <w:rsid w:val="00CD7374"/>
    <w:rsid w:val="00CD73C2"/>
    <w:rsid w:val="00CD73F0"/>
    <w:rsid w:val="00CD7406"/>
    <w:rsid w:val="00CD7659"/>
    <w:rsid w:val="00CD76AF"/>
    <w:rsid w:val="00CD7780"/>
    <w:rsid w:val="00CD77AD"/>
    <w:rsid w:val="00CD7839"/>
    <w:rsid w:val="00CD79E4"/>
    <w:rsid w:val="00CD7AED"/>
    <w:rsid w:val="00CD7BBA"/>
    <w:rsid w:val="00CD7F97"/>
    <w:rsid w:val="00CE00B0"/>
    <w:rsid w:val="00CE0189"/>
    <w:rsid w:val="00CE01E5"/>
    <w:rsid w:val="00CE040C"/>
    <w:rsid w:val="00CE04CE"/>
    <w:rsid w:val="00CE05C6"/>
    <w:rsid w:val="00CE0703"/>
    <w:rsid w:val="00CE0720"/>
    <w:rsid w:val="00CE0753"/>
    <w:rsid w:val="00CE076D"/>
    <w:rsid w:val="00CE07E8"/>
    <w:rsid w:val="00CE0816"/>
    <w:rsid w:val="00CE0885"/>
    <w:rsid w:val="00CE0C04"/>
    <w:rsid w:val="00CE0CCA"/>
    <w:rsid w:val="00CE0D7F"/>
    <w:rsid w:val="00CE0E21"/>
    <w:rsid w:val="00CE0E88"/>
    <w:rsid w:val="00CE0F01"/>
    <w:rsid w:val="00CE1081"/>
    <w:rsid w:val="00CE10C4"/>
    <w:rsid w:val="00CE1170"/>
    <w:rsid w:val="00CE121D"/>
    <w:rsid w:val="00CE1287"/>
    <w:rsid w:val="00CE137B"/>
    <w:rsid w:val="00CE1B64"/>
    <w:rsid w:val="00CE1C90"/>
    <w:rsid w:val="00CE1DBA"/>
    <w:rsid w:val="00CE1DC6"/>
    <w:rsid w:val="00CE1F03"/>
    <w:rsid w:val="00CE1F44"/>
    <w:rsid w:val="00CE1FA9"/>
    <w:rsid w:val="00CE2029"/>
    <w:rsid w:val="00CE21AA"/>
    <w:rsid w:val="00CE2667"/>
    <w:rsid w:val="00CE268A"/>
    <w:rsid w:val="00CE2967"/>
    <w:rsid w:val="00CE2AAB"/>
    <w:rsid w:val="00CE2ABC"/>
    <w:rsid w:val="00CE2D53"/>
    <w:rsid w:val="00CE2DDE"/>
    <w:rsid w:val="00CE2E84"/>
    <w:rsid w:val="00CE2EDD"/>
    <w:rsid w:val="00CE2F1A"/>
    <w:rsid w:val="00CE2F59"/>
    <w:rsid w:val="00CE2F61"/>
    <w:rsid w:val="00CE3031"/>
    <w:rsid w:val="00CE3154"/>
    <w:rsid w:val="00CE324F"/>
    <w:rsid w:val="00CE32AB"/>
    <w:rsid w:val="00CE32C6"/>
    <w:rsid w:val="00CE341B"/>
    <w:rsid w:val="00CE3517"/>
    <w:rsid w:val="00CE3595"/>
    <w:rsid w:val="00CE3623"/>
    <w:rsid w:val="00CE3986"/>
    <w:rsid w:val="00CE3A20"/>
    <w:rsid w:val="00CE3E51"/>
    <w:rsid w:val="00CE3FE9"/>
    <w:rsid w:val="00CE40D0"/>
    <w:rsid w:val="00CE420A"/>
    <w:rsid w:val="00CE445C"/>
    <w:rsid w:val="00CE447E"/>
    <w:rsid w:val="00CE477B"/>
    <w:rsid w:val="00CE4A1F"/>
    <w:rsid w:val="00CE4A61"/>
    <w:rsid w:val="00CE4B7F"/>
    <w:rsid w:val="00CE4DD1"/>
    <w:rsid w:val="00CE4E02"/>
    <w:rsid w:val="00CE5055"/>
    <w:rsid w:val="00CE510B"/>
    <w:rsid w:val="00CE5172"/>
    <w:rsid w:val="00CE51CA"/>
    <w:rsid w:val="00CE5248"/>
    <w:rsid w:val="00CE53CF"/>
    <w:rsid w:val="00CE5418"/>
    <w:rsid w:val="00CE55B7"/>
    <w:rsid w:val="00CE59A3"/>
    <w:rsid w:val="00CE59F3"/>
    <w:rsid w:val="00CE5AF9"/>
    <w:rsid w:val="00CE5BBC"/>
    <w:rsid w:val="00CE5D17"/>
    <w:rsid w:val="00CE5D49"/>
    <w:rsid w:val="00CE5D58"/>
    <w:rsid w:val="00CE5F29"/>
    <w:rsid w:val="00CE605E"/>
    <w:rsid w:val="00CE6069"/>
    <w:rsid w:val="00CE60A6"/>
    <w:rsid w:val="00CE612E"/>
    <w:rsid w:val="00CE648D"/>
    <w:rsid w:val="00CE64D8"/>
    <w:rsid w:val="00CE65B8"/>
    <w:rsid w:val="00CE65D7"/>
    <w:rsid w:val="00CE66F2"/>
    <w:rsid w:val="00CE6769"/>
    <w:rsid w:val="00CE681C"/>
    <w:rsid w:val="00CE6834"/>
    <w:rsid w:val="00CE689D"/>
    <w:rsid w:val="00CE68C3"/>
    <w:rsid w:val="00CE696E"/>
    <w:rsid w:val="00CE69C9"/>
    <w:rsid w:val="00CE6AD0"/>
    <w:rsid w:val="00CE6B04"/>
    <w:rsid w:val="00CE6BA5"/>
    <w:rsid w:val="00CE6C08"/>
    <w:rsid w:val="00CE6C45"/>
    <w:rsid w:val="00CE6C70"/>
    <w:rsid w:val="00CE6E84"/>
    <w:rsid w:val="00CE70D6"/>
    <w:rsid w:val="00CE72C8"/>
    <w:rsid w:val="00CE7305"/>
    <w:rsid w:val="00CE7698"/>
    <w:rsid w:val="00CE7852"/>
    <w:rsid w:val="00CE789D"/>
    <w:rsid w:val="00CE791B"/>
    <w:rsid w:val="00CE797A"/>
    <w:rsid w:val="00CE79F0"/>
    <w:rsid w:val="00CE7AC0"/>
    <w:rsid w:val="00CE7AC8"/>
    <w:rsid w:val="00CE7C89"/>
    <w:rsid w:val="00CE7C93"/>
    <w:rsid w:val="00CE7E69"/>
    <w:rsid w:val="00CE7F41"/>
    <w:rsid w:val="00CF02B0"/>
    <w:rsid w:val="00CF0387"/>
    <w:rsid w:val="00CF03E6"/>
    <w:rsid w:val="00CF046F"/>
    <w:rsid w:val="00CF0A4F"/>
    <w:rsid w:val="00CF0A7E"/>
    <w:rsid w:val="00CF0CCB"/>
    <w:rsid w:val="00CF0D24"/>
    <w:rsid w:val="00CF0DA1"/>
    <w:rsid w:val="00CF0E18"/>
    <w:rsid w:val="00CF0E94"/>
    <w:rsid w:val="00CF0EE9"/>
    <w:rsid w:val="00CF106E"/>
    <w:rsid w:val="00CF110D"/>
    <w:rsid w:val="00CF112F"/>
    <w:rsid w:val="00CF125A"/>
    <w:rsid w:val="00CF138D"/>
    <w:rsid w:val="00CF150E"/>
    <w:rsid w:val="00CF1552"/>
    <w:rsid w:val="00CF161A"/>
    <w:rsid w:val="00CF1863"/>
    <w:rsid w:val="00CF1A7B"/>
    <w:rsid w:val="00CF1BD0"/>
    <w:rsid w:val="00CF1C05"/>
    <w:rsid w:val="00CF1CE9"/>
    <w:rsid w:val="00CF243D"/>
    <w:rsid w:val="00CF2444"/>
    <w:rsid w:val="00CF290A"/>
    <w:rsid w:val="00CF29C6"/>
    <w:rsid w:val="00CF29D9"/>
    <w:rsid w:val="00CF2B19"/>
    <w:rsid w:val="00CF2C29"/>
    <w:rsid w:val="00CF2F7E"/>
    <w:rsid w:val="00CF30A1"/>
    <w:rsid w:val="00CF30D3"/>
    <w:rsid w:val="00CF34A7"/>
    <w:rsid w:val="00CF34D1"/>
    <w:rsid w:val="00CF3516"/>
    <w:rsid w:val="00CF3610"/>
    <w:rsid w:val="00CF36B9"/>
    <w:rsid w:val="00CF374E"/>
    <w:rsid w:val="00CF384F"/>
    <w:rsid w:val="00CF38A1"/>
    <w:rsid w:val="00CF39B4"/>
    <w:rsid w:val="00CF3A8A"/>
    <w:rsid w:val="00CF3AB1"/>
    <w:rsid w:val="00CF3AC7"/>
    <w:rsid w:val="00CF401D"/>
    <w:rsid w:val="00CF4087"/>
    <w:rsid w:val="00CF44B5"/>
    <w:rsid w:val="00CF451F"/>
    <w:rsid w:val="00CF4523"/>
    <w:rsid w:val="00CF45BC"/>
    <w:rsid w:val="00CF4874"/>
    <w:rsid w:val="00CF49AD"/>
    <w:rsid w:val="00CF4A29"/>
    <w:rsid w:val="00CF4AD0"/>
    <w:rsid w:val="00CF4D4F"/>
    <w:rsid w:val="00CF4D8F"/>
    <w:rsid w:val="00CF5001"/>
    <w:rsid w:val="00CF505F"/>
    <w:rsid w:val="00CF5303"/>
    <w:rsid w:val="00CF55B4"/>
    <w:rsid w:val="00CF56B2"/>
    <w:rsid w:val="00CF5A63"/>
    <w:rsid w:val="00CF5BC3"/>
    <w:rsid w:val="00CF5C48"/>
    <w:rsid w:val="00CF5D0A"/>
    <w:rsid w:val="00CF5E4D"/>
    <w:rsid w:val="00CF5F1A"/>
    <w:rsid w:val="00CF6279"/>
    <w:rsid w:val="00CF628B"/>
    <w:rsid w:val="00CF631A"/>
    <w:rsid w:val="00CF6453"/>
    <w:rsid w:val="00CF6481"/>
    <w:rsid w:val="00CF64B7"/>
    <w:rsid w:val="00CF6594"/>
    <w:rsid w:val="00CF6599"/>
    <w:rsid w:val="00CF65FA"/>
    <w:rsid w:val="00CF6673"/>
    <w:rsid w:val="00CF67E0"/>
    <w:rsid w:val="00CF6929"/>
    <w:rsid w:val="00CF6971"/>
    <w:rsid w:val="00CF6AC8"/>
    <w:rsid w:val="00CF6B79"/>
    <w:rsid w:val="00CF6C74"/>
    <w:rsid w:val="00CF6CA1"/>
    <w:rsid w:val="00CF718F"/>
    <w:rsid w:val="00CF7218"/>
    <w:rsid w:val="00CF72CE"/>
    <w:rsid w:val="00CF7443"/>
    <w:rsid w:val="00CF7579"/>
    <w:rsid w:val="00CF7591"/>
    <w:rsid w:val="00CF759C"/>
    <w:rsid w:val="00CF763A"/>
    <w:rsid w:val="00CF7700"/>
    <w:rsid w:val="00CF770E"/>
    <w:rsid w:val="00CF777F"/>
    <w:rsid w:val="00CF7835"/>
    <w:rsid w:val="00CF783C"/>
    <w:rsid w:val="00CF79CF"/>
    <w:rsid w:val="00CF7A3D"/>
    <w:rsid w:val="00CF7AB3"/>
    <w:rsid w:val="00CF7AB7"/>
    <w:rsid w:val="00CF7B15"/>
    <w:rsid w:val="00CF7D82"/>
    <w:rsid w:val="00D00048"/>
    <w:rsid w:val="00D00107"/>
    <w:rsid w:val="00D001C3"/>
    <w:rsid w:val="00D00270"/>
    <w:rsid w:val="00D002EB"/>
    <w:rsid w:val="00D003F8"/>
    <w:rsid w:val="00D0050D"/>
    <w:rsid w:val="00D0055E"/>
    <w:rsid w:val="00D00694"/>
    <w:rsid w:val="00D0092A"/>
    <w:rsid w:val="00D0094E"/>
    <w:rsid w:val="00D00A91"/>
    <w:rsid w:val="00D00AD4"/>
    <w:rsid w:val="00D00BAC"/>
    <w:rsid w:val="00D00BBA"/>
    <w:rsid w:val="00D00E17"/>
    <w:rsid w:val="00D01068"/>
    <w:rsid w:val="00D01069"/>
    <w:rsid w:val="00D010AE"/>
    <w:rsid w:val="00D010C9"/>
    <w:rsid w:val="00D0121F"/>
    <w:rsid w:val="00D0124F"/>
    <w:rsid w:val="00D0158A"/>
    <w:rsid w:val="00D01598"/>
    <w:rsid w:val="00D01626"/>
    <w:rsid w:val="00D01852"/>
    <w:rsid w:val="00D018E4"/>
    <w:rsid w:val="00D01A41"/>
    <w:rsid w:val="00D01D53"/>
    <w:rsid w:val="00D01D62"/>
    <w:rsid w:val="00D01F0A"/>
    <w:rsid w:val="00D01F52"/>
    <w:rsid w:val="00D01FBE"/>
    <w:rsid w:val="00D020AD"/>
    <w:rsid w:val="00D02454"/>
    <w:rsid w:val="00D024AD"/>
    <w:rsid w:val="00D0265D"/>
    <w:rsid w:val="00D026B3"/>
    <w:rsid w:val="00D028A4"/>
    <w:rsid w:val="00D028AB"/>
    <w:rsid w:val="00D028F8"/>
    <w:rsid w:val="00D02949"/>
    <w:rsid w:val="00D02961"/>
    <w:rsid w:val="00D02AB8"/>
    <w:rsid w:val="00D02B3A"/>
    <w:rsid w:val="00D02B45"/>
    <w:rsid w:val="00D02C0C"/>
    <w:rsid w:val="00D02D06"/>
    <w:rsid w:val="00D02E2B"/>
    <w:rsid w:val="00D02E79"/>
    <w:rsid w:val="00D02FA5"/>
    <w:rsid w:val="00D030C4"/>
    <w:rsid w:val="00D030DE"/>
    <w:rsid w:val="00D0319A"/>
    <w:rsid w:val="00D03269"/>
    <w:rsid w:val="00D032D9"/>
    <w:rsid w:val="00D03352"/>
    <w:rsid w:val="00D033AD"/>
    <w:rsid w:val="00D03587"/>
    <w:rsid w:val="00D035F8"/>
    <w:rsid w:val="00D03645"/>
    <w:rsid w:val="00D03A7D"/>
    <w:rsid w:val="00D03AD9"/>
    <w:rsid w:val="00D03C3D"/>
    <w:rsid w:val="00D04054"/>
    <w:rsid w:val="00D0405A"/>
    <w:rsid w:val="00D044BC"/>
    <w:rsid w:val="00D04551"/>
    <w:rsid w:val="00D045FE"/>
    <w:rsid w:val="00D0491D"/>
    <w:rsid w:val="00D04931"/>
    <w:rsid w:val="00D0495E"/>
    <w:rsid w:val="00D04A8A"/>
    <w:rsid w:val="00D04BC6"/>
    <w:rsid w:val="00D04C1A"/>
    <w:rsid w:val="00D04C43"/>
    <w:rsid w:val="00D04CEF"/>
    <w:rsid w:val="00D04D5F"/>
    <w:rsid w:val="00D04E16"/>
    <w:rsid w:val="00D04E7F"/>
    <w:rsid w:val="00D051B6"/>
    <w:rsid w:val="00D054BD"/>
    <w:rsid w:val="00D055DF"/>
    <w:rsid w:val="00D057C8"/>
    <w:rsid w:val="00D058FF"/>
    <w:rsid w:val="00D05A84"/>
    <w:rsid w:val="00D05ADD"/>
    <w:rsid w:val="00D05BED"/>
    <w:rsid w:val="00D05D4B"/>
    <w:rsid w:val="00D061E5"/>
    <w:rsid w:val="00D061F9"/>
    <w:rsid w:val="00D06436"/>
    <w:rsid w:val="00D065E6"/>
    <w:rsid w:val="00D06640"/>
    <w:rsid w:val="00D06693"/>
    <w:rsid w:val="00D06935"/>
    <w:rsid w:val="00D06A65"/>
    <w:rsid w:val="00D06A6F"/>
    <w:rsid w:val="00D06B1D"/>
    <w:rsid w:val="00D06B54"/>
    <w:rsid w:val="00D06C10"/>
    <w:rsid w:val="00D06E00"/>
    <w:rsid w:val="00D0700E"/>
    <w:rsid w:val="00D0706E"/>
    <w:rsid w:val="00D0747A"/>
    <w:rsid w:val="00D07579"/>
    <w:rsid w:val="00D075A1"/>
    <w:rsid w:val="00D07609"/>
    <w:rsid w:val="00D07620"/>
    <w:rsid w:val="00D07711"/>
    <w:rsid w:val="00D07746"/>
    <w:rsid w:val="00D07944"/>
    <w:rsid w:val="00D07A4E"/>
    <w:rsid w:val="00D07ACD"/>
    <w:rsid w:val="00D07C44"/>
    <w:rsid w:val="00D07FE4"/>
    <w:rsid w:val="00D1019E"/>
    <w:rsid w:val="00D102D2"/>
    <w:rsid w:val="00D103A2"/>
    <w:rsid w:val="00D104C0"/>
    <w:rsid w:val="00D1052B"/>
    <w:rsid w:val="00D105A6"/>
    <w:rsid w:val="00D10682"/>
    <w:rsid w:val="00D10887"/>
    <w:rsid w:val="00D10D3A"/>
    <w:rsid w:val="00D10EEB"/>
    <w:rsid w:val="00D10F4D"/>
    <w:rsid w:val="00D1104E"/>
    <w:rsid w:val="00D1113D"/>
    <w:rsid w:val="00D11331"/>
    <w:rsid w:val="00D11439"/>
    <w:rsid w:val="00D114E8"/>
    <w:rsid w:val="00D1150E"/>
    <w:rsid w:val="00D116BE"/>
    <w:rsid w:val="00D11868"/>
    <w:rsid w:val="00D11B7C"/>
    <w:rsid w:val="00D11EAE"/>
    <w:rsid w:val="00D12022"/>
    <w:rsid w:val="00D12032"/>
    <w:rsid w:val="00D12260"/>
    <w:rsid w:val="00D124E9"/>
    <w:rsid w:val="00D12584"/>
    <w:rsid w:val="00D125C2"/>
    <w:rsid w:val="00D12632"/>
    <w:rsid w:val="00D12867"/>
    <w:rsid w:val="00D128E7"/>
    <w:rsid w:val="00D12B25"/>
    <w:rsid w:val="00D12D55"/>
    <w:rsid w:val="00D13110"/>
    <w:rsid w:val="00D1348D"/>
    <w:rsid w:val="00D135C5"/>
    <w:rsid w:val="00D135D3"/>
    <w:rsid w:val="00D13660"/>
    <w:rsid w:val="00D1373E"/>
    <w:rsid w:val="00D13821"/>
    <w:rsid w:val="00D13824"/>
    <w:rsid w:val="00D13D3E"/>
    <w:rsid w:val="00D13EDD"/>
    <w:rsid w:val="00D14184"/>
    <w:rsid w:val="00D14213"/>
    <w:rsid w:val="00D1428B"/>
    <w:rsid w:val="00D144C3"/>
    <w:rsid w:val="00D1451A"/>
    <w:rsid w:val="00D14590"/>
    <w:rsid w:val="00D14706"/>
    <w:rsid w:val="00D14898"/>
    <w:rsid w:val="00D14AB6"/>
    <w:rsid w:val="00D14B39"/>
    <w:rsid w:val="00D14C1A"/>
    <w:rsid w:val="00D14DFB"/>
    <w:rsid w:val="00D14EBD"/>
    <w:rsid w:val="00D14F3F"/>
    <w:rsid w:val="00D1504B"/>
    <w:rsid w:val="00D15189"/>
    <w:rsid w:val="00D15257"/>
    <w:rsid w:val="00D152A3"/>
    <w:rsid w:val="00D1543D"/>
    <w:rsid w:val="00D156D2"/>
    <w:rsid w:val="00D15802"/>
    <w:rsid w:val="00D15C24"/>
    <w:rsid w:val="00D15CDD"/>
    <w:rsid w:val="00D15DDB"/>
    <w:rsid w:val="00D15E21"/>
    <w:rsid w:val="00D160BE"/>
    <w:rsid w:val="00D16183"/>
    <w:rsid w:val="00D162C4"/>
    <w:rsid w:val="00D16312"/>
    <w:rsid w:val="00D16323"/>
    <w:rsid w:val="00D163C5"/>
    <w:rsid w:val="00D1645D"/>
    <w:rsid w:val="00D164C8"/>
    <w:rsid w:val="00D166D6"/>
    <w:rsid w:val="00D167A6"/>
    <w:rsid w:val="00D167E0"/>
    <w:rsid w:val="00D167EB"/>
    <w:rsid w:val="00D1681E"/>
    <w:rsid w:val="00D1685D"/>
    <w:rsid w:val="00D16942"/>
    <w:rsid w:val="00D16B0A"/>
    <w:rsid w:val="00D16B31"/>
    <w:rsid w:val="00D16B47"/>
    <w:rsid w:val="00D16BE0"/>
    <w:rsid w:val="00D16DA0"/>
    <w:rsid w:val="00D16F13"/>
    <w:rsid w:val="00D17046"/>
    <w:rsid w:val="00D172E7"/>
    <w:rsid w:val="00D17660"/>
    <w:rsid w:val="00D17709"/>
    <w:rsid w:val="00D1776E"/>
    <w:rsid w:val="00D17ABE"/>
    <w:rsid w:val="00D17CDE"/>
    <w:rsid w:val="00D17E77"/>
    <w:rsid w:val="00D17EA5"/>
    <w:rsid w:val="00D17F54"/>
    <w:rsid w:val="00D17F8A"/>
    <w:rsid w:val="00D200E6"/>
    <w:rsid w:val="00D20106"/>
    <w:rsid w:val="00D2010B"/>
    <w:rsid w:val="00D20120"/>
    <w:rsid w:val="00D201B8"/>
    <w:rsid w:val="00D20292"/>
    <w:rsid w:val="00D20321"/>
    <w:rsid w:val="00D2094E"/>
    <w:rsid w:val="00D20B1E"/>
    <w:rsid w:val="00D20B54"/>
    <w:rsid w:val="00D20C6B"/>
    <w:rsid w:val="00D20C84"/>
    <w:rsid w:val="00D20EB3"/>
    <w:rsid w:val="00D20F74"/>
    <w:rsid w:val="00D20FE6"/>
    <w:rsid w:val="00D20FFC"/>
    <w:rsid w:val="00D2109E"/>
    <w:rsid w:val="00D21237"/>
    <w:rsid w:val="00D2154C"/>
    <w:rsid w:val="00D2158C"/>
    <w:rsid w:val="00D21621"/>
    <w:rsid w:val="00D21734"/>
    <w:rsid w:val="00D2179F"/>
    <w:rsid w:val="00D2182B"/>
    <w:rsid w:val="00D21837"/>
    <w:rsid w:val="00D218AA"/>
    <w:rsid w:val="00D21910"/>
    <w:rsid w:val="00D2192B"/>
    <w:rsid w:val="00D21C58"/>
    <w:rsid w:val="00D21FD2"/>
    <w:rsid w:val="00D21FEA"/>
    <w:rsid w:val="00D2202F"/>
    <w:rsid w:val="00D22243"/>
    <w:rsid w:val="00D222C5"/>
    <w:rsid w:val="00D222F6"/>
    <w:rsid w:val="00D22469"/>
    <w:rsid w:val="00D22908"/>
    <w:rsid w:val="00D22949"/>
    <w:rsid w:val="00D22973"/>
    <w:rsid w:val="00D22AB9"/>
    <w:rsid w:val="00D22C79"/>
    <w:rsid w:val="00D22CB5"/>
    <w:rsid w:val="00D22CFC"/>
    <w:rsid w:val="00D23162"/>
    <w:rsid w:val="00D2325B"/>
    <w:rsid w:val="00D232F1"/>
    <w:rsid w:val="00D2356D"/>
    <w:rsid w:val="00D23AA4"/>
    <w:rsid w:val="00D23B00"/>
    <w:rsid w:val="00D23BDB"/>
    <w:rsid w:val="00D23C73"/>
    <w:rsid w:val="00D23D31"/>
    <w:rsid w:val="00D23EB2"/>
    <w:rsid w:val="00D23F88"/>
    <w:rsid w:val="00D240F5"/>
    <w:rsid w:val="00D241A4"/>
    <w:rsid w:val="00D2436A"/>
    <w:rsid w:val="00D24626"/>
    <w:rsid w:val="00D248BE"/>
    <w:rsid w:val="00D249E0"/>
    <w:rsid w:val="00D249EF"/>
    <w:rsid w:val="00D24A85"/>
    <w:rsid w:val="00D24AA5"/>
    <w:rsid w:val="00D24EF4"/>
    <w:rsid w:val="00D24F9E"/>
    <w:rsid w:val="00D250C9"/>
    <w:rsid w:val="00D251F2"/>
    <w:rsid w:val="00D25276"/>
    <w:rsid w:val="00D2566D"/>
    <w:rsid w:val="00D2574A"/>
    <w:rsid w:val="00D2596E"/>
    <w:rsid w:val="00D25A1C"/>
    <w:rsid w:val="00D25B14"/>
    <w:rsid w:val="00D25B43"/>
    <w:rsid w:val="00D25D27"/>
    <w:rsid w:val="00D25D45"/>
    <w:rsid w:val="00D25D5A"/>
    <w:rsid w:val="00D25E2E"/>
    <w:rsid w:val="00D25E42"/>
    <w:rsid w:val="00D25E68"/>
    <w:rsid w:val="00D25F48"/>
    <w:rsid w:val="00D261C2"/>
    <w:rsid w:val="00D261CC"/>
    <w:rsid w:val="00D263EF"/>
    <w:rsid w:val="00D2647E"/>
    <w:rsid w:val="00D26498"/>
    <w:rsid w:val="00D26533"/>
    <w:rsid w:val="00D2654C"/>
    <w:rsid w:val="00D26833"/>
    <w:rsid w:val="00D269D0"/>
    <w:rsid w:val="00D26DC2"/>
    <w:rsid w:val="00D26DF3"/>
    <w:rsid w:val="00D26E43"/>
    <w:rsid w:val="00D26FFA"/>
    <w:rsid w:val="00D271D0"/>
    <w:rsid w:val="00D271DA"/>
    <w:rsid w:val="00D272FE"/>
    <w:rsid w:val="00D27341"/>
    <w:rsid w:val="00D273B5"/>
    <w:rsid w:val="00D273EA"/>
    <w:rsid w:val="00D27424"/>
    <w:rsid w:val="00D27434"/>
    <w:rsid w:val="00D274FE"/>
    <w:rsid w:val="00D276F5"/>
    <w:rsid w:val="00D277B3"/>
    <w:rsid w:val="00D277EF"/>
    <w:rsid w:val="00D2785A"/>
    <w:rsid w:val="00D27924"/>
    <w:rsid w:val="00D2794A"/>
    <w:rsid w:val="00D27A32"/>
    <w:rsid w:val="00D27C62"/>
    <w:rsid w:val="00D3019D"/>
    <w:rsid w:val="00D30280"/>
    <w:rsid w:val="00D30706"/>
    <w:rsid w:val="00D30A2C"/>
    <w:rsid w:val="00D30C31"/>
    <w:rsid w:val="00D30CEF"/>
    <w:rsid w:val="00D30DBB"/>
    <w:rsid w:val="00D30E47"/>
    <w:rsid w:val="00D30E57"/>
    <w:rsid w:val="00D3106C"/>
    <w:rsid w:val="00D31157"/>
    <w:rsid w:val="00D3169B"/>
    <w:rsid w:val="00D317A4"/>
    <w:rsid w:val="00D31853"/>
    <w:rsid w:val="00D3190F"/>
    <w:rsid w:val="00D31A71"/>
    <w:rsid w:val="00D31B0D"/>
    <w:rsid w:val="00D31B42"/>
    <w:rsid w:val="00D31D3B"/>
    <w:rsid w:val="00D31F0B"/>
    <w:rsid w:val="00D320D9"/>
    <w:rsid w:val="00D3214F"/>
    <w:rsid w:val="00D32304"/>
    <w:rsid w:val="00D32310"/>
    <w:rsid w:val="00D32459"/>
    <w:rsid w:val="00D325F2"/>
    <w:rsid w:val="00D32665"/>
    <w:rsid w:val="00D32727"/>
    <w:rsid w:val="00D32837"/>
    <w:rsid w:val="00D32A62"/>
    <w:rsid w:val="00D32AAC"/>
    <w:rsid w:val="00D32BFA"/>
    <w:rsid w:val="00D32C16"/>
    <w:rsid w:val="00D32C91"/>
    <w:rsid w:val="00D32E35"/>
    <w:rsid w:val="00D32F1A"/>
    <w:rsid w:val="00D32F81"/>
    <w:rsid w:val="00D32FA0"/>
    <w:rsid w:val="00D32FEC"/>
    <w:rsid w:val="00D33010"/>
    <w:rsid w:val="00D33157"/>
    <w:rsid w:val="00D33237"/>
    <w:rsid w:val="00D332CF"/>
    <w:rsid w:val="00D33388"/>
    <w:rsid w:val="00D33421"/>
    <w:rsid w:val="00D33492"/>
    <w:rsid w:val="00D334AE"/>
    <w:rsid w:val="00D336E4"/>
    <w:rsid w:val="00D33A27"/>
    <w:rsid w:val="00D33A85"/>
    <w:rsid w:val="00D33C4A"/>
    <w:rsid w:val="00D33CF2"/>
    <w:rsid w:val="00D33E4F"/>
    <w:rsid w:val="00D33ECE"/>
    <w:rsid w:val="00D33EE1"/>
    <w:rsid w:val="00D33F7F"/>
    <w:rsid w:val="00D33FBE"/>
    <w:rsid w:val="00D342FF"/>
    <w:rsid w:val="00D34445"/>
    <w:rsid w:val="00D3451A"/>
    <w:rsid w:val="00D348E1"/>
    <w:rsid w:val="00D3498D"/>
    <w:rsid w:val="00D34B7B"/>
    <w:rsid w:val="00D34BC7"/>
    <w:rsid w:val="00D34C86"/>
    <w:rsid w:val="00D34F0D"/>
    <w:rsid w:val="00D3512E"/>
    <w:rsid w:val="00D35490"/>
    <w:rsid w:val="00D35635"/>
    <w:rsid w:val="00D35698"/>
    <w:rsid w:val="00D3575B"/>
    <w:rsid w:val="00D357B0"/>
    <w:rsid w:val="00D35904"/>
    <w:rsid w:val="00D3593E"/>
    <w:rsid w:val="00D35B0A"/>
    <w:rsid w:val="00D35BC9"/>
    <w:rsid w:val="00D35E61"/>
    <w:rsid w:val="00D35FD7"/>
    <w:rsid w:val="00D361C4"/>
    <w:rsid w:val="00D361F3"/>
    <w:rsid w:val="00D36238"/>
    <w:rsid w:val="00D36346"/>
    <w:rsid w:val="00D36380"/>
    <w:rsid w:val="00D363ED"/>
    <w:rsid w:val="00D36408"/>
    <w:rsid w:val="00D36560"/>
    <w:rsid w:val="00D36617"/>
    <w:rsid w:val="00D3673A"/>
    <w:rsid w:val="00D36790"/>
    <w:rsid w:val="00D3686B"/>
    <w:rsid w:val="00D36998"/>
    <w:rsid w:val="00D369B3"/>
    <w:rsid w:val="00D36B30"/>
    <w:rsid w:val="00D36C22"/>
    <w:rsid w:val="00D36CA3"/>
    <w:rsid w:val="00D36CCF"/>
    <w:rsid w:val="00D36DC4"/>
    <w:rsid w:val="00D36DD0"/>
    <w:rsid w:val="00D36EE2"/>
    <w:rsid w:val="00D36F9A"/>
    <w:rsid w:val="00D37012"/>
    <w:rsid w:val="00D3701D"/>
    <w:rsid w:val="00D370A3"/>
    <w:rsid w:val="00D372FE"/>
    <w:rsid w:val="00D3730D"/>
    <w:rsid w:val="00D37350"/>
    <w:rsid w:val="00D37559"/>
    <w:rsid w:val="00D3767E"/>
    <w:rsid w:val="00D376A5"/>
    <w:rsid w:val="00D37866"/>
    <w:rsid w:val="00D37A70"/>
    <w:rsid w:val="00D37AC0"/>
    <w:rsid w:val="00D37EC2"/>
    <w:rsid w:val="00D400BF"/>
    <w:rsid w:val="00D400EF"/>
    <w:rsid w:val="00D403CD"/>
    <w:rsid w:val="00D4046C"/>
    <w:rsid w:val="00D40541"/>
    <w:rsid w:val="00D406C9"/>
    <w:rsid w:val="00D40710"/>
    <w:rsid w:val="00D408C1"/>
    <w:rsid w:val="00D408EF"/>
    <w:rsid w:val="00D40AF7"/>
    <w:rsid w:val="00D40D28"/>
    <w:rsid w:val="00D40D51"/>
    <w:rsid w:val="00D40D61"/>
    <w:rsid w:val="00D40D9B"/>
    <w:rsid w:val="00D41182"/>
    <w:rsid w:val="00D41223"/>
    <w:rsid w:val="00D412E3"/>
    <w:rsid w:val="00D41762"/>
    <w:rsid w:val="00D41A3D"/>
    <w:rsid w:val="00D41C2E"/>
    <w:rsid w:val="00D41C42"/>
    <w:rsid w:val="00D41C66"/>
    <w:rsid w:val="00D41E93"/>
    <w:rsid w:val="00D41E9B"/>
    <w:rsid w:val="00D423D8"/>
    <w:rsid w:val="00D42532"/>
    <w:rsid w:val="00D42AAA"/>
    <w:rsid w:val="00D42B2B"/>
    <w:rsid w:val="00D42C9F"/>
    <w:rsid w:val="00D42CF8"/>
    <w:rsid w:val="00D42EE5"/>
    <w:rsid w:val="00D43264"/>
    <w:rsid w:val="00D433A7"/>
    <w:rsid w:val="00D4343F"/>
    <w:rsid w:val="00D43477"/>
    <w:rsid w:val="00D43525"/>
    <w:rsid w:val="00D43879"/>
    <w:rsid w:val="00D438E5"/>
    <w:rsid w:val="00D43993"/>
    <w:rsid w:val="00D439BC"/>
    <w:rsid w:val="00D43B2C"/>
    <w:rsid w:val="00D43C31"/>
    <w:rsid w:val="00D43CE2"/>
    <w:rsid w:val="00D43EB2"/>
    <w:rsid w:val="00D44157"/>
    <w:rsid w:val="00D4435A"/>
    <w:rsid w:val="00D443C7"/>
    <w:rsid w:val="00D4468E"/>
    <w:rsid w:val="00D446D7"/>
    <w:rsid w:val="00D44819"/>
    <w:rsid w:val="00D44989"/>
    <w:rsid w:val="00D449D8"/>
    <w:rsid w:val="00D44A5F"/>
    <w:rsid w:val="00D44A78"/>
    <w:rsid w:val="00D44AD3"/>
    <w:rsid w:val="00D44B24"/>
    <w:rsid w:val="00D44B9F"/>
    <w:rsid w:val="00D44D0C"/>
    <w:rsid w:val="00D44E2F"/>
    <w:rsid w:val="00D44E38"/>
    <w:rsid w:val="00D44EE2"/>
    <w:rsid w:val="00D44F02"/>
    <w:rsid w:val="00D44FD3"/>
    <w:rsid w:val="00D453ED"/>
    <w:rsid w:val="00D454CC"/>
    <w:rsid w:val="00D4569B"/>
    <w:rsid w:val="00D45737"/>
    <w:rsid w:val="00D45744"/>
    <w:rsid w:val="00D457F3"/>
    <w:rsid w:val="00D4582C"/>
    <w:rsid w:val="00D458DF"/>
    <w:rsid w:val="00D45D7D"/>
    <w:rsid w:val="00D45DDF"/>
    <w:rsid w:val="00D45F9E"/>
    <w:rsid w:val="00D45FF7"/>
    <w:rsid w:val="00D4601E"/>
    <w:rsid w:val="00D460B0"/>
    <w:rsid w:val="00D4623C"/>
    <w:rsid w:val="00D462A2"/>
    <w:rsid w:val="00D46458"/>
    <w:rsid w:val="00D464D4"/>
    <w:rsid w:val="00D46835"/>
    <w:rsid w:val="00D46928"/>
    <w:rsid w:val="00D46930"/>
    <w:rsid w:val="00D46A13"/>
    <w:rsid w:val="00D46A1B"/>
    <w:rsid w:val="00D46ADF"/>
    <w:rsid w:val="00D46C3A"/>
    <w:rsid w:val="00D46E61"/>
    <w:rsid w:val="00D4705F"/>
    <w:rsid w:val="00D474A9"/>
    <w:rsid w:val="00D47713"/>
    <w:rsid w:val="00D477B9"/>
    <w:rsid w:val="00D47BA3"/>
    <w:rsid w:val="00D47CA9"/>
    <w:rsid w:val="00D47CE2"/>
    <w:rsid w:val="00D47DF1"/>
    <w:rsid w:val="00D47E32"/>
    <w:rsid w:val="00D47EE6"/>
    <w:rsid w:val="00D50025"/>
    <w:rsid w:val="00D50342"/>
    <w:rsid w:val="00D50524"/>
    <w:rsid w:val="00D50556"/>
    <w:rsid w:val="00D5079E"/>
    <w:rsid w:val="00D507BB"/>
    <w:rsid w:val="00D50846"/>
    <w:rsid w:val="00D50867"/>
    <w:rsid w:val="00D5093C"/>
    <w:rsid w:val="00D50C29"/>
    <w:rsid w:val="00D50CC9"/>
    <w:rsid w:val="00D50D49"/>
    <w:rsid w:val="00D50DD0"/>
    <w:rsid w:val="00D50DFF"/>
    <w:rsid w:val="00D50FF3"/>
    <w:rsid w:val="00D511A6"/>
    <w:rsid w:val="00D51361"/>
    <w:rsid w:val="00D515BE"/>
    <w:rsid w:val="00D51753"/>
    <w:rsid w:val="00D517D1"/>
    <w:rsid w:val="00D51800"/>
    <w:rsid w:val="00D518BF"/>
    <w:rsid w:val="00D51C18"/>
    <w:rsid w:val="00D52191"/>
    <w:rsid w:val="00D521F0"/>
    <w:rsid w:val="00D52226"/>
    <w:rsid w:val="00D52261"/>
    <w:rsid w:val="00D523D8"/>
    <w:rsid w:val="00D524B7"/>
    <w:rsid w:val="00D525E8"/>
    <w:rsid w:val="00D52698"/>
    <w:rsid w:val="00D52788"/>
    <w:rsid w:val="00D528AB"/>
    <w:rsid w:val="00D52940"/>
    <w:rsid w:val="00D529BA"/>
    <w:rsid w:val="00D52AFA"/>
    <w:rsid w:val="00D52E69"/>
    <w:rsid w:val="00D52F7A"/>
    <w:rsid w:val="00D530C3"/>
    <w:rsid w:val="00D532B7"/>
    <w:rsid w:val="00D532EE"/>
    <w:rsid w:val="00D532F8"/>
    <w:rsid w:val="00D5344E"/>
    <w:rsid w:val="00D5365F"/>
    <w:rsid w:val="00D53BD1"/>
    <w:rsid w:val="00D53C43"/>
    <w:rsid w:val="00D53D62"/>
    <w:rsid w:val="00D53F02"/>
    <w:rsid w:val="00D542E5"/>
    <w:rsid w:val="00D5434C"/>
    <w:rsid w:val="00D5443A"/>
    <w:rsid w:val="00D544EA"/>
    <w:rsid w:val="00D5455C"/>
    <w:rsid w:val="00D5473A"/>
    <w:rsid w:val="00D54884"/>
    <w:rsid w:val="00D54920"/>
    <w:rsid w:val="00D549A8"/>
    <w:rsid w:val="00D54C4F"/>
    <w:rsid w:val="00D55174"/>
    <w:rsid w:val="00D551AD"/>
    <w:rsid w:val="00D551CF"/>
    <w:rsid w:val="00D555C4"/>
    <w:rsid w:val="00D555DD"/>
    <w:rsid w:val="00D55602"/>
    <w:rsid w:val="00D5561C"/>
    <w:rsid w:val="00D556A2"/>
    <w:rsid w:val="00D55752"/>
    <w:rsid w:val="00D55787"/>
    <w:rsid w:val="00D5588A"/>
    <w:rsid w:val="00D55ABF"/>
    <w:rsid w:val="00D55C70"/>
    <w:rsid w:val="00D55C7D"/>
    <w:rsid w:val="00D55D3B"/>
    <w:rsid w:val="00D55DDB"/>
    <w:rsid w:val="00D55F35"/>
    <w:rsid w:val="00D55F82"/>
    <w:rsid w:val="00D56046"/>
    <w:rsid w:val="00D560E7"/>
    <w:rsid w:val="00D5622F"/>
    <w:rsid w:val="00D563E7"/>
    <w:rsid w:val="00D563F9"/>
    <w:rsid w:val="00D568B2"/>
    <w:rsid w:val="00D569B7"/>
    <w:rsid w:val="00D56AD3"/>
    <w:rsid w:val="00D56BE1"/>
    <w:rsid w:val="00D56C0A"/>
    <w:rsid w:val="00D56CB8"/>
    <w:rsid w:val="00D56D01"/>
    <w:rsid w:val="00D56DF6"/>
    <w:rsid w:val="00D56E1F"/>
    <w:rsid w:val="00D57173"/>
    <w:rsid w:val="00D57502"/>
    <w:rsid w:val="00D576C3"/>
    <w:rsid w:val="00D57732"/>
    <w:rsid w:val="00D57A50"/>
    <w:rsid w:val="00D57C27"/>
    <w:rsid w:val="00D57C28"/>
    <w:rsid w:val="00D57D28"/>
    <w:rsid w:val="00D57DD5"/>
    <w:rsid w:val="00D57E21"/>
    <w:rsid w:val="00D57F29"/>
    <w:rsid w:val="00D57F79"/>
    <w:rsid w:val="00D60146"/>
    <w:rsid w:val="00D602C2"/>
    <w:rsid w:val="00D604D1"/>
    <w:rsid w:val="00D607C4"/>
    <w:rsid w:val="00D60A0A"/>
    <w:rsid w:val="00D60A50"/>
    <w:rsid w:val="00D60C8F"/>
    <w:rsid w:val="00D60D4E"/>
    <w:rsid w:val="00D60DAB"/>
    <w:rsid w:val="00D60E56"/>
    <w:rsid w:val="00D612CD"/>
    <w:rsid w:val="00D613EE"/>
    <w:rsid w:val="00D6151A"/>
    <w:rsid w:val="00D61620"/>
    <w:rsid w:val="00D616F5"/>
    <w:rsid w:val="00D61A85"/>
    <w:rsid w:val="00D61C08"/>
    <w:rsid w:val="00D61CB4"/>
    <w:rsid w:val="00D61FF3"/>
    <w:rsid w:val="00D62006"/>
    <w:rsid w:val="00D62175"/>
    <w:rsid w:val="00D6227D"/>
    <w:rsid w:val="00D62284"/>
    <w:rsid w:val="00D62441"/>
    <w:rsid w:val="00D62627"/>
    <w:rsid w:val="00D626AE"/>
    <w:rsid w:val="00D6270B"/>
    <w:rsid w:val="00D627B2"/>
    <w:rsid w:val="00D62BF2"/>
    <w:rsid w:val="00D62C38"/>
    <w:rsid w:val="00D62E1C"/>
    <w:rsid w:val="00D62F76"/>
    <w:rsid w:val="00D62FA6"/>
    <w:rsid w:val="00D63160"/>
    <w:rsid w:val="00D631AA"/>
    <w:rsid w:val="00D6321B"/>
    <w:rsid w:val="00D632AF"/>
    <w:rsid w:val="00D63833"/>
    <w:rsid w:val="00D63A1E"/>
    <w:rsid w:val="00D63BE7"/>
    <w:rsid w:val="00D63C68"/>
    <w:rsid w:val="00D63C85"/>
    <w:rsid w:val="00D64072"/>
    <w:rsid w:val="00D64282"/>
    <w:rsid w:val="00D642D8"/>
    <w:rsid w:val="00D6478C"/>
    <w:rsid w:val="00D647A6"/>
    <w:rsid w:val="00D6480D"/>
    <w:rsid w:val="00D64935"/>
    <w:rsid w:val="00D64AE4"/>
    <w:rsid w:val="00D64B5F"/>
    <w:rsid w:val="00D64E9C"/>
    <w:rsid w:val="00D64F17"/>
    <w:rsid w:val="00D64F57"/>
    <w:rsid w:val="00D650CE"/>
    <w:rsid w:val="00D650F0"/>
    <w:rsid w:val="00D65193"/>
    <w:rsid w:val="00D65256"/>
    <w:rsid w:val="00D6539B"/>
    <w:rsid w:val="00D6546A"/>
    <w:rsid w:val="00D654AC"/>
    <w:rsid w:val="00D65618"/>
    <w:rsid w:val="00D65641"/>
    <w:rsid w:val="00D6564F"/>
    <w:rsid w:val="00D65799"/>
    <w:rsid w:val="00D657FA"/>
    <w:rsid w:val="00D65868"/>
    <w:rsid w:val="00D65898"/>
    <w:rsid w:val="00D65982"/>
    <w:rsid w:val="00D65A54"/>
    <w:rsid w:val="00D65BE8"/>
    <w:rsid w:val="00D65C89"/>
    <w:rsid w:val="00D660EB"/>
    <w:rsid w:val="00D662EF"/>
    <w:rsid w:val="00D66334"/>
    <w:rsid w:val="00D66643"/>
    <w:rsid w:val="00D667B1"/>
    <w:rsid w:val="00D66980"/>
    <w:rsid w:val="00D669B1"/>
    <w:rsid w:val="00D66DF8"/>
    <w:rsid w:val="00D66F75"/>
    <w:rsid w:val="00D6703E"/>
    <w:rsid w:val="00D67119"/>
    <w:rsid w:val="00D671D6"/>
    <w:rsid w:val="00D67406"/>
    <w:rsid w:val="00D6740A"/>
    <w:rsid w:val="00D674FD"/>
    <w:rsid w:val="00D6756D"/>
    <w:rsid w:val="00D67592"/>
    <w:rsid w:val="00D677FE"/>
    <w:rsid w:val="00D67811"/>
    <w:rsid w:val="00D67CC8"/>
    <w:rsid w:val="00D67F10"/>
    <w:rsid w:val="00D67F21"/>
    <w:rsid w:val="00D70187"/>
    <w:rsid w:val="00D70212"/>
    <w:rsid w:val="00D7070B"/>
    <w:rsid w:val="00D70773"/>
    <w:rsid w:val="00D7082D"/>
    <w:rsid w:val="00D70926"/>
    <w:rsid w:val="00D70AD9"/>
    <w:rsid w:val="00D70C29"/>
    <w:rsid w:val="00D70C49"/>
    <w:rsid w:val="00D70C4D"/>
    <w:rsid w:val="00D70CB1"/>
    <w:rsid w:val="00D70CDA"/>
    <w:rsid w:val="00D70D62"/>
    <w:rsid w:val="00D71135"/>
    <w:rsid w:val="00D7117F"/>
    <w:rsid w:val="00D7142C"/>
    <w:rsid w:val="00D7147E"/>
    <w:rsid w:val="00D714D1"/>
    <w:rsid w:val="00D7171C"/>
    <w:rsid w:val="00D71763"/>
    <w:rsid w:val="00D717F4"/>
    <w:rsid w:val="00D719C4"/>
    <w:rsid w:val="00D71B65"/>
    <w:rsid w:val="00D71EF6"/>
    <w:rsid w:val="00D71F12"/>
    <w:rsid w:val="00D7220A"/>
    <w:rsid w:val="00D7232F"/>
    <w:rsid w:val="00D72397"/>
    <w:rsid w:val="00D723C2"/>
    <w:rsid w:val="00D723D1"/>
    <w:rsid w:val="00D72633"/>
    <w:rsid w:val="00D726CF"/>
    <w:rsid w:val="00D72807"/>
    <w:rsid w:val="00D72818"/>
    <w:rsid w:val="00D728A6"/>
    <w:rsid w:val="00D728DF"/>
    <w:rsid w:val="00D72C0F"/>
    <w:rsid w:val="00D7319C"/>
    <w:rsid w:val="00D732AF"/>
    <w:rsid w:val="00D7330E"/>
    <w:rsid w:val="00D7348F"/>
    <w:rsid w:val="00D73502"/>
    <w:rsid w:val="00D7355A"/>
    <w:rsid w:val="00D73810"/>
    <w:rsid w:val="00D73879"/>
    <w:rsid w:val="00D73A12"/>
    <w:rsid w:val="00D73B68"/>
    <w:rsid w:val="00D73D73"/>
    <w:rsid w:val="00D73EA0"/>
    <w:rsid w:val="00D73F72"/>
    <w:rsid w:val="00D740DA"/>
    <w:rsid w:val="00D74410"/>
    <w:rsid w:val="00D744AB"/>
    <w:rsid w:val="00D744DD"/>
    <w:rsid w:val="00D745B2"/>
    <w:rsid w:val="00D745EA"/>
    <w:rsid w:val="00D74606"/>
    <w:rsid w:val="00D747AA"/>
    <w:rsid w:val="00D74814"/>
    <w:rsid w:val="00D748D6"/>
    <w:rsid w:val="00D7497D"/>
    <w:rsid w:val="00D74BAC"/>
    <w:rsid w:val="00D74CD1"/>
    <w:rsid w:val="00D74EA0"/>
    <w:rsid w:val="00D74EEA"/>
    <w:rsid w:val="00D74F43"/>
    <w:rsid w:val="00D74F75"/>
    <w:rsid w:val="00D75084"/>
    <w:rsid w:val="00D7508A"/>
    <w:rsid w:val="00D7511D"/>
    <w:rsid w:val="00D7533A"/>
    <w:rsid w:val="00D7538B"/>
    <w:rsid w:val="00D75542"/>
    <w:rsid w:val="00D756A4"/>
    <w:rsid w:val="00D756A5"/>
    <w:rsid w:val="00D75809"/>
    <w:rsid w:val="00D758D6"/>
    <w:rsid w:val="00D75910"/>
    <w:rsid w:val="00D75957"/>
    <w:rsid w:val="00D75DA9"/>
    <w:rsid w:val="00D75E1A"/>
    <w:rsid w:val="00D75F1A"/>
    <w:rsid w:val="00D76123"/>
    <w:rsid w:val="00D7615F"/>
    <w:rsid w:val="00D761CB"/>
    <w:rsid w:val="00D761EF"/>
    <w:rsid w:val="00D762AC"/>
    <w:rsid w:val="00D763EA"/>
    <w:rsid w:val="00D76485"/>
    <w:rsid w:val="00D7665D"/>
    <w:rsid w:val="00D767F0"/>
    <w:rsid w:val="00D768EE"/>
    <w:rsid w:val="00D76A8C"/>
    <w:rsid w:val="00D76A97"/>
    <w:rsid w:val="00D76AF3"/>
    <w:rsid w:val="00D76B26"/>
    <w:rsid w:val="00D76C0E"/>
    <w:rsid w:val="00D76DBC"/>
    <w:rsid w:val="00D76E2E"/>
    <w:rsid w:val="00D76E9B"/>
    <w:rsid w:val="00D76F00"/>
    <w:rsid w:val="00D77113"/>
    <w:rsid w:val="00D77261"/>
    <w:rsid w:val="00D774A6"/>
    <w:rsid w:val="00D77513"/>
    <w:rsid w:val="00D777E1"/>
    <w:rsid w:val="00D777F4"/>
    <w:rsid w:val="00D77829"/>
    <w:rsid w:val="00D77899"/>
    <w:rsid w:val="00D77AB4"/>
    <w:rsid w:val="00D77B44"/>
    <w:rsid w:val="00D77B49"/>
    <w:rsid w:val="00D77C0A"/>
    <w:rsid w:val="00D77DF4"/>
    <w:rsid w:val="00D77E27"/>
    <w:rsid w:val="00D77E4E"/>
    <w:rsid w:val="00D80204"/>
    <w:rsid w:val="00D8039C"/>
    <w:rsid w:val="00D80457"/>
    <w:rsid w:val="00D8057F"/>
    <w:rsid w:val="00D805B3"/>
    <w:rsid w:val="00D806C9"/>
    <w:rsid w:val="00D8081E"/>
    <w:rsid w:val="00D8082F"/>
    <w:rsid w:val="00D80B0F"/>
    <w:rsid w:val="00D80DD0"/>
    <w:rsid w:val="00D80E42"/>
    <w:rsid w:val="00D8134B"/>
    <w:rsid w:val="00D81442"/>
    <w:rsid w:val="00D81597"/>
    <w:rsid w:val="00D81607"/>
    <w:rsid w:val="00D81801"/>
    <w:rsid w:val="00D81B14"/>
    <w:rsid w:val="00D81C2C"/>
    <w:rsid w:val="00D81F1C"/>
    <w:rsid w:val="00D81F2E"/>
    <w:rsid w:val="00D82019"/>
    <w:rsid w:val="00D82084"/>
    <w:rsid w:val="00D8210C"/>
    <w:rsid w:val="00D821B4"/>
    <w:rsid w:val="00D822D1"/>
    <w:rsid w:val="00D824F9"/>
    <w:rsid w:val="00D82707"/>
    <w:rsid w:val="00D8281D"/>
    <w:rsid w:val="00D828ED"/>
    <w:rsid w:val="00D828FC"/>
    <w:rsid w:val="00D82A2D"/>
    <w:rsid w:val="00D82A85"/>
    <w:rsid w:val="00D82B4B"/>
    <w:rsid w:val="00D82BAC"/>
    <w:rsid w:val="00D82C50"/>
    <w:rsid w:val="00D82CEF"/>
    <w:rsid w:val="00D82E39"/>
    <w:rsid w:val="00D82E66"/>
    <w:rsid w:val="00D82F65"/>
    <w:rsid w:val="00D833E7"/>
    <w:rsid w:val="00D83431"/>
    <w:rsid w:val="00D8345B"/>
    <w:rsid w:val="00D8349F"/>
    <w:rsid w:val="00D8352C"/>
    <w:rsid w:val="00D835AC"/>
    <w:rsid w:val="00D836F7"/>
    <w:rsid w:val="00D836FC"/>
    <w:rsid w:val="00D837D3"/>
    <w:rsid w:val="00D83ABC"/>
    <w:rsid w:val="00D83B81"/>
    <w:rsid w:val="00D83DCB"/>
    <w:rsid w:val="00D83E54"/>
    <w:rsid w:val="00D840E6"/>
    <w:rsid w:val="00D841A5"/>
    <w:rsid w:val="00D841EC"/>
    <w:rsid w:val="00D8448F"/>
    <w:rsid w:val="00D84554"/>
    <w:rsid w:val="00D84758"/>
    <w:rsid w:val="00D84A0F"/>
    <w:rsid w:val="00D84B46"/>
    <w:rsid w:val="00D84C4C"/>
    <w:rsid w:val="00D84D61"/>
    <w:rsid w:val="00D84EE6"/>
    <w:rsid w:val="00D84F8A"/>
    <w:rsid w:val="00D85312"/>
    <w:rsid w:val="00D8535F"/>
    <w:rsid w:val="00D854CE"/>
    <w:rsid w:val="00D85520"/>
    <w:rsid w:val="00D85558"/>
    <w:rsid w:val="00D855A1"/>
    <w:rsid w:val="00D85B68"/>
    <w:rsid w:val="00D85C05"/>
    <w:rsid w:val="00D85DC7"/>
    <w:rsid w:val="00D85FA9"/>
    <w:rsid w:val="00D8621C"/>
    <w:rsid w:val="00D863B2"/>
    <w:rsid w:val="00D86418"/>
    <w:rsid w:val="00D8641D"/>
    <w:rsid w:val="00D86551"/>
    <w:rsid w:val="00D8659D"/>
    <w:rsid w:val="00D86663"/>
    <w:rsid w:val="00D866F5"/>
    <w:rsid w:val="00D86A5A"/>
    <w:rsid w:val="00D86BAB"/>
    <w:rsid w:val="00D86C89"/>
    <w:rsid w:val="00D86D32"/>
    <w:rsid w:val="00D86D4A"/>
    <w:rsid w:val="00D86D9E"/>
    <w:rsid w:val="00D86E2B"/>
    <w:rsid w:val="00D86E57"/>
    <w:rsid w:val="00D86F16"/>
    <w:rsid w:val="00D87846"/>
    <w:rsid w:val="00D87863"/>
    <w:rsid w:val="00D87888"/>
    <w:rsid w:val="00D87A3F"/>
    <w:rsid w:val="00D87A4D"/>
    <w:rsid w:val="00D87AB7"/>
    <w:rsid w:val="00D87B30"/>
    <w:rsid w:val="00D87BA3"/>
    <w:rsid w:val="00D87C8C"/>
    <w:rsid w:val="00D87E54"/>
    <w:rsid w:val="00D87E88"/>
    <w:rsid w:val="00D87EA1"/>
    <w:rsid w:val="00D87F69"/>
    <w:rsid w:val="00D90161"/>
    <w:rsid w:val="00D9020D"/>
    <w:rsid w:val="00D9030C"/>
    <w:rsid w:val="00D903F2"/>
    <w:rsid w:val="00D9041A"/>
    <w:rsid w:val="00D905F4"/>
    <w:rsid w:val="00D90671"/>
    <w:rsid w:val="00D908CB"/>
    <w:rsid w:val="00D908D0"/>
    <w:rsid w:val="00D90997"/>
    <w:rsid w:val="00D90A01"/>
    <w:rsid w:val="00D90A99"/>
    <w:rsid w:val="00D90B01"/>
    <w:rsid w:val="00D90B4D"/>
    <w:rsid w:val="00D90BC3"/>
    <w:rsid w:val="00D90BF2"/>
    <w:rsid w:val="00D90C5A"/>
    <w:rsid w:val="00D90FC1"/>
    <w:rsid w:val="00D90FE4"/>
    <w:rsid w:val="00D91064"/>
    <w:rsid w:val="00D913D5"/>
    <w:rsid w:val="00D91562"/>
    <w:rsid w:val="00D915A9"/>
    <w:rsid w:val="00D91703"/>
    <w:rsid w:val="00D9171D"/>
    <w:rsid w:val="00D91777"/>
    <w:rsid w:val="00D9185E"/>
    <w:rsid w:val="00D91949"/>
    <w:rsid w:val="00D919DA"/>
    <w:rsid w:val="00D919FC"/>
    <w:rsid w:val="00D91BED"/>
    <w:rsid w:val="00D91CD7"/>
    <w:rsid w:val="00D91CE3"/>
    <w:rsid w:val="00D92072"/>
    <w:rsid w:val="00D92251"/>
    <w:rsid w:val="00D924B3"/>
    <w:rsid w:val="00D92542"/>
    <w:rsid w:val="00D92843"/>
    <w:rsid w:val="00D92A06"/>
    <w:rsid w:val="00D92CD2"/>
    <w:rsid w:val="00D92D88"/>
    <w:rsid w:val="00D93056"/>
    <w:rsid w:val="00D9318E"/>
    <w:rsid w:val="00D933BB"/>
    <w:rsid w:val="00D933D7"/>
    <w:rsid w:val="00D9350A"/>
    <w:rsid w:val="00D935FA"/>
    <w:rsid w:val="00D93707"/>
    <w:rsid w:val="00D937B9"/>
    <w:rsid w:val="00D93809"/>
    <w:rsid w:val="00D93935"/>
    <w:rsid w:val="00D93A3B"/>
    <w:rsid w:val="00D93A8B"/>
    <w:rsid w:val="00D93B90"/>
    <w:rsid w:val="00D93D06"/>
    <w:rsid w:val="00D93E57"/>
    <w:rsid w:val="00D9401E"/>
    <w:rsid w:val="00D940FE"/>
    <w:rsid w:val="00D94106"/>
    <w:rsid w:val="00D94123"/>
    <w:rsid w:val="00D941EF"/>
    <w:rsid w:val="00D9438F"/>
    <w:rsid w:val="00D943D5"/>
    <w:rsid w:val="00D94429"/>
    <w:rsid w:val="00D946C8"/>
    <w:rsid w:val="00D94729"/>
    <w:rsid w:val="00D94825"/>
    <w:rsid w:val="00D9487C"/>
    <w:rsid w:val="00D948D3"/>
    <w:rsid w:val="00D94992"/>
    <w:rsid w:val="00D949C9"/>
    <w:rsid w:val="00D94C45"/>
    <w:rsid w:val="00D94C58"/>
    <w:rsid w:val="00D94D1B"/>
    <w:rsid w:val="00D94DAA"/>
    <w:rsid w:val="00D94EA8"/>
    <w:rsid w:val="00D94ED9"/>
    <w:rsid w:val="00D94F95"/>
    <w:rsid w:val="00D94FD8"/>
    <w:rsid w:val="00D95078"/>
    <w:rsid w:val="00D95181"/>
    <w:rsid w:val="00D9519B"/>
    <w:rsid w:val="00D952B5"/>
    <w:rsid w:val="00D952F8"/>
    <w:rsid w:val="00D955A9"/>
    <w:rsid w:val="00D95607"/>
    <w:rsid w:val="00D9576C"/>
    <w:rsid w:val="00D958CC"/>
    <w:rsid w:val="00D95930"/>
    <w:rsid w:val="00D95C23"/>
    <w:rsid w:val="00D95E93"/>
    <w:rsid w:val="00D95F4D"/>
    <w:rsid w:val="00D95FC0"/>
    <w:rsid w:val="00D960DF"/>
    <w:rsid w:val="00D961A9"/>
    <w:rsid w:val="00D961F9"/>
    <w:rsid w:val="00D9636C"/>
    <w:rsid w:val="00D96703"/>
    <w:rsid w:val="00D96858"/>
    <w:rsid w:val="00D968E0"/>
    <w:rsid w:val="00D9690D"/>
    <w:rsid w:val="00D96A2D"/>
    <w:rsid w:val="00D96D4E"/>
    <w:rsid w:val="00D96EFE"/>
    <w:rsid w:val="00D96FFB"/>
    <w:rsid w:val="00D9703C"/>
    <w:rsid w:val="00D975A8"/>
    <w:rsid w:val="00D97962"/>
    <w:rsid w:val="00D97A2A"/>
    <w:rsid w:val="00D97CD3"/>
    <w:rsid w:val="00D97D57"/>
    <w:rsid w:val="00D97DEB"/>
    <w:rsid w:val="00D97E14"/>
    <w:rsid w:val="00DA002D"/>
    <w:rsid w:val="00DA0034"/>
    <w:rsid w:val="00DA003C"/>
    <w:rsid w:val="00DA0162"/>
    <w:rsid w:val="00DA032A"/>
    <w:rsid w:val="00DA05A4"/>
    <w:rsid w:val="00DA0701"/>
    <w:rsid w:val="00DA0786"/>
    <w:rsid w:val="00DA0795"/>
    <w:rsid w:val="00DA0B7E"/>
    <w:rsid w:val="00DA0CD2"/>
    <w:rsid w:val="00DA0D42"/>
    <w:rsid w:val="00DA0E3B"/>
    <w:rsid w:val="00DA0FBB"/>
    <w:rsid w:val="00DA12DF"/>
    <w:rsid w:val="00DA12E7"/>
    <w:rsid w:val="00DA12FE"/>
    <w:rsid w:val="00DA1340"/>
    <w:rsid w:val="00DA14C7"/>
    <w:rsid w:val="00DA15D8"/>
    <w:rsid w:val="00DA1AE5"/>
    <w:rsid w:val="00DA1B24"/>
    <w:rsid w:val="00DA1B83"/>
    <w:rsid w:val="00DA1BE8"/>
    <w:rsid w:val="00DA1CB9"/>
    <w:rsid w:val="00DA1D49"/>
    <w:rsid w:val="00DA1D5C"/>
    <w:rsid w:val="00DA1D61"/>
    <w:rsid w:val="00DA1F71"/>
    <w:rsid w:val="00DA204A"/>
    <w:rsid w:val="00DA2081"/>
    <w:rsid w:val="00DA2506"/>
    <w:rsid w:val="00DA2519"/>
    <w:rsid w:val="00DA2588"/>
    <w:rsid w:val="00DA2688"/>
    <w:rsid w:val="00DA2707"/>
    <w:rsid w:val="00DA27A1"/>
    <w:rsid w:val="00DA2892"/>
    <w:rsid w:val="00DA2A85"/>
    <w:rsid w:val="00DA2B7A"/>
    <w:rsid w:val="00DA2CFB"/>
    <w:rsid w:val="00DA2E9A"/>
    <w:rsid w:val="00DA301A"/>
    <w:rsid w:val="00DA316E"/>
    <w:rsid w:val="00DA338C"/>
    <w:rsid w:val="00DA3397"/>
    <w:rsid w:val="00DA3415"/>
    <w:rsid w:val="00DA341F"/>
    <w:rsid w:val="00DA3531"/>
    <w:rsid w:val="00DA36D0"/>
    <w:rsid w:val="00DA385B"/>
    <w:rsid w:val="00DA39B0"/>
    <w:rsid w:val="00DA3D0C"/>
    <w:rsid w:val="00DA3DBA"/>
    <w:rsid w:val="00DA41DE"/>
    <w:rsid w:val="00DA425E"/>
    <w:rsid w:val="00DA427C"/>
    <w:rsid w:val="00DA42A9"/>
    <w:rsid w:val="00DA42EF"/>
    <w:rsid w:val="00DA4423"/>
    <w:rsid w:val="00DA4481"/>
    <w:rsid w:val="00DA48E8"/>
    <w:rsid w:val="00DA48F0"/>
    <w:rsid w:val="00DA4936"/>
    <w:rsid w:val="00DA49A0"/>
    <w:rsid w:val="00DA4A74"/>
    <w:rsid w:val="00DA4BAD"/>
    <w:rsid w:val="00DA4DCC"/>
    <w:rsid w:val="00DA4E18"/>
    <w:rsid w:val="00DA4EA4"/>
    <w:rsid w:val="00DA51B4"/>
    <w:rsid w:val="00DA5217"/>
    <w:rsid w:val="00DA52B6"/>
    <w:rsid w:val="00DA5610"/>
    <w:rsid w:val="00DA576E"/>
    <w:rsid w:val="00DA581A"/>
    <w:rsid w:val="00DA584E"/>
    <w:rsid w:val="00DA5858"/>
    <w:rsid w:val="00DA58B8"/>
    <w:rsid w:val="00DA5945"/>
    <w:rsid w:val="00DA5AB2"/>
    <w:rsid w:val="00DA5C42"/>
    <w:rsid w:val="00DA5C52"/>
    <w:rsid w:val="00DA5F36"/>
    <w:rsid w:val="00DA5FAD"/>
    <w:rsid w:val="00DA6121"/>
    <w:rsid w:val="00DA64CE"/>
    <w:rsid w:val="00DA658C"/>
    <w:rsid w:val="00DA6718"/>
    <w:rsid w:val="00DA67D9"/>
    <w:rsid w:val="00DA6813"/>
    <w:rsid w:val="00DA685A"/>
    <w:rsid w:val="00DA6860"/>
    <w:rsid w:val="00DA6932"/>
    <w:rsid w:val="00DA6A31"/>
    <w:rsid w:val="00DA6AEE"/>
    <w:rsid w:val="00DA6B39"/>
    <w:rsid w:val="00DA6BE8"/>
    <w:rsid w:val="00DA6ED3"/>
    <w:rsid w:val="00DA7138"/>
    <w:rsid w:val="00DA7155"/>
    <w:rsid w:val="00DA7343"/>
    <w:rsid w:val="00DA765F"/>
    <w:rsid w:val="00DA76F8"/>
    <w:rsid w:val="00DA78B4"/>
    <w:rsid w:val="00DA78B5"/>
    <w:rsid w:val="00DA7923"/>
    <w:rsid w:val="00DA7A90"/>
    <w:rsid w:val="00DA7AC3"/>
    <w:rsid w:val="00DA7C05"/>
    <w:rsid w:val="00DA7C1D"/>
    <w:rsid w:val="00DA7C87"/>
    <w:rsid w:val="00DB0097"/>
    <w:rsid w:val="00DB02DB"/>
    <w:rsid w:val="00DB03A7"/>
    <w:rsid w:val="00DB0422"/>
    <w:rsid w:val="00DB0525"/>
    <w:rsid w:val="00DB05ED"/>
    <w:rsid w:val="00DB0680"/>
    <w:rsid w:val="00DB094C"/>
    <w:rsid w:val="00DB0B13"/>
    <w:rsid w:val="00DB0C7B"/>
    <w:rsid w:val="00DB0D97"/>
    <w:rsid w:val="00DB0DA7"/>
    <w:rsid w:val="00DB0F40"/>
    <w:rsid w:val="00DB10C5"/>
    <w:rsid w:val="00DB1492"/>
    <w:rsid w:val="00DB15C9"/>
    <w:rsid w:val="00DB1874"/>
    <w:rsid w:val="00DB193C"/>
    <w:rsid w:val="00DB1C09"/>
    <w:rsid w:val="00DB1C92"/>
    <w:rsid w:val="00DB1D8D"/>
    <w:rsid w:val="00DB1E56"/>
    <w:rsid w:val="00DB1F2D"/>
    <w:rsid w:val="00DB2044"/>
    <w:rsid w:val="00DB241C"/>
    <w:rsid w:val="00DB2469"/>
    <w:rsid w:val="00DB251D"/>
    <w:rsid w:val="00DB255F"/>
    <w:rsid w:val="00DB25B1"/>
    <w:rsid w:val="00DB2612"/>
    <w:rsid w:val="00DB2693"/>
    <w:rsid w:val="00DB27D7"/>
    <w:rsid w:val="00DB29C7"/>
    <w:rsid w:val="00DB2B86"/>
    <w:rsid w:val="00DB2C56"/>
    <w:rsid w:val="00DB2D5F"/>
    <w:rsid w:val="00DB2DC9"/>
    <w:rsid w:val="00DB2E22"/>
    <w:rsid w:val="00DB2E30"/>
    <w:rsid w:val="00DB2E4E"/>
    <w:rsid w:val="00DB2EDC"/>
    <w:rsid w:val="00DB2F89"/>
    <w:rsid w:val="00DB2FE8"/>
    <w:rsid w:val="00DB31E7"/>
    <w:rsid w:val="00DB35A1"/>
    <w:rsid w:val="00DB3654"/>
    <w:rsid w:val="00DB367E"/>
    <w:rsid w:val="00DB379A"/>
    <w:rsid w:val="00DB3A15"/>
    <w:rsid w:val="00DB3F9E"/>
    <w:rsid w:val="00DB4346"/>
    <w:rsid w:val="00DB434E"/>
    <w:rsid w:val="00DB4391"/>
    <w:rsid w:val="00DB44FC"/>
    <w:rsid w:val="00DB4608"/>
    <w:rsid w:val="00DB48B4"/>
    <w:rsid w:val="00DB49B6"/>
    <w:rsid w:val="00DB4C82"/>
    <w:rsid w:val="00DB4D57"/>
    <w:rsid w:val="00DB512D"/>
    <w:rsid w:val="00DB514C"/>
    <w:rsid w:val="00DB52B6"/>
    <w:rsid w:val="00DB52DA"/>
    <w:rsid w:val="00DB5523"/>
    <w:rsid w:val="00DB589E"/>
    <w:rsid w:val="00DB5B2D"/>
    <w:rsid w:val="00DB5BE6"/>
    <w:rsid w:val="00DB5F1F"/>
    <w:rsid w:val="00DB5FE7"/>
    <w:rsid w:val="00DB6114"/>
    <w:rsid w:val="00DB6226"/>
    <w:rsid w:val="00DB624C"/>
    <w:rsid w:val="00DB63B4"/>
    <w:rsid w:val="00DB640E"/>
    <w:rsid w:val="00DB6535"/>
    <w:rsid w:val="00DB65D2"/>
    <w:rsid w:val="00DB66F4"/>
    <w:rsid w:val="00DB6708"/>
    <w:rsid w:val="00DB6D90"/>
    <w:rsid w:val="00DB6F64"/>
    <w:rsid w:val="00DB7024"/>
    <w:rsid w:val="00DB73A2"/>
    <w:rsid w:val="00DB75D1"/>
    <w:rsid w:val="00DB78EA"/>
    <w:rsid w:val="00DB7978"/>
    <w:rsid w:val="00DB79C1"/>
    <w:rsid w:val="00DB7BC1"/>
    <w:rsid w:val="00DB7C1E"/>
    <w:rsid w:val="00DC00D6"/>
    <w:rsid w:val="00DC058D"/>
    <w:rsid w:val="00DC05B7"/>
    <w:rsid w:val="00DC0608"/>
    <w:rsid w:val="00DC06CB"/>
    <w:rsid w:val="00DC0829"/>
    <w:rsid w:val="00DC096A"/>
    <w:rsid w:val="00DC09D4"/>
    <w:rsid w:val="00DC09E4"/>
    <w:rsid w:val="00DC0A9C"/>
    <w:rsid w:val="00DC0B63"/>
    <w:rsid w:val="00DC0D0B"/>
    <w:rsid w:val="00DC0F4B"/>
    <w:rsid w:val="00DC125D"/>
    <w:rsid w:val="00DC13C5"/>
    <w:rsid w:val="00DC14EF"/>
    <w:rsid w:val="00DC15A0"/>
    <w:rsid w:val="00DC1691"/>
    <w:rsid w:val="00DC187F"/>
    <w:rsid w:val="00DC1B0C"/>
    <w:rsid w:val="00DC1B75"/>
    <w:rsid w:val="00DC1B92"/>
    <w:rsid w:val="00DC1BA5"/>
    <w:rsid w:val="00DC1BD7"/>
    <w:rsid w:val="00DC1D16"/>
    <w:rsid w:val="00DC1EB7"/>
    <w:rsid w:val="00DC1EE2"/>
    <w:rsid w:val="00DC1F8A"/>
    <w:rsid w:val="00DC2038"/>
    <w:rsid w:val="00DC20F2"/>
    <w:rsid w:val="00DC2412"/>
    <w:rsid w:val="00DC246C"/>
    <w:rsid w:val="00DC25AE"/>
    <w:rsid w:val="00DC25DE"/>
    <w:rsid w:val="00DC270C"/>
    <w:rsid w:val="00DC276D"/>
    <w:rsid w:val="00DC2830"/>
    <w:rsid w:val="00DC2897"/>
    <w:rsid w:val="00DC2AC5"/>
    <w:rsid w:val="00DC2B07"/>
    <w:rsid w:val="00DC2B66"/>
    <w:rsid w:val="00DC2E46"/>
    <w:rsid w:val="00DC31D7"/>
    <w:rsid w:val="00DC32C4"/>
    <w:rsid w:val="00DC3917"/>
    <w:rsid w:val="00DC393C"/>
    <w:rsid w:val="00DC3A28"/>
    <w:rsid w:val="00DC3CD1"/>
    <w:rsid w:val="00DC3E31"/>
    <w:rsid w:val="00DC3EF2"/>
    <w:rsid w:val="00DC3FBC"/>
    <w:rsid w:val="00DC420F"/>
    <w:rsid w:val="00DC4225"/>
    <w:rsid w:val="00DC4295"/>
    <w:rsid w:val="00DC42DC"/>
    <w:rsid w:val="00DC4371"/>
    <w:rsid w:val="00DC43FF"/>
    <w:rsid w:val="00DC44E3"/>
    <w:rsid w:val="00DC45B1"/>
    <w:rsid w:val="00DC48C8"/>
    <w:rsid w:val="00DC4905"/>
    <w:rsid w:val="00DC4A4F"/>
    <w:rsid w:val="00DC4AF8"/>
    <w:rsid w:val="00DC4E43"/>
    <w:rsid w:val="00DC4E97"/>
    <w:rsid w:val="00DC4FF6"/>
    <w:rsid w:val="00DC505F"/>
    <w:rsid w:val="00DC525E"/>
    <w:rsid w:val="00DC529E"/>
    <w:rsid w:val="00DC53A8"/>
    <w:rsid w:val="00DC5447"/>
    <w:rsid w:val="00DC5674"/>
    <w:rsid w:val="00DC5A5B"/>
    <w:rsid w:val="00DC5AB9"/>
    <w:rsid w:val="00DC5E32"/>
    <w:rsid w:val="00DC5E5C"/>
    <w:rsid w:val="00DC5FB3"/>
    <w:rsid w:val="00DC6113"/>
    <w:rsid w:val="00DC637E"/>
    <w:rsid w:val="00DC63DA"/>
    <w:rsid w:val="00DC6441"/>
    <w:rsid w:val="00DC6525"/>
    <w:rsid w:val="00DC6897"/>
    <w:rsid w:val="00DC6AF6"/>
    <w:rsid w:val="00DC6BD3"/>
    <w:rsid w:val="00DC6C1F"/>
    <w:rsid w:val="00DC729A"/>
    <w:rsid w:val="00DC72BA"/>
    <w:rsid w:val="00DC72F3"/>
    <w:rsid w:val="00DC7516"/>
    <w:rsid w:val="00DC75CA"/>
    <w:rsid w:val="00DC7606"/>
    <w:rsid w:val="00DC7716"/>
    <w:rsid w:val="00DC7864"/>
    <w:rsid w:val="00DC78F0"/>
    <w:rsid w:val="00DC7AE0"/>
    <w:rsid w:val="00DC7B1B"/>
    <w:rsid w:val="00DC7B38"/>
    <w:rsid w:val="00DC7E37"/>
    <w:rsid w:val="00DC7F09"/>
    <w:rsid w:val="00DD0097"/>
    <w:rsid w:val="00DD0288"/>
    <w:rsid w:val="00DD0314"/>
    <w:rsid w:val="00DD040F"/>
    <w:rsid w:val="00DD0B61"/>
    <w:rsid w:val="00DD0B86"/>
    <w:rsid w:val="00DD0C22"/>
    <w:rsid w:val="00DD0C57"/>
    <w:rsid w:val="00DD0CFC"/>
    <w:rsid w:val="00DD0E1F"/>
    <w:rsid w:val="00DD0EB8"/>
    <w:rsid w:val="00DD0FC0"/>
    <w:rsid w:val="00DD0FC7"/>
    <w:rsid w:val="00DD1209"/>
    <w:rsid w:val="00DD14D2"/>
    <w:rsid w:val="00DD15E8"/>
    <w:rsid w:val="00DD162C"/>
    <w:rsid w:val="00DD1632"/>
    <w:rsid w:val="00DD168C"/>
    <w:rsid w:val="00DD17F6"/>
    <w:rsid w:val="00DD18AD"/>
    <w:rsid w:val="00DD18B6"/>
    <w:rsid w:val="00DD19D4"/>
    <w:rsid w:val="00DD19F7"/>
    <w:rsid w:val="00DD19FE"/>
    <w:rsid w:val="00DD1A44"/>
    <w:rsid w:val="00DD1A54"/>
    <w:rsid w:val="00DD1AE9"/>
    <w:rsid w:val="00DD1B68"/>
    <w:rsid w:val="00DD1D18"/>
    <w:rsid w:val="00DD1D2A"/>
    <w:rsid w:val="00DD1DCF"/>
    <w:rsid w:val="00DD2037"/>
    <w:rsid w:val="00DD22DC"/>
    <w:rsid w:val="00DD24F2"/>
    <w:rsid w:val="00DD2606"/>
    <w:rsid w:val="00DD2617"/>
    <w:rsid w:val="00DD27B5"/>
    <w:rsid w:val="00DD2828"/>
    <w:rsid w:val="00DD29A3"/>
    <w:rsid w:val="00DD2A8C"/>
    <w:rsid w:val="00DD2B40"/>
    <w:rsid w:val="00DD2C2E"/>
    <w:rsid w:val="00DD2DFB"/>
    <w:rsid w:val="00DD2EE1"/>
    <w:rsid w:val="00DD2F29"/>
    <w:rsid w:val="00DD2F3D"/>
    <w:rsid w:val="00DD2F84"/>
    <w:rsid w:val="00DD2FA4"/>
    <w:rsid w:val="00DD3094"/>
    <w:rsid w:val="00DD323B"/>
    <w:rsid w:val="00DD3546"/>
    <w:rsid w:val="00DD354D"/>
    <w:rsid w:val="00DD3837"/>
    <w:rsid w:val="00DD3DEE"/>
    <w:rsid w:val="00DD3E44"/>
    <w:rsid w:val="00DD3F14"/>
    <w:rsid w:val="00DD4288"/>
    <w:rsid w:val="00DD442C"/>
    <w:rsid w:val="00DD44BC"/>
    <w:rsid w:val="00DD458C"/>
    <w:rsid w:val="00DD4795"/>
    <w:rsid w:val="00DD4820"/>
    <w:rsid w:val="00DD48B8"/>
    <w:rsid w:val="00DD4B24"/>
    <w:rsid w:val="00DD4C6B"/>
    <w:rsid w:val="00DD4C79"/>
    <w:rsid w:val="00DD4D98"/>
    <w:rsid w:val="00DD4F6C"/>
    <w:rsid w:val="00DD51B1"/>
    <w:rsid w:val="00DD51E4"/>
    <w:rsid w:val="00DD54D4"/>
    <w:rsid w:val="00DD55F0"/>
    <w:rsid w:val="00DD5741"/>
    <w:rsid w:val="00DD574B"/>
    <w:rsid w:val="00DD57F5"/>
    <w:rsid w:val="00DD5818"/>
    <w:rsid w:val="00DD586A"/>
    <w:rsid w:val="00DD5A55"/>
    <w:rsid w:val="00DD5BA3"/>
    <w:rsid w:val="00DD5BB5"/>
    <w:rsid w:val="00DD5CA5"/>
    <w:rsid w:val="00DD5D31"/>
    <w:rsid w:val="00DD5E6C"/>
    <w:rsid w:val="00DD60B9"/>
    <w:rsid w:val="00DD6235"/>
    <w:rsid w:val="00DD63E6"/>
    <w:rsid w:val="00DD66EE"/>
    <w:rsid w:val="00DD6C0A"/>
    <w:rsid w:val="00DD6CC9"/>
    <w:rsid w:val="00DD705D"/>
    <w:rsid w:val="00DD784E"/>
    <w:rsid w:val="00DD788F"/>
    <w:rsid w:val="00DD7901"/>
    <w:rsid w:val="00DD79B4"/>
    <w:rsid w:val="00DD79DE"/>
    <w:rsid w:val="00DD7A93"/>
    <w:rsid w:val="00DD7D7A"/>
    <w:rsid w:val="00DD7E54"/>
    <w:rsid w:val="00DD7F8E"/>
    <w:rsid w:val="00DE010C"/>
    <w:rsid w:val="00DE01B5"/>
    <w:rsid w:val="00DE03C9"/>
    <w:rsid w:val="00DE0481"/>
    <w:rsid w:val="00DE05B3"/>
    <w:rsid w:val="00DE0768"/>
    <w:rsid w:val="00DE0887"/>
    <w:rsid w:val="00DE0AE4"/>
    <w:rsid w:val="00DE0B90"/>
    <w:rsid w:val="00DE0C31"/>
    <w:rsid w:val="00DE0ECB"/>
    <w:rsid w:val="00DE11E2"/>
    <w:rsid w:val="00DE1203"/>
    <w:rsid w:val="00DE1337"/>
    <w:rsid w:val="00DE14A2"/>
    <w:rsid w:val="00DE1572"/>
    <w:rsid w:val="00DE15AC"/>
    <w:rsid w:val="00DE16DA"/>
    <w:rsid w:val="00DE1884"/>
    <w:rsid w:val="00DE18A8"/>
    <w:rsid w:val="00DE196E"/>
    <w:rsid w:val="00DE1A5B"/>
    <w:rsid w:val="00DE1AAD"/>
    <w:rsid w:val="00DE1B06"/>
    <w:rsid w:val="00DE1BB5"/>
    <w:rsid w:val="00DE1BBC"/>
    <w:rsid w:val="00DE1BCD"/>
    <w:rsid w:val="00DE1EB0"/>
    <w:rsid w:val="00DE1EE5"/>
    <w:rsid w:val="00DE1F92"/>
    <w:rsid w:val="00DE1F9D"/>
    <w:rsid w:val="00DE216F"/>
    <w:rsid w:val="00DE21CB"/>
    <w:rsid w:val="00DE238F"/>
    <w:rsid w:val="00DE24C5"/>
    <w:rsid w:val="00DE2541"/>
    <w:rsid w:val="00DE2692"/>
    <w:rsid w:val="00DE2992"/>
    <w:rsid w:val="00DE2A2E"/>
    <w:rsid w:val="00DE2B0B"/>
    <w:rsid w:val="00DE2B4E"/>
    <w:rsid w:val="00DE2D1D"/>
    <w:rsid w:val="00DE2EBA"/>
    <w:rsid w:val="00DE2F88"/>
    <w:rsid w:val="00DE2F93"/>
    <w:rsid w:val="00DE326D"/>
    <w:rsid w:val="00DE3420"/>
    <w:rsid w:val="00DE3463"/>
    <w:rsid w:val="00DE351E"/>
    <w:rsid w:val="00DE3811"/>
    <w:rsid w:val="00DE3819"/>
    <w:rsid w:val="00DE38C3"/>
    <w:rsid w:val="00DE38E9"/>
    <w:rsid w:val="00DE3A36"/>
    <w:rsid w:val="00DE3B57"/>
    <w:rsid w:val="00DE3CAD"/>
    <w:rsid w:val="00DE3CEF"/>
    <w:rsid w:val="00DE3DFD"/>
    <w:rsid w:val="00DE3E06"/>
    <w:rsid w:val="00DE3E34"/>
    <w:rsid w:val="00DE3E60"/>
    <w:rsid w:val="00DE3FB1"/>
    <w:rsid w:val="00DE3FB4"/>
    <w:rsid w:val="00DE405C"/>
    <w:rsid w:val="00DE41D2"/>
    <w:rsid w:val="00DE42E9"/>
    <w:rsid w:val="00DE4482"/>
    <w:rsid w:val="00DE45BB"/>
    <w:rsid w:val="00DE45D6"/>
    <w:rsid w:val="00DE499A"/>
    <w:rsid w:val="00DE499E"/>
    <w:rsid w:val="00DE4C1D"/>
    <w:rsid w:val="00DE4DA0"/>
    <w:rsid w:val="00DE4DD4"/>
    <w:rsid w:val="00DE5027"/>
    <w:rsid w:val="00DE5170"/>
    <w:rsid w:val="00DE52CB"/>
    <w:rsid w:val="00DE54FF"/>
    <w:rsid w:val="00DE55CF"/>
    <w:rsid w:val="00DE55D0"/>
    <w:rsid w:val="00DE55D4"/>
    <w:rsid w:val="00DE5648"/>
    <w:rsid w:val="00DE567F"/>
    <w:rsid w:val="00DE584A"/>
    <w:rsid w:val="00DE59F8"/>
    <w:rsid w:val="00DE5AE2"/>
    <w:rsid w:val="00DE5AE6"/>
    <w:rsid w:val="00DE5B2E"/>
    <w:rsid w:val="00DE5C4D"/>
    <w:rsid w:val="00DE5C6A"/>
    <w:rsid w:val="00DE5DFB"/>
    <w:rsid w:val="00DE5FCD"/>
    <w:rsid w:val="00DE6008"/>
    <w:rsid w:val="00DE6075"/>
    <w:rsid w:val="00DE6088"/>
    <w:rsid w:val="00DE6119"/>
    <w:rsid w:val="00DE637D"/>
    <w:rsid w:val="00DE6579"/>
    <w:rsid w:val="00DE65C3"/>
    <w:rsid w:val="00DE65E0"/>
    <w:rsid w:val="00DE660B"/>
    <w:rsid w:val="00DE669F"/>
    <w:rsid w:val="00DE66FB"/>
    <w:rsid w:val="00DE68F4"/>
    <w:rsid w:val="00DE6928"/>
    <w:rsid w:val="00DE6BD3"/>
    <w:rsid w:val="00DE6D38"/>
    <w:rsid w:val="00DE6E80"/>
    <w:rsid w:val="00DE6EE1"/>
    <w:rsid w:val="00DE6F47"/>
    <w:rsid w:val="00DE6F71"/>
    <w:rsid w:val="00DE6FCC"/>
    <w:rsid w:val="00DE7043"/>
    <w:rsid w:val="00DE73F6"/>
    <w:rsid w:val="00DE7532"/>
    <w:rsid w:val="00DE7C42"/>
    <w:rsid w:val="00DE7C8F"/>
    <w:rsid w:val="00DE7CFB"/>
    <w:rsid w:val="00DE7D7C"/>
    <w:rsid w:val="00DE7F26"/>
    <w:rsid w:val="00DE7FBE"/>
    <w:rsid w:val="00DE7FC2"/>
    <w:rsid w:val="00DE7FCE"/>
    <w:rsid w:val="00DF000D"/>
    <w:rsid w:val="00DF0276"/>
    <w:rsid w:val="00DF0284"/>
    <w:rsid w:val="00DF05BD"/>
    <w:rsid w:val="00DF06AA"/>
    <w:rsid w:val="00DF07B6"/>
    <w:rsid w:val="00DF07CB"/>
    <w:rsid w:val="00DF0844"/>
    <w:rsid w:val="00DF086B"/>
    <w:rsid w:val="00DF094B"/>
    <w:rsid w:val="00DF09B1"/>
    <w:rsid w:val="00DF0A97"/>
    <w:rsid w:val="00DF0C0F"/>
    <w:rsid w:val="00DF0DC1"/>
    <w:rsid w:val="00DF0FCF"/>
    <w:rsid w:val="00DF0FD1"/>
    <w:rsid w:val="00DF1007"/>
    <w:rsid w:val="00DF1267"/>
    <w:rsid w:val="00DF14B7"/>
    <w:rsid w:val="00DF14EB"/>
    <w:rsid w:val="00DF17F9"/>
    <w:rsid w:val="00DF189D"/>
    <w:rsid w:val="00DF18D8"/>
    <w:rsid w:val="00DF1960"/>
    <w:rsid w:val="00DF1BAF"/>
    <w:rsid w:val="00DF1BF6"/>
    <w:rsid w:val="00DF1EA0"/>
    <w:rsid w:val="00DF1F3A"/>
    <w:rsid w:val="00DF204B"/>
    <w:rsid w:val="00DF2052"/>
    <w:rsid w:val="00DF224E"/>
    <w:rsid w:val="00DF22C3"/>
    <w:rsid w:val="00DF245C"/>
    <w:rsid w:val="00DF2673"/>
    <w:rsid w:val="00DF287C"/>
    <w:rsid w:val="00DF2C15"/>
    <w:rsid w:val="00DF2D2C"/>
    <w:rsid w:val="00DF2D71"/>
    <w:rsid w:val="00DF2F79"/>
    <w:rsid w:val="00DF30BC"/>
    <w:rsid w:val="00DF31E8"/>
    <w:rsid w:val="00DF32A1"/>
    <w:rsid w:val="00DF34F8"/>
    <w:rsid w:val="00DF3638"/>
    <w:rsid w:val="00DF36AA"/>
    <w:rsid w:val="00DF37EE"/>
    <w:rsid w:val="00DF38A5"/>
    <w:rsid w:val="00DF39A8"/>
    <w:rsid w:val="00DF3C60"/>
    <w:rsid w:val="00DF3CBE"/>
    <w:rsid w:val="00DF3CF5"/>
    <w:rsid w:val="00DF4127"/>
    <w:rsid w:val="00DF43D5"/>
    <w:rsid w:val="00DF440A"/>
    <w:rsid w:val="00DF44F9"/>
    <w:rsid w:val="00DF4539"/>
    <w:rsid w:val="00DF4550"/>
    <w:rsid w:val="00DF4578"/>
    <w:rsid w:val="00DF46E7"/>
    <w:rsid w:val="00DF46FD"/>
    <w:rsid w:val="00DF4848"/>
    <w:rsid w:val="00DF4A10"/>
    <w:rsid w:val="00DF4D14"/>
    <w:rsid w:val="00DF4E7B"/>
    <w:rsid w:val="00DF4F35"/>
    <w:rsid w:val="00DF4F58"/>
    <w:rsid w:val="00DF4FAC"/>
    <w:rsid w:val="00DF5430"/>
    <w:rsid w:val="00DF5562"/>
    <w:rsid w:val="00DF58EA"/>
    <w:rsid w:val="00DF590B"/>
    <w:rsid w:val="00DF5A5F"/>
    <w:rsid w:val="00DF5B79"/>
    <w:rsid w:val="00DF5C70"/>
    <w:rsid w:val="00DF5C8B"/>
    <w:rsid w:val="00DF5E60"/>
    <w:rsid w:val="00DF5EB3"/>
    <w:rsid w:val="00DF5EC2"/>
    <w:rsid w:val="00DF5FF4"/>
    <w:rsid w:val="00DF5FFE"/>
    <w:rsid w:val="00DF6049"/>
    <w:rsid w:val="00DF6176"/>
    <w:rsid w:val="00DF6289"/>
    <w:rsid w:val="00DF6292"/>
    <w:rsid w:val="00DF650D"/>
    <w:rsid w:val="00DF652C"/>
    <w:rsid w:val="00DF658C"/>
    <w:rsid w:val="00DF67C5"/>
    <w:rsid w:val="00DF682F"/>
    <w:rsid w:val="00DF69C4"/>
    <w:rsid w:val="00DF69CE"/>
    <w:rsid w:val="00DF6A51"/>
    <w:rsid w:val="00DF6F34"/>
    <w:rsid w:val="00DF70FA"/>
    <w:rsid w:val="00DF71F2"/>
    <w:rsid w:val="00DF7353"/>
    <w:rsid w:val="00DF7673"/>
    <w:rsid w:val="00DF7693"/>
    <w:rsid w:val="00DF76AF"/>
    <w:rsid w:val="00DF7745"/>
    <w:rsid w:val="00DF7B8E"/>
    <w:rsid w:val="00DF7B9F"/>
    <w:rsid w:val="00DF7EFF"/>
    <w:rsid w:val="00DF7F12"/>
    <w:rsid w:val="00E00044"/>
    <w:rsid w:val="00E000E9"/>
    <w:rsid w:val="00E004DA"/>
    <w:rsid w:val="00E005EF"/>
    <w:rsid w:val="00E007CC"/>
    <w:rsid w:val="00E00904"/>
    <w:rsid w:val="00E00942"/>
    <w:rsid w:val="00E0095D"/>
    <w:rsid w:val="00E00A2D"/>
    <w:rsid w:val="00E00BE2"/>
    <w:rsid w:val="00E00C5D"/>
    <w:rsid w:val="00E00D7B"/>
    <w:rsid w:val="00E00E39"/>
    <w:rsid w:val="00E00EA9"/>
    <w:rsid w:val="00E00FD6"/>
    <w:rsid w:val="00E00FEC"/>
    <w:rsid w:val="00E010B0"/>
    <w:rsid w:val="00E01230"/>
    <w:rsid w:val="00E01485"/>
    <w:rsid w:val="00E0151E"/>
    <w:rsid w:val="00E0157E"/>
    <w:rsid w:val="00E016B2"/>
    <w:rsid w:val="00E01770"/>
    <w:rsid w:val="00E017F7"/>
    <w:rsid w:val="00E01801"/>
    <w:rsid w:val="00E018A4"/>
    <w:rsid w:val="00E019DF"/>
    <w:rsid w:val="00E01B36"/>
    <w:rsid w:val="00E01B65"/>
    <w:rsid w:val="00E01B8A"/>
    <w:rsid w:val="00E01DB7"/>
    <w:rsid w:val="00E01E96"/>
    <w:rsid w:val="00E01F4A"/>
    <w:rsid w:val="00E01FAA"/>
    <w:rsid w:val="00E01FDB"/>
    <w:rsid w:val="00E021F7"/>
    <w:rsid w:val="00E021FA"/>
    <w:rsid w:val="00E02375"/>
    <w:rsid w:val="00E024F8"/>
    <w:rsid w:val="00E02507"/>
    <w:rsid w:val="00E02523"/>
    <w:rsid w:val="00E026AF"/>
    <w:rsid w:val="00E0298D"/>
    <w:rsid w:val="00E02AA9"/>
    <w:rsid w:val="00E02B5D"/>
    <w:rsid w:val="00E02CA4"/>
    <w:rsid w:val="00E02CCA"/>
    <w:rsid w:val="00E02CFB"/>
    <w:rsid w:val="00E02D93"/>
    <w:rsid w:val="00E02EF8"/>
    <w:rsid w:val="00E0301F"/>
    <w:rsid w:val="00E0330D"/>
    <w:rsid w:val="00E03676"/>
    <w:rsid w:val="00E036E3"/>
    <w:rsid w:val="00E0381C"/>
    <w:rsid w:val="00E03840"/>
    <w:rsid w:val="00E0386A"/>
    <w:rsid w:val="00E039E2"/>
    <w:rsid w:val="00E03C54"/>
    <w:rsid w:val="00E03D3E"/>
    <w:rsid w:val="00E03D7E"/>
    <w:rsid w:val="00E03DEA"/>
    <w:rsid w:val="00E03DFF"/>
    <w:rsid w:val="00E03F25"/>
    <w:rsid w:val="00E0420A"/>
    <w:rsid w:val="00E04767"/>
    <w:rsid w:val="00E0476F"/>
    <w:rsid w:val="00E047E1"/>
    <w:rsid w:val="00E0483A"/>
    <w:rsid w:val="00E0490F"/>
    <w:rsid w:val="00E04A64"/>
    <w:rsid w:val="00E04A86"/>
    <w:rsid w:val="00E04CE7"/>
    <w:rsid w:val="00E04DFB"/>
    <w:rsid w:val="00E04E29"/>
    <w:rsid w:val="00E04E4B"/>
    <w:rsid w:val="00E04EA8"/>
    <w:rsid w:val="00E04EE4"/>
    <w:rsid w:val="00E04FCD"/>
    <w:rsid w:val="00E05396"/>
    <w:rsid w:val="00E05537"/>
    <w:rsid w:val="00E05690"/>
    <w:rsid w:val="00E05712"/>
    <w:rsid w:val="00E057B1"/>
    <w:rsid w:val="00E0583C"/>
    <w:rsid w:val="00E05853"/>
    <w:rsid w:val="00E059F7"/>
    <w:rsid w:val="00E05A1C"/>
    <w:rsid w:val="00E05B44"/>
    <w:rsid w:val="00E05CBD"/>
    <w:rsid w:val="00E05CE9"/>
    <w:rsid w:val="00E05F6A"/>
    <w:rsid w:val="00E06007"/>
    <w:rsid w:val="00E06015"/>
    <w:rsid w:val="00E060B6"/>
    <w:rsid w:val="00E060DC"/>
    <w:rsid w:val="00E06100"/>
    <w:rsid w:val="00E06205"/>
    <w:rsid w:val="00E06329"/>
    <w:rsid w:val="00E06381"/>
    <w:rsid w:val="00E063BB"/>
    <w:rsid w:val="00E06417"/>
    <w:rsid w:val="00E06666"/>
    <w:rsid w:val="00E066D3"/>
    <w:rsid w:val="00E0678C"/>
    <w:rsid w:val="00E067E7"/>
    <w:rsid w:val="00E06A41"/>
    <w:rsid w:val="00E06B5B"/>
    <w:rsid w:val="00E06BCB"/>
    <w:rsid w:val="00E06BF4"/>
    <w:rsid w:val="00E06CB3"/>
    <w:rsid w:val="00E06D1A"/>
    <w:rsid w:val="00E06DA6"/>
    <w:rsid w:val="00E06E0F"/>
    <w:rsid w:val="00E06F67"/>
    <w:rsid w:val="00E07099"/>
    <w:rsid w:val="00E07204"/>
    <w:rsid w:val="00E07555"/>
    <w:rsid w:val="00E07744"/>
    <w:rsid w:val="00E07A52"/>
    <w:rsid w:val="00E07A67"/>
    <w:rsid w:val="00E07A91"/>
    <w:rsid w:val="00E07B60"/>
    <w:rsid w:val="00E07C83"/>
    <w:rsid w:val="00E07E93"/>
    <w:rsid w:val="00E07F9E"/>
    <w:rsid w:val="00E07FBA"/>
    <w:rsid w:val="00E1001A"/>
    <w:rsid w:val="00E10044"/>
    <w:rsid w:val="00E10193"/>
    <w:rsid w:val="00E10346"/>
    <w:rsid w:val="00E103B2"/>
    <w:rsid w:val="00E10497"/>
    <w:rsid w:val="00E104C5"/>
    <w:rsid w:val="00E107E9"/>
    <w:rsid w:val="00E10809"/>
    <w:rsid w:val="00E10865"/>
    <w:rsid w:val="00E10882"/>
    <w:rsid w:val="00E10A50"/>
    <w:rsid w:val="00E10A8C"/>
    <w:rsid w:val="00E10ECE"/>
    <w:rsid w:val="00E10F2F"/>
    <w:rsid w:val="00E111D4"/>
    <w:rsid w:val="00E111DD"/>
    <w:rsid w:val="00E1120C"/>
    <w:rsid w:val="00E1132C"/>
    <w:rsid w:val="00E113CA"/>
    <w:rsid w:val="00E113DD"/>
    <w:rsid w:val="00E114C6"/>
    <w:rsid w:val="00E114D2"/>
    <w:rsid w:val="00E11648"/>
    <w:rsid w:val="00E116E1"/>
    <w:rsid w:val="00E116EC"/>
    <w:rsid w:val="00E11A11"/>
    <w:rsid w:val="00E11C17"/>
    <w:rsid w:val="00E11D03"/>
    <w:rsid w:val="00E11D40"/>
    <w:rsid w:val="00E11F25"/>
    <w:rsid w:val="00E11F34"/>
    <w:rsid w:val="00E11FC5"/>
    <w:rsid w:val="00E11FCE"/>
    <w:rsid w:val="00E11FD9"/>
    <w:rsid w:val="00E121E7"/>
    <w:rsid w:val="00E124CF"/>
    <w:rsid w:val="00E12562"/>
    <w:rsid w:val="00E125F9"/>
    <w:rsid w:val="00E128EB"/>
    <w:rsid w:val="00E12B1E"/>
    <w:rsid w:val="00E12C1B"/>
    <w:rsid w:val="00E12C7D"/>
    <w:rsid w:val="00E12CE0"/>
    <w:rsid w:val="00E12E06"/>
    <w:rsid w:val="00E12EA9"/>
    <w:rsid w:val="00E12F32"/>
    <w:rsid w:val="00E12F36"/>
    <w:rsid w:val="00E12F83"/>
    <w:rsid w:val="00E12FCD"/>
    <w:rsid w:val="00E13005"/>
    <w:rsid w:val="00E1307A"/>
    <w:rsid w:val="00E1307D"/>
    <w:rsid w:val="00E13175"/>
    <w:rsid w:val="00E1327F"/>
    <w:rsid w:val="00E132E9"/>
    <w:rsid w:val="00E13388"/>
    <w:rsid w:val="00E135B3"/>
    <w:rsid w:val="00E13730"/>
    <w:rsid w:val="00E137FB"/>
    <w:rsid w:val="00E13AB2"/>
    <w:rsid w:val="00E13BAD"/>
    <w:rsid w:val="00E13BFE"/>
    <w:rsid w:val="00E13CAC"/>
    <w:rsid w:val="00E13D88"/>
    <w:rsid w:val="00E13E74"/>
    <w:rsid w:val="00E140A6"/>
    <w:rsid w:val="00E1420C"/>
    <w:rsid w:val="00E142A4"/>
    <w:rsid w:val="00E1449A"/>
    <w:rsid w:val="00E14551"/>
    <w:rsid w:val="00E1469A"/>
    <w:rsid w:val="00E146F8"/>
    <w:rsid w:val="00E1482E"/>
    <w:rsid w:val="00E1482F"/>
    <w:rsid w:val="00E14888"/>
    <w:rsid w:val="00E14AA2"/>
    <w:rsid w:val="00E14B66"/>
    <w:rsid w:val="00E14C00"/>
    <w:rsid w:val="00E14CD0"/>
    <w:rsid w:val="00E14D33"/>
    <w:rsid w:val="00E14E4E"/>
    <w:rsid w:val="00E155A0"/>
    <w:rsid w:val="00E15678"/>
    <w:rsid w:val="00E15732"/>
    <w:rsid w:val="00E1596A"/>
    <w:rsid w:val="00E15A29"/>
    <w:rsid w:val="00E15B91"/>
    <w:rsid w:val="00E15C31"/>
    <w:rsid w:val="00E15C56"/>
    <w:rsid w:val="00E15E9D"/>
    <w:rsid w:val="00E15EBF"/>
    <w:rsid w:val="00E15EEE"/>
    <w:rsid w:val="00E15FF9"/>
    <w:rsid w:val="00E16161"/>
    <w:rsid w:val="00E1624E"/>
    <w:rsid w:val="00E163AD"/>
    <w:rsid w:val="00E163B9"/>
    <w:rsid w:val="00E16416"/>
    <w:rsid w:val="00E1641E"/>
    <w:rsid w:val="00E1641F"/>
    <w:rsid w:val="00E16451"/>
    <w:rsid w:val="00E16470"/>
    <w:rsid w:val="00E164B5"/>
    <w:rsid w:val="00E1658A"/>
    <w:rsid w:val="00E16592"/>
    <w:rsid w:val="00E16611"/>
    <w:rsid w:val="00E16713"/>
    <w:rsid w:val="00E167B7"/>
    <w:rsid w:val="00E168AD"/>
    <w:rsid w:val="00E16B8B"/>
    <w:rsid w:val="00E16BB2"/>
    <w:rsid w:val="00E16D35"/>
    <w:rsid w:val="00E16EFD"/>
    <w:rsid w:val="00E16F64"/>
    <w:rsid w:val="00E16F79"/>
    <w:rsid w:val="00E170AE"/>
    <w:rsid w:val="00E170B2"/>
    <w:rsid w:val="00E17235"/>
    <w:rsid w:val="00E174D7"/>
    <w:rsid w:val="00E17605"/>
    <w:rsid w:val="00E17916"/>
    <w:rsid w:val="00E17941"/>
    <w:rsid w:val="00E17B0C"/>
    <w:rsid w:val="00E17BDA"/>
    <w:rsid w:val="00E17E16"/>
    <w:rsid w:val="00E17F76"/>
    <w:rsid w:val="00E201EF"/>
    <w:rsid w:val="00E2027A"/>
    <w:rsid w:val="00E202D7"/>
    <w:rsid w:val="00E204B9"/>
    <w:rsid w:val="00E2052B"/>
    <w:rsid w:val="00E20551"/>
    <w:rsid w:val="00E205AE"/>
    <w:rsid w:val="00E2084B"/>
    <w:rsid w:val="00E20AEF"/>
    <w:rsid w:val="00E20B34"/>
    <w:rsid w:val="00E20B9B"/>
    <w:rsid w:val="00E20C49"/>
    <w:rsid w:val="00E20E20"/>
    <w:rsid w:val="00E20EF6"/>
    <w:rsid w:val="00E20FB0"/>
    <w:rsid w:val="00E210E0"/>
    <w:rsid w:val="00E21198"/>
    <w:rsid w:val="00E2125F"/>
    <w:rsid w:val="00E213CE"/>
    <w:rsid w:val="00E2141E"/>
    <w:rsid w:val="00E214AC"/>
    <w:rsid w:val="00E216F7"/>
    <w:rsid w:val="00E21768"/>
    <w:rsid w:val="00E21A99"/>
    <w:rsid w:val="00E21BA0"/>
    <w:rsid w:val="00E21C89"/>
    <w:rsid w:val="00E21D7D"/>
    <w:rsid w:val="00E21DE7"/>
    <w:rsid w:val="00E21F74"/>
    <w:rsid w:val="00E21FD5"/>
    <w:rsid w:val="00E22052"/>
    <w:rsid w:val="00E221CC"/>
    <w:rsid w:val="00E22251"/>
    <w:rsid w:val="00E2257B"/>
    <w:rsid w:val="00E226C4"/>
    <w:rsid w:val="00E22733"/>
    <w:rsid w:val="00E22830"/>
    <w:rsid w:val="00E2283A"/>
    <w:rsid w:val="00E2288F"/>
    <w:rsid w:val="00E2291F"/>
    <w:rsid w:val="00E229DC"/>
    <w:rsid w:val="00E22A4E"/>
    <w:rsid w:val="00E22ADC"/>
    <w:rsid w:val="00E22B78"/>
    <w:rsid w:val="00E22BC5"/>
    <w:rsid w:val="00E22C07"/>
    <w:rsid w:val="00E22C20"/>
    <w:rsid w:val="00E22CE1"/>
    <w:rsid w:val="00E22ED3"/>
    <w:rsid w:val="00E22FBF"/>
    <w:rsid w:val="00E22FCF"/>
    <w:rsid w:val="00E23037"/>
    <w:rsid w:val="00E230BC"/>
    <w:rsid w:val="00E23121"/>
    <w:rsid w:val="00E234EF"/>
    <w:rsid w:val="00E2350C"/>
    <w:rsid w:val="00E2380D"/>
    <w:rsid w:val="00E23A7C"/>
    <w:rsid w:val="00E23AFF"/>
    <w:rsid w:val="00E23B62"/>
    <w:rsid w:val="00E241C4"/>
    <w:rsid w:val="00E2450D"/>
    <w:rsid w:val="00E24889"/>
    <w:rsid w:val="00E24B2A"/>
    <w:rsid w:val="00E24CCF"/>
    <w:rsid w:val="00E24E43"/>
    <w:rsid w:val="00E250B0"/>
    <w:rsid w:val="00E25233"/>
    <w:rsid w:val="00E2535F"/>
    <w:rsid w:val="00E25465"/>
    <w:rsid w:val="00E25487"/>
    <w:rsid w:val="00E254C0"/>
    <w:rsid w:val="00E255AB"/>
    <w:rsid w:val="00E255C8"/>
    <w:rsid w:val="00E2586D"/>
    <w:rsid w:val="00E2588C"/>
    <w:rsid w:val="00E2593D"/>
    <w:rsid w:val="00E25984"/>
    <w:rsid w:val="00E25A23"/>
    <w:rsid w:val="00E25A62"/>
    <w:rsid w:val="00E25AC2"/>
    <w:rsid w:val="00E25C77"/>
    <w:rsid w:val="00E26032"/>
    <w:rsid w:val="00E26531"/>
    <w:rsid w:val="00E2657C"/>
    <w:rsid w:val="00E265A4"/>
    <w:rsid w:val="00E265F2"/>
    <w:rsid w:val="00E26A57"/>
    <w:rsid w:val="00E26A75"/>
    <w:rsid w:val="00E26BCA"/>
    <w:rsid w:val="00E26C4C"/>
    <w:rsid w:val="00E26C9C"/>
    <w:rsid w:val="00E26D06"/>
    <w:rsid w:val="00E26D34"/>
    <w:rsid w:val="00E26D73"/>
    <w:rsid w:val="00E26E1F"/>
    <w:rsid w:val="00E2754E"/>
    <w:rsid w:val="00E27659"/>
    <w:rsid w:val="00E276EE"/>
    <w:rsid w:val="00E2773E"/>
    <w:rsid w:val="00E2790A"/>
    <w:rsid w:val="00E27932"/>
    <w:rsid w:val="00E2795D"/>
    <w:rsid w:val="00E27A2C"/>
    <w:rsid w:val="00E27C41"/>
    <w:rsid w:val="00E27E42"/>
    <w:rsid w:val="00E27E7D"/>
    <w:rsid w:val="00E27F9B"/>
    <w:rsid w:val="00E27FDA"/>
    <w:rsid w:val="00E30063"/>
    <w:rsid w:val="00E301E6"/>
    <w:rsid w:val="00E301F3"/>
    <w:rsid w:val="00E30333"/>
    <w:rsid w:val="00E30348"/>
    <w:rsid w:val="00E30368"/>
    <w:rsid w:val="00E304A6"/>
    <w:rsid w:val="00E306B2"/>
    <w:rsid w:val="00E306C2"/>
    <w:rsid w:val="00E30870"/>
    <w:rsid w:val="00E30873"/>
    <w:rsid w:val="00E30881"/>
    <w:rsid w:val="00E3088A"/>
    <w:rsid w:val="00E30948"/>
    <w:rsid w:val="00E30B2F"/>
    <w:rsid w:val="00E30B8C"/>
    <w:rsid w:val="00E30C83"/>
    <w:rsid w:val="00E30E27"/>
    <w:rsid w:val="00E30E89"/>
    <w:rsid w:val="00E30EA2"/>
    <w:rsid w:val="00E310C6"/>
    <w:rsid w:val="00E311E8"/>
    <w:rsid w:val="00E312E7"/>
    <w:rsid w:val="00E314FB"/>
    <w:rsid w:val="00E31527"/>
    <w:rsid w:val="00E317E9"/>
    <w:rsid w:val="00E3199D"/>
    <w:rsid w:val="00E31B4B"/>
    <w:rsid w:val="00E31B91"/>
    <w:rsid w:val="00E31E0E"/>
    <w:rsid w:val="00E31F91"/>
    <w:rsid w:val="00E32148"/>
    <w:rsid w:val="00E3214C"/>
    <w:rsid w:val="00E32283"/>
    <w:rsid w:val="00E3232F"/>
    <w:rsid w:val="00E3251E"/>
    <w:rsid w:val="00E32799"/>
    <w:rsid w:val="00E32977"/>
    <w:rsid w:val="00E329AF"/>
    <w:rsid w:val="00E329D2"/>
    <w:rsid w:val="00E32AA8"/>
    <w:rsid w:val="00E32AD6"/>
    <w:rsid w:val="00E32D54"/>
    <w:rsid w:val="00E32DB6"/>
    <w:rsid w:val="00E32E7C"/>
    <w:rsid w:val="00E32ED3"/>
    <w:rsid w:val="00E33248"/>
    <w:rsid w:val="00E3339F"/>
    <w:rsid w:val="00E33446"/>
    <w:rsid w:val="00E33470"/>
    <w:rsid w:val="00E334EA"/>
    <w:rsid w:val="00E3373C"/>
    <w:rsid w:val="00E33C4B"/>
    <w:rsid w:val="00E33CCA"/>
    <w:rsid w:val="00E33D9A"/>
    <w:rsid w:val="00E340C6"/>
    <w:rsid w:val="00E3411E"/>
    <w:rsid w:val="00E342EE"/>
    <w:rsid w:val="00E34416"/>
    <w:rsid w:val="00E34497"/>
    <w:rsid w:val="00E3451A"/>
    <w:rsid w:val="00E346CD"/>
    <w:rsid w:val="00E3489F"/>
    <w:rsid w:val="00E3490B"/>
    <w:rsid w:val="00E34B62"/>
    <w:rsid w:val="00E34C6B"/>
    <w:rsid w:val="00E34EFD"/>
    <w:rsid w:val="00E3506B"/>
    <w:rsid w:val="00E3507B"/>
    <w:rsid w:val="00E35114"/>
    <w:rsid w:val="00E35290"/>
    <w:rsid w:val="00E35327"/>
    <w:rsid w:val="00E3533E"/>
    <w:rsid w:val="00E3537D"/>
    <w:rsid w:val="00E353A8"/>
    <w:rsid w:val="00E353BD"/>
    <w:rsid w:val="00E35489"/>
    <w:rsid w:val="00E3567A"/>
    <w:rsid w:val="00E356E5"/>
    <w:rsid w:val="00E359D0"/>
    <w:rsid w:val="00E35A6B"/>
    <w:rsid w:val="00E35AB7"/>
    <w:rsid w:val="00E35B21"/>
    <w:rsid w:val="00E35CA1"/>
    <w:rsid w:val="00E360F1"/>
    <w:rsid w:val="00E36155"/>
    <w:rsid w:val="00E3639A"/>
    <w:rsid w:val="00E368E5"/>
    <w:rsid w:val="00E36AFE"/>
    <w:rsid w:val="00E36B0F"/>
    <w:rsid w:val="00E36CCF"/>
    <w:rsid w:val="00E36D6F"/>
    <w:rsid w:val="00E36F9E"/>
    <w:rsid w:val="00E36FE3"/>
    <w:rsid w:val="00E3726B"/>
    <w:rsid w:val="00E373F3"/>
    <w:rsid w:val="00E376FA"/>
    <w:rsid w:val="00E3776E"/>
    <w:rsid w:val="00E377C4"/>
    <w:rsid w:val="00E3790A"/>
    <w:rsid w:val="00E37938"/>
    <w:rsid w:val="00E37A91"/>
    <w:rsid w:val="00E37B21"/>
    <w:rsid w:val="00E37BE8"/>
    <w:rsid w:val="00E37F8B"/>
    <w:rsid w:val="00E37FDC"/>
    <w:rsid w:val="00E400E6"/>
    <w:rsid w:val="00E401FA"/>
    <w:rsid w:val="00E4026A"/>
    <w:rsid w:val="00E403C3"/>
    <w:rsid w:val="00E40467"/>
    <w:rsid w:val="00E405D4"/>
    <w:rsid w:val="00E406D8"/>
    <w:rsid w:val="00E407E7"/>
    <w:rsid w:val="00E4088F"/>
    <w:rsid w:val="00E4089B"/>
    <w:rsid w:val="00E408CC"/>
    <w:rsid w:val="00E4091C"/>
    <w:rsid w:val="00E40A71"/>
    <w:rsid w:val="00E40A82"/>
    <w:rsid w:val="00E40B4C"/>
    <w:rsid w:val="00E40C5D"/>
    <w:rsid w:val="00E40D1D"/>
    <w:rsid w:val="00E40E91"/>
    <w:rsid w:val="00E40F63"/>
    <w:rsid w:val="00E411FA"/>
    <w:rsid w:val="00E413FB"/>
    <w:rsid w:val="00E414F1"/>
    <w:rsid w:val="00E415C5"/>
    <w:rsid w:val="00E4170E"/>
    <w:rsid w:val="00E417D6"/>
    <w:rsid w:val="00E41A2B"/>
    <w:rsid w:val="00E41A40"/>
    <w:rsid w:val="00E41B3C"/>
    <w:rsid w:val="00E41CD1"/>
    <w:rsid w:val="00E41D7D"/>
    <w:rsid w:val="00E41E21"/>
    <w:rsid w:val="00E41F6B"/>
    <w:rsid w:val="00E421A5"/>
    <w:rsid w:val="00E421FE"/>
    <w:rsid w:val="00E42213"/>
    <w:rsid w:val="00E42391"/>
    <w:rsid w:val="00E42421"/>
    <w:rsid w:val="00E4248F"/>
    <w:rsid w:val="00E42851"/>
    <w:rsid w:val="00E42B87"/>
    <w:rsid w:val="00E42BA8"/>
    <w:rsid w:val="00E42DE8"/>
    <w:rsid w:val="00E42EA9"/>
    <w:rsid w:val="00E42F82"/>
    <w:rsid w:val="00E43282"/>
    <w:rsid w:val="00E4341E"/>
    <w:rsid w:val="00E435DE"/>
    <w:rsid w:val="00E436DC"/>
    <w:rsid w:val="00E437A8"/>
    <w:rsid w:val="00E437E5"/>
    <w:rsid w:val="00E437ED"/>
    <w:rsid w:val="00E4397E"/>
    <w:rsid w:val="00E439F9"/>
    <w:rsid w:val="00E43A66"/>
    <w:rsid w:val="00E43A67"/>
    <w:rsid w:val="00E43B4B"/>
    <w:rsid w:val="00E43BF9"/>
    <w:rsid w:val="00E43F57"/>
    <w:rsid w:val="00E44318"/>
    <w:rsid w:val="00E446E0"/>
    <w:rsid w:val="00E4473D"/>
    <w:rsid w:val="00E447AF"/>
    <w:rsid w:val="00E4487F"/>
    <w:rsid w:val="00E44915"/>
    <w:rsid w:val="00E44965"/>
    <w:rsid w:val="00E449FE"/>
    <w:rsid w:val="00E44A68"/>
    <w:rsid w:val="00E44B99"/>
    <w:rsid w:val="00E44BE8"/>
    <w:rsid w:val="00E44C6F"/>
    <w:rsid w:val="00E44DB0"/>
    <w:rsid w:val="00E44DC8"/>
    <w:rsid w:val="00E44DEA"/>
    <w:rsid w:val="00E44F53"/>
    <w:rsid w:val="00E44FEF"/>
    <w:rsid w:val="00E45103"/>
    <w:rsid w:val="00E45169"/>
    <w:rsid w:val="00E451AE"/>
    <w:rsid w:val="00E45332"/>
    <w:rsid w:val="00E45566"/>
    <w:rsid w:val="00E45577"/>
    <w:rsid w:val="00E4558E"/>
    <w:rsid w:val="00E455D8"/>
    <w:rsid w:val="00E4592E"/>
    <w:rsid w:val="00E459A7"/>
    <w:rsid w:val="00E45ABC"/>
    <w:rsid w:val="00E45C75"/>
    <w:rsid w:val="00E45C7F"/>
    <w:rsid w:val="00E45D18"/>
    <w:rsid w:val="00E45E38"/>
    <w:rsid w:val="00E45E82"/>
    <w:rsid w:val="00E45F3E"/>
    <w:rsid w:val="00E45F4E"/>
    <w:rsid w:val="00E45FEE"/>
    <w:rsid w:val="00E45FF9"/>
    <w:rsid w:val="00E4600B"/>
    <w:rsid w:val="00E461B7"/>
    <w:rsid w:val="00E46304"/>
    <w:rsid w:val="00E463CF"/>
    <w:rsid w:val="00E463F7"/>
    <w:rsid w:val="00E464E6"/>
    <w:rsid w:val="00E467D8"/>
    <w:rsid w:val="00E468E0"/>
    <w:rsid w:val="00E4695F"/>
    <w:rsid w:val="00E46975"/>
    <w:rsid w:val="00E46A47"/>
    <w:rsid w:val="00E46A88"/>
    <w:rsid w:val="00E46CB7"/>
    <w:rsid w:val="00E46D47"/>
    <w:rsid w:val="00E46EE4"/>
    <w:rsid w:val="00E47015"/>
    <w:rsid w:val="00E47056"/>
    <w:rsid w:val="00E4724B"/>
    <w:rsid w:val="00E4738B"/>
    <w:rsid w:val="00E47405"/>
    <w:rsid w:val="00E47619"/>
    <w:rsid w:val="00E47622"/>
    <w:rsid w:val="00E477D8"/>
    <w:rsid w:val="00E477E6"/>
    <w:rsid w:val="00E4797F"/>
    <w:rsid w:val="00E47CB1"/>
    <w:rsid w:val="00E47F89"/>
    <w:rsid w:val="00E500A6"/>
    <w:rsid w:val="00E500A7"/>
    <w:rsid w:val="00E500FF"/>
    <w:rsid w:val="00E5011E"/>
    <w:rsid w:val="00E50335"/>
    <w:rsid w:val="00E5083A"/>
    <w:rsid w:val="00E508E2"/>
    <w:rsid w:val="00E5095A"/>
    <w:rsid w:val="00E509F3"/>
    <w:rsid w:val="00E50A9B"/>
    <w:rsid w:val="00E50B3A"/>
    <w:rsid w:val="00E50D9B"/>
    <w:rsid w:val="00E50E25"/>
    <w:rsid w:val="00E50E4F"/>
    <w:rsid w:val="00E50FA9"/>
    <w:rsid w:val="00E51253"/>
    <w:rsid w:val="00E5127C"/>
    <w:rsid w:val="00E513E5"/>
    <w:rsid w:val="00E5141A"/>
    <w:rsid w:val="00E514E8"/>
    <w:rsid w:val="00E5152F"/>
    <w:rsid w:val="00E51647"/>
    <w:rsid w:val="00E5165F"/>
    <w:rsid w:val="00E51704"/>
    <w:rsid w:val="00E51785"/>
    <w:rsid w:val="00E517D2"/>
    <w:rsid w:val="00E5182F"/>
    <w:rsid w:val="00E5184A"/>
    <w:rsid w:val="00E519BC"/>
    <w:rsid w:val="00E51AD6"/>
    <w:rsid w:val="00E51C04"/>
    <w:rsid w:val="00E51C50"/>
    <w:rsid w:val="00E51D18"/>
    <w:rsid w:val="00E51D90"/>
    <w:rsid w:val="00E51E89"/>
    <w:rsid w:val="00E51E91"/>
    <w:rsid w:val="00E51EAC"/>
    <w:rsid w:val="00E51EE0"/>
    <w:rsid w:val="00E52071"/>
    <w:rsid w:val="00E523D3"/>
    <w:rsid w:val="00E523EC"/>
    <w:rsid w:val="00E5251F"/>
    <w:rsid w:val="00E52593"/>
    <w:rsid w:val="00E5272E"/>
    <w:rsid w:val="00E5280E"/>
    <w:rsid w:val="00E52878"/>
    <w:rsid w:val="00E52940"/>
    <w:rsid w:val="00E5296F"/>
    <w:rsid w:val="00E52C8B"/>
    <w:rsid w:val="00E52CE4"/>
    <w:rsid w:val="00E52D7F"/>
    <w:rsid w:val="00E52E11"/>
    <w:rsid w:val="00E52E2C"/>
    <w:rsid w:val="00E52F6E"/>
    <w:rsid w:val="00E53013"/>
    <w:rsid w:val="00E5309D"/>
    <w:rsid w:val="00E530B5"/>
    <w:rsid w:val="00E532ED"/>
    <w:rsid w:val="00E5330F"/>
    <w:rsid w:val="00E533CD"/>
    <w:rsid w:val="00E5348F"/>
    <w:rsid w:val="00E53688"/>
    <w:rsid w:val="00E5371C"/>
    <w:rsid w:val="00E53786"/>
    <w:rsid w:val="00E5381A"/>
    <w:rsid w:val="00E53875"/>
    <w:rsid w:val="00E53AA8"/>
    <w:rsid w:val="00E53FB1"/>
    <w:rsid w:val="00E540D5"/>
    <w:rsid w:val="00E540E0"/>
    <w:rsid w:val="00E54153"/>
    <w:rsid w:val="00E54348"/>
    <w:rsid w:val="00E543E5"/>
    <w:rsid w:val="00E545B6"/>
    <w:rsid w:val="00E546F0"/>
    <w:rsid w:val="00E5476B"/>
    <w:rsid w:val="00E54A31"/>
    <w:rsid w:val="00E54CDB"/>
    <w:rsid w:val="00E54E1B"/>
    <w:rsid w:val="00E54F10"/>
    <w:rsid w:val="00E54F15"/>
    <w:rsid w:val="00E54FB6"/>
    <w:rsid w:val="00E552ED"/>
    <w:rsid w:val="00E555EF"/>
    <w:rsid w:val="00E5560E"/>
    <w:rsid w:val="00E55636"/>
    <w:rsid w:val="00E556BB"/>
    <w:rsid w:val="00E556C9"/>
    <w:rsid w:val="00E556DC"/>
    <w:rsid w:val="00E55746"/>
    <w:rsid w:val="00E557E9"/>
    <w:rsid w:val="00E5593E"/>
    <w:rsid w:val="00E55B1C"/>
    <w:rsid w:val="00E55B1E"/>
    <w:rsid w:val="00E55C70"/>
    <w:rsid w:val="00E55CFD"/>
    <w:rsid w:val="00E55D07"/>
    <w:rsid w:val="00E55D4D"/>
    <w:rsid w:val="00E55E36"/>
    <w:rsid w:val="00E55F3D"/>
    <w:rsid w:val="00E560B7"/>
    <w:rsid w:val="00E56205"/>
    <w:rsid w:val="00E562A0"/>
    <w:rsid w:val="00E562F1"/>
    <w:rsid w:val="00E56441"/>
    <w:rsid w:val="00E56616"/>
    <w:rsid w:val="00E56653"/>
    <w:rsid w:val="00E56967"/>
    <w:rsid w:val="00E5698D"/>
    <w:rsid w:val="00E569AA"/>
    <w:rsid w:val="00E56A44"/>
    <w:rsid w:val="00E56B1A"/>
    <w:rsid w:val="00E56B5E"/>
    <w:rsid w:val="00E56C35"/>
    <w:rsid w:val="00E56CF8"/>
    <w:rsid w:val="00E56D5E"/>
    <w:rsid w:val="00E56E34"/>
    <w:rsid w:val="00E56EED"/>
    <w:rsid w:val="00E56FC9"/>
    <w:rsid w:val="00E5713F"/>
    <w:rsid w:val="00E57273"/>
    <w:rsid w:val="00E5746F"/>
    <w:rsid w:val="00E574E0"/>
    <w:rsid w:val="00E57910"/>
    <w:rsid w:val="00E5797E"/>
    <w:rsid w:val="00E579C0"/>
    <w:rsid w:val="00E57A8A"/>
    <w:rsid w:val="00E57A98"/>
    <w:rsid w:val="00E57AAB"/>
    <w:rsid w:val="00E57D26"/>
    <w:rsid w:val="00E57E15"/>
    <w:rsid w:val="00E57ECC"/>
    <w:rsid w:val="00E57EE7"/>
    <w:rsid w:val="00E57F2F"/>
    <w:rsid w:val="00E57FF3"/>
    <w:rsid w:val="00E60086"/>
    <w:rsid w:val="00E60139"/>
    <w:rsid w:val="00E60315"/>
    <w:rsid w:val="00E603E9"/>
    <w:rsid w:val="00E6042D"/>
    <w:rsid w:val="00E60522"/>
    <w:rsid w:val="00E60709"/>
    <w:rsid w:val="00E607D5"/>
    <w:rsid w:val="00E607D8"/>
    <w:rsid w:val="00E60884"/>
    <w:rsid w:val="00E609A8"/>
    <w:rsid w:val="00E60AB2"/>
    <w:rsid w:val="00E60B4C"/>
    <w:rsid w:val="00E611B1"/>
    <w:rsid w:val="00E611C5"/>
    <w:rsid w:val="00E6138A"/>
    <w:rsid w:val="00E61481"/>
    <w:rsid w:val="00E61488"/>
    <w:rsid w:val="00E61551"/>
    <w:rsid w:val="00E61583"/>
    <w:rsid w:val="00E615E3"/>
    <w:rsid w:val="00E6168E"/>
    <w:rsid w:val="00E61850"/>
    <w:rsid w:val="00E61A4B"/>
    <w:rsid w:val="00E61ACA"/>
    <w:rsid w:val="00E61D7D"/>
    <w:rsid w:val="00E61E8C"/>
    <w:rsid w:val="00E6220D"/>
    <w:rsid w:val="00E622B2"/>
    <w:rsid w:val="00E62424"/>
    <w:rsid w:val="00E6243C"/>
    <w:rsid w:val="00E624E9"/>
    <w:rsid w:val="00E62645"/>
    <w:rsid w:val="00E62690"/>
    <w:rsid w:val="00E6269F"/>
    <w:rsid w:val="00E62825"/>
    <w:rsid w:val="00E62C05"/>
    <w:rsid w:val="00E62D18"/>
    <w:rsid w:val="00E62E96"/>
    <w:rsid w:val="00E62FA4"/>
    <w:rsid w:val="00E630D6"/>
    <w:rsid w:val="00E63383"/>
    <w:rsid w:val="00E6347C"/>
    <w:rsid w:val="00E634AC"/>
    <w:rsid w:val="00E634D4"/>
    <w:rsid w:val="00E635A0"/>
    <w:rsid w:val="00E63647"/>
    <w:rsid w:val="00E6367C"/>
    <w:rsid w:val="00E6378A"/>
    <w:rsid w:val="00E637F4"/>
    <w:rsid w:val="00E63A1D"/>
    <w:rsid w:val="00E63C2B"/>
    <w:rsid w:val="00E63CFE"/>
    <w:rsid w:val="00E63D5A"/>
    <w:rsid w:val="00E63EC3"/>
    <w:rsid w:val="00E642E4"/>
    <w:rsid w:val="00E64423"/>
    <w:rsid w:val="00E6443E"/>
    <w:rsid w:val="00E644DB"/>
    <w:rsid w:val="00E644F8"/>
    <w:rsid w:val="00E64876"/>
    <w:rsid w:val="00E64AEE"/>
    <w:rsid w:val="00E64D71"/>
    <w:rsid w:val="00E64E06"/>
    <w:rsid w:val="00E64E95"/>
    <w:rsid w:val="00E64FCB"/>
    <w:rsid w:val="00E65003"/>
    <w:rsid w:val="00E6508D"/>
    <w:rsid w:val="00E6519B"/>
    <w:rsid w:val="00E6536A"/>
    <w:rsid w:val="00E6537D"/>
    <w:rsid w:val="00E65714"/>
    <w:rsid w:val="00E65861"/>
    <w:rsid w:val="00E65B97"/>
    <w:rsid w:val="00E65BF7"/>
    <w:rsid w:val="00E65CEB"/>
    <w:rsid w:val="00E65F9E"/>
    <w:rsid w:val="00E66067"/>
    <w:rsid w:val="00E6610C"/>
    <w:rsid w:val="00E66408"/>
    <w:rsid w:val="00E6640B"/>
    <w:rsid w:val="00E664A9"/>
    <w:rsid w:val="00E665CC"/>
    <w:rsid w:val="00E667FE"/>
    <w:rsid w:val="00E669CB"/>
    <w:rsid w:val="00E66AAC"/>
    <w:rsid w:val="00E66C49"/>
    <w:rsid w:val="00E66D65"/>
    <w:rsid w:val="00E67045"/>
    <w:rsid w:val="00E670A5"/>
    <w:rsid w:val="00E6724C"/>
    <w:rsid w:val="00E67262"/>
    <w:rsid w:val="00E67381"/>
    <w:rsid w:val="00E673ED"/>
    <w:rsid w:val="00E6765E"/>
    <w:rsid w:val="00E67707"/>
    <w:rsid w:val="00E678A6"/>
    <w:rsid w:val="00E67C75"/>
    <w:rsid w:val="00E67CB0"/>
    <w:rsid w:val="00E67F27"/>
    <w:rsid w:val="00E67FA1"/>
    <w:rsid w:val="00E701EE"/>
    <w:rsid w:val="00E70255"/>
    <w:rsid w:val="00E70310"/>
    <w:rsid w:val="00E70337"/>
    <w:rsid w:val="00E7046B"/>
    <w:rsid w:val="00E7046E"/>
    <w:rsid w:val="00E70741"/>
    <w:rsid w:val="00E7075B"/>
    <w:rsid w:val="00E70817"/>
    <w:rsid w:val="00E70CD3"/>
    <w:rsid w:val="00E70E00"/>
    <w:rsid w:val="00E70E90"/>
    <w:rsid w:val="00E70F87"/>
    <w:rsid w:val="00E70F9C"/>
    <w:rsid w:val="00E710C4"/>
    <w:rsid w:val="00E7115C"/>
    <w:rsid w:val="00E7151A"/>
    <w:rsid w:val="00E715F5"/>
    <w:rsid w:val="00E71876"/>
    <w:rsid w:val="00E719CE"/>
    <w:rsid w:val="00E71C80"/>
    <w:rsid w:val="00E71CA2"/>
    <w:rsid w:val="00E71E82"/>
    <w:rsid w:val="00E7206B"/>
    <w:rsid w:val="00E72137"/>
    <w:rsid w:val="00E72195"/>
    <w:rsid w:val="00E72263"/>
    <w:rsid w:val="00E72302"/>
    <w:rsid w:val="00E7235D"/>
    <w:rsid w:val="00E72446"/>
    <w:rsid w:val="00E72507"/>
    <w:rsid w:val="00E7262F"/>
    <w:rsid w:val="00E72751"/>
    <w:rsid w:val="00E72761"/>
    <w:rsid w:val="00E727FE"/>
    <w:rsid w:val="00E72A09"/>
    <w:rsid w:val="00E72B81"/>
    <w:rsid w:val="00E72EF4"/>
    <w:rsid w:val="00E7328A"/>
    <w:rsid w:val="00E732A2"/>
    <w:rsid w:val="00E73586"/>
    <w:rsid w:val="00E735DA"/>
    <w:rsid w:val="00E735ED"/>
    <w:rsid w:val="00E738F8"/>
    <w:rsid w:val="00E73A28"/>
    <w:rsid w:val="00E73BCA"/>
    <w:rsid w:val="00E73D23"/>
    <w:rsid w:val="00E73DA6"/>
    <w:rsid w:val="00E73DD3"/>
    <w:rsid w:val="00E73DDE"/>
    <w:rsid w:val="00E73E20"/>
    <w:rsid w:val="00E74048"/>
    <w:rsid w:val="00E741C0"/>
    <w:rsid w:val="00E744EE"/>
    <w:rsid w:val="00E746FC"/>
    <w:rsid w:val="00E74799"/>
    <w:rsid w:val="00E748D1"/>
    <w:rsid w:val="00E74A5E"/>
    <w:rsid w:val="00E74B1D"/>
    <w:rsid w:val="00E74C96"/>
    <w:rsid w:val="00E74DD2"/>
    <w:rsid w:val="00E74EFF"/>
    <w:rsid w:val="00E7505A"/>
    <w:rsid w:val="00E750BB"/>
    <w:rsid w:val="00E75192"/>
    <w:rsid w:val="00E75666"/>
    <w:rsid w:val="00E75804"/>
    <w:rsid w:val="00E75811"/>
    <w:rsid w:val="00E7593D"/>
    <w:rsid w:val="00E759BB"/>
    <w:rsid w:val="00E759DC"/>
    <w:rsid w:val="00E75AAD"/>
    <w:rsid w:val="00E75ADB"/>
    <w:rsid w:val="00E75B2A"/>
    <w:rsid w:val="00E75CE5"/>
    <w:rsid w:val="00E75FB0"/>
    <w:rsid w:val="00E76289"/>
    <w:rsid w:val="00E7629A"/>
    <w:rsid w:val="00E76460"/>
    <w:rsid w:val="00E7652F"/>
    <w:rsid w:val="00E765E0"/>
    <w:rsid w:val="00E767AD"/>
    <w:rsid w:val="00E7684A"/>
    <w:rsid w:val="00E7687A"/>
    <w:rsid w:val="00E768B6"/>
    <w:rsid w:val="00E7691C"/>
    <w:rsid w:val="00E76B9E"/>
    <w:rsid w:val="00E76BC6"/>
    <w:rsid w:val="00E76D82"/>
    <w:rsid w:val="00E76DB3"/>
    <w:rsid w:val="00E77134"/>
    <w:rsid w:val="00E771C0"/>
    <w:rsid w:val="00E77459"/>
    <w:rsid w:val="00E775FB"/>
    <w:rsid w:val="00E7766B"/>
    <w:rsid w:val="00E77772"/>
    <w:rsid w:val="00E7777E"/>
    <w:rsid w:val="00E77E0D"/>
    <w:rsid w:val="00E77F0A"/>
    <w:rsid w:val="00E80012"/>
    <w:rsid w:val="00E800C1"/>
    <w:rsid w:val="00E80191"/>
    <w:rsid w:val="00E80307"/>
    <w:rsid w:val="00E8041A"/>
    <w:rsid w:val="00E80428"/>
    <w:rsid w:val="00E80654"/>
    <w:rsid w:val="00E80689"/>
    <w:rsid w:val="00E80B80"/>
    <w:rsid w:val="00E80BD9"/>
    <w:rsid w:val="00E80BEA"/>
    <w:rsid w:val="00E80CDA"/>
    <w:rsid w:val="00E80EC2"/>
    <w:rsid w:val="00E8106A"/>
    <w:rsid w:val="00E8128C"/>
    <w:rsid w:val="00E813E8"/>
    <w:rsid w:val="00E816FA"/>
    <w:rsid w:val="00E81990"/>
    <w:rsid w:val="00E81A6B"/>
    <w:rsid w:val="00E81B18"/>
    <w:rsid w:val="00E81C21"/>
    <w:rsid w:val="00E81C4E"/>
    <w:rsid w:val="00E81D04"/>
    <w:rsid w:val="00E81E2A"/>
    <w:rsid w:val="00E81FF1"/>
    <w:rsid w:val="00E82048"/>
    <w:rsid w:val="00E820B7"/>
    <w:rsid w:val="00E821B0"/>
    <w:rsid w:val="00E82231"/>
    <w:rsid w:val="00E8243A"/>
    <w:rsid w:val="00E8253B"/>
    <w:rsid w:val="00E82691"/>
    <w:rsid w:val="00E826DB"/>
    <w:rsid w:val="00E827BF"/>
    <w:rsid w:val="00E82909"/>
    <w:rsid w:val="00E829A8"/>
    <w:rsid w:val="00E82A49"/>
    <w:rsid w:val="00E82BC4"/>
    <w:rsid w:val="00E82BDD"/>
    <w:rsid w:val="00E82C51"/>
    <w:rsid w:val="00E82C84"/>
    <w:rsid w:val="00E82EA5"/>
    <w:rsid w:val="00E8306C"/>
    <w:rsid w:val="00E830A0"/>
    <w:rsid w:val="00E831A5"/>
    <w:rsid w:val="00E832F3"/>
    <w:rsid w:val="00E835E0"/>
    <w:rsid w:val="00E83616"/>
    <w:rsid w:val="00E83653"/>
    <w:rsid w:val="00E836A8"/>
    <w:rsid w:val="00E836D9"/>
    <w:rsid w:val="00E837C4"/>
    <w:rsid w:val="00E837CD"/>
    <w:rsid w:val="00E83907"/>
    <w:rsid w:val="00E83C97"/>
    <w:rsid w:val="00E83CC7"/>
    <w:rsid w:val="00E83D23"/>
    <w:rsid w:val="00E83EA2"/>
    <w:rsid w:val="00E83EC7"/>
    <w:rsid w:val="00E83F7F"/>
    <w:rsid w:val="00E8413E"/>
    <w:rsid w:val="00E841FA"/>
    <w:rsid w:val="00E843F8"/>
    <w:rsid w:val="00E846EF"/>
    <w:rsid w:val="00E84A29"/>
    <w:rsid w:val="00E84AB5"/>
    <w:rsid w:val="00E84AFA"/>
    <w:rsid w:val="00E84C98"/>
    <w:rsid w:val="00E84DD7"/>
    <w:rsid w:val="00E84EA4"/>
    <w:rsid w:val="00E84FAA"/>
    <w:rsid w:val="00E8503C"/>
    <w:rsid w:val="00E85061"/>
    <w:rsid w:val="00E851AB"/>
    <w:rsid w:val="00E85379"/>
    <w:rsid w:val="00E8578E"/>
    <w:rsid w:val="00E8582D"/>
    <w:rsid w:val="00E858A8"/>
    <w:rsid w:val="00E85A82"/>
    <w:rsid w:val="00E85A8E"/>
    <w:rsid w:val="00E85B18"/>
    <w:rsid w:val="00E85B7D"/>
    <w:rsid w:val="00E85BBF"/>
    <w:rsid w:val="00E85E25"/>
    <w:rsid w:val="00E8603A"/>
    <w:rsid w:val="00E86099"/>
    <w:rsid w:val="00E86107"/>
    <w:rsid w:val="00E86134"/>
    <w:rsid w:val="00E8648C"/>
    <w:rsid w:val="00E864F1"/>
    <w:rsid w:val="00E8652E"/>
    <w:rsid w:val="00E867BB"/>
    <w:rsid w:val="00E86B67"/>
    <w:rsid w:val="00E86B86"/>
    <w:rsid w:val="00E86D52"/>
    <w:rsid w:val="00E86DD5"/>
    <w:rsid w:val="00E86DFD"/>
    <w:rsid w:val="00E86F67"/>
    <w:rsid w:val="00E8705C"/>
    <w:rsid w:val="00E87188"/>
    <w:rsid w:val="00E871C1"/>
    <w:rsid w:val="00E87310"/>
    <w:rsid w:val="00E8732B"/>
    <w:rsid w:val="00E873E0"/>
    <w:rsid w:val="00E8751A"/>
    <w:rsid w:val="00E8779C"/>
    <w:rsid w:val="00E878E7"/>
    <w:rsid w:val="00E87D67"/>
    <w:rsid w:val="00E900A2"/>
    <w:rsid w:val="00E9017D"/>
    <w:rsid w:val="00E901E4"/>
    <w:rsid w:val="00E90420"/>
    <w:rsid w:val="00E9045B"/>
    <w:rsid w:val="00E9053B"/>
    <w:rsid w:val="00E905ED"/>
    <w:rsid w:val="00E9062B"/>
    <w:rsid w:val="00E90742"/>
    <w:rsid w:val="00E907F4"/>
    <w:rsid w:val="00E909DF"/>
    <w:rsid w:val="00E90A3F"/>
    <w:rsid w:val="00E90AEE"/>
    <w:rsid w:val="00E90D28"/>
    <w:rsid w:val="00E90E5B"/>
    <w:rsid w:val="00E90E7E"/>
    <w:rsid w:val="00E90EEC"/>
    <w:rsid w:val="00E9101C"/>
    <w:rsid w:val="00E91099"/>
    <w:rsid w:val="00E91102"/>
    <w:rsid w:val="00E91238"/>
    <w:rsid w:val="00E91604"/>
    <w:rsid w:val="00E91779"/>
    <w:rsid w:val="00E91A26"/>
    <w:rsid w:val="00E91AAA"/>
    <w:rsid w:val="00E91B56"/>
    <w:rsid w:val="00E91C1E"/>
    <w:rsid w:val="00E91C49"/>
    <w:rsid w:val="00E91CF6"/>
    <w:rsid w:val="00E91D73"/>
    <w:rsid w:val="00E91F45"/>
    <w:rsid w:val="00E92172"/>
    <w:rsid w:val="00E92208"/>
    <w:rsid w:val="00E92256"/>
    <w:rsid w:val="00E92364"/>
    <w:rsid w:val="00E924EE"/>
    <w:rsid w:val="00E924FA"/>
    <w:rsid w:val="00E92571"/>
    <w:rsid w:val="00E9268B"/>
    <w:rsid w:val="00E926F5"/>
    <w:rsid w:val="00E92812"/>
    <w:rsid w:val="00E92A77"/>
    <w:rsid w:val="00E92CA3"/>
    <w:rsid w:val="00E92E88"/>
    <w:rsid w:val="00E92EDD"/>
    <w:rsid w:val="00E92EEA"/>
    <w:rsid w:val="00E92F23"/>
    <w:rsid w:val="00E93075"/>
    <w:rsid w:val="00E931CD"/>
    <w:rsid w:val="00E9331A"/>
    <w:rsid w:val="00E93562"/>
    <w:rsid w:val="00E93594"/>
    <w:rsid w:val="00E936B0"/>
    <w:rsid w:val="00E9378F"/>
    <w:rsid w:val="00E93A24"/>
    <w:rsid w:val="00E93BB9"/>
    <w:rsid w:val="00E93BCF"/>
    <w:rsid w:val="00E94257"/>
    <w:rsid w:val="00E943A2"/>
    <w:rsid w:val="00E943AB"/>
    <w:rsid w:val="00E9462A"/>
    <w:rsid w:val="00E9489D"/>
    <w:rsid w:val="00E949BF"/>
    <w:rsid w:val="00E94AFA"/>
    <w:rsid w:val="00E94C58"/>
    <w:rsid w:val="00E94C90"/>
    <w:rsid w:val="00E94E07"/>
    <w:rsid w:val="00E94E36"/>
    <w:rsid w:val="00E94FFC"/>
    <w:rsid w:val="00E95015"/>
    <w:rsid w:val="00E95075"/>
    <w:rsid w:val="00E950B1"/>
    <w:rsid w:val="00E950FA"/>
    <w:rsid w:val="00E95252"/>
    <w:rsid w:val="00E95433"/>
    <w:rsid w:val="00E9583C"/>
    <w:rsid w:val="00E95E28"/>
    <w:rsid w:val="00E95E39"/>
    <w:rsid w:val="00E95EF5"/>
    <w:rsid w:val="00E95F2C"/>
    <w:rsid w:val="00E95F91"/>
    <w:rsid w:val="00E9600D"/>
    <w:rsid w:val="00E96094"/>
    <w:rsid w:val="00E9613C"/>
    <w:rsid w:val="00E961D4"/>
    <w:rsid w:val="00E9632D"/>
    <w:rsid w:val="00E963B3"/>
    <w:rsid w:val="00E963BD"/>
    <w:rsid w:val="00E9654D"/>
    <w:rsid w:val="00E9672C"/>
    <w:rsid w:val="00E9679F"/>
    <w:rsid w:val="00E96805"/>
    <w:rsid w:val="00E969D8"/>
    <w:rsid w:val="00E96DBB"/>
    <w:rsid w:val="00E9714A"/>
    <w:rsid w:val="00E9726E"/>
    <w:rsid w:val="00E9729B"/>
    <w:rsid w:val="00E97300"/>
    <w:rsid w:val="00E9731A"/>
    <w:rsid w:val="00E975D7"/>
    <w:rsid w:val="00E978D9"/>
    <w:rsid w:val="00E97A6D"/>
    <w:rsid w:val="00E97C7D"/>
    <w:rsid w:val="00E97D47"/>
    <w:rsid w:val="00E97EC5"/>
    <w:rsid w:val="00E97EE0"/>
    <w:rsid w:val="00E97F7E"/>
    <w:rsid w:val="00EA006F"/>
    <w:rsid w:val="00EA018C"/>
    <w:rsid w:val="00EA01B6"/>
    <w:rsid w:val="00EA0258"/>
    <w:rsid w:val="00EA03FB"/>
    <w:rsid w:val="00EA0438"/>
    <w:rsid w:val="00EA0565"/>
    <w:rsid w:val="00EA068A"/>
    <w:rsid w:val="00EA076E"/>
    <w:rsid w:val="00EA09EB"/>
    <w:rsid w:val="00EA0A52"/>
    <w:rsid w:val="00EA0AB8"/>
    <w:rsid w:val="00EA0BE4"/>
    <w:rsid w:val="00EA0C48"/>
    <w:rsid w:val="00EA0CA7"/>
    <w:rsid w:val="00EA0DE5"/>
    <w:rsid w:val="00EA0EEF"/>
    <w:rsid w:val="00EA1244"/>
    <w:rsid w:val="00EA1277"/>
    <w:rsid w:val="00EA127C"/>
    <w:rsid w:val="00EA1559"/>
    <w:rsid w:val="00EA15BB"/>
    <w:rsid w:val="00EA172C"/>
    <w:rsid w:val="00EA1929"/>
    <w:rsid w:val="00EA1C2F"/>
    <w:rsid w:val="00EA1FA9"/>
    <w:rsid w:val="00EA2091"/>
    <w:rsid w:val="00EA2223"/>
    <w:rsid w:val="00EA23F8"/>
    <w:rsid w:val="00EA2410"/>
    <w:rsid w:val="00EA24EE"/>
    <w:rsid w:val="00EA25D6"/>
    <w:rsid w:val="00EA2690"/>
    <w:rsid w:val="00EA284F"/>
    <w:rsid w:val="00EA28BC"/>
    <w:rsid w:val="00EA291B"/>
    <w:rsid w:val="00EA2B67"/>
    <w:rsid w:val="00EA2BB7"/>
    <w:rsid w:val="00EA2CCC"/>
    <w:rsid w:val="00EA2E5C"/>
    <w:rsid w:val="00EA2F17"/>
    <w:rsid w:val="00EA302C"/>
    <w:rsid w:val="00EA321E"/>
    <w:rsid w:val="00EA32AC"/>
    <w:rsid w:val="00EA32D4"/>
    <w:rsid w:val="00EA3369"/>
    <w:rsid w:val="00EA339B"/>
    <w:rsid w:val="00EA3460"/>
    <w:rsid w:val="00EA35B6"/>
    <w:rsid w:val="00EA3689"/>
    <w:rsid w:val="00EA3717"/>
    <w:rsid w:val="00EA3817"/>
    <w:rsid w:val="00EA3B67"/>
    <w:rsid w:val="00EA3BCE"/>
    <w:rsid w:val="00EA3E6D"/>
    <w:rsid w:val="00EA4064"/>
    <w:rsid w:val="00EA41D9"/>
    <w:rsid w:val="00EA423E"/>
    <w:rsid w:val="00EA442E"/>
    <w:rsid w:val="00EA44A7"/>
    <w:rsid w:val="00EA44AE"/>
    <w:rsid w:val="00EA4513"/>
    <w:rsid w:val="00EA45C2"/>
    <w:rsid w:val="00EA45F9"/>
    <w:rsid w:val="00EA46BE"/>
    <w:rsid w:val="00EA4953"/>
    <w:rsid w:val="00EA4AEE"/>
    <w:rsid w:val="00EA4B53"/>
    <w:rsid w:val="00EA4C68"/>
    <w:rsid w:val="00EA4CDF"/>
    <w:rsid w:val="00EA4D68"/>
    <w:rsid w:val="00EA4EFD"/>
    <w:rsid w:val="00EA4F6E"/>
    <w:rsid w:val="00EA51E9"/>
    <w:rsid w:val="00EA53DF"/>
    <w:rsid w:val="00EA542D"/>
    <w:rsid w:val="00EA5535"/>
    <w:rsid w:val="00EA5546"/>
    <w:rsid w:val="00EA561F"/>
    <w:rsid w:val="00EA5662"/>
    <w:rsid w:val="00EA5777"/>
    <w:rsid w:val="00EA5929"/>
    <w:rsid w:val="00EA5994"/>
    <w:rsid w:val="00EA5A26"/>
    <w:rsid w:val="00EA5A2E"/>
    <w:rsid w:val="00EA5A91"/>
    <w:rsid w:val="00EA5AFC"/>
    <w:rsid w:val="00EA5BD3"/>
    <w:rsid w:val="00EA5C05"/>
    <w:rsid w:val="00EA5DD4"/>
    <w:rsid w:val="00EA5FEF"/>
    <w:rsid w:val="00EA618C"/>
    <w:rsid w:val="00EA61FD"/>
    <w:rsid w:val="00EA6284"/>
    <w:rsid w:val="00EA656F"/>
    <w:rsid w:val="00EA669D"/>
    <w:rsid w:val="00EA66EB"/>
    <w:rsid w:val="00EA676E"/>
    <w:rsid w:val="00EA6D40"/>
    <w:rsid w:val="00EA6E33"/>
    <w:rsid w:val="00EA741A"/>
    <w:rsid w:val="00EA748A"/>
    <w:rsid w:val="00EA787C"/>
    <w:rsid w:val="00EA7912"/>
    <w:rsid w:val="00EA7A4F"/>
    <w:rsid w:val="00EA7A6B"/>
    <w:rsid w:val="00EA7AF5"/>
    <w:rsid w:val="00EA7BEE"/>
    <w:rsid w:val="00EA7BFF"/>
    <w:rsid w:val="00EA7CF1"/>
    <w:rsid w:val="00EA7F71"/>
    <w:rsid w:val="00EB003C"/>
    <w:rsid w:val="00EB01AE"/>
    <w:rsid w:val="00EB064A"/>
    <w:rsid w:val="00EB077B"/>
    <w:rsid w:val="00EB084D"/>
    <w:rsid w:val="00EB086B"/>
    <w:rsid w:val="00EB0ACD"/>
    <w:rsid w:val="00EB0B04"/>
    <w:rsid w:val="00EB0C59"/>
    <w:rsid w:val="00EB0CA2"/>
    <w:rsid w:val="00EB0D69"/>
    <w:rsid w:val="00EB0DBB"/>
    <w:rsid w:val="00EB0FF4"/>
    <w:rsid w:val="00EB1168"/>
    <w:rsid w:val="00EB1361"/>
    <w:rsid w:val="00EB1382"/>
    <w:rsid w:val="00EB1471"/>
    <w:rsid w:val="00EB174C"/>
    <w:rsid w:val="00EB1904"/>
    <w:rsid w:val="00EB19BB"/>
    <w:rsid w:val="00EB19CA"/>
    <w:rsid w:val="00EB1A1A"/>
    <w:rsid w:val="00EB233D"/>
    <w:rsid w:val="00EB238E"/>
    <w:rsid w:val="00EB261B"/>
    <w:rsid w:val="00EB27FF"/>
    <w:rsid w:val="00EB2C33"/>
    <w:rsid w:val="00EB2EE3"/>
    <w:rsid w:val="00EB2F63"/>
    <w:rsid w:val="00EB3063"/>
    <w:rsid w:val="00EB309C"/>
    <w:rsid w:val="00EB31EC"/>
    <w:rsid w:val="00EB31EF"/>
    <w:rsid w:val="00EB31FF"/>
    <w:rsid w:val="00EB3366"/>
    <w:rsid w:val="00EB339A"/>
    <w:rsid w:val="00EB3468"/>
    <w:rsid w:val="00EB34E4"/>
    <w:rsid w:val="00EB35BD"/>
    <w:rsid w:val="00EB364F"/>
    <w:rsid w:val="00EB3653"/>
    <w:rsid w:val="00EB367F"/>
    <w:rsid w:val="00EB369C"/>
    <w:rsid w:val="00EB3ADB"/>
    <w:rsid w:val="00EB3BD4"/>
    <w:rsid w:val="00EB3C13"/>
    <w:rsid w:val="00EB3C61"/>
    <w:rsid w:val="00EB3CE5"/>
    <w:rsid w:val="00EB3D1F"/>
    <w:rsid w:val="00EB3D63"/>
    <w:rsid w:val="00EB3D99"/>
    <w:rsid w:val="00EB3F95"/>
    <w:rsid w:val="00EB415A"/>
    <w:rsid w:val="00EB41D9"/>
    <w:rsid w:val="00EB4373"/>
    <w:rsid w:val="00EB43A0"/>
    <w:rsid w:val="00EB43A2"/>
    <w:rsid w:val="00EB470D"/>
    <w:rsid w:val="00EB472C"/>
    <w:rsid w:val="00EB4AA0"/>
    <w:rsid w:val="00EB4AAC"/>
    <w:rsid w:val="00EB4BBA"/>
    <w:rsid w:val="00EB4E13"/>
    <w:rsid w:val="00EB4E4B"/>
    <w:rsid w:val="00EB4ED4"/>
    <w:rsid w:val="00EB5045"/>
    <w:rsid w:val="00EB5090"/>
    <w:rsid w:val="00EB5149"/>
    <w:rsid w:val="00EB51FF"/>
    <w:rsid w:val="00EB52D6"/>
    <w:rsid w:val="00EB54D2"/>
    <w:rsid w:val="00EB560F"/>
    <w:rsid w:val="00EB593A"/>
    <w:rsid w:val="00EB5A04"/>
    <w:rsid w:val="00EB5A41"/>
    <w:rsid w:val="00EB5DB2"/>
    <w:rsid w:val="00EB617F"/>
    <w:rsid w:val="00EB6691"/>
    <w:rsid w:val="00EB66A2"/>
    <w:rsid w:val="00EB680C"/>
    <w:rsid w:val="00EB6846"/>
    <w:rsid w:val="00EB6E52"/>
    <w:rsid w:val="00EB6E62"/>
    <w:rsid w:val="00EB6EED"/>
    <w:rsid w:val="00EB7345"/>
    <w:rsid w:val="00EB74BE"/>
    <w:rsid w:val="00EB7500"/>
    <w:rsid w:val="00EB761D"/>
    <w:rsid w:val="00EB7753"/>
    <w:rsid w:val="00EB7802"/>
    <w:rsid w:val="00EB7C37"/>
    <w:rsid w:val="00EB7D34"/>
    <w:rsid w:val="00EB7D5B"/>
    <w:rsid w:val="00EB7DDB"/>
    <w:rsid w:val="00EB7F9A"/>
    <w:rsid w:val="00EC0099"/>
    <w:rsid w:val="00EC0146"/>
    <w:rsid w:val="00EC0157"/>
    <w:rsid w:val="00EC034D"/>
    <w:rsid w:val="00EC0350"/>
    <w:rsid w:val="00EC03BB"/>
    <w:rsid w:val="00EC0997"/>
    <w:rsid w:val="00EC09CF"/>
    <w:rsid w:val="00EC0AB0"/>
    <w:rsid w:val="00EC0D61"/>
    <w:rsid w:val="00EC0DD8"/>
    <w:rsid w:val="00EC0F28"/>
    <w:rsid w:val="00EC110B"/>
    <w:rsid w:val="00EC1150"/>
    <w:rsid w:val="00EC11CF"/>
    <w:rsid w:val="00EC11D6"/>
    <w:rsid w:val="00EC124B"/>
    <w:rsid w:val="00EC12FB"/>
    <w:rsid w:val="00EC131B"/>
    <w:rsid w:val="00EC132D"/>
    <w:rsid w:val="00EC14AC"/>
    <w:rsid w:val="00EC1808"/>
    <w:rsid w:val="00EC1872"/>
    <w:rsid w:val="00EC192B"/>
    <w:rsid w:val="00EC1A38"/>
    <w:rsid w:val="00EC1A3B"/>
    <w:rsid w:val="00EC1B68"/>
    <w:rsid w:val="00EC1BA0"/>
    <w:rsid w:val="00EC1C09"/>
    <w:rsid w:val="00EC1DCB"/>
    <w:rsid w:val="00EC1E27"/>
    <w:rsid w:val="00EC1E72"/>
    <w:rsid w:val="00EC1F86"/>
    <w:rsid w:val="00EC2010"/>
    <w:rsid w:val="00EC20D0"/>
    <w:rsid w:val="00EC215C"/>
    <w:rsid w:val="00EC2182"/>
    <w:rsid w:val="00EC2305"/>
    <w:rsid w:val="00EC23D2"/>
    <w:rsid w:val="00EC2443"/>
    <w:rsid w:val="00EC249B"/>
    <w:rsid w:val="00EC2814"/>
    <w:rsid w:val="00EC2818"/>
    <w:rsid w:val="00EC2AED"/>
    <w:rsid w:val="00EC2B34"/>
    <w:rsid w:val="00EC2F27"/>
    <w:rsid w:val="00EC3151"/>
    <w:rsid w:val="00EC334C"/>
    <w:rsid w:val="00EC33A1"/>
    <w:rsid w:val="00EC3468"/>
    <w:rsid w:val="00EC3481"/>
    <w:rsid w:val="00EC35FC"/>
    <w:rsid w:val="00EC363E"/>
    <w:rsid w:val="00EC39EC"/>
    <w:rsid w:val="00EC3D30"/>
    <w:rsid w:val="00EC3D7D"/>
    <w:rsid w:val="00EC3F31"/>
    <w:rsid w:val="00EC3FB8"/>
    <w:rsid w:val="00EC45AD"/>
    <w:rsid w:val="00EC45E4"/>
    <w:rsid w:val="00EC461B"/>
    <w:rsid w:val="00EC46BC"/>
    <w:rsid w:val="00EC46D7"/>
    <w:rsid w:val="00EC48B6"/>
    <w:rsid w:val="00EC4E04"/>
    <w:rsid w:val="00EC4E1D"/>
    <w:rsid w:val="00EC50CA"/>
    <w:rsid w:val="00EC545C"/>
    <w:rsid w:val="00EC548F"/>
    <w:rsid w:val="00EC55FF"/>
    <w:rsid w:val="00EC562B"/>
    <w:rsid w:val="00EC56D3"/>
    <w:rsid w:val="00EC5816"/>
    <w:rsid w:val="00EC5852"/>
    <w:rsid w:val="00EC59CF"/>
    <w:rsid w:val="00EC5A02"/>
    <w:rsid w:val="00EC5A34"/>
    <w:rsid w:val="00EC5A38"/>
    <w:rsid w:val="00EC5A44"/>
    <w:rsid w:val="00EC5BAE"/>
    <w:rsid w:val="00EC5BBA"/>
    <w:rsid w:val="00EC5E6D"/>
    <w:rsid w:val="00EC5FB0"/>
    <w:rsid w:val="00EC631B"/>
    <w:rsid w:val="00EC63F5"/>
    <w:rsid w:val="00EC642F"/>
    <w:rsid w:val="00EC65A7"/>
    <w:rsid w:val="00EC6618"/>
    <w:rsid w:val="00EC6685"/>
    <w:rsid w:val="00EC6849"/>
    <w:rsid w:val="00EC69D1"/>
    <w:rsid w:val="00EC6A65"/>
    <w:rsid w:val="00EC6A6E"/>
    <w:rsid w:val="00EC6ADB"/>
    <w:rsid w:val="00EC6FAA"/>
    <w:rsid w:val="00EC7023"/>
    <w:rsid w:val="00EC70A9"/>
    <w:rsid w:val="00EC71AE"/>
    <w:rsid w:val="00EC72ED"/>
    <w:rsid w:val="00EC72F2"/>
    <w:rsid w:val="00EC7356"/>
    <w:rsid w:val="00EC75CB"/>
    <w:rsid w:val="00EC7681"/>
    <w:rsid w:val="00EC7790"/>
    <w:rsid w:val="00EC7815"/>
    <w:rsid w:val="00EC7A2B"/>
    <w:rsid w:val="00EC7A45"/>
    <w:rsid w:val="00EC7A70"/>
    <w:rsid w:val="00EC7B05"/>
    <w:rsid w:val="00EC7D19"/>
    <w:rsid w:val="00EC7FD3"/>
    <w:rsid w:val="00ED004D"/>
    <w:rsid w:val="00ED017C"/>
    <w:rsid w:val="00ED01CC"/>
    <w:rsid w:val="00ED04A9"/>
    <w:rsid w:val="00ED04FD"/>
    <w:rsid w:val="00ED0796"/>
    <w:rsid w:val="00ED0986"/>
    <w:rsid w:val="00ED0ABA"/>
    <w:rsid w:val="00ED0ABF"/>
    <w:rsid w:val="00ED0B6A"/>
    <w:rsid w:val="00ED0BDA"/>
    <w:rsid w:val="00ED0C7A"/>
    <w:rsid w:val="00ED0D98"/>
    <w:rsid w:val="00ED0DDC"/>
    <w:rsid w:val="00ED0DEE"/>
    <w:rsid w:val="00ED0EE9"/>
    <w:rsid w:val="00ED0F2E"/>
    <w:rsid w:val="00ED119E"/>
    <w:rsid w:val="00ED13D5"/>
    <w:rsid w:val="00ED1489"/>
    <w:rsid w:val="00ED1648"/>
    <w:rsid w:val="00ED1674"/>
    <w:rsid w:val="00ED17A3"/>
    <w:rsid w:val="00ED19D5"/>
    <w:rsid w:val="00ED1BF8"/>
    <w:rsid w:val="00ED1C82"/>
    <w:rsid w:val="00ED1CF8"/>
    <w:rsid w:val="00ED1D58"/>
    <w:rsid w:val="00ED1D9A"/>
    <w:rsid w:val="00ED1E64"/>
    <w:rsid w:val="00ED1E6D"/>
    <w:rsid w:val="00ED20D0"/>
    <w:rsid w:val="00ED2177"/>
    <w:rsid w:val="00ED2257"/>
    <w:rsid w:val="00ED2283"/>
    <w:rsid w:val="00ED2392"/>
    <w:rsid w:val="00ED23FA"/>
    <w:rsid w:val="00ED24D5"/>
    <w:rsid w:val="00ED2698"/>
    <w:rsid w:val="00ED286B"/>
    <w:rsid w:val="00ED28FE"/>
    <w:rsid w:val="00ED2902"/>
    <w:rsid w:val="00ED2993"/>
    <w:rsid w:val="00ED2AE5"/>
    <w:rsid w:val="00ED2BBC"/>
    <w:rsid w:val="00ED2C05"/>
    <w:rsid w:val="00ED2CB1"/>
    <w:rsid w:val="00ED2D76"/>
    <w:rsid w:val="00ED2DE4"/>
    <w:rsid w:val="00ED2F64"/>
    <w:rsid w:val="00ED3122"/>
    <w:rsid w:val="00ED312F"/>
    <w:rsid w:val="00ED33A6"/>
    <w:rsid w:val="00ED3437"/>
    <w:rsid w:val="00ED3452"/>
    <w:rsid w:val="00ED390E"/>
    <w:rsid w:val="00ED3AEB"/>
    <w:rsid w:val="00ED3AF0"/>
    <w:rsid w:val="00ED3CC5"/>
    <w:rsid w:val="00ED3DA5"/>
    <w:rsid w:val="00ED3EF6"/>
    <w:rsid w:val="00ED415A"/>
    <w:rsid w:val="00ED4211"/>
    <w:rsid w:val="00ED427A"/>
    <w:rsid w:val="00ED4446"/>
    <w:rsid w:val="00ED44C9"/>
    <w:rsid w:val="00ED451D"/>
    <w:rsid w:val="00ED46BE"/>
    <w:rsid w:val="00ED46C7"/>
    <w:rsid w:val="00ED4727"/>
    <w:rsid w:val="00ED47AA"/>
    <w:rsid w:val="00ED49A4"/>
    <w:rsid w:val="00ED4AAB"/>
    <w:rsid w:val="00ED4BFF"/>
    <w:rsid w:val="00ED4C2E"/>
    <w:rsid w:val="00ED4C37"/>
    <w:rsid w:val="00ED521A"/>
    <w:rsid w:val="00ED52EC"/>
    <w:rsid w:val="00ED5376"/>
    <w:rsid w:val="00ED54CE"/>
    <w:rsid w:val="00ED55E3"/>
    <w:rsid w:val="00ED568D"/>
    <w:rsid w:val="00ED584F"/>
    <w:rsid w:val="00ED59DE"/>
    <w:rsid w:val="00ED5AB0"/>
    <w:rsid w:val="00ED5B63"/>
    <w:rsid w:val="00ED5BC5"/>
    <w:rsid w:val="00ED5C12"/>
    <w:rsid w:val="00ED5D50"/>
    <w:rsid w:val="00ED5ECD"/>
    <w:rsid w:val="00ED5F84"/>
    <w:rsid w:val="00ED6077"/>
    <w:rsid w:val="00ED62C7"/>
    <w:rsid w:val="00ED62D2"/>
    <w:rsid w:val="00ED634F"/>
    <w:rsid w:val="00ED635D"/>
    <w:rsid w:val="00ED6423"/>
    <w:rsid w:val="00ED6542"/>
    <w:rsid w:val="00ED6594"/>
    <w:rsid w:val="00ED676F"/>
    <w:rsid w:val="00ED67BF"/>
    <w:rsid w:val="00ED67EF"/>
    <w:rsid w:val="00ED687D"/>
    <w:rsid w:val="00ED692A"/>
    <w:rsid w:val="00ED6A62"/>
    <w:rsid w:val="00ED6CF7"/>
    <w:rsid w:val="00ED6F0A"/>
    <w:rsid w:val="00ED7152"/>
    <w:rsid w:val="00ED7271"/>
    <w:rsid w:val="00ED740F"/>
    <w:rsid w:val="00ED7565"/>
    <w:rsid w:val="00ED7819"/>
    <w:rsid w:val="00ED7A26"/>
    <w:rsid w:val="00ED7A77"/>
    <w:rsid w:val="00ED7C84"/>
    <w:rsid w:val="00ED7DAB"/>
    <w:rsid w:val="00EE011F"/>
    <w:rsid w:val="00EE0512"/>
    <w:rsid w:val="00EE0720"/>
    <w:rsid w:val="00EE0999"/>
    <w:rsid w:val="00EE099D"/>
    <w:rsid w:val="00EE0A6F"/>
    <w:rsid w:val="00EE0BE4"/>
    <w:rsid w:val="00EE0BF5"/>
    <w:rsid w:val="00EE0DE3"/>
    <w:rsid w:val="00EE0E33"/>
    <w:rsid w:val="00EE0EBA"/>
    <w:rsid w:val="00EE0EC1"/>
    <w:rsid w:val="00EE0EE7"/>
    <w:rsid w:val="00EE0F01"/>
    <w:rsid w:val="00EE15BD"/>
    <w:rsid w:val="00EE15FD"/>
    <w:rsid w:val="00EE17FF"/>
    <w:rsid w:val="00EE1855"/>
    <w:rsid w:val="00EE19D7"/>
    <w:rsid w:val="00EE1DA9"/>
    <w:rsid w:val="00EE1DC2"/>
    <w:rsid w:val="00EE1FA1"/>
    <w:rsid w:val="00EE2053"/>
    <w:rsid w:val="00EE210A"/>
    <w:rsid w:val="00EE216D"/>
    <w:rsid w:val="00EE24C6"/>
    <w:rsid w:val="00EE2503"/>
    <w:rsid w:val="00EE2575"/>
    <w:rsid w:val="00EE2676"/>
    <w:rsid w:val="00EE2757"/>
    <w:rsid w:val="00EE27D3"/>
    <w:rsid w:val="00EE2837"/>
    <w:rsid w:val="00EE2935"/>
    <w:rsid w:val="00EE297F"/>
    <w:rsid w:val="00EE2A07"/>
    <w:rsid w:val="00EE2A95"/>
    <w:rsid w:val="00EE2B1F"/>
    <w:rsid w:val="00EE2B62"/>
    <w:rsid w:val="00EE2D91"/>
    <w:rsid w:val="00EE3128"/>
    <w:rsid w:val="00EE3138"/>
    <w:rsid w:val="00EE32D6"/>
    <w:rsid w:val="00EE336A"/>
    <w:rsid w:val="00EE341E"/>
    <w:rsid w:val="00EE34D9"/>
    <w:rsid w:val="00EE35B5"/>
    <w:rsid w:val="00EE3AA2"/>
    <w:rsid w:val="00EE3BB2"/>
    <w:rsid w:val="00EE3C2D"/>
    <w:rsid w:val="00EE3C59"/>
    <w:rsid w:val="00EE3C9F"/>
    <w:rsid w:val="00EE3D9A"/>
    <w:rsid w:val="00EE3E10"/>
    <w:rsid w:val="00EE3E29"/>
    <w:rsid w:val="00EE3F46"/>
    <w:rsid w:val="00EE3F78"/>
    <w:rsid w:val="00EE402D"/>
    <w:rsid w:val="00EE420C"/>
    <w:rsid w:val="00EE421D"/>
    <w:rsid w:val="00EE425B"/>
    <w:rsid w:val="00EE431B"/>
    <w:rsid w:val="00EE437D"/>
    <w:rsid w:val="00EE46CF"/>
    <w:rsid w:val="00EE4802"/>
    <w:rsid w:val="00EE4ABE"/>
    <w:rsid w:val="00EE4AFE"/>
    <w:rsid w:val="00EE4C53"/>
    <w:rsid w:val="00EE4D9A"/>
    <w:rsid w:val="00EE4E44"/>
    <w:rsid w:val="00EE4EF1"/>
    <w:rsid w:val="00EE4F7F"/>
    <w:rsid w:val="00EE507C"/>
    <w:rsid w:val="00EE517B"/>
    <w:rsid w:val="00EE5450"/>
    <w:rsid w:val="00EE550A"/>
    <w:rsid w:val="00EE569F"/>
    <w:rsid w:val="00EE56D1"/>
    <w:rsid w:val="00EE5726"/>
    <w:rsid w:val="00EE5778"/>
    <w:rsid w:val="00EE57EC"/>
    <w:rsid w:val="00EE5913"/>
    <w:rsid w:val="00EE5A53"/>
    <w:rsid w:val="00EE5A96"/>
    <w:rsid w:val="00EE5A9E"/>
    <w:rsid w:val="00EE5BF6"/>
    <w:rsid w:val="00EE5E1B"/>
    <w:rsid w:val="00EE5E5C"/>
    <w:rsid w:val="00EE5F59"/>
    <w:rsid w:val="00EE6013"/>
    <w:rsid w:val="00EE6205"/>
    <w:rsid w:val="00EE6549"/>
    <w:rsid w:val="00EE66F5"/>
    <w:rsid w:val="00EE6763"/>
    <w:rsid w:val="00EE6766"/>
    <w:rsid w:val="00EE6800"/>
    <w:rsid w:val="00EE6946"/>
    <w:rsid w:val="00EE6948"/>
    <w:rsid w:val="00EE6A80"/>
    <w:rsid w:val="00EE6BDC"/>
    <w:rsid w:val="00EE6DA5"/>
    <w:rsid w:val="00EE6DB6"/>
    <w:rsid w:val="00EE6DC8"/>
    <w:rsid w:val="00EE6FBD"/>
    <w:rsid w:val="00EE6FDD"/>
    <w:rsid w:val="00EE70C6"/>
    <w:rsid w:val="00EE70DD"/>
    <w:rsid w:val="00EE7440"/>
    <w:rsid w:val="00EE74F5"/>
    <w:rsid w:val="00EE75EE"/>
    <w:rsid w:val="00EE761C"/>
    <w:rsid w:val="00EE7701"/>
    <w:rsid w:val="00EE786F"/>
    <w:rsid w:val="00EE7A20"/>
    <w:rsid w:val="00EE7DE0"/>
    <w:rsid w:val="00EE7E64"/>
    <w:rsid w:val="00EE7E91"/>
    <w:rsid w:val="00EE7FB6"/>
    <w:rsid w:val="00EF00FB"/>
    <w:rsid w:val="00EF0201"/>
    <w:rsid w:val="00EF027F"/>
    <w:rsid w:val="00EF047F"/>
    <w:rsid w:val="00EF04E0"/>
    <w:rsid w:val="00EF0526"/>
    <w:rsid w:val="00EF068C"/>
    <w:rsid w:val="00EF070E"/>
    <w:rsid w:val="00EF0795"/>
    <w:rsid w:val="00EF08C1"/>
    <w:rsid w:val="00EF08FD"/>
    <w:rsid w:val="00EF0A18"/>
    <w:rsid w:val="00EF0A46"/>
    <w:rsid w:val="00EF0FCB"/>
    <w:rsid w:val="00EF1021"/>
    <w:rsid w:val="00EF1037"/>
    <w:rsid w:val="00EF12F8"/>
    <w:rsid w:val="00EF14BA"/>
    <w:rsid w:val="00EF16D2"/>
    <w:rsid w:val="00EF16E3"/>
    <w:rsid w:val="00EF1A7C"/>
    <w:rsid w:val="00EF1AC5"/>
    <w:rsid w:val="00EF1BB1"/>
    <w:rsid w:val="00EF1E93"/>
    <w:rsid w:val="00EF1FEB"/>
    <w:rsid w:val="00EF1FF8"/>
    <w:rsid w:val="00EF205B"/>
    <w:rsid w:val="00EF208A"/>
    <w:rsid w:val="00EF21C6"/>
    <w:rsid w:val="00EF25D9"/>
    <w:rsid w:val="00EF26F4"/>
    <w:rsid w:val="00EF298B"/>
    <w:rsid w:val="00EF2995"/>
    <w:rsid w:val="00EF29E4"/>
    <w:rsid w:val="00EF2AC4"/>
    <w:rsid w:val="00EF2CA4"/>
    <w:rsid w:val="00EF2FB4"/>
    <w:rsid w:val="00EF3016"/>
    <w:rsid w:val="00EF30AE"/>
    <w:rsid w:val="00EF32CB"/>
    <w:rsid w:val="00EF3312"/>
    <w:rsid w:val="00EF34C1"/>
    <w:rsid w:val="00EF35CA"/>
    <w:rsid w:val="00EF37C8"/>
    <w:rsid w:val="00EF39C4"/>
    <w:rsid w:val="00EF39DF"/>
    <w:rsid w:val="00EF3B77"/>
    <w:rsid w:val="00EF3C52"/>
    <w:rsid w:val="00EF3C99"/>
    <w:rsid w:val="00EF3CA1"/>
    <w:rsid w:val="00EF3DBA"/>
    <w:rsid w:val="00EF3F44"/>
    <w:rsid w:val="00EF404A"/>
    <w:rsid w:val="00EF40CC"/>
    <w:rsid w:val="00EF4215"/>
    <w:rsid w:val="00EF4228"/>
    <w:rsid w:val="00EF4320"/>
    <w:rsid w:val="00EF43FC"/>
    <w:rsid w:val="00EF4453"/>
    <w:rsid w:val="00EF454A"/>
    <w:rsid w:val="00EF4771"/>
    <w:rsid w:val="00EF48B4"/>
    <w:rsid w:val="00EF492D"/>
    <w:rsid w:val="00EF4B3B"/>
    <w:rsid w:val="00EF4C65"/>
    <w:rsid w:val="00EF4E8A"/>
    <w:rsid w:val="00EF4ED1"/>
    <w:rsid w:val="00EF4ED5"/>
    <w:rsid w:val="00EF4F3E"/>
    <w:rsid w:val="00EF5152"/>
    <w:rsid w:val="00EF5595"/>
    <w:rsid w:val="00EF55E3"/>
    <w:rsid w:val="00EF55F4"/>
    <w:rsid w:val="00EF5678"/>
    <w:rsid w:val="00EF570A"/>
    <w:rsid w:val="00EF5A76"/>
    <w:rsid w:val="00EF5B17"/>
    <w:rsid w:val="00EF5C18"/>
    <w:rsid w:val="00EF5C25"/>
    <w:rsid w:val="00EF5D7D"/>
    <w:rsid w:val="00EF5DC0"/>
    <w:rsid w:val="00EF5ECC"/>
    <w:rsid w:val="00EF5F6E"/>
    <w:rsid w:val="00EF60EC"/>
    <w:rsid w:val="00EF64D1"/>
    <w:rsid w:val="00EF676C"/>
    <w:rsid w:val="00EF68E9"/>
    <w:rsid w:val="00EF691E"/>
    <w:rsid w:val="00EF6A95"/>
    <w:rsid w:val="00EF6B35"/>
    <w:rsid w:val="00EF6DB0"/>
    <w:rsid w:val="00EF6E80"/>
    <w:rsid w:val="00EF71EC"/>
    <w:rsid w:val="00EF7494"/>
    <w:rsid w:val="00EF74A1"/>
    <w:rsid w:val="00EF74AB"/>
    <w:rsid w:val="00EF74B4"/>
    <w:rsid w:val="00EF7678"/>
    <w:rsid w:val="00EF7762"/>
    <w:rsid w:val="00EF7795"/>
    <w:rsid w:val="00EF7B34"/>
    <w:rsid w:val="00EF7EED"/>
    <w:rsid w:val="00EF7EF0"/>
    <w:rsid w:val="00EF7F2C"/>
    <w:rsid w:val="00EF7F7A"/>
    <w:rsid w:val="00F00061"/>
    <w:rsid w:val="00F00065"/>
    <w:rsid w:val="00F001DE"/>
    <w:rsid w:val="00F002BC"/>
    <w:rsid w:val="00F002BD"/>
    <w:rsid w:val="00F0031A"/>
    <w:rsid w:val="00F00334"/>
    <w:rsid w:val="00F003C2"/>
    <w:rsid w:val="00F00509"/>
    <w:rsid w:val="00F0056F"/>
    <w:rsid w:val="00F0063F"/>
    <w:rsid w:val="00F00678"/>
    <w:rsid w:val="00F00807"/>
    <w:rsid w:val="00F009A6"/>
    <w:rsid w:val="00F00A0F"/>
    <w:rsid w:val="00F00AA4"/>
    <w:rsid w:val="00F00CF6"/>
    <w:rsid w:val="00F00D07"/>
    <w:rsid w:val="00F00D83"/>
    <w:rsid w:val="00F01123"/>
    <w:rsid w:val="00F013F8"/>
    <w:rsid w:val="00F01480"/>
    <w:rsid w:val="00F01552"/>
    <w:rsid w:val="00F01577"/>
    <w:rsid w:val="00F0193C"/>
    <w:rsid w:val="00F01BF7"/>
    <w:rsid w:val="00F01C3E"/>
    <w:rsid w:val="00F01D18"/>
    <w:rsid w:val="00F01DD0"/>
    <w:rsid w:val="00F01F10"/>
    <w:rsid w:val="00F01F43"/>
    <w:rsid w:val="00F01F8E"/>
    <w:rsid w:val="00F01FB2"/>
    <w:rsid w:val="00F022CD"/>
    <w:rsid w:val="00F022E8"/>
    <w:rsid w:val="00F02334"/>
    <w:rsid w:val="00F024A1"/>
    <w:rsid w:val="00F025BD"/>
    <w:rsid w:val="00F02714"/>
    <w:rsid w:val="00F02833"/>
    <w:rsid w:val="00F02876"/>
    <w:rsid w:val="00F02914"/>
    <w:rsid w:val="00F0298C"/>
    <w:rsid w:val="00F02C92"/>
    <w:rsid w:val="00F02CAC"/>
    <w:rsid w:val="00F02E4A"/>
    <w:rsid w:val="00F02ED7"/>
    <w:rsid w:val="00F02FEE"/>
    <w:rsid w:val="00F0307B"/>
    <w:rsid w:val="00F03098"/>
    <w:rsid w:val="00F03328"/>
    <w:rsid w:val="00F033D3"/>
    <w:rsid w:val="00F0356B"/>
    <w:rsid w:val="00F03578"/>
    <w:rsid w:val="00F035A6"/>
    <w:rsid w:val="00F03798"/>
    <w:rsid w:val="00F03919"/>
    <w:rsid w:val="00F0397C"/>
    <w:rsid w:val="00F03A3C"/>
    <w:rsid w:val="00F03AF1"/>
    <w:rsid w:val="00F03DB8"/>
    <w:rsid w:val="00F03F23"/>
    <w:rsid w:val="00F044CB"/>
    <w:rsid w:val="00F045B0"/>
    <w:rsid w:val="00F048D7"/>
    <w:rsid w:val="00F04945"/>
    <w:rsid w:val="00F049C5"/>
    <w:rsid w:val="00F04A2A"/>
    <w:rsid w:val="00F04C54"/>
    <w:rsid w:val="00F04C8D"/>
    <w:rsid w:val="00F0503A"/>
    <w:rsid w:val="00F05091"/>
    <w:rsid w:val="00F050FC"/>
    <w:rsid w:val="00F05106"/>
    <w:rsid w:val="00F054AF"/>
    <w:rsid w:val="00F054D1"/>
    <w:rsid w:val="00F0556B"/>
    <w:rsid w:val="00F05733"/>
    <w:rsid w:val="00F05B60"/>
    <w:rsid w:val="00F05BEF"/>
    <w:rsid w:val="00F05C55"/>
    <w:rsid w:val="00F05C98"/>
    <w:rsid w:val="00F05CC5"/>
    <w:rsid w:val="00F05DC1"/>
    <w:rsid w:val="00F05E4B"/>
    <w:rsid w:val="00F060C2"/>
    <w:rsid w:val="00F06141"/>
    <w:rsid w:val="00F063B1"/>
    <w:rsid w:val="00F063D8"/>
    <w:rsid w:val="00F06722"/>
    <w:rsid w:val="00F0672D"/>
    <w:rsid w:val="00F06791"/>
    <w:rsid w:val="00F067FF"/>
    <w:rsid w:val="00F06995"/>
    <w:rsid w:val="00F06AEA"/>
    <w:rsid w:val="00F06C6A"/>
    <w:rsid w:val="00F06D04"/>
    <w:rsid w:val="00F06D2E"/>
    <w:rsid w:val="00F06F5C"/>
    <w:rsid w:val="00F070A8"/>
    <w:rsid w:val="00F07600"/>
    <w:rsid w:val="00F07712"/>
    <w:rsid w:val="00F07908"/>
    <w:rsid w:val="00F07B65"/>
    <w:rsid w:val="00F07BA0"/>
    <w:rsid w:val="00F07C31"/>
    <w:rsid w:val="00F07D55"/>
    <w:rsid w:val="00F07D6E"/>
    <w:rsid w:val="00F07E2D"/>
    <w:rsid w:val="00F07E40"/>
    <w:rsid w:val="00F10263"/>
    <w:rsid w:val="00F103CB"/>
    <w:rsid w:val="00F10483"/>
    <w:rsid w:val="00F105FB"/>
    <w:rsid w:val="00F10691"/>
    <w:rsid w:val="00F10841"/>
    <w:rsid w:val="00F10AF5"/>
    <w:rsid w:val="00F10C70"/>
    <w:rsid w:val="00F10CBA"/>
    <w:rsid w:val="00F10DE2"/>
    <w:rsid w:val="00F111DB"/>
    <w:rsid w:val="00F11233"/>
    <w:rsid w:val="00F11280"/>
    <w:rsid w:val="00F112E0"/>
    <w:rsid w:val="00F11386"/>
    <w:rsid w:val="00F115B4"/>
    <w:rsid w:val="00F11603"/>
    <w:rsid w:val="00F11615"/>
    <w:rsid w:val="00F11633"/>
    <w:rsid w:val="00F117C3"/>
    <w:rsid w:val="00F1183D"/>
    <w:rsid w:val="00F1190E"/>
    <w:rsid w:val="00F1193D"/>
    <w:rsid w:val="00F11A19"/>
    <w:rsid w:val="00F11A78"/>
    <w:rsid w:val="00F11C36"/>
    <w:rsid w:val="00F11D08"/>
    <w:rsid w:val="00F11D9D"/>
    <w:rsid w:val="00F11F6C"/>
    <w:rsid w:val="00F123C7"/>
    <w:rsid w:val="00F1241F"/>
    <w:rsid w:val="00F12429"/>
    <w:rsid w:val="00F1298F"/>
    <w:rsid w:val="00F12D4E"/>
    <w:rsid w:val="00F12DCC"/>
    <w:rsid w:val="00F13207"/>
    <w:rsid w:val="00F1325F"/>
    <w:rsid w:val="00F13427"/>
    <w:rsid w:val="00F13AC1"/>
    <w:rsid w:val="00F13C4C"/>
    <w:rsid w:val="00F13DE6"/>
    <w:rsid w:val="00F13F01"/>
    <w:rsid w:val="00F14182"/>
    <w:rsid w:val="00F144AE"/>
    <w:rsid w:val="00F14569"/>
    <w:rsid w:val="00F145ED"/>
    <w:rsid w:val="00F14893"/>
    <w:rsid w:val="00F1491D"/>
    <w:rsid w:val="00F14A87"/>
    <w:rsid w:val="00F14C0A"/>
    <w:rsid w:val="00F14CE6"/>
    <w:rsid w:val="00F14D31"/>
    <w:rsid w:val="00F14DF6"/>
    <w:rsid w:val="00F14E3D"/>
    <w:rsid w:val="00F1501C"/>
    <w:rsid w:val="00F15058"/>
    <w:rsid w:val="00F15109"/>
    <w:rsid w:val="00F1512E"/>
    <w:rsid w:val="00F15189"/>
    <w:rsid w:val="00F1525D"/>
    <w:rsid w:val="00F154D7"/>
    <w:rsid w:val="00F1556E"/>
    <w:rsid w:val="00F155D3"/>
    <w:rsid w:val="00F15823"/>
    <w:rsid w:val="00F15BC4"/>
    <w:rsid w:val="00F15CC2"/>
    <w:rsid w:val="00F15DA0"/>
    <w:rsid w:val="00F15EBF"/>
    <w:rsid w:val="00F15F5A"/>
    <w:rsid w:val="00F15F68"/>
    <w:rsid w:val="00F15FF9"/>
    <w:rsid w:val="00F16073"/>
    <w:rsid w:val="00F161D6"/>
    <w:rsid w:val="00F161DB"/>
    <w:rsid w:val="00F162A6"/>
    <w:rsid w:val="00F162EF"/>
    <w:rsid w:val="00F162F7"/>
    <w:rsid w:val="00F1641E"/>
    <w:rsid w:val="00F16950"/>
    <w:rsid w:val="00F16AF5"/>
    <w:rsid w:val="00F16B66"/>
    <w:rsid w:val="00F16BD2"/>
    <w:rsid w:val="00F16BE2"/>
    <w:rsid w:val="00F16BE3"/>
    <w:rsid w:val="00F170E9"/>
    <w:rsid w:val="00F171D2"/>
    <w:rsid w:val="00F17638"/>
    <w:rsid w:val="00F17947"/>
    <w:rsid w:val="00F179C5"/>
    <w:rsid w:val="00F179F5"/>
    <w:rsid w:val="00F17A8C"/>
    <w:rsid w:val="00F17ABD"/>
    <w:rsid w:val="00F17ECF"/>
    <w:rsid w:val="00F20010"/>
    <w:rsid w:val="00F20689"/>
    <w:rsid w:val="00F20695"/>
    <w:rsid w:val="00F2070A"/>
    <w:rsid w:val="00F20710"/>
    <w:rsid w:val="00F20A07"/>
    <w:rsid w:val="00F20A71"/>
    <w:rsid w:val="00F20A8E"/>
    <w:rsid w:val="00F20F0F"/>
    <w:rsid w:val="00F2109D"/>
    <w:rsid w:val="00F211AA"/>
    <w:rsid w:val="00F2148D"/>
    <w:rsid w:val="00F216B6"/>
    <w:rsid w:val="00F21763"/>
    <w:rsid w:val="00F21886"/>
    <w:rsid w:val="00F2189A"/>
    <w:rsid w:val="00F21969"/>
    <w:rsid w:val="00F2199F"/>
    <w:rsid w:val="00F21B6A"/>
    <w:rsid w:val="00F21D21"/>
    <w:rsid w:val="00F21D3A"/>
    <w:rsid w:val="00F21F55"/>
    <w:rsid w:val="00F221CC"/>
    <w:rsid w:val="00F22384"/>
    <w:rsid w:val="00F223A4"/>
    <w:rsid w:val="00F22503"/>
    <w:rsid w:val="00F22798"/>
    <w:rsid w:val="00F22898"/>
    <w:rsid w:val="00F22910"/>
    <w:rsid w:val="00F229B2"/>
    <w:rsid w:val="00F22A9F"/>
    <w:rsid w:val="00F22D30"/>
    <w:rsid w:val="00F22E81"/>
    <w:rsid w:val="00F22F88"/>
    <w:rsid w:val="00F23099"/>
    <w:rsid w:val="00F2314B"/>
    <w:rsid w:val="00F23197"/>
    <w:rsid w:val="00F231E0"/>
    <w:rsid w:val="00F231E2"/>
    <w:rsid w:val="00F231F0"/>
    <w:rsid w:val="00F2328A"/>
    <w:rsid w:val="00F235EA"/>
    <w:rsid w:val="00F2363C"/>
    <w:rsid w:val="00F23666"/>
    <w:rsid w:val="00F237E9"/>
    <w:rsid w:val="00F23811"/>
    <w:rsid w:val="00F2383D"/>
    <w:rsid w:val="00F2391C"/>
    <w:rsid w:val="00F23B25"/>
    <w:rsid w:val="00F23B49"/>
    <w:rsid w:val="00F23C32"/>
    <w:rsid w:val="00F23E39"/>
    <w:rsid w:val="00F24119"/>
    <w:rsid w:val="00F2437E"/>
    <w:rsid w:val="00F24591"/>
    <w:rsid w:val="00F2470F"/>
    <w:rsid w:val="00F2471A"/>
    <w:rsid w:val="00F2477A"/>
    <w:rsid w:val="00F24A94"/>
    <w:rsid w:val="00F24B43"/>
    <w:rsid w:val="00F24C3B"/>
    <w:rsid w:val="00F24C55"/>
    <w:rsid w:val="00F24CC0"/>
    <w:rsid w:val="00F24DEF"/>
    <w:rsid w:val="00F24DFB"/>
    <w:rsid w:val="00F250C2"/>
    <w:rsid w:val="00F250DF"/>
    <w:rsid w:val="00F255DF"/>
    <w:rsid w:val="00F25653"/>
    <w:rsid w:val="00F25760"/>
    <w:rsid w:val="00F257C4"/>
    <w:rsid w:val="00F25821"/>
    <w:rsid w:val="00F259D8"/>
    <w:rsid w:val="00F25C6A"/>
    <w:rsid w:val="00F25E35"/>
    <w:rsid w:val="00F25E74"/>
    <w:rsid w:val="00F25FF9"/>
    <w:rsid w:val="00F26159"/>
    <w:rsid w:val="00F261AC"/>
    <w:rsid w:val="00F261C3"/>
    <w:rsid w:val="00F262E4"/>
    <w:rsid w:val="00F264CF"/>
    <w:rsid w:val="00F26610"/>
    <w:rsid w:val="00F2661B"/>
    <w:rsid w:val="00F26676"/>
    <w:rsid w:val="00F26A6C"/>
    <w:rsid w:val="00F26CCC"/>
    <w:rsid w:val="00F26CFA"/>
    <w:rsid w:val="00F26D1F"/>
    <w:rsid w:val="00F26DEE"/>
    <w:rsid w:val="00F26F7A"/>
    <w:rsid w:val="00F2714C"/>
    <w:rsid w:val="00F27261"/>
    <w:rsid w:val="00F27477"/>
    <w:rsid w:val="00F2749A"/>
    <w:rsid w:val="00F2771E"/>
    <w:rsid w:val="00F2777F"/>
    <w:rsid w:val="00F27A26"/>
    <w:rsid w:val="00F27AB4"/>
    <w:rsid w:val="00F27AEF"/>
    <w:rsid w:val="00F27BB4"/>
    <w:rsid w:val="00F27C12"/>
    <w:rsid w:val="00F27E9C"/>
    <w:rsid w:val="00F27F4B"/>
    <w:rsid w:val="00F27F65"/>
    <w:rsid w:val="00F30164"/>
    <w:rsid w:val="00F30217"/>
    <w:rsid w:val="00F30241"/>
    <w:rsid w:val="00F30330"/>
    <w:rsid w:val="00F3049C"/>
    <w:rsid w:val="00F30507"/>
    <w:rsid w:val="00F30649"/>
    <w:rsid w:val="00F306FE"/>
    <w:rsid w:val="00F30838"/>
    <w:rsid w:val="00F30A4D"/>
    <w:rsid w:val="00F30AA6"/>
    <w:rsid w:val="00F30E40"/>
    <w:rsid w:val="00F30E4C"/>
    <w:rsid w:val="00F3118E"/>
    <w:rsid w:val="00F311F2"/>
    <w:rsid w:val="00F31221"/>
    <w:rsid w:val="00F31378"/>
    <w:rsid w:val="00F313A1"/>
    <w:rsid w:val="00F313E6"/>
    <w:rsid w:val="00F314EB"/>
    <w:rsid w:val="00F31561"/>
    <w:rsid w:val="00F31817"/>
    <w:rsid w:val="00F31847"/>
    <w:rsid w:val="00F3185C"/>
    <w:rsid w:val="00F318DF"/>
    <w:rsid w:val="00F3191B"/>
    <w:rsid w:val="00F31985"/>
    <w:rsid w:val="00F319EB"/>
    <w:rsid w:val="00F31A6F"/>
    <w:rsid w:val="00F31A87"/>
    <w:rsid w:val="00F31AAB"/>
    <w:rsid w:val="00F31C1F"/>
    <w:rsid w:val="00F31C40"/>
    <w:rsid w:val="00F31F4C"/>
    <w:rsid w:val="00F31F6D"/>
    <w:rsid w:val="00F31F96"/>
    <w:rsid w:val="00F320BF"/>
    <w:rsid w:val="00F32171"/>
    <w:rsid w:val="00F3219A"/>
    <w:rsid w:val="00F3240A"/>
    <w:rsid w:val="00F3254A"/>
    <w:rsid w:val="00F3255D"/>
    <w:rsid w:val="00F327CE"/>
    <w:rsid w:val="00F32916"/>
    <w:rsid w:val="00F32923"/>
    <w:rsid w:val="00F329FB"/>
    <w:rsid w:val="00F32A1D"/>
    <w:rsid w:val="00F32A64"/>
    <w:rsid w:val="00F32B01"/>
    <w:rsid w:val="00F32C18"/>
    <w:rsid w:val="00F32C34"/>
    <w:rsid w:val="00F32C4A"/>
    <w:rsid w:val="00F32D9A"/>
    <w:rsid w:val="00F32E49"/>
    <w:rsid w:val="00F32E5D"/>
    <w:rsid w:val="00F3308F"/>
    <w:rsid w:val="00F330A6"/>
    <w:rsid w:val="00F331CB"/>
    <w:rsid w:val="00F332EE"/>
    <w:rsid w:val="00F333DA"/>
    <w:rsid w:val="00F333E0"/>
    <w:rsid w:val="00F33486"/>
    <w:rsid w:val="00F3353A"/>
    <w:rsid w:val="00F33606"/>
    <w:rsid w:val="00F337C2"/>
    <w:rsid w:val="00F337FA"/>
    <w:rsid w:val="00F3387B"/>
    <w:rsid w:val="00F339A6"/>
    <w:rsid w:val="00F33C67"/>
    <w:rsid w:val="00F33E3D"/>
    <w:rsid w:val="00F33E98"/>
    <w:rsid w:val="00F34048"/>
    <w:rsid w:val="00F34188"/>
    <w:rsid w:val="00F341AC"/>
    <w:rsid w:val="00F34459"/>
    <w:rsid w:val="00F344EF"/>
    <w:rsid w:val="00F34566"/>
    <w:rsid w:val="00F34622"/>
    <w:rsid w:val="00F34633"/>
    <w:rsid w:val="00F347CA"/>
    <w:rsid w:val="00F347EB"/>
    <w:rsid w:val="00F34A3E"/>
    <w:rsid w:val="00F34A85"/>
    <w:rsid w:val="00F34BE4"/>
    <w:rsid w:val="00F34E71"/>
    <w:rsid w:val="00F34EAD"/>
    <w:rsid w:val="00F34F34"/>
    <w:rsid w:val="00F34FB4"/>
    <w:rsid w:val="00F34FB6"/>
    <w:rsid w:val="00F351D4"/>
    <w:rsid w:val="00F351F4"/>
    <w:rsid w:val="00F35291"/>
    <w:rsid w:val="00F35293"/>
    <w:rsid w:val="00F3529D"/>
    <w:rsid w:val="00F352D5"/>
    <w:rsid w:val="00F35890"/>
    <w:rsid w:val="00F358F7"/>
    <w:rsid w:val="00F35967"/>
    <w:rsid w:val="00F35C88"/>
    <w:rsid w:val="00F35CFD"/>
    <w:rsid w:val="00F361BD"/>
    <w:rsid w:val="00F361F9"/>
    <w:rsid w:val="00F366E6"/>
    <w:rsid w:val="00F36789"/>
    <w:rsid w:val="00F3678F"/>
    <w:rsid w:val="00F367AB"/>
    <w:rsid w:val="00F367E8"/>
    <w:rsid w:val="00F36A57"/>
    <w:rsid w:val="00F36DD7"/>
    <w:rsid w:val="00F36EF4"/>
    <w:rsid w:val="00F36F01"/>
    <w:rsid w:val="00F36F6B"/>
    <w:rsid w:val="00F3727D"/>
    <w:rsid w:val="00F37979"/>
    <w:rsid w:val="00F37A0B"/>
    <w:rsid w:val="00F37B19"/>
    <w:rsid w:val="00F37E42"/>
    <w:rsid w:val="00F37EB7"/>
    <w:rsid w:val="00F37EF3"/>
    <w:rsid w:val="00F37FA9"/>
    <w:rsid w:val="00F40231"/>
    <w:rsid w:val="00F402CF"/>
    <w:rsid w:val="00F402DD"/>
    <w:rsid w:val="00F4034B"/>
    <w:rsid w:val="00F40381"/>
    <w:rsid w:val="00F40404"/>
    <w:rsid w:val="00F407EA"/>
    <w:rsid w:val="00F407FD"/>
    <w:rsid w:val="00F40844"/>
    <w:rsid w:val="00F40971"/>
    <w:rsid w:val="00F40B2B"/>
    <w:rsid w:val="00F40E44"/>
    <w:rsid w:val="00F40E85"/>
    <w:rsid w:val="00F40E92"/>
    <w:rsid w:val="00F40EFF"/>
    <w:rsid w:val="00F40F9F"/>
    <w:rsid w:val="00F40FAD"/>
    <w:rsid w:val="00F40FBE"/>
    <w:rsid w:val="00F41206"/>
    <w:rsid w:val="00F413AE"/>
    <w:rsid w:val="00F41407"/>
    <w:rsid w:val="00F41478"/>
    <w:rsid w:val="00F4149B"/>
    <w:rsid w:val="00F4157C"/>
    <w:rsid w:val="00F4168D"/>
    <w:rsid w:val="00F41797"/>
    <w:rsid w:val="00F418A5"/>
    <w:rsid w:val="00F418C7"/>
    <w:rsid w:val="00F4194B"/>
    <w:rsid w:val="00F41996"/>
    <w:rsid w:val="00F419AF"/>
    <w:rsid w:val="00F41A01"/>
    <w:rsid w:val="00F41B1D"/>
    <w:rsid w:val="00F41C21"/>
    <w:rsid w:val="00F41D42"/>
    <w:rsid w:val="00F420C3"/>
    <w:rsid w:val="00F420EB"/>
    <w:rsid w:val="00F42430"/>
    <w:rsid w:val="00F427DD"/>
    <w:rsid w:val="00F428EE"/>
    <w:rsid w:val="00F42A0A"/>
    <w:rsid w:val="00F42B61"/>
    <w:rsid w:val="00F42BCF"/>
    <w:rsid w:val="00F42CD5"/>
    <w:rsid w:val="00F42DCA"/>
    <w:rsid w:val="00F42DFD"/>
    <w:rsid w:val="00F42E20"/>
    <w:rsid w:val="00F42FA5"/>
    <w:rsid w:val="00F43188"/>
    <w:rsid w:val="00F431E8"/>
    <w:rsid w:val="00F431F3"/>
    <w:rsid w:val="00F431F6"/>
    <w:rsid w:val="00F43223"/>
    <w:rsid w:val="00F4323F"/>
    <w:rsid w:val="00F4324E"/>
    <w:rsid w:val="00F433C7"/>
    <w:rsid w:val="00F43655"/>
    <w:rsid w:val="00F436C1"/>
    <w:rsid w:val="00F4372C"/>
    <w:rsid w:val="00F43A7F"/>
    <w:rsid w:val="00F43B8A"/>
    <w:rsid w:val="00F43E4D"/>
    <w:rsid w:val="00F43F9F"/>
    <w:rsid w:val="00F442DC"/>
    <w:rsid w:val="00F443C0"/>
    <w:rsid w:val="00F4458D"/>
    <w:rsid w:val="00F4486C"/>
    <w:rsid w:val="00F44899"/>
    <w:rsid w:val="00F4490F"/>
    <w:rsid w:val="00F449C0"/>
    <w:rsid w:val="00F44BCF"/>
    <w:rsid w:val="00F44CBF"/>
    <w:rsid w:val="00F44CD1"/>
    <w:rsid w:val="00F45111"/>
    <w:rsid w:val="00F45207"/>
    <w:rsid w:val="00F45471"/>
    <w:rsid w:val="00F454AB"/>
    <w:rsid w:val="00F454DD"/>
    <w:rsid w:val="00F4559B"/>
    <w:rsid w:val="00F455A1"/>
    <w:rsid w:val="00F4566C"/>
    <w:rsid w:val="00F456E7"/>
    <w:rsid w:val="00F45832"/>
    <w:rsid w:val="00F45910"/>
    <w:rsid w:val="00F45961"/>
    <w:rsid w:val="00F45B2F"/>
    <w:rsid w:val="00F45B36"/>
    <w:rsid w:val="00F45CB9"/>
    <w:rsid w:val="00F45DCC"/>
    <w:rsid w:val="00F45E37"/>
    <w:rsid w:val="00F45F00"/>
    <w:rsid w:val="00F461B6"/>
    <w:rsid w:val="00F461FA"/>
    <w:rsid w:val="00F462D9"/>
    <w:rsid w:val="00F4630A"/>
    <w:rsid w:val="00F465DE"/>
    <w:rsid w:val="00F46604"/>
    <w:rsid w:val="00F46752"/>
    <w:rsid w:val="00F46762"/>
    <w:rsid w:val="00F46986"/>
    <w:rsid w:val="00F46BC6"/>
    <w:rsid w:val="00F46D42"/>
    <w:rsid w:val="00F46EB2"/>
    <w:rsid w:val="00F46FBF"/>
    <w:rsid w:val="00F4707A"/>
    <w:rsid w:val="00F470F3"/>
    <w:rsid w:val="00F47141"/>
    <w:rsid w:val="00F47226"/>
    <w:rsid w:val="00F47391"/>
    <w:rsid w:val="00F473C5"/>
    <w:rsid w:val="00F47400"/>
    <w:rsid w:val="00F47673"/>
    <w:rsid w:val="00F4784E"/>
    <w:rsid w:val="00F47954"/>
    <w:rsid w:val="00F479D8"/>
    <w:rsid w:val="00F47B38"/>
    <w:rsid w:val="00F47C96"/>
    <w:rsid w:val="00F47CA8"/>
    <w:rsid w:val="00F47D06"/>
    <w:rsid w:val="00F47E47"/>
    <w:rsid w:val="00F47EB0"/>
    <w:rsid w:val="00F47FF2"/>
    <w:rsid w:val="00F50003"/>
    <w:rsid w:val="00F501D3"/>
    <w:rsid w:val="00F50344"/>
    <w:rsid w:val="00F503D7"/>
    <w:rsid w:val="00F503E9"/>
    <w:rsid w:val="00F50459"/>
    <w:rsid w:val="00F50478"/>
    <w:rsid w:val="00F5064D"/>
    <w:rsid w:val="00F506A8"/>
    <w:rsid w:val="00F507A0"/>
    <w:rsid w:val="00F507C3"/>
    <w:rsid w:val="00F50B7F"/>
    <w:rsid w:val="00F50C1A"/>
    <w:rsid w:val="00F50CCA"/>
    <w:rsid w:val="00F50D07"/>
    <w:rsid w:val="00F50DD2"/>
    <w:rsid w:val="00F50E49"/>
    <w:rsid w:val="00F5107E"/>
    <w:rsid w:val="00F51147"/>
    <w:rsid w:val="00F511C9"/>
    <w:rsid w:val="00F511D6"/>
    <w:rsid w:val="00F511E2"/>
    <w:rsid w:val="00F51499"/>
    <w:rsid w:val="00F514A0"/>
    <w:rsid w:val="00F514E1"/>
    <w:rsid w:val="00F515DC"/>
    <w:rsid w:val="00F5176A"/>
    <w:rsid w:val="00F5177A"/>
    <w:rsid w:val="00F51B19"/>
    <w:rsid w:val="00F51B3C"/>
    <w:rsid w:val="00F51D5A"/>
    <w:rsid w:val="00F51E64"/>
    <w:rsid w:val="00F521A6"/>
    <w:rsid w:val="00F522C6"/>
    <w:rsid w:val="00F52426"/>
    <w:rsid w:val="00F5247E"/>
    <w:rsid w:val="00F528B8"/>
    <w:rsid w:val="00F52919"/>
    <w:rsid w:val="00F52BA5"/>
    <w:rsid w:val="00F52BE7"/>
    <w:rsid w:val="00F52C5D"/>
    <w:rsid w:val="00F52C9F"/>
    <w:rsid w:val="00F52CAE"/>
    <w:rsid w:val="00F52EA5"/>
    <w:rsid w:val="00F530B5"/>
    <w:rsid w:val="00F532E5"/>
    <w:rsid w:val="00F5337A"/>
    <w:rsid w:val="00F535B5"/>
    <w:rsid w:val="00F5374D"/>
    <w:rsid w:val="00F538E8"/>
    <w:rsid w:val="00F53924"/>
    <w:rsid w:val="00F53AAF"/>
    <w:rsid w:val="00F53CB0"/>
    <w:rsid w:val="00F53CC0"/>
    <w:rsid w:val="00F53CD2"/>
    <w:rsid w:val="00F53D8D"/>
    <w:rsid w:val="00F53EA4"/>
    <w:rsid w:val="00F54079"/>
    <w:rsid w:val="00F54194"/>
    <w:rsid w:val="00F541FA"/>
    <w:rsid w:val="00F54380"/>
    <w:rsid w:val="00F543B6"/>
    <w:rsid w:val="00F5448C"/>
    <w:rsid w:val="00F545D7"/>
    <w:rsid w:val="00F5473A"/>
    <w:rsid w:val="00F5475B"/>
    <w:rsid w:val="00F54857"/>
    <w:rsid w:val="00F548FB"/>
    <w:rsid w:val="00F549A1"/>
    <w:rsid w:val="00F54BE6"/>
    <w:rsid w:val="00F54CAA"/>
    <w:rsid w:val="00F54E28"/>
    <w:rsid w:val="00F54E89"/>
    <w:rsid w:val="00F54F7E"/>
    <w:rsid w:val="00F55266"/>
    <w:rsid w:val="00F5527A"/>
    <w:rsid w:val="00F55355"/>
    <w:rsid w:val="00F55370"/>
    <w:rsid w:val="00F553BD"/>
    <w:rsid w:val="00F553D3"/>
    <w:rsid w:val="00F5549F"/>
    <w:rsid w:val="00F554B2"/>
    <w:rsid w:val="00F55511"/>
    <w:rsid w:val="00F555D9"/>
    <w:rsid w:val="00F556A6"/>
    <w:rsid w:val="00F556EC"/>
    <w:rsid w:val="00F5586A"/>
    <w:rsid w:val="00F55872"/>
    <w:rsid w:val="00F55B29"/>
    <w:rsid w:val="00F55BD6"/>
    <w:rsid w:val="00F55C14"/>
    <w:rsid w:val="00F55C68"/>
    <w:rsid w:val="00F55DA5"/>
    <w:rsid w:val="00F55F96"/>
    <w:rsid w:val="00F55F97"/>
    <w:rsid w:val="00F55FA0"/>
    <w:rsid w:val="00F560EE"/>
    <w:rsid w:val="00F56193"/>
    <w:rsid w:val="00F56375"/>
    <w:rsid w:val="00F563E3"/>
    <w:rsid w:val="00F56661"/>
    <w:rsid w:val="00F56798"/>
    <w:rsid w:val="00F56AD8"/>
    <w:rsid w:val="00F56BFC"/>
    <w:rsid w:val="00F56E41"/>
    <w:rsid w:val="00F57210"/>
    <w:rsid w:val="00F57230"/>
    <w:rsid w:val="00F577F9"/>
    <w:rsid w:val="00F5794D"/>
    <w:rsid w:val="00F57974"/>
    <w:rsid w:val="00F57B5B"/>
    <w:rsid w:val="00F57CC8"/>
    <w:rsid w:val="00F57CF5"/>
    <w:rsid w:val="00F57F6D"/>
    <w:rsid w:val="00F6012D"/>
    <w:rsid w:val="00F6013F"/>
    <w:rsid w:val="00F602C6"/>
    <w:rsid w:val="00F60434"/>
    <w:rsid w:val="00F60577"/>
    <w:rsid w:val="00F605DE"/>
    <w:rsid w:val="00F60609"/>
    <w:rsid w:val="00F60636"/>
    <w:rsid w:val="00F606F2"/>
    <w:rsid w:val="00F6070A"/>
    <w:rsid w:val="00F608EF"/>
    <w:rsid w:val="00F609AB"/>
    <w:rsid w:val="00F60A4B"/>
    <w:rsid w:val="00F60DE7"/>
    <w:rsid w:val="00F60EBD"/>
    <w:rsid w:val="00F6105D"/>
    <w:rsid w:val="00F61121"/>
    <w:rsid w:val="00F611E3"/>
    <w:rsid w:val="00F6129F"/>
    <w:rsid w:val="00F61541"/>
    <w:rsid w:val="00F61547"/>
    <w:rsid w:val="00F6157E"/>
    <w:rsid w:val="00F61722"/>
    <w:rsid w:val="00F618AB"/>
    <w:rsid w:val="00F6194F"/>
    <w:rsid w:val="00F61EFD"/>
    <w:rsid w:val="00F62039"/>
    <w:rsid w:val="00F620B2"/>
    <w:rsid w:val="00F62391"/>
    <w:rsid w:val="00F624FD"/>
    <w:rsid w:val="00F6259B"/>
    <w:rsid w:val="00F627F6"/>
    <w:rsid w:val="00F629D2"/>
    <w:rsid w:val="00F62B68"/>
    <w:rsid w:val="00F62D82"/>
    <w:rsid w:val="00F62E15"/>
    <w:rsid w:val="00F6304C"/>
    <w:rsid w:val="00F63090"/>
    <w:rsid w:val="00F632C0"/>
    <w:rsid w:val="00F632EF"/>
    <w:rsid w:val="00F635BD"/>
    <w:rsid w:val="00F6373F"/>
    <w:rsid w:val="00F63792"/>
    <w:rsid w:val="00F63C90"/>
    <w:rsid w:val="00F63CD1"/>
    <w:rsid w:val="00F63D3E"/>
    <w:rsid w:val="00F63DE2"/>
    <w:rsid w:val="00F64150"/>
    <w:rsid w:val="00F641CF"/>
    <w:rsid w:val="00F644EE"/>
    <w:rsid w:val="00F6453B"/>
    <w:rsid w:val="00F64670"/>
    <w:rsid w:val="00F647C5"/>
    <w:rsid w:val="00F64872"/>
    <w:rsid w:val="00F64918"/>
    <w:rsid w:val="00F64A4B"/>
    <w:rsid w:val="00F64FCC"/>
    <w:rsid w:val="00F6504B"/>
    <w:rsid w:val="00F6516B"/>
    <w:rsid w:val="00F65269"/>
    <w:rsid w:val="00F652E6"/>
    <w:rsid w:val="00F653F2"/>
    <w:rsid w:val="00F6542D"/>
    <w:rsid w:val="00F657E5"/>
    <w:rsid w:val="00F658B4"/>
    <w:rsid w:val="00F659B0"/>
    <w:rsid w:val="00F65D65"/>
    <w:rsid w:val="00F65D7D"/>
    <w:rsid w:val="00F65D8D"/>
    <w:rsid w:val="00F65F99"/>
    <w:rsid w:val="00F65FF6"/>
    <w:rsid w:val="00F66006"/>
    <w:rsid w:val="00F66048"/>
    <w:rsid w:val="00F660BF"/>
    <w:rsid w:val="00F66301"/>
    <w:rsid w:val="00F66311"/>
    <w:rsid w:val="00F6648D"/>
    <w:rsid w:val="00F6657C"/>
    <w:rsid w:val="00F667BE"/>
    <w:rsid w:val="00F668DC"/>
    <w:rsid w:val="00F668EF"/>
    <w:rsid w:val="00F66B6A"/>
    <w:rsid w:val="00F66D91"/>
    <w:rsid w:val="00F66DA0"/>
    <w:rsid w:val="00F671A7"/>
    <w:rsid w:val="00F672BF"/>
    <w:rsid w:val="00F6731E"/>
    <w:rsid w:val="00F673FC"/>
    <w:rsid w:val="00F674F1"/>
    <w:rsid w:val="00F675C4"/>
    <w:rsid w:val="00F67711"/>
    <w:rsid w:val="00F67726"/>
    <w:rsid w:val="00F6783D"/>
    <w:rsid w:val="00F67942"/>
    <w:rsid w:val="00F67B67"/>
    <w:rsid w:val="00F67C21"/>
    <w:rsid w:val="00F67C30"/>
    <w:rsid w:val="00F67F06"/>
    <w:rsid w:val="00F67F27"/>
    <w:rsid w:val="00F70169"/>
    <w:rsid w:val="00F70286"/>
    <w:rsid w:val="00F70309"/>
    <w:rsid w:val="00F703E1"/>
    <w:rsid w:val="00F70469"/>
    <w:rsid w:val="00F704A2"/>
    <w:rsid w:val="00F70697"/>
    <w:rsid w:val="00F707AE"/>
    <w:rsid w:val="00F70819"/>
    <w:rsid w:val="00F708F1"/>
    <w:rsid w:val="00F70BB2"/>
    <w:rsid w:val="00F70D8B"/>
    <w:rsid w:val="00F70EB0"/>
    <w:rsid w:val="00F71121"/>
    <w:rsid w:val="00F7116B"/>
    <w:rsid w:val="00F711DF"/>
    <w:rsid w:val="00F711EC"/>
    <w:rsid w:val="00F71415"/>
    <w:rsid w:val="00F71419"/>
    <w:rsid w:val="00F7144E"/>
    <w:rsid w:val="00F71509"/>
    <w:rsid w:val="00F71577"/>
    <w:rsid w:val="00F715F6"/>
    <w:rsid w:val="00F7166E"/>
    <w:rsid w:val="00F717CE"/>
    <w:rsid w:val="00F71863"/>
    <w:rsid w:val="00F718E5"/>
    <w:rsid w:val="00F718F3"/>
    <w:rsid w:val="00F719D4"/>
    <w:rsid w:val="00F71B7B"/>
    <w:rsid w:val="00F71C4F"/>
    <w:rsid w:val="00F71D0A"/>
    <w:rsid w:val="00F71F3B"/>
    <w:rsid w:val="00F71FE8"/>
    <w:rsid w:val="00F7202D"/>
    <w:rsid w:val="00F72313"/>
    <w:rsid w:val="00F72420"/>
    <w:rsid w:val="00F72436"/>
    <w:rsid w:val="00F72475"/>
    <w:rsid w:val="00F72785"/>
    <w:rsid w:val="00F7293A"/>
    <w:rsid w:val="00F729AC"/>
    <w:rsid w:val="00F72A12"/>
    <w:rsid w:val="00F72A43"/>
    <w:rsid w:val="00F72B83"/>
    <w:rsid w:val="00F72BE6"/>
    <w:rsid w:val="00F72C9B"/>
    <w:rsid w:val="00F72D6A"/>
    <w:rsid w:val="00F73008"/>
    <w:rsid w:val="00F7335B"/>
    <w:rsid w:val="00F734AE"/>
    <w:rsid w:val="00F73620"/>
    <w:rsid w:val="00F736A1"/>
    <w:rsid w:val="00F737DF"/>
    <w:rsid w:val="00F737F2"/>
    <w:rsid w:val="00F73898"/>
    <w:rsid w:val="00F73938"/>
    <w:rsid w:val="00F73AC2"/>
    <w:rsid w:val="00F73B7F"/>
    <w:rsid w:val="00F73B97"/>
    <w:rsid w:val="00F73CB7"/>
    <w:rsid w:val="00F73E8F"/>
    <w:rsid w:val="00F73FC3"/>
    <w:rsid w:val="00F7421C"/>
    <w:rsid w:val="00F7449F"/>
    <w:rsid w:val="00F7455F"/>
    <w:rsid w:val="00F74675"/>
    <w:rsid w:val="00F74867"/>
    <w:rsid w:val="00F7489C"/>
    <w:rsid w:val="00F74918"/>
    <w:rsid w:val="00F7497C"/>
    <w:rsid w:val="00F74A37"/>
    <w:rsid w:val="00F74A63"/>
    <w:rsid w:val="00F74D0E"/>
    <w:rsid w:val="00F74DFD"/>
    <w:rsid w:val="00F74F5F"/>
    <w:rsid w:val="00F75004"/>
    <w:rsid w:val="00F750B0"/>
    <w:rsid w:val="00F750C6"/>
    <w:rsid w:val="00F75279"/>
    <w:rsid w:val="00F753BA"/>
    <w:rsid w:val="00F75590"/>
    <w:rsid w:val="00F75AD3"/>
    <w:rsid w:val="00F75CA3"/>
    <w:rsid w:val="00F75D36"/>
    <w:rsid w:val="00F75FB6"/>
    <w:rsid w:val="00F76031"/>
    <w:rsid w:val="00F76103"/>
    <w:rsid w:val="00F76180"/>
    <w:rsid w:val="00F762AC"/>
    <w:rsid w:val="00F762F1"/>
    <w:rsid w:val="00F76549"/>
    <w:rsid w:val="00F765F7"/>
    <w:rsid w:val="00F766AB"/>
    <w:rsid w:val="00F76797"/>
    <w:rsid w:val="00F76896"/>
    <w:rsid w:val="00F769AA"/>
    <w:rsid w:val="00F76B33"/>
    <w:rsid w:val="00F76BFB"/>
    <w:rsid w:val="00F76CB0"/>
    <w:rsid w:val="00F76CC4"/>
    <w:rsid w:val="00F76D04"/>
    <w:rsid w:val="00F76DC0"/>
    <w:rsid w:val="00F76E17"/>
    <w:rsid w:val="00F76EA4"/>
    <w:rsid w:val="00F76F82"/>
    <w:rsid w:val="00F76F86"/>
    <w:rsid w:val="00F7700C"/>
    <w:rsid w:val="00F77041"/>
    <w:rsid w:val="00F7719F"/>
    <w:rsid w:val="00F7732E"/>
    <w:rsid w:val="00F776C0"/>
    <w:rsid w:val="00F777DC"/>
    <w:rsid w:val="00F778AF"/>
    <w:rsid w:val="00F77A45"/>
    <w:rsid w:val="00F77ABC"/>
    <w:rsid w:val="00F77D6C"/>
    <w:rsid w:val="00F77E87"/>
    <w:rsid w:val="00F77ECF"/>
    <w:rsid w:val="00F77F1D"/>
    <w:rsid w:val="00F77F6F"/>
    <w:rsid w:val="00F77FB1"/>
    <w:rsid w:val="00F8000C"/>
    <w:rsid w:val="00F8000D"/>
    <w:rsid w:val="00F80197"/>
    <w:rsid w:val="00F80248"/>
    <w:rsid w:val="00F803BD"/>
    <w:rsid w:val="00F8056D"/>
    <w:rsid w:val="00F8062A"/>
    <w:rsid w:val="00F806B4"/>
    <w:rsid w:val="00F806DA"/>
    <w:rsid w:val="00F80830"/>
    <w:rsid w:val="00F809CD"/>
    <w:rsid w:val="00F80ABD"/>
    <w:rsid w:val="00F80AE9"/>
    <w:rsid w:val="00F80BAF"/>
    <w:rsid w:val="00F80CB4"/>
    <w:rsid w:val="00F80CD0"/>
    <w:rsid w:val="00F810BE"/>
    <w:rsid w:val="00F8120D"/>
    <w:rsid w:val="00F81483"/>
    <w:rsid w:val="00F814A0"/>
    <w:rsid w:val="00F81500"/>
    <w:rsid w:val="00F816BA"/>
    <w:rsid w:val="00F81756"/>
    <w:rsid w:val="00F818D7"/>
    <w:rsid w:val="00F81925"/>
    <w:rsid w:val="00F81B5E"/>
    <w:rsid w:val="00F81C2E"/>
    <w:rsid w:val="00F81C42"/>
    <w:rsid w:val="00F81D7B"/>
    <w:rsid w:val="00F81D9A"/>
    <w:rsid w:val="00F81E55"/>
    <w:rsid w:val="00F8216C"/>
    <w:rsid w:val="00F82228"/>
    <w:rsid w:val="00F825D2"/>
    <w:rsid w:val="00F827B8"/>
    <w:rsid w:val="00F8295A"/>
    <w:rsid w:val="00F8296D"/>
    <w:rsid w:val="00F829C3"/>
    <w:rsid w:val="00F82A4F"/>
    <w:rsid w:val="00F82BE2"/>
    <w:rsid w:val="00F82C41"/>
    <w:rsid w:val="00F82D10"/>
    <w:rsid w:val="00F82E3F"/>
    <w:rsid w:val="00F82F5B"/>
    <w:rsid w:val="00F82F69"/>
    <w:rsid w:val="00F82FF1"/>
    <w:rsid w:val="00F8303E"/>
    <w:rsid w:val="00F830F2"/>
    <w:rsid w:val="00F833C3"/>
    <w:rsid w:val="00F8347C"/>
    <w:rsid w:val="00F834C8"/>
    <w:rsid w:val="00F83730"/>
    <w:rsid w:val="00F837D4"/>
    <w:rsid w:val="00F83A50"/>
    <w:rsid w:val="00F83A5D"/>
    <w:rsid w:val="00F83C82"/>
    <w:rsid w:val="00F83DAD"/>
    <w:rsid w:val="00F83DC0"/>
    <w:rsid w:val="00F83E13"/>
    <w:rsid w:val="00F83F20"/>
    <w:rsid w:val="00F840D7"/>
    <w:rsid w:val="00F841CA"/>
    <w:rsid w:val="00F84210"/>
    <w:rsid w:val="00F843F8"/>
    <w:rsid w:val="00F84583"/>
    <w:rsid w:val="00F8463C"/>
    <w:rsid w:val="00F8482A"/>
    <w:rsid w:val="00F8487D"/>
    <w:rsid w:val="00F84896"/>
    <w:rsid w:val="00F84A9B"/>
    <w:rsid w:val="00F84BBE"/>
    <w:rsid w:val="00F84C5F"/>
    <w:rsid w:val="00F84D67"/>
    <w:rsid w:val="00F84D68"/>
    <w:rsid w:val="00F84D7B"/>
    <w:rsid w:val="00F84E7D"/>
    <w:rsid w:val="00F84EBB"/>
    <w:rsid w:val="00F84F35"/>
    <w:rsid w:val="00F85012"/>
    <w:rsid w:val="00F85212"/>
    <w:rsid w:val="00F85254"/>
    <w:rsid w:val="00F85329"/>
    <w:rsid w:val="00F85407"/>
    <w:rsid w:val="00F85793"/>
    <w:rsid w:val="00F857B5"/>
    <w:rsid w:val="00F857F7"/>
    <w:rsid w:val="00F85961"/>
    <w:rsid w:val="00F859A4"/>
    <w:rsid w:val="00F85AB2"/>
    <w:rsid w:val="00F85C4C"/>
    <w:rsid w:val="00F85CB8"/>
    <w:rsid w:val="00F85CDB"/>
    <w:rsid w:val="00F85DE0"/>
    <w:rsid w:val="00F85E3F"/>
    <w:rsid w:val="00F85F19"/>
    <w:rsid w:val="00F86006"/>
    <w:rsid w:val="00F86041"/>
    <w:rsid w:val="00F860E8"/>
    <w:rsid w:val="00F86269"/>
    <w:rsid w:val="00F863AA"/>
    <w:rsid w:val="00F86460"/>
    <w:rsid w:val="00F8670F"/>
    <w:rsid w:val="00F867BB"/>
    <w:rsid w:val="00F86A60"/>
    <w:rsid w:val="00F86AC8"/>
    <w:rsid w:val="00F86B0B"/>
    <w:rsid w:val="00F86B2F"/>
    <w:rsid w:val="00F86B6D"/>
    <w:rsid w:val="00F86B7E"/>
    <w:rsid w:val="00F86B9E"/>
    <w:rsid w:val="00F86C11"/>
    <w:rsid w:val="00F86CCC"/>
    <w:rsid w:val="00F87113"/>
    <w:rsid w:val="00F8729D"/>
    <w:rsid w:val="00F87634"/>
    <w:rsid w:val="00F8767B"/>
    <w:rsid w:val="00F87702"/>
    <w:rsid w:val="00F877D8"/>
    <w:rsid w:val="00F87802"/>
    <w:rsid w:val="00F87880"/>
    <w:rsid w:val="00F87A27"/>
    <w:rsid w:val="00F87A68"/>
    <w:rsid w:val="00F87A79"/>
    <w:rsid w:val="00F87AA4"/>
    <w:rsid w:val="00F87B17"/>
    <w:rsid w:val="00F87BBF"/>
    <w:rsid w:val="00F87D1B"/>
    <w:rsid w:val="00F87E5C"/>
    <w:rsid w:val="00F87EBE"/>
    <w:rsid w:val="00F87F1D"/>
    <w:rsid w:val="00F87F8C"/>
    <w:rsid w:val="00F87F99"/>
    <w:rsid w:val="00F9002F"/>
    <w:rsid w:val="00F90210"/>
    <w:rsid w:val="00F902EC"/>
    <w:rsid w:val="00F9036C"/>
    <w:rsid w:val="00F90389"/>
    <w:rsid w:val="00F905D7"/>
    <w:rsid w:val="00F905E4"/>
    <w:rsid w:val="00F9064D"/>
    <w:rsid w:val="00F906C2"/>
    <w:rsid w:val="00F9078C"/>
    <w:rsid w:val="00F907CE"/>
    <w:rsid w:val="00F908E0"/>
    <w:rsid w:val="00F90AD5"/>
    <w:rsid w:val="00F90EFE"/>
    <w:rsid w:val="00F90FB8"/>
    <w:rsid w:val="00F91119"/>
    <w:rsid w:val="00F917B3"/>
    <w:rsid w:val="00F9184C"/>
    <w:rsid w:val="00F918A8"/>
    <w:rsid w:val="00F918F0"/>
    <w:rsid w:val="00F91949"/>
    <w:rsid w:val="00F91A4A"/>
    <w:rsid w:val="00F91B6B"/>
    <w:rsid w:val="00F91D9B"/>
    <w:rsid w:val="00F91F13"/>
    <w:rsid w:val="00F92028"/>
    <w:rsid w:val="00F9204E"/>
    <w:rsid w:val="00F92236"/>
    <w:rsid w:val="00F92292"/>
    <w:rsid w:val="00F923B0"/>
    <w:rsid w:val="00F92688"/>
    <w:rsid w:val="00F92710"/>
    <w:rsid w:val="00F92754"/>
    <w:rsid w:val="00F92806"/>
    <w:rsid w:val="00F92882"/>
    <w:rsid w:val="00F928DB"/>
    <w:rsid w:val="00F92C1E"/>
    <w:rsid w:val="00F92DE3"/>
    <w:rsid w:val="00F92EB8"/>
    <w:rsid w:val="00F92EC3"/>
    <w:rsid w:val="00F930C8"/>
    <w:rsid w:val="00F931E3"/>
    <w:rsid w:val="00F93251"/>
    <w:rsid w:val="00F93310"/>
    <w:rsid w:val="00F9331C"/>
    <w:rsid w:val="00F933F2"/>
    <w:rsid w:val="00F93475"/>
    <w:rsid w:val="00F9349B"/>
    <w:rsid w:val="00F93537"/>
    <w:rsid w:val="00F93576"/>
    <w:rsid w:val="00F93977"/>
    <w:rsid w:val="00F939DE"/>
    <w:rsid w:val="00F93A56"/>
    <w:rsid w:val="00F93ACF"/>
    <w:rsid w:val="00F93ADC"/>
    <w:rsid w:val="00F93E2F"/>
    <w:rsid w:val="00F9404C"/>
    <w:rsid w:val="00F94091"/>
    <w:rsid w:val="00F942A9"/>
    <w:rsid w:val="00F942BF"/>
    <w:rsid w:val="00F94592"/>
    <w:rsid w:val="00F94A22"/>
    <w:rsid w:val="00F94A73"/>
    <w:rsid w:val="00F94C8B"/>
    <w:rsid w:val="00F94ED1"/>
    <w:rsid w:val="00F94F17"/>
    <w:rsid w:val="00F94FD6"/>
    <w:rsid w:val="00F9501B"/>
    <w:rsid w:val="00F95302"/>
    <w:rsid w:val="00F953AD"/>
    <w:rsid w:val="00F953C5"/>
    <w:rsid w:val="00F9544E"/>
    <w:rsid w:val="00F9547C"/>
    <w:rsid w:val="00F95658"/>
    <w:rsid w:val="00F95808"/>
    <w:rsid w:val="00F95ACE"/>
    <w:rsid w:val="00F95C7D"/>
    <w:rsid w:val="00F95F3F"/>
    <w:rsid w:val="00F96010"/>
    <w:rsid w:val="00F96249"/>
    <w:rsid w:val="00F96310"/>
    <w:rsid w:val="00F9653D"/>
    <w:rsid w:val="00F9662D"/>
    <w:rsid w:val="00F966A0"/>
    <w:rsid w:val="00F9674B"/>
    <w:rsid w:val="00F967DA"/>
    <w:rsid w:val="00F96919"/>
    <w:rsid w:val="00F969AA"/>
    <w:rsid w:val="00F96B35"/>
    <w:rsid w:val="00F96B5E"/>
    <w:rsid w:val="00F96B75"/>
    <w:rsid w:val="00F96B85"/>
    <w:rsid w:val="00F96B8C"/>
    <w:rsid w:val="00F96B94"/>
    <w:rsid w:val="00F96C78"/>
    <w:rsid w:val="00F96D3A"/>
    <w:rsid w:val="00F96EA8"/>
    <w:rsid w:val="00F96FCC"/>
    <w:rsid w:val="00F970F6"/>
    <w:rsid w:val="00F9727B"/>
    <w:rsid w:val="00F9756F"/>
    <w:rsid w:val="00F975D1"/>
    <w:rsid w:val="00F97750"/>
    <w:rsid w:val="00F977CF"/>
    <w:rsid w:val="00F977DD"/>
    <w:rsid w:val="00F97818"/>
    <w:rsid w:val="00F978A0"/>
    <w:rsid w:val="00F97D75"/>
    <w:rsid w:val="00F97DB3"/>
    <w:rsid w:val="00F97DE4"/>
    <w:rsid w:val="00F97FF1"/>
    <w:rsid w:val="00FA0269"/>
    <w:rsid w:val="00FA033B"/>
    <w:rsid w:val="00FA0353"/>
    <w:rsid w:val="00FA045E"/>
    <w:rsid w:val="00FA0565"/>
    <w:rsid w:val="00FA056C"/>
    <w:rsid w:val="00FA068A"/>
    <w:rsid w:val="00FA0B74"/>
    <w:rsid w:val="00FA11BF"/>
    <w:rsid w:val="00FA14AE"/>
    <w:rsid w:val="00FA1691"/>
    <w:rsid w:val="00FA173E"/>
    <w:rsid w:val="00FA17C9"/>
    <w:rsid w:val="00FA186F"/>
    <w:rsid w:val="00FA1891"/>
    <w:rsid w:val="00FA18B7"/>
    <w:rsid w:val="00FA19AF"/>
    <w:rsid w:val="00FA19F3"/>
    <w:rsid w:val="00FA1A91"/>
    <w:rsid w:val="00FA1AA1"/>
    <w:rsid w:val="00FA1B01"/>
    <w:rsid w:val="00FA1BF2"/>
    <w:rsid w:val="00FA1C54"/>
    <w:rsid w:val="00FA20C4"/>
    <w:rsid w:val="00FA2311"/>
    <w:rsid w:val="00FA232E"/>
    <w:rsid w:val="00FA236F"/>
    <w:rsid w:val="00FA23E6"/>
    <w:rsid w:val="00FA248F"/>
    <w:rsid w:val="00FA27AA"/>
    <w:rsid w:val="00FA28D7"/>
    <w:rsid w:val="00FA28E4"/>
    <w:rsid w:val="00FA2A32"/>
    <w:rsid w:val="00FA2ADA"/>
    <w:rsid w:val="00FA2C03"/>
    <w:rsid w:val="00FA2D01"/>
    <w:rsid w:val="00FA2DF2"/>
    <w:rsid w:val="00FA34D5"/>
    <w:rsid w:val="00FA356C"/>
    <w:rsid w:val="00FA35E3"/>
    <w:rsid w:val="00FA3604"/>
    <w:rsid w:val="00FA373D"/>
    <w:rsid w:val="00FA37D7"/>
    <w:rsid w:val="00FA3A7E"/>
    <w:rsid w:val="00FA3A85"/>
    <w:rsid w:val="00FA3B43"/>
    <w:rsid w:val="00FA3BD9"/>
    <w:rsid w:val="00FA3D82"/>
    <w:rsid w:val="00FA3DD6"/>
    <w:rsid w:val="00FA3ECC"/>
    <w:rsid w:val="00FA3F65"/>
    <w:rsid w:val="00FA4077"/>
    <w:rsid w:val="00FA4096"/>
    <w:rsid w:val="00FA40C7"/>
    <w:rsid w:val="00FA410C"/>
    <w:rsid w:val="00FA425C"/>
    <w:rsid w:val="00FA429F"/>
    <w:rsid w:val="00FA42B0"/>
    <w:rsid w:val="00FA42EF"/>
    <w:rsid w:val="00FA4308"/>
    <w:rsid w:val="00FA4446"/>
    <w:rsid w:val="00FA449C"/>
    <w:rsid w:val="00FA45C5"/>
    <w:rsid w:val="00FA4606"/>
    <w:rsid w:val="00FA46B9"/>
    <w:rsid w:val="00FA46E8"/>
    <w:rsid w:val="00FA498E"/>
    <w:rsid w:val="00FA4A95"/>
    <w:rsid w:val="00FA4ADA"/>
    <w:rsid w:val="00FA4D11"/>
    <w:rsid w:val="00FA4E8A"/>
    <w:rsid w:val="00FA4EB7"/>
    <w:rsid w:val="00FA4F97"/>
    <w:rsid w:val="00FA5029"/>
    <w:rsid w:val="00FA5166"/>
    <w:rsid w:val="00FA5171"/>
    <w:rsid w:val="00FA53E7"/>
    <w:rsid w:val="00FA5513"/>
    <w:rsid w:val="00FA5624"/>
    <w:rsid w:val="00FA57FF"/>
    <w:rsid w:val="00FA599B"/>
    <w:rsid w:val="00FA5D31"/>
    <w:rsid w:val="00FA5D94"/>
    <w:rsid w:val="00FA5DF7"/>
    <w:rsid w:val="00FA5E46"/>
    <w:rsid w:val="00FA5FF5"/>
    <w:rsid w:val="00FA60F5"/>
    <w:rsid w:val="00FA61EF"/>
    <w:rsid w:val="00FA6252"/>
    <w:rsid w:val="00FA633C"/>
    <w:rsid w:val="00FA6357"/>
    <w:rsid w:val="00FA6424"/>
    <w:rsid w:val="00FA645E"/>
    <w:rsid w:val="00FA6587"/>
    <w:rsid w:val="00FA66E6"/>
    <w:rsid w:val="00FA6708"/>
    <w:rsid w:val="00FA68D9"/>
    <w:rsid w:val="00FA695C"/>
    <w:rsid w:val="00FA6A1D"/>
    <w:rsid w:val="00FA7054"/>
    <w:rsid w:val="00FA7237"/>
    <w:rsid w:val="00FA735B"/>
    <w:rsid w:val="00FA7464"/>
    <w:rsid w:val="00FA754F"/>
    <w:rsid w:val="00FA76F7"/>
    <w:rsid w:val="00FA778A"/>
    <w:rsid w:val="00FA7C52"/>
    <w:rsid w:val="00FA7D52"/>
    <w:rsid w:val="00FB0169"/>
    <w:rsid w:val="00FB01B0"/>
    <w:rsid w:val="00FB0394"/>
    <w:rsid w:val="00FB0519"/>
    <w:rsid w:val="00FB0521"/>
    <w:rsid w:val="00FB05FA"/>
    <w:rsid w:val="00FB06D1"/>
    <w:rsid w:val="00FB0787"/>
    <w:rsid w:val="00FB079E"/>
    <w:rsid w:val="00FB0828"/>
    <w:rsid w:val="00FB0976"/>
    <w:rsid w:val="00FB09DE"/>
    <w:rsid w:val="00FB09EE"/>
    <w:rsid w:val="00FB0C4E"/>
    <w:rsid w:val="00FB0E31"/>
    <w:rsid w:val="00FB0E6E"/>
    <w:rsid w:val="00FB0F41"/>
    <w:rsid w:val="00FB1191"/>
    <w:rsid w:val="00FB122A"/>
    <w:rsid w:val="00FB1286"/>
    <w:rsid w:val="00FB154F"/>
    <w:rsid w:val="00FB1685"/>
    <w:rsid w:val="00FB1851"/>
    <w:rsid w:val="00FB1954"/>
    <w:rsid w:val="00FB1D12"/>
    <w:rsid w:val="00FB1DA7"/>
    <w:rsid w:val="00FB1DD3"/>
    <w:rsid w:val="00FB1FBA"/>
    <w:rsid w:val="00FB1FE1"/>
    <w:rsid w:val="00FB2029"/>
    <w:rsid w:val="00FB213A"/>
    <w:rsid w:val="00FB22B1"/>
    <w:rsid w:val="00FB2357"/>
    <w:rsid w:val="00FB2362"/>
    <w:rsid w:val="00FB24BA"/>
    <w:rsid w:val="00FB260D"/>
    <w:rsid w:val="00FB2654"/>
    <w:rsid w:val="00FB27C7"/>
    <w:rsid w:val="00FB27CA"/>
    <w:rsid w:val="00FB28ED"/>
    <w:rsid w:val="00FB2BCD"/>
    <w:rsid w:val="00FB2C68"/>
    <w:rsid w:val="00FB2EAC"/>
    <w:rsid w:val="00FB2F62"/>
    <w:rsid w:val="00FB2FF8"/>
    <w:rsid w:val="00FB32DF"/>
    <w:rsid w:val="00FB34DE"/>
    <w:rsid w:val="00FB3522"/>
    <w:rsid w:val="00FB357C"/>
    <w:rsid w:val="00FB35B4"/>
    <w:rsid w:val="00FB3908"/>
    <w:rsid w:val="00FB3D84"/>
    <w:rsid w:val="00FB3ECB"/>
    <w:rsid w:val="00FB3F46"/>
    <w:rsid w:val="00FB4178"/>
    <w:rsid w:val="00FB437F"/>
    <w:rsid w:val="00FB4560"/>
    <w:rsid w:val="00FB4584"/>
    <w:rsid w:val="00FB4593"/>
    <w:rsid w:val="00FB48AE"/>
    <w:rsid w:val="00FB4921"/>
    <w:rsid w:val="00FB4925"/>
    <w:rsid w:val="00FB49A4"/>
    <w:rsid w:val="00FB4CC5"/>
    <w:rsid w:val="00FB4D1A"/>
    <w:rsid w:val="00FB4DB9"/>
    <w:rsid w:val="00FB4F14"/>
    <w:rsid w:val="00FB4FDB"/>
    <w:rsid w:val="00FB510B"/>
    <w:rsid w:val="00FB5121"/>
    <w:rsid w:val="00FB5230"/>
    <w:rsid w:val="00FB53E2"/>
    <w:rsid w:val="00FB5413"/>
    <w:rsid w:val="00FB57B1"/>
    <w:rsid w:val="00FB57BB"/>
    <w:rsid w:val="00FB5F21"/>
    <w:rsid w:val="00FB5FA8"/>
    <w:rsid w:val="00FB61BF"/>
    <w:rsid w:val="00FB61D5"/>
    <w:rsid w:val="00FB6217"/>
    <w:rsid w:val="00FB6261"/>
    <w:rsid w:val="00FB62FA"/>
    <w:rsid w:val="00FB64A3"/>
    <w:rsid w:val="00FB6684"/>
    <w:rsid w:val="00FB677B"/>
    <w:rsid w:val="00FB679B"/>
    <w:rsid w:val="00FB68BC"/>
    <w:rsid w:val="00FB6B1E"/>
    <w:rsid w:val="00FB6BC9"/>
    <w:rsid w:val="00FB6D07"/>
    <w:rsid w:val="00FB6D9A"/>
    <w:rsid w:val="00FB6E6C"/>
    <w:rsid w:val="00FB6E81"/>
    <w:rsid w:val="00FB734A"/>
    <w:rsid w:val="00FB7426"/>
    <w:rsid w:val="00FB7752"/>
    <w:rsid w:val="00FB779D"/>
    <w:rsid w:val="00FB780B"/>
    <w:rsid w:val="00FB7852"/>
    <w:rsid w:val="00FB79B1"/>
    <w:rsid w:val="00FB7B19"/>
    <w:rsid w:val="00FB7DB0"/>
    <w:rsid w:val="00FC0050"/>
    <w:rsid w:val="00FC02F9"/>
    <w:rsid w:val="00FC041C"/>
    <w:rsid w:val="00FC0844"/>
    <w:rsid w:val="00FC0852"/>
    <w:rsid w:val="00FC0914"/>
    <w:rsid w:val="00FC0A32"/>
    <w:rsid w:val="00FC0A40"/>
    <w:rsid w:val="00FC0CA4"/>
    <w:rsid w:val="00FC0E08"/>
    <w:rsid w:val="00FC10EE"/>
    <w:rsid w:val="00FC1142"/>
    <w:rsid w:val="00FC14F4"/>
    <w:rsid w:val="00FC1504"/>
    <w:rsid w:val="00FC166B"/>
    <w:rsid w:val="00FC168B"/>
    <w:rsid w:val="00FC174E"/>
    <w:rsid w:val="00FC17C7"/>
    <w:rsid w:val="00FC180A"/>
    <w:rsid w:val="00FC181B"/>
    <w:rsid w:val="00FC1923"/>
    <w:rsid w:val="00FC1968"/>
    <w:rsid w:val="00FC1A7B"/>
    <w:rsid w:val="00FC1B4F"/>
    <w:rsid w:val="00FC1B78"/>
    <w:rsid w:val="00FC1B84"/>
    <w:rsid w:val="00FC1EE3"/>
    <w:rsid w:val="00FC1F06"/>
    <w:rsid w:val="00FC1F0B"/>
    <w:rsid w:val="00FC2092"/>
    <w:rsid w:val="00FC20F2"/>
    <w:rsid w:val="00FC21F9"/>
    <w:rsid w:val="00FC22CF"/>
    <w:rsid w:val="00FC22D4"/>
    <w:rsid w:val="00FC239E"/>
    <w:rsid w:val="00FC2420"/>
    <w:rsid w:val="00FC24A9"/>
    <w:rsid w:val="00FC2682"/>
    <w:rsid w:val="00FC270A"/>
    <w:rsid w:val="00FC292B"/>
    <w:rsid w:val="00FC295D"/>
    <w:rsid w:val="00FC2B22"/>
    <w:rsid w:val="00FC2B59"/>
    <w:rsid w:val="00FC2C34"/>
    <w:rsid w:val="00FC2C5E"/>
    <w:rsid w:val="00FC2E20"/>
    <w:rsid w:val="00FC2FDC"/>
    <w:rsid w:val="00FC2FDF"/>
    <w:rsid w:val="00FC300C"/>
    <w:rsid w:val="00FC322E"/>
    <w:rsid w:val="00FC346E"/>
    <w:rsid w:val="00FC3657"/>
    <w:rsid w:val="00FC3830"/>
    <w:rsid w:val="00FC3900"/>
    <w:rsid w:val="00FC3A0D"/>
    <w:rsid w:val="00FC3A38"/>
    <w:rsid w:val="00FC3AEF"/>
    <w:rsid w:val="00FC3B0B"/>
    <w:rsid w:val="00FC3BE5"/>
    <w:rsid w:val="00FC3CF3"/>
    <w:rsid w:val="00FC3F1C"/>
    <w:rsid w:val="00FC3FC3"/>
    <w:rsid w:val="00FC4039"/>
    <w:rsid w:val="00FC4218"/>
    <w:rsid w:val="00FC4284"/>
    <w:rsid w:val="00FC43A1"/>
    <w:rsid w:val="00FC443F"/>
    <w:rsid w:val="00FC448F"/>
    <w:rsid w:val="00FC4556"/>
    <w:rsid w:val="00FC4670"/>
    <w:rsid w:val="00FC4721"/>
    <w:rsid w:val="00FC473F"/>
    <w:rsid w:val="00FC4818"/>
    <w:rsid w:val="00FC48F1"/>
    <w:rsid w:val="00FC4AA9"/>
    <w:rsid w:val="00FC4BC8"/>
    <w:rsid w:val="00FC4CD7"/>
    <w:rsid w:val="00FC4D1A"/>
    <w:rsid w:val="00FC4DB2"/>
    <w:rsid w:val="00FC4F4F"/>
    <w:rsid w:val="00FC525E"/>
    <w:rsid w:val="00FC53AB"/>
    <w:rsid w:val="00FC554B"/>
    <w:rsid w:val="00FC5561"/>
    <w:rsid w:val="00FC5699"/>
    <w:rsid w:val="00FC5861"/>
    <w:rsid w:val="00FC59A1"/>
    <w:rsid w:val="00FC5AD1"/>
    <w:rsid w:val="00FC5C3C"/>
    <w:rsid w:val="00FC5CBA"/>
    <w:rsid w:val="00FC5F67"/>
    <w:rsid w:val="00FC5FE9"/>
    <w:rsid w:val="00FC6098"/>
    <w:rsid w:val="00FC6170"/>
    <w:rsid w:val="00FC635C"/>
    <w:rsid w:val="00FC64BB"/>
    <w:rsid w:val="00FC65D8"/>
    <w:rsid w:val="00FC6629"/>
    <w:rsid w:val="00FC6779"/>
    <w:rsid w:val="00FC6878"/>
    <w:rsid w:val="00FC6959"/>
    <w:rsid w:val="00FC69E7"/>
    <w:rsid w:val="00FC6A41"/>
    <w:rsid w:val="00FC6A43"/>
    <w:rsid w:val="00FC6D45"/>
    <w:rsid w:val="00FC6D8F"/>
    <w:rsid w:val="00FC6E0D"/>
    <w:rsid w:val="00FC6F78"/>
    <w:rsid w:val="00FC70E5"/>
    <w:rsid w:val="00FC71D8"/>
    <w:rsid w:val="00FC72E8"/>
    <w:rsid w:val="00FC7434"/>
    <w:rsid w:val="00FC74B6"/>
    <w:rsid w:val="00FC74D1"/>
    <w:rsid w:val="00FC7684"/>
    <w:rsid w:val="00FC7A8E"/>
    <w:rsid w:val="00FC7AC3"/>
    <w:rsid w:val="00FC7B8D"/>
    <w:rsid w:val="00FC7C13"/>
    <w:rsid w:val="00FC7F32"/>
    <w:rsid w:val="00FC7F80"/>
    <w:rsid w:val="00FC7FA9"/>
    <w:rsid w:val="00FD006B"/>
    <w:rsid w:val="00FD0085"/>
    <w:rsid w:val="00FD00A3"/>
    <w:rsid w:val="00FD0179"/>
    <w:rsid w:val="00FD0236"/>
    <w:rsid w:val="00FD0639"/>
    <w:rsid w:val="00FD063B"/>
    <w:rsid w:val="00FD0769"/>
    <w:rsid w:val="00FD094A"/>
    <w:rsid w:val="00FD0ABF"/>
    <w:rsid w:val="00FD0ADC"/>
    <w:rsid w:val="00FD0BEB"/>
    <w:rsid w:val="00FD0C3F"/>
    <w:rsid w:val="00FD0CBE"/>
    <w:rsid w:val="00FD1158"/>
    <w:rsid w:val="00FD11A4"/>
    <w:rsid w:val="00FD124F"/>
    <w:rsid w:val="00FD1306"/>
    <w:rsid w:val="00FD1338"/>
    <w:rsid w:val="00FD137A"/>
    <w:rsid w:val="00FD16B3"/>
    <w:rsid w:val="00FD177A"/>
    <w:rsid w:val="00FD1844"/>
    <w:rsid w:val="00FD190F"/>
    <w:rsid w:val="00FD1A4E"/>
    <w:rsid w:val="00FD1AD8"/>
    <w:rsid w:val="00FD1B98"/>
    <w:rsid w:val="00FD1BF6"/>
    <w:rsid w:val="00FD1CA8"/>
    <w:rsid w:val="00FD1E07"/>
    <w:rsid w:val="00FD201C"/>
    <w:rsid w:val="00FD20AF"/>
    <w:rsid w:val="00FD230A"/>
    <w:rsid w:val="00FD230C"/>
    <w:rsid w:val="00FD233D"/>
    <w:rsid w:val="00FD2387"/>
    <w:rsid w:val="00FD243D"/>
    <w:rsid w:val="00FD25A3"/>
    <w:rsid w:val="00FD269D"/>
    <w:rsid w:val="00FD279B"/>
    <w:rsid w:val="00FD2912"/>
    <w:rsid w:val="00FD2952"/>
    <w:rsid w:val="00FD2A3E"/>
    <w:rsid w:val="00FD2B4B"/>
    <w:rsid w:val="00FD2C17"/>
    <w:rsid w:val="00FD2C77"/>
    <w:rsid w:val="00FD2CEC"/>
    <w:rsid w:val="00FD2F5B"/>
    <w:rsid w:val="00FD2FC8"/>
    <w:rsid w:val="00FD305E"/>
    <w:rsid w:val="00FD3222"/>
    <w:rsid w:val="00FD327E"/>
    <w:rsid w:val="00FD333C"/>
    <w:rsid w:val="00FD33AB"/>
    <w:rsid w:val="00FD3429"/>
    <w:rsid w:val="00FD345C"/>
    <w:rsid w:val="00FD351C"/>
    <w:rsid w:val="00FD356E"/>
    <w:rsid w:val="00FD36F8"/>
    <w:rsid w:val="00FD3703"/>
    <w:rsid w:val="00FD3742"/>
    <w:rsid w:val="00FD3791"/>
    <w:rsid w:val="00FD37FA"/>
    <w:rsid w:val="00FD387A"/>
    <w:rsid w:val="00FD38E7"/>
    <w:rsid w:val="00FD3A4B"/>
    <w:rsid w:val="00FD3A8C"/>
    <w:rsid w:val="00FD3AC6"/>
    <w:rsid w:val="00FD3D3B"/>
    <w:rsid w:val="00FD3D67"/>
    <w:rsid w:val="00FD3F22"/>
    <w:rsid w:val="00FD4047"/>
    <w:rsid w:val="00FD4123"/>
    <w:rsid w:val="00FD427E"/>
    <w:rsid w:val="00FD42A8"/>
    <w:rsid w:val="00FD44BA"/>
    <w:rsid w:val="00FD44FD"/>
    <w:rsid w:val="00FD4608"/>
    <w:rsid w:val="00FD47FC"/>
    <w:rsid w:val="00FD4843"/>
    <w:rsid w:val="00FD4A47"/>
    <w:rsid w:val="00FD4ACC"/>
    <w:rsid w:val="00FD4C37"/>
    <w:rsid w:val="00FD4D1B"/>
    <w:rsid w:val="00FD4D34"/>
    <w:rsid w:val="00FD4DAD"/>
    <w:rsid w:val="00FD4FDB"/>
    <w:rsid w:val="00FD505A"/>
    <w:rsid w:val="00FD515D"/>
    <w:rsid w:val="00FD516D"/>
    <w:rsid w:val="00FD5358"/>
    <w:rsid w:val="00FD55A6"/>
    <w:rsid w:val="00FD56C3"/>
    <w:rsid w:val="00FD56F6"/>
    <w:rsid w:val="00FD586E"/>
    <w:rsid w:val="00FD59C9"/>
    <w:rsid w:val="00FD59D8"/>
    <w:rsid w:val="00FD5B57"/>
    <w:rsid w:val="00FD5BDA"/>
    <w:rsid w:val="00FD5BE7"/>
    <w:rsid w:val="00FD5C6F"/>
    <w:rsid w:val="00FD5CE1"/>
    <w:rsid w:val="00FD5E45"/>
    <w:rsid w:val="00FD5E92"/>
    <w:rsid w:val="00FD6003"/>
    <w:rsid w:val="00FD6022"/>
    <w:rsid w:val="00FD6143"/>
    <w:rsid w:val="00FD6411"/>
    <w:rsid w:val="00FD64E2"/>
    <w:rsid w:val="00FD658A"/>
    <w:rsid w:val="00FD6630"/>
    <w:rsid w:val="00FD68B1"/>
    <w:rsid w:val="00FD68B6"/>
    <w:rsid w:val="00FD68C1"/>
    <w:rsid w:val="00FD6BF0"/>
    <w:rsid w:val="00FD6C4F"/>
    <w:rsid w:val="00FD6D35"/>
    <w:rsid w:val="00FD6EFB"/>
    <w:rsid w:val="00FD6F04"/>
    <w:rsid w:val="00FD70A3"/>
    <w:rsid w:val="00FD70A4"/>
    <w:rsid w:val="00FD716A"/>
    <w:rsid w:val="00FD7260"/>
    <w:rsid w:val="00FD7275"/>
    <w:rsid w:val="00FD7286"/>
    <w:rsid w:val="00FD737B"/>
    <w:rsid w:val="00FD7386"/>
    <w:rsid w:val="00FD73AB"/>
    <w:rsid w:val="00FD741A"/>
    <w:rsid w:val="00FD74F7"/>
    <w:rsid w:val="00FD7545"/>
    <w:rsid w:val="00FD75AD"/>
    <w:rsid w:val="00FD75B5"/>
    <w:rsid w:val="00FD75EC"/>
    <w:rsid w:val="00FD75F6"/>
    <w:rsid w:val="00FD7710"/>
    <w:rsid w:val="00FD772A"/>
    <w:rsid w:val="00FD78C4"/>
    <w:rsid w:val="00FD7A3F"/>
    <w:rsid w:val="00FD7BAF"/>
    <w:rsid w:val="00FD7BC6"/>
    <w:rsid w:val="00FD7CE3"/>
    <w:rsid w:val="00FD7D8C"/>
    <w:rsid w:val="00FE00C1"/>
    <w:rsid w:val="00FE00C5"/>
    <w:rsid w:val="00FE0136"/>
    <w:rsid w:val="00FE0316"/>
    <w:rsid w:val="00FE0452"/>
    <w:rsid w:val="00FE046A"/>
    <w:rsid w:val="00FE047D"/>
    <w:rsid w:val="00FE0480"/>
    <w:rsid w:val="00FE04EA"/>
    <w:rsid w:val="00FE0502"/>
    <w:rsid w:val="00FE08FC"/>
    <w:rsid w:val="00FE092F"/>
    <w:rsid w:val="00FE0AAA"/>
    <w:rsid w:val="00FE0AD0"/>
    <w:rsid w:val="00FE0D15"/>
    <w:rsid w:val="00FE0DF5"/>
    <w:rsid w:val="00FE0E24"/>
    <w:rsid w:val="00FE0E91"/>
    <w:rsid w:val="00FE0EAB"/>
    <w:rsid w:val="00FE11BB"/>
    <w:rsid w:val="00FE1223"/>
    <w:rsid w:val="00FE1228"/>
    <w:rsid w:val="00FE1240"/>
    <w:rsid w:val="00FE1394"/>
    <w:rsid w:val="00FE13BB"/>
    <w:rsid w:val="00FE1493"/>
    <w:rsid w:val="00FE1511"/>
    <w:rsid w:val="00FE1603"/>
    <w:rsid w:val="00FE1634"/>
    <w:rsid w:val="00FE16C1"/>
    <w:rsid w:val="00FE1718"/>
    <w:rsid w:val="00FE176F"/>
    <w:rsid w:val="00FE1841"/>
    <w:rsid w:val="00FE1A38"/>
    <w:rsid w:val="00FE1A99"/>
    <w:rsid w:val="00FE1B28"/>
    <w:rsid w:val="00FE1CE8"/>
    <w:rsid w:val="00FE20D1"/>
    <w:rsid w:val="00FE2323"/>
    <w:rsid w:val="00FE2359"/>
    <w:rsid w:val="00FE2487"/>
    <w:rsid w:val="00FE26D0"/>
    <w:rsid w:val="00FE26F3"/>
    <w:rsid w:val="00FE26FA"/>
    <w:rsid w:val="00FE28CD"/>
    <w:rsid w:val="00FE297F"/>
    <w:rsid w:val="00FE2A6A"/>
    <w:rsid w:val="00FE2A9D"/>
    <w:rsid w:val="00FE2AED"/>
    <w:rsid w:val="00FE2B4A"/>
    <w:rsid w:val="00FE2B9A"/>
    <w:rsid w:val="00FE2BC9"/>
    <w:rsid w:val="00FE2EC7"/>
    <w:rsid w:val="00FE300E"/>
    <w:rsid w:val="00FE3055"/>
    <w:rsid w:val="00FE30C0"/>
    <w:rsid w:val="00FE3198"/>
    <w:rsid w:val="00FE32ED"/>
    <w:rsid w:val="00FE33B7"/>
    <w:rsid w:val="00FE3670"/>
    <w:rsid w:val="00FE3724"/>
    <w:rsid w:val="00FE3A7F"/>
    <w:rsid w:val="00FE3A83"/>
    <w:rsid w:val="00FE3AD2"/>
    <w:rsid w:val="00FE3F6A"/>
    <w:rsid w:val="00FE479A"/>
    <w:rsid w:val="00FE4809"/>
    <w:rsid w:val="00FE4932"/>
    <w:rsid w:val="00FE49AE"/>
    <w:rsid w:val="00FE49D1"/>
    <w:rsid w:val="00FE4B98"/>
    <w:rsid w:val="00FE4CBB"/>
    <w:rsid w:val="00FE4EA3"/>
    <w:rsid w:val="00FE511F"/>
    <w:rsid w:val="00FE5305"/>
    <w:rsid w:val="00FE542F"/>
    <w:rsid w:val="00FE5434"/>
    <w:rsid w:val="00FE55A2"/>
    <w:rsid w:val="00FE5986"/>
    <w:rsid w:val="00FE598F"/>
    <w:rsid w:val="00FE59D5"/>
    <w:rsid w:val="00FE5AEF"/>
    <w:rsid w:val="00FE5B5A"/>
    <w:rsid w:val="00FE5CCA"/>
    <w:rsid w:val="00FE5F54"/>
    <w:rsid w:val="00FE6070"/>
    <w:rsid w:val="00FE608D"/>
    <w:rsid w:val="00FE6199"/>
    <w:rsid w:val="00FE6473"/>
    <w:rsid w:val="00FE663A"/>
    <w:rsid w:val="00FE6791"/>
    <w:rsid w:val="00FE6846"/>
    <w:rsid w:val="00FE6A91"/>
    <w:rsid w:val="00FE6B0A"/>
    <w:rsid w:val="00FE6C3E"/>
    <w:rsid w:val="00FE6C82"/>
    <w:rsid w:val="00FE6C83"/>
    <w:rsid w:val="00FE6D54"/>
    <w:rsid w:val="00FE6DA3"/>
    <w:rsid w:val="00FE70B3"/>
    <w:rsid w:val="00FE71B4"/>
    <w:rsid w:val="00FE72B9"/>
    <w:rsid w:val="00FE73F7"/>
    <w:rsid w:val="00FE770A"/>
    <w:rsid w:val="00FE77EE"/>
    <w:rsid w:val="00FE79EB"/>
    <w:rsid w:val="00FE7BB7"/>
    <w:rsid w:val="00FE7E01"/>
    <w:rsid w:val="00FE7E58"/>
    <w:rsid w:val="00FEC214"/>
    <w:rsid w:val="00FF00C4"/>
    <w:rsid w:val="00FF02B2"/>
    <w:rsid w:val="00FF0391"/>
    <w:rsid w:val="00FF03AC"/>
    <w:rsid w:val="00FF04EF"/>
    <w:rsid w:val="00FF05AB"/>
    <w:rsid w:val="00FF05B1"/>
    <w:rsid w:val="00FF0939"/>
    <w:rsid w:val="00FF0A7E"/>
    <w:rsid w:val="00FF0A8C"/>
    <w:rsid w:val="00FF0AD4"/>
    <w:rsid w:val="00FF0C30"/>
    <w:rsid w:val="00FF0C61"/>
    <w:rsid w:val="00FF0EC2"/>
    <w:rsid w:val="00FF0F31"/>
    <w:rsid w:val="00FF10CB"/>
    <w:rsid w:val="00FF1152"/>
    <w:rsid w:val="00FF1197"/>
    <w:rsid w:val="00FF1274"/>
    <w:rsid w:val="00FF14BE"/>
    <w:rsid w:val="00FF1705"/>
    <w:rsid w:val="00FF1793"/>
    <w:rsid w:val="00FF19F8"/>
    <w:rsid w:val="00FF1A73"/>
    <w:rsid w:val="00FF1CCF"/>
    <w:rsid w:val="00FF20DC"/>
    <w:rsid w:val="00FF21E2"/>
    <w:rsid w:val="00FF221A"/>
    <w:rsid w:val="00FF223C"/>
    <w:rsid w:val="00FF22B6"/>
    <w:rsid w:val="00FF25F8"/>
    <w:rsid w:val="00FF262D"/>
    <w:rsid w:val="00FF2C46"/>
    <w:rsid w:val="00FF305E"/>
    <w:rsid w:val="00FF321C"/>
    <w:rsid w:val="00FF33C4"/>
    <w:rsid w:val="00FF33F3"/>
    <w:rsid w:val="00FF3449"/>
    <w:rsid w:val="00FF34F4"/>
    <w:rsid w:val="00FF35A9"/>
    <w:rsid w:val="00FF3787"/>
    <w:rsid w:val="00FF3AFD"/>
    <w:rsid w:val="00FF3B61"/>
    <w:rsid w:val="00FF3C13"/>
    <w:rsid w:val="00FF4008"/>
    <w:rsid w:val="00FF41B6"/>
    <w:rsid w:val="00FF42F3"/>
    <w:rsid w:val="00FF4325"/>
    <w:rsid w:val="00FF4355"/>
    <w:rsid w:val="00FF43BD"/>
    <w:rsid w:val="00FF440F"/>
    <w:rsid w:val="00FF44BA"/>
    <w:rsid w:val="00FF458F"/>
    <w:rsid w:val="00FF459F"/>
    <w:rsid w:val="00FF4749"/>
    <w:rsid w:val="00FF480C"/>
    <w:rsid w:val="00FF4824"/>
    <w:rsid w:val="00FF48F3"/>
    <w:rsid w:val="00FF49F0"/>
    <w:rsid w:val="00FF4A60"/>
    <w:rsid w:val="00FF4D56"/>
    <w:rsid w:val="00FF50A5"/>
    <w:rsid w:val="00FF51DB"/>
    <w:rsid w:val="00FF5228"/>
    <w:rsid w:val="00FF5229"/>
    <w:rsid w:val="00FF524E"/>
    <w:rsid w:val="00FF5398"/>
    <w:rsid w:val="00FF54BB"/>
    <w:rsid w:val="00FF54F5"/>
    <w:rsid w:val="00FF559E"/>
    <w:rsid w:val="00FF55DD"/>
    <w:rsid w:val="00FF56E2"/>
    <w:rsid w:val="00FF58B1"/>
    <w:rsid w:val="00FF594B"/>
    <w:rsid w:val="00FF59CE"/>
    <w:rsid w:val="00FF5A7F"/>
    <w:rsid w:val="00FF5E8A"/>
    <w:rsid w:val="00FF5E9E"/>
    <w:rsid w:val="00FF5ED3"/>
    <w:rsid w:val="00FF6077"/>
    <w:rsid w:val="00FF6183"/>
    <w:rsid w:val="00FF61C1"/>
    <w:rsid w:val="00FF62D3"/>
    <w:rsid w:val="00FF63A2"/>
    <w:rsid w:val="00FF63C3"/>
    <w:rsid w:val="00FF6455"/>
    <w:rsid w:val="00FF64CB"/>
    <w:rsid w:val="00FF6585"/>
    <w:rsid w:val="00FF6590"/>
    <w:rsid w:val="00FF65CE"/>
    <w:rsid w:val="00FF65FF"/>
    <w:rsid w:val="00FF6815"/>
    <w:rsid w:val="00FF6B69"/>
    <w:rsid w:val="00FF6EE5"/>
    <w:rsid w:val="00FF6EFD"/>
    <w:rsid w:val="00FF6F5C"/>
    <w:rsid w:val="00FF7529"/>
    <w:rsid w:val="00FF7728"/>
    <w:rsid w:val="00FF776B"/>
    <w:rsid w:val="00FF776F"/>
    <w:rsid w:val="00FF77F6"/>
    <w:rsid w:val="00FF7806"/>
    <w:rsid w:val="00FF78EA"/>
    <w:rsid w:val="00FF7951"/>
    <w:rsid w:val="00FF7B24"/>
    <w:rsid w:val="00FF7CE0"/>
    <w:rsid w:val="00FF7D91"/>
    <w:rsid w:val="00FF7ED9"/>
    <w:rsid w:val="010104BE"/>
    <w:rsid w:val="010AB971"/>
    <w:rsid w:val="01110CAD"/>
    <w:rsid w:val="01190028"/>
    <w:rsid w:val="011D6168"/>
    <w:rsid w:val="012DD93F"/>
    <w:rsid w:val="013CD5F9"/>
    <w:rsid w:val="013DE996"/>
    <w:rsid w:val="014DB345"/>
    <w:rsid w:val="015F9008"/>
    <w:rsid w:val="01719AA0"/>
    <w:rsid w:val="017DA8E2"/>
    <w:rsid w:val="01831F52"/>
    <w:rsid w:val="01859E60"/>
    <w:rsid w:val="018EDC7C"/>
    <w:rsid w:val="01A1B546"/>
    <w:rsid w:val="01A6CA8D"/>
    <w:rsid w:val="01AF8364"/>
    <w:rsid w:val="01B53BCA"/>
    <w:rsid w:val="01C16724"/>
    <w:rsid w:val="01C7A8B0"/>
    <w:rsid w:val="01CAD764"/>
    <w:rsid w:val="01D9A1E9"/>
    <w:rsid w:val="01DADE82"/>
    <w:rsid w:val="01EA65EB"/>
    <w:rsid w:val="01ED44BF"/>
    <w:rsid w:val="01F93044"/>
    <w:rsid w:val="0200EBF3"/>
    <w:rsid w:val="02174BF0"/>
    <w:rsid w:val="02364B99"/>
    <w:rsid w:val="02476331"/>
    <w:rsid w:val="02552CC8"/>
    <w:rsid w:val="0255A4D4"/>
    <w:rsid w:val="025B6EE0"/>
    <w:rsid w:val="025B8E3B"/>
    <w:rsid w:val="0260B83E"/>
    <w:rsid w:val="026325B6"/>
    <w:rsid w:val="026371FA"/>
    <w:rsid w:val="0264E70F"/>
    <w:rsid w:val="0270FA1E"/>
    <w:rsid w:val="0276406C"/>
    <w:rsid w:val="0277DE20"/>
    <w:rsid w:val="02814025"/>
    <w:rsid w:val="029693D2"/>
    <w:rsid w:val="029B0E56"/>
    <w:rsid w:val="02A0CF53"/>
    <w:rsid w:val="02B1C206"/>
    <w:rsid w:val="02B456E6"/>
    <w:rsid w:val="02B9ACDE"/>
    <w:rsid w:val="02C3EA45"/>
    <w:rsid w:val="02DAE9E2"/>
    <w:rsid w:val="02E77AE9"/>
    <w:rsid w:val="02EB8D2B"/>
    <w:rsid w:val="02ED1CC3"/>
    <w:rsid w:val="03073B9B"/>
    <w:rsid w:val="03083B97"/>
    <w:rsid w:val="030CABB7"/>
    <w:rsid w:val="031AEDF0"/>
    <w:rsid w:val="0322505A"/>
    <w:rsid w:val="0325825F"/>
    <w:rsid w:val="032C86CA"/>
    <w:rsid w:val="0342F445"/>
    <w:rsid w:val="035D54B1"/>
    <w:rsid w:val="03708432"/>
    <w:rsid w:val="0375355B"/>
    <w:rsid w:val="0379A4FF"/>
    <w:rsid w:val="0382709B"/>
    <w:rsid w:val="039C0B94"/>
    <w:rsid w:val="03A0C76F"/>
    <w:rsid w:val="03AB0E5C"/>
    <w:rsid w:val="03BCAD63"/>
    <w:rsid w:val="03C1FE49"/>
    <w:rsid w:val="03C2D4D1"/>
    <w:rsid w:val="03CEC0C6"/>
    <w:rsid w:val="03DF29ED"/>
    <w:rsid w:val="03F27A0B"/>
    <w:rsid w:val="03F76C80"/>
    <w:rsid w:val="03F80899"/>
    <w:rsid w:val="03FC7988"/>
    <w:rsid w:val="03FE4C38"/>
    <w:rsid w:val="0419B539"/>
    <w:rsid w:val="041A7C0E"/>
    <w:rsid w:val="041D29C1"/>
    <w:rsid w:val="042593E7"/>
    <w:rsid w:val="0425E6F5"/>
    <w:rsid w:val="042B8DA3"/>
    <w:rsid w:val="04392267"/>
    <w:rsid w:val="0439A5D3"/>
    <w:rsid w:val="044BEDD1"/>
    <w:rsid w:val="044CC4DB"/>
    <w:rsid w:val="0450449D"/>
    <w:rsid w:val="04761BE7"/>
    <w:rsid w:val="0477FD0D"/>
    <w:rsid w:val="0488CFB5"/>
    <w:rsid w:val="0492DA63"/>
    <w:rsid w:val="049339C4"/>
    <w:rsid w:val="04A59C2D"/>
    <w:rsid w:val="04A90607"/>
    <w:rsid w:val="04CCB674"/>
    <w:rsid w:val="04E5424C"/>
    <w:rsid w:val="04EC1082"/>
    <w:rsid w:val="04EF41FE"/>
    <w:rsid w:val="04F2CC11"/>
    <w:rsid w:val="04F3662D"/>
    <w:rsid w:val="04F480B1"/>
    <w:rsid w:val="0503D45E"/>
    <w:rsid w:val="050736B7"/>
    <w:rsid w:val="051FCB4C"/>
    <w:rsid w:val="05420565"/>
    <w:rsid w:val="054461D8"/>
    <w:rsid w:val="054A3E88"/>
    <w:rsid w:val="054B6B52"/>
    <w:rsid w:val="054CC749"/>
    <w:rsid w:val="0555AF4B"/>
    <w:rsid w:val="056F5839"/>
    <w:rsid w:val="0574AE74"/>
    <w:rsid w:val="0575370A"/>
    <w:rsid w:val="057BAFCD"/>
    <w:rsid w:val="057E7D8D"/>
    <w:rsid w:val="05823330"/>
    <w:rsid w:val="0584C4E7"/>
    <w:rsid w:val="0585A8CC"/>
    <w:rsid w:val="05903271"/>
    <w:rsid w:val="05992316"/>
    <w:rsid w:val="05A94BDD"/>
    <w:rsid w:val="05A9EC9A"/>
    <w:rsid w:val="05AB5765"/>
    <w:rsid w:val="05C097C0"/>
    <w:rsid w:val="05C58F6A"/>
    <w:rsid w:val="05C65F32"/>
    <w:rsid w:val="05D3505C"/>
    <w:rsid w:val="05E16DCB"/>
    <w:rsid w:val="05E1B4D3"/>
    <w:rsid w:val="05E5EE3A"/>
    <w:rsid w:val="05EFEF42"/>
    <w:rsid w:val="062CD765"/>
    <w:rsid w:val="06315837"/>
    <w:rsid w:val="0631903E"/>
    <w:rsid w:val="063868A5"/>
    <w:rsid w:val="063983D5"/>
    <w:rsid w:val="063DEC3B"/>
    <w:rsid w:val="063DFDF9"/>
    <w:rsid w:val="0656A80C"/>
    <w:rsid w:val="0657EA7C"/>
    <w:rsid w:val="065A4E61"/>
    <w:rsid w:val="0664BDEE"/>
    <w:rsid w:val="0672030E"/>
    <w:rsid w:val="06729164"/>
    <w:rsid w:val="06967047"/>
    <w:rsid w:val="06A399DA"/>
    <w:rsid w:val="06AE241E"/>
    <w:rsid w:val="06AFA25D"/>
    <w:rsid w:val="06B3A72C"/>
    <w:rsid w:val="06C07D38"/>
    <w:rsid w:val="06DC84A7"/>
    <w:rsid w:val="06E07A73"/>
    <w:rsid w:val="06E653B1"/>
    <w:rsid w:val="06EC58BE"/>
    <w:rsid w:val="07032566"/>
    <w:rsid w:val="070701C8"/>
    <w:rsid w:val="071688DA"/>
    <w:rsid w:val="07198E37"/>
    <w:rsid w:val="0727C5BE"/>
    <w:rsid w:val="0730A5E0"/>
    <w:rsid w:val="07316AED"/>
    <w:rsid w:val="07511DD0"/>
    <w:rsid w:val="0751823F"/>
    <w:rsid w:val="07606397"/>
    <w:rsid w:val="0768837E"/>
    <w:rsid w:val="077D5F4F"/>
    <w:rsid w:val="077D99E4"/>
    <w:rsid w:val="07875599"/>
    <w:rsid w:val="078BEB5A"/>
    <w:rsid w:val="07BDBBD2"/>
    <w:rsid w:val="07CF8960"/>
    <w:rsid w:val="07DA7AD4"/>
    <w:rsid w:val="07E14627"/>
    <w:rsid w:val="07E2F3DD"/>
    <w:rsid w:val="07EF0DFB"/>
    <w:rsid w:val="07F51038"/>
    <w:rsid w:val="07F5BE0E"/>
    <w:rsid w:val="07F9C5BE"/>
    <w:rsid w:val="0800DEBA"/>
    <w:rsid w:val="0801A8B9"/>
    <w:rsid w:val="080BC585"/>
    <w:rsid w:val="080C2FAD"/>
    <w:rsid w:val="080FC021"/>
    <w:rsid w:val="08163849"/>
    <w:rsid w:val="0828A7EB"/>
    <w:rsid w:val="08343029"/>
    <w:rsid w:val="08441F0D"/>
    <w:rsid w:val="084B1687"/>
    <w:rsid w:val="0859C100"/>
    <w:rsid w:val="085DABC8"/>
    <w:rsid w:val="086BB8B8"/>
    <w:rsid w:val="0875497B"/>
    <w:rsid w:val="087EEF93"/>
    <w:rsid w:val="088D38FA"/>
    <w:rsid w:val="08912794"/>
    <w:rsid w:val="0891411D"/>
    <w:rsid w:val="08AC9DB7"/>
    <w:rsid w:val="08B11184"/>
    <w:rsid w:val="08B37E9D"/>
    <w:rsid w:val="08B5B415"/>
    <w:rsid w:val="08BBB7A9"/>
    <w:rsid w:val="08C3E13E"/>
    <w:rsid w:val="08D2BDE1"/>
    <w:rsid w:val="08DD67B7"/>
    <w:rsid w:val="08ECA407"/>
    <w:rsid w:val="08F560D1"/>
    <w:rsid w:val="09248D32"/>
    <w:rsid w:val="0940ED28"/>
    <w:rsid w:val="0945E7D3"/>
    <w:rsid w:val="0948ADCA"/>
    <w:rsid w:val="094D92A1"/>
    <w:rsid w:val="0950F42E"/>
    <w:rsid w:val="09512F52"/>
    <w:rsid w:val="0968FE05"/>
    <w:rsid w:val="097A499C"/>
    <w:rsid w:val="0980A4A0"/>
    <w:rsid w:val="098797B4"/>
    <w:rsid w:val="098A5995"/>
    <w:rsid w:val="098C8070"/>
    <w:rsid w:val="0997F739"/>
    <w:rsid w:val="099DA99E"/>
    <w:rsid w:val="09A2155A"/>
    <w:rsid w:val="09A28E5B"/>
    <w:rsid w:val="09A9275E"/>
    <w:rsid w:val="09ABE502"/>
    <w:rsid w:val="09AE36D2"/>
    <w:rsid w:val="09C10ACB"/>
    <w:rsid w:val="09C9DBDD"/>
    <w:rsid w:val="09E38543"/>
    <w:rsid w:val="09E950D0"/>
    <w:rsid w:val="09E9E9AD"/>
    <w:rsid w:val="09EA46AE"/>
    <w:rsid w:val="09ED7F08"/>
    <w:rsid w:val="09F1585D"/>
    <w:rsid w:val="0A16874C"/>
    <w:rsid w:val="0A1ADB8D"/>
    <w:rsid w:val="0A1D8F71"/>
    <w:rsid w:val="0A250728"/>
    <w:rsid w:val="0A35EF79"/>
    <w:rsid w:val="0A5118B3"/>
    <w:rsid w:val="0A51C865"/>
    <w:rsid w:val="0A597951"/>
    <w:rsid w:val="0A5BD6C5"/>
    <w:rsid w:val="0A7A1A1E"/>
    <w:rsid w:val="0A81E67F"/>
    <w:rsid w:val="0A8C4A67"/>
    <w:rsid w:val="0A8D3DC4"/>
    <w:rsid w:val="0A956CE3"/>
    <w:rsid w:val="0A99D07A"/>
    <w:rsid w:val="0AA30275"/>
    <w:rsid w:val="0AAE1371"/>
    <w:rsid w:val="0ABA219B"/>
    <w:rsid w:val="0ABCD164"/>
    <w:rsid w:val="0ABEA571"/>
    <w:rsid w:val="0AD1909D"/>
    <w:rsid w:val="0ADF220C"/>
    <w:rsid w:val="0AE36022"/>
    <w:rsid w:val="0AEB0B55"/>
    <w:rsid w:val="0AEBBD89"/>
    <w:rsid w:val="0AEC4183"/>
    <w:rsid w:val="0AEE7324"/>
    <w:rsid w:val="0AF33E60"/>
    <w:rsid w:val="0B00B332"/>
    <w:rsid w:val="0B07E86E"/>
    <w:rsid w:val="0B2D1BAA"/>
    <w:rsid w:val="0B4CAB76"/>
    <w:rsid w:val="0B5766A4"/>
    <w:rsid w:val="0B5C49A3"/>
    <w:rsid w:val="0B719A8B"/>
    <w:rsid w:val="0B723742"/>
    <w:rsid w:val="0B724533"/>
    <w:rsid w:val="0B77CCF0"/>
    <w:rsid w:val="0B7AE6B8"/>
    <w:rsid w:val="0B905F55"/>
    <w:rsid w:val="0BA16C55"/>
    <w:rsid w:val="0BA52A70"/>
    <w:rsid w:val="0BAF5835"/>
    <w:rsid w:val="0BB587CF"/>
    <w:rsid w:val="0BC0D28C"/>
    <w:rsid w:val="0BE30D3F"/>
    <w:rsid w:val="0BE4C2E0"/>
    <w:rsid w:val="0C083FC1"/>
    <w:rsid w:val="0C1768E9"/>
    <w:rsid w:val="0C21D2B9"/>
    <w:rsid w:val="0C2F441C"/>
    <w:rsid w:val="0C4291E0"/>
    <w:rsid w:val="0C454998"/>
    <w:rsid w:val="0C4D3864"/>
    <w:rsid w:val="0C50438F"/>
    <w:rsid w:val="0C520BC6"/>
    <w:rsid w:val="0C53FFB1"/>
    <w:rsid w:val="0C5B3D9D"/>
    <w:rsid w:val="0C95428B"/>
    <w:rsid w:val="0C9621E5"/>
    <w:rsid w:val="0CA92C41"/>
    <w:rsid w:val="0CAED74E"/>
    <w:rsid w:val="0CAF9328"/>
    <w:rsid w:val="0CB40177"/>
    <w:rsid w:val="0CB6DF74"/>
    <w:rsid w:val="0CC89708"/>
    <w:rsid w:val="0CDDDAA1"/>
    <w:rsid w:val="0CE280CF"/>
    <w:rsid w:val="0CE84FCC"/>
    <w:rsid w:val="0CE9219E"/>
    <w:rsid w:val="0CF2D6A8"/>
    <w:rsid w:val="0CF43639"/>
    <w:rsid w:val="0CF5356B"/>
    <w:rsid w:val="0CF924EB"/>
    <w:rsid w:val="0D02B716"/>
    <w:rsid w:val="0D03B69A"/>
    <w:rsid w:val="0D09777D"/>
    <w:rsid w:val="0D145BB7"/>
    <w:rsid w:val="0D17F034"/>
    <w:rsid w:val="0D230943"/>
    <w:rsid w:val="0D267323"/>
    <w:rsid w:val="0D2DB18C"/>
    <w:rsid w:val="0D38AC16"/>
    <w:rsid w:val="0D449058"/>
    <w:rsid w:val="0D47EEDF"/>
    <w:rsid w:val="0D5FBCF0"/>
    <w:rsid w:val="0D63B84D"/>
    <w:rsid w:val="0D6BA250"/>
    <w:rsid w:val="0D7FA0E0"/>
    <w:rsid w:val="0D8AEE24"/>
    <w:rsid w:val="0D9025DC"/>
    <w:rsid w:val="0D994686"/>
    <w:rsid w:val="0D99EEB4"/>
    <w:rsid w:val="0DB10CB2"/>
    <w:rsid w:val="0DB41DCB"/>
    <w:rsid w:val="0DC03DB4"/>
    <w:rsid w:val="0DE403DD"/>
    <w:rsid w:val="0DF2311C"/>
    <w:rsid w:val="0DF8157F"/>
    <w:rsid w:val="0E0DB508"/>
    <w:rsid w:val="0E165FB8"/>
    <w:rsid w:val="0E1CF513"/>
    <w:rsid w:val="0E386CF0"/>
    <w:rsid w:val="0E39D856"/>
    <w:rsid w:val="0E3CAE4C"/>
    <w:rsid w:val="0E4BDEAB"/>
    <w:rsid w:val="0E549178"/>
    <w:rsid w:val="0E57F055"/>
    <w:rsid w:val="0E6DE90B"/>
    <w:rsid w:val="0E79D2C1"/>
    <w:rsid w:val="0E848BCC"/>
    <w:rsid w:val="0E86D0D8"/>
    <w:rsid w:val="0E89F55B"/>
    <w:rsid w:val="0E918ECB"/>
    <w:rsid w:val="0E96A758"/>
    <w:rsid w:val="0EA9E5F5"/>
    <w:rsid w:val="0EAE3E20"/>
    <w:rsid w:val="0EB36D31"/>
    <w:rsid w:val="0EC84C45"/>
    <w:rsid w:val="0EC9EC63"/>
    <w:rsid w:val="0EDDD328"/>
    <w:rsid w:val="0EE07B76"/>
    <w:rsid w:val="0EE5F918"/>
    <w:rsid w:val="0EEE6946"/>
    <w:rsid w:val="0F07F0D9"/>
    <w:rsid w:val="0F12AFC1"/>
    <w:rsid w:val="0F1A3BE2"/>
    <w:rsid w:val="0F1DF7B6"/>
    <w:rsid w:val="0F2B4AE2"/>
    <w:rsid w:val="0F2E3A05"/>
    <w:rsid w:val="0F433725"/>
    <w:rsid w:val="0F4C0A3B"/>
    <w:rsid w:val="0F5B662F"/>
    <w:rsid w:val="0F600598"/>
    <w:rsid w:val="0F69BDC2"/>
    <w:rsid w:val="0F6BB724"/>
    <w:rsid w:val="0F6F7F8D"/>
    <w:rsid w:val="0F77F884"/>
    <w:rsid w:val="0F868618"/>
    <w:rsid w:val="0F86986A"/>
    <w:rsid w:val="0F8A88C2"/>
    <w:rsid w:val="0F8D714A"/>
    <w:rsid w:val="0FA8C65B"/>
    <w:rsid w:val="0FB04463"/>
    <w:rsid w:val="0FB3BAC4"/>
    <w:rsid w:val="0FB68BFA"/>
    <w:rsid w:val="0FB75F44"/>
    <w:rsid w:val="0FBB679F"/>
    <w:rsid w:val="0FBFAD1C"/>
    <w:rsid w:val="0FC7E5E8"/>
    <w:rsid w:val="0FCB59D5"/>
    <w:rsid w:val="0FEBEDC9"/>
    <w:rsid w:val="0FF25675"/>
    <w:rsid w:val="0FFAFC55"/>
    <w:rsid w:val="1004913D"/>
    <w:rsid w:val="101C9CBE"/>
    <w:rsid w:val="101CE258"/>
    <w:rsid w:val="1023FBC7"/>
    <w:rsid w:val="1048B357"/>
    <w:rsid w:val="1052A9E4"/>
    <w:rsid w:val="105AF012"/>
    <w:rsid w:val="1068D636"/>
    <w:rsid w:val="107AFBFD"/>
    <w:rsid w:val="1086E78D"/>
    <w:rsid w:val="1087B0D5"/>
    <w:rsid w:val="10882A2D"/>
    <w:rsid w:val="10921613"/>
    <w:rsid w:val="10957F61"/>
    <w:rsid w:val="10B0F74F"/>
    <w:rsid w:val="10B30E52"/>
    <w:rsid w:val="10B69B11"/>
    <w:rsid w:val="10C58E60"/>
    <w:rsid w:val="10DEF3E1"/>
    <w:rsid w:val="10E7EEA2"/>
    <w:rsid w:val="10EEC3E7"/>
    <w:rsid w:val="10FE0D3F"/>
    <w:rsid w:val="10FFC9CB"/>
    <w:rsid w:val="1104F7F0"/>
    <w:rsid w:val="111716EF"/>
    <w:rsid w:val="11187985"/>
    <w:rsid w:val="1121E183"/>
    <w:rsid w:val="1128C4DC"/>
    <w:rsid w:val="112941AB"/>
    <w:rsid w:val="112F4518"/>
    <w:rsid w:val="11362D3B"/>
    <w:rsid w:val="113C2B7B"/>
    <w:rsid w:val="113CA21F"/>
    <w:rsid w:val="113EF4AD"/>
    <w:rsid w:val="11453E40"/>
    <w:rsid w:val="114609D0"/>
    <w:rsid w:val="1156CE62"/>
    <w:rsid w:val="1159CF6C"/>
    <w:rsid w:val="116EAB9F"/>
    <w:rsid w:val="116FB8CF"/>
    <w:rsid w:val="11744F08"/>
    <w:rsid w:val="118999CA"/>
    <w:rsid w:val="118F97D1"/>
    <w:rsid w:val="11AC4B04"/>
    <w:rsid w:val="11B341DA"/>
    <w:rsid w:val="11B5DFF6"/>
    <w:rsid w:val="11BC9FB6"/>
    <w:rsid w:val="11BE41A2"/>
    <w:rsid w:val="11C52F32"/>
    <w:rsid w:val="11D6236B"/>
    <w:rsid w:val="11E5CDB9"/>
    <w:rsid w:val="11F09D99"/>
    <w:rsid w:val="11F86452"/>
    <w:rsid w:val="11FB5934"/>
    <w:rsid w:val="11FBFAE7"/>
    <w:rsid w:val="12017321"/>
    <w:rsid w:val="120FDE7A"/>
    <w:rsid w:val="1212213A"/>
    <w:rsid w:val="1224F523"/>
    <w:rsid w:val="1233BEBB"/>
    <w:rsid w:val="123BA175"/>
    <w:rsid w:val="123F9A0A"/>
    <w:rsid w:val="125B8B8C"/>
    <w:rsid w:val="1260C3D5"/>
    <w:rsid w:val="12662E8E"/>
    <w:rsid w:val="126699FA"/>
    <w:rsid w:val="12780A63"/>
    <w:rsid w:val="127BF006"/>
    <w:rsid w:val="127DD26A"/>
    <w:rsid w:val="1292806B"/>
    <w:rsid w:val="12A08C1D"/>
    <w:rsid w:val="12A33ACE"/>
    <w:rsid w:val="12C016F8"/>
    <w:rsid w:val="12C3252F"/>
    <w:rsid w:val="12C43FA6"/>
    <w:rsid w:val="12C71235"/>
    <w:rsid w:val="12CC0F6C"/>
    <w:rsid w:val="12D11CF6"/>
    <w:rsid w:val="12E3CE79"/>
    <w:rsid w:val="12E4FE50"/>
    <w:rsid w:val="12F87713"/>
    <w:rsid w:val="12FB2C0A"/>
    <w:rsid w:val="1302D5D0"/>
    <w:rsid w:val="130A89E7"/>
    <w:rsid w:val="1323E0B3"/>
    <w:rsid w:val="132789B8"/>
    <w:rsid w:val="1340C5D0"/>
    <w:rsid w:val="134A1830"/>
    <w:rsid w:val="13533198"/>
    <w:rsid w:val="137A49BD"/>
    <w:rsid w:val="138D0434"/>
    <w:rsid w:val="138FAE7E"/>
    <w:rsid w:val="13A27BDB"/>
    <w:rsid w:val="13A3168D"/>
    <w:rsid w:val="13C59798"/>
    <w:rsid w:val="13CC7524"/>
    <w:rsid w:val="13CFD035"/>
    <w:rsid w:val="13E0F6F2"/>
    <w:rsid w:val="13E3C985"/>
    <w:rsid w:val="13E72360"/>
    <w:rsid w:val="13E8899D"/>
    <w:rsid w:val="13EA6DD1"/>
    <w:rsid w:val="13ED3186"/>
    <w:rsid w:val="13EF63A8"/>
    <w:rsid w:val="14006431"/>
    <w:rsid w:val="140947F5"/>
    <w:rsid w:val="142137C1"/>
    <w:rsid w:val="1423159F"/>
    <w:rsid w:val="14275F58"/>
    <w:rsid w:val="1447992A"/>
    <w:rsid w:val="144EAEF0"/>
    <w:rsid w:val="14617CF5"/>
    <w:rsid w:val="148B7273"/>
    <w:rsid w:val="148CAC31"/>
    <w:rsid w:val="148E0D16"/>
    <w:rsid w:val="149DD45F"/>
    <w:rsid w:val="14A2C86F"/>
    <w:rsid w:val="14AC641A"/>
    <w:rsid w:val="14AD9822"/>
    <w:rsid w:val="14B8B262"/>
    <w:rsid w:val="14BB9FE4"/>
    <w:rsid w:val="14BEBE74"/>
    <w:rsid w:val="14BF59DB"/>
    <w:rsid w:val="14C217E2"/>
    <w:rsid w:val="14C90B55"/>
    <w:rsid w:val="14D571C8"/>
    <w:rsid w:val="14D9D14B"/>
    <w:rsid w:val="150219A9"/>
    <w:rsid w:val="150603F0"/>
    <w:rsid w:val="1519EAFF"/>
    <w:rsid w:val="151FF375"/>
    <w:rsid w:val="152D1D02"/>
    <w:rsid w:val="1533C7BF"/>
    <w:rsid w:val="153609B0"/>
    <w:rsid w:val="153AE332"/>
    <w:rsid w:val="153C48A7"/>
    <w:rsid w:val="153D67B6"/>
    <w:rsid w:val="153E5999"/>
    <w:rsid w:val="15550B26"/>
    <w:rsid w:val="15593188"/>
    <w:rsid w:val="156A70CE"/>
    <w:rsid w:val="156F8C65"/>
    <w:rsid w:val="157D19F0"/>
    <w:rsid w:val="15841551"/>
    <w:rsid w:val="1587DD44"/>
    <w:rsid w:val="1591ECDE"/>
    <w:rsid w:val="1595D0B3"/>
    <w:rsid w:val="15960655"/>
    <w:rsid w:val="1599F68C"/>
    <w:rsid w:val="159B30DE"/>
    <w:rsid w:val="159F3B9A"/>
    <w:rsid w:val="15AFD695"/>
    <w:rsid w:val="15B19A31"/>
    <w:rsid w:val="15B5A687"/>
    <w:rsid w:val="15B8C7BA"/>
    <w:rsid w:val="15BD6349"/>
    <w:rsid w:val="15C6DA9E"/>
    <w:rsid w:val="15CE6C11"/>
    <w:rsid w:val="15D845BF"/>
    <w:rsid w:val="16042EAA"/>
    <w:rsid w:val="160F46DA"/>
    <w:rsid w:val="16113FCC"/>
    <w:rsid w:val="161AFC1E"/>
    <w:rsid w:val="16263CC7"/>
    <w:rsid w:val="163E792F"/>
    <w:rsid w:val="164C67CB"/>
    <w:rsid w:val="1653141A"/>
    <w:rsid w:val="166FDFB4"/>
    <w:rsid w:val="1670241F"/>
    <w:rsid w:val="1671A8D7"/>
    <w:rsid w:val="1679A612"/>
    <w:rsid w:val="167BCE3F"/>
    <w:rsid w:val="1693ED8E"/>
    <w:rsid w:val="16947371"/>
    <w:rsid w:val="16969B91"/>
    <w:rsid w:val="16980D6C"/>
    <w:rsid w:val="16984082"/>
    <w:rsid w:val="16BE106D"/>
    <w:rsid w:val="16C4FF27"/>
    <w:rsid w:val="16C70EFB"/>
    <w:rsid w:val="16CB1CAB"/>
    <w:rsid w:val="16CBFC42"/>
    <w:rsid w:val="16D0D729"/>
    <w:rsid w:val="16D6CADF"/>
    <w:rsid w:val="16D8C0EE"/>
    <w:rsid w:val="16E02375"/>
    <w:rsid w:val="16F3E97D"/>
    <w:rsid w:val="16FBCEBF"/>
    <w:rsid w:val="16FDC92D"/>
    <w:rsid w:val="1705B924"/>
    <w:rsid w:val="170C861A"/>
    <w:rsid w:val="171B5098"/>
    <w:rsid w:val="171CA2EB"/>
    <w:rsid w:val="172484E1"/>
    <w:rsid w:val="172EDA1A"/>
    <w:rsid w:val="173E19D3"/>
    <w:rsid w:val="17402428"/>
    <w:rsid w:val="17478EC8"/>
    <w:rsid w:val="1747F7E2"/>
    <w:rsid w:val="174CD0D3"/>
    <w:rsid w:val="1756E0F2"/>
    <w:rsid w:val="175DDA10"/>
    <w:rsid w:val="17634EAB"/>
    <w:rsid w:val="177189B1"/>
    <w:rsid w:val="1776F16E"/>
    <w:rsid w:val="177BC512"/>
    <w:rsid w:val="17988E27"/>
    <w:rsid w:val="179C26DB"/>
    <w:rsid w:val="17A08AB8"/>
    <w:rsid w:val="17ABD6CA"/>
    <w:rsid w:val="17B2CD41"/>
    <w:rsid w:val="17BB3A73"/>
    <w:rsid w:val="17BB6E8D"/>
    <w:rsid w:val="17D746F1"/>
    <w:rsid w:val="17DDAA96"/>
    <w:rsid w:val="17ECF62C"/>
    <w:rsid w:val="17F4F687"/>
    <w:rsid w:val="17F5C204"/>
    <w:rsid w:val="180E46E3"/>
    <w:rsid w:val="18109838"/>
    <w:rsid w:val="1816E994"/>
    <w:rsid w:val="18359181"/>
    <w:rsid w:val="1839B8CB"/>
    <w:rsid w:val="1851F0C0"/>
    <w:rsid w:val="1853B6D7"/>
    <w:rsid w:val="1855404F"/>
    <w:rsid w:val="185FDF1D"/>
    <w:rsid w:val="186CC578"/>
    <w:rsid w:val="18728FA1"/>
    <w:rsid w:val="18795E10"/>
    <w:rsid w:val="18865157"/>
    <w:rsid w:val="1899584E"/>
    <w:rsid w:val="18AE1D3E"/>
    <w:rsid w:val="18C07ADA"/>
    <w:rsid w:val="18C6CF38"/>
    <w:rsid w:val="18CC3328"/>
    <w:rsid w:val="18CF0CF8"/>
    <w:rsid w:val="18D48A49"/>
    <w:rsid w:val="18F2F902"/>
    <w:rsid w:val="18F85C5E"/>
    <w:rsid w:val="1902CB0A"/>
    <w:rsid w:val="1917FFA1"/>
    <w:rsid w:val="191C94C2"/>
    <w:rsid w:val="19234989"/>
    <w:rsid w:val="19279F60"/>
    <w:rsid w:val="192E8BA7"/>
    <w:rsid w:val="19429C49"/>
    <w:rsid w:val="195DF2DE"/>
    <w:rsid w:val="1973D659"/>
    <w:rsid w:val="19958403"/>
    <w:rsid w:val="19AC5158"/>
    <w:rsid w:val="19AF28D9"/>
    <w:rsid w:val="19B18959"/>
    <w:rsid w:val="19B26675"/>
    <w:rsid w:val="19B370C9"/>
    <w:rsid w:val="19B5CEEF"/>
    <w:rsid w:val="19B8E5EE"/>
    <w:rsid w:val="19C170CC"/>
    <w:rsid w:val="19C94142"/>
    <w:rsid w:val="19D0E9A3"/>
    <w:rsid w:val="19D4224C"/>
    <w:rsid w:val="19D620D7"/>
    <w:rsid w:val="19DC18E6"/>
    <w:rsid w:val="19DD731D"/>
    <w:rsid w:val="19E0E6E8"/>
    <w:rsid w:val="19E10C7A"/>
    <w:rsid w:val="1A056105"/>
    <w:rsid w:val="1A0CADAF"/>
    <w:rsid w:val="1A100E04"/>
    <w:rsid w:val="1A1A8ECB"/>
    <w:rsid w:val="1A26E2AD"/>
    <w:rsid w:val="1A2DED94"/>
    <w:rsid w:val="1A44DFE9"/>
    <w:rsid w:val="1A56C055"/>
    <w:rsid w:val="1A5AFF84"/>
    <w:rsid w:val="1A648C60"/>
    <w:rsid w:val="1A66B845"/>
    <w:rsid w:val="1A6E444E"/>
    <w:rsid w:val="1A6F9F15"/>
    <w:rsid w:val="1A78D98B"/>
    <w:rsid w:val="1A914DE3"/>
    <w:rsid w:val="1A977D40"/>
    <w:rsid w:val="1A9FFB73"/>
    <w:rsid w:val="1AA36299"/>
    <w:rsid w:val="1AA6FDF6"/>
    <w:rsid w:val="1AAE2436"/>
    <w:rsid w:val="1AB906AF"/>
    <w:rsid w:val="1ABD0518"/>
    <w:rsid w:val="1AC817E7"/>
    <w:rsid w:val="1AD0B4C9"/>
    <w:rsid w:val="1AD21C58"/>
    <w:rsid w:val="1AF1F5B7"/>
    <w:rsid w:val="1AF51E2A"/>
    <w:rsid w:val="1B001F31"/>
    <w:rsid w:val="1B0066C8"/>
    <w:rsid w:val="1B0E5D07"/>
    <w:rsid w:val="1B1391C8"/>
    <w:rsid w:val="1B280E5C"/>
    <w:rsid w:val="1B2FEBDD"/>
    <w:rsid w:val="1B30093E"/>
    <w:rsid w:val="1B37BA47"/>
    <w:rsid w:val="1B5755BA"/>
    <w:rsid w:val="1B6B2532"/>
    <w:rsid w:val="1B6ECE97"/>
    <w:rsid w:val="1B71E9B4"/>
    <w:rsid w:val="1B7D113C"/>
    <w:rsid w:val="1B833511"/>
    <w:rsid w:val="1B9A0234"/>
    <w:rsid w:val="1B9E9774"/>
    <w:rsid w:val="1BA0A2A9"/>
    <w:rsid w:val="1BB62F56"/>
    <w:rsid w:val="1BBEC592"/>
    <w:rsid w:val="1BC4CB7A"/>
    <w:rsid w:val="1BC7D11C"/>
    <w:rsid w:val="1BD29B55"/>
    <w:rsid w:val="1BDE15F4"/>
    <w:rsid w:val="1BE8BCC5"/>
    <w:rsid w:val="1BF423C6"/>
    <w:rsid w:val="1BFA454B"/>
    <w:rsid w:val="1C0015FA"/>
    <w:rsid w:val="1C00CA50"/>
    <w:rsid w:val="1C11EAEE"/>
    <w:rsid w:val="1C131736"/>
    <w:rsid w:val="1C2866B7"/>
    <w:rsid w:val="1C334DA1"/>
    <w:rsid w:val="1C454C7D"/>
    <w:rsid w:val="1C49A4B0"/>
    <w:rsid w:val="1C549FAF"/>
    <w:rsid w:val="1C5AB95C"/>
    <w:rsid w:val="1C5D15E9"/>
    <w:rsid w:val="1C7263B0"/>
    <w:rsid w:val="1C7C24B6"/>
    <w:rsid w:val="1C8329B1"/>
    <w:rsid w:val="1C871D54"/>
    <w:rsid w:val="1C9491F8"/>
    <w:rsid w:val="1CA1BD90"/>
    <w:rsid w:val="1CA42494"/>
    <w:rsid w:val="1CAA9FCF"/>
    <w:rsid w:val="1CC9A941"/>
    <w:rsid w:val="1CCE6527"/>
    <w:rsid w:val="1CDD07A9"/>
    <w:rsid w:val="1CDE4ACA"/>
    <w:rsid w:val="1CDFB89A"/>
    <w:rsid w:val="1CE0A286"/>
    <w:rsid w:val="1CEE2A7C"/>
    <w:rsid w:val="1CF8AEC9"/>
    <w:rsid w:val="1CFA9B88"/>
    <w:rsid w:val="1CFB72FA"/>
    <w:rsid w:val="1D05DD15"/>
    <w:rsid w:val="1D0CF5F2"/>
    <w:rsid w:val="1D130F5C"/>
    <w:rsid w:val="1D1A2323"/>
    <w:rsid w:val="1D1BA0DD"/>
    <w:rsid w:val="1D2543D4"/>
    <w:rsid w:val="1D266935"/>
    <w:rsid w:val="1D34D6BA"/>
    <w:rsid w:val="1D34D8D3"/>
    <w:rsid w:val="1D37872F"/>
    <w:rsid w:val="1D3B3DC6"/>
    <w:rsid w:val="1D3C0097"/>
    <w:rsid w:val="1D53C6C5"/>
    <w:rsid w:val="1D643E67"/>
    <w:rsid w:val="1D72F32B"/>
    <w:rsid w:val="1D74378F"/>
    <w:rsid w:val="1D75DAA7"/>
    <w:rsid w:val="1D7B69F3"/>
    <w:rsid w:val="1D86BB40"/>
    <w:rsid w:val="1D988908"/>
    <w:rsid w:val="1DA185C6"/>
    <w:rsid w:val="1DAE294A"/>
    <w:rsid w:val="1DB02E9B"/>
    <w:rsid w:val="1DB5FAEF"/>
    <w:rsid w:val="1DC87ED5"/>
    <w:rsid w:val="1DDA3054"/>
    <w:rsid w:val="1DDB7BE6"/>
    <w:rsid w:val="1DFEE2E0"/>
    <w:rsid w:val="1E071C81"/>
    <w:rsid w:val="1E1ED038"/>
    <w:rsid w:val="1E216FD6"/>
    <w:rsid w:val="1E340D1E"/>
    <w:rsid w:val="1E48E455"/>
    <w:rsid w:val="1E49BB73"/>
    <w:rsid w:val="1E505C2D"/>
    <w:rsid w:val="1E514BC2"/>
    <w:rsid w:val="1E52ACCC"/>
    <w:rsid w:val="1E5F6142"/>
    <w:rsid w:val="1E6D9E29"/>
    <w:rsid w:val="1E795D25"/>
    <w:rsid w:val="1E7EE9FF"/>
    <w:rsid w:val="1E96FE61"/>
    <w:rsid w:val="1EC6E945"/>
    <w:rsid w:val="1EEC64AB"/>
    <w:rsid w:val="1EF00E5E"/>
    <w:rsid w:val="1EF628C1"/>
    <w:rsid w:val="1F05CBA4"/>
    <w:rsid w:val="1F175CC7"/>
    <w:rsid w:val="1F2743C2"/>
    <w:rsid w:val="1F29BC7D"/>
    <w:rsid w:val="1F2F664D"/>
    <w:rsid w:val="1F3BFFC8"/>
    <w:rsid w:val="1F4457FC"/>
    <w:rsid w:val="1F52DEA5"/>
    <w:rsid w:val="1F594064"/>
    <w:rsid w:val="1F5A6497"/>
    <w:rsid w:val="1F5AB0EC"/>
    <w:rsid w:val="1F5D412D"/>
    <w:rsid w:val="1F635732"/>
    <w:rsid w:val="1F84464B"/>
    <w:rsid w:val="1F876FCF"/>
    <w:rsid w:val="1F9A6596"/>
    <w:rsid w:val="1FA62374"/>
    <w:rsid w:val="1FA9D4EE"/>
    <w:rsid w:val="1FA9EFDA"/>
    <w:rsid w:val="1FB36479"/>
    <w:rsid w:val="1FB5098A"/>
    <w:rsid w:val="1FD7C754"/>
    <w:rsid w:val="1FEF4176"/>
    <w:rsid w:val="1FF4E56D"/>
    <w:rsid w:val="1FFBE599"/>
    <w:rsid w:val="200E361C"/>
    <w:rsid w:val="200EBFE7"/>
    <w:rsid w:val="201CC75F"/>
    <w:rsid w:val="201D9002"/>
    <w:rsid w:val="201F4D12"/>
    <w:rsid w:val="20240C16"/>
    <w:rsid w:val="203DDF06"/>
    <w:rsid w:val="20437366"/>
    <w:rsid w:val="2043E035"/>
    <w:rsid w:val="20488046"/>
    <w:rsid w:val="204CF8B7"/>
    <w:rsid w:val="2074BDC0"/>
    <w:rsid w:val="20A19C05"/>
    <w:rsid w:val="20AD7D9C"/>
    <w:rsid w:val="20B197F1"/>
    <w:rsid w:val="20BD56B9"/>
    <w:rsid w:val="20BF9042"/>
    <w:rsid w:val="20C15648"/>
    <w:rsid w:val="20CB060B"/>
    <w:rsid w:val="20CE47F6"/>
    <w:rsid w:val="20D023DD"/>
    <w:rsid w:val="20D4BE8B"/>
    <w:rsid w:val="20E07DE4"/>
    <w:rsid w:val="20EF2365"/>
    <w:rsid w:val="20FAC70F"/>
    <w:rsid w:val="20FB0C49"/>
    <w:rsid w:val="21017CED"/>
    <w:rsid w:val="210EF1A1"/>
    <w:rsid w:val="211A32AC"/>
    <w:rsid w:val="2138542C"/>
    <w:rsid w:val="213BD5A4"/>
    <w:rsid w:val="213C0DC3"/>
    <w:rsid w:val="2144F669"/>
    <w:rsid w:val="21454DEC"/>
    <w:rsid w:val="214589A1"/>
    <w:rsid w:val="214FC9B3"/>
    <w:rsid w:val="215BAE93"/>
    <w:rsid w:val="217118AD"/>
    <w:rsid w:val="218CB914"/>
    <w:rsid w:val="2190AB28"/>
    <w:rsid w:val="21A7A4F2"/>
    <w:rsid w:val="21AAC1CC"/>
    <w:rsid w:val="21CD81A6"/>
    <w:rsid w:val="21CE9F23"/>
    <w:rsid w:val="21D7B0AF"/>
    <w:rsid w:val="21D7F65B"/>
    <w:rsid w:val="21F37B86"/>
    <w:rsid w:val="21F41308"/>
    <w:rsid w:val="2201EF51"/>
    <w:rsid w:val="22074452"/>
    <w:rsid w:val="22097F76"/>
    <w:rsid w:val="220EAEE9"/>
    <w:rsid w:val="22189F22"/>
    <w:rsid w:val="2218A6D2"/>
    <w:rsid w:val="2220AC9A"/>
    <w:rsid w:val="22286603"/>
    <w:rsid w:val="2234BD72"/>
    <w:rsid w:val="22532784"/>
    <w:rsid w:val="225D711C"/>
    <w:rsid w:val="22657177"/>
    <w:rsid w:val="226DD71C"/>
    <w:rsid w:val="22706AA8"/>
    <w:rsid w:val="227E4CF4"/>
    <w:rsid w:val="2286333C"/>
    <w:rsid w:val="22901857"/>
    <w:rsid w:val="22912F60"/>
    <w:rsid w:val="22AB2905"/>
    <w:rsid w:val="22C67F87"/>
    <w:rsid w:val="22CA3599"/>
    <w:rsid w:val="22CC0F57"/>
    <w:rsid w:val="22D5C504"/>
    <w:rsid w:val="22DD732D"/>
    <w:rsid w:val="22E058C1"/>
    <w:rsid w:val="22E0DA62"/>
    <w:rsid w:val="22E7E876"/>
    <w:rsid w:val="22EB7008"/>
    <w:rsid w:val="22EF5A34"/>
    <w:rsid w:val="22F6D9D0"/>
    <w:rsid w:val="22F7A58D"/>
    <w:rsid w:val="22FE67CD"/>
    <w:rsid w:val="230870A1"/>
    <w:rsid w:val="230F38A9"/>
    <w:rsid w:val="2310BA00"/>
    <w:rsid w:val="23163DF0"/>
    <w:rsid w:val="231BE86D"/>
    <w:rsid w:val="231FD363"/>
    <w:rsid w:val="2330E94C"/>
    <w:rsid w:val="233E7916"/>
    <w:rsid w:val="23446555"/>
    <w:rsid w:val="234F91F9"/>
    <w:rsid w:val="2351D178"/>
    <w:rsid w:val="2359C93C"/>
    <w:rsid w:val="235C83F3"/>
    <w:rsid w:val="2374A544"/>
    <w:rsid w:val="2376CDCA"/>
    <w:rsid w:val="23775441"/>
    <w:rsid w:val="238680A7"/>
    <w:rsid w:val="238FBF39"/>
    <w:rsid w:val="2397D9D7"/>
    <w:rsid w:val="239BB25D"/>
    <w:rsid w:val="239F1341"/>
    <w:rsid w:val="23A13294"/>
    <w:rsid w:val="23A7D1F2"/>
    <w:rsid w:val="23AA7F4A"/>
    <w:rsid w:val="23B558E9"/>
    <w:rsid w:val="23B78FB1"/>
    <w:rsid w:val="23C27C92"/>
    <w:rsid w:val="23CBADB1"/>
    <w:rsid w:val="23D2D27F"/>
    <w:rsid w:val="23EB1FC0"/>
    <w:rsid w:val="23F4283C"/>
    <w:rsid w:val="23FBD021"/>
    <w:rsid w:val="240BA74B"/>
    <w:rsid w:val="24187574"/>
    <w:rsid w:val="241F6AB6"/>
    <w:rsid w:val="24285010"/>
    <w:rsid w:val="2452076F"/>
    <w:rsid w:val="24608DB5"/>
    <w:rsid w:val="246D7059"/>
    <w:rsid w:val="24702256"/>
    <w:rsid w:val="24703440"/>
    <w:rsid w:val="2488CA8E"/>
    <w:rsid w:val="248E3C61"/>
    <w:rsid w:val="249BFED0"/>
    <w:rsid w:val="24A0917A"/>
    <w:rsid w:val="24B35F4B"/>
    <w:rsid w:val="24D118AA"/>
    <w:rsid w:val="24D8E7E9"/>
    <w:rsid w:val="24DE303B"/>
    <w:rsid w:val="24E2D636"/>
    <w:rsid w:val="25040A30"/>
    <w:rsid w:val="2505C2E5"/>
    <w:rsid w:val="25168C80"/>
    <w:rsid w:val="2521AF4C"/>
    <w:rsid w:val="253775BA"/>
    <w:rsid w:val="254DB98B"/>
    <w:rsid w:val="25568E06"/>
    <w:rsid w:val="2566993A"/>
    <w:rsid w:val="256EDE15"/>
    <w:rsid w:val="2571E912"/>
    <w:rsid w:val="25752844"/>
    <w:rsid w:val="2578374C"/>
    <w:rsid w:val="2578E38D"/>
    <w:rsid w:val="2586AEB2"/>
    <w:rsid w:val="258CADC9"/>
    <w:rsid w:val="25A19F79"/>
    <w:rsid w:val="25A2A8AE"/>
    <w:rsid w:val="25A3B2FA"/>
    <w:rsid w:val="25A4CFA9"/>
    <w:rsid w:val="25A6EB18"/>
    <w:rsid w:val="25A99ED7"/>
    <w:rsid w:val="25AEC8E4"/>
    <w:rsid w:val="25B4DFF9"/>
    <w:rsid w:val="25BEFFF8"/>
    <w:rsid w:val="25C075DC"/>
    <w:rsid w:val="25E4F508"/>
    <w:rsid w:val="25F27C15"/>
    <w:rsid w:val="25FC2999"/>
    <w:rsid w:val="25FF553D"/>
    <w:rsid w:val="260E98D5"/>
    <w:rsid w:val="260FD6C0"/>
    <w:rsid w:val="26178CC6"/>
    <w:rsid w:val="2619B683"/>
    <w:rsid w:val="2628A376"/>
    <w:rsid w:val="26314ED4"/>
    <w:rsid w:val="263D763A"/>
    <w:rsid w:val="263E6F8B"/>
    <w:rsid w:val="2641929E"/>
    <w:rsid w:val="264F43BA"/>
    <w:rsid w:val="264F8418"/>
    <w:rsid w:val="264FA9F1"/>
    <w:rsid w:val="26646624"/>
    <w:rsid w:val="2682495E"/>
    <w:rsid w:val="26874736"/>
    <w:rsid w:val="268BFA46"/>
    <w:rsid w:val="268CA696"/>
    <w:rsid w:val="269D582A"/>
    <w:rsid w:val="26A2E184"/>
    <w:rsid w:val="26A3700E"/>
    <w:rsid w:val="26B38542"/>
    <w:rsid w:val="26B39876"/>
    <w:rsid w:val="26C2FC48"/>
    <w:rsid w:val="26C83D97"/>
    <w:rsid w:val="26C93B0D"/>
    <w:rsid w:val="26D94F4D"/>
    <w:rsid w:val="26E75F69"/>
    <w:rsid w:val="26FFE1B0"/>
    <w:rsid w:val="271E0346"/>
    <w:rsid w:val="27225876"/>
    <w:rsid w:val="272C97FC"/>
    <w:rsid w:val="273966FD"/>
    <w:rsid w:val="27421EF8"/>
    <w:rsid w:val="274920FE"/>
    <w:rsid w:val="2755D4BA"/>
    <w:rsid w:val="27627156"/>
    <w:rsid w:val="276A1255"/>
    <w:rsid w:val="277B2BFB"/>
    <w:rsid w:val="277E45A4"/>
    <w:rsid w:val="27829C93"/>
    <w:rsid w:val="2788E6AE"/>
    <w:rsid w:val="279D6C22"/>
    <w:rsid w:val="27A2AAC1"/>
    <w:rsid w:val="27A2C28E"/>
    <w:rsid w:val="27A5A6F6"/>
    <w:rsid w:val="27AB90DB"/>
    <w:rsid w:val="27B5824B"/>
    <w:rsid w:val="27B890F4"/>
    <w:rsid w:val="27D265DE"/>
    <w:rsid w:val="27D68FA4"/>
    <w:rsid w:val="27E27D46"/>
    <w:rsid w:val="27EE3011"/>
    <w:rsid w:val="27F05913"/>
    <w:rsid w:val="27F3212E"/>
    <w:rsid w:val="27F6A229"/>
    <w:rsid w:val="27F7A6C3"/>
    <w:rsid w:val="27FA4F17"/>
    <w:rsid w:val="27FB98D0"/>
    <w:rsid w:val="2802F5B4"/>
    <w:rsid w:val="280EA2A8"/>
    <w:rsid w:val="281FB338"/>
    <w:rsid w:val="2824AEA6"/>
    <w:rsid w:val="2834B32E"/>
    <w:rsid w:val="2836A0BB"/>
    <w:rsid w:val="2837961E"/>
    <w:rsid w:val="283AFB52"/>
    <w:rsid w:val="283D2BA5"/>
    <w:rsid w:val="2851D183"/>
    <w:rsid w:val="285B8BCF"/>
    <w:rsid w:val="2863E529"/>
    <w:rsid w:val="28715F50"/>
    <w:rsid w:val="287806B8"/>
    <w:rsid w:val="287DD118"/>
    <w:rsid w:val="28872115"/>
    <w:rsid w:val="288D866F"/>
    <w:rsid w:val="288E875C"/>
    <w:rsid w:val="288FF8D2"/>
    <w:rsid w:val="289DD76E"/>
    <w:rsid w:val="289E0295"/>
    <w:rsid w:val="28B16E87"/>
    <w:rsid w:val="28B979BD"/>
    <w:rsid w:val="28CA9AC1"/>
    <w:rsid w:val="28D423B9"/>
    <w:rsid w:val="28E2571D"/>
    <w:rsid w:val="28E90C37"/>
    <w:rsid w:val="29100433"/>
    <w:rsid w:val="29141BA8"/>
    <w:rsid w:val="2920BA04"/>
    <w:rsid w:val="29227CD1"/>
    <w:rsid w:val="292313A0"/>
    <w:rsid w:val="29239685"/>
    <w:rsid w:val="2937AB35"/>
    <w:rsid w:val="29395CD6"/>
    <w:rsid w:val="2949AE13"/>
    <w:rsid w:val="294A4010"/>
    <w:rsid w:val="29629C7E"/>
    <w:rsid w:val="29691CE5"/>
    <w:rsid w:val="296D86A5"/>
    <w:rsid w:val="29720451"/>
    <w:rsid w:val="2984CC86"/>
    <w:rsid w:val="298EBA83"/>
    <w:rsid w:val="29A3FB2A"/>
    <w:rsid w:val="29A43B4A"/>
    <w:rsid w:val="29AEA189"/>
    <w:rsid w:val="29D86EF7"/>
    <w:rsid w:val="29E769DB"/>
    <w:rsid w:val="29E792DB"/>
    <w:rsid w:val="29F67C0E"/>
    <w:rsid w:val="29FACE9C"/>
    <w:rsid w:val="29FDFA0A"/>
    <w:rsid w:val="2A083293"/>
    <w:rsid w:val="2A0E1031"/>
    <w:rsid w:val="2A233092"/>
    <w:rsid w:val="2A274899"/>
    <w:rsid w:val="2A2EFA20"/>
    <w:rsid w:val="2A31D07C"/>
    <w:rsid w:val="2A421100"/>
    <w:rsid w:val="2A446DE1"/>
    <w:rsid w:val="2A470109"/>
    <w:rsid w:val="2A861C19"/>
    <w:rsid w:val="2AA7C9ED"/>
    <w:rsid w:val="2AA88F07"/>
    <w:rsid w:val="2AC94D6F"/>
    <w:rsid w:val="2ACC608F"/>
    <w:rsid w:val="2AD05ABD"/>
    <w:rsid w:val="2AD44E77"/>
    <w:rsid w:val="2AD4D900"/>
    <w:rsid w:val="2ADC6756"/>
    <w:rsid w:val="2AE9F139"/>
    <w:rsid w:val="2AEE2DA9"/>
    <w:rsid w:val="2B04928A"/>
    <w:rsid w:val="2B0A216E"/>
    <w:rsid w:val="2B31681F"/>
    <w:rsid w:val="2B3278B9"/>
    <w:rsid w:val="2B369111"/>
    <w:rsid w:val="2B39EF81"/>
    <w:rsid w:val="2B3F9E6B"/>
    <w:rsid w:val="2B42DA72"/>
    <w:rsid w:val="2B434EA2"/>
    <w:rsid w:val="2B5A4CAD"/>
    <w:rsid w:val="2B600A92"/>
    <w:rsid w:val="2B6320AA"/>
    <w:rsid w:val="2B677A2B"/>
    <w:rsid w:val="2B6F2B00"/>
    <w:rsid w:val="2B76944A"/>
    <w:rsid w:val="2B932C91"/>
    <w:rsid w:val="2B99C2BC"/>
    <w:rsid w:val="2B99F337"/>
    <w:rsid w:val="2B9BEDB8"/>
    <w:rsid w:val="2B9C338A"/>
    <w:rsid w:val="2BC4A574"/>
    <w:rsid w:val="2BC93DC4"/>
    <w:rsid w:val="2BCC06D7"/>
    <w:rsid w:val="2BD13BC0"/>
    <w:rsid w:val="2BD19F15"/>
    <w:rsid w:val="2BD6978A"/>
    <w:rsid w:val="2BD93D97"/>
    <w:rsid w:val="2BD94F17"/>
    <w:rsid w:val="2BD9CF77"/>
    <w:rsid w:val="2BDFABE1"/>
    <w:rsid w:val="2BF3B8E8"/>
    <w:rsid w:val="2BF5775B"/>
    <w:rsid w:val="2BFA58F3"/>
    <w:rsid w:val="2BFC1815"/>
    <w:rsid w:val="2BFFA182"/>
    <w:rsid w:val="2C0AE31D"/>
    <w:rsid w:val="2C0C6509"/>
    <w:rsid w:val="2C29494A"/>
    <w:rsid w:val="2C2A0ABB"/>
    <w:rsid w:val="2C326F47"/>
    <w:rsid w:val="2C342453"/>
    <w:rsid w:val="2C3C49C8"/>
    <w:rsid w:val="2C445363"/>
    <w:rsid w:val="2C4552D0"/>
    <w:rsid w:val="2C4F140F"/>
    <w:rsid w:val="2C4FE9A8"/>
    <w:rsid w:val="2C507524"/>
    <w:rsid w:val="2C647AE1"/>
    <w:rsid w:val="2C66152E"/>
    <w:rsid w:val="2C67A459"/>
    <w:rsid w:val="2C6AB037"/>
    <w:rsid w:val="2C6C13F4"/>
    <w:rsid w:val="2C6E6F04"/>
    <w:rsid w:val="2CA47090"/>
    <w:rsid w:val="2CA490CA"/>
    <w:rsid w:val="2CA61A59"/>
    <w:rsid w:val="2CAD4B75"/>
    <w:rsid w:val="2CB6A7C0"/>
    <w:rsid w:val="2CC8B675"/>
    <w:rsid w:val="2CCDD343"/>
    <w:rsid w:val="2CD59FEC"/>
    <w:rsid w:val="2CD818AF"/>
    <w:rsid w:val="2CDA0F84"/>
    <w:rsid w:val="2CE80BE6"/>
    <w:rsid w:val="2CEACA77"/>
    <w:rsid w:val="2CEC4D7A"/>
    <w:rsid w:val="2CFF48A3"/>
    <w:rsid w:val="2D0FB570"/>
    <w:rsid w:val="2D1C6972"/>
    <w:rsid w:val="2D1F9D68"/>
    <w:rsid w:val="2D224F69"/>
    <w:rsid w:val="2D328877"/>
    <w:rsid w:val="2D4866B9"/>
    <w:rsid w:val="2D56707F"/>
    <w:rsid w:val="2D5CD35F"/>
    <w:rsid w:val="2D6E5AA1"/>
    <w:rsid w:val="2D787989"/>
    <w:rsid w:val="2D7C0132"/>
    <w:rsid w:val="2D8637CD"/>
    <w:rsid w:val="2DA47569"/>
    <w:rsid w:val="2DAB85A3"/>
    <w:rsid w:val="2DAEBC52"/>
    <w:rsid w:val="2DC01AFE"/>
    <w:rsid w:val="2DC0414A"/>
    <w:rsid w:val="2DC702B3"/>
    <w:rsid w:val="2DDE839C"/>
    <w:rsid w:val="2DF3A9FF"/>
    <w:rsid w:val="2DF64F27"/>
    <w:rsid w:val="2E056BF5"/>
    <w:rsid w:val="2E0626DE"/>
    <w:rsid w:val="2E06C353"/>
    <w:rsid w:val="2E28DA33"/>
    <w:rsid w:val="2E3406A8"/>
    <w:rsid w:val="2E3868EA"/>
    <w:rsid w:val="2E3885D1"/>
    <w:rsid w:val="2E3B3F64"/>
    <w:rsid w:val="2E40ABD2"/>
    <w:rsid w:val="2E50E0AC"/>
    <w:rsid w:val="2E597188"/>
    <w:rsid w:val="2E618EA1"/>
    <w:rsid w:val="2E90C3FC"/>
    <w:rsid w:val="2E92B4FB"/>
    <w:rsid w:val="2E932B80"/>
    <w:rsid w:val="2E9BF4F8"/>
    <w:rsid w:val="2EC13461"/>
    <w:rsid w:val="2EC2AB74"/>
    <w:rsid w:val="2EE5BE4E"/>
    <w:rsid w:val="2EEA349F"/>
    <w:rsid w:val="2EEC8083"/>
    <w:rsid w:val="2F00CE08"/>
    <w:rsid w:val="2F035129"/>
    <w:rsid w:val="2F05A025"/>
    <w:rsid w:val="2F20AD4F"/>
    <w:rsid w:val="2F23A5C1"/>
    <w:rsid w:val="2F3B0A86"/>
    <w:rsid w:val="2F3ECE02"/>
    <w:rsid w:val="2F52C2D3"/>
    <w:rsid w:val="2F53F4B1"/>
    <w:rsid w:val="2F5C3B0B"/>
    <w:rsid w:val="2F5E7423"/>
    <w:rsid w:val="2F61B0B6"/>
    <w:rsid w:val="2F73A00A"/>
    <w:rsid w:val="2F76819A"/>
    <w:rsid w:val="2F79C774"/>
    <w:rsid w:val="2F7BAEDB"/>
    <w:rsid w:val="2F7E0921"/>
    <w:rsid w:val="2FA73F0D"/>
    <w:rsid w:val="2FA73FCC"/>
    <w:rsid w:val="2FA7B6EA"/>
    <w:rsid w:val="2FA98DF0"/>
    <w:rsid w:val="2FB8AB56"/>
    <w:rsid w:val="2FBA4424"/>
    <w:rsid w:val="2FDAE39B"/>
    <w:rsid w:val="2FE1045C"/>
    <w:rsid w:val="2FE2F867"/>
    <w:rsid w:val="2FE8887B"/>
    <w:rsid w:val="2FEA1B3D"/>
    <w:rsid w:val="2FF41AE4"/>
    <w:rsid w:val="2FF96F96"/>
    <w:rsid w:val="3005044C"/>
    <w:rsid w:val="300EFAF2"/>
    <w:rsid w:val="30275C80"/>
    <w:rsid w:val="3034BE45"/>
    <w:rsid w:val="303B69CB"/>
    <w:rsid w:val="303FACCB"/>
    <w:rsid w:val="3044BA63"/>
    <w:rsid w:val="304B9237"/>
    <w:rsid w:val="304EA9CD"/>
    <w:rsid w:val="30517619"/>
    <w:rsid w:val="30522D24"/>
    <w:rsid w:val="305EA02A"/>
    <w:rsid w:val="306C0709"/>
    <w:rsid w:val="3072DF34"/>
    <w:rsid w:val="307E825D"/>
    <w:rsid w:val="30813C48"/>
    <w:rsid w:val="3084B70C"/>
    <w:rsid w:val="3084E3DE"/>
    <w:rsid w:val="3089E6EE"/>
    <w:rsid w:val="3090C3AC"/>
    <w:rsid w:val="309B267C"/>
    <w:rsid w:val="309C5D31"/>
    <w:rsid w:val="30A4CC0A"/>
    <w:rsid w:val="30A52793"/>
    <w:rsid w:val="30AC6B8B"/>
    <w:rsid w:val="30AFA96A"/>
    <w:rsid w:val="30B14FEB"/>
    <w:rsid w:val="30B41C7B"/>
    <w:rsid w:val="30B52868"/>
    <w:rsid w:val="30B84DE7"/>
    <w:rsid w:val="30C2DDD5"/>
    <w:rsid w:val="30C345DA"/>
    <w:rsid w:val="30C9C4EF"/>
    <w:rsid w:val="30CB5D9F"/>
    <w:rsid w:val="30DF8599"/>
    <w:rsid w:val="30E0ABAF"/>
    <w:rsid w:val="30F82A32"/>
    <w:rsid w:val="30FBD08A"/>
    <w:rsid w:val="30FF8D34"/>
    <w:rsid w:val="310F2921"/>
    <w:rsid w:val="3112E545"/>
    <w:rsid w:val="3119D6B3"/>
    <w:rsid w:val="31267390"/>
    <w:rsid w:val="312B4021"/>
    <w:rsid w:val="31302686"/>
    <w:rsid w:val="3138908A"/>
    <w:rsid w:val="313A9FC0"/>
    <w:rsid w:val="31523791"/>
    <w:rsid w:val="3152D139"/>
    <w:rsid w:val="3155AE39"/>
    <w:rsid w:val="3156FAFB"/>
    <w:rsid w:val="315DC0E0"/>
    <w:rsid w:val="31675921"/>
    <w:rsid w:val="3168779A"/>
    <w:rsid w:val="3176FD29"/>
    <w:rsid w:val="317C8223"/>
    <w:rsid w:val="31848390"/>
    <w:rsid w:val="319302C8"/>
    <w:rsid w:val="319BEF03"/>
    <w:rsid w:val="319F3E71"/>
    <w:rsid w:val="31AC6848"/>
    <w:rsid w:val="31D0321F"/>
    <w:rsid w:val="31E00FF8"/>
    <w:rsid w:val="31ECDF6E"/>
    <w:rsid w:val="31F25DB3"/>
    <w:rsid w:val="31F87E33"/>
    <w:rsid w:val="31FB9AEA"/>
    <w:rsid w:val="320C36D3"/>
    <w:rsid w:val="320C9E7B"/>
    <w:rsid w:val="321B062B"/>
    <w:rsid w:val="322084E0"/>
    <w:rsid w:val="3220D9F0"/>
    <w:rsid w:val="322EF318"/>
    <w:rsid w:val="324D721D"/>
    <w:rsid w:val="32544D74"/>
    <w:rsid w:val="3254AFA0"/>
    <w:rsid w:val="325BA58C"/>
    <w:rsid w:val="325F1984"/>
    <w:rsid w:val="32610790"/>
    <w:rsid w:val="3268031B"/>
    <w:rsid w:val="3272BC99"/>
    <w:rsid w:val="327B316E"/>
    <w:rsid w:val="32947946"/>
    <w:rsid w:val="32A184FD"/>
    <w:rsid w:val="32B3E294"/>
    <w:rsid w:val="32BAFA86"/>
    <w:rsid w:val="32C6ECD4"/>
    <w:rsid w:val="32D29283"/>
    <w:rsid w:val="32DF0D45"/>
    <w:rsid w:val="32E35AA1"/>
    <w:rsid w:val="32E9A5C5"/>
    <w:rsid w:val="330B1A68"/>
    <w:rsid w:val="331C0106"/>
    <w:rsid w:val="331E8D15"/>
    <w:rsid w:val="333434EA"/>
    <w:rsid w:val="3335CE63"/>
    <w:rsid w:val="333EB461"/>
    <w:rsid w:val="33406866"/>
    <w:rsid w:val="3347F15B"/>
    <w:rsid w:val="3358AADA"/>
    <w:rsid w:val="335C67AE"/>
    <w:rsid w:val="33601220"/>
    <w:rsid w:val="3365DF07"/>
    <w:rsid w:val="33686C30"/>
    <w:rsid w:val="3384BEEB"/>
    <w:rsid w:val="33943AA9"/>
    <w:rsid w:val="339AB305"/>
    <w:rsid w:val="339F22AB"/>
    <w:rsid w:val="33BF8AC2"/>
    <w:rsid w:val="33C5D759"/>
    <w:rsid w:val="33CC220E"/>
    <w:rsid w:val="33E3D775"/>
    <w:rsid w:val="33F86EC2"/>
    <w:rsid w:val="33FFFC53"/>
    <w:rsid w:val="3404C8DA"/>
    <w:rsid w:val="34068216"/>
    <w:rsid w:val="34088D29"/>
    <w:rsid w:val="3429F185"/>
    <w:rsid w:val="342E8C02"/>
    <w:rsid w:val="3436F842"/>
    <w:rsid w:val="34375131"/>
    <w:rsid w:val="34398C55"/>
    <w:rsid w:val="3443292B"/>
    <w:rsid w:val="344646BD"/>
    <w:rsid w:val="344ABB37"/>
    <w:rsid w:val="344DAE9F"/>
    <w:rsid w:val="34506C15"/>
    <w:rsid w:val="3452BBD6"/>
    <w:rsid w:val="345969AC"/>
    <w:rsid w:val="345AFBD6"/>
    <w:rsid w:val="346C1470"/>
    <w:rsid w:val="34798EB4"/>
    <w:rsid w:val="347C8025"/>
    <w:rsid w:val="347D1816"/>
    <w:rsid w:val="347FDA34"/>
    <w:rsid w:val="349728E5"/>
    <w:rsid w:val="34A0DBC2"/>
    <w:rsid w:val="34A285BE"/>
    <w:rsid w:val="34A4D354"/>
    <w:rsid w:val="34ADED7D"/>
    <w:rsid w:val="34B12A74"/>
    <w:rsid w:val="34B160A5"/>
    <w:rsid w:val="34B5C536"/>
    <w:rsid w:val="34B8DF51"/>
    <w:rsid w:val="34BD62BD"/>
    <w:rsid w:val="34C1C1A7"/>
    <w:rsid w:val="34E0211A"/>
    <w:rsid w:val="34E0A6AB"/>
    <w:rsid w:val="34E19349"/>
    <w:rsid w:val="34FBF517"/>
    <w:rsid w:val="3500FDEC"/>
    <w:rsid w:val="350DC593"/>
    <w:rsid w:val="351D6CDD"/>
    <w:rsid w:val="35245135"/>
    <w:rsid w:val="3527B113"/>
    <w:rsid w:val="353EAE61"/>
    <w:rsid w:val="353EDD40"/>
    <w:rsid w:val="353F4DE6"/>
    <w:rsid w:val="354DB8EE"/>
    <w:rsid w:val="354EEDA0"/>
    <w:rsid w:val="354FE918"/>
    <w:rsid w:val="3555CE55"/>
    <w:rsid w:val="355E6386"/>
    <w:rsid w:val="35682D88"/>
    <w:rsid w:val="35720426"/>
    <w:rsid w:val="3577F25E"/>
    <w:rsid w:val="3581E684"/>
    <w:rsid w:val="35899A46"/>
    <w:rsid w:val="3589CF20"/>
    <w:rsid w:val="35914966"/>
    <w:rsid w:val="3594B7C3"/>
    <w:rsid w:val="3596D0AF"/>
    <w:rsid w:val="359BBB73"/>
    <w:rsid w:val="359E6070"/>
    <w:rsid w:val="359FB1C3"/>
    <w:rsid w:val="35ADDAF3"/>
    <w:rsid w:val="35AE2A2F"/>
    <w:rsid w:val="35AF0233"/>
    <w:rsid w:val="35B71FE4"/>
    <w:rsid w:val="35BC8D53"/>
    <w:rsid w:val="35BF224C"/>
    <w:rsid w:val="35CA4AAD"/>
    <w:rsid w:val="35D0D77E"/>
    <w:rsid w:val="35ED0E08"/>
    <w:rsid w:val="3604F1DB"/>
    <w:rsid w:val="36072E95"/>
    <w:rsid w:val="3618F2C7"/>
    <w:rsid w:val="361EFDA5"/>
    <w:rsid w:val="36214B2A"/>
    <w:rsid w:val="362F5334"/>
    <w:rsid w:val="363356E9"/>
    <w:rsid w:val="363E3B10"/>
    <w:rsid w:val="3652C2D2"/>
    <w:rsid w:val="36583D31"/>
    <w:rsid w:val="365A0563"/>
    <w:rsid w:val="366D18DB"/>
    <w:rsid w:val="366EDA7E"/>
    <w:rsid w:val="3679D44F"/>
    <w:rsid w:val="367EDEAC"/>
    <w:rsid w:val="368338CD"/>
    <w:rsid w:val="368C4109"/>
    <w:rsid w:val="36A3C6ED"/>
    <w:rsid w:val="36AAE0E0"/>
    <w:rsid w:val="36B2E089"/>
    <w:rsid w:val="36BDAAE9"/>
    <w:rsid w:val="36C62FD2"/>
    <w:rsid w:val="36C8C200"/>
    <w:rsid w:val="36D8D4FD"/>
    <w:rsid w:val="36DC5057"/>
    <w:rsid w:val="36EA1E62"/>
    <w:rsid w:val="36EA8FDA"/>
    <w:rsid w:val="36EFB456"/>
    <w:rsid w:val="36F580FE"/>
    <w:rsid w:val="37021872"/>
    <w:rsid w:val="3708E54E"/>
    <w:rsid w:val="3710BB0A"/>
    <w:rsid w:val="3712586B"/>
    <w:rsid w:val="3713CC96"/>
    <w:rsid w:val="3729CB21"/>
    <w:rsid w:val="3733F277"/>
    <w:rsid w:val="37365179"/>
    <w:rsid w:val="373C23CE"/>
    <w:rsid w:val="373D157D"/>
    <w:rsid w:val="374768E8"/>
    <w:rsid w:val="374ED05C"/>
    <w:rsid w:val="375323E8"/>
    <w:rsid w:val="3759F9EB"/>
    <w:rsid w:val="37640BB7"/>
    <w:rsid w:val="376815FE"/>
    <w:rsid w:val="3774B845"/>
    <w:rsid w:val="377E8140"/>
    <w:rsid w:val="377EEB61"/>
    <w:rsid w:val="37822C23"/>
    <w:rsid w:val="3788E9DD"/>
    <w:rsid w:val="37AB2079"/>
    <w:rsid w:val="37B38FEC"/>
    <w:rsid w:val="37B8C998"/>
    <w:rsid w:val="37CFAA00"/>
    <w:rsid w:val="37DBF0CF"/>
    <w:rsid w:val="37DF54D3"/>
    <w:rsid w:val="37E3824E"/>
    <w:rsid w:val="37EA33F1"/>
    <w:rsid w:val="3802E0D6"/>
    <w:rsid w:val="380A4153"/>
    <w:rsid w:val="38191229"/>
    <w:rsid w:val="3825C370"/>
    <w:rsid w:val="38353EED"/>
    <w:rsid w:val="38354076"/>
    <w:rsid w:val="3843F4A8"/>
    <w:rsid w:val="384E181F"/>
    <w:rsid w:val="386BFFAB"/>
    <w:rsid w:val="387096F2"/>
    <w:rsid w:val="38715B35"/>
    <w:rsid w:val="3878436B"/>
    <w:rsid w:val="387B1E09"/>
    <w:rsid w:val="387F6FA1"/>
    <w:rsid w:val="3884A9C4"/>
    <w:rsid w:val="388BB74E"/>
    <w:rsid w:val="388C2DF1"/>
    <w:rsid w:val="389631C6"/>
    <w:rsid w:val="38A2481C"/>
    <w:rsid w:val="38A38684"/>
    <w:rsid w:val="38A74E20"/>
    <w:rsid w:val="38AA86A7"/>
    <w:rsid w:val="38AC9D9B"/>
    <w:rsid w:val="38B6DEB9"/>
    <w:rsid w:val="38C3AA56"/>
    <w:rsid w:val="38C6ED78"/>
    <w:rsid w:val="38CAE9C0"/>
    <w:rsid w:val="38CC61CB"/>
    <w:rsid w:val="38DB58AF"/>
    <w:rsid w:val="38DB88F0"/>
    <w:rsid w:val="38E4C078"/>
    <w:rsid w:val="38E7BE72"/>
    <w:rsid w:val="38FEE0AD"/>
    <w:rsid w:val="390197DC"/>
    <w:rsid w:val="39127B04"/>
    <w:rsid w:val="3913206C"/>
    <w:rsid w:val="391C067A"/>
    <w:rsid w:val="3926ED1D"/>
    <w:rsid w:val="39350722"/>
    <w:rsid w:val="393D8AD6"/>
    <w:rsid w:val="394F37BA"/>
    <w:rsid w:val="39525856"/>
    <w:rsid w:val="39560F45"/>
    <w:rsid w:val="396A60D2"/>
    <w:rsid w:val="396C3905"/>
    <w:rsid w:val="396EAECD"/>
    <w:rsid w:val="3989EFB5"/>
    <w:rsid w:val="399D4B09"/>
    <w:rsid w:val="39A88C77"/>
    <w:rsid w:val="39A88E3E"/>
    <w:rsid w:val="39C82753"/>
    <w:rsid w:val="3A158550"/>
    <w:rsid w:val="3A1CED57"/>
    <w:rsid w:val="3A38E137"/>
    <w:rsid w:val="3A3AB319"/>
    <w:rsid w:val="3A3B51A1"/>
    <w:rsid w:val="3A3F465F"/>
    <w:rsid w:val="3A427FC8"/>
    <w:rsid w:val="3A48966C"/>
    <w:rsid w:val="3A64C182"/>
    <w:rsid w:val="3A66DF45"/>
    <w:rsid w:val="3A6BC385"/>
    <w:rsid w:val="3A719BC8"/>
    <w:rsid w:val="3A766218"/>
    <w:rsid w:val="3A93A5BD"/>
    <w:rsid w:val="3A9D7B6C"/>
    <w:rsid w:val="3AB65224"/>
    <w:rsid w:val="3ABCA613"/>
    <w:rsid w:val="3AD057FE"/>
    <w:rsid w:val="3AD95026"/>
    <w:rsid w:val="3AEAAC56"/>
    <w:rsid w:val="3AF50C27"/>
    <w:rsid w:val="3AFBD729"/>
    <w:rsid w:val="3AFDA786"/>
    <w:rsid w:val="3B058FBB"/>
    <w:rsid w:val="3B0C257F"/>
    <w:rsid w:val="3B1BE225"/>
    <w:rsid w:val="3B2A4291"/>
    <w:rsid w:val="3B2BB407"/>
    <w:rsid w:val="3B347102"/>
    <w:rsid w:val="3B4DB0FA"/>
    <w:rsid w:val="3B53D1DA"/>
    <w:rsid w:val="3B62478C"/>
    <w:rsid w:val="3B63493E"/>
    <w:rsid w:val="3B654FFE"/>
    <w:rsid w:val="3B68BA92"/>
    <w:rsid w:val="3B7442F5"/>
    <w:rsid w:val="3B78BA4A"/>
    <w:rsid w:val="3BAA7682"/>
    <w:rsid w:val="3BABD391"/>
    <w:rsid w:val="3BAD88BA"/>
    <w:rsid w:val="3BC524D4"/>
    <w:rsid w:val="3BC5EE92"/>
    <w:rsid w:val="3BEC63EC"/>
    <w:rsid w:val="3BF3486F"/>
    <w:rsid w:val="3BFB8F19"/>
    <w:rsid w:val="3BFE1ED4"/>
    <w:rsid w:val="3C096337"/>
    <w:rsid w:val="3C0BB72A"/>
    <w:rsid w:val="3C0E02EE"/>
    <w:rsid w:val="3C0E9A38"/>
    <w:rsid w:val="3C1035B8"/>
    <w:rsid w:val="3C24DF38"/>
    <w:rsid w:val="3C284E3D"/>
    <w:rsid w:val="3C28E329"/>
    <w:rsid w:val="3C310421"/>
    <w:rsid w:val="3C32B159"/>
    <w:rsid w:val="3C32FD74"/>
    <w:rsid w:val="3C3ABC22"/>
    <w:rsid w:val="3C561D40"/>
    <w:rsid w:val="3C567A82"/>
    <w:rsid w:val="3C65E684"/>
    <w:rsid w:val="3C75210C"/>
    <w:rsid w:val="3C7B67FA"/>
    <w:rsid w:val="3C814433"/>
    <w:rsid w:val="3C8E25B7"/>
    <w:rsid w:val="3C9C4DC0"/>
    <w:rsid w:val="3C9E2BEB"/>
    <w:rsid w:val="3CBB8C48"/>
    <w:rsid w:val="3CC1E555"/>
    <w:rsid w:val="3CC5E10E"/>
    <w:rsid w:val="3CE87FD2"/>
    <w:rsid w:val="3D20D0B5"/>
    <w:rsid w:val="3D2C148B"/>
    <w:rsid w:val="3D386B64"/>
    <w:rsid w:val="3D3D1A88"/>
    <w:rsid w:val="3D4B5A51"/>
    <w:rsid w:val="3D4E5CFD"/>
    <w:rsid w:val="3D58434A"/>
    <w:rsid w:val="3D5D1D97"/>
    <w:rsid w:val="3D71AE24"/>
    <w:rsid w:val="3D7AFCA7"/>
    <w:rsid w:val="3D8B3ABF"/>
    <w:rsid w:val="3D934A73"/>
    <w:rsid w:val="3D9AA844"/>
    <w:rsid w:val="3DA92379"/>
    <w:rsid w:val="3DAC0D44"/>
    <w:rsid w:val="3DB03BD7"/>
    <w:rsid w:val="3DE613B7"/>
    <w:rsid w:val="3DF22BA2"/>
    <w:rsid w:val="3E11C8F4"/>
    <w:rsid w:val="3E1302B0"/>
    <w:rsid w:val="3E2C24A3"/>
    <w:rsid w:val="3E45228C"/>
    <w:rsid w:val="3E54BA75"/>
    <w:rsid w:val="3E581DE4"/>
    <w:rsid w:val="3E5F66D5"/>
    <w:rsid w:val="3E63A682"/>
    <w:rsid w:val="3E65F46C"/>
    <w:rsid w:val="3E84212F"/>
    <w:rsid w:val="3EACE4B4"/>
    <w:rsid w:val="3EC0BBF4"/>
    <w:rsid w:val="3ECF4E21"/>
    <w:rsid w:val="3EEB72A4"/>
    <w:rsid w:val="3EED87C5"/>
    <w:rsid w:val="3EF0549C"/>
    <w:rsid w:val="3EF8783A"/>
    <w:rsid w:val="3EFA8D4B"/>
    <w:rsid w:val="3F0280BA"/>
    <w:rsid w:val="3F06F3F4"/>
    <w:rsid w:val="3F0D1A56"/>
    <w:rsid w:val="3F2596C0"/>
    <w:rsid w:val="3F32C83C"/>
    <w:rsid w:val="3F3E9E16"/>
    <w:rsid w:val="3F45B4FE"/>
    <w:rsid w:val="3F4AD263"/>
    <w:rsid w:val="3F4FFC38"/>
    <w:rsid w:val="3F56CF1D"/>
    <w:rsid w:val="3F5D01F7"/>
    <w:rsid w:val="3F5D4981"/>
    <w:rsid w:val="3F61900B"/>
    <w:rsid w:val="3F656208"/>
    <w:rsid w:val="3F6A2A6A"/>
    <w:rsid w:val="3F83B5BC"/>
    <w:rsid w:val="3F9D6722"/>
    <w:rsid w:val="3FB22C57"/>
    <w:rsid w:val="3FCD26B0"/>
    <w:rsid w:val="3FCE7DE6"/>
    <w:rsid w:val="3FD098D3"/>
    <w:rsid w:val="3FDB32ED"/>
    <w:rsid w:val="3FDFDC1F"/>
    <w:rsid w:val="3FE38E76"/>
    <w:rsid w:val="3FEEFE24"/>
    <w:rsid w:val="3FFEC419"/>
    <w:rsid w:val="4014691A"/>
    <w:rsid w:val="401A4D0F"/>
    <w:rsid w:val="40213D0D"/>
    <w:rsid w:val="4022BD10"/>
    <w:rsid w:val="40430FD1"/>
    <w:rsid w:val="406A7E37"/>
    <w:rsid w:val="40732599"/>
    <w:rsid w:val="4074A923"/>
    <w:rsid w:val="407D9EE2"/>
    <w:rsid w:val="4088DB19"/>
    <w:rsid w:val="40909CCB"/>
    <w:rsid w:val="40B72F43"/>
    <w:rsid w:val="40B80A9F"/>
    <w:rsid w:val="40BAE39C"/>
    <w:rsid w:val="40BAEB06"/>
    <w:rsid w:val="40BD89E1"/>
    <w:rsid w:val="40C92EC5"/>
    <w:rsid w:val="40DB4391"/>
    <w:rsid w:val="40DFF700"/>
    <w:rsid w:val="40E1B3E8"/>
    <w:rsid w:val="40E6F845"/>
    <w:rsid w:val="40EA1C55"/>
    <w:rsid w:val="40F15948"/>
    <w:rsid w:val="40FEB0E9"/>
    <w:rsid w:val="410E18C5"/>
    <w:rsid w:val="4111418E"/>
    <w:rsid w:val="4117BE73"/>
    <w:rsid w:val="41207104"/>
    <w:rsid w:val="41305380"/>
    <w:rsid w:val="4142FCED"/>
    <w:rsid w:val="414D775B"/>
    <w:rsid w:val="41522A0E"/>
    <w:rsid w:val="415B8D82"/>
    <w:rsid w:val="415F6F33"/>
    <w:rsid w:val="41614297"/>
    <w:rsid w:val="416A3B8F"/>
    <w:rsid w:val="416A72F4"/>
    <w:rsid w:val="417EF6E0"/>
    <w:rsid w:val="41835C5A"/>
    <w:rsid w:val="418537E2"/>
    <w:rsid w:val="418EF0A1"/>
    <w:rsid w:val="4193073F"/>
    <w:rsid w:val="41933404"/>
    <w:rsid w:val="41A0D168"/>
    <w:rsid w:val="41A6B52D"/>
    <w:rsid w:val="41E5C5F5"/>
    <w:rsid w:val="41FE9BBD"/>
    <w:rsid w:val="42005D0B"/>
    <w:rsid w:val="420BB3A5"/>
    <w:rsid w:val="4212DA7E"/>
    <w:rsid w:val="421446D4"/>
    <w:rsid w:val="42164AA2"/>
    <w:rsid w:val="421F6F7D"/>
    <w:rsid w:val="4221CE20"/>
    <w:rsid w:val="422AA0FA"/>
    <w:rsid w:val="423E7F11"/>
    <w:rsid w:val="42559EB0"/>
    <w:rsid w:val="425725A4"/>
    <w:rsid w:val="4263CCC0"/>
    <w:rsid w:val="427A2196"/>
    <w:rsid w:val="42836FC2"/>
    <w:rsid w:val="42861C64"/>
    <w:rsid w:val="42873854"/>
    <w:rsid w:val="42878A5E"/>
    <w:rsid w:val="4287C1B7"/>
    <w:rsid w:val="429EB3B6"/>
    <w:rsid w:val="42A8DD88"/>
    <w:rsid w:val="42AA4339"/>
    <w:rsid w:val="42B23627"/>
    <w:rsid w:val="42B32421"/>
    <w:rsid w:val="42B9779F"/>
    <w:rsid w:val="42C04250"/>
    <w:rsid w:val="42CE69D7"/>
    <w:rsid w:val="42D78C41"/>
    <w:rsid w:val="42EE0683"/>
    <w:rsid w:val="42F29CCA"/>
    <w:rsid w:val="42F8D5BB"/>
    <w:rsid w:val="43043001"/>
    <w:rsid w:val="43133B6F"/>
    <w:rsid w:val="431450EC"/>
    <w:rsid w:val="43159B2D"/>
    <w:rsid w:val="4324B265"/>
    <w:rsid w:val="43269BC0"/>
    <w:rsid w:val="432F863F"/>
    <w:rsid w:val="433B5EB5"/>
    <w:rsid w:val="433B7599"/>
    <w:rsid w:val="4345E0E9"/>
    <w:rsid w:val="434672A1"/>
    <w:rsid w:val="43485D14"/>
    <w:rsid w:val="434B5501"/>
    <w:rsid w:val="4352FBA5"/>
    <w:rsid w:val="4357A47A"/>
    <w:rsid w:val="436E42C2"/>
    <w:rsid w:val="4374B7B7"/>
    <w:rsid w:val="4374F4BF"/>
    <w:rsid w:val="437941AC"/>
    <w:rsid w:val="437F57E6"/>
    <w:rsid w:val="43937F0F"/>
    <w:rsid w:val="43A187A8"/>
    <w:rsid w:val="43BD9E81"/>
    <w:rsid w:val="43BF9341"/>
    <w:rsid w:val="43C8E6B3"/>
    <w:rsid w:val="43D31CBA"/>
    <w:rsid w:val="43DA366F"/>
    <w:rsid w:val="43E1BBC4"/>
    <w:rsid w:val="43ECA485"/>
    <w:rsid w:val="43EF77F6"/>
    <w:rsid w:val="43F075CB"/>
    <w:rsid w:val="43FC5EE2"/>
    <w:rsid w:val="44024AAC"/>
    <w:rsid w:val="44214A0B"/>
    <w:rsid w:val="44277051"/>
    <w:rsid w:val="442E6AE4"/>
    <w:rsid w:val="44320CF5"/>
    <w:rsid w:val="443E48D6"/>
    <w:rsid w:val="4451E817"/>
    <w:rsid w:val="445411A3"/>
    <w:rsid w:val="4460B977"/>
    <w:rsid w:val="44654577"/>
    <w:rsid w:val="4466E99A"/>
    <w:rsid w:val="4471FF1A"/>
    <w:rsid w:val="4479E36C"/>
    <w:rsid w:val="447F2A37"/>
    <w:rsid w:val="4480676C"/>
    <w:rsid w:val="449BFFF9"/>
    <w:rsid w:val="44A441BF"/>
    <w:rsid w:val="44A6298B"/>
    <w:rsid w:val="44A93813"/>
    <w:rsid w:val="44A98E2A"/>
    <w:rsid w:val="44AD1DF1"/>
    <w:rsid w:val="44B551BB"/>
    <w:rsid w:val="44D1DCF4"/>
    <w:rsid w:val="44F034DB"/>
    <w:rsid w:val="44F67C3D"/>
    <w:rsid w:val="45030B46"/>
    <w:rsid w:val="45038D96"/>
    <w:rsid w:val="450F779D"/>
    <w:rsid w:val="450FFB92"/>
    <w:rsid w:val="45141489"/>
    <w:rsid w:val="451F4F36"/>
    <w:rsid w:val="4523E3BA"/>
    <w:rsid w:val="4549E9C3"/>
    <w:rsid w:val="45615810"/>
    <w:rsid w:val="45668E19"/>
    <w:rsid w:val="4566C1FA"/>
    <w:rsid w:val="4568BE39"/>
    <w:rsid w:val="4571F071"/>
    <w:rsid w:val="457525A7"/>
    <w:rsid w:val="457619FC"/>
    <w:rsid w:val="457A373C"/>
    <w:rsid w:val="458460A5"/>
    <w:rsid w:val="459113E1"/>
    <w:rsid w:val="45A7935B"/>
    <w:rsid w:val="45A96787"/>
    <w:rsid w:val="45B6A1D1"/>
    <w:rsid w:val="45CB358E"/>
    <w:rsid w:val="45CCFFCF"/>
    <w:rsid w:val="45CEDAD1"/>
    <w:rsid w:val="45D554B6"/>
    <w:rsid w:val="45E01C37"/>
    <w:rsid w:val="45E2F0FF"/>
    <w:rsid w:val="45E53559"/>
    <w:rsid w:val="45E6485E"/>
    <w:rsid w:val="45F5C632"/>
    <w:rsid w:val="45FB0832"/>
    <w:rsid w:val="45FFE927"/>
    <w:rsid w:val="462153C5"/>
    <w:rsid w:val="46274ED6"/>
    <w:rsid w:val="462810A5"/>
    <w:rsid w:val="462DA17B"/>
    <w:rsid w:val="46333350"/>
    <w:rsid w:val="46350344"/>
    <w:rsid w:val="46460018"/>
    <w:rsid w:val="464B2340"/>
    <w:rsid w:val="46708371"/>
    <w:rsid w:val="467BF18C"/>
    <w:rsid w:val="467D83F6"/>
    <w:rsid w:val="468784E0"/>
    <w:rsid w:val="4687EC77"/>
    <w:rsid w:val="4692B1F6"/>
    <w:rsid w:val="46974959"/>
    <w:rsid w:val="469C4DDA"/>
    <w:rsid w:val="469C6EA8"/>
    <w:rsid w:val="469D6F33"/>
    <w:rsid w:val="46B3899D"/>
    <w:rsid w:val="46D7D39C"/>
    <w:rsid w:val="46DED99F"/>
    <w:rsid w:val="46E06272"/>
    <w:rsid w:val="46EEDEE0"/>
    <w:rsid w:val="46F06437"/>
    <w:rsid w:val="471259E0"/>
    <w:rsid w:val="47133DD9"/>
    <w:rsid w:val="4732F76C"/>
    <w:rsid w:val="473512BB"/>
    <w:rsid w:val="47382E86"/>
    <w:rsid w:val="47390B79"/>
    <w:rsid w:val="473FF6E0"/>
    <w:rsid w:val="47582D4C"/>
    <w:rsid w:val="47628B08"/>
    <w:rsid w:val="476C82B9"/>
    <w:rsid w:val="476E140C"/>
    <w:rsid w:val="477D0575"/>
    <w:rsid w:val="478994EA"/>
    <w:rsid w:val="478A9126"/>
    <w:rsid w:val="478DCBD2"/>
    <w:rsid w:val="47AD49D6"/>
    <w:rsid w:val="47B2F972"/>
    <w:rsid w:val="47BB4D8E"/>
    <w:rsid w:val="47BCD216"/>
    <w:rsid w:val="47C2EF5D"/>
    <w:rsid w:val="47CF3C74"/>
    <w:rsid w:val="47E69D37"/>
    <w:rsid w:val="47E91BAA"/>
    <w:rsid w:val="47F2686F"/>
    <w:rsid w:val="480ABCDA"/>
    <w:rsid w:val="48113F19"/>
    <w:rsid w:val="482353B7"/>
    <w:rsid w:val="482CCA35"/>
    <w:rsid w:val="4833101B"/>
    <w:rsid w:val="48370B10"/>
    <w:rsid w:val="4841599C"/>
    <w:rsid w:val="4847F010"/>
    <w:rsid w:val="4850A4FE"/>
    <w:rsid w:val="48594FA8"/>
    <w:rsid w:val="4881A195"/>
    <w:rsid w:val="4896B9F3"/>
    <w:rsid w:val="4898514D"/>
    <w:rsid w:val="489F2293"/>
    <w:rsid w:val="48A18FBF"/>
    <w:rsid w:val="48A47334"/>
    <w:rsid w:val="48A538E6"/>
    <w:rsid w:val="48A65033"/>
    <w:rsid w:val="48A9D6AB"/>
    <w:rsid w:val="48AAFBCB"/>
    <w:rsid w:val="48BD539E"/>
    <w:rsid w:val="48C3FBDF"/>
    <w:rsid w:val="48D01621"/>
    <w:rsid w:val="48D86E97"/>
    <w:rsid w:val="48E19024"/>
    <w:rsid w:val="48E2723B"/>
    <w:rsid w:val="48F4E431"/>
    <w:rsid w:val="4916808B"/>
    <w:rsid w:val="491AE8E5"/>
    <w:rsid w:val="491BCBA5"/>
    <w:rsid w:val="492CF62A"/>
    <w:rsid w:val="492DECBD"/>
    <w:rsid w:val="49363219"/>
    <w:rsid w:val="49415712"/>
    <w:rsid w:val="49616627"/>
    <w:rsid w:val="496EF069"/>
    <w:rsid w:val="49759C7B"/>
    <w:rsid w:val="4976ECFC"/>
    <w:rsid w:val="49822DAA"/>
    <w:rsid w:val="4992923E"/>
    <w:rsid w:val="49A43934"/>
    <w:rsid w:val="49A6DDCA"/>
    <w:rsid w:val="49ADBA14"/>
    <w:rsid w:val="49B4EF5A"/>
    <w:rsid w:val="49C28D39"/>
    <w:rsid w:val="49C44E9C"/>
    <w:rsid w:val="49CC9B0D"/>
    <w:rsid w:val="49E0FD8C"/>
    <w:rsid w:val="49E55F27"/>
    <w:rsid w:val="49E8D8CF"/>
    <w:rsid w:val="49EFA050"/>
    <w:rsid w:val="4A140BAE"/>
    <w:rsid w:val="4A174B72"/>
    <w:rsid w:val="4A20B1A6"/>
    <w:rsid w:val="4A244618"/>
    <w:rsid w:val="4A2D62CF"/>
    <w:rsid w:val="4A2DC674"/>
    <w:rsid w:val="4A59A586"/>
    <w:rsid w:val="4A63C6D7"/>
    <w:rsid w:val="4A6F23BA"/>
    <w:rsid w:val="4A6F9E13"/>
    <w:rsid w:val="4A744018"/>
    <w:rsid w:val="4A78D596"/>
    <w:rsid w:val="4A811437"/>
    <w:rsid w:val="4A9C8ECE"/>
    <w:rsid w:val="4AA016AC"/>
    <w:rsid w:val="4AA9D588"/>
    <w:rsid w:val="4AC2D566"/>
    <w:rsid w:val="4AD360A1"/>
    <w:rsid w:val="4AD3D62F"/>
    <w:rsid w:val="4AD73FE1"/>
    <w:rsid w:val="4AE2066C"/>
    <w:rsid w:val="4B06D432"/>
    <w:rsid w:val="4B08A512"/>
    <w:rsid w:val="4B0C582A"/>
    <w:rsid w:val="4B4048BE"/>
    <w:rsid w:val="4B4AE54A"/>
    <w:rsid w:val="4B4C4F5B"/>
    <w:rsid w:val="4B4CB35E"/>
    <w:rsid w:val="4B4CFC92"/>
    <w:rsid w:val="4B586905"/>
    <w:rsid w:val="4B6A5A19"/>
    <w:rsid w:val="4B7AEB6A"/>
    <w:rsid w:val="4B9CEC6C"/>
    <w:rsid w:val="4BB17A28"/>
    <w:rsid w:val="4BB5F614"/>
    <w:rsid w:val="4BBE879A"/>
    <w:rsid w:val="4BC21BC7"/>
    <w:rsid w:val="4BC9E31E"/>
    <w:rsid w:val="4BCBE2DD"/>
    <w:rsid w:val="4BDB8710"/>
    <w:rsid w:val="4BDFD0E5"/>
    <w:rsid w:val="4BFB95C5"/>
    <w:rsid w:val="4BFFE9FC"/>
    <w:rsid w:val="4C022FFF"/>
    <w:rsid w:val="4C19D799"/>
    <w:rsid w:val="4C1EAB39"/>
    <w:rsid w:val="4C2421B1"/>
    <w:rsid w:val="4C429B01"/>
    <w:rsid w:val="4C4796C2"/>
    <w:rsid w:val="4C4BBA1D"/>
    <w:rsid w:val="4C4D863E"/>
    <w:rsid w:val="4C4EA88F"/>
    <w:rsid w:val="4C4EB603"/>
    <w:rsid w:val="4C619B9C"/>
    <w:rsid w:val="4C689208"/>
    <w:rsid w:val="4C73F28D"/>
    <w:rsid w:val="4C7E8348"/>
    <w:rsid w:val="4C84C539"/>
    <w:rsid w:val="4C84C834"/>
    <w:rsid w:val="4C85DF8A"/>
    <w:rsid w:val="4C8AE40D"/>
    <w:rsid w:val="4C922B61"/>
    <w:rsid w:val="4C987B90"/>
    <w:rsid w:val="4CC5FD03"/>
    <w:rsid w:val="4CD524E1"/>
    <w:rsid w:val="4CE67CC8"/>
    <w:rsid w:val="4CE9126B"/>
    <w:rsid w:val="4CF5612B"/>
    <w:rsid w:val="4CF888BE"/>
    <w:rsid w:val="4D19C0F8"/>
    <w:rsid w:val="4D27F2DA"/>
    <w:rsid w:val="4D2AE812"/>
    <w:rsid w:val="4D302AFF"/>
    <w:rsid w:val="4D365721"/>
    <w:rsid w:val="4D3F81CA"/>
    <w:rsid w:val="4D56DFF1"/>
    <w:rsid w:val="4D58462C"/>
    <w:rsid w:val="4D5B4A75"/>
    <w:rsid w:val="4D7084FA"/>
    <w:rsid w:val="4D73C98D"/>
    <w:rsid w:val="4D7C9392"/>
    <w:rsid w:val="4D82C321"/>
    <w:rsid w:val="4D9491C7"/>
    <w:rsid w:val="4D94B119"/>
    <w:rsid w:val="4D97F921"/>
    <w:rsid w:val="4D9BC7E5"/>
    <w:rsid w:val="4D9DF46F"/>
    <w:rsid w:val="4D9F2E7A"/>
    <w:rsid w:val="4DACD60A"/>
    <w:rsid w:val="4DAF200F"/>
    <w:rsid w:val="4DB1D0D8"/>
    <w:rsid w:val="4DBD406B"/>
    <w:rsid w:val="4DC2C021"/>
    <w:rsid w:val="4DD3312B"/>
    <w:rsid w:val="4DDA4CEF"/>
    <w:rsid w:val="4DE82A18"/>
    <w:rsid w:val="4E0B1669"/>
    <w:rsid w:val="4E2A2285"/>
    <w:rsid w:val="4E3139ED"/>
    <w:rsid w:val="4E44B50B"/>
    <w:rsid w:val="4E4D7245"/>
    <w:rsid w:val="4E687251"/>
    <w:rsid w:val="4E6BA739"/>
    <w:rsid w:val="4E8B4DD1"/>
    <w:rsid w:val="4E9445EA"/>
    <w:rsid w:val="4E98FCB7"/>
    <w:rsid w:val="4EAFF7A4"/>
    <w:rsid w:val="4EB36AC7"/>
    <w:rsid w:val="4EB4E6B4"/>
    <w:rsid w:val="4EB5A96F"/>
    <w:rsid w:val="4EB5F3C1"/>
    <w:rsid w:val="4EBA08FC"/>
    <w:rsid w:val="4EBFA225"/>
    <w:rsid w:val="4EC8EAF7"/>
    <w:rsid w:val="4EC96BFA"/>
    <w:rsid w:val="4ECCB3BC"/>
    <w:rsid w:val="4ECCD10A"/>
    <w:rsid w:val="4ED1E560"/>
    <w:rsid w:val="4EDB9BA8"/>
    <w:rsid w:val="4EDD5C3B"/>
    <w:rsid w:val="4EDF8BDE"/>
    <w:rsid w:val="4EEB0015"/>
    <w:rsid w:val="4EF13105"/>
    <w:rsid w:val="4EF53855"/>
    <w:rsid w:val="4EFF9BD5"/>
    <w:rsid w:val="4F0C9EBE"/>
    <w:rsid w:val="4F0F7C4F"/>
    <w:rsid w:val="4F16D969"/>
    <w:rsid w:val="4F1FE0C0"/>
    <w:rsid w:val="4F2E73EB"/>
    <w:rsid w:val="4F32DE02"/>
    <w:rsid w:val="4F3F8751"/>
    <w:rsid w:val="4F3FA6E8"/>
    <w:rsid w:val="4F4750BA"/>
    <w:rsid w:val="4F55B5CA"/>
    <w:rsid w:val="4F65A30A"/>
    <w:rsid w:val="4F690F3D"/>
    <w:rsid w:val="4F6CF076"/>
    <w:rsid w:val="4F716143"/>
    <w:rsid w:val="4F8919FC"/>
    <w:rsid w:val="4F8A53B4"/>
    <w:rsid w:val="4F9ECE6D"/>
    <w:rsid w:val="4F9F0BC8"/>
    <w:rsid w:val="4F9F3174"/>
    <w:rsid w:val="4FAB0B34"/>
    <w:rsid w:val="4FB22AE0"/>
    <w:rsid w:val="4FB30B23"/>
    <w:rsid w:val="4FB4090D"/>
    <w:rsid w:val="4FBB8954"/>
    <w:rsid w:val="4FC0BB12"/>
    <w:rsid w:val="4FC7D7F2"/>
    <w:rsid w:val="4FD6BEEB"/>
    <w:rsid w:val="4FDBDA4E"/>
    <w:rsid w:val="4FDE0E96"/>
    <w:rsid w:val="4FF1B930"/>
    <w:rsid w:val="4FFD7FD5"/>
    <w:rsid w:val="500BE62C"/>
    <w:rsid w:val="5010DEB8"/>
    <w:rsid w:val="501DB21B"/>
    <w:rsid w:val="5027F599"/>
    <w:rsid w:val="5042C383"/>
    <w:rsid w:val="50435551"/>
    <w:rsid w:val="505AC026"/>
    <w:rsid w:val="5062BABB"/>
    <w:rsid w:val="5087069E"/>
    <w:rsid w:val="508F52AC"/>
    <w:rsid w:val="5091F952"/>
    <w:rsid w:val="50A06517"/>
    <w:rsid w:val="50A3F520"/>
    <w:rsid w:val="50B107C7"/>
    <w:rsid w:val="50BF97CF"/>
    <w:rsid w:val="50C951A1"/>
    <w:rsid w:val="50D021F0"/>
    <w:rsid w:val="50D3F284"/>
    <w:rsid w:val="50E2DF22"/>
    <w:rsid w:val="50E706BA"/>
    <w:rsid w:val="50F79CAA"/>
    <w:rsid w:val="50FB5933"/>
    <w:rsid w:val="51058BF6"/>
    <w:rsid w:val="510E422D"/>
    <w:rsid w:val="51191B38"/>
    <w:rsid w:val="511C8FBB"/>
    <w:rsid w:val="512CA430"/>
    <w:rsid w:val="512EC0DD"/>
    <w:rsid w:val="513208E2"/>
    <w:rsid w:val="5138BC15"/>
    <w:rsid w:val="514CAE7E"/>
    <w:rsid w:val="5151AEFE"/>
    <w:rsid w:val="515200BB"/>
    <w:rsid w:val="515D36D1"/>
    <w:rsid w:val="516B2CFD"/>
    <w:rsid w:val="51766DEA"/>
    <w:rsid w:val="51827FD6"/>
    <w:rsid w:val="518CCD29"/>
    <w:rsid w:val="518F22A0"/>
    <w:rsid w:val="519426DC"/>
    <w:rsid w:val="51ACAF19"/>
    <w:rsid w:val="51ACF13B"/>
    <w:rsid w:val="51B2173E"/>
    <w:rsid w:val="51FF29DF"/>
    <w:rsid w:val="520BA690"/>
    <w:rsid w:val="5221E000"/>
    <w:rsid w:val="52348258"/>
    <w:rsid w:val="52463998"/>
    <w:rsid w:val="5250F97E"/>
    <w:rsid w:val="5253A1D2"/>
    <w:rsid w:val="525FE04D"/>
    <w:rsid w:val="526421A5"/>
    <w:rsid w:val="5269C8EE"/>
    <w:rsid w:val="52793A00"/>
    <w:rsid w:val="52885E81"/>
    <w:rsid w:val="52AE16E7"/>
    <w:rsid w:val="52C35A18"/>
    <w:rsid w:val="52D4A0F8"/>
    <w:rsid w:val="52D685BB"/>
    <w:rsid w:val="52E30B1B"/>
    <w:rsid w:val="52ED29AE"/>
    <w:rsid w:val="52F076EF"/>
    <w:rsid w:val="530C1393"/>
    <w:rsid w:val="53134FAA"/>
    <w:rsid w:val="5315B883"/>
    <w:rsid w:val="533D373F"/>
    <w:rsid w:val="533D5E90"/>
    <w:rsid w:val="5344005F"/>
    <w:rsid w:val="534E1EEB"/>
    <w:rsid w:val="535DF04B"/>
    <w:rsid w:val="53616FFB"/>
    <w:rsid w:val="5361740B"/>
    <w:rsid w:val="536A24A0"/>
    <w:rsid w:val="5373951F"/>
    <w:rsid w:val="537AF59B"/>
    <w:rsid w:val="537F1545"/>
    <w:rsid w:val="5382D192"/>
    <w:rsid w:val="53922C62"/>
    <w:rsid w:val="53BC5AE4"/>
    <w:rsid w:val="53C08AF7"/>
    <w:rsid w:val="53C2C7E0"/>
    <w:rsid w:val="53D0E078"/>
    <w:rsid w:val="53EFD366"/>
    <w:rsid w:val="53F63A22"/>
    <w:rsid w:val="540AF771"/>
    <w:rsid w:val="5411CB40"/>
    <w:rsid w:val="541B3C2D"/>
    <w:rsid w:val="542AA0A9"/>
    <w:rsid w:val="542ABAD4"/>
    <w:rsid w:val="542C7F04"/>
    <w:rsid w:val="543F4B4D"/>
    <w:rsid w:val="54484B69"/>
    <w:rsid w:val="54511833"/>
    <w:rsid w:val="54512A94"/>
    <w:rsid w:val="545AAD5C"/>
    <w:rsid w:val="545C71A1"/>
    <w:rsid w:val="545EFAA8"/>
    <w:rsid w:val="5464E43A"/>
    <w:rsid w:val="5465C058"/>
    <w:rsid w:val="546F398C"/>
    <w:rsid w:val="5472106C"/>
    <w:rsid w:val="547C229F"/>
    <w:rsid w:val="547EDB7C"/>
    <w:rsid w:val="547F659E"/>
    <w:rsid w:val="5480A62A"/>
    <w:rsid w:val="548BB8BC"/>
    <w:rsid w:val="548D9662"/>
    <w:rsid w:val="54922E0C"/>
    <w:rsid w:val="549C3998"/>
    <w:rsid w:val="54A24CF7"/>
    <w:rsid w:val="54C6AF6E"/>
    <w:rsid w:val="54C94634"/>
    <w:rsid w:val="54DF8DD0"/>
    <w:rsid w:val="54E82E22"/>
    <w:rsid w:val="54EC2755"/>
    <w:rsid w:val="5503D8EF"/>
    <w:rsid w:val="55139743"/>
    <w:rsid w:val="5521796F"/>
    <w:rsid w:val="552C80EB"/>
    <w:rsid w:val="55303C7A"/>
    <w:rsid w:val="5534AFDE"/>
    <w:rsid w:val="553D5A24"/>
    <w:rsid w:val="553EEEAD"/>
    <w:rsid w:val="55478AD1"/>
    <w:rsid w:val="554BB66B"/>
    <w:rsid w:val="554CFA8E"/>
    <w:rsid w:val="554DA71E"/>
    <w:rsid w:val="55548134"/>
    <w:rsid w:val="555E5DBF"/>
    <w:rsid w:val="556869FD"/>
    <w:rsid w:val="557818E8"/>
    <w:rsid w:val="5580D581"/>
    <w:rsid w:val="55962370"/>
    <w:rsid w:val="559BD219"/>
    <w:rsid w:val="55AB4FC0"/>
    <w:rsid w:val="55AF30A1"/>
    <w:rsid w:val="55AFF63F"/>
    <w:rsid w:val="55BD84F9"/>
    <w:rsid w:val="55D8D989"/>
    <w:rsid w:val="55EADD42"/>
    <w:rsid w:val="55F77267"/>
    <w:rsid w:val="56005E77"/>
    <w:rsid w:val="56054A0D"/>
    <w:rsid w:val="5612A371"/>
    <w:rsid w:val="561DDD31"/>
    <w:rsid w:val="562EA167"/>
    <w:rsid w:val="56338212"/>
    <w:rsid w:val="564483FC"/>
    <w:rsid w:val="56463F17"/>
    <w:rsid w:val="564EC59B"/>
    <w:rsid w:val="565D6BEA"/>
    <w:rsid w:val="566729CA"/>
    <w:rsid w:val="5672F18D"/>
    <w:rsid w:val="5683111B"/>
    <w:rsid w:val="568476EF"/>
    <w:rsid w:val="568E75AA"/>
    <w:rsid w:val="568EDD9C"/>
    <w:rsid w:val="56A71FB7"/>
    <w:rsid w:val="56ACC235"/>
    <w:rsid w:val="56BEF7D8"/>
    <w:rsid w:val="56EEB58B"/>
    <w:rsid w:val="56FEAAC4"/>
    <w:rsid w:val="570D1539"/>
    <w:rsid w:val="571471AA"/>
    <w:rsid w:val="571810A1"/>
    <w:rsid w:val="571CF284"/>
    <w:rsid w:val="571F27E0"/>
    <w:rsid w:val="573004B4"/>
    <w:rsid w:val="5732ACA4"/>
    <w:rsid w:val="5732D1B0"/>
    <w:rsid w:val="57360822"/>
    <w:rsid w:val="57474317"/>
    <w:rsid w:val="574AEDFA"/>
    <w:rsid w:val="574DEBE6"/>
    <w:rsid w:val="575E48CF"/>
    <w:rsid w:val="577AA7F8"/>
    <w:rsid w:val="578000AC"/>
    <w:rsid w:val="57806189"/>
    <w:rsid w:val="578724C6"/>
    <w:rsid w:val="578B5C9D"/>
    <w:rsid w:val="578BB4C5"/>
    <w:rsid w:val="5795DF12"/>
    <w:rsid w:val="57A9E5F5"/>
    <w:rsid w:val="57B0A945"/>
    <w:rsid w:val="57B9E38C"/>
    <w:rsid w:val="57C7FAB6"/>
    <w:rsid w:val="57D4F58A"/>
    <w:rsid w:val="57D67DD0"/>
    <w:rsid w:val="57DCB4B6"/>
    <w:rsid w:val="57DEC345"/>
    <w:rsid w:val="57E30CAC"/>
    <w:rsid w:val="57EA49C0"/>
    <w:rsid w:val="5803EF0B"/>
    <w:rsid w:val="582A4593"/>
    <w:rsid w:val="582C6E55"/>
    <w:rsid w:val="58360F01"/>
    <w:rsid w:val="58492FEB"/>
    <w:rsid w:val="584A66F2"/>
    <w:rsid w:val="58602EC6"/>
    <w:rsid w:val="586690A5"/>
    <w:rsid w:val="5868AD4C"/>
    <w:rsid w:val="586A349D"/>
    <w:rsid w:val="587177CA"/>
    <w:rsid w:val="5877B136"/>
    <w:rsid w:val="5882D116"/>
    <w:rsid w:val="5892344F"/>
    <w:rsid w:val="58A16222"/>
    <w:rsid w:val="58AB684A"/>
    <w:rsid w:val="58AE2366"/>
    <w:rsid w:val="58B11EA1"/>
    <w:rsid w:val="58B193CE"/>
    <w:rsid w:val="58CB5256"/>
    <w:rsid w:val="58CC8C28"/>
    <w:rsid w:val="58E601C5"/>
    <w:rsid w:val="58E6FD18"/>
    <w:rsid w:val="58FAAF35"/>
    <w:rsid w:val="590483E7"/>
    <w:rsid w:val="5923A783"/>
    <w:rsid w:val="59242038"/>
    <w:rsid w:val="592905A7"/>
    <w:rsid w:val="59355FC1"/>
    <w:rsid w:val="5941FA0E"/>
    <w:rsid w:val="594486C0"/>
    <w:rsid w:val="5944D6A8"/>
    <w:rsid w:val="594C96D3"/>
    <w:rsid w:val="594E4A45"/>
    <w:rsid w:val="59518B00"/>
    <w:rsid w:val="5954EC63"/>
    <w:rsid w:val="595CB1E0"/>
    <w:rsid w:val="59648F62"/>
    <w:rsid w:val="596688AD"/>
    <w:rsid w:val="596DCFA4"/>
    <w:rsid w:val="5981CE04"/>
    <w:rsid w:val="5993855E"/>
    <w:rsid w:val="599844B1"/>
    <w:rsid w:val="599C28AC"/>
    <w:rsid w:val="599D073E"/>
    <w:rsid w:val="599DABC4"/>
    <w:rsid w:val="59A5A3FE"/>
    <w:rsid w:val="59AD0B8E"/>
    <w:rsid w:val="59AEA25C"/>
    <w:rsid w:val="59B3F5B8"/>
    <w:rsid w:val="59BB492F"/>
    <w:rsid w:val="59BCAF12"/>
    <w:rsid w:val="59FC369C"/>
    <w:rsid w:val="5A0212AA"/>
    <w:rsid w:val="5A02F5D5"/>
    <w:rsid w:val="5A0301D5"/>
    <w:rsid w:val="5A038469"/>
    <w:rsid w:val="5A0F6A7E"/>
    <w:rsid w:val="5A19C425"/>
    <w:rsid w:val="5A1CA192"/>
    <w:rsid w:val="5A1D9BC6"/>
    <w:rsid w:val="5A203B25"/>
    <w:rsid w:val="5A2C5557"/>
    <w:rsid w:val="5A35B87F"/>
    <w:rsid w:val="5A398E85"/>
    <w:rsid w:val="5A3E63C7"/>
    <w:rsid w:val="5A4D5716"/>
    <w:rsid w:val="5A5125AF"/>
    <w:rsid w:val="5A6067AF"/>
    <w:rsid w:val="5A61D101"/>
    <w:rsid w:val="5A68176E"/>
    <w:rsid w:val="5A730D71"/>
    <w:rsid w:val="5A7E1D8B"/>
    <w:rsid w:val="5A85744E"/>
    <w:rsid w:val="5A87D01A"/>
    <w:rsid w:val="5A9C2FE8"/>
    <w:rsid w:val="5AA99D52"/>
    <w:rsid w:val="5AAEBF6D"/>
    <w:rsid w:val="5AAFF86A"/>
    <w:rsid w:val="5AB72662"/>
    <w:rsid w:val="5AC73AC9"/>
    <w:rsid w:val="5AC80FAD"/>
    <w:rsid w:val="5ACF9E81"/>
    <w:rsid w:val="5AD36299"/>
    <w:rsid w:val="5ADA3176"/>
    <w:rsid w:val="5ADC8864"/>
    <w:rsid w:val="5ADE75B3"/>
    <w:rsid w:val="5ADF587E"/>
    <w:rsid w:val="5AF3C29F"/>
    <w:rsid w:val="5AF9D0A6"/>
    <w:rsid w:val="5B0D62E4"/>
    <w:rsid w:val="5B0DB09A"/>
    <w:rsid w:val="5B311CAC"/>
    <w:rsid w:val="5B35FDD6"/>
    <w:rsid w:val="5B3C59CF"/>
    <w:rsid w:val="5B4B31AF"/>
    <w:rsid w:val="5B55789C"/>
    <w:rsid w:val="5B5B9A02"/>
    <w:rsid w:val="5B616F31"/>
    <w:rsid w:val="5B64E337"/>
    <w:rsid w:val="5B66AD7B"/>
    <w:rsid w:val="5B68419D"/>
    <w:rsid w:val="5B905830"/>
    <w:rsid w:val="5B966807"/>
    <w:rsid w:val="5B97C919"/>
    <w:rsid w:val="5B9AD8BE"/>
    <w:rsid w:val="5B9E229B"/>
    <w:rsid w:val="5B9FB85A"/>
    <w:rsid w:val="5BA378FC"/>
    <w:rsid w:val="5BAEFE90"/>
    <w:rsid w:val="5BBC79C5"/>
    <w:rsid w:val="5BBCEA26"/>
    <w:rsid w:val="5BBFD557"/>
    <w:rsid w:val="5BD21599"/>
    <w:rsid w:val="5BDBE31D"/>
    <w:rsid w:val="5C0087BD"/>
    <w:rsid w:val="5C07B4CA"/>
    <w:rsid w:val="5C194EDE"/>
    <w:rsid w:val="5C20EB92"/>
    <w:rsid w:val="5C217401"/>
    <w:rsid w:val="5C30A7AE"/>
    <w:rsid w:val="5C358DB8"/>
    <w:rsid w:val="5C39D284"/>
    <w:rsid w:val="5C582533"/>
    <w:rsid w:val="5C642918"/>
    <w:rsid w:val="5C6488DA"/>
    <w:rsid w:val="5C68793F"/>
    <w:rsid w:val="5C79513B"/>
    <w:rsid w:val="5C7DB250"/>
    <w:rsid w:val="5C84ECF3"/>
    <w:rsid w:val="5C9E2E13"/>
    <w:rsid w:val="5CAA9425"/>
    <w:rsid w:val="5CAB74BC"/>
    <w:rsid w:val="5CD7DFEC"/>
    <w:rsid w:val="5CDE30D3"/>
    <w:rsid w:val="5CFA5CE6"/>
    <w:rsid w:val="5D1032BD"/>
    <w:rsid w:val="5D1D9F56"/>
    <w:rsid w:val="5D217597"/>
    <w:rsid w:val="5D2820AB"/>
    <w:rsid w:val="5D37BD93"/>
    <w:rsid w:val="5D3A9E4F"/>
    <w:rsid w:val="5D3ADC3B"/>
    <w:rsid w:val="5D3F657A"/>
    <w:rsid w:val="5D3FF582"/>
    <w:rsid w:val="5D4587E8"/>
    <w:rsid w:val="5D5FE03F"/>
    <w:rsid w:val="5D63A466"/>
    <w:rsid w:val="5D6EAEF6"/>
    <w:rsid w:val="5D71ECE4"/>
    <w:rsid w:val="5D7B03C6"/>
    <w:rsid w:val="5D868E67"/>
    <w:rsid w:val="5D9187DB"/>
    <w:rsid w:val="5D96E218"/>
    <w:rsid w:val="5D971E7B"/>
    <w:rsid w:val="5DA0348C"/>
    <w:rsid w:val="5DA5949D"/>
    <w:rsid w:val="5DAC680A"/>
    <w:rsid w:val="5DB83C4E"/>
    <w:rsid w:val="5DBCB7EE"/>
    <w:rsid w:val="5DC3DFB3"/>
    <w:rsid w:val="5DD0D488"/>
    <w:rsid w:val="5DD5F338"/>
    <w:rsid w:val="5DD78738"/>
    <w:rsid w:val="5DDCB107"/>
    <w:rsid w:val="5DE07EBA"/>
    <w:rsid w:val="5DE63739"/>
    <w:rsid w:val="5DE82D8D"/>
    <w:rsid w:val="5DF15A23"/>
    <w:rsid w:val="5DFE6795"/>
    <w:rsid w:val="5E162DE4"/>
    <w:rsid w:val="5E1A7ED1"/>
    <w:rsid w:val="5E1ACD6F"/>
    <w:rsid w:val="5E1DA8BC"/>
    <w:rsid w:val="5E287587"/>
    <w:rsid w:val="5E2D53FF"/>
    <w:rsid w:val="5E30465E"/>
    <w:rsid w:val="5E479B0D"/>
    <w:rsid w:val="5E6D1004"/>
    <w:rsid w:val="5E8160B5"/>
    <w:rsid w:val="5E832757"/>
    <w:rsid w:val="5E8BA401"/>
    <w:rsid w:val="5EB0C515"/>
    <w:rsid w:val="5EB5F3A3"/>
    <w:rsid w:val="5EC1D5C3"/>
    <w:rsid w:val="5EC3B7E3"/>
    <w:rsid w:val="5ECFCE8E"/>
    <w:rsid w:val="5ED27CF3"/>
    <w:rsid w:val="5EE2D64B"/>
    <w:rsid w:val="5EE44382"/>
    <w:rsid w:val="5EF2F389"/>
    <w:rsid w:val="5EF30AB0"/>
    <w:rsid w:val="5EFA8F57"/>
    <w:rsid w:val="5F02C731"/>
    <w:rsid w:val="5F18C0B5"/>
    <w:rsid w:val="5F1B8EEF"/>
    <w:rsid w:val="5F1EB970"/>
    <w:rsid w:val="5F1FBBDC"/>
    <w:rsid w:val="5F268B44"/>
    <w:rsid w:val="5F26949A"/>
    <w:rsid w:val="5F27CF49"/>
    <w:rsid w:val="5F4027F8"/>
    <w:rsid w:val="5F41B193"/>
    <w:rsid w:val="5F48318B"/>
    <w:rsid w:val="5F55E60F"/>
    <w:rsid w:val="5F5EE2A7"/>
    <w:rsid w:val="5F723835"/>
    <w:rsid w:val="5F7FAF88"/>
    <w:rsid w:val="5F863EC5"/>
    <w:rsid w:val="5F8B4C41"/>
    <w:rsid w:val="5F8FEFF8"/>
    <w:rsid w:val="5FA0FB82"/>
    <w:rsid w:val="5FA2D866"/>
    <w:rsid w:val="5FB27EA3"/>
    <w:rsid w:val="5FC5AC9D"/>
    <w:rsid w:val="5FCBE35B"/>
    <w:rsid w:val="5FD1051F"/>
    <w:rsid w:val="5FD23CC1"/>
    <w:rsid w:val="5FD94DF4"/>
    <w:rsid w:val="5FDC98B1"/>
    <w:rsid w:val="5FE645ED"/>
    <w:rsid w:val="5FF24677"/>
    <w:rsid w:val="5FF66167"/>
    <w:rsid w:val="5FFFB9C4"/>
    <w:rsid w:val="600DDA25"/>
    <w:rsid w:val="601D5392"/>
    <w:rsid w:val="60291279"/>
    <w:rsid w:val="6037F8DA"/>
    <w:rsid w:val="603C1700"/>
    <w:rsid w:val="603F9D8D"/>
    <w:rsid w:val="60405673"/>
    <w:rsid w:val="6040CC4F"/>
    <w:rsid w:val="6059D69D"/>
    <w:rsid w:val="60608A37"/>
    <w:rsid w:val="607C05BF"/>
    <w:rsid w:val="607EF403"/>
    <w:rsid w:val="6089E9A7"/>
    <w:rsid w:val="6092AECF"/>
    <w:rsid w:val="60949CD9"/>
    <w:rsid w:val="609BC5B0"/>
    <w:rsid w:val="60A079DB"/>
    <w:rsid w:val="60A18FC1"/>
    <w:rsid w:val="60ADCB34"/>
    <w:rsid w:val="60B7515D"/>
    <w:rsid w:val="60B7C55B"/>
    <w:rsid w:val="60BE948E"/>
    <w:rsid w:val="60CA5339"/>
    <w:rsid w:val="60CC737D"/>
    <w:rsid w:val="60DAA71B"/>
    <w:rsid w:val="60E1808D"/>
    <w:rsid w:val="60EC7CB5"/>
    <w:rsid w:val="60EF0584"/>
    <w:rsid w:val="61015F3C"/>
    <w:rsid w:val="61082C91"/>
    <w:rsid w:val="6112510B"/>
    <w:rsid w:val="611B3561"/>
    <w:rsid w:val="61254DA3"/>
    <w:rsid w:val="6126315C"/>
    <w:rsid w:val="612F5C3C"/>
    <w:rsid w:val="613C42DC"/>
    <w:rsid w:val="615DC678"/>
    <w:rsid w:val="616259C2"/>
    <w:rsid w:val="61629F7C"/>
    <w:rsid w:val="61648DD6"/>
    <w:rsid w:val="6168807E"/>
    <w:rsid w:val="61688225"/>
    <w:rsid w:val="616C1C97"/>
    <w:rsid w:val="61734C67"/>
    <w:rsid w:val="617C16AD"/>
    <w:rsid w:val="618109F7"/>
    <w:rsid w:val="618CE2B2"/>
    <w:rsid w:val="6193C250"/>
    <w:rsid w:val="6194F637"/>
    <w:rsid w:val="61A51809"/>
    <w:rsid w:val="61B37F05"/>
    <w:rsid w:val="61BEBE04"/>
    <w:rsid w:val="61C09EFD"/>
    <w:rsid w:val="61C84DCC"/>
    <w:rsid w:val="61DC32A8"/>
    <w:rsid w:val="61DCA1E0"/>
    <w:rsid w:val="61DDE4F8"/>
    <w:rsid w:val="61E1E6AA"/>
    <w:rsid w:val="61F1DD22"/>
    <w:rsid w:val="61FEBD05"/>
    <w:rsid w:val="6209B77C"/>
    <w:rsid w:val="6210B965"/>
    <w:rsid w:val="62136032"/>
    <w:rsid w:val="621AC464"/>
    <w:rsid w:val="62317F98"/>
    <w:rsid w:val="624F26AC"/>
    <w:rsid w:val="62502890"/>
    <w:rsid w:val="625A220E"/>
    <w:rsid w:val="625D9071"/>
    <w:rsid w:val="626FD981"/>
    <w:rsid w:val="627237EE"/>
    <w:rsid w:val="62774761"/>
    <w:rsid w:val="627AB927"/>
    <w:rsid w:val="62824E21"/>
    <w:rsid w:val="6285727A"/>
    <w:rsid w:val="628FD715"/>
    <w:rsid w:val="62A6C86C"/>
    <w:rsid w:val="62BB4200"/>
    <w:rsid w:val="62BC31FE"/>
    <w:rsid w:val="62C27C36"/>
    <w:rsid w:val="62CBC926"/>
    <w:rsid w:val="62CFC0BA"/>
    <w:rsid w:val="62D5817D"/>
    <w:rsid w:val="62D581A5"/>
    <w:rsid w:val="62D826DE"/>
    <w:rsid w:val="62E7659C"/>
    <w:rsid w:val="62E8981D"/>
    <w:rsid w:val="62EF5588"/>
    <w:rsid w:val="63017DBD"/>
    <w:rsid w:val="6307FEED"/>
    <w:rsid w:val="631791F1"/>
    <w:rsid w:val="63246593"/>
    <w:rsid w:val="6343DC78"/>
    <w:rsid w:val="63467923"/>
    <w:rsid w:val="6350CEDC"/>
    <w:rsid w:val="6378A591"/>
    <w:rsid w:val="637F7445"/>
    <w:rsid w:val="63836927"/>
    <w:rsid w:val="63A2CD11"/>
    <w:rsid w:val="63A7D2D6"/>
    <w:rsid w:val="63B36CBF"/>
    <w:rsid w:val="63DD12BA"/>
    <w:rsid w:val="63E6DDDB"/>
    <w:rsid w:val="63E7A49D"/>
    <w:rsid w:val="63EDFE49"/>
    <w:rsid w:val="63EFD933"/>
    <w:rsid w:val="63F6AC8C"/>
    <w:rsid w:val="63FE1B6A"/>
    <w:rsid w:val="64170BA3"/>
    <w:rsid w:val="642A45FD"/>
    <w:rsid w:val="643904F1"/>
    <w:rsid w:val="64445E4C"/>
    <w:rsid w:val="6444E486"/>
    <w:rsid w:val="6446411A"/>
    <w:rsid w:val="644B51E7"/>
    <w:rsid w:val="645630A6"/>
    <w:rsid w:val="6464BA3D"/>
    <w:rsid w:val="64676811"/>
    <w:rsid w:val="647A1393"/>
    <w:rsid w:val="6484ACA6"/>
    <w:rsid w:val="648CA432"/>
    <w:rsid w:val="64939645"/>
    <w:rsid w:val="6499D71A"/>
    <w:rsid w:val="649E1720"/>
    <w:rsid w:val="64A6B644"/>
    <w:rsid w:val="64AD618F"/>
    <w:rsid w:val="64B840FF"/>
    <w:rsid w:val="64BFF8D9"/>
    <w:rsid w:val="64CC6E31"/>
    <w:rsid w:val="64D58F8F"/>
    <w:rsid w:val="64DCF184"/>
    <w:rsid w:val="64E1832E"/>
    <w:rsid w:val="64E46DB9"/>
    <w:rsid w:val="64ED0245"/>
    <w:rsid w:val="64ED917A"/>
    <w:rsid w:val="64F1CA5D"/>
    <w:rsid w:val="64F89BCD"/>
    <w:rsid w:val="64FB34E0"/>
    <w:rsid w:val="64FB85DF"/>
    <w:rsid w:val="65069B56"/>
    <w:rsid w:val="6508CAEF"/>
    <w:rsid w:val="65097EEC"/>
    <w:rsid w:val="6511C90E"/>
    <w:rsid w:val="65219590"/>
    <w:rsid w:val="652B98DD"/>
    <w:rsid w:val="653A7EE8"/>
    <w:rsid w:val="653ED69C"/>
    <w:rsid w:val="654C82CD"/>
    <w:rsid w:val="654F07D7"/>
    <w:rsid w:val="65570BEF"/>
    <w:rsid w:val="655B3F48"/>
    <w:rsid w:val="655FB4F9"/>
    <w:rsid w:val="655FDC95"/>
    <w:rsid w:val="657809E9"/>
    <w:rsid w:val="657897B2"/>
    <w:rsid w:val="6578BB92"/>
    <w:rsid w:val="657F617F"/>
    <w:rsid w:val="6583720B"/>
    <w:rsid w:val="658C3814"/>
    <w:rsid w:val="65922734"/>
    <w:rsid w:val="65A2AB94"/>
    <w:rsid w:val="65B47D1E"/>
    <w:rsid w:val="65BDCC87"/>
    <w:rsid w:val="65C4FFC7"/>
    <w:rsid w:val="65D478A3"/>
    <w:rsid w:val="65DCE303"/>
    <w:rsid w:val="65DD3367"/>
    <w:rsid w:val="66076C9B"/>
    <w:rsid w:val="66099F03"/>
    <w:rsid w:val="663912A6"/>
    <w:rsid w:val="663F29EB"/>
    <w:rsid w:val="664B041F"/>
    <w:rsid w:val="664D8CDF"/>
    <w:rsid w:val="665C336C"/>
    <w:rsid w:val="665DD1A1"/>
    <w:rsid w:val="665EB670"/>
    <w:rsid w:val="6665577C"/>
    <w:rsid w:val="66796775"/>
    <w:rsid w:val="66852D03"/>
    <w:rsid w:val="66910DAB"/>
    <w:rsid w:val="66A6DAC8"/>
    <w:rsid w:val="66B28438"/>
    <w:rsid w:val="66B795D7"/>
    <w:rsid w:val="66BFA292"/>
    <w:rsid w:val="66C0D6F9"/>
    <w:rsid w:val="66D0045D"/>
    <w:rsid w:val="66D466FA"/>
    <w:rsid w:val="66DBC53F"/>
    <w:rsid w:val="66E2AD60"/>
    <w:rsid w:val="66F23286"/>
    <w:rsid w:val="66F61283"/>
    <w:rsid w:val="67048EEB"/>
    <w:rsid w:val="67057B73"/>
    <w:rsid w:val="6708326C"/>
    <w:rsid w:val="67101A4D"/>
    <w:rsid w:val="6711A61D"/>
    <w:rsid w:val="6725BE20"/>
    <w:rsid w:val="6726CAE2"/>
    <w:rsid w:val="6729CAF7"/>
    <w:rsid w:val="673C12EE"/>
    <w:rsid w:val="674589D4"/>
    <w:rsid w:val="6748BBC9"/>
    <w:rsid w:val="67522C8E"/>
    <w:rsid w:val="677B9506"/>
    <w:rsid w:val="678699F1"/>
    <w:rsid w:val="67897E29"/>
    <w:rsid w:val="678ABD77"/>
    <w:rsid w:val="67927517"/>
    <w:rsid w:val="679462DD"/>
    <w:rsid w:val="67A94E45"/>
    <w:rsid w:val="67ABBB5F"/>
    <w:rsid w:val="67AC4D33"/>
    <w:rsid w:val="67B2B2E1"/>
    <w:rsid w:val="67B80F3F"/>
    <w:rsid w:val="67C3ACE3"/>
    <w:rsid w:val="67C73B08"/>
    <w:rsid w:val="67CCE303"/>
    <w:rsid w:val="67D2EDF0"/>
    <w:rsid w:val="67DFA75F"/>
    <w:rsid w:val="67E023FD"/>
    <w:rsid w:val="67F7700F"/>
    <w:rsid w:val="68040EF3"/>
    <w:rsid w:val="680F6015"/>
    <w:rsid w:val="68130559"/>
    <w:rsid w:val="6813AFF0"/>
    <w:rsid w:val="68182595"/>
    <w:rsid w:val="682094C0"/>
    <w:rsid w:val="68296880"/>
    <w:rsid w:val="6833B044"/>
    <w:rsid w:val="683D8308"/>
    <w:rsid w:val="684393E9"/>
    <w:rsid w:val="68498DB9"/>
    <w:rsid w:val="684F220C"/>
    <w:rsid w:val="6858A8B7"/>
    <w:rsid w:val="685E6D2A"/>
    <w:rsid w:val="6866C71D"/>
    <w:rsid w:val="686CED60"/>
    <w:rsid w:val="688D9980"/>
    <w:rsid w:val="68918F03"/>
    <w:rsid w:val="68AFD87C"/>
    <w:rsid w:val="68B03164"/>
    <w:rsid w:val="68B19789"/>
    <w:rsid w:val="68B80831"/>
    <w:rsid w:val="68BF1E79"/>
    <w:rsid w:val="68D15C54"/>
    <w:rsid w:val="68D2709C"/>
    <w:rsid w:val="68F24240"/>
    <w:rsid w:val="68F634FF"/>
    <w:rsid w:val="690E0EEA"/>
    <w:rsid w:val="691931B4"/>
    <w:rsid w:val="691A5252"/>
    <w:rsid w:val="69211BAF"/>
    <w:rsid w:val="6927732F"/>
    <w:rsid w:val="693C699A"/>
    <w:rsid w:val="6948B2D4"/>
    <w:rsid w:val="6959899B"/>
    <w:rsid w:val="696E4808"/>
    <w:rsid w:val="696F18C6"/>
    <w:rsid w:val="696F97C9"/>
    <w:rsid w:val="69797CEB"/>
    <w:rsid w:val="69817EDC"/>
    <w:rsid w:val="699C036B"/>
    <w:rsid w:val="699D141F"/>
    <w:rsid w:val="699FDF54"/>
    <w:rsid w:val="69A1191F"/>
    <w:rsid w:val="69A1C0B0"/>
    <w:rsid w:val="69A234E1"/>
    <w:rsid w:val="69BA79E6"/>
    <w:rsid w:val="69C142B5"/>
    <w:rsid w:val="69E6D526"/>
    <w:rsid w:val="69EB66CC"/>
    <w:rsid w:val="69F4AFD0"/>
    <w:rsid w:val="69F6132A"/>
    <w:rsid w:val="69FAB9C8"/>
    <w:rsid w:val="69FAEEEC"/>
    <w:rsid w:val="69FCF322"/>
    <w:rsid w:val="6A19EA16"/>
    <w:rsid w:val="6A37D2BD"/>
    <w:rsid w:val="6A3E5CD9"/>
    <w:rsid w:val="6A437E86"/>
    <w:rsid w:val="6A45BDD1"/>
    <w:rsid w:val="6A4B5339"/>
    <w:rsid w:val="6A4E73D5"/>
    <w:rsid w:val="6A6D77C4"/>
    <w:rsid w:val="6A72A8A6"/>
    <w:rsid w:val="6A7DC915"/>
    <w:rsid w:val="6A8677E3"/>
    <w:rsid w:val="6A8BE8C9"/>
    <w:rsid w:val="6AA227FF"/>
    <w:rsid w:val="6AA4E5A4"/>
    <w:rsid w:val="6AB74C0B"/>
    <w:rsid w:val="6AB80DA8"/>
    <w:rsid w:val="6AE2E6D7"/>
    <w:rsid w:val="6AE63BD9"/>
    <w:rsid w:val="6AE94A39"/>
    <w:rsid w:val="6B227E9A"/>
    <w:rsid w:val="6B3057C1"/>
    <w:rsid w:val="6B3112D9"/>
    <w:rsid w:val="6B337DA2"/>
    <w:rsid w:val="6B36A8CC"/>
    <w:rsid w:val="6B4BEAB4"/>
    <w:rsid w:val="6B53CC90"/>
    <w:rsid w:val="6B5B7AC6"/>
    <w:rsid w:val="6B61381A"/>
    <w:rsid w:val="6B67CEC4"/>
    <w:rsid w:val="6B6F9734"/>
    <w:rsid w:val="6B71C227"/>
    <w:rsid w:val="6B735C19"/>
    <w:rsid w:val="6B769D92"/>
    <w:rsid w:val="6B79B496"/>
    <w:rsid w:val="6B7CDA7F"/>
    <w:rsid w:val="6B808C0F"/>
    <w:rsid w:val="6B8173A2"/>
    <w:rsid w:val="6B973FD4"/>
    <w:rsid w:val="6B9D1CA4"/>
    <w:rsid w:val="6B9F78CF"/>
    <w:rsid w:val="6BA88D4C"/>
    <w:rsid w:val="6BA9D962"/>
    <w:rsid w:val="6BB22F07"/>
    <w:rsid w:val="6BB485A5"/>
    <w:rsid w:val="6BB9DE0C"/>
    <w:rsid w:val="6BC18F3A"/>
    <w:rsid w:val="6BD75886"/>
    <w:rsid w:val="6BE8566E"/>
    <w:rsid w:val="6BF21D77"/>
    <w:rsid w:val="6BF6ACB9"/>
    <w:rsid w:val="6BF76692"/>
    <w:rsid w:val="6BFCFC6A"/>
    <w:rsid w:val="6BFD581F"/>
    <w:rsid w:val="6C0B03F3"/>
    <w:rsid w:val="6C0D0E0A"/>
    <w:rsid w:val="6C0D3085"/>
    <w:rsid w:val="6C0E4B12"/>
    <w:rsid w:val="6C0FA146"/>
    <w:rsid w:val="6C130873"/>
    <w:rsid w:val="6C19CBB0"/>
    <w:rsid w:val="6C1ABF81"/>
    <w:rsid w:val="6C2095B7"/>
    <w:rsid w:val="6C29E302"/>
    <w:rsid w:val="6C2EC7BB"/>
    <w:rsid w:val="6C329185"/>
    <w:rsid w:val="6C5434DA"/>
    <w:rsid w:val="6C54A3D4"/>
    <w:rsid w:val="6C5B9012"/>
    <w:rsid w:val="6C6603F3"/>
    <w:rsid w:val="6C7BD0CB"/>
    <w:rsid w:val="6C7BF640"/>
    <w:rsid w:val="6C81FDE2"/>
    <w:rsid w:val="6C836103"/>
    <w:rsid w:val="6C8A33A7"/>
    <w:rsid w:val="6C9F54A7"/>
    <w:rsid w:val="6CAE204C"/>
    <w:rsid w:val="6CB7FB20"/>
    <w:rsid w:val="6CB889C3"/>
    <w:rsid w:val="6CBD5628"/>
    <w:rsid w:val="6CC067FB"/>
    <w:rsid w:val="6CE514FE"/>
    <w:rsid w:val="6CEE028F"/>
    <w:rsid w:val="6D0BB03A"/>
    <w:rsid w:val="6D1BC71D"/>
    <w:rsid w:val="6D2D4CDB"/>
    <w:rsid w:val="6D2EDFBC"/>
    <w:rsid w:val="6D4F96F0"/>
    <w:rsid w:val="6D62D718"/>
    <w:rsid w:val="6D681ABF"/>
    <w:rsid w:val="6D6A0FB0"/>
    <w:rsid w:val="6D6E6E96"/>
    <w:rsid w:val="6D734EC9"/>
    <w:rsid w:val="6D73BAAC"/>
    <w:rsid w:val="6D779FD0"/>
    <w:rsid w:val="6D8B7D05"/>
    <w:rsid w:val="6D8BE3F9"/>
    <w:rsid w:val="6DB7A221"/>
    <w:rsid w:val="6DBC2C27"/>
    <w:rsid w:val="6DC0AC10"/>
    <w:rsid w:val="6DC98779"/>
    <w:rsid w:val="6DE3F024"/>
    <w:rsid w:val="6DE61428"/>
    <w:rsid w:val="6DEDE802"/>
    <w:rsid w:val="6DFA9D97"/>
    <w:rsid w:val="6DFCAC24"/>
    <w:rsid w:val="6DFF4782"/>
    <w:rsid w:val="6E0561E0"/>
    <w:rsid w:val="6E14BFDE"/>
    <w:rsid w:val="6E160B85"/>
    <w:rsid w:val="6E2E950F"/>
    <w:rsid w:val="6E3AAF57"/>
    <w:rsid w:val="6E430836"/>
    <w:rsid w:val="6E508DFE"/>
    <w:rsid w:val="6E567E8B"/>
    <w:rsid w:val="6E683059"/>
    <w:rsid w:val="6E6CA52B"/>
    <w:rsid w:val="6E73A045"/>
    <w:rsid w:val="6E787F5A"/>
    <w:rsid w:val="6E92778F"/>
    <w:rsid w:val="6E938B0F"/>
    <w:rsid w:val="6E9626A1"/>
    <w:rsid w:val="6E9FD4F8"/>
    <w:rsid w:val="6EABB059"/>
    <w:rsid w:val="6ECA3B32"/>
    <w:rsid w:val="6ECE48CA"/>
    <w:rsid w:val="6EE612EA"/>
    <w:rsid w:val="6EE661B5"/>
    <w:rsid w:val="6F00FE4C"/>
    <w:rsid w:val="6F034716"/>
    <w:rsid w:val="6F0624B3"/>
    <w:rsid w:val="6F113D84"/>
    <w:rsid w:val="6F15B833"/>
    <w:rsid w:val="6F1A6C0B"/>
    <w:rsid w:val="6F1CC50A"/>
    <w:rsid w:val="6F1CE807"/>
    <w:rsid w:val="6F23A7AF"/>
    <w:rsid w:val="6F28EB62"/>
    <w:rsid w:val="6F2C12A1"/>
    <w:rsid w:val="6F2CA768"/>
    <w:rsid w:val="6F2E70F7"/>
    <w:rsid w:val="6F37073C"/>
    <w:rsid w:val="6F39B3B9"/>
    <w:rsid w:val="6F3B453F"/>
    <w:rsid w:val="6F3D9C24"/>
    <w:rsid w:val="6F47B6EC"/>
    <w:rsid w:val="6F48122F"/>
    <w:rsid w:val="6F50F8F3"/>
    <w:rsid w:val="6F6B3C5B"/>
    <w:rsid w:val="6F713624"/>
    <w:rsid w:val="6F71F073"/>
    <w:rsid w:val="6F7D4194"/>
    <w:rsid w:val="6F9A6A85"/>
    <w:rsid w:val="6F9E96A2"/>
    <w:rsid w:val="6F9EBED9"/>
    <w:rsid w:val="6FA6DCD0"/>
    <w:rsid w:val="6FAD2496"/>
    <w:rsid w:val="6FAEB954"/>
    <w:rsid w:val="6FB50453"/>
    <w:rsid w:val="6FB61A5A"/>
    <w:rsid w:val="6FCD2E94"/>
    <w:rsid w:val="6FDD12AC"/>
    <w:rsid w:val="6FDDD88C"/>
    <w:rsid w:val="6FE848DD"/>
    <w:rsid w:val="6FF1E76E"/>
    <w:rsid w:val="6FF7EA9A"/>
    <w:rsid w:val="6FFC3894"/>
    <w:rsid w:val="6FFDCC3C"/>
    <w:rsid w:val="70064FD6"/>
    <w:rsid w:val="7011C698"/>
    <w:rsid w:val="701D08DC"/>
    <w:rsid w:val="702D39BD"/>
    <w:rsid w:val="7037F40C"/>
    <w:rsid w:val="70520F49"/>
    <w:rsid w:val="70602BD0"/>
    <w:rsid w:val="70767F0F"/>
    <w:rsid w:val="70797086"/>
    <w:rsid w:val="707E9D86"/>
    <w:rsid w:val="70835BAB"/>
    <w:rsid w:val="70844A83"/>
    <w:rsid w:val="708855C5"/>
    <w:rsid w:val="708B0578"/>
    <w:rsid w:val="708F5202"/>
    <w:rsid w:val="708FF7D0"/>
    <w:rsid w:val="7092FF96"/>
    <w:rsid w:val="7094AC91"/>
    <w:rsid w:val="7099BCB1"/>
    <w:rsid w:val="709DE092"/>
    <w:rsid w:val="709FD018"/>
    <w:rsid w:val="70AA7EF1"/>
    <w:rsid w:val="70BD65FF"/>
    <w:rsid w:val="70BDA3BB"/>
    <w:rsid w:val="70CC9C42"/>
    <w:rsid w:val="70D570A0"/>
    <w:rsid w:val="70DF2864"/>
    <w:rsid w:val="70E9BB6E"/>
    <w:rsid w:val="70F222DC"/>
    <w:rsid w:val="70FB2CF9"/>
    <w:rsid w:val="70FBF500"/>
    <w:rsid w:val="70FE9885"/>
    <w:rsid w:val="7106EB27"/>
    <w:rsid w:val="710768C2"/>
    <w:rsid w:val="710E83E7"/>
    <w:rsid w:val="71562E4D"/>
    <w:rsid w:val="71669A1E"/>
    <w:rsid w:val="7167C552"/>
    <w:rsid w:val="7172696D"/>
    <w:rsid w:val="71793B21"/>
    <w:rsid w:val="717D9BAA"/>
    <w:rsid w:val="718EC952"/>
    <w:rsid w:val="71A61429"/>
    <w:rsid w:val="71BE2FE1"/>
    <w:rsid w:val="71CA22C6"/>
    <w:rsid w:val="71D31418"/>
    <w:rsid w:val="71D47CBE"/>
    <w:rsid w:val="71D8C7A1"/>
    <w:rsid w:val="71DDC602"/>
    <w:rsid w:val="71E103D0"/>
    <w:rsid w:val="71F92C49"/>
    <w:rsid w:val="72002EE1"/>
    <w:rsid w:val="7206617D"/>
    <w:rsid w:val="7215ABC0"/>
    <w:rsid w:val="721D0E76"/>
    <w:rsid w:val="721EB902"/>
    <w:rsid w:val="72212175"/>
    <w:rsid w:val="7227E27F"/>
    <w:rsid w:val="722CE38A"/>
    <w:rsid w:val="722EF66E"/>
    <w:rsid w:val="725E4359"/>
    <w:rsid w:val="7263D311"/>
    <w:rsid w:val="7264ED2C"/>
    <w:rsid w:val="7273D39B"/>
    <w:rsid w:val="728245AF"/>
    <w:rsid w:val="72853829"/>
    <w:rsid w:val="72863A4F"/>
    <w:rsid w:val="728877F2"/>
    <w:rsid w:val="728A84D3"/>
    <w:rsid w:val="7291C65D"/>
    <w:rsid w:val="7298CA77"/>
    <w:rsid w:val="72A26731"/>
    <w:rsid w:val="72AE5065"/>
    <w:rsid w:val="72C845E9"/>
    <w:rsid w:val="72CF032F"/>
    <w:rsid w:val="72D7886B"/>
    <w:rsid w:val="72EB83C2"/>
    <w:rsid w:val="72EF9648"/>
    <w:rsid w:val="7303B184"/>
    <w:rsid w:val="7308EE2C"/>
    <w:rsid w:val="731F5875"/>
    <w:rsid w:val="73259955"/>
    <w:rsid w:val="732C9248"/>
    <w:rsid w:val="732CDF4A"/>
    <w:rsid w:val="73615820"/>
    <w:rsid w:val="7362496F"/>
    <w:rsid w:val="73636A4E"/>
    <w:rsid w:val="73679AB4"/>
    <w:rsid w:val="736B0D51"/>
    <w:rsid w:val="7372B4B9"/>
    <w:rsid w:val="7382758F"/>
    <w:rsid w:val="7382AFD3"/>
    <w:rsid w:val="739D2CC3"/>
    <w:rsid w:val="73CECF4B"/>
    <w:rsid w:val="73D4DAC2"/>
    <w:rsid w:val="73D8A3E7"/>
    <w:rsid w:val="73DB3CE0"/>
    <w:rsid w:val="74006C5D"/>
    <w:rsid w:val="7403CB40"/>
    <w:rsid w:val="7429E71B"/>
    <w:rsid w:val="7442E912"/>
    <w:rsid w:val="74449159"/>
    <w:rsid w:val="744BD353"/>
    <w:rsid w:val="744F24BD"/>
    <w:rsid w:val="74569E18"/>
    <w:rsid w:val="748D291C"/>
    <w:rsid w:val="7496B6A9"/>
    <w:rsid w:val="7497B696"/>
    <w:rsid w:val="749FA953"/>
    <w:rsid w:val="74ADD0CF"/>
    <w:rsid w:val="74B7D1F9"/>
    <w:rsid w:val="74C5BB71"/>
    <w:rsid w:val="74C620E1"/>
    <w:rsid w:val="74CB2EC0"/>
    <w:rsid w:val="74CBDEDE"/>
    <w:rsid w:val="74CBF45C"/>
    <w:rsid w:val="74EAD6AB"/>
    <w:rsid w:val="74F20333"/>
    <w:rsid w:val="74F5D0A3"/>
    <w:rsid w:val="75084B34"/>
    <w:rsid w:val="751CCFAA"/>
    <w:rsid w:val="752E0162"/>
    <w:rsid w:val="752EAF6C"/>
    <w:rsid w:val="752ECB0A"/>
    <w:rsid w:val="753295FB"/>
    <w:rsid w:val="7536F2DD"/>
    <w:rsid w:val="7543EFA7"/>
    <w:rsid w:val="755B387E"/>
    <w:rsid w:val="7560E945"/>
    <w:rsid w:val="756EAAF0"/>
    <w:rsid w:val="758EEBB4"/>
    <w:rsid w:val="75909F22"/>
    <w:rsid w:val="75A3F17A"/>
    <w:rsid w:val="75A6BA4B"/>
    <w:rsid w:val="75B9A30B"/>
    <w:rsid w:val="75C46A85"/>
    <w:rsid w:val="75CB7B60"/>
    <w:rsid w:val="75DD56C9"/>
    <w:rsid w:val="75E89219"/>
    <w:rsid w:val="75EDF079"/>
    <w:rsid w:val="75F65B14"/>
    <w:rsid w:val="762D78A5"/>
    <w:rsid w:val="76357E1C"/>
    <w:rsid w:val="764A3458"/>
    <w:rsid w:val="76503A66"/>
    <w:rsid w:val="76529E62"/>
    <w:rsid w:val="765DBAC3"/>
    <w:rsid w:val="76799A2F"/>
    <w:rsid w:val="767A3239"/>
    <w:rsid w:val="76862CC9"/>
    <w:rsid w:val="7690B77B"/>
    <w:rsid w:val="76933BFF"/>
    <w:rsid w:val="769ED8FE"/>
    <w:rsid w:val="76A3BA6F"/>
    <w:rsid w:val="76A4B4DA"/>
    <w:rsid w:val="76A76432"/>
    <w:rsid w:val="76C1B85C"/>
    <w:rsid w:val="76C28EDD"/>
    <w:rsid w:val="76C42E2C"/>
    <w:rsid w:val="76DAB0D6"/>
    <w:rsid w:val="76DE453D"/>
    <w:rsid w:val="76EEBD5E"/>
    <w:rsid w:val="76EFA6B9"/>
    <w:rsid w:val="76F5CDD9"/>
    <w:rsid w:val="77028C59"/>
    <w:rsid w:val="770F59C6"/>
    <w:rsid w:val="7716F58F"/>
    <w:rsid w:val="771996F2"/>
    <w:rsid w:val="771F3DA7"/>
    <w:rsid w:val="771F471B"/>
    <w:rsid w:val="7723420E"/>
    <w:rsid w:val="7739299B"/>
    <w:rsid w:val="773C411C"/>
    <w:rsid w:val="773EFDF2"/>
    <w:rsid w:val="773F4BF4"/>
    <w:rsid w:val="7753133D"/>
    <w:rsid w:val="77561958"/>
    <w:rsid w:val="77574F81"/>
    <w:rsid w:val="77665979"/>
    <w:rsid w:val="77668EC7"/>
    <w:rsid w:val="7777AE88"/>
    <w:rsid w:val="77854EBD"/>
    <w:rsid w:val="77942ADF"/>
    <w:rsid w:val="77AA5FB3"/>
    <w:rsid w:val="77B93F31"/>
    <w:rsid w:val="77CAE6F4"/>
    <w:rsid w:val="77CF036F"/>
    <w:rsid w:val="77D54666"/>
    <w:rsid w:val="77DBBD5A"/>
    <w:rsid w:val="77E31D22"/>
    <w:rsid w:val="77E493D3"/>
    <w:rsid w:val="77ED287A"/>
    <w:rsid w:val="782637EE"/>
    <w:rsid w:val="78281CB6"/>
    <w:rsid w:val="784BC82B"/>
    <w:rsid w:val="784FE46D"/>
    <w:rsid w:val="7869E5DA"/>
    <w:rsid w:val="7870E9DB"/>
    <w:rsid w:val="78902507"/>
    <w:rsid w:val="7891F7C7"/>
    <w:rsid w:val="78928D23"/>
    <w:rsid w:val="78AD44AB"/>
    <w:rsid w:val="78B07273"/>
    <w:rsid w:val="78B490E7"/>
    <w:rsid w:val="78BCE192"/>
    <w:rsid w:val="78C7BCD4"/>
    <w:rsid w:val="78C93209"/>
    <w:rsid w:val="78C9FC47"/>
    <w:rsid w:val="78D268B5"/>
    <w:rsid w:val="78D61DF7"/>
    <w:rsid w:val="78F351A2"/>
    <w:rsid w:val="78F4B1D7"/>
    <w:rsid w:val="79088D58"/>
    <w:rsid w:val="79182C98"/>
    <w:rsid w:val="791D1497"/>
    <w:rsid w:val="79238B2A"/>
    <w:rsid w:val="7924F1C0"/>
    <w:rsid w:val="79283CE7"/>
    <w:rsid w:val="79421BFF"/>
    <w:rsid w:val="794E50E6"/>
    <w:rsid w:val="79510A36"/>
    <w:rsid w:val="7951E462"/>
    <w:rsid w:val="79638417"/>
    <w:rsid w:val="7973F077"/>
    <w:rsid w:val="797818A9"/>
    <w:rsid w:val="797D672A"/>
    <w:rsid w:val="798DF9CB"/>
    <w:rsid w:val="798FF3A8"/>
    <w:rsid w:val="799FBCB1"/>
    <w:rsid w:val="79A967FB"/>
    <w:rsid w:val="79AD1053"/>
    <w:rsid w:val="79C03B5B"/>
    <w:rsid w:val="79C58178"/>
    <w:rsid w:val="79CF67E9"/>
    <w:rsid w:val="79D533C0"/>
    <w:rsid w:val="79D577AF"/>
    <w:rsid w:val="79D6F89B"/>
    <w:rsid w:val="79DAD4D4"/>
    <w:rsid w:val="79DC6032"/>
    <w:rsid w:val="79E54A39"/>
    <w:rsid w:val="79F35D93"/>
    <w:rsid w:val="79F5D01D"/>
    <w:rsid w:val="79F7A183"/>
    <w:rsid w:val="79FE057F"/>
    <w:rsid w:val="7A002BA4"/>
    <w:rsid w:val="7A0573C3"/>
    <w:rsid w:val="7A28EF5C"/>
    <w:rsid w:val="7A2A1939"/>
    <w:rsid w:val="7A329821"/>
    <w:rsid w:val="7A3C94E5"/>
    <w:rsid w:val="7A480EC0"/>
    <w:rsid w:val="7A4C9B42"/>
    <w:rsid w:val="7A775228"/>
    <w:rsid w:val="7A856BE9"/>
    <w:rsid w:val="7A9CB6BA"/>
    <w:rsid w:val="7A9F2F10"/>
    <w:rsid w:val="7AA4D8F5"/>
    <w:rsid w:val="7AB0E5F0"/>
    <w:rsid w:val="7AB2B519"/>
    <w:rsid w:val="7AB40438"/>
    <w:rsid w:val="7AB88DF7"/>
    <w:rsid w:val="7ABE3DAC"/>
    <w:rsid w:val="7AC54ED1"/>
    <w:rsid w:val="7AC8D1DE"/>
    <w:rsid w:val="7ACD910C"/>
    <w:rsid w:val="7ADA3741"/>
    <w:rsid w:val="7ADBB784"/>
    <w:rsid w:val="7ADF131D"/>
    <w:rsid w:val="7AE318A7"/>
    <w:rsid w:val="7AE3CDE0"/>
    <w:rsid w:val="7AE64A07"/>
    <w:rsid w:val="7AFE1847"/>
    <w:rsid w:val="7B051565"/>
    <w:rsid w:val="7B05EF5C"/>
    <w:rsid w:val="7B06E042"/>
    <w:rsid w:val="7B0BF45D"/>
    <w:rsid w:val="7B16231E"/>
    <w:rsid w:val="7B1EE68C"/>
    <w:rsid w:val="7B287E6F"/>
    <w:rsid w:val="7B2BCF50"/>
    <w:rsid w:val="7B2E49AF"/>
    <w:rsid w:val="7B300191"/>
    <w:rsid w:val="7B3570C4"/>
    <w:rsid w:val="7B3BA4FF"/>
    <w:rsid w:val="7B4B3046"/>
    <w:rsid w:val="7B60B590"/>
    <w:rsid w:val="7B72C5B0"/>
    <w:rsid w:val="7B7AA314"/>
    <w:rsid w:val="7B82D2FB"/>
    <w:rsid w:val="7B876A79"/>
    <w:rsid w:val="7B98E082"/>
    <w:rsid w:val="7B9D8087"/>
    <w:rsid w:val="7B9F0719"/>
    <w:rsid w:val="7BAECF00"/>
    <w:rsid w:val="7BB21A24"/>
    <w:rsid w:val="7BB55CD4"/>
    <w:rsid w:val="7BC0E53D"/>
    <w:rsid w:val="7BCA298B"/>
    <w:rsid w:val="7BCB9822"/>
    <w:rsid w:val="7BCBC3FE"/>
    <w:rsid w:val="7BD355D9"/>
    <w:rsid w:val="7BDA4C16"/>
    <w:rsid w:val="7BE8A0DE"/>
    <w:rsid w:val="7BEEFC41"/>
    <w:rsid w:val="7BF6380B"/>
    <w:rsid w:val="7BF6839E"/>
    <w:rsid w:val="7BFADFBE"/>
    <w:rsid w:val="7BFAE4E1"/>
    <w:rsid w:val="7C014994"/>
    <w:rsid w:val="7C018D84"/>
    <w:rsid w:val="7C06B18A"/>
    <w:rsid w:val="7C090452"/>
    <w:rsid w:val="7C13C3CB"/>
    <w:rsid w:val="7C19AF38"/>
    <w:rsid w:val="7C1E25BB"/>
    <w:rsid w:val="7C23E14A"/>
    <w:rsid w:val="7C23F60E"/>
    <w:rsid w:val="7C3976C1"/>
    <w:rsid w:val="7C3C516C"/>
    <w:rsid w:val="7C599807"/>
    <w:rsid w:val="7C678C05"/>
    <w:rsid w:val="7C6ABA64"/>
    <w:rsid w:val="7C799D6F"/>
    <w:rsid w:val="7C870FB5"/>
    <w:rsid w:val="7C96B216"/>
    <w:rsid w:val="7CA30F0F"/>
    <w:rsid w:val="7CB4BE45"/>
    <w:rsid w:val="7CBA8A60"/>
    <w:rsid w:val="7CBDADBE"/>
    <w:rsid w:val="7CC03BC5"/>
    <w:rsid w:val="7CCA65A5"/>
    <w:rsid w:val="7CD789E6"/>
    <w:rsid w:val="7CD79C92"/>
    <w:rsid w:val="7CD8B276"/>
    <w:rsid w:val="7CDDD686"/>
    <w:rsid w:val="7CFC73A4"/>
    <w:rsid w:val="7CFEBAA2"/>
    <w:rsid w:val="7D0708AB"/>
    <w:rsid w:val="7D08B017"/>
    <w:rsid w:val="7D1E5A96"/>
    <w:rsid w:val="7D1E633C"/>
    <w:rsid w:val="7D28437C"/>
    <w:rsid w:val="7D30B868"/>
    <w:rsid w:val="7D30C2EF"/>
    <w:rsid w:val="7D318C27"/>
    <w:rsid w:val="7D32E1F6"/>
    <w:rsid w:val="7D33786F"/>
    <w:rsid w:val="7D39AD20"/>
    <w:rsid w:val="7D4C6653"/>
    <w:rsid w:val="7D50FAD6"/>
    <w:rsid w:val="7D690FBA"/>
    <w:rsid w:val="7D747F46"/>
    <w:rsid w:val="7D79EAEC"/>
    <w:rsid w:val="7D814B6C"/>
    <w:rsid w:val="7D8C4C72"/>
    <w:rsid w:val="7D918D44"/>
    <w:rsid w:val="7DA07DC7"/>
    <w:rsid w:val="7DB27C9C"/>
    <w:rsid w:val="7DD7A0AD"/>
    <w:rsid w:val="7DDD2288"/>
    <w:rsid w:val="7DDEF805"/>
    <w:rsid w:val="7DE9EFCD"/>
    <w:rsid w:val="7DF1AD92"/>
    <w:rsid w:val="7DF205EC"/>
    <w:rsid w:val="7E151C3A"/>
    <w:rsid w:val="7E157C06"/>
    <w:rsid w:val="7E193D0C"/>
    <w:rsid w:val="7E21FFED"/>
    <w:rsid w:val="7E2A63DD"/>
    <w:rsid w:val="7E3D5BD9"/>
    <w:rsid w:val="7E4FF8A3"/>
    <w:rsid w:val="7E53BEDE"/>
    <w:rsid w:val="7E5915A6"/>
    <w:rsid w:val="7E5C361F"/>
    <w:rsid w:val="7E71FFC8"/>
    <w:rsid w:val="7E723B6A"/>
    <w:rsid w:val="7E8B00C5"/>
    <w:rsid w:val="7E92A3AA"/>
    <w:rsid w:val="7E948622"/>
    <w:rsid w:val="7E9A2A0D"/>
    <w:rsid w:val="7EA04A74"/>
    <w:rsid w:val="7EA2D90C"/>
    <w:rsid w:val="7EA31E2C"/>
    <w:rsid w:val="7EA4DBEA"/>
    <w:rsid w:val="7EB617B4"/>
    <w:rsid w:val="7ECC4C21"/>
    <w:rsid w:val="7EE33F1A"/>
    <w:rsid w:val="7F003F7E"/>
    <w:rsid w:val="7F08A792"/>
    <w:rsid w:val="7F112A4C"/>
    <w:rsid w:val="7F172654"/>
    <w:rsid w:val="7F1AE405"/>
    <w:rsid w:val="7F1DE412"/>
    <w:rsid w:val="7F26FDCD"/>
    <w:rsid w:val="7F31E0E4"/>
    <w:rsid w:val="7F3994A3"/>
    <w:rsid w:val="7F3A6DDE"/>
    <w:rsid w:val="7F3BE9B9"/>
    <w:rsid w:val="7F58AA55"/>
    <w:rsid w:val="7F5C7C6B"/>
    <w:rsid w:val="7F5FD3B9"/>
    <w:rsid w:val="7F66E7CF"/>
    <w:rsid w:val="7F682D9D"/>
    <w:rsid w:val="7F6DD741"/>
    <w:rsid w:val="7F6EE1AA"/>
    <w:rsid w:val="7F75D07B"/>
    <w:rsid w:val="7F774D7F"/>
    <w:rsid w:val="7F7E74EC"/>
    <w:rsid w:val="7F888133"/>
    <w:rsid w:val="7F8C3284"/>
    <w:rsid w:val="7F921080"/>
    <w:rsid w:val="7F9D91BB"/>
    <w:rsid w:val="7FA23AC0"/>
    <w:rsid w:val="7FAE6EDA"/>
    <w:rsid w:val="7FBE69DE"/>
    <w:rsid w:val="7FC34C95"/>
    <w:rsid w:val="7FD15E7B"/>
    <w:rsid w:val="7FDEB401"/>
    <w:rsid w:val="7FE7D299"/>
    <w:rsid w:val="7FFC353D"/>
    <w:rsid w:val="7FFE218A"/>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3EB1CA2"/>
  <w15:chartTrackingRefBased/>
  <w15:docId w15:val="{1D6854A1-12EA-4F25-ADB0-B4DCDE2E6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 w:eastAsia="en-I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2627"/>
    <w:rPr>
      <w:rFonts w:ascii="Calibri" w:eastAsia="Calibri" w:hAnsi="Calibri" w:cs="Myanmar Text"/>
    </w:rPr>
  </w:style>
  <w:style w:type="paragraph" w:styleId="Heading1">
    <w:name w:val="heading 1"/>
    <w:basedOn w:val="Normal"/>
    <w:next w:val="Text1"/>
    <w:link w:val="Heading1Char"/>
    <w:uiPriority w:val="9"/>
    <w:qFormat/>
    <w:rsid w:val="007B4D63"/>
    <w:pPr>
      <w:keepNext/>
      <w:numPr>
        <w:numId w:val="9"/>
      </w:numPr>
      <w:tabs>
        <w:tab w:val="clear" w:pos="850"/>
        <w:tab w:val="num" w:pos="1984"/>
      </w:tabs>
      <w:spacing w:before="360" w:after="120" w:line="240" w:lineRule="auto"/>
      <w:ind w:left="1984" w:hanging="567"/>
      <w:jc w:val="both"/>
      <w:outlineLvl w:val="0"/>
    </w:pPr>
    <w:rPr>
      <w:rFonts w:ascii="Times New Roman" w:eastAsia="Times New Roman" w:hAnsi="Times New Roman" w:cs="Times New Roman"/>
      <w:b/>
      <w:bCs/>
      <w:smallCaps/>
      <w:sz w:val="24"/>
      <w:szCs w:val="28"/>
    </w:rPr>
  </w:style>
  <w:style w:type="paragraph" w:styleId="Heading2">
    <w:name w:val="heading 2"/>
    <w:basedOn w:val="Normal"/>
    <w:next w:val="Text1"/>
    <w:link w:val="Heading2Char"/>
    <w:uiPriority w:val="9"/>
    <w:unhideWhenUsed/>
    <w:qFormat/>
    <w:rsid w:val="007B4D63"/>
    <w:pPr>
      <w:keepNext/>
      <w:numPr>
        <w:ilvl w:val="1"/>
        <w:numId w:val="9"/>
      </w:numPr>
      <w:tabs>
        <w:tab w:val="clear" w:pos="850"/>
        <w:tab w:val="num" w:pos="1984"/>
      </w:tabs>
      <w:spacing w:before="120" w:after="120" w:line="240" w:lineRule="auto"/>
      <w:ind w:left="1984" w:hanging="567"/>
      <w:jc w:val="both"/>
      <w:outlineLvl w:val="1"/>
    </w:pPr>
    <w:rPr>
      <w:rFonts w:ascii="Times New Roman" w:eastAsia="Times New Roman" w:hAnsi="Times New Roman" w:cs="Times New Roman"/>
      <w:b/>
      <w:bCs/>
      <w:sz w:val="24"/>
      <w:szCs w:val="26"/>
    </w:rPr>
  </w:style>
  <w:style w:type="paragraph" w:styleId="Heading3">
    <w:name w:val="heading 3"/>
    <w:basedOn w:val="Normal"/>
    <w:next w:val="Text1"/>
    <w:link w:val="Heading3Char"/>
    <w:uiPriority w:val="9"/>
    <w:unhideWhenUsed/>
    <w:qFormat/>
    <w:rsid w:val="007B4D63"/>
    <w:pPr>
      <w:keepNext/>
      <w:numPr>
        <w:ilvl w:val="2"/>
        <w:numId w:val="9"/>
      </w:numPr>
      <w:tabs>
        <w:tab w:val="clear" w:pos="850"/>
        <w:tab w:val="num" w:pos="1984"/>
      </w:tabs>
      <w:spacing w:before="120" w:after="120" w:line="240" w:lineRule="auto"/>
      <w:ind w:left="1984" w:hanging="567"/>
      <w:jc w:val="both"/>
      <w:outlineLvl w:val="2"/>
    </w:pPr>
    <w:rPr>
      <w:rFonts w:ascii="Times New Roman" w:eastAsia="Times New Roman" w:hAnsi="Times New Roman" w:cs="Times New Roman"/>
      <w:bCs/>
      <w:i/>
      <w:sz w:val="24"/>
    </w:rPr>
  </w:style>
  <w:style w:type="paragraph" w:styleId="Heading4">
    <w:name w:val="heading 4"/>
    <w:basedOn w:val="Text1"/>
    <w:next w:val="Text1"/>
    <w:link w:val="Heading4Char"/>
    <w:uiPriority w:val="9"/>
    <w:unhideWhenUsed/>
    <w:qFormat/>
    <w:rsid w:val="00645BC7"/>
    <w:pPr>
      <w:ind w:left="680" w:firstLine="6"/>
      <w:outlineLvl w:val="3"/>
    </w:pPr>
    <w:rPr>
      <w:b/>
      <w:bCs/>
    </w:rPr>
  </w:style>
  <w:style w:type="paragraph" w:styleId="Heading5">
    <w:name w:val="heading 5"/>
    <w:basedOn w:val="Normal"/>
    <w:next w:val="Normal"/>
    <w:link w:val="Heading5Char"/>
    <w:uiPriority w:val="9"/>
    <w:unhideWhenUsed/>
    <w:qFormat/>
    <w:rsid w:val="00645BC7"/>
    <w:pPr>
      <w:keepNext/>
      <w:keepLines/>
      <w:spacing w:before="40" w:after="0" w:line="240" w:lineRule="auto"/>
      <w:jc w:val="both"/>
      <w:outlineLvl w:val="4"/>
    </w:pPr>
    <w:rPr>
      <w:rFonts w:ascii="Cambria" w:eastAsia="Times New Roman" w:hAnsi="Cambria"/>
      <w:color w:val="365F91"/>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5BC7"/>
    <w:rPr>
      <w:rFonts w:ascii="Times New Roman" w:eastAsia="Times New Roman" w:hAnsi="Times New Roman" w:cs="Times New Roman"/>
      <w:b/>
      <w:bCs/>
      <w:smallCaps/>
      <w:sz w:val="24"/>
      <w:szCs w:val="28"/>
    </w:rPr>
  </w:style>
  <w:style w:type="character" w:customStyle="1" w:styleId="Heading2Char">
    <w:name w:val="Heading 2 Char"/>
    <w:basedOn w:val="DefaultParagraphFont"/>
    <w:link w:val="Heading2"/>
    <w:uiPriority w:val="9"/>
    <w:rsid w:val="00645BC7"/>
    <w:rPr>
      <w:rFonts w:ascii="Times New Roman" w:eastAsia="Times New Roman" w:hAnsi="Times New Roman" w:cs="Times New Roman"/>
      <w:b/>
      <w:bCs/>
      <w:sz w:val="24"/>
      <w:szCs w:val="26"/>
    </w:rPr>
  </w:style>
  <w:style w:type="character" w:customStyle="1" w:styleId="Heading3Char">
    <w:name w:val="Heading 3 Char"/>
    <w:basedOn w:val="DefaultParagraphFont"/>
    <w:link w:val="Heading3"/>
    <w:uiPriority w:val="9"/>
    <w:rsid w:val="00645BC7"/>
    <w:rPr>
      <w:rFonts w:ascii="Times New Roman" w:eastAsia="Times New Roman" w:hAnsi="Times New Roman" w:cs="Times New Roman"/>
      <w:bCs/>
      <w:i/>
      <w:sz w:val="24"/>
    </w:rPr>
  </w:style>
  <w:style w:type="character" w:customStyle="1" w:styleId="Heading4Char">
    <w:name w:val="Heading 4 Char"/>
    <w:basedOn w:val="DefaultParagraphFont"/>
    <w:link w:val="Heading4"/>
    <w:uiPriority w:val="9"/>
    <w:rsid w:val="00645BC7"/>
    <w:rPr>
      <w:rFonts w:ascii="Times New Roman" w:eastAsia="Calibri" w:hAnsi="Times New Roman" w:cs="Times New Roman"/>
      <w:b/>
      <w:bCs/>
      <w:sz w:val="24"/>
    </w:rPr>
  </w:style>
  <w:style w:type="character" w:customStyle="1" w:styleId="Heading5Char">
    <w:name w:val="Heading 5 Char"/>
    <w:basedOn w:val="DefaultParagraphFont"/>
    <w:link w:val="Heading5"/>
    <w:uiPriority w:val="9"/>
    <w:rsid w:val="00645BC7"/>
    <w:rPr>
      <w:rFonts w:ascii="Cambria" w:eastAsia="Times New Roman" w:hAnsi="Cambria" w:cs="Myanmar Text"/>
      <w:color w:val="365F91"/>
      <w:sz w:val="24"/>
    </w:rPr>
  </w:style>
  <w:style w:type="numbering" w:customStyle="1" w:styleId="NoList1">
    <w:name w:val="No List1"/>
    <w:next w:val="NoList"/>
    <w:uiPriority w:val="99"/>
    <w:semiHidden/>
    <w:unhideWhenUsed/>
    <w:rsid w:val="00645BC7"/>
  </w:style>
  <w:style w:type="paragraph" w:styleId="Header">
    <w:name w:val="header"/>
    <w:basedOn w:val="Normal"/>
    <w:link w:val="HeaderChar"/>
    <w:uiPriority w:val="99"/>
    <w:unhideWhenUsed/>
    <w:rsid w:val="00645BC7"/>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sid w:val="00645BC7"/>
    <w:rPr>
      <w:rFonts w:ascii="Times New Roman" w:eastAsia="Calibri" w:hAnsi="Times New Roman" w:cs="Times New Roman"/>
      <w:sz w:val="24"/>
    </w:rPr>
  </w:style>
  <w:style w:type="paragraph" w:styleId="Footer">
    <w:name w:val="footer"/>
    <w:basedOn w:val="Normal"/>
    <w:link w:val="FooterChar"/>
    <w:uiPriority w:val="99"/>
    <w:unhideWhenUsed/>
    <w:rsid w:val="00645BC7"/>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sid w:val="00645BC7"/>
    <w:rPr>
      <w:rFonts w:ascii="Times New Roman" w:eastAsia="Calibri" w:hAnsi="Times New Roman" w:cs="Times New Roman"/>
      <w:sz w:val="24"/>
    </w:rPr>
  </w:style>
  <w:style w:type="paragraph" w:styleId="FootnoteText">
    <w:name w:val="footnote text"/>
    <w:basedOn w:val="Normal"/>
    <w:link w:val="FootnoteTextChar"/>
    <w:uiPriority w:val="99"/>
    <w:unhideWhenUsed/>
    <w:rsid w:val="006E0EA2"/>
    <w:pPr>
      <w:spacing w:after="0" w:line="240" w:lineRule="auto"/>
      <w:ind w:left="720" w:hanging="720"/>
      <w:jc w:val="both"/>
    </w:pPr>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rsid w:val="00645BC7"/>
    <w:rPr>
      <w:rFonts w:ascii="Times New Roman" w:eastAsia="Calibri" w:hAnsi="Times New Roman" w:cs="Times New Roman"/>
      <w:sz w:val="20"/>
      <w:szCs w:val="20"/>
    </w:rPr>
  </w:style>
  <w:style w:type="paragraph" w:styleId="TOCHeading">
    <w:name w:val="TOC Heading"/>
    <w:basedOn w:val="Normal"/>
    <w:next w:val="Normal"/>
    <w:uiPriority w:val="39"/>
    <w:semiHidden/>
    <w:unhideWhenUsed/>
    <w:qFormat/>
    <w:rsid w:val="00645BC7"/>
    <w:pPr>
      <w:spacing w:before="120" w:after="240" w:line="240" w:lineRule="auto"/>
      <w:jc w:val="center"/>
    </w:pPr>
    <w:rPr>
      <w:rFonts w:ascii="Times New Roman" w:hAnsi="Times New Roman" w:cs="Times New Roman"/>
      <w:b/>
      <w:sz w:val="28"/>
    </w:rPr>
  </w:style>
  <w:style w:type="paragraph" w:styleId="TOC1">
    <w:name w:val="toc 1"/>
    <w:basedOn w:val="Normal"/>
    <w:next w:val="Normal"/>
    <w:uiPriority w:val="39"/>
    <w:semiHidden/>
    <w:unhideWhenUsed/>
    <w:rsid w:val="00645BC7"/>
    <w:pPr>
      <w:tabs>
        <w:tab w:val="right" w:leader="dot" w:pos="9071"/>
      </w:tabs>
      <w:spacing w:before="60" w:after="120" w:line="240" w:lineRule="auto"/>
      <w:ind w:left="850" w:hanging="850"/>
    </w:pPr>
    <w:rPr>
      <w:rFonts w:ascii="Times New Roman" w:hAnsi="Times New Roman" w:cs="Times New Roman"/>
      <w:sz w:val="24"/>
    </w:rPr>
  </w:style>
  <w:style w:type="paragraph" w:styleId="TOC2">
    <w:name w:val="toc 2"/>
    <w:basedOn w:val="Normal"/>
    <w:next w:val="Normal"/>
    <w:uiPriority w:val="39"/>
    <w:semiHidden/>
    <w:unhideWhenUsed/>
    <w:rsid w:val="00645BC7"/>
    <w:pPr>
      <w:tabs>
        <w:tab w:val="right" w:leader="dot" w:pos="9071"/>
      </w:tabs>
      <w:spacing w:before="60" w:after="120" w:line="240" w:lineRule="auto"/>
      <w:ind w:left="850" w:hanging="850"/>
    </w:pPr>
    <w:rPr>
      <w:rFonts w:ascii="Times New Roman" w:hAnsi="Times New Roman" w:cs="Times New Roman"/>
      <w:sz w:val="24"/>
    </w:rPr>
  </w:style>
  <w:style w:type="paragraph" w:styleId="TOC3">
    <w:name w:val="toc 3"/>
    <w:basedOn w:val="Normal"/>
    <w:next w:val="Normal"/>
    <w:uiPriority w:val="39"/>
    <w:semiHidden/>
    <w:unhideWhenUsed/>
    <w:rsid w:val="00645BC7"/>
    <w:pPr>
      <w:tabs>
        <w:tab w:val="right" w:leader="dot" w:pos="9071"/>
      </w:tabs>
      <w:spacing w:before="60" w:after="120" w:line="240" w:lineRule="auto"/>
      <w:ind w:left="850" w:hanging="850"/>
    </w:pPr>
    <w:rPr>
      <w:rFonts w:ascii="Times New Roman" w:hAnsi="Times New Roman" w:cs="Times New Roman"/>
      <w:sz w:val="24"/>
    </w:rPr>
  </w:style>
  <w:style w:type="paragraph" w:styleId="TOC4">
    <w:name w:val="toc 4"/>
    <w:basedOn w:val="Normal"/>
    <w:next w:val="Normal"/>
    <w:uiPriority w:val="39"/>
    <w:semiHidden/>
    <w:unhideWhenUsed/>
    <w:rsid w:val="00645BC7"/>
    <w:pPr>
      <w:tabs>
        <w:tab w:val="right" w:leader="dot" w:pos="9071"/>
      </w:tabs>
      <w:spacing w:before="60" w:after="120" w:line="240" w:lineRule="auto"/>
      <w:ind w:left="850" w:hanging="850"/>
    </w:pPr>
    <w:rPr>
      <w:rFonts w:ascii="Times New Roman" w:hAnsi="Times New Roman" w:cs="Times New Roman"/>
      <w:sz w:val="24"/>
    </w:rPr>
  </w:style>
  <w:style w:type="paragraph" w:styleId="TOC5">
    <w:name w:val="toc 5"/>
    <w:basedOn w:val="Normal"/>
    <w:next w:val="Normal"/>
    <w:uiPriority w:val="39"/>
    <w:semiHidden/>
    <w:unhideWhenUsed/>
    <w:rsid w:val="00645BC7"/>
    <w:pPr>
      <w:tabs>
        <w:tab w:val="right" w:leader="dot" w:pos="9071"/>
      </w:tabs>
      <w:spacing w:before="300" w:after="120" w:line="240" w:lineRule="auto"/>
    </w:pPr>
    <w:rPr>
      <w:rFonts w:ascii="Times New Roman" w:hAnsi="Times New Roman" w:cs="Times New Roman"/>
      <w:sz w:val="24"/>
    </w:rPr>
  </w:style>
  <w:style w:type="paragraph" w:styleId="TOC6">
    <w:name w:val="toc 6"/>
    <w:basedOn w:val="Normal"/>
    <w:next w:val="Normal"/>
    <w:uiPriority w:val="39"/>
    <w:semiHidden/>
    <w:unhideWhenUsed/>
    <w:rsid w:val="00645BC7"/>
    <w:pPr>
      <w:tabs>
        <w:tab w:val="right" w:leader="dot" w:pos="9071"/>
      </w:tabs>
      <w:spacing w:before="240" w:after="120" w:line="240" w:lineRule="auto"/>
    </w:pPr>
    <w:rPr>
      <w:rFonts w:ascii="Times New Roman" w:hAnsi="Times New Roman" w:cs="Times New Roman"/>
      <w:sz w:val="24"/>
    </w:rPr>
  </w:style>
  <w:style w:type="paragraph" w:styleId="TOC7">
    <w:name w:val="toc 7"/>
    <w:basedOn w:val="Normal"/>
    <w:next w:val="Normal"/>
    <w:uiPriority w:val="39"/>
    <w:semiHidden/>
    <w:unhideWhenUsed/>
    <w:rsid w:val="00645BC7"/>
    <w:pPr>
      <w:tabs>
        <w:tab w:val="right" w:leader="dot" w:pos="9071"/>
      </w:tabs>
      <w:spacing w:before="180" w:after="120" w:line="240" w:lineRule="auto"/>
    </w:pPr>
    <w:rPr>
      <w:rFonts w:ascii="Times New Roman" w:hAnsi="Times New Roman" w:cs="Times New Roman"/>
      <w:sz w:val="24"/>
    </w:rPr>
  </w:style>
  <w:style w:type="paragraph" w:styleId="TOC8">
    <w:name w:val="toc 8"/>
    <w:basedOn w:val="Normal"/>
    <w:next w:val="Normal"/>
    <w:uiPriority w:val="39"/>
    <w:semiHidden/>
    <w:unhideWhenUsed/>
    <w:rsid w:val="00645BC7"/>
    <w:pPr>
      <w:tabs>
        <w:tab w:val="right" w:leader="dot" w:pos="9071"/>
      </w:tabs>
      <w:spacing w:before="120" w:after="120" w:line="240" w:lineRule="auto"/>
    </w:pPr>
    <w:rPr>
      <w:rFonts w:ascii="Times New Roman" w:hAnsi="Times New Roman" w:cs="Times New Roman"/>
      <w:sz w:val="24"/>
    </w:rPr>
  </w:style>
  <w:style w:type="paragraph" w:styleId="TOC9">
    <w:name w:val="toc 9"/>
    <w:basedOn w:val="Normal"/>
    <w:next w:val="Normal"/>
    <w:uiPriority w:val="39"/>
    <w:semiHidden/>
    <w:unhideWhenUsed/>
    <w:rsid w:val="00645BC7"/>
    <w:pPr>
      <w:tabs>
        <w:tab w:val="right" w:leader="dot" w:pos="9071"/>
      </w:tabs>
      <w:spacing w:before="120" w:after="120" w:line="240" w:lineRule="auto"/>
      <w:jc w:val="both"/>
    </w:pPr>
    <w:rPr>
      <w:rFonts w:ascii="Times New Roman" w:hAnsi="Times New Roman" w:cs="Times New Roman"/>
      <w:sz w:val="24"/>
    </w:rPr>
  </w:style>
  <w:style w:type="paragraph" w:customStyle="1" w:styleId="HeaderLandscape">
    <w:name w:val="HeaderLandscape"/>
    <w:basedOn w:val="Normal"/>
    <w:rsid w:val="00645BC7"/>
    <w:pPr>
      <w:tabs>
        <w:tab w:val="center" w:pos="7285"/>
        <w:tab w:val="right" w:pos="14003"/>
      </w:tabs>
      <w:spacing w:after="120" w:line="240" w:lineRule="auto"/>
      <w:jc w:val="both"/>
    </w:pPr>
    <w:rPr>
      <w:rFonts w:ascii="Times New Roman" w:hAnsi="Times New Roman" w:cs="Times New Roman"/>
      <w:sz w:val="24"/>
    </w:rPr>
  </w:style>
  <w:style w:type="paragraph" w:customStyle="1" w:styleId="FooterLandscape">
    <w:name w:val="FooterLandscape"/>
    <w:basedOn w:val="Normal"/>
    <w:rsid w:val="00645BC7"/>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character" w:styleId="FootnoteReference">
    <w:name w:val="footnote reference"/>
    <w:uiPriority w:val="99"/>
    <w:unhideWhenUsed/>
    <w:rsid w:val="006E0EA2"/>
    <w:rPr>
      <w:shd w:val="clear" w:color="auto" w:fill="auto"/>
      <w:vertAlign w:val="superscript"/>
    </w:rPr>
  </w:style>
  <w:style w:type="paragraph" w:customStyle="1" w:styleId="HeaderSensitivity">
    <w:name w:val="Header Sensitivity"/>
    <w:basedOn w:val="Normal"/>
    <w:rsid w:val="00645BC7"/>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HeaderSensitivityRight">
    <w:name w:val="Header Sensitivity Right"/>
    <w:basedOn w:val="Normal"/>
    <w:rsid w:val="00CF7AB7"/>
    <w:pPr>
      <w:spacing w:after="120" w:line="240" w:lineRule="auto"/>
      <w:jc w:val="right"/>
    </w:pPr>
    <w:rPr>
      <w:rFonts w:ascii="Times New Roman" w:hAnsi="Times New Roman" w:cs="Times New Roman"/>
      <w:sz w:val="28"/>
    </w:rPr>
  </w:style>
  <w:style w:type="paragraph" w:customStyle="1" w:styleId="FooterSensitivity">
    <w:name w:val="Footer Sensitivity"/>
    <w:basedOn w:val="Normal"/>
    <w:rsid w:val="00645BC7"/>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customStyle="1" w:styleId="Text1">
    <w:name w:val="Text 1"/>
    <w:basedOn w:val="Normal"/>
    <w:rsid w:val="00645BC7"/>
    <w:pPr>
      <w:spacing w:before="120" w:after="120" w:line="240" w:lineRule="auto"/>
      <w:ind w:left="850"/>
      <w:jc w:val="both"/>
    </w:pPr>
    <w:rPr>
      <w:rFonts w:ascii="Times New Roman" w:hAnsi="Times New Roman" w:cs="Times New Roman"/>
      <w:sz w:val="24"/>
    </w:rPr>
  </w:style>
  <w:style w:type="paragraph" w:customStyle="1" w:styleId="Text2">
    <w:name w:val="Text 2"/>
    <w:basedOn w:val="Normal"/>
    <w:rsid w:val="00645BC7"/>
    <w:pPr>
      <w:spacing w:before="120" w:after="120" w:line="240" w:lineRule="auto"/>
      <w:ind w:left="1417"/>
      <w:jc w:val="both"/>
    </w:pPr>
    <w:rPr>
      <w:rFonts w:ascii="Times New Roman" w:hAnsi="Times New Roman" w:cs="Times New Roman"/>
      <w:sz w:val="24"/>
    </w:rPr>
  </w:style>
  <w:style w:type="paragraph" w:customStyle="1" w:styleId="Text3">
    <w:name w:val="Text 3"/>
    <w:basedOn w:val="Normal"/>
    <w:rsid w:val="00645BC7"/>
    <w:pPr>
      <w:spacing w:before="120" w:after="120" w:line="240" w:lineRule="auto"/>
      <w:ind w:left="1984"/>
      <w:jc w:val="both"/>
    </w:pPr>
    <w:rPr>
      <w:rFonts w:ascii="Times New Roman" w:hAnsi="Times New Roman" w:cs="Times New Roman"/>
      <w:sz w:val="24"/>
    </w:rPr>
  </w:style>
  <w:style w:type="paragraph" w:customStyle="1" w:styleId="Text4">
    <w:name w:val="Text 4"/>
    <w:basedOn w:val="Normal"/>
    <w:rsid w:val="00645BC7"/>
    <w:pPr>
      <w:spacing w:before="120" w:after="120" w:line="240" w:lineRule="auto"/>
      <w:ind w:left="2551"/>
      <w:jc w:val="both"/>
    </w:pPr>
    <w:rPr>
      <w:rFonts w:ascii="Times New Roman" w:hAnsi="Times New Roman" w:cs="Times New Roman"/>
      <w:sz w:val="24"/>
    </w:rPr>
  </w:style>
  <w:style w:type="paragraph" w:customStyle="1" w:styleId="NormalCentered">
    <w:name w:val="Normal Centered"/>
    <w:basedOn w:val="Normal"/>
    <w:rsid w:val="00645BC7"/>
    <w:pPr>
      <w:spacing w:before="120" w:after="120" w:line="240" w:lineRule="auto"/>
      <w:jc w:val="center"/>
    </w:pPr>
    <w:rPr>
      <w:rFonts w:ascii="Times New Roman" w:hAnsi="Times New Roman" w:cs="Times New Roman"/>
      <w:sz w:val="24"/>
    </w:rPr>
  </w:style>
  <w:style w:type="paragraph" w:customStyle="1" w:styleId="NormalLeft">
    <w:name w:val="Normal Left"/>
    <w:basedOn w:val="Normal"/>
    <w:rsid w:val="00645BC7"/>
    <w:pPr>
      <w:spacing w:before="120" w:after="120" w:line="240" w:lineRule="auto"/>
    </w:pPr>
    <w:rPr>
      <w:rFonts w:ascii="Times New Roman" w:hAnsi="Times New Roman" w:cs="Times New Roman"/>
      <w:sz w:val="24"/>
    </w:rPr>
  </w:style>
  <w:style w:type="paragraph" w:customStyle="1" w:styleId="NormalRight">
    <w:name w:val="Normal Right"/>
    <w:basedOn w:val="Normal"/>
    <w:rsid w:val="00645BC7"/>
    <w:pPr>
      <w:spacing w:before="120" w:after="120" w:line="240" w:lineRule="auto"/>
      <w:jc w:val="right"/>
    </w:pPr>
    <w:rPr>
      <w:rFonts w:ascii="Times New Roman" w:hAnsi="Times New Roman" w:cs="Times New Roman"/>
      <w:sz w:val="24"/>
    </w:rPr>
  </w:style>
  <w:style w:type="paragraph" w:customStyle="1" w:styleId="QuotedText">
    <w:name w:val="Quoted Text"/>
    <w:basedOn w:val="Normal"/>
    <w:rsid w:val="00645BC7"/>
    <w:pPr>
      <w:spacing w:before="120" w:after="120" w:line="240" w:lineRule="auto"/>
      <w:ind w:left="1417"/>
      <w:jc w:val="both"/>
    </w:pPr>
    <w:rPr>
      <w:rFonts w:ascii="Times New Roman" w:hAnsi="Times New Roman" w:cs="Times New Roman"/>
      <w:sz w:val="24"/>
    </w:rPr>
  </w:style>
  <w:style w:type="paragraph" w:customStyle="1" w:styleId="Point0">
    <w:name w:val="Point 0"/>
    <w:basedOn w:val="Normal"/>
    <w:rsid w:val="00645BC7"/>
    <w:pPr>
      <w:spacing w:before="120" w:after="120" w:line="240" w:lineRule="auto"/>
      <w:ind w:left="850" w:hanging="850"/>
      <w:jc w:val="both"/>
    </w:pPr>
    <w:rPr>
      <w:rFonts w:ascii="Times New Roman" w:hAnsi="Times New Roman" w:cs="Times New Roman"/>
      <w:sz w:val="24"/>
    </w:rPr>
  </w:style>
  <w:style w:type="paragraph" w:customStyle="1" w:styleId="Point1">
    <w:name w:val="Point 1"/>
    <w:basedOn w:val="Normal"/>
    <w:rsid w:val="00645BC7"/>
    <w:pPr>
      <w:spacing w:before="120" w:after="120" w:line="240" w:lineRule="auto"/>
      <w:ind w:left="1417" w:hanging="567"/>
      <w:jc w:val="both"/>
    </w:pPr>
    <w:rPr>
      <w:rFonts w:ascii="Times New Roman" w:hAnsi="Times New Roman" w:cs="Times New Roman"/>
      <w:sz w:val="24"/>
    </w:rPr>
  </w:style>
  <w:style w:type="paragraph" w:customStyle="1" w:styleId="Point2">
    <w:name w:val="Point 2"/>
    <w:basedOn w:val="Normal"/>
    <w:rsid w:val="00645BC7"/>
    <w:pPr>
      <w:spacing w:before="120" w:after="120" w:line="240" w:lineRule="auto"/>
      <w:ind w:left="1984" w:hanging="567"/>
      <w:jc w:val="both"/>
    </w:pPr>
    <w:rPr>
      <w:rFonts w:ascii="Times New Roman" w:hAnsi="Times New Roman" w:cs="Times New Roman"/>
      <w:sz w:val="24"/>
    </w:rPr>
  </w:style>
  <w:style w:type="paragraph" w:customStyle="1" w:styleId="Point3">
    <w:name w:val="Point 3"/>
    <w:basedOn w:val="Normal"/>
    <w:rsid w:val="00645BC7"/>
    <w:pPr>
      <w:spacing w:before="120" w:after="120" w:line="240" w:lineRule="auto"/>
      <w:ind w:left="2551" w:hanging="567"/>
      <w:jc w:val="both"/>
    </w:pPr>
    <w:rPr>
      <w:rFonts w:ascii="Times New Roman" w:hAnsi="Times New Roman" w:cs="Times New Roman"/>
      <w:sz w:val="24"/>
    </w:rPr>
  </w:style>
  <w:style w:type="paragraph" w:customStyle="1" w:styleId="Point4">
    <w:name w:val="Point 4"/>
    <w:basedOn w:val="Normal"/>
    <w:rsid w:val="00645BC7"/>
    <w:pPr>
      <w:spacing w:before="120" w:after="120" w:line="240" w:lineRule="auto"/>
      <w:ind w:left="3118" w:hanging="567"/>
      <w:jc w:val="both"/>
    </w:pPr>
    <w:rPr>
      <w:rFonts w:ascii="Times New Roman" w:hAnsi="Times New Roman" w:cs="Times New Roman"/>
      <w:sz w:val="24"/>
    </w:rPr>
  </w:style>
  <w:style w:type="paragraph" w:customStyle="1" w:styleId="Tiret0">
    <w:name w:val="Tiret 0"/>
    <w:basedOn w:val="Point0"/>
    <w:rsid w:val="007B4D63"/>
    <w:pPr>
      <w:numPr>
        <w:numId w:val="3"/>
      </w:numPr>
      <w:tabs>
        <w:tab w:val="clear" w:pos="850"/>
        <w:tab w:val="num" w:pos="3118"/>
      </w:tabs>
      <w:ind w:left="3118" w:hanging="567"/>
    </w:pPr>
  </w:style>
  <w:style w:type="paragraph" w:customStyle="1" w:styleId="Tiret1">
    <w:name w:val="Tiret 1"/>
    <w:basedOn w:val="Point1"/>
    <w:rsid w:val="007B4D63"/>
    <w:pPr>
      <w:numPr>
        <w:numId w:val="4"/>
      </w:numPr>
      <w:tabs>
        <w:tab w:val="clear" w:pos="1417"/>
        <w:tab w:val="num" w:pos="850"/>
      </w:tabs>
      <w:ind w:left="850" w:hanging="850"/>
    </w:pPr>
  </w:style>
  <w:style w:type="paragraph" w:customStyle="1" w:styleId="Tiret2">
    <w:name w:val="Tiret 2"/>
    <w:basedOn w:val="Point2"/>
    <w:rsid w:val="007B4D63"/>
    <w:pPr>
      <w:numPr>
        <w:numId w:val="5"/>
      </w:numPr>
      <w:tabs>
        <w:tab w:val="clear" w:pos="1984"/>
        <w:tab w:val="num" w:pos="850"/>
      </w:tabs>
      <w:ind w:left="850" w:hanging="850"/>
    </w:pPr>
  </w:style>
  <w:style w:type="paragraph" w:customStyle="1" w:styleId="Tiret3">
    <w:name w:val="Tiret 3"/>
    <w:basedOn w:val="Point3"/>
    <w:rsid w:val="007B4D63"/>
    <w:pPr>
      <w:numPr>
        <w:numId w:val="6"/>
      </w:numPr>
      <w:tabs>
        <w:tab w:val="clear" w:pos="2551"/>
        <w:tab w:val="num" w:pos="850"/>
      </w:tabs>
      <w:ind w:left="850" w:hanging="850"/>
    </w:pPr>
  </w:style>
  <w:style w:type="paragraph" w:customStyle="1" w:styleId="Tiret4">
    <w:name w:val="Tiret 4"/>
    <w:basedOn w:val="Point4"/>
    <w:rsid w:val="007B4D63"/>
    <w:pPr>
      <w:numPr>
        <w:numId w:val="7"/>
      </w:numPr>
      <w:tabs>
        <w:tab w:val="clear" w:pos="3118"/>
        <w:tab w:val="num" w:pos="850"/>
      </w:tabs>
      <w:ind w:left="850" w:hanging="850"/>
    </w:pPr>
  </w:style>
  <w:style w:type="paragraph" w:customStyle="1" w:styleId="PointDouble0">
    <w:name w:val="PointDouble 0"/>
    <w:basedOn w:val="Normal"/>
    <w:rsid w:val="00645BC7"/>
    <w:pPr>
      <w:tabs>
        <w:tab w:val="left" w:pos="850"/>
      </w:tabs>
      <w:spacing w:before="120" w:after="120" w:line="240" w:lineRule="auto"/>
      <w:ind w:left="1417" w:hanging="1417"/>
      <w:jc w:val="both"/>
    </w:pPr>
    <w:rPr>
      <w:rFonts w:ascii="Times New Roman" w:hAnsi="Times New Roman" w:cs="Times New Roman"/>
      <w:sz w:val="24"/>
    </w:rPr>
  </w:style>
  <w:style w:type="paragraph" w:customStyle="1" w:styleId="PointDouble1">
    <w:name w:val="PointDouble 1"/>
    <w:basedOn w:val="Normal"/>
    <w:rsid w:val="00645BC7"/>
    <w:pPr>
      <w:tabs>
        <w:tab w:val="left" w:pos="1417"/>
      </w:tabs>
      <w:spacing w:before="120" w:after="120" w:line="240" w:lineRule="auto"/>
      <w:ind w:left="1984" w:hanging="1134"/>
      <w:jc w:val="both"/>
    </w:pPr>
    <w:rPr>
      <w:rFonts w:ascii="Times New Roman" w:hAnsi="Times New Roman" w:cs="Times New Roman"/>
      <w:sz w:val="24"/>
    </w:rPr>
  </w:style>
  <w:style w:type="paragraph" w:customStyle="1" w:styleId="PointDouble2">
    <w:name w:val="PointDouble 2"/>
    <w:basedOn w:val="Normal"/>
    <w:rsid w:val="00645BC7"/>
    <w:pPr>
      <w:tabs>
        <w:tab w:val="left" w:pos="1984"/>
      </w:tabs>
      <w:spacing w:before="120" w:after="120" w:line="240" w:lineRule="auto"/>
      <w:ind w:left="2551" w:hanging="1134"/>
      <w:jc w:val="both"/>
    </w:pPr>
    <w:rPr>
      <w:rFonts w:ascii="Times New Roman" w:hAnsi="Times New Roman" w:cs="Times New Roman"/>
      <w:sz w:val="24"/>
    </w:rPr>
  </w:style>
  <w:style w:type="paragraph" w:customStyle="1" w:styleId="PointDouble3">
    <w:name w:val="PointDouble 3"/>
    <w:basedOn w:val="Normal"/>
    <w:rsid w:val="00645BC7"/>
    <w:pPr>
      <w:tabs>
        <w:tab w:val="left" w:pos="2551"/>
      </w:tabs>
      <w:spacing w:before="120" w:after="120" w:line="240" w:lineRule="auto"/>
      <w:ind w:left="3118" w:hanging="1134"/>
      <w:jc w:val="both"/>
    </w:pPr>
    <w:rPr>
      <w:rFonts w:ascii="Times New Roman" w:hAnsi="Times New Roman" w:cs="Times New Roman"/>
      <w:sz w:val="24"/>
    </w:rPr>
  </w:style>
  <w:style w:type="paragraph" w:customStyle="1" w:styleId="PointDouble4">
    <w:name w:val="PointDouble 4"/>
    <w:basedOn w:val="Normal"/>
    <w:rsid w:val="00645BC7"/>
    <w:pPr>
      <w:tabs>
        <w:tab w:val="left" w:pos="3118"/>
      </w:tabs>
      <w:spacing w:before="120" w:after="120" w:line="240" w:lineRule="auto"/>
      <w:ind w:left="3685" w:hanging="1134"/>
      <w:jc w:val="both"/>
    </w:pPr>
    <w:rPr>
      <w:rFonts w:ascii="Times New Roman" w:hAnsi="Times New Roman" w:cs="Times New Roman"/>
      <w:sz w:val="24"/>
    </w:rPr>
  </w:style>
  <w:style w:type="paragraph" w:customStyle="1" w:styleId="PointTriple0">
    <w:name w:val="PointTriple 0"/>
    <w:basedOn w:val="Normal"/>
    <w:rsid w:val="00645BC7"/>
    <w:pPr>
      <w:tabs>
        <w:tab w:val="left" w:pos="850"/>
        <w:tab w:val="left" w:pos="1417"/>
      </w:tabs>
      <w:spacing w:before="120" w:after="120" w:line="240" w:lineRule="auto"/>
      <w:ind w:left="1984" w:hanging="1984"/>
      <w:jc w:val="both"/>
    </w:pPr>
    <w:rPr>
      <w:rFonts w:ascii="Times New Roman" w:hAnsi="Times New Roman" w:cs="Times New Roman"/>
      <w:sz w:val="24"/>
    </w:rPr>
  </w:style>
  <w:style w:type="paragraph" w:customStyle="1" w:styleId="PointTriple1">
    <w:name w:val="PointTriple 1"/>
    <w:basedOn w:val="Normal"/>
    <w:rsid w:val="00645BC7"/>
    <w:pPr>
      <w:tabs>
        <w:tab w:val="left" w:pos="1417"/>
        <w:tab w:val="left" w:pos="1984"/>
      </w:tabs>
      <w:spacing w:before="120" w:after="120" w:line="240" w:lineRule="auto"/>
      <w:ind w:left="2551" w:hanging="1701"/>
      <w:jc w:val="both"/>
    </w:pPr>
    <w:rPr>
      <w:rFonts w:ascii="Times New Roman" w:hAnsi="Times New Roman" w:cs="Times New Roman"/>
      <w:sz w:val="24"/>
    </w:rPr>
  </w:style>
  <w:style w:type="paragraph" w:customStyle="1" w:styleId="PointTriple2">
    <w:name w:val="PointTriple 2"/>
    <w:basedOn w:val="Normal"/>
    <w:rsid w:val="00645BC7"/>
    <w:pPr>
      <w:tabs>
        <w:tab w:val="left" w:pos="1984"/>
        <w:tab w:val="left" w:pos="2551"/>
      </w:tabs>
      <w:spacing w:before="120" w:after="120" w:line="240" w:lineRule="auto"/>
      <w:ind w:left="3118" w:hanging="1701"/>
      <w:jc w:val="both"/>
    </w:pPr>
    <w:rPr>
      <w:rFonts w:ascii="Times New Roman" w:hAnsi="Times New Roman" w:cs="Times New Roman"/>
      <w:sz w:val="24"/>
    </w:rPr>
  </w:style>
  <w:style w:type="paragraph" w:customStyle="1" w:styleId="PointTriple3">
    <w:name w:val="PointTriple 3"/>
    <w:basedOn w:val="Normal"/>
    <w:rsid w:val="00645BC7"/>
    <w:pPr>
      <w:tabs>
        <w:tab w:val="left" w:pos="2551"/>
        <w:tab w:val="left" w:pos="3118"/>
      </w:tabs>
      <w:spacing w:before="120" w:after="120" w:line="240" w:lineRule="auto"/>
      <w:ind w:left="3685" w:hanging="1701"/>
      <w:jc w:val="both"/>
    </w:pPr>
    <w:rPr>
      <w:rFonts w:ascii="Times New Roman" w:hAnsi="Times New Roman" w:cs="Times New Roman"/>
      <w:sz w:val="24"/>
    </w:rPr>
  </w:style>
  <w:style w:type="paragraph" w:customStyle="1" w:styleId="PointTriple4">
    <w:name w:val="PointTriple 4"/>
    <w:basedOn w:val="Normal"/>
    <w:rsid w:val="00645BC7"/>
    <w:pPr>
      <w:tabs>
        <w:tab w:val="left" w:pos="3118"/>
        <w:tab w:val="left" w:pos="3685"/>
      </w:tabs>
      <w:spacing w:before="120" w:after="120" w:line="240" w:lineRule="auto"/>
      <w:ind w:left="4252" w:hanging="1701"/>
      <w:jc w:val="both"/>
    </w:pPr>
    <w:rPr>
      <w:rFonts w:ascii="Times New Roman" w:hAnsi="Times New Roman" w:cs="Times New Roman"/>
      <w:sz w:val="24"/>
    </w:rPr>
  </w:style>
  <w:style w:type="paragraph" w:customStyle="1" w:styleId="NumPar1">
    <w:name w:val="NumPar 1"/>
    <w:basedOn w:val="Normal"/>
    <w:next w:val="Text1"/>
    <w:rsid w:val="007B4D63"/>
    <w:pPr>
      <w:numPr>
        <w:numId w:val="8"/>
      </w:numPr>
      <w:tabs>
        <w:tab w:val="clear" w:pos="850"/>
        <w:tab w:val="num" w:pos="1417"/>
      </w:tabs>
      <w:spacing w:before="120" w:after="120" w:line="240" w:lineRule="auto"/>
      <w:ind w:left="1417" w:hanging="567"/>
      <w:jc w:val="both"/>
    </w:pPr>
    <w:rPr>
      <w:rFonts w:ascii="Times New Roman" w:hAnsi="Times New Roman" w:cs="Times New Roman"/>
      <w:sz w:val="24"/>
    </w:rPr>
  </w:style>
  <w:style w:type="paragraph" w:customStyle="1" w:styleId="NumPar2">
    <w:name w:val="NumPar 2"/>
    <w:basedOn w:val="Normal"/>
    <w:next w:val="Text1"/>
    <w:rsid w:val="007B4D63"/>
    <w:pPr>
      <w:numPr>
        <w:ilvl w:val="1"/>
        <w:numId w:val="8"/>
      </w:numPr>
      <w:tabs>
        <w:tab w:val="clear" w:pos="850"/>
        <w:tab w:val="num" w:pos="1417"/>
      </w:tabs>
      <w:spacing w:before="120" w:after="120" w:line="240" w:lineRule="auto"/>
      <w:ind w:left="1417" w:hanging="567"/>
      <w:jc w:val="both"/>
    </w:pPr>
    <w:rPr>
      <w:rFonts w:ascii="Times New Roman" w:hAnsi="Times New Roman" w:cs="Times New Roman"/>
      <w:sz w:val="24"/>
    </w:rPr>
  </w:style>
  <w:style w:type="paragraph" w:customStyle="1" w:styleId="NumPar3">
    <w:name w:val="NumPar 3"/>
    <w:basedOn w:val="Normal"/>
    <w:next w:val="Text1"/>
    <w:rsid w:val="007B4D63"/>
    <w:pPr>
      <w:numPr>
        <w:ilvl w:val="2"/>
        <w:numId w:val="8"/>
      </w:numPr>
      <w:tabs>
        <w:tab w:val="clear" w:pos="850"/>
        <w:tab w:val="num" w:pos="1417"/>
      </w:tabs>
      <w:spacing w:before="120" w:after="120" w:line="240" w:lineRule="auto"/>
      <w:ind w:left="1417" w:hanging="567"/>
      <w:jc w:val="both"/>
    </w:pPr>
    <w:rPr>
      <w:rFonts w:ascii="Times New Roman" w:hAnsi="Times New Roman" w:cs="Times New Roman"/>
      <w:sz w:val="24"/>
    </w:rPr>
  </w:style>
  <w:style w:type="paragraph" w:customStyle="1" w:styleId="NumPar4">
    <w:name w:val="NumPar 4"/>
    <w:basedOn w:val="Normal"/>
    <w:next w:val="Text1"/>
    <w:rsid w:val="007B4D63"/>
    <w:pPr>
      <w:numPr>
        <w:ilvl w:val="3"/>
        <w:numId w:val="8"/>
      </w:numPr>
      <w:tabs>
        <w:tab w:val="clear" w:pos="850"/>
        <w:tab w:val="num" w:pos="1417"/>
      </w:tabs>
      <w:spacing w:before="120" w:after="120" w:line="240" w:lineRule="auto"/>
      <w:ind w:left="1417" w:hanging="567"/>
      <w:jc w:val="both"/>
    </w:pPr>
    <w:rPr>
      <w:rFonts w:ascii="Times New Roman" w:hAnsi="Times New Roman" w:cs="Times New Roman"/>
      <w:sz w:val="24"/>
    </w:rPr>
  </w:style>
  <w:style w:type="paragraph" w:customStyle="1" w:styleId="ManualNumPar1">
    <w:name w:val="Manual NumPar 1"/>
    <w:basedOn w:val="Normal"/>
    <w:next w:val="Text1"/>
    <w:rsid w:val="00645BC7"/>
    <w:pPr>
      <w:spacing w:before="120" w:after="120" w:line="240" w:lineRule="auto"/>
      <w:ind w:left="850" w:hanging="850"/>
      <w:jc w:val="both"/>
    </w:pPr>
    <w:rPr>
      <w:rFonts w:ascii="Times New Roman" w:hAnsi="Times New Roman" w:cs="Times New Roman"/>
      <w:sz w:val="24"/>
    </w:rPr>
  </w:style>
  <w:style w:type="paragraph" w:customStyle="1" w:styleId="ManualNumPar2">
    <w:name w:val="Manual NumPar 2"/>
    <w:basedOn w:val="Normal"/>
    <w:next w:val="Text1"/>
    <w:rsid w:val="00645BC7"/>
    <w:pPr>
      <w:spacing w:before="120" w:after="120" w:line="240" w:lineRule="auto"/>
      <w:ind w:left="850" w:hanging="850"/>
      <w:jc w:val="both"/>
    </w:pPr>
    <w:rPr>
      <w:rFonts w:ascii="Times New Roman" w:hAnsi="Times New Roman" w:cs="Times New Roman"/>
      <w:sz w:val="24"/>
    </w:rPr>
  </w:style>
  <w:style w:type="paragraph" w:customStyle="1" w:styleId="ManualNumPar3">
    <w:name w:val="Manual NumPar 3"/>
    <w:basedOn w:val="Normal"/>
    <w:next w:val="Text1"/>
    <w:rsid w:val="00645BC7"/>
    <w:pPr>
      <w:spacing w:before="120" w:after="120" w:line="240" w:lineRule="auto"/>
      <w:ind w:left="850" w:hanging="850"/>
      <w:jc w:val="both"/>
    </w:pPr>
    <w:rPr>
      <w:rFonts w:ascii="Times New Roman" w:hAnsi="Times New Roman" w:cs="Times New Roman"/>
      <w:sz w:val="24"/>
    </w:rPr>
  </w:style>
  <w:style w:type="paragraph" w:customStyle="1" w:styleId="ManualNumPar4">
    <w:name w:val="Manual NumPar 4"/>
    <w:basedOn w:val="Normal"/>
    <w:next w:val="Text1"/>
    <w:rsid w:val="00645BC7"/>
    <w:pPr>
      <w:spacing w:before="120" w:after="120" w:line="240" w:lineRule="auto"/>
      <w:ind w:left="850" w:hanging="850"/>
      <w:jc w:val="both"/>
    </w:pPr>
    <w:rPr>
      <w:rFonts w:ascii="Times New Roman" w:hAnsi="Times New Roman" w:cs="Times New Roman"/>
      <w:sz w:val="24"/>
    </w:rPr>
  </w:style>
  <w:style w:type="paragraph" w:customStyle="1" w:styleId="QuotedNumPar">
    <w:name w:val="Quoted NumPar"/>
    <w:basedOn w:val="Normal"/>
    <w:rsid w:val="00645BC7"/>
    <w:pPr>
      <w:spacing w:before="120" w:after="120" w:line="240" w:lineRule="auto"/>
      <w:ind w:left="1417" w:hanging="567"/>
      <w:jc w:val="both"/>
    </w:pPr>
    <w:rPr>
      <w:rFonts w:ascii="Times New Roman" w:hAnsi="Times New Roman" w:cs="Times New Roman"/>
      <w:sz w:val="24"/>
    </w:rPr>
  </w:style>
  <w:style w:type="paragraph" w:customStyle="1" w:styleId="ManualHeading1">
    <w:name w:val="Manual Heading 1"/>
    <w:basedOn w:val="Normal"/>
    <w:next w:val="Text1"/>
    <w:rsid w:val="00645BC7"/>
    <w:pPr>
      <w:keepNext/>
      <w:tabs>
        <w:tab w:val="left" w:pos="850"/>
      </w:tabs>
      <w:spacing w:before="360" w:after="120" w:line="240" w:lineRule="auto"/>
      <w:ind w:left="850" w:hanging="850"/>
      <w:jc w:val="both"/>
      <w:outlineLvl w:val="0"/>
    </w:pPr>
    <w:rPr>
      <w:rFonts w:ascii="Times New Roman" w:hAnsi="Times New Roman" w:cs="Times New Roman"/>
      <w:b/>
      <w:smallCaps/>
      <w:sz w:val="24"/>
    </w:rPr>
  </w:style>
  <w:style w:type="paragraph" w:customStyle="1" w:styleId="ManualHeading2">
    <w:name w:val="Manual Heading 2"/>
    <w:basedOn w:val="Normal"/>
    <w:next w:val="Text1"/>
    <w:rsid w:val="00645BC7"/>
    <w:pPr>
      <w:keepNext/>
      <w:tabs>
        <w:tab w:val="left" w:pos="850"/>
      </w:tabs>
      <w:spacing w:before="120" w:after="120" w:line="240" w:lineRule="auto"/>
      <w:ind w:left="850" w:hanging="850"/>
      <w:jc w:val="both"/>
      <w:outlineLvl w:val="1"/>
    </w:pPr>
    <w:rPr>
      <w:rFonts w:ascii="Times New Roman" w:hAnsi="Times New Roman" w:cs="Times New Roman"/>
      <w:b/>
      <w:sz w:val="24"/>
    </w:rPr>
  </w:style>
  <w:style w:type="paragraph" w:customStyle="1" w:styleId="ManualHeading3">
    <w:name w:val="Manual Heading 3"/>
    <w:basedOn w:val="Normal"/>
    <w:next w:val="Text1"/>
    <w:rsid w:val="00645BC7"/>
    <w:pPr>
      <w:keepNext/>
      <w:tabs>
        <w:tab w:val="left" w:pos="850"/>
      </w:tabs>
      <w:spacing w:before="120" w:after="120" w:line="240" w:lineRule="auto"/>
      <w:ind w:left="850" w:hanging="850"/>
      <w:jc w:val="both"/>
      <w:outlineLvl w:val="2"/>
    </w:pPr>
    <w:rPr>
      <w:rFonts w:ascii="Times New Roman" w:hAnsi="Times New Roman" w:cs="Times New Roman"/>
      <w:i/>
      <w:sz w:val="24"/>
    </w:rPr>
  </w:style>
  <w:style w:type="paragraph" w:customStyle="1" w:styleId="ManualHeading4">
    <w:name w:val="Manual Heading 4"/>
    <w:basedOn w:val="Normal"/>
    <w:next w:val="Text1"/>
    <w:rsid w:val="00645BC7"/>
    <w:pPr>
      <w:keepNext/>
      <w:tabs>
        <w:tab w:val="left" w:pos="850"/>
      </w:tabs>
      <w:spacing w:before="120" w:after="120" w:line="240" w:lineRule="auto"/>
      <w:ind w:left="850" w:hanging="850"/>
      <w:jc w:val="both"/>
      <w:outlineLvl w:val="3"/>
    </w:pPr>
    <w:rPr>
      <w:rFonts w:ascii="Times New Roman" w:hAnsi="Times New Roman" w:cs="Times New Roman"/>
      <w:sz w:val="24"/>
    </w:rPr>
  </w:style>
  <w:style w:type="paragraph" w:customStyle="1" w:styleId="ChapterTitle">
    <w:name w:val="ChapterTitle"/>
    <w:basedOn w:val="Normal"/>
    <w:next w:val="Normal"/>
    <w:rsid w:val="00645BC7"/>
    <w:pPr>
      <w:keepNext/>
      <w:spacing w:before="120" w:after="360" w:line="240" w:lineRule="auto"/>
      <w:jc w:val="center"/>
    </w:pPr>
    <w:rPr>
      <w:rFonts w:ascii="Times New Roman" w:hAnsi="Times New Roman" w:cs="Times New Roman"/>
      <w:b/>
      <w:sz w:val="32"/>
    </w:rPr>
  </w:style>
  <w:style w:type="paragraph" w:customStyle="1" w:styleId="PartTitle">
    <w:name w:val="PartTitle"/>
    <w:basedOn w:val="Normal"/>
    <w:next w:val="ChapterTitle"/>
    <w:rsid w:val="00645BC7"/>
    <w:pPr>
      <w:keepNext/>
      <w:pageBreakBefore/>
      <w:spacing w:before="120" w:after="360" w:line="240" w:lineRule="auto"/>
      <w:jc w:val="center"/>
    </w:pPr>
    <w:rPr>
      <w:rFonts w:ascii="Times New Roman" w:hAnsi="Times New Roman" w:cs="Times New Roman"/>
      <w:b/>
      <w:sz w:val="36"/>
    </w:rPr>
  </w:style>
  <w:style w:type="paragraph" w:customStyle="1" w:styleId="SectionTitle">
    <w:name w:val="SectionTitle"/>
    <w:basedOn w:val="Normal"/>
    <w:next w:val="Heading1"/>
    <w:rsid w:val="00645BC7"/>
    <w:pPr>
      <w:keepNext/>
      <w:spacing w:before="120" w:after="360" w:line="240" w:lineRule="auto"/>
      <w:jc w:val="center"/>
    </w:pPr>
    <w:rPr>
      <w:rFonts w:ascii="Times New Roman" w:hAnsi="Times New Roman" w:cs="Times New Roman"/>
      <w:b/>
      <w:smallCaps/>
      <w:sz w:val="28"/>
    </w:rPr>
  </w:style>
  <w:style w:type="paragraph" w:customStyle="1" w:styleId="TableTitle">
    <w:name w:val="Table Title"/>
    <w:basedOn w:val="Normal"/>
    <w:next w:val="Normal"/>
    <w:rsid w:val="00645BC7"/>
    <w:pPr>
      <w:spacing w:before="120" w:after="120" w:line="240" w:lineRule="auto"/>
      <w:jc w:val="center"/>
    </w:pPr>
    <w:rPr>
      <w:rFonts w:ascii="Times New Roman" w:hAnsi="Times New Roman" w:cs="Times New Roman"/>
      <w:b/>
      <w:sz w:val="24"/>
    </w:rPr>
  </w:style>
  <w:style w:type="character" w:customStyle="1" w:styleId="Marker">
    <w:name w:val="Marker"/>
    <w:basedOn w:val="DefaultParagraphFont"/>
    <w:rsid w:val="009D0F6E"/>
    <w:rPr>
      <w:color w:val="0000FF"/>
      <w:bdr w:val="none" w:sz="0" w:space="0" w:color="auto"/>
      <w:shd w:val="clear" w:color="auto" w:fill="auto"/>
    </w:rPr>
  </w:style>
  <w:style w:type="character" w:customStyle="1" w:styleId="Marker1">
    <w:name w:val="Marker1"/>
    <w:rsid w:val="00645BC7"/>
    <w:rPr>
      <w:color w:val="008000"/>
      <w:shd w:val="clear" w:color="auto" w:fill="auto"/>
    </w:rPr>
  </w:style>
  <w:style w:type="character" w:customStyle="1" w:styleId="Marker2">
    <w:name w:val="Marker2"/>
    <w:rsid w:val="00645BC7"/>
    <w:rPr>
      <w:color w:val="FF0000"/>
      <w:shd w:val="clear" w:color="auto" w:fill="auto"/>
    </w:rPr>
  </w:style>
  <w:style w:type="paragraph" w:customStyle="1" w:styleId="Point0number">
    <w:name w:val="Point 0 (number)"/>
    <w:basedOn w:val="Normal"/>
    <w:rsid w:val="007B4D63"/>
    <w:pPr>
      <w:numPr>
        <w:numId w:val="10"/>
      </w:numPr>
      <w:tabs>
        <w:tab w:val="clear" w:pos="850"/>
        <w:tab w:val="num" w:pos="2551"/>
      </w:tabs>
      <w:spacing w:before="120" w:after="120" w:line="240" w:lineRule="auto"/>
      <w:ind w:left="2551" w:hanging="567"/>
      <w:jc w:val="both"/>
    </w:pPr>
    <w:rPr>
      <w:rFonts w:ascii="Times New Roman" w:hAnsi="Times New Roman" w:cs="Times New Roman"/>
      <w:sz w:val="24"/>
    </w:rPr>
  </w:style>
  <w:style w:type="paragraph" w:customStyle="1" w:styleId="Point1number">
    <w:name w:val="Point 1 (number)"/>
    <w:basedOn w:val="Normal"/>
    <w:rsid w:val="007B4D63"/>
    <w:pPr>
      <w:numPr>
        <w:ilvl w:val="2"/>
        <w:numId w:val="10"/>
      </w:numPr>
      <w:tabs>
        <w:tab w:val="clear" w:pos="1417"/>
        <w:tab w:val="num" w:pos="2551"/>
      </w:tabs>
      <w:spacing w:before="120" w:after="120" w:line="240" w:lineRule="auto"/>
      <w:ind w:left="2551"/>
      <w:jc w:val="both"/>
    </w:pPr>
    <w:rPr>
      <w:rFonts w:ascii="Times New Roman" w:hAnsi="Times New Roman" w:cs="Times New Roman"/>
      <w:sz w:val="24"/>
    </w:rPr>
  </w:style>
  <w:style w:type="paragraph" w:customStyle="1" w:styleId="Point2number">
    <w:name w:val="Point 2 (number)"/>
    <w:basedOn w:val="Normal"/>
    <w:rsid w:val="007B4D63"/>
    <w:pPr>
      <w:numPr>
        <w:ilvl w:val="4"/>
        <w:numId w:val="10"/>
      </w:numPr>
      <w:tabs>
        <w:tab w:val="clear" w:pos="1984"/>
        <w:tab w:val="num" w:pos="2551"/>
      </w:tabs>
      <w:spacing w:before="120" w:after="120" w:line="240" w:lineRule="auto"/>
      <w:ind w:left="2551"/>
      <w:jc w:val="both"/>
    </w:pPr>
    <w:rPr>
      <w:rFonts w:ascii="Times New Roman" w:hAnsi="Times New Roman" w:cs="Times New Roman"/>
      <w:sz w:val="24"/>
    </w:rPr>
  </w:style>
  <w:style w:type="paragraph" w:customStyle="1" w:styleId="Point3number">
    <w:name w:val="Point 3 (number)"/>
    <w:basedOn w:val="Normal"/>
    <w:rsid w:val="00645BC7"/>
    <w:pPr>
      <w:numPr>
        <w:ilvl w:val="6"/>
        <w:numId w:val="10"/>
      </w:numPr>
      <w:spacing w:before="120" w:after="120" w:line="240" w:lineRule="auto"/>
      <w:jc w:val="both"/>
    </w:pPr>
    <w:rPr>
      <w:rFonts w:ascii="Times New Roman" w:hAnsi="Times New Roman" w:cs="Times New Roman"/>
      <w:sz w:val="24"/>
    </w:rPr>
  </w:style>
  <w:style w:type="paragraph" w:customStyle="1" w:styleId="Point0letter">
    <w:name w:val="Point 0 (letter)"/>
    <w:basedOn w:val="Normal"/>
    <w:rsid w:val="007B4D63"/>
    <w:pPr>
      <w:numPr>
        <w:ilvl w:val="1"/>
        <w:numId w:val="10"/>
      </w:numPr>
      <w:tabs>
        <w:tab w:val="clear" w:pos="850"/>
        <w:tab w:val="num" w:pos="2551"/>
      </w:tabs>
      <w:spacing w:before="120" w:after="120" w:line="240" w:lineRule="auto"/>
      <w:ind w:left="2551" w:hanging="567"/>
      <w:jc w:val="both"/>
    </w:pPr>
    <w:rPr>
      <w:rFonts w:ascii="Times New Roman" w:hAnsi="Times New Roman" w:cs="Times New Roman"/>
      <w:sz w:val="24"/>
    </w:rPr>
  </w:style>
  <w:style w:type="paragraph" w:customStyle="1" w:styleId="Point1letter">
    <w:name w:val="Point 1 (letter)"/>
    <w:basedOn w:val="Normal"/>
    <w:rsid w:val="007B4D63"/>
    <w:pPr>
      <w:numPr>
        <w:ilvl w:val="3"/>
        <w:numId w:val="10"/>
      </w:numPr>
      <w:tabs>
        <w:tab w:val="clear" w:pos="1417"/>
        <w:tab w:val="num" w:pos="2551"/>
      </w:tabs>
      <w:spacing w:before="120" w:after="120" w:line="240" w:lineRule="auto"/>
      <w:ind w:left="2551"/>
      <w:jc w:val="both"/>
    </w:pPr>
    <w:rPr>
      <w:rFonts w:ascii="Times New Roman" w:hAnsi="Times New Roman" w:cs="Times New Roman"/>
      <w:sz w:val="24"/>
    </w:rPr>
  </w:style>
  <w:style w:type="paragraph" w:customStyle="1" w:styleId="Point2letter">
    <w:name w:val="Point 2 (letter)"/>
    <w:basedOn w:val="Normal"/>
    <w:rsid w:val="007B4D63"/>
    <w:pPr>
      <w:numPr>
        <w:ilvl w:val="5"/>
        <w:numId w:val="10"/>
      </w:numPr>
      <w:tabs>
        <w:tab w:val="clear" w:pos="1984"/>
        <w:tab w:val="num" w:pos="2551"/>
      </w:tabs>
      <w:spacing w:before="120" w:after="120" w:line="240" w:lineRule="auto"/>
      <w:ind w:left="2551"/>
      <w:jc w:val="both"/>
    </w:pPr>
    <w:rPr>
      <w:rFonts w:ascii="Times New Roman" w:hAnsi="Times New Roman" w:cs="Times New Roman"/>
      <w:sz w:val="24"/>
    </w:rPr>
  </w:style>
  <w:style w:type="paragraph" w:customStyle="1" w:styleId="Point3letter">
    <w:name w:val="Point 3 (letter)"/>
    <w:basedOn w:val="Normal"/>
    <w:rsid w:val="00645BC7"/>
    <w:pPr>
      <w:numPr>
        <w:ilvl w:val="7"/>
        <w:numId w:val="10"/>
      </w:numPr>
      <w:spacing w:before="120" w:after="120" w:line="240" w:lineRule="auto"/>
      <w:jc w:val="both"/>
    </w:pPr>
    <w:rPr>
      <w:rFonts w:ascii="Times New Roman" w:hAnsi="Times New Roman" w:cs="Times New Roman"/>
      <w:sz w:val="24"/>
    </w:rPr>
  </w:style>
  <w:style w:type="paragraph" w:customStyle="1" w:styleId="Point4letter">
    <w:name w:val="Point 4 (letter)"/>
    <w:basedOn w:val="Normal"/>
    <w:rsid w:val="007B4D63"/>
    <w:pPr>
      <w:numPr>
        <w:ilvl w:val="8"/>
        <w:numId w:val="10"/>
      </w:numPr>
      <w:tabs>
        <w:tab w:val="clear" w:pos="3118"/>
        <w:tab w:val="num" w:pos="2551"/>
      </w:tabs>
      <w:spacing w:before="120" w:after="120" w:line="240" w:lineRule="auto"/>
      <w:ind w:left="2551"/>
      <w:jc w:val="both"/>
    </w:pPr>
    <w:rPr>
      <w:rFonts w:ascii="Times New Roman" w:hAnsi="Times New Roman" w:cs="Times New Roman"/>
      <w:sz w:val="24"/>
    </w:rPr>
  </w:style>
  <w:style w:type="paragraph" w:customStyle="1" w:styleId="Bullet0">
    <w:name w:val="Bullet 0"/>
    <w:basedOn w:val="Normal"/>
    <w:rsid w:val="007B4D63"/>
    <w:pPr>
      <w:numPr>
        <w:numId w:val="11"/>
      </w:numPr>
      <w:tabs>
        <w:tab w:val="clear" w:pos="850"/>
        <w:tab w:val="num" w:pos="3118"/>
      </w:tabs>
      <w:spacing w:before="120" w:after="120" w:line="240" w:lineRule="auto"/>
      <w:ind w:left="3118" w:hanging="567"/>
      <w:jc w:val="both"/>
    </w:pPr>
    <w:rPr>
      <w:rFonts w:ascii="Times New Roman" w:hAnsi="Times New Roman" w:cs="Times New Roman"/>
      <w:sz w:val="24"/>
    </w:rPr>
  </w:style>
  <w:style w:type="paragraph" w:customStyle="1" w:styleId="Bullet1">
    <w:name w:val="Bullet 1"/>
    <w:basedOn w:val="Normal"/>
    <w:rsid w:val="007B4D63"/>
    <w:pPr>
      <w:numPr>
        <w:numId w:val="12"/>
      </w:numPr>
      <w:tabs>
        <w:tab w:val="clear" w:pos="1417"/>
        <w:tab w:val="num" w:pos="709"/>
      </w:tabs>
      <w:spacing w:before="120" w:after="120" w:line="240" w:lineRule="auto"/>
      <w:ind w:left="709" w:hanging="709"/>
      <w:jc w:val="both"/>
    </w:pPr>
    <w:rPr>
      <w:rFonts w:ascii="Times New Roman" w:hAnsi="Times New Roman" w:cs="Times New Roman"/>
      <w:sz w:val="24"/>
    </w:rPr>
  </w:style>
  <w:style w:type="paragraph" w:customStyle="1" w:styleId="Bullet2">
    <w:name w:val="Bullet 2"/>
    <w:basedOn w:val="Normal"/>
    <w:rsid w:val="007B4D63"/>
    <w:pPr>
      <w:numPr>
        <w:numId w:val="13"/>
      </w:numPr>
      <w:tabs>
        <w:tab w:val="clear" w:pos="1984"/>
        <w:tab w:val="num" w:pos="850"/>
      </w:tabs>
      <w:spacing w:before="120" w:after="120" w:line="240" w:lineRule="auto"/>
      <w:ind w:left="850" w:hanging="850"/>
      <w:jc w:val="both"/>
    </w:pPr>
    <w:rPr>
      <w:rFonts w:ascii="Times New Roman" w:hAnsi="Times New Roman" w:cs="Times New Roman"/>
      <w:sz w:val="24"/>
    </w:rPr>
  </w:style>
  <w:style w:type="paragraph" w:customStyle="1" w:styleId="Bullet3">
    <w:name w:val="Bullet 3"/>
    <w:basedOn w:val="Normal"/>
    <w:rsid w:val="007B4D63"/>
    <w:pPr>
      <w:numPr>
        <w:numId w:val="14"/>
      </w:numPr>
      <w:tabs>
        <w:tab w:val="clear" w:pos="2551"/>
        <w:tab w:val="num" w:pos="360"/>
      </w:tabs>
      <w:spacing w:before="120" w:after="120" w:line="240" w:lineRule="auto"/>
      <w:ind w:left="360" w:hanging="360"/>
      <w:jc w:val="both"/>
    </w:pPr>
    <w:rPr>
      <w:rFonts w:ascii="Times New Roman" w:hAnsi="Times New Roman" w:cs="Times New Roman"/>
      <w:sz w:val="24"/>
    </w:rPr>
  </w:style>
  <w:style w:type="paragraph" w:customStyle="1" w:styleId="Bullet4">
    <w:name w:val="Bullet 4"/>
    <w:basedOn w:val="Normal"/>
    <w:rsid w:val="007B4D63"/>
    <w:pPr>
      <w:numPr>
        <w:numId w:val="15"/>
      </w:numPr>
      <w:tabs>
        <w:tab w:val="clear" w:pos="3118"/>
        <w:tab w:val="num" w:pos="643"/>
      </w:tabs>
      <w:spacing w:before="120" w:after="120" w:line="240" w:lineRule="auto"/>
      <w:ind w:left="643" w:hanging="360"/>
      <w:jc w:val="both"/>
    </w:pPr>
    <w:rPr>
      <w:rFonts w:ascii="Times New Roman" w:hAnsi="Times New Roman" w:cs="Times New Roman"/>
      <w:sz w:val="24"/>
    </w:rPr>
  </w:style>
  <w:style w:type="paragraph" w:customStyle="1" w:styleId="Langue">
    <w:name w:val="Langue"/>
    <w:basedOn w:val="Normal"/>
    <w:next w:val="Rfrenceinterne"/>
    <w:rsid w:val="00645BC7"/>
    <w:pPr>
      <w:framePr w:wrap="around" w:vAnchor="page" w:hAnchor="text" w:xAlign="center" w:y="14741"/>
      <w:spacing w:after="600" w:line="240" w:lineRule="auto"/>
      <w:jc w:val="center"/>
    </w:pPr>
    <w:rPr>
      <w:rFonts w:ascii="Times New Roman" w:hAnsi="Times New Roman" w:cs="Times New Roman"/>
      <w:b/>
      <w:caps/>
      <w:sz w:val="24"/>
    </w:rPr>
  </w:style>
  <w:style w:type="paragraph" w:customStyle="1" w:styleId="Nomdelinstitution">
    <w:name w:val="Nom de l'institution"/>
    <w:basedOn w:val="Normal"/>
    <w:next w:val="Emission"/>
    <w:rsid w:val="00645BC7"/>
    <w:pPr>
      <w:spacing w:after="0" w:line="240" w:lineRule="auto"/>
    </w:pPr>
    <w:rPr>
      <w:rFonts w:ascii="Arial" w:hAnsi="Arial" w:cs="Arial"/>
      <w:sz w:val="24"/>
    </w:rPr>
  </w:style>
  <w:style w:type="paragraph" w:customStyle="1" w:styleId="Emission">
    <w:name w:val="Emission"/>
    <w:basedOn w:val="Normal"/>
    <w:next w:val="Rfrenceinstitutionnelle"/>
    <w:rsid w:val="00645BC7"/>
    <w:pPr>
      <w:spacing w:after="0" w:line="240" w:lineRule="auto"/>
      <w:ind w:left="5103"/>
    </w:pPr>
    <w:rPr>
      <w:rFonts w:ascii="Times New Roman" w:hAnsi="Times New Roman" w:cs="Times New Roman"/>
      <w:sz w:val="24"/>
    </w:rPr>
  </w:style>
  <w:style w:type="paragraph" w:customStyle="1" w:styleId="Rfrenceinstitutionnelle">
    <w:name w:val="Référence institutionnelle"/>
    <w:basedOn w:val="Normal"/>
    <w:next w:val="Confidentialit"/>
    <w:rsid w:val="00645BC7"/>
    <w:pPr>
      <w:spacing w:after="240" w:line="240" w:lineRule="auto"/>
      <w:ind w:left="5103"/>
    </w:pPr>
    <w:rPr>
      <w:rFonts w:ascii="Times New Roman" w:hAnsi="Times New Roman" w:cs="Times New Roman"/>
      <w:sz w:val="24"/>
    </w:rPr>
  </w:style>
  <w:style w:type="paragraph" w:customStyle="1" w:styleId="Pagedecouverture">
    <w:name w:val="Page de couverture"/>
    <w:basedOn w:val="Normal"/>
    <w:next w:val="Normal"/>
    <w:rsid w:val="00645BC7"/>
    <w:pPr>
      <w:spacing w:after="0" w:line="240" w:lineRule="auto"/>
      <w:jc w:val="both"/>
    </w:pPr>
    <w:rPr>
      <w:rFonts w:ascii="Times New Roman" w:hAnsi="Times New Roman" w:cs="Times New Roman"/>
      <w:sz w:val="24"/>
    </w:rPr>
  </w:style>
  <w:style w:type="paragraph" w:customStyle="1" w:styleId="Declassification">
    <w:name w:val="Declassification"/>
    <w:basedOn w:val="Normal"/>
    <w:next w:val="Normal"/>
    <w:rsid w:val="00645BC7"/>
    <w:pPr>
      <w:spacing w:after="0" w:line="240" w:lineRule="auto"/>
      <w:jc w:val="both"/>
    </w:pPr>
    <w:rPr>
      <w:rFonts w:ascii="Times New Roman" w:hAnsi="Times New Roman" w:cs="Times New Roman"/>
      <w:sz w:val="24"/>
    </w:rPr>
  </w:style>
  <w:style w:type="paragraph" w:customStyle="1" w:styleId="Disclaimer">
    <w:name w:val="Disclaimer"/>
    <w:basedOn w:val="Normal"/>
    <w:rsid w:val="00645BC7"/>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rsid w:val="00CF7AB7"/>
    <w:pPr>
      <w:spacing w:after="0"/>
      <w:ind w:left="5103"/>
    </w:pPr>
    <w:rPr>
      <w:rFonts w:ascii="Times New Roman" w:eastAsiaTheme="minorHAnsi" w:hAnsi="Times New Roman" w:cs="Times New Roman"/>
      <w:sz w:val="28"/>
    </w:rPr>
  </w:style>
  <w:style w:type="paragraph" w:customStyle="1" w:styleId="DateMarking">
    <w:name w:val="DateMarking"/>
    <w:basedOn w:val="Normal"/>
    <w:rsid w:val="00CF7AB7"/>
    <w:pPr>
      <w:spacing w:after="0"/>
      <w:ind w:left="5103"/>
    </w:pPr>
    <w:rPr>
      <w:rFonts w:ascii="Times New Roman" w:eastAsiaTheme="minorHAnsi" w:hAnsi="Times New Roman" w:cs="Times New Roman"/>
      <w:i/>
      <w:sz w:val="28"/>
    </w:rPr>
  </w:style>
  <w:style w:type="paragraph" w:customStyle="1" w:styleId="ReleasableTo">
    <w:name w:val="ReleasableTo"/>
    <w:basedOn w:val="Normal"/>
    <w:rsid w:val="00CF7AB7"/>
    <w:pPr>
      <w:spacing w:after="0"/>
      <w:ind w:left="5103"/>
    </w:pPr>
    <w:rPr>
      <w:rFonts w:ascii="Times New Roman" w:eastAsiaTheme="minorHAnsi" w:hAnsi="Times New Roman" w:cs="Times New Roman"/>
      <w:i/>
      <w:sz w:val="28"/>
    </w:rPr>
  </w:style>
  <w:style w:type="paragraph" w:customStyle="1" w:styleId="Annexetitreexpos">
    <w:name w:val="Annexe titre (exposé)"/>
    <w:basedOn w:val="Normal"/>
    <w:next w:val="Normal"/>
    <w:rsid w:val="00645BC7"/>
    <w:pPr>
      <w:spacing w:before="120" w:after="120" w:line="240" w:lineRule="auto"/>
      <w:jc w:val="center"/>
    </w:pPr>
    <w:rPr>
      <w:rFonts w:ascii="Times New Roman" w:hAnsi="Times New Roman" w:cs="Times New Roman"/>
      <w:b/>
      <w:sz w:val="24"/>
      <w:u w:val="single"/>
    </w:rPr>
  </w:style>
  <w:style w:type="paragraph" w:customStyle="1" w:styleId="Annexetitre">
    <w:name w:val="Annexe titre"/>
    <w:basedOn w:val="Normal"/>
    <w:next w:val="Normal"/>
    <w:rsid w:val="00645BC7"/>
    <w:pPr>
      <w:spacing w:before="120" w:after="120" w:line="240" w:lineRule="auto"/>
      <w:jc w:val="center"/>
    </w:pPr>
    <w:rPr>
      <w:rFonts w:ascii="Times New Roman" w:hAnsi="Times New Roman" w:cs="Times New Roman"/>
      <w:b/>
      <w:sz w:val="24"/>
      <w:u w:val="single"/>
    </w:rPr>
  </w:style>
  <w:style w:type="paragraph" w:customStyle="1" w:styleId="Annexetitrefichefinancire">
    <w:name w:val="Annexe titre (fiche financière)"/>
    <w:basedOn w:val="Normal"/>
    <w:next w:val="Normal"/>
    <w:rsid w:val="00645BC7"/>
    <w:pPr>
      <w:spacing w:before="120" w:after="120" w:line="240" w:lineRule="auto"/>
      <w:jc w:val="center"/>
    </w:pPr>
    <w:rPr>
      <w:rFonts w:ascii="Times New Roman" w:hAnsi="Times New Roman" w:cs="Times New Roman"/>
      <w:b/>
      <w:sz w:val="24"/>
      <w:u w:val="single"/>
    </w:rPr>
  </w:style>
  <w:style w:type="paragraph" w:customStyle="1" w:styleId="Applicationdirecte">
    <w:name w:val="Application directe"/>
    <w:basedOn w:val="Normal"/>
    <w:next w:val="Fait"/>
    <w:rsid w:val="00645BC7"/>
    <w:pPr>
      <w:spacing w:before="480" w:after="120" w:line="240" w:lineRule="auto"/>
      <w:jc w:val="both"/>
    </w:pPr>
    <w:rPr>
      <w:rFonts w:ascii="Times New Roman" w:hAnsi="Times New Roman" w:cs="Times New Roman"/>
      <w:sz w:val="24"/>
    </w:rPr>
  </w:style>
  <w:style w:type="paragraph" w:customStyle="1" w:styleId="Avertissementtitre">
    <w:name w:val="Avertissement titre"/>
    <w:basedOn w:val="Normal"/>
    <w:next w:val="Normal"/>
    <w:rsid w:val="00645BC7"/>
    <w:pPr>
      <w:keepNext/>
      <w:spacing w:before="480" w:after="120" w:line="240" w:lineRule="auto"/>
      <w:jc w:val="both"/>
    </w:pPr>
    <w:rPr>
      <w:rFonts w:ascii="Times New Roman" w:hAnsi="Times New Roman" w:cs="Times New Roman"/>
      <w:sz w:val="24"/>
      <w:u w:val="single"/>
    </w:rPr>
  </w:style>
  <w:style w:type="paragraph" w:customStyle="1" w:styleId="Confidence">
    <w:name w:val="Confidence"/>
    <w:basedOn w:val="Normal"/>
    <w:next w:val="Normal"/>
    <w:rsid w:val="00645BC7"/>
    <w:pPr>
      <w:spacing w:before="360" w:after="120" w:line="240" w:lineRule="auto"/>
      <w:jc w:val="center"/>
    </w:pPr>
    <w:rPr>
      <w:rFonts w:ascii="Times New Roman" w:hAnsi="Times New Roman" w:cs="Times New Roman"/>
      <w:sz w:val="24"/>
    </w:rPr>
  </w:style>
  <w:style w:type="paragraph" w:customStyle="1" w:styleId="Confidentialit">
    <w:name w:val="Confidentialité"/>
    <w:basedOn w:val="Normal"/>
    <w:next w:val="TypedudocumentPagedecouverture"/>
    <w:rsid w:val="00645BC7"/>
    <w:pPr>
      <w:spacing w:before="240" w:after="240" w:line="240" w:lineRule="auto"/>
      <w:ind w:left="5103"/>
    </w:pPr>
    <w:rPr>
      <w:rFonts w:ascii="Times New Roman" w:hAnsi="Times New Roman" w:cs="Times New Roman"/>
      <w:i/>
      <w:sz w:val="32"/>
    </w:rPr>
  </w:style>
  <w:style w:type="paragraph" w:customStyle="1" w:styleId="Considrant">
    <w:name w:val="Considérant"/>
    <w:basedOn w:val="Normal"/>
    <w:rsid w:val="007B4D63"/>
    <w:pPr>
      <w:numPr>
        <w:numId w:val="16"/>
      </w:numPr>
      <w:tabs>
        <w:tab w:val="clear" w:pos="709"/>
        <w:tab w:val="num" w:pos="926"/>
      </w:tabs>
      <w:spacing w:before="120" w:after="120" w:line="240" w:lineRule="auto"/>
      <w:ind w:left="926" w:hanging="360"/>
      <w:jc w:val="both"/>
    </w:pPr>
    <w:rPr>
      <w:rFonts w:ascii="Times New Roman" w:hAnsi="Times New Roman" w:cs="Times New Roman"/>
      <w:sz w:val="24"/>
    </w:rPr>
  </w:style>
  <w:style w:type="paragraph" w:customStyle="1" w:styleId="Corrigendum">
    <w:name w:val="Corrigendum"/>
    <w:basedOn w:val="Normal"/>
    <w:next w:val="Normal"/>
    <w:rsid w:val="00645BC7"/>
    <w:pPr>
      <w:spacing w:after="240" w:line="240" w:lineRule="auto"/>
    </w:pPr>
    <w:rPr>
      <w:rFonts w:ascii="Times New Roman" w:hAnsi="Times New Roman" w:cs="Times New Roman"/>
      <w:sz w:val="24"/>
    </w:rPr>
  </w:style>
  <w:style w:type="paragraph" w:customStyle="1" w:styleId="Datedadoption">
    <w:name w:val="Date d'adoption"/>
    <w:basedOn w:val="Normal"/>
    <w:next w:val="IntrtEEE"/>
    <w:rsid w:val="00645BC7"/>
    <w:pPr>
      <w:spacing w:before="360" w:after="0" w:line="240" w:lineRule="auto"/>
      <w:jc w:val="center"/>
    </w:pPr>
    <w:rPr>
      <w:rFonts w:ascii="Times New Roman" w:hAnsi="Times New Roman" w:cs="Times New Roman"/>
      <w:b/>
      <w:sz w:val="24"/>
    </w:rPr>
  </w:style>
  <w:style w:type="paragraph" w:customStyle="1" w:styleId="Exposdesmotifstitre">
    <w:name w:val="Exposé des motifs titre"/>
    <w:basedOn w:val="Normal"/>
    <w:next w:val="Normal"/>
    <w:rsid w:val="00645BC7"/>
    <w:pPr>
      <w:spacing w:before="120" w:after="120" w:line="240" w:lineRule="auto"/>
      <w:jc w:val="center"/>
    </w:pPr>
    <w:rPr>
      <w:rFonts w:ascii="Times New Roman" w:hAnsi="Times New Roman" w:cs="Times New Roman"/>
      <w:b/>
      <w:sz w:val="24"/>
      <w:u w:val="single"/>
    </w:rPr>
  </w:style>
  <w:style w:type="paragraph" w:customStyle="1" w:styleId="Fait">
    <w:name w:val="Fait à"/>
    <w:basedOn w:val="Normal"/>
    <w:next w:val="Institutionquisigne"/>
    <w:rsid w:val="00645BC7"/>
    <w:pPr>
      <w:keepNext/>
      <w:spacing w:before="120" w:after="0" w:line="240" w:lineRule="auto"/>
      <w:jc w:val="both"/>
    </w:pPr>
    <w:rPr>
      <w:rFonts w:ascii="Times New Roman" w:hAnsi="Times New Roman" w:cs="Times New Roman"/>
      <w:sz w:val="24"/>
    </w:rPr>
  </w:style>
  <w:style w:type="paragraph" w:customStyle="1" w:styleId="Formuledadoption">
    <w:name w:val="Formule d'adoption"/>
    <w:basedOn w:val="Normal"/>
    <w:next w:val="Titrearticle"/>
    <w:rsid w:val="00645BC7"/>
    <w:pPr>
      <w:keepNext/>
      <w:spacing w:before="120" w:after="120" w:line="240" w:lineRule="auto"/>
      <w:jc w:val="both"/>
    </w:pPr>
    <w:rPr>
      <w:rFonts w:ascii="Times New Roman" w:hAnsi="Times New Roman" w:cs="Times New Roman"/>
      <w:sz w:val="24"/>
    </w:rPr>
  </w:style>
  <w:style w:type="paragraph" w:customStyle="1" w:styleId="Institutionquiagit">
    <w:name w:val="Institution qui agit"/>
    <w:basedOn w:val="Normal"/>
    <w:next w:val="Normal"/>
    <w:rsid w:val="00645BC7"/>
    <w:pPr>
      <w:keepNext/>
      <w:spacing w:before="600" w:after="120" w:line="240" w:lineRule="auto"/>
      <w:jc w:val="both"/>
    </w:pPr>
    <w:rPr>
      <w:rFonts w:ascii="Times New Roman" w:hAnsi="Times New Roman" w:cs="Times New Roman"/>
      <w:sz w:val="24"/>
    </w:rPr>
  </w:style>
  <w:style w:type="paragraph" w:customStyle="1" w:styleId="Institutionquisigne">
    <w:name w:val="Institution qui signe"/>
    <w:basedOn w:val="Normal"/>
    <w:next w:val="Personnequisigne"/>
    <w:rsid w:val="00645BC7"/>
    <w:pPr>
      <w:keepNext/>
      <w:tabs>
        <w:tab w:val="left" w:pos="4252"/>
      </w:tabs>
      <w:spacing w:before="720" w:after="0" w:line="240" w:lineRule="auto"/>
      <w:jc w:val="both"/>
    </w:pPr>
    <w:rPr>
      <w:rFonts w:ascii="Times New Roman" w:hAnsi="Times New Roman" w:cs="Times New Roman"/>
      <w:i/>
      <w:sz w:val="24"/>
    </w:rPr>
  </w:style>
  <w:style w:type="paragraph" w:customStyle="1" w:styleId="ManualConsidrant">
    <w:name w:val="Manual Considérant"/>
    <w:basedOn w:val="Normal"/>
    <w:rsid w:val="00645BC7"/>
    <w:pPr>
      <w:spacing w:before="120" w:after="120" w:line="240" w:lineRule="auto"/>
      <w:ind w:left="709" w:hanging="709"/>
      <w:jc w:val="both"/>
    </w:pPr>
    <w:rPr>
      <w:rFonts w:ascii="Times New Roman" w:hAnsi="Times New Roman" w:cs="Times New Roman"/>
      <w:sz w:val="24"/>
    </w:rPr>
  </w:style>
  <w:style w:type="paragraph" w:customStyle="1" w:styleId="Personnequisigne">
    <w:name w:val="Personne qui signe"/>
    <w:basedOn w:val="Normal"/>
    <w:next w:val="Institutionquisigne"/>
    <w:rsid w:val="00645BC7"/>
    <w:pPr>
      <w:tabs>
        <w:tab w:val="left" w:pos="4252"/>
      </w:tabs>
      <w:spacing w:after="0" w:line="240" w:lineRule="auto"/>
    </w:pPr>
    <w:rPr>
      <w:rFonts w:ascii="Times New Roman" w:hAnsi="Times New Roman" w:cs="Times New Roman"/>
      <w:i/>
      <w:sz w:val="24"/>
    </w:rPr>
  </w:style>
  <w:style w:type="paragraph" w:customStyle="1" w:styleId="Rfrenceinterinstitutionnelle">
    <w:name w:val="Référence interinstitutionnelle"/>
    <w:basedOn w:val="Normal"/>
    <w:next w:val="Statut"/>
    <w:rsid w:val="00645BC7"/>
    <w:pPr>
      <w:spacing w:after="0" w:line="240" w:lineRule="auto"/>
      <w:ind w:left="5103"/>
    </w:pPr>
    <w:rPr>
      <w:rFonts w:ascii="Times New Roman" w:hAnsi="Times New Roman" w:cs="Times New Roman"/>
      <w:sz w:val="24"/>
    </w:rPr>
  </w:style>
  <w:style w:type="paragraph" w:customStyle="1" w:styleId="Rfrenceinterne">
    <w:name w:val="Référence interne"/>
    <w:basedOn w:val="Normal"/>
    <w:next w:val="Rfrenceinterinstitutionnelle"/>
    <w:rsid w:val="00645BC7"/>
    <w:pPr>
      <w:spacing w:after="0" w:line="240" w:lineRule="auto"/>
      <w:ind w:left="5103"/>
    </w:pPr>
    <w:rPr>
      <w:rFonts w:ascii="Times New Roman" w:hAnsi="Times New Roman" w:cs="Times New Roman"/>
      <w:sz w:val="24"/>
    </w:rPr>
  </w:style>
  <w:style w:type="paragraph" w:customStyle="1" w:styleId="Statut">
    <w:name w:val="Statut"/>
    <w:basedOn w:val="Normal"/>
    <w:next w:val="Typedudocument"/>
    <w:rsid w:val="00645BC7"/>
    <w:pPr>
      <w:spacing w:after="240" w:line="240" w:lineRule="auto"/>
      <w:jc w:val="center"/>
    </w:pPr>
    <w:rPr>
      <w:rFonts w:ascii="Times New Roman" w:hAnsi="Times New Roman" w:cs="Times New Roman"/>
      <w:sz w:val="24"/>
    </w:rPr>
  </w:style>
  <w:style w:type="paragraph" w:customStyle="1" w:styleId="Titrearticle">
    <w:name w:val="Titre article"/>
    <w:basedOn w:val="Normal"/>
    <w:next w:val="Normal"/>
    <w:rsid w:val="00645BC7"/>
    <w:pPr>
      <w:keepNext/>
      <w:spacing w:before="360" w:after="120" w:line="240" w:lineRule="auto"/>
      <w:jc w:val="center"/>
    </w:pPr>
    <w:rPr>
      <w:rFonts w:ascii="Times New Roman" w:hAnsi="Times New Roman" w:cs="Times New Roman"/>
      <w:i/>
      <w:sz w:val="24"/>
    </w:rPr>
  </w:style>
  <w:style w:type="paragraph" w:customStyle="1" w:styleId="Typedudocument">
    <w:name w:val="Type du document"/>
    <w:basedOn w:val="Normal"/>
    <w:next w:val="Accompagnant"/>
    <w:rsid w:val="00645BC7"/>
    <w:pPr>
      <w:spacing w:before="360" w:after="180" w:line="240" w:lineRule="auto"/>
      <w:jc w:val="center"/>
    </w:pPr>
    <w:rPr>
      <w:rFonts w:ascii="Times New Roman" w:hAnsi="Times New Roman" w:cs="Times New Roman"/>
      <w:b/>
      <w:sz w:val="24"/>
    </w:rPr>
  </w:style>
  <w:style w:type="character" w:customStyle="1" w:styleId="Added">
    <w:name w:val="Added"/>
    <w:rsid w:val="00645BC7"/>
    <w:rPr>
      <w:b/>
      <w:u w:val="single"/>
      <w:shd w:val="clear" w:color="auto" w:fill="auto"/>
    </w:rPr>
  </w:style>
  <w:style w:type="character" w:customStyle="1" w:styleId="Deleted">
    <w:name w:val="Deleted"/>
    <w:rsid w:val="00645BC7"/>
    <w:rPr>
      <w:strike/>
      <w:dstrike w:val="0"/>
      <w:shd w:val="clear" w:color="auto" w:fill="auto"/>
    </w:rPr>
  </w:style>
  <w:style w:type="paragraph" w:customStyle="1" w:styleId="Address">
    <w:name w:val="Address"/>
    <w:basedOn w:val="Normal"/>
    <w:next w:val="Normal"/>
    <w:rsid w:val="00645BC7"/>
    <w:pPr>
      <w:keepLines/>
      <w:spacing w:before="120" w:after="120" w:line="360" w:lineRule="auto"/>
      <w:ind w:left="3402"/>
    </w:pPr>
    <w:rPr>
      <w:rFonts w:ascii="Times New Roman" w:hAnsi="Times New Roman" w:cs="Times New Roman"/>
      <w:sz w:val="24"/>
    </w:rPr>
  </w:style>
  <w:style w:type="paragraph" w:customStyle="1" w:styleId="Objetexterne">
    <w:name w:val="Objet externe"/>
    <w:basedOn w:val="Normal"/>
    <w:next w:val="Normal"/>
    <w:rsid w:val="00645BC7"/>
    <w:pPr>
      <w:spacing w:before="120" w:after="120" w:line="240" w:lineRule="auto"/>
      <w:jc w:val="both"/>
    </w:pPr>
    <w:rPr>
      <w:rFonts w:ascii="Times New Roman" w:hAnsi="Times New Roman" w:cs="Times New Roman"/>
      <w:i/>
      <w:caps/>
      <w:sz w:val="24"/>
    </w:rPr>
  </w:style>
  <w:style w:type="paragraph" w:customStyle="1" w:styleId="Supertitre">
    <w:name w:val="Supertitre"/>
    <w:basedOn w:val="Normal"/>
    <w:next w:val="Normal"/>
    <w:rsid w:val="00645BC7"/>
    <w:pPr>
      <w:spacing w:after="600" w:line="240" w:lineRule="auto"/>
      <w:jc w:val="center"/>
    </w:pPr>
    <w:rPr>
      <w:rFonts w:ascii="Times New Roman" w:hAnsi="Times New Roman" w:cs="Times New Roman"/>
      <w:b/>
      <w:sz w:val="24"/>
    </w:rPr>
  </w:style>
  <w:style w:type="paragraph" w:customStyle="1" w:styleId="Languesfaisantfoi">
    <w:name w:val="Langues faisant foi"/>
    <w:basedOn w:val="Normal"/>
    <w:next w:val="Normal"/>
    <w:rsid w:val="00645BC7"/>
    <w:pPr>
      <w:spacing w:before="360" w:after="0" w:line="240" w:lineRule="auto"/>
      <w:jc w:val="center"/>
    </w:pPr>
    <w:rPr>
      <w:rFonts w:ascii="Times New Roman" w:hAnsi="Times New Roman" w:cs="Times New Roman"/>
      <w:sz w:val="24"/>
    </w:rPr>
  </w:style>
  <w:style w:type="paragraph" w:customStyle="1" w:styleId="Rfrencecroise">
    <w:name w:val="Référence croisée"/>
    <w:basedOn w:val="Normal"/>
    <w:rsid w:val="00645BC7"/>
    <w:pPr>
      <w:spacing w:after="0" w:line="240" w:lineRule="auto"/>
      <w:jc w:val="center"/>
    </w:pPr>
    <w:rPr>
      <w:rFonts w:ascii="Times New Roman" w:hAnsi="Times New Roman" w:cs="Times New Roman"/>
      <w:sz w:val="24"/>
    </w:rPr>
  </w:style>
  <w:style w:type="paragraph" w:customStyle="1" w:styleId="Fichefinanciretitre">
    <w:name w:val="Fiche financière titre"/>
    <w:basedOn w:val="Normal"/>
    <w:next w:val="Normal"/>
    <w:rsid w:val="00645BC7"/>
    <w:pPr>
      <w:spacing w:before="120" w:after="120" w:line="240" w:lineRule="auto"/>
      <w:jc w:val="center"/>
    </w:pPr>
    <w:rPr>
      <w:rFonts w:ascii="Times New Roman" w:hAnsi="Times New Roman" w:cs="Times New Roman"/>
      <w:b/>
      <w:sz w:val="24"/>
      <w:u w:val="single"/>
    </w:rPr>
  </w:style>
  <w:style w:type="paragraph" w:customStyle="1" w:styleId="DatedadoptionPagedecouverture">
    <w:name w:val="Date d'adoption (Page de couverture)"/>
    <w:basedOn w:val="Datedadoption"/>
    <w:next w:val="IntrtEEEPagedecouverture"/>
    <w:rsid w:val="00645BC7"/>
  </w:style>
  <w:style w:type="paragraph" w:customStyle="1" w:styleId="RfrenceinterinstitutionnellePagedecouverture">
    <w:name w:val="Référence interinstitutionnelle (Page de couverture)"/>
    <w:basedOn w:val="Rfrenceinterinstitutionnelle"/>
    <w:next w:val="Confidentialit"/>
    <w:rsid w:val="00645BC7"/>
  </w:style>
  <w:style w:type="paragraph" w:customStyle="1" w:styleId="StatutPagedecouverture">
    <w:name w:val="Statut (Page de couverture)"/>
    <w:basedOn w:val="Statut"/>
    <w:next w:val="TypedudocumentPagedecouverture"/>
    <w:rsid w:val="00645BC7"/>
  </w:style>
  <w:style w:type="paragraph" w:customStyle="1" w:styleId="TypedudocumentPagedecouverture">
    <w:name w:val="Type du document (Page de couverture)"/>
    <w:basedOn w:val="Typedudocument"/>
    <w:next w:val="AccompagnantPagedecouverture"/>
    <w:rsid w:val="00645BC7"/>
  </w:style>
  <w:style w:type="paragraph" w:customStyle="1" w:styleId="Volume">
    <w:name w:val="Volume"/>
    <w:basedOn w:val="Normal"/>
    <w:next w:val="Confidentialit"/>
    <w:rsid w:val="00645BC7"/>
    <w:pPr>
      <w:spacing w:after="240" w:line="240" w:lineRule="auto"/>
      <w:ind w:left="5103"/>
    </w:pPr>
    <w:rPr>
      <w:rFonts w:ascii="Times New Roman" w:hAnsi="Times New Roman" w:cs="Times New Roman"/>
      <w:sz w:val="24"/>
    </w:rPr>
  </w:style>
  <w:style w:type="paragraph" w:customStyle="1" w:styleId="IntrtEEE">
    <w:name w:val="Intérêt EEE"/>
    <w:basedOn w:val="Languesfaisantfoi"/>
    <w:next w:val="Normal"/>
    <w:rsid w:val="00645BC7"/>
    <w:pPr>
      <w:spacing w:after="240"/>
    </w:pPr>
  </w:style>
  <w:style w:type="paragraph" w:customStyle="1" w:styleId="Accompagnant">
    <w:name w:val="Accompagnant"/>
    <w:basedOn w:val="Normal"/>
    <w:next w:val="Typeacteprincipal"/>
    <w:rsid w:val="00645BC7"/>
    <w:pPr>
      <w:spacing w:before="180" w:after="240" w:line="240" w:lineRule="auto"/>
      <w:jc w:val="center"/>
    </w:pPr>
    <w:rPr>
      <w:rFonts w:ascii="Times New Roman" w:hAnsi="Times New Roman" w:cs="Times New Roman"/>
      <w:b/>
      <w:sz w:val="24"/>
    </w:rPr>
  </w:style>
  <w:style w:type="paragraph" w:customStyle="1" w:styleId="Typeacteprincipal">
    <w:name w:val="Type acte principal"/>
    <w:basedOn w:val="Normal"/>
    <w:next w:val="Objetacteprincipal"/>
    <w:rsid w:val="00645BC7"/>
    <w:pPr>
      <w:spacing w:after="240" w:line="240" w:lineRule="auto"/>
      <w:jc w:val="center"/>
    </w:pPr>
    <w:rPr>
      <w:rFonts w:ascii="Times New Roman" w:hAnsi="Times New Roman" w:cs="Times New Roman"/>
      <w:b/>
      <w:sz w:val="24"/>
    </w:rPr>
  </w:style>
  <w:style w:type="paragraph" w:customStyle="1" w:styleId="Objetacteprincipal">
    <w:name w:val="Objet acte principal"/>
    <w:basedOn w:val="Normal"/>
    <w:next w:val="Titrearticle"/>
    <w:rsid w:val="00645BC7"/>
    <w:pPr>
      <w:spacing w:after="360" w:line="240" w:lineRule="auto"/>
      <w:jc w:val="center"/>
    </w:pPr>
    <w:rPr>
      <w:rFonts w:ascii="Times New Roman" w:hAnsi="Times New Roman" w:cs="Times New Roman"/>
      <w:b/>
      <w:sz w:val="24"/>
    </w:rPr>
  </w:style>
  <w:style w:type="paragraph" w:customStyle="1" w:styleId="IntrtEEEPagedecouverture">
    <w:name w:val="Intérêt EEE (Page de couverture)"/>
    <w:basedOn w:val="IntrtEEE"/>
    <w:next w:val="Rfrencecroise"/>
    <w:rsid w:val="00645BC7"/>
  </w:style>
  <w:style w:type="paragraph" w:customStyle="1" w:styleId="AccompagnantPagedecouverture">
    <w:name w:val="Accompagnant (Page de couverture)"/>
    <w:basedOn w:val="Accompagnant"/>
    <w:next w:val="TypeacteprincipalPagedecouverture"/>
    <w:rsid w:val="00645BC7"/>
  </w:style>
  <w:style w:type="paragraph" w:customStyle="1" w:styleId="TypeacteprincipalPagedecouverture">
    <w:name w:val="Type acte principal (Page de couverture)"/>
    <w:basedOn w:val="Typeacteprincipal"/>
    <w:next w:val="ObjetacteprincipalPagedecouverture"/>
    <w:rsid w:val="00645BC7"/>
  </w:style>
  <w:style w:type="paragraph" w:customStyle="1" w:styleId="ObjetacteprincipalPagedecouverture">
    <w:name w:val="Objet acte principal (Page de couverture)"/>
    <w:basedOn w:val="Objetacteprincipal"/>
    <w:next w:val="Rfrencecroise"/>
    <w:rsid w:val="00645BC7"/>
  </w:style>
  <w:style w:type="paragraph" w:customStyle="1" w:styleId="LanguesfaisantfoiPagedecouverture">
    <w:name w:val="Langues faisant foi (Page de couverture)"/>
    <w:basedOn w:val="Normal"/>
    <w:next w:val="Normal"/>
    <w:rsid w:val="00645BC7"/>
    <w:pPr>
      <w:spacing w:before="360" w:after="0" w:line="240" w:lineRule="auto"/>
      <w:jc w:val="center"/>
    </w:pPr>
    <w:rPr>
      <w:rFonts w:ascii="Times New Roman" w:hAnsi="Times New Roman" w:cs="Times New Roman"/>
      <w:sz w:val="24"/>
    </w:rPr>
  </w:style>
  <w:style w:type="character" w:styleId="CommentReference">
    <w:name w:val="annotation reference"/>
    <w:uiPriority w:val="99"/>
    <w:unhideWhenUsed/>
    <w:rsid w:val="00645BC7"/>
    <w:rPr>
      <w:sz w:val="16"/>
      <w:szCs w:val="16"/>
    </w:rPr>
  </w:style>
  <w:style w:type="paragraph" w:styleId="CommentText">
    <w:name w:val="annotation text"/>
    <w:basedOn w:val="Normal"/>
    <w:link w:val="CommentTextChar"/>
    <w:uiPriority w:val="99"/>
    <w:unhideWhenUsed/>
    <w:rsid w:val="00645BC7"/>
    <w:pPr>
      <w:spacing w:before="120" w:after="120" w:line="240" w:lineRule="auto"/>
      <w:jc w:val="both"/>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sid w:val="00645BC7"/>
    <w:rPr>
      <w:rFonts w:ascii="Times New Roman" w:eastAsia="Calibri" w:hAnsi="Times New Roman" w:cs="Times New Roman"/>
      <w:sz w:val="20"/>
      <w:szCs w:val="20"/>
    </w:rPr>
  </w:style>
  <w:style w:type="paragraph" w:styleId="ListParagraph">
    <w:name w:val="List Paragraph"/>
    <w:aliases w:val="numbered list,2,OBC Bullet,Normal 1,Task Body,Viñetas (Inicio Parrafo),Paragrafo elenco,3 Txt tabla,Zerrenda-paragrafoa,Fiche List Paragraph,Dot pt,F5 List Paragraph,List Paragraph1,No Spacing1,List Paragraph Char Char Char,Indicator Text"/>
    <w:basedOn w:val="Normal"/>
    <w:link w:val="ListParagraphChar"/>
    <w:uiPriority w:val="34"/>
    <w:qFormat/>
    <w:rsid w:val="00645BC7"/>
    <w:pPr>
      <w:spacing w:after="160" w:line="259" w:lineRule="auto"/>
      <w:ind w:left="720"/>
      <w:contextualSpacing/>
    </w:pPr>
  </w:style>
  <w:style w:type="character" w:customStyle="1" w:styleId="ListParagraphChar">
    <w:name w:val="List Paragraph Char"/>
    <w:aliases w:val="numbered list Char,2 Char,OBC Bullet Char,Normal 1 Char,Task Body Char,Viñetas (Inicio Parrafo) Char,Paragrafo elenco Char,3 Txt tabla Char,Zerrenda-paragrafoa Char,Fiche List Paragraph Char,Dot pt Char,F5 List Paragraph Char"/>
    <w:link w:val="ListParagraph"/>
    <w:uiPriority w:val="34"/>
    <w:qFormat/>
    <w:locked/>
    <w:rsid w:val="00645BC7"/>
    <w:rPr>
      <w:rFonts w:ascii="Calibri" w:eastAsia="Calibri" w:hAnsi="Calibri" w:cs="Myanmar Text"/>
    </w:rPr>
  </w:style>
  <w:style w:type="character" w:styleId="IntenseEmphasis">
    <w:name w:val="Intense Emphasis"/>
    <w:uiPriority w:val="21"/>
    <w:qFormat/>
    <w:rsid w:val="00645BC7"/>
    <w:rPr>
      <w:i/>
      <w:iCs/>
      <w:color w:val="4F81BD"/>
    </w:rPr>
  </w:style>
  <w:style w:type="paragraph" w:styleId="BalloonText">
    <w:name w:val="Balloon Text"/>
    <w:basedOn w:val="Normal"/>
    <w:link w:val="BalloonTextChar"/>
    <w:uiPriority w:val="99"/>
    <w:semiHidden/>
    <w:unhideWhenUsed/>
    <w:rsid w:val="00645BC7"/>
    <w:pPr>
      <w:spacing w:after="0" w:line="240" w:lineRule="auto"/>
      <w:jc w:val="both"/>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5BC7"/>
    <w:rPr>
      <w:rFonts w:ascii="Segoe UI" w:eastAsia="Calibri" w:hAnsi="Segoe UI" w:cs="Segoe UI"/>
      <w:sz w:val="18"/>
      <w:szCs w:val="18"/>
    </w:rPr>
  </w:style>
  <w:style w:type="paragraph" w:styleId="ListBullet">
    <w:name w:val="List Bullet"/>
    <w:basedOn w:val="Normal"/>
    <w:uiPriority w:val="99"/>
    <w:semiHidden/>
    <w:unhideWhenUsed/>
    <w:rsid w:val="007B4D63"/>
    <w:pPr>
      <w:numPr>
        <w:numId w:val="18"/>
      </w:numPr>
      <w:tabs>
        <w:tab w:val="clear" w:pos="360"/>
      </w:tabs>
      <w:spacing w:before="120" w:after="120" w:line="240" w:lineRule="auto"/>
      <w:contextualSpacing/>
      <w:jc w:val="both"/>
    </w:pPr>
    <w:rPr>
      <w:rFonts w:ascii="Times New Roman" w:hAnsi="Times New Roman" w:cs="Times New Roman"/>
      <w:sz w:val="24"/>
    </w:rPr>
  </w:style>
  <w:style w:type="paragraph" w:styleId="ListBullet2">
    <w:name w:val="List Bullet 2"/>
    <w:basedOn w:val="Normal"/>
    <w:uiPriority w:val="99"/>
    <w:semiHidden/>
    <w:unhideWhenUsed/>
    <w:rsid w:val="007B4D63"/>
    <w:pPr>
      <w:numPr>
        <w:numId w:val="19"/>
      </w:numPr>
      <w:tabs>
        <w:tab w:val="clear" w:pos="643"/>
      </w:tabs>
      <w:spacing w:before="120" w:after="120" w:line="240" w:lineRule="auto"/>
      <w:ind w:left="720"/>
      <w:contextualSpacing/>
      <w:jc w:val="both"/>
    </w:pPr>
    <w:rPr>
      <w:rFonts w:ascii="Times New Roman" w:hAnsi="Times New Roman" w:cs="Times New Roman"/>
      <w:sz w:val="24"/>
    </w:rPr>
  </w:style>
  <w:style w:type="paragraph" w:styleId="ListBullet3">
    <w:name w:val="List Bullet 3"/>
    <w:basedOn w:val="Normal"/>
    <w:uiPriority w:val="99"/>
    <w:semiHidden/>
    <w:unhideWhenUsed/>
    <w:rsid w:val="007B4D63"/>
    <w:pPr>
      <w:numPr>
        <w:numId w:val="20"/>
      </w:numPr>
      <w:tabs>
        <w:tab w:val="clear" w:pos="926"/>
      </w:tabs>
      <w:spacing w:before="120" w:after="120" w:line="240" w:lineRule="auto"/>
      <w:ind w:left="720"/>
      <w:contextualSpacing/>
      <w:jc w:val="both"/>
    </w:pPr>
    <w:rPr>
      <w:rFonts w:ascii="Times New Roman" w:hAnsi="Times New Roman" w:cs="Times New Roman"/>
      <w:sz w:val="24"/>
    </w:rPr>
  </w:style>
  <w:style w:type="paragraph" w:styleId="ListBullet4">
    <w:name w:val="List Bullet 4"/>
    <w:basedOn w:val="Normal"/>
    <w:uiPriority w:val="99"/>
    <w:semiHidden/>
    <w:unhideWhenUsed/>
    <w:rsid w:val="007B4D63"/>
    <w:pPr>
      <w:numPr>
        <w:numId w:val="21"/>
      </w:numPr>
      <w:tabs>
        <w:tab w:val="clear" w:pos="1209"/>
      </w:tabs>
      <w:spacing w:before="120" w:after="120" w:line="240" w:lineRule="auto"/>
      <w:ind w:left="720"/>
      <w:contextualSpacing/>
      <w:jc w:val="both"/>
    </w:pPr>
    <w:rPr>
      <w:rFonts w:ascii="Times New Roman" w:hAnsi="Times New Roman" w:cs="Times New Roman"/>
      <w:sz w:val="24"/>
    </w:rPr>
  </w:style>
  <w:style w:type="paragraph" w:styleId="CommentSubject">
    <w:name w:val="annotation subject"/>
    <w:basedOn w:val="CommentText"/>
    <w:next w:val="CommentText"/>
    <w:link w:val="CommentSubjectChar"/>
    <w:uiPriority w:val="99"/>
    <w:semiHidden/>
    <w:unhideWhenUsed/>
    <w:rsid w:val="00645BC7"/>
    <w:rPr>
      <w:b/>
      <w:bCs/>
    </w:rPr>
  </w:style>
  <w:style w:type="character" w:customStyle="1" w:styleId="CommentSubjectChar">
    <w:name w:val="Comment Subject Char"/>
    <w:basedOn w:val="CommentTextChar"/>
    <w:link w:val="CommentSubject"/>
    <w:uiPriority w:val="99"/>
    <w:semiHidden/>
    <w:rsid w:val="00645BC7"/>
    <w:rPr>
      <w:rFonts w:ascii="Times New Roman" w:eastAsia="Calibri" w:hAnsi="Times New Roman" w:cs="Times New Roman"/>
      <w:b/>
      <w:bCs/>
      <w:sz w:val="20"/>
      <w:szCs w:val="20"/>
    </w:rPr>
  </w:style>
  <w:style w:type="paragraph" w:styleId="Revision">
    <w:name w:val="Revision"/>
    <w:hidden/>
    <w:uiPriority w:val="99"/>
    <w:semiHidden/>
    <w:rsid w:val="00645BC7"/>
    <w:pPr>
      <w:spacing w:after="0" w:line="240" w:lineRule="auto"/>
    </w:pPr>
    <w:rPr>
      <w:rFonts w:ascii="Times New Roman" w:eastAsia="Calibri" w:hAnsi="Times New Roman" w:cs="Times New Roman"/>
      <w:sz w:val="24"/>
    </w:rPr>
  </w:style>
  <w:style w:type="character" w:styleId="Hyperlink">
    <w:name w:val="Hyperlink"/>
    <w:uiPriority w:val="99"/>
    <w:unhideWhenUsed/>
    <w:rsid w:val="00645BC7"/>
    <w:rPr>
      <w:color w:val="0000FF"/>
      <w:u w:val="single"/>
    </w:rPr>
  </w:style>
  <w:style w:type="paragraph" w:customStyle="1" w:styleId="paragraph">
    <w:name w:val="paragraph"/>
    <w:basedOn w:val="Normal"/>
    <w:rsid w:val="00645B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645BC7"/>
  </w:style>
  <w:style w:type="character" w:customStyle="1" w:styleId="normaltextrun">
    <w:name w:val="normaltextrun"/>
    <w:basedOn w:val="DefaultParagraphFont"/>
    <w:rsid w:val="00645BC7"/>
  </w:style>
  <w:style w:type="paragraph" w:customStyle="1" w:styleId="FooterCoverPage">
    <w:name w:val="Footer Cover Page"/>
    <w:basedOn w:val="Normal"/>
    <w:link w:val="FooterCoverPageChar"/>
    <w:rsid w:val="00645BC7"/>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link w:val="FooterCoverPage"/>
    <w:rsid w:val="00645BC7"/>
    <w:rPr>
      <w:rFonts w:ascii="Times New Roman" w:eastAsia="Calibri" w:hAnsi="Times New Roman" w:cs="Times New Roman"/>
      <w:sz w:val="24"/>
    </w:rPr>
  </w:style>
  <w:style w:type="paragraph" w:customStyle="1" w:styleId="HeaderCoverPage">
    <w:name w:val="Header Cover Page"/>
    <w:basedOn w:val="Normal"/>
    <w:link w:val="HeaderCoverPageChar"/>
    <w:rsid w:val="00645BC7"/>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link w:val="HeaderCoverPage"/>
    <w:rsid w:val="00645BC7"/>
    <w:rPr>
      <w:rFonts w:ascii="Times New Roman" w:eastAsia="Calibri" w:hAnsi="Times New Roman" w:cs="Times New Roman"/>
      <w:sz w:val="24"/>
    </w:rPr>
  </w:style>
  <w:style w:type="numbering" w:customStyle="1" w:styleId="NoList2">
    <w:name w:val="No List2"/>
    <w:next w:val="NoList"/>
    <w:uiPriority w:val="99"/>
    <w:semiHidden/>
    <w:unhideWhenUsed/>
    <w:rsid w:val="00645BC7"/>
  </w:style>
  <w:style w:type="paragraph" w:customStyle="1" w:styleId="Titreobjet">
    <w:name w:val="Titre objet"/>
    <w:basedOn w:val="Normal"/>
    <w:next w:val="IntrtEEE"/>
    <w:rsid w:val="00645BC7"/>
    <w:pPr>
      <w:spacing w:before="360" w:after="360" w:line="240" w:lineRule="auto"/>
      <w:jc w:val="center"/>
    </w:pPr>
    <w:rPr>
      <w:rFonts w:ascii="Times New Roman" w:hAnsi="Times New Roman" w:cs="Times New Roman"/>
      <w:b/>
      <w:sz w:val="24"/>
    </w:rPr>
  </w:style>
  <w:style w:type="paragraph" w:customStyle="1" w:styleId="TitreobjetPagedecouverture">
    <w:name w:val="Titre objet (Page de couverture)"/>
    <w:basedOn w:val="Titreobjet"/>
    <w:next w:val="IntrtEEEPagedecouverture"/>
    <w:rsid w:val="00645BC7"/>
  </w:style>
  <w:style w:type="numbering" w:customStyle="1" w:styleId="NoList3">
    <w:name w:val="No List3"/>
    <w:next w:val="NoList"/>
    <w:uiPriority w:val="99"/>
    <w:semiHidden/>
    <w:unhideWhenUsed/>
    <w:rsid w:val="00645BC7"/>
  </w:style>
  <w:style w:type="character" w:customStyle="1" w:styleId="findhit">
    <w:name w:val="findhit"/>
    <w:basedOn w:val="DefaultParagraphFont"/>
    <w:rsid w:val="00645BC7"/>
  </w:style>
  <w:style w:type="numbering" w:customStyle="1" w:styleId="NoList4">
    <w:name w:val="No List4"/>
    <w:next w:val="NoList"/>
    <w:uiPriority w:val="99"/>
    <w:semiHidden/>
    <w:unhideWhenUsed/>
    <w:rsid w:val="00645BC7"/>
  </w:style>
  <w:style w:type="paragraph" w:customStyle="1" w:styleId="TechnicalBlock">
    <w:name w:val="Technical Block"/>
    <w:basedOn w:val="Normal"/>
    <w:link w:val="TechnicalBlockChar"/>
    <w:rsid w:val="00645BC7"/>
    <w:pPr>
      <w:spacing w:after="240" w:line="240" w:lineRule="auto"/>
      <w:jc w:val="center"/>
    </w:pPr>
  </w:style>
  <w:style w:type="character" w:customStyle="1" w:styleId="TechnicalBlockChar">
    <w:name w:val="Technical Block Char"/>
    <w:basedOn w:val="DefaultParagraphFont"/>
    <w:link w:val="TechnicalBlock"/>
    <w:rsid w:val="00645BC7"/>
    <w:rPr>
      <w:rFonts w:ascii="Calibri" w:eastAsia="Calibri" w:hAnsi="Calibri" w:cs="Myanmar Text"/>
    </w:rPr>
  </w:style>
  <w:style w:type="paragraph" w:customStyle="1" w:styleId="EntText">
    <w:name w:val="EntText"/>
    <w:basedOn w:val="Normal"/>
    <w:rsid w:val="009D0F6E"/>
    <w:pPr>
      <w:spacing w:before="120" w:after="120" w:line="360" w:lineRule="auto"/>
    </w:pPr>
    <w:rPr>
      <w:rFonts w:ascii="Times New Roman" w:eastAsiaTheme="minorHAnsi" w:hAnsi="Times New Roman" w:cs="Times New Roman"/>
      <w:sz w:val="24"/>
    </w:rPr>
  </w:style>
  <w:style w:type="paragraph" w:customStyle="1" w:styleId="Lignefinal">
    <w:name w:val="Ligne final"/>
    <w:basedOn w:val="Normal"/>
    <w:next w:val="Normal"/>
    <w:rsid w:val="009D0F6E"/>
    <w:pPr>
      <w:pBdr>
        <w:bottom w:val="single" w:sz="4" w:space="0" w:color="000000"/>
      </w:pBdr>
      <w:spacing w:before="360" w:after="120" w:line="360" w:lineRule="auto"/>
      <w:ind w:left="3400" w:right="3400"/>
      <w:jc w:val="center"/>
    </w:pPr>
    <w:rPr>
      <w:rFonts w:ascii="Times New Roman" w:eastAsiaTheme="minorHAnsi" w:hAnsi="Times New Roman" w:cs="Times New Roman"/>
      <w:b/>
      <w:sz w:val="24"/>
    </w:rPr>
  </w:style>
  <w:style w:type="paragraph" w:customStyle="1" w:styleId="pj">
    <w:name w:val="p.j."/>
    <w:basedOn w:val="Normal"/>
    <w:link w:val="pjChar"/>
    <w:rsid w:val="00645BC7"/>
    <w:pPr>
      <w:spacing w:before="1200" w:after="120" w:line="240" w:lineRule="auto"/>
      <w:ind w:left="1440" w:hanging="1440"/>
    </w:pPr>
    <w:rPr>
      <w:rFonts w:ascii="Times New Roman" w:hAnsi="Times New Roman" w:cs="Times New Roman"/>
      <w:sz w:val="24"/>
    </w:rPr>
  </w:style>
  <w:style w:type="character" w:customStyle="1" w:styleId="pjChar">
    <w:name w:val="p.j. Char"/>
    <w:basedOn w:val="TechnicalBlockChar"/>
    <w:link w:val="pj"/>
    <w:rsid w:val="00645BC7"/>
    <w:rPr>
      <w:rFonts w:ascii="Times New Roman" w:eastAsia="Calibri" w:hAnsi="Times New Roman" w:cs="Times New Roman"/>
      <w:sz w:val="24"/>
    </w:rPr>
  </w:style>
  <w:style w:type="paragraph" w:customStyle="1" w:styleId="nbbordered">
    <w:name w:val="nb bordered"/>
    <w:basedOn w:val="Normal"/>
    <w:link w:val="nbborderedChar"/>
    <w:rsid w:val="00645BC7"/>
    <w:pPr>
      <w:pBdr>
        <w:top w:val="single" w:sz="4" w:space="1" w:color="auto"/>
        <w:left w:val="single" w:sz="4" w:space="4" w:color="auto"/>
        <w:bottom w:val="single" w:sz="4" w:space="1" w:color="auto"/>
        <w:right w:val="single" w:sz="4" w:space="4" w:color="auto"/>
        <w:between w:val="single" w:sz="4" w:space="0" w:color="auto"/>
      </w:pBdr>
      <w:spacing w:after="160" w:line="240" w:lineRule="auto"/>
      <w:ind w:left="480" w:hanging="480"/>
    </w:pPr>
    <w:rPr>
      <w:rFonts w:ascii="Times New Roman" w:hAnsi="Times New Roman" w:cs="Times New Roman"/>
      <w:b/>
      <w:sz w:val="24"/>
    </w:rPr>
  </w:style>
  <w:style w:type="character" w:customStyle="1" w:styleId="nbborderedChar">
    <w:name w:val="nb bordered Char"/>
    <w:basedOn w:val="TechnicalBlockChar"/>
    <w:link w:val="nbbordered"/>
    <w:rsid w:val="00645BC7"/>
    <w:rPr>
      <w:rFonts w:ascii="Times New Roman" w:eastAsia="Calibri" w:hAnsi="Times New Roman" w:cs="Times New Roman"/>
      <w:b/>
      <w:sz w:val="24"/>
    </w:rPr>
  </w:style>
  <w:style w:type="paragraph" w:customStyle="1" w:styleId="HeaderCouncil">
    <w:name w:val="Header Council"/>
    <w:basedOn w:val="Normal"/>
    <w:link w:val="HeaderCouncilChar"/>
    <w:rsid w:val="00645BC7"/>
    <w:pPr>
      <w:spacing w:after="0"/>
    </w:pPr>
    <w:rPr>
      <w:sz w:val="2"/>
    </w:rPr>
  </w:style>
  <w:style w:type="character" w:customStyle="1" w:styleId="HeaderCouncilChar">
    <w:name w:val="Header Council Char"/>
    <w:basedOn w:val="DefaultParagraphFont"/>
    <w:link w:val="HeaderCouncil"/>
    <w:rsid w:val="00645BC7"/>
    <w:rPr>
      <w:rFonts w:ascii="Calibri" w:eastAsia="Calibri" w:hAnsi="Calibri" w:cs="Myanmar Text"/>
      <w:sz w:val="2"/>
    </w:rPr>
  </w:style>
  <w:style w:type="paragraph" w:customStyle="1" w:styleId="HeaderCouncilLarge">
    <w:name w:val="Header Council Large"/>
    <w:basedOn w:val="Normal"/>
    <w:link w:val="HeaderCouncilLargeChar"/>
    <w:rsid w:val="00645BC7"/>
    <w:pPr>
      <w:spacing w:after="440"/>
    </w:pPr>
    <w:rPr>
      <w:sz w:val="2"/>
    </w:rPr>
  </w:style>
  <w:style w:type="character" w:customStyle="1" w:styleId="HeaderCouncilLargeChar">
    <w:name w:val="Header Council Large Char"/>
    <w:basedOn w:val="DefaultParagraphFont"/>
    <w:link w:val="HeaderCouncilLarge"/>
    <w:rsid w:val="00645BC7"/>
    <w:rPr>
      <w:rFonts w:ascii="Calibri" w:eastAsia="Calibri" w:hAnsi="Calibri" w:cs="Myanmar Text"/>
      <w:sz w:val="2"/>
    </w:rPr>
  </w:style>
  <w:style w:type="paragraph" w:customStyle="1" w:styleId="FooterCouncil">
    <w:name w:val="Footer Council"/>
    <w:basedOn w:val="Normal"/>
    <w:link w:val="FooterCouncilChar"/>
    <w:rsid w:val="00645BC7"/>
    <w:pPr>
      <w:spacing w:after="0"/>
    </w:pPr>
    <w:rPr>
      <w:sz w:val="2"/>
    </w:rPr>
  </w:style>
  <w:style w:type="character" w:customStyle="1" w:styleId="FooterCouncilChar">
    <w:name w:val="Footer Council Char"/>
    <w:basedOn w:val="DefaultParagraphFont"/>
    <w:link w:val="FooterCouncil"/>
    <w:rsid w:val="00645BC7"/>
    <w:rPr>
      <w:rFonts w:ascii="Calibri" w:eastAsia="Calibri" w:hAnsi="Calibri" w:cs="Myanmar Text"/>
      <w:sz w:val="2"/>
    </w:rPr>
  </w:style>
  <w:style w:type="paragraph" w:customStyle="1" w:styleId="FooterText">
    <w:name w:val="Footer Text"/>
    <w:basedOn w:val="Normal"/>
    <w:rsid w:val="00645BC7"/>
    <w:pPr>
      <w:spacing w:after="0"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645BC7"/>
    <w:rPr>
      <w:color w:val="808080"/>
    </w:rPr>
  </w:style>
  <w:style w:type="character" w:styleId="FollowedHyperlink">
    <w:name w:val="FollowedHyperlink"/>
    <w:basedOn w:val="DefaultParagraphFont"/>
    <w:uiPriority w:val="99"/>
    <w:semiHidden/>
    <w:unhideWhenUsed/>
    <w:rsid w:val="00645BC7"/>
    <w:rPr>
      <w:color w:val="800080" w:themeColor="followedHyperlink"/>
      <w:u w:val="single"/>
    </w:rPr>
  </w:style>
  <w:style w:type="character" w:customStyle="1" w:styleId="Mention1">
    <w:name w:val="Mention1"/>
    <w:basedOn w:val="DefaultParagraphFont"/>
    <w:uiPriority w:val="99"/>
    <w:unhideWhenUsed/>
    <w:rsid w:val="006F1419"/>
    <w:rPr>
      <w:color w:val="2B579A"/>
      <w:shd w:val="clear" w:color="auto" w:fill="E1DFDD"/>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20">
    <w:name w:val="Mention20"/>
    <w:basedOn w:val="DefaultParagraphFont"/>
    <w:uiPriority w:val="99"/>
    <w:unhideWhenUsed/>
    <w:rsid w:val="005B2317"/>
    <w:rPr>
      <w:color w:val="2B579A"/>
      <w:shd w:val="clear" w:color="auto" w:fill="E1DFDD"/>
    </w:rPr>
  </w:style>
  <w:style w:type="character" w:customStyle="1" w:styleId="Mention2">
    <w:name w:val="Mention2"/>
    <w:basedOn w:val="DefaultParagraphFont"/>
    <w:uiPriority w:val="99"/>
    <w:unhideWhenUsed/>
    <w:rsid w:val="005E589F"/>
    <w:rPr>
      <w:color w:val="2B579A"/>
      <w:shd w:val="clear" w:color="auto" w:fill="E1DFDD"/>
    </w:rPr>
  </w:style>
  <w:style w:type="character" w:customStyle="1" w:styleId="Mention3">
    <w:name w:val="Mention3"/>
    <w:basedOn w:val="DefaultParagraphFont"/>
    <w:uiPriority w:val="99"/>
    <w:unhideWhenUsed/>
    <w:rsid w:val="00786228"/>
    <w:rPr>
      <w:color w:val="2B579A"/>
      <w:shd w:val="clear" w:color="auto" w:fill="E1DFDD"/>
    </w:rPr>
  </w:style>
  <w:style w:type="character" w:customStyle="1" w:styleId="Mention30">
    <w:name w:val="Mention30"/>
    <w:basedOn w:val="DefaultParagraphFont"/>
    <w:uiPriority w:val="99"/>
    <w:unhideWhenUsed/>
    <w:rsid w:val="00786228"/>
    <w:rPr>
      <w:color w:val="2B579A"/>
      <w:shd w:val="clear" w:color="auto" w:fill="E1DFDD"/>
    </w:rPr>
  </w:style>
  <w:style w:type="character" w:customStyle="1" w:styleId="Mention4">
    <w:name w:val="Mention4"/>
    <w:basedOn w:val="DefaultParagraphFont"/>
    <w:uiPriority w:val="99"/>
    <w:unhideWhenUsed/>
    <w:rsid w:val="008504B0"/>
    <w:rPr>
      <w:color w:val="2B579A"/>
      <w:shd w:val="clear" w:color="auto" w:fill="E1DFDD"/>
    </w:rPr>
  </w:style>
  <w:style w:type="character" w:customStyle="1" w:styleId="Mention10">
    <w:name w:val="Mention10"/>
    <w:basedOn w:val="DefaultParagraphFont"/>
    <w:uiPriority w:val="99"/>
    <w:unhideWhenUsed/>
    <w:rsid w:val="00EB31FF"/>
    <w:rPr>
      <w:color w:val="2B579A"/>
      <w:shd w:val="clear" w:color="auto" w:fill="E6E6E6"/>
    </w:rPr>
  </w:style>
  <w:style w:type="character" w:customStyle="1" w:styleId="ui-provider">
    <w:name w:val="ui-provider"/>
    <w:basedOn w:val="DefaultParagraphFont"/>
    <w:rsid w:val="00EB31FF"/>
  </w:style>
  <w:style w:type="character" w:customStyle="1" w:styleId="Mention100">
    <w:name w:val="Mention100"/>
    <w:basedOn w:val="DefaultParagraphFont"/>
    <w:uiPriority w:val="99"/>
    <w:unhideWhenUsed/>
    <w:rsid w:val="00EB31FF"/>
    <w:rPr>
      <w:color w:val="2B579A"/>
      <w:shd w:val="clear" w:color="auto" w:fill="E6E6E6"/>
    </w:rPr>
  </w:style>
  <w:style w:type="paragraph" w:customStyle="1" w:styleId="Default">
    <w:name w:val="Default"/>
    <w:rsid w:val="00EB31FF"/>
    <w:pPr>
      <w:autoSpaceDE w:val="0"/>
      <w:autoSpaceDN w:val="0"/>
      <w:adjustRightInd w:val="0"/>
      <w:spacing w:after="0" w:line="240" w:lineRule="auto"/>
    </w:pPr>
    <w:rPr>
      <w:rFonts w:ascii="Calibri" w:hAnsi="Calibri" w:cs="Calibri"/>
      <w:color w:val="000000"/>
      <w:sz w:val="24"/>
      <w:szCs w:val="24"/>
    </w:rPr>
  </w:style>
  <w:style w:type="character" w:customStyle="1" w:styleId="contentcontrolboundarysink">
    <w:name w:val="contentcontrolboundarysink"/>
    <w:basedOn w:val="DefaultParagraphFont"/>
    <w:rsid w:val="00EB31FF"/>
  </w:style>
  <w:style w:type="character" w:customStyle="1" w:styleId="Mention5">
    <w:name w:val="Mention5"/>
    <w:basedOn w:val="DefaultParagraphFont"/>
    <w:uiPriority w:val="99"/>
    <w:unhideWhenUsed/>
    <w:rsid w:val="00EB31FF"/>
    <w:rPr>
      <w:color w:val="2B579A"/>
      <w:shd w:val="clear" w:color="auto" w:fill="E1DFDD"/>
    </w:rPr>
  </w:style>
  <w:style w:type="character" w:customStyle="1" w:styleId="Mention50">
    <w:name w:val="Mention50"/>
    <w:basedOn w:val="DefaultParagraphFont"/>
    <w:uiPriority w:val="99"/>
    <w:unhideWhenUsed/>
    <w:rsid w:val="00EB31FF"/>
    <w:rPr>
      <w:color w:val="2B579A"/>
      <w:shd w:val="clear" w:color="auto" w:fill="E1DFDD"/>
    </w:rPr>
  </w:style>
  <w:style w:type="character" w:customStyle="1" w:styleId="Mention6">
    <w:name w:val="Mention6"/>
    <w:basedOn w:val="DefaultParagraphFont"/>
    <w:uiPriority w:val="99"/>
    <w:unhideWhenUsed/>
    <w:rsid w:val="00EB31FF"/>
    <w:rPr>
      <w:color w:val="2B579A"/>
      <w:shd w:val="clear" w:color="auto" w:fill="E1DFDD"/>
    </w:rPr>
  </w:style>
  <w:style w:type="character" w:customStyle="1" w:styleId="Mention7">
    <w:name w:val="Mention7"/>
    <w:basedOn w:val="DefaultParagraphFont"/>
    <w:uiPriority w:val="99"/>
    <w:unhideWhenUsed/>
    <w:rsid w:val="00EB31FF"/>
    <w:rPr>
      <w:color w:val="2B579A"/>
      <w:shd w:val="clear" w:color="auto" w:fill="E6E6E6"/>
    </w:rPr>
  </w:style>
  <w:style w:type="character" w:customStyle="1" w:styleId="Mention8">
    <w:name w:val="Mention8"/>
    <w:basedOn w:val="DefaultParagraphFont"/>
    <w:uiPriority w:val="99"/>
    <w:unhideWhenUsed/>
    <w:rsid w:val="00EB31FF"/>
    <w:rPr>
      <w:color w:val="2B579A"/>
      <w:shd w:val="clear" w:color="auto" w:fill="E1DFDD"/>
    </w:rPr>
  </w:style>
  <w:style w:type="character" w:customStyle="1" w:styleId="cf01">
    <w:name w:val="cf01"/>
    <w:basedOn w:val="DefaultParagraphFont"/>
    <w:rsid w:val="00EB31FF"/>
    <w:rPr>
      <w:rFonts w:ascii="Segoe UI" w:hAnsi="Segoe UI" w:cs="Segoe UI" w:hint="default"/>
      <w:sz w:val="18"/>
      <w:szCs w:val="18"/>
    </w:rPr>
  </w:style>
  <w:style w:type="character" w:styleId="Strong">
    <w:name w:val="Strong"/>
    <w:basedOn w:val="DefaultParagraphFont"/>
    <w:uiPriority w:val="22"/>
    <w:qFormat/>
    <w:rsid w:val="00EB31FF"/>
    <w:rPr>
      <w:b/>
      <w:bCs/>
    </w:rPr>
  </w:style>
  <w:style w:type="character" w:customStyle="1" w:styleId="Mention60">
    <w:name w:val="Mention60"/>
    <w:basedOn w:val="DefaultParagraphFont"/>
    <w:uiPriority w:val="99"/>
    <w:unhideWhenUsed/>
    <w:rsid w:val="00EB31FF"/>
    <w:rPr>
      <w:color w:val="2B579A"/>
      <w:shd w:val="clear" w:color="auto" w:fill="E1DFDD"/>
    </w:rPr>
  </w:style>
  <w:style w:type="paragraph" w:customStyle="1" w:styleId="xmsonormal">
    <w:name w:val="x_msonormal"/>
    <w:basedOn w:val="Normal"/>
    <w:rsid w:val="00EB31FF"/>
    <w:pPr>
      <w:spacing w:after="0" w:line="240" w:lineRule="auto"/>
    </w:pPr>
    <w:rPr>
      <w:rFonts w:ascii="Times New Roman" w:eastAsiaTheme="minorHAnsi" w:hAnsi="Times New Roman" w:cs="Times New Roman"/>
      <w:sz w:val="24"/>
      <w:szCs w:val="24"/>
    </w:rPr>
  </w:style>
  <w:style w:type="character" w:customStyle="1" w:styleId="cf21">
    <w:name w:val="cf21"/>
    <w:basedOn w:val="DefaultParagraphFont"/>
    <w:rsid w:val="00EB31FF"/>
    <w:rPr>
      <w:rFonts w:ascii="Segoe UI" w:hAnsi="Segoe UI" w:cs="Segoe UI" w:hint="default"/>
      <w:color w:val="006100"/>
    </w:rPr>
  </w:style>
  <w:style w:type="paragraph" w:customStyle="1" w:styleId="Style1">
    <w:name w:val="Style1"/>
    <w:basedOn w:val="Normal"/>
    <w:link w:val="Style1Char"/>
    <w:qFormat/>
    <w:rsid w:val="003911CA"/>
    <w:pPr>
      <w:spacing w:before="120" w:after="120"/>
    </w:pPr>
    <w:rPr>
      <w:rFonts w:ascii="Times New Roman" w:hAnsi="Times New Roman" w:cs="Times New Roman"/>
      <w:b/>
      <w:sz w:val="24"/>
      <w:szCs w:val="24"/>
    </w:rPr>
  </w:style>
  <w:style w:type="character" w:customStyle="1" w:styleId="Style1Char">
    <w:name w:val="Style1 Char"/>
    <w:basedOn w:val="DefaultParagraphFont"/>
    <w:link w:val="Style1"/>
    <w:rsid w:val="003911CA"/>
    <w:rPr>
      <w:rFonts w:ascii="Times New Roman" w:eastAsia="Calibri" w:hAnsi="Times New Roman" w:cs="Times New Roman"/>
      <w:b/>
      <w:sz w:val="24"/>
      <w:szCs w:val="24"/>
    </w:rPr>
  </w:style>
  <w:style w:type="character" w:customStyle="1" w:styleId="Mention9">
    <w:name w:val="Mention9"/>
    <w:basedOn w:val="DefaultParagraphFont"/>
    <w:uiPriority w:val="99"/>
    <w:unhideWhenUsed/>
    <w:rsid w:val="00BD7C39"/>
    <w:rPr>
      <w:color w:val="2B579A"/>
      <w:shd w:val="clear" w:color="auto" w:fill="E1DFDD"/>
    </w:rPr>
  </w:style>
  <w:style w:type="paragraph" w:customStyle="1" w:styleId="LegalNumPar">
    <w:name w:val="LegalNumPar"/>
    <w:basedOn w:val="Normal"/>
    <w:rsid w:val="005441B2"/>
    <w:pPr>
      <w:numPr>
        <w:numId w:val="93"/>
      </w:numPr>
      <w:spacing w:after="160" w:line="259" w:lineRule="auto"/>
    </w:pPr>
    <w:rPr>
      <w:rFonts w:asciiTheme="minorHAnsi" w:eastAsiaTheme="minorHAnsi" w:hAnsiTheme="minorHAnsi" w:cstheme="minorBidi"/>
    </w:rPr>
  </w:style>
  <w:style w:type="paragraph" w:customStyle="1" w:styleId="LegalNumPar2">
    <w:name w:val="LegalNumPar2"/>
    <w:basedOn w:val="Normal"/>
    <w:rsid w:val="005441B2"/>
    <w:pPr>
      <w:numPr>
        <w:ilvl w:val="1"/>
        <w:numId w:val="93"/>
      </w:numPr>
      <w:spacing w:after="160" w:line="259" w:lineRule="auto"/>
    </w:pPr>
    <w:rPr>
      <w:rFonts w:asciiTheme="minorHAnsi" w:eastAsiaTheme="minorHAnsi" w:hAnsiTheme="minorHAnsi" w:cstheme="minorBidi"/>
    </w:rPr>
  </w:style>
  <w:style w:type="paragraph" w:customStyle="1" w:styleId="LegalNumPar3">
    <w:name w:val="LegalNumPar3"/>
    <w:basedOn w:val="Normal"/>
    <w:rsid w:val="005441B2"/>
    <w:pPr>
      <w:numPr>
        <w:ilvl w:val="2"/>
        <w:numId w:val="93"/>
      </w:numPr>
      <w:spacing w:after="160" w:line="259" w:lineRule="auto"/>
    </w:pPr>
    <w:rPr>
      <w:rFonts w:asciiTheme="minorHAnsi" w:eastAsiaTheme="minorHAnsi" w:hAnsiTheme="minorHAnsi" w:cstheme="minorBidi"/>
    </w:rPr>
  </w:style>
  <w:style w:type="paragraph" w:styleId="PlainText">
    <w:name w:val="Plain Text"/>
    <w:basedOn w:val="Normal"/>
    <w:link w:val="PlainTextChar"/>
    <w:uiPriority w:val="99"/>
    <w:unhideWhenUsed/>
    <w:rsid w:val="0007130A"/>
    <w:pPr>
      <w:spacing w:after="0" w:line="240" w:lineRule="auto"/>
    </w:pPr>
    <w:rPr>
      <w:rFonts w:eastAsiaTheme="minorHAnsi" w:cs="Calibri"/>
      <w14:ligatures w14:val="standardContextual"/>
    </w:rPr>
  </w:style>
  <w:style w:type="character" w:customStyle="1" w:styleId="PlainTextChar">
    <w:name w:val="Plain Text Char"/>
    <w:basedOn w:val="DefaultParagraphFont"/>
    <w:link w:val="PlainText"/>
    <w:uiPriority w:val="99"/>
    <w:rsid w:val="0007130A"/>
    <w:rPr>
      <w:rFonts w:ascii="Calibri" w:hAnsi="Calibri" w:cs="Calibri"/>
      <w14:ligatures w14:val="standardContextual"/>
    </w:rPr>
  </w:style>
  <w:style w:type="character" w:customStyle="1" w:styleId="Mention11">
    <w:name w:val="Mention11"/>
    <w:basedOn w:val="DefaultParagraphFont"/>
    <w:uiPriority w:val="99"/>
    <w:unhideWhenUsed/>
    <w:rsid w:val="000C75B6"/>
    <w:rPr>
      <w:color w:val="2B579A"/>
      <w:shd w:val="clear" w:color="auto" w:fill="E1DFDD"/>
    </w:rPr>
  </w:style>
  <w:style w:type="character" w:customStyle="1" w:styleId="Mention12">
    <w:name w:val="Mention12"/>
    <w:basedOn w:val="DefaultParagraphFont"/>
    <w:uiPriority w:val="99"/>
    <w:unhideWhenUsed/>
    <w:rsid w:val="003568E5"/>
    <w:rPr>
      <w:color w:val="2B579A"/>
      <w:shd w:val="clear" w:color="auto" w:fill="E1DFDD"/>
    </w:rPr>
  </w:style>
  <w:style w:type="character" w:customStyle="1" w:styleId="UnresolvedMention1">
    <w:name w:val="Unresolved Mention1"/>
    <w:basedOn w:val="DefaultParagraphFont"/>
    <w:uiPriority w:val="99"/>
    <w:semiHidden/>
    <w:unhideWhenUsed/>
    <w:rsid w:val="009016E9"/>
    <w:rPr>
      <w:color w:val="605E5C"/>
      <w:shd w:val="clear" w:color="auto" w:fill="E1DFDD"/>
    </w:rPr>
  </w:style>
  <w:style w:type="character" w:customStyle="1" w:styleId="UnresolvedMention2">
    <w:name w:val="Unresolved Mention2"/>
    <w:basedOn w:val="DefaultParagraphFont"/>
    <w:uiPriority w:val="99"/>
    <w:semiHidden/>
    <w:unhideWhenUsed/>
    <w:rsid w:val="004F7E15"/>
    <w:rPr>
      <w:color w:val="605E5C"/>
      <w:shd w:val="clear" w:color="auto" w:fill="E1DFDD"/>
    </w:rPr>
  </w:style>
  <w:style w:type="character" w:customStyle="1" w:styleId="Mention13">
    <w:name w:val="Mention13"/>
    <w:basedOn w:val="DefaultParagraphFont"/>
    <w:uiPriority w:val="99"/>
    <w:unhideWhenUsed/>
    <w:rsid w:val="004F7E15"/>
    <w:rPr>
      <w:color w:val="2B579A"/>
      <w:shd w:val="clear" w:color="auto" w:fill="E1DFDD"/>
    </w:rPr>
  </w:style>
  <w:style w:type="character" w:customStyle="1" w:styleId="UnresolvedMention3">
    <w:name w:val="Unresolved Mention3"/>
    <w:basedOn w:val="DefaultParagraphFont"/>
    <w:uiPriority w:val="99"/>
    <w:semiHidden/>
    <w:unhideWhenUsed/>
    <w:rsid w:val="00D854CE"/>
    <w:rPr>
      <w:color w:val="605E5C"/>
      <w:shd w:val="clear" w:color="auto" w:fill="E1DFDD"/>
    </w:rPr>
  </w:style>
  <w:style w:type="character" w:customStyle="1" w:styleId="Mention">
    <w:name w:val="Mention"/>
    <w:basedOn w:val="DefaultParagraphFont"/>
    <w:uiPriority w:val="99"/>
    <w:unhideWhenUsed/>
    <w:rsid w:val="002B4EB1"/>
    <w:rPr>
      <w:color w:val="2B579A"/>
      <w:shd w:val="clear" w:color="auto" w:fill="E1DFDD"/>
    </w:rPr>
  </w:style>
  <w:style w:type="paragraph" w:styleId="NormalWeb">
    <w:name w:val="Normal (Web)"/>
    <w:basedOn w:val="Normal"/>
    <w:uiPriority w:val="99"/>
    <w:semiHidden/>
    <w:unhideWhenUsed/>
    <w:rsid w:val="00B80EC6"/>
    <w:rPr>
      <w:rFonts w:ascii="Times New Roman" w:hAnsi="Times New Roman" w:cs="Times New Roman"/>
      <w:sz w:val="24"/>
      <w:szCs w:val="24"/>
    </w:rPr>
  </w:style>
  <w:style w:type="paragraph" w:customStyle="1" w:styleId="P68B1DB1-Normal1">
    <w:name w:val="P68B1DB1-Normal1"/>
    <w:basedOn w:val="Normal"/>
    <w:rPr>
      <w:rFonts w:ascii="Times New Roman" w:hAnsi="Times New Roman" w:cs="Times New Roman"/>
      <w:b/>
    </w:rPr>
  </w:style>
  <w:style w:type="paragraph" w:customStyle="1" w:styleId="P68B1DB1-Normal2">
    <w:name w:val="P68B1DB1-Normal2"/>
    <w:basedOn w:val="Normal"/>
    <w:rPr>
      <w:rFonts w:ascii="Times New Roman" w:hAnsi="Times New Roman"/>
      <w:b/>
      <w:sz w:val="24"/>
    </w:rPr>
  </w:style>
  <w:style w:type="paragraph" w:customStyle="1" w:styleId="P68B1DB1-ListParagraph3">
    <w:name w:val="P68B1DB1-ListParagraph3"/>
    <w:basedOn w:val="ListParagraph"/>
    <w:rPr>
      <w:rFonts w:ascii="Times New Roman" w:hAnsi="Times New Roman"/>
      <w:b/>
      <w:sz w:val="24"/>
    </w:rPr>
  </w:style>
  <w:style w:type="paragraph" w:customStyle="1" w:styleId="P68B1DB1-Normal4">
    <w:name w:val="P68B1DB1-Normal4"/>
    <w:basedOn w:val="Normal"/>
    <w:rPr>
      <w:rFonts w:ascii="Times New Roman" w:hAnsi="Times New Roman"/>
      <w:sz w:val="24"/>
    </w:rPr>
  </w:style>
  <w:style w:type="paragraph" w:customStyle="1" w:styleId="P68B1DB1-Normal5">
    <w:name w:val="P68B1DB1-Normal5"/>
    <w:basedOn w:val="Normal"/>
    <w:rPr>
      <w:rFonts w:ascii="Times New Roman" w:hAnsi="Times New Roman"/>
      <w:sz w:val="24"/>
      <w:szCs w:val="24"/>
    </w:rPr>
  </w:style>
  <w:style w:type="paragraph" w:customStyle="1" w:styleId="P68B1DB1-Normal6">
    <w:name w:val="P68B1DB1-Normal6"/>
    <w:basedOn w:val="Normal"/>
    <w:rPr>
      <w:rFonts w:ascii="Cambria" w:hAnsi="Cambria"/>
      <w:color w:val="365F91"/>
      <w:sz w:val="24"/>
    </w:rPr>
  </w:style>
  <w:style w:type="paragraph" w:customStyle="1" w:styleId="P68B1DB1-Normal7">
    <w:name w:val="P68B1DB1-Normal7"/>
    <w:basedOn w:val="Normal"/>
    <w:rPr>
      <w:rFonts w:ascii="Times New Roman" w:hAnsi="Times New Roman"/>
      <w:b/>
      <w:sz w:val="18"/>
    </w:rPr>
  </w:style>
  <w:style w:type="paragraph" w:customStyle="1" w:styleId="P68B1DB1-Normal8">
    <w:name w:val="P68B1DB1-Normal8"/>
    <w:basedOn w:val="Normal"/>
    <w:rPr>
      <w:rFonts w:ascii="Times New Roman" w:hAnsi="Times New Roman"/>
      <w:sz w:val="18"/>
    </w:rPr>
  </w:style>
  <w:style w:type="paragraph" w:customStyle="1" w:styleId="P68B1DB1-Normal9">
    <w:name w:val="P68B1DB1-Normal9"/>
    <w:basedOn w:val="Normal"/>
    <w:rPr>
      <w:color w:val="006100"/>
      <w:sz w:val="18"/>
    </w:rPr>
  </w:style>
  <w:style w:type="paragraph" w:customStyle="1" w:styleId="P68B1DB1-Normal10">
    <w:name w:val="P68B1DB1-Normal10"/>
    <w:basedOn w:val="Normal"/>
    <w:rPr>
      <w:color w:val="006100"/>
      <w:sz w:val="18"/>
      <w:szCs w:val="18"/>
    </w:rPr>
  </w:style>
  <w:style w:type="paragraph" w:customStyle="1" w:styleId="P68B1DB1-Normal11">
    <w:name w:val="P68B1DB1-Normal11"/>
    <w:basedOn w:val="Normal"/>
    <w:rPr>
      <w:sz w:val="24"/>
    </w:rPr>
  </w:style>
  <w:style w:type="paragraph" w:customStyle="1" w:styleId="P68B1DB1-LegalNumPar212">
    <w:name w:val="P68B1DB1-LegalNumPar212"/>
    <w:basedOn w:val="LegalNumPar2"/>
    <w:rPr>
      <w:rFonts w:ascii="Times New Roman" w:hAnsi="Times New Roman" w:cs="Times New Roman"/>
      <w:sz w:val="24"/>
      <w:szCs w:val="24"/>
    </w:rPr>
  </w:style>
  <w:style w:type="paragraph" w:customStyle="1" w:styleId="P68B1DB1-LegalNumPar13">
    <w:name w:val="P68B1DB1-LegalNumPar13"/>
    <w:basedOn w:val="LegalNumPar"/>
    <w:rPr>
      <w:rFonts w:ascii="Times New Roman" w:hAnsi="Times New Roman" w:cs="Times New Roman"/>
      <w:sz w:val="24"/>
      <w:szCs w:val="24"/>
    </w:rPr>
  </w:style>
  <w:style w:type="paragraph" w:customStyle="1" w:styleId="P68B1DB1-LegalNumPar14">
    <w:name w:val="P68B1DB1-LegalNumPar14"/>
    <w:basedOn w:val="LegalNumPar"/>
    <w:rPr>
      <w:sz w:val="24"/>
      <w:szCs w:val="24"/>
    </w:rPr>
  </w:style>
  <w:style w:type="paragraph" w:customStyle="1" w:styleId="P68B1DB1-Normal15">
    <w:name w:val="P68B1DB1-Normal15"/>
    <w:basedOn w:val="Normal"/>
    <w:rPr>
      <w:rFonts w:ascii="Times New Roman" w:eastAsia="Times New Roman" w:hAnsi="Times New Roman" w:cs="Times New Roman"/>
      <w:sz w:val="24"/>
      <w:szCs w:val="24"/>
    </w:rPr>
  </w:style>
  <w:style w:type="paragraph" w:customStyle="1" w:styleId="P68B1DB1-Normal16">
    <w:name w:val="P68B1DB1-Normal16"/>
    <w:basedOn w:val="Normal"/>
    <w:rPr>
      <w:rFonts w:ascii="Times New Roman" w:hAnsi="Times New Roman"/>
      <w:b/>
      <w:sz w:val="20"/>
    </w:rPr>
  </w:style>
  <w:style w:type="paragraph" w:customStyle="1" w:styleId="P68B1DB1-Normal17">
    <w:name w:val="P68B1DB1-Normal17"/>
    <w:basedOn w:val="Normal"/>
    <w:rPr>
      <w:rFonts w:eastAsia="Times New Roman" w:cs="Calibri"/>
      <w:color w:val="006100"/>
      <w:sz w:val="18"/>
      <w:szCs w:val="18"/>
    </w:rPr>
  </w:style>
  <w:style w:type="paragraph" w:customStyle="1" w:styleId="P68B1DB1-Normal18">
    <w:name w:val="P68B1DB1-Normal18"/>
    <w:basedOn w:val="Normal"/>
    <w:rPr>
      <w:rFonts w:ascii="Times New Roman" w:hAnsi="Times New Roman" w:cs="Times New Roman"/>
      <w:sz w:val="24"/>
    </w:rPr>
  </w:style>
  <w:style w:type="paragraph" w:customStyle="1" w:styleId="P68B1DB1-ListParagraph19">
    <w:name w:val="P68B1DB1-ListParagraph19"/>
    <w:basedOn w:val="ListParagraph"/>
    <w:rPr>
      <w:rFonts w:ascii="Times New Roman" w:hAnsi="Times New Roman"/>
      <w:sz w:val="24"/>
    </w:rPr>
  </w:style>
  <w:style w:type="paragraph" w:customStyle="1" w:styleId="P68B1DB1-ListParagraph20">
    <w:name w:val="P68B1DB1-ListParagraph20"/>
    <w:basedOn w:val="ListParagraph"/>
    <w:rPr>
      <w:color w:val="006100"/>
      <w:sz w:val="18"/>
    </w:rPr>
  </w:style>
  <w:style w:type="paragraph" w:customStyle="1" w:styleId="P68B1DB1-xmsonormal21">
    <w:name w:val="P68B1DB1-xmsonormal21"/>
    <w:basedOn w:val="xmsonormal"/>
    <w:rPr>
      <w:rFonts w:ascii="Calibri" w:hAnsi="Calibri"/>
      <w:color w:val="006100"/>
      <w:sz w:val="18"/>
    </w:rPr>
  </w:style>
  <w:style w:type="paragraph" w:customStyle="1" w:styleId="P68B1DB1-Normal22">
    <w:name w:val="P68B1DB1-Normal22"/>
    <w:basedOn w:val="Normal"/>
    <w:rPr>
      <w:sz w:val="24"/>
      <w:szCs w:val="24"/>
    </w:rPr>
  </w:style>
  <w:style w:type="paragraph" w:customStyle="1" w:styleId="P68B1DB1-Normal23">
    <w:name w:val="P68B1DB1-Normal23"/>
    <w:basedOn w:val="Normal"/>
    <w:rPr>
      <w:color w:val="006100"/>
    </w:rPr>
  </w:style>
  <w:style w:type="paragraph" w:customStyle="1" w:styleId="P68B1DB1-Normal24">
    <w:name w:val="P68B1DB1-Normal24"/>
    <w:basedOn w:val="Normal"/>
    <w:rPr>
      <w:sz w:val="18"/>
      <w:szCs w:val="18"/>
    </w:rPr>
  </w:style>
  <w:style w:type="paragraph" w:customStyle="1" w:styleId="P68B1DB1-Normal25">
    <w:name w:val="P68B1DB1-Normal25"/>
    <w:basedOn w:val="Normal"/>
    <w:rPr>
      <w:rFonts w:ascii="Times New Roman" w:hAnsi="Times New Roman"/>
      <w:b/>
      <w:sz w:val="24"/>
      <w:u w:val="single"/>
    </w:rPr>
  </w:style>
  <w:style w:type="paragraph" w:customStyle="1" w:styleId="P68B1DB1-paragraph26">
    <w:name w:val="P68B1DB1-paragraph26"/>
    <w:basedOn w:val="paragraph"/>
    <w:rPr>
      <w:rFonts w:ascii="Calibri" w:hAnsi="Calibri"/>
      <w:color w:val="006100"/>
      <w:sz w:val="18"/>
    </w:rPr>
  </w:style>
  <w:style w:type="paragraph" w:customStyle="1" w:styleId="P68B1DB1-paragraph27">
    <w:name w:val="P68B1DB1-paragraph27"/>
    <w:basedOn w:val="paragraph"/>
    <w:rPr>
      <w:rFonts w:ascii="Calibri" w:hAnsi="Calibri"/>
      <w:color w:val="006100"/>
      <w:sz w:val="18"/>
      <w:szCs w:val="18"/>
    </w:rPr>
  </w:style>
  <w:style w:type="paragraph" w:customStyle="1" w:styleId="P68B1DB1-paragraph28">
    <w:name w:val="P68B1DB1-paragraph28"/>
    <w:basedOn w:val="paragraph"/>
    <w:rPr>
      <w:rFonts w:ascii="Calibri" w:eastAsia="Calibri" w:hAnsi="Calibri" w:cs="Myanmar Text"/>
      <w:color w:val="006100"/>
      <w:sz w:val="18"/>
      <w:szCs w:val="22"/>
    </w:rPr>
  </w:style>
  <w:style w:type="paragraph" w:customStyle="1" w:styleId="P68B1DB1-Default29">
    <w:name w:val="P68B1DB1-Default29"/>
    <w:basedOn w:val="Default"/>
    <w:rPr>
      <w:rFonts w:ascii="Times New Roman" w:hAnsi="Times New Roman"/>
    </w:rPr>
  </w:style>
  <w:style w:type="paragraph" w:customStyle="1" w:styleId="P68B1DB1-Normal30">
    <w:name w:val="P68B1DB1-Normal30"/>
    <w:basedOn w:val="Normal"/>
    <w:rPr>
      <w:rFonts w:asciiTheme="minorHAnsi" w:eastAsiaTheme="minorEastAsia" w:hAnsiTheme="minorHAnsi" w:cstheme="minorBidi"/>
      <w:color w:val="006100"/>
      <w:sz w:val="18"/>
      <w:szCs w:val="18"/>
    </w:rPr>
  </w:style>
  <w:style w:type="paragraph" w:customStyle="1" w:styleId="P68B1DB1-PlainText31">
    <w:name w:val="P68B1DB1-PlainText31"/>
    <w:basedOn w:val="PlainText"/>
    <w:rPr>
      <w:rFonts w:ascii="Times New Roman" w:eastAsia="Times New Roman" w:hAnsi="Times New Roman" w:cs="Times New Roman"/>
      <w:sz w:val="24"/>
      <w:szCs w:val="24"/>
    </w:rPr>
  </w:style>
  <w:style w:type="paragraph" w:customStyle="1" w:styleId="P68B1DB1-Normal32">
    <w:name w:val="P68B1DB1-Normal32"/>
    <w:basedOn w:val="Normal"/>
    <w:rPr>
      <w:rFonts w:ascii="Times New Roman" w:hAnsi="Times New Roman"/>
      <w:color w:val="000000" w:themeColor="text1"/>
      <w:sz w:val="24"/>
    </w:rPr>
  </w:style>
  <w:style w:type="paragraph" w:customStyle="1" w:styleId="P68B1DB1-Normal33">
    <w:name w:val="P68B1DB1-Normal33"/>
    <w:basedOn w:val="Normal"/>
    <w:rPr>
      <w:rFonts w:asciiTheme="minorHAnsi" w:hAnsiTheme="minorHAnsi"/>
      <w:color w:val="006100"/>
      <w:sz w:val="18"/>
    </w:rPr>
  </w:style>
  <w:style w:type="paragraph" w:customStyle="1" w:styleId="P68B1DB1-ListParagraph34">
    <w:name w:val="P68B1DB1-ListParagraph34"/>
    <w:basedOn w:val="ListParagraph"/>
    <w:rPr>
      <w:rFonts w:asciiTheme="minorHAnsi" w:hAnsiTheme="minorHAnsi"/>
      <w:color w:val="006100"/>
      <w:sz w:val="18"/>
    </w:rPr>
  </w:style>
  <w:style w:type="paragraph" w:customStyle="1" w:styleId="P68B1DB1-Normal35">
    <w:name w:val="P68B1DB1-Normal35"/>
    <w:basedOn w:val="Normal"/>
    <w:rPr>
      <w:sz w:val="18"/>
    </w:rPr>
  </w:style>
  <w:style w:type="paragraph" w:customStyle="1" w:styleId="P68B1DB1-LegalNumPar36">
    <w:name w:val="P68B1DB1-LegalNumPar36"/>
    <w:basedOn w:val="LegalNumPar"/>
    <w:rPr>
      <w:sz w:val="24"/>
    </w:rPr>
  </w:style>
  <w:style w:type="paragraph" w:customStyle="1" w:styleId="P68B1DB1-Normal37">
    <w:name w:val="P68B1DB1-Normal37"/>
    <w:basedOn w:val="Normal"/>
    <w:rPr>
      <w:rFonts w:ascii="Times New Roman" w:hAnsi="Times New Roman"/>
    </w:rPr>
  </w:style>
  <w:style w:type="paragraph" w:customStyle="1" w:styleId="P68B1DB1-ListParagraph38">
    <w:name w:val="P68B1DB1-ListParagraph38"/>
    <w:basedOn w:val="ListParagraph"/>
    <w:rPr>
      <w:color w:val="006100"/>
      <w:sz w:val="18"/>
      <w:szCs w:val="18"/>
    </w:rPr>
  </w:style>
  <w:style w:type="paragraph" w:customStyle="1" w:styleId="P68B1DB1-ListParagraph39">
    <w:name w:val="P68B1DB1-ListParagraph39"/>
    <w:basedOn w:val="ListParagraph"/>
    <w:rPr>
      <w:rFonts w:ascii="Times New Roman" w:hAnsi="Times New Roman"/>
    </w:rPr>
  </w:style>
  <w:style w:type="paragraph" w:customStyle="1" w:styleId="P68B1DB1-ListParagraph40">
    <w:name w:val="P68B1DB1-ListParagraph40"/>
    <w:basedOn w:val="ListParagraph"/>
    <w:rPr>
      <w:rFonts w:ascii="Times New Roman" w:hAnsi="Times New Roman"/>
      <w:sz w:val="24"/>
      <w:szCs w:val="24"/>
    </w:rPr>
  </w:style>
  <w:style w:type="paragraph" w:customStyle="1" w:styleId="P68B1DB1-ListParagraph41">
    <w:name w:val="P68B1DB1-ListParagraph41"/>
    <w:basedOn w:val="ListParagraph"/>
    <w:rPr>
      <w:rFonts w:ascii="Times New Roman" w:hAnsi="Times New Roman"/>
      <w:color w:val="000000" w:themeColor="text1"/>
      <w:sz w:val="24"/>
      <w:szCs w:val="24"/>
    </w:rPr>
  </w:style>
  <w:style w:type="paragraph" w:customStyle="1" w:styleId="P68B1DB1-Normal42">
    <w:name w:val="P68B1DB1-Normal42"/>
    <w:basedOn w:val="Normal"/>
    <w:rPr>
      <w:rFonts w:ascii="Times New Roman" w:hAnsi="Times New Roman"/>
      <w:b/>
    </w:rPr>
  </w:style>
  <w:style w:type="paragraph" w:customStyle="1" w:styleId="P68B1DB1-Normal43">
    <w:name w:val="P68B1DB1-Normal43"/>
    <w:basedOn w:val="Normal"/>
    <w:rPr>
      <w:rFonts w:asciiTheme="minorHAnsi" w:hAnsiTheme="minorHAnsi"/>
      <w:sz w:val="18"/>
    </w:rPr>
  </w:style>
  <w:style w:type="paragraph" w:customStyle="1" w:styleId="P68B1DB1-Normal44">
    <w:name w:val="P68B1DB1-Normal44"/>
    <w:basedOn w:val="Normal"/>
    <w:rPr>
      <w:rFonts w:ascii="Times New Roman" w:hAnsi="Times New Roman"/>
      <w:i/>
      <w:color w:val="4F81BD"/>
      <w:sz w:val="24"/>
    </w:rPr>
  </w:style>
  <w:style w:type="paragraph" w:customStyle="1" w:styleId="P68B1DB1-Normal45">
    <w:name w:val="P68B1DB1-Normal45"/>
    <w:basedOn w:val="Normal"/>
    <w:rPr>
      <w:color w:val="006100"/>
      <w:sz w:val="18"/>
    </w:rPr>
  </w:style>
  <w:style w:type="paragraph" w:customStyle="1" w:styleId="P68B1DB1-ListParagraph46">
    <w:name w:val="P68B1DB1-ListParagraph46"/>
    <w:basedOn w:val="ListParagraph"/>
    <w:rPr>
      <w:rFonts w:ascii="Times New Roman" w:hAnsi="Times New Roman"/>
      <w:i/>
      <w:sz w:val="24"/>
    </w:rPr>
  </w:style>
  <w:style w:type="paragraph" w:customStyle="1" w:styleId="P68B1DB1-ListParagraph47">
    <w:name w:val="P68B1DB1-ListParagraph47"/>
    <w:basedOn w:val="ListParagraph"/>
    <w:rPr>
      <w:rFonts w:eastAsia="Times New Roman" w:cs="Calibri"/>
      <w:color w:val="006100"/>
      <w:sz w:val="18"/>
      <w:szCs w:val="18"/>
    </w:rPr>
  </w:style>
  <w:style w:type="paragraph" w:customStyle="1" w:styleId="P68B1DB1-Normal48">
    <w:name w:val="P68B1DB1-Normal48"/>
    <w:basedOn w:val="Normal"/>
    <w:rPr>
      <w:rFonts w:ascii="Times New Roman" w:hAnsi="Times New Roman"/>
      <w:b/>
      <w:smallCaps/>
      <w:sz w:val="24"/>
    </w:rPr>
  </w:style>
  <w:style w:type="paragraph" w:customStyle="1" w:styleId="P68B1DB1-Normal49">
    <w:name w:val="P68B1DB1-Normal49"/>
    <w:basedOn w:val="Normal"/>
    <w:rPr>
      <w:rFonts w:ascii="Times New Roman" w:hAnsi="Times New Roman"/>
      <w:sz w:val="18"/>
      <w:szCs w:val="18"/>
    </w:rPr>
  </w:style>
  <w:style w:type="paragraph" w:customStyle="1" w:styleId="P68B1DB1-Normal50">
    <w:name w:val="P68B1DB1-Normal50"/>
    <w:basedOn w:val="Normal"/>
    <w:rPr>
      <w:rFonts w:ascii="Times New Roman" w:hAnsi="Times New Roman"/>
      <w:sz w:val="20"/>
    </w:rPr>
  </w:style>
  <w:style w:type="paragraph" w:customStyle="1" w:styleId="P68B1DB1-Normal51">
    <w:name w:val="P68B1DB1-Normal51"/>
    <w:basedOn w:val="Normal"/>
    <w:rPr>
      <w:rFonts w:ascii="Times New Roman" w:eastAsia="Times New Roman" w:hAnsi="Times New Roman" w:cs="Times New Roman"/>
      <w:sz w:val="18"/>
      <w:szCs w:val="18"/>
    </w:rPr>
  </w:style>
  <w:style w:type="paragraph" w:customStyle="1" w:styleId="P68B1DB1-Normal52">
    <w:name w:val="P68B1DB1-Normal52"/>
    <w:basedOn w:val="Normal"/>
    <w:rPr>
      <w:rFonts w:ascii="Times New Roman" w:eastAsia="Times New Roman" w:hAnsi="Times New Roman" w:cs="Times New Roman"/>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395126">
      <w:bodyDiv w:val="1"/>
      <w:marLeft w:val="0"/>
      <w:marRight w:val="0"/>
      <w:marTop w:val="0"/>
      <w:marBottom w:val="0"/>
      <w:divBdr>
        <w:top w:val="none" w:sz="0" w:space="0" w:color="auto"/>
        <w:left w:val="none" w:sz="0" w:space="0" w:color="auto"/>
        <w:bottom w:val="none" w:sz="0" w:space="0" w:color="auto"/>
        <w:right w:val="none" w:sz="0" w:space="0" w:color="auto"/>
      </w:divBdr>
    </w:div>
    <w:div w:id="216361478">
      <w:bodyDiv w:val="1"/>
      <w:marLeft w:val="0"/>
      <w:marRight w:val="0"/>
      <w:marTop w:val="0"/>
      <w:marBottom w:val="0"/>
      <w:divBdr>
        <w:top w:val="none" w:sz="0" w:space="0" w:color="auto"/>
        <w:left w:val="none" w:sz="0" w:space="0" w:color="auto"/>
        <w:bottom w:val="none" w:sz="0" w:space="0" w:color="auto"/>
        <w:right w:val="none" w:sz="0" w:space="0" w:color="auto"/>
      </w:divBdr>
    </w:div>
    <w:div w:id="413359547">
      <w:bodyDiv w:val="1"/>
      <w:marLeft w:val="0"/>
      <w:marRight w:val="0"/>
      <w:marTop w:val="0"/>
      <w:marBottom w:val="0"/>
      <w:divBdr>
        <w:top w:val="none" w:sz="0" w:space="0" w:color="auto"/>
        <w:left w:val="none" w:sz="0" w:space="0" w:color="auto"/>
        <w:bottom w:val="none" w:sz="0" w:space="0" w:color="auto"/>
        <w:right w:val="none" w:sz="0" w:space="0" w:color="auto"/>
      </w:divBdr>
    </w:div>
    <w:div w:id="577175763">
      <w:bodyDiv w:val="1"/>
      <w:marLeft w:val="0"/>
      <w:marRight w:val="0"/>
      <w:marTop w:val="0"/>
      <w:marBottom w:val="0"/>
      <w:divBdr>
        <w:top w:val="none" w:sz="0" w:space="0" w:color="auto"/>
        <w:left w:val="none" w:sz="0" w:space="0" w:color="auto"/>
        <w:bottom w:val="none" w:sz="0" w:space="0" w:color="auto"/>
        <w:right w:val="none" w:sz="0" w:space="0" w:color="auto"/>
      </w:divBdr>
    </w:div>
    <w:div w:id="814223350">
      <w:bodyDiv w:val="1"/>
      <w:marLeft w:val="0"/>
      <w:marRight w:val="0"/>
      <w:marTop w:val="0"/>
      <w:marBottom w:val="0"/>
      <w:divBdr>
        <w:top w:val="none" w:sz="0" w:space="0" w:color="auto"/>
        <w:left w:val="none" w:sz="0" w:space="0" w:color="auto"/>
        <w:bottom w:val="none" w:sz="0" w:space="0" w:color="auto"/>
        <w:right w:val="none" w:sz="0" w:space="0" w:color="auto"/>
      </w:divBdr>
    </w:div>
    <w:div w:id="1251506913">
      <w:bodyDiv w:val="1"/>
      <w:marLeft w:val="0"/>
      <w:marRight w:val="0"/>
      <w:marTop w:val="0"/>
      <w:marBottom w:val="0"/>
      <w:divBdr>
        <w:top w:val="none" w:sz="0" w:space="0" w:color="auto"/>
        <w:left w:val="none" w:sz="0" w:space="0" w:color="auto"/>
        <w:bottom w:val="none" w:sz="0" w:space="0" w:color="auto"/>
        <w:right w:val="none" w:sz="0" w:space="0" w:color="auto"/>
      </w:divBdr>
    </w:div>
    <w:div w:id="1288971928">
      <w:bodyDiv w:val="1"/>
      <w:marLeft w:val="0"/>
      <w:marRight w:val="0"/>
      <w:marTop w:val="0"/>
      <w:marBottom w:val="0"/>
      <w:divBdr>
        <w:top w:val="none" w:sz="0" w:space="0" w:color="auto"/>
        <w:left w:val="none" w:sz="0" w:space="0" w:color="auto"/>
        <w:bottom w:val="none" w:sz="0" w:space="0" w:color="auto"/>
        <w:right w:val="none" w:sz="0" w:space="0" w:color="auto"/>
      </w:divBdr>
    </w:div>
    <w:div w:id="1377271437">
      <w:bodyDiv w:val="1"/>
      <w:marLeft w:val="0"/>
      <w:marRight w:val="0"/>
      <w:marTop w:val="0"/>
      <w:marBottom w:val="0"/>
      <w:divBdr>
        <w:top w:val="none" w:sz="0" w:space="0" w:color="auto"/>
        <w:left w:val="none" w:sz="0" w:space="0" w:color="auto"/>
        <w:bottom w:val="none" w:sz="0" w:space="0" w:color="auto"/>
        <w:right w:val="none" w:sz="0" w:space="0" w:color="auto"/>
      </w:divBdr>
    </w:div>
    <w:div w:id="1449544998">
      <w:bodyDiv w:val="1"/>
      <w:marLeft w:val="0"/>
      <w:marRight w:val="0"/>
      <w:marTop w:val="0"/>
      <w:marBottom w:val="0"/>
      <w:divBdr>
        <w:top w:val="none" w:sz="0" w:space="0" w:color="auto"/>
        <w:left w:val="none" w:sz="0" w:space="0" w:color="auto"/>
        <w:bottom w:val="none" w:sz="0" w:space="0" w:color="auto"/>
        <w:right w:val="none" w:sz="0" w:space="0" w:color="auto"/>
      </w:divBdr>
    </w:div>
    <w:div w:id="1665008935">
      <w:bodyDiv w:val="1"/>
      <w:marLeft w:val="0"/>
      <w:marRight w:val="0"/>
      <w:marTop w:val="0"/>
      <w:marBottom w:val="0"/>
      <w:divBdr>
        <w:top w:val="none" w:sz="0" w:space="0" w:color="auto"/>
        <w:left w:val="none" w:sz="0" w:space="0" w:color="auto"/>
        <w:bottom w:val="none" w:sz="0" w:space="0" w:color="auto"/>
        <w:right w:val="none" w:sz="0" w:space="0" w:color="auto"/>
      </w:divBdr>
    </w:div>
    <w:div w:id="1837914676">
      <w:bodyDiv w:val="1"/>
      <w:marLeft w:val="0"/>
      <w:marRight w:val="0"/>
      <w:marTop w:val="0"/>
      <w:marBottom w:val="0"/>
      <w:divBdr>
        <w:top w:val="none" w:sz="0" w:space="0" w:color="auto"/>
        <w:left w:val="none" w:sz="0" w:space="0" w:color="auto"/>
        <w:bottom w:val="none" w:sz="0" w:space="0" w:color="auto"/>
        <w:right w:val="none" w:sz="0" w:space="0" w:color="auto"/>
      </w:divBdr>
    </w:div>
    <w:div w:id="1917855640">
      <w:bodyDiv w:val="1"/>
      <w:marLeft w:val="0"/>
      <w:marRight w:val="0"/>
      <w:marTop w:val="0"/>
      <w:marBottom w:val="0"/>
      <w:divBdr>
        <w:top w:val="none" w:sz="0" w:space="0" w:color="auto"/>
        <w:left w:val="none" w:sz="0" w:space="0" w:color="auto"/>
        <w:bottom w:val="none" w:sz="0" w:space="0" w:color="auto"/>
        <w:right w:val="none" w:sz="0" w:space="0" w:color="auto"/>
      </w:divBdr>
    </w:div>
    <w:div w:id="1933317314">
      <w:bodyDiv w:val="1"/>
      <w:marLeft w:val="0"/>
      <w:marRight w:val="0"/>
      <w:marTop w:val="0"/>
      <w:marBottom w:val="0"/>
      <w:divBdr>
        <w:top w:val="none" w:sz="0" w:space="0" w:color="auto"/>
        <w:left w:val="none" w:sz="0" w:space="0" w:color="auto"/>
        <w:bottom w:val="none" w:sz="0" w:space="0" w:color="auto"/>
        <w:right w:val="none" w:sz="0" w:space="0" w:color="auto"/>
      </w:divBdr>
      <w:divsChild>
        <w:div w:id="53937571">
          <w:marLeft w:val="0"/>
          <w:marRight w:val="0"/>
          <w:marTop w:val="0"/>
          <w:marBottom w:val="0"/>
          <w:divBdr>
            <w:top w:val="none" w:sz="0" w:space="0" w:color="auto"/>
            <w:left w:val="none" w:sz="0" w:space="0" w:color="auto"/>
            <w:bottom w:val="none" w:sz="0" w:space="0" w:color="auto"/>
            <w:right w:val="none" w:sz="0" w:space="0" w:color="auto"/>
          </w:divBdr>
          <w:divsChild>
            <w:div w:id="1047997980">
              <w:marLeft w:val="0"/>
              <w:marRight w:val="0"/>
              <w:marTop w:val="0"/>
              <w:marBottom w:val="0"/>
              <w:divBdr>
                <w:top w:val="none" w:sz="0" w:space="0" w:color="auto"/>
                <w:left w:val="none" w:sz="0" w:space="0" w:color="auto"/>
                <w:bottom w:val="none" w:sz="0" w:space="0" w:color="auto"/>
                <w:right w:val="none" w:sz="0" w:space="0" w:color="auto"/>
              </w:divBdr>
            </w:div>
          </w:divsChild>
        </w:div>
        <w:div w:id="113251107">
          <w:marLeft w:val="0"/>
          <w:marRight w:val="0"/>
          <w:marTop w:val="0"/>
          <w:marBottom w:val="0"/>
          <w:divBdr>
            <w:top w:val="none" w:sz="0" w:space="0" w:color="auto"/>
            <w:left w:val="none" w:sz="0" w:space="0" w:color="auto"/>
            <w:bottom w:val="none" w:sz="0" w:space="0" w:color="auto"/>
            <w:right w:val="none" w:sz="0" w:space="0" w:color="auto"/>
          </w:divBdr>
          <w:divsChild>
            <w:div w:id="913785100">
              <w:marLeft w:val="0"/>
              <w:marRight w:val="0"/>
              <w:marTop w:val="0"/>
              <w:marBottom w:val="0"/>
              <w:divBdr>
                <w:top w:val="none" w:sz="0" w:space="0" w:color="auto"/>
                <w:left w:val="none" w:sz="0" w:space="0" w:color="auto"/>
                <w:bottom w:val="none" w:sz="0" w:space="0" w:color="auto"/>
                <w:right w:val="none" w:sz="0" w:space="0" w:color="auto"/>
              </w:divBdr>
            </w:div>
          </w:divsChild>
        </w:div>
        <w:div w:id="141121442">
          <w:marLeft w:val="0"/>
          <w:marRight w:val="0"/>
          <w:marTop w:val="0"/>
          <w:marBottom w:val="0"/>
          <w:divBdr>
            <w:top w:val="none" w:sz="0" w:space="0" w:color="auto"/>
            <w:left w:val="none" w:sz="0" w:space="0" w:color="auto"/>
            <w:bottom w:val="none" w:sz="0" w:space="0" w:color="auto"/>
            <w:right w:val="none" w:sz="0" w:space="0" w:color="auto"/>
          </w:divBdr>
          <w:divsChild>
            <w:div w:id="136071877">
              <w:marLeft w:val="0"/>
              <w:marRight w:val="0"/>
              <w:marTop w:val="0"/>
              <w:marBottom w:val="0"/>
              <w:divBdr>
                <w:top w:val="none" w:sz="0" w:space="0" w:color="auto"/>
                <w:left w:val="none" w:sz="0" w:space="0" w:color="auto"/>
                <w:bottom w:val="none" w:sz="0" w:space="0" w:color="auto"/>
                <w:right w:val="none" w:sz="0" w:space="0" w:color="auto"/>
              </w:divBdr>
            </w:div>
          </w:divsChild>
        </w:div>
        <w:div w:id="152643879">
          <w:marLeft w:val="0"/>
          <w:marRight w:val="0"/>
          <w:marTop w:val="0"/>
          <w:marBottom w:val="0"/>
          <w:divBdr>
            <w:top w:val="none" w:sz="0" w:space="0" w:color="auto"/>
            <w:left w:val="none" w:sz="0" w:space="0" w:color="auto"/>
            <w:bottom w:val="none" w:sz="0" w:space="0" w:color="auto"/>
            <w:right w:val="none" w:sz="0" w:space="0" w:color="auto"/>
          </w:divBdr>
          <w:divsChild>
            <w:div w:id="1574968105">
              <w:marLeft w:val="0"/>
              <w:marRight w:val="0"/>
              <w:marTop w:val="0"/>
              <w:marBottom w:val="0"/>
              <w:divBdr>
                <w:top w:val="none" w:sz="0" w:space="0" w:color="auto"/>
                <w:left w:val="none" w:sz="0" w:space="0" w:color="auto"/>
                <w:bottom w:val="none" w:sz="0" w:space="0" w:color="auto"/>
                <w:right w:val="none" w:sz="0" w:space="0" w:color="auto"/>
              </w:divBdr>
            </w:div>
          </w:divsChild>
        </w:div>
        <w:div w:id="406810764">
          <w:marLeft w:val="0"/>
          <w:marRight w:val="0"/>
          <w:marTop w:val="0"/>
          <w:marBottom w:val="0"/>
          <w:divBdr>
            <w:top w:val="none" w:sz="0" w:space="0" w:color="auto"/>
            <w:left w:val="none" w:sz="0" w:space="0" w:color="auto"/>
            <w:bottom w:val="none" w:sz="0" w:space="0" w:color="auto"/>
            <w:right w:val="none" w:sz="0" w:space="0" w:color="auto"/>
          </w:divBdr>
          <w:divsChild>
            <w:div w:id="1056931813">
              <w:marLeft w:val="0"/>
              <w:marRight w:val="0"/>
              <w:marTop w:val="0"/>
              <w:marBottom w:val="0"/>
              <w:divBdr>
                <w:top w:val="none" w:sz="0" w:space="0" w:color="auto"/>
                <w:left w:val="none" w:sz="0" w:space="0" w:color="auto"/>
                <w:bottom w:val="none" w:sz="0" w:space="0" w:color="auto"/>
                <w:right w:val="none" w:sz="0" w:space="0" w:color="auto"/>
              </w:divBdr>
            </w:div>
          </w:divsChild>
        </w:div>
        <w:div w:id="576524845">
          <w:marLeft w:val="0"/>
          <w:marRight w:val="0"/>
          <w:marTop w:val="0"/>
          <w:marBottom w:val="0"/>
          <w:divBdr>
            <w:top w:val="none" w:sz="0" w:space="0" w:color="auto"/>
            <w:left w:val="none" w:sz="0" w:space="0" w:color="auto"/>
            <w:bottom w:val="none" w:sz="0" w:space="0" w:color="auto"/>
            <w:right w:val="none" w:sz="0" w:space="0" w:color="auto"/>
          </w:divBdr>
          <w:divsChild>
            <w:div w:id="1132287964">
              <w:marLeft w:val="0"/>
              <w:marRight w:val="0"/>
              <w:marTop w:val="0"/>
              <w:marBottom w:val="0"/>
              <w:divBdr>
                <w:top w:val="none" w:sz="0" w:space="0" w:color="auto"/>
                <w:left w:val="none" w:sz="0" w:space="0" w:color="auto"/>
                <w:bottom w:val="none" w:sz="0" w:space="0" w:color="auto"/>
                <w:right w:val="none" w:sz="0" w:space="0" w:color="auto"/>
              </w:divBdr>
            </w:div>
          </w:divsChild>
        </w:div>
        <w:div w:id="1195924803">
          <w:marLeft w:val="0"/>
          <w:marRight w:val="0"/>
          <w:marTop w:val="0"/>
          <w:marBottom w:val="0"/>
          <w:divBdr>
            <w:top w:val="none" w:sz="0" w:space="0" w:color="auto"/>
            <w:left w:val="none" w:sz="0" w:space="0" w:color="auto"/>
            <w:bottom w:val="none" w:sz="0" w:space="0" w:color="auto"/>
            <w:right w:val="none" w:sz="0" w:space="0" w:color="auto"/>
          </w:divBdr>
          <w:divsChild>
            <w:div w:id="44567565">
              <w:marLeft w:val="0"/>
              <w:marRight w:val="0"/>
              <w:marTop w:val="0"/>
              <w:marBottom w:val="0"/>
              <w:divBdr>
                <w:top w:val="none" w:sz="0" w:space="0" w:color="auto"/>
                <w:left w:val="none" w:sz="0" w:space="0" w:color="auto"/>
                <w:bottom w:val="none" w:sz="0" w:space="0" w:color="auto"/>
                <w:right w:val="none" w:sz="0" w:space="0" w:color="auto"/>
              </w:divBdr>
            </w:div>
            <w:div w:id="1545679595">
              <w:marLeft w:val="0"/>
              <w:marRight w:val="0"/>
              <w:marTop w:val="0"/>
              <w:marBottom w:val="0"/>
              <w:divBdr>
                <w:top w:val="none" w:sz="0" w:space="0" w:color="auto"/>
                <w:left w:val="none" w:sz="0" w:space="0" w:color="auto"/>
                <w:bottom w:val="none" w:sz="0" w:space="0" w:color="auto"/>
                <w:right w:val="none" w:sz="0" w:space="0" w:color="auto"/>
              </w:divBdr>
            </w:div>
          </w:divsChild>
        </w:div>
        <w:div w:id="1283538526">
          <w:marLeft w:val="0"/>
          <w:marRight w:val="0"/>
          <w:marTop w:val="0"/>
          <w:marBottom w:val="0"/>
          <w:divBdr>
            <w:top w:val="none" w:sz="0" w:space="0" w:color="auto"/>
            <w:left w:val="none" w:sz="0" w:space="0" w:color="auto"/>
            <w:bottom w:val="none" w:sz="0" w:space="0" w:color="auto"/>
            <w:right w:val="none" w:sz="0" w:space="0" w:color="auto"/>
          </w:divBdr>
          <w:divsChild>
            <w:div w:id="83770211">
              <w:marLeft w:val="0"/>
              <w:marRight w:val="0"/>
              <w:marTop w:val="0"/>
              <w:marBottom w:val="0"/>
              <w:divBdr>
                <w:top w:val="none" w:sz="0" w:space="0" w:color="auto"/>
                <w:left w:val="none" w:sz="0" w:space="0" w:color="auto"/>
                <w:bottom w:val="none" w:sz="0" w:space="0" w:color="auto"/>
                <w:right w:val="none" w:sz="0" w:space="0" w:color="auto"/>
              </w:divBdr>
            </w:div>
          </w:divsChild>
        </w:div>
        <w:div w:id="1283805101">
          <w:marLeft w:val="0"/>
          <w:marRight w:val="0"/>
          <w:marTop w:val="0"/>
          <w:marBottom w:val="0"/>
          <w:divBdr>
            <w:top w:val="none" w:sz="0" w:space="0" w:color="auto"/>
            <w:left w:val="none" w:sz="0" w:space="0" w:color="auto"/>
            <w:bottom w:val="none" w:sz="0" w:space="0" w:color="auto"/>
            <w:right w:val="none" w:sz="0" w:space="0" w:color="auto"/>
          </w:divBdr>
          <w:divsChild>
            <w:div w:id="374356764">
              <w:marLeft w:val="0"/>
              <w:marRight w:val="0"/>
              <w:marTop w:val="0"/>
              <w:marBottom w:val="0"/>
              <w:divBdr>
                <w:top w:val="none" w:sz="0" w:space="0" w:color="auto"/>
                <w:left w:val="none" w:sz="0" w:space="0" w:color="auto"/>
                <w:bottom w:val="none" w:sz="0" w:space="0" w:color="auto"/>
                <w:right w:val="none" w:sz="0" w:space="0" w:color="auto"/>
              </w:divBdr>
            </w:div>
          </w:divsChild>
        </w:div>
        <w:div w:id="1610235038">
          <w:marLeft w:val="0"/>
          <w:marRight w:val="0"/>
          <w:marTop w:val="0"/>
          <w:marBottom w:val="0"/>
          <w:divBdr>
            <w:top w:val="none" w:sz="0" w:space="0" w:color="auto"/>
            <w:left w:val="none" w:sz="0" w:space="0" w:color="auto"/>
            <w:bottom w:val="none" w:sz="0" w:space="0" w:color="auto"/>
            <w:right w:val="none" w:sz="0" w:space="0" w:color="auto"/>
          </w:divBdr>
          <w:divsChild>
            <w:div w:id="2006860467">
              <w:marLeft w:val="0"/>
              <w:marRight w:val="0"/>
              <w:marTop w:val="0"/>
              <w:marBottom w:val="0"/>
              <w:divBdr>
                <w:top w:val="none" w:sz="0" w:space="0" w:color="auto"/>
                <w:left w:val="none" w:sz="0" w:space="0" w:color="auto"/>
                <w:bottom w:val="none" w:sz="0" w:space="0" w:color="auto"/>
                <w:right w:val="none" w:sz="0" w:space="0" w:color="auto"/>
              </w:divBdr>
            </w:div>
          </w:divsChild>
        </w:div>
        <w:div w:id="2076318789">
          <w:marLeft w:val="0"/>
          <w:marRight w:val="0"/>
          <w:marTop w:val="0"/>
          <w:marBottom w:val="0"/>
          <w:divBdr>
            <w:top w:val="none" w:sz="0" w:space="0" w:color="auto"/>
            <w:left w:val="none" w:sz="0" w:space="0" w:color="auto"/>
            <w:bottom w:val="none" w:sz="0" w:space="0" w:color="auto"/>
            <w:right w:val="none" w:sz="0" w:space="0" w:color="auto"/>
          </w:divBdr>
          <w:divsChild>
            <w:div w:id="87523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52.xml"/><Relationship Id="rId299" Type="http://schemas.openxmlformats.org/officeDocument/2006/relationships/header" Target="header144.xml"/><Relationship Id="rId303" Type="http://schemas.openxmlformats.org/officeDocument/2006/relationships/footer" Target="footer145.xml"/><Relationship Id="rId21" Type="http://schemas.openxmlformats.org/officeDocument/2006/relationships/footer" Target="footer4.xml"/><Relationship Id="rId42" Type="http://schemas.openxmlformats.org/officeDocument/2006/relationships/footer" Target="footer15.xml"/><Relationship Id="rId63" Type="http://schemas.openxmlformats.org/officeDocument/2006/relationships/footer" Target="footer25.xml"/><Relationship Id="rId84" Type="http://schemas.openxmlformats.org/officeDocument/2006/relationships/footer" Target="footer36.xml"/><Relationship Id="rId138" Type="http://schemas.openxmlformats.org/officeDocument/2006/relationships/footer" Target="footer63.xml"/><Relationship Id="rId159" Type="http://schemas.openxmlformats.org/officeDocument/2006/relationships/footer" Target="footer73.xml"/><Relationship Id="rId324" Type="http://schemas.openxmlformats.org/officeDocument/2006/relationships/footer" Target="footer156.xml"/><Relationship Id="rId345" Type="http://schemas.openxmlformats.org/officeDocument/2006/relationships/header" Target="header167.xml"/><Relationship Id="rId366" Type="http://schemas.openxmlformats.org/officeDocument/2006/relationships/footer" Target="footer177.xml"/><Relationship Id="rId170" Type="http://schemas.openxmlformats.org/officeDocument/2006/relationships/header" Target="header80.xml"/><Relationship Id="rId191" Type="http://schemas.openxmlformats.org/officeDocument/2006/relationships/header" Target="header90.xml"/><Relationship Id="rId205" Type="http://schemas.openxmlformats.org/officeDocument/2006/relationships/header" Target="header97.xml"/><Relationship Id="rId226" Type="http://schemas.openxmlformats.org/officeDocument/2006/relationships/footer" Target="footer107.xml"/><Relationship Id="rId247" Type="http://schemas.openxmlformats.org/officeDocument/2006/relationships/header" Target="header118.xml"/><Relationship Id="rId107" Type="http://schemas.openxmlformats.org/officeDocument/2006/relationships/header" Target="header48.xml"/><Relationship Id="rId268" Type="http://schemas.openxmlformats.org/officeDocument/2006/relationships/footer" Target="footer128.xml"/><Relationship Id="rId289" Type="http://schemas.openxmlformats.org/officeDocument/2006/relationships/header" Target="header139.xml"/><Relationship Id="rId11" Type="http://schemas.openxmlformats.org/officeDocument/2006/relationships/endnotes" Target="endnotes.xml"/><Relationship Id="rId32" Type="http://schemas.openxmlformats.org/officeDocument/2006/relationships/header" Target="header11.xml"/><Relationship Id="rId53" Type="http://schemas.openxmlformats.org/officeDocument/2006/relationships/header" Target="header21.xml"/><Relationship Id="rId74" Type="http://schemas.openxmlformats.org/officeDocument/2006/relationships/header" Target="header32.xml"/><Relationship Id="rId128" Type="http://schemas.openxmlformats.org/officeDocument/2006/relationships/header" Target="header59.xml"/><Relationship Id="rId149" Type="http://schemas.openxmlformats.org/officeDocument/2006/relationships/header" Target="header69.xml"/><Relationship Id="rId314" Type="http://schemas.openxmlformats.org/officeDocument/2006/relationships/header" Target="header152.xml"/><Relationship Id="rId335" Type="http://schemas.openxmlformats.org/officeDocument/2006/relationships/header" Target="header162.xml"/><Relationship Id="rId356" Type="http://schemas.openxmlformats.org/officeDocument/2006/relationships/footer" Target="footer172.xml"/><Relationship Id="rId377" Type="http://schemas.openxmlformats.org/officeDocument/2006/relationships/footer" Target="footer182.xml"/><Relationship Id="rId5" Type="http://schemas.openxmlformats.org/officeDocument/2006/relationships/customXml" Target="../customXml/item5.xml"/><Relationship Id="rId95" Type="http://schemas.openxmlformats.org/officeDocument/2006/relationships/header" Target="header42.xml"/><Relationship Id="rId160" Type="http://schemas.openxmlformats.org/officeDocument/2006/relationships/footer" Target="footer74.xml"/><Relationship Id="rId181" Type="http://schemas.openxmlformats.org/officeDocument/2006/relationships/header" Target="header85.xml"/><Relationship Id="rId216" Type="http://schemas.openxmlformats.org/officeDocument/2006/relationships/footer" Target="footer102.xml"/><Relationship Id="rId237" Type="http://schemas.openxmlformats.org/officeDocument/2006/relationships/footer" Target="footer112.xml"/><Relationship Id="rId258" Type="http://schemas.openxmlformats.org/officeDocument/2006/relationships/footer" Target="footer123.xml"/><Relationship Id="rId279" Type="http://schemas.openxmlformats.org/officeDocument/2006/relationships/footer" Target="footer133.xml"/><Relationship Id="rId22" Type="http://schemas.openxmlformats.org/officeDocument/2006/relationships/footer" Target="footer5.xml"/><Relationship Id="rId43" Type="http://schemas.openxmlformats.org/officeDocument/2006/relationships/header" Target="header16.xml"/><Relationship Id="rId64" Type="http://schemas.openxmlformats.org/officeDocument/2006/relationships/footer" Target="footer26.xml"/><Relationship Id="rId118" Type="http://schemas.openxmlformats.org/officeDocument/2006/relationships/footer" Target="footer53.xml"/><Relationship Id="rId139" Type="http://schemas.openxmlformats.org/officeDocument/2006/relationships/header" Target="header64.xml"/><Relationship Id="rId290" Type="http://schemas.openxmlformats.org/officeDocument/2006/relationships/header" Target="header140.xml"/><Relationship Id="rId304" Type="http://schemas.openxmlformats.org/officeDocument/2006/relationships/footer" Target="footer146.xml"/><Relationship Id="rId325" Type="http://schemas.openxmlformats.org/officeDocument/2006/relationships/header" Target="header157.xml"/><Relationship Id="rId346" Type="http://schemas.openxmlformats.org/officeDocument/2006/relationships/header" Target="header168.xml"/><Relationship Id="rId367" Type="http://schemas.openxmlformats.org/officeDocument/2006/relationships/header" Target="header178.xml"/><Relationship Id="rId85" Type="http://schemas.openxmlformats.org/officeDocument/2006/relationships/header" Target="header37.xml"/><Relationship Id="rId150" Type="http://schemas.openxmlformats.org/officeDocument/2006/relationships/footer" Target="footer69.xml"/><Relationship Id="rId171" Type="http://schemas.openxmlformats.org/officeDocument/2006/relationships/footer" Target="footer79.xml"/><Relationship Id="rId192" Type="http://schemas.openxmlformats.org/officeDocument/2006/relationships/footer" Target="footer90.xml"/><Relationship Id="rId206" Type="http://schemas.openxmlformats.org/officeDocument/2006/relationships/header" Target="header98.xml"/><Relationship Id="rId227" Type="http://schemas.openxmlformats.org/officeDocument/2006/relationships/header" Target="header108.xml"/><Relationship Id="rId248" Type="http://schemas.openxmlformats.org/officeDocument/2006/relationships/header" Target="header119.xml"/><Relationship Id="rId269" Type="http://schemas.openxmlformats.org/officeDocument/2006/relationships/header" Target="header129.xml"/><Relationship Id="rId12" Type="http://schemas.openxmlformats.org/officeDocument/2006/relationships/image" Target="media/image1.emf"/><Relationship Id="rId33" Type="http://schemas.openxmlformats.org/officeDocument/2006/relationships/footer" Target="footer10.xml"/><Relationship Id="rId108" Type="http://schemas.openxmlformats.org/officeDocument/2006/relationships/footer" Target="footer48.xml"/><Relationship Id="rId129" Type="http://schemas.openxmlformats.org/officeDocument/2006/relationships/footer" Target="footer58.xml"/><Relationship Id="rId280" Type="http://schemas.openxmlformats.org/officeDocument/2006/relationships/footer" Target="footer134.xml"/><Relationship Id="rId315" Type="http://schemas.openxmlformats.org/officeDocument/2006/relationships/footer" Target="footer151.xml"/><Relationship Id="rId336" Type="http://schemas.openxmlformats.org/officeDocument/2006/relationships/footer" Target="footer162.xml"/><Relationship Id="rId357" Type="http://schemas.openxmlformats.org/officeDocument/2006/relationships/header" Target="header173.xml"/><Relationship Id="rId54" Type="http://schemas.openxmlformats.org/officeDocument/2006/relationships/footer" Target="footer21.xml"/><Relationship Id="rId75" Type="http://schemas.openxmlformats.org/officeDocument/2006/relationships/footer" Target="footer31.xml"/><Relationship Id="rId96" Type="http://schemas.openxmlformats.org/officeDocument/2006/relationships/footer" Target="footer42.xml"/><Relationship Id="rId140" Type="http://schemas.openxmlformats.org/officeDocument/2006/relationships/header" Target="header65.xml"/><Relationship Id="rId161" Type="http://schemas.openxmlformats.org/officeDocument/2006/relationships/header" Target="header75.xml"/><Relationship Id="rId182" Type="http://schemas.openxmlformats.org/officeDocument/2006/relationships/header" Target="header86.xml"/><Relationship Id="rId217" Type="http://schemas.openxmlformats.org/officeDocument/2006/relationships/header" Target="header103.xml"/><Relationship Id="rId378" Type="http://schemas.openxmlformats.org/officeDocument/2006/relationships/footer" Target="footer183.xml"/><Relationship Id="rId6" Type="http://schemas.openxmlformats.org/officeDocument/2006/relationships/numbering" Target="numbering.xml"/><Relationship Id="rId238" Type="http://schemas.openxmlformats.org/officeDocument/2006/relationships/footer" Target="footer113.xml"/><Relationship Id="rId259" Type="http://schemas.openxmlformats.org/officeDocument/2006/relationships/header" Target="header124.xml"/><Relationship Id="rId23" Type="http://schemas.openxmlformats.org/officeDocument/2006/relationships/header" Target="header6.xml"/><Relationship Id="rId119" Type="http://schemas.openxmlformats.org/officeDocument/2006/relationships/header" Target="header54.xml"/><Relationship Id="rId270" Type="http://schemas.openxmlformats.org/officeDocument/2006/relationships/footer" Target="footer129.xml"/><Relationship Id="rId291" Type="http://schemas.openxmlformats.org/officeDocument/2006/relationships/footer" Target="footer139.xml"/><Relationship Id="rId305" Type="http://schemas.openxmlformats.org/officeDocument/2006/relationships/header" Target="header147.xml"/><Relationship Id="rId326" Type="http://schemas.openxmlformats.org/officeDocument/2006/relationships/header" Target="header158.xml"/><Relationship Id="rId347" Type="http://schemas.openxmlformats.org/officeDocument/2006/relationships/footer" Target="footer167.xml"/><Relationship Id="rId44" Type="http://schemas.openxmlformats.org/officeDocument/2006/relationships/header" Target="header17.xml"/><Relationship Id="rId65" Type="http://schemas.openxmlformats.org/officeDocument/2006/relationships/header" Target="header27.xml"/><Relationship Id="rId86" Type="http://schemas.openxmlformats.org/officeDocument/2006/relationships/header" Target="header38.xml"/><Relationship Id="rId130" Type="http://schemas.openxmlformats.org/officeDocument/2006/relationships/footer" Target="footer59.xml"/><Relationship Id="rId151" Type="http://schemas.openxmlformats.org/officeDocument/2006/relationships/header" Target="header70.xml"/><Relationship Id="rId368" Type="http://schemas.openxmlformats.org/officeDocument/2006/relationships/footer" Target="footer178.xml"/><Relationship Id="rId172" Type="http://schemas.openxmlformats.org/officeDocument/2006/relationships/footer" Target="footer80.xml"/><Relationship Id="rId193" Type="http://schemas.openxmlformats.org/officeDocument/2006/relationships/header" Target="header91.xml"/><Relationship Id="rId207" Type="http://schemas.openxmlformats.org/officeDocument/2006/relationships/footer" Target="footer97.xml"/><Relationship Id="rId228" Type="http://schemas.openxmlformats.org/officeDocument/2006/relationships/footer" Target="footer108.xml"/><Relationship Id="rId249" Type="http://schemas.openxmlformats.org/officeDocument/2006/relationships/footer" Target="footer118.xml"/><Relationship Id="rId13" Type="http://schemas.openxmlformats.org/officeDocument/2006/relationships/header" Target="header1.xml"/><Relationship Id="rId109" Type="http://schemas.openxmlformats.org/officeDocument/2006/relationships/header" Target="header49.xml"/><Relationship Id="rId260" Type="http://schemas.openxmlformats.org/officeDocument/2006/relationships/header" Target="header125.xml"/><Relationship Id="rId281" Type="http://schemas.openxmlformats.org/officeDocument/2006/relationships/header" Target="header135.xml"/><Relationship Id="rId316" Type="http://schemas.openxmlformats.org/officeDocument/2006/relationships/footer" Target="footer152.xml"/><Relationship Id="rId337" Type="http://schemas.openxmlformats.org/officeDocument/2006/relationships/header" Target="header163.xml"/><Relationship Id="rId34" Type="http://schemas.openxmlformats.org/officeDocument/2006/relationships/footer" Target="footer11.xml"/><Relationship Id="rId55" Type="http://schemas.openxmlformats.org/officeDocument/2006/relationships/header" Target="header22.xml"/><Relationship Id="rId76" Type="http://schemas.openxmlformats.org/officeDocument/2006/relationships/footer" Target="footer32.xml"/><Relationship Id="rId97" Type="http://schemas.openxmlformats.org/officeDocument/2006/relationships/header" Target="header43.xml"/><Relationship Id="rId120" Type="http://schemas.openxmlformats.org/officeDocument/2006/relationships/footer" Target="footer54.xml"/><Relationship Id="rId141" Type="http://schemas.openxmlformats.org/officeDocument/2006/relationships/footer" Target="footer64.xml"/><Relationship Id="rId358" Type="http://schemas.openxmlformats.org/officeDocument/2006/relationships/header" Target="header174.xml"/><Relationship Id="rId379" Type="http://schemas.openxmlformats.org/officeDocument/2006/relationships/header" Target="header184.xml"/><Relationship Id="rId7" Type="http://schemas.openxmlformats.org/officeDocument/2006/relationships/styles" Target="styles.xml"/><Relationship Id="rId162" Type="http://schemas.openxmlformats.org/officeDocument/2006/relationships/footer" Target="footer75.xml"/><Relationship Id="rId183" Type="http://schemas.openxmlformats.org/officeDocument/2006/relationships/footer" Target="footer85.xml"/><Relationship Id="rId218" Type="http://schemas.openxmlformats.org/officeDocument/2006/relationships/header" Target="header104.xml"/><Relationship Id="rId239" Type="http://schemas.openxmlformats.org/officeDocument/2006/relationships/header" Target="header114.xml"/><Relationship Id="rId250" Type="http://schemas.openxmlformats.org/officeDocument/2006/relationships/footer" Target="footer119.xml"/><Relationship Id="rId271" Type="http://schemas.openxmlformats.org/officeDocument/2006/relationships/header" Target="header130.xml"/><Relationship Id="rId292" Type="http://schemas.openxmlformats.org/officeDocument/2006/relationships/footer" Target="footer140.xml"/><Relationship Id="rId306" Type="http://schemas.openxmlformats.org/officeDocument/2006/relationships/footer" Target="footer147.xml"/><Relationship Id="rId24" Type="http://schemas.openxmlformats.org/officeDocument/2006/relationships/footer" Target="footer6.xml"/><Relationship Id="rId45" Type="http://schemas.openxmlformats.org/officeDocument/2006/relationships/footer" Target="footer16.xml"/><Relationship Id="rId66" Type="http://schemas.openxmlformats.org/officeDocument/2006/relationships/footer" Target="footer27.xml"/><Relationship Id="rId87" Type="http://schemas.openxmlformats.org/officeDocument/2006/relationships/footer" Target="footer37.xml"/><Relationship Id="rId110" Type="http://schemas.openxmlformats.org/officeDocument/2006/relationships/header" Target="header50.xml"/><Relationship Id="rId131" Type="http://schemas.openxmlformats.org/officeDocument/2006/relationships/header" Target="header60.xml"/><Relationship Id="rId327" Type="http://schemas.openxmlformats.org/officeDocument/2006/relationships/footer" Target="footer157.xml"/><Relationship Id="rId348" Type="http://schemas.openxmlformats.org/officeDocument/2006/relationships/footer" Target="footer168.xml"/><Relationship Id="rId369" Type="http://schemas.openxmlformats.org/officeDocument/2006/relationships/header" Target="header179.xml"/><Relationship Id="rId152" Type="http://schemas.openxmlformats.org/officeDocument/2006/relationships/header" Target="header71.xml"/><Relationship Id="rId173" Type="http://schemas.openxmlformats.org/officeDocument/2006/relationships/header" Target="header81.xml"/><Relationship Id="rId194" Type="http://schemas.openxmlformats.org/officeDocument/2006/relationships/header" Target="header92.xml"/><Relationship Id="rId208" Type="http://schemas.openxmlformats.org/officeDocument/2006/relationships/footer" Target="footer98.xml"/><Relationship Id="rId229" Type="http://schemas.openxmlformats.org/officeDocument/2006/relationships/header" Target="header109.xml"/><Relationship Id="rId380" Type="http://schemas.openxmlformats.org/officeDocument/2006/relationships/footer" Target="footer184.xml"/><Relationship Id="rId240" Type="http://schemas.openxmlformats.org/officeDocument/2006/relationships/footer" Target="footer114.xml"/><Relationship Id="rId261" Type="http://schemas.openxmlformats.org/officeDocument/2006/relationships/footer" Target="footer124.xml"/><Relationship Id="rId14" Type="http://schemas.openxmlformats.org/officeDocument/2006/relationships/header" Target="header2.xml"/><Relationship Id="rId35" Type="http://schemas.openxmlformats.org/officeDocument/2006/relationships/header" Target="header12.xml"/><Relationship Id="rId56" Type="http://schemas.openxmlformats.org/officeDocument/2006/relationships/header" Target="header23.xml"/><Relationship Id="rId77" Type="http://schemas.openxmlformats.org/officeDocument/2006/relationships/header" Target="header33.xml"/><Relationship Id="rId100" Type="http://schemas.openxmlformats.org/officeDocument/2006/relationships/footer" Target="footer44.xml"/><Relationship Id="rId282" Type="http://schemas.openxmlformats.org/officeDocument/2006/relationships/footer" Target="footer135.xml"/><Relationship Id="rId317" Type="http://schemas.openxmlformats.org/officeDocument/2006/relationships/header" Target="header153.xml"/><Relationship Id="rId338" Type="http://schemas.openxmlformats.org/officeDocument/2006/relationships/footer" Target="footer163.xml"/><Relationship Id="rId359" Type="http://schemas.openxmlformats.org/officeDocument/2006/relationships/footer" Target="footer173.xml"/><Relationship Id="rId8" Type="http://schemas.openxmlformats.org/officeDocument/2006/relationships/settings" Target="settings.xml"/><Relationship Id="rId98" Type="http://schemas.openxmlformats.org/officeDocument/2006/relationships/header" Target="header44.xml"/><Relationship Id="rId121" Type="http://schemas.openxmlformats.org/officeDocument/2006/relationships/header" Target="header55.xml"/><Relationship Id="rId142" Type="http://schemas.openxmlformats.org/officeDocument/2006/relationships/footer" Target="footer65.xml"/><Relationship Id="rId163" Type="http://schemas.openxmlformats.org/officeDocument/2006/relationships/header" Target="header76.xml"/><Relationship Id="rId184" Type="http://schemas.openxmlformats.org/officeDocument/2006/relationships/footer" Target="footer86.xml"/><Relationship Id="rId219" Type="http://schemas.openxmlformats.org/officeDocument/2006/relationships/footer" Target="footer103.xml"/><Relationship Id="rId370" Type="http://schemas.openxmlformats.org/officeDocument/2006/relationships/header" Target="header180.xml"/><Relationship Id="rId230" Type="http://schemas.openxmlformats.org/officeDocument/2006/relationships/header" Target="header110.xml"/><Relationship Id="rId251" Type="http://schemas.openxmlformats.org/officeDocument/2006/relationships/header" Target="header120.xml"/><Relationship Id="rId25" Type="http://schemas.openxmlformats.org/officeDocument/2006/relationships/header" Target="header7.xml"/><Relationship Id="rId46" Type="http://schemas.openxmlformats.org/officeDocument/2006/relationships/footer" Target="footer17.xml"/><Relationship Id="rId67" Type="http://schemas.openxmlformats.org/officeDocument/2006/relationships/header" Target="header28.xml"/><Relationship Id="rId272" Type="http://schemas.openxmlformats.org/officeDocument/2006/relationships/header" Target="header131.xml"/><Relationship Id="rId293" Type="http://schemas.openxmlformats.org/officeDocument/2006/relationships/header" Target="header141.xml"/><Relationship Id="rId307" Type="http://schemas.openxmlformats.org/officeDocument/2006/relationships/header" Target="header148.xml"/><Relationship Id="rId328" Type="http://schemas.openxmlformats.org/officeDocument/2006/relationships/footer" Target="footer158.xml"/><Relationship Id="rId349" Type="http://schemas.openxmlformats.org/officeDocument/2006/relationships/header" Target="header169.xml"/><Relationship Id="rId88" Type="http://schemas.openxmlformats.org/officeDocument/2006/relationships/footer" Target="footer38.xml"/><Relationship Id="rId111" Type="http://schemas.openxmlformats.org/officeDocument/2006/relationships/footer" Target="footer49.xml"/><Relationship Id="rId132" Type="http://schemas.openxmlformats.org/officeDocument/2006/relationships/footer" Target="footer60.xml"/><Relationship Id="rId153" Type="http://schemas.openxmlformats.org/officeDocument/2006/relationships/footer" Target="footer70.xml"/><Relationship Id="rId174" Type="http://schemas.openxmlformats.org/officeDocument/2006/relationships/footer" Target="footer81.xml"/><Relationship Id="rId195" Type="http://schemas.openxmlformats.org/officeDocument/2006/relationships/footer" Target="footer91.xml"/><Relationship Id="rId209" Type="http://schemas.openxmlformats.org/officeDocument/2006/relationships/header" Target="header99.xml"/><Relationship Id="rId360" Type="http://schemas.openxmlformats.org/officeDocument/2006/relationships/footer" Target="footer174.xml"/><Relationship Id="rId381" Type="http://schemas.openxmlformats.org/officeDocument/2006/relationships/fontTable" Target="fontTable.xml"/><Relationship Id="rId220" Type="http://schemas.openxmlformats.org/officeDocument/2006/relationships/footer" Target="footer104.xml"/><Relationship Id="rId241" Type="http://schemas.openxmlformats.org/officeDocument/2006/relationships/header" Target="header115.xml"/><Relationship Id="rId15" Type="http://schemas.openxmlformats.org/officeDocument/2006/relationships/footer" Target="footer1.xml"/><Relationship Id="rId36" Type="http://schemas.openxmlformats.org/officeDocument/2006/relationships/footer" Target="footer12.xml"/><Relationship Id="rId57" Type="http://schemas.openxmlformats.org/officeDocument/2006/relationships/footer" Target="footer22.xml"/><Relationship Id="rId262" Type="http://schemas.openxmlformats.org/officeDocument/2006/relationships/footer" Target="footer125.xml"/><Relationship Id="rId283" Type="http://schemas.openxmlformats.org/officeDocument/2006/relationships/header" Target="header136.xml"/><Relationship Id="rId318" Type="http://schemas.openxmlformats.org/officeDocument/2006/relationships/footer" Target="footer153.xml"/><Relationship Id="rId339" Type="http://schemas.openxmlformats.org/officeDocument/2006/relationships/header" Target="header164.xml"/><Relationship Id="rId78" Type="http://schemas.openxmlformats.org/officeDocument/2006/relationships/footer" Target="footer33.xml"/><Relationship Id="rId99" Type="http://schemas.openxmlformats.org/officeDocument/2006/relationships/footer" Target="footer43.xml"/><Relationship Id="rId101" Type="http://schemas.openxmlformats.org/officeDocument/2006/relationships/header" Target="header45.xml"/><Relationship Id="rId122" Type="http://schemas.openxmlformats.org/officeDocument/2006/relationships/header" Target="header56.xml"/><Relationship Id="rId143" Type="http://schemas.openxmlformats.org/officeDocument/2006/relationships/header" Target="header66.xml"/><Relationship Id="rId164" Type="http://schemas.openxmlformats.org/officeDocument/2006/relationships/header" Target="header77.xml"/><Relationship Id="rId185" Type="http://schemas.openxmlformats.org/officeDocument/2006/relationships/header" Target="header87.xml"/><Relationship Id="rId350" Type="http://schemas.openxmlformats.org/officeDocument/2006/relationships/footer" Target="footer169.xml"/><Relationship Id="rId371" Type="http://schemas.openxmlformats.org/officeDocument/2006/relationships/footer" Target="footer179.xml"/><Relationship Id="rId9" Type="http://schemas.openxmlformats.org/officeDocument/2006/relationships/webSettings" Target="webSettings.xml"/><Relationship Id="rId210" Type="http://schemas.openxmlformats.org/officeDocument/2006/relationships/footer" Target="footer99.xml"/><Relationship Id="rId26" Type="http://schemas.openxmlformats.org/officeDocument/2006/relationships/header" Target="header8.xml"/><Relationship Id="rId231" Type="http://schemas.openxmlformats.org/officeDocument/2006/relationships/footer" Target="footer109.xml"/><Relationship Id="rId252" Type="http://schemas.openxmlformats.org/officeDocument/2006/relationships/footer" Target="footer120.xml"/><Relationship Id="rId273" Type="http://schemas.openxmlformats.org/officeDocument/2006/relationships/footer" Target="footer130.xml"/><Relationship Id="rId294" Type="http://schemas.openxmlformats.org/officeDocument/2006/relationships/footer" Target="footer141.xml"/><Relationship Id="rId308" Type="http://schemas.openxmlformats.org/officeDocument/2006/relationships/header" Target="header149.xml"/><Relationship Id="rId329" Type="http://schemas.openxmlformats.org/officeDocument/2006/relationships/header" Target="header159.xml"/><Relationship Id="rId47" Type="http://schemas.openxmlformats.org/officeDocument/2006/relationships/header" Target="header18.xml"/><Relationship Id="rId68" Type="http://schemas.openxmlformats.org/officeDocument/2006/relationships/header" Target="header29.xml"/><Relationship Id="rId89" Type="http://schemas.openxmlformats.org/officeDocument/2006/relationships/header" Target="header39.xml"/><Relationship Id="rId112" Type="http://schemas.openxmlformats.org/officeDocument/2006/relationships/footer" Target="footer50.xml"/><Relationship Id="rId133" Type="http://schemas.openxmlformats.org/officeDocument/2006/relationships/header" Target="header61.xml"/><Relationship Id="rId154" Type="http://schemas.openxmlformats.org/officeDocument/2006/relationships/footer" Target="footer71.xml"/><Relationship Id="rId175" Type="http://schemas.openxmlformats.org/officeDocument/2006/relationships/header" Target="header82.xml"/><Relationship Id="rId340" Type="http://schemas.openxmlformats.org/officeDocument/2006/relationships/header" Target="header165.xml"/><Relationship Id="rId361" Type="http://schemas.openxmlformats.org/officeDocument/2006/relationships/header" Target="header175.xml"/><Relationship Id="rId196" Type="http://schemas.openxmlformats.org/officeDocument/2006/relationships/footer" Target="footer92.xml"/><Relationship Id="rId200" Type="http://schemas.openxmlformats.org/officeDocument/2006/relationships/header" Target="header95.xml"/><Relationship Id="rId382" Type="http://schemas.openxmlformats.org/officeDocument/2006/relationships/theme" Target="theme/theme1.xml"/><Relationship Id="rId16" Type="http://schemas.openxmlformats.org/officeDocument/2006/relationships/footer" Target="footer2.xml"/><Relationship Id="rId221" Type="http://schemas.openxmlformats.org/officeDocument/2006/relationships/header" Target="header105.xml"/><Relationship Id="rId242" Type="http://schemas.openxmlformats.org/officeDocument/2006/relationships/header" Target="header116.xml"/><Relationship Id="rId263" Type="http://schemas.openxmlformats.org/officeDocument/2006/relationships/header" Target="header126.xml"/><Relationship Id="rId284" Type="http://schemas.openxmlformats.org/officeDocument/2006/relationships/header" Target="header137.xml"/><Relationship Id="rId319" Type="http://schemas.openxmlformats.org/officeDocument/2006/relationships/header" Target="header154.xml"/><Relationship Id="rId37" Type="http://schemas.openxmlformats.org/officeDocument/2006/relationships/header" Target="header13.xml"/><Relationship Id="rId58" Type="http://schemas.openxmlformats.org/officeDocument/2006/relationships/footer" Target="footer23.xml"/><Relationship Id="rId79" Type="http://schemas.openxmlformats.org/officeDocument/2006/relationships/header" Target="header34.xml"/><Relationship Id="rId102" Type="http://schemas.openxmlformats.org/officeDocument/2006/relationships/footer" Target="footer45.xml"/><Relationship Id="rId123" Type="http://schemas.openxmlformats.org/officeDocument/2006/relationships/footer" Target="footer55.xml"/><Relationship Id="rId144" Type="http://schemas.openxmlformats.org/officeDocument/2006/relationships/footer" Target="footer66.xml"/><Relationship Id="rId330" Type="http://schemas.openxmlformats.org/officeDocument/2006/relationships/footer" Target="footer159.xml"/><Relationship Id="rId90" Type="http://schemas.openxmlformats.org/officeDocument/2006/relationships/footer" Target="footer39.xml"/><Relationship Id="rId165" Type="http://schemas.openxmlformats.org/officeDocument/2006/relationships/footer" Target="footer76.xml"/><Relationship Id="rId186" Type="http://schemas.openxmlformats.org/officeDocument/2006/relationships/footer" Target="footer87.xml"/><Relationship Id="rId351" Type="http://schemas.openxmlformats.org/officeDocument/2006/relationships/header" Target="header170.xml"/><Relationship Id="rId372" Type="http://schemas.openxmlformats.org/officeDocument/2006/relationships/footer" Target="footer180.xml"/><Relationship Id="rId211" Type="http://schemas.openxmlformats.org/officeDocument/2006/relationships/header" Target="header100.xml"/><Relationship Id="rId232" Type="http://schemas.openxmlformats.org/officeDocument/2006/relationships/footer" Target="footer110.xml"/><Relationship Id="rId253" Type="http://schemas.openxmlformats.org/officeDocument/2006/relationships/header" Target="header121.xml"/><Relationship Id="rId274" Type="http://schemas.openxmlformats.org/officeDocument/2006/relationships/footer" Target="footer131.xml"/><Relationship Id="rId295" Type="http://schemas.openxmlformats.org/officeDocument/2006/relationships/header" Target="header142.xml"/><Relationship Id="rId309" Type="http://schemas.openxmlformats.org/officeDocument/2006/relationships/footer" Target="footer148.xml"/><Relationship Id="rId27" Type="http://schemas.openxmlformats.org/officeDocument/2006/relationships/footer" Target="footer7.xml"/><Relationship Id="rId48" Type="http://schemas.openxmlformats.org/officeDocument/2006/relationships/footer" Target="footer18.xml"/><Relationship Id="rId69" Type="http://schemas.openxmlformats.org/officeDocument/2006/relationships/footer" Target="footer28.xml"/><Relationship Id="rId113" Type="http://schemas.openxmlformats.org/officeDocument/2006/relationships/header" Target="header51.xml"/><Relationship Id="rId134" Type="http://schemas.openxmlformats.org/officeDocument/2006/relationships/header" Target="header62.xml"/><Relationship Id="rId320" Type="http://schemas.openxmlformats.org/officeDocument/2006/relationships/header" Target="header155.xml"/><Relationship Id="rId80" Type="http://schemas.openxmlformats.org/officeDocument/2006/relationships/header" Target="header35.xml"/><Relationship Id="rId155" Type="http://schemas.openxmlformats.org/officeDocument/2006/relationships/header" Target="header72.xml"/><Relationship Id="rId176" Type="http://schemas.openxmlformats.org/officeDocument/2006/relationships/header" Target="header83.xml"/><Relationship Id="rId197" Type="http://schemas.openxmlformats.org/officeDocument/2006/relationships/header" Target="header93.xml"/><Relationship Id="rId341" Type="http://schemas.openxmlformats.org/officeDocument/2006/relationships/footer" Target="footer164.xml"/><Relationship Id="rId362" Type="http://schemas.openxmlformats.org/officeDocument/2006/relationships/footer" Target="footer175.xml"/><Relationship Id="rId383" Type="http://schemas.microsoft.com/office/2019/05/relationships/documenttasks" Target="documenttasks/documenttasks1.xml"/><Relationship Id="rId201" Type="http://schemas.openxmlformats.org/officeDocument/2006/relationships/footer" Target="footer94.xml"/><Relationship Id="rId222" Type="http://schemas.openxmlformats.org/officeDocument/2006/relationships/footer" Target="footer105.xml"/><Relationship Id="rId243" Type="http://schemas.openxmlformats.org/officeDocument/2006/relationships/footer" Target="footer115.xml"/><Relationship Id="rId264" Type="http://schemas.openxmlformats.org/officeDocument/2006/relationships/footer" Target="footer126.xml"/><Relationship Id="rId285" Type="http://schemas.openxmlformats.org/officeDocument/2006/relationships/footer" Target="footer136.xml"/><Relationship Id="rId17" Type="http://schemas.openxmlformats.org/officeDocument/2006/relationships/header" Target="header3.xml"/><Relationship Id="rId38" Type="http://schemas.openxmlformats.org/officeDocument/2006/relationships/header" Target="header14.xml"/><Relationship Id="rId59" Type="http://schemas.openxmlformats.org/officeDocument/2006/relationships/header" Target="header24.xml"/><Relationship Id="rId103" Type="http://schemas.openxmlformats.org/officeDocument/2006/relationships/header" Target="header46.xml"/><Relationship Id="rId124" Type="http://schemas.openxmlformats.org/officeDocument/2006/relationships/footer" Target="footer56.xml"/><Relationship Id="rId310" Type="http://schemas.openxmlformats.org/officeDocument/2006/relationships/footer" Target="footer149.xml"/><Relationship Id="rId70" Type="http://schemas.openxmlformats.org/officeDocument/2006/relationships/footer" Target="footer29.xml"/><Relationship Id="rId91" Type="http://schemas.openxmlformats.org/officeDocument/2006/relationships/header" Target="header40.xml"/><Relationship Id="rId145" Type="http://schemas.openxmlformats.org/officeDocument/2006/relationships/header" Target="header67.xml"/><Relationship Id="rId166" Type="http://schemas.openxmlformats.org/officeDocument/2006/relationships/footer" Target="footer77.xml"/><Relationship Id="rId187" Type="http://schemas.openxmlformats.org/officeDocument/2006/relationships/header" Target="header88.xml"/><Relationship Id="rId331" Type="http://schemas.openxmlformats.org/officeDocument/2006/relationships/header" Target="header160.xml"/><Relationship Id="rId352" Type="http://schemas.openxmlformats.org/officeDocument/2006/relationships/header" Target="header171.xml"/><Relationship Id="rId373" Type="http://schemas.openxmlformats.org/officeDocument/2006/relationships/header" Target="header181.xml"/><Relationship Id="rId1" Type="http://schemas.openxmlformats.org/officeDocument/2006/relationships/customXml" Target="../customXml/item1.xml"/><Relationship Id="rId212" Type="http://schemas.openxmlformats.org/officeDocument/2006/relationships/header" Target="header101.xml"/><Relationship Id="rId233" Type="http://schemas.openxmlformats.org/officeDocument/2006/relationships/header" Target="header111.xml"/><Relationship Id="rId254" Type="http://schemas.openxmlformats.org/officeDocument/2006/relationships/header" Target="header122.xml"/><Relationship Id="rId28" Type="http://schemas.openxmlformats.org/officeDocument/2006/relationships/footer" Target="footer8.xml"/><Relationship Id="rId49" Type="http://schemas.openxmlformats.org/officeDocument/2006/relationships/header" Target="header19.xml"/><Relationship Id="rId114" Type="http://schemas.openxmlformats.org/officeDocument/2006/relationships/footer" Target="footer51.xml"/><Relationship Id="rId275" Type="http://schemas.openxmlformats.org/officeDocument/2006/relationships/header" Target="header132.xml"/><Relationship Id="rId296" Type="http://schemas.openxmlformats.org/officeDocument/2006/relationships/header" Target="header143.xml"/><Relationship Id="rId300" Type="http://schemas.openxmlformats.org/officeDocument/2006/relationships/footer" Target="footer144.xml"/><Relationship Id="rId60" Type="http://schemas.openxmlformats.org/officeDocument/2006/relationships/footer" Target="footer24.xml"/><Relationship Id="rId81" Type="http://schemas.openxmlformats.org/officeDocument/2006/relationships/footer" Target="footer34.xml"/><Relationship Id="rId135" Type="http://schemas.openxmlformats.org/officeDocument/2006/relationships/footer" Target="footer61.xml"/><Relationship Id="rId156" Type="http://schemas.openxmlformats.org/officeDocument/2006/relationships/footer" Target="footer72.xml"/><Relationship Id="rId177" Type="http://schemas.openxmlformats.org/officeDocument/2006/relationships/footer" Target="footer82.xml"/><Relationship Id="rId198" Type="http://schemas.openxmlformats.org/officeDocument/2006/relationships/footer" Target="footer93.xml"/><Relationship Id="rId321" Type="http://schemas.openxmlformats.org/officeDocument/2006/relationships/footer" Target="footer154.xml"/><Relationship Id="rId342" Type="http://schemas.openxmlformats.org/officeDocument/2006/relationships/footer" Target="footer165.xml"/><Relationship Id="rId363" Type="http://schemas.openxmlformats.org/officeDocument/2006/relationships/header" Target="header176.xml"/><Relationship Id="rId384" Type="http://schemas.microsoft.com/office/2020/10/relationships/intelligence" Target="intelligence2.xml"/><Relationship Id="rId202" Type="http://schemas.openxmlformats.org/officeDocument/2006/relationships/footer" Target="footer95.xml"/><Relationship Id="rId223" Type="http://schemas.openxmlformats.org/officeDocument/2006/relationships/header" Target="header106.xml"/><Relationship Id="rId244" Type="http://schemas.openxmlformats.org/officeDocument/2006/relationships/footer" Target="footer116.xml"/><Relationship Id="rId18" Type="http://schemas.openxmlformats.org/officeDocument/2006/relationships/footer" Target="footer3.xml"/><Relationship Id="rId39" Type="http://schemas.openxmlformats.org/officeDocument/2006/relationships/footer" Target="footer13.xml"/><Relationship Id="rId265" Type="http://schemas.openxmlformats.org/officeDocument/2006/relationships/header" Target="header127.xml"/><Relationship Id="rId286" Type="http://schemas.openxmlformats.org/officeDocument/2006/relationships/footer" Target="footer137.xml"/><Relationship Id="rId50" Type="http://schemas.openxmlformats.org/officeDocument/2006/relationships/header" Target="header20.xml"/><Relationship Id="rId104" Type="http://schemas.openxmlformats.org/officeDocument/2006/relationships/header" Target="header47.xml"/><Relationship Id="rId125" Type="http://schemas.openxmlformats.org/officeDocument/2006/relationships/header" Target="header57.xml"/><Relationship Id="rId146" Type="http://schemas.openxmlformats.org/officeDocument/2006/relationships/header" Target="header68.xml"/><Relationship Id="rId167" Type="http://schemas.openxmlformats.org/officeDocument/2006/relationships/header" Target="header78.xml"/><Relationship Id="rId188" Type="http://schemas.openxmlformats.org/officeDocument/2006/relationships/header" Target="header89.xml"/><Relationship Id="rId311" Type="http://schemas.openxmlformats.org/officeDocument/2006/relationships/header" Target="header150.xml"/><Relationship Id="rId332" Type="http://schemas.openxmlformats.org/officeDocument/2006/relationships/header" Target="header161.xml"/><Relationship Id="rId353" Type="http://schemas.openxmlformats.org/officeDocument/2006/relationships/footer" Target="footer170.xml"/><Relationship Id="rId374" Type="http://schemas.openxmlformats.org/officeDocument/2006/relationships/footer" Target="footer181.xml"/><Relationship Id="rId71" Type="http://schemas.openxmlformats.org/officeDocument/2006/relationships/header" Target="header30.xml"/><Relationship Id="rId92" Type="http://schemas.openxmlformats.org/officeDocument/2006/relationships/header" Target="header41.xml"/><Relationship Id="rId213" Type="http://schemas.openxmlformats.org/officeDocument/2006/relationships/footer" Target="footer100.xml"/><Relationship Id="rId234" Type="http://schemas.openxmlformats.org/officeDocument/2006/relationships/footer" Target="footer111.xml"/><Relationship Id="rId2" Type="http://schemas.openxmlformats.org/officeDocument/2006/relationships/customXml" Target="../customXml/item2.xml"/><Relationship Id="rId29" Type="http://schemas.openxmlformats.org/officeDocument/2006/relationships/header" Target="header9.xml"/><Relationship Id="rId255" Type="http://schemas.openxmlformats.org/officeDocument/2006/relationships/footer" Target="footer121.xml"/><Relationship Id="rId276" Type="http://schemas.openxmlformats.org/officeDocument/2006/relationships/footer" Target="footer132.xml"/><Relationship Id="rId297" Type="http://schemas.openxmlformats.org/officeDocument/2006/relationships/footer" Target="footer142.xml"/><Relationship Id="rId40" Type="http://schemas.openxmlformats.org/officeDocument/2006/relationships/footer" Target="footer14.xml"/><Relationship Id="rId115" Type="http://schemas.openxmlformats.org/officeDocument/2006/relationships/header" Target="header52.xml"/><Relationship Id="rId136" Type="http://schemas.openxmlformats.org/officeDocument/2006/relationships/footer" Target="footer62.xml"/><Relationship Id="rId157" Type="http://schemas.openxmlformats.org/officeDocument/2006/relationships/header" Target="header73.xml"/><Relationship Id="rId178" Type="http://schemas.openxmlformats.org/officeDocument/2006/relationships/footer" Target="footer83.xml"/><Relationship Id="rId301" Type="http://schemas.openxmlformats.org/officeDocument/2006/relationships/header" Target="header145.xml"/><Relationship Id="rId322" Type="http://schemas.openxmlformats.org/officeDocument/2006/relationships/footer" Target="footer155.xml"/><Relationship Id="rId343" Type="http://schemas.openxmlformats.org/officeDocument/2006/relationships/header" Target="header166.xml"/><Relationship Id="rId364" Type="http://schemas.openxmlformats.org/officeDocument/2006/relationships/header" Target="header177.xml"/><Relationship Id="rId61" Type="http://schemas.openxmlformats.org/officeDocument/2006/relationships/header" Target="header25.xml"/><Relationship Id="rId82" Type="http://schemas.openxmlformats.org/officeDocument/2006/relationships/footer" Target="footer35.xml"/><Relationship Id="rId199" Type="http://schemas.openxmlformats.org/officeDocument/2006/relationships/header" Target="header94.xml"/><Relationship Id="rId203" Type="http://schemas.openxmlformats.org/officeDocument/2006/relationships/header" Target="header96.xml"/><Relationship Id="rId19" Type="http://schemas.openxmlformats.org/officeDocument/2006/relationships/header" Target="header4.xml"/><Relationship Id="rId224" Type="http://schemas.openxmlformats.org/officeDocument/2006/relationships/header" Target="header107.xml"/><Relationship Id="rId245" Type="http://schemas.openxmlformats.org/officeDocument/2006/relationships/header" Target="header117.xml"/><Relationship Id="rId266" Type="http://schemas.openxmlformats.org/officeDocument/2006/relationships/header" Target="header128.xml"/><Relationship Id="rId287" Type="http://schemas.openxmlformats.org/officeDocument/2006/relationships/header" Target="header138.xml"/><Relationship Id="rId30" Type="http://schemas.openxmlformats.org/officeDocument/2006/relationships/footer" Target="footer9.xml"/><Relationship Id="rId105" Type="http://schemas.openxmlformats.org/officeDocument/2006/relationships/footer" Target="footer46.xml"/><Relationship Id="rId126" Type="http://schemas.openxmlformats.org/officeDocument/2006/relationships/footer" Target="footer57.xml"/><Relationship Id="rId147" Type="http://schemas.openxmlformats.org/officeDocument/2006/relationships/footer" Target="footer67.xml"/><Relationship Id="rId168" Type="http://schemas.openxmlformats.org/officeDocument/2006/relationships/footer" Target="footer78.xml"/><Relationship Id="rId312" Type="http://schemas.openxmlformats.org/officeDocument/2006/relationships/footer" Target="footer150.xml"/><Relationship Id="rId333" Type="http://schemas.openxmlformats.org/officeDocument/2006/relationships/footer" Target="footer160.xml"/><Relationship Id="rId354" Type="http://schemas.openxmlformats.org/officeDocument/2006/relationships/footer" Target="footer171.xml"/><Relationship Id="rId51" Type="http://schemas.openxmlformats.org/officeDocument/2006/relationships/footer" Target="footer19.xml"/><Relationship Id="rId72" Type="http://schemas.openxmlformats.org/officeDocument/2006/relationships/footer" Target="footer30.xml"/><Relationship Id="rId93" Type="http://schemas.openxmlformats.org/officeDocument/2006/relationships/footer" Target="footer40.xml"/><Relationship Id="rId189" Type="http://schemas.openxmlformats.org/officeDocument/2006/relationships/footer" Target="footer88.xml"/><Relationship Id="rId375" Type="http://schemas.openxmlformats.org/officeDocument/2006/relationships/header" Target="header182.xml"/><Relationship Id="rId3" Type="http://schemas.openxmlformats.org/officeDocument/2006/relationships/customXml" Target="../customXml/item3.xml"/><Relationship Id="rId214" Type="http://schemas.openxmlformats.org/officeDocument/2006/relationships/footer" Target="footer101.xml"/><Relationship Id="rId235" Type="http://schemas.openxmlformats.org/officeDocument/2006/relationships/header" Target="header112.xml"/><Relationship Id="rId256" Type="http://schemas.openxmlformats.org/officeDocument/2006/relationships/footer" Target="footer122.xml"/><Relationship Id="rId277" Type="http://schemas.openxmlformats.org/officeDocument/2006/relationships/header" Target="header133.xml"/><Relationship Id="rId298" Type="http://schemas.openxmlformats.org/officeDocument/2006/relationships/footer" Target="footer143.xml"/><Relationship Id="rId116" Type="http://schemas.openxmlformats.org/officeDocument/2006/relationships/header" Target="header53.xml"/><Relationship Id="rId137" Type="http://schemas.openxmlformats.org/officeDocument/2006/relationships/header" Target="header63.xml"/><Relationship Id="rId158" Type="http://schemas.openxmlformats.org/officeDocument/2006/relationships/header" Target="header74.xml"/><Relationship Id="rId302" Type="http://schemas.openxmlformats.org/officeDocument/2006/relationships/header" Target="header146.xml"/><Relationship Id="rId323" Type="http://schemas.openxmlformats.org/officeDocument/2006/relationships/header" Target="header156.xml"/><Relationship Id="rId344" Type="http://schemas.openxmlformats.org/officeDocument/2006/relationships/footer" Target="footer166.xml"/><Relationship Id="rId20" Type="http://schemas.openxmlformats.org/officeDocument/2006/relationships/header" Target="header5.xml"/><Relationship Id="rId41" Type="http://schemas.openxmlformats.org/officeDocument/2006/relationships/header" Target="header15.xml"/><Relationship Id="rId62" Type="http://schemas.openxmlformats.org/officeDocument/2006/relationships/header" Target="header26.xml"/><Relationship Id="rId83" Type="http://schemas.openxmlformats.org/officeDocument/2006/relationships/header" Target="header36.xml"/><Relationship Id="rId179" Type="http://schemas.openxmlformats.org/officeDocument/2006/relationships/header" Target="header84.xml"/><Relationship Id="rId365" Type="http://schemas.openxmlformats.org/officeDocument/2006/relationships/footer" Target="footer176.xml"/><Relationship Id="rId190" Type="http://schemas.openxmlformats.org/officeDocument/2006/relationships/footer" Target="footer89.xml"/><Relationship Id="rId204" Type="http://schemas.openxmlformats.org/officeDocument/2006/relationships/footer" Target="footer96.xml"/><Relationship Id="rId225" Type="http://schemas.openxmlformats.org/officeDocument/2006/relationships/footer" Target="footer106.xml"/><Relationship Id="rId246" Type="http://schemas.openxmlformats.org/officeDocument/2006/relationships/footer" Target="footer117.xml"/><Relationship Id="rId267" Type="http://schemas.openxmlformats.org/officeDocument/2006/relationships/footer" Target="footer127.xml"/><Relationship Id="rId288" Type="http://schemas.openxmlformats.org/officeDocument/2006/relationships/footer" Target="footer138.xml"/><Relationship Id="rId106" Type="http://schemas.openxmlformats.org/officeDocument/2006/relationships/footer" Target="footer47.xml"/><Relationship Id="rId127" Type="http://schemas.openxmlformats.org/officeDocument/2006/relationships/header" Target="header58.xml"/><Relationship Id="rId313" Type="http://schemas.openxmlformats.org/officeDocument/2006/relationships/header" Target="header151.xml"/><Relationship Id="rId10" Type="http://schemas.openxmlformats.org/officeDocument/2006/relationships/footnotes" Target="footnotes.xml"/><Relationship Id="rId31" Type="http://schemas.openxmlformats.org/officeDocument/2006/relationships/header" Target="header10.xml"/><Relationship Id="rId52" Type="http://schemas.openxmlformats.org/officeDocument/2006/relationships/footer" Target="footer20.xml"/><Relationship Id="rId73" Type="http://schemas.openxmlformats.org/officeDocument/2006/relationships/header" Target="header31.xml"/><Relationship Id="rId94" Type="http://schemas.openxmlformats.org/officeDocument/2006/relationships/footer" Target="footer41.xml"/><Relationship Id="rId148" Type="http://schemas.openxmlformats.org/officeDocument/2006/relationships/footer" Target="footer68.xml"/><Relationship Id="rId169" Type="http://schemas.openxmlformats.org/officeDocument/2006/relationships/header" Target="header79.xml"/><Relationship Id="rId334" Type="http://schemas.openxmlformats.org/officeDocument/2006/relationships/footer" Target="footer161.xml"/><Relationship Id="rId355" Type="http://schemas.openxmlformats.org/officeDocument/2006/relationships/header" Target="header172.xml"/><Relationship Id="rId376" Type="http://schemas.openxmlformats.org/officeDocument/2006/relationships/header" Target="header183.xml"/><Relationship Id="rId4" Type="http://schemas.openxmlformats.org/officeDocument/2006/relationships/customXml" Target="../customXml/item4.xml"/><Relationship Id="rId180" Type="http://schemas.openxmlformats.org/officeDocument/2006/relationships/footer" Target="footer84.xml"/><Relationship Id="rId215" Type="http://schemas.openxmlformats.org/officeDocument/2006/relationships/header" Target="header102.xml"/><Relationship Id="rId236" Type="http://schemas.openxmlformats.org/officeDocument/2006/relationships/header" Target="header113.xml"/><Relationship Id="rId257" Type="http://schemas.openxmlformats.org/officeDocument/2006/relationships/header" Target="header123.xml"/><Relationship Id="rId278" Type="http://schemas.openxmlformats.org/officeDocument/2006/relationships/header" Target="header134.xml"/></Relationships>
</file>

<file path=word/documenttasks/documenttasks1.xml><?xml version="1.0" encoding="utf-8"?>
<t:Tasks xmlns:t="http://schemas.microsoft.com/office/tasks/2019/documenttasks" xmlns:oel="http://schemas.microsoft.com/office/2019/extlst">
  <t:Task id="{5680157B-53D2-48A7-8400-2B113ED038B5}">
    <t:Anchor>
      <t:Comment id="685924280"/>
    </t:Anchor>
    <t:History>
      <t:Event id="{C7B50112-B96F-44C2-A337-7565D8EECBE9}" time="2023-10-24T13:51:44.757Z">
        <t:Attribution userId="S::mario.janiri@ec.europa.eu::38a425da-e9e0-4f39-867b-517d4aa18d3f" userProvider="AD" userName="JANIRI Mario (SG-RECOVER)"/>
        <t:Anchor>
          <t:Comment id="1339592421"/>
        </t:Anchor>
        <t:Create/>
      </t:Event>
      <t:Event id="{585F1370-FDC7-4C74-B742-DB46D92E5709}" time="2023-10-24T13:51:44.757Z">
        <t:Attribution userId="S::mario.janiri@ec.europa.eu::38a425da-e9e0-4f39-867b-517d4aa18d3f" userProvider="AD" userName="JANIRI Mario (SG-RECOVER)"/>
        <t:Anchor>
          <t:Comment id="1339592421"/>
        </t:Anchor>
        <t:Assign userId="S::Vasilis.NIKITAS@ec.europa.eu::2098837e-f110-44fd-9240-213a75053541" userProvider="AD" userName="NIKITAS Vasilis (ECFIN-ATHENS)"/>
      </t:Event>
      <t:Event id="{FB8086E7-B47E-409C-AE99-6A7147B90910}" time="2023-10-24T13:51:44.757Z">
        <t:Attribution userId="S::mario.janiri@ec.europa.eu::38a425da-e9e0-4f39-867b-517d4aa18d3f" userProvider="AD" userName="JANIRI Mario (SG-RECOVER)"/>
        <t:Anchor>
          <t:Comment id="1339592421"/>
        </t:Anchor>
        <t:SetTitle title="…Plans as requested. According to the abovementioned article the Special Urban Plans are approved exclusively by the Court of State (Law 4447/2016 article 8).&quot;. What's your take @NIKITAS Vasilis (ECFIN-ATHENS)? If not sure, we can ask Greece to confirm."/>
      </t:Event>
    </t:History>
  </t:Task>
  <t:Task id="{113DCDD2-F446-41CA-8BD9-991C6559F6D7}">
    <t:Anchor>
      <t:Comment id="720462159"/>
    </t:Anchor>
    <t:History>
      <t:Event id="{1B9C4331-8916-42C1-8F20-4E1371F2CD61}" time="2024-11-28T13:37:42.84Z">
        <t:Attribution userId="S::Claudia.PIFERI@ec.europa.eu::19496a8b-2d91-4010-ae9e-0b90968b4d4f" userProvider="AD" userName="PIFERI Claudia (ECFIN)"/>
        <t:Anchor>
          <t:Comment id="720567990"/>
        </t:Anchor>
        <t:Create/>
      </t:Event>
      <t:Event id="{580ADD4E-0108-4B2A-8BDA-434B61918F39}" time="2024-11-28T13:37:42.84Z">
        <t:Attribution userId="S::Claudia.PIFERI@ec.europa.eu::19496a8b-2d91-4010-ae9e-0b90968b4d4f" userProvider="AD" userName="PIFERI Claudia (ECFIN)"/>
        <t:Anchor>
          <t:Comment id="720567990"/>
        </t:Anchor>
        <t:Assign userId="S::Michael.MAGUIRE@ec.europa.eu::fb49cca5-1801-4286-a4db-b3a10b4a06e6" userProvider="AD" userName="MAGUIRE Michael (ECFIN)"/>
      </t:Event>
      <t:Event id="{CE37B634-5F71-4D65-B114-3B4B67E06C8D}" time="2024-11-28T13:37:42.84Z">
        <t:Attribution userId="S::Claudia.PIFERI@ec.europa.eu::19496a8b-2d91-4010-ae9e-0b90968b4d4f" userProvider="AD" userName="PIFERI Claudia (ECFIN)"/>
        <t:Anchor>
          <t:Comment id="720567990"/>
        </t:Anchor>
        <t:SetTitle title="@MAGUIRE Michael (ECFIN) can you please check this? "/>
      </t:Event>
    </t:History>
  </t:Task>
  <t:Task id="{92D6E254-40BC-42E5-8BAD-111E35F31124}">
    <t:Anchor>
      <t:Comment id="344308136"/>
    </t:Anchor>
    <t:History>
      <t:Event id="{9D3FCE8B-FF9E-4175-882E-C4D984047DBC}" time="2025-06-17T12:42:52.066Z">
        <t:Attribution userId="S::Marie-Luise.RUD@ec.europa.eu::664c74cb-19b7-4b42-a638-679cc1537c10" userProvider="AD" userName="RUD Marie-Luise (ECFIN)"/>
        <t:Anchor>
          <t:Comment id="344308136"/>
        </t:Anchor>
        <t:Create/>
      </t:Event>
      <t:Event id="{78154228-63AB-4022-9B54-B6F4D467A73A}" time="2025-06-17T12:42:52.066Z">
        <t:Attribution userId="S::Marie-Luise.RUD@ec.europa.eu::664c74cb-19b7-4b42-a638-679cc1537c10" userProvider="AD" userName="RUD Marie-Luise (ECFIN)"/>
        <t:Anchor>
          <t:Comment id="344308136"/>
        </t:Anchor>
        <t:Assign userId="S::Jacob.MAINKA@ec.europa.eu::818a6ab9-163e-4235-bb4f-b98a11a1415c" userProvider="AD" userName="MAINKA Jacob (ECFIN)"/>
      </t:Event>
      <t:Event id="{ED27D694-FA3B-4521-8EAE-DB3F22563EC4}" time="2025-06-17T12:42:52.066Z">
        <t:Attribution userId="S::Marie-Luise.RUD@ec.europa.eu::664c74cb-19b7-4b42-a638-679cc1537c10" userProvider="AD" userName="RUD Marie-Luise (ECFIN)"/>
        <t:Anchor>
          <t:Comment id="344308136"/>
        </t:Anchor>
        <t:SetTitle title="@MAINKA Jacob (ECFIN) "/>
      </t:Event>
    </t:History>
  </t:Task>
  <t:Task id="{D251EE32-4BCE-461E-AA41-3DA2F76F636C}">
    <t:Anchor>
      <t:Comment id="953455788"/>
    </t:Anchor>
    <t:History>
      <t:Event id="{C4BEC442-F329-4A82-B237-AB7418B62F3E}" time="2025-06-17T12:43:55.318Z">
        <t:Attribution userId="S::Marie-Luise.RUD@ec.europa.eu::664c74cb-19b7-4b42-a638-679cc1537c10" userProvider="AD" userName="RUD Marie-Luise (ECFIN)"/>
        <t:Anchor>
          <t:Comment id="953455788"/>
        </t:Anchor>
        <t:Create/>
      </t:Event>
      <t:Event id="{766364F5-F92C-4572-991E-04813AC6E970}" time="2025-06-17T12:43:55.318Z">
        <t:Attribution userId="S::Marie-Luise.RUD@ec.europa.eu::664c74cb-19b7-4b42-a638-679cc1537c10" userProvider="AD" userName="RUD Marie-Luise (ECFIN)"/>
        <t:Anchor>
          <t:Comment id="953455788"/>
        </t:Anchor>
        <t:Assign userId="S::Jacob.MAINKA@ec.europa.eu::818a6ab9-163e-4235-bb4f-b98a11a1415c" userProvider="AD" userName="MAINKA Jacob (ECFIN)"/>
      </t:Event>
      <t:Event id="{82252435-CD17-4428-AFB5-7B04685A0060}" time="2025-06-17T12:43:55.318Z">
        <t:Attribution userId="S::Marie-Luise.RUD@ec.europa.eu::664c74cb-19b7-4b42-a638-679cc1537c10" userProvider="AD" userName="RUD Marie-Luise (ECFIN)"/>
        <t:Anchor>
          <t:Comment id="953455788"/>
        </t:Anchor>
        <t:SetTitle title="@MAINKA Jacob (ECFIN) "/>
      </t:Event>
    </t:History>
  </t:Task>
  <t:Task id="{F23A83DB-9E42-46E8-8F65-295A82F0CAFD}">
    <t:Anchor>
      <t:Comment id="1863870751"/>
    </t:Anchor>
    <t:History>
      <t:Event id="{CE7C1B0D-4D04-440E-93F0-78D37EDED79D}" time="2025-06-17T12:44:48.573Z">
        <t:Attribution userId="S::Marie-Luise.RUD@ec.europa.eu::664c74cb-19b7-4b42-a638-679cc1537c10" userProvider="AD" userName="RUD Marie-Luise (ECFIN)"/>
        <t:Anchor>
          <t:Comment id="1863870751"/>
        </t:Anchor>
        <t:Create/>
      </t:Event>
      <t:Event id="{7C936059-1223-47FA-A5EF-23FFDC27511B}" time="2025-06-17T12:44:48.573Z">
        <t:Attribution userId="S::Marie-Luise.RUD@ec.europa.eu::664c74cb-19b7-4b42-a638-679cc1537c10" userProvider="AD" userName="RUD Marie-Luise (ECFIN)"/>
        <t:Anchor>
          <t:Comment id="1863870751"/>
        </t:Anchor>
        <t:Assign userId="S::Jacob.MAINKA@ec.europa.eu::818a6ab9-163e-4235-bb4f-b98a11a1415c" userProvider="AD" userName="MAINKA Jacob (ECFIN)"/>
      </t:Event>
      <t:Event id="{B3E9B17A-D8B2-4642-A0D5-AB2879920A48}" time="2025-06-17T12:44:48.573Z">
        <t:Attribution userId="S::Marie-Luise.RUD@ec.europa.eu::664c74cb-19b7-4b42-a638-679cc1537c10" userProvider="AD" userName="RUD Marie-Luise (ECFIN)"/>
        <t:Anchor>
          <t:Comment id="1863870751"/>
        </t:Anchor>
        <t:SetTitle title="@MAINKA Jacob (ECFIN) "/>
      </t:Event>
    </t:History>
  </t:Task>
  <t:Task id="{4D3D126A-74E7-458D-97C3-4CD7F6333039}">
    <t:Anchor>
      <t:Comment id="1463338990"/>
    </t:Anchor>
    <t:History>
      <t:Event id="{6CABE625-235F-4525-8145-24F134B04333}" time="2025-06-17T12:54:42.926Z">
        <t:Attribution userId="S::Marie-Luise.RUD@ec.europa.eu::664c74cb-19b7-4b42-a638-679cc1537c10" userProvider="AD" userName="RUD Marie-Luise (ECFIN)"/>
        <t:Anchor>
          <t:Comment id="1463338990"/>
        </t:Anchor>
        <t:Create/>
      </t:Event>
      <t:Event id="{274BBBA7-1D98-4589-9382-A0EB7BD63712}" time="2025-06-17T12:54:42.926Z">
        <t:Attribution userId="S::Marie-Luise.RUD@ec.europa.eu::664c74cb-19b7-4b42-a638-679cc1537c10" userProvider="AD" userName="RUD Marie-Luise (ECFIN)"/>
        <t:Anchor>
          <t:Comment id="1463338990"/>
        </t:Anchor>
        <t:Assign userId="S::Jacob.MAINKA@ec.europa.eu::818a6ab9-163e-4235-bb4f-b98a11a1415c" userProvider="AD" userName="MAINKA Jacob (ECFIN)"/>
      </t:Event>
      <t:Event id="{60CC6BBF-83FE-4D22-BEE2-D91358FB1761}" time="2025-06-17T12:54:42.926Z">
        <t:Attribution userId="S::Marie-Luise.RUD@ec.europa.eu::664c74cb-19b7-4b42-a638-679cc1537c10" userProvider="AD" userName="RUD Marie-Luise (ECFIN)"/>
        <t:Anchor>
          <t:Comment id="1463338990"/>
        </t:Anchor>
        <t:SetTitle title="@MAINKA Jacob (ECFIN) "/>
      </t:Event>
    </t:History>
  </t:Task>
  <t:Task id="{CF1557DF-AB89-427B-BD3D-1331B989DAE0}">
    <t:Anchor>
      <t:Comment id="1119121503"/>
    </t:Anchor>
    <t:History>
      <t:Event id="{5EAA257D-AA23-48CF-94AD-22E3A2F295F4}" time="2025-06-17T12:34:44.639Z">
        <t:Attribution userId="S::Marie-Luise.RUD@ec.europa.eu::664c74cb-19b7-4b42-a638-679cc1537c10" userProvider="AD" userName="RUD Marie-Luise (ECFIN)"/>
        <t:Anchor>
          <t:Comment id="1119121503"/>
        </t:Anchor>
        <t:Create/>
      </t:Event>
      <t:Event id="{90807DAD-75F4-455D-80A2-EE97E8B55C73}" time="2025-06-17T12:34:44.639Z">
        <t:Attribution userId="S::Marie-Luise.RUD@ec.europa.eu::664c74cb-19b7-4b42-a638-679cc1537c10" userProvider="AD" userName="RUD Marie-Luise (ECFIN)"/>
        <t:Anchor>
          <t:Comment id="1119121503"/>
        </t:Anchor>
        <t:Assign userId="S::Jacob.MAINKA@ec.europa.eu::818a6ab9-163e-4235-bb4f-b98a11a1415c" userProvider="AD" userName="MAINKA Jacob (ECFIN)"/>
      </t:Event>
      <t:Event id="{C2377F68-ACDD-46E5-8AA2-ED7A864E9C40}" time="2025-06-17T12:34:44.639Z">
        <t:Attribution userId="S::Marie-Luise.RUD@ec.europa.eu::664c74cb-19b7-4b42-a638-679cc1537c10" userProvider="AD" userName="RUD Marie-Luise (ECFIN)"/>
        <t:Anchor>
          <t:Comment id="1119121503"/>
        </t:Anchor>
        <t:SetTitle title="@MAINKA Jacob (ECFIN) could you have a look if this is OK from the green perspective?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4d0ae30-99de-4b75-b374-de0637405ec7" xsi:nil="true"/>
    <lcf76f155ced4ddcb4097134ff3c332f xmlns="11e77377-0db5-45fd-a1ac-9f5e38a33c6f">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EC_ARES_NUMBER xmlns="e4d0ae30-99de-4b75-b374-de0637405ec7">
      <Url xsi:nil="true"/>
      <Description xsi:nil="true"/>
    </EC_ARES_NUMBER>
    <IconOverlay xmlns="http://schemas.microsoft.com/sharepoint/v4" xsi:nil="true"/>
    <EC_ARES_DATE_TRANSFERRED xmlns="e4d0ae30-99de-4b75-b374-de0637405ec7" xsi:nil="true"/>
    <EC_ARES_TRANSFERRED_BY xmlns="e4d0ae30-99de-4b75-b374-de0637405ec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AF75065C516B24AA4ED9964D7F23498" ma:contentTypeVersion="23" ma:contentTypeDescription="Create a new document." ma:contentTypeScope="" ma:versionID="6a7632b966b2428b289369329218c37b">
  <xsd:schema xmlns:xsd="http://www.w3.org/2001/XMLSchema" xmlns:xs="http://www.w3.org/2001/XMLSchema" xmlns:p="http://schemas.microsoft.com/office/2006/metadata/properties" xmlns:ns1="http://schemas.microsoft.com/sharepoint/v3" xmlns:ns2="11e77377-0db5-45fd-a1ac-9f5e38a33c6f" xmlns:ns3="e4d0ae30-99de-4b75-b374-de0637405ec7" xmlns:ns4="http://schemas.microsoft.com/sharepoint/v4" targetNamespace="http://schemas.microsoft.com/office/2006/metadata/properties" ma:root="true" ma:fieldsID="b6204ff4af2c00b356fb4aa0048497cd" ns1:_="" ns2:_="" ns3:_="" ns4:_="">
    <xsd:import namespace="http://schemas.microsoft.com/sharepoint/v3"/>
    <xsd:import namespace="11e77377-0db5-45fd-a1ac-9f5e38a33c6f"/>
    <xsd:import namespace="e4d0ae30-99de-4b75-b374-de0637405ec7"/>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MediaLengthInSeconds" minOccurs="0"/>
                <xsd:element ref="ns3:EC_ARES_NUMBER" minOccurs="0"/>
                <xsd:element ref="ns3:EC_ARES_DATE_TRANSFERRED" minOccurs="0"/>
                <xsd:element ref="ns3:EC_ARES_TRANSFERRED_BY" minOccurs="0"/>
                <xsd:element ref="ns4:IconOverlay" minOccurs="0"/>
                <xsd:element ref="ns1:_vti_ItemDeclaredRecord" minOccurs="0"/>
                <xsd:element ref="ns1:_vti_ItemHoldRecord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29" nillable="true" ma:displayName="Declared Record" ma:hidden="true" ma:internalName="_vti_ItemDeclaredRecord" ma:readOnly="true">
      <xsd:simpleType>
        <xsd:restriction base="dms:DateTime"/>
      </xsd:simpleType>
    </xsd:element>
    <xsd:element name="_vti_ItemHoldRecordStatus" ma:index="30" nillable="true" ma:displayName="Hold and Record Status" ma:decimals="0" ma:hidden="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1e77377-0db5-45fd-a1ac-9f5e38a33c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4d0ae30-99de-4b75-b374-de0637405ec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99c1a9c5-7436-4665-9c01-4721abda3979}" ma:internalName="TaxCatchAll" ma:showField="CatchAllData" ma:web="e4d0ae30-99de-4b75-b374-de0637405ec7">
      <xsd:complexType>
        <xsd:complexContent>
          <xsd:extension base="dms:MultiChoiceLookup">
            <xsd:sequence>
              <xsd:element name="Value" type="dms:Lookup" maxOccurs="unbounded" minOccurs="0" nillable="true"/>
            </xsd:sequence>
          </xsd:extension>
        </xsd:complexContent>
      </xsd:complexType>
    </xsd:element>
    <xsd:element name="EC_ARES_NUMBER" ma:index="25" nillable="true" ma:displayName="Ares Number" ma:format="Hyperlink" ma:hidden="true" ma:internalName="EC_ARES_NUMBER">
      <xsd:complexType>
        <xsd:complexContent>
          <xsd:extension base="dms:URL">
            <xsd:sequence>
              <xsd:element name="Url" type="dms:ValidUrl" minOccurs="0" nillable="true"/>
              <xsd:element name="Description" type="xsd:string" nillable="true"/>
            </xsd:sequence>
          </xsd:extension>
        </xsd:complexContent>
      </xsd:complexType>
    </xsd:element>
    <xsd:element name="EC_ARES_DATE_TRANSFERRED" ma:index="26" nillable="true" ma:displayName="Transferred to Ares" ma:format="DateTime" ma:hidden="true" ma:internalName="EC_ARES_DATE_TRANSFERRED">
      <xsd:simpleType>
        <xsd:restriction base="dms:DateTime"/>
      </xsd:simpleType>
    </xsd:element>
    <xsd:element name="EC_ARES_TRANSFERRED_BY" ma:index="27" nillable="true" ma:displayName="Transferred By" ma:hidden="true" ma:internalName="EC_ARES_TRANSFERRED_B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8CBA3-623E-4C54-AB69-D34DBF620255}">
  <ds:schemaRefs>
    <ds:schemaRef ds:uri="http://schemas.microsoft.com/office/2006/metadata/properties"/>
    <ds:schemaRef ds:uri="http://schemas.microsoft.com/office/infopath/2007/PartnerControls"/>
    <ds:schemaRef ds:uri="e4d0ae30-99de-4b75-b374-de0637405ec7"/>
    <ds:schemaRef ds:uri="11e77377-0db5-45fd-a1ac-9f5e38a33c6f"/>
    <ds:schemaRef ds:uri="http://schemas.microsoft.com/sharepoint/v4"/>
  </ds:schemaRefs>
</ds:datastoreItem>
</file>

<file path=customXml/itemProps2.xml><?xml version="1.0" encoding="utf-8"?>
<ds:datastoreItem xmlns:ds="http://schemas.openxmlformats.org/officeDocument/2006/customXml" ds:itemID="{B11A4AF6-6620-48D1-BA95-9E4DE59A73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1e77377-0db5-45fd-a1ac-9f5e38a33c6f"/>
    <ds:schemaRef ds:uri="e4d0ae30-99de-4b75-b374-de0637405e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0C3354-FE77-4A2F-8630-F8FA03C1CC72}">
  <ds:schemaRefs>
    <ds:schemaRef ds:uri="http://schemas.microsoft.com/sharepoint/v3/contenttype/forms"/>
  </ds:schemaRefs>
</ds:datastoreItem>
</file>

<file path=customXml/itemProps4.xml><?xml version="1.0" encoding="utf-8"?>
<ds:datastoreItem xmlns:ds="http://schemas.openxmlformats.org/officeDocument/2006/customXml" ds:itemID="{8B0CB974-CC9B-4580-B943-C0332C02328A}">
  <ds:schemaRefs>
    <ds:schemaRef ds:uri="http://schemas.microsoft.com/sharepoint/v3/contenttype/forms"/>
  </ds:schemaRefs>
</ds:datastoreItem>
</file>

<file path=customXml/itemProps5.xml><?xml version="1.0" encoding="utf-8"?>
<ds:datastoreItem xmlns:ds="http://schemas.openxmlformats.org/officeDocument/2006/customXml" ds:itemID="{BB110423-87CA-43DF-9E23-452D240E0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579</TotalTime>
  <Pages>7</Pages>
  <Words>97022</Words>
  <Characters>553027</Characters>
  <Application>Microsoft Office Word</Application>
  <DocSecurity>0</DocSecurity>
  <Lines>4608</Lines>
  <Paragraphs>1297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648752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EC CoDe</cp:lastModifiedBy>
  <cp:revision>446</cp:revision>
  <dcterms:created xsi:type="dcterms:W3CDTF">2025-06-24T20:37:00Z</dcterms:created>
  <dcterms:modified xsi:type="dcterms:W3CDTF">2025-07-09T15:26:00Z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using">
    <vt:lpwstr>DocuWrite 4.9.1, Build 20240216</vt:lpwstr>
  </property>
  <property fmtid="{D5CDD505-2E9C-101B-9397-08002B2CF9AE}" pid="3" name="ContentTypeId">
    <vt:lpwstr>0x010100BAF75065C516B24AA4ED9964D7F23498</vt:lpwstr>
  </property>
  <property fmtid="{D5CDD505-2E9C-101B-9397-08002B2CF9AE}" pid="4" name="MSIP_Label_6bd9ddd1-4d20-43f6-abfa-fc3c07406f94_Enabled">
    <vt:lpwstr>true</vt:lpwstr>
  </property>
  <property fmtid="{D5CDD505-2E9C-101B-9397-08002B2CF9AE}" pid="5" name="MSIP_Label_6bd9ddd1-4d20-43f6-abfa-fc3c07406f94_SetDate">
    <vt:lpwstr>2023-09-11T07:57:38Z</vt:lpwstr>
  </property>
  <property fmtid="{D5CDD505-2E9C-101B-9397-08002B2CF9AE}" pid="6" name="MSIP_Label_6bd9ddd1-4d20-43f6-abfa-fc3c07406f94_Method">
    <vt:lpwstr>Standard</vt:lpwstr>
  </property>
  <property fmtid="{D5CDD505-2E9C-101B-9397-08002B2CF9AE}" pid="7" name="MSIP_Label_6bd9ddd1-4d20-43f6-abfa-fc3c07406f94_Name">
    <vt:lpwstr>Commission Use</vt:lpwstr>
  </property>
  <property fmtid="{D5CDD505-2E9C-101B-9397-08002B2CF9AE}" pid="8" name="MSIP_Label_6bd9ddd1-4d20-43f6-abfa-fc3c07406f94_SiteId">
    <vt:lpwstr>b24c8b06-522c-46fe-9080-70926f8dddb1</vt:lpwstr>
  </property>
  <property fmtid="{D5CDD505-2E9C-101B-9397-08002B2CF9AE}" pid="9" name="MSIP_Label_6bd9ddd1-4d20-43f6-abfa-fc3c07406f94_ActionId">
    <vt:lpwstr>8974eb50-0967-4d56-a303-e1962c90295e</vt:lpwstr>
  </property>
  <property fmtid="{D5CDD505-2E9C-101B-9397-08002B2CF9AE}" pid="10" name="MSIP_Label_6bd9ddd1-4d20-43f6-abfa-fc3c07406f94_ContentBits">
    <vt:lpwstr>0</vt:lpwstr>
  </property>
  <property fmtid="{D5CDD505-2E9C-101B-9397-08002B2CF9AE}" pid="11" name="Level of sensitivity">
    <vt:lpwstr>Standard treatment</vt:lpwstr>
  </property>
  <property fmtid="{D5CDD505-2E9C-101B-9397-08002B2CF9AE}" pid="12" name="First annex">
    <vt:lpwstr>1</vt:lpwstr>
  </property>
  <property fmtid="{D5CDD505-2E9C-101B-9397-08002B2CF9AE}" pid="13" name="Last annex">
    <vt:lpwstr>1</vt:lpwstr>
  </property>
  <property fmtid="{D5CDD505-2E9C-101B-9397-08002B2CF9AE}" pid="14" name="Unique annex">
    <vt:lpwstr>1</vt:lpwstr>
  </property>
  <property fmtid="{D5CDD505-2E9C-101B-9397-08002B2CF9AE}" pid="15" name="Part">
    <vt:lpwstr>1</vt:lpwstr>
  </property>
  <property fmtid="{D5CDD505-2E9C-101B-9397-08002B2CF9AE}" pid="16" name="Total parts">
    <vt:lpwstr>1</vt:lpwstr>
  </property>
  <property fmtid="{D5CDD505-2E9C-101B-9397-08002B2CF9AE}" pid="17" name="CPTemplateID">
    <vt:lpwstr>CP-036</vt:lpwstr>
  </property>
  <property fmtid="{D5CDD505-2E9C-101B-9397-08002B2CF9AE}" pid="18" name="MSIP_Label_b1df41d6-74a9-4a97-809c-213cd32520cc_Enabled">
    <vt:lpwstr>true</vt:lpwstr>
  </property>
  <property fmtid="{D5CDD505-2E9C-101B-9397-08002B2CF9AE}" pid="19" name="MSIP_Label_b1df41d6-74a9-4a97-809c-213cd32520cc_SetDate">
    <vt:lpwstr>2023-12-01T14:44:06Z</vt:lpwstr>
  </property>
  <property fmtid="{D5CDD505-2E9C-101B-9397-08002B2CF9AE}" pid="20" name="MSIP_Label_b1df41d6-74a9-4a97-809c-213cd32520cc_Method">
    <vt:lpwstr>Privileged</vt:lpwstr>
  </property>
  <property fmtid="{D5CDD505-2E9C-101B-9397-08002B2CF9AE}" pid="21" name="MSIP_Label_b1df41d6-74a9-4a97-809c-213cd32520cc_Name">
    <vt:lpwstr>GSCEU - NON PUBLIC Label</vt:lpwstr>
  </property>
  <property fmtid="{D5CDD505-2E9C-101B-9397-08002B2CF9AE}" pid="22" name="MSIP_Label_b1df41d6-74a9-4a97-809c-213cd32520cc_SiteId">
    <vt:lpwstr>03ad1c97-0a4d-4e82-8f93-27291a6a0767</vt:lpwstr>
  </property>
  <property fmtid="{D5CDD505-2E9C-101B-9397-08002B2CF9AE}" pid="23" name="MSIP_Label_b1df41d6-74a9-4a97-809c-213cd32520cc_ActionId">
    <vt:lpwstr>bea8d279-aa28-4420-808d-80284cc98536</vt:lpwstr>
  </property>
  <property fmtid="{D5CDD505-2E9C-101B-9397-08002B2CF9AE}" pid="24" name="MSIP_Label_b1df41d6-74a9-4a97-809c-213cd32520cc_ContentBits">
    <vt:lpwstr>0</vt:lpwstr>
  </property>
  <property fmtid="{D5CDD505-2E9C-101B-9397-08002B2CF9AE}" pid="25" name="MediaServiceImageTags">
    <vt:lpwstr/>
  </property>
  <property fmtid="{D5CDD505-2E9C-101B-9397-08002B2CF9AE}" pid="26" name="DocStatus">
    <vt:lpwstr>Green</vt:lpwstr>
  </property>
  <property fmtid="{D5CDD505-2E9C-101B-9397-08002B2CF9AE}" pid="27" name="Last edited using">
    <vt:lpwstr>LW 9.1, Build 20240808</vt:lpwstr>
  </property>
</Properties>
</file>